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187" w:lineRule="auto" w:before="192"/>
        <w:ind w:right="4602"/>
      </w:pPr>
      <w:r>
        <w:rPr/>
        <mc:AlternateContent>
          <mc:Choice Requires="wps">
            <w:drawing>
              <wp:anchor distT="0" distB="0" distL="0" distR="0" allowOverlap="1" layoutInCell="1" locked="0" behindDoc="1" simplePos="0" relativeHeight="483904512">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36A9E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9411968" id="docshape1" filled="true" fillcolor="#36a9e1" stroked="false">
                <v:fill type="solid"/>
                <w10:wrap type="none"/>
              </v:rect>
            </w:pict>
          </mc:Fallback>
        </mc:AlternateContent>
      </w:r>
      <w:r>
        <w:rPr/>
        <mc:AlternateContent>
          <mc:Choice Requires="wps">
            <w:drawing>
              <wp:anchor distT="0" distB="0" distL="0" distR="0" allowOverlap="1" layoutInCell="1" locked="0" behindDoc="1" simplePos="0" relativeHeight="483905024">
                <wp:simplePos x="0" y="0"/>
                <wp:positionH relativeFrom="page">
                  <wp:posOffset>0</wp:posOffset>
                </wp:positionH>
                <wp:positionV relativeFrom="page">
                  <wp:posOffset>0</wp:posOffset>
                </wp:positionV>
                <wp:extent cx="75603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10692130"/>
                          <a:chExt cx="7560309" cy="10692130"/>
                        </a:xfrm>
                      </wpg:grpSpPr>
                      <pic:pic>
                        <pic:nvPicPr>
                          <pic:cNvPr id="3" name="Image 3"/>
                          <pic:cNvPicPr/>
                        </pic:nvPicPr>
                        <pic:blipFill>
                          <a:blip r:embed="rId5" cstate="print"/>
                          <a:stretch>
                            <a:fillRect/>
                          </a:stretch>
                        </pic:blipFill>
                        <pic:spPr>
                          <a:xfrm>
                            <a:off x="3015460" y="222452"/>
                            <a:ext cx="4544545" cy="10469551"/>
                          </a:xfrm>
                          <a:prstGeom prst="rect">
                            <a:avLst/>
                          </a:prstGeom>
                        </pic:spPr>
                      </pic:pic>
                      <pic:pic>
                        <pic:nvPicPr>
                          <pic:cNvPr id="4" name="Image 4"/>
                          <pic:cNvPicPr/>
                        </pic:nvPicPr>
                        <pic:blipFill>
                          <a:blip r:embed="rId6" cstate="print"/>
                          <a:stretch>
                            <a:fillRect/>
                          </a:stretch>
                        </pic:blipFill>
                        <pic:spPr>
                          <a:xfrm>
                            <a:off x="0" y="2955709"/>
                            <a:ext cx="6361480" cy="7581899"/>
                          </a:xfrm>
                          <a:prstGeom prst="rect">
                            <a:avLst/>
                          </a:prstGeom>
                        </pic:spPr>
                      </pic:pic>
                      <pic:pic>
                        <pic:nvPicPr>
                          <pic:cNvPr id="5" name="Image 5"/>
                          <pic:cNvPicPr/>
                        </pic:nvPicPr>
                        <pic:blipFill>
                          <a:blip r:embed="rId7" cstate="print"/>
                          <a:stretch>
                            <a:fillRect/>
                          </a:stretch>
                        </pic:blipFill>
                        <pic:spPr>
                          <a:xfrm>
                            <a:off x="839329" y="4669828"/>
                            <a:ext cx="3307121" cy="4495800"/>
                          </a:xfrm>
                          <a:prstGeom prst="rect">
                            <a:avLst/>
                          </a:prstGeom>
                        </pic:spPr>
                      </pic:pic>
                      <wps:wsp>
                        <wps:cNvPr id="6" name="Graphic 6"/>
                        <wps:cNvSpPr/>
                        <wps:spPr>
                          <a:xfrm>
                            <a:off x="0" y="7199998"/>
                            <a:ext cx="7560309" cy="3492500"/>
                          </a:xfrm>
                          <a:custGeom>
                            <a:avLst/>
                            <a:gdLst/>
                            <a:ahLst/>
                            <a:cxnLst/>
                            <a:rect l="l" t="t" r="r" b="b"/>
                            <a:pathLst>
                              <a:path w="7560309" h="3492500">
                                <a:moveTo>
                                  <a:pt x="7560005" y="0"/>
                                </a:moveTo>
                                <a:lnTo>
                                  <a:pt x="0" y="0"/>
                                </a:lnTo>
                                <a:lnTo>
                                  <a:pt x="0" y="3492004"/>
                                </a:lnTo>
                                <a:lnTo>
                                  <a:pt x="7560005" y="3492004"/>
                                </a:lnTo>
                                <a:lnTo>
                                  <a:pt x="7560005" y="0"/>
                                </a:lnTo>
                                <a:close/>
                              </a:path>
                            </a:pathLst>
                          </a:custGeom>
                          <a:solidFill>
                            <a:srgbClr val="164194"/>
                          </a:solidFill>
                        </wps:spPr>
                        <wps:bodyPr wrap="square" lIns="0" tIns="0" rIns="0" bIns="0" rtlCol="0">
                          <a:prstTxWarp prst="textNoShape">
                            <a:avLst/>
                          </a:prstTxWarp>
                          <a:noAutofit/>
                        </wps:bodyPr>
                      </wps:wsp>
                      <wps:wsp>
                        <wps:cNvPr id="7" name="Graphic 7"/>
                        <wps:cNvSpPr/>
                        <wps:spPr>
                          <a:xfrm>
                            <a:off x="0" y="0"/>
                            <a:ext cx="7560309" cy="4086225"/>
                          </a:xfrm>
                          <a:custGeom>
                            <a:avLst/>
                            <a:gdLst/>
                            <a:ahLst/>
                            <a:cxnLst/>
                            <a:rect l="l" t="t" r="r" b="b"/>
                            <a:pathLst>
                              <a:path w="7560309" h="4086225">
                                <a:moveTo>
                                  <a:pt x="0" y="4086009"/>
                                </a:moveTo>
                                <a:lnTo>
                                  <a:pt x="7560005" y="4086009"/>
                                </a:lnTo>
                                <a:lnTo>
                                  <a:pt x="7560005" y="0"/>
                                </a:lnTo>
                                <a:lnTo>
                                  <a:pt x="0" y="0"/>
                                </a:lnTo>
                                <a:lnTo>
                                  <a:pt x="0" y="4086009"/>
                                </a:lnTo>
                                <a:close/>
                              </a:path>
                            </a:pathLst>
                          </a:custGeom>
                          <a:solidFill>
                            <a:srgbClr val="36A9E1"/>
                          </a:solidFill>
                        </wps:spPr>
                        <wps:bodyPr wrap="square" lIns="0" tIns="0" rIns="0" bIns="0" rtlCol="0">
                          <a:prstTxWarp prst="textNoShape">
                            <a:avLst/>
                          </a:prstTxWarp>
                          <a:noAutofit/>
                        </wps:bodyPr>
                      </wps:wsp>
                      <wps:wsp>
                        <wps:cNvPr id="8" name="Graphic 8"/>
                        <wps:cNvSpPr/>
                        <wps:spPr>
                          <a:xfrm>
                            <a:off x="5448602" y="8922005"/>
                            <a:ext cx="2112010" cy="360045"/>
                          </a:xfrm>
                          <a:custGeom>
                            <a:avLst/>
                            <a:gdLst/>
                            <a:ahLst/>
                            <a:cxnLst/>
                            <a:rect l="l" t="t" r="r" b="b"/>
                            <a:pathLst>
                              <a:path w="2112010" h="360045">
                                <a:moveTo>
                                  <a:pt x="2111402" y="0"/>
                                </a:moveTo>
                                <a:lnTo>
                                  <a:pt x="179997" y="0"/>
                                </a:lnTo>
                                <a:lnTo>
                                  <a:pt x="132144" y="6429"/>
                                </a:lnTo>
                                <a:lnTo>
                                  <a:pt x="89146" y="24573"/>
                                </a:lnTo>
                                <a:lnTo>
                                  <a:pt x="52717" y="52717"/>
                                </a:lnTo>
                                <a:lnTo>
                                  <a:pt x="24573" y="89146"/>
                                </a:lnTo>
                                <a:lnTo>
                                  <a:pt x="6429" y="132144"/>
                                </a:lnTo>
                                <a:lnTo>
                                  <a:pt x="0" y="179997"/>
                                </a:lnTo>
                                <a:lnTo>
                                  <a:pt x="6429" y="227849"/>
                                </a:lnTo>
                                <a:lnTo>
                                  <a:pt x="24573" y="270847"/>
                                </a:lnTo>
                                <a:lnTo>
                                  <a:pt x="52717" y="307276"/>
                                </a:lnTo>
                                <a:lnTo>
                                  <a:pt x="89146" y="335420"/>
                                </a:lnTo>
                                <a:lnTo>
                                  <a:pt x="132144" y="353564"/>
                                </a:lnTo>
                                <a:lnTo>
                                  <a:pt x="179997" y="359994"/>
                                </a:lnTo>
                                <a:lnTo>
                                  <a:pt x="2111402" y="359994"/>
                                </a:lnTo>
                                <a:lnTo>
                                  <a:pt x="2111402" y="0"/>
                                </a:lnTo>
                                <a:close/>
                              </a:path>
                            </a:pathLst>
                          </a:custGeom>
                          <a:solidFill>
                            <a:srgbClr val="009FE3">
                              <a:alpha val="79998"/>
                            </a:srgbClr>
                          </a:solidFill>
                        </wps:spPr>
                        <wps:bodyPr wrap="square" lIns="0" tIns="0" rIns="0" bIns="0" rtlCol="0">
                          <a:prstTxWarp prst="textNoShape">
                            <a:avLst/>
                          </a:prstTxWarp>
                          <a:noAutofit/>
                        </wps:bodyPr>
                      </wps:wsp>
                      <wps:wsp>
                        <wps:cNvPr id="9" name="Graphic 9"/>
                        <wps:cNvSpPr/>
                        <wps:spPr>
                          <a:xfrm>
                            <a:off x="0" y="0"/>
                            <a:ext cx="5306060" cy="3658235"/>
                          </a:xfrm>
                          <a:custGeom>
                            <a:avLst/>
                            <a:gdLst/>
                            <a:ahLst/>
                            <a:cxnLst/>
                            <a:rect l="l" t="t" r="r" b="b"/>
                            <a:pathLst>
                              <a:path w="5306060" h="3658235">
                                <a:moveTo>
                                  <a:pt x="5305666" y="0"/>
                                </a:moveTo>
                                <a:lnTo>
                                  <a:pt x="0" y="0"/>
                                </a:lnTo>
                                <a:lnTo>
                                  <a:pt x="0" y="3658133"/>
                                </a:lnTo>
                                <a:lnTo>
                                  <a:pt x="5305666" y="3658133"/>
                                </a:lnTo>
                                <a:lnTo>
                                  <a:pt x="5305666" y="0"/>
                                </a:lnTo>
                                <a:close/>
                              </a:path>
                            </a:pathLst>
                          </a:custGeom>
                          <a:solidFill>
                            <a:srgbClr val="164194">
                              <a:alpha val="17999"/>
                            </a:srgbClr>
                          </a:solidFill>
                        </wps:spPr>
                        <wps:bodyPr wrap="square" lIns="0" tIns="0" rIns="0" bIns="0" rtlCol="0">
                          <a:prstTxWarp prst="textNoShape">
                            <a:avLst/>
                          </a:prstTxWarp>
                          <a:noAutofit/>
                        </wps:bodyPr>
                      </wps:wsp>
                      <wps:wsp>
                        <wps:cNvPr id="10" name="Graphic 10"/>
                        <wps:cNvSpPr/>
                        <wps:spPr>
                          <a:xfrm>
                            <a:off x="0" y="0"/>
                            <a:ext cx="5014595" cy="3492500"/>
                          </a:xfrm>
                          <a:custGeom>
                            <a:avLst/>
                            <a:gdLst/>
                            <a:ahLst/>
                            <a:cxnLst/>
                            <a:rect l="l" t="t" r="r" b="b"/>
                            <a:pathLst>
                              <a:path w="5014595" h="3492500">
                                <a:moveTo>
                                  <a:pt x="5014478" y="0"/>
                                </a:moveTo>
                                <a:lnTo>
                                  <a:pt x="0" y="0"/>
                                </a:lnTo>
                                <a:lnTo>
                                  <a:pt x="0" y="3492006"/>
                                </a:lnTo>
                                <a:lnTo>
                                  <a:pt x="3862473" y="3492006"/>
                                </a:lnTo>
                                <a:lnTo>
                                  <a:pt x="3911170" y="3490995"/>
                                </a:lnTo>
                                <a:lnTo>
                                  <a:pt x="3959352" y="3487990"/>
                                </a:lnTo>
                                <a:lnTo>
                                  <a:pt x="4006978" y="3483030"/>
                                </a:lnTo>
                                <a:lnTo>
                                  <a:pt x="4054009" y="3476155"/>
                                </a:lnTo>
                                <a:lnTo>
                                  <a:pt x="4100405" y="3467406"/>
                                </a:lnTo>
                                <a:lnTo>
                                  <a:pt x="4146126" y="3456822"/>
                                </a:lnTo>
                                <a:lnTo>
                                  <a:pt x="4191132" y="3444444"/>
                                </a:lnTo>
                                <a:lnTo>
                                  <a:pt x="4235383" y="3430310"/>
                                </a:lnTo>
                                <a:lnTo>
                                  <a:pt x="4278838" y="3414462"/>
                                </a:lnTo>
                                <a:lnTo>
                                  <a:pt x="4321459" y="3396940"/>
                                </a:lnTo>
                                <a:lnTo>
                                  <a:pt x="4363205" y="3377782"/>
                                </a:lnTo>
                                <a:lnTo>
                                  <a:pt x="4404035" y="3357030"/>
                                </a:lnTo>
                                <a:lnTo>
                                  <a:pt x="4443911" y="3334723"/>
                                </a:lnTo>
                                <a:lnTo>
                                  <a:pt x="4482791" y="3310901"/>
                                </a:lnTo>
                                <a:lnTo>
                                  <a:pt x="4520637" y="3285604"/>
                                </a:lnTo>
                                <a:lnTo>
                                  <a:pt x="4557408" y="3258873"/>
                                </a:lnTo>
                                <a:lnTo>
                                  <a:pt x="4593063" y="3230746"/>
                                </a:lnTo>
                                <a:lnTo>
                                  <a:pt x="4627564" y="3201265"/>
                                </a:lnTo>
                                <a:lnTo>
                                  <a:pt x="4660870" y="3170469"/>
                                </a:lnTo>
                                <a:lnTo>
                                  <a:pt x="4692941" y="3138398"/>
                                </a:lnTo>
                                <a:lnTo>
                                  <a:pt x="4723737" y="3105092"/>
                                </a:lnTo>
                                <a:lnTo>
                                  <a:pt x="4753218" y="3070591"/>
                                </a:lnTo>
                                <a:lnTo>
                                  <a:pt x="4781345" y="3034936"/>
                                </a:lnTo>
                                <a:lnTo>
                                  <a:pt x="4808076" y="2998165"/>
                                </a:lnTo>
                                <a:lnTo>
                                  <a:pt x="4833373" y="2960319"/>
                                </a:lnTo>
                                <a:lnTo>
                                  <a:pt x="4857195" y="2921439"/>
                                </a:lnTo>
                                <a:lnTo>
                                  <a:pt x="4879502" y="2881563"/>
                                </a:lnTo>
                                <a:lnTo>
                                  <a:pt x="4900254" y="2840733"/>
                                </a:lnTo>
                                <a:lnTo>
                                  <a:pt x="4919412" y="2798987"/>
                                </a:lnTo>
                                <a:lnTo>
                                  <a:pt x="4936934" y="2756366"/>
                                </a:lnTo>
                                <a:lnTo>
                                  <a:pt x="4952782" y="2712911"/>
                                </a:lnTo>
                                <a:lnTo>
                                  <a:pt x="4966916" y="2668660"/>
                                </a:lnTo>
                                <a:lnTo>
                                  <a:pt x="4979294" y="2623654"/>
                                </a:lnTo>
                                <a:lnTo>
                                  <a:pt x="4989878" y="2577933"/>
                                </a:lnTo>
                                <a:lnTo>
                                  <a:pt x="4998627" y="2531537"/>
                                </a:lnTo>
                                <a:lnTo>
                                  <a:pt x="5005502" y="2484506"/>
                                </a:lnTo>
                                <a:lnTo>
                                  <a:pt x="5010462" y="2436880"/>
                                </a:lnTo>
                                <a:lnTo>
                                  <a:pt x="5013467" y="2388698"/>
                                </a:lnTo>
                                <a:lnTo>
                                  <a:pt x="5014478" y="2340001"/>
                                </a:lnTo>
                                <a:lnTo>
                                  <a:pt x="5014478" y="0"/>
                                </a:lnTo>
                                <a:close/>
                              </a:path>
                            </a:pathLst>
                          </a:custGeom>
                          <a:solidFill>
                            <a:srgbClr val="FFFFFF">
                              <a:alpha val="89999"/>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462546" y="9616313"/>
                            <a:ext cx="1448219" cy="582930"/>
                          </a:xfrm>
                          <a:prstGeom prst="rect">
                            <a:avLst/>
                          </a:prstGeom>
                        </pic:spPr>
                      </pic:pic>
                      <pic:pic>
                        <pic:nvPicPr>
                          <pic:cNvPr id="12" name="Image 12"/>
                          <pic:cNvPicPr/>
                        </pic:nvPicPr>
                        <pic:blipFill>
                          <a:blip r:embed="rId9" cstate="print"/>
                          <a:stretch>
                            <a:fillRect/>
                          </a:stretch>
                        </pic:blipFill>
                        <pic:spPr>
                          <a:xfrm>
                            <a:off x="2855440" y="9742677"/>
                            <a:ext cx="1761486" cy="330426"/>
                          </a:xfrm>
                          <a:prstGeom prst="rect">
                            <a:avLst/>
                          </a:prstGeom>
                        </pic:spPr>
                      </pic:pic>
                      <wps:wsp>
                        <wps:cNvPr id="13" name="Graphic 13"/>
                        <wps:cNvSpPr/>
                        <wps:spPr>
                          <a:xfrm>
                            <a:off x="2274434" y="9660211"/>
                            <a:ext cx="422909" cy="495934"/>
                          </a:xfrm>
                          <a:custGeom>
                            <a:avLst/>
                            <a:gdLst/>
                            <a:ahLst/>
                            <a:cxnLst/>
                            <a:rect l="l" t="t" r="r" b="b"/>
                            <a:pathLst>
                              <a:path w="422909" h="495934">
                                <a:moveTo>
                                  <a:pt x="164680" y="207403"/>
                                </a:moveTo>
                                <a:lnTo>
                                  <a:pt x="63068" y="207403"/>
                                </a:lnTo>
                                <a:lnTo>
                                  <a:pt x="38544" y="212368"/>
                                </a:lnTo>
                                <a:lnTo>
                                  <a:pt x="18494" y="225899"/>
                                </a:lnTo>
                                <a:lnTo>
                                  <a:pt x="4964" y="245953"/>
                                </a:lnTo>
                                <a:lnTo>
                                  <a:pt x="0" y="270484"/>
                                </a:lnTo>
                                <a:lnTo>
                                  <a:pt x="0" y="432282"/>
                                </a:lnTo>
                                <a:lnTo>
                                  <a:pt x="4964" y="456812"/>
                                </a:lnTo>
                                <a:lnTo>
                                  <a:pt x="18494" y="476861"/>
                                </a:lnTo>
                                <a:lnTo>
                                  <a:pt x="38544" y="490388"/>
                                </a:lnTo>
                                <a:lnTo>
                                  <a:pt x="63068" y="495350"/>
                                </a:lnTo>
                                <a:lnTo>
                                  <a:pt x="164807" y="495350"/>
                                </a:lnTo>
                                <a:lnTo>
                                  <a:pt x="178274" y="493893"/>
                                </a:lnTo>
                                <a:lnTo>
                                  <a:pt x="190738" y="489734"/>
                                </a:lnTo>
                                <a:lnTo>
                                  <a:pt x="201901" y="483188"/>
                                </a:lnTo>
                                <a:lnTo>
                                  <a:pt x="211467" y="474573"/>
                                </a:lnTo>
                                <a:lnTo>
                                  <a:pt x="405862" y="474573"/>
                                </a:lnTo>
                                <a:lnTo>
                                  <a:pt x="413908" y="462648"/>
                                </a:lnTo>
                                <a:lnTo>
                                  <a:pt x="63068" y="462648"/>
                                </a:lnTo>
                                <a:lnTo>
                                  <a:pt x="51245" y="460262"/>
                                </a:lnTo>
                                <a:lnTo>
                                  <a:pt x="41594" y="453756"/>
                                </a:lnTo>
                                <a:lnTo>
                                  <a:pt x="35087" y="444104"/>
                                </a:lnTo>
                                <a:lnTo>
                                  <a:pt x="32702" y="432282"/>
                                </a:lnTo>
                                <a:lnTo>
                                  <a:pt x="32702" y="270484"/>
                                </a:lnTo>
                                <a:lnTo>
                                  <a:pt x="35087" y="258662"/>
                                </a:lnTo>
                                <a:lnTo>
                                  <a:pt x="41594" y="249010"/>
                                </a:lnTo>
                                <a:lnTo>
                                  <a:pt x="51245" y="242504"/>
                                </a:lnTo>
                                <a:lnTo>
                                  <a:pt x="63068" y="240118"/>
                                </a:lnTo>
                                <a:lnTo>
                                  <a:pt x="413910" y="240118"/>
                                </a:lnTo>
                                <a:lnTo>
                                  <a:pt x="405908" y="228257"/>
                                </a:lnTo>
                                <a:lnTo>
                                  <a:pt x="211404" y="228257"/>
                                </a:lnTo>
                                <a:lnTo>
                                  <a:pt x="201840" y="219614"/>
                                </a:lnTo>
                                <a:lnTo>
                                  <a:pt x="190666" y="213044"/>
                                </a:lnTo>
                                <a:lnTo>
                                  <a:pt x="178180" y="208867"/>
                                </a:lnTo>
                                <a:lnTo>
                                  <a:pt x="164680" y="207403"/>
                                </a:lnTo>
                                <a:close/>
                              </a:path>
                              <a:path w="422909" h="495934">
                                <a:moveTo>
                                  <a:pt x="405862" y="474573"/>
                                </a:moveTo>
                                <a:lnTo>
                                  <a:pt x="211467" y="474573"/>
                                </a:lnTo>
                                <a:lnTo>
                                  <a:pt x="221026" y="483188"/>
                                </a:lnTo>
                                <a:lnTo>
                                  <a:pt x="232187" y="489734"/>
                                </a:lnTo>
                                <a:lnTo>
                                  <a:pt x="244653" y="493893"/>
                                </a:lnTo>
                                <a:lnTo>
                                  <a:pt x="258127" y="495350"/>
                                </a:lnTo>
                                <a:lnTo>
                                  <a:pt x="359740" y="495350"/>
                                </a:lnTo>
                                <a:lnTo>
                                  <a:pt x="384269" y="490388"/>
                                </a:lnTo>
                                <a:lnTo>
                                  <a:pt x="404318" y="476861"/>
                                </a:lnTo>
                                <a:lnTo>
                                  <a:pt x="405862" y="474573"/>
                                </a:lnTo>
                                <a:close/>
                              </a:path>
                              <a:path w="422909" h="495934">
                                <a:moveTo>
                                  <a:pt x="226110" y="433451"/>
                                </a:moveTo>
                                <a:lnTo>
                                  <a:pt x="196811" y="433451"/>
                                </a:lnTo>
                                <a:lnTo>
                                  <a:pt x="195084" y="435013"/>
                                </a:lnTo>
                                <a:lnTo>
                                  <a:pt x="194754" y="437083"/>
                                </a:lnTo>
                                <a:lnTo>
                                  <a:pt x="191223" y="447180"/>
                                </a:lnTo>
                                <a:lnTo>
                                  <a:pt x="184577" y="455290"/>
                                </a:lnTo>
                                <a:lnTo>
                                  <a:pt x="175532" y="460687"/>
                                </a:lnTo>
                                <a:lnTo>
                                  <a:pt x="164807" y="462648"/>
                                </a:lnTo>
                                <a:lnTo>
                                  <a:pt x="258127" y="462648"/>
                                </a:lnTo>
                                <a:lnTo>
                                  <a:pt x="228168" y="437083"/>
                                </a:lnTo>
                                <a:lnTo>
                                  <a:pt x="227837" y="435013"/>
                                </a:lnTo>
                                <a:lnTo>
                                  <a:pt x="226110" y="433451"/>
                                </a:lnTo>
                                <a:close/>
                              </a:path>
                              <a:path w="422909" h="495934">
                                <a:moveTo>
                                  <a:pt x="413910" y="240118"/>
                                </a:moveTo>
                                <a:lnTo>
                                  <a:pt x="359740" y="240118"/>
                                </a:lnTo>
                                <a:lnTo>
                                  <a:pt x="371562" y="242504"/>
                                </a:lnTo>
                                <a:lnTo>
                                  <a:pt x="381214" y="249010"/>
                                </a:lnTo>
                                <a:lnTo>
                                  <a:pt x="387720" y="258662"/>
                                </a:lnTo>
                                <a:lnTo>
                                  <a:pt x="390105" y="270484"/>
                                </a:lnTo>
                                <a:lnTo>
                                  <a:pt x="390105" y="432282"/>
                                </a:lnTo>
                                <a:lnTo>
                                  <a:pt x="387720" y="444104"/>
                                </a:lnTo>
                                <a:lnTo>
                                  <a:pt x="381214" y="453756"/>
                                </a:lnTo>
                                <a:lnTo>
                                  <a:pt x="371562" y="460262"/>
                                </a:lnTo>
                                <a:lnTo>
                                  <a:pt x="359740" y="462648"/>
                                </a:lnTo>
                                <a:lnTo>
                                  <a:pt x="413908" y="462648"/>
                                </a:lnTo>
                                <a:lnTo>
                                  <a:pt x="417845" y="456812"/>
                                </a:lnTo>
                                <a:lnTo>
                                  <a:pt x="422808" y="432282"/>
                                </a:lnTo>
                                <a:lnTo>
                                  <a:pt x="422808" y="270484"/>
                                </a:lnTo>
                                <a:lnTo>
                                  <a:pt x="417845" y="245953"/>
                                </a:lnTo>
                                <a:lnTo>
                                  <a:pt x="413910" y="240118"/>
                                </a:lnTo>
                                <a:close/>
                              </a:path>
                              <a:path w="422909" h="495934">
                                <a:moveTo>
                                  <a:pt x="124625" y="261759"/>
                                </a:moveTo>
                                <a:lnTo>
                                  <a:pt x="99402" y="261759"/>
                                </a:lnTo>
                                <a:lnTo>
                                  <a:pt x="97523" y="263639"/>
                                </a:lnTo>
                                <a:lnTo>
                                  <a:pt x="97523" y="346938"/>
                                </a:lnTo>
                                <a:lnTo>
                                  <a:pt x="102478" y="371489"/>
                                </a:lnTo>
                                <a:lnTo>
                                  <a:pt x="115993" y="391536"/>
                                </a:lnTo>
                                <a:lnTo>
                                  <a:pt x="136040" y="405051"/>
                                </a:lnTo>
                                <a:lnTo>
                                  <a:pt x="160591" y="410006"/>
                                </a:lnTo>
                                <a:lnTo>
                                  <a:pt x="262216" y="410006"/>
                                </a:lnTo>
                                <a:lnTo>
                                  <a:pt x="286767" y="405051"/>
                                </a:lnTo>
                                <a:lnTo>
                                  <a:pt x="306814" y="391536"/>
                                </a:lnTo>
                                <a:lnTo>
                                  <a:pt x="316409" y="377304"/>
                                </a:lnTo>
                                <a:lnTo>
                                  <a:pt x="160591" y="377304"/>
                                </a:lnTo>
                                <a:lnTo>
                                  <a:pt x="148774" y="374918"/>
                                </a:lnTo>
                                <a:lnTo>
                                  <a:pt x="139122" y="368412"/>
                                </a:lnTo>
                                <a:lnTo>
                                  <a:pt x="132613" y="358760"/>
                                </a:lnTo>
                                <a:lnTo>
                                  <a:pt x="130225" y="346938"/>
                                </a:lnTo>
                                <a:lnTo>
                                  <a:pt x="130225" y="267360"/>
                                </a:lnTo>
                                <a:lnTo>
                                  <a:pt x="124625" y="261759"/>
                                </a:lnTo>
                                <a:close/>
                              </a:path>
                              <a:path w="422909" h="495934">
                                <a:moveTo>
                                  <a:pt x="258127" y="240118"/>
                                </a:moveTo>
                                <a:lnTo>
                                  <a:pt x="164680" y="240118"/>
                                </a:lnTo>
                                <a:lnTo>
                                  <a:pt x="176503" y="242504"/>
                                </a:lnTo>
                                <a:lnTo>
                                  <a:pt x="186155" y="249010"/>
                                </a:lnTo>
                                <a:lnTo>
                                  <a:pt x="192661" y="258662"/>
                                </a:lnTo>
                                <a:lnTo>
                                  <a:pt x="195046" y="270484"/>
                                </a:lnTo>
                                <a:lnTo>
                                  <a:pt x="195046" y="377304"/>
                                </a:lnTo>
                                <a:lnTo>
                                  <a:pt x="227761" y="377304"/>
                                </a:lnTo>
                                <a:lnTo>
                                  <a:pt x="227761" y="270484"/>
                                </a:lnTo>
                                <a:lnTo>
                                  <a:pt x="230147" y="258662"/>
                                </a:lnTo>
                                <a:lnTo>
                                  <a:pt x="236653" y="249010"/>
                                </a:lnTo>
                                <a:lnTo>
                                  <a:pt x="246305" y="242504"/>
                                </a:lnTo>
                                <a:lnTo>
                                  <a:pt x="258127" y="240118"/>
                                </a:lnTo>
                                <a:close/>
                              </a:path>
                              <a:path w="422909" h="495934">
                                <a:moveTo>
                                  <a:pt x="323405" y="261759"/>
                                </a:moveTo>
                                <a:lnTo>
                                  <a:pt x="298183" y="261759"/>
                                </a:lnTo>
                                <a:lnTo>
                                  <a:pt x="292582" y="267360"/>
                                </a:lnTo>
                                <a:lnTo>
                                  <a:pt x="292582" y="346938"/>
                                </a:lnTo>
                                <a:lnTo>
                                  <a:pt x="290195" y="358760"/>
                                </a:lnTo>
                                <a:lnTo>
                                  <a:pt x="283686" y="368412"/>
                                </a:lnTo>
                                <a:lnTo>
                                  <a:pt x="274033" y="374918"/>
                                </a:lnTo>
                                <a:lnTo>
                                  <a:pt x="262216" y="377304"/>
                                </a:lnTo>
                                <a:lnTo>
                                  <a:pt x="316409" y="377304"/>
                                </a:lnTo>
                                <a:lnTo>
                                  <a:pt x="320329" y="371489"/>
                                </a:lnTo>
                                <a:lnTo>
                                  <a:pt x="325285" y="346938"/>
                                </a:lnTo>
                                <a:lnTo>
                                  <a:pt x="325285" y="263639"/>
                                </a:lnTo>
                                <a:lnTo>
                                  <a:pt x="323405" y="261759"/>
                                </a:lnTo>
                                <a:close/>
                              </a:path>
                              <a:path w="422909" h="495934">
                                <a:moveTo>
                                  <a:pt x="359740" y="207403"/>
                                </a:moveTo>
                                <a:lnTo>
                                  <a:pt x="258127" y="207403"/>
                                </a:lnTo>
                                <a:lnTo>
                                  <a:pt x="244633" y="208867"/>
                                </a:lnTo>
                                <a:lnTo>
                                  <a:pt x="232146" y="213044"/>
                                </a:lnTo>
                                <a:lnTo>
                                  <a:pt x="220969" y="219614"/>
                                </a:lnTo>
                                <a:lnTo>
                                  <a:pt x="211404" y="228257"/>
                                </a:lnTo>
                                <a:lnTo>
                                  <a:pt x="405908" y="228257"/>
                                </a:lnTo>
                                <a:lnTo>
                                  <a:pt x="404318" y="225899"/>
                                </a:lnTo>
                                <a:lnTo>
                                  <a:pt x="384269" y="212368"/>
                                </a:lnTo>
                                <a:lnTo>
                                  <a:pt x="359740" y="207403"/>
                                </a:lnTo>
                                <a:close/>
                              </a:path>
                              <a:path w="422909" h="495934">
                                <a:moveTo>
                                  <a:pt x="262216" y="137134"/>
                                </a:moveTo>
                                <a:lnTo>
                                  <a:pt x="160591" y="137134"/>
                                </a:lnTo>
                                <a:lnTo>
                                  <a:pt x="136067" y="142097"/>
                                </a:lnTo>
                                <a:lnTo>
                                  <a:pt x="116017" y="155624"/>
                                </a:lnTo>
                                <a:lnTo>
                                  <a:pt x="102487" y="175673"/>
                                </a:lnTo>
                                <a:lnTo>
                                  <a:pt x="97523" y="200202"/>
                                </a:lnTo>
                                <a:lnTo>
                                  <a:pt x="97523" y="207403"/>
                                </a:lnTo>
                                <a:lnTo>
                                  <a:pt x="130225" y="207403"/>
                                </a:lnTo>
                                <a:lnTo>
                                  <a:pt x="130225" y="200202"/>
                                </a:lnTo>
                                <a:lnTo>
                                  <a:pt x="132616" y="188391"/>
                                </a:lnTo>
                                <a:lnTo>
                                  <a:pt x="139131" y="178738"/>
                                </a:lnTo>
                                <a:lnTo>
                                  <a:pt x="148785" y="172226"/>
                                </a:lnTo>
                                <a:lnTo>
                                  <a:pt x="160591" y="169837"/>
                                </a:lnTo>
                                <a:lnTo>
                                  <a:pt x="316382" y="169837"/>
                                </a:lnTo>
                                <a:lnTo>
                                  <a:pt x="306790" y="155624"/>
                                </a:lnTo>
                                <a:lnTo>
                                  <a:pt x="286740" y="142097"/>
                                </a:lnTo>
                                <a:lnTo>
                                  <a:pt x="262216" y="137134"/>
                                </a:lnTo>
                                <a:close/>
                              </a:path>
                              <a:path w="422909" h="495934">
                                <a:moveTo>
                                  <a:pt x="316382" y="169837"/>
                                </a:moveTo>
                                <a:lnTo>
                                  <a:pt x="262216" y="169837"/>
                                </a:lnTo>
                                <a:lnTo>
                                  <a:pt x="274023" y="172226"/>
                                </a:lnTo>
                                <a:lnTo>
                                  <a:pt x="283676" y="178738"/>
                                </a:lnTo>
                                <a:lnTo>
                                  <a:pt x="290191" y="188391"/>
                                </a:lnTo>
                                <a:lnTo>
                                  <a:pt x="292582" y="200202"/>
                                </a:lnTo>
                                <a:lnTo>
                                  <a:pt x="292582" y="207403"/>
                                </a:lnTo>
                                <a:lnTo>
                                  <a:pt x="325285" y="207403"/>
                                </a:lnTo>
                                <a:lnTo>
                                  <a:pt x="325285" y="200202"/>
                                </a:lnTo>
                                <a:lnTo>
                                  <a:pt x="320320" y="175673"/>
                                </a:lnTo>
                                <a:lnTo>
                                  <a:pt x="316382" y="169837"/>
                                </a:lnTo>
                                <a:close/>
                              </a:path>
                              <a:path w="422909" h="495934">
                                <a:moveTo>
                                  <a:pt x="67576" y="36855"/>
                                </a:moveTo>
                                <a:lnTo>
                                  <a:pt x="46180" y="41185"/>
                                </a:lnTo>
                                <a:lnTo>
                                  <a:pt x="28690" y="52985"/>
                                </a:lnTo>
                                <a:lnTo>
                                  <a:pt x="16890" y="70475"/>
                                </a:lnTo>
                                <a:lnTo>
                                  <a:pt x="12560" y="91871"/>
                                </a:lnTo>
                                <a:lnTo>
                                  <a:pt x="16890" y="113267"/>
                                </a:lnTo>
                                <a:lnTo>
                                  <a:pt x="28690" y="130757"/>
                                </a:lnTo>
                                <a:lnTo>
                                  <a:pt x="46180" y="142558"/>
                                </a:lnTo>
                                <a:lnTo>
                                  <a:pt x="67576" y="146888"/>
                                </a:lnTo>
                                <a:lnTo>
                                  <a:pt x="88972" y="142558"/>
                                </a:lnTo>
                                <a:lnTo>
                                  <a:pt x="106462" y="130757"/>
                                </a:lnTo>
                                <a:lnTo>
                                  <a:pt x="117644" y="114185"/>
                                </a:lnTo>
                                <a:lnTo>
                                  <a:pt x="67576" y="114185"/>
                                </a:lnTo>
                                <a:lnTo>
                                  <a:pt x="58898" y="112429"/>
                                </a:lnTo>
                                <a:lnTo>
                                  <a:pt x="51804" y="107643"/>
                                </a:lnTo>
                                <a:lnTo>
                                  <a:pt x="47018" y="100550"/>
                                </a:lnTo>
                                <a:lnTo>
                                  <a:pt x="45262" y="91871"/>
                                </a:lnTo>
                                <a:lnTo>
                                  <a:pt x="47018" y="83193"/>
                                </a:lnTo>
                                <a:lnTo>
                                  <a:pt x="51804" y="76099"/>
                                </a:lnTo>
                                <a:lnTo>
                                  <a:pt x="58898" y="71313"/>
                                </a:lnTo>
                                <a:lnTo>
                                  <a:pt x="67576" y="69557"/>
                                </a:lnTo>
                                <a:lnTo>
                                  <a:pt x="117644" y="69557"/>
                                </a:lnTo>
                                <a:lnTo>
                                  <a:pt x="106462" y="52985"/>
                                </a:lnTo>
                                <a:lnTo>
                                  <a:pt x="88972" y="41185"/>
                                </a:lnTo>
                                <a:lnTo>
                                  <a:pt x="67576" y="36855"/>
                                </a:lnTo>
                                <a:close/>
                              </a:path>
                              <a:path w="422909" h="495934">
                                <a:moveTo>
                                  <a:pt x="356069" y="36855"/>
                                </a:moveTo>
                                <a:lnTo>
                                  <a:pt x="334679" y="41185"/>
                                </a:lnTo>
                                <a:lnTo>
                                  <a:pt x="317188" y="52985"/>
                                </a:lnTo>
                                <a:lnTo>
                                  <a:pt x="305384" y="70475"/>
                                </a:lnTo>
                                <a:lnTo>
                                  <a:pt x="301053" y="91871"/>
                                </a:lnTo>
                                <a:lnTo>
                                  <a:pt x="305384" y="113267"/>
                                </a:lnTo>
                                <a:lnTo>
                                  <a:pt x="317188" y="130757"/>
                                </a:lnTo>
                                <a:lnTo>
                                  <a:pt x="334679" y="142558"/>
                                </a:lnTo>
                                <a:lnTo>
                                  <a:pt x="356069" y="146888"/>
                                </a:lnTo>
                                <a:lnTo>
                                  <a:pt x="377466" y="142558"/>
                                </a:lnTo>
                                <a:lnTo>
                                  <a:pt x="394955" y="130757"/>
                                </a:lnTo>
                                <a:lnTo>
                                  <a:pt x="406137" y="114185"/>
                                </a:lnTo>
                                <a:lnTo>
                                  <a:pt x="356069" y="114185"/>
                                </a:lnTo>
                                <a:lnTo>
                                  <a:pt x="347391" y="112429"/>
                                </a:lnTo>
                                <a:lnTo>
                                  <a:pt x="340298" y="107643"/>
                                </a:lnTo>
                                <a:lnTo>
                                  <a:pt x="335511" y="100550"/>
                                </a:lnTo>
                                <a:lnTo>
                                  <a:pt x="333755" y="91871"/>
                                </a:lnTo>
                                <a:lnTo>
                                  <a:pt x="335511" y="83193"/>
                                </a:lnTo>
                                <a:lnTo>
                                  <a:pt x="340298" y="76099"/>
                                </a:lnTo>
                                <a:lnTo>
                                  <a:pt x="347391" y="71313"/>
                                </a:lnTo>
                                <a:lnTo>
                                  <a:pt x="356069" y="69557"/>
                                </a:lnTo>
                                <a:lnTo>
                                  <a:pt x="406137" y="69557"/>
                                </a:lnTo>
                                <a:lnTo>
                                  <a:pt x="394955" y="52985"/>
                                </a:lnTo>
                                <a:lnTo>
                                  <a:pt x="377466" y="41185"/>
                                </a:lnTo>
                                <a:lnTo>
                                  <a:pt x="356069" y="36855"/>
                                </a:lnTo>
                                <a:close/>
                              </a:path>
                              <a:path w="422909" h="495934">
                                <a:moveTo>
                                  <a:pt x="117644" y="69557"/>
                                </a:moveTo>
                                <a:lnTo>
                                  <a:pt x="67576" y="69557"/>
                                </a:lnTo>
                                <a:lnTo>
                                  <a:pt x="76254" y="71313"/>
                                </a:lnTo>
                                <a:lnTo>
                                  <a:pt x="83348" y="76099"/>
                                </a:lnTo>
                                <a:lnTo>
                                  <a:pt x="88134" y="83193"/>
                                </a:lnTo>
                                <a:lnTo>
                                  <a:pt x="89890" y="91871"/>
                                </a:lnTo>
                                <a:lnTo>
                                  <a:pt x="88134" y="100550"/>
                                </a:lnTo>
                                <a:lnTo>
                                  <a:pt x="83348" y="107643"/>
                                </a:lnTo>
                                <a:lnTo>
                                  <a:pt x="76254" y="112429"/>
                                </a:lnTo>
                                <a:lnTo>
                                  <a:pt x="67576" y="114185"/>
                                </a:lnTo>
                                <a:lnTo>
                                  <a:pt x="117644" y="114185"/>
                                </a:lnTo>
                                <a:lnTo>
                                  <a:pt x="118263" y="113267"/>
                                </a:lnTo>
                                <a:lnTo>
                                  <a:pt x="122593" y="91871"/>
                                </a:lnTo>
                                <a:lnTo>
                                  <a:pt x="118433" y="71313"/>
                                </a:lnTo>
                                <a:lnTo>
                                  <a:pt x="118326" y="70788"/>
                                </a:lnTo>
                                <a:lnTo>
                                  <a:pt x="118263" y="70475"/>
                                </a:lnTo>
                                <a:lnTo>
                                  <a:pt x="117644" y="69557"/>
                                </a:lnTo>
                                <a:close/>
                              </a:path>
                              <a:path w="422909" h="495934">
                                <a:moveTo>
                                  <a:pt x="406137" y="69557"/>
                                </a:moveTo>
                                <a:lnTo>
                                  <a:pt x="356069" y="69557"/>
                                </a:lnTo>
                                <a:lnTo>
                                  <a:pt x="364748" y="71313"/>
                                </a:lnTo>
                                <a:lnTo>
                                  <a:pt x="371841" y="76099"/>
                                </a:lnTo>
                                <a:lnTo>
                                  <a:pt x="376627" y="83193"/>
                                </a:lnTo>
                                <a:lnTo>
                                  <a:pt x="378383" y="91871"/>
                                </a:lnTo>
                                <a:lnTo>
                                  <a:pt x="376627" y="100550"/>
                                </a:lnTo>
                                <a:lnTo>
                                  <a:pt x="371841" y="107643"/>
                                </a:lnTo>
                                <a:lnTo>
                                  <a:pt x="364748" y="112429"/>
                                </a:lnTo>
                                <a:lnTo>
                                  <a:pt x="356069" y="114185"/>
                                </a:lnTo>
                                <a:lnTo>
                                  <a:pt x="406137" y="114185"/>
                                </a:lnTo>
                                <a:lnTo>
                                  <a:pt x="406756" y="113267"/>
                                </a:lnTo>
                                <a:lnTo>
                                  <a:pt x="411086" y="91871"/>
                                </a:lnTo>
                                <a:lnTo>
                                  <a:pt x="406926" y="71313"/>
                                </a:lnTo>
                                <a:lnTo>
                                  <a:pt x="406819" y="70788"/>
                                </a:lnTo>
                                <a:lnTo>
                                  <a:pt x="406756" y="70475"/>
                                </a:lnTo>
                                <a:lnTo>
                                  <a:pt x="406137" y="69557"/>
                                </a:lnTo>
                                <a:close/>
                              </a:path>
                              <a:path w="422909" h="495934">
                                <a:moveTo>
                                  <a:pt x="211823" y="0"/>
                                </a:moveTo>
                                <a:lnTo>
                                  <a:pt x="190427" y="4329"/>
                                </a:lnTo>
                                <a:lnTo>
                                  <a:pt x="172937" y="16130"/>
                                </a:lnTo>
                                <a:lnTo>
                                  <a:pt x="161136" y="33620"/>
                                </a:lnTo>
                                <a:lnTo>
                                  <a:pt x="156806" y="55016"/>
                                </a:lnTo>
                                <a:lnTo>
                                  <a:pt x="160966" y="75574"/>
                                </a:lnTo>
                                <a:lnTo>
                                  <a:pt x="161073" y="76099"/>
                                </a:lnTo>
                                <a:lnTo>
                                  <a:pt x="161136" y="76412"/>
                                </a:lnTo>
                                <a:lnTo>
                                  <a:pt x="172937" y="93902"/>
                                </a:lnTo>
                                <a:lnTo>
                                  <a:pt x="190427" y="105703"/>
                                </a:lnTo>
                                <a:lnTo>
                                  <a:pt x="211823" y="110032"/>
                                </a:lnTo>
                                <a:lnTo>
                                  <a:pt x="233219" y="105703"/>
                                </a:lnTo>
                                <a:lnTo>
                                  <a:pt x="250709" y="93902"/>
                                </a:lnTo>
                                <a:lnTo>
                                  <a:pt x="261890" y="77330"/>
                                </a:lnTo>
                                <a:lnTo>
                                  <a:pt x="211823" y="77330"/>
                                </a:lnTo>
                                <a:lnTo>
                                  <a:pt x="203145" y="75574"/>
                                </a:lnTo>
                                <a:lnTo>
                                  <a:pt x="196051" y="70788"/>
                                </a:lnTo>
                                <a:lnTo>
                                  <a:pt x="191265" y="63694"/>
                                </a:lnTo>
                                <a:lnTo>
                                  <a:pt x="189509" y="55016"/>
                                </a:lnTo>
                                <a:lnTo>
                                  <a:pt x="191265" y="46338"/>
                                </a:lnTo>
                                <a:lnTo>
                                  <a:pt x="196051" y="39244"/>
                                </a:lnTo>
                                <a:lnTo>
                                  <a:pt x="203145" y="34458"/>
                                </a:lnTo>
                                <a:lnTo>
                                  <a:pt x="211823" y="32702"/>
                                </a:lnTo>
                                <a:lnTo>
                                  <a:pt x="261890" y="32702"/>
                                </a:lnTo>
                                <a:lnTo>
                                  <a:pt x="250709" y="16130"/>
                                </a:lnTo>
                                <a:lnTo>
                                  <a:pt x="233219" y="4329"/>
                                </a:lnTo>
                                <a:lnTo>
                                  <a:pt x="211823" y="0"/>
                                </a:lnTo>
                                <a:close/>
                              </a:path>
                              <a:path w="422909" h="495934">
                                <a:moveTo>
                                  <a:pt x="261890" y="32702"/>
                                </a:moveTo>
                                <a:lnTo>
                                  <a:pt x="211823" y="32702"/>
                                </a:lnTo>
                                <a:lnTo>
                                  <a:pt x="220501" y="34458"/>
                                </a:lnTo>
                                <a:lnTo>
                                  <a:pt x="227595" y="39244"/>
                                </a:lnTo>
                                <a:lnTo>
                                  <a:pt x="232381" y="46338"/>
                                </a:lnTo>
                                <a:lnTo>
                                  <a:pt x="234137" y="55016"/>
                                </a:lnTo>
                                <a:lnTo>
                                  <a:pt x="232381" y="63694"/>
                                </a:lnTo>
                                <a:lnTo>
                                  <a:pt x="227595" y="70788"/>
                                </a:lnTo>
                                <a:lnTo>
                                  <a:pt x="220501" y="75574"/>
                                </a:lnTo>
                                <a:lnTo>
                                  <a:pt x="211823" y="77330"/>
                                </a:lnTo>
                                <a:lnTo>
                                  <a:pt x="261890" y="77330"/>
                                </a:lnTo>
                                <a:lnTo>
                                  <a:pt x="262509" y="76412"/>
                                </a:lnTo>
                                <a:lnTo>
                                  <a:pt x="266839" y="55016"/>
                                </a:lnTo>
                                <a:lnTo>
                                  <a:pt x="262509" y="33620"/>
                                </a:lnTo>
                                <a:lnTo>
                                  <a:pt x="261890" y="32702"/>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10" cstate="print"/>
                          <a:stretch>
                            <a:fillRect/>
                          </a:stretch>
                        </pic:blipFill>
                        <pic:spPr>
                          <a:xfrm>
                            <a:off x="5579824" y="9676324"/>
                            <a:ext cx="733143" cy="75576"/>
                          </a:xfrm>
                          <a:prstGeom prst="rect">
                            <a:avLst/>
                          </a:prstGeom>
                        </pic:spPr>
                      </pic:pic>
                      <pic:pic>
                        <pic:nvPicPr>
                          <pic:cNvPr id="15" name="Image 15"/>
                          <pic:cNvPicPr/>
                        </pic:nvPicPr>
                        <pic:blipFill>
                          <a:blip r:embed="rId11" cstate="print"/>
                          <a:stretch>
                            <a:fillRect/>
                          </a:stretch>
                        </pic:blipFill>
                        <pic:spPr>
                          <a:xfrm>
                            <a:off x="6379321" y="9676464"/>
                            <a:ext cx="723466" cy="75384"/>
                          </a:xfrm>
                          <a:prstGeom prst="rect">
                            <a:avLst/>
                          </a:prstGeom>
                        </pic:spPr>
                      </pic:pic>
                      <pic:pic>
                        <pic:nvPicPr>
                          <pic:cNvPr id="16" name="Image 16"/>
                          <pic:cNvPicPr/>
                        </pic:nvPicPr>
                        <pic:blipFill>
                          <a:blip r:embed="rId12" cstate="print"/>
                          <a:stretch>
                            <a:fillRect/>
                          </a:stretch>
                        </pic:blipFill>
                        <pic:spPr>
                          <a:xfrm>
                            <a:off x="5580005" y="10010447"/>
                            <a:ext cx="1523104" cy="129496"/>
                          </a:xfrm>
                          <a:prstGeom prst="rect">
                            <a:avLst/>
                          </a:prstGeom>
                        </pic:spPr>
                      </pic:pic>
                      <pic:pic>
                        <pic:nvPicPr>
                          <pic:cNvPr id="17" name="Image 17"/>
                          <pic:cNvPicPr/>
                        </pic:nvPicPr>
                        <pic:blipFill>
                          <a:blip r:embed="rId13" cstate="print"/>
                          <a:stretch>
                            <a:fillRect/>
                          </a:stretch>
                        </pic:blipFill>
                        <pic:spPr>
                          <a:xfrm>
                            <a:off x="6376485" y="9824346"/>
                            <a:ext cx="107492" cy="112128"/>
                          </a:xfrm>
                          <a:prstGeom prst="rect">
                            <a:avLst/>
                          </a:prstGeom>
                        </pic:spPr>
                      </pic:pic>
                      <wps:wsp>
                        <wps:cNvPr id="18" name="Graphic 18"/>
                        <wps:cNvSpPr/>
                        <wps:spPr>
                          <a:xfrm>
                            <a:off x="6509589" y="9824125"/>
                            <a:ext cx="44450" cy="111125"/>
                          </a:xfrm>
                          <a:custGeom>
                            <a:avLst/>
                            <a:gdLst/>
                            <a:ahLst/>
                            <a:cxnLst/>
                            <a:rect l="l" t="t" r="r" b="b"/>
                            <a:pathLst>
                              <a:path w="44450" h="111125">
                                <a:moveTo>
                                  <a:pt x="42989" y="0"/>
                                </a:moveTo>
                                <a:lnTo>
                                  <a:pt x="29006" y="508"/>
                                </a:lnTo>
                                <a:lnTo>
                                  <a:pt x="15328" y="508"/>
                                </a:lnTo>
                                <a:lnTo>
                                  <a:pt x="1346" y="0"/>
                                </a:lnTo>
                                <a:lnTo>
                                  <a:pt x="330" y="508"/>
                                </a:lnTo>
                                <a:lnTo>
                                  <a:pt x="0" y="3505"/>
                                </a:lnTo>
                                <a:lnTo>
                                  <a:pt x="1003" y="4178"/>
                                </a:lnTo>
                                <a:lnTo>
                                  <a:pt x="15024" y="5334"/>
                                </a:lnTo>
                                <a:lnTo>
                                  <a:pt x="15328" y="8166"/>
                                </a:lnTo>
                                <a:lnTo>
                                  <a:pt x="15328" y="25831"/>
                                </a:lnTo>
                                <a:lnTo>
                                  <a:pt x="15328" y="102819"/>
                                </a:lnTo>
                                <a:lnTo>
                                  <a:pt x="15024" y="105194"/>
                                </a:lnTo>
                                <a:lnTo>
                                  <a:pt x="1003" y="106832"/>
                                </a:lnTo>
                                <a:lnTo>
                                  <a:pt x="0" y="107835"/>
                                </a:lnTo>
                                <a:lnTo>
                                  <a:pt x="330" y="110464"/>
                                </a:lnTo>
                                <a:lnTo>
                                  <a:pt x="1346" y="111023"/>
                                </a:lnTo>
                                <a:lnTo>
                                  <a:pt x="15328" y="110464"/>
                                </a:lnTo>
                                <a:lnTo>
                                  <a:pt x="29006" y="110464"/>
                                </a:lnTo>
                                <a:lnTo>
                                  <a:pt x="42989" y="111023"/>
                                </a:lnTo>
                                <a:lnTo>
                                  <a:pt x="43980" y="110464"/>
                                </a:lnTo>
                                <a:lnTo>
                                  <a:pt x="44348" y="107492"/>
                                </a:lnTo>
                                <a:lnTo>
                                  <a:pt x="43345" y="106832"/>
                                </a:lnTo>
                                <a:lnTo>
                                  <a:pt x="29324" y="105194"/>
                                </a:lnTo>
                                <a:lnTo>
                                  <a:pt x="29006" y="102819"/>
                                </a:lnTo>
                                <a:lnTo>
                                  <a:pt x="29006" y="8166"/>
                                </a:lnTo>
                                <a:lnTo>
                                  <a:pt x="29324" y="5334"/>
                                </a:lnTo>
                                <a:lnTo>
                                  <a:pt x="43345" y="4178"/>
                                </a:lnTo>
                                <a:lnTo>
                                  <a:pt x="44348" y="3505"/>
                                </a:lnTo>
                                <a:lnTo>
                                  <a:pt x="43980" y="508"/>
                                </a:lnTo>
                                <a:lnTo>
                                  <a:pt x="42989" y="0"/>
                                </a:lnTo>
                                <a:close/>
                              </a:path>
                            </a:pathLst>
                          </a:custGeom>
                          <a:solidFill>
                            <a:srgbClr val="FFFFFF"/>
                          </a:solidFill>
                        </wps:spPr>
                        <wps:bodyPr wrap="square" lIns="0" tIns="0" rIns="0" bIns="0" rtlCol="0">
                          <a:prstTxWarp prst="textNoShape">
                            <a:avLst/>
                          </a:prstTxWarp>
                          <a:noAutofit/>
                        </wps:bodyPr>
                      </wps:wsp>
                      <pic:pic>
                        <pic:nvPicPr>
                          <pic:cNvPr id="19" name="Image 19"/>
                          <pic:cNvPicPr/>
                        </pic:nvPicPr>
                        <pic:blipFill>
                          <a:blip r:embed="rId14" cstate="print"/>
                          <a:stretch>
                            <a:fillRect/>
                          </a:stretch>
                        </pic:blipFill>
                        <pic:spPr>
                          <a:xfrm>
                            <a:off x="6593395" y="9821987"/>
                            <a:ext cx="111315" cy="115303"/>
                          </a:xfrm>
                          <a:prstGeom prst="rect">
                            <a:avLst/>
                          </a:prstGeom>
                        </pic:spPr>
                      </pic:pic>
                      <pic:pic>
                        <pic:nvPicPr>
                          <pic:cNvPr id="20" name="Image 20"/>
                          <pic:cNvPicPr/>
                        </pic:nvPicPr>
                        <pic:blipFill>
                          <a:blip r:embed="rId15" cstate="print"/>
                          <a:stretch>
                            <a:fillRect/>
                          </a:stretch>
                        </pic:blipFill>
                        <pic:spPr>
                          <a:xfrm>
                            <a:off x="6742227" y="9824108"/>
                            <a:ext cx="121754" cy="111023"/>
                          </a:xfrm>
                          <a:prstGeom prst="rect">
                            <a:avLst/>
                          </a:prstGeom>
                        </pic:spPr>
                      </pic:pic>
                      <pic:pic>
                        <pic:nvPicPr>
                          <pic:cNvPr id="21" name="Image 21"/>
                          <pic:cNvPicPr/>
                        </pic:nvPicPr>
                        <pic:blipFill>
                          <a:blip r:embed="rId16" cstate="print"/>
                          <a:stretch>
                            <a:fillRect/>
                          </a:stretch>
                        </pic:blipFill>
                        <pic:spPr>
                          <a:xfrm>
                            <a:off x="6897327" y="9818971"/>
                            <a:ext cx="107149" cy="116141"/>
                          </a:xfrm>
                          <a:prstGeom prst="rect">
                            <a:avLst/>
                          </a:prstGeom>
                        </pic:spPr>
                      </pic:pic>
                      <pic:pic>
                        <pic:nvPicPr>
                          <pic:cNvPr id="22" name="Image 22"/>
                          <pic:cNvPicPr/>
                        </pic:nvPicPr>
                        <pic:blipFill>
                          <a:blip r:embed="rId17" cstate="print"/>
                          <a:stretch>
                            <a:fillRect/>
                          </a:stretch>
                        </pic:blipFill>
                        <pic:spPr>
                          <a:xfrm>
                            <a:off x="7036782" y="9821982"/>
                            <a:ext cx="66014" cy="115303"/>
                          </a:xfrm>
                          <a:prstGeom prst="rect">
                            <a:avLst/>
                          </a:prstGeom>
                        </pic:spPr>
                      </pic:pic>
                      <pic:pic>
                        <pic:nvPicPr>
                          <pic:cNvPr id="23" name="Image 23"/>
                          <pic:cNvPicPr/>
                        </pic:nvPicPr>
                        <pic:blipFill>
                          <a:blip r:embed="rId18" cstate="print"/>
                          <a:stretch>
                            <a:fillRect/>
                          </a:stretch>
                        </pic:blipFill>
                        <pic:spPr>
                          <a:xfrm>
                            <a:off x="5579602" y="9823868"/>
                            <a:ext cx="122097" cy="111264"/>
                          </a:xfrm>
                          <a:prstGeom prst="rect">
                            <a:avLst/>
                          </a:prstGeom>
                        </pic:spPr>
                      </pic:pic>
                      <pic:pic>
                        <pic:nvPicPr>
                          <pic:cNvPr id="24" name="Image 24"/>
                          <pic:cNvPicPr/>
                        </pic:nvPicPr>
                        <pic:blipFill>
                          <a:blip r:embed="rId19" cstate="print"/>
                          <a:stretch>
                            <a:fillRect/>
                          </a:stretch>
                        </pic:blipFill>
                        <pic:spPr>
                          <a:xfrm>
                            <a:off x="5735852" y="9823884"/>
                            <a:ext cx="118757" cy="113385"/>
                          </a:xfrm>
                          <a:prstGeom prst="rect">
                            <a:avLst/>
                          </a:prstGeom>
                        </pic:spPr>
                      </pic:pic>
                      <pic:pic>
                        <pic:nvPicPr>
                          <pic:cNvPr id="25" name="Image 25"/>
                          <pic:cNvPicPr/>
                        </pic:nvPicPr>
                        <pic:blipFill>
                          <a:blip r:embed="rId20" cstate="print"/>
                          <a:stretch>
                            <a:fillRect/>
                          </a:stretch>
                        </pic:blipFill>
                        <pic:spPr>
                          <a:xfrm>
                            <a:off x="5882227" y="9823861"/>
                            <a:ext cx="143167" cy="112433"/>
                          </a:xfrm>
                          <a:prstGeom prst="rect">
                            <a:avLst/>
                          </a:prstGeom>
                        </pic:spPr>
                      </pic:pic>
                      <pic:pic>
                        <pic:nvPicPr>
                          <pic:cNvPr id="26" name="Image 26"/>
                          <pic:cNvPicPr/>
                        </pic:nvPicPr>
                        <pic:blipFill>
                          <a:blip r:embed="rId21" cstate="print"/>
                          <a:stretch>
                            <a:fillRect/>
                          </a:stretch>
                        </pic:blipFill>
                        <pic:spPr>
                          <a:xfrm>
                            <a:off x="6049162" y="9821702"/>
                            <a:ext cx="112420" cy="113423"/>
                          </a:xfrm>
                          <a:prstGeom prst="rect">
                            <a:avLst/>
                          </a:prstGeom>
                        </pic:spPr>
                      </pic:pic>
                      <pic:pic>
                        <pic:nvPicPr>
                          <pic:cNvPr id="27" name="Image 27"/>
                          <pic:cNvPicPr/>
                        </pic:nvPicPr>
                        <pic:blipFill>
                          <a:blip r:embed="rId22" cstate="print"/>
                          <a:stretch>
                            <a:fillRect/>
                          </a:stretch>
                        </pic:blipFill>
                        <pic:spPr>
                          <a:xfrm>
                            <a:off x="6184012" y="9823845"/>
                            <a:ext cx="123253" cy="113449"/>
                          </a:xfrm>
                          <a:prstGeom prst="rect">
                            <a:avLst/>
                          </a:prstGeom>
                        </pic:spPr>
                      </pic:pic>
                      <wps:wsp>
                        <wps:cNvPr id="28" name="Graphic 28"/>
                        <wps:cNvSpPr/>
                        <wps:spPr>
                          <a:xfrm>
                            <a:off x="5014467" y="9676460"/>
                            <a:ext cx="463550" cy="463550"/>
                          </a:xfrm>
                          <a:custGeom>
                            <a:avLst/>
                            <a:gdLst/>
                            <a:ahLst/>
                            <a:cxnLst/>
                            <a:rect l="l" t="t" r="r" b="b"/>
                            <a:pathLst>
                              <a:path w="463550" h="463550">
                                <a:moveTo>
                                  <a:pt x="463499" y="0"/>
                                </a:moveTo>
                                <a:lnTo>
                                  <a:pt x="0" y="0"/>
                                </a:lnTo>
                                <a:lnTo>
                                  <a:pt x="0" y="463486"/>
                                </a:lnTo>
                                <a:lnTo>
                                  <a:pt x="463499" y="463486"/>
                                </a:lnTo>
                                <a:lnTo>
                                  <a:pt x="463499" y="344830"/>
                                </a:lnTo>
                                <a:lnTo>
                                  <a:pt x="230416" y="344830"/>
                                </a:lnTo>
                                <a:lnTo>
                                  <a:pt x="229336" y="344017"/>
                                </a:lnTo>
                                <a:lnTo>
                                  <a:pt x="209552" y="330798"/>
                                </a:lnTo>
                                <a:lnTo>
                                  <a:pt x="188469" y="321219"/>
                                </a:lnTo>
                                <a:lnTo>
                                  <a:pt x="185905" y="320535"/>
                                </a:lnTo>
                                <a:lnTo>
                                  <a:pt x="104343" y="320535"/>
                                </a:lnTo>
                                <a:lnTo>
                                  <a:pt x="101777" y="318681"/>
                                </a:lnTo>
                                <a:lnTo>
                                  <a:pt x="101777" y="126745"/>
                                </a:lnTo>
                                <a:lnTo>
                                  <a:pt x="101993" y="126237"/>
                                </a:lnTo>
                                <a:lnTo>
                                  <a:pt x="144132" y="118630"/>
                                </a:lnTo>
                                <a:lnTo>
                                  <a:pt x="463499" y="118630"/>
                                </a:lnTo>
                                <a:lnTo>
                                  <a:pt x="463499" y="0"/>
                                </a:lnTo>
                                <a:close/>
                              </a:path>
                              <a:path w="463550" h="463550">
                                <a:moveTo>
                                  <a:pt x="318985" y="313423"/>
                                </a:moveTo>
                                <a:lnTo>
                                  <a:pt x="275070" y="321219"/>
                                </a:lnTo>
                                <a:lnTo>
                                  <a:pt x="234213" y="344017"/>
                                </a:lnTo>
                                <a:lnTo>
                                  <a:pt x="233121" y="344830"/>
                                </a:lnTo>
                                <a:lnTo>
                                  <a:pt x="463499" y="344830"/>
                                </a:lnTo>
                                <a:lnTo>
                                  <a:pt x="463499" y="320535"/>
                                </a:lnTo>
                                <a:lnTo>
                                  <a:pt x="359206" y="320535"/>
                                </a:lnTo>
                                <a:lnTo>
                                  <a:pt x="356133" y="319455"/>
                                </a:lnTo>
                                <a:lnTo>
                                  <a:pt x="347210" y="316820"/>
                                </a:lnTo>
                                <a:lnTo>
                                  <a:pt x="338016" y="314934"/>
                                </a:lnTo>
                                <a:lnTo>
                                  <a:pt x="328594" y="313801"/>
                                </a:lnTo>
                                <a:lnTo>
                                  <a:pt x="318985" y="313423"/>
                                </a:lnTo>
                                <a:close/>
                              </a:path>
                              <a:path w="463550" h="463550">
                                <a:moveTo>
                                  <a:pt x="144564" y="313423"/>
                                </a:moveTo>
                                <a:lnTo>
                                  <a:pt x="106807" y="319658"/>
                                </a:lnTo>
                                <a:lnTo>
                                  <a:pt x="104343" y="320535"/>
                                </a:lnTo>
                                <a:lnTo>
                                  <a:pt x="185905" y="320535"/>
                                </a:lnTo>
                                <a:lnTo>
                                  <a:pt x="166626" y="315390"/>
                                </a:lnTo>
                                <a:lnTo>
                                  <a:pt x="144564" y="313423"/>
                                </a:lnTo>
                                <a:close/>
                              </a:path>
                              <a:path w="463550" h="463550">
                                <a:moveTo>
                                  <a:pt x="463499" y="118630"/>
                                </a:moveTo>
                                <a:lnTo>
                                  <a:pt x="319405" y="118630"/>
                                </a:lnTo>
                                <a:lnTo>
                                  <a:pt x="329775" y="119083"/>
                                </a:lnTo>
                                <a:lnTo>
                                  <a:pt x="340029" y="120415"/>
                                </a:lnTo>
                                <a:lnTo>
                                  <a:pt x="350055" y="122584"/>
                                </a:lnTo>
                                <a:lnTo>
                                  <a:pt x="359740" y="125552"/>
                                </a:lnTo>
                                <a:lnTo>
                                  <a:pt x="361569" y="126237"/>
                                </a:lnTo>
                                <a:lnTo>
                                  <a:pt x="361784" y="126745"/>
                                </a:lnTo>
                                <a:lnTo>
                                  <a:pt x="361784" y="318681"/>
                                </a:lnTo>
                                <a:lnTo>
                                  <a:pt x="359206" y="320535"/>
                                </a:lnTo>
                                <a:lnTo>
                                  <a:pt x="463499" y="320535"/>
                                </a:lnTo>
                                <a:lnTo>
                                  <a:pt x="463499" y="118630"/>
                                </a:lnTo>
                                <a:close/>
                              </a:path>
                              <a:path w="463550" h="463550">
                                <a:moveTo>
                                  <a:pt x="319405" y="118630"/>
                                </a:moveTo>
                                <a:lnTo>
                                  <a:pt x="144132" y="118630"/>
                                </a:lnTo>
                                <a:lnTo>
                                  <a:pt x="167065" y="120926"/>
                                </a:lnTo>
                                <a:lnTo>
                                  <a:pt x="189645" y="127444"/>
                                </a:lnTo>
                                <a:lnTo>
                                  <a:pt x="211383" y="137629"/>
                                </a:lnTo>
                                <a:lnTo>
                                  <a:pt x="231787" y="150926"/>
                                </a:lnTo>
                                <a:lnTo>
                                  <a:pt x="252178" y="137629"/>
                                </a:lnTo>
                                <a:lnTo>
                                  <a:pt x="273910" y="127444"/>
                                </a:lnTo>
                                <a:lnTo>
                                  <a:pt x="296485" y="120926"/>
                                </a:lnTo>
                                <a:lnTo>
                                  <a:pt x="319405" y="1186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2pt;width:595.3pt;height:841.9pt;mso-position-horizontal-relative:page;mso-position-vertical-relative:page;z-index:-19411456" id="docshapegroup2" coordorigin="0,0" coordsize="11906,16838">
                <v:shape style="position:absolute;left:4748;top:350;width:7157;height:16488" type="#_x0000_t75" id="docshape3" stroked="false">
                  <v:imagedata r:id="rId5" o:title=""/>
                </v:shape>
                <v:shape style="position:absolute;left:0;top:4654;width:10019;height:11940" type="#_x0000_t75" id="docshape4" stroked="false">
                  <v:imagedata r:id="rId6" o:title=""/>
                </v:shape>
                <v:shape style="position:absolute;left:1321;top:7354;width:5209;height:7080" type="#_x0000_t75" id="docshape5" stroked="false">
                  <v:imagedata r:id="rId7" o:title=""/>
                </v:shape>
                <v:rect style="position:absolute;left:0;top:11338;width:11906;height:5500" id="docshape6" filled="true" fillcolor="#164194" stroked="false">
                  <v:fill type="solid"/>
                </v:rect>
                <v:rect style="position:absolute;left:0;top:0;width:11906;height:6435" id="docshape7" filled="true" fillcolor="#36a9e1" stroked="false">
                  <v:fill type="solid"/>
                </v:rect>
                <v:shape style="position:absolute;left:8580;top:14050;width:3326;height:567" id="docshape8" coordorigin="8580,14050" coordsize="3326,567" path="m11906,14050l8864,14050,8789,14061,8721,14089,8663,14133,8619,14191,8591,14259,8580,14334,8591,14409,8619,14477,8663,14534,8721,14579,8789,14607,8864,14617,11906,14617,11906,14050xe" filled="true" fillcolor="#009fe3" stroked="false">
                  <v:path arrowok="t"/>
                  <v:fill opacity="52428f" type="solid"/>
                </v:shape>
                <v:rect style="position:absolute;left:0;top:0;width:8356;height:5761" id="docshape9" filled="true" fillcolor="#164194" stroked="false">
                  <v:fill opacity="11796f" type="solid"/>
                </v:rect>
                <v:shape style="position:absolute;left:0;top:0;width:7897;height:5500" id="docshape10" coordorigin="0,0" coordsize="7897,5500" path="m7897,0l0,0,0,5499,6083,5499,6159,5498,6235,5493,6310,5485,6384,5474,6457,5460,6529,5444,6600,5424,6670,5402,6738,5377,6805,5350,6871,5319,6935,5287,6998,5252,7060,5214,7119,5174,7177,5132,7233,5088,7288,5041,7340,4993,7390,4942,7439,4890,7485,4836,7530,4779,7572,4722,7612,4662,7649,4601,7684,4538,7717,4474,7747,4408,7775,4341,7800,4272,7822,4203,7841,4132,7858,4060,7872,3987,7883,3913,7890,3838,7895,3762,7897,3685,7897,0xe" filled="true" fillcolor="#ffffff" stroked="false">
                  <v:path arrowok="t"/>
                  <v:fill opacity="58982f" type="solid"/>
                </v:shape>
                <v:shape style="position:absolute;left:728;top:15143;width:2281;height:918" type="#_x0000_t75" id="docshape11" stroked="false">
                  <v:imagedata r:id="rId8" o:title=""/>
                </v:shape>
                <v:shape style="position:absolute;left:4496;top:15342;width:2774;height:521" type="#_x0000_t75" id="docshape12" stroked="false">
                  <v:imagedata r:id="rId9" o:title=""/>
                </v:shape>
                <v:shape style="position:absolute;left:3581;top:15212;width:666;height:781" id="docshape13" coordorigin="3582,15213" coordsize="666,781" path="m3841,15540l3681,15540,3642,15547,3611,15569,3590,15600,3582,15639,3582,15894,3590,15932,3611,15964,3642,15985,3681,15993,3841,15993,3863,15991,3882,15984,3900,15974,3915,15960,4221,15960,4234,15942,3681,15942,3662,15938,3647,15928,3637,15912,3633,15894,3633,15639,3637,15620,3647,15605,3662,15595,3681,15591,4234,15591,4221,15572,3915,15572,3900,15559,3882,15548,3862,15542,3841,15540xm4221,15960l3915,15960,3930,15974,3947,15984,3967,15991,3988,15993,4148,15993,4187,15985,4219,15964,4221,15960xm3938,15896l3892,15896,3889,15898,3888,15901,3883,15917,3872,15930,3858,15938,3841,15942,3988,15942,3971,15938,3957,15930,3947,15917,3941,15901,3941,15898,3938,15896xm4234,15591l4148,15591,4167,15595,4182,15605,4192,15620,4196,15639,4196,15894,4192,15912,4182,15928,4167,15938,4148,15942,4234,15942,4240,15932,4248,15894,4248,15639,4240,15600,4234,15591xm3778,15625l3738,15625,3735,15628,3735,15759,3743,15798,3764,15830,3796,15851,3835,15859,3995,15859,4033,15851,4065,15830,4080,15807,3835,15807,3816,15803,3801,15793,3791,15778,3787,15759,3787,15634,3778,15625xm3988,15591l3841,15591,3860,15595,3875,15605,3885,15620,3889,15639,3889,15807,3940,15807,3940,15639,3944,15620,3954,15605,3970,15595,3988,15591xm4091,15625l4051,15625,4043,15634,4043,15759,4039,15778,4029,15793,4013,15803,3995,15807,4080,15807,4086,15798,4094,15759,4094,15628,4091,15625xm4148,15540l3988,15540,3967,15542,3947,15548,3930,15559,3915,15572,4221,15572,4219,15569,4187,15547,4148,15540xm3995,15429l3835,15429,3796,15437,3764,15458,3743,15490,3735,15528,3735,15540,3787,15540,3787,15528,3791,15510,3801,15494,3816,15484,3835,15480,4080,15480,4065,15458,4033,15437,3995,15429xm4080,15480l3995,15480,4013,15484,4029,15494,4039,15510,4043,15528,4043,15540,4094,15540,4094,15528,4086,15490,4080,15480xm3688,15271l3655,15278,3627,15296,3608,15324,3602,15358,3608,15391,3627,15419,3655,15437,3688,15444,3722,15437,3749,15419,3767,15393,3688,15393,3675,15390,3663,15382,3656,15371,3653,15358,3656,15344,3663,15333,3675,15325,3688,15322,3767,15322,3749,15296,3722,15278,3688,15271xm4143,15271l4109,15278,4081,15296,4063,15324,4056,15358,4063,15391,4081,15419,4109,15437,4143,15444,4176,15437,4204,15419,4221,15393,4143,15393,4129,15390,4118,15382,4110,15371,4107,15358,4110,15344,4118,15333,4129,15325,4143,15322,4221,15322,4204,15296,4176,15278,4143,15271xm3767,15322l3688,15322,3702,15325,3713,15333,3721,15344,3723,15358,3721,15371,3713,15382,3702,15390,3688,15393,3767,15393,3768,15391,3775,15358,3768,15325,3768,15324,3768,15324,3767,15322xm4221,15322l4143,15322,4156,15325,4167,15333,4175,15344,4178,15358,4175,15371,4167,15382,4156,15390,4143,15393,4221,15393,4222,15391,4229,15358,4223,15325,4222,15324,4222,15324,4221,15322xm3915,15213l3882,15220,3854,15238,3836,15266,3829,15300,3835,15332,3835,15333,3836,15333,3854,15361,3882,15379,3915,15386,3949,15379,3977,15361,3994,15335,3915,15335,3902,15332,3891,15324,3883,15313,3880,15300,3883,15286,3891,15275,3902,15267,3915,15264,3994,15264,3977,15238,3949,15220,3915,15213xm3994,15264l3915,15264,3929,15267,3940,15275,3948,15286,3951,15300,3948,15313,3940,15324,3929,15332,3915,15335,3994,15335,3995,15333,4002,15300,3995,15266,3994,15264xe" filled="true" fillcolor="#ffffff" stroked="false">
                  <v:path arrowok="t"/>
                  <v:fill type="solid"/>
                </v:shape>
                <v:shape style="position:absolute;left:8787;top:15238;width:1155;height:120" type="#_x0000_t75" id="docshape14" stroked="false">
                  <v:imagedata r:id="rId10" o:title=""/>
                </v:shape>
                <v:shape style="position:absolute;left:10046;top:15238;width:1140;height:119" type="#_x0000_t75" id="docshape15" stroked="false">
                  <v:imagedata r:id="rId11" o:title=""/>
                </v:shape>
                <v:shape style="position:absolute;left:8787;top:15764;width:2399;height:204" type="#_x0000_t75" id="docshape16" stroked="false">
                  <v:imagedata r:id="rId12" o:title=""/>
                </v:shape>
                <v:shape style="position:absolute;left:10041;top:15471;width:170;height:177" type="#_x0000_t75" id="docshape17" stroked="false">
                  <v:imagedata r:id="rId13" o:title=""/>
                </v:shape>
                <v:shape style="position:absolute;left:10251;top:15471;width:70;height:175" id="docshape18" coordorigin="10251,15471" coordsize="70,175" path="m10319,15471l10297,15472,10275,15472,10253,15471,10252,15472,10251,15477,10253,15478,10275,15479,10275,15484,10275,15512,10275,15633,10275,15637,10253,15639,10251,15641,10252,15645,10253,15646,10275,15645,10297,15645,10319,15646,10321,15645,10321,15640,10320,15639,10298,15637,10297,15633,10297,15484,10298,15479,10320,15478,10321,15477,10321,15472,10319,15471xe" filled="true" fillcolor="#ffffff" stroked="false">
                  <v:path arrowok="t"/>
                  <v:fill type="solid"/>
                </v:shape>
                <v:shape style="position:absolute;left:10383;top:15467;width:176;height:182" type="#_x0000_t75" id="docshape19" stroked="false">
                  <v:imagedata r:id="rId14" o:title=""/>
                </v:shape>
                <v:shape style="position:absolute;left:10617;top:15471;width:192;height:175" type="#_x0000_t75" id="docshape20" stroked="false">
                  <v:imagedata r:id="rId15" o:title=""/>
                </v:shape>
                <v:shape style="position:absolute;left:10861;top:15462;width:169;height:183" type="#_x0000_t75" id="docshape21" stroked="false">
                  <v:imagedata r:id="rId16" o:title=""/>
                </v:shape>
                <v:shape style="position:absolute;left:11081;top:15467;width:104;height:182" type="#_x0000_t75" id="docshape22" stroked="false">
                  <v:imagedata r:id="rId17" o:title=""/>
                </v:shape>
                <v:shape style="position:absolute;left:8786;top:15470;width:193;height:176" type="#_x0000_t75" id="docshape23" stroked="false">
                  <v:imagedata r:id="rId18" o:title=""/>
                </v:shape>
                <v:shape style="position:absolute;left:9032;top:15470;width:188;height:179" type="#_x0000_t75" id="docshape24" stroked="false">
                  <v:imagedata r:id="rId19" o:title=""/>
                </v:shape>
                <v:shape style="position:absolute;left:9263;top:15470;width:226;height:178" type="#_x0000_t75" id="docshape25" stroked="false">
                  <v:imagedata r:id="rId20" o:title=""/>
                </v:shape>
                <v:shape style="position:absolute;left:9526;top:15467;width:178;height:179" type="#_x0000_t75" id="docshape26" stroked="false">
                  <v:imagedata r:id="rId21" o:title=""/>
                </v:shape>
                <v:shape style="position:absolute;left:9738;top:15470;width:195;height:179" type="#_x0000_t75" id="docshape27" stroked="false">
                  <v:imagedata r:id="rId22" o:title=""/>
                </v:shape>
                <v:shape style="position:absolute;left:7896;top:15238;width:730;height:730" id="docshape28" coordorigin="7897,15239" coordsize="730,730" path="m8627,15239l7897,15239,7897,15968,8627,15968,8627,15782,8260,15782,8258,15780,8227,15759,8194,15744,8190,15743,8061,15743,8057,15740,8057,15438,8057,15437,8060,15436,8076,15432,8091,15428,8107,15426,8124,15425,8627,15425,8627,15239xm8399,15732l8364,15735,8330,15744,8297,15759,8266,15780,8264,15782,8627,15782,8627,15743,8462,15743,8458,15742,8444,15737,8429,15734,8414,15733,8399,15732xm8124,15732l8109,15733,8094,15734,8080,15737,8066,15742,8065,15742,8061,15743,8190,15743,8159,15735,8124,15732xm8627,15425l8400,15425,8416,15426,8432,15428,8448,15432,8463,15436,8466,15437,8467,15438,8467,15740,8462,15743,8627,15743,8627,15425xm8400,15425l8124,15425,8160,15429,8195,15439,8230,15455,8262,15476,8294,15455,8328,15439,8364,15429,8400,15425xe" filled="true" fillcolor="#ffffff" stroked="false">
                  <v:path arrowok="t"/>
                  <v:fill type="solid"/>
                </v:shape>
                <w10:wrap type="none"/>
              </v:group>
            </w:pict>
          </mc:Fallback>
        </mc:AlternateContent>
      </w:r>
      <w:r>
        <w:rPr>
          <w:color w:val="164194"/>
          <w:spacing w:val="-26"/>
        </w:rPr>
        <w:t>EU</w:t>
      </w:r>
      <w:r>
        <w:rPr>
          <w:color w:val="164194"/>
          <w:spacing w:val="-28"/>
        </w:rPr>
        <w:t> </w:t>
      </w:r>
      <w:r>
        <w:rPr>
          <w:color w:val="164194"/>
          <w:spacing w:val="-26"/>
        </w:rPr>
        <w:t>Developments </w:t>
      </w:r>
      <w:r>
        <w:rPr>
          <w:color w:val="164194"/>
        </w:rPr>
        <w:t>in</w:t>
      </w:r>
      <w:r>
        <w:rPr>
          <w:color w:val="164194"/>
          <w:spacing w:val="-54"/>
        </w:rPr>
        <w:t> </w:t>
      </w:r>
      <w:r>
        <w:rPr>
          <w:color w:val="164194"/>
        </w:rPr>
        <w:t>Equality</w:t>
      </w:r>
      <w:r>
        <w:rPr>
          <w:color w:val="164194"/>
          <w:spacing w:val="-53"/>
        </w:rPr>
        <w:t> </w:t>
      </w:r>
      <w:r>
        <w:rPr>
          <w:color w:val="164194"/>
        </w:rPr>
        <w:t>and </w:t>
      </w:r>
      <w:r>
        <w:rPr>
          <w:color w:val="164194"/>
          <w:spacing w:val="-10"/>
        </w:rPr>
        <w:t>Human</w:t>
      </w:r>
      <w:r>
        <w:rPr>
          <w:color w:val="164194"/>
          <w:spacing w:val="-44"/>
        </w:rPr>
        <w:t> </w:t>
      </w:r>
      <w:r>
        <w:rPr>
          <w:color w:val="164194"/>
          <w:spacing w:val="-10"/>
        </w:rPr>
        <w:t>Rights:</w:t>
      </w:r>
    </w:p>
    <w:p>
      <w:pPr>
        <w:pStyle w:val="Heading3"/>
        <w:spacing w:line="268" w:lineRule="auto" w:before="293"/>
        <w:ind w:left="913" w:right="4602" w:firstLine="0"/>
        <w:rPr>
          <w:rFonts w:ascii="Tahoma"/>
        </w:rPr>
      </w:pPr>
      <w:r>
        <w:rPr>
          <w:rFonts w:ascii="Tahoma"/>
          <w:color w:val="164194"/>
        </w:rPr>
        <w:t>Impact of Brexit on the Divergence of Rights</w:t>
      </w:r>
      <w:r>
        <w:rPr>
          <w:rFonts w:ascii="Tahoma"/>
          <w:color w:val="164194"/>
          <w:spacing w:val="-1"/>
        </w:rPr>
        <w:t> </w:t>
      </w:r>
      <w:r>
        <w:rPr>
          <w:rFonts w:ascii="Tahoma"/>
          <w:color w:val="164194"/>
        </w:rPr>
        <w:t>and</w:t>
      </w:r>
      <w:r>
        <w:rPr>
          <w:rFonts w:ascii="Tahoma"/>
          <w:color w:val="164194"/>
          <w:spacing w:val="-1"/>
        </w:rPr>
        <w:t> </w:t>
      </w:r>
      <w:r>
        <w:rPr>
          <w:rFonts w:ascii="Tahoma"/>
          <w:color w:val="164194"/>
        </w:rPr>
        <w:t>Best</w:t>
      </w:r>
      <w:r>
        <w:rPr>
          <w:rFonts w:ascii="Tahoma"/>
          <w:color w:val="164194"/>
          <w:spacing w:val="-1"/>
        </w:rPr>
        <w:t> </w:t>
      </w:r>
      <w:r>
        <w:rPr>
          <w:rFonts w:ascii="Tahoma"/>
          <w:color w:val="164194"/>
        </w:rPr>
        <w:t>Practice</w:t>
      </w:r>
      <w:r>
        <w:rPr>
          <w:rFonts w:ascii="Tahoma"/>
          <w:color w:val="164194"/>
          <w:spacing w:val="-1"/>
        </w:rPr>
        <w:t> </w:t>
      </w:r>
      <w:r>
        <w:rPr>
          <w:rFonts w:ascii="Tahoma"/>
          <w:color w:val="164194"/>
        </w:rPr>
        <w:t>on</w:t>
      </w:r>
      <w:r>
        <w:rPr>
          <w:rFonts w:ascii="Tahoma"/>
          <w:color w:val="164194"/>
          <w:spacing w:val="-1"/>
        </w:rPr>
        <w:t> </w:t>
      </w:r>
      <w:r>
        <w:rPr>
          <w:rFonts w:ascii="Tahoma"/>
          <w:color w:val="164194"/>
        </w:rPr>
        <w:t>the</w:t>
      </w:r>
      <w:r>
        <w:rPr>
          <w:rFonts w:ascii="Tahoma"/>
          <w:color w:val="164194"/>
          <w:spacing w:val="-1"/>
        </w:rPr>
        <w:t> </w:t>
      </w:r>
      <w:r>
        <w:rPr>
          <w:rFonts w:ascii="Tahoma"/>
          <w:color w:val="164194"/>
        </w:rPr>
        <w:t>Island</w:t>
      </w:r>
      <w:r>
        <w:rPr>
          <w:rFonts w:ascii="Tahoma"/>
          <w:color w:val="164194"/>
          <w:spacing w:val="-1"/>
        </w:rPr>
        <w:t> </w:t>
      </w:r>
      <w:r>
        <w:rPr>
          <w:rFonts w:ascii="Tahoma"/>
          <w:color w:val="164194"/>
        </w:rPr>
        <w:t>of Ireland: Update Paper on Developments post January 2022</w:t>
      </w:r>
    </w:p>
    <w:p>
      <w:pPr>
        <w:pStyle w:val="BodyText"/>
        <w:spacing w:before="319"/>
        <w:rPr>
          <w:rFonts w:ascii="Tahoma"/>
          <w:b/>
        </w:rPr>
      </w:pPr>
    </w:p>
    <w:p>
      <w:pPr>
        <w:pStyle w:val="BodyText"/>
        <w:spacing w:before="1"/>
        <w:ind w:left="913"/>
        <w:rPr>
          <w:rFonts w:ascii="Verdana"/>
        </w:rPr>
      </w:pPr>
      <w:r>
        <w:rPr>
          <w:rFonts w:ascii="Verdana"/>
          <w:color w:val="FFFFFF"/>
          <w:spacing w:val="-8"/>
        </w:rPr>
        <w:t>Dr</w:t>
      </w:r>
      <w:r>
        <w:rPr>
          <w:rFonts w:ascii="Verdana"/>
          <w:color w:val="FFFFFF"/>
          <w:spacing w:val="-14"/>
        </w:rPr>
        <w:t> </w:t>
      </w:r>
      <w:r>
        <w:rPr>
          <w:rFonts w:ascii="Verdana"/>
          <w:color w:val="FFFFFF"/>
          <w:spacing w:val="-8"/>
        </w:rPr>
        <w:t>Sarah</w:t>
      </w:r>
      <w:r>
        <w:rPr>
          <w:rFonts w:ascii="Verdana"/>
          <w:color w:val="FFFFFF"/>
          <w:spacing w:val="-13"/>
        </w:rPr>
        <w:t> </w:t>
      </w:r>
      <w:r>
        <w:rPr>
          <w:rFonts w:ascii="Verdana"/>
          <w:color w:val="FFFFFF"/>
          <w:spacing w:val="-8"/>
        </w:rPr>
        <w:t>Craig</w:t>
      </w:r>
    </w:p>
    <w:p>
      <w:pPr>
        <w:spacing w:line="268" w:lineRule="auto" w:before="39"/>
        <w:ind w:left="913" w:right="7293" w:firstLine="0"/>
        <w:jc w:val="left"/>
        <w:rPr>
          <w:rFonts w:ascii="Tahoma" w:hAnsi="Tahoma"/>
          <w:b/>
          <w:sz w:val="28"/>
        </w:rPr>
      </w:pPr>
      <w:r>
        <w:rPr>
          <w:rFonts w:ascii="Verdana" w:hAnsi="Verdana"/>
          <w:color w:val="FFFFFF"/>
          <w:sz w:val="28"/>
        </w:rPr>
        <w:t>Dr Claire Lougarre Prof</w:t>
      </w:r>
      <w:r>
        <w:rPr>
          <w:rFonts w:ascii="Verdana" w:hAnsi="Verdana"/>
          <w:color w:val="FFFFFF"/>
          <w:spacing w:val="-9"/>
          <w:sz w:val="28"/>
        </w:rPr>
        <w:t> </w:t>
      </w:r>
      <w:r>
        <w:rPr>
          <w:rFonts w:ascii="Verdana" w:hAnsi="Verdana"/>
          <w:color w:val="FFFFFF"/>
          <w:sz w:val="28"/>
        </w:rPr>
        <w:t>Rory</w:t>
      </w:r>
      <w:r>
        <w:rPr>
          <w:rFonts w:ascii="Verdana" w:hAnsi="Verdana"/>
          <w:color w:val="FFFFFF"/>
          <w:spacing w:val="-9"/>
          <w:sz w:val="28"/>
        </w:rPr>
        <w:t> </w:t>
      </w:r>
      <w:r>
        <w:rPr>
          <w:rFonts w:ascii="Verdana" w:hAnsi="Verdana"/>
          <w:color w:val="FFFFFF"/>
          <w:sz w:val="28"/>
        </w:rPr>
        <w:t>O’Connell </w:t>
      </w:r>
      <w:r>
        <w:rPr>
          <w:rFonts w:ascii="Tahoma" w:hAnsi="Tahoma"/>
          <w:b/>
          <w:color w:val="FFFFFF"/>
          <w:sz w:val="28"/>
        </w:rPr>
        <w:t>Ulster University</w:t>
      </w: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rPr>
          <w:rFonts w:ascii="Tahoma"/>
          <w:b/>
          <w:sz w:val="29"/>
        </w:rPr>
      </w:pPr>
    </w:p>
    <w:p>
      <w:pPr>
        <w:pStyle w:val="BodyText"/>
        <w:spacing w:before="156"/>
        <w:rPr>
          <w:rFonts w:ascii="Tahoma"/>
          <w:b/>
          <w:sz w:val="29"/>
        </w:rPr>
      </w:pPr>
    </w:p>
    <w:p>
      <w:pPr>
        <w:spacing w:before="1"/>
        <w:ind w:left="0" w:right="434" w:firstLine="0"/>
        <w:jc w:val="right"/>
        <w:rPr>
          <w:rFonts w:ascii="Arial Black"/>
          <w:sz w:val="29"/>
        </w:rPr>
      </w:pPr>
      <w:r>
        <w:rPr>
          <w:rFonts w:ascii="Arial Black"/>
          <w:color w:val="FFFFFF"/>
          <w:spacing w:val="-10"/>
          <w:sz w:val="29"/>
        </w:rPr>
        <w:t>November</w:t>
      </w:r>
      <w:r>
        <w:rPr>
          <w:rFonts w:ascii="Arial Black"/>
          <w:color w:val="FFFFFF"/>
          <w:spacing w:val="-13"/>
          <w:sz w:val="29"/>
        </w:rPr>
        <w:t> </w:t>
      </w:r>
      <w:r>
        <w:rPr>
          <w:rFonts w:ascii="Arial Black"/>
          <w:color w:val="FFFFFF"/>
          <w:spacing w:val="-4"/>
          <w:sz w:val="29"/>
        </w:rPr>
        <w:t>2024</w:t>
      </w:r>
    </w:p>
    <w:p>
      <w:pPr>
        <w:spacing w:after="0"/>
        <w:jc w:val="right"/>
        <w:rPr>
          <w:rFonts w:ascii="Arial Black"/>
          <w:sz w:val="29"/>
        </w:rPr>
        <w:sectPr>
          <w:type w:val="continuous"/>
          <w:pgSz w:w="11910" w:h="16840"/>
          <w:pgMar w:top="1000" w:bottom="280" w:left="300" w:right="280"/>
        </w:sectPr>
      </w:pPr>
    </w:p>
    <w:p>
      <w:pPr>
        <w:pStyle w:val="BodyText"/>
        <w:spacing w:before="2"/>
        <w:rPr>
          <w:rFonts w:ascii="Arial Black"/>
          <w:sz w:val="14"/>
        </w:rPr>
      </w:pPr>
    </w:p>
    <w:p>
      <w:pPr>
        <w:spacing w:after="0"/>
        <w:rPr>
          <w:rFonts w:ascii="Arial Black"/>
          <w:sz w:val="14"/>
        </w:rPr>
        <w:sectPr>
          <w:pgSz w:w="11910" w:h="16840"/>
          <w:pgMar w:top="1920" w:bottom="280" w:left="300" w:right="280"/>
        </w:sectPr>
      </w:pPr>
    </w:p>
    <w:p>
      <w:pPr>
        <w:pStyle w:val="BodyText"/>
        <w:rPr>
          <w:rFonts w:ascii="Arial Black"/>
          <w:sz w:val="64"/>
        </w:rPr>
      </w:pPr>
      <w:r>
        <w:rPr/>
        <w:drawing>
          <wp:anchor distT="0" distB="0" distL="0" distR="0" allowOverlap="1" layoutInCell="1" locked="0" behindDoc="0" simplePos="0" relativeHeight="15730688">
            <wp:simplePos x="0" y="0"/>
            <wp:positionH relativeFrom="page">
              <wp:posOffset>913383</wp:posOffset>
            </wp:positionH>
            <wp:positionV relativeFrom="page">
              <wp:posOffset>9501238</wp:posOffset>
            </wp:positionV>
            <wp:extent cx="1419595" cy="557212"/>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23" cstate="print"/>
                    <a:stretch>
                      <a:fillRect/>
                    </a:stretch>
                  </pic:blipFill>
                  <pic:spPr>
                    <a:xfrm>
                      <a:off x="0" y="0"/>
                      <a:ext cx="1419595" cy="557212"/>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3145458</wp:posOffset>
            </wp:positionH>
            <wp:positionV relativeFrom="page">
              <wp:posOffset>9609232</wp:posOffset>
            </wp:positionV>
            <wp:extent cx="1751818" cy="328612"/>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24" cstate="print"/>
                    <a:stretch>
                      <a:fillRect/>
                    </a:stretch>
                  </pic:blipFill>
                  <pic:spPr>
                    <a:xfrm>
                      <a:off x="0" y="0"/>
                      <a:ext cx="1751818" cy="328612"/>
                    </a:xfrm>
                    <a:prstGeom prst="rect">
                      <a:avLst/>
                    </a:prstGeom>
                  </pic:spPr>
                </pic:pic>
              </a:graphicData>
            </a:graphic>
          </wp:anchor>
        </w:drawing>
      </w:r>
      <w:r>
        <w:rPr/>
        <w:drawing>
          <wp:anchor distT="0" distB="0" distL="0" distR="0" allowOverlap="1" layoutInCell="1" locked="0" behindDoc="0" simplePos="0" relativeHeight="15731712">
            <wp:simplePos x="0" y="0"/>
            <wp:positionH relativeFrom="page">
              <wp:posOffset>2564523</wp:posOffset>
            </wp:positionH>
            <wp:positionV relativeFrom="page">
              <wp:posOffset>9526841</wp:posOffset>
            </wp:positionV>
            <wp:extent cx="422755" cy="495300"/>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25" cstate="print"/>
                    <a:stretch>
                      <a:fillRect/>
                    </a:stretch>
                  </pic:blipFill>
                  <pic:spPr>
                    <a:xfrm>
                      <a:off x="0" y="0"/>
                      <a:ext cx="422755" cy="495300"/>
                    </a:xfrm>
                    <a:prstGeom prst="rect">
                      <a:avLst/>
                    </a:prstGeom>
                  </pic:spPr>
                </pic:pic>
              </a:graphicData>
            </a:graphic>
          </wp:anchor>
        </w:drawing>
      </w:r>
      <w:r>
        <w:rPr/>
        <w:drawing>
          <wp:anchor distT="0" distB="0" distL="0" distR="0" allowOverlap="1" layoutInCell="1" locked="0" behindDoc="0" simplePos="0" relativeHeight="15732224">
            <wp:simplePos x="0" y="0"/>
            <wp:positionH relativeFrom="page">
              <wp:posOffset>5626793</wp:posOffset>
            </wp:positionH>
            <wp:positionV relativeFrom="page">
              <wp:posOffset>9886627</wp:posOffset>
            </wp:positionV>
            <wp:extent cx="1400621" cy="119062"/>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6" cstate="print"/>
                    <a:stretch>
                      <a:fillRect/>
                    </a:stretch>
                  </pic:blipFill>
                  <pic:spPr>
                    <a:xfrm>
                      <a:off x="0" y="0"/>
                      <a:ext cx="1400621" cy="119062"/>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5626426</wp:posOffset>
            </wp:positionH>
            <wp:positionV relativeFrom="page">
              <wp:posOffset>9579372</wp:posOffset>
            </wp:positionV>
            <wp:extent cx="1389243" cy="238029"/>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7" cstate="print"/>
                    <a:stretch>
                      <a:fillRect/>
                    </a:stretch>
                  </pic:blipFill>
                  <pic:spPr>
                    <a:xfrm>
                      <a:off x="0" y="0"/>
                      <a:ext cx="1389243" cy="238029"/>
                    </a:xfrm>
                    <a:prstGeom prst="rect">
                      <a:avLst/>
                    </a:prstGeom>
                  </pic:spPr>
                </pic:pic>
              </a:graphicData>
            </a:graphic>
          </wp:anchor>
        </w:drawing>
      </w:r>
      <w:r>
        <w:rPr/>
        <mc:AlternateContent>
          <mc:Choice Requires="wps">
            <w:drawing>
              <wp:anchor distT="0" distB="0" distL="0" distR="0" allowOverlap="1" layoutInCell="1" locked="0" behindDoc="0" simplePos="0" relativeHeight="15733248">
                <wp:simplePos x="0" y="0"/>
                <wp:positionH relativeFrom="page">
                  <wp:posOffset>5106840</wp:posOffset>
                </wp:positionH>
                <wp:positionV relativeFrom="page">
                  <wp:posOffset>9579480</wp:posOffset>
                </wp:positionV>
                <wp:extent cx="426720" cy="42672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426720" cy="426720"/>
                        </a:xfrm>
                        <a:custGeom>
                          <a:avLst/>
                          <a:gdLst/>
                          <a:ahLst/>
                          <a:cxnLst/>
                          <a:rect l="l" t="t" r="r" b="b"/>
                          <a:pathLst>
                            <a:path w="426720" h="426720">
                              <a:moveTo>
                                <a:pt x="426186" y="0"/>
                              </a:moveTo>
                              <a:lnTo>
                                <a:pt x="0" y="0"/>
                              </a:lnTo>
                              <a:lnTo>
                                <a:pt x="0" y="426186"/>
                              </a:lnTo>
                              <a:lnTo>
                                <a:pt x="426186" y="426186"/>
                              </a:lnTo>
                              <a:lnTo>
                                <a:pt x="426186" y="317080"/>
                              </a:lnTo>
                              <a:lnTo>
                                <a:pt x="211835" y="317080"/>
                              </a:lnTo>
                              <a:lnTo>
                                <a:pt x="210832" y="316331"/>
                              </a:lnTo>
                              <a:lnTo>
                                <a:pt x="192650" y="304198"/>
                              </a:lnTo>
                              <a:lnTo>
                                <a:pt x="173272" y="295397"/>
                              </a:lnTo>
                              <a:lnTo>
                                <a:pt x="170815" y="294741"/>
                              </a:lnTo>
                              <a:lnTo>
                                <a:pt x="95923" y="294741"/>
                              </a:lnTo>
                              <a:lnTo>
                                <a:pt x="93548" y="293052"/>
                              </a:lnTo>
                              <a:lnTo>
                                <a:pt x="93548" y="116560"/>
                              </a:lnTo>
                              <a:lnTo>
                                <a:pt x="93751" y="116103"/>
                              </a:lnTo>
                              <a:lnTo>
                                <a:pt x="132511" y="109118"/>
                              </a:lnTo>
                              <a:lnTo>
                                <a:pt x="426186" y="109118"/>
                              </a:lnTo>
                              <a:lnTo>
                                <a:pt x="426186" y="0"/>
                              </a:lnTo>
                              <a:close/>
                            </a:path>
                            <a:path w="426720" h="426720">
                              <a:moveTo>
                                <a:pt x="293281" y="288226"/>
                              </a:moveTo>
                              <a:lnTo>
                                <a:pt x="252899" y="295397"/>
                              </a:lnTo>
                              <a:lnTo>
                                <a:pt x="215328" y="316331"/>
                              </a:lnTo>
                              <a:lnTo>
                                <a:pt x="214325" y="317080"/>
                              </a:lnTo>
                              <a:lnTo>
                                <a:pt x="426186" y="317080"/>
                              </a:lnTo>
                              <a:lnTo>
                                <a:pt x="426186" y="294741"/>
                              </a:lnTo>
                              <a:lnTo>
                                <a:pt x="330250" y="294741"/>
                              </a:lnTo>
                              <a:lnTo>
                                <a:pt x="327431" y="293738"/>
                              </a:lnTo>
                              <a:lnTo>
                                <a:pt x="319221" y="291328"/>
                              </a:lnTo>
                              <a:lnTo>
                                <a:pt x="310770" y="289606"/>
                              </a:lnTo>
                              <a:lnTo>
                                <a:pt x="302112" y="288571"/>
                              </a:lnTo>
                              <a:lnTo>
                                <a:pt x="293281" y="288226"/>
                              </a:lnTo>
                              <a:close/>
                            </a:path>
                            <a:path w="426720" h="426720">
                              <a:moveTo>
                                <a:pt x="132892" y="288226"/>
                              </a:moveTo>
                              <a:lnTo>
                                <a:pt x="95923" y="294741"/>
                              </a:lnTo>
                              <a:lnTo>
                                <a:pt x="170815" y="294741"/>
                              </a:lnTo>
                              <a:lnTo>
                                <a:pt x="153189" y="290037"/>
                              </a:lnTo>
                              <a:lnTo>
                                <a:pt x="132892" y="288226"/>
                              </a:lnTo>
                              <a:close/>
                            </a:path>
                            <a:path w="426720" h="426720">
                              <a:moveTo>
                                <a:pt x="426186" y="109118"/>
                              </a:moveTo>
                              <a:lnTo>
                                <a:pt x="293649" y="109118"/>
                              </a:lnTo>
                              <a:lnTo>
                                <a:pt x="303187" y="109532"/>
                              </a:lnTo>
                              <a:lnTo>
                                <a:pt x="312621" y="110751"/>
                              </a:lnTo>
                              <a:lnTo>
                                <a:pt x="332625" y="116560"/>
                              </a:lnTo>
                              <a:lnTo>
                                <a:pt x="332625" y="293052"/>
                              </a:lnTo>
                              <a:lnTo>
                                <a:pt x="330250" y="294741"/>
                              </a:lnTo>
                              <a:lnTo>
                                <a:pt x="426186" y="294741"/>
                              </a:lnTo>
                              <a:lnTo>
                                <a:pt x="426186" y="109118"/>
                              </a:lnTo>
                              <a:close/>
                            </a:path>
                            <a:path w="426720" h="426720">
                              <a:moveTo>
                                <a:pt x="293649" y="109118"/>
                              </a:moveTo>
                              <a:lnTo>
                                <a:pt x="132511" y="109118"/>
                              </a:lnTo>
                              <a:lnTo>
                                <a:pt x="153591" y="111228"/>
                              </a:lnTo>
                              <a:lnTo>
                                <a:pt x="174348" y="117220"/>
                              </a:lnTo>
                              <a:lnTo>
                                <a:pt x="194330" y="126584"/>
                              </a:lnTo>
                              <a:lnTo>
                                <a:pt x="213080" y="138810"/>
                              </a:lnTo>
                              <a:lnTo>
                                <a:pt x="231838" y="126584"/>
                              </a:lnTo>
                              <a:lnTo>
                                <a:pt x="251821" y="117220"/>
                              </a:lnTo>
                              <a:lnTo>
                                <a:pt x="272577" y="111228"/>
                              </a:lnTo>
                              <a:lnTo>
                                <a:pt x="293649" y="109118"/>
                              </a:lnTo>
                              <a:close/>
                            </a:path>
                          </a:pathLst>
                        </a:custGeom>
                        <a:solidFill>
                          <a:srgbClr val="77328A"/>
                        </a:solidFill>
                      </wps:spPr>
                      <wps:bodyPr wrap="square" lIns="0" tIns="0" rIns="0" bIns="0" rtlCol="0">
                        <a:prstTxWarp prst="textNoShape">
                          <a:avLst/>
                        </a:prstTxWarp>
                        <a:noAutofit/>
                      </wps:bodyPr>
                    </wps:wsp>
                  </a:graphicData>
                </a:graphic>
              </wp:anchor>
            </w:drawing>
          </mc:Choice>
          <mc:Fallback>
            <w:pict>
              <v:shape style="position:absolute;margin-left:402.113403pt;margin-top:754.289795pt;width:33.6pt;height:33.6pt;mso-position-horizontal-relative:page;mso-position-vertical-relative:page;z-index:15733248" id="docshape29" coordorigin="8042,15086" coordsize="672,672" path="m8713,15086l8042,15086,8042,15757,8713,15757,8713,15585,8376,15585,8374,15584,8346,15565,8315,15551,8311,15550,8193,15550,8190,15547,8190,15269,8190,15269,8191,15268,8193,15268,8207,15263,8221,15260,8236,15258,8251,15258,8713,15258,8713,15086xm8504,15540l8472,15543,8441,15551,8410,15565,8381,15584,8380,15585,8713,15585,8713,15550,8562,15550,8558,15548,8545,15545,8532,15542,8518,15540,8504,15540xm8252,15540l8238,15540,8224,15542,8211,15545,8198,15548,8193,15550,8311,15550,8284,15543,8252,15540xm8713,15258l8505,15258,8520,15258,8535,15260,8549,15263,8563,15268,8565,15268,8566,15269,8566,15269,8566,15547,8562,15550,8713,15550,8713,15258xm8505,15258l8251,15258,8284,15261,8317,15270,8348,15285,8378,15304,8407,15285,8439,15270,8472,15261,8505,15258xe" filled="true" fillcolor="#77328a" stroked="false">
                <v:path arrowok="t"/>
                <v:fill type="solid"/>
                <w10:wrap type="none"/>
              </v:shape>
            </w:pict>
          </mc:Fallback>
        </mc:AlternateContent>
      </w:r>
    </w:p>
    <w:p>
      <w:pPr>
        <w:pStyle w:val="BodyText"/>
        <w:spacing w:before="47"/>
        <w:rPr>
          <w:rFonts w:ascii="Arial Black"/>
          <w:sz w:val="64"/>
        </w:rPr>
      </w:pPr>
    </w:p>
    <w:p>
      <w:pPr>
        <w:pStyle w:val="Title"/>
        <w:spacing w:line="187" w:lineRule="auto"/>
        <w:ind w:left="1117"/>
      </w:pPr>
      <w:r>
        <w:rPr>
          <w:color w:val="164194"/>
          <w:spacing w:val="-26"/>
        </w:rPr>
        <w:t>EU</w:t>
      </w:r>
      <w:r>
        <w:rPr>
          <w:color w:val="164194"/>
          <w:spacing w:val="-28"/>
        </w:rPr>
        <w:t> </w:t>
      </w:r>
      <w:r>
        <w:rPr>
          <w:color w:val="164194"/>
          <w:spacing w:val="-26"/>
        </w:rPr>
        <w:t>Developments </w:t>
      </w:r>
      <w:r>
        <w:rPr>
          <w:color w:val="164194"/>
        </w:rPr>
        <w:t>in</w:t>
      </w:r>
      <w:r>
        <w:rPr>
          <w:color w:val="164194"/>
          <w:spacing w:val="-54"/>
        </w:rPr>
        <w:t> </w:t>
      </w:r>
      <w:r>
        <w:rPr>
          <w:color w:val="164194"/>
        </w:rPr>
        <w:t>Equality</w:t>
      </w:r>
      <w:r>
        <w:rPr>
          <w:color w:val="164194"/>
          <w:spacing w:val="-53"/>
        </w:rPr>
        <w:t> </w:t>
      </w:r>
      <w:r>
        <w:rPr>
          <w:color w:val="164194"/>
        </w:rPr>
        <w:t>and </w:t>
      </w:r>
      <w:r>
        <w:rPr>
          <w:color w:val="164194"/>
          <w:spacing w:val="-10"/>
        </w:rPr>
        <w:t>Human</w:t>
      </w:r>
      <w:r>
        <w:rPr>
          <w:color w:val="164194"/>
          <w:spacing w:val="-44"/>
        </w:rPr>
        <w:t> </w:t>
      </w:r>
      <w:r>
        <w:rPr>
          <w:color w:val="164194"/>
          <w:spacing w:val="-10"/>
        </w:rPr>
        <w:t>Rights:</w:t>
      </w:r>
    </w:p>
    <w:p>
      <w:pPr>
        <w:pStyle w:val="BodyText"/>
        <w:spacing w:before="82"/>
        <w:rPr>
          <w:rFonts w:ascii="Arial Black"/>
          <w:sz w:val="20"/>
        </w:rPr>
      </w:pPr>
      <w:r>
        <w:rPr/>
        <mc:AlternateContent>
          <mc:Choice Requires="wps">
            <w:drawing>
              <wp:anchor distT="0" distB="0" distL="0" distR="0" allowOverlap="1" layoutInCell="1" locked="0" behindDoc="1" simplePos="0" relativeHeight="487588864">
                <wp:simplePos x="0" y="0"/>
                <wp:positionH relativeFrom="page">
                  <wp:posOffset>899999</wp:posOffset>
                </wp:positionH>
                <wp:positionV relativeFrom="paragraph">
                  <wp:posOffset>246490</wp:posOffset>
                </wp:positionV>
                <wp:extent cx="6012180"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9.408701pt;width:473.4pt;height:.1pt;mso-position-horizontal-relative:page;mso-position-vertical-relative:paragraph;z-index:-15727616;mso-wrap-distance-left:0;mso-wrap-distance-right:0" id="docshape30" coordorigin="1417,388" coordsize="9468,0" path="m1417,388l10885,388e" filled="false" stroked="true" strokeweight="1pt" strokecolor="#36a9e1">
                <v:path arrowok="t"/>
                <v:stroke dashstyle="solid"/>
                <w10:wrap type="topAndBottom"/>
              </v:shape>
            </w:pict>
          </mc:Fallback>
        </mc:AlternateContent>
      </w:r>
    </w:p>
    <w:p>
      <w:pPr>
        <w:pStyle w:val="Heading3"/>
        <w:spacing w:line="268" w:lineRule="auto" w:before="390"/>
        <w:ind w:left="1117" w:right="3416" w:firstLine="0"/>
        <w:rPr>
          <w:rFonts w:ascii="Tahoma"/>
        </w:rPr>
      </w:pPr>
      <w:r>
        <w:rPr>
          <w:rFonts w:ascii="Tahoma"/>
          <w:color w:val="164194"/>
        </w:rPr>
        <w:t>Impact of Brexit on the Divergence of Rights and Best Practice on the Island of Ireland:</w:t>
      </w:r>
    </w:p>
    <w:p>
      <w:pPr>
        <w:spacing w:before="3"/>
        <w:ind w:left="1117" w:right="0" w:firstLine="0"/>
        <w:jc w:val="left"/>
        <w:rPr>
          <w:rFonts w:ascii="Tahoma"/>
          <w:b/>
          <w:sz w:val="28"/>
        </w:rPr>
      </w:pPr>
      <w:r>
        <w:rPr>
          <w:rFonts w:ascii="Tahoma"/>
          <w:b/>
          <w:color w:val="164194"/>
          <w:sz w:val="28"/>
        </w:rPr>
        <w:t>Update</w:t>
      </w:r>
      <w:r>
        <w:rPr>
          <w:rFonts w:ascii="Tahoma"/>
          <w:b/>
          <w:color w:val="164194"/>
          <w:spacing w:val="11"/>
          <w:sz w:val="28"/>
        </w:rPr>
        <w:t> </w:t>
      </w:r>
      <w:r>
        <w:rPr>
          <w:rFonts w:ascii="Tahoma"/>
          <w:b/>
          <w:color w:val="164194"/>
          <w:sz w:val="28"/>
        </w:rPr>
        <w:t>Paper</w:t>
      </w:r>
      <w:r>
        <w:rPr>
          <w:rFonts w:ascii="Tahoma"/>
          <w:b/>
          <w:color w:val="164194"/>
          <w:spacing w:val="11"/>
          <w:sz w:val="28"/>
        </w:rPr>
        <w:t> </w:t>
      </w:r>
      <w:r>
        <w:rPr>
          <w:rFonts w:ascii="Tahoma"/>
          <w:b/>
          <w:color w:val="164194"/>
          <w:sz w:val="28"/>
        </w:rPr>
        <w:t>on</w:t>
      </w:r>
      <w:r>
        <w:rPr>
          <w:rFonts w:ascii="Tahoma"/>
          <w:b/>
          <w:color w:val="164194"/>
          <w:spacing w:val="11"/>
          <w:sz w:val="28"/>
        </w:rPr>
        <w:t> </w:t>
      </w:r>
      <w:r>
        <w:rPr>
          <w:rFonts w:ascii="Tahoma"/>
          <w:b/>
          <w:color w:val="164194"/>
          <w:sz w:val="28"/>
        </w:rPr>
        <w:t>Developments</w:t>
      </w:r>
      <w:r>
        <w:rPr>
          <w:rFonts w:ascii="Tahoma"/>
          <w:b/>
          <w:color w:val="164194"/>
          <w:spacing w:val="11"/>
          <w:sz w:val="28"/>
        </w:rPr>
        <w:t> </w:t>
      </w:r>
      <w:r>
        <w:rPr>
          <w:rFonts w:ascii="Tahoma"/>
          <w:b/>
          <w:color w:val="164194"/>
          <w:sz w:val="28"/>
        </w:rPr>
        <w:t>post</w:t>
      </w:r>
      <w:r>
        <w:rPr>
          <w:rFonts w:ascii="Tahoma"/>
          <w:b/>
          <w:color w:val="164194"/>
          <w:spacing w:val="11"/>
          <w:sz w:val="28"/>
        </w:rPr>
        <w:t> </w:t>
      </w:r>
      <w:r>
        <w:rPr>
          <w:rFonts w:ascii="Tahoma"/>
          <w:b/>
          <w:color w:val="164194"/>
          <w:sz w:val="28"/>
        </w:rPr>
        <w:t>January</w:t>
      </w:r>
      <w:r>
        <w:rPr>
          <w:rFonts w:ascii="Tahoma"/>
          <w:b/>
          <w:color w:val="164194"/>
          <w:spacing w:val="11"/>
          <w:sz w:val="28"/>
        </w:rPr>
        <w:t> </w:t>
      </w:r>
      <w:r>
        <w:rPr>
          <w:rFonts w:ascii="Tahoma"/>
          <w:b/>
          <w:color w:val="164194"/>
          <w:spacing w:val="-4"/>
          <w:sz w:val="28"/>
        </w:rPr>
        <w:t>2022</w:t>
      </w:r>
    </w:p>
    <w:p>
      <w:pPr>
        <w:pStyle w:val="BodyText"/>
        <w:rPr>
          <w:rFonts w:ascii="Tahoma"/>
          <w:b/>
        </w:rPr>
      </w:pPr>
    </w:p>
    <w:p>
      <w:pPr>
        <w:pStyle w:val="BodyText"/>
        <w:spacing w:before="181"/>
        <w:rPr>
          <w:rFonts w:ascii="Tahoma"/>
          <w:b/>
        </w:rPr>
      </w:pPr>
    </w:p>
    <w:p>
      <w:pPr>
        <w:pStyle w:val="BodyText"/>
        <w:ind w:left="1117"/>
        <w:rPr>
          <w:rFonts w:ascii="Verdana"/>
        </w:rPr>
      </w:pPr>
      <w:r>
        <w:rPr>
          <w:rFonts w:ascii="Verdana"/>
          <w:color w:val="164194"/>
          <w:spacing w:val="-8"/>
        </w:rPr>
        <w:t>Dr</w:t>
      </w:r>
      <w:r>
        <w:rPr>
          <w:rFonts w:ascii="Verdana"/>
          <w:color w:val="164194"/>
          <w:spacing w:val="-14"/>
        </w:rPr>
        <w:t> </w:t>
      </w:r>
      <w:r>
        <w:rPr>
          <w:rFonts w:ascii="Verdana"/>
          <w:color w:val="164194"/>
          <w:spacing w:val="-8"/>
        </w:rPr>
        <w:t>Sarah</w:t>
      </w:r>
      <w:r>
        <w:rPr>
          <w:rFonts w:ascii="Verdana"/>
          <w:color w:val="164194"/>
          <w:spacing w:val="-13"/>
        </w:rPr>
        <w:t> </w:t>
      </w:r>
      <w:r>
        <w:rPr>
          <w:rFonts w:ascii="Verdana"/>
          <w:color w:val="164194"/>
          <w:spacing w:val="-8"/>
        </w:rPr>
        <w:t>Craig</w:t>
      </w:r>
    </w:p>
    <w:p>
      <w:pPr>
        <w:spacing w:line="268" w:lineRule="auto" w:before="39"/>
        <w:ind w:left="1117" w:right="7293" w:firstLine="0"/>
        <w:jc w:val="left"/>
        <w:rPr>
          <w:rFonts w:ascii="Tahoma" w:hAnsi="Tahoma"/>
          <w:b/>
          <w:sz w:val="28"/>
        </w:rPr>
      </w:pPr>
      <w:r>
        <w:rPr>
          <w:rFonts w:ascii="Verdana" w:hAnsi="Verdana"/>
          <w:color w:val="164194"/>
          <w:sz w:val="28"/>
        </w:rPr>
        <w:t>Dr Claire Lougarre Prof</w:t>
      </w:r>
      <w:r>
        <w:rPr>
          <w:rFonts w:ascii="Verdana" w:hAnsi="Verdana"/>
          <w:color w:val="164194"/>
          <w:spacing w:val="-9"/>
          <w:sz w:val="28"/>
        </w:rPr>
        <w:t> </w:t>
      </w:r>
      <w:r>
        <w:rPr>
          <w:rFonts w:ascii="Verdana" w:hAnsi="Verdana"/>
          <w:color w:val="164194"/>
          <w:sz w:val="28"/>
        </w:rPr>
        <w:t>Rory</w:t>
      </w:r>
      <w:r>
        <w:rPr>
          <w:rFonts w:ascii="Verdana" w:hAnsi="Verdana"/>
          <w:color w:val="164194"/>
          <w:spacing w:val="-9"/>
          <w:sz w:val="28"/>
        </w:rPr>
        <w:t> </w:t>
      </w:r>
      <w:r>
        <w:rPr>
          <w:rFonts w:ascii="Verdana" w:hAnsi="Verdana"/>
          <w:color w:val="164194"/>
          <w:sz w:val="28"/>
        </w:rPr>
        <w:t>O’Connell </w:t>
      </w:r>
      <w:r>
        <w:rPr>
          <w:rFonts w:ascii="Tahoma" w:hAnsi="Tahoma"/>
          <w:b/>
          <w:color w:val="164194"/>
          <w:sz w:val="28"/>
        </w:rPr>
        <w:t>Ulster University</w:t>
      </w:r>
    </w:p>
    <w:p>
      <w:pPr>
        <w:pStyle w:val="BodyText"/>
        <w:rPr>
          <w:rFonts w:ascii="Tahoma"/>
          <w:b/>
          <w:sz w:val="20"/>
        </w:rPr>
      </w:pPr>
    </w:p>
    <w:p>
      <w:pPr>
        <w:pStyle w:val="BodyText"/>
        <w:rPr>
          <w:rFonts w:ascii="Tahoma"/>
          <w:b/>
          <w:sz w:val="20"/>
        </w:rPr>
      </w:pPr>
    </w:p>
    <w:p>
      <w:pPr>
        <w:pStyle w:val="BodyText"/>
        <w:spacing w:before="10"/>
        <w:rPr>
          <w:rFonts w:ascii="Tahoma"/>
          <w:b/>
          <w:sz w:val="20"/>
        </w:rPr>
      </w:pPr>
      <w:r>
        <w:rPr/>
        <mc:AlternateContent>
          <mc:Choice Requires="wps">
            <w:drawing>
              <wp:anchor distT="0" distB="0" distL="0" distR="0" allowOverlap="1" layoutInCell="1" locked="0" behindDoc="1" simplePos="0" relativeHeight="487589376">
                <wp:simplePos x="0" y="0"/>
                <wp:positionH relativeFrom="page">
                  <wp:posOffset>899999</wp:posOffset>
                </wp:positionH>
                <wp:positionV relativeFrom="paragraph">
                  <wp:posOffset>175086</wp:posOffset>
                </wp:positionV>
                <wp:extent cx="6012180"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3.786351pt;width:473.4pt;height:.1pt;mso-position-horizontal-relative:page;mso-position-vertical-relative:paragraph;z-index:-15727104;mso-wrap-distance-left:0;mso-wrap-distance-right:0" id="docshape31" coordorigin="1417,276" coordsize="9468,0" path="m1417,276l10885,276e" filled="false" stroked="true" strokeweight="1pt" strokecolor="#36a9e1">
                <v:path arrowok="t"/>
                <v:stroke dashstyle="solid"/>
                <w10:wrap type="topAndBottom"/>
              </v:shape>
            </w:pict>
          </mc:Fallback>
        </mc:AlternateContent>
      </w:r>
    </w:p>
    <w:p>
      <w:pPr>
        <w:spacing w:before="114"/>
        <w:ind w:left="1117" w:right="0" w:firstLine="0"/>
        <w:jc w:val="left"/>
        <w:rPr>
          <w:rFonts w:ascii="Arial Black"/>
          <w:sz w:val="29"/>
        </w:rPr>
      </w:pPr>
      <w:r>
        <w:rPr>
          <w:rFonts w:ascii="Arial Black"/>
          <w:color w:val="164194"/>
          <w:spacing w:val="-10"/>
          <w:sz w:val="29"/>
        </w:rPr>
        <w:t>November</w:t>
      </w:r>
      <w:r>
        <w:rPr>
          <w:rFonts w:ascii="Arial Black"/>
          <w:color w:val="164194"/>
          <w:spacing w:val="-13"/>
          <w:sz w:val="29"/>
        </w:rPr>
        <w:t> </w:t>
      </w:r>
      <w:r>
        <w:rPr>
          <w:rFonts w:ascii="Arial Black"/>
          <w:color w:val="164194"/>
          <w:spacing w:val="-4"/>
          <w:sz w:val="29"/>
        </w:rPr>
        <w:t>2024</w:t>
      </w:r>
    </w:p>
    <w:p>
      <w:pPr>
        <w:spacing w:after="0"/>
        <w:jc w:val="left"/>
        <w:rPr>
          <w:rFonts w:ascii="Arial Black"/>
          <w:sz w:val="29"/>
        </w:rPr>
        <w:sectPr>
          <w:pgSz w:w="11910" w:h="16840"/>
          <w:pgMar w:top="1920" w:bottom="280" w:left="300" w:right="280"/>
        </w:sectPr>
      </w:pPr>
    </w:p>
    <w:p>
      <w:pPr>
        <w:pStyle w:val="BodyText"/>
        <w:spacing w:line="232" w:lineRule="auto" w:before="34"/>
        <w:ind w:left="720" w:right="1087"/>
      </w:pPr>
      <w:r>
        <w:rPr/>
        <w:t>This report was commissioned by the Equality Commission for Northern Ireland (ECNI) further to its role, with the Northern Ireland Human Rights Commission (NIHRC), as the Dedicated Mechanism under Article 2(1) of the Ireland/Northern Ireland Protocol. This paper was written by Sarah Craig, Claire Lougarre and Rory O’Connell</w:t>
      </w:r>
      <w:r>
        <w:rPr>
          <w:spacing w:val="-6"/>
        </w:rPr>
        <w:t> </w:t>
      </w:r>
      <w:r>
        <w:rPr/>
        <w:t>for</w:t>
      </w:r>
      <w:r>
        <w:rPr>
          <w:spacing w:val="-5"/>
        </w:rPr>
        <w:t> </w:t>
      </w:r>
      <w:r>
        <w:rPr/>
        <w:t>the</w:t>
      </w:r>
      <w:r>
        <w:rPr>
          <w:spacing w:val="-5"/>
        </w:rPr>
        <w:t> </w:t>
      </w:r>
      <w:r>
        <w:rPr/>
        <w:t>Equality</w:t>
      </w:r>
      <w:r>
        <w:rPr>
          <w:spacing w:val="-5"/>
        </w:rPr>
        <w:t> </w:t>
      </w:r>
      <w:r>
        <w:rPr/>
        <w:t>Commission</w:t>
      </w:r>
      <w:r>
        <w:rPr>
          <w:spacing w:val="-6"/>
        </w:rPr>
        <w:t> </w:t>
      </w:r>
      <w:r>
        <w:rPr/>
        <w:t>for</w:t>
      </w:r>
      <w:r>
        <w:rPr>
          <w:spacing w:val="-5"/>
        </w:rPr>
        <w:t> </w:t>
      </w:r>
      <w:r>
        <w:rPr/>
        <w:t>Northern</w:t>
      </w:r>
      <w:r>
        <w:rPr>
          <w:spacing w:val="-6"/>
        </w:rPr>
        <w:t> </w:t>
      </w:r>
      <w:r>
        <w:rPr/>
        <w:t>Ireland,</w:t>
      </w:r>
      <w:r>
        <w:rPr>
          <w:spacing w:val="-5"/>
        </w:rPr>
        <w:t> </w:t>
      </w:r>
      <w:r>
        <w:rPr/>
        <w:t>the</w:t>
      </w:r>
      <w:r>
        <w:rPr>
          <w:spacing w:val="-5"/>
        </w:rPr>
        <w:t> </w:t>
      </w:r>
      <w:r>
        <w:rPr/>
        <w:t>Northern</w:t>
      </w:r>
      <w:r>
        <w:rPr>
          <w:spacing w:val="-6"/>
        </w:rPr>
        <w:t> </w:t>
      </w:r>
      <w:r>
        <w:rPr/>
        <w:t>Ireland Human Rights Commission and the Irish Human Rights and Equality Commission. The views expressed within this paper are those of the authors and do not necessarily represent the views of the Equality Commission for Northern Ireland, the Northern Ireland Human Rights Commission or the Irish Human Rights and Equality Commission, nor the employers of the authors. Responsibility for any statements,</w:t>
      </w:r>
      <w:r>
        <w:rPr>
          <w:spacing w:val="-5"/>
        </w:rPr>
        <w:t> </w:t>
      </w:r>
      <w:r>
        <w:rPr/>
        <w:t>errors</w:t>
      </w:r>
      <w:r>
        <w:rPr>
          <w:spacing w:val="-6"/>
        </w:rPr>
        <w:t> </w:t>
      </w:r>
      <w:r>
        <w:rPr/>
        <w:t>or</w:t>
      </w:r>
      <w:r>
        <w:rPr>
          <w:spacing w:val="-5"/>
        </w:rPr>
        <w:t> </w:t>
      </w:r>
      <w:r>
        <w:rPr/>
        <w:t>omissions</w:t>
      </w:r>
      <w:r>
        <w:rPr>
          <w:spacing w:val="-6"/>
        </w:rPr>
        <w:t> </w:t>
      </w:r>
      <w:r>
        <w:rPr/>
        <w:t>in</w:t>
      </w:r>
      <w:r>
        <w:rPr>
          <w:spacing w:val="-6"/>
        </w:rPr>
        <w:t> </w:t>
      </w:r>
      <w:r>
        <w:rPr/>
        <w:t>this</w:t>
      </w:r>
      <w:r>
        <w:rPr>
          <w:spacing w:val="-6"/>
        </w:rPr>
        <w:t> </w:t>
      </w:r>
      <w:r>
        <w:rPr/>
        <w:t>report</w:t>
      </w:r>
      <w:r>
        <w:rPr>
          <w:spacing w:val="-5"/>
        </w:rPr>
        <w:t> </w:t>
      </w:r>
      <w:r>
        <w:rPr/>
        <w:t>rests</w:t>
      </w:r>
      <w:r>
        <w:rPr>
          <w:spacing w:val="-6"/>
        </w:rPr>
        <w:t> </w:t>
      </w:r>
      <w:r>
        <w:rPr/>
        <w:t>with</w:t>
      </w:r>
      <w:r>
        <w:rPr>
          <w:spacing w:val="-6"/>
        </w:rPr>
        <w:t> </w:t>
      </w:r>
      <w:r>
        <w:rPr/>
        <w:t>the</w:t>
      </w:r>
      <w:r>
        <w:rPr>
          <w:spacing w:val="-5"/>
        </w:rPr>
        <w:t> </w:t>
      </w:r>
      <w:r>
        <w:rPr/>
        <w:t>authors.</w:t>
      </w:r>
      <w:r>
        <w:rPr>
          <w:spacing w:val="-6"/>
        </w:rPr>
        <w:t> </w:t>
      </w:r>
      <w:r>
        <w:rPr/>
        <w:t>This</w:t>
      </w:r>
      <w:r>
        <w:rPr>
          <w:spacing w:val="-6"/>
        </w:rPr>
        <w:t> </w:t>
      </w:r>
      <w:r>
        <w:rPr/>
        <w:t>paper</w:t>
      </w:r>
      <w:r>
        <w:rPr>
          <w:spacing w:val="-5"/>
        </w:rPr>
        <w:t> </w:t>
      </w:r>
      <w:r>
        <w:rPr/>
        <w:t>is not intended to be relied upon as legal advice applicable to any individual case.</w:t>
      </w:r>
    </w:p>
    <w:p>
      <w:pPr>
        <w:pStyle w:val="Heading3"/>
        <w:spacing w:line="240" w:lineRule="auto" w:before="257"/>
        <w:ind w:left="720" w:firstLine="0"/>
      </w:pPr>
      <w:r>
        <w:rPr/>
        <w:t>Report</w:t>
      </w:r>
      <w:r>
        <w:rPr>
          <w:spacing w:val="-4"/>
        </w:rPr>
        <w:t> </w:t>
      </w:r>
      <w:r>
        <w:rPr/>
        <w:t>finalised</w:t>
      </w:r>
      <w:r>
        <w:rPr>
          <w:spacing w:val="-4"/>
        </w:rPr>
        <w:t> </w:t>
      </w:r>
      <w:r>
        <w:rPr/>
        <w:t>on</w:t>
      </w:r>
      <w:r>
        <w:rPr>
          <w:spacing w:val="-4"/>
        </w:rPr>
        <w:t> </w:t>
      </w:r>
      <w:r>
        <w:rPr/>
        <w:t>29</w:t>
      </w:r>
      <w:r>
        <w:rPr>
          <w:spacing w:val="-4"/>
        </w:rPr>
        <w:t> </w:t>
      </w:r>
      <w:r>
        <w:rPr/>
        <w:t>August</w:t>
      </w:r>
      <w:r>
        <w:rPr>
          <w:spacing w:val="-3"/>
        </w:rPr>
        <w:t> </w:t>
      </w:r>
      <w:r>
        <w:rPr>
          <w:spacing w:val="-2"/>
        </w:rPr>
        <w:t>2024.</w:t>
      </w:r>
    </w:p>
    <w:p>
      <w:pPr>
        <w:pStyle w:val="BodyText"/>
        <w:spacing w:line="232" w:lineRule="auto" w:before="280"/>
        <w:ind w:left="720" w:right="2016"/>
        <w:jc w:val="both"/>
      </w:pPr>
      <w:r>
        <w:rPr/>
        <w:t>©</w:t>
      </w:r>
      <w:r>
        <w:rPr>
          <w:spacing w:val="-1"/>
        </w:rPr>
        <w:t> </w:t>
      </w:r>
      <w:r>
        <w:rPr/>
        <w:t>2024.</w:t>
      </w:r>
      <w:r>
        <w:rPr>
          <w:spacing w:val="-1"/>
        </w:rPr>
        <w:t> </w:t>
      </w:r>
      <w:r>
        <w:rPr/>
        <w:t>Copyright is</w:t>
      </w:r>
      <w:r>
        <w:rPr>
          <w:spacing w:val="-1"/>
        </w:rPr>
        <w:t> </w:t>
      </w:r>
      <w:r>
        <w:rPr/>
        <w:t>held</w:t>
      </w:r>
      <w:r>
        <w:rPr>
          <w:spacing w:val="-1"/>
        </w:rPr>
        <w:t> </w:t>
      </w:r>
      <w:r>
        <w:rPr/>
        <w:t>by the Equality Commission</w:t>
      </w:r>
      <w:r>
        <w:rPr>
          <w:spacing w:val="-1"/>
        </w:rPr>
        <w:t> </w:t>
      </w:r>
      <w:r>
        <w:rPr/>
        <w:t>for Northern</w:t>
      </w:r>
      <w:r>
        <w:rPr>
          <w:spacing w:val="-1"/>
        </w:rPr>
        <w:t> </w:t>
      </w:r>
      <w:r>
        <w:rPr/>
        <w:t>Ireland, the</w:t>
      </w:r>
      <w:r>
        <w:rPr>
          <w:spacing w:val="-4"/>
        </w:rPr>
        <w:t> </w:t>
      </w:r>
      <w:r>
        <w:rPr/>
        <w:t>Northern</w:t>
      </w:r>
      <w:r>
        <w:rPr>
          <w:spacing w:val="-5"/>
        </w:rPr>
        <w:t> </w:t>
      </w:r>
      <w:r>
        <w:rPr/>
        <w:t>Ireland</w:t>
      </w:r>
      <w:r>
        <w:rPr>
          <w:spacing w:val="-5"/>
        </w:rPr>
        <w:t> </w:t>
      </w:r>
      <w:r>
        <w:rPr/>
        <w:t>Human</w:t>
      </w:r>
      <w:r>
        <w:rPr>
          <w:spacing w:val="-5"/>
        </w:rPr>
        <w:t> </w:t>
      </w:r>
      <w:r>
        <w:rPr/>
        <w:t>Rights</w:t>
      </w:r>
      <w:r>
        <w:rPr>
          <w:spacing w:val="-5"/>
        </w:rPr>
        <w:t> </w:t>
      </w:r>
      <w:r>
        <w:rPr/>
        <w:t>Commission</w:t>
      </w:r>
      <w:r>
        <w:rPr>
          <w:spacing w:val="-5"/>
        </w:rPr>
        <w:t> </w:t>
      </w:r>
      <w:r>
        <w:rPr/>
        <w:t>and</w:t>
      </w:r>
      <w:r>
        <w:rPr>
          <w:spacing w:val="-5"/>
        </w:rPr>
        <w:t> </w:t>
      </w:r>
      <w:r>
        <w:rPr/>
        <w:t>the</w:t>
      </w:r>
      <w:r>
        <w:rPr>
          <w:spacing w:val="-4"/>
        </w:rPr>
        <w:t> </w:t>
      </w:r>
      <w:r>
        <w:rPr/>
        <w:t>Irish</w:t>
      </w:r>
      <w:r>
        <w:rPr>
          <w:spacing w:val="-5"/>
        </w:rPr>
        <w:t> </w:t>
      </w:r>
      <w:r>
        <w:rPr/>
        <w:t>Human</w:t>
      </w:r>
      <w:r>
        <w:rPr>
          <w:spacing w:val="-5"/>
        </w:rPr>
        <w:t> </w:t>
      </w:r>
      <w:r>
        <w:rPr/>
        <w:t>Rights and Equality Commission.</w:t>
      </w:r>
    </w:p>
    <w:p>
      <w:pPr>
        <w:pStyle w:val="BodyText"/>
        <w:spacing w:line="232" w:lineRule="auto" w:before="279"/>
        <w:ind w:left="720" w:right="1087"/>
      </w:pPr>
      <w:r>
        <w:rPr/>
        <w:t>Equality</w:t>
      </w:r>
      <w:r>
        <w:rPr>
          <w:spacing w:val="-7"/>
        </w:rPr>
        <w:t> </w:t>
      </w:r>
      <w:r>
        <w:rPr/>
        <w:t>Commission</w:t>
      </w:r>
      <w:r>
        <w:rPr>
          <w:spacing w:val="-8"/>
        </w:rPr>
        <w:t> </w:t>
      </w:r>
      <w:r>
        <w:rPr/>
        <w:t>for</w:t>
      </w:r>
      <w:r>
        <w:rPr>
          <w:spacing w:val="-7"/>
        </w:rPr>
        <w:t> </w:t>
      </w:r>
      <w:r>
        <w:rPr/>
        <w:t>Northern</w:t>
      </w:r>
      <w:r>
        <w:rPr>
          <w:spacing w:val="-8"/>
        </w:rPr>
        <w:t> </w:t>
      </w:r>
      <w:r>
        <w:rPr/>
        <w:t>Ireland,</w:t>
      </w:r>
      <w:r>
        <w:rPr>
          <w:spacing w:val="-7"/>
        </w:rPr>
        <w:t> </w:t>
      </w:r>
      <w:r>
        <w:rPr/>
        <w:t>Equality</w:t>
      </w:r>
      <w:r>
        <w:rPr>
          <w:spacing w:val="-7"/>
        </w:rPr>
        <w:t> </w:t>
      </w:r>
      <w:r>
        <w:rPr/>
        <w:t>House,</w:t>
      </w:r>
      <w:r>
        <w:rPr>
          <w:spacing w:val="-7"/>
        </w:rPr>
        <w:t> </w:t>
      </w:r>
      <w:r>
        <w:rPr/>
        <w:t>7-9</w:t>
      </w:r>
      <w:r>
        <w:rPr>
          <w:spacing w:val="-7"/>
        </w:rPr>
        <w:t> </w:t>
      </w:r>
      <w:r>
        <w:rPr/>
        <w:t>Shaftesbury</w:t>
      </w:r>
      <w:r>
        <w:rPr>
          <w:spacing w:val="-7"/>
        </w:rPr>
        <w:t> </w:t>
      </w:r>
      <w:r>
        <w:rPr/>
        <w:t>Square, Belfast BT2 7DP</w:t>
      </w:r>
    </w:p>
    <w:p>
      <w:pPr>
        <w:pStyle w:val="BodyText"/>
        <w:spacing w:line="232" w:lineRule="auto" w:before="280"/>
        <w:ind w:left="720" w:right="1886"/>
      </w:pPr>
      <w:r>
        <w:rPr/>
        <w:t>Irish</w:t>
      </w:r>
      <w:r>
        <w:rPr>
          <w:spacing w:val="-6"/>
        </w:rPr>
        <w:t> </w:t>
      </w:r>
      <w:r>
        <w:rPr/>
        <w:t>Human</w:t>
      </w:r>
      <w:r>
        <w:rPr>
          <w:spacing w:val="-6"/>
        </w:rPr>
        <w:t> </w:t>
      </w:r>
      <w:r>
        <w:rPr/>
        <w:t>Rights</w:t>
      </w:r>
      <w:r>
        <w:rPr>
          <w:spacing w:val="-6"/>
        </w:rPr>
        <w:t> </w:t>
      </w:r>
      <w:r>
        <w:rPr/>
        <w:t>and</w:t>
      </w:r>
      <w:r>
        <w:rPr>
          <w:spacing w:val="-6"/>
        </w:rPr>
        <w:t> </w:t>
      </w:r>
      <w:r>
        <w:rPr/>
        <w:t>Equality</w:t>
      </w:r>
      <w:r>
        <w:rPr>
          <w:spacing w:val="-5"/>
        </w:rPr>
        <w:t> </w:t>
      </w:r>
      <w:r>
        <w:rPr/>
        <w:t>Commission,</w:t>
      </w:r>
      <w:r>
        <w:rPr>
          <w:spacing w:val="-5"/>
        </w:rPr>
        <w:t> </w:t>
      </w:r>
      <w:r>
        <w:rPr/>
        <w:t>16-22</w:t>
      </w:r>
      <w:r>
        <w:rPr>
          <w:spacing w:val="-5"/>
        </w:rPr>
        <w:t> </w:t>
      </w:r>
      <w:r>
        <w:rPr/>
        <w:t>Green</w:t>
      </w:r>
      <w:r>
        <w:rPr>
          <w:spacing w:val="-6"/>
        </w:rPr>
        <w:t> </w:t>
      </w:r>
      <w:r>
        <w:rPr/>
        <w:t>St,</w:t>
      </w:r>
      <w:r>
        <w:rPr>
          <w:spacing w:val="-5"/>
        </w:rPr>
        <w:t> </w:t>
      </w:r>
      <w:r>
        <w:rPr/>
        <w:t>Rotunda, Dublin 7, D07 CR20, Ireland</w:t>
      </w:r>
    </w:p>
    <w:p>
      <w:pPr>
        <w:pStyle w:val="BodyText"/>
        <w:spacing w:line="232" w:lineRule="auto" w:before="280"/>
        <w:ind w:left="720" w:right="2820"/>
      </w:pPr>
      <w:r>
        <w:rPr/>
        <w:t>Northern</w:t>
      </w:r>
      <w:r>
        <w:rPr>
          <w:spacing w:val="-6"/>
        </w:rPr>
        <w:t> </w:t>
      </w:r>
      <w:r>
        <w:rPr/>
        <w:t>Ireland</w:t>
      </w:r>
      <w:r>
        <w:rPr>
          <w:spacing w:val="-6"/>
        </w:rPr>
        <w:t> </w:t>
      </w:r>
      <w:r>
        <w:rPr/>
        <w:t>Human</w:t>
      </w:r>
      <w:r>
        <w:rPr>
          <w:spacing w:val="-6"/>
        </w:rPr>
        <w:t> </w:t>
      </w:r>
      <w:r>
        <w:rPr/>
        <w:t>Rights</w:t>
      </w:r>
      <w:r>
        <w:rPr>
          <w:spacing w:val="-6"/>
        </w:rPr>
        <w:t> </w:t>
      </w:r>
      <w:r>
        <w:rPr/>
        <w:t>Commission,</w:t>
      </w:r>
      <w:r>
        <w:rPr>
          <w:spacing w:val="-5"/>
        </w:rPr>
        <w:t> </w:t>
      </w:r>
      <w:r>
        <w:rPr/>
        <w:t>4th</w:t>
      </w:r>
      <w:r>
        <w:rPr>
          <w:spacing w:val="-6"/>
        </w:rPr>
        <w:t> </w:t>
      </w:r>
      <w:r>
        <w:rPr/>
        <w:t>Floor</w:t>
      </w:r>
      <w:r>
        <w:rPr>
          <w:spacing w:val="-5"/>
        </w:rPr>
        <w:t> </w:t>
      </w:r>
      <w:r>
        <w:rPr/>
        <w:t>Alfred</w:t>
      </w:r>
      <w:r>
        <w:rPr>
          <w:spacing w:val="-6"/>
        </w:rPr>
        <w:t> </w:t>
      </w:r>
      <w:r>
        <w:rPr/>
        <w:t>House, 19-21 Alfred Street, Belfast BT2 8ED</w:t>
      </w:r>
    </w:p>
    <w:p>
      <w:pPr>
        <w:spacing w:after="0" w:line="232" w:lineRule="auto"/>
        <w:sectPr>
          <w:pgSz w:w="11910" w:h="16840"/>
          <w:pgMar w:top="16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09632">
                <wp:simplePos x="0" y="0"/>
                <wp:positionH relativeFrom="page">
                  <wp:posOffset>-2</wp:posOffset>
                </wp:positionH>
                <wp:positionV relativeFrom="page">
                  <wp:posOffset>0</wp:posOffset>
                </wp:positionV>
                <wp:extent cx="7560309" cy="572452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7560309" cy="5724525"/>
                          <a:chExt cx="7560309" cy="5724525"/>
                        </a:xfrm>
                      </wpg:grpSpPr>
                      <pic:pic>
                        <pic:nvPicPr>
                          <pic:cNvPr id="38" name="Image 38"/>
                          <pic:cNvPicPr/>
                        </pic:nvPicPr>
                        <pic:blipFill>
                          <a:blip r:embed="rId28" cstate="print"/>
                          <a:stretch>
                            <a:fillRect/>
                          </a:stretch>
                        </pic:blipFill>
                        <pic:spPr>
                          <a:xfrm>
                            <a:off x="2" y="0"/>
                            <a:ext cx="7559992" cy="2700007"/>
                          </a:xfrm>
                          <a:prstGeom prst="rect">
                            <a:avLst/>
                          </a:prstGeom>
                        </pic:spPr>
                      </pic:pic>
                      <wps:wsp>
                        <wps:cNvPr id="39" name="Graphic 39"/>
                        <wps:cNvSpPr/>
                        <wps:spPr>
                          <a:xfrm>
                            <a:off x="2" y="1530002"/>
                            <a:ext cx="7560309" cy="4183379"/>
                          </a:xfrm>
                          <a:custGeom>
                            <a:avLst/>
                            <a:gdLst/>
                            <a:ahLst/>
                            <a:cxnLst/>
                            <a:rect l="l" t="t" r="r" b="b"/>
                            <a:pathLst>
                              <a:path w="7560309" h="4183379">
                                <a:moveTo>
                                  <a:pt x="6840004" y="0"/>
                                </a:moveTo>
                                <a:lnTo>
                                  <a:pt x="0" y="0"/>
                                </a:lnTo>
                                <a:lnTo>
                                  <a:pt x="0" y="4182871"/>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900001" y="178285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41" name="Graphic 41"/>
                        <wps:cNvSpPr/>
                        <wps:spPr>
                          <a:xfrm>
                            <a:off x="900001" y="2172402"/>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42" name="Graphic 42"/>
                        <wps:cNvSpPr/>
                        <wps:spPr>
                          <a:xfrm>
                            <a:off x="900001" y="256195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43" name="Graphic 43"/>
                        <wps:cNvSpPr/>
                        <wps:spPr>
                          <a:xfrm>
                            <a:off x="900001" y="295150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44" name="Graphic 44"/>
                        <wps:cNvSpPr/>
                        <wps:spPr>
                          <a:xfrm>
                            <a:off x="900001" y="5718102"/>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45" name="Graphic 45"/>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46" name="Graphic 46"/>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450.75pt;mso-position-horizontal-relative:page;mso-position-vertical-relative:page;z-index:-19406848" id="docshapegroup32" coordorigin="0,0" coordsize="11906,9015">
                <v:shape style="position:absolute;left:0;top:0;width:11906;height:4252" type="#_x0000_t75" id="docshape33" stroked="false">
                  <v:imagedata r:id="rId28" o:title=""/>
                </v:shape>
                <v:shape style="position:absolute;left:0;top:2409;width:11906;height:6588" id="docshape34" coordorigin="0,2409" coordsize="11906,6588" path="m10772,2409l0,2409,0,8997,11906,8997,11906,2977,11846,2902,11798,2850,11749,2800,11697,2753,11642,2708,11586,2666,11527,2627,11467,2591,11404,2558,11340,2528,11274,2501,11206,2477,11137,2457,11066,2440,10994,2427,10921,2417,10847,2411,10772,2409xe" filled="true" fillcolor="#ffffff" stroked="false">
                  <v:path arrowok="t"/>
                  <v:fill type="solid"/>
                </v:shape>
                <v:line style="position:absolute" from="1417,2808" to="10885,2808" stroked="true" strokeweight="1pt" strokecolor="#36a9e1">
                  <v:stroke dashstyle="solid"/>
                </v:line>
                <v:line style="position:absolute" from="1417,3421" to="10885,3421" stroked="true" strokeweight="1pt" strokecolor="#36a9e1">
                  <v:stroke dashstyle="solid"/>
                </v:line>
                <v:line style="position:absolute" from="1417,4035" to="10885,4035" stroked="true" strokeweight="1pt" strokecolor="#36a9e1">
                  <v:stroke dashstyle="solid"/>
                </v:line>
                <v:line style="position:absolute" from="1417,4648" to="10885,4648" stroked="true" strokeweight="1pt" strokecolor="#36a9e1">
                  <v:stroke dashstyle="solid"/>
                </v:line>
                <v:line style="position:absolute" from="1417,9005" to="10885,9005" stroked="true" strokeweight="1pt" strokecolor="#36a9e1">
                  <v:stroke dashstyle="solid"/>
                </v:line>
                <v:shape style="position:absolute;left:0;top:0;width:11906;height:1819" id="docshape3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tabs>
          <w:tab w:pos="10947" w:val="left" w:leader="none"/>
        </w:tabs>
        <w:spacing w:before="1"/>
        <w:ind w:left="4140" w:right="0" w:firstLine="0"/>
        <w:jc w:val="left"/>
        <w:rPr>
          <w:b/>
          <w:sz w:val="28"/>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10"/>
          <w:position w:val="-1"/>
          <w:sz w:val="28"/>
        </w:rPr>
        <w:t>i</w:t>
      </w:r>
    </w:p>
    <w:p>
      <w:pPr>
        <w:pStyle w:val="BodyText"/>
        <w:spacing w:before="40"/>
        <w:rPr>
          <w:b/>
          <w:sz w:val="52"/>
        </w:rPr>
      </w:pPr>
    </w:p>
    <w:p>
      <w:pPr>
        <w:pStyle w:val="Heading1"/>
      </w:pPr>
      <w:r>
        <w:rPr>
          <w:color w:val="FFFFFF"/>
        </w:rPr>
        <w:t>Table</w:t>
      </w:r>
      <w:r>
        <w:rPr>
          <w:color w:val="FFFFFF"/>
          <w:spacing w:val="-23"/>
        </w:rPr>
        <w:t> </w:t>
      </w:r>
      <w:r>
        <w:rPr>
          <w:color w:val="FFFFFF"/>
        </w:rPr>
        <w:t>of</w:t>
      </w:r>
      <w:r>
        <w:rPr>
          <w:color w:val="FFFFFF"/>
          <w:spacing w:val="-23"/>
        </w:rPr>
        <w:t> </w:t>
      </w:r>
      <w:r>
        <w:rPr>
          <w:color w:val="FFFFFF"/>
          <w:spacing w:val="-2"/>
        </w:rPr>
        <w:t>Contents</w:t>
      </w:r>
    </w:p>
    <w:p>
      <w:pPr>
        <w:spacing w:after="0"/>
        <w:sectPr>
          <w:pgSz w:w="11910" w:h="16840"/>
          <w:pgMar w:top="0" w:bottom="937" w:left="300" w:right="280"/>
        </w:sectPr>
      </w:pPr>
    </w:p>
    <w:sdt>
      <w:sdtPr>
        <w:docPartObj>
          <w:docPartGallery w:val="Table of Contents"/>
          <w:docPartUnique/>
        </w:docPartObj>
      </w:sdtPr>
      <w:sdtEndPr/>
      <w:sdtContent>
        <w:p>
          <w:pPr>
            <w:pStyle w:val="TOC4"/>
            <w:tabs>
              <w:tab w:pos="10442" w:val="left" w:leader="none"/>
            </w:tabs>
            <w:spacing w:before="661"/>
          </w:pPr>
          <w:hyperlink w:history="true" w:anchor="_bookmark0">
            <w:r>
              <w:rPr>
                <w:color w:val="164194"/>
              </w:rPr>
              <w:t>About</w:t>
            </w:r>
            <w:r>
              <w:rPr>
                <w:color w:val="164194"/>
                <w:spacing w:val="-1"/>
              </w:rPr>
              <w:t> </w:t>
            </w:r>
            <w:r>
              <w:rPr>
                <w:color w:val="164194"/>
              </w:rPr>
              <w:t>the</w:t>
            </w:r>
            <w:r>
              <w:rPr>
                <w:color w:val="164194"/>
                <w:spacing w:val="-2"/>
              </w:rPr>
              <w:t> Authors</w:t>
            </w:r>
            <w:r>
              <w:rPr>
                <w:rFonts w:ascii="Times New Roman"/>
                <w:b w:val="0"/>
                <w:color w:val="164194"/>
              </w:rPr>
              <w:tab/>
            </w:r>
            <w:r>
              <w:rPr>
                <w:color w:val="164194"/>
                <w:spacing w:val="-10"/>
              </w:rPr>
              <w:t>1</w:t>
            </w:r>
          </w:hyperlink>
        </w:p>
        <w:p>
          <w:pPr>
            <w:pStyle w:val="TOC4"/>
            <w:tabs>
              <w:tab w:pos="10442" w:val="left" w:leader="none"/>
            </w:tabs>
            <w:spacing w:before="271"/>
          </w:pPr>
          <w:hyperlink w:history="true" w:anchor="_bookmark1">
            <w:r>
              <w:rPr>
                <w:color w:val="164194"/>
              </w:rPr>
              <w:t>List</w:t>
            </w:r>
            <w:r>
              <w:rPr>
                <w:color w:val="164194"/>
                <w:spacing w:val="-3"/>
              </w:rPr>
              <w:t> </w:t>
            </w:r>
            <w:r>
              <w:rPr>
                <w:color w:val="164194"/>
              </w:rPr>
              <w:t>of</w:t>
            </w:r>
            <w:r>
              <w:rPr>
                <w:color w:val="164194"/>
                <w:spacing w:val="-3"/>
              </w:rPr>
              <w:t> </w:t>
            </w:r>
            <w:r>
              <w:rPr>
                <w:color w:val="164194"/>
                <w:spacing w:val="-2"/>
              </w:rPr>
              <w:t>Abbreviations</w:t>
            </w:r>
            <w:r>
              <w:rPr>
                <w:rFonts w:ascii="Times New Roman"/>
                <w:b w:val="0"/>
                <w:color w:val="164194"/>
              </w:rPr>
              <w:tab/>
            </w:r>
            <w:r>
              <w:rPr>
                <w:color w:val="164194"/>
                <w:spacing w:val="-10"/>
              </w:rPr>
              <w:t>2</w:t>
            </w:r>
          </w:hyperlink>
        </w:p>
        <w:p>
          <w:pPr>
            <w:pStyle w:val="TOC4"/>
            <w:tabs>
              <w:tab w:pos="10442" w:val="left" w:leader="none"/>
            </w:tabs>
          </w:pPr>
          <w:hyperlink w:history="true" w:anchor="_bookmark2">
            <w:r>
              <w:rPr>
                <w:color w:val="164194"/>
              </w:rPr>
              <w:t>List</w:t>
            </w:r>
            <w:r>
              <w:rPr>
                <w:color w:val="164194"/>
                <w:spacing w:val="-5"/>
              </w:rPr>
              <w:t> </w:t>
            </w:r>
            <w:r>
              <w:rPr>
                <w:color w:val="164194"/>
              </w:rPr>
              <w:t>of</w:t>
            </w:r>
            <w:r>
              <w:rPr>
                <w:color w:val="164194"/>
                <w:spacing w:val="-6"/>
              </w:rPr>
              <w:t> </w:t>
            </w:r>
            <w:r>
              <w:rPr>
                <w:color w:val="164194"/>
              </w:rPr>
              <w:t>Key</w:t>
            </w:r>
            <w:r>
              <w:rPr>
                <w:color w:val="164194"/>
                <w:spacing w:val="-4"/>
              </w:rPr>
              <w:t> </w:t>
            </w:r>
            <w:r>
              <w:rPr>
                <w:color w:val="164194"/>
                <w:spacing w:val="-2"/>
              </w:rPr>
              <w:t>Terms</w:t>
            </w:r>
            <w:r>
              <w:rPr>
                <w:rFonts w:ascii="Times New Roman"/>
                <w:b w:val="0"/>
                <w:color w:val="164194"/>
              </w:rPr>
              <w:tab/>
            </w:r>
            <w:r>
              <w:rPr>
                <w:color w:val="164194"/>
                <w:spacing w:val="-10"/>
              </w:rPr>
              <w:t>3</w:t>
            </w:r>
          </w:hyperlink>
        </w:p>
        <w:p>
          <w:pPr>
            <w:pStyle w:val="TOC4"/>
            <w:tabs>
              <w:tab w:pos="10442" w:val="left" w:leader="none"/>
            </w:tabs>
          </w:pPr>
          <w:hyperlink w:history="true" w:anchor="_bookmark3">
            <w:r>
              <w:rPr>
                <w:color w:val="164194"/>
                <w:spacing w:val="-2"/>
              </w:rPr>
              <w:t>Executive</w:t>
            </w:r>
            <w:r>
              <w:rPr>
                <w:color w:val="164194"/>
                <w:spacing w:val="-7"/>
              </w:rPr>
              <w:t> </w:t>
            </w:r>
            <w:r>
              <w:rPr>
                <w:color w:val="164194"/>
                <w:spacing w:val="-2"/>
              </w:rPr>
              <w:t>Summary</w:t>
            </w:r>
            <w:r>
              <w:rPr>
                <w:rFonts w:ascii="Times New Roman"/>
                <w:b w:val="0"/>
                <w:color w:val="164194"/>
              </w:rPr>
              <w:tab/>
            </w:r>
            <w:r>
              <w:rPr>
                <w:color w:val="164194"/>
                <w:spacing w:val="-10"/>
              </w:rPr>
              <w:t>5</w:t>
            </w:r>
          </w:hyperlink>
        </w:p>
        <w:p>
          <w:pPr>
            <w:pStyle w:val="TOC5"/>
            <w:tabs>
              <w:tab w:pos="10442" w:val="left" w:leader="none"/>
            </w:tabs>
            <w:spacing w:line="336" w:lineRule="exact" w:before="101"/>
            <w:ind w:firstLine="0"/>
          </w:pPr>
          <w:hyperlink w:history="true" w:anchor="_bookmark3">
            <w:r>
              <w:rPr/>
              <w:t>Introduction</w:t>
            </w:r>
            <w:r>
              <w:rPr>
                <w:spacing w:val="-16"/>
              </w:rPr>
              <w:t> </w:t>
            </w:r>
            <w:r>
              <w:rPr/>
              <w:t>and</w:t>
            </w:r>
            <w:r>
              <w:rPr>
                <w:spacing w:val="-15"/>
              </w:rPr>
              <w:t> </w:t>
            </w:r>
            <w:r>
              <w:rPr>
                <w:spacing w:val="-2"/>
              </w:rPr>
              <w:t>Background</w:t>
            </w:r>
            <w:r>
              <w:rPr>
                <w:rFonts w:ascii="Times New Roman"/>
              </w:rPr>
              <w:tab/>
            </w:r>
            <w:r>
              <w:rPr>
                <w:spacing w:val="-10"/>
              </w:rPr>
              <w:t>5</w:t>
            </w:r>
          </w:hyperlink>
        </w:p>
        <w:p>
          <w:pPr>
            <w:pStyle w:val="TOC5"/>
            <w:ind w:firstLine="0"/>
          </w:pPr>
          <w:hyperlink w:history="true" w:anchor="_bookmark4">
            <w:r>
              <w:rPr/>
              <w:t>Human</w:t>
            </w:r>
            <w:r>
              <w:rPr>
                <w:spacing w:val="-9"/>
              </w:rPr>
              <w:t> </w:t>
            </w:r>
            <w:r>
              <w:rPr/>
              <w:t>Rights</w:t>
            </w:r>
            <w:r>
              <w:rPr>
                <w:spacing w:val="-7"/>
              </w:rPr>
              <w:t> </w:t>
            </w:r>
            <w:r>
              <w:rPr/>
              <w:t>and</w:t>
            </w:r>
            <w:r>
              <w:rPr>
                <w:spacing w:val="-7"/>
              </w:rPr>
              <w:t> </w:t>
            </w:r>
            <w:r>
              <w:rPr/>
              <w:t>Equality</w:t>
            </w:r>
            <w:r>
              <w:rPr>
                <w:spacing w:val="-6"/>
              </w:rPr>
              <w:t> </w:t>
            </w:r>
            <w:r>
              <w:rPr/>
              <w:t>Developments</w:t>
            </w:r>
            <w:r>
              <w:rPr>
                <w:spacing w:val="-7"/>
              </w:rPr>
              <w:t> </w:t>
            </w:r>
            <w:r>
              <w:rPr/>
              <w:t>in</w:t>
            </w:r>
            <w:r>
              <w:rPr>
                <w:spacing w:val="-7"/>
              </w:rPr>
              <w:t> </w:t>
            </w:r>
            <w:r>
              <w:rPr/>
              <w:t>Northern</w:t>
            </w:r>
            <w:r>
              <w:rPr>
                <w:spacing w:val="-7"/>
              </w:rPr>
              <w:t> </w:t>
            </w:r>
            <w:r>
              <w:rPr/>
              <w:t>Ireland</w:t>
            </w:r>
            <w:r>
              <w:rPr>
                <w:spacing w:val="-6"/>
              </w:rPr>
              <w:t> </w:t>
            </w:r>
            <w:r>
              <w:rPr>
                <w:spacing w:val="-5"/>
              </w:rPr>
              <w:t>and</w:t>
            </w:r>
          </w:hyperlink>
        </w:p>
        <w:p>
          <w:pPr>
            <w:pStyle w:val="TOC5"/>
            <w:tabs>
              <w:tab w:pos="10442" w:val="left" w:leader="none"/>
            </w:tabs>
            <w:ind w:firstLine="0"/>
          </w:pPr>
          <w:hyperlink w:history="true" w:anchor="_bookmark4">
            <w:r>
              <w:rPr/>
              <w:t>the</w:t>
            </w:r>
            <w:r>
              <w:rPr>
                <w:spacing w:val="-1"/>
              </w:rPr>
              <w:t> </w:t>
            </w:r>
            <w:r>
              <w:rPr/>
              <w:t>United</w:t>
            </w:r>
            <w:r>
              <w:rPr>
                <w:spacing w:val="-2"/>
              </w:rPr>
              <w:t> </w:t>
            </w:r>
            <w:r>
              <w:rPr/>
              <w:t>Kingdom</w:t>
            </w:r>
            <w:r>
              <w:rPr>
                <w:spacing w:val="-1"/>
              </w:rPr>
              <w:t> </w:t>
            </w:r>
            <w:r>
              <w:rPr/>
              <w:t>since</w:t>
            </w:r>
            <w:r>
              <w:rPr>
                <w:spacing w:val="-1"/>
              </w:rPr>
              <w:t> </w:t>
            </w:r>
            <w:r>
              <w:rPr/>
              <w:t>January</w:t>
            </w:r>
            <w:r>
              <w:rPr>
                <w:spacing w:val="-1"/>
              </w:rPr>
              <w:t> </w:t>
            </w:r>
            <w:r>
              <w:rPr/>
              <w:t>2022</w:t>
            </w:r>
            <w:r>
              <w:rPr>
                <w:spacing w:val="-1"/>
              </w:rPr>
              <w:t> </w:t>
            </w:r>
            <w:r>
              <w:rPr/>
              <w:t>and</w:t>
            </w:r>
            <w:r>
              <w:rPr>
                <w:spacing w:val="-2"/>
              </w:rPr>
              <w:t> </w:t>
            </w:r>
            <w:r>
              <w:rPr/>
              <w:t>the</w:t>
            </w:r>
            <w:r>
              <w:rPr>
                <w:spacing w:val="-1"/>
              </w:rPr>
              <w:t> </w:t>
            </w:r>
            <w:r>
              <w:rPr/>
              <w:t>Risk</w:t>
            </w:r>
            <w:r>
              <w:rPr>
                <w:spacing w:val="-1"/>
              </w:rPr>
              <w:t> </w:t>
            </w:r>
            <w:r>
              <w:rPr/>
              <w:t>of</w:t>
            </w:r>
            <w:r>
              <w:rPr>
                <w:spacing w:val="-1"/>
              </w:rPr>
              <w:t> </w:t>
            </w:r>
            <w:r>
              <w:rPr>
                <w:spacing w:val="-2"/>
              </w:rPr>
              <w:t>Divergence</w:t>
            </w:r>
            <w:r>
              <w:rPr>
                <w:rFonts w:ascii="Times New Roman"/>
              </w:rPr>
              <w:tab/>
            </w:r>
            <w:r>
              <w:rPr>
                <w:spacing w:val="-10"/>
              </w:rPr>
              <w:t>7</w:t>
            </w:r>
          </w:hyperlink>
        </w:p>
        <w:p>
          <w:pPr>
            <w:pStyle w:val="TOC5"/>
            <w:ind w:firstLine="0"/>
          </w:pPr>
          <w:hyperlink w:history="true" w:anchor="_bookmark5">
            <w:r>
              <w:rPr/>
              <w:t>Human</w:t>
            </w:r>
            <w:r>
              <w:rPr>
                <w:spacing w:val="-6"/>
              </w:rPr>
              <w:t> </w:t>
            </w:r>
            <w:r>
              <w:rPr/>
              <w:t>Rights</w:t>
            </w:r>
            <w:r>
              <w:rPr>
                <w:spacing w:val="-5"/>
              </w:rPr>
              <w:t> </w:t>
            </w:r>
            <w:r>
              <w:rPr/>
              <w:t>and</w:t>
            </w:r>
            <w:r>
              <w:rPr>
                <w:spacing w:val="-5"/>
              </w:rPr>
              <w:t> </w:t>
            </w:r>
            <w:r>
              <w:rPr/>
              <w:t>Equality</w:t>
            </w:r>
            <w:r>
              <w:rPr>
                <w:spacing w:val="-5"/>
              </w:rPr>
              <w:t> </w:t>
            </w:r>
            <w:r>
              <w:rPr/>
              <w:t>Developments</w:t>
            </w:r>
            <w:r>
              <w:rPr>
                <w:spacing w:val="-5"/>
              </w:rPr>
              <w:t> </w:t>
            </w:r>
            <w:r>
              <w:rPr/>
              <w:t>in</w:t>
            </w:r>
            <w:r>
              <w:rPr>
                <w:spacing w:val="-5"/>
              </w:rPr>
              <w:t> </w:t>
            </w:r>
            <w:r>
              <w:rPr/>
              <w:t>Ireland</w:t>
            </w:r>
            <w:r>
              <w:rPr>
                <w:spacing w:val="-6"/>
              </w:rPr>
              <w:t> </w:t>
            </w:r>
            <w:r>
              <w:rPr/>
              <w:t>since</w:t>
            </w:r>
            <w:r>
              <w:rPr>
                <w:spacing w:val="-4"/>
              </w:rPr>
              <w:t> </w:t>
            </w:r>
            <w:r>
              <w:rPr/>
              <w:t>January</w:t>
            </w:r>
            <w:r>
              <w:rPr>
                <w:spacing w:val="-4"/>
              </w:rPr>
              <w:t> 2022</w:t>
            </w:r>
          </w:hyperlink>
        </w:p>
        <w:p>
          <w:pPr>
            <w:pStyle w:val="TOC5"/>
            <w:tabs>
              <w:tab w:pos="10442" w:val="left" w:leader="none"/>
            </w:tabs>
            <w:ind w:firstLine="0"/>
          </w:pPr>
          <w:hyperlink w:history="true" w:anchor="_bookmark5">
            <w:r>
              <w:rPr/>
              <w:t>and</w:t>
            </w:r>
            <w:r>
              <w:rPr>
                <w:spacing w:val="-2"/>
              </w:rPr>
              <w:t> </w:t>
            </w:r>
            <w:r>
              <w:rPr/>
              <w:t>the</w:t>
            </w:r>
            <w:r>
              <w:rPr>
                <w:spacing w:val="-1"/>
              </w:rPr>
              <w:t> </w:t>
            </w:r>
            <w:r>
              <w:rPr/>
              <w:t>Risk</w:t>
            </w:r>
            <w:r>
              <w:rPr>
                <w:spacing w:val="-1"/>
              </w:rPr>
              <w:t> </w:t>
            </w:r>
            <w:r>
              <w:rPr/>
              <w:t>of</w:t>
            </w:r>
            <w:r>
              <w:rPr>
                <w:spacing w:val="-1"/>
              </w:rPr>
              <w:t> </w:t>
            </w:r>
            <w:r>
              <w:rPr>
                <w:spacing w:val="-2"/>
              </w:rPr>
              <w:t>Divergence</w:t>
            </w:r>
            <w:r>
              <w:rPr>
                <w:rFonts w:ascii="Times New Roman"/>
              </w:rPr>
              <w:tab/>
            </w:r>
            <w:r>
              <w:rPr>
                <w:spacing w:val="-10"/>
              </w:rPr>
              <w:t>9</w:t>
            </w:r>
          </w:hyperlink>
        </w:p>
        <w:p>
          <w:pPr>
            <w:pStyle w:val="TOC5"/>
            <w:tabs>
              <w:tab w:pos="10301" w:val="left" w:leader="none"/>
            </w:tabs>
            <w:spacing w:line="232" w:lineRule="auto" w:before="2"/>
            <w:ind w:right="738" w:firstLine="0"/>
          </w:pPr>
          <w:hyperlink w:history="true" w:anchor="_bookmark6">
            <w:r>
              <w:rPr/>
              <w:t>Tracking EU Legal Developments since January 2022: Adopted and Proposed</w:t>
            </w:r>
          </w:hyperlink>
          <w:r>
            <w:rPr/>
            <w:t> </w:t>
          </w:r>
          <w:hyperlink w:history="true" w:anchor="_bookmark6">
            <w:r>
              <w:rPr/>
              <w:t>Directives</w:t>
            </w:r>
            <w:r>
              <w:rPr>
                <w:spacing w:val="-9"/>
              </w:rPr>
              <w:t> </w:t>
            </w:r>
            <w:r>
              <w:rPr/>
              <w:t>and</w:t>
            </w:r>
            <w:r>
              <w:rPr>
                <w:spacing w:val="-9"/>
              </w:rPr>
              <w:t> </w:t>
            </w:r>
            <w:r>
              <w:rPr>
                <w:spacing w:val="-2"/>
              </w:rPr>
              <w:t>Regulations</w:t>
            </w:r>
            <w:r>
              <w:rPr>
                <w:rFonts w:ascii="Times New Roman"/>
              </w:rPr>
              <w:tab/>
            </w:r>
            <w:r>
              <w:rPr>
                <w:spacing w:val="-5"/>
              </w:rPr>
              <w:t>10</w:t>
            </w:r>
          </w:hyperlink>
        </w:p>
        <w:p>
          <w:pPr>
            <w:pStyle w:val="TOC5"/>
            <w:tabs>
              <w:tab w:pos="10301" w:val="left" w:leader="none"/>
            </w:tabs>
            <w:spacing w:line="325" w:lineRule="exact"/>
            <w:ind w:firstLine="0"/>
          </w:pPr>
          <w:hyperlink w:history="true" w:anchor="_bookmark7">
            <w:r>
              <w:rPr/>
              <w:t>Domestic</w:t>
            </w:r>
            <w:r>
              <w:rPr>
                <w:spacing w:val="-5"/>
              </w:rPr>
              <w:t> </w:t>
            </w:r>
            <w:r>
              <w:rPr/>
              <w:t>Case</w:t>
            </w:r>
            <w:r>
              <w:rPr>
                <w:spacing w:val="-4"/>
              </w:rPr>
              <w:t> </w:t>
            </w:r>
            <w:r>
              <w:rPr/>
              <w:t>Law</w:t>
            </w:r>
            <w:r>
              <w:rPr>
                <w:spacing w:val="-5"/>
              </w:rPr>
              <w:t> </w:t>
            </w:r>
            <w:r>
              <w:rPr/>
              <w:t>Developments</w:t>
            </w:r>
            <w:r>
              <w:rPr>
                <w:spacing w:val="-5"/>
              </w:rPr>
              <w:t> </w:t>
            </w:r>
            <w:r>
              <w:rPr/>
              <w:t>since</w:t>
            </w:r>
            <w:r>
              <w:rPr>
                <w:spacing w:val="-5"/>
              </w:rPr>
              <w:t> </w:t>
            </w:r>
            <w:r>
              <w:rPr/>
              <w:t>January</w:t>
            </w:r>
            <w:r>
              <w:rPr>
                <w:spacing w:val="-4"/>
              </w:rPr>
              <w:t> 2022</w:t>
            </w:r>
            <w:r>
              <w:rPr>
                <w:rFonts w:ascii="Times New Roman"/>
              </w:rPr>
              <w:tab/>
            </w:r>
            <w:r>
              <w:rPr>
                <w:spacing w:val="-5"/>
              </w:rPr>
              <w:t>13</w:t>
            </w:r>
          </w:hyperlink>
        </w:p>
        <w:p>
          <w:pPr>
            <w:pStyle w:val="TOC5"/>
            <w:ind w:firstLine="0"/>
          </w:pPr>
          <w:hyperlink w:history="true" w:anchor="_bookmark8">
            <w:r>
              <w:rPr/>
              <w:t>CJEU</w:t>
            </w:r>
            <w:r>
              <w:rPr>
                <w:spacing w:val="-6"/>
              </w:rPr>
              <w:t> </w:t>
            </w:r>
            <w:r>
              <w:rPr/>
              <w:t>Case</w:t>
            </w:r>
            <w:r>
              <w:rPr>
                <w:spacing w:val="-3"/>
              </w:rPr>
              <w:t> </w:t>
            </w:r>
            <w:r>
              <w:rPr/>
              <w:t>Law</w:t>
            </w:r>
            <w:r>
              <w:rPr>
                <w:spacing w:val="-3"/>
              </w:rPr>
              <w:t> </w:t>
            </w:r>
            <w:r>
              <w:rPr/>
              <w:t>that</w:t>
            </w:r>
            <w:r>
              <w:rPr>
                <w:spacing w:val="-4"/>
              </w:rPr>
              <w:t> </w:t>
            </w:r>
            <w:r>
              <w:rPr/>
              <w:t>Relates</w:t>
            </w:r>
            <w:r>
              <w:rPr>
                <w:spacing w:val="-4"/>
              </w:rPr>
              <w:t> </w:t>
            </w:r>
            <w:r>
              <w:rPr/>
              <w:t>to</w:t>
            </w:r>
            <w:r>
              <w:rPr>
                <w:spacing w:val="-4"/>
              </w:rPr>
              <w:t> </w:t>
            </w:r>
            <w:r>
              <w:rPr/>
              <w:t>the</w:t>
            </w:r>
            <w:r>
              <w:rPr>
                <w:spacing w:val="-3"/>
              </w:rPr>
              <w:t> </w:t>
            </w:r>
            <w:r>
              <w:rPr/>
              <w:t>Windsor</w:t>
            </w:r>
            <w:r>
              <w:rPr>
                <w:spacing w:val="-4"/>
              </w:rPr>
              <w:t> </w:t>
            </w:r>
            <w:r>
              <w:rPr/>
              <w:t>Framework</w:t>
            </w:r>
            <w:r>
              <w:rPr>
                <w:spacing w:val="-3"/>
              </w:rPr>
              <w:t> </w:t>
            </w:r>
            <w:r>
              <w:rPr/>
              <w:t>Annex</w:t>
            </w:r>
            <w:r>
              <w:rPr>
                <w:spacing w:val="-4"/>
              </w:rPr>
              <w:t> </w:t>
            </w:r>
            <w:r>
              <w:rPr/>
              <w:t>1</w:t>
            </w:r>
            <w:r>
              <w:rPr>
                <w:spacing w:val="-3"/>
              </w:rPr>
              <w:t> </w:t>
            </w:r>
            <w:r>
              <w:rPr>
                <w:spacing w:val="-2"/>
              </w:rPr>
              <w:t>Directives</w:t>
            </w:r>
          </w:hyperlink>
        </w:p>
        <w:p>
          <w:pPr>
            <w:pStyle w:val="TOC5"/>
            <w:tabs>
              <w:tab w:pos="10301" w:val="left" w:leader="none"/>
            </w:tabs>
            <w:ind w:firstLine="0"/>
          </w:pPr>
          <w:hyperlink w:history="true" w:anchor="_bookmark8">
            <w:r>
              <w:rPr/>
              <w:t>since January</w:t>
            </w:r>
            <w:r>
              <w:rPr>
                <w:spacing w:val="1"/>
              </w:rPr>
              <w:t> </w:t>
            </w:r>
            <w:r>
              <w:rPr>
                <w:spacing w:val="-4"/>
              </w:rPr>
              <w:t>2022</w:t>
            </w:r>
            <w:r>
              <w:rPr>
                <w:rFonts w:ascii="Times New Roman"/>
              </w:rPr>
              <w:tab/>
            </w:r>
            <w:r>
              <w:rPr>
                <w:spacing w:val="-5"/>
              </w:rPr>
              <w:t>14</w:t>
            </w:r>
          </w:hyperlink>
        </w:p>
        <w:p>
          <w:pPr>
            <w:pStyle w:val="TOC5"/>
            <w:tabs>
              <w:tab w:pos="10301" w:val="left" w:leader="none"/>
            </w:tabs>
            <w:spacing w:line="336" w:lineRule="exact"/>
            <w:ind w:firstLine="0"/>
          </w:pPr>
          <w:hyperlink w:history="true" w:anchor="_bookmark9">
            <w:r>
              <w:rPr/>
              <w:t>Tracking</w:t>
            </w:r>
            <w:r>
              <w:rPr>
                <w:spacing w:val="-8"/>
              </w:rPr>
              <w:t> </w:t>
            </w:r>
            <w:r>
              <w:rPr/>
              <w:t>EU</w:t>
            </w:r>
            <w:r>
              <w:rPr>
                <w:spacing w:val="-8"/>
              </w:rPr>
              <w:t> </w:t>
            </w:r>
            <w:r>
              <w:rPr/>
              <w:t>Policy</w:t>
            </w:r>
            <w:r>
              <w:rPr>
                <w:spacing w:val="-8"/>
              </w:rPr>
              <w:t> </w:t>
            </w:r>
            <w:r>
              <w:rPr/>
              <w:t>Developments</w:t>
            </w:r>
            <w:r>
              <w:rPr>
                <w:spacing w:val="-8"/>
              </w:rPr>
              <w:t> </w:t>
            </w:r>
            <w:r>
              <w:rPr/>
              <w:t>and</w:t>
            </w:r>
            <w:r>
              <w:rPr>
                <w:spacing w:val="-9"/>
              </w:rPr>
              <w:t> </w:t>
            </w:r>
            <w:r>
              <w:rPr/>
              <w:t>Initiatives</w:t>
            </w:r>
            <w:r>
              <w:rPr>
                <w:spacing w:val="-9"/>
              </w:rPr>
              <w:t> </w:t>
            </w:r>
            <w:r>
              <w:rPr/>
              <w:t>since</w:t>
            </w:r>
            <w:r>
              <w:rPr>
                <w:spacing w:val="-7"/>
              </w:rPr>
              <w:t> </w:t>
            </w:r>
            <w:r>
              <w:rPr/>
              <w:t>January</w:t>
            </w:r>
            <w:r>
              <w:rPr>
                <w:spacing w:val="-8"/>
              </w:rPr>
              <w:t> </w:t>
            </w:r>
            <w:r>
              <w:rPr>
                <w:spacing w:val="-4"/>
              </w:rPr>
              <w:t>2022</w:t>
            </w:r>
            <w:r>
              <w:rPr>
                <w:rFonts w:ascii="Times New Roman"/>
              </w:rPr>
              <w:tab/>
            </w:r>
            <w:r>
              <w:rPr>
                <w:spacing w:val="-5"/>
              </w:rPr>
              <w:t>15</w:t>
            </w:r>
          </w:hyperlink>
        </w:p>
        <w:p>
          <w:pPr>
            <w:pStyle w:val="TOC4"/>
            <w:tabs>
              <w:tab w:pos="10301" w:val="left" w:leader="none"/>
            </w:tabs>
          </w:pPr>
          <w:hyperlink w:history="true" w:anchor="_bookmark10">
            <w:r>
              <w:rPr>
                <w:color w:val="164194"/>
              </w:rPr>
              <w:t>Chapter</w:t>
            </w:r>
            <w:r>
              <w:rPr>
                <w:color w:val="164194"/>
                <w:spacing w:val="-10"/>
              </w:rPr>
              <w:t> </w:t>
            </w:r>
            <w:r>
              <w:rPr>
                <w:color w:val="164194"/>
              </w:rPr>
              <w:t>1:Introduction</w:t>
            </w:r>
            <w:r>
              <w:rPr>
                <w:color w:val="164194"/>
                <w:spacing w:val="-8"/>
              </w:rPr>
              <w:t> </w:t>
            </w:r>
            <w:r>
              <w:rPr>
                <w:color w:val="164194"/>
              </w:rPr>
              <w:t>and</w:t>
            </w:r>
            <w:r>
              <w:rPr>
                <w:color w:val="164194"/>
                <w:spacing w:val="-9"/>
              </w:rPr>
              <w:t> </w:t>
            </w:r>
            <w:r>
              <w:rPr>
                <w:color w:val="164194"/>
                <w:spacing w:val="-2"/>
              </w:rPr>
              <w:t>Background</w:t>
            </w:r>
            <w:r>
              <w:rPr>
                <w:rFonts w:ascii="Times New Roman"/>
                <w:b w:val="0"/>
                <w:color w:val="164194"/>
              </w:rPr>
              <w:tab/>
            </w:r>
            <w:r>
              <w:rPr>
                <w:color w:val="164194"/>
                <w:spacing w:val="-5"/>
              </w:rPr>
              <w:t>17</w:t>
            </w:r>
          </w:hyperlink>
        </w:p>
        <w:p>
          <w:pPr>
            <w:pStyle w:val="TOC5"/>
            <w:numPr>
              <w:ilvl w:val="1"/>
              <w:numId w:val="1"/>
            </w:numPr>
            <w:tabs>
              <w:tab w:pos="1534" w:val="left" w:leader="none"/>
              <w:tab w:pos="10301" w:val="left" w:leader="none"/>
            </w:tabs>
            <w:spacing w:line="336" w:lineRule="exact" w:before="102" w:after="0"/>
            <w:ind w:left="1534" w:right="0" w:hanging="417"/>
            <w:jc w:val="left"/>
          </w:pPr>
          <w:hyperlink w:history="true" w:anchor="_bookmark10">
            <w:r>
              <w:rPr>
                <w:spacing w:val="-2"/>
              </w:rPr>
              <w:t>Introduction</w:t>
            </w:r>
            <w:r>
              <w:rPr>
                <w:rFonts w:ascii="Times New Roman"/>
              </w:rPr>
              <w:tab/>
            </w:r>
            <w:r>
              <w:rPr>
                <w:spacing w:val="-5"/>
              </w:rPr>
              <w:t>17</w:t>
            </w:r>
          </w:hyperlink>
        </w:p>
        <w:p>
          <w:pPr>
            <w:pStyle w:val="TOC5"/>
            <w:numPr>
              <w:ilvl w:val="1"/>
              <w:numId w:val="1"/>
            </w:numPr>
            <w:tabs>
              <w:tab w:pos="1534" w:val="left" w:leader="none"/>
              <w:tab w:pos="10301" w:val="left" w:leader="none"/>
            </w:tabs>
            <w:spacing w:line="330" w:lineRule="exact" w:before="0" w:after="0"/>
            <w:ind w:left="1534" w:right="0" w:hanging="417"/>
            <w:jc w:val="left"/>
          </w:pPr>
          <w:hyperlink w:history="true" w:anchor="_bookmark11">
            <w:r>
              <w:rPr>
                <w:spacing w:val="-2"/>
              </w:rPr>
              <w:t>Background</w:t>
            </w:r>
            <w:r>
              <w:rPr>
                <w:rFonts w:ascii="Times New Roman"/>
              </w:rPr>
              <w:tab/>
            </w:r>
            <w:r>
              <w:rPr>
                <w:spacing w:val="-5"/>
              </w:rPr>
              <w:t>18</w:t>
            </w:r>
          </w:hyperlink>
        </w:p>
        <w:p>
          <w:pPr>
            <w:pStyle w:val="TOC5"/>
            <w:numPr>
              <w:ilvl w:val="2"/>
              <w:numId w:val="1"/>
            </w:numPr>
            <w:tabs>
              <w:tab w:pos="1747" w:val="left" w:leader="none"/>
              <w:tab w:pos="10301" w:val="left" w:leader="none"/>
            </w:tabs>
            <w:spacing w:line="330" w:lineRule="exact" w:before="0" w:after="0"/>
            <w:ind w:left="1747" w:right="0" w:hanging="630"/>
            <w:jc w:val="left"/>
          </w:pPr>
          <w:hyperlink w:history="true" w:anchor="_bookmark11">
            <w:r>
              <w:rPr/>
              <w:t>The 1998 </w:t>
            </w:r>
            <w:r>
              <w:rPr>
                <w:spacing w:val="-2"/>
              </w:rPr>
              <w:t>Agreement</w:t>
            </w:r>
            <w:r>
              <w:rPr>
                <w:rFonts w:ascii="Times New Roman"/>
              </w:rPr>
              <w:tab/>
            </w:r>
            <w:r>
              <w:rPr>
                <w:spacing w:val="-5"/>
              </w:rPr>
              <w:t>18</w:t>
            </w:r>
          </w:hyperlink>
        </w:p>
        <w:p>
          <w:pPr>
            <w:pStyle w:val="TOC5"/>
            <w:numPr>
              <w:ilvl w:val="2"/>
              <w:numId w:val="1"/>
            </w:numPr>
            <w:tabs>
              <w:tab w:pos="1747" w:val="left" w:leader="none"/>
              <w:tab w:pos="10301" w:val="left" w:leader="none"/>
            </w:tabs>
            <w:spacing w:line="330" w:lineRule="exact" w:before="0" w:after="0"/>
            <w:ind w:left="1747" w:right="0" w:hanging="630"/>
            <w:jc w:val="left"/>
          </w:pPr>
          <w:hyperlink w:history="true" w:anchor="_bookmark12">
            <w:r>
              <w:rPr/>
              <w:t>UK</w:t>
            </w:r>
            <w:r>
              <w:rPr>
                <w:spacing w:val="-5"/>
              </w:rPr>
              <w:t> </w:t>
            </w:r>
            <w:r>
              <w:rPr/>
              <w:t>EU</w:t>
            </w:r>
            <w:r>
              <w:rPr>
                <w:spacing w:val="-4"/>
              </w:rPr>
              <w:t> </w:t>
            </w:r>
            <w:r>
              <w:rPr/>
              <w:t>Withdrawal</w:t>
            </w:r>
            <w:r>
              <w:rPr>
                <w:spacing w:val="-5"/>
              </w:rPr>
              <w:t> </w:t>
            </w:r>
            <w:r>
              <w:rPr>
                <w:spacing w:val="-2"/>
              </w:rPr>
              <w:t>Agreement</w:t>
            </w:r>
            <w:r>
              <w:rPr>
                <w:rFonts w:ascii="Times New Roman"/>
              </w:rPr>
              <w:tab/>
            </w:r>
            <w:r>
              <w:rPr>
                <w:spacing w:val="-5"/>
              </w:rPr>
              <w:t>19</w:t>
            </w:r>
          </w:hyperlink>
        </w:p>
        <w:p>
          <w:pPr>
            <w:pStyle w:val="TOC5"/>
            <w:numPr>
              <w:ilvl w:val="2"/>
              <w:numId w:val="1"/>
            </w:numPr>
            <w:tabs>
              <w:tab w:pos="1747" w:val="left" w:leader="none"/>
              <w:tab w:pos="10301" w:val="left" w:leader="none"/>
            </w:tabs>
            <w:spacing w:line="330" w:lineRule="exact" w:before="0" w:after="0"/>
            <w:ind w:left="1747" w:right="0" w:hanging="630"/>
            <w:jc w:val="left"/>
          </w:pPr>
          <w:hyperlink w:history="true" w:anchor="_bookmark13">
            <w:r>
              <w:rPr/>
              <w:t>Article</w:t>
            </w:r>
            <w:r>
              <w:rPr>
                <w:spacing w:val="-2"/>
              </w:rPr>
              <w:t> </w:t>
            </w:r>
            <w:r>
              <w:rPr/>
              <w:t>2</w:t>
            </w:r>
            <w:r>
              <w:rPr>
                <w:spacing w:val="-2"/>
              </w:rPr>
              <w:t> </w:t>
            </w:r>
            <w:r>
              <w:rPr/>
              <w:t>of</w:t>
            </w:r>
            <w:r>
              <w:rPr>
                <w:spacing w:val="-3"/>
              </w:rPr>
              <w:t> </w:t>
            </w:r>
            <w:r>
              <w:rPr/>
              <w:t>the</w:t>
            </w:r>
            <w:r>
              <w:rPr>
                <w:spacing w:val="-1"/>
              </w:rPr>
              <w:t> </w:t>
            </w:r>
            <w:r>
              <w:rPr/>
              <w:t>Windsor</w:t>
            </w:r>
            <w:r>
              <w:rPr>
                <w:spacing w:val="-2"/>
              </w:rPr>
              <w:t> Framework</w:t>
            </w:r>
            <w:r>
              <w:rPr>
                <w:rFonts w:ascii="Times New Roman"/>
              </w:rPr>
              <w:tab/>
            </w:r>
            <w:r>
              <w:rPr>
                <w:spacing w:val="-5"/>
              </w:rPr>
              <w:t>20</w:t>
            </w:r>
          </w:hyperlink>
        </w:p>
        <w:p>
          <w:pPr>
            <w:pStyle w:val="TOC5"/>
            <w:numPr>
              <w:ilvl w:val="2"/>
              <w:numId w:val="1"/>
            </w:numPr>
            <w:tabs>
              <w:tab w:pos="1747" w:val="left" w:leader="none"/>
              <w:tab w:pos="10301" w:val="left" w:leader="none"/>
            </w:tabs>
            <w:spacing w:line="330" w:lineRule="exact" w:before="0" w:after="0"/>
            <w:ind w:left="1747" w:right="0" w:hanging="630"/>
            <w:jc w:val="left"/>
          </w:pPr>
          <w:hyperlink w:history="true" w:anchor="_bookmark14">
            <w:r>
              <w:rPr/>
              <w:t>The Windsor </w:t>
            </w:r>
            <w:r>
              <w:rPr>
                <w:spacing w:val="-2"/>
              </w:rPr>
              <w:t>Framework</w:t>
            </w:r>
            <w:r>
              <w:rPr>
                <w:rFonts w:ascii="Times New Roman"/>
              </w:rPr>
              <w:tab/>
            </w:r>
            <w:r>
              <w:rPr>
                <w:spacing w:val="-5"/>
              </w:rPr>
              <w:t>23</w:t>
            </w:r>
          </w:hyperlink>
        </w:p>
        <w:p>
          <w:pPr>
            <w:pStyle w:val="TOC5"/>
            <w:numPr>
              <w:ilvl w:val="2"/>
              <w:numId w:val="1"/>
            </w:numPr>
            <w:tabs>
              <w:tab w:pos="1747" w:val="left" w:leader="none"/>
              <w:tab w:pos="10301" w:val="left" w:leader="none"/>
            </w:tabs>
            <w:spacing w:line="330" w:lineRule="exact" w:before="0" w:after="0"/>
            <w:ind w:left="1747" w:right="0" w:hanging="630"/>
            <w:jc w:val="left"/>
          </w:pPr>
          <w:hyperlink w:history="true" w:anchor="_bookmark15">
            <w:r>
              <w:rPr/>
              <w:t>Return</w:t>
            </w:r>
            <w:r>
              <w:rPr>
                <w:spacing w:val="-9"/>
              </w:rPr>
              <w:t> </w:t>
            </w:r>
            <w:r>
              <w:rPr/>
              <w:t>of</w:t>
            </w:r>
            <w:r>
              <w:rPr>
                <w:spacing w:val="-8"/>
              </w:rPr>
              <w:t> </w:t>
            </w:r>
            <w:r>
              <w:rPr/>
              <w:t>the</w:t>
            </w:r>
            <w:r>
              <w:rPr>
                <w:spacing w:val="-7"/>
              </w:rPr>
              <w:t> </w:t>
            </w:r>
            <w:r>
              <w:rPr/>
              <w:t>Devolved</w:t>
            </w:r>
            <w:r>
              <w:rPr>
                <w:spacing w:val="-8"/>
              </w:rPr>
              <w:t> </w:t>
            </w:r>
            <w:r>
              <w:rPr/>
              <w:t>Institutions</w:t>
            </w:r>
            <w:r>
              <w:rPr>
                <w:spacing w:val="-8"/>
              </w:rPr>
              <w:t> </w:t>
            </w:r>
            <w:r>
              <w:rPr/>
              <w:t>and</w:t>
            </w:r>
            <w:r>
              <w:rPr>
                <w:spacing w:val="-8"/>
              </w:rPr>
              <w:t> </w:t>
            </w:r>
            <w:r>
              <w:rPr/>
              <w:t>Safeguarding</w:t>
            </w:r>
            <w:r>
              <w:rPr>
                <w:spacing w:val="-7"/>
              </w:rPr>
              <w:t> </w:t>
            </w:r>
            <w:r>
              <w:rPr/>
              <w:t>the</w:t>
            </w:r>
            <w:r>
              <w:rPr>
                <w:spacing w:val="-7"/>
              </w:rPr>
              <w:t> </w:t>
            </w:r>
            <w:r>
              <w:rPr>
                <w:spacing w:val="-2"/>
              </w:rPr>
              <w:t>Union</w:t>
            </w:r>
            <w:r>
              <w:rPr>
                <w:rFonts w:ascii="Times New Roman"/>
              </w:rPr>
              <w:tab/>
            </w:r>
            <w:r>
              <w:rPr>
                <w:spacing w:val="-5"/>
              </w:rPr>
              <w:t>25</w:t>
            </w:r>
          </w:hyperlink>
        </w:p>
        <w:p>
          <w:pPr>
            <w:pStyle w:val="TOC5"/>
            <w:numPr>
              <w:ilvl w:val="2"/>
              <w:numId w:val="1"/>
            </w:numPr>
            <w:tabs>
              <w:tab w:pos="1747" w:val="left" w:leader="none"/>
              <w:tab w:pos="10301" w:val="left" w:leader="none"/>
            </w:tabs>
            <w:spacing w:line="330" w:lineRule="exact" w:before="0" w:after="0"/>
            <w:ind w:left="1747" w:right="0" w:hanging="630"/>
            <w:jc w:val="left"/>
          </w:pPr>
          <w:hyperlink w:history="true" w:anchor="_bookmark16">
            <w:r>
              <w:rPr/>
              <w:t>The</w:t>
            </w:r>
            <w:r>
              <w:rPr>
                <w:spacing w:val="-2"/>
              </w:rPr>
              <w:t> </w:t>
            </w:r>
            <w:r>
              <w:rPr/>
              <w:t>Role</w:t>
            </w:r>
            <w:r>
              <w:rPr>
                <w:spacing w:val="-2"/>
              </w:rPr>
              <w:t> </w:t>
            </w:r>
            <w:r>
              <w:rPr/>
              <w:t>of</w:t>
            </w:r>
            <w:r>
              <w:rPr>
                <w:spacing w:val="-3"/>
              </w:rPr>
              <w:t> </w:t>
            </w:r>
            <w:r>
              <w:rPr/>
              <w:t>the</w:t>
            </w:r>
            <w:r>
              <w:rPr>
                <w:spacing w:val="-1"/>
              </w:rPr>
              <w:t> </w:t>
            </w:r>
            <w:r>
              <w:rPr>
                <w:spacing w:val="-2"/>
              </w:rPr>
              <w:t>Commissions</w:t>
            </w:r>
            <w:r>
              <w:rPr>
                <w:rFonts w:ascii="Times New Roman"/>
              </w:rPr>
              <w:tab/>
            </w:r>
            <w:r>
              <w:rPr>
                <w:spacing w:val="-5"/>
              </w:rPr>
              <w:t>26</w:t>
            </w:r>
          </w:hyperlink>
        </w:p>
        <w:p>
          <w:pPr>
            <w:pStyle w:val="TOC5"/>
            <w:numPr>
              <w:ilvl w:val="2"/>
              <w:numId w:val="1"/>
            </w:numPr>
            <w:tabs>
              <w:tab w:pos="1747" w:val="left" w:leader="none"/>
              <w:tab w:pos="10301" w:val="left" w:leader="none"/>
            </w:tabs>
            <w:spacing w:line="330" w:lineRule="exact" w:before="0" w:after="0"/>
            <w:ind w:left="1747" w:right="0" w:hanging="630"/>
            <w:jc w:val="left"/>
          </w:pPr>
          <w:hyperlink w:history="true" w:anchor="_bookmark17">
            <w:r>
              <w:rPr/>
              <w:t>Equivalence</w:t>
            </w:r>
            <w:r>
              <w:rPr>
                <w:spacing w:val="-6"/>
              </w:rPr>
              <w:t> </w:t>
            </w:r>
            <w:r>
              <w:rPr/>
              <w:t>and</w:t>
            </w:r>
            <w:r>
              <w:rPr>
                <w:spacing w:val="-5"/>
              </w:rPr>
              <w:t> </w:t>
            </w:r>
            <w:r>
              <w:rPr>
                <w:spacing w:val="-2"/>
              </w:rPr>
              <w:t>Divergence</w:t>
            </w:r>
            <w:r>
              <w:rPr>
                <w:rFonts w:ascii="Times New Roman"/>
              </w:rPr>
              <w:tab/>
            </w:r>
            <w:r>
              <w:rPr>
                <w:spacing w:val="-5"/>
              </w:rPr>
              <w:t>27</w:t>
            </w:r>
          </w:hyperlink>
        </w:p>
        <w:p>
          <w:pPr>
            <w:pStyle w:val="TOC5"/>
            <w:numPr>
              <w:ilvl w:val="2"/>
              <w:numId w:val="1"/>
            </w:numPr>
            <w:tabs>
              <w:tab w:pos="1747" w:val="left" w:leader="none"/>
              <w:tab w:pos="10301" w:val="left" w:leader="none"/>
            </w:tabs>
            <w:spacing w:line="330" w:lineRule="exact" w:before="0" w:after="0"/>
            <w:ind w:left="1747" w:right="0" w:hanging="630"/>
            <w:jc w:val="left"/>
          </w:pPr>
          <w:hyperlink w:history="true" w:anchor="_bookmark18">
            <w:r>
              <w:rPr/>
              <w:t>Scope</w:t>
            </w:r>
            <w:r>
              <w:rPr>
                <w:spacing w:val="-3"/>
              </w:rPr>
              <w:t> </w:t>
            </w:r>
            <w:r>
              <w:rPr/>
              <w:t>of</w:t>
            </w:r>
            <w:r>
              <w:rPr>
                <w:spacing w:val="-4"/>
              </w:rPr>
              <w:t> </w:t>
            </w:r>
            <w:r>
              <w:rPr/>
              <w:t>Article</w:t>
            </w:r>
            <w:r>
              <w:rPr>
                <w:spacing w:val="-3"/>
              </w:rPr>
              <w:t> </w:t>
            </w:r>
            <w:r>
              <w:rPr/>
              <w:t>2</w:t>
            </w:r>
            <w:r>
              <w:rPr>
                <w:spacing w:val="-3"/>
              </w:rPr>
              <w:t> </w:t>
            </w:r>
            <w:r>
              <w:rPr>
                <w:spacing w:val="-5"/>
              </w:rPr>
              <w:t>WF</w:t>
            </w:r>
            <w:r>
              <w:rPr>
                <w:rFonts w:ascii="Times New Roman"/>
              </w:rPr>
              <w:tab/>
            </w:r>
            <w:r>
              <w:rPr>
                <w:spacing w:val="-5"/>
              </w:rPr>
              <w:t>29</w:t>
            </w:r>
          </w:hyperlink>
        </w:p>
        <w:p>
          <w:pPr>
            <w:pStyle w:val="TOC5"/>
            <w:numPr>
              <w:ilvl w:val="1"/>
              <w:numId w:val="1"/>
            </w:numPr>
            <w:tabs>
              <w:tab w:pos="1534" w:val="left" w:leader="none"/>
              <w:tab w:pos="10301" w:val="left" w:leader="none"/>
            </w:tabs>
            <w:spacing w:line="336" w:lineRule="exact" w:before="0" w:after="0"/>
            <w:ind w:left="1534" w:right="0" w:hanging="417"/>
            <w:jc w:val="left"/>
          </w:pPr>
          <w:hyperlink w:history="true" w:anchor="_bookmark19">
            <w:r>
              <w:rPr/>
              <w:t>Report</w:t>
            </w:r>
            <w:r>
              <w:rPr>
                <w:spacing w:val="-5"/>
              </w:rPr>
              <w:t> </w:t>
            </w:r>
            <w:r>
              <w:rPr>
                <w:spacing w:val="-2"/>
              </w:rPr>
              <w:t>Outline</w:t>
            </w:r>
            <w:r>
              <w:rPr>
                <w:rFonts w:ascii="Times New Roman"/>
              </w:rPr>
              <w:tab/>
            </w:r>
            <w:r>
              <w:rPr>
                <w:spacing w:val="-5"/>
              </w:rPr>
              <w:t>30</w:t>
            </w:r>
          </w:hyperlink>
        </w:p>
        <w:p>
          <w:pPr>
            <w:pStyle w:val="TOC4"/>
            <w:spacing w:line="336" w:lineRule="exact" w:before="271"/>
          </w:pPr>
          <w:r>
            <w:rPr/>
            <mc:AlternateContent>
              <mc:Choice Requires="wps">
                <w:drawing>
                  <wp:anchor distT="0" distB="0" distL="0" distR="0" allowOverlap="1" layoutInCell="1" locked="0" behindDoc="0" simplePos="0" relativeHeight="15734272">
                    <wp:simplePos x="0" y="0"/>
                    <wp:positionH relativeFrom="page">
                      <wp:posOffset>899999</wp:posOffset>
                    </wp:positionH>
                    <wp:positionV relativeFrom="paragraph">
                      <wp:posOffset>119482</wp:posOffset>
                    </wp:positionV>
                    <wp:extent cx="6012180" cy="127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70.866096pt,9.408061pt" to="544.252096pt,9.408061pt" stroked="true" strokeweight="1pt" strokecolor="#36a9e1">
                    <v:stroke dashstyle="solid"/>
                    <w10:wrap type="none"/>
                  </v:line>
                </w:pict>
              </mc:Fallback>
            </mc:AlternateContent>
          </w:r>
          <w:hyperlink w:history="true" w:anchor="_bookmark20">
            <w:r>
              <w:rPr>
                <w:color w:val="164194"/>
              </w:rPr>
              <w:t>Chapter</w:t>
            </w:r>
            <w:r>
              <w:rPr>
                <w:color w:val="164194"/>
                <w:spacing w:val="-6"/>
              </w:rPr>
              <w:t> </w:t>
            </w:r>
            <w:r>
              <w:rPr>
                <w:color w:val="164194"/>
              </w:rPr>
              <w:t>2:</w:t>
            </w:r>
            <w:r>
              <w:rPr>
                <w:color w:val="164194"/>
                <w:spacing w:val="-3"/>
              </w:rPr>
              <w:t> </w:t>
            </w:r>
            <w:r>
              <w:rPr>
                <w:color w:val="164194"/>
              </w:rPr>
              <w:t>Human</w:t>
            </w:r>
            <w:r>
              <w:rPr>
                <w:color w:val="164194"/>
                <w:spacing w:val="-2"/>
              </w:rPr>
              <w:t> </w:t>
            </w:r>
            <w:r>
              <w:rPr>
                <w:color w:val="164194"/>
              </w:rPr>
              <w:t>Rights</w:t>
            </w:r>
            <w:r>
              <w:rPr>
                <w:color w:val="164194"/>
                <w:spacing w:val="-3"/>
              </w:rPr>
              <w:t> </w:t>
            </w:r>
            <w:r>
              <w:rPr>
                <w:color w:val="164194"/>
              </w:rPr>
              <w:t>and</w:t>
            </w:r>
            <w:r>
              <w:rPr>
                <w:color w:val="164194"/>
                <w:spacing w:val="-3"/>
              </w:rPr>
              <w:t> </w:t>
            </w:r>
            <w:r>
              <w:rPr>
                <w:color w:val="164194"/>
              </w:rPr>
              <w:t>Equality</w:t>
            </w:r>
            <w:r>
              <w:rPr>
                <w:color w:val="164194"/>
                <w:spacing w:val="-2"/>
              </w:rPr>
              <w:t> </w:t>
            </w:r>
            <w:r>
              <w:rPr>
                <w:color w:val="164194"/>
              </w:rPr>
              <w:t>Developments</w:t>
            </w:r>
            <w:r>
              <w:rPr>
                <w:color w:val="164194"/>
                <w:spacing w:val="-3"/>
              </w:rPr>
              <w:t> </w:t>
            </w:r>
            <w:r>
              <w:rPr>
                <w:color w:val="164194"/>
              </w:rPr>
              <w:t>in</w:t>
            </w:r>
            <w:r>
              <w:rPr>
                <w:color w:val="164194"/>
                <w:spacing w:val="-3"/>
              </w:rPr>
              <w:t> </w:t>
            </w:r>
            <w:r>
              <w:rPr>
                <w:color w:val="164194"/>
              </w:rPr>
              <w:t>Northern</w:t>
            </w:r>
            <w:r>
              <w:rPr>
                <w:color w:val="164194"/>
                <w:spacing w:val="-2"/>
              </w:rPr>
              <w:t> Ireland</w:t>
            </w:r>
          </w:hyperlink>
        </w:p>
        <w:p>
          <w:pPr>
            <w:pStyle w:val="TOC4"/>
            <w:tabs>
              <w:tab w:pos="10301" w:val="left" w:leader="none"/>
            </w:tabs>
            <w:spacing w:line="336" w:lineRule="exact" w:before="0"/>
          </w:pPr>
          <w:hyperlink w:history="true" w:anchor="_bookmark20">
            <w:r>
              <w:rPr>
                <w:color w:val="164194"/>
              </w:rPr>
              <w:t>and</w:t>
            </w:r>
            <w:r>
              <w:rPr>
                <w:color w:val="164194"/>
                <w:spacing w:val="-5"/>
              </w:rPr>
              <w:t> </w:t>
            </w:r>
            <w:r>
              <w:rPr>
                <w:color w:val="164194"/>
              </w:rPr>
              <w:t>the</w:t>
            </w:r>
            <w:r>
              <w:rPr>
                <w:color w:val="164194"/>
                <w:spacing w:val="-4"/>
              </w:rPr>
              <w:t> </w:t>
            </w:r>
            <w:r>
              <w:rPr>
                <w:color w:val="164194"/>
              </w:rPr>
              <w:t>United</w:t>
            </w:r>
            <w:r>
              <w:rPr>
                <w:color w:val="164194"/>
                <w:spacing w:val="-2"/>
              </w:rPr>
              <w:t> </w:t>
            </w:r>
            <w:r>
              <w:rPr>
                <w:color w:val="164194"/>
              </w:rPr>
              <w:t>Kingdom</w:t>
            </w:r>
            <w:r>
              <w:rPr>
                <w:color w:val="164194"/>
                <w:spacing w:val="-4"/>
              </w:rPr>
              <w:t> </w:t>
            </w:r>
            <w:r>
              <w:rPr>
                <w:color w:val="164194"/>
              </w:rPr>
              <w:t>since</w:t>
            </w:r>
            <w:r>
              <w:rPr>
                <w:color w:val="164194"/>
                <w:spacing w:val="-3"/>
              </w:rPr>
              <w:t> </w:t>
            </w:r>
            <w:r>
              <w:rPr>
                <w:color w:val="164194"/>
              </w:rPr>
              <w:t>January</w:t>
            </w:r>
            <w:r>
              <w:rPr>
                <w:color w:val="164194"/>
                <w:spacing w:val="-3"/>
              </w:rPr>
              <w:t> </w:t>
            </w:r>
            <w:r>
              <w:rPr>
                <w:color w:val="164194"/>
              </w:rPr>
              <w:t>2022</w:t>
            </w:r>
            <w:r>
              <w:rPr>
                <w:color w:val="164194"/>
                <w:spacing w:val="-2"/>
              </w:rPr>
              <w:t> </w:t>
            </w:r>
            <w:r>
              <w:rPr>
                <w:color w:val="164194"/>
              </w:rPr>
              <w:t>and</w:t>
            </w:r>
            <w:r>
              <w:rPr>
                <w:color w:val="164194"/>
                <w:spacing w:val="-3"/>
              </w:rPr>
              <w:t> </w:t>
            </w:r>
            <w:r>
              <w:rPr>
                <w:color w:val="164194"/>
              </w:rPr>
              <w:t>the</w:t>
            </w:r>
            <w:r>
              <w:rPr>
                <w:color w:val="164194"/>
                <w:spacing w:val="-3"/>
              </w:rPr>
              <w:t> </w:t>
            </w:r>
            <w:r>
              <w:rPr>
                <w:color w:val="164194"/>
              </w:rPr>
              <w:t>Risk</w:t>
            </w:r>
            <w:r>
              <w:rPr>
                <w:color w:val="164194"/>
                <w:spacing w:val="-4"/>
              </w:rPr>
              <w:t> </w:t>
            </w:r>
            <w:r>
              <w:rPr>
                <w:color w:val="164194"/>
              </w:rPr>
              <w:t>of</w:t>
            </w:r>
            <w:r>
              <w:rPr>
                <w:color w:val="164194"/>
                <w:spacing w:val="-3"/>
              </w:rPr>
              <w:t> </w:t>
            </w:r>
            <w:r>
              <w:rPr>
                <w:color w:val="164194"/>
                <w:spacing w:val="-2"/>
              </w:rPr>
              <w:t>Divergence</w:t>
            </w:r>
            <w:r>
              <w:rPr>
                <w:rFonts w:ascii="Times New Roman"/>
                <w:b w:val="0"/>
                <w:color w:val="164194"/>
              </w:rPr>
              <w:tab/>
            </w:r>
            <w:r>
              <w:rPr>
                <w:color w:val="164194"/>
                <w:spacing w:val="-5"/>
              </w:rPr>
              <w:t>31</w:t>
            </w:r>
          </w:hyperlink>
        </w:p>
        <w:p>
          <w:pPr>
            <w:pStyle w:val="TOC5"/>
            <w:numPr>
              <w:ilvl w:val="1"/>
              <w:numId w:val="2"/>
            </w:numPr>
            <w:tabs>
              <w:tab w:pos="1534" w:val="left" w:leader="none"/>
              <w:tab w:pos="10301" w:val="left" w:leader="none"/>
            </w:tabs>
            <w:spacing w:line="336" w:lineRule="exact" w:before="102" w:after="0"/>
            <w:ind w:left="1534" w:right="0" w:hanging="417"/>
            <w:jc w:val="left"/>
          </w:pPr>
          <w:hyperlink w:history="true" w:anchor="_bookmark20">
            <w:r>
              <w:rPr>
                <w:spacing w:val="-2"/>
              </w:rPr>
              <w:t>Introduction</w:t>
            </w:r>
            <w:r>
              <w:rPr>
                <w:rFonts w:ascii="Times New Roman"/>
              </w:rPr>
              <w:tab/>
            </w:r>
            <w:r>
              <w:rPr>
                <w:spacing w:val="-5"/>
              </w:rPr>
              <w:t>31</w:t>
            </w:r>
          </w:hyperlink>
        </w:p>
        <w:p>
          <w:pPr>
            <w:pStyle w:val="TOC5"/>
            <w:numPr>
              <w:ilvl w:val="1"/>
              <w:numId w:val="2"/>
            </w:numPr>
            <w:tabs>
              <w:tab w:pos="1534" w:val="left" w:leader="none"/>
              <w:tab w:pos="10301" w:val="left" w:leader="none"/>
            </w:tabs>
            <w:spacing w:line="330" w:lineRule="exact" w:before="0" w:after="0"/>
            <w:ind w:left="1534" w:right="0" w:hanging="417"/>
            <w:jc w:val="left"/>
          </w:pPr>
          <w:hyperlink w:history="true" w:anchor="_bookmark20">
            <w:r>
              <w:rPr/>
              <w:t>Northern</w:t>
            </w:r>
            <w:r>
              <w:rPr>
                <w:spacing w:val="-8"/>
              </w:rPr>
              <w:t> </w:t>
            </w:r>
            <w:r>
              <w:rPr>
                <w:spacing w:val="-2"/>
              </w:rPr>
              <w:t>Ireland</w:t>
            </w:r>
            <w:r>
              <w:rPr>
                <w:rFonts w:ascii="Times New Roman"/>
              </w:rPr>
              <w:tab/>
            </w:r>
            <w:r>
              <w:rPr>
                <w:spacing w:val="-5"/>
              </w:rPr>
              <w:t>31</w:t>
            </w:r>
          </w:hyperlink>
        </w:p>
        <w:p>
          <w:pPr>
            <w:pStyle w:val="TOC5"/>
            <w:numPr>
              <w:ilvl w:val="1"/>
              <w:numId w:val="2"/>
            </w:numPr>
            <w:tabs>
              <w:tab w:pos="1534" w:val="left" w:leader="none"/>
              <w:tab w:pos="10301" w:val="left" w:leader="none"/>
            </w:tabs>
            <w:spacing w:line="330" w:lineRule="exact" w:before="0" w:after="0"/>
            <w:ind w:left="1534" w:right="0" w:hanging="417"/>
            <w:jc w:val="left"/>
          </w:pPr>
          <w:hyperlink w:history="true" w:anchor="_bookmark21">
            <w:r>
              <w:rPr/>
              <w:t>United</w:t>
            </w:r>
            <w:r>
              <w:rPr>
                <w:spacing w:val="-5"/>
              </w:rPr>
              <w:t> </w:t>
            </w:r>
            <w:r>
              <w:rPr>
                <w:spacing w:val="-2"/>
              </w:rPr>
              <w:t>Kingdom</w:t>
            </w:r>
            <w:r>
              <w:rPr>
                <w:rFonts w:ascii="Times New Roman"/>
              </w:rPr>
              <w:tab/>
            </w:r>
            <w:r>
              <w:rPr>
                <w:spacing w:val="-5"/>
              </w:rPr>
              <w:t>34</w:t>
            </w:r>
          </w:hyperlink>
        </w:p>
        <w:p>
          <w:pPr>
            <w:pStyle w:val="TOC5"/>
            <w:numPr>
              <w:ilvl w:val="2"/>
              <w:numId w:val="2"/>
            </w:numPr>
            <w:tabs>
              <w:tab w:pos="1747" w:val="left" w:leader="none"/>
              <w:tab w:pos="10301" w:val="left" w:leader="none"/>
            </w:tabs>
            <w:spacing w:line="330" w:lineRule="exact" w:before="0" w:after="0"/>
            <w:ind w:left="1747" w:right="0" w:hanging="630"/>
            <w:jc w:val="left"/>
          </w:pPr>
          <w:hyperlink w:history="true" w:anchor="_bookmark21">
            <w:r>
              <w:rPr/>
              <w:t>Bill</w:t>
            </w:r>
            <w:r>
              <w:rPr>
                <w:spacing w:val="-4"/>
              </w:rPr>
              <w:t> </w:t>
            </w:r>
            <w:r>
              <w:rPr/>
              <w:t>of</w:t>
            </w:r>
            <w:r>
              <w:rPr>
                <w:spacing w:val="-3"/>
              </w:rPr>
              <w:t> </w:t>
            </w:r>
            <w:r>
              <w:rPr/>
              <w:t>Rights</w:t>
            </w:r>
            <w:r>
              <w:rPr>
                <w:spacing w:val="-4"/>
              </w:rPr>
              <w:t> </w:t>
            </w:r>
            <w:r>
              <w:rPr/>
              <w:t>Bill</w:t>
            </w:r>
            <w:r>
              <w:rPr>
                <w:spacing w:val="-3"/>
              </w:rPr>
              <w:t> </w:t>
            </w:r>
            <w:r>
              <w:rPr/>
              <w:t>and</w:t>
            </w:r>
            <w:r>
              <w:rPr>
                <w:spacing w:val="-4"/>
              </w:rPr>
              <w:t> </w:t>
            </w:r>
            <w:r>
              <w:rPr/>
              <w:t>the</w:t>
            </w:r>
            <w:r>
              <w:rPr>
                <w:spacing w:val="-2"/>
              </w:rPr>
              <w:t> </w:t>
            </w:r>
            <w:r>
              <w:rPr>
                <w:spacing w:val="-4"/>
              </w:rPr>
              <w:t>ECHR</w:t>
            </w:r>
            <w:r>
              <w:rPr>
                <w:rFonts w:ascii="Times New Roman"/>
              </w:rPr>
              <w:tab/>
            </w:r>
            <w:r>
              <w:rPr>
                <w:spacing w:val="-5"/>
              </w:rPr>
              <w:t>34</w:t>
            </w:r>
          </w:hyperlink>
        </w:p>
        <w:p>
          <w:pPr>
            <w:pStyle w:val="TOC5"/>
            <w:numPr>
              <w:ilvl w:val="2"/>
              <w:numId w:val="2"/>
            </w:numPr>
            <w:tabs>
              <w:tab w:pos="1747" w:val="left" w:leader="none"/>
              <w:tab w:pos="10301" w:val="left" w:leader="none"/>
            </w:tabs>
            <w:spacing w:line="336" w:lineRule="exact" w:before="0" w:after="20"/>
            <w:ind w:left="1747" w:right="0" w:hanging="630"/>
            <w:jc w:val="left"/>
          </w:pPr>
          <w:hyperlink w:history="true" w:anchor="_bookmark22">
            <w:r>
              <w:rPr/>
              <w:t>Nationality</w:t>
            </w:r>
            <w:r>
              <w:rPr>
                <w:spacing w:val="-6"/>
              </w:rPr>
              <w:t> </w:t>
            </w:r>
            <w:r>
              <w:rPr/>
              <w:t>and</w:t>
            </w:r>
            <w:r>
              <w:rPr>
                <w:spacing w:val="-7"/>
              </w:rPr>
              <w:t> </w:t>
            </w:r>
            <w:r>
              <w:rPr/>
              <w:t>Borders</w:t>
            </w:r>
            <w:r>
              <w:rPr>
                <w:spacing w:val="-7"/>
              </w:rPr>
              <w:t> </w:t>
            </w:r>
            <w:r>
              <w:rPr/>
              <w:t>Act</w:t>
            </w:r>
            <w:r>
              <w:rPr>
                <w:spacing w:val="-6"/>
              </w:rPr>
              <w:t> </w:t>
            </w:r>
            <w:r>
              <w:rPr>
                <w:spacing w:val="-4"/>
              </w:rPr>
              <w:t>2022</w:t>
            </w:r>
            <w:r>
              <w:rPr>
                <w:rFonts w:ascii="Times New Roman"/>
              </w:rPr>
              <w:tab/>
            </w:r>
            <w:r>
              <w:rPr>
                <w:spacing w:val="-5"/>
              </w:rPr>
              <w:t>37</w:t>
            </w:r>
          </w:hyperlink>
        </w:p>
        <w:p>
          <w:pPr>
            <w:pStyle w:val="TOC1"/>
            <w:tabs>
              <w:tab w:pos="1003" w:val="left" w:leader="none"/>
            </w:tabs>
          </w:pPr>
          <w:r>
            <w:rPr/>
            <mc:AlternateContent>
              <mc:Choice Requires="wps">
                <w:drawing>
                  <wp:anchor distT="0" distB="0" distL="0" distR="0" allowOverlap="1" layoutInCell="1" locked="0" behindDoc="1" simplePos="0" relativeHeight="483911680">
                    <wp:simplePos x="0" y="0"/>
                    <wp:positionH relativeFrom="page">
                      <wp:posOffset>0</wp:posOffset>
                    </wp:positionH>
                    <wp:positionV relativeFrom="page">
                      <wp:posOffset>0</wp:posOffset>
                    </wp:positionV>
                    <wp:extent cx="7560309" cy="115506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7560309" cy="1155065"/>
                              <a:chExt cx="7560309" cy="1155065"/>
                            </a:xfrm>
                          </wpg:grpSpPr>
                          <wps:wsp>
                            <wps:cNvPr id="49" name="Graphic 49"/>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50" name="Graphic 50"/>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404800" id="docshapegroup36" coordorigin="0,0" coordsize="11906,1819">
                    <v:shape style="position:absolute;left:0;top:0;width:11906;height:1819" id="docshape37"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r>
            <w:rPr>
              <w:color w:val="FFFFFF"/>
              <w:spacing w:val="-5"/>
              <w:position w:val="-1"/>
              <w:sz w:val="28"/>
            </w:rPr>
            <w:t>ii</w:t>
          </w:r>
          <w:r>
            <w:rPr>
              <w:color w:val="FFFFFF"/>
              <w:position w:val="-1"/>
              <w:sz w:val="28"/>
            </w:rPr>
            <w:tab/>
          </w:r>
          <w:r>
            <w:rPr>
              <w:color w:val="FFFFFF"/>
            </w:rPr>
            <w:t>EU</w:t>
          </w:r>
          <w:r>
            <w:rPr>
              <w:color w:val="FFFFFF"/>
              <w:spacing w:val="-3"/>
            </w:rPr>
            <w:t> </w:t>
          </w:r>
          <w:r>
            <w:rPr>
              <w:color w:val="FFFFFF"/>
            </w:rPr>
            <w:t>Developments</w:t>
          </w:r>
          <w:r>
            <w:rPr>
              <w:color w:val="FFFFFF"/>
              <w:spacing w:val="-3"/>
            </w:rPr>
            <w:t> </w:t>
          </w:r>
          <w:r>
            <w:rPr>
              <w:color w:val="FFFFFF"/>
            </w:rPr>
            <w:t>in</w:t>
          </w:r>
          <w:r>
            <w:rPr>
              <w:color w:val="FFFFFF"/>
              <w:spacing w:val="-3"/>
            </w:rPr>
            <w:t> </w:t>
          </w:r>
          <w:r>
            <w:rPr>
              <w:color w:val="FFFFFF"/>
            </w:rPr>
            <w:t>Equality</w:t>
          </w:r>
          <w:r>
            <w:rPr>
              <w:color w:val="FFFFFF"/>
              <w:spacing w:val="-3"/>
            </w:rPr>
            <w:t> </w:t>
          </w:r>
          <w:r>
            <w:rPr>
              <w:color w:val="FFFFFF"/>
            </w:rPr>
            <w:t>and</w:t>
          </w:r>
          <w:r>
            <w:rPr>
              <w:color w:val="FFFFFF"/>
              <w:spacing w:val="-3"/>
            </w:rPr>
            <w:t> </w:t>
          </w:r>
          <w:r>
            <w:rPr>
              <w:color w:val="FFFFFF"/>
            </w:rPr>
            <w:t>Human</w:t>
          </w:r>
          <w:r>
            <w:rPr>
              <w:color w:val="FFFFFF"/>
              <w:spacing w:val="-3"/>
            </w:rPr>
            <w:t> </w:t>
          </w:r>
          <w:r>
            <w:rPr>
              <w:color w:val="FFFFFF"/>
            </w:rPr>
            <w:t>Rights</w:t>
          </w:r>
          <w:r>
            <w:rPr>
              <w:color w:val="FFFFFF"/>
              <w:spacing w:val="-3"/>
            </w:rPr>
            <w:t> </w:t>
          </w:r>
          <w:r>
            <w:rPr>
              <w:color w:val="FFFFFF"/>
            </w:rPr>
            <w:t>Update</w:t>
          </w:r>
          <w:r>
            <w:rPr>
              <w:color w:val="FFFFFF"/>
              <w:spacing w:val="-3"/>
            </w:rPr>
            <w:t> </w:t>
          </w:r>
          <w:r>
            <w:rPr>
              <w:color w:val="FFFFFF"/>
              <w:spacing w:val="-2"/>
            </w:rPr>
            <w:t>Paper</w:t>
          </w:r>
        </w:p>
        <w:p>
          <w:pPr>
            <w:pStyle w:val="TOC3"/>
            <w:numPr>
              <w:ilvl w:val="2"/>
              <w:numId w:val="2"/>
            </w:numPr>
            <w:tabs>
              <w:tab w:pos="1350" w:val="left" w:leader="none"/>
              <w:tab w:pos="10188" w:val="right" w:leader="none"/>
            </w:tabs>
            <w:spacing w:line="336" w:lineRule="exact" w:before="723" w:after="0"/>
            <w:ind w:left="1350" w:right="0" w:hanging="630"/>
            <w:jc w:val="left"/>
          </w:pPr>
          <w:hyperlink w:history="true" w:anchor="_bookmark23">
            <w:r>
              <w:rPr/>
              <w:t>Retained</w:t>
            </w:r>
            <w:r>
              <w:rPr>
                <w:spacing w:val="-10"/>
              </w:rPr>
              <w:t> </w:t>
            </w:r>
            <w:r>
              <w:rPr/>
              <w:t>EU</w:t>
            </w:r>
            <w:r>
              <w:rPr>
                <w:spacing w:val="-9"/>
              </w:rPr>
              <w:t> </w:t>
            </w:r>
            <w:r>
              <w:rPr/>
              <w:t>Law</w:t>
            </w:r>
            <w:r>
              <w:rPr>
                <w:spacing w:val="-8"/>
              </w:rPr>
              <w:t> </w:t>
            </w:r>
            <w:r>
              <w:rPr/>
              <w:t>(Revocation</w:t>
            </w:r>
            <w:r>
              <w:rPr>
                <w:spacing w:val="-10"/>
              </w:rPr>
              <w:t> </w:t>
            </w:r>
            <w:r>
              <w:rPr/>
              <w:t>and</w:t>
            </w:r>
            <w:r>
              <w:rPr>
                <w:spacing w:val="-9"/>
              </w:rPr>
              <w:t> </w:t>
            </w:r>
            <w:r>
              <w:rPr/>
              <w:t>Reform)</w:t>
            </w:r>
            <w:r>
              <w:rPr>
                <w:spacing w:val="-9"/>
              </w:rPr>
              <w:t> </w:t>
            </w:r>
            <w:r>
              <w:rPr/>
              <w:t>Act</w:t>
            </w:r>
            <w:r>
              <w:rPr>
                <w:spacing w:val="-9"/>
              </w:rPr>
              <w:t> </w:t>
            </w:r>
            <w:r>
              <w:rPr>
                <w:spacing w:val="-4"/>
              </w:rPr>
              <w:t>2023</w:t>
            </w:r>
            <w:r>
              <w:rPr>
                <w:rFonts w:ascii="Times New Roman"/>
              </w:rPr>
              <w:tab/>
            </w:r>
            <w:r>
              <w:rPr>
                <w:spacing w:val="-5"/>
              </w:rPr>
              <w:t>38</w:t>
            </w:r>
          </w:hyperlink>
        </w:p>
        <w:p>
          <w:pPr>
            <w:pStyle w:val="TOC3"/>
            <w:numPr>
              <w:ilvl w:val="2"/>
              <w:numId w:val="2"/>
            </w:numPr>
            <w:tabs>
              <w:tab w:pos="1350" w:val="left" w:leader="none"/>
              <w:tab w:pos="10188" w:val="right" w:leader="none"/>
            </w:tabs>
            <w:spacing w:line="330" w:lineRule="exact" w:before="0" w:after="0"/>
            <w:ind w:left="1350" w:right="0" w:hanging="630"/>
            <w:jc w:val="left"/>
          </w:pPr>
          <w:hyperlink w:history="true" w:anchor="_bookmark24">
            <w:r>
              <w:rPr/>
              <w:t>Elections</w:t>
            </w:r>
            <w:r>
              <w:rPr>
                <w:spacing w:val="-11"/>
              </w:rPr>
              <w:t> </w:t>
            </w:r>
            <w:r>
              <w:rPr/>
              <w:t>Act</w:t>
            </w:r>
            <w:r>
              <w:rPr>
                <w:spacing w:val="-9"/>
              </w:rPr>
              <w:t> </w:t>
            </w:r>
            <w:r>
              <w:rPr>
                <w:spacing w:val="-4"/>
              </w:rPr>
              <w:t>2022</w:t>
            </w:r>
            <w:r>
              <w:rPr>
                <w:rFonts w:ascii="Times New Roman"/>
              </w:rPr>
              <w:tab/>
            </w:r>
            <w:r>
              <w:rPr>
                <w:spacing w:val="-5"/>
              </w:rPr>
              <w:t>40</w:t>
            </w:r>
          </w:hyperlink>
        </w:p>
        <w:p>
          <w:pPr>
            <w:pStyle w:val="TOC3"/>
            <w:numPr>
              <w:ilvl w:val="2"/>
              <w:numId w:val="2"/>
            </w:numPr>
            <w:tabs>
              <w:tab w:pos="1350" w:val="left" w:leader="none"/>
              <w:tab w:pos="10188" w:val="right" w:leader="none"/>
            </w:tabs>
            <w:spacing w:line="330" w:lineRule="exact" w:before="0" w:after="0"/>
            <w:ind w:left="1350" w:right="0" w:hanging="630"/>
            <w:jc w:val="left"/>
          </w:pPr>
          <w:hyperlink w:history="true" w:anchor="_bookmark25">
            <w:r>
              <w:rPr/>
              <w:t>Illegal</w:t>
            </w:r>
            <w:r>
              <w:rPr>
                <w:spacing w:val="-9"/>
              </w:rPr>
              <w:t> </w:t>
            </w:r>
            <w:r>
              <w:rPr/>
              <w:t>Migration</w:t>
            </w:r>
            <w:r>
              <w:rPr>
                <w:spacing w:val="-8"/>
              </w:rPr>
              <w:t> </w:t>
            </w:r>
            <w:r>
              <w:rPr/>
              <w:t>Act</w:t>
            </w:r>
            <w:r>
              <w:rPr>
                <w:spacing w:val="-8"/>
              </w:rPr>
              <w:t> </w:t>
            </w:r>
            <w:r>
              <w:rPr>
                <w:spacing w:val="-4"/>
              </w:rPr>
              <w:t>2023</w:t>
            </w:r>
            <w:r>
              <w:rPr>
                <w:rFonts w:ascii="Times New Roman"/>
              </w:rPr>
              <w:tab/>
            </w:r>
            <w:r>
              <w:rPr>
                <w:spacing w:val="-5"/>
              </w:rPr>
              <w:t>42</w:t>
            </w:r>
          </w:hyperlink>
        </w:p>
        <w:p>
          <w:pPr>
            <w:pStyle w:val="TOC3"/>
            <w:numPr>
              <w:ilvl w:val="2"/>
              <w:numId w:val="2"/>
            </w:numPr>
            <w:tabs>
              <w:tab w:pos="1350" w:val="left" w:leader="none"/>
              <w:tab w:pos="10188" w:val="right" w:leader="none"/>
            </w:tabs>
            <w:spacing w:line="330" w:lineRule="exact" w:before="0" w:after="0"/>
            <w:ind w:left="1350" w:right="0" w:hanging="630"/>
            <w:jc w:val="left"/>
          </w:pPr>
          <w:hyperlink w:history="true" w:anchor="_bookmark26">
            <w:r>
              <w:rPr/>
              <w:t>Safety</w:t>
            </w:r>
            <w:r>
              <w:rPr>
                <w:spacing w:val="-9"/>
              </w:rPr>
              <w:t> </w:t>
            </w:r>
            <w:r>
              <w:rPr/>
              <w:t>of</w:t>
            </w:r>
            <w:r>
              <w:rPr>
                <w:spacing w:val="-9"/>
              </w:rPr>
              <w:t> </w:t>
            </w:r>
            <w:r>
              <w:rPr/>
              <w:t>Rwanda</w:t>
            </w:r>
            <w:r>
              <w:rPr>
                <w:spacing w:val="-9"/>
              </w:rPr>
              <w:t> </w:t>
            </w:r>
            <w:r>
              <w:rPr/>
              <w:t>(Asylum</w:t>
            </w:r>
            <w:r>
              <w:rPr>
                <w:spacing w:val="-8"/>
              </w:rPr>
              <w:t> </w:t>
            </w:r>
            <w:r>
              <w:rPr/>
              <w:t>and</w:t>
            </w:r>
            <w:r>
              <w:rPr>
                <w:spacing w:val="-9"/>
              </w:rPr>
              <w:t> </w:t>
            </w:r>
            <w:r>
              <w:rPr/>
              <w:t>Immigration)</w:t>
            </w:r>
            <w:r>
              <w:rPr>
                <w:spacing w:val="-9"/>
              </w:rPr>
              <w:t> </w:t>
            </w:r>
            <w:r>
              <w:rPr>
                <w:spacing w:val="-4"/>
              </w:rPr>
              <w:t>Bill</w:t>
            </w:r>
            <w:r>
              <w:rPr>
                <w:rFonts w:ascii="Times New Roman"/>
              </w:rPr>
              <w:tab/>
            </w:r>
            <w:r>
              <w:rPr>
                <w:spacing w:val="-5"/>
              </w:rPr>
              <w:t>44</w:t>
            </w:r>
          </w:hyperlink>
        </w:p>
        <w:p>
          <w:pPr>
            <w:pStyle w:val="TOC3"/>
            <w:numPr>
              <w:ilvl w:val="2"/>
              <w:numId w:val="2"/>
            </w:numPr>
            <w:tabs>
              <w:tab w:pos="1350" w:val="left" w:leader="none"/>
              <w:tab w:pos="10188" w:val="right" w:leader="none"/>
            </w:tabs>
            <w:spacing w:line="330" w:lineRule="exact" w:before="0" w:after="0"/>
            <w:ind w:left="1350" w:right="0" w:hanging="630"/>
            <w:jc w:val="left"/>
          </w:pPr>
          <w:hyperlink w:history="true" w:anchor="_bookmark27">
            <w:r>
              <w:rPr/>
              <w:t>Northern</w:t>
            </w:r>
            <w:r>
              <w:rPr>
                <w:spacing w:val="-11"/>
              </w:rPr>
              <w:t> </w:t>
            </w:r>
            <w:r>
              <w:rPr/>
              <w:t>Ireland</w:t>
            </w:r>
            <w:r>
              <w:rPr>
                <w:spacing w:val="-12"/>
              </w:rPr>
              <w:t> </w:t>
            </w:r>
            <w:r>
              <w:rPr/>
              <w:t>Troubles</w:t>
            </w:r>
            <w:r>
              <w:rPr>
                <w:spacing w:val="-11"/>
              </w:rPr>
              <w:t> </w:t>
            </w:r>
            <w:r>
              <w:rPr/>
              <w:t>(Legacy</w:t>
            </w:r>
            <w:r>
              <w:rPr>
                <w:spacing w:val="-10"/>
              </w:rPr>
              <w:t> </w:t>
            </w:r>
            <w:r>
              <w:rPr/>
              <w:t>and</w:t>
            </w:r>
            <w:r>
              <w:rPr>
                <w:spacing w:val="-11"/>
              </w:rPr>
              <w:t> </w:t>
            </w:r>
            <w:r>
              <w:rPr/>
              <w:t>Reconciliation)</w:t>
            </w:r>
            <w:r>
              <w:rPr>
                <w:spacing w:val="-11"/>
              </w:rPr>
              <w:t> </w:t>
            </w:r>
            <w:r>
              <w:rPr/>
              <w:t>Act</w:t>
            </w:r>
            <w:r>
              <w:rPr>
                <w:spacing w:val="-10"/>
              </w:rPr>
              <w:t> </w:t>
            </w:r>
            <w:r>
              <w:rPr>
                <w:spacing w:val="-4"/>
              </w:rPr>
              <w:t>2023</w:t>
            </w:r>
            <w:r>
              <w:rPr>
                <w:rFonts w:ascii="Times New Roman"/>
              </w:rPr>
              <w:tab/>
            </w:r>
            <w:r>
              <w:rPr>
                <w:spacing w:val="-5"/>
              </w:rPr>
              <w:t>47</w:t>
            </w:r>
          </w:hyperlink>
        </w:p>
        <w:p>
          <w:pPr>
            <w:pStyle w:val="TOC3"/>
            <w:numPr>
              <w:ilvl w:val="2"/>
              <w:numId w:val="2"/>
            </w:numPr>
            <w:tabs>
              <w:tab w:pos="1350" w:val="left" w:leader="none"/>
              <w:tab w:pos="10188" w:val="right" w:leader="none"/>
            </w:tabs>
            <w:spacing w:line="330" w:lineRule="exact" w:before="0" w:after="0"/>
            <w:ind w:left="1350" w:right="0" w:hanging="630"/>
            <w:jc w:val="left"/>
          </w:pPr>
          <w:hyperlink w:history="true" w:anchor="_bookmark28">
            <w:r>
              <w:rPr/>
              <w:t>Data</w:t>
            </w:r>
            <w:r>
              <w:rPr>
                <w:spacing w:val="-9"/>
              </w:rPr>
              <w:t> </w:t>
            </w:r>
            <w:r>
              <w:rPr/>
              <w:t>Protection</w:t>
            </w:r>
            <w:r>
              <w:rPr>
                <w:spacing w:val="-9"/>
              </w:rPr>
              <w:t> </w:t>
            </w:r>
            <w:r>
              <w:rPr/>
              <w:t>and</w:t>
            </w:r>
            <w:r>
              <w:rPr>
                <w:spacing w:val="-9"/>
              </w:rPr>
              <w:t> </w:t>
            </w:r>
            <w:r>
              <w:rPr/>
              <w:t>Digital</w:t>
            </w:r>
            <w:r>
              <w:rPr>
                <w:spacing w:val="-9"/>
              </w:rPr>
              <w:t> </w:t>
            </w:r>
            <w:r>
              <w:rPr/>
              <w:t>Information</w:t>
            </w:r>
            <w:r>
              <w:rPr>
                <w:spacing w:val="-9"/>
              </w:rPr>
              <w:t> </w:t>
            </w:r>
            <w:r>
              <w:rPr/>
              <w:t>(No</w:t>
            </w:r>
            <w:r>
              <w:rPr>
                <w:spacing w:val="-9"/>
              </w:rPr>
              <w:t> </w:t>
            </w:r>
            <w:r>
              <w:rPr/>
              <w:t>2)</w:t>
            </w:r>
            <w:r>
              <w:rPr>
                <w:spacing w:val="-9"/>
              </w:rPr>
              <w:t> </w:t>
            </w:r>
            <w:r>
              <w:rPr>
                <w:spacing w:val="-4"/>
              </w:rPr>
              <w:t>Bill</w:t>
            </w:r>
            <w:r>
              <w:rPr>
                <w:rFonts w:ascii="Times New Roman"/>
              </w:rPr>
              <w:tab/>
            </w:r>
            <w:r>
              <w:rPr>
                <w:spacing w:val="-5"/>
              </w:rPr>
              <w:t>49</w:t>
            </w:r>
          </w:hyperlink>
        </w:p>
        <w:p>
          <w:pPr>
            <w:pStyle w:val="TOC3"/>
            <w:numPr>
              <w:ilvl w:val="2"/>
              <w:numId w:val="2"/>
            </w:numPr>
            <w:tabs>
              <w:tab w:pos="1350" w:val="left" w:leader="none"/>
              <w:tab w:pos="10188" w:val="right" w:leader="none"/>
            </w:tabs>
            <w:spacing w:line="330" w:lineRule="exact" w:before="0" w:after="0"/>
            <w:ind w:left="1350" w:right="0" w:hanging="630"/>
            <w:jc w:val="left"/>
          </w:pPr>
          <w:hyperlink w:history="true" w:anchor="_bookmark29">
            <w:r>
              <w:rPr/>
              <w:t>Victims</w:t>
            </w:r>
            <w:r>
              <w:rPr>
                <w:spacing w:val="-8"/>
              </w:rPr>
              <w:t> </w:t>
            </w:r>
            <w:r>
              <w:rPr/>
              <w:t>and</w:t>
            </w:r>
            <w:r>
              <w:rPr>
                <w:spacing w:val="-7"/>
              </w:rPr>
              <w:t> </w:t>
            </w:r>
            <w:r>
              <w:rPr/>
              <w:t>Prisoners</w:t>
            </w:r>
            <w:r>
              <w:rPr>
                <w:spacing w:val="-7"/>
              </w:rPr>
              <w:t> </w:t>
            </w:r>
            <w:r>
              <w:rPr/>
              <w:t>Bill</w:t>
            </w:r>
            <w:r>
              <w:rPr>
                <w:spacing w:val="-7"/>
              </w:rPr>
              <w:t> </w:t>
            </w:r>
            <w:r>
              <w:rPr>
                <w:spacing w:val="-4"/>
              </w:rPr>
              <w:t>2023</w:t>
            </w:r>
            <w:r>
              <w:rPr>
                <w:rFonts w:ascii="Times New Roman"/>
              </w:rPr>
              <w:tab/>
            </w:r>
            <w:r>
              <w:rPr>
                <w:spacing w:val="-5"/>
              </w:rPr>
              <w:t>50</w:t>
            </w:r>
          </w:hyperlink>
        </w:p>
        <w:p>
          <w:pPr>
            <w:pStyle w:val="TOC3"/>
            <w:numPr>
              <w:ilvl w:val="2"/>
              <w:numId w:val="2"/>
            </w:numPr>
            <w:tabs>
              <w:tab w:pos="1492" w:val="left" w:leader="none"/>
              <w:tab w:pos="10188" w:val="right" w:leader="none"/>
            </w:tabs>
            <w:spacing w:line="330" w:lineRule="exact" w:before="0" w:after="0"/>
            <w:ind w:left="1492" w:right="0" w:hanging="772"/>
            <w:jc w:val="left"/>
          </w:pPr>
          <w:hyperlink w:history="true" w:anchor="_bookmark29">
            <w:r>
              <w:rPr/>
              <w:t>Article</w:t>
            </w:r>
            <w:r>
              <w:rPr>
                <w:spacing w:val="-4"/>
              </w:rPr>
              <w:t> </w:t>
            </w:r>
            <w:r>
              <w:rPr/>
              <w:t>2</w:t>
            </w:r>
            <w:r>
              <w:rPr>
                <w:spacing w:val="-3"/>
              </w:rPr>
              <w:t> </w:t>
            </w:r>
            <w:r>
              <w:rPr/>
              <w:t>WF</w:t>
            </w:r>
            <w:r>
              <w:rPr>
                <w:spacing w:val="-4"/>
              </w:rPr>
              <w:t> </w:t>
            </w:r>
            <w:r>
              <w:rPr/>
              <w:t>and</w:t>
            </w:r>
            <w:r>
              <w:rPr>
                <w:spacing w:val="-4"/>
              </w:rPr>
              <w:t> </w:t>
            </w:r>
            <w:r>
              <w:rPr/>
              <w:t>the</w:t>
            </w:r>
            <w:r>
              <w:rPr>
                <w:spacing w:val="-4"/>
              </w:rPr>
              <w:t> </w:t>
            </w:r>
            <w:r>
              <w:rPr/>
              <w:t>legislative</w:t>
            </w:r>
            <w:r>
              <w:rPr>
                <w:spacing w:val="-3"/>
              </w:rPr>
              <w:t> </w:t>
            </w:r>
            <w:r>
              <w:rPr>
                <w:spacing w:val="-2"/>
              </w:rPr>
              <w:t>process</w:t>
            </w:r>
            <w:r>
              <w:rPr>
                <w:rFonts w:ascii="Times New Roman"/>
              </w:rPr>
              <w:tab/>
            </w:r>
            <w:r>
              <w:rPr>
                <w:spacing w:val="-5"/>
              </w:rPr>
              <w:t>50</w:t>
            </w:r>
          </w:hyperlink>
        </w:p>
        <w:p>
          <w:pPr>
            <w:pStyle w:val="TOC3"/>
            <w:numPr>
              <w:ilvl w:val="1"/>
              <w:numId w:val="2"/>
            </w:numPr>
            <w:tabs>
              <w:tab w:pos="1137" w:val="left" w:leader="none"/>
              <w:tab w:pos="10188" w:val="right" w:leader="none"/>
            </w:tabs>
            <w:spacing w:line="336" w:lineRule="exact" w:before="0" w:after="0"/>
            <w:ind w:left="1137" w:right="0" w:hanging="417"/>
            <w:jc w:val="left"/>
          </w:pPr>
          <w:hyperlink w:history="true" w:anchor="_bookmark30">
            <w:r>
              <w:rPr>
                <w:spacing w:val="-2"/>
              </w:rPr>
              <w:t>Conclusion</w:t>
            </w:r>
            <w:r>
              <w:rPr>
                <w:rFonts w:ascii="Times New Roman"/>
              </w:rPr>
              <w:tab/>
            </w:r>
            <w:r>
              <w:rPr>
                <w:spacing w:val="-5"/>
              </w:rPr>
              <w:t>52</w:t>
            </w:r>
          </w:hyperlink>
        </w:p>
        <w:p>
          <w:pPr>
            <w:pStyle w:val="TOC2"/>
            <w:spacing w:before="272"/>
          </w:pPr>
          <w:r>
            <w:rPr/>
            <mc:AlternateContent>
              <mc:Choice Requires="wps">
                <w:drawing>
                  <wp:anchor distT="0" distB="0" distL="0" distR="0" allowOverlap="1" layoutInCell="1" locked="0" behindDoc="0" simplePos="0" relativeHeight="15734784">
                    <wp:simplePos x="0" y="0"/>
                    <wp:positionH relativeFrom="page">
                      <wp:posOffset>647999</wp:posOffset>
                    </wp:positionH>
                    <wp:positionV relativeFrom="paragraph">
                      <wp:posOffset>119827</wp:posOffset>
                    </wp:positionV>
                    <wp:extent cx="6012180"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51.023602pt,9.435212pt" to="524.409602pt,9.435212pt" stroked="true" strokeweight="1pt" strokecolor="#36a9e1">
                    <v:stroke dashstyle="solid"/>
                    <w10:wrap type="none"/>
                  </v:line>
                </w:pict>
              </mc:Fallback>
            </mc:AlternateContent>
          </w:r>
          <w:hyperlink w:history="true" w:anchor="_bookmark31">
            <w:r>
              <w:rPr>
                <w:color w:val="164194"/>
              </w:rPr>
              <w:t>Chapter</w:t>
            </w:r>
            <w:r>
              <w:rPr>
                <w:color w:val="164194"/>
                <w:spacing w:val="-6"/>
              </w:rPr>
              <w:t> </w:t>
            </w:r>
            <w:r>
              <w:rPr>
                <w:color w:val="164194"/>
              </w:rPr>
              <w:t>3:</w:t>
            </w:r>
            <w:r>
              <w:rPr>
                <w:color w:val="164194"/>
                <w:spacing w:val="-3"/>
              </w:rPr>
              <w:t> </w:t>
            </w:r>
            <w:r>
              <w:rPr>
                <w:color w:val="164194"/>
              </w:rPr>
              <w:t>Human</w:t>
            </w:r>
            <w:r>
              <w:rPr>
                <w:color w:val="164194"/>
                <w:spacing w:val="-3"/>
              </w:rPr>
              <w:t> </w:t>
            </w:r>
            <w:r>
              <w:rPr>
                <w:color w:val="164194"/>
              </w:rPr>
              <w:t>Rights</w:t>
            </w:r>
            <w:r>
              <w:rPr>
                <w:color w:val="164194"/>
                <w:spacing w:val="-3"/>
              </w:rPr>
              <w:t> </w:t>
            </w:r>
            <w:r>
              <w:rPr>
                <w:color w:val="164194"/>
              </w:rPr>
              <w:t>and</w:t>
            </w:r>
            <w:r>
              <w:rPr>
                <w:color w:val="164194"/>
                <w:spacing w:val="-3"/>
              </w:rPr>
              <w:t> </w:t>
            </w:r>
            <w:r>
              <w:rPr>
                <w:color w:val="164194"/>
              </w:rPr>
              <w:t>Equality</w:t>
            </w:r>
            <w:r>
              <w:rPr>
                <w:color w:val="164194"/>
                <w:spacing w:val="-3"/>
              </w:rPr>
              <w:t> </w:t>
            </w:r>
            <w:r>
              <w:rPr>
                <w:color w:val="164194"/>
              </w:rPr>
              <w:t>Developments</w:t>
            </w:r>
            <w:r>
              <w:rPr>
                <w:color w:val="164194"/>
                <w:spacing w:val="-3"/>
              </w:rPr>
              <w:t> </w:t>
            </w:r>
            <w:r>
              <w:rPr>
                <w:color w:val="164194"/>
              </w:rPr>
              <w:t>in</w:t>
            </w:r>
            <w:r>
              <w:rPr>
                <w:color w:val="164194"/>
                <w:spacing w:val="-3"/>
              </w:rPr>
              <w:t> </w:t>
            </w:r>
            <w:r>
              <w:rPr>
                <w:color w:val="164194"/>
                <w:spacing w:val="-2"/>
              </w:rPr>
              <w:t>Ireland</w:t>
            </w:r>
          </w:hyperlink>
        </w:p>
        <w:p>
          <w:pPr>
            <w:pStyle w:val="TOC2"/>
            <w:tabs>
              <w:tab w:pos="10188" w:val="right" w:leader="none"/>
            </w:tabs>
          </w:pPr>
          <w:hyperlink w:history="true" w:anchor="_bookmark31">
            <w:r>
              <w:rPr>
                <w:color w:val="164194"/>
              </w:rPr>
              <w:t>since</w:t>
            </w:r>
            <w:r>
              <w:rPr>
                <w:color w:val="164194"/>
                <w:spacing w:val="-3"/>
              </w:rPr>
              <w:t> </w:t>
            </w:r>
            <w:r>
              <w:rPr>
                <w:color w:val="164194"/>
              </w:rPr>
              <w:t>January</w:t>
            </w:r>
            <w:r>
              <w:rPr>
                <w:color w:val="164194"/>
                <w:spacing w:val="-2"/>
              </w:rPr>
              <w:t> </w:t>
            </w:r>
            <w:r>
              <w:rPr>
                <w:color w:val="164194"/>
              </w:rPr>
              <w:t>2022</w:t>
            </w:r>
            <w:r>
              <w:rPr>
                <w:color w:val="164194"/>
                <w:spacing w:val="-2"/>
              </w:rPr>
              <w:t> </w:t>
            </w:r>
            <w:r>
              <w:rPr>
                <w:color w:val="164194"/>
              </w:rPr>
              <w:t>and</w:t>
            </w:r>
            <w:r>
              <w:rPr>
                <w:color w:val="164194"/>
                <w:spacing w:val="-1"/>
              </w:rPr>
              <w:t> </w:t>
            </w:r>
            <w:r>
              <w:rPr>
                <w:color w:val="164194"/>
              </w:rPr>
              <w:t>the</w:t>
            </w:r>
            <w:r>
              <w:rPr>
                <w:color w:val="164194"/>
                <w:spacing w:val="-3"/>
              </w:rPr>
              <w:t> </w:t>
            </w:r>
            <w:r>
              <w:rPr>
                <w:color w:val="164194"/>
              </w:rPr>
              <w:t>Risk</w:t>
            </w:r>
            <w:r>
              <w:rPr>
                <w:color w:val="164194"/>
                <w:spacing w:val="-3"/>
              </w:rPr>
              <w:t> </w:t>
            </w:r>
            <w:r>
              <w:rPr>
                <w:color w:val="164194"/>
              </w:rPr>
              <w:t>of</w:t>
            </w:r>
            <w:r>
              <w:rPr>
                <w:color w:val="164194"/>
                <w:spacing w:val="-2"/>
              </w:rPr>
              <w:t> Divergence</w:t>
            </w:r>
            <w:r>
              <w:rPr>
                <w:rFonts w:ascii="Times New Roman"/>
                <w:b w:val="0"/>
                <w:color w:val="164194"/>
              </w:rPr>
              <w:tab/>
            </w:r>
            <w:r>
              <w:rPr>
                <w:color w:val="164194"/>
                <w:spacing w:val="-5"/>
              </w:rPr>
              <w:t>53</w:t>
            </w:r>
          </w:hyperlink>
        </w:p>
        <w:p>
          <w:pPr>
            <w:pStyle w:val="TOC3"/>
            <w:numPr>
              <w:ilvl w:val="1"/>
              <w:numId w:val="3"/>
            </w:numPr>
            <w:tabs>
              <w:tab w:pos="1137" w:val="left" w:leader="none"/>
              <w:tab w:pos="10188" w:val="right" w:leader="none"/>
            </w:tabs>
            <w:spacing w:line="336" w:lineRule="exact" w:before="102" w:after="0"/>
            <w:ind w:left="1137" w:right="0" w:hanging="417"/>
            <w:jc w:val="left"/>
          </w:pPr>
          <w:hyperlink w:history="true" w:anchor="_bookmark31">
            <w:r>
              <w:rPr>
                <w:spacing w:val="-2"/>
              </w:rPr>
              <w:t>Introduction</w:t>
            </w:r>
            <w:r>
              <w:rPr>
                <w:rFonts w:ascii="Times New Roman"/>
              </w:rPr>
              <w:tab/>
            </w:r>
            <w:r>
              <w:rPr>
                <w:spacing w:val="-5"/>
              </w:rPr>
              <w:t>53</w:t>
            </w:r>
          </w:hyperlink>
        </w:p>
        <w:p>
          <w:pPr>
            <w:pStyle w:val="TOC3"/>
            <w:numPr>
              <w:ilvl w:val="1"/>
              <w:numId w:val="3"/>
            </w:numPr>
            <w:tabs>
              <w:tab w:pos="1137" w:val="left" w:leader="none"/>
              <w:tab w:pos="10188" w:val="right" w:leader="none"/>
            </w:tabs>
            <w:spacing w:line="330" w:lineRule="exact" w:before="0" w:after="0"/>
            <w:ind w:left="1137" w:right="0" w:hanging="417"/>
            <w:jc w:val="left"/>
          </w:pPr>
          <w:hyperlink w:history="true" w:anchor="_bookmark31">
            <w:r>
              <w:rPr>
                <w:spacing w:val="-2"/>
              </w:rPr>
              <w:t>Background</w:t>
            </w:r>
            <w:r>
              <w:rPr>
                <w:rFonts w:ascii="Times New Roman"/>
              </w:rPr>
              <w:tab/>
            </w:r>
            <w:r>
              <w:rPr>
                <w:spacing w:val="-5"/>
              </w:rPr>
              <w:t>53</w:t>
            </w:r>
          </w:hyperlink>
        </w:p>
        <w:p>
          <w:pPr>
            <w:pStyle w:val="TOC3"/>
            <w:numPr>
              <w:ilvl w:val="1"/>
              <w:numId w:val="3"/>
            </w:numPr>
            <w:tabs>
              <w:tab w:pos="1137" w:val="left" w:leader="none"/>
              <w:tab w:pos="10188" w:val="right" w:leader="none"/>
            </w:tabs>
            <w:spacing w:line="330" w:lineRule="exact" w:before="0" w:after="0"/>
            <w:ind w:left="1137" w:right="0" w:hanging="417"/>
            <w:jc w:val="left"/>
          </w:pPr>
          <w:hyperlink w:history="true" w:anchor="_bookmark32">
            <w:r>
              <w:rPr/>
              <w:t>Review</w:t>
            </w:r>
            <w:r>
              <w:rPr>
                <w:spacing w:val="-5"/>
              </w:rPr>
              <w:t> </w:t>
            </w:r>
            <w:r>
              <w:rPr/>
              <w:t>of</w:t>
            </w:r>
            <w:r>
              <w:rPr>
                <w:spacing w:val="-6"/>
              </w:rPr>
              <w:t> </w:t>
            </w:r>
            <w:r>
              <w:rPr/>
              <w:t>Equality</w:t>
            </w:r>
            <w:r>
              <w:rPr>
                <w:spacing w:val="-4"/>
              </w:rPr>
              <w:t> </w:t>
            </w:r>
            <w:r>
              <w:rPr>
                <w:spacing w:val="-2"/>
              </w:rPr>
              <w:t>Legislation</w:t>
            </w:r>
            <w:r>
              <w:rPr>
                <w:rFonts w:ascii="Times New Roman"/>
              </w:rPr>
              <w:tab/>
            </w:r>
            <w:r>
              <w:rPr>
                <w:spacing w:val="-5"/>
              </w:rPr>
              <w:t>55</w:t>
            </w:r>
          </w:hyperlink>
        </w:p>
        <w:p>
          <w:pPr>
            <w:pStyle w:val="TOC3"/>
            <w:numPr>
              <w:ilvl w:val="1"/>
              <w:numId w:val="3"/>
            </w:numPr>
            <w:tabs>
              <w:tab w:pos="1137" w:val="left" w:leader="none"/>
              <w:tab w:pos="10188" w:val="right" w:leader="none"/>
            </w:tabs>
            <w:spacing w:line="330" w:lineRule="exact" w:before="0" w:after="0"/>
            <w:ind w:left="1137" w:right="0" w:hanging="417"/>
            <w:jc w:val="left"/>
          </w:pPr>
          <w:hyperlink w:history="true" w:anchor="_bookmark33">
            <w:r>
              <w:rPr>
                <w:spacing w:val="-2"/>
              </w:rPr>
              <w:t>Gender</w:t>
            </w:r>
            <w:r>
              <w:rPr>
                <w:rFonts w:ascii="Times New Roman"/>
              </w:rPr>
              <w:tab/>
            </w:r>
            <w:r>
              <w:rPr>
                <w:spacing w:val="-5"/>
              </w:rPr>
              <w:t>57</w:t>
            </w:r>
          </w:hyperlink>
        </w:p>
        <w:p>
          <w:pPr>
            <w:pStyle w:val="TOC3"/>
            <w:numPr>
              <w:ilvl w:val="2"/>
              <w:numId w:val="3"/>
            </w:numPr>
            <w:tabs>
              <w:tab w:pos="1350" w:val="left" w:leader="none"/>
              <w:tab w:pos="10188" w:val="right" w:leader="none"/>
            </w:tabs>
            <w:spacing w:line="330" w:lineRule="exact" w:before="0" w:after="0"/>
            <w:ind w:left="1350" w:right="0" w:hanging="630"/>
            <w:jc w:val="left"/>
          </w:pPr>
          <w:hyperlink w:history="true" w:anchor="_bookmark33">
            <w:r>
              <w:rPr/>
              <w:t>Pay</w:t>
            </w:r>
            <w:r>
              <w:rPr>
                <w:spacing w:val="-12"/>
              </w:rPr>
              <w:t> </w:t>
            </w:r>
            <w:r>
              <w:rPr>
                <w:spacing w:val="-2"/>
              </w:rPr>
              <w:t>Transparency</w:t>
            </w:r>
            <w:r>
              <w:rPr>
                <w:rFonts w:ascii="Times New Roman"/>
              </w:rPr>
              <w:tab/>
            </w:r>
            <w:r>
              <w:rPr>
                <w:spacing w:val="-5"/>
              </w:rPr>
              <w:t>57</w:t>
            </w:r>
          </w:hyperlink>
        </w:p>
        <w:p>
          <w:pPr>
            <w:pStyle w:val="TOC3"/>
            <w:numPr>
              <w:ilvl w:val="2"/>
              <w:numId w:val="3"/>
            </w:numPr>
            <w:tabs>
              <w:tab w:pos="1350" w:val="left" w:leader="none"/>
              <w:tab w:pos="10188" w:val="right" w:leader="none"/>
            </w:tabs>
            <w:spacing w:line="330" w:lineRule="exact" w:before="0" w:after="0"/>
            <w:ind w:left="1350" w:right="0" w:hanging="630"/>
            <w:jc w:val="left"/>
          </w:pPr>
          <w:hyperlink w:history="true" w:anchor="_bookmark34">
            <w:r>
              <w:rPr>
                <w:spacing w:val="-4"/>
              </w:rPr>
              <w:t>Work-Life</w:t>
            </w:r>
            <w:r>
              <w:rPr>
                <w:spacing w:val="3"/>
              </w:rPr>
              <w:t> </w:t>
            </w:r>
            <w:r>
              <w:rPr>
                <w:spacing w:val="-4"/>
              </w:rPr>
              <w:t>Balance</w:t>
            </w:r>
            <w:r>
              <w:rPr>
                <w:rFonts w:ascii="Times New Roman"/>
              </w:rPr>
              <w:tab/>
            </w:r>
            <w:r>
              <w:rPr>
                <w:spacing w:val="-5"/>
              </w:rPr>
              <w:t>58</w:t>
            </w:r>
          </w:hyperlink>
        </w:p>
        <w:p>
          <w:pPr>
            <w:pStyle w:val="TOC3"/>
            <w:numPr>
              <w:ilvl w:val="2"/>
              <w:numId w:val="3"/>
            </w:numPr>
            <w:tabs>
              <w:tab w:pos="1350" w:val="left" w:leader="none"/>
              <w:tab w:pos="10188" w:val="right" w:leader="none"/>
            </w:tabs>
            <w:spacing w:line="330" w:lineRule="exact" w:before="0" w:after="0"/>
            <w:ind w:left="1350" w:right="0" w:hanging="630"/>
            <w:jc w:val="left"/>
          </w:pPr>
          <w:hyperlink w:history="true" w:anchor="_bookmark35">
            <w:r>
              <w:rPr/>
              <w:t>Gender</w:t>
            </w:r>
            <w:r>
              <w:rPr>
                <w:spacing w:val="-1"/>
              </w:rPr>
              <w:t> </w:t>
            </w:r>
            <w:r>
              <w:rPr/>
              <w:t>Balance on</w:t>
            </w:r>
            <w:r>
              <w:rPr>
                <w:spacing w:val="-1"/>
              </w:rPr>
              <w:t> </w:t>
            </w:r>
            <w:r>
              <w:rPr>
                <w:spacing w:val="-2"/>
              </w:rPr>
              <w:t>Boards</w:t>
            </w:r>
            <w:r>
              <w:rPr>
                <w:rFonts w:ascii="Times New Roman"/>
              </w:rPr>
              <w:tab/>
            </w:r>
            <w:r>
              <w:rPr>
                <w:spacing w:val="-5"/>
              </w:rPr>
              <w:t>61</w:t>
            </w:r>
          </w:hyperlink>
        </w:p>
        <w:p>
          <w:pPr>
            <w:pStyle w:val="TOC3"/>
            <w:numPr>
              <w:ilvl w:val="2"/>
              <w:numId w:val="3"/>
            </w:numPr>
            <w:tabs>
              <w:tab w:pos="1350" w:val="left" w:leader="none"/>
              <w:tab w:pos="10188" w:val="right" w:leader="none"/>
            </w:tabs>
            <w:spacing w:line="330" w:lineRule="exact" w:before="0" w:after="0"/>
            <w:ind w:left="1350" w:right="0" w:hanging="630"/>
            <w:jc w:val="left"/>
          </w:pPr>
          <w:hyperlink w:history="true" w:anchor="_bookmark36">
            <w:r>
              <w:rPr/>
              <w:t>Domestic</w:t>
            </w:r>
            <w:r>
              <w:rPr>
                <w:spacing w:val="-11"/>
              </w:rPr>
              <w:t> </w:t>
            </w:r>
            <w:r>
              <w:rPr>
                <w:spacing w:val="-2"/>
              </w:rPr>
              <w:t>violence</w:t>
            </w:r>
            <w:r>
              <w:rPr>
                <w:rFonts w:ascii="Times New Roman"/>
              </w:rPr>
              <w:tab/>
            </w:r>
            <w:r>
              <w:rPr>
                <w:spacing w:val="-5"/>
              </w:rPr>
              <w:t>62</w:t>
            </w:r>
          </w:hyperlink>
        </w:p>
        <w:p>
          <w:pPr>
            <w:pStyle w:val="TOC3"/>
            <w:numPr>
              <w:ilvl w:val="1"/>
              <w:numId w:val="3"/>
            </w:numPr>
            <w:tabs>
              <w:tab w:pos="1137" w:val="left" w:leader="none"/>
              <w:tab w:pos="10188" w:val="right" w:leader="none"/>
            </w:tabs>
            <w:spacing w:line="330" w:lineRule="exact" w:before="0" w:after="0"/>
            <w:ind w:left="1137" w:right="0" w:hanging="417"/>
            <w:jc w:val="left"/>
          </w:pPr>
          <w:hyperlink w:history="true" w:anchor="_bookmark37">
            <w:r>
              <w:rPr>
                <w:spacing w:val="-4"/>
              </w:rPr>
              <w:t>Race</w:t>
            </w:r>
            <w:r>
              <w:rPr>
                <w:rFonts w:ascii="Times New Roman"/>
              </w:rPr>
              <w:tab/>
            </w:r>
            <w:r>
              <w:rPr>
                <w:spacing w:val="-5"/>
              </w:rPr>
              <w:t>64</w:t>
            </w:r>
          </w:hyperlink>
        </w:p>
        <w:p>
          <w:pPr>
            <w:pStyle w:val="TOC3"/>
            <w:numPr>
              <w:ilvl w:val="1"/>
              <w:numId w:val="3"/>
            </w:numPr>
            <w:tabs>
              <w:tab w:pos="1137" w:val="left" w:leader="none"/>
              <w:tab w:pos="10188" w:val="right" w:leader="none"/>
            </w:tabs>
            <w:spacing w:line="330" w:lineRule="exact" w:before="0" w:after="0"/>
            <w:ind w:left="1137" w:right="0" w:hanging="417"/>
            <w:jc w:val="left"/>
          </w:pPr>
          <w:hyperlink w:history="true" w:anchor="_bookmark38">
            <w:r>
              <w:rPr/>
              <w:t>Religion</w:t>
            </w:r>
            <w:r>
              <w:rPr>
                <w:spacing w:val="-7"/>
              </w:rPr>
              <w:t> </w:t>
            </w:r>
            <w:r>
              <w:rPr/>
              <w:t>or</w:t>
            </w:r>
            <w:r>
              <w:rPr>
                <w:spacing w:val="-5"/>
              </w:rPr>
              <w:t> </w:t>
            </w:r>
            <w:r>
              <w:rPr>
                <w:spacing w:val="-2"/>
              </w:rPr>
              <w:t>Belief</w:t>
            </w:r>
            <w:r>
              <w:rPr>
                <w:rFonts w:ascii="Times New Roman"/>
              </w:rPr>
              <w:tab/>
            </w:r>
            <w:r>
              <w:rPr>
                <w:spacing w:val="-5"/>
              </w:rPr>
              <w:t>65</w:t>
            </w:r>
          </w:hyperlink>
        </w:p>
        <w:p>
          <w:pPr>
            <w:pStyle w:val="TOC3"/>
            <w:numPr>
              <w:ilvl w:val="1"/>
              <w:numId w:val="3"/>
            </w:numPr>
            <w:tabs>
              <w:tab w:pos="1137" w:val="left" w:leader="none"/>
              <w:tab w:pos="10188" w:val="right" w:leader="none"/>
            </w:tabs>
            <w:spacing w:line="330" w:lineRule="exact" w:before="0" w:after="0"/>
            <w:ind w:left="1137" w:right="0" w:hanging="417"/>
            <w:jc w:val="left"/>
          </w:pPr>
          <w:hyperlink w:history="true" w:anchor="_bookmark38">
            <w:r>
              <w:rPr/>
              <w:t>Sexual</w:t>
            </w:r>
            <w:r>
              <w:rPr>
                <w:spacing w:val="-11"/>
              </w:rPr>
              <w:t> </w:t>
            </w:r>
            <w:r>
              <w:rPr>
                <w:spacing w:val="-2"/>
              </w:rPr>
              <w:t>Orientation</w:t>
            </w:r>
            <w:r>
              <w:rPr>
                <w:rFonts w:ascii="Times New Roman"/>
              </w:rPr>
              <w:tab/>
            </w:r>
            <w:r>
              <w:rPr>
                <w:spacing w:val="-5"/>
              </w:rPr>
              <w:t>65</w:t>
            </w:r>
          </w:hyperlink>
        </w:p>
        <w:p>
          <w:pPr>
            <w:pStyle w:val="TOC3"/>
            <w:numPr>
              <w:ilvl w:val="1"/>
              <w:numId w:val="3"/>
            </w:numPr>
            <w:tabs>
              <w:tab w:pos="1137" w:val="left" w:leader="none"/>
              <w:tab w:pos="10188" w:val="right" w:leader="none"/>
            </w:tabs>
            <w:spacing w:line="330" w:lineRule="exact" w:before="0" w:after="0"/>
            <w:ind w:left="1137" w:right="0" w:hanging="417"/>
            <w:jc w:val="left"/>
          </w:pPr>
          <w:hyperlink w:history="true" w:anchor="_bookmark39">
            <w:r>
              <w:rPr/>
              <w:t>Gender </w:t>
            </w:r>
            <w:r>
              <w:rPr>
                <w:spacing w:val="-2"/>
              </w:rPr>
              <w:t>Identity</w:t>
            </w:r>
            <w:r>
              <w:rPr>
                <w:rFonts w:ascii="Times New Roman"/>
              </w:rPr>
              <w:tab/>
            </w:r>
            <w:r>
              <w:rPr>
                <w:spacing w:val="-5"/>
              </w:rPr>
              <w:t>66</w:t>
            </w:r>
          </w:hyperlink>
        </w:p>
        <w:p>
          <w:pPr>
            <w:pStyle w:val="TOC3"/>
            <w:numPr>
              <w:ilvl w:val="1"/>
              <w:numId w:val="3"/>
            </w:numPr>
            <w:tabs>
              <w:tab w:pos="1137" w:val="left" w:leader="none"/>
              <w:tab w:pos="10188" w:val="right" w:leader="none"/>
            </w:tabs>
            <w:spacing w:line="330" w:lineRule="exact" w:before="0" w:after="0"/>
            <w:ind w:left="1137" w:right="0" w:hanging="417"/>
            <w:jc w:val="left"/>
          </w:pPr>
          <w:hyperlink w:history="true" w:anchor="_bookmark40">
            <w:r>
              <w:rPr>
                <w:spacing w:val="-2"/>
              </w:rPr>
              <w:t>Disability</w:t>
            </w:r>
            <w:r>
              <w:rPr>
                <w:rFonts w:ascii="Times New Roman"/>
              </w:rPr>
              <w:tab/>
            </w:r>
            <w:r>
              <w:rPr>
                <w:spacing w:val="-5"/>
              </w:rPr>
              <w:t>69</w:t>
            </w:r>
          </w:hyperlink>
        </w:p>
        <w:p>
          <w:pPr>
            <w:pStyle w:val="TOC3"/>
            <w:numPr>
              <w:ilvl w:val="1"/>
              <w:numId w:val="3"/>
            </w:numPr>
            <w:tabs>
              <w:tab w:pos="1279" w:val="left" w:leader="none"/>
              <w:tab w:pos="10188" w:val="right" w:leader="none"/>
            </w:tabs>
            <w:spacing w:line="330" w:lineRule="exact" w:before="0" w:after="0"/>
            <w:ind w:left="1279" w:right="0" w:hanging="559"/>
            <w:jc w:val="left"/>
          </w:pPr>
          <w:hyperlink w:history="true" w:anchor="_bookmark41">
            <w:r>
              <w:rPr>
                <w:spacing w:val="-5"/>
              </w:rPr>
              <w:t>Age</w:t>
            </w:r>
            <w:r>
              <w:rPr>
                <w:rFonts w:ascii="Times New Roman"/>
              </w:rPr>
              <w:tab/>
            </w:r>
            <w:r>
              <w:rPr>
                <w:spacing w:val="-5"/>
              </w:rPr>
              <w:t>70</w:t>
            </w:r>
          </w:hyperlink>
        </w:p>
        <w:p>
          <w:pPr>
            <w:pStyle w:val="TOC3"/>
            <w:numPr>
              <w:ilvl w:val="1"/>
              <w:numId w:val="3"/>
            </w:numPr>
            <w:tabs>
              <w:tab w:pos="1279" w:val="left" w:leader="none"/>
              <w:tab w:pos="10188" w:val="right" w:leader="none"/>
            </w:tabs>
            <w:spacing w:line="330" w:lineRule="exact" w:before="0" w:after="0"/>
            <w:ind w:left="1279" w:right="0" w:hanging="559"/>
            <w:jc w:val="left"/>
          </w:pPr>
          <w:hyperlink w:history="true" w:anchor="_bookmark41">
            <w:r>
              <w:rPr/>
              <w:t>Other </w:t>
            </w:r>
            <w:r>
              <w:rPr>
                <w:spacing w:val="-2"/>
              </w:rPr>
              <w:t>Measures</w:t>
            </w:r>
            <w:r>
              <w:rPr>
                <w:rFonts w:ascii="Times New Roman"/>
              </w:rPr>
              <w:tab/>
            </w:r>
            <w:r>
              <w:rPr>
                <w:spacing w:val="-5"/>
              </w:rPr>
              <w:t>70</w:t>
            </w:r>
          </w:hyperlink>
        </w:p>
        <w:p>
          <w:pPr>
            <w:pStyle w:val="TOC3"/>
            <w:numPr>
              <w:ilvl w:val="1"/>
              <w:numId w:val="3"/>
            </w:numPr>
            <w:tabs>
              <w:tab w:pos="1279" w:val="left" w:leader="none"/>
              <w:tab w:pos="10188" w:val="right" w:leader="none"/>
            </w:tabs>
            <w:spacing w:line="336" w:lineRule="exact" w:before="0" w:after="0"/>
            <w:ind w:left="1279" w:right="0" w:hanging="559"/>
            <w:jc w:val="left"/>
          </w:pPr>
          <w:hyperlink w:history="true" w:anchor="_bookmark42">
            <w:r>
              <w:rPr>
                <w:spacing w:val="-2"/>
              </w:rPr>
              <w:t>Conclusion</w:t>
            </w:r>
            <w:r>
              <w:rPr>
                <w:rFonts w:ascii="Times New Roman"/>
              </w:rPr>
              <w:tab/>
            </w:r>
            <w:r>
              <w:rPr>
                <w:spacing w:val="-5"/>
              </w:rPr>
              <w:t>73</w:t>
            </w:r>
          </w:hyperlink>
        </w:p>
        <w:p>
          <w:pPr>
            <w:pStyle w:val="TOC2"/>
            <w:spacing w:before="271"/>
          </w:pPr>
          <w:r>
            <w:rPr/>
            <mc:AlternateContent>
              <mc:Choice Requires="wps">
                <w:drawing>
                  <wp:anchor distT="0" distB="0" distL="0" distR="0" allowOverlap="1" layoutInCell="1" locked="0" behindDoc="0" simplePos="0" relativeHeight="15735296">
                    <wp:simplePos x="0" y="0"/>
                    <wp:positionH relativeFrom="page">
                      <wp:posOffset>647999</wp:posOffset>
                    </wp:positionH>
                    <wp:positionV relativeFrom="paragraph">
                      <wp:posOffset>119356</wp:posOffset>
                    </wp:positionV>
                    <wp:extent cx="6012180"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51.023602pt,9.398155pt" to="524.409602pt,9.398155pt" stroked="true" strokeweight="1pt" strokecolor="#36a9e1">
                    <v:stroke dashstyle="solid"/>
                    <w10:wrap type="none"/>
                  </v:line>
                </w:pict>
              </mc:Fallback>
            </mc:AlternateContent>
          </w:r>
          <w:hyperlink w:history="true" w:anchor="_bookmark43">
            <w:r>
              <w:rPr>
                <w:color w:val="164194"/>
              </w:rPr>
              <w:t>Chapter</w:t>
            </w:r>
            <w:r>
              <w:rPr>
                <w:color w:val="164194"/>
                <w:spacing w:val="-9"/>
              </w:rPr>
              <w:t> </w:t>
            </w:r>
            <w:r>
              <w:rPr>
                <w:color w:val="164194"/>
              </w:rPr>
              <w:t>4:</w:t>
            </w:r>
            <w:r>
              <w:rPr>
                <w:color w:val="164194"/>
                <w:spacing w:val="-7"/>
              </w:rPr>
              <w:t> </w:t>
            </w:r>
            <w:r>
              <w:rPr>
                <w:color w:val="164194"/>
              </w:rPr>
              <w:t>Tracking</w:t>
            </w:r>
            <w:r>
              <w:rPr>
                <w:color w:val="164194"/>
                <w:spacing w:val="-9"/>
              </w:rPr>
              <w:t> </w:t>
            </w:r>
            <w:r>
              <w:rPr>
                <w:color w:val="164194"/>
              </w:rPr>
              <w:t>EU</w:t>
            </w:r>
            <w:r>
              <w:rPr>
                <w:color w:val="164194"/>
                <w:spacing w:val="-7"/>
              </w:rPr>
              <w:t> </w:t>
            </w:r>
            <w:r>
              <w:rPr>
                <w:color w:val="164194"/>
              </w:rPr>
              <w:t>Legal</w:t>
            </w:r>
            <w:r>
              <w:rPr>
                <w:color w:val="164194"/>
                <w:spacing w:val="-7"/>
              </w:rPr>
              <w:t> </w:t>
            </w:r>
            <w:r>
              <w:rPr>
                <w:color w:val="164194"/>
              </w:rPr>
              <w:t>Developments</w:t>
            </w:r>
            <w:r>
              <w:rPr>
                <w:color w:val="164194"/>
                <w:spacing w:val="-8"/>
              </w:rPr>
              <w:t> </w:t>
            </w:r>
            <w:r>
              <w:rPr>
                <w:color w:val="164194"/>
              </w:rPr>
              <w:t>since</w:t>
            </w:r>
            <w:r>
              <w:rPr>
                <w:color w:val="164194"/>
                <w:spacing w:val="-8"/>
              </w:rPr>
              <w:t> </w:t>
            </w:r>
            <w:r>
              <w:rPr>
                <w:color w:val="164194"/>
              </w:rPr>
              <w:t>January</w:t>
            </w:r>
            <w:r>
              <w:rPr>
                <w:color w:val="164194"/>
                <w:spacing w:val="-7"/>
              </w:rPr>
              <w:t> </w:t>
            </w:r>
            <w:r>
              <w:rPr>
                <w:color w:val="164194"/>
                <w:spacing w:val="-2"/>
              </w:rPr>
              <w:t>2022:</w:t>
            </w:r>
          </w:hyperlink>
        </w:p>
        <w:p>
          <w:pPr>
            <w:pStyle w:val="TOC2"/>
            <w:tabs>
              <w:tab w:pos="10188" w:val="right" w:leader="none"/>
            </w:tabs>
          </w:pPr>
          <w:hyperlink w:history="true" w:anchor="_bookmark43">
            <w:r>
              <w:rPr>
                <w:color w:val="164194"/>
              </w:rPr>
              <w:t>Adopted</w:t>
            </w:r>
            <w:r>
              <w:rPr>
                <w:color w:val="164194"/>
                <w:spacing w:val="-6"/>
              </w:rPr>
              <w:t> </w:t>
            </w:r>
            <w:r>
              <w:rPr>
                <w:color w:val="164194"/>
              </w:rPr>
              <w:t>and</w:t>
            </w:r>
            <w:r>
              <w:rPr>
                <w:color w:val="164194"/>
                <w:spacing w:val="-6"/>
              </w:rPr>
              <w:t> </w:t>
            </w:r>
            <w:r>
              <w:rPr>
                <w:color w:val="164194"/>
              </w:rPr>
              <w:t>Proposed</w:t>
            </w:r>
            <w:r>
              <w:rPr>
                <w:color w:val="164194"/>
                <w:spacing w:val="-6"/>
              </w:rPr>
              <w:t> </w:t>
            </w:r>
            <w:r>
              <w:rPr>
                <w:color w:val="164194"/>
              </w:rPr>
              <w:t>Directives</w:t>
            </w:r>
            <w:r>
              <w:rPr>
                <w:color w:val="164194"/>
                <w:spacing w:val="-6"/>
              </w:rPr>
              <w:t> </w:t>
            </w:r>
            <w:r>
              <w:rPr>
                <w:color w:val="164194"/>
              </w:rPr>
              <w:t>and</w:t>
            </w:r>
            <w:r>
              <w:rPr>
                <w:color w:val="164194"/>
                <w:spacing w:val="-6"/>
              </w:rPr>
              <w:t> </w:t>
            </w:r>
            <w:r>
              <w:rPr>
                <w:color w:val="164194"/>
                <w:spacing w:val="-2"/>
              </w:rPr>
              <w:t>Regulations</w:t>
            </w:r>
            <w:r>
              <w:rPr>
                <w:rFonts w:ascii="Times New Roman"/>
                <w:b w:val="0"/>
                <w:color w:val="164194"/>
              </w:rPr>
              <w:tab/>
            </w:r>
            <w:r>
              <w:rPr>
                <w:color w:val="164194"/>
                <w:spacing w:val="-5"/>
              </w:rPr>
              <w:t>75</w:t>
            </w:r>
          </w:hyperlink>
        </w:p>
        <w:p>
          <w:pPr>
            <w:pStyle w:val="TOC3"/>
            <w:numPr>
              <w:ilvl w:val="1"/>
              <w:numId w:val="4"/>
            </w:numPr>
            <w:tabs>
              <w:tab w:pos="1137" w:val="left" w:leader="none"/>
              <w:tab w:pos="10188" w:val="right" w:leader="none"/>
            </w:tabs>
            <w:spacing w:line="336" w:lineRule="exact" w:before="102" w:after="0"/>
            <w:ind w:left="1137" w:right="0" w:hanging="417"/>
            <w:jc w:val="left"/>
          </w:pPr>
          <w:hyperlink w:history="true" w:anchor="_bookmark43">
            <w:r>
              <w:rPr>
                <w:spacing w:val="-2"/>
              </w:rPr>
              <w:t>Introduction</w:t>
            </w:r>
            <w:r>
              <w:rPr>
                <w:rFonts w:ascii="Times New Roman"/>
              </w:rPr>
              <w:tab/>
            </w:r>
            <w:r>
              <w:rPr>
                <w:spacing w:val="-5"/>
              </w:rPr>
              <w:t>75</w:t>
            </w:r>
          </w:hyperlink>
        </w:p>
        <w:p>
          <w:pPr>
            <w:pStyle w:val="TOC3"/>
            <w:numPr>
              <w:ilvl w:val="1"/>
              <w:numId w:val="4"/>
            </w:numPr>
            <w:tabs>
              <w:tab w:pos="1137" w:val="left" w:leader="none"/>
              <w:tab w:pos="10188" w:val="right" w:leader="none"/>
            </w:tabs>
            <w:spacing w:line="330" w:lineRule="exact" w:before="0" w:after="0"/>
            <w:ind w:left="1137" w:right="0" w:hanging="417"/>
            <w:jc w:val="left"/>
          </w:pPr>
          <w:hyperlink w:history="true" w:anchor="_bookmark44">
            <w:r>
              <w:rPr/>
              <w:t>EU</w:t>
            </w:r>
            <w:r>
              <w:rPr>
                <w:spacing w:val="-5"/>
              </w:rPr>
              <w:t> </w:t>
            </w:r>
            <w:r>
              <w:rPr/>
              <w:t>legislation:</w:t>
            </w:r>
            <w:r>
              <w:rPr>
                <w:spacing w:val="-4"/>
              </w:rPr>
              <w:t> </w:t>
            </w:r>
            <w:r>
              <w:rPr>
                <w:spacing w:val="-2"/>
              </w:rPr>
              <w:t>overview</w:t>
            </w:r>
            <w:r>
              <w:rPr>
                <w:rFonts w:ascii="Times New Roman"/>
              </w:rPr>
              <w:tab/>
            </w:r>
            <w:r>
              <w:rPr>
                <w:spacing w:val="-5"/>
              </w:rPr>
              <w:t>76</w:t>
            </w:r>
          </w:hyperlink>
        </w:p>
        <w:p>
          <w:pPr>
            <w:pStyle w:val="TOC3"/>
            <w:numPr>
              <w:ilvl w:val="2"/>
              <w:numId w:val="4"/>
            </w:numPr>
            <w:tabs>
              <w:tab w:pos="1350" w:val="left" w:leader="none"/>
              <w:tab w:pos="10188" w:val="right" w:leader="none"/>
            </w:tabs>
            <w:spacing w:line="330" w:lineRule="exact" w:before="0" w:after="0"/>
            <w:ind w:left="1350" w:right="0" w:hanging="630"/>
            <w:jc w:val="left"/>
          </w:pPr>
          <w:hyperlink w:history="true" w:anchor="_bookmark44">
            <w:r>
              <w:rPr/>
              <w:t>Adopted</w:t>
            </w:r>
            <w:r>
              <w:rPr>
                <w:spacing w:val="-6"/>
              </w:rPr>
              <w:t> </w:t>
            </w:r>
            <w:r>
              <w:rPr/>
              <w:t>EU</w:t>
            </w:r>
            <w:r>
              <w:rPr>
                <w:spacing w:val="-4"/>
              </w:rPr>
              <w:t> </w:t>
            </w:r>
            <w:r>
              <w:rPr>
                <w:spacing w:val="-2"/>
              </w:rPr>
              <w:t>Directives</w:t>
            </w:r>
            <w:r>
              <w:rPr>
                <w:rFonts w:ascii="Times New Roman"/>
              </w:rPr>
              <w:tab/>
            </w:r>
            <w:r>
              <w:rPr>
                <w:spacing w:val="-5"/>
              </w:rPr>
              <w:t>76</w:t>
            </w:r>
          </w:hyperlink>
        </w:p>
        <w:p>
          <w:pPr>
            <w:pStyle w:val="TOC3"/>
            <w:numPr>
              <w:ilvl w:val="2"/>
              <w:numId w:val="4"/>
            </w:numPr>
            <w:tabs>
              <w:tab w:pos="1350" w:val="left" w:leader="none"/>
              <w:tab w:pos="10188" w:val="right" w:leader="none"/>
            </w:tabs>
            <w:spacing w:line="330" w:lineRule="exact" w:before="0" w:after="0"/>
            <w:ind w:left="1350" w:right="0" w:hanging="630"/>
            <w:jc w:val="left"/>
          </w:pPr>
          <w:hyperlink w:history="true" w:anchor="_bookmark45">
            <w:r>
              <w:rPr/>
              <w:t>Adopted</w:t>
            </w:r>
            <w:r>
              <w:rPr>
                <w:spacing w:val="-6"/>
              </w:rPr>
              <w:t> </w:t>
            </w:r>
            <w:r>
              <w:rPr/>
              <w:t>EU</w:t>
            </w:r>
            <w:r>
              <w:rPr>
                <w:spacing w:val="-4"/>
              </w:rPr>
              <w:t> </w:t>
            </w:r>
            <w:r>
              <w:rPr>
                <w:spacing w:val="-2"/>
              </w:rPr>
              <w:t>Regulations</w:t>
            </w:r>
            <w:r>
              <w:rPr>
                <w:rFonts w:ascii="Times New Roman"/>
              </w:rPr>
              <w:tab/>
            </w:r>
            <w:r>
              <w:rPr>
                <w:spacing w:val="-5"/>
              </w:rPr>
              <w:t>78</w:t>
            </w:r>
          </w:hyperlink>
        </w:p>
        <w:p>
          <w:pPr>
            <w:pStyle w:val="TOC3"/>
            <w:numPr>
              <w:ilvl w:val="2"/>
              <w:numId w:val="4"/>
            </w:numPr>
            <w:tabs>
              <w:tab w:pos="1350" w:val="left" w:leader="none"/>
              <w:tab w:pos="10188" w:val="right" w:leader="none"/>
            </w:tabs>
            <w:spacing w:line="330" w:lineRule="exact" w:before="0" w:after="0"/>
            <w:ind w:left="1350" w:right="0" w:hanging="630"/>
            <w:jc w:val="left"/>
          </w:pPr>
          <w:hyperlink w:history="true" w:anchor="_bookmark46">
            <w:r>
              <w:rPr/>
              <w:t>Themes</w:t>
            </w:r>
            <w:r>
              <w:rPr>
                <w:spacing w:val="-7"/>
              </w:rPr>
              <w:t> </w:t>
            </w:r>
            <w:r>
              <w:rPr/>
              <w:t>most</w:t>
            </w:r>
            <w:r>
              <w:rPr>
                <w:spacing w:val="-3"/>
              </w:rPr>
              <w:t> </w:t>
            </w:r>
            <w:r>
              <w:rPr/>
              <w:t>legislated</w:t>
            </w:r>
            <w:r>
              <w:rPr>
                <w:spacing w:val="-4"/>
              </w:rPr>
              <w:t> </w:t>
            </w:r>
            <w:r>
              <w:rPr/>
              <w:t>upon</w:t>
            </w:r>
            <w:r>
              <w:rPr>
                <w:spacing w:val="-4"/>
              </w:rPr>
              <w:t> </w:t>
            </w:r>
            <w:r>
              <w:rPr/>
              <w:t>in</w:t>
            </w:r>
            <w:r>
              <w:rPr>
                <w:spacing w:val="-4"/>
              </w:rPr>
              <w:t> </w:t>
            </w:r>
            <w:r>
              <w:rPr/>
              <w:t>our</w:t>
            </w:r>
            <w:r>
              <w:rPr>
                <w:spacing w:val="-4"/>
              </w:rPr>
              <w:t> </w:t>
            </w:r>
            <w:r>
              <w:rPr/>
              <w:t>sample</w:t>
            </w:r>
            <w:r>
              <w:rPr>
                <w:spacing w:val="-3"/>
              </w:rPr>
              <w:t> </w:t>
            </w:r>
            <w:r>
              <w:rPr/>
              <w:t>of</w:t>
            </w:r>
            <w:r>
              <w:rPr>
                <w:spacing w:val="-4"/>
              </w:rPr>
              <w:t> </w:t>
            </w:r>
            <w:r>
              <w:rPr/>
              <w:t>adopted</w:t>
            </w:r>
            <w:r>
              <w:rPr>
                <w:spacing w:val="-4"/>
              </w:rPr>
              <w:t> </w:t>
            </w:r>
            <w:r>
              <w:rPr/>
              <w:t>EU</w:t>
            </w:r>
            <w:r>
              <w:rPr>
                <w:spacing w:val="-3"/>
              </w:rPr>
              <w:t> </w:t>
            </w:r>
            <w:r>
              <w:rPr>
                <w:spacing w:val="-2"/>
              </w:rPr>
              <w:t>legislation</w:t>
            </w:r>
            <w:r>
              <w:rPr>
                <w:rFonts w:ascii="Times New Roman"/>
              </w:rPr>
              <w:tab/>
            </w:r>
            <w:r>
              <w:rPr>
                <w:spacing w:val="-5"/>
              </w:rPr>
              <w:t>79</w:t>
            </w:r>
          </w:hyperlink>
        </w:p>
        <w:p>
          <w:pPr>
            <w:pStyle w:val="TOC3"/>
            <w:numPr>
              <w:ilvl w:val="2"/>
              <w:numId w:val="4"/>
            </w:numPr>
            <w:tabs>
              <w:tab w:pos="1350" w:val="left" w:leader="none"/>
              <w:tab w:pos="10188" w:val="right" w:leader="none"/>
            </w:tabs>
            <w:spacing w:line="330" w:lineRule="exact" w:before="0" w:after="0"/>
            <w:ind w:left="1350" w:right="0" w:hanging="630"/>
            <w:jc w:val="left"/>
          </w:pPr>
          <w:hyperlink w:history="true" w:anchor="_bookmark47">
            <w:r>
              <w:rPr/>
              <w:t>Proposed</w:t>
            </w:r>
            <w:r>
              <w:rPr>
                <w:spacing w:val="-9"/>
              </w:rPr>
              <w:t> </w:t>
            </w:r>
            <w:r>
              <w:rPr/>
              <w:t>EU</w:t>
            </w:r>
            <w:r>
              <w:rPr>
                <w:spacing w:val="-7"/>
              </w:rPr>
              <w:t> </w:t>
            </w:r>
            <w:r>
              <w:rPr/>
              <w:t>legislation</w:t>
            </w:r>
            <w:r>
              <w:rPr>
                <w:spacing w:val="-8"/>
              </w:rPr>
              <w:t> </w:t>
            </w:r>
            <w:r>
              <w:rPr/>
              <w:t>(Directives</w:t>
            </w:r>
            <w:r>
              <w:rPr>
                <w:spacing w:val="-8"/>
              </w:rPr>
              <w:t> </w:t>
            </w:r>
            <w:r>
              <w:rPr/>
              <w:t>and</w:t>
            </w:r>
            <w:r>
              <w:rPr>
                <w:spacing w:val="-8"/>
              </w:rPr>
              <w:t> </w:t>
            </w:r>
            <w:r>
              <w:rPr>
                <w:spacing w:val="-2"/>
              </w:rPr>
              <w:t>Regulations)</w:t>
            </w:r>
            <w:r>
              <w:rPr>
                <w:rFonts w:ascii="Times New Roman"/>
              </w:rPr>
              <w:tab/>
            </w:r>
            <w:r>
              <w:rPr>
                <w:spacing w:val="-5"/>
              </w:rPr>
              <w:t>80</w:t>
            </w:r>
          </w:hyperlink>
        </w:p>
        <w:p>
          <w:pPr>
            <w:pStyle w:val="TOC3"/>
            <w:numPr>
              <w:ilvl w:val="2"/>
              <w:numId w:val="4"/>
            </w:numPr>
            <w:tabs>
              <w:tab w:pos="1350" w:val="left" w:leader="none"/>
              <w:tab w:pos="10188" w:val="right" w:leader="none"/>
            </w:tabs>
            <w:spacing w:line="330" w:lineRule="exact" w:before="0" w:after="0"/>
            <w:ind w:left="1350" w:right="0" w:hanging="630"/>
            <w:jc w:val="left"/>
          </w:pPr>
          <w:hyperlink w:history="true" w:anchor="_bookmark48">
            <w:r>
              <w:rPr/>
              <w:t>Relevance</w:t>
            </w:r>
            <w:r>
              <w:rPr>
                <w:spacing w:val="-8"/>
              </w:rPr>
              <w:t> </w:t>
            </w:r>
            <w:r>
              <w:rPr/>
              <w:t>to</w:t>
            </w:r>
            <w:r>
              <w:rPr>
                <w:spacing w:val="-8"/>
              </w:rPr>
              <w:t> </w:t>
            </w:r>
            <w:r>
              <w:rPr/>
              <w:t>Northern</w:t>
            </w:r>
            <w:r>
              <w:rPr>
                <w:spacing w:val="-8"/>
              </w:rPr>
              <w:t> </w:t>
            </w:r>
            <w:r>
              <w:rPr>
                <w:spacing w:val="-2"/>
              </w:rPr>
              <w:t>Ireland</w:t>
            </w:r>
            <w:r>
              <w:rPr>
                <w:rFonts w:ascii="Times New Roman"/>
              </w:rPr>
              <w:tab/>
            </w:r>
            <w:r>
              <w:rPr>
                <w:spacing w:val="-5"/>
              </w:rPr>
              <w:t>81</w:t>
            </w:r>
          </w:hyperlink>
        </w:p>
        <w:p>
          <w:pPr>
            <w:pStyle w:val="TOC3"/>
            <w:numPr>
              <w:ilvl w:val="2"/>
              <w:numId w:val="4"/>
            </w:numPr>
            <w:tabs>
              <w:tab w:pos="1350" w:val="left" w:leader="none"/>
              <w:tab w:pos="10188" w:val="right" w:leader="none"/>
            </w:tabs>
            <w:spacing w:line="330" w:lineRule="exact" w:before="0" w:after="0"/>
            <w:ind w:left="1350" w:right="0" w:hanging="630"/>
            <w:jc w:val="left"/>
          </w:pPr>
          <w:hyperlink w:history="true" w:anchor="_bookmark49">
            <w:r>
              <w:rPr/>
              <w:t>Key</w:t>
            </w:r>
            <w:r>
              <w:rPr>
                <w:spacing w:val="-8"/>
              </w:rPr>
              <w:t> </w:t>
            </w:r>
            <w:r>
              <w:rPr/>
              <w:t>updates</w:t>
            </w:r>
            <w:r>
              <w:rPr>
                <w:spacing w:val="-8"/>
              </w:rPr>
              <w:t> </w:t>
            </w:r>
            <w:r>
              <w:rPr/>
              <w:t>from</w:t>
            </w:r>
            <w:r>
              <w:rPr>
                <w:spacing w:val="-7"/>
              </w:rPr>
              <w:t> </w:t>
            </w:r>
            <w:r>
              <w:rPr/>
              <w:t>previous</w:t>
            </w:r>
            <w:r>
              <w:rPr>
                <w:spacing w:val="-8"/>
              </w:rPr>
              <w:t> </w:t>
            </w:r>
            <w:r>
              <w:rPr>
                <w:spacing w:val="-2"/>
              </w:rPr>
              <w:t>report</w:t>
            </w:r>
            <w:r>
              <w:rPr>
                <w:rFonts w:ascii="Times New Roman"/>
              </w:rPr>
              <w:tab/>
            </w:r>
            <w:r>
              <w:rPr>
                <w:spacing w:val="-5"/>
              </w:rPr>
              <w:t>82</w:t>
            </w:r>
          </w:hyperlink>
        </w:p>
        <w:p>
          <w:pPr>
            <w:pStyle w:val="TOC3"/>
            <w:numPr>
              <w:ilvl w:val="1"/>
              <w:numId w:val="4"/>
            </w:numPr>
            <w:tabs>
              <w:tab w:pos="1137" w:val="left" w:leader="none"/>
              <w:tab w:pos="10188" w:val="right" w:leader="none"/>
            </w:tabs>
            <w:spacing w:line="330" w:lineRule="exact" w:before="0" w:after="0"/>
            <w:ind w:left="1137" w:right="0" w:hanging="417"/>
            <w:jc w:val="left"/>
          </w:pPr>
          <w:hyperlink w:history="true" w:anchor="_bookmark50">
            <w:r>
              <w:rPr/>
              <w:t>Updates</w:t>
            </w:r>
            <w:r>
              <w:rPr>
                <w:spacing w:val="-7"/>
              </w:rPr>
              <w:t> </w:t>
            </w:r>
            <w:r>
              <w:rPr/>
              <w:t>in</w:t>
            </w:r>
            <w:r>
              <w:rPr>
                <w:spacing w:val="-7"/>
              </w:rPr>
              <w:t> </w:t>
            </w:r>
            <w:r>
              <w:rPr/>
              <w:t>specific</w:t>
            </w:r>
            <w:r>
              <w:rPr>
                <w:spacing w:val="-6"/>
              </w:rPr>
              <w:t> </w:t>
            </w:r>
            <w:r>
              <w:rPr>
                <w:spacing w:val="-2"/>
              </w:rPr>
              <w:t>areas</w:t>
            </w:r>
            <w:r>
              <w:rPr>
                <w:rFonts w:ascii="Times New Roman"/>
              </w:rPr>
              <w:tab/>
            </w:r>
            <w:r>
              <w:rPr>
                <w:spacing w:val="-5"/>
              </w:rPr>
              <w:t>83</w:t>
            </w:r>
          </w:hyperlink>
        </w:p>
        <w:p>
          <w:pPr>
            <w:pStyle w:val="TOC3"/>
            <w:numPr>
              <w:ilvl w:val="2"/>
              <w:numId w:val="4"/>
            </w:numPr>
            <w:tabs>
              <w:tab w:pos="1350" w:val="left" w:leader="none"/>
              <w:tab w:pos="10188" w:val="right" w:leader="none"/>
            </w:tabs>
            <w:spacing w:line="330" w:lineRule="exact" w:before="0" w:after="0"/>
            <w:ind w:left="1350" w:right="0" w:hanging="630"/>
            <w:jc w:val="left"/>
          </w:pPr>
          <w:hyperlink w:history="true" w:anchor="_bookmark50">
            <w:r>
              <w:rPr>
                <w:spacing w:val="-2"/>
              </w:rPr>
              <w:t>Discrimination</w:t>
            </w:r>
            <w:r>
              <w:rPr>
                <w:rFonts w:ascii="Times New Roman"/>
              </w:rPr>
              <w:tab/>
            </w:r>
            <w:r>
              <w:rPr>
                <w:spacing w:val="-5"/>
              </w:rPr>
              <w:t>83</w:t>
            </w:r>
          </w:hyperlink>
        </w:p>
        <w:p>
          <w:pPr>
            <w:pStyle w:val="TOC3"/>
            <w:numPr>
              <w:ilvl w:val="3"/>
              <w:numId w:val="4"/>
            </w:numPr>
            <w:tabs>
              <w:tab w:pos="1563" w:val="left" w:leader="none"/>
              <w:tab w:pos="10188" w:val="right" w:leader="none"/>
            </w:tabs>
            <w:spacing w:line="336" w:lineRule="exact" w:before="0" w:after="0"/>
            <w:ind w:left="1563" w:right="0" w:hanging="843"/>
            <w:jc w:val="left"/>
          </w:pPr>
          <w:hyperlink w:history="true" w:anchor="_bookmark51">
            <w:r>
              <w:rPr>
                <w:spacing w:val="-2"/>
              </w:rPr>
              <w:t>Pay</w:t>
            </w:r>
            <w:r>
              <w:rPr>
                <w:spacing w:val="-5"/>
              </w:rPr>
              <w:t> </w:t>
            </w:r>
            <w:r>
              <w:rPr>
                <w:spacing w:val="-2"/>
              </w:rPr>
              <w:t>Transparency</w:t>
            </w:r>
            <w:r>
              <w:rPr>
                <w:spacing w:val="-5"/>
              </w:rPr>
              <w:t> </w:t>
            </w:r>
            <w:r>
              <w:rPr>
                <w:spacing w:val="-2"/>
              </w:rPr>
              <w:t>Directive</w:t>
            </w:r>
            <w:r>
              <w:rPr>
                <w:rFonts w:ascii="Times New Roman"/>
              </w:rPr>
              <w:tab/>
            </w:r>
            <w:r>
              <w:rPr>
                <w:spacing w:val="-5"/>
              </w:rPr>
              <w:t>84</w:t>
            </w:r>
          </w:hyperlink>
        </w:p>
      </w:sdtContent>
    </w:sdt>
    <w:p>
      <w:pPr>
        <w:spacing w:after="0" w:line="336" w:lineRule="exact"/>
        <w:jc w:val="left"/>
        <w:sectPr>
          <w:type w:val="continuous"/>
          <w:pgSz w:w="11910" w:h="16840"/>
          <w:pgMar w:top="19" w:bottom="937" w:left="300" w:right="280"/>
        </w:sectPr>
      </w:pPr>
    </w:p>
    <w:p>
      <w:pPr>
        <w:spacing w:before="579"/>
        <w:ind w:left="414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561"/>
        <w:ind w:left="536" w:right="0" w:firstLine="0"/>
        <w:jc w:val="left"/>
        <w:rPr>
          <w:b/>
          <w:sz w:val="28"/>
        </w:rPr>
      </w:pPr>
      <w:r>
        <w:rPr/>
        <w:br w:type="column"/>
      </w:r>
      <w:r>
        <w:rPr>
          <w:b/>
          <w:color w:val="FFFFFF"/>
          <w:spacing w:val="-5"/>
          <w:sz w:val="28"/>
        </w:rPr>
        <w:t>iii</w:t>
      </w:r>
    </w:p>
    <w:p>
      <w:pPr>
        <w:spacing w:after="0"/>
        <w:jc w:val="left"/>
        <w:rPr>
          <w:sz w:val="28"/>
        </w:rPr>
        <w:sectPr>
          <w:pgSz w:w="11910" w:h="16840"/>
          <w:pgMar w:top="0" w:bottom="280" w:left="300" w:right="280"/>
          <w:cols w:num="2" w:equalWidth="0">
            <w:col w:w="10303" w:space="40"/>
            <w:col w:w="987"/>
          </w:cols>
        </w:sectPr>
      </w:pPr>
    </w:p>
    <w:p>
      <w:pPr>
        <w:pStyle w:val="ListParagraph"/>
        <w:numPr>
          <w:ilvl w:val="3"/>
          <w:numId w:val="4"/>
        </w:numPr>
        <w:tabs>
          <w:tab w:pos="1960" w:val="left" w:leader="none"/>
          <w:tab w:pos="10301" w:val="left" w:leader="none"/>
        </w:tabs>
        <w:spacing w:line="336" w:lineRule="exact" w:before="723" w:after="0"/>
        <w:ind w:left="1960" w:right="0" w:hanging="843"/>
        <w:jc w:val="left"/>
        <w:rPr>
          <w:sz w:val="28"/>
        </w:rPr>
      </w:pPr>
      <w:r>
        <w:rPr/>
        <mc:AlternateContent>
          <mc:Choice Requires="wps">
            <w:drawing>
              <wp:anchor distT="0" distB="0" distL="0" distR="0" allowOverlap="1" layoutInCell="1" locked="0" behindDoc="1" simplePos="0" relativeHeight="483913216">
                <wp:simplePos x="0" y="0"/>
                <wp:positionH relativeFrom="page">
                  <wp:posOffset>-2</wp:posOffset>
                </wp:positionH>
                <wp:positionV relativeFrom="page">
                  <wp:posOffset>0</wp:posOffset>
                </wp:positionV>
                <wp:extent cx="7560309" cy="115506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7560309" cy="1155065"/>
                          <a:chExt cx="7560309" cy="1155065"/>
                        </a:xfrm>
                      </wpg:grpSpPr>
                      <wps:wsp>
                        <wps:cNvPr id="54" name="Graphic 54"/>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55" name="Graphic 55"/>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403264" id="docshapegroup38" coordorigin="0,0" coordsize="11906,1819">
                <v:shape style="position:absolute;left:0;top:0;width:11906;height:1819" id="docshape39"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hyperlink w:history="true" w:anchor="_bookmark52">
        <w:r>
          <w:rPr>
            <w:sz w:val="28"/>
          </w:rPr>
          <w:t>Gender</w:t>
        </w:r>
        <w:r>
          <w:rPr>
            <w:spacing w:val="-2"/>
            <w:sz w:val="28"/>
          </w:rPr>
          <w:t> </w:t>
        </w:r>
        <w:r>
          <w:rPr>
            <w:sz w:val="28"/>
          </w:rPr>
          <w:t>Balance</w:t>
        </w:r>
        <w:r>
          <w:rPr>
            <w:spacing w:val="-2"/>
            <w:sz w:val="28"/>
          </w:rPr>
          <w:t> </w:t>
        </w:r>
        <w:r>
          <w:rPr>
            <w:sz w:val="28"/>
          </w:rPr>
          <w:t>on</w:t>
        </w:r>
        <w:r>
          <w:rPr>
            <w:spacing w:val="-2"/>
            <w:sz w:val="28"/>
          </w:rPr>
          <w:t> </w:t>
        </w:r>
        <w:r>
          <w:rPr>
            <w:sz w:val="28"/>
          </w:rPr>
          <w:t>Boards</w:t>
        </w:r>
        <w:r>
          <w:rPr>
            <w:spacing w:val="-2"/>
            <w:sz w:val="28"/>
          </w:rPr>
          <w:t> Directive</w:t>
        </w:r>
        <w:r>
          <w:rPr>
            <w:rFonts w:ascii="Times New Roman"/>
            <w:sz w:val="28"/>
          </w:rPr>
          <w:tab/>
        </w:r>
        <w:r>
          <w:rPr>
            <w:spacing w:val="-5"/>
            <w:sz w:val="28"/>
          </w:rPr>
          <w:t>85</w:t>
        </w:r>
      </w:hyperlink>
    </w:p>
    <w:p>
      <w:pPr>
        <w:pStyle w:val="ListParagraph"/>
        <w:numPr>
          <w:ilvl w:val="3"/>
          <w:numId w:val="4"/>
        </w:numPr>
        <w:tabs>
          <w:tab w:pos="1960" w:val="left" w:leader="none"/>
          <w:tab w:pos="10301" w:val="left" w:leader="none"/>
        </w:tabs>
        <w:spacing w:line="330" w:lineRule="exact" w:before="0" w:after="0"/>
        <w:ind w:left="1960" w:right="0" w:hanging="843"/>
        <w:jc w:val="left"/>
        <w:rPr>
          <w:sz w:val="28"/>
        </w:rPr>
      </w:pPr>
      <w:hyperlink w:history="true" w:anchor="_bookmark53">
        <w:r>
          <w:rPr>
            <w:sz w:val="28"/>
          </w:rPr>
          <w:t>Equality</w:t>
        </w:r>
        <w:r>
          <w:rPr>
            <w:spacing w:val="-5"/>
            <w:sz w:val="28"/>
          </w:rPr>
          <w:t> </w:t>
        </w:r>
        <w:r>
          <w:rPr>
            <w:sz w:val="28"/>
          </w:rPr>
          <w:t>Bodies</w:t>
        </w:r>
        <w:r>
          <w:rPr>
            <w:spacing w:val="-5"/>
            <w:sz w:val="28"/>
          </w:rPr>
          <w:t> </w:t>
        </w:r>
        <w:r>
          <w:rPr>
            <w:spacing w:val="-2"/>
            <w:sz w:val="28"/>
          </w:rPr>
          <w:t>Directives</w:t>
        </w:r>
        <w:r>
          <w:rPr>
            <w:rFonts w:ascii="Times New Roman"/>
            <w:sz w:val="28"/>
          </w:rPr>
          <w:tab/>
        </w:r>
        <w:r>
          <w:rPr>
            <w:spacing w:val="-5"/>
            <w:sz w:val="28"/>
          </w:rPr>
          <w:t>86</w:t>
        </w:r>
      </w:hyperlink>
    </w:p>
    <w:p>
      <w:pPr>
        <w:pStyle w:val="ListParagraph"/>
        <w:numPr>
          <w:ilvl w:val="3"/>
          <w:numId w:val="4"/>
        </w:numPr>
        <w:tabs>
          <w:tab w:pos="1960" w:val="left" w:leader="none"/>
          <w:tab w:pos="10301" w:val="left" w:leader="none"/>
        </w:tabs>
        <w:spacing w:line="330" w:lineRule="exact" w:before="0" w:after="0"/>
        <w:ind w:left="1960" w:right="0" w:hanging="843"/>
        <w:jc w:val="left"/>
        <w:rPr>
          <w:sz w:val="28"/>
        </w:rPr>
      </w:pPr>
      <w:hyperlink w:history="true" w:anchor="_bookmark54">
        <w:r>
          <w:rPr>
            <w:sz w:val="28"/>
          </w:rPr>
          <w:t>Violence</w:t>
        </w:r>
        <w:r>
          <w:rPr>
            <w:spacing w:val="-7"/>
            <w:sz w:val="28"/>
          </w:rPr>
          <w:t> </w:t>
        </w:r>
        <w:r>
          <w:rPr>
            <w:sz w:val="28"/>
          </w:rPr>
          <w:t>Against</w:t>
        </w:r>
        <w:r>
          <w:rPr>
            <w:spacing w:val="-6"/>
            <w:sz w:val="28"/>
          </w:rPr>
          <w:t> </w:t>
        </w:r>
        <w:r>
          <w:rPr>
            <w:sz w:val="28"/>
          </w:rPr>
          <w:t>Women</w:t>
        </w:r>
        <w:r>
          <w:rPr>
            <w:spacing w:val="-7"/>
            <w:sz w:val="28"/>
          </w:rPr>
          <w:t> </w:t>
        </w:r>
        <w:r>
          <w:rPr>
            <w:sz w:val="28"/>
          </w:rPr>
          <w:t>and</w:t>
        </w:r>
        <w:r>
          <w:rPr>
            <w:spacing w:val="-8"/>
            <w:sz w:val="28"/>
          </w:rPr>
          <w:t> </w:t>
        </w:r>
        <w:r>
          <w:rPr>
            <w:sz w:val="28"/>
          </w:rPr>
          <w:t>Domestic</w:t>
        </w:r>
        <w:r>
          <w:rPr>
            <w:spacing w:val="-6"/>
            <w:sz w:val="28"/>
          </w:rPr>
          <w:t> </w:t>
        </w:r>
        <w:r>
          <w:rPr>
            <w:sz w:val="28"/>
          </w:rPr>
          <w:t>Violence</w:t>
        </w:r>
        <w:r>
          <w:rPr>
            <w:spacing w:val="-6"/>
            <w:sz w:val="28"/>
          </w:rPr>
          <w:t> </w:t>
        </w:r>
        <w:r>
          <w:rPr>
            <w:spacing w:val="-2"/>
            <w:sz w:val="28"/>
          </w:rPr>
          <w:t>Directive</w:t>
        </w:r>
        <w:r>
          <w:rPr>
            <w:rFonts w:ascii="Times New Roman"/>
            <w:sz w:val="28"/>
          </w:rPr>
          <w:tab/>
        </w:r>
        <w:r>
          <w:rPr>
            <w:spacing w:val="-5"/>
            <w:sz w:val="28"/>
          </w:rPr>
          <w:t>87</w:t>
        </w:r>
      </w:hyperlink>
    </w:p>
    <w:p>
      <w:pPr>
        <w:pStyle w:val="ListParagraph"/>
        <w:numPr>
          <w:ilvl w:val="2"/>
          <w:numId w:val="4"/>
        </w:numPr>
        <w:tabs>
          <w:tab w:pos="1747" w:val="left" w:leader="none"/>
          <w:tab w:pos="10301" w:val="left" w:leader="none"/>
        </w:tabs>
        <w:spacing w:line="330" w:lineRule="exact" w:before="0" w:after="0"/>
        <w:ind w:left="1747" w:right="0" w:hanging="630"/>
        <w:jc w:val="left"/>
        <w:rPr>
          <w:sz w:val="28"/>
        </w:rPr>
      </w:pPr>
      <w:hyperlink w:history="true" w:anchor="_bookmark55">
        <w:r>
          <w:rPr>
            <w:sz w:val="28"/>
          </w:rPr>
          <w:t>The</w:t>
        </w:r>
        <w:r>
          <w:rPr>
            <w:spacing w:val="-4"/>
            <w:sz w:val="28"/>
          </w:rPr>
          <w:t> </w:t>
        </w:r>
        <w:r>
          <w:rPr>
            <w:sz w:val="28"/>
          </w:rPr>
          <w:t>right</w:t>
        </w:r>
        <w:r>
          <w:rPr>
            <w:spacing w:val="-3"/>
            <w:sz w:val="28"/>
          </w:rPr>
          <w:t> </w:t>
        </w:r>
        <w:r>
          <w:rPr>
            <w:sz w:val="28"/>
          </w:rPr>
          <w:t>to</w:t>
        </w:r>
        <w:r>
          <w:rPr>
            <w:spacing w:val="-4"/>
            <w:sz w:val="28"/>
          </w:rPr>
          <w:t> </w:t>
        </w:r>
        <w:r>
          <w:rPr>
            <w:sz w:val="28"/>
          </w:rPr>
          <w:t>privacy</w:t>
        </w:r>
        <w:r>
          <w:rPr>
            <w:spacing w:val="-3"/>
            <w:sz w:val="28"/>
          </w:rPr>
          <w:t> </w:t>
        </w:r>
        <w:r>
          <w:rPr>
            <w:sz w:val="28"/>
          </w:rPr>
          <w:t>(including</w:t>
        </w:r>
        <w:r>
          <w:rPr>
            <w:spacing w:val="-3"/>
            <w:sz w:val="28"/>
          </w:rPr>
          <w:t> </w:t>
        </w:r>
        <w:r>
          <w:rPr>
            <w:sz w:val="28"/>
          </w:rPr>
          <w:t>data</w:t>
        </w:r>
        <w:r>
          <w:rPr>
            <w:spacing w:val="-4"/>
            <w:sz w:val="28"/>
          </w:rPr>
          <w:t> </w:t>
        </w:r>
        <w:r>
          <w:rPr>
            <w:spacing w:val="-2"/>
            <w:sz w:val="28"/>
          </w:rPr>
          <w:t>protection)</w:t>
        </w:r>
        <w:r>
          <w:rPr>
            <w:rFonts w:ascii="Times New Roman"/>
            <w:sz w:val="28"/>
          </w:rPr>
          <w:tab/>
        </w:r>
        <w:r>
          <w:rPr>
            <w:spacing w:val="-5"/>
            <w:sz w:val="28"/>
          </w:rPr>
          <w:t>88</w:t>
        </w:r>
      </w:hyperlink>
    </w:p>
    <w:p>
      <w:pPr>
        <w:pStyle w:val="ListParagraph"/>
        <w:numPr>
          <w:ilvl w:val="3"/>
          <w:numId w:val="4"/>
        </w:numPr>
        <w:tabs>
          <w:tab w:pos="1960" w:val="left" w:leader="none"/>
          <w:tab w:pos="10301" w:val="left" w:leader="none"/>
        </w:tabs>
        <w:spacing w:line="330" w:lineRule="exact" w:before="0" w:after="0"/>
        <w:ind w:left="1960" w:right="0" w:hanging="843"/>
        <w:jc w:val="left"/>
        <w:rPr>
          <w:sz w:val="28"/>
        </w:rPr>
      </w:pPr>
      <w:hyperlink w:history="true" w:anchor="_bookmark56">
        <w:r>
          <w:rPr>
            <w:sz w:val="28"/>
          </w:rPr>
          <w:t>Recently</w:t>
        </w:r>
        <w:r>
          <w:rPr>
            <w:spacing w:val="-7"/>
            <w:sz w:val="28"/>
          </w:rPr>
          <w:t> </w:t>
        </w:r>
        <w:r>
          <w:rPr>
            <w:sz w:val="28"/>
          </w:rPr>
          <w:t>adopted</w:t>
        </w:r>
        <w:r>
          <w:rPr>
            <w:spacing w:val="-8"/>
            <w:sz w:val="28"/>
          </w:rPr>
          <w:t> </w:t>
        </w:r>
        <w:r>
          <w:rPr>
            <w:sz w:val="28"/>
          </w:rPr>
          <w:t>EU</w:t>
        </w:r>
        <w:r>
          <w:rPr>
            <w:spacing w:val="-7"/>
            <w:sz w:val="28"/>
          </w:rPr>
          <w:t> </w:t>
        </w:r>
        <w:r>
          <w:rPr>
            <w:sz w:val="28"/>
          </w:rPr>
          <w:t>Directives</w:t>
        </w:r>
        <w:r>
          <w:rPr>
            <w:spacing w:val="-8"/>
            <w:sz w:val="28"/>
          </w:rPr>
          <w:t> </w:t>
        </w:r>
        <w:r>
          <w:rPr>
            <w:sz w:val="28"/>
          </w:rPr>
          <w:t>on</w:t>
        </w:r>
        <w:r>
          <w:rPr>
            <w:spacing w:val="-8"/>
            <w:sz w:val="28"/>
          </w:rPr>
          <w:t> </w:t>
        </w:r>
        <w:r>
          <w:rPr>
            <w:spacing w:val="-2"/>
            <w:sz w:val="28"/>
          </w:rPr>
          <w:t>privacy</w:t>
        </w:r>
        <w:r>
          <w:rPr>
            <w:rFonts w:ascii="Times New Roman"/>
            <w:sz w:val="28"/>
          </w:rPr>
          <w:tab/>
        </w:r>
        <w:r>
          <w:rPr>
            <w:spacing w:val="-5"/>
            <w:sz w:val="28"/>
          </w:rPr>
          <w:t>89</w:t>
        </w:r>
      </w:hyperlink>
    </w:p>
    <w:p>
      <w:pPr>
        <w:pStyle w:val="ListParagraph"/>
        <w:numPr>
          <w:ilvl w:val="3"/>
          <w:numId w:val="4"/>
        </w:numPr>
        <w:tabs>
          <w:tab w:pos="1960" w:val="left" w:leader="none"/>
          <w:tab w:pos="10301" w:val="left" w:leader="none"/>
        </w:tabs>
        <w:spacing w:line="330" w:lineRule="exact" w:before="0" w:after="0"/>
        <w:ind w:left="1960" w:right="0" w:hanging="843"/>
        <w:jc w:val="left"/>
        <w:rPr>
          <w:sz w:val="28"/>
        </w:rPr>
      </w:pPr>
      <w:hyperlink w:history="true" w:anchor="_bookmark57">
        <w:r>
          <w:rPr>
            <w:sz w:val="28"/>
          </w:rPr>
          <w:t>Recently</w:t>
        </w:r>
        <w:r>
          <w:rPr>
            <w:spacing w:val="-8"/>
            <w:sz w:val="28"/>
          </w:rPr>
          <w:t> </w:t>
        </w:r>
        <w:r>
          <w:rPr>
            <w:sz w:val="28"/>
          </w:rPr>
          <w:t>adopted</w:t>
        </w:r>
        <w:r>
          <w:rPr>
            <w:spacing w:val="-9"/>
            <w:sz w:val="28"/>
          </w:rPr>
          <w:t> </w:t>
        </w:r>
        <w:r>
          <w:rPr>
            <w:sz w:val="28"/>
          </w:rPr>
          <w:t>EU</w:t>
        </w:r>
        <w:r>
          <w:rPr>
            <w:spacing w:val="-8"/>
            <w:sz w:val="28"/>
          </w:rPr>
          <w:t> </w:t>
        </w:r>
        <w:r>
          <w:rPr>
            <w:sz w:val="28"/>
          </w:rPr>
          <w:t>Regulations</w:t>
        </w:r>
        <w:r>
          <w:rPr>
            <w:spacing w:val="-8"/>
            <w:sz w:val="28"/>
          </w:rPr>
          <w:t> </w:t>
        </w:r>
        <w:r>
          <w:rPr>
            <w:sz w:val="28"/>
          </w:rPr>
          <w:t>on</w:t>
        </w:r>
        <w:r>
          <w:rPr>
            <w:spacing w:val="-9"/>
            <w:sz w:val="28"/>
          </w:rPr>
          <w:t> </w:t>
        </w:r>
        <w:r>
          <w:rPr>
            <w:spacing w:val="-2"/>
            <w:sz w:val="28"/>
          </w:rPr>
          <w:t>privacy</w:t>
        </w:r>
        <w:r>
          <w:rPr>
            <w:rFonts w:ascii="Times New Roman"/>
            <w:sz w:val="28"/>
          </w:rPr>
          <w:tab/>
        </w:r>
        <w:r>
          <w:rPr>
            <w:spacing w:val="-5"/>
            <w:sz w:val="28"/>
          </w:rPr>
          <w:t>90</w:t>
        </w:r>
      </w:hyperlink>
    </w:p>
    <w:p>
      <w:pPr>
        <w:pStyle w:val="ListParagraph"/>
        <w:numPr>
          <w:ilvl w:val="3"/>
          <w:numId w:val="4"/>
        </w:numPr>
        <w:tabs>
          <w:tab w:pos="1960" w:val="left" w:leader="none"/>
          <w:tab w:pos="10301" w:val="left" w:leader="none"/>
        </w:tabs>
        <w:spacing w:line="330" w:lineRule="exact" w:before="0" w:after="0"/>
        <w:ind w:left="1960" w:right="0" w:hanging="843"/>
        <w:jc w:val="left"/>
        <w:rPr>
          <w:sz w:val="28"/>
        </w:rPr>
      </w:pPr>
      <w:hyperlink w:history="true" w:anchor="_bookmark58">
        <w:r>
          <w:rPr>
            <w:sz w:val="28"/>
          </w:rPr>
          <w:t>Recently</w:t>
        </w:r>
        <w:r>
          <w:rPr>
            <w:spacing w:val="-7"/>
            <w:sz w:val="28"/>
          </w:rPr>
          <w:t> </w:t>
        </w:r>
        <w:r>
          <w:rPr>
            <w:sz w:val="28"/>
          </w:rPr>
          <w:t>proposed</w:t>
        </w:r>
        <w:r>
          <w:rPr>
            <w:spacing w:val="-8"/>
            <w:sz w:val="28"/>
          </w:rPr>
          <w:t> </w:t>
        </w:r>
        <w:r>
          <w:rPr>
            <w:sz w:val="28"/>
          </w:rPr>
          <w:t>EU</w:t>
        </w:r>
        <w:r>
          <w:rPr>
            <w:spacing w:val="-6"/>
            <w:sz w:val="28"/>
          </w:rPr>
          <w:t> </w:t>
        </w:r>
        <w:r>
          <w:rPr>
            <w:sz w:val="28"/>
          </w:rPr>
          <w:t>legislation</w:t>
        </w:r>
        <w:r>
          <w:rPr>
            <w:spacing w:val="-8"/>
            <w:sz w:val="28"/>
          </w:rPr>
          <w:t> </w:t>
        </w:r>
        <w:r>
          <w:rPr>
            <w:sz w:val="28"/>
          </w:rPr>
          <w:t>on</w:t>
        </w:r>
        <w:r>
          <w:rPr>
            <w:spacing w:val="-7"/>
            <w:sz w:val="28"/>
          </w:rPr>
          <w:t> </w:t>
        </w:r>
        <w:r>
          <w:rPr>
            <w:spacing w:val="-2"/>
            <w:sz w:val="28"/>
          </w:rPr>
          <w:t>privacy</w:t>
        </w:r>
        <w:r>
          <w:rPr>
            <w:rFonts w:ascii="Times New Roman"/>
            <w:sz w:val="28"/>
          </w:rPr>
          <w:tab/>
        </w:r>
        <w:r>
          <w:rPr>
            <w:spacing w:val="-5"/>
            <w:sz w:val="28"/>
          </w:rPr>
          <w:t>91</w:t>
        </w:r>
      </w:hyperlink>
    </w:p>
    <w:p>
      <w:pPr>
        <w:pStyle w:val="ListParagraph"/>
        <w:numPr>
          <w:ilvl w:val="2"/>
          <w:numId w:val="4"/>
        </w:numPr>
        <w:tabs>
          <w:tab w:pos="1747" w:val="left" w:leader="none"/>
          <w:tab w:pos="10301" w:val="left" w:leader="none"/>
        </w:tabs>
        <w:spacing w:line="330" w:lineRule="exact" w:before="0" w:after="0"/>
        <w:ind w:left="1747" w:right="0" w:hanging="630"/>
        <w:jc w:val="left"/>
        <w:rPr>
          <w:sz w:val="28"/>
        </w:rPr>
      </w:pPr>
      <w:hyperlink w:history="true" w:anchor="_bookmark58">
        <w:r>
          <w:rPr>
            <w:sz w:val="28"/>
          </w:rPr>
          <w:t>The</w:t>
        </w:r>
        <w:r>
          <w:rPr>
            <w:spacing w:val="-5"/>
            <w:sz w:val="28"/>
          </w:rPr>
          <w:t> </w:t>
        </w:r>
        <w:r>
          <w:rPr>
            <w:sz w:val="28"/>
          </w:rPr>
          <w:t>right</w:t>
        </w:r>
        <w:r>
          <w:rPr>
            <w:spacing w:val="-3"/>
            <w:sz w:val="28"/>
          </w:rPr>
          <w:t> </w:t>
        </w:r>
        <w:r>
          <w:rPr>
            <w:sz w:val="28"/>
          </w:rPr>
          <w:t>to</w:t>
        </w:r>
        <w:r>
          <w:rPr>
            <w:spacing w:val="-4"/>
            <w:sz w:val="28"/>
          </w:rPr>
          <w:t> </w:t>
        </w:r>
        <w:r>
          <w:rPr>
            <w:sz w:val="28"/>
          </w:rPr>
          <w:t>health,</w:t>
        </w:r>
        <w:r>
          <w:rPr>
            <w:spacing w:val="-2"/>
            <w:sz w:val="28"/>
          </w:rPr>
          <w:t> </w:t>
        </w:r>
        <w:r>
          <w:rPr>
            <w:sz w:val="28"/>
          </w:rPr>
          <w:t>including</w:t>
        </w:r>
        <w:r>
          <w:rPr>
            <w:spacing w:val="-3"/>
            <w:sz w:val="28"/>
          </w:rPr>
          <w:t> </w:t>
        </w:r>
        <w:r>
          <w:rPr>
            <w:sz w:val="28"/>
          </w:rPr>
          <w:t>the</w:t>
        </w:r>
        <w:r>
          <w:rPr>
            <w:spacing w:val="-3"/>
            <w:sz w:val="28"/>
          </w:rPr>
          <w:t> </w:t>
        </w:r>
        <w:r>
          <w:rPr>
            <w:sz w:val="28"/>
          </w:rPr>
          <w:t>right</w:t>
        </w:r>
        <w:r>
          <w:rPr>
            <w:spacing w:val="-2"/>
            <w:sz w:val="28"/>
          </w:rPr>
          <w:t> </w:t>
        </w:r>
        <w:r>
          <w:rPr>
            <w:sz w:val="28"/>
          </w:rPr>
          <w:t>to</w:t>
        </w:r>
        <w:r>
          <w:rPr>
            <w:spacing w:val="-4"/>
            <w:sz w:val="28"/>
          </w:rPr>
          <w:t> </w:t>
        </w:r>
        <w:r>
          <w:rPr>
            <w:sz w:val="28"/>
          </w:rPr>
          <w:t>a</w:t>
        </w:r>
        <w:r>
          <w:rPr>
            <w:spacing w:val="-4"/>
            <w:sz w:val="28"/>
          </w:rPr>
          <w:t> </w:t>
        </w:r>
        <w:r>
          <w:rPr>
            <w:sz w:val="28"/>
          </w:rPr>
          <w:t>healthy</w:t>
        </w:r>
        <w:r>
          <w:rPr>
            <w:spacing w:val="-2"/>
            <w:sz w:val="28"/>
          </w:rPr>
          <w:t> environment</w:t>
        </w:r>
        <w:r>
          <w:rPr>
            <w:rFonts w:ascii="Times New Roman"/>
            <w:sz w:val="28"/>
          </w:rPr>
          <w:tab/>
        </w:r>
        <w:r>
          <w:rPr>
            <w:spacing w:val="-5"/>
            <w:sz w:val="28"/>
          </w:rPr>
          <w:t>91</w:t>
        </w:r>
      </w:hyperlink>
    </w:p>
    <w:p>
      <w:pPr>
        <w:pStyle w:val="ListParagraph"/>
        <w:numPr>
          <w:ilvl w:val="3"/>
          <w:numId w:val="4"/>
        </w:numPr>
        <w:tabs>
          <w:tab w:pos="1960" w:val="left" w:leader="none"/>
          <w:tab w:pos="10301" w:val="left" w:leader="none"/>
        </w:tabs>
        <w:spacing w:line="330" w:lineRule="exact" w:before="0" w:after="0"/>
        <w:ind w:left="1960" w:right="0" w:hanging="843"/>
        <w:jc w:val="left"/>
        <w:rPr>
          <w:sz w:val="28"/>
        </w:rPr>
      </w:pPr>
      <w:hyperlink w:history="true" w:anchor="_bookmark59">
        <w:r>
          <w:rPr>
            <w:sz w:val="28"/>
          </w:rPr>
          <w:t>Recently</w:t>
        </w:r>
        <w:r>
          <w:rPr>
            <w:spacing w:val="-7"/>
            <w:sz w:val="28"/>
          </w:rPr>
          <w:t> </w:t>
        </w:r>
        <w:r>
          <w:rPr>
            <w:sz w:val="28"/>
          </w:rPr>
          <w:t>adopted</w:t>
        </w:r>
        <w:r>
          <w:rPr>
            <w:spacing w:val="-8"/>
            <w:sz w:val="28"/>
          </w:rPr>
          <w:t> </w:t>
        </w:r>
        <w:r>
          <w:rPr>
            <w:sz w:val="28"/>
          </w:rPr>
          <w:t>EU</w:t>
        </w:r>
        <w:r>
          <w:rPr>
            <w:spacing w:val="-7"/>
            <w:sz w:val="28"/>
          </w:rPr>
          <w:t> </w:t>
        </w:r>
        <w:r>
          <w:rPr>
            <w:sz w:val="28"/>
          </w:rPr>
          <w:t>Directives</w:t>
        </w:r>
        <w:r>
          <w:rPr>
            <w:spacing w:val="-8"/>
            <w:sz w:val="28"/>
          </w:rPr>
          <w:t> </w:t>
        </w:r>
        <w:r>
          <w:rPr>
            <w:sz w:val="28"/>
          </w:rPr>
          <w:t>on</w:t>
        </w:r>
        <w:r>
          <w:rPr>
            <w:spacing w:val="-8"/>
            <w:sz w:val="28"/>
          </w:rPr>
          <w:t> </w:t>
        </w:r>
        <w:r>
          <w:rPr>
            <w:spacing w:val="-2"/>
            <w:sz w:val="28"/>
          </w:rPr>
          <w:t>health</w:t>
        </w:r>
        <w:r>
          <w:rPr>
            <w:rFonts w:ascii="Times New Roman"/>
            <w:sz w:val="28"/>
          </w:rPr>
          <w:tab/>
        </w:r>
        <w:r>
          <w:rPr>
            <w:spacing w:val="-5"/>
            <w:sz w:val="28"/>
          </w:rPr>
          <w:t>92</w:t>
        </w:r>
      </w:hyperlink>
    </w:p>
    <w:p>
      <w:pPr>
        <w:pStyle w:val="ListParagraph"/>
        <w:numPr>
          <w:ilvl w:val="3"/>
          <w:numId w:val="4"/>
        </w:numPr>
        <w:tabs>
          <w:tab w:pos="1960" w:val="left" w:leader="none"/>
        </w:tabs>
        <w:spacing w:line="330" w:lineRule="exact" w:before="0" w:after="0"/>
        <w:ind w:left="1960" w:right="0" w:hanging="843"/>
        <w:jc w:val="left"/>
        <w:rPr>
          <w:sz w:val="28"/>
        </w:rPr>
      </w:pPr>
      <w:hyperlink w:history="true" w:anchor="_bookmark60">
        <w:r>
          <w:rPr>
            <w:sz w:val="28"/>
          </w:rPr>
          <w:t>Recently</w:t>
        </w:r>
        <w:r>
          <w:rPr>
            <w:spacing w:val="-8"/>
            <w:sz w:val="28"/>
          </w:rPr>
          <w:t> </w:t>
        </w:r>
        <w:r>
          <w:rPr>
            <w:sz w:val="28"/>
          </w:rPr>
          <w:t>adopted</w:t>
        </w:r>
        <w:r>
          <w:rPr>
            <w:spacing w:val="-9"/>
            <w:sz w:val="28"/>
          </w:rPr>
          <w:t> </w:t>
        </w:r>
        <w:r>
          <w:rPr>
            <w:sz w:val="28"/>
          </w:rPr>
          <w:t>EU</w:t>
        </w:r>
        <w:r>
          <w:rPr>
            <w:spacing w:val="-8"/>
            <w:sz w:val="28"/>
          </w:rPr>
          <w:t> </w:t>
        </w:r>
        <w:r>
          <w:rPr>
            <w:sz w:val="28"/>
          </w:rPr>
          <w:t>Regulations</w:t>
        </w:r>
        <w:r>
          <w:rPr>
            <w:spacing w:val="-8"/>
            <w:sz w:val="28"/>
          </w:rPr>
          <w:t> </w:t>
        </w:r>
        <w:r>
          <w:rPr>
            <w:sz w:val="28"/>
          </w:rPr>
          <w:t>on</w:t>
        </w:r>
        <w:r>
          <w:rPr>
            <w:spacing w:val="-9"/>
            <w:sz w:val="28"/>
          </w:rPr>
          <w:t> </w:t>
        </w:r>
        <w:r>
          <w:rPr>
            <w:spacing w:val="-2"/>
            <w:sz w:val="28"/>
          </w:rPr>
          <w:t>health</w:t>
        </w:r>
      </w:hyperlink>
    </w:p>
    <w:p>
      <w:pPr>
        <w:pStyle w:val="BodyText"/>
        <w:tabs>
          <w:tab w:pos="10301" w:val="left" w:leader="none"/>
        </w:tabs>
        <w:spacing w:line="330" w:lineRule="exact"/>
        <w:ind w:left="1117"/>
      </w:pPr>
      <w:hyperlink w:history="true" w:anchor="_bookmark60">
        <w:r>
          <w:rPr/>
          <w:t>(focus</w:t>
        </w:r>
        <w:r>
          <w:rPr>
            <w:spacing w:val="-12"/>
          </w:rPr>
          <w:t> </w:t>
        </w:r>
        <w:r>
          <w:rPr/>
          <w:t>on</w:t>
        </w:r>
        <w:r>
          <w:rPr>
            <w:spacing w:val="-12"/>
          </w:rPr>
          <w:t> </w:t>
        </w:r>
        <w:r>
          <w:rPr/>
          <w:t>substantial</w:t>
        </w:r>
        <w:r>
          <w:rPr>
            <w:spacing w:val="-12"/>
          </w:rPr>
          <w:t> </w:t>
        </w:r>
        <w:r>
          <w:rPr>
            <w:spacing w:val="-2"/>
          </w:rPr>
          <w:t>standards)</w:t>
        </w:r>
        <w:r>
          <w:rPr>
            <w:rFonts w:ascii="Times New Roman"/>
          </w:rPr>
          <w:tab/>
        </w:r>
        <w:r>
          <w:rPr>
            <w:spacing w:val="-5"/>
          </w:rPr>
          <w:t>93</w:t>
        </w:r>
      </w:hyperlink>
    </w:p>
    <w:p>
      <w:pPr>
        <w:pStyle w:val="ListParagraph"/>
        <w:numPr>
          <w:ilvl w:val="3"/>
          <w:numId w:val="4"/>
        </w:numPr>
        <w:tabs>
          <w:tab w:pos="1960" w:val="left" w:leader="none"/>
          <w:tab w:pos="10301" w:val="left" w:leader="none"/>
        </w:tabs>
        <w:spacing w:line="330" w:lineRule="exact" w:before="0" w:after="0"/>
        <w:ind w:left="1960" w:right="0" w:hanging="843"/>
        <w:jc w:val="left"/>
        <w:rPr>
          <w:sz w:val="28"/>
        </w:rPr>
      </w:pPr>
      <w:hyperlink w:history="true" w:anchor="_bookmark61">
        <w:r>
          <w:rPr>
            <w:sz w:val="28"/>
          </w:rPr>
          <w:t>Recently</w:t>
        </w:r>
        <w:r>
          <w:rPr>
            <w:spacing w:val="-7"/>
            <w:sz w:val="28"/>
          </w:rPr>
          <w:t> </w:t>
        </w:r>
        <w:r>
          <w:rPr>
            <w:sz w:val="28"/>
          </w:rPr>
          <w:t>proposed</w:t>
        </w:r>
        <w:r>
          <w:rPr>
            <w:spacing w:val="-8"/>
            <w:sz w:val="28"/>
          </w:rPr>
          <w:t> </w:t>
        </w:r>
        <w:r>
          <w:rPr>
            <w:sz w:val="28"/>
          </w:rPr>
          <w:t>EU</w:t>
        </w:r>
        <w:r>
          <w:rPr>
            <w:spacing w:val="-6"/>
            <w:sz w:val="28"/>
          </w:rPr>
          <w:t> </w:t>
        </w:r>
        <w:r>
          <w:rPr>
            <w:sz w:val="28"/>
          </w:rPr>
          <w:t>legislation</w:t>
        </w:r>
        <w:r>
          <w:rPr>
            <w:spacing w:val="-8"/>
            <w:sz w:val="28"/>
          </w:rPr>
          <w:t> </w:t>
        </w:r>
        <w:r>
          <w:rPr>
            <w:sz w:val="28"/>
          </w:rPr>
          <w:t>on</w:t>
        </w:r>
        <w:r>
          <w:rPr>
            <w:spacing w:val="-7"/>
            <w:sz w:val="28"/>
          </w:rPr>
          <w:t> </w:t>
        </w:r>
        <w:r>
          <w:rPr>
            <w:spacing w:val="-2"/>
            <w:sz w:val="28"/>
          </w:rPr>
          <w:t>health</w:t>
        </w:r>
        <w:r>
          <w:rPr>
            <w:rFonts w:ascii="Times New Roman"/>
            <w:sz w:val="28"/>
          </w:rPr>
          <w:tab/>
        </w:r>
        <w:r>
          <w:rPr>
            <w:spacing w:val="-5"/>
            <w:sz w:val="28"/>
          </w:rPr>
          <w:t>94</w:t>
        </w:r>
      </w:hyperlink>
    </w:p>
    <w:p>
      <w:pPr>
        <w:pStyle w:val="ListParagraph"/>
        <w:numPr>
          <w:ilvl w:val="2"/>
          <w:numId w:val="4"/>
        </w:numPr>
        <w:tabs>
          <w:tab w:pos="1747" w:val="left" w:leader="none"/>
          <w:tab w:pos="10301" w:val="left" w:leader="none"/>
        </w:tabs>
        <w:spacing w:line="330" w:lineRule="exact" w:before="0" w:after="0"/>
        <w:ind w:left="1747" w:right="0" w:hanging="630"/>
        <w:jc w:val="left"/>
        <w:rPr>
          <w:sz w:val="28"/>
        </w:rPr>
      </w:pPr>
      <w:hyperlink w:history="true" w:anchor="_bookmark62">
        <w:r>
          <w:rPr>
            <w:sz w:val="28"/>
          </w:rPr>
          <w:t>Other</w:t>
        </w:r>
        <w:r>
          <w:rPr>
            <w:spacing w:val="-3"/>
            <w:sz w:val="28"/>
          </w:rPr>
          <w:t> </w:t>
        </w:r>
        <w:r>
          <w:rPr>
            <w:sz w:val="28"/>
          </w:rPr>
          <w:t>human</w:t>
        </w:r>
        <w:r>
          <w:rPr>
            <w:spacing w:val="-4"/>
            <w:sz w:val="28"/>
          </w:rPr>
          <w:t> </w:t>
        </w:r>
        <w:r>
          <w:rPr>
            <w:sz w:val="28"/>
          </w:rPr>
          <w:t>rights</w:t>
        </w:r>
        <w:r>
          <w:rPr>
            <w:spacing w:val="-3"/>
            <w:sz w:val="28"/>
          </w:rPr>
          <w:t> </w:t>
        </w:r>
        <w:r>
          <w:rPr>
            <w:sz w:val="28"/>
          </w:rPr>
          <w:t>and</w:t>
        </w:r>
        <w:r>
          <w:rPr>
            <w:spacing w:val="-4"/>
            <w:sz w:val="28"/>
          </w:rPr>
          <w:t> </w:t>
        </w:r>
        <w:r>
          <w:rPr>
            <w:sz w:val="28"/>
          </w:rPr>
          <w:t>equality</w:t>
        </w:r>
        <w:r>
          <w:rPr>
            <w:spacing w:val="-2"/>
            <w:sz w:val="28"/>
          </w:rPr>
          <w:t> matters</w:t>
        </w:r>
        <w:r>
          <w:rPr>
            <w:rFonts w:ascii="Times New Roman"/>
            <w:sz w:val="28"/>
          </w:rPr>
          <w:tab/>
        </w:r>
        <w:r>
          <w:rPr>
            <w:spacing w:val="-5"/>
            <w:sz w:val="28"/>
          </w:rPr>
          <w:t>95</w:t>
        </w:r>
      </w:hyperlink>
    </w:p>
    <w:p>
      <w:pPr>
        <w:pStyle w:val="ListParagraph"/>
        <w:numPr>
          <w:ilvl w:val="3"/>
          <w:numId w:val="4"/>
        </w:numPr>
        <w:tabs>
          <w:tab w:pos="1960" w:val="left" w:leader="none"/>
          <w:tab w:pos="10301" w:val="left" w:leader="none"/>
        </w:tabs>
        <w:spacing w:line="330" w:lineRule="exact" w:before="0" w:after="0"/>
        <w:ind w:left="1960" w:right="0" w:hanging="843"/>
        <w:jc w:val="left"/>
        <w:rPr>
          <w:sz w:val="28"/>
        </w:rPr>
      </w:pPr>
      <w:hyperlink w:history="true" w:anchor="_bookmark62">
        <w:r>
          <w:rPr>
            <w:sz w:val="28"/>
          </w:rPr>
          <w:t>Adequate</w:t>
        </w:r>
        <w:r>
          <w:rPr>
            <w:spacing w:val="-8"/>
            <w:sz w:val="28"/>
          </w:rPr>
          <w:t> </w:t>
        </w:r>
        <w:r>
          <w:rPr>
            <w:sz w:val="28"/>
          </w:rPr>
          <w:t>Minimum</w:t>
        </w:r>
        <w:r>
          <w:rPr>
            <w:spacing w:val="-7"/>
            <w:sz w:val="28"/>
          </w:rPr>
          <w:t> </w:t>
        </w:r>
        <w:r>
          <w:rPr>
            <w:sz w:val="28"/>
          </w:rPr>
          <w:t>Wages</w:t>
        </w:r>
        <w:r>
          <w:rPr>
            <w:spacing w:val="-7"/>
            <w:sz w:val="28"/>
          </w:rPr>
          <w:t> </w:t>
        </w:r>
        <w:r>
          <w:rPr>
            <w:spacing w:val="-2"/>
            <w:sz w:val="28"/>
          </w:rPr>
          <w:t>Directive</w:t>
        </w:r>
        <w:r>
          <w:rPr>
            <w:rFonts w:ascii="Times New Roman"/>
            <w:sz w:val="28"/>
          </w:rPr>
          <w:tab/>
        </w:r>
        <w:r>
          <w:rPr>
            <w:spacing w:val="-5"/>
            <w:sz w:val="28"/>
          </w:rPr>
          <w:t>95</w:t>
        </w:r>
      </w:hyperlink>
    </w:p>
    <w:p>
      <w:pPr>
        <w:pStyle w:val="ListParagraph"/>
        <w:numPr>
          <w:ilvl w:val="3"/>
          <w:numId w:val="4"/>
        </w:numPr>
        <w:tabs>
          <w:tab w:pos="1960" w:val="left" w:leader="none"/>
          <w:tab w:pos="10301" w:val="left" w:leader="none"/>
        </w:tabs>
        <w:spacing w:line="330" w:lineRule="exact" w:before="0" w:after="0"/>
        <w:ind w:left="1960" w:right="0" w:hanging="843"/>
        <w:jc w:val="left"/>
        <w:rPr>
          <w:sz w:val="28"/>
        </w:rPr>
      </w:pPr>
      <w:hyperlink w:history="true" w:anchor="_bookmark63">
        <w:r>
          <w:rPr>
            <w:sz w:val="28"/>
          </w:rPr>
          <w:t>EU</w:t>
        </w:r>
        <w:r>
          <w:rPr>
            <w:spacing w:val="-11"/>
            <w:sz w:val="28"/>
          </w:rPr>
          <w:t> </w:t>
        </w:r>
        <w:r>
          <w:rPr>
            <w:sz w:val="28"/>
          </w:rPr>
          <w:t>Regulations</w:t>
        </w:r>
        <w:r>
          <w:rPr>
            <w:spacing w:val="-11"/>
            <w:sz w:val="28"/>
          </w:rPr>
          <w:t> </w:t>
        </w:r>
        <w:r>
          <w:rPr>
            <w:sz w:val="28"/>
          </w:rPr>
          <w:t>regarding</w:t>
        </w:r>
        <w:r>
          <w:rPr>
            <w:spacing w:val="-10"/>
            <w:sz w:val="28"/>
          </w:rPr>
          <w:t> </w:t>
        </w:r>
        <w:r>
          <w:rPr>
            <w:sz w:val="28"/>
          </w:rPr>
          <w:t>migration</w:t>
        </w:r>
        <w:r>
          <w:rPr>
            <w:spacing w:val="-11"/>
            <w:sz w:val="28"/>
          </w:rPr>
          <w:t> </w:t>
        </w:r>
        <w:r>
          <w:rPr>
            <w:sz w:val="28"/>
          </w:rPr>
          <w:t>and</w:t>
        </w:r>
        <w:r>
          <w:rPr>
            <w:spacing w:val="-11"/>
            <w:sz w:val="28"/>
          </w:rPr>
          <w:t> </w:t>
        </w:r>
        <w:r>
          <w:rPr>
            <w:sz w:val="28"/>
          </w:rPr>
          <w:t>non-</w:t>
        </w:r>
        <w:r>
          <w:rPr>
            <w:spacing w:val="-2"/>
            <w:sz w:val="28"/>
          </w:rPr>
          <w:t>discrimination</w:t>
        </w:r>
        <w:r>
          <w:rPr>
            <w:rFonts w:ascii="Times New Roman"/>
            <w:sz w:val="28"/>
          </w:rPr>
          <w:tab/>
        </w:r>
        <w:r>
          <w:rPr>
            <w:spacing w:val="-5"/>
            <w:sz w:val="28"/>
          </w:rPr>
          <w:t>96</w:t>
        </w:r>
      </w:hyperlink>
    </w:p>
    <w:p>
      <w:pPr>
        <w:pStyle w:val="ListParagraph"/>
        <w:numPr>
          <w:ilvl w:val="3"/>
          <w:numId w:val="4"/>
        </w:numPr>
        <w:tabs>
          <w:tab w:pos="1960" w:val="left" w:leader="none"/>
          <w:tab w:pos="10301" w:val="left" w:leader="none"/>
        </w:tabs>
        <w:spacing w:line="330" w:lineRule="exact" w:before="0" w:after="0"/>
        <w:ind w:left="1960" w:right="0" w:hanging="843"/>
        <w:jc w:val="left"/>
        <w:rPr>
          <w:sz w:val="28"/>
        </w:rPr>
      </w:pPr>
      <w:hyperlink w:history="true" w:anchor="_bookmark64">
        <w:r>
          <w:rPr>
            <w:sz w:val="28"/>
          </w:rPr>
          <w:t>EU</w:t>
        </w:r>
        <w:r>
          <w:rPr>
            <w:spacing w:val="-9"/>
            <w:sz w:val="28"/>
          </w:rPr>
          <w:t> </w:t>
        </w:r>
        <w:r>
          <w:rPr>
            <w:sz w:val="28"/>
          </w:rPr>
          <w:t>legislation</w:t>
        </w:r>
        <w:r>
          <w:rPr>
            <w:spacing w:val="-9"/>
            <w:sz w:val="28"/>
          </w:rPr>
          <w:t> </w:t>
        </w:r>
        <w:r>
          <w:rPr>
            <w:sz w:val="28"/>
          </w:rPr>
          <w:t>regarding</w:t>
        </w:r>
        <w:r>
          <w:rPr>
            <w:spacing w:val="-9"/>
            <w:sz w:val="28"/>
          </w:rPr>
          <w:t> </w:t>
        </w:r>
        <w:r>
          <w:rPr>
            <w:sz w:val="28"/>
          </w:rPr>
          <w:t>justice</w:t>
        </w:r>
        <w:r>
          <w:rPr>
            <w:spacing w:val="-8"/>
            <w:sz w:val="28"/>
          </w:rPr>
          <w:t> </w:t>
        </w:r>
        <w:r>
          <w:rPr>
            <w:spacing w:val="-2"/>
            <w:sz w:val="28"/>
          </w:rPr>
          <w:t>systems</w:t>
        </w:r>
        <w:r>
          <w:rPr>
            <w:rFonts w:ascii="Times New Roman"/>
            <w:sz w:val="28"/>
          </w:rPr>
          <w:tab/>
        </w:r>
        <w:r>
          <w:rPr>
            <w:spacing w:val="-5"/>
            <w:sz w:val="28"/>
          </w:rPr>
          <w:t>97</w:t>
        </w:r>
      </w:hyperlink>
    </w:p>
    <w:p>
      <w:pPr>
        <w:pStyle w:val="ListParagraph"/>
        <w:numPr>
          <w:ilvl w:val="3"/>
          <w:numId w:val="4"/>
        </w:numPr>
        <w:tabs>
          <w:tab w:pos="1960" w:val="left" w:leader="none"/>
          <w:tab w:pos="10301" w:val="left" w:leader="none"/>
        </w:tabs>
        <w:spacing w:line="232" w:lineRule="auto" w:before="2" w:after="0"/>
        <w:ind w:left="1117" w:right="738" w:firstLine="0"/>
        <w:jc w:val="left"/>
        <w:rPr>
          <w:sz w:val="28"/>
        </w:rPr>
      </w:pPr>
      <w:hyperlink w:history="true" w:anchor="_bookmark65">
        <w:r>
          <w:rPr>
            <w:sz w:val="28"/>
          </w:rPr>
          <w:t>EU legislation regarding employment rights and corporate social</w:t>
        </w:r>
      </w:hyperlink>
      <w:r>
        <w:rPr>
          <w:sz w:val="28"/>
        </w:rPr>
        <w:t> </w:t>
      </w:r>
      <w:hyperlink w:history="true" w:anchor="_bookmark65">
        <w:r>
          <w:rPr>
            <w:spacing w:val="-2"/>
            <w:sz w:val="28"/>
          </w:rPr>
          <w:t>responsibility</w:t>
        </w:r>
        <w:r>
          <w:rPr>
            <w:rFonts w:ascii="Times New Roman"/>
            <w:sz w:val="28"/>
          </w:rPr>
          <w:tab/>
        </w:r>
        <w:r>
          <w:rPr>
            <w:spacing w:val="-5"/>
            <w:sz w:val="28"/>
          </w:rPr>
          <w:t>98</w:t>
        </w:r>
      </w:hyperlink>
    </w:p>
    <w:p>
      <w:pPr>
        <w:pStyle w:val="ListParagraph"/>
        <w:numPr>
          <w:ilvl w:val="3"/>
          <w:numId w:val="4"/>
        </w:numPr>
        <w:tabs>
          <w:tab w:pos="1960" w:val="left" w:leader="none"/>
          <w:tab w:pos="10301" w:val="left" w:leader="none"/>
        </w:tabs>
        <w:spacing w:line="325" w:lineRule="exact" w:before="0" w:after="0"/>
        <w:ind w:left="1960" w:right="0" w:hanging="843"/>
        <w:jc w:val="left"/>
        <w:rPr>
          <w:sz w:val="28"/>
        </w:rPr>
      </w:pPr>
      <w:hyperlink w:history="true" w:anchor="_bookmark66">
        <w:r>
          <w:rPr>
            <w:sz w:val="28"/>
          </w:rPr>
          <w:t>EU</w:t>
        </w:r>
        <w:r>
          <w:rPr>
            <w:spacing w:val="-8"/>
            <w:sz w:val="28"/>
          </w:rPr>
          <w:t> </w:t>
        </w:r>
        <w:r>
          <w:rPr>
            <w:sz w:val="28"/>
          </w:rPr>
          <w:t>legislation</w:t>
        </w:r>
        <w:r>
          <w:rPr>
            <w:spacing w:val="-9"/>
            <w:sz w:val="28"/>
          </w:rPr>
          <w:t> </w:t>
        </w:r>
        <w:r>
          <w:rPr>
            <w:sz w:val="28"/>
          </w:rPr>
          <w:t>regarding</w:t>
        </w:r>
        <w:r>
          <w:rPr>
            <w:spacing w:val="-7"/>
            <w:sz w:val="28"/>
          </w:rPr>
          <w:t> </w:t>
        </w:r>
        <w:r>
          <w:rPr>
            <w:sz w:val="28"/>
          </w:rPr>
          <w:t>vulnerable</w:t>
        </w:r>
        <w:r>
          <w:rPr>
            <w:spacing w:val="-8"/>
            <w:sz w:val="28"/>
          </w:rPr>
          <w:t> </w:t>
        </w:r>
        <w:r>
          <w:rPr>
            <w:spacing w:val="-2"/>
            <w:sz w:val="28"/>
          </w:rPr>
          <w:t>groups</w:t>
        </w:r>
        <w:r>
          <w:rPr>
            <w:rFonts w:ascii="Times New Roman"/>
            <w:sz w:val="28"/>
          </w:rPr>
          <w:tab/>
        </w:r>
        <w:r>
          <w:rPr>
            <w:spacing w:val="-5"/>
            <w:sz w:val="28"/>
          </w:rPr>
          <w:t>99</w:t>
        </w:r>
      </w:hyperlink>
    </w:p>
    <w:p>
      <w:pPr>
        <w:pStyle w:val="ListParagraph"/>
        <w:numPr>
          <w:ilvl w:val="1"/>
          <w:numId w:val="4"/>
        </w:numPr>
        <w:tabs>
          <w:tab w:pos="1534" w:val="left" w:leader="none"/>
          <w:tab w:pos="10159" w:val="left" w:leader="none"/>
        </w:tabs>
        <w:spacing w:line="336" w:lineRule="exact" w:before="0" w:after="0"/>
        <w:ind w:left="1534" w:right="0" w:hanging="417"/>
        <w:jc w:val="left"/>
        <w:rPr>
          <w:sz w:val="28"/>
        </w:rPr>
      </w:pPr>
      <w:hyperlink w:history="true" w:anchor="_bookmark67">
        <w:r>
          <w:rPr>
            <w:spacing w:val="-2"/>
            <w:sz w:val="28"/>
          </w:rPr>
          <w:t>Conclusion</w:t>
        </w:r>
        <w:r>
          <w:rPr>
            <w:rFonts w:ascii="Times New Roman"/>
            <w:sz w:val="28"/>
          </w:rPr>
          <w:tab/>
        </w:r>
        <w:r>
          <w:rPr>
            <w:spacing w:val="-5"/>
            <w:sz w:val="28"/>
          </w:rPr>
          <w:t>101</w:t>
        </w:r>
      </w:hyperlink>
    </w:p>
    <w:p>
      <w:pPr>
        <w:pStyle w:val="Heading3"/>
        <w:tabs>
          <w:tab w:pos="10159" w:val="left" w:leader="none"/>
        </w:tabs>
        <w:spacing w:line="240" w:lineRule="auto" w:before="272"/>
        <w:ind w:left="1117" w:firstLine="0"/>
      </w:pPr>
      <w:r>
        <w:rPr/>
        <mc:AlternateContent>
          <mc:Choice Requires="wps">
            <w:drawing>
              <wp:anchor distT="0" distB="0" distL="0" distR="0" allowOverlap="1" layoutInCell="1" locked="0" behindDoc="0" simplePos="0" relativeHeight="15736320">
                <wp:simplePos x="0" y="0"/>
                <wp:positionH relativeFrom="page">
                  <wp:posOffset>899999</wp:posOffset>
                </wp:positionH>
                <wp:positionV relativeFrom="paragraph">
                  <wp:posOffset>119890</wp:posOffset>
                </wp:positionV>
                <wp:extent cx="6012180"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70.866096pt,9.440193pt" to="544.252096pt,9.440193pt" stroked="true" strokeweight="1pt" strokecolor="#36a9e1">
                <v:stroke dashstyle="solid"/>
                <w10:wrap type="none"/>
              </v:line>
            </w:pict>
          </mc:Fallback>
        </mc:AlternateContent>
      </w:r>
      <w:hyperlink w:history="true" w:anchor="_bookmark68">
        <w:r>
          <w:rPr>
            <w:color w:val="164194"/>
          </w:rPr>
          <w:t>Chapter</w:t>
        </w:r>
        <w:r>
          <w:rPr>
            <w:color w:val="164194"/>
            <w:spacing w:val="-6"/>
          </w:rPr>
          <w:t> </w:t>
        </w:r>
        <w:r>
          <w:rPr>
            <w:color w:val="164194"/>
          </w:rPr>
          <w:t>5:</w:t>
        </w:r>
        <w:r>
          <w:rPr>
            <w:color w:val="164194"/>
            <w:spacing w:val="-5"/>
          </w:rPr>
          <w:t> </w:t>
        </w:r>
        <w:r>
          <w:rPr>
            <w:color w:val="164194"/>
          </w:rPr>
          <w:t>Domestic</w:t>
        </w:r>
        <w:r>
          <w:rPr>
            <w:color w:val="164194"/>
            <w:spacing w:val="-6"/>
          </w:rPr>
          <w:t> </w:t>
        </w:r>
        <w:r>
          <w:rPr>
            <w:color w:val="164194"/>
          </w:rPr>
          <w:t>Case</w:t>
        </w:r>
        <w:r>
          <w:rPr>
            <w:color w:val="164194"/>
            <w:spacing w:val="-5"/>
          </w:rPr>
          <w:t> </w:t>
        </w:r>
        <w:r>
          <w:rPr>
            <w:color w:val="164194"/>
          </w:rPr>
          <w:t>Law</w:t>
        </w:r>
        <w:r>
          <w:rPr>
            <w:color w:val="164194"/>
            <w:spacing w:val="-6"/>
          </w:rPr>
          <w:t> </w:t>
        </w:r>
        <w:r>
          <w:rPr>
            <w:color w:val="164194"/>
          </w:rPr>
          <w:t>Developments</w:t>
        </w:r>
        <w:r>
          <w:rPr>
            <w:color w:val="164194"/>
            <w:spacing w:val="-5"/>
          </w:rPr>
          <w:t> </w:t>
        </w:r>
        <w:r>
          <w:rPr>
            <w:color w:val="164194"/>
          </w:rPr>
          <w:t>since</w:t>
        </w:r>
        <w:r>
          <w:rPr>
            <w:color w:val="164194"/>
            <w:spacing w:val="-6"/>
          </w:rPr>
          <w:t> </w:t>
        </w:r>
        <w:r>
          <w:rPr>
            <w:color w:val="164194"/>
          </w:rPr>
          <w:t>January</w:t>
        </w:r>
        <w:r>
          <w:rPr>
            <w:color w:val="164194"/>
            <w:spacing w:val="-4"/>
          </w:rPr>
          <w:t> 2022</w:t>
        </w:r>
        <w:r>
          <w:rPr>
            <w:rFonts w:ascii="Times New Roman"/>
            <w:b w:val="0"/>
            <w:color w:val="164194"/>
          </w:rPr>
          <w:tab/>
        </w:r>
        <w:r>
          <w:rPr>
            <w:color w:val="164194"/>
            <w:spacing w:val="-5"/>
          </w:rPr>
          <w:t>102</w:t>
        </w:r>
      </w:hyperlink>
    </w:p>
    <w:p>
      <w:pPr>
        <w:pStyle w:val="ListParagraph"/>
        <w:numPr>
          <w:ilvl w:val="1"/>
          <w:numId w:val="5"/>
        </w:numPr>
        <w:tabs>
          <w:tab w:pos="1534" w:val="left" w:leader="none"/>
          <w:tab w:pos="10159" w:val="left" w:leader="none"/>
        </w:tabs>
        <w:spacing w:line="336" w:lineRule="exact" w:before="102" w:after="0"/>
        <w:ind w:left="1534" w:right="0" w:hanging="417"/>
        <w:jc w:val="left"/>
        <w:rPr>
          <w:sz w:val="28"/>
        </w:rPr>
      </w:pPr>
      <w:hyperlink w:history="true" w:anchor="_bookmark68">
        <w:r>
          <w:rPr>
            <w:spacing w:val="-2"/>
            <w:sz w:val="28"/>
          </w:rPr>
          <w:t>Introduction</w:t>
        </w:r>
        <w:r>
          <w:rPr>
            <w:rFonts w:ascii="Times New Roman"/>
            <w:sz w:val="28"/>
          </w:rPr>
          <w:tab/>
        </w:r>
        <w:r>
          <w:rPr>
            <w:spacing w:val="-5"/>
            <w:sz w:val="28"/>
          </w:rPr>
          <w:t>102</w:t>
        </w:r>
      </w:hyperlink>
    </w:p>
    <w:p>
      <w:pPr>
        <w:pStyle w:val="ListParagraph"/>
        <w:numPr>
          <w:ilvl w:val="1"/>
          <w:numId w:val="5"/>
        </w:numPr>
        <w:tabs>
          <w:tab w:pos="1534" w:val="left" w:leader="none"/>
          <w:tab w:pos="10159" w:val="left" w:leader="none"/>
        </w:tabs>
        <w:spacing w:line="330" w:lineRule="exact" w:before="0" w:after="0"/>
        <w:ind w:left="1534" w:right="0" w:hanging="417"/>
        <w:jc w:val="left"/>
        <w:rPr>
          <w:sz w:val="28"/>
        </w:rPr>
      </w:pPr>
      <w:hyperlink w:history="true" w:anchor="_bookmark68">
        <w:r>
          <w:rPr>
            <w:sz w:val="28"/>
          </w:rPr>
          <w:t>Retained</w:t>
        </w:r>
        <w:r>
          <w:rPr>
            <w:spacing w:val="-9"/>
            <w:sz w:val="28"/>
          </w:rPr>
          <w:t> </w:t>
        </w:r>
        <w:r>
          <w:rPr>
            <w:sz w:val="28"/>
          </w:rPr>
          <w:t>EU</w:t>
        </w:r>
        <w:r>
          <w:rPr>
            <w:spacing w:val="-7"/>
            <w:sz w:val="28"/>
          </w:rPr>
          <w:t> </w:t>
        </w:r>
        <w:r>
          <w:rPr>
            <w:spacing w:val="-5"/>
            <w:sz w:val="28"/>
          </w:rPr>
          <w:t>Law</w:t>
        </w:r>
        <w:r>
          <w:rPr>
            <w:rFonts w:ascii="Times New Roman"/>
            <w:sz w:val="28"/>
          </w:rPr>
          <w:tab/>
        </w:r>
        <w:r>
          <w:rPr>
            <w:spacing w:val="-5"/>
            <w:sz w:val="28"/>
          </w:rPr>
          <w:t>102</w:t>
        </w:r>
      </w:hyperlink>
    </w:p>
    <w:p>
      <w:pPr>
        <w:pStyle w:val="ListParagraph"/>
        <w:numPr>
          <w:ilvl w:val="2"/>
          <w:numId w:val="5"/>
        </w:numPr>
        <w:tabs>
          <w:tab w:pos="1747" w:val="left" w:leader="none"/>
          <w:tab w:pos="10159" w:val="left" w:leader="none"/>
        </w:tabs>
        <w:spacing w:line="330" w:lineRule="exact" w:before="0" w:after="0"/>
        <w:ind w:left="1747" w:right="0" w:hanging="630"/>
        <w:jc w:val="left"/>
        <w:rPr>
          <w:sz w:val="28"/>
        </w:rPr>
      </w:pPr>
      <w:hyperlink w:history="true" w:anchor="_bookmark69">
        <w:r>
          <w:rPr>
            <w:sz w:val="28"/>
          </w:rPr>
          <w:t>UK</w:t>
        </w:r>
        <w:r>
          <w:rPr>
            <w:spacing w:val="-1"/>
            <w:sz w:val="28"/>
          </w:rPr>
          <w:t> </w:t>
        </w:r>
        <w:r>
          <w:rPr>
            <w:sz w:val="28"/>
          </w:rPr>
          <w:t>Case</w:t>
        </w:r>
        <w:r>
          <w:rPr>
            <w:spacing w:val="-1"/>
            <w:sz w:val="28"/>
          </w:rPr>
          <w:t> </w:t>
        </w:r>
        <w:r>
          <w:rPr>
            <w:sz w:val="28"/>
          </w:rPr>
          <w:t>Law on</w:t>
        </w:r>
        <w:r>
          <w:rPr>
            <w:spacing w:val="-2"/>
            <w:sz w:val="28"/>
          </w:rPr>
          <w:t> </w:t>
        </w:r>
        <w:r>
          <w:rPr>
            <w:sz w:val="28"/>
          </w:rPr>
          <w:t>EU </w:t>
        </w:r>
        <w:r>
          <w:rPr>
            <w:spacing w:val="-5"/>
            <w:sz w:val="28"/>
          </w:rPr>
          <w:t>law</w:t>
        </w:r>
        <w:r>
          <w:rPr>
            <w:rFonts w:ascii="Times New Roman"/>
            <w:sz w:val="28"/>
          </w:rPr>
          <w:tab/>
        </w:r>
        <w:r>
          <w:rPr>
            <w:spacing w:val="-5"/>
            <w:sz w:val="28"/>
          </w:rPr>
          <w:t>104</w:t>
        </w:r>
      </w:hyperlink>
    </w:p>
    <w:p>
      <w:pPr>
        <w:pStyle w:val="ListParagraph"/>
        <w:numPr>
          <w:ilvl w:val="1"/>
          <w:numId w:val="5"/>
        </w:numPr>
        <w:tabs>
          <w:tab w:pos="1534" w:val="left" w:leader="none"/>
          <w:tab w:pos="10159" w:val="left" w:leader="none"/>
        </w:tabs>
        <w:spacing w:line="330" w:lineRule="exact" w:before="0" w:after="0"/>
        <w:ind w:left="1534" w:right="0" w:hanging="417"/>
        <w:jc w:val="left"/>
        <w:rPr>
          <w:sz w:val="28"/>
        </w:rPr>
      </w:pPr>
      <w:hyperlink w:history="true" w:anchor="_bookmark70">
        <w:r>
          <w:rPr>
            <w:sz w:val="28"/>
          </w:rPr>
          <w:t>Withdrawal</w:t>
        </w:r>
        <w:r>
          <w:rPr>
            <w:spacing w:val="-10"/>
            <w:sz w:val="28"/>
          </w:rPr>
          <w:t> </w:t>
        </w:r>
        <w:r>
          <w:rPr>
            <w:sz w:val="28"/>
          </w:rPr>
          <w:t>Agreement</w:t>
        </w:r>
        <w:r>
          <w:rPr>
            <w:spacing w:val="-8"/>
            <w:sz w:val="28"/>
          </w:rPr>
          <w:t> </w:t>
        </w:r>
        <w:r>
          <w:rPr>
            <w:sz w:val="28"/>
          </w:rPr>
          <w:t>Case</w:t>
        </w:r>
        <w:r>
          <w:rPr>
            <w:spacing w:val="-8"/>
            <w:sz w:val="28"/>
          </w:rPr>
          <w:t> </w:t>
        </w:r>
        <w:r>
          <w:rPr>
            <w:spacing w:val="-5"/>
            <w:sz w:val="28"/>
          </w:rPr>
          <w:t>Law</w:t>
        </w:r>
        <w:r>
          <w:rPr>
            <w:rFonts w:ascii="Times New Roman"/>
            <w:sz w:val="28"/>
          </w:rPr>
          <w:tab/>
        </w:r>
        <w:r>
          <w:rPr>
            <w:spacing w:val="-5"/>
            <w:sz w:val="28"/>
          </w:rPr>
          <w:t>105</w:t>
        </w:r>
      </w:hyperlink>
    </w:p>
    <w:p>
      <w:pPr>
        <w:pStyle w:val="ListParagraph"/>
        <w:numPr>
          <w:ilvl w:val="1"/>
          <w:numId w:val="5"/>
        </w:numPr>
        <w:tabs>
          <w:tab w:pos="1534" w:val="left" w:leader="none"/>
          <w:tab w:pos="10159" w:val="left" w:leader="none"/>
        </w:tabs>
        <w:spacing w:line="330" w:lineRule="exact" w:before="0" w:after="0"/>
        <w:ind w:left="1534" w:right="0" w:hanging="417"/>
        <w:jc w:val="left"/>
        <w:rPr>
          <w:sz w:val="28"/>
        </w:rPr>
      </w:pPr>
      <w:hyperlink w:history="true" w:anchor="_bookmark71">
        <w:r>
          <w:rPr>
            <w:sz w:val="28"/>
          </w:rPr>
          <w:t>Article</w:t>
        </w:r>
        <w:r>
          <w:rPr>
            <w:spacing w:val="-4"/>
            <w:sz w:val="28"/>
          </w:rPr>
          <w:t> </w:t>
        </w:r>
        <w:r>
          <w:rPr>
            <w:sz w:val="28"/>
          </w:rPr>
          <w:t>2</w:t>
        </w:r>
        <w:r>
          <w:rPr>
            <w:spacing w:val="-4"/>
            <w:sz w:val="28"/>
          </w:rPr>
          <w:t> </w:t>
        </w:r>
        <w:r>
          <w:rPr>
            <w:sz w:val="28"/>
          </w:rPr>
          <w:t>Windsor</w:t>
        </w:r>
        <w:r>
          <w:rPr>
            <w:spacing w:val="-4"/>
            <w:sz w:val="28"/>
          </w:rPr>
          <w:t> </w:t>
        </w:r>
        <w:r>
          <w:rPr>
            <w:sz w:val="28"/>
          </w:rPr>
          <w:t>Framework</w:t>
        </w:r>
        <w:r>
          <w:rPr>
            <w:spacing w:val="-3"/>
            <w:sz w:val="28"/>
          </w:rPr>
          <w:t> </w:t>
        </w:r>
        <w:r>
          <w:rPr>
            <w:sz w:val="28"/>
          </w:rPr>
          <w:t>Case</w:t>
        </w:r>
        <w:r>
          <w:rPr>
            <w:spacing w:val="-4"/>
            <w:sz w:val="28"/>
          </w:rPr>
          <w:t> </w:t>
        </w:r>
        <w:r>
          <w:rPr>
            <w:spacing w:val="-5"/>
            <w:sz w:val="28"/>
          </w:rPr>
          <w:t>Law</w:t>
        </w:r>
        <w:r>
          <w:rPr>
            <w:rFonts w:ascii="Times New Roman"/>
            <w:sz w:val="28"/>
          </w:rPr>
          <w:tab/>
        </w:r>
        <w:r>
          <w:rPr>
            <w:spacing w:val="-5"/>
            <w:sz w:val="28"/>
          </w:rPr>
          <w:t>106</w:t>
        </w:r>
      </w:hyperlink>
    </w:p>
    <w:p>
      <w:pPr>
        <w:pStyle w:val="ListParagraph"/>
        <w:numPr>
          <w:ilvl w:val="2"/>
          <w:numId w:val="5"/>
        </w:numPr>
        <w:tabs>
          <w:tab w:pos="1747" w:val="left" w:leader="none"/>
          <w:tab w:pos="10159" w:val="left" w:leader="none"/>
        </w:tabs>
        <w:spacing w:line="330" w:lineRule="exact" w:before="0" w:after="0"/>
        <w:ind w:left="1747" w:right="0" w:hanging="630"/>
        <w:jc w:val="left"/>
        <w:rPr>
          <w:sz w:val="28"/>
        </w:rPr>
      </w:pPr>
      <w:hyperlink w:history="true" w:anchor="_bookmark72">
        <w:r>
          <w:rPr>
            <w:sz w:val="28"/>
          </w:rPr>
          <w:t>The</w:t>
        </w:r>
        <w:r>
          <w:rPr>
            <w:spacing w:val="-2"/>
            <w:sz w:val="28"/>
          </w:rPr>
          <w:t> </w:t>
        </w:r>
        <w:r>
          <w:rPr>
            <w:sz w:val="28"/>
          </w:rPr>
          <w:t>SPUC</w:t>
        </w:r>
        <w:r>
          <w:rPr>
            <w:spacing w:val="-2"/>
            <w:sz w:val="28"/>
          </w:rPr>
          <w:t> </w:t>
        </w:r>
        <w:r>
          <w:rPr>
            <w:spacing w:val="-4"/>
            <w:sz w:val="28"/>
          </w:rPr>
          <w:t>case</w:t>
        </w:r>
        <w:r>
          <w:rPr>
            <w:rFonts w:ascii="Times New Roman"/>
            <w:sz w:val="28"/>
          </w:rPr>
          <w:tab/>
        </w:r>
        <w:r>
          <w:rPr>
            <w:spacing w:val="-5"/>
            <w:sz w:val="28"/>
          </w:rPr>
          <w:t>107</w:t>
        </w:r>
      </w:hyperlink>
    </w:p>
    <w:p>
      <w:pPr>
        <w:pStyle w:val="ListParagraph"/>
        <w:numPr>
          <w:ilvl w:val="2"/>
          <w:numId w:val="5"/>
        </w:numPr>
        <w:tabs>
          <w:tab w:pos="1747" w:val="left" w:leader="none"/>
          <w:tab w:pos="10159" w:val="left" w:leader="none"/>
        </w:tabs>
        <w:spacing w:line="330" w:lineRule="exact" w:before="0" w:after="0"/>
        <w:ind w:left="1747" w:right="0" w:hanging="630"/>
        <w:jc w:val="left"/>
        <w:rPr>
          <w:sz w:val="28"/>
        </w:rPr>
      </w:pPr>
      <w:hyperlink w:history="true" w:anchor="_bookmark73">
        <w:r>
          <w:rPr>
            <w:spacing w:val="-2"/>
            <w:sz w:val="28"/>
          </w:rPr>
          <w:t>Angesom</w:t>
        </w:r>
        <w:r>
          <w:rPr>
            <w:rFonts w:ascii="Times New Roman"/>
            <w:sz w:val="28"/>
          </w:rPr>
          <w:tab/>
        </w:r>
        <w:r>
          <w:rPr>
            <w:spacing w:val="-5"/>
            <w:sz w:val="28"/>
          </w:rPr>
          <w:t>109</w:t>
        </w:r>
      </w:hyperlink>
    </w:p>
    <w:p>
      <w:pPr>
        <w:pStyle w:val="ListParagraph"/>
        <w:numPr>
          <w:ilvl w:val="2"/>
          <w:numId w:val="5"/>
        </w:numPr>
        <w:tabs>
          <w:tab w:pos="1747" w:val="left" w:leader="none"/>
          <w:tab w:pos="10159" w:val="left" w:leader="none"/>
        </w:tabs>
        <w:spacing w:line="330" w:lineRule="exact" w:before="0" w:after="0"/>
        <w:ind w:left="1747" w:right="0" w:hanging="630"/>
        <w:jc w:val="left"/>
        <w:rPr>
          <w:sz w:val="28"/>
        </w:rPr>
      </w:pPr>
      <w:hyperlink w:history="true" w:anchor="_bookmark74">
        <w:r>
          <w:rPr>
            <w:sz w:val="28"/>
          </w:rPr>
          <w:t>The</w:t>
        </w:r>
        <w:r>
          <w:rPr>
            <w:spacing w:val="-4"/>
            <w:sz w:val="28"/>
          </w:rPr>
          <w:t> </w:t>
        </w:r>
        <w:r>
          <w:rPr>
            <w:sz w:val="28"/>
          </w:rPr>
          <w:t>Legacy</w:t>
        </w:r>
        <w:r>
          <w:rPr>
            <w:spacing w:val="-3"/>
            <w:sz w:val="28"/>
          </w:rPr>
          <w:t> </w:t>
        </w:r>
        <w:r>
          <w:rPr>
            <w:sz w:val="28"/>
          </w:rPr>
          <w:t>Act</w:t>
        </w:r>
        <w:r>
          <w:rPr>
            <w:spacing w:val="-3"/>
            <w:sz w:val="28"/>
          </w:rPr>
          <w:t> </w:t>
        </w:r>
        <w:r>
          <w:rPr>
            <w:sz w:val="28"/>
          </w:rPr>
          <w:t>cases</w:t>
        </w:r>
        <w:r>
          <w:rPr>
            <w:spacing w:val="-4"/>
            <w:sz w:val="28"/>
          </w:rPr>
          <w:t> </w:t>
        </w:r>
        <w:r>
          <w:rPr>
            <w:sz w:val="28"/>
          </w:rPr>
          <w:t>(Dillon</w:t>
        </w:r>
        <w:r>
          <w:rPr>
            <w:spacing w:val="-4"/>
            <w:sz w:val="28"/>
          </w:rPr>
          <w:t> </w:t>
        </w:r>
        <w:r>
          <w:rPr>
            <w:sz w:val="28"/>
          </w:rPr>
          <w:t>and</w:t>
        </w:r>
        <w:r>
          <w:rPr>
            <w:spacing w:val="-4"/>
            <w:sz w:val="28"/>
          </w:rPr>
          <w:t> </w:t>
        </w:r>
        <w:r>
          <w:rPr>
            <w:spacing w:val="-2"/>
            <w:sz w:val="28"/>
          </w:rPr>
          <w:t>others)</w:t>
        </w:r>
        <w:r>
          <w:rPr>
            <w:rFonts w:ascii="Times New Roman"/>
            <w:sz w:val="28"/>
          </w:rPr>
          <w:tab/>
        </w:r>
        <w:r>
          <w:rPr>
            <w:spacing w:val="-5"/>
            <w:sz w:val="28"/>
          </w:rPr>
          <w:t>111</w:t>
        </w:r>
      </w:hyperlink>
    </w:p>
    <w:p>
      <w:pPr>
        <w:pStyle w:val="ListParagraph"/>
        <w:numPr>
          <w:ilvl w:val="2"/>
          <w:numId w:val="5"/>
        </w:numPr>
        <w:tabs>
          <w:tab w:pos="1747" w:val="left" w:leader="none"/>
          <w:tab w:pos="10159" w:val="left" w:leader="none"/>
        </w:tabs>
        <w:spacing w:line="330" w:lineRule="exact" w:before="0" w:after="0"/>
        <w:ind w:left="1747" w:right="0" w:hanging="630"/>
        <w:jc w:val="left"/>
        <w:rPr>
          <w:sz w:val="28"/>
        </w:rPr>
      </w:pPr>
      <w:hyperlink w:history="true" w:anchor="_bookmark75">
        <w:r>
          <w:rPr>
            <w:sz w:val="28"/>
          </w:rPr>
          <w:t>The</w:t>
        </w:r>
        <w:r>
          <w:rPr>
            <w:spacing w:val="-6"/>
            <w:sz w:val="28"/>
          </w:rPr>
          <w:t> </w:t>
        </w:r>
        <w:r>
          <w:rPr>
            <w:sz w:val="28"/>
          </w:rPr>
          <w:t>Illegal</w:t>
        </w:r>
        <w:r>
          <w:rPr>
            <w:spacing w:val="-7"/>
            <w:sz w:val="28"/>
          </w:rPr>
          <w:t> </w:t>
        </w:r>
        <w:r>
          <w:rPr>
            <w:sz w:val="28"/>
          </w:rPr>
          <w:t>Migration</w:t>
        </w:r>
        <w:r>
          <w:rPr>
            <w:spacing w:val="-6"/>
            <w:sz w:val="28"/>
          </w:rPr>
          <w:t> </w:t>
        </w:r>
        <w:r>
          <w:rPr>
            <w:sz w:val="28"/>
          </w:rPr>
          <w:t>Act</w:t>
        </w:r>
        <w:r>
          <w:rPr>
            <w:spacing w:val="-6"/>
            <w:sz w:val="28"/>
          </w:rPr>
          <w:t> </w:t>
        </w:r>
        <w:r>
          <w:rPr>
            <w:spacing w:val="-4"/>
            <w:sz w:val="28"/>
          </w:rPr>
          <w:t>case</w:t>
        </w:r>
        <w:r>
          <w:rPr>
            <w:rFonts w:ascii="Times New Roman"/>
            <w:sz w:val="28"/>
          </w:rPr>
          <w:tab/>
        </w:r>
        <w:r>
          <w:rPr>
            <w:spacing w:val="-5"/>
            <w:sz w:val="28"/>
          </w:rPr>
          <w:t>114</w:t>
        </w:r>
      </w:hyperlink>
    </w:p>
    <w:p>
      <w:pPr>
        <w:pStyle w:val="ListParagraph"/>
        <w:numPr>
          <w:ilvl w:val="1"/>
          <w:numId w:val="5"/>
        </w:numPr>
        <w:tabs>
          <w:tab w:pos="1534" w:val="left" w:leader="none"/>
          <w:tab w:pos="10159" w:val="left" w:leader="none"/>
        </w:tabs>
        <w:spacing w:line="336" w:lineRule="exact" w:before="0" w:after="0"/>
        <w:ind w:left="1534" w:right="0" w:hanging="417"/>
        <w:jc w:val="left"/>
        <w:rPr>
          <w:sz w:val="28"/>
        </w:rPr>
      </w:pPr>
      <w:hyperlink w:history="true" w:anchor="_bookmark76">
        <w:r>
          <w:rPr>
            <w:spacing w:val="-2"/>
            <w:sz w:val="28"/>
          </w:rPr>
          <w:t>Conclusion</w:t>
        </w:r>
        <w:r>
          <w:rPr>
            <w:rFonts w:ascii="Times New Roman"/>
            <w:sz w:val="28"/>
          </w:rPr>
          <w:tab/>
        </w:r>
        <w:r>
          <w:rPr>
            <w:spacing w:val="-5"/>
            <w:sz w:val="28"/>
          </w:rPr>
          <w:t>115</w:t>
        </w:r>
      </w:hyperlink>
    </w:p>
    <w:p>
      <w:pPr>
        <w:pStyle w:val="Heading3"/>
        <w:spacing w:before="271"/>
        <w:ind w:left="1117" w:firstLine="0"/>
      </w:pPr>
      <w:r>
        <w:rPr/>
        <mc:AlternateContent>
          <mc:Choice Requires="wps">
            <w:drawing>
              <wp:anchor distT="0" distB="0" distL="0" distR="0" allowOverlap="1" layoutInCell="1" locked="0" behindDoc="0" simplePos="0" relativeHeight="15736832">
                <wp:simplePos x="0" y="0"/>
                <wp:positionH relativeFrom="page">
                  <wp:posOffset>899999</wp:posOffset>
                </wp:positionH>
                <wp:positionV relativeFrom="paragraph">
                  <wp:posOffset>119419</wp:posOffset>
                </wp:positionV>
                <wp:extent cx="6012180" cy="127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70.866096pt,9.403106pt" to="544.252096pt,9.403106pt" stroked="true" strokeweight="1pt" strokecolor="#36a9e1">
                <v:stroke dashstyle="solid"/>
                <w10:wrap type="none"/>
              </v:line>
            </w:pict>
          </mc:Fallback>
        </mc:AlternateContent>
      </w:r>
      <w:hyperlink w:history="true" w:anchor="_bookmark77">
        <w:r>
          <w:rPr>
            <w:color w:val="164194"/>
          </w:rPr>
          <w:t>Chapter</w:t>
        </w:r>
        <w:r>
          <w:rPr>
            <w:color w:val="164194"/>
            <w:spacing w:val="-7"/>
          </w:rPr>
          <w:t> </w:t>
        </w:r>
        <w:r>
          <w:rPr>
            <w:color w:val="164194"/>
          </w:rPr>
          <w:t>6:</w:t>
        </w:r>
        <w:r>
          <w:rPr>
            <w:color w:val="164194"/>
            <w:spacing w:val="-3"/>
          </w:rPr>
          <w:t> </w:t>
        </w:r>
        <w:r>
          <w:rPr>
            <w:color w:val="164194"/>
          </w:rPr>
          <w:t>CJEU</w:t>
        </w:r>
        <w:r>
          <w:rPr>
            <w:color w:val="164194"/>
            <w:spacing w:val="-3"/>
          </w:rPr>
          <w:t> </w:t>
        </w:r>
        <w:r>
          <w:rPr>
            <w:color w:val="164194"/>
          </w:rPr>
          <w:t>Case</w:t>
        </w:r>
        <w:r>
          <w:rPr>
            <w:color w:val="164194"/>
            <w:spacing w:val="-4"/>
          </w:rPr>
          <w:t> </w:t>
        </w:r>
        <w:r>
          <w:rPr>
            <w:color w:val="164194"/>
          </w:rPr>
          <w:t>Law</w:t>
        </w:r>
        <w:r>
          <w:rPr>
            <w:color w:val="164194"/>
            <w:spacing w:val="-4"/>
          </w:rPr>
          <w:t> </w:t>
        </w:r>
        <w:r>
          <w:rPr>
            <w:color w:val="164194"/>
          </w:rPr>
          <w:t>that</w:t>
        </w:r>
        <w:r>
          <w:rPr>
            <w:color w:val="164194"/>
            <w:spacing w:val="-3"/>
          </w:rPr>
          <w:t> </w:t>
        </w:r>
        <w:r>
          <w:rPr>
            <w:color w:val="164194"/>
          </w:rPr>
          <w:t>relates</w:t>
        </w:r>
        <w:r>
          <w:rPr>
            <w:color w:val="164194"/>
            <w:spacing w:val="-3"/>
          </w:rPr>
          <w:t> </w:t>
        </w:r>
        <w:r>
          <w:rPr>
            <w:color w:val="164194"/>
          </w:rPr>
          <w:t>to</w:t>
        </w:r>
        <w:r>
          <w:rPr>
            <w:color w:val="164194"/>
            <w:spacing w:val="-3"/>
          </w:rPr>
          <w:t> </w:t>
        </w:r>
        <w:r>
          <w:rPr>
            <w:color w:val="164194"/>
          </w:rPr>
          <w:t>each</w:t>
        </w:r>
        <w:r>
          <w:rPr>
            <w:color w:val="164194"/>
            <w:spacing w:val="-3"/>
          </w:rPr>
          <w:t> </w:t>
        </w:r>
        <w:r>
          <w:rPr>
            <w:color w:val="164194"/>
          </w:rPr>
          <w:t>of</w:t>
        </w:r>
        <w:r>
          <w:rPr>
            <w:color w:val="164194"/>
            <w:spacing w:val="-4"/>
          </w:rPr>
          <w:t> </w:t>
        </w:r>
        <w:r>
          <w:rPr>
            <w:color w:val="164194"/>
          </w:rPr>
          <w:t>the</w:t>
        </w:r>
        <w:r>
          <w:rPr>
            <w:color w:val="164194"/>
            <w:spacing w:val="-4"/>
          </w:rPr>
          <w:t> </w:t>
        </w:r>
        <w:r>
          <w:rPr>
            <w:color w:val="164194"/>
          </w:rPr>
          <w:t>Windsor</w:t>
        </w:r>
        <w:r>
          <w:rPr>
            <w:color w:val="164194"/>
            <w:spacing w:val="-4"/>
          </w:rPr>
          <w:t> </w:t>
        </w:r>
        <w:r>
          <w:rPr>
            <w:color w:val="164194"/>
            <w:spacing w:val="-10"/>
          </w:rPr>
          <w:t>F</w:t>
        </w:r>
      </w:hyperlink>
    </w:p>
    <w:p>
      <w:pPr>
        <w:pStyle w:val="Heading3"/>
        <w:tabs>
          <w:tab w:pos="10159" w:val="left" w:leader="none"/>
        </w:tabs>
        <w:ind w:left="1117" w:firstLine="0"/>
      </w:pPr>
      <w:hyperlink w:history="true" w:anchor="_bookmark77">
        <w:r>
          <w:rPr>
            <w:color w:val="164194"/>
          </w:rPr>
          <w:t>ramework</w:t>
        </w:r>
        <w:r>
          <w:rPr>
            <w:color w:val="164194"/>
            <w:spacing w:val="-10"/>
          </w:rPr>
          <w:t> </w:t>
        </w:r>
        <w:r>
          <w:rPr>
            <w:color w:val="164194"/>
          </w:rPr>
          <w:t>Annex</w:t>
        </w:r>
        <w:r>
          <w:rPr>
            <w:color w:val="164194"/>
            <w:spacing w:val="-10"/>
          </w:rPr>
          <w:t> </w:t>
        </w:r>
        <w:r>
          <w:rPr>
            <w:color w:val="164194"/>
          </w:rPr>
          <w:t>1</w:t>
        </w:r>
        <w:r>
          <w:rPr>
            <w:color w:val="164194"/>
            <w:spacing w:val="-9"/>
          </w:rPr>
          <w:t> </w:t>
        </w:r>
        <w:r>
          <w:rPr>
            <w:color w:val="164194"/>
          </w:rPr>
          <w:t>Directives</w:t>
        </w:r>
        <w:r>
          <w:rPr>
            <w:color w:val="164194"/>
            <w:spacing w:val="-9"/>
          </w:rPr>
          <w:t> </w:t>
        </w:r>
        <w:r>
          <w:rPr>
            <w:color w:val="164194"/>
          </w:rPr>
          <w:t>delivered</w:t>
        </w:r>
        <w:r>
          <w:rPr>
            <w:color w:val="164194"/>
            <w:spacing w:val="-8"/>
          </w:rPr>
          <w:t> </w:t>
        </w:r>
        <w:r>
          <w:rPr>
            <w:color w:val="164194"/>
          </w:rPr>
          <w:t>since</w:t>
        </w:r>
        <w:r>
          <w:rPr>
            <w:color w:val="164194"/>
            <w:spacing w:val="-10"/>
          </w:rPr>
          <w:t> </w:t>
        </w:r>
        <w:r>
          <w:rPr>
            <w:color w:val="164194"/>
          </w:rPr>
          <w:t>January</w:t>
        </w:r>
        <w:r>
          <w:rPr>
            <w:color w:val="164194"/>
            <w:spacing w:val="-9"/>
          </w:rPr>
          <w:t> </w:t>
        </w:r>
        <w:r>
          <w:rPr>
            <w:color w:val="164194"/>
            <w:spacing w:val="-2"/>
          </w:rPr>
          <w:t>2022.</w:t>
        </w:r>
        <w:r>
          <w:rPr>
            <w:rFonts w:ascii="Times New Roman"/>
            <w:b w:val="0"/>
            <w:color w:val="164194"/>
          </w:rPr>
          <w:tab/>
        </w:r>
        <w:r>
          <w:rPr>
            <w:color w:val="164194"/>
            <w:spacing w:val="-5"/>
          </w:rPr>
          <w:t>117</w:t>
        </w:r>
      </w:hyperlink>
    </w:p>
    <w:p>
      <w:pPr>
        <w:pStyle w:val="ListParagraph"/>
        <w:numPr>
          <w:ilvl w:val="1"/>
          <w:numId w:val="6"/>
        </w:numPr>
        <w:tabs>
          <w:tab w:pos="1534" w:val="left" w:leader="none"/>
          <w:tab w:pos="10159" w:val="left" w:leader="none"/>
        </w:tabs>
        <w:spacing w:line="336" w:lineRule="exact" w:before="102" w:after="0"/>
        <w:ind w:left="1534" w:right="0" w:hanging="417"/>
        <w:jc w:val="left"/>
        <w:rPr>
          <w:sz w:val="28"/>
        </w:rPr>
      </w:pPr>
      <w:hyperlink w:history="true" w:anchor="_bookmark77">
        <w:r>
          <w:rPr>
            <w:spacing w:val="-2"/>
            <w:sz w:val="28"/>
          </w:rPr>
          <w:t>Introduction</w:t>
        </w:r>
        <w:r>
          <w:rPr>
            <w:rFonts w:ascii="Times New Roman"/>
            <w:sz w:val="28"/>
          </w:rPr>
          <w:tab/>
        </w:r>
        <w:r>
          <w:rPr>
            <w:spacing w:val="-5"/>
            <w:sz w:val="28"/>
          </w:rPr>
          <w:t>117</w:t>
        </w:r>
      </w:hyperlink>
    </w:p>
    <w:p>
      <w:pPr>
        <w:pStyle w:val="ListParagraph"/>
        <w:numPr>
          <w:ilvl w:val="1"/>
          <w:numId w:val="6"/>
        </w:numPr>
        <w:tabs>
          <w:tab w:pos="1534" w:val="left" w:leader="none"/>
          <w:tab w:pos="10159" w:val="left" w:leader="none"/>
        </w:tabs>
        <w:spacing w:line="330" w:lineRule="exact" w:before="0" w:after="0"/>
        <w:ind w:left="1534" w:right="0" w:hanging="417"/>
        <w:jc w:val="left"/>
        <w:rPr>
          <w:sz w:val="28"/>
        </w:rPr>
      </w:pPr>
      <w:hyperlink w:history="true" w:anchor="_bookmark78">
        <w:r>
          <w:rPr>
            <w:spacing w:val="-2"/>
            <w:sz w:val="28"/>
          </w:rPr>
          <w:t>Methodology</w:t>
        </w:r>
        <w:r>
          <w:rPr>
            <w:rFonts w:ascii="Times New Roman"/>
            <w:sz w:val="28"/>
          </w:rPr>
          <w:tab/>
        </w:r>
        <w:r>
          <w:rPr>
            <w:spacing w:val="-5"/>
            <w:sz w:val="28"/>
          </w:rPr>
          <w:t>118</w:t>
        </w:r>
      </w:hyperlink>
    </w:p>
    <w:p>
      <w:pPr>
        <w:pStyle w:val="ListParagraph"/>
        <w:numPr>
          <w:ilvl w:val="1"/>
          <w:numId w:val="6"/>
        </w:numPr>
        <w:tabs>
          <w:tab w:pos="1534" w:val="left" w:leader="none"/>
        </w:tabs>
        <w:spacing w:line="330" w:lineRule="exact" w:before="0" w:after="0"/>
        <w:ind w:left="1534" w:right="0" w:hanging="417"/>
        <w:jc w:val="left"/>
        <w:rPr>
          <w:sz w:val="28"/>
        </w:rPr>
      </w:pPr>
      <w:hyperlink w:history="true" w:anchor="_bookmark78">
        <w:r>
          <w:rPr>
            <w:sz w:val="28"/>
          </w:rPr>
          <w:t>Key</w:t>
        </w:r>
        <w:r>
          <w:rPr>
            <w:spacing w:val="-5"/>
            <w:sz w:val="28"/>
          </w:rPr>
          <w:t> </w:t>
        </w:r>
        <w:r>
          <w:rPr>
            <w:sz w:val="28"/>
          </w:rPr>
          <w:t>Developments</w:t>
        </w:r>
        <w:r>
          <w:rPr>
            <w:spacing w:val="-6"/>
            <w:sz w:val="28"/>
          </w:rPr>
          <w:t> </w:t>
        </w:r>
        <w:r>
          <w:rPr>
            <w:sz w:val="28"/>
          </w:rPr>
          <w:t>in</w:t>
        </w:r>
        <w:r>
          <w:rPr>
            <w:spacing w:val="-5"/>
            <w:sz w:val="28"/>
          </w:rPr>
          <w:t> </w:t>
        </w:r>
        <w:r>
          <w:rPr>
            <w:sz w:val="28"/>
          </w:rPr>
          <w:t>EU</w:t>
        </w:r>
        <w:r>
          <w:rPr>
            <w:spacing w:val="-5"/>
            <w:sz w:val="28"/>
          </w:rPr>
          <w:t> </w:t>
        </w:r>
        <w:r>
          <w:rPr>
            <w:sz w:val="28"/>
          </w:rPr>
          <w:t>Case</w:t>
        </w:r>
        <w:r>
          <w:rPr>
            <w:spacing w:val="-4"/>
            <w:sz w:val="28"/>
          </w:rPr>
          <w:t> </w:t>
        </w:r>
        <w:r>
          <w:rPr>
            <w:sz w:val="28"/>
          </w:rPr>
          <w:t>Law</w:t>
        </w:r>
        <w:r>
          <w:rPr>
            <w:spacing w:val="-5"/>
            <w:sz w:val="28"/>
          </w:rPr>
          <w:t> </w:t>
        </w:r>
        <w:r>
          <w:rPr>
            <w:sz w:val="28"/>
          </w:rPr>
          <w:t>relating</w:t>
        </w:r>
        <w:r>
          <w:rPr>
            <w:spacing w:val="-4"/>
            <w:sz w:val="28"/>
          </w:rPr>
          <w:t> </w:t>
        </w:r>
        <w:r>
          <w:rPr>
            <w:sz w:val="28"/>
          </w:rPr>
          <w:t>to</w:t>
        </w:r>
        <w:r>
          <w:rPr>
            <w:spacing w:val="-6"/>
            <w:sz w:val="28"/>
          </w:rPr>
          <w:t> </w:t>
        </w:r>
        <w:r>
          <w:rPr>
            <w:sz w:val="28"/>
          </w:rPr>
          <w:t>Annex</w:t>
        </w:r>
        <w:r>
          <w:rPr>
            <w:spacing w:val="-5"/>
            <w:sz w:val="28"/>
          </w:rPr>
          <w:t> </w:t>
        </w:r>
        <w:r>
          <w:rPr>
            <w:sz w:val="28"/>
          </w:rPr>
          <w:t>1</w:t>
        </w:r>
        <w:r>
          <w:rPr>
            <w:spacing w:val="-5"/>
            <w:sz w:val="28"/>
          </w:rPr>
          <w:t> </w:t>
        </w:r>
        <w:r>
          <w:rPr>
            <w:spacing w:val="-2"/>
            <w:sz w:val="28"/>
          </w:rPr>
          <w:t>Directives</w:t>
        </w:r>
      </w:hyperlink>
    </w:p>
    <w:p>
      <w:pPr>
        <w:pStyle w:val="BodyText"/>
        <w:tabs>
          <w:tab w:pos="10159" w:val="left" w:leader="none"/>
        </w:tabs>
        <w:spacing w:line="330" w:lineRule="exact"/>
        <w:ind w:left="1117"/>
      </w:pPr>
      <w:hyperlink w:history="true" w:anchor="_bookmark78">
        <w:r>
          <w:rPr/>
          <w:t>(January</w:t>
        </w:r>
        <w:r>
          <w:rPr>
            <w:spacing w:val="-2"/>
          </w:rPr>
          <w:t> </w:t>
        </w:r>
        <w:r>
          <w:rPr/>
          <w:t>2022</w:t>
        </w:r>
        <w:r>
          <w:rPr>
            <w:spacing w:val="-2"/>
          </w:rPr>
          <w:t> </w:t>
        </w:r>
        <w:r>
          <w:rPr/>
          <w:t>–</w:t>
        </w:r>
        <w:r>
          <w:rPr>
            <w:spacing w:val="-3"/>
          </w:rPr>
          <w:t> </w:t>
        </w:r>
        <w:r>
          <w:rPr/>
          <w:t>August</w:t>
        </w:r>
        <w:r>
          <w:rPr>
            <w:spacing w:val="-1"/>
          </w:rPr>
          <w:t> </w:t>
        </w:r>
        <w:r>
          <w:rPr>
            <w:spacing w:val="-2"/>
          </w:rPr>
          <w:t>2023)</w:t>
        </w:r>
        <w:r>
          <w:rPr>
            <w:rFonts w:ascii="Times New Roman" w:hAnsi="Times New Roman"/>
          </w:rPr>
          <w:tab/>
        </w:r>
        <w:r>
          <w:rPr>
            <w:spacing w:val="-5"/>
          </w:rPr>
          <w:t>118</w:t>
        </w:r>
      </w:hyperlink>
    </w:p>
    <w:p>
      <w:pPr>
        <w:pStyle w:val="ListParagraph"/>
        <w:numPr>
          <w:ilvl w:val="2"/>
          <w:numId w:val="6"/>
        </w:numPr>
        <w:tabs>
          <w:tab w:pos="1747" w:val="left" w:leader="none"/>
          <w:tab w:pos="10159" w:val="left" w:leader="none"/>
        </w:tabs>
        <w:spacing w:line="330" w:lineRule="exact" w:before="0" w:after="0"/>
        <w:ind w:left="1747" w:right="0" w:hanging="630"/>
        <w:jc w:val="left"/>
        <w:rPr>
          <w:sz w:val="28"/>
        </w:rPr>
      </w:pPr>
      <w:hyperlink w:history="true" w:anchor="_bookmark78">
        <w:r>
          <w:rPr>
            <w:sz w:val="28"/>
          </w:rPr>
          <w:t>Directive</w:t>
        </w:r>
        <w:r>
          <w:rPr>
            <w:spacing w:val="-6"/>
            <w:sz w:val="28"/>
          </w:rPr>
          <w:t> </w:t>
        </w:r>
        <w:r>
          <w:rPr>
            <w:sz w:val="28"/>
          </w:rPr>
          <w:t>2004/113/EC</w:t>
        </w:r>
        <w:r>
          <w:rPr>
            <w:spacing w:val="-6"/>
            <w:sz w:val="28"/>
          </w:rPr>
          <w:t> </w:t>
        </w:r>
        <w:r>
          <w:rPr>
            <w:sz w:val="28"/>
          </w:rPr>
          <w:t>Gender</w:t>
        </w:r>
        <w:r>
          <w:rPr>
            <w:spacing w:val="-6"/>
            <w:sz w:val="28"/>
          </w:rPr>
          <w:t> </w:t>
        </w:r>
        <w:r>
          <w:rPr>
            <w:sz w:val="28"/>
          </w:rPr>
          <w:t>Goods</w:t>
        </w:r>
        <w:r>
          <w:rPr>
            <w:spacing w:val="-6"/>
            <w:sz w:val="28"/>
          </w:rPr>
          <w:t> </w:t>
        </w:r>
        <w:r>
          <w:rPr>
            <w:sz w:val="28"/>
          </w:rPr>
          <w:t>and</w:t>
        </w:r>
        <w:r>
          <w:rPr>
            <w:spacing w:val="-7"/>
            <w:sz w:val="28"/>
          </w:rPr>
          <w:t> </w:t>
        </w:r>
        <w:r>
          <w:rPr>
            <w:sz w:val="28"/>
          </w:rPr>
          <w:t>Services</w:t>
        </w:r>
        <w:r>
          <w:rPr>
            <w:spacing w:val="-6"/>
            <w:sz w:val="28"/>
          </w:rPr>
          <w:t> </w:t>
        </w:r>
        <w:r>
          <w:rPr>
            <w:spacing w:val="-2"/>
            <w:sz w:val="28"/>
          </w:rPr>
          <w:t>Directive</w:t>
        </w:r>
        <w:r>
          <w:rPr>
            <w:rFonts w:ascii="Times New Roman"/>
            <w:sz w:val="28"/>
          </w:rPr>
          <w:tab/>
        </w:r>
        <w:r>
          <w:rPr>
            <w:spacing w:val="-5"/>
            <w:sz w:val="28"/>
          </w:rPr>
          <w:t>118</w:t>
        </w:r>
      </w:hyperlink>
    </w:p>
    <w:p>
      <w:pPr>
        <w:pStyle w:val="ListParagraph"/>
        <w:numPr>
          <w:ilvl w:val="2"/>
          <w:numId w:val="6"/>
        </w:numPr>
        <w:tabs>
          <w:tab w:pos="1747" w:val="left" w:leader="none"/>
          <w:tab w:pos="10159" w:val="left" w:leader="none"/>
        </w:tabs>
        <w:spacing w:line="330" w:lineRule="exact" w:before="0" w:after="0"/>
        <w:ind w:left="1747" w:right="0" w:hanging="630"/>
        <w:jc w:val="left"/>
        <w:rPr>
          <w:sz w:val="28"/>
        </w:rPr>
      </w:pPr>
      <w:hyperlink w:history="true" w:anchor="_bookmark78">
        <w:r>
          <w:rPr>
            <w:sz w:val="28"/>
          </w:rPr>
          <w:t>Directive</w:t>
        </w:r>
        <w:r>
          <w:rPr>
            <w:spacing w:val="-9"/>
            <w:sz w:val="28"/>
          </w:rPr>
          <w:t> </w:t>
        </w:r>
        <w:r>
          <w:rPr>
            <w:sz w:val="28"/>
          </w:rPr>
          <w:t>2006/54/EC</w:t>
        </w:r>
        <w:r>
          <w:rPr>
            <w:spacing w:val="-9"/>
            <w:sz w:val="28"/>
          </w:rPr>
          <w:t> </w:t>
        </w:r>
        <w:r>
          <w:rPr>
            <w:sz w:val="28"/>
          </w:rPr>
          <w:t>Gender</w:t>
        </w:r>
        <w:r>
          <w:rPr>
            <w:spacing w:val="-9"/>
            <w:sz w:val="28"/>
          </w:rPr>
          <w:t> </w:t>
        </w:r>
        <w:r>
          <w:rPr>
            <w:sz w:val="28"/>
          </w:rPr>
          <w:t>Equality</w:t>
        </w:r>
        <w:r>
          <w:rPr>
            <w:spacing w:val="-9"/>
            <w:sz w:val="28"/>
          </w:rPr>
          <w:t> </w:t>
        </w:r>
        <w:r>
          <w:rPr>
            <w:sz w:val="28"/>
          </w:rPr>
          <w:t>(Employment)</w:t>
        </w:r>
        <w:r>
          <w:rPr>
            <w:spacing w:val="-9"/>
            <w:sz w:val="28"/>
          </w:rPr>
          <w:t> </w:t>
        </w:r>
        <w:r>
          <w:rPr>
            <w:spacing w:val="-2"/>
            <w:sz w:val="28"/>
          </w:rPr>
          <w:t>Directive</w:t>
        </w:r>
        <w:r>
          <w:rPr>
            <w:rFonts w:ascii="Times New Roman"/>
            <w:sz w:val="28"/>
          </w:rPr>
          <w:tab/>
        </w:r>
        <w:r>
          <w:rPr>
            <w:spacing w:val="-5"/>
            <w:sz w:val="28"/>
          </w:rPr>
          <w:t>118</w:t>
        </w:r>
      </w:hyperlink>
    </w:p>
    <w:p>
      <w:pPr>
        <w:pStyle w:val="ListParagraph"/>
        <w:numPr>
          <w:ilvl w:val="3"/>
          <w:numId w:val="6"/>
        </w:numPr>
        <w:tabs>
          <w:tab w:pos="1960" w:val="left" w:leader="none"/>
          <w:tab w:pos="10159" w:val="left" w:leader="none"/>
        </w:tabs>
        <w:spacing w:line="336" w:lineRule="exact" w:before="0" w:after="0"/>
        <w:ind w:left="1960" w:right="0" w:hanging="843"/>
        <w:jc w:val="left"/>
        <w:rPr>
          <w:sz w:val="28"/>
        </w:rPr>
      </w:pPr>
      <w:hyperlink w:history="true" w:anchor="_bookmark78">
        <w:r>
          <w:rPr>
            <w:sz w:val="28"/>
          </w:rPr>
          <w:t>Thematic</w:t>
        </w:r>
        <w:r>
          <w:rPr>
            <w:spacing w:val="-7"/>
            <w:sz w:val="28"/>
          </w:rPr>
          <w:t> </w:t>
        </w:r>
        <w:r>
          <w:rPr>
            <w:sz w:val="28"/>
          </w:rPr>
          <w:t>Area:</w:t>
        </w:r>
        <w:r>
          <w:rPr>
            <w:spacing w:val="-7"/>
            <w:sz w:val="28"/>
          </w:rPr>
          <w:t> </w:t>
        </w:r>
        <w:r>
          <w:rPr>
            <w:sz w:val="28"/>
          </w:rPr>
          <w:t>Employment,</w:t>
        </w:r>
        <w:r>
          <w:rPr>
            <w:spacing w:val="-7"/>
            <w:sz w:val="28"/>
          </w:rPr>
          <w:t> </w:t>
        </w:r>
        <w:r>
          <w:rPr>
            <w:sz w:val="28"/>
          </w:rPr>
          <w:t>Pensions</w:t>
        </w:r>
        <w:r>
          <w:rPr>
            <w:spacing w:val="-8"/>
            <w:sz w:val="28"/>
          </w:rPr>
          <w:t> </w:t>
        </w:r>
        <w:r>
          <w:rPr>
            <w:sz w:val="28"/>
          </w:rPr>
          <w:t>and</w:t>
        </w:r>
        <w:r>
          <w:rPr>
            <w:spacing w:val="-8"/>
            <w:sz w:val="28"/>
          </w:rPr>
          <w:t> </w:t>
        </w:r>
        <w:r>
          <w:rPr>
            <w:sz w:val="28"/>
          </w:rPr>
          <w:t>Social</w:t>
        </w:r>
        <w:r>
          <w:rPr>
            <w:spacing w:val="-7"/>
            <w:sz w:val="28"/>
          </w:rPr>
          <w:t> </w:t>
        </w:r>
        <w:r>
          <w:rPr>
            <w:spacing w:val="-2"/>
            <w:sz w:val="28"/>
          </w:rPr>
          <w:t>Security</w:t>
        </w:r>
        <w:r>
          <w:rPr>
            <w:rFonts w:ascii="Times New Roman"/>
            <w:sz w:val="28"/>
          </w:rPr>
          <w:tab/>
        </w:r>
        <w:r>
          <w:rPr>
            <w:spacing w:val="-5"/>
            <w:sz w:val="28"/>
          </w:rPr>
          <w:t>118</w:t>
        </w:r>
      </w:hyperlink>
    </w:p>
    <w:p>
      <w:pPr>
        <w:spacing w:after="0" w:line="336" w:lineRule="exact"/>
        <w:jc w:val="left"/>
        <w:rPr>
          <w:sz w:val="28"/>
        </w:rPr>
        <w:sectPr>
          <w:type w:val="continuous"/>
          <w:pgSz w:w="11910" w:h="16840"/>
          <w:pgMar w:top="1000" w:bottom="280" w:left="300" w:right="280"/>
        </w:sectPr>
      </w:pPr>
    </w:p>
    <w:p>
      <w:pPr>
        <w:tabs>
          <w:tab w:pos="1003" w:val="left" w:leader="none"/>
        </w:tabs>
        <w:spacing w:before="561"/>
        <w:ind w:left="222" w:right="0" w:firstLine="0"/>
        <w:jc w:val="left"/>
        <w:rPr>
          <w:b/>
          <w:sz w:val="24"/>
        </w:rPr>
      </w:pPr>
      <w:r>
        <w:rPr/>
        <mc:AlternateContent>
          <mc:Choice Requires="wps">
            <w:drawing>
              <wp:anchor distT="0" distB="0" distL="0" distR="0" allowOverlap="1" layoutInCell="1" locked="0" behindDoc="1" simplePos="0" relativeHeight="483916288">
                <wp:simplePos x="0" y="0"/>
                <wp:positionH relativeFrom="page">
                  <wp:posOffset>0</wp:posOffset>
                </wp:positionH>
                <wp:positionV relativeFrom="page">
                  <wp:posOffset>0</wp:posOffset>
                </wp:positionV>
                <wp:extent cx="7560309" cy="115506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7560309" cy="1155065"/>
                          <a:chExt cx="7560309" cy="1155065"/>
                        </a:xfrm>
                      </wpg:grpSpPr>
                      <wps:wsp>
                        <wps:cNvPr id="59" name="Graphic 59"/>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60" name="Graphic 60"/>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400192" id="docshapegroup40" coordorigin="0,0" coordsize="11906,1819">
                <v:shape style="position:absolute;left:0;top:0;width:11906;height:1819" id="docshape41"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r>
        <w:rPr>
          <w:b/>
          <w:color w:val="FFFFFF"/>
          <w:spacing w:val="-5"/>
          <w:position w:val="-1"/>
          <w:sz w:val="28"/>
        </w:rPr>
        <w:t>iv</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ListParagraph"/>
        <w:numPr>
          <w:ilvl w:val="2"/>
          <w:numId w:val="6"/>
        </w:numPr>
        <w:tabs>
          <w:tab w:pos="1350" w:val="left" w:leader="none"/>
          <w:tab w:pos="10188" w:val="right" w:leader="none"/>
        </w:tabs>
        <w:spacing w:line="336" w:lineRule="exact" w:before="723" w:after="0"/>
        <w:ind w:left="1350" w:right="0" w:hanging="630"/>
        <w:jc w:val="left"/>
        <w:rPr>
          <w:sz w:val="28"/>
        </w:rPr>
      </w:pPr>
      <w:hyperlink w:history="true" w:anchor="_bookmark79">
        <w:r>
          <w:rPr>
            <w:sz w:val="28"/>
          </w:rPr>
          <w:t>Directive</w:t>
        </w:r>
        <w:r>
          <w:rPr>
            <w:spacing w:val="-8"/>
            <w:sz w:val="28"/>
          </w:rPr>
          <w:t> </w:t>
        </w:r>
        <w:r>
          <w:rPr>
            <w:sz w:val="28"/>
          </w:rPr>
          <w:t>2000/43/EC</w:t>
        </w:r>
        <w:r>
          <w:rPr>
            <w:spacing w:val="-8"/>
            <w:sz w:val="28"/>
          </w:rPr>
          <w:t> </w:t>
        </w:r>
        <w:r>
          <w:rPr>
            <w:sz w:val="28"/>
          </w:rPr>
          <w:t>Race</w:t>
        </w:r>
        <w:r>
          <w:rPr>
            <w:spacing w:val="-8"/>
            <w:sz w:val="28"/>
          </w:rPr>
          <w:t> </w:t>
        </w:r>
        <w:r>
          <w:rPr>
            <w:sz w:val="28"/>
          </w:rPr>
          <w:t>Equality</w:t>
        </w:r>
        <w:r>
          <w:rPr>
            <w:spacing w:val="-7"/>
            <w:sz w:val="28"/>
          </w:rPr>
          <w:t> </w:t>
        </w:r>
        <w:r>
          <w:rPr>
            <w:spacing w:val="-2"/>
            <w:sz w:val="28"/>
          </w:rPr>
          <w:t>Directive</w:t>
        </w:r>
        <w:r>
          <w:rPr>
            <w:rFonts w:ascii="Times New Roman"/>
            <w:sz w:val="28"/>
          </w:rPr>
          <w:tab/>
        </w:r>
        <w:r>
          <w:rPr>
            <w:spacing w:val="-5"/>
            <w:sz w:val="28"/>
          </w:rPr>
          <w:t>120</w:t>
        </w:r>
      </w:hyperlink>
    </w:p>
    <w:p>
      <w:pPr>
        <w:pStyle w:val="ListParagraph"/>
        <w:numPr>
          <w:ilvl w:val="2"/>
          <w:numId w:val="6"/>
        </w:numPr>
        <w:tabs>
          <w:tab w:pos="1350" w:val="left" w:leader="none"/>
          <w:tab w:pos="10188" w:val="right" w:leader="none"/>
        </w:tabs>
        <w:spacing w:line="330" w:lineRule="exact" w:before="0" w:after="0"/>
        <w:ind w:left="1350" w:right="0" w:hanging="630"/>
        <w:jc w:val="left"/>
        <w:rPr>
          <w:sz w:val="28"/>
        </w:rPr>
      </w:pPr>
      <w:hyperlink w:history="true" w:anchor="_bookmark79">
        <w:r>
          <w:rPr>
            <w:sz w:val="28"/>
          </w:rPr>
          <w:t>Directive</w:t>
        </w:r>
        <w:r>
          <w:rPr>
            <w:spacing w:val="-11"/>
            <w:sz w:val="28"/>
          </w:rPr>
          <w:t> </w:t>
        </w:r>
        <w:r>
          <w:rPr>
            <w:sz w:val="28"/>
          </w:rPr>
          <w:t>2000/78/EC</w:t>
        </w:r>
        <w:r>
          <w:rPr>
            <w:spacing w:val="-12"/>
            <w:sz w:val="28"/>
          </w:rPr>
          <w:t> </w:t>
        </w:r>
        <w:r>
          <w:rPr>
            <w:sz w:val="28"/>
          </w:rPr>
          <w:t>General</w:t>
        </w:r>
        <w:r>
          <w:rPr>
            <w:spacing w:val="-11"/>
            <w:sz w:val="28"/>
          </w:rPr>
          <w:t> </w:t>
        </w:r>
        <w:r>
          <w:rPr>
            <w:sz w:val="28"/>
          </w:rPr>
          <w:t>Framework</w:t>
        </w:r>
        <w:r>
          <w:rPr>
            <w:spacing w:val="-11"/>
            <w:sz w:val="28"/>
          </w:rPr>
          <w:t> </w:t>
        </w:r>
        <w:r>
          <w:rPr>
            <w:spacing w:val="-2"/>
            <w:sz w:val="28"/>
          </w:rPr>
          <w:t>Directive</w:t>
        </w:r>
        <w:r>
          <w:rPr>
            <w:rFonts w:ascii="Times New Roman"/>
            <w:sz w:val="28"/>
          </w:rPr>
          <w:tab/>
        </w:r>
        <w:r>
          <w:rPr>
            <w:spacing w:val="-5"/>
            <w:sz w:val="28"/>
          </w:rPr>
          <w:t>120</w:t>
        </w:r>
      </w:hyperlink>
    </w:p>
    <w:p>
      <w:pPr>
        <w:pStyle w:val="ListParagraph"/>
        <w:numPr>
          <w:ilvl w:val="3"/>
          <w:numId w:val="6"/>
        </w:numPr>
        <w:tabs>
          <w:tab w:pos="1563" w:val="left" w:leader="none"/>
        </w:tabs>
        <w:spacing w:line="330" w:lineRule="exact" w:before="0" w:after="0"/>
        <w:ind w:left="1563" w:right="0" w:hanging="843"/>
        <w:jc w:val="left"/>
        <w:rPr>
          <w:sz w:val="28"/>
        </w:rPr>
      </w:pPr>
      <w:hyperlink w:history="true" w:anchor="_bookmark80">
        <w:r>
          <w:rPr>
            <w:sz w:val="28"/>
          </w:rPr>
          <w:t>Thematic</w:t>
        </w:r>
        <w:r>
          <w:rPr>
            <w:spacing w:val="-7"/>
            <w:sz w:val="28"/>
          </w:rPr>
          <w:t> </w:t>
        </w:r>
        <w:r>
          <w:rPr>
            <w:sz w:val="28"/>
          </w:rPr>
          <w:t>Area:</w:t>
        </w:r>
        <w:r>
          <w:rPr>
            <w:spacing w:val="-7"/>
            <w:sz w:val="28"/>
          </w:rPr>
          <w:t> </w:t>
        </w:r>
        <w:r>
          <w:rPr>
            <w:sz w:val="28"/>
          </w:rPr>
          <w:t>Employment,</w:t>
        </w:r>
        <w:r>
          <w:rPr>
            <w:spacing w:val="-7"/>
            <w:sz w:val="28"/>
          </w:rPr>
          <w:t> </w:t>
        </w:r>
        <w:r>
          <w:rPr>
            <w:sz w:val="28"/>
          </w:rPr>
          <w:t>Pensions</w:t>
        </w:r>
        <w:r>
          <w:rPr>
            <w:spacing w:val="-8"/>
            <w:sz w:val="28"/>
          </w:rPr>
          <w:t> </w:t>
        </w:r>
        <w:r>
          <w:rPr>
            <w:sz w:val="28"/>
          </w:rPr>
          <w:t>and</w:t>
        </w:r>
        <w:r>
          <w:rPr>
            <w:spacing w:val="-8"/>
            <w:sz w:val="28"/>
          </w:rPr>
          <w:t> </w:t>
        </w:r>
        <w:r>
          <w:rPr>
            <w:sz w:val="28"/>
          </w:rPr>
          <w:t>Social</w:t>
        </w:r>
        <w:r>
          <w:rPr>
            <w:spacing w:val="-7"/>
            <w:sz w:val="28"/>
          </w:rPr>
          <w:t> </w:t>
        </w:r>
        <w:r>
          <w:rPr>
            <w:spacing w:val="-2"/>
            <w:sz w:val="28"/>
          </w:rPr>
          <w:t>Security</w:t>
        </w:r>
      </w:hyperlink>
    </w:p>
    <w:p>
      <w:pPr>
        <w:pStyle w:val="BodyText"/>
        <w:tabs>
          <w:tab w:pos="10188" w:val="right" w:leader="none"/>
        </w:tabs>
        <w:spacing w:line="330" w:lineRule="exact"/>
        <w:ind w:left="720"/>
      </w:pPr>
      <w:hyperlink w:history="true" w:anchor="_bookmark80">
        <w:r>
          <w:rPr/>
          <w:t>with</w:t>
        </w:r>
        <w:r>
          <w:rPr>
            <w:spacing w:val="-5"/>
          </w:rPr>
          <w:t> </w:t>
        </w:r>
        <w:r>
          <w:rPr/>
          <w:t>a</w:t>
        </w:r>
        <w:r>
          <w:rPr>
            <w:spacing w:val="-5"/>
          </w:rPr>
          <w:t> </w:t>
        </w:r>
        <w:r>
          <w:rPr/>
          <w:t>specific</w:t>
        </w:r>
        <w:r>
          <w:rPr>
            <w:spacing w:val="-4"/>
          </w:rPr>
          <w:t> </w:t>
        </w:r>
        <w:r>
          <w:rPr/>
          <w:t>focus</w:t>
        </w:r>
        <w:r>
          <w:rPr>
            <w:spacing w:val="-5"/>
          </w:rPr>
          <w:t> </w:t>
        </w:r>
        <w:r>
          <w:rPr/>
          <w:t>on</w:t>
        </w:r>
        <w:r>
          <w:rPr>
            <w:spacing w:val="-5"/>
          </w:rPr>
          <w:t> </w:t>
        </w:r>
        <w:r>
          <w:rPr/>
          <w:t>age</w:t>
        </w:r>
        <w:r>
          <w:rPr>
            <w:spacing w:val="-4"/>
          </w:rPr>
          <w:t> </w:t>
        </w:r>
        <w:r>
          <w:rPr>
            <w:spacing w:val="-2"/>
          </w:rPr>
          <w:t>discrimination</w:t>
        </w:r>
        <w:r>
          <w:rPr>
            <w:rFonts w:ascii="Times New Roman"/>
          </w:rPr>
          <w:tab/>
        </w:r>
        <w:r>
          <w:rPr>
            <w:spacing w:val="-5"/>
          </w:rPr>
          <w:t>121</w:t>
        </w:r>
      </w:hyperlink>
    </w:p>
    <w:p>
      <w:pPr>
        <w:pStyle w:val="ListParagraph"/>
        <w:numPr>
          <w:ilvl w:val="3"/>
          <w:numId w:val="6"/>
        </w:numPr>
        <w:tabs>
          <w:tab w:pos="1563" w:val="left" w:leader="none"/>
        </w:tabs>
        <w:spacing w:line="330" w:lineRule="exact" w:before="0" w:after="0"/>
        <w:ind w:left="1563" w:right="0" w:hanging="843"/>
        <w:jc w:val="left"/>
        <w:rPr>
          <w:sz w:val="28"/>
        </w:rPr>
      </w:pPr>
      <w:hyperlink w:history="true" w:anchor="_bookmark81">
        <w:r>
          <w:rPr>
            <w:sz w:val="28"/>
          </w:rPr>
          <w:t>Thematic</w:t>
        </w:r>
        <w:r>
          <w:rPr>
            <w:spacing w:val="-6"/>
            <w:sz w:val="28"/>
          </w:rPr>
          <w:t> </w:t>
        </w:r>
        <w:r>
          <w:rPr>
            <w:sz w:val="28"/>
          </w:rPr>
          <w:t>Area:</w:t>
        </w:r>
        <w:r>
          <w:rPr>
            <w:spacing w:val="-5"/>
            <w:sz w:val="28"/>
          </w:rPr>
          <w:t> </w:t>
        </w:r>
        <w:r>
          <w:rPr>
            <w:sz w:val="28"/>
          </w:rPr>
          <w:t>Employment</w:t>
        </w:r>
        <w:r>
          <w:rPr>
            <w:spacing w:val="-6"/>
            <w:sz w:val="28"/>
          </w:rPr>
          <w:t> </w:t>
        </w:r>
        <w:r>
          <w:rPr>
            <w:sz w:val="28"/>
          </w:rPr>
          <w:t>with</w:t>
        </w:r>
        <w:r>
          <w:rPr>
            <w:spacing w:val="-6"/>
            <w:sz w:val="28"/>
          </w:rPr>
          <w:t> </w:t>
        </w:r>
        <w:r>
          <w:rPr>
            <w:sz w:val="28"/>
          </w:rPr>
          <w:t>a</w:t>
        </w:r>
        <w:r>
          <w:rPr>
            <w:spacing w:val="-7"/>
            <w:sz w:val="28"/>
          </w:rPr>
          <w:t> </w:t>
        </w:r>
        <w:r>
          <w:rPr>
            <w:sz w:val="28"/>
          </w:rPr>
          <w:t>specific</w:t>
        </w:r>
        <w:r>
          <w:rPr>
            <w:spacing w:val="-5"/>
            <w:sz w:val="28"/>
          </w:rPr>
          <w:t> </w:t>
        </w:r>
        <w:r>
          <w:rPr>
            <w:sz w:val="28"/>
          </w:rPr>
          <w:t>focus</w:t>
        </w:r>
        <w:r>
          <w:rPr>
            <w:spacing w:val="-6"/>
            <w:sz w:val="28"/>
          </w:rPr>
          <w:t> </w:t>
        </w:r>
        <w:r>
          <w:rPr>
            <w:sz w:val="28"/>
          </w:rPr>
          <w:t>on</w:t>
        </w:r>
        <w:r>
          <w:rPr>
            <w:spacing w:val="-7"/>
            <w:sz w:val="28"/>
          </w:rPr>
          <w:t> </w:t>
        </w:r>
        <w:r>
          <w:rPr>
            <w:spacing w:val="-2"/>
            <w:sz w:val="28"/>
          </w:rPr>
          <w:t>sexual</w:t>
        </w:r>
      </w:hyperlink>
    </w:p>
    <w:p>
      <w:pPr>
        <w:pStyle w:val="BodyText"/>
        <w:tabs>
          <w:tab w:pos="10188" w:val="right" w:leader="none"/>
        </w:tabs>
        <w:spacing w:line="330" w:lineRule="exact"/>
        <w:ind w:left="720"/>
      </w:pPr>
      <w:hyperlink w:history="true" w:anchor="_bookmark81">
        <w:r>
          <w:rPr>
            <w:spacing w:val="-2"/>
          </w:rPr>
          <w:t>orientation</w:t>
        </w:r>
        <w:r>
          <w:rPr>
            <w:spacing w:val="-1"/>
          </w:rPr>
          <w:t> </w:t>
        </w:r>
        <w:r>
          <w:rPr>
            <w:spacing w:val="-2"/>
          </w:rPr>
          <w:t>discrimination</w:t>
        </w:r>
        <w:r>
          <w:rPr>
            <w:rFonts w:ascii="Times New Roman"/>
          </w:rPr>
          <w:tab/>
        </w:r>
        <w:r>
          <w:rPr>
            <w:spacing w:val="-5"/>
          </w:rPr>
          <w:t>126</w:t>
        </w:r>
      </w:hyperlink>
    </w:p>
    <w:p>
      <w:pPr>
        <w:pStyle w:val="ListParagraph"/>
        <w:numPr>
          <w:ilvl w:val="3"/>
          <w:numId w:val="6"/>
        </w:numPr>
        <w:tabs>
          <w:tab w:pos="1563" w:val="left" w:leader="none"/>
          <w:tab w:pos="10188" w:val="right" w:leader="none"/>
        </w:tabs>
        <w:spacing w:line="330" w:lineRule="exact" w:before="0" w:after="0"/>
        <w:ind w:left="1563" w:right="0" w:hanging="843"/>
        <w:jc w:val="left"/>
        <w:rPr>
          <w:sz w:val="28"/>
        </w:rPr>
      </w:pPr>
      <w:hyperlink w:history="true" w:anchor="_bookmark82">
        <w:r>
          <w:rPr>
            <w:sz w:val="28"/>
          </w:rPr>
          <w:t>Thematic</w:t>
        </w:r>
        <w:r>
          <w:rPr>
            <w:spacing w:val="-9"/>
            <w:sz w:val="28"/>
          </w:rPr>
          <w:t> </w:t>
        </w:r>
        <w:r>
          <w:rPr>
            <w:sz w:val="28"/>
          </w:rPr>
          <w:t>Area:</w:t>
        </w:r>
        <w:r>
          <w:rPr>
            <w:spacing w:val="-8"/>
            <w:sz w:val="28"/>
          </w:rPr>
          <w:t> </w:t>
        </w:r>
        <w:r>
          <w:rPr>
            <w:sz w:val="28"/>
          </w:rPr>
          <w:t>Religion</w:t>
        </w:r>
        <w:r>
          <w:rPr>
            <w:spacing w:val="-8"/>
            <w:sz w:val="28"/>
          </w:rPr>
          <w:t> </w:t>
        </w:r>
        <w:r>
          <w:rPr>
            <w:sz w:val="28"/>
          </w:rPr>
          <w:t>in</w:t>
        </w:r>
        <w:r>
          <w:rPr>
            <w:spacing w:val="-9"/>
            <w:sz w:val="28"/>
          </w:rPr>
          <w:t> </w:t>
        </w:r>
        <w:r>
          <w:rPr>
            <w:sz w:val="28"/>
          </w:rPr>
          <w:t>the</w:t>
        </w:r>
        <w:r>
          <w:rPr>
            <w:spacing w:val="-8"/>
            <w:sz w:val="28"/>
          </w:rPr>
          <w:t> </w:t>
        </w:r>
        <w:r>
          <w:rPr>
            <w:sz w:val="28"/>
          </w:rPr>
          <w:t>Workplace</w:t>
        </w:r>
        <w:r>
          <w:rPr>
            <w:spacing w:val="-8"/>
            <w:sz w:val="28"/>
          </w:rPr>
          <w:t> </w:t>
        </w:r>
        <w:r>
          <w:rPr>
            <w:sz w:val="28"/>
          </w:rPr>
          <w:t>and</w:t>
        </w:r>
        <w:r>
          <w:rPr>
            <w:spacing w:val="-9"/>
            <w:sz w:val="28"/>
          </w:rPr>
          <w:t> </w:t>
        </w:r>
        <w:r>
          <w:rPr>
            <w:sz w:val="28"/>
          </w:rPr>
          <w:t>Fixed</w:t>
        </w:r>
        <w:r>
          <w:rPr>
            <w:spacing w:val="-9"/>
            <w:sz w:val="28"/>
          </w:rPr>
          <w:t> </w:t>
        </w:r>
        <w:r>
          <w:rPr>
            <w:sz w:val="28"/>
          </w:rPr>
          <w:t>Term</w:t>
        </w:r>
        <w:r>
          <w:rPr>
            <w:spacing w:val="-8"/>
            <w:sz w:val="28"/>
          </w:rPr>
          <w:t> </w:t>
        </w:r>
        <w:r>
          <w:rPr>
            <w:spacing w:val="-2"/>
            <w:sz w:val="28"/>
          </w:rPr>
          <w:t>Employment</w:t>
        </w:r>
        <w:r>
          <w:rPr>
            <w:rFonts w:ascii="Times New Roman"/>
            <w:sz w:val="28"/>
          </w:rPr>
          <w:tab/>
        </w:r>
        <w:r>
          <w:rPr>
            <w:spacing w:val="-5"/>
            <w:sz w:val="28"/>
          </w:rPr>
          <w:t>127</w:t>
        </w:r>
      </w:hyperlink>
    </w:p>
    <w:p>
      <w:pPr>
        <w:pStyle w:val="ListParagraph"/>
        <w:numPr>
          <w:ilvl w:val="3"/>
          <w:numId w:val="6"/>
        </w:numPr>
        <w:tabs>
          <w:tab w:pos="1563" w:val="left" w:leader="none"/>
          <w:tab w:pos="10188" w:val="right" w:leader="none"/>
        </w:tabs>
        <w:spacing w:line="330" w:lineRule="exact" w:before="0" w:after="0"/>
        <w:ind w:left="1563" w:right="0" w:hanging="843"/>
        <w:jc w:val="left"/>
        <w:rPr>
          <w:sz w:val="28"/>
        </w:rPr>
      </w:pPr>
      <w:hyperlink w:history="true" w:anchor="_bookmark83">
        <w:r>
          <w:rPr>
            <w:sz w:val="28"/>
          </w:rPr>
          <w:t>Thematic</w:t>
        </w:r>
        <w:r>
          <w:rPr>
            <w:spacing w:val="-5"/>
            <w:sz w:val="28"/>
          </w:rPr>
          <w:t> </w:t>
        </w:r>
        <w:r>
          <w:rPr>
            <w:sz w:val="28"/>
          </w:rPr>
          <w:t>Area:</w:t>
        </w:r>
        <w:r>
          <w:rPr>
            <w:spacing w:val="-4"/>
            <w:sz w:val="28"/>
          </w:rPr>
          <w:t> </w:t>
        </w:r>
        <w:r>
          <w:rPr>
            <w:sz w:val="28"/>
          </w:rPr>
          <w:t>Disability</w:t>
        </w:r>
        <w:r>
          <w:rPr>
            <w:spacing w:val="-4"/>
            <w:sz w:val="28"/>
          </w:rPr>
          <w:t> </w:t>
        </w:r>
        <w:r>
          <w:rPr>
            <w:sz w:val="28"/>
          </w:rPr>
          <w:t>Discrimination</w:t>
        </w:r>
        <w:r>
          <w:rPr>
            <w:spacing w:val="-6"/>
            <w:sz w:val="28"/>
          </w:rPr>
          <w:t> </w:t>
        </w:r>
        <w:r>
          <w:rPr>
            <w:sz w:val="28"/>
          </w:rPr>
          <w:t>and</w:t>
        </w:r>
        <w:r>
          <w:rPr>
            <w:spacing w:val="-5"/>
            <w:sz w:val="28"/>
          </w:rPr>
          <w:t> </w:t>
        </w:r>
        <w:r>
          <w:rPr>
            <w:spacing w:val="-2"/>
            <w:sz w:val="28"/>
          </w:rPr>
          <w:t>Employment</w:t>
        </w:r>
        <w:r>
          <w:rPr>
            <w:rFonts w:ascii="Times New Roman"/>
            <w:sz w:val="28"/>
          </w:rPr>
          <w:tab/>
        </w:r>
        <w:r>
          <w:rPr>
            <w:spacing w:val="-5"/>
            <w:sz w:val="28"/>
          </w:rPr>
          <w:t>128</w:t>
        </w:r>
      </w:hyperlink>
    </w:p>
    <w:p>
      <w:pPr>
        <w:pStyle w:val="ListParagraph"/>
        <w:numPr>
          <w:ilvl w:val="2"/>
          <w:numId w:val="6"/>
        </w:numPr>
        <w:tabs>
          <w:tab w:pos="1350" w:val="left" w:leader="none"/>
          <w:tab w:pos="10188" w:val="right" w:leader="none"/>
        </w:tabs>
        <w:spacing w:line="330" w:lineRule="exact" w:before="0" w:after="0"/>
        <w:ind w:left="1350" w:right="0" w:hanging="630"/>
        <w:jc w:val="left"/>
        <w:rPr>
          <w:sz w:val="28"/>
        </w:rPr>
      </w:pPr>
      <w:hyperlink w:history="true" w:anchor="_bookmark84">
        <w:r>
          <w:rPr>
            <w:sz w:val="28"/>
          </w:rPr>
          <w:t>Directive</w:t>
        </w:r>
        <w:r>
          <w:rPr>
            <w:spacing w:val="-11"/>
            <w:sz w:val="28"/>
          </w:rPr>
          <w:t> </w:t>
        </w:r>
        <w:r>
          <w:rPr>
            <w:sz w:val="28"/>
          </w:rPr>
          <w:t>2010/41/EU</w:t>
        </w:r>
        <w:r>
          <w:rPr>
            <w:spacing w:val="-10"/>
            <w:sz w:val="28"/>
          </w:rPr>
          <w:t> </w:t>
        </w:r>
        <w:r>
          <w:rPr>
            <w:sz w:val="28"/>
          </w:rPr>
          <w:t>Self-Employment</w:t>
        </w:r>
        <w:r>
          <w:rPr>
            <w:spacing w:val="-11"/>
            <w:sz w:val="28"/>
          </w:rPr>
          <w:t> </w:t>
        </w:r>
        <w:r>
          <w:rPr>
            <w:sz w:val="28"/>
          </w:rPr>
          <w:t>Equality</w:t>
        </w:r>
        <w:r>
          <w:rPr>
            <w:spacing w:val="-10"/>
            <w:sz w:val="28"/>
          </w:rPr>
          <w:t> </w:t>
        </w:r>
        <w:r>
          <w:rPr>
            <w:spacing w:val="-2"/>
            <w:sz w:val="28"/>
          </w:rPr>
          <w:t>Directive</w:t>
        </w:r>
        <w:r>
          <w:rPr>
            <w:rFonts w:ascii="Times New Roman"/>
            <w:sz w:val="28"/>
          </w:rPr>
          <w:tab/>
        </w:r>
        <w:r>
          <w:rPr>
            <w:spacing w:val="-5"/>
            <w:sz w:val="28"/>
          </w:rPr>
          <w:t>129</w:t>
        </w:r>
      </w:hyperlink>
    </w:p>
    <w:p>
      <w:pPr>
        <w:pStyle w:val="ListParagraph"/>
        <w:numPr>
          <w:ilvl w:val="2"/>
          <w:numId w:val="6"/>
        </w:numPr>
        <w:tabs>
          <w:tab w:pos="1350" w:val="left" w:leader="none"/>
        </w:tabs>
        <w:spacing w:line="330" w:lineRule="exact" w:before="0" w:after="0"/>
        <w:ind w:left="1350" w:right="0" w:hanging="630"/>
        <w:jc w:val="left"/>
        <w:rPr>
          <w:sz w:val="28"/>
        </w:rPr>
      </w:pPr>
      <w:hyperlink w:history="true" w:anchor="_bookmark84">
        <w:r>
          <w:rPr>
            <w:sz w:val="28"/>
          </w:rPr>
          <w:t>Directive</w:t>
        </w:r>
        <w:r>
          <w:rPr>
            <w:spacing w:val="-4"/>
            <w:sz w:val="28"/>
          </w:rPr>
          <w:t> </w:t>
        </w:r>
        <w:r>
          <w:rPr>
            <w:sz w:val="28"/>
          </w:rPr>
          <w:t>79/7/EEC</w:t>
        </w:r>
        <w:r>
          <w:rPr>
            <w:spacing w:val="-5"/>
            <w:sz w:val="28"/>
          </w:rPr>
          <w:t> </w:t>
        </w:r>
        <w:r>
          <w:rPr>
            <w:sz w:val="28"/>
          </w:rPr>
          <w:t>of</w:t>
        </w:r>
        <w:r>
          <w:rPr>
            <w:spacing w:val="-4"/>
            <w:sz w:val="28"/>
          </w:rPr>
          <w:t> </w:t>
        </w:r>
        <w:r>
          <w:rPr>
            <w:sz w:val="28"/>
          </w:rPr>
          <w:t>19</w:t>
        </w:r>
        <w:r>
          <w:rPr>
            <w:spacing w:val="-4"/>
            <w:sz w:val="28"/>
          </w:rPr>
          <w:t> </w:t>
        </w:r>
        <w:r>
          <w:rPr>
            <w:sz w:val="28"/>
          </w:rPr>
          <w:t>December</w:t>
        </w:r>
        <w:r>
          <w:rPr>
            <w:spacing w:val="-4"/>
            <w:sz w:val="28"/>
          </w:rPr>
          <w:t> </w:t>
        </w:r>
        <w:r>
          <w:rPr>
            <w:sz w:val="28"/>
          </w:rPr>
          <w:t>1978</w:t>
        </w:r>
        <w:r>
          <w:rPr>
            <w:spacing w:val="-4"/>
            <w:sz w:val="28"/>
          </w:rPr>
          <w:t> </w:t>
        </w:r>
        <w:r>
          <w:rPr>
            <w:sz w:val="28"/>
          </w:rPr>
          <w:t>Equality</w:t>
        </w:r>
        <w:r>
          <w:rPr>
            <w:spacing w:val="-3"/>
            <w:sz w:val="28"/>
          </w:rPr>
          <w:t> </w:t>
        </w:r>
        <w:r>
          <w:rPr>
            <w:sz w:val="28"/>
          </w:rPr>
          <w:t>in</w:t>
        </w:r>
        <w:r>
          <w:rPr>
            <w:spacing w:val="-5"/>
            <w:sz w:val="28"/>
          </w:rPr>
          <w:t> </w:t>
        </w:r>
        <w:r>
          <w:rPr>
            <w:spacing w:val="-2"/>
            <w:sz w:val="28"/>
          </w:rPr>
          <w:t>Social</w:t>
        </w:r>
      </w:hyperlink>
    </w:p>
    <w:p>
      <w:pPr>
        <w:pStyle w:val="BodyText"/>
        <w:tabs>
          <w:tab w:pos="10188" w:val="right" w:leader="none"/>
        </w:tabs>
        <w:spacing w:line="330" w:lineRule="exact"/>
        <w:ind w:left="720"/>
      </w:pPr>
      <w:hyperlink w:history="true" w:anchor="_bookmark84">
        <w:r>
          <w:rPr/>
          <w:t>Security </w:t>
        </w:r>
        <w:r>
          <w:rPr>
            <w:spacing w:val="-2"/>
          </w:rPr>
          <w:t>Directive</w:t>
        </w:r>
        <w:r>
          <w:rPr>
            <w:rFonts w:ascii="Times New Roman"/>
          </w:rPr>
          <w:tab/>
        </w:r>
        <w:r>
          <w:rPr>
            <w:spacing w:val="-5"/>
          </w:rPr>
          <w:t>129</w:t>
        </w:r>
      </w:hyperlink>
    </w:p>
    <w:p>
      <w:pPr>
        <w:pStyle w:val="ListParagraph"/>
        <w:numPr>
          <w:ilvl w:val="3"/>
          <w:numId w:val="6"/>
        </w:numPr>
        <w:tabs>
          <w:tab w:pos="1563" w:val="left" w:leader="none"/>
          <w:tab w:pos="10188" w:val="right" w:leader="none"/>
        </w:tabs>
        <w:spacing w:line="330" w:lineRule="exact" w:before="0" w:after="0"/>
        <w:ind w:left="1563" w:right="0" w:hanging="843"/>
        <w:jc w:val="left"/>
        <w:rPr>
          <w:sz w:val="28"/>
        </w:rPr>
      </w:pPr>
      <w:hyperlink w:history="true" w:anchor="_bookmark84">
        <w:r>
          <w:rPr>
            <w:sz w:val="28"/>
          </w:rPr>
          <w:t>Thematic</w:t>
        </w:r>
        <w:r>
          <w:rPr>
            <w:spacing w:val="-7"/>
            <w:sz w:val="28"/>
          </w:rPr>
          <w:t> </w:t>
        </w:r>
        <w:r>
          <w:rPr>
            <w:sz w:val="28"/>
          </w:rPr>
          <w:t>Area:</w:t>
        </w:r>
        <w:r>
          <w:rPr>
            <w:spacing w:val="-7"/>
            <w:sz w:val="28"/>
          </w:rPr>
          <w:t> </w:t>
        </w:r>
        <w:r>
          <w:rPr>
            <w:sz w:val="28"/>
          </w:rPr>
          <w:t>Employment,</w:t>
        </w:r>
        <w:r>
          <w:rPr>
            <w:spacing w:val="-7"/>
            <w:sz w:val="28"/>
          </w:rPr>
          <w:t> </w:t>
        </w:r>
        <w:r>
          <w:rPr>
            <w:sz w:val="28"/>
          </w:rPr>
          <w:t>Pensions</w:t>
        </w:r>
        <w:r>
          <w:rPr>
            <w:spacing w:val="-8"/>
            <w:sz w:val="28"/>
          </w:rPr>
          <w:t> </w:t>
        </w:r>
        <w:r>
          <w:rPr>
            <w:sz w:val="28"/>
          </w:rPr>
          <w:t>and</w:t>
        </w:r>
        <w:r>
          <w:rPr>
            <w:spacing w:val="-8"/>
            <w:sz w:val="28"/>
          </w:rPr>
          <w:t> </w:t>
        </w:r>
        <w:r>
          <w:rPr>
            <w:sz w:val="28"/>
          </w:rPr>
          <w:t>Social</w:t>
        </w:r>
        <w:r>
          <w:rPr>
            <w:spacing w:val="-7"/>
            <w:sz w:val="28"/>
          </w:rPr>
          <w:t> </w:t>
        </w:r>
        <w:r>
          <w:rPr>
            <w:spacing w:val="-2"/>
            <w:sz w:val="28"/>
          </w:rPr>
          <w:t>Security</w:t>
        </w:r>
        <w:r>
          <w:rPr>
            <w:rFonts w:ascii="Times New Roman"/>
            <w:sz w:val="28"/>
          </w:rPr>
          <w:tab/>
        </w:r>
        <w:r>
          <w:rPr>
            <w:spacing w:val="-5"/>
            <w:sz w:val="28"/>
          </w:rPr>
          <w:t>129</w:t>
        </w:r>
      </w:hyperlink>
    </w:p>
    <w:p>
      <w:pPr>
        <w:pStyle w:val="ListParagraph"/>
        <w:numPr>
          <w:ilvl w:val="1"/>
          <w:numId w:val="6"/>
        </w:numPr>
        <w:tabs>
          <w:tab w:pos="1137" w:val="left" w:leader="none"/>
          <w:tab w:pos="10188" w:val="right" w:leader="none"/>
        </w:tabs>
        <w:spacing w:line="336" w:lineRule="exact" w:before="0" w:after="0"/>
        <w:ind w:left="1137" w:right="0" w:hanging="417"/>
        <w:jc w:val="left"/>
        <w:rPr>
          <w:sz w:val="28"/>
        </w:rPr>
      </w:pPr>
      <w:hyperlink w:history="true" w:anchor="_bookmark85">
        <w:r>
          <w:rPr>
            <w:spacing w:val="-2"/>
            <w:sz w:val="28"/>
          </w:rPr>
          <w:t>Conclusion</w:t>
        </w:r>
        <w:r>
          <w:rPr>
            <w:rFonts w:ascii="Times New Roman"/>
            <w:sz w:val="28"/>
          </w:rPr>
          <w:tab/>
        </w:r>
        <w:r>
          <w:rPr>
            <w:spacing w:val="-5"/>
            <w:sz w:val="28"/>
          </w:rPr>
          <w:t>131</w:t>
        </w:r>
      </w:hyperlink>
    </w:p>
    <w:p>
      <w:pPr>
        <w:pStyle w:val="Heading3"/>
        <w:tabs>
          <w:tab w:pos="10188" w:val="right" w:leader="none"/>
        </w:tabs>
        <w:spacing w:line="240" w:lineRule="auto" w:before="272"/>
        <w:ind w:left="720" w:firstLine="0"/>
      </w:pPr>
      <w:r>
        <w:rPr/>
        <mc:AlternateContent>
          <mc:Choice Requires="wps">
            <w:drawing>
              <wp:anchor distT="0" distB="0" distL="0" distR="0" allowOverlap="1" layoutInCell="1" locked="0" behindDoc="0" simplePos="0" relativeHeight="15737856">
                <wp:simplePos x="0" y="0"/>
                <wp:positionH relativeFrom="page">
                  <wp:posOffset>647999</wp:posOffset>
                </wp:positionH>
                <wp:positionV relativeFrom="paragraph">
                  <wp:posOffset>119827</wp:posOffset>
                </wp:positionV>
                <wp:extent cx="6012180" cy="127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51.023602pt,9.435212pt" to="524.409602pt,9.435212pt" stroked="true" strokeweight="1pt" strokecolor="#36a9e1">
                <v:stroke dashstyle="solid"/>
                <w10:wrap type="none"/>
              </v:line>
            </w:pict>
          </mc:Fallback>
        </mc:AlternateContent>
      </w:r>
      <w:hyperlink w:history="true" w:anchor="_bookmark86">
        <w:r>
          <w:rPr>
            <w:color w:val="164194"/>
          </w:rPr>
          <w:t>Chapter</w:t>
        </w:r>
        <w:r>
          <w:rPr>
            <w:color w:val="164194"/>
            <w:spacing w:val="-7"/>
          </w:rPr>
          <w:t> </w:t>
        </w:r>
        <w:r>
          <w:rPr>
            <w:color w:val="164194"/>
          </w:rPr>
          <w:t>7:</w:t>
        </w:r>
        <w:r>
          <w:rPr>
            <w:color w:val="164194"/>
            <w:spacing w:val="-5"/>
          </w:rPr>
          <w:t> </w:t>
        </w:r>
        <w:r>
          <w:rPr>
            <w:color w:val="164194"/>
          </w:rPr>
          <w:t>EU</w:t>
        </w:r>
        <w:r>
          <w:rPr>
            <w:color w:val="164194"/>
            <w:spacing w:val="-5"/>
          </w:rPr>
          <w:t> </w:t>
        </w:r>
        <w:r>
          <w:rPr>
            <w:color w:val="164194"/>
          </w:rPr>
          <w:t>Policy</w:t>
        </w:r>
        <w:r>
          <w:rPr>
            <w:color w:val="164194"/>
            <w:spacing w:val="-6"/>
          </w:rPr>
          <w:t> </w:t>
        </w:r>
        <w:r>
          <w:rPr>
            <w:color w:val="164194"/>
          </w:rPr>
          <w:t>Developments</w:t>
        </w:r>
        <w:r>
          <w:rPr>
            <w:color w:val="164194"/>
            <w:spacing w:val="-5"/>
          </w:rPr>
          <w:t> </w:t>
        </w:r>
        <w:r>
          <w:rPr>
            <w:color w:val="164194"/>
          </w:rPr>
          <w:t>and</w:t>
        </w:r>
        <w:r>
          <w:rPr>
            <w:color w:val="164194"/>
            <w:spacing w:val="-5"/>
          </w:rPr>
          <w:t> </w:t>
        </w:r>
        <w:r>
          <w:rPr>
            <w:color w:val="164194"/>
          </w:rPr>
          <w:t>Initiatives</w:t>
        </w:r>
        <w:r>
          <w:rPr>
            <w:color w:val="164194"/>
            <w:spacing w:val="-6"/>
          </w:rPr>
          <w:t> </w:t>
        </w:r>
        <w:r>
          <w:rPr>
            <w:color w:val="164194"/>
          </w:rPr>
          <w:t>since</w:t>
        </w:r>
        <w:r>
          <w:rPr>
            <w:color w:val="164194"/>
            <w:spacing w:val="-6"/>
          </w:rPr>
          <w:t> </w:t>
        </w:r>
        <w:r>
          <w:rPr>
            <w:color w:val="164194"/>
          </w:rPr>
          <w:t>January</w:t>
        </w:r>
        <w:r>
          <w:rPr>
            <w:color w:val="164194"/>
            <w:spacing w:val="-5"/>
          </w:rPr>
          <w:t> </w:t>
        </w:r>
        <w:r>
          <w:rPr>
            <w:color w:val="164194"/>
            <w:spacing w:val="-4"/>
          </w:rPr>
          <w:t>2022</w:t>
        </w:r>
        <w:r>
          <w:rPr>
            <w:rFonts w:ascii="Times New Roman"/>
            <w:b w:val="0"/>
            <w:color w:val="164194"/>
          </w:rPr>
          <w:tab/>
        </w:r>
        <w:r>
          <w:rPr>
            <w:color w:val="164194"/>
            <w:spacing w:val="-5"/>
          </w:rPr>
          <w:t>133</w:t>
        </w:r>
      </w:hyperlink>
    </w:p>
    <w:p>
      <w:pPr>
        <w:pStyle w:val="ListParagraph"/>
        <w:numPr>
          <w:ilvl w:val="1"/>
          <w:numId w:val="7"/>
        </w:numPr>
        <w:tabs>
          <w:tab w:pos="1137" w:val="left" w:leader="none"/>
          <w:tab w:pos="10188" w:val="right" w:leader="none"/>
        </w:tabs>
        <w:spacing w:line="336" w:lineRule="exact" w:before="102" w:after="0"/>
        <w:ind w:left="1137" w:right="0" w:hanging="417"/>
        <w:jc w:val="left"/>
        <w:rPr>
          <w:sz w:val="28"/>
        </w:rPr>
      </w:pPr>
      <w:hyperlink w:history="true" w:anchor="_bookmark86">
        <w:r>
          <w:rPr>
            <w:spacing w:val="-2"/>
            <w:sz w:val="28"/>
          </w:rPr>
          <w:t>Introduction</w:t>
        </w:r>
        <w:r>
          <w:rPr>
            <w:rFonts w:ascii="Times New Roman"/>
            <w:sz w:val="28"/>
          </w:rPr>
          <w:tab/>
        </w:r>
        <w:r>
          <w:rPr>
            <w:spacing w:val="-5"/>
            <w:sz w:val="28"/>
          </w:rPr>
          <w:t>133</w:t>
        </w:r>
      </w:hyperlink>
    </w:p>
    <w:p>
      <w:pPr>
        <w:pStyle w:val="ListParagraph"/>
        <w:numPr>
          <w:ilvl w:val="1"/>
          <w:numId w:val="7"/>
        </w:numPr>
        <w:tabs>
          <w:tab w:pos="1137" w:val="left" w:leader="none"/>
          <w:tab w:pos="10188" w:val="right" w:leader="none"/>
        </w:tabs>
        <w:spacing w:line="330" w:lineRule="exact" w:before="0" w:after="0"/>
        <w:ind w:left="1137" w:right="0" w:hanging="417"/>
        <w:jc w:val="left"/>
        <w:rPr>
          <w:sz w:val="28"/>
        </w:rPr>
      </w:pPr>
      <w:hyperlink w:history="true" w:anchor="_bookmark87">
        <w:r>
          <w:rPr>
            <w:sz w:val="28"/>
          </w:rPr>
          <w:t>Relevance</w:t>
        </w:r>
        <w:r>
          <w:rPr>
            <w:spacing w:val="-8"/>
            <w:sz w:val="28"/>
          </w:rPr>
          <w:t> </w:t>
        </w:r>
        <w:r>
          <w:rPr>
            <w:sz w:val="28"/>
          </w:rPr>
          <w:t>to</w:t>
        </w:r>
        <w:r>
          <w:rPr>
            <w:spacing w:val="-8"/>
            <w:sz w:val="28"/>
          </w:rPr>
          <w:t> </w:t>
        </w:r>
        <w:r>
          <w:rPr>
            <w:sz w:val="28"/>
          </w:rPr>
          <w:t>Northern</w:t>
        </w:r>
        <w:r>
          <w:rPr>
            <w:spacing w:val="-8"/>
            <w:sz w:val="28"/>
          </w:rPr>
          <w:t> </w:t>
        </w:r>
        <w:r>
          <w:rPr>
            <w:spacing w:val="-2"/>
            <w:sz w:val="28"/>
          </w:rPr>
          <w:t>Ireland</w:t>
        </w:r>
        <w:r>
          <w:rPr>
            <w:rFonts w:ascii="Times New Roman"/>
            <w:sz w:val="28"/>
          </w:rPr>
          <w:tab/>
        </w:r>
        <w:r>
          <w:rPr>
            <w:spacing w:val="-5"/>
            <w:sz w:val="28"/>
          </w:rPr>
          <w:t>134</w:t>
        </w:r>
      </w:hyperlink>
    </w:p>
    <w:p>
      <w:pPr>
        <w:pStyle w:val="ListParagraph"/>
        <w:numPr>
          <w:ilvl w:val="1"/>
          <w:numId w:val="7"/>
        </w:numPr>
        <w:tabs>
          <w:tab w:pos="1137" w:val="left" w:leader="none"/>
          <w:tab w:pos="10188" w:val="right" w:leader="none"/>
        </w:tabs>
        <w:spacing w:line="330" w:lineRule="exact" w:before="0" w:after="0"/>
        <w:ind w:left="1137" w:right="0" w:hanging="417"/>
        <w:jc w:val="left"/>
        <w:rPr>
          <w:sz w:val="28"/>
        </w:rPr>
      </w:pPr>
      <w:hyperlink w:history="true" w:anchor="_bookmark87">
        <w:r>
          <w:rPr>
            <w:sz w:val="28"/>
          </w:rPr>
          <w:t>Equality</w:t>
        </w:r>
        <w:r>
          <w:rPr>
            <w:spacing w:val="-4"/>
            <w:sz w:val="28"/>
          </w:rPr>
          <w:t> </w:t>
        </w:r>
        <w:r>
          <w:rPr>
            <w:sz w:val="28"/>
          </w:rPr>
          <w:t>and</w:t>
        </w:r>
        <w:r>
          <w:rPr>
            <w:spacing w:val="-4"/>
            <w:sz w:val="28"/>
          </w:rPr>
          <w:t> </w:t>
        </w:r>
        <w:r>
          <w:rPr>
            <w:sz w:val="28"/>
          </w:rPr>
          <w:t>non-</w:t>
        </w:r>
        <w:r>
          <w:rPr>
            <w:spacing w:val="-2"/>
            <w:sz w:val="28"/>
          </w:rPr>
          <w:t>discrimination</w:t>
        </w:r>
        <w:r>
          <w:rPr>
            <w:rFonts w:ascii="Times New Roman"/>
            <w:sz w:val="28"/>
          </w:rPr>
          <w:tab/>
        </w:r>
        <w:r>
          <w:rPr>
            <w:spacing w:val="-5"/>
            <w:sz w:val="28"/>
          </w:rPr>
          <w:t>134</w:t>
        </w:r>
      </w:hyperlink>
    </w:p>
    <w:p>
      <w:pPr>
        <w:pStyle w:val="ListParagraph"/>
        <w:numPr>
          <w:ilvl w:val="2"/>
          <w:numId w:val="7"/>
        </w:numPr>
        <w:tabs>
          <w:tab w:pos="1350" w:val="left" w:leader="none"/>
          <w:tab w:pos="10188" w:val="right" w:leader="none"/>
        </w:tabs>
        <w:spacing w:line="330" w:lineRule="exact" w:before="0" w:after="0"/>
        <w:ind w:left="1350" w:right="0" w:hanging="630"/>
        <w:jc w:val="left"/>
        <w:rPr>
          <w:sz w:val="28"/>
        </w:rPr>
      </w:pPr>
      <w:hyperlink w:history="true" w:anchor="_bookmark87">
        <w:r>
          <w:rPr>
            <w:sz w:val="28"/>
          </w:rPr>
          <w:t>A</w:t>
        </w:r>
        <w:r>
          <w:rPr>
            <w:spacing w:val="-2"/>
            <w:sz w:val="28"/>
          </w:rPr>
          <w:t> </w:t>
        </w:r>
        <w:r>
          <w:rPr>
            <w:sz w:val="28"/>
          </w:rPr>
          <w:t>Union</w:t>
        </w:r>
        <w:r>
          <w:rPr>
            <w:spacing w:val="-3"/>
            <w:sz w:val="28"/>
          </w:rPr>
          <w:t> </w:t>
        </w:r>
        <w:r>
          <w:rPr>
            <w:sz w:val="28"/>
          </w:rPr>
          <w:t>of</w:t>
        </w:r>
        <w:r>
          <w:rPr>
            <w:spacing w:val="-2"/>
            <w:sz w:val="28"/>
          </w:rPr>
          <w:t> Equality</w:t>
        </w:r>
        <w:r>
          <w:rPr>
            <w:rFonts w:ascii="Times New Roman"/>
            <w:sz w:val="28"/>
          </w:rPr>
          <w:tab/>
        </w:r>
        <w:r>
          <w:rPr>
            <w:spacing w:val="-5"/>
            <w:sz w:val="28"/>
          </w:rPr>
          <w:t>134</w:t>
        </w:r>
      </w:hyperlink>
    </w:p>
    <w:p>
      <w:pPr>
        <w:pStyle w:val="ListParagraph"/>
        <w:numPr>
          <w:ilvl w:val="2"/>
          <w:numId w:val="7"/>
        </w:numPr>
        <w:tabs>
          <w:tab w:pos="1350" w:val="left" w:leader="none"/>
          <w:tab w:pos="10188" w:val="right" w:leader="none"/>
        </w:tabs>
        <w:spacing w:line="330" w:lineRule="exact" w:before="0" w:after="0"/>
        <w:ind w:left="1350" w:right="0" w:hanging="630"/>
        <w:jc w:val="left"/>
        <w:rPr>
          <w:sz w:val="28"/>
        </w:rPr>
      </w:pPr>
      <w:hyperlink w:history="true" w:anchor="_bookmark88">
        <w:r>
          <w:rPr>
            <w:sz w:val="28"/>
          </w:rPr>
          <w:t>Gender </w:t>
        </w:r>
        <w:r>
          <w:rPr>
            <w:spacing w:val="-2"/>
            <w:sz w:val="28"/>
          </w:rPr>
          <w:t>equality</w:t>
        </w:r>
        <w:r>
          <w:rPr>
            <w:rFonts w:ascii="Times New Roman"/>
            <w:sz w:val="28"/>
          </w:rPr>
          <w:tab/>
        </w:r>
        <w:r>
          <w:rPr>
            <w:spacing w:val="-5"/>
            <w:sz w:val="28"/>
          </w:rPr>
          <w:t>135</w:t>
        </w:r>
      </w:hyperlink>
    </w:p>
    <w:p>
      <w:pPr>
        <w:pStyle w:val="ListParagraph"/>
        <w:numPr>
          <w:ilvl w:val="2"/>
          <w:numId w:val="7"/>
        </w:numPr>
        <w:tabs>
          <w:tab w:pos="1350" w:val="left" w:leader="none"/>
          <w:tab w:pos="10188" w:val="right" w:leader="none"/>
        </w:tabs>
        <w:spacing w:line="330" w:lineRule="exact" w:before="0" w:after="0"/>
        <w:ind w:left="1350" w:right="0" w:hanging="630"/>
        <w:jc w:val="left"/>
        <w:rPr>
          <w:sz w:val="28"/>
        </w:rPr>
      </w:pPr>
      <w:hyperlink w:history="true" w:anchor="_bookmark89">
        <w:r>
          <w:rPr>
            <w:sz w:val="28"/>
          </w:rPr>
          <w:t>Race </w:t>
        </w:r>
        <w:r>
          <w:rPr>
            <w:spacing w:val="-2"/>
            <w:sz w:val="28"/>
          </w:rPr>
          <w:t>equality</w:t>
        </w:r>
        <w:r>
          <w:rPr>
            <w:rFonts w:ascii="Times New Roman"/>
            <w:sz w:val="28"/>
          </w:rPr>
          <w:tab/>
        </w:r>
        <w:r>
          <w:rPr>
            <w:spacing w:val="-5"/>
            <w:sz w:val="28"/>
          </w:rPr>
          <w:t>137</w:t>
        </w:r>
      </w:hyperlink>
    </w:p>
    <w:p>
      <w:pPr>
        <w:pStyle w:val="ListParagraph"/>
        <w:numPr>
          <w:ilvl w:val="2"/>
          <w:numId w:val="7"/>
        </w:numPr>
        <w:tabs>
          <w:tab w:pos="1350" w:val="left" w:leader="none"/>
          <w:tab w:pos="10188" w:val="right" w:leader="none"/>
        </w:tabs>
        <w:spacing w:line="330" w:lineRule="exact" w:before="0" w:after="0"/>
        <w:ind w:left="1350" w:right="0" w:hanging="630"/>
        <w:jc w:val="left"/>
        <w:rPr>
          <w:sz w:val="28"/>
        </w:rPr>
      </w:pPr>
      <w:hyperlink w:history="true" w:anchor="_bookmark90">
        <w:r>
          <w:rPr>
            <w:sz w:val="28"/>
          </w:rPr>
          <w:t>Sexual</w:t>
        </w:r>
        <w:r>
          <w:rPr>
            <w:spacing w:val="-10"/>
            <w:sz w:val="28"/>
          </w:rPr>
          <w:t> </w:t>
        </w:r>
        <w:r>
          <w:rPr>
            <w:spacing w:val="-2"/>
            <w:sz w:val="28"/>
          </w:rPr>
          <w:t>orientation</w:t>
        </w:r>
        <w:r>
          <w:rPr>
            <w:rFonts w:ascii="Times New Roman"/>
            <w:sz w:val="28"/>
          </w:rPr>
          <w:tab/>
        </w:r>
        <w:r>
          <w:rPr>
            <w:spacing w:val="-5"/>
            <w:sz w:val="28"/>
          </w:rPr>
          <w:t>138</w:t>
        </w:r>
      </w:hyperlink>
    </w:p>
    <w:p>
      <w:pPr>
        <w:pStyle w:val="ListParagraph"/>
        <w:numPr>
          <w:ilvl w:val="2"/>
          <w:numId w:val="7"/>
        </w:numPr>
        <w:tabs>
          <w:tab w:pos="1350" w:val="left" w:leader="none"/>
          <w:tab w:pos="10188" w:val="right" w:leader="none"/>
        </w:tabs>
        <w:spacing w:line="330" w:lineRule="exact" w:before="0" w:after="0"/>
        <w:ind w:left="1350" w:right="0" w:hanging="630"/>
        <w:jc w:val="left"/>
        <w:rPr>
          <w:sz w:val="28"/>
        </w:rPr>
      </w:pPr>
      <w:hyperlink w:history="true" w:anchor="_bookmark90">
        <w:r>
          <w:rPr>
            <w:spacing w:val="-2"/>
            <w:sz w:val="28"/>
          </w:rPr>
          <w:t>Disability</w:t>
        </w:r>
        <w:r>
          <w:rPr>
            <w:rFonts w:ascii="Times New Roman"/>
            <w:sz w:val="28"/>
          </w:rPr>
          <w:tab/>
        </w:r>
        <w:r>
          <w:rPr>
            <w:spacing w:val="-5"/>
            <w:sz w:val="28"/>
          </w:rPr>
          <w:t>138</w:t>
        </w:r>
      </w:hyperlink>
    </w:p>
    <w:p>
      <w:pPr>
        <w:pStyle w:val="ListParagraph"/>
        <w:numPr>
          <w:ilvl w:val="1"/>
          <w:numId w:val="7"/>
        </w:numPr>
        <w:tabs>
          <w:tab w:pos="1137" w:val="left" w:leader="none"/>
          <w:tab w:pos="10188" w:val="right" w:leader="none"/>
        </w:tabs>
        <w:spacing w:line="330" w:lineRule="exact" w:before="0" w:after="0"/>
        <w:ind w:left="1137" w:right="0" w:hanging="417"/>
        <w:jc w:val="left"/>
        <w:rPr>
          <w:sz w:val="28"/>
        </w:rPr>
      </w:pPr>
      <w:hyperlink w:history="true" w:anchor="_bookmark91">
        <w:r>
          <w:rPr>
            <w:sz w:val="28"/>
          </w:rPr>
          <w:t>Human</w:t>
        </w:r>
        <w:r>
          <w:rPr>
            <w:spacing w:val="-7"/>
            <w:sz w:val="28"/>
          </w:rPr>
          <w:t> </w:t>
        </w:r>
        <w:r>
          <w:rPr>
            <w:sz w:val="28"/>
          </w:rPr>
          <w:t>rights</w:t>
        </w:r>
        <w:r>
          <w:rPr>
            <w:spacing w:val="-6"/>
            <w:sz w:val="28"/>
          </w:rPr>
          <w:t> </w:t>
        </w:r>
        <w:r>
          <w:rPr>
            <w:spacing w:val="-2"/>
            <w:sz w:val="28"/>
          </w:rPr>
          <w:t>protection</w:t>
        </w:r>
        <w:r>
          <w:rPr>
            <w:rFonts w:ascii="Times New Roman"/>
            <w:sz w:val="28"/>
          </w:rPr>
          <w:tab/>
        </w:r>
        <w:r>
          <w:rPr>
            <w:spacing w:val="-5"/>
            <w:sz w:val="28"/>
          </w:rPr>
          <w:t>139</w:t>
        </w:r>
      </w:hyperlink>
    </w:p>
    <w:p>
      <w:pPr>
        <w:pStyle w:val="ListParagraph"/>
        <w:numPr>
          <w:ilvl w:val="2"/>
          <w:numId w:val="7"/>
        </w:numPr>
        <w:tabs>
          <w:tab w:pos="1350" w:val="left" w:leader="none"/>
          <w:tab w:pos="10188" w:val="right" w:leader="none"/>
        </w:tabs>
        <w:spacing w:line="330" w:lineRule="exact" w:before="0" w:after="0"/>
        <w:ind w:left="1350" w:right="0" w:hanging="630"/>
        <w:jc w:val="left"/>
        <w:rPr>
          <w:sz w:val="28"/>
        </w:rPr>
      </w:pPr>
      <w:hyperlink w:history="true" w:anchor="_bookmark91">
        <w:r>
          <w:rPr>
            <w:sz w:val="28"/>
          </w:rPr>
          <w:t>Criminal</w:t>
        </w:r>
        <w:r>
          <w:rPr>
            <w:spacing w:val="-10"/>
            <w:sz w:val="28"/>
          </w:rPr>
          <w:t> </w:t>
        </w:r>
        <w:r>
          <w:rPr>
            <w:sz w:val="28"/>
          </w:rPr>
          <w:t>justice:</w:t>
        </w:r>
        <w:r>
          <w:rPr>
            <w:spacing w:val="-9"/>
            <w:sz w:val="28"/>
          </w:rPr>
          <w:t> </w:t>
        </w:r>
        <w:r>
          <w:rPr>
            <w:sz w:val="28"/>
          </w:rPr>
          <w:t>victims’</w:t>
        </w:r>
        <w:r>
          <w:rPr>
            <w:spacing w:val="-8"/>
            <w:sz w:val="28"/>
          </w:rPr>
          <w:t> </w:t>
        </w:r>
        <w:r>
          <w:rPr>
            <w:spacing w:val="-2"/>
            <w:sz w:val="28"/>
          </w:rPr>
          <w:t>rights</w:t>
        </w:r>
        <w:r>
          <w:rPr>
            <w:rFonts w:ascii="Times New Roman" w:hAnsi="Times New Roman"/>
            <w:sz w:val="28"/>
          </w:rPr>
          <w:tab/>
        </w:r>
        <w:r>
          <w:rPr>
            <w:spacing w:val="-5"/>
            <w:sz w:val="28"/>
          </w:rPr>
          <w:t>139</w:t>
        </w:r>
      </w:hyperlink>
    </w:p>
    <w:p>
      <w:pPr>
        <w:pStyle w:val="ListParagraph"/>
        <w:numPr>
          <w:ilvl w:val="2"/>
          <w:numId w:val="7"/>
        </w:numPr>
        <w:tabs>
          <w:tab w:pos="1350" w:val="left" w:leader="none"/>
          <w:tab w:pos="10188" w:val="right" w:leader="none"/>
        </w:tabs>
        <w:spacing w:line="330" w:lineRule="exact" w:before="0" w:after="0"/>
        <w:ind w:left="1350" w:right="0" w:hanging="630"/>
        <w:jc w:val="left"/>
        <w:rPr>
          <w:sz w:val="28"/>
        </w:rPr>
      </w:pPr>
      <w:hyperlink w:history="true" w:anchor="_bookmark91">
        <w:r>
          <w:rPr>
            <w:sz w:val="28"/>
          </w:rPr>
          <w:t>Childrens’</w:t>
        </w:r>
        <w:r>
          <w:rPr>
            <w:spacing w:val="-3"/>
            <w:sz w:val="28"/>
          </w:rPr>
          <w:t> </w:t>
        </w:r>
        <w:r>
          <w:rPr>
            <w:spacing w:val="-2"/>
            <w:sz w:val="28"/>
          </w:rPr>
          <w:t>rights</w:t>
        </w:r>
        <w:r>
          <w:rPr>
            <w:rFonts w:ascii="Times New Roman" w:hAnsi="Times New Roman"/>
            <w:sz w:val="28"/>
          </w:rPr>
          <w:tab/>
        </w:r>
        <w:r>
          <w:rPr>
            <w:spacing w:val="-5"/>
            <w:sz w:val="28"/>
          </w:rPr>
          <w:t>139</w:t>
        </w:r>
      </w:hyperlink>
    </w:p>
    <w:p>
      <w:pPr>
        <w:pStyle w:val="ListParagraph"/>
        <w:numPr>
          <w:ilvl w:val="1"/>
          <w:numId w:val="7"/>
        </w:numPr>
        <w:tabs>
          <w:tab w:pos="1137" w:val="left" w:leader="none"/>
          <w:tab w:pos="10188" w:val="right" w:leader="none"/>
        </w:tabs>
        <w:spacing w:line="330" w:lineRule="exact" w:before="0" w:after="0"/>
        <w:ind w:left="1137" w:right="0" w:hanging="417"/>
        <w:jc w:val="left"/>
        <w:rPr>
          <w:sz w:val="28"/>
        </w:rPr>
      </w:pPr>
      <w:hyperlink w:history="true" w:anchor="_bookmark92">
        <w:r>
          <w:rPr>
            <w:spacing w:val="-2"/>
            <w:sz w:val="28"/>
          </w:rPr>
          <w:t>Migration</w:t>
        </w:r>
        <w:r>
          <w:rPr>
            <w:rFonts w:ascii="Times New Roman"/>
            <w:sz w:val="28"/>
          </w:rPr>
          <w:tab/>
        </w:r>
        <w:r>
          <w:rPr>
            <w:spacing w:val="-5"/>
            <w:sz w:val="28"/>
          </w:rPr>
          <w:t>141</w:t>
        </w:r>
      </w:hyperlink>
    </w:p>
    <w:p>
      <w:pPr>
        <w:pStyle w:val="ListParagraph"/>
        <w:numPr>
          <w:ilvl w:val="2"/>
          <w:numId w:val="7"/>
        </w:numPr>
        <w:tabs>
          <w:tab w:pos="1350" w:val="left" w:leader="none"/>
          <w:tab w:pos="10188" w:val="right" w:leader="none"/>
        </w:tabs>
        <w:spacing w:line="330" w:lineRule="exact" w:before="0" w:after="0"/>
        <w:ind w:left="1350" w:right="0" w:hanging="630"/>
        <w:jc w:val="left"/>
        <w:rPr>
          <w:sz w:val="28"/>
        </w:rPr>
      </w:pPr>
      <w:hyperlink w:history="true" w:anchor="_bookmark92">
        <w:r>
          <w:rPr>
            <w:sz w:val="28"/>
          </w:rPr>
          <w:t>Migrants</w:t>
        </w:r>
        <w:r>
          <w:rPr>
            <w:spacing w:val="-11"/>
            <w:sz w:val="28"/>
          </w:rPr>
          <w:t> </w:t>
        </w:r>
        <w:r>
          <w:rPr>
            <w:sz w:val="28"/>
          </w:rPr>
          <w:t>and</w:t>
        </w:r>
        <w:r>
          <w:rPr>
            <w:spacing w:val="-10"/>
            <w:sz w:val="28"/>
          </w:rPr>
          <w:t> </w:t>
        </w:r>
        <w:r>
          <w:rPr>
            <w:sz w:val="28"/>
          </w:rPr>
          <w:t>asylum-</w:t>
        </w:r>
        <w:r>
          <w:rPr>
            <w:spacing w:val="-2"/>
            <w:sz w:val="28"/>
          </w:rPr>
          <w:t>seekers</w:t>
        </w:r>
        <w:r>
          <w:rPr>
            <w:rFonts w:ascii="Times New Roman"/>
            <w:sz w:val="28"/>
          </w:rPr>
          <w:tab/>
        </w:r>
        <w:r>
          <w:rPr>
            <w:spacing w:val="-5"/>
            <w:sz w:val="28"/>
          </w:rPr>
          <w:t>141</w:t>
        </w:r>
      </w:hyperlink>
    </w:p>
    <w:p>
      <w:pPr>
        <w:pStyle w:val="ListParagraph"/>
        <w:numPr>
          <w:ilvl w:val="2"/>
          <w:numId w:val="7"/>
        </w:numPr>
        <w:tabs>
          <w:tab w:pos="1350" w:val="left" w:leader="none"/>
          <w:tab w:pos="10188" w:val="right" w:leader="none"/>
        </w:tabs>
        <w:spacing w:line="330" w:lineRule="exact" w:before="0" w:after="0"/>
        <w:ind w:left="1350" w:right="0" w:hanging="630"/>
        <w:jc w:val="left"/>
        <w:rPr>
          <w:sz w:val="28"/>
        </w:rPr>
      </w:pPr>
      <w:hyperlink w:history="true" w:anchor="_bookmark92">
        <w:r>
          <w:rPr>
            <w:sz w:val="28"/>
          </w:rPr>
          <w:t>Victims</w:t>
        </w:r>
        <w:r>
          <w:rPr>
            <w:spacing w:val="-8"/>
            <w:sz w:val="28"/>
          </w:rPr>
          <w:t> </w:t>
        </w:r>
        <w:r>
          <w:rPr>
            <w:sz w:val="28"/>
          </w:rPr>
          <w:t>of</w:t>
        </w:r>
        <w:r>
          <w:rPr>
            <w:spacing w:val="-7"/>
            <w:sz w:val="28"/>
          </w:rPr>
          <w:t> </w:t>
        </w:r>
        <w:r>
          <w:rPr>
            <w:sz w:val="28"/>
          </w:rPr>
          <w:t>human</w:t>
        </w:r>
        <w:r>
          <w:rPr>
            <w:spacing w:val="-8"/>
            <w:sz w:val="28"/>
          </w:rPr>
          <w:t> </w:t>
        </w:r>
        <w:r>
          <w:rPr>
            <w:spacing w:val="-2"/>
            <w:sz w:val="28"/>
          </w:rPr>
          <w:t>trafficking</w:t>
        </w:r>
        <w:r>
          <w:rPr>
            <w:rFonts w:ascii="Times New Roman"/>
            <w:sz w:val="28"/>
          </w:rPr>
          <w:tab/>
        </w:r>
        <w:r>
          <w:rPr>
            <w:spacing w:val="-5"/>
            <w:sz w:val="28"/>
          </w:rPr>
          <w:t>141</w:t>
        </w:r>
      </w:hyperlink>
    </w:p>
    <w:p>
      <w:pPr>
        <w:pStyle w:val="ListParagraph"/>
        <w:numPr>
          <w:ilvl w:val="1"/>
          <w:numId w:val="7"/>
        </w:numPr>
        <w:tabs>
          <w:tab w:pos="1137" w:val="left" w:leader="none"/>
          <w:tab w:pos="10188" w:val="right" w:leader="none"/>
        </w:tabs>
        <w:spacing w:line="336" w:lineRule="exact" w:before="0" w:after="0"/>
        <w:ind w:left="1137" w:right="0" w:hanging="417"/>
        <w:jc w:val="left"/>
        <w:rPr>
          <w:sz w:val="28"/>
        </w:rPr>
      </w:pPr>
      <w:hyperlink w:history="true" w:anchor="_bookmark93">
        <w:r>
          <w:rPr>
            <w:spacing w:val="-2"/>
            <w:sz w:val="28"/>
          </w:rPr>
          <w:t>Conclusion</w:t>
        </w:r>
        <w:r>
          <w:rPr>
            <w:rFonts w:ascii="Times New Roman"/>
            <w:sz w:val="28"/>
          </w:rPr>
          <w:tab/>
        </w:r>
        <w:r>
          <w:rPr>
            <w:spacing w:val="-5"/>
            <w:sz w:val="28"/>
          </w:rPr>
          <w:t>142</w:t>
        </w:r>
      </w:hyperlink>
    </w:p>
    <w:p>
      <w:pPr>
        <w:pStyle w:val="Heading3"/>
        <w:tabs>
          <w:tab w:pos="10188" w:val="right" w:leader="none"/>
        </w:tabs>
        <w:spacing w:line="240" w:lineRule="auto" w:before="271"/>
        <w:ind w:left="720" w:firstLine="0"/>
      </w:pPr>
      <w:r>
        <w:rPr/>
        <mc:AlternateContent>
          <mc:Choice Requires="wps">
            <w:drawing>
              <wp:anchor distT="0" distB="0" distL="0" distR="0" allowOverlap="1" layoutInCell="1" locked="0" behindDoc="0" simplePos="0" relativeHeight="15738368">
                <wp:simplePos x="0" y="0"/>
                <wp:positionH relativeFrom="page">
                  <wp:posOffset>647999</wp:posOffset>
                </wp:positionH>
                <wp:positionV relativeFrom="paragraph">
                  <wp:posOffset>119356</wp:posOffset>
                </wp:positionV>
                <wp:extent cx="6012180" cy="127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51.023602pt,9.398125pt" to="524.409602pt,9.398125pt" stroked="true" strokeweight="1pt" strokecolor="#36a9e1">
                <v:stroke dashstyle="solid"/>
                <w10:wrap type="none"/>
              </v:line>
            </w:pict>
          </mc:Fallback>
        </mc:AlternateContent>
      </w:r>
      <w:hyperlink w:history="true" w:anchor="_bookmark94">
        <w:r>
          <w:rPr>
            <w:color w:val="164194"/>
          </w:rPr>
          <w:t>List</w:t>
        </w:r>
        <w:r>
          <w:rPr>
            <w:color w:val="164194"/>
            <w:spacing w:val="-3"/>
          </w:rPr>
          <w:t> </w:t>
        </w:r>
        <w:r>
          <w:rPr>
            <w:color w:val="164194"/>
          </w:rPr>
          <w:t>of</w:t>
        </w:r>
        <w:r>
          <w:rPr>
            <w:color w:val="164194"/>
            <w:spacing w:val="-3"/>
          </w:rPr>
          <w:t> </w:t>
        </w:r>
        <w:r>
          <w:rPr>
            <w:color w:val="164194"/>
            <w:spacing w:val="-2"/>
          </w:rPr>
          <w:t>Recommendations</w:t>
        </w:r>
        <w:r>
          <w:rPr>
            <w:rFonts w:ascii="Times New Roman"/>
            <w:b w:val="0"/>
            <w:color w:val="164194"/>
          </w:rPr>
          <w:tab/>
        </w:r>
        <w:r>
          <w:rPr>
            <w:color w:val="164194"/>
            <w:spacing w:val="-5"/>
          </w:rPr>
          <w:t>143</w:t>
        </w:r>
      </w:hyperlink>
    </w:p>
    <w:p>
      <w:pPr>
        <w:pStyle w:val="Heading3"/>
        <w:spacing w:before="272"/>
        <w:ind w:left="720" w:firstLine="0"/>
      </w:pPr>
      <w:r>
        <w:rPr/>
        <mc:AlternateContent>
          <mc:Choice Requires="wps">
            <w:drawing>
              <wp:anchor distT="0" distB="0" distL="0" distR="0" allowOverlap="1" layoutInCell="1" locked="0" behindDoc="0" simplePos="0" relativeHeight="15738880">
                <wp:simplePos x="0" y="0"/>
                <wp:positionH relativeFrom="page">
                  <wp:posOffset>647999</wp:posOffset>
                </wp:positionH>
                <wp:positionV relativeFrom="paragraph">
                  <wp:posOffset>119779</wp:posOffset>
                </wp:positionV>
                <wp:extent cx="6012180" cy="12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880" from="51.023602pt,9.431481pt" to="524.409602pt,9.431481pt" stroked="true" strokeweight="1pt" strokecolor="#36a9e1">
                <v:stroke dashstyle="solid"/>
                <w10:wrap type="none"/>
              </v:line>
            </w:pict>
          </mc:Fallback>
        </mc:AlternateContent>
      </w:r>
      <w:hyperlink w:history="true" w:anchor="_bookmark95">
        <w:r>
          <w:rPr>
            <w:color w:val="164194"/>
          </w:rPr>
          <w:t>Appendix</w:t>
        </w:r>
        <w:r>
          <w:rPr>
            <w:color w:val="164194"/>
            <w:spacing w:val="-6"/>
          </w:rPr>
          <w:t> </w:t>
        </w:r>
        <w:r>
          <w:rPr>
            <w:color w:val="164194"/>
          </w:rPr>
          <w:t>1:</w:t>
        </w:r>
        <w:r>
          <w:rPr>
            <w:color w:val="164194"/>
            <w:spacing w:val="-4"/>
          </w:rPr>
          <w:t> </w:t>
        </w:r>
        <w:r>
          <w:rPr>
            <w:color w:val="164194"/>
          </w:rPr>
          <w:t>Mapping</w:t>
        </w:r>
        <w:r>
          <w:rPr>
            <w:color w:val="164194"/>
            <w:spacing w:val="-5"/>
          </w:rPr>
          <w:t> </w:t>
        </w:r>
        <w:r>
          <w:rPr>
            <w:color w:val="164194"/>
          </w:rPr>
          <w:t>Exercise</w:t>
        </w:r>
        <w:r>
          <w:rPr>
            <w:color w:val="164194"/>
            <w:spacing w:val="-5"/>
          </w:rPr>
          <w:t> </w:t>
        </w:r>
        <w:r>
          <w:rPr>
            <w:color w:val="164194"/>
          </w:rPr>
          <w:t>1:</w:t>
        </w:r>
        <w:r>
          <w:rPr>
            <w:color w:val="164194"/>
            <w:spacing w:val="-5"/>
          </w:rPr>
          <w:t> </w:t>
        </w:r>
        <w:r>
          <w:rPr>
            <w:color w:val="164194"/>
          </w:rPr>
          <w:t>CJEU</w:t>
        </w:r>
        <w:r>
          <w:rPr>
            <w:color w:val="164194"/>
            <w:spacing w:val="-4"/>
          </w:rPr>
          <w:t> </w:t>
        </w:r>
        <w:r>
          <w:rPr>
            <w:color w:val="164194"/>
          </w:rPr>
          <w:t>Case</w:t>
        </w:r>
        <w:r>
          <w:rPr>
            <w:color w:val="164194"/>
            <w:spacing w:val="-5"/>
          </w:rPr>
          <w:t> </w:t>
        </w:r>
        <w:r>
          <w:rPr>
            <w:color w:val="164194"/>
          </w:rPr>
          <w:t>Law</w:t>
        </w:r>
        <w:r>
          <w:rPr>
            <w:color w:val="164194"/>
            <w:spacing w:val="-5"/>
          </w:rPr>
          <w:t> </w:t>
        </w:r>
        <w:r>
          <w:rPr>
            <w:color w:val="164194"/>
            <w:spacing w:val="-2"/>
          </w:rPr>
          <w:t>Mapping</w:t>
        </w:r>
      </w:hyperlink>
    </w:p>
    <w:p>
      <w:pPr>
        <w:pStyle w:val="Heading3"/>
        <w:tabs>
          <w:tab w:pos="10188" w:val="right" w:leader="none"/>
        </w:tabs>
        <w:ind w:left="720" w:firstLine="0"/>
      </w:pPr>
      <w:hyperlink w:history="true" w:anchor="_bookmark95">
        <w:r>
          <w:rPr>
            <w:color w:val="164194"/>
          </w:rPr>
          <w:t>of</w:t>
        </w:r>
        <w:r>
          <w:rPr>
            <w:color w:val="164194"/>
            <w:spacing w:val="-4"/>
          </w:rPr>
          <w:t> </w:t>
        </w:r>
        <w:r>
          <w:rPr>
            <w:color w:val="164194"/>
          </w:rPr>
          <w:t>Annex</w:t>
        </w:r>
        <w:r>
          <w:rPr>
            <w:color w:val="164194"/>
            <w:spacing w:val="-4"/>
          </w:rPr>
          <w:t> </w:t>
        </w:r>
        <w:r>
          <w:rPr>
            <w:color w:val="164194"/>
          </w:rPr>
          <w:t>1</w:t>
        </w:r>
        <w:r>
          <w:rPr>
            <w:color w:val="164194"/>
            <w:spacing w:val="-3"/>
          </w:rPr>
          <w:t> </w:t>
        </w:r>
        <w:r>
          <w:rPr>
            <w:color w:val="164194"/>
            <w:spacing w:val="-2"/>
          </w:rPr>
          <w:t>Directives</w:t>
        </w:r>
        <w:r>
          <w:rPr>
            <w:rFonts w:ascii="Times New Roman"/>
            <w:b w:val="0"/>
            <w:color w:val="164194"/>
          </w:rPr>
          <w:tab/>
        </w:r>
        <w:r>
          <w:rPr>
            <w:color w:val="164194"/>
            <w:spacing w:val="-5"/>
          </w:rPr>
          <w:t>150</w:t>
        </w:r>
      </w:hyperlink>
    </w:p>
    <w:p>
      <w:pPr>
        <w:pStyle w:val="Heading3"/>
        <w:spacing w:before="272"/>
        <w:ind w:left="720" w:firstLine="0"/>
      </w:pPr>
      <w:r>
        <w:rPr/>
        <mc:AlternateContent>
          <mc:Choice Requires="wps">
            <w:drawing>
              <wp:anchor distT="0" distB="0" distL="0" distR="0" allowOverlap="1" layoutInCell="1" locked="0" behindDoc="0" simplePos="0" relativeHeight="15739392">
                <wp:simplePos x="0" y="0"/>
                <wp:positionH relativeFrom="page">
                  <wp:posOffset>647999</wp:posOffset>
                </wp:positionH>
                <wp:positionV relativeFrom="paragraph">
                  <wp:posOffset>119568</wp:posOffset>
                </wp:positionV>
                <wp:extent cx="6012180" cy="12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51.023602pt,9.414838pt" to="524.409602pt,9.414838pt" stroked="true" strokeweight="1pt" strokecolor="#36a9e1">
                <v:stroke dashstyle="solid"/>
                <w10:wrap type="none"/>
              </v:line>
            </w:pict>
          </mc:Fallback>
        </mc:AlternateContent>
      </w:r>
      <w:hyperlink w:history="true" w:anchor="_bookmark95">
        <w:r>
          <w:rPr>
            <w:color w:val="164194"/>
          </w:rPr>
          <w:t>Appendix</w:t>
        </w:r>
        <w:r>
          <w:rPr>
            <w:color w:val="164194"/>
            <w:spacing w:val="-6"/>
          </w:rPr>
          <w:t> </w:t>
        </w:r>
        <w:r>
          <w:rPr>
            <w:color w:val="164194"/>
          </w:rPr>
          <w:t>2:</w:t>
        </w:r>
        <w:r>
          <w:rPr>
            <w:color w:val="164194"/>
            <w:spacing w:val="-5"/>
          </w:rPr>
          <w:t> </w:t>
        </w:r>
        <w:r>
          <w:rPr>
            <w:color w:val="164194"/>
          </w:rPr>
          <w:t>Mapping</w:t>
        </w:r>
        <w:r>
          <w:rPr>
            <w:color w:val="164194"/>
            <w:spacing w:val="-6"/>
          </w:rPr>
          <w:t> </w:t>
        </w:r>
        <w:r>
          <w:rPr>
            <w:color w:val="164194"/>
          </w:rPr>
          <w:t>of</w:t>
        </w:r>
        <w:r>
          <w:rPr>
            <w:color w:val="164194"/>
            <w:spacing w:val="-6"/>
          </w:rPr>
          <w:t> </w:t>
        </w:r>
        <w:r>
          <w:rPr>
            <w:color w:val="164194"/>
          </w:rPr>
          <w:t>EU</w:t>
        </w:r>
        <w:r>
          <w:rPr>
            <w:color w:val="164194"/>
            <w:spacing w:val="-4"/>
          </w:rPr>
          <w:t> </w:t>
        </w:r>
        <w:r>
          <w:rPr>
            <w:color w:val="164194"/>
          </w:rPr>
          <w:t>Directives</w:t>
        </w:r>
        <w:r>
          <w:rPr>
            <w:color w:val="164194"/>
            <w:spacing w:val="-5"/>
          </w:rPr>
          <w:t> </w:t>
        </w:r>
        <w:r>
          <w:rPr>
            <w:color w:val="164194"/>
          </w:rPr>
          <w:t>and</w:t>
        </w:r>
        <w:r>
          <w:rPr>
            <w:color w:val="164194"/>
            <w:spacing w:val="-5"/>
          </w:rPr>
          <w:t> </w:t>
        </w:r>
        <w:r>
          <w:rPr>
            <w:color w:val="164194"/>
            <w:spacing w:val="-2"/>
          </w:rPr>
          <w:t>Regulations</w:t>
        </w:r>
      </w:hyperlink>
    </w:p>
    <w:p>
      <w:pPr>
        <w:pStyle w:val="Heading3"/>
        <w:tabs>
          <w:tab w:pos="10188" w:val="right" w:leader="none"/>
        </w:tabs>
        <w:ind w:left="720" w:firstLine="0"/>
      </w:pPr>
      <w:hyperlink w:history="true" w:anchor="_bookmark95">
        <w:r>
          <w:rPr>
            <w:color w:val="164194"/>
          </w:rPr>
          <w:t>from</w:t>
        </w:r>
        <w:r>
          <w:rPr>
            <w:color w:val="164194"/>
            <w:spacing w:val="-4"/>
          </w:rPr>
          <w:t> </w:t>
        </w:r>
        <w:r>
          <w:rPr>
            <w:color w:val="164194"/>
          </w:rPr>
          <w:t>1</w:t>
        </w:r>
        <w:r>
          <w:rPr>
            <w:color w:val="164194"/>
            <w:spacing w:val="-3"/>
          </w:rPr>
          <w:t> </w:t>
        </w:r>
        <w:r>
          <w:rPr>
            <w:color w:val="164194"/>
          </w:rPr>
          <w:t>January</w:t>
        </w:r>
        <w:r>
          <w:rPr>
            <w:color w:val="164194"/>
            <w:spacing w:val="-2"/>
          </w:rPr>
          <w:t> </w:t>
        </w:r>
        <w:r>
          <w:rPr>
            <w:color w:val="164194"/>
          </w:rPr>
          <w:t>2022</w:t>
        </w:r>
        <w:r>
          <w:rPr>
            <w:color w:val="164194"/>
            <w:spacing w:val="-3"/>
          </w:rPr>
          <w:t> </w:t>
        </w:r>
        <w:r>
          <w:rPr>
            <w:color w:val="164194"/>
          </w:rPr>
          <w:t>to</w:t>
        </w:r>
        <w:r>
          <w:rPr>
            <w:color w:val="164194"/>
            <w:spacing w:val="-2"/>
          </w:rPr>
          <w:t> </w:t>
        </w:r>
        <w:r>
          <w:rPr>
            <w:color w:val="164194"/>
          </w:rPr>
          <w:t>31</w:t>
        </w:r>
        <w:r>
          <w:rPr>
            <w:color w:val="164194"/>
            <w:spacing w:val="-3"/>
          </w:rPr>
          <w:t> </w:t>
        </w:r>
        <w:r>
          <w:rPr>
            <w:color w:val="164194"/>
          </w:rPr>
          <w:t>August</w:t>
        </w:r>
        <w:r>
          <w:rPr>
            <w:color w:val="164194"/>
            <w:spacing w:val="-2"/>
          </w:rPr>
          <w:t> </w:t>
        </w:r>
        <w:r>
          <w:rPr>
            <w:color w:val="164194"/>
            <w:spacing w:val="-4"/>
          </w:rPr>
          <w:t>2023</w:t>
        </w:r>
        <w:r>
          <w:rPr>
            <w:rFonts w:ascii="Times New Roman"/>
            <w:b w:val="0"/>
            <w:color w:val="164194"/>
          </w:rPr>
          <w:tab/>
        </w:r>
        <w:r>
          <w:rPr>
            <w:color w:val="164194"/>
            <w:spacing w:val="-5"/>
          </w:rPr>
          <w:t>150</w:t>
        </w:r>
      </w:hyperlink>
    </w:p>
    <w:p>
      <w:pPr>
        <w:pStyle w:val="Heading3"/>
        <w:tabs>
          <w:tab w:pos="10188" w:val="right" w:leader="none"/>
        </w:tabs>
        <w:spacing w:line="240" w:lineRule="auto" w:before="271"/>
        <w:ind w:left="720" w:firstLine="0"/>
      </w:pPr>
      <w:r>
        <w:rPr/>
        <mc:AlternateContent>
          <mc:Choice Requires="wps">
            <w:drawing>
              <wp:anchor distT="0" distB="0" distL="0" distR="0" allowOverlap="1" layoutInCell="1" locked="0" behindDoc="0" simplePos="0" relativeHeight="15739904">
                <wp:simplePos x="0" y="0"/>
                <wp:positionH relativeFrom="page">
                  <wp:posOffset>647999</wp:posOffset>
                </wp:positionH>
                <wp:positionV relativeFrom="paragraph">
                  <wp:posOffset>119358</wp:posOffset>
                </wp:positionV>
                <wp:extent cx="6012180" cy="127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51.023602pt,9.398293pt" to="524.409602pt,9.398293pt" stroked="true" strokeweight="1pt" strokecolor="#36a9e1">
                <v:stroke dashstyle="solid"/>
                <w10:wrap type="none"/>
              </v:line>
            </w:pict>
          </mc:Fallback>
        </mc:AlternateContent>
      </w:r>
      <w:hyperlink w:history="true" w:anchor="_bookmark96">
        <w:r>
          <w:rPr>
            <w:color w:val="164194"/>
          </w:rPr>
          <w:t>Appendix</w:t>
        </w:r>
        <w:r>
          <w:rPr>
            <w:color w:val="164194"/>
            <w:spacing w:val="-6"/>
          </w:rPr>
          <w:t> </w:t>
        </w:r>
        <w:r>
          <w:rPr>
            <w:color w:val="164194"/>
          </w:rPr>
          <w:t>3:</w:t>
        </w:r>
        <w:r>
          <w:rPr>
            <w:color w:val="164194"/>
            <w:spacing w:val="-4"/>
          </w:rPr>
          <w:t> </w:t>
        </w:r>
        <w:r>
          <w:rPr>
            <w:color w:val="164194"/>
          </w:rPr>
          <w:t>Notes</w:t>
        </w:r>
        <w:r>
          <w:rPr>
            <w:color w:val="164194"/>
            <w:spacing w:val="-4"/>
          </w:rPr>
          <w:t> </w:t>
        </w:r>
        <w:r>
          <w:rPr>
            <w:color w:val="164194"/>
          </w:rPr>
          <w:t>on</w:t>
        </w:r>
        <w:r>
          <w:rPr>
            <w:color w:val="164194"/>
            <w:spacing w:val="-5"/>
          </w:rPr>
          <w:t> </w:t>
        </w:r>
        <w:r>
          <w:rPr>
            <w:color w:val="164194"/>
          </w:rPr>
          <w:t>Methodology</w:t>
        </w:r>
        <w:r>
          <w:rPr>
            <w:color w:val="164194"/>
            <w:spacing w:val="-4"/>
          </w:rPr>
          <w:t> </w:t>
        </w:r>
        <w:r>
          <w:rPr>
            <w:color w:val="164194"/>
          </w:rPr>
          <w:t>in</w:t>
        </w:r>
        <w:r>
          <w:rPr>
            <w:color w:val="164194"/>
            <w:spacing w:val="-4"/>
          </w:rPr>
          <w:t> </w:t>
        </w:r>
        <w:r>
          <w:rPr>
            <w:color w:val="164194"/>
          </w:rPr>
          <w:t>Specific</w:t>
        </w:r>
        <w:r>
          <w:rPr>
            <w:color w:val="164194"/>
            <w:spacing w:val="-5"/>
          </w:rPr>
          <w:t> </w:t>
        </w:r>
        <w:r>
          <w:rPr>
            <w:color w:val="164194"/>
            <w:spacing w:val="-2"/>
          </w:rPr>
          <w:t>Chapters</w:t>
        </w:r>
        <w:r>
          <w:rPr>
            <w:rFonts w:ascii="Times New Roman"/>
            <w:b w:val="0"/>
            <w:color w:val="164194"/>
          </w:rPr>
          <w:tab/>
        </w:r>
        <w:r>
          <w:rPr>
            <w:color w:val="164194"/>
            <w:spacing w:val="-5"/>
          </w:rPr>
          <w:t>151</w:t>
        </w:r>
      </w:hyperlink>
    </w:p>
    <w:p>
      <w:pPr>
        <w:spacing w:after="0" w:line="240" w:lineRule="auto"/>
        <w:sectPr>
          <w:pgSz w:w="11910" w:h="16840"/>
          <w:pgMar w:top="0" w:bottom="280" w:left="300" w:right="280"/>
        </w:sectPr>
      </w:pPr>
    </w:p>
    <w:p>
      <w:pPr>
        <w:tabs>
          <w:tab w:pos="11052"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16800">
                <wp:simplePos x="0" y="0"/>
                <wp:positionH relativeFrom="page">
                  <wp:posOffset>-2</wp:posOffset>
                </wp:positionH>
                <wp:positionV relativeFrom="page">
                  <wp:posOffset>0</wp:posOffset>
                </wp:positionV>
                <wp:extent cx="7560309" cy="571309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7560309" cy="5713095"/>
                          <a:chExt cx="7560309" cy="5713095"/>
                        </a:xfrm>
                      </wpg:grpSpPr>
                      <pic:pic>
                        <pic:nvPicPr>
                          <pic:cNvPr id="67" name="Image 67"/>
                          <pic:cNvPicPr/>
                        </pic:nvPicPr>
                        <pic:blipFill>
                          <a:blip r:embed="rId28" cstate="print"/>
                          <a:stretch>
                            <a:fillRect/>
                          </a:stretch>
                        </pic:blipFill>
                        <pic:spPr>
                          <a:xfrm>
                            <a:off x="2" y="0"/>
                            <a:ext cx="7559992" cy="2700007"/>
                          </a:xfrm>
                          <a:prstGeom prst="rect">
                            <a:avLst/>
                          </a:prstGeom>
                        </pic:spPr>
                      </pic:pic>
                      <wps:wsp>
                        <wps:cNvPr id="68" name="Graphic 68"/>
                        <wps:cNvSpPr/>
                        <wps:spPr>
                          <a:xfrm>
                            <a:off x="2" y="1530002"/>
                            <a:ext cx="7560309" cy="4183379"/>
                          </a:xfrm>
                          <a:custGeom>
                            <a:avLst/>
                            <a:gdLst/>
                            <a:ahLst/>
                            <a:cxnLst/>
                            <a:rect l="l" t="t" r="r" b="b"/>
                            <a:pathLst>
                              <a:path w="7560309" h="4183379">
                                <a:moveTo>
                                  <a:pt x="6840004" y="0"/>
                                </a:moveTo>
                                <a:lnTo>
                                  <a:pt x="0" y="0"/>
                                </a:lnTo>
                                <a:lnTo>
                                  <a:pt x="0" y="4182871"/>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70" name="Graphic 70"/>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449.85pt;mso-position-horizontal-relative:page;mso-position-vertical-relative:page;z-index:-19399680" id="docshapegroup42" coordorigin="0,0" coordsize="11906,8997">
                <v:shape style="position:absolute;left:0;top:0;width:11906;height:4252" type="#_x0000_t75" id="docshape43" stroked="false">
                  <v:imagedata r:id="rId28" o:title=""/>
                </v:shape>
                <v:shape style="position:absolute;left:0;top:2409;width:11906;height:6588" id="docshape44" coordorigin="0,2409" coordsize="11906,6588" path="m10772,2409l0,2409,0,8997,11906,8997,11906,2977,11846,2902,11798,2850,11749,2800,11697,2753,11642,2708,11586,2666,11527,2627,11467,2591,11404,2558,11340,2528,11274,2501,11206,2477,11137,2457,11066,2440,10994,2427,10921,2417,10847,2411,10772,2409xe" filled="true" fillcolor="#ffffff" stroked="false">
                  <v:path arrowok="t"/>
                  <v:fill type="solid"/>
                </v:shape>
                <v:shape style="position:absolute;left:0;top:0;width:11906;height:1819" id="docshape4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About the Authors" w:id="1"/>
      <w:bookmarkEnd w:id="1"/>
      <w:r>
        <w:rPr/>
      </w:r>
      <w:bookmarkStart w:name="_bookmark0" w:id="2"/>
      <w:bookmarkEnd w:id="2"/>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10"/>
          <w:position w:val="-1"/>
          <w:sz w:val="28"/>
        </w:rPr>
        <w:t>1</w:t>
      </w:r>
    </w:p>
    <w:p>
      <w:pPr>
        <w:pStyle w:val="BodyText"/>
        <w:spacing w:before="40"/>
        <w:rPr>
          <w:b/>
          <w:sz w:val="52"/>
        </w:rPr>
      </w:pPr>
    </w:p>
    <w:p>
      <w:pPr>
        <w:pStyle w:val="Heading1"/>
      </w:pPr>
      <w:r>
        <w:rPr>
          <w:color w:val="FFFFFF"/>
        </w:rPr>
        <w:t>About</w:t>
      </w:r>
      <w:r>
        <w:rPr>
          <w:color w:val="FFFFFF"/>
          <w:spacing w:val="-1"/>
        </w:rPr>
        <w:t> </w:t>
      </w:r>
      <w:r>
        <w:rPr>
          <w:color w:val="FFFFFF"/>
        </w:rPr>
        <w:t>the</w:t>
      </w:r>
      <w:r>
        <w:rPr>
          <w:color w:val="FFFFFF"/>
          <w:spacing w:val="-2"/>
        </w:rPr>
        <w:t> Authors</w:t>
      </w:r>
    </w:p>
    <w:p>
      <w:pPr>
        <w:pStyle w:val="BodyText"/>
        <w:spacing w:line="232" w:lineRule="auto" w:before="385"/>
        <w:ind w:left="1117" w:right="738"/>
      </w:pPr>
      <w:r>
        <w:rPr>
          <w:b/>
        </w:rPr>
        <w:t>Dr Sarah Craig </w:t>
      </w:r>
      <w:r>
        <w:rPr/>
        <w:t>joined Ulster University as a Lecturer in Law in 2023, having previously taught at Queen’s University Belfast (2019-2023). Sarah’s research and teaching interests are in the areas of International and EU Refugee Law, Human Rights, Equality and Gender. Her PhD focused on solidarity within the Common European</w:t>
      </w:r>
      <w:r>
        <w:rPr>
          <w:spacing w:val="-9"/>
        </w:rPr>
        <w:t> </w:t>
      </w:r>
      <w:r>
        <w:rPr/>
        <w:t>Asylum</w:t>
      </w:r>
      <w:r>
        <w:rPr>
          <w:spacing w:val="-9"/>
        </w:rPr>
        <w:t> </w:t>
      </w:r>
      <w:r>
        <w:rPr/>
        <w:t>System,</w:t>
      </w:r>
      <w:r>
        <w:rPr>
          <w:spacing w:val="-9"/>
        </w:rPr>
        <w:t> </w:t>
      </w:r>
      <w:r>
        <w:rPr/>
        <w:t>specifically</w:t>
      </w:r>
      <w:r>
        <w:rPr>
          <w:spacing w:val="-9"/>
        </w:rPr>
        <w:t> </w:t>
      </w:r>
      <w:r>
        <w:rPr/>
        <w:t>looking</w:t>
      </w:r>
      <w:r>
        <w:rPr>
          <w:spacing w:val="-9"/>
        </w:rPr>
        <w:t> </w:t>
      </w:r>
      <w:r>
        <w:rPr/>
        <w:t>at</w:t>
      </w:r>
      <w:r>
        <w:rPr>
          <w:spacing w:val="-9"/>
        </w:rPr>
        <w:t> </w:t>
      </w:r>
      <w:r>
        <w:rPr/>
        <w:t>regional</w:t>
      </w:r>
      <w:r>
        <w:rPr>
          <w:spacing w:val="-9"/>
        </w:rPr>
        <w:t> </w:t>
      </w:r>
      <w:r>
        <w:rPr/>
        <w:t>solidarity</w:t>
      </w:r>
      <w:r>
        <w:rPr>
          <w:spacing w:val="-11"/>
        </w:rPr>
        <w:t> </w:t>
      </w:r>
      <w:r>
        <w:rPr/>
        <w:t>and</w:t>
      </w:r>
      <w:r>
        <w:rPr>
          <w:spacing w:val="-9"/>
        </w:rPr>
        <w:t> </w:t>
      </w:r>
      <w:r>
        <w:rPr/>
        <w:t>fair-sharing </w:t>
      </w:r>
      <w:r>
        <w:rPr>
          <w:spacing w:val="-2"/>
        </w:rPr>
        <w:t>ambitions.</w:t>
      </w:r>
    </w:p>
    <w:p>
      <w:pPr>
        <w:pStyle w:val="BodyText"/>
        <w:spacing w:line="232" w:lineRule="auto" w:before="275"/>
        <w:ind w:left="1117" w:right="1087"/>
      </w:pPr>
      <w:r>
        <w:rPr>
          <w:b/>
        </w:rPr>
        <w:t>Dr</w:t>
      </w:r>
      <w:r>
        <w:rPr>
          <w:b/>
          <w:spacing w:val="-6"/>
        </w:rPr>
        <w:t> </w:t>
      </w:r>
      <w:r>
        <w:rPr>
          <w:b/>
        </w:rPr>
        <w:t>Claire</w:t>
      </w:r>
      <w:r>
        <w:rPr>
          <w:b/>
          <w:spacing w:val="-6"/>
        </w:rPr>
        <w:t> </w:t>
      </w:r>
      <w:r>
        <w:rPr>
          <w:b/>
        </w:rPr>
        <w:t>Lougarre</w:t>
      </w:r>
      <w:r>
        <w:rPr>
          <w:b/>
          <w:spacing w:val="-6"/>
        </w:rPr>
        <w:t> </w:t>
      </w:r>
      <w:r>
        <w:rPr/>
        <w:t>is</w:t>
      </w:r>
      <w:r>
        <w:rPr>
          <w:spacing w:val="-6"/>
        </w:rPr>
        <w:t> </w:t>
      </w:r>
      <w:r>
        <w:rPr/>
        <w:t>a</w:t>
      </w:r>
      <w:r>
        <w:rPr>
          <w:spacing w:val="-6"/>
        </w:rPr>
        <w:t> </w:t>
      </w:r>
      <w:r>
        <w:rPr/>
        <w:t>Lecturer</w:t>
      </w:r>
      <w:r>
        <w:rPr>
          <w:spacing w:val="-5"/>
        </w:rPr>
        <w:t> </w:t>
      </w:r>
      <w:r>
        <w:rPr/>
        <w:t>at</w:t>
      </w:r>
      <w:r>
        <w:rPr>
          <w:spacing w:val="-5"/>
        </w:rPr>
        <w:t> </w:t>
      </w:r>
      <w:r>
        <w:rPr/>
        <w:t>Ulster</w:t>
      </w:r>
      <w:r>
        <w:rPr>
          <w:spacing w:val="-5"/>
        </w:rPr>
        <w:t> </w:t>
      </w:r>
      <w:r>
        <w:rPr/>
        <w:t>University</w:t>
      </w:r>
      <w:r>
        <w:rPr>
          <w:spacing w:val="-5"/>
        </w:rPr>
        <w:t> </w:t>
      </w:r>
      <w:r>
        <w:rPr/>
        <w:t>School</w:t>
      </w:r>
      <w:r>
        <w:rPr>
          <w:spacing w:val="-6"/>
        </w:rPr>
        <w:t> </w:t>
      </w:r>
      <w:r>
        <w:rPr/>
        <w:t>of</w:t>
      </w:r>
      <w:r>
        <w:rPr>
          <w:spacing w:val="-6"/>
        </w:rPr>
        <w:t> </w:t>
      </w:r>
      <w:r>
        <w:rPr/>
        <w:t>Law</w:t>
      </w:r>
      <w:r>
        <w:rPr>
          <w:spacing w:val="-5"/>
        </w:rPr>
        <w:t> </w:t>
      </w:r>
      <w:r>
        <w:rPr/>
        <w:t>and</w:t>
      </w:r>
      <w:r>
        <w:rPr>
          <w:spacing w:val="-6"/>
        </w:rPr>
        <w:t> </w:t>
      </w:r>
      <w:r>
        <w:rPr/>
        <w:t>a</w:t>
      </w:r>
      <w:r>
        <w:rPr>
          <w:spacing w:val="-6"/>
        </w:rPr>
        <w:t> </w:t>
      </w:r>
      <w:r>
        <w:rPr/>
        <w:t>member of the Transitional Justice Institute, having previously taught at the University</w:t>
      </w:r>
    </w:p>
    <w:p>
      <w:pPr>
        <w:pStyle w:val="BodyText"/>
        <w:spacing w:line="232" w:lineRule="auto"/>
        <w:ind w:left="1117" w:right="738"/>
      </w:pPr>
      <w:r>
        <w:rPr/>
        <w:t>of Southampton (2014-2022). Claire’s primary research expertise lies at the intersection</w:t>
      </w:r>
      <w:r>
        <w:rPr>
          <w:spacing w:val="-3"/>
        </w:rPr>
        <w:t> </w:t>
      </w:r>
      <w:r>
        <w:rPr/>
        <w:t>of</w:t>
      </w:r>
      <w:r>
        <w:rPr>
          <w:spacing w:val="-3"/>
        </w:rPr>
        <w:t> </w:t>
      </w:r>
      <w:r>
        <w:rPr/>
        <w:t>human</w:t>
      </w:r>
      <w:r>
        <w:rPr>
          <w:spacing w:val="-3"/>
        </w:rPr>
        <w:t> </w:t>
      </w:r>
      <w:r>
        <w:rPr/>
        <w:t>rights</w:t>
      </w:r>
      <w:r>
        <w:rPr>
          <w:spacing w:val="-3"/>
        </w:rPr>
        <w:t> </w:t>
      </w:r>
      <w:r>
        <w:rPr/>
        <w:t>law</w:t>
      </w:r>
      <w:r>
        <w:rPr>
          <w:spacing w:val="-2"/>
        </w:rPr>
        <w:t> </w:t>
      </w:r>
      <w:r>
        <w:rPr/>
        <w:t>and</w:t>
      </w:r>
      <w:r>
        <w:rPr>
          <w:spacing w:val="-3"/>
        </w:rPr>
        <w:t> </w:t>
      </w:r>
      <w:r>
        <w:rPr/>
        <w:t>health,</w:t>
      </w:r>
      <w:r>
        <w:rPr>
          <w:spacing w:val="-2"/>
        </w:rPr>
        <w:t> </w:t>
      </w:r>
      <w:r>
        <w:rPr/>
        <w:t>including</w:t>
      </w:r>
      <w:r>
        <w:rPr>
          <w:spacing w:val="-2"/>
        </w:rPr>
        <w:t> </w:t>
      </w:r>
      <w:r>
        <w:rPr/>
        <w:t>the</w:t>
      </w:r>
      <w:r>
        <w:rPr>
          <w:spacing w:val="-2"/>
        </w:rPr>
        <w:t> </w:t>
      </w:r>
      <w:r>
        <w:rPr/>
        <w:t>right</w:t>
      </w:r>
      <w:r>
        <w:rPr>
          <w:spacing w:val="-2"/>
        </w:rPr>
        <w:t> </w:t>
      </w:r>
      <w:r>
        <w:rPr/>
        <w:t>to</w:t>
      </w:r>
      <w:r>
        <w:rPr>
          <w:spacing w:val="-3"/>
        </w:rPr>
        <w:t> </w:t>
      </w:r>
      <w:r>
        <w:rPr/>
        <w:t>health.</w:t>
      </w:r>
      <w:r>
        <w:rPr>
          <w:spacing w:val="-3"/>
        </w:rPr>
        <w:t> </w:t>
      </w:r>
      <w:r>
        <w:rPr/>
        <w:t>Broadly speaking,</w:t>
      </w:r>
      <w:r>
        <w:rPr>
          <w:spacing w:val="-9"/>
        </w:rPr>
        <w:t> </w:t>
      </w:r>
      <w:r>
        <w:rPr/>
        <w:t>she</w:t>
      </w:r>
      <w:r>
        <w:rPr>
          <w:spacing w:val="-9"/>
        </w:rPr>
        <w:t> </w:t>
      </w:r>
      <w:r>
        <w:rPr/>
        <w:t>is</w:t>
      </w:r>
      <w:r>
        <w:rPr>
          <w:spacing w:val="-9"/>
        </w:rPr>
        <w:t> </w:t>
      </w:r>
      <w:r>
        <w:rPr/>
        <w:t>interested</w:t>
      </w:r>
      <w:r>
        <w:rPr>
          <w:spacing w:val="-9"/>
        </w:rPr>
        <w:t> </w:t>
      </w:r>
      <w:r>
        <w:rPr/>
        <w:t>in</w:t>
      </w:r>
      <w:r>
        <w:rPr>
          <w:spacing w:val="-9"/>
        </w:rPr>
        <w:t> </w:t>
      </w:r>
      <w:r>
        <w:rPr/>
        <w:t>international</w:t>
      </w:r>
      <w:r>
        <w:rPr>
          <w:spacing w:val="-9"/>
        </w:rPr>
        <w:t> </w:t>
      </w:r>
      <w:r>
        <w:rPr/>
        <w:t>and</w:t>
      </w:r>
      <w:r>
        <w:rPr>
          <w:spacing w:val="-9"/>
        </w:rPr>
        <w:t> </w:t>
      </w:r>
      <w:r>
        <w:rPr/>
        <w:t>European</w:t>
      </w:r>
      <w:r>
        <w:rPr>
          <w:spacing w:val="-9"/>
        </w:rPr>
        <w:t> </w:t>
      </w:r>
      <w:r>
        <w:rPr/>
        <w:t>human</w:t>
      </w:r>
      <w:r>
        <w:rPr>
          <w:spacing w:val="-9"/>
        </w:rPr>
        <w:t> </w:t>
      </w:r>
      <w:r>
        <w:rPr/>
        <w:t>rights</w:t>
      </w:r>
      <w:r>
        <w:rPr>
          <w:spacing w:val="-9"/>
        </w:rPr>
        <w:t> </w:t>
      </w:r>
      <w:r>
        <w:rPr/>
        <w:t>law,</w:t>
      </w:r>
      <w:r>
        <w:rPr>
          <w:spacing w:val="-9"/>
        </w:rPr>
        <w:t> </w:t>
      </w:r>
      <w:r>
        <w:rPr/>
        <w:t>sexual and reproductive health/rights, the law of treaties.</w:t>
      </w:r>
    </w:p>
    <w:p>
      <w:pPr>
        <w:pStyle w:val="BodyText"/>
        <w:spacing w:line="232" w:lineRule="auto" w:before="274"/>
        <w:ind w:left="1117" w:right="738"/>
      </w:pPr>
      <w:r>
        <w:rPr>
          <w:b/>
        </w:rPr>
        <w:t>Prof</w:t>
      </w:r>
      <w:r>
        <w:rPr>
          <w:b/>
          <w:spacing w:val="-7"/>
        </w:rPr>
        <w:t> </w:t>
      </w:r>
      <w:r>
        <w:rPr>
          <w:b/>
        </w:rPr>
        <w:t>Rory</w:t>
      </w:r>
      <w:r>
        <w:rPr>
          <w:b/>
          <w:spacing w:val="-6"/>
        </w:rPr>
        <w:t> </w:t>
      </w:r>
      <w:r>
        <w:rPr>
          <w:b/>
        </w:rPr>
        <w:t>O’Connell</w:t>
      </w:r>
      <w:r>
        <w:rPr>
          <w:b/>
          <w:spacing w:val="-7"/>
        </w:rPr>
        <w:t> </w:t>
      </w:r>
      <w:r>
        <w:rPr/>
        <w:t>is</w:t>
      </w:r>
      <w:r>
        <w:rPr>
          <w:spacing w:val="-7"/>
        </w:rPr>
        <w:t> </w:t>
      </w:r>
      <w:r>
        <w:rPr/>
        <w:t>Professor</w:t>
      </w:r>
      <w:r>
        <w:rPr>
          <w:spacing w:val="-6"/>
        </w:rPr>
        <w:t> </w:t>
      </w:r>
      <w:r>
        <w:rPr/>
        <w:t>of</w:t>
      </w:r>
      <w:r>
        <w:rPr>
          <w:spacing w:val="-7"/>
        </w:rPr>
        <w:t> </w:t>
      </w:r>
      <w:r>
        <w:rPr/>
        <w:t>Human</w:t>
      </w:r>
      <w:r>
        <w:rPr>
          <w:spacing w:val="-7"/>
        </w:rPr>
        <w:t> </w:t>
      </w:r>
      <w:r>
        <w:rPr/>
        <w:t>Rights</w:t>
      </w:r>
      <w:r>
        <w:rPr>
          <w:spacing w:val="-7"/>
        </w:rPr>
        <w:t> </w:t>
      </w:r>
      <w:r>
        <w:rPr/>
        <w:t>and</w:t>
      </w:r>
      <w:r>
        <w:rPr>
          <w:spacing w:val="-7"/>
        </w:rPr>
        <w:t> </w:t>
      </w:r>
      <w:r>
        <w:rPr/>
        <w:t>Constitutional</w:t>
      </w:r>
      <w:r>
        <w:rPr>
          <w:spacing w:val="-7"/>
        </w:rPr>
        <w:t> </w:t>
      </w:r>
      <w:r>
        <w:rPr/>
        <w:t>Law</w:t>
      </w:r>
      <w:r>
        <w:rPr>
          <w:spacing w:val="-6"/>
        </w:rPr>
        <w:t> </w:t>
      </w:r>
      <w:r>
        <w:rPr/>
        <w:t>at</w:t>
      </w:r>
      <w:r>
        <w:rPr>
          <w:spacing w:val="-6"/>
        </w:rPr>
        <w:t> </w:t>
      </w:r>
      <w:r>
        <w:rPr/>
        <w:t>Ulster University. He is currently the Director of Development and Partnerships in the School</w:t>
      </w:r>
      <w:r>
        <w:rPr>
          <w:spacing w:val="-3"/>
        </w:rPr>
        <w:t> </w:t>
      </w:r>
      <w:r>
        <w:rPr/>
        <w:t>of</w:t>
      </w:r>
      <w:r>
        <w:rPr>
          <w:spacing w:val="-3"/>
        </w:rPr>
        <w:t> </w:t>
      </w:r>
      <w:r>
        <w:rPr/>
        <w:t>Law</w:t>
      </w:r>
      <w:r>
        <w:rPr>
          <w:spacing w:val="-2"/>
        </w:rPr>
        <w:t> </w:t>
      </w:r>
      <w:r>
        <w:rPr/>
        <w:t>Ulster.</w:t>
      </w:r>
      <w:r>
        <w:rPr>
          <w:spacing w:val="-3"/>
        </w:rPr>
        <w:t> </w:t>
      </w:r>
      <w:r>
        <w:rPr/>
        <w:t>He</w:t>
      </w:r>
      <w:r>
        <w:rPr>
          <w:spacing w:val="-2"/>
        </w:rPr>
        <w:t> </w:t>
      </w:r>
      <w:r>
        <w:rPr/>
        <w:t>has</w:t>
      </w:r>
      <w:r>
        <w:rPr>
          <w:spacing w:val="-3"/>
        </w:rPr>
        <w:t> </w:t>
      </w:r>
      <w:r>
        <w:rPr/>
        <w:t>been</w:t>
      </w:r>
      <w:r>
        <w:rPr>
          <w:spacing w:val="-3"/>
        </w:rPr>
        <w:t> </w:t>
      </w:r>
      <w:r>
        <w:rPr/>
        <w:t>the</w:t>
      </w:r>
      <w:r>
        <w:rPr>
          <w:spacing w:val="-2"/>
        </w:rPr>
        <w:t> </w:t>
      </w:r>
      <w:r>
        <w:rPr/>
        <w:t>Director</w:t>
      </w:r>
      <w:r>
        <w:rPr>
          <w:spacing w:val="-2"/>
        </w:rPr>
        <w:t> </w:t>
      </w:r>
      <w:r>
        <w:rPr/>
        <w:t>of</w:t>
      </w:r>
      <w:r>
        <w:rPr>
          <w:spacing w:val="-3"/>
        </w:rPr>
        <w:t> </w:t>
      </w:r>
      <w:r>
        <w:rPr/>
        <w:t>the</w:t>
      </w:r>
      <w:r>
        <w:rPr>
          <w:spacing w:val="-2"/>
        </w:rPr>
        <w:t> </w:t>
      </w:r>
      <w:r>
        <w:rPr/>
        <w:t>Transitional</w:t>
      </w:r>
      <w:r>
        <w:rPr>
          <w:spacing w:val="-3"/>
        </w:rPr>
        <w:t> </w:t>
      </w:r>
      <w:r>
        <w:rPr/>
        <w:t>Justice</w:t>
      </w:r>
      <w:r>
        <w:rPr>
          <w:spacing w:val="-2"/>
        </w:rPr>
        <w:t> </w:t>
      </w:r>
      <w:r>
        <w:rPr/>
        <w:t>Institute (TJI) and Research Director for Law at Ulster. His research and teaching interests focus on human rights, equality law, comparative constitutional law and legal </w:t>
      </w:r>
      <w:r>
        <w:rPr>
          <w:spacing w:val="-2"/>
        </w:rPr>
        <w:t>theory.</w:t>
      </w:r>
    </w:p>
    <w:p>
      <w:pPr>
        <w:spacing w:after="0" w:line="232" w:lineRule="auto"/>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23968">
                <wp:simplePos x="0" y="0"/>
                <wp:positionH relativeFrom="page">
                  <wp:posOffset>0</wp:posOffset>
                </wp:positionH>
                <wp:positionV relativeFrom="page">
                  <wp:posOffset>0</wp:posOffset>
                </wp:positionV>
                <wp:extent cx="7560309" cy="571309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7560309" cy="5713095"/>
                          <a:chExt cx="7560309" cy="5713095"/>
                        </a:xfrm>
                      </wpg:grpSpPr>
                      <pic:pic>
                        <pic:nvPicPr>
                          <pic:cNvPr id="72" name="Image 72"/>
                          <pic:cNvPicPr/>
                        </pic:nvPicPr>
                        <pic:blipFill>
                          <a:blip r:embed="rId29" cstate="print"/>
                          <a:stretch>
                            <a:fillRect/>
                          </a:stretch>
                        </pic:blipFill>
                        <pic:spPr>
                          <a:xfrm>
                            <a:off x="0" y="0"/>
                            <a:ext cx="7559992" cy="2700007"/>
                          </a:xfrm>
                          <a:prstGeom prst="rect">
                            <a:avLst/>
                          </a:prstGeom>
                        </pic:spPr>
                      </pic:pic>
                      <wps:wsp>
                        <wps:cNvPr id="73" name="Graphic 73"/>
                        <wps:cNvSpPr/>
                        <wps:spPr>
                          <a:xfrm>
                            <a:off x="0" y="1530002"/>
                            <a:ext cx="7560309" cy="4183379"/>
                          </a:xfrm>
                          <a:custGeom>
                            <a:avLst/>
                            <a:gdLst/>
                            <a:ahLst/>
                            <a:cxnLst/>
                            <a:rect l="l" t="t" r="r" b="b"/>
                            <a:pathLst>
                              <a:path w="7560309" h="4183379">
                                <a:moveTo>
                                  <a:pt x="7560005" y="0"/>
                                </a:moveTo>
                                <a:lnTo>
                                  <a:pt x="719996" y="0"/>
                                </a:lnTo>
                                <a:lnTo>
                                  <a:pt x="672198" y="1247"/>
                                </a:lnTo>
                                <a:lnTo>
                                  <a:pt x="625050" y="4948"/>
                                </a:lnTo>
                                <a:lnTo>
                                  <a:pt x="578614" y="11041"/>
                                </a:lnTo>
                                <a:lnTo>
                                  <a:pt x="532952" y="19462"/>
                                </a:lnTo>
                                <a:lnTo>
                                  <a:pt x="488127" y="30151"/>
                                </a:lnTo>
                                <a:lnTo>
                                  <a:pt x="444200" y="43044"/>
                                </a:lnTo>
                                <a:lnTo>
                                  <a:pt x="401233" y="58081"/>
                                </a:lnTo>
                                <a:lnTo>
                                  <a:pt x="359290" y="75197"/>
                                </a:lnTo>
                                <a:lnTo>
                                  <a:pt x="318432" y="94332"/>
                                </a:lnTo>
                                <a:lnTo>
                                  <a:pt x="278722" y="115422"/>
                                </a:lnTo>
                                <a:lnTo>
                                  <a:pt x="240220" y="138406"/>
                                </a:lnTo>
                                <a:lnTo>
                                  <a:pt x="202991" y="163222"/>
                                </a:lnTo>
                                <a:lnTo>
                                  <a:pt x="167096" y="189808"/>
                                </a:lnTo>
                                <a:lnTo>
                                  <a:pt x="132597" y="218100"/>
                                </a:lnTo>
                                <a:lnTo>
                                  <a:pt x="99556" y="248038"/>
                                </a:lnTo>
                                <a:lnTo>
                                  <a:pt x="68036" y="279558"/>
                                </a:lnTo>
                                <a:lnTo>
                                  <a:pt x="38098" y="312599"/>
                                </a:lnTo>
                                <a:lnTo>
                                  <a:pt x="9806" y="347098"/>
                                </a:lnTo>
                                <a:lnTo>
                                  <a:pt x="0" y="360338"/>
                                </a:lnTo>
                                <a:lnTo>
                                  <a:pt x="0" y="4182872"/>
                                </a:lnTo>
                                <a:lnTo>
                                  <a:pt x="7560005" y="4182871"/>
                                </a:lnTo>
                                <a:lnTo>
                                  <a:pt x="7560005"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647999" y="1918378"/>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75" name="Graphic 75"/>
                        <wps:cNvSpPr/>
                        <wps:spPr>
                          <a:xfrm>
                            <a:off x="647999" y="2217928"/>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76" name="Graphic 76"/>
                        <wps:cNvSpPr/>
                        <wps:spPr>
                          <a:xfrm>
                            <a:off x="647999" y="2499478"/>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77" name="Graphic 77"/>
                        <wps:cNvSpPr/>
                        <wps:spPr>
                          <a:xfrm>
                            <a:off x="647999" y="2781028"/>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78" name="Graphic 78"/>
                        <wps:cNvSpPr/>
                        <wps:spPr>
                          <a:xfrm>
                            <a:off x="647999" y="3062578"/>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79" name="Graphic 79"/>
                        <wps:cNvSpPr/>
                        <wps:spPr>
                          <a:xfrm>
                            <a:off x="647999" y="3344128"/>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80" name="Graphic 80"/>
                        <wps:cNvSpPr/>
                        <wps:spPr>
                          <a:xfrm>
                            <a:off x="647999" y="3625679"/>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81" name="Graphic 81"/>
                        <wps:cNvSpPr/>
                        <wps:spPr>
                          <a:xfrm>
                            <a:off x="647999" y="3907228"/>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82" name="Graphic 82"/>
                        <wps:cNvSpPr/>
                        <wps:spPr>
                          <a:xfrm>
                            <a:off x="647999" y="4188779"/>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83" name="Graphic 83"/>
                        <wps:cNvSpPr/>
                        <wps:spPr>
                          <a:xfrm>
                            <a:off x="647999" y="4470329"/>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84" name="Graphic 84"/>
                        <wps:cNvSpPr/>
                        <wps:spPr>
                          <a:xfrm>
                            <a:off x="647999" y="4751879"/>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85" name="Graphic 85"/>
                        <wps:cNvSpPr/>
                        <wps:spPr>
                          <a:xfrm>
                            <a:off x="647999" y="5033429"/>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86" name="Graphic 86"/>
                        <wps:cNvSpPr/>
                        <wps:spPr>
                          <a:xfrm>
                            <a:off x="647999" y="5314978"/>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87" name="Graphic 87"/>
                        <wps:cNvSpPr/>
                        <wps:spPr>
                          <a:xfrm>
                            <a:off x="647999" y="5596529"/>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wps:wsp>
                        <wps:cNvPr id="88" name="Graphic 88"/>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89" name="Graphic 89"/>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449.85pt;mso-position-horizontal-relative:page;mso-position-vertical-relative:page;z-index:-19392512" id="docshapegroup46" coordorigin="0,0" coordsize="11906,8997">
                <v:shape style="position:absolute;left:0;top:0;width:11906;height:4252" type="#_x0000_t75" id="docshape47" stroked="false">
                  <v:imagedata r:id="rId29" o:title=""/>
                </v:shape>
                <v:shape style="position:absolute;left:0;top:2409;width:11906;height:6588" id="docshape48" coordorigin="0,2409" coordsize="11906,6588" path="m11906,2409l1134,2409,1059,2411,984,2417,911,2427,839,2440,769,2457,700,2477,632,2501,566,2528,501,2558,439,2591,378,2627,320,2666,263,2708,209,2753,157,2800,107,2850,60,2902,15,2956,0,2977,0,8997,11906,8997,11906,2409xe" filled="true" fillcolor="#ffffff" stroked="false">
                  <v:path arrowok="t"/>
                  <v:fill type="solid"/>
                </v:shape>
                <v:line style="position:absolute" from="1020,3021" to="10488,3021" stroked="true" strokeweight=".5pt" strokecolor="#36a9e1">
                  <v:stroke dashstyle="solid"/>
                </v:line>
                <v:line style="position:absolute" from="1020,3493" to="10488,3493" stroked="true" strokeweight=".5pt" strokecolor="#36a9e1">
                  <v:stroke dashstyle="solid"/>
                </v:line>
                <v:line style="position:absolute" from="1020,3936" to="10488,3936" stroked="true" strokeweight=".5pt" strokecolor="#36a9e1">
                  <v:stroke dashstyle="solid"/>
                </v:line>
                <v:line style="position:absolute" from="1020,4380" to="10488,4380" stroked="true" strokeweight=".5pt" strokecolor="#36a9e1">
                  <v:stroke dashstyle="solid"/>
                </v:line>
                <v:line style="position:absolute" from="1020,4823" to="10488,4823" stroked="true" strokeweight=".5pt" strokecolor="#36a9e1">
                  <v:stroke dashstyle="solid"/>
                </v:line>
                <v:line style="position:absolute" from="1020,5266" to="10488,5266" stroked="true" strokeweight=".5pt" strokecolor="#36a9e1">
                  <v:stroke dashstyle="solid"/>
                </v:line>
                <v:line style="position:absolute" from="1020,5710" to="10488,5710" stroked="true" strokeweight=".5pt" strokecolor="#36a9e1">
                  <v:stroke dashstyle="solid"/>
                </v:line>
                <v:line style="position:absolute" from="1020,6153" to="10488,6153" stroked="true" strokeweight=".5pt" strokecolor="#36a9e1">
                  <v:stroke dashstyle="solid"/>
                </v:line>
                <v:line style="position:absolute" from="1020,6597" to="10488,6597" stroked="true" strokeweight=".5pt" strokecolor="#36a9e1">
                  <v:stroke dashstyle="solid"/>
                </v:line>
                <v:line style="position:absolute" from="1020,7040" to="10488,7040" stroked="true" strokeweight=".5pt" strokecolor="#36a9e1">
                  <v:stroke dashstyle="solid"/>
                </v:line>
                <v:line style="position:absolute" from="1020,7483" to="10488,7483" stroked="true" strokeweight=".5pt" strokecolor="#36a9e1">
                  <v:stroke dashstyle="solid"/>
                </v:line>
                <v:line style="position:absolute" from="1020,7927" to="10488,7927" stroked="true" strokeweight=".5pt" strokecolor="#36a9e1">
                  <v:stroke dashstyle="solid"/>
                </v:line>
                <v:line style="position:absolute" from="1020,8370" to="10488,8370" stroked="true" strokeweight=".5pt" strokecolor="#36a9e1">
                  <v:stroke dashstyle="solid"/>
                </v:line>
                <v:line style="position:absolute" from="1020,8813" to="10488,8813" stroked="true" strokeweight=".5pt" strokecolor="#36a9e1">
                  <v:stroke dashstyle="solid"/>
                </v:line>
                <v:shape style="position:absolute;left:0;top:0;width:11906;height:1819" id="docshape49"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252" w:right="0" w:firstLine="0"/>
        <w:jc w:val="left"/>
        <w:rPr>
          <w:b/>
          <w:sz w:val="24"/>
        </w:rPr>
      </w:pPr>
      <w:bookmarkStart w:name="List of Abbreviations" w:id="3"/>
      <w:bookmarkEnd w:id="3"/>
      <w:r>
        <w:rPr/>
      </w:r>
      <w:bookmarkStart w:name="_bookmark1" w:id="4"/>
      <w:bookmarkEnd w:id="4"/>
      <w:r>
        <w:rPr/>
      </w:r>
      <w:r>
        <w:rPr>
          <w:b/>
          <w:color w:val="FFFFFF"/>
          <w:spacing w:val="-10"/>
          <w:position w:val="-1"/>
          <w:sz w:val="28"/>
        </w:rPr>
        <w:t>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spacing w:before="40"/>
        <w:rPr>
          <w:b/>
          <w:sz w:val="52"/>
        </w:rPr>
      </w:pPr>
    </w:p>
    <w:p>
      <w:pPr>
        <w:pStyle w:val="Heading1"/>
        <w:ind w:left="720"/>
      </w:pPr>
      <w:r>
        <w:rPr>
          <w:color w:val="FFFFFF"/>
        </w:rPr>
        <w:t>List</w:t>
      </w:r>
      <w:r>
        <w:rPr>
          <w:color w:val="FFFFFF"/>
          <w:spacing w:val="-5"/>
        </w:rPr>
        <w:t> </w:t>
      </w:r>
      <w:r>
        <w:rPr>
          <w:color w:val="FFFFFF"/>
        </w:rPr>
        <w:t>of</w:t>
      </w:r>
      <w:r>
        <w:rPr>
          <w:color w:val="FFFFFF"/>
          <w:spacing w:val="-4"/>
        </w:rPr>
        <w:t> </w:t>
      </w:r>
      <w:r>
        <w:rPr>
          <w:color w:val="FFFFFF"/>
          <w:spacing w:val="-2"/>
        </w:rPr>
        <w:t>Abbreviations</w:t>
      </w:r>
    </w:p>
    <w:p>
      <w:pPr>
        <w:pStyle w:val="BodyText"/>
        <w:tabs>
          <w:tab w:pos="1854" w:val="left" w:leader="none"/>
        </w:tabs>
        <w:spacing w:before="377"/>
        <w:ind w:left="720"/>
      </w:pPr>
      <w:r>
        <w:rPr>
          <w:b/>
          <w:color w:val="004A93"/>
          <w:spacing w:val="-5"/>
        </w:rPr>
        <w:t>AG</w:t>
      </w:r>
      <w:r>
        <w:rPr>
          <w:b/>
          <w:color w:val="004A93"/>
        </w:rPr>
        <w:tab/>
      </w:r>
      <w:r>
        <w:rPr/>
        <w:t>Advocate</w:t>
      </w:r>
      <w:r>
        <w:rPr>
          <w:spacing w:val="-13"/>
        </w:rPr>
        <w:t> </w:t>
      </w:r>
      <w:r>
        <w:rPr>
          <w:spacing w:val="-2"/>
        </w:rPr>
        <w:t>General</w:t>
      </w:r>
    </w:p>
    <w:p>
      <w:pPr>
        <w:pStyle w:val="BodyText"/>
        <w:tabs>
          <w:tab w:pos="1854" w:val="left" w:leader="none"/>
        </w:tabs>
        <w:spacing w:before="130"/>
        <w:ind w:left="720"/>
      </w:pPr>
      <w:r>
        <w:rPr>
          <w:b/>
          <w:color w:val="004A93"/>
          <w:spacing w:val="-4"/>
        </w:rPr>
        <w:t>BGFA</w:t>
      </w:r>
      <w:r>
        <w:rPr>
          <w:b/>
          <w:color w:val="004A93"/>
        </w:rPr>
        <w:tab/>
      </w:r>
      <w:r>
        <w:rPr/>
        <w:t>The</w:t>
      </w:r>
      <w:r>
        <w:rPr>
          <w:spacing w:val="-6"/>
        </w:rPr>
        <w:t> </w:t>
      </w:r>
      <w:r>
        <w:rPr/>
        <w:t>Good</w:t>
      </w:r>
      <w:r>
        <w:rPr>
          <w:spacing w:val="-6"/>
        </w:rPr>
        <w:t> </w:t>
      </w:r>
      <w:r>
        <w:rPr/>
        <w:t>Friday</w:t>
      </w:r>
      <w:r>
        <w:rPr>
          <w:spacing w:val="-5"/>
        </w:rPr>
        <w:t> </w:t>
      </w:r>
      <w:r>
        <w:rPr/>
        <w:t>or</w:t>
      </w:r>
      <w:r>
        <w:rPr>
          <w:spacing w:val="-5"/>
        </w:rPr>
        <w:t> </w:t>
      </w:r>
      <w:r>
        <w:rPr/>
        <w:t>Belfast</w:t>
      </w:r>
      <w:r>
        <w:rPr>
          <w:spacing w:val="-5"/>
        </w:rPr>
        <w:t> </w:t>
      </w:r>
      <w:r>
        <w:rPr/>
        <w:t>Agreement,</w:t>
      </w:r>
      <w:r>
        <w:rPr>
          <w:spacing w:val="-5"/>
        </w:rPr>
        <w:t> </w:t>
      </w:r>
      <w:r>
        <w:rPr>
          <w:spacing w:val="-4"/>
        </w:rPr>
        <w:t>1998</w:t>
      </w:r>
    </w:p>
    <w:p>
      <w:pPr>
        <w:pStyle w:val="BodyText"/>
        <w:tabs>
          <w:tab w:pos="1854" w:val="left" w:leader="none"/>
        </w:tabs>
        <w:spacing w:before="102"/>
        <w:ind w:left="720"/>
      </w:pPr>
      <w:r>
        <w:rPr>
          <w:b/>
          <w:color w:val="004A93"/>
          <w:spacing w:val="-5"/>
        </w:rPr>
        <w:t>CEO</w:t>
      </w:r>
      <w:r>
        <w:rPr>
          <w:b/>
          <w:color w:val="004A93"/>
        </w:rPr>
        <w:tab/>
      </w:r>
      <w:r>
        <w:rPr/>
        <w:t>Chief</w:t>
      </w:r>
      <w:r>
        <w:rPr>
          <w:spacing w:val="-12"/>
        </w:rPr>
        <w:t> </w:t>
      </w:r>
      <w:r>
        <w:rPr/>
        <w:t>Executive</w:t>
      </w:r>
      <w:r>
        <w:rPr>
          <w:spacing w:val="-11"/>
        </w:rPr>
        <w:t> </w:t>
      </w:r>
      <w:r>
        <w:rPr>
          <w:spacing w:val="-2"/>
        </w:rPr>
        <w:t>Officer</w:t>
      </w:r>
    </w:p>
    <w:p>
      <w:pPr>
        <w:pStyle w:val="BodyText"/>
        <w:tabs>
          <w:tab w:pos="1854" w:val="left" w:leader="none"/>
        </w:tabs>
        <w:spacing w:before="101"/>
        <w:ind w:left="720"/>
      </w:pPr>
      <w:r>
        <w:rPr>
          <w:b/>
          <w:color w:val="004A93"/>
          <w:spacing w:val="-5"/>
        </w:rPr>
        <w:t>CFR</w:t>
      </w:r>
      <w:r>
        <w:rPr>
          <w:b/>
          <w:color w:val="004A93"/>
        </w:rPr>
        <w:tab/>
      </w:r>
      <w:r>
        <w:rPr/>
        <w:t>Charter</w:t>
      </w:r>
      <w:r>
        <w:rPr>
          <w:spacing w:val="-6"/>
        </w:rPr>
        <w:t> </w:t>
      </w:r>
      <w:r>
        <w:rPr/>
        <w:t>of</w:t>
      </w:r>
      <w:r>
        <w:rPr>
          <w:spacing w:val="-6"/>
        </w:rPr>
        <w:t> </w:t>
      </w:r>
      <w:r>
        <w:rPr/>
        <w:t>Fundamental</w:t>
      </w:r>
      <w:r>
        <w:rPr>
          <w:spacing w:val="-7"/>
        </w:rPr>
        <w:t> </w:t>
      </w:r>
      <w:r>
        <w:rPr/>
        <w:t>Rights</w:t>
      </w:r>
      <w:r>
        <w:rPr>
          <w:spacing w:val="-6"/>
        </w:rPr>
        <w:t> </w:t>
      </w:r>
      <w:r>
        <w:rPr/>
        <w:t>of</w:t>
      </w:r>
      <w:r>
        <w:rPr>
          <w:spacing w:val="-7"/>
        </w:rPr>
        <w:t> </w:t>
      </w:r>
      <w:r>
        <w:rPr/>
        <w:t>the</w:t>
      </w:r>
      <w:r>
        <w:rPr>
          <w:spacing w:val="-5"/>
        </w:rPr>
        <w:t> </w:t>
      </w:r>
      <w:r>
        <w:rPr/>
        <w:t>European</w:t>
      </w:r>
      <w:r>
        <w:rPr>
          <w:spacing w:val="-6"/>
        </w:rPr>
        <w:t> </w:t>
      </w:r>
      <w:r>
        <w:rPr>
          <w:spacing w:val="-2"/>
        </w:rPr>
        <w:t>Union</w:t>
      </w:r>
    </w:p>
    <w:p>
      <w:pPr>
        <w:pStyle w:val="BodyText"/>
        <w:tabs>
          <w:tab w:pos="1854" w:val="left" w:leader="none"/>
        </w:tabs>
        <w:spacing w:line="312" w:lineRule="auto" w:before="102"/>
        <w:ind w:left="720" w:right="4839"/>
      </w:pPr>
      <w:r>
        <w:rPr>
          <w:b/>
          <w:color w:val="004A93"/>
          <w:spacing w:val="-4"/>
        </w:rPr>
        <w:t>CJEU</w:t>
      </w:r>
      <w:r>
        <w:rPr>
          <w:b/>
          <w:color w:val="004A93"/>
        </w:rPr>
        <w:tab/>
      </w:r>
      <w:r>
        <w:rPr/>
        <w:t>Court of Justice of the European Union </w:t>
      </w:r>
      <w:r>
        <w:rPr>
          <w:b/>
          <w:color w:val="004A93"/>
          <w:spacing w:val="-4"/>
        </w:rPr>
        <w:t>ECHR</w:t>
      </w:r>
      <w:r>
        <w:rPr>
          <w:b/>
          <w:color w:val="004A93"/>
        </w:rPr>
        <w:tab/>
      </w:r>
      <w:r>
        <w:rPr/>
        <w:t>European Convention on Human Rights </w:t>
      </w:r>
      <w:r>
        <w:rPr>
          <w:b/>
          <w:color w:val="004A93"/>
          <w:spacing w:val="-4"/>
        </w:rPr>
        <w:t>ECNI</w:t>
      </w:r>
      <w:r>
        <w:rPr>
          <w:b/>
          <w:color w:val="004A93"/>
        </w:rPr>
        <w:tab/>
      </w:r>
      <w:r>
        <w:rPr/>
        <w:t>Equality</w:t>
      </w:r>
      <w:r>
        <w:rPr>
          <w:spacing w:val="-10"/>
        </w:rPr>
        <w:t> </w:t>
      </w:r>
      <w:r>
        <w:rPr/>
        <w:t>Commission</w:t>
      </w:r>
      <w:r>
        <w:rPr>
          <w:spacing w:val="-11"/>
        </w:rPr>
        <w:t> </w:t>
      </w:r>
      <w:r>
        <w:rPr/>
        <w:t>of</w:t>
      </w:r>
      <w:r>
        <w:rPr>
          <w:spacing w:val="-11"/>
        </w:rPr>
        <w:t> </w:t>
      </w:r>
      <w:r>
        <w:rPr/>
        <w:t>Northern</w:t>
      </w:r>
      <w:r>
        <w:rPr>
          <w:spacing w:val="-11"/>
        </w:rPr>
        <w:t> </w:t>
      </w:r>
      <w:r>
        <w:rPr/>
        <w:t>Ireland </w:t>
      </w:r>
      <w:r>
        <w:rPr>
          <w:b/>
          <w:color w:val="004A93"/>
          <w:spacing w:val="-6"/>
        </w:rPr>
        <w:t>EU</w:t>
      </w:r>
      <w:r>
        <w:rPr>
          <w:b/>
          <w:color w:val="004A93"/>
        </w:rPr>
        <w:tab/>
      </w:r>
      <w:r>
        <w:rPr/>
        <w:t>European Union</w:t>
      </w:r>
    </w:p>
    <w:p>
      <w:pPr>
        <w:pStyle w:val="BodyText"/>
        <w:tabs>
          <w:tab w:pos="1854" w:val="left" w:leader="none"/>
        </w:tabs>
        <w:spacing w:line="312" w:lineRule="auto"/>
        <w:ind w:left="720" w:right="5462"/>
      </w:pPr>
      <w:r>
        <w:rPr>
          <w:b/>
          <w:color w:val="004A93"/>
          <w:spacing w:val="-4"/>
        </w:rPr>
        <w:t>EWHC</w:t>
      </w:r>
      <w:r>
        <w:rPr>
          <w:b/>
          <w:color w:val="004A93"/>
        </w:rPr>
        <w:tab/>
      </w:r>
      <w:r>
        <w:rPr/>
        <w:t>England and Wales High Court </w:t>
      </w:r>
      <w:r>
        <w:rPr>
          <w:b/>
          <w:color w:val="004A93"/>
          <w:spacing w:val="-4"/>
        </w:rPr>
        <w:t>GDPR</w:t>
      </w:r>
      <w:r>
        <w:rPr>
          <w:b/>
          <w:color w:val="004A93"/>
        </w:rPr>
        <w:tab/>
      </w:r>
      <w:r>
        <w:rPr/>
        <w:t>General</w:t>
      </w:r>
      <w:r>
        <w:rPr>
          <w:spacing w:val="-16"/>
        </w:rPr>
        <w:t> </w:t>
      </w:r>
      <w:r>
        <w:rPr/>
        <w:t>Data</w:t>
      </w:r>
      <w:r>
        <w:rPr>
          <w:spacing w:val="-16"/>
        </w:rPr>
        <w:t> </w:t>
      </w:r>
      <w:r>
        <w:rPr/>
        <w:t>Protection</w:t>
      </w:r>
      <w:r>
        <w:rPr>
          <w:spacing w:val="-16"/>
        </w:rPr>
        <w:t> </w:t>
      </w:r>
      <w:r>
        <w:rPr/>
        <w:t>Regulation </w:t>
      </w:r>
      <w:r>
        <w:rPr>
          <w:b/>
          <w:color w:val="004A93"/>
          <w:spacing w:val="-4"/>
        </w:rPr>
        <w:t>HRBA</w:t>
      </w:r>
      <w:r>
        <w:rPr>
          <w:b/>
          <w:color w:val="004A93"/>
        </w:rPr>
        <w:tab/>
      </w:r>
      <w:r>
        <w:rPr/>
        <w:t>Human Rights Based Approach</w:t>
      </w:r>
    </w:p>
    <w:p>
      <w:pPr>
        <w:pStyle w:val="BodyText"/>
        <w:tabs>
          <w:tab w:pos="1854" w:val="left" w:leader="none"/>
        </w:tabs>
        <w:spacing w:line="339" w:lineRule="exact"/>
        <w:ind w:left="720"/>
      </w:pPr>
      <w:r>
        <w:rPr>
          <w:b/>
          <w:color w:val="004A93"/>
          <w:spacing w:val="-2"/>
        </w:rPr>
        <w:t>IHREC</w:t>
      </w:r>
      <w:r>
        <w:rPr>
          <w:b/>
          <w:color w:val="004A93"/>
        </w:rPr>
        <w:tab/>
      </w:r>
      <w:r>
        <w:rPr/>
        <w:t>Irish</w:t>
      </w:r>
      <w:r>
        <w:rPr>
          <w:spacing w:val="-8"/>
        </w:rPr>
        <w:t> </w:t>
      </w:r>
      <w:r>
        <w:rPr/>
        <w:t>Human</w:t>
      </w:r>
      <w:r>
        <w:rPr>
          <w:spacing w:val="-5"/>
        </w:rPr>
        <w:t> </w:t>
      </w:r>
      <w:r>
        <w:rPr/>
        <w:t>Rights</w:t>
      </w:r>
      <w:r>
        <w:rPr>
          <w:spacing w:val="-5"/>
        </w:rPr>
        <w:t> </w:t>
      </w:r>
      <w:r>
        <w:rPr/>
        <w:t>and</w:t>
      </w:r>
      <w:r>
        <w:rPr>
          <w:spacing w:val="-5"/>
        </w:rPr>
        <w:t> </w:t>
      </w:r>
      <w:r>
        <w:rPr/>
        <w:t>Equality</w:t>
      </w:r>
      <w:r>
        <w:rPr>
          <w:spacing w:val="-4"/>
        </w:rPr>
        <w:t> </w:t>
      </w:r>
      <w:r>
        <w:rPr>
          <w:spacing w:val="-2"/>
        </w:rPr>
        <w:t>Commission</w:t>
      </w:r>
    </w:p>
    <w:p>
      <w:pPr>
        <w:pStyle w:val="BodyText"/>
        <w:tabs>
          <w:tab w:pos="1854" w:val="left" w:leader="none"/>
        </w:tabs>
        <w:spacing w:before="98"/>
        <w:ind w:left="720"/>
      </w:pPr>
      <w:r>
        <w:rPr>
          <w:b/>
          <w:color w:val="004A93"/>
          <w:spacing w:val="-2"/>
        </w:rPr>
        <w:t>ISEQ20</w:t>
      </w:r>
      <w:r>
        <w:rPr>
          <w:b/>
          <w:color w:val="004A93"/>
        </w:rPr>
        <w:tab/>
      </w:r>
      <w:r>
        <w:rPr/>
        <w:t>Ireland</w:t>
      </w:r>
      <w:r>
        <w:rPr>
          <w:spacing w:val="-12"/>
        </w:rPr>
        <w:t> </w:t>
      </w:r>
      <w:r>
        <w:rPr/>
        <w:t>Overall</w:t>
      </w:r>
      <w:r>
        <w:rPr>
          <w:spacing w:val="-9"/>
        </w:rPr>
        <w:t> </w:t>
      </w:r>
      <w:r>
        <w:rPr/>
        <w:t>Stock</w:t>
      </w:r>
      <w:r>
        <w:rPr>
          <w:spacing w:val="-8"/>
        </w:rPr>
        <w:t> </w:t>
      </w:r>
      <w:r>
        <w:rPr/>
        <w:t>Exchange</w:t>
      </w:r>
      <w:r>
        <w:rPr>
          <w:spacing w:val="-8"/>
        </w:rPr>
        <w:t> </w:t>
      </w:r>
      <w:r>
        <w:rPr>
          <w:spacing w:val="-2"/>
        </w:rPr>
        <w:t>Index</w:t>
      </w:r>
    </w:p>
    <w:p>
      <w:pPr>
        <w:pStyle w:val="BodyText"/>
        <w:tabs>
          <w:tab w:pos="1854" w:val="left" w:leader="none"/>
        </w:tabs>
        <w:spacing w:before="101"/>
        <w:ind w:left="720"/>
      </w:pPr>
      <w:r>
        <w:rPr>
          <w:b/>
          <w:color w:val="004A93"/>
          <w:spacing w:val="-2"/>
        </w:rPr>
        <w:t>LGBTI+</w:t>
      </w:r>
      <w:r>
        <w:rPr>
          <w:b/>
          <w:color w:val="004A93"/>
        </w:rPr>
        <w:tab/>
      </w:r>
      <w:r>
        <w:rPr>
          <w:spacing w:val="-2"/>
        </w:rPr>
        <w:t>Lesbian,</w:t>
      </w:r>
      <w:r>
        <w:rPr>
          <w:spacing w:val="-6"/>
        </w:rPr>
        <w:t> </w:t>
      </w:r>
      <w:r>
        <w:rPr>
          <w:spacing w:val="-2"/>
        </w:rPr>
        <w:t>Gay,</w:t>
      </w:r>
      <w:r>
        <w:rPr>
          <w:spacing w:val="-4"/>
        </w:rPr>
        <w:t> </w:t>
      </w:r>
      <w:r>
        <w:rPr>
          <w:spacing w:val="-2"/>
        </w:rPr>
        <w:t>Bisexual,</w:t>
      </w:r>
      <w:r>
        <w:rPr>
          <w:spacing w:val="-3"/>
        </w:rPr>
        <w:t> </w:t>
      </w:r>
      <w:r>
        <w:rPr>
          <w:spacing w:val="-2"/>
        </w:rPr>
        <w:t>Transgender,</w:t>
      </w:r>
      <w:r>
        <w:rPr>
          <w:spacing w:val="-5"/>
        </w:rPr>
        <w:t> </w:t>
      </w:r>
      <w:r>
        <w:rPr>
          <w:spacing w:val="-2"/>
        </w:rPr>
        <w:t>Intersex,</w:t>
      </w:r>
      <w:r>
        <w:rPr>
          <w:spacing w:val="-3"/>
        </w:rPr>
        <w:t> </w:t>
      </w:r>
      <w:r>
        <w:rPr>
          <w:spacing w:val="-4"/>
        </w:rPr>
        <w:t>Plus</w:t>
      </w:r>
    </w:p>
    <w:p>
      <w:pPr>
        <w:pStyle w:val="BodyText"/>
        <w:tabs>
          <w:tab w:pos="1854" w:val="left" w:leader="none"/>
        </w:tabs>
        <w:spacing w:before="102"/>
        <w:ind w:left="720"/>
      </w:pPr>
      <w:r>
        <w:rPr>
          <w:b/>
          <w:color w:val="004A93"/>
          <w:spacing w:val="-2"/>
        </w:rPr>
        <w:t>NDICI</w:t>
      </w:r>
      <w:r>
        <w:rPr>
          <w:b/>
          <w:color w:val="004A93"/>
        </w:rPr>
        <w:tab/>
      </w:r>
      <w:r>
        <w:rPr/>
        <w:t>Neighbourhood,</w:t>
      </w:r>
      <w:r>
        <w:rPr>
          <w:spacing w:val="-11"/>
        </w:rPr>
        <w:t> </w:t>
      </w:r>
      <w:r>
        <w:rPr/>
        <w:t>Development</w:t>
      </w:r>
      <w:r>
        <w:rPr>
          <w:spacing w:val="-11"/>
        </w:rPr>
        <w:t> </w:t>
      </w:r>
      <w:r>
        <w:rPr/>
        <w:t>and</w:t>
      </w:r>
      <w:r>
        <w:rPr>
          <w:spacing w:val="-11"/>
        </w:rPr>
        <w:t> </w:t>
      </w:r>
      <w:r>
        <w:rPr/>
        <w:t>International</w:t>
      </w:r>
      <w:r>
        <w:rPr>
          <w:spacing w:val="-12"/>
        </w:rPr>
        <w:t> </w:t>
      </w:r>
      <w:r>
        <w:rPr/>
        <w:t>Cooperation</w:t>
      </w:r>
      <w:r>
        <w:rPr>
          <w:spacing w:val="-12"/>
        </w:rPr>
        <w:t> </w:t>
      </w:r>
      <w:r>
        <w:rPr>
          <w:spacing w:val="-2"/>
        </w:rPr>
        <w:t>Instrument</w:t>
      </w:r>
    </w:p>
    <w:p>
      <w:pPr>
        <w:pStyle w:val="BodyText"/>
        <w:spacing w:before="11"/>
        <w:rPr>
          <w:sz w:val="3"/>
        </w:rPr>
      </w:pPr>
      <w:r>
        <w:rPr/>
        <mc:AlternateContent>
          <mc:Choice Requires="wps">
            <w:drawing>
              <wp:anchor distT="0" distB="0" distL="0" distR="0" allowOverlap="1" layoutInCell="1" locked="0" behindDoc="1" simplePos="0" relativeHeight="487600640">
                <wp:simplePos x="0" y="0"/>
                <wp:positionH relativeFrom="page">
                  <wp:posOffset>647999</wp:posOffset>
                </wp:positionH>
                <wp:positionV relativeFrom="paragraph">
                  <wp:posOffset>45619</wp:posOffset>
                </wp:positionV>
                <wp:extent cx="6012180" cy="127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92115pt;width:473.4pt;height:.1pt;mso-position-horizontal-relative:page;mso-position-vertical-relative:paragraph;z-index:-15715840;mso-wrap-distance-left:0;mso-wrap-distance-right:0" id="docshape50"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before="25"/>
        <w:ind w:left="720"/>
      </w:pPr>
      <w:r>
        <w:rPr>
          <w:b/>
          <w:color w:val="004A93"/>
          <w:spacing w:val="-5"/>
        </w:rPr>
        <w:t>NI</w:t>
      </w:r>
      <w:r>
        <w:rPr>
          <w:b/>
          <w:color w:val="004A93"/>
        </w:rPr>
        <w:tab/>
      </w:r>
      <w:r>
        <w:rPr/>
        <w:t>Northern</w:t>
      </w:r>
      <w:r>
        <w:rPr>
          <w:spacing w:val="-7"/>
        </w:rPr>
        <w:t> </w:t>
      </w:r>
      <w:r>
        <w:rPr>
          <w:spacing w:val="-2"/>
        </w:rPr>
        <w:t>Ireland</w:t>
      </w:r>
    </w:p>
    <w:p>
      <w:pPr>
        <w:pStyle w:val="BodyText"/>
        <w:spacing w:before="10"/>
        <w:rPr>
          <w:sz w:val="3"/>
        </w:rPr>
      </w:pPr>
      <w:r>
        <w:rPr/>
        <mc:AlternateContent>
          <mc:Choice Requires="wps">
            <w:drawing>
              <wp:anchor distT="0" distB="0" distL="0" distR="0" allowOverlap="1" layoutInCell="1" locked="0" behindDoc="1" simplePos="0" relativeHeight="487601152">
                <wp:simplePos x="0" y="0"/>
                <wp:positionH relativeFrom="page">
                  <wp:posOffset>647999</wp:posOffset>
                </wp:positionH>
                <wp:positionV relativeFrom="paragraph">
                  <wp:posOffset>45459</wp:posOffset>
                </wp:positionV>
                <wp:extent cx="6012180" cy="127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79456pt;width:473.4pt;height:.1pt;mso-position-horizontal-relative:page;mso-position-vertical-relative:paragraph;z-index:-15715328;mso-wrap-distance-left:0;mso-wrap-distance-right:0" id="docshape51"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before="25"/>
        <w:ind w:left="720"/>
      </w:pPr>
      <w:r>
        <w:rPr>
          <w:b/>
          <w:color w:val="004A93"/>
          <w:spacing w:val="-4"/>
        </w:rPr>
        <w:t>NICA</w:t>
      </w:r>
      <w:r>
        <w:rPr>
          <w:b/>
          <w:color w:val="004A93"/>
        </w:rPr>
        <w:tab/>
      </w:r>
      <w:r>
        <w:rPr/>
        <w:t>Northern</w:t>
      </w:r>
      <w:r>
        <w:rPr>
          <w:spacing w:val="-7"/>
        </w:rPr>
        <w:t> </w:t>
      </w:r>
      <w:r>
        <w:rPr/>
        <w:t>Ireland</w:t>
      </w:r>
      <w:r>
        <w:rPr>
          <w:spacing w:val="-5"/>
        </w:rPr>
        <w:t> </w:t>
      </w:r>
      <w:r>
        <w:rPr/>
        <w:t>Court</w:t>
      </w:r>
      <w:r>
        <w:rPr>
          <w:spacing w:val="-4"/>
        </w:rPr>
        <w:t> </w:t>
      </w:r>
      <w:r>
        <w:rPr/>
        <w:t>of</w:t>
      </w:r>
      <w:r>
        <w:rPr>
          <w:spacing w:val="-4"/>
        </w:rPr>
        <w:t> </w:t>
      </w:r>
      <w:r>
        <w:rPr>
          <w:spacing w:val="-2"/>
        </w:rPr>
        <w:t>Appeal</w:t>
      </w:r>
    </w:p>
    <w:p>
      <w:pPr>
        <w:pStyle w:val="BodyText"/>
        <w:spacing w:before="10"/>
        <w:rPr>
          <w:sz w:val="3"/>
        </w:rPr>
      </w:pPr>
      <w:r>
        <w:rPr/>
        <mc:AlternateContent>
          <mc:Choice Requires="wps">
            <w:drawing>
              <wp:anchor distT="0" distB="0" distL="0" distR="0" allowOverlap="1" layoutInCell="1" locked="0" behindDoc="1" simplePos="0" relativeHeight="487601664">
                <wp:simplePos x="0" y="0"/>
                <wp:positionH relativeFrom="page">
                  <wp:posOffset>647999</wp:posOffset>
                </wp:positionH>
                <wp:positionV relativeFrom="paragraph">
                  <wp:posOffset>45459</wp:posOffset>
                </wp:positionV>
                <wp:extent cx="6012180" cy="127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79456pt;width:473.4pt;height:.1pt;mso-position-horizontal-relative:page;mso-position-vertical-relative:paragraph;z-index:-15714816;mso-wrap-distance-left:0;mso-wrap-distance-right:0" id="docshape52"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before="25"/>
        <w:ind w:left="720"/>
      </w:pPr>
      <w:r>
        <w:rPr>
          <w:b/>
          <w:color w:val="004A93"/>
          <w:spacing w:val="-2"/>
        </w:rPr>
        <w:t>NIHRC</w:t>
      </w:r>
      <w:r>
        <w:rPr>
          <w:b/>
          <w:color w:val="004A93"/>
        </w:rPr>
        <w:tab/>
      </w:r>
      <w:r>
        <w:rPr/>
        <w:t>Northern</w:t>
      </w:r>
      <w:r>
        <w:rPr>
          <w:spacing w:val="-10"/>
        </w:rPr>
        <w:t> </w:t>
      </w:r>
      <w:r>
        <w:rPr/>
        <w:t>Ireland</w:t>
      </w:r>
      <w:r>
        <w:rPr>
          <w:spacing w:val="-7"/>
        </w:rPr>
        <w:t> </w:t>
      </w:r>
      <w:r>
        <w:rPr/>
        <w:t>Human</w:t>
      </w:r>
      <w:r>
        <w:rPr>
          <w:spacing w:val="-7"/>
        </w:rPr>
        <w:t> </w:t>
      </w:r>
      <w:r>
        <w:rPr/>
        <w:t>Rights</w:t>
      </w:r>
      <w:r>
        <w:rPr>
          <w:spacing w:val="-7"/>
        </w:rPr>
        <w:t> </w:t>
      </w:r>
      <w:r>
        <w:rPr>
          <w:spacing w:val="-2"/>
        </w:rPr>
        <w:t>Commission</w:t>
      </w:r>
    </w:p>
    <w:p>
      <w:pPr>
        <w:pStyle w:val="BodyText"/>
        <w:spacing w:before="10"/>
        <w:rPr>
          <w:sz w:val="3"/>
        </w:rPr>
      </w:pPr>
      <w:r>
        <w:rPr/>
        <mc:AlternateContent>
          <mc:Choice Requires="wps">
            <w:drawing>
              <wp:anchor distT="0" distB="0" distL="0" distR="0" allowOverlap="1" layoutInCell="1" locked="0" behindDoc="1" simplePos="0" relativeHeight="487602176">
                <wp:simplePos x="0" y="0"/>
                <wp:positionH relativeFrom="page">
                  <wp:posOffset>647999</wp:posOffset>
                </wp:positionH>
                <wp:positionV relativeFrom="paragraph">
                  <wp:posOffset>45459</wp:posOffset>
                </wp:positionV>
                <wp:extent cx="6012180" cy="127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79456pt;width:473.4pt;height:.1pt;mso-position-horizontal-relative:page;mso-position-vertical-relative:paragraph;z-index:-15714304;mso-wrap-distance-left:0;mso-wrap-distance-right:0" id="docshape53"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before="25"/>
        <w:ind w:left="720"/>
      </w:pPr>
      <w:r>
        <w:rPr>
          <w:b/>
          <w:color w:val="004A93"/>
          <w:spacing w:val="-4"/>
        </w:rPr>
        <w:t>NIKB</w:t>
      </w:r>
      <w:r>
        <w:rPr>
          <w:b/>
          <w:color w:val="004A93"/>
        </w:rPr>
        <w:tab/>
      </w:r>
      <w:r>
        <w:rPr/>
        <w:t>Northern</w:t>
      </w:r>
      <w:r>
        <w:rPr>
          <w:spacing w:val="-8"/>
        </w:rPr>
        <w:t> </w:t>
      </w:r>
      <w:r>
        <w:rPr/>
        <w:t>Ireland</w:t>
      </w:r>
      <w:r>
        <w:rPr>
          <w:spacing w:val="-8"/>
        </w:rPr>
        <w:t> </w:t>
      </w:r>
      <w:r>
        <w:rPr/>
        <w:t>King’s</w:t>
      </w:r>
      <w:r>
        <w:rPr>
          <w:spacing w:val="-8"/>
        </w:rPr>
        <w:t> </w:t>
      </w:r>
      <w:r>
        <w:rPr>
          <w:spacing w:val="-2"/>
        </w:rPr>
        <w:t>Bench</w:t>
      </w:r>
    </w:p>
    <w:p>
      <w:pPr>
        <w:pStyle w:val="BodyText"/>
        <w:spacing w:before="10"/>
        <w:rPr>
          <w:sz w:val="3"/>
        </w:rPr>
      </w:pPr>
      <w:r>
        <w:rPr/>
        <mc:AlternateContent>
          <mc:Choice Requires="wps">
            <w:drawing>
              <wp:anchor distT="0" distB="0" distL="0" distR="0" allowOverlap="1" layoutInCell="1" locked="0" behindDoc="1" simplePos="0" relativeHeight="487602688">
                <wp:simplePos x="0" y="0"/>
                <wp:positionH relativeFrom="page">
                  <wp:posOffset>647999</wp:posOffset>
                </wp:positionH>
                <wp:positionV relativeFrom="paragraph">
                  <wp:posOffset>45459</wp:posOffset>
                </wp:positionV>
                <wp:extent cx="6012180" cy="127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79456pt;width:473.4pt;height:.1pt;mso-position-horizontal-relative:page;mso-position-vertical-relative:paragraph;z-index:-15713792;mso-wrap-distance-left:0;mso-wrap-distance-right:0" id="docshape54"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before="25"/>
        <w:ind w:left="720"/>
      </w:pPr>
      <w:r>
        <w:rPr>
          <w:b/>
          <w:color w:val="004A93"/>
          <w:spacing w:val="-4"/>
        </w:rPr>
        <w:t>NIQB</w:t>
      </w:r>
      <w:r>
        <w:rPr>
          <w:b/>
          <w:color w:val="004A93"/>
        </w:rPr>
        <w:tab/>
      </w:r>
      <w:r>
        <w:rPr/>
        <w:t>Northern</w:t>
      </w:r>
      <w:r>
        <w:rPr>
          <w:spacing w:val="-12"/>
        </w:rPr>
        <w:t> </w:t>
      </w:r>
      <w:r>
        <w:rPr/>
        <w:t>Ireland</w:t>
      </w:r>
      <w:r>
        <w:rPr>
          <w:spacing w:val="-11"/>
        </w:rPr>
        <w:t> </w:t>
      </w:r>
      <w:r>
        <w:rPr/>
        <w:t>Queen’s</w:t>
      </w:r>
      <w:r>
        <w:rPr>
          <w:spacing w:val="-11"/>
        </w:rPr>
        <w:t> </w:t>
      </w:r>
      <w:r>
        <w:rPr>
          <w:spacing w:val="-2"/>
        </w:rPr>
        <w:t>Bench</w:t>
      </w:r>
    </w:p>
    <w:p>
      <w:pPr>
        <w:pStyle w:val="BodyText"/>
        <w:spacing w:before="10"/>
        <w:rPr>
          <w:sz w:val="3"/>
        </w:rPr>
      </w:pPr>
      <w:r>
        <w:rPr/>
        <mc:AlternateContent>
          <mc:Choice Requires="wps">
            <w:drawing>
              <wp:anchor distT="0" distB="0" distL="0" distR="0" allowOverlap="1" layoutInCell="1" locked="0" behindDoc="1" simplePos="0" relativeHeight="487603200">
                <wp:simplePos x="0" y="0"/>
                <wp:positionH relativeFrom="page">
                  <wp:posOffset>647999</wp:posOffset>
                </wp:positionH>
                <wp:positionV relativeFrom="paragraph">
                  <wp:posOffset>45459</wp:posOffset>
                </wp:positionV>
                <wp:extent cx="6012180" cy="127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79456pt;width:473.4pt;height:.1pt;mso-position-horizontal-relative:page;mso-position-vertical-relative:paragraph;z-index:-15713280;mso-wrap-distance-left:0;mso-wrap-distance-right:0" id="docshape55"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line="312" w:lineRule="auto" w:before="25"/>
        <w:ind w:left="720" w:right="4029"/>
      </w:pPr>
      <w:r>
        <w:rPr>
          <w:b/>
          <w:color w:val="004A93"/>
          <w:spacing w:val="-2"/>
        </w:rPr>
        <w:t>NISRA</w:t>
      </w:r>
      <w:r>
        <w:rPr>
          <w:b/>
          <w:color w:val="004A93"/>
        </w:rPr>
        <w:tab/>
      </w:r>
      <w:r>
        <w:rPr/>
        <w:t>Northern</w:t>
      </w:r>
      <w:r>
        <w:rPr>
          <w:spacing w:val="-13"/>
        </w:rPr>
        <w:t> </w:t>
      </w:r>
      <w:r>
        <w:rPr/>
        <w:t>Ireland</w:t>
      </w:r>
      <w:r>
        <w:rPr>
          <w:spacing w:val="-13"/>
        </w:rPr>
        <w:t> </w:t>
      </w:r>
      <w:r>
        <w:rPr/>
        <w:t>Statistics</w:t>
      </w:r>
      <w:r>
        <w:rPr>
          <w:spacing w:val="-13"/>
        </w:rPr>
        <w:t> </w:t>
      </w:r>
      <w:r>
        <w:rPr/>
        <w:t>and</w:t>
      </w:r>
      <w:r>
        <w:rPr>
          <w:spacing w:val="-13"/>
        </w:rPr>
        <w:t> </w:t>
      </w:r>
      <w:r>
        <w:rPr/>
        <w:t>Research</w:t>
      </w:r>
      <w:r>
        <w:rPr>
          <w:spacing w:val="-13"/>
        </w:rPr>
        <w:t> </w:t>
      </w:r>
      <w:r>
        <w:rPr/>
        <w:t>Agency </w:t>
      </w:r>
      <w:r>
        <w:rPr>
          <w:b/>
          <w:color w:val="004A93"/>
          <w:spacing w:val="-4"/>
        </w:rPr>
        <w:t>SPUC</w:t>
      </w:r>
      <w:r>
        <w:rPr>
          <w:b/>
          <w:color w:val="004A93"/>
        </w:rPr>
        <w:tab/>
      </w:r>
      <w:r>
        <w:rPr/>
        <w:t>Society for the Protection of Unborn Children </w:t>
      </w:r>
      <w:r>
        <w:rPr>
          <w:b/>
          <w:color w:val="004A93"/>
          <w:spacing w:val="-4"/>
        </w:rPr>
        <w:t>TCA</w:t>
      </w:r>
      <w:r>
        <w:rPr>
          <w:b/>
          <w:color w:val="004A93"/>
        </w:rPr>
        <w:tab/>
      </w:r>
      <w:r>
        <w:rPr/>
        <w:t>Trade and Cooperation Agreement</w:t>
      </w:r>
    </w:p>
    <w:p>
      <w:pPr>
        <w:pStyle w:val="BodyText"/>
        <w:tabs>
          <w:tab w:pos="1854" w:val="left" w:leader="none"/>
        </w:tabs>
        <w:spacing w:line="339" w:lineRule="exact"/>
        <w:ind w:left="720"/>
      </w:pPr>
      <w:r>
        <w:rPr/>
        <mc:AlternateContent>
          <mc:Choice Requires="wps">
            <w:drawing>
              <wp:anchor distT="0" distB="0" distL="0" distR="0" allowOverlap="1" layoutInCell="1" locked="0" behindDoc="0" simplePos="0" relativeHeight="15748608">
                <wp:simplePos x="0" y="0"/>
                <wp:positionH relativeFrom="page">
                  <wp:posOffset>647999</wp:posOffset>
                </wp:positionH>
                <wp:positionV relativeFrom="paragraph">
                  <wp:posOffset>-583959</wp:posOffset>
                </wp:positionV>
                <wp:extent cx="6012180" cy="127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608" from="51.023602pt,-45.981091pt" to="524.409602pt,-45.981091pt" stroked="true" strokeweight=".5pt" strokecolor="#36a9e1">
                <v:stroke dashstyle="solid"/>
                <w10:wrap type="none"/>
              </v:line>
            </w:pict>
          </mc:Fallback>
        </mc:AlternateContent>
      </w:r>
      <w:r>
        <w:rPr/>
        <mc:AlternateContent>
          <mc:Choice Requires="wps">
            <w:drawing>
              <wp:anchor distT="0" distB="0" distL="0" distR="0" allowOverlap="1" layoutInCell="1" locked="0" behindDoc="0" simplePos="0" relativeHeight="15749120">
                <wp:simplePos x="0" y="0"/>
                <wp:positionH relativeFrom="page">
                  <wp:posOffset>647999</wp:posOffset>
                </wp:positionH>
                <wp:positionV relativeFrom="paragraph">
                  <wp:posOffset>-302409</wp:posOffset>
                </wp:positionV>
                <wp:extent cx="6012180" cy="127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120" from="51.023602pt,-23.81179pt" to="524.409602pt,-23.81179pt" stroked="true" strokeweight=".5pt" strokecolor="#36a9e1">
                <v:stroke dashstyle="solid"/>
                <w10:wrap type="none"/>
              </v:line>
            </w:pict>
          </mc:Fallback>
        </mc:AlternateContent>
      </w:r>
      <w:r>
        <w:rPr/>
        <mc:AlternateContent>
          <mc:Choice Requires="wps">
            <w:drawing>
              <wp:anchor distT="0" distB="0" distL="0" distR="0" allowOverlap="1" layoutInCell="1" locked="0" behindDoc="0" simplePos="0" relativeHeight="15749632">
                <wp:simplePos x="0" y="0"/>
                <wp:positionH relativeFrom="page">
                  <wp:posOffset>647999</wp:posOffset>
                </wp:positionH>
                <wp:positionV relativeFrom="paragraph">
                  <wp:posOffset>-20859</wp:posOffset>
                </wp:positionV>
                <wp:extent cx="6012180" cy="127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632" from="51.023602pt,-1.642491pt" to="524.409602pt,-1.642491pt" stroked="true" strokeweight=".5pt" strokecolor="#36a9e1">
                <v:stroke dashstyle="solid"/>
                <w10:wrap type="none"/>
              </v:line>
            </w:pict>
          </mc:Fallback>
        </mc:AlternateContent>
      </w:r>
      <w:r>
        <w:rPr>
          <w:b/>
          <w:color w:val="004A93"/>
          <w:spacing w:val="-4"/>
        </w:rPr>
        <w:t>TFEU</w:t>
      </w:r>
      <w:r>
        <w:rPr>
          <w:b/>
          <w:color w:val="004A93"/>
        </w:rPr>
        <w:tab/>
      </w:r>
      <w:r>
        <w:rPr/>
        <w:t>Treaty</w:t>
      </w:r>
      <w:r>
        <w:rPr>
          <w:spacing w:val="-8"/>
        </w:rPr>
        <w:t> </w:t>
      </w:r>
      <w:r>
        <w:rPr/>
        <w:t>on</w:t>
      </w:r>
      <w:r>
        <w:rPr>
          <w:spacing w:val="-8"/>
        </w:rPr>
        <w:t> </w:t>
      </w:r>
      <w:r>
        <w:rPr/>
        <w:t>the</w:t>
      </w:r>
      <w:r>
        <w:rPr>
          <w:spacing w:val="-7"/>
        </w:rPr>
        <w:t> </w:t>
      </w:r>
      <w:r>
        <w:rPr/>
        <w:t>Functioning</w:t>
      </w:r>
      <w:r>
        <w:rPr>
          <w:spacing w:val="-7"/>
        </w:rPr>
        <w:t> </w:t>
      </w:r>
      <w:r>
        <w:rPr/>
        <w:t>of</w:t>
      </w:r>
      <w:r>
        <w:rPr>
          <w:spacing w:val="-8"/>
        </w:rPr>
        <w:t> </w:t>
      </w:r>
      <w:r>
        <w:rPr/>
        <w:t>the</w:t>
      </w:r>
      <w:r>
        <w:rPr>
          <w:spacing w:val="-7"/>
        </w:rPr>
        <w:t> </w:t>
      </w:r>
      <w:r>
        <w:rPr/>
        <w:t>European</w:t>
      </w:r>
      <w:r>
        <w:rPr>
          <w:spacing w:val="-8"/>
        </w:rPr>
        <w:t> </w:t>
      </w:r>
      <w:r>
        <w:rPr>
          <w:spacing w:val="-2"/>
        </w:rPr>
        <w:t>Union</w:t>
      </w:r>
    </w:p>
    <w:p>
      <w:pPr>
        <w:pStyle w:val="BodyText"/>
        <w:spacing w:before="10"/>
        <w:rPr>
          <w:sz w:val="3"/>
        </w:rPr>
      </w:pPr>
      <w:r>
        <w:rPr/>
        <mc:AlternateContent>
          <mc:Choice Requires="wps">
            <w:drawing>
              <wp:anchor distT="0" distB="0" distL="0" distR="0" allowOverlap="1" layoutInCell="1" locked="0" behindDoc="1" simplePos="0" relativeHeight="487603712">
                <wp:simplePos x="0" y="0"/>
                <wp:positionH relativeFrom="page">
                  <wp:posOffset>647999</wp:posOffset>
                </wp:positionH>
                <wp:positionV relativeFrom="paragraph">
                  <wp:posOffset>45459</wp:posOffset>
                </wp:positionV>
                <wp:extent cx="6012180" cy="127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79459pt;width:473.4pt;height:.1pt;mso-position-horizontal-relative:page;mso-position-vertical-relative:paragraph;z-index:-15712768;mso-wrap-distance-left:0;mso-wrap-distance-right:0" id="docshape56"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before="25"/>
        <w:ind w:left="720"/>
      </w:pPr>
      <w:r>
        <w:rPr>
          <w:b/>
          <w:color w:val="004A93"/>
          <w:spacing w:val="-5"/>
        </w:rPr>
        <w:t>UK</w:t>
      </w:r>
      <w:r>
        <w:rPr>
          <w:b/>
          <w:color w:val="004A93"/>
        </w:rPr>
        <w:tab/>
      </w:r>
      <w:r>
        <w:rPr/>
        <w:t>United</w:t>
      </w:r>
      <w:r>
        <w:rPr>
          <w:spacing w:val="-7"/>
        </w:rPr>
        <w:t> </w:t>
      </w:r>
      <w:r>
        <w:rPr>
          <w:spacing w:val="-2"/>
        </w:rPr>
        <w:t>Kingdom</w:t>
      </w:r>
    </w:p>
    <w:p>
      <w:pPr>
        <w:pStyle w:val="BodyText"/>
        <w:spacing w:before="10"/>
        <w:rPr>
          <w:sz w:val="3"/>
        </w:rPr>
      </w:pPr>
      <w:r>
        <w:rPr/>
        <mc:AlternateContent>
          <mc:Choice Requires="wps">
            <w:drawing>
              <wp:anchor distT="0" distB="0" distL="0" distR="0" allowOverlap="1" layoutInCell="1" locked="0" behindDoc="1" simplePos="0" relativeHeight="487604224">
                <wp:simplePos x="0" y="0"/>
                <wp:positionH relativeFrom="page">
                  <wp:posOffset>647999</wp:posOffset>
                </wp:positionH>
                <wp:positionV relativeFrom="paragraph">
                  <wp:posOffset>45459</wp:posOffset>
                </wp:positionV>
                <wp:extent cx="6012180" cy="127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79456pt;width:473.4pt;height:.1pt;mso-position-horizontal-relative:page;mso-position-vertical-relative:paragraph;z-index:-15712256;mso-wrap-distance-left:0;mso-wrap-distance-right:0" id="docshape57"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before="25"/>
        <w:ind w:left="720"/>
      </w:pPr>
      <w:r>
        <w:rPr>
          <w:b/>
          <w:color w:val="004A93"/>
          <w:spacing w:val="-4"/>
        </w:rPr>
        <w:t>UKSC</w:t>
      </w:r>
      <w:r>
        <w:rPr>
          <w:b/>
          <w:color w:val="004A93"/>
        </w:rPr>
        <w:tab/>
      </w:r>
      <w:r>
        <w:rPr/>
        <w:t>United</w:t>
      </w:r>
      <w:r>
        <w:rPr>
          <w:spacing w:val="-5"/>
        </w:rPr>
        <w:t> </w:t>
      </w:r>
      <w:r>
        <w:rPr/>
        <w:t>Kingdom</w:t>
      </w:r>
      <w:r>
        <w:rPr>
          <w:spacing w:val="-4"/>
        </w:rPr>
        <w:t> </w:t>
      </w:r>
      <w:r>
        <w:rPr/>
        <w:t>Supreme</w:t>
      </w:r>
      <w:r>
        <w:rPr>
          <w:spacing w:val="-3"/>
        </w:rPr>
        <w:t> </w:t>
      </w:r>
      <w:r>
        <w:rPr>
          <w:spacing w:val="-2"/>
        </w:rPr>
        <w:t>Court</w:t>
      </w:r>
    </w:p>
    <w:p>
      <w:pPr>
        <w:pStyle w:val="BodyText"/>
        <w:spacing w:before="10"/>
        <w:rPr>
          <w:sz w:val="3"/>
        </w:rPr>
      </w:pPr>
      <w:r>
        <w:rPr/>
        <mc:AlternateContent>
          <mc:Choice Requires="wps">
            <w:drawing>
              <wp:anchor distT="0" distB="0" distL="0" distR="0" allowOverlap="1" layoutInCell="1" locked="0" behindDoc="1" simplePos="0" relativeHeight="487604736">
                <wp:simplePos x="0" y="0"/>
                <wp:positionH relativeFrom="page">
                  <wp:posOffset>647999</wp:posOffset>
                </wp:positionH>
                <wp:positionV relativeFrom="paragraph">
                  <wp:posOffset>45459</wp:posOffset>
                </wp:positionV>
                <wp:extent cx="6012180" cy="127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79456pt;width:473.4pt;height:.1pt;mso-position-horizontal-relative:page;mso-position-vertical-relative:paragraph;z-index:-15711744;mso-wrap-distance-left:0;mso-wrap-distance-right:0" id="docshape58"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before="25"/>
        <w:ind w:left="720"/>
      </w:pPr>
      <w:r>
        <w:rPr>
          <w:b/>
          <w:color w:val="004A93"/>
          <w:spacing w:val="-5"/>
        </w:rPr>
        <w:t>UN</w:t>
      </w:r>
      <w:r>
        <w:rPr>
          <w:b/>
          <w:color w:val="004A93"/>
        </w:rPr>
        <w:tab/>
      </w:r>
      <w:r>
        <w:rPr/>
        <w:t>United</w:t>
      </w:r>
      <w:r>
        <w:rPr>
          <w:spacing w:val="-5"/>
        </w:rPr>
        <w:t> </w:t>
      </w:r>
      <w:r>
        <w:rPr>
          <w:spacing w:val="-2"/>
        </w:rPr>
        <w:t>Nations</w:t>
      </w:r>
    </w:p>
    <w:p>
      <w:pPr>
        <w:pStyle w:val="BodyText"/>
        <w:spacing w:before="10"/>
        <w:rPr>
          <w:sz w:val="3"/>
        </w:rPr>
      </w:pPr>
      <w:r>
        <w:rPr/>
        <mc:AlternateContent>
          <mc:Choice Requires="wps">
            <w:drawing>
              <wp:anchor distT="0" distB="0" distL="0" distR="0" allowOverlap="1" layoutInCell="1" locked="0" behindDoc="1" simplePos="0" relativeHeight="487605248">
                <wp:simplePos x="0" y="0"/>
                <wp:positionH relativeFrom="page">
                  <wp:posOffset>647999</wp:posOffset>
                </wp:positionH>
                <wp:positionV relativeFrom="paragraph">
                  <wp:posOffset>45459</wp:posOffset>
                </wp:positionV>
                <wp:extent cx="6012180" cy="127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79456pt;width:473.4pt;height:.1pt;mso-position-horizontal-relative:page;mso-position-vertical-relative:paragraph;z-index:-15711232;mso-wrap-distance-left:0;mso-wrap-distance-right:0" id="docshape59"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before="25"/>
        <w:ind w:left="720"/>
      </w:pPr>
      <w:r>
        <w:rPr>
          <w:b/>
          <w:color w:val="004A93"/>
          <w:spacing w:val="-4"/>
        </w:rPr>
        <w:t>UNGA</w:t>
      </w:r>
      <w:r>
        <w:rPr>
          <w:b/>
          <w:color w:val="004A93"/>
        </w:rPr>
        <w:tab/>
      </w:r>
      <w:r>
        <w:rPr/>
        <w:t>United</w:t>
      </w:r>
      <w:r>
        <w:rPr>
          <w:spacing w:val="-9"/>
        </w:rPr>
        <w:t> </w:t>
      </w:r>
      <w:r>
        <w:rPr/>
        <w:t>Nations</w:t>
      </w:r>
      <w:r>
        <w:rPr>
          <w:spacing w:val="-9"/>
        </w:rPr>
        <w:t> </w:t>
      </w:r>
      <w:r>
        <w:rPr/>
        <w:t>General</w:t>
      </w:r>
      <w:r>
        <w:rPr>
          <w:spacing w:val="-9"/>
        </w:rPr>
        <w:t> </w:t>
      </w:r>
      <w:r>
        <w:rPr>
          <w:spacing w:val="-2"/>
        </w:rPr>
        <w:t>Assembly</w:t>
      </w:r>
    </w:p>
    <w:p>
      <w:pPr>
        <w:pStyle w:val="BodyText"/>
        <w:spacing w:before="10"/>
        <w:rPr>
          <w:sz w:val="3"/>
        </w:rPr>
      </w:pPr>
      <w:r>
        <w:rPr/>
        <mc:AlternateContent>
          <mc:Choice Requires="wps">
            <w:drawing>
              <wp:anchor distT="0" distB="0" distL="0" distR="0" allowOverlap="1" layoutInCell="1" locked="0" behindDoc="1" simplePos="0" relativeHeight="487605760">
                <wp:simplePos x="0" y="0"/>
                <wp:positionH relativeFrom="page">
                  <wp:posOffset>647999</wp:posOffset>
                </wp:positionH>
                <wp:positionV relativeFrom="paragraph">
                  <wp:posOffset>45459</wp:posOffset>
                </wp:positionV>
                <wp:extent cx="6012180"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79456pt;width:473.4pt;height:.1pt;mso-position-horizontal-relative:page;mso-position-vertical-relative:paragraph;z-index:-15710720;mso-wrap-distance-left:0;mso-wrap-distance-right:0" id="docshape60"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before="25"/>
        <w:ind w:left="720"/>
      </w:pPr>
      <w:r>
        <w:rPr>
          <w:b/>
          <w:color w:val="004A93"/>
          <w:spacing w:val="-5"/>
        </w:rPr>
        <w:t>WF</w:t>
      </w:r>
      <w:r>
        <w:rPr>
          <w:b/>
          <w:color w:val="004A93"/>
        </w:rPr>
        <w:tab/>
      </w:r>
      <w:r>
        <w:rPr/>
        <w:t>Windsor </w:t>
      </w:r>
      <w:r>
        <w:rPr>
          <w:spacing w:val="-2"/>
        </w:rPr>
        <w:t>Framework</w:t>
      </w:r>
    </w:p>
    <w:p>
      <w:pPr>
        <w:pStyle w:val="BodyText"/>
        <w:spacing w:before="10"/>
        <w:rPr>
          <w:sz w:val="3"/>
        </w:rPr>
      </w:pPr>
      <w:r>
        <w:rPr/>
        <mc:AlternateContent>
          <mc:Choice Requires="wps">
            <w:drawing>
              <wp:anchor distT="0" distB="0" distL="0" distR="0" allowOverlap="1" layoutInCell="1" locked="0" behindDoc="1" simplePos="0" relativeHeight="487606272">
                <wp:simplePos x="0" y="0"/>
                <wp:positionH relativeFrom="page">
                  <wp:posOffset>647999</wp:posOffset>
                </wp:positionH>
                <wp:positionV relativeFrom="paragraph">
                  <wp:posOffset>45459</wp:posOffset>
                </wp:positionV>
                <wp:extent cx="601218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79456pt;width:473.4pt;height:.1pt;mso-position-horizontal-relative:page;mso-position-vertical-relative:paragraph;z-index:-15710208;mso-wrap-distance-left:0;mso-wrap-distance-right:0" id="docshape61" coordorigin="1020,72" coordsize="9468,0" path="m1020,72l10488,72e" filled="false" stroked="true" strokeweight=".5pt" strokecolor="#36a9e1">
                <v:path arrowok="t"/>
                <v:stroke dashstyle="solid"/>
                <w10:wrap type="topAndBottom"/>
              </v:shape>
            </w:pict>
          </mc:Fallback>
        </mc:AlternateContent>
      </w:r>
    </w:p>
    <w:p>
      <w:pPr>
        <w:pStyle w:val="BodyText"/>
        <w:tabs>
          <w:tab w:pos="1854" w:val="left" w:leader="none"/>
        </w:tabs>
        <w:spacing w:before="53"/>
        <w:ind w:left="720"/>
      </w:pPr>
      <w:r>
        <w:rPr>
          <w:b/>
          <w:color w:val="004A93"/>
          <w:spacing w:val="-2"/>
        </w:rPr>
        <w:t>WFDSC</w:t>
      </w:r>
      <w:r>
        <w:rPr>
          <w:b/>
          <w:color w:val="004A93"/>
        </w:rPr>
        <w:tab/>
      </w:r>
      <w:r>
        <w:rPr/>
        <w:t>Windsor</w:t>
      </w:r>
      <w:r>
        <w:rPr>
          <w:spacing w:val="-11"/>
        </w:rPr>
        <w:t> </w:t>
      </w:r>
      <w:r>
        <w:rPr/>
        <w:t>Framework</w:t>
      </w:r>
      <w:r>
        <w:rPr>
          <w:spacing w:val="-11"/>
        </w:rPr>
        <w:t> </w:t>
      </w:r>
      <w:r>
        <w:rPr/>
        <w:t>Democratic</w:t>
      </w:r>
      <w:r>
        <w:rPr>
          <w:spacing w:val="-11"/>
        </w:rPr>
        <w:t> </w:t>
      </w:r>
      <w:r>
        <w:rPr/>
        <w:t>Scrutiny</w:t>
      </w:r>
      <w:r>
        <w:rPr>
          <w:spacing w:val="-10"/>
        </w:rPr>
        <w:t> </w:t>
      </w:r>
      <w:r>
        <w:rPr>
          <w:spacing w:val="-2"/>
        </w:rPr>
        <w:t>Committee</w:t>
      </w:r>
    </w:p>
    <w:p>
      <w:pPr>
        <w:pStyle w:val="BodyText"/>
        <w:spacing w:before="11"/>
        <w:rPr>
          <w:sz w:val="3"/>
        </w:rPr>
      </w:pPr>
      <w:r>
        <w:rPr/>
        <mc:AlternateContent>
          <mc:Choice Requires="wps">
            <w:drawing>
              <wp:anchor distT="0" distB="0" distL="0" distR="0" allowOverlap="1" layoutInCell="1" locked="0" behindDoc="1" simplePos="0" relativeHeight="487606784">
                <wp:simplePos x="0" y="0"/>
                <wp:positionH relativeFrom="page">
                  <wp:posOffset>647999</wp:posOffset>
                </wp:positionH>
                <wp:positionV relativeFrom="paragraph">
                  <wp:posOffset>45479</wp:posOffset>
                </wp:positionV>
                <wp:extent cx="601218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3.581055pt;width:473.4pt;height:.1pt;mso-position-horizontal-relative:page;mso-position-vertical-relative:paragraph;z-index:-15709696;mso-wrap-distance-left:0;mso-wrap-distance-right:0" id="docshape62" coordorigin="1020,72" coordsize="9468,0" path="m1020,72l10488,72e" filled="false" stroked="true" strokeweight=".5pt" strokecolor="#36a9e1">
                <v:path arrowok="t"/>
                <v:stroke dashstyle="solid"/>
                <w10:wrap type="topAndBottom"/>
              </v:shape>
            </w:pict>
          </mc:Fallback>
        </mc:AlternateContent>
      </w:r>
    </w:p>
    <w:p>
      <w:pPr>
        <w:spacing w:after="0"/>
        <w:rPr>
          <w:sz w:val="3"/>
        </w:rPr>
        <w:sectPr>
          <w:pgSz w:w="11910" w:h="16840"/>
          <w:pgMar w:top="0" w:bottom="280" w:left="300" w:right="280"/>
        </w:sectPr>
      </w:pPr>
    </w:p>
    <w:p>
      <w:pPr>
        <w:tabs>
          <w:tab w:pos="11052"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26016">
                <wp:simplePos x="0" y="0"/>
                <wp:positionH relativeFrom="page">
                  <wp:posOffset>-2</wp:posOffset>
                </wp:positionH>
                <wp:positionV relativeFrom="page">
                  <wp:posOffset>0</wp:posOffset>
                </wp:positionV>
                <wp:extent cx="7560309" cy="571309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7560309" cy="5713095"/>
                          <a:chExt cx="7560309" cy="5713095"/>
                        </a:xfrm>
                      </wpg:grpSpPr>
                      <pic:pic>
                        <pic:nvPicPr>
                          <pic:cNvPr id="107" name="Image 107"/>
                          <pic:cNvPicPr/>
                        </pic:nvPicPr>
                        <pic:blipFill>
                          <a:blip r:embed="rId28" cstate="print"/>
                          <a:stretch>
                            <a:fillRect/>
                          </a:stretch>
                        </pic:blipFill>
                        <pic:spPr>
                          <a:xfrm>
                            <a:off x="2" y="0"/>
                            <a:ext cx="7559992" cy="2700007"/>
                          </a:xfrm>
                          <a:prstGeom prst="rect">
                            <a:avLst/>
                          </a:prstGeom>
                        </pic:spPr>
                      </pic:pic>
                      <wps:wsp>
                        <wps:cNvPr id="108" name="Graphic 108"/>
                        <wps:cNvSpPr/>
                        <wps:spPr>
                          <a:xfrm>
                            <a:off x="2" y="1530002"/>
                            <a:ext cx="7560309" cy="4183379"/>
                          </a:xfrm>
                          <a:custGeom>
                            <a:avLst/>
                            <a:gdLst/>
                            <a:ahLst/>
                            <a:cxnLst/>
                            <a:rect l="l" t="t" r="r" b="b"/>
                            <a:pathLst>
                              <a:path w="7560309" h="4183379">
                                <a:moveTo>
                                  <a:pt x="6840004" y="0"/>
                                </a:moveTo>
                                <a:lnTo>
                                  <a:pt x="0" y="0"/>
                                </a:lnTo>
                                <a:lnTo>
                                  <a:pt x="0" y="4182871"/>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10" name="Graphic 110"/>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449.85pt;mso-position-horizontal-relative:page;mso-position-vertical-relative:page;z-index:-19390464" id="docshapegroup63" coordorigin="0,0" coordsize="11906,8997">
                <v:shape style="position:absolute;left:0;top:0;width:11906;height:4252" type="#_x0000_t75" id="docshape64" stroked="false">
                  <v:imagedata r:id="rId28" o:title=""/>
                </v:shape>
                <v:shape style="position:absolute;left:0;top:2409;width:11906;height:6588" id="docshape65" coordorigin="0,2409" coordsize="11906,6588" path="m10772,2409l0,2409,0,8997,11906,8997,11906,2977,11846,2902,11798,2850,11749,2800,11697,2753,11642,2708,11586,2666,11527,2627,11467,2591,11404,2558,11340,2528,11274,2501,11206,2477,11137,2457,11066,2440,10994,2427,10921,2417,10847,2411,10772,2409xe" filled="true" fillcolor="#ffffff" stroked="false">
                  <v:path arrowok="t"/>
                  <v:fill type="solid"/>
                </v:shape>
                <v:shape style="position:absolute;left:0;top:0;width:11906;height:1819" id="docshape66"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List of Key Terms" w:id="5"/>
      <w:bookmarkEnd w:id="5"/>
      <w:r>
        <w:rPr/>
      </w:r>
      <w:bookmarkStart w:name="_bookmark2" w:id="6"/>
      <w:bookmarkEnd w:id="6"/>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10"/>
          <w:position w:val="-1"/>
          <w:sz w:val="28"/>
        </w:rPr>
        <w:t>3</w:t>
      </w:r>
    </w:p>
    <w:p>
      <w:pPr>
        <w:pStyle w:val="BodyText"/>
        <w:spacing w:before="40"/>
        <w:rPr>
          <w:b/>
          <w:sz w:val="52"/>
        </w:rPr>
      </w:pPr>
    </w:p>
    <w:p>
      <w:pPr>
        <w:pStyle w:val="Heading1"/>
      </w:pPr>
      <w:r>
        <w:rPr>
          <w:color w:val="FFFFFF"/>
        </w:rPr>
        <w:t>List</w:t>
      </w:r>
      <w:r>
        <w:rPr>
          <w:color w:val="FFFFFF"/>
          <w:spacing w:val="-8"/>
        </w:rPr>
        <w:t> </w:t>
      </w:r>
      <w:r>
        <w:rPr>
          <w:color w:val="FFFFFF"/>
        </w:rPr>
        <w:t>of</w:t>
      </w:r>
      <w:r>
        <w:rPr>
          <w:color w:val="FFFFFF"/>
          <w:spacing w:val="-9"/>
        </w:rPr>
        <w:t> </w:t>
      </w:r>
      <w:r>
        <w:rPr>
          <w:color w:val="FFFFFF"/>
        </w:rPr>
        <w:t>Key</w:t>
      </w:r>
      <w:r>
        <w:rPr>
          <w:color w:val="FFFFFF"/>
          <w:spacing w:val="-7"/>
        </w:rPr>
        <w:t> </w:t>
      </w:r>
      <w:r>
        <w:rPr>
          <w:color w:val="FFFFFF"/>
          <w:spacing w:val="-2"/>
        </w:rPr>
        <w:t>Terms</w:t>
      </w:r>
    </w:p>
    <w:p>
      <w:pPr>
        <w:pStyle w:val="Heading3"/>
        <w:spacing w:before="501"/>
        <w:ind w:left="1117" w:firstLine="0"/>
      </w:pPr>
      <w:r>
        <w:rPr>
          <w:color w:val="004A93"/>
        </w:rPr>
        <w:t>1998 </w:t>
      </w:r>
      <w:r>
        <w:rPr>
          <w:color w:val="004A93"/>
          <w:spacing w:val="-2"/>
        </w:rPr>
        <w:t>Agreement</w:t>
      </w:r>
    </w:p>
    <w:p>
      <w:pPr>
        <w:pStyle w:val="BodyText"/>
        <w:spacing w:line="336" w:lineRule="exact"/>
        <w:ind w:left="1117"/>
      </w:pPr>
      <w:r>
        <w:rPr/>
        <w:t>The</w:t>
      </w:r>
      <w:r>
        <w:rPr>
          <w:spacing w:val="-6"/>
        </w:rPr>
        <w:t> </w:t>
      </w:r>
      <w:r>
        <w:rPr/>
        <w:t>Good</w:t>
      </w:r>
      <w:r>
        <w:rPr>
          <w:spacing w:val="-7"/>
        </w:rPr>
        <w:t> </w:t>
      </w:r>
      <w:r>
        <w:rPr/>
        <w:t>Friday</w:t>
      </w:r>
      <w:r>
        <w:rPr>
          <w:spacing w:val="-5"/>
        </w:rPr>
        <w:t> </w:t>
      </w:r>
      <w:r>
        <w:rPr/>
        <w:t>or</w:t>
      </w:r>
      <w:r>
        <w:rPr>
          <w:spacing w:val="-6"/>
        </w:rPr>
        <w:t> </w:t>
      </w:r>
      <w:r>
        <w:rPr/>
        <w:t>Belfast</w:t>
      </w:r>
      <w:r>
        <w:rPr>
          <w:spacing w:val="-6"/>
        </w:rPr>
        <w:t> </w:t>
      </w:r>
      <w:r>
        <w:rPr/>
        <w:t>Agreement,</w:t>
      </w:r>
      <w:r>
        <w:rPr>
          <w:spacing w:val="-5"/>
        </w:rPr>
        <w:t> </w:t>
      </w:r>
      <w:r>
        <w:rPr>
          <w:spacing w:val="-4"/>
        </w:rPr>
        <w:t>1998.</w:t>
      </w:r>
    </w:p>
    <w:p>
      <w:pPr>
        <w:pStyle w:val="BodyText"/>
        <w:spacing w:before="53"/>
      </w:pPr>
    </w:p>
    <w:p>
      <w:pPr>
        <w:pStyle w:val="Heading3"/>
        <w:ind w:left="1117" w:firstLine="0"/>
      </w:pPr>
      <w:r>
        <w:rPr>
          <w:color w:val="004A93"/>
        </w:rPr>
        <w:t>Article</w:t>
      </w:r>
      <w:r>
        <w:rPr>
          <w:color w:val="004A93"/>
          <w:spacing w:val="-15"/>
        </w:rPr>
        <w:t> </w:t>
      </w:r>
      <w:r>
        <w:rPr>
          <w:color w:val="004A93"/>
          <w:spacing w:val="-10"/>
        </w:rPr>
        <w:t>2</w:t>
      </w:r>
    </w:p>
    <w:p>
      <w:pPr>
        <w:pStyle w:val="BodyText"/>
        <w:spacing w:line="232" w:lineRule="auto" w:before="2"/>
        <w:ind w:left="1117" w:right="1087"/>
      </w:pPr>
      <w:r>
        <w:rPr/>
        <w:t>Article</w:t>
      </w:r>
      <w:r>
        <w:rPr>
          <w:spacing w:val="-4"/>
        </w:rPr>
        <w:t> </w:t>
      </w:r>
      <w:r>
        <w:rPr/>
        <w:t>2</w:t>
      </w:r>
      <w:r>
        <w:rPr>
          <w:spacing w:val="-4"/>
        </w:rPr>
        <w:t> </w:t>
      </w:r>
      <w:r>
        <w:rPr/>
        <w:t>of</w:t>
      </w:r>
      <w:r>
        <w:rPr>
          <w:spacing w:val="-5"/>
        </w:rPr>
        <w:t> </w:t>
      </w:r>
      <w:r>
        <w:rPr/>
        <w:t>the</w:t>
      </w:r>
      <w:r>
        <w:rPr>
          <w:spacing w:val="-4"/>
        </w:rPr>
        <w:t> </w:t>
      </w:r>
      <w:r>
        <w:rPr/>
        <w:t>Protocol</w:t>
      </w:r>
      <w:r>
        <w:rPr>
          <w:spacing w:val="-5"/>
        </w:rPr>
        <w:t> </w:t>
      </w:r>
      <w:r>
        <w:rPr/>
        <w:t>on</w:t>
      </w:r>
      <w:r>
        <w:rPr>
          <w:spacing w:val="-5"/>
        </w:rPr>
        <w:t> </w:t>
      </w:r>
      <w:r>
        <w:rPr/>
        <w:t>Ireland</w:t>
      </w:r>
      <w:r>
        <w:rPr>
          <w:spacing w:val="-5"/>
        </w:rPr>
        <w:t> </w:t>
      </w:r>
      <w:r>
        <w:rPr/>
        <w:t>/</w:t>
      </w:r>
      <w:r>
        <w:rPr>
          <w:spacing w:val="-5"/>
        </w:rPr>
        <w:t> </w:t>
      </w:r>
      <w:r>
        <w:rPr/>
        <w:t>Northern</w:t>
      </w:r>
      <w:r>
        <w:rPr>
          <w:spacing w:val="-5"/>
        </w:rPr>
        <w:t> </w:t>
      </w:r>
      <w:r>
        <w:rPr/>
        <w:t>Ireland,</w:t>
      </w:r>
      <w:r>
        <w:rPr>
          <w:spacing w:val="-4"/>
        </w:rPr>
        <w:t> </w:t>
      </w:r>
      <w:r>
        <w:rPr/>
        <w:t>now</w:t>
      </w:r>
      <w:r>
        <w:rPr>
          <w:spacing w:val="-4"/>
        </w:rPr>
        <w:t> </w:t>
      </w:r>
      <w:r>
        <w:rPr/>
        <w:t>called</w:t>
      </w:r>
      <w:r>
        <w:rPr>
          <w:spacing w:val="-5"/>
        </w:rPr>
        <w:t> </w:t>
      </w:r>
      <w:r>
        <w:rPr/>
        <w:t>the</w:t>
      </w:r>
      <w:r>
        <w:rPr>
          <w:spacing w:val="-4"/>
        </w:rPr>
        <w:t> </w:t>
      </w:r>
      <w:r>
        <w:rPr/>
        <w:t>Windsor </w:t>
      </w:r>
      <w:r>
        <w:rPr>
          <w:spacing w:val="-2"/>
        </w:rPr>
        <w:t>Framework.</w:t>
      </w:r>
    </w:p>
    <w:p>
      <w:pPr>
        <w:pStyle w:val="BodyText"/>
        <w:spacing w:before="54"/>
      </w:pPr>
    </w:p>
    <w:p>
      <w:pPr>
        <w:pStyle w:val="Heading3"/>
        <w:ind w:left="1117" w:firstLine="0"/>
      </w:pPr>
      <w:r>
        <w:rPr>
          <w:color w:val="004A93"/>
        </w:rPr>
        <w:t>Dynamic</w:t>
      </w:r>
      <w:r>
        <w:rPr>
          <w:color w:val="004A93"/>
          <w:spacing w:val="-7"/>
        </w:rPr>
        <w:t> </w:t>
      </w:r>
      <w:r>
        <w:rPr>
          <w:color w:val="004A93"/>
        </w:rPr>
        <w:t>alignment</w:t>
      </w:r>
      <w:r>
        <w:rPr>
          <w:color w:val="004A93"/>
          <w:spacing w:val="-6"/>
        </w:rPr>
        <w:t> </w:t>
      </w:r>
      <w:r>
        <w:rPr>
          <w:color w:val="004A93"/>
        </w:rPr>
        <w:t>(also</w:t>
      </w:r>
      <w:r>
        <w:rPr>
          <w:color w:val="004A93"/>
          <w:spacing w:val="-6"/>
        </w:rPr>
        <w:t> </w:t>
      </w:r>
      <w:r>
        <w:rPr>
          <w:color w:val="004A93"/>
        </w:rPr>
        <w:t>keeping</w:t>
      </w:r>
      <w:r>
        <w:rPr>
          <w:color w:val="004A93"/>
          <w:spacing w:val="-6"/>
        </w:rPr>
        <w:t> </w:t>
      </w:r>
      <w:r>
        <w:rPr>
          <w:color w:val="004A93"/>
          <w:spacing w:val="-2"/>
        </w:rPr>
        <w:t>pace)</w:t>
      </w:r>
    </w:p>
    <w:p>
      <w:pPr>
        <w:pStyle w:val="BodyText"/>
        <w:spacing w:line="232" w:lineRule="auto" w:before="2"/>
        <w:ind w:left="1117" w:right="738"/>
      </w:pPr>
      <w:r>
        <w:rPr/>
        <w:t>The</w:t>
      </w:r>
      <w:r>
        <w:rPr>
          <w:spacing w:val="-5"/>
        </w:rPr>
        <w:t> </w:t>
      </w:r>
      <w:r>
        <w:rPr/>
        <w:t>requirement</w:t>
      </w:r>
      <w:r>
        <w:rPr>
          <w:spacing w:val="-5"/>
        </w:rPr>
        <w:t> </w:t>
      </w:r>
      <w:r>
        <w:rPr/>
        <w:t>to</w:t>
      </w:r>
      <w:r>
        <w:rPr>
          <w:spacing w:val="-6"/>
        </w:rPr>
        <w:t> </w:t>
      </w:r>
      <w:r>
        <w:rPr/>
        <w:t>amend</w:t>
      </w:r>
      <w:r>
        <w:rPr>
          <w:spacing w:val="-6"/>
        </w:rPr>
        <w:t> </w:t>
      </w:r>
      <w:r>
        <w:rPr/>
        <w:t>law</w:t>
      </w:r>
      <w:r>
        <w:rPr>
          <w:spacing w:val="-5"/>
        </w:rPr>
        <w:t> </w:t>
      </w:r>
      <w:r>
        <w:rPr/>
        <w:t>in</w:t>
      </w:r>
      <w:r>
        <w:rPr>
          <w:spacing w:val="-6"/>
        </w:rPr>
        <w:t> </w:t>
      </w:r>
      <w:r>
        <w:rPr/>
        <w:t>Northern</w:t>
      </w:r>
      <w:r>
        <w:rPr>
          <w:spacing w:val="-6"/>
        </w:rPr>
        <w:t> </w:t>
      </w:r>
      <w:r>
        <w:rPr/>
        <w:t>Ireland</w:t>
      </w:r>
      <w:r>
        <w:rPr>
          <w:spacing w:val="-6"/>
        </w:rPr>
        <w:t> </w:t>
      </w:r>
      <w:r>
        <w:rPr/>
        <w:t>to</w:t>
      </w:r>
      <w:r>
        <w:rPr>
          <w:spacing w:val="-6"/>
        </w:rPr>
        <w:t> </w:t>
      </w:r>
      <w:r>
        <w:rPr/>
        <w:t>ensure</w:t>
      </w:r>
      <w:r>
        <w:rPr>
          <w:spacing w:val="-5"/>
        </w:rPr>
        <w:t> </w:t>
      </w:r>
      <w:r>
        <w:rPr/>
        <w:t>it</w:t>
      </w:r>
      <w:r>
        <w:rPr>
          <w:spacing w:val="-5"/>
        </w:rPr>
        <w:t> </w:t>
      </w:r>
      <w:r>
        <w:rPr/>
        <w:t>has</w:t>
      </w:r>
      <w:r>
        <w:rPr>
          <w:spacing w:val="-6"/>
        </w:rPr>
        <w:t> </w:t>
      </w:r>
      <w:r>
        <w:rPr/>
        <w:t>the</w:t>
      </w:r>
      <w:r>
        <w:rPr>
          <w:spacing w:val="-5"/>
        </w:rPr>
        <w:t> </w:t>
      </w:r>
      <w:r>
        <w:rPr/>
        <w:t>same</w:t>
      </w:r>
      <w:r>
        <w:rPr>
          <w:spacing w:val="-5"/>
        </w:rPr>
        <w:t> </w:t>
      </w:r>
      <w:r>
        <w:rPr/>
        <w:t>effect as any amendments to or replacements of EU law under Windsor Framework.</w:t>
      </w:r>
    </w:p>
    <w:p>
      <w:pPr>
        <w:pStyle w:val="BodyText"/>
        <w:spacing w:before="54"/>
      </w:pPr>
    </w:p>
    <w:p>
      <w:pPr>
        <w:pStyle w:val="Heading3"/>
        <w:ind w:left="1117" w:firstLine="0"/>
      </w:pPr>
      <w:r>
        <w:rPr>
          <w:color w:val="004A93"/>
        </w:rPr>
        <w:t>Exit </w:t>
      </w:r>
      <w:r>
        <w:rPr>
          <w:color w:val="004A93"/>
          <w:spacing w:val="-5"/>
        </w:rPr>
        <w:t>day</w:t>
      </w:r>
    </w:p>
    <w:p>
      <w:pPr>
        <w:pStyle w:val="BodyText"/>
        <w:spacing w:line="336" w:lineRule="exact"/>
        <w:ind w:left="1117"/>
      </w:pPr>
      <w:r>
        <w:rPr/>
        <w:t>31</w:t>
      </w:r>
      <w:r>
        <w:rPr>
          <w:spacing w:val="-2"/>
        </w:rPr>
        <w:t> </w:t>
      </w:r>
      <w:r>
        <w:rPr/>
        <w:t>December</w:t>
      </w:r>
      <w:r>
        <w:rPr>
          <w:spacing w:val="-1"/>
        </w:rPr>
        <w:t> </w:t>
      </w:r>
      <w:r>
        <w:rPr/>
        <w:t>2020,</w:t>
      </w:r>
      <w:r>
        <w:rPr>
          <w:spacing w:val="-1"/>
        </w:rPr>
        <w:t> </w:t>
      </w:r>
      <w:r>
        <w:rPr/>
        <w:t>the</w:t>
      </w:r>
      <w:r>
        <w:rPr>
          <w:spacing w:val="-2"/>
        </w:rPr>
        <w:t> </w:t>
      </w:r>
      <w:r>
        <w:rPr/>
        <w:t>day</w:t>
      </w:r>
      <w:r>
        <w:rPr>
          <w:spacing w:val="-1"/>
        </w:rPr>
        <w:t> </w:t>
      </w:r>
      <w:r>
        <w:rPr/>
        <w:t>on</w:t>
      </w:r>
      <w:r>
        <w:rPr>
          <w:spacing w:val="-2"/>
        </w:rPr>
        <w:t> </w:t>
      </w:r>
      <w:r>
        <w:rPr/>
        <w:t>which</w:t>
      </w:r>
      <w:r>
        <w:rPr>
          <w:spacing w:val="-2"/>
        </w:rPr>
        <w:t> </w:t>
      </w:r>
      <w:r>
        <w:rPr/>
        <w:t>the</w:t>
      </w:r>
      <w:r>
        <w:rPr>
          <w:spacing w:val="-2"/>
        </w:rPr>
        <w:t> </w:t>
      </w:r>
      <w:r>
        <w:rPr/>
        <w:t>UK</w:t>
      </w:r>
      <w:r>
        <w:rPr>
          <w:spacing w:val="-1"/>
        </w:rPr>
        <w:t> </w:t>
      </w:r>
      <w:r>
        <w:rPr/>
        <w:t>ceased</w:t>
      </w:r>
      <w:r>
        <w:rPr>
          <w:spacing w:val="-2"/>
        </w:rPr>
        <w:t> </w:t>
      </w:r>
      <w:r>
        <w:rPr/>
        <w:t>to</w:t>
      </w:r>
      <w:r>
        <w:rPr>
          <w:spacing w:val="-2"/>
        </w:rPr>
        <w:t> </w:t>
      </w:r>
      <w:r>
        <w:rPr/>
        <w:t>be</w:t>
      </w:r>
      <w:r>
        <w:rPr>
          <w:spacing w:val="-1"/>
        </w:rPr>
        <w:t> </w:t>
      </w:r>
      <w:r>
        <w:rPr/>
        <w:t>a</w:t>
      </w:r>
      <w:r>
        <w:rPr>
          <w:spacing w:val="-3"/>
        </w:rPr>
        <w:t> </w:t>
      </w:r>
      <w:r>
        <w:rPr/>
        <w:t>member</w:t>
      </w:r>
      <w:r>
        <w:rPr>
          <w:spacing w:val="-1"/>
        </w:rPr>
        <w:t> </w:t>
      </w:r>
      <w:r>
        <w:rPr/>
        <w:t>of</w:t>
      </w:r>
      <w:r>
        <w:rPr>
          <w:spacing w:val="-2"/>
        </w:rPr>
        <w:t> </w:t>
      </w:r>
      <w:r>
        <w:rPr/>
        <w:t>the</w:t>
      </w:r>
      <w:r>
        <w:rPr>
          <w:spacing w:val="-1"/>
        </w:rPr>
        <w:t> </w:t>
      </w:r>
      <w:r>
        <w:rPr>
          <w:spacing w:val="-5"/>
        </w:rPr>
        <w:t>EU.</w:t>
      </w:r>
    </w:p>
    <w:p>
      <w:pPr>
        <w:pStyle w:val="BodyText"/>
        <w:spacing w:before="53"/>
      </w:pPr>
    </w:p>
    <w:p>
      <w:pPr>
        <w:pStyle w:val="Heading3"/>
        <w:ind w:left="1117" w:firstLine="0"/>
      </w:pPr>
      <w:r>
        <w:rPr>
          <w:color w:val="004A93"/>
        </w:rPr>
        <w:t>Joint</w:t>
      </w:r>
      <w:r>
        <w:rPr>
          <w:color w:val="004A93"/>
          <w:spacing w:val="-3"/>
        </w:rPr>
        <w:t> </w:t>
      </w:r>
      <w:r>
        <w:rPr>
          <w:color w:val="004A93"/>
          <w:spacing w:val="-2"/>
        </w:rPr>
        <w:t>Committee</w:t>
      </w:r>
    </w:p>
    <w:p>
      <w:pPr>
        <w:pStyle w:val="BodyText"/>
        <w:spacing w:line="336" w:lineRule="exact"/>
        <w:ind w:left="1117"/>
      </w:pPr>
      <w:r>
        <w:rPr/>
        <w:t>The</w:t>
      </w:r>
      <w:r>
        <w:rPr>
          <w:spacing w:val="-8"/>
        </w:rPr>
        <w:t> </w:t>
      </w:r>
      <w:r>
        <w:rPr/>
        <w:t>EU-UK</w:t>
      </w:r>
      <w:r>
        <w:rPr>
          <w:spacing w:val="-8"/>
        </w:rPr>
        <w:t> </w:t>
      </w:r>
      <w:r>
        <w:rPr/>
        <w:t>Joint</w:t>
      </w:r>
      <w:r>
        <w:rPr>
          <w:spacing w:val="-8"/>
        </w:rPr>
        <w:t> </w:t>
      </w:r>
      <w:r>
        <w:rPr/>
        <w:t>Committee</w:t>
      </w:r>
      <w:r>
        <w:rPr>
          <w:spacing w:val="-8"/>
        </w:rPr>
        <w:t> </w:t>
      </w:r>
      <w:r>
        <w:rPr/>
        <w:t>established</w:t>
      </w:r>
      <w:r>
        <w:rPr>
          <w:spacing w:val="-9"/>
        </w:rPr>
        <w:t> </w:t>
      </w:r>
      <w:r>
        <w:rPr/>
        <w:t>under</w:t>
      </w:r>
      <w:r>
        <w:rPr>
          <w:spacing w:val="-8"/>
        </w:rPr>
        <w:t> </w:t>
      </w:r>
      <w:r>
        <w:rPr/>
        <w:t>the</w:t>
      </w:r>
      <w:r>
        <w:rPr>
          <w:spacing w:val="-8"/>
        </w:rPr>
        <w:t> </w:t>
      </w:r>
      <w:r>
        <w:rPr/>
        <w:t>Withdrawal</w:t>
      </w:r>
      <w:r>
        <w:rPr>
          <w:spacing w:val="-8"/>
        </w:rPr>
        <w:t> </w:t>
      </w:r>
      <w:r>
        <w:rPr>
          <w:spacing w:val="-2"/>
        </w:rPr>
        <w:t>Agreement.</w:t>
      </w:r>
    </w:p>
    <w:p>
      <w:pPr>
        <w:pStyle w:val="BodyText"/>
        <w:spacing w:before="53"/>
      </w:pPr>
    </w:p>
    <w:p>
      <w:pPr>
        <w:pStyle w:val="Heading3"/>
        <w:spacing w:before="1"/>
        <w:ind w:left="1117" w:firstLine="0"/>
      </w:pPr>
      <w:r>
        <w:rPr>
          <w:color w:val="004A93"/>
        </w:rPr>
        <w:t>Keeping</w:t>
      </w:r>
      <w:r>
        <w:rPr>
          <w:color w:val="004A93"/>
          <w:spacing w:val="-12"/>
        </w:rPr>
        <w:t> </w:t>
      </w:r>
      <w:r>
        <w:rPr>
          <w:color w:val="004A93"/>
          <w:spacing w:val="-4"/>
        </w:rPr>
        <w:t>pace</w:t>
      </w:r>
    </w:p>
    <w:p>
      <w:pPr>
        <w:pStyle w:val="BodyText"/>
        <w:spacing w:line="232" w:lineRule="auto" w:before="2"/>
        <w:ind w:left="1117" w:right="738"/>
      </w:pPr>
      <w:r>
        <w:rPr/>
        <w:t>The</w:t>
      </w:r>
      <w:r>
        <w:rPr>
          <w:spacing w:val="-5"/>
        </w:rPr>
        <w:t> </w:t>
      </w:r>
      <w:r>
        <w:rPr/>
        <w:t>requirement</w:t>
      </w:r>
      <w:r>
        <w:rPr>
          <w:spacing w:val="-5"/>
        </w:rPr>
        <w:t> </w:t>
      </w:r>
      <w:r>
        <w:rPr/>
        <w:t>to</w:t>
      </w:r>
      <w:r>
        <w:rPr>
          <w:spacing w:val="-6"/>
        </w:rPr>
        <w:t> </w:t>
      </w:r>
      <w:r>
        <w:rPr/>
        <w:t>amend</w:t>
      </w:r>
      <w:r>
        <w:rPr>
          <w:spacing w:val="-6"/>
        </w:rPr>
        <w:t> </w:t>
      </w:r>
      <w:r>
        <w:rPr/>
        <w:t>law</w:t>
      </w:r>
      <w:r>
        <w:rPr>
          <w:spacing w:val="-5"/>
        </w:rPr>
        <w:t> </w:t>
      </w:r>
      <w:r>
        <w:rPr/>
        <w:t>in</w:t>
      </w:r>
      <w:r>
        <w:rPr>
          <w:spacing w:val="-6"/>
        </w:rPr>
        <w:t> </w:t>
      </w:r>
      <w:r>
        <w:rPr/>
        <w:t>Northern</w:t>
      </w:r>
      <w:r>
        <w:rPr>
          <w:spacing w:val="-6"/>
        </w:rPr>
        <w:t> </w:t>
      </w:r>
      <w:r>
        <w:rPr/>
        <w:t>Ireland</w:t>
      </w:r>
      <w:r>
        <w:rPr>
          <w:spacing w:val="-6"/>
        </w:rPr>
        <w:t> </w:t>
      </w:r>
      <w:r>
        <w:rPr/>
        <w:t>to</w:t>
      </w:r>
      <w:r>
        <w:rPr>
          <w:spacing w:val="-6"/>
        </w:rPr>
        <w:t> </w:t>
      </w:r>
      <w:r>
        <w:rPr/>
        <w:t>ensure</w:t>
      </w:r>
      <w:r>
        <w:rPr>
          <w:spacing w:val="-5"/>
        </w:rPr>
        <w:t> </w:t>
      </w:r>
      <w:r>
        <w:rPr/>
        <w:t>it</w:t>
      </w:r>
      <w:r>
        <w:rPr>
          <w:spacing w:val="-5"/>
        </w:rPr>
        <w:t> </w:t>
      </w:r>
      <w:r>
        <w:rPr/>
        <w:t>has</w:t>
      </w:r>
      <w:r>
        <w:rPr>
          <w:spacing w:val="-6"/>
        </w:rPr>
        <w:t> </w:t>
      </w:r>
      <w:r>
        <w:rPr/>
        <w:t>the</w:t>
      </w:r>
      <w:r>
        <w:rPr>
          <w:spacing w:val="-5"/>
        </w:rPr>
        <w:t> </w:t>
      </w:r>
      <w:r>
        <w:rPr/>
        <w:t>same</w:t>
      </w:r>
      <w:r>
        <w:rPr>
          <w:spacing w:val="-5"/>
        </w:rPr>
        <w:t> </w:t>
      </w:r>
      <w:r>
        <w:rPr/>
        <w:t>effect as any amendments to or replacements of EU law under the Windsor Framework.</w:t>
      </w:r>
    </w:p>
    <w:p>
      <w:pPr>
        <w:pStyle w:val="BodyText"/>
        <w:spacing w:before="53"/>
      </w:pPr>
    </w:p>
    <w:p>
      <w:pPr>
        <w:pStyle w:val="Heading3"/>
        <w:spacing w:before="1"/>
        <w:ind w:left="1117" w:firstLine="0"/>
      </w:pPr>
      <w:r>
        <w:rPr>
          <w:color w:val="004A93"/>
        </w:rPr>
        <w:t>Lords</w:t>
      </w:r>
      <w:r>
        <w:rPr>
          <w:color w:val="004A93"/>
          <w:spacing w:val="-10"/>
        </w:rPr>
        <w:t> </w:t>
      </w:r>
      <w:r>
        <w:rPr>
          <w:color w:val="004A93"/>
        </w:rPr>
        <w:t>Sub-</w:t>
      </w:r>
      <w:r>
        <w:rPr>
          <w:color w:val="004A93"/>
          <w:spacing w:val="-2"/>
        </w:rPr>
        <w:t>committee</w:t>
      </w:r>
    </w:p>
    <w:p>
      <w:pPr>
        <w:pStyle w:val="BodyText"/>
        <w:spacing w:line="232" w:lineRule="auto" w:before="2"/>
        <w:ind w:left="1117"/>
      </w:pPr>
      <w:r>
        <w:rPr/>
        <w:t>The</w:t>
      </w:r>
      <w:r>
        <w:rPr>
          <w:spacing w:val="-5"/>
        </w:rPr>
        <w:t> </w:t>
      </w:r>
      <w:r>
        <w:rPr/>
        <w:t>House</w:t>
      </w:r>
      <w:r>
        <w:rPr>
          <w:spacing w:val="-5"/>
        </w:rPr>
        <w:t> </w:t>
      </w:r>
      <w:r>
        <w:rPr/>
        <w:t>of</w:t>
      </w:r>
      <w:r>
        <w:rPr>
          <w:spacing w:val="-6"/>
        </w:rPr>
        <w:t> </w:t>
      </w:r>
      <w:r>
        <w:rPr/>
        <w:t>Lords</w:t>
      </w:r>
      <w:r>
        <w:rPr>
          <w:spacing w:val="-6"/>
        </w:rPr>
        <w:t> </w:t>
      </w:r>
      <w:r>
        <w:rPr/>
        <w:t>Sub-committee</w:t>
      </w:r>
      <w:r>
        <w:rPr>
          <w:spacing w:val="-5"/>
        </w:rPr>
        <w:t> </w:t>
      </w:r>
      <w:r>
        <w:rPr/>
        <w:t>on</w:t>
      </w:r>
      <w:r>
        <w:rPr>
          <w:spacing w:val="-6"/>
        </w:rPr>
        <w:t> </w:t>
      </w:r>
      <w:r>
        <w:rPr/>
        <w:t>the</w:t>
      </w:r>
      <w:r>
        <w:rPr>
          <w:spacing w:val="-5"/>
        </w:rPr>
        <w:t> </w:t>
      </w:r>
      <w:r>
        <w:rPr/>
        <w:t>Protocol,</w:t>
      </w:r>
      <w:r>
        <w:rPr>
          <w:spacing w:val="-5"/>
        </w:rPr>
        <w:t> </w:t>
      </w:r>
      <w:r>
        <w:rPr/>
        <w:t>now</w:t>
      </w:r>
      <w:r>
        <w:rPr>
          <w:spacing w:val="-5"/>
        </w:rPr>
        <w:t> </w:t>
      </w:r>
      <w:r>
        <w:rPr/>
        <w:t>the</w:t>
      </w:r>
      <w:r>
        <w:rPr>
          <w:spacing w:val="-5"/>
        </w:rPr>
        <w:t> </w:t>
      </w:r>
      <w:r>
        <w:rPr/>
        <w:t>House</w:t>
      </w:r>
      <w:r>
        <w:rPr>
          <w:spacing w:val="-5"/>
        </w:rPr>
        <w:t> </w:t>
      </w:r>
      <w:r>
        <w:rPr/>
        <w:t>of</w:t>
      </w:r>
      <w:r>
        <w:rPr>
          <w:spacing w:val="-6"/>
        </w:rPr>
        <w:t> </w:t>
      </w:r>
      <w:r>
        <w:rPr/>
        <w:t>Lords</w:t>
      </w:r>
      <w:r>
        <w:rPr>
          <w:spacing w:val="-6"/>
        </w:rPr>
        <w:t> </w:t>
      </w:r>
      <w:r>
        <w:rPr/>
        <w:t>Sub- committee on the Windsor Framework.</w:t>
      </w:r>
    </w:p>
    <w:p>
      <w:pPr>
        <w:pStyle w:val="BodyText"/>
        <w:spacing w:before="54"/>
      </w:pPr>
    </w:p>
    <w:p>
      <w:pPr>
        <w:pStyle w:val="Heading3"/>
        <w:ind w:left="1117" w:firstLine="0"/>
        <w:jc w:val="both"/>
      </w:pPr>
      <w:r>
        <w:rPr>
          <w:color w:val="004A93"/>
          <w:spacing w:val="-2"/>
        </w:rPr>
        <w:t>Transition</w:t>
      </w:r>
      <w:r>
        <w:rPr>
          <w:color w:val="004A93"/>
          <w:spacing w:val="-12"/>
        </w:rPr>
        <w:t> </w:t>
      </w:r>
      <w:r>
        <w:rPr>
          <w:color w:val="004A93"/>
          <w:spacing w:val="-2"/>
        </w:rPr>
        <w:t>period</w:t>
      </w:r>
    </w:p>
    <w:p>
      <w:pPr>
        <w:pStyle w:val="BodyText"/>
        <w:spacing w:line="232" w:lineRule="auto" w:before="2"/>
        <w:ind w:left="1117" w:right="1437"/>
        <w:jc w:val="both"/>
      </w:pPr>
      <w:r>
        <w:rPr/>
        <w:t>The period</w:t>
      </w:r>
      <w:r>
        <w:rPr>
          <w:spacing w:val="-1"/>
        </w:rPr>
        <w:t> </w:t>
      </w:r>
      <w:r>
        <w:rPr/>
        <w:t>from 1 February 2020 to</w:t>
      </w:r>
      <w:r>
        <w:rPr>
          <w:spacing w:val="-1"/>
        </w:rPr>
        <w:t> </w:t>
      </w:r>
      <w:r>
        <w:rPr/>
        <w:t>31 December 2020, during which</w:t>
      </w:r>
      <w:r>
        <w:rPr>
          <w:spacing w:val="-1"/>
        </w:rPr>
        <w:t> </w:t>
      </w:r>
      <w:r>
        <w:rPr/>
        <w:t>EU law generally</w:t>
      </w:r>
      <w:r>
        <w:rPr>
          <w:spacing w:val="-6"/>
        </w:rPr>
        <w:t> </w:t>
      </w:r>
      <w:r>
        <w:rPr/>
        <w:t>still</w:t>
      </w:r>
      <w:r>
        <w:rPr>
          <w:spacing w:val="-7"/>
        </w:rPr>
        <w:t> </w:t>
      </w:r>
      <w:r>
        <w:rPr/>
        <w:t>applied</w:t>
      </w:r>
      <w:r>
        <w:rPr>
          <w:spacing w:val="-7"/>
        </w:rPr>
        <w:t> </w:t>
      </w:r>
      <w:r>
        <w:rPr/>
        <w:t>within</w:t>
      </w:r>
      <w:r>
        <w:rPr>
          <w:spacing w:val="-7"/>
        </w:rPr>
        <w:t> </w:t>
      </w:r>
      <w:r>
        <w:rPr/>
        <w:t>the</w:t>
      </w:r>
      <w:r>
        <w:rPr>
          <w:spacing w:val="-6"/>
        </w:rPr>
        <w:t> </w:t>
      </w:r>
      <w:r>
        <w:rPr/>
        <w:t>UK</w:t>
      </w:r>
      <w:r>
        <w:rPr>
          <w:spacing w:val="-6"/>
        </w:rPr>
        <w:t> </w:t>
      </w:r>
      <w:r>
        <w:rPr/>
        <w:t>according</w:t>
      </w:r>
      <w:r>
        <w:rPr>
          <w:spacing w:val="-6"/>
        </w:rPr>
        <w:t> </w:t>
      </w:r>
      <w:r>
        <w:rPr/>
        <w:t>to</w:t>
      </w:r>
      <w:r>
        <w:rPr>
          <w:spacing w:val="-7"/>
        </w:rPr>
        <w:t> </w:t>
      </w:r>
      <w:r>
        <w:rPr/>
        <w:t>the</w:t>
      </w:r>
      <w:r>
        <w:rPr>
          <w:spacing w:val="-6"/>
        </w:rPr>
        <w:t> </w:t>
      </w:r>
      <w:r>
        <w:rPr/>
        <w:t>terms</w:t>
      </w:r>
      <w:r>
        <w:rPr>
          <w:spacing w:val="-7"/>
        </w:rPr>
        <w:t> </w:t>
      </w:r>
      <w:r>
        <w:rPr/>
        <w:t>of</w:t>
      </w:r>
      <w:r>
        <w:rPr>
          <w:spacing w:val="-7"/>
        </w:rPr>
        <w:t> </w:t>
      </w:r>
      <w:r>
        <w:rPr/>
        <w:t>the</w:t>
      </w:r>
      <w:r>
        <w:rPr>
          <w:spacing w:val="-6"/>
        </w:rPr>
        <w:t> </w:t>
      </w:r>
      <w:r>
        <w:rPr/>
        <w:t>Withdrawal Agreement, Article 127.</w:t>
      </w:r>
    </w:p>
    <w:p>
      <w:pPr>
        <w:pStyle w:val="BodyText"/>
        <w:spacing w:before="52"/>
      </w:pPr>
    </w:p>
    <w:p>
      <w:pPr>
        <w:pStyle w:val="Heading3"/>
        <w:ind w:left="1117" w:firstLine="0"/>
        <w:jc w:val="both"/>
      </w:pPr>
      <w:r>
        <w:rPr>
          <w:color w:val="004A93"/>
        </w:rPr>
        <w:t>Schengen</w:t>
      </w:r>
      <w:r>
        <w:rPr>
          <w:color w:val="004A93"/>
          <w:spacing w:val="-9"/>
        </w:rPr>
        <w:t> </w:t>
      </w:r>
      <w:r>
        <w:rPr>
          <w:color w:val="004A93"/>
          <w:spacing w:val="-2"/>
        </w:rPr>
        <w:t>acquis</w:t>
      </w:r>
    </w:p>
    <w:p>
      <w:pPr>
        <w:pStyle w:val="BodyText"/>
        <w:spacing w:line="232" w:lineRule="auto" w:before="2"/>
        <w:ind w:left="1117" w:right="1087"/>
      </w:pPr>
      <w:r>
        <w:rPr/>
        <w:t>This</w:t>
      </w:r>
      <w:r>
        <w:rPr>
          <w:spacing w:val="-8"/>
        </w:rPr>
        <w:t> </w:t>
      </w:r>
      <w:r>
        <w:rPr/>
        <w:t>refers</w:t>
      </w:r>
      <w:r>
        <w:rPr>
          <w:spacing w:val="-8"/>
        </w:rPr>
        <w:t> </w:t>
      </w:r>
      <w:r>
        <w:rPr/>
        <w:t>to</w:t>
      </w:r>
      <w:r>
        <w:rPr>
          <w:spacing w:val="-8"/>
        </w:rPr>
        <w:t> </w:t>
      </w:r>
      <w:r>
        <w:rPr/>
        <w:t>the</w:t>
      </w:r>
      <w:r>
        <w:rPr>
          <w:spacing w:val="-7"/>
        </w:rPr>
        <w:t> </w:t>
      </w:r>
      <w:r>
        <w:rPr/>
        <w:t>laws</w:t>
      </w:r>
      <w:r>
        <w:rPr>
          <w:spacing w:val="-8"/>
        </w:rPr>
        <w:t> </w:t>
      </w:r>
      <w:r>
        <w:rPr/>
        <w:t>which</w:t>
      </w:r>
      <w:r>
        <w:rPr>
          <w:spacing w:val="-8"/>
        </w:rPr>
        <w:t> </w:t>
      </w:r>
      <w:r>
        <w:rPr/>
        <w:t>permit</w:t>
      </w:r>
      <w:r>
        <w:rPr>
          <w:spacing w:val="-7"/>
        </w:rPr>
        <w:t> </w:t>
      </w:r>
      <w:r>
        <w:rPr/>
        <w:t>people</w:t>
      </w:r>
      <w:r>
        <w:rPr>
          <w:spacing w:val="-7"/>
        </w:rPr>
        <w:t> </w:t>
      </w:r>
      <w:r>
        <w:rPr/>
        <w:t>to</w:t>
      </w:r>
      <w:r>
        <w:rPr>
          <w:spacing w:val="-8"/>
        </w:rPr>
        <w:t> </w:t>
      </w:r>
      <w:r>
        <w:rPr/>
        <w:t>travel</w:t>
      </w:r>
      <w:r>
        <w:rPr>
          <w:spacing w:val="-8"/>
        </w:rPr>
        <w:t> </w:t>
      </w:r>
      <w:r>
        <w:rPr/>
        <w:t>across</w:t>
      </w:r>
      <w:r>
        <w:rPr>
          <w:spacing w:val="-8"/>
        </w:rPr>
        <w:t> </w:t>
      </w:r>
      <w:r>
        <w:rPr/>
        <w:t>Schengen</w:t>
      </w:r>
      <w:r>
        <w:rPr>
          <w:spacing w:val="-8"/>
        </w:rPr>
        <w:t> </w:t>
      </w:r>
      <w:r>
        <w:rPr/>
        <w:t>countries without checks. Ireland is not a member of Schengen.</w:t>
      </w:r>
    </w:p>
    <w:p>
      <w:pPr>
        <w:spacing w:after="0" w:line="232" w:lineRule="auto"/>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750656">
                <wp:simplePos x="0" y="0"/>
                <wp:positionH relativeFrom="page">
                  <wp:posOffset>0</wp:posOffset>
                </wp:positionH>
                <wp:positionV relativeFrom="page">
                  <wp:posOffset>0</wp:posOffset>
                </wp:positionV>
                <wp:extent cx="7560309" cy="125793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7560309" cy="1257935"/>
                          <a:chExt cx="7560309" cy="1257935"/>
                        </a:xfrm>
                      </wpg:grpSpPr>
                      <wps:wsp>
                        <wps:cNvPr id="112" name="Graphic 112"/>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13" name="Graphic 113"/>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114" name="Textbox 114"/>
                        <wps:cNvSpPr txBox="1"/>
                        <wps:spPr>
                          <a:xfrm>
                            <a:off x="350941" y="403890"/>
                            <a:ext cx="102870" cy="177800"/>
                          </a:xfrm>
                          <a:prstGeom prst="rect">
                            <a:avLst/>
                          </a:prstGeom>
                        </wps:spPr>
                        <wps:txbx>
                          <w:txbxContent>
                            <w:p>
                              <w:pPr>
                                <w:spacing w:line="280" w:lineRule="exact" w:before="0"/>
                                <w:ind w:left="0" w:right="0" w:firstLine="0"/>
                                <w:jc w:val="left"/>
                                <w:rPr>
                                  <w:b/>
                                  <w:sz w:val="28"/>
                                </w:rPr>
                              </w:pPr>
                              <w:r>
                                <w:rPr>
                                  <w:b/>
                                  <w:color w:val="FFFFFF"/>
                                  <w:spacing w:val="-10"/>
                                  <w:sz w:val="28"/>
                                </w:rPr>
                                <w:t>4</w:t>
                              </w:r>
                            </w:p>
                          </w:txbxContent>
                        </wps:txbx>
                        <wps:bodyPr wrap="square" lIns="0" tIns="0" rIns="0" bIns="0" rtlCol="0">
                          <a:noAutofit/>
                        </wps:bodyPr>
                      </wps:wsp>
                      <wps:wsp>
                        <wps:cNvPr id="115" name="Textbox 115"/>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116" name="Textbox 116"/>
                        <wps:cNvSpPr txBox="1"/>
                        <wps:spPr>
                          <a:xfrm>
                            <a:off x="647999" y="1080003"/>
                            <a:ext cx="1687830" cy="177800"/>
                          </a:xfrm>
                          <a:prstGeom prst="rect">
                            <a:avLst/>
                          </a:prstGeom>
                        </wps:spPr>
                        <wps:txbx>
                          <w:txbxContent>
                            <w:p>
                              <w:pPr>
                                <w:spacing w:line="280" w:lineRule="exact" w:before="0"/>
                                <w:ind w:left="0" w:right="0" w:firstLine="0"/>
                                <w:jc w:val="left"/>
                                <w:rPr>
                                  <w:b/>
                                  <w:sz w:val="28"/>
                                </w:rPr>
                              </w:pPr>
                              <w:r>
                                <w:rPr>
                                  <w:b/>
                                  <w:color w:val="004A93"/>
                                  <w:sz w:val="28"/>
                                </w:rPr>
                                <w:t>Specialised </w:t>
                              </w:r>
                              <w:r>
                                <w:rPr>
                                  <w:b/>
                                  <w:color w:val="004A93"/>
                                  <w:spacing w:val="-2"/>
                                  <w:sz w:val="28"/>
                                </w:rPr>
                                <w:t>Committee</w:t>
                              </w:r>
                            </w:p>
                          </w:txbxContent>
                        </wps:txbx>
                        <wps:bodyPr wrap="square" lIns="0" tIns="0" rIns="0" bIns="0" rtlCol="0">
                          <a:noAutofit/>
                        </wps:bodyPr>
                      </wps:wsp>
                    </wpg:wgp>
                  </a:graphicData>
                </a:graphic>
              </wp:anchor>
            </w:drawing>
          </mc:Choice>
          <mc:Fallback>
            <w:pict>
              <v:group style="position:absolute;margin-left:.0pt;margin-top:-.00002pt;width:595.3pt;height:99.05pt;mso-position-horizontal-relative:page;mso-position-vertical-relative:page;z-index:15750656" id="docshapegroup67" coordorigin="0,0" coordsize="11906,1981">
                <v:shape style="position:absolute;left:0;top:0;width:11906;height:1819" id="docshape6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type id="_x0000_t202" o:spt="202" coordsize="21600,21600" path="m,l,21600r21600,l21600,xe">
                  <v:stroke joinstyle="miter"/>
                  <v:path gradientshapeok="t" o:connecttype="rect"/>
                </v:shapetype>
                <v:shape style="position:absolute;left:552;top:636;width:162;height:280" type="#_x0000_t202" id="docshape69" filled="false" stroked="false">
                  <v:textbox inset="0,0,0,0">
                    <w:txbxContent>
                      <w:p>
                        <w:pPr>
                          <w:spacing w:line="280" w:lineRule="exact" w:before="0"/>
                          <w:ind w:left="0" w:right="0" w:firstLine="0"/>
                          <w:jc w:val="left"/>
                          <w:rPr>
                            <w:b/>
                            <w:sz w:val="28"/>
                          </w:rPr>
                        </w:pPr>
                        <w:r>
                          <w:rPr>
                            <w:b/>
                            <w:color w:val="FFFFFF"/>
                            <w:spacing w:val="-10"/>
                            <w:sz w:val="28"/>
                          </w:rPr>
                          <w:t>4</w:t>
                        </w:r>
                      </w:p>
                    </w:txbxContent>
                  </v:textbox>
                  <w10:wrap type="none"/>
                </v:shape>
                <v:shape style="position:absolute;left:1303;top:645;width:6182;height:240" type="#_x0000_t202" id="docshape70"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2658;height:280" type="#_x0000_t202" id="docshape71" filled="false" stroked="false">
                  <v:textbox inset="0,0,0,0">
                    <w:txbxContent>
                      <w:p>
                        <w:pPr>
                          <w:spacing w:line="280" w:lineRule="exact" w:before="0"/>
                          <w:ind w:left="0" w:right="0" w:firstLine="0"/>
                          <w:jc w:val="left"/>
                          <w:rPr>
                            <w:b/>
                            <w:sz w:val="28"/>
                          </w:rPr>
                        </w:pPr>
                        <w:r>
                          <w:rPr>
                            <w:b/>
                            <w:color w:val="004A93"/>
                            <w:sz w:val="28"/>
                          </w:rPr>
                          <w:t>Specialised </w:t>
                        </w:r>
                        <w:r>
                          <w:rPr>
                            <w:b/>
                            <w:color w:val="004A93"/>
                            <w:spacing w:val="-2"/>
                            <w:sz w:val="28"/>
                          </w:rPr>
                          <w:t>Committee</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720" w:right="1087"/>
      </w:pPr>
      <w:r>
        <w:rPr/>
        <w:t>The Specialised Committee is established by Article 165 of the Withdrawal Agreement</w:t>
      </w:r>
      <w:r>
        <w:rPr>
          <w:spacing w:val="-8"/>
        </w:rPr>
        <w:t> </w:t>
      </w:r>
      <w:r>
        <w:rPr/>
        <w:t>and</w:t>
      </w:r>
      <w:r>
        <w:rPr>
          <w:spacing w:val="-9"/>
        </w:rPr>
        <w:t> </w:t>
      </w:r>
      <w:r>
        <w:rPr/>
        <w:t>facilitates</w:t>
      </w:r>
      <w:r>
        <w:rPr>
          <w:spacing w:val="-9"/>
        </w:rPr>
        <w:t> </w:t>
      </w:r>
      <w:r>
        <w:rPr/>
        <w:t>the</w:t>
      </w:r>
      <w:r>
        <w:rPr>
          <w:spacing w:val="-8"/>
        </w:rPr>
        <w:t> </w:t>
      </w:r>
      <w:r>
        <w:rPr/>
        <w:t>implementation</w:t>
      </w:r>
      <w:r>
        <w:rPr>
          <w:spacing w:val="-9"/>
        </w:rPr>
        <w:t> </w:t>
      </w:r>
      <w:r>
        <w:rPr/>
        <w:t>and</w:t>
      </w:r>
      <w:r>
        <w:rPr>
          <w:spacing w:val="-9"/>
        </w:rPr>
        <w:t> </w:t>
      </w:r>
      <w:r>
        <w:rPr/>
        <w:t>application</w:t>
      </w:r>
      <w:r>
        <w:rPr>
          <w:spacing w:val="-9"/>
        </w:rPr>
        <w:t> </w:t>
      </w:r>
      <w:r>
        <w:rPr/>
        <w:t>of</w:t>
      </w:r>
      <w:r>
        <w:rPr>
          <w:spacing w:val="-9"/>
        </w:rPr>
        <w:t> </w:t>
      </w:r>
      <w:r>
        <w:rPr/>
        <w:t>the</w:t>
      </w:r>
      <w:r>
        <w:rPr>
          <w:spacing w:val="-8"/>
        </w:rPr>
        <w:t> </w:t>
      </w:r>
      <w:r>
        <w:rPr/>
        <w:t>Windsor </w:t>
      </w:r>
      <w:r>
        <w:rPr>
          <w:spacing w:val="-2"/>
        </w:rPr>
        <w:t>Framework.</w:t>
      </w:r>
    </w:p>
    <w:p>
      <w:pPr>
        <w:pStyle w:val="BodyText"/>
        <w:spacing w:before="52"/>
      </w:pPr>
    </w:p>
    <w:p>
      <w:pPr>
        <w:pStyle w:val="Heading3"/>
        <w:spacing w:before="1"/>
        <w:ind w:left="720" w:firstLine="0"/>
      </w:pPr>
      <w:r>
        <w:rPr>
          <w:color w:val="004A93"/>
        </w:rPr>
        <w:t>Static</w:t>
      </w:r>
      <w:r>
        <w:rPr>
          <w:color w:val="004A93"/>
          <w:spacing w:val="-12"/>
        </w:rPr>
        <w:t> </w:t>
      </w:r>
      <w:r>
        <w:rPr>
          <w:color w:val="004A93"/>
          <w:spacing w:val="-2"/>
        </w:rPr>
        <w:t>alignment</w:t>
      </w:r>
    </w:p>
    <w:p>
      <w:pPr>
        <w:pStyle w:val="BodyText"/>
        <w:spacing w:line="232" w:lineRule="auto" w:before="2"/>
        <w:ind w:left="720" w:right="1087"/>
      </w:pPr>
      <w:r>
        <w:rPr/>
        <w:t>The</w:t>
      </w:r>
      <w:r>
        <w:rPr>
          <w:spacing w:val="-7"/>
        </w:rPr>
        <w:t> </w:t>
      </w:r>
      <w:r>
        <w:rPr/>
        <w:t>requirement</w:t>
      </w:r>
      <w:r>
        <w:rPr>
          <w:spacing w:val="-7"/>
        </w:rPr>
        <w:t> </w:t>
      </w:r>
      <w:r>
        <w:rPr/>
        <w:t>not</w:t>
      </w:r>
      <w:r>
        <w:rPr>
          <w:spacing w:val="-7"/>
        </w:rPr>
        <w:t> </w:t>
      </w:r>
      <w:r>
        <w:rPr/>
        <w:t>to</w:t>
      </w:r>
      <w:r>
        <w:rPr>
          <w:spacing w:val="-8"/>
        </w:rPr>
        <w:t> </w:t>
      </w:r>
      <w:r>
        <w:rPr/>
        <w:t>diminish</w:t>
      </w:r>
      <w:r>
        <w:rPr>
          <w:spacing w:val="-8"/>
        </w:rPr>
        <w:t> </w:t>
      </w:r>
      <w:r>
        <w:rPr/>
        <w:t>the</w:t>
      </w:r>
      <w:r>
        <w:rPr>
          <w:spacing w:val="-7"/>
        </w:rPr>
        <w:t> </w:t>
      </w:r>
      <w:r>
        <w:rPr/>
        <w:t>protections</w:t>
      </w:r>
      <w:r>
        <w:rPr>
          <w:spacing w:val="-8"/>
        </w:rPr>
        <w:t> </w:t>
      </w:r>
      <w:r>
        <w:rPr/>
        <w:t>offered</w:t>
      </w:r>
      <w:r>
        <w:rPr>
          <w:spacing w:val="-8"/>
        </w:rPr>
        <w:t> </w:t>
      </w:r>
      <w:r>
        <w:rPr/>
        <w:t>by</w:t>
      </w:r>
      <w:r>
        <w:rPr>
          <w:spacing w:val="-7"/>
        </w:rPr>
        <w:t> </w:t>
      </w:r>
      <w:r>
        <w:rPr/>
        <w:t>certain</w:t>
      </w:r>
      <w:r>
        <w:rPr>
          <w:spacing w:val="-8"/>
        </w:rPr>
        <w:t> </w:t>
      </w:r>
      <w:r>
        <w:rPr/>
        <w:t>EU</w:t>
      </w:r>
      <w:r>
        <w:rPr>
          <w:spacing w:val="-7"/>
        </w:rPr>
        <w:t> </w:t>
      </w:r>
      <w:r>
        <w:rPr/>
        <w:t>laws</w:t>
      </w:r>
      <w:r>
        <w:rPr>
          <w:spacing w:val="-8"/>
        </w:rPr>
        <w:t> </w:t>
      </w:r>
      <w:r>
        <w:rPr/>
        <w:t>in Northern Ireland as they existed prior to the end of the transition period.</w:t>
      </w:r>
    </w:p>
    <w:p>
      <w:pPr>
        <w:pStyle w:val="BodyText"/>
        <w:spacing w:before="53"/>
      </w:pPr>
    </w:p>
    <w:p>
      <w:pPr>
        <w:pStyle w:val="Heading3"/>
        <w:spacing w:before="1"/>
        <w:ind w:left="720" w:firstLine="0"/>
      </w:pPr>
      <w:r>
        <w:rPr>
          <w:color w:val="004A93"/>
        </w:rPr>
        <w:t>Stormont</w:t>
      </w:r>
      <w:r>
        <w:rPr>
          <w:color w:val="004A93"/>
          <w:spacing w:val="-8"/>
        </w:rPr>
        <w:t> </w:t>
      </w:r>
      <w:r>
        <w:rPr>
          <w:color w:val="004A93"/>
          <w:spacing w:val="-4"/>
        </w:rPr>
        <w:t>Brake</w:t>
      </w:r>
    </w:p>
    <w:p>
      <w:pPr>
        <w:pStyle w:val="BodyText"/>
        <w:spacing w:line="232" w:lineRule="auto" w:before="2"/>
        <w:ind w:left="720" w:right="1087"/>
      </w:pPr>
      <w:r>
        <w:rPr/>
        <w:t>The mechanism in the Windsor Framework for the UK Government to veto the application</w:t>
      </w:r>
      <w:r>
        <w:rPr>
          <w:spacing w:val="-5"/>
        </w:rPr>
        <w:t> </w:t>
      </w:r>
      <w:r>
        <w:rPr/>
        <w:t>of</w:t>
      </w:r>
      <w:r>
        <w:rPr>
          <w:spacing w:val="-5"/>
        </w:rPr>
        <w:t> </w:t>
      </w:r>
      <w:r>
        <w:rPr/>
        <w:t>new</w:t>
      </w:r>
      <w:r>
        <w:rPr>
          <w:spacing w:val="-4"/>
        </w:rPr>
        <w:t> </w:t>
      </w:r>
      <w:r>
        <w:rPr/>
        <w:t>EU</w:t>
      </w:r>
      <w:r>
        <w:rPr>
          <w:spacing w:val="-4"/>
        </w:rPr>
        <w:t> </w:t>
      </w:r>
      <w:r>
        <w:rPr/>
        <w:t>law</w:t>
      </w:r>
      <w:r>
        <w:rPr>
          <w:spacing w:val="-4"/>
        </w:rPr>
        <w:t> </w:t>
      </w:r>
      <w:r>
        <w:rPr/>
        <w:t>to</w:t>
      </w:r>
      <w:r>
        <w:rPr>
          <w:spacing w:val="-5"/>
        </w:rPr>
        <w:t> </w:t>
      </w:r>
      <w:r>
        <w:rPr/>
        <w:t>Northern</w:t>
      </w:r>
      <w:r>
        <w:rPr>
          <w:spacing w:val="-5"/>
        </w:rPr>
        <w:t> </w:t>
      </w:r>
      <w:r>
        <w:rPr/>
        <w:t>Ireland</w:t>
      </w:r>
      <w:r>
        <w:rPr>
          <w:spacing w:val="-5"/>
        </w:rPr>
        <w:t> </w:t>
      </w:r>
      <w:r>
        <w:rPr/>
        <w:t>modelled</w:t>
      </w:r>
      <w:r>
        <w:rPr>
          <w:spacing w:val="-5"/>
        </w:rPr>
        <w:t> </w:t>
      </w:r>
      <w:r>
        <w:rPr/>
        <w:t>on</w:t>
      </w:r>
      <w:r>
        <w:rPr>
          <w:spacing w:val="-5"/>
        </w:rPr>
        <w:t> </w:t>
      </w:r>
      <w:r>
        <w:rPr/>
        <w:t>the</w:t>
      </w:r>
      <w:r>
        <w:rPr>
          <w:spacing w:val="-4"/>
        </w:rPr>
        <w:t> </w:t>
      </w:r>
      <w:r>
        <w:rPr/>
        <w:t>petition</w:t>
      </w:r>
      <w:r>
        <w:rPr>
          <w:spacing w:val="-5"/>
        </w:rPr>
        <w:t> </w:t>
      </w:r>
      <w:r>
        <w:rPr/>
        <w:t>of</w:t>
      </w:r>
      <w:r>
        <w:rPr>
          <w:spacing w:val="-5"/>
        </w:rPr>
        <w:t> </w:t>
      </w:r>
      <w:r>
        <w:rPr/>
        <w:t>concern process in the Assembly.</w:t>
      </w:r>
    </w:p>
    <w:p>
      <w:pPr>
        <w:pStyle w:val="BodyText"/>
        <w:spacing w:before="52"/>
      </w:pPr>
    </w:p>
    <w:p>
      <w:pPr>
        <w:pStyle w:val="Heading3"/>
        <w:ind w:left="720" w:firstLine="0"/>
      </w:pPr>
      <w:r>
        <w:rPr>
          <w:color w:val="004A93"/>
        </w:rPr>
        <w:t>Windsor</w:t>
      </w:r>
      <w:r>
        <w:rPr>
          <w:color w:val="004A93"/>
          <w:spacing w:val="-7"/>
        </w:rPr>
        <w:t> </w:t>
      </w:r>
      <w:r>
        <w:rPr>
          <w:color w:val="004A93"/>
          <w:spacing w:val="-2"/>
        </w:rPr>
        <w:t>Framework</w:t>
      </w:r>
    </w:p>
    <w:p>
      <w:pPr>
        <w:pStyle w:val="BodyText"/>
        <w:spacing w:line="232" w:lineRule="auto" w:before="2"/>
        <w:ind w:left="720" w:right="1886"/>
      </w:pPr>
      <w:r>
        <w:rPr/>
        <w:t>Formerly</w:t>
      </w:r>
      <w:r>
        <w:rPr>
          <w:spacing w:val="-6"/>
        </w:rPr>
        <w:t> </w:t>
      </w:r>
      <w:r>
        <w:rPr/>
        <w:t>the</w:t>
      </w:r>
      <w:r>
        <w:rPr>
          <w:spacing w:val="-6"/>
        </w:rPr>
        <w:t> </w:t>
      </w:r>
      <w:r>
        <w:rPr/>
        <w:t>Protocol</w:t>
      </w:r>
      <w:r>
        <w:rPr>
          <w:spacing w:val="-7"/>
        </w:rPr>
        <w:t> </w:t>
      </w:r>
      <w:r>
        <w:rPr/>
        <w:t>on</w:t>
      </w:r>
      <w:r>
        <w:rPr>
          <w:spacing w:val="-7"/>
        </w:rPr>
        <w:t> </w:t>
      </w:r>
      <w:r>
        <w:rPr/>
        <w:t>Ireland/Northern</w:t>
      </w:r>
      <w:r>
        <w:rPr>
          <w:spacing w:val="-7"/>
        </w:rPr>
        <w:t> </w:t>
      </w:r>
      <w:r>
        <w:rPr/>
        <w:t>Ireland,</w:t>
      </w:r>
      <w:r>
        <w:rPr>
          <w:spacing w:val="-6"/>
        </w:rPr>
        <w:t> </w:t>
      </w:r>
      <w:r>
        <w:rPr/>
        <w:t>and</w:t>
      </w:r>
      <w:r>
        <w:rPr>
          <w:spacing w:val="-7"/>
        </w:rPr>
        <w:t> </w:t>
      </w:r>
      <w:r>
        <w:rPr/>
        <w:t>including</w:t>
      </w:r>
      <w:r>
        <w:rPr>
          <w:spacing w:val="-6"/>
        </w:rPr>
        <w:t> </w:t>
      </w:r>
      <w:r>
        <w:rPr/>
        <w:t>the</w:t>
      </w:r>
      <w:r>
        <w:rPr>
          <w:spacing w:val="-6"/>
        </w:rPr>
        <w:t> </w:t>
      </w:r>
      <w:r>
        <w:rPr/>
        <w:t>new provisions adopted under the Windsor Framework Agreement.</w:t>
      </w:r>
    </w:p>
    <w:p>
      <w:pPr>
        <w:pStyle w:val="BodyText"/>
        <w:spacing w:before="54"/>
      </w:pPr>
    </w:p>
    <w:p>
      <w:pPr>
        <w:pStyle w:val="Heading3"/>
        <w:ind w:left="720" w:firstLine="0"/>
      </w:pPr>
      <w:r>
        <w:rPr>
          <w:color w:val="004A93"/>
        </w:rPr>
        <w:t>Windsor</w:t>
      </w:r>
      <w:r>
        <w:rPr>
          <w:color w:val="004A93"/>
          <w:spacing w:val="-15"/>
        </w:rPr>
        <w:t> </w:t>
      </w:r>
      <w:r>
        <w:rPr>
          <w:color w:val="004A93"/>
        </w:rPr>
        <w:t>Framework</w:t>
      </w:r>
      <w:r>
        <w:rPr>
          <w:color w:val="004A93"/>
          <w:spacing w:val="-14"/>
        </w:rPr>
        <w:t> </w:t>
      </w:r>
      <w:r>
        <w:rPr>
          <w:color w:val="004A93"/>
        </w:rPr>
        <w:t>Democratic</w:t>
      </w:r>
      <w:r>
        <w:rPr>
          <w:color w:val="004A93"/>
          <w:spacing w:val="-14"/>
        </w:rPr>
        <w:t> </w:t>
      </w:r>
      <w:r>
        <w:rPr>
          <w:color w:val="004A93"/>
        </w:rPr>
        <w:t>Scrutiny</w:t>
      </w:r>
      <w:r>
        <w:rPr>
          <w:color w:val="004A93"/>
          <w:spacing w:val="-13"/>
        </w:rPr>
        <w:t> </w:t>
      </w:r>
      <w:r>
        <w:rPr>
          <w:color w:val="004A93"/>
          <w:spacing w:val="-2"/>
        </w:rPr>
        <w:t>Committee</w:t>
      </w:r>
    </w:p>
    <w:p>
      <w:pPr>
        <w:pStyle w:val="BodyText"/>
        <w:spacing w:line="232" w:lineRule="auto" w:before="2"/>
        <w:ind w:left="720" w:right="1087"/>
      </w:pPr>
      <w:r>
        <w:rPr/>
        <w:t>The Assembly Committee established following the adoption of the Windsor Framework</w:t>
      </w:r>
      <w:r>
        <w:rPr>
          <w:spacing w:val="-5"/>
        </w:rPr>
        <w:t> </w:t>
      </w:r>
      <w:r>
        <w:rPr/>
        <w:t>to</w:t>
      </w:r>
      <w:r>
        <w:rPr>
          <w:spacing w:val="-6"/>
        </w:rPr>
        <w:t> </w:t>
      </w:r>
      <w:r>
        <w:rPr/>
        <w:t>help</w:t>
      </w:r>
      <w:r>
        <w:rPr>
          <w:spacing w:val="-6"/>
        </w:rPr>
        <w:t> </w:t>
      </w:r>
      <w:r>
        <w:rPr/>
        <w:t>scrutinise</w:t>
      </w:r>
      <w:r>
        <w:rPr>
          <w:spacing w:val="-5"/>
        </w:rPr>
        <w:t> </w:t>
      </w:r>
      <w:r>
        <w:rPr/>
        <w:t>new</w:t>
      </w:r>
      <w:r>
        <w:rPr>
          <w:spacing w:val="-5"/>
        </w:rPr>
        <w:t> </w:t>
      </w:r>
      <w:r>
        <w:rPr/>
        <w:t>EU</w:t>
      </w:r>
      <w:r>
        <w:rPr>
          <w:spacing w:val="-5"/>
        </w:rPr>
        <w:t> </w:t>
      </w:r>
      <w:r>
        <w:rPr/>
        <w:t>legislation</w:t>
      </w:r>
      <w:r>
        <w:rPr>
          <w:spacing w:val="-6"/>
        </w:rPr>
        <w:t> </w:t>
      </w:r>
      <w:r>
        <w:rPr/>
        <w:t>that</w:t>
      </w:r>
      <w:r>
        <w:rPr>
          <w:spacing w:val="-5"/>
        </w:rPr>
        <w:t> </w:t>
      </w:r>
      <w:r>
        <w:rPr/>
        <w:t>may</w:t>
      </w:r>
      <w:r>
        <w:rPr>
          <w:spacing w:val="-5"/>
        </w:rPr>
        <w:t> </w:t>
      </w:r>
      <w:r>
        <w:rPr/>
        <w:t>apply</w:t>
      </w:r>
      <w:r>
        <w:rPr>
          <w:spacing w:val="-5"/>
        </w:rPr>
        <w:t> </w:t>
      </w:r>
      <w:r>
        <w:rPr/>
        <w:t>in</w:t>
      </w:r>
      <w:r>
        <w:rPr>
          <w:spacing w:val="-6"/>
        </w:rPr>
        <w:t> </w:t>
      </w:r>
      <w:r>
        <w:rPr/>
        <w:t>Northern</w:t>
      </w:r>
      <w:r>
        <w:rPr>
          <w:spacing w:val="-6"/>
        </w:rPr>
        <w:t> </w:t>
      </w:r>
      <w:r>
        <w:rPr/>
        <w:t>Ireland under Article 13(3a) and (4) of the Windsor Framework.</w:t>
      </w:r>
    </w:p>
    <w:p>
      <w:pPr>
        <w:spacing w:after="0" w:line="232" w:lineRule="auto"/>
        <w:sectPr>
          <w:pgSz w:w="11910" w:h="16840"/>
          <w:pgMar w:top="0" w:bottom="280" w:left="300" w:right="280"/>
        </w:sectPr>
      </w:pPr>
    </w:p>
    <w:p>
      <w:pPr>
        <w:tabs>
          <w:tab w:pos="11052"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27552">
                <wp:simplePos x="0" y="0"/>
                <wp:positionH relativeFrom="page">
                  <wp:posOffset>-2</wp:posOffset>
                </wp:positionH>
                <wp:positionV relativeFrom="page">
                  <wp:posOffset>0</wp:posOffset>
                </wp:positionV>
                <wp:extent cx="7560309" cy="5713095"/>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560309" cy="5713095"/>
                          <a:chExt cx="7560309" cy="5713095"/>
                        </a:xfrm>
                      </wpg:grpSpPr>
                      <pic:pic>
                        <pic:nvPicPr>
                          <pic:cNvPr id="118" name="Image 118"/>
                          <pic:cNvPicPr/>
                        </pic:nvPicPr>
                        <pic:blipFill>
                          <a:blip r:embed="rId28" cstate="print"/>
                          <a:stretch>
                            <a:fillRect/>
                          </a:stretch>
                        </pic:blipFill>
                        <pic:spPr>
                          <a:xfrm>
                            <a:off x="2" y="0"/>
                            <a:ext cx="7559992" cy="2700007"/>
                          </a:xfrm>
                          <a:prstGeom prst="rect">
                            <a:avLst/>
                          </a:prstGeom>
                        </pic:spPr>
                      </pic:pic>
                      <wps:wsp>
                        <wps:cNvPr id="119" name="Graphic 119"/>
                        <wps:cNvSpPr/>
                        <wps:spPr>
                          <a:xfrm>
                            <a:off x="2" y="1530002"/>
                            <a:ext cx="7560309" cy="4183379"/>
                          </a:xfrm>
                          <a:custGeom>
                            <a:avLst/>
                            <a:gdLst/>
                            <a:ahLst/>
                            <a:cxnLst/>
                            <a:rect l="l" t="t" r="r" b="b"/>
                            <a:pathLst>
                              <a:path w="7560309" h="4183379">
                                <a:moveTo>
                                  <a:pt x="6840004" y="0"/>
                                </a:moveTo>
                                <a:lnTo>
                                  <a:pt x="0" y="0"/>
                                </a:lnTo>
                                <a:lnTo>
                                  <a:pt x="0" y="4182871"/>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900001" y="408385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121" name="Graphic 121"/>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22" name="Graphic 122"/>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449.85pt;mso-position-horizontal-relative:page;mso-position-vertical-relative:page;z-index:-19388928" id="docshapegroup72" coordorigin="0,0" coordsize="11906,8997">
                <v:shape style="position:absolute;left:0;top:0;width:11906;height:4252" type="#_x0000_t75" id="docshape73" stroked="false">
                  <v:imagedata r:id="rId28" o:title=""/>
                </v:shape>
                <v:shape style="position:absolute;left:0;top:2409;width:11906;height:6588" id="docshape74" coordorigin="0,2409" coordsize="11906,6588" path="m10772,2409l0,2409,0,8997,11906,8997,11906,2977,11846,2902,11798,2850,11749,2800,11697,2753,11642,2708,11586,2666,11527,2627,11467,2591,11404,2558,11340,2528,11274,2501,11206,2477,11137,2457,11066,2440,10994,2427,10921,2417,10847,2411,10772,2409xe" filled="true" fillcolor="#ffffff" stroked="false">
                  <v:path arrowok="t"/>
                  <v:fill type="solid"/>
                </v:shape>
                <v:line style="position:absolute" from="1417,6431" to="10885,6431" stroked="true" strokeweight="1pt" strokecolor="#36a9e1">
                  <v:stroke dashstyle="solid"/>
                </v:line>
                <v:shape style="position:absolute;left:0;top:0;width:11906;height:1819" id="docshape7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Executive Summary" w:id="7"/>
      <w:bookmarkEnd w:id="7"/>
      <w:r>
        <w:rPr/>
      </w:r>
      <w:bookmarkStart w:name="Introduction and Background" w:id="8"/>
      <w:bookmarkEnd w:id="8"/>
      <w:r>
        <w:rPr/>
      </w:r>
      <w:bookmarkStart w:name="_bookmark3" w:id="9"/>
      <w:bookmarkEnd w:id="9"/>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10"/>
          <w:position w:val="-1"/>
          <w:sz w:val="28"/>
        </w:rPr>
        <w:t>5</w:t>
      </w:r>
    </w:p>
    <w:p>
      <w:pPr>
        <w:pStyle w:val="BodyText"/>
        <w:spacing w:before="40"/>
        <w:rPr>
          <w:b/>
          <w:sz w:val="52"/>
        </w:rPr>
      </w:pPr>
    </w:p>
    <w:p>
      <w:pPr>
        <w:pStyle w:val="Heading1"/>
      </w:pPr>
      <w:r>
        <w:rPr>
          <w:color w:val="FFFFFF"/>
          <w:spacing w:val="-2"/>
        </w:rPr>
        <w:t>Executive</w:t>
      </w:r>
      <w:r>
        <w:rPr>
          <w:color w:val="FFFFFF"/>
          <w:spacing w:val="-21"/>
        </w:rPr>
        <w:t> </w:t>
      </w:r>
      <w:r>
        <w:rPr>
          <w:color w:val="FFFFFF"/>
          <w:spacing w:val="-2"/>
        </w:rPr>
        <w:t>Summary</w:t>
      </w:r>
    </w:p>
    <w:p>
      <w:pPr>
        <w:pStyle w:val="BodyText"/>
        <w:spacing w:line="232" w:lineRule="auto" w:before="385"/>
        <w:ind w:left="1117" w:right="1404"/>
      </w:pPr>
      <w:r>
        <w:rPr/>
        <w:t>This report examines issues of divergence in the protection of rights and equality on the island of Ireland focusing on the period from 1 January 2022 to 31 August 2023 (though includes some more recent developments). It updates</w:t>
      </w:r>
      <w:r>
        <w:rPr>
          <w:spacing w:val="-8"/>
        </w:rPr>
        <w:t> </w:t>
      </w:r>
      <w:r>
        <w:rPr/>
        <w:t>an</w:t>
      </w:r>
      <w:r>
        <w:rPr>
          <w:spacing w:val="-8"/>
        </w:rPr>
        <w:t> </w:t>
      </w:r>
      <w:r>
        <w:rPr/>
        <w:t>initial</w:t>
      </w:r>
      <w:r>
        <w:rPr>
          <w:spacing w:val="-8"/>
        </w:rPr>
        <w:t> </w:t>
      </w:r>
      <w:r>
        <w:rPr/>
        <w:t>report</w:t>
      </w:r>
      <w:r>
        <w:rPr>
          <w:spacing w:val="-7"/>
        </w:rPr>
        <w:t> </w:t>
      </w:r>
      <w:r>
        <w:rPr/>
        <w:t>on</w:t>
      </w:r>
      <w:r>
        <w:rPr>
          <w:spacing w:val="-8"/>
        </w:rPr>
        <w:t> </w:t>
      </w:r>
      <w:r>
        <w:rPr/>
        <w:t>divergence</w:t>
      </w:r>
      <w:r>
        <w:rPr>
          <w:vertAlign w:val="superscript"/>
        </w:rPr>
        <w:t>1</w:t>
      </w:r>
      <w:r>
        <w:rPr>
          <w:spacing w:val="-8"/>
          <w:vertAlign w:val="baseline"/>
        </w:rPr>
        <w:t> </w:t>
      </w:r>
      <w:r>
        <w:rPr>
          <w:vertAlign w:val="baseline"/>
        </w:rPr>
        <w:t>and</w:t>
      </w:r>
      <w:r>
        <w:rPr>
          <w:spacing w:val="-8"/>
          <w:vertAlign w:val="baseline"/>
        </w:rPr>
        <w:t> </w:t>
      </w:r>
      <w:r>
        <w:rPr>
          <w:vertAlign w:val="baseline"/>
        </w:rPr>
        <w:t>we</w:t>
      </w:r>
      <w:r>
        <w:rPr>
          <w:spacing w:val="-7"/>
          <w:vertAlign w:val="baseline"/>
        </w:rPr>
        <w:t> </w:t>
      </w:r>
      <w:r>
        <w:rPr>
          <w:vertAlign w:val="baseline"/>
        </w:rPr>
        <w:t>generally</w:t>
      </w:r>
      <w:r>
        <w:rPr>
          <w:spacing w:val="-7"/>
          <w:vertAlign w:val="baseline"/>
        </w:rPr>
        <w:t> </w:t>
      </w:r>
      <w:r>
        <w:rPr>
          <w:vertAlign w:val="baseline"/>
        </w:rPr>
        <w:t>do</w:t>
      </w:r>
      <w:r>
        <w:rPr>
          <w:spacing w:val="-8"/>
          <w:vertAlign w:val="baseline"/>
        </w:rPr>
        <w:t> </w:t>
      </w:r>
      <w:r>
        <w:rPr>
          <w:vertAlign w:val="baseline"/>
        </w:rPr>
        <w:t>not</w:t>
      </w:r>
      <w:r>
        <w:rPr>
          <w:spacing w:val="-7"/>
          <w:vertAlign w:val="baseline"/>
        </w:rPr>
        <w:t> </w:t>
      </w:r>
      <w:r>
        <w:rPr>
          <w:vertAlign w:val="baseline"/>
        </w:rPr>
        <w:t>replicate</w:t>
      </w:r>
      <w:r>
        <w:rPr>
          <w:spacing w:val="-7"/>
          <w:vertAlign w:val="baseline"/>
        </w:rPr>
        <w:t> </w:t>
      </w:r>
      <w:r>
        <w:rPr>
          <w:vertAlign w:val="baseline"/>
        </w:rPr>
        <w:t>the</w:t>
      </w:r>
    </w:p>
    <w:p>
      <w:pPr>
        <w:pStyle w:val="BodyText"/>
        <w:spacing w:line="232" w:lineRule="auto"/>
        <w:ind w:left="1117" w:right="888"/>
      </w:pPr>
      <w:r>
        <w:rPr/>
        <w:t>recommendations in that initial report, except where we wish to draw attention</w:t>
      </w:r>
      <w:r>
        <w:rPr/>
        <w:t> to subsequent developments or outstanding issues. We include our most significant</w:t>
      </w:r>
      <w:r>
        <w:rPr>
          <w:spacing w:val="-8"/>
        </w:rPr>
        <w:t> </w:t>
      </w:r>
      <w:r>
        <w:rPr/>
        <w:t>recommendations</w:t>
      </w:r>
      <w:r>
        <w:rPr>
          <w:spacing w:val="-9"/>
        </w:rPr>
        <w:t> </w:t>
      </w:r>
      <w:r>
        <w:rPr/>
        <w:t>in</w:t>
      </w:r>
      <w:r>
        <w:rPr>
          <w:spacing w:val="-9"/>
        </w:rPr>
        <w:t> </w:t>
      </w:r>
      <w:r>
        <w:rPr/>
        <w:t>this</w:t>
      </w:r>
      <w:r>
        <w:rPr>
          <w:spacing w:val="-9"/>
        </w:rPr>
        <w:t> </w:t>
      </w:r>
      <w:r>
        <w:rPr/>
        <w:t>Executive</w:t>
      </w:r>
      <w:r>
        <w:rPr>
          <w:spacing w:val="-8"/>
        </w:rPr>
        <w:t> </w:t>
      </w:r>
      <w:r>
        <w:rPr/>
        <w:t>Summary.</w:t>
      </w:r>
      <w:r>
        <w:rPr>
          <w:spacing w:val="-9"/>
        </w:rPr>
        <w:t> </w:t>
      </w:r>
      <w:r>
        <w:rPr/>
        <w:t>We</w:t>
      </w:r>
      <w:r>
        <w:rPr>
          <w:spacing w:val="-8"/>
        </w:rPr>
        <w:t> </w:t>
      </w:r>
      <w:r>
        <w:rPr/>
        <w:t>do</w:t>
      </w:r>
      <w:r>
        <w:rPr>
          <w:spacing w:val="-9"/>
        </w:rPr>
        <w:t> </w:t>
      </w:r>
      <w:r>
        <w:rPr/>
        <w:t>not</w:t>
      </w:r>
      <w:r>
        <w:rPr>
          <w:spacing w:val="-8"/>
        </w:rPr>
        <w:t> </w:t>
      </w:r>
      <w:r>
        <w:rPr/>
        <w:t>include</w:t>
      </w:r>
      <w:r>
        <w:rPr>
          <w:spacing w:val="-8"/>
        </w:rPr>
        <w:t> </w:t>
      </w:r>
      <w:r>
        <w:rPr/>
        <w:t>all</w:t>
      </w:r>
      <w:r>
        <w:rPr>
          <w:spacing w:val="-9"/>
        </w:rPr>
        <w:t> </w:t>
      </w:r>
      <w:r>
        <w:rPr/>
        <w:t>our recommendations</w:t>
      </w:r>
      <w:r>
        <w:rPr>
          <w:spacing w:val="-1"/>
        </w:rPr>
        <w:t> </w:t>
      </w:r>
      <w:r>
        <w:rPr/>
        <w:t>in</w:t>
      </w:r>
      <w:r>
        <w:rPr>
          <w:spacing w:val="-1"/>
        </w:rPr>
        <w:t> </w:t>
      </w:r>
      <w:r>
        <w:rPr/>
        <w:t>this</w:t>
      </w:r>
      <w:r>
        <w:rPr>
          <w:spacing w:val="-1"/>
        </w:rPr>
        <w:t> </w:t>
      </w:r>
      <w:r>
        <w:rPr/>
        <w:t>Executive Summary –</w:t>
      </w:r>
      <w:r>
        <w:rPr>
          <w:spacing w:val="-1"/>
        </w:rPr>
        <w:t> </w:t>
      </w:r>
      <w:r>
        <w:rPr/>
        <w:t>see the full</w:t>
      </w:r>
      <w:r>
        <w:rPr>
          <w:spacing w:val="-1"/>
        </w:rPr>
        <w:t> </w:t>
      </w:r>
      <w:r>
        <w:rPr/>
        <w:t>chapters</w:t>
      </w:r>
      <w:r>
        <w:rPr>
          <w:spacing w:val="-1"/>
        </w:rPr>
        <w:t> </w:t>
      </w:r>
      <w:r>
        <w:rPr/>
        <w:t>or the full</w:t>
      </w:r>
      <w:r>
        <w:rPr>
          <w:spacing w:val="-1"/>
        </w:rPr>
        <w:t> </w:t>
      </w:r>
      <w:r>
        <w:rPr/>
        <w:t>list of recommendations at the end of the report.</w:t>
      </w:r>
    </w:p>
    <w:p>
      <w:pPr>
        <w:pStyle w:val="BodyText"/>
        <w:spacing w:before="5"/>
      </w:pPr>
    </w:p>
    <w:p>
      <w:pPr>
        <w:pStyle w:val="Heading2"/>
        <w:ind w:left="1117" w:firstLine="0"/>
      </w:pPr>
      <w:r>
        <w:rPr>
          <w:color w:val="004A93"/>
        </w:rPr>
        <w:t>Introduction</w:t>
      </w:r>
      <w:r>
        <w:rPr>
          <w:color w:val="004A93"/>
          <w:spacing w:val="-11"/>
        </w:rPr>
        <w:t> </w:t>
      </w:r>
      <w:r>
        <w:rPr>
          <w:color w:val="004A93"/>
        </w:rPr>
        <w:t>and</w:t>
      </w:r>
      <w:r>
        <w:rPr>
          <w:color w:val="004A93"/>
          <w:spacing w:val="-10"/>
        </w:rPr>
        <w:t> </w:t>
      </w:r>
      <w:r>
        <w:rPr>
          <w:color w:val="004A93"/>
          <w:spacing w:val="-2"/>
        </w:rPr>
        <w:t>Background</w:t>
      </w:r>
    </w:p>
    <w:p>
      <w:pPr>
        <w:pStyle w:val="BodyText"/>
        <w:spacing w:line="232" w:lineRule="auto" w:before="213"/>
        <w:ind w:left="1117" w:right="738"/>
      </w:pPr>
      <w:r>
        <w:rPr/>
        <w:t>The Belfast or Good Friday Agreement (BGFA or the1998 Agreement)</w:t>
      </w:r>
      <w:r>
        <w:rPr>
          <w:vertAlign w:val="superscript"/>
        </w:rPr>
        <w:t>2</w:t>
      </w:r>
      <w:r>
        <w:rPr>
          <w:vertAlign w:val="baseline"/>
        </w:rPr>
        <w:t> includes significant human rights and equality protections, many of which are underpinned by European Union law as recognised in the Brexit negotiations. The 1998 Agreement</w:t>
      </w:r>
      <w:r>
        <w:rPr>
          <w:spacing w:val="-6"/>
          <w:vertAlign w:val="baseline"/>
        </w:rPr>
        <w:t> </w:t>
      </w:r>
      <w:r>
        <w:rPr>
          <w:vertAlign w:val="baseline"/>
        </w:rPr>
        <w:t>also</w:t>
      </w:r>
      <w:r>
        <w:rPr>
          <w:spacing w:val="-7"/>
          <w:vertAlign w:val="baseline"/>
        </w:rPr>
        <w:t> </w:t>
      </w:r>
      <w:r>
        <w:rPr>
          <w:vertAlign w:val="baseline"/>
        </w:rPr>
        <w:t>contains</w:t>
      </w:r>
      <w:r>
        <w:rPr>
          <w:spacing w:val="-7"/>
          <w:vertAlign w:val="baseline"/>
        </w:rPr>
        <w:t> </w:t>
      </w:r>
      <w:r>
        <w:rPr>
          <w:vertAlign w:val="baseline"/>
        </w:rPr>
        <w:t>a</w:t>
      </w:r>
      <w:r>
        <w:rPr>
          <w:spacing w:val="-7"/>
          <w:vertAlign w:val="baseline"/>
        </w:rPr>
        <w:t> </w:t>
      </w:r>
      <w:r>
        <w:rPr>
          <w:vertAlign w:val="baseline"/>
        </w:rPr>
        <w:t>principle</w:t>
      </w:r>
      <w:r>
        <w:rPr>
          <w:spacing w:val="-6"/>
          <w:vertAlign w:val="baseline"/>
        </w:rPr>
        <w:t> </w:t>
      </w:r>
      <w:r>
        <w:rPr>
          <w:vertAlign w:val="baseline"/>
        </w:rPr>
        <w:t>of</w:t>
      </w:r>
      <w:r>
        <w:rPr>
          <w:spacing w:val="-7"/>
          <w:vertAlign w:val="baseline"/>
        </w:rPr>
        <w:t> </w:t>
      </w:r>
      <w:r>
        <w:rPr>
          <w:vertAlign w:val="baseline"/>
        </w:rPr>
        <w:t>equivalence</w:t>
      </w:r>
      <w:r>
        <w:rPr>
          <w:spacing w:val="-6"/>
          <w:vertAlign w:val="baseline"/>
        </w:rPr>
        <w:t> </w:t>
      </w:r>
      <w:r>
        <w:rPr>
          <w:vertAlign w:val="baseline"/>
        </w:rPr>
        <w:t>and</w:t>
      </w:r>
      <w:r>
        <w:rPr>
          <w:spacing w:val="-7"/>
          <w:vertAlign w:val="baseline"/>
        </w:rPr>
        <w:t> </w:t>
      </w:r>
      <w:r>
        <w:rPr>
          <w:vertAlign w:val="baseline"/>
        </w:rPr>
        <w:t>while</w:t>
      </w:r>
      <w:r>
        <w:rPr>
          <w:spacing w:val="-6"/>
          <w:vertAlign w:val="baseline"/>
        </w:rPr>
        <w:t> </w:t>
      </w:r>
      <w:r>
        <w:rPr>
          <w:vertAlign w:val="baseline"/>
        </w:rPr>
        <w:t>the</w:t>
      </w:r>
      <w:r>
        <w:rPr>
          <w:spacing w:val="-6"/>
          <w:vertAlign w:val="baseline"/>
        </w:rPr>
        <w:t> </w:t>
      </w:r>
      <w:r>
        <w:rPr>
          <w:vertAlign w:val="baseline"/>
        </w:rPr>
        <w:t>specific</w:t>
      </w:r>
      <w:r>
        <w:rPr>
          <w:spacing w:val="-6"/>
          <w:vertAlign w:val="baseline"/>
        </w:rPr>
        <w:t> </w:t>
      </w:r>
      <w:r>
        <w:rPr>
          <w:vertAlign w:val="baseline"/>
        </w:rPr>
        <w:t>reference appears limited to the need for Ireland to maintain a level of protection equivalent to that in Northern Ireland, the wider context of the Agreement suggests the desirability of equivalence in rights protection on the island of Ireland.</w:t>
      </w:r>
    </w:p>
    <w:p>
      <w:pPr>
        <w:pStyle w:val="BodyText"/>
        <w:spacing w:line="232" w:lineRule="auto" w:before="272"/>
        <w:ind w:left="1117" w:right="872"/>
      </w:pPr>
      <w:r>
        <w:rPr/>
        <w:t>The Protocol on Ireland / Northern Ireland (now called the Windsor Framework</w:t>
      </w:r>
      <w:r>
        <w:rPr>
          <w:vertAlign w:val="superscript"/>
        </w:rPr>
        <w:t>3</w:t>
      </w:r>
      <w:r>
        <w:rPr>
          <w:vertAlign w:val="baseline"/>
        </w:rPr>
        <w:t>) provides legal protections for the rights of the individual in its Article 2. This includes dynamic alignment in relation to 6 equality directives in Annex 1 and the non-diminution</w:t>
      </w:r>
      <w:r>
        <w:rPr>
          <w:spacing w:val="-5"/>
          <w:vertAlign w:val="baseline"/>
        </w:rPr>
        <w:t> </w:t>
      </w:r>
      <w:r>
        <w:rPr>
          <w:vertAlign w:val="baseline"/>
        </w:rPr>
        <w:t>principle</w:t>
      </w:r>
      <w:r>
        <w:rPr>
          <w:spacing w:val="-4"/>
          <w:vertAlign w:val="baseline"/>
        </w:rPr>
        <w:t> </w:t>
      </w:r>
      <w:r>
        <w:rPr>
          <w:vertAlign w:val="baseline"/>
        </w:rPr>
        <w:t>in</w:t>
      </w:r>
      <w:r>
        <w:rPr>
          <w:spacing w:val="-5"/>
          <w:vertAlign w:val="baseline"/>
        </w:rPr>
        <w:t> </w:t>
      </w:r>
      <w:r>
        <w:rPr>
          <w:vertAlign w:val="baseline"/>
        </w:rPr>
        <w:t>relation</w:t>
      </w:r>
      <w:r>
        <w:rPr>
          <w:spacing w:val="-5"/>
          <w:vertAlign w:val="baseline"/>
        </w:rPr>
        <w:t> </w:t>
      </w:r>
      <w:r>
        <w:rPr>
          <w:vertAlign w:val="baseline"/>
        </w:rPr>
        <w:t>to</w:t>
      </w:r>
      <w:r>
        <w:rPr>
          <w:spacing w:val="-5"/>
          <w:vertAlign w:val="baseline"/>
        </w:rPr>
        <w:t> </w:t>
      </w:r>
      <w:r>
        <w:rPr>
          <w:vertAlign w:val="baseline"/>
        </w:rPr>
        <w:t>other</w:t>
      </w:r>
      <w:r>
        <w:rPr>
          <w:spacing w:val="-4"/>
          <w:vertAlign w:val="baseline"/>
        </w:rPr>
        <w:t> </w:t>
      </w:r>
      <w:r>
        <w:rPr>
          <w:vertAlign w:val="baseline"/>
        </w:rPr>
        <w:t>EU</w:t>
      </w:r>
      <w:r>
        <w:rPr>
          <w:spacing w:val="-4"/>
          <w:vertAlign w:val="baseline"/>
        </w:rPr>
        <w:t> </w:t>
      </w:r>
      <w:r>
        <w:rPr>
          <w:vertAlign w:val="baseline"/>
        </w:rPr>
        <w:t>law</w:t>
      </w:r>
      <w:r>
        <w:rPr>
          <w:spacing w:val="-4"/>
          <w:vertAlign w:val="baseline"/>
        </w:rPr>
        <w:t> </w:t>
      </w:r>
      <w:r>
        <w:rPr>
          <w:vertAlign w:val="baseline"/>
        </w:rPr>
        <w:t>underpinning</w:t>
      </w:r>
      <w:r>
        <w:rPr>
          <w:spacing w:val="-4"/>
          <w:vertAlign w:val="baseline"/>
        </w:rPr>
        <w:t> </w:t>
      </w:r>
      <w:r>
        <w:rPr>
          <w:vertAlign w:val="baseline"/>
        </w:rPr>
        <w:t>the</w:t>
      </w:r>
      <w:r>
        <w:rPr>
          <w:spacing w:val="-4"/>
          <w:vertAlign w:val="baseline"/>
        </w:rPr>
        <w:t> </w:t>
      </w:r>
      <w:r>
        <w:rPr>
          <w:vertAlign w:val="baseline"/>
        </w:rPr>
        <w:t>rights</w:t>
      </w:r>
      <w:r>
        <w:rPr>
          <w:spacing w:val="-5"/>
          <w:vertAlign w:val="baseline"/>
        </w:rPr>
        <w:t> </w:t>
      </w:r>
      <w:r>
        <w:rPr>
          <w:vertAlign w:val="baseline"/>
        </w:rPr>
        <w:t>in</w:t>
      </w:r>
      <w:r>
        <w:rPr>
          <w:spacing w:val="-5"/>
          <w:vertAlign w:val="baseline"/>
        </w:rPr>
        <w:t> </w:t>
      </w:r>
      <w:r>
        <w:rPr>
          <w:vertAlign w:val="baseline"/>
        </w:rPr>
        <w:t>the Rights,</w:t>
      </w:r>
      <w:r>
        <w:rPr>
          <w:spacing w:val="-1"/>
          <w:vertAlign w:val="baseline"/>
        </w:rPr>
        <w:t> </w:t>
      </w:r>
      <w:r>
        <w:rPr>
          <w:vertAlign w:val="baseline"/>
        </w:rPr>
        <w:t>Safeguards</w:t>
      </w:r>
      <w:r>
        <w:rPr>
          <w:spacing w:val="-2"/>
          <w:vertAlign w:val="baseline"/>
        </w:rPr>
        <w:t> </w:t>
      </w:r>
      <w:r>
        <w:rPr>
          <w:vertAlign w:val="baseline"/>
        </w:rPr>
        <w:t>and</w:t>
      </w:r>
      <w:r>
        <w:rPr>
          <w:spacing w:val="-2"/>
          <w:vertAlign w:val="baseline"/>
        </w:rPr>
        <w:t> </w:t>
      </w:r>
      <w:r>
        <w:rPr>
          <w:vertAlign w:val="baseline"/>
        </w:rPr>
        <w:t>Equality</w:t>
      </w:r>
      <w:r>
        <w:rPr>
          <w:spacing w:val="-1"/>
          <w:vertAlign w:val="baseline"/>
        </w:rPr>
        <w:t> </w:t>
      </w:r>
      <w:r>
        <w:rPr>
          <w:vertAlign w:val="baseline"/>
        </w:rPr>
        <w:t>of</w:t>
      </w:r>
      <w:r>
        <w:rPr>
          <w:spacing w:val="-2"/>
          <w:vertAlign w:val="baseline"/>
        </w:rPr>
        <w:t> </w:t>
      </w:r>
      <w:r>
        <w:rPr>
          <w:vertAlign w:val="baseline"/>
        </w:rPr>
        <w:t>Opportunity</w:t>
      </w:r>
      <w:r>
        <w:rPr>
          <w:spacing w:val="-1"/>
          <w:vertAlign w:val="baseline"/>
        </w:rPr>
        <w:t> </w:t>
      </w:r>
      <w:r>
        <w:rPr>
          <w:vertAlign w:val="baseline"/>
        </w:rPr>
        <w:t>section</w:t>
      </w:r>
      <w:r>
        <w:rPr>
          <w:spacing w:val="-2"/>
          <w:vertAlign w:val="baseline"/>
        </w:rPr>
        <w:t> </w:t>
      </w:r>
      <w:r>
        <w:rPr>
          <w:vertAlign w:val="baseline"/>
        </w:rPr>
        <w:t>of</w:t>
      </w:r>
      <w:r>
        <w:rPr>
          <w:spacing w:val="-2"/>
          <w:vertAlign w:val="baseline"/>
        </w:rPr>
        <w:t> </w:t>
      </w:r>
      <w:r>
        <w:rPr>
          <w:vertAlign w:val="baseline"/>
        </w:rPr>
        <w:t>the</w:t>
      </w:r>
      <w:r>
        <w:rPr>
          <w:spacing w:val="-1"/>
          <w:vertAlign w:val="baseline"/>
        </w:rPr>
        <w:t> </w:t>
      </w:r>
      <w:r>
        <w:rPr>
          <w:vertAlign w:val="baseline"/>
        </w:rPr>
        <w:t>1998</w:t>
      </w:r>
      <w:r>
        <w:rPr>
          <w:spacing w:val="-1"/>
          <w:vertAlign w:val="baseline"/>
        </w:rPr>
        <w:t> </w:t>
      </w:r>
      <w:r>
        <w:rPr>
          <w:vertAlign w:val="baseline"/>
        </w:rPr>
        <w:t>Agreement.</w:t>
      </w:r>
      <w:r>
        <w:rPr>
          <w:spacing w:val="-2"/>
          <w:vertAlign w:val="baseline"/>
        </w:rPr>
        <w:t> </w:t>
      </w:r>
      <w:r>
        <w:rPr>
          <w:vertAlign w:val="baseline"/>
        </w:rPr>
        <w:t>By virtue of Article 4 of the Withdrawal Agreement</w:t>
      </w:r>
      <w:r>
        <w:rPr>
          <w:vertAlign w:val="superscript"/>
        </w:rPr>
        <w:t>4</w:t>
      </w:r>
      <w:r>
        <w:rPr>
          <w:vertAlign w:val="baseline"/>
        </w:rPr>
        <w:t> and section 7A of the European Union (Withdrawal) Act,</w:t>
      </w:r>
      <w:r>
        <w:rPr>
          <w:vertAlign w:val="superscript"/>
        </w:rPr>
        <w:t>5</w:t>
      </w:r>
      <w:r>
        <w:rPr>
          <w:vertAlign w:val="baseline"/>
        </w:rPr>
        <w:t> these protections have a status equivalent to EU law</w:t>
      </w:r>
    </w:p>
    <w:p>
      <w:pPr>
        <w:pStyle w:val="BodyText"/>
        <w:spacing w:line="323" w:lineRule="exact"/>
        <w:ind w:left="1117"/>
      </w:pPr>
      <w:r>
        <w:rPr/>
        <w:t>in</w:t>
      </w:r>
      <w:r>
        <w:rPr>
          <w:spacing w:val="-6"/>
        </w:rPr>
        <w:t> </w:t>
      </w:r>
      <w:r>
        <w:rPr/>
        <w:t>the</w:t>
      </w:r>
      <w:r>
        <w:rPr>
          <w:spacing w:val="-5"/>
        </w:rPr>
        <w:t> </w:t>
      </w:r>
      <w:r>
        <w:rPr/>
        <w:t>European</w:t>
      </w:r>
      <w:r>
        <w:rPr>
          <w:spacing w:val="-5"/>
        </w:rPr>
        <w:t> </w:t>
      </w:r>
      <w:r>
        <w:rPr/>
        <w:t>Union</w:t>
      </w:r>
      <w:r>
        <w:rPr>
          <w:spacing w:val="-6"/>
        </w:rPr>
        <w:t> </w:t>
      </w:r>
      <w:r>
        <w:rPr/>
        <w:t>that</w:t>
      </w:r>
      <w:r>
        <w:rPr>
          <w:spacing w:val="-5"/>
        </w:rPr>
        <w:t> </w:t>
      </w:r>
      <w:r>
        <w:rPr/>
        <w:t>is,</w:t>
      </w:r>
      <w:r>
        <w:rPr>
          <w:spacing w:val="-4"/>
        </w:rPr>
        <w:t> </w:t>
      </w:r>
      <w:r>
        <w:rPr/>
        <w:t>people</w:t>
      </w:r>
      <w:r>
        <w:rPr>
          <w:spacing w:val="-5"/>
        </w:rPr>
        <w:t> </w:t>
      </w:r>
      <w:r>
        <w:rPr/>
        <w:t>can</w:t>
      </w:r>
      <w:r>
        <w:rPr>
          <w:spacing w:val="-6"/>
        </w:rPr>
        <w:t> </w:t>
      </w:r>
      <w:r>
        <w:rPr/>
        <w:t>rely</w:t>
      </w:r>
      <w:r>
        <w:rPr>
          <w:spacing w:val="-4"/>
        </w:rPr>
        <w:t> </w:t>
      </w:r>
      <w:r>
        <w:rPr/>
        <w:t>on</w:t>
      </w:r>
      <w:r>
        <w:rPr>
          <w:spacing w:val="-6"/>
        </w:rPr>
        <w:t> </w:t>
      </w:r>
      <w:r>
        <w:rPr/>
        <w:t>directly</w:t>
      </w:r>
      <w:r>
        <w:rPr>
          <w:spacing w:val="-5"/>
        </w:rPr>
        <w:t> </w:t>
      </w:r>
      <w:r>
        <w:rPr/>
        <w:t>effective</w:t>
      </w:r>
      <w:r>
        <w:rPr>
          <w:spacing w:val="-4"/>
        </w:rPr>
        <w:t> </w:t>
      </w:r>
      <w:r>
        <w:rPr>
          <w:spacing w:val="-2"/>
        </w:rPr>
        <w:t>provisions</w:t>
      </w:r>
    </w:p>
    <w:p>
      <w:pPr>
        <w:pStyle w:val="BodyText"/>
        <w:spacing w:before="23"/>
        <w:rPr>
          <w:sz w:val="20"/>
        </w:rPr>
      </w:pPr>
      <w:r>
        <w:rPr/>
        <mc:AlternateContent>
          <mc:Choice Requires="wps">
            <w:drawing>
              <wp:anchor distT="0" distB="0" distL="0" distR="0" allowOverlap="1" layoutInCell="1" locked="0" behindDoc="1" simplePos="0" relativeHeight="487610368">
                <wp:simplePos x="0" y="0"/>
                <wp:positionH relativeFrom="page">
                  <wp:posOffset>899999</wp:posOffset>
                </wp:positionH>
                <wp:positionV relativeFrom="paragraph">
                  <wp:posOffset>184963</wp:posOffset>
                </wp:positionV>
                <wp:extent cx="6012180" cy="127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4.564084pt;width:473.4pt;height:.1pt;mso-position-horizontal-relative:page;mso-position-vertical-relative:paragraph;z-index:-15706112;mso-wrap-distance-left:0;mso-wrap-distance-right:0" id="docshape76" coordorigin="1417,291" coordsize="9468,0" path="m1417,291l10885,291e" filled="false" stroked="true" strokeweight=".5pt" strokecolor="#36a9e1">
                <v:path arrowok="t"/>
                <v:stroke dashstyle="solid"/>
                <w10:wrap type="topAndBottom"/>
              </v:shape>
            </w:pict>
          </mc:Fallback>
        </mc:AlternateContent>
      </w:r>
    </w:p>
    <w:p>
      <w:pPr>
        <w:pStyle w:val="ListParagraph"/>
        <w:numPr>
          <w:ilvl w:val="0"/>
          <w:numId w:val="8"/>
        </w:numPr>
        <w:tabs>
          <w:tab w:pos="1684" w:val="left" w:leader="none"/>
        </w:tabs>
        <w:spacing w:line="240" w:lineRule="auto" w:before="43" w:after="0"/>
        <w:ind w:left="1684" w:right="981"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w:t>
      </w:r>
    </w:p>
    <w:p>
      <w:pPr>
        <w:pStyle w:val="ListParagraph"/>
        <w:numPr>
          <w:ilvl w:val="0"/>
          <w:numId w:val="8"/>
        </w:numPr>
        <w:tabs>
          <w:tab w:pos="1684" w:val="left" w:leader="none"/>
        </w:tabs>
        <w:spacing w:line="240" w:lineRule="auto" w:before="1" w:after="0"/>
        <w:ind w:left="1684" w:right="951" w:hanging="567"/>
        <w:jc w:val="both"/>
        <w:rPr>
          <w:sz w:val="18"/>
        </w:rPr>
      </w:pPr>
      <w:r>
        <w:rPr>
          <w:color w:val="1D71B8"/>
          <w:sz w:val="18"/>
          <w:u w:val="single" w:color="1D71B8"/>
        </w:rPr>
        <w:t>Belfast</w:t>
      </w:r>
      <w:r>
        <w:rPr>
          <w:color w:val="1D71B8"/>
          <w:spacing w:val="-4"/>
          <w:sz w:val="18"/>
          <w:u w:val="single" w:color="1D71B8"/>
        </w:rPr>
        <w:t> </w:t>
      </w:r>
      <w:r>
        <w:rPr>
          <w:color w:val="1D71B8"/>
          <w:sz w:val="18"/>
          <w:u w:val="single" w:color="1D71B8"/>
        </w:rPr>
        <w:t>Good</w:t>
      </w:r>
      <w:r>
        <w:rPr>
          <w:color w:val="1D71B8"/>
          <w:spacing w:val="-5"/>
          <w:sz w:val="18"/>
          <w:u w:val="single" w:color="1D71B8"/>
        </w:rPr>
        <w:t> </w:t>
      </w:r>
      <w:r>
        <w:rPr>
          <w:color w:val="1D71B8"/>
          <w:sz w:val="18"/>
          <w:u w:val="single" w:color="1D71B8"/>
        </w:rPr>
        <w:t>Friday</w:t>
      </w:r>
      <w:r>
        <w:rPr>
          <w:color w:val="1D71B8"/>
          <w:spacing w:val="-4"/>
          <w:sz w:val="18"/>
          <w:u w:val="single" w:color="1D71B8"/>
        </w:rPr>
        <w:t> </w:t>
      </w:r>
      <w:r>
        <w:rPr>
          <w:color w:val="1D71B8"/>
          <w:sz w:val="18"/>
          <w:u w:val="single" w:color="1D71B8"/>
        </w:rPr>
        <w:t>Agreement</w:t>
      </w:r>
      <w:r>
        <w:rPr>
          <w:color w:val="1D71B8"/>
          <w:spacing w:val="-4"/>
          <w:sz w:val="18"/>
          <w:u w:val="single" w:color="1D71B8"/>
        </w:rPr>
        <w:t> </w:t>
      </w:r>
      <w:r>
        <w:rPr>
          <w:color w:val="1D71B8"/>
          <w:sz w:val="18"/>
          <w:u w:val="single" w:color="1D71B8"/>
        </w:rPr>
        <w:t>1998</w:t>
      </w:r>
      <w:r>
        <w:rPr>
          <w:sz w:val="18"/>
          <w:u w:val="none"/>
        </w:rPr>
        <w:t>,</w:t>
      </w:r>
      <w:r>
        <w:rPr>
          <w:spacing w:val="-4"/>
          <w:sz w:val="18"/>
          <w:u w:val="none"/>
        </w:rPr>
        <w:t> </w:t>
      </w:r>
      <w:r>
        <w:rPr>
          <w:sz w:val="18"/>
          <w:u w:val="none"/>
        </w:rPr>
        <w:t>Agreement</w:t>
      </w:r>
      <w:r>
        <w:rPr>
          <w:spacing w:val="-4"/>
          <w:sz w:val="18"/>
          <w:u w:val="none"/>
        </w:rPr>
        <w:t> </w:t>
      </w:r>
      <w:r>
        <w:rPr>
          <w:sz w:val="18"/>
          <w:u w:val="none"/>
        </w:rPr>
        <w:t>between</w:t>
      </w:r>
      <w:r>
        <w:rPr>
          <w:spacing w:val="-5"/>
          <w:sz w:val="18"/>
          <w:u w:val="none"/>
        </w:rPr>
        <w:t> </w:t>
      </w:r>
      <w:r>
        <w:rPr>
          <w:sz w:val="18"/>
          <w:u w:val="none"/>
        </w:rPr>
        <w:t>the</w:t>
      </w:r>
      <w:r>
        <w:rPr>
          <w:spacing w:val="-4"/>
          <w:sz w:val="18"/>
          <w:u w:val="none"/>
        </w:rPr>
        <w:t> </w:t>
      </w:r>
      <w:r>
        <w:rPr>
          <w:sz w:val="18"/>
          <w:u w:val="none"/>
        </w:rPr>
        <w:t>Government</w:t>
      </w:r>
      <w:r>
        <w:rPr>
          <w:spacing w:val="-4"/>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United</w:t>
      </w:r>
      <w:r>
        <w:rPr>
          <w:spacing w:val="-5"/>
          <w:sz w:val="18"/>
          <w:u w:val="none"/>
        </w:rPr>
        <w:t> </w:t>
      </w:r>
      <w:r>
        <w:rPr>
          <w:sz w:val="18"/>
          <w:u w:val="none"/>
        </w:rPr>
        <w:t>Kingdom</w:t>
      </w:r>
      <w:r>
        <w:rPr>
          <w:spacing w:val="-4"/>
          <w:sz w:val="18"/>
          <w:u w:val="none"/>
        </w:rPr>
        <w:t> </w:t>
      </w:r>
      <w:r>
        <w:rPr>
          <w:sz w:val="18"/>
          <w:u w:val="none"/>
        </w:rPr>
        <w:t>of</w:t>
      </w:r>
      <w:r>
        <w:rPr>
          <w:spacing w:val="-5"/>
          <w:sz w:val="18"/>
          <w:u w:val="none"/>
        </w:rPr>
        <w:t> </w:t>
      </w:r>
      <w:r>
        <w:rPr>
          <w:sz w:val="18"/>
          <w:u w:val="none"/>
        </w:rPr>
        <w:t>Great</w:t>
      </w:r>
      <w:r>
        <w:rPr>
          <w:spacing w:val="-4"/>
          <w:sz w:val="18"/>
          <w:u w:val="none"/>
        </w:rPr>
        <w:t> </w:t>
      </w:r>
      <w:r>
        <w:rPr>
          <w:sz w:val="18"/>
          <w:u w:val="none"/>
        </w:rPr>
        <w:t>Britain</w:t>
      </w:r>
      <w:r>
        <w:rPr>
          <w:spacing w:val="-5"/>
          <w:sz w:val="18"/>
          <w:u w:val="none"/>
        </w:rPr>
        <w:t> </w:t>
      </w:r>
      <w:r>
        <w:rPr>
          <w:sz w:val="18"/>
          <w:u w:val="none"/>
        </w:rPr>
        <w:t>and Northern Ireland and the Government of Ireland, Preamble.</w:t>
      </w:r>
    </w:p>
    <w:p>
      <w:pPr>
        <w:pStyle w:val="ListParagraph"/>
        <w:numPr>
          <w:ilvl w:val="0"/>
          <w:numId w:val="8"/>
        </w:numPr>
        <w:tabs>
          <w:tab w:pos="1684" w:val="left" w:leader="none"/>
        </w:tabs>
        <w:spacing w:line="240" w:lineRule="auto" w:before="1" w:after="0"/>
        <w:ind w:left="1684" w:right="882" w:hanging="567"/>
        <w:jc w:val="both"/>
        <w:rPr>
          <w:sz w:val="18"/>
        </w:rPr>
      </w:pPr>
      <w:r>
        <w:rPr>
          <w:sz w:val="18"/>
        </w:rPr>
        <w:t>The</w:t>
      </w:r>
      <w:r>
        <w:rPr>
          <w:spacing w:val="-4"/>
          <w:sz w:val="18"/>
        </w:rPr>
        <w:t> </w:t>
      </w:r>
      <w:r>
        <w:rPr>
          <w:sz w:val="18"/>
        </w:rPr>
        <w:t>term</w:t>
      </w:r>
      <w:r>
        <w:rPr>
          <w:spacing w:val="-4"/>
          <w:sz w:val="18"/>
        </w:rPr>
        <w:t> </w:t>
      </w:r>
      <w:r>
        <w:rPr>
          <w:sz w:val="18"/>
        </w:rPr>
        <w:t>‘Windsor</w:t>
      </w:r>
      <w:r>
        <w:rPr>
          <w:spacing w:val="-4"/>
          <w:sz w:val="18"/>
        </w:rPr>
        <w:t> </w:t>
      </w:r>
      <w:r>
        <w:rPr>
          <w:sz w:val="18"/>
        </w:rPr>
        <w:t>Framework’</w:t>
      </w:r>
      <w:r>
        <w:rPr>
          <w:spacing w:val="-4"/>
          <w:sz w:val="18"/>
        </w:rPr>
        <w:t> </w:t>
      </w:r>
      <w:r>
        <w:rPr>
          <w:sz w:val="18"/>
        </w:rPr>
        <w:t>refers</w:t>
      </w:r>
      <w:r>
        <w:rPr>
          <w:spacing w:val="-5"/>
          <w:sz w:val="18"/>
        </w:rPr>
        <w:t> </w:t>
      </w:r>
      <w:r>
        <w:rPr>
          <w:sz w:val="18"/>
        </w:rPr>
        <w:t>to</w:t>
      </w:r>
      <w:r>
        <w:rPr>
          <w:spacing w:val="-5"/>
          <w:sz w:val="18"/>
        </w:rPr>
        <w:t> </w:t>
      </w:r>
      <w:r>
        <w:rPr>
          <w:sz w:val="18"/>
        </w:rPr>
        <w:t>what</w:t>
      </w:r>
      <w:r>
        <w:rPr>
          <w:spacing w:val="-4"/>
          <w:sz w:val="18"/>
        </w:rPr>
        <w:t> </w:t>
      </w:r>
      <w:r>
        <w:rPr>
          <w:sz w:val="18"/>
        </w:rPr>
        <w:t>was</w:t>
      </w:r>
      <w:r>
        <w:rPr>
          <w:spacing w:val="-5"/>
          <w:sz w:val="18"/>
        </w:rPr>
        <w:t> </w:t>
      </w:r>
      <w:r>
        <w:rPr>
          <w:sz w:val="18"/>
        </w:rPr>
        <w:t>originally</w:t>
      </w:r>
      <w:r>
        <w:rPr>
          <w:spacing w:val="-4"/>
          <w:sz w:val="18"/>
        </w:rPr>
        <w:t> </w:t>
      </w:r>
      <w:r>
        <w:rPr>
          <w:sz w:val="18"/>
        </w:rPr>
        <w:t>called</w:t>
      </w:r>
      <w:r>
        <w:rPr>
          <w:spacing w:val="-5"/>
          <w:sz w:val="18"/>
        </w:rPr>
        <w:t> </w:t>
      </w:r>
      <w:r>
        <w:rPr>
          <w:sz w:val="18"/>
        </w:rPr>
        <w:t>the</w:t>
      </w:r>
      <w:r>
        <w:rPr>
          <w:spacing w:val="-4"/>
          <w:sz w:val="18"/>
        </w:rPr>
        <w:t> </w:t>
      </w:r>
      <w:r>
        <w:rPr>
          <w:sz w:val="18"/>
        </w:rPr>
        <w:t>Protocol</w:t>
      </w:r>
      <w:r>
        <w:rPr>
          <w:spacing w:val="-5"/>
          <w:sz w:val="18"/>
        </w:rPr>
        <w:t> </w:t>
      </w:r>
      <w:r>
        <w:rPr>
          <w:sz w:val="18"/>
        </w:rPr>
        <w:t>on</w:t>
      </w:r>
      <w:r>
        <w:rPr>
          <w:spacing w:val="-5"/>
          <w:sz w:val="18"/>
        </w:rPr>
        <w:t> </w:t>
      </w:r>
      <w:r>
        <w:rPr>
          <w:sz w:val="18"/>
        </w:rPr>
        <w:t>Ireland/Northern</w:t>
      </w:r>
      <w:r>
        <w:rPr>
          <w:spacing w:val="-5"/>
          <w:sz w:val="18"/>
        </w:rPr>
        <w:t> </w:t>
      </w:r>
      <w:r>
        <w:rPr>
          <w:sz w:val="18"/>
        </w:rPr>
        <w:t>Ireland;</w:t>
      </w:r>
      <w:r>
        <w:rPr>
          <w:spacing w:val="-4"/>
          <w:sz w:val="18"/>
        </w:rPr>
        <w:t> </w:t>
      </w:r>
      <w:r>
        <w:rPr>
          <w:sz w:val="18"/>
        </w:rPr>
        <w:t>we</w:t>
      </w:r>
      <w:r>
        <w:rPr>
          <w:spacing w:val="-4"/>
          <w:sz w:val="18"/>
        </w:rPr>
        <w:t> </w:t>
      </w:r>
      <w:r>
        <w:rPr>
          <w:sz w:val="18"/>
        </w:rPr>
        <w:t>use</w:t>
      </w:r>
      <w:r>
        <w:rPr>
          <w:spacing w:val="-4"/>
          <w:sz w:val="18"/>
        </w:rPr>
        <w:t> </w:t>
      </w:r>
      <w:r>
        <w:rPr>
          <w:sz w:val="18"/>
        </w:rPr>
        <w:t>the term ‘Protocol’ where necessary for historical reasons.</w:t>
      </w:r>
    </w:p>
    <w:p>
      <w:pPr>
        <w:pStyle w:val="ListParagraph"/>
        <w:numPr>
          <w:ilvl w:val="0"/>
          <w:numId w:val="8"/>
        </w:numPr>
        <w:tabs>
          <w:tab w:pos="1684" w:val="left" w:leader="none"/>
        </w:tabs>
        <w:spacing w:line="240" w:lineRule="auto" w:before="0" w:after="0"/>
        <w:ind w:left="1684" w:right="0" w:hanging="567"/>
        <w:jc w:val="both"/>
        <w:rPr>
          <w:sz w:val="18"/>
        </w:rPr>
      </w:pPr>
      <w:r>
        <w:rPr>
          <w:sz w:val="18"/>
        </w:rPr>
        <w:t>Article</w:t>
      </w:r>
      <w:r>
        <w:rPr>
          <w:spacing w:val="-3"/>
          <w:sz w:val="18"/>
        </w:rPr>
        <w:t> </w:t>
      </w:r>
      <w:r>
        <w:rPr>
          <w:sz w:val="18"/>
        </w:rPr>
        <w:t>4</w:t>
      </w:r>
      <w:r>
        <w:rPr>
          <w:spacing w:val="-2"/>
          <w:sz w:val="18"/>
        </w:rPr>
        <w:t> reads:</w:t>
      </w:r>
    </w:p>
    <w:p>
      <w:pPr>
        <w:pStyle w:val="ListParagraph"/>
        <w:numPr>
          <w:ilvl w:val="1"/>
          <w:numId w:val="8"/>
        </w:numPr>
        <w:tabs>
          <w:tab w:pos="1965" w:val="left" w:leader="none"/>
          <w:tab w:pos="1967" w:val="left" w:leader="none"/>
        </w:tabs>
        <w:spacing w:line="240" w:lineRule="auto" w:before="1" w:after="0"/>
        <w:ind w:left="1967" w:right="895" w:hanging="284"/>
        <w:jc w:val="left"/>
        <w:rPr>
          <w:sz w:val="18"/>
        </w:rPr>
      </w:pPr>
      <w:r>
        <w:rPr>
          <w:sz w:val="18"/>
        </w:rPr>
        <w:t>The provisions of this Agreement and the provisions of Union law made applicable by this Agreement shall produce in</w:t>
      </w:r>
      <w:r>
        <w:rPr>
          <w:spacing w:val="-4"/>
          <w:sz w:val="18"/>
        </w:rPr>
        <w:t> </w:t>
      </w:r>
      <w:r>
        <w:rPr>
          <w:sz w:val="18"/>
        </w:rPr>
        <w:t>respect</w:t>
      </w:r>
      <w:r>
        <w:rPr>
          <w:spacing w:val="-3"/>
          <w:sz w:val="18"/>
        </w:rPr>
        <w:t> </w:t>
      </w:r>
      <w:r>
        <w:rPr>
          <w:sz w:val="18"/>
        </w:rPr>
        <w:t>of</w:t>
      </w:r>
      <w:r>
        <w:rPr>
          <w:spacing w:val="-4"/>
          <w:sz w:val="18"/>
        </w:rPr>
        <w:t> </w:t>
      </w:r>
      <w:r>
        <w:rPr>
          <w:sz w:val="18"/>
        </w:rPr>
        <w:t>and</w:t>
      </w:r>
      <w:r>
        <w:rPr>
          <w:spacing w:val="-4"/>
          <w:sz w:val="18"/>
        </w:rPr>
        <w:t> </w:t>
      </w:r>
      <w:r>
        <w:rPr>
          <w:sz w:val="18"/>
        </w:rPr>
        <w:t>in</w:t>
      </w:r>
      <w:r>
        <w:rPr>
          <w:spacing w:val="-4"/>
          <w:sz w:val="18"/>
        </w:rPr>
        <w:t> </w:t>
      </w:r>
      <w:r>
        <w:rPr>
          <w:sz w:val="18"/>
        </w:rPr>
        <w:t>the</w:t>
      </w:r>
      <w:r>
        <w:rPr>
          <w:spacing w:val="-3"/>
          <w:sz w:val="18"/>
        </w:rPr>
        <w:t> </w:t>
      </w:r>
      <w:r>
        <w:rPr>
          <w:sz w:val="18"/>
        </w:rPr>
        <w:t>United</w:t>
      </w:r>
      <w:r>
        <w:rPr>
          <w:spacing w:val="-4"/>
          <w:sz w:val="18"/>
        </w:rPr>
        <w:t> </w:t>
      </w:r>
      <w:r>
        <w:rPr>
          <w:sz w:val="18"/>
        </w:rPr>
        <w:t>Kingdom</w:t>
      </w:r>
      <w:r>
        <w:rPr>
          <w:spacing w:val="-3"/>
          <w:sz w:val="18"/>
        </w:rPr>
        <w:t> </w:t>
      </w:r>
      <w:r>
        <w:rPr>
          <w:sz w:val="18"/>
        </w:rPr>
        <w:t>the</w:t>
      </w:r>
      <w:r>
        <w:rPr>
          <w:spacing w:val="-3"/>
          <w:sz w:val="18"/>
        </w:rPr>
        <w:t> </w:t>
      </w:r>
      <w:r>
        <w:rPr>
          <w:sz w:val="18"/>
        </w:rPr>
        <w:t>same</w:t>
      </w:r>
      <w:r>
        <w:rPr>
          <w:spacing w:val="-3"/>
          <w:sz w:val="18"/>
        </w:rPr>
        <w:t> </w:t>
      </w:r>
      <w:r>
        <w:rPr>
          <w:sz w:val="18"/>
        </w:rPr>
        <w:t>legal</w:t>
      </w:r>
      <w:r>
        <w:rPr>
          <w:spacing w:val="-4"/>
          <w:sz w:val="18"/>
        </w:rPr>
        <w:t> </w:t>
      </w:r>
      <w:r>
        <w:rPr>
          <w:sz w:val="18"/>
        </w:rPr>
        <w:t>effects</w:t>
      </w:r>
      <w:r>
        <w:rPr>
          <w:spacing w:val="-4"/>
          <w:sz w:val="18"/>
        </w:rPr>
        <w:t> </w:t>
      </w:r>
      <w:r>
        <w:rPr>
          <w:sz w:val="18"/>
        </w:rPr>
        <w:t>as</w:t>
      </w:r>
      <w:r>
        <w:rPr>
          <w:spacing w:val="-4"/>
          <w:sz w:val="18"/>
        </w:rPr>
        <w:t> </w:t>
      </w:r>
      <w:r>
        <w:rPr>
          <w:sz w:val="18"/>
        </w:rPr>
        <w:t>those</w:t>
      </w:r>
      <w:r>
        <w:rPr>
          <w:spacing w:val="-3"/>
          <w:sz w:val="18"/>
        </w:rPr>
        <w:t> </w:t>
      </w:r>
      <w:r>
        <w:rPr>
          <w:sz w:val="18"/>
        </w:rPr>
        <w:t>which</w:t>
      </w:r>
      <w:r>
        <w:rPr>
          <w:spacing w:val="-4"/>
          <w:sz w:val="18"/>
        </w:rPr>
        <w:t> </w:t>
      </w:r>
      <w:r>
        <w:rPr>
          <w:sz w:val="18"/>
        </w:rPr>
        <w:t>they</w:t>
      </w:r>
      <w:r>
        <w:rPr>
          <w:spacing w:val="-3"/>
          <w:sz w:val="18"/>
        </w:rPr>
        <w:t> </w:t>
      </w:r>
      <w:r>
        <w:rPr>
          <w:sz w:val="18"/>
        </w:rPr>
        <w:t>produce</w:t>
      </w:r>
      <w:r>
        <w:rPr>
          <w:spacing w:val="-3"/>
          <w:sz w:val="18"/>
        </w:rPr>
        <w:t> </w:t>
      </w:r>
      <w:r>
        <w:rPr>
          <w:sz w:val="18"/>
        </w:rPr>
        <w:t>within</w:t>
      </w:r>
      <w:r>
        <w:rPr>
          <w:spacing w:val="-4"/>
          <w:sz w:val="18"/>
        </w:rPr>
        <w:t> </w:t>
      </w:r>
      <w:r>
        <w:rPr>
          <w:sz w:val="18"/>
        </w:rPr>
        <w:t>the</w:t>
      </w:r>
      <w:r>
        <w:rPr>
          <w:spacing w:val="-3"/>
          <w:sz w:val="18"/>
        </w:rPr>
        <w:t> </w:t>
      </w:r>
      <w:r>
        <w:rPr>
          <w:sz w:val="18"/>
        </w:rPr>
        <w:t>Union</w:t>
      </w:r>
      <w:r>
        <w:rPr>
          <w:spacing w:val="-4"/>
          <w:sz w:val="18"/>
        </w:rPr>
        <w:t> </w:t>
      </w:r>
      <w:r>
        <w:rPr>
          <w:sz w:val="18"/>
        </w:rPr>
        <w:t>and</w:t>
      </w:r>
      <w:r>
        <w:rPr>
          <w:spacing w:val="-4"/>
          <w:sz w:val="18"/>
        </w:rPr>
        <w:t> </w:t>
      </w:r>
      <w:r>
        <w:rPr>
          <w:sz w:val="18"/>
        </w:rPr>
        <w:t>its Member States.</w:t>
      </w:r>
    </w:p>
    <w:p>
      <w:pPr>
        <w:spacing w:before="0"/>
        <w:ind w:left="1967" w:right="805" w:firstLine="0"/>
        <w:jc w:val="left"/>
        <w:rPr>
          <w:sz w:val="18"/>
        </w:rPr>
      </w:pPr>
      <w:r>
        <w:rPr>
          <w:sz w:val="18"/>
        </w:rPr>
        <w:t>Accordingly,</w:t>
      </w:r>
      <w:r>
        <w:rPr>
          <w:spacing w:val="-5"/>
          <w:sz w:val="18"/>
        </w:rPr>
        <w:t> </w:t>
      </w:r>
      <w:r>
        <w:rPr>
          <w:sz w:val="18"/>
        </w:rPr>
        <w:t>legal</w:t>
      </w:r>
      <w:r>
        <w:rPr>
          <w:spacing w:val="-6"/>
          <w:sz w:val="18"/>
        </w:rPr>
        <w:t> </w:t>
      </w:r>
      <w:r>
        <w:rPr>
          <w:sz w:val="18"/>
        </w:rPr>
        <w:t>or</w:t>
      </w:r>
      <w:r>
        <w:rPr>
          <w:spacing w:val="-5"/>
          <w:sz w:val="18"/>
        </w:rPr>
        <w:t> </w:t>
      </w:r>
      <w:r>
        <w:rPr>
          <w:sz w:val="18"/>
        </w:rPr>
        <w:t>natural</w:t>
      </w:r>
      <w:r>
        <w:rPr>
          <w:spacing w:val="-6"/>
          <w:sz w:val="18"/>
        </w:rPr>
        <w:t> </w:t>
      </w:r>
      <w:r>
        <w:rPr>
          <w:sz w:val="18"/>
        </w:rPr>
        <w:t>persons</w:t>
      </w:r>
      <w:r>
        <w:rPr>
          <w:spacing w:val="-6"/>
          <w:sz w:val="18"/>
        </w:rPr>
        <w:t> </w:t>
      </w:r>
      <w:r>
        <w:rPr>
          <w:sz w:val="18"/>
        </w:rPr>
        <w:t>shall</w:t>
      </w:r>
      <w:r>
        <w:rPr>
          <w:spacing w:val="-6"/>
          <w:sz w:val="18"/>
        </w:rPr>
        <w:t> </w:t>
      </w:r>
      <w:r>
        <w:rPr>
          <w:sz w:val="18"/>
        </w:rPr>
        <w:t>in</w:t>
      </w:r>
      <w:r>
        <w:rPr>
          <w:spacing w:val="-6"/>
          <w:sz w:val="18"/>
        </w:rPr>
        <w:t> </w:t>
      </w:r>
      <w:r>
        <w:rPr>
          <w:sz w:val="18"/>
        </w:rPr>
        <w:t>particular</w:t>
      </w:r>
      <w:r>
        <w:rPr>
          <w:spacing w:val="-5"/>
          <w:sz w:val="18"/>
        </w:rPr>
        <w:t> </w:t>
      </w:r>
      <w:r>
        <w:rPr>
          <w:sz w:val="18"/>
        </w:rPr>
        <w:t>be</w:t>
      </w:r>
      <w:r>
        <w:rPr>
          <w:spacing w:val="-5"/>
          <w:sz w:val="18"/>
        </w:rPr>
        <w:t> </w:t>
      </w:r>
      <w:r>
        <w:rPr>
          <w:sz w:val="18"/>
        </w:rPr>
        <w:t>able</w:t>
      </w:r>
      <w:r>
        <w:rPr>
          <w:spacing w:val="-5"/>
          <w:sz w:val="18"/>
        </w:rPr>
        <w:t> </w:t>
      </w:r>
      <w:r>
        <w:rPr>
          <w:sz w:val="18"/>
        </w:rPr>
        <w:t>to</w:t>
      </w:r>
      <w:r>
        <w:rPr>
          <w:spacing w:val="-6"/>
          <w:sz w:val="18"/>
        </w:rPr>
        <w:t> </w:t>
      </w:r>
      <w:r>
        <w:rPr>
          <w:sz w:val="18"/>
        </w:rPr>
        <w:t>rely</w:t>
      </w:r>
      <w:r>
        <w:rPr>
          <w:spacing w:val="-5"/>
          <w:sz w:val="18"/>
        </w:rPr>
        <w:t> </w:t>
      </w:r>
      <w:r>
        <w:rPr>
          <w:sz w:val="18"/>
        </w:rPr>
        <w:t>directly</w:t>
      </w:r>
      <w:r>
        <w:rPr>
          <w:spacing w:val="-5"/>
          <w:sz w:val="18"/>
        </w:rPr>
        <w:t> </w:t>
      </w:r>
      <w:r>
        <w:rPr>
          <w:sz w:val="18"/>
        </w:rPr>
        <w:t>on</w:t>
      </w:r>
      <w:r>
        <w:rPr>
          <w:spacing w:val="-6"/>
          <w:sz w:val="18"/>
        </w:rPr>
        <w:t> </w:t>
      </w:r>
      <w:r>
        <w:rPr>
          <w:sz w:val="18"/>
        </w:rPr>
        <w:t>the</w:t>
      </w:r>
      <w:r>
        <w:rPr>
          <w:spacing w:val="-5"/>
          <w:sz w:val="18"/>
        </w:rPr>
        <w:t> </w:t>
      </w:r>
      <w:r>
        <w:rPr>
          <w:sz w:val="18"/>
        </w:rPr>
        <w:t>provisions</w:t>
      </w:r>
      <w:r>
        <w:rPr>
          <w:spacing w:val="-6"/>
          <w:sz w:val="18"/>
        </w:rPr>
        <w:t> </w:t>
      </w:r>
      <w:r>
        <w:rPr>
          <w:sz w:val="18"/>
        </w:rPr>
        <w:t>contained</w:t>
      </w:r>
      <w:r>
        <w:rPr>
          <w:spacing w:val="-6"/>
          <w:sz w:val="18"/>
        </w:rPr>
        <w:t> </w:t>
      </w:r>
      <w:r>
        <w:rPr>
          <w:sz w:val="18"/>
        </w:rPr>
        <w:t>or</w:t>
      </w:r>
      <w:r>
        <w:rPr>
          <w:spacing w:val="-5"/>
          <w:sz w:val="18"/>
        </w:rPr>
        <w:t> </w:t>
      </w:r>
      <w:r>
        <w:rPr>
          <w:sz w:val="18"/>
        </w:rPr>
        <w:t>referred to in this Agreement which meet the conditions for direct effect under Union law.</w:t>
      </w:r>
    </w:p>
    <w:p>
      <w:pPr>
        <w:pStyle w:val="ListParagraph"/>
        <w:numPr>
          <w:ilvl w:val="1"/>
          <w:numId w:val="8"/>
        </w:numPr>
        <w:tabs>
          <w:tab w:pos="1965" w:val="left" w:leader="none"/>
          <w:tab w:pos="1967" w:val="left" w:leader="none"/>
        </w:tabs>
        <w:spacing w:line="240" w:lineRule="auto" w:before="1" w:after="0"/>
        <w:ind w:left="1967" w:right="775" w:hanging="284"/>
        <w:jc w:val="left"/>
        <w:rPr>
          <w:sz w:val="18"/>
        </w:rPr>
      </w:pPr>
      <w:r>
        <w:rPr>
          <w:sz w:val="18"/>
        </w:rPr>
        <w:t>The United Kingdom shall ensure compliance with paragraph 1, including as regards the required powers of its</w:t>
      </w:r>
      <w:r>
        <w:rPr>
          <w:spacing w:val="40"/>
          <w:sz w:val="18"/>
        </w:rPr>
        <w:t> </w:t>
      </w:r>
      <w:r>
        <w:rPr>
          <w:sz w:val="18"/>
        </w:rPr>
        <w:t>judicial</w:t>
      </w:r>
      <w:r>
        <w:rPr>
          <w:spacing w:val="-7"/>
          <w:sz w:val="18"/>
        </w:rPr>
        <w:t> </w:t>
      </w:r>
      <w:r>
        <w:rPr>
          <w:sz w:val="18"/>
        </w:rPr>
        <w:t>and</w:t>
      </w:r>
      <w:r>
        <w:rPr>
          <w:spacing w:val="-7"/>
          <w:sz w:val="18"/>
        </w:rPr>
        <w:t> </w:t>
      </w:r>
      <w:r>
        <w:rPr>
          <w:sz w:val="18"/>
        </w:rPr>
        <w:t>administrative</w:t>
      </w:r>
      <w:r>
        <w:rPr>
          <w:spacing w:val="-6"/>
          <w:sz w:val="18"/>
        </w:rPr>
        <w:t> </w:t>
      </w:r>
      <w:r>
        <w:rPr>
          <w:sz w:val="18"/>
        </w:rPr>
        <w:t>authorities</w:t>
      </w:r>
      <w:r>
        <w:rPr>
          <w:spacing w:val="-7"/>
          <w:sz w:val="18"/>
        </w:rPr>
        <w:t> </w:t>
      </w:r>
      <w:r>
        <w:rPr>
          <w:sz w:val="18"/>
        </w:rPr>
        <w:t>to</w:t>
      </w:r>
      <w:r>
        <w:rPr>
          <w:spacing w:val="-7"/>
          <w:sz w:val="18"/>
        </w:rPr>
        <w:t> </w:t>
      </w:r>
      <w:r>
        <w:rPr>
          <w:sz w:val="18"/>
        </w:rPr>
        <w:t>disapply</w:t>
      </w:r>
      <w:r>
        <w:rPr>
          <w:spacing w:val="-6"/>
          <w:sz w:val="18"/>
        </w:rPr>
        <w:t> </w:t>
      </w:r>
      <w:r>
        <w:rPr>
          <w:sz w:val="18"/>
        </w:rPr>
        <w:t>inconsistent</w:t>
      </w:r>
      <w:r>
        <w:rPr>
          <w:spacing w:val="-6"/>
          <w:sz w:val="18"/>
        </w:rPr>
        <w:t> </w:t>
      </w:r>
      <w:r>
        <w:rPr>
          <w:sz w:val="18"/>
        </w:rPr>
        <w:t>or</w:t>
      </w:r>
      <w:r>
        <w:rPr>
          <w:spacing w:val="-6"/>
          <w:sz w:val="18"/>
        </w:rPr>
        <w:t> </w:t>
      </w:r>
      <w:r>
        <w:rPr>
          <w:sz w:val="18"/>
        </w:rPr>
        <w:t>incompatible</w:t>
      </w:r>
      <w:r>
        <w:rPr>
          <w:spacing w:val="-6"/>
          <w:sz w:val="18"/>
        </w:rPr>
        <w:t> </w:t>
      </w:r>
      <w:r>
        <w:rPr>
          <w:sz w:val="18"/>
        </w:rPr>
        <w:t>domestic</w:t>
      </w:r>
      <w:r>
        <w:rPr>
          <w:spacing w:val="-6"/>
          <w:sz w:val="18"/>
        </w:rPr>
        <w:t> </w:t>
      </w:r>
      <w:r>
        <w:rPr>
          <w:sz w:val="18"/>
        </w:rPr>
        <w:t>provisions,</w:t>
      </w:r>
      <w:r>
        <w:rPr>
          <w:spacing w:val="-6"/>
          <w:sz w:val="18"/>
        </w:rPr>
        <w:t> </w:t>
      </w:r>
      <w:r>
        <w:rPr>
          <w:sz w:val="18"/>
        </w:rPr>
        <w:t>through</w:t>
      </w:r>
      <w:r>
        <w:rPr>
          <w:spacing w:val="-7"/>
          <w:sz w:val="18"/>
        </w:rPr>
        <w:t> </w:t>
      </w:r>
      <w:r>
        <w:rPr>
          <w:sz w:val="18"/>
        </w:rPr>
        <w:t>domestic primary legislation.</w:t>
      </w:r>
    </w:p>
    <w:p>
      <w:pPr>
        <w:pStyle w:val="ListParagraph"/>
        <w:numPr>
          <w:ilvl w:val="0"/>
          <w:numId w:val="8"/>
        </w:numPr>
        <w:tabs>
          <w:tab w:pos="1684" w:val="left" w:leader="none"/>
        </w:tabs>
        <w:spacing w:line="240" w:lineRule="auto" w:before="1" w:after="0"/>
        <w:ind w:left="1684" w:right="0" w:hanging="567"/>
        <w:jc w:val="left"/>
        <w:rPr>
          <w:sz w:val="18"/>
        </w:rPr>
      </w:pPr>
      <w:r>
        <w:rPr>
          <w:sz w:val="18"/>
        </w:rPr>
        <w:t>European</w:t>
      </w:r>
      <w:r>
        <w:rPr>
          <w:spacing w:val="-7"/>
          <w:sz w:val="18"/>
        </w:rPr>
        <w:t> </w:t>
      </w:r>
      <w:r>
        <w:rPr>
          <w:sz w:val="18"/>
        </w:rPr>
        <w:t>Union</w:t>
      </w:r>
      <w:r>
        <w:rPr>
          <w:spacing w:val="-6"/>
          <w:sz w:val="18"/>
        </w:rPr>
        <w:t> </w:t>
      </w:r>
      <w:r>
        <w:rPr>
          <w:sz w:val="18"/>
        </w:rPr>
        <w:t>(Withdrawal)</w:t>
      </w:r>
      <w:r>
        <w:rPr>
          <w:spacing w:val="-7"/>
          <w:sz w:val="18"/>
        </w:rPr>
        <w:t> </w:t>
      </w:r>
      <w:r>
        <w:rPr>
          <w:sz w:val="18"/>
        </w:rPr>
        <w:t>Act</w:t>
      </w:r>
      <w:r>
        <w:rPr>
          <w:spacing w:val="-5"/>
          <w:sz w:val="18"/>
        </w:rPr>
        <w:t> </w:t>
      </w:r>
      <w:r>
        <w:rPr>
          <w:sz w:val="18"/>
        </w:rPr>
        <w:t>2018,</w:t>
      </w:r>
      <w:r>
        <w:rPr>
          <w:spacing w:val="-6"/>
          <w:sz w:val="18"/>
        </w:rPr>
        <w:t> </w:t>
      </w:r>
      <w:r>
        <w:rPr>
          <w:color w:val="1D71B8"/>
          <w:sz w:val="18"/>
          <w:u w:val="single" w:color="1D71B8"/>
        </w:rPr>
        <w:t>section</w:t>
      </w:r>
      <w:r>
        <w:rPr>
          <w:color w:val="1D71B8"/>
          <w:spacing w:val="-7"/>
          <w:sz w:val="18"/>
          <w:u w:val="single" w:color="1D71B8"/>
        </w:rPr>
        <w:t> </w:t>
      </w:r>
      <w:r>
        <w:rPr>
          <w:color w:val="1D71B8"/>
          <w:spacing w:val="-5"/>
          <w:sz w:val="18"/>
          <w:u w:val="single" w:color="1D71B8"/>
        </w:rPr>
        <w:t>7A</w:t>
      </w:r>
      <w:r>
        <w:rPr>
          <w:spacing w:val="-5"/>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29088">
                <wp:simplePos x="0" y="0"/>
                <wp:positionH relativeFrom="page">
                  <wp:posOffset>0</wp:posOffset>
                </wp:positionH>
                <wp:positionV relativeFrom="page">
                  <wp:posOffset>0</wp:posOffset>
                </wp:positionV>
                <wp:extent cx="7560309" cy="1155065"/>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7560309" cy="1155065"/>
                          <a:chExt cx="7560309" cy="1155065"/>
                        </a:xfrm>
                      </wpg:grpSpPr>
                      <wps:wsp>
                        <wps:cNvPr id="125" name="Graphic 12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26" name="Graphic 12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87392" id="docshapegroup77" coordorigin="0,0" coordsize="11906,1819">
                <v:shape style="position:absolute;left:0;top:0;width:11906;height:1819" id="docshape7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pStyle w:val="ListParagraph"/>
        <w:numPr>
          <w:ilvl w:val="0"/>
          <w:numId w:val="8"/>
        </w:numPr>
        <w:tabs>
          <w:tab w:pos="1003" w:val="left" w:leader="none"/>
        </w:tabs>
        <w:spacing w:line="240" w:lineRule="auto" w:before="1" w:after="0"/>
        <w:ind w:left="1003" w:right="0" w:hanging="751"/>
        <w:jc w:val="left"/>
        <w:rPr>
          <w:b/>
          <w:color w:val="FFFFFF"/>
          <w:position w:val="-1"/>
          <w:sz w:val="28"/>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250"/>
      </w:pPr>
      <w:r>
        <w:rPr/>
        <w:t>of the Withdrawal Agreement and the UK must allow for the disapplication of inconsistent</w:t>
      </w:r>
      <w:r>
        <w:rPr>
          <w:spacing w:val="-9"/>
        </w:rPr>
        <w:t> </w:t>
      </w:r>
      <w:r>
        <w:rPr/>
        <w:t>domestic</w:t>
      </w:r>
      <w:r>
        <w:rPr>
          <w:spacing w:val="-9"/>
        </w:rPr>
        <w:t> </w:t>
      </w:r>
      <w:r>
        <w:rPr/>
        <w:t>law</w:t>
      </w:r>
      <w:r>
        <w:rPr>
          <w:spacing w:val="-9"/>
        </w:rPr>
        <w:t> </w:t>
      </w:r>
      <w:r>
        <w:rPr/>
        <w:t>including</w:t>
      </w:r>
      <w:r>
        <w:rPr>
          <w:spacing w:val="-9"/>
        </w:rPr>
        <w:t> </w:t>
      </w:r>
      <w:r>
        <w:rPr/>
        <w:t>inconsistent</w:t>
      </w:r>
      <w:r>
        <w:rPr>
          <w:spacing w:val="-9"/>
        </w:rPr>
        <w:t> </w:t>
      </w:r>
      <w:r>
        <w:rPr/>
        <w:t>acts</w:t>
      </w:r>
      <w:r>
        <w:rPr>
          <w:spacing w:val="-10"/>
        </w:rPr>
        <w:t> </w:t>
      </w:r>
      <w:r>
        <w:rPr/>
        <w:t>of</w:t>
      </w:r>
      <w:r>
        <w:rPr>
          <w:spacing w:val="-10"/>
        </w:rPr>
        <w:t> </w:t>
      </w:r>
      <w:r>
        <w:rPr/>
        <w:t>parliament.</w:t>
      </w:r>
      <w:r>
        <w:rPr>
          <w:spacing w:val="-10"/>
        </w:rPr>
        <w:t> </w:t>
      </w:r>
      <w:r>
        <w:rPr/>
        <w:t>The</w:t>
      </w:r>
      <w:r>
        <w:rPr>
          <w:spacing w:val="-9"/>
        </w:rPr>
        <w:t> </w:t>
      </w:r>
      <w:r>
        <w:rPr/>
        <w:t>Protocol</w:t>
      </w:r>
      <w:r>
        <w:rPr>
          <w:vertAlign w:val="superscript"/>
        </w:rPr>
        <w:t>6</w:t>
      </w:r>
      <w:r>
        <w:rPr>
          <w:vertAlign w:val="baseline"/>
        </w:rPr>
        <w:t> provides</w:t>
      </w:r>
      <w:r>
        <w:rPr>
          <w:spacing w:val="-3"/>
          <w:vertAlign w:val="baseline"/>
        </w:rPr>
        <w:t> </w:t>
      </w:r>
      <w:r>
        <w:rPr>
          <w:vertAlign w:val="baseline"/>
        </w:rPr>
        <w:t>that</w:t>
      </w:r>
      <w:r>
        <w:rPr>
          <w:spacing w:val="-2"/>
          <w:vertAlign w:val="baseline"/>
        </w:rPr>
        <w:t> </w:t>
      </w:r>
      <w:r>
        <w:rPr>
          <w:vertAlign w:val="baseline"/>
        </w:rPr>
        <w:t>case</w:t>
      </w:r>
      <w:r>
        <w:rPr>
          <w:spacing w:val="-2"/>
          <w:vertAlign w:val="baseline"/>
        </w:rPr>
        <w:t> </w:t>
      </w:r>
      <w:r>
        <w:rPr>
          <w:vertAlign w:val="baseline"/>
        </w:rPr>
        <w:t>law</w:t>
      </w:r>
      <w:r>
        <w:rPr>
          <w:spacing w:val="-2"/>
          <w:vertAlign w:val="baseline"/>
        </w:rPr>
        <w:t> </w:t>
      </w:r>
      <w:r>
        <w:rPr>
          <w:vertAlign w:val="baseline"/>
        </w:rPr>
        <w:t>of</w:t>
      </w:r>
      <w:r>
        <w:rPr>
          <w:spacing w:val="-3"/>
          <w:vertAlign w:val="baseline"/>
        </w:rPr>
        <w:t> </w:t>
      </w:r>
      <w:r>
        <w:rPr>
          <w:vertAlign w:val="baseline"/>
        </w:rPr>
        <w:t>the</w:t>
      </w:r>
      <w:r>
        <w:rPr>
          <w:spacing w:val="-2"/>
          <w:vertAlign w:val="baseline"/>
        </w:rPr>
        <w:t> </w:t>
      </w:r>
      <w:r>
        <w:rPr>
          <w:vertAlign w:val="baseline"/>
        </w:rPr>
        <w:t>Court</w:t>
      </w:r>
      <w:r>
        <w:rPr>
          <w:spacing w:val="-2"/>
          <w:vertAlign w:val="baseline"/>
        </w:rPr>
        <w:t> </w:t>
      </w:r>
      <w:r>
        <w:rPr>
          <w:vertAlign w:val="baseline"/>
        </w:rPr>
        <w:t>of</w:t>
      </w:r>
      <w:r>
        <w:rPr>
          <w:spacing w:val="-3"/>
          <w:vertAlign w:val="baseline"/>
        </w:rPr>
        <w:t> </w:t>
      </w:r>
      <w:r>
        <w:rPr>
          <w:vertAlign w:val="baseline"/>
        </w:rPr>
        <w:t>Justice</w:t>
      </w:r>
      <w:r>
        <w:rPr>
          <w:spacing w:val="-2"/>
          <w:vertAlign w:val="baseline"/>
        </w:rPr>
        <w:t> </w:t>
      </w:r>
      <w:r>
        <w:rPr>
          <w:vertAlign w:val="baseline"/>
        </w:rPr>
        <w:t>of</w:t>
      </w:r>
      <w:r>
        <w:rPr>
          <w:spacing w:val="-3"/>
          <w:vertAlign w:val="baseline"/>
        </w:rPr>
        <w:t> </w:t>
      </w:r>
      <w:r>
        <w:rPr>
          <w:vertAlign w:val="baseline"/>
        </w:rPr>
        <w:t>the</w:t>
      </w:r>
      <w:r>
        <w:rPr>
          <w:spacing w:val="-2"/>
          <w:vertAlign w:val="baseline"/>
        </w:rPr>
        <w:t> </w:t>
      </w:r>
      <w:r>
        <w:rPr>
          <w:vertAlign w:val="baseline"/>
        </w:rPr>
        <w:t>European</w:t>
      </w:r>
      <w:r>
        <w:rPr>
          <w:spacing w:val="-3"/>
          <w:vertAlign w:val="baseline"/>
        </w:rPr>
        <w:t> </w:t>
      </w:r>
      <w:r>
        <w:rPr>
          <w:vertAlign w:val="baseline"/>
        </w:rPr>
        <w:t>Union</w:t>
      </w:r>
      <w:r>
        <w:rPr>
          <w:spacing w:val="-3"/>
          <w:vertAlign w:val="baseline"/>
        </w:rPr>
        <w:t> </w:t>
      </w:r>
      <w:r>
        <w:rPr>
          <w:vertAlign w:val="baseline"/>
        </w:rPr>
        <w:t>continues</w:t>
      </w:r>
      <w:r>
        <w:rPr>
          <w:spacing w:val="-3"/>
          <w:vertAlign w:val="baseline"/>
        </w:rPr>
        <w:t> </w:t>
      </w:r>
      <w:r>
        <w:rPr>
          <w:vertAlign w:val="baseline"/>
        </w:rPr>
        <w:t>to be relevant in interpreting EU law or concepts mentioned in the Protocol.</w:t>
      </w:r>
    </w:p>
    <w:p>
      <w:pPr>
        <w:pStyle w:val="BodyText"/>
        <w:spacing w:line="232" w:lineRule="auto" w:before="277"/>
        <w:ind w:left="720" w:right="1451"/>
      </w:pPr>
      <w:r>
        <w:rPr/>
        <w:t>Following some controversy over the free movement of goods parts of the Protocol,</w:t>
      </w:r>
      <w:r>
        <w:rPr>
          <w:spacing w:val="-5"/>
        </w:rPr>
        <w:t> </w:t>
      </w:r>
      <w:r>
        <w:rPr/>
        <w:t>the</w:t>
      </w:r>
      <w:r>
        <w:rPr>
          <w:spacing w:val="-5"/>
        </w:rPr>
        <w:t> </w:t>
      </w:r>
      <w:r>
        <w:rPr/>
        <w:t>UK</w:t>
      </w:r>
      <w:r>
        <w:rPr>
          <w:spacing w:val="-5"/>
        </w:rPr>
        <w:t> </w:t>
      </w:r>
      <w:r>
        <w:rPr/>
        <w:t>and</w:t>
      </w:r>
      <w:r>
        <w:rPr>
          <w:spacing w:val="-6"/>
        </w:rPr>
        <w:t> </w:t>
      </w:r>
      <w:r>
        <w:rPr/>
        <w:t>EU</w:t>
      </w:r>
      <w:r>
        <w:rPr>
          <w:spacing w:val="-5"/>
        </w:rPr>
        <w:t> </w:t>
      </w:r>
      <w:r>
        <w:rPr/>
        <w:t>agreed</w:t>
      </w:r>
      <w:r>
        <w:rPr>
          <w:spacing w:val="-6"/>
        </w:rPr>
        <w:t> </w:t>
      </w:r>
      <w:r>
        <w:rPr/>
        <w:t>new</w:t>
      </w:r>
      <w:r>
        <w:rPr>
          <w:spacing w:val="-5"/>
        </w:rPr>
        <w:t> </w:t>
      </w:r>
      <w:r>
        <w:rPr/>
        <w:t>arrangements</w:t>
      </w:r>
      <w:r>
        <w:rPr>
          <w:spacing w:val="-6"/>
        </w:rPr>
        <w:t> </w:t>
      </w:r>
      <w:r>
        <w:rPr/>
        <w:t>at</w:t>
      </w:r>
      <w:r>
        <w:rPr>
          <w:spacing w:val="-5"/>
        </w:rPr>
        <w:t> </w:t>
      </w:r>
      <w:r>
        <w:rPr/>
        <w:t>Windsor</w:t>
      </w:r>
      <w:r>
        <w:rPr>
          <w:spacing w:val="-5"/>
        </w:rPr>
        <w:t> </w:t>
      </w:r>
      <w:r>
        <w:rPr/>
        <w:t>in</w:t>
      </w:r>
      <w:r>
        <w:rPr>
          <w:spacing w:val="-6"/>
        </w:rPr>
        <w:t> </w:t>
      </w:r>
      <w:r>
        <w:rPr/>
        <w:t>2023,</w:t>
      </w:r>
      <w:r>
        <w:rPr>
          <w:spacing w:val="-5"/>
        </w:rPr>
        <w:t> </w:t>
      </w:r>
      <w:r>
        <w:rPr/>
        <w:t>including renaming the Protocol the Windsor Framework.</w:t>
      </w:r>
      <w:r>
        <w:rPr>
          <w:vertAlign w:val="superscript"/>
        </w:rPr>
        <w:t>7</w:t>
      </w:r>
      <w:r>
        <w:rPr>
          <w:vertAlign w:val="baseline"/>
        </w:rPr>
        <w:t> The new arrangements introduced the Stormont Brake procedure modelled on the petition of concern process in the Assembly. While this does not apply to the Annex 1 directives or measures amending or updating Annex 1 directives, it does apply to measures updating or amending Union acts in other annexes and proposals to add new measures to the annexes (which does apply to the Annex 1 Directives). While</w:t>
      </w:r>
      <w:r>
        <w:rPr>
          <w:vertAlign w:val="baseline"/>
        </w:rPr>
        <w:t> the political agreement at Windsor includes provisions amending the Protocol, there does not appear to be a consolidated version of the Protocol (Windsor Framework). This is harmful to the clarity of the law as it is necessary to cross- reference different legal measures to understand the legal position.</w:t>
      </w:r>
    </w:p>
    <w:p>
      <w:pPr>
        <w:pStyle w:val="BodyText"/>
        <w:spacing w:before="1"/>
        <w:rPr>
          <w:sz w:val="19"/>
        </w:rPr>
      </w:pPr>
      <w:r>
        <w:rPr/>
        <mc:AlternateContent>
          <mc:Choice Requires="wps">
            <w:drawing>
              <wp:anchor distT="0" distB="0" distL="0" distR="0" allowOverlap="1" layoutInCell="1" locked="0" behindDoc="1" simplePos="0" relativeHeight="487611392">
                <wp:simplePos x="0" y="0"/>
                <wp:positionH relativeFrom="page">
                  <wp:posOffset>647994</wp:posOffset>
                </wp:positionH>
                <wp:positionV relativeFrom="paragraph">
                  <wp:posOffset>163310</wp:posOffset>
                </wp:positionV>
                <wp:extent cx="6012180" cy="603885"/>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6012180" cy="603885"/>
                          <a:chExt cx="6012180" cy="603885"/>
                        </a:xfrm>
                      </wpg:grpSpPr>
                      <wps:wsp>
                        <wps:cNvPr id="128" name="Graphic 128"/>
                        <wps:cNvSpPr/>
                        <wps:spPr>
                          <a:xfrm>
                            <a:off x="0" y="0"/>
                            <a:ext cx="6012180" cy="603885"/>
                          </a:xfrm>
                          <a:custGeom>
                            <a:avLst/>
                            <a:gdLst/>
                            <a:ahLst/>
                            <a:cxnLst/>
                            <a:rect l="l" t="t" r="r" b="b"/>
                            <a:pathLst>
                              <a:path w="6012180" h="603885">
                                <a:moveTo>
                                  <a:pt x="5868009" y="0"/>
                                </a:moveTo>
                                <a:lnTo>
                                  <a:pt x="144005" y="0"/>
                                </a:lnTo>
                                <a:lnTo>
                                  <a:pt x="98490" y="7340"/>
                                </a:lnTo>
                                <a:lnTo>
                                  <a:pt x="58959" y="27782"/>
                                </a:lnTo>
                                <a:lnTo>
                                  <a:pt x="27785" y="58954"/>
                                </a:lnTo>
                                <a:lnTo>
                                  <a:pt x="7341" y="98485"/>
                                </a:lnTo>
                                <a:lnTo>
                                  <a:pt x="0" y="144005"/>
                                </a:lnTo>
                                <a:lnTo>
                                  <a:pt x="0" y="459346"/>
                                </a:lnTo>
                                <a:lnTo>
                                  <a:pt x="7341" y="504861"/>
                                </a:lnTo>
                                <a:lnTo>
                                  <a:pt x="27785" y="544392"/>
                                </a:lnTo>
                                <a:lnTo>
                                  <a:pt x="58959" y="575565"/>
                                </a:lnTo>
                                <a:lnTo>
                                  <a:pt x="98490" y="596009"/>
                                </a:lnTo>
                                <a:lnTo>
                                  <a:pt x="144005" y="603351"/>
                                </a:lnTo>
                                <a:lnTo>
                                  <a:pt x="5868009" y="603351"/>
                                </a:lnTo>
                                <a:lnTo>
                                  <a:pt x="5913523" y="596009"/>
                                </a:lnTo>
                                <a:lnTo>
                                  <a:pt x="5953050" y="575565"/>
                                </a:lnTo>
                                <a:lnTo>
                                  <a:pt x="5984220" y="544392"/>
                                </a:lnTo>
                                <a:lnTo>
                                  <a:pt x="6004661" y="504861"/>
                                </a:lnTo>
                                <a:lnTo>
                                  <a:pt x="6012002" y="4593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29" name="Textbox 129"/>
                        <wps:cNvSpPr txBox="1"/>
                        <wps:spPr>
                          <a:xfrm>
                            <a:off x="0" y="0"/>
                            <a:ext cx="6012180" cy="603885"/>
                          </a:xfrm>
                          <a:prstGeom prst="rect">
                            <a:avLst/>
                          </a:prstGeom>
                        </wps:spPr>
                        <wps:txbx>
                          <w:txbxContent>
                            <w:p>
                              <w:pPr>
                                <w:spacing w:line="232" w:lineRule="auto" w:before="121"/>
                                <w:ind w:left="340" w:right="196" w:firstLine="0"/>
                                <w:jc w:val="left"/>
                                <w:rPr>
                                  <w:b/>
                                  <w:sz w:val="28"/>
                                </w:rPr>
                              </w:pPr>
                              <w:r>
                                <w:rPr>
                                  <w:b/>
                                  <w:color w:val="004A93"/>
                                  <w:sz w:val="28"/>
                                </w:rPr>
                                <w:t>We</w:t>
                              </w:r>
                              <w:r>
                                <w:rPr>
                                  <w:b/>
                                  <w:color w:val="004A93"/>
                                  <w:spacing w:val="-7"/>
                                  <w:sz w:val="28"/>
                                </w:rPr>
                                <w:t> </w:t>
                              </w:r>
                              <w:r>
                                <w:rPr>
                                  <w:b/>
                                  <w:color w:val="004A93"/>
                                  <w:sz w:val="28"/>
                                </w:rPr>
                                <w:t>recommend</w:t>
                              </w:r>
                              <w:r>
                                <w:rPr>
                                  <w:b/>
                                  <w:color w:val="004A93"/>
                                  <w:spacing w:val="-6"/>
                                  <w:sz w:val="28"/>
                                </w:rPr>
                                <w:t> </w:t>
                              </w:r>
                              <w:r>
                                <w:rPr>
                                  <w:b/>
                                  <w:color w:val="004A93"/>
                                  <w:sz w:val="28"/>
                                </w:rPr>
                                <w:t>that</w:t>
                              </w:r>
                              <w:r>
                                <w:rPr>
                                  <w:b/>
                                  <w:color w:val="004A93"/>
                                  <w:spacing w:val="-6"/>
                                  <w:sz w:val="28"/>
                                </w:rPr>
                                <w:t> </w:t>
                              </w:r>
                              <w:r>
                                <w:rPr>
                                  <w:b/>
                                  <w:color w:val="004A93"/>
                                  <w:sz w:val="28"/>
                                </w:rPr>
                                <w:t>that</w:t>
                              </w:r>
                              <w:r>
                                <w:rPr>
                                  <w:b/>
                                  <w:color w:val="004A93"/>
                                  <w:spacing w:val="-6"/>
                                  <w:sz w:val="28"/>
                                </w:rPr>
                                <w:t> </w:t>
                              </w:r>
                              <w:r>
                                <w:rPr>
                                  <w:b/>
                                  <w:color w:val="004A93"/>
                                  <w:sz w:val="28"/>
                                </w:rPr>
                                <w:t>EU</w:t>
                              </w:r>
                              <w:r>
                                <w:rPr>
                                  <w:b/>
                                  <w:color w:val="004A93"/>
                                  <w:spacing w:val="-6"/>
                                  <w:sz w:val="28"/>
                                </w:rPr>
                                <w:t> </w:t>
                              </w:r>
                              <w:r>
                                <w:rPr>
                                  <w:b/>
                                  <w:color w:val="004A93"/>
                                  <w:sz w:val="28"/>
                                </w:rPr>
                                <w:t>and</w:t>
                              </w:r>
                              <w:r>
                                <w:rPr>
                                  <w:b/>
                                  <w:color w:val="004A93"/>
                                  <w:spacing w:val="-6"/>
                                  <w:sz w:val="28"/>
                                </w:rPr>
                                <w:t> </w:t>
                              </w:r>
                              <w:r>
                                <w:rPr>
                                  <w:b/>
                                  <w:color w:val="004A93"/>
                                  <w:sz w:val="28"/>
                                </w:rPr>
                                <w:t>UK</w:t>
                              </w:r>
                              <w:r>
                                <w:rPr>
                                  <w:b/>
                                  <w:color w:val="004A93"/>
                                  <w:spacing w:val="-6"/>
                                  <w:sz w:val="28"/>
                                </w:rPr>
                                <w:t> </w:t>
                              </w:r>
                              <w:r>
                                <w:rPr>
                                  <w:b/>
                                  <w:color w:val="004A93"/>
                                  <w:sz w:val="28"/>
                                </w:rPr>
                                <w:t>publish</w:t>
                              </w:r>
                              <w:r>
                                <w:rPr>
                                  <w:b/>
                                  <w:color w:val="004A93"/>
                                  <w:spacing w:val="-6"/>
                                  <w:sz w:val="28"/>
                                </w:rPr>
                                <w:t> </w:t>
                              </w:r>
                              <w:r>
                                <w:rPr>
                                  <w:b/>
                                  <w:color w:val="004A93"/>
                                  <w:sz w:val="28"/>
                                </w:rPr>
                                <w:t>a</w:t>
                              </w:r>
                              <w:r>
                                <w:rPr>
                                  <w:b/>
                                  <w:color w:val="004A93"/>
                                  <w:spacing w:val="-6"/>
                                  <w:sz w:val="28"/>
                                </w:rPr>
                                <w:t> </w:t>
                              </w:r>
                              <w:r>
                                <w:rPr>
                                  <w:b/>
                                  <w:color w:val="004A93"/>
                                  <w:sz w:val="28"/>
                                </w:rPr>
                                <w:t>consolidated</w:t>
                              </w:r>
                              <w:r>
                                <w:rPr>
                                  <w:b/>
                                  <w:color w:val="004A93"/>
                                  <w:spacing w:val="-6"/>
                                  <w:sz w:val="28"/>
                                </w:rPr>
                                <w:t> </w:t>
                              </w:r>
                              <w:r>
                                <w:rPr>
                                  <w:b/>
                                  <w:color w:val="004A93"/>
                                  <w:sz w:val="28"/>
                                </w:rPr>
                                <w:t>version</w:t>
                              </w:r>
                              <w:r>
                                <w:rPr>
                                  <w:b/>
                                  <w:color w:val="004A93"/>
                                  <w:spacing w:val="-6"/>
                                  <w:sz w:val="28"/>
                                </w:rPr>
                                <w:t> </w:t>
                              </w:r>
                              <w:r>
                                <w:rPr>
                                  <w:b/>
                                  <w:color w:val="004A93"/>
                                  <w:sz w:val="28"/>
                                </w:rPr>
                                <w:t>of</w:t>
                              </w:r>
                              <w:r>
                                <w:rPr>
                                  <w:b/>
                                  <w:color w:val="004A93"/>
                                  <w:spacing w:val="-7"/>
                                  <w:sz w:val="28"/>
                                </w:rPr>
                                <w:t> </w:t>
                              </w:r>
                              <w:r>
                                <w:rPr>
                                  <w:b/>
                                  <w:color w:val="004A93"/>
                                  <w:sz w:val="28"/>
                                </w:rPr>
                                <w:t>the Windsor Framework text.</w:t>
                              </w:r>
                            </w:p>
                          </w:txbxContent>
                        </wps:txbx>
                        <wps:bodyPr wrap="square" lIns="0" tIns="0" rIns="0" bIns="0" rtlCol="0">
                          <a:noAutofit/>
                        </wps:bodyPr>
                      </wps:wsp>
                    </wpg:wgp>
                  </a:graphicData>
                </a:graphic>
              </wp:anchor>
            </w:drawing>
          </mc:Choice>
          <mc:Fallback>
            <w:pict>
              <v:group style="position:absolute;margin-left:51.023201pt;margin-top:12.859056pt;width:473.4pt;height:47.55pt;mso-position-horizontal-relative:page;mso-position-vertical-relative:paragraph;z-index:-15705088;mso-wrap-distance-left:0;mso-wrap-distance-right:0" id="docshapegroup79" coordorigin="1020,257" coordsize="9468,951">
                <v:shape style="position:absolute;left:1020;top:257;width:9468;height:951" id="docshape80" coordorigin="1020,257" coordsize="9468,951" path="m10261,257l1247,257,1176,269,1113,301,1064,350,1032,412,1020,484,1020,981,1032,1052,1064,1114,1113,1164,1176,1196,1247,1207,10261,1207,10333,1196,10395,1164,10444,1114,10477,1052,10488,981,10488,484,10477,412,10444,350,10395,301,10333,269,10261,257xe" filled="true" fillcolor="#e9f3fc" stroked="false">
                  <v:path arrowok="t"/>
                  <v:fill type="solid"/>
                </v:shape>
                <v:shape style="position:absolute;left:1020;top:257;width:9468;height:951" type="#_x0000_t202" id="docshape81" filled="false" stroked="false">
                  <v:textbox inset="0,0,0,0">
                    <w:txbxContent>
                      <w:p>
                        <w:pPr>
                          <w:spacing w:line="232" w:lineRule="auto" w:before="121"/>
                          <w:ind w:left="340" w:right="196" w:firstLine="0"/>
                          <w:jc w:val="left"/>
                          <w:rPr>
                            <w:b/>
                            <w:sz w:val="28"/>
                          </w:rPr>
                        </w:pPr>
                        <w:r>
                          <w:rPr>
                            <w:b/>
                            <w:color w:val="004A93"/>
                            <w:sz w:val="28"/>
                          </w:rPr>
                          <w:t>We</w:t>
                        </w:r>
                        <w:r>
                          <w:rPr>
                            <w:b/>
                            <w:color w:val="004A93"/>
                            <w:spacing w:val="-7"/>
                            <w:sz w:val="28"/>
                          </w:rPr>
                          <w:t> </w:t>
                        </w:r>
                        <w:r>
                          <w:rPr>
                            <w:b/>
                            <w:color w:val="004A93"/>
                            <w:sz w:val="28"/>
                          </w:rPr>
                          <w:t>recommend</w:t>
                        </w:r>
                        <w:r>
                          <w:rPr>
                            <w:b/>
                            <w:color w:val="004A93"/>
                            <w:spacing w:val="-6"/>
                            <w:sz w:val="28"/>
                          </w:rPr>
                          <w:t> </w:t>
                        </w:r>
                        <w:r>
                          <w:rPr>
                            <w:b/>
                            <w:color w:val="004A93"/>
                            <w:sz w:val="28"/>
                          </w:rPr>
                          <w:t>that</w:t>
                        </w:r>
                        <w:r>
                          <w:rPr>
                            <w:b/>
                            <w:color w:val="004A93"/>
                            <w:spacing w:val="-6"/>
                            <w:sz w:val="28"/>
                          </w:rPr>
                          <w:t> </w:t>
                        </w:r>
                        <w:r>
                          <w:rPr>
                            <w:b/>
                            <w:color w:val="004A93"/>
                            <w:sz w:val="28"/>
                          </w:rPr>
                          <w:t>that</w:t>
                        </w:r>
                        <w:r>
                          <w:rPr>
                            <w:b/>
                            <w:color w:val="004A93"/>
                            <w:spacing w:val="-6"/>
                            <w:sz w:val="28"/>
                          </w:rPr>
                          <w:t> </w:t>
                        </w:r>
                        <w:r>
                          <w:rPr>
                            <w:b/>
                            <w:color w:val="004A93"/>
                            <w:sz w:val="28"/>
                          </w:rPr>
                          <w:t>EU</w:t>
                        </w:r>
                        <w:r>
                          <w:rPr>
                            <w:b/>
                            <w:color w:val="004A93"/>
                            <w:spacing w:val="-6"/>
                            <w:sz w:val="28"/>
                          </w:rPr>
                          <w:t> </w:t>
                        </w:r>
                        <w:r>
                          <w:rPr>
                            <w:b/>
                            <w:color w:val="004A93"/>
                            <w:sz w:val="28"/>
                          </w:rPr>
                          <w:t>and</w:t>
                        </w:r>
                        <w:r>
                          <w:rPr>
                            <w:b/>
                            <w:color w:val="004A93"/>
                            <w:spacing w:val="-6"/>
                            <w:sz w:val="28"/>
                          </w:rPr>
                          <w:t> </w:t>
                        </w:r>
                        <w:r>
                          <w:rPr>
                            <w:b/>
                            <w:color w:val="004A93"/>
                            <w:sz w:val="28"/>
                          </w:rPr>
                          <w:t>UK</w:t>
                        </w:r>
                        <w:r>
                          <w:rPr>
                            <w:b/>
                            <w:color w:val="004A93"/>
                            <w:spacing w:val="-6"/>
                            <w:sz w:val="28"/>
                          </w:rPr>
                          <w:t> </w:t>
                        </w:r>
                        <w:r>
                          <w:rPr>
                            <w:b/>
                            <w:color w:val="004A93"/>
                            <w:sz w:val="28"/>
                          </w:rPr>
                          <w:t>publish</w:t>
                        </w:r>
                        <w:r>
                          <w:rPr>
                            <w:b/>
                            <w:color w:val="004A93"/>
                            <w:spacing w:val="-6"/>
                            <w:sz w:val="28"/>
                          </w:rPr>
                          <w:t> </w:t>
                        </w:r>
                        <w:r>
                          <w:rPr>
                            <w:b/>
                            <w:color w:val="004A93"/>
                            <w:sz w:val="28"/>
                          </w:rPr>
                          <w:t>a</w:t>
                        </w:r>
                        <w:r>
                          <w:rPr>
                            <w:b/>
                            <w:color w:val="004A93"/>
                            <w:spacing w:val="-6"/>
                            <w:sz w:val="28"/>
                          </w:rPr>
                          <w:t> </w:t>
                        </w:r>
                        <w:r>
                          <w:rPr>
                            <w:b/>
                            <w:color w:val="004A93"/>
                            <w:sz w:val="28"/>
                          </w:rPr>
                          <w:t>consolidated</w:t>
                        </w:r>
                        <w:r>
                          <w:rPr>
                            <w:b/>
                            <w:color w:val="004A93"/>
                            <w:spacing w:val="-6"/>
                            <w:sz w:val="28"/>
                          </w:rPr>
                          <w:t> </w:t>
                        </w:r>
                        <w:r>
                          <w:rPr>
                            <w:b/>
                            <w:color w:val="004A93"/>
                            <w:sz w:val="28"/>
                          </w:rPr>
                          <w:t>version</w:t>
                        </w:r>
                        <w:r>
                          <w:rPr>
                            <w:b/>
                            <w:color w:val="004A93"/>
                            <w:spacing w:val="-6"/>
                            <w:sz w:val="28"/>
                          </w:rPr>
                          <w:t> </w:t>
                        </w:r>
                        <w:r>
                          <w:rPr>
                            <w:b/>
                            <w:color w:val="004A93"/>
                            <w:sz w:val="28"/>
                          </w:rPr>
                          <w:t>of</w:t>
                        </w:r>
                        <w:r>
                          <w:rPr>
                            <w:b/>
                            <w:color w:val="004A93"/>
                            <w:spacing w:val="-7"/>
                            <w:sz w:val="28"/>
                          </w:rPr>
                          <w:t> </w:t>
                        </w:r>
                        <w:r>
                          <w:rPr>
                            <w:b/>
                            <w:color w:val="004A93"/>
                            <w:sz w:val="28"/>
                          </w:rPr>
                          <w:t>the Windsor Framework text.</w:t>
                        </w:r>
                      </w:p>
                    </w:txbxContent>
                  </v:textbox>
                  <w10:wrap type="none"/>
                </v:shape>
                <w10:wrap type="topAndBottom"/>
              </v:group>
            </w:pict>
          </mc:Fallback>
        </mc:AlternateContent>
      </w:r>
    </w:p>
    <w:p>
      <w:pPr>
        <w:pStyle w:val="BodyText"/>
        <w:spacing w:line="232" w:lineRule="auto" w:before="228"/>
        <w:ind w:left="720" w:right="1713"/>
      </w:pPr>
      <w:r>
        <w:rPr/>
        <w:t>The political agreement at Windsor did not solve all disputes about the operation of the Protocol but in 2024 the Government published a command paper</w:t>
      </w:r>
      <w:r>
        <w:rPr>
          <w:spacing w:val="-7"/>
        </w:rPr>
        <w:t> </w:t>
      </w:r>
      <w:r>
        <w:rPr>
          <w:i/>
        </w:rPr>
        <w:t>Safeguarding</w:t>
      </w:r>
      <w:r>
        <w:rPr>
          <w:i/>
          <w:spacing w:val="-7"/>
        </w:rPr>
        <w:t> </w:t>
      </w:r>
      <w:r>
        <w:rPr>
          <w:i/>
        </w:rPr>
        <w:t>the</w:t>
      </w:r>
      <w:r>
        <w:rPr>
          <w:i/>
          <w:spacing w:val="-6"/>
        </w:rPr>
        <w:t> </w:t>
      </w:r>
      <w:r>
        <w:rPr>
          <w:i/>
        </w:rPr>
        <w:t>Union</w:t>
      </w:r>
      <w:r>
        <w:rPr>
          <w:i/>
          <w:spacing w:val="-6"/>
        </w:rPr>
        <w:t> </w:t>
      </w:r>
      <w:r>
        <w:rPr/>
        <w:t>which</w:t>
      </w:r>
      <w:r>
        <w:rPr>
          <w:spacing w:val="-7"/>
        </w:rPr>
        <w:t> </w:t>
      </w:r>
      <w:r>
        <w:rPr/>
        <w:t>paved</w:t>
      </w:r>
      <w:r>
        <w:rPr>
          <w:spacing w:val="-7"/>
        </w:rPr>
        <w:t> </w:t>
      </w:r>
      <w:r>
        <w:rPr/>
        <w:t>the</w:t>
      </w:r>
      <w:r>
        <w:rPr>
          <w:spacing w:val="-6"/>
        </w:rPr>
        <w:t> </w:t>
      </w:r>
      <w:r>
        <w:rPr/>
        <w:t>way</w:t>
      </w:r>
      <w:r>
        <w:rPr>
          <w:spacing w:val="-6"/>
        </w:rPr>
        <w:t> </w:t>
      </w:r>
      <w:r>
        <w:rPr/>
        <w:t>for</w:t>
      </w:r>
      <w:r>
        <w:rPr>
          <w:spacing w:val="-6"/>
        </w:rPr>
        <w:t> </w:t>
      </w:r>
      <w:r>
        <w:rPr/>
        <w:t>the</w:t>
      </w:r>
      <w:r>
        <w:rPr>
          <w:spacing w:val="-6"/>
        </w:rPr>
        <w:t> </w:t>
      </w:r>
      <w:r>
        <w:rPr/>
        <w:t>return</w:t>
      </w:r>
      <w:r>
        <w:rPr>
          <w:spacing w:val="-7"/>
        </w:rPr>
        <w:t> </w:t>
      </w:r>
      <w:r>
        <w:rPr/>
        <w:t>of</w:t>
      </w:r>
      <w:r>
        <w:rPr>
          <w:spacing w:val="-7"/>
        </w:rPr>
        <w:t> </w:t>
      </w:r>
      <w:r>
        <w:rPr/>
        <w:t>devolved</w:t>
      </w:r>
    </w:p>
    <w:p>
      <w:pPr>
        <w:pStyle w:val="BodyText"/>
        <w:spacing w:line="232" w:lineRule="auto"/>
        <w:ind w:left="720" w:right="1087"/>
      </w:pPr>
      <w:r>
        <w:rPr/>
        <w:t>institutions.</w:t>
      </w:r>
      <w:r>
        <w:rPr>
          <w:vertAlign w:val="superscript"/>
        </w:rPr>
        <w:t>8</w:t>
      </w:r>
      <w:r>
        <w:rPr>
          <w:spacing w:val="-8"/>
          <w:vertAlign w:val="baseline"/>
        </w:rPr>
        <w:t> </w:t>
      </w:r>
      <w:r>
        <w:rPr>
          <w:vertAlign w:val="baseline"/>
        </w:rPr>
        <w:t>The</w:t>
      </w:r>
      <w:r>
        <w:rPr>
          <w:spacing w:val="-7"/>
          <w:vertAlign w:val="baseline"/>
        </w:rPr>
        <w:t> </w:t>
      </w:r>
      <w:r>
        <w:rPr>
          <w:vertAlign w:val="baseline"/>
        </w:rPr>
        <w:t>command</w:t>
      </w:r>
      <w:r>
        <w:rPr>
          <w:spacing w:val="-8"/>
          <w:vertAlign w:val="baseline"/>
        </w:rPr>
        <w:t> </w:t>
      </w:r>
      <w:r>
        <w:rPr>
          <w:vertAlign w:val="baseline"/>
        </w:rPr>
        <w:t>paper</w:t>
      </w:r>
      <w:r>
        <w:rPr>
          <w:spacing w:val="-7"/>
          <w:vertAlign w:val="baseline"/>
        </w:rPr>
        <w:t> </w:t>
      </w:r>
      <w:r>
        <w:rPr>
          <w:vertAlign w:val="baseline"/>
        </w:rPr>
        <w:t>though</w:t>
      </w:r>
      <w:r>
        <w:rPr>
          <w:spacing w:val="-8"/>
          <w:vertAlign w:val="baseline"/>
        </w:rPr>
        <w:t> </w:t>
      </w:r>
      <w:r>
        <w:rPr>
          <w:vertAlign w:val="baseline"/>
        </w:rPr>
        <w:t>contains</w:t>
      </w:r>
      <w:r>
        <w:rPr>
          <w:spacing w:val="-8"/>
          <w:vertAlign w:val="baseline"/>
        </w:rPr>
        <w:t> </w:t>
      </w:r>
      <w:r>
        <w:rPr>
          <w:vertAlign w:val="baseline"/>
        </w:rPr>
        <w:t>brief</w:t>
      </w:r>
      <w:r>
        <w:rPr>
          <w:spacing w:val="-8"/>
          <w:vertAlign w:val="baseline"/>
        </w:rPr>
        <w:t> </w:t>
      </w:r>
      <w:r>
        <w:rPr>
          <w:vertAlign w:val="baseline"/>
        </w:rPr>
        <w:t>and</w:t>
      </w:r>
      <w:r>
        <w:rPr>
          <w:spacing w:val="-8"/>
          <w:vertAlign w:val="baseline"/>
        </w:rPr>
        <w:t> </w:t>
      </w:r>
      <w:r>
        <w:rPr>
          <w:vertAlign w:val="baseline"/>
        </w:rPr>
        <w:t>misleading</w:t>
      </w:r>
      <w:r>
        <w:rPr>
          <w:spacing w:val="-7"/>
          <w:vertAlign w:val="baseline"/>
        </w:rPr>
        <w:t> </w:t>
      </w:r>
      <w:r>
        <w:rPr>
          <w:vertAlign w:val="baseline"/>
        </w:rPr>
        <w:t>comments on the scope and implications of Article 2 WF.</w:t>
      </w:r>
      <w:r>
        <w:rPr>
          <w:vertAlign w:val="superscript"/>
        </w:rPr>
        <w:t>9</w:t>
      </w:r>
    </w:p>
    <w:p>
      <w:pPr>
        <w:pStyle w:val="BodyText"/>
        <w:spacing w:line="232" w:lineRule="auto" w:before="276"/>
        <w:ind w:left="720" w:right="1404"/>
      </w:pPr>
      <w:r>
        <w:rPr/>
        <w:t>Article 2 WF also recognises the role of the Northern Ireland Human Rights Commission</w:t>
      </w:r>
      <w:r>
        <w:rPr>
          <w:spacing w:val="-6"/>
        </w:rPr>
        <w:t> </w:t>
      </w:r>
      <w:r>
        <w:rPr/>
        <w:t>(NIHRC)</w:t>
      </w:r>
      <w:r>
        <w:rPr>
          <w:spacing w:val="-6"/>
        </w:rPr>
        <w:t> </w:t>
      </w:r>
      <w:r>
        <w:rPr/>
        <w:t>and</w:t>
      </w:r>
      <w:r>
        <w:rPr>
          <w:spacing w:val="-6"/>
        </w:rPr>
        <w:t> </w:t>
      </w:r>
      <w:r>
        <w:rPr/>
        <w:t>the</w:t>
      </w:r>
      <w:r>
        <w:rPr>
          <w:spacing w:val="-5"/>
        </w:rPr>
        <w:t> </w:t>
      </w:r>
      <w:r>
        <w:rPr/>
        <w:t>Equality</w:t>
      </w:r>
      <w:r>
        <w:rPr>
          <w:spacing w:val="-5"/>
        </w:rPr>
        <w:t> </w:t>
      </w:r>
      <w:r>
        <w:rPr/>
        <w:t>Commission</w:t>
      </w:r>
      <w:r>
        <w:rPr>
          <w:spacing w:val="-6"/>
        </w:rPr>
        <w:t> </w:t>
      </w:r>
      <w:r>
        <w:rPr/>
        <w:t>for</w:t>
      </w:r>
      <w:r>
        <w:rPr>
          <w:spacing w:val="-5"/>
        </w:rPr>
        <w:t> </w:t>
      </w:r>
      <w:r>
        <w:rPr/>
        <w:t>Northern</w:t>
      </w:r>
      <w:r>
        <w:rPr>
          <w:spacing w:val="-6"/>
        </w:rPr>
        <w:t> </w:t>
      </w:r>
      <w:r>
        <w:rPr/>
        <w:t>Ireland</w:t>
      </w:r>
      <w:r>
        <w:rPr>
          <w:spacing w:val="-6"/>
        </w:rPr>
        <w:t> </w:t>
      </w:r>
      <w:r>
        <w:rPr/>
        <w:t>(ECNI)</w:t>
      </w:r>
      <w:r>
        <w:rPr>
          <w:spacing w:val="-6"/>
        </w:rPr>
        <w:t> </w:t>
      </w:r>
      <w:r>
        <w:rPr/>
        <w:t>as well as the joint committee of the two human rights commissions on the island. The UK Government has designated the first two as the ‘dedicated mechanism’ mentioned in Article 2 WF. The Commissions have played a significant role</w:t>
      </w:r>
    </w:p>
    <w:p>
      <w:pPr>
        <w:pStyle w:val="BodyText"/>
        <w:spacing w:line="232" w:lineRule="auto"/>
        <w:ind w:left="720" w:right="1886"/>
      </w:pPr>
      <w:r>
        <w:rPr/>
        <w:t>in publishing research, policy positions and consultation responses relating to</w:t>
      </w:r>
      <w:r>
        <w:rPr>
          <w:spacing w:val="-5"/>
        </w:rPr>
        <w:t> </w:t>
      </w:r>
      <w:r>
        <w:rPr/>
        <w:t>Article</w:t>
      </w:r>
      <w:r>
        <w:rPr>
          <w:spacing w:val="-4"/>
        </w:rPr>
        <w:t> </w:t>
      </w:r>
      <w:r>
        <w:rPr/>
        <w:t>2</w:t>
      </w:r>
      <w:r>
        <w:rPr>
          <w:spacing w:val="-4"/>
        </w:rPr>
        <w:t> </w:t>
      </w:r>
      <w:r>
        <w:rPr/>
        <w:t>WF</w:t>
      </w:r>
      <w:r>
        <w:rPr>
          <w:spacing w:val="-5"/>
        </w:rPr>
        <w:t> </w:t>
      </w:r>
      <w:r>
        <w:rPr/>
        <w:t>as</w:t>
      </w:r>
      <w:r>
        <w:rPr>
          <w:spacing w:val="-5"/>
        </w:rPr>
        <w:t> </w:t>
      </w:r>
      <w:r>
        <w:rPr/>
        <w:t>well</w:t>
      </w:r>
      <w:r>
        <w:rPr>
          <w:spacing w:val="-5"/>
        </w:rPr>
        <w:t> </w:t>
      </w:r>
      <w:r>
        <w:rPr/>
        <w:t>as</w:t>
      </w:r>
      <w:r>
        <w:rPr>
          <w:spacing w:val="-5"/>
        </w:rPr>
        <w:t> </w:t>
      </w:r>
      <w:r>
        <w:rPr/>
        <w:t>intervening</w:t>
      </w:r>
      <w:r>
        <w:rPr>
          <w:spacing w:val="-4"/>
        </w:rPr>
        <w:t> </w:t>
      </w:r>
      <w:r>
        <w:rPr/>
        <w:t>in</w:t>
      </w:r>
      <w:r>
        <w:rPr>
          <w:spacing w:val="-5"/>
        </w:rPr>
        <w:t> </w:t>
      </w:r>
      <w:r>
        <w:rPr/>
        <w:t>cases;</w:t>
      </w:r>
      <w:r>
        <w:rPr>
          <w:spacing w:val="-4"/>
        </w:rPr>
        <w:t> </w:t>
      </w:r>
      <w:r>
        <w:rPr/>
        <w:t>they</w:t>
      </w:r>
      <w:r>
        <w:rPr>
          <w:spacing w:val="-4"/>
        </w:rPr>
        <w:t> </w:t>
      </w:r>
      <w:r>
        <w:rPr/>
        <w:t>collaborate</w:t>
      </w:r>
      <w:r>
        <w:rPr>
          <w:spacing w:val="-4"/>
        </w:rPr>
        <w:t> </w:t>
      </w:r>
      <w:r>
        <w:rPr/>
        <w:t>with</w:t>
      </w:r>
      <w:r>
        <w:rPr>
          <w:spacing w:val="-5"/>
        </w:rPr>
        <w:t> </w:t>
      </w:r>
      <w:r>
        <w:rPr/>
        <w:t>the</w:t>
      </w:r>
      <w:r>
        <w:rPr>
          <w:spacing w:val="-4"/>
        </w:rPr>
        <w:t> </w:t>
      </w:r>
      <w:r>
        <w:rPr/>
        <w:t>Irish</w:t>
      </w:r>
    </w:p>
    <w:p>
      <w:pPr>
        <w:pStyle w:val="BodyText"/>
        <w:spacing w:line="232" w:lineRule="auto"/>
        <w:ind w:left="720" w:right="1512"/>
      </w:pPr>
      <w:r>
        <w:rPr/>
        <w:t>Human Rights and Equality Commission where there are all-island dimensions</w:t>
      </w:r>
      <w:r>
        <w:rPr/>
        <w:t> to</w:t>
      </w:r>
      <w:r>
        <w:rPr>
          <w:spacing w:val="-6"/>
        </w:rPr>
        <w:t> </w:t>
      </w:r>
      <w:r>
        <w:rPr/>
        <w:t>rights</w:t>
      </w:r>
      <w:r>
        <w:rPr>
          <w:spacing w:val="-6"/>
        </w:rPr>
        <w:t> </w:t>
      </w:r>
      <w:r>
        <w:rPr/>
        <w:t>protection.</w:t>
      </w:r>
      <w:r>
        <w:rPr>
          <w:spacing w:val="-6"/>
        </w:rPr>
        <w:t> </w:t>
      </w:r>
      <w:r>
        <w:rPr/>
        <w:t>The</w:t>
      </w:r>
      <w:r>
        <w:rPr>
          <w:spacing w:val="-5"/>
        </w:rPr>
        <w:t> </w:t>
      </w:r>
      <w:r>
        <w:rPr/>
        <w:t>Commissions’</w:t>
      </w:r>
      <w:r>
        <w:rPr>
          <w:spacing w:val="-5"/>
        </w:rPr>
        <w:t> </w:t>
      </w:r>
      <w:r>
        <w:rPr/>
        <w:t>work</w:t>
      </w:r>
      <w:r>
        <w:rPr>
          <w:spacing w:val="-5"/>
        </w:rPr>
        <w:t> </w:t>
      </w:r>
      <w:r>
        <w:rPr/>
        <w:t>has</w:t>
      </w:r>
      <w:r>
        <w:rPr>
          <w:spacing w:val="-6"/>
        </w:rPr>
        <w:t> </w:t>
      </w:r>
      <w:r>
        <w:rPr/>
        <w:t>provided</w:t>
      </w:r>
      <w:r>
        <w:rPr>
          <w:spacing w:val="-6"/>
        </w:rPr>
        <w:t> </w:t>
      </w:r>
      <w:r>
        <w:rPr/>
        <w:t>guidance</w:t>
      </w:r>
      <w:r>
        <w:rPr>
          <w:spacing w:val="-5"/>
        </w:rPr>
        <w:t> </w:t>
      </w:r>
      <w:r>
        <w:rPr/>
        <w:t>in</w:t>
      </w:r>
      <w:r>
        <w:rPr>
          <w:spacing w:val="-6"/>
        </w:rPr>
        <w:t> </w:t>
      </w:r>
      <w:r>
        <w:rPr/>
        <w:t>the</w:t>
      </w:r>
      <w:r>
        <w:rPr>
          <w:spacing w:val="-5"/>
        </w:rPr>
        <w:t> </w:t>
      </w:r>
      <w:r>
        <w:rPr/>
        <w:t>issues of</w:t>
      </w:r>
      <w:r>
        <w:rPr>
          <w:spacing w:val="-5"/>
        </w:rPr>
        <w:t> </w:t>
      </w:r>
      <w:r>
        <w:rPr/>
        <w:t>equivalence</w:t>
      </w:r>
      <w:r>
        <w:rPr>
          <w:spacing w:val="-4"/>
        </w:rPr>
        <w:t> </w:t>
      </w:r>
      <w:r>
        <w:rPr/>
        <w:t>and</w:t>
      </w:r>
      <w:r>
        <w:rPr>
          <w:spacing w:val="-5"/>
        </w:rPr>
        <w:t> </w:t>
      </w:r>
      <w:r>
        <w:rPr/>
        <w:t>the</w:t>
      </w:r>
      <w:r>
        <w:rPr>
          <w:spacing w:val="-4"/>
        </w:rPr>
        <w:t> </w:t>
      </w:r>
      <w:r>
        <w:rPr/>
        <w:t>risk</w:t>
      </w:r>
      <w:r>
        <w:rPr>
          <w:spacing w:val="-4"/>
        </w:rPr>
        <w:t> </w:t>
      </w:r>
      <w:r>
        <w:rPr/>
        <w:t>of</w:t>
      </w:r>
      <w:r>
        <w:rPr>
          <w:spacing w:val="-5"/>
        </w:rPr>
        <w:t> </w:t>
      </w:r>
      <w:r>
        <w:rPr/>
        <w:t>divergence</w:t>
      </w:r>
      <w:r>
        <w:rPr>
          <w:spacing w:val="-4"/>
        </w:rPr>
        <w:t> </w:t>
      </w:r>
      <w:r>
        <w:rPr/>
        <w:t>as</w:t>
      </w:r>
      <w:r>
        <w:rPr>
          <w:spacing w:val="-5"/>
        </w:rPr>
        <w:t> </w:t>
      </w:r>
      <w:r>
        <w:rPr/>
        <w:t>well</w:t>
      </w:r>
      <w:r>
        <w:rPr>
          <w:spacing w:val="-5"/>
        </w:rPr>
        <w:t> </w:t>
      </w:r>
      <w:r>
        <w:rPr/>
        <w:t>as</w:t>
      </w:r>
      <w:r>
        <w:rPr>
          <w:spacing w:val="-5"/>
        </w:rPr>
        <w:t> </w:t>
      </w:r>
      <w:r>
        <w:rPr/>
        <w:t>providing</w:t>
      </w:r>
      <w:r>
        <w:rPr>
          <w:spacing w:val="-4"/>
        </w:rPr>
        <w:t> </w:t>
      </w:r>
      <w:r>
        <w:rPr/>
        <w:t>a</w:t>
      </w:r>
      <w:r>
        <w:rPr>
          <w:spacing w:val="-5"/>
        </w:rPr>
        <w:t> </w:t>
      </w:r>
      <w:r>
        <w:rPr/>
        <w:t>systematic</w:t>
      </w:r>
      <w:r>
        <w:rPr>
          <w:spacing w:val="-4"/>
        </w:rPr>
        <w:t> </w:t>
      </w:r>
      <w:r>
        <w:rPr/>
        <w:t>study of the scope of Article 2 WF. There is apparent disagreement between the UK Government and Commissions on this scope. The high court judgment in the</w:t>
      </w:r>
    </w:p>
    <w:p>
      <w:pPr>
        <w:pStyle w:val="BodyText"/>
        <w:spacing w:before="87"/>
        <w:rPr>
          <w:sz w:val="20"/>
        </w:rPr>
      </w:pPr>
      <w:r>
        <w:rPr/>
        <mc:AlternateContent>
          <mc:Choice Requires="wps">
            <w:drawing>
              <wp:anchor distT="0" distB="0" distL="0" distR="0" allowOverlap="1" layoutInCell="1" locked="0" behindDoc="1" simplePos="0" relativeHeight="487611904">
                <wp:simplePos x="0" y="0"/>
                <wp:positionH relativeFrom="page">
                  <wp:posOffset>647999</wp:posOffset>
                </wp:positionH>
                <wp:positionV relativeFrom="paragraph">
                  <wp:posOffset>225997</wp:posOffset>
                </wp:positionV>
                <wp:extent cx="6012180" cy="127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7.795076pt;width:473.4pt;height:.1pt;mso-position-horizontal-relative:page;mso-position-vertical-relative:paragraph;z-index:-15704576;mso-wrap-distance-left:0;mso-wrap-distance-right:0" id="docshape82" coordorigin="1020,356" coordsize="9468,0" path="m1020,356l10488,356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0" w:hanging="567"/>
        <w:jc w:val="left"/>
        <w:rPr>
          <w:sz w:val="18"/>
        </w:rPr>
      </w:pPr>
      <w:r>
        <w:rPr>
          <w:color w:val="1D71B8"/>
          <w:sz w:val="18"/>
          <w:u w:val="single" w:color="1D71B8"/>
        </w:rPr>
        <w:t>EU-UK</w:t>
      </w:r>
      <w:r>
        <w:rPr>
          <w:color w:val="1D71B8"/>
          <w:spacing w:val="-6"/>
          <w:sz w:val="18"/>
          <w:u w:val="single" w:color="1D71B8"/>
        </w:rPr>
        <w:t> </w:t>
      </w:r>
      <w:r>
        <w:rPr>
          <w:color w:val="1D71B8"/>
          <w:sz w:val="18"/>
          <w:u w:val="single" w:color="1D71B8"/>
        </w:rPr>
        <w:t>Withdrawal</w:t>
      </w:r>
      <w:r>
        <w:rPr>
          <w:color w:val="1D71B8"/>
          <w:spacing w:val="-6"/>
          <w:sz w:val="18"/>
          <w:u w:val="single" w:color="1D71B8"/>
        </w:rPr>
        <w:t> </w:t>
      </w:r>
      <w:r>
        <w:rPr>
          <w:color w:val="1D71B8"/>
          <w:sz w:val="18"/>
          <w:u w:val="single" w:color="1D71B8"/>
        </w:rPr>
        <w:t>Agreement,</w:t>
      </w:r>
      <w:r>
        <w:rPr>
          <w:color w:val="1D71B8"/>
          <w:spacing w:val="-5"/>
          <w:sz w:val="18"/>
          <w:u w:val="single" w:color="1D71B8"/>
        </w:rPr>
        <w:t> </w:t>
      </w:r>
      <w:r>
        <w:rPr>
          <w:color w:val="1D71B8"/>
          <w:sz w:val="18"/>
          <w:u w:val="single" w:color="1D71B8"/>
        </w:rPr>
        <w:t>including</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Protocol</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Ireland/Northern</w:t>
      </w:r>
      <w:r>
        <w:rPr>
          <w:color w:val="1D71B8"/>
          <w:spacing w:val="-6"/>
          <w:sz w:val="18"/>
          <w:u w:val="single" w:color="1D71B8"/>
        </w:rPr>
        <w:t> </w:t>
      </w:r>
      <w:r>
        <w:rPr>
          <w:color w:val="1D71B8"/>
          <w:sz w:val="18"/>
          <w:u w:val="single" w:color="1D71B8"/>
        </w:rPr>
        <w:t>Ireland</w:t>
      </w:r>
      <w:r>
        <w:rPr>
          <w:color w:val="1D71B8"/>
          <w:spacing w:val="-7"/>
          <w:sz w:val="18"/>
          <w:u w:val="none"/>
        </w:rPr>
        <w:t> </w:t>
      </w:r>
      <w:r>
        <w:rPr>
          <w:sz w:val="18"/>
          <w:u w:val="none"/>
        </w:rPr>
        <w:t>2019,</w:t>
      </w:r>
      <w:r>
        <w:rPr>
          <w:spacing w:val="-5"/>
          <w:sz w:val="18"/>
          <w:u w:val="none"/>
        </w:rPr>
        <w:t> </w:t>
      </w:r>
      <w:r>
        <w:rPr>
          <w:sz w:val="18"/>
          <w:u w:val="none"/>
        </w:rPr>
        <w:t>Article</w:t>
      </w:r>
      <w:r>
        <w:rPr>
          <w:spacing w:val="-5"/>
          <w:sz w:val="18"/>
          <w:u w:val="none"/>
        </w:rPr>
        <w:t> </w:t>
      </w:r>
      <w:r>
        <w:rPr>
          <w:spacing w:val="-2"/>
          <w:sz w:val="18"/>
          <w:u w:val="none"/>
        </w:rPr>
        <w:t>13(2).</w:t>
      </w:r>
    </w:p>
    <w:p>
      <w:pPr>
        <w:pStyle w:val="ListParagraph"/>
        <w:numPr>
          <w:ilvl w:val="0"/>
          <w:numId w:val="9"/>
        </w:numPr>
        <w:tabs>
          <w:tab w:pos="1287" w:val="left" w:leader="none"/>
        </w:tabs>
        <w:spacing w:line="240" w:lineRule="auto" w:before="1" w:after="0"/>
        <w:ind w:left="1287" w:right="0" w:hanging="567"/>
        <w:jc w:val="left"/>
        <w:rPr>
          <w:sz w:val="18"/>
        </w:rPr>
      </w:pPr>
      <w:r>
        <w:rPr>
          <w:sz w:val="18"/>
        </w:rPr>
        <w:t>UK</w:t>
      </w:r>
      <w:r>
        <w:rPr>
          <w:spacing w:val="-6"/>
          <w:sz w:val="18"/>
        </w:rPr>
        <w:t> </w:t>
      </w:r>
      <w:r>
        <w:rPr>
          <w:sz w:val="18"/>
        </w:rPr>
        <w:t>Government,</w:t>
      </w:r>
      <w:r>
        <w:rPr>
          <w:spacing w:val="-4"/>
          <w:sz w:val="18"/>
        </w:rPr>
        <w:t> </w:t>
      </w:r>
      <w:r>
        <w:rPr>
          <w:color w:val="1D71B8"/>
          <w:sz w:val="18"/>
          <w:u w:val="single" w:color="1D71B8"/>
        </w:rPr>
        <w:t>The</w:t>
      </w:r>
      <w:r>
        <w:rPr>
          <w:color w:val="1D71B8"/>
          <w:spacing w:val="-4"/>
          <w:sz w:val="18"/>
          <w:u w:val="single" w:color="1D71B8"/>
        </w:rPr>
        <w:t> </w:t>
      </w:r>
      <w:r>
        <w:rPr>
          <w:color w:val="1D71B8"/>
          <w:sz w:val="18"/>
          <w:u w:val="single" w:color="1D71B8"/>
        </w:rPr>
        <w:t>Windsor</w:t>
      </w:r>
      <w:r>
        <w:rPr>
          <w:color w:val="1D71B8"/>
          <w:spacing w:val="-4"/>
          <w:sz w:val="18"/>
          <w:u w:val="single" w:color="1D71B8"/>
        </w:rPr>
        <w:t> </w:t>
      </w:r>
      <w:r>
        <w:rPr>
          <w:color w:val="1D71B8"/>
          <w:sz w:val="18"/>
          <w:u w:val="single" w:color="1D71B8"/>
        </w:rPr>
        <w:t>Framework:</w:t>
      </w:r>
      <w:r>
        <w:rPr>
          <w:color w:val="1D71B8"/>
          <w:spacing w:val="-4"/>
          <w:sz w:val="18"/>
          <w:u w:val="single" w:color="1D71B8"/>
        </w:rPr>
        <w:t> </w:t>
      </w:r>
      <w:r>
        <w:rPr>
          <w:color w:val="1D71B8"/>
          <w:sz w:val="18"/>
          <w:u w:val="single" w:color="1D71B8"/>
        </w:rPr>
        <w:t>A</w:t>
      </w:r>
      <w:r>
        <w:rPr>
          <w:color w:val="1D71B8"/>
          <w:spacing w:val="-4"/>
          <w:sz w:val="18"/>
          <w:u w:val="single" w:color="1D71B8"/>
        </w:rPr>
        <w:t> </w:t>
      </w:r>
      <w:r>
        <w:rPr>
          <w:color w:val="1D71B8"/>
          <w:sz w:val="18"/>
          <w:u w:val="single" w:color="1D71B8"/>
        </w:rPr>
        <w:t>New</w:t>
      </w:r>
      <w:r>
        <w:rPr>
          <w:color w:val="1D71B8"/>
          <w:spacing w:val="-4"/>
          <w:sz w:val="18"/>
          <w:u w:val="single" w:color="1D71B8"/>
        </w:rPr>
        <w:t> </w:t>
      </w:r>
      <w:r>
        <w:rPr>
          <w:color w:val="1D71B8"/>
          <w:sz w:val="18"/>
          <w:u w:val="single" w:color="1D71B8"/>
        </w:rPr>
        <w:t>Way</w:t>
      </w:r>
      <w:r>
        <w:rPr>
          <w:color w:val="1D71B8"/>
          <w:spacing w:val="-4"/>
          <w:sz w:val="18"/>
          <w:u w:val="single" w:color="1D71B8"/>
        </w:rPr>
        <w:t> </w:t>
      </w:r>
      <w:r>
        <w:rPr>
          <w:color w:val="1D71B8"/>
          <w:sz w:val="18"/>
          <w:u w:val="single" w:color="1D71B8"/>
        </w:rPr>
        <w:t>Forward</w:t>
      </w:r>
      <w:r>
        <w:rPr>
          <w:color w:val="1D71B8"/>
          <w:spacing w:val="-6"/>
          <w:sz w:val="18"/>
          <w:u w:val="none"/>
        </w:rPr>
        <w:t> </w:t>
      </w:r>
      <w:r>
        <w:rPr>
          <w:sz w:val="18"/>
          <w:u w:val="none"/>
        </w:rPr>
        <w:t>CP</w:t>
      </w:r>
      <w:r>
        <w:rPr>
          <w:spacing w:val="-4"/>
          <w:sz w:val="18"/>
          <w:u w:val="none"/>
        </w:rPr>
        <w:t> </w:t>
      </w:r>
      <w:r>
        <w:rPr>
          <w:sz w:val="18"/>
          <w:u w:val="none"/>
        </w:rPr>
        <w:t>806</w:t>
      </w:r>
      <w:r>
        <w:rPr>
          <w:spacing w:val="-4"/>
          <w:sz w:val="18"/>
          <w:u w:val="none"/>
        </w:rPr>
        <w:t> </w:t>
      </w:r>
      <w:r>
        <w:rPr>
          <w:sz w:val="18"/>
          <w:u w:val="none"/>
        </w:rPr>
        <w:t>(February</w:t>
      </w:r>
      <w:r>
        <w:rPr>
          <w:spacing w:val="-3"/>
          <w:sz w:val="18"/>
          <w:u w:val="none"/>
        </w:rPr>
        <w:t> </w:t>
      </w:r>
      <w:r>
        <w:rPr>
          <w:spacing w:val="-2"/>
          <w:sz w:val="18"/>
          <w:u w:val="none"/>
        </w:rPr>
        <w:t>2023).</w:t>
      </w:r>
    </w:p>
    <w:p>
      <w:pPr>
        <w:pStyle w:val="ListParagraph"/>
        <w:numPr>
          <w:ilvl w:val="0"/>
          <w:numId w:val="9"/>
        </w:numPr>
        <w:tabs>
          <w:tab w:pos="1287" w:val="left" w:leader="none"/>
        </w:tabs>
        <w:spacing w:line="240" w:lineRule="auto" w:before="0" w:after="0"/>
        <w:ind w:left="1287" w:right="0" w:hanging="567"/>
        <w:jc w:val="left"/>
        <w:rPr>
          <w:sz w:val="18"/>
        </w:rPr>
      </w:pPr>
      <w:r>
        <w:rPr>
          <w:sz w:val="18"/>
        </w:rPr>
        <w:t>UK</w:t>
      </w:r>
      <w:r>
        <w:rPr>
          <w:spacing w:val="-7"/>
          <w:sz w:val="18"/>
        </w:rPr>
        <w:t> </w:t>
      </w:r>
      <w:r>
        <w:rPr>
          <w:sz w:val="18"/>
        </w:rPr>
        <w:t>Government,</w:t>
      </w:r>
      <w:r>
        <w:rPr>
          <w:spacing w:val="-4"/>
          <w:sz w:val="18"/>
        </w:rPr>
        <w:t> </w:t>
      </w:r>
      <w:r>
        <w:rPr>
          <w:color w:val="1D71B8"/>
          <w:sz w:val="18"/>
          <w:u w:val="single" w:color="1D71B8"/>
        </w:rPr>
        <w:t>Safeguarding</w:t>
      </w:r>
      <w:r>
        <w:rPr>
          <w:color w:val="1D71B8"/>
          <w:spacing w:val="-4"/>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Union</w:t>
      </w:r>
      <w:r>
        <w:rPr>
          <w:color w:val="1D71B8"/>
          <w:spacing w:val="-5"/>
          <w:sz w:val="18"/>
          <w:u w:val="none"/>
        </w:rPr>
        <w:t> </w:t>
      </w:r>
      <w:r>
        <w:rPr>
          <w:sz w:val="18"/>
          <w:u w:val="none"/>
        </w:rPr>
        <w:t>(2024)</w:t>
      </w:r>
      <w:r>
        <w:rPr>
          <w:spacing w:val="-5"/>
          <w:sz w:val="18"/>
          <w:u w:val="none"/>
        </w:rPr>
        <w:t> </w:t>
      </w:r>
      <w:r>
        <w:rPr>
          <w:sz w:val="18"/>
          <w:u w:val="none"/>
        </w:rPr>
        <w:t>CP</w:t>
      </w:r>
      <w:r>
        <w:rPr>
          <w:spacing w:val="-4"/>
          <w:sz w:val="18"/>
          <w:u w:val="none"/>
        </w:rPr>
        <w:t> </w:t>
      </w:r>
      <w:r>
        <w:rPr>
          <w:spacing w:val="-2"/>
          <w:sz w:val="18"/>
          <w:u w:val="none"/>
        </w:rPr>
        <w:t>1021.</w:t>
      </w:r>
    </w:p>
    <w:p>
      <w:pPr>
        <w:pStyle w:val="ListParagraph"/>
        <w:numPr>
          <w:ilvl w:val="0"/>
          <w:numId w:val="9"/>
        </w:numPr>
        <w:tabs>
          <w:tab w:pos="1287" w:val="left" w:leader="none"/>
        </w:tabs>
        <w:spacing w:line="240" w:lineRule="auto" w:before="0" w:after="0"/>
        <w:ind w:left="1287" w:right="0" w:hanging="567"/>
        <w:jc w:val="left"/>
        <w:rPr>
          <w:sz w:val="18"/>
        </w:rPr>
      </w:pPr>
      <w:r>
        <w:rPr>
          <w:sz w:val="18"/>
        </w:rPr>
        <w:t>See</w:t>
      </w:r>
      <w:r>
        <w:rPr>
          <w:spacing w:val="-6"/>
          <w:sz w:val="18"/>
        </w:rPr>
        <w:t> </w:t>
      </w:r>
      <w:r>
        <w:rPr>
          <w:sz w:val="18"/>
        </w:rPr>
        <w:t>below</w:t>
      </w:r>
      <w:r>
        <w:rPr>
          <w:spacing w:val="-5"/>
          <w:sz w:val="18"/>
        </w:rPr>
        <w:t> </w:t>
      </w:r>
      <w:r>
        <w:rPr>
          <w:sz w:val="18"/>
        </w:rPr>
        <w:t>section</w:t>
      </w:r>
      <w:r>
        <w:rPr>
          <w:spacing w:val="-6"/>
          <w:sz w:val="18"/>
        </w:rPr>
        <w:t> </w:t>
      </w:r>
      <w:r>
        <w:rPr>
          <w:spacing w:val="-2"/>
          <w:sz w:val="18"/>
        </w:rPr>
        <w:t>1.2.5.</w:t>
      </w:r>
    </w:p>
    <w:p>
      <w:pPr>
        <w:spacing w:after="0" w:line="240" w:lineRule="auto"/>
        <w:jc w:val="left"/>
        <w:rPr>
          <w:sz w:val="18"/>
        </w:rPr>
        <w:sectPr>
          <w:pgSz w:w="11910" w:h="16840"/>
          <w:pgMar w:top="0" w:bottom="280" w:left="300" w:right="280"/>
        </w:sectPr>
      </w:pPr>
    </w:p>
    <w:p>
      <w:pPr>
        <w:tabs>
          <w:tab w:pos="11052"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32160">
                <wp:simplePos x="0" y="0"/>
                <wp:positionH relativeFrom="page">
                  <wp:posOffset>-2</wp:posOffset>
                </wp:positionH>
                <wp:positionV relativeFrom="page">
                  <wp:posOffset>0</wp:posOffset>
                </wp:positionV>
                <wp:extent cx="7560309" cy="115506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7560309" cy="1155065"/>
                          <a:chExt cx="7560309" cy="1155065"/>
                        </a:xfrm>
                      </wpg:grpSpPr>
                      <wps:wsp>
                        <wps:cNvPr id="132" name="Graphic 132"/>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33" name="Graphic 133"/>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84320" id="docshapegroup83" coordorigin="0,0" coordsize="11906,1819">
                <v:shape style="position:absolute;left:0;top:0;width:11906;height:1819" id="docshape84"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Human Rights and Equality Developments i" w:id="10"/>
      <w:bookmarkEnd w:id="10"/>
      <w:r>
        <w:rPr/>
      </w:r>
      <w:bookmarkStart w:name="_bookmark4" w:id="11"/>
      <w:bookmarkEnd w:id="11"/>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10"/>
          <w:position w:val="-1"/>
          <w:sz w:val="28"/>
        </w:rPr>
        <w:t>7</w:t>
      </w:r>
    </w:p>
    <w:p>
      <w:pPr>
        <w:pStyle w:val="BodyText"/>
        <w:rPr>
          <w:b/>
        </w:rPr>
      </w:pPr>
    </w:p>
    <w:p>
      <w:pPr>
        <w:pStyle w:val="BodyText"/>
        <w:spacing w:before="48"/>
        <w:rPr>
          <w:b/>
        </w:rPr>
      </w:pPr>
    </w:p>
    <w:p>
      <w:pPr>
        <w:spacing w:line="232" w:lineRule="auto" w:before="0"/>
        <w:ind w:left="1117" w:right="738" w:firstLine="0"/>
        <w:jc w:val="left"/>
        <w:rPr>
          <w:sz w:val="28"/>
        </w:rPr>
      </w:pPr>
      <w:r>
        <w:rPr>
          <w:i/>
          <w:sz w:val="28"/>
        </w:rPr>
        <w:t>Legacy</w:t>
      </w:r>
      <w:r>
        <w:rPr>
          <w:i/>
          <w:spacing w:val="-4"/>
          <w:sz w:val="28"/>
        </w:rPr>
        <w:t> </w:t>
      </w:r>
      <w:r>
        <w:rPr>
          <w:i/>
          <w:sz w:val="28"/>
        </w:rPr>
        <w:t>Act</w:t>
      </w:r>
      <w:r>
        <w:rPr>
          <w:i/>
          <w:spacing w:val="-4"/>
          <w:sz w:val="28"/>
        </w:rPr>
        <w:t> </w:t>
      </w:r>
      <w:r>
        <w:rPr>
          <w:i/>
          <w:sz w:val="28"/>
        </w:rPr>
        <w:t>cases</w:t>
      </w:r>
      <w:r>
        <w:rPr>
          <w:i/>
          <w:spacing w:val="-4"/>
          <w:sz w:val="28"/>
        </w:rPr>
        <w:t> </w:t>
      </w:r>
      <w:r>
        <w:rPr>
          <w:i/>
          <w:sz w:val="28"/>
        </w:rPr>
        <w:t>(Dillon</w:t>
      </w:r>
      <w:r>
        <w:rPr>
          <w:i/>
          <w:spacing w:val="-4"/>
          <w:sz w:val="28"/>
        </w:rPr>
        <w:t> </w:t>
      </w:r>
      <w:r>
        <w:rPr>
          <w:i/>
          <w:sz w:val="28"/>
        </w:rPr>
        <w:t>and</w:t>
      </w:r>
      <w:r>
        <w:rPr>
          <w:i/>
          <w:spacing w:val="-4"/>
          <w:sz w:val="28"/>
        </w:rPr>
        <w:t> </w:t>
      </w:r>
      <w:r>
        <w:rPr>
          <w:i/>
          <w:sz w:val="28"/>
        </w:rPr>
        <w:t>others)</w:t>
      </w:r>
      <w:r>
        <w:rPr>
          <w:i/>
          <w:spacing w:val="-3"/>
          <w:sz w:val="28"/>
        </w:rPr>
        <w:t> </w:t>
      </w:r>
      <w:r>
        <w:rPr>
          <w:sz w:val="28"/>
        </w:rPr>
        <w:t>supports</w:t>
      </w:r>
      <w:r>
        <w:rPr>
          <w:spacing w:val="-4"/>
          <w:sz w:val="28"/>
        </w:rPr>
        <w:t> </w:t>
      </w:r>
      <w:r>
        <w:rPr>
          <w:sz w:val="28"/>
        </w:rPr>
        <w:t>the</w:t>
      </w:r>
      <w:r>
        <w:rPr>
          <w:spacing w:val="-4"/>
          <w:sz w:val="28"/>
        </w:rPr>
        <w:t> </w:t>
      </w:r>
      <w:r>
        <w:rPr>
          <w:sz w:val="28"/>
        </w:rPr>
        <w:t>proposition</w:t>
      </w:r>
      <w:r>
        <w:rPr>
          <w:spacing w:val="-4"/>
          <w:sz w:val="28"/>
        </w:rPr>
        <w:t> </w:t>
      </w:r>
      <w:r>
        <w:rPr>
          <w:sz w:val="28"/>
        </w:rPr>
        <w:t>that</w:t>
      </w:r>
      <w:r>
        <w:rPr>
          <w:spacing w:val="-4"/>
          <w:sz w:val="28"/>
        </w:rPr>
        <w:t> </w:t>
      </w:r>
      <w:r>
        <w:rPr>
          <w:sz w:val="28"/>
        </w:rPr>
        <w:t>Article</w:t>
      </w:r>
      <w:r>
        <w:rPr>
          <w:spacing w:val="-4"/>
          <w:sz w:val="28"/>
        </w:rPr>
        <w:t> </w:t>
      </w:r>
      <w:r>
        <w:rPr>
          <w:sz w:val="28"/>
        </w:rPr>
        <w:t>2</w:t>
      </w:r>
      <w:r>
        <w:rPr>
          <w:spacing w:val="-4"/>
          <w:sz w:val="28"/>
        </w:rPr>
        <w:t> </w:t>
      </w:r>
      <w:r>
        <w:rPr>
          <w:sz w:val="28"/>
        </w:rPr>
        <w:t>WF</w:t>
      </w:r>
      <w:r>
        <w:rPr>
          <w:spacing w:val="-4"/>
          <w:sz w:val="28"/>
        </w:rPr>
        <w:t> </w:t>
      </w:r>
      <w:r>
        <w:rPr>
          <w:sz w:val="28"/>
        </w:rPr>
        <w:t>and the 1998 Agreement require a ‘generous and purposive’ interpretation.</w:t>
      </w:r>
      <w:r>
        <w:rPr>
          <w:sz w:val="28"/>
          <w:vertAlign w:val="superscript"/>
        </w:rPr>
        <w:t>10</w:t>
      </w:r>
    </w:p>
    <w:p>
      <w:pPr>
        <w:pStyle w:val="BodyText"/>
        <w:spacing w:before="55"/>
      </w:pPr>
    </w:p>
    <w:p>
      <w:pPr>
        <w:pStyle w:val="Heading2"/>
        <w:spacing w:line="208" w:lineRule="auto"/>
        <w:ind w:left="1117" w:right="738" w:firstLine="0"/>
      </w:pPr>
      <w:r>
        <w:rPr>
          <w:color w:val="004A93"/>
        </w:rPr>
        <w:t>Human</w:t>
      </w:r>
      <w:r>
        <w:rPr>
          <w:color w:val="004A93"/>
          <w:spacing w:val="-6"/>
        </w:rPr>
        <w:t> </w:t>
      </w:r>
      <w:r>
        <w:rPr>
          <w:color w:val="004A93"/>
        </w:rPr>
        <w:t>Rights</w:t>
      </w:r>
      <w:r>
        <w:rPr>
          <w:color w:val="004A93"/>
          <w:spacing w:val="-6"/>
        </w:rPr>
        <w:t> </w:t>
      </w:r>
      <w:r>
        <w:rPr>
          <w:color w:val="004A93"/>
        </w:rPr>
        <w:t>and</w:t>
      </w:r>
      <w:r>
        <w:rPr>
          <w:color w:val="004A93"/>
          <w:spacing w:val="-6"/>
        </w:rPr>
        <w:t> </w:t>
      </w:r>
      <w:r>
        <w:rPr>
          <w:color w:val="004A93"/>
        </w:rPr>
        <w:t>Equality</w:t>
      </w:r>
      <w:r>
        <w:rPr>
          <w:color w:val="004A93"/>
          <w:spacing w:val="-6"/>
        </w:rPr>
        <w:t> </w:t>
      </w:r>
      <w:r>
        <w:rPr>
          <w:color w:val="004A93"/>
        </w:rPr>
        <w:t>Developments</w:t>
      </w:r>
      <w:r>
        <w:rPr>
          <w:color w:val="004A93"/>
          <w:spacing w:val="-6"/>
        </w:rPr>
        <w:t> </w:t>
      </w:r>
      <w:r>
        <w:rPr>
          <w:color w:val="004A93"/>
        </w:rPr>
        <w:t>in</w:t>
      </w:r>
      <w:r>
        <w:rPr>
          <w:color w:val="004A93"/>
          <w:spacing w:val="-6"/>
        </w:rPr>
        <w:t> </w:t>
      </w:r>
      <w:r>
        <w:rPr>
          <w:color w:val="004A93"/>
        </w:rPr>
        <w:t>Northern</w:t>
      </w:r>
      <w:r>
        <w:rPr>
          <w:color w:val="004A93"/>
          <w:spacing w:val="-6"/>
        </w:rPr>
        <w:t> </w:t>
      </w:r>
      <w:r>
        <w:rPr>
          <w:color w:val="004A93"/>
        </w:rPr>
        <w:t>Ireland</w:t>
      </w:r>
      <w:r>
        <w:rPr>
          <w:color w:val="004A93"/>
          <w:spacing w:val="-6"/>
        </w:rPr>
        <w:t> </w:t>
      </w:r>
      <w:r>
        <w:rPr>
          <w:color w:val="004A93"/>
        </w:rPr>
        <w:t>and</w:t>
      </w:r>
      <w:r>
        <w:rPr>
          <w:color w:val="004A93"/>
          <w:spacing w:val="-6"/>
        </w:rPr>
        <w:t> </w:t>
      </w:r>
      <w:r>
        <w:rPr>
          <w:color w:val="004A93"/>
        </w:rPr>
        <w:t>the United Kingdom since January 2022 and the Risk of Divergence</w:t>
      </w:r>
    </w:p>
    <w:p>
      <w:pPr>
        <w:pStyle w:val="BodyText"/>
        <w:spacing w:before="8"/>
        <w:rPr>
          <w:b/>
          <w:sz w:val="6"/>
        </w:rPr>
      </w:pPr>
      <w:r>
        <w:rPr/>
        <mc:AlternateContent>
          <mc:Choice Requires="wps">
            <w:drawing>
              <wp:anchor distT="0" distB="0" distL="0" distR="0" allowOverlap="1" layoutInCell="1" locked="0" behindDoc="1" simplePos="0" relativeHeight="487612928">
                <wp:simplePos x="0" y="0"/>
                <wp:positionH relativeFrom="page">
                  <wp:posOffset>899999</wp:posOffset>
                </wp:positionH>
                <wp:positionV relativeFrom="paragraph">
                  <wp:posOffset>67285</wp:posOffset>
                </wp:positionV>
                <wp:extent cx="6012180"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5.298053pt;width:473.4pt;height:.1pt;mso-position-horizontal-relative:page;mso-position-vertical-relative:paragraph;z-index:-15703552;mso-wrap-distance-left:0;mso-wrap-distance-right:0" id="docshape85" coordorigin="1417,106" coordsize="9468,0" path="m1417,106l10885,106e" filled="false" stroked="true" strokeweight="1pt" strokecolor="#36a9e1">
                <v:path arrowok="t"/>
                <v:stroke dashstyle="solid"/>
                <w10:wrap type="topAndBottom"/>
              </v:shape>
            </w:pict>
          </mc:Fallback>
        </mc:AlternateContent>
      </w:r>
    </w:p>
    <w:p>
      <w:pPr>
        <w:pStyle w:val="BodyText"/>
        <w:spacing w:line="232" w:lineRule="auto" w:before="108"/>
        <w:ind w:left="1117" w:right="738"/>
      </w:pPr>
      <w:r>
        <w:rPr/>
        <w:t>In Northern Ireland the institutions had been non-operational for most of the period under review and so there are few developments to comment on. One significant</w:t>
      </w:r>
      <w:r>
        <w:rPr>
          <w:spacing w:val="-7"/>
        </w:rPr>
        <w:t> </w:t>
      </w:r>
      <w:r>
        <w:rPr/>
        <w:t>development</w:t>
      </w:r>
      <w:r>
        <w:rPr>
          <w:spacing w:val="-7"/>
        </w:rPr>
        <w:t> </w:t>
      </w:r>
      <w:r>
        <w:rPr/>
        <w:t>was</w:t>
      </w:r>
      <w:r>
        <w:rPr>
          <w:spacing w:val="-8"/>
        </w:rPr>
        <w:t> </w:t>
      </w:r>
      <w:r>
        <w:rPr/>
        <w:t>the</w:t>
      </w:r>
      <w:r>
        <w:rPr>
          <w:spacing w:val="-7"/>
        </w:rPr>
        <w:t> </w:t>
      </w:r>
      <w:r>
        <w:rPr/>
        <w:t>consultation</w:t>
      </w:r>
      <w:r>
        <w:rPr>
          <w:spacing w:val="-8"/>
        </w:rPr>
        <w:t> </w:t>
      </w:r>
      <w:r>
        <w:rPr/>
        <w:t>on</w:t>
      </w:r>
      <w:r>
        <w:rPr>
          <w:spacing w:val="-8"/>
        </w:rPr>
        <w:t> </w:t>
      </w:r>
      <w:r>
        <w:rPr/>
        <w:t>the</w:t>
      </w:r>
      <w:r>
        <w:rPr>
          <w:spacing w:val="-7"/>
        </w:rPr>
        <w:t> </w:t>
      </w:r>
      <w:r>
        <w:rPr/>
        <w:t>reform</w:t>
      </w:r>
      <w:r>
        <w:rPr>
          <w:spacing w:val="-7"/>
        </w:rPr>
        <w:t> </w:t>
      </w:r>
      <w:r>
        <w:rPr/>
        <w:t>of</w:t>
      </w:r>
      <w:r>
        <w:rPr>
          <w:spacing w:val="-8"/>
        </w:rPr>
        <w:t> </w:t>
      </w:r>
      <w:r>
        <w:rPr/>
        <w:t>the</w:t>
      </w:r>
      <w:r>
        <w:rPr>
          <w:spacing w:val="-7"/>
        </w:rPr>
        <w:t> </w:t>
      </w:r>
      <w:r>
        <w:rPr/>
        <w:t>Race</w:t>
      </w:r>
      <w:r>
        <w:rPr>
          <w:spacing w:val="-7"/>
        </w:rPr>
        <w:t> </w:t>
      </w:r>
      <w:r>
        <w:rPr/>
        <w:t>Relations Order. This was a welcome initiative during a moribund period though the consultation</w:t>
      </w:r>
      <w:r>
        <w:rPr>
          <w:spacing w:val="-4"/>
        </w:rPr>
        <w:t> </w:t>
      </w:r>
      <w:r>
        <w:rPr/>
        <w:t>did</w:t>
      </w:r>
      <w:r>
        <w:rPr>
          <w:spacing w:val="-4"/>
        </w:rPr>
        <w:t> </w:t>
      </w:r>
      <w:r>
        <w:rPr/>
        <w:t>not</w:t>
      </w:r>
      <w:r>
        <w:rPr>
          <w:spacing w:val="-3"/>
        </w:rPr>
        <w:t> </w:t>
      </w:r>
      <w:r>
        <w:rPr/>
        <w:t>adequately</w:t>
      </w:r>
      <w:r>
        <w:rPr>
          <w:spacing w:val="-3"/>
        </w:rPr>
        <w:t> </w:t>
      </w:r>
      <w:r>
        <w:rPr/>
        <w:t>consider</w:t>
      </w:r>
      <w:r>
        <w:rPr>
          <w:spacing w:val="-3"/>
        </w:rPr>
        <w:t> </w:t>
      </w:r>
      <w:r>
        <w:rPr/>
        <w:t>Article</w:t>
      </w:r>
      <w:r>
        <w:rPr>
          <w:spacing w:val="-3"/>
        </w:rPr>
        <w:t> </w:t>
      </w:r>
      <w:r>
        <w:rPr/>
        <w:t>2</w:t>
      </w:r>
      <w:r>
        <w:rPr>
          <w:spacing w:val="-3"/>
        </w:rPr>
        <w:t> </w:t>
      </w:r>
      <w:r>
        <w:rPr/>
        <w:t>WF</w:t>
      </w:r>
      <w:r>
        <w:rPr>
          <w:spacing w:val="-4"/>
        </w:rPr>
        <w:t> </w:t>
      </w:r>
      <w:r>
        <w:rPr/>
        <w:t>or</w:t>
      </w:r>
      <w:r>
        <w:rPr>
          <w:spacing w:val="-3"/>
        </w:rPr>
        <w:t> </w:t>
      </w:r>
      <w:r>
        <w:rPr/>
        <w:t>EU</w:t>
      </w:r>
      <w:r>
        <w:rPr>
          <w:spacing w:val="-3"/>
        </w:rPr>
        <w:t> </w:t>
      </w:r>
      <w:r>
        <w:rPr/>
        <w:t>developments</w:t>
      </w:r>
      <w:r>
        <w:rPr>
          <w:spacing w:val="-4"/>
        </w:rPr>
        <w:t> </w:t>
      </w:r>
      <w:r>
        <w:rPr/>
        <w:t>or</w:t>
      </w:r>
      <w:r>
        <w:rPr>
          <w:spacing w:val="-3"/>
        </w:rPr>
        <w:t> </w:t>
      </w:r>
      <w:r>
        <w:rPr/>
        <w:t>the current review of Irish equality legislation.</w:t>
      </w:r>
    </w:p>
    <w:p>
      <w:pPr>
        <w:pStyle w:val="BodyText"/>
        <w:spacing w:before="10"/>
        <w:rPr>
          <w:sz w:val="19"/>
        </w:rPr>
      </w:pPr>
      <w:r>
        <w:rPr/>
        <mc:AlternateContent>
          <mc:Choice Requires="wps">
            <w:drawing>
              <wp:anchor distT="0" distB="0" distL="0" distR="0" allowOverlap="1" layoutInCell="1" locked="0" behindDoc="1" simplePos="0" relativeHeight="487613440">
                <wp:simplePos x="0" y="0"/>
                <wp:positionH relativeFrom="page">
                  <wp:posOffset>899994</wp:posOffset>
                </wp:positionH>
                <wp:positionV relativeFrom="paragraph">
                  <wp:posOffset>169040</wp:posOffset>
                </wp:positionV>
                <wp:extent cx="6012180" cy="813435"/>
                <wp:effectExtent l="0" t="0" r="0" b="0"/>
                <wp:wrapTopAndBottom/>
                <wp:docPr id="135" name="Group 135"/>
                <wp:cNvGraphicFramePr>
                  <a:graphicFrameLocks/>
                </wp:cNvGraphicFramePr>
                <a:graphic>
                  <a:graphicData uri="http://schemas.microsoft.com/office/word/2010/wordprocessingGroup">
                    <wpg:wgp>
                      <wpg:cNvPr id="135" name="Group 135"/>
                      <wpg:cNvGrpSpPr/>
                      <wpg:grpSpPr>
                        <a:xfrm>
                          <a:off x="0" y="0"/>
                          <a:ext cx="6012180" cy="813435"/>
                          <a:chExt cx="6012180" cy="813435"/>
                        </a:xfrm>
                      </wpg:grpSpPr>
                      <wps:wsp>
                        <wps:cNvPr id="136" name="Graphic 136"/>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37" name="Textbox 137"/>
                        <wps:cNvSpPr txBox="1"/>
                        <wps:spPr>
                          <a:xfrm>
                            <a:off x="0" y="0"/>
                            <a:ext cx="6012180" cy="813435"/>
                          </a:xfrm>
                          <a:prstGeom prst="rect">
                            <a:avLst/>
                          </a:prstGeom>
                        </wps:spPr>
                        <wps:txbx>
                          <w:txbxContent>
                            <w:p>
                              <w:pPr>
                                <w:spacing w:line="232" w:lineRule="auto" w:before="121"/>
                                <w:ind w:left="340" w:right="216" w:firstLine="0"/>
                                <w:jc w:val="both"/>
                                <w:rPr>
                                  <w:b/>
                                  <w:sz w:val="28"/>
                                </w:rPr>
                              </w:pPr>
                              <w:r>
                                <w:rPr>
                                  <w:b/>
                                  <w:color w:val="164194"/>
                                  <w:sz w:val="28"/>
                                </w:rPr>
                                <w:t>We</w:t>
                              </w:r>
                              <w:r>
                                <w:rPr>
                                  <w:b/>
                                  <w:color w:val="164194"/>
                                  <w:spacing w:val="-12"/>
                                  <w:sz w:val="28"/>
                                </w:rPr>
                                <w:t> </w:t>
                              </w:r>
                              <w:r>
                                <w:rPr>
                                  <w:b/>
                                  <w:color w:val="164194"/>
                                  <w:sz w:val="28"/>
                                </w:rPr>
                                <w:t>recommend</w:t>
                              </w:r>
                              <w:r>
                                <w:rPr>
                                  <w:b/>
                                  <w:color w:val="164194"/>
                                  <w:spacing w:val="-11"/>
                                  <w:sz w:val="28"/>
                                </w:rPr>
                                <w:t> </w:t>
                              </w:r>
                              <w:r>
                                <w:rPr>
                                  <w:b/>
                                  <w:color w:val="164194"/>
                                  <w:sz w:val="28"/>
                                </w:rPr>
                                <w:t>that</w:t>
                              </w:r>
                              <w:r>
                                <w:rPr>
                                  <w:b/>
                                  <w:color w:val="164194"/>
                                  <w:spacing w:val="-11"/>
                                  <w:sz w:val="28"/>
                                </w:rPr>
                                <w:t> </w:t>
                              </w:r>
                              <w:r>
                                <w:rPr>
                                  <w:b/>
                                  <w:color w:val="164194"/>
                                  <w:sz w:val="28"/>
                                </w:rPr>
                                <w:t>the</w:t>
                              </w:r>
                              <w:r>
                                <w:rPr>
                                  <w:b/>
                                  <w:color w:val="164194"/>
                                  <w:spacing w:val="-12"/>
                                  <w:sz w:val="28"/>
                                </w:rPr>
                                <w:t> </w:t>
                              </w:r>
                              <w:r>
                                <w:rPr>
                                  <w:b/>
                                  <w:color w:val="164194"/>
                                  <w:sz w:val="28"/>
                                </w:rPr>
                                <w:t>Executive</w:t>
                              </w:r>
                              <w:r>
                                <w:rPr>
                                  <w:b/>
                                  <w:color w:val="164194"/>
                                  <w:spacing w:val="-12"/>
                                  <w:sz w:val="28"/>
                                </w:rPr>
                                <w:t> </w:t>
                              </w:r>
                              <w:r>
                                <w:rPr>
                                  <w:b/>
                                  <w:color w:val="164194"/>
                                  <w:sz w:val="28"/>
                                </w:rPr>
                                <w:t>Office</w:t>
                              </w:r>
                              <w:r>
                                <w:rPr>
                                  <w:b/>
                                  <w:color w:val="164194"/>
                                  <w:spacing w:val="-12"/>
                                  <w:sz w:val="28"/>
                                </w:rPr>
                                <w:t> </w:t>
                              </w:r>
                              <w:r>
                                <w:rPr>
                                  <w:b/>
                                  <w:color w:val="164194"/>
                                  <w:sz w:val="28"/>
                                </w:rPr>
                                <w:t>explicitly</w:t>
                              </w:r>
                              <w:r>
                                <w:rPr>
                                  <w:b/>
                                  <w:color w:val="164194"/>
                                  <w:spacing w:val="-11"/>
                                  <w:sz w:val="28"/>
                                </w:rPr>
                                <w:t> </w:t>
                              </w:r>
                              <w:r>
                                <w:rPr>
                                  <w:b/>
                                  <w:color w:val="164194"/>
                                  <w:sz w:val="28"/>
                                </w:rPr>
                                <w:t>refer</w:t>
                              </w:r>
                              <w:r>
                                <w:rPr>
                                  <w:b/>
                                  <w:color w:val="164194"/>
                                  <w:spacing w:val="-12"/>
                                  <w:sz w:val="28"/>
                                </w:rPr>
                                <w:t> </w:t>
                              </w:r>
                              <w:r>
                                <w:rPr>
                                  <w:b/>
                                  <w:color w:val="164194"/>
                                  <w:sz w:val="28"/>
                                </w:rPr>
                                <w:t>to,</w:t>
                              </w:r>
                              <w:r>
                                <w:rPr>
                                  <w:b/>
                                  <w:color w:val="164194"/>
                                  <w:spacing w:val="-11"/>
                                  <w:sz w:val="28"/>
                                </w:rPr>
                                <w:t> </w:t>
                              </w:r>
                              <w:r>
                                <w:rPr>
                                  <w:b/>
                                  <w:color w:val="164194"/>
                                  <w:sz w:val="28"/>
                                </w:rPr>
                                <w:t>and</w:t>
                              </w:r>
                              <w:r>
                                <w:rPr>
                                  <w:b/>
                                  <w:color w:val="164194"/>
                                  <w:spacing w:val="-11"/>
                                  <w:sz w:val="28"/>
                                </w:rPr>
                                <w:t> </w:t>
                              </w:r>
                              <w:r>
                                <w:rPr>
                                  <w:b/>
                                  <w:color w:val="164194"/>
                                  <w:sz w:val="28"/>
                                </w:rPr>
                                <w:t>consider,</w:t>
                              </w:r>
                              <w:r>
                                <w:rPr>
                                  <w:b/>
                                  <w:color w:val="164194"/>
                                  <w:spacing w:val="-11"/>
                                  <w:sz w:val="28"/>
                                </w:rPr>
                                <w:t> </w:t>
                              </w:r>
                              <w:r>
                                <w:rPr>
                                  <w:b/>
                                  <w:color w:val="164194"/>
                                  <w:sz w:val="28"/>
                                </w:rPr>
                                <w:t>the Windsor</w:t>
                              </w:r>
                              <w:r>
                                <w:rPr>
                                  <w:b/>
                                  <w:color w:val="164194"/>
                                  <w:spacing w:val="-7"/>
                                  <w:sz w:val="28"/>
                                </w:rPr>
                                <w:t> </w:t>
                              </w:r>
                              <w:r>
                                <w:rPr>
                                  <w:b/>
                                  <w:color w:val="164194"/>
                                  <w:sz w:val="28"/>
                                </w:rPr>
                                <w:t>Framework</w:t>
                              </w:r>
                              <w:r>
                                <w:rPr>
                                  <w:b/>
                                  <w:color w:val="164194"/>
                                  <w:spacing w:val="-7"/>
                                  <w:sz w:val="28"/>
                                </w:rPr>
                                <w:t> </w:t>
                              </w:r>
                              <w:r>
                                <w:rPr>
                                  <w:b/>
                                  <w:color w:val="164194"/>
                                  <w:sz w:val="28"/>
                                </w:rPr>
                                <w:t>obligations</w:t>
                              </w:r>
                              <w:r>
                                <w:rPr>
                                  <w:b/>
                                  <w:color w:val="164194"/>
                                  <w:spacing w:val="-6"/>
                                  <w:sz w:val="28"/>
                                </w:rPr>
                                <w:t> </w:t>
                              </w:r>
                              <w:r>
                                <w:rPr>
                                  <w:b/>
                                  <w:color w:val="164194"/>
                                  <w:sz w:val="28"/>
                                </w:rPr>
                                <w:t>in</w:t>
                              </w:r>
                              <w:r>
                                <w:rPr>
                                  <w:b/>
                                  <w:color w:val="164194"/>
                                  <w:spacing w:val="-6"/>
                                  <w:sz w:val="28"/>
                                </w:rPr>
                                <w:t> </w:t>
                              </w:r>
                              <w:r>
                                <w:rPr>
                                  <w:b/>
                                  <w:color w:val="164194"/>
                                  <w:sz w:val="28"/>
                                </w:rPr>
                                <w:t>its</w:t>
                              </w:r>
                              <w:r>
                                <w:rPr>
                                  <w:b/>
                                  <w:color w:val="164194"/>
                                  <w:spacing w:val="-6"/>
                                  <w:sz w:val="28"/>
                                </w:rPr>
                                <w:t> </w:t>
                              </w:r>
                              <w:r>
                                <w:rPr>
                                  <w:b/>
                                  <w:color w:val="164194"/>
                                  <w:sz w:val="28"/>
                                </w:rPr>
                                <w:t>work</w:t>
                              </w:r>
                              <w:r>
                                <w:rPr>
                                  <w:b/>
                                  <w:color w:val="164194"/>
                                  <w:spacing w:val="-7"/>
                                  <w:sz w:val="28"/>
                                </w:rPr>
                                <w:t> </w:t>
                              </w:r>
                              <w:r>
                                <w:rPr>
                                  <w:b/>
                                  <w:color w:val="164194"/>
                                  <w:sz w:val="28"/>
                                </w:rPr>
                                <w:t>on</w:t>
                              </w:r>
                              <w:r>
                                <w:rPr>
                                  <w:b/>
                                  <w:color w:val="164194"/>
                                  <w:spacing w:val="-6"/>
                                  <w:sz w:val="28"/>
                                </w:rPr>
                                <w:t> </w:t>
                              </w:r>
                              <w:r>
                                <w:rPr>
                                  <w:b/>
                                  <w:color w:val="164194"/>
                                  <w:sz w:val="28"/>
                                </w:rPr>
                                <w:t>the</w:t>
                              </w:r>
                              <w:r>
                                <w:rPr>
                                  <w:b/>
                                  <w:color w:val="164194"/>
                                  <w:spacing w:val="-7"/>
                                  <w:sz w:val="28"/>
                                </w:rPr>
                                <w:t> </w:t>
                              </w:r>
                              <w:r>
                                <w:rPr>
                                  <w:b/>
                                  <w:color w:val="164194"/>
                                  <w:sz w:val="28"/>
                                </w:rPr>
                                <w:t>Race</w:t>
                              </w:r>
                              <w:r>
                                <w:rPr>
                                  <w:b/>
                                  <w:color w:val="164194"/>
                                  <w:spacing w:val="-7"/>
                                  <w:sz w:val="28"/>
                                </w:rPr>
                                <w:t> </w:t>
                              </w:r>
                              <w:r>
                                <w:rPr>
                                  <w:b/>
                                  <w:color w:val="164194"/>
                                  <w:sz w:val="28"/>
                                </w:rPr>
                                <w:t>Relations</w:t>
                              </w:r>
                              <w:r>
                                <w:rPr>
                                  <w:b/>
                                  <w:color w:val="164194"/>
                                  <w:spacing w:val="-6"/>
                                  <w:sz w:val="28"/>
                                </w:rPr>
                                <w:t> </w:t>
                              </w:r>
                              <w:r>
                                <w:rPr>
                                  <w:b/>
                                  <w:color w:val="164194"/>
                                  <w:sz w:val="28"/>
                                </w:rPr>
                                <w:t>Order.</w:t>
                              </w:r>
                              <w:r>
                                <w:rPr>
                                  <w:b/>
                                  <w:color w:val="164194"/>
                                  <w:spacing w:val="-7"/>
                                  <w:sz w:val="28"/>
                                </w:rPr>
                                <w:t> </w:t>
                              </w:r>
                              <w:r>
                                <w:rPr>
                                  <w:b/>
                                  <w:color w:val="164194"/>
                                  <w:sz w:val="28"/>
                                </w:rPr>
                                <w:t>This should include reference to relevant CJEU case law.</w:t>
                              </w:r>
                            </w:p>
                          </w:txbxContent>
                        </wps:txbx>
                        <wps:bodyPr wrap="square" lIns="0" tIns="0" rIns="0" bIns="0" rtlCol="0">
                          <a:noAutofit/>
                        </wps:bodyPr>
                      </wps:wsp>
                    </wpg:wgp>
                  </a:graphicData>
                </a:graphic>
              </wp:anchor>
            </w:drawing>
          </mc:Choice>
          <mc:Fallback>
            <w:pict>
              <v:group style="position:absolute;margin-left:70.8657pt;margin-top:13.310309pt;width:473.4pt;height:64.05pt;mso-position-horizontal-relative:page;mso-position-vertical-relative:paragraph;z-index:-15703040;mso-wrap-distance-left:0;mso-wrap-distance-right:0" id="docshapegroup86" coordorigin="1417,266" coordsize="9468,1281">
                <v:shape style="position:absolute;left:1417;top:266;width:9468;height:1281" id="docshape87" coordorigin="1417,266" coordsize="9468,1281" path="m10658,266l1644,266,1572,278,1510,310,1461,359,1429,421,1417,493,1417,1320,1429,1391,1461,1454,1510,1503,1572,1535,1644,1546,10658,1546,10730,1535,10792,1503,10841,1454,10873,1391,10885,1320,10885,493,10873,421,10841,359,10792,310,10730,278,10658,266xe" filled="true" fillcolor="#e9f3fc" stroked="false">
                  <v:path arrowok="t"/>
                  <v:fill type="solid"/>
                </v:shape>
                <v:shape style="position:absolute;left:1417;top:266;width:9468;height:1281" type="#_x0000_t202" id="docshape88" filled="false" stroked="false">
                  <v:textbox inset="0,0,0,0">
                    <w:txbxContent>
                      <w:p>
                        <w:pPr>
                          <w:spacing w:line="232" w:lineRule="auto" w:before="121"/>
                          <w:ind w:left="340" w:right="216" w:firstLine="0"/>
                          <w:jc w:val="both"/>
                          <w:rPr>
                            <w:b/>
                            <w:sz w:val="28"/>
                          </w:rPr>
                        </w:pPr>
                        <w:r>
                          <w:rPr>
                            <w:b/>
                            <w:color w:val="164194"/>
                            <w:sz w:val="28"/>
                          </w:rPr>
                          <w:t>We</w:t>
                        </w:r>
                        <w:r>
                          <w:rPr>
                            <w:b/>
                            <w:color w:val="164194"/>
                            <w:spacing w:val="-12"/>
                            <w:sz w:val="28"/>
                          </w:rPr>
                          <w:t> </w:t>
                        </w:r>
                        <w:r>
                          <w:rPr>
                            <w:b/>
                            <w:color w:val="164194"/>
                            <w:sz w:val="28"/>
                          </w:rPr>
                          <w:t>recommend</w:t>
                        </w:r>
                        <w:r>
                          <w:rPr>
                            <w:b/>
                            <w:color w:val="164194"/>
                            <w:spacing w:val="-11"/>
                            <w:sz w:val="28"/>
                          </w:rPr>
                          <w:t> </w:t>
                        </w:r>
                        <w:r>
                          <w:rPr>
                            <w:b/>
                            <w:color w:val="164194"/>
                            <w:sz w:val="28"/>
                          </w:rPr>
                          <w:t>that</w:t>
                        </w:r>
                        <w:r>
                          <w:rPr>
                            <w:b/>
                            <w:color w:val="164194"/>
                            <w:spacing w:val="-11"/>
                            <w:sz w:val="28"/>
                          </w:rPr>
                          <w:t> </w:t>
                        </w:r>
                        <w:r>
                          <w:rPr>
                            <w:b/>
                            <w:color w:val="164194"/>
                            <w:sz w:val="28"/>
                          </w:rPr>
                          <w:t>the</w:t>
                        </w:r>
                        <w:r>
                          <w:rPr>
                            <w:b/>
                            <w:color w:val="164194"/>
                            <w:spacing w:val="-12"/>
                            <w:sz w:val="28"/>
                          </w:rPr>
                          <w:t> </w:t>
                        </w:r>
                        <w:r>
                          <w:rPr>
                            <w:b/>
                            <w:color w:val="164194"/>
                            <w:sz w:val="28"/>
                          </w:rPr>
                          <w:t>Executive</w:t>
                        </w:r>
                        <w:r>
                          <w:rPr>
                            <w:b/>
                            <w:color w:val="164194"/>
                            <w:spacing w:val="-12"/>
                            <w:sz w:val="28"/>
                          </w:rPr>
                          <w:t> </w:t>
                        </w:r>
                        <w:r>
                          <w:rPr>
                            <w:b/>
                            <w:color w:val="164194"/>
                            <w:sz w:val="28"/>
                          </w:rPr>
                          <w:t>Office</w:t>
                        </w:r>
                        <w:r>
                          <w:rPr>
                            <w:b/>
                            <w:color w:val="164194"/>
                            <w:spacing w:val="-12"/>
                            <w:sz w:val="28"/>
                          </w:rPr>
                          <w:t> </w:t>
                        </w:r>
                        <w:r>
                          <w:rPr>
                            <w:b/>
                            <w:color w:val="164194"/>
                            <w:sz w:val="28"/>
                          </w:rPr>
                          <w:t>explicitly</w:t>
                        </w:r>
                        <w:r>
                          <w:rPr>
                            <w:b/>
                            <w:color w:val="164194"/>
                            <w:spacing w:val="-11"/>
                            <w:sz w:val="28"/>
                          </w:rPr>
                          <w:t> </w:t>
                        </w:r>
                        <w:r>
                          <w:rPr>
                            <w:b/>
                            <w:color w:val="164194"/>
                            <w:sz w:val="28"/>
                          </w:rPr>
                          <w:t>refer</w:t>
                        </w:r>
                        <w:r>
                          <w:rPr>
                            <w:b/>
                            <w:color w:val="164194"/>
                            <w:spacing w:val="-12"/>
                            <w:sz w:val="28"/>
                          </w:rPr>
                          <w:t> </w:t>
                        </w:r>
                        <w:r>
                          <w:rPr>
                            <w:b/>
                            <w:color w:val="164194"/>
                            <w:sz w:val="28"/>
                          </w:rPr>
                          <w:t>to,</w:t>
                        </w:r>
                        <w:r>
                          <w:rPr>
                            <w:b/>
                            <w:color w:val="164194"/>
                            <w:spacing w:val="-11"/>
                            <w:sz w:val="28"/>
                          </w:rPr>
                          <w:t> </w:t>
                        </w:r>
                        <w:r>
                          <w:rPr>
                            <w:b/>
                            <w:color w:val="164194"/>
                            <w:sz w:val="28"/>
                          </w:rPr>
                          <w:t>and</w:t>
                        </w:r>
                        <w:r>
                          <w:rPr>
                            <w:b/>
                            <w:color w:val="164194"/>
                            <w:spacing w:val="-11"/>
                            <w:sz w:val="28"/>
                          </w:rPr>
                          <w:t> </w:t>
                        </w:r>
                        <w:r>
                          <w:rPr>
                            <w:b/>
                            <w:color w:val="164194"/>
                            <w:sz w:val="28"/>
                          </w:rPr>
                          <w:t>consider,</w:t>
                        </w:r>
                        <w:r>
                          <w:rPr>
                            <w:b/>
                            <w:color w:val="164194"/>
                            <w:spacing w:val="-11"/>
                            <w:sz w:val="28"/>
                          </w:rPr>
                          <w:t> </w:t>
                        </w:r>
                        <w:r>
                          <w:rPr>
                            <w:b/>
                            <w:color w:val="164194"/>
                            <w:sz w:val="28"/>
                          </w:rPr>
                          <w:t>the Windsor</w:t>
                        </w:r>
                        <w:r>
                          <w:rPr>
                            <w:b/>
                            <w:color w:val="164194"/>
                            <w:spacing w:val="-7"/>
                            <w:sz w:val="28"/>
                          </w:rPr>
                          <w:t> </w:t>
                        </w:r>
                        <w:r>
                          <w:rPr>
                            <w:b/>
                            <w:color w:val="164194"/>
                            <w:sz w:val="28"/>
                          </w:rPr>
                          <w:t>Framework</w:t>
                        </w:r>
                        <w:r>
                          <w:rPr>
                            <w:b/>
                            <w:color w:val="164194"/>
                            <w:spacing w:val="-7"/>
                            <w:sz w:val="28"/>
                          </w:rPr>
                          <w:t> </w:t>
                        </w:r>
                        <w:r>
                          <w:rPr>
                            <w:b/>
                            <w:color w:val="164194"/>
                            <w:sz w:val="28"/>
                          </w:rPr>
                          <w:t>obligations</w:t>
                        </w:r>
                        <w:r>
                          <w:rPr>
                            <w:b/>
                            <w:color w:val="164194"/>
                            <w:spacing w:val="-6"/>
                            <w:sz w:val="28"/>
                          </w:rPr>
                          <w:t> </w:t>
                        </w:r>
                        <w:r>
                          <w:rPr>
                            <w:b/>
                            <w:color w:val="164194"/>
                            <w:sz w:val="28"/>
                          </w:rPr>
                          <w:t>in</w:t>
                        </w:r>
                        <w:r>
                          <w:rPr>
                            <w:b/>
                            <w:color w:val="164194"/>
                            <w:spacing w:val="-6"/>
                            <w:sz w:val="28"/>
                          </w:rPr>
                          <w:t> </w:t>
                        </w:r>
                        <w:r>
                          <w:rPr>
                            <w:b/>
                            <w:color w:val="164194"/>
                            <w:sz w:val="28"/>
                          </w:rPr>
                          <w:t>its</w:t>
                        </w:r>
                        <w:r>
                          <w:rPr>
                            <w:b/>
                            <w:color w:val="164194"/>
                            <w:spacing w:val="-6"/>
                            <w:sz w:val="28"/>
                          </w:rPr>
                          <w:t> </w:t>
                        </w:r>
                        <w:r>
                          <w:rPr>
                            <w:b/>
                            <w:color w:val="164194"/>
                            <w:sz w:val="28"/>
                          </w:rPr>
                          <w:t>work</w:t>
                        </w:r>
                        <w:r>
                          <w:rPr>
                            <w:b/>
                            <w:color w:val="164194"/>
                            <w:spacing w:val="-7"/>
                            <w:sz w:val="28"/>
                          </w:rPr>
                          <w:t> </w:t>
                        </w:r>
                        <w:r>
                          <w:rPr>
                            <w:b/>
                            <w:color w:val="164194"/>
                            <w:sz w:val="28"/>
                          </w:rPr>
                          <w:t>on</w:t>
                        </w:r>
                        <w:r>
                          <w:rPr>
                            <w:b/>
                            <w:color w:val="164194"/>
                            <w:spacing w:val="-6"/>
                            <w:sz w:val="28"/>
                          </w:rPr>
                          <w:t> </w:t>
                        </w:r>
                        <w:r>
                          <w:rPr>
                            <w:b/>
                            <w:color w:val="164194"/>
                            <w:sz w:val="28"/>
                          </w:rPr>
                          <w:t>the</w:t>
                        </w:r>
                        <w:r>
                          <w:rPr>
                            <w:b/>
                            <w:color w:val="164194"/>
                            <w:spacing w:val="-7"/>
                            <w:sz w:val="28"/>
                          </w:rPr>
                          <w:t> </w:t>
                        </w:r>
                        <w:r>
                          <w:rPr>
                            <w:b/>
                            <w:color w:val="164194"/>
                            <w:sz w:val="28"/>
                          </w:rPr>
                          <w:t>Race</w:t>
                        </w:r>
                        <w:r>
                          <w:rPr>
                            <w:b/>
                            <w:color w:val="164194"/>
                            <w:spacing w:val="-7"/>
                            <w:sz w:val="28"/>
                          </w:rPr>
                          <w:t> </w:t>
                        </w:r>
                        <w:r>
                          <w:rPr>
                            <w:b/>
                            <w:color w:val="164194"/>
                            <w:sz w:val="28"/>
                          </w:rPr>
                          <w:t>Relations</w:t>
                        </w:r>
                        <w:r>
                          <w:rPr>
                            <w:b/>
                            <w:color w:val="164194"/>
                            <w:spacing w:val="-6"/>
                            <w:sz w:val="28"/>
                          </w:rPr>
                          <w:t> </w:t>
                        </w:r>
                        <w:r>
                          <w:rPr>
                            <w:b/>
                            <w:color w:val="164194"/>
                            <w:sz w:val="28"/>
                          </w:rPr>
                          <w:t>Order.</w:t>
                        </w:r>
                        <w:r>
                          <w:rPr>
                            <w:b/>
                            <w:color w:val="164194"/>
                            <w:spacing w:val="-7"/>
                            <w:sz w:val="28"/>
                          </w:rPr>
                          <w:t> </w:t>
                        </w:r>
                        <w:r>
                          <w:rPr>
                            <w:b/>
                            <w:color w:val="164194"/>
                            <w:sz w:val="28"/>
                          </w:rPr>
                          <w:t>This should include reference to relevant CJEU case law.</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3952">
                <wp:simplePos x="0" y="0"/>
                <wp:positionH relativeFrom="page">
                  <wp:posOffset>899994</wp:posOffset>
                </wp:positionH>
                <wp:positionV relativeFrom="paragraph">
                  <wp:posOffset>1121690</wp:posOffset>
                </wp:positionV>
                <wp:extent cx="6012180" cy="1232535"/>
                <wp:effectExtent l="0" t="0" r="0" b="0"/>
                <wp:wrapTopAndBottom/>
                <wp:docPr id="138" name="Group 138"/>
                <wp:cNvGraphicFramePr>
                  <a:graphicFrameLocks/>
                </wp:cNvGraphicFramePr>
                <a:graphic>
                  <a:graphicData uri="http://schemas.microsoft.com/office/word/2010/wordprocessingGroup">
                    <wpg:wgp>
                      <wpg:cNvPr id="138" name="Group 138"/>
                      <wpg:cNvGrpSpPr/>
                      <wpg:grpSpPr>
                        <a:xfrm>
                          <a:off x="0" y="0"/>
                          <a:ext cx="6012180" cy="1232535"/>
                          <a:chExt cx="6012180" cy="1232535"/>
                        </a:xfrm>
                      </wpg:grpSpPr>
                      <wps:wsp>
                        <wps:cNvPr id="139" name="Graphic 139"/>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40" name="Textbox 140"/>
                        <wps:cNvSpPr txBox="1"/>
                        <wps:spPr>
                          <a:xfrm>
                            <a:off x="0" y="0"/>
                            <a:ext cx="6012180" cy="123253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9"/>
                                  <w:sz w:val="28"/>
                                </w:rPr>
                                <w:t> </w:t>
                              </w:r>
                              <w:r>
                                <w:rPr>
                                  <w:b/>
                                  <w:color w:val="164194"/>
                                  <w:sz w:val="28"/>
                                </w:rPr>
                                <w:t>that</w:t>
                              </w:r>
                              <w:r>
                                <w:rPr>
                                  <w:b/>
                                  <w:color w:val="164194"/>
                                  <w:spacing w:val="-9"/>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and</w:t>
                              </w:r>
                              <w:r>
                                <w:rPr>
                                  <w:b/>
                                  <w:color w:val="164194"/>
                                  <w:spacing w:val="-9"/>
                                  <w:sz w:val="28"/>
                                </w:rPr>
                                <w:t> </w:t>
                              </w:r>
                              <w:r>
                                <w:rPr>
                                  <w:b/>
                                  <w:color w:val="164194"/>
                                  <w:sz w:val="28"/>
                                </w:rPr>
                                <w:t>other</w:t>
                              </w:r>
                              <w:r>
                                <w:rPr>
                                  <w:b/>
                                  <w:color w:val="164194"/>
                                  <w:spacing w:val="-10"/>
                                  <w:sz w:val="28"/>
                                </w:rPr>
                                <w:t> </w:t>
                              </w:r>
                              <w:r>
                                <w:rPr>
                                  <w:b/>
                                  <w:color w:val="164194"/>
                                  <w:sz w:val="28"/>
                                </w:rPr>
                                <w:t>relevant</w:t>
                              </w:r>
                              <w:r>
                                <w:rPr>
                                  <w:b/>
                                  <w:color w:val="164194"/>
                                  <w:spacing w:val="-9"/>
                                  <w:sz w:val="28"/>
                                </w:rPr>
                                <w:t> </w:t>
                              </w:r>
                              <w:r>
                                <w:rPr>
                                  <w:b/>
                                  <w:color w:val="164194"/>
                                  <w:sz w:val="28"/>
                                </w:rPr>
                                <w:t>NI</w:t>
                              </w:r>
                              <w:r>
                                <w:rPr>
                                  <w:b/>
                                  <w:color w:val="164194"/>
                                  <w:spacing w:val="-9"/>
                                  <w:sz w:val="28"/>
                                </w:rPr>
                                <w:t> </w:t>
                              </w:r>
                              <w:r>
                                <w:rPr>
                                  <w:b/>
                                  <w:color w:val="164194"/>
                                  <w:sz w:val="28"/>
                                </w:rPr>
                                <w:t>Departments consider any plans for amendments to EU law where they may trigger the keeping pace requirement because they amend or replace an Annex 1 directive</w:t>
                              </w:r>
                              <w:r>
                                <w:rPr>
                                  <w:b/>
                                  <w:color w:val="164194"/>
                                  <w:spacing w:val="-5"/>
                                  <w:sz w:val="28"/>
                                </w:rPr>
                                <w:t> </w:t>
                              </w:r>
                              <w:r>
                                <w:rPr>
                                  <w:b/>
                                  <w:color w:val="164194"/>
                                  <w:sz w:val="28"/>
                                </w:rPr>
                                <w:t>or</w:t>
                              </w:r>
                              <w:r>
                                <w:rPr>
                                  <w:b/>
                                  <w:color w:val="164194"/>
                                  <w:spacing w:val="-5"/>
                                  <w:sz w:val="28"/>
                                </w:rPr>
                                <w:t> </w:t>
                              </w:r>
                              <w:r>
                                <w:rPr>
                                  <w:b/>
                                  <w:color w:val="164194"/>
                                  <w:sz w:val="28"/>
                                </w:rPr>
                                <w:t>may</w:t>
                              </w:r>
                              <w:r>
                                <w:rPr>
                                  <w:b/>
                                  <w:color w:val="164194"/>
                                  <w:spacing w:val="-4"/>
                                  <w:sz w:val="28"/>
                                </w:rPr>
                                <w:t> </w:t>
                              </w:r>
                              <w:r>
                                <w:rPr>
                                  <w:b/>
                                  <w:color w:val="164194"/>
                                  <w:sz w:val="28"/>
                                </w:rPr>
                                <w:t>represent</w:t>
                              </w:r>
                              <w:r>
                                <w:rPr>
                                  <w:b/>
                                  <w:color w:val="164194"/>
                                  <w:spacing w:val="-4"/>
                                  <w:sz w:val="28"/>
                                </w:rPr>
                                <w:t> </w:t>
                              </w:r>
                              <w:r>
                                <w:rPr>
                                  <w:b/>
                                  <w:color w:val="164194"/>
                                  <w:sz w:val="28"/>
                                </w:rPr>
                                <w:t>an</w:t>
                              </w:r>
                              <w:r>
                                <w:rPr>
                                  <w:b/>
                                  <w:color w:val="164194"/>
                                  <w:spacing w:val="-4"/>
                                  <w:sz w:val="28"/>
                                </w:rPr>
                                <w:t> </w:t>
                              </w:r>
                              <w:r>
                                <w:rPr>
                                  <w:b/>
                                  <w:color w:val="164194"/>
                                  <w:sz w:val="28"/>
                                </w:rPr>
                                <w:t>opportunity</w:t>
                              </w:r>
                              <w:r>
                                <w:rPr>
                                  <w:b/>
                                  <w:color w:val="164194"/>
                                  <w:spacing w:val="-4"/>
                                  <w:sz w:val="28"/>
                                </w:rPr>
                                <w:t> </w:t>
                              </w:r>
                              <w:r>
                                <w:rPr>
                                  <w:b/>
                                  <w:color w:val="164194"/>
                                  <w:sz w:val="28"/>
                                </w:rPr>
                                <w:t>for</w:t>
                              </w:r>
                              <w:r>
                                <w:rPr>
                                  <w:b/>
                                  <w:color w:val="164194"/>
                                  <w:spacing w:val="-5"/>
                                  <w:sz w:val="28"/>
                                </w:rPr>
                                <w:t> </w:t>
                              </w:r>
                              <w:r>
                                <w:rPr>
                                  <w:b/>
                                  <w:color w:val="164194"/>
                                  <w:sz w:val="28"/>
                                </w:rPr>
                                <w:t>voluntary</w:t>
                              </w:r>
                              <w:r>
                                <w:rPr>
                                  <w:b/>
                                  <w:color w:val="164194"/>
                                  <w:spacing w:val="-4"/>
                                  <w:sz w:val="28"/>
                                </w:rPr>
                                <w:t> </w:t>
                              </w:r>
                              <w:r>
                                <w:rPr>
                                  <w:b/>
                                  <w:color w:val="164194"/>
                                  <w:sz w:val="28"/>
                                </w:rPr>
                                <w:t>alignment</w:t>
                              </w:r>
                              <w:r>
                                <w:rPr>
                                  <w:b/>
                                  <w:color w:val="164194"/>
                                  <w:spacing w:val="-4"/>
                                  <w:sz w:val="28"/>
                                </w:rPr>
                                <w:t> </w:t>
                              </w:r>
                              <w:r>
                                <w:rPr>
                                  <w:b/>
                                  <w:color w:val="164194"/>
                                  <w:sz w:val="28"/>
                                </w:rPr>
                                <w:t>to</w:t>
                              </w:r>
                              <w:r>
                                <w:rPr>
                                  <w:b/>
                                  <w:color w:val="164194"/>
                                  <w:spacing w:val="-4"/>
                                  <w:sz w:val="28"/>
                                </w:rPr>
                                <w:t> </w:t>
                              </w:r>
                              <w:r>
                                <w:rPr>
                                  <w:b/>
                                  <w:color w:val="164194"/>
                                  <w:sz w:val="28"/>
                                </w:rPr>
                                <w:t>ensure best practice in the protection of rights and equality.</w:t>
                              </w:r>
                            </w:p>
                          </w:txbxContent>
                        </wps:txbx>
                        <wps:bodyPr wrap="square" lIns="0" tIns="0" rIns="0" bIns="0" rtlCol="0">
                          <a:noAutofit/>
                        </wps:bodyPr>
                      </wps:wsp>
                    </wpg:wgp>
                  </a:graphicData>
                </a:graphic>
              </wp:anchor>
            </w:drawing>
          </mc:Choice>
          <mc:Fallback>
            <w:pict>
              <v:group style="position:absolute;margin-left:70.8657pt;margin-top:88.322113pt;width:473.4pt;height:97.05pt;mso-position-horizontal-relative:page;mso-position-vertical-relative:paragraph;z-index:-15702528;mso-wrap-distance-left:0;mso-wrap-distance-right:0" id="docshapegroup89" coordorigin="1417,1766" coordsize="9468,1941">
                <v:shape style="position:absolute;left:1417;top:1766;width:9468;height:1941" id="docshape90" coordorigin="1417,1766" coordsize="9468,1941" path="m10658,1766l1644,1766,1572,1778,1510,1810,1461,1859,1429,1922,1417,1993,1417,3480,1429,3551,1461,3614,1510,3663,1572,3695,1644,3707,10658,3707,10730,3695,10792,3663,10841,3614,10873,3551,10885,3480,10885,1993,10873,1922,10841,1859,10792,1810,10730,1778,10658,1766xe" filled="true" fillcolor="#e9f3fc" stroked="false">
                  <v:path arrowok="t"/>
                  <v:fill type="solid"/>
                </v:shape>
                <v:shape style="position:absolute;left:1417;top:1766;width:9468;height:1941" type="#_x0000_t202" id="docshape91"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9"/>
                            <w:sz w:val="28"/>
                          </w:rPr>
                          <w:t> </w:t>
                        </w:r>
                        <w:r>
                          <w:rPr>
                            <w:b/>
                            <w:color w:val="164194"/>
                            <w:sz w:val="28"/>
                          </w:rPr>
                          <w:t>that</w:t>
                        </w:r>
                        <w:r>
                          <w:rPr>
                            <w:b/>
                            <w:color w:val="164194"/>
                            <w:spacing w:val="-9"/>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and</w:t>
                        </w:r>
                        <w:r>
                          <w:rPr>
                            <w:b/>
                            <w:color w:val="164194"/>
                            <w:spacing w:val="-9"/>
                            <w:sz w:val="28"/>
                          </w:rPr>
                          <w:t> </w:t>
                        </w:r>
                        <w:r>
                          <w:rPr>
                            <w:b/>
                            <w:color w:val="164194"/>
                            <w:sz w:val="28"/>
                          </w:rPr>
                          <w:t>other</w:t>
                        </w:r>
                        <w:r>
                          <w:rPr>
                            <w:b/>
                            <w:color w:val="164194"/>
                            <w:spacing w:val="-10"/>
                            <w:sz w:val="28"/>
                          </w:rPr>
                          <w:t> </w:t>
                        </w:r>
                        <w:r>
                          <w:rPr>
                            <w:b/>
                            <w:color w:val="164194"/>
                            <w:sz w:val="28"/>
                          </w:rPr>
                          <w:t>relevant</w:t>
                        </w:r>
                        <w:r>
                          <w:rPr>
                            <w:b/>
                            <w:color w:val="164194"/>
                            <w:spacing w:val="-9"/>
                            <w:sz w:val="28"/>
                          </w:rPr>
                          <w:t> </w:t>
                        </w:r>
                        <w:r>
                          <w:rPr>
                            <w:b/>
                            <w:color w:val="164194"/>
                            <w:sz w:val="28"/>
                          </w:rPr>
                          <w:t>NI</w:t>
                        </w:r>
                        <w:r>
                          <w:rPr>
                            <w:b/>
                            <w:color w:val="164194"/>
                            <w:spacing w:val="-9"/>
                            <w:sz w:val="28"/>
                          </w:rPr>
                          <w:t> </w:t>
                        </w:r>
                        <w:r>
                          <w:rPr>
                            <w:b/>
                            <w:color w:val="164194"/>
                            <w:sz w:val="28"/>
                          </w:rPr>
                          <w:t>Departments consider any plans for amendments to EU law where they may trigger the keeping pace requirement because they amend or replace an Annex 1 directive</w:t>
                        </w:r>
                        <w:r>
                          <w:rPr>
                            <w:b/>
                            <w:color w:val="164194"/>
                            <w:spacing w:val="-5"/>
                            <w:sz w:val="28"/>
                          </w:rPr>
                          <w:t> </w:t>
                        </w:r>
                        <w:r>
                          <w:rPr>
                            <w:b/>
                            <w:color w:val="164194"/>
                            <w:sz w:val="28"/>
                          </w:rPr>
                          <w:t>or</w:t>
                        </w:r>
                        <w:r>
                          <w:rPr>
                            <w:b/>
                            <w:color w:val="164194"/>
                            <w:spacing w:val="-5"/>
                            <w:sz w:val="28"/>
                          </w:rPr>
                          <w:t> </w:t>
                        </w:r>
                        <w:r>
                          <w:rPr>
                            <w:b/>
                            <w:color w:val="164194"/>
                            <w:sz w:val="28"/>
                          </w:rPr>
                          <w:t>may</w:t>
                        </w:r>
                        <w:r>
                          <w:rPr>
                            <w:b/>
                            <w:color w:val="164194"/>
                            <w:spacing w:val="-4"/>
                            <w:sz w:val="28"/>
                          </w:rPr>
                          <w:t> </w:t>
                        </w:r>
                        <w:r>
                          <w:rPr>
                            <w:b/>
                            <w:color w:val="164194"/>
                            <w:sz w:val="28"/>
                          </w:rPr>
                          <w:t>represent</w:t>
                        </w:r>
                        <w:r>
                          <w:rPr>
                            <w:b/>
                            <w:color w:val="164194"/>
                            <w:spacing w:val="-4"/>
                            <w:sz w:val="28"/>
                          </w:rPr>
                          <w:t> </w:t>
                        </w:r>
                        <w:r>
                          <w:rPr>
                            <w:b/>
                            <w:color w:val="164194"/>
                            <w:sz w:val="28"/>
                          </w:rPr>
                          <w:t>an</w:t>
                        </w:r>
                        <w:r>
                          <w:rPr>
                            <w:b/>
                            <w:color w:val="164194"/>
                            <w:spacing w:val="-4"/>
                            <w:sz w:val="28"/>
                          </w:rPr>
                          <w:t> </w:t>
                        </w:r>
                        <w:r>
                          <w:rPr>
                            <w:b/>
                            <w:color w:val="164194"/>
                            <w:sz w:val="28"/>
                          </w:rPr>
                          <w:t>opportunity</w:t>
                        </w:r>
                        <w:r>
                          <w:rPr>
                            <w:b/>
                            <w:color w:val="164194"/>
                            <w:spacing w:val="-4"/>
                            <w:sz w:val="28"/>
                          </w:rPr>
                          <w:t> </w:t>
                        </w:r>
                        <w:r>
                          <w:rPr>
                            <w:b/>
                            <w:color w:val="164194"/>
                            <w:sz w:val="28"/>
                          </w:rPr>
                          <w:t>for</w:t>
                        </w:r>
                        <w:r>
                          <w:rPr>
                            <w:b/>
                            <w:color w:val="164194"/>
                            <w:spacing w:val="-5"/>
                            <w:sz w:val="28"/>
                          </w:rPr>
                          <w:t> </w:t>
                        </w:r>
                        <w:r>
                          <w:rPr>
                            <w:b/>
                            <w:color w:val="164194"/>
                            <w:sz w:val="28"/>
                          </w:rPr>
                          <w:t>voluntary</w:t>
                        </w:r>
                        <w:r>
                          <w:rPr>
                            <w:b/>
                            <w:color w:val="164194"/>
                            <w:spacing w:val="-4"/>
                            <w:sz w:val="28"/>
                          </w:rPr>
                          <w:t> </w:t>
                        </w:r>
                        <w:r>
                          <w:rPr>
                            <w:b/>
                            <w:color w:val="164194"/>
                            <w:sz w:val="28"/>
                          </w:rPr>
                          <w:t>alignment</w:t>
                        </w:r>
                        <w:r>
                          <w:rPr>
                            <w:b/>
                            <w:color w:val="164194"/>
                            <w:spacing w:val="-4"/>
                            <w:sz w:val="28"/>
                          </w:rPr>
                          <w:t> </w:t>
                        </w:r>
                        <w:r>
                          <w:rPr>
                            <w:b/>
                            <w:color w:val="164194"/>
                            <w:sz w:val="28"/>
                          </w:rPr>
                          <w:t>to</w:t>
                        </w:r>
                        <w:r>
                          <w:rPr>
                            <w:b/>
                            <w:color w:val="164194"/>
                            <w:spacing w:val="-4"/>
                            <w:sz w:val="28"/>
                          </w:rPr>
                          <w:t> </w:t>
                        </w:r>
                        <w:r>
                          <w:rPr>
                            <w:b/>
                            <w:color w:val="164194"/>
                            <w:sz w:val="28"/>
                          </w:rPr>
                          <w:t>ensure best practice in the protection of rights and equality.</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4464">
                <wp:simplePos x="0" y="0"/>
                <wp:positionH relativeFrom="page">
                  <wp:posOffset>899994</wp:posOffset>
                </wp:positionH>
                <wp:positionV relativeFrom="paragraph">
                  <wp:posOffset>2493440</wp:posOffset>
                </wp:positionV>
                <wp:extent cx="6012180" cy="1232535"/>
                <wp:effectExtent l="0" t="0" r="0" b="0"/>
                <wp:wrapTopAndBottom/>
                <wp:docPr id="141" name="Group 141"/>
                <wp:cNvGraphicFramePr>
                  <a:graphicFrameLocks/>
                </wp:cNvGraphicFramePr>
                <a:graphic>
                  <a:graphicData uri="http://schemas.microsoft.com/office/word/2010/wordprocessingGroup">
                    <wpg:wgp>
                      <wpg:cNvPr id="141" name="Group 141"/>
                      <wpg:cNvGrpSpPr/>
                      <wpg:grpSpPr>
                        <a:xfrm>
                          <a:off x="0" y="0"/>
                          <a:ext cx="6012180" cy="1232535"/>
                          <a:chExt cx="6012180" cy="1232535"/>
                        </a:xfrm>
                      </wpg:grpSpPr>
                      <wps:wsp>
                        <wps:cNvPr id="142" name="Graphic 142"/>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43" name="Textbox 143"/>
                        <wps:cNvSpPr txBox="1"/>
                        <wps:spPr>
                          <a:xfrm>
                            <a:off x="0" y="0"/>
                            <a:ext cx="6012180" cy="123253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9"/>
                                  <w:sz w:val="28"/>
                                </w:rPr>
                                <w:t> </w:t>
                              </w:r>
                              <w:r>
                                <w:rPr>
                                  <w:b/>
                                  <w:color w:val="164194"/>
                                  <w:sz w:val="28"/>
                                </w:rPr>
                                <w:t>that</w:t>
                              </w:r>
                              <w:r>
                                <w:rPr>
                                  <w:b/>
                                  <w:color w:val="164194"/>
                                  <w:spacing w:val="-9"/>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and</w:t>
                              </w:r>
                              <w:r>
                                <w:rPr>
                                  <w:b/>
                                  <w:color w:val="164194"/>
                                  <w:spacing w:val="-9"/>
                                  <w:sz w:val="28"/>
                                </w:rPr>
                                <w:t> </w:t>
                              </w:r>
                              <w:r>
                                <w:rPr>
                                  <w:b/>
                                  <w:color w:val="164194"/>
                                  <w:sz w:val="28"/>
                                </w:rPr>
                                <w:t>other</w:t>
                              </w:r>
                              <w:r>
                                <w:rPr>
                                  <w:b/>
                                  <w:color w:val="164194"/>
                                  <w:spacing w:val="-10"/>
                                  <w:sz w:val="28"/>
                                </w:rPr>
                                <w:t> </w:t>
                              </w:r>
                              <w:r>
                                <w:rPr>
                                  <w:b/>
                                  <w:color w:val="164194"/>
                                  <w:sz w:val="28"/>
                                </w:rPr>
                                <w:t>relevant</w:t>
                              </w:r>
                              <w:r>
                                <w:rPr>
                                  <w:b/>
                                  <w:color w:val="164194"/>
                                  <w:spacing w:val="-9"/>
                                  <w:sz w:val="28"/>
                                </w:rPr>
                                <w:t> </w:t>
                              </w:r>
                              <w:r>
                                <w:rPr>
                                  <w:b/>
                                  <w:color w:val="164194"/>
                                  <w:sz w:val="28"/>
                                </w:rPr>
                                <w:t>NI</w:t>
                              </w:r>
                              <w:r>
                                <w:rPr>
                                  <w:b/>
                                  <w:color w:val="164194"/>
                                  <w:spacing w:val="-9"/>
                                  <w:sz w:val="28"/>
                                </w:rPr>
                                <w:t> </w:t>
                              </w:r>
                              <w:r>
                                <w:rPr>
                                  <w:b/>
                                  <w:color w:val="164194"/>
                                  <w:sz w:val="28"/>
                                </w:rPr>
                                <w:t>Departments consider any proposals for amendments to the Irish equality legislation where they highlight a risk of divergence of rights or an opportunity for voluntary alignment to strengthen 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70.8657pt;margin-top:196.333908pt;width:473.4pt;height:97.05pt;mso-position-horizontal-relative:page;mso-position-vertical-relative:paragraph;z-index:-15702016;mso-wrap-distance-left:0;mso-wrap-distance-right:0" id="docshapegroup92" coordorigin="1417,3927" coordsize="9468,1941">
                <v:shape style="position:absolute;left:1417;top:3926;width:9468;height:1941" id="docshape93" coordorigin="1417,3927" coordsize="9468,1941" path="m10658,3927l1644,3927,1572,3938,1510,3970,1461,4020,1429,4082,1417,4153,1417,5640,1429,5712,1461,5774,1510,5823,1572,5855,1644,5867,10658,5867,10730,5855,10792,5823,10841,5774,10873,5712,10885,5640,10885,4153,10873,4082,10841,4020,10792,3970,10730,3938,10658,3927xe" filled="true" fillcolor="#e9f3fc" stroked="false">
                  <v:path arrowok="t"/>
                  <v:fill type="solid"/>
                </v:shape>
                <v:shape style="position:absolute;left:1417;top:3926;width:9468;height:1941" type="#_x0000_t202" id="docshape94"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9"/>
                            <w:sz w:val="28"/>
                          </w:rPr>
                          <w:t> </w:t>
                        </w:r>
                        <w:r>
                          <w:rPr>
                            <w:b/>
                            <w:color w:val="164194"/>
                            <w:sz w:val="28"/>
                          </w:rPr>
                          <w:t>that</w:t>
                        </w:r>
                        <w:r>
                          <w:rPr>
                            <w:b/>
                            <w:color w:val="164194"/>
                            <w:spacing w:val="-9"/>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and</w:t>
                        </w:r>
                        <w:r>
                          <w:rPr>
                            <w:b/>
                            <w:color w:val="164194"/>
                            <w:spacing w:val="-9"/>
                            <w:sz w:val="28"/>
                          </w:rPr>
                          <w:t> </w:t>
                        </w:r>
                        <w:r>
                          <w:rPr>
                            <w:b/>
                            <w:color w:val="164194"/>
                            <w:sz w:val="28"/>
                          </w:rPr>
                          <w:t>other</w:t>
                        </w:r>
                        <w:r>
                          <w:rPr>
                            <w:b/>
                            <w:color w:val="164194"/>
                            <w:spacing w:val="-10"/>
                            <w:sz w:val="28"/>
                          </w:rPr>
                          <w:t> </w:t>
                        </w:r>
                        <w:r>
                          <w:rPr>
                            <w:b/>
                            <w:color w:val="164194"/>
                            <w:sz w:val="28"/>
                          </w:rPr>
                          <w:t>relevant</w:t>
                        </w:r>
                        <w:r>
                          <w:rPr>
                            <w:b/>
                            <w:color w:val="164194"/>
                            <w:spacing w:val="-9"/>
                            <w:sz w:val="28"/>
                          </w:rPr>
                          <w:t> </w:t>
                        </w:r>
                        <w:r>
                          <w:rPr>
                            <w:b/>
                            <w:color w:val="164194"/>
                            <w:sz w:val="28"/>
                          </w:rPr>
                          <w:t>NI</w:t>
                        </w:r>
                        <w:r>
                          <w:rPr>
                            <w:b/>
                            <w:color w:val="164194"/>
                            <w:spacing w:val="-9"/>
                            <w:sz w:val="28"/>
                          </w:rPr>
                          <w:t> </w:t>
                        </w:r>
                        <w:r>
                          <w:rPr>
                            <w:b/>
                            <w:color w:val="164194"/>
                            <w:sz w:val="28"/>
                          </w:rPr>
                          <w:t>Departments consider any proposals for amendments to the Irish equality legislation where they highlight a risk of divergence of rights or an opportunity for voluntary alignment to strengthen rights and reflect international human rights standards and best practice.</w:t>
                        </w:r>
                      </w:p>
                    </w:txbxContent>
                  </v:textbox>
                  <w10:wrap type="none"/>
                </v:shape>
                <w10:wrap type="topAndBottom"/>
              </v:group>
            </w:pict>
          </mc:Fallback>
        </mc:AlternateContent>
      </w:r>
    </w:p>
    <w:p>
      <w:pPr>
        <w:pStyle w:val="BodyText"/>
        <w:rPr>
          <w:sz w:val="16"/>
        </w:rPr>
      </w:pPr>
    </w:p>
    <w:p>
      <w:pPr>
        <w:pStyle w:val="BodyText"/>
        <w:rPr>
          <w:sz w:val="16"/>
        </w:rPr>
      </w:pPr>
    </w:p>
    <w:p>
      <w:pPr>
        <w:pStyle w:val="BodyText"/>
        <w:spacing w:line="232" w:lineRule="auto" w:before="228"/>
        <w:ind w:left="1117" w:right="991"/>
      </w:pPr>
      <w:r>
        <w:rPr/>
        <w:t>We also examine legislation from the United Kingdom Parliament. Several pieces of</w:t>
      </w:r>
      <w:r>
        <w:rPr>
          <w:spacing w:val="-7"/>
        </w:rPr>
        <w:t> </w:t>
      </w:r>
      <w:r>
        <w:rPr/>
        <w:t>legislation</w:t>
      </w:r>
      <w:r>
        <w:rPr>
          <w:spacing w:val="-7"/>
        </w:rPr>
        <w:t> </w:t>
      </w:r>
      <w:r>
        <w:rPr/>
        <w:t>raise</w:t>
      </w:r>
      <w:r>
        <w:rPr>
          <w:spacing w:val="-6"/>
        </w:rPr>
        <w:t> </w:t>
      </w:r>
      <w:r>
        <w:rPr/>
        <w:t>significant</w:t>
      </w:r>
      <w:r>
        <w:rPr>
          <w:spacing w:val="-6"/>
        </w:rPr>
        <w:t> </w:t>
      </w:r>
      <w:r>
        <w:rPr/>
        <w:t>issues</w:t>
      </w:r>
      <w:r>
        <w:rPr>
          <w:spacing w:val="-7"/>
        </w:rPr>
        <w:t> </w:t>
      </w:r>
      <w:r>
        <w:rPr/>
        <w:t>about</w:t>
      </w:r>
      <w:r>
        <w:rPr>
          <w:spacing w:val="-6"/>
        </w:rPr>
        <w:t> </w:t>
      </w:r>
      <w:r>
        <w:rPr/>
        <w:t>human</w:t>
      </w:r>
      <w:r>
        <w:rPr>
          <w:spacing w:val="-7"/>
        </w:rPr>
        <w:t> </w:t>
      </w:r>
      <w:r>
        <w:rPr/>
        <w:t>rights</w:t>
      </w:r>
      <w:r>
        <w:rPr>
          <w:spacing w:val="-7"/>
        </w:rPr>
        <w:t> </w:t>
      </w:r>
      <w:r>
        <w:rPr/>
        <w:t>and</w:t>
      </w:r>
      <w:r>
        <w:rPr>
          <w:spacing w:val="-7"/>
        </w:rPr>
        <w:t> </w:t>
      </w:r>
      <w:r>
        <w:rPr/>
        <w:t>equality</w:t>
      </w:r>
      <w:r>
        <w:rPr>
          <w:spacing w:val="-6"/>
        </w:rPr>
        <w:t> </w:t>
      </w:r>
      <w:r>
        <w:rPr/>
        <w:t>protections, including</w:t>
      </w:r>
      <w:r>
        <w:rPr>
          <w:spacing w:val="-3"/>
        </w:rPr>
        <w:t> </w:t>
      </w:r>
      <w:r>
        <w:rPr/>
        <w:t>Article</w:t>
      </w:r>
      <w:r>
        <w:rPr>
          <w:spacing w:val="-3"/>
        </w:rPr>
        <w:t> </w:t>
      </w:r>
      <w:r>
        <w:rPr/>
        <w:t>2</w:t>
      </w:r>
      <w:r>
        <w:rPr>
          <w:spacing w:val="-3"/>
        </w:rPr>
        <w:t> </w:t>
      </w:r>
      <w:r>
        <w:rPr/>
        <w:t>WF</w:t>
      </w:r>
      <w:r>
        <w:rPr>
          <w:spacing w:val="-4"/>
        </w:rPr>
        <w:t> </w:t>
      </w:r>
      <w:r>
        <w:rPr/>
        <w:t>obligations</w:t>
      </w:r>
      <w:r>
        <w:rPr>
          <w:spacing w:val="-4"/>
        </w:rPr>
        <w:t> </w:t>
      </w:r>
      <w:r>
        <w:rPr/>
        <w:t>and</w:t>
      </w:r>
      <w:r>
        <w:rPr>
          <w:spacing w:val="-4"/>
        </w:rPr>
        <w:t> </w:t>
      </w:r>
      <w:r>
        <w:rPr/>
        <w:t>related</w:t>
      </w:r>
      <w:r>
        <w:rPr>
          <w:spacing w:val="-4"/>
        </w:rPr>
        <w:t> </w:t>
      </w:r>
      <w:r>
        <w:rPr/>
        <w:t>steps</w:t>
      </w:r>
      <w:r>
        <w:rPr>
          <w:spacing w:val="-4"/>
        </w:rPr>
        <w:t> </w:t>
      </w:r>
      <w:r>
        <w:rPr/>
        <w:t>to</w:t>
      </w:r>
      <w:r>
        <w:rPr>
          <w:spacing w:val="-4"/>
        </w:rPr>
        <w:t> </w:t>
      </w:r>
      <w:r>
        <w:rPr/>
        <w:t>disapply</w:t>
      </w:r>
      <w:r>
        <w:rPr>
          <w:spacing w:val="-3"/>
        </w:rPr>
        <w:t> </w:t>
      </w:r>
      <w:r>
        <w:rPr/>
        <w:t>Human</w:t>
      </w:r>
      <w:r>
        <w:rPr>
          <w:spacing w:val="-4"/>
        </w:rPr>
        <w:t> </w:t>
      </w:r>
      <w:r>
        <w:rPr/>
        <w:t>Rights</w:t>
      </w:r>
      <w:r>
        <w:rPr>
          <w:spacing w:val="-4"/>
        </w:rPr>
        <w:t> </w:t>
      </w:r>
      <w:r>
        <w:rPr/>
        <w:t>Act protections. Given the centrality of the European Convention on Human Rights</w:t>
      </w:r>
      <w:r>
        <w:rPr/>
        <w:t> to the 1998 Agreement including the commitment to make its rights directly enforceable,</w:t>
      </w:r>
      <w:r>
        <w:rPr>
          <w:spacing w:val="-3"/>
        </w:rPr>
        <w:t> </w:t>
      </w:r>
      <w:r>
        <w:rPr/>
        <w:t>efforts</w:t>
      </w:r>
      <w:r>
        <w:rPr>
          <w:spacing w:val="-4"/>
        </w:rPr>
        <w:t> </w:t>
      </w:r>
      <w:r>
        <w:rPr/>
        <w:t>to</w:t>
      </w:r>
      <w:r>
        <w:rPr>
          <w:spacing w:val="-4"/>
        </w:rPr>
        <w:t> </w:t>
      </w:r>
      <w:r>
        <w:rPr/>
        <w:t>disapply</w:t>
      </w:r>
      <w:r>
        <w:rPr>
          <w:spacing w:val="-3"/>
        </w:rPr>
        <w:t> </w:t>
      </w:r>
      <w:r>
        <w:rPr/>
        <w:t>the</w:t>
      </w:r>
      <w:r>
        <w:rPr>
          <w:spacing w:val="-3"/>
        </w:rPr>
        <w:t> </w:t>
      </w:r>
      <w:r>
        <w:rPr/>
        <w:t>Human</w:t>
      </w:r>
      <w:r>
        <w:rPr>
          <w:spacing w:val="-4"/>
        </w:rPr>
        <w:t> </w:t>
      </w:r>
      <w:r>
        <w:rPr/>
        <w:t>Rights</w:t>
      </w:r>
      <w:r>
        <w:rPr>
          <w:spacing w:val="-4"/>
        </w:rPr>
        <w:t> </w:t>
      </w:r>
      <w:r>
        <w:rPr/>
        <w:t>Act</w:t>
      </w:r>
      <w:r>
        <w:rPr>
          <w:spacing w:val="-3"/>
        </w:rPr>
        <w:t> </w:t>
      </w:r>
      <w:r>
        <w:rPr/>
        <w:t>or</w:t>
      </w:r>
      <w:r>
        <w:rPr>
          <w:spacing w:val="-3"/>
        </w:rPr>
        <w:t> </w:t>
      </w:r>
      <w:r>
        <w:rPr/>
        <w:t>significant</w:t>
      </w:r>
      <w:r>
        <w:rPr>
          <w:spacing w:val="-3"/>
        </w:rPr>
        <w:t> </w:t>
      </w:r>
      <w:r>
        <w:rPr/>
        <w:t>parts</w:t>
      </w:r>
      <w:r>
        <w:rPr>
          <w:spacing w:val="-4"/>
        </w:rPr>
        <w:t> </w:t>
      </w:r>
      <w:r>
        <w:rPr/>
        <w:t>of</w:t>
      </w:r>
      <w:r>
        <w:rPr>
          <w:spacing w:val="-4"/>
        </w:rPr>
        <w:t> </w:t>
      </w:r>
      <w:r>
        <w:rPr/>
        <w:t>it</w:t>
      </w:r>
      <w:r>
        <w:rPr>
          <w:spacing w:val="-3"/>
        </w:rPr>
        <w:t> </w:t>
      </w:r>
      <w:r>
        <w:rPr/>
        <w:t>are troubling in the context of the1998 Agreement system.</w:t>
      </w:r>
    </w:p>
    <w:p>
      <w:pPr>
        <w:pStyle w:val="BodyText"/>
        <w:rPr>
          <w:sz w:val="20"/>
        </w:rPr>
      </w:pPr>
    </w:p>
    <w:p>
      <w:pPr>
        <w:pStyle w:val="BodyText"/>
        <w:spacing w:before="184"/>
        <w:rPr>
          <w:sz w:val="20"/>
        </w:rPr>
      </w:pPr>
      <w:r>
        <w:rPr/>
        <mc:AlternateContent>
          <mc:Choice Requires="wps">
            <w:drawing>
              <wp:anchor distT="0" distB="0" distL="0" distR="0" allowOverlap="1" layoutInCell="1" locked="0" behindDoc="1" simplePos="0" relativeHeight="487614976">
                <wp:simplePos x="0" y="0"/>
                <wp:positionH relativeFrom="page">
                  <wp:posOffset>899999</wp:posOffset>
                </wp:positionH>
                <wp:positionV relativeFrom="paragraph">
                  <wp:posOffset>287379</wp:posOffset>
                </wp:positionV>
                <wp:extent cx="6012180" cy="127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2.62833pt;width:473.4pt;height:.1pt;mso-position-horizontal-relative:page;mso-position-vertical-relative:paragraph;z-index:-15701504;mso-wrap-distance-left:0;mso-wrap-distance-right:0" id="docshape95" coordorigin="1417,453" coordsize="9468,0" path="m1417,453l10885,453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819" w:hanging="567"/>
        <w:jc w:val="left"/>
        <w:rPr>
          <w:sz w:val="18"/>
        </w:rPr>
      </w:pPr>
      <w:r>
        <w:rPr>
          <w:color w:val="1D71B8"/>
          <w:sz w:val="18"/>
          <w:u w:val="single" w:color="1D71B8"/>
        </w:rPr>
        <w:t>The Legacy Act cases (Dillon and others)</w:t>
      </w:r>
      <w:r>
        <w:rPr>
          <w:sz w:val="18"/>
          <w:u w:val="none"/>
        </w:rPr>
        <w:t>; </w:t>
      </w:r>
      <w:r>
        <w:rPr>
          <w:i/>
          <w:sz w:val="18"/>
          <w:u w:val="none"/>
        </w:rPr>
        <w:t>In the matter of an application by Martina Dillon, John McEvoy and Lynda</w:t>
      </w:r>
      <w:r>
        <w:rPr>
          <w:i/>
          <w:sz w:val="18"/>
          <w:u w:val="none"/>
        </w:rPr>
        <w:t> McManus</w:t>
      </w:r>
      <w:r>
        <w:rPr>
          <w:i/>
          <w:spacing w:val="-4"/>
          <w:sz w:val="18"/>
          <w:u w:val="none"/>
        </w:rPr>
        <w:t> </w:t>
      </w:r>
      <w:r>
        <w:rPr>
          <w:i/>
          <w:sz w:val="18"/>
          <w:u w:val="none"/>
        </w:rPr>
        <w:t>for</w:t>
      </w:r>
      <w:r>
        <w:rPr>
          <w:i/>
          <w:spacing w:val="-3"/>
          <w:sz w:val="18"/>
          <w:u w:val="none"/>
        </w:rPr>
        <w:t> </w:t>
      </w:r>
      <w:r>
        <w:rPr>
          <w:i/>
          <w:sz w:val="18"/>
          <w:u w:val="none"/>
        </w:rPr>
        <w:t>judicial</w:t>
      </w:r>
      <w:r>
        <w:rPr>
          <w:i/>
          <w:spacing w:val="-4"/>
          <w:sz w:val="18"/>
          <w:u w:val="none"/>
        </w:rPr>
        <w:t> </w:t>
      </w:r>
      <w:r>
        <w:rPr>
          <w:i/>
          <w:sz w:val="18"/>
          <w:u w:val="none"/>
        </w:rPr>
        <w:t>review;</w:t>
      </w:r>
      <w:r>
        <w:rPr>
          <w:i/>
          <w:spacing w:val="-3"/>
          <w:sz w:val="18"/>
          <w:u w:val="none"/>
        </w:rPr>
        <w:t> </w:t>
      </w:r>
      <w:r>
        <w:rPr>
          <w:i/>
          <w:sz w:val="18"/>
          <w:u w:val="none"/>
        </w:rPr>
        <w:t>in</w:t>
      </w:r>
      <w:r>
        <w:rPr>
          <w:i/>
          <w:spacing w:val="-4"/>
          <w:sz w:val="18"/>
          <w:u w:val="none"/>
        </w:rPr>
        <w:t> </w:t>
      </w:r>
      <w:r>
        <w:rPr>
          <w:i/>
          <w:sz w:val="18"/>
          <w:u w:val="none"/>
        </w:rPr>
        <w:t>the</w:t>
      </w:r>
      <w:r>
        <w:rPr>
          <w:i/>
          <w:spacing w:val="-3"/>
          <w:sz w:val="18"/>
          <w:u w:val="none"/>
        </w:rPr>
        <w:t> </w:t>
      </w:r>
      <w:r>
        <w:rPr>
          <w:i/>
          <w:sz w:val="18"/>
          <w:u w:val="none"/>
        </w:rPr>
        <w:t>matter</w:t>
      </w:r>
      <w:r>
        <w:rPr>
          <w:i/>
          <w:spacing w:val="-3"/>
          <w:sz w:val="18"/>
          <w:u w:val="none"/>
        </w:rPr>
        <w:t> </w:t>
      </w:r>
      <w:r>
        <w:rPr>
          <w:i/>
          <w:sz w:val="18"/>
          <w:u w:val="none"/>
        </w:rPr>
        <w:t>of</w:t>
      </w:r>
      <w:r>
        <w:rPr>
          <w:i/>
          <w:spacing w:val="-4"/>
          <w:sz w:val="18"/>
          <w:u w:val="none"/>
        </w:rPr>
        <w:t> </w:t>
      </w:r>
      <w:r>
        <w:rPr>
          <w:i/>
          <w:sz w:val="18"/>
          <w:u w:val="none"/>
        </w:rPr>
        <w:t>an</w:t>
      </w:r>
      <w:r>
        <w:rPr>
          <w:i/>
          <w:spacing w:val="-4"/>
          <w:sz w:val="18"/>
          <w:u w:val="none"/>
        </w:rPr>
        <w:t> </w:t>
      </w:r>
      <w:r>
        <w:rPr>
          <w:i/>
          <w:sz w:val="18"/>
          <w:u w:val="none"/>
        </w:rPr>
        <w:t>application</w:t>
      </w:r>
      <w:r>
        <w:rPr>
          <w:i/>
          <w:spacing w:val="-4"/>
          <w:sz w:val="18"/>
          <w:u w:val="none"/>
        </w:rPr>
        <w:t> </w:t>
      </w:r>
      <w:r>
        <w:rPr>
          <w:i/>
          <w:sz w:val="18"/>
          <w:u w:val="none"/>
        </w:rPr>
        <w:t>by</w:t>
      </w:r>
      <w:r>
        <w:rPr>
          <w:i/>
          <w:spacing w:val="-4"/>
          <w:sz w:val="18"/>
          <w:u w:val="none"/>
        </w:rPr>
        <w:t> </w:t>
      </w:r>
      <w:r>
        <w:rPr>
          <w:i/>
          <w:sz w:val="18"/>
          <w:u w:val="none"/>
        </w:rPr>
        <w:t>Brigid</w:t>
      </w:r>
      <w:r>
        <w:rPr>
          <w:i/>
          <w:spacing w:val="-4"/>
          <w:sz w:val="18"/>
          <w:u w:val="none"/>
        </w:rPr>
        <w:t> </w:t>
      </w:r>
      <w:r>
        <w:rPr>
          <w:i/>
          <w:sz w:val="18"/>
          <w:u w:val="none"/>
        </w:rPr>
        <w:t>Hughes</w:t>
      </w:r>
      <w:r>
        <w:rPr>
          <w:i/>
          <w:spacing w:val="-4"/>
          <w:sz w:val="18"/>
          <w:u w:val="none"/>
        </w:rPr>
        <w:t> </w:t>
      </w:r>
      <w:r>
        <w:rPr>
          <w:i/>
          <w:sz w:val="18"/>
          <w:u w:val="none"/>
        </w:rPr>
        <w:t>to</w:t>
      </w:r>
      <w:r>
        <w:rPr>
          <w:i/>
          <w:spacing w:val="-4"/>
          <w:sz w:val="18"/>
          <w:u w:val="none"/>
        </w:rPr>
        <w:t> </w:t>
      </w:r>
      <w:r>
        <w:rPr>
          <w:i/>
          <w:sz w:val="18"/>
          <w:u w:val="none"/>
        </w:rPr>
        <w:t>apply</w:t>
      </w:r>
      <w:r>
        <w:rPr>
          <w:i/>
          <w:spacing w:val="-4"/>
          <w:sz w:val="18"/>
          <w:u w:val="none"/>
        </w:rPr>
        <w:t> </w:t>
      </w:r>
      <w:r>
        <w:rPr>
          <w:i/>
          <w:sz w:val="18"/>
          <w:u w:val="none"/>
        </w:rPr>
        <w:t>for</w:t>
      </w:r>
      <w:r>
        <w:rPr>
          <w:i/>
          <w:spacing w:val="-3"/>
          <w:sz w:val="18"/>
          <w:u w:val="none"/>
        </w:rPr>
        <w:t> </w:t>
      </w:r>
      <w:r>
        <w:rPr>
          <w:i/>
          <w:sz w:val="18"/>
          <w:u w:val="none"/>
        </w:rPr>
        <w:t>judicial</w:t>
      </w:r>
      <w:r>
        <w:rPr>
          <w:i/>
          <w:spacing w:val="-4"/>
          <w:sz w:val="18"/>
          <w:u w:val="none"/>
        </w:rPr>
        <w:t> </w:t>
      </w:r>
      <w:r>
        <w:rPr>
          <w:i/>
          <w:sz w:val="18"/>
          <w:u w:val="none"/>
        </w:rPr>
        <w:t>review;</w:t>
      </w:r>
      <w:r>
        <w:rPr>
          <w:i/>
          <w:spacing w:val="-3"/>
          <w:sz w:val="18"/>
          <w:u w:val="none"/>
        </w:rPr>
        <w:t> </w:t>
      </w:r>
      <w:r>
        <w:rPr>
          <w:i/>
          <w:sz w:val="18"/>
          <w:u w:val="none"/>
        </w:rPr>
        <w:t>in</w:t>
      </w:r>
      <w:r>
        <w:rPr>
          <w:i/>
          <w:spacing w:val="-4"/>
          <w:sz w:val="18"/>
          <w:u w:val="none"/>
        </w:rPr>
        <w:t> </w:t>
      </w:r>
      <w:r>
        <w:rPr>
          <w:i/>
          <w:sz w:val="18"/>
          <w:u w:val="none"/>
        </w:rPr>
        <w:t>the</w:t>
      </w:r>
      <w:r>
        <w:rPr>
          <w:i/>
          <w:spacing w:val="-3"/>
          <w:sz w:val="18"/>
          <w:u w:val="none"/>
        </w:rPr>
        <w:t> </w:t>
      </w:r>
      <w:r>
        <w:rPr>
          <w:i/>
          <w:sz w:val="18"/>
          <w:u w:val="none"/>
        </w:rPr>
        <w:t>matter</w:t>
      </w:r>
      <w:r>
        <w:rPr>
          <w:i/>
          <w:spacing w:val="-3"/>
          <w:sz w:val="18"/>
          <w:u w:val="none"/>
        </w:rPr>
        <w:t> </w:t>
      </w:r>
      <w:r>
        <w:rPr>
          <w:i/>
          <w:sz w:val="18"/>
          <w:u w:val="none"/>
        </w:rPr>
        <w:t>of an application by Teresa Jordan for judicial review; in the matter of an application by Gemma Gilvary for judicial review; and in the matter of an application by Patrick Fitzsimons for judicial review; and in the matter of the Northern Ireland Troubles (Legacy and Reconciliation) Act 2023 </w:t>
      </w:r>
      <w:r>
        <w:rPr>
          <w:sz w:val="18"/>
          <w:u w:val="none"/>
        </w:rPr>
        <w:t>[2024] NIKB 11, (28 February 2024).</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758336">
                <wp:simplePos x="0" y="0"/>
                <wp:positionH relativeFrom="page">
                  <wp:posOffset>0</wp:posOffset>
                </wp:positionH>
                <wp:positionV relativeFrom="page">
                  <wp:posOffset>0</wp:posOffset>
                </wp:positionV>
                <wp:extent cx="7560309" cy="199453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7560309" cy="1994535"/>
                          <a:chExt cx="7560309" cy="1994535"/>
                        </a:xfrm>
                      </wpg:grpSpPr>
                      <wps:wsp>
                        <wps:cNvPr id="146" name="Graphic 146"/>
                        <wps:cNvSpPr/>
                        <wps:spPr>
                          <a:xfrm>
                            <a:off x="647994" y="972002"/>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47" name="Graphic 147"/>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48" name="Graphic 148"/>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149" name="Textbox 149"/>
                        <wps:cNvSpPr txBox="1"/>
                        <wps:spPr>
                          <a:xfrm>
                            <a:off x="350941" y="403890"/>
                            <a:ext cx="102870" cy="177800"/>
                          </a:xfrm>
                          <a:prstGeom prst="rect">
                            <a:avLst/>
                          </a:prstGeom>
                        </wps:spPr>
                        <wps:txbx>
                          <w:txbxContent>
                            <w:p>
                              <w:pPr>
                                <w:spacing w:line="280" w:lineRule="exact" w:before="0"/>
                                <w:ind w:left="0" w:right="0" w:firstLine="0"/>
                                <w:jc w:val="left"/>
                                <w:rPr>
                                  <w:b/>
                                  <w:sz w:val="28"/>
                                </w:rPr>
                              </w:pPr>
                              <w:r>
                                <w:rPr>
                                  <w:b/>
                                  <w:color w:val="FFFFFF"/>
                                  <w:spacing w:val="-10"/>
                                  <w:sz w:val="28"/>
                                </w:rPr>
                                <w:t>8</w:t>
                              </w:r>
                            </w:p>
                          </w:txbxContent>
                        </wps:txbx>
                        <wps:bodyPr wrap="square" lIns="0" tIns="0" rIns="0" bIns="0" rtlCol="0">
                          <a:noAutofit/>
                        </wps:bodyPr>
                      </wps:wsp>
                      <wps:wsp>
                        <wps:cNvPr id="150" name="Textbox 150"/>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151" name="Textbox 151"/>
                        <wps:cNvSpPr txBox="1"/>
                        <wps:spPr>
                          <a:xfrm>
                            <a:off x="864000" y="1080003"/>
                            <a:ext cx="5588000" cy="80645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5"/>
                                  <w:sz w:val="28"/>
                                </w:rPr>
                                <w:t> </w:t>
                              </w:r>
                              <w:r>
                                <w:rPr>
                                  <w:b/>
                                  <w:color w:val="164194"/>
                                  <w:sz w:val="28"/>
                                </w:rPr>
                                <w:t>that</w:t>
                              </w:r>
                              <w:r>
                                <w:rPr>
                                  <w:b/>
                                  <w:color w:val="164194"/>
                                  <w:spacing w:val="-6"/>
                                  <w:sz w:val="28"/>
                                </w:rPr>
                                <w:t> </w:t>
                              </w:r>
                              <w:r>
                                <w:rPr>
                                  <w:b/>
                                  <w:color w:val="164194"/>
                                  <w:sz w:val="28"/>
                                </w:rPr>
                                <w:t>the</w:t>
                              </w:r>
                              <w:r>
                                <w:rPr>
                                  <w:b/>
                                  <w:color w:val="164194"/>
                                  <w:spacing w:val="-6"/>
                                  <w:sz w:val="28"/>
                                </w:rPr>
                                <w:t> </w:t>
                              </w:r>
                              <w:r>
                                <w:rPr>
                                  <w:b/>
                                  <w:color w:val="164194"/>
                                  <w:sz w:val="28"/>
                                </w:rPr>
                                <w:t>UK</w:t>
                              </w:r>
                              <w:r>
                                <w:rPr>
                                  <w:b/>
                                  <w:color w:val="164194"/>
                                  <w:spacing w:val="-6"/>
                                  <w:sz w:val="28"/>
                                </w:rPr>
                                <w:t> </w:t>
                              </w:r>
                              <w:r>
                                <w:rPr>
                                  <w:b/>
                                  <w:color w:val="164194"/>
                                  <w:sz w:val="28"/>
                                </w:rPr>
                                <w:t>Government</w:t>
                              </w:r>
                              <w:r>
                                <w:rPr>
                                  <w:b/>
                                  <w:color w:val="164194"/>
                                  <w:spacing w:val="-6"/>
                                  <w:sz w:val="28"/>
                                </w:rPr>
                                <w:t> </w:t>
                              </w:r>
                              <w:r>
                                <w:rPr>
                                  <w:b/>
                                  <w:color w:val="164194"/>
                                  <w:sz w:val="28"/>
                                </w:rPr>
                                <w:t>introduce</w:t>
                              </w:r>
                              <w:r>
                                <w:rPr>
                                  <w:b/>
                                  <w:color w:val="164194"/>
                                  <w:spacing w:val="-6"/>
                                  <w:sz w:val="28"/>
                                </w:rPr>
                                <w:t> </w:t>
                              </w:r>
                              <w:r>
                                <w:rPr>
                                  <w:b/>
                                  <w:color w:val="164194"/>
                                  <w:sz w:val="28"/>
                                </w:rPr>
                                <w:t>amendments</w:t>
                              </w:r>
                              <w:r>
                                <w:rPr>
                                  <w:b/>
                                  <w:color w:val="164194"/>
                                  <w:spacing w:val="-5"/>
                                  <w:sz w:val="28"/>
                                </w:rPr>
                                <w:t> </w:t>
                              </w:r>
                              <w:r>
                                <w:rPr>
                                  <w:b/>
                                  <w:color w:val="164194"/>
                                  <w:spacing w:val="-4"/>
                                  <w:sz w:val="28"/>
                                </w:rPr>
                                <w:t>into</w:t>
                              </w:r>
                            </w:p>
                            <w:p>
                              <w:pPr>
                                <w:spacing w:line="232" w:lineRule="auto" w:before="0"/>
                                <w:ind w:left="0" w:right="0" w:firstLine="0"/>
                                <w:jc w:val="left"/>
                                <w:rPr>
                                  <w:b/>
                                  <w:sz w:val="28"/>
                                </w:rPr>
                              </w:pPr>
                              <w:r>
                                <w:rPr>
                                  <w:b/>
                                  <w:color w:val="164194"/>
                                  <w:sz w:val="28"/>
                                </w:rPr>
                                <w:t>Parliament to amend any enacted legislation that has included provisions limiting</w:t>
                              </w:r>
                              <w:r>
                                <w:rPr>
                                  <w:b/>
                                  <w:color w:val="164194"/>
                                  <w:spacing w:val="-6"/>
                                  <w:sz w:val="28"/>
                                </w:rPr>
                                <w:t> </w:t>
                              </w:r>
                              <w:r>
                                <w:rPr>
                                  <w:b/>
                                  <w:color w:val="164194"/>
                                  <w:sz w:val="28"/>
                                </w:rPr>
                                <w:t>the</w:t>
                              </w:r>
                              <w:r>
                                <w:rPr>
                                  <w:b/>
                                  <w:color w:val="164194"/>
                                  <w:spacing w:val="-6"/>
                                  <w:sz w:val="28"/>
                                </w:rPr>
                                <w:t> </w:t>
                              </w:r>
                              <w:r>
                                <w:rPr>
                                  <w:b/>
                                  <w:color w:val="164194"/>
                                  <w:sz w:val="28"/>
                                </w:rPr>
                                <w:t>application</w:t>
                              </w:r>
                              <w:r>
                                <w:rPr>
                                  <w:b/>
                                  <w:color w:val="164194"/>
                                  <w:spacing w:val="-5"/>
                                  <w:sz w:val="28"/>
                                </w:rPr>
                                <w:t> </w:t>
                              </w:r>
                              <w:r>
                                <w:rPr>
                                  <w:b/>
                                  <w:color w:val="164194"/>
                                  <w:sz w:val="28"/>
                                </w:rPr>
                                <w:t>of</w:t>
                              </w:r>
                              <w:r>
                                <w:rPr>
                                  <w:b/>
                                  <w:color w:val="164194"/>
                                  <w:spacing w:val="-6"/>
                                  <w:sz w:val="28"/>
                                </w:rPr>
                                <w:t> </w:t>
                              </w:r>
                              <w:r>
                                <w:rPr>
                                  <w:b/>
                                  <w:color w:val="164194"/>
                                  <w:sz w:val="28"/>
                                </w:rPr>
                                <w:t>section</w:t>
                              </w:r>
                              <w:r>
                                <w:rPr>
                                  <w:b/>
                                  <w:color w:val="164194"/>
                                  <w:spacing w:val="-5"/>
                                  <w:sz w:val="28"/>
                                </w:rPr>
                                <w:t> </w:t>
                              </w:r>
                              <w:r>
                                <w:rPr>
                                  <w:b/>
                                  <w:color w:val="164194"/>
                                  <w:sz w:val="28"/>
                                </w:rPr>
                                <w:t>3</w:t>
                              </w:r>
                              <w:r>
                                <w:rPr>
                                  <w:b/>
                                  <w:color w:val="164194"/>
                                  <w:spacing w:val="-5"/>
                                  <w:sz w:val="28"/>
                                </w:rPr>
                                <w:t> </w:t>
                              </w:r>
                              <w:r>
                                <w:rPr>
                                  <w:b/>
                                  <w:color w:val="164194"/>
                                  <w:sz w:val="28"/>
                                </w:rPr>
                                <w:t>of</w:t>
                              </w:r>
                              <w:r>
                                <w:rPr>
                                  <w:b/>
                                  <w:color w:val="164194"/>
                                  <w:spacing w:val="-6"/>
                                  <w:sz w:val="28"/>
                                </w:rPr>
                                <w:t> </w:t>
                              </w:r>
                              <w:r>
                                <w:rPr>
                                  <w:b/>
                                  <w:color w:val="164194"/>
                                  <w:sz w:val="28"/>
                                </w:rPr>
                                <w:t>the</w:t>
                              </w:r>
                              <w:r>
                                <w:rPr>
                                  <w:b/>
                                  <w:color w:val="164194"/>
                                  <w:spacing w:val="-6"/>
                                  <w:sz w:val="28"/>
                                </w:rPr>
                                <w:t> </w:t>
                              </w:r>
                              <w:r>
                                <w:rPr>
                                  <w:b/>
                                  <w:color w:val="164194"/>
                                  <w:sz w:val="28"/>
                                </w:rPr>
                                <w:t>Human</w:t>
                              </w:r>
                              <w:r>
                                <w:rPr>
                                  <w:b/>
                                  <w:color w:val="164194"/>
                                  <w:spacing w:val="-5"/>
                                  <w:sz w:val="28"/>
                                </w:rPr>
                                <w:t> </w:t>
                              </w:r>
                              <w:r>
                                <w:rPr>
                                  <w:b/>
                                  <w:color w:val="164194"/>
                                  <w:sz w:val="28"/>
                                </w:rPr>
                                <w:t>Rights</w:t>
                              </w:r>
                              <w:r>
                                <w:rPr>
                                  <w:b/>
                                  <w:color w:val="164194"/>
                                  <w:spacing w:val="-5"/>
                                  <w:sz w:val="28"/>
                                </w:rPr>
                                <w:t> </w:t>
                              </w:r>
                              <w:r>
                                <w:rPr>
                                  <w:b/>
                                  <w:color w:val="164194"/>
                                  <w:sz w:val="28"/>
                                </w:rPr>
                                <w:t>Act</w:t>
                              </w:r>
                              <w:r>
                                <w:rPr>
                                  <w:b/>
                                  <w:color w:val="164194"/>
                                  <w:spacing w:val="-5"/>
                                  <w:sz w:val="28"/>
                                </w:rPr>
                                <w:t> </w:t>
                              </w:r>
                              <w:r>
                                <w:rPr>
                                  <w:b/>
                                  <w:color w:val="164194"/>
                                  <w:sz w:val="28"/>
                                </w:rPr>
                                <w:t>to</w:t>
                              </w:r>
                              <w:r>
                                <w:rPr>
                                  <w:b/>
                                  <w:color w:val="164194"/>
                                  <w:spacing w:val="-5"/>
                                  <w:sz w:val="28"/>
                                </w:rPr>
                                <w:t> </w:t>
                              </w:r>
                              <w:r>
                                <w:rPr>
                                  <w:b/>
                                  <w:color w:val="164194"/>
                                  <w:sz w:val="28"/>
                                </w:rPr>
                                <w:t>remove</w:t>
                              </w:r>
                              <w:r>
                                <w:rPr>
                                  <w:b/>
                                  <w:color w:val="164194"/>
                                  <w:spacing w:val="-6"/>
                                  <w:sz w:val="28"/>
                                </w:rPr>
                                <w:t> </w:t>
                              </w:r>
                              <w:r>
                                <w:rPr>
                                  <w:b/>
                                  <w:color w:val="164194"/>
                                  <w:sz w:val="28"/>
                                </w:rPr>
                                <w:t>that </w:t>
                              </w:r>
                              <w:r>
                                <w:rPr>
                                  <w:b/>
                                  <w:color w:val="164194"/>
                                  <w:spacing w:val="-2"/>
                                  <w:sz w:val="28"/>
                                </w:rPr>
                                <w:t>limitation.</w:t>
                              </w:r>
                            </w:p>
                          </w:txbxContent>
                        </wps:txbx>
                        <wps:bodyPr wrap="square" lIns="0" tIns="0" rIns="0" bIns="0" rtlCol="0">
                          <a:noAutofit/>
                        </wps:bodyPr>
                      </wps:wsp>
                    </wpg:wgp>
                  </a:graphicData>
                </a:graphic>
              </wp:anchor>
            </w:drawing>
          </mc:Choice>
          <mc:Fallback>
            <w:pict>
              <v:group style="position:absolute;margin-left:.0pt;margin-top:-.00002pt;width:595.3pt;height:157.050pt;mso-position-horizontal-relative:page;mso-position-vertical-relative:page;z-index:15758336" id="docshapegroup96" coordorigin="0,0" coordsize="11906,3141">
                <v:shape style="position:absolute;left:1020;top:1530;width:9468;height:1611" id="docshape97" coordorigin="1020,1531" coordsize="9468,1611" path="m10261,1531l1247,1531,1176,1542,1113,1574,1064,1624,1032,1686,1020,1757,1020,2914,1032,2986,1064,3048,1113,3097,1176,3129,1247,3141,10261,3141,10333,3129,10395,3097,10444,3048,10477,2986,10488,2914,10488,1757,10477,1686,10444,1624,10395,1574,10333,1542,10261,1531xe" filled="true" fillcolor="#e9f3fc" stroked="false">
                  <v:path arrowok="t"/>
                  <v:fill type="solid"/>
                </v:shape>
                <v:shape style="position:absolute;left:0;top:0;width:11906;height:1819" id="docshape9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552;top:636;width:162;height:280" type="#_x0000_t202" id="docshape99" filled="false" stroked="false">
                  <v:textbox inset="0,0,0,0">
                    <w:txbxContent>
                      <w:p>
                        <w:pPr>
                          <w:spacing w:line="280" w:lineRule="exact" w:before="0"/>
                          <w:ind w:left="0" w:right="0" w:firstLine="0"/>
                          <w:jc w:val="left"/>
                          <w:rPr>
                            <w:b/>
                            <w:sz w:val="28"/>
                          </w:rPr>
                        </w:pPr>
                        <w:r>
                          <w:rPr>
                            <w:b/>
                            <w:color w:val="FFFFFF"/>
                            <w:spacing w:val="-10"/>
                            <w:sz w:val="28"/>
                          </w:rPr>
                          <w:t>8</w:t>
                        </w:r>
                      </w:p>
                    </w:txbxContent>
                  </v:textbox>
                  <w10:wrap type="none"/>
                </v:shape>
                <v:shape style="position:absolute;left:1303;top:645;width:6182;height:240" type="#_x0000_t202" id="docshape100"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360;top:1700;width:8800;height:1270" type="#_x0000_t202" id="docshape101" filled="false" stroked="false">
                  <v:textbox inset="0,0,0,0">
                    <w:txbxContent>
                      <w:p>
                        <w:pPr>
                          <w:spacing w:line="279" w:lineRule="exact" w:before="0"/>
                          <w:ind w:left="0" w:right="0"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5"/>
                            <w:sz w:val="28"/>
                          </w:rPr>
                          <w:t> </w:t>
                        </w:r>
                        <w:r>
                          <w:rPr>
                            <w:b/>
                            <w:color w:val="164194"/>
                            <w:sz w:val="28"/>
                          </w:rPr>
                          <w:t>that</w:t>
                        </w:r>
                        <w:r>
                          <w:rPr>
                            <w:b/>
                            <w:color w:val="164194"/>
                            <w:spacing w:val="-6"/>
                            <w:sz w:val="28"/>
                          </w:rPr>
                          <w:t> </w:t>
                        </w:r>
                        <w:r>
                          <w:rPr>
                            <w:b/>
                            <w:color w:val="164194"/>
                            <w:sz w:val="28"/>
                          </w:rPr>
                          <w:t>the</w:t>
                        </w:r>
                        <w:r>
                          <w:rPr>
                            <w:b/>
                            <w:color w:val="164194"/>
                            <w:spacing w:val="-6"/>
                            <w:sz w:val="28"/>
                          </w:rPr>
                          <w:t> </w:t>
                        </w:r>
                        <w:r>
                          <w:rPr>
                            <w:b/>
                            <w:color w:val="164194"/>
                            <w:sz w:val="28"/>
                          </w:rPr>
                          <w:t>UK</w:t>
                        </w:r>
                        <w:r>
                          <w:rPr>
                            <w:b/>
                            <w:color w:val="164194"/>
                            <w:spacing w:val="-6"/>
                            <w:sz w:val="28"/>
                          </w:rPr>
                          <w:t> </w:t>
                        </w:r>
                        <w:r>
                          <w:rPr>
                            <w:b/>
                            <w:color w:val="164194"/>
                            <w:sz w:val="28"/>
                          </w:rPr>
                          <w:t>Government</w:t>
                        </w:r>
                        <w:r>
                          <w:rPr>
                            <w:b/>
                            <w:color w:val="164194"/>
                            <w:spacing w:val="-6"/>
                            <w:sz w:val="28"/>
                          </w:rPr>
                          <w:t> </w:t>
                        </w:r>
                        <w:r>
                          <w:rPr>
                            <w:b/>
                            <w:color w:val="164194"/>
                            <w:sz w:val="28"/>
                          </w:rPr>
                          <w:t>introduce</w:t>
                        </w:r>
                        <w:r>
                          <w:rPr>
                            <w:b/>
                            <w:color w:val="164194"/>
                            <w:spacing w:val="-6"/>
                            <w:sz w:val="28"/>
                          </w:rPr>
                          <w:t> </w:t>
                        </w:r>
                        <w:r>
                          <w:rPr>
                            <w:b/>
                            <w:color w:val="164194"/>
                            <w:sz w:val="28"/>
                          </w:rPr>
                          <w:t>amendments</w:t>
                        </w:r>
                        <w:r>
                          <w:rPr>
                            <w:b/>
                            <w:color w:val="164194"/>
                            <w:spacing w:val="-5"/>
                            <w:sz w:val="28"/>
                          </w:rPr>
                          <w:t> </w:t>
                        </w:r>
                        <w:r>
                          <w:rPr>
                            <w:b/>
                            <w:color w:val="164194"/>
                            <w:spacing w:val="-4"/>
                            <w:sz w:val="28"/>
                          </w:rPr>
                          <w:t>into</w:t>
                        </w:r>
                      </w:p>
                      <w:p>
                        <w:pPr>
                          <w:spacing w:line="232" w:lineRule="auto" w:before="0"/>
                          <w:ind w:left="0" w:right="0" w:firstLine="0"/>
                          <w:jc w:val="left"/>
                          <w:rPr>
                            <w:b/>
                            <w:sz w:val="28"/>
                          </w:rPr>
                        </w:pPr>
                        <w:r>
                          <w:rPr>
                            <w:b/>
                            <w:color w:val="164194"/>
                            <w:sz w:val="28"/>
                          </w:rPr>
                          <w:t>Parliament to amend any enacted legislation that has included provisions limiting</w:t>
                        </w:r>
                        <w:r>
                          <w:rPr>
                            <w:b/>
                            <w:color w:val="164194"/>
                            <w:spacing w:val="-6"/>
                            <w:sz w:val="28"/>
                          </w:rPr>
                          <w:t> </w:t>
                        </w:r>
                        <w:r>
                          <w:rPr>
                            <w:b/>
                            <w:color w:val="164194"/>
                            <w:sz w:val="28"/>
                          </w:rPr>
                          <w:t>the</w:t>
                        </w:r>
                        <w:r>
                          <w:rPr>
                            <w:b/>
                            <w:color w:val="164194"/>
                            <w:spacing w:val="-6"/>
                            <w:sz w:val="28"/>
                          </w:rPr>
                          <w:t> </w:t>
                        </w:r>
                        <w:r>
                          <w:rPr>
                            <w:b/>
                            <w:color w:val="164194"/>
                            <w:sz w:val="28"/>
                          </w:rPr>
                          <w:t>application</w:t>
                        </w:r>
                        <w:r>
                          <w:rPr>
                            <w:b/>
                            <w:color w:val="164194"/>
                            <w:spacing w:val="-5"/>
                            <w:sz w:val="28"/>
                          </w:rPr>
                          <w:t> </w:t>
                        </w:r>
                        <w:r>
                          <w:rPr>
                            <w:b/>
                            <w:color w:val="164194"/>
                            <w:sz w:val="28"/>
                          </w:rPr>
                          <w:t>of</w:t>
                        </w:r>
                        <w:r>
                          <w:rPr>
                            <w:b/>
                            <w:color w:val="164194"/>
                            <w:spacing w:val="-6"/>
                            <w:sz w:val="28"/>
                          </w:rPr>
                          <w:t> </w:t>
                        </w:r>
                        <w:r>
                          <w:rPr>
                            <w:b/>
                            <w:color w:val="164194"/>
                            <w:sz w:val="28"/>
                          </w:rPr>
                          <w:t>section</w:t>
                        </w:r>
                        <w:r>
                          <w:rPr>
                            <w:b/>
                            <w:color w:val="164194"/>
                            <w:spacing w:val="-5"/>
                            <w:sz w:val="28"/>
                          </w:rPr>
                          <w:t> </w:t>
                        </w:r>
                        <w:r>
                          <w:rPr>
                            <w:b/>
                            <w:color w:val="164194"/>
                            <w:sz w:val="28"/>
                          </w:rPr>
                          <w:t>3</w:t>
                        </w:r>
                        <w:r>
                          <w:rPr>
                            <w:b/>
                            <w:color w:val="164194"/>
                            <w:spacing w:val="-5"/>
                            <w:sz w:val="28"/>
                          </w:rPr>
                          <w:t> </w:t>
                        </w:r>
                        <w:r>
                          <w:rPr>
                            <w:b/>
                            <w:color w:val="164194"/>
                            <w:sz w:val="28"/>
                          </w:rPr>
                          <w:t>of</w:t>
                        </w:r>
                        <w:r>
                          <w:rPr>
                            <w:b/>
                            <w:color w:val="164194"/>
                            <w:spacing w:val="-6"/>
                            <w:sz w:val="28"/>
                          </w:rPr>
                          <w:t> </w:t>
                        </w:r>
                        <w:r>
                          <w:rPr>
                            <w:b/>
                            <w:color w:val="164194"/>
                            <w:sz w:val="28"/>
                          </w:rPr>
                          <w:t>the</w:t>
                        </w:r>
                        <w:r>
                          <w:rPr>
                            <w:b/>
                            <w:color w:val="164194"/>
                            <w:spacing w:val="-6"/>
                            <w:sz w:val="28"/>
                          </w:rPr>
                          <w:t> </w:t>
                        </w:r>
                        <w:r>
                          <w:rPr>
                            <w:b/>
                            <w:color w:val="164194"/>
                            <w:sz w:val="28"/>
                          </w:rPr>
                          <w:t>Human</w:t>
                        </w:r>
                        <w:r>
                          <w:rPr>
                            <w:b/>
                            <w:color w:val="164194"/>
                            <w:spacing w:val="-5"/>
                            <w:sz w:val="28"/>
                          </w:rPr>
                          <w:t> </w:t>
                        </w:r>
                        <w:r>
                          <w:rPr>
                            <w:b/>
                            <w:color w:val="164194"/>
                            <w:sz w:val="28"/>
                          </w:rPr>
                          <w:t>Rights</w:t>
                        </w:r>
                        <w:r>
                          <w:rPr>
                            <w:b/>
                            <w:color w:val="164194"/>
                            <w:spacing w:val="-5"/>
                            <w:sz w:val="28"/>
                          </w:rPr>
                          <w:t> </w:t>
                        </w:r>
                        <w:r>
                          <w:rPr>
                            <w:b/>
                            <w:color w:val="164194"/>
                            <w:sz w:val="28"/>
                          </w:rPr>
                          <w:t>Act</w:t>
                        </w:r>
                        <w:r>
                          <w:rPr>
                            <w:b/>
                            <w:color w:val="164194"/>
                            <w:spacing w:val="-5"/>
                            <w:sz w:val="28"/>
                          </w:rPr>
                          <w:t> </w:t>
                        </w:r>
                        <w:r>
                          <w:rPr>
                            <w:b/>
                            <w:color w:val="164194"/>
                            <w:sz w:val="28"/>
                          </w:rPr>
                          <w:t>to</w:t>
                        </w:r>
                        <w:r>
                          <w:rPr>
                            <w:b/>
                            <w:color w:val="164194"/>
                            <w:spacing w:val="-5"/>
                            <w:sz w:val="28"/>
                          </w:rPr>
                          <w:t> </w:t>
                        </w:r>
                        <w:r>
                          <w:rPr>
                            <w:b/>
                            <w:color w:val="164194"/>
                            <w:sz w:val="28"/>
                          </w:rPr>
                          <w:t>remove</w:t>
                        </w:r>
                        <w:r>
                          <w:rPr>
                            <w:b/>
                            <w:color w:val="164194"/>
                            <w:spacing w:val="-6"/>
                            <w:sz w:val="28"/>
                          </w:rPr>
                          <w:t> </w:t>
                        </w:r>
                        <w:r>
                          <w:rPr>
                            <w:b/>
                            <w:color w:val="164194"/>
                            <w:sz w:val="28"/>
                          </w:rPr>
                          <w:t>that </w:t>
                        </w:r>
                        <w:r>
                          <w:rPr>
                            <w:b/>
                            <w:color w:val="164194"/>
                            <w:spacing w:val="-2"/>
                            <w:sz w:val="28"/>
                          </w:rPr>
                          <w:t>limitation.</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5"/>
      </w:pPr>
    </w:p>
    <w:p>
      <w:pPr>
        <w:pStyle w:val="BodyText"/>
        <w:spacing w:line="232" w:lineRule="auto"/>
        <w:ind w:left="720" w:right="1226"/>
        <w:jc w:val="both"/>
      </w:pPr>
      <w:r>
        <w:rPr/>
        <w:t>We</w:t>
      </w:r>
      <w:r>
        <w:rPr>
          <w:spacing w:val="-16"/>
        </w:rPr>
        <w:t> </w:t>
      </w:r>
      <w:r>
        <w:rPr/>
        <w:t>note</w:t>
      </w:r>
      <w:r>
        <w:rPr>
          <w:spacing w:val="-16"/>
        </w:rPr>
        <w:t> </w:t>
      </w:r>
      <w:r>
        <w:rPr/>
        <w:t>problems</w:t>
      </w:r>
      <w:r>
        <w:rPr>
          <w:spacing w:val="-16"/>
        </w:rPr>
        <w:t> </w:t>
      </w:r>
      <w:r>
        <w:rPr/>
        <w:t>identified</w:t>
      </w:r>
      <w:r>
        <w:rPr>
          <w:spacing w:val="-16"/>
        </w:rPr>
        <w:t> </w:t>
      </w:r>
      <w:r>
        <w:rPr/>
        <w:t>by</w:t>
      </w:r>
      <w:r>
        <w:rPr>
          <w:spacing w:val="-15"/>
        </w:rPr>
        <w:t> </w:t>
      </w:r>
      <w:r>
        <w:rPr/>
        <w:t>civil</w:t>
      </w:r>
      <w:r>
        <w:rPr>
          <w:spacing w:val="-16"/>
        </w:rPr>
        <w:t> </w:t>
      </w:r>
      <w:r>
        <w:rPr/>
        <w:t>society,</w:t>
      </w:r>
      <w:r>
        <w:rPr>
          <w:spacing w:val="-16"/>
        </w:rPr>
        <w:t> </w:t>
      </w:r>
      <w:r>
        <w:rPr/>
        <w:t>the</w:t>
      </w:r>
      <w:r>
        <w:rPr>
          <w:spacing w:val="-16"/>
        </w:rPr>
        <w:t> </w:t>
      </w:r>
      <w:r>
        <w:rPr/>
        <w:t>NIHRC</w:t>
      </w:r>
      <w:r>
        <w:rPr>
          <w:spacing w:val="-16"/>
        </w:rPr>
        <w:t> </w:t>
      </w:r>
      <w:r>
        <w:rPr/>
        <w:t>and</w:t>
      </w:r>
      <w:r>
        <w:rPr>
          <w:spacing w:val="-15"/>
        </w:rPr>
        <w:t> </w:t>
      </w:r>
      <w:r>
        <w:rPr/>
        <w:t>ECNI</w:t>
      </w:r>
      <w:r>
        <w:rPr>
          <w:spacing w:val="-16"/>
        </w:rPr>
        <w:t> </w:t>
      </w:r>
      <w:r>
        <w:rPr/>
        <w:t>and</w:t>
      </w:r>
      <w:r>
        <w:rPr>
          <w:spacing w:val="-16"/>
        </w:rPr>
        <w:t> </w:t>
      </w:r>
      <w:r>
        <w:rPr/>
        <w:t>parliamentary committees</w:t>
      </w:r>
      <w:r>
        <w:rPr>
          <w:spacing w:val="-11"/>
        </w:rPr>
        <w:t> </w:t>
      </w:r>
      <w:r>
        <w:rPr/>
        <w:t>about</w:t>
      </w:r>
      <w:r>
        <w:rPr>
          <w:spacing w:val="-11"/>
        </w:rPr>
        <w:t> </w:t>
      </w:r>
      <w:r>
        <w:rPr/>
        <w:t>the</w:t>
      </w:r>
      <w:r>
        <w:rPr>
          <w:spacing w:val="-11"/>
        </w:rPr>
        <w:t> </w:t>
      </w:r>
      <w:r>
        <w:rPr/>
        <w:t>Nationality</w:t>
      </w:r>
      <w:r>
        <w:rPr>
          <w:spacing w:val="-11"/>
        </w:rPr>
        <w:t> </w:t>
      </w:r>
      <w:r>
        <w:rPr/>
        <w:t>and</w:t>
      </w:r>
      <w:r>
        <w:rPr>
          <w:spacing w:val="-11"/>
        </w:rPr>
        <w:t> </w:t>
      </w:r>
      <w:r>
        <w:rPr/>
        <w:t>Borders</w:t>
      </w:r>
      <w:r>
        <w:rPr>
          <w:spacing w:val="-11"/>
        </w:rPr>
        <w:t> </w:t>
      </w:r>
      <w:r>
        <w:rPr/>
        <w:t>Act</w:t>
      </w:r>
      <w:r>
        <w:rPr>
          <w:spacing w:val="-11"/>
        </w:rPr>
        <w:t> </w:t>
      </w:r>
      <w:r>
        <w:rPr/>
        <w:t>2022,</w:t>
      </w:r>
      <w:r>
        <w:rPr>
          <w:vertAlign w:val="superscript"/>
        </w:rPr>
        <w:t>11</w:t>
      </w:r>
      <w:r>
        <w:rPr>
          <w:spacing w:val="-11"/>
          <w:vertAlign w:val="baseline"/>
        </w:rPr>
        <w:t> </w:t>
      </w:r>
      <w:r>
        <w:rPr>
          <w:vertAlign w:val="baseline"/>
        </w:rPr>
        <w:t>the</w:t>
      </w:r>
      <w:r>
        <w:rPr>
          <w:spacing w:val="-11"/>
          <w:vertAlign w:val="baseline"/>
        </w:rPr>
        <w:t> </w:t>
      </w:r>
      <w:r>
        <w:rPr>
          <w:vertAlign w:val="baseline"/>
        </w:rPr>
        <w:t>Elections</w:t>
      </w:r>
      <w:r>
        <w:rPr>
          <w:spacing w:val="-11"/>
          <w:vertAlign w:val="baseline"/>
        </w:rPr>
        <w:t> </w:t>
      </w:r>
      <w:r>
        <w:rPr>
          <w:vertAlign w:val="baseline"/>
        </w:rPr>
        <w:t>Act</w:t>
      </w:r>
      <w:r>
        <w:rPr>
          <w:spacing w:val="-11"/>
          <w:vertAlign w:val="baseline"/>
        </w:rPr>
        <w:t> </w:t>
      </w:r>
      <w:r>
        <w:rPr>
          <w:vertAlign w:val="baseline"/>
        </w:rPr>
        <w:t>2022,</w:t>
      </w:r>
      <w:r>
        <w:rPr>
          <w:vertAlign w:val="superscript"/>
        </w:rPr>
        <w:t>12</w:t>
      </w:r>
      <w:r>
        <w:rPr>
          <w:vertAlign w:val="baseline"/>
        </w:rPr>
        <w:t> the</w:t>
      </w:r>
      <w:r>
        <w:rPr>
          <w:spacing w:val="-2"/>
          <w:vertAlign w:val="baseline"/>
        </w:rPr>
        <w:t> </w:t>
      </w:r>
      <w:r>
        <w:rPr>
          <w:vertAlign w:val="baseline"/>
        </w:rPr>
        <w:t>Illegal</w:t>
      </w:r>
      <w:r>
        <w:rPr>
          <w:spacing w:val="-2"/>
          <w:vertAlign w:val="baseline"/>
        </w:rPr>
        <w:t> </w:t>
      </w:r>
      <w:r>
        <w:rPr>
          <w:vertAlign w:val="baseline"/>
        </w:rPr>
        <w:t>Migration</w:t>
      </w:r>
      <w:r>
        <w:rPr>
          <w:spacing w:val="-2"/>
          <w:vertAlign w:val="baseline"/>
        </w:rPr>
        <w:t> </w:t>
      </w:r>
      <w:r>
        <w:rPr>
          <w:vertAlign w:val="baseline"/>
        </w:rPr>
        <w:t>Act</w:t>
      </w:r>
      <w:r>
        <w:rPr>
          <w:spacing w:val="-2"/>
          <w:vertAlign w:val="baseline"/>
        </w:rPr>
        <w:t> </w:t>
      </w:r>
      <w:r>
        <w:rPr>
          <w:vertAlign w:val="baseline"/>
        </w:rPr>
        <w:t>2023,</w:t>
      </w:r>
      <w:r>
        <w:rPr>
          <w:vertAlign w:val="superscript"/>
        </w:rPr>
        <w:t>13</w:t>
      </w:r>
      <w:r>
        <w:rPr>
          <w:spacing w:val="-2"/>
          <w:vertAlign w:val="baseline"/>
        </w:rPr>
        <w:t> </w:t>
      </w:r>
      <w:r>
        <w:rPr>
          <w:vertAlign w:val="baseline"/>
        </w:rPr>
        <w:t>the</w:t>
      </w:r>
      <w:r>
        <w:rPr>
          <w:spacing w:val="-2"/>
          <w:vertAlign w:val="baseline"/>
        </w:rPr>
        <w:t> </w:t>
      </w:r>
      <w:r>
        <w:rPr>
          <w:vertAlign w:val="baseline"/>
        </w:rPr>
        <w:t>Safety</w:t>
      </w:r>
      <w:r>
        <w:rPr>
          <w:spacing w:val="-2"/>
          <w:vertAlign w:val="baseline"/>
        </w:rPr>
        <w:t> </w:t>
      </w:r>
      <w:r>
        <w:rPr>
          <w:vertAlign w:val="baseline"/>
        </w:rPr>
        <w:t>of</w:t>
      </w:r>
      <w:r>
        <w:rPr>
          <w:spacing w:val="-2"/>
          <w:vertAlign w:val="baseline"/>
        </w:rPr>
        <w:t> </w:t>
      </w:r>
      <w:r>
        <w:rPr>
          <w:vertAlign w:val="baseline"/>
        </w:rPr>
        <w:t>Rwanda</w:t>
      </w:r>
      <w:r>
        <w:rPr>
          <w:spacing w:val="-2"/>
          <w:vertAlign w:val="baseline"/>
        </w:rPr>
        <w:t> </w:t>
      </w:r>
      <w:r>
        <w:rPr>
          <w:vertAlign w:val="baseline"/>
        </w:rPr>
        <w:t>(Asylum</w:t>
      </w:r>
      <w:r>
        <w:rPr>
          <w:spacing w:val="-2"/>
          <w:vertAlign w:val="baseline"/>
        </w:rPr>
        <w:t> </w:t>
      </w:r>
      <w:r>
        <w:rPr>
          <w:vertAlign w:val="baseline"/>
        </w:rPr>
        <w:t>and</w:t>
      </w:r>
      <w:r>
        <w:rPr>
          <w:spacing w:val="-2"/>
          <w:vertAlign w:val="baseline"/>
        </w:rPr>
        <w:t> </w:t>
      </w:r>
      <w:r>
        <w:rPr>
          <w:vertAlign w:val="baseline"/>
        </w:rPr>
        <w:t>Immigration)</w:t>
      </w:r>
    </w:p>
    <w:p>
      <w:pPr>
        <w:pStyle w:val="BodyText"/>
        <w:spacing w:line="232" w:lineRule="auto"/>
        <w:ind w:left="720" w:right="1087"/>
      </w:pPr>
      <w:r>
        <w:rPr/>
        <w:t>Bill</w:t>
      </w:r>
      <w:r>
        <w:rPr>
          <w:spacing w:val="-3"/>
        </w:rPr>
        <w:t> </w:t>
      </w:r>
      <w:r>
        <w:rPr/>
        <w:t>(now</w:t>
      </w:r>
      <w:r>
        <w:rPr>
          <w:spacing w:val="-3"/>
        </w:rPr>
        <w:t> </w:t>
      </w:r>
      <w:r>
        <w:rPr/>
        <w:t>the</w:t>
      </w:r>
      <w:r>
        <w:rPr>
          <w:spacing w:val="-3"/>
        </w:rPr>
        <w:t> </w:t>
      </w:r>
      <w:r>
        <w:rPr/>
        <w:t>Safety</w:t>
      </w:r>
      <w:r>
        <w:rPr>
          <w:spacing w:val="-3"/>
        </w:rPr>
        <w:t> </w:t>
      </w:r>
      <w:r>
        <w:rPr/>
        <w:t>of</w:t>
      </w:r>
      <w:r>
        <w:rPr>
          <w:spacing w:val="-3"/>
        </w:rPr>
        <w:t> </w:t>
      </w:r>
      <w:r>
        <w:rPr/>
        <w:t>Rwanda</w:t>
      </w:r>
      <w:r>
        <w:rPr>
          <w:spacing w:val="-3"/>
        </w:rPr>
        <w:t> </w:t>
      </w:r>
      <w:r>
        <w:rPr/>
        <w:t>Act),</w:t>
      </w:r>
      <w:r>
        <w:rPr>
          <w:vertAlign w:val="superscript"/>
        </w:rPr>
        <w:t>14</w:t>
      </w:r>
      <w:r>
        <w:rPr>
          <w:spacing w:val="-3"/>
          <w:vertAlign w:val="baseline"/>
        </w:rPr>
        <w:t> </w:t>
      </w:r>
      <w:r>
        <w:rPr>
          <w:vertAlign w:val="baseline"/>
        </w:rPr>
        <w:t>the</w:t>
      </w:r>
      <w:r>
        <w:rPr>
          <w:spacing w:val="-3"/>
          <w:vertAlign w:val="baseline"/>
        </w:rPr>
        <w:t> </w:t>
      </w:r>
      <w:r>
        <w:rPr>
          <w:vertAlign w:val="baseline"/>
        </w:rPr>
        <w:t>Northern</w:t>
      </w:r>
      <w:r>
        <w:rPr>
          <w:spacing w:val="-3"/>
          <w:vertAlign w:val="baseline"/>
        </w:rPr>
        <w:t> </w:t>
      </w:r>
      <w:r>
        <w:rPr>
          <w:vertAlign w:val="baseline"/>
        </w:rPr>
        <w:t>Ireland</w:t>
      </w:r>
      <w:r>
        <w:rPr>
          <w:spacing w:val="-3"/>
          <w:vertAlign w:val="baseline"/>
        </w:rPr>
        <w:t> </w:t>
      </w:r>
      <w:r>
        <w:rPr>
          <w:vertAlign w:val="baseline"/>
        </w:rPr>
        <w:t>Troubles</w:t>
      </w:r>
      <w:r>
        <w:rPr>
          <w:spacing w:val="-3"/>
          <w:vertAlign w:val="baseline"/>
        </w:rPr>
        <w:t> </w:t>
      </w:r>
      <w:r>
        <w:rPr>
          <w:vertAlign w:val="baseline"/>
        </w:rPr>
        <w:t>(Legacy</w:t>
      </w:r>
      <w:r>
        <w:rPr>
          <w:spacing w:val="-3"/>
          <w:vertAlign w:val="baseline"/>
        </w:rPr>
        <w:t> </w:t>
      </w:r>
      <w:r>
        <w:rPr>
          <w:vertAlign w:val="baseline"/>
        </w:rPr>
        <w:t>and Reconciliation)</w:t>
      </w:r>
      <w:r>
        <w:rPr>
          <w:spacing w:val="-6"/>
          <w:vertAlign w:val="baseline"/>
        </w:rPr>
        <w:t> </w:t>
      </w:r>
      <w:r>
        <w:rPr>
          <w:vertAlign w:val="baseline"/>
        </w:rPr>
        <w:t>Act</w:t>
      </w:r>
      <w:r>
        <w:rPr>
          <w:spacing w:val="-6"/>
          <w:vertAlign w:val="baseline"/>
        </w:rPr>
        <w:t> </w:t>
      </w:r>
      <w:r>
        <w:rPr>
          <w:vertAlign w:val="baseline"/>
        </w:rPr>
        <w:t>2023,</w:t>
      </w:r>
      <w:r>
        <w:rPr>
          <w:vertAlign w:val="superscript"/>
        </w:rPr>
        <w:t>15</w:t>
      </w:r>
      <w:r>
        <w:rPr>
          <w:spacing w:val="-6"/>
          <w:vertAlign w:val="baseline"/>
        </w:rPr>
        <w:t> </w:t>
      </w:r>
      <w:r>
        <w:rPr>
          <w:vertAlign w:val="baseline"/>
        </w:rPr>
        <w:t>the</w:t>
      </w:r>
      <w:r>
        <w:rPr>
          <w:spacing w:val="-6"/>
          <w:vertAlign w:val="baseline"/>
        </w:rPr>
        <w:t> </w:t>
      </w:r>
      <w:r>
        <w:rPr>
          <w:vertAlign w:val="baseline"/>
        </w:rPr>
        <w:t>Data</w:t>
      </w:r>
      <w:r>
        <w:rPr>
          <w:spacing w:val="-6"/>
          <w:vertAlign w:val="baseline"/>
        </w:rPr>
        <w:t> </w:t>
      </w:r>
      <w:r>
        <w:rPr>
          <w:vertAlign w:val="baseline"/>
        </w:rPr>
        <w:t>Protection</w:t>
      </w:r>
      <w:r>
        <w:rPr>
          <w:spacing w:val="-6"/>
          <w:vertAlign w:val="baseline"/>
        </w:rPr>
        <w:t> </w:t>
      </w:r>
      <w:r>
        <w:rPr>
          <w:vertAlign w:val="baseline"/>
        </w:rPr>
        <w:t>and</w:t>
      </w:r>
      <w:r>
        <w:rPr>
          <w:spacing w:val="-6"/>
          <w:vertAlign w:val="baseline"/>
        </w:rPr>
        <w:t> </w:t>
      </w:r>
      <w:r>
        <w:rPr>
          <w:vertAlign w:val="baseline"/>
        </w:rPr>
        <w:t>Digital</w:t>
      </w:r>
      <w:r>
        <w:rPr>
          <w:spacing w:val="-6"/>
          <w:vertAlign w:val="baseline"/>
        </w:rPr>
        <w:t> </w:t>
      </w:r>
      <w:r>
        <w:rPr>
          <w:vertAlign w:val="baseline"/>
        </w:rPr>
        <w:t>Information</w:t>
      </w:r>
      <w:r>
        <w:rPr>
          <w:spacing w:val="-6"/>
          <w:vertAlign w:val="baseline"/>
        </w:rPr>
        <w:t> </w:t>
      </w:r>
      <w:r>
        <w:rPr>
          <w:vertAlign w:val="baseline"/>
        </w:rPr>
        <w:t>(No</w:t>
      </w:r>
      <w:r>
        <w:rPr>
          <w:spacing w:val="-6"/>
          <w:vertAlign w:val="baseline"/>
        </w:rPr>
        <w:t> </w:t>
      </w:r>
      <w:r>
        <w:rPr>
          <w:vertAlign w:val="baseline"/>
        </w:rPr>
        <w:t>2)</w:t>
      </w:r>
      <w:r>
        <w:rPr>
          <w:spacing w:val="-6"/>
          <w:vertAlign w:val="baseline"/>
        </w:rPr>
        <w:t> </w:t>
      </w:r>
      <w:r>
        <w:rPr>
          <w:vertAlign w:val="baseline"/>
        </w:rPr>
        <w:t>Bill,</w:t>
      </w:r>
      <w:r>
        <w:rPr>
          <w:vertAlign w:val="superscript"/>
        </w:rPr>
        <w:t>16</w:t>
      </w:r>
      <w:r>
        <w:rPr>
          <w:vertAlign w:val="baseline"/>
        </w:rPr>
        <w:t> and the Victims and Prisoners Bill 2023 (now Victims and Prisoners Act 2024).</w:t>
      </w:r>
      <w:r>
        <w:rPr>
          <w:vertAlign w:val="superscript"/>
        </w:rPr>
        <w:t>17</w:t>
      </w:r>
      <w:r>
        <w:rPr>
          <w:vertAlign w:val="baseline"/>
        </w:rPr>
        <w:t> These</w:t>
      </w:r>
      <w:r>
        <w:rPr>
          <w:spacing w:val="-1"/>
          <w:vertAlign w:val="baseline"/>
        </w:rPr>
        <w:t> </w:t>
      </w:r>
      <w:r>
        <w:rPr>
          <w:vertAlign w:val="baseline"/>
        </w:rPr>
        <w:t>all</w:t>
      </w:r>
      <w:r>
        <w:rPr>
          <w:spacing w:val="-1"/>
          <w:vertAlign w:val="baseline"/>
        </w:rPr>
        <w:t> </w:t>
      </w:r>
      <w:r>
        <w:rPr>
          <w:vertAlign w:val="baseline"/>
        </w:rPr>
        <w:t>raise</w:t>
      </w:r>
      <w:r>
        <w:rPr>
          <w:spacing w:val="-1"/>
          <w:vertAlign w:val="baseline"/>
        </w:rPr>
        <w:t> </w:t>
      </w:r>
      <w:r>
        <w:rPr>
          <w:vertAlign w:val="baseline"/>
        </w:rPr>
        <w:t>serious</w:t>
      </w:r>
      <w:r>
        <w:rPr>
          <w:spacing w:val="-1"/>
          <w:vertAlign w:val="baseline"/>
        </w:rPr>
        <w:t> </w:t>
      </w:r>
      <w:r>
        <w:rPr>
          <w:vertAlign w:val="baseline"/>
        </w:rPr>
        <w:t>issues</w:t>
      </w:r>
      <w:r>
        <w:rPr>
          <w:spacing w:val="-1"/>
          <w:vertAlign w:val="baseline"/>
        </w:rPr>
        <w:t> </w:t>
      </w:r>
      <w:r>
        <w:rPr>
          <w:vertAlign w:val="baseline"/>
        </w:rPr>
        <w:t>of</w:t>
      </w:r>
      <w:r>
        <w:rPr>
          <w:spacing w:val="-1"/>
          <w:vertAlign w:val="baseline"/>
        </w:rPr>
        <w:t> </w:t>
      </w:r>
      <w:r>
        <w:rPr>
          <w:vertAlign w:val="baseline"/>
        </w:rPr>
        <w:t>compatibility</w:t>
      </w:r>
      <w:r>
        <w:rPr>
          <w:spacing w:val="-1"/>
          <w:vertAlign w:val="baseline"/>
        </w:rPr>
        <w:t> </w:t>
      </w:r>
      <w:r>
        <w:rPr>
          <w:vertAlign w:val="baseline"/>
        </w:rPr>
        <w:t>with</w:t>
      </w:r>
      <w:r>
        <w:rPr>
          <w:spacing w:val="-1"/>
          <w:vertAlign w:val="baseline"/>
        </w:rPr>
        <w:t> </w:t>
      </w:r>
      <w:r>
        <w:rPr>
          <w:vertAlign w:val="baseline"/>
        </w:rPr>
        <w:t>Article</w:t>
      </w:r>
      <w:r>
        <w:rPr>
          <w:spacing w:val="-1"/>
          <w:vertAlign w:val="baseline"/>
        </w:rPr>
        <w:t> </w:t>
      </w:r>
      <w:r>
        <w:rPr>
          <w:vertAlign w:val="baseline"/>
        </w:rPr>
        <w:t>2</w:t>
      </w:r>
      <w:r>
        <w:rPr>
          <w:spacing w:val="-1"/>
          <w:vertAlign w:val="baseline"/>
        </w:rPr>
        <w:t> </w:t>
      </w:r>
      <w:r>
        <w:rPr>
          <w:vertAlign w:val="baseline"/>
        </w:rPr>
        <w:t>WF.</w:t>
      </w:r>
      <w:r>
        <w:rPr>
          <w:spacing w:val="-1"/>
          <w:vertAlign w:val="baseline"/>
        </w:rPr>
        <w:t> </w:t>
      </w:r>
      <w:r>
        <w:rPr>
          <w:vertAlign w:val="baseline"/>
        </w:rPr>
        <w:t>The</w:t>
      </w:r>
      <w:r>
        <w:rPr>
          <w:spacing w:val="-1"/>
          <w:vertAlign w:val="baseline"/>
        </w:rPr>
        <w:t> </w:t>
      </w:r>
      <w:r>
        <w:rPr>
          <w:vertAlign w:val="baseline"/>
        </w:rPr>
        <w:t>High</w:t>
      </w:r>
      <w:r>
        <w:rPr>
          <w:spacing w:val="-1"/>
          <w:vertAlign w:val="baseline"/>
        </w:rPr>
        <w:t> </w:t>
      </w:r>
      <w:r>
        <w:rPr>
          <w:vertAlign w:val="baseline"/>
        </w:rPr>
        <w:t>Court</w:t>
      </w:r>
      <w:r>
        <w:rPr>
          <w:spacing w:val="-1"/>
          <w:vertAlign w:val="baseline"/>
        </w:rPr>
        <w:t> </w:t>
      </w:r>
      <w:r>
        <w:rPr>
          <w:vertAlign w:val="baseline"/>
        </w:rPr>
        <w:t>has already</w:t>
      </w:r>
      <w:r>
        <w:rPr>
          <w:spacing w:val="-13"/>
          <w:vertAlign w:val="baseline"/>
        </w:rPr>
        <w:t> </w:t>
      </w:r>
      <w:r>
        <w:rPr>
          <w:vertAlign w:val="baseline"/>
        </w:rPr>
        <w:t>had</w:t>
      </w:r>
      <w:r>
        <w:rPr>
          <w:spacing w:val="-13"/>
          <w:vertAlign w:val="baseline"/>
        </w:rPr>
        <w:t> </w:t>
      </w:r>
      <w:r>
        <w:rPr>
          <w:vertAlign w:val="baseline"/>
        </w:rPr>
        <w:t>occasion</w:t>
      </w:r>
      <w:r>
        <w:rPr>
          <w:spacing w:val="-13"/>
          <w:vertAlign w:val="baseline"/>
        </w:rPr>
        <w:t> </w:t>
      </w:r>
      <w:r>
        <w:rPr>
          <w:vertAlign w:val="baseline"/>
        </w:rPr>
        <w:t>to</w:t>
      </w:r>
      <w:r>
        <w:rPr>
          <w:spacing w:val="-13"/>
          <w:vertAlign w:val="baseline"/>
        </w:rPr>
        <w:t> </w:t>
      </w:r>
      <w:r>
        <w:rPr>
          <w:vertAlign w:val="baseline"/>
        </w:rPr>
        <w:t>disapply</w:t>
      </w:r>
      <w:r>
        <w:rPr>
          <w:spacing w:val="-13"/>
          <w:vertAlign w:val="baseline"/>
        </w:rPr>
        <w:t> </w:t>
      </w:r>
      <w:r>
        <w:rPr>
          <w:vertAlign w:val="baseline"/>
        </w:rPr>
        <w:t>sections</w:t>
      </w:r>
      <w:r>
        <w:rPr>
          <w:spacing w:val="-13"/>
          <w:vertAlign w:val="baseline"/>
        </w:rPr>
        <w:t> </w:t>
      </w:r>
      <w:r>
        <w:rPr>
          <w:vertAlign w:val="baseline"/>
        </w:rPr>
        <w:t>of</w:t>
      </w:r>
      <w:r>
        <w:rPr>
          <w:spacing w:val="-13"/>
          <w:vertAlign w:val="baseline"/>
        </w:rPr>
        <w:t> </w:t>
      </w:r>
      <w:r>
        <w:rPr>
          <w:vertAlign w:val="baseline"/>
        </w:rPr>
        <w:t>the</w:t>
      </w:r>
      <w:r>
        <w:rPr>
          <w:spacing w:val="-13"/>
          <w:vertAlign w:val="baseline"/>
        </w:rPr>
        <w:t> </w:t>
      </w:r>
      <w:r>
        <w:rPr>
          <w:vertAlign w:val="baseline"/>
        </w:rPr>
        <w:t>Legacy</w:t>
      </w:r>
      <w:r>
        <w:rPr>
          <w:spacing w:val="-13"/>
          <w:vertAlign w:val="baseline"/>
        </w:rPr>
        <w:t> </w:t>
      </w:r>
      <w:r>
        <w:rPr>
          <w:vertAlign w:val="baseline"/>
        </w:rPr>
        <w:t>Act</w:t>
      </w:r>
      <w:r>
        <w:rPr>
          <w:spacing w:val="-13"/>
          <w:vertAlign w:val="baseline"/>
        </w:rPr>
        <w:t> </w:t>
      </w:r>
      <w:r>
        <w:rPr>
          <w:vertAlign w:val="baseline"/>
        </w:rPr>
        <w:t>and</w:t>
      </w:r>
      <w:r>
        <w:rPr>
          <w:spacing w:val="-13"/>
          <w:vertAlign w:val="baseline"/>
        </w:rPr>
        <w:t> </w:t>
      </w:r>
      <w:r>
        <w:rPr>
          <w:vertAlign w:val="baseline"/>
        </w:rPr>
        <w:t>Illegal</w:t>
      </w:r>
      <w:r>
        <w:rPr>
          <w:spacing w:val="-13"/>
          <w:vertAlign w:val="baseline"/>
        </w:rPr>
        <w:t> </w:t>
      </w:r>
      <w:r>
        <w:rPr>
          <w:vertAlign w:val="baseline"/>
        </w:rPr>
        <w:t>Migration</w:t>
      </w:r>
      <w:r>
        <w:rPr>
          <w:spacing w:val="-13"/>
          <w:vertAlign w:val="baseline"/>
        </w:rPr>
        <w:t> </w:t>
      </w:r>
      <w:r>
        <w:rPr>
          <w:vertAlign w:val="baseline"/>
        </w:rPr>
        <w:t>Act due</w:t>
      </w:r>
      <w:r>
        <w:rPr>
          <w:spacing w:val="-2"/>
          <w:vertAlign w:val="baseline"/>
        </w:rPr>
        <w:t> </w:t>
      </w:r>
      <w:r>
        <w:rPr>
          <w:vertAlign w:val="baseline"/>
        </w:rPr>
        <w:t>to</w:t>
      </w:r>
      <w:r>
        <w:rPr>
          <w:spacing w:val="-2"/>
          <w:vertAlign w:val="baseline"/>
        </w:rPr>
        <w:t> </w:t>
      </w:r>
      <w:r>
        <w:rPr>
          <w:vertAlign w:val="baseline"/>
        </w:rPr>
        <w:t>incompatibility</w:t>
      </w:r>
      <w:r>
        <w:rPr>
          <w:spacing w:val="-2"/>
          <w:vertAlign w:val="baseline"/>
        </w:rPr>
        <w:t> </w:t>
      </w:r>
      <w:r>
        <w:rPr>
          <w:vertAlign w:val="baseline"/>
        </w:rPr>
        <w:t>with</w:t>
      </w:r>
      <w:r>
        <w:rPr>
          <w:spacing w:val="-2"/>
          <w:vertAlign w:val="baseline"/>
        </w:rPr>
        <w:t> </w:t>
      </w:r>
      <w:r>
        <w:rPr>
          <w:vertAlign w:val="baseline"/>
        </w:rPr>
        <w:t>Article</w:t>
      </w:r>
      <w:r>
        <w:rPr>
          <w:spacing w:val="-2"/>
          <w:vertAlign w:val="baseline"/>
        </w:rPr>
        <w:t> </w:t>
      </w:r>
      <w:r>
        <w:rPr>
          <w:vertAlign w:val="baseline"/>
        </w:rPr>
        <w:t>2</w:t>
      </w:r>
      <w:r>
        <w:rPr>
          <w:spacing w:val="-2"/>
          <w:vertAlign w:val="baseline"/>
        </w:rPr>
        <w:t> </w:t>
      </w:r>
      <w:r>
        <w:rPr>
          <w:vertAlign w:val="baseline"/>
        </w:rPr>
        <w:t>WF.</w:t>
      </w:r>
      <w:r>
        <w:rPr>
          <w:spacing w:val="-2"/>
          <w:vertAlign w:val="baseline"/>
        </w:rPr>
        <w:t> </w:t>
      </w:r>
      <w:r>
        <w:rPr>
          <w:vertAlign w:val="baseline"/>
        </w:rPr>
        <w:t>We</w:t>
      </w:r>
      <w:r>
        <w:rPr>
          <w:spacing w:val="-2"/>
          <w:vertAlign w:val="baseline"/>
        </w:rPr>
        <w:t> </w:t>
      </w:r>
      <w:r>
        <w:rPr>
          <w:vertAlign w:val="baseline"/>
        </w:rPr>
        <w:t>make</w:t>
      </w:r>
      <w:r>
        <w:rPr>
          <w:spacing w:val="-2"/>
          <w:vertAlign w:val="baseline"/>
        </w:rPr>
        <w:t> </w:t>
      </w:r>
      <w:r>
        <w:rPr>
          <w:vertAlign w:val="baseline"/>
        </w:rPr>
        <w:t>a</w:t>
      </w:r>
      <w:r>
        <w:rPr>
          <w:spacing w:val="-2"/>
          <w:vertAlign w:val="baseline"/>
        </w:rPr>
        <w:t> </w:t>
      </w:r>
      <w:r>
        <w:rPr>
          <w:vertAlign w:val="baseline"/>
        </w:rPr>
        <w:t>number</w:t>
      </w:r>
      <w:r>
        <w:rPr>
          <w:spacing w:val="-2"/>
          <w:vertAlign w:val="baseline"/>
        </w:rPr>
        <w:t> </w:t>
      </w:r>
      <w:r>
        <w:rPr>
          <w:vertAlign w:val="baseline"/>
        </w:rPr>
        <w:t>of</w:t>
      </w:r>
      <w:r>
        <w:rPr>
          <w:spacing w:val="-3"/>
          <w:vertAlign w:val="baseline"/>
        </w:rPr>
        <w:t> </w:t>
      </w:r>
      <w:r>
        <w:rPr>
          <w:b/>
          <w:vertAlign w:val="baseline"/>
        </w:rPr>
        <w:t>recommendations in Chapter 2, section 2.3 concerning these legislative provisions</w:t>
      </w:r>
      <w:r>
        <w:rPr>
          <w:vertAlign w:val="baseline"/>
        </w:rPr>
        <w:t>.</w:t>
      </w:r>
    </w:p>
    <w:p>
      <w:pPr>
        <w:pStyle w:val="BodyText"/>
        <w:spacing w:line="232" w:lineRule="auto" w:before="268"/>
        <w:ind w:left="720" w:right="1250"/>
      </w:pPr>
      <w:r>
        <w:rPr/>
        <w:t>On a more procedural matter, we are concerned that legislative proposals from the Government frequently do not show any evidence that the Government has adequately considered possible Article 2 WF issues. Correspondence from the UK Government to the Lords Sub-committee indicates that departments are working to provide an account of retained EU law, including where retained EU law falls within the scope of Article 2 WF.</w:t>
      </w:r>
      <w:r>
        <w:rPr>
          <w:vertAlign w:val="superscript"/>
        </w:rPr>
        <w:t>18</w:t>
      </w:r>
      <w:r>
        <w:rPr>
          <w:vertAlign w:val="baseline"/>
        </w:rPr>
        <w:t> We are struck by the relative inattention that legislators</w:t>
      </w:r>
      <w:r>
        <w:rPr>
          <w:spacing w:val="-6"/>
          <w:vertAlign w:val="baseline"/>
        </w:rPr>
        <w:t> </w:t>
      </w:r>
      <w:r>
        <w:rPr>
          <w:vertAlign w:val="baseline"/>
        </w:rPr>
        <w:t>and</w:t>
      </w:r>
      <w:r>
        <w:rPr>
          <w:spacing w:val="-6"/>
          <w:vertAlign w:val="baseline"/>
        </w:rPr>
        <w:t> </w:t>
      </w:r>
      <w:r>
        <w:rPr>
          <w:vertAlign w:val="baseline"/>
        </w:rPr>
        <w:t>policymakers</w:t>
      </w:r>
      <w:r>
        <w:rPr>
          <w:spacing w:val="-6"/>
          <w:vertAlign w:val="baseline"/>
        </w:rPr>
        <w:t> </w:t>
      </w:r>
      <w:r>
        <w:rPr>
          <w:vertAlign w:val="baseline"/>
        </w:rPr>
        <w:t>in</w:t>
      </w:r>
      <w:r>
        <w:rPr>
          <w:spacing w:val="-6"/>
          <w:vertAlign w:val="baseline"/>
        </w:rPr>
        <w:t> </w:t>
      </w:r>
      <w:r>
        <w:rPr>
          <w:vertAlign w:val="baseline"/>
        </w:rPr>
        <w:t>Northern</w:t>
      </w:r>
      <w:r>
        <w:rPr>
          <w:spacing w:val="-6"/>
          <w:vertAlign w:val="baseline"/>
        </w:rPr>
        <w:t> </w:t>
      </w:r>
      <w:r>
        <w:rPr>
          <w:vertAlign w:val="baseline"/>
        </w:rPr>
        <w:t>Ireland</w:t>
      </w:r>
      <w:r>
        <w:rPr>
          <w:spacing w:val="-6"/>
          <w:vertAlign w:val="baseline"/>
        </w:rPr>
        <w:t> </w:t>
      </w:r>
      <w:r>
        <w:rPr>
          <w:vertAlign w:val="baseline"/>
        </w:rPr>
        <w:t>and</w:t>
      </w:r>
      <w:r>
        <w:rPr>
          <w:spacing w:val="-6"/>
          <w:vertAlign w:val="baseline"/>
        </w:rPr>
        <w:t> </w:t>
      </w:r>
      <w:r>
        <w:rPr>
          <w:vertAlign w:val="baseline"/>
        </w:rPr>
        <w:t>especially</w:t>
      </w:r>
      <w:r>
        <w:rPr>
          <w:spacing w:val="-6"/>
          <w:vertAlign w:val="baseline"/>
        </w:rPr>
        <w:t> </w:t>
      </w:r>
      <w:r>
        <w:rPr>
          <w:vertAlign w:val="baseline"/>
        </w:rPr>
        <w:t>at</w:t>
      </w:r>
      <w:r>
        <w:rPr>
          <w:spacing w:val="-6"/>
          <w:vertAlign w:val="baseline"/>
        </w:rPr>
        <w:t> </w:t>
      </w:r>
      <w:r>
        <w:rPr>
          <w:vertAlign w:val="baseline"/>
        </w:rPr>
        <w:t>UK</w:t>
      </w:r>
      <w:r>
        <w:rPr>
          <w:spacing w:val="-6"/>
          <w:vertAlign w:val="baseline"/>
        </w:rPr>
        <w:t> </w:t>
      </w:r>
      <w:r>
        <w:rPr>
          <w:vertAlign w:val="baseline"/>
        </w:rPr>
        <w:t>level</w:t>
      </w:r>
      <w:r>
        <w:rPr>
          <w:spacing w:val="-6"/>
          <w:vertAlign w:val="baseline"/>
        </w:rPr>
        <w:t> </w:t>
      </w:r>
      <w:r>
        <w:rPr>
          <w:vertAlign w:val="baseline"/>
        </w:rPr>
        <w:t>seem</w:t>
      </w:r>
      <w:r>
        <w:rPr>
          <w:spacing w:val="-6"/>
          <w:vertAlign w:val="baseline"/>
        </w:rPr>
        <w:t> </w:t>
      </w:r>
      <w:r>
        <w:rPr>
          <w:vertAlign w:val="baseline"/>
        </w:rPr>
        <w:t>to give to Article 2 WF.</w:t>
      </w:r>
    </w:p>
    <w:p>
      <w:pPr>
        <w:pStyle w:val="BodyText"/>
        <w:spacing w:before="7"/>
        <w:rPr>
          <w:sz w:val="19"/>
        </w:rPr>
      </w:pPr>
      <w:r>
        <w:rPr/>
        <mc:AlternateContent>
          <mc:Choice Requires="wps">
            <w:drawing>
              <wp:anchor distT="0" distB="0" distL="0" distR="0" allowOverlap="1" layoutInCell="1" locked="0" behindDoc="1" simplePos="0" relativeHeight="487616000">
                <wp:simplePos x="0" y="0"/>
                <wp:positionH relativeFrom="page">
                  <wp:posOffset>647994</wp:posOffset>
                </wp:positionH>
                <wp:positionV relativeFrom="paragraph">
                  <wp:posOffset>167089</wp:posOffset>
                </wp:positionV>
                <wp:extent cx="6012180" cy="813435"/>
                <wp:effectExtent l="0" t="0" r="0" b="0"/>
                <wp:wrapTopAndBottom/>
                <wp:docPr id="152" name="Group 152"/>
                <wp:cNvGraphicFramePr>
                  <a:graphicFrameLocks/>
                </wp:cNvGraphicFramePr>
                <a:graphic>
                  <a:graphicData uri="http://schemas.microsoft.com/office/word/2010/wordprocessingGroup">
                    <wpg:wgp>
                      <wpg:cNvPr id="152" name="Group 152"/>
                      <wpg:cNvGrpSpPr/>
                      <wpg:grpSpPr>
                        <a:xfrm>
                          <a:off x="0" y="0"/>
                          <a:ext cx="6012180" cy="813435"/>
                          <a:chExt cx="6012180" cy="813435"/>
                        </a:xfrm>
                      </wpg:grpSpPr>
                      <wps:wsp>
                        <wps:cNvPr id="153" name="Graphic 153"/>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54" name="Textbox 154"/>
                        <wps:cNvSpPr txBox="1"/>
                        <wps:spPr>
                          <a:xfrm>
                            <a:off x="0" y="0"/>
                            <a:ext cx="6012180" cy="813435"/>
                          </a:xfrm>
                          <a:prstGeom prst="rect">
                            <a:avLst/>
                          </a:prstGeom>
                        </wps:spPr>
                        <wps:txbx>
                          <w:txbxContent>
                            <w:p>
                              <w:pPr>
                                <w:spacing w:line="232" w:lineRule="auto" w:before="121"/>
                                <w:ind w:left="340" w:right="196" w:firstLine="0"/>
                                <w:jc w:val="left"/>
                                <w:rPr>
                                  <w:b/>
                                  <w:sz w:val="28"/>
                                </w:rPr>
                              </w:pPr>
                              <w:r>
                                <w:rPr>
                                  <w:b/>
                                  <w:color w:val="164194"/>
                                  <w:sz w:val="28"/>
                                </w:rPr>
                                <w:t>We recommend that, in the interests of transparency, the Government publish</w:t>
                              </w:r>
                              <w:r>
                                <w:rPr>
                                  <w:b/>
                                  <w:color w:val="164194"/>
                                  <w:spacing w:val="-7"/>
                                  <w:sz w:val="28"/>
                                </w:rPr>
                                <w:t> </w:t>
                              </w:r>
                              <w:r>
                                <w:rPr>
                                  <w:b/>
                                  <w:color w:val="164194"/>
                                  <w:sz w:val="28"/>
                                </w:rPr>
                                <w:t>details</w:t>
                              </w:r>
                              <w:r>
                                <w:rPr>
                                  <w:b/>
                                  <w:color w:val="164194"/>
                                  <w:spacing w:val="-7"/>
                                  <w:sz w:val="28"/>
                                </w:rPr>
                                <w:t> </w:t>
                              </w:r>
                              <w:r>
                                <w:rPr>
                                  <w:b/>
                                  <w:color w:val="164194"/>
                                  <w:sz w:val="28"/>
                                </w:rPr>
                                <w:t>of</w:t>
                              </w:r>
                              <w:r>
                                <w:rPr>
                                  <w:b/>
                                  <w:color w:val="164194"/>
                                  <w:spacing w:val="-8"/>
                                  <w:sz w:val="28"/>
                                </w:rPr>
                                <w:t> </w:t>
                              </w:r>
                              <w:r>
                                <w:rPr>
                                  <w:b/>
                                  <w:color w:val="164194"/>
                                  <w:sz w:val="28"/>
                                </w:rPr>
                                <w:t>its</w:t>
                              </w:r>
                              <w:r>
                                <w:rPr>
                                  <w:b/>
                                  <w:color w:val="164194"/>
                                  <w:spacing w:val="-7"/>
                                  <w:sz w:val="28"/>
                                </w:rPr>
                                <w:t> </w:t>
                              </w:r>
                              <w:r>
                                <w:rPr>
                                  <w:b/>
                                  <w:color w:val="164194"/>
                                  <w:sz w:val="28"/>
                                </w:rPr>
                                <w:t>account</w:t>
                              </w:r>
                              <w:r>
                                <w:rPr>
                                  <w:b/>
                                  <w:color w:val="164194"/>
                                  <w:spacing w:val="-7"/>
                                  <w:sz w:val="28"/>
                                </w:rPr>
                                <w:t> </w:t>
                              </w:r>
                              <w:r>
                                <w:rPr>
                                  <w:b/>
                                  <w:color w:val="164194"/>
                                  <w:sz w:val="28"/>
                                </w:rPr>
                                <w:t>of</w:t>
                              </w:r>
                              <w:r>
                                <w:rPr>
                                  <w:b/>
                                  <w:color w:val="164194"/>
                                  <w:spacing w:val="-8"/>
                                  <w:sz w:val="28"/>
                                </w:rPr>
                                <w:t> </w:t>
                              </w:r>
                              <w:r>
                                <w:rPr>
                                  <w:b/>
                                  <w:color w:val="164194"/>
                                  <w:sz w:val="28"/>
                                </w:rPr>
                                <w:t>retained</w:t>
                              </w:r>
                              <w:r>
                                <w:rPr>
                                  <w:b/>
                                  <w:color w:val="164194"/>
                                  <w:spacing w:val="-7"/>
                                  <w:sz w:val="28"/>
                                </w:rPr>
                                <w:t> </w:t>
                              </w:r>
                              <w:r>
                                <w:rPr>
                                  <w:b/>
                                  <w:color w:val="164194"/>
                                  <w:sz w:val="28"/>
                                </w:rPr>
                                <w:t>EU</w:t>
                              </w:r>
                              <w:r>
                                <w:rPr>
                                  <w:b/>
                                  <w:color w:val="164194"/>
                                  <w:spacing w:val="-7"/>
                                  <w:sz w:val="28"/>
                                </w:rPr>
                                <w:t> </w:t>
                              </w:r>
                              <w:r>
                                <w:rPr>
                                  <w:b/>
                                  <w:color w:val="164194"/>
                                  <w:sz w:val="28"/>
                                </w:rPr>
                                <w:t>law,</w:t>
                              </w:r>
                              <w:r>
                                <w:rPr>
                                  <w:b/>
                                  <w:color w:val="164194"/>
                                  <w:spacing w:val="-7"/>
                                  <w:sz w:val="28"/>
                                </w:rPr>
                                <w:t> </w:t>
                              </w:r>
                              <w:r>
                                <w:rPr>
                                  <w:b/>
                                  <w:color w:val="164194"/>
                                  <w:sz w:val="28"/>
                                </w:rPr>
                                <w:t>including</w:t>
                              </w:r>
                              <w:r>
                                <w:rPr>
                                  <w:b/>
                                  <w:color w:val="164194"/>
                                  <w:spacing w:val="-8"/>
                                  <w:sz w:val="28"/>
                                </w:rPr>
                                <w:t> </w:t>
                              </w:r>
                              <w:r>
                                <w:rPr>
                                  <w:b/>
                                  <w:color w:val="164194"/>
                                  <w:sz w:val="28"/>
                                </w:rPr>
                                <w:t>details</w:t>
                              </w:r>
                              <w:r>
                                <w:rPr>
                                  <w:b/>
                                  <w:color w:val="164194"/>
                                  <w:spacing w:val="-7"/>
                                  <w:sz w:val="28"/>
                                </w:rPr>
                                <w:t> </w:t>
                              </w:r>
                              <w:r>
                                <w:rPr>
                                  <w:b/>
                                  <w:color w:val="164194"/>
                                  <w:sz w:val="28"/>
                                </w:rPr>
                                <w:t>on</w:t>
                              </w:r>
                              <w:r>
                                <w:rPr>
                                  <w:b/>
                                  <w:color w:val="164194"/>
                                  <w:spacing w:val="-7"/>
                                  <w:sz w:val="28"/>
                                </w:rPr>
                                <w:t> </w:t>
                              </w:r>
                              <w:r>
                                <w:rPr>
                                  <w:b/>
                                  <w:color w:val="164194"/>
                                  <w:sz w:val="28"/>
                                </w:rPr>
                                <w:t>the methodology used to identify relevant issues.</w:t>
                              </w:r>
                            </w:p>
                          </w:txbxContent>
                        </wps:txbx>
                        <wps:bodyPr wrap="square" lIns="0" tIns="0" rIns="0" bIns="0" rtlCol="0">
                          <a:noAutofit/>
                        </wps:bodyPr>
                      </wps:wsp>
                    </wpg:wgp>
                  </a:graphicData>
                </a:graphic>
              </wp:anchor>
            </w:drawing>
          </mc:Choice>
          <mc:Fallback>
            <w:pict>
              <v:group style="position:absolute;margin-left:51.023201pt;margin-top:13.156634pt;width:473.4pt;height:64.05pt;mso-position-horizontal-relative:page;mso-position-vertical-relative:paragraph;z-index:-15700480;mso-wrap-distance-left:0;mso-wrap-distance-right:0" id="docshapegroup102" coordorigin="1020,263" coordsize="9468,1281">
                <v:shape style="position:absolute;left:1020;top:263;width:9468;height:1281" id="docshape103" coordorigin="1020,263" coordsize="9468,1281" path="m10261,263l1247,263,1176,275,1113,307,1064,356,1032,418,1020,490,1020,1317,1032,1388,1064,1450,1113,1500,1176,1532,1247,1543,10261,1543,10333,1532,10395,1500,10444,1450,10477,1388,10488,1317,10488,490,10477,418,10444,356,10395,307,10333,275,10261,263xe" filled="true" fillcolor="#e9f3fc" stroked="false">
                  <v:path arrowok="t"/>
                  <v:fill type="solid"/>
                </v:shape>
                <v:shape style="position:absolute;left:1020;top:263;width:9468;height:1281" type="#_x0000_t202" id="docshape104" filled="false" stroked="false">
                  <v:textbox inset="0,0,0,0">
                    <w:txbxContent>
                      <w:p>
                        <w:pPr>
                          <w:spacing w:line="232" w:lineRule="auto" w:before="121"/>
                          <w:ind w:left="340" w:right="196" w:firstLine="0"/>
                          <w:jc w:val="left"/>
                          <w:rPr>
                            <w:b/>
                            <w:sz w:val="28"/>
                          </w:rPr>
                        </w:pPr>
                        <w:r>
                          <w:rPr>
                            <w:b/>
                            <w:color w:val="164194"/>
                            <w:sz w:val="28"/>
                          </w:rPr>
                          <w:t>We recommend that, in the interests of transparency, the Government publish</w:t>
                        </w:r>
                        <w:r>
                          <w:rPr>
                            <w:b/>
                            <w:color w:val="164194"/>
                            <w:spacing w:val="-7"/>
                            <w:sz w:val="28"/>
                          </w:rPr>
                          <w:t> </w:t>
                        </w:r>
                        <w:r>
                          <w:rPr>
                            <w:b/>
                            <w:color w:val="164194"/>
                            <w:sz w:val="28"/>
                          </w:rPr>
                          <w:t>details</w:t>
                        </w:r>
                        <w:r>
                          <w:rPr>
                            <w:b/>
                            <w:color w:val="164194"/>
                            <w:spacing w:val="-7"/>
                            <w:sz w:val="28"/>
                          </w:rPr>
                          <w:t> </w:t>
                        </w:r>
                        <w:r>
                          <w:rPr>
                            <w:b/>
                            <w:color w:val="164194"/>
                            <w:sz w:val="28"/>
                          </w:rPr>
                          <w:t>of</w:t>
                        </w:r>
                        <w:r>
                          <w:rPr>
                            <w:b/>
                            <w:color w:val="164194"/>
                            <w:spacing w:val="-8"/>
                            <w:sz w:val="28"/>
                          </w:rPr>
                          <w:t> </w:t>
                        </w:r>
                        <w:r>
                          <w:rPr>
                            <w:b/>
                            <w:color w:val="164194"/>
                            <w:sz w:val="28"/>
                          </w:rPr>
                          <w:t>its</w:t>
                        </w:r>
                        <w:r>
                          <w:rPr>
                            <w:b/>
                            <w:color w:val="164194"/>
                            <w:spacing w:val="-7"/>
                            <w:sz w:val="28"/>
                          </w:rPr>
                          <w:t> </w:t>
                        </w:r>
                        <w:r>
                          <w:rPr>
                            <w:b/>
                            <w:color w:val="164194"/>
                            <w:sz w:val="28"/>
                          </w:rPr>
                          <w:t>account</w:t>
                        </w:r>
                        <w:r>
                          <w:rPr>
                            <w:b/>
                            <w:color w:val="164194"/>
                            <w:spacing w:val="-7"/>
                            <w:sz w:val="28"/>
                          </w:rPr>
                          <w:t> </w:t>
                        </w:r>
                        <w:r>
                          <w:rPr>
                            <w:b/>
                            <w:color w:val="164194"/>
                            <w:sz w:val="28"/>
                          </w:rPr>
                          <w:t>of</w:t>
                        </w:r>
                        <w:r>
                          <w:rPr>
                            <w:b/>
                            <w:color w:val="164194"/>
                            <w:spacing w:val="-8"/>
                            <w:sz w:val="28"/>
                          </w:rPr>
                          <w:t> </w:t>
                        </w:r>
                        <w:r>
                          <w:rPr>
                            <w:b/>
                            <w:color w:val="164194"/>
                            <w:sz w:val="28"/>
                          </w:rPr>
                          <w:t>retained</w:t>
                        </w:r>
                        <w:r>
                          <w:rPr>
                            <w:b/>
                            <w:color w:val="164194"/>
                            <w:spacing w:val="-7"/>
                            <w:sz w:val="28"/>
                          </w:rPr>
                          <w:t> </w:t>
                        </w:r>
                        <w:r>
                          <w:rPr>
                            <w:b/>
                            <w:color w:val="164194"/>
                            <w:sz w:val="28"/>
                          </w:rPr>
                          <w:t>EU</w:t>
                        </w:r>
                        <w:r>
                          <w:rPr>
                            <w:b/>
                            <w:color w:val="164194"/>
                            <w:spacing w:val="-7"/>
                            <w:sz w:val="28"/>
                          </w:rPr>
                          <w:t> </w:t>
                        </w:r>
                        <w:r>
                          <w:rPr>
                            <w:b/>
                            <w:color w:val="164194"/>
                            <w:sz w:val="28"/>
                          </w:rPr>
                          <w:t>law,</w:t>
                        </w:r>
                        <w:r>
                          <w:rPr>
                            <w:b/>
                            <w:color w:val="164194"/>
                            <w:spacing w:val="-7"/>
                            <w:sz w:val="28"/>
                          </w:rPr>
                          <w:t> </w:t>
                        </w:r>
                        <w:r>
                          <w:rPr>
                            <w:b/>
                            <w:color w:val="164194"/>
                            <w:sz w:val="28"/>
                          </w:rPr>
                          <w:t>including</w:t>
                        </w:r>
                        <w:r>
                          <w:rPr>
                            <w:b/>
                            <w:color w:val="164194"/>
                            <w:spacing w:val="-8"/>
                            <w:sz w:val="28"/>
                          </w:rPr>
                          <w:t> </w:t>
                        </w:r>
                        <w:r>
                          <w:rPr>
                            <w:b/>
                            <w:color w:val="164194"/>
                            <w:sz w:val="28"/>
                          </w:rPr>
                          <w:t>details</w:t>
                        </w:r>
                        <w:r>
                          <w:rPr>
                            <w:b/>
                            <w:color w:val="164194"/>
                            <w:spacing w:val="-7"/>
                            <w:sz w:val="28"/>
                          </w:rPr>
                          <w:t> </w:t>
                        </w:r>
                        <w:r>
                          <w:rPr>
                            <w:b/>
                            <w:color w:val="164194"/>
                            <w:sz w:val="28"/>
                          </w:rPr>
                          <w:t>on</w:t>
                        </w:r>
                        <w:r>
                          <w:rPr>
                            <w:b/>
                            <w:color w:val="164194"/>
                            <w:spacing w:val="-7"/>
                            <w:sz w:val="28"/>
                          </w:rPr>
                          <w:t> </w:t>
                        </w:r>
                        <w:r>
                          <w:rPr>
                            <w:b/>
                            <w:color w:val="164194"/>
                            <w:sz w:val="28"/>
                          </w:rPr>
                          <w:t>the methodology used to identify relevant issues.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6512">
                <wp:simplePos x="0" y="0"/>
                <wp:positionH relativeFrom="page">
                  <wp:posOffset>647994</wp:posOffset>
                </wp:positionH>
                <wp:positionV relativeFrom="paragraph">
                  <wp:posOffset>1119739</wp:posOffset>
                </wp:positionV>
                <wp:extent cx="6012180" cy="1232535"/>
                <wp:effectExtent l="0" t="0" r="0" b="0"/>
                <wp:wrapTopAndBottom/>
                <wp:docPr id="155" name="Group 155"/>
                <wp:cNvGraphicFramePr>
                  <a:graphicFrameLocks/>
                </wp:cNvGraphicFramePr>
                <a:graphic>
                  <a:graphicData uri="http://schemas.microsoft.com/office/word/2010/wordprocessingGroup">
                    <wpg:wgp>
                      <wpg:cNvPr id="155" name="Group 155"/>
                      <wpg:cNvGrpSpPr/>
                      <wpg:grpSpPr>
                        <a:xfrm>
                          <a:off x="0" y="0"/>
                          <a:ext cx="6012180" cy="1232535"/>
                          <a:chExt cx="6012180" cy="1232535"/>
                        </a:xfrm>
                      </wpg:grpSpPr>
                      <wps:wsp>
                        <wps:cNvPr id="156" name="Graphic 156"/>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57" name="Textbox 157"/>
                        <wps:cNvSpPr txBox="1"/>
                        <wps:spPr>
                          <a:xfrm>
                            <a:off x="0" y="0"/>
                            <a:ext cx="6012180" cy="1232535"/>
                          </a:xfrm>
                          <a:prstGeom prst="rect">
                            <a:avLst/>
                          </a:prstGeom>
                        </wps:spPr>
                        <wps:txbx>
                          <w:txbxContent>
                            <w:p>
                              <w:pPr>
                                <w:spacing w:line="232" w:lineRule="auto" w:before="121"/>
                                <w:ind w:left="340" w:right="315"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Government</w:t>
                              </w:r>
                              <w:r>
                                <w:rPr>
                                  <w:b/>
                                  <w:color w:val="164194"/>
                                  <w:spacing w:val="-8"/>
                                  <w:sz w:val="28"/>
                                </w:rPr>
                                <w:t> </w:t>
                              </w:r>
                              <w:r>
                                <w:rPr>
                                  <w:b/>
                                  <w:color w:val="164194"/>
                                  <w:sz w:val="28"/>
                                </w:rPr>
                                <w:t>ensure</w:t>
                              </w:r>
                              <w:r>
                                <w:rPr>
                                  <w:b/>
                                  <w:color w:val="164194"/>
                                  <w:spacing w:val="-9"/>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Explanatory</w:t>
                              </w:r>
                              <w:r>
                                <w:rPr>
                                  <w:b/>
                                  <w:color w:val="164194"/>
                                  <w:spacing w:val="-8"/>
                                  <w:sz w:val="28"/>
                                </w:rPr>
                                <w:t> </w:t>
                              </w:r>
                              <w:r>
                                <w:rPr>
                                  <w:b/>
                                  <w:color w:val="164194"/>
                                  <w:sz w:val="28"/>
                                </w:rPr>
                                <w:t>Notes</w:t>
                              </w:r>
                              <w:r>
                                <w:rPr>
                                  <w:b/>
                                  <w:color w:val="164194"/>
                                  <w:spacing w:val="-8"/>
                                  <w:sz w:val="28"/>
                                </w:rPr>
                                <w:t> </w:t>
                              </w:r>
                              <w:r>
                                <w:rPr>
                                  <w:b/>
                                  <w:color w:val="164194"/>
                                  <w:sz w:val="28"/>
                                </w:rPr>
                                <w:t>for any</w:t>
                              </w:r>
                              <w:r>
                                <w:rPr>
                                  <w:b/>
                                  <w:color w:val="164194"/>
                                  <w:spacing w:val="-6"/>
                                  <w:sz w:val="28"/>
                                </w:rPr>
                                <w:t> </w:t>
                              </w:r>
                              <w:r>
                                <w:rPr>
                                  <w:b/>
                                  <w:color w:val="164194"/>
                                  <w:sz w:val="28"/>
                                </w:rPr>
                                <w:t>draft</w:t>
                              </w:r>
                              <w:r>
                                <w:rPr>
                                  <w:b/>
                                  <w:color w:val="164194"/>
                                  <w:spacing w:val="-6"/>
                                  <w:sz w:val="28"/>
                                </w:rPr>
                                <w:t> </w:t>
                              </w:r>
                              <w:r>
                                <w:rPr>
                                  <w:b/>
                                  <w:color w:val="164194"/>
                                  <w:sz w:val="28"/>
                                </w:rPr>
                                <w:t>legislation</w:t>
                              </w:r>
                              <w:r>
                                <w:rPr>
                                  <w:b/>
                                  <w:color w:val="164194"/>
                                  <w:spacing w:val="-6"/>
                                  <w:sz w:val="28"/>
                                </w:rPr>
                                <w:t> </w:t>
                              </w:r>
                              <w:r>
                                <w:rPr>
                                  <w:b/>
                                  <w:color w:val="164194"/>
                                  <w:sz w:val="28"/>
                                </w:rPr>
                                <w:t>impacting</w:t>
                              </w:r>
                              <w:r>
                                <w:rPr>
                                  <w:b/>
                                  <w:color w:val="164194"/>
                                  <w:spacing w:val="-7"/>
                                  <w:sz w:val="28"/>
                                </w:rPr>
                                <w:t> </w:t>
                              </w:r>
                              <w:r>
                                <w:rPr>
                                  <w:b/>
                                  <w:color w:val="164194"/>
                                  <w:sz w:val="28"/>
                                </w:rPr>
                                <w:t>on</w:t>
                              </w:r>
                              <w:r>
                                <w:rPr>
                                  <w:b/>
                                  <w:color w:val="164194"/>
                                  <w:spacing w:val="-6"/>
                                  <w:sz w:val="28"/>
                                </w:rPr>
                                <w:t> </w:t>
                              </w:r>
                              <w:r>
                                <w:rPr>
                                  <w:b/>
                                  <w:color w:val="164194"/>
                                  <w:sz w:val="28"/>
                                </w:rPr>
                                <w:t>Northern</w:t>
                              </w:r>
                              <w:r>
                                <w:rPr>
                                  <w:b/>
                                  <w:color w:val="164194"/>
                                  <w:spacing w:val="-6"/>
                                  <w:sz w:val="28"/>
                                </w:rPr>
                                <w:t> </w:t>
                              </w:r>
                              <w:r>
                                <w:rPr>
                                  <w:b/>
                                  <w:color w:val="164194"/>
                                  <w:sz w:val="28"/>
                                </w:rPr>
                                <w:t>Ireland</w:t>
                              </w:r>
                              <w:r>
                                <w:rPr>
                                  <w:b/>
                                  <w:color w:val="164194"/>
                                  <w:spacing w:val="-6"/>
                                  <w:sz w:val="28"/>
                                </w:rPr>
                                <w:t> </w:t>
                              </w:r>
                              <w:r>
                                <w:rPr>
                                  <w:b/>
                                  <w:color w:val="164194"/>
                                  <w:sz w:val="28"/>
                                </w:rPr>
                                <w:t>explicitly</w:t>
                              </w:r>
                              <w:r>
                                <w:rPr>
                                  <w:b/>
                                  <w:color w:val="164194"/>
                                  <w:spacing w:val="-6"/>
                                  <w:sz w:val="28"/>
                                </w:rPr>
                                <w:t> </w:t>
                              </w:r>
                              <w:r>
                                <w:rPr>
                                  <w:b/>
                                  <w:color w:val="164194"/>
                                  <w:sz w:val="28"/>
                                </w:rPr>
                                <w:t>state,</w:t>
                              </w:r>
                              <w:r>
                                <w:rPr>
                                  <w:b/>
                                  <w:color w:val="164194"/>
                                  <w:spacing w:val="-6"/>
                                  <w:sz w:val="28"/>
                                </w:rPr>
                                <w:t> </w:t>
                              </w:r>
                              <w:r>
                                <w:rPr>
                                  <w:b/>
                                  <w:color w:val="164194"/>
                                  <w:sz w:val="28"/>
                                </w:rPr>
                                <w:t>in</w:t>
                              </w:r>
                              <w:r>
                                <w:rPr>
                                  <w:b/>
                                  <w:color w:val="164194"/>
                                  <w:spacing w:val="-6"/>
                                  <w:sz w:val="28"/>
                                </w:rPr>
                                <w:t> </w:t>
                              </w:r>
                              <w:r>
                                <w:rPr>
                                  <w:b/>
                                  <w:color w:val="164194"/>
                                  <w:sz w:val="28"/>
                                </w:rPr>
                                <w:t>detail, whether the Government considers that Article 2 WF is engaged by the proposals and if so, how the draft legislation respects the keeping pace and non-diminution aspects of Article 2 WF.</w:t>
                              </w:r>
                            </w:p>
                          </w:txbxContent>
                        </wps:txbx>
                        <wps:bodyPr wrap="square" lIns="0" tIns="0" rIns="0" bIns="0" rtlCol="0">
                          <a:noAutofit/>
                        </wps:bodyPr>
                      </wps:wsp>
                    </wpg:wgp>
                  </a:graphicData>
                </a:graphic>
              </wp:anchor>
            </w:drawing>
          </mc:Choice>
          <mc:Fallback>
            <w:pict>
              <v:group style="position:absolute;margin-left:51.023201pt;margin-top:88.168434pt;width:473.4pt;height:97.05pt;mso-position-horizontal-relative:page;mso-position-vertical-relative:paragraph;z-index:-15699968;mso-wrap-distance-left:0;mso-wrap-distance-right:0" id="docshapegroup105" coordorigin="1020,1763" coordsize="9468,1941">
                <v:shape style="position:absolute;left:1020;top:1763;width:9468;height:1941" id="docshape106" coordorigin="1020,1763" coordsize="9468,1941" path="m10261,1763l1247,1763,1176,1775,1113,1807,1064,1856,1032,1918,1020,1990,1020,3477,1032,3548,1064,3611,1113,3660,1176,3692,1247,3704,10261,3704,10333,3692,10395,3660,10444,3611,10477,3548,10488,3477,10488,1990,10477,1918,10444,1856,10395,1807,10333,1775,10261,1763xe" filled="true" fillcolor="#e9f3fc" stroked="false">
                  <v:path arrowok="t"/>
                  <v:fill type="solid"/>
                </v:shape>
                <v:shape style="position:absolute;left:1020;top:1763;width:9468;height:1941" type="#_x0000_t202" id="docshape107" filled="false" stroked="false">
                  <v:textbox inset="0,0,0,0">
                    <w:txbxContent>
                      <w:p>
                        <w:pPr>
                          <w:spacing w:line="232" w:lineRule="auto" w:before="121"/>
                          <w:ind w:left="340" w:right="315"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Government</w:t>
                        </w:r>
                        <w:r>
                          <w:rPr>
                            <w:b/>
                            <w:color w:val="164194"/>
                            <w:spacing w:val="-8"/>
                            <w:sz w:val="28"/>
                          </w:rPr>
                          <w:t> </w:t>
                        </w:r>
                        <w:r>
                          <w:rPr>
                            <w:b/>
                            <w:color w:val="164194"/>
                            <w:sz w:val="28"/>
                          </w:rPr>
                          <w:t>ensure</w:t>
                        </w:r>
                        <w:r>
                          <w:rPr>
                            <w:b/>
                            <w:color w:val="164194"/>
                            <w:spacing w:val="-9"/>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Explanatory</w:t>
                        </w:r>
                        <w:r>
                          <w:rPr>
                            <w:b/>
                            <w:color w:val="164194"/>
                            <w:spacing w:val="-8"/>
                            <w:sz w:val="28"/>
                          </w:rPr>
                          <w:t> </w:t>
                        </w:r>
                        <w:r>
                          <w:rPr>
                            <w:b/>
                            <w:color w:val="164194"/>
                            <w:sz w:val="28"/>
                          </w:rPr>
                          <w:t>Notes</w:t>
                        </w:r>
                        <w:r>
                          <w:rPr>
                            <w:b/>
                            <w:color w:val="164194"/>
                            <w:spacing w:val="-8"/>
                            <w:sz w:val="28"/>
                          </w:rPr>
                          <w:t> </w:t>
                        </w:r>
                        <w:r>
                          <w:rPr>
                            <w:b/>
                            <w:color w:val="164194"/>
                            <w:sz w:val="28"/>
                          </w:rPr>
                          <w:t>for any</w:t>
                        </w:r>
                        <w:r>
                          <w:rPr>
                            <w:b/>
                            <w:color w:val="164194"/>
                            <w:spacing w:val="-6"/>
                            <w:sz w:val="28"/>
                          </w:rPr>
                          <w:t> </w:t>
                        </w:r>
                        <w:r>
                          <w:rPr>
                            <w:b/>
                            <w:color w:val="164194"/>
                            <w:sz w:val="28"/>
                          </w:rPr>
                          <w:t>draft</w:t>
                        </w:r>
                        <w:r>
                          <w:rPr>
                            <w:b/>
                            <w:color w:val="164194"/>
                            <w:spacing w:val="-6"/>
                            <w:sz w:val="28"/>
                          </w:rPr>
                          <w:t> </w:t>
                        </w:r>
                        <w:r>
                          <w:rPr>
                            <w:b/>
                            <w:color w:val="164194"/>
                            <w:sz w:val="28"/>
                          </w:rPr>
                          <w:t>legislation</w:t>
                        </w:r>
                        <w:r>
                          <w:rPr>
                            <w:b/>
                            <w:color w:val="164194"/>
                            <w:spacing w:val="-6"/>
                            <w:sz w:val="28"/>
                          </w:rPr>
                          <w:t> </w:t>
                        </w:r>
                        <w:r>
                          <w:rPr>
                            <w:b/>
                            <w:color w:val="164194"/>
                            <w:sz w:val="28"/>
                          </w:rPr>
                          <w:t>impacting</w:t>
                        </w:r>
                        <w:r>
                          <w:rPr>
                            <w:b/>
                            <w:color w:val="164194"/>
                            <w:spacing w:val="-7"/>
                            <w:sz w:val="28"/>
                          </w:rPr>
                          <w:t> </w:t>
                        </w:r>
                        <w:r>
                          <w:rPr>
                            <w:b/>
                            <w:color w:val="164194"/>
                            <w:sz w:val="28"/>
                          </w:rPr>
                          <w:t>on</w:t>
                        </w:r>
                        <w:r>
                          <w:rPr>
                            <w:b/>
                            <w:color w:val="164194"/>
                            <w:spacing w:val="-6"/>
                            <w:sz w:val="28"/>
                          </w:rPr>
                          <w:t> </w:t>
                        </w:r>
                        <w:r>
                          <w:rPr>
                            <w:b/>
                            <w:color w:val="164194"/>
                            <w:sz w:val="28"/>
                          </w:rPr>
                          <w:t>Northern</w:t>
                        </w:r>
                        <w:r>
                          <w:rPr>
                            <w:b/>
                            <w:color w:val="164194"/>
                            <w:spacing w:val="-6"/>
                            <w:sz w:val="28"/>
                          </w:rPr>
                          <w:t> </w:t>
                        </w:r>
                        <w:r>
                          <w:rPr>
                            <w:b/>
                            <w:color w:val="164194"/>
                            <w:sz w:val="28"/>
                          </w:rPr>
                          <w:t>Ireland</w:t>
                        </w:r>
                        <w:r>
                          <w:rPr>
                            <w:b/>
                            <w:color w:val="164194"/>
                            <w:spacing w:val="-6"/>
                            <w:sz w:val="28"/>
                          </w:rPr>
                          <w:t> </w:t>
                        </w:r>
                        <w:r>
                          <w:rPr>
                            <w:b/>
                            <w:color w:val="164194"/>
                            <w:sz w:val="28"/>
                          </w:rPr>
                          <w:t>explicitly</w:t>
                        </w:r>
                        <w:r>
                          <w:rPr>
                            <w:b/>
                            <w:color w:val="164194"/>
                            <w:spacing w:val="-6"/>
                            <w:sz w:val="28"/>
                          </w:rPr>
                          <w:t> </w:t>
                        </w:r>
                        <w:r>
                          <w:rPr>
                            <w:b/>
                            <w:color w:val="164194"/>
                            <w:sz w:val="28"/>
                          </w:rPr>
                          <w:t>state,</w:t>
                        </w:r>
                        <w:r>
                          <w:rPr>
                            <w:b/>
                            <w:color w:val="164194"/>
                            <w:spacing w:val="-6"/>
                            <w:sz w:val="28"/>
                          </w:rPr>
                          <w:t> </w:t>
                        </w:r>
                        <w:r>
                          <w:rPr>
                            <w:b/>
                            <w:color w:val="164194"/>
                            <w:sz w:val="28"/>
                          </w:rPr>
                          <w:t>in</w:t>
                        </w:r>
                        <w:r>
                          <w:rPr>
                            <w:b/>
                            <w:color w:val="164194"/>
                            <w:spacing w:val="-6"/>
                            <w:sz w:val="28"/>
                          </w:rPr>
                          <w:t> </w:t>
                        </w:r>
                        <w:r>
                          <w:rPr>
                            <w:b/>
                            <w:color w:val="164194"/>
                            <w:sz w:val="28"/>
                          </w:rPr>
                          <w:t>detail, whether the Government considers that Article 2 WF is engaged by the proposals and if so, how the draft legislation respects the keeping pace and non-diminution aspects of Article 2 WF.</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7024">
                <wp:simplePos x="0" y="0"/>
                <wp:positionH relativeFrom="page">
                  <wp:posOffset>647999</wp:posOffset>
                </wp:positionH>
                <wp:positionV relativeFrom="paragraph">
                  <wp:posOffset>2547979</wp:posOffset>
                </wp:positionV>
                <wp:extent cx="6012180" cy="127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00.628342pt;width:473.4pt;height:.1pt;mso-position-horizontal-relative:page;mso-position-vertical-relative:paragraph;z-index:-15699456;mso-wrap-distance-left:0;mso-wrap-distance-right:0" id="docshape108" coordorigin="1020,4013" coordsize="9468,0" path="m1020,4013l10488,4013e" filled="false" stroked="true" strokeweight=".5pt" strokecolor="#36a9e1">
                <v:path arrowok="t"/>
                <v:stroke dashstyle="solid"/>
                <w10:wrap type="topAndBottom"/>
              </v:shape>
            </w:pict>
          </mc:Fallback>
        </mc:AlternateContent>
      </w:r>
    </w:p>
    <w:p>
      <w:pPr>
        <w:pStyle w:val="BodyText"/>
        <w:rPr>
          <w:sz w:val="16"/>
        </w:rPr>
      </w:pPr>
    </w:p>
    <w:p>
      <w:pPr>
        <w:pStyle w:val="BodyText"/>
        <w:spacing w:before="40"/>
        <w:rPr>
          <w:sz w:val="20"/>
        </w:rPr>
      </w:pPr>
    </w:p>
    <w:p>
      <w:pPr>
        <w:pStyle w:val="ListParagraph"/>
        <w:numPr>
          <w:ilvl w:val="0"/>
          <w:numId w:val="9"/>
        </w:numPr>
        <w:tabs>
          <w:tab w:pos="1287" w:val="left" w:leader="none"/>
        </w:tabs>
        <w:spacing w:line="240" w:lineRule="auto" w:before="43" w:after="0"/>
        <w:ind w:left="1287" w:right="0" w:hanging="567"/>
        <w:jc w:val="left"/>
        <w:rPr>
          <w:sz w:val="18"/>
        </w:rPr>
      </w:pPr>
      <w:r>
        <w:rPr>
          <w:color w:val="1D71B8"/>
          <w:sz w:val="18"/>
          <w:u w:val="single" w:color="1D71B8"/>
        </w:rPr>
        <w:t>Nationality</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Borders</w:t>
      </w:r>
      <w:r>
        <w:rPr>
          <w:color w:val="1D71B8"/>
          <w:spacing w:val="-7"/>
          <w:sz w:val="18"/>
          <w:u w:val="single" w:color="1D71B8"/>
        </w:rPr>
        <w:t> </w:t>
      </w:r>
      <w:r>
        <w:rPr>
          <w:color w:val="1D71B8"/>
          <w:sz w:val="18"/>
          <w:u w:val="single" w:color="1D71B8"/>
        </w:rPr>
        <w:t>Act</w:t>
      </w:r>
      <w:r>
        <w:rPr>
          <w:color w:val="1D71B8"/>
          <w:spacing w:val="-5"/>
          <w:sz w:val="18"/>
          <w:u w:val="single" w:color="1D71B8"/>
        </w:rPr>
        <w:t> </w:t>
      </w:r>
      <w:r>
        <w:rPr>
          <w:color w:val="1D71B8"/>
          <w:spacing w:val="-4"/>
          <w:sz w:val="18"/>
          <w:u w:val="single" w:color="1D71B8"/>
        </w:rPr>
        <w:t>2022</w:t>
      </w:r>
      <w:r>
        <w:rPr>
          <w:spacing w:val="-4"/>
          <w:sz w:val="18"/>
          <w:u w:val="none"/>
        </w:rPr>
        <w:t>.</w:t>
      </w:r>
    </w:p>
    <w:p>
      <w:pPr>
        <w:pStyle w:val="ListParagraph"/>
        <w:numPr>
          <w:ilvl w:val="0"/>
          <w:numId w:val="9"/>
        </w:numPr>
        <w:tabs>
          <w:tab w:pos="1287" w:val="left" w:leader="none"/>
        </w:tabs>
        <w:spacing w:line="240" w:lineRule="auto" w:before="1" w:after="0"/>
        <w:ind w:left="1287" w:right="0" w:hanging="567"/>
        <w:jc w:val="left"/>
        <w:rPr>
          <w:sz w:val="18"/>
        </w:rPr>
      </w:pPr>
      <w:hyperlink r:id="rId30">
        <w:r>
          <w:rPr>
            <w:color w:val="1D71B8"/>
            <w:sz w:val="18"/>
            <w:u w:val="single" w:color="1D71B8"/>
          </w:rPr>
          <w:t>Elections</w:t>
        </w:r>
        <w:r>
          <w:rPr>
            <w:color w:val="1D71B8"/>
            <w:spacing w:val="-7"/>
            <w:sz w:val="18"/>
            <w:u w:val="single" w:color="1D71B8"/>
          </w:rPr>
          <w:t> </w:t>
        </w:r>
        <w:r>
          <w:rPr>
            <w:color w:val="1D71B8"/>
            <w:sz w:val="18"/>
            <w:u w:val="single" w:color="1D71B8"/>
          </w:rPr>
          <w:t>Act</w:t>
        </w:r>
        <w:r>
          <w:rPr>
            <w:color w:val="1D71B8"/>
            <w:spacing w:val="-7"/>
            <w:sz w:val="18"/>
            <w:u w:val="single" w:color="1D71B8"/>
          </w:rPr>
          <w:t> </w:t>
        </w:r>
        <w:r>
          <w:rPr>
            <w:color w:val="1D71B8"/>
            <w:spacing w:val="-2"/>
            <w:sz w:val="18"/>
            <w:u w:val="single" w:color="1D71B8"/>
          </w:rPr>
          <w:t>2022</w:t>
        </w:r>
      </w:hyperlink>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color w:val="1D71B8"/>
          <w:sz w:val="18"/>
          <w:u w:val="single" w:color="1D71B8"/>
        </w:rPr>
        <w:t>Illegal</w:t>
      </w:r>
      <w:r>
        <w:rPr>
          <w:color w:val="1D71B8"/>
          <w:spacing w:val="-7"/>
          <w:sz w:val="18"/>
          <w:u w:val="single" w:color="1D71B8"/>
        </w:rPr>
        <w:t> </w:t>
      </w:r>
      <w:r>
        <w:rPr>
          <w:color w:val="1D71B8"/>
          <w:sz w:val="18"/>
          <w:u w:val="single" w:color="1D71B8"/>
        </w:rPr>
        <w:t>Migration</w:t>
      </w:r>
      <w:r>
        <w:rPr>
          <w:color w:val="1D71B8"/>
          <w:spacing w:val="-7"/>
          <w:sz w:val="18"/>
          <w:u w:val="single" w:color="1D71B8"/>
        </w:rPr>
        <w:t> </w:t>
      </w:r>
      <w:r>
        <w:rPr>
          <w:color w:val="1D71B8"/>
          <w:sz w:val="18"/>
          <w:u w:val="single" w:color="1D71B8"/>
        </w:rPr>
        <w:t>Act</w:t>
      </w:r>
      <w:r>
        <w:rPr>
          <w:color w:val="1D71B8"/>
          <w:spacing w:val="-5"/>
          <w:sz w:val="18"/>
          <w:u w:val="single" w:color="1D71B8"/>
        </w:rPr>
        <w:t> </w:t>
      </w:r>
      <w:r>
        <w:rPr>
          <w:color w:val="1D71B8"/>
          <w:spacing w:val="-2"/>
          <w:sz w:val="18"/>
          <w:u w:val="single" w:color="1D71B8"/>
        </w:rPr>
        <w:t>2023</w:t>
      </w:r>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color w:val="1D71B8"/>
          <w:sz w:val="18"/>
          <w:u w:val="single" w:color="1D71B8"/>
        </w:rPr>
        <w:t>Safety</w:t>
      </w:r>
      <w:r>
        <w:rPr>
          <w:color w:val="1D71B8"/>
          <w:spacing w:val="-6"/>
          <w:sz w:val="18"/>
          <w:u w:val="single" w:color="1D71B8"/>
        </w:rPr>
        <w:t> </w:t>
      </w:r>
      <w:r>
        <w:rPr>
          <w:color w:val="1D71B8"/>
          <w:sz w:val="18"/>
          <w:u w:val="single" w:color="1D71B8"/>
        </w:rPr>
        <w:t>of</w:t>
      </w:r>
      <w:r>
        <w:rPr>
          <w:color w:val="1D71B8"/>
          <w:spacing w:val="-7"/>
          <w:sz w:val="18"/>
          <w:u w:val="single" w:color="1D71B8"/>
        </w:rPr>
        <w:t> </w:t>
      </w:r>
      <w:r>
        <w:rPr>
          <w:color w:val="1D71B8"/>
          <w:sz w:val="18"/>
          <w:u w:val="single" w:color="1D71B8"/>
        </w:rPr>
        <w:t>Rwanda</w:t>
      </w:r>
      <w:r>
        <w:rPr>
          <w:color w:val="1D71B8"/>
          <w:spacing w:val="-6"/>
          <w:sz w:val="18"/>
          <w:u w:val="single" w:color="1D71B8"/>
        </w:rPr>
        <w:t> </w:t>
      </w:r>
      <w:r>
        <w:rPr>
          <w:color w:val="1D71B8"/>
          <w:sz w:val="18"/>
          <w:u w:val="single" w:color="1D71B8"/>
        </w:rPr>
        <w:t>(Asylum</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Immigration)</w:t>
      </w:r>
      <w:r>
        <w:rPr>
          <w:color w:val="1D71B8"/>
          <w:spacing w:val="-7"/>
          <w:sz w:val="18"/>
          <w:u w:val="single" w:color="1D71B8"/>
        </w:rPr>
        <w:t> </w:t>
      </w:r>
      <w:r>
        <w:rPr>
          <w:color w:val="1D71B8"/>
          <w:sz w:val="18"/>
          <w:u w:val="single" w:color="1D71B8"/>
        </w:rPr>
        <w:t>Bill</w:t>
      </w:r>
      <w:r>
        <w:rPr>
          <w:color w:val="1D71B8"/>
          <w:spacing w:val="-6"/>
          <w:sz w:val="18"/>
          <w:u w:val="single" w:color="1D71B8"/>
        </w:rPr>
        <w:t> </w:t>
      </w:r>
      <w:r>
        <w:rPr>
          <w:color w:val="1D71B8"/>
          <w:spacing w:val="-2"/>
          <w:sz w:val="18"/>
          <w:u w:val="single" w:color="1D71B8"/>
        </w:rPr>
        <w:t>2023</w:t>
      </w:r>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color w:val="1D71B8"/>
          <w:sz w:val="18"/>
          <w:u w:val="single" w:color="1D71B8"/>
        </w:rPr>
        <w:t>Northern</w:t>
      </w:r>
      <w:r>
        <w:rPr>
          <w:color w:val="1D71B8"/>
          <w:spacing w:val="-9"/>
          <w:sz w:val="18"/>
          <w:u w:val="single" w:color="1D71B8"/>
        </w:rPr>
        <w:t> </w:t>
      </w:r>
      <w:r>
        <w:rPr>
          <w:color w:val="1D71B8"/>
          <w:sz w:val="18"/>
          <w:u w:val="single" w:color="1D71B8"/>
        </w:rPr>
        <w:t>Ireland</w:t>
      </w:r>
      <w:r>
        <w:rPr>
          <w:color w:val="1D71B8"/>
          <w:spacing w:val="-9"/>
          <w:sz w:val="18"/>
          <w:u w:val="single" w:color="1D71B8"/>
        </w:rPr>
        <w:t> </w:t>
      </w:r>
      <w:r>
        <w:rPr>
          <w:color w:val="1D71B8"/>
          <w:sz w:val="18"/>
          <w:u w:val="single" w:color="1D71B8"/>
        </w:rPr>
        <w:t>Troubles</w:t>
      </w:r>
      <w:r>
        <w:rPr>
          <w:color w:val="1D71B8"/>
          <w:spacing w:val="-8"/>
          <w:sz w:val="18"/>
          <w:u w:val="single" w:color="1D71B8"/>
        </w:rPr>
        <w:t> </w:t>
      </w:r>
      <w:r>
        <w:rPr>
          <w:color w:val="1D71B8"/>
          <w:sz w:val="18"/>
          <w:u w:val="single" w:color="1D71B8"/>
        </w:rPr>
        <w:t>(Legacy</w:t>
      </w:r>
      <w:r>
        <w:rPr>
          <w:color w:val="1D71B8"/>
          <w:spacing w:val="-8"/>
          <w:sz w:val="18"/>
          <w:u w:val="single" w:color="1D71B8"/>
        </w:rPr>
        <w:t> </w:t>
      </w:r>
      <w:r>
        <w:rPr>
          <w:color w:val="1D71B8"/>
          <w:sz w:val="18"/>
          <w:u w:val="single" w:color="1D71B8"/>
        </w:rPr>
        <w:t>and</w:t>
      </w:r>
      <w:r>
        <w:rPr>
          <w:color w:val="1D71B8"/>
          <w:spacing w:val="-9"/>
          <w:sz w:val="18"/>
          <w:u w:val="single" w:color="1D71B8"/>
        </w:rPr>
        <w:t> </w:t>
      </w:r>
      <w:r>
        <w:rPr>
          <w:color w:val="1D71B8"/>
          <w:sz w:val="18"/>
          <w:u w:val="single" w:color="1D71B8"/>
        </w:rPr>
        <w:t>Reconciliation)</w:t>
      </w:r>
      <w:r>
        <w:rPr>
          <w:color w:val="1D71B8"/>
          <w:spacing w:val="-9"/>
          <w:sz w:val="18"/>
          <w:u w:val="single" w:color="1D71B8"/>
        </w:rPr>
        <w:t> </w:t>
      </w:r>
      <w:r>
        <w:rPr>
          <w:color w:val="1D71B8"/>
          <w:sz w:val="18"/>
          <w:u w:val="single" w:color="1D71B8"/>
        </w:rPr>
        <w:t>Act</w:t>
      </w:r>
      <w:r>
        <w:rPr>
          <w:color w:val="1D71B8"/>
          <w:spacing w:val="-7"/>
          <w:sz w:val="18"/>
          <w:u w:val="single" w:color="1D71B8"/>
        </w:rPr>
        <w:t> </w:t>
      </w:r>
      <w:r>
        <w:rPr>
          <w:color w:val="1D71B8"/>
          <w:spacing w:val="-2"/>
          <w:sz w:val="18"/>
          <w:u w:val="single" w:color="1D71B8"/>
        </w:rPr>
        <w:t>2023</w:t>
      </w:r>
      <w:r>
        <w:rPr>
          <w:spacing w:val="-2"/>
          <w:sz w:val="18"/>
          <w:u w:val="none"/>
        </w:rPr>
        <w:t>.</w:t>
      </w:r>
    </w:p>
    <w:p>
      <w:pPr>
        <w:pStyle w:val="ListParagraph"/>
        <w:numPr>
          <w:ilvl w:val="0"/>
          <w:numId w:val="9"/>
        </w:numPr>
        <w:tabs>
          <w:tab w:pos="1287" w:val="left" w:leader="none"/>
        </w:tabs>
        <w:spacing w:line="240" w:lineRule="auto" w:before="1" w:after="0"/>
        <w:ind w:left="1287" w:right="0" w:hanging="567"/>
        <w:jc w:val="left"/>
        <w:rPr>
          <w:sz w:val="18"/>
        </w:rPr>
      </w:pPr>
      <w:hyperlink r:id="rId31">
        <w:r>
          <w:rPr>
            <w:color w:val="1D71B8"/>
            <w:sz w:val="18"/>
            <w:u w:val="single" w:color="1D71B8"/>
          </w:rPr>
          <w:t>Data</w:t>
        </w:r>
        <w:r>
          <w:rPr>
            <w:color w:val="1D71B8"/>
            <w:spacing w:val="-7"/>
            <w:sz w:val="18"/>
            <w:u w:val="single" w:color="1D71B8"/>
          </w:rPr>
          <w:t> </w:t>
        </w:r>
        <w:r>
          <w:rPr>
            <w:color w:val="1D71B8"/>
            <w:sz w:val="18"/>
            <w:u w:val="single" w:color="1D71B8"/>
          </w:rPr>
          <w:t>Protection</w:t>
        </w:r>
        <w:r>
          <w:rPr>
            <w:color w:val="1D71B8"/>
            <w:spacing w:val="-7"/>
            <w:sz w:val="18"/>
            <w:u w:val="single" w:color="1D71B8"/>
          </w:rPr>
          <w:t> </w:t>
        </w:r>
        <w:r>
          <w:rPr>
            <w:color w:val="1D71B8"/>
            <w:sz w:val="18"/>
            <w:u w:val="single" w:color="1D71B8"/>
          </w:rPr>
          <w:t>and</w:t>
        </w:r>
        <w:r>
          <w:rPr>
            <w:color w:val="1D71B8"/>
            <w:spacing w:val="-7"/>
            <w:sz w:val="18"/>
            <w:u w:val="single" w:color="1D71B8"/>
          </w:rPr>
          <w:t> </w:t>
        </w:r>
        <w:r>
          <w:rPr>
            <w:color w:val="1D71B8"/>
            <w:sz w:val="18"/>
            <w:u w:val="single" w:color="1D71B8"/>
          </w:rPr>
          <w:t>Digital</w:t>
        </w:r>
        <w:r>
          <w:rPr>
            <w:color w:val="1D71B8"/>
            <w:spacing w:val="-7"/>
            <w:sz w:val="18"/>
            <w:u w:val="single" w:color="1D71B8"/>
          </w:rPr>
          <w:t> </w:t>
        </w:r>
        <w:r>
          <w:rPr>
            <w:color w:val="1D71B8"/>
            <w:sz w:val="18"/>
            <w:u w:val="single" w:color="1D71B8"/>
          </w:rPr>
          <w:t>Information</w:t>
        </w:r>
        <w:r>
          <w:rPr>
            <w:color w:val="1D71B8"/>
            <w:spacing w:val="-6"/>
            <w:sz w:val="18"/>
            <w:u w:val="single" w:color="1D71B8"/>
          </w:rPr>
          <w:t> </w:t>
        </w:r>
        <w:r>
          <w:rPr>
            <w:color w:val="1D71B8"/>
            <w:sz w:val="18"/>
            <w:u w:val="single" w:color="1D71B8"/>
          </w:rPr>
          <w:t>(No</w:t>
        </w:r>
        <w:r>
          <w:rPr>
            <w:color w:val="1D71B8"/>
            <w:spacing w:val="-7"/>
            <w:sz w:val="18"/>
            <w:u w:val="single" w:color="1D71B8"/>
          </w:rPr>
          <w:t> </w:t>
        </w:r>
        <w:r>
          <w:rPr>
            <w:color w:val="1D71B8"/>
            <w:sz w:val="18"/>
            <w:u w:val="single" w:color="1D71B8"/>
          </w:rPr>
          <w:t>2)</w:t>
        </w:r>
        <w:r>
          <w:rPr>
            <w:color w:val="1D71B8"/>
            <w:spacing w:val="-7"/>
            <w:sz w:val="18"/>
            <w:u w:val="single" w:color="1D71B8"/>
          </w:rPr>
          <w:t> </w:t>
        </w:r>
        <w:r>
          <w:rPr>
            <w:color w:val="1D71B8"/>
            <w:spacing w:val="-2"/>
            <w:sz w:val="18"/>
            <w:u w:val="single" w:color="1D71B8"/>
          </w:rPr>
          <w:t>Bill</w:t>
        </w:r>
      </w:hyperlink>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color w:val="1D71B8"/>
          <w:sz w:val="18"/>
          <w:u w:val="single" w:color="1D71B8"/>
        </w:rPr>
        <w:t>Victims</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Prisoners</w:t>
      </w:r>
      <w:r>
        <w:rPr>
          <w:color w:val="1D71B8"/>
          <w:spacing w:val="-5"/>
          <w:sz w:val="18"/>
          <w:u w:val="single" w:color="1D71B8"/>
        </w:rPr>
        <w:t> </w:t>
      </w:r>
      <w:r>
        <w:rPr>
          <w:color w:val="1D71B8"/>
          <w:sz w:val="18"/>
          <w:u w:val="single" w:color="1D71B8"/>
        </w:rPr>
        <w:t>Bill</w:t>
      </w:r>
      <w:r>
        <w:rPr>
          <w:color w:val="1D71B8"/>
          <w:spacing w:val="-6"/>
          <w:sz w:val="18"/>
          <w:u w:val="single" w:color="1D71B8"/>
        </w:rPr>
        <w:t> </w:t>
      </w:r>
      <w:r>
        <w:rPr>
          <w:color w:val="1D71B8"/>
          <w:spacing w:val="-4"/>
          <w:sz w:val="18"/>
          <w:u w:val="single" w:color="1D71B8"/>
        </w:rPr>
        <w:t>2023</w:t>
      </w:r>
      <w:r>
        <w:rPr>
          <w:spacing w:val="-4"/>
          <w:sz w:val="18"/>
          <w:u w:val="none"/>
        </w:rPr>
        <w:t>.</w:t>
      </w:r>
    </w:p>
    <w:p>
      <w:pPr>
        <w:pStyle w:val="ListParagraph"/>
        <w:numPr>
          <w:ilvl w:val="0"/>
          <w:numId w:val="9"/>
        </w:numPr>
        <w:tabs>
          <w:tab w:pos="1287" w:val="left" w:leader="none"/>
        </w:tabs>
        <w:spacing w:line="240" w:lineRule="auto" w:before="0" w:after="0"/>
        <w:ind w:left="1287" w:right="1219" w:hanging="567"/>
        <w:jc w:val="left"/>
        <w:rPr>
          <w:sz w:val="18"/>
        </w:rPr>
      </w:pPr>
      <w:r>
        <w:rPr>
          <w:sz w:val="18"/>
        </w:rPr>
        <w:t>House of Lords Sub-Committee on the Protocol on Ireland/Northern Ireland, </w:t>
      </w:r>
      <w:r>
        <w:rPr>
          <w:color w:val="1D71B8"/>
          <w:sz w:val="18"/>
          <w:u w:val="single" w:color="1D71B8"/>
        </w:rPr>
        <w:t>Letter from Nusrat Ghani MP (Minister of</w:t>
      </w:r>
      <w:r>
        <w:rPr>
          <w:color w:val="1D71B8"/>
          <w:sz w:val="18"/>
          <w:u w:val="none"/>
        </w:rPr>
        <w:t> </w:t>
      </w:r>
      <w:r>
        <w:rPr>
          <w:color w:val="1D71B8"/>
          <w:sz w:val="18"/>
          <w:u w:val="single" w:color="1D71B8"/>
        </w:rPr>
        <w:t>State</w:t>
      </w:r>
      <w:r>
        <w:rPr>
          <w:color w:val="1D71B8"/>
          <w:spacing w:val="-5"/>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Industry</w:t>
      </w:r>
      <w:r>
        <w:rPr>
          <w:color w:val="1D71B8"/>
          <w:spacing w:val="-5"/>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Economic</w:t>
      </w:r>
      <w:r>
        <w:rPr>
          <w:color w:val="1D71B8"/>
          <w:spacing w:val="-5"/>
          <w:sz w:val="18"/>
          <w:u w:val="single" w:color="1D71B8"/>
        </w:rPr>
        <w:t> </w:t>
      </w:r>
      <w:r>
        <w:rPr>
          <w:color w:val="1D71B8"/>
          <w:sz w:val="18"/>
          <w:u w:val="single" w:color="1D71B8"/>
        </w:rPr>
        <w:t>Security</w:t>
      </w:r>
      <w:r>
        <w:rPr>
          <w:color w:val="1D71B8"/>
          <w:spacing w:val="-5"/>
          <w:sz w:val="18"/>
          <w:u w:val="single" w:color="1D71B8"/>
        </w:rPr>
        <w:t> </w:t>
      </w:r>
      <w:r>
        <w:rPr>
          <w:color w:val="1D71B8"/>
          <w:sz w:val="18"/>
          <w:u w:val="single" w:color="1D71B8"/>
        </w:rPr>
        <w:t>at</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Department</w:t>
      </w:r>
      <w:r>
        <w:rPr>
          <w:color w:val="1D71B8"/>
          <w:spacing w:val="-5"/>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Business</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Trade)</w:t>
      </w:r>
      <w:r>
        <w:rPr>
          <w:color w:val="1D71B8"/>
          <w:spacing w:val="-6"/>
          <w:sz w:val="18"/>
          <w:u w:val="single" w:color="1D71B8"/>
        </w:rPr>
        <w:t> </w:t>
      </w:r>
      <w:r>
        <w:rPr>
          <w:color w:val="1D71B8"/>
          <w:sz w:val="18"/>
          <w:u w:val="single" w:color="1D71B8"/>
        </w:rPr>
        <w:t>re:</w:t>
      </w:r>
      <w:r>
        <w:rPr>
          <w:color w:val="1D71B8"/>
          <w:spacing w:val="-5"/>
          <w:sz w:val="18"/>
          <w:u w:val="single" w:color="1D71B8"/>
        </w:rPr>
        <w:t> </w:t>
      </w:r>
      <w:r>
        <w:rPr>
          <w:color w:val="1D71B8"/>
          <w:sz w:val="18"/>
          <w:u w:val="single" w:color="1D71B8"/>
        </w:rPr>
        <w:t>Retained</w:t>
      </w:r>
      <w:r>
        <w:rPr>
          <w:color w:val="1D71B8"/>
          <w:spacing w:val="-6"/>
          <w:sz w:val="18"/>
          <w:u w:val="single" w:color="1D71B8"/>
        </w:rPr>
        <w:t> </w:t>
      </w:r>
      <w:r>
        <w:rPr>
          <w:color w:val="1D71B8"/>
          <w:sz w:val="18"/>
          <w:u w:val="single" w:color="1D71B8"/>
        </w:rPr>
        <w:t>EU</w:t>
      </w:r>
      <w:r>
        <w:rPr>
          <w:color w:val="1D71B8"/>
          <w:spacing w:val="-5"/>
          <w:sz w:val="18"/>
          <w:u w:val="single" w:color="1D71B8"/>
        </w:rPr>
        <w:t> </w:t>
      </w:r>
      <w:r>
        <w:rPr>
          <w:color w:val="1D71B8"/>
          <w:sz w:val="18"/>
          <w:u w:val="single" w:color="1D71B8"/>
        </w:rPr>
        <w:t>Law</w:t>
      </w:r>
      <w:r>
        <w:rPr>
          <w:color w:val="1D71B8"/>
          <w:spacing w:val="-5"/>
          <w:sz w:val="18"/>
          <w:u w:val="single" w:color="1D71B8"/>
        </w:rPr>
        <w:t> </w:t>
      </w:r>
      <w:r>
        <w:rPr>
          <w:color w:val="1D71B8"/>
          <w:sz w:val="18"/>
          <w:u w:val="single" w:color="1D71B8"/>
        </w:rPr>
        <w:t>(Revocation</w:t>
      </w:r>
      <w:r>
        <w:rPr>
          <w:color w:val="1D71B8"/>
          <w:spacing w:val="-6"/>
          <w:sz w:val="18"/>
          <w:u w:val="single" w:color="1D71B8"/>
        </w:rPr>
        <w:t> </w:t>
      </w:r>
      <w:r>
        <w:rPr>
          <w:color w:val="1D71B8"/>
          <w:sz w:val="18"/>
          <w:u w:val="single" w:color="1D71B8"/>
        </w:rPr>
        <w:t>and</w:t>
      </w:r>
      <w:r>
        <w:rPr>
          <w:color w:val="1D71B8"/>
          <w:sz w:val="18"/>
          <w:u w:val="none"/>
        </w:rPr>
        <w:t> </w:t>
      </w:r>
      <w:r>
        <w:rPr>
          <w:color w:val="1D71B8"/>
          <w:sz w:val="18"/>
          <w:u w:val="single" w:color="1D71B8"/>
        </w:rPr>
        <w:t>Reform) Bill (now Act), 11 September 2023</w:t>
      </w:r>
      <w:r>
        <w:rPr>
          <w:color w:val="1D71B8"/>
          <w:sz w:val="18"/>
          <w:u w:val="none"/>
        </w:rPr>
        <w:t> </w:t>
      </w:r>
      <w:r>
        <w:rPr>
          <w:sz w:val="18"/>
          <w:u w:val="none"/>
        </w:rPr>
        <w:t>(House of Lords, 2022-2023) (11 September 2023).</w:t>
      </w:r>
    </w:p>
    <w:p>
      <w:pPr>
        <w:spacing w:after="0" w:line="240" w:lineRule="auto"/>
        <w:jc w:val="left"/>
        <w:rPr>
          <w:sz w:val="18"/>
        </w:rPr>
        <w:sectPr>
          <w:pgSz w:w="11910" w:h="16840"/>
          <w:pgMar w:top="0" w:bottom="280" w:left="300" w:right="280"/>
        </w:sectPr>
      </w:pPr>
    </w:p>
    <w:p>
      <w:pPr>
        <w:tabs>
          <w:tab w:pos="11052"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36256">
                <wp:simplePos x="0" y="0"/>
                <wp:positionH relativeFrom="page">
                  <wp:posOffset>-2</wp:posOffset>
                </wp:positionH>
                <wp:positionV relativeFrom="page">
                  <wp:posOffset>0</wp:posOffset>
                </wp:positionV>
                <wp:extent cx="7560309" cy="1155065"/>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7560309" cy="1155065"/>
                          <a:chExt cx="7560309" cy="1155065"/>
                        </a:xfrm>
                      </wpg:grpSpPr>
                      <wps:wsp>
                        <wps:cNvPr id="160" name="Graphic 16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61" name="Graphic 16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80224" id="docshapegroup109" coordorigin="0,0" coordsize="11906,1819">
                <v:shape style="position:absolute;left:0;top:0;width:11906;height:1819" id="docshape110"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Human Rights and Equality Developments i" w:id="12"/>
      <w:bookmarkEnd w:id="12"/>
      <w:r>
        <w:rPr/>
      </w:r>
      <w:bookmarkStart w:name="_bookmark5" w:id="13"/>
      <w:bookmarkEnd w:id="13"/>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10"/>
          <w:position w:val="-1"/>
          <w:sz w:val="28"/>
        </w:rPr>
        <w:t>9</w:t>
      </w:r>
    </w:p>
    <w:p>
      <w:pPr>
        <w:pStyle w:val="BodyText"/>
        <w:spacing w:before="364"/>
        <w:rPr>
          <w:b/>
          <w:sz w:val="32"/>
        </w:rPr>
      </w:pPr>
    </w:p>
    <w:p>
      <w:pPr>
        <w:pStyle w:val="Heading2"/>
        <w:spacing w:line="208" w:lineRule="auto"/>
        <w:ind w:left="1117" w:right="738" w:firstLine="0"/>
      </w:pPr>
      <w:r>
        <w:rPr>
          <w:color w:val="004A93"/>
        </w:rPr>
        <w:t>Human</w:t>
      </w:r>
      <w:r>
        <w:rPr>
          <w:color w:val="004A93"/>
          <w:spacing w:val="-6"/>
        </w:rPr>
        <w:t> </w:t>
      </w:r>
      <w:r>
        <w:rPr>
          <w:color w:val="004A93"/>
        </w:rPr>
        <w:t>Rights</w:t>
      </w:r>
      <w:r>
        <w:rPr>
          <w:color w:val="004A93"/>
          <w:spacing w:val="-6"/>
        </w:rPr>
        <w:t> </w:t>
      </w:r>
      <w:r>
        <w:rPr>
          <w:color w:val="004A93"/>
        </w:rPr>
        <w:t>and</w:t>
      </w:r>
      <w:r>
        <w:rPr>
          <w:color w:val="004A93"/>
          <w:spacing w:val="-6"/>
        </w:rPr>
        <w:t> </w:t>
      </w:r>
      <w:r>
        <w:rPr>
          <w:color w:val="004A93"/>
        </w:rPr>
        <w:t>Equality</w:t>
      </w:r>
      <w:r>
        <w:rPr>
          <w:color w:val="004A93"/>
          <w:spacing w:val="-6"/>
        </w:rPr>
        <w:t> </w:t>
      </w:r>
      <w:r>
        <w:rPr>
          <w:color w:val="004A93"/>
        </w:rPr>
        <w:t>Developments</w:t>
      </w:r>
      <w:r>
        <w:rPr>
          <w:color w:val="004A93"/>
          <w:spacing w:val="-6"/>
        </w:rPr>
        <w:t> </w:t>
      </w:r>
      <w:r>
        <w:rPr>
          <w:color w:val="004A93"/>
        </w:rPr>
        <w:t>in</w:t>
      </w:r>
      <w:r>
        <w:rPr>
          <w:color w:val="004A93"/>
          <w:spacing w:val="-6"/>
        </w:rPr>
        <w:t> </w:t>
      </w:r>
      <w:r>
        <w:rPr>
          <w:color w:val="004A93"/>
        </w:rPr>
        <w:t>Ireland</w:t>
      </w:r>
      <w:r>
        <w:rPr>
          <w:color w:val="004A93"/>
          <w:spacing w:val="-6"/>
        </w:rPr>
        <w:t> </w:t>
      </w:r>
      <w:r>
        <w:rPr>
          <w:color w:val="004A93"/>
        </w:rPr>
        <w:t>since</w:t>
      </w:r>
      <w:r>
        <w:rPr>
          <w:color w:val="004A93"/>
          <w:spacing w:val="-6"/>
        </w:rPr>
        <w:t> </w:t>
      </w:r>
      <w:r>
        <w:rPr>
          <w:color w:val="004A93"/>
        </w:rPr>
        <w:t>January</w:t>
      </w:r>
      <w:r>
        <w:rPr>
          <w:color w:val="004A93"/>
          <w:spacing w:val="-6"/>
        </w:rPr>
        <w:t> </w:t>
      </w:r>
      <w:r>
        <w:rPr>
          <w:color w:val="004A93"/>
        </w:rPr>
        <w:t>2022 and the Risk of Divergence</w:t>
      </w:r>
    </w:p>
    <w:p>
      <w:pPr>
        <w:pStyle w:val="BodyText"/>
        <w:spacing w:before="8"/>
        <w:rPr>
          <w:b/>
          <w:sz w:val="6"/>
        </w:rPr>
      </w:pPr>
      <w:r>
        <w:rPr/>
        <mc:AlternateContent>
          <mc:Choice Requires="wps">
            <w:drawing>
              <wp:anchor distT="0" distB="0" distL="0" distR="0" allowOverlap="1" layoutInCell="1" locked="0" behindDoc="1" simplePos="0" relativeHeight="487618048">
                <wp:simplePos x="0" y="0"/>
                <wp:positionH relativeFrom="page">
                  <wp:posOffset>899999</wp:posOffset>
                </wp:positionH>
                <wp:positionV relativeFrom="paragraph">
                  <wp:posOffset>67286</wp:posOffset>
                </wp:positionV>
                <wp:extent cx="6012180" cy="127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5.298131pt;width:473.4pt;height:.1pt;mso-position-horizontal-relative:page;mso-position-vertical-relative:paragraph;z-index:-15698432;mso-wrap-distance-left:0;mso-wrap-distance-right:0" id="docshape111" coordorigin="1417,106" coordsize="9468,0" path="m1417,106l10885,106e" filled="false" stroked="true" strokeweight="1pt" strokecolor="#36a9e1">
                <v:path arrowok="t"/>
                <v:stroke dashstyle="solid"/>
                <w10:wrap type="topAndBottom"/>
              </v:shape>
            </w:pict>
          </mc:Fallback>
        </mc:AlternateContent>
      </w:r>
    </w:p>
    <w:p>
      <w:pPr>
        <w:pStyle w:val="BodyText"/>
        <w:spacing w:line="232" w:lineRule="auto" w:before="108"/>
        <w:ind w:left="1117" w:right="1087"/>
      </w:pPr>
      <w:r>
        <w:rPr/>
        <w:t>After</w:t>
      </w:r>
      <w:r>
        <w:rPr>
          <w:spacing w:val="-6"/>
        </w:rPr>
        <w:t> </w:t>
      </w:r>
      <w:r>
        <w:rPr/>
        <w:t>the</w:t>
      </w:r>
      <w:r>
        <w:rPr>
          <w:spacing w:val="-6"/>
        </w:rPr>
        <w:t> </w:t>
      </w:r>
      <w:r>
        <w:rPr/>
        <w:t>pandemic</w:t>
      </w:r>
      <w:r>
        <w:rPr>
          <w:spacing w:val="-6"/>
        </w:rPr>
        <w:t> </w:t>
      </w:r>
      <w:r>
        <w:rPr/>
        <w:t>the</w:t>
      </w:r>
      <w:r>
        <w:rPr>
          <w:spacing w:val="-6"/>
        </w:rPr>
        <w:t> </w:t>
      </w:r>
      <w:r>
        <w:rPr/>
        <w:t>Government</w:t>
      </w:r>
      <w:r>
        <w:rPr>
          <w:spacing w:val="-6"/>
        </w:rPr>
        <w:t> </w:t>
      </w:r>
      <w:r>
        <w:rPr/>
        <w:t>of</w:t>
      </w:r>
      <w:r>
        <w:rPr>
          <w:spacing w:val="-7"/>
        </w:rPr>
        <w:t> </w:t>
      </w:r>
      <w:r>
        <w:rPr/>
        <w:t>Ireland</w:t>
      </w:r>
      <w:r>
        <w:rPr>
          <w:spacing w:val="-7"/>
        </w:rPr>
        <w:t> </w:t>
      </w:r>
      <w:r>
        <w:rPr/>
        <w:t>announced</w:t>
      </w:r>
      <w:r>
        <w:rPr>
          <w:spacing w:val="-7"/>
        </w:rPr>
        <w:t> </w:t>
      </w:r>
      <w:r>
        <w:rPr/>
        <w:t>an</w:t>
      </w:r>
      <w:r>
        <w:rPr>
          <w:spacing w:val="-7"/>
        </w:rPr>
        <w:t> </w:t>
      </w:r>
      <w:r>
        <w:rPr/>
        <w:t>ambitious programme of economic and social reform.</w:t>
      </w:r>
    </w:p>
    <w:p>
      <w:pPr>
        <w:pStyle w:val="BodyText"/>
        <w:spacing w:line="232" w:lineRule="auto" w:before="280"/>
        <w:ind w:left="1117" w:right="738"/>
      </w:pPr>
      <w:r>
        <w:rPr/>
        <w:t>One significant possible development is the review of Ireland’s equality legislation. Ireland has two single equality acts (one for employment and one for goods, facilities</w:t>
      </w:r>
      <w:r>
        <w:rPr>
          <w:spacing w:val="-8"/>
        </w:rPr>
        <w:t> </w:t>
      </w:r>
      <w:r>
        <w:rPr/>
        <w:t>and</w:t>
      </w:r>
      <w:r>
        <w:rPr>
          <w:spacing w:val="-8"/>
        </w:rPr>
        <w:t> </w:t>
      </w:r>
      <w:r>
        <w:rPr/>
        <w:t>services).</w:t>
      </w:r>
      <w:r>
        <w:rPr>
          <w:spacing w:val="-8"/>
        </w:rPr>
        <w:t> </w:t>
      </w:r>
      <w:r>
        <w:rPr/>
        <w:t>This</w:t>
      </w:r>
      <w:r>
        <w:rPr>
          <w:spacing w:val="-8"/>
        </w:rPr>
        <w:t> </w:t>
      </w:r>
      <w:r>
        <w:rPr/>
        <w:t>already</w:t>
      </w:r>
      <w:r>
        <w:rPr>
          <w:spacing w:val="-7"/>
        </w:rPr>
        <w:t> </w:t>
      </w:r>
      <w:r>
        <w:rPr/>
        <w:t>represents</w:t>
      </w:r>
      <w:r>
        <w:rPr>
          <w:spacing w:val="-8"/>
        </w:rPr>
        <w:t> </w:t>
      </w:r>
      <w:r>
        <w:rPr/>
        <w:t>a</w:t>
      </w:r>
      <w:r>
        <w:rPr>
          <w:spacing w:val="-8"/>
        </w:rPr>
        <w:t> </w:t>
      </w:r>
      <w:r>
        <w:rPr/>
        <w:t>significant</w:t>
      </w:r>
      <w:r>
        <w:rPr>
          <w:spacing w:val="-7"/>
        </w:rPr>
        <w:t> </w:t>
      </w:r>
      <w:r>
        <w:rPr/>
        <w:t>divergence</w:t>
      </w:r>
      <w:r>
        <w:rPr>
          <w:spacing w:val="-7"/>
        </w:rPr>
        <w:t> </w:t>
      </w:r>
      <w:r>
        <w:rPr/>
        <w:t>with</w:t>
      </w:r>
      <w:r>
        <w:rPr>
          <w:spacing w:val="-8"/>
        </w:rPr>
        <w:t> </w:t>
      </w:r>
      <w:r>
        <w:rPr/>
        <w:t>respect to Northern Ireland where equality legislation is fragmented across numerous different sources. The consultation on the Irish legislation has prompted several suggestions for improvements to the legislation which, if implemented, would increase divergence and mean that Northern Ireland was not aligning with best practice on the island of Ireland: see our recommendation above for the NI Executive</w:t>
      </w:r>
      <w:r>
        <w:rPr>
          <w:spacing w:val="-8"/>
        </w:rPr>
        <w:t> </w:t>
      </w:r>
      <w:r>
        <w:rPr/>
        <w:t>and</w:t>
      </w:r>
      <w:r>
        <w:rPr>
          <w:spacing w:val="-9"/>
        </w:rPr>
        <w:t> </w:t>
      </w:r>
      <w:r>
        <w:rPr/>
        <w:t>relevant</w:t>
      </w:r>
      <w:r>
        <w:rPr>
          <w:spacing w:val="-8"/>
        </w:rPr>
        <w:t> </w:t>
      </w:r>
      <w:r>
        <w:rPr/>
        <w:t>departments</w:t>
      </w:r>
      <w:r>
        <w:rPr>
          <w:spacing w:val="-9"/>
        </w:rPr>
        <w:t> </w:t>
      </w:r>
      <w:r>
        <w:rPr/>
        <w:t>to</w:t>
      </w:r>
      <w:r>
        <w:rPr>
          <w:spacing w:val="-9"/>
        </w:rPr>
        <w:t> </w:t>
      </w:r>
      <w:r>
        <w:rPr/>
        <w:t>monitor</w:t>
      </w:r>
      <w:r>
        <w:rPr>
          <w:spacing w:val="-8"/>
        </w:rPr>
        <w:t> </w:t>
      </w:r>
      <w:r>
        <w:rPr/>
        <w:t>Irish</w:t>
      </w:r>
      <w:r>
        <w:rPr>
          <w:spacing w:val="-9"/>
        </w:rPr>
        <w:t> </w:t>
      </w:r>
      <w:r>
        <w:rPr/>
        <w:t>legislative</w:t>
      </w:r>
      <w:r>
        <w:rPr>
          <w:spacing w:val="-8"/>
        </w:rPr>
        <w:t> </w:t>
      </w:r>
      <w:r>
        <w:rPr/>
        <w:t>proposals</w:t>
      </w:r>
      <w:r>
        <w:rPr>
          <w:spacing w:val="-9"/>
        </w:rPr>
        <w:t> </w:t>
      </w:r>
      <w:r>
        <w:rPr/>
        <w:t>to</w:t>
      </w:r>
      <w:r>
        <w:rPr>
          <w:spacing w:val="-9"/>
        </w:rPr>
        <w:t> </w:t>
      </w:r>
      <w:r>
        <w:rPr/>
        <w:t>reform Irish equality law.</w:t>
      </w:r>
    </w:p>
    <w:p>
      <w:pPr>
        <w:pStyle w:val="BodyText"/>
        <w:spacing w:line="232" w:lineRule="auto" w:before="268"/>
        <w:ind w:left="1117" w:right="950"/>
      </w:pPr>
      <w:r>
        <w:rPr/>
        <w:t>Ireland must implement several EU directives in the area of gender. These</w:t>
      </w:r>
      <w:r>
        <w:rPr/>
        <w:t> address</w:t>
      </w:r>
      <w:r>
        <w:rPr>
          <w:spacing w:val="-10"/>
        </w:rPr>
        <w:t> </w:t>
      </w:r>
      <w:r>
        <w:rPr/>
        <w:t>pay</w:t>
      </w:r>
      <w:r>
        <w:rPr>
          <w:spacing w:val="-9"/>
        </w:rPr>
        <w:t> </w:t>
      </w:r>
      <w:r>
        <w:rPr/>
        <w:t>transparency</w:t>
      </w:r>
      <w:r>
        <w:rPr>
          <w:spacing w:val="-9"/>
        </w:rPr>
        <w:t> </w:t>
      </w:r>
      <w:r>
        <w:rPr/>
        <w:t>and</w:t>
      </w:r>
      <w:r>
        <w:rPr>
          <w:spacing w:val="-10"/>
        </w:rPr>
        <w:t> </w:t>
      </w:r>
      <w:r>
        <w:rPr/>
        <w:t>equal</w:t>
      </w:r>
      <w:r>
        <w:rPr>
          <w:spacing w:val="-10"/>
        </w:rPr>
        <w:t> </w:t>
      </w:r>
      <w:r>
        <w:rPr/>
        <w:t>pay,</w:t>
      </w:r>
      <w:r>
        <w:rPr>
          <w:spacing w:val="-9"/>
        </w:rPr>
        <w:t> </w:t>
      </w:r>
      <w:r>
        <w:rPr/>
        <w:t>work-life</w:t>
      </w:r>
      <w:r>
        <w:rPr>
          <w:spacing w:val="-9"/>
        </w:rPr>
        <w:t> </w:t>
      </w:r>
      <w:r>
        <w:rPr/>
        <w:t>balance</w:t>
      </w:r>
      <w:r>
        <w:rPr>
          <w:spacing w:val="-9"/>
        </w:rPr>
        <w:t> </w:t>
      </w:r>
      <w:r>
        <w:rPr/>
        <w:t>and</w:t>
      </w:r>
      <w:r>
        <w:rPr>
          <w:spacing w:val="-10"/>
        </w:rPr>
        <w:t> </w:t>
      </w:r>
      <w:r>
        <w:rPr/>
        <w:t>gender</w:t>
      </w:r>
      <w:r>
        <w:rPr>
          <w:spacing w:val="-9"/>
        </w:rPr>
        <w:t> </w:t>
      </w:r>
      <w:r>
        <w:rPr/>
        <w:t>balance</w:t>
      </w:r>
      <w:r>
        <w:rPr>
          <w:spacing w:val="-9"/>
        </w:rPr>
        <w:t> </w:t>
      </w:r>
      <w:r>
        <w:rPr/>
        <w:t>on boards. All these measures are crucial for gender equality. The Pay Transparency Directive has important commitments on improving equal pay which is directly relevant to an Annex 1 directive</w:t>
      </w:r>
      <w:r>
        <w:rPr>
          <w:vertAlign w:val="superscript"/>
        </w:rPr>
        <w:t>19</w:t>
      </w:r>
      <w:r>
        <w:rPr>
          <w:vertAlign w:val="baseline"/>
        </w:rPr>
        <w:t> and the ECNI and NIHRC have concluded that</w:t>
      </w:r>
    </w:p>
    <w:p>
      <w:pPr>
        <w:pStyle w:val="BodyText"/>
        <w:spacing w:line="232" w:lineRule="auto"/>
        <w:ind w:left="1117" w:right="1090"/>
      </w:pPr>
      <w:r>
        <w:rPr/>
        <w:t>it</w:t>
      </w:r>
      <w:r>
        <w:rPr>
          <w:spacing w:val="-7"/>
        </w:rPr>
        <w:t> </w:t>
      </w:r>
      <w:r>
        <w:rPr/>
        <w:t>triggers</w:t>
      </w:r>
      <w:r>
        <w:rPr>
          <w:spacing w:val="-8"/>
        </w:rPr>
        <w:t> </w:t>
      </w:r>
      <w:r>
        <w:rPr/>
        <w:t>the</w:t>
      </w:r>
      <w:r>
        <w:rPr>
          <w:spacing w:val="-7"/>
        </w:rPr>
        <w:t> </w:t>
      </w:r>
      <w:r>
        <w:rPr/>
        <w:t>keeping</w:t>
      </w:r>
      <w:r>
        <w:rPr>
          <w:spacing w:val="-7"/>
        </w:rPr>
        <w:t> </w:t>
      </w:r>
      <w:r>
        <w:rPr/>
        <w:t>pace</w:t>
      </w:r>
      <w:r>
        <w:rPr>
          <w:spacing w:val="-7"/>
        </w:rPr>
        <w:t> </w:t>
      </w:r>
      <w:r>
        <w:rPr/>
        <w:t>requirement</w:t>
      </w:r>
      <w:r>
        <w:rPr>
          <w:spacing w:val="-7"/>
        </w:rPr>
        <w:t> </w:t>
      </w:r>
      <w:r>
        <w:rPr/>
        <w:t>in</w:t>
      </w:r>
      <w:r>
        <w:rPr>
          <w:spacing w:val="-8"/>
        </w:rPr>
        <w:t> </w:t>
      </w:r>
      <w:r>
        <w:rPr/>
        <w:t>Article</w:t>
      </w:r>
      <w:r>
        <w:rPr>
          <w:spacing w:val="-7"/>
        </w:rPr>
        <w:t> </w:t>
      </w:r>
      <w:r>
        <w:rPr/>
        <w:t>2</w:t>
      </w:r>
      <w:r>
        <w:rPr>
          <w:spacing w:val="-7"/>
        </w:rPr>
        <w:t> </w:t>
      </w:r>
      <w:r>
        <w:rPr/>
        <w:t>WF.</w:t>
      </w:r>
      <w:r>
        <w:rPr>
          <w:vertAlign w:val="superscript"/>
        </w:rPr>
        <w:t>20</w:t>
      </w:r>
      <w:r>
        <w:rPr>
          <w:spacing w:val="-8"/>
          <w:vertAlign w:val="baseline"/>
        </w:rPr>
        <w:t> </w:t>
      </w:r>
      <w:r>
        <w:rPr>
          <w:vertAlign w:val="baseline"/>
        </w:rPr>
        <w:t>The</w:t>
      </w:r>
      <w:r>
        <w:rPr>
          <w:spacing w:val="-7"/>
          <w:vertAlign w:val="baseline"/>
        </w:rPr>
        <w:t> </w:t>
      </w:r>
      <w:r>
        <w:rPr>
          <w:vertAlign w:val="baseline"/>
        </w:rPr>
        <w:t>Work-Life</w:t>
      </w:r>
      <w:r>
        <w:rPr>
          <w:spacing w:val="-7"/>
          <w:vertAlign w:val="baseline"/>
        </w:rPr>
        <w:t> </w:t>
      </w:r>
      <w:r>
        <w:rPr>
          <w:vertAlign w:val="baseline"/>
        </w:rPr>
        <w:t>Balance Directive will assist in addressing the division of care labour in the home which</w:t>
      </w:r>
      <w:r>
        <w:rPr>
          <w:spacing w:val="40"/>
          <w:vertAlign w:val="baseline"/>
        </w:rPr>
        <w:t> </w:t>
      </w:r>
      <w:r>
        <w:rPr>
          <w:vertAlign w:val="baseline"/>
        </w:rPr>
        <w:t>is</w:t>
      </w:r>
      <w:r>
        <w:rPr>
          <w:spacing w:val="-6"/>
          <w:vertAlign w:val="baseline"/>
        </w:rPr>
        <w:t> </w:t>
      </w:r>
      <w:r>
        <w:rPr>
          <w:vertAlign w:val="baseline"/>
        </w:rPr>
        <w:t>central</w:t>
      </w:r>
      <w:r>
        <w:rPr>
          <w:spacing w:val="-6"/>
          <w:vertAlign w:val="baseline"/>
        </w:rPr>
        <w:t> </w:t>
      </w:r>
      <w:r>
        <w:rPr>
          <w:vertAlign w:val="baseline"/>
        </w:rPr>
        <w:t>to</w:t>
      </w:r>
      <w:r>
        <w:rPr>
          <w:spacing w:val="-6"/>
          <w:vertAlign w:val="baseline"/>
        </w:rPr>
        <w:t> </w:t>
      </w:r>
      <w:r>
        <w:rPr>
          <w:vertAlign w:val="baseline"/>
        </w:rPr>
        <w:t>gender</w:t>
      </w:r>
      <w:r>
        <w:rPr>
          <w:spacing w:val="-5"/>
          <w:vertAlign w:val="baseline"/>
        </w:rPr>
        <w:t> </w:t>
      </w:r>
      <w:r>
        <w:rPr>
          <w:vertAlign w:val="baseline"/>
        </w:rPr>
        <w:t>equality</w:t>
      </w:r>
      <w:r>
        <w:rPr>
          <w:spacing w:val="-5"/>
          <w:vertAlign w:val="baseline"/>
        </w:rPr>
        <w:t> </w:t>
      </w:r>
      <w:r>
        <w:rPr>
          <w:vertAlign w:val="baseline"/>
        </w:rPr>
        <w:t>objectives.</w:t>
      </w:r>
      <w:r>
        <w:rPr>
          <w:spacing w:val="-6"/>
          <w:vertAlign w:val="baseline"/>
        </w:rPr>
        <w:t> </w:t>
      </w:r>
      <w:r>
        <w:rPr>
          <w:vertAlign w:val="baseline"/>
        </w:rPr>
        <w:t>Improving</w:t>
      </w:r>
      <w:r>
        <w:rPr>
          <w:spacing w:val="-5"/>
          <w:vertAlign w:val="baseline"/>
        </w:rPr>
        <w:t> </w:t>
      </w:r>
      <w:r>
        <w:rPr>
          <w:vertAlign w:val="baseline"/>
        </w:rPr>
        <w:t>gender</w:t>
      </w:r>
      <w:r>
        <w:rPr>
          <w:spacing w:val="-5"/>
          <w:vertAlign w:val="baseline"/>
        </w:rPr>
        <w:t> </w:t>
      </w:r>
      <w:r>
        <w:rPr>
          <w:vertAlign w:val="baseline"/>
        </w:rPr>
        <w:t>balance</w:t>
      </w:r>
      <w:r>
        <w:rPr>
          <w:spacing w:val="-5"/>
          <w:vertAlign w:val="baseline"/>
        </w:rPr>
        <w:t> </w:t>
      </w:r>
      <w:r>
        <w:rPr>
          <w:vertAlign w:val="baseline"/>
        </w:rPr>
        <w:t>on</w:t>
      </w:r>
      <w:r>
        <w:rPr>
          <w:spacing w:val="-6"/>
          <w:vertAlign w:val="baseline"/>
        </w:rPr>
        <w:t> </w:t>
      </w:r>
      <w:r>
        <w:rPr>
          <w:vertAlign w:val="baseline"/>
        </w:rPr>
        <w:t>boards</w:t>
      </w:r>
      <w:r>
        <w:rPr>
          <w:spacing w:val="-6"/>
          <w:vertAlign w:val="baseline"/>
        </w:rPr>
        <w:t> </w:t>
      </w:r>
      <w:r>
        <w:rPr>
          <w:vertAlign w:val="baseline"/>
        </w:rPr>
        <w:t>will also</w:t>
      </w:r>
      <w:r>
        <w:rPr>
          <w:spacing w:val="-1"/>
          <w:vertAlign w:val="baseline"/>
        </w:rPr>
        <w:t> </w:t>
      </w:r>
      <w:r>
        <w:rPr>
          <w:vertAlign w:val="baseline"/>
        </w:rPr>
        <w:t>contribute to</w:t>
      </w:r>
      <w:r>
        <w:rPr>
          <w:spacing w:val="-1"/>
          <w:vertAlign w:val="baseline"/>
        </w:rPr>
        <w:t> </w:t>
      </w:r>
      <w:r>
        <w:rPr>
          <w:vertAlign w:val="baseline"/>
        </w:rPr>
        <w:t>better decision-making in</w:t>
      </w:r>
      <w:r>
        <w:rPr>
          <w:spacing w:val="-1"/>
          <w:vertAlign w:val="baseline"/>
        </w:rPr>
        <w:t> </w:t>
      </w:r>
      <w:r>
        <w:rPr>
          <w:vertAlign w:val="baseline"/>
        </w:rPr>
        <w:t>listed</w:t>
      </w:r>
      <w:r>
        <w:rPr>
          <w:spacing w:val="-1"/>
          <w:vertAlign w:val="baseline"/>
        </w:rPr>
        <w:t> </w:t>
      </w:r>
      <w:r>
        <w:rPr>
          <w:vertAlign w:val="baseline"/>
        </w:rPr>
        <w:t>companies</w:t>
      </w:r>
      <w:r>
        <w:rPr>
          <w:spacing w:val="-1"/>
          <w:vertAlign w:val="baseline"/>
        </w:rPr>
        <w:t> </w:t>
      </w:r>
      <w:r>
        <w:rPr>
          <w:vertAlign w:val="baseline"/>
        </w:rPr>
        <w:t>(see below for our recommendations on these directives).</w:t>
      </w:r>
    </w:p>
    <w:p>
      <w:pPr>
        <w:pStyle w:val="BodyText"/>
        <w:spacing w:line="232" w:lineRule="auto" w:before="268"/>
        <w:ind w:left="1117" w:right="738"/>
      </w:pPr>
      <w:r>
        <w:rPr/>
        <w:t>In</w:t>
      </w:r>
      <w:r>
        <w:rPr>
          <w:spacing w:val="-1"/>
        </w:rPr>
        <w:t> </w:t>
      </w:r>
      <w:r>
        <w:rPr/>
        <w:t>several</w:t>
      </w:r>
      <w:r>
        <w:rPr>
          <w:spacing w:val="-1"/>
        </w:rPr>
        <w:t> </w:t>
      </w:r>
      <w:r>
        <w:rPr/>
        <w:t>areas</w:t>
      </w:r>
      <w:r>
        <w:rPr>
          <w:spacing w:val="-1"/>
        </w:rPr>
        <w:t> </w:t>
      </w:r>
      <w:r>
        <w:rPr/>
        <w:t>we are concerned</w:t>
      </w:r>
      <w:r>
        <w:rPr>
          <w:spacing w:val="-1"/>
        </w:rPr>
        <w:t> </w:t>
      </w:r>
      <w:r>
        <w:rPr/>
        <w:t>that issues</w:t>
      </w:r>
      <w:r>
        <w:rPr>
          <w:spacing w:val="-1"/>
        </w:rPr>
        <w:t> </w:t>
      </w:r>
      <w:r>
        <w:rPr/>
        <w:t>raised</w:t>
      </w:r>
      <w:r>
        <w:rPr>
          <w:spacing w:val="-1"/>
        </w:rPr>
        <w:t> </w:t>
      </w:r>
      <w:r>
        <w:rPr/>
        <w:t>in</w:t>
      </w:r>
      <w:r>
        <w:rPr>
          <w:spacing w:val="-1"/>
        </w:rPr>
        <w:t> </w:t>
      </w:r>
      <w:r>
        <w:rPr/>
        <w:t>the initial</w:t>
      </w:r>
      <w:r>
        <w:rPr>
          <w:spacing w:val="-1"/>
        </w:rPr>
        <w:t> </w:t>
      </w:r>
      <w:r>
        <w:rPr/>
        <w:t>divergence report highlighting significant problems of divergence have not been addressed - for example</w:t>
      </w:r>
      <w:r>
        <w:rPr>
          <w:spacing w:val="-7"/>
        </w:rPr>
        <w:t> </w:t>
      </w:r>
      <w:r>
        <w:rPr/>
        <w:t>on</w:t>
      </w:r>
      <w:r>
        <w:rPr>
          <w:spacing w:val="-8"/>
        </w:rPr>
        <w:t> </w:t>
      </w:r>
      <w:r>
        <w:rPr/>
        <w:t>age</w:t>
      </w:r>
      <w:r>
        <w:rPr>
          <w:spacing w:val="-7"/>
        </w:rPr>
        <w:t> </w:t>
      </w:r>
      <w:r>
        <w:rPr/>
        <w:t>discrimination</w:t>
      </w:r>
      <w:r>
        <w:rPr>
          <w:spacing w:val="-8"/>
        </w:rPr>
        <w:t> </w:t>
      </w:r>
      <w:r>
        <w:rPr/>
        <w:t>and</w:t>
      </w:r>
      <w:r>
        <w:rPr>
          <w:spacing w:val="-8"/>
        </w:rPr>
        <w:t> </w:t>
      </w:r>
      <w:r>
        <w:rPr/>
        <w:t>gender</w:t>
      </w:r>
      <w:r>
        <w:rPr>
          <w:spacing w:val="-7"/>
        </w:rPr>
        <w:t> </w:t>
      </w:r>
      <w:r>
        <w:rPr/>
        <w:t>identity.</w:t>
      </w:r>
      <w:r>
        <w:rPr>
          <w:spacing w:val="-8"/>
        </w:rPr>
        <w:t> </w:t>
      </w:r>
      <w:r>
        <w:rPr/>
        <w:t>It</w:t>
      </w:r>
      <w:r>
        <w:rPr>
          <w:spacing w:val="-7"/>
        </w:rPr>
        <w:t> </w:t>
      </w:r>
      <w:r>
        <w:rPr/>
        <w:t>remains</w:t>
      </w:r>
      <w:r>
        <w:rPr>
          <w:spacing w:val="-8"/>
        </w:rPr>
        <w:t> </w:t>
      </w:r>
      <w:r>
        <w:rPr/>
        <w:t>necessary</w:t>
      </w:r>
      <w:r>
        <w:rPr>
          <w:spacing w:val="-7"/>
        </w:rPr>
        <w:t> </w:t>
      </w:r>
      <w:r>
        <w:rPr/>
        <w:t>to</w:t>
      </w:r>
      <w:r>
        <w:rPr>
          <w:spacing w:val="-8"/>
        </w:rPr>
        <w:t> </w:t>
      </w:r>
      <w:r>
        <w:rPr/>
        <w:t>address </w:t>
      </w:r>
      <w:r>
        <w:rPr>
          <w:spacing w:val="-2"/>
        </w:rPr>
        <w:t>these.</w:t>
      </w:r>
    </w:p>
    <w:p>
      <w:pPr>
        <w:pStyle w:val="BodyText"/>
        <w:spacing w:line="232" w:lineRule="auto" w:before="278"/>
        <w:ind w:left="1117" w:right="738"/>
      </w:pPr>
      <w:r>
        <w:rPr/>
        <w:t>In</w:t>
      </w:r>
      <w:r>
        <w:rPr>
          <w:spacing w:val="-5"/>
        </w:rPr>
        <w:t> </w:t>
      </w:r>
      <w:r>
        <w:rPr/>
        <w:t>some</w:t>
      </w:r>
      <w:r>
        <w:rPr>
          <w:spacing w:val="-4"/>
        </w:rPr>
        <w:t> </w:t>
      </w:r>
      <w:r>
        <w:rPr/>
        <w:t>instances,</w:t>
      </w:r>
      <w:r>
        <w:rPr>
          <w:spacing w:val="-4"/>
        </w:rPr>
        <w:t> </w:t>
      </w:r>
      <w:r>
        <w:rPr/>
        <w:t>Irish</w:t>
      </w:r>
      <w:r>
        <w:rPr>
          <w:spacing w:val="-5"/>
        </w:rPr>
        <w:t> </w:t>
      </w:r>
      <w:r>
        <w:rPr/>
        <w:t>law</w:t>
      </w:r>
      <w:r>
        <w:rPr>
          <w:spacing w:val="-4"/>
        </w:rPr>
        <w:t> </w:t>
      </w:r>
      <w:r>
        <w:rPr/>
        <w:t>would</w:t>
      </w:r>
      <w:r>
        <w:rPr>
          <w:spacing w:val="-5"/>
        </w:rPr>
        <w:t> </w:t>
      </w:r>
      <w:r>
        <w:rPr/>
        <w:t>seem</w:t>
      </w:r>
      <w:r>
        <w:rPr>
          <w:spacing w:val="-4"/>
        </w:rPr>
        <w:t> </w:t>
      </w:r>
      <w:r>
        <w:rPr/>
        <w:t>to</w:t>
      </w:r>
      <w:r>
        <w:rPr>
          <w:spacing w:val="-5"/>
        </w:rPr>
        <w:t> </w:t>
      </w:r>
      <w:r>
        <w:rPr/>
        <w:t>fall</w:t>
      </w:r>
      <w:r>
        <w:rPr>
          <w:spacing w:val="-5"/>
        </w:rPr>
        <w:t> </w:t>
      </w:r>
      <w:r>
        <w:rPr/>
        <w:t>short</w:t>
      </w:r>
      <w:r>
        <w:rPr>
          <w:spacing w:val="-4"/>
        </w:rPr>
        <w:t> </w:t>
      </w:r>
      <w:r>
        <w:rPr/>
        <w:t>of</w:t>
      </w:r>
      <w:r>
        <w:rPr>
          <w:spacing w:val="-5"/>
        </w:rPr>
        <w:t> </w:t>
      </w:r>
      <w:r>
        <w:rPr/>
        <w:t>EU</w:t>
      </w:r>
      <w:r>
        <w:rPr>
          <w:spacing w:val="-4"/>
        </w:rPr>
        <w:t> </w:t>
      </w:r>
      <w:r>
        <w:rPr/>
        <w:t>standards</w:t>
      </w:r>
      <w:r>
        <w:rPr>
          <w:spacing w:val="-5"/>
        </w:rPr>
        <w:t> </w:t>
      </w:r>
      <w:r>
        <w:rPr/>
        <w:t>and</w:t>
      </w:r>
      <w:r>
        <w:rPr>
          <w:spacing w:val="-5"/>
        </w:rPr>
        <w:t> </w:t>
      </w:r>
      <w:r>
        <w:rPr/>
        <w:t>fall</w:t>
      </w:r>
      <w:r>
        <w:rPr>
          <w:spacing w:val="-5"/>
        </w:rPr>
        <w:t> </w:t>
      </w:r>
      <w:r>
        <w:rPr/>
        <w:t>short of standards achieved in Northern Ireland.</w:t>
      </w:r>
    </w:p>
    <w:p>
      <w:pPr>
        <w:pStyle w:val="BodyText"/>
        <w:spacing w:before="3"/>
        <w:rPr>
          <w:sz w:val="20"/>
        </w:rPr>
      </w:pPr>
      <w:r>
        <w:rPr/>
        <mc:AlternateContent>
          <mc:Choice Requires="wps">
            <w:drawing>
              <wp:anchor distT="0" distB="0" distL="0" distR="0" allowOverlap="1" layoutInCell="1" locked="0" behindDoc="1" simplePos="0" relativeHeight="487618560">
                <wp:simplePos x="0" y="0"/>
                <wp:positionH relativeFrom="page">
                  <wp:posOffset>899994</wp:posOffset>
                </wp:positionH>
                <wp:positionV relativeFrom="paragraph">
                  <wp:posOffset>172794</wp:posOffset>
                </wp:positionV>
                <wp:extent cx="6012180" cy="813435"/>
                <wp:effectExtent l="0" t="0" r="0" b="0"/>
                <wp:wrapTopAndBottom/>
                <wp:docPr id="163" name="Group 163"/>
                <wp:cNvGraphicFramePr>
                  <a:graphicFrameLocks/>
                </wp:cNvGraphicFramePr>
                <a:graphic>
                  <a:graphicData uri="http://schemas.microsoft.com/office/word/2010/wordprocessingGroup">
                    <wpg:wgp>
                      <wpg:cNvPr id="163" name="Group 163"/>
                      <wpg:cNvGrpSpPr/>
                      <wpg:grpSpPr>
                        <a:xfrm>
                          <a:off x="0" y="0"/>
                          <a:ext cx="6012180" cy="813435"/>
                          <a:chExt cx="6012180" cy="813435"/>
                        </a:xfrm>
                      </wpg:grpSpPr>
                      <wps:wsp>
                        <wps:cNvPr id="164" name="Graphic 164"/>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65" name="Textbox 165"/>
                        <wps:cNvSpPr txBox="1"/>
                        <wps:spPr>
                          <a:xfrm>
                            <a:off x="0" y="0"/>
                            <a:ext cx="6012180" cy="81343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12"/>
                                  <w:sz w:val="28"/>
                                </w:rPr>
                                <w:t> </w:t>
                              </w:r>
                              <w:r>
                                <w:rPr>
                                  <w:b/>
                                  <w:color w:val="164194"/>
                                  <w:sz w:val="28"/>
                                </w:rPr>
                                <w:t>recommend</w:t>
                              </w:r>
                              <w:r>
                                <w:rPr>
                                  <w:b/>
                                  <w:color w:val="164194"/>
                                  <w:spacing w:val="-11"/>
                                  <w:sz w:val="28"/>
                                </w:rPr>
                                <w:t> </w:t>
                              </w:r>
                              <w:r>
                                <w:rPr>
                                  <w:b/>
                                  <w:color w:val="164194"/>
                                  <w:sz w:val="28"/>
                                </w:rPr>
                                <w:t>that</w:t>
                              </w:r>
                              <w:r>
                                <w:rPr>
                                  <w:b/>
                                  <w:color w:val="164194"/>
                                  <w:spacing w:val="-11"/>
                                  <w:sz w:val="28"/>
                                </w:rPr>
                                <w:t> </w:t>
                              </w:r>
                              <w:r>
                                <w:rPr>
                                  <w:b/>
                                  <w:color w:val="164194"/>
                                  <w:sz w:val="28"/>
                                </w:rPr>
                                <w:t>the</w:t>
                              </w:r>
                              <w:r>
                                <w:rPr>
                                  <w:b/>
                                  <w:color w:val="164194"/>
                                  <w:spacing w:val="-12"/>
                                  <w:sz w:val="28"/>
                                </w:rPr>
                                <w:t> </w:t>
                              </w:r>
                              <w:r>
                                <w:rPr>
                                  <w:b/>
                                  <w:color w:val="164194"/>
                                  <w:sz w:val="28"/>
                                </w:rPr>
                                <w:t>Irish</w:t>
                              </w:r>
                              <w:r>
                                <w:rPr>
                                  <w:b/>
                                  <w:color w:val="164194"/>
                                  <w:spacing w:val="-11"/>
                                  <w:sz w:val="28"/>
                                </w:rPr>
                                <w:t> </w:t>
                              </w:r>
                              <w:r>
                                <w:rPr>
                                  <w:b/>
                                  <w:color w:val="164194"/>
                                  <w:sz w:val="28"/>
                                </w:rPr>
                                <w:t>Department</w:t>
                              </w:r>
                              <w:r>
                                <w:rPr>
                                  <w:b/>
                                  <w:color w:val="164194"/>
                                  <w:spacing w:val="-11"/>
                                  <w:sz w:val="28"/>
                                </w:rPr>
                                <w:t> </w:t>
                              </w:r>
                              <w:r>
                                <w:rPr>
                                  <w:b/>
                                  <w:color w:val="164194"/>
                                  <w:sz w:val="28"/>
                                </w:rPr>
                                <w:t>for</w:t>
                              </w:r>
                              <w:r>
                                <w:rPr>
                                  <w:b/>
                                  <w:color w:val="164194"/>
                                  <w:spacing w:val="-12"/>
                                  <w:sz w:val="28"/>
                                </w:rPr>
                                <w:t> </w:t>
                              </w:r>
                              <w:r>
                                <w:rPr>
                                  <w:b/>
                                  <w:color w:val="164194"/>
                                  <w:sz w:val="28"/>
                                </w:rPr>
                                <w:t>Children,</w:t>
                              </w:r>
                              <w:r>
                                <w:rPr>
                                  <w:b/>
                                  <w:color w:val="164194"/>
                                  <w:spacing w:val="-11"/>
                                  <w:sz w:val="28"/>
                                </w:rPr>
                                <w:t> </w:t>
                              </w:r>
                              <w:r>
                                <w:rPr>
                                  <w:b/>
                                  <w:color w:val="164194"/>
                                  <w:sz w:val="28"/>
                                </w:rPr>
                                <w:t>Equality,</w:t>
                              </w:r>
                              <w:r>
                                <w:rPr>
                                  <w:b/>
                                  <w:color w:val="164194"/>
                                  <w:spacing w:val="-11"/>
                                  <w:sz w:val="28"/>
                                </w:rPr>
                                <w:t> </w:t>
                              </w:r>
                              <w:r>
                                <w:rPr>
                                  <w:b/>
                                  <w:color w:val="164194"/>
                                  <w:sz w:val="28"/>
                                </w:rPr>
                                <w:t>Disability, Integration and Youth include proposals to amend Irish law on ‘religious belief’ to include ‘religion or belief’ to bring it into line with EU law.</w:t>
                              </w:r>
                            </w:p>
                          </w:txbxContent>
                        </wps:txbx>
                        <wps:bodyPr wrap="square" lIns="0" tIns="0" rIns="0" bIns="0" rtlCol="0">
                          <a:noAutofit/>
                        </wps:bodyPr>
                      </wps:wsp>
                    </wpg:wgp>
                  </a:graphicData>
                </a:graphic>
              </wp:anchor>
            </w:drawing>
          </mc:Choice>
          <mc:Fallback>
            <w:pict>
              <v:group style="position:absolute;margin-left:70.8657pt;margin-top:13.605844pt;width:473.4pt;height:64.05pt;mso-position-horizontal-relative:page;mso-position-vertical-relative:paragraph;z-index:-15697920;mso-wrap-distance-left:0;mso-wrap-distance-right:0" id="docshapegroup112" coordorigin="1417,272" coordsize="9468,1281">
                <v:shape style="position:absolute;left:1417;top:272;width:9468;height:1281" id="docshape113" coordorigin="1417,272" coordsize="9468,1281" path="m10658,272l1644,272,1572,284,1510,316,1461,365,1429,427,1417,499,1417,1325,1429,1397,1461,1459,1510,1509,1572,1541,1644,1552,10658,1552,10730,1541,10792,1509,10841,1459,10873,1397,10885,1325,10885,499,10873,427,10841,365,10792,316,10730,284,10658,272xe" filled="true" fillcolor="#e9f3fc" stroked="false">
                  <v:path arrowok="t"/>
                  <v:fill type="solid"/>
                </v:shape>
                <v:shape style="position:absolute;left:1417;top:272;width:9468;height:1281" type="#_x0000_t202" id="docshape114"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12"/>
                            <w:sz w:val="28"/>
                          </w:rPr>
                          <w:t> </w:t>
                        </w:r>
                        <w:r>
                          <w:rPr>
                            <w:b/>
                            <w:color w:val="164194"/>
                            <w:sz w:val="28"/>
                          </w:rPr>
                          <w:t>recommend</w:t>
                        </w:r>
                        <w:r>
                          <w:rPr>
                            <w:b/>
                            <w:color w:val="164194"/>
                            <w:spacing w:val="-11"/>
                            <w:sz w:val="28"/>
                          </w:rPr>
                          <w:t> </w:t>
                        </w:r>
                        <w:r>
                          <w:rPr>
                            <w:b/>
                            <w:color w:val="164194"/>
                            <w:sz w:val="28"/>
                          </w:rPr>
                          <w:t>that</w:t>
                        </w:r>
                        <w:r>
                          <w:rPr>
                            <w:b/>
                            <w:color w:val="164194"/>
                            <w:spacing w:val="-11"/>
                            <w:sz w:val="28"/>
                          </w:rPr>
                          <w:t> </w:t>
                        </w:r>
                        <w:r>
                          <w:rPr>
                            <w:b/>
                            <w:color w:val="164194"/>
                            <w:sz w:val="28"/>
                          </w:rPr>
                          <w:t>the</w:t>
                        </w:r>
                        <w:r>
                          <w:rPr>
                            <w:b/>
                            <w:color w:val="164194"/>
                            <w:spacing w:val="-12"/>
                            <w:sz w:val="28"/>
                          </w:rPr>
                          <w:t> </w:t>
                        </w:r>
                        <w:r>
                          <w:rPr>
                            <w:b/>
                            <w:color w:val="164194"/>
                            <w:sz w:val="28"/>
                          </w:rPr>
                          <w:t>Irish</w:t>
                        </w:r>
                        <w:r>
                          <w:rPr>
                            <w:b/>
                            <w:color w:val="164194"/>
                            <w:spacing w:val="-11"/>
                            <w:sz w:val="28"/>
                          </w:rPr>
                          <w:t> </w:t>
                        </w:r>
                        <w:r>
                          <w:rPr>
                            <w:b/>
                            <w:color w:val="164194"/>
                            <w:sz w:val="28"/>
                          </w:rPr>
                          <w:t>Department</w:t>
                        </w:r>
                        <w:r>
                          <w:rPr>
                            <w:b/>
                            <w:color w:val="164194"/>
                            <w:spacing w:val="-11"/>
                            <w:sz w:val="28"/>
                          </w:rPr>
                          <w:t> </w:t>
                        </w:r>
                        <w:r>
                          <w:rPr>
                            <w:b/>
                            <w:color w:val="164194"/>
                            <w:sz w:val="28"/>
                          </w:rPr>
                          <w:t>for</w:t>
                        </w:r>
                        <w:r>
                          <w:rPr>
                            <w:b/>
                            <w:color w:val="164194"/>
                            <w:spacing w:val="-12"/>
                            <w:sz w:val="28"/>
                          </w:rPr>
                          <w:t> </w:t>
                        </w:r>
                        <w:r>
                          <w:rPr>
                            <w:b/>
                            <w:color w:val="164194"/>
                            <w:sz w:val="28"/>
                          </w:rPr>
                          <w:t>Children,</w:t>
                        </w:r>
                        <w:r>
                          <w:rPr>
                            <w:b/>
                            <w:color w:val="164194"/>
                            <w:spacing w:val="-11"/>
                            <w:sz w:val="28"/>
                          </w:rPr>
                          <w:t> </w:t>
                        </w:r>
                        <w:r>
                          <w:rPr>
                            <w:b/>
                            <w:color w:val="164194"/>
                            <w:sz w:val="28"/>
                          </w:rPr>
                          <w:t>Equality,</w:t>
                        </w:r>
                        <w:r>
                          <w:rPr>
                            <w:b/>
                            <w:color w:val="164194"/>
                            <w:spacing w:val="-11"/>
                            <w:sz w:val="28"/>
                          </w:rPr>
                          <w:t> </w:t>
                        </w:r>
                        <w:r>
                          <w:rPr>
                            <w:b/>
                            <w:color w:val="164194"/>
                            <w:sz w:val="28"/>
                          </w:rPr>
                          <w:t>Disability, Integration and Youth include proposals to amend Irish law on ‘religious belief’ to include ‘religion or belief’ to bring it into line with EU law.</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9072">
                <wp:simplePos x="0" y="0"/>
                <wp:positionH relativeFrom="page">
                  <wp:posOffset>899999</wp:posOffset>
                </wp:positionH>
                <wp:positionV relativeFrom="paragraph">
                  <wp:posOffset>1118391</wp:posOffset>
                </wp:positionV>
                <wp:extent cx="6012180" cy="127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88.062347pt;width:473.4pt;height:.1pt;mso-position-horizontal-relative:page;mso-position-vertical-relative:paragraph;z-index:-15697408;mso-wrap-distance-left:0;mso-wrap-distance-right:0" id="docshape115" coordorigin="1417,1761" coordsize="9468,0" path="m1417,1761l10885,1761e" filled="false" stroked="true" strokeweight=".5pt" strokecolor="#36a9e1">
                <v:path arrowok="t"/>
                <v:stroke dashstyle="solid"/>
                <w10:wrap type="topAndBottom"/>
              </v:shape>
            </w:pict>
          </mc:Fallback>
        </mc:AlternateContent>
      </w:r>
    </w:p>
    <w:p>
      <w:pPr>
        <w:pStyle w:val="BodyText"/>
        <w:spacing w:before="1"/>
        <w:rPr>
          <w:sz w:val="15"/>
        </w:rPr>
      </w:pPr>
    </w:p>
    <w:p>
      <w:pPr>
        <w:pStyle w:val="ListParagraph"/>
        <w:numPr>
          <w:ilvl w:val="0"/>
          <w:numId w:val="9"/>
        </w:numPr>
        <w:tabs>
          <w:tab w:pos="1684" w:val="left" w:leader="none"/>
        </w:tabs>
        <w:spacing w:line="240" w:lineRule="auto" w:before="43" w:after="0"/>
        <w:ind w:left="1684" w:right="1148" w:hanging="567"/>
        <w:jc w:val="left"/>
        <w:rPr>
          <w:sz w:val="18"/>
        </w:rPr>
      </w:pPr>
      <w:r>
        <w:rPr>
          <w:color w:val="1D71B8"/>
          <w:sz w:val="18"/>
          <w:u w:val="single" w:color="1D71B8"/>
        </w:rPr>
        <w:t>Council</w:t>
      </w:r>
      <w:r>
        <w:rPr>
          <w:color w:val="1D71B8"/>
          <w:spacing w:val="-4"/>
          <w:sz w:val="18"/>
          <w:u w:val="single" w:color="1D71B8"/>
        </w:rPr>
        <w:t> </w:t>
      </w:r>
      <w:r>
        <w:rPr>
          <w:color w:val="1D71B8"/>
          <w:sz w:val="18"/>
          <w:u w:val="single" w:color="1D71B8"/>
        </w:rPr>
        <w:t>Directive</w:t>
      </w:r>
      <w:r>
        <w:rPr>
          <w:color w:val="1D71B8"/>
          <w:spacing w:val="-3"/>
          <w:sz w:val="18"/>
          <w:u w:val="single" w:color="1D71B8"/>
        </w:rPr>
        <w:t> </w:t>
      </w:r>
      <w:r>
        <w:rPr>
          <w:color w:val="1D71B8"/>
          <w:sz w:val="18"/>
          <w:u w:val="single" w:color="1D71B8"/>
        </w:rPr>
        <w:t>2006/54/EC</w:t>
      </w:r>
      <w:r>
        <w:rPr>
          <w:color w:val="1D71B8"/>
          <w:spacing w:val="-3"/>
          <w:sz w:val="18"/>
          <w:u w:val="none"/>
        </w:rPr>
        <w:t> </w:t>
      </w:r>
      <w:r>
        <w:rPr>
          <w:sz w:val="18"/>
          <w:u w:val="none"/>
        </w:rPr>
        <w:t>of</w:t>
      </w:r>
      <w:r>
        <w:rPr>
          <w:spacing w:val="-4"/>
          <w:sz w:val="18"/>
          <w:u w:val="none"/>
        </w:rPr>
        <w:t> </w:t>
      </w:r>
      <w:r>
        <w:rPr>
          <w:sz w:val="18"/>
          <w:u w:val="none"/>
        </w:rPr>
        <w:t>5</w:t>
      </w:r>
      <w:r>
        <w:rPr>
          <w:spacing w:val="-3"/>
          <w:sz w:val="18"/>
          <w:u w:val="none"/>
        </w:rPr>
        <w:t> </w:t>
      </w:r>
      <w:r>
        <w:rPr>
          <w:sz w:val="18"/>
          <w:u w:val="none"/>
        </w:rPr>
        <w:t>July</w:t>
      </w:r>
      <w:r>
        <w:rPr>
          <w:spacing w:val="-3"/>
          <w:sz w:val="18"/>
          <w:u w:val="none"/>
        </w:rPr>
        <w:t> </w:t>
      </w:r>
      <w:r>
        <w:rPr>
          <w:sz w:val="18"/>
          <w:u w:val="none"/>
        </w:rPr>
        <w:t>2006</w:t>
      </w:r>
      <w:r>
        <w:rPr>
          <w:spacing w:val="-3"/>
          <w:sz w:val="18"/>
          <w:u w:val="none"/>
        </w:rPr>
        <w:t> </w:t>
      </w:r>
      <w:r>
        <w:rPr>
          <w:sz w:val="18"/>
          <w:u w:val="none"/>
        </w:rPr>
        <w:t>on</w:t>
      </w:r>
      <w:r>
        <w:rPr>
          <w:spacing w:val="-4"/>
          <w:sz w:val="18"/>
          <w:u w:val="none"/>
        </w:rPr>
        <w:t> </w:t>
      </w:r>
      <w:r>
        <w:rPr>
          <w:sz w:val="18"/>
          <w:u w:val="none"/>
        </w:rPr>
        <w:t>the</w:t>
      </w:r>
      <w:r>
        <w:rPr>
          <w:spacing w:val="-3"/>
          <w:sz w:val="18"/>
          <w:u w:val="none"/>
        </w:rPr>
        <w:t> </w:t>
      </w:r>
      <w:r>
        <w:rPr>
          <w:sz w:val="18"/>
          <w:u w:val="none"/>
        </w:rPr>
        <w:t>implementation</w:t>
      </w:r>
      <w:r>
        <w:rPr>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principle</w:t>
      </w:r>
      <w:r>
        <w:rPr>
          <w:spacing w:val="-3"/>
          <w:sz w:val="18"/>
          <w:u w:val="none"/>
        </w:rPr>
        <w:t> </w:t>
      </w:r>
      <w:r>
        <w:rPr>
          <w:sz w:val="18"/>
          <w:u w:val="none"/>
        </w:rPr>
        <w:t>of</w:t>
      </w:r>
      <w:r>
        <w:rPr>
          <w:spacing w:val="-4"/>
          <w:sz w:val="18"/>
          <w:u w:val="none"/>
        </w:rPr>
        <w:t> </w:t>
      </w:r>
      <w:r>
        <w:rPr>
          <w:sz w:val="18"/>
          <w:u w:val="none"/>
        </w:rPr>
        <w:t>equal</w:t>
      </w:r>
      <w:r>
        <w:rPr>
          <w:spacing w:val="-4"/>
          <w:sz w:val="18"/>
          <w:u w:val="none"/>
        </w:rPr>
        <w:t> </w:t>
      </w:r>
      <w:r>
        <w:rPr>
          <w:sz w:val="18"/>
          <w:u w:val="none"/>
        </w:rPr>
        <w:t>opportunities</w:t>
      </w:r>
      <w:r>
        <w:rPr>
          <w:spacing w:val="-4"/>
          <w:sz w:val="18"/>
          <w:u w:val="none"/>
        </w:rPr>
        <w:t> </w:t>
      </w:r>
      <w:r>
        <w:rPr>
          <w:sz w:val="18"/>
          <w:u w:val="none"/>
        </w:rPr>
        <w:t>and</w:t>
      </w:r>
      <w:r>
        <w:rPr>
          <w:spacing w:val="-4"/>
          <w:sz w:val="18"/>
          <w:u w:val="none"/>
        </w:rPr>
        <w:t> </w:t>
      </w:r>
      <w:r>
        <w:rPr>
          <w:sz w:val="18"/>
          <w:u w:val="none"/>
        </w:rPr>
        <w:t>equal treatment of men and women in matters of employment and occupation, recast 2006.</w:t>
      </w:r>
    </w:p>
    <w:p>
      <w:pPr>
        <w:pStyle w:val="ListParagraph"/>
        <w:numPr>
          <w:ilvl w:val="0"/>
          <w:numId w:val="9"/>
        </w:numPr>
        <w:tabs>
          <w:tab w:pos="1684" w:val="left" w:leader="none"/>
        </w:tabs>
        <w:spacing w:line="240" w:lineRule="auto" w:before="1" w:after="0"/>
        <w:ind w:left="1684" w:right="767" w:hanging="567"/>
        <w:jc w:val="left"/>
        <w:rPr>
          <w:sz w:val="18"/>
        </w:rPr>
      </w:pPr>
      <w:r>
        <w:rPr>
          <w:sz w:val="18"/>
        </w:rPr>
        <w:t>Equality Commission for Northern Ireland and Northern Ireland Human Rights Commission, </w:t>
      </w:r>
      <w:r>
        <w:rPr>
          <w:color w:val="1D71B8"/>
          <w:sz w:val="18"/>
          <w:u w:val="single" w:color="1D71B8"/>
        </w:rPr>
        <w:t>The EU Pay Transparency </w:t>
      </w:r>
      <w:r>
        <w:rPr>
          <w:color w:val="1D71B8"/>
          <w:sz w:val="18"/>
          <w:u w:val="none"/>
        </w:rPr>
        <w:t> </w:t>
      </w:r>
      <w:r>
        <w:rPr>
          <w:color w:val="1D71B8"/>
          <w:sz w:val="18"/>
          <w:u w:val="single" w:color="1D71B8"/>
        </w:rPr>
        <w:t>Directive:</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UK</w:t>
      </w:r>
      <w:r>
        <w:rPr>
          <w:color w:val="1D71B8"/>
          <w:spacing w:val="-5"/>
          <w:sz w:val="18"/>
          <w:u w:val="single" w:color="1D71B8"/>
        </w:rPr>
        <w:t> </w:t>
      </w:r>
      <w:r>
        <w:rPr>
          <w:color w:val="1D71B8"/>
          <w:sz w:val="18"/>
          <w:u w:val="single" w:color="1D71B8"/>
        </w:rPr>
        <w:t>Government’s</w:t>
      </w:r>
      <w:r>
        <w:rPr>
          <w:color w:val="1D71B8"/>
          <w:spacing w:val="-6"/>
          <w:sz w:val="18"/>
          <w:u w:val="single" w:color="1D71B8"/>
        </w:rPr>
        <w:t> </w:t>
      </w:r>
      <w:r>
        <w:rPr>
          <w:color w:val="1D71B8"/>
          <w:sz w:val="18"/>
          <w:u w:val="single" w:color="1D71B8"/>
        </w:rPr>
        <w:t>dynamic</w:t>
      </w:r>
      <w:r>
        <w:rPr>
          <w:color w:val="1D71B8"/>
          <w:spacing w:val="-5"/>
          <w:sz w:val="18"/>
          <w:u w:val="single" w:color="1D71B8"/>
        </w:rPr>
        <w:t> </w:t>
      </w:r>
      <w:r>
        <w:rPr>
          <w:color w:val="1D71B8"/>
          <w:sz w:val="18"/>
          <w:u w:val="single" w:color="1D71B8"/>
        </w:rPr>
        <w:t>alignment</w:t>
      </w:r>
      <w:r>
        <w:rPr>
          <w:color w:val="1D71B8"/>
          <w:spacing w:val="-5"/>
          <w:sz w:val="18"/>
          <w:u w:val="single" w:color="1D71B8"/>
        </w:rPr>
        <w:t> </w:t>
      </w:r>
      <w:r>
        <w:rPr>
          <w:color w:val="1D71B8"/>
          <w:sz w:val="18"/>
          <w:u w:val="single" w:color="1D71B8"/>
        </w:rPr>
        <w:t>obligations</w:t>
      </w:r>
      <w:r>
        <w:rPr>
          <w:color w:val="1D71B8"/>
          <w:spacing w:val="-6"/>
          <w:sz w:val="18"/>
          <w:u w:val="single" w:color="1D71B8"/>
        </w:rPr>
        <w:t> </w:t>
      </w:r>
      <w:r>
        <w:rPr>
          <w:color w:val="1D71B8"/>
          <w:sz w:val="18"/>
          <w:u w:val="single" w:color="1D71B8"/>
        </w:rPr>
        <w:t>relating</w:t>
      </w:r>
      <w:r>
        <w:rPr>
          <w:color w:val="1D71B8"/>
          <w:spacing w:val="-5"/>
          <w:sz w:val="18"/>
          <w:u w:val="single" w:color="1D71B8"/>
        </w:rPr>
        <w:t> </w:t>
      </w:r>
      <w:r>
        <w:rPr>
          <w:color w:val="1D71B8"/>
          <w:sz w:val="18"/>
          <w:u w:val="single" w:color="1D71B8"/>
        </w:rPr>
        <w:t>to</w:t>
      </w:r>
      <w:r>
        <w:rPr>
          <w:color w:val="1D71B8"/>
          <w:spacing w:val="-6"/>
          <w:sz w:val="18"/>
          <w:u w:val="single" w:color="1D71B8"/>
        </w:rPr>
        <w:t> </w:t>
      </w:r>
      <w:r>
        <w:rPr>
          <w:color w:val="1D71B8"/>
          <w:sz w:val="18"/>
          <w:u w:val="single" w:color="1D71B8"/>
        </w:rPr>
        <w:t>Windsor</w:t>
      </w:r>
      <w:r>
        <w:rPr>
          <w:color w:val="1D71B8"/>
          <w:spacing w:val="-5"/>
          <w:sz w:val="18"/>
          <w:u w:val="single" w:color="1D71B8"/>
        </w:rPr>
        <w:t> </w:t>
      </w:r>
      <w:r>
        <w:rPr>
          <w:color w:val="1D71B8"/>
          <w:sz w:val="18"/>
          <w:u w:val="single" w:color="1D71B8"/>
        </w:rPr>
        <w:t>Framework</w:t>
      </w:r>
      <w:r>
        <w:rPr>
          <w:color w:val="1D71B8"/>
          <w:spacing w:val="-5"/>
          <w:sz w:val="18"/>
          <w:u w:val="single" w:color="1D71B8"/>
        </w:rPr>
        <w:t> </w:t>
      </w:r>
      <w:r>
        <w:rPr>
          <w:color w:val="1D71B8"/>
          <w:sz w:val="18"/>
          <w:u w:val="single" w:color="1D71B8"/>
        </w:rPr>
        <w:t>Article</w:t>
      </w:r>
      <w:r>
        <w:rPr>
          <w:color w:val="1D71B8"/>
          <w:spacing w:val="-5"/>
          <w:sz w:val="18"/>
          <w:u w:val="single" w:color="1D71B8"/>
        </w:rPr>
        <w:t> </w:t>
      </w:r>
      <w:r>
        <w:rPr>
          <w:color w:val="1D71B8"/>
          <w:sz w:val="18"/>
          <w:u w:val="single" w:color="1D71B8"/>
        </w:rPr>
        <w:t>2</w:t>
      </w:r>
      <w:r>
        <w:rPr>
          <w:color w:val="1D71B8"/>
          <w:spacing w:val="-8"/>
          <w:sz w:val="18"/>
          <w:u w:val="none"/>
        </w:rPr>
        <w:t> </w:t>
      </w:r>
      <w:r>
        <w:rPr>
          <w:sz w:val="18"/>
          <w:u w:val="none"/>
        </w:rPr>
        <w:t>(ECNI</w:t>
      </w:r>
      <w:r>
        <w:rPr>
          <w:spacing w:val="-5"/>
          <w:sz w:val="18"/>
          <w:u w:val="none"/>
        </w:rPr>
        <w:t> </w:t>
      </w:r>
      <w:r>
        <w:rPr>
          <w:sz w:val="18"/>
          <w:u w:val="none"/>
        </w:rPr>
        <w:t>and</w:t>
      </w:r>
      <w:r>
        <w:rPr>
          <w:spacing w:val="-6"/>
          <w:sz w:val="18"/>
          <w:u w:val="none"/>
        </w:rPr>
        <w:t> </w:t>
      </w:r>
      <w:r>
        <w:rPr>
          <w:sz w:val="18"/>
          <w:u w:val="none"/>
        </w:rPr>
        <w:t>NIHRC, </w:t>
      </w:r>
      <w:r>
        <w:rPr>
          <w:spacing w:val="-2"/>
          <w:sz w:val="18"/>
          <w:u w:val="none"/>
        </w:rPr>
        <w:t>2024).</w:t>
      </w:r>
    </w:p>
    <w:p>
      <w:pPr>
        <w:spacing w:after="0" w:line="240" w:lineRule="auto"/>
        <w:jc w:val="left"/>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762432">
                <wp:simplePos x="0" y="0"/>
                <wp:positionH relativeFrom="page">
                  <wp:posOffset>0</wp:posOffset>
                </wp:positionH>
                <wp:positionV relativeFrom="page">
                  <wp:posOffset>0</wp:posOffset>
                </wp:positionV>
                <wp:extent cx="7560309" cy="178498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7560309" cy="1784985"/>
                          <a:chExt cx="7560309" cy="1784985"/>
                        </a:xfrm>
                      </wpg:grpSpPr>
                      <wps:wsp>
                        <wps:cNvPr id="168" name="Graphic 168"/>
                        <wps:cNvSpPr/>
                        <wps:spPr>
                          <a:xfrm>
                            <a:off x="647994" y="972002"/>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69" name="Graphic 169"/>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70" name="Graphic 170"/>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171" name="Textbox 171"/>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10</w:t>
                              </w:r>
                            </w:p>
                          </w:txbxContent>
                        </wps:txbx>
                        <wps:bodyPr wrap="square" lIns="0" tIns="0" rIns="0" bIns="0" rtlCol="0">
                          <a:noAutofit/>
                        </wps:bodyPr>
                      </wps:wsp>
                      <wps:wsp>
                        <wps:cNvPr id="172" name="Textbox 172"/>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173" name="Textbox 173"/>
                        <wps:cNvSpPr txBox="1"/>
                        <wps:spPr>
                          <a:xfrm>
                            <a:off x="864000" y="1080003"/>
                            <a:ext cx="5622925" cy="59690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5"/>
                                  <w:sz w:val="28"/>
                                </w:rPr>
                                <w:t> </w:t>
                              </w:r>
                              <w:r>
                                <w:rPr>
                                  <w:b/>
                                  <w:color w:val="164194"/>
                                  <w:sz w:val="28"/>
                                </w:rPr>
                                <w:t>that</w:t>
                              </w:r>
                              <w:r>
                                <w:rPr>
                                  <w:b/>
                                  <w:color w:val="164194"/>
                                  <w:spacing w:val="-5"/>
                                  <w:sz w:val="28"/>
                                </w:rPr>
                                <w:t> </w:t>
                              </w:r>
                              <w:r>
                                <w:rPr>
                                  <w:b/>
                                  <w:color w:val="164194"/>
                                  <w:sz w:val="28"/>
                                </w:rPr>
                                <w:t>the</w:t>
                              </w:r>
                              <w:r>
                                <w:rPr>
                                  <w:b/>
                                  <w:color w:val="164194"/>
                                  <w:spacing w:val="-6"/>
                                  <w:sz w:val="28"/>
                                </w:rPr>
                                <w:t> </w:t>
                              </w:r>
                              <w:r>
                                <w:rPr>
                                  <w:b/>
                                  <w:color w:val="164194"/>
                                  <w:sz w:val="28"/>
                                </w:rPr>
                                <w:t>Government</w:t>
                              </w:r>
                              <w:r>
                                <w:rPr>
                                  <w:b/>
                                  <w:color w:val="164194"/>
                                  <w:spacing w:val="-5"/>
                                  <w:sz w:val="28"/>
                                </w:rPr>
                                <w:t> </w:t>
                              </w:r>
                              <w:r>
                                <w:rPr>
                                  <w:b/>
                                  <w:color w:val="164194"/>
                                  <w:sz w:val="28"/>
                                </w:rPr>
                                <w:t>of</w:t>
                              </w:r>
                              <w:r>
                                <w:rPr>
                                  <w:b/>
                                  <w:color w:val="164194"/>
                                  <w:spacing w:val="-6"/>
                                  <w:sz w:val="28"/>
                                </w:rPr>
                                <w:t> </w:t>
                              </w:r>
                              <w:r>
                                <w:rPr>
                                  <w:b/>
                                  <w:color w:val="164194"/>
                                  <w:sz w:val="28"/>
                                </w:rPr>
                                <w:t>Ireland</w:t>
                              </w:r>
                              <w:r>
                                <w:rPr>
                                  <w:b/>
                                  <w:color w:val="164194"/>
                                  <w:spacing w:val="-5"/>
                                  <w:sz w:val="28"/>
                                </w:rPr>
                                <w:t> </w:t>
                              </w:r>
                              <w:r>
                                <w:rPr>
                                  <w:b/>
                                  <w:color w:val="164194"/>
                                  <w:sz w:val="28"/>
                                </w:rPr>
                                <w:t>include</w:t>
                              </w:r>
                              <w:r>
                                <w:rPr>
                                  <w:b/>
                                  <w:color w:val="164194"/>
                                  <w:spacing w:val="-6"/>
                                  <w:sz w:val="28"/>
                                </w:rPr>
                                <w:t> </w:t>
                              </w:r>
                              <w:r>
                                <w:rPr>
                                  <w:b/>
                                  <w:color w:val="164194"/>
                                  <w:sz w:val="28"/>
                                </w:rPr>
                                <w:t>proposals</w:t>
                              </w:r>
                              <w:r>
                                <w:rPr>
                                  <w:b/>
                                  <w:color w:val="164194"/>
                                  <w:spacing w:val="-5"/>
                                  <w:sz w:val="28"/>
                                </w:rPr>
                                <w:t> </w:t>
                              </w:r>
                              <w:r>
                                <w:rPr>
                                  <w:b/>
                                  <w:color w:val="164194"/>
                                  <w:sz w:val="28"/>
                                </w:rPr>
                                <w:t>to</w:t>
                              </w:r>
                              <w:r>
                                <w:rPr>
                                  <w:b/>
                                  <w:color w:val="164194"/>
                                  <w:spacing w:val="-5"/>
                                  <w:sz w:val="28"/>
                                </w:rPr>
                                <w:t> </w:t>
                              </w:r>
                              <w:r>
                                <w:rPr>
                                  <w:b/>
                                  <w:color w:val="164194"/>
                                  <w:spacing w:val="-2"/>
                                  <w:sz w:val="28"/>
                                </w:rPr>
                                <w:t>amend</w:t>
                              </w:r>
                            </w:p>
                            <w:p>
                              <w:pPr>
                                <w:spacing w:line="232" w:lineRule="auto" w:before="0"/>
                                <w:ind w:left="0" w:right="0" w:firstLine="0"/>
                                <w:jc w:val="left"/>
                                <w:rPr>
                                  <w:b/>
                                  <w:sz w:val="28"/>
                                </w:rPr>
                              </w:pPr>
                              <w:r>
                                <w:rPr>
                                  <w:b/>
                                  <w:color w:val="164194"/>
                                  <w:sz w:val="28"/>
                                </w:rPr>
                                <w:t>the</w:t>
                              </w:r>
                              <w:r>
                                <w:rPr>
                                  <w:b/>
                                  <w:color w:val="164194"/>
                                  <w:spacing w:val="-7"/>
                                  <w:sz w:val="28"/>
                                </w:rPr>
                                <w:t> </w:t>
                              </w:r>
                              <w:r>
                                <w:rPr>
                                  <w:b/>
                                  <w:color w:val="164194"/>
                                  <w:sz w:val="28"/>
                                </w:rPr>
                                <w:t>equality</w:t>
                              </w:r>
                              <w:r>
                                <w:rPr>
                                  <w:b/>
                                  <w:color w:val="164194"/>
                                  <w:spacing w:val="-6"/>
                                  <w:sz w:val="28"/>
                                </w:rPr>
                                <w:t> </w:t>
                              </w:r>
                              <w:r>
                                <w:rPr>
                                  <w:b/>
                                  <w:color w:val="164194"/>
                                  <w:sz w:val="28"/>
                                </w:rPr>
                                <w:t>acts</w:t>
                              </w:r>
                              <w:r>
                                <w:rPr>
                                  <w:b/>
                                  <w:color w:val="164194"/>
                                  <w:spacing w:val="-6"/>
                                  <w:sz w:val="28"/>
                                </w:rPr>
                                <w:t> </w:t>
                              </w:r>
                              <w:r>
                                <w:rPr>
                                  <w:b/>
                                  <w:color w:val="164194"/>
                                  <w:sz w:val="28"/>
                                </w:rPr>
                                <w:t>provisions</w:t>
                              </w:r>
                              <w:r>
                                <w:rPr>
                                  <w:b/>
                                  <w:color w:val="164194"/>
                                  <w:spacing w:val="-6"/>
                                  <w:sz w:val="28"/>
                                </w:rPr>
                                <w:t> </w:t>
                              </w:r>
                              <w:r>
                                <w:rPr>
                                  <w:b/>
                                  <w:color w:val="164194"/>
                                  <w:sz w:val="28"/>
                                </w:rPr>
                                <w:t>on</w:t>
                              </w:r>
                              <w:r>
                                <w:rPr>
                                  <w:b/>
                                  <w:color w:val="164194"/>
                                  <w:spacing w:val="-6"/>
                                  <w:sz w:val="28"/>
                                </w:rPr>
                                <w:t> </w:t>
                              </w:r>
                              <w:r>
                                <w:rPr>
                                  <w:b/>
                                  <w:color w:val="164194"/>
                                  <w:sz w:val="28"/>
                                </w:rPr>
                                <w:t>the</w:t>
                              </w:r>
                              <w:r>
                                <w:rPr>
                                  <w:b/>
                                  <w:color w:val="164194"/>
                                  <w:spacing w:val="-7"/>
                                  <w:sz w:val="28"/>
                                </w:rPr>
                                <w:t> </w:t>
                              </w:r>
                              <w:r>
                                <w:rPr>
                                  <w:b/>
                                  <w:color w:val="164194"/>
                                  <w:sz w:val="28"/>
                                </w:rPr>
                                <w:t>religious</w:t>
                              </w:r>
                              <w:r>
                                <w:rPr>
                                  <w:b/>
                                  <w:color w:val="164194"/>
                                  <w:spacing w:val="-6"/>
                                  <w:sz w:val="28"/>
                                </w:rPr>
                                <w:t> </w:t>
                              </w:r>
                              <w:r>
                                <w:rPr>
                                  <w:b/>
                                  <w:color w:val="164194"/>
                                  <w:sz w:val="28"/>
                                </w:rPr>
                                <w:t>ethos</w:t>
                              </w:r>
                              <w:r>
                                <w:rPr>
                                  <w:b/>
                                  <w:color w:val="164194"/>
                                  <w:spacing w:val="-6"/>
                                  <w:sz w:val="28"/>
                                </w:rPr>
                                <w:t> </w:t>
                              </w:r>
                              <w:r>
                                <w:rPr>
                                  <w:b/>
                                  <w:color w:val="164194"/>
                                  <w:sz w:val="28"/>
                                </w:rPr>
                                <w:t>exemption</w:t>
                              </w:r>
                              <w:r>
                                <w:rPr>
                                  <w:b/>
                                  <w:color w:val="164194"/>
                                  <w:spacing w:val="-6"/>
                                  <w:sz w:val="28"/>
                                </w:rPr>
                                <w:t> </w:t>
                              </w:r>
                              <w:r>
                                <w:rPr>
                                  <w:b/>
                                  <w:color w:val="164194"/>
                                  <w:sz w:val="28"/>
                                </w:rPr>
                                <w:t>to</w:t>
                              </w:r>
                              <w:r>
                                <w:rPr>
                                  <w:b/>
                                  <w:color w:val="164194"/>
                                  <w:spacing w:val="-6"/>
                                  <w:sz w:val="28"/>
                                </w:rPr>
                                <w:t> </w:t>
                              </w:r>
                              <w:r>
                                <w:rPr>
                                  <w:b/>
                                  <w:color w:val="164194"/>
                                  <w:sz w:val="28"/>
                                </w:rPr>
                                <w:t>bring</w:t>
                              </w:r>
                              <w:r>
                                <w:rPr>
                                  <w:b/>
                                  <w:color w:val="164194"/>
                                  <w:spacing w:val="-7"/>
                                  <w:sz w:val="28"/>
                                </w:rPr>
                                <w:t> </w:t>
                              </w:r>
                              <w:r>
                                <w:rPr>
                                  <w:b/>
                                  <w:color w:val="164194"/>
                                  <w:sz w:val="28"/>
                                </w:rPr>
                                <w:t>them into line with EU standards.</w:t>
                              </w:r>
                            </w:p>
                          </w:txbxContent>
                        </wps:txbx>
                        <wps:bodyPr wrap="square" lIns="0" tIns="0" rIns="0" bIns="0" rtlCol="0">
                          <a:noAutofit/>
                        </wps:bodyPr>
                      </wps:wsp>
                    </wpg:wgp>
                  </a:graphicData>
                </a:graphic>
              </wp:anchor>
            </w:drawing>
          </mc:Choice>
          <mc:Fallback>
            <w:pict>
              <v:group style="position:absolute;margin-left:.0pt;margin-top:-.00002pt;width:595.3pt;height:140.550pt;mso-position-horizontal-relative:page;mso-position-vertical-relative:page;z-index:15762432" id="docshapegroup116" coordorigin="0,0" coordsize="11906,2811">
                <v:shape style="position:absolute;left:1020;top:1530;width:9468;height:1281" id="docshape117" coordorigin="1020,1531" coordsize="9468,1281" path="m10261,1531l1247,1531,1176,1542,1113,1574,1064,1624,1032,1686,1020,1757,1020,2584,1032,2656,1064,2718,1113,2767,1176,2799,1247,2811,10261,2811,10333,2799,10395,2767,10444,2718,10477,2656,10488,2584,10488,1757,10477,1686,10444,1624,10395,1574,10333,1542,10261,1531xe" filled="true" fillcolor="#e9f3fc" stroked="false">
                  <v:path arrowok="t"/>
                  <v:fill type="solid"/>
                </v:shape>
                <v:shape style="position:absolute;left:0;top:0;width:11906;height:1819" id="docshape11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119" filled="false" stroked="false">
                  <v:textbox inset="0,0,0,0">
                    <w:txbxContent>
                      <w:p>
                        <w:pPr>
                          <w:spacing w:line="280" w:lineRule="exact" w:before="0"/>
                          <w:ind w:left="0" w:right="0" w:firstLine="0"/>
                          <w:jc w:val="left"/>
                          <w:rPr>
                            <w:b/>
                            <w:sz w:val="28"/>
                          </w:rPr>
                        </w:pPr>
                        <w:r>
                          <w:rPr>
                            <w:b/>
                            <w:color w:val="FFFFFF"/>
                            <w:spacing w:val="-5"/>
                            <w:sz w:val="28"/>
                          </w:rPr>
                          <w:t>10</w:t>
                        </w:r>
                      </w:p>
                    </w:txbxContent>
                  </v:textbox>
                  <w10:wrap type="none"/>
                </v:shape>
                <v:shape style="position:absolute;left:1303;top:645;width:6182;height:240" type="#_x0000_t202" id="docshape120"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360;top:1700;width:8855;height:940" type="#_x0000_t202" id="docshape121" filled="false" stroked="false">
                  <v:textbox inset="0,0,0,0">
                    <w:txbxContent>
                      <w:p>
                        <w:pPr>
                          <w:spacing w:line="279" w:lineRule="exact" w:before="0"/>
                          <w:ind w:left="0" w:right="0"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5"/>
                            <w:sz w:val="28"/>
                          </w:rPr>
                          <w:t> </w:t>
                        </w:r>
                        <w:r>
                          <w:rPr>
                            <w:b/>
                            <w:color w:val="164194"/>
                            <w:sz w:val="28"/>
                          </w:rPr>
                          <w:t>that</w:t>
                        </w:r>
                        <w:r>
                          <w:rPr>
                            <w:b/>
                            <w:color w:val="164194"/>
                            <w:spacing w:val="-5"/>
                            <w:sz w:val="28"/>
                          </w:rPr>
                          <w:t> </w:t>
                        </w:r>
                        <w:r>
                          <w:rPr>
                            <w:b/>
                            <w:color w:val="164194"/>
                            <w:sz w:val="28"/>
                          </w:rPr>
                          <w:t>the</w:t>
                        </w:r>
                        <w:r>
                          <w:rPr>
                            <w:b/>
                            <w:color w:val="164194"/>
                            <w:spacing w:val="-6"/>
                            <w:sz w:val="28"/>
                          </w:rPr>
                          <w:t> </w:t>
                        </w:r>
                        <w:r>
                          <w:rPr>
                            <w:b/>
                            <w:color w:val="164194"/>
                            <w:sz w:val="28"/>
                          </w:rPr>
                          <w:t>Government</w:t>
                        </w:r>
                        <w:r>
                          <w:rPr>
                            <w:b/>
                            <w:color w:val="164194"/>
                            <w:spacing w:val="-5"/>
                            <w:sz w:val="28"/>
                          </w:rPr>
                          <w:t> </w:t>
                        </w:r>
                        <w:r>
                          <w:rPr>
                            <w:b/>
                            <w:color w:val="164194"/>
                            <w:sz w:val="28"/>
                          </w:rPr>
                          <w:t>of</w:t>
                        </w:r>
                        <w:r>
                          <w:rPr>
                            <w:b/>
                            <w:color w:val="164194"/>
                            <w:spacing w:val="-6"/>
                            <w:sz w:val="28"/>
                          </w:rPr>
                          <w:t> </w:t>
                        </w:r>
                        <w:r>
                          <w:rPr>
                            <w:b/>
                            <w:color w:val="164194"/>
                            <w:sz w:val="28"/>
                          </w:rPr>
                          <w:t>Ireland</w:t>
                        </w:r>
                        <w:r>
                          <w:rPr>
                            <w:b/>
                            <w:color w:val="164194"/>
                            <w:spacing w:val="-5"/>
                            <w:sz w:val="28"/>
                          </w:rPr>
                          <w:t> </w:t>
                        </w:r>
                        <w:r>
                          <w:rPr>
                            <w:b/>
                            <w:color w:val="164194"/>
                            <w:sz w:val="28"/>
                          </w:rPr>
                          <w:t>include</w:t>
                        </w:r>
                        <w:r>
                          <w:rPr>
                            <w:b/>
                            <w:color w:val="164194"/>
                            <w:spacing w:val="-6"/>
                            <w:sz w:val="28"/>
                          </w:rPr>
                          <w:t> </w:t>
                        </w:r>
                        <w:r>
                          <w:rPr>
                            <w:b/>
                            <w:color w:val="164194"/>
                            <w:sz w:val="28"/>
                          </w:rPr>
                          <w:t>proposals</w:t>
                        </w:r>
                        <w:r>
                          <w:rPr>
                            <w:b/>
                            <w:color w:val="164194"/>
                            <w:spacing w:val="-5"/>
                            <w:sz w:val="28"/>
                          </w:rPr>
                          <w:t> </w:t>
                        </w:r>
                        <w:r>
                          <w:rPr>
                            <w:b/>
                            <w:color w:val="164194"/>
                            <w:sz w:val="28"/>
                          </w:rPr>
                          <w:t>to</w:t>
                        </w:r>
                        <w:r>
                          <w:rPr>
                            <w:b/>
                            <w:color w:val="164194"/>
                            <w:spacing w:val="-5"/>
                            <w:sz w:val="28"/>
                          </w:rPr>
                          <w:t> </w:t>
                        </w:r>
                        <w:r>
                          <w:rPr>
                            <w:b/>
                            <w:color w:val="164194"/>
                            <w:spacing w:val="-2"/>
                            <w:sz w:val="28"/>
                          </w:rPr>
                          <w:t>amend</w:t>
                        </w:r>
                      </w:p>
                      <w:p>
                        <w:pPr>
                          <w:spacing w:line="232" w:lineRule="auto" w:before="0"/>
                          <w:ind w:left="0" w:right="0" w:firstLine="0"/>
                          <w:jc w:val="left"/>
                          <w:rPr>
                            <w:b/>
                            <w:sz w:val="28"/>
                          </w:rPr>
                        </w:pPr>
                        <w:r>
                          <w:rPr>
                            <w:b/>
                            <w:color w:val="164194"/>
                            <w:sz w:val="28"/>
                          </w:rPr>
                          <w:t>the</w:t>
                        </w:r>
                        <w:r>
                          <w:rPr>
                            <w:b/>
                            <w:color w:val="164194"/>
                            <w:spacing w:val="-7"/>
                            <w:sz w:val="28"/>
                          </w:rPr>
                          <w:t> </w:t>
                        </w:r>
                        <w:r>
                          <w:rPr>
                            <w:b/>
                            <w:color w:val="164194"/>
                            <w:sz w:val="28"/>
                          </w:rPr>
                          <w:t>equality</w:t>
                        </w:r>
                        <w:r>
                          <w:rPr>
                            <w:b/>
                            <w:color w:val="164194"/>
                            <w:spacing w:val="-6"/>
                            <w:sz w:val="28"/>
                          </w:rPr>
                          <w:t> </w:t>
                        </w:r>
                        <w:r>
                          <w:rPr>
                            <w:b/>
                            <w:color w:val="164194"/>
                            <w:sz w:val="28"/>
                          </w:rPr>
                          <w:t>acts</w:t>
                        </w:r>
                        <w:r>
                          <w:rPr>
                            <w:b/>
                            <w:color w:val="164194"/>
                            <w:spacing w:val="-6"/>
                            <w:sz w:val="28"/>
                          </w:rPr>
                          <w:t> </w:t>
                        </w:r>
                        <w:r>
                          <w:rPr>
                            <w:b/>
                            <w:color w:val="164194"/>
                            <w:sz w:val="28"/>
                          </w:rPr>
                          <w:t>provisions</w:t>
                        </w:r>
                        <w:r>
                          <w:rPr>
                            <w:b/>
                            <w:color w:val="164194"/>
                            <w:spacing w:val="-6"/>
                            <w:sz w:val="28"/>
                          </w:rPr>
                          <w:t> </w:t>
                        </w:r>
                        <w:r>
                          <w:rPr>
                            <w:b/>
                            <w:color w:val="164194"/>
                            <w:sz w:val="28"/>
                          </w:rPr>
                          <w:t>on</w:t>
                        </w:r>
                        <w:r>
                          <w:rPr>
                            <w:b/>
                            <w:color w:val="164194"/>
                            <w:spacing w:val="-6"/>
                            <w:sz w:val="28"/>
                          </w:rPr>
                          <w:t> </w:t>
                        </w:r>
                        <w:r>
                          <w:rPr>
                            <w:b/>
                            <w:color w:val="164194"/>
                            <w:sz w:val="28"/>
                          </w:rPr>
                          <w:t>the</w:t>
                        </w:r>
                        <w:r>
                          <w:rPr>
                            <w:b/>
                            <w:color w:val="164194"/>
                            <w:spacing w:val="-7"/>
                            <w:sz w:val="28"/>
                          </w:rPr>
                          <w:t> </w:t>
                        </w:r>
                        <w:r>
                          <w:rPr>
                            <w:b/>
                            <w:color w:val="164194"/>
                            <w:sz w:val="28"/>
                          </w:rPr>
                          <w:t>religious</w:t>
                        </w:r>
                        <w:r>
                          <w:rPr>
                            <w:b/>
                            <w:color w:val="164194"/>
                            <w:spacing w:val="-6"/>
                            <w:sz w:val="28"/>
                          </w:rPr>
                          <w:t> </w:t>
                        </w:r>
                        <w:r>
                          <w:rPr>
                            <w:b/>
                            <w:color w:val="164194"/>
                            <w:sz w:val="28"/>
                          </w:rPr>
                          <w:t>ethos</w:t>
                        </w:r>
                        <w:r>
                          <w:rPr>
                            <w:b/>
                            <w:color w:val="164194"/>
                            <w:spacing w:val="-6"/>
                            <w:sz w:val="28"/>
                          </w:rPr>
                          <w:t> </w:t>
                        </w:r>
                        <w:r>
                          <w:rPr>
                            <w:b/>
                            <w:color w:val="164194"/>
                            <w:sz w:val="28"/>
                          </w:rPr>
                          <w:t>exemption</w:t>
                        </w:r>
                        <w:r>
                          <w:rPr>
                            <w:b/>
                            <w:color w:val="164194"/>
                            <w:spacing w:val="-6"/>
                            <w:sz w:val="28"/>
                          </w:rPr>
                          <w:t> </w:t>
                        </w:r>
                        <w:r>
                          <w:rPr>
                            <w:b/>
                            <w:color w:val="164194"/>
                            <w:sz w:val="28"/>
                          </w:rPr>
                          <w:t>to</w:t>
                        </w:r>
                        <w:r>
                          <w:rPr>
                            <w:b/>
                            <w:color w:val="164194"/>
                            <w:spacing w:val="-6"/>
                            <w:sz w:val="28"/>
                          </w:rPr>
                          <w:t> </w:t>
                        </w:r>
                        <w:r>
                          <w:rPr>
                            <w:b/>
                            <w:color w:val="164194"/>
                            <w:sz w:val="28"/>
                          </w:rPr>
                          <w:t>bring</w:t>
                        </w:r>
                        <w:r>
                          <w:rPr>
                            <w:b/>
                            <w:color w:val="164194"/>
                            <w:spacing w:val="-7"/>
                            <w:sz w:val="28"/>
                          </w:rPr>
                          <w:t> </w:t>
                        </w:r>
                        <w:r>
                          <w:rPr>
                            <w:b/>
                            <w:color w:val="164194"/>
                            <w:sz w:val="28"/>
                          </w:rPr>
                          <w:t>them into line with EU standards.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3"/>
        <w:rPr>
          <w:sz w:val="20"/>
        </w:rPr>
      </w:pPr>
    </w:p>
    <w:p>
      <w:pPr>
        <w:pStyle w:val="BodyText"/>
        <w:ind w:left="720"/>
        <w:rPr>
          <w:sz w:val="20"/>
        </w:rPr>
      </w:pPr>
      <w:r>
        <w:rPr>
          <w:sz w:val="20"/>
        </w:rPr>
        <mc:AlternateContent>
          <mc:Choice Requires="wps">
            <w:drawing>
              <wp:inline distT="0" distB="0" distL="0" distR="0">
                <wp:extent cx="6012180" cy="813435"/>
                <wp:effectExtent l="0" t="0" r="0" b="5715"/>
                <wp:docPr id="174" name="Group 174"/>
                <wp:cNvGraphicFramePr>
                  <a:graphicFrameLocks/>
                </wp:cNvGraphicFramePr>
                <a:graphic>
                  <a:graphicData uri="http://schemas.microsoft.com/office/word/2010/wordprocessingGroup">
                    <wpg:wgp>
                      <wpg:cNvPr id="174" name="Group 174"/>
                      <wpg:cNvGrpSpPr/>
                      <wpg:grpSpPr>
                        <a:xfrm>
                          <a:off x="0" y="0"/>
                          <a:ext cx="6012180" cy="813435"/>
                          <a:chExt cx="6012180" cy="813435"/>
                        </a:xfrm>
                      </wpg:grpSpPr>
                      <wps:wsp>
                        <wps:cNvPr id="175" name="Graphic 175"/>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76" name="Textbox 176"/>
                        <wps:cNvSpPr txBox="1"/>
                        <wps:spPr>
                          <a:xfrm>
                            <a:off x="0" y="0"/>
                            <a:ext cx="6012180" cy="813435"/>
                          </a:xfrm>
                          <a:prstGeom prst="rect">
                            <a:avLst/>
                          </a:prstGeom>
                        </wps:spPr>
                        <wps:txbx>
                          <w:txbxContent>
                            <w:p>
                              <w:pPr>
                                <w:spacing w:line="232" w:lineRule="auto" w:before="121"/>
                                <w:ind w:left="340" w:right="284" w:firstLine="0"/>
                                <w:jc w:val="both"/>
                                <w:rPr>
                                  <w:b/>
                                  <w:sz w:val="28"/>
                                </w:rPr>
                              </w:pPr>
                              <w:bookmarkStart w:name="Tracking EU Legal Developments since Jan" w:id="14"/>
                              <w:bookmarkEnd w:id="14"/>
                              <w:r>
                                <w:rPr/>
                              </w:r>
                              <w:bookmarkStart w:name="_bookmark6" w:id="15"/>
                              <w:bookmarkEnd w:id="15"/>
                              <w:r>
                                <w:rPr/>
                              </w: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the</w:t>
                              </w:r>
                              <w:r>
                                <w:rPr>
                                  <w:b/>
                                  <w:color w:val="164194"/>
                                  <w:spacing w:val="-7"/>
                                  <w:sz w:val="28"/>
                                </w:rPr>
                                <w:t> </w:t>
                              </w:r>
                              <w:r>
                                <w:rPr>
                                  <w:b/>
                                  <w:color w:val="164194"/>
                                  <w:sz w:val="28"/>
                                </w:rPr>
                                <w:t>Government</w:t>
                              </w:r>
                              <w:r>
                                <w:rPr>
                                  <w:b/>
                                  <w:color w:val="164194"/>
                                  <w:spacing w:val="-6"/>
                                  <w:sz w:val="28"/>
                                </w:rPr>
                                <w:t> </w:t>
                              </w:r>
                              <w:r>
                                <w:rPr>
                                  <w:b/>
                                  <w:color w:val="164194"/>
                                  <w:sz w:val="28"/>
                                </w:rPr>
                                <w:t>of</w:t>
                              </w:r>
                              <w:r>
                                <w:rPr>
                                  <w:b/>
                                  <w:color w:val="164194"/>
                                  <w:spacing w:val="-7"/>
                                  <w:sz w:val="28"/>
                                </w:rPr>
                                <w:t> </w:t>
                              </w:r>
                              <w:r>
                                <w:rPr>
                                  <w:b/>
                                  <w:color w:val="164194"/>
                                  <w:sz w:val="28"/>
                                </w:rPr>
                                <w:t>Ireland</w:t>
                              </w:r>
                              <w:r>
                                <w:rPr>
                                  <w:b/>
                                  <w:color w:val="164194"/>
                                  <w:spacing w:val="-6"/>
                                  <w:sz w:val="28"/>
                                </w:rPr>
                                <w:t> </w:t>
                              </w:r>
                              <w:r>
                                <w:rPr>
                                  <w:b/>
                                  <w:color w:val="164194"/>
                                  <w:sz w:val="28"/>
                                </w:rPr>
                                <w:t>consider,</w:t>
                              </w:r>
                              <w:r>
                                <w:rPr>
                                  <w:b/>
                                  <w:color w:val="164194"/>
                                  <w:spacing w:val="-6"/>
                                  <w:sz w:val="28"/>
                                </w:rPr>
                                <w:t> </w:t>
                              </w:r>
                              <w:r>
                                <w:rPr>
                                  <w:b/>
                                  <w:color w:val="164194"/>
                                  <w:sz w:val="28"/>
                                </w:rPr>
                                <w:t>as</w:t>
                              </w:r>
                              <w:r>
                                <w:rPr>
                                  <w:b/>
                                  <w:color w:val="164194"/>
                                  <w:spacing w:val="-6"/>
                                  <w:sz w:val="28"/>
                                </w:rPr>
                                <w:t> </w:t>
                              </w:r>
                              <w:r>
                                <w:rPr>
                                  <w:b/>
                                  <w:color w:val="164194"/>
                                  <w:sz w:val="28"/>
                                </w:rPr>
                                <w:t>part</w:t>
                              </w:r>
                              <w:r>
                                <w:rPr>
                                  <w:b/>
                                  <w:color w:val="164194"/>
                                  <w:spacing w:val="-6"/>
                                  <w:sz w:val="28"/>
                                </w:rPr>
                                <w:t> </w:t>
                              </w:r>
                              <w:r>
                                <w:rPr>
                                  <w:b/>
                                  <w:color w:val="164194"/>
                                  <w:sz w:val="28"/>
                                </w:rPr>
                                <w:t>of</w:t>
                              </w:r>
                              <w:r>
                                <w:rPr>
                                  <w:b/>
                                  <w:color w:val="164194"/>
                                  <w:spacing w:val="-7"/>
                                  <w:sz w:val="28"/>
                                </w:rPr>
                                <w:t> </w:t>
                              </w:r>
                              <w:r>
                                <w:rPr>
                                  <w:b/>
                                  <w:color w:val="164194"/>
                                  <w:sz w:val="28"/>
                                </w:rPr>
                                <w:t>its</w:t>
                              </w:r>
                              <w:r>
                                <w:rPr>
                                  <w:b/>
                                  <w:color w:val="164194"/>
                                  <w:spacing w:val="-6"/>
                                  <w:sz w:val="28"/>
                                </w:rPr>
                                <w:t> </w:t>
                              </w:r>
                              <w:r>
                                <w:rPr>
                                  <w:b/>
                                  <w:color w:val="164194"/>
                                  <w:sz w:val="28"/>
                                </w:rPr>
                                <w:t>Adequate Minimum</w:t>
                              </w:r>
                              <w:r>
                                <w:rPr>
                                  <w:b/>
                                  <w:color w:val="164194"/>
                                  <w:spacing w:val="-10"/>
                                  <w:sz w:val="28"/>
                                </w:rPr>
                                <w:t> </w:t>
                              </w:r>
                              <w:r>
                                <w:rPr>
                                  <w:b/>
                                  <w:color w:val="164194"/>
                                  <w:sz w:val="28"/>
                                </w:rPr>
                                <w:t>Wage</w:t>
                              </w:r>
                              <w:r>
                                <w:rPr>
                                  <w:b/>
                                  <w:color w:val="164194"/>
                                  <w:spacing w:val="-10"/>
                                  <w:sz w:val="28"/>
                                </w:rPr>
                                <w:t> </w:t>
                              </w:r>
                              <w:r>
                                <w:rPr>
                                  <w:b/>
                                  <w:color w:val="164194"/>
                                  <w:sz w:val="28"/>
                                </w:rPr>
                                <w:t>Directive</w:t>
                              </w:r>
                              <w:r>
                                <w:rPr>
                                  <w:b/>
                                  <w:color w:val="164194"/>
                                  <w:spacing w:val="-10"/>
                                  <w:sz w:val="28"/>
                                </w:rPr>
                                <w:t> </w:t>
                              </w:r>
                              <w:r>
                                <w:rPr>
                                  <w:b/>
                                  <w:color w:val="164194"/>
                                  <w:sz w:val="28"/>
                                </w:rPr>
                                <w:t>Action</w:t>
                              </w:r>
                              <w:r>
                                <w:rPr>
                                  <w:b/>
                                  <w:color w:val="164194"/>
                                  <w:spacing w:val="-9"/>
                                  <w:sz w:val="28"/>
                                </w:rPr>
                                <w:t> </w:t>
                              </w:r>
                              <w:r>
                                <w:rPr>
                                  <w:b/>
                                  <w:color w:val="164194"/>
                                  <w:sz w:val="28"/>
                                </w:rPr>
                                <w:t>Plan,</w:t>
                              </w:r>
                              <w:r>
                                <w:rPr>
                                  <w:b/>
                                  <w:color w:val="164194"/>
                                  <w:spacing w:val="-9"/>
                                  <w:sz w:val="28"/>
                                </w:rPr>
                                <w:t> </w:t>
                              </w:r>
                              <w:r>
                                <w:rPr>
                                  <w:b/>
                                  <w:color w:val="164194"/>
                                  <w:sz w:val="28"/>
                                </w:rPr>
                                <w:t>legislation</w:t>
                              </w:r>
                              <w:r>
                                <w:rPr>
                                  <w:b/>
                                  <w:color w:val="164194"/>
                                  <w:spacing w:val="-9"/>
                                  <w:sz w:val="28"/>
                                </w:rPr>
                                <w:t> </w:t>
                              </w:r>
                              <w:r>
                                <w:rPr>
                                  <w:b/>
                                  <w:color w:val="164194"/>
                                  <w:sz w:val="28"/>
                                </w:rPr>
                                <w:t>on</w:t>
                              </w:r>
                              <w:r>
                                <w:rPr>
                                  <w:b/>
                                  <w:color w:val="164194"/>
                                  <w:spacing w:val="-9"/>
                                  <w:sz w:val="28"/>
                                </w:rPr>
                                <w:t> </w:t>
                              </w:r>
                              <w:r>
                                <w:rPr>
                                  <w:b/>
                                  <w:color w:val="164194"/>
                                  <w:sz w:val="28"/>
                                </w:rPr>
                                <w:t>statutory</w:t>
                              </w:r>
                              <w:r>
                                <w:rPr>
                                  <w:b/>
                                  <w:color w:val="164194"/>
                                  <w:spacing w:val="-9"/>
                                  <w:sz w:val="28"/>
                                </w:rPr>
                                <w:t> </w:t>
                              </w:r>
                              <w:r>
                                <w:rPr>
                                  <w:b/>
                                  <w:color w:val="164194"/>
                                  <w:sz w:val="28"/>
                                </w:rPr>
                                <w:t>recognition</w:t>
                              </w:r>
                              <w:r>
                                <w:rPr>
                                  <w:b/>
                                  <w:color w:val="164194"/>
                                  <w:spacing w:val="-9"/>
                                  <w:sz w:val="28"/>
                                </w:rPr>
                                <w:t> </w:t>
                              </w:r>
                              <w:r>
                                <w:rPr>
                                  <w:b/>
                                  <w:color w:val="164194"/>
                                  <w:sz w:val="28"/>
                                </w:rPr>
                                <w:t>of trade unions, bearing in mind the Northern Ireland model.</w:t>
                              </w:r>
                            </w:p>
                          </w:txbxContent>
                        </wps:txbx>
                        <wps:bodyPr wrap="square" lIns="0" tIns="0" rIns="0" bIns="0" rtlCol="0">
                          <a:noAutofit/>
                        </wps:bodyPr>
                      </wps:wsp>
                    </wpg:wgp>
                  </a:graphicData>
                </a:graphic>
              </wp:inline>
            </w:drawing>
          </mc:Choice>
          <mc:Fallback>
            <w:pict>
              <v:group style="width:473.4pt;height:64.05pt;mso-position-horizontal-relative:char;mso-position-vertical-relative:line" id="docshapegroup122" coordorigin="0,0" coordsize="9468,1281">
                <v:shape style="position:absolute;left:0;top:0;width:9468;height:1281" id="docshape123" coordorigin="0,0" coordsize="9468,1281" path="m9241,0l227,0,155,12,93,44,44,93,12,155,0,227,0,1053,12,1125,44,1187,93,1236,155,1269,227,1280,9241,1280,9313,1269,9375,1236,9424,1187,9456,1125,9468,1053,9468,227,9456,155,9424,93,9375,44,9313,12,9241,0xe" filled="true" fillcolor="#e9f3fc" stroked="false">
                  <v:path arrowok="t"/>
                  <v:fill type="solid"/>
                </v:shape>
                <v:shape style="position:absolute;left:0;top:0;width:9468;height:1281" type="#_x0000_t202" id="docshape124" filled="false" stroked="false">
                  <v:textbox inset="0,0,0,0">
                    <w:txbxContent>
                      <w:p>
                        <w:pPr>
                          <w:spacing w:line="232" w:lineRule="auto" w:before="121"/>
                          <w:ind w:left="340" w:right="284" w:firstLine="0"/>
                          <w:jc w:val="both"/>
                          <w:rPr>
                            <w:b/>
                            <w:sz w:val="28"/>
                          </w:rPr>
                        </w:pPr>
                        <w:bookmarkStart w:name="Tracking EU Legal Developments since Jan" w:id="16"/>
                        <w:bookmarkEnd w:id="16"/>
                        <w:r>
                          <w:rPr/>
                        </w:r>
                        <w:bookmarkStart w:name="_bookmark6" w:id="17"/>
                        <w:bookmarkEnd w:id="17"/>
                        <w:r>
                          <w:rPr/>
                        </w: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the</w:t>
                        </w:r>
                        <w:r>
                          <w:rPr>
                            <w:b/>
                            <w:color w:val="164194"/>
                            <w:spacing w:val="-7"/>
                            <w:sz w:val="28"/>
                          </w:rPr>
                          <w:t> </w:t>
                        </w:r>
                        <w:r>
                          <w:rPr>
                            <w:b/>
                            <w:color w:val="164194"/>
                            <w:sz w:val="28"/>
                          </w:rPr>
                          <w:t>Government</w:t>
                        </w:r>
                        <w:r>
                          <w:rPr>
                            <w:b/>
                            <w:color w:val="164194"/>
                            <w:spacing w:val="-6"/>
                            <w:sz w:val="28"/>
                          </w:rPr>
                          <w:t> </w:t>
                        </w:r>
                        <w:r>
                          <w:rPr>
                            <w:b/>
                            <w:color w:val="164194"/>
                            <w:sz w:val="28"/>
                          </w:rPr>
                          <w:t>of</w:t>
                        </w:r>
                        <w:r>
                          <w:rPr>
                            <w:b/>
                            <w:color w:val="164194"/>
                            <w:spacing w:val="-7"/>
                            <w:sz w:val="28"/>
                          </w:rPr>
                          <w:t> </w:t>
                        </w:r>
                        <w:r>
                          <w:rPr>
                            <w:b/>
                            <w:color w:val="164194"/>
                            <w:sz w:val="28"/>
                          </w:rPr>
                          <w:t>Ireland</w:t>
                        </w:r>
                        <w:r>
                          <w:rPr>
                            <w:b/>
                            <w:color w:val="164194"/>
                            <w:spacing w:val="-6"/>
                            <w:sz w:val="28"/>
                          </w:rPr>
                          <w:t> </w:t>
                        </w:r>
                        <w:r>
                          <w:rPr>
                            <w:b/>
                            <w:color w:val="164194"/>
                            <w:sz w:val="28"/>
                          </w:rPr>
                          <w:t>consider,</w:t>
                        </w:r>
                        <w:r>
                          <w:rPr>
                            <w:b/>
                            <w:color w:val="164194"/>
                            <w:spacing w:val="-6"/>
                            <w:sz w:val="28"/>
                          </w:rPr>
                          <w:t> </w:t>
                        </w:r>
                        <w:r>
                          <w:rPr>
                            <w:b/>
                            <w:color w:val="164194"/>
                            <w:sz w:val="28"/>
                          </w:rPr>
                          <w:t>as</w:t>
                        </w:r>
                        <w:r>
                          <w:rPr>
                            <w:b/>
                            <w:color w:val="164194"/>
                            <w:spacing w:val="-6"/>
                            <w:sz w:val="28"/>
                          </w:rPr>
                          <w:t> </w:t>
                        </w:r>
                        <w:r>
                          <w:rPr>
                            <w:b/>
                            <w:color w:val="164194"/>
                            <w:sz w:val="28"/>
                          </w:rPr>
                          <w:t>part</w:t>
                        </w:r>
                        <w:r>
                          <w:rPr>
                            <w:b/>
                            <w:color w:val="164194"/>
                            <w:spacing w:val="-6"/>
                            <w:sz w:val="28"/>
                          </w:rPr>
                          <w:t> </w:t>
                        </w:r>
                        <w:r>
                          <w:rPr>
                            <w:b/>
                            <w:color w:val="164194"/>
                            <w:sz w:val="28"/>
                          </w:rPr>
                          <w:t>of</w:t>
                        </w:r>
                        <w:r>
                          <w:rPr>
                            <w:b/>
                            <w:color w:val="164194"/>
                            <w:spacing w:val="-7"/>
                            <w:sz w:val="28"/>
                          </w:rPr>
                          <w:t> </w:t>
                        </w:r>
                        <w:r>
                          <w:rPr>
                            <w:b/>
                            <w:color w:val="164194"/>
                            <w:sz w:val="28"/>
                          </w:rPr>
                          <w:t>its</w:t>
                        </w:r>
                        <w:r>
                          <w:rPr>
                            <w:b/>
                            <w:color w:val="164194"/>
                            <w:spacing w:val="-6"/>
                            <w:sz w:val="28"/>
                          </w:rPr>
                          <w:t> </w:t>
                        </w:r>
                        <w:r>
                          <w:rPr>
                            <w:b/>
                            <w:color w:val="164194"/>
                            <w:sz w:val="28"/>
                          </w:rPr>
                          <w:t>Adequate Minimum</w:t>
                        </w:r>
                        <w:r>
                          <w:rPr>
                            <w:b/>
                            <w:color w:val="164194"/>
                            <w:spacing w:val="-10"/>
                            <w:sz w:val="28"/>
                          </w:rPr>
                          <w:t> </w:t>
                        </w:r>
                        <w:r>
                          <w:rPr>
                            <w:b/>
                            <w:color w:val="164194"/>
                            <w:sz w:val="28"/>
                          </w:rPr>
                          <w:t>Wage</w:t>
                        </w:r>
                        <w:r>
                          <w:rPr>
                            <w:b/>
                            <w:color w:val="164194"/>
                            <w:spacing w:val="-10"/>
                            <w:sz w:val="28"/>
                          </w:rPr>
                          <w:t> </w:t>
                        </w:r>
                        <w:r>
                          <w:rPr>
                            <w:b/>
                            <w:color w:val="164194"/>
                            <w:sz w:val="28"/>
                          </w:rPr>
                          <w:t>Directive</w:t>
                        </w:r>
                        <w:r>
                          <w:rPr>
                            <w:b/>
                            <w:color w:val="164194"/>
                            <w:spacing w:val="-10"/>
                            <w:sz w:val="28"/>
                          </w:rPr>
                          <w:t> </w:t>
                        </w:r>
                        <w:r>
                          <w:rPr>
                            <w:b/>
                            <w:color w:val="164194"/>
                            <w:sz w:val="28"/>
                          </w:rPr>
                          <w:t>Action</w:t>
                        </w:r>
                        <w:r>
                          <w:rPr>
                            <w:b/>
                            <w:color w:val="164194"/>
                            <w:spacing w:val="-9"/>
                            <w:sz w:val="28"/>
                          </w:rPr>
                          <w:t> </w:t>
                        </w:r>
                        <w:r>
                          <w:rPr>
                            <w:b/>
                            <w:color w:val="164194"/>
                            <w:sz w:val="28"/>
                          </w:rPr>
                          <w:t>Plan,</w:t>
                        </w:r>
                        <w:r>
                          <w:rPr>
                            <w:b/>
                            <w:color w:val="164194"/>
                            <w:spacing w:val="-9"/>
                            <w:sz w:val="28"/>
                          </w:rPr>
                          <w:t> </w:t>
                        </w:r>
                        <w:r>
                          <w:rPr>
                            <w:b/>
                            <w:color w:val="164194"/>
                            <w:sz w:val="28"/>
                          </w:rPr>
                          <w:t>legislation</w:t>
                        </w:r>
                        <w:r>
                          <w:rPr>
                            <w:b/>
                            <w:color w:val="164194"/>
                            <w:spacing w:val="-9"/>
                            <w:sz w:val="28"/>
                          </w:rPr>
                          <w:t> </w:t>
                        </w:r>
                        <w:r>
                          <w:rPr>
                            <w:b/>
                            <w:color w:val="164194"/>
                            <w:sz w:val="28"/>
                          </w:rPr>
                          <w:t>on</w:t>
                        </w:r>
                        <w:r>
                          <w:rPr>
                            <w:b/>
                            <w:color w:val="164194"/>
                            <w:spacing w:val="-9"/>
                            <w:sz w:val="28"/>
                          </w:rPr>
                          <w:t> </w:t>
                        </w:r>
                        <w:r>
                          <w:rPr>
                            <w:b/>
                            <w:color w:val="164194"/>
                            <w:sz w:val="28"/>
                          </w:rPr>
                          <w:t>statutory</w:t>
                        </w:r>
                        <w:r>
                          <w:rPr>
                            <w:b/>
                            <w:color w:val="164194"/>
                            <w:spacing w:val="-9"/>
                            <w:sz w:val="28"/>
                          </w:rPr>
                          <w:t> </w:t>
                        </w:r>
                        <w:r>
                          <w:rPr>
                            <w:b/>
                            <w:color w:val="164194"/>
                            <w:sz w:val="28"/>
                          </w:rPr>
                          <w:t>recognition</w:t>
                        </w:r>
                        <w:r>
                          <w:rPr>
                            <w:b/>
                            <w:color w:val="164194"/>
                            <w:spacing w:val="-9"/>
                            <w:sz w:val="28"/>
                          </w:rPr>
                          <w:t> </w:t>
                        </w:r>
                        <w:r>
                          <w:rPr>
                            <w:b/>
                            <w:color w:val="164194"/>
                            <w:sz w:val="28"/>
                          </w:rPr>
                          <w:t>of trade unions, bearing in mind the Northern Ireland model.</w:t>
                        </w:r>
                      </w:p>
                    </w:txbxContent>
                  </v:textbox>
                  <w10:wrap type="none"/>
                </v:shape>
              </v:group>
            </w:pict>
          </mc:Fallback>
        </mc:AlternateContent>
      </w:r>
      <w:r>
        <w:rPr>
          <w:sz w:val="20"/>
        </w:rPr>
      </w:r>
    </w:p>
    <w:p>
      <w:pPr>
        <w:pStyle w:val="BodyText"/>
        <w:spacing w:line="232" w:lineRule="auto" w:before="193"/>
        <w:ind w:left="720" w:right="1713"/>
      </w:pPr>
      <w:r>
        <w:rPr/>
        <w:t>As</w:t>
      </w:r>
      <w:r>
        <w:rPr>
          <w:spacing w:val="-7"/>
        </w:rPr>
        <w:t> </w:t>
      </w:r>
      <w:r>
        <w:rPr/>
        <w:t>well</w:t>
      </w:r>
      <w:r>
        <w:rPr>
          <w:spacing w:val="-7"/>
        </w:rPr>
        <w:t> </w:t>
      </w:r>
      <w:r>
        <w:rPr/>
        <w:t>as</w:t>
      </w:r>
      <w:r>
        <w:rPr>
          <w:spacing w:val="-7"/>
        </w:rPr>
        <w:t> </w:t>
      </w:r>
      <w:r>
        <w:rPr/>
        <w:t>these</w:t>
      </w:r>
      <w:r>
        <w:rPr>
          <w:spacing w:val="-6"/>
        </w:rPr>
        <w:t> </w:t>
      </w:r>
      <w:r>
        <w:rPr/>
        <w:t>substantive</w:t>
      </w:r>
      <w:r>
        <w:rPr>
          <w:spacing w:val="-6"/>
        </w:rPr>
        <w:t> </w:t>
      </w:r>
      <w:r>
        <w:rPr/>
        <w:t>points,</w:t>
      </w:r>
      <w:r>
        <w:rPr>
          <w:spacing w:val="-6"/>
        </w:rPr>
        <w:t> </w:t>
      </w:r>
      <w:r>
        <w:rPr/>
        <w:t>we</w:t>
      </w:r>
      <w:r>
        <w:rPr>
          <w:spacing w:val="-6"/>
        </w:rPr>
        <w:t> </w:t>
      </w:r>
      <w:r>
        <w:rPr/>
        <w:t>note</w:t>
      </w:r>
      <w:r>
        <w:rPr>
          <w:spacing w:val="-6"/>
        </w:rPr>
        <w:t> </w:t>
      </w:r>
      <w:r>
        <w:rPr/>
        <w:t>with</w:t>
      </w:r>
      <w:r>
        <w:rPr>
          <w:spacing w:val="-7"/>
        </w:rPr>
        <w:t> </w:t>
      </w:r>
      <w:r>
        <w:rPr/>
        <w:t>concern</w:t>
      </w:r>
      <w:r>
        <w:rPr>
          <w:spacing w:val="-7"/>
        </w:rPr>
        <w:t> </w:t>
      </w:r>
      <w:r>
        <w:rPr/>
        <w:t>that</w:t>
      </w:r>
      <w:r>
        <w:rPr>
          <w:spacing w:val="-6"/>
        </w:rPr>
        <w:t> </w:t>
      </w:r>
      <w:r>
        <w:rPr/>
        <w:t>the</w:t>
      </w:r>
      <w:r>
        <w:rPr>
          <w:spacing w:val="-6"/>
        </w:rPr>
        <w:t> </w:t>
      </w:r>
      <w:r>
        <w:rPr/>
        <w:t>authorities in Northern Ireland and Ireland often seem to put forward proposals without necessarily considering legal developments in the other jurisdiction. This is problematic in terms of respect for the concept of equivalence in the 1998</w:t>
      </w:r>
    </w:p>
    <w:p>
      <w:pPr>
        <w:pStyle w:val="BodyText"/>
        <w:spacing w:line="232" w:lineRule="auto"/>
        <w:ind w:left="720" w:right="1087"/>
      </w:pPr>
      <w:r>
        <w:rPr/>
        <w:t>Agreement,</w:t>
      </w:r>
      <w:r>
        <w:rPr>
          <w:spacing w:val="-7"/>
        </w:rPr>
        <w:t> </w:t>
      </w:r>
      <w:r>
        <w:rPr/>
        <w:t>as</w:t>
      </w:r>
      <w:r>
        <w:rPr>
          <w:spacing w:val="-8"/>
        </w:rPr>
        <w:t> </w:t>
      </w:r>
      <w:r>
        <w:rPr/>
        <w:t>well</w:t>
      </w:r>
      <w:r>
        <w:rPr>
          <w:spacing w:val="-8"/>
        </w:rPr>
        <w:t> </w:t>
      </w:r>
      <w:r>
        <w:rPr/>
        <w:t>as</w:t>
      </w:r>
      <w:r>
        <w:rPr>
          <w:spacing w:val="-8"/>
        </w:rPr>
        <w:t> </w:t>
      </w:r>
      <w:r>
        <w:rPr/>
        <w:t>undesirable</w:t>
      </w:r>
      <w:r>
        <w:rPr>
          <w:spacing w:val="-7"/>
        </w:rPr>
        <w:t> </w:t>
      </w:r>
      <w:r>
        <w:rPr/>
        <w:t>on</w:t>
      </w:r>
      <w:r>
        <w:rPr>
          <w:spacing w:val="-8"/>
        </w:rPr>
        <w:t> </w:t>
      </w:r>
      <w:r>
        <w:rPr/>
        <w:t>pragmatic</w:t>
      </w:r>
      <w:r>
        <w:rPr>
          <w:spacing w:val="-7"/>
        </w:rPr>
        <w:t> </w:t>
      </w:r>
      <w:r>
        <w:rPr/>
        <w:t>grounds</w:t>
      </w:r>
      <w:r>
        <w:rPr>
          <w:spacing w:val="-8"/>
        </w:rPr>
        <w:t> </w:t>
      </w:r>
      <w:r>
        <w:rPr/>
        <w:t>that</w:t>
      </w:r>
      <w:r>
        <w:rPr>
          <w:spacing w:val="-7"/>
        </w:rPr>
        <w:t> </w:t>
      </w:r>
      <w:r>
        <w:rPr/>
        <w:t>there</w:t>
      </w:r>
      <w:r>
        <w:rPr>
          <w:spacing w:val="-7"/>
        </w:rPr>
        <w:t> </w:t>
      </w:r>
      <w:r>
        <w:rPr/>
        <w:t>may</w:t>
      </w:r>
      <w:r>
        <w:rPr>
          <w:spacing w:val="-7"/>
        </w:rPr>
        <w:t> </w:t>
      </w:r>
      <w:r>
        <w:rPr/>
        <w:t>frequently be cross-border issues to consider.</w:t>
      </w:r>
    </w:p>
    <w:p>
      <w:pPr>
        <w:pStyle w:val="BodyText"/>
        <w:spacing w:before="10"/>
        <w:rPr>
          <w:sz w:val="19"/>
        </w:rPr>
      </w:pPr>
      <w:r>
        <w:rPr/>
        <mc:AlternateContent>
          <mc:Choice Requires="wps">
            <w:drawing>
              <wp:anchor distT="0" distB="0" distL="0" distR="0" allowOverlap="1" layoutInCell="1" locked="0" behindDoc="1" simplePos="0" relativeHeight="487620608">
                <wp:simplePos x="0" y="0"/>
                <wp:positionH relativeFrom="page">
                  <wp:posOffset>647994</wp:posOffset>
                </wp:positionH>
                <wp:positionV relativeFrom="paragraph">
                  <wp:posOffset>169189</wp:posOffset>
                </wp:positionV>
                <wp:extent cx="6012180" cy="1232535"/>
                <wp:effectExtent l="0" t="0" r="0" b="0"/>
                <wp:wrapTopAndBottom/>
                <wp:docPr id="177" name="Group 177"/>
                <wp:cNvGraphicFramePr>
                  <a:graphicFrameLocks/>
                </wp:cNvGraphicFramePr>
                <a:graphic>
                  <a:graphicData uri="http://schemas.microsoft.com/office/word/2010/wordprocessingGroup">
                    <wpg:wgp>
                      <wpg:cNvPr id="177" name="Group 177"/>
                      <wpg:cNvGrpSpPr/>
                      <wpg:grpSpPr>
                        <a:xfrm>
                          <a:off x="0" y="0"/>
                          <a:ext cx="6012180" cy="1232535"/>
                          <a:chExt cx="6012180" cy="1232535"/>
                        </a:xfrm>
                      </wpg:grpSpPr>
                      <wps:wsp>
                        <wps:cNvPr id="178" name="Graphic 178"/>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79" name="Textbox 179"/>
                        <wps:cNvSpPr txBox="1"/>
                        <wps:spPr>
                          <a:xfrm>
                            <a:off x="0" y="0"/>
                            <a:ext cx="6012180" cy="1232535"/>
                          </a:xfrm>
                          <a:prstGeom prst="rect">
                            <a:avLst/>
                          </a:prstGeom>
                        </wps:spPr>
                        <wps:txbx>
                          <w:txbxContent>
                            <w:p>
                              <w:pPr>
                                <w:spacing w:line="232" w:lineRule="auto" w:before="121"/>
                                <w:ind w:left="340" w:right="325" w:firstLine="0"/>
                                <w:jc w:val="left"/>
                                <w:rPr>
                                  <w:b/>
                                  <w:sz w:val="28"/>
                                </w:rPr>
                              </w:pPr>
                              <w:r>
                                <w:rPr>
                                  <w:b/>
                                  <w:color w:val="164194"/>
                                  <w:sz w:val="28"/>
                                </w:rPr>
                                <w:t>We recommend that the Northern Ireland Executive and the Government</w:t>
                              </w:r>
                              <w:r>
                                <w:rPr>
                                  <w:b/>
                                  <w:color w:val="164194"/>
                                  <w:spacing w:val="40"/>
                                  <w:sz w:val="28"/>
                                </w:rPr>
                                <w:t> </w:t>
                              </w:r>
                              <w:r>
                                <w:rPr>
                                  <w:b/>
                                  <w:color w:val="164194"/>
                                  <w:sz w:val="28"/>
                                </w:rPr>
                                <w:t>of Ireland consider how to ensure more systematic mutual consideration of legal</w:t>
                              </w:r>
                              <w:r>
                                <w:rPr>
                                  <w:b/>
                                  <w:color w:val="164194"/>
                                  <w:spacing w:val="-7"/>
                                  <w:sz w:val="28"/>
                                </w:rPr>
                                <w:t> </w:t>
                              </w:r>
                              <w:r>
                                <w:rPr>
                                  <w:b/>
                                  <w:color w:val="164194"/>
                                  <w:sz w:val="28"/>
                                </w:rPr>
                                <w:t>developments</w:t>
                              </w:r>
                              <w:r>
                                <w:rPr>
                                  <w:b/>
                                  <w:color w:val="164194"/>
                                  <w:spacing w:val="-7"/>
                                  <w:sz w:val="28"/>
                                </w:rPr>
                                <w:t> </w:t>
                              </w:r>
                              <w:r>
                                <w:rPr>
                                  <w:b/>
                                  <w:color w:val="164194"/>
                                  <w:sz w:val="28"/>
                                </w:rPr>
                                <w:t>in</w:t>
                              </w:r>
                              <w:r>
                                <w:rPr>
                                  <w:b/>
                                  <w:color w:val="164194"/>
                                  <w:spacing w:val="-7"/>
                                  <w:sz w:val="28"/>
                                </w:rPr>
                                <w:t> </w:t>
                              </w:r>
                              <w:r>
                                <w:rPr>
                                  <w:b/>
                                  <w:color w:val="164194"/>
                                  <w:sz w:val="28"/>
                                </w:rPr>
                                <w:t>both</w:t>
                              </w:r>
                              <w:r>
                                <w:rPr>
                                  <w:b/>
                                  <w:color w:val="164194"/>
                                  <w:spacing w:val="-7"/>
                                  <w:sz w:val="28"/>
                                </w:rPr>
                                <w:t> </w:t>
                              </w:r>
                              <w:r>
                                <w:rPr>
                                  <w:b/>
                                  <w:color w:val="164194"/>
                                  <w:sz w:val="28"/>
                                </w:rPr>
                                <w:t>jurisdictions</w:t>
                              </w:r>
                              <w:r>
                                <w:rPr>
                                  <w:b/>
                                  <w:color w:val="164194"/>
                                  <w:spacing w:val="-7"/>
                                  <w:sz w:val="28"/>
                                </w:rPr>
                                <w:t> </w:t>
                              </w:r>
                              <w:r>
                                <w:rPr>
                                  <w:b/>
                                  <w:color w:val="164194"/>
                                  <w:sz w:val="28"/>
                                </w:rPr>
                                <w:t>to</w:t>
                              </w:r>
                              <w:r>
                                <w:rPr>
                                  <w:b/>
                                  <w:color w:val="164194"/>
                                  <w:spacing w:val="-7"/>
                                  <w:sz w:val="28"/>
                                </w:rPr>
                                <w:t> </w:t>
                              </w:r>
                              <w:r>
                                <w:rPr>
                                  <w:b/>
                                  <w:color w:val="164194"/>
                                  <w:sz w:val="28"/>
                                </w:rPr>
                                <w:t>avoid</w:t>
                              </w:r>
                              <w:r>
                                <w:rPr>
                                  <w:b/>
                                  <w:color w:val="164194"/>
                                  <w:spacing w:val="-7"/>
                                  <w:sz w:val="28"/>
                                </w:rPr>
                                <w:t> </w:t>
                              </w:r>
                              <w:r>
                                <w:rPr>
                                  <w:b/>
                                  <w:color w:val="164194"/>
                                  <w:sz w:val="28"/>
                                </w:rPr>
                                <w:t>divergence</w:t>
                              </w:r>
                              <w:r>
                                <w:rPr>
                                  <w:b/>
                                  <w:color w:val="164194"/>
                                  <w:spacing w:val="-8"/>
                                  <w:sz w:val="28"/>
                                </w:rPr>
                                <w:t> </w:t>
                              </w:r>
                              <w:r>
                                <w:rPr>
                                  <w:b/>
                                  <w:color w:val="164194"/>
                                  <w:sz w:val="28"/>
                                </w:rPr>
                                <w:t>of</w:t>
                              </w:r>
                              <w:r>
                                <w:rPr>
                                  <w:b/>
                                  <w:color w:val="164194"/>
                                  <w:spacing w:val="-8"/>
                                  <w:sz w:val="28"/>
                                </w:rPr>
                                <w:t> </w:t>
                              </w:r>
                              <w:r>
                                <w:rPr>
                                  <w:b/>
                                  <w:color w:val="164194"/>
                                  <w:sz w:val="28"/>
                                </w:rPr>
                                <w:t>rights</w:t>
                              </w:r>
                              <w:r>
                                <w:rPr>
                                  <w:b/>
                                  <w:color w:val="164194"/>
                                  <w:spacing w:val="-7"/>
                                  <w:sz w:val="28"/>
                                </w:rPr>
                                <w:t> </w:t>
                              </w:r>
                              <w:r>
                                <w:rPr>
                                  <w:b/>
                                  <w:color w:val="164194"/>
                                  <w:sz w:val="28"/>
                                </w:rPr>
                                <w:t>on</w:t>
                              </w:r>
                              <w:r>
                                <w:rPr>
                                  <w:b/>
                                  <w:color w:val="164194"/>
                                  <w:spacing w:val="-7"/>
                                  <w:sz w:val="28"/>
                                </w:rPr>
                                <w:t> </w:t>
                              </w:r>
                              <w:r>
                                <w:rPr>
                                  <w:b/>
                                  <w:color w:val="164194"/>
                                  <w:sz w:val="28"/>
                                </w:rPr>
                                <w:t>the island of Ireland post-Brexit, to facilitate equivalence, to strengthen 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3.322009pt;width:473.4pt;height:97.05pt;mso-position-horizontal-relative:page;mso-position-vertical-relative:paragraph;z-index:-15695872;mso-wrap-distance-left:0;mso-wrap-distance-right:0" id="docshapegroup125" coordorigin="1020,266" coordsize="9468,1941">
                <v:shape style="position:absolute;left:1020;top:266;width:9468;height:1941" id="docshape126" coordorigin="1020,266" coordsize="9468,1941" path="m10261,266l1247,266,1176,278,1113,310,1064,359,1032,422,1020,493,1020,1980,1032,2051,1064,2114,1113,2163,1176,2195,1247,2207,10261,2207,10333,2195,10395,2163,10444,2114,10477,2051,10488,1980,10488,493,10477,422,10444,359,10395,310,10333,278,10261,266xe" filled="true" fillcolor="#e9f3fc" stroked="false">
                  <v:path arrowok="t"/>
                  <v:fill type="solid"/>
                </v:shape>
                <v:shape style="position:absolute;left:1020;top:266;width:9468;height:1941" type="#_x0000_t202" id="docshape127" filled="false" stroked="false">
                  <v:textbox inset="0,0,0,0">
                    <w:txbxContent>
                      <w:p>
                        <w:pPr>
                          <w:spacing w:line="232" w:lineRule="auto" w:before="121"/>
                          <w:ind w:left="340" w:right="325" w:firstLine="0"/>
                          <w:jc w:val="left"/>
                          <w:rPr>
                            <w:b/>
                            <w:sz w:val="28"/>
                          </w:rPr>
                        </w:pPr>
                        <w:r>
                          <w:rPr>
                            <w:b/>
                            <w:color w:val="164194"/>
                            <w:sz w:val="28"/>
                          </w:rPr>
                          <w:t>We recommend that the Northern Ireland Executive and the Government</w:t>
                        </w:r>
                        <w:r>
                          <w:rPr>
                            <w:b/>
                            <w:color w:val="164194"/>
                            <w:spacing w:val="40"/>
                            <w:sz w:val="28"/>
                          </w:rPr>
                          <w:t> </w:t>
                        </w:r>
                        <w:r>
                          <w:rPr>
                            <w:b/>
                            <w:color w:val="164194"/>
                            <w:sz w:val="28"/>
                          </w:rPr>
                          <w:t>of Ireland consider how to ensure more systematic mutual consideration of legal</w:t>
                        </w:r>
                        <w:r>
                          <w:rPr>
                            <w:b/>
                            <w:color w:val="164194"/>
                            <w:spacing w:val="-7"/>
                            <w:sz w:val="28"/>
                          </w:rPr>
                          <w:t> </w:t>
                        </w:r>
                        <w:r>
                          <w:rPr>
                            <w:b/>
                            <w:color w:val="164194"/>
                            <w:sz w:val="28"/>
                          </w:rPr>
                          <w:t>developments</w:t>
                        </w:r>
                        <w:r>
                          <w:rPr>
                            <w:b/>
                            <w:color w:val="164194"/>
                            <w:spacing w:val="-7"/>
                            <w:sz w:val="28"/>
                          </w:rPr>
                          <w:t> </w:t>
                        </w:r>
                        <w:r>
                          <w:rPr>
                            <w:b/>
                            <w:color w:val="164194"/>
                            <w:sz w:val="28"/>
                          </w:rPr>
                          <w:t>in</w:t>
                        </w:r>
                        <w:r>
                          <w:rPr>
                            <w:b/>
                            <w:color w:val="164194"/>
                            <w:spacing w:val="-7"/>
                            <w:sz w:val="28"/>
                          </w:rPr>
                          <w:t> </w:t>
                        </w:r>
                        <w:r>
                          <w:rPr>
                            <w:b/>
                            <w:color w:val="164194"/>
                            <w:sz w:val="28"/>
                          </w:rPr>
                          <w:t>both</w:t>
                        </w:r>
                        <w:r>
                          <w:rPr>
                            <w:b/>
                            <w:color w:val="164194"/>
                            <w:spacing w:val="-7"/>
                            <w:sz w:val="28"/>
                          </w:rPr>
                          <w:t> </w:t>
                        </w:r>
                        <w:r>
                          <w:rPr>
                            <w:b/>
                            <w:color w:val="164194"/>
                            <w:sz w:val="28"/>
                          </w:rPr>
                          <w:t>jurisdictions</w:t>
                        </w:r>
                        <w:r>
                          <w:rPr>
                            <w:b/>
                            <w:color w:val="164194"/>
                            <w:spacing w:val="-7"/>
                            <w:sz w:val="28"/>
                          </w:rPr>
                          <w:t> </w:t>
                        </w:r>
                        <w:r>
                          <w:rPr>
                            <w:b/>
                            <w:color w:val="164194"/>
                            <w:sz w:val="28"/>
                          </w:rPr>
                          <w:t>to</w:t>
                        </w:r>
                        <w:r>
                          <w:rPr>
                            <w:b/>
                            <w:color w:val="164194"/>
                            <w:spacing w:val="-7"/>
                            <w:sz w:val="28"/>
                          </w:rPr>
                          <w:t> </w:t>
                        </w:r>
                        <w:r>
                          <w:rPr>
                            <w:b/>
                            <w:color w:val="164194"/>
                            <w:sz w:val="28"/>
                          </w:rPr>
                          <w:t>avoid</w:t>
                        </w:r>
                        <w:r>
                          <w:rPr>
                            <w:b/>
                            <w:color w:val="164194"/>
                            <w:spacing w:val="-7"/>
                            <w:sz w:val="28"/>
                          </w:rPr>
                          <w:t> </w:t>
                        </w:r>
                        <w:r>
                          <w:rPr>
                            <w:b/>
                            <w:color w:val="164194"/>
                            <w:sz w:val="28"/>
                          </w:rPr>
                          <w:t>divergence</w:t>
                        </w:r>
                        <w:r>
                          <w:rPr>
                            <w:b/>
                            <w:color w:val="164194"/>
                            <w:spacing w:val="-8"/>
                            <w:sz w:val="28"/>
                          </w:rPr>
                          <w:t> </w:t>
                        </w:r>
                        <w:r>
                          <w:rPr>
                            <w:b/>
                            <w:color w:val="164194"/>
                            <w:sz w:val="28"/>
                          </w:rPr>
                          <w:t>of</w:t>
                        </w:r>
                        <w:r>
                          <w:rPr>
                            <w:b/>
                            <w:color w:val="164194"/>
                            <w:spacing w:val="-8"/>
                            <w:sz w:val="28"/>
                          </w:rPr>
                          <w:t> </w:t>
                        </w:r>
                        <w:r>
                          <w:rPr>
                            <w:b/>
                            <w:color w:val="164194"/>
                            <w:sz w:val="28"/>
                          </w:rPr>
                          <w:t>rights</w:t>
                        </w:r>
                        <w:r>
                          <w:rPr>
                            <w:b/>
                            <w:color w:val="164194"/>
                            <w:spacing w:val="-7"/>
                            <w:sz w:val="28"/>
                          </w:rPr>
                          <w:t> </w:t>
                        </w:r>
                        <w:r>
                          <w:rPr>
                            <w:b/>
                            <w:color w:val="164194"/>
                            <w:sz w:val="28"/>
                          </w:rPr>
                          <w:t>on</w:t>
                        </w:r>
                        <w:r>
                          <w:rPr>
                            <w:b/>
                            <w:color w:val="164194"/>
                            <w:spacing w:val="-7"/>
                            <w:sz w:val="28"/>
                          </w:rPr>
                          <w:t> </w:t>
                        </w:r>
                        <w:r>
                          <w:rPr>
                            <w:b/>
                            <w:color w:val="164194"/>
                            <w:sz w:val="28"/>
                          </w:rPr>
                          <w:t>the island of Ireland post-Brexit, to facilitate equivalence, to strengthen rights and reflect international human rights standards and best practice.</w:t>
                        </w:r>
                      </w:p>
                    </w:txbxContent>
                  </v:textbox>
                  <w10:wrap type="none"/>
                </v:shape>
                <w10:wrap type="topAndBottom"/>
              </v:group>
            </w:pict>
          </mc:Fallback>
        </mc:AlternateContent>
      </w:r>
    </w:p>
    <w:p>
      <w:pPr>
        <w:pStyle w:val="Heading2"/>
        <w:spacing w:line="208" w:lineRule="auto" w:before="345"/>
        <w:ind w:left="720" w:right="1087" w:firstLine="0"/>
      </w:pPr>
      <w:r>
        <w:rPr>
          <w:color w:val="004A93"/>
        </w:rPr>
        <w:t>Tracking</w:t>
      </w:r>
      <w:r>
        <w:rPr>
          <w:color w:val="004A93"/>
          <w:spacing w:val="-10"/>
        </w:rPr>
        <w:t> </w:t>
      </w:r>
      <w:r>
        <w:rPr>
          <w:color w:val="004A93"/>
        </w:rPr>
        <w:t>EU</w:t>
      </w:r>
      <w:r>
        <w:rPr>
          <w:color w:val="004A93"/>
          <w:spacing w:val="-10"/>
        </w:rPr>
        <w:t> </w:t>
      </w:r>
      <w:r>
        <w:rPr>
          <w:color w:val="004A93"/>
        </w:rPr>
        <w:t>Legal</w:t>
      </w:r>
      <w:r>
        <w:rPr>
          <w:color w:val="004A93"/>
          <w:spacing w:val="-10"/>
        </w:rPr>
        <w:t> </w:t>
      </w:r>
      <w:r>
        <w:rPr>
          <w:color w:val="004A93"/>
        </w:rPr>
        <w:t>Developments</w:t>
      </w:r>
      <w:r>
        <w:rPr>
          <w:color w:val="004A93"/>
          <w:spacing w:val="-10"/>
        </w:rPr>
        <w:t> </w:t>
      </w:r>
      <w:r>
        <w:rPr>
          <w:color w:val="004A93"/>
        </w:rPr>
        <w:t>since</w:t>
      </w:r>
      <w:r>
        <w:rPr>
          <w:color w:val="004A93"/>
          <w:spacing w:val="-10"/>
        </w:rPr>
        <w:t> </w:t>
      </w:r>
      <w:r>
        <w:rPr>
          <w:color w:val="004A93"/>
        </w:rPr>
        <w:t>January</w:t>
      </w:r>
      <w:r>
        <w:rPr>
          <w:color w:val="004A93"/>
          <w:spacing w:val="-10"/>
        </w:rPr>
        <w:t> </w:t>
      </w:r>
      <w:r>
        <w:rPr>
          <w:color w:val="004A93"/>
        </w:rPr>
        <w:t>2022:</w:t>
      </w:r>
      <w:r>
        <w:rPr>
          <w:color w:val="004A93"/>
          <w:spacing w:val="-10"/>
        </w:rPr>
        <w:t> </w:t>
      </w:r>
      <w:r>
        <w:rPr>
          <w:color w:val="004A93"/>
        </w:rPr>
        <w:t>Adopted</w:t>
      </w:r>
      <w:r>
        <w:rPr>
          <w:color w:val="004A93"/>
          <w:spacing w:val="-10"/>
        </w:rPr>
        <w:t> </w:t>
      </w:r>
      <w:r>
        <w:rPr>
          <w:color w:val="004A93"/>
        </w:rPr>
        <w:t>and Proposed Directives and Regulations</w:t>
      </w:r>
    </w:p>
    <w:p>
      <w:pPr>
        <w:pStyle w:val="BodyText"/>
        <w:spacing w:before="8"/>
        <w:rPr>
          <w:b/>
          <w:sz w:val="6"/>
        </w:rPr>
      </w:pPr>
      <w:r>
        <w:rPr/>
        <mc:AlternateContent>
          <mc:Choice Requires="wps">
            <w:drawing>
              <wp:anchor distT="0" distB="0" distL="0" distR="0" allowOverlap="1" layoutInCell="1" locked="0" behindDoc="1" simplePos="0" relativeHeight="487621120">
                <wp:simplePos x="0" y="0"/>
                <wp:positionH relativeFrom="page">
                  <wp:posOffset>647999</wp:posOffset>
                </wp:positionH>
                <wp:positionV relativeFrom="paragraph">
                  <wp:posOffset>67022</wp:posOffset>
                </wp:positionV>
                <wp:extent cx="6012180" cy="1270"/>
                <wp:effectExtent l="0" t="0" r="0" b="0"/>
                <wp:wrapTopAndBottom/>
                <wp:docPr id="180" name="Graphic 180"/>
                <wp:cNvGraphicFramePr>
                  <a:graphicFrameLocks/>
                </wp:cNvGraphicFramePr>
                <a:graphic>
                  <a:graphicData uri="http://schemas.microsoft.com/office/word/2010/wordprocessingShape">
                    <wps:wsp>
                      <wps:cNvPr id="180" name="Graphic 180"/>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5.277325pt;width:473.4pt;height:.1pt;mso-position-horizontal-relative:page;mso-position-vertical-relative:paragraph;z-index:-15695360;mso-wrap-distance-left:0;mso-wrap-distance-right:0" id="docshape128" coordorigin="1020,106" coordsize="9468,0" path="m1020,106l10488,106e" filled="false" stroked="true" strokeweight="1pt" strokecolor="#36a9e1">
                <v:path arrowok="t"/>
                <v:stroke dashstyle="solid"/>
                <w10:wrap type="topAndBottom"/>
              </v:shape>
            </w:pict>
          </mc:Fallback>
        </mc:AlternateContent>
      </w:r>
    </w:p>
    <w:p>
      <w:pPr>
        <w:pStyle w:val="BodyText"/>
        <w:spacing w:line="232" w:lineRule="auto" w:before="108"/>
        <w:ind w:left="720" w:right="1087"/>
      </w:pPr>
      <w:r>
        <w:rPr/>
        <w:t>We systematically examined EU legislative developments between January 2022 and August 2023 to identify legislation which the EU has adopted or has proposed which could potentially amend or update an Annex 1 directive or which do not potentially amend an Annex 1 directive but have human rights and equality implications. EU legislative measures amending or updating an Annex 1 directive would</w:t>
      </w:r>
      <w:r>
        <w:rPr>
          <w:spacing w:val="-7"/>
        </w:rPr>
        <w:t> </w:t>
      </w:r>
      <w:r>
        <w:rPr/>
        <w:t>trigger</w:t>
      </w:r>
      <w:r>
        <w:rPr>
          <w:spacing w:val="-6"/>
        </w:rPr>
        <w:t> </w:t>
      </w:r>
      <w:r>
        <w:rPr/>
        <w:t>the</w:t>
      </w:r>
      <w:r>
        <w:rPr>
          <w:spacing w:val="-6"/>
        </w:rPr>
        <w:t> </w:t>
      </w:r>
      <w:r>
        <w:rPr/>
        <w:t>keeping</w:t>
      </w:r>
      <w:r>
        <w:rPr>
          <w:spacing w:val="-6"/>
        </w:rPr>
        <w:t> </w:t>
      </w:r>
      <w:r>
        <w:rPr/>
        <w:t>pace</w:t>
      </w:r>
      <w:r>
        <w:rPr>
          <w:spacing w:val="-6"/>
        </w:rPr>
        <w:t> </w:t>
      </w:r>
      <w:r>
        <w:rPr/>
        <w:t>requirement</w:t>
      </w:r>
      <w:r>
        <w:rPr>
          <w:spacing w:val="-6"/>
        </w:rPr>
        <w:t> </w:t>
      </w:r>
      <w:r>
        <w:rPr/>
        <w:t>in</w:t>
      </w:r>
      <w:r>
        <w:rPr>
          <w:spacing w:val="-7"/>
        </w:rPr>
        <w:t> </w:t>
      </w:r>
      <w:r>
        <w:rPr/>
        <w:t>Article</w:t>
      </w:r>
      <w:r>
        <w:rPr>
          <w:spacing w:val="-6"/>
        </w:rPr>
        <w:t> </w:t>
      </w:r>
      <w:r>
        <w:rPr/>
        <w:t>2</w:t>
      </w:r>
      <w:r>
        <w:rPr>
          <w:spacing w:val="-6"/>
        </w:rPr>
        <w:t> </w:t>
      </w:r>
      <w:r>
        <w:rPr/>
        <w:t>WF.</w:t>
      </w:r>
      <w:r>
        <w:rPr>
          <w:spacing w:val="-7"/>
        </w:rPr>
        <w:t> </w:t>
      </w:r>
      <w:r>
        <w:rPr/>
        <w:t>EU</w:t>
      </w:r>
      <w:r>
        <w:rPr>
          <w:spacing w:val="-6"/>
        </w:rPr>
        <w:t> </w:t>
      </w:r>
      <w:r>
        <w:rPr/>
        <w:t>measures</w:t>
      </w:r>
      <w:r>
        <w:rPr>
          <w:spacing w:val="-7"/>
        </w:rPr>
        <w:t> </w:t>
      </w:r>
      <w:r>
        <w:rPr/>
        <w:t>which</w:t>
      </w:r>
      <w:r>
        <w:rPr>
          <w:spacing w:val="-7"/>
        </w:rPr>
        <w:t> </w:t>
      </w:r>
      <w:r>
        <w:rPr/>
        <w:t>do not amend or update an Annex 1 Directive may be relevant as raising an issue of possible</w:t>
      </w:r>
      <w:r>
        <w:rPr>
          <w:spacing w:val="-6"/>
        </w:rPr>
        <w:t> </w:t>
      </w:r>
      <w:r>
        <w:rPr/>
        <w:t>voluntary</w:t>
      </w:r>
      <w:r>
        <w:rPr>
          <w:spacing w:val="-6"/>
        </w:rPr>
        <w:t> </w:t>
      </w:r>
      <w:r>
        <w:rPr/>
        <w:t>alignment</w:t>
      </w:r>
      <w:r>
        <w:rPr>
          <w:spacing w:val="-6"/>
        </w:rPr>
        <w:t> </w:t>
      </w:r>
      <w:r>
        <w:rPr/>
        <w:t>as</w:t>
      </w:r>
      <w:r>
        <w:rPr>
          <w:spacing w:val="-7"/>
        </w:rPr>
        <w:t> </w:t>
      </w:r>
      <w:r>
        <w:rPr/>
        <w:t>best</w:t>
      </w:r>
      <w:r>
        <w:rPr>
          <w:spacing w:val="-6"/>
        </w:rPr>
        <w:t> </w:t>
      </w:r>
      <w:r>
        <w:rPr/>
        <w:t>practice</w:t>
      </w:r>
      <w:r>
        <w:rPr>
          <w:spacing w:val="-6"/>
        </w:rPr>
        <w:t> </w:t>
      </w:r>
      <w:r>
        <w:rPr/>
        <w:t>and</w:t>
      </w:r>
      <w:r>
        <w:rPr>
          <w:spacing w:val="-7"/>
        </w:rPr>
        <w:t> </w:t>
      </w:r>
      <w:r>
        <w:rPr/>
        <w:t>to</w:t>
      </w:r>
      <w:r>
        <w:rPr>
          <w:spacing w:val="-7"/>
        </w:rPr>
        <w:t> </w:t>
      </w:r>
      <w:r>
        <w:rPr/>
        <w:t>enhance</w:t>
      </w:r>
      <w:r>
        <w:rPr>
          <w:spacing w:val="-6"/>
        </w:rPr>
        <w:t> </w:t>
      </w:r>
      <w:r>
        <w:rPr/>
        <w:t>and</w:t>
      </w:r>
      <w:r>
        <w:rPr>
          <w:spacing w:val="-7"/>
        </w:rPr>
        <w:t> </w:t>
      </w:r>
      <w:r>
        <w:rPr/>
        <w:t>strengthen</w:t>
      </w:r>
      <w:r>
        <w:rPr>
          <w:spacing w:val="-7"/>
        </w:rPr>
        <w:t> </w:t>
      </w:r>
      <w:r>
        <w:rPr/>
        <w:t>rights in NI.</w:t>
      </w:r>
    </w:p>
    <w:p>
      <w:pPr>
        <w:pStyle w:val="BodyText"/>
        <w:spacing w:line="232" w:lineRule="auto" w:before="269"/>
        <w:ind w:left="720" w:right="1250"/>
      </w:pPr>
      <w:r>
        <w:rPr/>
        <w:t>The legislative measures identified in the chapter which relate to human rights</w:t>
      </w:r>
      <w:r>
        <w:rPr/>
        <w:t> and equality primarily relate to the right to health (including the right to a healthy environment), the right to privacy (including the right to data protection) and gender</w:t>
      </w:r>
      <w:r>
        <w:rPr>
          <w:spacing w:val="-12"/>
        </w:rPr>
        <w:t> </w:t>
      </w:r>
      <w:r>
        <w:rPr/>
        <w:t>discrimination.</w:t>
      </w:r>
      <w:r>
        <w:rPr>
          <w:spacing w:val="-13"/>
        </w:rPr>
        <w:t> </w:t>
      </w:r>
      <w:r>
        <w:rPr/>
        <w:t>We</w:t>
      </w:r>
      <w:r>
        <w:rPr>
          <w:spacing w:val="-12"/>
        </w:rPr>
        <w:t> </w:t>
      </w:r>
      <w:r>
        <w:rPr/>
        <w:t>make</w:t>
      </w:r>
      <w:r>
        <w:rPr>
          <w:spacing w:val="-12"/>
        </w:rPr>
        <w:t> </w:t>
      </w:r>
      <w:r>
        <w:rPr/>
        <w:t>several</w:t>
      </w:r>
      <w:r>
        <w:rPr>
          <w:spacing w:val="-13"/>
        </w:rPr>
        <w:t> </w:t>
      </w:r>
      <w:r>
        <w:rPr/>
        <w:t>recommendations</w:t>
      </w:r>
      <w:r>
        <w:rPr>
          <w:spacing w:val="-13"/>
        </w:rPr>
        <w:t> </w:t>
      </w:r>
      <w:r>
        <w:rPr/>
        <w:t>regarding</w:t>
      </w:r>
      <w:r>
        <w:rPr>
          <w:spacing w:val="-12"/>
        </w:rPr>
        <w:t> </w:t>
      </w:r>
      <w:r>
        <w:rPr/>
        <w:t>EU</w:t>
      </w:r>
      <w:r>
        <w:rPr>
          <w:spacing w:val="-12"/>
        </w:rPr>
        <w:t> </w:t>
      </w:r>
      <w:r>
        <w:rPr/>
        <w:t>measures on</w:t>
      </w:r>
      <w:r>
        <w:rPr>
          <w:spacing w:val="-1"/>
        </w:rPr>
        <w:t> </w:t>
      </w:r>
      <w:r>
        <w:rPr/>
        <w:t>the right to</w:t>
      </w:r>
      <w:r>
        <w:rPr>
          <w:spacing w:val="-1"/>
        </w:rPr>
        <w:t> </w:t>
      </w:r>
      <w:r>
        <w:rPr/>
        <w:t>health</w:t>
      </w:r>
      <w:r>
        <w:rPr>
          <w:spacing w:val="-1"/>
        </w:rPr>
        <w:t> </w:t>
      </w:r>
      <w:r>
        <w:rPr/>
        <w:t>to</w:t>
      </w:r>
      <w:r>
        <w:rPr>
          <w:spacing w:val="-1"/>
        </w:rPr>
        <w:t> </w:t>
      </w:r>
      <w:r>
        <w:rPr/>
        <w:t>ensure access</w:t>
      </w:r>
      <w:r>
        <w:rPr>
          <w:spacing w:val="-1"/>
        </w:rPr>
        <w:t> </w:t>
      </w:r>
      <w:r>
        <w:rPr/>
        <w:t>to</w:t>
      </w:r>
      <w:r>
        <w:rPr>
          <w:spacing w:val="-1"/>
        </w:rPr>
        <w:t> </w:t>
      </w:r>
      <w:r>
        <w:rPr/>
        <w:t>medical</w:t>
      </w:r>
      <w:r>
        <w:rPr>
          <w:spacing w:val="-1"/>
        </w:rPr>
        <w:t> </w:t>
      </w:r>
      <w:r>
        <w:rPr/>
        <w:t>products</w:t>
      </w:r>
      <w:r>
        <w:rPr>
          <w:spacing w:val="-1"/>
        </w:rPr>
        <w:t> </w:t>
      </w:r>
      <w:r>
        <w:rPr/>
        <w:t>in</w:t>
      </w:r>
      <w:r>
        <w:rPr>
          <w:spacing w:val="-1"/>
        </w:rPr>
        <w:t> </w:t>
      </w:r>
      <w:r>
        <w:rPr/>
        <w:t>Northern</w:t>
      </w:r>
      <w:r>
        <w:rPr>
          <w:spacing w:val="-1"/>
        </w:rPr>
        <w:t> </w:t>
      </w:r>
      <w:r>
        <w:rPr/>
        <w:t>Ireland, to guarantee control of personal medical data, and to improve responses to serious cross-border health threats. The EU has also adopted measures related to data in relation to the exchange of information regarding cross-border criminal activity</w:t>
      </w:r>
    </w:p>
    <w:p>
      <w:pPr>
        <w:spacing w:after="0" w:line="232" w:lineRule="auto"/>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40352">
                <wp:simplePos x="0" y="0"/>
                <wp:positionH relativeFrom="page">
                  <wp:posOffset>-2</wp:posOffset>
                </wp:positionH>
                <wp:positionV relativeFrom="page">
                  <wp:posOffset>0</wp:posOffset>
                </wp:positionV>
                <wp:extent cx="7560309" cy="1155065"/>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7560309" cy="1155065"/>
                          <a:chExt cx="7560309" cy="1155065"/>
                        </a:xfrm>
                      </wpg:grpSpPr>
                      <wps:wsp>
                        <wps:cNvPr id="182" name="Graphic 182"/>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83" name="Graphic 183"/>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76128" id="docshapegroup129" coordorigin="0,0" coordsize="11906,1819">
                <v:shape style="position:absolute;left:0;top:0;width:11906;height:1819" id="docshape130"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11</w:t>
      </w:r>
    </w:p>
    <w:p>
      <w:pPr>
        <w:pStyle w:val="BodyText"/>
        <w:rPr>
          <w:b/>
        </w:rPr>
      </w:pPr>
    </w:p>
    <w:p>
      <w:pPr>
        <w:pStyle w:val="BodyText"/>
        <w:spacing w:before="48"/>
        <w:rPr>
          <w:b/>
        </w:rPr>
      </w:pPr>
    </w:p>
    <w:p>
      <w:pPr>
        <w:pStyle w:val="BodyText"/>
        <w:spacing w:line="232" w:lineRule="auto"/>
        <w:ind w:left="1117" w:right="738"/>
      </w:pPr>
      <w:r>
        <w:rPr/>
        <w:t>and in relation to the protection of personal data in criminal or related civil or administrative</w:t>
      </w:r>
      <w:r>
        <w:rPr>
          <w:spacing w:val="-5"/>
        </w:rPr>
        <w:t> </w:t>
      </w:r>
      <w:r>
        <w:rPr/>
        <w:t>procedures.</w:t>
      </w:r>
      <w:r>
        <w:rPr>
          <w:spacing w:val="-6"/>
        </w:rPr>
        <w:t> </w:t>
      </w:r>
      <w:r>
        <w:rPr/>
        <w:t>We</w:t>
      </w:r>
      <w:r>
        <w:rPr>
          <w:spacing w:val="-5"/>
        </w:rPr>
        <w:t> </w:t>
      </w:r>
      <w:r>
        <w:rPr/>
        <w:t>make</w:t>
      </w:r>
      <w:r>
        <w:rPr>
          <w:spacing w:val="-5"/>
        </w:rPr>
        <w:t> </w:t>
      </w:r>
      <w:r>
        <w:rPr/>
        <w:t>several</w:t>
      </w:r>
      <w:r>
        <w:rPr>
          <w:spacing w:val="-6"/>
        </w:rPr>
        <w:t> </w:t>
      </w:r>
      <w:r>
        <w:rPr/>
        <w:t>recommendations</w:t>
      </w:r>
      <w:r>
        <w:rPr>
          <w:spacing w:val="-6"/>
        </w:rPr>
        <w:t> </w:t>
      </w:r>
      <w:r>
        <w:rPr/>
        <w:t>regarding</w:t>
      </w:r>
      <w:r>
        <w:rPr>
          <w:spacing w:val="-5"/>
        </w:rPr>
        <w:t> </w:t>
      </w:r>
      <w:r>
        <w:rPr/>
        <w:t>the</w:t>
      </w:r>
      <w:r>
        <w:rPr>
          <w:spacing w:val="-5"/>
        </w:rPr>
        <w:t> </w:t>
      </w:r>
      <w:r>
        <w:rPr/>
        <w:t>need for</w:t>
      </w:r>
      <w:r>
        <w:rPr>
          <w:spacing w:val="-7"/>
        </w:rPr>
        <w:t> </w:t>
      </w:r>
      <w:r>
        <w:rPr/>
        <w:t>relevant</w:t>
      </w:r>
      <w:r>
        <w:rPr>
          <w:spacing w:val="-7"/>
        </w:rPr>
        <w:t> </w:t>
      </w:r>
      <w:r>
        <w:rPr/>
        <w:t>authorities</w:t>
      </w:r>
      <w:r>
        <w:rPr>
          <w:spacing w:val="-8"/>
        </w:rPr>
        <w:t> </w:t>
      </w:r>
      <w:r>
        <w:rPr/>
        <w:t>in</w:t>
      </w:r>
      <w:r>
        <w:rPr>
          <w:spacing w:val="-8"/>
        </w:rPr>
        <w:t> </w:t>
      </w:r>
      <w:r>
        <w:rPr/>
        <w:t>Northern</w:t>
      </w:r>
      <w:r>
        <w:rPr>
          <w:spacing w:val="-8"/>
        </w:rPr>
        <w:t> </w:t>
      </w:r>
      <w:r>
        <w:rPr/>
        <w:t>Ireland</w:t>
      </w:r>
      <w:r>
        <w:rPr>
          <w:spacing w:val="-8"/>
        </w:rPr>
        <w:t> </w:t>
      </w:r>
      <w:r>
        <w:rPr/>
        <w:t>to</w:t>
      </w:r>
      <w:r>
        <w:rPr>
          <w:spacing w:val="-8"/>
        </w:rPr>
        <w:t> </w:t>
      </w:r>
      <w:r>
        <w:rPr/>
        <w:t>cooperate</w:t>
      </w:r>
      <w:r>
        <w:rPr>
          <w:spacing w:val="-7"/>
        </w:rPr>
        <w:t> </w:t>
      </w:r>
      <w:r>
        <w:rPr/>
        <w:t>with</w:t>
      </w:r>
      <w:r>
        <w:rPr>
          <w:spacing w:val="-8"/>
        </w:rPr>
        <w:t> </w:t>
      </w:r>
      <w:r>
        <w:rPr/>
        <w:t>Ireland</w:t>
      </w:r>
      <w:r>
        <w:rPr>
          <w:spacing w:val="-8"/>
        </w:rPr>
        <w:t> </w:t>
      </w:r>
      <w:r>
        <w:rPr/>
        <w:t>in</w:t>
      </w:r>
      <w:r>
        <w:rPr>
          <w:spacing w:val="-8"/>
        </w:rPr>
        <w:t> </w:t>
      </w:r>
      <w:r>
        <w:rPr/>
        <w:t>compliance with such requirements, and to better protect personal data in legal proceedings.</w:t>
      </w:r>
    </w:p>
    <w:p>
      <w:pPr>
        <w:pStyle w:val="BodyText"/>
        <w:spacing w:line="232" w:lineRule="auto" w:before="277"/>
        <w:ind w:left="1117" w:right="1153"/>
        <w:jc w:val="both"/>
      </w:pPr>
      <w:r>
        <w:rPr/>
        <w:t>Since we consider that these measures</w:t>
      </w:r>
      <w:r>
        <w:rPr>
          <w:spacing w:val="-1"/>
        </w:rPr>
        <w:t> </w:t>
      </w:r>
      <w:r>
        <w:rPr/>
        <w:t>fall</w:t>
      </w:r>
      <w:r>
        <w:rPr>
          <w:spacing w:val="-1"/>
        </w:rPr>
        <w:t> </w:t>
      </w:r>
      <w:r>
        <w:rPr/>
        <w:t>within</w:t>
      </w:r>
      <w:r>
        <w:rPr>
          <w:spacing w:val="-1"/>
        </w:rPr>
        <w:t> </w:t>
      </w:r>
      <w:r>
        <w:rPr/>
        <w:t>the scope of</w:t>
      </w:r>
      <w:r>
        <w:rPr>
          <w:spacing w:val="-1"/>
        </w:rPr>
        <w:t> </w:t>
      </w:r>
      <w:r>
        <w:rPr/>
        <w:t>Article 2 WF</w:t>
      </w:r>
      <w:r>
        <w:rPr>
          <w:spacing w:val="-1"/>
        </w:rPr>
        <w:t> </w:t>
      </w:r>
      <w:r>
        <w:rPr/>
        <w:t>and raise</w:t>
      </w:r>
      <w:r>
        <w:rPr>
          <w:spacing w:val="-4"/>
        </w:rPr>
        <w:t> </w:t>
      </w:r>
      <w:r>
        <w:rPr/>
        <w:t>(potential)</w:t>
      </w:r>
      <w:r>
        <w:rPr>
          <w:spacing w:val="-5"/>
        </w:rPr>
        <w:t> </w:t>
      </w:r>
      <w:r>
        <w:rPr/>
        <w:t>issues</w:t>
      </w:r>
      <w:r>
        <w:rPr>
          <w:spacing w:val="-5"/>
        </w:rPr>
        <w:t> </w:t>
      </w:r>
      <w:r>
        <w:rPr/>
        <w:t>of</w:t>
      </w:r>
      <w:r>
        <w:rPr>
          <w:spacing w:val="-5"/>
        </w:rPr>
        <w:t> </w:t>
      </w:r>
      <w:r>
        <w:rPr/>
        <w:t>divergence</w:t>
      </w:r>
      <w:r>
        <w:rPr>
          <w:spacing w:val="-4"/>
        </w:rPr>
        <w:t> </w:t>
      </w:r>
      <w:r>
        <w:rPr/>
        <w:t>through</w:t>
      </w:r>
      <w:r>
        <w:rPr>
          <w:spacing w:val="-5"/>
        </w:rPr>
        <w:t> </w:t>
      </w:r>
      <w:r>
        <w:rPr/>
        <w:t>the</w:t>
      </w:r>
      <w:r>
        <w:rPr>
          <w:spacing w:val="-4"/>
        </w:rPr>
        <w:t> </w:t>
      </w:r>
      <w:r>
        <w:rPr/>
        <w:t>principle</w:t>
      </w:r>
      <w:r>
        <w:rPr>
          <w:spacing w:val="-4"/>
        </w:rPr>
        <w:t> </w:t>
      </w:r>
      <w:r>
        <w:rPr/>
        <w:t>of</w:t>
      </w:r>
      <w:r>
        <w:rPr>
          <w:spacing w:val="-5"/>
        </w:rPr>
        <w:t> </w:t>
      </w:r>
      <w:r>
        <w:rPr/>
        <w:t>non-diminution</w:t>
      </w:r>
      <w:r>
        <w:rPr>
          <w:spacing w:val="-5"/>
        </w:rPr>
        <w:t> </w:t>
      </w:r>
      <w:r>
        <w:rPr/>
        <w:t>of rights</w:t>
      </w:r>
      <w:r>
        <w:rPr>
          <w:spacing w:val="-9"/>
        </w:rPr>
        <w:t> </w:t>
      </w:r>
      <w:r>
        <w:rPr/>
        <w:t>(especially</w:t>
      </w:r>
      <w:r>
        <w:rPr>
          <w:spacing w:val="-8"/>
        </w:rPr>
        <w:t> </w:t>
      </w:r>
      <w:r>
        <w:rPr/>
        <w:t>given</w:t>
      </w:r>
      <w:r>
        <w:rPr>
          <w:spacing w:val="-9"/>
        </w:rPr>
        <w:t> </w:t>
      </w:r>
      <w:r>
        <w:rPr/>
        <w:t>their</w:t>
      </w:r>
      <w:r>
        <w:rPr>
          <w:spacing w:val="-8"/>
        </w:rPr>
        <w:t> </w:t>
      </w:r>
      <w:r>
        <w:rPr/>
        <w:t>relevance</w:t>
      </w:r>
      <w:r>
        <w:rPr>
          <w:spacing w:val="-8"/>
        </w:rPr>
        <w:t> </w:t>
      </w:r>
      <w:r>
        <w:rPr/>
        <w:t>to</w:t>
      </w:r>
      <w:r>
        <w:rPr>
          <w:spacing w:val="-9"/>
        </w:rPr>
        <w:t> </w:t>
      </w:r>
      <w:r>
        <w:rPr/>
        <w:t>cross-border</w:t>
      </w:r>
      <w:r>
        <w:rPr>
          <w:spacing w:val="-8"/>
        </w:rPr>
        <w:t> </w:t>
      </w:r>
      <w:r>
        <w:rPr/>
        <w:t>cooperation),</w:t>
      </w:r>
      <w:r>
        <w:rPr>
          <w:spacing w:val="-8"/>
        </w:rPr>
        <w:t> </w:t>
      </w:r>
      <w:r>
        <w:rPr/>
        <w:t>we</w:t>
      </w:r>
      <w:r>
        <w:rPr>
          <w:spacing w:val="-8"/>
        </w:rPr>
        <w:t> </w:t>
      </w:r>
      <w:r>
        <w:rPr/>
        <w:t>suggest that</w:t>
      </w:r>
      <w:r>
        <w:rPr>
          <w:spacing w:val="-2"/>
        </w:rPr>
        <w:t> </w:t>
      </w:r>
      <w:r>
        <w:rPr/>
        <w:t>the</w:t>
      </w:r>
      <w:r>
        <w:rPr>
          <w:spacing w:val="-2"/>
        </w:rPr>
        <w:t> </w:t>
      </w:r>
      <w:r>
        <w:rPr/>
        <w:t>Northern</w:t>
      </w:r>
      <w:r>
        <w:rPr>
          <w:spacing w:val="-3"/>
        </w:rPr>
        <w:t> </w:t>
      </w:r>
      <w:r>
        <w:rPr/>
        <w:t>Ireland</w:t>
      </w:r>
      <w:r>
        <w:rPr>
          <w:spacing w:val="-3"/>
        </w:rPr>
        <w:t> </w:t>
      </w:r>
      <w:r>
        <w:rPr/>
        <w:t>Executive</w:t>
      </w:r>
      <w:r>
        <w:rPr>
          <w:spacing w:val="-2"/>
        </w:rPr>
        <w:t> </w:t>
      </w:r>
      <w:r>
        <w:rPr/>
        <w:t>should</w:t>
      </w:r>
      <w:r>
        <w:rPr>
          <w:spacing w:val="-3"/>
        </w:rPr>
        <w:t> </w:t>
      </w:r>
      <w:r>
        <w:rPr/>
        <w:t>review</w:t>
      </w:r>
      <w:r>
        <w:rPr>
          <w:spacing w:val="-2"/>
        </w:rPr>
        <w:t> </w:t>
      </w:r>
      <w:r>
        <w:rPr/>
        <w:t>these</w:t>
      </w:r>
      <w:r>
        <w:rPr>
          <w:spacing w:val="-2"/>
        </w:rPr>
        <w:t> </w:t>
      </w:r>
      <w:r>
        <w:rPr/>
        <w:t>developments</w:t>
      </w:r>
      <w:r>
        <w:rPr>
          <w:spacing w:val="-3"/>
        </w:rPr>
        <w:t> </w:t>
      </w:r>
      <w:r>
        <w:rPr/>
        <w:t>to</w:t>
      </w:r>
      <w:r>
        <w:rPr>
          <w:spacing w:val="-3"/>
        </w:rPr>
        <w:t> </w:t>
      </w:r>
      <w:r>
        <w:rPr/>
        <w:t>see</w:t>
      </w:r>
      <w:r>
        <w:rPr>
          <w:spacing w:val="-2"/>
        </w:rPr>
        <w:t> </w:t>
      </w:r>
      <w:r>
        <w:rPr/>
        <w:t>if voluntary alignment is desirable.</w:t>
      </w:r>
    </w:p>
    <w:p>
      <w:pPr>
        <w:pStyle w:val="BodyText"/>
        <w:spacing w:line="232" w:lineRule="auto" w:before="276"/>
        <w:ind w:left="1117" w:right="1087"/>
      </w:pPr>
      <w:r>
        <w:rPr/>
        <w:t>Several</w:t>
      </w:r>
      <w:r>
        <w:rPr>
          <w:spacing w:val="-6"/>
        </w:rPr>
        <w:t> </w:t>
      </w:r>
      <w:r>
        <w:rPr/>
        <w:t>of</w:t>
      </w:r>
      <w:r>
        <w:rPr>
          <w:spacing w:val="-6"/>
        </w:rPr>
        <w:t> </w:t>
      </w:r>
      <w:r>
        <w:rPr/>
        <w:t>these</w:t>
      </w:r>
      <w:r>
        <w:rPr>
          <w:spacing w:val="-5"/>
        </w:rPr>
        <w:t> </w:t>
      </w:r>
      <w:r>
        <w:rPr/>
        <w:t>measures</w:t>
      </w:r>
      <w:r>
        <w:rPr>
          <w:spacing w:val="-6"/>
        </w:rPr>
        <w:t> </w:t>
      </w:r>
      <w:r>
        <w:rPr/>
        <w:t>amend</w:t>
      </w:r>
      <w:r>
        <w:rPr>
          <w:spacing w:val="-6"/>
        </w:rPr>
        <w:t> </w:t>
      </w:r>
      <w:r>
        <w:rPr/>
        <w:t>or</w:t>
      </w:r>
      <w:r>
        <w:rPr>
          <w:spacing w:val="-5"/>
        </w:rPr>
        <w:t> </w:t>
      </w:r>
      <w:r>
        <w:rPr/>
        <w:t>replace</w:t>
      </w:r>
      <w:r>
        <w:rPr>
          <w:spacing w:val="-5"/>
        </w:rPr>
        <w:t> </w:t>
      </w:r>
      <w:r>
        <w:rPr/>
        <w:t>Annex</w:t>
      </w:r>
      <w:r>
        <w:rPr>
          <w:spacing w:val="-6"/>
        </w:rPr>
        <w:t> </w:t>
      </w:r>
      <w:r>
        <w:rPr/>
        <w:t>1</w:t>
      </w:r>
      <w:r>
        <w:rPr>
          <w:spacing w:val="-5"/>
        </w:rPr>
        <w:t> </w:t>
      </w:r>
      <w:r>
        <w:rPr/>
        <w:t>directives</w:t>
      </w:r>
      <w:r>
        <w:rPr>
          <w:spacing w:val="-6"/>
        </w:rPr>
        <w:t> </w:t>
      </w:r>
      <w:r>
        <w:rPr/>
        <w:t>and</w:t>
      </w:r>
      <w:r>
        <w:rPr>
          <w:spacing w:val="-6"/>
        </w:rPr>
        <w:t> </w:t>
      </w:r>
      <w:r>
        <w:rPr/>
        <w:t>so</w:t>
      </w:r>
      <w:r>
        <w:rPr>
          <w:spacing w:val="-6"/>
        </w:rPr>
        <w:t> </w:t>
      </w:r>
      <w:r>
        <w:rPr/>
        <w:t>Northern Ireland law must dynamically align with these Directives further to obligations relating to Article 2 WF. We make the following recommendations to ensure compliance with Article 2 WF and to avoid divergence:</w:t>
      </w:r>
    </w:p>
    <w:p>
      <w:pPr>
        <w:pStyle w:val="BodyText"/>
        <w:spacing w:before="1"/>
        <w:rPr>
          <w:sz w:val="20"/>
        </w:rPr>
      </w:pPr>
      <w:r>
        <w:rPr/>
        <mc:AlternateContent>
          <mc:Choice Requires="wps">
            <w:drawing>
              <wp:anchor distT="0" distB="0" distL="0" distR="0" allowOverlap="1" layoutInCell="1" locked="0" behindDoc="1" simplePos="0" relativeHeight="487622144">
                <wp:simplePos x="0" y="0"/>
                <wp:positionH relativeFrom="page">
                  <wp:posOffset>899994</wp:posOffset>
                </wp:positionH>
                <wp:positionV relativeFrom="paragraph">
                  <wp:posOffset>170969</wp:posOffset>
                </wp:positionV>
                <wp:extent cx="6012180" cy="813435"/>
                <wp:effectExtent l="0" t="0" r="0" b="0"/>
                <wp:wrapTopAndBottom/>
                <wp:docPr id="184" name="Group 184"/>
                <wp:cNvGraphicFramePr>
                  <a:graphicFrameLocks/>
                </wp:cNvGraphicFramePr>
                <a:graphic>
                  <a:graphicData uri="http://schemas.microsoft.com/office/word/2010/wordprocessingGroup">
                    <wpg:wgp>
                      <wpg:cNvPr id="184" name="Group 184"/>
                      <wpg:cNvGrpSpPr/>
                      <wpg:grpSpPr>
                        <a:xfrm>
                          <a:off x="0" y="0"/>
                          <a:ext cx="6012180" cy="813435"/>
                          <a:chExt cx="6012180" cy="813435"/>
                        </a:xfrm>
                      </wpg:grpSpPr>
                      <wps:wsp>
                        <wps:cNvPr id="185" name="Graphic 185"/>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86" name="Textbox 186"/>
                        <wps:cNvSpPr txBox="1"/>
                        <wps:spPr>
                          <a:xfrm>
                            <a:off x="0" y="0"/>
                            <a:ext cx="6012180" cy="813435"/>
                          </a:xfrm>
                          <a:prstGeom prst="rect">
                            <a:avLst/>
                          </a:prstGeom>
                        </wps:spPr>
                        <wps:txbx>
                          <w:txbxContent>
                            <w:p>
                              <w:pPr>
                                <w:spacing w:line="232" w:lineRule="auto" w:before="121"/>
                                <w:ind w:left="340" w:right="129" w:firstLine="0"/>
                                <w:jc w:val="both"/>
                                <w:rPr>
                                  <w:b/>
                                  <w:sz w:val="28"/>
                                </w:rPr>
                              </w:pPr>
                              <w:r>
                                <w:rPr>
                                  <w:b/>
                                  <w:color w:val="164194"/>
                                  <w:sz w:val="28"/>
                                </w:rPr>
                                <w:t>We</w:t>
                              </w:r>
                              <w:r>
                                <w:rPr>
                                  <w:b/>
                                  <w:color w:val="164194"/>
                                  <w:spacing w:val="-5"/>
                                  <w:sz w:val="28"/>
                                </w:rPr>
                                <w:t> </w:t>
                              </w:r>
                              <w:r>
                                <w:rPr>
                                  <w:b/>
                                  <w:color w:val="164194"/>
                                  <w:sz w:val="28"/>
                                </w:rPr>
                                <w:t>recommend</w:t>
                              </w:r>
                              <w:r>
                                <w:rPr>
                                  <w:b/>
                                  <w:color w:val="164194"/>
                                  <w:spacing w:val="-4"/>
                                  <w:sz w:val="28"/>
                                </w:rPr>
                                <w:t> </w:t>
                              </w:r>
                              <w:r>
                                <w:rPr>
                                  <w:b/>
                                  <w:color w:val="164194"/>
                                  <w:sz w:val="28"/>
                                </w:rPr>
                                <w:t>that</w:t>
                              </w:r>
                              <w:r>
                                <w:rPr>
                                  <w:b/>
                                  <w:color w:val="164194"/>
                                  <w:spacing w:val="-4"/>
                                  <w:sz w:val="28"/>
                                </w:rPr>
                                <w:t> </w:t>
                              </w:r>
                              <w:r>
                                <w:rPr>
                                  <w:b/>
                                  <w:color w:val="164194"/>
                                  <w:sz w:val="28"/>
                                </w:rPr>
                                <w:t>the</w:t>
                              </w:r>
                              <w:r>
                                <w:rPr>
                                  <w:b/>
                                  <w:color w:val="164194"/>
                                  <w:spacing w:val="-5"/>
                                  <w:sz w:val="28"/>
                                </w:rPr>
                                <w:t> </w:t>
                              </w:r>
                              <w:r>
                                <w:rPr>
                                  <w:b/>
                                  <w:color w:val="164194"/>
                                  <w:sz w:val="28"/>
                                </w:rPr>
                                <w:t>NI</w:t>
                              </w:r>
                              <w:r>
                                <w:rPr>
                                  <w:b/>
                                  <w:color w:val="164194"/>
                                  <w:spacing w:val="-4"/>
                                  <w:sz w:val="28"/>
                                </w:rPr>
                                <w:t> </w:t>
                              </w:r>
                              <w:r>
                                <w:rPr>
                                  <w:b/>
                                  <w:color w:val="164194"/>
                                  <w:sz w:val="28"/>
                                </w:rPr>
                                <w:t>Executive</w:t>
                              </w:r>
                              <w:r>
                                <w:rPr>
                                  <w:b/>
                                  <w:color w:val="164194"/>
                                  <w:spacing w:val="-5"/>
                                  <w:sz w:val="28"/>
                                </w:rPr>
                                <w:t> </w:t>
                              </w:r>
                              <w:r>
                                <w:rPr>
                                  <w:b/>
                                  <w:color w:val="164194"/>
                                  <w:sz w:val="28"/>
                                </w:rPr>
                                <w:t>and</w:t>
                              </w:r>
                              <w:r>
                                <w:rPr>
                                  <w:b/>
                                  <w:color w:val="164194"/>
                                  <w:spacing w:val="-4"/>
                                  <w:sz w:val="28"/>
                                </w:rPr>
                                <w:t> </w:t>
                              </w:r>
                              <w:r>
                                <w:rPr>
                                  <w:b/>
                                  <w:color w:val="164194"/>
                                  <w:sz w:val="28"/>
                                </w:rPr>
                                <w:t>relevant</w:t>
                              </w:r>
                              <w:r>
                                <w:rPr>
                                  <w:b/>
                                  <w:color w:val="164194"/>
                                  <w:spacing w:val="-4"/>
                                  <w:sz w:val="28"/>
                                </w:rPr>
                                <w:t> </w:t>
                              </w:r>
                              <w:r>
                                <w:rPr>
                                  <w:b/>
                                  <w:color w:val="164194"/>
                                  <w:sz w:val="28"/>
                                </w:rPr>
                                <w:t>NI</w:t>
                              </w:r>
                              <w:r>
                                <w:rPr>
                                  <w:b/>
                                  <w:color w:val="164194"/>
                                  <w:spacing w:val="-4"/>
                                  <w:sz w:val="28"/>
                                </w:rPr>
                                <w:t> </w:t>
                              </w:r>
                              <w:r>
                                <w:rPr>
                                  <w:b/>
                                  <w:color w:val="164194"/>
                                  <w:sz w:val="28"/>
                                </w:rPr>
                                <w:t>Departments</w:t>
                              </w:r>
                              <w:r>
                                <w:rPr>
                                  <w:b/>
                                  <w:color w:val="164194"/>
                                  <w:spacing w:val="-4"/>
                                  <w:sz w:val="28"/>
                                </w:rPr>
                                <w:t> </w:t>
                              </w:r>
                              <w:r>
                                <w:rPr>
                                  <w:b/>
                                  <w:color w:val="164194"/>
                                  <w:sz w:val="28"/>
                                </w:rPr>
                                <w:t>bring</w:t>
                              </w:r>
                              <w:r>
                                <w:rPr>
                                  <w:b/>
                                  <w:color w:val="164194"/>
                                  <w:spacing w:val="-5"/>
                                  <w:sz w:val="28"/>
                                </w:rPr>
                                <w:t> </w:t>
                              </w:r>
                              <w:r>
                                <w:rPr>
                                  <w:b/>
                                  <w:color w:val="164194"/>
                                  <w:sz w:val="28"/>
                                </w:rPr>
                                <w:t>into force</w:t>
                              </w:r>
                              <w:r>
                                <w:rPr>
                                  <w:b/>
                                  <w:color w:val="164194"/>
                                  <w:spacing w:val="-7"/>
                                  <w:sz w:val="28"/>
                                </w:rPr>
                                <w:t> </w:t>
                              </w:r>
                              <w:r>
                                <w:rPr>
                                  <w:b/>
                                  <w:color w:val="164194"/>
                                  <w:sz w:val="28"/>
                                </w:rPr>
                                <w:t>the</w:t>
                              </w:r>
                              <w:r>
                                <w:rPr>
                                  <w:b/>
                                  <w:color w:val="164194"/>
                                  <w:spacing w:val="-7"/>
                                  <w:sz w:val="28"/>
                                </w:rPr>
                                <w:t> </w:t>
                              </w:r>
                              <w:r>
                                <w:rPr>
                                  <w:b/>
                                  <w:color w:val="164194"/>
                                  <w:sz w:val="28"/>
                                </w:rPr>
                                <w:t>necessary</w:t>
                              </w:r>
                              <w:r>
                                <w:rPr>
                                  <w:b/>
                                  <w:color w:val="164194"/>
                                  <w:spacing w:val="-7"/>
                                  <w:sz w:val="28"/>
                                </w:rPr>
                                <w:t> </w:t>
                              </w:r>
                              <w:r>
                                <w:rPr>
                                  <w:b/>
                                  <w:color w:val="164194"/>
                                  <w:sz w:val="28"/>
                                </w:rPr>
                                <w:t>measures</w:t>
                              </w:r>
                              <w:r>
                                <w:rPr>
                                  <w:b/>
                                  <w:color w:val="164194"/>
                                  <w:spacing w:val="-7"/>
                                  <w:sz w:val="28"/>
                                </w:rPr>
                                <w:t> </w:t>
                              </w:r>
                              <w:r>
                                <w:rPr>
                                  <w:b/>
                                  <w:color w:val="164194"/>
                                  <w:sz w:val="28"/>
                                </w:rPr>
                                <w:t>to</w:t>
                              </w:r>
                              <w:r>
                                <w:rPr>
                                  <w:b/>
                                  <w:color w:val="164194"/>
                                  <w:spacing w:val="-7"/>
                                  <w:sz w:val="28"/>
                                </w:rPr>
                                <w:t> </w:t>
                              </w:r>
                              <w:r>
                                <w:rPr>
                                  <w:b/>
                                  <w:color w:val="164194"/>
                                  <w:sz w:val="28"/>
                                </w:rPr>
                                <w:t>comply</w:t>
                              </w:r>
                              <w:r>
                                <w:rPr>
                                  <w:b/>
                                  <w:color w:val="164194"/>
                                  <w:spacing w:val="-7"/>
                                  <w:sz w:val="28"/>
                                </w:rPr>
                                <w:t> </w:t>
                              </w:r>
                              <w:r>
                                <w:rPr>
                                  <w:b/>
                                  <w:color w:val="164194"/>
                                  <w:sz w:val="28"/>
                                </w:rPr>
                                <w:t>with</w:t>
                              </w:r>
                              <w:r>
                                <w:rPr>
                                  <w:b/>
                                  <w:color w:val="164194"/>
                                  <w:spacing w:val="-7"/>
                                  <w:sz w:val="28"/>
                                </w:rPr>
                                <w:t> </w:t>
                              </w:r>
                              <w:r>
                                <w:rPr>
                                  <w:b/>
                                  <w:color w:val="164194"/>
                                  <w:sz w:val="28"/>
                                </w:rPr>
                                <w:t>the</w:t>
                              </w:r>
                              <w:r>
                                <w:rPr>
                                  <w:b/>
                                  <w:color w:val="164194"/>
                                  <w:spacing w:val="-7"/>
                                  <w:sz w:val="28"/>
                                </w:rPr>
                                <w:t> </w:t>
                              </w:r>
                              <w:r>
                                <w:rPr>
                                  <w:b/>
                                  <w:color w:val="164194"/>
                                  <w:sz w:val="28"/>
                                </w:rPr>
                                <w:t>requirements</w:t>
                              </w:r>
                              <w:r>
                                <w:rPr>
                                  <w:b/>
                                  <w:color w:val="164194"/>
                                  <w:spacing w:val="-7"/>
                                  <w:sz w:val="28"/>
                                </w:rPr>
                                <w:t> </w:t>
                              </w:r>
                              <w:r>
                                <w:rPr>
                                  <w:b/>
                                  <w:color w:val="164194"/>
                                  <w:sz w:val="28"/>
                                </w:rPr>
                                <w:t>set</w:t>
                              </w:r>
                              <w:r>
                                <w:rPr>
                                  <w:b/>
                                  <w:color w:val="164194"/>
                                  <w:spacing w:val="-7"/>
                                  <w:sz w:val="28"/>
                                </w:rPr>
                                <w:t> </w:t>
                              </w:r>
                              <w:r>
                                <w:rPr>
                                  <w:b/>
                                  <w:color w:val="164194"/>
                                  <w:sz w:val="28"/>
                                </w:rPr>
                                <w:t>by</w:t>
                              </w:r>
                              <w:r>
                                <w:rPr>
                                  <w:b/>
                                  <w:color w:val="164194"/>
                                  <w:spacing w:val="-7"/>
                                  <w:sz w:val="28"/>
                                </w:rPr>
                                <w:t> </w:t>
                              </w:r>
                              <w:r>
                                <w:rPr>
                                  <w:b/>
                                  <w:color w:val="164194"/>
                                  <w:sz w:val="28"/>
                                </w:rPr>
                                <w:t>the</w:t>
                              </w:r>
                              <w:r>
                                <w:rPr>
                                  <w:b/>
                                  <w:color w:val="164194"/>
                                  <w:spacing w:val="-7"/>
                                  <w:sz w:val="28"/>
                                </w:rPr>
                                <w:t> </w:t>
                              </w:r>
                              <w:r>
                                <w:rPr>
                                  <w:b/>
                                  <w:color w:val="164194"/>
                                  <w:sz w:val="28"/>
                                </w:rPr>
                                <w:t>Pay Transparency Directive EU Directive 2023/970 by June 2026.</w:t>
                              </w:r>
                            </w:p>
                          </w:txbxContent>
                        </wps:txbx>
                        <wps:bodyPr wrap="square" lIns="0" tIns="0" rIns="0" bIns="0" rtlCol="0">
                          <a:noAutofit/>
                        </wps:bodyPr>
                      </wps:wsp>
                    </wpg:wgp>
                  </a:graphicData>
                </a:graphic>
              </wp:anchor>
            </w:drawing>
          </mc:Choice>
          <mc:Fallback>
            <w:pict>
              <v:group style="position:absolute;margin-left:70.8657pt;margin-top:13.462139pt;width:473.4pt;height:64.05pt;mso-position-horizontal-relative:page;mso-position-vertical-relative:paragraph;z-index:-15694336;mso-wrap-distance-left:0;mso-wrap-distance-right:0" id="docshapegroup131" coordorigin="1417,269" coordsize="9468,1281">
                <v:shape style="position:absolute;left:1417;top:269;width:9468;height:1281" id="docshape132" coordorigin="1417,269" coordsize="9468,1281" path="m10658,269l1644,269,1572,281,1510,313,1461,362,1429,424,1417,496,1417,1323,1429,1394,1461,1457,1510,1506,1572,1538,1644,1549,10658,1549,10730,1538,10792,1506,10841,1457,10873,1394,10885,1323,10885,496,10873,424,10841,362,10792,313,10730,281,10658,269xe" filled="true" fillcolor="#e9f3fc" stroked="false">
                  <v:path arrowok="t"/>
                  <v:fill type="solid"/>
                </v:shape>
                <v:shape style="position:absolute;left:1417;top:269;width:9468;height:1281" type="#_x0000_t202" id="docshape133" filled="false" stroked="false">
                  <v:textbox inset="0,0,0,0">
                    <w:txbxContent>
                      <w:p>
                        <w:pPr>
                          <w:spacing w:line="232" w:lineRule="auto" w:before="121"/>
                          <w:ind w:left="340" w:right="129" w:firstLine="0"/>
                          <w:jc w:val="both"/>
                          <w:rPr>
                            <w:b/>
                            <w:sz w:val="28"/>
                          </w:rPr>
                        </w:pPr>
                        <w:r>
                          <w:rPr>
                            <w:b/>
                            <w:color w:val="164194"/>
                            <w:sz w:val="28"/>
                          </w:rPr>
                          <w:t>We</w:t>
                        </w:r>
                        <w:r>
                          <w:rPr>
                            <w:b/>
                            <w:color w:val="164194"/>
                            <w:spacing w:val="-5"/>
                            <w:sz w:val="28"/>
                          </w:rPr>
                          <w:t> </w:t>
                        </w:r>
                        <w:r>
                          <w:rPr>
                            <w:b/>
                            <w:color w:val="164194"/>
                            <w:sz w:val="28"/>
                          </w:rPr>
                          <w:t>recommend</w:t>
                        </w:r>
                        <w:r>
                          <w:rPr>
                            <w:b/>
                            <w:color w:val="164194"/>
                            <w:spacing w:val="-4"/>
                            <w:sz w:val="28"/>
                          </w:rPr>
                          <w:t> </w:t>
                        </w:r>
                        <w:r>
                          <w:rPr>
                            <w:b/>
                            <w:color w:val="164194"/>
                            <w:sz w:val="28"/>
                          </w:rPr>
                          <w:t>that</w:t>
                        </w:r>
                        <w:r>
                          <w:rPr>
                            <w:b/>
                            <w:color w:val="164194"/>
                            <w:spacing w:val="-4"/>
                            <w:sz w:val="28"/>
                          </w:rPr>
                          <w:t> </w:t>
                        </w:r>
                        <w:r>
                          <w:rPr>
                            <w:b/>
                            <w:color w:val="164194"/>
                            <w:sz w:val="28"/>
                          </w:rPr>
                          <w:t>the</w:t>
                        </w:r>
                        <w:r>
                          <w:rPr>
                            <w:b/>
                            <w:color w:val="164194"/>
                            <w:spacing w:val="-5"/>
                            <w:sz w:val="28"/>
                          </w:rPr>
                          <w:t> </w:t>
                        </w:r>
                        <w:r>
                          <w:rPr>
                            <w:b/>
                            <w:color w:val="164194"/>
                            <w:sz w:val="28"/>
                          </w:rPr>
                          <w:t>NI</w:t>
                        </w:r>
                        <w:r>
                          <w:rPr>
                            <w:b/>
                            <w:color w:val="164194"/>
                            <w:spacing w:val="-4"/>
                            <w:sz w:val="28"/>
                          </w:rPr>
                          <w:t> </w:t>
                        </w:r>
                        <w:r>
                          <w:rPr>
                            <w:b/>
                            <w:color w:val="164194"/>
                            <w:sz w:val="28"/>
                          </w:rPr>
                          <w:t>Executive</w:t>
                        </w:r>
                        <w:r>
                          <w:rPr>
                            <w:b/>
                            <w:color w:val="164194"/>
                            <w:spacing w:val="-5"/>
                            <w:sz w:val="28"/>
                          </w:rPr>
                          <w:t> </w:t>
                        </w:r>
                        <w:r>
                          <w:rPr>
                            <w:b/>
                            <w:color w:val="164194"/>
                            <w:sz w:val="28"/>
                          </w:rPr>
                          <w:t>and</w:t>
                        </w:r>
                        <w:r>
                          <w:rPr>
                            <w:b/>
                            <w:color w:val="164194"/>
                            <w:spacing w:val="-4"/>
                            <w:sz w:val="28"/>
                          </w:rPr>
                          <w:t> </w:t>
                        </w:r>
                        <w:r>
                          <w:rPr>
                            <w:b/>
                            <w:color w:val="164194"/>
                            <w:sz w:val="28"/>
                          </w:rPr>
                          <w:t>relevant</w:t>
                        </w:r>
                        <w:r>
                          <w:rPr>
                            <w:b/>
                            <w:color w:val="164194"/>
                            <w:spacing w:val="-4"/>
                            <w:sz w:val="28"/>
                          </w:rPr>
                          <w:t> </w:t>
                        </w:r>
                        <w:r>
                          <w:rPr>
                            <w:b/>
                            <w:color w:val="164194"/>
                            <w:sz w:val="28"/>
                          </w:rPr>
                          <w:t>NI</w:t>
                        </w:r>
                        <w:r>
                          <w:rPr>
                            <w:b/>
                            <w:color w:val="164194"/>
                            <w:spacing w:val="-4"/>
                            <w:sz w:val="28"/>
                          </w:rPr>
                          <w:t> </w:t>
                        </w:r>
                        <w:r>
                          <w:rPr>
                            <w:b/>
                            <w:color w:val="164194"/>
                            <w:sz w:val="28"/>
                          </w:rPr>
                          <w:t>Departments</w:t>
                        </w:r>
                        <w:r>
                          <w:rPr>
                            <w:b/>
                            <w:color w:val="164194"/>
                            <w:spacing w:val="-4"/>
                            <w:sz w:val="28"/>
                          </w:rPr>
                          <w:t> </w:t>
                        </w:r>
                        <w:r>
                          <w:rPr>
                            <w:b/>
                            <w:color w:val="164194"/>
                            <w:sz w:val="28"/>
                          </w:rPr>
                          <w:t>bring</w:t>
                        </w:r>
                        <w:r>
                          <w:rPr>
                            <w:b/>
                            <w:color w:val="164194"/>
                            <w:spacing w:val="-5"/>
                            <w:sz w:val="28"/>
                          </w:rPr>
                          <w:t> </w:t>
                        </w:r>
                        <w:r>
                          <w:rPr>
                            <w:b/>
                            <w:color w:val="164194"/>
                            <w:sz w:val="28"/>
                          </w:rPr>
                          <w:t>into force</w:t>
                        </w:r>
                        <w:r>
                          <w:rPr>
                            <w:b/>
                            <w:color w:val="164194"/>
                            <w:spacing w:val="-7"/>
                            <w:sz w:val="28"/>
                          </w:rPr>
                          <w:t> </w:t>
                        </w:r>
                        <w:r>
                          <w:rPr>
                            <w:b/>
                            <w:color w:val="164194"/>
                            <w:sz w:val="28"/>
                          </w:rPr>
                          <w:t>the</w:t>
                        </w:r>
                        <w:r>
                          <w:rPr>
                            <w:b/>
                            <w:color w:val="164194"/>
                            <w:spacing w:val="-7"/>
                            <w:sz w:val="28"/>
                          </w:rPr>
                          <w:t> </w:t>
                        </w:r>
                        <w:r>
                          <w:rPr>
                            <w:b/>
                            <w:color w:val="164194"/>
                            <w:sz w:val="28"/>
                          </w:rPr>
                          <w:t>necessary</w:t>
                        </w:r>
                        <w:r>
                          <w:rPr>
                            <w:b/>
                            <w:color w:val="164194"/>
                            <w:spacing w:val="-7"/>
                            <w:sz w:val="28"/>
                          </w:rPr>
                          <w:t> </w:t>
                        </w:r>
                        <w:r>
                          <w:rPr>
                            <w:b/>
                            <w:color w:val="164194"/>
                            <w:sz w:val="28"/>
                          </w:rPr>
                          <w:t>measures</w:t>
                        </w:r>
                        <w:r>
                          <w:rPr>
                            <w:b/>
                            <w:color w:val="164194"/>
                            <w:spacing w:val="-7"/>
                            <w:sz w:val="28"/>
                          </w:rPr>
                          <w:t> </w:t>
                        </w:r>
                        <w:r>
                          <w:rPr>
                            <w:b/>
                            <w:color w:val="164194"/>
                            <w:sz w:val="28"/>
                          </w:rPr>
                          <w:t>to</w:t>
                        </w:r>
                        <w:r>
                          <w:rPr>
                            <w:b/>
                            <w:color w:val="164194"/>
                            <w:spacing w:val="-7"/>
                            <w:sz w:val="28"/>
                          </w:rPr>
                          <w:t> </w:t>
                        </w:r>
                        <w:r>
                          <w:rPr>
                            <w:b/>
                            <w:color w:val="164194"/>
                            <w:sz w:val="28"/>
                          </w:rPr>
                          <w:t>comply</w:t>
                        </w:r>
                        <w:r>
                          <w:rPr>
                            <w:b/>
                            <w:color w:val="164194"/>
                            <w:spacing w:val="-7"/>
                            <w:sz w:val="28"/>
                          </w:rPr>
                          <w:t> </w:t>
                        </w:r>
                        <w:r>
                          <w:rPr>
                            <w:b/>
                            <w:color w:val="164194"/>
                            <w:sz w:val="28"/>
                          </w:rPr>
                          <w:t>with</w:t>
                        </w:r>
                        <w:r>
                          <w:rPr>
                            <w:b/>
                            <w:color w:val="164194"/>
                            <w:spacing w:val="-7"/>
                            <w:sz w:val="28"/>
                          </w:rPr>
                          <w:t> </w:t>
                        </w:r>
                        <w:r>
                          <w:rPr>
                            <w:b/>
                            <w:color w:val="164194"/>
                            <w:sz w:val="28"/>
                          </w:rPr>
                          <w:t>the</w:t>
                        </w:r>
                        <w:r>
                          <w:rPr>
                            <w:b/>
                            <w:color w:val="164194"/>
                            <w:spacing w:val="-7"/>
                            <w:sz w:val="28"/>
                          </w:rPr>
                          <w:t> </w:t>
                        </w:r>
                        <w:r>
                          <w:rPr>
                            <w:b/>
                            <w:color w:val="164194"/>
                            <w:sz w:val="28"/>
                          </w:rPr>
                          <w:t>requirements</w:t>
                        </w:r>
                        <w:r>
                          <w:rPr>
                            <w:b/>
                            <w:color w:val="164194"/>
                            <w:spacing w:val="-7"/>
                            <w:sz w:val="28"/>
                          </w:rPr>
                          <w:t> </w:t>
                        </w:r>
                        <w:r>
                          <w:rPr>
                            <w:b/>
                            <w:color w:val="164194"/>
                            <w:sz w:val="28"/>
                          </w:rPr>
                          <w:t>set</w:t>
                        </w:r>
                        <w:r>
                          <w:rPr>
                            <w:b/>
                            <w:color w:val="164194"/>
                            <w:spacing w:val="-7"/>
                            <w:sz w:val="28"/>
                          </w:rPr>
                          <w:t> </w:t>
                        </w:r>
                        <w:r>
                          <w:rPr>
                            <w:b/>
                            <w:color w:val="164194"/>
                            <w:sz w:val="28"/>
                          </w:rPr>
                          <w:t>by</w:t>
                        </w:r>
                        <w:r>
                          <w:rPr>
                            <w:b/>
                            <w:color w:val="164194"/>
                            <w:spacing w:val="-7"/>
                            <w:sz w:val="28"/>
                          </w:rPr>
                          <w:t> </w:t>
                        </w:r>
                        <w:r>
                          <w:rPr>
                            <w:b/>
                            <w:color w:val="164194"/>
                            <w:sz w:val="28"/>
                          </w:rPr>
                          <w:t>the</w:t>
                        </w:r>
                        <w:r>
                          <w:rPr>
                            <w:b/>
                            <w:color w:val="164194"/>
                            <w:spacing w:val="-7"/>
                            <w:sz w:val="28"/>
                          </w:rPr>
                          <w:t> </w:t>
                        </w:r>
                        <w:r>
                          <w:rPr>
                            <w:b/>
                            <w:color w:val="164194"/>
                            <w:sz w:val="28"/>
                          </w:rPr>
                          <w:t>Pay Transparency Directive EU Directive 2023/970 by June 2026.</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2656">
                <wp:simplePos x="0" y="0"/>
                <wp:positionH relativeFrom="page">
                  <wp:posOffset>899994</wp:posOffset>
                </wp:positionH>
                <wp:positionV relativeFrom="paragraph">
                  <wp:posOffset>1123619</wp:posOffset>
                </wp:positionV>
                <wp:extent cx="6012180" cy="813435"/>
                <wp:effectExtent l="0" t="0" r="0" b="0"/>
                <wp:wrapTopAndBottom/>
                <wp:docPr id="187" name="Group 187"/>
                <wp:cNvGraphicFramePr>
                  <a:graphicFrameLocks/>
                </wp:cNvGraphicFramePr>
                <a:graphic>
                  <a:graphicData uri="http://schemas.microsoft.com/office/word/2010/wordprocessingGroup">
                    <wpg:wgp>
                      <wpg:cNvPr id="187" name="Group 187"/>
                      <wpg:cNvGrpSpPr/>
                      <wpg:grpSpPr>
                        <a:xfrm>
                          <a:off x="0" y="0"/>
                          <a:ext cx="6012180" cy="813435"/>
                          <a:chExt cx="6012180" cy="813435"/>
                        </a:xfrm>
                      </wpg:grpSpPr>
                      <wps:wsp>
                        <wps:cNvPr id="188" name="Graphic 188"/>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89" name="Textbox 189"/>
                        <wps:cNvSpPr txBox="1"/>
                        <wps:spPr>
                          <a:xfrm>
                            <a:off x="0" y="0"/>
                            <a:ext cx="6012180" cy="813435"/>
                          </a:xfrm>
                          <a:prstGeom prst="rect">
                            <a:avLst/>
                          </a:prstGeom>
                        </wps:spPr>
                        <wps:txbx>
                          <w:txbxContent>
                            <w:p>
                              <w:pPr>
                                <w:spacing w:line="232" w:lineRule="auto" w:before="121"/>
                                <w:ind w:left="340" w:right="1113" w:firstLine="0"/>
                                <w:jc w:val="both"/>
                                <w:rPr>
                                  <w:b/>
                                  <w:sz w:val="28"/>
                                </w:rPr>
                              </w:pPr>
                              <w:r>
                                <w:rPr>
                                  <w:b/>
                                  <w:color w:val="164194"/>
                                  <w:sz w:val="28"/>
                                </w:rPr>
                                <w:t>We</w:t>
                              </w:r>
                              <w:r>
                                <w:rPr>
                                  <w:b/>
                                  <w:color w:val="164194"/>
                                  <w:spacing w:val="-9"/>
                                  <w:sz w:val="28"/>
                                </w:rPr>
                                <w:t> </w:t>
                              </w:r>
                              <w:r>
                                <w:rPr>
                                  <w:b/>
                                  <w:color w:val="164194"/>
                                  <w:sz w:val="28"/>
                                </w:rPr>
                                <w:t>agree</w:t>
                              </w:r>
                              <w:r>
                                <w:rPr>
                                  <w:b/>
                                  <w:color w:val="164194"/>
                                  <w:spacing w:val="-9"/>
                                  <w:sz w:val="28"/>
                                </w:rPr>
                                <w:t> </w:t>
                              </w:r>
                              <w:r>
                                <w:rPr>
                                  <w:b/>
                                  <w:color w:val="164194"/>
                                  <w:sz w:val="28"/>
                                </w:rPr>
                                <w:t>with</w:t>
                              </w:r>
                              <w:r>
                                <w:rPr>
                                  <w:b/>
                                  <w:color w:val="164194"/>
                                  <w:spacing w:val="-8"/>
                                  <w:sz w:val="28"/>
                                </w:rPr>
                                <w:t> </w:t>
                              </w:r>
                              <w:r>
                                <w:rPr>
                                  <w:b/>
                                  <w:color w:val="164194"/>
                                  <w:sz w:val="28"/>
                                </w:rPr>
                                <w:t>the</w:t>
                              </w:r>
                              <w:r>
                                <w:rPr>
                                  <w:b/>
                                  <w:color w:val="164194"/>
                                  <w:spacing w:val="-9"/>
                                  <w:sz w:val="28"/>
                                </w:rPr>
                                <w:t> </w:t>
                              </w:r>
                              <w:r>
                                <w:rPr>
                                  <w:b/>
                                  <w:color w:val="164194"/>
                                  <w:sz w:val="28"/>
                                </w:rPr>
                                <w:t>ECNI</w:t>
                              </w:r>
                              <w:r>
                                <w:rPr>
                                  <w:b/>
                                  <w:color w:val="164194"/>
                                  <w:spacing w:val="-8"/>
                                  <w:sz w:val="28"/>
                                </w:rPr>
                                <w:t> </w:t>
                              </w:r>
                              <w:r>
                                <w:rPr>
                                  <w:b/>
                                  <w:color w:val="164194"/>
                                  <w:sz w:val="28"/>
                                </w:rPr>
                                <w:t>and</w:t>
                              </w:r>
                              <w:r>
                                <w:rPr>
                                  <w:b/>
                                  <w:color w:val="164194"/>
                                  <w:spacing w:val="-8"/>
                                  <w:sz w:val="28"/>
                                </w:rPr>
                                <w:t> </w:t>
                              </w:r>
                              <w:r>
                                <w:rPr>
                                  <w:b/>
                                  <w:color w:val="164194"/>
                                  <w:sz w:val="28"/>
                                </w:rPr>
                                <w:t>NIHRC</w:t>
                              </w:r>
                              <w:r>
                                <w:rPr>
                                  <w:b/>
                                  <w:color w:val="164194"/>
                                  <w:spacing w:val="-9"/>
                                  <w:sz w:val="28"/>
                                </w:rPr>
                                <w:t> </w:t>
                              </w:r>
                              <w:r>
                                <w:rPr>
                                  <w:b/>
                                  <w:color w:val="164194"/>
                                  <w:sz w:val="28"/>
                                </w:rPr>
                                <w:t>recommendation</w:t>
                              </w:r>
                              <w:r>
                                <w:rPr>
                                  <w:b/>
                                  <w:color w:val="164194"/>
                                  <w:spacing w:val="-8"/>
                                  <w:sz w:val="28"/>
                                </w:rPr>
                                <w:t> </w:t>
                              </w:r>
                              <w:r>
                                <w:rPr>
                                  <w:b/>
                                  <w:color w:val="164194"/>
                                  <w:sz w:val="28"/>
                                </w:rPr>
                                <w:t>that</w:t>
                              </w:r>
                              <w:r>
                                <w:rPr>
                                  <w:b/>
                                  <w:color w:val="164194"/>
                                  <w:spacing w:val="-8"/>
                                  <w:sz w:val="28"/>
                                </w:rPr>
                                <w:t> </w:t>
                              </w:r>
                              <w:r>
                                <w:rPr>
                                  <w:b/>
                                  <w:color w:val="164194"/>
                                  <w:sz w:val="28"/>
                                </w:rPr>
                                <w:t>all</w:t>
                              </w:r>
                              <w:r>
                                <w:rPr>
                                  <w:b/>
                                  <w:color w:val="164194"/>
                                  <w:spacing w:val="-8"/>
                                  <w:sz w:val="28"/>
                                </w:rPr>
                                <w:t> </w:t>
                              </w:r>
                              <w:r>
                                <w:rPr>
                                  <w:b/>
                                  <w:color w:val="164194"/>
                                  <w:sz w:val="28"/>
                                </w:rPr>
                                <w:t>relevant portions</w:t>
                              </w:r>
                              <w:r>
                                <w:rPr>
                                  <w:b/>
                                  <w:color w:val="164194"/>
                                  <w:spacing w:val="-8"/>
                                  <w:sz w:val="28"/>
                                </w:rPr>
                                <w:t> </w:t>
                              </w:r>
                              <w:r>
                                <w:rPr>
                                  <w:b/>
                                  <w:color w:val="164194"/>
                                  <w:sz w:val="28"/>
                                </w:rPr>
                                <w:t>of</w:t>
                              </w:r>
                              <w:r>
                                <w:rPr>
                                  <w:b/>
                                  <w:color w:val="164194"/>
                                  <w:spacing w:val="-9"/>
                                  <w:sz w:val="28"/>
                                </w:rPr>
                                <w:t> </w:t>
                              </w:r>
                              <w:r>
                                <w:rPr>
                                  <w:b/>
                                  <w:color w:val="164194"/>
                                  <w:sz w:val="28"/>
                                </w:rPr>
                                <w:t>the</w:t>
                              </w:r>
                              <w:r>
                                <w:rPr>
                                  <w:b/>
                                  <w:color w:val="164194"/>
                                  <w:spacing w:val="-9"/>
                                  <w:sz w:val="28"/>
                                </w:rPr>
                                <w:t> </w:t>
                              </w:r>
                              <w:r>
                                <w:rPr>
                                  <w:b/>
                                  <w:color w:val="164194"/>
                                  <w:sz w:val="28"/>
                                </w:rPr>
                                <w:t>Pay</w:t>
                              </w:r>
                              <w:r>
                                <w:rPr>
                                  <w:b/>
                                  <w:color w:val="164194"/>
                                  <w:spacing w:val="-8"/>
                                  <w:sz w:val="28"/>
                                </w:rPr>
                                <w:t> </w:t>
                              </w:r>
                              <w:r>
                                <w:rPr>
                                  <w:b/>
                                  <w:color w:val="164194"/>
                                  <w:sz w:val="28"/>
                                </w:rPr>
                                <w:t>Transparency</w:t>
                              </w:r>
                              <w:r>
                                <w:rPr>
                                  <w:b/>
                                  <w:color w:val="164194"/>
                                  <w:spacing w:val="-8"/>
                                  <w:sz w:val="28"/>
                                </w:rPr>
                                <w:t> </w:t>
                              </w:r>
                              <w:r>
                                <w:rPr>
                                  <w:b/>
                                  <w:color w:val="164194"/>
                                  <w:sz w:val="28"/>
                                </w:rPr>
                                <w:t>Directive</w:t>
                              </w:r>
                              <w:r>
                                <w:rPr>
                                  <w:b/>
                                  <w:color w:val="164194"/>
                                  <w:spacing w:val="-9"/>
                                  <w:sz w:val="28"/>
                                </w:rPr>
                                <w:t> </w:t>
                              </w:r>
                              <w:r>
                                <w:rPr>
                                  <w:b/>
                                  <w:color w:val="164194"/>
                                  <w:sz w:val="28"/>
                                </w:rPr>
                                <w:t>should</w:t>
                              </w:r>
                              <w:r>
                                <w:rPr>
                                  <w:b/>
                                  <w:color w:val="164194"/>
                                  <w:spacing w:val="-8"/>
                                  <w:sz w:val="28"/>
                                </w:rPr>
                                <w:t> </w:t>
                              </w:r>
                              <w:r>
                                <w:rPr>
                                  <w:b/>
                                  <w:color w:val="164194"/>
                                  <w:sz w:val="28"/>
                                </w:rPr>
                                <w:t>be</w:t>
                              </w:r>
                              <w:r>
                                <w:rPr>
                                  <w:b/>
                                  <w:color w:val="164194"/>
                                  <w:spacing w:val="-9"/>
                                  <w:sz w:val="28"/>
                                </w:rPr>
                                <w:t> </w:t>
                              </w:r>
                              <w:r>
                                <w:rPr>
                                  <w:b/>
                                  <w:color w:val="164194"/>
                                  <w:sz w:val="28"/>
                                </w:rPr>
                                <w:t>transposed</w:t>
                              </w:r>
                              <w:r>
                                <w:rPr>
                                  <w:b/>
                                  <w:color w:val="164194"/>
                                  <w:spacing w:val="-8"/>
                                  <w:sz w:val="28"/>
                                </w:rPr>
                                <w:t> </w:t>
                              </w:r>
                              <w:r>
                                <w:rPr>
                                  <w:b/>
                                  <w:color w:val="164194"/>
                                  <w:sz w:val="28"/>
                                </w:rPr>
                                <w:t>into Northern Ireland law, further to obligations in the WF.</w:t>
                              </w:r>
                            </w:p>
                          </w:txbxContent>
                        </wps:txbx>
                        <wps:bodyPr wrap="square" lIns="0" tIns="0" rIns="0" bIns="0" rtlCol="0">
                          <a:noAutofit/>
                        </wps:bodyPr>
                      </wps:wsp>
                    </wpg:wgp>
                  </a:graphicData>
                </a:graphic>
              </wp:anchor>
            </w:drawing>
          </mc:Choice>
          <mc:Fallback>
            <w:pict>
              <v:group style="position:absolute;margin-left:70.8657pt;margin-top:88.473938pt;width:473.4pt;height:64.05pt;mso-position-horizontal-relative:page;mso-position-vertical-relative:paragraph;z-index:-15693824;mso-wrap-distance-left:0;mso-wrap-distance-right:0" id="docshapegroup134" coordorigin="1417,1769" coordsize="9468,1281">
                <v:shape style="position:absolute;left:1417;top:1769;width:9468;height:1281" id="docshape135" coordorigin="1417,1769" coordsize="9468,1281" path="m10658,1769l1644,1769,1572,1781,1510,1813,1461,1862,1429,1925,1417,1996,1417,2823,1429,2895,1461,2957,1510,3006,1572,3038,1644,3050,10658,3050,10730,3038,10792,3006,10841,2957,10873,2895,10885,2823,10885,1996,10873,1925,10841,1862,10792,1813,10730,1781,10658,1769xe" filled="true" fillcolor="#e9f3fc" stroked="false">
                  <v:path arrowok="t"/>
                  <v:fill type="solid"/>
                </v:shape>
                <v:shape style="position:absolute;left:1417;top:1769;width:9468;height:1281" type="#_x0000_t202" id="docshape136" filled="false" stroked="false">
                  <v:textbox inset="0,0,0,0">
                    <w:txbxContent>
                      <w:p>
                        <w:pPr>
                          <w:spacing w:line="232" w:lineRule="auto" w:before="121"/>
                          <w:ind w:left="340" w:right="1113" w:firstLine="0"/>
                          <w:jc w:val="both"/>
                          <w:rPr>
                            <w:b/>
                            <w:sz w:val="28"/>
                          </w:rPr>
                        </w:pPr>
                        <w:r>
                          <w:rPr>
                            <w:b/>
                            <w:color w:val="164194"/>
                            <w:sz w:val="28"/>
                          </w:rPr>
                          <w:t>We</w:t>
                        </w:r>
                        <w:r>
                          <w:rPr>
                            <w:b/>
                            <w:color w:val="164194"/>
                            <w:spacing w:val="-9"/>
                            <w:sz w:val="28"/>
                          </w:rPr>
                          <w:t> </w:t>
                        </w:r>
                        <w:r>
                          <w:rPr>
                            <w:b/>
                            <w:color w:val="164194"/>
                            <w:sz w:val="28"/>
                          </w:rPr>
                          <w:t>agree</w:t>
                        </w:r>
                        <w:r>
                          <w:rPr>
                            <w:b/>
                            <w:color w:val="164194"/>
                            <w:spacing w:val="-9"/>
                            <w:sz w:val="28"/>
                          </w:rPr>
                          <w:t> </w:t>
                        </w:r>
                        <w:r>
                          <w:rPr>
                            <w:b/>
                            <w:color w:val="164194"/>
                            <w:sz w:val="28"/>
                          </w:rPr>
                          <w:t>with</w:t>
                        </w:r>
                        <w:r>
                          <w:rPr>
                            <w:b/>
                            <w:color w:val="164194"/>
                            <w:spacing w:val="-8"/>
                            <w:sz w:val="28"/>
                          </w:rPr>
                          <w:t> </w:t>
                        </w:r>
                        <w:r>
                          <w:rPr>
                            <w:b/>
                            <w:color w:val="164194"/>
                            <w:sz w:val="28"/>
                          </w:rPr>
                          <w:t>the</w:t>
                        </w:r>
                        <w:r>
                          <w:rPr>
                            <w:b/>
                            <w:color w:val="164194"/>
                            <w:spacing w:val="-9"/>
                            <w:sz w:val="28"/>
                          </w:rPr>
                          <w:t> </w:t>
                        </w:r>
                        <w:r>
                          <w:rPr>
                            <w:b/>
                            <w:color w:val="164194"/>
                            <w:sz w:val="28"/>
                          </w:rPr>
                          <w:t>ECNI</w:t>
                        </w:r>
                        <w:r>
                          <w:rPr>
                            <w:b/>
                            <w:color w:val="164194"/>
                            <w:spacing w:val="-8"/>
                            <w:sz w:val="28"/>
                          </w:rPr>
                          <w:t> </w:t>
                        </w:r>
                        <w:r>
                          <w:rPr>
                            <w:b/>
                            <w:color w:val="164194"/>
                            <w:sz w:val="28"/>
                          </w:rPr>
                          <w:t>and</w:t>
                        </w:r>
                        <w:r>
                          <w:rPr>
                            <w:b/>
                            <w:color w:val="164194"/>
                            <w:spacing w:val="-8"/>
                            <w:sz w:val="28"/>
                          </w:rPr>
                          <w:t> </w:t>
                        </w:r>
                        <w:r>
                          <w:rPr>
                            <w:b/>
                            <w:color w:val="164194"/>
                            <w:sz w:val="28"/>
                          </w:rPr>
                          <w:t>NIHRC</w:t>
                        </w:r>
                        <w:r>
                          <w:rPr>
                            <w:b/>
                            <w:color w:val="164194"/>
                            <w:spacing w:val="-9"/>
                            <w:sz w:val="28"/>
                          </w:rPr>
                          <w:t> </w:t>
                        </w:r>
                        <w:r>
                          <w:rPr>
                            <w:b/>
                            <w:color w:val="164194"/>
                            <w:sz w:val="28"/>
                          </w:rPr>
                          <w:t>recommendation</w:t>
                        </w:r>
                        <w:r>
                          <w:rPr>
                            <w:b/>
                            <w:color w:val="164194"/>
                            <w:spacing w:val="-8"/>
                            <w:sz w:val="28"/>
                          </w:rPr>
                          <w:t> </w:t>
                        </w:r>
                        <w:r>
                          <w:rPr>
                            <w:b/>
                            <w:color w:val="164194"/>
                            <w:sz w:val="28"/>
                          </w:rPr>
                          <w:t>that</w:t>
                        </w:r>
                        <w:r>
                          <w:rPr>
                            <w:b/>
                            <w:color w:val="164194"/>
                            <w:spacing w:val="-8"/>
                            <w:sz w:val="28"/>
                          </w:rPr>
                          <w:t> </w:t>
                        </w:r>
                        <w:r>
                          <w:rPr>
                            <w:b/>
                            <w:color w:val="164194"/>
                            <w:sz w:val="28"/>
                          </w:rPr>
                          <w:t>all</w:t>
                        </w:r>
                        <w:r>
                          <w:rPr>
                            <w:b/>
                            <w:color w:val="164194"/>
                            <w:spacing w:val="-8"/>
                            <w:sz w:val="28"/>
                          </w:rPr>
                          <w:t> </w:t>
                        </w:r>
                        <w:r>
                          <w:rPr>
                            <w:b/>
                            <w:color w:val="164194"/>
                            <w:sz w:val="28"/>
                          </w:rPr>
                          <w:t>relevant portions</w:t>
                        </w:r>
                        <w:r>
                          <w:rPr>
                            <w:b/>
                            <w:color w:val="164194"/>
                            <w:spacing w:val="-8"/>
                            <w:sz w:val="28"/>
                          </w:rPr>
                          <w:t> </w:t>
                        </w:r>
                        <w:r>
                          <w:rPr>
                            <w:b/>
                            <w:color w:val="164194"/>
                            <w:sz w:val="28"/>
                          </w:rPr>
                          <w:t>of</w:t>
                        </w:r>
                        <w:r>
                          <w:rPr>
                            <w:b/>
                            <w:color w:val="164194"/>
                            <w:spacing w:val="-9"/>
                            <w:sz w:val="28"/>
                          </w:rPr>
                          <w:t> </w:t>
                        </w:r>
                        <w:r>
                          <w:rPr>
                            <w:b/>
                            <w:color w:val="164194"/>
                            <w:sz w:val="28"/>
                          </w:rPr>
                          <w:t>the</w:t>
                        </w:r>
                        <w:r>
                          <w:rPr>
                            <w:b/>
                            <w:color w:val="164194"/>
                            <w:spacing w:val="-9"/>
                            <w:sz w:val="28"/>
                          </w:rPr>
                          <w:t> </w:t>
                        </w:r>
                        <w:r>
                          <w:rPr>
                            <w:b/>
                            <w:color w:val="164194"/>
                            <w:sz w:val="28"/>
                          </w:rPr>
                          <w:t>Pay</w:t>
                        </w:r>
                        <w:r>
                          <w:rPr>
                            <w:b/>
                            <w:color w:val="164194"/>
                            <w:spacing w:val="-8"/>
                            <w:sz w:val="28"/>
                          </w:rPr>
                          <w:t> </w:t>
                        </w:r>
                        <w:r>
                          <w:rPr>
                            <w:b/>
                            <w:color w:val="164194"/>
                            <w:sz w:val="28"/>
                          </w:rPr>
                          <w:t>Transparency</w:t>
                        </w:r>
                        <w:r>
                          <w:rPr>
                            <w:b/>
                            <w:color w:val="164194"/>
                            <w:spacing w:val="-8"/>
                            <w:sz w:val="28"/>
                          </w:rPr>
                          <w:t> </w:t>
                        </w:r>
                        <w:r>
                          <w:rPr>
                            <w:b/>
                            <w:color w:val="164194"/>
                            <w:sz w:val="28"/>
                          </w:rPr>
                          <w:t>Directive</w:t>
                        </w:r>
                        <w:r>
                          <w:rPr>
                            <w:b/>
                            <w:color w:val="164194"/>
                            <w:spacing w:val="-9"/>
                            <w:sz w:val="28"/>
                          </w:rPr>
                          <w:t> </w:t>
                        </w:r>
                        <w:r>
                          <w:rPr>
                            <w:b/>
                            <w:color w:val="164194"/>
                            <w:sz w:val="28"/>
                          </w:rPr>
                          <w:t>should</w:t>
                        </w:r>
                        <w:r>
                          <w:rPr>
                            <w:b/>
                            <w:color w:val="164194"/>
                            <w:spacing w:val="-8"/>
                            <w:sz w:val="28"/>
                          </w:rPr>
                          <w:t> </w:t>
                        </w:r>
                        <w:r>
                          <w:rPr>
                            <w:b/>
                            <w:color w:val="164194"/>
                            <w:sz w:val="28"/>
                          </w:rPr>
                          <w:t>be</w:t>
                        </w:r>
                        <w:r>
                          <w:rPr>
                            <w:b/>
                            <w:color w:val="164194"/>
                            <w:spacing w:val="-9"/>
                            <w:sz w:val="28"/>
                          </w:rPr>
                          <w:t> </w:t>
                        </w:r>
                        <w:r>
                          <w:rPr>
                            <w:b/>
                            <w:color w:val="164194"/>
                            <w:sz w:val="28"/>
                          </w:rPr>
                          <w:t>transposed</w:t>
                        </w:r>
                        <w:r>
                          <w:rPr>
                            <w:b/>
                            <w:color w:val="164194"/>
                            <w:spacing w:val="-8"/>
                            <w:sz w:val="28"/>
                          </w:rPr>
                          <w:t> </w:t>
                        </w:r>
                        <w:r>
                          <w:rPr>
                            <w:b/>
                            <w:color w:val="164194"/>
                            <w:sz w:val="28"/>
                          </w:rPr>
                          <w:t>into Northern Ireland law, further to obligations in the WF.</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3168">
                <wp:simplePos x="0" y="0"/>
                <wp:positionH relativeFrom="page">
                  <wp:posOffset>899994</wp:posOffset>
                </wp:positionH>
                <wp:positionV relativeFrom="paragraph">
                  <wp:posOffset>2076268</wp:posOffset>
                </wp:positionV>
                <wp:extent cx="6012180" cy="1442085"/>
                <wp:effectExtent l="0" t="0" r="0" b="0"/>
                <wp:wrapTopAndBottom/>
                <wp:docPr id="190" name="Group 190"/>
                <wp:cNvGraphicFramePr>
                  <a:graphicFrameLocks/>
                </wp:cNvGraphicFramePr>
                <a:graphic>
                  <a:graphicData uri="http://schemas.microsoft.com/office/word/2010/wordprocessingGroup">
                    <wpg:wgp>
                      <wpg:cNvPr id="190" name="Group 190"/>
                      <wpg:cNvGrpSpPr/>
                      <wpg:grpSpPr>
                        <a:xfrm>
                          <a:off x="0" y="0"/>
                          <a:ext cx="6012180" cy="1442085"/>
                          <a:chExt cx="6012180" cy="1442085"/>
                        </a:xfrm>
                      </wpg:grpSpPr>
                      <wps:wsp>
                        <wps:cNvPr id="191" name="Graphic 191"/>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92" name="Textbox 192"/>
                        <wps:cNvSpPr txBox="1"/>
                        <wps:spPr>
                          <a:xfrm>
                            <a:off x="0" y="0"/>
                            <a:ext cx="6012180" cy="1442085"/>
                          </a:xfrm>
                          <a:prstGeom prst="rect">
                            <a:avLst/>
                          </a:prstGeom>
                        </wps:spPr>
                        <wps:txbx>
                          <w:txbxContent>
                            <w:p>
                              <w:pPr>
                                <w:spacing w:line="232" w:lineRule="auto" w:before="121"/>
                                <w:ind w:left="340" w:right="373" w:firstLine="0"/>
                                <w:jc w:val="left"/>
                                <w:rPr>
                                  <w:b/>
                                  <w:sz w:val="28"/>
                                </w:rPr>
                              </w:pPr>
                              <w:r>
                                <w:rPr>
                                  <w:b/>
                                  <w:color w:val="164194"/>
                                  <w:sz w:val="28"/>
                                </w:rPr>
                                <w:t>We recommend that the UK Government, NI Executive and relevant departments bring into force the necessary measures to comply with any requirements set by the Equality Bodies Directives on gender equality in the workplace and on equal treatment in respect of racial or ethnic origin, religion</w:t>
                              </w:r>
                              <w:r>
                                <w:rPr>
                                  <w:b/>
                                  <w:color w:val="164194"/>
                                  <w:spacing w:val="-9"/>
                                  <w:sz w:val="28"/>
                                </w:rPr>
                                <w:t> </w:t>
                              </w:r>
                              <w:r>
                                <w:rPr>
                                  <w:b/>
                                  <w:color w:val="164194"/>
                                  <w:sz w:val="28"/>
                                </w:rPr>
                                <w:t>or</w:t>
                              </w:r>
                              <w:r>
                                <w:rPr>
                                  <w:b/>
                                  <w:color w:val="164194"/>
                                  <w:spacing w:val="-10"/>
                                  <w:sz w:val="28"/>
                                </w:rPr>
                                <w:t> </w:t>
                              </w:r>
                              <w:r>
                                <w:rPr>
                                  <w:b/>
                                  <w:color w:val="164194"/>
                                  <w:sz w:val="28"/>
                                </w:rPr>
                                <w:t>belief,</w:t>
                              </w:r>
                              <w:r>
                                <w:rPr>
                                  <w:b/>
                                  <w:color w:val="164194"/>
                                  <w:spacing w:val="-9"/>
                                  <w:sz w:val="28"/>
                                </w:rPr>
                                <w:t> </w:t>
                              </w:r>
                              <w:r>
                                <w:rPr>
                                  <w:b/>
                                  <w:color w:val="164194"/>
                                  <w:sz w:val="28"/>
                                </w:rPr>
                                <w:t>disability,</w:t>
                              </w:r>
                              <w:r>
                                <w:rPr>
                                  <w:b/>
                                  <w:color w:val="164194"/>
                                  <w:spacing w:val="-9"/>
                                  <w:sz w:val="28"/>
                                </w:rPr>
                                <w:t> </w:t>
                              </w:r>
                              <w:r>
                                <w:rPr>
                                  <w:b/>
                                  <w:color w:val="164194"/>
                                  <w:sz w:val="28"/>
                                </w:rPr>
                                <w:t>age</w:t>
                              </w:r>
                              <w:r>
                                <w:rPr>
                                  <w:b/>
                                  <w:color w:val="164194"/>
                                  <w:spacing w:val="-10"/>
                                  <w:sz w:val="28"/>
                                </w:rPr>
                                <w:t> </w:t>
                              </w:r>
                              <w:r>
                                <w:rPr>
                                  <w:b/>
                                  <w:color w:val="164194"/>
                                  <w:sz w:val="28"/>
                                </w:rPr>
                                <w:t>or</w:t>
                              </w:r>
                              <w:r>
                                <w:rPr>
                                  <w:b/>
                                  <w:color w:val="164194"/>
                                  <w:spacing w:val="-10"/>
                                  <w:sz w:val="28"/>
                                </w:rPr>
                                <w:t> </w:t>
                              </w:r>
                              <w:r>
                                <w:rPr>
                                  <w:b/>
                                  <w:color w:val="164194"/>
                                  <w:sz w:val="28"/>
                                </w:rPr>
                                <w:t>sexual</w:t>
                              </w:r>
                              <w:r>
                                <w:rPr>
                                  <w:b/>
                                  <w:color w:val="164194"/>
                                  <w:spacing w:val="-9"/>
                                  <w:sz w:val="28"/>
                                </w:rPr>
                                <w:t> </w:t>
                              </w:r>
                              <w:r>
                                <w:rPr>
                                  <w:b/>
                                  <w:color w:val="164194"/>
                                  <w:sz w:val="28"/>
                                </w:rPr>
                                <w:t>orientation</w:t>
                              </w:r>
                              <w:r>
                                <w:rPr>
                                  <w:b/>
                                  <w:color w:val="164194"/>
                                  <w:spacing w:val="-9"/>
                                  <w:sz w:val="28"/>
                                </w:rPr>
                                <w:t> </w:t>
                              </w:r>
                              <w:r>
                                <w:rPr>
                                  <w:b/>
                                  <w:color w:val="164194"/>
                                  <w:sz w:val="28"/>
                                </w:rPr>
                                <w:t>and</w:t>
                              </w:r>
                              <w:r>
                                <w:rPr>
                                  <w:b/>
                                  <w:color w:val="164194"/>
                                  <w:spacing w:val="-9"/>
                                  <w:sz w:val="28"/>
                                </w:rPr>
                                <w:t> </w:t>
                              </w:r>
                              <w:r>
                                <w:rPr>
                                  <w:b/>
                                  <w:color w:val="164194"/>
                                  <w:sz w:val="28"/>
                                </w:rPr>
                                <w:t>gender</w:t>
                              </w:r>
                              <w:r>
                                <w:rPr>
                                  <w:b/>
                                  <w:color w:val="164194"/>
                                  <w:spacing w:val="-10"/>
                                  <w:sz w:val="28"/>
                                </w:rPr>
                                <w:t> </w:t>
                              </w:r>
                              <w:r>
                                <w:rPr>
                                  <w:b/>
                                  <w:color w:val="164194"/>
                                  <w:sz w:val="28"/>
                                </w:rPr>
                                <w:t>equality</w:t>
                              </w:r>
                              <w:r>
                                <w:rPr>
                                  <w:b/>
                                  <w:color w:val="164194"/>
                                  <w:spacing w:val="-9"/>
                                  <w:sz w:val="28"/>
                                </w:rPr>
                                <w:t> </w:t>
                              </w:r>
                              <w:r>
                                <w:rPr>
                                  <w:b/>
                                  <w:color w:val="164194"/>
                                  <w:sz w:val="28"/>
                                </w:rPr>
                                <w:t>in social security and goods and services further to obligations in the WF.</w:t>
                              </w:r>
                            </w:p>
                          </w:txbxContent>
                        </wps:txbx>
                        <wps:bodyPr wrap="square" lIns="0" tIns="0" rIns="0" bIns="0" rtlCol="0">
                          <a:noAutofit/>
                        </wps:bodyPr>
                      </wps:wsp>
                    </wpg:wgp>
                  </a:graphicData>
                </a:graphic>
              </wp:anchor>
            </w:drawing>
          </mc:Choice>
          <mc:Fallback>
            <w:pict>
              <v:group style="position:absolute;margin-left:70.8657pt;margin-top:163.485733pt;width:473.4pt;height:113.55pt;mso-position-horizontal-relative:page;mso-position-vertical-relative:paragraph;z-index:-15693312;mso-wrap-distance-left:0;mso-wrap-distance-right:0" id="docshapegroup137" coordorigin="1417,3270" coordsize="9468,2271">
                <v:shape style="position:absolute;left:1417;top:3269;width:9468;height:2271" id="docshape138" coordorigin="1417,3270" coordsize="9468,2271" path="m10658,3270l1644,3270,1572,3281,1510,3313,1461,3363,1429,3425,1417,3496,1417,5313,1429,5385,1461,5447,1510,5496,1572,5528,1644,5540,10658,5540,10730,5528,10792,5496,10841,5447,10873,5385,10885,5313,10885,3496,10873,3425,10841,3363,10792,3313,10730,3281,10658,3270xe" filled="true" fillcolor="#e9f3fc" stroked="false">
                  <v:path arrowok="t"/>
                  <v:fill type="solid"/>
                </v:shape>
                <v:shape style="position:absolute;left:1417;top:3269;width:9468;height:2271" type="#_x0000_t202" id="docshape139" filled="false" stroked="false">
                  <v:textbox inset="0,0,0,0">
                    <w:txbxContent>
                      <w:p>
                        <w:pPr>
                          <w:spacing w:line="232" w:lineRule="auto" w:before="121"/>
                          <w:ind w:left="340" w:right="373" w:firstLine="0"/>
                          <w:jc w:val="left"/>
                          <w:rPr>
                            <w:b/>
                            <w:sz w:val="28"/>
                          </w:rPr>
                        </w:pPr>
                        <w:r>
                          <w:rPr>
                            <w:b/>
                            <w:color w:val="164194"/>
                            <w:sz w:val="28"/>
                          </w:rPr>
                          <w:t>We recommend that the UK Government, NI Executive and relevant departments bring into force the necessary measures to comply with any requirements set by the Equality Bodies Directives on gender equality in the workplace and on equal treatment in respect of racial or ethnic origin, religion</w:t>
                        </w:r>
                        <w:r>
                          <w:rPr>
                            <w:b/>
                            <w:color w:val="164194"/>
                            <w:spacing w:val="-9"/>
                            <w:sz w:val="28"/>
                          </w:rPr>
                          <w:t> </w:t>
                        </w:r>
                        <w:r>
                          <w:rPr>
                            <w:b/>
                            <w:color w:val="164194"/>
                            <w:sz w:val="28"/>
                          </w:rPr>
                          <w:t>or</w:t>
                        </w:r>
                        <w:r>
                          <w:rPr>
                            <w:b/>
                            <w:color w:val="164194"/>
                            <w:spacing w:val="-10"/>
                            <w:sz w:val="28"/>
                          </w:rPr>
                          <w:t> </w:t>
                        </w:r>
                        <w:r>
                          <w:rPr>
                            <w:b/>
                            <w:color w:val="164194"/>
                            <w:sz w:val="28"/>
                          </w:rPr>
                          <w:t>belief,</w:t>
                        </w:r>
                        <w:r>
                          <w:rPr>
                            <w:b/>
                            <w:color w:val="164194"/>
                            <w:spacing w:val="-9"/>
                            <w:sz w:val="28"/>
                          </w:rPr>
                          <w:t> </w:t>
                        </w:r>
                        <w:r>
                          <w:rPr>
                            <w:b/>
                            <w:color w:val="164194"/>
                            <w:sz w:val="28"/>
                          </w:rPr>
                          <w:t>disability,</w:t>
                        </w:r>
                        <w:r>
                          <w:rPr>
                            <w:b/>
                            <w:color w:val="164194"/>
                            <w:spacing w:val="-9"/>
                            <w:sz w:val="28"/>
                          </w:rPr>
                          <w:t> </w:t>
                        </w:r>
                        <w:r>
                          <w:rPr>
                            <w:b/>
                            <w:color w:val="164194"/>
                            <w:sz w:val="28"/>
                          </w:rPr>
                          <w:t>age</w:t>
                        </w:r>
                        <w:r>
                          <w:rPr>
                            <w:b/>
                            <w:color w:val="164194"/>
                            <w:spacing w:val="-10"/>
                            <w:sz w:val="28"/>
                          </w:rPr>
                          <w:t> </w:t>
                        </w:r>
                        <w:r>
                          <w:rPr>
                            <w:b/>
                            <w:color w:val="164194"/>
                            <w:sz w:val="28"/>
                          </w:rPr>
                          <w:t>or</w:t>
                        </w:r>
                        <w:r>
                          <w:rPr>
                            <w:b/>
                            <w:color w:val="164194"/>
                            <w:spacing w:val="-10"/>
                            <w:sz w:val="28"/>
                          </w:rPr>
                          <w:t> </w:t>
                        </w:r>
                        <w:r>
                          <w:rPr>
                            <w:b/>
                            <w:color w:val="164194"/>
                            <w:sz w:val="28"/>
                          </w:rPr>
                          <w:t>sexual</w:t>
                        </w:r>
                        <w:r>
                          <w:rPr>
                            <w:b/>
                            <w:color w:val="164194"/>
                            <w:spacing w:val="-9"/>
                            <w:sz w:val="28"/>
                          </w:rPr>
                          <w:t> </w:t>
                        </w:r>
                        <w:r>
                          <w:rPr>
                            <w:b/>
                            <w:color w:val="164194"/>
                            <w:sz w:val="28"/>
                          </w:rPr>
                          <w:t>orientation</w:t>
                        </w:r>
                        <w:r>
                          <w:rPr>
                            <w:b/>
                            <w:color w:val="164194"/>
                            <w:spacing w:val="-9"/>
                            <w:sz w:val="28"/>
                          </w:rPr>
                          <w:t> </w:t>
                        </w:r>
                        <w:r>
                          <w:rPr>
                            <w:b/>
                            <w:color w:val="164194"/>
                            <w:sz w:val="28"/>
                          </w:rPr>
                          <w:t>and</w:t>
                        </w:r>
                        <w:r>
                          <w:rPr>
                            <w:b/>
                            <w:color w:val="164194"/>
                            <w:spacing w:val="-9"/>
                            <w:sz w:val="28"/>
                          </w:rPr>
                          <w:t> </w:t>
                        </w:r>
                        <w:r>
                          <w:rPr>
                            <w:b/>
                            <w:color w:val="164194"/>
                            <w:sz w:val="28"/>
                          </w:rPr>
                          <w:t>gender</w:t>
                        </w:r>
                        <w:r>
                          <w:rPr>
                            <w:b/>
                            <w:color w:val="164194"/>
                            <w:spacing w:val="-10"/>
                            <w:sz w:val="28"/>
                          </w:rPr>
                          <w:t> </w:t>
                        </w:r>
                        <w:r>
                          <w:rPr>
                            <w:b/>
                            <w:color w:val="164194"/>
                            <w:sz w:val="28"/>
                          </w:rPr>
                          <w:t>equality</w:t>
                        </w:r>
                        <w:r>
                          <w:rPr>
                            <w:b/>
                            <w:color w:val="164194"/>
                            <w:spacing w:val="-9"/>
                            <w:sz w:val="28"/>
                          </w:rPr>
                          <w:t> </w:t>
                        </w:r>
                        <w:r>
                          <w:rPr>
                            <w:b/>
                            <w:color w:val="164194"/>
                            <w:sz w:val="28"/>
                          </w:rPr>
                          <w:t>in social security and goods and services further to obligations in the WF.</w:t>
                        </w:r>
                      </w:p>
                    </w:txbxContent>
                  </v:textbox>
                  <w10:wrap type="none"/>
                </v:shape>
                <w10:wrap type="topAndBottom"/>
              </v:group>
            </w:pict>
          </mc:Fallback>
        </mc:AlternateContent>
      </w:r>
    </w:p>
    <w:p>
      <w:pPr>
        <w:pStyle w:val="BodyText"/>
        <w:rPr>
          <w:sz w:val="16"/>
        </w:rPr>
      </w:pPr>
    </w:p>
    <w:p>
      <w:pPr>
        <w:pStyle w:val="BodyText"/>
        <w:rPr>
          <w:sz w:val="16"/>
        </w:rPr>
      </w:pPr>
    </w:p>
    <w:p>
      <w:pPr>
        <w:pStyle w:val="BodyText"/>
        <w:spacing w:line="232" w:lineRule="auto" w:before="228"/>
        <w:ind w:left="1117" w:right="738"/>
      </w:pPr>
      <w:r>
        <w:rPr/>
        <w:t>There have also been other significant measures in relation to equality and rights which are closely related to the Annex 1 directives. These concern, notably; work- life balance; gender balance among directors of listed companies; violence against women and domestic violence; and adequate minimum wages. We consider that these</w:t>
      </w:r>
      <w:r>
        <w:rPr>
          <w:spacing w:val="-4"/>
        </w:rPr>
        <w:t> </w:t>
      </w:r>
      <w:r>
        <w:rPr/>
        <w:t>measures</w:t>
      </w:r>
      <w:r>
        <w:rPr>
          <w:spacing w:val="-5"/>
        </w:rPr>
        <w:t> </w:t>
      </w:r>
      <w:r>
        <w:rPr/>
        <w:t>fall</w:t>
      </w:r>
      <w:r>
        <w:rPr>
          <w:spacing w:val="-5"/>
        </w:rPr>
        <w:t> </w:t>
      </w:r>
      <w:r>
        <w:rPr/>
        <w:t>within</w:t>
      </w:r>
      <w:r>
        <w:rPr>
          <w:spacing w:val="-5"/>
        </w:rPr>
        <w:t> </w:t>
      </w:r>
      <w:r>
        <w:rPr/>
        <w:t>the</w:t>
      </w:r>
      <w:r>
        <w:rPr>
          <w:spacing w:val="-4"/>
        </w:rPr>
        <w:t> </w:t>
      </w:r>
      <w:r>
        <w:rPr/>
        <w:t>scope</w:t>
      </w:r>
      <w:r>
        <w:rPr>
          <w:spacing w:val="-4"/>
        </w:rPr>
        <w:t> </w:t>
      </w:r>
      <w:r>
        <w:rPr/>
        <w:t>of</w:t>
      </w:r>
      <w:r>
        <w:rPr>
          <w:spacing w:val="-5"/>
        </w:rPr>
        <w:t> </w:t>
      </w:r>
      <w:r>
        <w:rPr/>
        <w:t>Article</w:t>
      </w:r>
      <w:r>
        <w:rPr>
          <w:spacing w:val="-4"/>
        </w:rPr>
        <w:t> </w:t>
      </w:r>
      <w:r>
        <w:rPr/>
        <w:t>2</w:t>
      </w:r>
      <w:r>
        <w:rPr>
          <w:spacing w:val="-4"/>
        </w:rPr>
        <w:t> </w:t>
      </w:r>
      <w:r>
        <w:rPr/>
        <w:t>WF</w:t>
      </w:r>
      <w:r>
        <w:rPr>
          <w:spacing w:val="-5"/>
        </w:rPr>
        <w:t> </w:t>
      </w:r>
      <w:r>
        <w:rPr/>
        <w:t>and</w:t>
      </w:r>
      <w:r>
        <w:rPr>
          <w:spacing w:val="-5"/>
        </w:rPr>
        <w:t> </w:t>
      </w:r>
      <w:r>
        <w:rPr/>
        <w:t>the</w:t>
      </w:r>
      <w:r>
        <w:rPr>
          <w:spacing w:val="-4"/>
        </w:rPr>
        <w:t> </w:t>
      </w:r>
      <w:r>
        <w:rPr/>
        <w:t>Rights,</w:t>
      </w:r>
      <w:r>
        <w:rPr>
          <w:spacing w:val="-4"/>
        </w:rPr>
        <w:t> </w:t>
      </w:r>
      <w:r>
        <w:rPr/>
        <w:t>Safeguards</w:t>
      </w:r>
      <w:r>
        <w:rPr>
          <w:spacing w:val="-5"/>
        </w:rPr>
        <w:t> </w:t>
      </w:r>
      <w:r>
        <w:rPr/>
        <w:t>and Equality of Opportunity section of the 1998 Agreement and raise (potential) issues of</w:t>
      </w:r>
      <w:r>
        <w:rPr>
          <w:spacing w:val="-6"/>
        </w:rPr>
        <w:t> </w:t>
      </w:r>
      <w:r>
        <w:rPr/>
        <w:t>divergence.</w:t>
      </w:r>
      <w:r>
        <w:rPr>
          <w:spacing w:val="-6"/>
        </w:rPr>
        <w:t> </w:t>
      </w:r>
      <w:r>
        <w:rPr/>
        <w:t>We</w:t>
      </w:r>
      <w:r>
        <w:rPr>
          <w:spacing w:val="-5"/>
        </w:rPr>
        <w:t> </w:t>
      </w:r>
      <w:r>
        <w:rPr/>
        <w:t>recommend</w:t>
      </w:r>
      <w:r>
        <w:rPr>
          <w:spacing w:val="-6"/>
        </w:rPr>
        <w:t> </w:t>
      </w:r>
      <w:r>
        <w:rPr/>
        <w:t>voluntary</w:t>
      </w:r>
      <w:r>
        <w:rPr>
          <w:spacing w:val="-5"/>
        </w:rPr>
        <w:t> </w:t>
      </w:r>
      <w:r>
        <w:rPr/>
        <w:t>alignment</w:t>
      </w:r>
      <w:r>
        <w:rPr>
          <w:spacing w:val="-5"/>
        </w:rPr>
        <w:t> </w:t>
      </w:r>
      <w:r>
        <w:rPr/>
        <w:t>and</w:t>
      </w:r>
      <w:r>
        <w:rPr>
          <w:spacing w:val="-6"/>
        </w:rPr>
        <w:t> </w:t>
      </w:r>
      <w:r>
        <w:rPr/>
        <w:t>further</w:t>
      </w:r>
      <w:r>
        <w:rPr>
          <w:spacing w:val="-5"/>
        </w:rPr>
        <w:t> </w:t>
      </w:r>
      <w:r>
        <w:rPr/>
        <w:t>consideration</w:t>
      </w:r>
      <w:r>
        <w:rPr>
          <w:spacing w:val="-6"/>
        </w:rPr>
        <w:t> </w:t>
      </w:r>
      <w:r>
        <w:rPr/>
        <w:t>as</w:t>
      </w:r>
      <w:r>
        <w:rPr>
          <w:spacing w:val="-6"/>
        </w:rPr>
        <w:t> </w:t>
      </w:r>
      <w:r>
        <w:rPr/>
        <w:t>to whether the directives amend or replace an Annex 1 directive:</w:t>
      </w:r>
    </w:p>
    <w:p>
      <w:pPr>
        <w:spacing w:after="0" w:line="232" w:lineRule="auto"/>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768064">
                <wp:simplePos x="0" y="0"/>
                <wp:positionH relativeFrom="page">
                  <wp:posOffset>0</wp:posOffset>
                </wp:positionH>
                <wp:positionV relativeFrom="page">
                  <wp:posOffset>0</wp:posOffset>
                </wp:positionV>
                <wp:extent cx="7560309" cy="2204085"/>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7560309" cy="2204085"/>
                          <a:chExt cx="7560309" cy="2204085"/>
                        </a:xfrm>
                      </wpg:grpSpPr>
                      <wps:wsp>
                        <wps:cNvPr id="194" name="Graphic 194"/>
                        <wps:cNvSpPr/>
                        <wps:spPr>
                          <a:xfrm>
                            <a:off x="647994" y="972002"/>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95" name="Graphic 19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96" name="Graphic 19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197" name="Textbox 197"/>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12</w:t>
                              </w:r>
                            </w:p>
                          </w:txbxContent>
                        </wps:txbx>
                        <wps:bodyPr wrap="square" lIns="0" tIns="0" rIns="0" bIns="0" rtlCol="0">
                          <a:noAutofit/>
                        </wps:bodyPr>
                      </wps:wsp>
                      <wps:wsp>
                        <wps:cNvPr id="198" name="Textbox 198"/>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199" name="Textbox 199"/>
                        <wps:cNvSpPr txBox="1"/>
                        <wps:spPr>
                          <a:xfrm>
                            <a:off x="864000" y="1080003"/>
                            <a:ext cx="5735955" cy="101600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the</w:t>
                              </w:r>
                              <w:r>
                                <w:rPr>
                                  <w:b/>
                                  <w:color w:val="164194"/>
                                  <w:spacing w:val="-8"/>
                                  <w:sz w:val="28"/>
                                </w:rPr>
                                <w:t> </w:t>
                              </w:r>
                              <w:r>
                                <w:rPr>
                                  <w:b/>
                                  <w:color w:val="164194"/>
                                  <w:sz w:val="28"/>
                                </w:rPr>
                                <w:t>Department</w:t>
                              </w:r>
                              <w:r>
                                <w:rPr>
                                  <w:b/>
                                  <w:color w:val="164194"/>
                                  <w:spacing w:val="-8"/>
                                  <w:sz w:val="28"/>
                                </w:rPr>
                                <w:t> </w:t>
                              </w:r>
                              <w:r>
                                <w:rPr>
                                  <w:b/>
                                  <w:color w:val="164194"/>
                                  <w:sz w:val="28"/>
                                </w:rPr>
                                <w:t>for</w:t>
                              </w:r>
                              <w:r>
                                <w:rPr>
                                  <w:b/>
                                  <w:color w:val="164194"/>
                                  <w:spacing w:val="-9"/>
                                  <w:sz w:val="28"/>
                                </w:rPr>
                                <w:t> </w:t>
                              </w:r>
                              <w:r>
                                <w:rPr>
                                  <w:b/>
                                  <w:color w:val="164194"/>
                                  <w:sz w:val="28"/>
                                </w:rPr>
                                <w:t>the</w:t>
                              </w:r>
                              <w:r>
                                <w:rPr>
                                  <w:b/>
                                  <w:color w:val="164194"/>
                                  <w:spacing w:val="-8"/>
                                  <w:sz w:val="28"/>
                                </w:rPr>
                                <w:t> </w:t>
                              </w:r>
                              <w:r>
                                <w:rPr>
                                  <w:b/>
                                  <w:color w:val="164194"/>
                                  <w:sz w:val="28"/>
                                </w:rPr>
                                <w:t>Economy,</w:t>
                              </w:r>
                              <w:r>
                                <w:rPr>
                                  <w:b/>
                                  <w:color w:val="164194"/>
                                  <w:spacing w:val="-8"/>
                                  <w:sz w:val="28"/>
                                </w:rPr>
                                <w:t> </w:t>
                              </w:r>
                              <w:r>
                                <w:rPr>
                                  <w:b/>
                                  <w:color w:val="164194"/>
                                  <w:sz w:val="28"/>
                                </w:rPr>
                                <w:t>as</w:t>
                              </w:r>
                              <w:r>
                                <w:rPr>
                                  <w:b/>
                                  <w:color w:val="164194"/>
                                  <w:spacing w:val="-8"/>
                                  <w:sz w:val="28"/>
                                </w:rPr>
                                <w:t> </w:t>
                              </w:r>
                              <w:r>
                                <w:rPr>
                                  <w:b/>
                                  <w:color w:val="164194"/>
                                  <w:sz w:val="28"/>
                                </w:rPr>
                                <w:t>a</w:t>
                              </w:r>
                              <w:r>
                                <w:rPr>
                                  <w:b/>
                                  <w:color w:val="164194"/>
                                  <w:spacing w:val="-8"/>
                                  <w:sz w:val="28"/>
                                </w:rPr>
                                <w:t> </w:t>
                              </w:r>
                              <w:r>
                                <w:rPr>
                                  <w:b/>
                                  <w:color w:val="164194"/>
                                  <w:sz w:val="28"/>
                                </w:rPr>
                                <w:t>matter</w:t>
                              </w:r>
                              <w:r>
                                <w:rPr>
                                  <w:b/>
                                  <w:color w:val="164194"/>
                                  <w:spacing w:val="-8"/>
                                  <w:sz w:val="28"/>
                                </w:rPr>
                                <w:t> </w:t>
                              </w:r>
                              <w:r>
                                <w:rPr>
                                  <w:b/>
                                  <w:color w:val="164194"/>
                                  <w:spacing w:val="-5"/>
                                  <w:sz w:val="28"/>
                                </w:rPr>
                                <w:t>of</w:t>
                              </w:r>
                            </w:p>
                            <w:p>
                              <w:pPr>
                                <w:spacing w:line="232" w:lineRule="auto" w:before="0"/>
                                <w:ind w:left="0" w:right="18" w:firstLine="0"/>
                                <w:jc w:val="left"/>
                                <w:rPr>
                                  <w:b/>
                                  <w:sz w:val="28"/>
                                </w:rPr>
                              </w:pPr>
                              <w:r>
                                <w:rPr>
                                  <w:b/>
                                  <w:color w:val="164194"/>
                                  <w:sz w:val="28"/>
                                </w:rPr>
                                <w:t>voluntary alignment, introduce legislation mirroring the provisions of the Work-Life Balance Directive where these strengthen rights and reflect international</w:t>
                              </w:r>
                              <w:r>
                                <w:rPr>
                                  <w:b/>
                                  <w:color w:val="164194"/>
                                  <w:spacing w:val="-8"/>
                                  <w:sz w:val="28"/>
                                </w:rPr>
                                <w:t> </w:t>
                              </w:r>
                              <w:r>
                                <w:rPr>
                                  <w:b/>
                                  <w:color w:val="164194"/>
                                  <w:sz w:val="28"/>
                                </w:rPr>
                                <w:t>human</w:t>
                              </w:r>
                              <w:r>
                                <w:rPr>
                                  <w:b/>
                                  <w:color w:val="164194"/>
                                  <w:spacing w:val="-8"/>
                                  <w:sz w:val="28"/>
                                </w:rPr>
                                <w:t> </w:t>
                              </w:r>
                              <w:r>
                                <w:rPr>
                                  <w:b/>
                                  <w:color w:val="164194"/>
                                  <w:sz w:val="28"/>
                                </w:rPr>
                                <w:t>rights</w:t>
                              </w:r>
                              <w:r>
                                <w:rPr>
                                  <w:b/>
                                  <w:color w:val="164194"/>
                                  <w:spacing w:val="-8"/>
                                  <w:sz w:val="28"/>
                                </w:rPr>
                                <w:t> </w:t>
                              </w:r>
                              <w:r>
                                <w:rPr>
                                  <w:b/>
                                  <w:color w:val="164194"/>
                                  <w:sz w:val="28"/>
                                </w:rPr>
                                <w:t>standards</w:t>
                              </w:r>
                              <w:r>
                                <w:rPr>
                                  <w:b/>
                                  <w:color w:val="164194"/>
                                  <w:spacing w:val="-8"/>
                                  <w:sz w:val="28"/>
                                </w:rPr>
                                <w:t> </w:t>
                              </w:r>
                              <w:r>
                                <w:rPr>
                                  <w:b/>
                                  <w:color w:val="164194"/>
                                  <w:sz w:val="28"/>
                                </w:rPr>
                                <w:t>and</w:t>
                              </w:r>
                              <w:r>
                                <w:rPr>
                                  <w:b/>
                                  <w:color w:val="164194"/>
                                  <w:spacing w:val="-8"/>
                                  <w:sz w:val="28"/>
                                </w:rPr>
                                <w:t> </w:t>
                              </w:r>
                              <w:r>
                                <w:rPr>
                                  <w:b/>
                                  <w:color w:val="164194"/>
                                  <w:sz w:val="28"/>
                                </w:rPr>
                                <w:t>best</w:t>
                              </w:r>
                              <w:r>
                                <w:rPr>
                                  <w:b/>
                                  <w:color w:val="164194"/>
                                  <w:spacing w:val="-8"/>
                                  <w:sz w:val="28"/>
                                </w:rPr>
                                <w:t> </w:t>
                              </w:r>
                              <w:r>
                                <w:rPr>
                                  <w:b/>
                                  <w:color w:val="164194"/>
                                  <w:sz w:val="28"/>
                                </w:rPr>
                                <w:t>practice</w:t>
                              </w:r>
                              <w:r>
                                <w:rPr>
                                  <w:b/>
                                  <w:color w:val="164194"/>
                                  <w:spacing w:val="-8"/>
                                  <w:sz w:val="28"/>
                                </w:rPr>
                                <w:t> </w:t>
                              </w:r>
                              <w:r>
                                <w:rPr>
                                  <w:b/>
                                  <w:color w:val="164194"/>
                                  <w:sz w:val="28"/>
                                </w:rPr>
                                <w:t>insofar</w:t>
                              </w:r>
                              <w:r>
                                <w:rPr>
                                  <w:b/>
                                  <w:color w:val="164194"/>
                                  <w:spacing w:val="-8"/>
                                  <w:sz w:val="28"/>
                                </w:rPr>
                                <w:t> </w:t>
                              </w:r>
                              <w:r>
                                <w:rPr>
                                  <w:b/>
                                  <w:color w:val="164194"/>
                                  <w:sz w:val="28"/>
                                </w:rPr>
                                <w:t>as</w:t>
                              </w:r>
                              <w:r>
                                <w:rPr>
                                  <w:b/>
                                  <w:color w:val="164194"/>
                                  <w:spacing w:val="-8"/>
                                  <w:sz w:val="28"/>
                                </w:rPr>
                                <w:t> </w:t>
                              </w:r>
                              <w:r>
                                <w:rPr>
                                  <w:b/>
                                  <w:color w:val="164194"/>
                                  <w:sz w:val="28"/>
                                </w:rPr>
                                <w:t>they</w:t>
                              </w:r>
                              <w:r>
                                <w:rPr>
                                  <w:b/>
                                  <w:color w:val="164194"/>
                                  <w:spacing w:val="-8"/>
                                  <w:sz w:val="28"/>
                                </w:rPr>
                                <w:t> </w:t>
                              </w:r>
                              <w:r>
                                <w:rPr>
                                  <w:b/>
                                  <w:color w:val="164194"/>
                                  <w:sz w:val="28"/>
                                </w:rPr>
                                <w:t>are</w:t>
                              </w:r>
                              <w:r>
                                <w:rPr>
                                  <w:b/>
                                  <w:color w:val="164194"/>
                                  <w:spacing w:val="-8"/>
                                  <w:sz w:val="28"/>
                                </w:rPr>
                                <w:t> </w:t>
                              </w:r>
                              <w:r>
                                <w:rPr>
                                  <w:b/>
                                  <w:color w:val="164194"/>
                                  <w:sz w:val="28"/>
                                </w:rPr>
                                <w:t>not part of Northern Ireland law.</w:t>
                              </w:r>
                            </w:p>
                          </w:txbxContent>
                        </wps:txbx>
                        <wps:bodyPr wrap="square" lIns="0" tIns="0" rIns="0" bIns="0" rtlCol="0">
                          <a:noAutofit/>
                        </wps:bodyPr>
                      </wps:wsp>
                    </wpg:wgp>
                  </a:graphicData>
                </a:graphic>
              </wp:anchor>
            </w:drawing>
          </mc:Choice>
          <mc:Fallback>
            <w:pict>
              <v:group style="position:absolute;margin-left:.0pt;margin-top:-.00002pt;width:595.3pt;height:173.55pt;mso-position-horizontal-relative:page;mso-position-vertical-relative:page;z-index:15768064" id="docshapegroup140" coordorigin="0,0" coordsize="11906,3471">
                <v:shape style="position:absolute;left:1020;top:1530;width:9468;height:1941" id="docshape141" coordorigin="1020,1531" coordsize="9468,1941" path="m10261,1531l1247,1531,1176,1542,1113,1574,1064,1624,1032,1686,1020,1757,1020,3244,1032,3316,1064,3378,1113,3427,1176,3459,1247,3471,10261,3471,10333,3459,10395,3427,10444,3378,10477,3316,10488,3244,10488,1757,10477,1686,10444,1624,10395,1574,10333,1542,10261,1531xe" filled="true" fillcolor="#e9f3fc" stroked="false">
                  <v:path arrowok="t"/>
                  <v:fill type="solid"/>
                </v:shape>
                <v:shape style="position:absolute;left:0;top:0;width:11906;height:1819" id="docshape142"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143" filled="false" stroked="false">
                  <v:textbox inset="0,0,0,0">
                    <w:txbxContent>
                      <w:p>
                        <w:pPr>
                          <w:spacing w:line="280" w:lineRule="exact" w:before="0"/>
                          <w:ind w:left="0" w:right="0" w:firstLine="0"/>
                          <w:jc w:val="left"/>
                          <w:rPr>
                            <w:b/>
                            <w:sz w:val="28"/>
                          </w:rPr>
                        </w:pPr>
                        <w:r>
                          <w:rPr>
                            <w:b/>
                            <w:color w:val="FFFFFF"/>
                            <w:spacing w:val="-5"/>
                            <w:sz w:val="28"/>
                          </w:rPr>
                          <w:t>12</w:t>
                        </w:r>
                      </w:p>
                    </w:txbxContent>
                  </v:textbox>
                  <w10:wrap type="none"/>
                </v:shape>
                <v:shape style="position:absolute;left:1303;top:645;width:6182;height:240" type="#_x0000_t202" id="docshape144"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360;top:1700;width:9033;height:1600" type="#_x0000_t202" id="docshape145" filled="false" stroked="false">
                  <v:textbox inset="0,0,0,0">
                    <w:txbxContent>
                      <w:p>
                        <w:pPr>
                          <w:spacing w:line="279" w:lineRule="exact" w:before="0"/>
                          <w:ind w:left="0" w:right="0"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the</w:t>
                        </w:r>
                        <w:r>
                          <w:rPr>
                            <w:b/>
                            <w:color w:val="164194"/>
                            <w:spacing w:val="-8"/>
                            <w:sz w:val="28"/>
                          </w:rPr>
                          <w:t> </w:t>
                        </w:r>
                        <w:r>
                          <w:rPr>
                            <w:b/>
                            <w:color w:val="164194"/>
                            <w:sz w:val="28"/>
                          </w:rPr>
                          <w:t>Department</w:t>
                        </w:r>
                        <w:r>
                          <w:rPr>
                            <w:b/>
                            <w:color w:val="164194"/>
                            <w:spacing w:val="-8"/>
                            <w:sz w:val="28"/>
                          </w:rPr>
                          <w:t> </w:t>
                        </w:r>
                        <w:r>
                          <w:rPr>
                            <w:b/>
                            <w:color w:val="164194"/>
                            <w:sz w:val="28"/>
                          </w:rPr>
                          <w:t>for</w:t>
                        </w:r>
                        <w:r>
                          <w:rPr>
                            <w:b/>
                            <w:color w:val="164194"/>
                            <w:spacing w:val="-9"/>
                            <w:sz w:val="28"/>
                          </w:rPr>
                          <w:t> </w:t>
                        </w:r>
                        <w:r>
                          <w:rPr>
                            <w:b/>
                            <w:color w:val="164194"/>
                            <w:sz w:val="28"/>
                          </w:rPr>
                          <w:t>the</w:t>
                        </w:r>
                        <w:r>
                          <w:rPr>
                            <w:b/>
                            <w:color w:val="164194"/>
                            <w:spacing w:val="-8"/>
                            <w:sz w:val="28"/>
                          </w:rPr>
                          <w:t> </w:t>
                        </w:r>
                        <w:r>
                          <w:rPr>
                            <w:b/>
                            <w:color w:val="164194"/>
                            <w:sz w:val="28"/>
                          </w:rPr>
                          <w:t>Economy,</w:t>
                        </w:r>
                        <w:r>
                          <w:rPr>
                            <w:b/>
                            <w:color w:val="164194"/>
                            <w:spacing w:val="-8"/>
                            <w:sz w:val="28"/>
                          </w:rPr>
                          <w:t> </w:t>
                        </w:r>
                        <w:r>
                          <w:rPr>
                            <w:b/>
                            <w:color w:val="164194"/>
                            <w:sz w:val="28"/>
                          </w:rPr>
                          <w:t>as</w:t>
                        </w:r>
                        <w:r>
                          <w:rPr>
                            <w:b/>
                            <w:color w:val="164194"/>
                            <w:spacing w:val="-8"/>
                            <w:sz w:val="28"/>
                          </w:rPr>
                          <w:t> </w:t>
                        </w:r>
                        <w:r>
                          <w:rPr>
                            <w:b/>
                            <w:color w:val="164194"/>
                            <w:sz w:val="28"/>
                          </w:rPr>
                          <w:t>a</w:t>
                        </w:r>
                        <w:r>
                          <w:rPr>
                            <w:b/>
                            <w:color w:val="164194"/>
                            <w:spacing w:val="-8"/>
                            <w:sz w:val="28"/>
                          </w:rPr>
                          <w:t> </w:t>
                        </w:r>
                        <w:r>
                          <w:rPr>
                            <w:b/>
                            <w:color w:val="164194"/>
                            <w:sz w:val="28"/>
                          </w:rPr>
                          <w:t>matter</w:t>
                        </w:r>
                        <w:r>
                          <w:rPr>
                            <w:b/>
                            <w:color w:val="164194"/>
                            <w:spacing w:val="-8"/>
                            <w:sz w:val="28"/>
                          </w:rPr>
                          <w:t> </w:t>
                        </w:r>
                        <w:r>
                          <w:rPr>
                            <w:b/>
                            <w:color w:val="164194"/>
                            <w:spacing w:val="-5"/>
                            <w:sz w:val="28"/>
                          </w:rPr>
                          <w:t>of</w:t>
                        </w:r>
                      </w:p>
                      <w:p>
                        <w:pPr>
                          <w:spacing w:line="232" w:lineRule="auto" w:before="0"/>
                          <w:ind w:left="0" w:right="18" w:firstLine="0"/>
                          <w:jc w:val="left"/>
                          <w:rPr>
                            <w:b/>
                            <w:sz w:val="28"/>
                          </w:rPr>
                        </w:pPr>
                        <w:r>
                          <w:rPr>
                            <w:b/>
                            <w:color w:val="164194"/>
                            <w:sz w:val="28"/>
                          </w:rPr>
                          <w:t>voluntary alignment, introduce legislation mirroring the provisions of the Work-Life Balance Directive where these strengthen rights and reflect international</w:t>
                        </w:r>
                        <w:r>
                          <w:rPr>
                            <w:b/>
                            <w:color w:val="164194"/>
                            <w:spacing w:val="-8"/>
                            <w:sz w:val="28"/>
                          </w:rPr>
                          <w:t> </w:t>
                        </w:r>
                        <w:r>
                          <w:rPr>
                            <w:b/>
                            <w:color w:val="164194"/>
                            <w:sz w:val="28"/>
                          </w:rPr>
                          <w:t>human</w:t>
                        </w:r>
                        <w:r>
                          <w:rPr>
                            <w:b/>
                            <w:color w:val="164194"/>
                            <w:spacing w:val="-8"/>
                            <w:sz w:val="28"/>
                          </w:rPr>
                          <w:t> </w:t>
                        </w:r>
                        <w:r>
                          <w:rPr>
                            <w:b/>
                            <w:color w:val="164194"/>
                            <w:sz w:val="28"/>
                          </w:rPr>
                          <w:t>rights</w:t>
                        </w:r>
                        <w:r>
                          <w:rPr>
                            <w:b/>
                            <w:color w:val="164194"/>
                            <w:spacing w:val="-8"/>
                            <w:sz w:val="28"/>
                          </w:rPr>
                          <w:t> </w:t>
                        </w:r>
                        <w:r>
                          <w:rPr>
                            <w:b/>
                            <w:color w:val="164194"/>
                            <w:sz w:val="28"/>
                          </w:rPr>
                          <w:t>standards</w:t>
                        </w:r>
                        <w:r>
                          <w:rPr>
                            <w:b/>
                            <w:color w:val="164194"/>
                            <w:spacing w:val="-8"/>
                            <w:sz w:val="28"/>
                          </w:rPr>
                          <w:t> </w:t>
                        </w:r>
                        <w:r>
                          <w:rPr>
                            <w:b/>
                            <w:color w:val="164194"/>
                            <w:sz w:val="28"/>
                          </w:rPr>
                          <w:t>and</w:t>
                        </w:r>
                        <w:r>
                          <w:rPr>
                            <w:b/>
                            <w:color w:val="164194"/>
                            <w:spacing w:val="-8"/>
                            <w:sz w:val="28"/>
                          </w:rPr>
                          <w:t> </w:t>
                        </w:r>
                        <w:r>
                          <w:rPr>
                            <w:b/>
                            <w:color w:val="164194"/>
                            <w:sz w:val="28"/>
                          </w:rPr>
                          <w:t>best</w:t>
                        </w:r>
                        <w:r>
                          <w:rPr>
                            <w:b/>
                            <w:color w:val="164194"/>
                            <w:spacing w:val="-8"/>
                            <w:sz w:val="28"/>
                          </w:rPr>
                          <w:t> </w:t>
                        </w:r>
                        <w:r>
                          <w:rPr>
                            <w:b/>
                            <w:color w:val="164194"/>
                            <w:sz w:val="28"/>
                          </w:rPr>
                          <w:t>practice</w:t>
                        </w:r>
                        <w:r>
                          <w:rPr>
                            <w:b/>
                            <w:color w:val="164194"/>
                            <w:spacing w:val="-8"/>
                            <w:sz w:val="28"/>
                          </w:rPr>
                          <w:t> </w:t>
                        </w:r>
                        <w:r>
                          <w:rPr>
                            <w:b/>
                            <w:color w:val="164194"/>
                            <w:sz w:val="28"/>
                          </w:rPr>
                          <w:t>insofar</w:t>
                        </w:r>
                        <w:r>
                          <w:rPr>
                            <w:b/>
                            <w:color w:val="164194"/>
                            <w:spacing w:val="-8"/>
                            <w:sz w:val="28"/>
                          </w:rPr>
                          <w:t> </w:t>
                        </w:r>
                        <w:r>
                          <w:rPr>
                            <w:b/>
                            <w:color w:val="164194"/>
                            <w:sz w:val="28"/>
                          </w:rPr>
                          <w:t>as</w:t>
                        </w:r>
                        <w:r>
                          <w:rPr>
                            <w:b/>
                            <w:color w:val="164194"/>
                            <w:spacing w:val="-8"/>
                            <w:sz w:val="28"/>
                          </w:rPr>
                          <w:t> </w:t>
                        </w:r>
                        <w:r>
                          <w:rPr>
                            <w:b/>
                            <w:color w:val="164194"/>
                            <w:sz w:val="28"/>
                          </w:rPr>
                          <w:t>they</w:t>
                        </w:r>
                        <w:r>
                          <w:rPr>
                            <w:b/>
                            <w:color w:val="164194"/>
                            <w:spacing w:val="-8"/>
                            <w:sz w:val="28"/>
                          </w:rPr>
                          <w:t> </w:t>
                        </w:r>
                        <w:r>
                          <w:rPr>
                            <w:b/>
                            <w:color w:val="164194"/>
                            <w:sz w:val="28"/>
                          </w:rPr>
                          <w:t>are</w:t>
                        </w:r>
                        <w:r>
                          <w:rPr>
                            <w:b/>
                            <w:color w:val="164194"/>
                            <w:spacing w:val="-8"/>
                            <w:sz w:val="28"/>
                          </w:rPr>
                          <w:t> </w:t>
                        </w:r>
                        <w:r>
                          <w:rPr>
                            <w:b/>
                            <w:color w:val="164194"/>
                            <w:sz w:val="28"/>
                          </w:rPr>
                          <w:t>not part of Northern Ireland law.</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ind w:left="720"/>
        <w:rPr>
          <w:sz w:val="20"/>
        </w:rPr>
      </w:pPr>
      <w:r>
        <w:rPr>
          <w:sz w:val="20"/>
        </w:rPr>
        <mc:AlternateContent>
          <mc:Choice Requires="wps">
            <w:drawing>
              <wp:inline distT="0" distB="0" distL="0" distR="0">
                <wp:extent cx="6012180" cy="1022985"/>
                <wp:effectExtent l="0" t="0" r="0" b="5715"/>
                <wp:docPr id="200" name="Group 200"/>
                <wp:cNvGraphicFramePr>
                  <a:graphicFrameLocks/>
                </wp:cNvGraphicFramePr>
                <a:graphic>
                  <a:graphicData uri="http://schemas.microsoft.com/office/word/2010/wordprocessingGroup">
                    <wpg:wgp>
                      <wpg:cNvPr id="200" name="Group 200"/>
                      <wpg:cNvGrpSpPr/>
                      <wpg:grpSpPr>
                        <a:xfrm>
                          <a:off x="0" y="0"/>
                          <a:ext cx="6012180" cy="1022985"/>
                          <a:chExt cx="6012180" cy="1022985"/>
                        </a:xfrm>
                      </wpg:grpSpPr>
                      <wps:wsp>
                        <wps:cNvPr id="201" name="Graphic 201"/>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02" name="Textbox 202"/>
                        <wps:cNvSpPr txBox="1"/>
                        <wps:spPr>
                          <a:xfrm>
                            <a:off x="0" y="0"/>
                            <a:ext cx="6012180" cy="1022985"/>
                          </a:xfrm>
                          <a:prstGeom prst="rect">
                            <a:avLst/>
                          </a:prstGeom>
                        </wps:spPr>
                        <wps:txbx>
                          <w:txbxContent>
                            <w:p>
                              <w:pPr>
                                <w:spacing w:line="232" w:lineRule="auto" w:before="121"/>
                                <w:ind w:left="340" w:right="106" w:firstLine="0"/>
                                <w:jc w:val="left"/>
                                <w:rPr>
                                  <w:b/>
                                  <w:sz w:val="28"/>
                                </w:rPr>
                              </w:pPr>
                              <w:r>
                                <w:rPr>
                                  <w:b/>
                                  <w:color w:val="164194"/>
                                  <w:sz w:val="28"/>
                                </w:rPr>
                                <w:t>We recommend that the Department for the Economy should ensure that NI law</w:t>
                              </w:r>
                              <w:r>
                                <w:rPr>
                                  <w:b/>
                                  <w:color w:val="164194"/>
                                  <w:spacing w:val="-6"/>
                                  <w:sz w:val="28"/>
                                </w:rPr>
                                <w:t> </w:t>
                              </w:r>
                              <w:r>
                                <w:rPr>
                                  <w:b/>
                                  <w:color w:val="164194"/>
                                  <w:sz w:val="28"/>
                                </w:rPr>
                                <w:t>voluntarily</w:t>
                              </w:r>
                              <w:r>
                                <w:rPr>
                                  <w:b/>
                                  <w:color w:val="164194"/>
                                  <w:spacing w:val="-6"/>
                                  <w:sz w:val="28"/>
                                </w:rPr>
                                <w:t> </w:t>
                              </w:r>
                              <w:r>
                                <w:rPr>
                                  <w:b/>
                                  <w:color w:val="164194"/>
                                  <w:sz w:val="28"/>
                                </w:rPr>
                                <w:t>aligns</w:t>
                              </w:r>
                              <w:r>
                                <w:rPr>
                                  <w:b/>
                                  <w:color w:val="164194"/>
                                  <w:spacing w:val="-6"/>
                                  <w:sz w:val="28"/>
                                </w:rPr>
                                <w:t> </w:t>
                              </w:r>
                              <w:r>
                                <w:rPr>
                                  <w:b/>
                                  <w:color w:val="164194"/>
                                  <w:sz w:val="28"/>
                                </w:rPr>
                                <w:t>with</w:t>
                              </w:r>
                              <w:r>
                                <w:rPr>
                                  <w:b/>
                                  <w:color w:val="164194"/>
                                  <w:spacing w:val="-6"/>
                                  <w:sz w:val="28"/>
                                </w:rPr>
                                <w:t> </w:t>
                              </w:r>
                              <w:r>
                                <w:rPr>
                                  <w:b/>
                                  <w:color w:val="164194"/>
                                  <w:sz w:val="28"/>
                                </w:rPr>
                                <w:t>the</w:t>
                              </w:r>
                              <w:r>
                                <w:rPr>
                                  <w:b/>
                                  <w:color w:val="164194"/>
                                  <w:spacing w:val="-6"/>
                                  <w:sz w:val="28"/>
                                </w:rPr>
                                <w:t> </w:t>
                              </w:r>
                              <w:r>
                                <w:rPr>
                                  <w:b/>
                                  <w:color w:val="164194"/>
                                  <w:sz w:val="28"/>
                                </w:rPr>
                                <w:t>requirements</w:t>
                              </w:r>
                              <w:r>
                                <w:rPr>
                                  <w:b/>
                                  <w:color w:val="164194"/>
                                  <w:spacing w:val="-5"/>
                                  <w:sz w:val="28"/>
                                </w:rPr>
                                <w:t> </w:t>
                              </w:r>
                              <w:r>
                                <w:rPr>
                                  <w:b/>
                                  <w:color w:val="164194"/>
                                  <w:sz w:val="28"/>
                                </w:rPr>
                                <w:t>of</w:t>
                              </w:r>
                              <w:r>
                                <w:rPr>
                                  <w:b/>
                                  <w:color w:val="164194"/>
                                  <w:spacing w:val="-6"/>
                                  <w:sz w:val="28"/>
                                </w:rPr>
                                <w:t> </w:t>
                              </w:r>
                              <w:r>
                                <w:rPr>
                                  <w:b/>
                                  <w:color w:val="164194"/>
                                  <w:sz w:val="28"/>
                                </w:rPr>
                                <w:t>the</w:t>
                              </w:r>
                              <w:r>
                                <w:rPr>
                                  <w:b/>
                                  <w:color w:val="164194"/>
                                  <w:spacing w:val="-6"/>
                                  <w:sz w:val="28"/>
                                </w:rPr>
                                <w:t> </w:t>
                              </w:r>
                              <w:r>
                                <w:rPr>
                                  <w:b/>
                                  <w:color w:val="164194"/>
                                  <w:sz w:val="28"/>
                                </w:rPr>
                                <w:t>Gender</w:t>
                              </w:r>
                              <w:r>
                                <w:rPr>
                                  <w:b/>
                                  <w:color w:val="164194"/>
                                  <w:spacing w:val="-5"/>
                                  <w:sz w:val="28"/>
                                </w:rPr>
                                <w:t> </w:t>
                              </w:r>
                              <w:r>
                                <w:rPr>
                                  <w:b/>
                                  <w:color w:val="164194"/>
                                  <w:sz w:val="28"/>
                                </w:rPr>
                                <w:t>Balance</w:t>
                              </w:r>
                              <w:r>
                                <w:rPr>
                                  <w:b/>
                                  <w:color w:val="164194"/>
                                  <w:spacing w:val="-6"/>
                                  <w:sz w:val="28"/>
                                </w:rPr>
                                <w:t> </w:t>
                              </w:r>
                              <w:r>
                                <w:rPr>
                                  <w:b/>
                                  <w:color w:val="164194"/>
                                  <w:sz w:val="28"/>
                                </w:rPr>
                                <w:t>on</w:t>
                              </w:r>
                              <w:r>
                                <w:rPr>
                                  <w:b/>
                                  <w:color w:val="164194"/>
                                  <w:spacing w:val="-6"/>
                                  <w:sz w:val="28"/>
                                </w:rPr>
                                <w:t> </w:t>
                              </w:r>
                              <w:r>
                                <w:rPr>
                                  <w:b/>
                                  <w:color w:val="164194"/>
                                  <w:sz w:val="28"/>
                                </w:rPr>
                                <w:t>Boards Directive where these strengthen rights and reflect international human rights standards and best practice.</w:t>
                              </w:r>
                            </w:p>
                          </w:txbxContent>
                        </wps:txbx>
                        <wps:bodyPr wrap="square" lIns="0" tIns="0" rIns="0" bIns="0" rtlCol="0">
                          <a:noAutofit/>
                        </wps:bodyPr>
                      </wps:wsp>
                    </wpg:wgp>
                  </a:graphicData>
                </a:graphic>
              </wp:inline>
            </w:drawing>
          </mc:Choice>
          <mc:Fallback>
            <w:pict>
              <v:group style="width:473.4pt;height:80.55pt;mso-position-horizontal-relative:char;mso-position-vertical-relative:line" id="docshapegroup146" coordorigin="0,0" coordsize="9468,1611">
                <v:shape style="position:absolute;left:0;top:0;width:9468;height:1611" id="docshape147" coordorigin="0,0" coordsize="9468,1611" path="m9241,0l227,0,155,12,93,44,44,93,12,155,0,227,0,1383,12,1455,44,1517,93,1566,155,1599,227,1610,9241,1610,9313,1599,9375,1566,9424,1517,9456,1455,9468,1383,9468,227,9456,155,9424,93,9375,44,9313,12,9241,0xe" filled="true" fillcolor="#e9f3fc" stroked="false">
                  <v:path arrowok="t"/>
                  <v:fill type="solid"/>
                </v:shape>
                <v:shape style="position:absolute;left:0;top:0;width:9468;height:1611" type="#_x0000_t202" id="docshape148" filled="false" stroked="false">
                  <v:textbox inset="0,0,0,0">
                    <w:txbxContent>
                      <w:p>
                        <w:pPr>
                          <w:spacing w:line="232" w:lineRule="auto" w:before="121"/>
                          <w:ind w:left="340" w:right="106" w:firstLine="0"/>
                          <w:jc w:val="left"/>
                          <w:rPr>
                            <w:b/>
                            <w:sz w:val="28"/>
                          </w:rPr>
                        </w:pPr>
                        <w:r>
                          <w:rPr>
                            <w:b/>
                            <w:color w:val="164194"/>
                            <w:sz w:val="28"/>
                          </w:rPr>
                          <w:t>We recommend that the Department for the Economy should ensure that NI law</w:t>
                        </w:r>
                        <w:r>
                          <w:rPr>
                            <w:b/>
                            <w:color w:val="164194"/>
                            <w:spacing w:val="-6"/>
                            <w:sz w:val="28"/>
                          </w:rPr>
                          <w:t> </w:t>
                        </w:r>
                        <w:r>
                          <w:rPr>
                            <w:b/>
                            <w:color w:val="164194"/>
                            <w:sz w:val="28"/>
                          </w:rPr>
                          <w:t>voluntarily</w:t>
                        </w:r>
                        <w:r>
                          <w:rPr>
                            <w:b/>
                            <w:color w:val="164194"/>
                            <w:spacing w:val="-6"/>
                            <w:sz w:val="28"/>
                          </w:rPr>
                          <w:t> </w:t>
                        </w:r>
                        <w:r>
                          <w:rPr>
                            <w:b/>
                            <w:color w:val="164194"/>
                            <w:sz w:val="28"/>
                          </w:rPr>
                          <w:t>aligns</w:t>
                        </w:r>
                        <w:r>
                          <w:rPr>
                            <w:b/>
                            <w:color w:val="164194"/>
                            <w:spacing w:val="-6"/>
                            <w:sz w:val="28"/>
                          </w:rPr>
                          <w:t> </w:t>
                        </w:r>
                        <w:r>
                          <w:rPr>
                            <w:b/>
                            <w:color w:val="164194"/>
                            <w:sz w:val="28"/>
                          </w:rPr>
                          <w:t>with</w:t>
                        </w:r>
                        <w:r>
                          <w:rPr>
                            <w:b/>
                            <w:color w:val="164194"/>
                            <w:spacing w:val="-6"/>
                            <w:sz w:val="28"/>
                          </w:rPr>
                          <w:t> </w:t>
                        </w:r>
                        <w:r>
                          <w:rPr>
                            <w:b/>
                            <w:color w:val="164194"/>
                            <w:sz w:val="28"/>
                          </w:rPr>
                          <w:t>the</w:t>
                        </w:r>
                        <w:r>
                          <w:rPr>
                            <w:b/>
                            <w:color w:val="164194"/>
                            <w:spacing w:val="-6"/>
                            <w:sz w:val="28"/>
                          </w:rPr>
                          <w:t> </w:t>
                        </w:r>
                        <w:r>
                          <w:rPr>
                            <w:b/>
                            <w:color w:val="164194"/>
                            <w:sz w:val="28"/>
                          </w:rPr>
                          <w:t>requirements</w:t>
                        </w:r>
                        <w:r>
                          <w:rPr>
                            <w:b/>
                            <w:color w:val="164194"/>
                            <w:spacing w:val="-5"/>
                            <w:sz w:val="28"/>
                          </w:rPr>
                          <w:t> </w:t>
                        </w:r>
                        <w:r>
                          <w:rPr>
                            <w:b/>
                            <w:color w:val="164194"/>
                            <w:sz w:val="28"/>
                          </w:rPr>
                          <w:t>of</w:t>
                        </w:r>
                        <w:r>
                          <w:rPr>
                            <w:b/>
                            <w:color w:val="164194"/>
                            <w:spacing w:val="-6"/>
                            <w:sz w:val="28"/>
                          </w:rPr>
                          <w:t> </w:t>
                        </w:r>
                        <w:r>
                          <w:rPr>
                            <w:b/>
                            <w:color w:val="164194"/>
                            <w:sz w:val="28"/>
                          </w:rPr>
                          <w:t>the</w:t>
                        </w:r>
                        <w:r>
                          <w:rPr>
                            <w:b/>
                            <w:color w:val="164194"/>
                            <w:spacing w:val="-6"/>
                            <w:sz w:val="28"/>
                          </w:rPr>
                          <w:t> </w:t>
                        </w:r>
                        <w:r>
                          <w:rPr>
                            <w:b/>
                            <w:color w:val="164194"/>
                            <w:sz w:val="28"/>
                          </w:rPr>
                          <w:t>Gender</w:t>
                        </w:r>
                        <w:r>
                          <w:rPr>
                            <w:b/>
                            <w:color w:val="164194"/>
                            <w:spacing w:val="-5"/>
                            <w:sz w:val="28"/>
                          </w:rPr>
                          <w:t> </w:t>
                        </w:r>
                        <w:r>
                          <w:rPr>
                            <w:b/>
                            <w:color w:val="164194"/>
                            <w:sz w:val="28"/>
                          </w:rPr>
                          <w:t>Balance</w:t>
                        </w:r>
                        <w:r>
                          <w:rPr>
                            <w:b/>
                            <w:color w:val="164194"/>
                            <w:spacing w:val="-6"/>
                            <w:sz w:val="28"/>
                          </w:rPr>
                          <w:t> </w:t>
                        </w:r>
                        <w:r>
                          <w:rPr>
                            <w:b/>
                            <w:color w:val="164194"/>
                            <w:sz w:val="28"/>
                          </w:rPr>
                          <w:t>on</w:t>
                        </w:r>
                        <w:r>
                          <w:rPr>
                            <w:b/>
                            <w:color w:val="164194"/>
                            <w:spacing w:val="-6"/>
                            <w:sz w:val="28"/>
                          </w:rPr>
                          <w:t> </w:t>
                        </w:r>
                        <w:r>
                          <w:rPr>
                            <w:b/>
                            <w:color w:val="164194"/>
                            <w:sz w:val="28"/>
                          </w:rPr>
                          <w:t>Boards Directive where these strengthen rights and reflect international human rights standards and best practice.</w:t>
                        </w:r>
                      </w:p>
                    </w:txbxContent>
                  </v:textbox>
                  <w10:wrap type="none"/>
                </v:shape>
              </v:group>
            </w:pict>
          </mc:Fallback>
        </mc:AlternateContent>
      </w:r>
      <w:r>
        <w:rPr>
          <w:sz w:val="20"/>
        </w:rPr>
      </w:r>
    </w:p>
    <w:p>
      <w:pPr>
        <w:pStyle w:val="BodyText"/>
        <w:spacing w:before="2"/>
        <w:rPr>
          <w:sz w:val="13"/>
        </w:rPr>
      </w:pPr>
      <w:r>
        <w:rPr/>
        <mc:AlternateContent>
          <mc:Choice Requires="wps">
            <w:drawing>
              <wp:anchor distT="0" distB="0" distL="0" distR="0" allowOverlap="1" layoutInCell="1" locked="0" behindDoc="1" simplePos="0" relativeHeight="487624704">
                <wp:simplePos x="0" y="0"/>
                <wp:positionH relativeFrom="page">
                  <wp:posOffset>647994</wp:posOffset>
                </wp:positionH>
                <wp:positionV relativeFrom="paragraph">
                  <wp:posOffset>117623</wp:posOffset>
                </wp:positionV>
                <wp:extent cx="6012180" cy="813435"/>
                <wp:effectExtent l="0" t="0" r="0" b="0"/>
                <wp:wrapTopAndBottom/>
                <wp:docPr id="203" name="Group 203"/>
                <wp:cNvGraphicFramePr>
                  <a:graphicFrameLocks/>
                </wp:cNvGraphicFramePr>
                <a:graphic>
                  <a:graphicData uri="http://schemas.microsoft.com/office/word/2010/wordprocessingGroup">
                    <wpg:wgp>
                      <wpg:cNvPr id="203" name="Group 203"/>
                      <wpg:cNvGrpSpPr/>
                      <wpg:grpSpPr>
                        <a:xfrm>
                          <a:off x="0" y="0"/>
                          <a:ext cx="6012180" cy="813435"/>
                          <a:chExt cx="6012180" cy="813435"/>
                        </a:xfrm>
                      </wpg:grpSpPr>
                      <wps:wsp>
                        <wps:cNvPr id="204" name="Graphic 204"/>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05" name="Textbox 205"/>
                        <wps:cNvSpPr txBox="1"/>
                        <wps:spPr>
                          <a:xfrm>
                            <a:off x="0" y="0"/>
                            <a:ext cx="6012180" cy="813435"/>
                          </a:xfrm>
                          <a:prstGeom prst="rect">
                            <a:avLst/>
                          </a:prstGeom>
                        </wps:spPr>
                        <wps:txbx>
                          <w:txbxContent>
                            <w:p>
                              <w:pPr>
                                <w:spacing w:line="232" w:lineRule="auto" w:before="121"/>
                                <w:ind w:left="340" w:right="373"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w:t>
                              </w:r>
                              <w:r>
                                <w:rPr>
                                  <w:b/>
                                  <w:color w:val="164194"/>
                                  <w:spacing w:val="-8"/>
                                  <w:sz w:val="28"/>
                                </w:rPr>
                                <w:t> </w:t>
                              </w:r>
                              <w:r>
                                <w:rPr>
                                  <w:b/>
                                  <w:color w:val="164194"/>
                                  <w:sz w:val="28"/>
                                </w:rPr>
                                <w:t>ECNI</w:t>
                              </w:r>
                              <w:r>
                                <w:rPr>
                                  <w:b/>
                                  <w:color w:val="164194"/>
                                  <w:spacing w:val="-7"/>
                                  <w:sz w:val="28"/>
                                </w:rPr>
                                <w:t> </w:t>
                              </w:r>
                              <w:r>
                                <w:rPr>
                                  <w:b/>
                                  <w:color w:val="164194"/>
                                  <w:sz w:val="28"/>
                                </w:rPr>
                                <w:t>and</w:t>
                              </w:r>
                              <w:r>
                                <w:rPr>
                                  <w:b/>
                                  <w:color w:val="164194"/>
                                  <w:spacing w:val="-7"/>
                                  <w:sz w:val="28"/>
                                </w:rPr>
                                <w:t> </w:t>
                              </w:r>
                              <w:r>
                                <w:rPr>
                                  <w:b/>
                                  <w:color w:val="164194"/>
                                  <w:sz w:val="28"/>
                                </w:rPr>
                                <w:t>NIHRC</w:t>
                              </w:r>
                              <w:r>
                                <w:rPr>
                                  <w:b/>
                                  <w:color w:val="164194"/>
                                  <w:spacing w:val="-8"/>
                                  <w:sz w:val="28"/>
                                </w:rPr>
                                <w:t> </w:t>
                              </w:r>
                              <w:r>
                                <w:rPr>
                                  <w:b/>
                                  <w:color w:val="164194"/>
                                  <w:sz w:val="28"/>
                                </w:rPr>
                                <w:t>conduct</w:t>
                              </w:r>
                              <w:r>
                                <w:rPr>
                                  <w:b/>
                                  <w:color w:val="164194"/>
                                  <w:spacing w:val="-7"/>
                                  <w:sz w:val="28"/>
                                </w:rPr>
                                <w:t> </w:t>
                              </w:r>
                              <w:r>
                                <w:rPr>
                                  <w:b/>
                                  <w:color w:val="164194"/>
                                  <w:sz w:val="28"/>
                                </w:rPr>
                                <w:t>an</w:t>
                              </w:r>
                              <w:r>
                                <w:rPr>
                                  <w:b/>
                                  <w:color w:val="164194"/>
                                  <w:spacing w:val="-7"/>
                                  <w:sz w:val="28"/>
                                </w:rPr>
                                <w:t> </w:t>
                              </w:r>
                              <w:r>
                                <w:rPr>
                                  <w:b/>
                                  <w:color w:val="164194"/>
                                  <w:sz w:val="28"/>
                                </w:rPr>
                                <w:t>analysis</w:t>
                              </w:r>
                              <w:r>
                                <w:rPr>
                                  <w:b/>
                                  <w:color w:val="164194"/>
                                  <w:spacing w:val="-7"/>
                                  <w:sz w:val="28"/>
                                </w:rPr>
                                <w:t> </w:t>
                              </w:r>
                              <w:r>
                                <w:rPr>
                                  <w:b/>
                                  <w:color w:val="164194"/>
                                  <w:sz w:val="28"/>
                                </w:rPr>
                                <w:t>to</w:t>
                              </w:r>
                              <w:r>
                                <w:rPr>
                                  <w:b/>
                                  <w:color w:val="164194"/>
                                  <w:spacing w:val="-7"/>
                                  <w:sz w:val="28"/>
                                </w:rPr>
                                <w:t> </w:t>
                              </w:r>
                              <w:r>
                                <w:rPr>
                                  <w:b/>
                                  <w:color w:val="164194"/>
                                  <w:sz w:val="28"/>
                                </w:rPr>
                                <w:t>determine if the Gender Balance on Boards Directive amends or replaces an Annex 1 </w:t>
                              </w:r>
                              <w:r>
                                <w:rPr>
                                  <w:b/>
                                  <w:color w:val="164194"/>
                                  <w:spacing w:val="-2"/>
                                  <w:sz w:val="28"/>
                                </w:rPr>
                                <w:t>directive.</w:t>
                              </w:r>
                            </w:p>
                          </w:txbxContent>
                        </wps:txbx>
                        <wps:bodyPr wrap="square" lIns="0" tIns="0" rIns="0" bIns="0" rtlCol="0">
                          <a:noAutofit/>
                        </wps:bodyPr>
                      </wps:wsp>
                    </wpg:wgp>
                  </a:graphicData>
                </a:graphic>
              </wp:anchor>
            </w:drawing>
          </mc:Choice>
          <mc:Fallback>
            <w:pict>
              <v:group style="position:absolute;margin-left:51.023201pt;margin-top:9.2617pt;width:473.4pt;height:64.05pt;mso-position-horizontal-relative:page;mso-position-vertical-relative:paragraph;z-index:-15691776;mso-wrap-distance-left:0;mso-wrap-distance-right:0" id="docshapegroup149" coordorigin="1020,185" coordsize="9468,1281">
                <v:shape style="position:absolute;left:1020;top:185;width:9468;height:1281" id="docshape150" coordorigin="1020,185" coordsize="9468,1281" path="m10261,185l1247,185,1176,197,1113,229,1064,278,1032,340,1020,412,1020,1239,1032,1310,1064,1373,1113,1422,1176,1454,1247,1465,10261,1465,10333,1454,10395,1422,10444,1373,10477,1310,10488,1239,10488,412,10477,340,10444,278,10395,229,10333,197,10261,185xe" filled="true" fillcolor="#e9f3fc" stroked="false">
                  <v:path arrowok="t"/>
                  <v:fill type="solid"/>
                </v:shape>
                <v:shape style="position:absolute;left:1020;top:185;width:9468;height:1281" type="#_x0000_t202" id="docshape151" filled="false" stroked="false">
                  <v:textbox inset="0,0,0,0">
                    <w:txbxContent>
                      <w:p>
                        <w:pPr>
                          <w:spacing w:line="232" w:lineRule="auto" w:before="121"/>
                          <w:ind w:left="340" w:right="373"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w:t>
                        </w:r>
                        <w:r>
                          <w:rPr>
                            <w:b/>
                            <w:color w:val="164194"/>
                            <w:spacing w:val="-8"/>
                            <w:sz w:val="28"/>
                          </w:rPr>
                          <w:t> </w:t>
                        </w:r>
                        <w:r>
                          <w:rPr>
                            <w:b/>
                            <w:color w:val="164194"/>
                            <w:sz w:val="28"/>
                          </w:rPr>
                          <w:t>ECNI</w:t>
                        </w:r>
                        <w:r>
                          <w:rPr>
                            <w:b/>
                            <w:color w:val="164194"/>
                            <w:spacing w:val="-7"/>
                            <w:sz w:val="28"/>
                          </w:rPr>
                          <w:t> </w:t>
                        </w:r>
                        <w:r>
                          <w:rPr>
                            <w:b/>
                            <w:color w:val="164194"/>
                            <w:sz w:val="28"/>
                          </w:rPr>
                          <w:t>and</w:t>
                        </w:r>
                        <w:r>
                          <w:rPr>
                            <w:b/>
                            <w:color w:val="164194"/>
                            <w:spacing w:val="-7"/>
                            <w:sz w:val="28"/>
                          </w:rPr>
                          <w:t> </w:t>
                        </w:r>
                        <w:r>
                          <w:rPr>
                            <w:b/>
                            <w:color w:val="164194"/>
                            <w:sz w:val="28"/>
                          </w:rPr>
                          <w:t>NIHRC</w:t>
                        </w:r>
                        <w:r>
                          <w:rPr>
                            <w:b/>
                            <w:color w:val="164194"/>
                            <w:spacing w:val="-8"/>
                            <w:sz w:val="28"/>
                          </w:rPr>
                          <w:t> </w:t>
                        </w:r>
                        <w:r>
                          <w:rPr>
                            <w:b/>
                            <w:color w:val="164194"/>
                            <w:sz w:val="28"/>
                          </w:rPr>
                          <w:t>conduct</w:t>
                        </w:r>
                        <w:r>
                          <w:rPr>
                            <w:b/>
                            <w:color w:val="164194"/>
                            <w:spacing w:val="-7"/>
                            <w:sz w:val="28"/>
                          </w:rPr>
                          <w:t> </w:t>
                        </w:r>
                        <w:r>
                          <w:rPr>
                            <w:b/>
                            <w:color w:val="164194"/>
                            <w:sz w:val="28"/>
                          </w:rPr>
                          <w:t>an</w:t>
                        </w:r>
                        <w:r>
                          <w:rPr>
                            <w:b/>
                            <w:color w:val="164194"/>
                            <w:spacing w:val="-7"/>
                            <w:sz w:val="28"/>
                          </w:rPr>
                          <w:t> </w:t>
                        </w:r>
                        <w:r>
                          <w:rPr>
                            <w:b/>
                            <w:color w:val="164194"/>
                            <w:sz w:val="28"/>
                          </w:rPr>
                          <w:t>analysis</w:t>
                        </w:r>
                        <w:r>
                          <w:rPr>
                            <w:b/>
                            <w:color w:val="164194"/>
                            <w:spacing w:val="-7"/>
                            <w:sz w:val="28"/>
                          </w:rPr>
                          <w:t> </w:t>
                        </w:r>
                        <w:r>
                          <w:rPr>
                            <w:b/>
                            <w:color w:val="164194"/>
                            <w:sz w:val="28"/>
                          </w:rPr>
                          <w:t>to</w:t>
                        </w:r>
                        <w:r>
                          <w:rPr>
                            <w:b/>
                            <w:color w:val="164194"/>
                            <w:spacing w:val="-7"/>
                            <w:sz w:val="28"/>
                          </w:rPr>
                          <w:t> </w:t>
                        </w:r>
                        <w:r>
                          <w:rPr>
                            <w:b/>
                            <w:color w:val="164194"/>
                            <w:sz w:val="28"/>
                          </w:rPr>
                          <w:t>determine if the Gender Balance on Boards Directive amends or replaces an Annex 1 </w:t>
                        </w:r>
                        <w:r>
                          <w:rPr>
                            <w:b/>
                            <w:color w:val="164194"/>
                            <w:spacing w:val="-2"/>
                            <w:sz w:val="28"/>
                          </w:rPr>
                          <w:t>directive.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5216">
                <wp:simplePos x="0" y="0"/>
                <wp:positionH relativeFrom="page">
                  <wp:posOffset>647994</wp:posOffset>
                </wp:positionH>
                <wp:positionV relativeFrom="paragraph">
                  <wp:posOffset>1070273</wp:posOffset>
                </wp:positionV>
                <wp:extent cx="6012180" cy="1022985"/>
                <wp:effectExtent l="0" t="0" r="0" b="0"/>
                <wp:wrapTopAndBottom/>
                <wp:docPr id="206" name="Group 206"/>
                <wp:cNvGraphicFramePr>
                  <a:graphicFrameLocks/>
                </wp:cNvGraphicFramePr>
                <a:graphic>
                  <a:graphicData uri="http://schemas.microsoft.com/office/word/2010/wordprocessingGroup">
                    <wpg:wgp>
                      <wpg:cNvPr id="206" name="Group 206"/>
                      <wpg:cNvGrpSpPr/>
                      <wpg:grpSpPr>
                        <a:xfrm>
                          <a:off x="0" y="0"/>
                          <a:ext cx="6012180" cy="1022985"/>
                          <a:chExt cx="6012180" cy="1022985"/>
                        </a:xfrm>
                      </wpg:grpSpPr>
                      <wps:wsp>
                        <wps:cNvPr id="207" name="Graphic 207"/>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08" name="Textbox 208"/>
                        <wps:cNvSpPr txBox="1"/>
                        <wps:spPr>
                          <a:xfrm>
                            <a:off x="0" y="0"/>
                            <a:ext cx="6012180" cy="102298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the</w:t>
                              </w:r>
                              <w:r>
                                <w:rPr>
                                  <w:b/>
                                  <w:color w:val="164194"/>
                                  <w:spacing w:val="-7"/>
                                  <w:sz w:val="28"/>
                                </w:rPr>
                                <w:t> </w:t>
                              </w:r>
                              <w:r>
                                <w:rPr>
                                  <w:b/>
                                  <w:color w:val="164194"/>
                                  <w:sz w:val="28"/>
                                </w:rPr>
                                <w:t>NI</w:t>
                              </w:r>
                              <w:r>
                                <w:rPr>
                                  <w:b/>
                                  <w:color w:val="164194"/>
                                  <w:spacing w:val="-6"/>
                                  <w:sz w:val="28"/>
                                </w:rPr>
                                <w:t> </w:t>
                              </w:r>
                              <w:r>
                                <w:rPr>
                                  <w:b/>
                                  <w:color w:val="164194"/>
                                  <w:sz w:val="28"/>
                                </w:rPr>
                                <w:t>Executive</w:t>
                              </w:r>
                              <w:r>
                                <w:rPr>
                                  <w:b/>
                                  <w:color w:val="164194"/>
                                  <w:spacing w:val="-7"/>
                                  <w:sz w:val="28"/>
                                </w:rPr>
                                <w:t> </w:t>
                              </w:r>
                              <w:r>
                                <w:rPr>
                                  <w:b/>
                                  <w:color w:val="164194"/>
                                  <w:sz w:val="28"/>
                                </w:rPr>
                                <w:t>and</w:t>
                              </w:r>
                              <w:r>
                                <w:rPr>
                                  <w:b/>
                                  <w:color w:val="164194"/>
                                  <w:spacing w:val="-6"/>
                                  <w:sz w:val="28"/>
                                </w:rPr>
                                <w:t> </w:t>
                              </w:r>
                              <w:r>
                                <w:rPr>
                                  <w:b/>
                                  <w:color w:val="164194"/>
                                  <w:sz w:val="28"/>
                                </w:rPr>
                                <w:t>relevant</w:t>
                              </w:r>
                              <w:r>
                                <w:rPr>
                                  <w:b/>
                                  <w:color w:val="164194"/>
                                  <w:spacing w:val="-6"/>
                                  <w:sz w:val="28"/>
                                </w:rPr>
                                <w:t> </w:t>
                              </w:r>
                              <w:r>
                                <w:rPr>
                                  <w:b/>
                                  <w:color w:val="164194"/>
                                  <w:sz w:val="28"/>
                                </w:rPr>
                                <w:t>departments</w:t>
                              </w:r>
                              <w:r>
                                <w:rPr>
                                  <w:b/>
                                  <w:color w:val="164194"/>
                                  <w:spacing w:val="-6"/>
                                  <w:sz w:val="28"/>
                                </w:rPr>
                                <w:t> </w:t>
                              </w:r>
                              <w:r>
                                <w:rPr>
                                  <w:b/>
                                  <w:color w:val="164194"/>
                                  <w:sz w:val="28"/>
                                </w:rPr>
                                <w:t>implement the standards in the Violence Against Women and Domestic Violence Directive</w:t>
                              </w:r>
                              <w:r>
                                <w:rPr>
                                  <w:b/>
                                  <w:color w:val="164194"/>
                                  <w:spacing w:val="-10"/>
                                  <w:sz w:val="28"/>
                                </w:rPr>
                                <w:t> </w:t>
                              </w:r>
                              <w:r>
                                <w:rPr>
                                  <w:b/>
                                  <w:color w:val="164194"/>
                                  <w:sz w:val="28"/>
                                </w:rPr>
                                <w:t>to</w:t>
                              </w:r>
                              <w:r>
                                <w:rPr>
                                  <w:b/>
                                  <w:color w:val="164194"/>
                                  <w:spacing w:val="-9"/>
                                  <w:sz w:val="28"/>
                                </w:rPr>
                                <w:t> </w:t>
                              </w:r>
                              <w:r>
                                <w:rPr>
                                  <w:b/>
                                  <w:color w:val="164194"/>
                                  <w:sz w:val="28"/>
                                </w:rPr>
                                <w:t>the</w:t>
                              </w:r>
                              <w:r>
                                <w:rPr>
                                  <w:b/>
                                  <w:color w:val="164194"/>
                                  <w:spacing w:val="-10"/>
                                  <w:sz w:val="28"/>
                                </w:rPr>
                                <w:t> </w:t>
                              </w:r>
                              <w:r>
                                <w:rPr>
                                  <w:b/>
                                  <w:color w:val="164194"/>
                                  <w:sz w:val="28"/>
                                </w:rPr>
                                <w:t>extent</w:t>
                              </w:r>
                              <w:r>
                                <w:rPr>
                                  <w:b/>
                                  <w:color w:val="164194"/>
                                  <w:spacing w:val="-9"/>
                                  <w:sz w:val="28"/>
                                </w:rPr>
                                <w:t> </w:t>
                              </w:r>
                              <w:r>
                                <w:rPr>
                                  <w:b/>
                                  <w:color w:val="164194"/>
                                  <w:sz w:val="28"/>
                                </w:rPr>
                                <w:t>that</w:t>
                              </w:r>
                              <w:r>
                                <w:rPr>
                                  <w:b/>
                                  <w:color w:val="164194"/>
                                  <w:spacing w:val="-9"/>
                                  <w:sz w:val="28"/>
                                </w:rPr>
                                <w:t> </w:t>
                              </w:r>
                              <w:r>
                                <w:rPr>
                                  <w:b/>
                                  <w:color w:val="164194"/>
                                  <w:sz w:val="28"/>
                                </w:rPr>
                                <w:t>these</w:t>
                              </w:r>
                              <w:r>
                                <w:rPr>
                                  <w:b/>
                                  <w:color w:val="164194"/>
                                  <w:spacing w:val="-10"/>
                                  <w:sz w:val="28"/>
                                </w:rPr>
                                <w:t> </w:t>
                              </w:r>
                              <w:r>
                                <w:rPr>
                                  <w:b/>
                                  <w:color w:val="164194"/>
                                  <w:sz w:val="28"/>
                                </w:rPr>
                                <w:t>strengthen</w:t>
                              </w:r>
                              <w:r>
                                <w:rPr>
                                  <w:b/>
                                  <w:color w:val="164194"/>
                                  <w:spacing w:val="-9"/>
                                  <w:sz w:val="28"/>
                                </w:rPr>
                                <w:t>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reflect</w:t>
                              </w:r>
                              <w:r>
                                <w:rPr>
                                  <w:b/>
                                  <w:color w:val="164194"/>
                                  <w:spacing w:val="-9"/>
                                  <w:sz w:val="28"/>
                                </w:rPr>
                                <w:t> </w:t>
                              </w:r>
                              <w:r>
                                <w:rPr>
                                  <w:b/>
                                  <w:color w:val="164194"/>
                                  <w:sz w:val="28"/>
                                </w:rPr>
                                <w:t>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84.273499pt;width:473.4pt;height:80.55pt;mso-position-horizontal-relative:page;mso-position-vertical-relative:paragraph;z-index:-15691264;mso-wrap-distance-left:0;mso-wrap-distance-right:0" id="docshapegroup152" coordorigin="1020,1685" coordsize="9468,1611">
                <v:shape style="position:absolute;left:1020;top:1685;width:9468;height:1611" id="docshape153" coordorigin="1020,1685" coordsize="9468,1611" path="m10261,1685l1247,1685,1176,1697,1113,1729,1064,1778,1032,1841,1020,1912,1020,3069,1032,3141,1064,3203,1113,3252,1176,3284,1247,3296,10261,3296,10333,3284,10395,3252,10444,3203,10477,3141,10488,3069,10488,1912,10477,1841,10444,1778,10395,1729,10333,1697,10261,1685xe" filled="true" fillcolor="#e9f3fc" stroked="false">
                  <v:path arrowok="t"/>
                  <v:fill type="solid"/>
                </v:shape>
                <v:shape style="position:absolute;left:1020;top:1685;width:9468;height:1611" type="#_x0000_t202" id="docshape154"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the</w:t>
                        </w:r>
                        <w:r>
                          <w:rPr>
                            <w:b/>
                            <w:color w:val="164194"/>
                            <w:spacing w:val="-7"/>
                            <w:sz w:val="28"/>
                          </w:rPr>
                          <w:t> </w:t>
                        </w:r>
                        <w:r>
                          <w:rPr>
                            <w:b/>
                            <w:color w:val="164194"/>
                            <w:sz w:val="28"/>
                          </w:rPr>
                          <w:t>NI</w:t>
                        </w:r>
                        <w:r>
                          <w:rPr>
                            <w:b/>
                            <w:color w:val="164194"/>
                            <w:spacing w:val="-6"/>
                            <w:sz w:val="28"/>
                          </w:rPr>
                          <w:t> </w:t>
                        </w:r>
                        <w:r>
                          <w:rPr>
                            <w:b/>
                            <w:color w:val="164194"/>
                            <w:sz w:val="28"/>
                          </w:rPr>
                          <w:t>Executive</w:t>
                        </w:r>
                        <w:r>
                          <w:rPr>
                            <w:b/>
                            <w:color w:val="164194"/>
                            <w:spacing w:val="-7"/>
                            <w:sz w:val="28"/>
                          </w:rPr>
                          <w:t> </w:t>
                        </w:r>
                        <w:r>
                          <w:rPr>
                            <w:b/>
                            <w:color w:val="164194"/>
                            <w:sz w:val="28"/>
                          </w:rPr>
                          <w:t>and</w:t>
                        </w:r>
                        <w:r>
                          <w:rPr>
                            <w:b/>
                            <w:color w:val="164194"/>
                            <w:spacing w:val="-6"/>
                            <w:sz w:val="28"/>
                          </w:rPr>
                          <w:t> </w:t>
                        </w:r>
                        <w:r>
                          <w:rPr>
                            <w:b/>
                            <w:color w:val="164194"/>
                            <w:sz w:val="28"/>
                          </w:rPr>
                          <w:t>relevant</w:t>
                        </w:r>
                        <w:r>
                          <w:rPr>
                            <w:b/>
                            <w:color w:val="164194"/>
                            <w:spacing w:val="-6"/>
                            <w:sz w:val="28"/>
                          </w:rPr>
                          <w:t> </w:t>
                        </w:r>
                        <w:r>
                          <w:rPr>
                            <w:b/>
                            <w:color w:val="164194"/>
                            <w:sz w:val="28"/>
                          </w:rPr>
                          <w:t>departments</w:t>
                        </w:r>
                        <w:r>
                          <w:rPr>
                            <w:b/>
                            <w:color w:val="164194"/>
                            <w:spacing w:val="-6"/>
                            <w:sz w:val="28"/>
                          </w:rPr>
                          <w:t> </w:t>
                        </w:r>
                        <w:r>
                          <w:rPr>
                            <w:b/>
                            <w:color w:val="164194"/>
                            <w:sz w:val="28"/>
                          </w:rPr>
                          <w:t>implement the standards in the Violence Against Women and Domestic Violence Directive</w:t>
                        </w:r>
                        <w:r>
                          <w:rPr>
                            <w:b/>
                            <w:color w:val="164194"/>
                            <w:spacing w:val="-10"/>
                            <w:sz w:val="28"/>
                          </w:rPr>
                          <w:t> </w:t>
                        </w:r>
                        <w:r>
                          <w:rPr>
                            <w:b/>
                            <w:color w:val="164194"/>
                            <w:sz w:val="28"/>
                          </w:rPr>
                          <w:t>to</w:t>
                        </w:r>
                        <w:r>
                          <w:rPr>
                            <w:b/>
                            <w:color w:val="164194"/>
                            <w:spacing w:val="-9"/>
                            <w:sz w:val="28"/>
                          </w:rPr>
                          <w:t> </w:t>
                        </w:r>
                        <w:r>
                          <w:rPr>
                            <w:b/>
                            <w:color w:val="164194"/>
                            <w:sz w:val="28"/>
                          </w:rPr>
                          <w:t>the</w:t>
                        </w:r>
                        <w:r>
                          <w:rPr>
                            <w:b/>
                            <w:color w:val="164194"/>
                            <w:spacing w:val="-10"/>
                            <w:sz w:val="28"/>
                          </w:rPr>
                          <w:t> </w:t>
                        </w:r>
                        <w:r>
                          <w:rPr>
                            <w:b/>
                            <w:color w:val="164194"/>
                            <w:sz w:val="28"/>
                          </w:rPr>
                          <w:t>extent</w:t>
                        </w:r>
                        <w:r>
                          <w:rPr>
                            <w:b/>
                            <w:color w:val="164194"/>
                            <w:spacing w:val="-9"/>
                            <w:sz w:val="28"/>
                          </w:rPr>
                          <w:t> </w:t>
                        </w:r>
                        <w:r>
                          <w:rPr>
                            <w:b/>
                            <w:color w:val="164194"/>
                            <w:sz w:val="28"/>
                          </w:rPr>
                          <w:t>that</w:t>
                        </w:r>
                        <w:r>
                          <w:rPr>
                            <w:b/>
                            <w:color w:val="164194"/>
                            <w:spacing w:val="-9"/>
                            <w:sz w:val="28"/>
                          </w:rPr>
                          <w:t> </w:t>
                        </w:r>
                        <w:r>
                          <w:rPr>
                            <w:b/>
                            <w:color w:val="164194"/>
                            <w:sz w:val="28"/>
                          </w:rPr>
                          <w:t>these</w:t>
                        </w:r>
                        <w:r>
                          <w:rPr>
                            <w:b/>
                            <w:color w:val="164194"/>
                            <w:spacing w:val="-10"/>
                            <w:sz w:val="28"/>
                          </w:rPr>
                          <w:t> </w:t>
                        </w:r>
                        <w:r>
                          <w:rPr>
                            <w:b/>
                            <w:color w:val="164194"/>
                            <w:sz w:val="28"/>
                          </w:rPr>
                          <w:t>strengthen</w:t>
                        </w:r>
                        <w:r>
                          <w:rPr>
                            <w:b/>
                            <w:color w:val="164194"/>
                            <w:spacing w:val="-9"/>
                            <w:sz w:val="28"/>
                          </w:rPr>
                          <w:t>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reflect</w:t>
                        </w:r>
                        <w:r>
                          <w:rPr>
                            <w:b/>
                            <w:color w:val="164194"/>
                            <w:spacing w:val="-9"/>
                            <w:sz w:val="28"/>
                          </w:rPr>
                          <w:t> </w:t>
                        </w:r>
                        <w:r>
                          <w:rPr>
                            <w:b/>
                            <w:color w:val="164194"/>
                            <w:sz w:val="28"/>
                          </w:rPr>
                          <w:t>international human rights standards and best practice.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5728">
                <wp:simplePos x="0" y="0"/>
                <wp:positionH relativeFrom="page">
                  <wp:posOffset>647994</wp:posOffset>
                </wp:positionH>
                <wp:positionV relativeFrom="paragraph">
                  <wp:posOffset>2232473</wp:posOffset>
                </wp:positionV>
                <wp:extent cx="6012180" cy="813435"/>
                <wp:effectExtent l="0" t="0" r="0" b="0"/>
                <wp:wrapTopAndBottom/>
                <wp:docPr id="209" name="Group 209"/>
                <wp:cNvGraphicFramePr>
                  <a:graphicFrameLocks/>
                </wp:cNvGraphicFramePr>
                <a:graphic>
                  <a:graphicData uri="http://schemas.microsoft.com/office/word/2010/wordprocessingGroup">
                    <wpg:wgp>
                      <wpg:cNvPr id="209" name="Group 209"/>
                      <wpg:cNvGrpSpPr/>
                      <wpg:grpSpPr>
                        <a:xfrm>
                          <a:off x="0" y="0"/>
                          <a:ext cx="6012180" cy="813435"/>
                          <a:chExt cx="6012180" cy="813435"/>
                        </a:xfrm>
                      </wpg:grpSpPr>
                      <wps:wsp>
                        <wps:cNvPr id="210" name="Graphic 210"/>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11" name="Textbox 211"/>
                        <wps:cNvSpPr txBox="1"/>
                        <wps:spPr>
                          <a:xfrm>
                            <a:off x="0" y="0"/>
                            <a:ext cx="6012180" cy="813435"/>
                          </a:xfrm>
                          <a:prstGeom prst="rect">
                            <a:avLst/>
                          </a:prstGeom>
                        </wps:spPr>
                        <wps:txbx>
                          <w:txbxContent>
                            <w:p>
                              <w:pPr>
                                <w:spacing w:line="232" w:lineRule="auto" w:before="121"/>
                                <w:ind w:left="340" w:right="442" w:firstLine="0"/>
                                <w:jc w:val="both"/>
                                <w:rPr>
                                  <w:b/>
                                  <w:sz w:val="28"/>
                                </w:rPr>
                              </w:pPr>
                              <w:r>
                                <w:rPr>
                                  <w:b/>
                                  <w:color w:val="164194"/>
                                  <w:sz w:val="28"/>
                                </w:rPr>
                                <w:t>We</w:t>
                              </w:r>
                              <w:r>
                                <w:rPr>
                                  <w:b/>
                                  <w:color w:val="164194"/>
                                  <w:spacing w:val="-6"/>
                                  <w:sz w:val="28"/>
                                </w:rPr>
                                <w:t> </w:t>
                              </w:r>
                              <w:r>
                                <w:rPr>
                                  <w:b/>
                                  <w:color w:val="164194"/>
                                  <w:sz w:val="28"/>
                                </w:rPr>
                                <w:t>recommend</w:t>
                              </w:r>
                              <w:r>
                                <w:rPr>
                                  <w:b/>
                                  <w:color w:val="164194"/>
                                  <w:spacing w:val="-5"/>
                                  <w:sz w:val="28"/>
                                </w:rPr>
                                <w:t> </w:t>
                              </w:r>
                              <w:r>
                                <w:rPr>
                                  <w:b/>
                                  <w:color w:val="164194"/>
                                  <w:sz w:val="28"/>
                                </w:rPr>
                                <w:t>that</w:t>
                              </w:r>
                              <w:r>
                                <w:rPr>
                                  <w:b/>
                                  <w:color w:val="164194"/>
                                  <w:spacing w:val="-5"/>
                                  <w:sz w:val="28"/>
                                </w:rPr>
                                <w:t> </w:t>
                              </w:r>
                              <w:r>
                                <w:rPr>
                                  <w:b/>
                                  <w:color w:val="164194"/>
                                  <w:sz w:val="28"/>
                                </w:rPr>
                                <w:t>the</w:t>
                              </w:r>
                              <w:r>
                                <w:rPr>
                                  <w:b/>
                                  <w:color w:val="164194"/>
                                  <w:spacing w:val="-6"/>
                                  <w:sz w:val="28"/>
                                </w:rPr>
                                <w:t> </w:t>
                              </w:r>
                              <w:r>
                                <w:rPr>
                                  <w:b/>
                                  <w:color w:val="164194"/>
                                  <w:sz w:val="28"/>
                                </w:rPr>
                                <w:t>ECNI</w:t>
                              </w:r>
                              <w:r>
                                <w:rPr>
                                  <w:b/>
                                  <w:color w:val="164194"/>
                                  <w:spacing w:val="-5"/>
                                  <w:sz w:val="28"/>
                                </w:rPr>
                                <w:t> </w:t>
                              </w:r>
                              <w:r>
                                <w:rPr>
                                  <w:b/>
                                  <w:color w:val="164194"/>
                                  <w:sz w:val="28"/>
                                </w:rPr>
                                <w:t>and</w:t>
                              </w:r>
                              <w:r>
                                <w:rPr>
                                  <w:b/>
                                  <w:color w:val="164194"/>
                                  <w:spacing w:val="-5"/>
                                  <w:sz w:val="28"/>
                                </w:rPr>
                                <w:t> </w:t>
                              </w:r>
                              <w:r>
                                <w:rPr>
                                  <w:b/>
                                  <w:color w:val="164194"/>
                                  <w:sz w:val="28"/>
                                </w:rPr>
                                <w:t>NIHRC</w:t>
                              </w:r>
                              <w:r>
                                <w:rPr>
                                  <w:b/>
                                  <w:color w:val="164194"/>
                                  <w:spacing w:val="-6"/>
                                  <w:sz w:val="28"/>
                                </w:rPr>
                                <w:t> </w:t>
                              </w:r>
                              <w:r>
                                <w:rPr>
                                  <w:b/>
                                  <w:color w:val="164194"/>
                                  <w:sz w:val="28"/>
                                </w:rPr>
                                <w:t>conduct</w:t>
                              </w:r>
                              <w:r>
                                <w:rPr>
                                  <w:b/>
                                  <w:color w:val="164194"/>
                                  <w:spacing w:val="-5"/>
                                  <w:sz w:val="28"/>
                                </w:rPr>
                                <w:t> </w:t>
                              </w:r>
                              <w:r>
                                <w:rPr>
                                  <w:b/>
                                  <w:color w:val="164194"/>
                                  <w:sz w:val="28"/>
                                </w:rPr>
                                <w:t>an</w:t>
                              </w:r>
                              <w:r>
                                <w:rPr>
                                  <w:b/>
                                  <w:color w:val="164194"/>
                                  <w:spacing w:val="-5"/>
                                  <w:sz w:val="28"/>
                                </w:rPr>
                                <w:t> </w:t>
                              </w:r>
                              <w:r>
                                <w:rPr>
                                  <w:b/>
                                  <w:color w:val="164194"/>
                                  <w:sz w:val="28"/>
                                </w:rPr>
                                <w:t>analysis</w:t>
                              </w:r>
                              <w:r>
                                <w:rPr>
                                  <w:b/>
                                  <w:color w:val="164194"/>
                                  <w:spacing w:val="-5"/>
                                  <w:sz w:val="28"/>
                                </w:rPr>
                                <w:t> </w:t>
                              </w:r>
                              <w:r>
                                <w:rPr>
                                  <w:b/>
                                  <w:color w:val="164194"/>
                                  <w:sz w:val="28"/>
                                </w:rPr>
                                <w:t>to</w:t>
                              </w:r>
                              <w:r>
                                <w:rPr>
                                  <w:b/>
                                  <w:color w:val="164194"/>
                                  <w:spacing w:val="-5"/>
                                  <w:sz w:val="28"/>
                                </w:rPr>
                                <w:t> </w:t>
                              </w:r>
                              <w:r>
                                <w:rPr>
                                  <w:b/>
                                  <w:color w:val="164194"/>
                                  <w:sz w:val="28"/>
                                </w:rPr>
                                <w:t>determine if</w:t>
                              </w:r>
                              <w:r>
                                <w:rPr>
                                  <w:b/>
                                  <w:color w:val="164194"/>
                                  <w:spacing w:val="-8"/>
                                  <w:sz w:val="28"/>
                                </w:rPr>
                                <w:t> </w:t>
                              </w:r>
                              <w:r>
                                <w:rPr>
                                  <w:b/>
                                  <w:color w:val="164194"/>
                                  <w:sz w:val="28"/>
                                </w:rPr>
                                <w:t>the</w:t>
                              </w:r>
                              <w:r>
                                <w:rPr>
                                  <w:b/>
                                  <w:color w:val="164194"/>
                                  <w:spacing w:val="-8"/>
                                  <w:sz w:val="28"/>
                                </w:rPr>
                                <w:t> </w:t>
                              </w:r>
                              <w:r>
                                <w:rPr>
                                  <w:b/>
                                  <w:color w:val="164194"/>
                                  <w:sz w:val="28"/>
                                </w:rPr>
                                <w:t>Violence</w:t>
                              </w:r>
                              <w:r>
                                <w:rPr>
                                  <w:b/>
                                  <w:color w:val="164194"/>
                                  <w:spacing w:val="-8"/>
                                  <w:sz w:val="28"/>
                                </w:rPr>
                                <w:t> </w:t>
                              </w:r>
                              <w:r>
                                <w:rPr>
                                  <w:b/>
                                  <w:color w:val="164194"/>
                                  <w:sz w:val="28"/>
                                </w:rPr>
                                <w:t>Against</w:t>
                              </w:r>
                              <w:r>
                                <w:rPr>
                                  <w:b/>
                                  <w:color w:val="164194"/>
                                  <w:spacing w:val="-7"/>
                                  <w:sz w:val="28"/>
                                </w:rPr>
                                <w:t> </w:t>
                              </w:r>
                              <w:r>
                                <w:rPr>
                                  <w:b/>
                                  <w:color w:val="164194"/>
                                  <w:sz w:val="28"/>
                                </w:rPr>
                                <w:t>Women</w:t>
                              </w:r>
                              <w:r>
                                <w:rPr>
                                  <w:b/>
                                  <w:color w:val="164194"/>
                                  <w:spacing w:val="-7"/>
                                  <w:sz w:val="28"/>
                                </w:rPr>
                                <w:t> </w:t>
                              </w:r>
                              <w:r>
                                <w:rPr>
                                  <w:b/>
                                  <w:color w:val="164194"/>
                                  <w:sz w:val="28"/>
                                </w:rPr>
                                <w:t>and</w:t>
                              </w:r>
                              <w:r>
                                <w:rPr>
                                  <w:b/>
                                  <w:color w:val="164194"/>
                                  <w:spacing w:val="-7"/>
                                  <w:sz w:val="28"/>
                                </w:rPr>
                                <w:t> </w:t>
                              </w:r>
                              <w:r>
                                <w:rPr>
                                  <w:b/>
                                  <w:color w:val="164194"/>
                                  <w:sz w:val="28"/>
                                </w:rPr>
                                <w:t>Domestic</w:t>
                              </w:r>
                              <w:r>
                                <w:rPr>
                                  <w:b/>
                                  <w:color w:val="164194"/>
                                  <w:spacing w:val="-8"/>
                                  <w:sz w:val="28"/>
                                </w:rPr>
                                <w:t> </w:t>
                              </w:r>
                              <w:r>
                                <w:rPr>
                                  <w:b/>
                                  <w:color w:val="164194"/>
                                  <w:sz w:val="28"/>
                                </w:rPr>
                                <w:t>Violence</w:t>
                              </w:r>
                              <w:r>
                                <w:rPr>
                                  <w:b/>
                                  <w:color w:val="164194"/>
                                  <w:spacing w:val="-8"/>
                                  <w:sz w:val="28"/>
                                </w:rPr>
                                <w:t> </w:t>
                              </w:r>
                              <w:r>
                                <w:rPr>
                                  <w:b/>
                                  <w:color w:val="164194"/>
                                  <w:sz w:val="28"/>
                                </w:rPr>
                                <w:t>Directive</w:t>
                              </w:r>
                              <w:r>
                                <w:rPr>
                                  <w:b/>
                                  <w:color w:val="164194"/>
                                  <w:spacing w:val="-8"/>
                                  <w:sz w:val="28"/>
                                </w:rPr>
                                <w:t> </w:t>
                              </w:r>
                              <w:r>
                                <w:rPr>
                                  <w:b/>
                                  <w:color w:val="164194"/>
                                  <w:sz w:val="28"/>
                                </w:rPr>
                                <w:t>amends</w:t>
                              </w:r>
                              <w:r>
                                <w:rPr>
                                  <w:b/>
                                  <w:color w:val="164194"/>
                                  <w:spacing w:val="-7"/>
                                  <w:sz w:val="28"/>
                                </w:rPr>
                                <w:t> </w:t>
                              </w:r>
                              <w:r>
                                <w:rPr>
                                  <w:b/>
                                  <w:color w:val="164194"/>
                                  <w:sz w:val="28"/>
                                </w:rPr>
                                <w:t>or replaces an Annex 1 directive.</w:t>
                              </w:r>
                            </w:p>
                          </w:txbxContent>
                        </wps:txbx>
                        <wps:bodyPr wrap="square" lIns="0" tIns="0" rIns="0" bIns="0" rtlCol="0">
                          <a:noAutofit/>
                        </wps:bodyPr>
                      </wps:wsp>
                    </wpg:wgp>
                  </a:graphicData>
                </a:graphic>
              </wp:anchor>
            </w:drawing>
          </mc:Choice>
          <mc:Fallback>
            <w:pict>
              <v:group style="position:absolute;margin-left:51.023201pt;margin-top:175.785294pt;width:473.4pt;height:64.05pt;mso-position-horizontal-relative:page;mso-position-vertical-relative:paragraph;z-index:-15690752;mso-wrap-distance-left:0;mso-wrap-distance-right:0" id="docshapegroup155" coordorigin="1020,3516" coordsize="9468,1281">
                <v:shape style="position:absolute;left:1020;top:3515;width:9468;height:1281" id="docshape156" coordorigin="1020,3516" coordsize="9468,1281" path="m10261,3516l1247,3516,1176,3527,1113,3559,1064,3609,1032,3671,1020,3742,1020,4569,1032,4641,1064,4703,1113,4752,1176,4784,1247,4796,10261,4796,10333,4784,10395,4752,10444,4703,10477,4641,10488,4569,10488,3742,10477,3671,10444,3609,10395,3559,10333,3527,10261,3516xe" filled="true" fillcolor="#e9f3fc" stroked="false">
                  <v:path arrowok="t"/>
                  <v:fill type="solid"/>
                </v:shape>
                <v:shape style="position:absolute;left:1020;top:3515;width:9468;height:1281" type="#_x0000_t202" id="docshape157" filled="false" stroked="false">
                  <v:textbox inset="0,0,0,0">
                    <w:txbxContent>
                      <w:p>
                        <w:pPr>
                          <w:spacing w:line="232" w:lineRule="auto" w:before="121"/>
                          <w:ind w:left="340" w:right="442" w:firstLine="0"/>
                          <w:jc w:val="both"/>
                          <w:rPr>
                            <w:b/>
                            <w:sz w:val="28"/>
                          </w:rPr>
                        </w:pPr>
                        <w:r>
                          <w:rPr>
                            <w:b/>
                            <w:color w:val="164194"/>
                            <w:sz w:val="28"/>
                          </w:rPr>
                          <w:t>We</w:t>
                        </w:r>
                        <w:r>
                          <w:rPr>
                            <w:b/>
                            <w:color w:val="164194"/>
                            <w:spacing w:val="-6"/>
                            <w:sz w:val="28"/>
                          </w:rPr>
                          <w:t> </w:t>
                        </w:r>
                        <w:r>
                          <w:rPr>
                            <w:b/>
                            <w:color w:val="164194"/>
                            <w:sz w:val="28"/>
                          </w:rPr>
                          <w:t>recommend</w:t>
                        </w:r>
                        <w:r>
                          <w:rPr>
                            <w:b/>
                            <w:color w:val="164194"/>
                            <w:spacing w:val="-5"/>
                            <w:sz w:val="28"/>
                          </w:rPr>
                          <w:t> </w:t>
                        </w:r>
                        <w:r>
                          <w:rPr>
                            <w:b/>
                            <w:color w:val="164194"/>
                            <w:sz w:val="28"/>
                          </w:rPr>
                          <w:t>that</w:t>
                        </w:r>
                        <w:r>
                          <w:rPr>
                            <w:b/>
                            <w:color w:val="164194"/>
                            <w:spacing w:val="-5"/>
                            <w:sz w:val="28"/>
                          </w:rPr>
                          <w:t> </w:t>
                        </w:r>
                        <w:r>
                          <w:rPr>
                            <w:b/>
                            <w:color w:val="164194"/>
                            <w:sz w:val="28"/>
                          </w:rPr>
                          <w:t>the</w:t>
                        </w:r>
                        <w:r>
                          <w:rPr>
                            <w:b/>
                            <w:color w:val="164194"/>
                            <w:spacing w:val="-6"/>
                            <w:sz w:val="28"/>
                          </w:rPr>
                          <w:t> </w:t>
                        </w:r>
                        <w:r>
                          <w:rPr>
                            <w:b/>
                            <w:color w:val="164194"/>
                            <w:sz w:val="28"/>
                          </w:rPr>
                          <w:t>ECNI</w:t>
                        </w:r>
                        <w:r>
                          <w:rPr>
                            <w:b/>
                            <w:color w:val="164194"/>
                            <w:spacing w:val="-5"/>
                            <w:sz w:val="28"/>
                          </w:rPr>
                          <w:t> </w:t>
                        </w:r>
                        <w:r>
                          <w:rPr>
                            <w:b/>
                            <w:color w:val="164194"/>
                            <w:sz w:val="28"/>
                          </w:rPr>
                          <w:t>and</w:t>
                        </w:r>
                        <w:r>
                          <w:rPr>
                            <w:b/>
                            <w:color w:val="164194"/>
                            <w:spacing w:val="-5"/>
                            <w:sz w:val="28"/>
                          </w:rPr>
                          <w:t> </w:t>
                        </w:r>
                        <w:r>
                          <w:rPr>
                            <w:b/>
                            <w:color w:val="164194"/>
                            <w:sz w:val="28"/>
                          </w:rPr>
                          <w:t>NIHRC</w:t>
                        </w:r>
                        <w:r>
                          <w:rPr>
                            <w:b/>
                            <w:color w:val="164194"/>
                            <w:spacing w:val="-6"/>
                            <w:sz w:val="28"/>
                          </w:rPr>
                          <w:t> </w:t>
                        </w:r>
                        <w:r>
                          <w:rPr>
                            <w:b/>
                            <w:color w:val="164194"/>
                            <w:sz w:val="28"/>
                          </w:rPr>
                          <w:t>conduct</w:t>
                        </w:r>
                        <w:r>
                          <w:rPr>
                            <w:b/>
                            <w:color w:val="164194"/>
                            <w:spacing w:val="-5"/>
                            <w:sz w:val="28"/>
                          </w:rPr>
                          <w:t> </w:t>
                        </w:r>
                        <w:r>
                          <w:rPr>
                            <w:b/>
                            <w:color w:val="164194"/>
                            <w:sz w:val="28"/>
                          </w:rPr>
                          <w:t>an</w:t>
                        </w:r>
                        <w:r>
                          <w:rPr>
                            <w:b/>
                            <w:color w:val="164194"/>
                            <w:spacing w:val="-5"/>
                            <w:sz w:val="28"/>
                          </w:rPr>
                          <w:t> </w:t>
                        </w:r>
                        <w:r>
                          <w:rPr>
                            <w:b/>
                            <w:color w:val="164194"/>
                            <w:sz w:val="28"/>
                          </w:rPr>
                          <w:t>analysis</w:t>
                        </w:r>
                        <w:r>
                          <w:rPr>
                            <w:b/>
                            <w:color w:val="164194"/>
                            <w:spacing w:val="-5"/>
                            <w:sz w:val="28"/>
                          </w:rPr>
                          <w:t> </w:t>
                        </w:r>
                        <w:r>
                          <w:rPr>
                            <w:b/>
                            <w:color w:val="164194"/>
                            <w:sz w:val="28"/>
                          </w:rPr>
                          <w:t>to</w:t>
                        </w:r>
                        <w:r>
                          <w:rPr>
                            <w:b/>
                            <w:color w:val="164194"/>
                            <w:spacing w:val="-5"/>
                            <w:sz w:val="28"/>
                          </w:rPr>
                          <w:t> </w:t>
                        </w:r>
                        <w:r>
                          <w:rPr>
                            <w:b/>
                            <w:color w:val="164194"/>
                            <w:sz w:val="28"/>
                          </w:rPr>
                          <w:t>determine if</w:t>
                        </w:r>
                        <w:r>
                          <w:rPr>
                            <w:b/>
                            <w:color w:val="164194"/>
                            <w:spacing w:val="-8"/>
                            <w:sz w:val="28"/>
                          </w:rPr>
                          <w:t> </w:t>
                        </w:r>
                        <w:r>
                          <w:rPr>
                            <w:b/>
                            <w:color w:val="164194"/>
                            <w:sz w:val="28"/>
                          </w:rPr>
                          <w:t>the</w:t>
                        </w:r>
                        <w:r>
                          <w:rPr>
                            <w:b/>
                            <w:color w:val="164194"/>
                            <w:spacing w:val="-8"/>
                            <w:sz w:val="28"/>
                          </w:rPr>
                          <w:t> </w:t>
                        </w:r>
                        <w:r>
                          <w:rPr>
                            <w:b/>
                            <w:color w:val="164194"/>
                            <w:sz w:val="28"/>
                          </w:rPr>
                          <w:t>Violence</w:t>
                        </w:r>
                        <w:r>
                          <w:rPr>
                            <w:b/>
                            <w:color w:val="164194"/>
                            <w:spacing w:val="-8"/>
                            <w:sz w:val="28"/>
                          </w:rPr>
                          <w:t> </w:t>
                        </w:r>
                        <w:r>
                          <w:rPr>
                            <w:b/>
                            <w:color w:val="164194"/>
                            <w:sz w:val="28"/>
                          </w:rPr>
                          <w:t>Against</w:t>
                        </w:r>
                        <w:r>
                          <w:rPr>
                            <w:b/>
                            <w:color w:val="164194"/>
                            <w:spacing w:val="-7"/>
                            <w:sz w:val="28"/>
                          </w:rPr>
                          <w:t> </w:t>
                        </w:r>
                        <w:r>
                          <w:rPr>
                            <w:b/>
                            <w:color w:val="164194"/>
                            <w:sz w:val="28"/>
                          </w:rPr>
                          <w:t>Women</w:t>
                        </w:r>
                        <w:r>
                          <w:rPr>
                            <w:b/>
                            <w:color w:val="164194"/>
                            <w:spacing w:val="-7"/>
                            <w:sz w:val="28"/>
                          </w:rPr>
                          <w:t> </w:t>
                        </w:r>
                        <w:r>
                          <w:rPr>
                            <w:b/>
                            <w:color w:val="164194"/>
                            <w:sz w:val="28"/>
                          </w:rPr>
                          <w:t>and</w:t>
                        </w:r>
                        <w:r>
                          <w:rPr>
                            <w:b/>
                            <w:color w:val="164194"/>
                            <w:spacing w:val="-7"/>
                            <w:sz w:val="28"/>
                          </w:rPr>
                          <w:t> </w:t>
                        </w:r>
                        <w:r>
                          <w:rPr>
                            <w:b/>
                            <w:color w:val="164194"/>
                            <w:sz w:val="28"/>
                          </w:rPr>
                          <w:t>Domestic</w:t>
                        </w:r>
                        <w:r>
                          <w:rPr>
                            <w:b/>
                            <w:color w:val="164194"/>
                            <w:spacing w:val="-8"/>
                            <w:sz w:val="28"/>
                          </w:rPr>
                          <w:t> </w:t>
                        </w:r>
                        <w:r>
                          <w:rPr>
                            <w:b/>
                            <w:color w:val="164194"/>
                            <w:sz w:val="28"/>
                          </w:rPr>
                          <w:t>Violence</w:t>
                        </w:r>
                        <w:r>
                          <w:rPr>
                            <w:b/>
                            <w:color w:val="164194"/>
                            <w:spacing w:val="-8"/>
                            <w:sz w:val="28"/>
                          </w:rPr>
                          <w:t> </w:t>
                        </w:r>
                        <w:r>
                          <w:rPr>
                            <w:b/>
                            <w:color w:val="164194"/>
                            <w:sz w:val="28"/>
                          </w:rPr>
                          <w:t>Directive</w:t>
                        </w:r>
                        <w:r>
                          <w:rPr>
                            <w:b/>
                            <w:color w:val="164194"/>
                            <w:spacing w:val="-8"/>
                            <w:sz w:val="28"/>
                          </w:rPr>
                          <w:t> </w:t>
                        </w:r>
                        <w:r>
                          <w:rPr>
                            <w:b/>
                            <w:color w:val="164194"/>
                            <w:sz w:val="28"/>
                          </w:rPr>
                          <w:t>amends</w:t>
                        </w:r>
                        <w:r>
                          <w:rPr>
                            <w:b/>
                            <w:color w:val="164194"/>
                            <w:spacing w:val="-7"/>
                            <w:sz w:val="28"/>
                          </w:rPr>
                          <w:t> </w:t>
                        </w:r>
                        <w:r>
                          <w:rPr>
                            <w:b/>
                            <w:color w:val="164194"/>
                            <w:sz w:val="28"/>
                          </w:rPr>
                          <w:t>or replaces an Annex 1 directive.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6240">
                <wp:simplePos x="0" y="0"/>
                <wp:positionH relativeFrom="page">
                  <wp:posOffset>647994</wp:posOffset>
                </wp:positionH>
                <wp:positionV relativeFrom="paragraph">
                  <wp:posOffset>3185124</wp:posOffset>
                </wp:positionV>
                <wp:extent cx="6012180" cy="1022985"/>
                <wp:effectExtent l="0" t="0" r="0" b="0"/>
                <wp:wrapTopAndBottom/>
                <wp:docPr id="212" name="Group 212"/>
                <wp:cNvGraphicFramePr>
                  <a:graphicFrameLocks/>
                </wp:cNvGraphicFramePr>
                <a:graphic>
                  <a:graphicData uri="http://schemas.microsoft.com/office/word/2010/wordprocessingGroup">
                    <wpg:wgp>
                      <wpg:cNvPr id="212" name="Group 212"/>
                      <wpg:cNvGrpSpPr/>
                      <wpg:grpSpPr>
                        <a:xfrm>
                          <a:off x="0" y="0"/>
                          <a:ext cx="6012180" cy="1022985"/>
                          <a:chExt cx="6012180" cy="1022985"/>
                        </a:xfrm>
                      </wpg:grpSpPr>
                      <wps:wsp>
                        <wps:cNvPr id="213" name="Graphic 213"/>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14" name="Textbox 214"/>
                        <wps:cNvSpPr txBox="1"/>
                        <wps:spPr>
                          <a:xfrm>
                            <a:off x="0" y="0"/>
                            <a:ext cx="6012180" cy="1022985"/>
                          </a:xfrm>
                          <a:prstGeom prst="rect">
                            <a:avLst/>
                          </a:prstGeom>
                        </wps:spPr>
                        <wps:txbx>
                          <w:txbxContent>
                            <w:p>
                              <w:pPr>
                                <w:spacing w:line="232" w:lineRule="auto" w:before="121"/>
                                <w:ind w:left="340" w:right="631" w:firstLine="0"/>
                                <w:jc w:val="left"/>
                                <w:rPr>
                                  <w:b/>
                                  <w:sz w:val="28"/>
                                </w:rPr>
                              </w:pPr>
                              <w:r>
                                <w:rPr>
                                  <w:b/>
                                  <w:color w:val="164194"/>
                                  <w:sz w:val="28"/>
                                </w:rPr>
                                <w:t>We recommend that the UK Government and NI Executive implement the</w:t>
                              </w:r>
                              <w:r>
                                <w:rPr>
                                  <w:b/>
                                  <w:color w:val="164194"/>
                                  <w:spacing w:val="-9"/>
                                  <w:sz w:val="28"/>
                                </w:rPr>
                                <w:t> </w:t>
                              </w:r>
                              <w:r>
                                <w:rPr>
                                  <w:b/>
                                  <w:color w:val="164194"/>
                                  <w:sz w:val="28"/>
                                </w:rPr>
                                <w:t>standards</w:t>
                              </w:r>
                              <w:r>
                                <w:rPr>
                                  <w:b/>
                                  <w:color w:val="164194"/>
                                  <w:spacing w:val="-9"/>
                                  <w:sz w:val="28"/>
                                </w:rPr>
                                <w:t> </w:t>
                              </w:r>
                              <w:r>
                                <w:rPr>
                                  <w:b/>
                                  <w:color w:val="164194"/>
                                  <w:sz w:val="28"/>
                                </w:rPr>
                                <w:t>in</w:t>
                              </w:r>
                              <w:r>
                                <w:rPr>
                                  <w:b/>
                                  <w:color w:val="164194"/>
                                  <w:spacing w:val="-9"/>
                                  <w:sz w:val="28"/>
                                </w:rPr>
                                <w:t> </w:t>
                              </w:r>
                              <w:r>
                                <w:rPr>
                                  <w:b/>
                                  <w:color w:val="164194"/>
                                  <w:sz w:val="28"/>
                                </w:rPr>
                                <w:t>the</w:t>
                              </w:r>
                              <w:r>
                                <w:rPr>
                                  <w:b/>
                                  <w:color w:val="164194"/>
                                  <w:spacing w:val="-9"/>
                                  <w:sz w:val="28"/>
                                </w:rPr>
                                <w:t> </w:t>
                              </w:r>
                              <w:r>
                                <w:rPr>
                                  <w:b/>
                                  <w:color w:val="164194"/>
                                  <w:sz w:val="28"/>
                                </w:rPr>
                                <w:t>Adequate</w:t>
                              </w:r>
                              <w:r>
                                <w:rPr>
                                  <w:b/>
                                  <w:color w:val="164194"/>
                                  <w:spacing w:val="-9"/>
                                  <w:sz w:val="28"/>
                                </w:rPr>
                                <w:t> </w:t>
                              </w:r>
                              <w:r>
                                <w:rPr>
                                  <w:b/>
                                  <w:color w:val="164194"/>
                                  <w:sz w:val="28"/>
                                </w:rPr>
                                <w:t>Minimum</w:t>
                              </w:r>
                              <w:r>
                                <w:rPr>
                                  <w:b/>
                                  <w:color w:val="164194"/>
                                  <w:spacing w:val="-9"/>
                                  <w:sz w:val="28"/>
                                </w:rPr>
                                <w:t> </w:t>
                              </w:r>
                              <w:r>
                                <w:rPr>
                                  <w:b/>
                                  <w:color w:val="164194"/>
                                  <w:sz w:val="28"/>
                                </w:rPr>
                                <w:t>Wages</w:t>
                              </w:r>
                              <w:r>
                                <w:rPr>
                                  <w:b/>
                                  <w:color w:val="164194"/>
                                  <w:spacing w:val="-9"/>
                                  <w:sz w:val="28"/>
                                </w:rPr>
                                <w:t> </w:t>
                              </w:r>
                              <w:r>
                                <w:rPr>
                                  <w:b/>
                                  <w:color w:val="164194"/>
                                  <w:sz w:val="28"/>
                                </w:rPr>
                                <w:t>Directive,</w:t>
                              </w:r>
                              <w:r>
                                <w:rPr>
                                  <w:b/>
                                  <w:color w:val="164194"/>
                                  <w:spacing w:val="-9"/>
                                  <w:sz w:val="28"/>
                                </w:rPr>
                                <w:t> </w:t>
                              </w:r>
                              <w:r>
                                <w:rPr>
                                  <w:b/>
                                  <w:color w:val="164194"/>
                                  <w:sz w:val="28"/>
                                </w:rPr>
                                <w:t>as</w:t>
                              </w:r>
                              <w:r>
                                <w:rPr>
                                  <w:b/>
                                  <w:color w:val="164194"/>
                                  <w:spacing w:val="-9"/>
                                  <w:sz w:val="28"/>
                                </w:rPr>
                                <w:t> </w:t>
                              </w:r>
                              <w:r>
                                <w:rPr>
                                  <w:b/>
                                  <w:color w:val="164194"/>
                                  <w:sz w:val="28"/>
                                </w:rPr>
                                <w:t>a</w:t>
                              </w:r>
                              <w:r>
                                <w:rPr>
                                  <w:b/>
                                  <w:color w:val="164194"/>
                                  <w:spacing w:val="-9"/>
                                  <w:sz w:val="28"/>
                                </w:rPr>
                                <w:t> </w:t>
                              </w:r>
                              <w:r>
                                <w:rPr>
                                  <w:b/>
                                  <w:color w:val="164194"/>
                                  <w:sz w:val="28"/>
                                </w:rPr>
                                <w:t>matter</w:t>
                              </w:r>
                              <w:r>
                                <w:rPr>
                                  <w:b/>
                                  <w:color w:val="164194"/>
                                  <w:spacing w:val="-9"/>
                                  <w:sz w:val="28"/>
                                </w:rPr>
                                <w:t> </w:t>
                              </w:r>
                              <w:r>
                                <w:rPr>
                                  <w:b/>
                                  <w:color w:val="164194"/>
                                  <w:sz w:val="28"/>
                                </w:rPr>
                                <w:t>of</w:t>
                              </w:r>
                            </w:p>
                            <w:p>
                              <w:pPr>
                                <w:spacing w:line="232" w:lineRule="auto" w:before="0"/>
                                <w:ind w:left="340" w:right="196" w:firstLine="0"/>
                                <w:jc w:val="left"/>
                                <w:rPr>
                                  <w:b/>
                                  <w:sz w:val="28"/>
                                </w:rPr>
                              </w:pPr>
                              <w:r>
                                <w:rPr>
                                  <w:b/>
                                  <w:color w:val="164194"/>
                                  <w:sz w:val="28"/>
                                </w:rPr>
                                <w:t>voluntarily</w:t>
                              </w:r>
                              <w:r>
                                <w:rPr>
                                  <w:b/>
                                  <w:color w:val="164194"/>
                                  <w:spacing w:val="-8"/>
                                  <w:sz w:val="28"/>
                                </w:rPr>
                                <w:t> </w:t>
                              </w:r>
                              <w:r>
                                <w:rPr>
                                  <w:b/>
                                  <w:color w:val="164194"/>
                                  <w:sz w:val="28"/>
                                </w:rPr>
                                <w:t>alignment,</w:t>
                              </w:r>
                              <w:r>
                                <w:rPr>
                                  <w:b/>
                                  <w:color w:val="164194"/>
                                  <w:spacing w:val="-8"/>
                                  <w:sz w:val="28"/>
                                </w:rPr>
                                <w:t> </w:t>
                              </w:r>
                              <w:r>
                                <w:rPr>
                                  <w:b/>
                                  <w:color w:val="164194"/>
                                  <w:sz w:val="28"/>
                                </w:rPr>
                                <w:t>to</w:t>
                              </w:r>
                              <w:r>
                                <w:rPr>
                                  <w:b/>
                                  <w:color w:val="164194"/>
                                  <w:spacing w:val="-8"/>
                                  <w:sz w:val="28"/>
                                </w:rPr>
                                <w:t> </w:t>
                              </w:r>
                              <w:r>
                                <w:rPr>
                                  <w:b/>
                                  <w:color w:val="164194"/>
                                  <w:sz w:val="28"/>
                                </w:rPr>
                                <w:t>the</w:t>
                              </w:r>
                              <w:r>
                                <w:rPr>
                                  <w:b/>
                                  <w:color w:val="164194"/>
                                  <w:spacing w:val="-9"/>
                                  <w:sz w:val="28"/>
                                </w:rPr>
                                <w:t> </w:t>
                              </w:r>
                              <w:r>
                                <w:rPr>
                                  <w:b/>
                                  <w:color w:val="164194"/>
                                  <w:sz w:val="28"/>
                                </w:rPr>
                                <w:t>extent</w:t>
                              </w:r>
                              <w:r>
                                <w:rPr>
                                  <w:b/>
                                  <w:color w:val="164194"/>
                                  <w:spacing w:val="-8"/>
                                  <w:sz w:val="28"/>
                                </w:rPr>
                                <w:t> </w:t>
                              </w:r>
                              <w:r>
                                <w:rPr>
                                  <w:b/>
                                  <w:color w:val="164194"/>
                                  <w:sz w:val="28"/>
                                </w:rPr>
                                <w:t>that</w:t>
                              </w:r>
                              <w:r>
                                <w:rPr>
                                  <w:b/>
                                  <w:color w:val="164194"/>
                                  <w:spacing w:val="-8"/>
                                  <w:sz w:val="28"/>
                                </w:rPr>
                                <w:t> </w:t>
                              </w:r>
                              <w:r>
                                <w:rPr>
                                  <w:b/>
                                  <w:color w:val="164194"/>
                                  <w:sz w:val="28"/>
                                </w:rPr>
                                <w:t>these</w:t>
                              </w:r>
                              <w:r>
                                <w:rPr>
                                  <w:b/>
                                  <w:color w:val="164194"/>
                                  <w:spacing w:val="-9"/>
                                  <w:sz w:val="28"/>
                                </w:rPr>
                                <w:t> </w:t>
                              </w:r>
                              <w:r>
                                <w:rPr>
                                  <w:b/>
                                  <w:color w:val="164194"/>
                                  <w:sz w:val="28"/>
                                </w:rPr>
                                <w:t>strengthen</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250.797195pt;width:473.4pt;height:80.55pt;mso-position-horizontal-relative:page;mso-position-vertical-relative:paragraph;z-index:-15690240;mso-wrap-distance-left:0;mso-wrap-distance-right:0" id="docshapegroup158" coordorigin="1020,5016" coordsize="9468,1611">
                <v:shape style="position:absolute;left:1020;top:5015;width:9468;height:1611" id="docshape159" coordorigin="1020,5016" coordsize="9468,1611" path="m10261,5016l1247,5016,1176,5028,1113,5060,1064,5109,1032,5171,1020,5243,1020,6399,1032,6471,1064,6533,1113,6582,1176,6615,1247,6626,10261,6626,10333,6615,10395,6582,10444,6533,10477,6471,10488,6399,10488,5243,10477,5171,10444,5109,10395,5060,10333,5028,10261,5016xe" filled="true" fillcolor="#e9f3fc" stroked="false">
                  <v:path arrowok="t"/>
                  <v:fill type="solid"/>
                </v:shape>
                <v:shape style="position:absolute;left:1020;top:5015;width:9468;height:1611" type="#_x0000_t202" id="docshape160" filled="false" stroked="false">
                  <v:textbox inset="0,0,0,0">
                    <w:txbxContent>
                      <w:p>
                        <w:pPr>
                          <w:spacing w:line="232" w:lineRule="auto" w:before="121"/>
                          <w:ind w:left="340" w:right="631" w:firstLine="0"/>
                          <w:jc w:val="left"/>
                          <w:rPr>
                            <w:b/>
                            <w:sz w:val="28"/>
                          </w:rPr>
                        </w:pPr>
                        <w:r>
                          <w:rPr>
                            <w:b/>
                            <w:color w:val="164194"/>
                            <w:sz w:val="28"/>
                          </w:rPr>
                          <w:t>We recommend that the UK Government and NI Executive implement the</w:t>
                        </w:r>
                        <w:r>
                          <w:rPr>
                            <w:b/>
                            <w:color w:val="164194"/>
                            <w:spacing w:val="-9"/>
                            <w:sz w:val="28"/>
                          </w:rPr>
                          <w:t> </w:t>
                        </w:r>
                        <w:r>
                          <w:rPr>
                            <w:b/>
                            <w:color w:val="164194"/>
                            <w:sz w:val="28"/>
                          </w:rPr>
                          <w:t>standards</w:t>
                        </w:r>
                        <w:r>
                          <w:rPr>
                            <w:b/>
                            <w:color w:val="164194"/>
                            <w:spacing w:val="-9"/>
                            <w:sz w:val="28"/>
                          </w:rPr>
                          <w:t> </w:t>
                        </w:r>
                        <w:r>
                          <w:rPr>
                            <w:b/>
                            <w:color w:val="164194"/>
                            <w:sz w:val="28"/>
                          </w:rPr>
                          <w:t>in</w:t>
                        </w:r>
                        <w:r>
                          <w:rPr>
                            <w:b/>
                            <w:color w:val="164194"/>
                            <w:spacing w:val="-9"/>
                            <w:sz w:val="28"/>
                          </w:rPr>
                          <w:t> </w:t>
                        </w:r>
                        <w:r>
                          <w:rPr>
                            <w:b/>
                            <w:color w:val="164194"/>
                            <w:sz w:val="28"/>
                          </w:rPr>
                          <w:t>the</w:t>
                        </w:r>
                        <w:r>
                          <w:rPr>
                            <w:b/>
                            <w:color w:val="164194"/>
                            <w:spacing w:val="-9"/>
                            <w:sz w:val="28"/>
                          </w:rPr>
                          <w:t> </w:t>
                        </w:r>
                        <w:r>
                          <w:rPr>
                            <w:b/>
                            <w:color w:val="164194"/>
                            <w:sz w:val="28"/>
                          </w:rPr>
                          <w:t>Adequate</w:t>
                        </w:r>
                        <w:r>
                          <w:rPr>
                            <w:b/>
                            <w:color w:val="164194"/>
                            <w:spacing w:val="-9"/>
                            <w:sz w:val="28"/>
                          </w:rPr>
                          <w:t> </w:t>
                        </w:r>
                        <w:r>
                          <w:rPr>
                            <w:b/>
                            <w:color w:val="164194"/>
                            <w:sz w:val="28"/>
                          </w:rPr>
                          <w:t>Minimum</w:t>
                        </w:r>
                        <w:r>
                          <w:rPr>
                            <w:b/>
                            <w:color w:val="164194"/>
                            <w:spacing w:val="-9"/>
                            <w:sz w:val="28"/>
                          </w:rPr>
                          <w:t> </w:t>
                        </w:r>
                        <w:r>
                          <w:rPr>
                            <w:b/>
                            <w:color w:val="164194"/>
                            <w:sz w:val="28"/>
                          </w:rPr>
                          <w:t>Wages</w:t>
                        </w:r>
                        <w:r>
                          <w:rPr>
                            <w:b/>
                            <w:color w:val="164194"/>
                            <w:spacing w:val="-9"/>
                            <w:sz w:val="28"/>
                          </w:rPr>
                          <w:t> </w:t>
                        </w:r>
                        <w:r>
                          <w:rPr>
                            <w:b/>
                            <w:color w:val="164194"/>
                            <w:sz w:val="28"/>
                          </w:rPr>
                          <w:t>Directive,</w:t>
                        </w:r>
                        <w:r>
                          <w:rPr>
                            <w:b/>
                            <w:color w:val="164194"/>
                            <w:spacing w:val="-9"/>
                            <w:sz w:val="28"/>
                          </w:rPr>
                          <w:t> </w:t>
                        </w:r>
                        <w:r>
                          <w:rPr>
                            <w:b/>
                            <w:color w:val="164194"/>
                            <w:sz w:val="28"/>
                          </w:rPr>
                          <w:t>as</w:t>
                        </w:r>
                        <w:r>
                          <w:rPr>
                            <w:b/>
                            <w:color w:val="164194"/>
                            <w:spacing w:val="-9"/>
                            <w:sz w:val="28"/>
                          </w:rPr>
                          <w:t> </w:t>
                        </w:r>
                        <w:r>
                          <w:rPr>
                            <w:b/>
                            <w:color w:val="164194"/>
                            <w:sz w:val="28"/>
                          </w:rPr>
                          <w:t>a</w:t>
                        </w:r>
                        <w:r>
                          <w:rPr>
                            <w:b/>
                            <w:color w:val="164194"/>
                            <w:spacing w:val="-9"/>
                            <w:sz w:val="28"/>
                          </w:rPr>
                          <w:t> </w:t>
                        </w:r>
                        <w:r>
                          <w:rPr>
                            <w:b/>
                            <w:color w:val="164194"/>
                            <w:sz w:val="28"/>
                          </w:rPr>
                          <w:t>matter</w:t>
                        </w:r>
                        <w:r>
                          <w:rPr>
                            <w:b/>
                            <w:color w:val="164194"/>
                            <w:spacing w:val="-9"/>
                            <w:sz w:val="28"/>
                          </w:rPr>
                          <w:t> </w:t>
                        </w:r>
                        <w:r>
                          <w:rPr>
                            <w:b/>
                            <w:color w:val="164194"/>
                            <w:sz w:val="28"/>
                          </w:rPr>
                          <w:t>of</w:t>
                        </w:r>
                      </w:p>
                      <w:p>
                        <w:pPr>
                          <w:spacing w:line="232" w:lineRule="auto" w:before="0"/>
                          <w:ind w:left="340" w:right="196" w:firstLine="0"/>
                          <w:jc w:val="left"/>
                          <w:rPr>
                            <w:b/>
                            <w:sz w:val="28"/>
                          </w:rPr>
                        </w:pPr>
                        <w:r>
                          <w:rPr>
                            <w:b/>
                            <w:color w:val="164194"/>
                            <w:sz w:val="28"/>
                          </w:rPr>
                          <w:t>voluntarily</w:t>
                        </w:r>
                        <w:r>
                          <w:rPr>
                            <w:b/>
                            <w:color w:val="164194"/>
                            <w:spacing w:val="-8"/>
                            <w:sz w:val="28"/>
                          </w:rPr>
                          <w:t> </w:t>
                        </w:r>
                        <w:r>
                          <w:rPr>
                            <w:b/>
                            <w:color w:val="164194"/>
                            <w:sz w:val="28"/>
                          </w:rPr>
                          <w:t>alignment,</w:t>
                        </w:r>
                        <w:r>
                          <w:rPr>
                            <w:b/>
                            <w:color w:val="164194"/>
                            <w:spacing w:val="-8"/>
                            <w:sz w:val="28"/>
                          </w:rPr>
                          <w:t> </w:t>
                        </w:r>
                        <w:r>
                          <w:rPr>
                            <w:b/>
                            <w:color w:val="164194"/>
                            <w:sz w:val="28"/>
                          </w:rPr>
                          <w:t>to</w:t>
                        </w:r>
                        <w:r>
                          <w:rPr>
                            <w:b/>
                            <w:color w:val="164194"/>
                            <w:spacing w:val="-8"/>
                            <w:sz w:val="28"/>
                          </w:rPr>
                          <w:t> </w:t>
                        </w:r>
                        <w:r>
                          <w:rPr>
                            <w:b/>
                            <w:color w:val="164194"/>
                            <w:sz w:val="28"/>
                          </w:rPr>
                          <w:t>the</w:t>
                        </w:r>
                        <w:r>
                          <w:rPr>
                            <w:b/>
                            <w:color w:val="164194"/>
                            <w:spacing w:val="-9"/>
                            <w:sz w:val="28"/>
                          </w:rPr>
                          <w:t> </w:t>
                        </w:r>
                        <w:r>
                          <w:rPr>
                            <w:b/>
                            <w:color w:val="164194"/>
                            <w:sz w:val="28"/>
                          </w:rPr>
                          <w:t>extent</w:t>
                        </w:r>
                        <w:r>
                          <w:rPr>
                            <w:b/>
                            <w:color w:val="164194"/>
                            <w:spacing w:val="-8"/>
                            <w:sz w:val="28"/>
                          </w:rPr>
                          <w:t> </w:t>
                        </w:r>
                        <w:r>
                          <w:rPr>
                            <w:b/>
                            <w:color w:val="164194"/>
                            <w:sz w:val="28"/>
                          </w:rPr>
                          <w:t>that</w:t>
                        </w:r>
                        <w:r>
                          <w:rPr>
                            <w:b/>
                            <w:color w:val="164194"/>
                            <w:spacing w:val="-8"/>
                            <w:sz w:val="28"/>
                          </w:rPr>
                          <w:t> </w:t>
                        </w:r>
                        <w:r>
                          <w:rPr>
                            <w:b/>
                            <w:color w:val="164194"/>
                            <w:sz w:val="28"/>
                          </w:rPr>
                          <w:t>these</w:t>
                        </w:r>
                        <w:r>
                          <w:rPr>
                            <w:b/>
                            <w:color w:val="164194"/>
                            <w:spacing w:val="-9"/>
                            <w:sz w:val="28"/>
                          </w:rPr>
                          <w:t> </w:t>
                        </w:r>
                        <w:r>
                          <w:rPr>
                            <w:b/>
                            <w:color w:val="164194"/>
                            <w:sz w:val="28"/>
                          </w:rPr>
                          <w:t>strengthen</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 international human rights standards and best practice.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6752">
                <wp:simplePos x="0" y="0"/>
                <wp:positionH relativeFrom="page">
                  <wp:posOffset>647994</wp:posOffset>
                </wp:positionH>
                <wp:positionV relativeFrom="paragraph">
                  <wp:posOffset>4347324</wp:posOffset>
                </wp:positionV>
                <wp:extent cx="6012180" cy="813435"/>
                <wp:effectExtent l="0" t="0" r="0" b="0"/>
                <wp:wrapTopAndBottom/>
                <wp:docPr id="215" name="Group 215"/>
                <wp:cNvGraphicFramePr>
                  <a:graphicFrameLocks/>
                </wp:cNvGraphicFramePr>
                <a:graphic>
                  <a:graphicData uri="http://schemas.microsoft.com/office/word/2010/wordprocessingGroup">
                    <wpg:wgp>
                      <wpg:cNvPr id="215" name="Group 215"/>
                      <wpg:cNvGrpSpPr/>
                      <wpg:grpSpPr>
                        <a:xfrm>
                          <a:off x="0" y="0"/>
                          <a:ext cx="6012180" cy="813435"/>
                          <a:chExt cx="6012180" cy="813435"/>
                        </a:xfrm>
                      </wpg:grpSpPr>
                      <wps:wsp>
                        <wps:cNvPr id="216" name="Graphic 216"/>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17" name="Textbox 217"/>
                        <wps:cNvSpPr txBox="1"/>
                        <wps:spPr>
                          <a:xfrm>
                            <a:off x="0" y="0"/>
                            <a:ext cx="6012180" cy="813435"/>
                          </a:xfrm>
                          <a:prstGeom prst="rect">
                            <a:avLst/>
                          </a:prstGeom>
                        </wps:spPr>
                        <wps:txbx>
                          <w:txbxContent>
                            <w:p>
                              <w:pPr>
                                <w:spacing w:line="232" w:lineRule="auto" w:before="121"/>
                                <w:ind w:left="340" w:right="463" w:firstLine="0"/>
                                <w:jc w:val="both"/>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w:t>
                              </w:r>
                              <w:r>
                                <w:rPr>
                                  <w:b/>
                                  <w:color w:val="164194"/>
                                  <w:spacing w:val="-8"/>
                                  <w:sz w:val="28"/>
                                </w:rPr>
                                <w:t> </w:t>
                              </w:r>
                              <w:r>
                                <w:rPr>
                                  <w:b/>
                                  <w:color w:val="164194"/>
                                  <w:sz w:val="28"/>
                                </w:rPr>
                                <w:t>ECNI</w:t>
                              </w:r>
                              <w:r>
                                <w:rPr>
                                  <w:b/>
                                  <w:color w:val="164194"/>
                                  <w:spacing w:val="-7"/>
                                  <w:sz w:val="28"/>
                                </w:rPr>
                                <w:t> </w:t>
                              </w:r>
                              <w:r>
                                <w:rPr>
                                  <w:b/>
                                  <w:color w:val="164194"/>
                                  <w:sz w:val="28"/>
                                </w:rPr>
                                <w:t>and</w:t>
                              </w:r>
                              <w:r>
                                <w:rPr>
                                  <w:b/>
                                  <w:color w:val="164194"/>
                                  <w:spacing w:val="-7"/>
                                  <w:sz w:val="28"/>
                                </w:rPr>
                                <w:t> </w:t>
                              </w:r>
                              <w:r>
                                <w:rPr>
                                  <w:b/>
                                  <w:color w:val="164194"/>
                                  <w:sz w:val="28"/>
                                </w:rPr>
                                <w:t>NIHRC</w:t>
                              </w:r>
                              <w:r>
                                <w:rPr>
                                  <w:b/>
                                  <w:color w:val="164194"/>
                                  <w:spacing w:val="-8"/>
                                  <w:sz w:val="28"/>
                                </w:rPr>
                                <w:t> </w:t>
                              </w:r>
                              <w:r>
                                <w:rPr>
                                  <w:b/>
                                  <w:color w:val="164194"/>
                                  <w:sz w:val="28"/>
                                </w:rPr>
                                <w:t>conduct</w:t>
                              </w:r>
                              <w:r>
                                <w:rPr>
                                  <w:b/>
                                  <w:color w:val="164194"/>
                                  <w:spacing w:val="-7"/>
                                  <w:sz w:val="28"/>
                                </w:rPr>
                                <w:t> </w:t>
                              </w:r>
                              <w:r>
                                <w:rPr>
                                  <w:b/>
                                  <w:color w:val="164194"/>
                                  <w:sz w:val="28"/>
                                </w:rPr>
                                <w:t>an</w:t>
                              </w:r>
                              <w:r>
                                <w:rPr>
                                  <w:b/>
                                  <w:color w:val="164194"/>
                                  <w:spacing w:val="-7"/>
                                  <w:sz w:val="28"/>
                                </w:rPr>
                                <w:t> </w:t>
                              </w:r>
                              <w:r>
                                <w:rPr>
                                  <w:b/>
                                  <w:color w:val="164194"/>
                                  <w:sz w:val="28"/>
                                </w:rPr>
                                <w:t>analysis</w:t>
                              </w:r>
                              <w:r>
                                <w:rPr>
                                  <w:b/>
                                  <w:color w:val="164194"/>
                                  <w:spacing w:val="-7"/>
                                  <w:sz w:val="28"/>
                                </w:rPr>
                                <w:t> </w:t>
                              </w:r>
                              <w:r>
                                <w:rPr>
                                  <w:b/>
                                  <w:color w:val="164194"/>
                                  <w:sz w:val="28"/>
                                </w:rPr>
                                <w:t>to</w:t>
                              </w:r>
                              <w:r>
                                <w:rPr>
                                  <w:b/>
                                  <w:color w:val="164194"/>
                                  <w:spacing w:val="-7"/>
                                  <w:sz w:val="28"/>
                                </w:rPr>
                                <w:t> </w:t>
                              </w:r>
                              <w:r>
                                <w:rPr>
                                  <w:b/>
                                  <w:color w:val="164194"/>
                                  <w:sz w:val="28"/>
                                </w:rPr>
                                <w:t>determine if</w:t>
                              </w:r>
                              <w:r>
                                <w:rPr>
                                  <w:b/>
                                  <w:color w:val="164194"/>
                                  <w:spacing w:val="-3"/>
                                  <w:sz w:val="28"/>
                                </w:rPr>
                                <w:t> </w:t>
                              </w:r>
                              <w:r>
                                <w:rPr>
                                  <w:b/>
                                  <w:color w:val="164194"/>
                                  <w:sz w:val="28"/>
                                </w:rPr>
                                <w:t>the</w:t>
                              </w:r>
                              <w:r>
                                <w:rPr>
                                  <w:b/>
                                  <w:color w:val="164194"/>
                                  <w:spacing w:val="-3"/>
                                  <w:sz w:val="28"/>
                                </w:rPr>
                                <w:t> </w:t>
                              </w:r>
                              <w:r>
                                <w:rPr>
                                  <w:b/>
                                  <w:color w:val="164194"/>
                                  <w:sz w:val="28"/>
                                </w:rPr>
                                <w:t>Adequate</w:t>
                              </w:r>
                              <w:r>
                                <w:rPr>
                                  <w:b/>
                                  <w:color w:val="164194"/>
                                  <w:spacing w:val="-3"/>
                                  <w:sz w:val="28"/>
                                </w:rPr>
                                <w:t> </w:t>
                              </w:r>
                              <w:r>
                                <w:rPr>
                                  <w:b/>
                                  <w:color w:val="164194"/>
                                  <w:sz w:val="28"/>
                                </w:rPr>
                                <w:t>Minimum</w:t>
                              </w:r>
                              <w:r>
                                <w:rPr>
                                  <w:b/>
                                  <w:color w:val="164194"/>
                                  <w:spacing w:val="-3"/>
                                  <w:sz w:val="28"/>
                                </w:rPr>
                                <w:t> </w:t>
                              </w:r>
                              <w:r>
                                <w:rPr>
                                  <w:b/>
                                  <w:color w:val="164194"/>
                                  <w:sz w:val="28"/>
                                </w:rPr>
                                <w:t>Wages</w:t>
                              </w:r>
                              <w:r>
                                <w:rPr>
                                  <w:b/>
                                  <w:color w:val="164194"/>
                                  <w:spacing w:val="-2"/>
                                  <w:sz w:val="28"/>
                                </w:rPr>
                                <w:t> </w:t>
                              </w:r>
                              <w:r>
                                <w:rPr>
                                  <w:b/>
                                  <w:color w:val="164194"/>
                                  <w:sz w:val="28"/>
                                </w:rPr>
                                <w:t>Directive</w:t>
                              </w:r>
                              <w:r>
                                <w:rPr>
                                  <w:b/>
                                  <w:color w:val="164194"/>
                                  <w:spacing w:val="-3"/>
                                  <w:sz w:val="28"/>
                                </w:rPr>
                                <w:t> </w:t>
                              </w:r>
                              <w:r>
                                <w:rPr>
                                  <w:b/>
                                  <w:color w:val="164194"/>
                                  <w:sz w:val="28"/>
                                </w:rPr>
                                <w:t>amends</w:t>
                              </w:r>
                              <w:r>
                                <w:rPr>
                                  <w:b/>
                                  <w:color w:val="164194"/>
                                  <w:spacing w:val="-2"/>
                                  <w:sz w:val="28"/>
                                </w:rPr>
                                <w:t> </w:t>
                              </w:r>
                              <w:r>
                                <w:rPr>
                                  <w:b/>
                                  <w:color w:val="164194"/>
                                  <w:sz w:val="28"/>
                                </w:rPr>
                                <w:t>or</w:t>
                              </w:r>
                              <w:r>
                                <w:rPr>
                                  <w:b/>
                                  <w:color w:val="164194"/>
                                  <w:spacing w:val="-3"/>
                                  <w:sz w:val="28"/>
                                </w:rPr>
                                <w:t> </w:t>
                              </w:r>
                              <w:r>
                                <w:rPr>
                                  <w:b/>
                                  <w:color w:val="164194"/>
                                  <w:sz w:val="28"/>
                                </w:rPr>
                                <w:t>replaces</w:t>
                              </w:r>
                              <w:r>
                                <w:rPr>
                                  <w:b/>
                                  <w:color w:val="164194"/>
                                  <w:spacing w:val="-2"/>
                                  <w:sz w:val="28"/>
                                </w:rPr>
                                <w:t> </w:t>
                              </w:r>
                              <w:r>
                                <w:rPr>
                                  <w:b/>
                                  <w:color w:val="164194"/>
                                  <w:sz w:val="28"/>
                                </w:rPr>
                                <w:t>an</w:t>
                              </w:r>
                              <w:r>
                                <w:rPr>
                                  <w:b/>
                                  <w:color w:val="164194"/>
                                  <w:spacing w:val="-2"/>
                                  <w:sz w:val="28"/>
                                </w:rPr>
                                <w:t> </w:t>
                              </w:r>
                              <w:r>
                                <w:rPr>
                                  <w:b/>
                                  <w:color w:val="164194"/>
                                  <w:sz w:val="28"/>
                                </w:rPr>
                                <w:t>Annex</w:t>
                              </w:r>
                              <w:r>
                                <w:rPr>
                                  <w:b/>
                                  <w:color w:val="164194"/>
                                  <w:spacing w:val="-3"/>
                                  <w:sz w:val="28"/>
                                </w:rPr>
                                <w:t> </w:t>
                              </w:r>
                              <w:r>
                                <w:rPr>
                                  <w:b/>
                                  <w:color w:val="164194"/>
                                  <w:sz w:val="28"/>
                                </w:rPr>
                                <w:t>1 </w:t>
                              </w:r>
                              <w:r>
                                <w:rPr>
                                  <w:b/>
                                  <w:color w:val="164194"/>
                                  <w:spacing w:val="-2"/>
                                  <w:sz w:val="28"/>
                                </w:rPr>
                                <w:t>directive.</w:t>
                              </w:r>
                            </w:p>
                          </w:txbxContent>
                        </wps:txbx>
                        <wps:bodyPr wrap="square" lIns="0" tIns="0" rIns="0" bIns="0" rtlCol="0">
                          <a:noAutofit/>
                        </wps:bodyPr>
                      </wps:wsp>
                    </wpg:wgp>
                  </a:graphicData>
                </a:graphic>
              </wp:anchor>
            </w:drawing>
          </mc:Choice>
          <mc:Fallback>
            <w:pict>
              <v:group style="position:absolute;margin-left:51.023201pt;margin-top:342.30899pt;width:473.4pt;height:64.05pt;mso-position-horizontal-relative:page;mso-position-vertical-relative:paragraph;z-index:-15689728;mso-wrap-distance-left:0;mso-wrap-distance-right:0" id="docshapegroup161" coordorigin="1020,6846" coordsize="9468,1281">
                <v:shape style="position:absolute;left:1020;top:6846;width:9468;height:1281" id="docshape162" coordorigin="1020,6846" coordsize="9468,1281" path="m10261,6846l1247,6846,1176,6858,1113,6890,1064,6939,1032,7001,1020,7073,1020,7900,1032,7971,1064,8033,1113,8083,1176,8115,1247,8126,10261,8126,10333,8115,10395,8083,10444,8033,10477,7971,10488,7900,10488,7073,10477,7001,10444,6939,10395,6890,10333,6858,10261,6846xe" filled="true" fillcolor="#e9f3fc" stroked="false">
                  <v:path arrowok="t"/>
                  <v:fill type="solid"/>
                </v:shape>
                <v:shape style="position:absolute;left:1020;top:6846;width:9468;height:1281" type="#_x0000_t202" id="docshape163" filled="false" stroked="false">
                  <v:textbox inset="0,0,0,0">
                    <w:txbxContent>
                      <w:p>
                        <w:pPr>
                          <w:spacing w:line="232" w:lineRule="auto" w:before="121"/>
                          <w:ind w:left="340" w:right="463" w:firstLine="0"/>
                          <w:jc w:val="both"/>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w:t>
                        </w:r>
                        <w:r>
                          <w:rPr>
                            <w:b/>
                            <w:color w:val="164194"/>
                            <w:spacing w:val="-8"/>
                            <w:sz w:val="28"/>
                          </w:rPr>
                          <w:t> </w:t>
                        </w:r>
                        <w:r>
                          <w:rPr>
                            <w:b/>
                            <w:color w:val="164194"/>
                            <w:sz w:val="28"/>
                          </w:rPr>
                          <w:t>ECNI</w:t>
                        </w:r>
                        <w:r>
                          <w:rPr>
                            <w:b/>
                            <w:color w:val="164194"/>
                            <w:spacing w:val="-7"/>
                            <w:sz w:val="28"/>
                          </w:rPr>
                          <w:t> </w:t>
                        </w:r>
                        <w:r>
                          <w:rPr>
                            <w:b/>
                            <w:color w:val="164194"/>
                            <w:sz w:val="28"/>
                          </w:rPr>
                          <w:t>and</w:t>
                        </w:r>
                        <w:r>
                          <w:rPr>
                            <w:b/>
                            <w:color w:val="164194"/>
                            <w:spacing w:val="-7"/>
                            <w:sz w:val="28"/>
                          </w:rPr>
                          <w:t> </w:t>
                        </w:r>
                        <w:r>
                          <w:rPr>
                            <w:b/>
                            <w:color w:val="164194"/>
                            <w:sz w:val="28"/>
                          </w:rPr>
                          <w:t>NIHRC</w:t>
                        </w:r>
                        <w:r>
                          <w:rPr>
                            <w:b/>
                            <w:color w:val="164194"/>
                            <w:spacing w:val="-8"/>
                            <w:sz w:val="28"/>
                          </w:rPr>
                          <w:t> </w:t>
                        </w:r>
                        <w:r>
                          <w:rPr>
                            <w:b/>
                            <w:color w:val="164194"/>
                            <w:sz w:val="28"/>
                          </w:rPr>
                          <w:t>conduct</w:t>
                        </w:r>
                        <w:r>
                          <w:rPr>
                            <w:b/>
                            <w:color w:val="164194"/>
                            <w:spacing w:val="-7"/>
                            <w:sz w:val="28"/>
                          </w:rPr>
                          <w:t> </w:t>
                        </w:r>
                        <w:r>
                          <w:rPr>
                            <w:b/>
                            <w:color w:val="164194"/>
                            <w:sz w:val="28"/>
                          </w:rPr>
                          <w:t>an</w:t>
                        </w:r>
                        <w:r>
                          <w:rPr>
                            <w:b/>
                            <w:color w:val="164194"/>
                            <w:spacing w:val="-7"/>
                            <w:sz w:val="28"/>
                          </w:rPr>
                          <w:t> </w:t>
                        </w:r>
                        <w:r>
                          <w:rPr>
                            <w:b/>
                            <w:color w:val="164194"/>
                            <w:sz w:val="28"/>
                          </w:rPr>
                          <w:t>analysis</w:t>
                        </w:r>
                        <w:r>
                          <w:rPr>
                            <w:b/>
                            <w:color w:val="164194"/>
                            <w:spacing w:val="-7"/>
                            <w:sz w:val="28"/>
                          </w:rPr>
                          <w:t> </w:t>
                        </w:r>
                        <w:r>
                          <w:rPr>
                            <w:b/>
                            <w:color w:val="164194"/>
                            <w:sz w:val="28"/>
                          </w:rPr>
                          <w:t>to</w:t>
                        </w:r>
                        <w:r>
                          <w:rPr>
                            <w:b/>
                            <w:color w:val="164194"/>
                            <w:spacing w:val="-7"/>
                            <w:sz w:val="28"/>
                          </w:rPr>
                          <w:t> </w:t>
                        </w:r>
                        <w:r>
                          <w:rPr>
                            <w:b/>
                            <w:color w:val="164194"/>
                            <w:sz w:val="28"/>
                          </w:rPr>
                          <w:t>determine if</w:t>
                        </w:r>
                        <w:r>
                          <w:rPr>
                            <w:b/>
                            <w:color w:val="164194"/>
                            <w:spacing w:val="-3"/>
                            <w:sz w:val="28"/>
                          </w:rPr>
                          <w:t> </w:t>
                        </w:r>
                        <w:r>
                          <w:rPr>
                            <w:b/>
                            <w:color w:val="164194"/>
                            <w:sz w:val="28"/>
                          </w:rPr>
                          <w:t>the</w:t>
                        </w:r>
                        <w:r>
                          <w:rPr>
                            <w:b/>
                            <w:color w:val="164194"/>
                            <w:spacing w:val="-3"/>
                            <w:sz w:val="28"/>
                          </w:rPr>
                          <w:t> </w:t>
                        </w:r>
                        <w:r>
                          <w:rPr>
                            <w:b/>
                            <w:color w:val="164194"/>
                            <w:sz w:val="28"/>
                          </w:rPr>
                          <w:t>Adequate</w:t>
                        </w:r>
                        <w:r>
                          <w:rPr>
                            <w:b/>
                            <w:color w:val="164194"/>
                            <w:spacing w:val="-3"/>
                            <w:sz w:val="28"/>
                          </w:rPr>
                          <w:t> </w:t>
                        </w:r>
                        <w:r>
                          <w:rPr>
                            <w:b/>
                            <w:color w:val="164194"/>
                            <w:sz w:val="28"/>
                          </w:rPr>
                          <w:t>Minimum</w:t>
                        </w:r>
                        <w:r>
                          <w:rPr>
                            <w:b/>
                            <w:color w:val="164194"/>
                            <w:spacing w:val="-3"/>
                            <w:sz w:val="28"/>
                          </w:rPr>
                          <w:t> </w:t>
                        </w:r>
                        <w:r>
                          <w:rPr>
                            <w:b/>
                            <w:color w:val="164194"/>
                            <w:sz w:val="28"/>
                          </w:rPr>
                          <w:t>Wages</w:t>
                        </w:r>
                        <w:r>
                          <w:rPr>
                            <w:b/>
                            <w:color w:val="164194"/>
                            <w:spacing w:val="-2"/>
                            <w:sz w:val="28"/>
                          </w:rPr>
                          <w:t> </w:t>
                        </w:r>
                        <w:r>
                          <w:rPr>
                            <w:b/>
                            <w:color w:val="164194"/>
                            <w:sz w:val="28"/>
                          </w:rPr>
                          <w:t>Directive</w:t>
                        </w:r>
                        <w:r>
                          <w:rPr>
                            <w:b/>
                            <w:color w:val="164194"/>
                            <w:spacing w:val="-3"/>
                            <w:sz w:val="28"/>
                          </w:rPr>
                          <w:t> </w:t>
                        </w:r>
                        <w:r>
                          <w:rPr>
                            <w:b/>
                            <w:color w:val="164194"/>
                            <w:sz w:val="28"/>
                          </w:rPr>
                          <w:t>amends</w:t>
                        </w:r>
                        <w:r>
                          <w:rPr>
                            <w:b/>
                            <w:color w:val="164194"/>
                            <w:spacing w:val="-2"/>
                            <w:sz w:val="28"/>
                          </w:rPr>
                          <w:t> </w:t>
                        </w:r>
                        <w:r>
                          <w:rPr>
                            <w:b/>
                            <w:color w:val="164194"/>
                            <w:sz w:val="28"/>
                          </w:rPr>
                          <w:t>or</w:t>
                        </w:r>
                        <w:r>
                          <w:rPr>
                            <w:b/>
                            <w:color w:val="164194"/>
                            <w:spacing w:val="-3"/>
                            <w:sz w:val="28"/>
                          </w:rPr>
                          <w:t> </w:t>
                        </w:r>
                        <w:r>
                          <w:rPr>
                            <w:b/>
                            <w:color w:val="164194"/>
                            <w:sz w:val="28"/>
                          </w:rPr>
                          <w:t>replaces</w:t>
                        </w:r>
                        <w:r>
                          <w:rPr>
                            <w:b/>
                            <w:color w:val="164194"/>
                            <w:spacing w:val="-2"/>
                            <w:sz w:val="28"/>
                          </w:rPr>
                          <w:t> </w:t>
                        </w:r>
                        <w:r>
                          <w:rPr>
                            <w:b/>
                            <w:color w:val="164194"/>
                            <w:sz w:val="28"/>
                          </w:rPr>
                          <w:t>an</w:t>
                        </w:r>
                        <w:r>
                          <w:rPr>
                            <w:b/>
                            <w:color w:val="164194"/>
                            <w:spacing w:val="-2"/>
                            <w:sz w:val="28"/>
                          </w:rPr>
                          <w:t> </w:t>
                        </w:r>
                        <w:r>
                          <w:rPr>
                            <w:b/>
                            <w:color w:val="164194"/>
                            <w:sz w:val="28"/>
                          </w:rPr>
                          <w:t>Annex</w:t>
                        </w:r>
                        <w:r>
                          <w:rPr>
                            <w:b/>
                            <w:color w:val="164194"/>
                            <w:spacing w:val="-3"/>
                            <w:sz w:val="28"/>
                          </w:rPr>
                          <w:t> </w:t>
                        </w:r>
                        <w:r>
                          <w:rPr>
                            <w:b/>
                            <w:color w:val="164194"/>
                            <w:sz w:val="28"/>
                          </w:rPr>
                          <w:t>1 </w:t>
                        </w:r>
                        <w:r>
                          <w:rPr>
                            <w:b/>
                            <w:color w:val="164194"/>
                            <w:spacing w:val="-2"/>
                            <w:sz w:val="28"/>
                          </w:rPr>
                          <w:t>directive.</w:t>
                        </w:r>
                      </w:p>
                    </w:txbxContent>
                  </v:textbox>
                  <w10:wrap type="none"/>
                </v:shape>
                <w10:wrap type="topAndBottom"/>
              </v:group>
            </w:pict>
          </mc:Fallback>
        </mc:AlternateContent>
      </w:r>
    </w:p>
    <w:p>
      <w:pPr>
        <w:pStyle w:val="BodyText"/>
        <w:rPr>
          <w:sz w:val="16"/>
        </w:rPr>
      </w:pPr>
    </w:p>
    <w:p>
      <w:pPr>
        <w:pStyle w:val="BodyText"/>
        <w:rPr>
          <w:sz w:val="16"/>
        </w:rPr>
      </w:pPr>
    </w:p>
    <w:p>
      <w:pPr>
        <w:pStyle w:val="BodyText"/>
        <w:rPr>
          <w:sz w:val="16"/>
        </w:rPr>
      </w:pPr>
    </w:p>
    <w:p>
      <w:pPr>
        <w:pStyle w:val="BodyText"/>
        <w:rPr>
          <w:sz w:val="16"/>
        </w:rPr>
      </w:pPr>
    </w:p>
    <w:p>
      <w:pPr>
        <w:pStyle w:val="BodyText"/>
        <w:spacing w:line="232" w:lineRule="auto" w:before="228"/>
        <w:ind w:left="720" w:right="1087"/>
      </w:pPr>
      <w:r>
        <w:rPr/>
        <w:t>The EU is considering legislative proposals to protect certain vulnerable groups including</w:t>
      </w:r>
      <w:r>
        <w:rPr>
          <w:spacing w:val="-6"/>
        </w:rPr>
        <w:t> </w:t>
      </w:r>
      <w:r>
        <w:rPr/>
        <w:t>victims</w:t>
      </w:r>
      <w:r>
        <w:rPr>
          <w:spacing w:val="-7"/>
        </w:rPr>
        <w:t> </w:t>
      </w:r>
      <w:r>
        <w:rPr/>
        <w:t>of</w:t>
      </w:r>
      <w:r>
        <w:rPr>
          <w:spacing w:val="-7"/>
        </w:rPr>
        <w:t> </w:t>
      </w:r>
      <w:r>
        <w:rPr/>
        <w:t>trafficking</w:t>
      </w:r>
      <w:r>
        <w:rPr>
          <w:spacing w:val="-6"/>
        </w:rPr>
        <w:t> </w:t>
      </w:r>
      <w:r>
        <w:rPr/>
        <w:t>and</w:t>
      </w:r>
      <w:r>
        <w:rPr>
          <w:spacing w:val="-7"/>
        </w:rPr>
        <w:t> </w:t>
      </w:r>
      <w:r>
        <w:rPr/>
        <w:t>children</w:t>
      </w:r>
      <w:r>
        <w:rPr>
          <w:spacing w:val="-7"/>
        </w:rPr>
        <w:t> </w:t>
      </w:r>
      <w:r>
        <w:rPr/>
        <w:t>in</w:t>
      </w:r>
      <w:r>
        <w:rPr>
          <w:spacing w:val="-7"/>
        </w:rPr>
        <w:t> </w:t>
      </w:r>
      <w:r>
        <w:rPr/>
        <w:t>relation</w:t>
      </w:r>
      <w:r>
        <w:rPr>
          <w:spacing w:val="-7"/>
        </w:rPr>
        <w:t> </w:t>
      </w:r>
      <w:r>
        <w:rPr/>
        <w:t>to</w:t>
      </w:r>
      <w:r>
        <w:rPr>
          <w:spacing w:val="-7"/>
        </w:rPr>
        <w:t> </w:t>
      </w:r>
      <w:r>
        <w:rPr/>
        <w:t>child</w:t>
      </w:r>
      <w:r>
        <w:rPr>
          <w:spacing w:val="-7"/>
        </w:rPr>
        <w:t> </w:t>
      </w:r>
      <w:r>
        <w:rPr/>
        <w:t>sexual</w:t>
      </w:r>
      <w:r>
        <w:rPr>
          <w:spacing w:val="-7"/>
        </w:rPr>
        <w:t> </w:t>
      </w:r>
      <w:r>
        <w:rPr/>
        <w:t>abuse</w:t>
      </w:r>
      <w:r>
        <w:rPr>
          <w:spacing w:val="-6"/>
        </w:rPr>
        <w:t> </w:t>
      </w:r>
      <w:r>
        <w:rPr/>
        <w:t>online. These initiatives are important in the context of the open border on the island of </w:t>
      </w:r>
      <w:r>
        <w:rPr>
          <w:spacing w:val="-2"/>
        </w:rPr>
        <w:t>Ireland.</w:t>
      </w:r>
    </w:p>
    <w:p>
      <w:pPr>
        <w:spacing w:after="0" w:line="232" w:lineRule="auto"/>
        <w:sectPr>
          <w:pgSz w:w="11910" w:h="16840"/>
          <w:pgMar w:top="0" w:bottom="280" w:left="300" w:right="280"/>
        </w:sectPr>
      </w:pPr>
    </w:p>
    <w:p>
      <w:pPr>
        <w:pStyle w:val="BodyText"/>
        <w:rPr>
          <w:sz w:val="32"/>
        </w:rPr>
      </w:pPr>
      <w:r>
        <w:rPr/>
        <mc:AlternateContent>
          <mc:Choice Requires="wps">
            <w:drawing>
              <wp:anchor distT="0" distB="0" distL="0" distR="0" allowOverlap="1" layoutInCell="1" locked="0" behindDoc="0" simplePos="0" relativeHeight="15769600">
                <wp:simplePos x="0" y="0"/>
                <wp:positionH relativeFrom="page">
                  <wp:posOffset>-2</wp:posOffset>
                </wp:positionH>
                <wp:positionV relativeFrom="page">
                  <wp:posOffset>0</wp:posOffset>
                </wp:positionV>
                <wp:extent cx="7560309" cy="262318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7560309" cy="2623185"/>
                          <a:chExt cx="7560309" cy="2623185"/>
                        </a:xfrm>
                      </wpg:grpSpPr>
                      <wps:wsp>
                        <wps:cNvPr id="219" name="Graphic 219"/>
                        <wps:cNvSpPr/>
                        <wps:spPr>
                          <a:xfrm>
                            <a:off x="899996" y="972002"/>
                            <a:ext cx="6012180" cy="1651635"/>
                          </a:xfrm>
                          <a:custGeom>
                            <a:avLst/>
                            <a:gdLst/>
                            <a:ahLst/>
                            <a:cxnLst/>
                            <a:rect l="l" t="t" r="r" b="b"/>
                            <a:pathLst>
                              <a:path w="6012180" h="1651635">
                                <a:moveTo>
                                  <a:pt x="5868009" y="0"/>
                                </a:moveTo>
                                <a:lnTo>
                                  <a:pt x="144005" y="0"/>
                                </a:lnTo>
                                <a:lnTo>
                                  <a:pt x="98490" y="7340"/>
                                </a:lnTo>
                                <a:lnTo>
                                  <a:pt x="58959" y="27782"/>
                                </a:lnTo>
                                <a:lnTo>
                                  <a:pt x="27785" y="58954"/>
                                </a:lnTo>
                                <a:lnTo>
                                  <a:pt x="7341" y="98485"/>
                                </a:lnTo>
                                <a:lnTo>
                                  <a:pt x="0" y="144005"/>
                                </a:lnTo>
                                <a:lnTo>
                                  <a:pt x="0" y="1507096"/>
                                </a:lnTo>
                                <a:lnTo>
                                  <a:pt x="7341" y="1552611"/>
                                </a:lnTo>
                                <a:lnTo>
                                  <a:pt x="27785" y="1592142"/>
                                </a:lnTo>
                                <a:lnTo>
                                  <a:pt x="58959" y="1623315"/>
                                </a:lnTo>
                                <a:lnTo>
                                  <a:pt x="98490" y="1643759"/>
                                </a:lnTo>
                                <a:lnTo>
                                  <a:pt x="144005" y="1651101"/>
                                </a:lnTo>
                                <a:lnTo>
                                  <a:pt x="5868009" y="1651101"/>
                                </a:lnTo>
                                <a:lnTo>
                                  <a:pt x="5913523" y="1643759"/>
                                </a:lnTo>
                                <a:lnTo>
                                  <a:pt x="5953050" y="1623315"/>
                                </a:lnTo>
                                <a:lnTo>
                                  <a:pt x="5984220" y="1592142"/>
                                </a:lnTo>
                                <a:lnTo>
                                  <a:pt x="6004661" y="1552611"/>
                                </a:lnTo>
                                <a:lnTo>
                                  <a:pt x="6012002" y="15070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20" name="Graphic 22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221" name="Graphic 22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222" name="Textbox 222"/>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223" name="Textbox 223"/>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13</w:t>
                              </w:r>
                            </w:p>
                          </w:txbxContent>
                        </wps:txbx>
                        <wps:bodyPr wrap="square" lIns="0" tIns="0" rIns="0" bIns="0" rtlCol="0">
                          <a:noAutofit/>
                        </wps:bodyPr>
                      </wps:wsp>
                      <wps:wsp>
                        <wps:cNvPr id="224" name="Textbox 224"/>
                        <wps:cNvSpPr txBox="1"/>
                        <wps:spPr>
                          <a:xfrm>
                            <a:off x="1116002" y="1080003"/>
                            <a:ext cx="5610225" cy="143510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the</w:t>
                              </w:r>
                              <w:r>
                                <w:rPr>
                                  <w:b/>
                                  <w:color w:val="164194"/>
                                  <w:spacing w:val="-8"/>
                                  <w:sz w:val="28"/>
                                </w:rPr>
                                <w:t> </w:t>
                              </w:r>
                              <w:r>
                                <w:rPr>
                                  <w:b/>
                                  <w:color w:val="164194"/>
                                  <w:sz w:val="28"/>
                                </w:rPr>
                                <w:t>UK</w:t>
                              </w:r>
                              <w:r>
                                <w:rPr>
                                  <w:b/>
                                  <w:color w:val="164194"/>
                                  <w:spacing w:val="-7"/>
                                  <w:sz w:val="28"/>
                                </w:rPr>
                                <w:t> </w:t>
                              </w:r>
                              <w:r>
                                <w:rPr>
                                  <w:b/>
                                  <w:color w:val="164194"/>
                                  <w:sz w:val="28"/>
                                </w:rPr>
                                <w:t>Government</w:t>
                              </w:r>
                              <w:r>
                                <w:rPr>
                                  <w:b/>
                                  <w:color w:val="164194"/>
                                  <w:spacing w:val="-8"/>
                                  <w:sz w:val="28"/>
                                </w:rPr>
                                <w:t> </w:t>
                              </w:r>
                              <w:r>
                                <w:rPr>
                                  <w:b/>
                                  <w:color w:val="164194"/>
                                  <w:sz w:val="28"/>
                                </w:rPr>
                                <w:t>and</w:t>
                              </w:r>
                              <w:r>
                                <w:rPr>
                                  <w:b/>
                                  <w:color w:val="164194"/>
                                  <w:spacing w:val="-7"/>
                                  <w:sz w:val="28"/>
                                </w:rPr>
                                <w:t> </w:t>
                              </w:r>
                              <w:r>
                                <w:rPr>
                                  <w:b/>
                                  <w:color w:val="164194"/>
                                  <w:sz w:val="28"/>
                                </w:rPr>
                                <w:t>relevant</w:t>
                              </w:r>
                              <w:r>
                                <w:rPr>
                                  <w:b/>
                                  <w:color w:val="164194"/>
                                  <w:spacing w:val="-7"/>
                                  <w:sz w:val="28"/>
                                </w:rPr>
                                <w:t> </w:t>
                              </w:r>
                              <w:r>
                                <w:rPr>
                                  <w:b/>
                                  <w:color w:val="164194"/>
                                  <w:sz w:val="28"/>
                                </w:rPr>
                                <w:t>NI</w:t>
                              </w:r>
                              <w:r>
                                <w:rPr>
                                  <w:b/>
                                  <w:color w:val="164194"/>
                                  <w:spacing w:val="-7"/>
                                  <w:sz w:val="28"/>
                                </w:rPr>
                                <w:t> </w:t>
                              </w:r>
                              <w:r>
                                <w:rPr>
                                  <w:b/>
                                  <w:color w:val="164194"/>
                                  <w:sz w:val="28"/>
                                </w:rPr>
                                <w:t>Executive</w:t>
                              </w:r>
                              <w:r>
                                <w:rPr>
                                  <w:b/>
                                  <w:color w:val="164194"/>
                                  <w:spacing w:val="-8"/>
                                  <w:sz w:val="28"/>
                                </w:rPr>
                                <w:t> </w:t>
                              </w:r>
                              <w:r>
                                <w:rPr>
                                  <w:b/>
                                  <w:color w:val="164194"/>
                                  <w:sz w:val="28"/>
                                </w:rPr>
                                <w:t>monitor</w:t>
                              </w:r>
                              <w:r>
                                <w:rPr>
                                  <w:b/>
                                  <w:color w:val="164194"/>
                                  <w:spacing w:val="-8"/>
                                  <w:sz w:val="28"/>
                                </w:rPr>
                                <w:t> </w:t>
                              </w:r>
                              <w:r>
                                <w:rPr>
                                  <w:b/>
                                  <w:color w:val="164194"/>
                                  <w:spacing w:val="-5"/>
                                  <w:sz w:val="28"/>
                                </w:rPr>
                                <w:t>EU</w:t>
                              </w:r>
                            </w:p>
                            <w:p>
                              <w:pPr>
                                <w:spacing w:line="232" w:lineRule="auto" w:before="0"/>
                                <w:ind w:left="0" w:right="18" w:firstLine="0"/>
                                <w:jc w:val="left"/>
                                <w:rPr>
                                  <w:b/>
                                  <w:sz w:val="28"/>
                                </w:rPr>
                              </w:pPr>
                              <w:r>
                                <w:rPr>
                                  <w:b/>
                                  <w:color w:val="164194"/>
                                  <w:sz w:val="28"/>
                                </w:rPr>
                                <w:t>measures to combat trafficking in human beings and proposals to combat child</w:t>
                              </w:r>
                              <w:r>
                                <w:rPr>
                                  <w:b/>
                                  <w:color w:val="164194"/>
                                  <w:spacing w:val="-5"/>
                                  <w:sz w:val="28"/>
                                </w:rPr>
                                <w:t> </w:t>
                              </w:r>
                              <w:r>
                                <w:rPr>
                                  <w:b/>
                                  <w:color w:val="164194"/>
                                  <w:sz w:val="28"/>
                                </w:rPr>
                                <w:t>sexual</w:t>
                              </w:r>
                              <w:r>
                                <w:rPr>
                                  <w:b/>
                                  <w:color w:val="164194"/>
                                  <w:spacing w:val="-5"/>
                                  <w:sz w:val="28"/>
                                </w:rPr>
                                <w:t> </w:t>
                              </w:r>
                              <w:r>
                                <w:rPr>
                                  <w:b/>
                                  <w:color w:val="164194"/>
                                  <w:sz w:val="28"/>
                                </w:rPr>
                                <w:t>abuse</w:t>
                              </w:r>
                              <w:r>
                                <w:rPr>
                                  <w:b/>
                                  <w:color w:val="164194"/>
                                  <w:spacing w:val="-6"/>
                                  <w:sz w:val="28"/>
                                </w:rPr>
                                <w:t> </w:t>
                              </w:r>
                              <w:r>
                                <w:rPr>
                                  <w:b/>
                                  <w:color w:val="164194"/>
                                  <w:sz w:val="28"/>
                                </w:rPr>
                                <w:t>online</w:t>
                              </w:r>
                              <w:r>
                                <w:rPr>
                                  <w:b/>
                                  <w:color w:val="164194"/>
                                  <w:spacing w:val="-6"/>
                                  <w:sz w:val="28"/>
                                </w:rPr>
                                <w:t> </w:t>
                              </w:r>
                              <w:r>
                                <w:rPr>
                                  <w:b/>
                                  <w:color w:val="164194"/>
                                  <w:sz w:val="28"/>
                                </w:rPr>
                                <w:t>with</w:t>
                              </w:r>
                              <w:r>
                                <w:rPr>
                                  <w:b/>
                                  <w:color w:val="164194"/>
                                  <w:spacing w:val="-5"/>
                                  <w:sz w:val="28"/>
                                </w:rPr>
                                <w:t> </w:t>
                              </w:r>
                              <w:r>
                                <w:rPr>
                                  <w:b/>
                                  <w:color w:val="164194"/>
                                  <w:sz w:val="28"/>
                                </w:rPr>
                                <w:t>a</w:t>
                              </w:r>
                              <w:r>
                                <w:rPr>
                                  <w:b/>
                                  <w:color w:val="164194"/>
                                  <w:spacing w:val="-5"/>
                                  <w:sz w:val="28"/>
                                </w:rPr>
                                <w:t> </w:t>
                              </w:r>
                              <w:r>
                                <w:rPr>
                                  <w:b/>
                                  <w:color w:val="164194"/>
                                  <w:sz w:val="28"/>
                                </w:rPr>
                                <w:t>view</w:t>
                              </w:r>
                              <w:r>
                                <w:rPr>
                                  <w:b/>
                                  <w:color w:val="164194"/>
                                  <w:spacing w:val="-6"/>
                                  <w:sz w:val="28"/>
                                </w:rPr>
                                <w:t> </w:t>
                              </w:r>
                              <w:r>
                                <w:rPr>
                                  <w:b/>
                                  <w:color w:val="164194"/>
                                  <w:sz w:val="28"/>
                                </w:rPr>
                                <w:t>to</w:t>
                              </w:r>
                              <w:r>
                                <w:rPr>
                                  <w:b/>
                                  <w:color w:val="164194"/>
                                  <w:spacing w:val="-5"/>
                                  <w:sz w:val="28"/>
                                </w:rPr>
                                <w:t> </w:t>
                              </w:r>
                              <w:r>
                                <w:rPr>
                                  <w:b/>
                                  <w:color w:val="164194"/>
                                  <w:sz w:val="28"/>
                                </w:rPr>
                                <w:t>assessing</w:t>
                              </w:r>
                              <w:r>
                                <w:rPr>
                                  <w:b/>
                                  <w:color w:val="164194"/>
                                  <w:spacing w:val="-6"/>
                                  <w:sz w:val="28"/>
                                </w:rPr>
                                <w:t> </w:t>
                              </w:r>
                              <w:r>
                                <w:rPr>
                                  <w:b/>
                                  <w:color w:val="164194"/>
                                  <w:sz w:val="28"/>
                                </w:rPr>
                                <w:t>whether</w:t>
                              </w:r>
                              <w:r>
                                <w:rPr>
                                  <w:b/>
                                  <w:color w:val="164194"/>
                                  <w:spacing w:val="-6"/>
                                  <w:sz w:val="28"/>
                                </w:rPr>
                                <w:t> </w:t>
                              </w:r>
                              <w:r>
                                <w:rPr>
                                  <w:b/>
                                  <w:color w:val="164194"/>
                                  <w:sz w:val="28"/>
                                </w:rPr>
                                <w:t>Northern</w:t>
                              </w:r>
                              <w:r>
                                <w:rPr>
                                  <w:b/>
                                  <w:color w:val="164194"/>
                                  <w:spacing w:val="-5"/>
                                  <w:sz w:val="28"/>
                                </w:rPr>
                                <w:t> </w:t>
                              </w:r>
                              <w:r>
                                <w:rPr>
                                  <w:b/>
                                  <w:color w:val="164194"/>
                                  <w:sz w:val="28"/>
                                </w:rPr>
                                <w:t>Ireland law needs amendment to reflect best international practice and deal with cross-border challenges. We recommend voluntary alignment in order to strengthen rights and to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000192pt;margin-top:-.00002pt;width:595.3pt;height:206.55pt;mso-position-horizontal-relative:page;mso-position-vertical-relative:page;z-index:15769600" id="docshapegroup164" coordorigin="0,0" coordsize="11906,4131">
                <v:shape style="position:absolute;left:1417;top:1530;width:9468;height:2601" id="docshape165" coordorigin="1417,1531" coordsize="9468,2601" path="m10658,1531l1644,1531,1572,1542,1510,1574,1461,1624,1429,1686,1417,1757,1417,3904,1429,3976,1461,4038,1510,4087,1572,4119,1644,4131,10658,4131,10730,4119,10792,4087,10841,4038,10873,3976,10885,3904,10885,1757,10873,1686,10841,1624,10792,1574,10730,1542,10658,1531xe" filled="true" fillcolor="#e9f3fc" stroked="false">
                  <v:path arrowok="t"/>
                  <v:fill type="solid"/>
                </v:shape>
                <v:shape style="position:absolute;left:0;top:0;width:11906;height:1819" id="docshape166"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167"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168" filled="false" stroked="false">
                  <v:textbox inset="0,0,0,0">
                    <w:txbxContent>
                      <w:p>
                        <w:pPr>
                          <w:spacing w:line="280" w:lineRule="exact" w:before="0"/>
                          <w:ind w:left="0" w:right="0" w:firstLine="0"/>
                          <w:jc w:val="left"/>
                          <w:rPr>
                            <w:b/>
                            <w:sz w:val="28"/>
                          </w:rPr>
                        </w:pPr>
                        <w:r>
                          <w:rPr>
                            <w:b/>
                            <w:color w:val="FFFFFF"/>
                            <w:spacing w:val="-5"/>
                            <w:sz w:val="28"/>
                          </w:rPr>
                          <w:t>13</w:t>
                        </w:r>
                      </w:p>
                    </w:txbxContent>
                  </v:textbox>
                  <w10:wrap type="none"/>
                </v:shape>
                <v:shape style="position:absolute;left:1757;top:1700;width:8835;height:2260" type="#_x0000_t202" id="docshape169" filled="false" stroked="false">
                  <v:textbox inset="0,0,0,0">
                    <w:txbxContent>
                      <w:p>
                        <w:pPr>
                          <w:spacing w:line="279" w:lineRule="exact" w:before="0"/>
                          <w:ind w:left="0" w:right="0"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the</w:t>
                        </w:r>
                        <w:r>
                          <w:rPr>
                            <w:b/>
                            <w:color w:val="164194"/>
                            <w:spacing w:val="-8"/>
                            <w:sz w:val="28"/>
                          </w:rPr>
                          <w:t> </w:t>
                        </w:r>
                        <w:r>
                          <w:rPr>
                            <w:b/>
                            <w:color w:val="164194"/>
                            <w:sz w:val="28"/>
                          </w:rPr>
                          <w:t>UK</w:t>
                        </w:r>
                        <w:r>
                          <w:rPr>
                            <w:b/>
                            <w:color w:val="164194"/>
                            <w:spacing w:val="-7"/>
                            <w:sz w:val="28"/>
                          </w:rPr>
                          <w:t> </w:t>
                        </w:r>
                        <w:r>
                          <w:rPr>
                            <w:b/>
                            <w:color w:val="164194"/>
                            <w:sz w:val="28"/>
                          </w:rPr>
                          <w:t>Government</w:t>
                        </w:r>
                        <w:r>
                          <w:rPr>
                            <w:b/>
                            <w:color w:val="164194"/>
                            <w:spacing w:val="-8"/>
                            <w:sz w:val="28"/>
                          </w:rPr>
                          <w:t> </w:t>
                        </w:r>
                        <w:r>
                          <w:rPr>
                            <w:b/>
                            <w:color w:val="164194"/>
                            <w:sz w:val="28"/>
                          </w:rPr>
                          <w:t>and</w:t>
                        </w:r>
                        <w:r>
                          <w:rPr>
                            <w:b/>
                            <w:color w:val="164194"/>
                            <w:spacing w:val="-7"/>
                            <w:sz w:val="28"/>
                          </w:rPr>
                          <w:t> </w:t>
                        </w:r>
                        <w:r>
                          <w:rPr>
                            <w:b/>
                            <w:color w:val="164194"/>
                            <w:sz w:val="28"/>
                          </w:rPr>
                          <w:t>relevant</w:t>
                        </w:r>
                        <w:r>
                          <w:rPr>
                            <w:b/>
                            <w:color w:val="164194"/>
                            <w:spacing w:val="-7"/>
                            <w:sz w:val="28"/>
                          </w:rPr>
                          <w:t> </w:t>
                        </w:r>
                        <w:r>
                          <w:rPr>
                            <w:b/>
                            <w:color w:val="164194"/>
                            <w:sz w:val="28"/>
                          </w:rPr>
                          <w:t>NI</w:t>
                        </w:r>
                        <w:r>
                          <w:rPr>
                            <w:b/>
                            <w:color w:val="164194"/>
                            <w:spacing w:val="-7"/>
                            <w:sz w:val="28"/>
                          </w:rPr>
                          <w:t> </w:t>
                        </w:r>
                        <w:r>
                          <w:rPr>
                            <w:b/>
                            <w:color w:val="164194"/>
                            <w:sz w:val="28"/>
                          </w:rPr>
                          <w:t>Executive</w:t>
                        </w:r>
                        <w:r>
                          <w:rPr>
                            <w:b/>
                            <w:color w:val="164194"/>
                            <w:spacing w:val="-8"/>
                            <w:sz w:val="28"/>
                          </w:rPr>
                          <w:t> </w:t>
                        </w:r>
                        <w:r>
                          <w:rPr>
                            <w:b/>
                            <w:color w:val="164194"/>
                            <w:sz w:val="28"/>
                          </w:rPr>
                          <w:t>monitor</w:t>
                        </w:r>
                        <w:r>
                          <w:rPr>
                            <w:b/>
                            <w:color w:val="164194"/>
                            <w:spacing w:val="-8"/>
                            <w:sz w:val="28"/>
                          </w:rPr>
                          <w:t> </w:t>
                        </w:r>
                        <w:r>
                          <w:rPr>
                            <w:b/>
                            <w:color w:val="164194"/>
                            <w:spacing w:val="-5"/>
                            <w:sz w:val="28"/>
                          </w:rPr>
                          <w:t>EU</w:t>
                        </w:r>
                      </w:p>
                      <w:p>
                        <w:pPr>
                          <w:spacing w:line="232" w:lineRule="auto" w:before="0"/>
                          <w:ind w:left="0" w:right="18" w:firstLine="0"/>
                          <w:jc w:val="left"/>
                          <w:rPr>
                            <w:b/>
                            <w:sz w:val="28"/>
                          </w:rPr>
                        </w:pPr>
                        <w:r>
                          <w:rPr>
                            <w:b/>
                            <w:color w:val="164194"/>
                            <w:sz w:val="28"/>
                          </w:rPr>
                          <w:t>measures to combat trafficking in human beings and proposals to combat child</w:t>
                        </w:r>
                        <w:r>
                          <w:rPr>
                            <w:b/>
                            <w:color w:val="164194"/>
                            <w:spacing w:val="-5"/>
                            <w:sz w:val="28"/>
                          </w:rPr>
                          <w:t> </w:t>
                        </w:r>
                        <w:r>
                          <w:rPr>
                            <w:b/>
                            <w:color w:val="164194"/>
                            <w:sz w:val="28"/>
                          </w:rPr>
                          <w:t>sexual</w:t>
                        </w:r>
                        <w:r>
                          <w:rPr>
                            <w:b/>
                            <w:color w:val="164194"/>
                            <w:spacing w:val="-5"/>
                            <w:sz w:val="28"/>
                          </w:rPr>
                          <w:t> </w:t>
                        </w:r>
                        <w:r>
                          <w:rPr>
                            <w:b/>
                            <w:color w:val="164194"/>
                            <w:sz w:val="28"/>
                          </w:rPr>
                          <w:t>abuse</w:t>
                        </w:r>
                        <w:r>
                          <w:rPr>
                            <w:b/>
                            <w:color w:val="164194"/>
                            <w:spacing w:val="-6"/>
                            <w:sz w:val="28"/>
                          </w:rPr>
                          <w:t> </w:t>
                        </w:r>
                        <w:r>
                          <w:rPr>
                            <w:b/>
                            <w:color w:val="164194"/>
                            <w:sz w:val="28"/>
                          </w:rPr>
                          <w:t>online</w:t>
                        </w:r>
                        <w:r>
                          <w:rPr>
                            <w:b/>
                            <w:color w:val="164194"/>
                            <w:spacing w:val="-6"/>
                            <w:sz w:val="28"/>
                          </w:rPr>
                          <w:t> </w:t>
                        </w:r>
                        <w:r>
                          <w:rPr>
                            <w:b/>
                            <w:color w:val="164194"/>
                            <w:sz w:val="28"/>
                          </w:rPr>
                          <w:t>with</w:t>
                        </w:r>
                        <w:r>
                          <w:rPr>
                            <w:b/>
                            <w:color w:val="164194"/>
                            <w:spacing w:val="-5"/>
                            <w:sz w:val="28"/>
                          </w:rPr>
                          <w:t> </w:t>
                        </w:r>
                        <w:r>
                          <w:rPr>
                            <w:b/>
                            <w:color w:val="164194"/>
                            <w:sz w:val="28"/>
                          </w:rPr>
                          <w:t>a</w:t>
                        </w:r>
                        <w:r>
                          <w:rPr>
                            <w:b/>
                            <w:color w:val="164194"/>
                            <w:spacing w:val="-5"/>
                            <w:sz w:val="28"/>
                          </w:rPr>
                          <w:t> </w:t>
                        </w:r>
                        <w:r>
                          <w:rPr>
                            <w:b/>
                            <w:color w:val="164194"/>
                            <w:sz w:val="28"/>
                          </w:rPr>
                          <w:t>view</w:t>
                        </w:r>
                        <w:r>
                          <w:rPr>
                            <w:b/>
                            <w:color w:val="164194"/>
                            <w:spacing w:val="-6"/>
                            <w:sz w:val="28"/>
                          </w:rPr>
                          <w:t> </w:t>
                        </w:r>
                        <w:r>
                          <w:rPr>
                            <w:b/>
                            <w:color w:val="164194"/>
                            <w:sz w:val="28"/>
                          </w:rPr>
                          <w:t>to</w:t>
                        </w:r>
                        <w:r>
                          <w:rPr>
                            <w:b/>
                            <w:color w:val="164194"/>
                            <w:spacing w:val="-5"/>
                            <w:sz w:val="28"/>
                          </w:rPr>
                          <w:t> </w:t>
                        </w:r>
                        <w:r>
                          <w:rPr>
                            <w:b/>
                            <w:color w:val="164194"/>
                            <w:sz w:val="28"/>
                          </w:rPr>
                          <w:t>assessing</w:t>
                        </w:r>
                        <w:r>
                          <w:rPr>
                            <w:b/>
                            <w:color w:val="164194"/>
                            <w:spacing w:val="-6"/>
                            <w:sz w:val="28"/>
                          </w:rPr>
                          <w:t> </w:t>
                        </w:r>
                        <w:r>
                          <w:rPr>
                            <w:b/>
                            <w:color w:val="164194"/>
                            <w:sz w:val="28"/>
                          </w:rPr>
                          <w:t>whether</w:t>
                        </w:r>
                        <w:r>
                          <w:rPr>
                            <w:b/>
                            <w:color w:val="164194"/>
                            <w:spacing w:val="-6"/>
                            <w:sz w:val="28"/>
                          </w:rPr>
                          <w:t> </w:t>
                        </w:r>
                        <w:r>
                          <w:rPr>
                            <w:b/>
                            <w:color w:val="164194"/>
                            <w:sz w:val="28"/>
                          </w:rPr>
                          <w:t>Northern</w:t>
                        </w:r>
                        <w:r>
                          <w:rPr>
                            <w:b/>
                            <w:color w:val="164194"/>
                            <w:spacing w:val="-5"/>
                            <w:sz w:val="28"/>
                          </w:rPr>
                          <w:t> </w:t>
                        </w:r>
                        <w:r>
                          <w:rPr>
                            <w:b/>
                            <w:color w:val="164194"/>
                            <w:sz w:val="28"/>
                          </w:rPr>
                          <w:t>Ireland law needs amendment to reflect best international practice and deal with cross-border challenges. We recommend voluntary alignment in order to strengthen rights and to reflect international human rights standards and best practice.</w:t>
                        </w:r>
                      </w:p>
                    </w:txbxContent>
                  </v:textbox>
                  <w10:wrap type="none"/>
                </v:shape>
                <w10:wrap type="none"/>
              </v:group>
            </w:pict>
          </mc:Fallback>
        </mc:AlternateConten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21"/>
        <w:rPr>
          <w:sz w:val="32"/>
        </w:rPr>
      </w:pPr>
    </w:p>
    <w:p>
      <w:pPr>
        <w:pStyle w:val="Heading2"/>
        <w:ind w:left="1117" w:firstLine="0"/>
      </w:pPr>
      <w:bookmarkStart w:name="Domestic Case Law Developments since Jan" w:id="18"/>
      <w:bookmarkEnd w:id="18"/>
      <w:r>
        <w:rPr>
          <w:b w:val="0"/>
        </w:rPr>
      </w:r>
      <w:bookmarkStart w:name="_bookmark7" w:id="19"/>
      <w:bookmarkEnd w:id="19"/>
      <w:r>
        <w:rPr>
          <w:b w:val="0"/>
        </w:rPr>
      </w:r>
      <w:r>
        <w:rPr>
          <w:color w:val="004A93"/>
        </w:rPr>
        <w:t>Domestic</w:t>
      </w:r>
      <w:r>
        <w:rPr>
          <w:color w:val="004A93"/>
          <w:spacing w:val="-7"/>
        </w:rPr>
        <w:t> </w:t>
      </w:r>
      <w:r>
        <w:rPr>
          <w:color w:val="004A93"/>
        </w:rPr>
        <w:t>Case</w:t>
      </w:r>
      <w:r>
        <w:rPr>
          <w:color w:val="004A93"/>
          <w:spacing w:val="-7"/>
        </w:rPr>
        <w:t> </w:t>
      </w:r>
      <w:r>
        <w:rPr>
          <w:color w:val="004A93"/>
        </w:rPr>
        <w:t>Law</w:t>
      </w:r>
      <w:r>
        <w:rPr>
          <w:color w:val="004A93"/>
          <w:spacing w:val="-6"/>
        </w:rPr>
        <w:t> </w:t>
      </w:r>
      <w:r>
        <w:rPr>
          <w:color w:val="004A93"/>
        </w:rPr>
        <w:t>Developments</w:t>
      </w:r>
      <w:r>
        <w:rPr>
          <w:color w:val="004A93"/>
          <w:spacing w:val="-6"/>
        </w:rPr>
        <w:t> </w:t>
      </w:r>
      <w:r>
        <w:rPr>
          <w:color w:val="004A93"/>
        </w:rPr>
        <w:t>since</w:t>
      </w:r>
      <w:r>
        <w:rPr>
          <w:color w:val="004A93"/>
          <w:spacing w:val="-6"/>
        </w:rPr>
        <w:t> </w:t>
      </w:r>
      <w:r>
        <w:rPr>
          <w:color w:val="004A93"/>
        </w:rPr>
        <w:t>January</w:t>
      </w:r>
      <w:r>
        <w:rPr>
          <w:color w:val="004A93"/>
          <w:spacing w:val="-6"/>
        </w:rPr>
        <w:t> </w:t>
      </w:r>
      <w:r>
        <w:rPr>
          <w:color w:val="004A93"/>
          <w:spacing w:val="-4"/>
        </w:rPr>
        <w:t>2022</w:t>
      </w:r>
    </w:p>
    <w:p>
      <w:pPr>
        <w:pStyle w:val="BodyText"/>
        <w:spacing w:before="9"/>
        <w:rPr>
          <w:b/>
          <w:sz w:val="5"/>
        </w:rPr>
      </w:pPr>
      <w:r>
        <w:rPr/>
        <mc:AlternateContent>
          <mc:Choice Requires="wps">
            <w:drawing>
              <wp:anchor distT="0" distB="0" distL="0" distR="0" allowOverlap="1" layoutInCell="1" locked="0" behindDoc="1" simplePos="0" relativeHeight="487627776">
                <wp:simplePos x="0" y="0"/>
                <wp:positionH relativeFrom="page">
                  <wp:posOffset>899999</wp:posOffset>
                </wp:positionH>
                <wp:positionV relativeFrom="paragraph">
                  <wp:posOffset>60201</wp:posOffset>
                </wp:positionV>
                <wp:extent cx="6012180" cy="127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740300pt;width:473.4pt;height:.1pt;mso-position-horizontal-relative:page;mso-position-vertical-relative:paragraph;z-index:-15688704;mso-wrap-distance-left:0;mso-wrap-distance-right:0" id="docshape170" coordorigin="1417,95" coordsize="9468,0" path="m1417,95l10885,95e" filled="false" stroked="true" strokeweight="1pt" strokecolor="#36a9e1">
                <v:path arrowok="t"/>
                <v:stroke dashstyle="solid"/>
                <w10:wrap type="topAndBottom"/>
              </v:shape>
            </w:pict>
          </mc:Fallback>
        </mc:AlternateContent>
      </w:r>
    </w:p>
    <w:p>
      <w:pPr>
        <w:pStyle w:val="BodyText"/>
        <w:spacing w:line="232" w:lineRule="auto" w:before="108"/>
        <w:ind w:left="1117" w:right="750"/>
      </w:pPr>
      <w:r>
        <w:rPr/>
        <w:t>The</w:t>
      </w:r>
      <w:r>
        <w:rPr>
          <w:spacing w:val="-1"/>
        </w:rPr>
        <w:t> </w:t>
      </w:r>
      <w:r>
        <w:rPr/>
        <w:t>outworkings</w:t>
      </w:r>
      <w:r>
        <w:rPr>
          <w:spacing w:val="-2"/>
        </w:rPr>
        <w:t> </w:t>
      </w:r>
      <w:r>
        <w:rPr/>
        <w:t>of</w:t>
      </w:r>
      <w:r>
        <w:rPr>
          <w:spacing w:val="-2"/>
        </w:rPr>
        <w:t> </w:t>
      </w:r>
      <w:r>
        <w:rPr/>
        <w:t>Brexit</w:t>
      </w:r>
      <w:r>
        <w:rPr>
          <w:spacing w:val="-1"/>
        </w:rPr>
        <w:t> </w:t>
      </w:r>
      <w:r>
        <w:rPr/>
        <w:t>and</w:t>
      </w:r>
      <w:r>
        <w:rPr>
          <w:spacing w:val="-2"/>
        </w:rPr>
        <w:t> </w:t>
      </w:r>
      <w:r>
        <w:rPr/>
        <w:t>the</w:t>
      </w:r>
      <w:r>
        <w:rPr>
          <w:spacing w:val="-1"/>
        </w:rPr>
        <w:t> </w:t>
      </w:r>
      <w:r>
        <w:rPr/>
        <w:t>Withdrawal</w:t>
      </w:r>
      <w:r>
        <w:rPr>
          <w:spacing w:val="-2"/>
        </w:rPr>
        <w:t> </w:t>
      </w:r>
      <w:r>
        <w:rPr/>
        <w:t>Agreement</w:t>
      </w:r>
      <w:r>
        <w:rPr>
          <w:spacing w:val="-1"/>
        </w:rPr>
        <w:t> </w:t>
      </w:r>
      <w:r>
        <w:rPr/>
        <w:t>has</w:t>
      </w:r>
      <w:r>
        <w:rPr>
          <w:spacing w:val="-2"/>
        </w:rPr>
        <w:t> </w:t>
      </w:r>
      <w:r>
        <w:rPr/>
        <w:t>created</w:t>
      </w:r>
      <w:r>
        <w:rPr>
          <w:spacing w:val="-2"/>
        </w:rPr>
        <w:t> </w:t>
      </w:r>
      <w:r>
        <w:rPr/>
        <w:t>a</w:t>
      </w:r>
      <w:r>
        <w:rPr>
          <w:spacing w:val="-2"/>
        </w:rPr>
        <w:t> </w:t>
      </w:r>
      <w:r>
        <w:rPr/>
        <w:t>somewhat complex picture where the role of EU law and concepts, the role of the CJEU and the status of EU law will differ depending on whether courts are dealing with retained (or assimilated) EU law, dealing with the Withdrawal Agreement or</w:t>
      </w:r>
      <w:r>
        <w:rPr/>
        <w:t> dealing</w:t>
      </w:r>
      <w:r>
        <w:rPr>
          <w:spacing w:val="-6"/>
        </w:rPr>
        <w:t> </w:t>
      </w:r>
      <w:r>
        <w:rPr/>
        <w:t>with</w:t>
      </w:r>
      <w:r>
        <w:rPr>
          <w:spacing w:val="-7"/>
        </w:rPr>
        <w:t> </w:t>
      </w:r>
      <w:r>
        <w:rPr/>
        <w:t>the</w:t>
      </w:r>
      <w:r>
        <w:rPr>
          <w:spacing w:val="-6"/>
        </w:rPr>
        <w:t> </w:t>
      </w:r>
      <w:r>
        <w:rPr/>
        <w:t>Windsor</w:t>
      </w:r>
      <w:r>
        <w:rPr>
          <w:spacing w:val="-6"/>
        </w:rPr>
        <w:t> </w:t>
      </w:r>
      <w:r>
        <w:rPr/>
        <w:t>Framework</w:t>
      </w:r>
      <w:r>
        <w:rPr>
          <w:spacing w:val="-6"/>
        </w:rPr>
        <w:t> </w:t>
      </w:r>
      <w:r>
        <w:rPr/>
        <w:t>including</w:t>
      </w:r>
      <w:r>
        <w:rPr>
          <w:spacing w:val="-6"/>
        </w:rPr>
        <w:t> </w:t>
      </w:r>
      <w:r>
        <w:rPr/>
        <w:t>Article</w:t>
      </w:r>
      <w:r>
        <w:rPr>
          <w:spacing w:val="-6"/>
        </w:rPr>
        <w:t> </w:t>
      </w:r>
      <w:r>
        <w:rPr/>
        <w:t>2</w:t>
      </w:r>
      <w:r>
        <w:rPr>
          <w:spacing w:val="-6"/>
        </w:rPr>
        <w:t> </w:t>
      </w:r>
      <w:r>
        <w:rPr/>
        <w:t>WF.</w:t>
      </w:r>
      <w:r>
        <w:rPr>
          <w:spacing w:val="-7"/>
        </w:rPr>
        <w:t> </w:t>
      </w:r>
      <w:r>
        <w:rPr/>
        <w:t>When</w:t>
      </w:r>
      <w:r>
        <w:rPr>
          <w:spacing w:val="-7"/>
        </w:rPr>
        <w:t> </w:t>
      </w:r>
      <w:r>
        <w:rPr/>
        <w:t>dealing</w:t>
      </w:r>
      <w:r>
        <w:rPr>
          <w:spacing w:val="-6"/>
        </w:rPr>
        <w:t> </w:t>
      </w:r>
      <w:r>
        <w:rPr/>
        <w:t>with</w:t>
      </w:r>
      <w:r>
        <w:rPr>
          <w:spacing w:val="-7"/>
        </w:rPr>
        <w:t> </w:t>
      </w:r>
      <w:r>
        <w:rPr/>
        <w:t>the Withdrawal Agreement, courts are bound by CJEU case law handed down prior to the end of the Brexit implementation period while they must have due regard to later</w:t>
      </w:r>
      <w:r>
        <w:rPr>
          <w:spacing w:val="-11"/>
        </w:rPr>
        <w:t> </w:t>
      </w:r>
      <w:r>
        <w:rPr/>
        <w:t>CJEU</w:t>
      </w:r>
      <w:r>
        <w:rPr>
          <w:spacing w:val="-11"/>
        </w:rPr>
        <w:t> </w:t>
      </w:r>
      <w:r>
        <w:rPr/>
        <w:t>case</w:t>
      </w:r>
      <w:r>
        <w:rPr>
          <w:spacing w:val="-11"/>
        </w:rPr>
        <w:t> </w:t>
      </w:r>
      <w:r>
        <w:rPr/>
        <w:t>law.</w:t>
      </w:r>
      <w:r>
        <w:rPr>
          <w:spacing w:val="-12"/>
        </w:rPr>
        <w:t> </w:t>
      </w:r>
      <w:r>
        <w:rPr/>
        <w:t>Withdrawal</w:t>
      </w:r>
      <w:r>
        <w:rPr>
          <w:spacing w:val="-12"/>
        </w:rPr>
        <w:t> </w:t>
      </w:r>
      <w:r>
        <w:rPr/>
        <w:t>Agreement</w:t>
      </w:r>
      <w:r>
        <w:rPr>
          <w:spacing w:val="-11"/>
        </w:rPr>
        <w:t> </w:t>
      </w:r>
      <w:r>
        <w:rPr/>
        <w:t>domestic</w:t>
      </w:r>
      <w:r>
        <w:rPr>
          <w:spacing w:val="-11"/>
        </w:rPr>
        <w:t> </w:t>
      </w:r>
      <w:r>
        <w:rPr/>
        <w:t>cases</w:t>
      </w:r>
      <w:r>
        <w:rPr>
          <w:spacing w:val="-12"/>
        </w:rPr>
        <w:t> </w:t>
      </w:r>
      <w:r>
        <w:rPr/>
        <w:t>therefore</w:t>
      </w:r>
      <w:r>
        <w:rPr>
          <w:spacing w:val="-11"/>
        </w:rPr>
        <w:t> </w:t>
      </w:r>
      <w:r>
        <w:rPr/>
        <w:t>may</w:t>
      </w:r>
      <w:r>
        <w:rPr>
          <w:spacing w:val="-11"/>
        </w:rPr>
        <w:t> </w:t>
      </w:r>
      <w:r>
        <w:rPr/>
        <w:t>still</w:t>
      </w:r>
      <w:r>
        <w:rPr>
          <w:spacing w:val="-12"/>
        </w:rPr>
        <w:t> </w:t>
      </w:r>
      <w:r>
        <w:rPr/>
        <w:t>refer to</w:t>
      </w:r>
      <w:r>
        <w:rPr>
          <w:spacing w:val="-5"/>
        </w:rPr>
        <w:t> </w:t>
      </w:r>
      <w:r>
        <w:rPr/>
        <w:t>matters</w:t>
      </w:r>
      <w:r>
        <w:rPr>
          <w:spacing w:val="-5"/>
        </w:rPr>
        <w:t> </w:t>
      </w:r>
      <w:r>
        <w:rPr/>
        <w:t>like</w:t>
      </w:r>
      <w:r>
        <w:rPr>
          <w:spacing w:val="-4"/>
        </w:rPr>
        <w:t> </w:t>
      </w:r>
      <w:r>
        <w:rPr/>
        <w:t>the</w:t>
      </w:r>
      <w:r>
        <w:rPr>
          <w:spacing w:val="-4"/>
        </w:rPr>
        <w:t> </w:t>
      </w:r>
      <w:r>
        <w:rPr/>
        <w:t>Charter</w:t>
      </w:r>
      <w:r>
        <w:rPr>
          <w:spacing w:val="-4"/>
        </w:rPr>
        <w:t> </w:t>
      </w:r>
      <w:r>
        <w:rPr/>
        <w:t>of</w:t>
      </w:r>
      <w:r>
        <w:rPr>
          <w:spacing w:val="-5"/>
        </w:rPr>
        <w:t> </w:t>
      </w:r>
      <w:r>
        <w:rPr/>
        <w:t>Fundamental</w:t>
      </w:r>
      <w:r>
        <w:rPr>
          <w:spacing w:val="-5"/>
        </w:rPr>
        <w:t> </w:t>
      </w:r>
      <w:r>
        <w:rPr/>
        <w:t>Rights</w:t>
      </w:r>
      <w:r>
        <w:rPr>
          <w:spacing w:val="-5"/>
        </w:rPr>
        <w:t> </w:t>
      </w:r>
      <w:r>
        <w:rPr/>
        <w:t>in</w:t>
      </w:r>
      <w:r>
        <w:rPr>
          <w:spacing w:val="-5"/>
        </w:rPr>
        <w:t> </w:t>
      </w:r>
      <w:r>
        <w:rPr/>
        <w:t>appropriate</w:t>
      </w:r>
      <w:r>
        <w:rPr>
          <w:spacing w:val="-4"/>
        </w:rPr>
        <w:t> </w:t>
      </w:r>
      <w:r>
        <w:rPr/>
        <w:t>cases.</w:t>
      </w:r>
      <w:r>
        <w:rPr>
          <w:spacing w:val="-5"/>
        </w:rPr>
        <w:t> </w:t>
      </w:r>
      <w:r>
        <w:rPr/>
        <w:t>In</w:t>
      </w:r>
      <w:r>
        <w:rPr>
          <w:spacing w:val="-5"/>
        </w:rPr>
        <w:t> </w:t>
      </w:r>
      <w:r>
        <w:rPr/>
        <w:t>Northern Ireland the obligation is stronger due to the Windsor Framework: as courts must continue to rely on CJEU case law interpreting relevant EU law and legal concepts even if the CJEU case law postdates the end of the implementation period.</w:t>
      </w:r>
    </w:p>
    <w:p>
      <w:pPr>
        <w:pStyle w:val="BodyText"/>
        <w:spacing w:line="232" w:lineRule="auto" w:before="265"/>
        <w:ind w:left="1117" w:right="738"/>
      </w:pPr>
      <w:r>
        <w:rPr/>
        <w:t>We</w:t>
      </w:r>
      <w:r>
        <w:rPr>
          <w:spacing w:val="-8"/>
        </w:rPr>
        <w:t> </w:t>
      </w:r>
      <w:r>
        <w:rPr/>
        <w:t>examine</w:t>
      </w:r>
      <w:r>
        <w:rPr>
          <w:spacing w:val="-8"/>
        </w:rPr>
        <w:t> </w:t>
      </w:r>
      <w:r>
        <w:rPr/>
        <w:t>important</w:t>
      </w:r>
      <w:r>
        <w:rPr>
          <w:spacing w:val="-8"/>
        </w:rPr>
        <w:t> </w:t>
      </w:r>
      <w:r>
        <w:rPr/>
        <w:t>case</w:t>
      </w:r>
      <w:r>
        <w:rPr>
          <w:spacing w:val="-8"/>
        </w:rPr>
        <w:t> </w:t>
      </w:r>
      <w:r>
        <w:rPr/>
        <w:t>law</w:t>
      </w:r>
      <w:r>
        <w:rPr>
          <w:spacing w:val="-8"/>
        </w:rPr>
        <w:t> </w:t>
      </w:r>
      <w:r>
        <w:rPr/>
        <w:t>interpreting</w:t>
      </w:r>
      <w:r>
        <w:rPr>
          <w:spacing w:val="-9"/>
        </w:rPr>
        <w:t> </w:t>
      </w:r>
      <w:r>
        <w:rPr/>
        <w:t>Article</w:t>
      </w:r>
      <w:r>
        <w:rPr>
          <w:spacing w:val="-8"/>
        </w:rPr>
        <w:t> </w:t>
      </w:r>
      <w:r>
        <w:rPr/>
        <w:t>2</w:t>
      </w:r>
      <w:r>
        <w:rPr>
          <w:spacing w:val="-8"/>
        </w:rPr>
        <w:t> </w:t>
      </w:r>
      <w:r>
        <w:rPr/>
        <w:t>WF</w:t>
      </w:r>
      <w:r>
        <w:rPr>
          <w:spacing w:val="-9"/>
        </w:rPr>
        <w:t> </w:t>
      </w:r>
      <w:r>
        <w:rPr/>
        <w:t>in</w:t>
      </w:r>
      <w:r>
        <w:rPr>
          <w:spacing w:val="-9"/>
        </w:rPr>
        <w:t> </w:t>
      </w:r>
      <w:r>
        <w:rPr/>
        <w:t>this</w:t>
      </w:r>
      <w:r>
        <w:rPr>
          <w:spacing w:val="-9"/>
        </w:rPr>
        <w:t> </w:t>
      </w:r>
      <w:r>
        <w:rPr/>
        <w:t>chapter.</w:t>
      </w:r>
      <w:r>
        <w:rPr>
          <w:spacing w:val="-9"/>
        </w:rPr>
        <w:t> </w:t>
      </w:r>
      <w:r>
        <w:rPr/>
        <w:t>The</w:t>
      </w:r>
      <w:r>
        <w:rPr>
          <w:spacing w:val="-8"/>
        </w:rPr>
        <w:t> </w:t>
      </w:r>
      <w:r>
        <w:rPr/>
        <w:t>Court of</w:t>
      </w:r>
      <w:r>
        <w:rPr>
          <w:spacing w:val="-4"/>
        </w:rPr>
        <w:t> </w:t>
      </w:r>
      <w:r>
        <w:rPr/>
        <w:t>Appeal</w:t>
      </w:r>
      <w:r>
        <w:rPr>
          <w:spacing w:val="-3"/>
        </w:rPr>
        <w:t> </w:t>
      </w:r>
      <w:r>
        <w:rPr>
          <w:i/>
        </w:rPr>
        <w:t>SPUC</w:t>
      </w:r>
      <w:r>
        <w:rPr>
          <w:i/>
          <w:spacing w:val="-4"/>
        </w:rPr>
        <w:t> </w:t>
      </w:r>
      <w:r>
        <w:rPr>
          <w:i/>
        </w:rPr>
        <w:t>case</w:t>
      </w:r>
      <w:r>
        <w:rPr>
          <w:vertAlign w:val="superscript"/>
        </w:rPr>
        <w:t>21</w:t>
      </w:r>
      <w:r>
        <w:rPr>
          <w:spacing w:val="-4"/>
          <w:vertAlign w:val="baseline"/>
        </w:rPr>
        <w:t> </w:t>
      </w:r>
      <w:r>
        <w:rPr>
          <w:vertAlign w:val="baseline"/>
        </w:rPr>
        <w:t>critically</w:t>
      </w:r>
      <w:r>
        <w:rPr>
          <w:spacing w:val="-3"/>
          <w:vertAlign w:val="baseline"/>
        </w:rPr>
        <w:t> </w:t>
      </w:r>
      <w:r>
        <w:rPr>
          <w:vertAlign w:val="baseline"/>
        </w:rPr>
        <w:t>established</w:t>
      </w:r>
      <w:r>
        <w:rPr>
          <w:spacing w:val="-4"/>
          <w:vertAlign w:val="baseline"/>
        </w:rPr>
        <w:t> </w:t>
      </w:r>
      <w:r>
        <w:rPr>
          <w:vertAlign w:val="baseline"/>
        </w:rPr>
        <w:t>a</w:t>
      </w:r>
      <w:r>
        <w:rPr>
          <w:spacing w:val="-4"/>
          <w:vertAlign w:val="baseline"/>
        </w:rPr>
        <w:t> </w:t>
      </w:r>
      <w:r>
        <w:rPr>
          <w:vertAlign w:val="baseline"/>
        </w:rPr>
        <w:t>six-element</w:t>
      </w:r>
      <w:r>
        <w:rPr>
          <w:spacing w:val="-3"/>
          <w:vertAlign w:val="baseline"/>
        </w:rPr>
        <w:t> </w:t>
      </w:r>
      <w:r>
        <w:rPr>
          <w:vertAlign w:val="baseline"/>
        </w:rPr>
        <w:t>test</w:t>
      </w:r>
      <w:r>
        <w:rPr>
          <w:spacing w:val="-3"/>
          <w:vertAlign w:val="baseline"/>
        </w:rPr>
        <w:t> </w:t>
      </w:r>
      <w:r>
        <w:rPr>
          <w:vertAlign w:val="baseline"/>
        </w:rPr>
        <w:t>for</w:t>
      </w:r>
      <w:r>
        <w:rPr>
          <w:spacing w:val="-3"/>
          <w:vertAlign w:val="baseline"/>
        </w:rPr>
        <w:t> </w:t>
      </w:r>
      <w:r>
        <w:rPr>
          <w:vertAlign w:val="baseline"/>
        </w:rPr>
        <w:t>the</w:t>
      </w:r>
      <w:r>
        <w:rPr>
          <w:spacing w:val="-3"/>
          <w:vertAlign w:val="baseline"/>
        </w:rPr>
        <w:t> </w:t>
      </w:r>
      <w:r>
        <w:rPr>
          <w:vertAlign w:val="baseline"/>
        </w:rPr>
        <w:t>application</w:t>
      </w:r>
      <w:r>
        <w:rPr>
          <w:spacing w:val="-4"/>
          <w:vertAlign w:val="baseline"/>
        </w:rPr>
        <w:t> </w:t>
      </w:r>
      <w:r>
        <w:rPr>
          <w:vertAlign w:val="baseline"/>
        </w:rPr>
        <w:t>of Article 2 WF. The subsequent High Court </w:t>
      </w:r>
      <w:r>
        <w:rPr>
          <w:i/>
          <w:vertAlign w:val="baseline"/>
        </w:rPr>
        <w:t>Angesom case</w:t>
      </w:r>
      <w:r>
        <w:rPr>
          <w:vertAlign w:val="superscript"/>
        </w:rPr>
        <w:t>22</w:t>
      </w:r>
      <w:r>
        <w:rPr>
          <w:vertAlign w:val="baseline"/>
        </w:rPr>
        <w:t> establishes that asylum- seekers are members of the community for the purposes of Article 2 WF; it also rejects a UK Government attempt to limit the relevance of the 1998 Agreement provisions on rights to the context of the conflict in 1998.</w:t>
      </w:r>
    </w:p>
    <w:p>
      <w:pPr>
        <w:pStyle w:val="BodyText"/>
        <w:spacing w:line="232" w:lineRule="auto" w:before="274"/>
        <w:ind w:left="1117" w:right="745"/>
      </w:pPr>
      <w:r>
        <w:rPr/>
        <w:t>In the </w:t>
      </w:r>
      <w:r>
        <w:rPr>
          <w:i/>
        </w:rPr>
        <w:t>Legacy Act cases (Dillon and others)</w:t>
      </w:r>
      <w:r>
        <w:rPr/>
        <w:t>,</w:t>
      </w:r>
      <w:r>
        <w:rPr>
          <w:vertAlign w:val="superscript"/>
        </w:rPr>
        <w:t>23</w:t>
      </w:r>
      <w:r>
        <w:rPr>
          <w:vertAlign w:val="baseline"/>
        </w:rPr>
        <w:t> the High Court for the first time</w:t>
      </w:r>
      <w:r>
        <w:rPr>
          <w:vertAlign w:val="baseline"/>
        </w:rPr>
        <w:t> (under the Windsor Framework) has disapplied sections of an Act of Parliament, a possibility</w:t>
      </w:r>
      <w:r>
        <w:rPr>
          <w:spacing w:val="-6"/>
          <w:vertAlign w:val="baseline"/>
        </w:rPr>
        <w:t> </w:t>
      </w:r>
      <w:r>
        <w:rPr>
          <w:vertAlign w:val="baseline"/>
        </w:rPr>
        <w:t>contemplated</w:t>
      </w:r>
      <w:r>
        <w:rPr>
          <w:spacing w:val="-7"/>
          <w:vertAlign w:val="baseline"/>
        </w:rPr>
        <w:t> </w:t>
      </w:r>
      <w:r>
        <w:rPr>
          <w:vertAlign w:val="baseline"/>
        </w:rPr>
        <w:t>by</w:t>
      </w:r>
      <w:r>
        <w:rPr>
          <w:spacing w:val="-6"/>
          <w:vertAlign w:val="baseline"/>
        </w:rPr>
        <w:t> </w:t>
      </w:r>
      <w:r>
        <w:rPr>
          <w:vertAlign w:val="baseline"/>
        </w:rPr>
        <w:t>Article</w:t>
      </w:r>
      <w:r>
        <w:rPr>
          <w:spacing w:val="-6"/>
          <w:vertAlign w:val="baseline"/>
        </w:rPr>
        <w:t> </w:t>
      </w:r>
      <w:r>
        <w:rPr>
          <w:vertAlign w:val="baseline"/>
        </w:rPr>
        <w:t>4</w:t>
      </w:r>
      <w:r>
        <w:rPr>
          <w:spacing w:val="-6"/>
          <w:vertAlign w:val="baseline"/>
        </w:rPr>
        <w:t> </w:t>
      </w:r>
      <w:r>
        <w:rPr>
          <w:vertAlign w:val="baseline"/>
        </w:rPr>
        <w:t>of</w:t>
      </w:r>
      <w:r>
        <w:rPr>
          <w:spacing w:val="-7"/>
          <w:vertAlign w:val="baseline"/>
        </w:rPr>
        <w:t> </w:t>
      </w:r>
      <w:r>
        <w:rPr>
          <w:vertAlign w:val="baseline"/>
        </w:rPr>
        <w:t>the</w:t>
      </w:r>
      <w:r>
        <w:rPr>
          <w:spacing w:val="-6"/>
          <w:vertAlign w:val="baseline"/>
        </w:rPr>
        <w:t> </w:t>
      </w:r>
      <w:r>
        <w:rPr>
          <w:vertAlign w:val="baseline"/>
        </w:rPr>
        <w:t>Withdrawal</w:t>
      </w:r>
      <w:r>
        <w:rPr>
          <w:spacing w:val="-7"/>
          <w:vertAlign w:val="baseline"/>
        </w:rPr>
        <w:t> </w:t>
      </w:r>
      <w:r>
        <w:rPr>
          <w:vertAlign w:val="baseline"/>
        </w:rPr>
        <w:t>Agreement</w:t>
      </w:r>
      <w:r>
        <w:rPr>
          <w:spacing w:val="-6"/>
          <w:vertAlign w:val="baseline"/>
        </w:rPr>
        <w:t> </w:t>
      </w:r>
      <w:r>
        <w:rPr>
          <w:vertAlign w:val="baseline"/>
        </w:rPr>
        <w:t>and</w:t>
      </w:r>
      <w:r>
        <w:rPr>
          <w:spacing w:val="-7"/>
          <w:vertAlign w:val="baseline"/>
        </w:rPr>
        <w:t> </w:t>
      </w:r>
      <w:r>
        <w:rPr>
          <w:vertAlign w:val="baseline"/>
        </w:rPr>
        <w:t>section</w:t>
      </w:r>
      <w:r>
        <w:rPr>
          <w:spacing w:val="-7"/>
          <w:vertAlign w:val="baseline"/>
        </w:rPr>
        <w:t> </w:t>
      </w:r>
      <w:r>
        <w:rPr>
          <w:vertAlign w:val="baseline"/>
        </w:rPr>
        <w:t>7(a) of the European Union (Withdrawal) Act 2018. Significantly the </w:t>
      </w:r>
      <w:r>
        <w:rPr>
          <w:i/>
          <w:vertAlign w:val="baseline"/>
        </w:rPr>
        <w:t>Legacy Act cases</w:t>
      </w:r>
      <w:r>
        <w:rPr>
          <w:i/>
          <w:vertAlign w:val="baseline"/>
        </w:rPr>
        <w:t> (Dillon and others) </w:t>
      </w:r>
      <w:r>
        <w:rPr>
          <w:vertAlign w:val="baseline"/>
        </w:rPr>
        <w:t>provides that the courts must adopt a ‘generous and purposive’</w:t>
      </w:r>
    </w:p>
    <w:p>
      <w:pPr>
        <w:pStyle w:val="BodyText"/>
        <w:spacing w:before="145"/>
        <w:rPr>
          <w:sz w:val="20"/>
        </w:rPr>
      </w:pPr>
      <w:r>
        <w:rPr/>
        <mc:AlternateContent>
          <mc:Choice Requires="wps">
            <w:drawing>
              <wp:anchor distT="0" distB="0" distL="0" distR="0" allowOverlap="1" layoutInCell="1" locked="0" behindDoc="1" simplePos="0" relativeHeight="487628288">
                <wp:simplePos x="0" y="0"/>
                <wp:positionH relativeFrom="page">
                  <wp:posOffset>899999</wp:posOffset>
                </wp:positionH>
                <wp:positionV relativeFrom="paragraph">
                  <wp:posOffset>262715</wp:posOffset>
                </wp:positionV>
                <wp:extent cx="6012180" cy="1270"/>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0.686285pt;width:473.4pt;height:.1pt;mso-position-horizontal-relative:page;mso-position-vertical-relative:paragraph;z-index:-15688192;mso-wrap-distance-left:0;mso-wrap-distance-right:0" id="docshape171" coordorigin="1417,414" coordsize="9468,0" path="m1417,414l10885,414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0" w:hanging="567"/>
        <w:jc w:val="left"/>
        <w:rPr>
          <w:sz w:val="18"/>
        </w:rPr>
      </w:pPr>
      <w:r>
        <w:rPr>
          <w:color w:val="1D71B8"/>
          <w:sz w:val="18"/>
          <w:u w:val="single" w:color="1D71B8"/>
        </w:rPr>
        <w:t>In</w:t>
      </w:r>
      <w:r>
        <w:rPr>
          <w:color w:val="1D71B8"/>
          <w:spacing w:val="-6"/>
          <w:sz w:val="18"/>
          <w:u w:val="single" w:color="1D71B8"/>
        </w:rPr>
        <w:t> </w:t>
      </w:r>
      <w:r>
        <w:rPr>
          <w:color w:val="1D71B8"/>
          <w:sz w:val="18"/>
          <w:u w:val="single" w:color="1D71B8"/>
        </w:rPr>
        <w:t>re</w:t>
      </w:r>
      <w:r>
        <w:rPr>
          <w:color w:val="1D71B8"/>
          <w:spacing w:val="-4"/>
          <w:sz w:val="18"/>
          <w:u w:val="single" w:color="1D71B8"/>
        </w:rPr>
        <w:t> </w:t>
      </w:r>
      <w:r>
        <w:rPr>
          <w:color w:val="1D71B8"/>
          <w:sz w:val="18"/>
          <w:u w:val="single" w:color="1D71B8"/>
        </w:rPr>
        <w:t>SPUC</w:t>
      </w:r>
      <w:r>
        <w:rPr>
          <w:color w:val="1D71B8"/>
          <w:spacing w:val="-5"/>
          <w:sz w:val="18"/>
          <w:u w:val="single" w:color="1D71B8"/>
        </w:rPr>
        <w:t> </w:t>
      </w:r>
      <w:r>
        <w:rPr>
          <w:color w:val="1D71B8"/>
          <w:sz w:val="18"/>
          <w:u w:val="single" w:color="1D71B8"/>
        </w:rPr>
        <w:t>Pro-Life</w:t>
      </w:r>
      <w:r>
        <w:rPr>
          <w:color w:val="1D71B8"/>
          <w:spacing w:val="-4"/>
          <w:sz w:val="18"/>
          <w:u w:val="single" w:color="1D71B8"/>
        </w:rPr>
        <w:t> </w:t>
      </w:r>
      <w:r>
        <w:rPr>
          <w:color w:val="1D71B8"/>
          <w:sz w:val="18"/>
          <w:u w:val="single" w:color="1D71B8"/>
        </w:rPr>
        <w:t>Ltd</w:t>
      </w:r>
      <w:r>
        <w:rPr>
          <w:color w:val="1D71B8"/>
          <w:spacing w:val="-5"/>
          <w:sz w:val="18"/>
          <w:u w:val="single" w:color="1D71B8"/>
        </w:rPr>
        <w:t> </w:t>
      </w:r>
      <w:r>
        <w:rPr>
          <w:color w:val="1D71B8"/>
          <w:sz w:val="18"/>
          <w:u w:val="single" w:color="1D71B8"/>
        </w:rPr>
        <w:t>(Abortion)</w:t>
      </w:r>
      <w:r>
        <w:rPr>
          <w:color w:val="1D71B8"/>
          <w:spacing w:val="-4"/>
          <w:sz w:val="18"/>
          <w:u w:val="none"/>
        </w:rPr>
        <w:t> </w:t>
      </w:r>
      <w:r>
        <w:rPr>
          <w:sz w:val="18"/>
          <w:u w:val="none"/>
        </w:rPr>
        <w:t>[2022]</w:t>
      </w:r>
      <w:r>
        <w:rPr>
          <w:spacing w:val="-4"/>
          <w:sz w:val="18"/>
          <w:u w:val="none"/>
        </w:rPr>
        <w:t> </w:t>
      </w:r>
      <w:r>
        <w:rPr>
          <w:sz w:val="18"/>
          <w:u w:val="none"/>
        </w:rPr>
        <w:t>NIQB</w:t>
      </w:r>
      <w:r>
        <w:rPr>
          <w:spacing w:val="-5"/>
          <w:sz w:val="18"/>
          <w:u w:val="none"/>
        </w:rPr>
        <w:t> </w:t>
      </w:r>
      <w:r>
        <w:rPr>
          <w:sz w:val="18"/>
          <w:u w:val="none"/>
        </w:rPr>
        <w:t>9,</w:t>
      </w:r>
      <w:r>
        <w:rPr>
          <w:spacing w:val="-4"/>
          <w:sz w:val="18"/>
          <w:u w:val="none"/>
        </w:rPr>
        <w:t> </w:t>
      </w:r>
      <w:r>
        <w:rPr>
          <w:sz w:val="18"/>
          <w:u w:val="none"/>
        </w:rPr>
        <w:t>(8</w:t>
      </w:r>
      <w:r>
        <w:rPr>
          <w:spacing w:val="-4"/>
          <w:sz w:val="18"/>
          <w:u w:val="none"/>
        </w:rPr>
        <w:t> </w:t>
      </w:r>
      <w:r>
        <w:rPr>
          <w:sz w:val="18"/>
          <w:u w:val="none"/>
        </w:rPr>
        <w:t>February</w:t>
      </w:r>
      <w:r>
        <w:rPr>
          <w:spacing w:val="-4"/>
          <w:sz w:val="18"/>
          <w:u w:val="none"/>
        </w:rPr>
        <w:t> </w:t>
      </w:r>
      <w:r>
        <w:rPr>
          <w:sz w:val="18"/>
          <w:u w:val="none"/>
        </w:rPr>
        <w:t>2022)</w:t>
      </w:r>
      <w:r>
        <w:rPr>
          <w:spacing w:val="-5"/>
          <w:sz w:val="18"/>
          <w:u w:val="none"/>
        </w:rPr>
        <w:t> </w:t>
      </w:r>
      <w:r>
        <w:rPr>
          <w:sz w:val="18"/>
          <w:u w:val="none"/>
        </w:rPr>
        <w:t>and</w:t>
      </w:r>
      <w:r>
        <w:rPr>
          <w:spacing w:val="-5"/>
          <w:sz w:val="18"/>
          <w:u w:val="none"/>
        </w:rPr>
        <w:t> </w:t>
      </w:r>
      <w:hyperlink r:id="rId32">
        <w:r>
          <w:rPr>
            <w:color w:val="1D71B8"/>
            <w:sz w:val="18"/>
            <w:u w:val="single" w:color="1D71B8"/>
          </w:rPr>
          <w:t>In</w:t>
        </w:r>
        <w:r>
          <w:rPr>
            <w:color w:val="1D71B8"/>
            <w:spacing w:val="-5"/>
            <w:sz w:val="18"/>
            <w:u w:val="single" w:color="1D71B8"/>
          </w:rPr>
          <w:t> </w:t>
        </w:r>
        <w:r>
          <w:rPr>
            <w:color w:val="1D71B8"/>
            <w:sz w:val="18"/>
            <w:u w:val="single" w:color="1D71B8"/>
          </w:rPr>
          <w:t>re</w:t>
        </w:r>
        <w:r>
          <w:rPr>
            <w:color w:val="1D71B8"/>
            <w:spacing w:val="-4"/>
            <w:sz w:val="18"/>
            <w:u w:val="single" w:color="1D71B8"/>
          </w:rPr>
          <w:t> </w:t>
        </w:r>
        <w:r>
          <w:rPr>
            <w:color w:val="1D71B8"/>
            <w:sz w:val="18"/>
            <w:u w:val="single" w:color="1D71B8"/>
          </w:rPr>
          <w:t>SPUC</w:t>
        </w:r>
        <w:r>
          <w:rPr>
            <w:color w:val="1D71B8"/>
            <w:spacing w:val="-5"/>
            <w:sz w:val="18"/>
            <w:u w:val="single" w:color="1D71B8"/>
          </w:rPr>
          <w:t> </w:t>
        </w:r>
        <w:r>
          <w:rPr>
            <w:color w:val="1D71B8"/>
            <w:sz w:val="18"/>
            <w:u w:val="single" w:color="1D71B8"/>
          </w:rPr>
          <w:t>Pro-Life</w:t>
        </w:r>
        <w:r>
          <w:rPr>
            <w:color w:val="1D71B8"/>
            <w:spacing w:val="-5"/>
            <w:sz w:val="18"/>
            <w:u w:val="single" w:color="1D71B8"/>
          </w:rPr>
          <w:t> </w:t>
        </w:r>
        <w:r>
          <w:rPr>
            <w:color w:val="1D71B8"/>
            <w:sz w:val="18"/>
            <w:u w:val="single" w:color="1D71B8"/>
          </w:rPr>
          <w:t>Ltd</w:t>
        </w:r>
        <w:r>
          <w:rPr>
            <w:color w:val="1D71B8"/>
            <w:spacing w:val="-5"/>
            <w:sz w:val="18"/>
            <w:u w:val="single" w:color="1D71B8"/>
          </w:rPr>
          <w:t> </w:t>
        </w:r>
        <w:r>
          <w:rPr>
            <w:color w:val="1D71B8"/>
            <w:sz w:val="18"/>
            <w:u w:val="single" w:color="1D71B8"/>
          </w:rPr>
          <w:t>(Abortion)</w:t>
        </w:r>
      </w:hyperlink>
      <w:r>
        <w:rPr>
          <w:color w:val="1D71B8"/>
          <w:spacing w:val="-4"/>
          <w:sz w:val="18"/>
          <w:u w:val="none"/>
        </w:rPr>
        <w:t> </w:t>
      </w:r>
      <w:r>
        <w:rPr>
          <w:sz w:val="18"/>
          <w:u w:val="none"/>
        </w:rPr>
        <w:t>[2023]</w:t>
      </w:r>
      <w:r>
        <w:rPr>
          <w:spacing w:val="-4"/>
          <w:sz w:val="18"/>
          <w:u w:val="none"/>
        </w:rPr>
        <w:t> </w:t>
      </w:r>
      <w:r>
        <w:rPr>
          <w:sz w:val="18"/>
          <w:u w:val="none"/>
        </w:rPr>
        <w:t>NICA</w:t>
      </w:r>
      <w:r>
        <w:rPr>
          <w:spacing w:val="-4"/>
          <w:sz w:val="18"/>
          <w:u w:val="none"/>
        </w:rPr>
        <w:t> </w:t>
      </w:r>
      <w:r>
        <w:rPr>
          <w:spacing w:val="-5"/>
          <w:sz w:val="18"/>
          <w:u w:val="none"/>
        </w:rPr>
        <w:t>35,</w:t>
      </w:r>
    </w:p>
    <w:p>
      <w:pPr>
        <w:spacing w:before="1"/>
        <w:ind w:left="1684" w:right="0" w:firstLine="0"/>
        <w:jc w:val="left"/>
        <w:rPr>
          <w:sz w:val="18"/>
        </w:rPr>
      </w:pPr>
      <w:r>
        <w:rPr>
          <w:sz w:val="18"/>
        </w:rPr>
        <w:t>(25</w:t>
      </w:r>
      <w:r>
        <w:rPr>
          <w:spacing w:val="-2"/>
          <w:sz w:val="18"/>
        </w:rPr>
        <w:t> </w:t>
      </w:r>
      <w:r>
        <w:rPr>
          <w:sz w:val="18"/>
        </w:rPr>
        <w:t>May</w:t>
      </w:r>
      <w:r>
        <w:rPr>
          <w:spacing w:val="-2"/>
          <w:sz w:val="18"/>
        </w:rPr>
        <w:t> 2023).</w:t>
      </w:r>
    </w:p>
    <w:p>
      <w:pPr>
        <w:pStyle w:val="ListParagraph"/>
        <w:numPr>
          <w:ilvl w:val="0"/>
          <w:numId w:val="9"/>
        </w:numPr>
        <w:tabs>
          <w:tab w:pos="1684" w:val="left" w:leader="none"/>
        </w:tabs>
        <w:spacing w:line="240" w:lineRule="auto" w:before="0" w:after="0"/>
        <w:ind w:left="1684" w:right="984" w:hanging="567"/>
        <w:jc w:val="left"/>
        <w:rPr>
          <w:sz w:val="18"/>
        </w:rPr>
      </w:pPr>
      <w:r>
        <w:rPr>
          <w:color w:val="1D71B8"/>
          <w:sz w:val="18"/>
          <w:u w:val="single" w:color="1D71B8"/>
        </w:rPr>
        <w:t>In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matter</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an</w:t>
      </w:r>
      <w:r>
        <w:rPr>
          <w:color w:val="1D71B8"/>
          <w:spacing w:val="-4"/>
          <w:sz w:val="18"/>
          <w:u w:val="single" w:color="1D71B8"/>
        </w:rPr>
        <w:t> </w:t>
      </w:r>
      <w:r>
        <w:rPr>
          <w:color w:val="1D71B8"/>
          <w:sz w:val="18"/>
          <w:u w:val="single" w:color="1D71B8"/>
        </w:rPr>
        <w:t>application</w:t>
      </w:r>
      <w:r>
        <w:rPr>
          <w:color w:val="1D71B8"/>
          <w:spacing w:val="-4"/>
          <w:sz w:val="18"/>
          <w:u w:val="single" w:color="1D71B8"/>
        </w:rPr>
        <w:t> </w:t>
      </w:r>
      <w:r>
        <w:rPr>
          <w:color w:val="1D71B8"/>
          <w:sz w:val="18"/>
          <w:u w:val="single" w:color="1D71B8"/>
        </w:rPr>
        <w:t>by</w:t>
      </w:r>
      <w:r>
        <w:rPr>
          <w:color w:val="1D71B8"/>
          <w:spacing w:val="-3"/>
          <w:sz w:val="18"/>
          <w:u w:val="single" w:color="1D71B8"/>
        </w:rPr>
        <w:t> </w:t>
      </w:r>
      <w:r>
        <w:rPr>
          <w:color w:val="1D71B8"/>
          <w:sz w:val="18"/>
          <w:u w:val="single" w:color="1D71B8"/>
        </w:rPr>
        <w:t>Aman</w:t>
      </w:r>
      <w:r>
        <w:rPr>
          <w:color w:val="1D71B8"/>
          <w:spacing w:val="-4"/>
          <w:sz w:val="18"/>
          <w:u w:val="single" w:color="1D71B8"/>
        </w:rPr>
        <w:t> </w:t>
      </w:r>
      <w:r>
        <w:rPr>
          <w:color w:val="1D71B8"/>
          <w:sz w:val="18"/>
          <w:u w:val="single" w:color="1D71B8"/>
        </w:rPr>
        <w:t>Angesom</w:t>
      </w:r>
      <w:r>
        <w:rPr>
          <w:color w:val="1D71B8"/>
          <w:spacing w:val="-3"/>
          <w:sz w:val="18"/>
          <w:u w:val="single" w:color="1D71B8"/>
        </w:rPr>
        <w:t> </w:t>
      </w:r>
      <w:r>
        <w:rPr>
          <w:color w:val="1D71B8"/>
          <w:sz w:val="18"/>
          <w:u w:val="single" w:color="1D71B8"/>
        </w:rPr>
        <w:t>for</w:t>
      </w:r>
      <w:r>
        <w:rPr>
          <w:color w:val="1D71B8"/>
          <w:spacing w:val="-3"/>
          <w:sz w:val="18"/>
          <w:u w:val="single" w:color="1D71B8"/>
        </w:rPr>
        <w:t> </w:t>
      </w:r>
      <w:r>
        <w:rPr>
          <w:color w:val="1D71B8"/>
          <w:sz w:val="18"/>
          <w:u w:val="single" w:color="1D71B8"/>
        </w:rPr>
        <w:t>judicial</w:t>
      </w:r>
      <w:r>
        <w:rPr>
          <w:color w:val="1D71B8"/>
          <w:spacing w:val="-4"/>
          <w:sz w:val="18"/>
          <w:u w:val="single" w:color="1D71B8"/>
        </w:rPr>
        <w:t> </w:t>
      </w:r>
      <w:r>
        <w:rPr>
          <w:color w:val="1D71B8"/>
          <w:sz w:val="18"/>
          <w:u w:val="single" w:color="1D71B8"/>
        </w:rPr>
        <w:t>review</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matter</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a</w:t>
      </w:r>
      <w:r>
        <w:rPr>
          <w:color w:val="1D71B8"/>
          <w:spacing w:val="-4"/>
          <w:sz w:val="18"/>
          <w:u w:val="single" w:color="1D71B8"/>
        </w:rPr>
        <w:t> </w:t>
      </w:r>
      <w:r>
        <w:rPr>
          <w:color w:val="1D71B8"/>
          <w:sz w:val="18"/>
          <w:u w:val="single" w:color="1D71B8"/>
        </w:rPr>
        <w:t>decision</w:t>
      </w:r>
      <w:r>
        <w:rPr>
          <w:color w:val="1D71B8"/>
          <w:spacing w:val="-4"/>
          <w:sz w:val="18"/>
          <w:u w:val="single" w:color="1D71B8"/>
        </w:rPr>
        <w:t> </w:t>
      </w:r>
      <w:r>
        <w:rPr>
          <w:color w:val="1D71B8"/>
          <w:sz w:val="18"/>
          <w:u w:val="single" w:color="1D71B8"/>
        </w:rPr>
        <w:t>by</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Secretary</w:t>
      </w:r>
      <w:r>
        <w:rPr>
          <w:color w:val="1D71B8"/>
          <w:spacing w:val="-3"/>
          <w:sz w:val="18"/>
          <w:u w:val="single" w:color="1D71B8"/>
        </w:rPr>
        <w:t> </w:t>
      </w:r>
      <w:r>
        <w:rPr>
          <w:color w:val="1D71B8"/>
          <w:sz w:val="18"/>
          <w:u w:val="single" w:color="1D71B8"/>
        </w:rPr>
        <w:t>of</w:t>
      </w:r>
      <w:r>
        <w:rPr>
          <w:color w:val="1D71B8"/>
          <w:sz w:val="18"/>
          <w:u w:val="none"/>
        </w:rPr>
        <w:t> </w:t>
      </w:r>
      <w:r>
        <w:rPr>
          <w:color w:val="1D71B8"/>
          <w:sz w:val="18"/>
          <w:u w:val="single" w:color="1D71B8"/>
        </w:rPr>
        <w:t>State for the Home Department, Northern Ireland Human Rights Commission and Equality Commission for Northern</w:t>
      </w:r>
      <w:r>
        <w:rPr>
          <w:color w:val="1D71B8"/>
          <w:sz w:val="18"/>
          <w:u w:val="none"/>
        </w:rPr>
        <w:t> </w:t>
      </w:r>
      <w:r>
        <w:rPr>
          <w:color w:val="1D71B8"/>
          <w:sz w:val="18"/>
          <w:u w:val="single" w:color="1D71B8"/>
        </w:rPr>
        <w:t>Ireland intervening</w:t>
      </w:r>
      <w:r>
        <w:rPr>
          <w:color w:val="1D71B8"/>
          <w:sz w:val="18"/>
          <w:u w:val="none"/>
        </w:rPr>
        <w:t> </w:t>
      </w:r>
      <w:r>
        <w:rPr>
          <w:sz w:val="18"/>
          <w:u w:val="none"/>
        </w:rPr>
        <w:t>[2023] NIKB 102, (18 October 2023).</w:t>
      </w:r>
    </w:p>
    <w:p>
      <w:pPr>
        <w:pStyle w:val="ListParagraph"/>
        <w:numPr>
          <w:ilvl w:val="0"/>
          <w:numId w:val="9"/>
        </w:numPr>
        <w:tabs>
          <w:tab w:pos="1684" w:val="left" w:leader="none"/>
        </w:tabs>
        <w:spacing w:line="240" w:lineRule="auto" w:before="1" w:after="0"/>
        <w:ind w:left="1684" w:right="819" w:hanging="567"/>
        <w:jc w:val="left"/>
        <w:rPr>
          <w:sz w:val="18"/>
        </w:rPr>
      </w:pPr>
      <w:r>
        <w:rPr>
          <w:color w:val="1D71B8"/>
          <w:sz w:val="18"/>
          <w:u w:val="single" w:color="1D71B8"/>
        </w:rPr>
        <w:t>The Legacy Act cases (Dillon and others)</w:t>
      </w:r>
      <w:r>
        <w:rPr>
          <w:sz w:val="18"/>
          <w:u w:val="none"/>
        </w:rPr>
        <w:t>; </w:t>
      </w:r>
      <w:r>
        <w:rPr>
          <w:i/>
          <w:sz w:val="18"/>
          <w:u w:val="none"/>
        </w:rPr>
        <w:t>In the matter of an application by Martina Dillon, John McEvoy and Lynda</w:t>
      </w:r>
      <w:r>
        <w:rPr>
          <w:i/>
          <w:sz w:val="18"/>
          <w:u w:val="none"/>
        </w:rPr>
        <w:t> McManus</w:t>
      </w:r>
      <w:r>
        <w:rPr>
          <w:i/>
          <w:spacing w:val="-4"/>
          <w:sz w:val="18"/>
          <w:u w:val="none"/>
        </w:rPr>
        <w:t> </w:t>
      </w:r>
      <w:r>
        <w:rPr>
          <w:i/>
          <w:sz w:val="18"/>
          <w:u w:val="none"/>
        </w:rPr>
        <w:t>for</w:t>
      </w:r>
      <w:r>
        <w:rPr>
          <w:i/>
          <w:spacing w:val="-3"/>
          <w:sz w:val="18"/>
          <w:u w:val="none"/>
        </w:rPr>
        <w:t> </w:t>
      </w:r>
      <w:r>
        <w:rPr>
          <w:i/>
          <w:sz w:val="18"/>
          <w:u w:val="none"/>
        </w:rPr>
        <w:t>judicial</w:t>
      </w:r>
      <w:r>
        <w:rPr>
          <w:i/>
          <w:spacing w:val="-4"/>
          <w:sz w:val="18"/>
          <w:u w:val="none"/>
        </w:rPr>
        <w:t> </w:t>
      </w:r>
      <w:r>
        <w:rPr>
          <w:i/>
          <w:sz w:val="18"/>
          <w:u w:val="none"/>
        </w:rPr>
        <w:t>review;</w:t>
      </w:r>
      <w:r>
        <w:rPr>
          <w:i/>
          <w:spacing w:val="-3"/>
          <w:sz w:val="18"/>
          <w:u w:val="none"/>
        </w:rPr>
        <w:t> </w:t>
      </w:r>
      <w:r>
        <w:rPr>
          <w:i/>
          <w:sz w:val="18"/>
          <w:u w:val="none"/>
        </w:rPr>
        <w:t>in</w:t>
      </w:r>
      <w:r>
        <w:rPr>
          <w:i/>
          <w:spacing w:val="-4"/>
          <w:sz w:val="18"/>
          <w:u w:val="none"/>
        </w:rPr>
        <w:t> </w:t>
      </w:r>
      <w:r>
        <w:rPr>
          <w:i/>
          <w:sz w:val="18"/>
          <w:u w:val="none"/>
        </w:rPr>
        <w:t>the</w:t>
      </w:r>
      <w:r>
        <w:rPr>
          <w:i/>
          <w:spacing w:val="-3"/>
          <w:sz w:val="18"/>
          <w:u w:val="none"/>
        </w:rPr>
        <w:t> </w:t>
      </w:r>
      <w:r>
        <w:rPr>
          <w:i/>
          <w:sz w:val="18"/>
          <w:u w:val="none"/>
        </w:rPr>
        <w:t>matter</w:t>
      </w:r>
      <w:r>
        <w:rPr>
          <w:i/>
          <w:spacing w:val="-3"/>
          <w:sz w:val="18"/>
          <w:u w:val="none"/>
        </w:rPr>
        <w:t> </w:t>
      </w:r>
      <w:r>
        <w:rPr>
          <w:i/>
          <w:sz w:val="18"/>
          <w:u w:val="none"/>
        </w:rPr>
        <w:t>of</w:t>
      </w:r>
      <w:r>
        <w:rPr>
          <w:i/>
          <w:spacing w:val="-4"/>
          <w:sz w:val="18"/>
          <w:u w:val="none"/>
        </w:rPr>
        <w:t> </w:t>
      </w:r>
      <w:r>
        <w:rPr>
          <w:i/>
          <w:sz w:val="18"/>
          <w:u w:val="none"/>
        </w:rPr>
        <w:t>an</w:t>
      </w:r>
      <w:r>
        <w:rPr>
          <w:i/>
          <w:spacing w:val="-4"/>
          <w:sz w:val="18"/>
          <w:u w:val="none"/>
        </w:rPr>
        <w:t> </w:t>
      </w:r>
      <w:r>
        <w:rPr>
          <w:i/>
          <w:sz w:val="18"/>
          <w:u w:val="none"/>
        </w:rPr>
        <w:t>application</w:t>
      </w:r>
      <w:r>
        <w:rPr>
          <w:i/>
          <w:spacing w:val="-4"/>
          <w:sz w:val="18"/>
          <w:u w:val="none"/>
        </w:rPr>
        <w:t> </w:t>
      </w:r>
      <w:r>
        <w:rPr>
          <w:i/>
          <w:sz w:val="18"/>
          <w:u w:val="none"/>
        </w:rPr>
        <w:t>by</w:t>
      </w:r>
      <w:r>
        <w:rPr>
          <w:i/>
          <w:spacing w:val="-4"/>
          <w:sz w:val="18"/>
          <w:u w:val="none"/>
        </w:rPr>
        <w:t> </w:t>
      </w:r>
      <w:r>
        <w:rPr>
          <w:i/>
          <w:sz w:val="18"/>
          <w:u w:val="none"/>
        </w:rPr>
        <w:t>Brigid</w:t>
      </w:r>
      <w:r>
        <w:rPr>
          <w:i/>
          <w:spacing w:val="-4"/>
          <w:sz w:val="18"/>
          <w:u w:val="none"/>
        </w:rPr>
        <w:t> </w:t>
      </w:r>
      <w:r>
        <w:rPr>
          <w:i/>
          <w:sz w:val="18"/>
          <w:u w:val="none"/>
        </w:rPr>
        <w:t>Hughes</w:t>
      </w:r>
      <w:r>
        <w:rPr>
          <w:i/>
          <w:spacing w:val="-4"/>
          <w:sz w:val="18"/>
          <w:u w:val="none"/>
        </w:rPr>
        <w:t> </w:t>
      </w:r>
      <w:r>
        <w:rPr>
          <w:i/>
          <w:sz w:val="18"/>
          <w:u w:val="none"/>
        </w:rPr>
        <w:t>to</w:t>
      </w:r>
      <w:r>
        <w:rPr>
          <w:i/>
          <w:spacing w:val="-4"/>
          <w:sz w:val="18"/>
          <w:u w:val="none"/>
        </w:rPr>
        <w:t> </w:t>
      </w:r>
      <w:r>
        <w:rPr>
          <w:i/>
          <w:sz w:val="18"/>
          <w:u w:val="none"/>
        </w:rPr>
        <w:t>apply</w:t>
      </w:r>
      <w:r>
        <w:rPr>
          <w:i/>
          <w:spacing w:val="-4"/>
          <w:sz w:val="18"/>
          <w:u w:val="none"/>
        </w:rPr>
        <w:t> </w:t>
      </w:r>
      <w:r>
        <w:rPr>
          <w:i/>
          <w:sz w:val="18"/>
          <w:u w:val="none"/>
        </w:rPr>
        <w:t>for</w:t>
      </w:r>
      <w:r>
        <w:rPr>
          <w:i/>
          <w:spacing w:val="-3"/>
          <w:sz w:val="18"/>
          <w:u w:val="none"/>
        </w:rPr>
        <w:t> </w:t>
      </w:r>
      <w:r>
        <w:rPr>
          <w:i/>
          <w:sz w:val="18"/>
          <w:u w:val="none"/>
        </w:rPr>
        <w:t>judicial</w:t>
      </w:r>
      <w:r>
        <w:rPr>
          <w:i/>
          <w:spacing w:val="-4"/>
          <w:sz w:val="18"/>
          <w:u w:val="none"/>
        </w:rPr>
        <w:t> </w:t>
      </w:r>
      <w:r>
        <w:rPr>
          <w:i/>
          <w:sz w:val="18"/>
          <w:u w:val="none"/>
        </w:rPr>
        <w:t>review;</w:t>
      </w:r>
      <w:r>
        <w:rPr>
          <w:i/>
          <w:spacing w:val="-3"/>
          <w:sz w:val="18"/>
          <w:u w:val="none"/>
        </w:rPr>
        <w:t> </w:t>
      </w:r>
      <w:r>
        <w:rPr>
          <w:i/>
          <w:sz w:val="18"/>
          <w:u w:val="none"/>
        </w:rPr>
        <w:t>in</w:t>
      </w:r>
      <w:r>
        <w:rPr>
          <w:i/>
          <w:spacing w:val="-4"/>
          <w:sz w:val="18"/>
          <w:u w:val="none"/>
        </w:rPr>
        <w:t> </w:t>
      </w:r>
      <w:r>
        <w:rPr>
          <w:i/>
          <w:sz w:val="18"/>
          <w:u w:val="none"/>
        </w:rPr>
        <w:t>the</w:t>
      </w:r>
      <w:r>
        <w:rPr>
          <w:i/>
          <w:spacing w:val="-3"/>
          <w:sz w:val="18"/>
          <w:u w:val="none"/>
        </w:rPr>
        <w:t> </w:t>
      </w:r>
      <w:r>
        <w:rPr>
          <w:i/>
          <w:sz w:val="18"/>
          <w:u w:val="none"/>
        </w:rPr>
        <w:t>matter</w:t>
      </w:r>
      <w:r>
        <w:rPr>
          <w:i/>
          <w:spacing w:val="-3"/>
          <w:sz w:val="18"/>
          <w:u w:val="none"/>
        </w:rPr>
        <w:t> </w:t>
      </w:r>
      <w:r>
        <w:rPr>
          <w:i/>
          <w:sz w:val="18"/>
          <w:u w:val="none"/>
        </w:rPr>
        <w:t>of an application by Teresa Jordan for judicial review; in the matter of an application by Gemma Gilvary for judicial review; and in the matter of an application by Patrick Fitzsimons for judicial review; and in the matter of the Northern Ireland Troubles (Legacy and Reconciliation) Act 2023 </w:t>
      </w:r>
      <w:r>
        <w:rPr>
          <w:sz w:val="18"/>
          <w:u w:val="none"/>
        </w:rPr>
        <w:t>[2024] NIKB 11, (28 February 2024).</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47008">
                <wp:simplePos x="0" y="0"/>
                <wp:positionH relativeFrom="page">
                  <wp:posOffset>0</wp:posOffset>
                </wp:positionH>
                <wp:positionV relativeFrom="page">
                  <wp:posOffset>0</wp:posOffset>
                </wp:positionV>
                <wp:extent cx="7560309" cy="115506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7560309" cy="1155065"/>
                          <a:chExt cx="7560309" cy="1155065"/>
                        </a:xfrm>
                      </wpg:grpSpPr>
                      <wps:wsp>
                        <wps:cNvPr id="228" name="Graphic 228"/>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229" name="Graphic 229"/>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69472" id="docshapegroup172" coordorigin="0,0" coordsize="11906,1819">
                <v:shape style="position:absolute;left:0;top:0;width:11906;height:1819" id="docshape173"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CJEU Case Law that Relates to the Windso" w:id="20"/>
      <w:bookmarkEnd w:id="20"/>
      <w:r>
        <w:rPr/>
      </w:r>
      <w:bookmarkStart w:name="_bookmark8" w:id="21"/>
      <w:bookmarkEnd w:id="21"/>
      <w:r>
        <w:rPr/>
      </w:r>
      <w:r>
        <w:rPr>
          <w:b/>
          <w:color w:val="FFFFFF"/>
          <w:spacing w:val="-5"/>
          <w:position w:val="-1"/>
          <w:sz w:val="28"/>
        </w:rPr>
        <w:t>14</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404"/>
      </w:pPr>
      <w:r>
        <w:rPr/>
        <w:t>approach</w:t>
      </w:r>
      <w:r>
        <w:rPr>
          <w:spacing w:val="-6"/>
        </w:rPr>
        <w:t> </w:t>
      </w:r>
      <w:r>
        <w:rPr/>
        <w:t>to</w:t>
      </w:r>
      <w:r>
        <w:rPr>
          <w:spacing w:val="-6"/>
        </w:rPr>
        <w:t> </w:t>
      </w:r>
      <w:r>
        <w:rPr/>
        <w:t>interpreting</w:t>
      </w:r>
      <w:r>
        <w:rPr>
          <w:spacing w:val="-6"/>
        </w:rPr>
        <w:t> </w:t>
      </w:r>
      <w:r>
        <w:rPr/>
        <w:t>Article</w:t>
      </w:r>
      <w:r>
        <w:rPr>
          <w:spacing w:val="-6"/>
        </w:rPr>
        <w:t> </w:t>
      </w:r>
      <w:r>
        <w:rPr/>
        <w:t>2</w:t>
      </w:r>
      <w:r>
        <w:rPr>
          <w:spacing w:val="-6"/>
        </w:rPr>
        <w:t> </w:t>
      </w:r>
      <w:r>
        <w:rPr/>
        <w:t>WF</w:t>
      </w:r>
      <w:r>
        <w:rPr>
          <w:spacing w:val="-6"/>
        </w:rPr>
        <w:t> </w:t>
      </w:r>
      <w:r>
        <w:rPr/>
        <w:t>and</w:t>
      </w:r>
      <w:r>
        <w:rPr>
          <w:spacing w:val="-6"/>
        </w:rPr>
        <w:t> </w:t>
      </w:r>
      <w:r>
        <w:rPr/>
        <w:t>the</w:t>
      </w:r>
      <w:r>
        <w:rPr>
          <w:spacing w:val="-6"/>
        </w:rPr>
        <w:t> </w:t>
      </w:r>
      <w:r>
        <w:rPr/>
        <w:t>1998</w:t>
      </w:r>
      <w:r>
        <w:rPr>
          <w:spacing w:val="-6"/>
        </w:rPr>
        <w:t> </w:t>
      </w:r>
      <w:r>
        <w:rPr/>
        <w:t>Agreement</w:t>
      </w:r>
      <w:r>
        <w:rPr>
          <w:spacing w:val="-6"/>
        </w:rPr>
        <w:t> </w:t>
      </w:r>
      <w:r>
        <w:rPr/>
        <w:t>section</w:t>
      </w:r>
      <w:r>
        <w:rPr>
          <w:spacing w:val="-6"/>
        </w:rPr>
        <w:t> </w:t>
      </w:r>
      <w:r>
        <w:rPr/>
        <w:t>on</w:t>
      </w:r>
      <w:r>
        <w:rPr>
          <w:spacing w:val="-6"/>
        </w:rPr>
        <w:t> </w:t>
      </w:r>
      <w:r>
        <w:rPr/>
        <w:t>Rights, Safeguards and Equality of Opportunity. This case is currently under appeal to the Court of Appeal. The High Court has also subsequently disapplied significant portions of the Illegal Migration Act, again confirming that the 1998 Agreement</w:t>
      </w:r>
    </w:p>
    <w:p>
      <w:pPr>
        <w:pStyle w:val="BodyText"/>
        <w:spacing w:line="232" w:lineRule="auto"/>
        <w:ind w:left="720" w:right="1087"/>
      </w:pPr>
      <w:r>
        <w:rPr/>
        <w:t>and</w:t>
      </w:r>
      <w:r>
        <w:rPr>
          <w:spacing w:val="-7"/>
        </w:rPr>
        <w:t> </w:t>
      </w:r>
      <w:r>
        <w:rPr/>
        <w:t>Article</w:t>
      </w:r>
      <w:r>
        <w:rPr>
          <w:spacing w:val="-6"/>
        </w:rPr>
        <w:t> </w:t>
      </w:r>
      <w:r>
        <w:rPr/>
        <w:t>WF</w:t>
      </w:r>
      <w:r>
        <w:rPr>
          <w:spacing w:val="-7"/>
        </w:rPr>
        <w:t> </w:t>
      </w:r>
      <w:r>
        <w:rPr/>
        <w:t>protect</w:t>
      </w:r>
      <w:r>
        <w:rPr>
          <w:spacing w:val="-6"/>
        </w:rPr>
        <w:t> </w:t>
      </w:r>
      <w:r>
        <w:rPr/>
        <w:t>the</w:t>
      </w:r>
      <w:r>
        <w:rPr>
          <w:spacing w:val="-6"/>
        </w:rPr>
        <w:t> </w:t>
      </w:r>
      <w:r>
        <w:rPr/>
        <w:t>rights</w:t>
      </w:r>
      <w:r>
        <w:rPr>
          <w:spacing w:val="-7"/>
        </w:rPr>
        <w:t> </w:t>
      </w:r>
      <w:r>
        <w:rPr/>
        <w:t>of</w:t>
      </w:r>
      <w:r>
        <w:rPr>
          <w:spacing w:val="-7"/>
        </w:rPr>
        <w:t> </w:t>
      </w:r>
      <w:r>
        <w:rPr/>
        <w:t>everyone</w:t>
      </w:r>
      <w:r>
        <w:rPr>
          <w:spacing w:val="-6"/>
        </w:rPr>
        <w:t> </w:t>
      </w:r>
      <w:r>
        <w:rPr/>
        <w:t>in</w:t>
      </w:r>
      <w:r>
        <w:rPr>
          <w:spacing w:val="-7"/>
        </w:rPr>
        <w:t> </w:t>
      </w:r>
      <w:r>
        <w:rPr/>
        <w:t>the</w:t>
      </w:r>
      <w:r>
        <w:rPr>
          <w:spacing w:val="-6"/>
        </w:rPr>
        <w:t> </w:t>
      </w:r>
      <w:r>
        <w:rPr/>
        <w:t>community,</w:t>
      </w:r>
      <w:r>
        <w:rPr>
          <w:spacing w:val="-6"/>
        </w:rPr>
        <w:t> </w:t>
      </w:r>
      <w:r>
        <w:rPr/>
        <w:t>including</w:t>
      </w:r>
      <w:r>
        <w:rPr>
          <w:spacing w:val="-6"/>
        </w:rPr>
        <w:t> </w:t>
      </w:r>
      <w:r>
        <w:rPr/>
        <w:t>asylum- </w:t>
      </w:r>
      <w:r>
        <w:rPr>
          <w:spacing w:val="-2"/>
        </w:rPr>
        <w:t>seekers.</w:t>
      </w:r>
      <w:r>
        <w:rPr>
          <w:spacing w:val="-2"/>
          <w:vertAlign w:val="superscript"/>
        </w:rPr>
        <w:t>24</w:t>
      </w:r>
    </w:p>
    <w:p>
      <w:pPr>
        <w:pStyle w:val="BodyText"/>
        <w:spacing w:before="49"/>
      </w:pPr>
    </w:p>
    <w:p>
      <w:pPr>
        <w:pStyle w:val="Heading2"/>
        <w:spacing w:line="208" w:lineRule="auto"/>
        <w:ind w:left="720" w:right="1087" w:firstLine="0"/>
      </w:pPr>
      <w:r>
        <w:rPr>
          <w:color w:val="004A93"/>
        </w:rPr>
        <w:t>CJEU</w:t>
      </w:r>
      <w:r>
        <w:rPr>
          <w:color w:val="004A93"/>
          <w:spacing w:val="-7"/>
        </w:rPr>
        <w:t> </w:t>
      </w:r>
      <w:r>
        <w:rPr>
          <w:color w:val="004A93"/>
        </w:rPr>
        <w:t>Case</w:t>
      </w:r>
      <w:r>
        <w:rPr>
          <w:color w:val="004A93"/>
          <w:spacing w:val="-8"/>
        </w:rPr>
        <w:t> </w:t>
      </w:r>
      <w:r>
        <w:rPr>
          <w:color w:val="004A93"/>
        </w:rPr>
        <w:t>Law</w:t>
      </w:r>
      <w:r>
        <w:rPr>
          <w:color w:val="004A93"/>
          <w:spacing w:val="-8"/>
        </w:rPr>
        <w:t> </w:t>
      </w:r>
      <w:r>
        <w:rPr>
          <w:color w:val="004A93"/>
        </w:rPr>
        <w:t>that</w:t>
      </w:r>
      <w:r>
        <w:rPr>
          <w:color w:val="004A93"/>
          <w:spacing w:val="-7"/>
        </w:rPr>
        <w:t> </w:t>
      </w:r>
      <w:r>
        <w:rPr>
          <w:color w:val="004A93"/>
        </w:rPr>
        <w:t>Relates</w:t>
      </w:r>
      <w:r>
        <w:rPr>
          <w:color w:val="004A93"/>
          <w:spacing w:val="-7"/>
        </w:rPr>
        <w:t> </w:t>
      </w:r>
      <w:r>
        <w:rPr>
          <w:color w:val="004A93"/>
        </w:rPr>
        <w:t>to</w:t>
      </w:r>
      <w:r>
        <w:rPr>
          <w:color w:val="004A93"/>
          <w:spacing w:val="-7"/>
        </w:rPr>
        <w:t> </w:t>
      </w:r>
      <w:r>
        <w:rPr>
          <w:color w:val="004A93"/>
        </w:rPr>
        <w:t>the</w:t>
      </w:r>
      <w:r>
        <w:rPr>
          <w:color w:val="004A93"/>
          <w:spacing w:val="-8"/>
        </w:rPr>
        <w:t> </w:t>
      </w:r>
      <w:r>
        <w:rPr>
          <w:color w:val="004A93"/>
        </w:rPr>
        <w:t>Windsor</w:t>
      </w:r>
      <w:r>
        <w:rPr>
          <w:color w:val="004A93"/>
          <w:spacing w:val="-8"/>
        </w:rPr>
        <w:t> </w:t>
      </w:r>
      <w:r>
        <w:rPr>
          <w:color w:val="004A93"/>
        </w:rPr>
        <w:t>Framework</w:t>
      </w:r>
      <w:r>
        <w:rPr>
          <w:color w:val="004A93"/>
          <w:spacing w:val="-8"/>
        </w:rPr>
        <w:t> </w:t>
      </w:r>
      <w:r>
        <w:rPr>
          <w:color w:val="004A93"/>
        </w:rPr>
        <w:t>Annex</w:t>
      </w:r>
      <w:r>
        <w:rPr>
          <w:color w:val="004A93"/>
          <w:spacing w:val="-8"/>
        </w:rPr>
        <w:t> </w:t>
      </w:r>
      <w:r>
        <w:rPr>
          <w:color w:val="004A93"/>
        </w:rPr>
        <w:t>1 Directives since January 2022</w:t>
      </w:r>
    </w:p>
    <w:p>
      <w:pPr>
        <w:pStyle w:val="BodyText"/>
        <w:spacing w:before="8"/>
        <w:rPr>
          <w:b/>
          <w:sz w:val="6"/>
        </w:rPr>
      </w:pPr>
      <w:r>
        <w:rPr/>
        <mc:AlternateContent>
          <mc:Choice Requires="wps">
            <w:drawing>
              <wp:anchor distT="0" distB="0" distL="0" distR="0" allowOverlap="1" layoutInCell="1" locked="0" behindDoc="1" simplePos="0" relativeHeight="487629312">
                <wp:simplePos x="0" y="0"/>
                <wp:positionH relativeFrom="page">
                  <wp:posOffset>647999</wp:posOffset>
                </wp:positionH>
                <wp:positionV relativeFrom="paragraph">
                  <wp:posOffset>67195</wp:posOffset>
                </wp:positionV>
                <wp:extent cx="6012180" cy="1270"/>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5.291022pt;width:473.4pt;height:.1pt;mso-position-horizontal-relative:page;mso-position-vertical-relative:paragraph;z-index:-15687168;mso-wrap-distance-left:0;mso-wrap-distance-right:0" id="docshape174" coordorigin="1020,106" coordsize="9468,0" path="m1020,106l10488,106e" filled="false" stroked="true" strokeweight="1pt" strokecolor="#36a9e1">
                <v:path arrowok="t"/>
                <v:stroke dashstyle="solid"/>
                <w10:wrap type="topAndBottom"/>
              </v:shape>
            </w:pict>
          </mc:Fallback>
        </mc:AlternateContent>
      </w:r>
    </w:p>
    <w:p>
      <w:pPr>
        <w:pStyle w:val="BodyText"/>
        <w:spacing w:line="232" w:lineRule="auto" w:before="108"/>
        <w:ind w:left="720" w:right="1143"/>
      </w:pPr>
      <w:r>
        <w:rPr/>
        <w:t>We examine the CJEU case law in relation to the Annex 1 directives since January 2022.</w:t>
      </w:r>
      <w:r>
        <w:rPr>
          <w:spacing w:val="-5"/>
        </w:rPr>
        <w:t> </w:t>
      </w:r>
      <w:r>
        <w:rPr/>
        <w:t>The</w:t>
      </w:r>
      <w:r>
        <w:rPr>
          <w:spacing w:val="-4"/>
        </w:rPr>
        <w:t> </w:t>
      </w:r>
      <w:r>
        <w:rPr/>
        <w:t>UK</w:t>
      </w:r>
      <w:r>
        <w:rPr>
          <w:spacing w:val="-4"/>
        </w:rPr>
        <w:t> </w:t>
      </w:r>
      <w:r>
        <w:rPr/>
        <w:t>courts</w:t>
      </w:r>
      <w:r>
        <w:rPr>
          <w:spacing w:val="-5"/>
        </w:rPr>
        <w:t> </w:t>
      </w:r>
      <w:r>
        <w:rPr/>
        <w:t>must</w:t>
      </w:r>
      <w:r>
        <w:rPr>
          <w:spacing w:val="-4"/>
        </w:rPr>
        <w:t> </w:t>
      </w:r>
      <w:r>
        <w:rPr/>
        <w:t>implement</w:t>
      </w:r>
      <w:r>
        <w:rPr>
          <w:spacing w:val="-4"/>
        </w:rPr>
        <w:t> </w:t>
      </w:r>
      <w:r>
        <w:rPr/>
        <w:t>and</w:t>
      </w:r>
      <w:r>
        <w:rPr>
          <w:spacing w:val="-5"/>
        </w:rPr>
        <w:t> </w:t>
      </w:r>
      <w:r>
        <w:rPr/>
        <w:t>apply</w:t>
      </w:r>
      <w:r>
        <w:rPr>
          <w:spacing w:val="-4"/>
        </w:rPr>
        <w:t> </w:t>
      </w:r>
      <w:r>
        <w:rPr/>
        <w:t>the</w:t>
      </w:r>
      <w:r>
        <w:rPr>
          <w:spacing w:val="-4"/>
        </w:rPr>
        <w:t> </w:t>
      </w:r>
      <w:r>
        <w:rPr/>
        <w:t>six</w:t>
      </w:r>
      <w:r>
        <w:rPr>
          <w:spacing w:val="-5"/>
        </w:rPr>
        <w:t> </w:t>
      </w:r>
      <w:r>
        <w:rPr/>
        <w:t>equality</w:t>
      </w:r>
      <w:r>
        <w:rPr>
          <w:spacing w:val="-4"/>
        </w:rPr>
        <w:t> </w:t>
      </w:r>
      <w:r>
        <w:rPr/>
        <w:t>directives</w:t>
      </w:r>
      <w:r>
        <w:rPr>
          <w:spacing w:val="-5"/>
        </w:rPr>
        <w:t> </w:t>
      </w:r>
      <w:r>
        <w:rPr/>
        <w:t>in</w:t>
      </w:r>
      <w:r>
        <w:rPr>
          <w:spacing w:val="-5"/>
        </w:rPr>
        <w:t> </w:t>
      </w:r>
      <w:r>
        <w:rPr/>
        <w:t>Annex 1 in respect of Northern Ireland law in conformity with CJEU case law.</w:t>
      </w:r>
    </w:p>
    <w:p>
      <w:pPr>
        <w:pStyle w:val="BodyText"/>
        <w:spacing w:line="232" w:lineRule="auto" w:before="279"/>
        <w:ind w:left="720" w:right="1886"/>
      </w:pPr>
      <w:r>
        <w:rPr>
          <w:i/>
        </w:rPr>
        <w:t>EB</w:t>
      </w:r>
      <w:r>
        <w:rPr>
          <w:i/>
          <w:spacing w:val="-10"/>
        </w:rPr>
        <w:t> </w:t>
      </w:r>
      <w:r>
        <w:rPr>
          <w:i/>
        </w:rPr>
        <w:t>v</w:t>
      </w:r>
      <w:r>
        <w:rPr>
          <w:i/>
          <w:spacing w:val="-10"/>
        </w:rPr>
        <w:t> </w:t>
      </w:r>
      <w:r>
        <w:rPr>
          <w:i/>
        </w:rPr>
        <w:t>BVAEB</w:t>
      </w:r>
      <w:r>
        <w:rPr>
          <w:vertAlign w:val="superscript"/>
        </w:rPr>
        <w:t>25</w:t>
      </w:r>
      <w:r>
        <w:rPr>
          <w:spacing w:val="-10"/>
          <w:vertAlign w:val="baseline"/>
        </w:rPr>
        <w:t> </w:t>
      </w:r>
      <w:r>
        <w:rPr>
          <w:vertAlign w:val="baseline"/>
        </w:rPr>
        <w:t>concerned</w:t>
      </w:r>
      <w:r>
        <w:rPr>
          <w:spacing w:val="-10"/>
          <w:vertAlign w:val="baseline"/>
        </w:rPr>
        <w:t> </w:t>
      </w:r>
      <w:r>
        <w:rPr>
          <w:vertAlign w:val="baseline"/>
        </w:rPr>
        <w:t>an</w:t>
      </w:r>
      <w:r>
        <w:rPr>
          <w:spacing w:val="-10"/>
          <w:vertAlign w:val="baseline"/>
        </w:rPr>
        <w:t> </w:t>
      </w:r>
      <w:r>
        <w:rPr>
          <w:vertAlign w:val="baseline"/>
        </w:rPr>
        <w:t>Austrian</w:t>
      </w:r>
      <w:r>
        <w:rPr>
          <w:spacing w:val="-10"/>
          <w:vertAlign w:val="baseline"/>
        </w:rPr>
        <w:t> </w:t>
      </w:r>
      <w:r>
        <w:rPr>
          <w:vertAlign w:val="baseline"/>
        </w:rPr>
        <w:t>law</w:t>
      </w:r>
      <w:r>
        <w:rPr>
          <w:spacing w:val="-10"/>
          <w:vertAlign w:val="baseline"/>
        </w:rPr>
        <w:t> </w:t>
      </w:r>
      <w:r>
        <w:rPr>
          <w:vertAlign w:val="baseline"/>
        </w:rPr>
        <w:t>capping</w:t>
      </w:r>
      <w:r>
        <w:rPr>
          <w:spacing w:val="-10"/>
          <w:vertAlign w:val="baseline"/>
        </w:rPr>
        <w:t> </w:t>
      </w:r>
      <w:r>
        <w:rPr>
          <w:vertAlign w:val="baseline"/>
        </w:rPr>
        <w:t>inflationary</w:t>
      </w:r>
      <w:r>
        <w:rPr>
          <w:spacing w:val="-10"/>
          <w:vertAlign w:val="baseline"/>
        </w:rPr>
        <w:t> </w:t>
      </w:r>
      <w:r>
        <w:rPr>
          <w:vertAlign w:val="baseline"/>
        </w:rPr>
        <w:t>adjustments</w:t>
      </w:r>
      <w:r>
        <w:rPr>
          <w:spacing w:val="-10"/>
          <w:vertAlign w:val="baseline"/>
        </w:rPr>
        <w:t> </w:t>
      </w:r>
      <w:r>
        <w:rPr>
          <w:vertAlign w:val="baseline"/>
        </w:rPr>
        <w:t>for high earners; this disproportionately affected men who brought an indirect discrimination claim. The Court ultimately rejected the claim. In so doing it highlights the importance of social justice arguments as a justification for</w:t>
      </w:r>
    </w:p>
    <w:p>
      <w:pPr>
        <w:pStyle w:val="BodyText"/>
        <w:spacing w:line="232" w:lineRule="auto"/>
        <w:ind w:left="720" w:right="1143"/>
      </w:pPr>
      <w:r>
        <w:rPr/>
        <w:t>restriction of the benefits. It scrutinises the justification closely and appears willing to accept there is prima facie indirect discrimination on the basis of relatively simple</w:t>
      </w:r>
      <w:r>
        <w:rPr>
          <w:spacing w:val="-8"/>
        </w:rPr>
        <w:t> </w:t>
      </w:r>
      <w:r>
        <w:rPr/>
        <w:t>statistical</w:t>
      </w:r>
      <w:r>
        <w:rPr>
          <w:spacing w:val="-9"/>
        </w:rPr>
        <w:t> </w:t>
      </w:r>
      <w:r>
        <w:rPr/>
        <w:t>evidence.</w:t>
      </w:r>
      <w:r>
        <w:rPr>
          <w:spacing w:val="-9"/>
        </w:rPr>
        <w:t> </w:t>
      </w:r>
      <w:r>
        <w:rPr/>
        <w:t>Importantly,</w:t>
      </w:r>
      <w:r>
        <w:rPr>
          <w:spacing w:val="-8"/>
        </w:rPr>
        <w:t> </w:t>
      </w:r>
      <w:r>
        <w:rPr/>
        <w:t>if</w:t>
      </w:r>
      <w:r>
        <w:rPr>
          <w:spacing w:val="-9"/>
        </w:rPr>
        <w:t> </w:t>
      </w:r>
      <w:r>
        <w:rPr/>
        <w:t>only</w:t>
      </w:r>
      <w:r>
        <w:rPr>
          <w:spacing w:val="-8"/>
        </w:rPr>
        <w:t> </w:t>
      </w:r>
      <w:r>
        <w:rPr/>
        <w:t>implicitly,</w:t>
      </w:r>
      <w:r>
        <w:rPr>
          <w:spacing w:val="-8"/>
        </w:rPr>
        <w:t> </w:t>
      </w:r>
      <w:r>
        <w:rPr/>
        <w:t>the</w:t>
      </w:r>
      <w:r>
        <w:rPr>
          <w:spacing w:val="-8"/>
        </w:rPr>
        <w:t> </w:t>
      </w:r>
      <w:r>
        <w:rPr/>
        <w:t>Court</w:t>
      </w:r>
      <w:r>
        <w:rPr>
          <w:spacing w:val="-8"/>
        </w:rPr>
        <w:t> </w:t>
      </w:r>
      <w:r>
        <w:rPr/>
        <w:t>seems</w:t>
      </w:r>
      <w:r>
        <w:rPr>
          <w:spacing w:val="-9"/>
        </w:rPr>
        <w:t> </w:t>
      </w:r>
      <w:r>
        <w:rPr/>
        <w:t>open</w:t>
      </w:r>
      <w:r>
        <w:rPr>
          <w:spacing w:val="-9"/>
        </w:rPr>
        <w:t> </w:t>
      </w:r>
      <w:r>
        <w:rPr/>
        <w:t>to</w:t>
      </w:r>
      <w:r>
        <w:rPr>
          <w:spacing w:val="-9"/>
        </w:rPr>
        <w:t> </w:t>
      </w:r>
      <w:r>
        <w:rPr/>
        <w:t>a more</w:t>
      </w:r>
      <w:r>
        <w:rPr>
          <w:spacing w:val="-8"/>
        </w:rPr>
        <w:t> </w:t>
      </w:r>
      <w:r>
        <w:rPr/>
        <w:t>contextual</w:t>
      </w:r>
      <w:r>
        <w:rPr>
          <w:spacing w:val="-8"/>
        </w:rPr>
        <w:t> </w:t>
      </w:r>
      <w:r>
        <w:rPr/>
        <w:t>approach,</w:t>
      </w:r>
      <w:r>
        <w:rPr>
          <w:spacing w:val="-8"/>
        </w:rPr>
        <w:t> </w:t>
      </w:r>
      <w:r>
        <w:rPr/>
        <w:t>recognising</w:t>
      </w:r>
      <w:r>
        <w:rPr>
          <w:spacing w:val="-8"/>
        </w:rPr>
        <w:t> </w:t>
      </w:r>
      <w:r>
        <w:rPr/>
        <w:t>that</w:t>
      </w:r>
      <w:r>
        <w:rPr>
          <w:spacing w:val="-8"/>
        </w:rPr>
        <w:t> </w:t>
      </w:r>
      <w:r>
        <w:rPr/>
        <w:t>part</w:t>
      </w:r>
      <w:r>
        <w:rPr>
          <w:spacing w:val="-8"/>
        </w:rPr>
        <w:t> </w:t>
      </w:r>
      <w:r>
        <w:rPr/>
        <w:t>of</w:t>
      </w:r>
      <w:r>
        <w:rPr>
          <w:spacing w:val="-8"/>
        </w:rPr>
        <w:t> </w:t>
      </w:r>
      <w:r>
        <w:rPr/>
        <w:t>the</w:t>
      </w:r>
      <w:r>
        <w:rPr>
          <w:spacing w:val="-8"/>
        </w:rPr>
        <w:t> </w:t>
      </w:r>
      <w:r>
        <w:rPr/>
        <w:t>justification</w:t>
      </w:r>
      <w:r>
        <w:rPr>
          <w:spacing w:val="-8"/>
        </w:rPr>
        <w:t> </w:t>
      </w:r>
      <w:r>
        <w:rPr/>
        <w:t>for</w:t>
      </w:r>
      <w:r>
        <w:rPr>
          <w:spacing w:val="-8"/>
        </w:rPr>
        <w:t> </w:t>
      </w:r>
      <w:r>
        <w:rPr/>
        <w:t>the</w:t>
      </w:r>
      <w:r>
        <w:rPr>
          <w:spacing w:val="-8"/>
        </w:rPr>
        <w:t> </w:t>
      </w:r>
      <w:r>
        <w:rPr/>
        <w:t>Austrian measure is the long-standing inequality experienced by women as regards pay.</w:t>
      </w:r>
    </w:p>
    <w:p>
      <w:pPr>
        <w:pStyle w:val="BodyText"/>
        <w:spacing w:line="232" w:lineRule="auto" w:before="269"/>
        <w:ind w:left="720" w:right="1087"/>
      </w:pPr>
      <w:r>
        <w:rPr>
          <w:i/>
        </w:rPr>
        <w:t>J.K.</w:t>
      </w:r>
      <w:r>
        <w:rPr>
          <w:i/>
          <w:spacing w:val="-6"/>
        </w:rPr>
        <w:t> </w:t>
      </w:r>
      <w:r>
        <w:rPr>
          <w:i/>
        </w:rPr>
        <w:t>v</w:t>
      </w:r>
      <w:r>
        <w:rPr>
          <w:i/>
          <w:spacing w:val="-5"/>
        </w:rPr>
        <w:t> </w:t>
      </w:r>
      <w:r>
        <w:rPr>
          <w:i/>
        </w:rPr>
        <w:t>TP</w:t>
      </w:r>
      <w:r>
        <w:rPr>
          <w:i/>
          <w:spacing w:val="-5"/>
        </w:rPr>
        <w:t> </w:t>
      </w:r>
      <w:r>
        <w:rPr>
          <w:i/>
        </w:rPr>
        <w:t>S.A.</w:t>
      </w:r>
      <w:r>
        <w:rPr>
          <w:vertAlign w:val="superscript"/>
        </w:rPr>
        <w:t>26</w:t>
      </w:r>
      <w:r>
        <w:rPr>
          <w:spacing w:val="-6"/>
          <w:vertAlign w:val="baseline"/>
        </w:rPr>
        <w:t> </w:t>
      </w:r>
      <w:r>
        <w:rPr>
          <w:vertAlign w:val="baseline"/>
        </w:rPr>
        <w:t>clarifies</w:t>
      </w:r>
      <w:r>
        <w:rPr>
          <w:spacing w:val="-6"/>
          <w:vertAlign w:val="baseline"/>
        </w:rPr>
        <w:t> </w:t>
      </w:r>
      <w:r>
        <w:rPr>
          <w:vertAlign w:val="baseline"/>
        </w:rPr>
        <w:t>the</w:t>
      </w:r>
      <w:r>
        <w:rPr>
          <w:spacing w:val="-5"/>
          <w:vertAlign w:val="baseline"/>
        </w:rPr>
        <w:t> </w:t>
      </w:r>
      <w:r>
        <w:rPr>
          <w:vertAlign w:val="baseline"/>
        </w:rPr>
        <w:t>personal</w:t>
      </w:r>
      <w:r>
        <w:rPr>
          <w:spacing w:val="-6"/>
          <w:vertAlign w:val="baseline"/>
        </w:rPr>
        <w:t> </w:t>
      </w:r>
      <w:r>
        <w:rPr>
          <w:vertAlign w:val="baseline"/>
        </w:rPr>
        <w:t>and</w:t>
      </w:r>
      <w:r>
        <w:rPr>
          <w:spacing w:val="-6"/>
          <w:vertAlign w:val="baseline"/>
        </w:rPr>
        <w:t> </w:t>
      </w:r>
      <w:r>
        <w:rPr>
          <w:vertAlign w:val="baseline"/>
        </w:rPr>
        <w:t>material</w:t>
      </w:r>
      <w:r>
        <w:rPr>
          <w:spacing w:val="-6"/>
          <w:vertAlign w:val="baseline"/>
        </w:rPr>
        <w:t> </w:t>
      </w:r>
      <w:r>
        <w:rPr>
          <w:vertAlign w:val="baseline"/>
        </w:rPr>
        <w:t>scope</w:t>
      </w:r>
      <w:r>
        <w:rPr>
          <w:spacing w:val="-5"/>
          <w:vertAlign w:val="baseline"/>
        </w:rPr>
        <w:t> </w:t>
      </w:r>
      <w:r>
        <w:rPr>
          <w:vertAlign w:val="baseline"/>
        </w:rPr>
        <w:t>of</w:t>
      </w:r>
      <w:r>
        <w:rPr>
          <w:spacing w:val="-6"/>
          <w:vertAlign w:val="baseline"/>
        </w:rPr>
        <w:t> </w:t>
      </w:r>
      <w:r>
        <w:rPr>
          <w:vertAlign w:val="baseline"/>
        </w:rPr>
        <w:t>the</w:t>
      </w:r>
      <w:r>
        <w:rPr>
          <w:spacing w:val="-5"/>
          <w:vertAlign w:val="baseline"/>
        </w:rPr>
        <w:t> </w:t>
      </w:r>
      <w:r>
        <w:rPr>
          <w:vertAlign w:val="baseline"/>
        </w:rPr>
        <w:t>prohibition</w:t>
      </w:r>
      <w:r>
        <w:rPr>
          <w:spacing w:val="-6"/>
          <w:vertAlign w:val="baseline"/>
        </w:rPr>
        <w:t> </w:t>
      </w:r>
      <w:r>
        <w:rPr>
          <w:vertAlign w:val="baseline"/>
        </w:rPr>
        <w:t>on</w:t>
      </w:r>
      <w:r>
        <w:rPr>
          <w:spacing w:val="-6"/>
          <w:vertAlign w:val="baseline"/>
        </w:rPr>
        <w:t> </w:t>
      </w:r>
      <w:r>
        <w:rPr>
          <w:vertAlign w:val="baseline"/>
        </w:rPr>
        <w:t>sexual orientation</w:t>
      </w:r>
      <w:r>
        <w:rPr>
          <w:spacing w:val="-9"/>
          <w:vertAlign w:val="baseline"/>
        </w:rPr>
        <w:t> </w:t>
      </w:r>
      <w:r>
        <w:rPr>
          <w:vertAlign w:val="baseline"/>
        </w:rPr>
        <w:t>discrimination.</w:t>
      </w:r>
      <w:r>
        <w:rPr>
          <w:spacing w:val="-9"/>
          <w:vertAlign w:val="baseline"/>
        </w:rPr>
        <w:t> </w:t>
      </w:r>
      <w:r>
        <w:rPr>
          <w:vertAlign w:val="baseline"/>
        </w:rPr>
        <w:t>It</w:t>
      </w:r>
      <w:r>
        <w:rPr>
          <w:spacing w:val="-8"/>
          <w:vertAlign w:val="baseline"/>
        </w:rPr>
        <w:t> </w:t>
      </w:r>
      <w:r>
        <w:rPr>
          <w:vertAlign w:val="baseline"/>
        </w:rPr>
        <w:t>specifies</w:t>
      </w:r>
      <w:r>
        <w:rPr>
          <w:spacing w:val="-9"/>
          <w:vertAlign w:val="baseline"/>
        </w:rPr>
        <w:t> </w:t>
      </w:r>
      <w:r>
        <w:rPr>
          <w:vertAlign w:val="baseline"/>
        </w:rPr>
        <w:t>that</w:t>
      </w:r>
      <w:r>
        <w:rPr>
          <w:spacing w:val="-8"/>
          <w:vertAlign w:val="baseline"/>
        </w:rPr>
        <w:t> </w:t>
      </w:r>
      <w:r>
        <w:rPr>
          <w:vertAlign w:val="baseline"/>
        </w:rPr>
        <w:t>the</w:t>
      </w:r>
      <w:r>
        <w:rPr>
          <w:spacing w:val="-8"/>
          <w:vertAlign w:val="baseline"/>
        </w:rPr>
        <w:t> </w:t>
      </w:r>
      <w:r>
        <w:rPr>
          <w:vertAlign w:val="baseline"/>
        </w:rPr>
        <w:t>prohibition</w:t>
      </w:r>
      <w:r>
        <w:rPr>
          <w:spacing w:val="-9"/>
          <w:vertAlign w:val="baseline"/>
        </w:rPr>
        <w:t> </w:t>
      </w:r>
      <w:r>
        <w:rPr>
          <w:vertAlign w:val="baseline"/>
        </w:rPr>
        <w:t>applies</w:t>
      </w:r>
      <w:r>
        <w:rPr>
          <w:spacing w:val="-9"/>
          <w:vertAlign w:val="baseline"/>
        </w:rPr>
        <w:t> </w:t>
      </w:r>
      <w:r>
        <w:rPr>
          <w:vertAlign w:val="baseline"/>
        </w:rPr>
        <w:t>to</w:t>
      </w:r>
      <w:r>
        <w:rPr>
          <w:spacing w:val="-9"/>
          <w:vertAlign w:val="baseline"/>
        </w:rPr>
        <w:t> </w:t>
      </w:r>
      <w:r>
        <w:rPr>
          <w:vertAlign w:val="baseline"/>
        </w:rPr>
        <w:t>self-employed workers</w:t>
      </w:r>
      <w:r>
        <w:rPr>
          <w:spacing w:val="-1"/>
          <w:vertAlign w:val="baseline"/>
        </w:rPr>
        <w:t> </w:t>
      </w:r>
      <w:r>
        <w:rPr>
          <w:vertAlign w:val="baseline"/>
        </w:rPr>
        <w:t>in</w:t>
      </w:r>
      <w:r>
        <w:rPr>
          <w:spacing w:val="-1"/>
          <w:vertAlign w:val="baseline"/>
        </w:rPr>
        <w:t> </w:t>
      </w:r>
      <w:r>
        <w:rPr>
          <w:vertAlign w:val="baseline"/>
        </w:rPr>
        <w:t>the context of</w:t>
      </w:r>
      <w:r>
        <w:rPr>
          <w:spacing w:val="-1"/>
          <w:vertAlign w:val="baseline"/>
        </w:rPr>
        <w:t> </w:t>
      </w:r>
      <w:r>
        <w:rPr>
          <w:vertAlign w:val="baseline"/>
        </w:rPr>
        <w:t>a</w:t>
      </w:r>
      <w:r>
        <w:rPr>
          <w:spacing w:val="-1"/>
          <w:vertAlign w:val="baseline"/>
        </w:rPr>
        <w:t> </w:t>
      </w:r>
      <w:r>
        <w:rPr>
          <w:vertAlign w:val="baseline"/>
        </w:rPr>
        <w:t>legal</w:t>
      </w:r>
      <w:r>
        <w:rPr>
          <w:spacing w:val="-1"/>
          <w:vertAlign w:val="baseline"/>
        </w:rPr>
        <w:t> </w:t>
      </w:r>
      <w:r>
        <w:rPr>
          <w:vertAlign w:val="baseline"/>
        </w:rPr>
        <w:t>relationship</w:t>
      </w:r>
      <w:r>
        <w:rPr>
          <w:spacing w:val="-1"/>
          <w:vertAlign w:val="baseline"/>
        </w:rPr>
        <w:t> </w:t>
      </w:r>
      <w:r>
        <w:rPr>
          <w:vertAlign w:val="baseline"/>
        </w:rPr>
        <w:t>characterised</w:t>
      </w:r>
      <w:r>
        <w:rPr>
          <w:spacing w:val="-1"/>
          <w:vertAlign w:val="baseline"/>
        </w:rPr>
        <w:t> </w:t>
      </w:r>
      <w:r>
        <w:rPr>
          <w:vertAlign w:val="baseline"/>
        </w:rPr>
        <w:t>by a</w:t>
      </w:r>
      <w:r>
        <w:rPr>
          <w:spacing w:val="-1"/>
          <w:vertAlign w:val="baseline"/>
        </w:rPr>
        <w:t> </w:t>
      </w:r>
      <w:r>
        <w:rPr>
          <w:vertAlign w:val="baseline"/>
        </w:rPr>
        <w:t>degree of</w:t>
      </w:r>
      <w:r>
        <w:rPr>
          <w:spacing w:val="-1"/>
          <w:vertAlign w:val="baseline"/>
        </w:rPr>
        <w:t> </w:t>
      </w:r>
      <w:r>
        <w:rPr>
          <w:vertAlign w:val="baseline"/>
        </w:rPr>
        <w:t>stability. It also clarifies that freedom of contract cannot be used to justify a refusal on grounds of sexual orientation to conclude or renew a contract concerning the performance of specific work.</w:t>
      </w:r>
    </w:p>
    <w:p>
      <w:pPr>
        <w:pStyle w:val="BodyText"/>
        <w:spacing w:line="232" w:lineRule="auto" w:before="274"/>
        <w:ind w:left="720" w:right="1087"/>
      </w:pPr>
      <w:r>
        <w:rPr>
          <w:i/>
        </w:rPr>
        <w:t>HR Rail</w:t>
      </w:r>
      <w:r>
        <w:rPr>
          <w:vertAlign w:val="superscript"/>
        </w:rPr>
        <w:t>27</w:t>
      </w:r>
      <w:r>
        <w:rPr>
          <w:vertAlign w:val="baseline"/>
        </w:rPr>
        <w:t> has strengthened protections for persons with disabilities by specifying that</w:t>
      </w:r>
      <w:r>
        <w:rPr>
          <w:spacing w:val="-1"/>
          <w:vertAlign w:val="baseline"/>
        </w:rPr>
        <w:t> </w:t>
      </w:r>
      <w:r>
        <w:rPr>
          <w:vertAlign w:val="baseline"/>
        </w:rPr>
        <w:t>genuine</w:t>
      </w:r>
      <w:r>
        <w:rPr>
          <w:spacing w:val="-1"/>
          <w:vertAlign w:val="baseline"/>
        </w:rPr>
        <w:t> </w:t>
      </w:r>
      <w:r>
        <w:rPr>
          <w:vertAlign w:val="baseline"/>
        </w:rPr>
        <w:t>occupational</w:t>
      </w:r>
      <w:r>
        <w:rPr>
          <w:spacing w:val="-2"/>
          <w:vertAlign w:val="baseline"/>
        </w:rPr>
        <w:t> </w:t>
      </w:r>
      <w:r>
        <w:rPr>
          <w:vertAlign w:val="baseline"/>
        </w:rPr>
        <w:t>requirements</w:t>
      </w:r>
      <w:r>
        <w:rPr>
          <w:spacing w:val="-2"/>
          <w:vertAlign w:val="baseline"/>
        </w:rPr>
        <w:t> </w:t>
      </w:r>
      <w:r>
        <w:rPr>
          <w:vertAlign w:val="baseline"/>
        </w:rPr>
        <w:t>exemption</w:t>
      </w:r>
      <w:r>
        <w:rPr>
          <w:spacing w:val="-2"/>
          <w:vertAlign w:val="baseline"/>
        </w:rPr>
        <w:t> </w:t>
      </w:r>
      <w:r>
        <w:rPr>
          <w:vertAlign w:val="baseline"/>
        </w:rPr>
        <w:t>cannot</w:t>
      </w:r>
      <w:r>
        <w:rPr>
          <w:spacing w:val="-1"/>
          <w:vertAlign w:val="baseline"/>
        </w:rPr>
        <w:t> </w:t>
      </w:r>
      <w:r>
        <w:rPr>
          <w:vertAlign w:val="baseline"/>
        </w:rPr>
        <w:t>justify</w:t>
      </w:r>
      <w:r>
        <w:rPr>
          <w:spacing w:val="-1"/>
          <w:vertAlign w:val="baseline"/>
        </w:rPr>
        <w:t> </w:t>
      </w:r>
      <w:r>
        <w:rPr>
          <w:vertAlign w:val="baseline"/>
        </w:rPr>
        <w:t>an</w:t>
      </w:r>
      <w:r>
        <w:rPr>
          <w:spacing w:val="-2"/>
          <w:vertAlign w:val="baseline"/>
        </w:rPr>
        <w:t> </w:t>
      </w:r>
      <w:r>
        <w:rPr>
          <w:vertAlign w:val="baseline"/>
        </w:rPr>
        <w:t>absolute</w:t>
      </w:r>
      <w:r>
        <w:rPr>
          <w:spacing w:val="-1"/>
          <w:vertAlign w:val="baseline"/>
        </w:rPr>
        <w:t> </w:t>
      </w:r>
      <w:r>
        <w:rPr>
          <w:vertAlign w:val="baseline"/>
        </w:rPr>
        <w:t>bar on</w:t>
      </w:r>
      <w:r>
        <w:rPr>
          <w:spacing w:val="-8"/>
          <w:vertAlign w:val="baseline"/>
        </w:rPr>
        <w:t> </w:t>
      </w:r>
      <w:r>
        <w:rPr>
          <w:vertAlign w:val="baseline"/>
        </w:rPr>
        <w:t>employment;</w:t>
      </w:r>
      <w:r>
        <w:rPr>
          <w:spacing w:val="-7"/>
          <w:vertAlign w:val="baseline"/>
        </w:rPr>
        <w:t> </w:t>
      </w:r>
      <w:r>
        <w:rPr>
          <w:vertAlign w:val="baseline"/>
        </w:rPr>
        <w:t>reasonable</w:t>
      </w:r>
      <w:r>
        <w:rPr>
          <w:spacing w:val="-7"/>
          <w:vertAlign w:val="baseline"/>
        </w:rPr>
        <w:t> </w:t>
      </w:r>
      <w:r>
        <w:rPr>
          <w:vertAlign w:val="baseline"/>
        </w:rPr>
        <w:t>accommodation</w:t>
      </w:r>
      <w:r>
        <w:rPr>
          <w:spacing w:val="-8"/>
          <w:vertAlign w:val="baseline"/>
        </w:rPr>
        <w:t> </w:t>
      </w:r>
      <w:r>
        <w:rPr>
          <w:vertAlign w:val="baseline"/>
        </w:rPr>
        <w:t>measures</w:t>
      </w:r>
      <w:r>
        <w:rPr>
          <w:spacing w:val="-8"/>
          <w:vertAlign w:val="baseline"/>
        </w:rPr>
        <w:t> </w:t>
      </w:r>
      <w:r>
        <w:rPr>
          <w:vertAlign w:val="baseline"/>
        </w:rPr>
        <w:t>are</w:t>
      </w:r>
      <w:r>
        <w:rPr>
          <w:spacing w:val="-7"/>
          <w:vertAlign w:val="baseline"/>
        </w:rPr>
        <w:t> </w:t>
      </w:r>
      <w:r>
        <w:rPr>
          <w:vertAlign w:val="baseline"/>
        </w:rPr>
        <w:t>required</w:t>
      </w:r>
      <w:r>
        <w:rPr>
          <w:spacing w:val="-8"/>
          <w:vertAlign w:val="baseline"/>
        </w:rPr>
        <w:t> </w:t>
      </w:r>
      <w:r>
        <w:rPr>
          <w:vertAlign w:val="baseline"/>
        </w:rPr>
        <w:t>in</w:t>
      </w:r>
      <w:r>
        <w:rPr>
          <w:spacing w:val="-8"/>
          <w:vertAlign w:val="baseline"/>
        </w:rPr>
        <w:t> </w:t>
      </w:r>
      <w:r>
        <w:rPr>
          <w:vertAlign w:val="baseline"/>
        </w:rPr>
        <w:t>such</w:t>
      </w:r>
      <w:r>
        <w:rPr>
          <w:spacing w:val="-8"/>
          <w:vertAlign w:val="baseline"/>
        </w:rPr>
        <w:t> </w:t>
      </w:r>
      <w:r>
        <w:rPr>
          <w:vertAlign w:val="baseline"/>
        </w:rPr>
        <w:t>cases.</w:t>
      </w:r>
    </w:p>
    <w:p>
      <w:pPr>
        <w:pStyle w:val="BodyText"/>
        <w:spacing w:line="232" w:lineRule="auto" w:before="279"/>
        <w:ind w:left="720" w:right="1203"/>
      </w:pPr>
      <w:r>
        <w:rPr>
          <w:i/>
        </w:rPr>
        <w:t>CJ v TGSS</w:t>
      </w:r>
      <w:r>
        <w:rPr>
          <w:vertAlign w:val="superscript"/>
        </w:rPr>
        <w:t>28</w:t>
      </w:r>
      <w:r>
        <w:rPr>
          <w:vertAlign w:val="baseline"/>
        </w:rPr>
        <w:t> offers important protection for domestic workers. The CJEU holds that a</w:t>
      </w:r>
      <w:r>
        <w:rPr>
          <w:spacing w:val="-8"/>
          <w:vertAlign w:val="baseline"/>
        </w:rPr>
        <w:t> </w:t>
      </w:r>
      <w:r>
        <w:rPr>
          <w:vertAlign w:val="baseline"/>
        </w:rPr>
        <w:t>Spanish</w:t>
      </w:r>
      <w:r>
        <w:rPr>
          <w:spacing w:val="-8"/>
          <w:vertAlign w:val="baseline"/>
        </w:rPr>
        <w:t> </w:t>
      </w:r>
      <w:r>
        <w:rPr>
          <w:vertAlign w:val="baseline"/>
        </w:rPr>
        <w:t>rule</w:t>
      </w:r>
      <w:r>
        <w:rPr>
          <w:spacing w:val="-7"/>
          <w:vertAlign w:val="baseline"/>
        </w:rPr>
        <w:t> </w:t>
      </w:r>
      <w:r>
        <w:rPr>
          <w:vertAlign w:val="baseline"/>
        </w:rPr>
        <w:t>excluding</w:t>
      </w:r>
      <w:r>
        <w:rPr>
          <w:spacing w:val="-7"/>
          <w:vertAlign w:val="baseline"/>
        </w:rPr>
        <w:t> </w:t>
      </w:r>
      <w:r>
        <w:rPr>
          <w:vertAlign w:val="baseline"/>
        </w:rPr>
        <w:t>domestic</w:t>
      </w:r>
      <w:r>
        <w:rPr>
          <w:spacing w:val="-7"/>
          <w:vertAlign w:val="baseline"/>
        </w:rPr>
        <w:t> </w:t>
      </w:r>
      <w:r>
        <w:rPr>
          <w:vertAlign w:val="baseline"/>
        </w:rPr>
        <w:t>workers</w:t>
      </w:r>
      <w:r>
        <w:rPr>
          <w:spacing w:val="-8"/>
          <w:vertAlign w:val="baseline"/>
        </w:rPr>
        <w:t> </w:t>
      </w:r>
      <w:r>
        <w:rPr>
          <w:vertAlign w:val="baseline"/>
        </w:rPr>
        <w:t>(the</w:t>
      </w:r>
      <w:r>
        <w:rPr>
          <w:spacing w:val="-7"/>
          <w:vertAlign w:val="baseline"/>
        </w:rPr>
        <w:t> </w:t>
      </w:r>
      <w:r>
        <w:rPr>
          <w:vertAlign w:val="baseline"/>
        </w:rPr>
        <w:t>vast</w:t>
      </w:r>
      <w:r>
        <w:rPr>
          <w:spacing w:val="-7"/>
          <w:vertAlign w:val="baseline"/>
        </w:rPr>
        <w:t> </w:t>
      </w:r>
      <w:r>
        <w:rPr>
          <w:vertAlign w:val="baseline"/>
        </w:rPr>
        <w:t>majority</w:t>
      </w:r>
      <w:r>
        <w:rPr>
          <w:spacing w:val="-7"/>
          <w:vertAlign w:val="baseline"/>
        </w:rPr>
        <w:t> </w:t>
      </w:r>
      <w:r>
        <w:rPr>
          <w:vertAlign w:val="baseline"/>
        </w:rPr>
        <w:t>of</w:t>
      </w:r>
      <w:r>
        <w:rPr>
          <w:spacing w:val="-8"/>
          <w:vertAlign w:val="baseline"/>
        </w:rPr>
        <w:t> </w:t>
      </w:r>
      <w:r>
        <w:rPr>
          <w:vertAlign w:val="baseline"/>
        </w:rPr>
        <w:t>them</w:t>
      </w:r>
      <w:r>
        <w:rPr>
          <w:spacing w:val="-7"/>
          <w:vertAlign w:val="baseline"/>
        </w:rPr>
        <w:t> </w:t>
      </w:r>
      <w:r>
        <w:rPr>
          <w:vertAlign w:val="baseline"/>
        </w:rPr>
        <w:t>female)</w:t>
      </w:r>
      <w:r>
        <w:rPr>
          <w:spacing w:val="-8"/>
          <w:vertAlign w:val="baseline"/>
        </w:rPr>
        <w:t> </w:t>
      </w:r>
      <w:r>
        <w:rPr>
          <w:vertAlign w:val="baseline"/>
        </w:rPr>
        <w:t>from unemployment benefit is unjustified indirect sex discrimination.</w:t>
      </w:r>
    </w:p>
    <w:p>
      <w:pPr>
        <w:pStyle w:val="BodyText"/>
        <w:spacing w:before="235"/>
        <w:rPr>
          <w:sz w:val="20"/>
        </w:rPr>
      </w:pPr>
      <w:r>
        <w:rPr/>
        <mc:AlternateContent>
          <mc:Choice Requires="wps">
            <w:drawing>
              <wp:anchor distT="0" distB="0" distL="0" distR="0" allowOverlap="1" layoutInCell="1" locked="0" behindDoc="1" simplePos="0" relativeHeight="487629824">
                <wp:simplePos x="0" y="0"/>
                <wp:positionH relativeFrom="page">
                  <wp:posOffset>647999</wp:posOffset>
                </wp:positionH>
                <wp:positionV relativeFrom="paragraph">
                  <wp:posOffset>319763</wp:posOffset>
                </wp:positionV>
                <wp:extent cx="6012180" cy="127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5.178238pt;width:473.4pt;height:.1pt;mso-position-horizontal-relative:page;mso-position-vertical-relative:paragraph;z-index:-15686656;mso-wrap-distance-left:0;mso-wrap-distance-right:0" id="docshape175" coordorigin="1020,504" coordsize="9468,0" path="m1020,504l10488,504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1802" w:hanging="567"/>
        <w:jc w:val="left"/>
        <w:rPr>
          <w:sz w:val="18"/>
        </w:rPr>
      </w:pPr>
      <w:r>
        <w:rPr>
          <w:sz w:val="18"/>
        </w:rPr>
        <w:t>Northern</w:t>
      </w:r>
      <w:r>
        <w:rPr>
          <w:spacing w:val="-6"/>
          <w:sz w:val="18"/>
        </w:rPr>
        <w:t> </w:t>
      </w:r>
      <w:r>
        <w:rPr>
          <w:sz w:val="18"/>
        </w:rPr>
        <w:t>Ireland</w:t>
      </w:r>
      <w:r>
        <w:rPr>
          <w:spacing w:val="-6"/>
          <w:sz w:val="18"/>
        </w:rPr>
        <w:t> </w:t>
      </w:r>
      <w:r>
        <w:rPr>
          <w:sz w:val="18"/>
        </w:rPr>
        <w:t>Human</w:t>
      </w:r>
      <w:r>
        <w:rPr>
          <w:spacing w:val="-6"/>
          <w:sz w:val="18"/>
        </w:rPr>
        <w:t> </w:t>
      </w:r>
      <w:r>
        <w:rPr>
          <w:sz w:val="18"/>
        </w:rPr>
        <w:t>Rights</w:t>
      </w:r>
      <w:r>
        <w:rPr>
          <w:spacing w:val="-6"/>
          <w:sz w:val="18"/>
        </w:rPr>
        <w:t> </w:t>
      </w:r>
      <w:r>
        <w:rPr>
          <w:sz w:val="18"/>
        </w:rPr>
        <w:t>Commission’s</w:t>
      </w:r>
      <w:r>
        <w:rPr>
          <w:spacing w:val="-6"/>
          <w:sz w:val="18"/>
        </w:rPr>
        <w:t> </w:t>
      </w:r>
      <w:r>
        <w:rPr>
          <w:sz w:val="18"/>
        </w:rPr>
        <w:t>Application</w:t>
      </w:r>
      <w:r>
        <w:rPr>
          <w:spacing w:val="-6"/>
          <w:sz w:val="18"/>
        </w:rPr>
        <w:t> </w:t>
      </w:r>
      <w:r>
        <w:rPr>
          <w:sz w:val="18"/>
        </w:rPr>
        <w:t>and</w:t>
      </w:r>
      <w:r>
        <w:rPr>
          <w:spacing w:val="-6"/>
          <w:sz w:val="18"/>
        </w:rPr>
        <w:t> </w:t>
      </w:r>
      <w:r>
        <w:rPr>
          <w:sz w:val="18"/>
        </w:rPr>
        <w:t>JR295’s</w:t>
      </w:r>
      <w:r>
        <w:rPr>
          <w:spacing w:val="-6"/>
          <w:sz w:val="18"/>
        </w:rPr>
        <w:t> </w:t>
      </w:r>
      <w:r>
        <w:rPr>
          <w:sz w:val="18"/>
        </w:rPr>
        <w:t>Application</w:t>
      </w:r>
      <w:r>
        <w:rPr>
          <w:spacing w:val="-6"/>
          <w:sz w:val="18"/>
        </w:rPr>
        <w:t> </w:t>
      </w:r>
      <w:r>
        <w:rPr>
          <w:sz w:val="18"/>
        </w:rPr>
        <w:t>and</w:t>
      </w:r>
      <w:r>
        <w:rPr>
          <w:spacing w:val="-6"/>
          <w:sz w:val="18"/>
        </w:rPr>
        <w:t> </w:t>
      </w:r>
      <w:r>
        <w:rPr>
          <w:sz w:val="18"/>
        </w:rPr>
        <w:t>In</w:t>
      </w:r>
      <w:r>
        <w:rPr>
          <w:spacing w:val="-6"/>
          <w:sz w:val="18"/>
        </w:rPr>
        <w:t> </w:t>
      </w:r>
      <w:r>
        <w:rPr>
          <w:sz w:val="18"/>
        </w:rPr>
        <w:t>the</w:t>
      </w:r>
      <w:r>
        <w:rPr>
          <w:spacing w:val="-5"/>
          <w:sz w:val="18"/>
        </w:rPr>
        <w:t> </w:t>
      </w:r>
      <w:r>
        <w:rPr>
          <w:sz w:val="18"/>
        </w:rPr>
        <w:t>matter</w:t>
      </w:r>
      <w:r>
        <w:rPr>
          <w:spacing w:val="-5"/>
          <w:sz w:val="18"/>
        </w:rPr>
        <w:t> </w:t>
      </w:r>
      <w:r>
        <w:rPr>
          <w:sz w:val="18"/>
        </w:rPr>
        <w:t>of</w:t>
      </w:r>
      <w:r>
        <w:rPr>
          <w:spacing w:val="-6"/>
          <w:sz w:val="18"/>
        </w:rPr>
        <w:t> </w:t>
      </w:r>
      <w:r>
        <w:rPr>
          <w:sz w:val="18"/>
        </w:rPr>
        <w:t>The</w:t>
      </w:r>
      <w:r>
        <w:rPr>
          <w:spacing w:val="-5"/>
          <w:sz w:val="18"/>
        </w:rPr>
        <w:t> </w:t>
      </w:r>
      <w:r>
        <w:rPr>
          <w:sz w:val="18"/>
        </w:rPr>
        <w:t>Illegal Migration Act 2023; [2024] NIKB 35, (13 May 2024) (</w:t>
      </w:r>
      <w:r>
        <w:rPr>
          <w:color w:val="1D71B8"/>
          <w:sz w:val="18"/>
          <w:u w:val="single" w:color="1D71B8"/>
        </w:rPr>
        <w:t>Illegal Migration Act case</w:t>
      </w:r>
      <w:r>
        <w:rPr>
          <w:sz w:val="18"/>
          <w:u w:val="none"/>
        </w:rPr>
        <w:t>).</w:t>
      </w:r>
    </w:p>
    <w:p>
      <w:pPr>
        <w:pStyle w:val="ListParagraph"/>
        <w:numPr>
          <w:ilvl w:val="0"/>
          <w:numId w:val="9"/>
        </w:numPr>
        <w:tabs>
          <w:tab w:pos="1287" w:val="left" w:leader="none"/>
        </w:tabs>
        <w:spacing w:line="240" w:lineRule="auto" w:before="1" w:after="0"/>
        <w:ind w:left="1287" w:right="0" w:hanging="567"/>
        <w:jc w:val="left"/>
        <w:rPr>
          <w:sz w:val="18"/>
        </w:rPr>
      </w:pPr>
      <w:r>
        <w:rPr>
          <w:sz w:val="18"/>
        </w:rPr>
        <w:t>C-405/20,</w:t>
      </w:r>
      <w:r>
        <w:rPr>
          <w:spacing w:val="-5"/>
          <w:sz w:val="18"/>
        </w:rPr>
        <w:t> </w:t>
      </w:r>
      <w:r>
        <w:rPr>
          <w:color w:val="1D71B8"/>
          <w:sz w:val="18"/>
          <w:u w:val="single" w:color="1D71B8"/>
        </w:rPr>
        <w:t>EB</w:t>
      </w:r>
      <w:r>
        <w:rPr>
          <w:color w:val="1D71B8"/>
          <w:spacing w:val="-3"/>
          <w:sz w:val="18"/>
          <w:u w:val="single" w:color="1D71B8"/>
        </w:rPr>
        <w:t> </w:t>
      </w:r>
      <w:r>
        <w:rPr>
          <w:color w:val="1D71B8"/>
          <w:sz w:val="18"/>
          <w:u w:val="single" w:color="1D71B8"/>
        </w:rPr>
        <w:t>v</w:t>
      </w:r>
      <w:r>
        <w:rPr>
          <w:color w:val="1D71B8"/>
          <w:spacing w:val="-3"/>
          <w:sz w:val="18"/>
          <w:u w:val="single" w:color="1D71B8"/>
        </w:rPr>
        <w:t> </w:t>
      </w:r>
      <w:r>
        <w:rPr>
          <w:color w:val="1D71B8"/>
          <w:sz w:val="18"/>
          <w:u w:val="single" w:color="1D71B8"/>
        </w:rPr>
        <w:t>BVAEB</w:t>
      </w:r>
      <w:r>
        <w:rPr>
          <w:sz w:val="18"/>
          <w:u w:val="none"/>
        </w:rPr>
        <w:t>,</w:t>
      </w:r>
      <w:r>
        <w:rPr>
          <w:spacing w:val="-3"/>
          <w:sz w:val="18"/>
          <w:u w:val="none"/>
        </w:rPr>
        <w:t> </w:t>
      </w:r>
      <w:r>
        <w:rPr>
          <w:sz w:val="18"/>
          <w:u w:val="none"/>
        </w:rPr>
        <w:t>judgment</w:t>
      </w:r>
      <w:r>
        <w:rPr>
          <w:spacing w:val="-3"/>
          <w:sz w:val="18"/>
          <w:u w:val="none"/>
        </w:rPr>
        <w:t> </w:t>
      </w:r>
      <w:r>
        <w:rPr>
          <w:sz w:val="18"/>
          <w:u w:val="none"/>
        </w:rPr>
        <w:t>of</w:t>
      </w:r>
      <w:r>
        <w:rPr>
          <w:spacing w:val="-4"/>
          <w:sz w:val="18"/>
          <w:u w:val="none"/>
        </w:rPr>
        <w:t> </w:t>
      </w:r>
      <w:r>
        <w:rPr>
          <w:sz w:val="18"/>
          <w:u w:val="none"/>
        </w:rPr>
        <w:t>5</w:t>
      </w:r>
      <w:r>
        <w:rPr>
          <w:spacing w:val="-3"/>
          <w:sz w:val="18"/>
          <w:u w:val="none"/>
        </w:rPr>
        <w:t> </w:t>
      </w:r>
      <w:r>
        <w:rPr>
          <w:sz w:val="18"/>
          <w:u w:val="none"/>
        </w:rPr>
        <w:t>May</w:t>
      </w:r>
      <w:r>
        <w:rPr>
          <w:spacing w:val="-3"/>
          <w:sz w:val="18"/>
          <w:u w:val="none"/>
        </w:rPr>
        <w:t> </w:t>
      </w:r>
      <w:r>
        <w:rPr>
          <w:sz w:val="18"/>
          <w:u w:val="none"/>
        </w:rPr>
        <w:t>2022,</w:t>
      </w:r>
      <w:r>
        <w:rPr>
          <w:spacing w:val="-3"/>
          <w:sz w:val="18"/>
          <w:u w:val="none"/>
        </w:rPr>
        <w:t> </w:t>
      </w:r>
      <w:r>
        <w:rPr>
          <w:spacing w:val="-2"/>
          <w:sz w:val="18"/>
          <w:u w:val="none"/>
        </w:rPr>
        <w:t>ECLI:EU:C:2022:347.</w:t>
      </w:r>
    </w:p>
    <w:p>
      <w:pPr>
        <w:pStyle w:val="ListParagraph"/>
        <w:numPr>
          <w:ilvl w:val="0"/>
          <w:numId w:val="9"/>
        </w:numPr>
        <w:tabs>
          <w:tab w:pos="1287" w:val="left" w:leader="none"/>
        </w:tabs>
        <w:spacing w:line="240" w:lineRule="auto" w:before="0" w:after="0"/>
        <w:ind w:left="1287" w:right="0" w:hanging="567"/>
        <w:jc w:val="left"/>
        <w:rPr>
          <w:sz w:val="18"/>
        </w:rPr>
      </w:pPr>
      <w:r>
        <w:rPr>
          <w:sz w:val="18"/>
        </w:rPr>
        <w:t>C-356/21</w:t>
      </w:r>
      <w:r>
        <w:rPr>
          <w:spacing w:val="-2"/>
          <w:sz w:val="18"/>
        </w:rPr>
        <w:t> </w:t>
      </w:r>
      <w:r>
        <w:rPr>
          <w:color w:val="1D71B8"/>
          <w:sz w:val="18"/>
          <w:u w:val="single" w:color="1D71B8"/>
        </w:rPr>
        <w:t>J.K.</w:t>
      </w:r>
      <w:r>
        <w:rPr>
          <w:color w:val="1D71B8"/>
          <w:spacing w:val="-2"/>
          <w:sz w:val="18"/>
          <w:u w:val="single" w:color="1D71B8"/>
        </w:rPr>
        <w:t> </w:t>
      </w:r>
      <w:r>
        <w:rPr>
          <w:color w:val="1D71B8"/>
          <w:sz w:val="18"/>
          <w:u w:val="single" w:color="1D71B8"/>
        </w:rPr>
        <w:t>v</w:t>
      </w:r>
      <w:r>
        <w:rPr>
          <w:color w:val="1D71B8"/>
          <w:spacing w:val="-1"/>
          <w:sz w:val="18"/>
          <w:u w:val="single" w:color="1D71B8"/>
        </w:rPr>
        <w:t> </w:t>
      </w:r>
      <w:r>
        <w:rPr>
          <w:color w:val="1D71B8"/>
          <w:sz w:val="18"/>
          <w:u w:val="single" w:color="1D71B8"/>
        </w:rPr>
        <w:t>TP S.A</w:t>
      </w:r>
      <w:r>
        <w:rPr>
          <w:sz w:val="18"/>
          <w:u w:val="none"/>
        </w:rPr>
        <w:t>.,</w:t>
      </w:r>
      <w:r>
        <w:rPr>
          <w:spacing w:val="-1"/>
          <w:sz w:val="18"/>
          <w:u w:val="none"/>
        </w:rPr>
        <w:t> </w:t>
      </w:r>
      <w:r>
        <w:rPr>
          <w:sz w:val="18"/>
          <w:u w:val="none"/>
        </w:rPr>
        <w:t>judgment</w:t>
      </w:r>
      <w:r>
        <w:rPr>
          <w:spacing w:val="-1"/>
          <w:sz w:val="18"/>
          <w:u w:val="none"/>
        </w:rPr>
        <w:t> </w:t>
      </w:r>
      <w:r>
        <w:rPr>
          <w:sz w:val="18"/>
          <w:u w:val="none"/>
        </w:rPr>
        <w:t>of</w:t>
      </w:r>
      <w:r>
        <w:rPr>
          <w:spacing w:val="-1"/>
          <w:sz w:val="18"/>
          <w:u w:val="none"/>
        </w:rPr>
        <w:t> </w:t>
      </w:r>
      <w:r>
        <w:rPr>
          <w:sz w:val="18"/>
          <w:u w:val="none"/>
        </w:rPr>
        <w:t>12</w:t>
      </w:r>
      <w:r>
        <w:rPr>
          <w:spacing w:val="-1"/>
          <w:sz w:val="18"/>
          <w:u w:val="none"/>
        </w:rPr>
        <w:t> </w:t>
      </w:r>
      <w:r>
        <w:rPr>
          <w:sz w:val="18"/>
          <w:u w:val="none"/>
        </w:rPr>
        <w:t>January</w:t>
      </w:r>
      <w:r>
        <w:rPr>
          <w:spacing w:val="-1"/>
          <w:sz w:val="18"/>
          <w:u w:val="none"/>
        </w:rPr>
        <w:t> </w:t>
      </w:r>
      <w:r>
        <w:rPr>
          <w:sz w:val="18"/>
          <w:u w:val="none"/>
        </w:rPr>
        <w:t>2023, </w:t>
      </w:r>
      <w:r>
        <w:rPr>
          <w:spacing w:val="-2"/>
          <w:sz w:val="18"/>
          <w:u w:val="none"/>
        </w:rPr>
        <w:t>ECLI:EU:C:2023:9.</w:t>
      </w:r>
    </w:p>
    <w:p>
      <w:pPr>
        <w:pStyle w:val="ListParagraph"/>
        <w:numPr>
          <w:ilvl w:val="0"/>
          <w:numId w:val="9"/>
        </w:numPr>
        <w:tabs>
          <w:tab w:pos="1287" w:val="left" w:leader="none"/>
        </w:tabs>
        <w:spacing w:line="240" w:lineRule="auto" w:before="0" w:after="0"/>
        <w:ind w:left="1287" w:right="0" w:hanging="567"/>
        <w:jc w:val="left"/>
        <w:rPr>
          <w:sz w:val="18"/>
        </w:rPr>
      </w:pPr>
      <w:r>
        <w:rPr>
          <w:sz w:val="18"/>
        </w:rPr>
        <w:t>C-485/20</w:t>
      </w:r>
      <w:r>
        <w:rPr>
          <w:spacing w:val="-3"/>
          <w:sz w:val="18"/>
        </w:rPr>
        <w:t> </w:t>
      </w:r>
      <w:r>
        <w:rPr>
          <w:color w:val="1D71B8"/>
          <w:sz w:val="18"/>
          <w:u w:val="single" w:color="1D71B8"/>
        </w:rPr>
        <w:t>HR</w:t>
      </w:r>
      <w:r>
        <w:rPr>
          <w:color w:val="1D71B8"/>
          <w:spacing w:val="-2"/>
          <w:sz w:val="18"/>
          <w:u w:val="single" w:color="1D71B8"/>
        </w:rPr>
        <w:t> </w:t>
      </w:r>
      <w:r>
        <w:rPr>
          <w:color w:val="1D71B8"/>
          <w:sz w:val="18"/>
          <w:u w:val="single" w:color="1D71B8"/>
        </w:rPr>
        <w:t>Rail</w:t>
      </w:r>
      <w:r>
        <w:rPr>
          <w:sz w:val="18"/>
          <w:u w:val="none"/>
        </w:rPr>
        <w:t>,</w:t>
      </w:r>
      <w:r>
        <w:rPr>
          <w:spacing w:val="-2"/>
          <w:sz w:val="18"/>
          <w:u w:val="none"/>
        </w:rPr>
        <w:t> </w:t>
      </w:r>
      <w:r>
        <w:rPr>
          <w:sz w:val="18"/>
          <w:u w:val="none"/>
        </w:rPr>
        <w:t>judgment</w:t>
      </w:r>
      <w:r>
        <w:rPr>
          <w:spacing w:val="-2"/>
          <w:sz w:val="18"/>
          <w:u w:val="none"/>
        </w:rPr>
        <w:t> </w:t>
      </w:r>
      <w:r>
        <w:rPr>
          <w:sz w:val="18"/>
          <w:u w:val="none"/>
        </w:rPr>
        <w:t>of</w:t>
      </w:r>
      <w:r>
        <w:rPr>
          <w:spacing w:val="-3"/>
          <w:sz w:val="18"/>
          <w:u w:val="none"/>
        </w:rPr>
        <w:t> </w:t>
      </w:r>
      <w:r>
        <w:rPr>
          <w:sz w:val="18"/>
          <w:u w:val="none"/>
        </w:rPr>
        <w:t>10</w:t>
      </w:r>
      <w:r>
        <w:rPr>
          <w:spacing w:val="-2"/>
          <w:sz w:val="18"/>
          <w:u w:val="none"/>
        </w:rPr>
        <w:t> </w:t>
      </w:r>
      <w:r>
        <w:rPr>
          <w:sz w:val="18"/>
          <w:u w:val="none"/>
        </w:rPr>
        <w:t>February</w:t>
      </w:r>
      <w:r>
        <w:rPr>
          <w:spacing w:val="-2"/>
          <w:sz w:val="18"/>
          <w:u w:val="none"/>
        </w:rPr>
        <w:t> </w:t>
      </w:r>
      <w:r>
        <w:rPr>
          <w:sz w:val="18"/>
          <w:u w:val="none"/>
        </w:rPr>
        <w:t>2022,</w:t>
      </w:r>
      <w:r>
        <w:rPr>
          <w:spacing w:val="-1"/>
          <w:sz w:val="18"/>
          <w:u w:val="none"/>
        </w:rPr>
        <w:t> </w:t>
      </w:r>
      <w:r>
        <w:rPr>
          <w:spacing w:val="-2"/>
          <w:sz w:val="18"/>
          <w:u w:val="none"/>
        </w:rPr>
        <w:t>ECLI:EU:C:2022:85.</w:t>
      </w:r>
    </w:p>
    <w:p>
      <w:pPr>
        <w:pStyle w:val="ListParagraph"/>
        <w:numPr>
          <w:ilvl w:val="0"/>
          <w:numId w:val="9"/>
        </w:numPr>
        <w:tabs>
          <w:tab w:pos="1287" w:val="left" w:leader="none"/>
        </w:tabs>
        <w:spacing w:line="240" w:lineRule="auto" w:before="1" w:after="0"/>
        <w:ind w:left="1287" w:right="0" w:hanging="567"/>
        <w:jc w:val="left"/>
        <w:rPr>
          <w:sz w:val="18"/>
        </w:rPr>
      </w:pPr>
      <w:r>
        <w:rPr>
          <w:sz w:val="18"/>
        </w:rPr>
        <w:t>C-389/20</w:t>
      </w:r>
      <w:r>
        <w:rPr>
          <w:spacing w:val="-4"/>
          <w:sz w:val="18"/>
        </w:rPr>
        <w:t> </w:t>
      </w:r>
      <w:r>
        <w:rPr>
          <w:color w:val="1D71B8"/>
          <w:sz w:val="18"/>
          <w:u w:val="single" w:color="1D71B8"/>
        </w:rPr>
        <w:t>CJ</w:t>
      </w:r>
      <w:r>
        <w:rPr>
          <w:color w:val="1D71B8"/>
          <w:spacing w:val="-2"/>
          <w:sz w:val="18"/>
          <w:u w:val="single" w:color="1D71B8"/>
        </w:rPr>
        <w:t> </w:t>
      </w:r>
      <w:r>
        <w:rPr>
          <w:color w:val="1D71B8"/>
          <w:sz w:val="18"/>
          <w:u w:val="single" w:color="1D71B8"/>
        </w:rPr>
        <w:t>v</w:t>
      </w:r>
      <w:r>
        <w:rPr>
          <w:color w:val="1D71B8"/>
          <w:spacing w:val="-2"/>
          <w:sz w:val="18"/>
          <w:u w:val="single" w:color="1D71B8"/>
        </w:rPr>
        <w:t> </w:t>
      </w:r>
      <w:r>
        <w:rPr>
          <w:color w:val="1D71B8"/>
          <w:sz w:val="18"/>
          <w:u w:val="single" w:color="1D71B8"/>
        </w:rPr>
        <w:t>TGSS</w:t>
      </w:r>
      <w:r>
        <w:rPr>
          <w:sz w:val="18"/>
          <w:u w:val="none"/>
        </w:rPr>
        <w:t>,</w:t>
      </w:r>
      <w:r>
        <w:rPr>
          <w:spacing w:val="-2"/>
          <w:sz w:val="18"/>
          <w:u w:val="none"/>
        </w:rPr>
        <w:t> </w:t>
      </w:r>
      <w:r>
        <w:rPr>
          <w:sz w:val="18"/>
          <w:u w:val="none"/>
        </w:rPr>
        <w:t>judgment</w:t>
      </w:r>
      <w:r>
        <w:rPr>
          <w:spacing w:val="-3"/>
          <w:sz w:val="18"/>
          <w:u w:val="none"/>
        </w:rPr>
        <w:t> </w:t>
      </w:r>
      <w:r>
        <w:rPr>
          <w:sz w:val="18"/>
          <w:u w:val="none"/>
        </w:rPr>
        <w:t>24</w:t>
      </w:r>
      <w:r>
        <w:rPr>
          <w:spacing w:val="-2"/>
          <w:sz w:val="18"/>
          <w:u w:val="none"/>
        </w:rPr>
        <w:t> </w:t>
      </w:r>
      <w:r>
        <w:rPr>
          <w:sz w:val="18"/>
          <w:u w:val="none"/>
        </w:rPr>
        <w:t>February</w:t>
      </w:r>
      <w:r>
        <w:rPr>
          <w:spacing w:val="-2"/>
          <w:sz w:val="18"/>
          <w:u w:val="none"/>
        </w:rPr>
        <w:t> </w:t>
      </w:r>
      <w:r>
        <w:rPr>
          <w:sz w:val="18"/>
          <w:u w:val="none"/>
        </w:rPr>
        <w:t>2022,</w:t>
      </w:r>
      <w:r>
        <w:rPr>
          <w:spacing w:val="-2"/>
          <w:sz w:val="18"/>
          <w:u w:val="none"/>
        </w:rPr>
        <w:t> ECLI:EU:C:2022:120.</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773696">
                <wp:simplePos x="0" y="0"/>
                <wp:positionH relativeFrom="page">
                  <wp:posOffset>-2</wp:posOffset>
                </wp:positionH>
                <wp:positionV relativeFrom="page">
                  <wp:posOffset>0</wp:posOffset>
                </wp:positionV>
                <wp:extent cx="7560309" cy="1257935"/>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7560309" cy="1257935"/>
                          <a:chExt cx="7560309" cy="1257935"/>
                        </a:xfrm>
                      </wpg:grpSpPr>
                      <wps:wsp>
                        <wps:cNvPr id="233" name="Graphic 233"/>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234" name="Graphic 234"/>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235" name="Textbox 235"/>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236" name="Textbox 236"/>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15</w:t>
                              </w:r>
                            </w:p>
                          </w:txbxContent>
                        </wps:txbx>
                        <wps:bodyPr wrap="square" lIns="0" tIns="0" rIns="0" bIns="0" rtlCol="0">
                          <a:noAutofit/>
                        </wps:bodyPr>
                      </wps:wsp>
                      <wps:wsp>
                        <wps:cNvPr id="237" name="Textbox 237"/>
                        <wps:cNvSpPr txBox="1"/>
                        <wps:spPr>
                          <a:xfrm>
                            <a:off x="900001" y="1080003"/>
                            <a:ext cx="5754370" cy="177800"/>
                          </a:xfrm>
                          <a:prstGeom prst="rect">
                            <a:avLst/>
                          </a:prstGeom>
                        </wps:spPr>
                        <wps:txbx>
                          <w:txbxContent>
                            <w:p>
                              <w:pPr>
                                <w:spacing w:line="280" w:lineRule="exact" w:before="0"/>
                                <w:ind w:left="0" w:right="0" w:firstLine="0"/>
                                <w:jc w:val="left"/>
                                <w:rPr>
                                  <w:sz w:val="28"/>
                                </w:rPr>
                              </w:pPr>
                              <w:r>
                                <w:rPr>
                                  <w:sz w:val="28"/>
                                </w:rPr>
                                <w:t>Despite</w:t>
                              </w:r>
                              <w:r>
                                <w:rPr>
                                  <w:spacing w:val="-6"/>
                                  <w:sz w:val="28"/>
                                </w:rPr>
                                <w:t> </w:t>
                              </w:r>
                              <w:r>
                                <w:rPr>
                                  <w:sz w:val="28"/>
                                </w:rPr>
                                <w:t>the</w:t>
                              </w:r>
                              <w:r>
                                <w:rPr>
                                  <w:spacing w:val="-3"/>
                                  <w:sz w:val="28"/>
                                </w:rPr>
                                <w:t> </w:t>
                              </w:r>
                              <w:r>
                                <w:rPr>
                                  <w:sz w:val="28"/>
                                </w:rPr>
                                <w:t>decline</w:t>
                              </w:r>
                              <w:r>
                                <w:rPr>
                                  <w:spacing w:val="-3"/>
                                  <w:sz w:val="28"/>
                                </w:rPr>
                                <w:t> </w:t>
                              </w:r>
                              <w:r>
                                <w:rPr>
                                  <w:sz w:val="28"/>
                                </w:rPr>
                                <w:t>in</w:t>
                              </w:r>
                              <w:r>
                                <w:rPr>
                                  <w:spacing w:val="-4"/>
                                  <w:sz w:val="28"/>
                                </w:rPr>
                                <w:t> </w:t>
                              </w:r>
                              <w:r>
                                <w:rPr>
                                  <w:sz w:val="28"/>
                                </w:rPr>
                                <w:t>the</w:t>
                              </w:r>
                              <w:r>
                                <w:rPr>
                                  <w:spacing w:val="-3"/>
                                  <w:sz w:val="28"/>
                                </w:rPr>
                                <w:t> </w:t>
                              </w:r>
                              <w:r>
                                <w:rPr>
                                  <w:sz w:val="28"/>
                                </w:rPr>
                                <w:t>number</w:t>
                              </w:r>
                              <w:r>
                                <w:rPr>
                                  <w:spacing w:val="-4"/>
                                  <w:sz w:val="28"/>
                                </w:rPr>
                                <w:t> </w:t>
                              </w:r>
                              <w:r>
                                <w:rPr>
                                  <w:sz w:val="28"/>
                                </w:rPr>
                                <w:t>of</w:t>
                              </w:r>
                              <w:r>
                                <w:rPr>
                                  <w:spacing w:val="-4"/>
                                  <w:sz w:val="28"/>
                                </w:rPr>
                                <w:t> </w:t>
                              </w:r>
                              <w:r>
                                <w:rPr>
                                  <w:sz w:val="28"/>
                                </w:rPr>
                                <w:t>cases,</w:t>
                              </w:r>
                              <w:r>
                                <w:rPr>
                                  <w:spacing w:val="-3"/>
                                  <w:sz w:val="28"/>
                                </w:rPr>
                                <w:t> </w:t>
                              </w:r>
                              <w:r>
                                <w:rPr>
                                  <w:sz w:val="28"/>
                                </w:rPr>
                                <w:t>these</w:t>
                              </w:r>
                              <w:r>
                                <w:rPr>
                                  <w:spacing w:val="-3"/>
                                  <w:sz w:val="28"/>
                                </w:rPr>
                                <w:t> </w:t>
                              </w:r>
                              <w:r>
                                <w:rPr>
                                  <w:sz w:val="28"/>
                                </w:rPr>
                                <w:t>cases</w:t>
                              </w:r>
                              <w:r>
                                <w:rPr>
                                  <w:spacing w:val="-4"/>
                                  <w:sz w:val="28"/>
                                </w:rPr>
                                <w:t> </w:t>
                              </w:r>
                              <w:r>
                                <w:rPr>
                                  <w:sz w:val="28"/>
                                </w:rPr>
                                <w:t>arguably</w:t>
                              </w:r>
                              <w:r>
                                <w:rPr>
                                  <w:spacing w:val="-3"/>
                                  <w:sz w:val="28"/>
                                </w:rPr>
                                <w:t> </w:t>
                              </w:r>
                              <w:r>
                                <w:rPr>
                                  <w:sz w:val="28"/>
                                </w:rPr>
                                <w:t>demonstrate</w:t>
                              </w:r>
                              <w:r>
                                <w:rPr>
                                  <w:spacing w:val="-3"/>
                                  <w:sz w:val="28"/>
                                </w:rPr>
                                <w:t> </w:t>
                              </w:r>
                              <w:r>
                                <w:rPr>
                                  <w:spacing w:val="-10"/>
                                  <w:sz w:val="28"/>
                                </w:rPr>
                                <w:t>a</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773696" id="docshapegroup176" coordorigin="0,0" coordsize="11906,1981">
                <v:shape style="position:absolute;left:0;top:0;width:11906;height:1819" id="docshape177"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178"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179" filled="false" stroked="false">
                  <v:textbox inset="0,0,0,0">
                    <w:txbxContent>
                      <w:p>
                        <w:pPr>
                          <w:spacing w:line="280" w:lineRule="exact" w:before="0"/>
                          <w:ind w:left="0" w:right="0" w:firstLine="0"/>
                          <w:jc w:val="left"/>
                          <w:rPr>
                            <w:b/>
                            <w:sz w:val="28"/>
                          </w:rPr>
                        </w:pPr>
                        <w:r>
                          <w:rPr>
                            <w:b/>
                            <w:color w:val="FFFFFF"/>
                            <w:spacing w:val="-5"/>
                            <w:sz w:val="28"/>
                          </w:rPr>
                          <w:t>15</w:t>
                        </w:r>
                      </w:p>
                    </w:txbxContent>
                  </v:textbox>
                  <w10:wrap type="none"/>
                </v:shape>
                <v:shape style="position:absolute;left:1417;top:1700;width:9062;height:280" type="#_x0000_t202" id="docshape180" filled="false" stroked="false">
                  <v:textbox inset="0,0,0,0">
                    <w:txbxContent>
                      <w:p>
                        <w:pPr>
                          <w:spacing w:line="280" w:lineRule="exact" w:before="0"/>
                          <w:ind w:left="0" w:right="0" w:firstLine="0"/>
                          <w:jc w:val="left"/>
                          <w:rPr>
                            <w:sz w:val="28"/>
                          </w:rPr>
                        </w:pPr>
                        <w:r>
                          <w:rPr>
                            <w:sz w:val="28"/>
                          </w:rPr>
                          <w:t>Despite</w:t>
                        </w:r>
                        <w:r>
                          <w:rPr>
                            <w:spacing w:val="-6"/>
                            <w:sz w:val="28"/>
                          </w:rPr>
                          <w:t> </w:t>
                        </w:r>
                        <w:r>
                          <w:rPr>
                            <w:sz w:val="28"/>
                          </w:rPr>
                          <w:t>the</w:t>
                        </w:r>
                        <w:r>
                          <w:rPr>
                            <w:spacing w:val="-3"/>
                            <w:sz w:val="28"/>
                          </w:rPr>
                          <w:t> </w:t>
                        </w:r>
                        <w:r>
                          <w:rPr>
                            <w:sz w:val="28"/>
                          </w:rPr>
                          <w:t>decline</w:t>
                        </w:r>
                        <w:r>
                          <w:rPr>
                            <w:spacing w:val="-3"/>
                            <w:sz w:val="28"/>
                          </w:rPr>
                          <w:t> </w:t>
                        </w:r>
                        <w:r>
                          <w:rPr>
                            <w:sz w:val="28"/>
                          </w:rPr>
                          <w:t>in</w:t>
                        </w:r>
                        <w:r>
                          <w:rPr>
                            <w:spacing w:val="-4"/>
                            <w:sz w:val="28"/>
                          </w:rPr>
                          <w:t> </w:t>
                        </w:r>
                        <w:r>
                          <w:rPr>
                            <w:sz w:val="28"/>
                          </w:rPr>
                          <w:t>the</w:t>
                        </w:r>
                        <w:r>
                          <w:rPr>
                            <w:spacing w:val="-3"/>
                            <w:sz w:val="28"/>
                          </w:rPr>
                          <w:t> </w:t>
                        </w:r>
                        <w:r>
                          <w:rPr>
                            <w:sz w:val="28"/>
                          </w:rPr>
                          <w:t>number</w:t>
                        </w:r>
                        <w:r>
                          <w:rPr>
                            <w:spacing w:val="-4"/>
                            <w:sz w:val="28"/>
                          </w:rPr>
                          <w:t> </w:t>
                        </w:r>
                        <w:r>
                          <w:rPr>
                            <w:sz w:val="28"/>
                          </w:rPr>
                          <w:t>of</w:t>
                        </w:r>
                        <w:r>
                          <w:rPr>
                            <w:spacing w:val="-4"/>
                            <w:sz w:val="28"/>
                          </w:rPr>
                          <w:t> </w:t>
                        </w:r>
                        <w:r>
                          <w:rPr>
                            <w:sz w:val="28"/>
                          </w:rPr>
                          <w:t>cases,</w:t>
                        </w:r>
                        <w:r>
                          <w:rPr>
                            <w:spacing w:val="-3"/>
                            <w:sz w:val="28"/>
                          </w:rPr>
                          <w:t> </w:t>
                        </w:r>
                        <w:r>
                          <w:rPr>
                            <w:sz w:val="28"/>
                          </w:rPr>
                          <w:t>these</w:t>
                        </w:r>
                        <w:r>
                          <w:rPr>
                            <w:spacing w:val="-3"/>
                            <w:sz w:val="28"/>
                          </w:rPr>
                          <w:t> </w:t>
                        </w:r>
                        <w:r>
                          <w:rPr>
                            <w:sz w:val="28"/>
                          </w:rPr>
                          <w:t>cases</w:t>
                        </w:r>
                        <w:r>
                          <w:rPr>
                            <w:spacing w:val="-4"/>
                            <w:sz w:val="28"/>
                          </w:rPr>
                          <w:t> </w:t>
                        </w:r>
                        <w:r>
                          <w:rPr>
                            <w:sz w:val="28"/>
                          </w:rPr>
                          <w:t>arguably</w:t>
                        </w:r>
                        <w:r>
                          <w:rPr>
                            <w:spacing w:val="-3"/>
                            <w:sz w:val="28"/>
                          </w:rPr>
                          <w:t> </w:t>
                        </w:r>
                        <w:r>
                          <w:rPr>
                            <w:sz w:val="28"/>
                          </w:rPr>
                          <w:t>demonstrate</w:t>
                        </w:r>
                        <w:r>
                          <w:rPr>
                            <w:spacing w:val="-3"/>
                            <w:sz w:val="28"/>
                          </w:rPr>
                          <w:t> </w:t>
                        </w:r>
                        <w:r>
                          <w:rPr>
                            <w:spacing w:val="-10"/>
                            <w:sz w:val="28"/>
                          </w:rPr>
                          <w:t>a</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right="738"/>
      </w:pPr>
      <w:bookmarkStart w:name="Tracking EU Policy Developments and Init" w:id="22"/>
      <w:bookmarkEnd w:id="22"/>
      <w:r>
        <w:rPr/>
      </w:r>
      <w:bookmarkStart w:name="_bookmark9" w:id="23"/>
      <w:bookmarkEnd w:id="23"/>
      <w:r>
        <w:rPr/>
      </w:r>
      <w:r>
        <w:rPr/>
        <w:t>concern</w:t>
      </w:r>
      <w:r>
        <w:rPr>
          <w:spacing w:val="-7"/>
        </w:rPr>
        <w:t> </w:t>
      </w:r>
      <w:r>
        <w:rPr/>
        <w:t>to</w:t>
      </w:r>
      <w:r>
        <w:rPr>
          <w:spacing w:val="-7"/>
        </w:rPr>
        <w:t> </w:t>
      </w:r>
      <w:r>
        <w:rPr/>
        <w:t>support</w:t>
      </w:r>
      <w:r>
        <w:rPr>
          <w:spacing w:val="-6"/>
        </w:rPr>
        <w:t> </w:t>
      </w:r>
      <w:r>
        <w:rPr/>
        <w:t>more</w:t>
      </w:r>
      <w:r>
        <w:rPr>
          <w:spacing w:val="-6"/>
        </w:rPr>
        <w:t> </w:t>
      </w:r>
      <w:r>
        <w:rPr/>
        <w:t>substantive</w:t>
      </w:r>
      <w:r>
        <w:rPr>
          <w:spacing w:val="-6"/>
        </w:rPr>
        <w:t> </w:t>
      </w:r>
      <w:r>
        <w:rPr/>
        <w:t>notions</w:t>
      </w:r>
      <w:r>
        <w:rPr>
          <w:spacing w:val="-7"/>
        </w:rPr>
        <w:t> </w:t>
      </w:r>
      <w:r>
        <w:rPr/>
        <w:t>of</w:t>
      </w:r>
      <w:r>
        <w:rPr>
          <w:spacing w:val="-7"/>
        </w:rPr>
        <w:t> </w:t>
      </w:r>
      <w:r>
        <w:rPr/>
        <w:t>equality</w:t>
      </w:r>
      <w:r>
        <w:rPr>
          <w:spacing w:val="-6"/>
        </w:rPr>
        <w:t> </w:t>
      </w:r>
      <w:r>
        <w:rPr/>
        <w:t>with</w:t>
      </w:r>
      <w:r>
        <w:rPr>
          <w:spacing w:val="-7"/>
        </w:rPr>
        <w:t> </w:t>
      </w:r>
      <w:r>
        <w:rPr/>
        <w:t>their</w:t>
      </w:r>
      <w:r>
        <w:rPr>
          <w:spacing w:val="-6"/>
        </w:rPr>
        <w:t> </w:t>
      </w:r>
      <w:r>
        <w:rPr/>
        <w:t>recognition</w:t>
      </w:r>
      <w:r>
        <w:rPr>
          <w:spacing w:val="-7"/>
        </w:rPr>
        <w:t> </w:t>
      </w:r>
      <w:r>
        <w:rPr/>
        <w:t>of existing factual and material inequality and the need for social justice arguments and reasonable accommodation measures to support substantive equality.</w:t>
      </w:r>
    </w:p>
    <w:p>
      <w:pPr>
        <w:pStyle w:val="BodyText"/>
        <w:spacing w:before="3"/>
        <w:rPr>
          <w:sz w:val="20"/>
        </w:rPr>
      </w:pPr>
      <w:r>
        <w:rPr/>
        <mc:AlternateContent>
          <mc:Choice Requires="wps">
            <w:drawing>
              <wp:anchor distT="0" distB="0" distL="0" distR="0" allowOverlap="1" layoutInCell="1" locked="0" behindDoc="1" simplePos="0" relativeHeight="487630848">
                <wp:simplePos x="0" y="0"/>
                <wp:positionH relativeFrom="page">
                  <wp:posOffset>899994</wp:posOffset>
                </wp:positionH>
                <wp:positionV relativeFrom="paragraph">
                  <wp:posOffset>172180</wp:posOffset>
                </wp:positionV>
                <wp:extent cx="6012180" cy="813435"/>
                <wp:effectExtent l="0" t="0" r="0" b="0"/>
                <wp:wrapTopAndBottom/>
                <wp:docPr id="238" name="Group 238"/>
                <wp:cNvGraphicFramePr>
                  <a:graphicFrameLocks/>
                </wp:cNvGraphicFramePr>
                <a:graphic>
                  <a:graphicData uri="http://schemas.microsoft.com/office/word/2010/wordprocessingGroup">
                    <wpg:wgp>
                      <wpg:cNvPr id="238" name="Group 238"/>
                      <wpg:cNvGrpSpPr/>
                      <wpg:grpSpPr>
                        <a:xfrm>
                          <a:off x="0" y="0"/>
                          <a:ext cx="6012180" cy="813435"/>
                          <a:chExt cx="6012180" cy="813435"/>
                        </a:xfrm>
                      </wpg:grpSpPr>
                      <wps:wsp>
                        <wps:cNvPr id="239" name="Graphic 239"/>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40" name="Textbox 240"/>
                        <wps:cNvSpPr txBox="1"/>
                        <wps:spPr>
                          <a:xfrm>
                            <a:off x="0" y="0"/>
                            <a:ext cx="6012180" cy="81343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there</w:t>
                              </w:r>
                              <w:r>
                                <w:rPr>
                                  <w:b/>
                                  <w:color w:val="164194"/>
                                  <w:spacing w:val="-8"/>
                                  <w:sz w:val="28"/>
                                </w:rPr>
                                <w:t> </w:t>
                              </w:r>
                              <w:r>
                                <w:rPr>
                                  <w:b/>
                                  <w:color w:val="164194"/>
                                  <w:sz w:val="28"/>
                                </w:rPr>
                                <w:t>needs</w:t>
                              </w:r>
                              <w:r>
                                <w:rPr>
                                  <w:b/>
                                  <w:color w:val="164194"/>
                                  <w:spacing w:val="-7"/>
                                  <w:sz w:val="28"/>
                                </w:rPr>
                                <w:t> </w:t>
                              </w:r>
                              <w:r>
                                <w:rPr>
                                  <w:b/>
                                  <w:color w:val="164194"/>
                                  <w:sz w:val="28"/>
                                </w:rPr>
                                <w:t>to</w:t>
                              </w:r>
                              <w:r>
                                <w:rPr>
                                  <w:b/>
                                  <w:color w:val="164194"/>
                                  <w:spacing w:val="-7"/>
                                  <w:sz w:val="28"/>
                                </w:rPr>
                                <w:t> </w:t>
                              </w:r>
                              <w:r>
                                <w:rPr>
                                  <w:b/>
                                  <w:color w:val="164194"/>
                                  <w:sz w:val="28"/>
                                </w:rPr>
                                <w:t>be</w:t>
                              </w:r>
                              <w:r>
                                <w:rPr>
                                  <w:b/>
                                  <w:color w:val="164194"/>
                                  <w:spacing w:val="-8"/>
                                  <w:sz w:val="28"/>
                                </w:rPr>
                                <w:t> </w:t>
                              </w:r>
                              <w:r>
                                <w:rPr>
                                  <w:b/>
                                  <w:color w:val="164194"/>
                                  <w:sz w:val="28"/>
                                </w:rPr>
                                <w:t>continued</w:t>
                              </w:r>
                              <w:r>
                                <w:rPr>
                                  <w:b/>
                                  <w:color w:val="164194"/>
                                  <w:spacing w:val="-7"/>
                                  <w:sz w:val="28"/>
                                </w:rPr>
                                <w:t> </w:t>
                              </w:r>
                              <w:r>
                                <w:rPr>
                                  <w:b/>
                                  <w:color w:val="164194"/>
                                  <w:sz w:val="28"/>
                                </w:rPr>
                                <w:t>monitoring</w:t>
                              </w:r>
                              <w:r>
                                <w:rPr>
                                  <w:b/>
                                  <w:color w:val="164194"/>
                                  <w:spacing w:val="-8"/>
                                  <w:sz w:val="28"/>
                                </w:rPr>
                                <w:t> </w:t>
                              </w:r>
                              <w:r>
                                <w:rPr>
                                  <w:b/>
                                  <w:color w:val="164194"/>
                                  <w:sz w:val="28"/>
                                </w:rPr>
                                <w:t>and</w:t>
                              </w:r>
                              <w:r>
                                <w:rPr>
                                  <w:b/>
                                  <w:color w:val="164194"/>
                                  <w:spacing w:val="-7"/>
                                  <w:sz w:val="28"/>
                                </w:rPr>
                                <w:t> </w:t>
                              </w:r>
                              <w:r>
                                <w:rPr>
                                  <w:b/>
                                  <w:color w:val="164194"/>
                                  <w:sz w:val="28"/>
                                </w:rPr>
                                <w:t>tracking</w:t>
                              </w:r>
                              <w:r>
                                <w:rPr>
                                  <w:b/>
                                  <w:color w:val="164194"/>
                                  <w:spacing w:val="-8"/>
                                  <w:sz w:val="28"/>
                                </w:rPr>
                                <w:t> </w:t>
                              </w:r>
                              <w:r>
                                <w:rPr>
                                  <w:b/>
                                  <w:color w:val="164194"/>
                                  <w:sz w:val="28"/>
                                </w:rPr>
                                <w:t>of CJEU case law by the UK Government, NI Executive and NI Departments to ensure compliance with the Annex 1 Directives.</w:t>
                              </w:r>
                            </w:p>
                          </w:txbxContent>
                        </wps:txbx>
                        <wps:bodyPr wrap="square" lIns="0" tIns="0" rIns="0" bIns="0" rtlCol="0">
                          <a:noAutofit/>
                        </wps:bodyPr>
                      </wps:wsp>
                    </wpg:wgp>
                  </a:graphicData>
                </a:graphic>
              </wp:anchor>
            </w:drawing>
          </mc:Choice>
          <mc:Fallback>
            <w:pict>
              <v:group style="position:absolute;margin-left:70.8657pt;margin-top:13.557536pt;width:473.4pt;height:64.05pt;mso-position-horizontal-relative:page;mso-position-vertical-relative:paragraph;z-index:-15685632;mso-wrap-distance-left:0;mso-wrap-distance-right:0" id="docshapegroup181" coordorigin="1417,271" coordsize="9468,1281">
                <v:shape style="position:absolute;left:1417;top:271;width:9468;height:1281" id="docshape182" coordorigin="1417,271" coordsize="9468,1281" path="m10658,271l1644,271,1572,283,1510,315,1461,364,1429,426,1417,498,1417,1325,1429,1396,1461,1458,1510,1508,1572,1540,1644,1551,10658,1551,10730,1540,10792,1508,10841,1458,10873,1396,10885,1325,10885,498,10873,426,10841,364,10792,315,10730,283,10658,271xe" filled="true" fillcolor="#e9f3fc" stroked="false">
                  <v:path arrowok="t"/>
                  <v:fill type="solid"/>
                </v:shape>
                <v:shape style="position:absolute;left:1417;top:271;width:9468;height:1281" type="#_x0000_t202" id="docshape183"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there</w:t>
                        </w:r>
                        <w:r>
                          <w:rPr>
                            <w:b/>
                            <w:color w:val="164194"/>
                            <w:spacing w:val="-8"/>
                            <w:sz w:val="28"/>
                          </w:rPr>
                          <w:t> </w:t>
                        </w:r>
                        <w:r>
                          <w:rPr>
                            <w:b/>
                            <w:color w:val="164194"/>
                            <w:sz w:val="28"/>
                          </w:rPr>
                          <w:t>needs</w:t>
                        </w:r>
                        <w:r>
                          <w:rPr>
                            <w:b/>
                            <w:color w:val="164194"/>
                            <w:spacing w:val="-7"/>
                            <w:sz w:val="28"/>
                          </w:rPr>
                          <w:t> </w:t>
                        </w:r>
                        <w:r>
                          <w:rPr>
                            <w:b/>
                            <w:color w:val="164194"/>
                            <w:sz w:val="28"/>
                          </w:rPr>
                          <w:t>to</w:t>
                        </w:r>
                        <w:r>
                          <w:rPr>
                            <w:b/>
                            <w:color w:val="164194"/>
                            <w:spacing w:val="-7"/>
                            <w:sz w:val="28"/>
                          </w:rPr>
                          <w:t> </w:t>
                        </w:r>
                        <w:r>
                          <w:rPr>
                            <w:b/>
                            <w:color w:val="164194"/>
                            <w:sz w:val="28"/>
                          </w:rPr>
                          <w:t>be</w:t>
                        </w:r>
                        <w:r>
                          <w:rPr>
                            <w:b/>
                            <w:color w:val="164194"/>
                            <w:spacing w:val="-8"/>
                            <w:sz w:val="28"/>
                          </w:rPr>
                          <w:t> </w:t>
                        </w:r>
                        <w:r>
                          <w:rPr>
                            <w:b/>
                            <w:color w:val="164194"/>
                            <w:sz w:val="28"/>
                          </w:rPr>
                          <w:t>continued</w:t>
                        </w:r>
                        <w:r>
                          <w:rPr>
                            <w:b/>
                            <w:color w:val="164194"/>
                            <w:spacing w:val="-7"/>
                            <w:sz w:val="28"/>
                          </w:rPr>
                          <w:t> </w:t>
                        </w:r>
                        <w:r>
                          <w:rPr>
                            <w:b/>
                            <w:color w:val="164194"/>
                            <w:sz w:val="28"/>
                          </w:rPr>
                          <w:t>monitoring</w:t>
                        </w:r>
                        <w:r>
                          <w:rPr>
                            <w:b/>
                            <w:color w:val="164194"/>
                            <w:spacing w:val="-8"/>
                            <w:sz w:val="28"/>
                          </w:rPr>
                          <w:t> </w:t>
                        </w:r>
                        <w:r>
                          <w:rPr>
                            <w:b/>
                            <w:color w:val="164194"/>
                            <w:sz w:val="28"/>
                          </w:rPr>
                          <w:t>and</w:t>
                        </w:r>
                        <w:r>
                          <w:rPr>
                            <w:b/>
                            <w:color w:val="164194"/>
                            <w:spacing w:val="-7"/>
                            <w:sz w:val="28"/>
                          </w:rPr>
                          <w:t> </w:t>
                        </w:r>
                        <w:r>
                          <w:rPr>
                            <w:b/>
                            <w:color w:val="164194"/>
                            <w:sz w:val="28"/>
                          </w:rPr>
                          <w:t>tracking</w:t>
                        </w:r>
                        <w:r>
                          <w:rPr>
                            <w:b/>
                            <w:color w:val="164194"/>
                            <w:spacing w:val="-8"/>
                            <w:sz w:val="28"/>
                          </w:rPr>
                          <w:t> </w:t>
                        </w:r>
                        <w:r>
                          <w:rPr>
                            <w:b/>
                            <w:color w:val="164194"/>
                            <w:sz w:val="28"/>
                          </w:rPr>
                          <w:t>of CJEU case law by the UK Government, NI Executive and NI Departments to ensure compliance with the Annex 1 Directives.</w:t>
                        </w:r>
                      </w:p>
                    </w:txbxContent>
                  </v:textbox>
                  <w10:wrap type="none"/>
                </v:shape>
                <w10:wrap type="topAndBottom"/>
              </v:group>
            </w:pict>
          </mc:Fallback>
        </mc:AlternateContent>
      </w:r>
    </w:p>
    <w:p>
      <w:pPr>
        <w:pStyle w:val="Heading2"/>
        <w:spacing w:before="305"/>
        <w:ind w:left="1117" w:firstLine="0"/>
      </w:pPr>
      <w:r>
        <w:rPr>
          <w:color w:val="004A93"/>
        </w:rPr>
        <w:t>Tracking</w:t>
      </w:r>
      <w:r>
        <w:rPr>
          <w:color w:val="004A93"/>
          <w:spacing w:val="-10"/>
        </w:rPr>
        <w:t> </w:t>
      </w:r>
      <w:r>
        <w:rPr>
          <w:color w:val="004A93"/>
        </w:rPr>
        <w:t>EU</w:t>
      </w:r>
      <w:r>
        <w:rPr>
          <w:color w:val="004A93"/>
          <w:spacing w:val="-9"/>
        </w:rPr>
        <w:t> </w:t>
      </w:r>
      <w:r>
        <w:rPr>
          <w:color w:val="004A93"/>
        </w:rPr>
        <w:t>Policy</w:t>
      </w:r>
      <w:r>
        <w:rPr>
          <w:color w:val="004A93"/>
          <w:spacing w:val="-10"/>
        </w:rPr>
        <w:t> </w:t>
      </w:r>
      <w:r>
        <w:rPr>
          <w:color w:val="004A93"/>
        </w:rPr>
        <w:t>Developments</w:t>
      </w:r>
      <w:r>
        <w:rPr>
          <w:color w:val="004A93"/>
          <w:spacing w:val="-9"/>
        </w:rPr>
        <w:t> </w:t>
      </w:r>
      <w:r>
        <w:rPr>
          <w:color w:val="004A93"/>
        </w:rPr>
        <w:t>and</w:t>
      </w:r>
      <w:r>
        <w:rPr>
          <w:color w:val="004A93"/>
          <w:spacing w:val="-9"/>
        </w:rPr>
        <w:t> </w:t>
      </w:r>
      <w:r>
        <w:rPr>
          <w:color w:val="004A93"/>
        </w:rPr>
        <w:t>Initiatives</w:t>
      </w:r>
      <w:r>
        <w:rPr>
          <w:color w:val="004A93"/>
          <w:spacing w:val="-9"/>
        </w:rPr>
        <w:t> </w:t>
      </w:r>
      <w:r>
        <w:rPr>
          <w:color w:val="004A93"/>
        </w:rPr>
        <w:t>since</w:t>
      </w:r>
      <w:r>
        <w:rPr>
          <w:color w:val="004A93"/>
          <w:spacing w:val="-10"/>
        </w:rPr>
        <w:t> </w:t>
      </w:r>
      <w:r>
        <w:rPr>
          <w:color w:val="004A93"/>
        </w:rPr>
        <w:t>January</w:t>
      </w:r>
      <w:r>
        <w:rPr>
          <w:color w:val="004A93"/>
          <w:spacing w:val="-9"/>
        </w:rPr>
        <w:t> </w:t>
      </w:r>
      <w:r>
        <w:rPr>
          <w:color w:val="004A93"/>
          <w:spacing w:val="-4"/>
        </w:rPr>
        <w:t>2022</w:t>
      </w:r>
    </w:p>
    <w:p>
      <w:pPr>
        <w:pStyle w:val="BodyText"/>
        <w:spacing w:before="9"/>
        <w:rPr>
          <w:b/>
          <w:sz w:val="5"/>
        </w:rPr>
      </w:pPr>
      <w:r>
        <w:rPr/>
        <mc:AlternateContent>
          <mc:Choice Requires="wps">
            <w:drawing>
              <wp:anchor distT="0" distB="0" distL="0" distR="0" allowOverlap="1" layoutInCell="1" locked="0" behindDoc="1" simplePos="0" relativeHeight="487631360">
                <wp:simplePos x="0" y="0"/>
                <wp:positionH relativeFrom="page">
                  <wp:posOffset>899999</wp:posOffset>
                </wp:positionH>
                <wp:positionV relativeFrom="paragraph">
                  <wp:posOffset>60075</wp:posOffset>
                </wp:positionV>
                <wp:extent cx="6012180" cy="127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730350pt;width:473.4pt;height:.1pt;mso-position-horizontal-relative:page;mso-position-vertical-relative:paragraph;z-index:-15685120;mso-wrap-distance-left:0;mso-wrap-distance-right:0" id="docshape184" coordorigin="1417,95" coordsize="9468,0" path="m1417,95l10885,95e" filled="false" stroked="true" strokeweight="1pt" strokecolor="#36a9e1">
                <v:path arrowok="t"/>
                <v:stroke dashstyle="solid"/>
                <w10:wrap type="topAndBottom"/>
              </v:shape>
            </w:pict>
          </mc:Fallback>
        </mc:AlternateContent>
      </w:r>
    </w:p>
    <w:p>
      <w:pPr>
        <w:pStyle w:val="BodyText"/>
        <w:spacing w:line="232" w:lineRule="auto" w:before="108"/>
        <w:ind w:left="1117" w:right="888"/>
      </w:pPr>
      <w:r>
        <w:rPr/>
        <w:t>We review EU policy developments since January 2022. These policies may be relevant in at least two ways. First the policies often include a wide suite of activities</w:t>
      </w:r>
      <w:r>
        <w:rPr>
          <w:spacing w:val="-7"/>
        </w:rPr>
        <w:t> </w:t>
      </w:r>
      <w:r>
        <w:rPr/>
        <w:t>including</w:t>
      </w:r>
      <w:r>
        <w:rPr>
          <w:spacing w:val="-6"/>
        </w:rPr>
        <w:t> </w:t>
      </w:r>
      <w:r>
        <w:rPr/>
        <w:t>legislative</w:t>
      </w:r>
      <w:r>
        <w:rPr>
          <w:spacing w:val="-6"/>
        </w:rPr>
        <w:t> </w:t>
      </w:r>
      <w:r>
        <w:rPr/>
        <w:t>developments</w:t>
      </w:r>
      <w:r>
        <w:rPr>
          <w:spacing w:val="-7"/>
        </w:rPr>
        <w:t> </w:t>
      </w:r>
      <w:r>
        <w:rPr/>
        <w:t>some</w:t>
      </w:r>
      <w:r>
        <w:rPr>
          <w:spacing w:val="-6"/>
        </w:rPr>
        <w:t> </w:t>
      </w:r>
      <w:r>
        <w:rPr/>
        <w:t>of</w:t>
      </w:r>
      <w:r>
        <w:rPr>
          <w:spacing w:val="-7"/>
        </w:rPr>
        <w:t> </w:t>
      </w:r>
      <w:r>
        <w:rPr/>
        <w:t>which</w:t>
      </w:r>
      <w:r>
        <w:rPr>
          <w:spacing w:val="-7"/>
        </w:rPr>
        <w:t> </w:t>
      </w:r>
      <w:r>
        <w:rPr/>
        <w:t>may</w:t>
      </w:r>
      <w:r>
        <w:rPr>
          <w:spacing w:val="-6"/>
        </w:rPr>
        <w:t> </w:t>
      </w:r>
      <w:r>
        <w:rPr/>
        <w:t>trigger</w:t>
      </w:r>
      <w:r>
        <w:rPr>
          <w:spacing w:val="-6"/>
        </w:rPr>
        <w:t> </w:t>
      </w:r>
      <w:r>
        <w:rPr/>
        <w:t>the</w:t>
      </w:r>
      <w:r>
        <w:rPr>
          <w:spacing w:val="-6"/>
        </w:rPr>
        <w:t> </w:t>
      </w:r>
      <w:r>
        <w:rPr/>
        <w:t>Article 2 WF</w:t>
      </w:r>
      <w:r>
        <w:rPr>
          <w:spacing w:val="-1"/>
        </w:rPr>
        <w:t> </w:t>
      </w:r>
      <w:r>
        <w:rPr/>
        <w:t>keeping pace or dynamic alignment requirement.</w:t>
      </w:r>
      <w:r>
        <w:rPr>
          <w:spacing w:val="-1"/>
        </w:rPr>
        <w:t> </w:t>
      </w:r>
      <w:r>
        <w:rPr/>
        <w:t>Second</w:t>
      </w:r>
      <w:r>
        <w:rPr>
          <w:spacing w:val="-1"/>
        </w:rPr>
        <w:t> </w:t>
      </w:r>
      <w:r>
        <w:rPr/>
        <w:t>even</w:t>
      </w:r>
      <w:r>
        <w:rPr>
          <w:spacing w:val="-1"/>
        </w:rPr>
        <w:t> </w:t>
      </w:r>
      <w:r>
        <w:rPr/>
        <w:t>where this</w:t>
      </w:r>
      <w:r>
        <w:rPr>
          <w:spacing w:val="-1"/>
        </w:rPr>
        <w:t> </w:t>
      </w:r>
      <w:r>
        <w:rPr/>
        <w:t>is not the case, they may point to examples of possible divergence in rights on the island of Ireland should Ireland adopt measures in light of EU policies and so may represent an opportunity for voluntary alignment to reflect best practice.</w:t>
      </w:r>
    </w:p>
    <w:p>
      <w:pPr>
        <w:pStyle w:val="BodyText"/>
        <w:spacing w:line="232" w:lineRule="auto" w:before="272"/>
        <w:ind w:left="1117" w:right="738"/>
      </w:pPr>
      <w:r>
        <w:rPr/>
        <w:t>The European Commission has adopted five strategies as part of its Union of Equality commitments. These represent a wide-ranging series of initiatives across the</w:t>
      </w:r>
      <w:r>
        <w:rPr>
          <w:spacing w:val="-11"/>
        </w:rPr>
        <w:t> </w:t>
      </w:r>
      <w:r>
        <w:rPr/>
        <w:t>different</w:t>
      </w:r>
      <w:r>
        <w:rPr>
          <w:spacing w:val="-11"/>
        </w:rPr>
        <w:t> </w:t>
      </w:r>
      <w:r>
        <w:rPr/>
        <w:t>protected</w:t>
      </w:r>
      <w:r>
        <w:rPr>
          <w:spacing w:val="-12"/>
        </w:rPr>
        <w:t> </w:t>
      </w:r>
      <w:r>
        <w:rPr/>
        <w:t>characteristics.</w:t>
      </w:r>
      <w:r>
        <w:rPr>
          <w:spacing w:val="-12"/>
        </w:rPr>
        <w:t> </w:t>
      </w:r>
      <w:r>
        <w:rPr/>
        <w:t>We</w:t>
      </w:r>
      <w:r>
        <w:rPr>
          <w:spacing w:val="-11"/>
        </w:rPr>
        <w:t> </w:t>
      </w:r>
      <w:r>
        <w:rPr/>
        <w:t>note</w:t>
      </w:r>
      <w:r>
        <w:rPr>
          <w:spacing w:val="-11"/>
        </w:rPr>
        <w:t> </w:t>
      </w:r>
      <w:r>
        <w:rPr/>
        <w:t>especially</w:t>
      </w:r>
      <w:r>
        <w:rPr>
          <w:spacing w:val="-11"/>
        </w:rPr>
        <w:t> </w:t>
      </w:r>
      <w:r>
        <w:rPr/>
        <w:t>the</w:t>
      </w:r>
      <w:r>
        <w:rPr>
          <w:spacing w:val="-11"/>
        </w:rPr>
        <w:t> </w:t>
      </w:r>
      <w:r>
        <w:rPr/>
        <w:t>Gender</w:t>
      </w:r>
      <w:r>
        <w:rPr>
          <w:spacing w:val="-11"/>
        </w:rPr>
        <w:t> </w:t>
      </w:r>
      <w:r>
        <w:rPr/>
        <w:t>Action</w:t>
      </w:r>
      <w:r>
        <w:rPr>
          <w:spacing w:val="-12"/>
        </w:rPr>
        <w:t> </w:t>
      </w:r>
      <w:r>
        <w:rPr/>
        <w:t>Plan</w:t>
      </w:r>
      <w:r>
        <w:rPr>
          <w:vertAlign w:val="superscript"/>
        </w:rPr>
        <w:t>29</w:t>
      </w:r>
      <w:r>
        <w:rPr>
          <w:vertAlign w:val="baseline"/>
        </w:rPr>
        <w:t> and Gender Equality Strategy,</w:t>
      </w:r>
      <w:r>
        <w:rPr>
          <w:vertAlign w:val="superscript"/>
        </w:rPr>
        <w:t>30</w:t>
      </w:r>
      <w:r>
        <w:rPr>
          <w:vertAlign w:val="baseline"/>
        </w:rPr>
        <w:t> the Anti-Racism Action plan,</w:t>
      </w:r>
      <w:r>
        <w:rPr>
          <w:vertAlign w:val="superscript"/>
        </w:rPr>
        <w:t>31</w:t>
      </w:r>
      <w:r>
        <w:rPr>
          <w:vertAlign w:val="baseline"/>
        </w:rPr>
        <w:t> the Roma Strategic Framework,</w:t>
      </w:r>
      <w:r>
        <w:rPr>
          <w:vertAlign w:val="superscript"/>
        </w:rPr>
        <w:t>32</w:t>
      </w:r>
      <w:r>
        <w:rPr>
          <w:vertAlign w:val="baseline"/>
        </w:rPr>
        <w:t> the LGBTIQ Equality Strategy</w:t>
      </w:r>
      <w:r>
        <w:rPr>
          <w:vertAlign w:val="superscript"/>
        </w:rPr>
        <w:t>33</w:t>
      </w:r>
      <w:r>
        <w:rPr>
          <w:vertAlign w:val="baseline"/>
        </w:rPr>
        <w:t> and the Strategy for the Rights of Persons with Disabilities.</w:t>
      </w:r>
      <w:r>
        <w:rPr>
          <w:spacing w:val="-20"/>
          <w:vertAlign w:val="baseline"/>
        </w:rPr>
        <w:t> </w:t>
      </w:r>
      <w:r>
        <w:rPr>
          <w:vertAlign w:val="superscript"/>
        </w:rPr>
        <w:t>34</w:t>
      </w:r>
      <w:r>
        <w:rPr>
          <w:vertAlign w:val="baseline"/>
        </w:rPr>
        <w:t> These are wide-ranging plans which identify many different</w:t>
      </w:r>
      <w:r>
        <w:rPr>
          <w:spacing w:val="-1"/>
          <w:vertAlign w:val="baseline"/>
        </w:rPr>
        <w:t> </w:t>
      </w:r>
      <w:r>
        <w:rPr>
          <w:vertAlign w:val="baseline"/>
        </w:rPr>
        <w:t>types</w:t>
      </w:r>
      <w:r>
        <w:rPr>
          <w:spacing w:val="-2"/>
          <w:vertAlign w:val="baseline"/>
        </w:rPr>
        <w:t> </w:t>
      </w:r>
      <w:r>
        <w:rPr>
          <w:vertAlign w:val="baseline"/>
        </w:rPr>
        <w:t>of</w:t>
      </w:r>
      <w:r>
        <w:rPr>
          <w:spacing w:val="-2"/>
          <w:vertAlign w:val="baseline"/>
        </w:rPr>
        <w:t> </w:t>
      </w:r>
      <w:r>
        <w:rPr>
          <w:vertAlign w:val="baseline"/>
        </w:rPr>
        <w:t>action</w:t>
      </w:r>
      <w:r>
        <w:rPr>
          <w:spacing w:val="-2"/>
          <w:vertAlign w:val="baseline"/>
        </w:rPr>
        <w:t> </w:t>
      </w:r>
      <w:r>
        <w:rPr>
          <w:vertAlign w:val="baseline"/>
        </w:rPr>
        <w:t>to</w:t>
      </w:r>
      <w:r>
        <w:rPr>
          <w:spacing w:val="-2"/>
          <w:vertAlign w:val="baseline"/>
        </w:rPr>
        <w:t> </w:t>
      </w:r>
      <w:r>
        <w:rPr>
          <w:vertAlign w:val="baseline"/>
        </w:rPr>
        <w:t>pursue</w:t>
      </w:r>
      <w:r>
        <w:rPr>
          <w:spacing w:val="-1"/>
          <w:vertAlign w:val="baseline"/>
        </w:rPr>
        <w:t> </w:t>
      </w:r>
      <w:r>
        <w:rPr>
          <w:vertAlign w:val="baseline"/>
        </w:rPr>
        <w:t>equality,</w:t>
      </w:r>
      <w:r>
        <w:rPr>
          <w:spacing w:val="-1"/>
          <w:vertAlign w:val="baseline"/>
        </w:rPr>
        <w:t> </w:t>
      </w:r>
      <w:r>
        <w:rPr>
          <w:vertAlign w:val="baseline"/>
        </w:rPr>
        <w:t>including</w:t>
      </w:r>
      <w:r>
        <w:rPr>
          <w:spacing w:val="-1"/>
          <w:vertAlign w:val="baseline"/>
        </w:rPr>
        <w:t> </w:t>
      </w:r>
      <w:r>
        <w:rPr>
          <w:vertAlign w:val="baseline"/>
        </w:rPr>
        <w:t>legislative</w:t>
      </w:r>
      <w:r>
        <w:rPr>
          <w:spacing w:val="-1"/>
          <w:vertAlign w:val="baseline"/>
        </w:rPr>
        <w:t> </w:t>
      </w:r>
      <w:r>
        <w:rPr>
          <w:vertAlign w:val="baseline"/>
        </w:rPr>
        <w:t>actions</w:t>
      </w:r>
      <w:r>
        <w:rPr>
          <w:spacing w:val="-2"/>
          <w:vertAlign w:val="baseline"/>
        </w:rPr>
        <w:t> </w:t>
      </w:r>
      <w:r>
        <w:rPr>
          <w:vertAlign w:val="baseline"/>
        </w:rPr>
        <w:t>which</w:t>
      </w:r>
      <w:r>
        <w:rPr>
          <w:spacing w:val="-2"/>
          <w:vertAlign w:val="baseline"/>
        </w:rPr>
        <w:t> </w:t>
      </w:r>
      <w:r>
        <w:rPr>
          <w:vertAlign w:val="baseline"/>
        </w:rPr>
        <w:t>may amend or update Annex 1 directives.</w:t>
      </w:r>
    </w:p>
    <w:p>
      <w:pPr>
        <w:pStyle w:val="BodyText"/>
        <w:spacing w:before="7"/>
        <w:rPr>
          <w:sz w:val="19"/>
        </w:rPr>
      </w:pPr>
      <w:r>
        <w:rPr/>
        <mc:AlternateContent>
          <mc:Choice Requires="wps">
            <w:drawing>
              <wp:anchor distT="0" distB="0" distL="0" distR="0" allowOverlap="1" layoutInCell="1" locked="0" behindDoc="1" simplePos="0" relativeHeight="487631872">
                <wp:simplePos x="0" y="0"/>
                <wp:positionH relativeFrom="page">
                  <wp:posOffset>899994</wp:posOffset>
                </wp:positionH>
                <wp:positionV relativeFrom="paragraph">
                  <wp:posOffset>167503</wp:posOffset>
                </wp:positionV>
                <wp:extent cx="6012180" cy="1232535"/>
                <wp:effectExtent l="0" t="0" r="0" b="0"/>
                <wp:wrapTopAndBottom/>
                <wp:docPr id="242" name="Group 242"/>
                <wp:cNvGraphicFramePr>
                  <a:graphicFrameLocks/>
                </wp:cNvGraphicFramePr>
                <a:graphic>
                  <a:graphicData uri="http://schemas.microsoft.com/office/word/2010/wordprocessingGroup">
                    <wpg:wgp>
                      <wpg:cNvPr id="242" name="Group 242"/>
                      <wpg:cNvGrpSpPr/>
                      <wpg:grpSpPr>
                        <a:xfrm>
                          <a:off x="0" y="0"/>
                          <a:ext cx="6012180" cy="1232535"/>
                          <a:chExt cx="6012180" cy="1232535"/>
                        </a:xfrm>
                      </wpg:grpSpPr>
                      <wps:wsp>
                        <wps:cNvPr id="243" name="Graphic 243"/>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44" name="Textbox 244"/>
                        <wps:cNvSpPr txBox="1"/>
                        <wps:spPr>
                          <a:xfrm>
                            <a:off x="0" y="0"/>
                            <a:ext cx="6012180" cy="1232535"/>
                          </a:xfrm>
                          <a:prstGeom prst="rect">
                            <a:avLst/>
                          </a:prstGeom>
                        </wps:spPr>
                        <wps:txbx>
                          <w:txbxContent>
                            <w:p>
                              <w:pPr>
                                <w:spacing w:line="232" w:lineRule="auto" w:before="121"/>
                                <w:ind w:left="340" w:right="245" w:firstLine="0"/>
                                <w:jc w:val="both"/>
                                <w:rPr>
                                  <w:b/>
                                  <w:sz w:val="28"/>
                                </w:rPr>
                              </w:pPr>
                              <w:r>
                                <w:rPr>
                                  <w:b/>
                                  <w:color w:val="164194"/>
                                  <w:sz w:val="28"/>
                                </w:rPr>
                                <w:t>We recommend that the Department for Communities, and other relevant NI</w:t>
                              </w:r>
                              <w:r>
                                <w:rPr>
                                  <w:b/>
                                  <w:color w:val="164194"/>
                                  <w:spacing w:val="-6"/>
                                  <w:sz w:val="28"/>
                                </w:rPr>
                                <w:t> </w:t>
                              </w:r>
                              <w:r>
                                <w:rPr>
                                  <w:b/>
                                  <w:color w:val="164194"/>
                                  <w:sz w:val="28"/>
                                </w:rPr>
                                <w:t>Departments,</w:t>
                              </w:r>
                              <w:r>
                                <w:rPr>
                                  <w:b/>
                                  <w:color w:val="164194"/>
                                  <w:spacing w:val="-3"/>
                                  <w:sz w:val="28"/>
                                </w:rPr>
                                <w:t> </w:t>
                              </w:r>
                              <w:r>
                                <w:rPr>
                                  <w:b/>
                                  <w:color w:val="164194"/>
                                  <w:sz w:val="28"/>
                                </w:rPr>
                                <w:t>consider</w:t>
                              </w:r>
                              <w:r>
                                <w:rPr>
                                  <w:b/>
                                  <w:color w:val="164194"/>
                                  <w:spacing w:val="-4"/>
                                  <w:sz w:val="28"/>
                                </w:rPr>
                                <w:t> </w:t>
                              </w:r>
                              <w:r>
                                <w:rPr>
                                  <w:b/>
                                  <w:color w:val="164194"/>
                                  <w:sz w:val="28"/>
                                </w:rPr>
                                <w:t>developments</w:t>
                              </w:r>
                              <w:r>
                                <w:rPr>
                                  <w:b/>
                                  <w:color w:val="164194"/>
                                  <w:spacing w:val="-3"/>
                                  <w:sz w:val="28"/>
                                </w:rPr>
                                <w:t> </w:t>
                              </w:r>
                              <w:r>
                                <w:rPr>
                                  <w:b/>
                                  <w:color w:val="164194"/>
                                  <w:sz w:val="28"/>
                                </w:rPr>
                                <w:t>in</w:t>
                              </w:r>
                              <w:r>
                                <w:rPr>
                                  <w:b/>
                                  <w:color w:val="164194"/>
                                  <w:spacing w:val="-4"/>
                                  <w:sz w:val="28"/>
                                </w:rPr>
                                <w:t> </w:t>
                              </w:r>
                              <w:r>
                                <w:rPr>
                                  <w:b/>
                                  <w:color w:val="164194"/>
                                  <w:sz w:val="28"/>
                                </w:rPr>
                                <w:t>EU</w:t>
                              </w:r>
                              <w:r>
                                <w:rPr>
                                  <w:b/>
                                  <w:color w:val="164194"/>
                                  <w:spacing w:val="-3"/>
                                  <w:sz w:val="28"/>
                                </w:rPr>
                                <w:t> </w:t>
                              </w:r>
                              <w:r>
                                <w:rPr>
                                  <w:b/>
                                  <w:color w:val="164194"/>
                                  <w:sz w:val="28"/>
                                </w:rPr>
                                <w:t>Gender</w:t>
                              </w:r>
                              <w:r>
                                <w:rPr>
                                  <w:b/>
                                  <w:color w:val="164194"/>
                                  <w:spacing w:val="-4"/>
                                  <w:sz w:val="28"/>
                                </w:rPr>
                                <w:t> </w:t>
                              </w:r>
                              <w:r>
                                <w:rPr>
                                  <w:b/>
                                  <w:color w:val="164194"/>
                                  <w:sz w:val="28"/>
                                </w:rPr>
                                <w:t>policy</w:t>
                              </w:r>
                              <w:r>
                                <w:rPr>
                                  <w:b/>
                                  <w:color w:val="164194"/>
                                  <w:spacing w:val="-3"/>
                                  <w:sz w:val="28"/>
                                </w:rPr>
                                <w:t> </w:t>
                              </w:r>
                              <w:r>
                                <w:rPr>
                                  <w:b/>
                                  <w:color w:val="164194"/>
                                  <w:sz w:val="28"/>
                                </w:rPr>
                                <w:t>where</w:t>
                              </w:r>
                              <w:r>
                                <w:rPr>
                                  <w:b/>
                                  <w:color w:val="164194"/>
                                  <w:spacing w:val="-4"/>
                                  <w:sz w:val="28"/>
                                </w:rPr>
                                <w:t> </w:t>
                              </w:r>
                              <w:r>
                                <w:rPr>
                                  <w:b/>
                                  <w:color w:val="164194"/>
                                  <w:sz w:val="28"/>
                                </w:rPr>
                                <w:t>this</w:t>
                              </w:r>
                              <w:r>
                                <w:rPr>
                                  <w:b/>
                                  <w:color w:val="164194"/>
                                  <w:spacing w:val="-3"/>
                                  <w:sz w:val="28"/>
                                </w:rPr>
                                <w:t> </w:t>
                              </w:r>
                              <w:r>
                                <w:rPr>
                                  <w:b/>
                                  <w:color w:val="164194"/>
                                  <w:spacing w:val="-5"/>
                                  <w:sz w:val="28"/>
                                </w:rPr>
                                <w:t>may</w:t>
                              </w:r>
                            </w:p>
                            <w:p>
                              <w:pPr>
                                <w:spacing w:line="232" w:lineRule="auto" w:before="0"/>
                                <w:ind w:left="340" w:right="159" w:firstLine="0"/>
                                <w:jc w:val="both"/>
                                <w:rPr>
                                  <w:b/>
                                  <w:sz w:val="28"/>
                                </w:rPr>
                              </w:pPr>
                              <w:r>
                                <w:rPr>
                                  <w:b/>
                                  <w:color w:val="164194"/>
                                  <w:sz w:val="28"/>
                                </w:rPr>
                                <w:t>raise</w:t>
                              </w:r>
                              <w:r>
                                <w:rPr>
                                  <w:b/>
                                  <w:color w:val="164194"/>
                                  <w:spacing w:val="-5"/>
                                  <w:sz w:val="28"/>
                                </w:rPr>
                                <w:t> </w:t>
                              </w:r>
                              <w:r>
                                <w:rPr>
                                  <w:b/>
                                  <w:color w:val="164194"/>
                                  <w:sz w:val="28"/>
                                </w:rPr>
                                <w:t>issues</w:t>
                              </w:r>
                              <w:r>
                                <w:rPr>
                                  <w:b/>
                                  <w:color w:val="164194"/>
                                  <w:spacing w:val="-4"/>
                                  <w:sz w:val="28"/>
                                </w:rPr>
                                <w:t> </w:t>
                              </w:r>
                              <w:r>
                                <w:rPr>
                                  <w:b/>
                                  <w:color w:val="164194"/>
                                  <w:sz w:val="28"/>
                                </w:rPr>
                                <w:t>of</w:t>
                              </w:r>
                              <w:r>
                                <w:rPr>
                                  <w:b/>
                                  <w:color w:val="164194"/>
                                  <w:spacing w:val="-5"/>
                                  <w:sz w:val="28"/>
                                </w:rPr>
                                <w:t> </w:t>
                              </w:r>
                              <w:r>
                                <w:rPr>
                                  <w:b/>
                                  <w:color w:val="164194"/>
                                  <w:sz w:val="28"/>
                                </w:rPr>
                                <w:t>Article</w:t>
                              </w:r>
                              <w:r>
                                <w:rPr>
                                  <w:b/>
                                  <w:color w:val="164194"/>
                                  <w:spacing w:val="-5"/>
                                  <w:sz w:val="28"/>
                                </w:rPr>
                                <w:t> </w:t>
                              </w:r>
                              <w:r>
                                <w:rPr>
                                  <w:b/>
                                  <w:color w:val="164194"/>
                                  <w:sz w:val="28"/>
                                </w:rPr>
                                <w:t>2</w:t>
                              </w:r>
                              <w:r>
                                <w:rPr>
                                  <w:b/>
                                  <w:color w:val="164194"/>
                                  <w:spacing w:val="-4"/>
                                  <w:sz w:val="28"/>
                                </w:rPr>
                                <w:t> </w:t>
                              </w:r>
                              <w:r>
                                <w:rPr>
                                  <w:b/>
                                  <w:color w:val="164194"/>
                                  <w:sz w:val="28"/>
                                </w:rPr>
                                <w:t>WF</w:t>
                              </w:r>
                              <w:r>
                                <w:rPr>
                                  <w:b/>
                                  <w:color w:val="164194"/>
                                  <w:spacing w:val="-5"/>
                                  <w:sz w:val="28"/>
                                </w:rPr>
                                <w:t> </w:t>
                              </w:r>
                              <w:r>
                                <w:rPr>
                                  <w:b/>
                                  <w:color w:val="164194"/>
                                  <w:sz w:val="28"/>
                                </w:rPr>
                                <w:t>requirements</w:t>
                              </w:r>
                              <w:r>
                                <w:rPr>
                                  <w:b/>
                                  <w:color w:val="164194"/>
                                  <w:spacing w:val="-4"/>
                                  <w:sz w:val="28"/>
                                </w:rPr>
                                <w:t> </w:t>
                              </w:r>
                              <w:r>
                                <w:rPr>
                                  <w:b/>
                                  <w:color w:val="164194"/>
                                  <w:sz w:val="28"/>
                                </w:rPr>
                                <w:t>or</w:t>
                              </w:r>
                              <w:r>
                                <w:rPr>
                                  <w:b/>
                                  <w:color w:val="164194"/>
                                  <w:spacing w:val="-5"/>
                                  <w:sz w:val="28"/>
                                </w:rPr>
                                <w:t> </w:t>
                              </w:r>
                              <w:r>
                                <w:rPr>
                                  <w:b/>
                                  <w:color w:val="164194"/>
                                  <w:sz w:val="28"/>
                                </w:rPr>
                                <w:t>with</w:t>
                              </w:r>
                              <w:r>
                                <w:rPr>
                                  <w:b/>
                                  <w:color w:val="164194"/>
                                  <w:spacing w:val="-4"/>
                                  <w:sz w:val="28"/>
                                </w:rPr>
                                <w:t> </w:t>
                              </w:r>
                              <w:r>
                                <w:rPr>
                                  <w:b/>
                                  <w:color w:val="164194"/>
                                  <w:sz w:val="28"/>
                                </w:rPr>
                                <w:t>which</w:t>
                              </w:r>
                              <w:r>
                                <w:rPr>
                                  <w:b/>
                                  <w:color w:val="164194"/>
                                  <w:spacing w:val="-4"/>
                                  <w:sz w:val="28"/>
                                </w:rPr>
                                <w:t> </w:t>
                              </w:r>
                              <w:r>
                                <w:rPr>
                                  <w:b/>
                                  <w:color w:val="164194"/>
                                  <w:sz w:val="28"/>
                                </w:rPr>
                                <w:t>Northern</w:t>
                              </w:r>
                              <w:r>
                                <w:rPr>
                                  <w:b/>
                                  <w:color w:val="164194"/>
                                  <w:spacing w:val="-4"/>
                                  <w:sz w:val="28"/>
                                </w:rPr>
                                <w:t> </w:t>
                              </w:r>
                              <w:r>
                                <w:rPr>
                                  <w:b/>
                                  <w:color w:val="164194"/>
                                  <w:sz w:val="28"/>
                                </w:rPr>
                                <w:t>Ireland</w:t>
                              </w:r>
                              <w:r>
                                <w:rPr>
                                  <w:b/>
                                  <w:color w:val="164194"/>
                                  <w:spacing w:val="-4"/>
                                  <w:sz w:val="28"/>
                                </w:rPr>
                                <w:t> </w:t>
                              </w:r>
                              <w:r>
                                <w:rPr>
                                  <w:b/>
                                  <w:color w:val="164194"/>
                                  <w:sz w:val="28"/>
                                </w:rPr>
                                <w:t>may wish</w:t>
                              </w:r>
                              <w:r>
                                <w:rPr>
                                  <w:b/>
                                  <w:color w:val="164194"/>
                                  <w:spacing w:val="-8"/>
                                  <w:sz w:val="28"/>
                                </w:rPr>
                                <w:t> </w:t>
                              </w:r>
                              <w:r>
                                <w:rPr>
                                  <w:b/>
                                  <w:color w:val="164194"/>
                                  <w:sz w:val="28"/>
                                </w:rPr>
                                <w:t>to</w:t>
                              </w:r>
                              <w:r>
                                <w:rPr>
                                  <w:b/>
                                  <w:color w:val="164194"/>
                                  <w:spacing w:val="-8"/>
                                  <w:sz w:val="28"/>
                                </w:rPr>
                                <w:t> </w:t>
                              </w:r>
                              <w:r>
                                <w:rPr>
                                  <w:b/>
                                  <w:color w:val="164194"/>
                                  <w:sz w:val="28"/>
                                </w:rPr>
                                <w:t>voluntarily</w:t>
                              </w:r>
                              <w:r>
                                <w:rPr>
                                  <w:b/>
                                  <w:color w:val="164194"/>
                                  <w:spacing w:val="-8"/>
                                  <w:sz w:val="28"/>
                                </w:rPr>
                                <w:t> </w:t>
                              </w:r>
                              <w:r>
                                <w:rPr>
                                  <w:b/>
                                  <w:color w:val="164194"/>
                                  <w:sz w:val="28"/>
                                </w:rPr>
                                <w:t>align</w:t>
                              </w:r>
                              <w:r>
                                <w:rPr>
                                  <w:b/>
                                  <w:color w:val="164194"/>
                                  <w:spacing w:val="-8"/>
                                  <w:sz w:val="28"/>
                                </w:rPr>
                                <w:t> </w:t>
                              </w:r>
                              <w:r>
                                <w:rPr>
                                  <w:b/>
                                  <w:color w:val="164194"/>
                                  <w:sz w:val="28"/>
                                </w:rPr>
                                <w:t>where</w:t>
                              </w:r>
                              <w:r>
                                <w:rPr>
                                  <w:b/>
                                  <w:color w:val="164194"/>
                                  <w:spacing w:val="-9"/>
                                  <w:sz w:val="28"/>
                                </w:rPr>
                                <w:t> </w:t>
                              </w:r>
                              <w:r>
                                <w:rPr>
                                  <w:b/>
                                  <w:color w:val="164194"/>
                                  <w:sz w:val="28"/>
                                </w:rPr>
                                <w:t>it</w:t>
                              </w:r>
                              <w:r>
                                <w:rPr>
                                  <w:b/>
                                  <w:color w:val="164194"/>
                                  <w:spacing w:val="-8"/>
                                  <w:sz w:val="28"/>
                                </w:rPr>
                                <w:t> </w:t>
                              </w:r>
                              <w:r>
                                <w:rPr>
                                  <w:b/>
                                  <w:color w:val="164194"/>
                                  <w:sz w:val="28"/>
                                </w:rPr>
                                <w:t>strengthens</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reflects</w:t>
                              </w:r>
                              <w:r>
                                <w:rPr>
                                  <w:b/>
                                  <w:color w:val="164194"/>
                                  <w:spacing w:val="-8"/>
                                  <w:sz w:val="28"/>
                                </w:rPr>
                                <w:t> </w:t>
                              </w:r>
                              <w:r>
                                <w:rPr>
                                  <w:b/>
                                  <w:color w:val="164194"/>
                                  <w:sz w:val="28"/>
                                </w:rPr>
                                <w:t>international human rights standards and best practice.</w:t>
                              </w:r>
                            </w:p>
                          </w:txbxContent>
                        </wps:txbx>
                        <wps:bodyPr wrap="square" lIns="0" tIns="0" rIns="0" bIns="0" rtlCol="0">
                          <a:noAutofit/>
                        </wps:bodyPr>
                      </wps:wsp>
                    </wpg:wgp>
                  </a:graphicData>
                </a:graphic>
              </wp:anchor>
            </w:drawing>
          </mc:Choice>
          <mc:Fallback>
            <w:pict>
              <v:group style="position:absolute;margin-left:70.8657pt;margin-top:13.189274pt;width:473.4pt;height:97.05pt;mso-position-horizontal-relative:page;mso-position-vertical-relative:paragraph;z-index:-15684608;mso-wrap-distance-left:0;mso-wrap-distance-right:0" id="docshapegroup185" coordorigin="1417,264" coordsize="9468,1941">
                <v:shape style="position:absolute;left:1417;top:263;width:9468;height:1941" id="docshape186" coordorigin="1417,264" coordsize="9468,1941" path="m10658,264l1644,264,1572,275,1510,308,1461,357,1429,419,1417,491,1417,1977,1429,2049,1461,2111,1510,2160,1572,2192,1644,2204,10658,2204,10730,2192,10792,2160,10841,2111,10873,2049,10885,1977,10885,491,10873,419,10841,357,10792,308,10730,275,10658,264xe" filled="true" fillcolor="#e9f3fc" stroked="false">
                  <v:path arrowok="t"/>
                  <v:fill type="solid"/>
                </v:shape>
                <v:shape style="position:absolute;left:1417;top:263;width:9468;height:1941" type="#_x0000_t202" id="docshape187" filled="false" stroked="false">
                  <v:textbox inset="0,0,0,0">
                    <w:txbxContent>
                      <w:p>
                        <w:pPr>
                          <w:spacing w:line="232" w:lineRule="auto" w:before="121"/>
                          <w:ind w:left="340" w:right="245" w:firstLine="0"/>
                          <w:jc w:val="both"/>
                          <w:rPr>
                            <w:b/>
                            <w:sz w:val="28"/>
                          </w:rPr>
                        </w:pPr>
                        <w:r>
                          <w:rPr>
                            <w:b/>
                            <w:color w:val="164194"/>
                            <w:sz w:val="28"/>
                          </w:rPr>
                          <w:t>We recommend that the Department for Communities, and other relevant NI</w:t>
                        </w:r>
                        <w:r>
                          <w:rPr>
                            <w:b/>
                            <w:color w:val="164194"/>
                            <w:spacing w:val="-6"/>
                            <w:sz w:val="28"/>
                          </w:rPr>
                          <w:t> </w:t>
                        </w:r>
                        <w:r>
                          <w:rPr>
                            <w:b/>
                            <w:color w:val="164194"/>
                            <w:sz w:val="28"/>
                          </w:rPr>
                          <w:t>Departments,</w:t>
                        </w:r>
                        <w:r>
                          <w:rPr>
                            <w:b/>
                            <w:color w:val="164194"/>
                            <w:spacing w:val="-3"/>
                            <w:sz w:val="28"/>
                          </w:rPr>
                          <w:t> </w:t>
                        </w:r>
                        <w:r>
                          <w:rPr>
                            <w:b/>
                            <w:color w:val="164194"/>
                            <w:sz w:val="28"/>
                          </w:rPr>
                          <w:t>consider</w:t>
                        </w:r>
                        <w:r>
                          <w:rPr>
                            <w:b/>
                            <w:color w:val="164194"/>
                            <w:spacing w:val="-4"/>
                            <w:sz w:val="28"/>
                          </w:rPr>
                          <w:t> </w:t>
                        </w:r>
                        <w:r>
                          <w:rPr>
                            <w:b/>
                            <w:color w:val="164194"/>
                            <w:sz w:val="28"/>
                          </w:rPr>
                          <w:t>developments</w:t>
                        </w:r>
                        <w:r>
                          <w:rPr>
                            <w:b/>
                            <w:color w:val="164194"/>
                            <w:spacing w:val="-3"/>
                            <w:sz w:val="28"/>
                          </w:rPr>
                          <w:t> </w:t>
                        </w:r>
                        <w:r>
                          <w:rPr>
                            <w:b/>
                            <w:color w:val="164194"/>
                            <w:sz w:val="28"/>
                          </w:rPr>
                          <w:t>in</w:t>
                        </w:r>
                        <w:r>
                          <w:rPr>
                            <w:b/>
                            <w:color w:val="164194"/>
                            <w:spacing w:val="-4"/>
                            <w:sz w:val="28"/>
                          </w:rPr>
                          <w:t> </w:t>
                        </w:r>
                        <w:r>
                          <w:rPr>
                            <w:b/>
                            <w:color w:val="164194"/>
                            <w:sz w:val="28"/>
                          </w:rPr>
                          <w:t>EU</w:t>
                        </w:r>
                        <w:r>
                          <w:rPr>
                            <w:b/>
                            <w:color w:val="164194"/>
                            <w:spacing w:val="-3"/>
                            <w:sz w:val="28"/>
                          </w:rPr>
                          <w:t> </w:t>
                        </w:r>
                        <w:r>
                          <w:rPr>
                            <w:b/>
                            <w:color w:val="164194"/>
                            <w:sz w:val="28"/>
                          </w:rPr>
                          <w:t>Gender</w:t>
                        </w:r>
                        <w:r>
                          <w:rPr>
                            <w:b/>
                            <w:color w:val="164194"/>
                            <w:spacing w:val="-4"/>
                            <w:sz w:val="28"/>
                          </w:rPr>
                          <w:t> </w:t>
                        </w:r>
                        <w:r>
                          <w:rPr>
                            <w:b/>
                            <w:color w:val="164194"/>
                            <w:sz w:val="28"/>
                          </w:rPr>
                          <w:t>policy</w:t>
                        </w:r>
                        <w:r>
                          <w:rPr>
                            <w:b/>
                            <w:color w:val="164194"/>
                            <w:spacing w:val="-3"/>
                            <w:sz w:val="28"/>
                          </w:rPr>
                          <w:t> </w:t>
                        </w:r>
                        <w:r>
                          <w:rPr>
                            <w:b/>
                            <w:color w:val="164194"/>
                            <w:sz w:val="28"/>
                          </w:rPr>
                          <w:t>where</w:t>
                        </w:r>
                        <w:r>
                          <w:rPr>
                            <w:b/>
                            <w:color w:val="164194"/>
                            <w:spacing w:val="-4"/>
                            <w:sz w:val="28"/>
                          </w:rPr>
                          <w:t> </w:t>
                        </w:r>
                        <w:r>
                          <w:rPr>
                            <w:b/>
                            <w:color w:val="164194"/>
                            <w:sz w:val="28"/>
                          </w:rPr>
                          <w:t>this</w:t>
                        </w:r>
                        <w:r>
                          <w:rPr>
                            <w:b/>
                            <w:color w:val="164194"/>
                            <w:spacing w:val="-3"/>
                            <w:sz w:val="28"/>
                          </w:rPr>
                          <w:t> </w:t>
                        </w:r>
                        <w:r>
                          <w:rPr>
                            <w:b/>
                            <w:color w:val="164194"/>
                            <w:spacing w:val="-5"/>
                            <w:sz w:val="28"/>
                          </w:rPr>
                          <w:t>may</w:t>
                        </w:r>
                      </w:p>
                      <w:p>
                        <w:pPr>
                          <w:spacing w:line="232" w:lineRule="auto" w:before="0"/>
                          <w:ind w:left="340" w:right="159" w:firstLine="0"/>
                          <w:jc w:val="both"/>
                          <w:rPr>
                            <w:b/>
                            <w:sz w:val="28"/>
                          </w:rPr>
                        </w:pPr>
                        <w:r>
                          <w:rPr>
                            <w:b/>
                            <w:color w:val="164194"/>
                            <w:sz w:val="28"/>
                          </w:rPr>
                          <w:t>raise</w:t>
                        </w:r>
                        <w:r>
                          <w:rPr>
                            <w:b/>
                            <w:color w:val="164194"/>
                            <w:spacing w:val="-5"/>
                            <w:sz w:val="28"/>
                          </w:rPr>
                          <w:t> </w:t>
                        </w:r>
                        <w:r>
                          <w:rPr>
                            <w:b/>
                            <w:color w:val="164194"/>
                            <w:sz w:val="28"/>
                          </w:rPr>
                          <w:t>issues</w:t>
                        </w:r>
                        <w:r>
                          <w:rPr>
                            <w:b/>
                            <w:color w:val="164194"/>
                            <w:spacing w:val="-4"/>
                            <w:sz w:val="28"/>
                          </w:rPr>
                          <w:t> </w:t>
                        </w:r>
                        <w:r>
                          <w:rPr>
                            <w:b/>
                            <w:color w:val="164194"/>
                            <w:sz w:val="28"/>
                          </w:rPr>
                          <w:t>of</w:t>
                        </w:r>
                        <w:r>
                          <w:rPr>
                            <w:b/>
                            <w:color w:val="164194"/>
                            <w:spacing w:val="-5"/>
                            <w:sz w:val="28"/>
                          </w:rPr>
                          <w:t> </w:t>
                        </w:r>
                        <w:r>
                          <w:rPr>
                            <w:b/>
                            <w:color w:val="164194"/>
                            <w:sz w:val="28"/>
                          </w:rPr>
                          <w:t>Article</w:t>
                        </w:r>
                        <w:r>
                          <w:rPr>
                            <w:b/>
                            <w:color w:val="164194"/>
                            <w:spacing w:val="-5"/>
                            <w:sz w:val="28"/>
                          </w:rPr>
                          <w:t> </w:t>
                        </w:r>
                        <w:r>
                          <w:rPr>
                            <w:b/>
                            <w:color w:val="164194"/>
                            <w:sz w:val="28"/>
                          </w:rPr>
                          <w:t>2</w:t>
                        </w:r>
                        <w:r>
                          <w:rPr>
                            <w:b/>
                            <w:color w:val="164194"/>
                            <w:spacing w:val="-4"/>
                            <w:sz w:val="28"/>
                          </w:rPr>
                          <w:t> </w:t>
                        </w:r>
                        <w:r>
                          <w:rPr>
                            <w:b/>
                            <w:color w:val="164194"/>
                            <w:sz w:val="28"/>
                          </w:rPr>
                          <w:t>WF</w:t>
                        </w:r>
                        <w:r>
                          <w:rPr>
                            <w:b/>
                            <w:color w:val="164194"/>
                            <w:spacing w:val="-5"/>
                            <w:sz w:val="28"/>
                          </w:rPr>
                          <w:t> </w:t>
                        </w:r>
                        <w:r>
                          <w:rPr>
                            <w:b/>
                            <w:color w:val="164194"/>
                            <w:sz w:val="28"/>
                          </w:rPr>
                          <w:t>requirements</w:t>
                        </w:r>
                        <w:r>
                          <w:rPr>
                            <w:b/>
                            <w:color w:val="164194"/>
                            <w:spacing w:val="-4"/>
                            <w:sz w:val="28"/>
                          </w:rPr>
                          <w:t> </w:t>
                        </w:r>
                        <w:r>
                          <w:rPr>
                            <w:b/>
                            <w:color w:val="164194"/>
                            <w:sz w:val="28"/>
                          </w:rPr>
                          <w:t>or</w:t>
                        </w:r>
                        <w:r>
                          <w:rPr>
                            <w:b/>
                            <w:color w:val="164194"/>
                            <w:spacing w:val="-5"/>
                            <w:sz w:val="28"/>
                          </w:rPr>
                          <w:t> </w:t>
                        </w:r>
                        <w:r>
                          <w:rPr>
                            <w:b/>
                            <w:color w:val="164194"/>
                            <w:sz w:val="28"/>
                          </w:rPr>
                          <w:t>with</w:t>
                        </w:r>
                        <w:r>
                          <w:rPr>
                            <w:b/>
                            <w:color w:val="164194"/>
                            <w:spacing w:val="-4"/>
                            <w:sz w:val="28"/>
                          </w:rPr>
                          <w:t> </w:t>
                        </w:r>
                        <w:r>
                          <w:rPr>
                            <w:b/>
                            <w:color w:val="164194"/>
                            <w:sz w:val="28"/>
                          </w:rPr>
                          <w:t>which</w:t>
                        </w:r>
                        <w:r>
                          <w:rPr>
                            <w:b/>
                            <w:color w:val="164194"/>
                            <w:spacing w:val="-4"/>
                            <w:sz w:val="28"/>
                          </w:rPr>
                          <w:t> </w:t>
                        </w:r>
                        <w:r>
                          <w:rPr>
                            <w:b/>
                            <w:color w:val="164194"/>
                            <w:sz w:val="28"/>
                          </w:rPr>
                          <w:t>Northern</w:t>
                        </w:r>
                        <w:r>
                          <w:rPr>
                            <w:b/>
                            <w:color w:val="164194"/>
                            <w:spacing w:val="-4"/>
                            <w:sz w:val="28"/>
                          </w:rPr>
                          <w:t> </w:t>
                        </w:r>
                        <w:r>
                          <w:rPr>
                            <w:b/>
                            <w:color w:val="164194"/>
                            <w:sz w:val="28"/>
                          </w:rPr>
                          <w:t>Ireland</w:t>
                        </w:r>
                        <w:r>
                          <w:rPr>
                            <w:b/>
                            <w:color w:val="164194"/>
                            <w:spacing w:val="-4"/>
                            <w:sz w:val="28"/>
                          </w:rPr>
                          <w:t> </w:t>
                        </w:r>
                        <w:r>
                          <w:rPr>
                            <w:b/>
                            <w:color w:val="164194"/>
                            <w:sz w:val="28"/>
                          </w:rPr>
                          <w:t>may wish</w:t>
                        </w:r>
                        <w:r>
                          <w:rPr>
                            <w:b/>
                            <w:color w:val="164194"/>
                            <w:spacing w:val="-8"/>
                            <w:sz w:val="28"/>
                          </w:rPr>
                          <w:t> </w:t>
                        </w:r>
                        <w:r>
                          <w:rPr>
                            <w:b/>
                            <w:color w:val="164194"/>
                            <w:sz w:val="28"/>
                          </w:rPr>
                          <w:t>to</w:t>
                        </w:r>
                        <w:r>
                          <w:rPr>
                            <w:b/>
                            <w:color w:val="164194"/>
                            <w:spacing w:val="-8"/>
                            <w:sz w:val="28"/>
                          </w:rPr>
                          <w:t> </w:t>
                        </w:r>
                        <w:r>
                          <w:rPr>
                            <w:b/>
                            <w:color w:val="164194"/>
                            <w:sz w:val="28"/>
                          </w:rPr>
                          <w:t>voluntarily</w:t>
                        </w:r>
                        <w:r>
                          <w:rPr>
                            <w:b/>
                            <w:color w:val="164194"/>
                            <w:spacing w:val="-8"/>
                            <w:sz w:val="28"/>
                          </w:rPr>
                          <w:t> </w:t>
                        </w:r>
                        <w:r>
                          <w:rPr>
                            <w:b/>
                            <w:color w:val="164194"/>
                            <w:sz w:val="28"/>
                          </w:rPr>
                          <w:t>align</w:t>
                        </w:r>
                        <w:r>
                          <w:rPr>
                            <w:b/>
                            <w:color w:val="164194"/>
                            <w:spacing w:val="-8"/>
                            <w:sz w:val="28"/>
                          </w:rPr>
                          <w:t> </w:t>
                        </w:r>
                        <w:r>
                          <w:rPr>
                            <w:b/>
                            <w:color w:val="164194"/>
                            <w:sz w:val="28"/>
                          </w:rPr>
                          <w:t>where</w:t>
                        </w:r>
                        <w:r>
                          <w:rPr>
                            <w:b/>
                            <w:color w:val="164194"/>
                            <w:spacing w:val="-9"/>
                            <w:sz w:val="28"/>
                          </w:rPr>
                          <w:t> </w:t>
                        </w:r>
                        <w:r>
                          <w:rPr>
                            <w:b/>
                            <w:color w:val="164194"/>
                            <w:sz w:val="28"/>
                          </w:rPr>
                          <w:t>it</w:t>
                        </w:r>
                        <w:r>
                          <w:rPr>
                            <w:b/>
                            <w:color w:val="164194"/>
                            <w:spacing w:val="-8"/>
                            <w:sz w:val="28"/>
                          </w:rPr>
                          <w:t> </w:t>
                        </w:r>
                        <w:r>
                          <w:rPr>
                            <w:b/>
                            <w:color w:val="164194"/>
                            <w:sz w:val="28"/>
                          </w:rPr>
                          <w:t>strengthens</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reflects</w:t>
                        </w:r>
                        <w:r>
                          <w:rPr>
                            <w:b/>
                            <w:color w:val="164194"/>
                            <w:spacing w:val="-8"/>
                            <w:sz w:val="28"/>
                          </w:rPr>
                          <w:t> </w:t>
                        </w:r>
                        <w:r>
                          <w:rPr>
                            <w:b/>
                            <w:color w:val="164194"/>
                            <w:sz w:val="28"/>
                          </w:rPr>
                          <w:t>international human rights standards and best practice.</w:t>
                        </w:r>
                      </w:p>
                    </w:txbxContent>
                  </v:textbox>
                  <w10:wrap type="non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7"/>
        <w:rPr>
          <w:sz w:val="20"/>
        </w:rPr>
      </w:pPr>
      <w:r>
        <w:rPr/>
        <mc:AlternateContent>
          <mc:Choice Requires="wps">
            <w:drawing>
              <wp:anchor distT="0" distB="0" distL="0" distR="0" allowOverlap="1" layoutInCell="1" locked="0" behindDoc="1" simplePos="0" relativeHeight="487632384">
                <wp:simplePos x="0" y="0"/>
                <wp:positionH relativeFrom="page">
                  <wp:posOffset>900000</wp:posOffset>
                </wp:positionH>
                <wp:positionV relativeFrom="paragraph">
                  <wp:posOffset>263972</wp:posOffset>
                </wp:positionV>
                <wp:extent cx="6012180" cy="127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20.785275pt;width:473.4pt;height:.1pt;mso-position-horizontal-relative:page;mso-position-vertical-relative:paragraph;z-index:-15684096;mso-wrap-distance-left:0;mso-wrap-distance-right:0" id="docshape188" coordorigin="1417,416" coordsize="9468,0" path="m1417,416l10885,416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793" w:hanging="567"/>
        <w:jc w:val="left"/>
        <w:rPr>
          <w:sz w:val="18"/>
        </w:rPr>
      </w:pPr>
      <w:r>
        <w:rPr>
          <w:sz w:val="18"/>
        </w:rPr>
        <w:t>European</w:t>
      </w:r>
      <w:r>
        <w:rPr>
          <w:spacing w:val="-4"/>
          <w:sz w:val="18"/>
        </w:rPr>
        <w:t> </w:t>
      </w:r>
      <w:r>
        <w:rPr>
          <w:sz w:val="18"/>
        </w:rPr>
        <w:t>Commission,</w:t>
      </w:r>
      <w:r>
        <w:rPr>
          <w:spacing w:val="-4"/>
          <w:sz w:val="18"/>
        </w:rPr>
        <w:t> </w:t>
      </w:r>
      <w:r>
        <w:rPr>
          <w:color w:val="1D71B8"/>
          <w:sz w:val="18"/>
          <w:u w:val="single" w:color="1D71B8"/>
        </w:rPr>
        <w:t>Gender</w:t>
      </w:r>
      <w:r>
        <w:rPr>
          <w:color w:val="1D71B8"/>
          <w:spacing w:val="-3"/>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empowering</w:t>
      </w:r>
      <w:r>
        <w:rPr>
          <w:color w:val="1D71B8"/>
          <w:spacing w:val="-3"/>
          <w:sz w:val="18"/>
          <w:u w:val="single" w:color="1D71B8"/>
        </w:rPr>
        <w:t> </w:t>
      </w:r>
      <w:r>
        <w:rPr>
          <w:color w:val="1D71B8"/>
          <w:sz w:val="18"/>
          <w:u w:val="single" w:color="1D71B8"/>
        </w:rPr>
        <w:t>women</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girls;</w:t>
      </w:r>
      <w:r>
        <w:rPr>
          <w:color w:val="1D71B8"/>
          <w:spacing w:val="-4"/>
          <w:sz w:val="18"/>
          <w:u w:val="none"/>
        </w:rPr>
        <w:t> </w:t>
      </w:r>
      <w:r>
        <w:rPr>
          <w:sz w:val="18"/>
          <w:u w:val="none"/>
        </w:rPr>
        <w:t>and</w:t>
      </w:r>
      <w:r>
        <w:rPr>
          <w:spacing w:val="-4"/>
          <w:sz w:val="18"/>
          <w:u w:val="none"/>
        </w:rPr>
        <w:t> </w:t>
      </w:r>
      <w:r>
        <w:rPr>
          <w:sz w:val="18"/>
          <w:u w:val="none"/>
        </w:rPr>
        <w:t>European</w:t>
      </w:r>
      <w:r>
        <w:rPr>
          <w:spacing w:val="-4"/>
          <w:sz w:val="18"/>
          <w:u w:val="none"/>
        </w:rPr>
        <w:t> </w:t>
      </w:r>
      <w:r>
        <w:rPr>
          <w:sz w:val="18"/>
          <w:u w:val="none"/>
        </w:rPr>
        <w:t>Commission,</w:t>
      </w:r>
      <w:r>
        <w:rPr>
          <w:spacing w:val="-4"/>
          <w:sz w:val="18"/>
          <w:u w:val="none"/>
        </w:rPr>
        <w:t> </w:t>
      </w:r>
      <w:r>
        <w:rPr>
          <w:color w:val="1D71B8"/>
          <w:sz w:val="18"/>
          <w:u w:val="single" w:color="1D71B8"/>
        </w:rPr>
        <w:t>EU</w:t>
      </w:r>
      <w:r>
        <w:rPr>
          <w:color w:val="1D71B8"/>
          <w:spacing w:val="-3"/>
          <w:sz w:val="18"/>
          <w:u w:val="single" w:color="1D71B8"/>
        </w:rPr>
        <w:t> </w:t>
      </w:r>
      <w:r>
        <w:rPr>
          <w:color w:val="1D71B8"/>
          <w:sz w:val="18"/>
          <w:u w:val="single" w:color="1D71B8"/>
        </w:rPr>
        <w:t>Gender</w:t>
      </w:r>
      <w:r>
        <w:rPr>
          <w:color w:val="1D71B8"/>
          <w:spacing w:val="-3"/>
          <w:sz w:val="18"/>
          <w:u w:val="single" w:color="1D71B8"/>
        </w:rPr>
        <w:t> </w:t>
      </w:r>
      <w:r>
        <w:rPr>
          <w:color w:val="1D71B8"/>
          <w:sz w:val="18"/>
          <w:u w:val="single" w:color="1D71B8"/>
        </w:rPr>
        <w:t>Action</w:t>
      </w:r>
      <w:r>
        <w:rPr>
          <w:color w:val="1D71B8"/>
          <w:sz w:val="18"/>
          <w:u w:val="none"/>
        </w:rPr>
        <w:t> </w:t>
      </w:r>
      <w:r>
        <w:rPr>
          <w:color w:val="1D71B8"/>
          <w:sz w:val="18"/>
          <w:u w:val="single" w:color="1D71B8"/>
        </w:rPr>
        <w:t>Plan III</w:t>
      </w:r>
      <w:r>
        <w:rPr>
          <w:color w:val="1D71B8"/>
          <w:sz w:val="18"/>
          <w:u w:val="none"/>
        </w:rPr>
        <w:t> </w:t>
      </w:r>
      <w:r>
        <w:rPr>
          <w:sz w:val="18"/>
          <w:u w:val="none"/>
        </w:rPr>
        <w:t>(2020).</w:t>
      </w:r>
    </w:p>
    <w:p>
      <w:pPr>
        <w:pStyle w:val="ListParagraph"/>
        <w:numPr>
          <w:ilvl w:val="0"/>
          <w:numId w:val="9"/>
        </w:numPr>
        <w:tabs>
          <w:tab w:pos="1684" w:val="left" w:leader="none"/>
        </w:tabs>
        <w:spacing w:line="240" w:lineRule="auto" w:before="1" w:after="0"/>
        <w:ind w:left="1684" w:right="0" w:hanging="567"/>
        <w:jc w:val="left"/>
        <w:rPr>
          <w:sz w:val="18"/>
        </w:rPr>
      </w:pPr>
      <w:r>
        <w:rPr>
          <w:sz w:val="18"/>
        </w:rPr>
        <w:t>European</w:t>
      </w:r>
      <w:r>
        <w:rPr>
          <w:spacing w:val="-3"/>
          <w:sz w:val="18"/>
        </w:rPr>
        <w:t> </w:t>
      </w:r>
      <w:r>
        <w:rPr>
          <w:sz w:val="18"/>
        </w:rPr>
        <w:t>Commission,</w:t>
      </w:r>
      <w:r>
        <w:rPr>
          <w:spacing w:val="-3"/>
          <w:sz w:val="18"/>
        </w:rPr>
        <w:t> </w:t>
      </w:r>
      <w:r>
        <w:rPr>
          <w:color w:val="1D71B8"/>
          <w:sz w:val="18"/>
          <w:u w:val="single" w:color="1D71B8"/>
        </w:rPr>
        <w:t>Gender</w:t>
      </w:r>
      <w:r>
        <w:rPr>
          <w:color w:val="1D71B8"/>
          <w:spacing w:val="-2"/>
          <w:sz w:val="18"/>
          <w:u w:val="single" w:color="1D71B8"/>
        </w:rPr>
        <w:t> </w:t>
      </w:r>
      <w:r>
        <w:rPr>
          <w:color w:val="1D71B8"/>
          <w:sz w:val="18"/>
          <w:u w:val="single" w:color="1D71B8"/>
        </w:rPr>
        <w:t>equality</w:t>
      </w:r>
      <w:r>
        <w:rPr>
          <w:color w:val="1D71B8"/>
          <w:spacing w:val="-1"/>
          <w:sz w:val="18"/>
          <w:u w:val="single" w:color="1D71B8"/>
        </w:rPr>
        <w:t> </w:t>
      </w:r>
      <w:r>
        <w:rPr>
          <w:color w:val="1D71B8"/>
          <w:spacing w:val="-2"/>
          <w:sz w:val="18"/>
          <w:u w:val="single" w:color="1D71B8"/>
        </w:rPr>
        <w:t>strategy</w:t>
      </w:r>
      <w:r>
        <w:rPr>
          <w:spacing w:val="-2"/>
          <w:sz w:val="18"/>
          <w:u w:val="none"/>
        </w:rPr>
        <w:t>.</w:t>
      </w:r>
    </w:p>
    <w:p>
      <w:pPr>
        <w:pStyle w:val="ListParagraph"/>
        <w:numPr>
          <w:ilvl w:val="0"/>
          <w:numId w:val="9"/>
        </w:numPr>
        <w:tabs>
          <w:tab w:pos="1684" w:val="left" w:leader="none"/>
        </w:tabs>
        <w:spacing w:line="240" w:lineRule="auto" w:before="0" w:after="0"/>
        <w:ind w:left="1684" w:right="0" w:hanging="567"/>
        <w:jc w:val="left"/>
        <w:rPr>
          <w:sz w:val="18"/>
        </w:rPr>
      </w:pPr>
      <w:r>
        <w:rPr>
          <w:sz w:val="18"/>
        </w:rPr>
        <w:t>European</w:t>
      </w:r>
      <w:r>
        <w:rPr>
          <w:spacing w:val="-5"/>
          <w:sz w:val="18"/>
        </w:rPr>
        <w:t> </w:t>
      </w:r>
      <w:r>
        <w:rPr>
          <w:sz w:val="18"/>
        </w:rPr>
        <w:t>Commission,</w:t>
      </w:r>
      <w:r>
        <w:rPr>
          <w:spacing w:val="-4"/>
          <w:sz w:val="18"/>
        </w:rPr>
        <w:t> </w:t>
      </w:r>
      <w:r>
        <w:rPr>
          <w:color w:val="1D71B8"/>
          <w:sz w:val="18"/>
          <w:u w:val="single" w:color="1D71B8"/>
        </w:rPr>
        <w:t>A</w:t>
      </w:r>
      <w:r>
        <w:rPr>
          <w:color w:val="1D71B8"/>
          <w:spacing w:val="-3"/>
          <w:sz w:val="18"/>
          <w:u w:val="single" w:color="1D71B8"/>
        </w:rPr>
        <w:t> </w:t>
      </w:r>
      <w:r>
        <w:rPr>
          <w:color w:val="1D71B8"/>
          <w:sz w:val="18"/>
          <w:u w:val="single" w:color="1D71B8"/>
        </w:rPr>
        <w:t>Union</w:t>
      </w:r>
      <w:r>
        <w:rPr>
          <w:color w:val="1D71B8"/>
          <w:spacing w:val="-5"/>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EU</w:t>
      </w:r>
      <w:r>
        <w:rPr>
          <w:color w:val="1D71B8"/>
          <w:spacing w:val="-3"/>
          <w:sz w:val="18"/>
          <w:u w:val="single" w:color="1D71B8"/>
        </w:rPr>
        <w:t> </w:t>
      </w:r>
      <w:r>
        <w:rPr>
          <w:color w:val="1D71B8"/>
          <w:sz w:val="18"/>
          <w:u w:val="single" w:color="1D71B8"/>
        </w:rPr>
        <w:t>Anti-racism</w:t>
      </w:r>
      <w:r>
        <w:rPr>
          <w:color w:val="1D71B8"/>
          <w:spacing w:val="-4"/>
          <w:sz w:val="18"/>
          <w:u w:val="single" w:color="1D71B8"/>
        </w:rPr>
        <w:t> </w:t>
      </w:r>
      <w:r>
        <w:rPr>
          <w:color w:val="1D71B8"/>
          <w:sz w:val="18"/>
          <w:u w:val="single" w:color="1D71B8"/>
        </w:rPr>
        <w:t>Action</w:t>
      </w:r>
      <w:r>
        <w:rPr>
          <w:color w:val="1D71B8"/>
          <w:spacing w:val="-4"/>
          <w:sz w:val="18"/>
          <w:u w:val="single" w:color="1D71B8"/>
        </w:rPr>
        <w:t> </w:t>
      </w:r>
      <w:r>
        <w:rPr>
          <w:color w:val="1D71B8"/>
          <w:sz w:val="18"/>
          <w:u w:val="single" w:color="1D71B8"/>
        </w:rPr>
        <w:t>Plan</w:t>
      </w:r>
      <w:r>
        <w:rPr>
          <w:color w:val="1D71B8"/>
          <w:spacing w:val="-4"/>
          <w:sz w:val="18"/>
          <w:u w:val="single" w:color="1D71B8"/>
        </w:rPr>
        <w:t> </w:t>
      </w:r>
      <w:r>
        <w:rPr>
          <w:color w:val="1D71B8"/>
          <w:sz w:val="18"/>
          <w:u w:val="single" w:color="1D71B8"/>
        </w:rPr>
        <w:t>2020-2025</w:t>
      </w:r>
      <w:r>
        <w:rPr>
          <w:color w:val="1D71B8"/>
          <w:spacing w:val="-4"/>
          <w:sz w:val="18"/>
          <w:u w:val="none"/>
        </w:rPr>
        <w:t> </w:t>
      </w:r>
      <w:r>
        <w:rPr>
          <w:spacing w:val="-2"/>
          <w:sz w:val="18"/>
          <w:u w:val="none"/>
        </w:rPr>
        <w:t>(2020).</w:t>
      </w:r>
    </w:p>
    <w:p>
      <w:pPr>
        <w:pStyle w:val="ListParagraph"/>
        <w:numPr>
          <w:ilvl w:val="0"/>
          <w:numId w:val="9"/>
        </w:numPr>
        <w:tabs>
          <w:tab w:pos="1684" w:val="left" w:leader="none"/>
        </w:tabs>
        <w:spacing w:line="240" w:lineRule="auto" w:before="0" w:after="0"/>
        <w:ind w:left="1684" w:right="0" w:hanging="567"/>
        <w:jc w:val="left"/>
        <w:rPr>
          <w:sz w:val="18"/>
        </w:rPr>
      </w:pPr>
      <w:r>
        <w:rPr>
          <w:sz w:val="18"/>
        </w:rPr>
        <w:t>European</w:t>
      </w:r>
      <w:r>
        <w:rPr>
          <w:spacing w:val="-7"/>
          <w:sz w:val="18"/>
        </w:rPr>
        <w:t> </w:t>
      </w:r>
      <w:r>
        <w:rPr>
          <w:sz w:val="18"/>
        </w:rPr>
        <w:t>Commission</w:t>
      </w:r>
      <w:r>
        <w:rPr>
          <w:i/>
          <w:sz w:val="18"/>
        </w:rPr>
        <w:t>,</w:t>
      </w:r>
      <w:r>
        <w:rPr>
          <w:i/>
          <w:spacing w:val="-6"/>
          <w:sz w:val="18"/>
        </w:rPr>
        <w:t> </w:t>
      </w:r>
      <w:hyperlink r:id="rId33">
        <w:r>
          <w:rPr>
            <w:color w:val="1D71B8"/>
            <w:sz w:val="18"/>
            <w:u w:val="single" w:color="1D71B8"/>
          </w:rPr>
          <w:t>EU</w:t>
        </w:r>
        <w:r>
          <w:rPr>
            <w:color w:val="1D71B8"/>
            <w:spacing w:val="-6"/>
            <w:sz w:val="18"/>
            <w:u w:val="single" w:color="1D71B8"/>
          </w:rPr>
          <w:t> </w:t>
        </w:r>
        <w:r>
          <w:rPr>
            <w:color w:val="1D71B8"/>
            <w:sz w:val="18"/>
            <w:u w:val="single" w:color="1D71B8"/>
          </w:rPr>
          <w:t>Roma</w:t>
        </w:r>
        <w:r>
          <w:rPr>
            <w:color w:val="1D71B8"/>
            <w:spacing w:val="-6"/>
            <w:sz w:val="18"/>
            <w:u w:val="single" w:color="1D71B8"/>
          </w:rPr>
          <w:t> </w:t>
        </w:r>
        <w:r>
          <w:rPr>
            <w:color w:val="1D71B8"/>
            <w:sz w:val="18"/>
            <w:u w:val="single" w:color="1D71B8"/>
          </w:rPr>
          <w:t>Strategic</w:t>
        </w:r>
        <w:r>
          <w:rPr>
            <w:color w:val="1D71B8"/>
            <w:spacing w:val="-6"/>
            <w:sz w:val="18"/>
            <w:u w:val="single" w:color="1D71B8"/>
          </w:rPr>
          <w:t> </w:t>
        </w:r>
        <w:r>
          <w:rPr>
            <w:color w:val="1D71B8"/>
            <w:sz w:val="18"/>
            <w:u w:val="single" w:color="1D71B8"/>
          </w:rPr>
          <w:t>Framework</w:t>
        </w:r>
        <w:r>
          <w:rPr>
            <w:color w:val="1D71B8"/>
            <w:spacing w:val="-6"/>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Equality,</w:t>
        </w:r>
        <w:r>
          <w:rPr>
            <w:color w:val="1D71B8"/>
            <w:spacing w:val="-6"/>
            <w:sz w:val="18"/>
            <w:u w:val="single" w:color="1D71B8"/>
          </w:rPr>
          <w:t> </w:t>
        </w:r>
        <w:r>
          <w:rPr>
            <w:color w:val="1D71B8"/>
            <w:sz w:val="18"/>
            <w:u w:val="single" w:color="1D71B8"/>
          </w:rPr>
          <w:t>Inclusion</w:t>
        </w:r>
        <w:r>
          <w:rPr>
            <w:color w:val="1D71B8"/>
            <w:spacing w:val="-7"/>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Participation</w:t>
        </w:r>
        <w:r>
          <w:rPr>
            <w:color w:val="1D71B8"/>
            <w:spacing w:val="-6"/>
            <w:sz w:val="18"/>
            <w:u w:val="single" w:color="1D71B8"/>
          </w:rPr>
          <w:t> </w:t>
        </w:r>
        <w:r>
          <w:rPr>
            <w:color w:val="1D71B8"/>
            <w:sz w:val="18"/>
            <w:u w:val="single" w:color="1D71B8"/>
          </w:rPr>
          <w:t>for</w:t>
        </w:r>
        <w:r>
          <w:rPr>
            <w:color w:val="1D71B8"/>
            <w:spacing w:val="-6"/>
            <w:sz w:val="18"/>
            <w:u w:val="single" w:color="1D71B8"/>
          </w:rPr>
          <w:t> </w:t>
        </w:r>
        <w:r>
          <w:rPr>
            <w:color w:val="1D71B8"/>
            <w:sz w:val="18"/>
            <w:u w:val="single" w:color="1D71B8"/>
          </w:rPr>
          <w:t>2020</w:t>
        </w:r>
        <w:r>
          <w:rPr>
            <w:color w:val="1D71B8"/>
            <w:spacing w:val="-5"/>
            <w:sz w:val="18"/>
            <w:u w:val="single" w:color="1D71B8"/>
          </w:rPr>
          <w:t> </w:t>
        </w:r>
        <w:r>
          <w:rPr>
            <w:color w:val="1D71B8"/>
            <w:sz w:val="18"/>
            <w:u w:val="single" w:color="1D71B8"/>
          </w:rPr>
          <w:t>-</w:t>
        </w:r>
        <w:r>
          <w:rPr>
            <w:color w:val="1D71B8"/>
            <w:spacing w:val="-7"/>
            <w:sz w:val="18"/>
            <w:u w:val="single" w:color="1D71B8"/>
          </w:rPr>
          <w:t> </w:t>
        </w:r>
        <w:r>
          <w:rPr>
            <w:color w:val="1D71B8"/>
            <w:sz w:val="18"/>
            <w:u w:val="single" w:color="1D71B8"/>
          </w:rPr>
          <w:t>2030</w:t>
        </w:r>
      </w:hyperlink>
      <w:r>
        <w:rPr>
          <w:color w:val="1D71B8"/>
          <w:spacing w:val="-7"/>
          <w:sz w:val="18"/>
          <w:u w:val="none"/>
        </w:rPr>
        <w:t> </w:t>
      </w:r>
      <w:r>
        <w:rPr>
          <w:sz w:val="18"/>
          <w:u w:val="none"/>
        </w:rPr>
        <w:t>(2020)</w:t>
      </w:r>
      <w:r>
        <w:rPr>
          <w:spacing w:val="-7"/>
          <w:sz w:val="18"/>
          <w:u w:val="none"/>
        </w:rPr>
        <w:t> </w:t>
      </w:r>
      <w:r>
        <w:rPr>
          <w:spacing w:val="-10"/>
          <w:sz w:val="18"/>
          <w:u w:val="none"/>
        </w:rPr>
        <w:t>.</w:t>
      </w:r>
    </w:p>
    <w:p>
      <w:pPr>
        <w:pStyle w:val="ListParagraph"/>
        <w:numPr>
          <w:ilvl w:val="0"/>
          <w:numId w:val="9"/>
        </w:numPr>
        <w:tabs>
          <w:tab w:pos="1684" w:val="left" w:leader="none"/>
        </w:tabs>
        <w:spacing w:line="240" w:lineRule="auto" w:before="1" w:after="0"/>
        <w:ind w:left="1684" w:right="0" w:hanging="567"/>
        <w:jc w:val="left"/>
        <w:rPr>
          <w:sz w:val="18"/>
        </w:rPr>
      </w:pPr>
      <w:r>
        <w:rPr>
          <w:sz w:val="18"/>
        </w:rPr>
        <w:t>European</w:t>
      </w:r>
      <w:r>
        <w:rPr>
          <w:spacing w:val="-5"/>
          <w:sz w:val="18"/>
        </w:rPr>
        <w:t> </w:t>
      </w:r>
      <w:r>
        <w:rPr>
          <w:sz w:val="18"/>
        </w:rPr>
        <w:t>Commission,</w:t>
      </w:r>
      <w:r>
        <w:rPr>
          <w:spacing w:val="-5"/>
          <w:sz w:val="18"/>
        </w:rPr>
        <w:t> </w:t>
      </w:r>
      <w:hyperlink r:id="rId34">
        <w:r>
          <w:rPr>
            <w:color w:val="1D71B8"/>
            <w:sz w:val="18"/>
            <w:u w:val="single" w:color="1D71B8"/>
          </w:rPr>
          <w:t>Union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LGBTIQ</w:t>
        </w:r>
        <w:r>
          <w:rPr>
            <w:color w:val="1D71B8"/>
            <w:spacing w:val="-4"/>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Strategy</w:t>
        </w:r>
        <w:r>
          <w:rPr>
            <w:color w:val="1D71B8"/>
            <w:spacing w:val="-4"/>
            <w:sz w:val="18"/>
            <w:u w:val="single" w:color="1D71B8"/>
          </w:rPr>
          <w:t> </w:t>
        </w:r>
        <w:r>
          <w:rPr>
            <w:color w:val="1D71B8"/>
            <w:sz w:val="18"/>
            <w:u w:val="single" w:color="1D71B8"/>
          </w:rPr>
          <w:t>2020-2025</w:t>
        </w:r>
      </w:hyperlink>
      <w:r>
        <w:rPr>
          <w:color w:val="1D71B8"/>
          <w:spacing w:val="-6"/>
          <w:sz w:val="18"/>
          <w:u w:val="none"/>
        </w:rPr>
        <w:t> </w:t>
      </w:r>
      <w:r>
        <w:rPr>
          <w:spacing w:val="-2"/>
          <w:sz w:val="18"/>
          <w:u w:val="none"/>
        </w:rPr>
        <w:t>(2020).</w:t>
      </w:r>
    </w:p>
    <w:p>
      <w:pPr>
        <w:pStyle w:val="ListParagraph"/>
        <w:numPr>
          <w:ilvl w:val="0"/>
          <w:numId w:val="9"/>
        </w:numPr>
        <w:tabs>
          <w:tab w:pos="1684" w:val="left" w:leader="none"/>
        </w:tabs>
        <w:spacing w:line="240" w:lineRule="auto" w:before="0" w:after="0"/>
        <w:ind w:left="1684" w:right="0" w:hanging="567"/>
        <w:jc w:val="left"/>
        <w:rPr>
          <w:sz w:val="18"/>
        </w:rPr>
      </w:pPr>
      <w:r>
        <w:rPr>
          <w:sz w:val="18"/>
        </w:rPr>
        <w:t>European</w:t>
      </w:r>
      <w:r>
        <w:rPr>
          <w:spacing w:val="-6"/>
          <w:sz w:val="18"/>
        </w:rPr>
        <w:t> </w:t>
      </w:r>
      <w:r>
        <w:rPr>
          <w:sz w:val="18"/>
        </w:rPr>
        <w:t>Commission,</w:t>
      </w:r>
      <w:r>
        <w:rPr>
          <w:spacing w:val="-5"/>
          <w:sz w:val="18"/>
        </w:rPr>
        <w:t> </w:t>
      </w:r>
      <w:hyperlink r:id="rId35">
        <w:r>
          <w:rPr>
            <w:color w:val="1D71B8"/>
            <w:sz w:val="18"/>
            <w:u w:val="single" w:color="1D71B8"/>
          </w:rPr>
          <w:t>Union</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Strategy</w:t>
        </w:r>
        <w:r>
          <w:rPr>
            <w:color w:val="1D71B8"/>
            <w:spacing w:val="-4"/>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persons</w:t>
        </w:r>
        <w:r>
          <w:rPr>
            <w:color w:val="1D71B8"/>
            <w:spacing w:val="-5"/>
            <w:sz w:val="18"/>
            <w:u w:val="single" w:color="1D71B8"/>
          </w:rPr>
          <w:t> </w:t>
        </w:r>
        <w:r>
          <w:rPr>
            <w:color w:val="1D71B8"/>
            <w:sz w:val="18"/>
            <w:u w:val="single" w:color="1D71B8"/>
          </w:rPr>
          <w:t>with</w:t>
        </w:r>
        <w:r>
          <w:rPr>
            <w:color w:val="1D71B8"/>
            <w:spacing w:val="-5"/>
            <w:sz w:val="18"/>
            <w:u w:val="single" w:color="1D71B8"/>
          </w:rPr>
          <w:t> </w:t>
        </w:r>
        <w:r>
          <w:rPr>
            <w:color w:val="1D71B8"/>
            <w:sz w:val="18"/>
            <w:u w:val="single" w:color="1D71B8"/>
          </w:rPr>
          <w:t>disabilities</w:t>
        </w:r>
        <w:r>
          <w:rPr>
            <w:color w:val="1D71B8"/>
            <w:spacing w:val="-5"/>
            <w:sz w:val="18"/>
            <w:u w:val="single" w:color="1D71B8"/>
          </w:rPr>
          <w:t> </w:t>
        </w:r>
        <w:r>
          <w:rPr>
            <w:color w:val="1D71B8"/>
            <w:sz w:val="18"/>
            <w:u w:val="single" w:color="1D71B8"/>
          </w:rPr>
          <w:t>2021-2030</w:t>
        </w:r>
      </w:hyperlink>
      <w:r>
        <w:rPr>
          <w:color w:val="1D71B8"/>
          <w:spacing w:val="-7"/>
          <w:sz w:val="18"/>
          <w:u w:val="none"/>
        </w:rPr>
        <w:t> </w:t>
      </w:r>
      <w:r>
        <w:rPr>
          <w:spacing w:val="-2"/>
          <w:sz w:val="18"/>
          <w:u w:val="none"/>
        </w:rPr>
        <w:t>(2020).</w:t>
      </w:r>
    </w:p>
    <w:p>
      <w:pPr>
        <w:spacing w:after="0" w:line="240" w:lineRule="auto"/>
        <w:jc w:val="left"/>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776768">
                <wp:simplePos x="0" y="0"/>
                <wp:positionH relativeFrom="page">
                  <wp:posOffset>0</wp:posOffset>
                </wp:positionH>
                <wp:positionV relativeFrom="page">
                  <wp:posOffset>0</wp:posOffset>
                </wp:positionV>
                <wp:extent cx="7560309" cy="2204085"/>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7560309" cy="2204085"/>
                          <a:chExt cx="7560309" cy="2204085"/>
                        </a:xfrm>
                      </wpg:grpSpPr>
                      <wps:wsp>
                        <wps:cNvPr id="247" name="Graphic 247"/>
                        <wps:cNvSpPr/>
                        <wps:spPr>
                          <a:xfrm>
                            <a:off x="647994" y="972002"/>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48" name="Graphic 248"/>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249" name="Graphic 249"/>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250" name="Textbox 250"/>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16</w:t>
                              </w:r>
                            </w:p>
                          </w:txbxContent>
                        </wps:txbx>
                        <wps:bodyPr wrap="square" lIns="0" tIns="0" rIns="0" bIns="0" rtlCol="0">
                          <a:noAutofit/>
                        </wps:bodyPr>
                      </wps:wsp>
                      <wps:wsp>
                        <wps:cNvPr id="251" name="Textbox 251"/>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252" name="Textbox 252"/>
                        <wps:cNvSpPr txBox="1"/>
                        <wps:spPr>
                          <a:xfrm>
                            <a:off x="864000" y="1080003"/>
                            <a:ext cx="5533390" cy="101600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9"/>
                                  <w:sz w:val="28"/>
                                </w:rPr>
                                <w:t> </w:t>
                              </w:r>
                              <w:r>
                                <w:rPr>
                                  <w:b/>
                                  <w:color w:val="164194"/>
                                  <w:sz w:val="28"/>
                                </w:rPr>
                                <w:t>that</w:t>
                              </w:r>
                              <w:r>
                                <w:rPr>
                                  <w:b/>
                                  <w:color w:val="164194"/>
                                  <w:spacing w:val="-9"/>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consider</w:t>
                              </w:r>
                              <w:r>
                                <w:rPr>
                                  <w:b/>
                                  <w:color w:val="164194"/>
                                  <w:spacing w:val="-10"/>
                                  <w:sz w:val="28"/>
                                </w:rPr>
                                <w:t> </w:t>
                              </w:r>
                              <w:r>
                                <w:rPr>
                                  <w:b/>
                                  <w:color w:val="164194"/>
                                  <w:sz w:val="28"/>
                                </w:rPr>
                                <w:t>developments</w:t>
                              </w:r>
                              <w:r>
                                <w:rPr>
                                  <w:b/>
                                  <w:color w:val="164194"/>
                                  <w:spacing w:val="-8"/>
                                  <w:sz w:val="28"/>
                                </w:rPr>
                                <w:t> </w:t>
                              </w:r>
                              <w:r>
                                <w:rPr>
                                  <w:b/>
                                  <w:color w:val="164194"/>
                                  <w:sz w:val="28"/>
                                </w:rPr>
                                <w:t>in</w:t>
                              </w:r>
                              <w:r>
                                <w:rPr>
                                  <w:b/>
                                  <w:color w:val="164194"/>
                                  <w:spacing w:val="-9"/>
                                  <w:sz w:val="28"/>
                                </w:rPr>
                                <w:t> </w:t>
                              </w:r>
                              <w:r>
                                <w:rPr>
                                  <w:b/>
                                  <w:color w:val="164194"/>
                                  <w:spacing w:val="-5"/>
                                  <w:sz w:val="28"/>
                                </w:rPr>
                                <w:t>the</w:t>
                              </w:r>
                            </w:p>
                            <w:p>
                              <w:pPr>
                                <w:spacing w:line="232" w:lineRule="auto" w:before="0"/>
                                <w:ind w:left="0" w:right="0" w:firstLine="0"/>
                                <w:jc w:val="left"/>
                                <w:rPr>
                                  <w:b/>
                                  <w:sz w:val="28"/>
                                </w:rPr>
                              </w:pPr>
                              <w:r>
                                <w:rPr>
                                  <w:b/>
                                  <w:color w:val="164194"/>
                                  <w:sz w:val="28"/>
                                </w:rPr>
                                <w:t>EU</w:t>
                              </w:r>
                              <w:r>
                                <w:rPr>
                                  <w:b/>
                                  <w:color w:val="164194"/>
                                  <w:spacing w:val="-8"/>
                                  <w:sz w:val="28"/>
                                </w:rPr>
                                <w:t> </w:t>
                              </w:r>
                              <w:r>
                                <w:rPr>
                                  <w:b/>
                                  <w:color w:val="164194"/>
                                  <w:sz w:val="28"/>
                                </w:rPr>
                                <w:t>Anti-Racism</w:t>
                              </w:r>
                              <w:r>
                                <w:rPr>
                                  <w:b/>
                                  <w:color w:val="164194"/>
                                  <w:spacing w:val="-9"/>
                                  <w:sz w:val="28"/>
                                </w:rPr>
                                <w:t> </w:t>
                              </w:r>
                              <w:r>
                                <w:rPr>
                                  <w:b/>
                                  <w:color w:val="164194"/>
                                  <w:sz w:val="28"/>
                                </w:rPr>
                                <w:t>Action</w:t>
                              </w:r>
                              <w:r>
                                <w:rPr>
                                  <w:b/>
                                  <w:color w:val="164194"/>
                                  <w:spacing w:val="-8"/>
                                  <w:sz w:val="28"/>
                                </w:rPr>
                                <w:t> </w:t>
                              </w:r>
                              <w:r>
                                <w:rPr>
                                  <w:b/>
                                  <w:color w:val="164194"/>
                                  <w:sz w:val="28"/>
                                </w:rPr>
                                <w:t>Plan</w:t>
                              </w:r>
                              <w:r>
                                <w:rPr>
                                  <w:b/>
                                  <w:color w:val="164194"/>
                                  <w:spacing w:val="-8"/>
                                  <w:sz w:val="28"/>
                                </w:rPr>
                                <w:t> </w:t>
                              </w:r>
                              <w:r>
                                <w:rPr>
                                  <w:b/>
                                  <w:color w:val="164194"/>
                                  <w:sz w:val="28"/>
                                </w:rPr>
                                <w:t>and</w:t>
                              </w:r>
                              <w:r>
                                <w:rPr>
                                  <w:b/>
                                  <w:color w:val="164194"/>
                                  <w:spacing w:val="-8"/>
                                  <w:sz w:val="28"/>
                                </w:rPr>
                                <w:t> </w:t>
                              </w:r>
                              <w:r>
                                <w:rPr>
                                  <w:b/>
                                  <w:color w:val="164194"/>
                                  <w:sz w:val="28"/>
                                </w:rPr>
                                <w:t>Roma</w:t>
                              </w:r>
                              <w:r>
                                <w:rPr>
                                  <w:b/>
                                  <w:color w:val="164194"/>
                                  <w:spacing w:val="-8"/>
                                  <w:sz w:val="28"/>
                                </w:rPr>
                                <w:t> </w:t>
                              </w:r>
                              <w:r>
                                <w:rPr>
                                  <w:b/>
                                  <w:color w:val="164194"/>
                                  <w:sz w:val="28"/>
                                </w:rPr>
                                <w:t>Strategic</w:t>
                              </w:r>
                              <w:r>
                                <w:rPr>
                                  <w:b/>
                                  <w:color w:val="164194"/>
                                  <w:spacing w:val="-9"/>
                                  <w:sz w:val="28"/>
                                </w:rPr>
                                <w:t> </w:t>
                              </w:r>
                              <w:r>
                                <w:rPr>
                                  <w:b/>
                                  <w:color w:val="164194"/>
                                  <w:sz w:val="28"/>
                                </w:rPr>
                                <w:t>Framework</w:t>
                              </w:r>
                              <w:r>
                                <w:rPr>
                                  <w:b/>
                                  <w:color w:val="164194"/>
                                  <w:spacing w:val="-9"/>
                                  <w:sz w:val="28"/>
                                </w:rPr>
                                <w:t> </w:t>
                              </w:r>
                              <w:r>
                                <w:rPr>
                                  <w:b/>
                                  <w:color w:val="164194"/>
                                  <w:sz w:val="28"/>
                                </w:rPr>
                                <w:t>where</w:t>
                              </w:r>
                              <w:r>
                                <w:rPr>
                                  <w:b/>
                                  <w:color w:val="164194"/>
                                  <w:spacing w:val="-9"/>
                                  <w:sz w:val="28"/>
                                </w:rPr>
                                <w:t> </w:t>
                              </w:r>
                              <w:r>
                                <w:rPr>
                                  <w:b/>
                                  <w:color w:val="164194"/>
                                  <w:sz w:val="28"/>
                                </w:rPr>
                                <w:t>this</w:t>
                              </w:r>
                              <w:r>
                                <w:rPr>
                                  <w:b/>
                                  <w:color w:val="164194"/>
                                  <w:spacing w:val="-8"/>
                                  <w:sz w:val="28"/>
                                </w:rPr>
                                <w:t> </w:t>
                              </w:r>
                              <w:r>
                                <w:rPr>
                                  <w:b/>
                                  <w:color w:val="164194"/>
                                  <w:sz w:val="28"/>
                                </w:rPr>
                                <w:t>may identify best practice with which Northern Ireland may wish to voluntarily align where it strengthens rights and reflect international human rights </w:t>
                              </w:r>
                              <w:r>
                                <w:rPr>
                                  <w:b/>
                                  <w:color w:val="164194"/>
                                  <w:spacing w:val="-2"/>
                                  <w:sz w:val="28"/>
                                </w:rPr>
                                <w:t>standards.</w:t>
                              </w:r>
                            </w:p>
                          </w:txbxContent>
                        </wps:txbx>
                        <wps:bodyPr wrap="square" lIns="0" tIns="0" rIns="0" bIns="0" rtlCol="0">
                          <a:noAutofit/>
                        </wps:bodyPr>
                      </wps:wsp>
                    </wpg:wgp>
                  </a:graphicData>
                </a:graphic>
              </wp:anchor>
            </w:drawing>
          </mc:Choice>
          <mc:Fallback>
            <w:pict>
              <v:group style="position:absolute;margin-left:.0pt;margin-top:-.00002pt;width:595.3pt;height:173.55pt;mso-position-horizontal-relative:page;mso-position-vertical-relative:page;z-index:15776768" id="docshapegroup189" coordorigin="0,0" coordsize="11906,3471">
                <v:shape style="position:absolute;left:1020;top:1530;width:9468;height:1941" id="docshape190" coordorigin="1020,1531" coordsize="9468,1941" path="m10261,1531l1247,1531,1176,1542,1113,1574,1064,1624,1032,1686,1020,1757,1020,3244,1032,3316,1064,3378,1113,3427,1176,3459,1247,3471,10261,3471,10333,3459,10395,3427,10444,3378,10477,3316,10488,3244,10488,1757,10477,1686,10444,1624,10395,1574,10333,1542,10261,1531xe" filled="true" fillcolor="#e9f3fc" stroked="false">
                  <v:path arrowok="t"/>
                  <v:fill type="solid"/>
                </v:shape>
                <v:shape style="position:absolute;left:0;top:0;width:11906;height:1819" id="docshape191"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192" filled="false" stroked="false">
                  <v:textbox inset="0,0,0,0">
                    <w:txbxContent>
                      <w:p>
                        <w:pPr>
                          <w:spacing w:line="280" w:lineRule="exact" w:before="0"/>
                          <w:ind w:left="0" w:right="0" w:firstLine="0"/>
                          <w:jc w:val="left"/>
                          <w:rPr>
                            <w:b/>
                            <w:sz w:val="28"/>
                          </w:rPr>
                        </w:pPr>
                        <w:r>
                          <w:rPr>
                            <w:b/>
                            <w:color w:val="FFFFFF"/>
                            <w:spacing w:val="-5"/>
                            <w:sz w:val="28"/>
                          </w:rPr>
                          <w:t>16</w:t>
                        </w:r>
                      </w:p>
                    </w:txbxContent>
                  </v:textbox>
                  <w10:wrap type="none"/>
                </v:shape>
                <v:shape style="position:absolute;left:1303;top:645;width:6182;height:240" type="#_x0000_t202" id="docshape193"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360;top:1700;width:8714;height:1600" type="#_x0000_t202" id="docshape194" filled="false" stroked="false">
                  <v:textbox inset="0,0,0,0">
                    <w:txbxContent>
                      <w:p>
                        <w:pPr>
                          <w:spacing w:line="279" w:lineRule="exact" w:before="0"/>
                          <w:ind w:left="0" w:right="0"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9"/>
                            <w:sz w:val="28"/>
                          </w:rPr>
                          <w:t> </w:t>
                        </w:r>
                        <w:r>
                          <w:rPr>
                            <w:b/>
                            <w:color w:val="164194"/>
                            <w:sz w:val="28"/>
                          </w:rPr>
                          <w:t>that</w:t>
                        </w:r>
                        <w:r>
                          <w:rPr>
                            <w:b/>
                            <w:color w:val="164194"/>
                            <w:spacing w:val="-9"/>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consider</w:t>
                        </w:r>
                        <w:r>
                          <w:rPr>
                            <w:b/>
                            <w:color w:val="164194"/>
                            <w:spacing w:val="-10"/>
                            <w:sz w:val="28"/>
                          </w:rPr>
                          <w:t> </w:t>
                        </w:r>
                        <w:r>
                          <w:rPr>
                            <w:b/>
                            <w:color w:val="164194"/>
                            <w:sz w:val="28"/>
                          </w:rPr>
                          <w:t>developments</w:t>
                        </w:r>
                        <w:r>
                          <w:rPr>
                            <w:b/>
                            <w:color w:val="164194"/>
                            <w:spacing w:val="-8"/>
                            <w:sz w:val="28"/>
                          </w:rPr>
                          <w:t> </w:t>
                        </w:r>
                        <w:r>
                          <w:rPr>
                            <w:b/>
                            <w:color w:val="164194"/>
                            <w:sz w:val="28"/>
                          </w:rPr>
                          <w:t>in</w:t>
                        </w:r>
                        <w:r>
                          <w:rPr>
                            <w:b/>
                            <w:color w:val="164194"/>
                            <w:spacing w:val="-9"/>
                            <w:sz w:val="28"/>
                          </w:rPr>
                          <w:t> </w:t>
                        </w:r>
                        <w:r>
                          <w:rPr>
                            <w:b/>
                            <w:color w:val="164194"/>
                            <w:spacing w:val="-5"/>
                            <w:sz w:val="28"/>
                          </w:rPr>
                          <w:t>the</w:t>
                        </w:r>
                      </w:p>
                      <w:p>
                        <w:pPr>
                          <w:spacing w:line="232" w:lineRule="auto" w:before="0"/>
                          <w:ind w:left="0" w:right="0" w:firstLine="0"/>
                          <w:jc w:val="left"/>
                          <w:rPr>
                            <w:b/>
                            <w:sz w:val="28"/>
                          </w:rPr>
                        </w:pPr>
                        <w:r>
                          <w:rPr>
                            <w:b/>
                            <w:color w:val="164194"/>
                            <w:sz w:val="28"/>
                          </w:rPr>
                          <w:t>EU</w:t>
                        </w:r>
                        <w:r>
                          <w:rPr>
                            <w:b/>
                            <w:color w:val="164194"/>
                            <w:spacing w:val="-8"/>
                            <w:sz w:val="28"/>
                          </w:rPr>
                          <w:t> </w:t>
                        </w:r>
                        <w:r>
                          <w:rPr>
                            <w:b/>
                            <w:color w:val="164194"/>
                            <w:sz w:val="28"/>
                          </w:rPr>
                          <w:t>Anti-Racism</w:t>
                        </w:r>
                        <w:r>
                          <w:rPr>
                            <w:b/>
                            <w:color w:val="164194"/>
                            <w:spacing w:val="-9"/>
                            <w:sz w:val="28"/>
                          </w:rPr>
                          <w:t> </w:t>
                        </w:r>
                        <w:r>
                          <w:rPr>
                            <w:b/>
                            <w:color w:val="164194"/>
                            <w:sz w:val="28"/>
                          </w:rPr>
                          <w:t>Action</w:t>
                        </w:r>
                        <w:r>
                          <w:rPr>
                            <w:b/>
                            <w:color w:val="164194"/>
                            <w:spacing w:val="-8"/>
                            <w:sz w:val="28"/>
                          </w:rPr>
                          <w:t> </w:t>
                        </w:r>
                        <w:r>
                          <w:rPr>
                            <w:b/>
                            <w:color w:val="164194"/>
                            <w:sz w:val="28"/>
                          </w:rPr>
                          <w:t>Plan</w:t>
                        </w:r>
                        <w:r>
                          <w:rPr>
                            <w:b/>
                            <w:color w:val="164194"/>
                            <w:spacing w:val="-8"/>
                            <w:sz w:val="28"/>
                          </w:rPr>
                          <w:t> </w:t>
                        </w:r>
                        <w:r>
                          <w:rPr>
                            <w:b/>
                            <w:color w:val="164194"/>
                            <w:sz w:val="28"/>
                          </w:rPr>
                          <w:t>and</w:t>
                        </w:r>
                        <w:r>
                          <w:rPr>
                            <w:b/>
                            <w:color w:val="164194"/>
                            <w:spacing w:val="-8"/>
                            <w:sz w:val="28"/>
                          </w:rPr>
                          <w:t> </w:t>
                        </w:r>
                        <w:r>
                          <w:rPr>
                            <w:b/>
                            <w:color w:val="164194"/>
                            <w:sz w:val="28"/>
                          </w:rPr>
                          <w:t>Roma</w:t>
                        </w:r>
                        <w:r>
                          <w:rPr>
                            <w:b/>
                            <w:color w:val="164194"/>
                            <w:spacing w:val="-8"/>
                            <w:sz w:val="28"/>
                          </w:rPr>
                          <w:t> </w:t>
                        </w:r>
                        <w:r>
                          <w:rPr>
                            <w:b/>
                            <w:color w:val="164194"/>
                            <w:sz w:val="28"/>
                          </w:rPr>
                          <w:t>Strategic</w:t>
                        </w:r>
                        <w:r>
                          <w:rPr>
                            <w:b/>
                            <w:color w:val="164194"/>
                            <w:spacing w:val="-9"/>
                            <w:sz w:val="28"/>
                          </w:rPr>
                          <w:t> </w:t>
                        </w:r>
                        <w:r>
                          <w:rPr>
                            <w:b/>
                            <w:color w:val="164194"/>
                            <w:sz w:val="28"/>
                          </w:rPr>
                          <w:t>Framework</w:t>
                        </w:r>
                        <w:r>
                          <w:rPr>
                            <w:b/>
                            <w:color w:val="164194"/>
                            <w:spacing w:val="-9"/>
                            <w:sz w:val="28"/>
                          </w:rPr>
                          <w:t> </w:t>
                        </w:r>
                        <w:r>
                          <w:rPr>
                            <w:b/>
                            <w:color w:val="164194"/>
                            <w:sz w:val="28"/>
                          </w:rPr>
                          <w:t>where</w:t>
                        </w:r>
                        <w:r>
                          <w:rPr>
                            <w:b/>
                            <w:color w:val="164194"/>
                            <w:spacing w:val="-9"/>
                            <w:sz w:val="28"/>
                          </w:rPr>
                          <w:t> </w:t>
                        </w:r>
                        <w:r>
                          <w:rPr>
                            <w:b/>
                            <w:color w:val="164194"/>
                            <w:sz w:val="28"/>
                          </w:rPr>
                          <w:t>this</w:t>
                        </w:r>
                        <w:r>
                          <w:rPr>
                            <w:b/>
                            <w:color w:val="164194"/>
                            <w:spacing w:val="-8"/>
                            <w:sz w:val="28"/>
                          </w:rPr>
                          <w:t> </w:t>
                        </w:r>
                        <w:r>
                          <w:rPr>
                            <w:b/>
                            <w:color w:val="164194"/>
                            <w:sz w:val="28"/>
                          </w:rPr>
                          <w:t>may identify best practice with which Northern Ireland may wish to voluntarily align where it strengthens rights and reflect international human rights </w:t>
                        </w:r>
                        <w:r>
                          <w:rPr>
                            <w:b/>
                            <w:color w:val="164194"/>
                            <w:spacing w:val="-2"/>
                            <w:sz w:val="28"/>
                          </w:rPr>
                          <w:t>standards.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ind w:left="720"/>
        <w:rPr>
          <w:sz w:val="20"/>
        </w:rPr>
      </w:pPr>
      <w:r>
        <w:rPr>
          <w:sz w:val="20"/>
        </w:rPr>
        <mc:AlternateContent>
          <mc:Choice Requires="wps">
            <w:drawing>
              <wp:inline distT="0" distB="0" distL="0" distR="0">
                <wp:extent cx="6012180" cy="1022985"/>
                <wp:effectExtent l="0" t="0" r="0" b="5715"/>
                <wp:docPr id="253" name="Group 253"/>
                <wp:cNvGraphicFramePr>
                  <a:graphicFrameLocks/>
                </wp:cNvGraphicFramePr>
                <a:graphic>
                  <a:graphicData uri="http://schemas.microsoft.com/office/word/2010/wordprocessingGroup">
                    <wpg:wgp>
                      <wpg:cNvPr id="253" name="Group 253"/>
                      <wpg:cNvGrpSpPr/>
                      <wpg:grpSpPr>
                        <a:xfrm>
                          <a:off x="0" y="0"/>
                          <a:ext cx="6012180" cy="1022985"/>
                          <a:chExt cx="6012180" cy="1022985"/>
                        </a:xfrm>
                      </wpg:grpSpPr>
                      <wps:wsp>
                        <wps:cNvPr id="254" name="Graphic 254"/>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55" name="Textbox 255"/>
                        <wps:cNvSpPr txBox="1"/>
                        <wps:spPr>
                          <a:xfrm>
                            <a:off x="0" y="0"/>
                            <a:ext cx="6012180" cy="1022985"/>
                          </a:xfrm>
                          <a:prstGeom prst="rect">
                            <a:avLst/>
                          </a:prstGeom>
                        </wps:spPr>
                        <wps:txbx>
                          <w:txbxContent>
                            <w:p>
                              <w:pPr>
                                <w:spacing w:line="232" w:lineRule="auto" w:before="121"/>
                                <w:ind w:left="340" w:right="196" w:firstLine="0"/>
                                <w:jc w:val="left"/>
                                <w:rPr>
                                  <w:b/>
                                  <w:sz w:val="28"/>
                                </w:rPr>
                              </w:pPr>
                              <w:r>
                                <w:rPr>
                                  <w:b/>
                                  <w:color w:val="164194"/>
                                  <w:sz w:val="28"/>
                                </w:rPr>
                                <w:t>We recommend that the Executive Office consider developments in the LGBTIQ</w:t>
                              </w:r>
                              <w:r>
                                <w:rPr>
                                  <w:b/>
                                  <w:color w:val="164194"/>
                                  <w:spacing w:val="-11"/>
                                  <w:sz w:val="28"/>
                                </w:rPr>
                                <w:t> </w:t>
                              </w:r>
                              <w:r>
                                <w:rPr>
                                  <w:b/>
                                  <w:color w:val="164194"/>
                                  <w:sz w:val="28"/>
                                </w:rPr>
                                <w:t>Equality</w:t>
                              </w:r>
                              <w:r>
                                <w:rPr>
                                  <w:b/>
                                  <w:color w:val="164194"/>
                                  <w:spacing w:val="-10"/>
                                  <w:sz w:val="28"/>
                                </w:rPr>
                                <w:t> </w:t>
                              </w:r>
                              <w:r>
                                <w:rPr>
                                  <w:b/>
                                  <w:color w:val="164194"/>
                                  <w:sz w:val="28"/>
                                </w:rPr>
                                <w:t>Strategy</w:t>
                              </w:r>
                              <w:r>
                                <w:rPr>
                                  <w:b/>
                                  <w:color w:val="164194"/>
                                  <w:spacing w:val="-10"/>
                                  <w:sz w:val="28"/>
                                </w:rPr>
                                <w:t> </w:t>
                              </w:r>
                              <w:r>
                                <w:rPr>
                                  <w:b/>
                                  <w:color w:val="164194"/>
                                  <w:sz w:val="28"/>
                                </w:rPr>
                                <w:t>where</w:t>
                              </w:r>
                              <w:r>
                                <w:rPr>
                                  <w:b/>
                                  <w:color w:val="164194"/>
                                  <w:spacing w:val="-11"/>
                                  <w:sz w:val="28"/>
                                </w:rPr>
                                <w:t> </w:t>
                              </w:r>
                              <w:r>
                                <w:rPr>
                                  <w:b/>
                                  <w:color w:val="164194"/>
                                  <w:sz w:val="28"/>
                                </w:rPr>
                                <w:t>this</w:t>
                              </w:r>
                              <w:r>
                                <w:rPr>
                                  <w:b/>
                                  <w:color w:val="164194"/>
                                  <w:spacing w:val="-10"/>
                                  <w:sz w:val="28"/>
                                </w:rPr>
                                <w:t> </w:t>
                              </w:r>
                              <w:r>
                                <w:rPr>
                                  <w:b/>
                                  <w:color w:val="164194"/>
                                  <w:sz w:val="28"/>
                                </w:rPr>
                                <w:t>may</w:t>
                              </w:r>
                              <w:r>
                                <w:rPr>
                                  <w:b/>
                                  <w:color w:val="164194"/>
                                  <w:spacing w:val="-10"/>
                                  <w:sz w:val="28"/>
                                </w:rPr>
                                <w:t> </w:t>
                              </w:r>
                              <w:r>
                                <w:rPr>
                                  <w:b/>
                                  <w:color w:val="164194"/>
                                  <w:sz w:val="28"/>
                                </w:rPr>
                                <w:t>identify</w:t>
                              </w:r>
                              <w:r>
                                <w:rPr>
                                  <w:b/>
                                  <w:color w:val="164194"/>
                                  <w:spacing w:val="-10"/>
                                  <w:sz w:val="28"/>
                                </w:rPr>
                                <w:t> </w:t>
                              </w:r>
                              <w:r>
                                <w:rPr>
                                  <w:b/>
                                  <w:color w:val="164194"/>
                                  <w:sz w:val="28"/>
                                </w:rPr>
                                <w:t>examples</w:t>
                              </w:r>
                              <w:r>
                                <w:rPr>
                                  <w:b/>
                                  <w:color w:val="164194"/>
                                  <w:spacing w:val="-10"/>
                                  <w:sz w:val="28"/>
                                </w:rPr>
                                <w:t> </w:t>
                              </w:r>
                              <w:r>
                                <w:rPr>
                                  <w:b/>
                                  <w:color w:val="164194"/>
                                  <w:sz w:val="28"/>
                                </w:rPr>
                                <w:t>of</w:t>
                              </w:r>
                              <w:r>
                                <w:rPr>
                                  <w:b/>
                                  <w:color w:val="164194"/>
                                  <w:spacing w:val="-11"/>
                                  <w:sz w:val="28"/>
                                </w:rPr>
                                <w:t> </w:t>
                              </w:r>
                              <w:r>
                                <w:rPr>
                                  <w:b/>
                                  <w:color w:val="164194"/>
                                  <w:sz w:val="28"/>
                                </w:rPr>
                                <w:t>best</w:t>
                              </w:r>
                              <w:r>
                                <w:rPr>
                                  <w:b/>
                                  <w:color w:val="164194"/>
                                  <w:spacing w:val="-10"/>
                                  <w:sz w:val="28"/>
                                </w:rPr>
                                <w:t> </w:t>
                              </w:r>
                              <w:r>
                                <w:rPr>
                                  <w:b/>
                                  <w:color w:val="164194"/>
                                  <w:sz w:val="28"/>
                                </w:rPr>
                                <w:t>practice with which Northern Ireland may wish to voluntarily align where they strengthen rights and reflect international human rights standards.</w:t>
                              </w:r>
                            </w:p>
                          </w:txbxContent>
                        </wps:txbx>
                        <wps:bodyPr wrap="square" lIns="0" tIns="0" rIns="0" bIns="0" rtlCol="0">
                          <a:noAutofit/>
                        </wps:bodyPr>
                      </wps:wsp>
                    </wpg:wgp>
                  </a:graphicData>
                </a:graphic>
              </wp:inline>
            </w:drawing>
          </mc:Choice>
          <mc:Fallback>
            <w:pict>
              <v:group style="width:473.4pt;height:80.55pt;mso-position-horizontal-relative:char;mso-position-vertical-relative:line" id="docshapegroup195" coordorigin="0,0" coordsize="9468,1611">
                <v:shape style="position:absolute;left:0;top:0;width:9468;height:1611" id="docshape196" coordorigin="0,0" coordsize="9468,1611" path="m9241,0l227,0,155,12,93,44,44,93,12,155,0,227,0,1383,12,1455,44,1517,93,1566,155,1599,227,1610,9241,1610,9313,1599,9375,1566,9424,1517,9456,1455,9468,1383,9468,227,9456,155,9424,93,9375,44,9313,12,9241,0xe" filled="true" fillcolor="#e9f3fc" stroked="false">
                  <v:path arrowok="t"/>
                  <v:fill type="solid"/>
                </v:shape>
                <v:shape style="position:absolute;left:0;top:0;width:9468;height:1611" type="#_x0000_t202" id="docshape197" filled="false" stroked="false">
                  <v:textbox inset="0,0,0,0">
                    <w:txbxContent>
                      <w:p>
                        <w:pPr>
                          <w:spacing w:line="232" w:lineRule="auto" w:before="121"/>
                          <w:ind w:left="340" w:right="196" w:firstLine="0"/>
                          <w:jc w:val="left"/>
                          <w:rPr>
                            <w:b/>
                            <w:sz w:val="28"/>
                          </w:rPr>
                        </w:pPr>
                        <w:r>
                          <w:rPr>
                            <w:b/>
                            <w:color w:val="164194"/>
                            <w:sz w:val="28"/>
                          </w:rPr>
                          <w:t>We recommend that the Executive Office consider developments in the LGBTIQ</w:t>
                        </w:r>
                        <w:r>
                          <w:rPr>
                            <w:b/>
                            <w:color w:val="164194"/>
                            <w:spacing w:val="-11"/>
                            <w:sz w:val="28"/>
                          </w:rPr>
                          <w:t> </w:t>
                        </w:r>
                        <w:r>
                          <w:rPr>
                            <w:b/>
                            <w:color w:val="164194"/>
                            <w:sz w:val="28"/>
                          </w:rPr>
                          <w:t>Equality</w:t>
                        </w:r>
                        <w:r>
                          <w:rPr>
                            <w:b/>
                            <w:color w:val="164194"/>
                            <w:spacing w:val="-10"/>
                            <w:sz w:val="28"/>
                          </w:rPr>
                          <w:t> </w:t>
                        </w:r>
                        <w:r>
                          <w:rPr>
                            <w:b/>
                            <w:color w:val="164194"/>
                            <w:sz w:val="28"/>
                          </w:rPr>
                          <w:t>Strategy</w:t>
                        </w:r>
                        <w:r>
                          <w:rPr>
                            <w:b/>
                            <w:color w:val="164194"/>
                            <w:spacing w:val="-10"/>
                            <w:sz w:val="28"/>
                          </w:rPr>
                          <w:t> </w:t>
                        </w:r>
                        <w:r>
                          <w:rPr>
                            <w:b/>
                            <w:color w:val="164194"/>
                            <w:sz w:val="28"/>
                          </w:rPr>
                          <w:t>where</w:t>
                        </w:r>
                        <w:r>
                          <w:rPr>
                            <w:b/>
                            <w:color w:val="164194"/>
                            <w:spacing w:val="-11"/>
                            <w:sz w:val="28"/>
                          </w:rPr>
                          <w:t> </w:t>
                        </w:r>
                        <w:r>
                          <w:rPr>
                            <w:b/>
                            <w:color w:val="164194"/>
                            <w:sz w:val="28"/>
                          </w:rPr>
                          <w:t>this</w:t>
                        </w:r>
                        <w:r>
                          <w:rPr>
                            <w:b/>
                            <w:color w:val="164194"/>
                            <w:spacing w:val="-10"/>
                            <w:sz w:val="28"/>
                          </w:rPr>
                          <w:t> </w:t>
                        </w:r>
                        <w:r>
                          <w:rPr>
                            <w:b/>
                            <w:color w:val="164194"/>
                            <w:sz w:val="28"/>
                          </w:rPr>
                          <w:t>may</w:t>
                        </w:r>
                        <w:r>
                          <w:rPr>
                            <w:b/>
                            <w:color w:val="164194"/>
                            <w:spacing w:val="-10"/>
                            <w:sz w:val="28"/>
                          </w:rPr>
                          <w:t> </w:t>
                        </w:r>
                        <w:r>
                          <w:rPr>
                            <w:b/>
                            <w:color w:val="164194"/>
                            <w:sz w:val="28"/>
                          </w:rPr>
                          <w:t>identify</w:t>
                        </w:r>
                        <w:r>
                          <w:rPr>
                            <w:b/>
                            <w:color w:val="164194"/>
                            <w:spacing w:val="-10"/>
                            <w:sz w:val="28"/>
                          </w:rPr>
                          <w:t> </w:t>
                        </w:r>
                        <w:r>
                          <w:rPr>
                            <w:b/>
                            <w:color w:val="164194"/>
                            <w:sz w:val="28"/>
                          </w:rPr>
                          <w:t>examples</w:t>
                        </w:r>
                        <w:r>
                          <w:rPr>
                            <w:b/>
                            <w:color w:val="164194"/>
                            <w:spacing w:val="-10"/>
                            <w:sz w:val="28"/>
                          </w:rPr>
                          <w:t> </w:t>
                        </w:r>
                        <w:r>
                          <w:rPr>
                            <w:b/>
                            <w:color w:val="164194"/>
                            <w:sz w:val="28"/>
                          </w:rPr>
                          <w:t>of</w:t>
                        </w:r>
                        <w:r>
                          <w:rPr>
                            <w:b/>
                            <w:color w:val="164194"/>
                            <w:spacing w:val="-11"/>
                            <w:sz w:val="28"/>
                          </w:rPr>
                          <w:t> </w:t>
                        </w:r>
                        <w:r>
                          <w:rPr>
                            <w:b/>
                            <w:color w:val="164194"/>
                            <w:sz w:val="28"/>
                          </w:rPr>
                          <w:t>best</w:t>
                        </w:r>
                        <w:r>
                          <w:rPr>
                            <w:b/>
                            <w:color w:val="164194"/>
                            <w:spacing w:val="-10"/>
                            <w:sz w:val="28"/>
                          </w:rPr>
                          <w:t> </w:t>
                        </w:r>
                        <w:r>
                          <w:rPr>
                            <w:b/>
                            <w:color w:val="164194"/>
                            <w:sz w:val="28"/>
                          </w:rPr>
                          <w:t>practice with which Northern Ireland may wish to voluntarily align where they strengthen rights and reflect international human rights standards.</w:t>
                        </w:r>
                      </w:p>
                    </w:txbxContent>
                  </v:textbox>
                  <w10:wrap type="none"/>
                </v:shape>
              </v:group>
            </w:pict>
          </mc:Fallback>
        </mc:AlternateContent>
      </w:r>
      <w:r>
        <w:rPr>
          <w:sz w:val="20"/>
        </w:rPr>
      </w:r>
    </w:p>
    <w:p>
      <w:pPr>
        <w:pStyle w:val="BodyText"/>
        <w:spacing w:before="2"/>
        <w:rPr>
          <w:sz w:val="13"/>
        </w:rPr>
      </w:pPr>
      <w:r>
        <w:rPr/>
        <mc:AlternateContent>
          <mc:Choice Requires="wps">
            <w:drawing>
              <wp:anchor distT="0" distB="0" distL="0" distR="0" allowOverlap="1" layoutInCell="1" locked="0" behindDoc="1" simplePos="0" relativeHeight="487633920">
                <wp:simplePos x="0" y="0"/>
                <wp:positionH relativeFrom="page">
                  <wp:posOffset>647994</wp:posOffset>
                </wp:positionH>
                <wp:positionV relativeFrom="paragraph">
                  <wp:posOffset>117623</wp:posOffset>
                </wp:positionV>
                <wp:extent cx="6012180" cy="1232535"/>
                <wp:effectExtent l="0" t="0" r="0" b="0"/>
                <wp:wrapTopAndBottom/>
                <wp:docPr id="256" name="Group 256"/>
                <wp:cNvGraphicFramePr>
                  <a:graphicFrameLocks/>
                </wp:cNvGraphicFramePr>
                <a:graphic>
                  <a:graphicData uri="http://schemas.microsoft.com/office/word/2010/wordprocessingGroup">
                    <wpg:wgp>
                      <wpg:cNvPr id="256" name="Group 256"/>
                      <wpg:cNvGrpSpPr/>
                      <wpg:grpSpPr>
                        <a:xfrm>
                          <a:off x="0" y="0"/>
                          <a:ext cx="6012180" cy="1232535"/>
                          <a:chExt cx="6012180" cy="1232535"/>
                        </a:xfrm>
                      </wpg:grpSpPr>
                      <wps:wsp>
                        <wps:cNvPr id="257" name="Graphic 257"/>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58" name="Textbox 258"/>
                        <wps:cNvSpPr txBox="1"/>
                        <wps:spPr>
                          <a:xfrm>
                            <a:off x="0" y="0"/>
                            <a:ext cx="6012180" cy="1232535"/>
                          </a:xfrm>
                          <a:prstGeom prst="rect">
                            <a:avLst/>
                          </a:prstGeom>
                        </wps:spPr>
                        <wps:txbx>
                          <w:txbxContent>
                            <w:p>
                              <w:pPr>
                                <w:spacing w:line="232" w:lineRule="auto" w:before="121"/>
                                <w:ind w:left="340" w:right="805" w:firstLine="0"/>
                                <w:jc w:val="left"/>
                                <w:rPr>
                                  <w:b/>
                                  <w:sz w:val="28"/>
                                </w:rPr>
                              </w:pPr>
                              <w:r>
                                <w:rPr>
                                  <w:b/>
                                  <w:color w:val="164194"/>
                                  <w:sz w:val="28"/>
                                </w:rPr>
                                <w:t>We</w:t>
                              </w:r>
                              <w:r>
                                <w:rPr>
                                  <w:b/>
                                  <w:color w:val="164194"/>
                                  <w:spacing w:val="-3"/>
                                  <w:sz w:val="28"/>
                                </w:rPr>
                                <w:t> </w:t>
                              </w:r>
                              <w:r>
                                <w:rPr>
                                  <w:b/>
                                  <w:color w:val="164194"/>
                                  <w:sz w:val="28"/>
                                </w:rPr>
                                <w:t>recommend</w:t>
                              </w:r>
                              <w:r>
                                <w:rPr>
                                  <w:b/>
                                  <w:color w:val="164194"/>
                                  <w:spacing w:val="-2"/>
                                  <w:sz w:val="28"/>
                                </w:rPr>
                                <w:t> </w:t>
                              </w:r>
                              <w:r>
                                <w:rPr>
                                  <w:b/>
                                  <w:color w:val="164194"/>
                                  <w:sz w:val="28"/>
                                </w:rPr>
                                <w:t>that</w:t>
                              </w:r>
                              <w:r>
                                <w:rPr>
                                  <w:b/>
                                  <w:color w:val="164194"/>
                                  <w:spacing w:val="-2"/>
                                  <w:sz w:val="28"/>
                                </w:rPr>
                                <w:t> </w:t>
                              </w:r>
                              <w:r>
                                <w:rPr>
                                  <w:b/>
                                  <w:color w:val="164194"/>
                                  <w:sz w:val="28"/>
                                </w:rPr>
                                <w:t>the</w:t>
                              </w:r>
                              <w:r>
                                <w:rPr>
                                  <w:b/>
                                  <w:color w:val="164194"/>
                                  <w:spacing w:val="-3"/>
                                  <w:sz w:val="28"/>
                                </w:rPr>
                                <w:t> </w:t>
                              </w:r>
                              <w:r>
                                <w:rPr>
                                  <w:b/>
                                  <w:color w:val="164194"/>
                                  <w:sz w:val="28"/>
                                </w:rPr>
                                <w:t>Executive</w:t>
                              </w:r>
                              <w:r>
                                <w:rPr>
                                  <w:b/>
                                  <w:color w:val="164194"/>
                                  <w:spacing w:val="-3"/>
                                  <w:sz w:val="28"/>
                                </w:rPr>
                                <w:t> </w:t>
                              </w:r>
                              <w:r>
                                <w:rPr>
                                  <w:b/>
                                  <w:color w:val="164194"/>
                                  <w:sz w:val="28"/>
                                </w:rPr>
                                <w:t>Office</w:t>
                              </w:r>
                              <w:r>
                                <w:rPr>
                                  <w:b/>
                                  <w:color w:val="164194"/>
                                  <w:spacing w:val="-3"/>
                                  <w:sz w:val="28"/>
                                </w:rPr>
                                <w:t> </w:t>
                              </w:r>
                              <w:r>
                                <w:rPr>
                                  <w:b/>
                                  <w:color w:val="164194"/>
                                  <w:sz w:val="28"/>
                                </w:rPr>
                                <w:t>consider</w:t>
                              </w:r>
                              <w:r>
                                <w:rPr>
                                  <w:b/>
                                  <w:color w:val="164194"/>
                                  <w:spacing w:val="-3"/>
                                  <w:sz w:val="28"/>
                                </w:rPr>
                                <w:t> </w:t>
                              </w:r>
                              <w:r>
                                <w:rPr>
                                  <w:b/>
                                  <w:color w:val="164194"/>
                                  <w:sz w:val="28"/>
                                </w:rPr>
                                <w:t>developments</w:t>
                              </w:r>
                              <w:r>
                                <w:rPr>
                                  <w:b/>
                                  <w:color w:val="164194"/>
                                  <w:spacing w:val="-2"/>
                                  <w:sz w:val="28"/>
                                </w:rPr>
                                <w:t> </w:t>
                              </w:r>
                              <w:r>
                                <w:rPr>
                                  <w:b/>
                                  <w:color w:val="164194"/>
                                  <w:sz w:val="28"/>
                                </w:rPr>
                                <w:t>in</w:t>
                              </w:r>
                              <w:r>
                                <w:rPr>
                                  <w:b/>
                                  <w:color w:val="164194"/>
                                  <w:spacing w:val="-2"/>
                                  <w:sz w:val="28"/>
                                </w:rPr>
                                <w:t> </w:t>
                              </w:r>
                              <w:r>
                                <w:rPr>
                                  <w:b/>
                                  <w:color w:val="164194"/>
                                  <w:sz w:val="28"/>
                                </w:rPr>
                                <w:t>the Strategy for the Rights of Persons with Disabilities 2021-2030 where this</w:t>
                              </w:r>
                              <w:r>
                                <w:rPr>
                                  <w:b/>
                                  <w:color w:val="164194"/>
                                  <w:spacing w:val="-6"/>
                                  <w:sz w:val="28"/>
                                </w:rPr>
                                <w:t> </w:t>
                              </w:r>
                              <w:r>
                                <w:rPr>
                                  <w:b/>
                                  <w:color w:val="164194"/>
                                  <w:sz w:val="28"/>
                                </w:rPr>
                                <w:t>may</w:t>
                              </w:r>
                              <w:r>
                                <w:rPr>
                                  <w:b/>
                                  <w:color w:val="164194"/>
                                  <w:spacing w:val="-6"/>
                                  <w:sz w:val="28"/>
                                </w:rPr>
                                <w:t> </w:t>
                              </w:r>
                              <w:r>
                                <w:rPr>
                                  <w:b/>
                                  <w:color w:val="164194"/>
                                  <w:sz w:val="28"/>
                                </w:rPr>
                                <w:t>identify</w:t>
                              </w:r>
                              <w:r>
                                <w:rPr>
                                  <w:b/>
                                  <w:color w:val="164194"/>
                                  <w:spacing w:val="-6"/>
                                  <w:sz w:val="28"/>
                                </w:rPr>
                                <w:t> </w:t>
                              </w:r>
                              <w:r>
                                <w:rPr>
                                  <w:b/>
                                  <w:color w:val="164194"/>
                                  <w:sz w:val="28"/>
                                </w:rPr>
                                <w:t>best</w:t>
                              </w:r>
                              <w:r>
                                <w:rPr>
                                  <w:b/>
                                  <w:color w:val="164194"/>
                                  <w:spacing w:val="-6"/>
                                  <w:sz w:val="28"/>
                                </w:rPr>
                                <w:t> </w:t>
                              </w:r>
                              <w:r>
                                <w:rPr>
                                  <w:b/>
                                  <w:color w:val="164194"/>
                                  <w:sz w:val="28"/>
                                </w:rPr>
                                <w:t>practice</w:t>
                              </w:r>
                              <w:r>
                                <w:rPr>
                                  <w:b/>
                                  <w:color w:val="164194"/>
                                  <w:spacing w:val="-7"/>
                                  <w:sz w:val="28"/>
                                </w:rPr>
                                <w:t> </w:t>
                              </w:r>
                              <w:r>
                                <w:rPr>
                                  <w:b/>
                                  <w:color w:val="164194"/>
                                  <w:sz w:val="28"/>
                                </w:rPr>
                                <w:t>with</w:t>
                              </w:r>
                              <w:r>
                                <w:rPr>
                                  <w:b/>
                                  <w:color w:val="164194"/>
                                  <w:spacing w:val="-6"/>
                                  <w:sz w:val="28"/>
                                </w:rPr>
                                <w:t> </w:t>
                              </w:r>
                              <w:r>
                                <w:rPr>
                                  <w:b/>
                                  <w:color w:val="164194"/>
                                  <w:sz w:val="28"/>
                                </w:rPr>
                                <w:t>which</w:t>
                              </w:r>
                              <w:r>
                                <w:rPr>
                                  <w:b/>
                                  <w:color w:val="164194"/>
                                  <w:spacing w:val="-6"/>
                                  <w:sz w:val="28"/>
                                </w:rPr>
                                <w:t> </w:t>
                              </w:r>
                              <w:r>
                                <w:rPr>
                                  <w:b/>
                                  <w:color w:val="164194"/>
                                  <w:sz w:val="28"/>
                                </w:rPr>
                                <w:t>Northern</w:t>
                              </w:r>
                              <w:r>
                                <w:rPr>
                                  <w:b/>
                                  <w:color w:val="164194"/>
                                  <w:spacing w:val="-6"/>
                                  <w:sz w:val="28"/>
                                </w:rPr>
                                <w:t> </w:t>
                              </w:r>
                              <w:r>
                                <w:rPr>
                                  <w:b/>
                                  <w:color w:val="164194"/>
                                  <w:sz w:val="28"/>
                                </w:rPr>
                                <w:t>Ireland</w:t>
                              </w:r>
                              <w:r>
                                <w:rPr>
                                  <w:b/>
                                  <w:color w:val="164194"/>
                                  <w:spacing w:val="-6"/>
                                  <w:sz w:val="28"/>
                                </w:rPr>
                                <w:t> </w:t>
                              </w:r>
                              <w:r>
                                <w:rPr>
                                  <w:b/>
                                  <w:color w:val="164194"/>
                                  <w:sz w:val="28"/>
                                </w:rPr>
                                <w:t>may</w:t>
                              </w:r>
                              <w:r>
                                <w:rPr>
                                  <w:b/>
                                  <w:color w:val="164194"/>
                                  <w:spacing w:val="-6"/>
                                  <w:sz w:val="28"/>
                                </w:rPr>
                                <w:t> </w:t>
                              </w:r>
                              <w:r>
                                <w:rPr>
                                  <w:b/>
                                  <w:color w:val="164194"/>
                                  <w:sz w:val="28"/>
                                </w:rPr>
                                <w:t>wish</w:t>
                              </w:r>
                              <w:r>
                                <w:rPr>
                                  <w:b/>
                                  <w:color w:val="164194"/>
                                  <w:spacing w:val="-6"/>
                                  <w:sz w:val="28"/>
                                </w:rPr>
                                <w:t> </w:t>
                              </w:r>
                              <w:r>
                                <w:rPr>
                                  <w:b/>
                                  <w:color w:val="164194"/>
                                  <w:sz w:val="28"/>
                                </w:rPr>
                                <w:t>to voluntarily align where they strengthen rights and reflect international human rights standards.</w:t>
                              </w:r>
                            </w:p>
                          </w:txbxContent>
                        </wps:txbx>
                        <wps:bodyPr wrap="square" lIns="0" tIns="0" rIns="0" bIns="0" rtlCol="0">
                          <a:noAutofit/>
                        </wps:bodyPr>
                      </wps:wsp>
                    </wpg:wgp>
                  </a:graphicData>
                </a:graphic>
              </wp:anchor>
            </w:drawing>
          </mc:Choice>
          <mc:Fallback>
            <w:pict>
              <v:group style="position:absolute;margin-left:51.023201pt;margin-top:9.2617pt;width:473.4pt;height:97.05pt;mso-position-horizontal-relative:page;mso-position-vertical-relative:paragraph;z-index:-15682560;mso-wrap-distance-left:0;mso-wrap-distance-right:0" id="docshapegroup198" coordorigin="1020,185" coordsize="9468,1941">
                <v:shape style="position:absolute;left:1020;top:185;width:9468;height:1941" id="docshape199" coordorigin="1020,185" coordsize="9468,1941" path="m10261,185l1247,185,1176,197,1113,229,1064,278,1032,340,1020,412,1020,1899,1032,1970,1064,2033,1113,2082,1176,2114,1247,2125,10261,2125,10333,2114,10395,2082,10444,2033,10477,1970,10488,1899,10488,412,10477,340,10444,278,10395,229,10333,197,10261,185xe" filled="true" fillcolor="#e9f3fc" stroked="false">
                  <v:path arrowok="t"/>
                  <v:fill type="solid"/>
                </v:shape>
                <v:shape style="position:absolute;left:1020;top:185;width:9468;height:1941" type="#_x0000_t202" id="docshape200" filled="false" stroked="false">
                  <v:textbox inset="0,0,0,0">
                    <w:txbxContent>
                      <w:p>
                        <w:pPr>
                          <w:spacing w:line="232" w:lineRule="auto" w:before="121"/>
                          <w:ind w:left="340" w:right="805" w:firstLine="0"/>
                          <w:jc w:val="left"/>
                          <w:rPr>
                            <w:b/>
                            <w:sz w:val="28"/>
                          </w:rPr>
                        </w:pPr>
                        <w:r>
                          <w:rPr>
                            <w:b/>
                            <w:color w:val="164194"/>
                            <w:sz w:val="28"/>
                          </w:rPr>
                          <w:t>We</w:t>
                        </w:r>
                        <w:r>
                          <w:rPr>
                            <w:b/>
                            <w:color w:val="164194"/>
                            <w:spacing w:val="-3"/>
                            <w:sz w:val="28"/>
                          </w:rPr>
                          <w:t> </w:t>
                        </w:r>
                        <w:r>
                          <w:rPr>
                            <w:b/>
                            <w:color w:val="164194"/>
                            <w:sz w:val="28"/>
                          </w:rPr>
                          <w:t>recommend</w:t>
                        </w:r>
                        <w:r>
                          <w:rPr>
                            <w:b/>
                            <w:color w:val="164194"/>
                            <w:spacing w:val="-2"/>
                            <w:sz w:val="28"/>
                          </w:rPr>
                          <w:t> </w:t>
                        </w:r>
                        <w:r>
                          <w:rPr>
                            <w:b/>
                            <w:color w:val="164194"/>
                            <w:sz w:val="28"/>
                          </w:rPr>
                          <w:t>that</w:t>
                        </w:r>
                        <w:r>
                          <w:rPr>
                            <w:b/>
                            <w:color w:val="164194"/>
                            <w:spacing w:val="-2"/>
                            <w:sz w:val="28"/>
                          </w:rPr>
                          <w:t> </w:t>
                        </w:r>
                        <w:r>
                          <w:rPr>
                            <w:b/>
                            <w:color w:val="164194"/>
                            <w:sz w:val="28"/>
                          </w:rPr>
                          <w:t>the</w:t>
                        </w:r>
                        <w:r>
                          <w:rPr>
                            <w:b/>
                            <w:color w:val="164194"/>
                            <w:spacing w:val="-3"/>
                            <w:sz w:val="28"/>
                          </w:rPr>
                          <w:t> </w:t>
                        </w:r>
                        <w:r>
                          <w:rPr>
                            <w:b/>
                            <w:color w:val="164194"/>
                            <w:sz w:val="28"/>
                          </w:rPr>
                          <w:t>Executive</w:t>
                        </w:r>
                        <w:r>
                          <w:rPr>
                            <w:b/>
                            <w:color w:val="164194"/>
                            <w:spacing w:val="-3"/>
                            <w:sz w:val="28"/>
                          </w:rPr>
                          <w:t> </w:t>
                        </w:r>
                        <w:r>
                          <w:rPr>
                            <w:b/>
                            <w:color w:val="164194"/>
                            <w:sz w:val="28"/>
                          </w:rPr>
                          <w:t>Office</w:t>
                        </w:r>
                        <w:r>
                          <w:rPr>
                            <w:b/>
                            <w:color w:val="164194"/>
                            <w:spacing w:val="-3"/>
                            <w:sz w:val="28"/>
                          </w:rPr>
                          <w:t> </w:t>
                        </w:r>
                        <w:r>
                          <w:rPr>
                            <w:b/>
                            <w:color w:val="164194"/>
                            <w:sz w:val="28"/>
                          </w:rPr>
                          <w:t>consider</w:t>
                        </w:r>
                        <w:r>
                          <w:rPr>
                            <w:b/>
                            <w:color w:val="164194"/>
                            <w:spacing w:val="-3"/>
                            <w:sz w:val="28"/>
                          </w:rPr>
                          <w:t> </w:t>
                        </w:r>
                        <w:r>
                          <w:rPr>
                            <w:b/>
                            <w:color w:val="164194"/>
                            <w:sz w:val="28"/>
                          </w:rPr>
                          <w:t>developments</w:t>
                        </w:r>
                        <w:r>
                          <w:rPr>
                            <w:b/>
                            <w:color w:val="164194"/>
                            <w:spacing w:val="-2"/>
                            <w:sz w:val="28"/>
                          </w:rPr>
                          <w:t> </w:t>
                        </w:r>
                        <w:r>
                          <w:rPr>
                            <w:b/>
                            <w:color w:val="164194"/>
                            <w:sz w:val="28"/>
                          </w:rPr>
                          <w:t>in</w:t>
                        </w:r>
                        <w:r>
                          <w:rPr>
                            <w:b/>
                            <w:color w:val="164194"/>
                            <w:spacing w:val="-2"/>
                            <w:sz w:val="28"/>
                          </w:rPr>
                          <w:t> </w:t>
                        </w:r>
                        <w:r>
                          <w:rPr>
                            <w:b/>
                            <w:color w:val="164194"/>
                            <w:sz w:val="28"/>
                          </w:rPr>
                          <w:t>the Strategy for the Rights of Persons with Disabilities 2021-2030 where this</w:t>
                        </w:r>
                        <w:r>
                          <w:rPr>
                            <w:b/>
                            <w:color w:val="164194"/>
                            <w:spacing w:val="-6"/>
                            <w:sz w:val="28"/>
                          </w:rPr>
                          <w:t> </w:t>
                        </w:r>
                        <w:r>
                          <w:rPr>
                            <w:b/>
                            <w:color w:val="164194"/>
                            <w:sz w:val="28"/>
                          </w:rPr>
                          <w:t>may</w:t>
                        </w:r>
                        <w:r>
                          <w:rPr>
                            <w:b/>
                            <w:color w:val="164194"/>
                            <w:spacing w:val="-6"/>
                            <w:sz w:val="28"/>
                          </w:rPr>
                          <w:t> </w:t>
                        </w:r>
                        <w:r>
                          <w:rPr>
                            <w:b/>
                            <w:color w:val="164194"/>
                            <w:sz w:val="28"/>
                          </w:rPr>
                          <w:t>identify</w:t>
                        </w:r>
                        <w:r>
                          <w:rPr>
                            <w:b/>
                            <w:color w:val="164194"/>
                            <w:spacing w:val="-6"/>
                            <w:sz w:val="28"/>
                          </w:rPr>
                          <w:t> </w:t>
                        </w:r>
                        <w:r>
                          <w:rPr>
                            <w:b/>
                            <w:color w:val="164194"/>
                            <w:sz w:val="28"/>
                          </w:rPr>
                          <w:t>best</w:t>
                        </w:r>
                        <w:r>
                          <w:rPr>
                            <w:b/>
                            <w:color w:val="164194"/>
                            <w:spacing w:val="-6"/>
                            <w:sz w:val="28"/>
                          </w:rPr>
                          <w:t> </w:t>
                        </w:r>
                        <w:r>
                          <w:rPr>
                            <w:b/>
                            <w:color w:val="164194"/>
                            <w:sz w:val="28"/>
                          </w:rPr>
                          <w:t>practice</w:t>
                        </w:r>
                        <w:r>
                          <w:rPr>
                            <w:b/>
                            <w:color w:val="164194"/>
                            <w:spacing w:val="-7"/>
                            <w:sz w:val="28"/>
                          </w:rPr>
                          <w:t> </w:t>
                        </w:r>
                        <w:r>
                          <w:rPr>
                            <w:b/>
                            <w:color w:val="164194"/>
                            <w:sz w:val="28"/>
                          </w:rPr>
                          <w:t>with</w:t>
                        </w:r>
                        <w:r>
                          <w:rPr>
                            <w:b/>
                            <w:color w:val="164194"/>
                            <w:spacing w:val="-6"/>
                            <w:sz w:val="28"/>
                          </w:rPr>
                          <w:t> </w:t>
                        </w:r>
                        <w:r>
                          <w:rPr>
                            <w:b/>
                            <w:color w:val="164194"/>
                            <w:sz w:val="28"/>
                          </w:rPr>
                          <w:t>which</w:t>
                        </w:r>
                        <w:r>
                          <w:rPr>
                            <w:b/>
                            <w:color w:val="164194"/>
                            <w:spacing w:val="-6"/>
                            <w:sz w:val="28"/>
                          </w:rPr>
                          <w:t> </w:t>
                        </w:r>
                        <w:r>
                          <w:rPr>
                            <w:b/>
                            <w:color w:val="164194"/>
                            <w:sz w:val="28"/>
                          </w:rPr>
                          <w:t>Northern</w:t>
                        </w:r>
                        <w:r>
                          <w:rPr>
                            <w:b/>
                            <w:color w:val="164194"/>
                            <w:spacing w:val="-6"/>
                            <w:sz w:val="28"/>
                          </w:rPr>
                          <w:t> </w:t>
                        </w:r>
                        <w:r>
                          <w:rPr>
                            <w:b/>
                            <w:color w:val="164194"/>
                            <w:sz w:val="28"/>
                          </w:rPr>
                          <w:t>Ireland</w:t>
                        </w:r>
                        <w:r>
                          <w:rPr>
                            <w:b/>
                            <w:color w:val="164194"/>
                            <w:spacing w:val="-6"/>
                            <w:sz w:val="28"/>
                          </w:rPr>
                          <w:t> </w:t>
                        </w:r>
                        <w:r>
                          <w:rPr>
                            <w:b/>
                            <w:color w:val="164194"/>
                            <w:sz w:val="28"/>
                          </w:rPr>
                          <w:t>may</w:t>
                        </w:r>
                        <w:r>
                          <w:rPr>
                            <w:b/>
                            <w:color w:val="164194"/>
                            <w:spacing w:val="-6"/>
                            <w:sz w:val="28"/>
                          </w:rPr>
                          <w:t> </w:t>
                        </w:r>
                        <w:r>
                          <w:rPr>
                            <w:b/>
                            <w:color w:val="164194"/>
                            <w:sz w:val="28"/>
                          </w:rPr>
                          <w:t>wish</w:t>
                        </w:r>
                        <w:r>
                          <w:rPr>
                            <w:b/>
                            <w:color w:val="164194"/>
                            <w:spacing w:val="-6"/>
                            <w:sz w:val="28"/>
                          </w:rPr>
                          <w:t> </w:t>
                        </w:r>
                        <w:r>
                          <w:rPr>
                            <w:b/>
                            <w:color w:val="164194"/>
                            <w:sz w:val="28"/>
                          </w:rPr>
                          <w:t>to voluntarily align where they strengthen rights and reflect international human rights standards.</w:t>
                        </w:r>
                      </w:p>
                    </w:txbxContent>
                  </v:textbox>
                  <w10:wrap type="none"/>
                </v:shape>
                <w10:wrap type="topAndBottom"/>
              </v:group>
            </w:pict>
          </mc:Fallback>
        </mc:AlternateContent>
      </w:r>
    </w:p>
    <w:p>
      <w:pPr>
        <w:pStyle w:val="BodyText"/>
        <w:spacing w:line="232" w:lineRule="auto" w:before="228"/>
        <w:ind w:left="720" w:right="1087"/>
      </w:pPr>
      <w:r>
        <w:rPr/>
        <w:t>We</w:t>
      </w:r>
      <w:r>
        <w:rPr>
          <w:spacing w:val="-5"/>
        </w:rPr>
        <w:t> </w:t>
      </w:r>
      <w:r>
        <w:rPr/>
        <w:t>also</w:t>
      </w:r>
      <w:r>
        <w:rPr>
          <w:spacing w:val="-6"/>
        </w:rPr>
        <w:t> </w:t>
      </w:r>
      <w:r>
        <w:rPr/>
        <w:t>note</w:t>
      </w:r>
      <w:r>
        <w:rPr>
          <w:spacing w:val="-5"/>
        </w:rPr>
        <w:t> </w:t>
      </w:r>
      <w:r>
        <w:rPr/>
        <w:t>European</w:t>
      </w:r>
      <w:r>
        <w:rPr>
          <w:spacing w:val="-6"/>
        </w:rPr>
        <w:t> </w:t>
      </w:r>
      <w:r>
        <w:rPr/>
        <w:t>Union</w:t>
      </w:r>
      <w:r>
        <w:rPr>
          <w:spacing w:val="-6"/>
        </w:rPr>
        <w:t> </w:t>
      </w:r>
      <w:r>
        <w:rPr/>
        <w:t>plans</w:t>
      </w:r>
      <w:r>
        <w:rPr>
          <w:spacing w:val="-6"/>
        </w:rPr>
        <w:t> </w:t>
      </w:r>
      <w:r>
        <w:rPr/>
        <w:t>to</w:t>
      </w:r>
      <w:r>
        <w:rPr>
          <w:spacing w:val="-6"/>
        </w:rPr>
        <w:t> </w:t>
      </w:r>
      <w:r>
        <w:rPr/>
        <w:t>address</w:t>
      </w:r>
      <w:r>
        <w:rPr>
          <w:spacing w:val="-6"/>
        </w:rPr>
        <w:t> </w:t>
      </w:r>
      <w:r>
        <w:rPr/>
        <w:t>the</w:t>
      </w:r>
      <w:r>
        <w:rPr>
          <w:spacing w:val="-5"/>
        </w:rPr>
        <w:t> </w:t>
      </w:r>
      <w:r>
        <w:rPr/>
        <w:t>position</w:t>
      </w:r>
      <w:r>
        <w:rPr>
          <w:spacing w:val="-6"/>
        </w:rPr>
        <w:t> </w:t>
      </w:r>
      <w:r>
        <w:rPr/>
        <w:t>of</w:t>
      </w:r>
      <w:r>
        <w:rPr>
          <w:spacing w:val="-6"/>
        </w:rPr>
        <w:t> </w:t>
      </w:r>
      <w:r>
        <w:rPr/>
        <w:t>groups</w:t>
      </w:r>
      <w:r>
        <w:rPr>
          <w:spacing w:val="-6"/>
        </w:rPr>
        <w:t> </w:t>
      </w:r>
      <w:r>
        <w:rPr/>
        <w:t>who</w:t>
      </w:r>
      <w:r>
        <w:rPr>
          <w:spacing w:val="-6"/>
        </w:rPr>
        <w:t> </w:t>
      </w:r>
      <w:r>
        <w:rPr/>
        <w:t>are vulnerable such as children,</w:t>
      </w:r>
      <w:r>
        <w:rPr>
          <w:vertAlign w:val="superscript"/>
        </w:rPr>
        <w:t>35</w:t>
      </w:r>
      <w:r>
        <w:rPr>
          <w:vertAlign w:val="baseline"/>
        </w:rPr>
        <w:t> migrants and asylum-seekers</w:t>
      </w:r>
      <w:r>
        <w:rPr>
          <w:vertAlign w:val="superscript"/>
        </w:rPr>
        <w:t>36</w:t>
      </w:r>
      <w:r>
        <w:rPr>
          <w:vertAlign w:val="baseline"/>
        </w:rPr>
        <w:t> and trafficking </w:t>
      </w:r>
      <w:r>
        <w:rPr>
          <w:spacing w:val="-2"/>
          <w:vertAlign w:val="baseline"/>
        </w:rPr>
        <w:t>victims.</w:t>
      </w:r>
      <w:r>
        <w:rPr>
          <w:spacing w:val="-2"/>
          <w:vertAlign w:val="superscript"/>
        </w:rPr>
        <w:t>37</w:t>
      </w:r>
    </w:p>
    <w:p>
      <w:pPr>
        <w:pStyle w:val="BodyText"/>
        <w:spacing w:before="2"/>
        <w:rPr>
          <w:sz w:val="20"/>
        </w:rPr>
      </w:pPr>
      <w:r>
        <w:rPr/>
        <mc:AlternateContent>
          <mc:Choice Requires="wps">
            <w:drawing>
              <wp:anchor distT="0" distB="0" distL="0" distR="0" allowOverlap="1" layoutInCell="1" locked="0" behindDoc="1" simplePos="0" relativeHeight="487634432">
                <wp:simplePos x="0" y="0"/>
                <wp:positionH relativeFrom="page">
                  <wp:posOffset>647994</wp:posOffset>
                </wp:positionH>
                <wp:positionV relativeFrom="paragraph">
                  <wp:posOffset>172028</wp:posOffset>
                </wp:positionV>
                <wp:extent cx="6012180" cy="1022985"/>
                <wp:effectExtent l="0" t="0" r="0" b="0"/>
                <wp:wrapTopAndBottom/>
                <wp:docPr id="259" name="Group 259"/>
                <wp:cNvGraphicFramePr>
                  <a:graphicFrameLocks/>
                </wp:cNvGraphicFramePr>
                <a:graphic>
                  <a:graphicData uri="http://schemas.microsoft.com/office/word/2010/wordprocessingGroup">
                    <wpg:wgp>
                      <wpg:cNvPr id="259" name="Group 259"/>
                      <wpg:cNvGrpSpPr/>
                      <wpg:grpSpPr>
                        <a:xfrm>
                          <a:off x="0" y="0"/>
                          <a:ext cx="6012180" cy="1022985"/>
                          <a:chExt cx="6012180" cy="1022985"/>
                        </a:xfrm>
                      </wpg:grpSpPr>
                      <wps:wsp>
                        <wps:cNvPr id="260" name="Graphic 260"/>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61" name="Textbox 261"/>
                        <wps:cNvSpPr txBox="1"/>
                        <wps:spPr>
                          <a:xfrm>
                            <a:off x="0" y="0"/>
                            <a:ext cx="6012180" cy="1022985"/>
                          </a:xfrm>
                          <a:prstGeom prst="rect">
                            <a:avLst/>
                          </a:prstGeom>
                        </wps:spPr>
                        <wps:txbx>
                          <w:txbxContent>
                            <w:p>
                              <w:pPr>
                                <w:spacing w:line="232" w:lineRule="auto" w:before="121"/>
                                <w:ind w:left="340" w:right="475" w:firstLine="0"/>
                                <w:jc w:val="left"/>
                                <w:rPr>
                                  <w:b/>
                                  <w:sz w:val="28"/>
                                </w:rPr>
                              </w:pPr>
                              <w:r>
                                <w:rPr>
                                  <w:b/>
                                  <w:color w:val="164194"/>
                                  <w:sz w:val="28"/>
                                </w:rPr>
                                <w:t>We recommend that the Northern Ireland Department of Justice review the</w:t>
                              </w:r>
                              <w:r>
                                <w:rPr>
                                  <w:b/>
                                  <w:color w:val="164194"/>
                                  <w:spacing w:val="-8"/>
                                  <w:sz w:val="28"/>
                                </w:rPr>
                                <w:t> </w:t>
                              </w:r>
                              <w:r>
                                <w:rPr>
                                  <w:b/>
                                  <w:color w:val="164194"/>
                                  <w:sz w:val="28"/>
                                </w:rPr>
                                <w:t>EU</w:t>
                              </w:r>
                              <w:r>
                                <w:rPr>
                                  <w:b/>
                                  <w:color w:val="164194"/>
                                  <w:spacing w:val="-7"/>
                                  <w:sz w:val="28"/>
                                </w:rPr>
                                <w:t> </w:t>
                              </w:r>
                              <w:r>
                                <w:rPr>
                                  <w:b/>
                                  <w:color w:val="164194"/>
                                  <w:sz w:val="28"/>
                                </w:rPr>
                                <w:t>strategy</w:t>
                              </w:r>
                              <w:r>
                                <w:rPr>
                                  <w:b/>
                                  <w:color w:val="164194"/>
                                  <w:spacing w:val="-7"/>
                                  <w:sz w:val="28"/>
                                </w:rPr>
                                <w:t> </w:t>
                              </w:r>
                              <w:r>
                                <w:rPr>
                                  <w:b/>
                                  <w:color w:val="164194"/>
                                  <w:sz w:val="28"/>
                                </w:rPr>
                                <w:t>on</w:t>
                              </w:r>
                              <w:r>
                                <w:rPr>
                                  <w:b/>
                                  <w:color w:val="164194"/>
                                  <w:spacing w:val="-7"/>
                                  <w:sz w:val="28"/>
                                </w:rPr>
                                <w:t> </w:t>
                              </w:r>
                              <w:r>
                                <w:rPr>
                                  <w:b/>
                                  <w:color w:val="164194"/>
                                  <w:sz w:val="28"/>
                                </w:rPr>
                                <w:t>victims’</w:t>
                              </w:r>
                              <w:r>
                                <w:rPr>
                                  <w:b/>
                                  <w:color w:val="164194"/>
                                  <w:spacing w:val="-7"/>
                                  <w:sz w:val="28"/>
                                </w:rPr>
                                <w:t> </w:t>
                              </w:r>
                              <w:r>
                                <w:rPr>
                                  <w:b/>
                                  <w:color w:val="164194"/>
                                  <w:sz w:val="28"/>
                                </w:rPr>
                                <w:t>rights</w:t>
                              </w:r>
                              <w:r>
                                <w:rPr>
                                  <w:b/>
                                  <w:color w:val="164194"/>
                                  <w:spacing w:val="-7"/>
                                  <w:sz w:val="28"/>
                                </w:rPr>
                                <w:t> </w:t>
                              </w:r>
                              <w:r>
                                <w:rPr>
                                  <w:b/>
                                  <w:color w:val="164194"/>
                                  <w:sz w:val="28"/>
                                </w:rPr>
                                <w:t>to</w:t>
                              </w:r>
                              <w:r>
                                <w:rPr>
                                  <w:b/>
                                  <w:color w:val="164194"/>
                                  <w:spacing w:val="-7"/>
                                  <w:sz w:val="28"/>
                                </w:rPr>
                                <w:t> </w:t>
                              </w:r>
                              <w:r>
                                <w:rPr>
                                  <w:b/>
                                  <w:color w:val="164194"/>
                                  <w:sz w:val="28"/>
                                </w:rPr>
                                <w:t>identify</w:t>
                              </w:r>
                              <w:r>
                                <w:rPr>
                                  <w:b/>
                                  <w:color w:val="164194"/>
                                  <w:spacing w:val="-7"/>
                                  <w:sz w:val="28"/>
                                </w:rPr>
                                <w:t> </w:t>
                              </w:r>
                              <w:r>
                                <w:rPr>
                                  <w:b/>
                                  <w:color w:val="164194"/>
                                  <w:sz w:val="28"/>
                                </w:rPr>
                                <w:t>examples</w:t>
                              </w:r>
                              <w:r>
                                <w:rPr>
                                  <w:b/>
                                  <w:color w:val="164194"/>
                                  <w:spacing w:val="-7"/>
                                  <w:sz w:val="28"/>
                                </w:rPr>
                                <w:t> </w:t>
                              </w:r>
                              <w:r>
                                <w:rPr>
                                  <w:b/>
                                  <w:color w:val="164194"/>
                                  <w:sz w:val="28"/>
                                </w:rPr>
                                <w:t>of</w:t>
                              </w:r>
                              <w:r>
                                <w:rPr>
                                  <w:b/>
                                  <w:color w:val="164194"/>
                                  <w:spacing w:val="-8"/>
                                  <w:sz w:val="28"/>
                                </w:rPr>
                                <w:t> </w:t>
                              </w:r>
                              <w:r>
                                <w:rPr>
                                  <w:b/>
                                  <w:color w:val="164194"/>
                                  <w:sz w:val="28"/>
                                </w:rPr>
                                <w:t>best</w:t>
                              </w:r>
                              <w:r>
                                <w:rPr>
                                  <w:b/>
                                  <w:color w:val="164194"/>
                                  <w:spacing w:val="-7"/>
                                  <w:sz w:val="28"/>
                                </w:rPr>
                                <w:t> </w:t>
                              </w:r>
                              <w:r>
                                <w:rPr>
                                  <w:b/>
                                  <w:color w:val="164194"/>
                                  <w:sz w:val="28"/>
                                </w:rPr>
                                <w:t>practice</w:t>
                              </w:r>
                              <w:r>
                                <w:rPr>
                                  <w:b/>
                                  <w:color w:val="164194"/>
                                  <w:spacing w:val="-8"/>
                                  <w:sz w:val="28"/>
                                </w:rPr>
                                <w:t> </w:t>
                              </w:r>
                              <w:r>
                                <w:rPr>
                                  <w:b/>
                                  <w:color w:val="164194"/>
                                  <w:sz w:val="28"/>
                                </w:rPr>
                                <w:t>that could strengthen 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3.545555pt;width:473.4pt;height:80.55pt;mso-position-horizontal-relative:page;mso-position-vertical-relative:paragraph;z-index:-15682048;mso-wrap-distance-left:0;mso-wrap-distance-right:0" id="docshapegroup201" coordorigin="1020,271" coordsize="9468,1611">
                <v:shape style="position:absolute;left:1020;top:270;width:9468;height:1611" id="docshape202" coordorigin="1020,271" coordsize="9468,1611" path="m10261,271l1247,271,1176,282,1113,315,1064,364,1032,426,1020,498,1020,1654,1032,1726,1064,1788,1113,1837,1176,1870,1247,1881,10261,1881,10333,1870,10395,1837,10444,1788,10477,1726,10488,1654,10488,498,10477,426,10444,364,10395,315,10333,282,10261,271xe" filled="true" fillcolor="#e9f3fc" stroked="false">
                  <v:path arrowok="t"/>
                  <v:fill type="solid"/>
                </v:shape>
                <v:shape style="position:absolute;left:1020;top:270;width:9468;height:1611" type="#_x0000_t202" id="docshape203" filled="false" stroked="false">
                  <v:textbox inset="0,0,0,0">
                    <w:txbxContent>
                      <w:p>
                        <w:pPr>
                          <w:spacing w:line="232" w:lineRule="auto" w:before="121"/>
                          <w:ind w:left="340" w:right="475" w:firstLine="0"/>
                          <w:jc w:val="left"/>
                          <w:rPr>
                            <w:b/>
                            <w:sz w:val="28"/>
                          </w:rPr>
                        </w:pPr>
                        <w:r>
                          <w:rPr>
                            <w:b/>
                            <w:color w:val="164194"/>
                            <w:sz w:val="28"/>
                          </w:rPr>
                          <w:t>We recommend that the Northern Ireland Department of Justice review the</w:t>
                        </w:r>
                        <w:r>
                          <w:rPr>
                            <w:b/>
                            <w:color w:val="164194"/>
                            <w:spacing w:val="-8"/>
                            <w:sz w:val="28"/>
                          </w:rPr>
                          <w:t> </w:t>
                        </w:r>
                        <w:r>
                          <w:rPr>
                            <w:b/>
                            <w:color w:val="164194"/>
                            <w:sz w:val="28"/>
                          </w:rPr>
                          <w:t>EU</w:t>
                        </w:r>
                        <w:r>
                          <w:rPr>
                            <w:b/>
                            <w:color w:val="164194"/>
                            <w:spacing w:val="-7"/>
                            <w:sz w:val="28"/>
                          </w:rPr>
                          <w:t> </w:t>
                        </w:r>
                        <w:r>
                          <w:rPr>
                            <w:b/>
                            <w:color w:val="164194"/>
                            <w:sz w:val="28"/>
                          </w:rPr>
                          <w:t>strategy</w:t>
                        </w:r>
                        <w:r>
                          <w:rPr>
                            <w:b/>
                            <w:color w:val="164194"/>
                            <w:spacing w:val="-7"/>
                            <w:sz w:val="28"/>
                          </w:rPr>
                          <w:t> </w:t>
                        </w:r>
                        <w:r>
                          <w:rPr>
                            <w:b/>
                            <w:color w:val="164194"/>
                            <w:sz w:val="28"/>
                          </w:rPr>
                          <w:t>on</w:t>
                        </w:r>
                        <w:r>
                          <w:rPr>
                            <w:b/>
                            <w:color w:val="164194"/>
                            <w:spacing w:val="-7"/>
                            <w:sz w:val="28"/>
                          </w:rPr>
                          <w:t> </w:t>
                        </w:r>
                        <w:r>
                          <w:rPr>
                            <w:b/>
                            <w:color w:val="164194"/>
                            <w:sz w:val="28"/>
                          </w:rPr>
                          <w:t>victims’</w:t>
                        </w:r>
                        <w:r>
                          <w:rPr>
                            <w:b/>
                            <w:color w:val="164194"/>
                            <w:spacing w:val="-7"/>
                            <w:sz w:val="28"/>
                          </w:rPr>
                          <w:t> </w:t>
                        </w:r>
                        <w:r>
                          <w:rPr>
                            <w:b/>
                            <w:color w:val="164194"/>
                            <w:sz w:val="28"/>
                          </w:rPr>
                          <w:t>rights</w:t>
                        </w:r>
                        <w:r>
                          <w:rPr>
                            <w:b/>
                            <w:color w:val="164194"/>
                            <w:spacing w:val="-7"/>
                            <w:sz w:val="28"/>
                          </w:rPr>
                          <w:t> </w:t>
                        </w:r>
                        <w:r>
                          <w:rPr>
                            <w:b/>
                            <w:color w:val="164194"/>
                            <w:sz w:val="28"/>
                          </w:rPr>
                          <w:t>to</w:t>
                        </w:r>
                        <w:r>
                          <w:rPr>
                            <w:b/>
                            <w:color w:val="164194"/>
                            <w:spacing w:val="-7"/>
                            <w:sz w:val="28"/>
                          </w:rPr>
                          <w:t> </w:t>
                        </w:r>
                        <w:r>
                          <w:rPr>
                            <w:b/>
                            <w:color w:val="164194"/>
                            <w:sz w:val="28"/>
                          </w:rPr>
                          <w:t>identify</w:t>
                        </w:r>
                        <w:r>
                          <w:rPr>
                            <w:b/>
                            <w:color w:val="164194"/>
                            <w:spacing w:val="-7"/>
                            <w:sz w:val="28"/>
                          </w:rPr>
                          <w:t> </w:t>
                        </w:r>
                        <w:r>
                          <w:rPr>
                            <w:b/>
                            <w:color w:val="164194"/>
                            <w:sz w:val="28"/>
                          </w:rPr>
                          <w:t>examples</w:t>
                        </w:r>
                        <w:r>
                          <w:rPr>
                            <w:b/>
                            <w:color w:val="164194"/>
                            <w:spacing w:val="-7"/>
                            <w:sz w:val="28"/>
                          </w:rPr>
                          <w:t> </w:t>
                        </w:r>
                        <w:r>
                          <w:rPr>
                            <w:b/>
                            <w:color w:val="164194"/>
                            <w:sz w:val="28"/>
                          </w:rPr>
                          <w:t>of</w:t>
                        </w:r>
                        <w:r>
                          <w:rPr>
                            <w:b/>
                            <w:color w:val="164194"/>
                            <w:spacing w:val="-8"/>
                            <w:sz w:val="28"/>
                          </w:rPr>
                          <w:t> </w:t>
                        </w:r>
                        <w:r>
                          <w:rPr>
                            <w:b/>
                            <w:color w:val="164194"/>
                            <w:sz w:val="28"/>
                          </w:rPr>
                          <w:t>best</w:t>
                        </w:r>
                        <w:r>
                          <w:rPr>
                            <w:b/>
                            <w:color w:val="164194"/>
                            <w:spacing w:val="-7"/>
                            <w:sz w:val="28"/>
                          </w:rPr>
                          <w:t> </w:t>
                        </w:r>
                        <w:r>
                          <w:rPr>
                            <w:b/>
                            <w:color w:val="164194"/>
                            <w:sz w:val="28"/>
                          </w:rPr>
                          <w:t>practice</w:t>
                        </w:r>
                        <w:r>
                          <w:rPr>
                            <w:b/>
                            <w:color w:val="164194"/>
                            <w:spacing w:val="-8"/>
                            <w:sz w:val="28"/>
                          </w:rPr>
                          <w:t> </w:t>
                        </w:r>
                        <w:r>
                          <w:rPr>
                            <w:b/>
                            <w:color w:val="164194"/>
                            <w:sz w:val="28"/>
                          </w:rPr>
                          <w:t>that could strengthen rights and reflect international human rights standards and best practice.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4944">
                <wp:simplePos x="0" y="0"/>
                <wp:positionH relativeFrom="page">
                  <wp:posOffset>647994</wp:posOffset>
                </wp:positionH>
                <wp:positionV relativeFrom="paragraph">
                  <wp:posOffset>1334229</wp:posOffset>
                </wp:positionV>
                <wp:extent cx="6012180" cy="1651635"/>
                <wp:effectExtent l="0" t="0" r="0" b="0"/>
                <wp:wrapTopAndBottom/>
                <wp:docPr id="262" name="Group 262"/>
                <wp:cNvGraphicFramePr>
                  <a:graphicFrameLocks/>
                </wp:cNvGraphicFramePr>
                <a:graphic>
                  <a:graphicData uri="http://schemas.microsoft.com/office/word/2010/wordprocessingGroup">
                    <wpg:wgp>
                      <wpg:cNvPr id="262" name="Group 262"/>
                      <wpg:cNvGrpSpPr/>
                      <wpg:grpSpPr>
                        <a:xfrm>
                          <a:off x="0" y="0"/>
                          <a:ext cx="6012180" cy="1651635"/>
                          <a:chExt cx="6012180" cy="1651635"/>
                        </a:xfrm>
                      </wpg:grpSpPr>
                      <wps:wsp>
                        <wps:cNvPr id="263" name="Graphic 263"/>
                        <wps:cNvSpPr/>
                        <wps:spPr>
                          <a:xfrm>
                            <a:off x="0" y="0"/>
                            <a:ext cx="6012180" cy="1651635"/>
                          </a:xfrm>
                          <a:custGeom>
                            <a:avLst/>
                            <a:gdLst/>
                            <a:ahLst/>
                            <a:cxnLst/>
                            <a:rect l="l" t="t" r="r" b="b"/>
                            <a:pathLst>
                              <a:path w="6012180" h="1651635">
                                <a:moveTo>
                                  <a:pt x="5868009" y="0"/>
                                </a:moveTo>
                                <a:lnTo>
                                  <a:pt x="144005" y="0"/>
                                </a:lnTo>
                                <a:lnTo>
                                  <a:pt x="98490" y="7340"/>
                                </a:lnTo>
                                <a:lnTo>
                                  <a:pt x="58959" y="27782"/>
                                </a:lnTo>
                                <a:lnTo>
                                  <a:pt x="27785" y="58954"/>
                                </a:lnTo>
                                <a:lnTo>
                                  <a:pt x="7341" y="98485"/>
                                </a:lnTo>
                                <a:lnTo>
                                  <a:pt x="0" y="144005"/>
                                </a:lnTo>
                                <a:lnTo>
                                  <a:pt x="0" y="1507096"/>
                                </a:lnTo>
                                <a:lnTo>
                                  <a:pt x="7341" y="1552611"/>
                                </a:lnTo>
                                <a:lnTo>
                                  <a:pt x="27785" y="1592142"/>
                                </a:lnTo>
                                <a:lnTo>
                                  <a:pt x="58959" y="1623315"/>
                                </a:lnTo>
                                <a:lnTo>
                                  <a:pt x="98490" y="1643759"/>
                                </a:lnTo>
                                <a:lnTo>
                                  <a:pt x="144005" y="1651101"/>
                                </a:lnTo>
                                <a:lnTo>
                                  <a:pt x="5868009" y="1651101"/>
                                </a:lnTo>
                                <a:lnTo>
                                  <a:pt x="5913523" y="1643759"/>
                                </a:lnTo>
                                <a:lnTo>
                                  <a:pt x="5953050" y="1623315"/>
                                </a:lnTo>
                                <a:lnTo>
                                  <a:pt x="5984220" y="1592142"/>
                                </a:lnTo>
                                <a:lnTo>
                                  <a:pt x="6004661" y="1552611"/>
                                </a:lnTo>
                                <a:lnTo>
                                  <a:pt x="6012002" y="15070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64" name="Textbox 264"/>
                        <wps:cNvSpPr txBox="1"/>
                        <wps:spPr>
                          <a:xfrm>
                            <a:off x="0" y="0"/>
                            <a:ext cx="6012180" cy="1651635"/>
                          </a:xfrm>
                          <a:prstGeom prst="rect">
                            <a:avLst/>
                          </a:prstGeom>
                        </wps:spPr>
                        <wps:txbx>
                          <w:txbxContent>
                            <w:p>
                              <w:pPr>
                                <w:spacing w:line="232" w:lineRule="auto" w:before="121"/>
                                <w:ind w:left="340" w:right="196" w:firstLine="0"/>
                                <w:jc w:val="left"/>
                                <w:rPr>
                                  <w:b/>
                                  <w:sz w:val="28"/>
                                </w:rPr>
                              </w:pPr>
                              <w:r>
                                <w:rPr>
                                  <w:b/>
                                  <w:color w:val="164194"/>
                                  <w:sz w:val="28"/>
                                </w:rPr>
                                <w:t>We recommend relevant NI departments review EU policy developments aimed at protecting the rights of all children, including combating child poverty, securing vulnerable children’s access to basic services, including children living in poverty, children with disabilities and special educational needs,</w:t>
                              </w:r>
                              <w:r>
                                <w:rPr>
                                  <w:b/>
                                  <w:color w:val="164194"/>
                                  <w:spacing w:val="-6"/>
                                  <w:sz w:val="28"/>
                                </w:rPr>
                                <w:t> </w:t>
                              </w:r>
                              <w:r>
                                <w:rPr>
                                  <w:b/>
                                  <w:color w:val="164194"/>
                                  <w:sz w:val="28"/>
                                </w:rPr>
                                <w:t>children</w:t>
                              </w:r>
                              <w:r>
                                <w:rPr>
                                  <w:b/>
                                  <w:color w:val="164194"/>
                                  <w:spacing w:val="-6"/>
                                  <w:sz w:val="28"/>
                                </w:rPr>
                                <w:t> </w:t>
                              </w:r>
                              <w:r>
                                <w:rPr>
                                  <w:b/>
                                  <w:color w:val="164194"/>
                                  <w:sz w:val="28"/>
                                </w:rPr>
                                <w:t>refugees</w:t>
                              </w:r>
                              <w:r>
                                <w:rPr>
                                  <w:b/>
                                  <w:color w:val="164194"/>
                                  <w:spacing w:val="-6"/>
                                  <w:sz w:val="28"/>
                                </w:rPr>
                                <w:t> </w:t>
                              </w:r>
                              <w:r>
                                <w:rPr>
                                  <w:b/>
                                  <w:color w:val="164194"/>
                                  <w:sz w:val="28"/>
                                </w:rPr>
                                <w:t>and</w:t>
                              </w:r>
                              <w:r>
                                <w:rPr>
                                  <w:b/>
                                  <w:color w:val="164194"/>
                                  <w:spacing w:val="-6"/>
                                  <w:sz w:val="28"/>
                                </w:rPr>
                                <w:t> </w:t>
                              </w:r>
                              <w:r>
                                <w:rPr>
                                  <w:b/>
                                  <w:color w:val="164194"/>
                                  <w:sz w:val="28"/>
                                </w:rPr>
                                <w:t>children</w:t>
                              </w:r>
                              <w:r>
                                <w:rPr>
                                  <w:b/>
                                  <w:color w:val="164194"/>
                                  <w:spacing w:val="-6"/>
                                  <w:sz w:val="28"/>
                                </w:rPr>
                                <w:t> </w:t>
                              </w:r>
                              <w:r>
                                <w:rPr>
                                  <w:b/>
                                  <w:color w:val="164194"/>
                                  <w:sz w:val="28"/>
                                </w:rPr>
                                <w:t>in</w:t>
                              </w:r>
                              <w:r>
                                <w:rPr>
                                  <w:b/>
                                  <w:color w:val="164194"/>
                                  <w:spacing w:val="-6"/>
                                  <w:sz w:val="28"/>
                                </w:rPr>
                                <w:t> </w:t>
                              </w:r>
                              <w:r>
                                <w:rPr>
                                  <w:b/>
                                  <w:color w:val="164194"/>
                                  <w:sz w:val="28"/>
                                </w:rPr>
                                <w:t>care,</w:t>
                              </w:r>
                              <w:r>
                                <w:rPr>
                                  <w:b/>
                                  <w:color w:val="164194"/>
                                  <w:spacing w:val="-6"/>
                                  <w:sz w:val="28"/>
                                </w:rPr>
                                <w:t> </w:t>
                              </w:r>
                              <w:r>
                                <w:rPr>
                                  <w:b/>
                                  <w:color w:val="164194"/>
                                  <w:sz w:val="28"/>
                                </w:rPr>
                                <w:t>with</w:t>
                              </w:r>
                              <w:r>
                                <w:rPr>
                                  <w:b/>
                                  <w:color w:val="164194"/>
                                  <w:spacing w:val="-6"/>
                                  <w:sz w:val="28"/>
                                </w:rPr>
                                <w:t> </w:t>
                              </w:r>
                              <w:r>
                                <w:rPr>
                                  <w:b/>
                                  <w:color w:val="164194"/>
                                  <w:sz w:val="28"/>
                                </w:rPr>
                                <w:t>a</w:t>
                              </w:r>
                              <w:r>
                                <w:rPr>
                                  <w:b/>
                                  <w:color w:val="164194"/>
                                  <w:spacing w:val="-6"/>
                                  <w:sz w:val="28"/>
                                </w:rPr>
                                <w:t> </w:t>
                              </w:r>
                              <w:r>
                                <w:rPr>
                                  <w:b/>
                                  <w:color w:val="164194"/>
                                  <w:sz w:val="28"/>
                                </w:rPr>
                                <w:t>view</w:t>
                              </w:r>
                              <w:r>
                                <w:rPr>
                                  <w:b/>
                                  <w:color w:val="164194"/>
                                  <w:spacing w:val="-7"/>
                                  <w:sz w:val="28"/>
                                </w:rPr>
                                <w:t> </w:t>
                              </w:r>
                              <w:r>
                                <w:rPr>
                                  <w:b/>
                                  <w:color w:val="164194"/>
                                  <w:sz w:val="28"/>
                                </w:rPr>
                                <w:t>to</w:t>
                              </w:r>
                              <w:r>
                                <w:rPr>
                                  <w:b/>
                                  <w:color w:val="164194"/>
                                  <w:spacing w:val="-6"/>
                                  <w:sz w:val="28"/>
                                </w:rPr>
                                <w:t> </w:t>
                              </w:r>
                              <w:r>
                                <w:rPr>
                                  <w:b/>
                                  <w:color w:val="164194"/>
                                  <w:sz w:val="28"/>
                                </w:rPr>
                                <w:t>taking</w:t>
                              </w:r>
                              <w:r>
                                <w:rPr>
                                  <w:b/>
                                  <w:color w:val="164194"/>
                                  <w:spacing w:val="-7"/>
                                  <w:sz w:val="28"/>
                                </w:rPr>
                                <w:t> </w:t>
                              </w:r>
                              <w:r>
                                <w:rPr>
                                  <w:b/>
                                  <w:color w:val="164194"/>
                                  <w:sz w:val="28"/>
                                </w:rPr>
                                <w:t>measures that strengthen 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05.057457pt;width:473.4pt;height:130.0500pt;mso-position-horizontal-relative:page;mso-position-vertical-relative:paragraph;z-index:-15681536;mso-wrap-distance-left:0;mso-wrap-distance-right:0" id="docshapegroup204" coordorigin="1020,2101" coordsize="9468,2601">
                <v:shape style="position:absolute;left:1020;top:2101;width:9468;height:2601" id="docshape205" coordorigin="1020,2101" coordsize="9468,2601" path="m10261,2101l1247,2101,1176,2113,1113,2145,1064,2194,1032,2256,1020,2328,1020,4475,1032,4546,1064,4608,1113,4658,1176,4690,1247,4701,10261,4701,10333,4690,10395,4658,10444,4608,10477,4546,10488,4475,10488,2328,10477,2256,10444,2194,10395,2145,10333,2113,10261,2101xe" filled="true" fillcolor="#e9f3fc" stroked="false">
                  <v:path arrowok="t"/>
                  <v:fill type="solid"/>
                </v:shape>
                <v:shape style="position:absolute;left:1020;top:2101;width:9468;height:2601" type="#_x0000_t202" id="docshape206" filled="false" stroked="false">
                  <v:textbox inset="0,0,0,0">
                    <w:txbxContent>
                      <w:p>
                        <w:pPr>
                          <w:spacing w:line="232" w:lineRule="auto" w:before="121"/>
                          <w:ind w:left="340" w:right="196" w:firstLine="0"/>
                          <w:jc w:val="left"/>
                          <w:rPr>
                            <w:b/>
                            <w:sz w:val="28"/>
                          </w:rPr>
                        </w:pPr>
                        <w:r>
                          <w:rPr>
                            <w:b/>
                            <w:color w:val="164194"/>
                            <w:sz w:val="28"/>
                          </w:rPr>
                          <w:t>We recommend relevant NI departments review EU policy developments aimed at protecting the rights of all children, including combating child poverty, securing vulnerable children’s access to basic services, including children living in poverty, children with disabilities and special educational needs,</w:t>
                        </w:r>
                        <w:r>
                          <w:rPr>
                            <w:b/>
                            <w:color w:val="164194"/>
                            <w:spacing w:val="-6"/>
                            <w:sz w:val="28"/>
                          </w:rPr>
                          <w:t> </w:t>
                        </w:r>
                        <w:r>
                          <w:rPr>
                            <w:b/>
                            <w:color w:val="164194"/>
                            <w:sz w:val="28"/>
                          </w:rPr>
                          <w:t>children</w:t>
                        </w:r>
                        <w:r>
                          <w:rPr>
                            <w:b/>
                            <w:color w:val="164194"/>
                            <w:spacing w:val="-6"/>
                            <w:sz w:val="28"/>
                          </w:rPr>
                          <w:t> </w:t>
                        </w:r>
                        <w:r>
                          <w:rPr>
                            <w:b/>
                            <w:color w:val="164194"/>
                            <w:sz w:val="28"/>
                          </w:rPr>
                          <w:t>refugees</w:t>
                        </w:r>
                        <w:r>
                          <w:rPr>
                            <w:b/>
                            <w:color w:val="164194"/>
                            <w:spacing w:val="-6"/>
                            <w:sz w:val="28"/>
                          </w:rPr>
                          <w:t> </w:t>
                        </w:r>
                        <w:r>
                          <w:rPr>
                            <w:b/>
                            <w:color w:val="164194"/>
                            <w:sz w:val="28"/>
                          </w:rPr>
                          <w:t>and</w:t>
                        </w:r>
                        <w:r>
                          <w:rPr>
                            <w:b/>
                            <w:color w:val="164194"/>
                            <w:spacing w:val="-6"/>
                            <w:sz w:val="28"/>
                          </w:rPr>
                          <w:t> </w:t>
                        </w:r>
                        <w:r>
                          <w:rPr>
                            <w:b/>
                            <w:color w:val="164194"/>
                            <w:sz w:val="28"/>
                          </w:rPr>
                          <w:t>children</w:t>
                        </w:r>
                        <w:r>
                          <w:rPr>
                            <w:b/>
                            <w:color w:val="164194"/>
                            <w:spacing w:val="-6"/>
                            <w:sz w:val="28"/>
                          </w:rPr>
                          <w:t> </w:t>
                        </w:r>
                        <w:r>
                          <w:rPr>
                            <w:b/>
                            <w:color w:val="164194"/>
                            <w:sz w:val="28"/>
                          </w:rPr>
                          <w:t>in</w:t>
                        </w:r>
                        <w:r>
                          <w:rPr>
                            <w:b/>
                            <w:color w:val="164194"/>
                            <w:spacing w:val="-6"/>
                            <w:sz w:val="28"/>
                          </w:rPr>
                          <w:t> </w:t>
                        </w:r>
                        <w:r>
                          <w:rPr>
                            <w:b/>
                            <w:color w:val="164194"/>
                            <w:sz w:val="28"/>
                          </w:rPr>
                          <w:t>care,</w:t>
                        </w:r>
                        <w:r>
                          <w:rPr>
                            <w:b/>
                            <w:color w:val="164194"/>
                            <w:spacing w:val="-6"/>
                            <w:sz w:val="28"/>
                          </w:rPr>
                          <w:t> </w:t>
                        </w:r>
                        <w:r>
                          <w:rPr>
                            <w:b/>
                            <w:color w:val="164194"/>
                            <w:sz w:val="28"/>
                          </w:rPr>
                          <w:t>with</w:t>
                        </w:r>
                        <w:r>
                          <w:rPr>
                            <w:b/>
                            <w:color w:val="164194"/>
                            <w:spacing w:val="-6"/>
                            <w:sz w:val="28"/>
                          </w:rPr>
                          <w:t> </w:t>
                        </w:r>
                        <w:r>
                          <w:rPr>
                            <w:b/>
                            <w:color w:val="164194"/>
                            <w:sz w:val="28"/>
                          </w:rPr>
                          <w:t>a</w:t>
                        </w:r>
                        <w:r>
                          <w:rPr>
                            <w:b/>
                            <w:color w:val="164194"/>
                            <w:spacing w:val="-6"/>
                            <w:sz w:val="28"/>
                          </w:rPr>
                          <w:t> </w:t>
                        </w:r>
                        <w:r>
                          <w:rPr>
                            <w:b/>
                            <w:color w:val="164194"/>
                            <w:sz w:val="28"/>
                          </w:rPr>
                          <w:t>view</w:t>
                        </w:r>
                        <w:r>
                          <w:rPr>
                            <w:b/>
                            <w:color w:val="164194"/>
                            <w:spacing w:val="-7"/>
                            <w:sz w:val="28"/>
                          </w:rPr>
                          <w:t> </w:t>
                        </w:r>
                        <w:r>
                          <w:rPr>
                            <w:b/>
                            <w:color w:val="164194"/>
                            <w:sz w:val="28"/>
                          </w:rPr>
                          <w:t>to</w:t>
                        </w:r>
                        <w:r>
                          <w:rPr>
                            <w:b/>
                            <w:color w:val="164194"/>
                            <w:spacing w:val="-6"/>
                            <w:sz w:val="28"/>
                          </w:rPr>
                          <w:t> </w:t>
                        </w:r>
                        <w:r>
                          <w:rPr>
                            <w:b/>
                            <w:color w:val="164194"/>
                            <w:sz w:val="28"/>
                          </w:rPr>
                          <w:t>taking</w:t>
                        </w:r>
                        <w:r>
                          <w:rPr>
                            <w:b/>
                            <w:color w:val="164194"/>
                            <w:spacing w:val="-7"/>
                            <w:sz w:val="28"/>
                          </w:rPr>
                          <w:t> </w:t>
                        </w:r>
                        <w:r>
                          <w:rPr>
                            <w:b/>
                            <w:color w:val="164194"/>
                            <w:sz w:val="28"/>
                          </w:rPr>
                          <w:t>measures that strengthen rights and reflect international human rights standards and best practice.</w:t>
                        </w:r>
                      </w:p>
                    </w:txbxContent>
                  </v:textbox>
                  <w10:wrap type="none"/>
                </v:shape>
                <w10:wrap type="topAndBottom"/>
              </v:group>
            </w:pict>
          </mc:Fallback>
        </mc:AlternateContent>
      </w:r>
    </w:p>
    <w:p>
      <w:pPr>
        <w:pStyle w:val="BodyText"/>
        <w:rPr>
          <w:sz w:val="16"/>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9"/>
        <w:rPr>
          <w:sz w:val="20"/>
        </w:rPr>
      </w:pPr>
      <w:r>
        <w:rPr/>
        <mc:AlternateContent>
          <mc:Choice Requires="wps">
            <w:drawing>
              <wp:anchor distT="0" distB="0" distL="0" distR="0" allowOverlap="1" layoutInCell="1" locked="0" behindDoc="1" simplePos="0" relativeHeight="487635456">
                <wp:simplePos x="0" y="0"/>
                <wp:positionH relativeFrom="page">
                  <wp:posOffset>647999</wp:posOffset>
                </wp:positionH>
                <wp:positionV relativeFrom="paragraph">
                  <wp:posOffset>195068</wp:posOffset>
                </wp:positionV>
                <wp:extent cx="6012180"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5.359713pt;width:473.4pt;height:.1pt;mso-position-horizontal-relative:page;mso-position-vertical-relative:paragraph;z-index:-15681024;mso-wrap-distance-left:0;mso-wrap-distance-right:0" id="docshape207" coordorigin="1020,307" coordsize="9468,0" path="m1020,307l10488,307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0" w:hanging="567"/>
        <w:jc w:val="left"/>
        <w:rPr>
          <w:sz w:val="18"/>
        </w:rPr>
      </w:pPr>
      <w:r>
        <w:rPr>
          <w:sz w:val="18"/>
        </w:rPr>
        <w:t>European</w:t>
      </w:r>
      <w:r>
        <w:rPr>
          <w:spacing w:val="-6"/>
          <w:sz w:val="18"/>
        </w:rPr>
        <w:t> </w:t>
      </w:r>
      <w:r>
        <w:rPr>
          <w:sz w:val="18"/>
        </w:rPr>
        <w:t>Commission,</w:t>
      </w:r>
      <w:r>
        <w:rPr>
          <w:spacing w:val="-4"/>
          <w:sz w:val="18"/>
        </w:rPr>
        <w:t> </w:t>
      </w:r>
      <w:r>
        <w:rPr>
          <w:color w:val="1D71B8"/>
          <w:sz w:val="18"/>
          <w:u w:val="single" w:color="1D71B8"/>
        </w:rPr>
        <w:t>The</w:t>
      </w:r>
      <w:r>
        <w:rPr>
          <w:color w:val="1D71B8"/>
          <w:spacing w:val="-2"/>
          <w:sz w:val="18"/>
          <w:u w:val="single" w:color="1D71B8"/>
        </w:rPr>
        <w:t> </w:t>
      </w:r>
      <w:r>
        <w:rPr>
          <w:color w:val="1D71B8"/>
          <w:sz w:val="18"/>
          <w:u w:val="single" w:color="1D71B8"/>
        </w:rPr>
        <w:t>EU</w:t>
      </w:r>
      <w:r>
        <w:rPr>
          <w:color w:val="1D71B8"/>
          <w:spacing w:val="-3"/>
          <w:sz w:val="18"/>
          <w:u w:val="single" w:color="1D71B8"/>
        </w:rPr>
        <w:t> </w:t>
      </w:r>
      <w:r>
        <w:rPr>
          <w:color w:val="1D71B8"/>
          <w:sz w:val="18"/>
          <w:u w:val="single" w:color="1D71B8"/>
        </w:rPr>
        <w:t>Strategy</w:t>
      </w:r>
      <w:r>
        <w:rPr>
          <w:color w:val="1D71B8"/>
          <w:spacing w:val="-3"/>
          <w:sz w:val="18"/>
          <w:u w:val="single" w:color="1D71B8"/>
        </w:rPr>
        <w:t> </w:t>
      </w:r>
      <w:r>
        <w:rPr>
          <w:color w:val="1D71B8"/>
          <w:sz w:val="18"/>
          <w:u w:val="single" w:color="1D71B8"/>
        </w:rPr>
        <w:t>on</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Child</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European</w:t>
      </w:r>
      <w:r>
        <w:rPr>
          <w:color w:val="1D71B8"/>
          <w:spacing w:val="-4"/>
          <w:sz w:val="18"/>
          <w:u w:val="single" w:color="1D71B8"/>
        </w:rPr>
        <w:t> </w:t>
      </w:r>
      <w:r>
        <w:rPr>
          <w:color w:val="1D71B8"/>
          <w:sz w:val="18"/>
          <w:u w:val="single" w:color="1D71B8"/>
        </w:rPr>
        <w:t>Child</w:t>
      </w:r>
      <w:r>
        <w:rPr>
          <w:color w:val="1D71B8"/>
          <w:spacing w:val="-3"/>
          <w:sz w:val="18"/>
          <w:u w:val="single" w:color="1D71B8"/>
        </w:rPr>
        <w:t> </w:t>
      </w:r>
      <w:r>
        <w:rPr>
          <w:color w:val="1D71B8"/>
          <w:spacing w:val="-2"/>
          <w:sz w:val="18"/>
          <w:u w:val="single" w:color="1D71B8"/>
        </w:rPr>
        <w:t>Guarantee</w:t>
      </w:r>
      <w:r>
        <w:rPr>
          <w:spacing w:val="-2"/>
          <w:sz w:val="18"/>
          <w:u w:val="none"/>
        </w:rPr>
        <w:t>.</w:t>
      </w:r>
    </w:p>
    <w:p>
      <w:pPr>
        <w:pStyle w:val="ListParagraph"/>
        <w:numPr>
          <w:ilvl w:val="0"/>
          <w:numId w:val="9"/>
        </w:numPr>
        <w:tabs>
          <w:tab w:pos="1287" w:val="left" w:leader="none"/>
        </w:tabs>
        <w:spacing w:line="240" w:lineRule="auto" w:before="1" w:after="0"/>
        <w:ind w:left="1287" w:right="0" w:hanging="567"/>
        <w:jc w:val="left"/>
        <w:rPr>
          <w:sz w:val="18"/>
        </w:rPr>
      </w:pPr>
      <w:r>
        <w:rPr>
          <w:sz w:val="18"/>
        </w:rPr>
        <w:t>European</w:t>
      </w:r>
      <w:r>
        <w:rPr>
          <w:spacing w:val="-5"/>
          <w:sz w:val="18"/>
        </w:rPr>
        <w:t> </w:t>
      </w:r>
      <w:r>
        <w:rPr>
          <w:sz w:val="18"/>
        </w:rPr>
        <w:t>Commission,</w:t>
      </w:r>
      <w:r>
        <w:rPr>
          <w:spacing w:val="-5"/>
          <w:sz w:val="18"/>
        </w:rPr>
        <w:t> </w:t>
      </w:r>
      <w:r>
        <w:rPr>
          <w:color w:val="1D71B8"/>
          <w:sz w:val="18"/>
          <w:u w:val="single" w:color="1D71B8"/>
        </w:rPr>
        <w:t>Migration</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Home</w:t>
      </w:r>
      <w:r>
        <w:rPr>
          <w:color w:val="1D71B8"/>
          <w:spacing w:val="-4"/>
          <w:sz w:val="18"/>
          <w:u w:val="single" w:color="1D71B8"/>
        </w:rPr>
        <w:t> </w:t>
      </w:r>
      <w:r>
        <w:rPr>
          <w:color w:val="1D71B8"/>
          <w:spacing w:val="-2"/>
          <w:sz w:val="18"/>
          <w:u w:val="single" w:color="1D71B8"/>
        </w:rPr>
        <w:t>Affairs</w:t>
      </w:r>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sz w:val="18"/>
        </w:rPr>
        <w:t>European</w:t>
      </w:r>
      <w:r>
        <w:rPr>
          <w:spacing w:val="-9"/>
          <w:sz w:val="18"/>
        </w:rPr>
        <w:t> </w:t>
      </w:r>
      <w:r>
        <w:rPr>
          <w:sz w:val="18"/>
        </w:rPr>
        <w:t>Commission,</w:t>
      </w:r>
      <w:r>
        <w:rPr>
          <w:spacing w:val="-8"/>
          <w:sz w:val="18"/>
        </w:rPr>
        <w:t> </w:t>
      </w:r>
      <w:r>
        <w:rPr>
          <w:color w:val="1D71B8"/>
          <w:sz w:val="18"/>
          <w:u w:val="single" w:color="1D71B8"/>
        </w:rPr>
        <w:t>EU</w:t>
      </w:r>
      <w:r>
        <w:rPr>
          <w:color w:val="1D71B8"/>
          <w:spacing w:val="-7"/>
          <w:sz w:val="18"/>
          <w:u w:val="single" w:color="1D71B8"/>
        </w:rPr>
        <w:t> </w:t>
      </w:r>
      <w:r>
        <w:rPr>
          <w:color w:val="1D71B8"/>
          <w:sz w:val="18"/>
          <w:u w:val="single" w:color="1D71B8"/>
        </w:rPr>
        <w:t>Strategy</w:t>
      </w:r>
      <w:r>
        <w:rPr>
          <w:color w:val="1D71B8"/>
          <w:spacing w:val="-7"/>
          <w:sz w:val="18"/>
          <w:u w:val="single" w:color="1D71B8"/>
        </w:rPr>
        <w:t> </w:t>
      </w:r>
      <w:r>
        <w:rPr>
          <w:color w:val="1D71B8"/>
          <w:sz w:val="18"/>
          <w:u w:val="single" w:color="1D71B8"/>
        </w:rPr>
        <w:t>on</w:t>
      </w:r>
      <w:r>
        <w:rPr>
          <w:color w:val="1D71B8"/>
          <w:spacing w:val="-8"/>
          <w:sz w:val="18"/>
          <w:u w:val="single" w:color="1D71B8"/>
        </w:rPr>
        <w:t> </w:t>
      </w:r>
      <w:r>
        <w:rPr>
          <w:color w:val="1D71B8"/>
          <w:sz w:val="18"/>
          <w:u w:val="single" w:color="1D71B8"/>
        </w:rPr>
        <w:t>Combatting</w:t>
      </w:r>
      <w:r>
        <w:rPr>
          <w:color w:val="1D71B8"/>
          <w:spacing w:val="-7"/>
          <w:sz w:val="18"/>
          <w:u w:val="single" w:color="1D71B8"/>
        </w:rPr>
        <w:t> </w:t>
      </w:r>
      <w:r>
        <w:rPr>
          <w:color w:val="1D71B8"/>
          <w:sz w:val="18"/>
          <w:u w:val="single" w:color="1D71B8"/>
        </w:rPr>
        <w:t>Trafficking</w:t>
      </w:r>
      <w:r>
        <w:rPr>
          <w:color w:val="1D71B8"/>
          <w:spacing w:val="-7"/>
          <w:sz w:val="18"/>
          <w:u w:val="single" w:color="1D71B8"/>
        </w:rPr>
        <w:t> </w:t>
      </w:r>
      <w:r>
        <w:rPr>
          <w:color w:val="1D71B8"/>
          <w:sz w:val="18"/>
          <w:u w:val="single" w:color="1D71B8"/>
        </w:rPr>
        <w:t>in</w:t>
      </w:r>
      <w:r>
        <w:rPr>
          <w:color w:val="1D71B8"/>
          <w:spacing w:val="-8"/>
          <w:sz w:val="18"/>
          <w:u w:val="single" w:color="1D71B8"/>
        </w:rPr>
        <w:t> </w:t>
      </w:r>
      <w:r>
        <w:rPr>
          <w:color w:val="1D71B8"/>
          <w:sz w:val="18"/>
          <w:u w:val="single" w:color="1D71B8"/>
        </w:rPr>
        <w:t>Human</w:t>
      </w:r>
      <w:r>
        <w:rPr>
          <w:color w:val="1D71B8"/>
          <w:spacing w:val="-8"/>
          <w:sz w:val="18"/>
          <w:u w:val="single" w:color="1D71B8"/>
        </w:rPr>
        <w:t> </w:t>
      </w:r>
      <w:r>
        <w:rPr>
          <w:color w:val="1D71B8"/>
          <w:sz w:val="18"/>
          <w:u w:val="single" w:color="1D71B8"/>
        </w:rPr>
        <w:t>Beings</w:t>
      </w:r>
      <w:r>
        <w:rPr>
          <w:color w:val="1D71B8"/>
          <w:spacing w:val="-8"/>
          <w:sz w:val="18"/>
          <w:u w:val="single" w:color="1D71B8"/>
        </w:rPr>
        <w:t> </w:t>
      </w:r>
      <w:r>
        <w:rPr>
          <w:color w:val="1D71B8"/>
          <w:sz w:val="18"/>
          <w:u w:val="single" w:color="1D71B8"/>
        </w:rPr>
        <w:t>(2021-</w:t>
      </w:r>
      <w:r>
        <w:rPr>
          <w:color w:val="1D71B8"/>
          <w:spacing w:val="-2"/>
          <w:sz w:val="18"/>
          <w:u w:val="single" w:color="1D71B8"/>
        </w:rPr>
        <w:t>2025).</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53664">
                <wp:simplePos x="0" y="0"/>
                <wp:positionH relativeFrom="page">
                  <wp:posOffset>-2</wp:posOffset>
                </wp:positionH>
                <wp:positionV relativeFrom="page">
                  <wp:posOffset>0</wp:posOffset>
                </wp:positionV>
                <wp:extent cx="7560309" cy="607314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7560309" cy="6073140"/>
                          <a:chExt cx="7560309" cy="6073140"/>
                        </a:xfrm>
                      </wpg:grpSpPr>
                      <pic:pic>
                        <pic:nvPicPr>
                          <pic:cNvPr id="267" name="Image 267"/>
                          <pic:cNvPicPr/>
                        </pic:nvPicPr>
                        <pic:blipFill>
                          <a:blip r:embed="rId36" cstate="print"/>
                          <a:stretch>
                            <a:fillRect/>
                          </a:stretch>
                        </pic:blipFill>
                        <pic:spPr>
                          <a:xfrm>
                            <a:off x="2" y="180010"/>
                            <a:ext cx="7559992" cy="2880004"/>
                          </a:xfrm>
                          <a:prstGeom prst="rect">
                            <a:avLst/>
                          </a:prstGeom>
                        </pic:spPr>
                      </pic:pic>
                      <wps:wsp>
                        <wps:cNvPr id="268" name="Graphic 268"/>
                        <wps:cNvSpPr/>
                        <wps:spPr>
                          <a:xfrm>
                            <a:off x="2" y="1890003"/>
                            <a:ext cx="7560309" cy="4183379"/>
                          </a:xfrm>
                          <a:custGeom>
                            <a:avLst/>
                            <a:gdLst/>
                            <a:ahLst/>
                            <a:cxnLst/>
                            <a:rect l="l" t="t" r="r" b="b"/>
                            <a:pathLst>
                              <a:path w="7560309" h="4183379">
                                <a:moveTo>
                                  <a:pt x="6840004" y="0"/>
                                </a:moveTo>
                                <a:lnTo>
                                  <a:pt x="0" y="0"/>
                                </a:lnTo>
                                <a:lnTo>
                                  <a:pt x="0" y="4182872"/>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269" name="Graphic 269"/>
                        <wps:cNvSpPr/>
                        <wps:spPr>
                          <a:xfrm>
                            <a:off x="900001" y="237350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270" name="Graphic 27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271" name="Graphic 27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478.2pt;mso-position-horizontal-relative:page;mso-position-vertical-relative:page;z-index:-19362816" id="docshapegroup208" coordorigin="0,0" coordsize="11906,9564">
                <v:shape style="position:absolute;left:0;top:283;width:11906;height:4536" type="#_x0000_t75" id="docshape209" stroked="false">
                  <v:imagedata r:id="rId36" o:title=""/>
                </v:shape>
                <v:shape style="position:absolute;left:0;top:2976;width:11906;height:6588" id="docshape210" coordorigin="0,2976" coordsize="11906,6588" path="m10772,2976l0,2976,0,9564,11906,9564,11906,3544,11846,3469,11798,3417,11749,3367,11697,3320,11642,3275,11586,3233,11527,3194,11467,3158,11404,3125,11340,3095,11274,3068,11206,3044,11137,3024,11066,3007,10994,2994,10921,2984,10847,2978,10772,2976xe" filled="true" fillcolor="#ffffff" stroked="false">
                  <v:path arrowok="t"/>
                  <v:fill type="solid"/>
                </v:shape>
                <v:line style="position:absolute" from="1417,3738" to="10885,3738" stroked="true" strokeweight="1pt" strokecolor="#36a9e1">
                  <v:stroke dashstyle="solid"/>
                </v:line>
                <v:shape style="position:absolute;left:0;top:0;width:11906;height:1819" id="docshape211"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Chapter 1:Introduction and Background" w:id="24"/>
      <w:bookmarkEnd w:id="24"/>
      <w:r>
        <w:rPr/>
      </w:r>
      <w:bookmarkStart w:name="1.1 Introduction" w:id="25"/>
      <w:bookmarkEnd w:id="25"/>
      <w:r>
        <w:rPr/>
      </w:r>
      <w:bookmarkStart w:name="_bookmark10" w:id="26"/>
      <w:bookmarkEnd w:id="26"/>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17</w:t>
      </w:r>
    </w:p>
    <w:p>
      <w:pPr>
        <w:pStyle w:val="BodyText"/>
        <w:spacing w:before="40"/>
        <w:rPr>
          <w:b/>
          <w:sz w:val="52"/>
        </w:rPr>
      </w:pPr>
    </w:p>
    <w:p>
      <w:pPr>
        <w:spacing w:line="597" w:lineRule="exact" w:before="0"/>
        <w:ind w:left="1117" w:right="0" w:firstLine="0"/>
        <w:jc w:val="left"/>
        <w:rPr>
          <w:sz w:val="52"/>
        </w:rPr>
      </w:pPr>
      <w:r>
        <w:rPr>
          <w:color w:val="FFFFFF"/>
          <w:sz w:val="52"/>
        </w:rPr>
        <w:t>Chapter</w:t>
      </w:r>
      <w:r>
        <w:rPr>
          <w:color w:val="FFFFFF"/>
          <w:spacing w:val="-13"/>
          <w:sz w:val="52"/>
        </w:rPr>
        <w:t> </w:t>
      </w:r>
      <w:r>
        <w:rPr>
          <w:color w:val="FFFFFF"/>
          <w:spacing w:val="-5"/>
          <w:sz w:val="52"/>
        </w:rPr>
        <w:t>1:</w:t>
      </w:r>
    </w:p>
    <w:p>
      <w:pPr>
        <w:pStyle w:val="Heading1"/>
        <w:spacing w:line="597" w:lineRule="exact"/>
      </w:pPr>
      <w:r>
        <w:rPr>
          <w:color w:val="FFFFFF"/>
        </w:rPr>
        <w:t>Introduction</w:t>
      </w:r>
      <w:r>
        <w:rPr>
          <w:color w:val="FFFFFF"/>
          <w:spacing w:val="-17"/>
        </w:rPr>
        <w:t> </w:t>
      </w:r>
      <w:r>
        <w:rPr>
          <w:color w:val="FFFFFF"/>
        </w:rPr>
        <w:t>and</w:t>
      </w:r>
      <w:r>
        <w:rPr>
          <w:color w:val="FFFFFF"/>
          <w:spacing w:val="-17"/>
        </w:rPr>
        <w:t> </w:t>
      </w:r>
      <w:r>
        <w:rPr>
          <w:color w:val="FFFFFF"/>
          <w:spacing w:val="-2"/>
        </w:rPr>
        <w:t>Background</w:t>
      </w:r>
    </w:p>
    <w:p>
      <w:pPr>
        <w:pStyle w:val="Heading2"/>
        <w:numPr>
          <w:ilvl w:val="1"/>
          <w:numId w:val="10"/>
        </w:numPr>
        <w:tabs>
          <w:tab w:pos="1599" w:val="left" w:leader="none"/>
        </w:tabs>
        <w:spacing w:line="240" w:lineRule="auto" w:before="463" w:after="0"/>
        <w:ind w:left="1599" w:right="0" w:hanging="482"/>
        <w:jc w:val="left"/>
      </w:pPr>
      <w:r>
        <w:rPr>
          <w:color w:val="004A93"/>
          <w:spacing w:val="-2"/>
        </w:rPr>
        <w:t>Introduction</w:t>
      </w:r>
    </w:p>
    <w:p>
      <w:pPr>
        <w:pStyle w:val="BodyText"/>
        <w:spacing w:line="232" w:lineRule="auto" w:before="212"/>
        <w:ind w:left="1117" w:right="738"/>
      </w:pPr>
      <w:r>
        <w:rPr/>
        <w:t>The 1998 Belfast or Good Friday Agreement (the 1998 Agreement or BGFA) contains</w:t>
      </w:r>
      <w:r>
        <w:rPr>
          <w:spacing w:val="-8"/>
        </w:rPr>
        <w:t> </w:t>
      </w:r>
      <w:r>
        <w:rPr/>
        <w:t>extensive</w:t>
      </w:r>
      <w:r>
        <w:rPr>
          <w:spacing w:val="-7"/>
        </w:rPr>
        <w:t> </w:t>
      </w:r>
      <w:r>
        <w:rPr/>
        <w:t>references</w:t>
      </w:r>
      <w:r>
        <w:rPr>
          <w:spacing w:val="-8"/>
        </w:rPr>
        <w:t> </w:t>
      </w:r>
      <w:r>
        <w:rPr/>
        <w:t>to</w:t>
      </w:r>
      <w:r>
        <w:rPr>
          <w:spacing w:val="-8"/>
        </w:rPr>
        <w:t> </w:t>
      </w:r>
      <w:r>
        <w:rPr/>
        <w:t>human</w:t>
      </w:r>
      <w:r>
        <w:rPr>
          <w:spacing w:val="-8"/>
        </w:rPr>
        <w:t> </w:t>
      </w:r>
      <w:r>
        <w:rPr/>
        <w:t>rights</w:t>
      </w:r>
      <w:r>
        <w:rPr>
          <w:spacing w:val="-8"/>
        </w:rPr>
        <w:t> </w:t>
      </w:r>
      <w:r>
        <w:rPr/>
        <w:t>and</w:t>
      </w:r>
      <w:r>
        <w:rPr>
          <w:spacing w:val="-8"/>
        </w:rPr>
        <w:t> </w:t>
      </w:r>
      <w:r>
        <w:rPr/>
        <w:t>equality</w:t>
      </w:r>
      <w:r>
        <w:rPr>
          <w:spacing w:val="-7"/>
        </w:rPr>
        <w:t> </w:t>
      </w:r>
      <w:r>
        <w:rPr/>
        <w:t>in</w:t>
      </w:r>
      <w:r>
        <w:rPr>
          <w:spacing w:val="-8"/>
        </w:rPr>
        <w:t> </w:t>
      </w:r>
      <w:r>
        <w:rPr/>
        <w:t>Northern</w:t>
      </w:r>
      <w:r>
        <w:rPr>
          <w:spacing w:val="-8"/>
        </w:rPr>
        <w:t> </w:t>
      </w:r>
      <w:r>
        <w:rPr/>
        <w:t>Ireland</w:t>
      </w:r>
      <w:r>
        <w:rPr>
          <w:spacing w:val="-8"/>
        </w:rPr>
        <w:t> </w:t>
      </w:r>
      <w:r>
        <w:rPr/>
        <w:t>and on the island of Ireland and includes a reference to the concept of equivalence of rights on the island.</w:t>
      </w:r>
    </w:p>
    <w:p>
      <w:pPr>
        <w:pStyle w:val="BodyText"/>
        <w:spacing w:line="232" w:lineRule="auto" w:before="277"/>
        <w:ind w:left="1117" w:right="738"/>
      </w:pPr>
      <w:r>
        <w:rPr/>
        <w:t>The UK’s exit from the European Union always had the potential to reduce the protections for human rights and equality in Northern Ireland and to produce divergence in the protection of rights north and south, undermining the equivalence</w:t>
      </w:r>
      <w:r>
        <w:rPr>
          <w:spacing w:val="-6"/>
        </w:rPr>
        <w:t> </w:t>
      </w:r>
      <w:r>
        <w:rPr/>
        <w:t>of</w:t>
      </w:r>
      <w:r>
        <w:rPr>
          <w:spacing w:val="-7"/>
        </w:rPr>
        <w:t> </w:t>
      </w:r>
      <w:r>
        <w:rPr/>
        <w:t>rights</w:t>
      </w:r>
      <w:r>
        <w:rPr>
          <w:spacing w:val="-7"/>
        </w:rPr>
        <w:t> </w:t>
      </w:r>
      <w:r>
        <w:rPr/>
        <w:t>on</w:t>
      </w:r>
      <w:r>
        <w:rPr>
          <w:spacing w:val="-7"/>
        </w:rPr>
        <w:t> </w:t>
      </w:r>
      <w:r>
        <w:rPr/>
        <w:t>the</w:t>
      </w:r>
      <w:r>
        <w:rPr>
          <w:spacing w:val="-6"/>
        </w:rPr>
        <w:t> </w:t>
      </w:r>
      <w:r>
        <w:rPr/>
        <w:t>island.</w:t>
      </w:r>
      <w:r>
        <w:rPr>
          <w:spacing w:val="-7"/>
        </w:rPr>
        <w:t> </w:t>
      </w:r>
      <w:r>
        <w:rPr/>
        <w:t>As</w:t>
      </w:r>
      <w:r>
        <w:rPr>
          <w:spacing w:val="-7"/>
        </w:rPr>
        <w:t> </w:t>
      </w:r>
      <w:r>
        <w:rPr/>
        <w:t>we</w:t>
      </w:r>
      <w:r>
        <w:rPr>
          <w:spacing w:val="-6"/>
        </w:rPr>
        <w:t> </w:t>
      </w:r>
      <w:r>
        <w:rPr/>
        <w:t>elaborate</w:t>
      </w:r>
      <w:r>
        <w:rPr>
          <w:spacing w:val="-6"/>
        </w:rPr>
        <w:t> </w:t>
      </w:r>
      <w:r>
        <w:rPr/>
        <w:t>on</w:t>
      </w:r>
      <w:r>
        <w:rPr>
          <w:spacing w:val="-7"/>
        </w:rPr>
        <w:t> </w:t>
      </w:r>
      <w:r>
        <w:rPr/>
        <w:t>later,</w:t>
      </w:r>
      <w:r>
        <w:rPr>
          <w:spacing w:val="-6"/>
        </w:rPr>
        <w:t> </w:t>
      </w:r>
      <w:r>
        <w:rPr/>
        <w:t>this</w:t>
      </w:r>
      <w:r>
        <w:rPr>
          <w:spacing w:val="-7"/>
        </w:rPr>
        <w:t> </w:t>
      </w:r>
      <w:r>
        <w:rPr/>
        <w:t>reduction</w:t>
      </w:r>
      <w:r>
        <w:rPr>
          <w:spacing w:val="-7"/>
        </w:rPr>
        <w:t> </w:t>
      </w:r>
      <w:r>
        <w:rPr/>
        <w:t>in</w:t>
      </w:r>
      <w:r>
        <w:rPr>
          <w:spacing w:val="-7"/>
        </w:rPr>
        <w:t> </w:t>
      </w:r>
      <w:r>
        <w:rPr/>
        <w:t>rights protection and consequent risk of divergence has occurred.</w:t>
      </w:r>
    </w:p>
    <w:p>
      <w:pPr>
        <w:pStyle w:val="BodyText"/>
        <w:spacing w:line="232" w:lineRule="auto" w:before="276"/>
        <w:ind w:left="1117" w:right="738"/>
      </w:pPr>
      <w:r>
        <w:rPr/>
        <w:t>Article 2 Windsor Framework (WF) provides some protections against divergence though there remains considerable potential for divergence in rights and equality protections on the island of Ireland following the UK’s exit. Many of these have been highlighted in the initial divergence report commissioned by the Equality Commission</w:t>
      </w:r>
      <w:r>
        <w:rPr>
          <w:spacing w:val="-5"/>
        </w:rPr>
        <w:t> </w:t>
      </w:r>
      <w:r>
        <w:rPr/>
        <w:t>for</w:t>
      </w:r>
      <w:r>
        <w:rPr>
          <w:spacing w:val="-4"/>
        </w:rPr>
        <w:t> </w:t>
      </w:r>
      <w:r>
        <w:rPr/>
        <w:t>Northern</w:t>
      </w:r>
      <w:r>
        <w:rPr>
          <w:spacing w:val="-5"/>
        </w:rPr>
        <w:t> </w:t>
      </w:r>
      <w:r>
        <w:rPr/>
        <w:t>Ireland,</w:t>
      </w:r>
      <w:r>
        <w:rPr>
          <w:spacing w:val="-4"/>
        </w:rPr>
        <w:t> </w:t>
      </w:r>
      <w:r>
        <w:rPr/>
        <w:t>Northern</w:t>
      </w:r>
      <w:r>
        <w:rPr>
          <w:spacing w:val="-5"/>
        </w:rPr>
        <w:t> </w:t>
      </w:r>
      <w:r>
        <w:rPr/>
        <w:t>Ireland</w:t>
      </w:r>
      <w:r>
        <w:rPr>
          <w:spacing w:val="-5"/>
        </w:rPr>
        <w:t> </w:t>
      </w:r>
      <w:r>
        <w:rPr/>
        <w:t>Human</w:t>
      </w:r>
      <w:r>
        <w:rPr>
          <w:spacing w:val="-5"/>
        </w:rPr>
        <w:t> </w:t>
      </w:r>
      <w:r>
        <w:rPr/>
        <w:t>Rights</w:t>
      </w:r>
      <w:r>
        <w:rPr>
          <w:spacing w:val="-5"/>
        </w:rPr>
        <w:t> </w:t>
      </w:r>
      <w:r>
        <w:rPr/>
        <w:t>Commission,</w:t>
      </w:r>
      <w:r>
        <w:rPr>
          <w:spacing w:val="-4"/>
        </w:rPr>
        <w:t> </w:t>
      </w:r>
      <w:r>
        <w:rPr/>
        <w:t>and the</w:t>
      </w:r>
      <w:r>
        <w:rPr>
          <w:spacing w:val="-7"/>
        </w:rPr>
        <w:t> </w:t>
      </w:r>
      <w:r>
        <w:rPr/>
        <w:t>Irish</w:t>
      </w:r>
      <w:r>
        <w:rPr>
          <w:spacing w:val="-7"/>
        </w:rPr>
        <w:t> </w:t>
      </w:r>
      <w:r>
        <w:rPr/>
        <w:t>Human</w:t>
      </w:r>
      <w:r>
        <w:rPr>
          <w:spacing w:val="-7"/>
        </w:rPr>
        <w:t> </w:t>
      </w:r>
      <w:r>
        <w:rPr/>
        <w:t>Rights</w:t>
      </w:r>
      <w:r>
        <w:rPr>
          <w:spacing w:val="-7"/>
        </w:rPr>
        <w:t> </w:t>
      </w:r>
      <w:r>
        <w:rPr/>
        <w:t>and</w:t>
      </w:r>
      <w:r>
        <w:rPr>
          <w:spacing w:val="-7"/>
        </w:rPr>
        <w:t> </w:t>
      </w:r>
      <w:r>
        <w:rPr/>
        <w:t>Equality</w:t>
      </w:r>
      <w:r>
        <w:rPr>
          <w:spacing w:val="-7"/>
        </w:rPr>
        <w:t> </w:t>
      </w:r>
      <w:r>
        <w:rPr/>
        <w:t>Commission</w:t>
      </w:r>
      <w:r>
        <w:rPr>
          <w:vertAlign w:val="superscript"/>
        </w:rPr>
        <w:t>38</w:t>
      </w:r>
      <w:r>
        <w:rPr>
          <w:spacing w:val="-7"/>
          <w:vertAlign w:val="baseline"/>
        </w:rPr>
        <w:t> </w:t>
      </w:r>
      <w:r>
        <w:rPr>
          <w:vertAlign w:val="baseline"/>
        </w:rPr>
        <w:t>and</w:t>
      </w:r>
      <w:r>
        <w:rPr>
          <w:spacing w:val="-7"/>
          <w:vertAlign w:val="baseline"/>
        </w:rPr>
        <w:t> </w:t>
      </w:r>
      <w:r>
        <w:rPr>
          <w:vertAlign w:val="baseline"/>
        </w:rPr>
        <w:t>the</w:t>
      </w:r>
      <w:r>
        <w:rPr>
          <w:spacing w:val="-7"/>
          <w:vertAlign w:val="baseline"/>
        </w:rPr>
        <w:t> </w:t>
      </w:r>
      <w:r>
        <w:rPr>
          <w:vertAlign w:val="baseline"/>
        </w:rPr>
        <w:t>policy</w:t>
      </w:r>
      <w:r>
        <w:rPr>
          <w:spacing w:val="-7"/>
          <w:vertAlign w:val="baseline"/>
        </w:rPr>
        <w:t> </w:t>
      </w:r>
      <w:r>
        <w:rPr>
          <w:vertAlign w:val="baseline"/>
        </w:rPr>
        <w:t>recommendations of the Equality Commission for Northern Ireland, Irish Human Rights and Equality Commission and the Northern Ireland Human Rights Commission.</w:t>
      </w:r>
      <w:r>
        <w:rPr>
          <w:vertAlign w:val="superscript"/>
        </w:rPr>
        <w:t>39</w:t>
      </w:r>
    </w:p>
    <w:p>
      <w:pPr>
        <w:pStyle w:val="BodyText"/>
        <w:spacing w:line="232" w:lineRule="auto" w:before="271"/>
        <w:ind w:left="1117" w:right="1051"/>
      </w:pPr>
      <w:r>
        <w:rPr/>
        <w:t>The judgment in the </w:t>
      </w:r>
      <w:r>
        <w:rPr>
          <w:i/>
        </w:rPr>
        <w:t>Legacy Act cases (Dillon and others) </w:t>
      </w:r>
      <w:r>
        <w:rPr/>
        <w:t>demonstrates the relevance</w:t>
      </w:r>
      <w:r>
        <w:rPr>
          <w:spacing w:val="-4"/>
        </w:rPr>
        <w:t> </w:t>
      </w:r>
      <w:r>
        <w:rPr/>
        <w:t>and</w:t>
      </w:r>
      <w:r>
        <w:rPr>
          <w:spacing w:val="-5"/>
        </w:rPr>
        <w:t> </w:t>
      </w:r>
      <w:r>
        <w:rPr/>
        <w:t>potency</w:t>
      </w:r>
      <w:r>
        <w:rPr>
          <w:spacing w:val="-4"/>
        </w:rPr>
        <w:t> </w:t>
      </w:r>
      <w:r>
        <w:rPr/>
        <w:t>of</w:t>
      </w:r>
      <w:r>
        <w:rPr>
          <w:spacing w:val="-5"/>
        </w:rPr>
        <w:t> </w:t>
      </w:r>
      <w:r>
        <w:rPr/>
        <w:t>the</w:t>
      </w:r>
      <w:r>
        <w:rPr>
          <w:spacing w:val="-4"/>
        </w:rPr>
        <w:t> </w:t>
      </w:r>
      <w:r>
        <w:rPr/>
        <w:t>Article</w:t>
      </w:r>
      <w:r>
        <w:rPr>
          <w:spacing w:val="-4"/>
        </w:rPr>
        <w:t> </w:t>
      </w:r>
      <w:r>
        <w:rPr/>
        <w:t>2</w:t>
      </w:r>
      <w:r>
        <w:rPr>
          <w:spacing w:val="-4"/>
        </w:rPr>
        <w:t> </w:t>
      </w:r>
      <w:r>
        <w:rPr/>
        <w:t>WF</w:t>
      </w:r>
      <w:r>
        <w:rPr>
          <w:spacing w:val="-5"/>
        </w:rPr>
        <w:t> </w:t>
      </w:r>
      <w:r>
        <w:rPr/>
        <w:t>protections</w:t>
      </w:r>
      <w:r>
        <w:rPr>
          <w:spacing w:val="-5"/>
        </w:rPr>
        <w:t> </w:t>
      </w:r>
      <w:r>
        <w:rPr/>
        <w:t>for</w:t>
      </w:r>
      <w:r>
        <w:rPr>
          <w:spacing w:val="-4"/>
        </w:rPr>
        <w:t> </w:t>
      </w:r>
      <w:r>
        <w:rPr/>
        <w:t>human</w:t>
      </w:r>
      <w:r>
        <w:rPr>
          <w:spacing w:val="-5"/>
        </w:rPr>
        <w:t> </w:t>
      </w:r>
      <w:r>
        <w:rPr/>
        <w:t>rights.</w:t>
      </w:r>
      <w:r>
        <w:rPr>
          <w:vertAlign w:val="superscript"/>
        </w:rPr>
        <w:t>40</w:t>
      </w:r>
      <w:r>
        <w:rPr>
          <w:spacing w:val="-5"/>
          <w:vertAlign w:val="baseline"/>
        </w:rPr>
        <w:t> </w:t>
      </w:r>
      <w:r>
        <w:rPr>
          <w:vertAlign w:val="baseline"/>
        </w:rPr>
        <w:t>In</w:t>
      </w:r>
      <w:r>
        <w:rPr>
          <w:spacing w:val="-5"/>
          <w:vertAlign w:val="baseline"/>
        </w:rPr>
        <w:t> </w:t>
      </w:r>
      <w:r>
        <w:rPr>
          <w:vertAlign w:val="baseline"/>
        </w:rPr>
        <w:t>that case the High Court disapplied parts of the Northern Ireland Troubles (Legacy and</w:t>
      </w:r>
      <w:r>
        <w:rPr>
          <w:spacing w:val="-2"/>
          <w:vertAlign w:val="baseline"/>
        </w:rPr>
        <w:t> </w:t>
      </w:r>
      <w:r>
        <w:rPr>
          <w:vertAlign w:val="baseline"/>
        </w:rPr>
        <w:t>Reconciliation)</w:t>
      </w:r>
      <w:r>
        <w:rPr>
          <w:spacing w:val="-2"/>
          <w:vertAlign w:val="baseline"/>
        </w:rPr>
        <w:t> </w:t>
      </w:r>
      <w:r>
        <w:rPr>
          <w:vertAlign w:val="baseline"/>
        </w:rPr>
        <w:t>Act</w:t>
      </w:r>
      <w:r>
        <w:rPr>
          <w:spacing w:val="-1"/>
          <w:vertAlign w:val="baseline"/>
        </w:rPr>
        <w:t> </w:t>
      </w:r>
      <w:r>
        <w:rPr>
          <w:vertAlign w:val="baseline"/>
        </w:rPr>
        <w:t>2023,</w:t>
      </w:r>
      <w:r>
        <w:rPr>
          <w:spacing w:val="-1"/>
          <w:vertAlign w:val="baseline"/>
        </w:rPr>
        <w:t> </w:t>
      </w:r>
      <w:r>
        <w:rPr>
          <w:vertAlign w:val="baseline"/>
        </w:rPr>
        <w:t>relying</w:t>
      </w:r>
      <w:r>
        <w:rPr>
          <w:spacing w:val="-1"/>
          <w:vertAlign w:val="baseline"/>
        </w:rPr>
        <w:t> </w:t>
      </w:r>
      <w:r>
        <w:rPr>
          <w:vertAlign w:val="baseline"/>
        </w:rPr>
        <w:t>on</w:t>
      </w:r>
      <w:r>
        <w:rPr>
          <w:spacing w:val="-2"/>
          <w:vertAlign w:val="baseline"/>
        </w:rPr>
        <w:t> </w:t>
      </w:r>
      <w:r>
        <w:rPr>
          <w:vertAlign w:val="baseline"/>
        </w:rPr>
        <w:t>the</w:t>
      </w:r>
      <w:r>
        <w:rPr>
          <w:spacing w:val="-1"/>
          <w:vertAlign w:val="baseline"/>
        </w:rPr>
        <w:t> </w:t>
      </w:r>
      <w:r>
        <w:rPr>
          <w:vertAlign w:val="baseline"/>
        </w:rPr>
        <w:t>Windsor</w:t>
      </w:r>
      <w:r>
        <w:rPr>
          <w:spacing w:val="-1"/>
          <w:vertAlign w:val="baseline"/>
        </w:rPr>
        <w:t> </w:t>
      </w:r>
      <w:r>
        <w:rPr>
          <w:vertAlign w:val="baseline"/>
        </w:rPr>
        <w:t>Framework</w:t>
      </w:r>
      <w:r>
        <w:rPr>
          <w:spacing w:val="-1"/>
          <w:vertAlign w:val="baseline"/>
        </w:rPr>
        <w:t> </w:t>
      </w:r>
      <w:r>
        <w:rPr>
          <w:vertAlign w:val="baseline"/>
        </w:rPr>
        <w:t>which</w:t>
      </w:r>
      <w:r>
        <w:rPr>
          <w:spacing w:val="-2"/>
          <w:vertAlign w:val="baseline"/>
        </w:rPr>
        <w:t> </w:t>
      </w:r>
      <w:r>
        <w:rPr>
          <w:vertAlign w:val="baseline"/>
        </w:rPr>
        <w:t>provides protections for the European Union law underpinnings of the rights, safeguards and</w:t>
      </w:r>
      <w:r>
        <w:rPr>
          <w:spacing w:val="-7"/>
          <w:vertAlign w:val="baseline"/>
        </w:rPr>
        <w:t> </w:t>
      </w:r>
      <w:r>
        <w:rPr>
          <w:vertAlign w:val="baseline"/>
        </w:rPr>
        <w:t>equality</w:t>
      </w:r>
      <w:r>
        <w:rPr>
          <w:spacing w:val="-6"/>
          <w:vertAlign w:val="baseline"/>
        </w:rPr>
        <w:t> </w:t>
      </w:r>
      <w:r>
        <w:rPr>
          <w:vertAlign w:val="baseline"/>
        </w:rPr>
        <w:t>of</w:t>
      </w:r>
      <w:r>
        <w:rPr>
          <w:spacing w:val="-7"/>
          <w:vertAlign w:val="baseline"/>
        </w:rPr>
        <w:t> </w:t>
      </w:r>
      <w:r>
        <w:rPr>
          <w:vertAlign w:val="baseline"/>
        </w:rPr>
        <w:t>opportunity</w:t>
      </w:r>
      <w:r>
        <w:rPr>
          <w:spacing w:val="-6"/>
          <w:vertAlign w:val="baseline"/>
        </w:rPr>
        <w:t> </w:t>
      </w:r>
      <w:r>
        <w:rPr>
          <w:vertAlign w:val="baseline"/>
        </w:rPr>
        <w:t>provisions</w:t>
      </w:r>
      <w:r>
        <w:rPr>
          <w:spacing w:val="-7"/>
          <w:vertAlign w:val="baseline"/>
        </w:rPr>
        <w:t> </w:t>
      </w:r>
      <w:r>
        <w:rPr>
          <w:vertAlign w:val="baseline"/>
        </w:rPr>
        <w:t>of</w:t>
      </w:r>
      <w:r>
        <w:rPr>
          <w:spacing w:val="-7"/>
          <w:vertAlign w:val="baseline"/>
        </w:rPr>
        <w:t> </w:t>
      </w:r>
      <w:r>
        <w:rPr>
          <w:vertAlign w:val="baseline"/>
        </w:rPr>
        <w:t>the</w:t>
      </w:r>
      <w:r>
        <w:rPr>
          <w:spacing w:val="-6"/>
          <w:vertAlign w:val="baseline"/>
        </w:rPr>
        <w:t> </w:t>
      </w:r>
      <w:r>
        <w:rPr>
          <w:vertAlign w:val="baseline"/>
        </w:rPr>
        <w:t>1998</w:t>
      </w:r>
      <w:r>
        <w:rPr>
          <w:spacing w:val="-6"/>
          <w:vertAlign w:val="baseline"/>
        </w:rPr>
        <w:t> </w:t>
      </w:r>
      <w:r>
        <w:rPr>
          <w:vertAlign w:val="baseline"/>
        </w:rPr>
        <w:t>Agreement.</w:t>
      </w:r>
      <w:r>
        <w:rPr>
          <w:vertAlign w:val="superscript"/>
        </w:rPr>
        <w:t>41</w:t>
      </w:r>
      <w:r>
        <w:rPr>
          <w:spacing w:val="-7"/>
          <w:vertAlign w:val="baseline"/>
        </w:rPr>
        <w:t> </w:t>
      </w:r>
      <w:r>
        <w:rPr>
          <w:vertAlign w:val="baseline"/>
        </w:rPr>
        <w:t>The</w:t>
      </w:r>
      <w:r>
        <w:rPr>
          <w:spacing w:val="-6"/>
          <w:vertAlign w:val="baseline"/>
        </w:rPr>
        <w:t> </w:t>
      </w:r>
      <w:r>
        <w:rPr>
          <w:vertAlign w:val="baseline"/>
        </w:rPr>
        <w:t>importance of Article 2 WF for protecting human rights in areas of politically sensitive policy was</w:t>
      </w:r>
      <w:r>
        <w:rPr>
          <w:spacing w:val="-2"/>
          <w:vertAlign w:val="baseline"/>
        </w:rPr>
        <w:t> </w:t>
      </w:r>
      <w:r>
        <w:rPr>
          <w:vertAlign w:val="baseline"/>
        </w:rPr>
        <w:t>reaffirmed</w:t>
      </w:r>
      <w:r>
        <w:rPr>
          <w:spacing w:val="-2"/>
          <w:vertAlign w:val="baseline"/>
        </w:rPr>
        <w:t> </w:t>
      </w:r>
      <w:r>
        <w:rPr>
          <w:vertAlign w:val="baseline"/>
        </w:rPr>
        <w:t>in</w:t>
      </w:r>
      <w:r>
        <w:rPr>
          <w:spacing w:val="-2"/>
          <w:vertAlign w:val="baseline"/>
        </w:rPr>
        <w:t> </w:t>
      </w:r>
      <w:r>
        <w:rPr>
          <w:vertAlign w:val="baseline"/>
        </w:rPr>
        <w:t>the</w:t>
      </w:r>
      <w:r>
        <w:rPr>
          <w:spacing w:val="-1"/>
          <w:vertAlign w:val="baseline"/>
        </w:rPr>
        <w:t> </w:t>
      </w:r>
      <w:r>
        <w:rPr>
          <w:i/>
          <w:vertAlign w:val="baseline"/>
        </w:rPr>
        <w:t>Illegal</w:t>
      </w:r>
      <w:r>
        <w:rPr>
          <w:i/>
          <w:spacing w:val="-2"/>
          <w:vertAlign w:val="baseline"/>
        </w:rPr>
        <w:t> </w:t>
      </w:r>
      <w:r>
        <w:rPr>
          <w:i/>
          <w:vertAlign w:val="baseline"/>
        </w:rPr>
        <w:t>Migration</w:t>
      </w:r>
      <w:r>
        <w:rPr>
          <w:i/>
          <w:spacing w:val="-2"/>
          <w:vertAlign w:val="baseline"/>
        </w:rPr>
        <w:t> </w:t>
      </w:r>
      <w:r>
        <w:rPr>
          <w:i/>
          <w:vertAlign w:val="baseline"/>
        </w:rPr>
        <w:t>Act</w:t>
      </w:r>
      <w:r>
        <w:rPr>
          <w:i/>
          <w:spacing w:val="-1"/>
          <w:vertAlign w:val="baseline"/>
        </w:rPr>
        <w:t> </w:t>
      </w:r>
      <w:r>
        <w:rPr>
          <w:i/>
          <w:vertAlign w:val="baseline"/>
        </w:rPr>
        <w:t>case</w:t>
      </w:r>
      <w:r>
        <w:rPr>
          <w:i/>
          <w:spacing w:val="-1"/>
          <w:vertAlign w:val="baseline"/>
        </w:rPr>
        <w:t> </w:t>
      </w:r>
      <w:r>
        <w:rPr>
          <w:vertAlign w:val="baseline"/>
        </w:rPr>
        <w:t>where</w:t>
      </w:r>
      <w:r>
        <w:rPr>
          <w:spacing w:val="-1"/>
          <w:vertAlign w:val="baseline"/>
        </w:rPr>
        <w:t> </w:t>
      </w:r>
      <w:r>
        <w:rPr>
          <w:vertAlign w:val="baseline"/>
        </w:rPr>
        <w:t>the</w:t>
      </w:r>
      <w:r>
        <w:rPr>
          <w:spacing w:val="-1"/>
          <w:vertAlign w:val="baseline"/>
        </w:rPr>
        <w:t> </w:t>
      </w:r>
      <w:r>
        <w:rPr>
          <w:vertAlign w:val="baseline"/>
        </w:rPr>
        <w:t>High</w:t>
      </w:r>
      <w:r>
        <w:rPr>
          <w:spacing w:val="-2"/>
          <w:vertAlign w:val="baseline"/>
        </w:rPr>
        <w:t> </w:t>
      </w:r>
      <w:r>
        <w:rPr>
          <w:vertAlign w:val="baseline"/>
        </w:rPr>
        <w:t>Court</w:t>
      </w:r>
      <w:r>
        <w:rPr>
          <w:spacing w:val="-1"/>
          <w:vertAlign w:val="baseline"/>
        </w:rPr>
        <w:t> </w:t>
      </w:r>
      <w:r>
        <w:rPr>
          <w:vertAlign w:val="baseline"/>
        </w:rPr>
        <w:t>disapplied significant portions of the Act.</w:t>
      </w:r>
      <w:r>
        <w:rPr>
          <w:vertAlign w:val="superscript"/>
        </w:rPr>
        <w:t>42</w:t>
      </w:r>
    </w:p>
    <w:p>
      <w:pPr>
        <w:pStyle w:val="BodyText"/>
        <w:rPr>
          <w:sz w:val="6"/>
        </w:rPr>
      </w:pPr>
      <w:r>
        <w:rPr/>
        <mc:AlternateContent>
          <mc:Choice Requires="wps">
            <w:drawing>
              <wp:anchor distT="0" distB="0" distL="0" distR="0" allowOverlap="1" layoutInCell="1" locked="0" behindDoc="1" simplePos="0" relativeHeight="487636480">
                <wp:simplePos x="0" y="0"/>
                <wp:positionH relativeFrom="page">
                  <wp:posOffset>899999</wp:posOffset>
                </wp:positionH>
                <wp:positionV relativeFrom="paragraph">
                  <wp:posOffset>61879</wp:posOffset>
                </wp:positionV>
                <wp:extent cx="6012180" cy="1270"/>
                <wp:effectExtent l="0" t="0" r="0" b="0"/>
                <wp:wrapTopAndBottom/>
                <wp:docPr id="272" name="Graphic 272"/>
                <wp:cNvGraphicFramePr>
                  <a:graphicFrameLocks/>
                </wp:cNvGraphicFramePr>
                <a:graphic>
                  <a:graphicData uri="http://schemas.microsoft.com/office/word/2010/wordprocessingShape">
                    <wps:wsp>
                      <wps:cNvPr id="272" name="Graphic 27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872385pt;width:473.4pt;height:.1pt;mso-position-horizontal-relative:page;mso-position-vertical-relative:paragraph;z-index:-15680000;mso-wrap-distance-left:0;mso-wrap-distance-right:0" id="docshape212" coordorigin="1417,97" coordsize="9468,0" path="m1417,97l10885,97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981"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w:t>
      </w:r>
    </w:p>
    <w:p>
      <w:pPr>
        <w:pStyle w:val="ListParagraph"/>
        <w:numPr>
          <w:ilvl w:val="0"/>
          <w:numId w:val="9"/>
        </w:numPr>
        <w:tabs>
          <w:tab w:pos="1684" w:val="left" w:leader="none"/>
        </w:tabs>
        <w:spacing w:line="240" w:lineRule="auto" w:before="1" w:after="0"/>
        <w:ind w:left="1684" w:right="887" w:hanging="567"/>
        <w:jc w:val="left"/>
        <w:rPr>
          <w:sz w:val="18"/>
        </w:rPr>
      </w:pPr>
      <w:r>
        <w:rPr>
          <w:sz w:val="18"/>
        </w:rPr>
        <w:t>Equality Commission for Northern Ireland, Irish Human Rights and Equality Commission and Northern Ireland Human Rights</w:t>
      </w:r>
      <w:r>
        <w:rPr>
          <w:spacing w:val="-5"/>
          <w:sz w:val="18"/>
        </w:rPr>
        <w:t> </w:t>
      </w:r>
      <w:r>
        <w:rPr>
          <w:sz w:val="18"/>
        </w:rPr>
        <w:t>Commission,</w:t>
      </w:r>
      <w:r>
        <w:rPr>
          <w:spacing w:val="-5"/>
          <w:sz w:val="18"/>
        </w:rPr>
        <w:t> </w:t>
      </w:r>
      <w:r>
        <w:rPr>
          <w:color w:val="1D71B8"/>
          <w:sz w:val="18"/>
          <w:u w:val="single" w:color="1D71B8"/>
        </w:rPr>
        <w:t>Policy</w:t>
      </w:r>
      <w:r>
        <w:rPr>
          <w:color w:val="1D71B8"/>
          <w:spacing w:val="-4"/>
          <w:sz w:val="18"/>
          <w:u w:val="single" w:color="1D71B8"/>
        </w:rPr>
        <w:t> </w:t>
      </w:r>
      <w:r>
        <w:rPr>
          <w:color w:val="1D71B8"/>
          <w:sz w:val="18"/>
          <w:u w:val="single" w:color="1D71B8"/>
        </w:rPr>
        <w:t>Recommendations:</w:t>
      </w:r>
      <w:r>
        <w:rPr>
          <w:color w:val="1D71B8"/>
          <w:spacing w:val="-4"/>
          <w:sz w:val="18"/>
          <w:u w:val="single" w:color="1D71B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5"/>
          <w:sz w:val="18"/>
          <w:u w:val="single" w:color="1D71B8"/>
        </w:rPr>
        <w:t> </w:t>
      </w:r>
      <w:r>
        <w:rPr>
          <w:color w:val="1D71B8"/>
          <w:sz w:val="18"/>
          <w:u w:val="single" w:color="1D71B8"/>
        </w:rPr>
        <w:t>Developments</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Impact</w:t>
      </w:r>
      <w:r>
        <w:rPr>
          <w:color w:val="1D71B8"/>
          <w:sz w:val="18"/>
          <w:u w:val="none"/>
        </w:rPr>
        <w:t> </w:t>
      </w:r>
      <w:r>
        <w:rPr>
          <w:color w:val="1D71B8"/>
          <w:sz w:val="18"/>
          <w:u w:val="single" w:color="1D71B8"/>
        </w:rPr>
        <w:t>of Brexit on the Divergence of Rights and Best Practice on the Island of Ireland</w:t>
      </w:r>
      <w:r>
        <w:rPr>
          <w:color w:val="1D71B8"/>
          <w:sz w:val="18"/>
          <w:u w:val="none"/>
        </w:rPr>
        <w:t> </w:t>
      </w:r>
      <w:r>
        <w:rPr>
          <w:sz w:val="18"/>
          <w:u w:val="none"/>
        </w:rPr>
        <w:t>(ECNI, IHREC and NIHRC, 2023).</w:t>
      </w:r>
    </w:p>
    <w:p>
      <w:pPr>
        <w:pStyle w:val="ListParagraph"/>
        <w:numPr>
          <w:ilvl w:val="0"/>
          <w:numId w:val="9"/>
        </w:numPr>
        <w:tabs>
          <w:tab w:pos="1684" w:val="left" w:leader="none"/>
        </w:tabs>
        <w:spacing w:line="240" w:lineRule="auto" w:before="1" w:after="0"/>
        <w:ind w:left="1684" w:right="0" w:hanging="567"/>
        <w:jc w:val="left"/>
        <w:rPr>
          <w:sz w:val="18"/>
        </w:rPr>
      </w:pPr>
      <w:r>
        <w:rPr>
          <w:color w:val="1D71B8"/>
          <w:sz w:val="18"/>
          <w:u w:val="single" w:color="1D71B8"/>
        </w:rPr>
        <w:t>The</w:t>
      </w:r>
      <w:r>
        <w:rPr>
          <w:color w:val="1D71B8"/>
          <w:spacing w:val="-3"/>
          <w:sz w:val="18"/>
          <w:u w:val="single" w:color="1D71B8"/>
        </w:rPr>
        <w:t> </w:t>
      </w:r>
      <w:r>
        <w:rPr>
          <w:color w:val="1D71B8"/>
          <w:sz w:val="18"/>
          <w:u w:val="single" w:color="1D71B8"/>
        </w:rPr>
        <w:t>Legacy</w:t>
      </w:r>
      <w:r>
        <w:rPr>
          <w:color w:val="1D71B8"/>
          <w:spacing w:val="-2"/>
          <w:sz w:val="18"/>
          <w:u w:val="single" w:color="1D71B8"/>
        </w:rPr>
        <w:t> </w:t>
      </w:r>
      <w:r>
        <w:rPr>
          <w:color w:val="1D71B8"/>
          <w:sz w:val="18"/>
          <w:u w:val="single" w:color="1D71B8"/>
        </w:rPr>
        <w:t>Act</w:t>
      </w:r>
      <w:r>
        <w:rPr>
          <w:color w:val="1D71B8"/>
          <w:spacing w:val="-3"/>
          <w:sz w:val="18"/>
          <w:u w:val="single" w:color="1D71B8"/>
        </w:rPr>
        <w:t> </w:t>
      </w:r>
      <w:r>
        <w:rPr>
          <w:color w:val="1D71B8"/>
          <w:sz w:val="18"/>
          <w:u w:val="single" w:color="1D71B8"/>
        </w:rPr>
        <w:t>cases</w:t>
      </w:r>
      <w:r>
        <w:rPr>
          <w:color w:val="1D71B8"/>
          <w:spacing w:val="-3"/>
          <w:sz w:val="18"/>
          <w:u w:val="single" w:color="1D71B8"/>
        </w:rPr>
        <w:t> </w:t>
      </w:r>
      <w:r>
        <w:rPr>
          <w:color w:val="1D71B8"/>
          <w:sz w:val="18"/>
          <w:u w:val="single" w:color="1D71B8"/>
        </w:rPr>
        <w:t>(Dillon</w:t>
      </w:r>
      <w:r>
        <w:rPr>
          <w:color w:val="1D71B8"/>
          <w:spacing w:val="-2"/>
          <w:sz w:val="18"/>
          <w:u w:val="single" w:color="1D71B8"/>
        </w:rPr>
        <w:t> </w:t>
      </w:r>
      <w:r>
        <w:rPr>
          <w:color w:val="1D71B8"/>
          <w:sz w:val="18"/>
          <w:u w:val="single" w:color="1D71B8"/>
        </w:rPr>
        <w:t>and</w:t>
      </w:r>
      <w:r>
        <w:rPr>
          <w:color w:val="1D71B8"/>
          <w:spacing w:val="-3"/>
          <w:sz w:val="18"/>
          <w:u w:val="single" w:color="1D71B8"/>
        </w:rPr>
        <w:t> </w:t>
      </w:r>
      <w:r>
        <w:rPr>
          <w:color w:val="1D71B8"/>
          <w:sz w:val="18"/>
          <w:u w:val="single" w:color="1D71B8"/>
        </w:rPr>
        <w:t>others)</w:t>
      </w:r>
      <w:r>
        <w:rPr>
          <w:color w:val="1D71B8"/>
          <w:spacing w:val="-3"/>
          <w:sz w:val="18"/>
          <w:u w:val="none"/>
        </w:rPr>
        <w:t> </w:t>
      </w:r>
      <w:r>
        <w:rPr>
          <w:sz w:val="18"/>
          <w:u w:val="none"/>
        </w:rPr>
        <w:t>[2024]</w:t>
      </w:r>
      <w:r>
        <w:rPr>
          <w:spacing w:val="-2"/>
          <w:sz w:val="18"/>
          <w:u w:val="none"/>
        </w:rPr>
        <w:t> </w:t>
      </w:r>
      <w:r>
        <w:rPr>
          <w:sz w:val="18"/>
          <w:u w:val="none"/>
        </w:rPr>
        <w:t>NIKB</w:t>
      </w:r>
      <w:r>
        <w:rPr>
          <w:spacing w:val="-2"/>
          <w:sz w:val="18"/>
          <w:u w:val="none"/>
        </w:rPr>
        <w:t> </w:t>
      </w:r>
      <w:r>
        <w:rPr>
          <w:sz w:val="18"/>
          <w:u w:val="none"/>
        </w:rPr>
        <w:t>11,</w:t>
      </w:r>
      <w:r>
        <w:rPr>
          <w:spacing w:val="-3"/>
          <w:sz w:val="18"/>
          <w:u w:val="none"/>
        </w:rPr>
        <w:t> </w:t>
      </w:r>
      <w:r>
        <w:rPr>
          <w:sz w:val="18"/>
          <w:u w:val="none"/>
        </w:rPr>
        <w:t>(28</w:t>
      </w:r>
      <w:r>
        <w:rPr>
          <w:spacing w:val="-2"/>
          <w:sz w:val="18"/>
          <w:u w:val="none"/>
        </w:rPr>
        <w:t> </w:t>
      </w:r>
      <w:r>
        <w:rPr>
          <w:sz w:val="18"/>
          <w:u w:val="none"/>
        </w:rPr>
        <w:t>February</w:t>
      </w:r>
      <w:r>
        <w:rPr>
          <w:spacing w:val="-2"/>
          <w:sz w:val="18"/>
          <w:u w:val="none"/>
        </w:rPr>
        <w:t> 2024).</w:t>
      </w:r>
    </w:p>
    <w:p>
      <w:pPr>
        <w:pStyle w:val="ListParagraph"/>
        <w:numPr>
          <w:ilvl w:val="0"/>
          <w:numId w:val="9"/>
        </w:numPr>
        <w:tabs>
          <w:tab w:pos="1684" w:val="left" w:leader="none"/>
        </w:tabs>
        <w:spacing w:line="240" w:lineRule="auto" w:before="0" w:after="0"/>
        <w:ind w:left="1684" w:right="951" w:hanging="567"/>
        <w:jc w:val="left"/>
        <w:rPr>
          <w:sz w:val="18"/>
        </w:rPr>
      </w:pPr>
      <w:r>
        <w:rPr>
          <w:color w:val="1D71B8"/>
          <w:sz w:val="18"/>
          <w:u w:val="single" w:color="1D71B8"/>
        </w:rPr>
        <w:t>Belfast</w:t>
      </w:r>
      <w:r>
        <w:rPr>
          <w:color w:val="1D71B8"/>
          <w:spacing w:val="-4"/>
          <w:sz w:val="18"/>
          <w:u w:val="single" w:color="1D71B8"/>
        </w:rPr>
        <w:t> </w:t>
      </w:r>
      <w:r>
        <w:rPr>
          <w:color w:val="1D71B8"/>
          <w:sz w:val="18"/>
          <w:u w:val="single" w:color="1D71B8"/>
        </w:rPr>
        <w:t>Good</w:t>
      </w:r>
      <w:r>
        <w:rPr>
          <w:color w:val="1D71B8"/>
          <w:spacing w:val="-5"/>
          <w:sz w:val="18"/>
          <w:u w:val="single" w:color="1D71B8"/>
        </w:rPr>
        <w:t> </w:t>
      </w:r>
      <w:r>
        <w:rPr>
          <w:color w:val="1D71B8"/>
          <w:sz w:val="18"/>
          <w:u w:val="single" w:color="1D71B8"/>
        </w:rPr>
        <w:t>Friday</w:t>
      </w:r>
      <w:r>
        <w:rPr>
          <w:color w:val="1D71B8"/>
          <w:spacing w:val="-4"/>
          <w:sz w:val="18"/>
          <w:u w:val="single" w:color="1D71B8"/>
        </w:rPr>
        <w:t> </w:t>
      </w:r>
      <w:r>
        <w:rPr>
          <w:color w:val="1D71B8"/>
          <w:sz w:val="18"/>
          <w:u w:val="single" w:color="1D71B8"/>
        </w:rPr>
        <w:t>Agreement</w:t>
      </w:r>
      <w:r>
        <w:rPr>
          <w:color w:val="1D71B8"/>
          <w:spacing w:val="-4"/>
          <w:sz w:val="18"/>
          <w:u w:val="single" w:color="1D71B8"/>
        </w:rPr>
        <w:t> </w:t>
      </w:r>
      <w:r>
        <w:rPr>
          <w:color w:val="1D71B8"/>
          <w:sz w:val="18"/>
          <w:u w:val="single" w:color="1D71B8"/>
        </w:rPr>
        <w:t>1998</w:t>
      </w:r>
      <w:r>
        <w:rPr>
          <w:sz w:val="18"/>
          <w:u w:val="none"/>
        </w:rPr>
        <w:t>,</w:t>
      </w:r>
      <w:r>
        <w:rPr>
          <w:spacing w:val="-4"/>
          <w:sz w:val="18"/>
          <w:u w:val="none"/>
        </w:rPr>
        <w:t> </w:t>
      </w:r>
      <w:r>
        <w:rPr>
          <w:sz w:val="18"/>
          <w:u w:val="none"/>
        </w:rPr>
        <w:t>Agreement</w:t>
      </w:r>
      <w:r>
        <w:rPr>
          <w:spacing w:val="-4"/>
          <w:sz w:val="18"/>
          <w:u w:val="none"/>
        </w:rPr>
        <w:t> </w:t>
      </w:r>
      <w:r>
        <w:rPr>
          <w:sz w:val="18"/>
          <w:u w:val="none"/>
        </w:rPr>
        <w:t>between</w:t>
      </w:r>
      <w:r>
        <w:rPr>
          <w:spacing w:val="-5"/>
          <w:sz w:val="18"/>
          <w:u w:val="none"/>
        </w:rPr>
        <w:t> </w:t>
      </w:r>
      <w:r>
        <w:rPr>
          <w:sz w:val="18"/>
          <w:u w:val="none"/>
        </w:rPr>
        <w:t>the</w:t>
      </w:r>
      <w:r>
        <w:rPr>
          <w:spacing w:val="-4"/>
          <w:sz w:val="18"/>
          <w:u w:val="none"/>
        </w:rPr>
        <w:t> </w:t>
      </w:r>
      <w:r>
        <w:rPr>
          <w:sz w:val="18"/>
          <w:u w:val="none"/>
        </w:rPr>
        <w:t>Government</w:t>
      </w:r>
      <w:r>
        <w:rPr>
          <w:spacing w:val="-4"/>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United</w:t>
      </w:r>
      <w:r>
        <w:rPr>
          <w:spacing w:val="-5"/>
          <w:sz w:val="18"/>
          <w:u w:val="none"/>
        </w:rPr>
        <w:t> </w:t>
      </w:r>
      <w:r>
        <w:rPr>
          <w:sz w:val="18"/>
          <w:u w:val="none"/>
        </w:rPr>
        <w:t>Kingdom</w:t>
      </w:r>
      <w:r>
        <w:rPr>
          <w:spacing w:val="-4"/>
          <w:sz w:val="18"/>
          <w:u w:val="none"/>
        </w:rPr>
        <w:t> </w:t>
      </w:r>
      <w:r>
        <w:rPr>
          <w:sz w:val="18"/>
          <w:u w:val="none"/>
        </w:rPr>
        <w:t>of</w:t>
      </w:r>
      <w:r>
        <w:rPr>
          <w:spacing w:val="-5"/>
          <w:sz w:val="18"/>
          <w:u w:val="none"/>
        </w:rPr>
        <w:t> </w:t>
      </w:r>
      <w:r>
        <w:rPr>
          <w:sz w:val="18"/>
          <w:u w:val="none"/>
        </w:rPr>
        <w:t>Great</w:t>
      </w:r>
      <w:r>
        <w:rPr>
          <w:spacing w:val="-4"/>
          <w:sz w:val="18"/>
          <w:u w:val="none"/>
        </w:rPr>
        <w:t> </w:t>
      </w:r>
      <w:r>
        <w:rPr>
          <w:sz w:val="18"/>
          <w:u w:val="none"/>
        </w:rPr>
        <w:t>Britain</w:t>
      </w:r>
      <w:r>
        <w:rPr>
          <w:spacing w:val="-5"/>
          <w:sz w:val="18"/>
          <w:u w:val="none"/>
        </w:rPr>
        <w:t> </w:t>
      </w:r>
      <w:r>
        <w:rPr>
          <w:sz w:val="18"/>
          <w:u w:val="none"/>
        </w:rPr>
        <w:t>and Northern Ireland and the Government of Ireland, Preamble.</w:t>
      </w:r>
    </w:p>
    <w:p>
      <w:pPr>
        <w:pStyle w:val="ListParagraph"/>
        <w:numPr>
          <w:ilvl w:val="0"/>
          <w:numId w:val="9"/>
        </w:numPr>
        <w:tabs>
          <w:tab w:pos="1684" w:val="left" w:leader="none"/>
        </w:tabs>
        <w:spacing w:line="240" w:lineRule="auto" w:before="1" w:after="0"/>
        <w:ind w:left="1684" w:right="1406" w:hanging="567"/>
        <w:jc w:val="left"/>
        <w:rPr>
          <w:sz w:val="18"/>
        </w:rPr>
      </w:pPr>
      <w:r>
        <w:rPr>
          <w:sz w:val="18"/>
        </w:rPr>
        <w:t>Northern</w:t>
      </w:r>
      <w:r>
        <w:rPr>
          <w:spacing w:val="-6"/>
          <w:sz w:val="18"/>
        </w:rPr>
        <w:t> </w:t>
      </w:r>
      <w:r>
        <w:rPr>
          <w:sz w:val="18"/>
        </w:rPr>
        <w:t>Ireland</w:t>
      </w:r>
      <w:r>
        <w:rPr>
          <w:spacing w:val="-6"/>
          <w:sz w:val="18"/>
        </w:rPr>
        <w:t> </w:t>
      </w:r>
      <w:r>
        <w:rPr>
          <w:sz w:val="18"/>
        </w:rPr>
        <w:t>Human</w:t>
      </w:r>
      <w:r>
        <w:rPr>
          <w:spacing w:val="-6"/>
          <w:sz w:val="18"/>
        </w:rPr>
        <w:t> </w:t>
      </w:r>
      <w:r>
        <w:rPr>
          <w:sz w:val="18"/>
        </w:rPr>
        <w:t>Rights</w:t>
      </w:r>
      <w:r>
        <w:rPr>
          <w:spacing w:val="-6"/>
          <w:sz w:val="18"/>
        </w:rPr>
        <w:t> </w:t>
      </w:r>
      <w:r>
        <w:rPr>
          <w:sz w:val="18"/>
        </w:rPr>
        <w:t>Commission’s</w:t>
      </w:r>
      <w:r>
        <w:rPr>
          <w:spacing w:val="-6"/>
          <w:sz w:val="18"/>
        </w:rPr>
        <w:t> </w:t>
      </w:r>
      <w:r>
        <w:rPr>
          <w:sz w:val="18"/>
        </w:rPr>
        <w:t>Application</w:t>
      </w:r>
      <w:r>
        <w:rPr>
          <w:spacing w:val="-6"/>
          <w:sz w:val="18"/>
        </w:rPr>
        <w:t> </w:t>
      </w:r>
      <w:r>
        <w:rPr>
          <w:sz w:val="18"/>
        </w:rPr>
        <w:t>and</w:t>
      </w:r>
      <w:r>
        <w:rPr>
          <w:spacing w:val="-6"/>
          <w:sz w:val="18"/>
        </w:rPr>
        <w:t> </w:t>
      </w:r>
      <w:r>
        <w:rPr>
          <w:sz w:val="18"/>
        </w:rPr>
        <w:t>JR295’s</w:t>
      </w:r>
      <w:r>
        <w:rPr>
          <w:spacing w:val="-6"/>
          <w:sz w:val="18"/>
        </w:rPr>
        <w:t> </w:t>
      </w:r>
      <w:r>
        <w:rPr>
          <w:sz w:val="18"/>
        </w:rPr>
        <w:t>Application</w:t>
      </w:r>
      <w:r>
        <w:rPr>
          <w:spacing w:val="-6"/>
          <w:sz w:val="18"/>
        </w:rPr>
        <w:t> </w:t>
      </w:r>
      <w:r>
        <w:rPr>
          <w:sz w:val="18"/>
        </w:rPr>
        <w:t>and</w:t>
      </w:r>
      <w:r>
        <w:rPr>
          <w:spacing w:val="-6"/>
          <w:sz w:val="18"/>
        </w:rPr>
        <w:t> </w:t>
      </w:r>
      <w:r>
        <w:rPr>
          <w:sz w:val="18"/>
        </w:rPr>
        <w:t>In</w:t>
      </w:r>
      <w:r>
        <w:rPr>
          <w:spacing w:val="-6"/>
          <w:sz w:val="18"/>
        </w:rPr>
        <w:t> </w:t>
      </w:r>
      <w:r>
        <w:rPr>
          <w:sz w:val="18"/>
        </w:rPr>
        <w:t>the</w:t>
      </w:r>
      <w:r>
        <w:rPr>
          <w:spacing w:val="-5"/>
          <w:sz w:val="18"/>
        </w:rPr>
        <w:t> </w:t>
      </w:r>
      <w:r>
        <w:rPr>
          <w:sz w:val="18"/>
        </w:rPr>
        <w:t>matter</w:t>
      </w:r>
      <w:r>
        <w:rPr>
          <w:spacing w:val="-5"/>
          <w:sz w:val="18"/>
        </w:rPr>
        <w:t> </w:t>
      </w:r>
      <w:r>
        <w:rPr>
          <w:sz w:val="18"/>
        </w:rPr>
        <w:t>of</w:t>
      </w:r>
      <w:r>
        <w:rPr>
          <w:spacing w:val="-6"/>
          <w:sz w:val="18"/>
        </w:rPr>
        <w:t> </w:t>
      </w:r>
      <w:r>
        <w:rPr>
          <w:sz w:val="18"/>
        </w:rPr>
        <w:t>The</w:t>
      </w:r>
      <w:r>
        <w:rPr>
          <w:spacing w:val="-5"/>
          <w:sz w:val="18"/>
        </w:rPr>
        <w:t> </w:t>
      </w:r>
      <w:r>
        <w:rPr>
          <w:sz w:val="18"/>
        </w:rPr>
        <w:t>Illegal Migration Act 2023; [2024] NIKB 35, (13 May 2024) (</w:t>
      </w:r>
      <w:r>
        <w:rPr>
          <w:color w:val="1D71B8"/>
          <w:sz w:val="18"/>
          <w:u w:val="single" w:color="1D71B8"/>
        </w:rPr>
        <w:t>Illegal Migration Act case</w:t>
      </w:r>
      <w:r>
        <w:rPr>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55200">
                <wp:simplePos x="0" y="0"/>
                <wp:positionH relativeFrom="page">
                  <wp:posOffset>0</wp:posOffset>
                </wp:positionH>
                <wp:positionV relativeFrom="page">
                  <wp:posOffset>0</wp:posOffset>
                </wp:positionV>
                <wp:extent cx="7560309" cy="115506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7560309" cy="1155065"/>
                          <a:chExt cx="7560309" cy="1155065"/>
                        </a:xfrm>
                      </wpg:grpSpPr>
                      <wps:wsp>
                        <wps:cNvPr id="274" name="Graphic 274"/>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275" name="Graphic 275"/>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61280" id="docshapegroup213" coordorigin="0,0" coordsize="11906,1819">
                <v:shape style="position:absolute;left:0;top:0;width:11906;height:1819" id="docshape214"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1.2 Background" w:id="27"/>
      <w:bookmarkEnd w:id="27"/>
      <w:r>
        <w:rPr/>
      </w:r>
      <w:bookmarkStart w:name="1.2.1 The 1998 Agreement" w:id="28"/>
      <w:bookmarkEnd w:id="28"/>
      <w:r>
        <w:rPr/>
      </w:r>
      <w:bookmarkStart w:name="_bookmark11" w:id="29"/>
      <w:bookmarkEnd w:id="29"/>
      <w:r>
        <w:rPr/>
      </w:r>
      <w:r>
        <w:rPr>
          <w:b/>
          <w:color w:val="FFFFFF"/>
          <w:spacing w:val="-5"/>
          <w:position w:val="-1"/>
          <w:sz w:val="28"/>
        </w:rPr>
        <w:t>18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203"/>
      </w:pPr>
      <w:r>
        <w:rPr/>
        <w:t>This current report considers the implications of Article 2 WF for Northern Ireland and issues of divergence in the protections of rights and equality on the island of Ireland,</w:t>
      </w:r>
      <w:r>
        <w:rPr>
          <w:spacing w:val="-5"/>
        </w:rPr>
        <w:t> </w:t>
      </w:r>
      <w:r>
        <w:rPr/>
        <w:t>since</w:t>
      </w:r>
      <w:r>
        <w:rPr>
          <w:spacing w:val="-5"/>
        </w:rPr>
        <w:t> </w:t>
      </w:r>
      <w:r>
        <w:rPr/>
        <w:t>January</w:t>
      </w:r>
      <w:r>
        <w:rPr>
          <w:spacing w:val="-5"/>
        </w:rPr>
        <w:t> </w:t>
      </w:r>
      <w:r>
        <w:rPr/>
        <w:t>2022,</w:t>
      </w:r>
      <w:r>
        <w:rPr>
          <w:spacing w:val="-5"/>
        </w:rPr>
        <w:t> </w:t>
      </w:r>
      <w:r>
        <w:rPr/>
        <w:t>and</w:t>
      </w:r>
      <w:r>
        <w:rPr>
          <w:spacing w:val="-6"/>
        </w:rPr>
        <w:t> </w:t>
      </w:r>
      <w:r>
        <w:rPr/>
        <w:t>aims</w:t>
      </w:r>
      <w:r>
        <w:rPr>
          <w:spacing w:val="-6"/>
        </w:rPr>
        <w:t> </w:t>
      </w:r>
      <w:r>
        <w:rPr/>
        <w:t>to</w:t>
      </w:r>
      <w:r>
        <w:rPr>
          <w:spacing w:val="-6"/>
        </w:rPr>
        <w:t> </w:t>
      </w:r>
      <w:r>
        <w:rPr/>
        <w:t>update</w:t>
      </w:r>
      <w:r>
        <w:rPr>
          <w:spacing w:val="-5"/>
        </w:rPr>
        <w:t> </w:t>
      </w:r>
      <w:r>
        <w:rPr/>
        <w:t>the</w:t>
      </w:r>
      <w:r>
        <w:rPr>
          <w:spacing w:val="-5"/>
        </w:rPr>
        <w:t> </w:t>
      </w:r>
      <w:r>
        <w:rPr/>
        <w:t>initial</w:t>
      </w:r>
      <w:r>
        <w:rPr>
          <w:spacing w:val="-6"/>
        </w:rPr>
        <w:t> </w:t>
      </w:r>
      <w:r>
        <w:rPr/>
        <w:t>divergence</w:t>
      </w:r>
      <w:r>
        <w:rPr>
          <w:spacing w:val="-5"/>
        </w:rPr>
        <w:t> </w:t>
      </w:r>
      <w:r>
        <w:rPr/>
        <w:t>report</w:t>
      </w:r>
      <w:r>
        <w:rPr>
          <w:spacing w:val="-5"/>
        </w:rPr>
        <w:t> </w:t>
      </w:r>
      <w:r>
        <w:rPr/>
        <w:t>which analysed the impact, and/or potential impact, of Brexit as regards the divergence of equality and human rights protections and EU best practice on the island of Ireland.</w:t>
      </w:r>
      <w:r>
        <w:rPr>
          <w:spacing w:val="-5"/>
        </w:rPr>
        <w:t> </w:t>
      </w:r>
      <w:r>
        <w:rPr/>
        <w:t>It</w:t>
      </w:r>
      <w:r>
        <w:rPr>
          <w:spacing w:val="-4"/>
        </w:rPr>
        <w:t> </w:t>
      </w:r>
      <w:r>
        <w:rPr/>
        <w:t>is</w:t>
      </w:r>
      <w:r>
        <w:rPr>
          <w:spacing w:val="-5"/>
        </w:rPr>
        <w:t> </w:t>
      </w:r>
      <w:r>
        <w:rPr/>
        <w:t>based</w:t>
      </w:r>
      <w:r>
        <w:rPr>
          <w:spacing w:val="-5"/>
        </w:rPr>
        <w:t> </w:t>
      </w:r>
      <w:r>
        <w:rPr/>
        <w:t>on</w:t>
      </w:r>
      <w:r>
        <w:rPr>
          <w:spacing w:val="-5"/>
        </w:rPr>
        <w:t> </w:t>
      </w:r>
      <w:r>
        <w:rPr/>
        <w:t>a</w:t>
      </w:r>
      <w:r>
        <w:rPr>
          <w:spacing w:val="-5"/>
        </w:rPr>
        <w:t> </w:t>
      </w:r>
      <w:r>
        <w:rPr/>
        <w:t>mapping</w:t>
      </w:r>
      <w:r>
        <w:rPr>
          <w:spacing w:val="-4"/>
        </w:rPr>
        <w:t> </w:t>
      </w:r>
      <w:r>
        <w:rPr/>
        <w:t>exercise</w:t>
      </w:r>
      <w:r>
        <w:rPr>
          <w:spacing w:val="-4"/>
        </w:rPr>
        <w:t> </w:t>
      </w:r>
      <w:r>
        <w:rPr/>
        <w:t>covering</w:t>
      </w:r>
      <w:r>
        <w:rPr>
          <w:spacing w:val="-4"/>
        </w:rPr>
        <w:t> </w:t>
      </w:r>
      <w:r>
        <w:rPr/>
        <w:t>the</w:t>
      </w:r>
      <w:r>
        <w:rPr>
          <w:spacing w:val="-4"/>
        </w:rPr>
        <w:t> </w:t>
      </w:r>
      <w:r>
        <w:rPr/>
        <w:t>period</w:t>
      </w:r>
      <w:r>
        <w:rPr>
          <w:spacing w:val="-5"/>
        </w:rPr>
        <w:t> </w:t>
      </w:r>
      <w:r>
        <w:rPr/>
        <w:t>1</w:t>
      </w:r>
      <w:r>
        <w:rPr>
          <w:spacing w:val="-4"/>
        </w:rPr>
        <w:t> </w:t>
      </w:r>
      <w:r>
        <w:rPr/>
        <w:t>January</w:t>
      </w:r>
      <w:r>
        <w:rPr>
          <w:spacing w:val="-4"/>
        </w:rPr>
        <w:t> </w:t>
      </w:r>
      <w:r>
        <w:rPr/>
        <w:t>2022</w:t>
      </w:r>
      <w:r>
        <w:rPr>
          <w:spacing w:val="-4"/>
        </w:rPr>
        <w:t> </w:t>
      </w:r>
      <w:r>
        <w:rPr/>
        <w:t>to</w:t>
      </w:r>
      <w:r>
        <w:rPr>
          <w:spacing w:val="-5"/>
        </w:rPr>
        <w:t> </w:t>
      </w:r>
      <w:r>
        <w:rPr/>
        <w:t>31 August</w:t>
      </w:r>
      <w:r>
        <w:rPr>
          <w:spacing w:val="-3"/>
        </w:rPr>
        <w:t> </w:t>
      </w:r>
      <w:r>
        <w:rPr/>
        <w:t>2023</w:t>
      </w:r>
      <w:r>
        <w:rPr>
          <w:spacing w:val="-3"/>
        </w:rPr>
        <w:t> </w:t>
      </w:r>
      <w:r>
        <w:rPr/>
        <w:t>but</w:t>
      </w:r>
      <w:r>
        <w:rPr>
          <w:spacing w:val="-3"/>
        </w:rPr>
        <w:t> </w:t>
      </w:r>
      <w:r>
        <w:rPr/>
        <w:t>has</w:t>
      </w:r>
      <w:r>
        <w:rPr>
          <w:spacing w:val="-4"/>
        </w:rPr>
        <w:t> </w:t>
      </w:r>
      <w:r>
        <w:rPr/>
        <w:t>been</w:t>
      </w:r>
      <w:r>
        <w:rPr>
          <w:spacing w:val="-4"/>
        </w:rPr>
        <w:t> </w:t>
      </w:r>
      <w:r>
        <w:rPr/>
        <w:t>updated</w:t>
      </w:r>
      <w:r>
        <w:rPr>
          <w:spacing w:val="-4"/>
        </w:rPr>
        <w:t> </w:t>
      </w:r>
      <w:r>
        <w:rPr/>
        <w:t>to</w:t>
      </w:r>
      <w:r>
        <w:rPr>
          <w:spacing w:val="-4"/>
        </w:rPr>
        <w:t> </w:t>
      </w:r>
      <w:r>
        <w:rPr/>
        <w:t>include</w:t>
      </w:r>
      <w:r>
        <w:rPr>
          <w:spacing w:val="-3"/>
        </w:rPr>
        <w:t> </w:t>
      </w:r>
      <w:r>
        <w:rPr/>
        <w:t>some</w:t>
      </w:r>
      <w:r>
        <w:rPr>
          <w:spacing w:val="-3"/>
        </w:rPr>
        <w:t> </w:t>
      </w:r>
      <w:r>
        <w:rPr/>
        <w:t>important</w:t>
      </w:r>
      <w:r>
        <w:rPr>
          <w:spacing w:val="-3"/>
        </w:rPr>
        <w:t> </w:t>
      </w:r>
      <w:r>
        <w:rPr/>
        <w:t>developments</w:t>
      </w:r>
      <w:r>
        <w:rPr>
          <w:spacing w:val="-4"/>
        </w:rPr>
        <w:t> </w:t>
      </w:r>
      <w:r>
        <w:rPr/>
        <w:t>after 31 August 2023.</w:t>
      </w:r>
    </w:p>
    <w:p>
      <w:pPr>
        <w:pStyle w:val="Heading2"/>
        <w:numPr>
          <w:ilvl w:val="1"/>
          <w:numId w:val="10"/>
        </w:numPr>
        <w:tabs>
          <w:tab w:pos="1202" w:val="left" w:leader="none"/>
        </w:tabs>
        <w:spacing w:line="240" w:lineRule="auto" w:before="291" w:after="0"/>
        <w:ind w:left="1202" w:right="0" w:hanging="482"/>
        <w:jc w:val="left"/>
      </w:pPr>
      <w:r>
        <w:rPr>
          <w:color w:val="004A93"/>
          <w:spacing w:val="-2"/>
        </w:rPr>
        <w:t>Background</w:t>
      </w:r>
    </w:p>
    <w:p>
      <w:pPr>
        <w:pStyle w:val="BodyText"/>
        <w:spacing w:before="9"/>
        <w:rPr>
          <w:b/>
          <w:sz w:val="5"/>
        </w:rPr>
      </w:pPr>
      <w:r>
        <w:rPr/>
        <mc:AlternateContent>
          <mc:Choice Requires="wps">
            <w:drawing>
              <wp:anchor distT="0" distB="0" distL="0" distR="0" allowOverlap="1" layoutInCell="1" locked="0" behindDoc="1" simplePos="0" relativeHeight="487637504">
                <wp:simplePos x="0" y="0"/>
                <wp:positionH relativeFrom="page">
                  <wp:posOffset>647999</wp:posOffset>
                </wp:positionH>
                <wp:positionV relativeFrom="paragraph">
                  <wp:posOffset>60261</wp:posOffset>
                </wp:positionV>
                <wp:extent cx="6012180" cy="1270"/>
                <wp:effectExtent l="0" t="0" r="0" b="0"/>
                <wp:wrapTopAndBottom/>
                <wp:docPr id="276" name="Graphic 276"/>
                <wp:cNvGraphicFramePr>
                  <a:graphicFrameLocks/>
                </wp:cNvGraphicFramePr>
                <a:graphic>
                  <a:graphicData uri="http://schemas.microsoft.com/office/word/2010/wordprocessingShape">
                    <wps:wsp>
                      <wps:cNvPr id="276" name="Graphic 276"/>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744994pt;width:473.4pt;height:.1pt;mso-position-horizontal-relative:page;mso-position-vertical-relative:paragraph;z-index:-15678976;mso-wrap-distance-left:0;mso-wrap-distance-right:0" id="docshape215" coordorigin="1020,95" coordsize="9468,0" path="m1020,95l10488,95e" filled="false" stroked="true" strokeweight="1pt" strokecolor="#36a9e1">
                <v:path arrowok="t"/>
                <v:stroke dashstyle="solid"/>
                <w10:wrap type="topAndBottom"/>
              </v:shape>
            </w:pict>
          </mc:Fallback>
        </mc:AlternateContent>
      </w:r>
    </w:p>
    <w:p>
      <w:pPr>
        <w:pStyle w:val="Heading3"/>
        <w:numPr>
          <w:ilvl w:val="2"/>
          <w:numId w:val="10"/>
        </w:numPr>
        <w:tabs>
          <w:tab w:pos="1358" w:val="left" w:leader="none"/>
        </w:tabs>
        <w:spacing w:line="336" w:lineRule="exact" w:before="223" w:after="0"/>
        <w:ind w:left="1358" w:right="0" w:hanging="638"/>
        <w:jc w:val="left"/>
      </w:pPr>
      <w:r>
        <w:rPr>
          <w:color w:val="004A93"/>
        </w:rPr>
        <w:t>The</w:t>
      </w:r>
      <w:r>
        <w:rPr>
          <w:color w:val="004A93"/>
          <w:spacing w:val="-2"/>
        </w:rPr>
        <w:t> </w:t>
      </w:r>
      <w:r>
        <w:rPr>
          <w:color w:val="004A93"/>
        </w:rPr>
        <w:t>1998</w:t>
      </w:r>
      <w:r>
        <w:rPr>
          <w:color w:val="004A93"/>
          <w:spacing w:val="-1"/>
        </w:rPr>
        <w:t> </w:t>
      </w:r>
      <w:r>
        <w:rPr>
          <w:color w:val="004A93"/>
          <w:spacing w:val="-2"/>
        </w:rPr>
        <w:t>Agreement</w:t>
      </w:r>
    </w:p>
    <w:p>
      <w:pPr>
        <w:pStyle w:val="BodyText"/>
        <w:spacing w:line="232" w:lineRule="auto" w:before="2"/>
        <w:ind w:left="720" w:right="1493"/>
      </w:pPr>
      <w:r>
        <w:rPr/>
        <w:t>The</w:t>
      </w:r>
      <w:r>
        <w:rPr>
          <w:spacing w:val="-8"/>
        </w:rPr>
        <w:t> </w:t>
      </w:r>
      <w:r>
        <w:rPr/>
        <w:t>1998</w:t>
      </w:r>
      <w:r>
        <w:rPr>
          <w:spacing w:val="-8"/>
        </w:rPr>
        <w:t> </w:t>
      </w:r>
      <w:r>
        <w:rPr/>
        <w:t>Belfast</w:t>
      </w:r>
      <w:r>
        <w:rPr>
          <w:spacing w:val="-8"/>
        </w:rPr>
        <w:t> </w:t>
      </w:r>
      <w:r>
        <w:rPr/>
        <w:t>or</w:t>
      </w:r>
      <w:r>
        <w:rPr>
          <w:spacing w:val="-8"/>
        </w:rPr>
        <w:t> </w:t>
      </w:r>
      <w:r>
        <w:rPr/>
        <w:t>Good</w:t>
      </w:r>
      <w:r>
        <w:rPr>
          <w:spacing w:val="-9"/>
        </w:rPr>
        <w:t> </w:t>
      </w:r>
      <w:r>
        <w:rPr/>
        <w:t>Friday</w:t>
      </w:r>
      <w:r>
        <w:rPr>
          <w:spacing w:val="-8"/>
        </w:rPr>
        <w:t> </w:t>
      </w:r>
      <w:r>
        <w:rPr/>
        <w:t>Agreement</w:t>
      </w:r>
      <w:r>
        <w:rPr>
          <w:spacing w:val="-8"/>
        </w:rPr>
        <w:t> </w:t>
      </w:r>
      <w:r>
        <w:rPr/>
        <w:t>(1998</w:t>
      </w:r>
      <w:r>
        <w:rPr>
          <w:spacing w:val="-8"/>
        </w:rPr>
        <w:t> </w:t>
      </w:r>
      <w:r>
        <w:rPr/>
        <w:t>Agreement</w:t>
      </w:r>
      <w:r>
        <w:rPr>
          <w:spacing w:val="-8"/>
        </w:rPr>
        <w:t> </w:t>
      </w:r>
      <w:r>
        <w:rPr/>
        <w:t>or</w:t>
      </w:r>
      <w:r>
        <w:rPr>
          <w:spacing w:val="-8"/>
        </w:rPr>
        <w:t> </w:t>
      </w:r>
      <w:r>
        <w:rPr/>
        <w:t>BGFA)</w:t>
      </w:r>
      <w:r>
        <w:rPr>
          <w:spacing w:val="-9"/>
        </w:rPr>
        <w:t> </w:t>
      </w:r>
      <w:r>
        <w:rPr/>
        <w:t>contains extensive provisions on rights and equality especially in the section on Rights, Safeguards and Equality of Opportunity. The BGFA includes a ‘commitment to the mutual respect, the civil rights and religious liberties of everyone in the</w:t>
      </w:r>
    </w:p>
    <w:p>
      <w:pPr>
        <w:pStyle w:val="BodyText"/>
        <w:spacing w:line="232" w:lineRule="auto"/>
        <w:ind w:left="720" w:right="1250"/>
      </w:pPr>
      <w:r>
        <w:rPr/>
        <w:t>community’,</w:t>
      </w:r>
      <w:r>
        <w:rPr>
          <w:spacing w:val="-4"/>
        </w:rPr>
        <w:t> </w:t>
      </w:r>
      <w:r>
        <w:rPr/>
        <w:t>and</w:t>
      </w:r>
      <w:r>
        <w:rPr>
          <w:spacing w:val="-5"/>
        </w:rPr>
        <w:t> </w:t>
      </w:r>
      <w:r>
        <w:rPr/>
        <w:t>a</w:t>
      </w:r>
      <w:r>
        <w:rPr>
          <w:spacing w:val="-5"/>
        </w:rPr>
        <w:t> </w:t>
      </w:r>
      <w:r>
        <w:rPr/>
        <w:t>list</w:t>
      </w:r>
      <w:r>
        <w:rPr>
          <w:spacing w:val="-4"/>
        </w:rPr>
        <w:t> </w:t>
      </w:r>
      <w:r>
        <w:rPr/>
        <w:t>of</w:t>
      </w:r>
      <w:r>
        <w:rPr>
          <w:spacing w:val="-5"/>
        </w:rPr>
        <w:t> </w:t>
      </w:r>
      <w:r>
        <w:rPr/>
        <w:t>some</w:t>
      </w:r>
      <w:r>
        <w:rPr>
          <w:spacing w:val="-4"/>
        </w:rPr>
        <w:t> </w:t>
      </w:r>
      <w:r>
        <w:rPr/>
        <w:t>rights</w:t>
      </w:r>
      <w:r>
        <w:rPr>
          <w:spacing w:val="-5"/>
        </w:rPr>
        <w:t> </w:t>
      </w:r>
      <w:r>
        <w:rPr/>
        <w:t>affirmed</w:t>
      </w:r>
      <w:r>
        <w:rPr>
          <w:spacing w:val="-5"/>
        </w:rPr>
        <w:t> </w:t>
      </w:r>
      <w:r>
        <w:rPr/>
        <w:t>‘in</w:t>
      </w:r>
      <w:r>
        <w:rPr>
          <w:spacing w:val="-5"/>
        </w:rPr>
        <w:t> </w:t>
      </w:r>
      <w:r>
        <w:rPr/>
        <w:t>particular’;</w:t>
      </w:r>
      <w:r>
        <w:rPr>
          <w:spacing w:val="-4"/>
        </w:rPr>
        <w:t> </w:t>
      </w:r>
      <w:r>
        <w:rPr/>
        <w:t>the</w:t>
      </w:r>
      <w:r>
        <w:rPr>
          <w:spacing w:val="-4"/>
        </w:rPr>
        <w:t> </w:t>
      </w:r>
      <w:r>
        <w:rPr/>
        <w:t>use</w:t>
      </w:r>
      <w:r>
        <w:rPr>
          <w:spacing w:val="-4"/>
        </w:rPr>
        <w:t> </w:t>
      </w:r>
      <w:r>
        <w:rPr/>
        <w:t>of</w:t>
      </w:r>
      <w:r>
        <w:rPr>
          <w:spacing w:val="-5"/>
        </w:rPr>
        <w:t> </w:t>
      </w:r>
      <w:r>
        <w:rPr/>
        <w:t>the</w:t>
      </w:r>
      <w:r>
        <w:rPr>
          <w:spacing w:val="-4"/>
        </w:rPr>
        <w:t> </w:t>
      </w:r>
      <w:r>
        <w:rPr/>
        <w:t>phrase ‘in particular’ indicates the list of rights is non-exhaustive.</w:t>
      </w:r>
      <w:r>
        <w:rPr>
          <w:vertAlign w:val="superscript"/>
        </w:rPr>
        <w:t>43</w:t>
      </w:r>
      <w:r>
        <w:rPr>
          <w:vertAlign w:val="baseline"/>
        </w:rPr>
        <w:t> The international treaty between the two states (UK and Ireland) affirms the states’ commitment</w:t>
      </w:r>
    </w:p>
    <w:p>
      <w:pPr>
        <w:pStyle w:val="BodyText"/>
        <w:spacing w:line="232" w:lineRule="auto"/>
        <w:ind w:left="720" w:right="1250"/>
      </w:pPr>
      <w:r>
        <w:rPr/>
        <w:t>‘to the protection of civil, political, social, economic and cultural rights in their respective</w:t>
      </w:r>
      <w:r>
        <w:rPr>
          <w:spacing w:val="-10"/>
        </w:rPr>
        <w:t> </w:t>
      </w:r>
      <w:r>
        <w:rPr/>
        <w:t>jurisdictions’.</w:t>
      </w:r>
      <w:r>
        <w:rPr>
          <w:vertAlign w:val="superscript"/>
        </w:rPr>
        <w:t>44</w:t>
      </w:r>
      <w:r>
        <w:rPr>
          <w:spacing w:val="-11"/>
          <w:vertAlign w:val="baseline"/>
        </w:rPr>
        <w:t> </w:t>
      </w:r>
      <w:r>
        <w:rPr>
          <w:vertAlign w:val="baseline"/>
        </w:rPr>
        <w:t>This</w:t>
      </w:r>
      <w:r>
        <w:rPr>
          <w:spacing w:val="-11"/>
          <w:vertAlign w:val="baseline"/>
        </w:rPr>
        <w:t> </w:t>
      </w:r>
      <w:r>
        <w:rPr>
          <w:vertAlign w:val="baseline"/>
        </w:rPr>
        <w:t>is</w:t>
      </w:r>
      <w:r>
        <w:rPr>
          <w:spacing w:val="-11"/>
          <w:vertAlign w:val="baseline"/>
        </w:rPr>
        <w:t> </w:t>
      </w:r>
      <w:r>
        <w:rPr>
          <w:vertAlign w:val="baseline"/>
        </w:rPr>
        <w:t>a</w:t>
      </w:r>
      <w:r>
        <w:rPr>
          <w:spacing w:val="-11"/>
          <w:vertAlign w:val="baseline"/>
        </w:rPr>
        <w:t> </w:t>
      </w:r>
      <w:r>
        <w:rPr>
          <w:vertAlign w:val="baseline"/>
        </w:rPr>
        <w:t>reference</w:t>
      </w:r>
      <w:r>
        <w:rPr>
          <w:spacing w:val="-10"/>
          <w:vertAlign w:val="baseline"/>
        </w:rPr>
        <w:t> </w:t>
      </w:r>
      <w:r>
        <w:rPr>
          <w:vertAlign w:val="baseline"/>
        </w:rPr>
        <w:t>to</w:t>
      </w:r>
      <w:r>
        <w:rPr>
          <w:spacing w:val="-11"/>
          <w:vertAlign w:val="baseline"/>
        </w:rPr>
        <w:t> </w:t>
      </w:r>
      <w:r>
        <w:rPr>
          <w:vertAlign w:val="baseline"/>
        </w:rPr>
        <w:t>the</w:t>
      </w:r>
      <w:r>
        <w:rPr>
          <w:spacing w:val="-10"/>
          <w:vertAlign w:val="baseline"/>
        </w:rPr>
        <w:t> </w:t>
      </w:r>
      <w:r>
        <w:rPr>
          <w:vertAlign w:val="baseline"/>
        </w:rPr>
        <w:t>full</w:t>
      </w:r>
      <w:r>
        <w:rPr>
          <w:spacing w:val="-11"/>
          <w:vertAlign w:val="baseline"/>
        </w:rPr>
        <w:t> </w:t>
      </w:r>
      <w:r>
        <w:rPr>
          <w:vertAlign w:val="baseline"/>
        </w:rPr>
        <w:t>gamut</w:t>
      </w:r>
      <w:r>
        <w:rPr>
          <w:spacing w:val="-10"/>
          <w:vertAlign w:val="baseline"/>
        </w:rPr>
        <w:t> </w:t>
      </w:r>
      <w:r>
        <w:rPr>
          <w:vertAlign w:val="baseline"/>
        </w:rPr>
        <w:t>of</w:t>
      </w:r>
      <w:r>
        <w:rPr>
          <w:spacing w:val="-11"/>
          <w:vertAlign w:val="baseline"/>
        </w:rPr>
        <w:t> </w:t>
      </w:r>
      <w:r>
        <w:rPr>
          <w:vertAlign w:val="baseline"/>
        </w:rPr>
        <w:t>rights</w:t>
      </w:r>
      <w:r>
        <w:rPr>
          <w:spacing w:val="-11"/>
          <w:vertAlign w:val="baseline"/>
        </w:rPr>
        <w:t> </w:t>
      </w:r>
      <w:r>
        <w:rPr>
          <w:vertAlign w:val="baseline"/>
        </w:rPr>
        <w:t>recognised in international human rights law.</w:t>
      </w:r>
    </w:p>
    <w:p>
      <w:pPr>
        <w:pStyle w:val="BodyText"/>
        <w:spacing w:line="232" w:lineRule="auto" w:before="268"/>
        <w:ind w:left="720" w:right="1404"/>
      </w:pPr>
      <w:r>
        <w:rPr/>
        <w:t>In the 1998 Agreement, the UK undertakes to implement certain protections including incorporation of the European Convention on Human Rights (ECHR), the</w:t>
      </w:r>
      <w:r>
        <w:rPr>
          <w:spacing w:val="-5"/>
        </w:rPr>
        <w:t> </w:t>
      </w:r>
      <w:r>
        <w:rPr/>
        <w:t>adoption</w:t>
      </w:r>
      <w:r>
        <w:rPr>
          <w:spacing w:val="-6"/>
        </w:rPr>
        <w:t> </w:t>
      </w:r>
      <w:r>
        <w:rPr/>
        <w:t>of</w:t>
      </w:r>
      <w:r>
        <w:rPr>
          <w:spacing w:val="-6"/>
        </w:rPr>
        <w:t> </w:t>
      </w:r>
      <w:r>
        <w:rPr/>
        <w:t>an</w:t>
      </w:r>
      <w:r>
        <w:rPr>
          <w:spacing w:val="-6"/>
        </w:rPr>
        <w:t> </w:t>
      </w:r>
      <w:r>
        <w:rPr/>
        <w:t>equality</w:t>
      </w:r>
      <w:r>
        <w:rPr>
          <w:spacing w:val="-5"/>
        </w:rPr>
        <w:t> </w:t>
      </w:r>
      <w:r>
        <w:rPr/>
        <w:t>mainstreaming</w:t>
      </w:r>
      <w:r>
        <w:rPr>
          <w:spacing w:val="-5"/>
        </w:rPr>
        <w:t> </w:t>
      </w:r>
      <w:r>
        <w:rPr/>
        <w:t>duty,</w:t>
      </w:r>
      <w:r>
        <w:rPr>
          <w:spacing w:val="-5"/>
        </w:rPr>
        <w:t> </w:t>
      </w:r>
      <w:r>
        <w:rPr/>
        <w:t>work</w:t>
      </w:r>
      <w:r>
        <w:rPr>
          <w:spacing w:val="-5"/>
        </w:rPr>
        <w:t> </w:t>
      </w:r>
      <w:r>
        <w:rPr/>
        <w:t>on</w:t>
      </w:r>
      <w:r>
        <w:rPr>
          <w:spacing w:val="-6"/>
        </w:rPr>
        <w:t> </w:t>
      </w:r>
      <w:r>
        <w:rPr/>
        <w:t>a</w:t>
      </w:r>
      <w:r>
        <w:rPr>
          <w:spacing w:val="-6"/>
        </w:rPr>
        <w:t> </w:t>
      </w:r>
      <w:r>
        <w:rPr/>
        <w:t>Bill</w:t>
      </w:r>
      <w:r>
        <w:rPr>
          <w:spacing w:val="-6"/>
        </w:rPr>
        <w:t> </w:t>
      </w:r>
      <w:r>
        <w:rPr/>
        <w:t>of</w:t>
      </w:r>
      <w:r>
        <w:rPr>
          <w:spacing w:val="-6"/>
        </w:rPr>
        <w:t> </w:t>
      </w:r>
      <w:r>
        <w:rPr/>
        <w:t>Rights,</w:t>
      </w:r>
      <w:r>
        <w:rPr>
          <w:spacing w:val="-5"/>
        </w:rPr>
        <w:t> </w:t>
      </w:r>
      <w:r>
        <w:rPr/>
        <w:t>and</w:t>
      </w:r>
      <w:r>
        <w:rPr>
          <w:spacing w:val="-6"/>
        </w:rPr>
        <w:t> </w:t>
      </w:r>
      <w:r>
        <w:rPr/>
        <w:t>the creation of rights-based institutions such as the NIHRC and ECNI.</w:t>
      </w:r>
    </w:p>
    <w:p>
      <w:pPr>
        <w:pStyle w:val="BodyText"/>
        <w:spacing w:line="232" w:lineRule="auto" w:before="278"/>
        <w:ind w:left="720" w:right="1203"/>
      </w:pPr>
      <w:r>
        <w:rPr/>
        <w:t>Ireland also promises to strengthen the protection of human rights in its jurisdiction and especially to bring forward measures to ‘ensure at least an equivalent</w:t>
      </w:r>
      <w:r>
        <w:rPr>
          <w:spacing w:val="-9"/>
        </w:rPr>
        <w:t> </w:t>
      </w:r>
      <w:r>
        <w:rPr/>
        <w:t>level</w:t>
      </w:r>
      <w:r>
        <w:rPr>
          <w:spacing w:val="-9"/>
        </w:rPr>
        <w:t> </w:t>
      </w:r>
      <w:r>
        <w:rPr/>
        <w:t>of</w:t>
      </w:r>
      <w:r>
        <w:rPr>
          <w:spacing w:val="-9"/>
        </w:rPr>
        <w:t> </w:t>
      </w:r>
      <w:r>
        <w:rPr/>
        <w:t>protection</w:t>
      </w:r>
      <w:r>
        <w:rPr>
          <w:spacing w:val="-9"/>
        </w:rPr>
        <w:t> </w:t>
      </w:r>
      <w:r>
        <w:rPr/>
        <w:t>of</w:t>
      </w:r>
      <w:r>
        <w:rPr>
          <w:spacing w:val="-9"/>
        </w:rPr>
        <w:t> </w:t>
      </w:r>
      <w:r>
        <w:rPr/>
        <w:t>human</w:t>
      </w:r>
      <w:r>
        <w:rPr>
          <w:spacing w:val="-9"/>
        </w:rPr>
        <w:t> </w:t>
      </w:r>
      <w:r>
        <w:rPr/>
        <w:t>rights</w:t>
      </w:r>
      <w:r>
        <w:rPr>
          <w:spacing w:val="-9"/>
        </w:rPr>
        <w:t> </w:t>
      </w:r>
      <w:r>
        <w:rPr/>
        <w:t>as</w:t>
      </w:r>
      <w:r>
        <w:rPr>
          <w:spacing w:val="-9"/>
        </w:rPr>
        <w:t> </w:t>
      </w:r>
      <w:r>
        <w:rPr/>
        <w:t>will</w:t>
      </w:r>
      <w:r>
        <w:rPr>
          <w:spacing w:val="-9"/>
        </w:rPr>
        <w:t> </w:t>
      </w:r>
      <w:r>
        <w:rPr/>
        <w:t>pertain</w:t>
      </w:r>
      <w:r>
        <w:rPr>
          <w:spacing w:val="-9"/>
        </w:rPr>
        <w:t> </w:t>
      </w:r>
      <w:r>
        <w:rPr/>
        <w:t>in</w:t>
      </w:r>
      <w:r>
        <w:rPr>
          <w:spacing w:val="-9"/>
        </w:rPr>
        <w:t> </w:t>
      </w:r>
      <w:r>
        <w:rPr/>
        <w:t>Northern</w:t>
      </w:r>
      <w:r>
        <w:rPr>
          <w:spacing w:val="-9"/>
        </w:rPr>
        <w:t> </w:t>
      </w:r>
      <w:r>
        <w:rPr/>
        <w:t>Ireland’.</w:t>
      </w:r>
      <w:r>
        <w:rPr>
          <w:vertAlign w:val="superscript"/>
        </w:rPr>
        <w:t>45</w:t>
      </w:r>
      <w:r>
        <w:rPr>
          <w:vertAlign w:val="baseline"/>
        </w:rPr>
        <w:t> While this equivalence reference is specific to Irish steps, other aspects of the Agreement suggest that equivalence of rights protection on the island of Ireland</w:t>
      </w:r>
    </w:p>
    <w:p>
      <w:pPr>
        <w:pStyle w:val="BodyText"/>
        <w:spacing w:line="232" w:lineRule="auto"/>
        <w:ind w:left="720" w:right="1087"/>
      </w:pPr>
      <w:r>
        <w:rPr/>
        <w:t>is desirable: the commitments in the opening paragraph of the section are not specific</w:t>
      </w:r>
      <w:r>
        <w:rPr>
          <w:spacing w:val="-5"/>
        </w:rPr>
        <w:t> </w:t>
      </w:r>
      <w:r>
        <w:rPr/>
        <w:t>to</w:t>
      </w:r>
      <w:r>
        <w:rPr>
          <w:spacing w:val="-6"/>
        </w:rPr>
        <w:t> </w:t>
      </w:r>
      <w:r>
        <w:rPr/>
        <w:t>either</w:t>
      </w:r>
      <w:r>
        <w:rPr>
          <w:spacing w:val="-5"/>
        </w:rPr>
        <w:t> </w:t>
      </w:r>
      <w:r>
        <w:rPr/>
        <w:t>jurisdiction,</w:t>
      </w:r>
      <w:r>
        <w:rPr>
          <w:spacing w:val="-5"/>
        </w:rPr>
        <w:t> </w:t>
      </w:r>
      <w:r>
        <w:rPr/>
        <w:t>there</w:t>
      </w:r>
      <w:r>
        <w:rPr>
          <w:spacing w:val="-5"/>
        </w:rPr>
        <w:t> </w:t>
      </w:r>
      <w:r>
        <w:rPr/>
        <w:t>is</w:t>
      </w:r>
      <w:r>
        <w:rPr>
          <w:spacing w:val="-6"/>
        </w:rPr>
        <w:t> </w:t>
      </w:r>
      <w:r>
        <w:rPr/>
        <w:t>reference</w:t>
      </w:r>
      <w:r>
        <w:rPr>
          <w:spacing w:val="-5"/>
        </w:rPr>
        <w:t> </w:t>
      </w:r>
      <w:r>
        <w:rPr/>
        <w:t>to</w:t>
      </w:r>
      <w:r>
        <w:rPr>
          <w:spacing w:val="-6"/>
        </w:rPr>
        <w:t> </w:t>
      </w:r>
      <w:r>
        <w:rPr/>
        <w:t>joint</w:t>
      </w:r>
      <w:r>
        <w:rPr>
          <w:spacing w:val="-5"/>
        </w:rPr>
        <w:t> </w:t>
      </w:r>
      <w:r>
        <w:rPr/>
        <w:t>work</w:t>
      </w:r>
      <w:r>
        <w:rPr>
          <w:spacing w:val="-5"/>
        </w:rPr>
        <w:t> </w:t>
      </w:r>
      <w:r>
        <w:rPr/>
        <w:t>by</w:t>
      </w:r>
      <w:r>
        <w:rPr>
          <w:spacing w:val="-5"/>
        </w:rPr>
        <w:t> </w:t>
      </w:r>
      <w:r>
        <w:rPr/>
        <w:t>the</w:t>
      </w:r>
      <w:r>
        <w:rPr>
          <w:spacing w:val="-5"/>
        </w:rPr>
        <w:t> </w:t>
      </w:r>
      <w:r>
        <w:rPr/>
        <w:t>two</w:t>
      </w:r>
      <w:r>
        <w:rPr>
          <w:spacing w:val="-6"/>
        </w:rPr>
        <w:t> </w:t>
      </w:r>
      <w:r>
        <w:rPr/>
        <w:t>human rights commissions on the island and the possibility of an all-island charter</w:t>
      </w:r>
    </w:p>
    <w:p>
      <w:pPr>
        <w:pStyle w:val="BodyText"/>
        <w:spacing w:line="232" w:lineRule="auto"/>
        <w:ind w:left="720" w:right="1087"/>
      </w:pPr>
      <w:r>
        <w:rPr/>
        <w:t>of</w:t>
      </w:r>
      <w:r>
        <w:rPr>
          <w:spacing w:val="-9"/>
        </w:rPr>
        <w:t> </w:t>
      </w:r>
      <w:r>
        <w:rPr/>
        <w:t>rights.</w:t>
      </w:r>
      <w:r>
        <w:rPr>
          <w:vertAlign w:val="superscript"/>
        </w:rPr>
        <w:t>46</w:t>
      </w:r>
      <w:r>
        <w:rPr>
          <w:spacing w:val="-9"/>
          <w:vertAlign w:val="baseline"/>
        </w:rPr>
        <w:t> </w:t>
      </w:r>
      <w:r>
        <w:rPr>
          <w:vertAlign w:val="baseline"/>
        </w:rPr>
        <w:t>The</w:t>
      </w:r>
      <w:r>
        <w:rPr>
          <w:spacing w:val="-8"/>
          <w:vertAlign w:val="baseline"/>
        </w:rPr>
        <w:t> </w:t>
      </w:r>
      <w:r>
        <w:rPr>
          <w:vertAlign w:val="baseline"/>
        </w:rPr>
        <w:t>three</w:t>
      </w:r>
      <w:r>
        <w:rPr>
          <w:spacing w:val="-8"/>
          <w:vertAlign w:val="baseline"/>
        </w:rPr>
        <w:t> </w:t>
      </w:r>
      <w:r>
        <w:rPr>
          <w:vertAlign w:val="baseline"/>
        </w:rPr>
        <w:t>Commissions</w:t>
      </w:r>
      <w:r>
        <w:rPr>
          <w:spacing w:val="-9"/>
          <w:vertAlign w:val="baseline"/>
        </w:rPr>
        <w:t> </w:t>
      </w:r>
      <w:r>
        <w:rPr>
          <w:vertAlign w:val="baseline"/>
        </w:rPr>
        <w:t>therefore</w:t>
      </w:r>
      <w:r>
        <w:rPr>
          <w:spacing w:val="-8"/>
          <w:vertAlign w:val="baseline"/>
        </w:rPr>
        <w:t> </w:t>
      </w:r>
      <w:r>
        <w:rPr>
          <w:vertAlign w:val="baseline"/>
        </w:rPr>
        <w:t>point</w:t>
      </w:r>
      <w:r>
        <w:rPr>
          <w:spacing w:val="-8"/>
          <w:vertAlign w:val="baseline"/>
        </w:rPr>
        <w:t> </w:t>
      </w:r>
      <w:r>
        <w:rPr>
          <w:vertAlign w:val="baseline"/>
        </w:rPr>
        <w:t>to</w:t>
      </w:r>
      <w:r>
        <w:rPr>
          <w:spacing w:val="-9"/>
          <w:vertAlign w:val="baseline"/>
        </w:rPr>
        <w:t> </w:t>
      </w:r>
      <w:r>
        <w:rPr>
          <w:vertAlign w:val="baseline"/>
        </w:rPr>
        <w:t>a</w:t>
      </w:r>
      <w:r>
        <w:rPr>
          <w:spacing w:val="-9"/>
          <w:vertAlign w:val="baseline"/>
        </w:rPr>
        <w:t> </w:t>
      </w:r>
      <w:r>
        <w:rPr>
          <w:vertAlign w:val="baseline"/>
        </w:rPr>
        <w:t>‘broad</w:t>
      </w:r>
      <w:r>
        <w:rPr>
          <w:spacing w:val="-9"/>
          <w:vertAlign w:val="baseline"/>
        </w:rPr>
        <w:t> </w:t>
      </w:r>
      <w:r>
        <w:rPr>
          <w:vertAlign w:val="baseline"/>
        </w:rPr>
        <w:t>expectation</w:t>
      </w:r>
      <w:r>
        <w:rPr>
          <w:spacing w:val="-9"/>
          <w:vertAlign w:val="baseline"/>
        </w:rPr>
        <w:t> </w:t>
      </w:r>
      <w:r>
        <w:rPr>
          <w:vertAlign w:val="baseline"/>
        </w:rPr>
        <w:t>of equivalence in rights protection in Ireland as in Northern Ireland’.</w:t>
      </w:r>
      <w:r>
        <w:rPr>
          <w:vertAlign w:val="superscript"/>
        </w:rPr>
        <w:t>47</w:t>
      </w:r>
    </w:p>
    <w:p>
      <w:pPr>
        <w:pStyle w:val="BodyText"/>
        <w:spacing w:before="2"/>
        <w:rPr>
          <w:sz w:val="9"/>
        </w:rPr>
      </w:pPr>
      <w:r>
        <w:rPr/>
        <mc:AlternateContent>
          <mc:Choice Requires="wps">
            <w:drawing>
              <wp:anchor distT="0" distB="0" distL="0" distR="0" allowOverlap="1" layoutInCell="1" locked="0" behindDoc="1" simplePos="0" relativeHeight="487638016">
                <wp:simplePos x="0" y="0"/>
                <wp:positionH relativeFrom="page">
                  <wp:posOffset>647999</wp:posOffset>
                </wp:positionH>
                <wp:positionV relativeFrom="paragraph">
                  <wp:posOffset>86297</wp:posOffset>
                </wp:positionV>
                <wp:extent cx="6012180" cy="1270"/>
                <wp:effectExtent l="0" t="0" r="0" b="0"/>
                <wp:wrapTopAndBottom/>
                <wp:docPr id="277" name="Graphic 277"/>
                <wp:cNvGraphicFramePr>
                  <a:graphicFrameLocks/>
                </wp:cNvGraphicFramePr>
                <a:graphic>
                  <a:graphicData uri="http://schemas.microsoft.com/office/word/2010/wordprocessingShape">
                    <wps:wsp>
                      <wps:cNvPr id="277" name="Graphic 277"/>
                      <wps:cNvSpPr/>
                      <wps:spPr>
                        <a:xfrm>
                          <a:off x="0" y="0"/>
                          <a:ext cx="6012180" cy="1270"/>
                        </a:xfrm>
                        <a:custGeom>
                          <a:avLst/>
                          <a:gdLst/>
                          <a:ahLst/>
                          <a:cxnLst/>
                          <a:rect l="l" t="t" r="r" b="b"/>
                          <a:pathLst>
                            <a:path w="6012180" h="0">
                              <a:moveTo>
                                <a:pt x="0" y="0"/>
                              </a:moveTo>
                              <a:lnTo>
                                <a:pt x="6012002" y="0"/>
                              </a:lnTo>
                            </a:path>
                          </a:pathLst>
                        </a:custGeom>
                        <a:ln w="6349">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6.795115pt;width:473.4pt;height:.1pt;mso-position-horizontal-relative:page;mso-position-vertical-relative:paragraph;z-index:-15678464;mso-wrap-distance-left:0;mso-wrap-distance-right:0" id="docshape216" coordorigin="1020,136" coordsize="9468,0" path="m1020,136l10488,136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1557" w:hanging="567"/>
        <w:jc w:val="left"/>
        <w:rPr>
          <w:sz w:val="18"/>
        </w:rPr>
      </w:pPr>
      <w:r>
        <w:rPr>
          <w:sz w:val="18"/>
        </w:rPr>
        <w:t>Alison</w:t>
      </w:r>
      <w:r>
        <w:rPr>
          <w:spacing w:val="-6"/>
          <w:sz w:val="18"/>
        </w:rPr>
        <w:t> </w:t>
      </w:r>
      <w:r>
        <w:rPr>
          <w:sz w:val="18"/>
        </w:rPr>
        <w:t>Harvey,</w:t>
      </w:r>
      <w:r>
        <w:rPr>
          <w:spacing w:val="-6"/>
          <w:sz w:val="18"/>
        </w:rPr>
        <w:t> </w:t>
      </w:r>
      <w:r>
        <w:rPr>
          <w:color w:val="1D71B8"/>
          <w:sz w:val="18"/>
          <w:u w:val="single" w:color="1D71B8"/>
        </w:rPr>
        <w:t>Article</w:t>
      </w:r>
      <w:r>
        <w:rPr>
          <w:color w:val="1D71B8"/>
          <w:spacing w:val="-5"/>
          <w:sz w:val="18"/>
          <w:u w:val="single" w:color="1D71B8"/>
        </w:rPr>
        <w:t> </w:t>
      </w:r>
      <w:r>
        <w:rPr>
          <w:color w:val="1D71B8"/>
          <w:sz w:val="18"/>
          <w:u w:val="single" w:color="1D71B8"/>
        </w:rPr>
        <w:t>2</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Windsor</w:t>
      </w:r>
      <w:r>
        <w:rPr>
          <w:color w:val="1D71B8"/>
          <w:spacing w:val="-5"/>
          <w:sz w:val="18"/>
          <w:u w:val="single" w:color="1D71B8"/>
        </w:rPr>
        <w:t> </w:t>
      </w:r>
      <w:r>
        <w:rPr>
          <w:color w:val="1D71B8"/>
          <w:sz w:val="18"/>
          <w:u w:val="single" w:color="1D71B8"/>
        </w:rPr>
        <w:t>Framework</w:t>
      </w:r>
      <w:r>
        <w:rPr>
          <w:color w:val="1D71B8"/>
          <w:spacing w:val="-5"/>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Rights</w:t>
      </w:r>
      <w:r>
        <w:rPr>
          <w:color w:val="1D71B8"/>
          <w:spacing w:val="-6"/>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Refugees</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Asylum-seekers</w:t>
      </w:r>
      <w:r>
        <w:rPr>
          <w:color w:val="1D71B8"/>
          <w:spacing w:val="-7"/>
          <w:sz w:val="18"/>
          <w:u w:val="none"/>
        </w:rPr>
        <w:t> </w:t>
      </w:r>
      <w:r>
        <w:rPr>
          <w:sz w:val="18"/>
          <w:u w:val="none"/>
        </w:rPr>
        <w:t>(Northern</w:t>
      </w:r>
      <w:r>
        <w:rPr>
          <w:spacing w:val="-6"/>
          <w:sz w:val="18"/>
          <w:u w:val="none"/>
        </w:rPr>
        <w:t> </w:t>
      </w:r>
      <w:r>
        <w:rPr>
          <w:sz w:val="18"/>
          <w:u w:val="none"/>
        </w:rPr>
        <w:t>Ireland Human Rights Commission, 2023) 10.</w:t>
      </w:r>
    </w:p>
    <w:p>
      <w:pPr>
        <w:pStyle w:val="ListParagraph"/>
        <w:numPr>
          <w:ilvl w:val="0"/>
          <w:numId w:val="9"/>
        </w:numPr>
        <w:tabs>
          <w:tab w:pos="1287" w:val="left" w:leader="none"/>
        </w:tabs>
        <w:spacing w:line="240" w:lineRule="auto" w:before="1" w:after="0"/>
        <w:ind w:left="1287" w:right="1348" w:hanging="567"/>
        <w:jc w:val="left"/>
        <w:rPr>
          <w:sz w:val="18"/>
        </w:rPr>
      </w:pPr>
      <w:r>
        <w:rPr>
          <w:color w:val="1D71B8"/>
          <w:sz w:val="18"/>
          <w:u w:val="single" w:color="1D71B8"/>
        </w:rPr>
        <w:t>Belfast</w:t>
      </w:r>
      <w:r>
        <w:rPr>
          <w:color w:val="1D71B8"/>
          <w:spacing w:val="-4"/>
          <w:sz w:val="18"/>
          <w:u w:val="single" w:color="1D71B8"/>
        </w:rPr>
        <w:t> </w:t>
      </w:r>
      <w:r>
        <w:rPr>
          <w:color w:val="1D71B8"/>
          <w:sz w:val="18"/>
          <w:u w:val="single" w:color="1D71B8"/>
        </w:rPr>
        <w:t>Good</w:t>
      </w:r>
      <w:r>
        <w:rPr>
          <w:color w:val="1D71B8"/>
          <w:spacing w:val="-5"/>
          <w:sz w:val="18"/>
          <w:u w:val="single" w:color="1D71B8"/>
        </w:rPr>
        <w:t> </w:t>
      </w:r>
      <w:r>
        <w:rPr>
          <w:color w:val="1D71B8"/>
          <w:sz w:val="18"/>
          <w:u w:val="single" w:color="1D71B8"/>
        </w:rPr>
        <w:t>Friday</w:t>
      </w:r>
      <w:r>
        <w:rPr>
          <w:color w:val="1D71B8"/>
          <w:spacing w:val="-4"/>
          <w:sz w:val="18"/>
          <w:u w:val="single" w:color="1D71B8"/>
        </w:rPr>
        <w:t> </w:t>
      </w:r>
      <w:r>
        <w:rPr>
          <w:color w:val="1D71B8"/>
          <w:sz w:val="18"/>
          <w:u w:val="single" w:color="1D71B8"/>
        </w:rPr>
        <w:t>Agreement</w:t>
      </w:r>
      <w:r>
        <w:rPr>
          <w:color w:val="1D71B8"/>
          <w:spacing w:val="-4"/>
          <w:sz w:val="18"/>
          <w:u w:val="single" w:color="1D71B8"/>
        </w:rPr>
        <w:t> </w:t>
      </w:r>
      <w:r>
        <w:rPr>
          <w:color w:val="1D71B8"/>
          <w:sz w:val="18"/>
          <w:u w:val="single" w:color="1D71B8"/>
        </w:rPr>
        <w:t>1998</w:t>
      </w:r>
      <w:r>
        <w:rPr>
          <w:sz w:val="18"/>
          <w:u w:val="none"/>
        </w:rPr>
        <w:t>,</w:t>
      </w:r>
      <w:r>
        <w:rPr>
          <w:spacing w:val="-4"/>
          <w:sz w:val="18"/>
          <w:u w:val="none"/>
        </w:rPr>
        <w:t> </w:t>
      </w:r>
      <w:r>
        <w:rPr>
          <w:sz w:val="18"/>
          <w:u w:val="none"/>
        </w:rPr>
        <w:t>Agreement</w:t>
      </w:r>
      <w:r>
        <w:rPr>
          <w:spacing w:val="-4"/>
          <w:sz w:val="18"/>
          <w:u w:val="none"/>
        </w:rPr>
        <w:t> </w:t>
      </w:r>
      <w:r>
        <w:rPr>
          <w:sz w:val="18"/>
          <w:u w:val="none"/>
        </w:rPr>
        <w:t>between</w:t>
      </w:r>
      <w:r>
        <w:rPr>
          <w:spacing w:val="-5"/>
          <w:sz w:val="18"/>
          <w:u w:val="none"/>
        </w:rPr>
        <w:t> </w:t>
      </w:r>
      <w:r>
        <w:rPr>
          <w:sz w:val="18"/>
          <w:u w:val="none"/>
        </w:rPr>
        <w:t>the</w:t>
      </w:r>
      <w:r>
        <w:rPr>
          <w:spacing w:val="-4"/>
          <w:sz w:val="18"/>
          <w:u w:val="none"/>
        </w:rPr>
        <w:t> </w:t>
      </w:r>
      <w:r>
        <w:rPr>
          <w:sz w:val="18"/>
          <w:u w:val="none"/>
        </w:rPr>
        <w:t>Government</w:t>
      </w:r>
      <w:r>
        <w:rPr>
          <w:spacing w:val="-4"/>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United</w:t>
      </w:r>
      <w:r>
        <w:rPr>
          <w:spacing w:val="-5"/>
          <w:sz w:val="18"/>
          <w:u w:val="none"/>
        </w:rPr>
        <w:t> </w:t>
      </w:r>
      <w:r>
        <w:rPr>
          <w:sz w:val="18"/>
          <w:u w:val="none"/>
        </w:rPr>
        <w:t>Kingdom</w:t>
      </w:r>
      <w:r>
        <w:rPr>
          <w:spacing w:val="-4"/>
          <w:sz w:val="18"/>
          <w:u w:val="none"/>
        </w:rPr>
        <w:t> </w:t>
      </w:r>
      <w:r>
        <w:rPr>
          <w:sz w:val="18"/>
          <w:u w:val="none"/>
        </w:rPr>
        <w:t>of</w:t>
      </w:r>
      <w:r>
        <w:rPr>
          <w:spacing w:val="-5"/>
          <w:sz w:val="18"/>
          <w:u w:val="none"/>
        </w:rPr>
        <w:t> </w:t>
      </w:r>
      <w:r>
        <w:rPr>
          <w:sz w:val="18"/>
          <w:u w:val="none"/>
        </w:rPr>
        <w:t>Great</w:t>
      </w:r>
      <w:r>
        <w:rPr>
          <w:spacing w:val="-4"/>
          <w:sz w:val="18"/>
          <w:u w:val="none"/>
        </w:rPr>
        <w:t> </w:t>
      </w:r>
      <w:r>
        <w:rPr>
          <w:sz w:val="18"/>
          <w:u w:val="none"/>
        </w:rPr>
        <w:t>Britain</w:t>
      </w:r>
      <w:r>
        <w:rPr>
          <w:spacing w:val="-5"/>
          <w:sz w:val="18"/>
          <w:u w:val="none"/>
        </w:rPr>
        <w:t> </w:t>
      </w:r>
      <w:r>
        <w:rPr>
          <w:sz w:val="18"/>
          <w:u w:val="none"/>
        </w:rPr>
        <w:t>and Northern Ireland and the Government of Ireland, Preamble.</w:t>
      </w:r>
    </w:p>
    <w:p>
      <w:pPr>
        <w:pStyle w:val="ListParagraph"/>
        <w:numPr>
          <w:ilvl w:val="0"/>
          <w:numId w:val="9"/>
        </w:numPr>
        <w:tabs>
          <w:tab w:pos="1287" w:val="left" w:leader="none"/>
        </w:tabs>
        <w:spacing w:line="240" w:lineRule="auto" w:before="0" w:after="0"/>
        <w:ind w:left="1287" w:right="0" w:hanging="567"/>
        <w:jc w:val="left"/>
        <w:rPr>
          <w:sz w:val="18"/>
        </w:rPr>
      </w:pPr>
      <w:r>
        <w:rPr>
          <w:color w:val="1D71B8"/>
          <w:sz w:val="18"/>
          <w:u w:val="single" w:color="1D71B8"/>
        </w:rPr>
        <w:t>Belfast</w:t>
      </w:r>
      <w:r>
        <w:rPr>
          <w:color w:val="1D71B8"/>
          <w:spacing w:val="-6"/>
          <w:sz w:val="18"/>
          <w:u w:val="single" w:color="1D71B8"/>
        </w:rPr>
        <w:t> </w:t>
      </w:r>
      <w:r>
        <w:rPr>
          <w:color w:val="1D71B8"/>
          <w:sz w:val="18"/>
          <w:u w:val="single" w:color="1D71B8"/>
        </w:rPr>
        <w:t>Good</w:t>
      </w:r>
      <w:r>
        <w:rPr>
          <w:color w:val="1D71B8"/>
          <w:spacing w:val="-6"/>
          <w:sz w:val="18"/>
          <w:u w:val="single" w:color="1D71B8"/>
        </w:rPr>
        <w:t> </w:t>
      </w:r>
      <w:r>
        <w:rPr>
          <w:color w:val="1D71B8"/>
          <w:sz w:val="18"/>
          <w:u w:val="single" w:color="1D71B8"/>
        </w:rPr>
        <w:t>Friday</w:t>
      </w:r>
      <w:r>
        <w:rPr>
          <w:color w:val="1D71B8"/>
          <w:spacing w:val="-6"/>
          <w:sz w:val="18"/>
          <w:u w:val="single" w:color="1D71B8"/>
        </w:rPr>
        <w:t> </w:t>
      </w:r>
      <w:r>
        <w:rPr>
          <w:color w:val="1D71B8"/>
          <w:sz w:val="18"/>
          <w:u w:val="single" w:color="1D71B8"/>
        </w:rPr>
        <w:t>Agreement</w:t>
      </w:r>
      <w:r>
        <w:rPr>
          <w:color w:val="1D71B8"/>
          <w:spacing w:val="-5"/>
          <w:sz w:val="18"/>
          <w:u w:val="single" w:color="1D71B8"/>
        </w:rPr>
        <w:t> </w:t>
      </w:r>
      <w:r>
        <w:rPr>
          <w:color w:val="1D71B8"/>
          <w:sz w:val="18"/>
          <w:u w:val="single" w:color="1D71B8"/>
        </w:rPr>
        <w:t>1998</w:t>
      </w:r>
      <w:r>
        <w:rPr>
          <w:sz w:val="18"/>
          <w:u w:val="none"/>
        </w:rPr>
        <w:t>,</w:t>
      </w:r>
      <w:r>
        <w:rPr>
          <w:spacing w:val="-6"/>
          <w:sz w:val="18"/>
          <w:u w:val="none"/>
        </w:rPr>
        <w:t> </w:t>
      </w:r>
      <w:r>
        <w:rPr>
          <w:sz w:val="18"/>
          <w:u w:val="none"/>
        </w:rPr>
        <w:t>Rights,</w:t>
      </w:r>
      <w:r>
        <w:rPr>
          <w:spacing w:val="-5"/>
          <w:sz w:val="18"/>
          <w:u w:val="none"/>
        </w:rPr>
        <w:t> </w:t>
      </w:r>
      <w:r>
        <w:rPr>
          <w:sz w:val="18"/>
          <w:u w:val="none"/>
        </w:rPr>
        <w:t>Safeguards</w:t>
      </w:r>
      <w:r>
        <w:rPr>
          <w:spacing w:val="-7"/>
          <w:sz w:val="18"/>
          <w:u w:val="none"/>
        </w:rPr>
        <w:t> </w:t>
      </w:r>
      <w:r>
        <w:rPr>
          <w:sz w:val="18"/>
          <w:u w:val="none"/>
        </w:rPr>
        <w:t>and</w:t>
      </w:r>
      <w:r>
        <w:rPr>
          <w:spacing w:val="-6"/>
          <w:sz w:val="18"/>
          <w:u w:val="none"/>
        </w:rPr>
        <w:t> </w:t>
      </w:r>
      <w:r>
        <w:rPr>
          <w:sz w:val="18"/>
          <w:u w:val="none"/>
        </w:rPr>
        <w:t>Equality</w:t>
      </w:r>
      <w:r>
        <w:rPr>
          <w:spacing w:val="-6"/>
          <w:sz w:val="18"/>
          <w:u w:val="none"/>
        </w:rPr>
        <w:t> </w:t>
      </w:r>
      <w:r>
        <w:rPr>
          <w:sz w:val="18"/>
          <w:u w:val="none"/>
        </w:rPr>
        <w:t>of</w:t>
      </w:r>
      <w:r>
        <w:rPr>
          <w:spacing w:val="-6"/>
          <w:sz w:val="18"/>
          <w:u w:val="none"/>
        </w:rPr>
        <w:t> </w:t>
      </w:r>
      <w:r>
        <w:rPr>
          <w:sz w:val="18"/>
          <w:u w:val="none"/>
        </w:rPr>
        <w:t>Opportunity,</w:t>
      </w:r>
      <w:r>
        <w:rPr>
          <w:spacing w:val="-5"/>
          <w:sz w:val="18"/>
          <w:u w:val="none"/>
        </w:rPr>
        <w:t> 9.</w:t>
      </w:r>
    </w:p>
    <w:p>
      <w:pPr>
        <w:pStyle w:val="ListParagraph"/>
        <w:numPr>
          <w:ilvl w:val="0"/>
          <w:numId w:val="9"/>
        </w:numPr>
        <w:tabs>
          <w:tab w:pos="1287" w:val="left" w:leader="none"/>
        </w:tabs>
        <w:spacing w:line="240" w:lineRule="auto" w:before="1" w:after="0"/>
        <w:ind w:left="1287" w:right="0" w:hanging="567"/>
        <w:jc w:val="left"/>
        <w:rPr>
          <w:sz w:val="18"/>
        </w:rPr>
      </w:pPr>
      <w:r>
        <w:rPr>
          <w:sz w:val="18"/>
        </w:rPr>
        <w:t>Ibid., </w:t>
      </w:r>
      <w:r>
        <w:rPr>
          <w:spacing w:val="-5"/>
          <w:sz w:val="18"/>
        </w:rPr>
        <w:t>10.</w:t>
      </w:r>
    </w:p>
    <w:p>
      <w:pPr>
        <w:pStyle w:val="ListParagraph"/>
        <w:numPr>
          <w:ilvl w:val="0"/>
          <w:numId w:val="9"/>
        </w:numPr>
        <w:tabs>
          <w:tab w:pos="1287" w:val="left" w:leader="none"/>
        </w:tabs>
        <w:spacing w:line="240" w:lineRule="auto" w:before="0" w:after="0"/>
        <w:ind w:left="1287" w:right="1136" w:hanging="567"/>
        <w:jc w:val="left"/>
        <w:rPr>
          <w:sz w:val="18"/>
        </w:rPr>
      </w:pPr>
      <w:r>
        <w:rPr>
          <w:sz w:val="18"/>
        </w:rPr>
        <w:t>Irish</w:t>
      </w:r>
      <w:r>
        <w:rPr>
          <w:spacing w:val="-1"/>
          <w:sz w:val="18"/>
        </w:rPr>
        <w:t> </w:t>
      </w:r>
      <w:r>
        <w:rPr>
          <w:sz w:val="18"/>
        </w:rPr>
        <w:t>Human</w:t>
      </w:r>
      <w:r>
        <w:rPr>
          <w:spacing w:val="-1"/>
          <w:sz w:val="18"/>
        </w:rPr>
        <w:t> </w:t>
      </w:r>
      <w:r>
        <w:rPr>
          <w:sz w:val="18"/>
        </w:rPr>
        <w:t>Rights</w:t>
      </w:r>
      <w:r>
        <w:rPr>
          <w:spacing w:val="-1"/>
          <w:sz w:val="18"/>
        </w:rPr>
        <w:t> </w:t>
      </w:r>
      <w:r>
        <w:rPr>
          <w:sz w:val="18"/>
        </w:rPr>
        <w:t>and</w:t>
      </w:r>
      <w:r>
        <w:rPr>
          <w:spacing w:val="-1"/>
          <w:sz w:val="18"/>
        </w:rPr>
        <w:t> </w:t>
      </w:r>
      <w:r>
        <w:rPr>
          <w:sz w:val="18"/>
        </w:rPr>
        <w:t>Equality</w:t>
      </w:r>
      <w:r>
        <w:rPr>
          <w:spacing w:val="-1"/>
          <w:sz w:val="18"/>
        </w:rPr>
        <w:t> </w:t>
      </w:r>
      <w:r>
        <w:rPr>
          <w:sz w:val="18"/>
        </w:rPr>
        <w:t>Commission,</w:t>
      </w:r>
      <w:r>
        <w:rPr>
          <w:spacing w:val="-1"/>
          <w:sz w:val="18"/>
        </w:rPr>
        <w:t> </w:t>
      </w:r>
      <w:r>
        <w:rPr>
          <w:sz w:val="18"/>
        </w:rPr>
        <w:t>Northern</w:t>
      </w:r>
      <w:r>
        <w:rPr>
          <w:spacing w:val="-1"/>
          <w:sz w:val="18"/>
        </w:rPr>
        <w:t> </w:t>
      </w:r>
      <w:r>
        <w:rPr>
          <w:sz w:val="18"/>
        </w:rPr>
        <w:t>Ireland</w:t>
      </w:r>
      <w:r>
        <w:rPr>
          <w:spacing w:val="-1"/>
          <w:sz w:val="18"/>
        </w:rPr>
        <w:t> </w:t>
      </w:r>
      <w:r>
        <w:rPr>
          <w:sz w:val="18"/>
        </w:rPr>
        <w:t>Human</w:t>
      </w:r>
      <w:r>
        <w:rPr>
          <w:spacing w:val="-1"/>
          <w:sz w:val="18"/>
        </w:rPr>
        <w:t> </w:t>
      </w:r>
      <w:r>
        <w:rPr>
          <w:sz w:val="18"/>
        </w:rPr>
        <w:t>Rights</w:t>
      </w:r>
      <w:r>
        <w:rPr>
          <w:spacing w:val="-1"/>
          <w:sz w:val="18"/>
        </w:rPr>
        <w:t> </w:t>
      </w:r>
      <w:r>
        <w:rPr>
          <w:sz w:val="18"/>
        </w:rPr>
        <w:t>Commission</w:t>
      </w:r>
      <w:r>
        <w:rPr>
          <w:spacing w:val="-1"/>
          <w:sz w:val="18"/>
        </w:rPr>
        <w:t> </w:t>
      </w:r>
      <w:r>
        <w:rPr>
          <w:sz w:val="18"/>
        </w:rPr>
        <w:t>and</w:t>
      </w:r>
      <w:r>
        <w:rPr>
          <w:spacing w:val="-1"/>
          <w:sz w:val="18"/>
        </w:rPr>
        <w:t> </w:t>
      </w:r>
      <w:r>
        <w:rPr>
          <w:sz w:val="18"/>
        </w:rPr>
        <w:t>Equality</w:t>
      </w:r>
      <w:r>
        <w:rPr>
          <w:spacing w:val="-1"/>
          <w:sz w:val="18"/>
        </w:rPr>
        <w:t> </w:t>
      </w:r>
      <w:r>
        <w:rPr>
          <w:sz w:val="18"/>
        </w:rPr>
        <w:t>Commission</w:t>
      </w:r>
      <w:r>
        <w:rPr>
          <w:spacing w:val="-1"/>
          <w:sz w:val="18"/>
        </w:rPr>
        <w:t> </w:t>
      </w:r>
      <w:r>
        <w:rPr>
          <w:sz w:val="18"/>
        </w:rPr>
        <w:t>for Northern</w:t>
      </w:r>
      <w:r>
        <w:rPr>
          <w:spacing w:val="-2"/>
          <w:sz w:val="18"/>
        </w:rPr>
        <w:t> </w:t>
      </w:r>
      <w:r>
        <w:rPr>
          <w:sz w:val="18"/>
        </w:rPr>
        <w:t>Ireland,</w:t>
      </w:r>
      <w:r>
        <w:rPr>
          <w:spacing w:val="-2"/>
          <w:sz w:val="18"/>
        </w:rPr>
        <w:t> </w:t>
      </w:r>
      <w:r>
        <w:rPr>
          <w:color w:val="1D71B8"/>
          <w:sz w:val="18"/>
          <w:u w:val="single" w:color="1D71B8"/>
        </w:rPr>
        <w:t>Equality</w:t>
      </w:r>
      <w:r>
        <w:rPr>
          <w:color w:val="1D71B8"/>
          <w:spacing w:val="-2"/>
          <w:sz w:val="18"/>
          <w:u w:val="single" w:color="1D71B8"/>
        </w:rPr>
        <w:t> </w:t>
      </w:r>
      <w:r>
        <w:rPr>
          <w:color w:val="1D71B8"/>
          <w:sz w:val="18"/>
          <w:u w:val="single" w:color="1D71B8"/>
        </w:rPr>
        <w:t>and</w:t>
      </w:r>
      <w:r>
        <w:rPr>
          <w:color w:val="1D71B8"/>
          <w:spacing w:val="-2"/>
          <w:sz w:val="18"/>
          <w:u w:val="single" w:color="1D71B8"/>
        </w:rPr>
        <w:t> </w:t>
      </w:r>
      <w:r>
        <w:rPr>
          <w:color w:val="1D71B8"/>
          <w:sz w:val="18"/>
          <w:u w:val="single" w:color="1D71B8"/>
        </w:rPr>
        <w:t>Human</w:t>
      </w:r>
      <w:r>
        <w:rPr>
          <w:color w:val="1D71B8"/>
          <w:spacing w:val="-2"/>
          <w:sz w:val="18"/>
          <w:u w:val="single" w:color="1D71B8"/>
        </w:rPr>
        <w:t> </w:t>
      </w:r>
      <w:r>
        <w:rPr>
          <w:color w:val="1D71B8"/>
          <w:sz w:val="18"/>
          <w:u w:val="single" w:color="1D71B8"/>
        </w:rPr>
        <w:t>Rights</w:t>
      </w:r>
      <w:r>
        <w:rPr>
          <w:color w:val="1D71B8"/>
          <w:spacing w:val="-2"/>
          <w:sz w:val="18"/>
          <w:u w:val="single" w:color="1D71B8"/>
        </w:rPr>
        <w:t> </w:t>
      </w:r>
      <w:r>
        <w:rPr>
          <w:color w:val="1D71B8"/>
          <w:sz w:val="18"/>
          <w:u w:val="single" w:color="1D71B8"/>
        </w:rPr>
        <w:t>on</w:t>
      </w:r>
      <w:r>
        <w:rPr>
          <w:color w:val="1D71B8"/>
          <w:spacing w:val="-2"/>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Island</w:t>
      </w:r>
      <w:r>
        <w:rPr>
          <w:color w:val="1D71B8"/>
          <w:spacing w:val="-2"/>
          <w:sz w:val="18"/>
          <w:u w:val="single" w:color="1D71B8"/>
        </w:rPr>
        <w:t> </w:t>
      </w:r>
      <w:r>
        <w:rPr>
          <w:color w:val="1D71B8"/>
          <w:sz w:val="18"/>
          <w:u w:val="single" w:color="1D71B8"/>
        </w:rPr>
        <w:t>of</w:t>
      </w:r>
      <w:r>
        <w:rPr>
          <w:color w:val="1D71B8"/>
          <w:spacing w:val="-2"/>
          <w:sz w:val="18"/>
          <w:u w:val="single" w:color="1D71B8"/>
        </w:rPr>
        <w:t> </w:t>
      </w:r>
      <w:r>
        <w:rPr>
          <w:color w:val="1D71B8"/>
          <w:sz w:val="18"/>
          <w:u w:val="single" w:color="1D71B8"/>
        </w:rPr>
        <w:t>Ireland</w:t>
      </w:r>
      <w:r>
        <w:rPr>
          <w:color w:val="1D71B8"/>
          <w:spacing w:val="-2"/>
          <w:sz w:val="18"/>
          <w:u w:val="single" w:color="1D71B8"/>
        </w:rPr>
        <w:t> </w:t>
      </w:r>
      <w:r>
        <w:rPr>
          <w:color w:val="1D71B8"/>
          <w:sz w:val="18"/>
          <w:u w:val="single" w:color="1D71B8"/>
        </w:rPr>
        <w:t>after</w:t>
      </w:r>
      <w:r>
        <w:rPr>
          <w:color w:val="1D71B8"/>
          <w:spacing w:val="-2"/>
          <w:sz w:val="18"/>
          <w:u w:val="single" w:color="1D71B8"/>
        </w:rPr>
        <w:t> </w:t>
      </w:r>
      <w:r>
        <w:rPr>
          <w:color w:val="1D71B8"/>
          <w:sz w:val="18"/>
          <w:u w:val="single" w:color="1D71B8"/>
        </w:rPr>
        <w:t>Brexit:</w:t>
      </w:r>
      <w:r>
        <w:rPr>
          <w:color w:val="1D71B8"/>
          <w:spacing w:val="-2"/>
          <w:sz w:val="18"/>
          <w:u w:val="single" w:color="1D71B8"/>
        </w:rPr>
        <w:t> </w:t>
      </w:r>
      <w:r>
        <w:rPr>
          <w:color w:val="1D71B8"/>
          <w:sz w:val="18"/>
          <w:u w:val="single" w:color="1D71B8"/>
        </w:rPr>
        <w:t>Annual</w:t>
      </w:r>
      <w:r>
        <w:rPr>
          <w:color w:val="1D71B8"/>
          <w:spacing w:val="-2"/>
          <w:sz w:val="18"/>
          <w:u w:val="single" w:color="1D71B8"/>
        </w:rPr>
        <w:t> </w:t>
      </w:r>
      <w:r>
        <w:rPr>
          <w:color w:val="1D71B8"/>
          <w:sz w:val="18"/>
          <w:u w:val="single" w:color="1D71B8"/>
        </w:rPr>
        <w:t>joint</w:t>
      </w:r>
      <w:r>
        <w:rPr>
          <w:color w:val="1D71B8"/>
          <w:spacing w:val="-2"/>
          <w:sz w:val="18"/>
          <w:u w:val="single" w:color="1D71B8"/>
        </w:rPr>
        <w:t> </w:t>
      </w:r>
      <w:r>
        <w:rPr>
          <w:color w:val="1D71B8"/>
          <w:sz w:val="18"/>
          <w:u w:val="single" w:color="1D71B8"/>
        </w:rPr>
        <w:t>report</w:t>
      </w:r>
      <w:r>
        <w:rPr>
          <w:color w:val="1D71B8"/>
          <w:spacing w:val="-2"/>
          <w:sz w:val="18"/>
          <w:u w:val="single" w:color="1D71B8"/>
        </w:rPr>
        <w:t> </w:t>
      </w:r>
      <w:r>
        <w:rPr>
          <w:color w:val="1D71B8"/>
          <w:sz w:val="18"/>
          <w:u w:val="single" w:color="1D71B8"/>
        </w:rPr>
        <w:t>of</w:t>
      </w:r>
      <w:r>
        <w:rPr>
          <w:color w:val="1D71B8"/>
          <w:spacing w:val="-2"/>
          <w:sz w:val="18"/>
          <w:u w:val="single" w:color="1D71B8"/>
        </w:rPr>
        <w:t> </w:t>
      </w:r>
      <w:r>
        <w:rPr>
          <w:color w:val="1D71B8"/>
          <w:sz w:val="18"/>
          <w:u w:val="single" w:color="1D71B8"/>
        </w:rPr>
        <w:t>IHREC,</w:t>
      </w:r>
      <w:r>
        <w:rPr>
          <w:color w:val="1D71B8"/>
          <w:spacing w:val="-2"/>
          <w:sz w:val="18"/>
          <w:u w:val="single" w:color="1D71B8"/>
        </w:rPr>
        <w:t> </w:t>
      </w:r>
      <w:r>
        <w:rPr>
          <w:color w:val="1D71B8"/>
          <w:sz w:val="18"/>
          <w:u w:val="single" w:color="1D71B8"/>
        </w:rPr>
        <w:t>ECNI</w:t>
      </w:r>
      <w:r>
        <w:rPr>
          <w:color w:val="1D71B8"/>
          <w:spacing w:val="-2"/>
          <w:sz w:val="18"/>
          <w:u w:val="single" w:color="1D71B8"/>
        </w:rPr>
        <w:t> </w:t>
      </w:r>
      <w:r>
        <w:rPr>
          <w:color w:val="1D71B8"/>
          <w:sz w:val="18"/>
          <w:u w:val="single" w:color="1D71B8"/>
        </w:rPr>
        <w:t>and</w:t>
      </w:r>
      <w:r>
        <w:rPr>
          <w:color w:val="1D71B8"/>
          <w:sz w:val="18"/>
          <w:u w:val="none"/>
        </w:rPr>
        <w:t> </w:t>
      </w:r>
      <w:r>
        <w:rPr>
          <w:color w:val="1D71B8"/>
          <w:sz w:val="18"/>
          <w:u w:val="single" w:color="1D71B8"/>
        </w:rPr>
        <w:t>NIHRC</w:t>
      </w:r>
      <w:r>
        <w:rPr>
          <w:color w:val="1D71B8"/>
          <w:spacing w:val="-8"/>
          <w:sz w:val="18"/>
          <w:u w:val="single" w:color="1D71B8"/>
        </w:rPr>
        <w:t> </w:t>
      </w:r>
      <w:r>
        <w:rPr>
          <w:color w:val="1D71B8"/>
          <w:sz w:val="18"/>
          <w:u w:val="single" w:color="1D71B8"/>
        </w:rPr>
        <w:t>on</w:t>
      </w:r>
      <w:r>
        <w:rPr>
          <w:color w:val="1D71B8"/>
          <w:spacing w:val="-8"/>
          <w:sz w:val="18"/>
          <w:u w:val="single" w:color="1D71B8"/>
        </w:rPr>
        <w:t> </w:t>
      </w:r>
      <w:r>
        <w:rPr>
          <w:color w:val="1D71B8"/>
          <w:sz w:val="18"/>
          <w:u w:val="single" w:color="1D71B8"/>
        </w:rPr>
        <w:t>the</w:t>
      </w:r>
      <w:r>
        <w:rPr>
          <w:color w:val="1D71B8"/>
          <w:spacing w:val="-8"/>
          <w:sz w:val="18"/>
          <w:u w:val="single" w:color="1D71B8"/>
        </w:rPr>
        <w:t> </w:t>
      </w:r>
      <w:r>
        <w:rPr>
          <w:color w:val="1D71B8"/>
          <w:sz w:val="18"/>
          <w:u w:val="single" w:color="1D71B8"/>
        </w:rPr>
        <w:t>implementation</w:t>
      </w:r>
      <w:r>
        <w:rPr>
          <w:color w:val="1D71B8"/>
          <w:spacing w:val="-8"/>
          <w:sz w:val="18"/>
          <w:u w:val="single" w:color="1D71B8"/>
        </w:rPr>
        <w:t> </w:t>
      </w:r>
      <w:r>
        <w:rPr>
          <w:color w:val="1D71B8"/>
          <w:sz w:val="18"/>
          <w:u w:val="single" w:color="1D71B8"/>
        </w:rPr>
        <w:t>of</w:t>
      </w:r>
      <w:r>
        <w:rPr>
          <w:color w:val="1D71B8"/>
          <w:spacing w:val="-8"/>
          <w:sz w:val="18"/>
          <w:u w:val="single" w:color="1D71B8"/>
        </w:rPr>
        <w:t> </w:t>
      </w:r>
      <w:r>
        <w:rPr>
          <w:color w:val="1D71B8"/>
          <w:sz w:val="18"/>
          <w:u w:val="single" w:color="1D71B8"/>
        </w:rPr>
        <w:t>Article</w:t>
      </w:r>
      <w:r>
        <w:rPr>
          <w:color w:val="1D71B8"/>
          <w:spacing w:val="-8"/>
          <w:sz w:val="18"/>
          <w:u w:val="single" w:color="1D71B8"/>
        </w:rPr>
        <w:t> </w:t>
      </w:r>
      <w:r>
        <w:rPr>
          <w:color w:val="1D71B8"/>
          <w:sz w:val="18"/>
          <w:u w:val="single" w:color="1D71B8"/>
        </w:rPr>
        <w:t>2</w:t>
      </w:r>
      <w:r>
        <w:rPr>
          <w:color w:val="1D71B8"/>
          <w:spacing w:val="-8"/>
          <w:sz w:val="18"/>
          <w:u w:val="single" w:color="1D71B8"/>
        </w:rPr>
        <w:t> </w:t>
      </w:r>
      <w:r>
        <w:rPr>
          <w:color w:val="1D71B8"/>
          <w:sz w:val="18"/>
          <w:u w:val="single" w:color="1D71B8"/>
        </w:rPr>
        <w:t>of</w:t>
      </w:r>
      <w:r>
        <w:rPr>
          <w:color w:val="1D71B8"/>
          <w:spacing w:val="-8"/>
          <w:sz w:val="18"/>
          <w:u w:val="single" w:color="1D71B8"/>
        </w:rPr>
        <w:t> </w:t>
      </w:r>
      <w:r>
        <w:rPr>
          <w:color w:val="1D71B8"/>
          <w:sz w:val="18"/>
          <w:u w:val="single" w:color="1D71B8"/>
        </w:rPr>
        <w:t>the</w:t>
      </w:r>
      <w:r>
        <w:rPr>
          <w:color w:val="1D71B8"/>
          <w:spacing w:val="-8"/>
          <w:sz w:val="18"/>
          <w:u w:val="single" w:color="1D71B8"/>
        </w:rPr>
        <w:t> </w:t>
      </w:r>
      <w:r>
        <w:rPr>
          <w:color w:val="1D71B8"/>
          <w:sz w:val="18"/>
          <w:u w:val="single" w:color="1D71B8"/>
        </w:rPr>
        <w:t>Windsor</w:t>
      </w:r>
      <w:r>
        <w:rPr>
          <w:color w:val="1D71B8"/>
          <w:spacing w:val="-8"/>
          <w:sz w:val="18"/>
          <w:u w:val="single" w:color="1D71B8"/>
        </w:rPr>
        <w:t> </w:t>
      </w:r>
      <w:r>
        <w:rPr>
          <w:color w:val="1D71B8"/>
          <w:sz w:val="18"/>
          <w:u w:val="single" w:color="1D71B8"/>
        </w:rPr>
        <w:t>Framework.</w:t>
      </w:r>
      <w:r>
        <w:rPr>
          <w:color w:val="1D71B8"/>
          <w:spacing w:val="-8"/>
          <w:sz w:val="18"/>
          <w:u w:val="single" w:color="1D71B8"/>
        </w:rPr>
        <w:t> </w:t>
      </w:r>
      <w:r>
        <w:rPr>
          <w:color w:val="1D71B8"/>
          <w:sz w:val="18"/>
          <w:u w:val="single" w:color="1D71B8"/>
        </w:rPr>
        <w:t>October</w:t>
      </w:r>
      <w:r>
        <w:rPr>
          <w:color w:val="1D71B8"/>
          <w:spacing w:val="-8"/>
          <w:sz w:val="18"/>
          <w:u w:val="single" w:color="1D71B8"/>
        </w:rPr>
        <w:t> </w:t>
      </w:r>
      <w:r>
        <w:rPr>
          <w:color w:val="1D71B8"/>
          <w:sz w:val="18"/>
          <w:u w:val="single" w:color="1D71B8"/>
        </w:rPr>
        <w:t>2022</w:t>
      </w:r>
      <w:r>
        <w:rPr>
          <w:color w:val="1D71B8"/>
          <w:spacing w:val="-8"/>
          <w:sz w:val="18"/>
          <w:u w:val="single" w:color="1D71B8"/>
        </w:rPr>
        <w:t> </w:t>
      </w:r>
      <w:r>
        <w:rPr>
          <w:color w:val="1D71B8"/>
          <w:sz w:val="18"/>
          <w:u w:val="single" w:color="1D71B8"/>
        </w:rPr>
        <w:t>–</w:t>
      </w:r>
      <w:r>
        <w:rPr>
          <w:color w:val="1D71B8"/>
          <w:spacing w:val="-8"/>
          <w:sz w:val="18"/>
          <w:u w:val="single" w:color="1D71B8"/>
        </w:rPr>
        <w:t> </w:t>
      </w:r>
      <w:r>
        <w:rPr>
          <w:color w:val="1D71B8"/>
          <w:sz w:val="18"/>
          <w:u w:val="single" w:color="1D71B8"/>
        </w:rPr>
        <w:t>September</w:t>
      </w:r>
      <w:r>
        <w:rPr>
          <w:color w:val="1D71B8"/>
          <w:spacing w:val="-8"/>
          <w:sz w:val="18"/>
          <w:u w:val="single" w:color="1D71B8"/>
        </w:rPr>
        <w:t> </w:t>
      </w:r>
      <w:r>
        <w:rPr>
          <w:color w:val="1D71B8"/>
          <w:sz w:val="18"/>
          <w:u w:val="single" w:color="1D71B8"/>
        </w:rPr>
        <w:t>2023</w:t>
      </w:r>
      <w:r>
        <w:rPr>
          <w:color w:val="1D71B8"/>
          <w:spacing w:val="-9"/>
          <w:sz w:val="18"/>
          <w:u w:val="none"/>
        </w:rPr>
        <w:t> </w:t>
      </w:r>
      <w:r>
        <w:rPr>
          <w:sz w:val="18"/>
          <w:u w:val="none"/>
        </w:rPr>
        <w:t>(December</w:t>
      </w:r>
      <w:r>
        <w:rPr>
          <w:spacing w:val="-8"/>
          <w:sz w:val="18"/>
          <w:u w:val="none"/>
        </w:rPr>
        <w:t> </w:t>
      </w:r>
      <w:r>
        <w:rPr>
          <w:sz w:val="18"/>
          <w:u w:val="none"/>
        </w:rPr>
        <w:t>2023)</w:t>
      </w:r>
      <w:r>
        <w:rPr>
          <w:spacing w:val="-8"/>
          <w:sz w:val="18"/>
          <w:u w:val="none"/>
        </w:rPr>
        <w:t> </w:t>
      </w:r>
      <w:r>
        <w:rPr>
          <w:sz w:val="18"/>
          <w:u w:val="none"/>
        </w:rPr>
        <w:t>2.</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780864">
                <wp:simplePos x="0" y="0"/>
                <wp:positionH relativeFrom="page">
                  <wp:posOffset>-2</wp:posOffset>
                </wp:positionH>
                <wp:positionV relativeFrom="page">
                  <wp:posOffset>0</wp:posOffset>
                </wp:positionV>
                <wp:extent cx="7560309" cy="125793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7560309" cy="1257935"/>
                          <a:chExt cx="7560309" cy="1257935"/>
                        </a:xfrm>
                      </wpg:grpSpPr>
                      <wps:wsp>
                        <wps:cNvPr id="279" name="Graphic 279"/>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280" name="Graphic 280"/>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281" name="Textbox 281"/>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282" name="Textbox 282"/>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19</w:t>
                              </w:r>
                            </w:p>
                          </w:txbxContent>
                        </wps:txbx>
                        <wps:bodyPr wrap="square" lIns="0" tIns="0" rIns="0" bIns="0" rtlCol="0">
                          <a:noAutofit/>
                        </wps:bodyPr>
                      </wps:wsp>
                      <wps:wsp>
                        <wps:cNvPr id="283" name="Textbox 283"/>
                        <wps:cNvSpPr txBox="1"/>
                        <wps:spPr>
                          <a:xfrm>
                            <a:off x="900001" y="1080003"/>
                            <a:ext cx="5615940" cy="177800"/>
                          </a:xfrm>
                          <a:prstGeom prst="rect">
                            <a:avLst/>
                          </a:prstGeom>
                        </wps:spPr>
                        <wps:txbx>
                          <w:txbxContent>
                            <w:p>
                              <w:pPr>
                                <w:spacing w:line="280" w:lineRule="exact" w:before="0"/>
                                <w:ind w:left="0" w:right="0" w:firstLine="0"/>
                                <w:jc w:val="left"/>
                                <w:rPr>
                                  <w:sz w:val="28"/>
                                </w:rPr>
                              </w:pPr>
                              <w:r>
                                <w:rPr>
                                  <w:sz w:val="28"/>
                                </w:rPr>
                                <w:t>The</w:t>
                              </w:r>
                              <w:r>
                                <w:rPr>
                                  <w:spacing w:val="-6"/>
                                  <w:sz w:val="28"/>
                                </w:rPr>
                                <w:t> </w:t>
                              </w:r>
                              <w:r>
                                <w:rPr>
                                  <w:sz w:val="28"/>
                                </w:rPr>
                                <w:t>1998</w:t>
                              </w:r>
                              <w:r>
                                <w:rPr>
                                  <w:spacing w:val="-6"/>
                                  <w:sz w:val="28"/>
                                </w:rPr>
                                <w:t> </w:t>
                              </w:r>
                              <w:r>
                                <w:rPr>
                                  <w:sz w:val="28"/>
                                </w:rPr>
                                <w:t>Agreement</w:t>
                              </w:r>
                              <w:r>
                                <w:rPr>
                                  <w:spacing w:val="-5"/>
                                  <w:sz w:val="28"/>
                                </w:rPr>
                                <w:t> </w:t>
                              </w:r>
                              <w:r>
                                <w:rPr>
                                  <w:sz w:val="28"/>
                                </w:rPr>
                                <w:t>refers</w:t>
                              </w:r>
                              <w:r>
                                <w:rPr>
                                  <w:spacing w:val="-7"/>
                                  <w:sz w:val="28"/>
                                </w:rPr>
                                <w:t> </w:t>
                              </w:r>
                              <w:r>
                                <w:rPr>
                                  <w:sz w:val="28"/>
                                </w:rPr>
                                <w:t>to</w:t>
                              </w:r>
                              <w:r>
                                <w:rPr>
                                  <w:spacing w:val="-6"/>
                                  <w:sz w:val="28"/>
                                </w:rPr>
                                <w:t> </w:t>
                              </w:r>
                              <w:r>
                                <w:rPr>
                                  <w:sz w:val="28"/>
                                </w:rPr>
                                <w:t>the</w:t>
                              </w:r>
                              <w:r>
                                <w:rPr>
                                  <w:spacing w:val="-6"/>
                                  <w:sz w:val="28"/>
                                </w:rPr>
                                <w:t> </w:t>
                              </w:r>
                              <w:r>
                                <w:rPr>
                                  <w:sz w:val="28"/>
                                </w:rPr>
                                <w:t>European</w:t>
                              </w:r>
                              <w:r>
                                <w:rPr>
                                  <w:spacing w:val="-6"/>
                                  <w:sz w:val="28"/>
                                </w:rPr>
                                <w:t> </w:t>
                              </w:r>
                              <w:r>
                                <w:rPr>
                                  <w:sz w:val="28"/>
                                </w:rPr>
                                <w:t>Union</w:t>
                              </w:r>
                              <w:r>
                                <w:rPr>
                                  <w:spacing w:val="-7"/>
                                  <w:sz w:val="28"/>
                                </w:rPr>
                                <w:t> </w:t>
                              </w:r>
                              <w:r>
                                <w:rPr>
                                  <w:sz w:val="28"/>
                                </w:rPr>
                                <w:t>in</w:t>
                              </w:r>
                              <w:r>
                                <w:rPr>
                                  <w:spacing w:val="-6"/>
                                  <w:sz w:val="28"/>
                                </w:rPr>
                                <w:t> </w:t>
                              </w:r>
                              <w:r>
                                <w:rPr>
                                  <w:sz w:val="28"/>
                                </w:rPr>
                                <w:t>several</w:t>
                              </w:r>
                              <w:r>
                                <w:rPr>
                                  <w:spacing w:val="-7"/>
                                  <w:sz w:val="28"/>
                                </w:rPr>
                                <w:t> </w:t>
                              </w:r>
                              <w:r>
                                <w:rPr>
                                  <w:sz w:val="28"/>
                                </w:rPr>
                                <w:t>places</w:t>
                              </w:r>
                              <w:r>
                                <w:rPr>
                                  <w:spacing w:val="-6"/>
                                  <w:sz w:val="28"/>
                                </w:rPr>
                                <w:t> </w:t>
                              </w:r>
                              <w:r>
                                <w:rPr>
                                  <w:sz w:val="28"/>
                                </w:rPr>
                                <w:t>and</w:t>
                              </w:r>
                              <w:r>
                                <w:rPr>
                                  <w:spacing w:val="-6"/>
                                  <w:sz w:val="28"/>
                                </w:rPr>
                                <w:t> </w:t>
                              </w:r>
                              <w:r>
                                <w:rPr>
                                  <w:spacing w:val="-4"/>
                                  <w:sz w:val="28"/>
                                </w:rPr>
                                <w:t>more</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780864" id="docshapegroup217" coordorigin="0,0" coordsize="11906,1981">
                <v:shape style="position:absolute;left:0;top:0;width:11906;height:1819" id="docshape218"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219"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220" filled="false" stroked="false">
                  <v:textbox inset="0,0,0,0">
                    <w:txbxContent>
                      <w:p>
                        <w:pPr>
                          <w:spacing w:line="280" w:lineRule="exact" w:before="0"/>
                          <w:ind w:left="0" w:right="0" w:firstLine="0"/>
                          <w:jc w:val="left"/>
                          <w:rPr>
                            <w:b/>
                            <w:sz w:val="28"/>
                          </w:rPr>
                        </w:pPr>
                        <w:r>
                          <w:rPr>
                            <w:b/>
                            <w:color w:val="FFFFFF"/>
                            <w:spacing w:val="-5"/>
                            <w:sz w:val="28"/>
                          </w:rPr>
                          <w:t>19</w:t>
                        </w:r>
                      </w:p>
                    </w:txbxContent>
                  </v:textbox>
                  <w10:wrap type="none"/>
                </v:shape>
                <v:shape style="position:absolute;left:1417;top:1700;width:8844;height:280" type="#_x0000_t202" id="docshape221" filled="false" stroked="false">
                  <v:textbox inset="0,0,0,0">
                    <w:txbxContent>
                      <w:p>
                        <w:pPr>
                          <w:spacing w:line="280" w:lineRule="exact" w:before="0"/>
                          <w:ind w:left="0" w:right="0" w:firstLine="0"/>
                          <w:jc w:val="left"/>
                          <w:rPr>
                            <w:sz w:val="28"/>
                          </w:rPr>
                        </w:pPr>
                        <w:r>
                          <w:rPr>
                            <w:sz w:val="28"/>
                          </w:rPr>
                          <w:t>The</w:t>
                        </w:r>
                        <w:r>
                          <w:rPr>
                            <w:spacing w:val="-6"/>
                            <w:sz w:val="28"/>
                          </w:rPr>
                          <w:t> </w:t>
                        </w:r>
                        <w:r>
                          <w:rPr>
                            <w:sz w:val="28"/>
                          </w:rPr>
                          <w:t>1998</w:t>
                        </w:r>
                        <w:r>
                          <w:rPr>
                            <w:spacing w:val="-6"/>
                            <w:sz w:val="28"/>
                          </w:rPr>
                          <w:t> </w:t>
                        </w:r>
                        <w:r>
                          <w:rPr>
                            <w:sz w:val="28"/>
                          </w:rPr>
                          <w:t>Agreement</w:t>
                        </w:r>
                        <w:r>
                          <w:rPr>
                            <w:spacing w:val="-5"/>
                            <w:sz w:val="28"/>
                          </w:rPr>
                          <w:t> </w:t>
                        </w:r>
                        <w:r>
                          <w:rPr>
                            <w:sz w:val="28"/>
                          </w:rPr>
                          <w:t>refers</w:t>
                        </w:r>
                        <w:r>
                          <w:rPr>
                            <w:spacing w:val="-7"/>
                            <w:sz w:val="28"/>
                          </w:rPr>
                          <w:t> </w:t>
                        </w:r>
                        <w:r>
                          <w:rPr>
                            <w:sz w:val="28"/>
                          </w:rPr>
                          <w:t>to</w:t>
                        </w:r>
                        <w:r>
                          <w:rPr>
                            <w:spacing w:val="-6"/>
                            <w:sz w:val="28"/>
                          </w:rPr>
                          <w:t> </w:t>
                        </w:r>
                        <w:r>
                          <w:rPr>
                            <w:sz w:val="28"/>
                          </w:rPr>
                          <w:t>the</w:t>
                        </w:r>
                        <w:r>
                          <w:rPr>
                            <w:spacing w:val="-6"/>
                            <w:sz w:val="28"/>
                          </w:rPr>
                          <w:t> </w:t>
                        </w:r>
                        <w:r>
                          <w:rPr>
                            <w:sz w:val="28"/>
                          </w:rPr>
                          <w:t>European</w:t>
                        </w:r>
                        <w:r>
                          <w:rPr>
                            <w:spacing w:val="-6"/>
                            <w:sz w:val="28"/>
                          </w:rPr>
                          <w:t> </w:t>
                        </w:r>
                        <w:r>
                          <w:rPr>
                            <w:sz w:val="28"/>
                          </w:rPr>
                          <w:t>Union</w:t>
                        </w:r>
                        <w:r>
                          <w:rPr>
                            <w:spacing w:val="-7"/>
                            <w:sz w:val="28"/>
                          </w:rPr>
                          <w:t> </w:t>
                        </w:r>
                        <w:r>
                          <w:rPr>
                            <w:sz w:val="28"/>
                          </w:rPr>
                          <w:t>in</w:t>
                        </w:r>
                        <w:r>
                          <w:rPr>
                            <w:spacing w:val="-6"/>
                            <w:sz w:val="28"/>
                          </w:rPr>
                          <w:t> </w:t>
                        </w:r>
                        <w:r>
                          <w:rPr>
                            <w:sz w:val="28"/>
                          </w:rPr>
                          <w:t>several</w:t>
                        </w:r>
                        <w:r>
                          <w:rPr>
                            <w:spacing w:val="-7"/>
                            <w:sz w:val="28"/>
                          </w:rPr>
                          <w:t> </w:t>
                        </w:r>
                        <w:r>
                          <w:rPr>
                            <w:sz w:val="28"/>
                          </w:rPr>
                          <w:t>places</w:t>
                        </w:r>
                        <w:r>
                          <w:rPr>
                            <w:spacing w:val="-6"/>
                            <w:sz w:val="28"/>
                          </w:rPr>
                          <w:t> </w:t>
                        </w:r>
                        <w:r>
                          <w:rPr>
                            <w:sz w:val="28"/>
                          </w:rPr>
                          <w:t>and</w:t>
                        </w:r>
                        <w:r>
                          <w:rPr>
                            <w:spacing w:val="-6"/>
                            <w:sz w:val="28"/>
                          </w:rPr>
                          <w:t> </w:t>
                        </w:r>
                        <w:r>
                          <w:rPr>
                            <w:spacing w:val="-4"/>
                            <w:sz w:val="28"/>
                          </w:rPr>
                          <w:t>more</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right="805"/>
      </w:pPr>
      <w:bookmarkStart w:name="1.2.2 UK EU Withdrawal Agreement" w:id="30"/>
      <w:bookmarkEnd w:id="30"/>
      <w:r>
        <w:rPr/>
      </w:r>
      <w:bookmarkStart w:name="_bookmark12" w:id="31"/>
      <w:bookmarkEnd w:id="31"/>
      <w:r>
        <w:rPr/>
      </w:r>
      <w:r>
        <w:rPr/>
        <w:t>generally the European Union has provided important underpinnings for the Agreement</w:t>
      </w:r>
      <w:r>
        <w:rPr>
          <w:spacing w:val="-5"/>
        </w:rPr>
        <w:t> </w:t>
      </w:r>
      <w:r>
        <w:rPr/>
        <w:t>and</w:t>
      </w:r>
      <w:r>
        <w:rPr>
          <w:spacing w:val="-6"/>
        </w:rPr>
        <w:t> </w:t>
      </w:r>
      <w:r>
        <w:rPr/>
        <w:t>the</w:t>
      </w:r>
      <w:r>
        <w:rPr>
          <w:spacing w:val="-5"/>
        </w:rPr>
        <w:t> </w:t>
      </w:r>
      <w:r>
        <w:rPr/>
        <w:t>wider</w:t>
      </w:r>
      <w:r>
        <w:rPr>
          <w:spacing w:val="-6"/>
        </w:rPr>
        <w:t> </w:t>
      </w:r>
      <w:r>
        <w:rPr/>
        <w:t>peace</w:t>
      </w:r>
      <w:r>
        <w:rPr>
          <w:spacing w:val="-5"/>
        </w:rPr>
        <w:t> </w:t>
      </w:r>
      <w:r>
        <w:rPr/>
        <w:t>process,</w:t>
      </w:r>
      <w:r>
        <w:rPr>
          <w:spacing w:val="-6"/>
        </w:rPr>
        <w:t> </w:t>
      </w:r>
      <w:r>
        <w:rPr/>
        <w:t>including</w:t>
      </w:r>
      <w:r>
        <w:rPr>
          <w:spacing w:val="-5"/>
        </w:rPr>
        <w:t> </w:t>
      </w:r>
      <w:r>
        <w:rPr/>
        <w:t>rights</w:t>
      </w:r>
      <w:r>
        <w:rPr>
          <w:spacing w:val="-6"/>
        </w:rPr>
        <w:t> </w:t>
      </w:r>
      <w:r>
        <w:rPr/>
        <w:t>and</w:t>
      </w:r>
      <w:r>
        <w:rPr>
          <w:spacing w:val="-6"/>
        </w:rPr>
        <w:t> </w:t>
      </w:r>
      <w:r>
        <w:rPr/>
        <w:t>equality</w:t>
      </w:r>
      <w:r>
        <w:rPr>
          <w:spacing w:val="-5"/>
        </w:rPr>
        <w:t> </w:t>
      </w:r>
      <w:r>
        <w:rPr/>
        <w:t>protections. As part of the negotiations around the UK’s exit from the European Union, both the</w:t>
      </w:r>
      <w:r>
        <w:rPr>
          <w:spacing w:val="-3"/>
        </w:rPr>
        <w:t> </w:t>
      </w:r>
      <w:r>
        <w:rPr/>
        <w:t>UK</w:t>
      </w:r>
      <w:r>
        <w:rPr>
          <w:spacing w:val="-3"/>
        </w:rPr>
        <w:t> </w:t>
      </w:r>
      <w:r>
        <w:rPr/>
        <w:t>and</w:t>
      </w:r>
      <w:r>
        <w:rPr>
          <w:spacing w:val="-4"/>
        </w:rPr>
        <w:t> </w:t>
      </w:r>
      <w:r>
        <w:rPr/>
        <w:t>EU</w:t>
      </w:r>
      <w:r>
        <w:rPr>
          <w:spacing w:val="-3"/>
        </w:rPr>
        <w:t> </w:t>
      </w:r>
      <w:r>
        <w:rPr/>
        <w:t>agreed</w:t>
      </w:r>
      <w:r>
        <w:rPr>
          <w:spacing w:val="-4"/>
        </w:rPr>
        <w:t> </w:t>
      </w:r>
      <w:r>
        <w:rPr/>
        <w:t>that</w:t>
      </w:r>
      <w:r>
        <w:rPr>
          <w:spacing w:val="-3"/>
        </w:rPr>
        <w:t> </w:t>
      </w:r>
      <w:r>
        <w:rPr/>
        <w:t>European</w:t>
      </w:r>
      <w:r>
        <w:rPr>
          <w:spacing w:val="-4"/>
        </w:rPr>
        <w:t> </w:t>
      </w:r>
      <w:r>
        <w:rPr/>
        <w:t>law</w:t>
      </w:r>
      <w:r>
        <w:rPr>
          <w:spacing w:val="-3"/>
        </w:rPr>
        <w:t> </w:t>
      </w:r>
      <w:r>
        <w:rPr/>
        <w:t>had</w:t>
      </w:r>
      <w:r>
        <w:rPr>
          <w:spacing w:val="-4"/>
        </w:rPr>
        <w:t> </w:t>
      </w:r>
      <w:r>
        <w:rPr/>
        <w:t>provided</w:t>
      </w:r>
      <w:r>
        <w:rPr>
          <w:spacing w:val="-4"/>
        </w:rPr>
        <w:t> </w:t>
      </w:r>
      <w:r>
        <w:rPr/>
        <w:t>such</w:t>
      </w:r>
      <w:r>
        <w:rPr>
          <w:spacing w:val="-4"/>
        </w:rPr>
        <w:t> </w:t>
      </w:r>
      <w:r>
        <w:rPr/>
        <w:t>underpinning</w:t>
      </w:r>
      <w:r>
        <w:rPr>
          <w:spacing w:val="-3"/>
        </w:rPr>
        <w:t> </w:t>
      </w:r>
      <w:r>
        <w:rPr/>
        <w:t>and</w:t>
      </w:r>
      <w:r>
        <w:rPr>
          <w:spacing w:val="-4"/>
        </w:rPr>
        <w:t> </w:t>
      </w:r>
      <w:r>
        <w:rPr/>
        <w:t>this needed</w:t>
      </w:r>
      <w:r>
        <w:rPr>
          <w:spacing w:val="-8"/>
        </w:rPr>
        <w:t> </w:t>
      </w:r>
      <w:r>
        <w:rPr/>
        <w:t>to</w:t>
      </w:r>
      <w:r>
        <w:rPr>
          <w:spacing w:val="-8"/>
        </w:rPr>
        <w:t> </w:t>
      </w:r>
      <w:r>
        <w:rPr/>
        <w:t>be</w:t>
      </w:r>
      <w:r>
        <w:rPr>
          <w:spacing w:val="-7"/>
        </w:rPr>
        <w:t> </w:t>
      </w:r>
      <w:r>
        <w:rPr/>
        <w:t>protected</w:t>
      </w:r>
      <w:r>
        <w:rPr>
          <w:spacing w:val="-8"/>
        </w:rPr>
        <w:t> </w:t>
      </w:r>
      <w:r>
        <w:rPr/>
        <w:t>in</w:t>
      </w:r>
      <w:r>
        <w:rPr>
          <w:spacing w:val="-8"/>
        </w:rPr>
        <w:t> </w:t>
      </w:r>
      <w:r>
        <w:rPr/>
        <w:t>any</w:t>
      </w:r>
      <w:r>
        <w:rPr>
          <w:spacing w:val="-7"/>
        </w:rPr>
        <w:t> </w:t>
      </w:r>
      <w:r>
        <w:rPr/>
        <w:t>agreement</w:t>
      </w:r>
      <w:r>
        <w:rPr>
          <w:spacing w:val="-7"/>
        </w:rPr>
        <w:t> </w:t>
      </w:r>
      <w:r>
        <w:rPr/>
        <w:t>on</w:t>
      </w:r>
      <w:r>
        <w:rPr>
          <w:spacing w:val="-8"/>
        </w:rPr>
        <w:t> </w:t>
      </w:r>
      <w:r>
        <w:rPr/>
        <w:t>the</w:t>
      </w:r>
      <w:r>
        <w:rPr>
          <w:spacing w:val="-7"/>
        </w:rPr>
        <w:t> </w:t>
      </w:r>
      <w:r>
        <w:rPr/>
        <w:t>UK’s</w:t>
      </w:r>
      <w:r>
        <w:rPr>
          <w:spacing w:val="-8"/>
        </w:rPr>
        <w:t> </w:t>
      </w:r>
      <w:r>
        <w:rPr/>
        <w:t>exit.</w:t>
      </w:r>
      <w:r>
        <w:rPr>
          <w:spacing w:val="-8"/>
        </w:rPr>
        <w:t> </w:t>
      </w:r>
      <w:r>
        <w:rPr/>
        <w:t>According</w:t>
      </w:r>
      <w:r>
        <w:rPr>
          <w:spacing w:val="-7"/>
        </w:rPr>
        <w:t> </w:t>
      </w:r>
      <w:r>
        <w:rPr/>
        <w:t>to</w:t>
      </w:r>
      <w:r>
        <w:rPr>
          <w:spacing w:val="-8"/>
        </w:rPr>
        <w:t> </w:t>
      </w:r>
      <w:r>
        <w:rPr/>
        <w:t>paragraph 53 of the EU-UK Joint Report in 2017:</w:t>
      </w:r>
    </w:p>
    <w:p>
      <w:pPr>
        <w:pStyle w:val="BodyText"/>
        <w:spacing w:before="10"/>
        <w:rPr>
          <w:sz w:val="19"/>
        </w:rPr>
      </w:pPr>
      <w:r>
        <w:rPr/>
        <mc:AlternateContent>
          <mc:Choice Requires="wps">
            <w:drawing>
              <wp:anchor distT="0" distB="0" distL="0" distR="0" allowOverlap="1" layoutInCell="1" locked="0" behindDoc="1" simplePos="0" relativeHeight="487639040">
                <wp:simplePos x="0" y="0"/>
                <wp:positionH relativeFrom="page">
                  <wp:posOffset>899994</wp:posOffset>
                </wp:positionH>
                <wp:positionV relativeFrom="paragraph">
                  <wp:posOffset>169241</wp:posOffset>
                </wp:positionV>
                <wp:extent cx="6012180" cy="2070735"/>
                <wp:effectExtent l="0" t="0" r="0" b="0"/>
                <wp:wrapTopAndBottom/>
                <wp:docPr id="284" name="Group 284"/>
                <wp:cNvGraphicFramePr>
                  <a:graphicFrameLocks/>
                </wp:cNvGraphicFramePr>
                <a:graphic>
                  <a:graphicData uri="http://schemas.microsoft.com/office/word/2010/wordprocessingGroup">
                    <wpg:wgp>
                      <wpg:cNvPr id="284" name="Group 284"/>
                      <wpg:cNvGrpSpPr/>
                      <wpg:grpSpPr>
                        <a:xfrm>
                          <a:off x="0" y="0"/>
                          <a:ext cx="6012180" cy="2070735"/>
                          <a:chExt cx="6012180" cy="2070735"/>
                        </a:xfrm>
                      </wpg:grpSpPr>
                      <wps:wsp>
                        <wps:cNvPr id="285" name="Graphic 285"/>
                        <wps:cNvSpPr/>
                        <wps:spPr>
                          <a:xfrm>
                            <a:off x="0" y="0"/>
                            <a:ext cx="6012180" cy="2070735"/>
                          </a:xfrm>
                          <a:custGeom>
                            <a:avLst/>
                            <a:gdLst/>
                            <a:ahLst/>
                            <a:cxnLst/>
                            <a:rect l="l" t="t" r="r" b="b"/>
                            <a:pathLst>
                              <a:path w="6012180" h="2070735">
                                <a:moveTo>
                                  <a:pt x="5868009" y="0"/>
                                </a:moveTo>
                                <a:lnTo>
                                  <a:pt x="144005" y="0"/>
                                </a:lnTo>
                                <a:lnTo>
                                  <a:pt x="98490" y="7340"/>
                                </a:lnTo>
                                <a:lnTo>
                                  <a:pt x="58959" y="27782"/>
                                </a:lnTo>
                                <a:lnTo>
                                  <a:pt x="27785" y="58954"/>
                                </a:lnTo>
                                <a:lnTo>
                                  <a:pt x="7341" y="98485"/>
                                </a:lnTo>
                                <a:lnTo>
                                  <a:pt x="0" y="144005"/>
                                </a:lnTo>
                                <a:lnTo>
                                  <a:pt x="0" y="1926196"/>
                                </a:lnTo>
                                <a:lnTo>
                                  <a:pt x="7341" y="1971711"/>
                                </a:lnTo>
                                <a:lnTo>
                                  <a:pt x="27785" y="2011242"/>
                                </a:lnTo>
                                <a:lnTo>
                                  <a:pt x="58959" y="2042415"/>
                                </a:lnTo>
                                <a:lnTo>
                                  <a:pt x="98490" y="2062859"/>
                                </a:lnTo>
                                <a:lnTo>
                                  <a:pt x="144005" y="2070201"/>
                                </a:lnTo>
                                <a:lnTo>
                                  <a:pt x="5868009" y="2070201"/>
                                </a:lnTo>
                                <a:lnTo>
                                  <a:pt x="5913523" y="2062859"/>
                                </a:lnTo>
                                <a:lnTo>
                                  <a:pt x="5953050" y="2042415"/>
                                </a:lnTo>
                                <a:lnTo>
                                  <a:pt x="5984220" y="2011242"/>
                                </a:lnTo>
                                <a:lnTo>
                                  <a:pt x="6004661" y="1971711"/>
                                </a:lnTo>
                                <a:lnTo>
                                  <a:pt x="6012002" y="19261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286" name="Textbox 286"/>
                        <wps:cNvSpPr txBox="1"/>
                        <wps:spPr>
                          <a:xfrm>
                            <a:off x="0" y="0"/>
                            <a:ext cx="6012180" cy="2070735"/>
                          </a:xfrm>
                          <a:prstGeom prst="rect">
                            <a:avLst/>
                          </a:prstGeom>
                        </wps:spPr>
                        <wps:txbx>
                          <w:txbxContent>
                            <w:p>
                              <w:pPr>
                                <w:spacing w:line="232" w:lineRule="auto" w:before="121"/>
                                <w:ind w:left="340" w:right="196" w:firstLine="0"/>
                                <w:jc w:val="left"/>
                                <w:rPr>
                                  <w:sz w:val="28"/>
                                </w:rPr>
                              </w:pPr>
                              <w:r>
                                <w:rPr>
                                  <w:color w:val="164194"/>
                                  <w:sz w:val="28"/>
                                </w:rPr>
                                <w:t>The</w:t>
                              </w:r>
                              <w:r>
                                <w:rPr>
                                  <w:color w:val="164194"/>
                                  <w:spacing w:val="-8"/>
                                  <w:sz w:val="28"/>
                                </w:rPr>
                                <w:t> </w:t>
                              </w:r>
                              <w:r>
                                <w:rPr>
                                  <w:color w:val="164194"/>
                                  <w:sz w:val="28"/>
                                </w:rPr>
                                <w:t>1998</w:t>
                              </w:r>
                              <w:r>
                                <w:rPr>
                                  <w:color w:val="164194"/>
                                  <w:spacing w:val="-8"/>
                                  <w:sz w:val="28"/>
                                </w:rPr>
                                <w:t> </w:t>
                              </w:r>
                              <w:r>
                                <w:rPr>
                                  <w:color w:val="164194"/>
                                  <w:sz w:val="28"/>
                                </w:rPr>
                                <w:t>Agreement</w:t>
                              </w:r>
                              <w:r>
                                <w:rPr>
                                  <w:color w:val="164194"/>
                                  <w:spacing w:val="-8"/>
                                  <w:sz w:val="28"/>
                                </w:rPr>
                                <w:t> </w:t>
                              </w:r>
                              <w:r>
                                <w:rPr>
                                  <w:color w:val="164194"/>
                                  <w:sz w:val="28"/>
                                </w:rPr>
                                <w:t>also</w:t>
                              </w:r>
                              <w:r>
                                <w:rPr>
                                  <w:color w:val="164194"/>
                                  <w:spacing w:val="-9"/>
                                  <w:sz w:val="28"/>
                                </w:rPr>
                                <w:t> </w:t>
                              </w:r>
                              <w:r>
                                <w:rPr>
                                  <w:color w:val="164194"/>
                                  <w:sz w:val="28"/>
                                </w:rPr>
                                <w:t>includes</w:t>
                              </w:r>
                              <w:r>
                                <w:rPr>
                                  <w:color w:val="164194"/>
                                  <w:spacing w:val="-9"/>
                                  <w:sz w:val="28"/>
                                </w:rPr>
                                <w:t> </w:t>
                              </w:r>
                              <w:r>
                                <w:rPr>
                                  <w:color w:val="164194"/>
                                  <w:sz w:val="28"/>
                                </w:rPr>
                                <w:t>important</w:t>
                              </w:r>
                              <w:r>
                                <w:rPr>
                                  <w:color w:val="164194"/>
                                  <w:spacing w:val="-8"/>
                                  <w:sz w:val="28"/>
                                </w:rPr>
                                <w:t> </w:t>
                              </w:r>
                              <w:r>
                                <w:rPr>
                                  <w:color w:val="164194"/>
                                  <w:sz w:val="28"/>
                                </w:rPr>
                                <w:t>provisions</w:t>
                              </w:r>
                              <w:r>
                                <w:rPr>
                                  <w:color w:val="164194"/>
                                  <w:spacing w:val="-9"/>
                                  <w:sz w:val="28"/>
                                </w:rPr>
                                <w:t> </w:t>
                              </w:r>
                              <w:r>
                                <w:rPr>
                                  <w:color w:val="164194"/>
                                  <w:sz w:val="28"/>
                                </w:rPr>
                                <w:t>on</w:t>
                              </w:r>
                              <w:r>
                                <w:rPr>
                                  <w:color w:val="164194"/>
                                  <w:spacing w:val="-9"/>
                                  <w:sz w:val="28"/>
                                </w:rPr>
                                <w:t> </w:t>
                              </w:r>
                              <w:r>
                                <w:rPr>
                                  <w:color w:val="164194"/>
                                  <w:sz w:val="28"/>
                                </w:rPr>
                                <w:t>Rights,</w:t>
                              </w:r>
                              <w:r>
                                <w:rPr>
                                  <w:color w:val="164194"/>
                                  <w:spacing w:val="-8"/>
                                  <w:sz w:val="28"/>
                                </w:rPr>
                                <w:t> </w:t>
                              </w:r>
                              <w:r>
                                <w:rPr>
                                  <w:color w:val="164194"/>
                                  <w:sz w:val="28"/>
                                </w:rPr>
                                <w:t>Safeguards and Equality of Opportunity for which EU law and practice has provided a supporting framework in Northern Ireland and across the island of Ireland.</w:t>
                              </w:r>
                            </w:p>
                            <w:p>
                              <w:pPr>
                                <w:spacing w:line="232" w:lineRule="auto" w:before="0"/>
                                <w:ind w:left="340" w:right="147" w:firstLine="0"/>
                                <w:jc w:val="left"/>
                                <w:rPr>
                                  <w:sz w:val="28"/>
                                </w:rPr>
                              </w:pPr>
                              <w:r>
                                <w:rPr>
                                  <w:color w:val="164194"/>
                                  <w:sz w:val="28"/>
                                </w:rPr>
                                <w:t>The United Kingdom commits to ensuring that no diminution of rights is</w:t>
                              </w:r>
                              <w:r>
                                <w:rPr>
                                  <w:color w:val="164194"/>
                                  <w:spacing w:val="40"/>
                                  <w:sz w:val="28"/>
                                </w:rPr>
                                <w:t> </w:t>
                              </w:r>
                              <w:r>
                                <w:rPr>
                                  <w:color w:val="164194"/>
                                  <w:sz w:val="28"/>
                                </w:rPr>
                                <w:t>caused by its departure from the European Union, including in the area of protection against forms of discrimination enshrined in EU law. The United Kingdom</w:t>
                              </w:r>
                              <w:r>
                                <w:rPr>
                                  <w:color w:val="164194"/>
                                  <w:spacing w:val="-7"/>
                                  <w:sz w:val="28"/>
                                </w:rPr>
                                <w:t> </w:t>
                              </w:r>
                              <w:r>
                                <w:rPr>
                                  <w:color w:val="164194"/>
                                  <w:sz w:val="28"/>
                                </w:rPr>
                                <w:t>commits</w:t>
                              </w:r>
                              <w:r>
                                <w:rPr>
                                  <w:color w:val="164194"/>
                                  <w:spacing w:val="-8"/>
                                  <w:sz w:val="28"/>
                                </w:rPr>
                                <w:t> </w:t>
                              </w:r>
                              <w:r>
                                <w:rPr>
                                  <w:color w:val="164194"/>
                                  <w:sz w:val="28"/>
                                </w:rPr>
                                <w:t>to</w:t>
                              </w:r>
                              <w:r>
                                <w:rPr>
                                  <w:color w:val="164194"/>
                                  <w:spacing w:val="-8"/>
                                  <w:sz w:val="28"/>
                                </w:rPr>
                                <w:t> </w:t>
                              </w:r>
                              <w:r>
                                <w:rPr>
                                  <w:color w:val="164194"/>
                                  <w:sz w:val="28"/>
                                </w:rPr>
                                <w:t>facilitating</w:t>
                              </w:r>
                              <w:r>
                                <w:rPr>
                                  <w:color w:val="164194"/>
                                  <w:spacing w:val="-7"/>
                                  <w:sz w:val="28"/>
                                </w:rPr>
                                <w:t> </w:t>
                              </w:r>
                              <w:r>
                                <w:rPr>
                                  <w:color w:val="164194"/>
                                  <w:sz w:val="28"/>
                                </w:rPr>
                                <w:t>the</w:t>
                              </w:r>
                              <w:r>
                                <w:rPr>
                                  <w:color w:val="164194"/>
                                  <w:spacing w:val="-7"/>
                                  <w:sz w:val="28"/>
                                </w:rPr>
                                <w:t> </w:t>
                              </w:r>
                              <w:r>
                                <w:rPr>
                                  <w:color w:val="164194"/>
                                  <w:sz w:val="28"/>
                                </w:rPr>
                                <w:t>related</w:t>
                              </w:r>
                              <w:r>
                                <w:rPr>
                                  <w:color w:val="164194"/>
                                  <w:spacing w:val="-8"/>
                                  <w:sz w:val="28"/>
                                </w:rPr>
                                <w:t> </w:t>
                              </w:r>
                              <w:r>
                                <w:rPr>
                                  <w:color w:val="164194"/>
                                  <w:sz w:val="28"/>
                                </w:rPr>
                                <w:t>work</w:t>
                              </w:r>
                              <w:r>
                                <w:rPr>
                                  <w:color w:val="164194"/>
                                  <w:spacing w:val="-7"/>
                                  <w:sz w:val="28"/>
                                </w:rPr>
                                <w:t> </w:t>
                              </w:r>
                              <w:r>
                                <w:rPr>
                                  <w:color w:val="164194"/>
                                  <w:sz w:val="28"/>
                                </w:rPr>
                                <w:t>of</w:t>
                              </w:r>
                              <w:r>
                                <w:rPr>
                                  <w:color w:val="164194"/>
                                  <w:spacing w:val="-8"/>
                                  <w:sz w:val="28"/>
                                </w:rPr>
                                <w:t> </w:t>
                              </w:r>
                              <w:r>
                                <w:rPr>
                                  <w:color w:val="164194"/>
                                  <w:sz w:val="28"/>
                                </w:rPr>
                                <w:t>the</w:t>
                              </w:r>
                              <w:r>
                                <w:rPr>
                                  <w:color w:val="164194"/>
                                  <w:spacing w:val="-7"/>
                                  <w:sz w:val="28"/>
                                </w:rPr>
                                <w:t> </w:t>
                              </w:r>
                              <w:r>
                                <w:rPr>
                                  <w:color w:val="164194"/>
                                  <w:sz w:val="28"/>
                                </w:rPr>
                                <w:t>institutions</w:t>
                              </w:r>
                              <w:r>
                                <w:rPr>
                                  <w:color w:val="164194"/>
                                  <w:spacing w:val="-8"/>
                                  <w:sz w:val="28"/>
                                </w:rPr>
                                <w:t> </w:t>
                              </w:r>
                              <w:r>
                                <w:rPr>
                                  <w:color w:val="164194"/>
                                  <w:sz w:val="28"/>
                                </w:rPr>
                                <w:t>and</w:t>
                              </w:r>
                              <w:r>
                                <w:rPr>
                                  <w:color w:val="164194"/>
                                  <w:spacing w:val="-8"/>
                                  <w:sz w:val="28"/>
                                </w:rPr>
                                <w:t> </w:t>
                              </w:r>
                              <w:r>
                                <w:rPr>
                                  <w:color w:val="164194"/>
                                  <w:sz w:val="28"/>
                                </w:rPr>
                                <w:t>bodies, established by the 1998 Agreement, in upholding human rights and equality </w:t>
                              </w:r>
                              <w:r>
                                <w:rPr>
                                  <w:color w:val="164194"/>
                                  <w:spacing w:val="-2"/>
                                  <w:sz w:val="28"/>
                                </w:rPr>
                                <w:t>standards.</w:t>
                              </w:r>
                              <w:r>
                                <w:rPr>
                                  <w:color w:val="164194"/>
                                  <w:spacing w:val="-2"/>
                                  <w:sz w:val="28"/>
                                  <w:vertAlign w:val="superscript"/>
                                </w:rPr>
                                <w:t>48</w:t>
                              </w:r>
                            </w:p>
                          </w:txbxContent>
                        </wps:txbx>
                        <wps:bodyPr wrap="square" lIns="0" tIns="0" rIns="0" bIns="0" rtlCol="0">
                          <a:noAutofit/>
                        </wps:bodyPr>
                      </wps:wsp>
                    </wpg:wgp>
                  </a:graphicData>
                </a:graphic>
              </wp:anchor>
            </w:drawing>
          </mc:Choice>
          <mc:Fallback>
            <w:pict>
              <v:group style="position:absolute;margin-left:70.8657pt;margin-top:13.326091pt;width:473.4pt;height:163.050pt;mso-position-horizontal-relative:page;mso-position-vertical-relative:paragraph;z-index:-15677440;mso-wrap-distance-left:0;mso-wrap-distance-right:0" id="docshapegroup222" coordorigin="1417,267" coordsize="9468,3261">
                <v:shape style="position:absolute;left:1417;top:266;width:9468;height:3261" id="docshape223" coordorigin="1417,267" coordsize="9468,3261" path="m10658,267l1644,267,1572,278,1510,310,1461,359,1429,422,1417,493,1417,3300,1429,3372,1461,3434,1510,3483,1572,3515,1644,3527,10658,3527,10730,3515,10792,3483,10841,3434,10873,3372,10885,3300,10885,493,10873,422,10841,359,10792,310,10730,278,10658,267xe" filled="true" fillcolor="#e9f3fc" stroked="false">
                  <v:path arrowok="t"/>
                  <v:fill type="solid"/>
                </v:shape>
                <v:shape style="position:absolute;left:1417;top:266;width:9468;height:3261" type="#_x0000_t202" id="docshape224" filled="false" stroked="false">
                  <v:textbox inset="0,0,0,0">
                    <w:txbxContent>
                      <w:p>
                        <w:pPr>
                          <w:spacing w:line="232" w:lineRule="auto" w:before="121"/>
                          <w:ind w:left="340" w:right="196" w:firstLine="0"/>
                          <w:jc w:val="left"/>
                          <w:rPr>
                            <w:sz w:val="28"/>
                          </w:rPr>
                        </w:pPr>
                        <w:r>
                          <w:rPr>
                            <w:color w:val="164194"/>
                            <w:sz w:val="28"/>
                          </w:rPr>
                          <w:t>The</w:t>
                        </w:r>
                        <w:r>
                          <w:rPr>
                            <w:color w:val="164194"/>
                            <w:spacing w:val="-8"/>
                            <w:sz w:val="28"/>
                          </w:rPr>
                          <w:t> </w:t>
                        </w:r>
                        <w:r>
                          <w:rPr>
                            <w:color w:val="164194"/>
                            <w:sz w:val="28"/>
                          </w:rPr>
                          <w:t>1998</w:t>
                        </w:r>
                        <w:r>
                          <w:rPr>
                            <w:color w:val="164194"/>
                            <w:spacing w:val="-8"/>
                            <w:sz w:val="28"/>
                          </w:rPr>
                          <w:t> </w:t>
                        </w:r>
                        <w:r>
                          <w:rPr>
                            <w:color w:val="164194"/>
                            <w:sz w:val="28"/>
                          </w:rPr>
                          <w:t>Agreement</w:t>
                        </w:r>
                        <w:r>
                          <w:rPr>
                            <w:color w:val="164194"/>
                            <w:spacing w:val="-8"/>
                            <w:sz w:val="28"/>
                          </w:rPr>
                          <w:t> </w:t>
                        </w:r>
                        <w:r>
                          <w:rPr>
                            <w:color w:val="164194"/>
                            <w:sz w:val="28"/>
                          </w:rPr>
                          <w:t>also</w:t>
                        </w:r>
                        <w:r>
                          <w:rPr>
                            <w:color w:val="164194"/>
                            <w:spacing w:val="-9"/>
                            <w:sz w:val="28"/>
                          </w:rPr>
                          <w:t> </w:t>
                        </w:r>
                        <w:r>
                          <w:rPr>
                            <w:color w:val="164194"/>
                            <w:sz w:val="28"/>
                          </w:rPr>
                          <w:t>includes</w:t>
                        </w:r>
                        <w:r>
                          <w:rPr>
                            <w:color w:val="164194"/>
                            <w:spacing w:val="-9"/>
                            <w:sz w:val="28"/>
                          </w:rPr>
                          <w:t> </w:t>
                        </w:r>
                        <w:r>
                          <w:rPr>
                            <w:color w:val="164194"/>
                            <w:sz w:val="28"/>
                          </w:rPr>
                          <w:t>important</w:t>
                        </w:r>
                        <w:r>
                          <w:rPr>
                            <w:color w:val="164194"/>
                            <w:spacing w:val="-8"/>
                            <w:sz w:val="28"/>
                          </w:rPr>
                          <w:t> </w:t>
                        </w:r>
                        <w:r>
                          <w:rPr>
                            <w:color w:val="164194"/>
                            <w:sz w:val="28"/>
                          </w:rPr>
                          <w:t>provisions</w:t>
                        </w:r>
                        <w:r>
                          <w:rPr>
                            <w:color w:val="164194"/>
                            <w:spacing w:val="-9"/>
                            <w:sz w:val="28"/>
                          </w:rPr>
                          <w:t> </w:t>
                        </w:r>
                        <w:r>
                          <w:rPr>
                            <w:color w:val="164194"/>
                            <w:sz w:val="28"/>
                          </w:rPr>
                          <w:t>on</w:t>
                        </w:r>
                        <w:r>
                          <w:rPr>
                            <w:color w:val="164194"/>
                            <w:spacing w:val="-9"/>
                            <w:sz w:val="28"/>
                          </w:rPr>
                          <w:t> </w:t>
                        </w:r>
                        <w:r>
                          <w:rPr>
                            <w:color w:val="164194"/>
                            <w:sz w:val="28"/>
                          </w:rPr>
                          <w:t>Rights,</w:t>
                        </w:r>
                        <w:r>
                          <w:rPr>
                            <w:color w:val="164194"/>
                            <w:spacing w:val="-8"/>
                            <w:sz w:val="28"/>
                          </w:rPr>
                          <w:t> </w:t>
                        </w:r>
                        <w:r>
                          <w:rPr>
                            <w:color w:val="164194"/>
                            <w:sz w:val="28"/>
                          </w:rPr>
                          <w:t>Safeguards and Equality of Opportunity for which EU law and practice has provided a supporting framework in Northern Ireland and across the island of Ireland.</w:t>
                        </w:r>
                      </w:p>
                      <w:p>
                        <w:pPr>
                          <w:spacing w:line="232" w:lineRule="auto" w:before="0"/>
                          <w:ind w:left="340" w:right="147" w:firstLine="0"/>
                          <w:jc w:val="left"/>
                          <w:rPr>
                            <w:sz w:val="28"/>
                          </w:rPr>
                        </w:pPr>
                        <w:r>
                          <w:rPr>
                            <w:color w:val="164194"/>
                            <w:sz w:val="28"/>
                          </w:rPr>
                          <w:t>The United Kingdom commits to ensuring that no diminution of rights is</w:t>
                        </w:r>
                        <w:r>
                          <w:rPr>
                            <w:color w:val="164194"/>
                            <w:spacing w:val="40"/>
                            <w:sz w:val="28"/>
                          </w:rPr>
                          <w:t> </w:t>
                        </w:r>
                        <w:r>
                          <w:rPr>
                            <w:color w:val="164194"/>
                            <w:sz w:val="28"/>
                          </w:rPr>
                          <w:t>caused by its departure from the European Union, including in the area of protection against forms of discrimination enshrined in EU law. The United Kingdom</w:t>
                        </w:r>
                        <w:r>
                          <w:rPr>
                            <w:color w:val="164194"/>
                            <w:spacing w:val="-7"/>
                            <w:sz w:val="28"/>
                          </w:rPr>
                          <w:t> </w:t>
                        </w:r>
                        <w:r>
                          <w:rPr>
                            <w:color w:val="164194"/>
                            <w:sz w:val="28"/>
                          </w:rPr>
                          <w:t>commits</w:t>
                        </w:r>
                        <w:r>
                          <w:rPr>
                            <w:color w:val="164194"/>
                            <w:spacing w:val="-8"/>
                            <w:sz w:val="28"/>
                          </w:rPr>
                          <w:t> </w:t>
                        </w:r>
                        <w:r>
                          <w:rPr>
                            <w:color w:val="164194"/>
                            <w:sz w:val="28"/>
                          </w:rPr>
                          <w:t>to</w:t>
                        </w:r>
                        <w:r>
                          <w:rPr>
                            <w:color w:val="164194"/>
                            <w:spacing w:val="-8"/>
                            <w:sz w:val="28"/>
                          </w:rPr>
                          <w:t> </w:t>
                        </w:r>
                        <w:r>
                          <w:rPr>
                            <w:color w:val="164194"/>
                            <w:sz w:val="28"/>
                          </w:rPr>
                          <w:t>facilitating</w:t>
                        </w:r>
                        <w:r>
                          <w:rPr>
                            <w:color w:val="164194"/>
                            <w:spacing w:val="-7"/>
                            <w:sz w:val="28"/>
                          </w:rPr>
                          <w:t> </w:t>
                        </w:r>
                        <w:r>
                          <w:rPr>
                            <w:color w:val="164194"/>
                            <w:sz w:val="28"/>
                          </w:rPr>
                          <w:t>the</w:t>
                        </w:r>
                        <w:r>
                          <w:rPr>
                            <w:color w:val="164194"/>
                            <w:spacing w:val="-7"/>
                            <w:sz w:val="28"/>
                          </w:rPr>
                          <w:t> </w:t>
                        </w:r>
                        <w:r>
                          <w:rPr>
                            <w:color w:val="164194"/>
                            <w:sz w:val="28"/>
                          </w:rPr>
                          <w:t>related</w:t>
                        </w:r>
                        <w:r>
                          <w:rPr>
                            <w:color w:val="164194"/>
                            <w:spacing w:val="-8"/>
                            <w:sz w:val="28"/>
                          </w:rPr>
                          <w:t> </w:t>
                        </w:r>
                        <w:r>
                          <w:rPr>
                            <w:color w:val="164194"/>
                            <w:sz w:val="28"/>
                          </w:rPr>
                          <w:t>work</w:t>
                        </w:r>
                        <w:r>
                          <w:rPr>
                            <w:color w:val="164194"/>
                            <w:spacing w:val="-7"/>
                            <w:sz w:val="28"/>
                          </w:rPr>
                          <w:t> </w:t>
                        </w:r>
                        <w:r>
                          <w:rPr>
                            <w:color w:val="164194"/>
                            <w:sz w:val="28"/>
                          </w:rPr>
                          <w:t>of</w:t>
                        </w:r>
                        <w:r>
                          <w:rPr>
                            <w:color w:val="164194"/>
                            <w:spacing w:val="-8"/>
                            <w:sz w:val="28"/>
                          </w:rPr>
                          <w:t> </w:t>
                        </w:r>
                        <w:r>
                          <w:rPr>
                            <w:color w:val="164194"/>
                            <w:sz w:val="28"/>
                          </w:rPr>
                          <w:t>the</w:t>
                        </w:r>
                        <w:r>
                          <w:rPr>
                            <w:color w:val="164194"/>
                            <w:spacing w:val="-7"/>
                            <w:sz w:val="28"/>
                          </w:rPr>
                          <w:t> </w:t>
                        </w:r>
                        <w:r>
                          <w:rPr>
                            <w:color w:val="164194"/>
                            <w:sz w:val="28"/>
                          </w:rPr>
                          <w:t>institutions</w:t>
                        </w:r>
                        <w:r>
                          <w:rPr>
                            <w:color w:val="164194"/>
                            <w:spacing w:val="-8"/>
                            <w:sz w:val="28"/>
                          </w:rPr>
                          <w:t> </w:t>
                        </w:r>
                        <w:r>
                          <w:rPr>
                            <w:color w:val="164194"/>
                            <w:sz w:val="28"/>
                          </w:rPr>
                          <w:t>and</w:t>
                        </w:r>
                        <w:r>
                          <w:rPr>
                            <w:color w:val="164194"/>
                            <w:spacing w:val="-8"/>
                            <w:sz w:val="28"/>
                          </w:rPr>
                          <w:t> </w:t>
                        </w:r>
                        <w:r>
                          <w:rPr>
                            <w:color w:val="164194"/>
                            <w:sz w:val="28"/>
                          </w:rPr>
                          <w:t>bodies, established by the 1998 Agreement, in upholding human rights and equality </w:t>
                        </w:r>
                        <w:r>
                          <w:rPr>
                            <w:color w:val="164194"/>
                            <w:spacing w:val="-2"/>
                            <w:sz w:val="28"/>
                          </w:rPr>
                          <w:t>standards.</w:t>
                        </w:r>
                        <w:r>
                          <w:rPr>
                            <w:color w:val="164194"/>
                            <w:spacing w:val="-2"/>
                            <w:sz w:val="28"/>
                            <w:vertAlign w:val="superscript"/>
                          </w:rPr>
                          <w:t>48</w:t>
                        </w:r>
                      </w:p>
                    </w:txbxContent>
                  </v:textbox>
                  <w10:wrap type="none"/>
                </v:shape>
                <w10:wrap type="topAndBottom"/>
              </v:group>
            </w:pict>
          </mc:Fallback>
        </mc:AlternateContent>
      </w:r>
    </w:p>
    <w:p>
      <w:pPr>
        <w:pStyle w:val="BodyText"/>
        <w:spacing w:before="1"/>
      </w:pPr>
    </w:p>
    <w:p>
      <w:pPr>
        <w:pStyle w:val="Heading3"/>
        <w:numPr>
          <w:ilvl w:val="2"/>
          <w:numId w:val="10"/>
        </w:numPr>
        <w:tabs>
          <w:tab w:pos="1755" w:val="left" w:leader="none"/>
        </w:tabs>
        <w:spacing w:line="336" w:lineRule="exact" w:before="0" w:after="0"/>
        <w:ind w:left="1755" w:right="0" w:hanging="638"/>
        <w:jc w:val="left"/>
      </w:pPr>
      <w:r>
        <w:rPr>
          <w:color w:val="004A93"/>
        </w:rPr>
        <w:t>UK</w:t>
      </w:r>
      <w:r>
        <w:rPr>
          <w:color w:val="004A93"/>
          <w:spacing w:val="-9"/>
        </w:rPr>
        <w:t> </w:t>
      </w:r>
      <w:r>
        <w:rPr>
          <w:color w:val="004A93"/>
        </w:rPr>
        <w:t>EU</w:t>
      </w:r>
      <w:r>
        <w:rPr>
          <w:color w:val="004A93"/>
          <w:spacing w:val="-6"/>
        </w:rPr>
        <w:t> </w:t>
      </w:r>
      <w:r>
        <w:rPr>
          <w:color w:val="004A93"/>
        </w:rPr>
        <w:t>Withdrawal</w:t>
      </w:r>
      <w:r>
        <w:rPr>
          <w:color w:val="004A93"/>
          <w:spacing w:val="-6"/>
        </w:rPr>
        <w:t> </w:t>
      </w:r>
      <w:r>
        <w:rPr>
          <w:color w:val="004A93"/>
          <w:spacing w:val="-2"/>
        </w:rPr>
        <w:t>Agreement</w:t>
      </w:r>
    </w:p>
    <w:p>
      <w:pPr>
        <w:pStyle w:val="BodyText"/>
        <w:spacing w:line="232" w:lineRule="auto" w:before="3"/>
        <w:ind w:left="1117" w:right="1087"/>
      </w:pPr>
      <w:r>
        <w:rPr/>
        <w:t>These principles have found their way into the arrangements for the UK exit from</w:t>
      </w:r>
      <w:r>
        <w:rPr>
          <w:spacing w:val="-6"/>
        </w:rPr>
        <w:t> </w:t>
      </w:r>
      <w:r>
        <w:rPr/>
        <w:t>the</w:t>
      </w:r>
      <w:r>
        <w:rPr>
          <w:spacing w:val="-6"/>
        </w:rPr>
        <w:t> </w:t>
      </w:r>
      <w:r>
        <w:rPr/>
        <w:t>EU</w:t>
      </w:r>
      <w:r>
        <w:rPr>
          <w:spacing w:val="-6"/>
        </w:rPr>
        <w:t> </w:t>
      </w:r>
      <w:r>
        <w:rPr/>
        <w:t>provided</w:t>
      </w:r>
      <w:r>
        <w:rPr>
          <w:spacing w:val="-7"/>
        </w:rPr>
        <w:t> </w:t>
      </w:r>
      <w:r>
        <w:rPr/>
        <w:t>for</w:t>
      </w:r>
      <w:r>
        <w:rPr>
          <w:spacing w:val="-6"/>
        </w:rPr>
        <w:t> </w:t>
      </w:r>
      <w:r>
        <w:rPr/>
        <w:t>in</w:t>
      </w:r>
      <w:r>
        <w:rPr>
          <w:spacing w:val="-7"/>
        </w:rPr>
        <w:t> </w:t>
      </w:r>
      <w:r>
        <w:rPr/>
        <w:t>the</w:t>
      </w:r>
      <w:r>
        <w:rPr>
          <w:spacing w:val="-6"/>
        </w:rPr>
        <w:t> </w:t>
      </w:r>
      <w:r>
        <w:rPr/>
        <w:t>UK</w:t>
      </w:r>
      <w:r>
        <w:rPr>
          <w:spacing w:val="-6"/>
        </w:rPr>
        <w:t> </w:t>
      </w:r>
      <w:r>
        <w:rPr/>
        <w:t>EU</w:t>
      </w:r>
      <w:r>
        <w:rPr>
          <w:spacing w:val="-6"/>
        </w:rPr>
        <w:t> </w:t>
      </w:r>
      <w:r>
        <w:rPr/>
        <w:t>Withdrawal</w:t>
      </w:r>
      <w:r>
        <w:rPr>
          <w:spacing w:val="-7"/>
        </w:rPr>
        <w:t> </w:t>
      </w:r>
      <w:r>
        <w:rPr/>
        <w:t>Agreement.</w:t>
      </w:r>
      <w:r>
        <w:rPr>
          <w:spacing w:val="-7"/>
        </w:rPr>
        <w:t> </w:t>
      </w:r>
      <w:r>
        <w:rPr/>
        <w:t>Before</w:t>
      </w:r>
      <w:r>
        <w:rPr>
          <w:spacing w:val="-6"/>
        </w:rPr>
        <w:t> </w:t>
      </w:r>
      <w:r>
        <w:rPr/>
        <w:t>turning</w:t>
      </w:r>
      <w:r>
        <w:rPr>
          <w:spacing w:val="-6"/>
        </w:rPr>
        <w:t> </w:t>
      </w:r>
      <w:r>
        <w:rPr/>
        <w:t>to the</w:t>
      </w:r>
      <w:r>
        <w:rPr>
          <w:spacing w:val="-1"/>
        </w:rPr>
        <w:t> </w:t>
      </w:r>
      <w:r>
        <w:rPr/>
        <w:t>specific</w:t>
      </w:r>
      <w:r>
        <w:rPr>
          <w:spacing w:val="-1"/>
        </w:rPr>
        <w:t> </w:t>
      </w:r>
      <w:r>
        <w:rPr/>
        <w:t>provisions</w:t>
      </w:r>
      <w:r>
        <w:rPr>
          <w:spacing w:val="-2"/>
        </w:rPr>
        <w:t> </w:t>
      </w:r>
      <w:r>
        <w:rPr/>
        <w:t>on</w:t>
      </w:r>
      <w:r>
        <w:rPr>
          <w:spacing w:val="-2"/>
        </w:rPr>
        <w:t> </w:t>
      </w:r>
      <w:r>
        <w:rPr/>
        <w:t>Northern</w:t>
      </w:r>
      <w:r>
        <w:rPr>
          <w:spacing w:val="-2"/>
        </w:rPr>
        <w:t> </w:t>
      </w:r>
      <w:r>
        <w:rPr/>
        <w:t>Ireland,</w:t>
      </w:r>
      <w:r>
        <w:rPr>
          <w:spacing w:val="-1"/>
        </w:rPr>
        <w:t> </w:t>
      </w:r>
      <w:r>
        <w:rPr/>
        <w:t>we</w:t>
      </w:r>
      <w:r>
        <w:rPr>
          <w:spacing w:val="-1"/>
        </w:rPr>
        <w:t> </w:t>
      </w:r>
      <w:r>
        <w:rPr/>
        <w:t>note</w:t>
      </w:r>
      <w:r>
        <w:rPr>
          <w:spacing w:val="-1"/>
        </w:rPr>
        <w:t> </w:t>
      </w:r>
      <w:r>
        <w:rPr/>
        <w:t>some</w:t>
      </w:r>
      <w:r>
        <w:rPr>
          <w:spacing w:val="-1"/>
        </w:rPr>
        <w:t> </w:t>
      </w:r>
      <w:r>
        <w:rPr/>
        <w:t>aspects</w:t>
      </w:r>
      <w:r>
        <w:rPr>
          <w:spacing w:val="-2"/>
        </w:rPr>
        <w:t> </w:t>
      </w:r>
      <w:r>
        <w:rPr/>
        <w:t>of</w:t>
      </w:r>
      <w:r>
        <w:rPr>
          <w:spacing w:val="-2"/>
        </w:rPr>
        <w:t> </w:t>
      </w:r>
      <w:r>
        <w:rPr/>
        <w:t>the</w:t>
      </w:r>
      <w:r>
        <w:rPr>
          <w:spacing w:val="-1"/>
        </w:rPr>
        <w:t> </w:t>
      </w:r>
      <w:r>
        <w:rPr/>
        <w:t>overall Withdrawal Agreement.</w:t>
      </w:r>
    </w:p>
    <w:p>
      <w:pPr>
        <w:pStyle w:val="BodyText"/>
        <w:spacing w:line="232" w:lineRule="auto" w:before="277"/>
        <w:ind w:left="1117" w:right="888"/>
      </w:pPr>
      <w:r>
        <w:rPr/>
        <w:t>Article 4 of the Withdrawal Agreement includes important provisions on its status.</w:t>
      </w:r>
      <w:r>
        <w:rPr>
          <w:vertAlign w:val="superscript"/>
        </w:rPr>
        <w:t>49</w:t>
      </w:r>
      <w:r>
        <w:rPr>
          <w:spacing w:val="-10"/>
          <w:vertAlign w:val="baseline"/>
        </w:rPr>
        <w:t> </w:t>
      </w:r>
      <w:r>
        <w:rPr>
          <w:vertAlign w:val="baseline"/>
        </w:rPr>
        <w:t>Article</w:t>
      </w:r>
      <w:r>
        <w:rPr>
          <w:spacing w:val="-9"/>
          <w:vertAlign w:val="baseline"/>
        </w:rPr>
        <w:t> </w:t>
      </w:r>
      <w:r>
        <w:rPr>
          <w:vertAlign w:val="baseline"/>
        </w:rPr>
        <w:t>4(1)</w:t>
      </w:r>
      <w:r>
        <w:rPr>
          <w:spacing w:val="-10"/>
          <w:vertAlign w:val="baseline"/>
        </w:rPr>
        <w:t> </w:t>
      </w:r>
      <w:r>
        <w:rPr>
          <w:vertAlign w:val="baseline"/>
        </w:rPr>
        <w:t>provides</w:t>
      </w:r>
      <w:r>
        <w:rPr>
          <w:spacing w:val="-10"/>
          <w:vertAlign w:val="baseline"/>
        </w:rPr>
        <w:t> </w:t>
      </w:r>
      <w:r>
        <w:rPr>
          <w:vertAlign w:val="baseline"/>
        </w:rPr>
        <w:t>that</w:t>
      </w:r>
      <w:r>
        <w:rPr>
          <w:spacing w:val="-9"/>
          <w:vertAlign w:val="baseline"/>
        </w:rPr>
        <w:t> </w:t>
      </w:r>
      <w:r>
        <w:rPr>
          <w:vertAlign w:val="baseline"/>
        </w:rPr>
        <w:t>the</w:t>
      </w:r>
      <w:r>
        <w:rPr>
          <w:spacing w:val="-9"/>
          <w:vertAlign w:val="baseline"/>
        </w:rPr>
        <w:t> </w:t>
      </w:r>
      <w:r>
        <w:rPr>
          <w:vertAlign w:val="baseline"/>
        </w:rPr>
        <w:t>Agreement</w:t>
      </w:r>
      <w:r>
        <w:rPr>
          <w:spacing w:val="-9"/>
          <w:vertAlign w:val="baseline"/>
        </w:rPr>
        <w:t> </w:t>
      </w:r>
      <w:r>
        <w:rPr>
          <w:vertAlign w:val="baseline"/>
        </w:rPr>
        <w:t>shall</w:t>
      </w:r>
      <w:r>
        <w:rPr>
          <w:spacing w:val="-10"/>
          <w:vertAlign w:val="baseline"/>
        </w:rPr>
        <w:t> </w:t>
      </w:r>
      <w:r>
        <w:rPr>
          <w:vertAlign w:val="baseline"/>
        </w:rPr>
        <w:t>have</w:t>
      </w:r>
      <w:r>
        <w:rPr>
          <w:spacing w:val="-9"/>
          <w:vertAlign w:val="baseline"/>
        </w:rPr>
        <w:t> </w:t>
      </w:r>
      <w:r>
        <w:rPr>
          <w:vertAlign w:val="baseline"/>
        </w:rPr>
        <w:t>the</w:t>
      </w:r>
      <w:r>
        <w:rPr>
          <w:spacing w:val="-9"/>
          <w:vertAlign w:val="baseline"/>
        </w:rPr>
        <w:t> </w:t>
      </w:r>
      <w:r>
        <w:rPr>
          <w:vertAlign w:val="baseline"/>
        </w:rPr>
        <w:t>same</w:t>
      </w:r>
      <w:r>
        <w:rPr>
          <w:spacing w:val="-9"/>
          <w:vertAlign w:val="baseline"/>
        </w:rPr>
        <w:t> </w:t>
      </w:r>
      <w:r>
        <w:rPr>
          <w:vertAlign w:val="baseline"/>
        </w:rPr>
        <w:t>legal</w:t>
      </w:r>
      <w:r>
        <w:rPr>
          <w:spacing w:val="-10"/>
          <w:vertAlign w:val="baseline"/>
        </w:rPr>
        <w:t> </w:t>
      </w:r>
      <w:r>
        <w:rPr>
          <w:vertAlign w:val="baseline"/>
        </w:rPr>
        <w:t>effects in the UK as in the EU and Member states. This includes the possibility to rely</w:t>
      </w:r>
    </w:p>
    <w:p>
      <w:pPr>
        <w:pStyle w:val="BodyText"/>
        <w:spacing w:line="232" w:lineRule="auto"/>
        <w:ind w:left="1117" w:right="805"/>
      </w:pPr>
      <w:r>
        <w:rPr/>
        <w:t>in court on directly effective provisions of the Agreement. Article 4(2) spells out the implication that the UK must give its courts power to disapply UK legislation inconsistent</w:t>
      </w:r>
      <w:r>
        <w:rPr>
          <w:spacing w:val="-8"/>
        </w:rPr>
        <w:t> </w:t>
      </w:r>
      <w:r>
        <w:rPr/>
        <w:t>or</w:t>
      </w:r>
      <w:r>
        <w:rPr>
          <w:spacing w:val="-8"/>
        </w:rPr>
        <w:t> </w:t>
      </w:r>
      <w:r>
        <w:rPr/>
        <w:t>incompatible</w:t>
      </w:r>
      <w:r>
        <w:rPr>
          <w:spacing w:val="-8"/>
        </w:rPr>
        <w:t> </w:t>
      </w:r>
      <w:r>
        <w:rPr/>
        <w:t>with</w:t>
      </w:r>
      <w:r>
        <w:rPr>
          <w:spacing w:val="-9"/>
        </w:rPr>
        <w:t> </w:t>
      </w:r>
      <w:r>
        <w:rPr/>
        <w:t>the</w:t>
      </w:r>
      <w:r>
        <w:rPr>
          <w:spacing w:val="-8"/>
        </w:rPr>
        <w:t> </w:t>
      </w:r>
      <w:r>
        <w:rPr/>
        <w:t>Withdrawal</w:t>
      </w:r>
      <w:r>
        <w:rPr>
          <w:spacing w:val="-9"/>
        </w:rPr>
        <w:t> </w:t>
      </w:r>
      <w:r>
        <w:rPr/>
        <w:t>Agreement.</w:t>
      </w:r>
      <w:r>
        <w:rPr>
          <w:spacing w:val="-9"/>
        </w:rPr>
        <w:t> </w:t>
      </w:r>
      <w:r>
        <w:rPr/>
        <w:t>Article</w:t>
      </w:r>
      <w:r>
        <w:rPr>
          <w:spacing w:val="-8"/>
        </w:rPr>
        <w:t> </w:t>
      </w:r>
      <w:r>
        <w:rPr/>
        <w:t>4(3)</w:t>
      </w:r>
      <w:r>
        <w:rPr>
          <w:spacing w:val="-9"/>
        </w:rPr>
        <w:t> </w:t>
      </w:r>
      <w:r>
        <w:rPr/>
        <w:t>provides that Union law or concepts ‘shall be interpreted and applied in accordance with the methods and general principles of Union law’. Article 4(4) provides that Union law or concepts must be interpreted in conformity with case law of the Court of</w:t>
      </w:r>
    </w:p>
    <w:p>
      <w:pPr>
        <w:pStyle w:val="BodyText"/>
        <w:spacing w:line="232" w:lineRule="auto"/>
        <w:ind w:left="1117" w:right="738"/>
      </w:pPr>
      <w:r>
        <w:rPr/>
        <w:t>Justice</w:t>
      </w:r>
      <w:r>
        <w:rPr>
          <w:spacing w:val="-5"/>
        </w:rPr>
        <w:t> </w:t>
      </w:r>
      <w:r>
        <w:rPr/>
        <w:t>of</w:t>
      </w:r>
      <w:r>
        <w:rPr>
          <w:spacing w:val="-6"/>
        </w:rPr>
        <w:t> </w:t>
      </w:r>
      <w:r>
        <w:rPr/>
        <w:t>the</w:t>
      </w:r>
      <w:r>
        <w:rPr>
          <w:spacing w:val="-5"/>
        </w:rPr>
        <w:t> </w:t>
      </w:r>
      <w:r>
        <w:rPr/>
        <w:t>European</w:t>
      </w:r>
      <w:r>
        <w:rPr>
          <w:spacing w:val="-6"/>
        </w:rPr>
        <w:t> </w:t>
      </w:r>
      <w:r>
        <w:rPr/>
        <w:t>Union</w:t>
      </w:r>
      <w:r>
        <w:rPr>
          <w:spacing w:val="-6"/>
        </w:rPr>
        <w:t> </w:t>
      </w:r>
      <w:r>
        <w:rPr/>
        <w:t>(CJEU)</w:t>
      </w:r>
      <w:r>
        <w:rPr>
          <w:spacing w:val="-6"/>
        </w:rPr>
        <w:t> </w:t>
      </w:r>
      <w:r>
        <w:rPr/>
        <w:t>handed</w:t>
      </w:r>
      <w:r>
        <w:rPr>
          <w:spacing w:val="-6"/>
        </w:rPr>
        <w:t> </w:t>
      </w:r>
      <w:r>
        <w:rPr/>
        <w:t>down</w:t>
      </w:r>
      <w:r>
        <w:rPr>
          <w:spacing w:val="-6"/>
        </w:rPr>
        <w:t> </w:t>
      </w:r>
      <w:r>
        <w:rPr/>
        <w:t>before</w:t>
      </w:r>
      <w:r>
        <w:rPr>
          <w:spacing w:val="-5"/>
        </w:rPr>
        <w:t> </w:t>
      </w:r>
      <w:r>
        <w:rPr/>
        <w:t>the</w:t>
      </w:r>
      <w:r>
        <w:rPr>
          <w:spacing w:val="-5"/>
        </w:rPr>
        <w:t> </w:t>
      </w:r>
      <w:r>
        <w:rPr/>
        <w:t>end</w:t>
      </w:r>
      <w:r>
        <w:rPr>
          <w:spacing w:val="-6"/>
        </w:rPr>
        <w:t> </w:t>
      </w:r>
      <w:r>
        <w:rPr/>
        <w:t>of</w:t>
      </w:r>
      <w:r>
        <w:rPr>
          <w:spacing w:val="-6"/>
        </w:rPr>
        <w:t> </w:t>
      </w:r>
      <w:r>
        <w:rPr/>
        <w:t>the</w:t>
      </w:r>
      <w:r>
        <w:rPr>
          <w:spacing w:val="-5"/>
        </w:rPr>
        <w:t> </w:t>
      </w:r>
      <w:r>
        <w:rPr/>
        <w:t>transition period, while Article 4(5) provides that UK courts, when applying the Agreement should have ‘due regard’ to CJEU judgments handed down after the end of the transition period.</w:t>
      </w:r>
    </w:p>
    <w:p>
      <w:pPr>
        <w:pStyle w:val="BodyText"/>
        <w:rPr>
          <w:sz w:val="20"/>
        </w:rPr>
      </w:pPr>
    </w:p>
    <w:p>
      <w:pPr>
        <w:pStyle w:val="BodyText"/>
        <w:spacing w:before="125"/>
        <w:rPr>
          <w:sz w:val="20"/>
        </w:rPr>
      </w:pPr>
      <w:r>
        <w:rPr/>
        <mc:AlternateContent>
          <mc:Choice Requires="wps">
            <w:drawing>
              <wp:anchor distT="0" distB="0" distL="0" distR="0" allowOverlap="1" layoutInCell="1" locked="0" behindDoc="1" simplePos="0" relativeHeight="487639552">
                <wp:simplePos x="0" y="0"/>
                <wp:positionH relativeFrom="page">
                  <wp:posOffset>899999</wp:posOffset>
                </wp:positionH>
                <wp:positionV relativeFrom="paragraph">
                  <wp:posOffset>250239</wp:posOffset>
                </wp:positionV>
                <wp:extent cx="6012180"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9.703880pt;width:473.4pt;height:.1pt;mso-position-horizontal-relative:page;mso-position-vertical-relative:paragraph;z-index:-15676928;mso-wrap-distance-left:0;mso-wrap-distance-right:0" id="docshape225" coordorigin="1417,394" coordsize="9468,0" path="m1417,394l10885,394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1029" w:hanging="567"/>
        <w:jc w:val="both"/>
        <w:rPr>
          <w:sz w:val="18"/>
        </w:rPr>
      </w:pPr>
      <w:r>
        <w:rPr>
          <w:sz w:val="18"/>
        </w:rPr>
        <w:t>European</w:t>
      </w:r>
      <w:r>
        <w:rPr>
          <w:spacing w:val="-5"/>
          <w:sz w:val="18"/>
        </w:rPr>
        <w:t> </w:t>
      </w:r>
      <w:r>
        <w:rPr>
          <w:sz w:val="18"/>
        </w:rPr>
        <w:t>Commission,</w:t>
      </w:r>
      <w:r>
        <w:rPr>
          <w:spacing w:val="-5"/>
          <w:sz w:val="18"/>
        </w:rPr>
        <w:t> </w:t>
      </w:r>
      <w:r>
        <w:rPr>
          <w:color w:val="1D71B8"/>
          <w:sz w:val="18"/>
          <w:u w:val="single" w:color="1D71B8"/>
        </w:rPr>
        <w:t>Joint</w:t>
      </w:r>
      <w:r>
        <w:rPr>
          <w:color w:val="1D71B8"/>
          <w:spacing w:val="-4"/>
          <w:sz w:val="18"/>
          <w:u w:val="single" w:color="1D71B8"/>
        </w:rPr>
        <w:t> </w:t>
      </w:r>
      <w:r>
        <w:rPr>
          <w:color w:val="1D71B8"/>
          <w:sz w:val="18"/>
          <w:u w:val="single" w:color="1D71B8"/>
        </w:rPr>
        <w:t>report</w:t>
      </w:r>
      <w:r>
        <w:rPr>
          <w:color w:val="1D71B8"/>
          <w:spacing w:val="-4"/>
          <w:sz w:val="18"/>
          <w:u w:val="single" w:color="1D71B8"/>
        </w:rPr>
        <w:t> </w:t>
      </w:r>
      <w:r>
        <w:rPr>
          <w:color w:val="1D71B8"/>
          <w:sz w:val="18"/>
          <w:u w:val="single" w:color="1D71B8"/>
        </w:rPr>
        <w:t>from</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negotiators</w:t>
      </w:r>
      <w:r>
        <w:rPr>
          <w:color w:val="1D71B8"/>
          <w:spacing w:val="-5"/>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United</w:t>
      </w:r>
      <w:r>
        <w:rPr>
          <w:color w:val="1D71B8"/>
          <w:spacing w:val="-5"/>
          <w:sz w:val="18"/>
          <w:u w:val="single" w:color="1D71B8"/>
        </w:rPr>
        <w:t> </w:t>
      </w:r>
      <w:r>
        <w:rPr>
          <w:color w:val="1D71B8"/>
          <w:sz w:val="18"/>
          <w:u w:val="single" w:color="1D71B8"/>
        </w:rPr>
        <w:t>Kingdom</w:t>
      </w:r>
      <w:r>
        <w:rPr>
          <w:color w:val="1D71B8"/>
          <w:spacing w:val="-4"/>
          <w:sz w:val="18"/>
          <w:u w:val="single" w:color="1D71B8"/>
        </w:rPr>
        <w:t> </w:t>
      </w:r>
      <w:r>
        <w:rPr>
          <w:color w:val="1D71B8"/>
          <w:sz w:val="18"/>
          <w:u w:val="single" w:color="1D71B8"/>
        </w:rPr>
        <w:t>Government</w:t>
      </w:r>
      <w:r>
        <w:rPr>
          <w:color w:val="1D71B8"/>
          <w:sz w:val="18"/>
          <w:u w:val="none"/>
        </w:rPr>
        <w:t> </w:t>
      </w:r>
      <w:r>
        <w:rPr>
          <w:color w:val="1D71B8"/>
          <w:sz w:val="18"/>
          <w:u w:val="single" w:color="1D71B8"/>
        </w:rPr>
        <w:t>on</w:t>
      </w:r>
      <w:r>
        <w:rPr>
          <w:color w:val="1D71B8"/>
          <w:spacing w:val="-5"/>
          <w:sz w:val="18"/>
          <w:u w:val="single" w:color="1D71B8"/>
        </w:rPr>
        <w:t> </w:t>
      </w:r>
      <w:r>
        <w:rPr>
          <w:color w:val="1D71B8"/>
          <w:sz w:val="18"/>
          <w:u w:val="single" w:color="1D71B8"/>
        </w:rPr>
        <w:t>progress</w:t>
      </w:r>
      <w:r>
        <w:rPr>
          <w:color w:val="1D71B8"/>
          <w:spacing w:val="-5"/>
          <w:sz w:val="18"/>
          <w:u w:val="single" w:color="1D71B8"/>
        </w:rPr>
        <w:t> </w:t>
      </w:r>
      <w:r>
        <w:rPr>
          <w:color w:val="1D71B8"/>
          <w:sz w:val="18"/>
          <w:u w:val="single" w:color="1D71B8"/>
        </w:rPr>
        <w:t>during</w:t>
      </w:r>
      <w:r>
        <w:rPr>
          <w:color w:val="1D71B8"/>
          <w:spacing w:val="-4"/>
          <w:sz w:val="18"/>
          <w:u w:val="single" w:color="1D71B8"/>
        </w:rPr>
        <w:t> </w:t>
      </w:r>
      <w:r>
        <w:rPr>
          <w:color w:val="1D71B8"/>
          <w:sz w:val="18"/>
          <w:u w:val="single" w:color="1D71B8"/>
        </w:rPr>
        <w:t>phase</w:t>
      </w:r>
      <w:r>
        <w:rPr>
          <w:color w:val="1D71B8"/>
          <w:spacing w:val="-4"/>
          <w:sz w:val="18"/>
          <w:u w:val="single" w:color="1D71B8"/>
        </w:rPr>
        <w:t> </w:t>
      </w:r>
      <w:r>
        <w:rPr>
          <w:color w:val="1D71B8"/>
          <w:sz w:val="18"/>
          <w:u w:val="single" w:color="1D71B8"/>
        </w:rPr>
        <w:t>1</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negotiations</w:t>
      </w:r>
      <w:r>
        <w:rPr>
          <w:color w:val="1D71B8"/>
          <w:spacing w:val="-5"/>
          <w:sz w:val="18"/>
          <w:u w:val="single" w:color="1D71B8"/>
        </w:rPr>
        <w:t> </w:t>
      </w:r>
      <w:r>
        <w:rPr>
          <w:color w:val="1D71B8"/>
          <w:sz w:val="18"/>
          <w:u w:val="single" w:color="1D71B8"/>
        </w:rPr>
        <w:t>under</w:t>
      </w:r>
      <w:r>
        <w:rPr>
          <w:color w:val="1D71B8"/>
          <w:spacing w:val="-4"/>
          <w:sz w:val="18"/>
          <w:u w:val="single" w:color="1D71B8"/>
        </w:rPr>
        <w:t> </w:t>
      </w:r>
      <w:r>
        <w:rPr>
          <w:color w:val="1D71B8"/>
          <w:sz w:val="18"/>
          <w:u w:val="single" w:color="1D71B8"/>
        </w:rPr>
        <w:t>Article</w:t>
      </w:r>
      <w:r>
        <w:rPr>
          <w:color w:val="1D71B8"/>
          <w:spacing w:val="-4"/>
          <w:sz w:val="18"/>
          <w:u w:val="single" w:color="1D71B8"/>
        </w:rPr>
        <w:t> </w:t>
      </w:r>
      <w:r>
        <w:rPr>
          <w:color w:val="1D71B8"/>
          <w:sz w:val="18"/>
          <w:u w:val="single" w:color="1D71B8"/>
        </w:rPr>
        <w:t>50</w:t>
      </w:r>
      <w:r>
        <w:rPr>
          <w:color w:val="1D71B8"/>
          <w:spacing w:val="-4"/>
          <w:sz w:val="18"/>
          <w:u w:val="single" w:color="1D71B8"/>
        </w:rPr>
        <w:t> </w:t>
      </w:r>
      <w:r>
        <w:rPr>
          <w:color w:val="1D71B8"/>
          <w:sz w:val="18"/>
          <w:u w:val="single" w:color="1D71B8"/>
        </w:rPr>
        <w:t>TEU</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United</w:t>
      </w:r>
      <w:r>
        <w:rPr>
          <w:color w:val="1D71B8"/>
          <w:spacing w:val="-5"/>
          <w:sz w:val="18"/>
          <w:u w:val="single" w:color="1D71B8"/>
        </w:rPr>
        <w:t> </w:t>
      </w:r>
      <w:r>
        <w:rPr>
          <w:color w:val="1D71B8"/>
          <w:sz w:val="18"/>
          <w:u w:val="single" w:color="1D71B8"/>
        </w:rPr>
        <w:t>Kingdom’s</w:t>
      </w:r>
      <w:r>
        <w:rPr>
          <w:color w:val="1D71B8"/>
          <w:spacing w:val="-5"/>
          <w:sz w:val="18"/>
          <w:u w:val="single" w:color="1D71B8"/>
        </w:rPr>
        <w:t> </w:t>
      </w:r>
      <w:r>
        <w:rPr>
          <w:color w:val="1D71B8"/>
          <w:sz w:val="18"/>
          <w:u w:val="single" w:color="1D71B8"/>
        </w:rPr>
        <w:t>orderly</w:t>
      </w:r>
      <w:r>
        <w:rPr>
          <w:color w:val="1D71B8"/>
          <w:spacing w:val="-4"/>
          <w:sz w:val="18"/>
          <w:u w:val="single" w:color="1D71B8"/>
        </w:rPr>
        <w:t> </w:t>
      </w:r>
      <w:r>
        <w:rPr>
          <w:color w:val="1D71B8"/>
          <w:sz w:val="18"/>
          <w:u w:val="single" w:color="1D71B8"/>
        </w:rPr>
        <w:t>withdrawal</w:t>
      </w:r>
      <w:r>
        <w:rPr>
          <w:color w:val="1D71B8"/>
          <w:spacing w:val="-5"/>
          <w:sz w:val="18"/>
          <w:u w:val="single" w:color="1D71B8"/>
        </w:rPr>
        <w:t> </w:t>
      </w:r>
      <w:r>
        <w:rPr>
          <w:color w:val="1D71B8"/>
          <w:sz w:val="18"/>
          <w:u w:val="single" w:color="1D71B8"/>
        </w:rPr>
        <w:t>from</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European Union</w:t>
      </w:r>
      <w:r>
        <w:rPr>
          <w:color w:val="1D71B8"/>
          <w:sz w:val="18"/>
          <w:u w:val="none"/>
        </w:rPr>
        <w:t> </w:t>
      </w:r>
      <w:r>
        <w:rPr>
          <w:sz w:val="18"/>
          <w:u w:val="none"/>
        </w:rPr>
        <w:t>(8 December 2017) para 53.</w:t>
      </w:r>
    </w:p>
    <w:p>
      <w:pPr>
        <w:pStyle w:val="ListParagraph"/>
        <w:numPr>
          <w:ilvl w:val="0"/>
          <w:numId w:val="9"/>
        </w:numPr>
        <w:tabs>
          <w:tab w:pos="1684" w:val="left" w:leader="none"/>
        </w:tabs>
        <w:spacing w:line="240" w:lineRule="auto" w:before="1" w:after="0"/>
        <w:ind w:left="1684" w:right="838" w:hanging="567"/>
        <w:jc w:val="left"/>
        <w:rPr>
          <w:sz w:val="18"/>
        </w:rPr>
      </w:pPr>
      <w:r>
        <w:rPr>
          <w:color w:val="1D71B8"/>
          <w:sz w:val="18"/>
          <w:u w:val="single" w:color="1D71B8"/>
        </w:rPr>
        <w:t>EU-UK Withdrawal Agreement, including the Protocol on Ireland/Northern Ireland</w:t>
      </w:r>
      <w:r>
        <w:rPr>
          <w:color w:val="1D71B8"/>
          <w:sz w:val="18"/>
          <w:u w:val="none"/>
        </w:rPr>
        <w:t> </w:t>
      </w:r>
      <w:r>
        <w:rPr>
          <w:sz w:val="18"/>
          <w:u w:val="none"/>
        </w:rPr>
        <w:t>2019. The Court of Appeal in England and</w:t>
      </w:r>
      <w:r>
        <w:rPr>
          <w:spacing w:val="-7"/>
          <w:sz w:val="18"/>
          <w:u w:val="none"/>
        </w:rPr>
        <w:t> </w:t>
      </w:r>
      <w:r>
        <w:rPr>
          <w:sz w:val="18"/>
          <w:u w:val="none"/>
        </w:rPr>
        <w:t>Wales</w:t>
      </w:r>
      <w:r>
        <w:rPr>
          <w:spacing w:val="-7"/>
          <w:sz w:val="18"/>
          <w:u w:val="none"/>
        </w:rPr>
        <w:t> </w:t>
      </w:r>
      <w:r>
        <w:rPr>
          <w:sz w:val="18"/>
          <w:u w:val="none"/>
        </w:rPr>
        <w:t>has</w:t>
      </w:r>
      <w:r>
        <w:rPr>
          <w:spacing w:val="-7"/>
          <w:sz w:val="18"/>
          <w:u w:val="none"/>
        </w:rPr>
        <w:t> </w:t>
      </w:r>
      <w:r>
        <w:rPr>
          <w:sz w:val="18"/>
          <w:u w:val="none"/>
        </w:rPr>
        <w:t>provided</w:t>
      </w:r>
      <w:r>
        <w:rPr>
          <w:spacing w:val="-7"/>
          <w:sz w:val="18"/>
          <w:u w:val="none"/>
        </w:rPr>
        <w:t> </w:t>
      </w:r>
      <w:r>
        <w:rPr>
          <w:sz w:val="18"/>
          <w:u w:val="none"/>
        </w:rPr>
        <w:t>extensive</w:t>
      </w:r>
      <w:r>
        <w:rPr>
          <w:spacing w:val="-6"/>
          <w:sz w:val="18"/>
          <w:u w:val="none"/>
        </w:rPr>
        <w:t> </w:t>
      </w:r>
      <w:r>
        <w:rPr>
          <w:sz w:val="18"/>
          <w:u w:val="none"/>
        </w:rPr>
        <w:t>commentary</w:t>
      </w:r>
      <w:r>
        <w:rPr>
          <w:spacing w:val="-6"/>
          <w:sz w:val="18"/>
          <w:u w:val="none"/>
        </w:rPr>
        <w:t> </w:t>
      </w:r>
      <w:r>
        <w:rPr>
          <w:sz w:val="18"/>
          <w:u w:val="none"/>
        </w:rPr>
        <w:t>on</w:t>
      </w:r>
      <w:r>
        <w:rPr>
          <w:spacing w:val="-7"/>
          <w:sz w:val="18"/>
          <w:u w:val="none"/>
        </w:rPr>
        <w:t> </w:t>
      </w:r>
      <w:r>
        <w:rPr>
          <w:sz w:val="18"/>
          <w:u w:val="none"/>
        </w:rPr>
        <w:t>Article</w:t>
      </w:r>
      <w:r>
        <w:rPr>
          <w:spacing w:val="-6"/>
          <w:sz w:val="18"/>
          <w:u w:val="none"/>
        </w:rPr>
        <w:t> </w:t>
      </w:r>
      <w:r>
        <w:rPr>
          <w:sz w:val="18"/>
          <w:u w:val="none"/>
        </w:rPr>
        <w:t>4</w:t>
      </w:r>
      <w:r>
        <w:rPr>
          <w:spacing w:val="-6"/>
          <w:sz w:val="18"/>
          <w:u w:val="none"/>
        </w:rPr>
        <w:t> </w:t>
      </w:r>
      <w:r>
        <w:rPr>
          <w:sz w:val="18"/>
          <w:u w:val="none"/>
        </w:rPr>
        <w:t>in</w:t>
      </w:r>
      <w:r>
        <w:rPr>
          <w:spacing w:val="-7"/>
          <w:sz w:val="18"/>
          <w:u w:val="none"/>
        </w:rPr>
        <w:t> </w:t>
      </w:r>
      <w:r>
        <w:rPr>
          <w:color w:val="1D71B8"/>
          <w:sz w:val="18"/>
          <w:u w:val="single" w:color="1D71B8"/>
        </w:rPr>
        <w:t>Secretary</w:t>
      </w:r>
      <w:r>
        <w:rPr>
          <w:color w:val="1D71B8"/>
          <w:spacing w:val="-6"/>
          <w:sz w:val="18"/>
          <w:u w:val="single" w:color="1D71B8"/>
        </w:rPr>
        <w:t> </w:t>
      </w:r>
      <w:r>
        <w:rPr>
          <w:color w:val="1D71B8"/>
          <w:sz w:val="18"/>
          <w:u w:val="single" w:color="1D71B8"/>
        </w:rPr>
        <w:t>of</w:t>
      </w:r>
      <w:r>
        <w:rPr>
          <w:color w:val="1D71B8"/>
          <w:spacing w:val="-7"/>
          <w:sz w:val="18"/>
          <w:u w:val="single" w:color="1D71B8"/>
        </w:rPr>
        <w:t> </w:t>
      </w:r>
      <w:r>
        <w:rPr>
          <w:color w:val="1D71B8"/>
          <w:sz w:val="18"/>
          <w:u w:val="single" w:color="1D71B8"/>
        </w:rPr>
        <w:t>State</w:t>
      </w:r>
      <w:r>
        <w:rPr>
          <w:color w:val="1D71B8"/>
          <w:spacing w:val="-6"/>
          <w:sz w:val="18"/>
          <w:u w:val="single" w:color="1D71B8"/>
        </w:rPr>
        <w:t> </w:t>
      </w:r>
      <w:r>
        <w:rPr>
          <w:color w:val="1D71B8"/>
          <w:sz w:val="18"/>
          <w:u w:val="single" w:color="1D71B8"/>
        </w:rPr>
        <w:t>for</w:t>
      </w:r>
      <w:r>
        <w:rPr>
          <w:color w:val="1D71B8"/>
          <w:spacing w:val="-6"/>
          <w:sz w:val="18"/>
          <w:u w:val="single" w:color="1D71B8"/>
        </w:rPr>
        <w:t> </w:t>
      </w:r>
      <w:r>
        <w:rPr>
          <w:color w:val="1D71B8"/>
          <w:sz w:val="18"/>
          <w:u w:val="single" w:color="1D71B8"/>
        </w:rPr>
        <w:t>Work</w:t>
      </w:r>
      <w:r>
        <w:rPr>
          <w:color w:val="1D71B8"/>
          <w:spacing w:val="-6"/>
          <w:sz w:val="18"/>
          <w:u w:val="single" w:color="1D71B8"/>
        </w:rPr>
        <w:t> </w:t>
      </w:r>
      <w:r>
        <w:rPr>
          <w:color w:val="1D71B8"/>
          <w:sz w:val="18"/>
          <w:u w:val="single" w:color="1D71B8"/>
        </w:rPr>
        <w:t>and</w:t>
      </w:r>
      <w:r>
        <w:rPr>
          <w:color w:val="1D71B8"/>
          <w:spacing w:val="-7"/>
          <w:sz w:val="18"/>
          <w:u w:val="single" w:color="1D71B8"/>
        </w:rPr>
        <w:t> </w:t>
      </w:r>
      <w:r>
        <w:rPr>
          <w:color w:val="1D71B8"/>
          <w:sz w:val="18"/>
          <w:u w:val="single" w:color="1D71B8"/>
        </w:rPr>
        <w:t>Pensions</w:t>
      </w:r>
      <w:r>
        <w:rPr>
          <w:color w:val="1D71B8"/>
          <w:spacing w:val="-7"/>
          <w:sz w:val="18"/>
          <w:u w:val="single" w:color="1D71B8"/>
        </w:rPr>
        <w:t> </w:t>
      </w:r>
      <w:r>
        <w:rPr>
          <w:color w:val="1D71B8"/>
          <w:sz w:val="18"/>
          <w:u w:val="single" w:color="1D71B8"/>
        </w:rPr>
        <w:t>v</w:t>
      </w:r>
      <w:r>
        <w:rPr>
          <w:color w:val="1D71B8"/>
          <w:spacing w:val="-6"/>
          <w:sz w:val="18"/>
          <w:u w:val="single" w:color="1D71B8"/>
        </w:rPr>
        <w:t> </w:t>
      </w:r>
      <w:r>
        <w:rPr>
          <w:color w:val="1D71B8"/>
          <w:sz w:val="18"/>
          <w:u w:val="single" w:color="1D71B8"/>
        </w:rPr>
        <w:t>AT,</w:t>
      </w:r>
      <w:r>
        <w:rPr>
          <w:color w:val="1D71B8"/>
          <w:spacing w:val="-6"/>
          <w:sz w:val="18"/>
          <w:u w:val="single" w:color="1D71B8"/>
        </w:rPr>
        <w:t> </w:t>
      </w:r>
      <w:r>
        <w:rPr>
          <w:color w:val="1D71B8"/>
          <w:sz w:val="18"/>
          <w:u w:val="single" w:color="1D71B8"/>
        </w:rPr>
        <w:t>intervenors:</w:t>
      </w:r>
      <w:r>
        <w:rPr>
          <w:color w:val="1D71B8"/>
          <w:sz w:val="18"/>
          <w:u w:val="none"/>
        </w:rPr>
        <w:t> </w:t>
      </w:r>
      <w:r>
        <w:rPr>
          <w:color w:val="1D71B8"/>
          <w:sz w:val="18"/>
          <w:u w:val="single" w:color="1D71B8"/>
        </w:rPr>
        <w:t>Advice on Individual Rights in Europe (AIRE) Centre; Independent Monitoring Authority for the Citizens’ Rights</w:t>
      </w:r>
      <w:r>
        <w:rPr>
          <w:color w:val="1D71B8"/>
          <w:sz w:val="18"/>
          <w:u w:val="none"/>
        </w:rPr>
        <w:t> </w:t>
      </w:r>
      <w:r>
        <w:rPr>
          <w:color w:val="1D71B8"/>
          <w:sz w:val="18"/>
          <w:u w:val="single" w:color="1D71B8"/>
        </w:rPr>
        <w:t>Agreements</w:t>
      </w:r>
      <w:r>
        <w:rPr>
          <w:color w:val="1D71B8"/>
          <w:sz w:val="18"/>
          <w:u w:val="none"/>
        </w:rPr>
        <w:t> </w:t>
      </w:r>
      <w:r>
        <w:rPr>
          <w:sz w:val="18"/>
          <w:u w:val="none"/>
        </w:rPr>
        <w:t>[2023] EWCA Civ 1307, (8 November 2023) discussed in chapter five.</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58272">
                <wp:simplePos x="0" y="0"/>
                <wp:positionH relativeFrom="page">
                  <wp:posOffset>0</wp:posOffset>
                </wp:positionH>
                <wp:positionV relativeFrom="page">
                  <wp:posOffset>0</wp:posOffset>
                </wp:positionV>
                <wp:extent cx="7560309" cy="1155065"/>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7560309" cy="1155065"/>
                          <a:chExt cx="7560309" cy="1155065"/>
                        </a:xfrm>
                      </wpg:grpSpPr>
                      <wps:wsp>
                        <wps:cNvPr id="289" name="Graphic 289"/>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290" name="Graphic 290"/>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58208" id="docshapegroup226" coordorigin="0,0" coordsize="11906,1819">
                <v:shape style="position:absolute;left:0;top:0;width:11906;height:1819" id="docshape227"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1.2.3 Article 2 of the Windsor Framework" w:id="32"/>
      <w:bookmarkEnd w:id="32"/>
      <w:r>
        <w:rPr/>
      </w:r>
      <w:bookmarkStart w:name="_bookmark13" w:id="33"/>
      <w:bookmarkEnd w:id="33"/>
      <w:r>
        <w:rPr/>
      </w:r>
      <w:r>
        <w:rPr>
          <w:b/>
          <w:color w:val="FFFFFF"/>
          <w:spacing w:val="-5"/>
          <w:position w:val="-1"/>
          <w:sz w:val="28"/>
        </w:rPr>
        <w:t>20</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327"/>
      </w:pPr>
      <w:r>
        <w:rPr/>
        <w:t>Consistent with Article 4, the Withdrawal Agreement has an entrenched status in UK</w:t>
      </w:r>
      <w:r>
        <w:rPr>
          <w:spacing w:val="-5"/>
        </w:rPr>
        <w:t> </w:t>
      </w:r>
      <w:r>
        <w:rPr/>
        <w:t>law</w:t>
      </w:r>
      <w:r>
        <w:rPr>
          <w:spacing w:val="-5"/>
        </w:rPr>
        <w:t> </w:t>
      </w:r>
      <w:r>
        <w:rPr/>
        <w:t>akin</w:t>
      </w:r>
      <w:r>
        <w:rPr>
          <w:spacing w:val="-6"/>
        </w:rPr>
        <w:t> </w:t>
      </w:r>
      <w:r>
        <w:rPr/>
        <w:t>to</w:t>
      </w:r>
      <w:r>
        <w:rPr>
          <w:spacing w:val="-6"/>
        </w:rPr>
        <w:t> </w:t>
      </w:r>
      <w:r>
        <w:rPr/>
        <w:t>that</w:t>
      </w:r>
      <w:r>
        <w:rPr>
          <w:spacing w:val="-5"/>
        </w:rPr>
        <w:t> </w:t>
      </w:r>
      <w:r>
        <w:rPr/>
        <w:t>enjoyed</w:t>
      </w:r>
      <w:r>
        <w:rPr>
          <w:spacing w:val="-6"/>
        </w:rPr>
        <w:t> </w:t>
      </w:r>
      <w:r>
        <w:rPr/>
        <w:t>by</w:t>
      </w:r>
      <w:r>
        <w:rPr>
          <w:spacing w:val="-5"/>
        </w:rPr>
        <w:t> </w:t>
      </w:r>
      <w:r>
        <w:rPr/>
        <w:t>EU</w:t>
      </w:r>
      <w:r>
        <w:rPr>
          <w:spacing w:val="-5"/>
        </w:rPr>
        <w:t> </w:t>
      </w:r>
      <w:r>
        <w:rPr/>
        <w:t>law</w:t>
      </w:r>
      <w:r>
        <w:rPr>
          <w:spacing w:val="-5"/>
        </w:rPr>
        <w:t> </w:t>
      </w:r>
      <w:r>
        <w:rPr/>
        <w:t>under</w:t>
      </w:r>
      <w:r>
        <w:rPr>
          <w:spacing w:val="-5"/>
        </w:rPr>
        <w:t> </w:t>
      </w:r>
      <w:r>
        <w:rPr/>
        <w:t>the</w:t>
      </w:r>
      <w:r>
        <w:rPr>
          <w:spacing w:val="-5"/>
        </w:rPr>
        <w:t> </w:t>
      </w:r>
      <w:r>
        <w:rPr/>
        <w:t>repealed</w:t>
      </w:r>
      <w:r>
        <w:rPr>
          <w:spacing w:val="-6"/>
        </w:rPr>
        <w:t> </w:t>
      </w:r>
      <w:r>
        <w:rPr/>
        <w:t>European</w:t>
      </w:r>
      <w:r>
        <w:rPr>
          <w:spacing w:val="-6"/>
        </w:rPr>
        <w:t> </w:t>
      </w:r>
      <w:r>
        <w:rPr/>
        <w:t>Communities Act 1972. This is achieved by section 7A of the European Union Withdrawal Act, as amended by section 5 of the European Union (Withdrawal Agreement) Act 2020.</w:t>
      </w:r>
      <w:r>
        <w:rPr>
          <w:spacing w:val="-4"/>
        </w:rPr>
        <w:t> </w:t>
      </w:r>
      <w:r>
        <w:rPr/>
        <w:t>The</w:t>
      </w:r>
      <w:r>
        <w:rPr>
          <w:spacing w:val="-3"/>
        </w:rPr>
        <w:t> </w:t>
      </w:r>
      <w:r>
        <w:rPr/>
        <w:t>decision</w:t>
      </w:r>
      <w:r>
        <w:rPr>
          <w:spacing w:val="-4"/>
        </w:rPr>
        <w:t> </w:t>
      </w:r>
      <w:r>
        <w:rPr/>
        <w:t>of</w:t>
      </w:r>
      <w:r>
        <w:rPr>
          <w:spacing w:val="-4"/>
        </w:rPr>
        <w:t> </w:t>
      </w:r>
      <w:r>
        <w:rPr/>
        <w:t>the</w:t>
      </w:r>
      <w:r>
        <w:rPr>
          <w:spacing w:val="-3"/>
        </w:rPr>
        <w:t> </w:t>
      </w:r>
      <w:r>
        <w:rPr/>
        <w:t>High</w:t>
      </w:r>
      <w:r>
        <w:rPr>
          <w:spacing w:val="-4"/>
        </w:rPr>
        <w:t> </w:t>
      </w:r>
      <w:r>
        <w:rPr/>
        <w:t>Court</w:t>
      </w:r>
      <w:r>
        <w:rPr>
          <w:spacing w:val="-3"/>
        </w:rPr>
        <w:t> </w:t>
      </w:r>
      <w:r>
        <w:rPr/>
        <w:t>in</w:t>
      </w:r>
      <w:r>
        <w:rPr>
          <w:spacing w:val="-4"/>
        </w:rPr>
        <w:t> </w:t>
      </w:r>
      <w:r>
        <w:rPr/>
        <w:t>the</w:t>
      </w:r>
      <w:r>
        <w:rPr>
          <w:spacing w:val="-2"/>
        </w:rPr>
        <w:t> </w:t>
      </w:r>
      <w:r>
        <w:rPr>
          <w:i/>
        </w:rPr>
        <w:t>Legacy</w:t>
      </w:r>
      <w:r>
        <w:rPr>
          <w:i/>
          <w:spacing w:val="-4"/>
        </w:rPr>
        <w:t> </w:t>
      </w:r>
      <w:r>
        <w:rPr>
          <w:i/>
        </w:rPr>
        <w:t>Act</w:t>
      </w:r>
      <w:r>
        <w:rPr>
          <w:i/>
          <w:spacing w:val="-3"/>
        </w:rPr>
        <w:t> </w:t>
      </w:r>
      <w:r>
        <w:rPr>
          <w:i/>
        </w:rPr>
        <w:t>cases</w:t>
      </w:r>
      <w:r>
        <w:rPr>
          <w:i/>
          <w:spacing w:val="-4"/>
        </w:rPr>
        <w:t> </w:t>
      </w:r>
      <w:r>
        <w:rPr>
          <w:i/>
        </w:rPr>
        <w:t>(Dillon</w:t>
      </w:r>
      <w:r>
        <w:rPr>
          <w:i/>
          <w:spacing w:val="-4"/>
        </w:rPr>
        <w:t> </w:t>
      </w:r>
      <w:r>
        <w:rPr>
          <w:i/>
        </w:rPr>
        <w:t>and</w:t>
      </w:r>
      <w:r>
        <w:rPr>
          <w:i/>
          <w:spacing w:val="-4"/>
        </w:rPr>
        <w:t> </w:t>
      </w:r>
      <w:r>
        <w:rPr>
          <w:i/>
        </w:rPr>
        <w:t>others)</w:t>
      </w:r>
      <w:r>
        <w:rPr>
          <w:i/>
          <w:spacing w:val="-2"/>
        </w:rPr>
        <w:t> </w:t>
      </w:r>
      <w:r>
        <w:rPr/>
        <w:t>to disapply</w:t>
      </w:r>
      <w:r>
        <w:rPr>
          <w:spacing w:val="-9"/>
        </w:rPr>
        <w:t> </w:t>
      </w:r>
      <w:r>
        <w:rPr/>
        <w:t>sections</w:t>
      </w:r>
      <w:r>
        <w:rPr>
          <w:spacing w:val="-10"/>
        </w:rPr>
        <w:t> </w:t>
      </w:r>
      <w:r>
        <w:rPr/>
        <w:t>of</w:t>
      </w:r>
      <w:r>
        <w:rPr>
          <w:spacing w:val="-10"/>
        </w:rPr>
        <w:t> </w:t>
      </w:r>
      <w:r>
        <w:rPr/>
        <w:t>the</w:t>
      </w:r>
      <w:r>
        <w:rPr>
          <w:spacing w:val="-8"/>
        </w:rPr>
        <w:t> </w:t>
      </w:r>
      <w:r>
        <w:rPr/>
        <w:t>Northern</w:t>
      </w:r>
      <w:r>
        <w:rPr>
          <w:spacing w:val="-10"/>
        </w:rPr>
        <w:t> </w:t>
      </w:r>
      <w:r>
        <w:rPr/>
        <w:t>Ireland</w:t>
      </w:r>
      <w:r>
        <w:rPr>
          <w:spacing w:val="-10"/>
        </w:rPr>
        <w:t> </w:t>
      </w:r>
      <w:r>
        <w:rPr/>
        <w:t>Troubles</w:t>
      </w:r>
      <w:r>
        <w:rPr>
          <w:spacing w:val="-9"/>
        </w:rPr>
        <w:t> </w:t>
      </w:r>
      <w:r>
        <w:rPr/>
        <w:t>(Legacy</w:t>
      </w:r>
      <w:r>
        <w:rPr>
          <w:spacing w:val="-9"/>
        </w:rPr>
        <w:t> </w:t>
      </w:r>
      <w:r>
        <w:rPr/>
        <w:t>and</w:t>
      </w:r>
      <w:r>
        <w:rPr>
          <w:spacing w:val="-10"/>
        </w:rPr>
        <w:t> </w:t>
      </w:r>
      <w:r>
        <w:rPr/>
        <w:t>Reconciliation)</w:t>
      </w:r>
      <w:r>
        <w:rPr>
          <w:spacing w:val="-9"/>
        </w:rPr>
        <w:t> </w:t>
      </w:r>
      <w:r>
        <w:rPr>
          <w:spacing w:val="-5"/>
        </w:rPr>
        <w:t>Act</w:t>
      </w:r>
    </w:p>
    <w:p>
      <w:pPr>
        <w:pStyle w:val="BodyText"/>
        <w:spacing w:line="232" w:lineRule="auto"/>
        <w:ind w:left="720" w:right="1087"/>
      </w:pPr>
      <w:r>
        <w:rPr/>
        <w:t>2023</w:t>
      </w:r>
      <w:r>
        <w:rPr>
          <w:spacing w:val="-5"/>
        </w:rPr>
        <w:t> </w:t>
      </w:r>
      <w:r>
        <w:rPr/>
        <w:t>is</w:t>
      </w:r>
      <w:r>
        <w:rPr>
          <w:spacing w:val="-6"/>
        </w:rPr>
        <w:t> </w:t>
      </w:r>
      <w:r>
        <w:rPr/>
        <w:t>the</w:t>
      </w:r>
      <w:r>
        <w:rPr>
          <w:spacing w:val="-5"/>
        </w:rPr>
        <w:t> </w:t>
      </w:r>
      <w:r>
        <w:rPr/>
        <w:t>first</w:t>
      </w:r>
      <w:r>
        <w:rPr>
          <w:spacing w:val="-5"/>
        </w:rPr>
        <w:t> </w:t>
      </w:r>
      <w:r>
        <w:rPr/>
        <w:t>occasion</w:t>
      </w:r>
      <w:r>
        <w:rPr>
          <w:spacing w:val="-6"/>
        </w:rPr>
        <w:t> </w:t>
      </w:r>
      <w:r>
        <w:rPr/>
        <w:t>the</w:t>
      </w:r>
      <w:r>
        <w:rPr>
          <w:spacing w:val="-5"/>
        </w:rPr>
        <w:t> </w:t>
      </w:r>
      <w:r>
        <w:rPr/>
        <w:t>courts</w:t>
      </w:r>
      <w:r>
        <w:rPr>
          <w:spacing w:val="-6"/>
        </w:rPr>
        <w:t> </w:t>
      </w:r>
      <w:r>
        <w:rPr/>
        <w:t>have</w:t>
      </w:r>
      <w:r>
        <w:rPr>
          <w:spacing w:val="-5"/>
        </w:rPr>
        <w:t> </w:t>
      </w:r>
      <w:r>
        <w:rPr/>
        <w:t>used</w:t>
      </w:r>
      <w:r>
        <w:rPr>
          <w:spacing w:val="-6"/>
        </w:rPr>
        <w:t> </w:t>
      </w:r>
      <w:r>
        <w:rPr/>
        <w:t>the</w:t>
      </w:r>
      <w:r>
        <w:rPr>
          <w:spacing w:val="-5"/>
        </w:rPr>
        <w:t> </w:t>
      </w:r>
      <w:r>
        <w:rPr/>
        <w:t>power</w:t>
      </w:r>
      <w:r>
        <w:rPr>
          <w:spacing w:val="-5"/>
        </w:rPr>
        <w:t> </w:t>
      </w:r>
      <w:r>
        <w:rPr/>
        <w:t>to</w:t>
      </w:r>
      <w:r>
        <w:rPr>
          <w:spacing w:val="-6"/>
        </w:rPr>
        <w:t> </w:t>
      </w:r>
      <w:r>
        <w:rPr/>
        <w:t>disapply</w:t>
      </w:r>
      <w:r>
        <w:rPr>
          <w:spacing w:val="-5"/>
        </w:rPr>
        <w:t> </w:t>
      </w:r>
      <w:r>
        <w:rPr/>
        <w:t>legislation</w:t>
      </w:r>
      <w:r>
        <w:rPr>
          <w:spacing w:val="-6"/>
        </w:rPr>
        <w:t> </w:t>
      </w:r>
      <w:r>
        <w:rPr/>
        <w:t>but this is a logical outworking of the Withdrawal Agreement arrangements.</w:t>
      </w:r>
    </w:p>
    <w:p>
      <w:pPr>
        <w:pStyle w:val="BodyText"/>
        <w:spacing w:line="232" w:lineRule="auto" w:before="271"/>
        <w:ind w:left="720" w:right="1087"/>
      </w:pPr>
      <w:r>
        <w:rPr/>
        <w:t>As</w:t>
      </w:r>
      <w:r>
        <w:rPr>
          <w:spacing w:val="-3"/>
        </w:rPr>
        <w:t> </w:t>
      </w:r>
      <w:r>
        <w:rPr/>
        <w:t>part</w:t>
      </w:r>
      <w:r>
        <w:rPr>
          <w:spacing w:val="-2"/>
        </w:rPr>
        <w:t> </w:t>
      </w:r>
      <w:r>
        <w:rPr/>
        <w:t>of</w:t>
      </w:r>
      <w:r>
        <w:rPr>
          <w:spacing w:val="-3"/>
        </w:rPr>
        <w:t> </w:t>
      </w:r>
      <w:r>
        <w:rPr/>
        <w:t>the</w:t>
      </w:r>
      <w:r>
        <w:rPr>
          <w:spacing w:val="-2"/>
        </w:rPr>
        <w:t> </w:t>
      </w:r>
      <w:r>
        <w:rPr/>
        <w:t>UK</w:t>
      </w:r>
      <w:r>
        <w:rPr>
          <w:spacing w:val="-2"/>
        </w:rPr>
        <w:t> </w:t>
      </w:r>
      <w:r>
        <w:rPr/>
        <w:t>EU</w:t>
      </w:r>
      <w:r>
        <w:rPr>
          <w:spacing w:val="-2"/>
        </w:rPr>
        <w:t> </w:t>
      </w:r>
      <w:r>
        <w:rPr/>
        <w:t>Withdrawal</w:t>
      </w:r>
      <w:r>
        <w:rPr>
          <w:spacing w:val="-3"/>
        </w:rPr>
        <w:t> </w:t>
      </w:r>
      <w:r>
        <w:rPr/>
        <w:t>Agreement</w:t>
      </w:r>
      <w:r>
        <w:rPr>
          <w:spacing w:val="-2"/>
        </w:rPr>
        <w:t> </w:t>
      </w:r>
      <w:r>
        <w:rPr/>
        <w:t>the</w:t>
      </w:r>
      <w:r>
        <w:rPr>
          <w:spacing w:val="-2"/>
        </w:rPr>
        <w:t> </w:t>
      </w:r>
      <w:r>
        <w:rPr/>
        <w:t>UK</w:t>
      </w:r>
      <w:r>
        <w:rPr>
          <w:spacing w:val="-2"/>
        </w:rPr>
        <w:t> </w:t>
      </w:r>
      <w:r>
        <w:rPr/>
        <w:t>and</w:t>
      </w:r>
      <w:r>
        <w:rPr>
          <w:spacing w:val="-3"/>
        </w:rPr>
        <w:t> </w:t>
      </w:r>
      <w:r>
        <w:rPr/>
        <w:t>EU</w:t>
      </w:r>
      <w:r>
        <w:rPr>
          <w:spacing w:val="-2"/>
        </w:rPr>
        <w:t> </w:t>
      </w:r>
      <w:r>
        <w:rPr/>
        <w:t>agreed</w:t>
      </w:r>
      <w:r>
        <w:rPr>
          <w:spacing w:val="-3"/>
        </w:rPr>
        <w:t> </w:t>
      </w:r>
      <w:r>
        <w:rPr/>
        <w:t>the</w:t>
      </w:r>
      <w:r>
        <w:rPr>
          <w:spacing w:val="-2"/>
        </w:rPr>
        <w:t> </w:t>
      </w:r>
      <w:r>
        <w:rPr/>
        <w:t>Protocol</w:t>
      </w:r>
      <w:r>
        <w:rPr>
          <w:spacing w:val="-3"/>
        </w:rPr>
        <w:t> </w:t>
      </w:r>
      <w:r>
        <w:rPr/>
        <w:t>on Ireland / Northern Ireland (now the Windsor Framework), which, in its preamble recognises</w:t>
      </w:r>
      <w:r>
        <w:rPr>
          <w:spacing w:val="-10"/>
        </w:rPr>
        <w:t> </w:t>
      </w:r>
      <w:r>
        <w:rPr/>
        <w:t>the</w:t>
      </w:r>
      <w:r>
        <w:rPr>
          <w:spacing w:val="-9"/>
        </w:rPr>
        <w:t> </w:t>
      </w:r>
      <w:r>
        <w:rPr/>
        <w:t>importance</w:t>
      </w:r>
      <w:r>
        <w:rPr>
          <w:spacing w:val="-9"/>
        </w:rPr>
        <w:t> </w:t>
      </w:r>
      <w:r>
        <w:rPr/>
        <w:t>of</w:t>
      </w:r>
      <w:r>
        <w:rPr>
          <w:spacing w:val="-10"/>
        </w:rPr>
        <w:t> </w:t>
      </w:r>
      <w:r>
        <w:rPr/>
        <w:t>the</w:t>
      </w:r>
      <w:r>
        <w:rPr>
          <w:spacing w:val="-9"/>
        </w:rPr>
        <w:t> </w:t>
      </w:r>
      <w:r>
        <w:rPr/>
        <w:t>BGFA</w:t>
      </w:r>
      <w:r>
        <w:rPr>
          <w:spacing w:val="-9"/>
        </w:rPr>
        <w:t> </w:t>
      </w:r>
      <w:r>
        <w:rPr/>
        <w:t>which</w:t>
      </w:r>
      <w:r>
        <w:rPr>
          <w:spacing w:val="-10"/>
        </w:rPr>
        <w:t> </w:t>
      </w:r>
      <w:r>
        <w:rPr/>
        <w:t>‘should</w:t>
      </w:r>
      <w:r>
        <w:rPr>
          <w:spacing w:val="-10"/>
        </w:rPr>
        <w:t> </w:t>
      </w:r>
      <w:r>
        <w:rPr/>
        <w:t>be</w:t>
      </w:r>
      <w:r>
        <w:rPr>
          <w:spacing w:val="-9"/>
        </w:rPr>
        <w:t> </w:t>
      </w:r>
      <w:r>
        <w:rPr/>
        <w:t>protected</w:t>
      </w:r>
      <w:r>
        <w:rPr>
          <w:spacing w:val="-10"/>
        </w:rPr>
        <w:t> </w:t>
      </w:r>
      <w:r>
        <w:rPr/>
        <w:t>in</w:t>
      </w:r>
      <w:r>
        <w:rPr>
          <w:spacing w:val="-10"/>
        </w:rPr>
        <w:t> </w:t>
      </w:r>
      <w:r>
        <w:rPr/>
        <w:t>all</w:t>
      </w:r>
      <w:r>
        <w:rPr>
          <w:spacing w:val="-10"/>
        </w:rPr>
        <w:t> </w:t>
      </w:r>
      <w:r>
        <w:rPr/>
        <w:t>its</w:t>
      </w:r>
      <w:r>
        <w:rPr>
          <w:spacing w:val="-10"/>
        </w:rPr>
        <w:t> </w:t>
      </w:r>
      <w:r>
        <w:rPr/>
        <w:t>parts’.</w:t>
      </w:r>
      <w:r>
        <w:rPr>
          <w:vertAlign w:val="superscript"/>
        </w:rPr>
        <w:t>50</w:t>
      </w:r>
      <w:r>
        <w:rPr>
          <w:vertAlign w:val="baseline"/>
        </w:rPr>
        <w:t> The preamble also recognises that EU law has provided an underpinning for the 1998 Agreement’s section on Rights, Safeguards and Equality of Opportunity.</w:t>
      </w:r>
    </w:p>
    <w:p>
      <w:pPr>
        <w:pStyle w:val="BodyText"/>
        <w:spacing w:line="232" w:lineRule="auto"/>
        <w:ind w:left="720" w:right="1087"/>
      </w:pPr>
      <w:r>
        <w:rPr/>
        <w:t>The WF is part of the Withdrawal Agreement and so Article 4 of the Withdrawal Agreement generally applies to it, though in some respects the WF has rules concerning</w:t>
      </w:r>
      <w:r>
        <w:rPr>
          <w:spacing w:val="-6"/>
        </w:rPr>
        <w:t> </w:t>
      </w:r>
      <w:r>
        <w:rPr/>
        <w:t>its</w:t>
      </w:r>
      <w:r>
        <w:rPr>
          <w:spacing w:val="-7"/>
        </w:rPr>
        <w:t> </w:t>
      </w:r>
      <w:r>
        <w:rPr/>
        <w:t>application</w:t>
      </w:r>
      <w:r>
        <w:rPr>
          <w:spacing w:val="-7"/>
        </w:rPr>
        <w:t> </w:t>
      </w:r>
      <w:r>
        <w:rPr/>
        <w:t>which</w:t>
      </w:r>
      <w:r>
        <w:rPr>
          <w:spacing w:val="-7"/>
        </w:rPr>
        <w:t> </w:t>
      </w:r>
      <w:r>
        <w:rPr/>
        <w:t>enhance</w:t>
      </w:r>
      <w:r>
        <w:rPr>
          <w:spacing w:val="-6"/>
        </w:rPr>
        <w:t> </w:t>
      </w:r>
      <w:r>
        <w:rPr/>
        <w:t>the</w:t>
      </w:r>
      <w:r>
        <w:rPr>
          <w:spacing w:val="-6"/>
        </w:rPr>
        <w:t> </w:t>
      </w:r>
      <w:r>
        <w:rPr/>
        <w:t>protections</w:t>
      </w:r>
      <w:r>
        <w:rPr>
          <w:spacing w:val="-7"/>
        </w:rPr>
        <w:t> </w:t>
      </w:r>
      <w:r>
        <w:rPr/>
        <w:t>offered</w:t>
      </w:r>
      <w:r>
        <w:rPr>
          <w:spacing w:val="-7"/>
        </w:rPr>
        <w:t> </w:t>
      </w:r>
      <w:r>
        <w:rPr/>
        <w:t>by</w:t>
      </w:r>
      <w:r>
        <w:rPr>
          <w:spacing w:val="-6"/>
        </w:rPr>
        <w:t> </w:t>
      </w:r>
      <w:r>
        <w:rPr/>
        <w:t>Article</w:t>
      </w:r>
      <w:r>
        <w:rPr>
          <w:spacing w:val="-6"/>
        </w:rPr>
        <w:t> </w:t>
      </w:r>
      <w:r>
        <w:rPr/>
        <w:t>4</w:t>
      </w:r>
      <w:r>
        <w:rPr>
          <w:spacing w:val="-6"/>
        </w:rPr>
        <w:t> </w:t>
      </w:r>
      <w:r>
        <w:rPr/>
        <w:t>(see below on Article 13 WF).</w:t>
      </w:r>
    </w:p>
    <w:p>
      <w:pPr>
        <w:pStyle w:val="BodyText"/>
        <w:spacing w:before="43"/>
      </w:pPr>
    </w:p>
    <w:p>
      <w:pPr>
        <w:pStyle w:val="Heading3"/>
        <w:numPr>
          <w:ilvl w:val="2"/>
          <w:numId w:val="10"/>
        </w:numPr>
        <w:tabs>
          <w:tab w:pos="1358" w:val="left" w:leader="none"/>
        </w:tabs>
        <w:spacing w:line="336" w:lineRule="exact" w:before="0" w:after="0"/>
        <w:ind w:left="1358" w:right="0" w:hanging="638"/>
        <w:jc w:val="left"/>
      </w:pPr>
      <w:r>
        <w:rPr>
          <w:color w:val="004A93"/>
        </w:rPr>
        <w:t>Article</w:t>
      </w:r>
      <w:r>
        <w:rPr>
          <w:color w:val="004A93"/>
          <w:spacing w:val="-6"/>
        </w:rPr>
        <w:t> </w:t>
      </w:r>
      <w:r>
        <w:rPr>
          <w:color w:val="004A93"/>
        </w:rPr>
        <w:t>2</w:t>
      </w:r>
      <w:r>
        <w:rPr>
          <w:color w:val="004A93"/>
          <w:spacing w:val="-5"/>
        </w:rPr>
        <w:t> </w:t>
      </w:r>
      <w:r>
        <w:rPr>
          <w:color w:val="004A93"/>
        </w:rPr>
        <w:t>of</w:t>
      </w:r>
      <w:r>
        <w:rPr>
          <w:color w:val="004A93"/>
          <w:spacing w:val="-5"/>
        </w:rPr>
        <w:t> </w:t>
      </w:r>
      <w:r>
        <w:rPr>
          <w:color w:val="004A93"/>
        </w:rPr>
        <w:t>the</w:t>
      </w:r>
      <w:r>
        <w:rPr>
          <w:color w:val="004A93"/>
          <w:spacing w:val="-6"/>
        </w:rPr>
        <w:t> </w:t>
      </w:r>
      <w:r>
        <w:rPr>
          <w:color w:val="004A93"/>
        </w:rPr>
        <w:t>Windsor</w:t>
      </w:r>
      <w:r>
        <w:rPr>
          <w:color w:val="004A93"/>
          <w:spacing w:val="-5"/>
        </w:rPr>
        <w:t> </w:t>
      </w:r>
      <w:r>
        <w:rPr>
          <w:color w:val="004A93"/>
          <w:spacing w:val="-2"/>
        </w:rPr>
        <w:t>Framework</w:t>
      </w:r>
    </w:p>
    <w:p>
      <w:pPr>
        <w:pStyle w:val="BodyText"/>
        <w:spacing w:line="232" w:lineRule="auto" w:before="2"/>
        <w:ind w:left="720" w:right="1404"/>
      </w:pPr>
      <w:r>
        <w:rPr/>
        <w:t>The</w:t>
      </w:r>
      <w:r>
        <w:rPr>
          <w:spacing w:val="-4"/>
        </w:rPr>
        <w:t> </w:t>
      </w:r>
      <w:r>
        <w:rPr/>
        <w:t>key</w:t>
      </w:r>
      <w:r>
        <w:rPr>
          <w:spacing w:val="-4"/>
        </w:rPr>
        <w:t> </w:t>
      </w:r>
      <w:r>
        <w:rPr/>
        <w:t>provision</w:t>
      </w:r>
      <w:r>
        <w:rPr>
          <w:spacing w:val="-5"/>
        </w:rPr>
        <w:t> </w:t>
      </w:r>
      <w:r>
        <w:rPr/>
        <w:t>of</w:t>
      </w:r>
      <w:r>
        <w:rPr>
          <w:spacing w:val="-5"/>
        </w:rPr>
        <w:t> </w:t>
      </w:r>
      <w:r>
        <w:rPr/>
        <w:t>the</w:t>
      </w:r>
      <w:r>
        <w:rPr>
          <w:spacing w:val="-4"/>
        </w:rPr>
        <w:t> </w:t>
      </w:r>
      <w:r>
        <w:rPr/>
        <w:t>WF</w:t>
      </w:r>
      <w:r>
        <w:rPr>
          <w:spacing w:val="-5"/>
        </w:rPr>
        <w:t> </w:t>
      </w:r>
      <w:r>
        <w:rPr/>
        <w:t>for</w:t>
      </w:r>
      <w:r>
        <w:rPr>
          <w:spacing w:val="-4"/>
        </w:rPr>
        <w:t> </w:t>
      </w:r>
      <w:r>
        <w:rPr/>
        <w:t>the</w:t>
      </w:r>
      <w:r>
        <w:rPr>
          <w:spacing w:val="-4"/>
        </w:rPr>
        <w:t> </w:t>
      </w:r>
      <w:r>
        <w:rPr/>
        <w:t>purposes</w:t>
      </w:r>
      <w:r>
        <w:rPr>
          <w:spacing w:val="-5"/>
        </w:rPr>
        <w:t> </w:t>
      </w:r>
      <w:r>
        <w:rPr/>
        <w:t>of</w:t>
      </w:r>
      <w:r>
        <w:rPr>
          <w:spacing w:val="-5"/>
        </w:rPr>
        <w:t> </w:t>
      </w:r>
      <w:r>
        <w:rPr/>
        <w:t>this</w:t>
      </w:r>
      <w:r>
        <w:rPr>
          <w:spacing w:val="-5"/>
        </w:rPr>
        <w:t> </w:t>
      </w:r>
      <w:r>
        <w:rPr/>
        <w:t>briefing</w:t>
      </w:r>
      <w:r>
        <w:rPr>
          <w:spacing w:val="-4"/>
        </w:rPr>
        <w:t> </w:t>
      </w:r>
      <w:r>
        <w:rPr/>
        <w:t>paper</w:t>
      </w:r>
      <w:r>
        <w:rPr>
          <w:spacing w:val="-4"/>
        </w:rPr>
        <w:t> </w:t>
      </w:r>
      <w:r>
        <w:rPr/>
        <w:t>is</w:t>
      </w:r>
      <w:r>
        <w:rPr>
          <w:spacing w:val="-5"/>
        </w:rPr>
        <w:t> </w:t>
      </w:r>
      <w:r>
        <w:rPr/>
        <w:t>Article</w:t>
      </w:r>
      <w:r>
        <w:rPr>
          <w:spacing w:val="-4"/>
        </w:rPr>
        <w:t> </w:t>
      </w:r>
      <w:r>
        <w:rPr/>
        <w:t>2</w:t>
      </w:r>
      <w:r>
        <w:rPr>
          <w:spacing w:val="-4"/>
        </w:rPr>
        <w:t> </w:t>
      </w:r>
      <w:r>
        <w:rPr/>
        <w:t>on the Rights of Individuals.</w:t>
      </w:r>
      <w:r>
        <w:rPr>
          <w:vertAlign w:val="superscript"/>
        </w:rPr>
        <w:t>51</w:t>
      </w:r>
      <w:r>
        <w:rPr>
          <w:vertAlign w:val="baseline"/>
        </w:rPr>
        <w:t> This reads:</w:t>
      </w:r>
    </w:p>
    <w:p>
      <w:pPr>
        <w:pStyle w:val="BodyText"/>
        <w:spacing w:before="4"/>
        <w:rPr>
          <w:sz w:val="20"/>
        </w:rPr>
      </w:pPr>
      <w:r>
        <w:rPr/>
        <mc:AlternateContent>
          <mc:Choice Requires="wps">
            <w:drawing>
              <wp:anchor distT="0" distB="0" distL="0" distR="0" allowOverlap="1" layoutInCell="1" locked="0" behindDoc="1" simplePos="0" relativeHeight="487640576">
                <wp:simplePos x="0" y="0"/>
                <wp:positionH relativeFrom="page">
                  <wp:posOffset>647994</wp:posOffset>
                </wp:positionH>
                <wp:positionV relativeFrom="paragraph">
                  <wp:posOffset>173168</wp:posOffset>
                </wp:positionV>
                <wp:extent cx="6012180" cy="3658235"/>
                <wp:effectExtent l="0" t="0" r="0" b="0"/>
                <wp:wrapTopAndBottom/>
                <wp:docPr id="291" name="Group 291"/>
                <wp:cNvGraphicFramePr>
                  <a:graphicFrameLocks/>
                </wp:cNvGraphicFramePr>
                <a:graphic>
                  <a:graphicData uri="http://schemas.microsoft.com/office/word/2010/wordprocessingGroup">
                    <wpg:wgp>
                      <wpg:cNvPr id="291" name="Group 291"/>
                      <wpg:cNvGrpSpPr/>
                      <wpg:grpSpPr>
                        <a:xfrm>
                          <a:off x="0" y="0"/>
                          <a:ext cx="6012180" cy="3658235"/>
                          <a:chExt cx="6012180" cy="3658235"/>
                        </a:xfrm>
                      </wpg:grpSpPr>
                      <wps:wsp>
                        <wps:cNvPr id="292" name="Graphic 292"/>
                        <wps:cNvSpPr/>
                        <wps:spPr>
                          <a:xfrm>
                            <a:off x="-2" y="1"/>
                            <a:ext cx="6012180" cy="3658235"/>
                          </a:xfrm>
                          <a:custGeom>
                            <a:avLst/>
                            <a:gdLst/>
                            <a:ahLst/>
                            <a:cxnLst/>
                            <a:rect l="l" t="t" r="r" b="b"/>
                            <a:pathLst>
                              <a:path w="6012180" h="3658235">
                                <a:moveTo>
                                  <a:pt x="6012002" y="2216404"/>
                                </a:moveTo>
                                <a:lnTo>
                                  <a:pt x="0" y="2216404"/>
                                </a:lnTo>
                                <a:lnTo>
                                  <a:pt x="0" y="3513950"/>
                                </a:lnTo>
                                <a:lnTo>
                                  <a:pt x="7340" y="3559467"/>
                                </a:lnTo>
                                <a:lnTo>
                                  <a:pt x="27787" y="3599002"/>
                                </a:lnTo>
                                <a:lnTo>
                                  <a:pt x="58953" y="3630168"/>
                                </a:lnTo>
                                <a:lnTo>
                                  <a:pt x="98488" y="3650615"/>
                                </a:lnTo>
                                <a:lnTo>
                                  <a:pt x="144005" y="3657955"/>
                                </a:lnTo>
                                <a:lnTo>
                                  <a:pt x="5867997" y="3657955"/>
                                </a:lnTo>
                                <a:lnTo>
                                  <a:pt x="5913513" y="3650615"/>
                                </a:lnTo>
                                <a:lnTo>
                                  <a:pt x="5953049" y="3630168"/>
                                </a:lnTo>
                                <a:lnTo>
                                  <a:pt x="5984214" y="3599002"/>
                                </a:lnTo>
                                <a:lnTo>
                                  <a:pt x="6004661" y="3559467"/>
                                </a:lnTo>
                                <a:lnTo>
                                  <a:pt x="6012002" y="3513950"/>
                                </a:lnTo>
                                <a:lnTo>
                                  <a:pt x="6012002" y="2216404"/>
                                </a:lnTo>
                                <a:close/>
                              </a:path>
                              <a:path w="6012180" h="3658235">
                                <a:moveTo>
                                  <a:pt x="6012002" y="144005"/>
                                </a:moveTo>
                                <a:lnTo>
                                  <a:pt x="6004661" y="98488"/>
                                </a:lnTo>
                                <a:lnTo>
                                  <a:pt x="5984214" y="58953"/>
                                </a:lnTo>
                                <a:lnTo>
                                  <a:pt x="5953049" y="27787"/>
                                </a:lnTo>
                                <a:lnTo>
                                  <a:pt x="5913513" y="7340"/>
                                </a:lnTo>
                                <a:lnTo>
                                  <a:pt x="5868009" y="0"/>
                                </a:lnTo>
                                <a:lnTo>
                                  <a:pt x="144005" y="0"/>
                                </a:lnTo>
                                <a:lnTo>
                                  <a:pt x="98488" y="7340"/>
                                </a:lnTo>
                                <a:lnTo>
                                  <a:pt x="58953" y="27787"/>
                                </a:lnTo>
                                <a:lnTo>
                                  <a:pt x="27787" y="58953"/>
                                </a:lnTo>
                                <a:lnTo>
                                  <a:pt x="7340" y="98488"/>
                                </a:lnTo>
                                <a:lnTo>
                                  <a:pt x="0" y="144005"/>
                                </a:lnTo>
                                <a:lnTo>
                                  <a:pt x="0" y="393801"/>
                                </a:lnTo>
                                <a:lnTo>
                                  <a:pt x="6012002" y="393801"/>
                                </a:lnTo>
                                <a:lnTo>
                                  <a:pt x="6012002" y="144005"/>
                                </a:lnTo>
                                <a:close/>
                              </a:path>
                            </a:pathLst>
                          </a:custGeom>
                          <a:solidFill>
                            <a:srgbClr val="E9F3FC"/>
                          </a:solidFill>
                        </wps:spPr>
                        <wps:bodyPr wrap="square" lIns="0" tIns="0" rIns="0" bIns="0" rtlCol="0">
                          <a:prstTxWarp prst="textNoShape">
                            <a:avLst/>
                          </a:prstTxWarp>
                          <a:noAutofit/>
                        </wps:bodyPr>
                      </wps:wsp>
                      <wps:wsp>
                        <wps:cNvPr id="293" name="Textbox 293"/>
                        <wps:cNvSpPr txBox="1"/>
                        <wps:spPr>
                          <a:xfrm>
                            <a:off x="0" y="0"/>
                            <a:ext cx="6012180" cy="394335"/>
                          </a:xfrm>
                          <a:prstGeom prst="rect">
                            <a:avLst/>
                          </a:prstGeom>
                        </wps:spPr>
                        <wps:txbx>
                          <w:txbxContent>
                            <w:p>
                              <w:pPr>
                                <w:spacing w:before="113"/>
                                <w:ind w:left="340" w:right="0" w:firstLine="0"/>
                                <w:jc w:val="left"/>
                                <w:rPr>
                                  <w:sz w:val="28"/>
                                </w:rPr>
                              </w:pPr>
                              <w:r>
                                <w:rPr>
                                  <w:color w:val="164194"/>
                                  <w:sz w:val="28"/>
                                </w:rPr>
                                <w:t>Article</w:t>
                              </w:r>
                              <w:r>
                                <w:rPr>
                                  <w:color w:val="164194"/>
                                  <w:spacing w:val="-8"/>
                                  <w:sz w:val="28"/>
                                </w:rPr>
                                <w:t> </w:t>
                              </w:r>
                              <w:r>
                                <w:rPr>
                                  <w:color w:val="164194"/>
                                  <w:spacing w:val="-10"/>
                                  <w:sz w:val="28"/>
                                </w:rPr>
                                <w:t>2</w:t>
                              </w:r>
                            </w:p>
                          </w:txbxContent>
                        </wps:txbx>
                        <wps:bodyPr wrap="square" lIns="0" tIns="0" rIns="0" bIns="0" rtlCol="0">
                          <a:noAutofit/>
                        </wps:bodyPr>
                      </wps:wsp>
                      <wps:wsp>
                        <wps:cNvPr id="294" name="Textbox 294"/>
                        <wps:cNvSpPr txBox="1"/>
                        <wps:spPr>
                          <a:xfrm>
                            <a:off x="10" y="389548"/>
                            <a:ext cx="6012180" cy="1831339"/>
                          </a:xfrm>
                          <a:prstGeom prst="rect">
                            <a:avLst/>
                          </a:prstGeom>
                          <a:solidFill>
                            <a:srgbClr val="E9F3FC"/>
                          </a:solidFill>
                        </wps:spPr>
                        <wps:txbx>
                          <w:txbxContent>
                            <w:p>
                              <w:pPr>
                                <w:spacing w:before="113"/>
                                <w:ind w:left="340" w:right="0" w:firstLine="0"/>
                                <w:jc w:val="left"/>
                                <w:rPr>
                                  <w:color w:val="000000"/>
                                  <w:sz w:val="28"/>
                                </w:rPr>
                              </w:pPr>
                              <w:r>
                                <w:rPr>
                                  <w:color w:val="164194"/>
                                  <w:sz w:val="28"/>
                                </w:rPr>
                                <w:t>Rights</w:t>
                              </w:r>
                              <w:r>
                                <w:rPr>
                                  <w:color w:val="164194"/>
                                  <w:spacing w:val="-5"/>
                                  <w:sz w:val="28"/>
                                </w:rPr>
                                <w:t> </w:t>
                              </w:r>
                              <w:r>
                                <w:rPr>
                                  <w:color w:val="164194"/>
                                  <w:sz w:val="28"/>
                                </w:rPr>
                                <w:t>of</w:t>
                              </w:r>
                              <w:r>
                                <w:rPr>
                                  <w:color w:val="164194"/>
                                  <w:spacing w:val="-5"/>
                                  <w:sz w:val="28"/>
                                </w:rPr>
                                <w:t> </w:t>
                              </w:r>
                              <w:r>
                                <w:rPr>
                                  <w:color w:val="164194"/>
                                  <w:spacing w:val="-2"/>
                                  <w:sz w:val="28"/>
                                </w:rPr>
                                <w:t>individuals</w:t>
                              </w:r>
                            </w:p>
                            <w:p>
                              <w:pPr>
                                <w:spacing w:line="232" w:lineRule="auto" w:before="280"/>
                                <w:ind w:left="340" w:right="196" w:firstLine="0"/>
                                <w:jc w:val="left"/>
                                <w:rPr>
                                  <w:color w:val="000000"/>
                                  <w:sz w:val="28"/>
                                </w:rPr>
                              </w:pPr>
                              <w:r>
                                <w:rPr>
                                  <w:color w:val="164194"/>
                                  <w:sz w:val="28"/>
                                </w:rPr>
                                <w:t>1.</w:t>
                              </w:r>
                              <w:r>
                                <w:rPr>
                                  <w:color w:val="164194"/>
                                  <w:spacing w:val="-6"/>
                                  <w:sz w:val="28"/>
                                </w:rPr>
                                <w:t> </w:t>
                              </w:r>
                              <w:r>
                                <w:rPr>
                                  <w:color w:val="164194"/>
                                  <w:sz w:val="28"/>
                                </w:rPr>
                                <w:t>The</w:t>
                              </w:r>
                              <w:r>
                                <w:rPr>
                                  <w:color w:val="164194"/>
                                  <w:spacing w:val="-5"/>
                                  <w:sz w:val="28"/>
                                </w:rPr>
                                <w:t> </w:t>
                              </w:r>
                              <w:r>
                                <w:rPr>
                                  <w:color w:val="164194"/>
                                  <w:sz w:val="28"/>
                                </w:rPr>
                                <w:t>United</w:t>
                              </w:r>
                              <w:r>
                                <w:rPr>
                                  <w:color w:val="164194"/>
                                  <w:spacing w:val="-6"/>
                                  <w:sz w:val="28"/>
                                </w:rPr>
                                <w:t> </w:t>
                              </w:r>
                              <w:r>
                                <w:rPr>
                                  <w:color w:val="164194"/>
                                  <w:sz w:val="28"/>
                                </w:rPr>
                                <w:t>Kingdom</w:t>
                              </w:r>
                              <w:r>
                                <w:rPr>
                                  <w:color w:val="164194"/>
                                  <w:spacing w:val="-5"/>
                                  <w:sz w:val="28"/>
                                </w:rPr>
                                <w:t> </w:t>
                              </w:r>
                              <w:r>
                                <w:rPr>
                                  <w:color w:val="164194"/>
                                  <w:sz w:val="28"/>
                                </w:rPr>
                                <w:t>shall</w:t>
                              </w:r>
                              <w:r>
                                <w:rPr>
                                  <w:color w:val="164194"/>
                                  <w:spacing w:val="-6"/>
                                  <w:sz w:val="28"/>
                                </w:rPr>
                                <w:t> </w:t>
                              </w:r>
                              <w:r>
                                <w:rPr>
                                  <w:color w:val="164194"/>
                                  <w:sz w:val="28"/>
                                </w:rPr>
                                <w:t>ensure</w:t>
                              </w:r>
                              <w:r>
                                <w:rPr>
                                  <w:color w:val="164194"/>
                                  <w:spacing w:val="-5"/>
                                  <w:sz w:val="28"/>
                                </w:rPr>
                                <w:t> </w:t>
                              </w:r>
                              <w:r>
                                <w:rPr>
                                  <w:color w:val="164194"/>
                                  <w:sz w:val="28"/>
                                </w:rPr>
                                <w:t>that</w:t>
                              </w:r>
                              <w:r>
                                <w:rPr>
                                  <w:color w:val="164194"/>
                                  <w:spacing w:val="-5"/>
                                  <w:sz w:val="28"/>
                                </w:rPr>
                                <w:t> </w:t>
                              </w:r>
                              <w:r>
                                <w:rPr>
                                  <w:color w:val="164194"/>
                                  <w:sz w:val="28"/>
                                </w:rPr>
                                <w:t>no</w:t>
                              </w:r>
                              <w:r>
                                <w:rPr>
                                  <w:color w:val="164194"/>
                                  <w:spacing w:val="-6"/>
                                  <w:sz w:val="28"/>
                                </w:rPr>
                                <w:t> </w:t>
                              </w:r>
                              <w:r>
                                <w:rPr>
                                  <w:color w:val="164194"/>
                                  <w:sz w:val="28"/>
                                </w:rPr>
                                <w:t>diminution</w:t>
                              </w:r>
                              <w:r>
                                <w:rPr>
                                  <w:color w:val="164194"/>
                                  <w:spacing w:val="-6"/>
                                  <w:sz w:val="28"/>
                                </w:rPr>
                                <w:t> </w:t>
                              </w:r>
                              <w:r>
                                <w:rPr>
                                  <w:color w:val="164194"/>
                                  <w:sz w:val="28"/>
                                </w:rPr>
                                <w:t>of</w:t>
                              </w:r>
                              <w:r>
                                <w:rPr>
                                  <w:color w:val="164194"/>
                                  <w:spacing w:val="-6"/>
                                  <w:sz w:val="28"/>
                                </w:rPr>
                                <w:t> </w:t>
                              </w:r>
                              <w:r>
                                <w:rPr>
                                  <w:color w:val="164194"/>
                                  <w:sz w:val="28"/>
                                </w:rPr>
                                <w:t>rights,</w:t>
                              </w:r>
                              <w:r>
                                <w:rPr>
                                  <w:color w:val="164194"/>
                                  <w:spacing w:val="-5"/>
                                  <w:sz w:val="28"/>
                                </w:rPr>
                                <w:t> </w:t>
                              </w:r>
                              <w:r>
                                <w:rPr>
                                  <w:color w:val="164194"/>
                                  <w:sz w:val="28"/>
                                </w:rPr>
                                <w:t>safeguards</w:t>
                              </w:r>
                              <w:r>
                                <w:rPr>
                                  <w:color w:val="164194"/>
                                  <w:spacing w:val="-6"/>
                                  <w:sz w:val="28"/>
                                </w:rPr>
                                <w:t> </w:t>
                              </w:r>
                              <w:r>
                                <w:rPr>
                                  <w:color w:val="164194"/>
                                  <w:sz w:val="28"/>
                                </w:rPr>
                                <w:t>or equality</w:t>
                              </w:r>
                              <w:r>
                                <w:rPr>
                                  <w:color w:val="164194"/>
                                  <w:spacing w:val="-2"/>
                                  <w:sz w:val="28"/>
                                </w:rPr>
                                <w:t> </w:t>
                              </w:r>
                              <w:r>
                                <w:rPr>
                                  <w:color w:val="164194"/>
                                  <w:sz w:val="28"/>
                                </w:rPr>
                                <w:t>of</w:t>
                              </w:r>
                              <w:r>
                                <w:rPr>
                                  <w:color w:val="164194"/>
                                  <w:spacing w:val="-3"/>
                                  <w:sz w:val="28"/>
                                </w:rPr>
                                <w:t> </w:t>
                              </w:r>
                              <w:r>
                                <w:rPr>
                                  <w:color w:val="164194"/>
                                  <w:sz w:val="28"/>
                                </w:rPr>
                                <w:t>opportunity,</w:t>
                              </w:r>
                              <w:r>
                                <w:rPr>
                                  <w:color w:val="164194"/>
                                  <w:spacing w:val="-2"/>
                                  <w:sz w:val="28"/>
                                </w:rPr>
                                <w:t> </w:t>
                              </w:r>
                              <w:r>
                                <w:rPr>
                                  <w:color w:val="164194"/>
                                  <w:sz w:val="28"/>
                                </w:rPr>
                                <w:t>as</w:t>
                              </w:r>
                              <w:r>
                                <w:rPr>
                                  <w:color w:val="164194"/>
                                  <w:spacing w:val="-3"/>
                                  <w:sz w:val="28"/>
                                </w:rPr>
                                <w:t> </w:t>
                              </w:r>
                              <w:r>
                                <w:rPr>
                                  <w:color w:val="164194"/>
                                  <w:sz w:val="28"/>
                                </w:rPr>
                                <w:t>set</w:t>
                              </w:r>
                              <w:r>
                                <w:rPr>
                                  <w:color w:val="164194"/>
                                  <w:spacing w:val="-2"/>
                                  <w:sz w:val="28"/>
                                </w:rPr>
                                <w:t> </w:t>
                              </w:r>
                              <w:r>
                                <w:rPr>
                                  <w:color w:val="164194"/>
                                  <w:sz w:val="28"/>
                                </w:rPr>
                                <w:t>out</w:t>
                              </w:r>
                              <w:r>
                                <w:rPr>
                                  <w:color w:val="164194"/>
                                  <w:spacing w:val="-2"/>
                                  <w:sz w:val="28"/>
                                </w:rPr>
                                <w:t> </w:t>
                              </w:r>
                              <w:r>
                                <w:rPr>
                                  <w:color w:val="164194"/>
                                  <w:sz w:val="28"/>
                                </w:rPr>
                                <w:t>in</w:t>
                              </w:r>
                              <w:r>
                                <w:rPr>
                                  <w:color w:val="164194"/>
                                  <w:spacing w:val="-3"/>
                                  <w:sz w:val="28"/>
                                </w:rPr>
                                <w:t> </w:t>
                              </w:r>
                              <w:r>
                                <w:rPr>
                                  <w:color w:val="164194"/>
                                  <w:sz w:val="28"/>
                                </w:rPr>
                                <w:t>that</w:t>
                              </w:r>
                              <w:r>
                                <w:rPr>
                                  <w:color w:val="164194"/>
                                  <w:spacing w:val="-2"/>
                                  <w:sz w:val="28"/>
                                </w:rPr>
                                <w:t> </w:t>
                              </w:r>
                              <w:r>
                                <w:rPr>
                                  <w:color w:val="164194"/>
                                  <w:sz w:val="28"/>
                                </w:rPr>
                                <w:t>part</w:t>
                              </w:r>
                              <w:r>
                                <w:rPr>
                                  <w:color w:val="164194"/>
                                  <w:spacing w:val="-2"/>
                                  <w:sz w:val="28"/>
                                </w:rPr>
                                <w:t> </w:t>
                              </w:r>
                              <w:r>
                                <w:rPr>
                                  <w:color w:val="164194"/>
                                  <w:sz w:val="28"/>
                                </w:rPr>
                                <w:t>of</w:t>
                              </w:r>
                              <w:r>
                                <w:rPr>
                                  <w:color w:val="164194"/>
                                  <w:spacing w:val="-3"/>
                                  <w:sz w:val="28"/>
                                </w:rPr>
                                <w:t> </w:t>
                              </w:r>
                              <w:r>
                                <w:rPr>
                                  <w:color w:val="164194"/>
                                  <w:sz w:val="28"/>
                                </w:rPr>
                                <w:t>the</w:t>
                              </w:r>
                              <w:r>
                                <w:rPr>
                                  <w:color w:val="164194"/>
                                  <w:spacing w:val="-2"/>
                                  <w:sz w:val="28"/>
                                </w:rPr>
                                <w:t> </w:t>
                              </w:r>
                              <w:r>
                                <w:rPr>
                                  <w:color w:val="164194"/>
                                  <w:sz w:val="28"/>
                                </w:rPr>
                                <w:t>1998</w:t>
                              </w:r>
                              <w:r>
                                <w:rPr>
                                  <w:color w:val="164194"/>
                                  <w:spacing w:val="-2"/>
                                  <w:sz w:val="28"/>
                                </w:rPr>
                                <w:t> </w:t>
                              </w:r>
                              <w:r>
                                <w:rPr>
                                  <w:color w:val="164194"/>
                                  <w:sz w:val="28"/>
                                </w:rPr>
                                <w:t>Agreement</w:t>
                              </w:r>
                              <w:r>
                                <w:rPr>
                                  <w:color w:val="164194"/>
                                  <w:spacing w:val="-2"/>
                                  <w:sz w:val="28"/>
                                </w:rPr>
                                <w:t> </w:t>
                              </w:r>
                              <w:r>
                                <w:rPr>
                                  <w:color w:val="164194"/>
                                  <w:sz w:val="28"/>
                                </w:rPr>
                                <w:t>entitled Rights, Safeguards and Equality of Opportunity results from its withdrawal from the Union, including in the area of protection against discrimination,</w:t>
                              </w:r>
                            </w:p>
                            <w:p>
                              <w:pPr>
                                <w:spacing w:line="232" w:lineRule="auto" w:before="0"/>
                                <w:ind w:left="340" w:right="196" w:firstLine="0"/>
                                <w:jc w:val="left"/>
                                <w:rPr>
                                  <w:color w:val="000000"/>
                                  <w:sz w:val="28"/>
                                </w:rPr>
                              </w:pPr>
                              <w:r>
                                <w:rPr>
                                  <w:color w:val="164194"/>
                                  <w:sz w:val="28"/>
                                </w:rPr>
                                <w:t>as</w:t>
                              </w:r>
                              <w:r>
                                <w:rPr>
                                  <w:color w:val="164194"/>
                                  <w:spacing w:val="-5"/>
                                  <w:sz w:val="28"/>
                                </w:rPr>
                                <w:t> </w:t>
                              </w:r>
                              <w:r>
                                <w:rPr>
                                  <w:color w:val="164194"/>
                                  <w:sz w:val="28"/>
                                </w:rPr>
                                <w:t>enshrined</w:t>
                              </w:r>
                              <w:r>
                                <w:rPr>
                                  <w:color w:val="164194"/>
                                  <w:spacing w:val="-5"/>
                                  <w:sz w:val="28"/>
                                </w:rPr>
                                <w:t> </w:t>
                              </w:r>
                              <w:r>
                                <w:rPr>
                                  <w:color w:val="164194"/>
                                  <w:sz w:val="28"/>
                                </w:rPr>
                                <w:t>in</w:t>
                              </w:r>
                              <w:r>
                                <w:rPr>
                                  <w:color w:val="164194"/>
                                  <w:spacing w:val="-5"/>
                                  <w:sz w:val="28"/>
                                </w:rPr>
                                <w:t> </w:t>
                              </w:r>
                              <w:r>
                                <w:rPr>
                                  <w:color w:val="164194"/>
                                  <w:sz w:val="28"/>
                                </w:rPr>
                                <w:t>the</w:t>
                              </w:r>
                              <w:r>
                                <w:rPr>
                                  <w:color w:val="164194"/>
                                  <w:spacing w:val="-5"/>
                                  <w:sz w:val="28"/>
                                </w:rPr>
                                <w:t> </w:t>
                              </w:r>
                              <w:r>
                                <w:rPr>
                                  <w:color w:val="164194"/>
                                  <w:sz w:val="28"/>
                                </w:rPr>
                                <w:t>provisions</w:t>
                              </w:r>
                              <w:r>
                                <w:rPr>
                                  <w:color w:val="164194"/>
                                  <w:spacing w:val="-5"/>
                                  <w:sz w:val="28"/>
                                </w:rPr>
                                <w:t> </w:t>
                              </w:r>
                              <w:r>
                                <w:rPr>
                                  <w:color w:val="164194"/>
                                  <w:sz w:val="28"/>
                                </w:rPr>
                                <w:t>of</w:t>
                              </w:r>
                              <w:r>
                                <w:rPr>
                                  <w:color w:val="164194"/>
                                  <w:spacing w:val="-5"/>
                                  <w:sz w:val="28"/>
                                </w:rPr>
                                <w:t> </w:t>
                              </w:r>
                              <w:r>
                                <w:rPr>
                                  <w:color w:val="164194"/>
                                  <w:sz w:val="28"/>
                                </w:rPr>
                                <w:t>Union</w:t>
                              </w:r>
                              <w:r>
                                <w:rPr>
                                  <w:color w:val="164194"/>
                                  <w:spacing w:val="-5"/>
                                  <w:sz w:val="28"/>
                                </w:rPr>
                                <w:t> </w:t>
                              </w:r>
                              <w:r>
                                <w:rPr>
                                  <w:color w:val="164194"/>
                                  <w:sz w:val="28"/>
                                </w:rPr>
                                <w:t>law</w:t>
                              </w:r>
                              <w:r>
                                <w:rPr>
                                  <w:color w:val="164194"/>
                                  <w:spacing w:val="-5"/>
                                  <w:sz w:val="28"/>
                                </w:rPr>
                                <w:t> </w:t>
                              </w:r>
                              <w:r>
                                <w:rPr>
                                  <w:color w:val="164194"/>
                                  <w:sz w:val="28"/>
                                </w:rPr>
                                <w:t>listed</w:t>
                              </w:r>
                              <w:r>
                                <w:rPr>
                                  <w:color w:val="164194"/>
                                  <w:spacing w:val="-5"/>
                                  <w:sz w:val="28"/>
                                </w:rPr>
                                <w:t> </w:t>
                              </w:r>
                              <w:r>
                                <w:rPr>
                                  <w:color w:val="164194"/>
                                  <w:sz w:val="28"/>
                                </w:rPr>
                                <w:t>in</w:t>
                              </w:r>
                              <w:r>
                                <w:rPr>
                                  <w:color w:val="164194"/>
                                  <w:spacing w:val="-5"/>
                                  <w:sz w:val="28"/>
                                </w:rPr>
                                <w:t> </w:t>
                              </w:r>
                              <w:r>
                                <w:rPr>
                                  <w:color w:val="164194"/>
                                  <w:sz w:val="28"/>
                                </w:rPr>
                                <w:t>Annex</w:t>
                              </w:r>
                              <w:r>
                                <w:rPr>
                                  <w:color w:val="164194"/>
                                  <w:spacing w:val="-5"/>
                                  <w:sz w:val="28"/>
                                </w:rPr>
                                <w:t> </w:t>
                              </w:r>
                              <w:r>
                                <w:rPr>
                                  <w:color w:val="164194"/>
                                  <w:sz w:val="28"/>
                                </w:rPr>
                                <w:t>1</w:t>
                              </w:r>
                              <w:r>
                                <w:rPr>
                                  <w:color w:val="164194"/>
                                  <w:spacing w:val="-5"/>
                                  <w:sz w:val="28"/>
                                </w:rPr>
                                <w:t> </w:t>
                              </w:r>
                              <w:r>
                                <w:rPr>
                                  <w:color w:val="164194"/>
                                  <w:sz w:val="28"/>
                                </w:rPr>
                                <w:t>to</w:t>
                              </w:r>
                              <w:r>
                                <w:rPr>
                                  <w:color w:val="164194"/>
                                  <w:spacing w:val="-5"/>
                                  <w:sz w:val="28"/>
                                </w:rPr>
                                <w:t> </w:t>
                              </w:r>
                              <w:r>
                                <w:rPr>
                                  <w:color w:val="164194"/>
                                  <w:sz w:val="28"/>
                                </w:rPr>
                                <w:t>this</w:t>
                              </w:r>
                              <w:r>
                                <w:rPr>
                                  <w:color w:val="164194"/>
                                  <w:spacing w:val="-5"/>
                                  <w:sz w:val="28"/>
                                </w:rPr>
                                <w:t> </w:t>
                              </w:r>
                              <w:r>
                                <w:rPr>
                                  <w:color w:val="164194"/>
                                  <w:sz w:val="28"/>
                                </w:rPr>
                                <w:t>Protocol, and shall implement this paragraph through dedicated mechanisms.</w:t>
                              </w:r>
                            </w:p>
                          </w:txbxContent>
                        </wps:txbx>
                        <wps:bodyPr wrap="square" lIns="0" tIns="0" rIns="0" bIns="0" rtlCol="0">
                          <a:noAutofit/>
                        </wps:bodyPr>
                      </wps:wsp>
                      <wps:wsp>
                        <wps:cNvPr id="295" name="Textbox 295"/>
                        <wps:cNvSpPr txBox="1"/>
                        <wps:spPr>
                          <a:xfrm>
                            <a:off x="5" y="2216400"/>
                            <a:ext cx="6012180" cy="1442085"/>
                          </a:xfrm>
                          <a:prstGeom prst="rect">
                            <a:avLst/>
                          </a:prstGeom>
                        </wps:spPr>
                        <wps:txbx>
                          <w:txbxContent>
                            <w:p>
                              <w:pPr>
                                <w:spacing w:line="232" w:lineRule="auto" w:before="121"/>
                                <w:ind w:left="340" w:right="106" w:firstLine="0"/>
                                <w:jc w:val="left"/>
                                <w:rPr>
                                  <w:sz w:val="28"/>
                                </w:rPr>
                              </w:pPr>
                              <w:r>
                                <w:rPr>
                                  <w:color w:val="164194"/>
                                  <w:sz w:val="28"/>
                                </w:rPr>
                                <w:t>2. The United Kingdom shall continue to facilitate the related work of the institutions and bodies set up pursuant to the 1998 Agreement, including the Northern Ireland Human Rights Commission, the Equality Commission for Northern Ireland and the Joint Committee of representatives of the Human Rights</w:t>
                              </w:r>
                              <w:r>
                                <w:rPr>
                                  <w:color w:val="164194"/>
                                  <w:spacing w:val="-6"/>
                                  <w:sz w:val="28"/>
                                </w:rPr>
                                <w:t> </w:t>
                              </w:r>
                              <w:r>
                                <w:rPr>
                                  <w:color w:val="164194"/>
                                  <w:sz w:val="28"/>
                                </w:rPr>
                                <w:t>Commissions</w:t>
                              </w:r>
                              <w:r>
                                <w:rPr>
                                  <w:color w:val="164194"/>
                                  <w:spacing w:val="-6"/>
                                  <w:sz w:val="28"/>
                                </w:rPr>
                                <w:t> </w:t>
                              </w:r>
                              <w:r>
                                <w:rPr>
                                  <w:color w:val="164194"/>
                                  <w:sz w:val="28"/>
                                </w:rPr>
                                <w:t>of</w:t>
                              </w:r>
                              <w:r>
                                <w:rPr>
                                  <w:color w:val="164194"/>
                                  <w:spacing w:val="-6"/>
                                  <w:sz w:val="28"/>
                                </w:rPr>
                                <w:t> </w:t>
                              </w:r>
                              <w:r>
                                <w:rPr>
                                  <w:color w:val="164194"/>
                                  <w:sz w:val="28"/>
                                </w:rPr>
                                <w:t>Northern</w:t>
                              </w:r>
                              <w:r>
                                <w:rPr>
                                  <w:color w:val="164194"/>
                                  <w:spacing w:val="-6"/>
                                  <w:sz w:val="28"/>
                                </w:rPr>
                                <w:t> </w:t>
                              </w:r>
                              <w:r>
                                <w:rPr>
                                  <w:color w:val="164194"/>
                                  <w:sz w:val="28"/>
                                </w:rPr>
                                <w:t>Ireland</w:t>
                              </w:r>
                              <w:r>
                                <w:rPr>
                                  <w:color w:val="164194"/>
                                  <w:spacing w:val="-6"/>
                                  <w:sz w:val="28"/>
                                </w:rPr>
                                <w:t> </w:t>
                              </w:r>
                              <w:r>
                                <w:rPr>
                                  <w:color w:val="164194"/>
                                  <w:sz w:val="28"/>
                                </w:rPr>
                                <w:t>and</w:t>
                              </w:r>
                              <w:r>
                                <w:rPr>
                                  <w:color w:val="164194"/>
                                  <w:spacing w:val="-6"/>
                                  <w:sz w:val="28"/>
                                </w:rPr>
                                <w:t> </w:t>
                              </w:r>
                              <w:r>
                                <w:rPr>
                                  <w:color w:val="164194"/>
                                  <w:sz w:val="28"/>
                                </w:rPr>
                                <w:t>Ireland,</w:t>
                              </w:r>
                              <w:r>
                                <w:rPr>
                                  <w:color w:val="164194"/>
                                  <w:spacing w:val="-5"/>
                                  <w:sz w:val="28"/>
                                </w:rPr>
                                <w:t> </w:t>
                              </w:r>
                              <w:r>
                                <w:rPr>
                                  <w:color w:val="164194"/>
                                  <w:sz w:val="28"/>
                                </w:rPr>
                                <w:t>in</w:t>
                              </w:r>
                              <w:r>
                                <w:rPr>
                                  <w:color w:val="164194"/>
                                  <w:spacing w:val="-6"/>
                                  <w:sz w:val="28"/>
                                </w:rPr>
                                <w:t> </w:t>
                              </w:r>
                              <w:r>
                                <w:rPr>
                                  <w:color w:val="164194"/>
                                  <w:sz w:val="28"/>
                                </w:rPr>
                                <w:t>upholding</w:t>
                              </w:r>
                              <w:r>
                                <w:rPr>
                                  <w:color w:val="164194"/>
                                  <w:spacing w:val="-5"/>
                                  <w:sz w:val="28"/>
                                </w:rPr>
                                <w:t> </w:t>
                              </w:r>
                              <w:r>
                                <w:rPr>
                                  <w:color w:val="164194"/>
                                  <w:sz w:val="28"/>
                                </w:rPr>
                                <w:t>human</w:t>
                              </w:r>
                              <w:r>
                                <w:rPr>
                                  <w:color w:val="164194"/>
                                  <w:spacing w:val="-6"/>
                                  <w:sz w:val="28"/>
                                </w:rPr>
                                <w:t> </w:t>
                              </w:r>
                              <w:r>
                                <w:rPr>
                                  <w:color w:val="164194"/>
                                  <w:sz w:val="28"/>
                                </w:rPr>
                                <w:t>rights and equality standards.</w:t>
                              </w:r>
                            </w:p>
                          </w:txbxContent>
                        </wps:txbx>
                        <wps:bodyPr wrap="square" lIns="0" tIns="0" rIns="0" bIns="0" rtlCol="0">
                          <a:noAutofit/>
                        </wps:bodyPr>
                      </wps:wsp>
                    </wpg:wgp>
                  </a:graphicData>
                </a:graphic>
              </wp:anchor>
            </w:drawing>
          </mc:Choice>
          <mc:Fallback>
            <w:pict>
              <v:group style="position:absolute;margin-left:51.023201pt;margin-top:13.635345pt;width:473.4pt;height:288.05pt;mso-position-horizontal-relative:page;mso-position-vertical-relative:paragraph;z-index:-15675904;mso-wrap-distance-left:0;mso-wrap-distance-right:0" id="docshapegroup228" coordorigin="1020,273" coordsize="9468,5761">
                <v:shape style="position:absolute;left:1020;top:272;width:9468;height:5761" id="docshape229" coordorigin="1020,273" coordsize="9468,5761" path="m10488,3763l1020,3763,1020,5806,1032,5878,1064,5940,1113,5990,1176,6022,1247,6033,10261,6033,10333,6022,10395,5990,10444,5940,10477,5878,10488,5806,10488,3763xm10488,499l10477,428,10444,366,10395,316,10333,284,10261,273,1247,273,1176,284,1113,316,1064,366,1032,428,1020,499,1020,893,10488,893,10488,499xe" filled="true" fillcolor="#e9f3fc" stroked="false">
                  <v:path arrowok="t"/>
                  <v:fill type="solid"/>
                </v:shape>
                <v:shape style="position:absolute;left:1020;top:272;width:9468;height:621" type="#_x0000_t202" id="docshape230" filled="false" stroked="false">
                  <v:textbox inset="0,0,0,0">
                    <w:txbxContent>
                      <w:p>
                        <w:pPr>
                          <w:spacing w:before="113"/>
                          <w:ind w:left="340" w:right="0" w:firstLine="0"/>
                          <w:jc w:val="left"/>
                          <w:rPr>
                            <w:sz w:val="28"/>
                          </w:rPr>
                        </w:pPr>
                        <w:r>
                          <w:rPr>
                            <w:color w:val="164194"/>
                            <w:sz w:val="28"/>
                          </w:rPr>
                          <w:t>Article</w:t>
                        </w:r>
                        <w:r>
                          <w:rPr>
                            <w:color w:val="164194"/>
                            <w:spacing w:val="-8"/>
                            <w:sz w:val="28"/>
                          </w:rPr>
                          <w:t> </w:t>
                        </w:r>
                        <w:r>
                          <w:rPr>
                            <w:color w:val="164194"/>
                            <w:spacing w:val="-10"/>
                            <w:sz w:val="28"/>
                          </w:rPr>
                          <w:t>2</w:t>
                        </w:r>
                      </w:p>
                    </w:txbxContent>
                  </v:textbox>
                  <w10:wrap type="none"/>
                </v:shape>
                <v:shape style="position:absolute;left:1020;top:886;width:9468;height:2884" type="#_x0000_t202" id="docshape231" filled="true" fillcolor="#e9f3fc" stroked="false">
                  <v:textbox inset="0,0,0,0">
                    <w:txbxContent>
                      <w:p>
                        <w:pPr>
                          <w:spacing w:before="113"/>
                          <w:ind w:left="340" w:right="0" w:firstLine="0"/>
                          <w:jc w:val="left"/>
                          <w:rPr>
                            <w:color w:val="000000"/>
                            <w:sz w:val="28"/>
                          </w:rPr>
                        </w:pPr>
                        <w:r>
                          <w:rPr>
                            <w:color w:val="164194"/>
                            <w:sz w:val="28"/>
                          </w:rPr>
                          <w:t>Rights</w:t>
                        </w:r>
                        <w:r>
                          <w:rPr>
                            <w:color w:val="164194"/>
                            <w:spacing w:val="-5"/>
                            <w:sz w:val="28"/>
                          </w:rPr>
                          <w:t> </w:t>
                        </w:r>
                        <w:r>
                          <w:rPr>
                            <w:color w:val="164194"/>
                            <w:sz w:val="28"/>
                          </w:rPr>
                          <w:t>of</w:t>
                        </w:r>
                        <w:r>
                          <w:rPr>
                            <w:color w:val="164194"/>
                            <w:spacing w:val="-5"/>
                            <w:sz w:val="28"/>
                          </w:rPr>
                          <w:t> </w:t>
                        </w:r>
                        <w:r>
                          <w:rPr>
                            <w:color w:val="164194"/>
                            <w:spacing w:val="-2"/>
                            <w:sz w:val="28"/>
                          </w:rPr>
                          <w:t>individuals</w:t>
                        </w:r>
                      </w:p>
                      <w:p>
                        <w:pPr>
                          <w:spacing w:line="232" w:lineRule="auto" w:before="280"/>
                          <w:ind w:left="340" w:right="196" w:firstLine="0"/>
                          <w:jc w:val="left"/>
                          <w:rPr>
                            <w:color w:val="000000"/>
                            <w:sz w:val="28"/>
                          </w:rPr>
                        </w:pPr>
                        <w:r>
                          <w:rPr>
                            <w:color w:val="164194"/>
                            <w:sz w:val="28"/>
                          </w:rPr>
                          <w:t>1.</w:t>
                        </w:r>
                        <w:r>
                          <w:rPr>
                            <w:color w:val="164194"/>
                            <w:spacing w:val="-6"/>
                            <w:sz w:val="28"/>
                          </w:rPr>
                          <w:t> </w:t>
                        </w:r>
                        <w:r>
                          <w:rPr>
                            <w:color w:val="164194"/>
                            <w:sz w:val="28"/>
                          </w:rPr>
                          <w:t>The</w:t>
                        </w:r>
                        <w:r>
                          <w:rPr>
                            <w:color w:val="164194"/>
                            <w:spacing w:val="-5"/>
                            <w:sz w:val="28"/>
                          </w:rPr>
                          <w:t> </w:t>
                        </w:r>
                        <w:r>
                          <w:rPr>
                            <w:color w:val="164194"/>
                            <w:sz w:val="28"/>
                          </w:rPr>
                          <w:t>United</w:t>
                        </w:r>
                        <w:r>
                          <w:rPr>
                            <w:color w:val="164194"/>
                            <w:spacing w:val="-6"/>
                            <w:sz w:val="28"/>
                          </w:rPr>
                          <w:t> </w:t>
                        </w:r>
                        <w:r>
                          <w:rPr>
                            <w:color w:val="164194"/>
                            <w:sz w:val="28"/>
                          </w:rPr>
                          <w:t>Kingdom</w:t>
                        </w:r>
                        <w:r>
                          <w:rPr>
                            <w:color w:val="164194"/>
                            <w:spacing w:val="-5"/>
                            <w:sz w:val="28"/>
                          </w:rPr>
                          <w:t> </w:t>
                        </w:r>
                        <w:r>
                          <w:rPr>
                            <w:color w:val="164194"/>
                            <w:sz w:val="28"/>
                          </w:rPr>
                          <w:t>shall</w:t>
                        </w:r>
                        <w:r>
                          <w:rPr>
                            <w:color w:val="164194"/>
                            <w:spacing w:val="-6"/>
                            <w:sz w:val="28"/>
                          </w:rPr>
                          <w:t> </w:t>
                        </w:r>
                        <w:r>
                          <w:rPr>
                            <w:color w:val="164194"/>
                            <w:sz w:val="28"/>
                          </w:rPr>
                          <w:t>ensure</w:t>
                        </w:r>
                        <w:r>
                          <w:rPr>
                            <w:color w:val="164194"/>
                            <w:spacing w:val="-5"/>
                            <w:sz w:val="28"/>
                          </w:rPr>
                          <w:t> </w:t>
                        </w:r>
                        <w:r>
                          <w:rPr>
                            <w:color w:val="164194"/>
                            <w:sz w:val="28"/>
                          </w:rPr>
                          <w:t>that</w:t>
                        </w:r>
                        <w:r>
                          <w:rPr>
                            <w:color w:val="164194"/>
                            <w:spacing w:val="-5"/>
                            <w:sz w:val="28"/>
                          </w:rPr>
                          <w:t> </w:t>
                        </w:r>
                        <w:r>
                          <w:rPr>
                            <w:color w:val="164194"/>
                            <w:sz w:val="28"/>
                          </w:rPr>
                          <w:t>no</w:t>
                        </w:r>
                        <w:r>
                          <w:rPr>
                            <w:color w:val="164194"/>
                            <w:spacing w:val="-6"/>
                            <w:sz w:val="28"/>
                          </w:rPr>
                          <w:t> </w:t>
                        </w:r>
                        <w:r>
                          <w:rPr>
                            <w:color w:val="164194"/>
                            <w:sz w:val="28"/>
                          </w:rPr>
                          <w:t>diminution</w:t>
                        </w:r>
                        <w:r>
                          <w:rPr>
                            <w:color w:val="164194"/>
                            <w:spacing w:val="-6"/>
                            <w:sz w:val="28"/>
                          </w:rPr>
                          <w:t> </w:t>
                        </w:r>
                        <w:r>
                          <w:rPr>
                            <w:color w:val="164194"/>
                            <w:sz w:val="28"/>
                          </w:rPr>
                          <w:t>of</w:t>
                        </w:r>
                        <w:r>
                          <w:rPr>
                            <w:color w:val="164194"/>
                            <w:spacing w:val="-6"/>
                            <w:sz w:val="28"/>
                          </w:rPr>
                          <w:t> </w:t>
                        </w:r>
                        <w:r>
                          <w:rPr>
                            <w:color w:val="164194"/>
                            <w:sz w:val="28"/>
                          </w:rPr>
                          <w:t>rights,</w:t>
                        </w:r>
                        <w:r>
                          <w:rPr>
                            <w:color w:val="164194"/>
                            <w:spacing w:val="-5"/>
                            <w:sz w:val="28"/>
                          </w:rPr>
                          <w:t> </w:t>
                        </w:r>
                        <w:r>
                          <w:rPr>
                            <w:color w:val="164194"/>
                            <w:sz w:val="28"/>
                          </w:rPr>
                          <w:t>safeguards</w:t>
                        </w:r>
                        <w:r>
                          <w:rPr>
                            <w:color w:val="164194"/>
                            <w:spacing w:val="-6"/>
                            <w:sz w:val="28"/>
                          </w:rPr>
                          <w:t> </w:t>
                        </w:r>
                        <w:r>
                          <w:rPr>
                            <w:color w:val="164194"/>
                            <w:sz w:val="28"/>
                          </w:rPr>
                          <w:t>or equality</w:t>
                        </w:r>
                        <w:r>
                          <w:rPr>
                            <w:color w:val="164194"/>
                            <w:spacing w:val="-2"/>
                            <w:sz w:val="28"/>
                          </w:rPr>
                          <w:t> </w:t>
                        </w:r>
                        <w:r>
                          <w:rPr>
                            <w:color w:val="164194"/>
                            <w:sz w:val="28"/>
                          </w:rPr>
                          <w:t>of</w:t>
                        </w:r>
                        <w:r>
                          <w:rPr>
                            <w:color w:val="164194"/>
                            <w:spacing w:val="-3"/>
                            <w:sz w:val="28"/>
                          </w:rPr>
                          <w:t> </w:t>
                        </w:r>
                        <w:r>
                          <w:rPr>
                            <w:color w:val="164194"/>
                            <w:sz w:val="28"/>
                          </w:rPr>
                          <w:t>opportunity,</w:t>
                        </w:r>
                        <w:r>
                          <w:rPr>
                            <w:color w:val="164194"/>
                            <w:spacing w:val="-2"/>
                            <w:sz w:val="28"/>
                          </w:rPr>
                          <w:t> </w:t>
                        </w:r>
                        <w:r>
                          <w:rPr>
                            <w:color w:val="164194"/>
                            <w:sz w:val="28"/>
                          </w:rPr>
                          <w:t>as</w:t>
                        </w:r>
                        <w:r>
                          <w:rPr>
                            <w:color w:val="164194"/>
                            <w:spacing w:val="-3"/>
                            <w:sz w:val="28"/>
                          </w:rPr>
                          <w:t> </w:t>
                        </w:r>
                        <w:r>
                          <w:rPr>
                            <w:color w:val="164194"/>
                            <w:sz w:val="28"/>
                          </w:rPr>
                          <w:t>set</w:t>
                        </w:r>
                        <w:r>
                          <w:rPr>
                            <w:color w:val="164194"/>
                            <w:spacing w:val="-2"/>
                            <w:sz w:val="28"/>
                          </w:rPr>
                          <w:t> </w:t>
                        </w:r>
                        <w:r>
                          <w:rPr>
                            <w:color w:val="164194"/>
                            <w:sz w:val="28"/>
                          </w:rPr>
                          <w:t>out</w:t>
                        </w:r>
                        <w:r>
                          <w:rPr>
                            <w:color w:val="164194"/>
                            <w:spacing w:val="-2"/>
                            <w:sz w:val="28"/>
                          </w:rPr>
                          <w:t> </w:t>
                        </w:r>
                        <w:r>
                          <w:rPr>
                            <w:color w:val="164194"/>
                            <w:sz w:val="28"/>
                          </w:rPr>
                          <w:t>in</w:t>
                        </w:r>
                        <w:r>
                          <w:rPr>
                            <w:color w:val="164194"/>
                            <w:spacing w:val="-3"/>
                            <w:sz w:val="28"/>
                          </w:rPr>
                          <w:t> </w:t>
                        </w:r>
                        <w:r>
                          <w:rPr>
                            <w:color w:val="164194"/>
                            <w:sz w:val="28"/>
                          </w:rPr>
                          <w:t>that</w:t>
                        </w:r>
                        <w:r>
                          <w:rPr>
                            <w:color w:val="164194"/>
                            <w:spacing w:val="-2"/>
                            <w:sz w:val="28"/>
                          </w:rPr>
                          <w:t> </w:t>
                        </w:r>
                        <w:r>
                          <w:rPr>
                            <w:color w:val="164194"/>
                            <w:sz w:val="28"/>
                          </w:rPr>
                          <w:t>part</w:t>
                        </w:r>
                        <w:r>
                          <w:rPr>
                            <w:color w:val="164194"/>
                            <w:spacing w:val="-2"/>
                            <w:sz w:val="28"/>
                          </w:rPr>
                          <w:t> </w:t>
                        </w:r>
                        <w:r>
                          <w:rPr>
                            <w:color w:val="164194"/>
                            <w:sz w:val="28"/>
                          </w:rPr>
                          <w:t>of</w:t>
                        </w:r>
                        <w:r>
                          <w:rPr>
                            <w:color w:val="164194"/>
                            <w:spacing w:val="-3"/>
                            <w:sz w:val="28"/>
                          </w:rPr>
                          <w:t> </w:t>
                        </w:r>
                        <w:r>
                          <w:rPr>
                            <w:color w:val="164194"/>
                            <w:sz w:val="28"/>
                          </w:rPr>
                          <w:t>the</w:t>
                        </w:r>
                        <w:r>
                          <w:rPr>
                            <w:color w:val="164194"/>
                            <w:spacing w:val="-2"/>
                            <w:sz w:val="28"/>
                          </w:rPr>
                          <w:t> </w:t>
                        </w:r>
                        <w:r>
                          <w:rPr>
                            <w:color w:val="164194"/>
                            <w:sz w:val="28"/>
                          </w:rPr>
                          <w:t>1998</w:t>
                        </w:r>
                        <w:r>
                          <w:rPr>
                            <w:color w:val="164194"/>
                            <w:spacing w:val="-2"/>
                            <w:sz w:val="28"/>
                          </w:rPr>
                          <w:t> </w:t>
                        </w:r>
                        <w:r>
                          <w:rPr>
                            <w:color w:val="164194"/>
                            <w:sz w:val="28"/>
                          </w:rPr>
                          <w:t>Agreement</w:t>
                        </w:r>
                        <w:r>
                          <w:rPr>
                            <w:color w:val="164194"/>
                            <w:spacing w:val="-2"/>
                            <w:sz w:val="28"/>
                          </w:rPr>
                          <w:t> </w:t>
                        </w:r>
                        <w:r>
                          <w:rPr>
                            <w:color w:val="164194"/>
                            <w:sz w:val="28"/>
                          </w:rPr>
                          <w:t>entitled Rights, Safeguards and Equality of Opportunity results from its withdrawal from the Union, including in the area of protection against discrimination,</w:t>
                        </w:r>
                      </w:p>
                      <w:p>
                        <w:pPr>
                          <w:spacing w:line="232" w:lineRule="auto" w:before="0"/>
                          <w:ind w:left="340" w:right="196" w:firstLine="0"/>
                          <w:jc w:val="left"/>
                          <w:rPr>
                            <w:color w:val="000000"/>
                            <w:sz w:val="28"/>
                          </w:rPr>
                        </w:pPr>
                        <w:r>
                          <w:rPr>
                            <w:color w:val="164194"/>
                            <w:sz w:val="28"/>
                          </w:rPr>
                          <w:t>as</w:t>
                        </w:r>
                        <w:r>
                          <w:rPr>
                            <w:color w:val="164194"/>
                            <w:spacing w:val="-5"/>
                            <w:sz w:val="28"/>
                          </w:rPr>
                          <w:t> </w:t>
                        </w:r>
                        <w:r>
                          <w:rPr>
                            <w:color w:val="164194"/>
                            <w:sz w:val="28"/>
                          </w:rPr>
                          <w:t>enshrined</w:t>
                        </w:r>
                        <w:r>
                          <w:rPr>
                            <w:color w:val="164194"/>
                            <w:spacing w:val="-5"/>
                            <w:sz w:val="28"/>
                          </w:rPr>
                          <w:t> </w:t>
                        </w:r>
                        <w:r>
                          <w:rPr>
                            <w:color w:val="164194"/>
                            <w:sz w:val="28"/>
                          </w:rPr>
                          <w:t>in</w:t>
                        </w:r>
                        <w:r>
                          <w:rPr>
                            <w:color w:val="164194"/>
                            <w:spacing w:val="-5"/>
                            <w:sz w:val="28"/>
                          </w:rPr>
                          <w:t> </w:t>
                        </w:r>
                        <w:r>
                          <w:rPr>
                            <w:color w:val="164194"/>
                            <w:sz w:val="28"/>
                          </w:rPr>
                          <w:t>the</w:t>
                        </w:r>
                        <w:r>
                          <w:rPr>
                            <w:color w:val="164194"/>
                            <w:spacing w:val="-5"/>
                            <w:sz w:val="28"/>
                          </w:rPr>
                          <w:t> </w:t>
                        </w:r>
                        <w:r>
                          <w:rPr>
                            <w:color w:val="164194"/>
                            <w:sz w:val="28"/>
                          </w:rPr>
                          <w:t>provisions</w:t>
                        </w:r>
                        <w:r>
                          <w:rPr>
                            <w:color w:val="164194"/>
                            <w:spacing w:val="-5"/>
                            <w:sz w:val="28"/>
                          </w:rPr>
                          <w:t> </w:t>
                        </w:r>
                        <w:r>
                          <w:rPr>
                            <w:color w:val="164194"/>
                            <w:sz w:val="28"/>
                          </w:rPr>
                          <w:t>of</w:t>
                        </w:r>
                        <w:r>
                          <w:rPr>
                            <w:color w:val="164194"/>
                            <w:spacing w:val="-5"/>
                            <w:sz w:val="28"/>
                          </w:rPr>
                          <w:t> </w:t>
                        </w:r>
                        <w:r>
                          <w:rPr>
                            <w:color w:val="164194"/>
                            <w:sz w:val="28"/>
                          </w:rPr>
                          <w:t>Union</w:t>
                        </w:r>
                        <w:r>
                          <w:rPr>
                            <w:color w:val="164194"/>
                            <w:spacing w:val="-5"/>
                            <w:sz w:val="28"/>
                          </w:rPr>
                          <w:t> </w:t>
                        </w:r>
                        <w:r>
                          <w:rPr>
                            <w:color w:val="164194"/>
                            <w:sz w:val="28"/>
                          </w:rPr>
                          <w:t>law</w:t>
                        </w:r>
                        <w:r>
                          <w:rPr>
                            <w:color w:val="164194"/>
                            <w:spacing w:val="-5"/>
                            <w:sz w:val="28"/>
                          </w:rPr>
                          <w:t> </w:t>
                        </w:r>
                        <w:r>
                          <w:rPr>
                            <w:color w:val="164194"/>
                            <w:sz w:val="28"/>
                          </w:rPr>
                          <w:t>listed</w:t>
                        </w:r>
                        <w:r>
                          <w:rPr>
                            <w:color w:val="164194"/>
                            <w:spacing w:val="-5"/>
                            <w:sz w:val="28"/>
                          </w:rPr>
                          <w:t> </w:t>
                        </w:r>
                        <w:r>
                          <w:rPr>
                            <w:color w:val="164194"/>
                            <w:sz w:val="28"/>
                          </w:rPr>
                          <w:t>in</w:t>
                        </w:r>
                        <w:r>
                          <w:rPr>
                            <w:color w:val="164194"/>
                            <w:spacing w:val="-5"/>
                            <w:sz w:val="28"/>
                          </w:rPr>
                          <w:t> </w:t>
                        </w:r>
                        <w:r>
                          <w:rPr>
                            <w:color w:val="164194"/>
                            <w:sz w:val="28"/>
                          </w:rPr>
                          <w:t>Annex</w:t>
                        </w:r>
                        <w:r>
                          <w:rPr>
                            <w:color w:val="164194"/>
                            <w:spacing w:val="-5"/>
                            <w:sz w:val="28"/>
                          </w:rPr>
                          <w:t> </w:t>
                        </w:r>
                        <w:r>
                          <w:rPr>
                            <w:color w:val="164194"/>
                            <w:sz w:val="28"/>
                          </w:rPr>
                          <w:t>1</w:t>
                        </w:r>
                        <w:r>
                          <w:rPr>
                            <w:color w:val="164194"/>
                            <w:spacing w:val="-5"/>
                            <w:sz w:val="28"/>
                          </w:rPr>
                          <w:t> </w:t>
                        </w:r>
                        <w:r>
                          <w:rPr>
                            <w:color w:val="164194"/>
                            <w:sz w:val="28"/>
                          </w:rPr>
                          <w:t>to</w:t>
                        </w:r>
                        <w:r>
                          <w:rPr>
                            <w:color w:val="164194"/>
                            <w:spacing w:val="-5"/>
                            <w:sz w:val="28"/>
                          </w:rPr>
                          <w:t> </w:t>
                        </w:r>
                        <w:r>
                          <w:rPr>
                            <w:color w:val="164194"/>
                            <w:sz w:val="28"/>
                          </w:rPr>
                          <w:t>this</w:t>
                        </w:r>
                        <w:r>
                          <w:rPr>
                            <w:color w:val="164194"/>
                            <w:spacing w:val="-5"/>
                            <w:sz w:val="28"/>
                          </w:rPr>
                          <w:t> </w:t>
                        </w:r>
                        <w:r>
                          <w:rPr>
                            <w:color w:val="164194"/>
                            <w:sz w:val="28"/>
                          </w:rPr>
                          <w:t>Protocol, and shall implement this paragraph through dedicated mechanisms.</w:t>
                        </w:r>
                      </w:p>
                    </w:txbxContent>
                  </v:textbox>
                  <v:fill type="solid"/>
                  <w10:wrap type="none"/>
                </v:shape>
                <v:shape style="position:absolute;left:1020;top:3763;width:9468;height:2271" type="#_x0000_t202" id="docshape232" filled="false" stroked="false">
                  <v:textbox inset="0,0,0,0">
                    <w:txbxContent>
                      <w:p>
                        <w:pPr>
                          <w:spacing w:line="232" w:lineRule="auto" w:before="121"/>
                          <w:ind w:left="340" w:right="106" w:firstLine="0"/>
                          <w:jc w:val="left"/>
                          <w:rPr>
                            <w:sz w:val="28"/>
                          </w:rPr>
                        </w:pPr>
                        <w:r>
                          <w:rPr>
                            <w:color w:val="164194"/>
                            <w:sz w:val="28"/>
                          </w:rPr>
                          <w:t>2. The United Kingdom shall continue to facilitate the related work of the institutions and bodies set up pursuant to the 1998 Agreement, including the Northern Ireland Human Rights Commission, the Equality Commission for Northern Ireland and the Joint Committee of representatives of the Human Rights</w:t>
                        </w:r>
                        <w:r>
                          <w:rPr>
                            <w:color w:val="164194"/>
                            <w:spacing w:val="-6"/>
                            <w:sz w:val="28"/>
                          </w:rPr>
                          <w:t> </w:t>
                        </w:r>
                        <w:r>
                          <w:rPr>
                            <w:color w:val="164194"/>
                            <w:sz w:val="28"/>
                          </w:rPr>
                          <w:t>Commissions</w:t>
                        </w:r>
                        <w:r>
                          <w:rPr>
                            <w:color w:val="164194"/>
                            <w:spacing w:val="-6"/>
                            <w:sz w:val="28"/>
                          </w:rPr>
                          <w:t> </w:t>
                        </w:r>
                        <w:r>
                          <w:rPr>
                            <w:color w:val="164194"/>
                            <w:sz w:val="28"/>
                          </w:rPr>
                          <w:t>of</w:t>
                        </w:r>
                        <w:r>
                          <w:rPr>
                            <w:color w:val="164194"/>
                            <w:spacing w:val="-6"/>
                            <w:sz w:val="28"/>
                          </w:rPr>
                          <w:t> </w:t>
                        </w:r>
                        <w:r>
                          <w:rPr>
                            <w:color w:val="164194"/>
                            <w:sz w:val="28"/>
                          </w:rPr>
                          <w:t>Northern</w:t>
                        </w:r>
                        <w:r>
                          <w:rPr>
                            <w:color w:val="164194"/>
                            <w:spacing w:val="-6"/>
                            <w:sz w:val="28"/>
                          </w:rPr>
                          <w:t> </w:t>
                        </w:r>
                        <w:r>
                          <w:rPr>
                            <w:color w:val="164194"/>
                            <w:sz w:val="28"/>
                          </w:rPr>
                          <w:t>Ireland</w:t>
                        </w:r>
                        <w:r>
                          <w:rPr>
                            <w:color w:val="164194"/>
                            <w:spacing w:val="-6"/>
                            <w:sz w:val="28"/>
                          </w:rPr>
                          <w:t> </w:t>
                        </w:r>
                        <w:r>
                          <w:rPr>
                            <w:color w:val="164194"/>
                            <w:sz w:val="28"/>
                          </w:rPr>
                          <w:t>and</w:t>
                        </w:r>
                        <w:r>
                          <w:rPr>
                            <w:color w:val="164194"/>
                            <w:spacing w:val="-6"/>
                            <w:sz w:val="28"/>
                          </w:rPr>
                          <w:t> </w:t>
                        </w:r>
                        <w:r>
                          <w:rPr>
                            <w:color w:val="164194"/>
                            <w:sz w:val="28"/>
                          </w:rPr>
                          <w:t>Ireland,</w:t>
                        </w:r>
                        <w:r>
                          <w:rPr>
                            <w:color w:val="164194"/>
                            <w:spacing w:val="-5"/>
                            <w:sz w:val="28"/>
                          </w:rPr>
                          <w:t> </w:t>
                        </w:r>
                        <w:r>
                          <w:rPr>
                            <w:color w:val="164194"/>
                            <w:sz w:val="28"/>
                          </w:rPr>
                          <w:t>in</w:t>
                        </w:r>
                        <w:r>
                          <w:rPr>
                            <w:color w:val="164194"/>
                            <w:spacing w:val="-6"/>
                            <w:sz w:val="28"/>
                          </w:rPr>
                          <w:t> </w:t>
                        </w:r>
                        <w:r>
                          <w:rPr>
                            <w:color w:val="164194"/>
                            <w:sz w:val="28"/>
                          </w:rPr>
                          <w:t>upholding</w:t>
                        </w:r>
                        <w:r>
                          <w:rPr>
                            <w:color w:val="164194"/>
                            <w:spacing w:val="-5"/>
                            <w:sz w:val="28"/>
                          </w:rPr>
                          <w:t> </w:t>
                        </w:r>
                        <w:r>
                          <w:rPr>
                            <w:color w:val="164194"/>
                            <w:sz w:val="28"/>
                          </w:rPr>
                          <w:t>human</w:t>
                        </w:r>
                        <w:r>
                          <w:rPr>
                            <w:color w:val="164194"/>
                            <w:spacing w:val="-6"/>
                            <w:sz w:val="28"/>
                          </w:rPr>
                          <w:t> </w:t>
                        </w:r>
                        <w:r>
                          <w:rPr>
                            <w:color w:val="164194"/>
                            <w:sz w:val="28"/>
                          </w:rPr>
                          <w:t>rights and equality standards.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41088">
                <wp:simplePos x="0" y="0"/>
                <wp:positionH relativeFrom="page">
                  <wp:posOffset>647998</wp:posOffset>
                </wp:positionH>
                <wp:positionV relativeFrom="paragraph">
                  <wp:posOffset>4021016</wp:posOffset>
                </wp:positionV>
                <wp:extent cx="6012180" cy="1270"/>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499pt;margin-top:316.615448pt;width:473.4pt;height:.1pt;mso-position-horizontal-relative:page;mso-position-vertical-relative:paragraph;z-index:-15675392;mso-wrap-distance-left:0;mso-wrap-distance-right:0" id="docshape233" coordorigin="1020,6332" coordsize="9468,0" path="m1020,6332l10488,6332e" filled="false" stroked="true" strokeweight=".5pt" strokecolor="#36a9e1">
                <v:path arrowok="t"/>
                <v:stroke dashstyle="solid"/>
                <w10:wrap type="topAndBottom"/>
              </v:shape>
            </w:pict>
          </mc:Fallback>
        </mc:AlternateContent>
      </w:r>
    </w:p>
    <w:p>
      <w:pPr>
        <w:pStyle w:val="BodyText"/>
        <w:spacing w:before="30"/>
        <w:rPr>
          <w:sz w:val="20"/>
        </w:rPr>
      </w:pPr>
    </w:p>
    <w:p>
      <w:pPr>
        <w:pStyle w:val="ListParagraph"/>
        <w:numPr>
          <w:ilvl w:val="0"/>
          <w:numId w:val="9"/>
        </w:numPr>
        <w:tabs>
          <w:tab w:pos="1287" w:val="left" w:leader="none"/>
        </w:tabs>
        <w:spacing w:line="240" w:lineRule="auto" w:before="43" w:after="0"/>
        <w:ind w:left="1287" w:right="1359" w:hanging="567"/>
        <w:jc w:val="left"/>
        <w:rPr>
          <w:sz w:val="18"/>
        </w:rPr>
      </w:pPr>
      <w:r>
        <w:rPr>
          <w:sz w:val="18"/>
        </w:rPr>
        <w:t>In</w:t>
      </w:r>
      <w:r>
        <w:rPr>
          <w:spacing w:val="-3"/>
          <w:sz w:val="18"/>
        </w:rPr>
        <w:t> </w:t>
      </w:r>
      <w:r>
        <w:rPr>
          <w:sz w:val="18"/>
        </w:rPr>
        <w:t>the</w:t>
      </w:r>
      <w:r>
        <w:rPr>
          <w:spacing w:val="-3"/>
          <w:sz w:val="18"/>
        </w:rPr>
        <w:t> </w:t>
      </w:r>
      <w:r>
        <w:rPr>
          <w:i/>
          <w:sz w:val="18"/>
        </w:rPr>
        <w:t>Legacy</w:t>
      </w:r>
      <w:r>
        <w:rPr>
          <w:i/>
          <w:spacing w:val="-3"/>
          <w:sz w:val="18"/>
        </w:rPr>
        <w:t> </w:t>
      </w:r>
      <w:r>
        <w:rPr>
          <w:i/>
          <w:sz w:val="18"/>
        </w:rPr>
        <w:t>Act</w:t>
      </w:r>
      <w:r>
        <w:rPr>
          <w:i/>
          <w:spacing w:val="-2"/>
          <w:sz w:val="18"/>
        </w:rPr>
        <w:t> </w:t>
      </w:r>
      <w:r>
        <w:rPr>
          <w:i/>
          <w:sz w:val="18"/>
        </w:rPr>
        <w:t>cases</w:t>
      </w:r>
      <w:r>
        <w:rPr>
          <w:i/>
          <w:spacing w:val="-3"/>
          <w:sz w:val="18"/>
        </w:rPr>
        <w:t> </w:t>
      </w:r>
      <w:r>
        <w:rPr>
          <w:i/>
          <w:sz w:val="18"/>
        </w:rPr>
        <w:t>(Dillon</w:t>
      </w:r>
      <w:r>
        <w:rPr>
          <w:i/>
          <w:spacing w:val="-3"/>
          <w:sz w:val="18"/>
        </w:rPr>
        <w:t> </w:t>
      </w:r>
      <w:r>
        <w:rPr>
          <w:i/>
          <w:sz w:val="18"/>
        </w:rPr>
        <w:t>and</w:t>
      </w:r>
      <w:r>
        <w:rPr>
          <w:i/>
          <w:spacing w:val="-3"/>
          <w:sz w:val="18"/>
        </w:rPr>
        <w:t> </w:t>
      </w:r>
      <w:r>
        <w:rPr>
          <w:i/>
          <w:sz w:val="18"/>
        </w:rPr>
        <w:t>others)</w:t>
      </w:r>
      <w:r>
        <w:rPr>
          <w:i/>
          <w:spacing w:val="-2"/>
          <w:sz w:val="18"/>
        </w:rPr>
        <w:t> </w:t>
      </w:r>
      <w:r>
        <w:rPr>
          <w:sz w:val="18"/>
        </w:rPr>
        <w:t>the</w:t>
      </w:r>
      <w:r>
        <w:rPr>
          <w:spacing w:val="-2"/>
          <w:sz w:val="18"/>
        </w:rPr>
        <w:t> </w:t>
      </w:r>
      <w:r>
        <w:rPr>
          <w:sz w:val="18"/>
        </w:rPr>
        <w:t>High</w:t>
      </w:r>
      <w:r>
        <w:rPr>
          <w:spacing w:val="-3"/>
          <w:sz w:val="18"/>
        </w:rPr>
        <w:t> </w:t>
      </w:r>
      <w:r>
        <w:rPr>
          <w:sz w:val="18"/>
        </w:rPr>
        <w:t>Court</w:t>
      </w:r>
      <w:r>
        <w:rPr>
          <w:spacing w:val="-2"/>
          <w:sz w:val="18"/>
        </w:rPr>
        <w:t> </w:t>
      </w:r>
      <w:r>
        <w:rPr>
          <w:sz w:val="18"/>
        </w:rPr>
        <w:t>noted</w:t>
      </w:r>
      <w:r>
        <w:rPr>
          <w:spacing w:val="-3"/>
          <w:sz w:val="18"/>
        </w:rPr>
        <w:t> </w:t>
      </w:r>
      <w:r>
        <w:rPr>
          <w:sz w:val="18"/>
        </w:rPr>
        <w:t>the</w:t>
      </w:r>
      <w:r>
        <w:rPr>
          <w:spacing w:val="-2"/>
          <w:sz w:val="18"/>
        </w:rPr>
        <w:t> </w:t>
      </w:r>
      <w:r>
        <w:rPr>
          <w:sz w:val="18"/>
        </w:rPr>
        <w:t>importance</w:t>
      </w:r>
      <w:r>
        <w:rPr>
          <w:spacing w:val="-2"/>
          <w:sz w:val="18"/>
        </w:rPr>
        <w:t> </w:t>
      </w:r>
      <w:r>
        <w:rPr>
          <w:sz w:val="18"/>
        </w:rPr>
        <w:t>of</w:t>
      </w:r>
      <w:r>
        <w:rPr>
          <w:spacing w:val="-3"/>
          <w:sz w:val="18"/>
        </w:rPr>
        <w:t> </w:t>
      </w:r>
      <w:r>
        <w:rPr>
          <w:sz w:val="18"/>
        </w:rPr>
        <w:t>this</w:t>
      </w:r>
      <w:r>
        <w:rPr>
          <w:spacing w:val="-3"/>
          <w:sz w:val="18"/>
        </w:rPr>
        <w:t> </w:t>
      </w:r>
      <w:r>
        <w:rPr>
          <w:sz w:val="18"/>
        </w:rPr>
        <w:t>phrase</w:t>
      </w:r>
      <w:r>
        <w:rPr>
          <w:spacing w:val="-2"/>
          <w:sz w:val="18"/>
        </w:rPr>
        <w:t> </w:t>
      </w:r>
      <w:r>
        <w:rPr>
          <w:sz w:val="18"/>
        </w:rPr>
        <w:t>as</w:t>
      </w:r>
      <w:r>
        <w:rPr>
          <w:spacing w:val="-3"/>
          <w:sz w:val="18"/>
        </w:rPr>
        <w:t> </w:t>
      </w:r>
      <w:r>
        <w:rPr>
          <w:sz w:val="18"/>
        </w:rPr>
        <w:t>it</w:t>
      </w:r>
      <w:r>
        <w:rPr>
          <w:spacing w:val="-2"/>
          <w:sz w:val="18"/>
        </w:rPr>
        <w:t> </w:t>
      </w:r>
      <w:r>
        <w:rPr>
          <w:sz w:val="18"/>
        </w:rPr>
        <w:t>permitted</w:t>
      </w:r>
      <w:r>
        <w:rPr>
          <w:spacing w:val="-3"/>
          <w:sz w:val="18"/>
        </w:rPr>
        <w:t> </w:t>
      </w:r>
      <w:r>
        <w:rPr>
          <w:sz w:val="18"/>
        </w:rPr>
        <w:t>the</w:t>
      </w:r>
      <w:r>
        <w:rPr>
          <w:spacing w:val="-2"/>
          <w:sz w:val="18"/>
        </w:rPr>
        <w:t> </w:t>
      </w:r>
      <w:r>
        <w:rPr>
          <w:sz w:val="18"/>
        </w:rPr>
        <w:t>court to look at the wider text of the 1998 Agreement in order to interpret the section on Rights, Safeguards and Equality of Opportunity: </w:t>
      </w:r>
      <w:r>
        <w:rPr>
          <w:color w:val="1D71B8"/>
          <w:sz w:val="18"/>
          <w:u w:val="single" w:color="1D71B8"/>
        </w:rPr>
        <w:t>Legacy Act cases (Dillon and others)</w:t>
      </w:r>
      <w:r>
        <w:rPr>
          <w:i/>
          <w:sz w:val="18"/>
          <w:u w:val="none"/>
        </w:rPr>
        <w:t>, </w:t>
      </w:r>
      <w:r>
        <w:rPr>
          <w:sz w:val="18"/>
          <w:u w:val="none"/>
        </w:rPr>
        <w:t>[2024] NIKB 11 [548].</w:t>
      </w:r>
    </w:p>
    <w:p>
      <w:pPr>
        <w:pStyle w:val="ListParagraph"/>
        <w:numPr>
          <w:ilvl w:val="0"/>
          <w:numId w:val="9"/>
        </w:numPr>
        <w:tabs>
          <w:tab w:pos="1287" w:val="left" w:leader="none"/>
        </w:tabs>
        <w:spacing w:line="240" w:lineRule="auto" w:before="1" w:after="0"/>
        <w:ind w:left="1287" w:right="0" w:hanging="567"/>
        <w:jc w:val="left"/>
        <w:rPr>
          <w:sz w:val="18"/>
        </w:rPr>
      </w:pPr>
      <w:r>
        <w:rPr>
          <w:color w:val="1D71B8"/>
          <w:sz w:val="18"/>
          <w:u w:val="single" w:color="1D71B8"/>
        </w:rPr>
        <w:t>EU-UK</w:t>
      </w:r>
      <w:r>
        <w:rPr>
          <w:color w:val="1D71B8"/>
          <w:spacing w:val="-6"/>
          <w:sz w:val="18"/>
          <w:u w:val="single" w:color="1D71B8"/>
        </w:rPr>
        <w:t> </w:t>
      </w:r>
      <w:r>
        <w:rPr>
          <w:color w:val="1D71B8"/>
          <w:sz w:val="18"/>
          <w:u w:val="single" w:color="1D71B8"/>
        </w:rPr>
        <w:t>Withdrawal</w:t>
      </w:r>
      <w:r>
        <w:rPr>
          <w:color w:val="1D71B8"/>
          <w:spacing w:val="-7"/>
          <w:sz w:val="18"/>
          <w:u w:val="single" w:color="1D71B8"/>
        </w:rPr>
        <w:t> </w:t>
      </w:r>
      <w:r>
        <w:rPr>
          <w:color w:val="1D71B8"/>
          <w:sz w:val="18"/>
          <w:u w:val="single" w:color="1D71B8"/>
        </w:rPr>
        <w:t>Agreement,</w:t>
      </w:r>
      <w:r>
        <w:rPr>
          <w:color w:val="1D71B8"/>
          <w:spacing w:val="-6"/>
          <w:sz w:val="18"/>
          <w:u w:val="single" w:color="1D71B8"/>
        </w:rPr>
        <w:t> </w:t>
      </w:r>
      <w:r>
        <w:rPr>
          <w:color w:val="1D71B8"/>
          <w:sz w:val="18"/>
          <w:u w:val="single" w:color="1D71B8"/>
        </w:rPr>
        <w:t>including</w:t>
      </w:r>
      <w:r>
        <w:rPr>
          <w:color w:val="1D71B8"/>
          <w:spacing w:val="-6"/>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Protocol</w:t>
      </w:r>
      <w:r>
        <w:rPr>
          <w:color w:val="1D71B8"/>
          <w:spacing w:val="-7"/>
          <w:sz w:val="18"/>
          <w:u w:val="single" w:color="1D71B8"/>
        </w:rPr>
        <w:t> </w:t>
      </w:r>
      <w:r>
        <w:rPr>
          <w:color w:val="1D71B8"/>
          <w:sz w:val="18"/>
          <w:u w:val="single" w:color="1D71B8"/>
        </w:rPr>
        <w:t>on</w:t>
      </w:r>
      <w:r>
        <w:rPr>
          <w:color w:val="1D71B8"/>
          <w:spacing w:val="-7"/>
          <w:sz w:val="18"/>
          <w:u w:val="single" w:color="1D71B8"/>
        </w:rPr>
        <w:t> </w:t>
      </w:r>
      <w:r>
        <w:rPr>
          <w:color w:val="1D71B8"/>
          <w:sz w:val="18"/>
          <w:u w:val="single" w:color="1D71B8"/>
        </w:rPr>
        <w:t>Ireland/Northern</w:t>
      </w:r>
      <w:r>
        <w:rPr>
          <w:color w:val="1D71B8"/>
          <w:spacing w:val="-7"/>
          <w:sz w:val="18"/>
          <w:u w:val="single" w:color="1D71B8"/>
        </w:rPr>
        <w:t> </w:t>
      </w:r>
      <w:r>
        <w:rPr>
          <w:color w:val="1D71B8"/>
          <w:sz w:val="18"/>
          <w:u w:val="single" w:color="1D71B8"/>
        </w:rPr>
        <w:t>Ireland</w:t>
      </w:r>
      <w:r>
        <w:rPr>
          <w:color w:val="1D71B8"/>
          <w:spacing w:val="-6"/>
          <w:sz w:val="18"/>
          <w:u w:val="none"/>
        </w:rPr>
        <w:t> </w:t>
      </w:r>
      <w:r>
        <w:rPr>
          <w:spacing w:val="-2"/>
          <w:sz w:val="18"/>
          <w:u w:val="none"/>
        </w:rPr>
        <w:t>2019.</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59296">
                <wp:simplePos x="0" y="0"/>
                <wp:positionH relativeFrom="page">
                  <wp:posOffset>-2</wp:posOffset>
                </wp:positionH>
                <wp:positionV relativeFrom="page">
                  <wp:posOffset>0</wp:posOffset>
                </wp:positionV>
                <wp:extent cx="7560309" cy="1155065"/>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7560309" cy="1155065"/>
                          <a:chExt cx="7560309" cy="1155065"/>
                        </a:xfrm>
                      </wpg:grpSpPr>
                      <wps:wsp>
                        <wps:cNvPr id="298" name="Graphic 298"/>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299" name="Graphic 299"/>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57184" id="docshapegroup234" coordorigin="0,0" coordsize="11906,1819">
                <v:shape style="position:absolute;left:0;top:0;width:11906;height:1819" id="docshape23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21</w:t>
      </w:r>
    </w:p>
    <w:p>
      <w:pPr>
        <w:pStyle w:val="BodyText"/>
        <w:rPr>
          <w:b/>
        </w:rPr>
      </w:pPr>
    </w:p>
    <w:p>
      <w:pPr>
        <w:pStyle w:val="BodyText"/>
        <w:spacing w:before="48"/>
        <w:rPr>
          <w:b/>
        </w:rPr>
      </w:pPr>
    </w:p>
    <w:p>
      <w:pPr>
        <w:pStyle w:val="BodyText"/>
        <w:spacing w:line="232" w:lineRule="auto"/>
        <w:ind w:left="1117" w:right="428"/>
      </w:pPr>
      <w:r>
        <w:rPr/>
        <w:t>This</w:t>
      </w:r>
      <w:r>
        <w:rPr>
          <w:spacing w:val="-7"/>
        </w:rPr>
        <w:t> </w:t>
      </w:r>
      <w:r>
        <w:rPr/>
        <w:t>provision</w:t>
      </w:r>
      <w:r>
        <w:rPr>
          <w:spacing w:val="-7"/>
        </w:rPr>
        <w:t> </w:t>
      </w:r>
      <w:r>
        <w:rPr/>
        <w:t>has</w:t>
      </w:r>
      <w:r>
        <w:rPr>
          <w:spacing w:val="-7"/>
        </w:rPr>
        <w:t> </w:t>
      </w:r>
      <w:r>
        <w:rPr/>
        <w:t>some</w:t>
      </w:r>
      <w:r>
        <w:rPr>
          <w:spacing w:val="-6"/>
        </w:rPr>
        <w:t> </w:t>
      </w:r>
      <w:r>
        <w:rPr/>
        <w:t>important</w:t>
      </w:r>
      <w:r>
        <w:rPr>
          <w:spacing w:val="-6"/>
        </w:rPr>
        <w:t> </w:t>
      </w:r>
      <w:r>
        <w:rPr/>
        <w:t>features.</w:t>
      </w:r>
      <w:r>
        <w:rPr>
          <w:spacing w:val="-7"/>
        </w:rPr>
        <w:t> </w:t>
      </w:r>
      <w:r>
        <w:rPr/>
        <w:t>It</w:t>
      </w:r>
      <w:r>
        <w:rPr>
          <w:spacing w:val="-6"/>
        </w:rPr>
        <w:t> </w:t>
      </w:r>
      <w:r>
        <w:rPr/>
        <w:t>is</w:t>
      </w:r>
      <w:r>
        <w:rPr>
          <w:spacing w:val="-7"/>
        </w:rPr>
        <w:t> </w:t>
      </w:r>
      <w:r>
        <w:rPr/>
        <w:t>an</w:t>
      </w:r>
      <w:r>
        <w:rPr>
          <w:spacing w:val="-7"/>
        </w:rPr>
        <w:t> </w:t>
      </w:r>
      <w:r>
        <w:rPr/>
        <w:t>obligation</w:t>
      </w:r>
      <w:r>
        <w:rPr>
          <w:spacing w:val="-7"/>
        </w:rPr>
        <w:t> </w:t>
      </w:r>
      <w:r>
        <w:rPr/>
        <w:t>on</w:t>
      </w:r>
      <w:r>
        <w:rPr>
          <w:spacing w:val="-7"/>
        </w:rPr>
        <w:t> </w:t>
      </w:r>
      <w:r>
        <w:rPr/>
        <w:t>the</w:t>
      </w:r>
      <w:r>
        <w:rPr>
          <w:spacing w:val="-6"/>
        </w:rPr>
        <w:t> </w:t>
      </w:r>
      <w:r>
        <w:rPr/>
        <w:t>UK,</w:t>
      </w:r>
      <w:r>
        <w:rPr>
          <w:spacing w:val="-6"/>
        </w:rPr>
        <w:t> </w:t>
      </w:r>
      <w:r>
        <w:rPr/>
        <w:t>not</w:t>
      </w:r>
      <w:r>
        <w:rPr>
          <w:spacing w:val="-6"/>
        </w:rPr>
        <w:t> </w:t>
      </w:r>
      <w:r>
        <w:rPr/>
        <w:t>the</w:t>
      </w:r>
      <w:r>
        <w:rPr>
          <w:spacing w:val="-6"/>
        </w:rPr>
        <w:t> </w:t>
      </w:r>
      <w:r>
        <w:rPr/>
        <w:t>EU.</w:t>
      </w:r>
      <w:r>
        <w:rPr>
          <w:vertAlign w:val="superscript"/>
        </w:rPr>
        <w:t>52</w:t>
      </w:r>
      <w:r>
        <w:rPr>
          <w:vertAlign w:val="baseline"/>
        </w:rPr>
        <w:t> The UK will implement this obligation through ‘dedicated mechanisms’ (see later).</w:t>
      </w:r>
    </w:p>
    <w:p>
      <w:pPr>
        <w:pStyle w:val="BodyText"/>
        <w:spacing w:line="232" w:lineRule="auto" w:before="252"/>
        <w:ind w:left="1117" w:right="751"/>
      </w:pPr>
      <w:r>
        <w:rPr/>
        <w:t>Article 2(1) requires the UK to ensure there is no diminution of rights, safeguards</w:t>
      </w:r>
      <w:r>
        <w:rPr>
          <w:spacing w:val="40"/>
        </w:rPr>
        <w:t> </w:t>
      </w:r>
      <w:r>
        <w:rPr/>
        <w:t>or</w:t>
      </w:r>
      <w:r>
        <w:rPr>
          <w:spacing w:val="-4"/>
        </w:rPr>
        <w:t> </w:t>
      </w:r>
      <w:r>
        <w:rPr/>
        <w:t>equality</w:t>
      </w:r>
      <w:r>
        <w:rPr>
          <w:spacing w:val="-4"/>
        </w:rPr>
        <w:t> </w:t>
      </w:r>
      <w:r>
        <w:rPr/>
        <w:t>of</w:t>
      </w:r>
      <w:r>
        <w:rPr>
          <w:spacing w:val="-5"/>
        </w:rPr>
        <w:t> </w:t>
      </w:r>
      <w:r>
        <w:rPr/>
        <w:t>opportunity</w:t>
      </w:r>
      <w:r>
        <w:rPr>
          <w:spacing w:val="-4"/>
        </w:rPr>
        <w:t> </w:t>
      </w:r>
      <w:r>
        <w:rPr/>
        <w:t>as</w:t>
      </w:r>
      <w:r>
        <w:rPr>
          <w:spacing w:val="-5"/>
        </w:rPr>
        <w:t> </w:t>
      </w:r>
      <w:r>
        <w:rPr/>
        <w:t>set</w:t>
      </w:r>
      <w:r>
        <w:rPr>
          <w:spacing w:val="-4"/>
        </w:rPr>
        <w:t> </w:t>
      </w:r>
      <w:r>
        <w:rPr/>
        <w:t>out</w:t>
      </w:r>
      <w:r>
        <w:rPr>
          <w:spacing w:val="-4"/>
        </w:rPr>
        <w:t> </w:t>
      </w:r>
      <w:r>
        <w:rPr/>
        <w:t>in</w:t>
      </w:r>
      <w:r>
        <w:rPr>
          <w:spacing w:val="-5"/>
        </w:rPr>
        <w:t> </w:t>
      </w:r>
      <w:r>
        <w:rPr/>
        <w:t>the</w:t>
      </w:r>
      <w:r>
        <w:rPr>
          <w:spacing w:val="-4"/>
        </w:rPr>
        <w:t> </w:t>
      </w:r>
      <w:r>
        <w:rPr/>
        <w:t>relevant</w:t>
      </w:r>
      <w:r>
        <w:rPr>
          <w:spacing w:val="-4"/>
        </w:rPr>
        <w:t> </w:t>
      </w:r>
      <w:r>
        <w:rPr/>
        <w:t>chapter</w:t>
      </w:r>
      <w:r>
        <w:rPr>
          <w:spacing w:val="-4"/>
        </w:rPr>
        <w:t> </w:t>
      </w:r>
      <w:r>
        <w:rPr/>
        <w:t>of</w:t>
      </w:r>
      <w:r>
        <w:rPr>
          <w:spacing w:val="-5"/>
        </w:rPr>
        <w:t> </w:t>
      </w:r>
      <w:r>
        <w:rPr/>
        <w:t>the</w:t>
      </w:r>
      <w:r>
        <w:rPr>
          <w:spacing w:val="-4"/>
        </w:rPr>
        <w:t> </w:t>
      </w:r>
      <w:r>
        <w:rPr/>
        <w:t>1998</w:t>
      </w:r>
      <w:r>
        <w:rPr>
          <w:spacing w:val="-4"/>
        </w:rPr>
        <w:t> </w:t>
      </w:r>
      <w:r>
        <w:rPr/>
        <w:t>Agreement resulting from the UK’s exit from the EU. This obligation has two elements to it:</w:t>
      </w:r>
    </w:p>
    <w:p>
      <w:pPr>
        <w:pStyle w:val="BodyText"/>
        <w:spacing w:line="232" w:lineRule="auto"/>
        <w:ind w:left="1117" w:right="738"/>
      </w:pPr>
      <w:r>
        <w:rPr/>
        <w:t>a</w:t>
      </w:r>
      <w:r>
        <w:rPr>
          <w:spacing w:val="-7"/>
        </w:rPr>
        <w:t> </w:t>
      </w:r>
      <w:r>
        <w:rPr/>
        <w:t>non-diminution</w:t>
      </w:r>
      <w:r>
        <w:rPr>
          <w:spacing w:val="-7"/>
        </w:rPr>
        <w:t> </w:t>
      </w:r>
      <w:r>
        <w:rPr/>
        <w:t>requirement</w:t>
      </w:r>
      <w:r>
        <w:rPr>
          <w:spacing w:val="-6"/>
        </w:rPr>
        <w:t> </w:t>
      </w:r>
      <w:r>
        <w:rPr/>
        <w:t>(or</w:t>
      </w:r>
      <w:r>
        <w:rPr>
          <w:spacing w:val="-6"/>
        </w:rPr>
        <w:t> </w:t>
      </w:r>
      <w:r>
        <w:rPr/>
        <w:t>static</w:t>
      </w:r>
      <w:r>
        <w:rPr>
          <w:spacing w:val="-6"/>
        </w:rPr>
        <w:t> </w:t>
      </w:r>
      <w:r>
        <w:rPr/>
        <w:t>alignment)</w:t>
      </w:r>
      <w:r>
        <w:rPr>
          <w:spacing w:val="-7"/>
        </w:rPr>
        <w:t> </w:t>
      </w:r>
      <w:r>
        <w:rPr/>
        <w:t>and</w:t>
      </w:r>
      <w:r>
        <w:rPr>
          <w:spacing w:val="-7"/>
        </w:rPr>
        <w:t> </w:t>
      </w:r>
      <w:r>
        <w:rPr/>
        <w:t>a</w:t>
      </w:r>
      <w:r>
        <w:rPr>
          <w:spacing w:val="-7"/>
        </w:rPr>
        <w:t> </w:t>
      </w:r>
      <w:r>
        <w:rPr/>
        <w:t>keeping</w:t>
      </w:r>
      <w:r>
        <w:rPr>
          <w:spacing w:val="-6"/>
        </w:rPr>
        <w:t> </w:t>
      </w:r>
      <w:r>
        <w:rPr/>
        <w:t>pace</w:t>
      </w:r>
      <w:r>
        <w:rPr>
          <w:spacing w:val="-6"/>
        </w:rPr>
        <w:t> </w:t>
      </w:r>
      <w:r>
        <w:rPr/>
        <w:t>(or</w:t>
      </w:r>
      <w:r>
        <w:rPr>
          <w:spacing w:val="-6"/>
        </w:rPr>
        <w:t> </w:t>
      </w:r>
      <w:r>
        <w:rPr/>
        <w:t>dynamic alignment) requirement. The non-diminution requirement is that the UK must not reduce</w:t>
      </w:r>
      <w:r>
        <w:rPr>
          <w:spacing w:val="-3"/>
        </w:rPr>
        <w:t> </w:t>
      </w:r>
      <w:r>
        <w:rPr/>
        <w:t>those</w:t>
      </w:r>
      <w:r>
        <w:rPr>
          <w:spacing w:val="-3"/>
        </w:rPr>
        <w:t> </w:t>
      </w:r>
      <w:r>
        <w:rPr/>
        <w:t>EU</w:t>
      </w:r>
      <w:r>
        <w:rPr>
          <w:spacing w:val="-3"/>
        </w:rPr>
        <w:t> </w:t>
      </w:r>
      <w:r>
        <w:rPr/>
        <w:t>protections</w:t>
      </w:r>
      <w:r>
        <w:rPr>
          <w:spacing w:val="-4"/>
        </w:rPr>
        <w:t> </w:t>
      </w:r>
      <w:r>
        <w:rPr/>
        <w:t>for</w:t>
      </w:r>
      <w:r>
        <w:rPr>
          <w:spacing w:val="-3"/>
        </w:rPr>
        <w:t> </w:t>
      </w:r>
      <w:r>
        <w:rPr/>
        <w:t>rights</w:t>
      </w:r>
      <w:r>
        <w:rPr>
          <w:spacing w:val="-4"/>
        </w:rPr>
        <w:t> </w:t>
      </w:r>
      <w:r>
        <w:rPr/>
        <w:t>and</w:t>
      </w:r>
      <w:r>
        <w:rPr>
          <w:spacing w:val="-4"/>
        </w:rPr>
        <w:t> </w:t>
      </w:r>
      <w:r>
        <w:rPr/>
        <w:t>equality</w:t>
      </w:r>
      <w:r>
        <w:rPr>
          <w:spacing w:val="-3"/>
        </w:rPr>
        <w:t> </w:t>
      </w:r>
      <w:r>
        <w:rPr/>
        <w:t>that</w:t>
      </w:r>
      <w:r>
        <w:rPr>
          <w:spacing w:val="-3"/>
        </w:rPr>
        <w:t> </w:t>
      </w:r>
      <w:r>
        <w:rPr/>
        <w:t>existed</w:t>
      </w:r>
      <w:r>
        <w:rPr>
          <w:spacing w:val="-4"/>
        </w:rPr>
        <w:t> </w:t>
      </w:r>
      <w:r>
        <w:rPr/>
        <w:t>in</w:t>
      </w:r>
      <w:r>
        <w:rPr>
          <w:spacing w:val="-4"/>
        </w:rPr>
        <w:t> </w:t>
      </w:r>
      <w:r>
        <w:rPr/>
        <w:t>Northern</w:t>
      </w:r>
      <w:r>
        <w:rPr>
          <w:spacing w:val="-4"/>
        </w:rPr>
        <w:t> </w:t>
      </w:r>
      <w:r>
        <w:rPr/>
        <w:t>Ireland prior</w:t>
      </w:r>
      <w:r>
        <w:rPr>
          <w:spacing w:val="-4"/>
        </w:rPr>
        <w:t> </w:t>
      </w:r>
      <w:r>
        <w:rPr/>
        <w:t>to</w:t>
      </w:r>
      <w:r>
        <w:rPr>
          <w:spacing w:val="-5"/>
        </w:rPr>
        <w:t> </w:t>
      </w:r>
      <w:r>
        <w:rPr/>
        <w:t>the</w:t>
      </w:r>
      <w:r>
        <w:rPr>
          <w:spacing w:val="-4"/>
        </w:rPr>
        <w:t> </w:t>
      </w:r>
      <w:r>
        <w:rPr/>
        <w:t>end</w:t>
      </w:r>
      <w:r>
        <w:rPr>
          <w:spacing w:val="-5"/>
        </w:rPr>
        <w:t> </w:t>
      </w:r>
      <w:r>
        <w:rPr/>
        <w:t>of</w:t>
      </w:r>
      <w:r>
        <w:rPr>
          <w:spacing w:val="-5"/>
        </w:rPr>
        <w:t> </w:t>
      </w:r>
      <w:r>
        <w:rPr/>
        <w:t>the</w:t>
      </w:r>
      <w:r>
        <w:rPr>
          <w:spacing w:val="-4"/>
        </w:rPr>
        <w:t> </w:t>
      </w:r>
      <w:r>
        <w:rPr/>
        <w:t>Brexit</w:t>
      </w:r>
      <w:r>
        <w:rPr>
          <w:spacing w:val="-4"/>
        </w:rPr>
        <w:t> </w:t>
      </w:r>
      <w:r>
        <w:rPr/>
        <w:t>transition</w:t>
      </w:r>
      <w:r>
        <w:rPr>
          <w:spacing w:val="-5"/>
        </w:rPr>
        <w:t> </w:t>
      </w:r>
      <w:r>
        <w:rPr/>
        <w:t>period</w:t>
      </w:r>
      <w:r>
        <w:rPr>
          <w:spacing w:val="-5"/>
        </w:rPr>
        <w:t> </w:t>
      </w:r>
      <w:r>
        <w:rPr/>
        <w:t>and</w:t>
      </w:r>
      <w:r>
        <w:rPr>
          <w:spacing w:val="-5"/>
        </w:rPr>
        <w:t> </w:t>
      </w:r>
      <w:r>
        <w:rPr/>
        <w:t>which</w:t>
      </w:r>
      <w:r>
        <w:rPr>
          <w:spacing w:val="-5"/>
        </w:rPr>
        <w:t> </w:t>
      </w:r>
      <w:r>
        <w:rPr/>
        <w:t>provided</w:t>
      </w:r>
      <w:r>
        <w:rPr>
          <w:spacing w:val="-5"/>
        </w:rPr>
        <w:t> </w:t>
      </w:r>
      <w:r>
        <w:rPr/>
        <w:t>an</w:t>
      </w:r>
      <w:r>
        <w:rPr>
          <w:spacing w:val="-5"/>
        </w:rPr>
        <w:t> </w:t>
      </w:r>
      <w:r>
        <w:rPr/>
        <w:t>underpinning for the rights in the relevant section of the 1998 Agreement.</w:t>
      </w:r>
    </w:p>
    <w:p>
      <w:pPr>
        <w:pStyle w:val="BodyText"/>
        <w:spacing w:line="232" w:lineRule="auto" w:before="243"/>
        <w:ind w:left="1117" w:right="550"/>
      </w:pPr>
      <w:r>
        <w:rPr/>
        <w:t>The</w:t>
      </w:r>
      <w:r>
        <w:rPr>
          <w:spacing w:val="-7"/>
        </w:rPr>
        <w:t> </w:t>
      </w:r>
      <w:r>
        <w:rPr/>
        <w:t>keeping</w:t>
      </w:r>
      <w:r>
        <w:rPr>
          <w:spacing w:val="-7"/>
        </w:rPr>
        <w:t> </w:t>
      </w:r>
      <w:r>
        <w:rPr/>
        <w:t>pace</w:t>
      </w:r>
      <w:r>
        <w:rPr>
          <w:spacing w:val="-7"/>
        </w:rPr>
        <w:t> </w:t>
      </w:r>
      <w:r>
        <w:rPr/>
        <w:t>requirement</w:t>
      </w:r>
      <w:r>
        <w:rPr>
          <w:spacing w:val="-7"/>
        </w:rPr>
        <w:t> </w:t>
      </w:r>
      <w:r>
        <w:rPr/>
        <w:t>relates</w:t>
      </w:r>
      <w:r>
        <w:rPr>
          <w:spacing w:val="-8"/>
        </w:rPr>
        <w:t> </w:t>
      </w:r>
      <w:r>
        <w:rPr/>
        <w:t>specifically</w:t>
      </w:r>
      <w:r>
        <w:rPr>
          <w:spacing w:val="-7"/>
        </w:rPr>
        <w:t> </w:t>
      </w:r>
      <w:r>
        <w:rPr/>
        <w:t>to</w:t>
      </w:r>
      <w:r>
        <w:rPr>
          <w:spacing w:val="-8"/>
        </w:rPr>
        <w:t> </w:t>
      </w:r>
      <w:r>
        <w:rPr/>
        <w:t>the</w:t>
      </w:r>
      <w:r>
        <w:rPr>
          <w:spacing w:val="-7"/>
        </w:rPr>
        <w:t> </w:t>
      </w:r>
      <w:r>
        <w:rPr/>
        <w:t>six</w:t>
      </w:r>
      <w:r>
        <w:rPr>
          <w:spacing w:val="-8"/>
        </w:rPr>
        <w:t> </w:t>
      </w:r>
      <w:r>
        <w:rPr/>
        <w:t>directives</w:t>
      </w:r>
      <w:r>
        <w:rPr>
          <w:spacing w:val="-8"/>
        </w:rPr>
        <w:t> </w:t>
      </w:r>
      <w:r>
        <w:rPr/>
        <w:t>listed</w:t>
      </w:r>
      <w:r>
        <w:rPr>
          <w:spacing w:val="-8"/>
        </w:rPr>
        <w:t> </w:t>
      </w:r>
      <w:r>
        <w:rPr/>
        <w:t>in</w:t>
      </w:r>
      <w:r>
        <w:rPr>
          <w:spacing w:val="-8"/>
        </w:rPr>
        <w:t> </w:t>
      </w:r>
      <w:r>
        <w:rPr/>
        <w:t>Annex 1 WF, which are all anti-discrimination directives:</w:t>
      </w:r>
      <w:r>
        <w:rPr>
          <w:vertAlign w:val="superscript"/>
        </w:rPr>
        <w:t>53</w:t>
      </w:r>
    </w:p>
    <w:p>
      <w:pPr>
        <w:pStyle w:val="ListParagraph"/>
        <w:numPr>
          <w:ilvl w:val="0"/>
          <w:numId w:val="11"/>
        </w:numPr>
        <w:tabs>
          <w:tab w:pos="1457" w:val="left" w:leader="none"/>
        </w:tabs>
        <w:spacing w:line="232" w:lineRule="auto" w:before="238" w:after="0"/>
        <w:ind w:left="1457" w:right="521" w:hanging="341"/>
        <w:jc w:val="left"/>
        <w:rPr>
          <w:sz w:val="28"/>
        </w:rPr>
      </w:pPr>
      <w:r>
        <w:rPr>
          <w:sz w:val="28"/>
        </w:rPr>
        <w:t>Council Directive 2004/113/EC of 13 December 2004 implementing the principle of</w:t>
      </w:r>
      <w:r>
        <w:rPr>
          <w:spacing w:val="-5"/>
          <w:sz w:val="28"/>
        </w:rPr>
        <w:t> </w:t>
      </w:r>
      <w:r>
        <w:rPr>
          <w:sz w:val="28"/>
        </w:rPr>
        <w:t>equal</w:t>
      </w:r>
      <w:r>
        <w:rPr>
          <w:spacing w:val="-5"/>
          <w:sz w:val="28"/>
        </w:rPr>
        <w:t> </w:t>
      </w:r>
      <w:r>
        <w:rPr>
          <w:sz w:val="28"/>
        </w:rPr>
        <w:t>treatment</w:t>
      </w:r>
      <w:r>
        <w:rPr>
          <w:spacing w:val="-4"/>
          <w:sz w:val="28"/>
        </w:rPr>
        <w:t> </w:t>
      </w:r>
      <w:r>
        <w:rPr>
          <w:sz w:val="28"/>
        </w:rPr>
        <w:t>between</w:t>
      </w:r>
      <w:r>
        <w:rPr>
          <w:spacing w:val="-5"/>
          <w:sz w:val="28"/>
        </w:rPr>
        <w:t> </w:t>
      </w:r>
      <w:r>
        <w:rPr>
          <w:sz w:val="28"/>
        </w:rPr>
        <w:t>men</w:t>
      </w:r>
      <w:r>
        <w:rPr>
          <w:spacing w:val="-5"/>
          <w:sz w:val="28"/>
        </w:rPr>
        <w:t> </w:t>
      </w:r>
      <w:r>
        <w:rPr>
          <w:sz w:val="28"/>
        </w:rPr>
        <w:t>and</w:t>
      </w:r>
      <w:r>
        <w:rPr>
          <w:spacing w:val="-5"/>
          <w:sz w:val="28"/>
        </w:rPr>
        <w:t> </w:t>
      </w:r>
      <w:r>
        <w:rPr>
          <w:sz w:val="28"/>
        </w:rPr>
        <w:t>women</w:t>
      </w:r>
      <w:r>
        <w:rPr>
          <w:spacing w:val="-5"/>
          <w:sz w:val="28"/>
        </w:rPr>
        <w:t> </w:t>
      </w:r>
      <w:r>
        <w:rPr>
          <w:sz w:val="28"/>
        </w:rPr>
        <w:t>in</w:t>
      </w:r>
      <w:r>
        <w:rPr>
          <w:spacing w:val="-5"/>
          <w:sz w:val="28"/>
        </w:rPr>
        <w:t> </w:t>
      </w:r>
      <w:r>
        <w:rPr>
          <w:sz w:val="28"/>
        </w:rPr>
        <w:t>the</w:t>
      </w:r>
      <w:r>
        <w:rPr>
          <w:spacing w:val="-4"/>
          <w:sz w:val="28"/>
        </w:rPr>
        <w:t> </w:t>
      </w:r>
      <w:r>
        <w:rPr>
          <w:sz w:val="28"/>
        </w:rPr>
        <w:t>access</w:t>
      </w:r>
      <w:r>
        <w:rPr>
          <w:spacing w:val="-5"/>
          <w:sz w:val="28"/>
        </w:rPr>
        <w:t> </w:t>
      </w:r>
      <w:r>
        <w:rPr>
          <w:sz w:val="28"/>
        </w:rPr>
        <w:t>to</w:t>
      </w:r>
      <w:r>
        <w:rPr>
          <w:spacing w:val="-5"/>
          <w:sz w:val="28"/>
        </w:rPr>
        <w:t> </w:t>
      </w:r>
      <w:r>
        <w:rPr>
          <w:sz w:val="28"/>
        </w:rPr>
        <w:t>and</w:t>
      </w:r>
      <w:r>
        <w:rPr>
          <w:spacing w:val="-5"/>
          <w:sz w:val="28"/>
        </w:rPr>
        <w:t> </w:t>
      </w:r>
      <w:r>
        <w:rPr>
          <w:sz w:val="28"/>
        </w:rPr>
        <w:t>supply</w:t>
      </w:r>
      <w:r>
        <w:rPr>
          <w:spacing w:val="-4"/>
          <w:sz w:val="28"/>
        </w:rPr>
        <w:t> </w:t>
      </w:r>
      <w:r>
        <w:rPr>
          <w:sz w:val="28"/>
        </w:rPr>
        <w:t>of</w:t>
      </w:r>
      <w:r>
        <w:rPr>
          <w:spacing w:val="-5"/>
          <w:sz w:val="28"/>
        </w:rPr>
        <w:t> </w:t>
      </w:r>
      <w:r>
        <w:rPr>
          <w:sz w:val="28"/>
        </w:rPr>
        <w:t>goods and services (Gender Goods and Services Directive)</w:t>
      </w:r>
    </w:p>
    <w:p>
      <w:pPr>
        <w:pStyle w:val="ListParagraph"/>
        <w:numPr>
          <w:ilvl w:val="0"/>
          <w:numId w:val="11"/>
        </w:numPr>
        <w:tabs>
          <w:tab w:pos="1457" w:val="left" w:leader="none"/>
        </w:tabs>
        <w:spacing w:line="323" w:lineRule="exact" w:before="0" w:after="0"/>
        <w:ind w:left="1457" w:right="0" w:hanging="340"/>
        <w:jc w:val="left"/>
        <w:rPr>
          <w:sz w:val="28"/>
        </w:rPr>
      </w:pPr>
      <w:r>
        <w:rPr>
          <w:sz w:val="28"/>
        </w:rPr>
        <w:t>Directive</w:t>
      </w:r>
      <w:r>
        <w:rPr>
          <w:spacing w:val="-5"/>
          <w:sz w:val="28"/>
        </w:rPr>
        <w:t> </w:t>
      </w:r>
      <w:r>
        <w:rPr>
          <w:sz w:val="28"/>
        </w:rPr>
        <w:t>2006/54/EC</w:t>
      </w:r>
      <w:r>
        <w:rPr>
          <w:spacing w:val="-6"/>
          <w:sz w:val="28"/>
        </w:rPr>
        <w:t> </w:t>
      </w:r>
      <w:r>
        <w:rPr>
          <w:sz w:val="28"/>
        </w:rPr>
        <w:t>of</w:t>
      </w:r>
      <w:r>
        <w:rPr>
          <w:spacing w:val="-5"/>
          <w:sz w:val="28"/>
        </w:rPr>
        <w:t> </w:t>
      </w:r>
      <w:r>
        <w:rPr>
          <w:sz w:val="28"/>
        </w:rPr>
        <w:t>the</w:t>
      </w:r>
      <w:r>
        <w:rPr>
          <w:spacing w:val="-5"/>
          <w:sz w:val="28"/>
        </w:rPr>
        <w:t> </w:t>
      </w:r>
      <w:r>
        <w:rPr>
          <w:sz w:val="28"/>
        </w:rPr>
        <w:t>European</w:t>
      </w:r>
      <w:r>
        <w:rPr>
          <w:spacing w:val="-6"/>
          <w:sz w:val="28"/>
        </w:rPr>
        <w:t> </w:t>
      </w:r>
      <w:r>
        <w:rPr>
          <w:sz w:val="28"/>
        </w:rPr>
        <w:t>Parliament</w:t>
      </w:r>
      <w:r>
        <w:rPr>
          <w:spacing w:val="-4"/>
          <w:sz w:val="28"/>
        </w:rPr>
        <w:t> </w:t>
      </w:r>
      <w:r>
        <w:rPr>
          <w:sz w:val="28"/>
        </w:rPr>
        <w:t>and</w:t>
      </w:r>
      <w:r>
        <w:rPr>
          <w:spacing w:val="-6"/>
          <w:sz w:val="28"/>
        </w:rPr>
        <w:t> </w:t>
      </w:r>
      <w:r>
        <w:rPr>
          <w:sz w:val="28"/>
        </w:rPr>
        <w:t>of</w:t>
      </w:r>
      <w:r>
        <w:rPr>
          <w:spacing w:val="-6"/>
          <w:sz w:val="28"/>
        </w:rPr>
        <w:t> </w:t>
      </w:r>
      <w:r>
        <w:rPr>
          <w:sz w:val="28"/>
        </w:rPr>
        <w:t>the</w:t>
      </w:r>
      <w:r>
        <w:rPr>
          <w:spacing w:val="-4"/>
          <w:sz w:val="28"/>
        </w:rPr>
        <w:t> </w:t>
      </w:r>
      <w:r>
        <w:rPr>
          <w:sz w:val="28"/>
        </w:rPr>
        <w:t>Council</w:t>
      </w:r>
      <w:r>
        <w:rPr>
          <w:spacing w:val="-6"/>
          <w:sz w:val="28"/>
        </w:rPr>
        <w:t> </w:t>
      </w:r>
      <w:r>
        <w:rPr>
          <w:sz w:val="28"/>
        </w:rPr>
        <w:t>of</w:t>
      </w:r>
      <w:r>
        <w:rPr>
          <w:spacing w:val="-6"/>
          <w:sz w:val="28"/>
        </w:rPr>
        <w:t> </w:t>
      </w:r>
      <w:r>
        <w:rPr>
          <w:sz w:val="28"/>
        </w:rPr>
        <w:t>5</w:t>
      </w:r>
      <w:r>
        <w:rPr>
          <w:spacing w:val="-4"/>
          <w:sz w:val="28"/>
        </w:rPr>
        <w:t> </w:t>
      </w:r>
      <w:r>
        <w:rPr>
          <w:sz w:val="28"/>
        </w:rPr>
        <w:t>July</w:t>
      </w:r>
      <w:r>
        <w:rPr>
          <w:spacing w:val="-5"/>
          <w:sz w:val="28"/>
        </w:rPr>
        <w:t> </w:t>
      </w:r>
      <w:r>
        <w:rPr>
          <w:spacing w:val="-4"/>
          <w:sz w:val="28"/>
        </w:rPr>
        <w:t>2006</w:t>
      </w:r>
    </w:p>
    <w:p>
      <w:pPr>
        <w:pStyle w:val="BodyText"/>
        <w:spacing w:line="232" w:lineRule="auto" w:before="2"/>
        <w:ind w:left="1457" w:right="428"/>
      </w:pPr>
      <w:r>
        <w:rPr/>
        <w:t>on</w:t>
      </w:r>
      <w:r>
        <w:rPr>
          <w:spacing w:val="-6"/>
        </w:rPr>
        <w:t> </w:t>
      </w:r>
      <w:r>
        <w:rPr/>
        <w:t>the</w:t>
      </w:r>
      <w:r>
        <w:rPr>
          <w:spacing w:val="-6"/>
        </w:rPr>
        <w:t> </w:t>
      </w:r>
      <w:r>
        <w:rPr/>
        <w:t>implementation</w:t>
      </w:r>
      <w:r>
        <w:rPr>
          <w:spacing w:val="-6"/>
        </w:rPr>
        <w:t> </w:t>
      </w:r>
      <w:r>
        <w:rPr/>
        <w:t>of</w:t>
      </w:r>
      <w:r>
        <w:rPr>
          <w:spacing w:val="-6"/>
        </w:rPr>
        <w:t> </w:t>
      </w:r>
      <w:r>
        <w:rPr/>
        <w:t>the</w:t>
      </w:r>
      <w:r>
        <w:rPr>
          <w:spacing w:val="-6"/>
        </w:rPr>
        <w:t> </w:t>
      </w:r>
      <w:r>
        <w:rPr/>
        <w:t>principle</w:t>
      </w:r>
      <w:r>
        <w:rPr>
          <w:spacing w:val="-5"/>
        </w:rPr>
        <w:t> </w:t>
      </w:r>
      <w:r>
        <w:rPr/>
        <w:t>of</w:t>
      </w:r>
      <w:r>
        <w:rPr>
          <w:spacing w:val="-6"/>
        </w:rPr>
        <w:t> </w:t>
      </w:r>
      <w:r>
        <w:rPr/>
        <w:t>equal</w:t>
      </w:r>
      <w:r>
        <w:rPr>
          <w:spacing w:val="-6"/>
        </w:rPr>
        <w:t> </w:t>
      </w:r>
      <w:r>
        <w:rPr/>
        <w:t>opportunities</w:t>
      </w:r>
      <w:r>
        <w:rPr>
          <w:spacing w:val="-5"/>
        </w:rPr>
        <w:t> </w:t>
      </w:r>
      <w:r>
        <w:rPr/>
        <w:t>and</w:t>
      </w:r>
      <w:r>
        <w:rPr>
          <w:spacing w:val="-6"/>
        </w:rPr>
        <w:t> </w:t>
      </w:r>
      <w:r>
        <w:rPr/>
        <w:t>equal</w:t>
      </w:r>
      <w:r>
        <w:rPr>
          <w:spacing w:val="-6"/>
        </w:rPr>
        <w:t> </w:t>
      </w:r>
      <w:r>
        <w:rPr/>
        <w:t>treatment of men and women in matters of employment and occupation (Gender Equality (Employment) Directive)</w:t>
      </w:r>
    </w:p>
    <w:p>
      <w:pPr>
        <w:pStyle w:val="ListParagraph"/>
        <w:numPr>
          <w:ilvl w:val="0"/>
          <w:numId w:val="11"/>
        </w:numPr>
        <w:tabs>
          <w:tab w:pos="1457" w:val="left" w:leader="none"/>
        </w:tabs>
        <w:spacing w:line="323" w:lineRule="exact" w:before="0" w:after="0"/>
        <w:ind w:left="1457" w:right="0" w:hanging="340"/>
        <w:jc w:val="left"/>
        <w:rPr>
          <w:sz w:val="28"/>
        </w:rPr>
      </w:pPr>
      <w:r>
        <w:rPr>
          <w:sz w:val="28"/>
        </w:rPr>
        <w:t>Council</w:t>
      </w:r>
      <w:r>
        <w:rPr>
          <w:spacing w:val="-6"/>
          <w:sz w:val="28"/>
        </w:rPr>
        <w:t> </w:t>
      </w:r>
      <w:r>
        <w:rPr>
          <w:sz w:val="28"/>
        </w:rPr>
        <w:t>Directive</w:t>
      </w:r>
      <w:r>
        <w:rPr>
          <w:spacing w:val="-4"/>
          <w:sz w:val="28"/>
        </w:rPr>
        <w:t> </w:t>
      </w:r>
      <w:r>
        <w:rPr>
          <w:sz w:val="28"/>
        </w:rPr>
        <w:t>2000/43/EC</w:t>
      </w:r>
      <w:r>
        <w:rPr>
          <w:spacing w:val="-5"/>
          <w:sz w:val="28"/>
        </w:rPr>
        <w:t> </w:t>
      </w:r>
      <w:r>
        <w:rPr>
          <w:sz w:val="28"/>
        </w:rPr>
        <w:t>of</w:t>
      </w:r>
      <w:r>
        <w:rPr>
          <w:spacing w:val="-5"/>
          <w:sz w:val="28"/>
        </w:rPr>
        <w:t> </w:t>
      </w:r>
      <w:r>
        <w:rPr>
          <w:sz w:val="28"/>
        </w:rPr>
        <w:t>29</w:t>
      </w:r>
      <w:r>
        <w:rPr>
          <w:spacing w:val="-4"/>
          <w:sz w:val="28"/>
        </w:rPr>
        <w:t> </w:t>
      </w:r>
      <w:r>
        <w:rPr>
          <w:sz w:val="28"/>
        </w:rPr>
        <w:t>June</w:t>
      </w:r>
      <w:r>
        <w:rPr>
          <w:spacing w:val="-4"/>
          <w:sz w:val="28"/>
        </w:rPr>
        <w:t> </w:t>
      </w:r>
      <w:r>
        <w:rPr>
          <w:sz w:val="28"/>
        </w:rPr>
        <w:t>2000</w:t>
      </w:r>
      <w:r>
        <w:rPr>
          <w:spacing w:val="-5"/>
          <w:sz w:val="28"/>
        </w:rPr>
        <w:t> </w:t>
      </w:r>
      <w:r>
        <w:rPr>
          <w:sz w:val="28"/>
        </w:rPr>
        <w:t>implementing</w:t>
      </w:r>
      <w:r>
        <w:rPr>
          <w:spacing w:val="-4"/>
          <w:sz w:val="28"/>
        </w:rPr>
        <w:t> </w:t>
      </w:r>
      <w:r>
        <w:rPr>
          <w:sz w:val="28"/>
        </w:rPr>
        <w:t>the</w:t>
      </w:r>
      <w:r>
        <w:rPr>
          <w:spacing w:val="-4"/>
          <w:sz w:val="28"/>
        </w:rPr>
        <w:t> </w:t>
      </w:r>
      <w:r>
        <w:rPr>
          <w:sz w:val="28"/>
        </w:rPr>
        <w:t>principle</w:t>
      </w:r>
      <w:r>
        <w:rPr>
          <w:spacing w:val="-4"/>
          <w:sz w:val="28"/>
        </w:rPr>
        <w:t> </w:t>
      </w:r>
      <w:r>
        <w:rPr>
          <w:sz w:val="28"/>
        </w:rPr>
        <w:t>of</w:t>
      </w:r>
      <w:r>
        <w:rPr>
          <w:spacing w:val="-5"/>
          <w:sz w:val="28"/>
        </w:rPr>
        <w:t> </w:t>
      </w:r>
      <w:r>
        <w:rPr>
          <w:spacing w:val="-2"/>
          <w:sz w:val="28"/>
        </w:rPr>
        <w:t>equal</w:t>
      </w:r>
    </w:p>
    <w:p>
      <w:pPr>
        <w:pStyle w:val="BodyText"/>
        <w:spacing w:line="232" w:lineRule="auto" w:before="2"/>
        <w:ind w:left="1457"/>
      </w:pPr>
      <w:r>
        <w:rPr/>
        <w:t>treatment</w:t>
      </w:r>
      <w:r>
        <w:rPr>
          <w:spacing w:val="-7"/>
        </w:rPr>
        <w:t> </w:t>
      </w:r>
      <w:r>
        <w:rPr/>
        <w:t>between</w:t>
      </w:r>
      <w:r>
        <w:rPr>
          <w:spacing w:val="-8"/>
        </w:rPr>
        <w:t> </w:t>
      </w:r>
      <w:r>
        <w:rPr/>
        <w:t>persons</w:t>
      </w:r>
      <w:r>
        <w:rPr>
          <w:spacing w:val="-8"/>
        </w:rPr>
        <w:t> </w:t>
      </w:r>
      <w:r>
        <w:rPr/>
        <w:t>irrespective</w:t>
      </w:r>
      <w:r>
        <w:rPr>
          <w:spacing w:val="-7"/>
        </w:rPr>
        <w:t> </w:t>
      </w:r>
      <w:r>
        <w:rPr/>
        <w:t>of</w:t>
      </w:r>
      <w:r>
        <w:rPr>
          <w:spacing w:val="-8"/>
        </w:rPr>
        <w:t> </w:t>
      </w:r>
      <w:r>
        <w:rPr/>
        <w:t>racial</w:t>
      </w:r>
      <w:r>
        <w:rPr>
          <w:spacing w:val="-8"/>
        </w:rPr>
        <w:t> </w:t>
      </w:r>
      <w:r>
        <w:rPr/>
        <w:t>or</w:t>
      </w:r>
      <w:r>
        <w:rPr>
          <w:spacing w:val="-7"/>
        </w:rPr>
        <w:t> </w:t>
      </w:r>
      <w:r>
        <w:rPr/>
        <w:t>ethnic</w:t>
      </w:r>
      <w:r>
        <w:rPr>
          <w:spacing w:val="-7"/>
        </w:rPr>
        <w:t> </w:t>
      </w:r>
      <w:r>
        <w:rPr/>
        <w:t>origin</w:t>
      </w:r>
      <w:r>
        <w:rPr>
          <w:spacing w:val="-8"/>
        </w:rPr>
        <w:t> </w:t>
      </w:r>
      <w:r>
        <w:rPr/>
        <w:t>(Race</w:t>
      </w:r>
      <w:r>
        <w:rPr>
          <w:spacing w:val="-7"/>
        </w:rPr>
        <w:t> </w:t>
      </w:r>
      <w:r>
        <w:rPr/>
        <w:t>Equality </w:t>
      </w:r>
      <w:r>
        <w:rPr>
          <w:spacing w:val="-2"/>
        </w:rPr>
        <w:t>Directive)</w:t>
      </w:r>
    </w:p>
    <w:p>
      <w:pPr>
        <w:pStyle w:val="ListParagraph"/>
        <w:numPr>
          <w:ilvl w:val="0"/>
          <w:numId w:val="11"/>
        </w:numPr>
        <w:tabs>
          <w:tab w:pos="1457" w:val="left" w:leader="none"/>
        </w:tabs>
        <w:spacing w:line="325" w:lineRule="exact" w:before="0" w:after="0"/>
        <w:ind w:left="1457" w:right="0" w:hanging="340"/>
        <w:jc w:val="left"/>
        <w:rPr>
          <w:sz w:val="28"/>
        </w:rPr>
      </w:pPr>
      <w:r>
        <w:rPr>
          <w:sz w:val="28"/>
        </w:rPr>
        <w:t>Council</w:t>
      </w:r>
      <w:r>
        <w:rPr>
          <w:spacing w:val="-6"/>
          <w:sz w:val="28"/>
        </w:rPr>
        <w:t> </w:t>
      </w:r>
      <w:r>
        <w:rPr>
          <w:sz w:val="28"/>
        </w:rPr>
        <w:t>Directive</w:t>
      </w:r>
      <w:r>
        <w:rPr>
          <w:spacing w:val="-6"/>
          <w:sz w:val="28"/>
        </w:rPr>
        <w:t> </w:t>
      </w:r>
      <w:r>
        <w:rPr>
          <w:sz w:val="28"/>
        </w:rPr>
        <w:t>2000/78/EC</w:t>
      </w:r>
      <w:r>
        <w:rPr>
          <w:spacing w:val="-6"/>
          <w:sz w:val="28"/>
        </w:rPr>
        <w:t> </w:t>
      </w:r>
      <w:r>
        <w:rPr>
          <w:sz w:val="28"/>
        </w:rPr>
        <w:t>of</w:t>
      </w:r>
      <w:r>
        <w:rPr>
          <w:spacing w:val="-6"/>
          <w:sz w:val="28"/>
        </w:rPr>
        <w:t> </w:t>
      </w:r>
      <w:r>
        <w:rPr>
          <w:sz w:val="28"/>
        </w:rPr>
        <w:t>27</w:t>
      </w:r>
      <w:r>
        <w:rPr>
          <w:spacing w:val="-5"/>
          <w:sz w:val="28"/>
        </w:rPr>
        <w:t> </w:t>
      </w:r>
      <w:r>
        <w:rPr>
          <w:sz w:val="28"/>
        </w:rPr>
        <w:t>November</w:t>
      </w:r>
      <w:r>
        <w:rPr>
          <w:spacing w:val="-5"/>
          <w:sz w:val="28"/>
        </w:rPr>
        <w:t> </w:t>
      </w:r>
      <w:r>
        <w:rPr>
          <w:sz w:val="28"/>
        </w:rPr>
        <w:t>2000</w:t>
      </w:r>
      <w:r>
        <w:rPr>
          <w:spacing w:val="-5"/>
          <w:sz w:val="28"/>
        </w:rPr>
        <w:t> </w:t>
      </w:r>
      <w:r>
        <w:rPr>
          <w:sz w:val="28"/>
        </w:rPr>
        <w:t>establishing</w:t>
      </w:r>
      <w:r>
        <w:rPr>
          <w:spacing w:val="-5"/>
          <w:sz w:val="28"/>
        </w:rPr>
        <w:t> </w:t>
      </w:r>
      <w:r>
        <w:rPr>
          <w:sz w:val="28"/>
        </w:rPr>
        <w:t>a</w:t>
      </w:r>
      <w:r>
        <w:rPr>
          <w:spacing w:val="-6"/>
          <w:sz w:val="28"/>
        </w:rPr>
        <w:t> </w:t>
      </w:r>
      <w:r>
        <w:rPr>
          <w:spacing w:val="-2"/>
          <w:sz w:val="28"/>
        </w:rPr>
        <w:t>general</w:t>
      </w:r>
    </w:p>
    <w:p>
      <w:pPr>
        <w:pStyle w:val="BodyText"/>
        <w:spacing w:line="232" w:lineRule="auto" w:before="2"/>
        <w:ind w:left="1457" w:right="1087"/>
      </w:pPr>
      <w:r>
        <w:rPr/>
        <w:t>framework</w:t>
      </w:r>
      <w:r>
        <w:rPr>
          <w:spacing w:val="-9"/>
        </w:rPr>
        <w:t> </w:t>
      </w:r>
      <w:r>
        <w:rPr/>
        <w:t>for</w:t>
      </w:r>
      <w:r>
        <w:rPr>
          <w:spacing w:val="-9"/>
        </w:rPr>
        <w:t> </w:t>
      </w:r>
      <w:r>
        <w:rPr/>
        <w:t>equal</w:t>
      </w:r>
      <w:r>
        <w:rPr>
          <w:spacing w:val="-10"/>
        </w:rPr>
        <w:t> </w:t>
      </w:r>
      <w:r>
        <w:rPr/>
        <w:t>treatment</w:t>
      </w:r>
      <w:r>
        <w:rPr>
          <w:spacing w:val="-9"/>
        </w:rPr>
        <w:t> </w:t>
      </w:r>
      <w:r>
        <w:rPr/>
        <w:t>in</w:t>
      </w:r>
      <w:r>
        <w:rPr>
          <w:spacing w:val="-10"/>
        </w:rPr>
        <w:t> </w:t>
      </w:r>
      <w:r>
        <w:rPr/>
        <w:t>employment</w:t>
      </w:r>
      <w:r>
        <w:rPr>
          <w:spacing w:val="-9"/>
        </w:rPr>
        <w:t> </w:t>
      </w:r>
      <w:r>
        <w:rPr/>
        <w:t>and</w:t>
      </w:r>
      <w:r>
        <w:rPr>
          <w:spacing w:val="-10"/>
        </w:rPr>
        <w:t> </w:t>
      </w:r>
      <w:r>
        <w:rPr/>
        <w:t>occupation</w:t>
      </w:r>
      <w:r>
        <w:rPr>
          <w:spacing w:val="-10"/>
        </w:rPr>
        <w:t> </w:t>
      </w:r>
      <w:r>
        <w:rPr/>
        <w:t>(General Framework Directive)</w:t>
      </w:r>
    </w:p>
    <w:p>
      <w:pPr>
        <w:pStyle w:val="ListParagraph"/>
        <w:numPr>
          <w:ilvl w:val="0"/>
          <w:numId w:val="11"/>
        </w:numPr>
        <w:tabs>
          <w:tab w:pos="1457" w:val="left" w:leader="none"/>
        </w:tabs>
        <w:spacing w:line="325" w:lineRule="exact" w:before="0" w:after="0"/>
        <w:ind w:left="1457" w:right="0" w:hanging="340"/>
        <w:jc w:val="left"/>
        <w:rPr>
          <w:sz w:val="28"/>
        </w:rPr>
      </w:pPr>
      <w:r>
        <w:rPr>
          <w:sz w:val="28"/>
        </w:rPr>
        <w:t>Directive</w:t>
      </w:r>
      <w:r>
        <w:rPr>
          <w:spacing w:val="-4"/>
          <w:sz w:val="28"/>
        </w:rPr>
        <w:t> </w:t>
      </w:r>
      <w:r>
        <w:rPr>
          <w:sz w:val="28"/>
        </w:rPr>
        <w:t>2010/41/EU</w:t>
      </w:r>
      <w:r>
        <w:rPr>
          <w:spacing w:val="-4"/>
          <w:sz w:val="28"/>
        </w:rPr>
        <w:t> </w:t>
      </w:r>
      <w:r>
        <w:rPr>
          <w:sz w:val="28"/>
        </w:rPr>
        <w:t>of</w:t>
      </w:r>
      <w:r>
        <w:rPr>
          <w:spacing w:val="-5"/>
          <w:sz w:val="28"/>
        </w:rPr>
        <w:t> </w:t>
      </w:r>
      <w:r>
        <w:rPr>
          <w:sz w:val="28"/>
        </w:rPr>
        <w:t>the</w:t>
      </w:r>
      <w:r>
        <w:rPr>
          <w:spacing w:val="-3"/>
          <w:sz w:val="28"/>
        </w:rPr>
        <w:t> </w:t>
      </w:r>
      <w:r>
        <w:rPr>
          <w:sz w:val="28"/>
        </w:rPr>
        <w:t>European</w:t>
      </w:r>
      <w:r>
        <w:rPr>
          <w:spacing w:val="-5"/>
          <w:sz w:val="28"/>
        </w:rPr>
        <w:t> </w:t>
      </w:r>
      <w:r>
        <w:rPr>
          <w:sz w:val="28"/>
        </w:rPr>
        <w:t>Parliament</w:t>
      </w:r>
      <w:r>
        <w:rPr>
          <w:spacing w:val="-4"/>
          <w:sz w:val="28"/>
        </w:rPr>
        <w:t> </w:t>
      </w:r>
      <w:r>
        <w:rPr>
          <w:sz w:val="28"/>
        </w:rPr>
        <w:t>and</w:t>
      </w:r>
      <w:r>
        <w:rPr>
          <w:spacing w:val="-5"/>
          <w:sz w:val="28"/>
        </w:rPr>
        <w:t> </w:t>
      </w:r>
      <w:r>
        <w:rPr>
          <w:sz w:val="28"/>
        </w:rPr>
        <w:t>of</w:t>
      </w:r>
      <w:r>
        <w:rPr>
          <w:spacing w:val="-4"/>
          <w:sz w:val="28"/>
        </w:rPr>
        <w:t> </w:t>
      </w:r>
      <w:r>
        <w:rPr>
          <w:sz w:val="28"/>
        </w:rPr>
        <w:t>the</w:t>
      </w:r>
      <w:r>
        <w:rPr>
          <w:spacing w:val="-4"/>
          <w:sz w:val="28"/>
        </w:rPr>
        <w:t> </w:t>
      </w:r>
      <w:r>
        <w:rPr>
          <w:sz w:val="28"/>
        </w:rPr>
        <w:t>Council</w:t>
      </w:r>
      <w:r>
        <w:rPr>
          <w:spacing w:val="-5"/>
          <w:sz w:val="28"/>
        </w:rPr>
        <w:t> </w:t>
      </w:r>
      <w:r>
        <w:rPr>
          <w:sz w:val="28"/>
        </w:rPr>
        <w:t>of</w:t>
      </w:r>
      <w:r>
        <w:rPr>
          <w:spacing w:val="-4"/>
          <w:sz w:val="28"/>
        </w:rPr>
        <w:t> </w:t>
      </w:r>
      <w:r>
        <w:rPr>
          <w:sz w:val="28"/>
        </w:rPr>
        <w:t>7</w:t>
      </w:r>
      <w:r>
        <w:rPr>
          <w:spacing w:val="-4"/>
          <w:sz w:val="28"/>
        </w:rPr>
        <w:t> </w:t>
      </w:r>
      <w:r>
        <w:rPr>
          <w:sz w:val="28"/>
        </w:rPr>
        <w:t>July</w:t>
      </w:r>
      <w:r>
        <w:rPr>
          <w:spacing w:val="-4"/>
          <w:sz w:val="28"/>
        </w:rPr>
        <w:t> 2010</w:t>
      </w:r>
    </w:p>
    <w:p>
      <w:pPr>
        <w:pStyle w:val="BodyText"/>
        <w:spacing w:line="232" w:lineRule="auto" w:before="2"/>
        <w:ind w:left="1457"/>
      </w:pPr>
      <w:r>
        <w:rPr/>
        <w:t>on the application of the principle of equal treatment between men and women engaged</w:t>
      </w:r>
      <w:r>
        <w:rPr>
          <w:spacing w:val="-7"/>
        </w:rPr>
        <w:t> </w:t>
      </w:r>
      <w:r>
        <w:rPr/>
        <w:t>in</w:t>
      </w:r>
      <w:r>
        <w:rPr>
          <w:spacing w:val="-7"/>
        </w:rPr>
        <w:t> </w:t>
      </w:r>
      <w:r>
        <w:rPr/>
        <w:t>an</w:t>
      </w:r>
      <w:r>
        <w:rPr>
          <w:spacing w:val="-7"/>
        </w:rPr>
        <w:t> </w:t>
      </w:r>
      <w:r>
        <w:rPr/>
        <w:t>activity</w:t>
      </w:r>
      <w:r>
        <w:rPr>
          <w:spacing w:val="-6"/>
        </w:rPr>
        <w:t> </w:t>
      </w:r>
      <w:r>
        <w:rPr/>
        <w:t>in</w:t>
      </w:r>
      <w:r>
        <w:rPr>
          <w:spacing w:val="-7"/>
        </w:rPr>
        <w:t> </w:t>
      </w:r>
      <w:r>
        <w:rPr/>
        <w:t>a</w:t>
      </w:r>
      <w:r>
        <w:rPr>
          <w:spacing w:val="-7"/>
        </w:rPr>
        <w:t> </w:t>
      </w:r>
      <w:r>
        <w:rPr/>
        <w:t>self-employed</w:t>
      </w:r>
      <w:r>
        <w:rPr>
          <w:spacing w:val="-7"/>
        </w:rPr>
        <w:t> </w:t>
      </w:r>
      <w:r>
        <w:rPr/>
        <w:t>capacity</w:t>
      </w:r>
      <w:r>
        <w:rPr>
          <w:spacing w:val="-6"/>
        </w:rPr>
        <w:t> </w:t>
      </w:r>
      <w:r>
        <w:rPr/>
        <w:t>and</w:t>
      </w:r>
      <w:r>
        <w:rPr>
          <w:spacing w:val="-7"/>
        </w:rPr>
        <w:t> </w:t>
      </w:r>
      <w:r>
        <w:rPr/>
        <w:t>repealing</w:t>
      </w:r>
      <w:r>
        <w:rPr>
          <w:spacing w:val="-6"/>
        </w:rPr>
        <w:t> </w:t>
      </w:r>
      <w:r>
        <w:rPr/>
        <w:t>Council</w:t>
      </w:r>
      <w:r>
        <w:rPr>
          <w:spacing w:val="-7"/>
        </w:rPr>
        <w:t> </w:t>
      </w:r>
      <w:r>
        <w:rPr/>
        <w:t>Directive 86/613/EEC (Self-Employment Equality Directive)</w:t>
      </w:r>
    </w:p>
    <w:p>
      <w:pPr>
        <w:pStyle w:val="ListParagraph"/>
        <w:numPr>
          <w:ilvl w:val="0"/>
          <w:numId w:val="11"/>
        </w:numPr>
        <w:tabs>
          <w:tab w:pos="1457" w:val="left" w:leader="none"/>
        </w:tabs>
        <w:spacing w:line="323" w:lineRule="exact" w:before="0" w:after="0"/>
        <w:ind w:left="1457" w:right="0" w:hanging="340"/>
        <w:jc w:val="left"/>
        <w:rPr>
          <w:sz w:val="28"/>
        </w:rPr>
      </w:pPr>
      <w:r>
        <w:rPr>
          <w:sz w:val="28"/>
        </w:rPr>
        <w:t>Council</w:t>
      </w:r>
      <w:r>
        <w:rPr>
          <w:spacing w:val="-5"/>
          <w:sz w:val="28"/>
        </w:rPr>
        <w:t> </w:t>
      </w:r>
      <w:r>
        <w:rPr>
          <w:sz w:val="28"/>
        </w:rPr>
        <w:t>Directive</w:t>
      </w:r>
      <w:r>
        <w:rPr>
          <w:spacing w:val="-3"/>
          <w:sz w:val="28"/>
        </w:rPr>
        <w:t> </w:t>
      </w:r>
      <w:r>
        <w:rPr>
          <w:sz w:val="28"/>
        </w:rPr>
        <w:t>79/7/EEC</w:t>
      </w:r>
      <w:r>
        <w:rPr>
          <w:spacing w:val="-4"/>
          <w:sz w:val="28"/>
        </w:rPr>
        <w:t> </w:t>
      </w:r>
      <w:r>
        <w:rPr>
          <w:sz w:val="28"/>
        </w:rPr>
        <w:t>of</w:t>
      </w:r>
      <w:r>
        <w:rPr>
          <w:spacing w:val="-5"/>
          <w:sz w:val="28"/>
        </w:rPr>
        <w:t> </w:t>
      </w:r>
      <w:r>
        <w:rPr>
          <w:sz w:val="28"/>
        </w:rPr>
        <w:t>19</w:t>
      </w:r>
      <w:r>
        <w:rPr>
          <w:spacing w:val="-3"/>
          <w:sz w:val="28"/>
        </w:rPr>
        <w:t> </w:t>
      </w:r>
      <w:r>
        <w:rPr>
          <w:sz w:val="28"/>
        </w:rPr>
        <w:t>December</w:t>
      </w:r>
      <w:r>
        <w:rPr>
          <w:spacing w:val="-3"/>
          <w:sz w:val="28"/>
        </w:rPr>
        <w:t> </w:t>
      </w:r>
      <w:r>
        <w:rPr>
          <w:sz w:val="28"/>
        </w:rPr>
        <w:t>1978</w:t>
      </w:r>
      <w:r>
        <w:rPr>
          <w:spacing w:val="-3"/>
          <w:sz w:val="28"/>
        </w:rPr>
        <w:t> </w:t>
      </w:r>
      <w:r>
        <w:rPr>
          <w:sz w:val="28"/>
        </w:rPr>
        <w:t>on</w:t>
      </w:r>
      <w:r>
        <w:rPr>
          <w:spacing w:val="-5"/>
          <w:sz w:val="28"/>
        </w:rPr>
        <w:t> </w:t>
      </w:r>
      <w:r>
        <w:rPr>
          <w:sz w:val="28"/>
        </w:rPr>
        <w:t>the</w:t>
      </w:r>
      <w:r>
        <w:rPr>
          <w:spacing w:val="-3"/>
          <w:sz w:val="28"/>
        </w:rPr>
        <w:t> </w:t>
      </w:r>
      <w:r>
        <w:rPr>
          <w:spacing w:val="-2"/>
          <w:sz w:val="28"/>
        </w:rPr>
        <w:t>progressive</w:t>
      </w:r>
    </w:p>
    <w:p>
      <w:pPr>
        <w:pStyle w:val="BodyText"/>
        <w:spacing w:line="232" w:lineRule="auto" w:before="2"/>
        <w:ind w:left="1457" w:right="428"/>
      </w:pPr>
      <w:r>
        <w:rPr/>
        <w:t>implementation</w:t>
      </w:r>
      <w:r>
        <w:rPr>
          <w:spacing w:val="-8"/>
        </w:rPr>
        <w:t> </w:t>
      </w:r>
      <w:r>
        <w:rPr/>
        <w:t>of</w:t>
      </w:r>
      <w:r>
        <w:rPr>
          <w:spacing w:val="-8"/>
        </w:rPr>
        <w:t> </w:t>
      </w:r>
      <w:r>
        <w:rPr/>
        <w:t>the</w:t>
      </w:r>
      <w:r>
        <w:rPr>
          <w:spacing w:val="-7"/>
        </w:rPr>
        <w:t> </w:t>
      </w:r>
      <w:r>
        <w:rPr/>
        <w:t>principle</w:t>
      </w:r>
      <w:r>
        <w:rPr>
          <w:spacing w:val="-7"/>
        </w:rPr>
        <w:t> </w:t>
      </w:r>
      <w:r>
        <w:rPr/>
        <w:t>of</w:t>
      </w:r>
      <w:r>
        <w:rPr>
          <w:spacing w:val="-8"/>
        </w:rPr>
        <w:t> </w:t>
      </w:r>
      <w:r>
        <w:rPr/>
        <w:t>equal</w:t>
      </w:r>
      <w:r>
        <w:rPr>
          <w:spacing w:val="-8"/>
        </w:rPr>
        <w:t> </w:t>
      </w:r>
      <w:r>
        <w:rPr/>
        <w:t>treatment</w:t>
      </w:r>
      <w:r>
        <w:rPr>
          <w:spacing w:val="-7"/>
        </w:rPr>
        <w:t> </w:t>
      </w:r>
      <w:r>
        <w:rPr/>
        <w:t>for</w:t>
      </w:r>
      <w:r>
        <w:rPr>
          <w:spacing w:val="-7"/>
        </w:rPr>
        <w:t> </w:t>
      </w:r>
      <w:r>
        <w:rPr/>
        <w:t>men</w:t>
      </w:r>
      <w:r>
        <w:rPr>
          <w:spacing w:val="-8"/>
        </w:rPr>
        <w:t> </w:t>
      </w:r>
      <w:r>
        <w:rPr/>
        <w:t>and</w:t>
      </w:r>
      <w:r>
        <w:rPr>
          <w:spacing w:val="-8"/>
        </w:rPr>
        <w:t> </w:t>
      </w:r>
      <w:r>
        <w:rPr/>
        <w:t>women</w:t>
      </w:r>
      <w:r>
        <w:rPr>
          <w:spacing w:val="-8"/>
        </w:rPr>
        <w:t> </w:t>
      </w:r>
      <w:r>
        <w:rPr/>
        <w:t>in</w:t>
      </w:r>
      <w:r>
        <w:rPr>
          <w:spacing w:val="-8"/>
        </w:rPr>
        <w:t> </w:t>
      </w:r>
      <w:r>
        <w:rPr/>
        <w:t>matters of social security (Equality in Social Security Directive)</w:t>
      </w:r>
    </w:p>
    <w:p>
      <w:pPr>
        <w:pStyle w:val="BodyText"/>
        <w:spacing w:line="232" w:lineRule="auto" w:before="281"/>
        <w:ind w:left="1117"/>
      </w:pPr>
      <w:r>
        <w:rPr/>
        <w:t>Article</w:t>
      </w:r>
      <w:r>
        <w:rPr>
          <w:spacing w:val="-5"/>
        </w:rPr>
        <w:t> </w:t>
      </w:r>
      <w:r>
        <w:rPr/>
        <w:t>4</w:t>
      </w:r>
      <w:r>
        <w:rPr>
          <w:spacing w:val="-5"/>
        </w:rPr>
        <w:t> </w:t>
      </w:r>
      <w:r>
        <w:rPr/>
        <w:t>of</w:t>
      </w:r>
      <w:r>
        <w:rPr>
          <w:spacing w:val="-6"/>
        </w:rPr>
        <w:t> </w:t>
      </w:r>
      <w:r>
        <w:rPr/>
        <w:t>the</w:t>
      </w:r>
      <w:r>
        <w:rPr>
          <w:spacing w:val="-5"/>
        </w:rPr>
        <w:t> </w:t>
      </w:r>
      <w:r>
        <w:rPr/>
        <w:t>Withdrawal</w:t>
      </w:r>
      <w:r>
        <w:rPr>
          <w:spacing w:val="-6"/>
        </w:rPr>
        <w:t> </w:t>
      </w:r>
      <w:r>
        <w:rPr/>
        <w:t>Agreement</w:t>
      </w:r>
      <w:r>
        <w:rPr>
          <w:spacing w:val="-5"/>
        </w:rPr>
        <w:t> </w:t>
      </w:r>
      <w:r>
        <w:rPr/>
        <w:t>(see</w:t>
      </w:r>
      <w:r>
        <w:rPr>
          <w:spacing w:val="-5"/>
        </w:rPr>
        <w:t> </w:t>
      </w:r>
      <w:r>
        <w:rPr/>
        <w:t>above)</w:t>
      </w:r>
      <w:r>
        <w:rPr>
          <w:spacing w:val="-6"/>
        </w:rPr>
        <w:t> </w:t>
      </w:r>
      <w:r>
        <w:rPr/>
        <w:t>and</w:t>
      </w:r>
      <w:r>
        <w:rPr>
          <w:spacing w:val="-6"/>
        </w:rPr>
        <w:t> </w:t>
      </w:r>
      <w:r>
        <w:rPr/>
        <w:t>Article</w:t>
      </w:r>
      <w:r>
        <w:rPr>
          <w:spacing w:val="-5"/>
        </w:rPr>
        <w:t> </w:t>
      </w:r>
      <w:r>
        <w:rPr/>
        <w:t>13</w:t>
      </w:r>
      <w:r>
        <w:rPr>
          <w:spacing w:val="-5"/>
        </w:rPr>
        <w:t> </w:t>
      </w:r>
      <w:r>
        <w:rPr/>
        <w:t>WF</w:t>
      </w:r>
      <w:r>
        <w:rPr>
          <w:spacing w:val="-6"/>
        </w:rPr>
        <w:t> </w:t>
      </w:r>
      <w:r>
        <w:rPr/>
        <w:t>provide</w:t>
      </w:r>
      <w:r>
        <w:rPr>
          <w:spacing w:val="-5"/>
        </w:rPr>
        <w:t> </w:t>
      </w:r>
      <w:r>
        <w:rPr/>
        <w:t>some important rules for applying and interpreting Article 2.</w:t>
      </w:r>
      <w:r>
        <w:rPr>
          <w:vertAlign w:val="superscript"/>
        </w:rPr>
        <w:t>54</w:t>
      </w:r>
    </w:p>
    <w:p>
      <w:pPr>
        <w:pStyle w:val="BodyText"/>
        <w:spacing w:before="9"/>
        <w:rPr>
          <w:sz w:val="18"/>
        </w:rPr>
      </w:pPr>
      <w:r>
        <w:rPr/>
        <mc:AlternateContent>
          <mc:Choice Requires="wps">
            <w:drawing>
              <wp:anchor distT="0" distB="0" distL="0" distR="0" allowOverlap="1" layoutInCell="1" locked="0" behindDoc="1" simplePos="0" relativeHeight="487642112">
                <wp:simplePos x="0" y="0"/>
                <wp:positionH relativeFrom="page">
                  <wp:posOffset>900000</wp:posOffset>
                </wp:positionH>
                <wp:positionV relativeFrom="paragraph">
                  <wp:posOffset>161012</wp:posOffset>
                </wp:positionV>
                <wp:extent cx="6012180" cy="1270"/>
                <wp:effectExtent l="0" t="0" r="0" b="0"/>
                <wp:wrapTopAndBottom/>
                <wp:docPr id="300" name="Graphic 300"/>
                <wp:cNvGraphicFramePr>
                  <a:graphicFrameLocks/>
                </wp:cNvGraphicFramePr>
                <a:graphic>
                  <a:graphicData uri="http://schemas.microsoft.com/office/word/2010/wordprocessingShape">
                    <wps:wsp>
                      <wps:cNvPr id="300" name="Graphic 30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12.678139pt;width:473.4pt;height:.1pt;mso-position-horizontal-relative:page;mso-position-vertical-relative:paragraph;z-index:-15674368;mso-wrap-distance-left:0;mso-wrap-distance-right:0" id="docshape236" coordorigin="1417,254" coordsize="9468,0" path="m1417,254l10885,254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731" w:hanging="567"/>
        <w:jc w:val="left"/>
        <w:rPr>
          <w:sz w:val="18"/>
        </w:rPr>
      </w:pPr>
      <w:r>
        <w:rPr>
          <w:sz w:val="18"/>
        </w:rPr>
        <w:t>According to the Government this means that Article 2 WF does not lead to the direct application of EU law, nor is there any</w:t>
      </w:r>
      <w:r>
        <w:rPr>
          <w:spacing w:val="-3"/>
          <w:sz w:val="18"/>
        </w:rPr>
        <w:t> </w:t>
      </w:r>
      <w:r>
        <w:rPr>
          <w:sz w:val="18"/>
        </w:rPr>
        <w:t>direct</w:t>
      </w:r>
      <w:r>
        <w:rPr>
          <w:spacing w:val="-3"/>
          <w:sz w:val="18"/>
        </w:rPr>
        <w:t> </w:t>
      </w:r>
      <w:r>
        <w:rPr>
          <w:sz w:val="18"/>
        </w:rPr>
        <w:t>role</w:t>
      </w:r>
      <w:r>
        <w:rPr>
          <w:spacing w:val="-3"/>
          <w:sz w:val="18"/>
        </w:rPr>
        <w:t> </w:t>
      </w:r>
      <w:r>
        <w:rPr>
          <w:sz w:val="18"/>
        </w:rPr>
        <w:t>for</w:t>
      </w:r>
      <w:r>
        <w:rPr>
          <w:spacing w:val="-3"/>
          <w:sz w:val="18"/>
        </w:rPr>
        <w:t> </w:t>
      </w:r>
      <w:r>
        <w:rPr>
          <w:sz w:val="18"/>
        </w:rPr>
        <w:t>the</w:t>
      </w:r>
      <w:r>
        <w:rPr>
          <w:spacing w:val="-3"/>
          <w:sz w:val="18"/>
        </w:rPr>
        <w:t> </w:t>
      </w:r>
      <w:r>
        <w:rPr>
          <w:sz w:val="18"/>
        </w:rPr>
        <w:t>Court</w:t>
      </w:r>
      <w:r>
        <w:rPr>
          <w:spacing w:val="-3"/>
          <w:sz w:val="18"/>
        </w:rPr>
        <w:t> </w:t>
      </w:r>
      <w:r>
        <w:rPr>
          <w:sz w:val="18"/>
        </w:rPr>
        <w:t>of</w:t>
      </w:r>
      <w:r>
        <w:rPr>
          <w:spacing w:val="-4"/>
          <w:sz w:val="18"/>
        </w:rPr>
        <w:t> </w:t>
      </w:r>
      <w:r>
        <w:rPr>
          <w:sz w:val="18"/>
        </w:rPr>
        <w:t>Justice</w:t>
      </w:r>
      <w:r>
        <w:rPr>
          <w:spacing w:val="-3"/>
          <w:sz w:val="18"/>
        </w:rPr>
        <w:t> </w:t>
      </w:r>
      <w:r>
        <w:rPr>
          <w:sz w:val="18"/>
        </w:rPr>
        <w:t>of</w:t>
      </w:r>
      <w:r>
        <w:rPr>
          <w:spacing w:val="-4"/>
          <w:sz w:val="18"/>
        </w:rPr>
        <w:t> </w:t>
      </w:r>
      <w:r>
        <w:rPr>
          <w:sz w:val="18"/>
        </w:rPr>
        <w:t>the</w:t>
      </w:r>
      <w:r>
        <w:rPr>
          <w:spacing w:val="-3"/>
          <w:sz w:val="18"/>
        </w:rPr>
        <w:t> </w:t>
      </w:r>
      <w:r>
        <w:rPr>
          <w:sz w:val="18"/>
        </w:rPr>
        <w:t>EU</w:t>
      </w:r>
      <w:r>
        <w:rPr>
          <w:spacing w:val="-3"/>
          <w:sz w:val="18"/>
        </w:rPr>
        <w:t> </w:t>
      </w:r>
      <w:r>
        <w:rPr>
          <w:sz w:val="18"/>
        </w:rPr>
        <w:t>or</w:t>
      </w:r>
      <w:r>
        <w:rPr>
          <w:spacing w:val="-3"/>
          <w:sz w:val="18"/>
        </w:rPr>
        <w:t> </w:t>
      </w:r>
      <w:r>
        <w:rPr>
          <w:sz w:val="18"/>
        </w:rPr>
        <w:t>the</w:t>
      </w:r>
      <w:r>
        <w:rPr>
          <w:spacing w:val="-3"/>
          <w:sz w:val="18"/>
        </w:rPr>
        <w:t> </w:t>
      </w:r>
      <w:r>
        <w:rPr>
          <w:sz w:val="18"/>
        </w:rPr>
        <w:t>European</w:t>
      </w:r>
      <w:r>
        <w:rPr>
          <w:spacing w:val="-4"/>
          <w:sz w:val="18"/>
        </w:rPr>
        <w:t> </w:t>
      </w:r>
      <w:r>
        <w:rPr>
          <w:sz w:val="18"/>
        </w:rPr>
        <w:t>Commission:</w:t>
      </w:r>
      <w:r>
        <w:rPr>
          <w:spacing w:val="-3"/>
          <w:sz w:val="18"/>
        </w:rPr>
        <w:t> </w:t>
      </w:r>
      <w:r>
        <w:rPr>
          <w:sz w:val="18"/>
        </w:rPr>
        <w:t>UK</w:t>
      </w:r>
      <w:r>
        <w:rPr>
          <w:spacing w:val="-3"/>
          <w:sz w:val="18"/>
        </w:rPr>
        <w:t> </w:t>
      </w:r>
      <w:r>
        <w:rPr>
          <w:sz w:val="18"/>
        </w:rPr>
        <w:t>Government,</w:t>
      </w:r>
      <w:r>
        <w:rPr>
          <w:spacing w:val="-6"/>
          <w:sz w:val="18"/>
        </w:rPr>
        <w:t> </w:t>
      </w:r>
      <w:r>
        <w:rPr>
          <w:color w:val="1D71B8"/>
          <w:sz w:val="18"/>
          <w:u w:val="single" w:color="1D71B8"/>
        </w:rPr>
        <w:t>Explainer:</w:t>
      </w:r>
      <w:r>
        <w:rPr>
          <w:color w:val="1D71B8"/>
          <w:spacing w:val="-3"/>
          <w:sz w:val="18"/>
          <w:u w:val="single" w:color="1D71B8"/>
        </w:rPr>
        <w:t> </w:t>
      </w:r>
      <w:r>
        <w:rPr>
          <w:color w:val="1D71B8"/>
          <w:sz w:val="18"/>
          <w:u w:val="single" w:color="1D71B8"/>
        </w:rPr>
        <w:t>UK</w:t>
      </w:r>
      <w:r>
        <w:rPr>
          <w:color w:val="1D71B8"/>
          <w:spacing w:val="-3"/>
          <w:sz w:val="18"/>
          <w:u w:val="single" w:color="1D71B8"/>
        </w:rPr>
        <w:t> </w:t>
      </w:r>
      <w:r>
        <w:rPr>
          <w:color w:val="1D71B8"/>
          <w:sz w:val="18"/>
          <w:u w:val="single" w:color="1D71B8"/>
        </w:rPr>
        <w:t>Government</w:t>
      </w:r>
      <w:r>
        <w:rPr>
          <w:color w:val="1D71B8"/>
          <w:sz w:val="18"/>
          <w:u w:val="none"/>
        </w:rPr>
        <w:t> </w:t>
      </w:r>
      <w:r>
        <w:rPr>
          <w:color w:val="1D71B8"/>
          <w:sz w:val="18"/>
          <w:u w:val="single" w:color="1D71B8"/>
        </w:rPr>
        <w:t>commitment to no diminution of rights, safeguards and equality of opportunity in Northern Ireland</w:t>
      </w:r>
      <w:r>
        <w:rPr>
          <w:color w:val="1D71B8"/>
          <w:sz w:val="18"/>
          <w:u w:val="none"/>
        </w:rPr>
        <w:t> </w:t>
      </w:r>
      <w:r>
        <w:rPr>
          <w:sz w:val="18"/>
          <w:u w:val="none"/>
        </w:rPr>
        <w:t>(2020) paragraph 16.</w:t>
      </w:r>
    </w:p>
    <w:p>
      <w:pPr>
        <w:pStyle w:val="ListParagraph"/>
        <w:numPr>
          <w:ilvl w:val="0"/>
          <w:numId w:val="9"/>
        </w:numPr>
        <w:tabs>
          <w:tab w:pos="1684" w:val="left" w:leader="none"/>
        </w:tabs>
        <w:spacing w:line="240" w:lineRule="auto" w:before="1" w:after="0"/>
        <w:ind w:left="1684" w:right="956" w:hanging="567"/>
        <w:jc w:val="left"/>
        <w:rPr>
          <w:sz w:val="18"/>
        </w:rPr>
      </w:pPr>
      <w:r>
        <w:rPr>
          <w:sz w:val="18"/>
        </w:rPr>
        <w:t>The</w:t>
      </w:r>
      <w:r>
        <w:rPr>
          <w:spacing w:val="-3"/>
          <w:sz w:val="18"/>
        </w:rPr>
        <w:t> </w:t>
      </w:r>
      <w:r>
        <w:rPr>
          <w:sz w:val="18"/>
        </w:rPr>
        <w:t>WF</w:t>
      </w:r>
      <w:r>
        <w:rPr>
          <w:spacing w:val="-4"/>
          <w:sz w:val="18"/>
        </w:rPr>
        <w:t> </w:t>
      </w:r>
      <w:r>
        <w:rPr>
          <w:sz w:val="18"/>
        </w:rPr>
        <w:t>and</w:t>
      </w:r>
      <w:r>
        <w:rPr>
          <w:spacing w:val="-4"/>
          <w:sz w:val="18"/>
        </w:rPr>
        <w:t> </w:t>
      </w:r>
      <w:r>
        <w:rPr>
          <w:sz w:val="18"/>
        </w:rPr>
        <w:t>Annexes</w:t>
      </w:r>
      <w:r>
        <w:rPr>
          <w:spacing w:val="-4"/>
          <w:sz w:val="18"/>
        </w:rPr>
        <w:t> </w:t>
      </w:r>
      <w:r>
        <w:rPr>
          <w:sz w:val="18"/>
        </w:rPr>
        <w:t>2-5</w:t>
      </w:r>
      <w:r>
        <w:rPr>
          <w:spacing w:val="-3"/>
          <w:sz w:val="18"/>
        </w:rPr>
        <w:t> </w:t>
      </w:r>
      <w:r>
        <w:rPr>
          <w:sz w:val="18"/>
        </w:rPr>
        <w:t>specify</w:t>
      </w:r>
      <w:r>
        <w:rPr>
          <w:spacing w:val="-3"/>
          <w:sz w:val="18"/>
        </w:rPr>
        <w:t> </w:t>
      </w:r>
      <w:r>
        <w:rPr>
          <w:sz w:val="18"/>
        </w:rPr>
        <w:t>other</w:t>
      </w:r>
      <w:r>
        <w:rPr>
          <w:spacing w:val="-3"/>
          <w:sz w:val="18"/>
        </w:rPr>
        <w:t> </w:t>
      </w:r>
      <w:r>
        <w:rPr>
          <w:sz w:val="18"/>
        </w:rPr>
        <w:t>EU</w:t>
      </w:r>
      <w:r>
        <w:rPr>
          <w:spacing w:val="-3"/>
          <w:sz w:val="18"/>
        </w:rPr>
        <w:t> </w:t>
      </w:r>
      <w:r>
        <w:rPr>
          <w:sz w:val="18"/>
        </w:rPr>
        <w:t>legislative</w:t>
      </w:r>
      <w:r>
        <w:rPr>
          <w:spacing w:val="-3"/>
          <w:sz w:val="18"/>
        </w:rPr>
        <w:t> </w:t>
      </w:r>
      <w:r>
        <w:rPr>
          <w:sz w:val="18"/>
        </w:rPr>
        <w:t>measures</w:t>
      </w:r>
      <w:r>
        <w:rPr>
          <w:spacing w:val="-4"/>
          <w:sz w:val="18"/>
        </w:rPr>
        <w:t> </w:t>
      </w:r>
      <w:r>
        <w:rPr>
          <w:sz w:val="18"/>
        </w:rPr>
        <w:t>that</w:t>
      </w:r>
      <w:r>
        <w:rPr>
          <w:spacing w:val="-3"/>
          <w:sz w:val="18"/>
        </w:rPr>
        <w:t> </w:t>
      </w:r>
      <w:r>
        <w:rPr>
          <w:sz w:val="18"/>
        </w:rPr>
        <w:t>must</w:t>
      </w:r>
      <w:r>
        <w:rPr>
          <w:spacing w:val="-3"/>
          <w:sz w:val="18"/>
        </w:rPr>
        <w:t> </w:t>
      </w:r>
      <w:r>
        <w:rPr>
          <w:sz w:val="18"/>
        </w:rPr>
        <w:t>be</w:t>
      </w:r>
      <w:r>
        <w:rPr>
          <w:spacing w:val="-3"/>
          <w:sz w:val="18"/>
        </w:rPr>
        <w:t> </w:t>
      </w:r>
      <w:r>
        <w:rPr>
          <w:sz w:val="18"/>
        </w:rPr>
        <w:t>applied</w:t>
      </w:r>
      <w:r>
        <w:rPr>
          <w:spacing w:val="-4"/>
          <w:sz w:val="18"/>
        </w:rPr>
        <w:t> </w:t>
      </w:r>
      <w:r>
        <w:rPr>
          <w:sz w:val="18"/>
        </w:rPr>
        <w:t>in</w:t>
      </w:r>
      <w:r>
        <w:rPr>
          <w:spacing w:val="-4"/>
          <w:sz w:val="18"/>
        </w:rPr>
        <w:t> </w:t>
      </w:r>
      <w:r>
        <w:rPr>
          <w:sz w:val="18"/>
        </w:rPr>
        <w:t>Northern</w:t>
      </w:r>
      <w:r>
        <w:rPr>
          <w:spacing w:val="-4"/>
          <w:sz w:val="18"/>
        </w:rPr>
        <w:t> </w:t>
      </w:r>
      <w:r>
        <w:rPr>
          <w:sz w:val="18"/>
        </w:rPr>
        <w:t>Ireland</w:t>
      </w:r>
      <w:r>
        <w:rPr>
          <w:spacing w:val="-4"/>
          <w:sz w:val="18"/>
        </w:rPr>
        <w:t> </w:t>
      </w:r>
      <w:r>
        <w:rPr>
          <w:sz w:val="18"/>
        </w:rPr>
        <w:t>to</w:t>
      </w:r>
      <w:r>
        <w:rPr>
          <w:spacing w:val="-4"/>
          <w:sz w:val="18"/>
        </w:rPr>
        <w:t> </w:t>
      </w:r>
      <w:r>
        <w:rPr>
          <w:sz w:val="18"/>
        </w:rPr>
        <w:t>avoid</w:t>
      </w:r>
      <w:r>
        <w:rPr>
          <w:spacing w:val="-4"/>
          <w:sz w:val="18"/>
        </w:rPr>
        <w:t> </w:t>
      </w:r>
      <w:r>
        <w:rPr>
          <w:sz w:val="18"/>
        </w:rPr>
        <w:t>a</w:t>
      </w:r>
      <w:r>
        <w:rPr>
          <w:spacing w:val="-4"/>
          <w:sz w:val="18"/>
        </w:rPr>
        <w:t> </w:t>
      </w:r>
      <w:r>
        <w:rPr>
          <w:sz w:val="18"/>
        </w:rPr>
        <w:t>hard border</w:t>
      </w:r>
      <w:r>
        <w:rPr>
          <w:spacing w:val="-1"/>
          <w:sz w:val="18"/>
        </w:rPr>
        <w:t> </w:t>
      </w:r>
      <w:r>
        <w:rPr>
          <w:sz w:val="18"/>
        </w:rPr>
        <w:t>on</w:t>
      </w:r>
      <w:r>
        <w:rPr>
          <w:spacing w:val="-2"/>
          <w:sz w:val="18"/>
        </w:rPr>
        <w:t> </w:t>
      </w:r>
      <w:r>
        <w:rPr>
          <w:sz w:val="18"/>
        </w:rPr>
        <w:t>the</w:t>
      </w:r>
      <w:r>
        <w:rPr>
          <w:spacing w:val="-1"/>
          <w:sz w:val="18"/>
        </w:rPr>
        <w:t> </w:t>
      </w:r>
      <w:r>
        <w:rPr>
          <w:sz w:val="18"/>
        </w:rPr>
        <w:t>island</w:t>
      </w:r>
      <w:r>
        <w:rPr>
          <w:spacing w:val="-2"/>
          <w:sz w:val="18"/>
        </w:rPr>
        <w:t> </w:t>
      </w:r>
      <w:r>
        <w:rPr>
          <w:sz w:val="18"/>
        </w:rPr>
        <w:t>of</w:t>
      </w:r>
      <w:r>
        <w:rPr>
          <w:spacing w:val="-2"/>
          <w:sz w:val="18"/>
        </w:rPr>
        <w:t> </w:t>
      </w:r>
      <w:r>
        <w:rPr>
          <w:sz w:val="18"/>
        </w:rPr>
        <w:t>Ireland;</w:t>
      </w:r>
      <w:r>
        <w:rPr>
          <w:spacing w:val="-1"/>
          <w:sz w:val="18"/>
        </w:rPr>
        <w:t> </w:t>
      </w:r>
      <w:r>
        <w:rPr>
          <w:sz w:val="18"/>
        </w:rPr>
        <w:t>Annex</w:t>
      </w:r>
      <w:r>
        <w:rPr>
          <w:spacing w:val="-2"/>
          <w:sz w:val="18"/>
        </w:rPr>
        <w:t> </w:t>
      </w:r>
      <w:r>
        <w:rPr>
          <w:sz w:val="18"/>
        </w:rPr>
        <w:t>2</w:t>
      </w:r>
      <w:r>
        <w:rPr>
          <w:spacing w:val="-1"/>
          <w:sz w:val="18"/>
        </w:rPr>
        <w:t> </w:t>
      </w:r>
      <w:r>
        <w:rPr>
          <w:sz w:val="18"/>
        </w:rPr>
        <w:t>covers</w:t>
      </w:r>
      <w:r>
        <w:rPr>
          <w:spacing w:val="-2"/>
          <w:sz w:val="18"/>
        </w:rPr>
        <w:t> </w:t>
      </w:r>
      <w:r>
        <w:rPr>
          <w:sz w:val="18"/>
        </w:rPr>
        <w:t>customs</w:t>
      </w:r>
      <w:r>
        <w:rPr>
          <w:spacing w:val="-2"/>
          <w:sz w:val="18"/>
        </w:rPr>
        <w:t> </w:t>
      </w:r>
      <w:r>
        <w:rPr>
          <w:sz w:val="18"/>
        </w:rPr>
        <w:t>and</w:t>
      </w:r>
      <w:r>
        <w:rPr>
          <w:spacing w:val="-2"/>
          <w:sz w:val="18"/>
        </w:rPr>
        <w:t> </w:t>
      </w:r>
      <w:r>
        <w:rPr>
          <w:sz w:val="18"/>
        </w:rPr>
        <w:t>free</w:t>
      </w:r>
      <w:r>
        <w:rPr>
          <w:spacing w:val="-1"/>
          <w:sz w:val="18"/>
        </w:rPr>
        <w:t> </w:t>
      </w:r>
      <w:r>
        <w:rPr>
          <w:sz w:val="18"/>
        </w:rPr>
        <w:t>movement</w:t>
      </w:r>
      <w:r>
        <w:rPr>
          <w:spacing w:val="-1"/>
          <w:sz w:val="18"/>
        </w:rPr>
        <w:t> </w:t>
      </w:r>
      <w:r>
        <w:rPr>
          <w:sz w:val="18"/>
        </w:rPr>
        <w:t>of</w:t>
      </w:r>
      <w:r>
        <w:rPr>
          <w:spacing w:val="-2"/>
          <w:sz w:val="18"/>
        </w:rPr>
        <w:t> </w:t>
      </w:r>
      <w:r>
        <w:rPr>
          <w:sz w:val="18"/>
        </w:rPr>
        <w:t>goods,</w:t>
      </w:r>
      <w:r>
        <w:rPr>
          <w:spacing w:val="-1"/>
          <w:sz w:val="18"/>
        </w:rPr>
        <w:t> </w:t>
      </w:r>
      <w:r>
        <w:rPr>
          <w:sz w:val="18"/>
        </w:rPr>
        <w:t>Annex</w:t>
      </w:r>
      <w:r>
        <w:rPr>
          <w:spacing w:val="-2"/>
          <w:sz w:val="18"/>
        </w:rPr>
        <w:t> </w:t>
      </w:r>
      <w:r>
        <w:rPr>
          <w:sz w:val="18"/>
        </w:rPr>
        <w:t>3</w:t>
      </w:r>
      <w:r>
        <w:rPr>
          <w:spacing w:val="-1"/>
          <w:sz w:val="18"/>
        </w:rPr>
        <w:t> </w:t>
      </w:r>
      <w:r>
        <w:rPr>
          <w:sz w:val="18"/>
        </w:rPr>
        <w:t>VAT,</w:t>
      </w:r>
      <w:r>
        <w:rPr>
          <w:spacing w:val="-1"/>
          <w:sz w:val="18"/>
        </w:rPr>
        <w:t> </w:t>
      </w:r>
      <w:r>
        <w:rPr>
          <w:sz w:val="18"/>
        </w:rPr>
        <w:t>Annex</w:t>
      </w:r>
      <w:r>
        <w:rPr>
          <w:spacing w:val="-2"/>
          <w:sz w:val="18"/>
        </w:rPr>
        <w:t> </w:t>
      </w:r>
      <w:r>
        <w:rPr>
          <w:sz w:val="18"/>
        </w:rPr>
        <w:t>4</w:t>
      </w:r>
      <w:r>
        <w:rPr>
          <w:spacing w:val="-1"/>
          <w:sz w:val="18"/>
        </w:rPr>
        <w:t> </w:t>
      </w:r>
      <w:r>
        <w:rPr>
          <w:sz w:val="18"/>
        </w:rPr>
        <w:t>the</w:t>
      </w:r>
      <w:r>
        <w:rPr>
          <w:spacing w:val="-1"/>
          <w:sz w:val="18"/>
        </w:rPr>
        <w:t> </w:t>
      </w:r>
      <w:r>
        <w:rPr>
          <w:sz w:val="18"/>
        </w:rPr>
        <w:t>single electricity market, and Annex 5 state aid.</w:t>
      </w:r>
    </w:p>
    <w:p>
      <w:pPr>
        <w:pStyle w:val="ListParagraph"/>
        <w:numPr>
          <w:ilvl w:val="0"/>
          <w:numId w:val="9"/>
        </w:numPr>
        <w:tabs>
          <w:tab w:pos="1684" w:val="left" w:leader="none"/>
        </w:tabs>
        <w:spacing w:line="240" w:lineRule="auto" w:before="1" w:after="0"/>
        <w:ind w:left="1684" w:right="936" w:hanging="567"/>
        <w:jc w:val="both"/>
        <w:rPr>
          <w:sz w:val="18"/>
        </w:rPr>
      </w:pPr>
      <w:r>
        <w:rPr>
          <w:color w:val="1D71B8"/>
          <w:sz w:val="18"/>
          <w:u w:val="single" w:color="1D71B8"/>
        </w:rPr>
        <w:t>EU-UK</w:t>
      </w:r>
      <w:r>
        <w:rPr>
          <w:color w:val="1D71B8"/>
          <w:spacing w:val="-5"/>
          <w:sz w:val="18"/>
          <w:u w:val="single" w:color="1D71B8"/>
        </w:rPr>
        <w:t> </w:t>
      </w:r>
      <w:r>
        <w:rPr>
          <w:color w:val="1D71B8"/>
          <w:sz w:val="18"/>
          <w:u w:val="single" w:color="1D71B8"/>
        </w:rPr>
        <w:t>Withdrawal</w:t>
      </w:r>
      <w:r>
        <w:rPr>
          <w:color w:val="1D71B8"/>
          <w:spacing w:val="-5"/>
          <w:sz w:val="18"/>
          <w:u w:val="single" w:color="1D71B8"/>
        </w:rPr>
        <w:t> </w:t>
      </w:r>
      <w:r>
        <w:rPr>
          <w:color w:val="1D71B8"/>
          <w:sz w:val="18"/>
          <w:u w:val="single" w:color="1D71B8"/>
        </w:rPr>
        <w:t>Agreement,</w:t>
      </w:r>
      <w:r>
        <w:rPr>
          <w:color w:val="1D71B8"/>
          <w:spacing w:val="-5"/>
          <w:sz w:val="18"/>
          <w:u w:val="single" w:color="1D71B8"/>
        </w:rPr>
        <w:t> </w:t>
      </w:r>
      <w:r>
        <w:rPr>
          <w:color w:val="1D71B8"/>
          <w:sz w:val="18"/>
          <w:u w:val="single" w:color="1D71B8"/>
        </w:rPr>
        <w:t>including</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Protocol</w:t>
      </w:r>
      <w:r>
        <w:rPr>
          <w:color w:val="1D71B8"/>
          <w:spacing w:val="-5"/>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Ireland/Northern</w:t>
      </w:r>
      <w:r>
        <w:rPr>
          <w:color w:val="1D71B8"/>
          <w:spacing w:val="-5"/>
          <w:sz w:val="18"/>
          <w:u w:val="single" w:color="1D71B8"/>
        </w:rPr>
        <w:t> </w:t>
      </w:r>
      <w:r>
        <w:rPr>
          <w:color w:val="1D71B8"/>
          <w:sz w:val="18"/>
          <w:u w:val="single" w:color="1D71B8"/>
        </w:rPr>
        <w:t>Ireland</w:t>
      </w:r>
      <w:r>
        <w:rPr>
          <w:color w:val="1D71B8"/>
          <w:spacing w:val="-5"/>
          <w:sz w:val="18"/>
          <w:u w:val="none"/>
        </w:rPr>
        <w:t> </w:t>
      </w:r>
      <w:r>
        <w:rPr>
          <w:sz w:val="18"/>
          <w:u w:val="none"/>
        </w:rPr>
        <w:t>2019.</w:t>
      </w:r>
      <w:r>
        <w:rPr>
          <w:spacing w:val="-5"/>
          <w:sz w:val="18"/>
          <w:u w:val="none"/>
        </w:rPr>
        <w:t> </w:t>
      </w:r>
      <w:r>
        <w:rPr>
          <w:sz w:val="18"/>
          <w:u w:val="none"/>
        </w:rPr>
        <w:t>UK</w:t>
      </w:r>
      <w:r>
        <w:rPr>
          <w:spacing w:val="-5"/>
          <w:sz w:val="18"/>
          <w:u w:val="none"/>
        </w:rPr>
        <w:t> </w:t>
      </w:r>
      <w:r>
        <w:rPr>
          <w:sz w:val="18"/>
          <w:u w:val="none"/>
        </w:rPr>
        <w:t>Government,</w:t>
      </w:r>
      <w:r>
        <w:rPr>
          <w:spacing w:val="-5"/>
          <w:sz w:val="18"/>
          <w:u w:val="none"/>
        </w:rPr>
        <w:t> </w:t>
      </w:r>
      <w:r>
        <w:rPr>
          <w:color w:val="1D71B8"/>
          <w:sz w:val="18"/>
          <w:u w:val="single" w:color="1D71B8"/>
        </w:rPr>
        <w:t>Explainer:</w:t>
      </w:r>
      <w:r>
        <w:rPr>
          <w:color w:val="1D71B8"/>
          <w:spacing w:val="-5"/>
          <w:sz w:val="18"/>
          <w:u w:val="single" w:color="1D71B8"/>
        </w:rPr>
        <w:t> </w:t>
      </w:r>
      <w:r>
        <w:rPr>
          <w:color w:val="1D71B8"/>
          <w:sz w:val="18"/>
          <w:u w:val="single" w:color="1D71B8"/>
        </w:rPr>
        <w:t>UK</w:t>
      </w:r>
      <w:r>
        <w:rPr>
          <w:color w:val="1D71B8"/>
          <w:sz w:val="18"/>
          <w:u w:val="none"/>
        </w:rPr>
        <w:t> </w:t>
      </w:r>
      <w:r>
        <w:rPr>
          <w:color w:val="1D71B8"/>
          <w:sz w:val="18"/>
          <w:u w:val="single" w:color="1D71B8"/>
        </w:rPr>
        <w:t>Government</w:t>
      </w:r>
      <w:r>
        <w:rPr>
          <w:color w:val="1D71B8"/>
          <w:spacing w:val="-3"/>
          <w:sz w:val="18"/>
          <w:u w:val="single" w:color="1D71B8"/>
        </w:rPr>
        <w:t> </w:t>
      </w:r>
      <w:r>
        <w:rPr>
          <w:color w:val="1D71B8"/>
          <w:sz w:val="18"/>
          <w:u w:val="single" w:color="1D71B8"/>
        </w:rPr>
        <w:t>commitment</w:t>
      </w:r>
      <w:r>
        <w:rPr>
          <w:color w:val="1D71B8"/>
          <w:spacing w:val="-3"/>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no</w:t>
      </w:r>
      <w:r>
        <w:rPr>
          <w:color w:val="1D71B8"/>
          <w:spacing w:val="-4"/>
          <w:sz w:val="18"/>
          <w:u w:val="single" w:color="1D71B8"/>
        </w:rPr>
        <w:t> </w:t>
      </w:r>
      <w:r>
        <w:rPr>
          <w:color w:val="1D71B8"/>
          <w:sz w:val="18"/>
          <w:u w:val="single" w:color="1D71B8"/>
        </w:rPr>
        <w:t>diminution</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safeguards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opportunity</w:t>
      </w:r>
      <w:r>
        <w:rPr>
          <w:color w:val="1D71B8"/>
          <w:spacing w:val="-3"/>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Northern</w:t>
      </w:r>
      <w:r>
        <w:rPr>
          <w:color w:val="1D71B8"/>
          <w:spacing w:val="-4"/>
          <w:sz w:val="18"/>
          <w:u w:val="single" w:color="1D71B8"/>
        </w:rPr>
        <w:t> </w:t>
      </w:r>
      <w:r>
        <w:rPr>
          <w:color w:val="1D71B8"/>
          <w:sz w:val="18"/>
          <w:u w:val="single" w:color="1D71B8"/>
        </w:rPr>
        <w:t>Ireland</w:t>
      </w:r>
      <w:r>
        <w:rPr>
          <w:color w:val="1D71B8"/>
          <w:spacing w:val="-3"/>
          <w:sz w:val="18"/>
          <w:u w:val="none"/>
        </w:rPr>
        <w:t> </w:t>
      </w:r>
      <w:r>
        <w:rPr>
          <w:sz w:val="18"/>
          <w:u w:val="none"/>
        </w:rPr>
        <w:t>(2020) paragraph</w:t>
      </w:r>
      <w:r>
        <w:rPr>
          <w:spacing w:val="-2"/>
          <w:sz w:val="18"/>
          <w:u w:val="none"/>
        </w:rPr>
        <w:t> </w:t>
      </w:r>
      <w:r>
        <w:rPr>
          <w:sz w:val="18"/>
          <w:u w:val="none"/>
        </w:rPr>
        <w:t>29.</w:t>
      </w:r>
    </w:p>
    <w:p>
      <w:pPr>
        <w:spacing w:after="0" w:line="240" w:lineRule="auto"/>
        <w:jc w:val="both"/>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60320">
                <wp:simplePos x="0" y="0"/>
                <wp:positionH relativeFrom="page">
                  <wp:posOffset>0</wp:posOffset>
                </wp:positionH>
                <wp:positionV relativeFrom="page">
                  <wp:posOffset>0</wp:posOffset>
                </wp:positionV>
                <wp:extent cx="7560309" cy="1155065"/>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7560309" cy="1155065"/>
                          <a:chExt cx="7560309" cy="1155065"/>
                        </a:xfrm>
                      </wpg:grpSpPr>
                      <wps:wsp>
                        <wps:cNvPr id="302" name="Graphic 302"/>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303" name="Graphic 303"/>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56160" id="docshapegroup237" coordorigin="0,0" coordsize="11906,1819">
                <v:shape style="position:absolute;left:0;top:0;width:11906;height:1819" id="docshape23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22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Article</w:t>
      </w:r>
      <w:r>
        <w:rPr>
          <w:spacing w:val="-3"/>
        </w:rPr>
        <w:t> </w:t>
      </w:r>
      <w:r>
        <w:rPr/>
        <w:t>13(2)</w:t>
      </w:r>
      <w:r>
        <w:rPr>
          <w:spacing w:val="-4"/>
        </w:rPr>
        <w:t> </w:t>
      </w:r>
      <w:r>
        <w:rPr/>
        <w:t>WF</w:t>
      </w:r>
      <w:r>
        <w:rPr>
          <w:spacing w:val="-4"/>
        </w:rPr>
        <w:t> </w:t>
      </w:r>
      <w:r>
        <w:rPr/>
        <w:t>provides</w:t>
      </w:r>
      <w:r>
        <w:rPr>
          <w:spacing w:val="-4"/>
        </w:rPr>
        <w:t> </w:t>
      </w:r>
      <w:r>
        <w:rPr/>
        <w:t>a</w:t>
      </w:r>
      <w:r>
        <w:rPr>
          <w:spacing w:val="-4"/>
        </w:rPr>
        <w:t> </w:t>
      </w:r>
      <w:r>
        <w:rPr/>
        <w:t>slightly</w:t>
      </w:r>
      <w:r>
        <w:rPr>
          <w:spacing w:val="-3"/>
        </w:rPr>
        <w:t> </w:t>
      </w:r>
      <w:r>
        <w:rPr/>
        <w:t>different</w:t>
      </w:r>
      <w:r>
        <w:rPr>
          <w:spacing w:val="-3"/>
        </w:rPr>
        <w:t> </w:t>
      </w:r>
      <w:r>
        <w:rPr/>
        <w:t>approach</w:t>
      </w:r>
      <w:r>
        <w:rPr>
          <w:spacing w:val="-4"/>
        </w:rPr>
        <w:t> </w:t>
      </w:r>
      <w:r>
        <w:rPr/>
        <w:t>to</w:t>
      </w:r>
      <w:r>
        <w:rPr>
          <w:spacing w:val="-4"/>
        </w:rPr>
        <w:t> </w:t>
      </w:r>
      <w:r>
        <w:rPr/>
        <w:t>the</w:t>
      </w:r>
      <w:r>
        <w:rPr>
          <w:spacing w:val="-3"/>
        </w:rPr>
        <w:t> </w:t>
      </w:r>
      <w:r>
        <w:rPr/>
        <w:t>role</w:t>
      </w:r>
      <w:r>
        <w:rPr>
          <w:spacing w:val="-3"/>
        </w:rPr>
        <w:t> </w:t>
      </w:r>
      <w:r>
        <w:rPr/>
        <w:t>of</w:t>
      </w:r>
      <w:r>
        <w:rPr>
          <w:spacing w:val="-4"/>
        </w:rPr>
        <w:t> </w:t>
      </w:r>
      <w:r>
        <w:rPr/>
        <w:t>the</w:t>
      </w:r>
      <w:r>
        <w:rPr>
          <w:spacing w:val="-3"/>
        </w:rPr>
        <w:t> </w:t>
      </w:r>
      <w:r>
        <w:rPr/>
        <w:t>case</w:t>
      </w:r>
      <w:r>
        <w:rPr>
          <w:spacing w:val="-3"/>
        </w:rPr>
        <w:t> </w:t>
      </w:r>
      <w:r>
        <w:rPr/>
        <w:t>law</w:t>
      </w:r>
      <w:r>
        <w:rPr>
          <w:spacing w:val="-3"/>
        </w:rPr>
        <w:t> </w:t>
      </w:r>
      <w:r>
        <w:rPr/>
        <w:t>of the CJEU than that provided for in Article 4 of the Withdrawal Agreement. Article 13(2)</w:t>
      </w:r>
      <w:r>
        <w:rPr>
          <w:spacing w:val="-6"/>
        </w:rPr>
        <w:t> </w:t>
      </w:r>
      <w:r>
        <w:rPr/>
        <w:t>requires</w:t>
      </w:r>
      <w:r>
        <w:rPr>
          <w:spacing w:val="-6"/>
        </w:rPr>
        <w:t> </w:t>
      </w:r>
      <w:r>
        <w:rPr/>
        <w:t>that</w:t>
      </w:r>
      <w:r>
        <w:rPr>
          <w:spacing w:val="-6"/>
        </w:rPr>
        <w:t> </w:t>
      </w:r>
      <w:r>
        <w:rPr/>
        <w:t>Union</w:t>
      </w:r>
      <w:r>
        <w:rPr>
          <w:spacing w:val="-6"/>
        </w:rPr>
        <w:t> </w:t>
      </w:r>
      <w:r>
        <w:rPr/>
        <w:t>law</w:t>
      </w:r>
      <w:r>
        <w:rPr>
          <w:spacing w:val="-6"/>
        </w:rPr>
        <w:t> </w:t>
      </w:r>
      <w:r>
        <w:rPr/>
        <w:t>or</w:t>
      </w:r>
      <w:r>
        <w:rPr>
          <w:spacing w:val="-6"/>
        </w:rPr>
        <w:t> </w:t>
      </w:r>
      <w:r>
        <w:rPr/>
        <w:t>concepts</w:t>
      </w:r>
      <w:r>
        <w:rPr>
          <w:spacing w:val="-6"/>
        </w:rPr>
        <w:t> </w:t>
      </w:r>
      <w:r>
        <w:rPr/>
        <w:t>be</w:t>
      </w:r>
      <w:r>
        <w:rPr>
          <w:spacing w:val="-6"/>
        </w:rPr>
        <w:t> </w:t>
      </w:r>
      <w:r>
        <w:rPr/>
        <w:t>interpreted</w:t>
      </w:r>
      <w:r>
        <w:rPr>
          <w:spacing w:val="-6"/>
        </w:rPr>
        <w:t> </w:t>
      </w:r>
      <w:r>
        <w:rPr/>
        <w:t>and</w:t>
      </w:r>
      <w:r>
        <w:rPr>
          <w:spacing w:val="-6"/>
        </w:rPr>
        <w:t> </w:t>
      </w:r>
      <w:r>
        <w:rPr/>
        <w:t>applied</w:t>
      </w:r>
      <w:r>
        <w:rPr>
          <w:spacing w:val="-6"/>
        </w:rPr>
        <w:t> </w:t>
      </w:r>
      <w:r>
        <w:rPr/>
        <w:t>in</w:t>
      </w:r>
      <w:r>
        <w:rPr>
          <w:spacing w:val="-6"/>
        </w:rPr>
        <w:t> </w:t>
      </w:r>
      <w:r>
        <w:rPr/>
        <w:t>accordance with CJEU case law; unlike Article 4 there is no reference to a difference between judgments handed down before the end of the transition period and after.</w:t>
      </w:r>
    </w:p>
    <w:p>
      <w:pPr>
        <w:pStyle w:val="BodyText"/>
        <w:spacing w:line="232" w:lineRule="auto" w:before="275"/>
        <w:ind w:left="720" w:right="1327"/>
      </w:pPr>
      <w:r>
        <w:rPr/>
        <w:t>The commitment to keeping pace stems from Article 13(3) WF which specifies that</w:t>
      </w:r>
      <w:r>
        <w:rPr>
          <w:spacing w:val="-6"/>
        </w:rPr>
        <w:t> </w:t>
      </w:r>
      <w:r>
        <w:rPr/>
        <w:t>any</w:t>
      </w:r>
      <w:r>
        <w:rPr>
          <w:spacing w:val="-6"/>
        </w:rPr>
        <w:t> </w:t>
      </w:r>
      <w:r>
        <w:rPr/>
        <w:t>reference</w:t>
      </w:r>
      <w:r>
        <w:rPr>
          <w:spacing w:val="-6"/>
        </w:rPr>
        <w:t> </w:t>
      </w:r>
      <w:r>
        <w:rPr/>
        <w:t>to</w:t>
      </w:r>
      <w:r>
        <w:rPr>
          <w:spacing w:val="-7"/>
        </w:rPr>
        <w:t> </w:t>
      </w:r>
      <w:r>
        <w:rPr/>
        <w:t>a</w:t>
      </w:r>
      <w:r>
        <w:rPr>
          <w:spacing w:val="-7"/>
        </w:rPr>
        <w:t> </w:t>
      </w:r>
      <w:r>
        <w:rPr/>
        <w:t>Union</w:t>
      </w:r>
      <w:r>
        <w:rPr>
          <w:spacing w:val="-7"/>
        </w:rPr>
        <w:t> </w:t>
      </w:r>
      <w:r>
        <w:rPr/>
        <w:t>act</w:t>
      </w:r>
      <w:r>
        <w:rPr>
          <w:spacing w:val="-6"/>
        </w:rPr>
        <w:t> </w:t>
      </w:r>
      <w:r>
        <w:rPr/>
        <w:t>in</w:t>
      </w:r>
      <w:r>
        <w:rPr>
          <w:spacing w:val="-7"/>
        </w:rPr>
        <w:t> </w:t>
      </w:r>
      <w:r>
        <w:rPr/>
        <w:t>the</w:t>
      </w:r>
      <w:r>
        <w:rPr>
          <w:spacing w:val="-6"/>
        </w:rPr>
        <w:t> </w:t>
      </w:r>
      <w:r>
        <w:rPr/>
        <w:t>Protocol</w:t>
      </w:r>
      <w:r>
        <w:rPr>
          <w:spacing w:val="-7"/>
        </w:rPr>
        <w:t> </w:t>
      </w:r>
      <w:r>
        <w:rPr/>
        <w:t>refers</w:t>
      </w:r>
      <w:r>
        <w:rPr>
          <w:spacing w:val="-7"/>
        </w:rPr>
        <w:t> </w:t>
      </w:r>
      <w:r>
        <w:rPr/>
        <w:t>to</w:t>
      </w:r>
      <w:r>
        <w:rPr>
          <w:spacing w:val="-7"/>
        </w:rPr>
        <w:t> </w:t>
      </w:r>
      <w:r>
        <w:rPr/>
        <w:t>that</w:t>
      </w:r>
      <w:r>
        <w:rPr>
          <w:spacing w:val="-6"/>
        </w:rPr>
        <w:t> </w:t>
      </w:r>
      <w:r>
        <w:rPr/>
        <w:t>act</w:t>
      </w:r>
      <w:r>
        <w:rPr>
          <w:spacing w:val="-6"/>
        </w:rPr>
        <w:t> </w:t>
      </w:r>
      <w:r>
        <w:rPr/>
        <w:t>‘as</w:t>
      </w:r>
      <w:r>
        <w:rPr>
          <w:spacing w:val="-7"/>
        </w:rPr>
        <w:t> </w:t>
      </w:r>
      <w:r>
        <w:rPr/>
        <w:t>amended</w:t>
      </w:r>
      <w:r>
        <w:rPr>
          <w:spacing w:val="-7"/>
        </w:rPr>
        <w:t> </w:t>
      </w:r>
      <w:r>
        <w:rPr/>
        <w:t>or replaced’. This means that when, after the UK’s exit from the EU, the EU amends or replaces one of the acts in Annex 1 then the UK must ensure that the law</w:t>
      </w:r>
    </w:p>
    <w:p>
      <w:pPr>
        <w:pStyle w:val="BodyText"/>
        <w:spacing w:line="232" w:lineRule="auto"/>
        <w:ind w:left="720" w:right="1087"/>
      </w:pPr>
      <w:r>
        <w:rPr/>
        <w:t>in Northern Ireland reflects this.</w:t>
      </w:r>
      <w:r>
        <w:rPr>
          <w:vertAlign w:val="superscript"/>
        </w:rPr>
        <w:t>55</w:t>
      </w:r>
      <w:r>
        <w:rPr>
          <w:vertAlign w:val="baseline"/>
        </w:rPr>
        <w:t> The UK Government has thus committed to ensuring that NI equality law keeps pace with any changes made by the EU that improve the minimum levels of protection available under the Annex 1 Equality Directives, on or after 1 January 2021. Article 13(4) of the original Protocol also allows for the Joint Committee</w:t>
      </w:r>
      <w:r>
        <w:rPr>
          <w:vertAlign w:val="superscript"/>
        </w:rPr>
        <w:t>56</w:t>
      </w:r>
      <w:r>
        <w:rPr>
          <w:vertAlign w:val="baseline"/>
        </w:rPr>
        <w:t> to add a Union act to one of the Annexes to the Protocol</w:t>
      </w:r>
      <w:r>
        <w:rPr>
          <w:spacing w:val="-5"/>
          <w:vertAlign w:val="baseline"/>
        </w:rPr>
        <w:t> </w:t>
      </w:r>
      <w:r>
        <w:rPr>
          <w:vertAlign w:val="baseline"/>
        </w:rPr>
        <w:t>(on</w:t>
      </w:r>
      <w:r>
        <w:rPr>
          <w:spacing w:val="-5"/>
          <w:vertAlign w:val="baseline"/>
        </w:rPr>
        <w:t> </w:t>
      </w:r>
      <w:r>
        <w:rPr>
          <w:vertAlign w:val="baseline"/>
        </w:rPr>
        <w:t>changes</w:t>
      </w:r>
      <w:r>
        <w:rPr>
          <w:spacing w:val="-5"/>
          <w:vertAlign w:val="baseline"/>
        </w:rPr>
        <w:t> </w:t>
      </w:r>
      <w:r>
        <w:rPr>
          <w:vertAlign w:val="baseline"/>
        </w:rPr>
        <w:t>to</w:t>
      </w:r>
      <w:r>
        <w:rPr>
          <w:spacing w:val="-5"/>
          <w:vertAlign w:val="baseline"/>
        </w:rPr>
        <w:t> </w:t>
      </w:r>
      <w:r>
        <w:rPr>
          <w:vertAlign w:val="baseline"/>
        </w:rPr>
        <w:t>the</w:t>
      </w:r>
      <w:r>
        <w:rPr>
          <w:spacing w:val="-4"/>
          <w:vertAlign w:val="baseline"/>
        </w:rPr>
        <w:t> </w:t>
      </w:r>
      <w:r>
        <w:rPr>
          <w:vertAlign w:val="baseline"/>
        </w:rPr>
        <w:t>workings</w:t>
      </w:r>
      <w:r>
        <w:rPr>
          <w:spacing w:val="-5"/>
          <w:vertAlign w:val="baseline"/>
        </w:rPr>
        <w:t> </w:t>
      </w:r>
      <w:r>
        <w:rPr>
          <w:vertAlign w:val="baseline"/>
        </w:rPr>
        <w:t>of</w:t>
      </w:r>
      <w:r>
        <w:rPr>
          <w:spacing w:val="-5"/>
          <w:vertAlign w:val="baseline"/>
        </w:rPr>
        <w:t> </w:t>
      </w:r>
      <w:r>
        <w:rPr>
          <w:vertAlign w:val="baseline"/>
        </w:rPr>
        <w:t>Article</w:t>
      </w:r>
      <w:r>
        <w:rPr>
          <w:spacing w:val="-4"/>
          <w:vertAlign w:val="baseline"/>
        </w:rPr>
        <w:t> </w:t>
      </w:r>
      <w:r>
        <w:rPr>
          <w:vertAlign w:val="baseline"/>
        </w:rPr>
        <w:t>13(3)</w:t>
      </w:r>
      <w:r>
        <w:rPr>
          <w:spacing w:val="-5"/>
          <w:vertAlign w:val="baseline"/>
        </w:rPr>
        <w:t> </w:t>
      </w:r>
      <w:r>
        <w:rPr>
          <w:vertAlign w:val="baseline"/>
        </w:rPr>
        <w:t>and</w:t>
      </w:r>
      <w:r>
        <w:rPr>
          <w:spacing w:val="-5"/>
          <w:vertAlign w:val="baseline"/>
        </w:rPr>
        <w:t> </w:t>
      </w:r>
      <w:r>
        <w:rPr>
          <w:vertAlign w:val="baseline"/>
        </w:rPr>
        <w:t>13(4)</w:t>
      </w:r>
      <w:r>
        <w:rPr>
          <w:spacing w:val="-5"/>
          <w:vertAlign w:val="baseline"/>
        </w:rPr>
        <w:t> </w:t>
      </w:r>
      <w:r>
        <w:rPr>
          <w:vertAlign w:val="baseline"/>
        </w:rPr>
        <w:t>see</w:t>
      </w:r>
      <w:r>
        <w:rPr>
          <w:spacing w:val="-4"/>
          <w:vertAlign w:val="baseline"/>
        </w:rPr>
        <w:t> </w:t>
      </w:r>
      <w:r>
        <w:rPr>
          <w:vertAlign w:val="baseline"/>
        </w:rPr>
        <w:t>later</w:t>
      </w:r>
      <w:r>
        <w:rPr>
          <w:spacing w:val="-4"/>
          <w:vertAlign w:val="baseline"/>
        </w:rPr>
        <w:t> </w:t>
      </w:r>
      <w:r>
        <w:rPr>
          <w:vertAlign w:val="baseline"/>
        </w:rPr>
        <w:t>under</w:t>
      </w:r>
      <w:r>
        <w:rPr>
          <w:spacing w:val="-4"/>
          <w:vertAlign w:val="baseline"/>
        </w:rPr>
        <w:t> </w:t>
      </w:r>
      <w:r>
        <w:rPr>
          <w:vertAlign w:val="baseline"/>
        </w:rPr>
        <w:t>the Windsor Framework).</w:t>
      </w:r>
    </w:p>
    <w:p>
      <w:pPr>
        <w:pStyle w:val="BodyText"/>
        <w:spacing w:line="232" w:lineRule="auto" w:before="267"/>
        <w:ind w:left="720" w:right="1319"/>
        <w:jc w:val="both"/>
      </w:pPr>
      <w:r>
        <w:rPr/>
        <w:t>Article</w:t>
      </w:r>
      <w:r>
        <w:rPr>
          <w:spacing w:val="-6"/>
        </w:rPr>
        <w:t> </w:t>
      </w:r>
      <w:r>
        <w:rPr/>
        <w:t>2</w:t>
      </w:r>
      <w:r>
        <w:rPr>
          <w:spacing w:val="-6"/>
        </w:rPr>
        <w:t> </w:t>
      </w:r>
      <w:r>
        <w:rPr/>
        <w:t>WF</w:t>
      </w:r>
      <w:r>
        <w:rPr>
          <w:spacing w:val="-7"/>
        </w:rPr>
        <w:t> </w:t>
      </w:r>
      <w:r>
        <w:rPr/>
        <w:t>is</w:t>
      </w:r>
      <w:r>
        <w:rPr>
          <w:spacing w:val="-7"/>
        </w:rPr>
        <w:t> </w:t>
      </w:r>
      <w:r>
        <w:rPr/>
        <w:t>not</w:t>
      </w:r>
      <w:r>
        <w:rPr>
          <w:spacing w:val="-6"/>
        </w:rPr>
        <w:t> </w:t>
      </w:r>
      <w:r>
        <w:rPr/>
        <w:t>subject</w:t>
      </w:r>
      <w:r>
        <w:rPr>
          <w:spacing w:val="-6"/>
        </w:rPr>
        <w:t> </w:t>
      </w:r>
      <w:r>
        <w:rPr/>
        <w:t>to</w:t>
      </w:r>
      <w:r>
        <w:rPr>
          <w:spacing w:val="-7"/>
        </w:rPr>
        <w:t> </w:t>
      </w:r>
      <w:r>
        <w:rPr/>
        <w:t>the</w:t>
      </w:r>
      <w:r>
        <w:rPr>
          <w:spacing w:val="-6"/>
        </w:rPr>
        <w:t> </w:t>
      </w:r>
      <w:r>
        <w:rPr/>
        <w:t>democratic</w:t>
      </w:r>
      <w:r>
        <w:rPr>
          <w:spacing w:val="-6"/>
        </w:rPr>
        <w:t> </w:t>
      </w:r>
      <w:r>
        <w:rPr/>
        <w:t>consent</w:t>
      </w:r>
      <w:r>
        <w:rPr>
          <w:spacing w:val="-6"/>
        </w:rPr>
        <w:t> </w:t>
      </w:r>
      <w:r>
        <w:rPr/>
        <w:t>mechanism</w:t>
      </w:r>
      <w:r>
        <w:rPr>
          <w:spacing w:val="-6"/>
        </w:rPr>
        <w:t> </w:t>
      </w:r>
      <w:r>
        <w:rPr/>
        <w:t>in</w:t>
      </w:r>
      <w:r>
        <w:rPr>
          <w:spacing w:val="-7"/>
        </w:rPr>
        <w:t> </w:t>
      </w:r>
      <w:r>
        <w:rPr/>
        <w:t>Article</w:t>
      </w:r>
      <w:r>
        <w:rPr>
          <w:spacing w:val="-6"/>
        </w:rPr>
        <w:t> </w:t>
      </w:r>
      <w:r>
        <w:rPr/>
        <w:t>18</w:t>
      </w:r>
      <w:r>
        <w:rPr>
          <w:spacing w:val="-6"/>
        </w:rPr>
        <w:t> </w:t>
      </w:r>
      <w:r>
        <w:rPr/>
        <w:t>WF. So</w:t>
      </w:r>
      <w:r>
        <w:rPr>
          <w:spacing w:val="-3"/>
        </w:rPr>
        <w:t> </w:t>
      </w:r>
      <w:r>
        <w:rPr/>
        <w:t>even</w:t>
      </w:r>
      <w:r>
        <w:rPr>
          <w:spacing w:val="-3"/>
        </w:rPr>
        <w:t> </w:t>
      </w:r>
      <w:r>
        <w:rPr/>
        <w:t>if</w:t>
      </w:r>
      <w:r>
        <w:rPr>
          <w:spacing w:val="-3"/>
        </w:rPr>
        <w:t> </w:t>
      </w:r>
      <w:r>
        <w:rPr/>
        <w:t>the</w:t>
      </w:r>
      <w:r>
        <w:rPr>
          <w:spacing w:val="-2"/>
        </w:rPr>
        <w:t> </w:t>
      </w:r>
      <w:r>
        <w:rPr/>
        <w:t>Assembly</w:t>
      </w:r>
      <w:r>
        <w:rPr>
          <w:spacing w:val="-2"/>
        </w:rPr>
        <w:t> </w:t>
      </w:r>
      <w:r>
        <w:rPr/>
        <w:t>votes</w:t>
      </w:r>
      <w:r>
        <w:rPr>
          <w:spacing w:val="-3"/>
        </w:rPr>
        <w:t> </w:t>
      </w:r>
      <w:r>
        <w:rPr/>
        <w:t>to</w:t>
      </w:r>
      <w:r>
        <w:rPr>
          <w:spacing w:val="-3"/>
        </w:rPr>
        <w:t> </w:t>
      </w:r>
      <w:r>
        <w:rPr/>
        <w:t>end</w:t>
      </w:r>
      <w:r>
        <w:rPr>
          <w:spacing w:val="-3"/>
        </w:rPr>
        <w:t> </w:t>
      </w:r>
      <w:r>
        <w:rPr/>
        <w:t>the</w:t>
      </w:r>
      <w:r>
        <w:rPr>
          <w:spacing w:val="-2"/>
        </w:rPr>
        <w:t> </w:t>
      </w:r>
      <w:r>
        <w:rPr/>
        <w:t>applications</w:t>
      </w:r>
      <w:r>
        <w:rPr>
          <w:spacing w:val="-3"/>
        </w:rPr>
        <w:t> </w:t>
      </w:r>
      <w:r>
        <w:rPr/>
        <w:t>of</w:t>
      </w:r>
      <w:r>
        <w:rPr>
          <w:spacing w:val="-3"/>
        </w:rPr>
        <w:t> </w:t>
      </w:r>
      <w:r>
        <w:rPr/>
        <w:t>Articles</w:t>
      </w:r>
      <w:r>
        <w:rPr>
          <w:spacing w:val="-3"/>
        </w:rPr>
        <w:t> </w:t>
      </w:r>
      <w:r>
        <w:rPr/>
        <w:t>5-10</w:t>
      </w:r>
      <w:r>
        <w:rPr>
          <w:spacing w:val="-2"/>
        </w:rPr>
        <w:t> </w:t>
      </w:r>
      <w:r>
        <w:rPr/>
        <w:t>WF,</w:t>
      </w:r>
      <w:r>
        <w:rPr>
          <w:spacing w:val="-2"/>
        </w:rPr>
        <w:t> </w:t>
      </w:r>
      <w:r>
        <w:rPr/>
        <w:t>this</w:t>
      </w:r>
      <w:r>
        <w:rPr>
          <w:spacing w:val="-3"/>
        </w:rPr>
        <w:t> </w:t>
      </w:r>
      <w:r>
        <w:rPr/>
        <w:t>will not affect the applicability of the Article 2 requirements.</w:t>
      </w:r>
    </w:p>
    <w:p>
      <w:pPr>
        <w:pStyle w:val="BodyText"/>
        <w:spacing w:line="232" w:lineRule="auto" w:before="279"/>
        <w:ind w:left="720" w:right="1493"/>
      </w:pPr>
      <w:r>
        <w:rPr/>
        <w:t>The UK has implemented its Article 2 obligations in the European Union (Withdrawal Agreement) Act 2020. Schedule 3 of this Act amends the Northern Ireland Act 1998 to provide that the Assembly cannot legislate incompatibly with Article 2(1)</w:t>
      </w:r>
      <w:r>
        <w:rPr>
          <w:vertAlign w:val="superscript"/>
        </w:rPr>
        <w:t>57</w:t>
      </w:r>
      <w:r>
        <w:rPr>
          <w:vertAlign w:val="baseline"/>
        </w:rPr>
        <w:t> and similarly the Executive must not act incompatibly with Article 2(1).</w:t>
      </w:r>
      <w:r>
        <w:rPr>
          <w:vertAlign w:val="superscript"/>
        </w:rPr>
        <w:t>58</w:t>
      </w:r>
      <w:r>
        <w:rPr>
          <w:vertAlign w:val="baseline"/>
        </w:rPr>
        <w:t> The 2020 Act also amends the European Union (Withdrawal) Act 2018,</w:t>
      </w:r>
      <w:r>
        <w:rPr>
          <w:spacing w:val="-3"/>
          <w:vertAlign w:val="baseline"/>
        </w:rPr>
        <w:t> </w:t>
      </w:r>
      <w:r>
        <w:rPr>
          <w:vertAlign w:val="baseline"/>
        </w:rPr>
        <w:t>inserting</w:t>
      </w:r>
      <w:r>
        <w:rPr>
          <w:spacing w:val="-3"/>
          <w:vertAlign w:val="baseline"/>
        </w:rPr>
        <w:t> </w:t>
      </w:r>
      <w:r>
        <w:rPr>
          <w:vertAlign w:val="baseline"/>
        </w:rPr>
        <w:t>a</w:t>
      </w:r>
      <w:r>
        <w:rPr>
          <w:spacing w:val="-4"/>
          <w:vertAlign w:val="baseline"/>
        </w:rPr>
        <w:t> </w:t>
      </w:r>
      <w:r>
        <w:rPr>
          <w:vertAlign w:val="baseline"/>
        </w:rPr>
        <w:t>new</w:t>
      </w:r>
      <w:r>
        <w:rPr>
          <w:spacing w:val="-3"/>
          <w:vertAlign w:val="baseline"/>
        </w:rPr>
        <w:t> </w:t>
      </w:r>
      <w:r>
        <w:rPr>
          <w:vertAlign w:val="baseline"/>
        </w:rPr>
        <w:t>section</w:t>
      </w:r>
      <w:r>
        <w:rPr>
          <w:spacing w:val="-4"/>
          <w:vertAlign w:val="baseline"/>
        </w:rPr>
        <w:t> </w:t>
      </w:r>
      <w:r>
        <w:rPr>
          <w:vertAlign w:val="baseline"/>
        </w:rPr>
        <w:t>7A.</w:t>
      </w:r>
      <w:r>
        <w:rPr>
          <w:spacing w:val="-4"/>
          <w:vertAlign w:val="baseline"/>
        </w:rPr>
        <w:t> </w:t>
      </w:r>
      <w:r>
        <w:rPr>
          <w:vertAlign w:val="baseline"/>
        </w:rPr>
        <w:t>Under</w:t>
      </w:r>
      <w:r>
        <w:rPr>
          <w:spacing w:val="-3"/>
          <w:vertAlign w:val="baseline"/>
        </w:rPr>
        <w:t> </w:t>
      </w:r>
      <w:r>
        <w:rPr>
          <w:vertAlign w:val="baseline"/>
        </w:rPr>
        <w:t>section</w:t>
      </w:r>
      <w:r>
        <w:rPr>
          <w:spacing w:val="-4"/>
          <w:vertAlign w:val="baseline"/>
        </w:rPr>
        <w:t> </w:t>
      </w:r>
      <w:r>
        <w:rPr>
          <w:vertAlign w:val="baseline"/>
        </w:rPr>
        <w:t>7A,</w:t>
      </w:r>
      <w:r>
        <w:rPr>
          <w:spacing w:val="-3"/>
          <w:vertAlign w:val="baseline"/>
        </w:rPr>
        <w:t> </w:t>
      </w:r>
      <w:r>
        <w:rPr>
          <w:vertAlign w:val="baseline"/>
        </w:rPr>
        <w:t>the</w:t>
      </w:r>
      <w:r>
        <w:rPr>
          <w:spacing w:val="-3"/>
          <w:vertAlign w:val="baseline"/>
        </w:rPr>
        <w:t> </w:t>
      </w:r>
      <w:r>
        <w:rPr>
          <w:vertAlign w:val="baseline"/>
        </w:rPr>
        <w:t>rights</w:t>
      </w:r>
      <w:r>
        <w:rPr>
          <w:spacing w:val="-4"/>
          <w:vertAlign w:val="baseline"/>
        </w:rPr>
        <w:t> </w:t>
      </w:r>
      <w:r>
        <w:rPr>
          <w:vertAlign w:val="baseline"/>
        </w:rPr>
        <w:t>and</w:t>
      </w:r>
      <w:r>
        <w:rPr>
          <w:spacing w:val="-4"/>
          <w:vertAlign w:val="baseline"/>
        </w:rPr>
        <w:t> </w:t>
      </w:r>
      <w:r>
        <w:rPr>
          <w:vertAlign w:val="baseline"/>
        </w:rPr>
        <w:t>powers</w:t>
      </w:r>
      <w:r>
        <w:rPr>
          <w:spacing w:val="-4"/>
          <w:vertAlign w:val="baseline"/>
        </w:rPr>
        <w:t> </w:t>
      </w:r>
      <w:r>
        <w:rPr>
          <w:vertAlign w:val="baseline"/>
        </w:rPr>
        <w:t>in</w:t>
      </w:r>
      <w:r>
        <w:rPr>
          <w:spacing w:val="-4"/>
          <w:vertAlign w:val="baseline"/>
        </w:rPr>
        <w:t> </w:t>
      </w:r>
      <w:r>
        <w:rPr>
          <w:vertAlign w:val="baseline"/>
        </w:rPr>
        <w:t>the Withdrawal Agreement are given legal effect in the UK and significantly, ‘every enactment (including an enactment contained in this Act) is to be read and has</w:t>
      </w:r>
    </w:p>
    <w:p>
      <w:pPr>
        <w:pStyle w:val="BodyText"/>
        <w:spacing w:line="232" w:lineRule="auto"/>
        <w:ind w:left="720" w:right="1087"/>
      </w:pPr>
      <w:r>
        <w:rPr/>
        <w:t>effect subject to’ the subsection giving legal effects to the right and powers in the Withdrawal Agreement.</w:t>
      </w:r>
      <w:r>
        <w:rPr>
          <w:vertAlign w:val="superscript"/>
        </w:rPr>
        <w:t>59</w:t>
      </w:r>
      <w:r>
        <w:rPr>
          <w:vertAlign w:val="baseline"/>
        </w:rPr>
        <w:t> This in effect replicates the principle of supremacy that had</w:t>
      </w:r>
      <w:r>
        <w:rPr>
          <w:spacing w:val="-6"/>
          <w:vertAlign w:val="baseline"/>
        </w:rPr>
        <w:t> </w:t>
      </w:r>
      <w:r>
        <w:rPr>
          <w:vertAlign w:val="baseline"/>
        </w:rPr>
        <w:t>previously</w:t>
      </w:r>
      <w:r>
        <w:rPr>
          <w:spacing w:val="-5"/>
          <w:vertAlign w:val="baseline"/>
        </w:rPr>
        <w:t> </w:t>
      </w:r>
      <w:r>
        <w:rPr>
          <w:vertAlign w:val="baseline"/>
        </w:rPr>
        <w:t>been</w:t>
      </w:r>
      <w:r>
        <w:rPr>
          <w:spacing w:val="-6"/>
          <w:vertAlign w:val="baseline"/>
        </w:rPr>
        <w:t> </w:t>
      </w:r>
      <w:r>
        <w:rPr>
          <w:vertAlign w:val="baseline"/>
        </w:rPr>
        <w:t>used</w:t>
      </w:r>
      <w:r>
        <w:rPr>
          <w:spacing w:val="-6"/>
          <w:vertAlign w:val="baseline"/>
        </w:rPr>
        <w:t> </w:t>
      </w:r>
      <w:r>
        <w:rPr>
          <w:vertAlign w:val="baseline"/>
        </w:rPr>
        <w:t>under</w:t>
      </w:r>
      <w:r>
        <w:rPr>
          <w:spacing w:val="-5"/>
          <w:vertAlign w:val="baseline"/>
        </w:rPr>
        <w:t> </w:t>
      </w:r>
      <w:r>
        <w:rPr>
          <w:vertAlign w:val="baseline"/>
        </w:rPr>
        <w:t>the</w:t>
      </w:r>
      <w:r>
        <w:rPr>
          <w:spacing w:val="-5"/>
          <w:vertAlign w:val="baseline"/>
        </w:rPr>
        <w:t> </w:t>
      </w:r>
      <w:r>
        <w:rPr>
          <w:vertAlign w:val="baseline"/>
        </w:rPr>
        <w:t>European</w:t>
      </w:r>
      <w:r>
        <w:rPr>
          <w:spacing w:val="-6"/>
          <w:vertAlign w:val="baseline"/>
        </w:rPr>
        <w:t> </w:t>
      </w:r>
      <w:r>
        <w:rPr>
          <w:vertAlign w:val="baseline"/>
        </w:rPr>
        <w:t>Communities</w:t>
      </w:r>
      <w:r>
        <w:rPr>
          <w:spacing w:val="-6"/>
          <w:vertAlign w:val="baseline"/>
        </w:rPr>
        <w:t> </w:t>
      </w:r>
      <w:r>
        <w:rPr>
          <w:vertAlign w:val="baseline"/>
        </w:rPr>
        <w:t>Act</w:t>
      </w:r>
      <w:r>
        <w:rPr>
          <w:spacing w:val="-5"/>
          <w:vertAlign w:val="baseline"/>
        </w:rPr>
        <w:t> </w:t>
      </w:r>
      <w:r>
        <w:rPr>
          <w:vertAlign w:val="baseline"/>
        </w:rPr>
        <w:t>1972.</w:t>
      </w:r>
      <w:r>
        <w:rPr>
          <w:spacing w:val="-6"/>
          <w:vertAlign w:val="baseline"/>
        </w:rPr>
        <w:t> </w:t>
      </w:r>
      <w:r>
        <w:rPr>
          <w:vertAlign w:val="baseline"/>
        </w:rPr>
        <w:t>The</w:t>
      </w:r>
      <w:r>
        <w:rPr>
          <w:spacing w:val="-5"/>
          <w:vertAlign w:val="baseline"/>
        </w:rPr>
        <w:t> </w:t>
      </w:r>
      <w:r>
        <w:rPr>
          <w:vertAlign w:val="baseline"/>
        </w:rPr>
        <w:t>effect</w:t>
      </w:r>
      <w:r>
        <w:rPr>
          <w:spacing w:val="-5"/>
          <w:vertAlign w:val="baseline"/>
        </w:rPr>
        <w:t> </w:t>
      </w:r>
      <w:r>
        <w:rPr>
          <w:vertAlign w:val="baseline"/>
        </w:rPr>
        <w:t>of all</w:t>
      </w:r>
      <w:r>
        <w:rPr>
          <w:spacing w:val="-1"/>
          <w:vertAlign w:val="baseline"/>
        </w:rPr>
        <w:t> </w:t>
      </w:r>
      <w:r>
        <w:rPr>
          <w:vertAlign w:val="baseline"/>
        </w:rPr>
        <w:t>this</w:t>
      </w:r>
      <w:r>
        <w:rPr>
          <w:spacing w:val="-1"/>
          <w:vertAlign w:val="baseline"/>
        </w:rPr>
        <w:t> </w:t>
      </w:r>
      <w:r>
        <w:rPr>
          <w:vertAlign w:val="baseline"/>
        </w:rPr>
        <w:t>is</w:t>
      </w:r>
      <w:r>
        <w:rPr>
          <w:spacing w:val="-1"/>
          <w:vertAlign w:val="baseline"/>
        </w:rPr>
        <w:t> </w:t>
      </w:r>
      <w:r>
        <w:rPr>
          <w:vertAlign w:val="baseline"/>
        </w:rPr>
        <w:t>that individuals</w:t>
      </w:r>
      <w:r>
        <w:rPr>
          <w:spacing w:val="-1"/>
          <w:vertAlign w:val="baseline"/>
        </w:rPr>
        <w:t> </w:t>
      </w:r>
      <w:r>
        <w:rPr>
          <w:vertAlign w:val="baseline"/>
        </w:rPr>
        <w:t>can</w:t>
      </w:r>
      <w:r>
        <w:rPr>
          <w:spacing w:val="-1"/>
          <w:vertAlign w:val="baseline"/>
        </w:rPr>
        <w:t> </w:t>
      </w:r>
      <w:r>
        <w:rPr>
          <w:vertAlign w:val="baseline"/>
        </w:rPr>
        <w:t>rely on</w:t>
      </w:r>
      <w:r>
        <w:rPr>
          <w:spacing w:val="-1"/>
          <w:vertAlign w:val="baseline"/>
        </w:rPr>
        <w:t> </w:t>
      </w:r>
      <w:r>
        <w:rPr>
          <w:vertAlign w:val="baseline"/>
        </w:rPr>
        <w:t>their Article 2 rights</w:t>
      </w:r>
      <w:r>
        <w:rPr>
          <w:spacing w:val="-1"/>
          <w:vertAlign w:val="baseline"/>
        </w:rPr>
        <w:t> </w:t>
      </w:r>
      <w:r>
        <w:rPr>
          <w:vertAlign w:val="baseline"/>
        </w:rPr>
        <w:t>in</w:t>
      </w:r>
      <w:r>
        <w:rPr>
          <w:spacing w:val="-1"/>
          <w:vertAlign w:val="baseline"/>
        </w:rPr>
        <w:t> </w:t>
      </w:r>
      <w:r>
        <w:rPr>
          <w:vertAlign w:val="baseline"/>
        </w:rPr>
        <w:t>domestic litigation</w:t>
      </w:r>
      <w:r>
        <w:rPr>
          <w:spacing w:val="-1"/>
          <w:vertAlign w:val="baseline"/>
        </w:rPr>
        <w:t> </w:t>
      </w:r>
      <w:r>
        <w:rPr>
          <w:vertAlign w:val="baseline"/>
        </w:rPr>
        <w:t>(see further chapter five).</w:t>
      </w:r>
    </w:p>
    <w:p>
      <w:pPr>
        <w:pStyle w:val="BodyText"/>
        <w:rPr>
          <w:sz w:val="20"/>
        </w:rPr>
      </w:pPr>
    </w:p>
    <w:p>
      <w:pPr>
        <w:pStyle w:val="BodyText"/>
        <w:rPr>
          <w:sz w:val="20"/>
        </w:rPr>
      </w:pPr>
    </w:p>
    <w:p>
      <w:pPr>
        <w:pStyle w:val="BodyText"/>
        <w:spacing w:before="218"/>
        <w:rPr>
          <w:sz w:val="20"/>
        </w:rPr>
      </w:pPr>
      <w:r>
        <w:rPr/>
        <mc:AlternateContent>
          <mc:Choice Requires="wps">
            <w:drawing>
              <wp:anchor distT="0" distB="0" distL="0" distR="0" allowOverlap="1" layoutInCell="1" locked="0" behindDoc="1" simplePos="0" relativeHeight="487643136">
                <wp:simplePos x="0" y="0"/>
                <wp:positionH relativeFrom="page">
                  <wp:posOffset>647999</wp:posOffset>
                </wp:positionH>
                <wp:positionV relativeFrom="paragraph">
                  <wp:posOffset>308929</wp:posOffset>
                </wp:positionV>
                <wp:extent cx="6012180" cy="1270"/>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4.325119pt;width:473.4pt;height:.1pt;mso-position-horizontal-relative:page;mso-position-vertical-relative:paragraph;z-index:-15673344;mso-wrap-distance-left:0;mso-wrap-distance-right:0" id="docshape239" coordorigin="1020,487" coordsize="9468,0" path="m1020,487l10488,487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1941" w:hanging="567"/>
        <w:jc w:val="left"/>
        <w:rPr>
          <w:sz w:val="18"/>
        </w:rPr>
      </w:pPr>
      <w:r>
        <w:rPr>
          <w:sz w:val="18"/>
        </w:rPr>
        <w:t>UK</w:t>
      </w:r>
      <w:r>
        <w:rPr>
          <w:spacing w:val="-4"/>
          <w:sz w:val="18"/>
        </w:rPr>
        <w:t> </w:t>
      </w:r>
      <w:r>
        <w:rPr>
          <w:sz w:val="18"/>
        </w:rPr>
        <w:t>Government,</w:t>
      </w:r>
      <w:r>
        <w:rPr>
          <w:spacing w:val="-4"/>
          <w:sz w:val="18"/>
        </w:rPr>
        <w:t> </w:t>
      </w:r>
      <w:r>
        <w:rPr>
          <w:color w:val="1D71B8"/>
          <w:sz w:val="18"/>
          <w:u w:val="single" w:color="1D71B8"/>
        </w:rPr>
        <w:t>Explainer:</w:t>
      </w:r>
      <w:r>
        <w:rPr>
          <w:color w:val="1D71B8"/>
          <w:spacing w:val="-4"/>
          <w:sz w:val="18"/>
          <w:u w:val="single" w:color="1D71B8"/>
        </w:rPr>
        <w:t> </w:t>
      </w:r>
      <w:r>
        <w:rPr>
          <w:color w:val="1D71B8"/>
          <w:sz w:val="18"/>
          <w:u w:val="single" w:color="1D71B8"/>
        </w:rPr>
        <w:t>UK</w:t>
      </w:r>
      <w:r>
        <w:rPr>
          <w:color w:val="1D71B8"/>
          <w:spacing w:val="-4"/>
          <w:sz w:val="18"/>
          <w:u w:val="single" w:color="1D71B8"/>
        </w:rPr>
        <w:t> </w:t>
      </w:r>
      <w:r>
        <w:rPr>
          <w:color w:val="1D71B8"/>
          <w:sz w:val="18"/>
          <w:u w:val="single" w:color="1D71B8"/>
        </w:rPr>
        <w:t>Government</w:t>
      </w:r>
      <w:r>
        <w:rPr>
          <w:color w:val="1D71B8"/>
          <w:spacing w:val="-4"/>
          <w:sz w:val="18"/>
          <w:u w:val="single" w:color="1D71B8"/>
        </w:rPr>
        <w:t> </w:t>
      </w:r>
      <w:r>
        <w:rPr>
          <w:color w:val="1D71B8"/>
          <w:sz w:val="18"/>
          <w:u w:val="single" w:color="1D71B8"/>
        </w:rPr>
        <w:t>commitment</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no</w:t>
      </w:r>
      <w:r>
        <w:rPr>
          <w:color w:val="1D71B8"/>
          <w:spacing w:val="-4"/>
          <w:sz w:val="18"/>
          <w:u w:val="single" w:color="1D71B8"/>
        </w:rPr>
        <w:t> </w:t>
      </w:r>
      <w:r>
        <w:rPr>
          <w:color w:val="1D71B8"/>
          <w:sz w:val="18"/>
          <w:u w:val="single" w:color="1D71B8"/>
        </w:rPr>
        <w:t>diminution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safeguards</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of</w:t>
      </w:r>
      <w:r>
        <w:rPr>
          <w:color w:val="1D71B8"/>
          <w:sz w:val="18"/>
          <w:u w:val="none"/>
        </w:rPr>
        <w:t> </w:t>
      </w:r>
      <w:r>
        <w:rPr>
          <w:color w:val="1D71B8"/>
          <w:sz w:val="18"/>
          <w:u w:val="single" w:color="1D71B8"/>
        </w:rPr>
        <w:t>opportunity in Northern Ireland</w:t>
      </w:r>
      <w:r>
        <w:rPr>
          <w:color w:val="1D71B8"/>
          <w:sz w:val="18"/>
          <w:u w:val="none"/>
        </w:rPr>
        <w:t> </w:t>
      </w:r>
      <w:r>
        <w:rPr>
          <w:sz w:val="18"/>
          <w:u w:val="none"/>
        </w:rPr>
        <w:t>(2020) para 7.</w:t>
      </w:r>
    </w:p>
    <w:p>
      <w:pPr>
        <w:pStyle w:val="ListParagraph"/>
        <w:numPr>
          <w:ilvl w:val="0"/>
          <w:numId w:val="9"/>
        </w:numPr>
        <w:tabs>
          <w:tab w:pos="1287" w:val="left" w:leader="none"/>
        </w:tabs>
        <w:spacing w:line="240" w:lineRule="auto" w:before="1" w:after="0"/>
        <w:ind w:left="1287" w:right="1136" w:hanging="567"/>
        <w:jc w:val="left"/>
        <w:rPr>
          <w:sz w:val="18"/>
        </w:rPr>
      </w:pPr>
      <w:r>
        <w:rPr>
          <w:sz w:val="18"/>
        </w:rPr>
        <w:t>The Joint Committee is established by Article 164 of the </w:t>
      </w:r>
      <w:r>
        <w:rPr>
          <w:color w:val="1D71B8"/>
          <w:sz w:val="18"/>
          <w:u w:val="single" w:color="1D71B8"/>
        </w:rPr>
        <w:t>Withdrawal Agreement</w:t>
      </w:r>
      <w:r>
        <w:rPr>
          <w:sz w:val="18"/>
          <w:u w:val="none"/>
        </w:rPr>
        <w:t>. Comprising representatives of the UK</w:t>
      </w:r>
      <w:r>
        <w:rPr>
          <w:sz w:val="18"/>
          <w:u w:val="none"/>
        </w:rPr>
        <w:t> and</w:t>
      </w:r>
      <w:r>
        <w:rPr>
          <w:spacing w:val="-5"/>
          <w:sz w:val="18"/>
          <w:u w:val="none"/>
        </w:rPr>
        <w:t> </w:t>
      </w:r>
      <w:r>
        <w:rPr>
          <w:sz w:val="18"/>
          <w:u w:val="none"/>
        </w:rPr>
        <w:t>the</w:t>
      </w:r>
      <w:r>
        <w:rPr>
          <w:spacing w:val="-5"/>
          <w:sz w:val="18"/>
          <w:u w:val="none"/>
        </w:rPr>
        <w:t> </w:t>
      </w:r>
      <w:r>
        <w:rPr>
          <w:sz w:val="18"/>
          <w:u w:val="none"/>
        </w:rPr>
        <w:t>EU,</w:t>
      </w:r>
      <w:r>
        <w:rPr>
          <w:spacing w:val="-5"/>
          <w:sz w:val="18"/>
          <w:u w:val="none"/>
        </w:rPr>
        <w:t> </w:t>
      </w:r>
      <w:r>
        <w:rPr>
          <w:sz w:val="18"/>
          <w:u w:val="none"/>
        </w:rPr>
        <w:t>it</w:t>
      </w:r>
      <w:r>
        <w:rPr>
          <w:spacing w:val="-5"/>
          <w:sz w:val="18"/>
          <w:u w:val="none"/>
        </w:rPr>
        <w:t> </w:t>
      </w:r>
      <w:r>
        <w:rPr>
          <w:sz w:val="18"/>
          <w:u w:val="none"/>
        </w:rPr>
        <w:t>supervises</w:t>
      </w:r>
      <w:r>
        <w:rPr>
          <w:spacing w:val="-5"/>
          <w:sz w:val="18"/>
          <w:u w:val="none"/>
        </w:rPr>
        <w:t> </w:t>
      </w:r>
      <w:r>
        <w:rPr>
          <w:sz w:val="18"/>
          <w:u w:val="none"/>
        </w:rPr>
        <w:t>and</w:t>
      </w:r>
      <w:r>
        <w:rPr>
          <w:spacing w:val="-5"/>
          <w:sz w:val="18"/>
          <w:u w:val="none"/>
        </w:rPr>
        <w:t> </w:t>
      </w:r>
      <w:r>
        <w:rPr>
          <w:sz w:val="18"/>
          <w:u w:val="none"/>
        </w:rPr>
        <w:t>facilitates</w:t>
      </w:r>
      <w:r>
        <w:rPr>
          <w:spacing w:val="-5"/>
          <w:sz w:val="18"/>
          <w:u w:val="none"/>
        </w:rPr>
        <w:t> </w:t>
      </w:r>
      <w:r>
        <w:rPr>
          <w:sz w:val="18"/>
          <w:u w:val="none"/>
        </w:rPr>
        <w:t>the</w:t>
      </w:r>
      <w:r>
        <w:rPr>
          <w:spacing w:val="-5"/>
          <w:sz w:val="18"/>
          <w:u w:val="none"/>
        </w:rPr>
        <w:t> </w:t>
      </w:r>
      <w:r>
        <w:rPr>
          <w:sz w:val="18"/>
          <w:u w:val="none"/>
        </w:rPr>
        <w:t>implementation</w:t>
      </w:r>
      <w:r>
        <w:rPr>
          <w:spacing w:val="-5"/>
          <w:sz w:val="18"/>
          <w:u w:val="none"/>
        </w:rPr>
        <w:t> </w:t>
      </w:r>
      <w:r>
        <w:rPr>
          <w:sz w:val="18"/>
          <w:u w:val="none"/>
        </w:rPr>
        <w:t>of</w:t>
      </w:r>
      <w:r>
        <w:rPr>
          <w:spacing w:val="-5"/>
          <w:sz w:val="18"/>
          <w:u w:val="none"/>
        </w:rPr>
        <w:t> </w:t>
      </w:r>
      <w:r>
        <w:rPr>
          <w:sz w:val="18"/>
          <w:u w:val="none"/>
        </w:rPr>
        <w:t>the</w:t>
      </w:r>
      <w:r>
        <w:rPr>
          <w:spacing w:val="-5"/>
          <w:sz w:val="18"/>
          <w:u w:val="none"/>
        </w:rPr>
        <w:t> </w:t>
      </w:r>
      <w:r>
        <w:rPr>
          <w:sz w:val="18"/>
          <w:u w:val="none"/>
        </w:rPr>
        <w:t>Withdrawal</w:t>
      </w:r>
      <w:r>
        <w:rPr>
          <w:spacing w:val="-5"/>
          <w:sz w:val="18"/>
          <w:u w:val="none"/>
        </w:rPr>
        <w:t> </w:t>
      </w:r>
      <w:r>
        <w:rPr>
          <w:sz w:val="18"/>
          <w:u w:val="none"/>
        </w:rPr>
        <w:t>Agreement</w:t>
      </w:r>
      <w:r>
        <w:rPr>
          <w:spacing w:val="-5"/>
          <w:sz w:val="18"/>
          <w:u w:val="none"/>
        </w:rPr>
        <w:t> </w:t>
      </w:r>
      <w:r>
        <w:rPr>
          <w:sz w:val="18"/>
          <w:u w:val="none"/>
        </w:rPr>
        <w:t>and</w:t>
      </w:r>
      <w:r>
        <w:rPr>
          <w:spacing w:val="-5"/>
          <w:sz w:val="18"/>
          <w:u w:val="none"/>
        </w:rPr>
        <w:t> </w:t>
      </w:r>
      <w:r>
        <w:rPr>
          <w:sz w:val="18"/>
          <w:u w:val="none"/>
        </w:rPr>
        <w:t>has</w:t>
      </w:r>
      <w:r>
        <w:rPr>
          <w:spacing w:val="-5"/>
          <w:sz w:val="18"/>
          <w:u w:val="none"/>
        </w:rPr>
        <w:t> </w:t>
      </w:r>
      <w:r>
        <w:rPr>
          <w:sz w:val="18"/>
          <w:u w:val="none"/>
        </w:rPr>
        <w:t>powers</w:t>
      </w:r>
      <w:r>
        <w:rPr>
          <w:spacing w:val="-5"/>
          <w:sz w:val="18"/>
          <w:u w:val="none"/>
        </w:rPr>
        <w:t> </w:t>
      </w:r>
      <w:r>
        <w:rPr>
          <w:sz w:val="18"/>
          <w:u w:val="none"/>
        </w:rPr>
        <w:t>under</w:t>
      </w:r>
      <w:r>
        <w:rPr>
          <w:spacing w:val="-5"/>
          <w:sz w:val="18"/>
          <w:u w:val="none"/>
        </w:rPr>
        <w:t> </w:t>
      </w:r>
      <w:r>
        <w:rPr>
          <w:sz w:val="18"/>
          <w:u w:val="none"/>
        </w:rPr>
        <w:t>different provisions to make decisions about the implementation of the Withdrawal Agreement.</w:t>
      </w:r>
    </w:p>
    <w:p>
      <w:pPr>
        <w:pStyle w:val="ListParagraph"/>
        <w:numPr>
          <w:ilvl w:val="0"/>
          <w:numId w:val="9"/>
        </w:numPr>
        <w:tabs>
          <w:tab w:pos="1287" w:val="left" w:leader="none"/>
        </w:tabs>
        <w:spacing w:line="240" w:lineRule="auto" w:before="1" w:after="0"/>
        <w:ind w:left="1287" w:right="0" w:hanging="567"/>
        <w:jc w:val="left"/>
        <w:rPr>
          <w:sz w:val="18"/>
        </w:rPr>
      </w:pPr>
      <w:r>
        <w:rPr>
          <w:sz w:val="18"/>
        </w:rPr>
        <w:t>Northern</w:t>
      </w:r>
      <w:r>
        <w:rPr>
          <w:spacing w:val="-6"/>
          <w:sz w:val="18"/>
        </w:rPr>
        <w:t> </w:t>
      </w:r>
      <w:r>
        <w:rPr>
          <w:sz w:val="18"/>
        </w:rPr>
        <w:t>Ireland</w:t>
      </w:r>
      <w:r>
        <w:rPr>
          <w:spacing w:val="-6"/>
          <w:sz w:val="18"/>
        </w:rPr>
        <w:t> </w:t>
      </w:r>
      <w:r>
        <w:rPr>
          <w:sz w:val="18"/>
        </w:rPr>
        <w:t>Act</w:t>
      </w:r>
      <w:r>
        <w:rPr>
          <w:spacing w:val="-4"/>
          <w:sz w:val="18"/>
        </w:rPr>
        <w:t> </w:t>
      </w:r>
      <w:r>
        <w:rPr>
          <w:sz w:val="18"/>
        </w:rPr>
        <w:t>1998,</w:t>
      </w:r>
      <w:r>
        <w:rPr>
          <w:spacing w:val="-5"/>
          <w:sz w:val="18"/>
        </w:rPr>
        <w:t> </w:t>
      </w:r>
      <w:hyperlink r:id="rId37">
        <w:r>
          <w:rPr>
            <w:color w:val="1D71B8"/>
            <w:sz w:val="18"/>
            <w:u w:val="single" w:color="1D71B8"/>
          </w:rPr>
          <w:t>section</w:t>
        </w:r>
        <w:r>
          <w:rPr>
            <w:color w:val="1D71B8"/>
            <w:spacing w:val="-6"/>
            <w:sz w:val="18"/>
            <w:u w:val="single" w:color="1D71B8"/>
          </w:rPr>
          <w:t> </w:t>
        </w:r>
        <w:r>
          <w:rPr>
            <w:color w:val="1D71B8"/>
            <w:spacing w:val="-2"/>
            <w:sz w:val="18"/>
            <w:u w:val="single" w:color="1D71B8"/>
          </w:rPr>
          <w:t>6(2)(ca)</w:t>
        </w:r>
      </w:hyperlink>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sz w:val="18"/>
        </w:rPr>
        <w:t>Northern</w:t>
      </w:r>
      <w:r>
        <w:rPr>
          <w:spacing w:val="-6"/>
          <w:sz w:val="18"/>
        </w:rPr>
        <w:t> </w:t>
      </w:r>
      <w:r>
        <w:rPr>
          <w:sz w:val="18"/>
        </w:rPr>
        <w:t>Ireland</w:t>
      </w:r>
      <w:r>
        <w:rPr>
          <w:spacing w:val="-6"/>
          <w:sz w:val="18"/>
        </w:rPr>
        <w:t> </w:t>
      </w:r>
      <w:r>
        <w:rPr>
          <w:sz w:val="18"/>
        </w:rPr>
        <w:t>Act</w:t>
      </w:r>
      <w:r>
        <w:rPr>
          <w:spacing w:val="-4"/>
          <w:sz w:val="18"/>
        </w:rPr>
        <w:t> </w:t>
      </w:r>
      <w:r>
        <w:rPr>
          <w:sz w:val="18"/>
        </w:rPr>
        <w:t>1998,</w:t>
      </w:r>
      <w:r>
        <w:rPr>
          <w:spacing w:val="-5"/>
          <w:sz w:val="18"/>
        </w:rPr>
        <w:t> </w:t>
      </w:r>
      <w:r>
        <w:rPr>
          <w:color w:val="1D71B8"/>
          <w:sz w:val="18"/>
          <w:u w:val="single" w:color="1D71B8"/>
        </w:rPr>
        <w:t>section</w:t>
      </w:r>
      <w:r>
        <w:rPr>
          <w:color w:val="1D71B8"/>
          <w:spacing w:val="-6"/>
          <w:sz w:val="18"/>
          <w:u w:val="single" w:color="1D71B8"/>
        </w:rPr>
        <w:t> </w:t>
      </w:r>
      <w:r>
        <w:rPr>
          <w:color w:val="1D71B8"/>
          <w:spacing w:val="-2"/>
          <w:sz w:val="18"/>
          <w:u w:val="single" w:color="1D71B8"/>
        </w:rPr>
        <w:t>24(1)(aa)</w:t>
      </w:r>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sz w:val="18"/>
        </w:rPr>
        <w:t>European</w:t>
      </w:r>
      <w:r>
        <w:rPr>
          <w:spacing w:val="-7"/>
          <w:sz w:val="18"/>
        </w:rPr>
        <w:t> </w:t>
      </w:r>
      <w:r>
        <w:rPr>
          <w:sz w:val="18"/>
        </w:rPr>
        <w:t>Union</w:t>
      </w:r>
      <w:r>
        <w:rPr>
          <w:spacing w:val="-6"/>
          <w:sz w:val="18"/>
        </w:rPr>
        <w:t> </w:t>
      </w:r>
      <w:r>
        <w:rPr>
          <w:sz w:val="18"/>
        </w:rPr>
        <w:t>(Withdrawal)</w:t>
      </w:r>
      <w:r>
        <w:rPr>
          <w:spacing w:val="-6"/>
          <w:sz w:val="18"/>
        </w:rPr>
        <w:t> </w:t>
      </w:r>
      <w:r>
        <w:rPr>
          <w:sz w:val="18"/>
        </w:rPr>
        <w:t>Act</w:t>
      </w:r>
      <w:r>
        <w:rPr>
          <w:spacing w:val="-5"/>
          <w:sz w:val="18"/>
        </w:rPr>
        <w:t> </w:t>
      </w:r>
      <w:r>
        <w:rPr>
          <w:sz w:val="18"/>
        </w:rPr>
        <w:t>2018,</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7A</w:t>
      </w:r>
      <w:r>
        <w:rPr>
          <w:spacing w:val="-5"/>
          <w:sz w:val="18"/>
          <w:u w:val="none"/>
        </w:rPr>
        <w:t>.</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61344">
                <wp:simplePos x="0" y="0"/>
                <wp:positionH relativeFrom="page">
                  <wp:posOffset>-2</wp:posOffset>
                </wp:positionH>
                <wp:positionV relativeFrom="page">
                  <wp:posOffset>0</wp:posOffset>
                </wp:positionV>
                <wp:extent cx="7560309" cy="1155065"/>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7560309" cy="1155065"/>
                          <a:chExt cx="7560309" cy="1155065"/>
                        </a:xfrm>
                      </wpg:grpSpPr>
                      <wps:wsp>
                        <wps:cNvPr id="306" name="Graphic 306"/>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307" name="Graphic 307"/>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55136" id="docshapegroup240" coordorigin="0,0" coordsize="11906,1819">
                <v:shape style="position:absolute;left:0;top:0;width:11906;height:1819" id="docshape241"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1.2.4 The Windsor Framework" w:id="34"/>
      <w:bookmarkEnd w:id="34"/>
      <w:r>
        <w:rPr/>
      </w:r>
      <w:bookmarkStart w:name="_bookmark14" w:id="35"/>
      <w:bookmarkEnd w:id="35"/>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23</w:t>
      </w:r>
    </w:p>
    <w:p>
      <w:pPr>
        <w:pStyle w:val="BodyText"/>
        <w:rPr>
          <w:b/>
        </w:rPr>
      </w:pPr>
    </w:p>
    <w:p>
      <w:pPr>
        <w:pStyle w:val="BodyText"/>
        <w:spacing w:before="48"/>
        <w:rPr>
          <w:b/>
        </w:rPr>
      </w:pPr>
    </w:p>
    <w:p>
      <w:pPr>
        <w:pStyle w:val="BodyText"/>
        <w:spacing w:line="232" w:lineRule="auto"/>
        <w:ind w:left="1117" w:right="738"/>
      </w:pPr>
      <w:r>
        <w:rPr/>
        <w:t>While a short provision, Article 2 is perhaps deceptively simple. Its brief language contains several important issues that require elaboration. Litigation will be important</w:t>
      </w:r>
      <w:r>
        <w:rPr>
          <w:spacing w:val="-11"/>
        </w:rPr>
        <w:t> </w:t>
      </w:r>
      <w:r>
        <w:rPr/>
        <w:t>for</w:t>
      </w:r>
      <w:r>
        <w:rPr>
          <w:spacing w:val="-11"/>
        </w:rPr>
        <w:t> </w:t>
      </w:r>
      <w:r>
        <w:rPr/>
        <w:t>understanding</w:t>
      </w:r>
      <w:r>
        <w:rPr>
          <w:spacing w:val="-11"/>
        </w:rPr>
        <w:t> </w:t>
      </w:r>
      <w:r>
        <w:rPr/>
        <w:t>Article</w:t>
      </w:r>
      <w:r>
        <w:rPr>
          <w:spacing w:val="-11"/>
        </w:rPr>
        <w:t> </w:t>
      </w:r>
      <w:r>
        <w:rPr/>
        <w:t>2’s</w:t>
      </w:r>
      <w:r>
        <w:rPr>
          <w:spacing w:val="-12"/>
        </w:rPr>
        <w:t> </w:t>
      </w:r>
      <w:r>
        <w:rPr/>
        <w:t>implications.</w:t>
      </w:r>
      <w:r>
        <w:rPr>
          <w:spacing w:val="-12"/>
        </w:rPr>
        <w:t> </w:t>
      </w:r>
      <w:r>
        <w:rPr/>
        <w:t>Already</w:t>
      </w:r>
      <w:r>
        <w:rPr>
          <w:spacing w:val="-11"/>
        </w:rPr>
        <w:t> </w:t>
      </w:r>
      <w:r>
        <w:rPr/>
        <w:t>several</w:t>
      </w:r>
      <w:r>
        <w:rPr>
          <w:spacing w:val="-12"/>
        </w:rPr>
        <w:t> </w:t>
      </w:r>
      <w:r>
        <w:rPr/>
        <w:t>cases,</w:t>
      </w:r>
      <w:r>
        <w:rPr>
          <w:spacing w:val="-11"/>
        </w:rPr>
        <w:t> </w:t>
      </w:r>
      <w:r>
        <w:rPr/>
        <w:t>notably </w:t>
      </w:r>
      <w:r>
        <w:rPr>
          <w:i/>
        </w:rPr>
        <w:t>SPUC</w:t>
      </w:r>
      <w:r>
        <w:rPr>
          <w:vertAlign w:val="superscript"/>
        </w:rPr>
        <w:t>60</w:t>
      </w:r>
      <w:r>
        <w:rPr>
          <w:spacing w:val="-4"/>
          <w:vertAlign w:val="baseline"/>
        </w:rPr>
        <w:t> </w:t>
      </w:r>
      <w:r>
        <w:rPr>
          <w:vertAlign w:val="baseline"/>
        </w:rPr>
        <w:t>and</w:t>
      </w:r>
      <w:r>
        <w:rPr>
          <w:spacing w:val="-3"/>
          <w:vertAlign w:val="baseline"/>
        </w:rPr>
        <w:t> </w:t>
      </w:r>
      <w:r>
        <w:rPr>
          <w:i/>
          <w:vertAlign w:val="baseline"/>
        </w:rPr>
        <w:t>Angesom</w:t>
      </w:r>
      <w:r>
        <w:rPr>
          <w:vertAlign w:val="superscript"/>
        </w:rPr>
        <w:t>61</w:t>
      </w:r>
      <w:r>
        <w:rPr>
          <w:spacing w:val="-4"/>
          <w:vertAlign w:val="baseline"/>
        </w:rPr>
        <w:t> </w:t>
      </w:r>
      <w:r>
        <w:rPr>
          <w:vertAlign w:val="baseline"/>
        </w:rPr>
        <w:t>and</w:t>
      </w:r>
      <w:r>
        <w:rPr>
          <w:spacing w:val="-4"/>
          <w:vertAlign w:val="baseline"/>
        </w:rPr>
        <w:t> </w:t>
      </w:r>
      <w:r>
        <w:rPr>
          <w:vertAlign w:val="baseline"/>
        </w:rPr>
        <w:t>most</w:t>
      </w:r>
      <w:r>
        <w:rPr>
          <w:spacing w:val="-3"/>
          <w:vertAlign w:val="baseline"/>
        </w:rPr>
        <w:t> </w:t>
      </w:r>
      <w:r>
        <w:rPr>
          <w:vertAlign w:val="baseline"/>
        </w:rPr>
        <w:t>notably</w:t>
      </w:r>
      <w:r>
        <w:rPr>
          <w:spacing w:val="-3"/>
          <w:vertAlign w:val="baseline"/>
        </w:rPr>
        <w:t> </w:t>
      </w:r>
      <w:r>
        <w:rPr>
          <w:vertAlign w:val="baseline"/>
        </w:rPr>
        <w:t>the</w:t>
      </w:r>
      <w:r>
        <w:rPr>
          <w:spacing w:val="-4"/>
          <w:vertAlign w:val="baseline"/>
        </w:rPr>
        <w:t> </w:t>
      </w:r>
      <w:r>
        <w:rPr>
          <w:i/>
          <w:vertAlign w:val="baseline"/>
        </w:rPr>
        <w:t>Legacy</w:t>
      </w:r>
      <w:r>
        <w:rPr>
          <w:i/>
          <w:spacing w:val="-4"/>
          <w:vertAlign w:val="baseline"/>
        </w:rPr>
        <w:t> </w:t>
      </w:r>
      <w:r>
        <w:rPr>
          <w:i/>
          <w:vertAlign w:val="baseline"/>
        </w:rPr>
        <w:t>Act</w:t>
      </w:r>
      <w:r>
        <w:rPr>
          <w:i/>
          <w:spacing w:val="-3"/>
          <w:vertAlign w:val="baseline"/>
        </w:rPr>
        <w:t> </w:t>
      </w:r>
      <w:r>
        <w:rPr>
          <w:i/>
          <w:vertAlign w:val="baseline"/>
        </w:rPr>
        <w:t>cases</w:t>
      </w:r>
      <w:r>
        <w:rPr>
          <w:i/>
          <w:spacing w:val="-4"/>
          <w:vertAlign w:val="baseline"/>
        </w:rPr>
        <w:t> </w:t>
      </w:r>
      <w:r>
        <w:rPr>
          <w:i/>
          <w:vertAlign w:val="baseline"/>
        </w:rPr>
        <w:t>(Dillon</w:t>
      </w:r>
      <w:r>
        <w:rPr>
          <w:i/>
          <w:spacing w:val="-4"/>
          <w:vertAlign w:val="baseline"/>
        </w:rPr>
        <w:t> </w:t>
      </w:r>
      <w:r>
        <w:rPr>
          <w:i/>
          <w:vertAlign w:val="baseline"/>
        </w:rPr>
        <w:t>and</w:t>
      </w:r>
      <w:r>
        <w:rPr>
          <w:i/>
          <w:spacing w:val="-4"/>
          <w:vertAlign w:val="baseline"/>
        </w:rPr>
        <w:t> </w:t>
      </w:r>
      <w:r>
        <w:rPr>
          <w:i/>
          <w:vertAlign w:val="baseline"/>
        </w:rPr>
        <w:t>others)</w:t>
      </w:r>
      <w:r>
        <w:rPr>
          <w:vertAlign w:val="superscript"/>
        </w:rPr>
        <w:t>62</w:t>
      </w:r>
      <w:r>
        <w:rPr>
          <w:vertAlign w:val="baseline"/>
        </w:rPr>
        <w:t> and Illegal Migration Act case</w:t>
      </w:r>
      <w:r>
        <w:rPr>
          <w:vertAlign w:val="superscript"/>
        </w:rPr>
        <w:t>63</w:t>
      </w:r>
      <w:r>
        <w:rPr>
          <w:vertAlign w:val="baseline"/>
        </w:rPr>
        <w:t> (see further chapter five) have begun this process.</w:t>
      </w:r>
    </w:p>
    <w:p>
      <w:pPr>
        <w:pStyle w:val="BodyText"/>
        <w:spacing w:line="232" w:lineRule="auto" w:before="275"/>
        <w:ind w:left="1117" w:right="805"/>
      </w:pPr>
      <w:r>
        <w:rPr/>
        <w:t>The </w:t>
      </w:r>
      <w:r>
        <w:rPr>
          <w:i/>
        </w:rPr>
        <w:t>SPUC </w:t>
      </w:r>
      <w:r>
        <w:rPr/>
        <w:t>case has highlighted the analytical approach that is required in applying Article 2, while </w:t>
      </w:r>
      <w:r>
        <w:rPr>
          <w:i/>
        </w:rPr>
        <w:t>Angesom </w:t>
      </w:r>
      <w:r>
        <w:rPr/>
        <w:t>has clarified that asylum seekers are part of the community and their rights are protected under the 1998 Agreement; </w:t>
      </w:r>
      <w:r>
        <w:rPr>
          <w:i/>
        </w:rPr>
        <w:t>Angesom</w:t>
      </w:r>
      <w:r>
        <w:rPr>
          <w:i/>
        </w:rPr>
        <w:t> </w:t>
      </w:r>
      <w:r>
        <w:rPr/>
        <w:t>also clarifies that the rights in the 1998 Agreement are not limited to the issue of the conflict in the context of 1998. The </w:t>
      </w:r>
      <w:r>
        <w:rPr>
          <w:i/>
        </w:rPr>
        <w:t>Legacy Act cases (Dillon and others) </w:t>
      </w:r>
      <w:r>
        <w:rPr/>
        <w:t>has clarified</w:t>
      </w:r>
      <w:r>
        <w:rPr>
          <w:spacing w:val="-1"/>
        </w:rPr>
        <w:t> </w:t>
      </w:r>
      <w:r>
        <w:rPr/>
        <w:t>several</w:t>
      </w:r>
      <w:r>
        <w:rPr>
          <w:spacing w:val="-1"/>
        </w:rPr>
        <w:t> </w:t>
      </w:r>
      <w:r>
        <w:rPr/>
        <w:t>details</w:t>
      </w:r>
      <w:r>
        <w:rPr>
          <w:spacing w:val="-1"/>
        </w:rPr>
        <w:t> </w:t>
      </w:r>
      <w:r>
        <w:rPr/>
        <w:t>of</w:t>
      </w:r>
      <w:r>
        <w:rPr>
          <w:spacing w:val="-1"/>
        </w:rPr>
        <w:t> </w:t>
      </w:r>
      <w:r>
        <w:rPr/>
        <w:t>how the courts</w:t>
      </w:r>
      <w:r>
        <w:rPr>
          <w:spacing w:val="-1"/>
        </w:rPr>
        <w:t> </w:t>
      </w:r>
      <w:r>
        <w:rPr/>
        <w:t>will</w:t>
      </w:r>
      <w:r>
        <w:rPr>
          <w:spacing w:val="-1"/>
        </w:rPr>
        <w:t> </w:t>
      </w:r>
      <w:r>
        <w:rPr/>
        <w:t>approach</w:t>
      </w:r>
      <w:r>
        <w:rPr>
          <w:spacing w:val="-1"/>
        </w:rPr>
        <w:t> </w:t>
      </w:r>
      <w:r>
        <w:rPr/>
        <w:t>the application</w:t>
      </w:r>
      <w:r>
        <w:rPr>
          <w:spacing w:val="-1"/>
        </w:rPr>
        <w:t> </w:t>
      </w:r>
      <w:r>
        <w:rPr/>
        <w:t>of</w:t>
      </w:r>
      <w:r>
        <w:rPr>
          <w:spacing w:val="-1"/>
        </w:rPr>
        <w:t> </w:t>
      </w:r>
      <w:r>
        <w:rPr/>
        <w:t>Article 2 and</w:t>
      </w:r>
      <w:r>
        <w:rPr>
          <w:spacing w:val="-3"/>
        </w:rPr>
        <w:t> </w:t>
      </w:r>
      <w:r>
        <w:rPr/>
        <w:t>provided</w:t>
      </w:r>
      <w:r>
        <w:rPr>
          <w:spacing w:val="-3"/>
        </w:rPr>
        <w:t> </w:t>
      </w:r>
      <w:r>
        <w:rPr/>
        <w:t>the</w:t>
      </w:r>
      <w:r>
        <w:rPr>
          <w:spacing w:val="-2"/>
        </w:rPr>
        <w:t> </w:t>
      </w:r>
      <w:r>
        <w:rPr/>
        <w:t>first</w:t>
      </w:r>
      <w:r>
        <w:rPr>
          <w:spacing w:val="-2"/>
        </w:rPr>
        <w:t> </w:t>
      </w:r>
      <w:r>
        <w:rPr/>
        <w:t>instance</w:t>
      </w:r>
      <w:r>
        <w:rPr>
          <w:spacing w:val="-2"/>
        </w:rPr>
        <w:t> </w:t>
      </w:r>
      <w:r>
        <w:rPr/>
        <w:t>where</w:t>
      </w:r>
      <w:r>
        <w:rPr>
          <w:spacing w:val="-2"/>
        </w:rPr>
        <w:t> </w:t>
      </w:r>
      <w:r>
        <w:rPr/>
        <w:t>the</w:t>
      </w:r>
      <w:r>
        <w:rPr>
          <w:spacing w:val="-2"/>
        </w:rPr>
        <w:t> </w:t>
      </w:r>
      <w:r>
        <w:rPr/>
        <w:t>courts</w:t>
      </w:r>
      <w:r>
        <w:rPr>
          <w:spacing w:val="-3"/>
        </w:rPr>
        <w:t> </w:t>
      </w:r>
      <w:r>
        <w:rPr/>
        <w:t>have</w:t>
      </w:r>
      <w:r>
        <w:rPr>
          <w:spacing w:val="-2"/>
        </w:rPr>
        <w:t> </w:t>
      </w:r>
      <w:r>
        <w:rPr/>
        <w:t>upheld</w:t>
      </w:r>
      <w:r>
        <w:rPr>
          <w:spacing w:val="-3"/>
        </w:rPr>
        <w:t> </w:t>
      </w:r>
      <w:r>
        <w:rPr/>
        <w:t>a</w:t>
      </w:r>
      <w:r>
        <w:rPr>
          <w:spacing w:val="-3"/>
        </w:rPr>
        <w:t> </w:t>
      </w:r>
      <w:r>
        <w:rPr/>
        <w:t>claim</w:t>
      </w:r>
      <w:r>
        <w:rPr>
          <w:spacing w:val="-2"/>
        </w:rPr>
        <w:t> </w:t>
      </w:r>
      <w:r>
        <w:rPr/>
        <w:t>under</w:t>
      </w:r>
      <w:r>
        <w:rPr>
          <w:spacing w:val="-2"/>
        </w:rPr>
        <w:t> </w:t>
      </w:r>
      <w:r>
        <w:rPr/>
        <w:t>Article 2 and disapplied legislation; that it has done so in relation to a core human rights issue demonstrates the relevance and potency of Article 2. All these cases also acknowledge the important role of the ECNI and NIHRC in relation to Article 2. As discussed</w:t>
      </w:r>
      <w:r>
        <w:rPr>
          <w:spacing w:val="-6"/>
        </w:rPr>
        <w:t> </w:t>
      </w:r>
      <w:r>
        <w:rPr/>
        <w:t>later</w:t>
      </w:r>
      <w:r>
        <w:rPr>
          <w:spacing w:val="-5"/>
        </w:rPr>
        <w:t> </w:t>
      </w:r>
      <w:r>
        <w:rPr/>
        <w:t>the</w:t>
      </w:r>
      <w:r>
        <w:rPr>
          <w:spacing w:val="-5"/>
        </w:rPr>
        <w:t> </w:t>
      </w:r>
      <w:r>
        <w:rPr/>
        <w:t>Commissions</w:t>
      </w:r>
      <w:r>
        <w:rPr>
          <w:spacing w:val="-6"/>
        </w:rPr>
        <w:t> </w:t>
      </w:r>
      <w:r>
        <w:rPr/>
        <w:t>have</w:t>
      </w:r>
      <w:r>
        <w:rPr>
          <w:spacing w:val="-5"/>
        </w:rPr>
        <w:t> </w:t>
      </w:r>
      <w:r>
        <w:rPr/>
        <w:t>published</w:t>
      </w:r>
      <w:r>
        <w:rPr>
          <w:spacing w:val="-6"/>
        </w:rPr>
        <w:t> </w:t>
      </w:r>
      <w:r>
        <w:rPr/>
        <w:t>work</w:t>
      </w:r>
      <w:r>
        <w:rPr>
          <w:spacing w:val="-5"/>
        </w:rPr>
        <w:t> </w:t>
      </w:r>
      <w:r>
        <w:rPr/>
        <w:t>which</w:t>
      </w:r>
      <w:r>
        <w:rPr>
          <w:spacing w:val="-6"/>
        </w:rPr>
        <w:t> </w:t>
      </w:r>
      <w:r>
        <w:rPr/>
        <w:t>seeks</w:t>
      </w:r>
      <w:r>
        <w:rPr>
          <w:spacing w:val="-6"/>
        </w:rPr>
        <w:t> </w:t>
      </w:r>
      <w:r>
        <w:rPr/>
        <w:t>to</w:t>
      </w:r>
      <w:r>
        <w:rPr>
          <w:spacing w:val="-6"/>
        </w:rPr>
        <w:t> </w:t>
      </w:r>
      <w:r>
        <w:rPr/>
        <w:t>clarify</w:t>
      </w:r>
      <w:r>
        <w:rPr>
          <w:spacing w:val="-5"/>
        </w:rPr>
        <w:t> </w:t>
      </w:r>
      <w:r>
        <w:rPr/>
        <w:t>Article 2 including its scope.</w:t>
      </w:r>
    </w:p>
    <w:p>
      <w:pPr>
        <w:pStyle w:val="BodyText"/>
        <w:spacing w:before="39"/>
      </w:pPr>
    </w:p>
    <w:p>
      <w:pPr>
        <w:pStyle w:val="Heading3"/>
        <w:numPr>
          <w:ilvl w:val="2"/>
          <w:numId w:val="10"/>
        </w:numPr>
        <w:tabs>
          <w:tab w:pos="1755" w:val="left" w:leader="none"/>
        </w:tabs>
        <w:spacing w:line="336" w:lineRule="exact" w:before="0" w:after="0"/>
        <w:ind w:left="1755" w:right="0" w:hanging="638"/>
        <w:jc w:val="left"/>
      </w:pPr>
      <w:r>
        <w:rPr>
          <w:color w:val="004A93"/>
        </w:rPr>
        <w:t>The</w:t>
      </w:r>
      <w:r>
        <w:rPr>
          <w:color w:val="004A93"/>
          <w:spacing w:val="-5"/>
        </w:rPr>
        <w:t> </w:t>
      </w:r>
      <w:r>
        <w:rPr>
          <w:color w:val="004A93"/>
        </w:rPr>
        <w:t>Windsor</w:t>
      </w:r>
      <w:r>
        <w:rPr>
          <w:color w:val="004A93"/>
          <w:spacing w:val="-5"/>
        </w:rPr>
        <w:t> </w:t>
      </w:r>
      <w:r>
        <w:rPr>
          <w:color w:val="004A93"/>
          <w:spacing w:val="-2"/>
        </w:rPr>
        <w:t>Framework</w:t>
      </w:r>
    </w:p>
    <w:p>
      <w:pPr>
        <w:pStyle w:val="BodyText"/>
        <w:spacing w:line="232" w:lineRule="auto" w:before="2"/>
        <w:ind w:left="1117" w:right="835"/>
      </w:pPr>
      <w:r>
        <w:rPr/>
        <w:t>While the provisions</w:t>
      </w:r>
      <w:r>
        <w:rPr>
          <w:spacing w:val="-1"/>
        </w:rPr>
        <w:t> </w:t>
      </w:r>
      <w:r>
        <w:rPr/>
        <w:t>on</w:t>
      </w:r>
      <w:r>
        <w:rPr>
          <w:spacing w:val="-1"/>
        </w:rPr>
        <w:t> </w:t>
      </w:r>
      <w:r>
        <w:rPr/>
        <w:t>Article 2 did</w:t>
      </w:r>
      <w:r>
        <w:rPr>
          <w:spacing w:val="-1"/>
        </w:rPr>
        <w:t> </w:t>
      </w:r>
      <w:r>
        <w:rPr/>
        <w:t>not give rise to</w:t>
      </w:r>
      <w:r>
        <w:rPr>
          <w:spacing w:val="-1"/>
        </w:rPr>
        <w:t> </w:t>
      </w:r>
      <w:r>
        <w:rPr/>
        <w:t>much</w:t>
      </w:r>
      <w:r>
        <w:rPr>
          <w:spacing w:val="-1"/>
        </w:rPr>
        <w:t> </w:t>
      </w:r>
      <w:r>
        <w:rPr/>
        <w:t>political</w:t>
      </w:r>
      <w:r>
        <w:rPr>
          <w:spacing w:val="-1"/>
        </w:rPr>
        <w:t> </w:t>
      </w:r>
      <w:r>
        <w:rPr/>
        <w:t>controversy for some</w:t>
      </w:r>
      <w:r>
        <w:rPr>
          <w:spacing w:val="-5"/>
        </w:rPr>
        <w:t> </w:t>
      </w:r>
      <w:r>
        <w:rPr/>
        <w:t>time,</w:t>
      </w:r>
      <w:r>
        <w:rPr>
          <w:vertAlign w:val="superscript"/>
        </w:rPr>
        <w:t>64</w:t>
      </w:r>
      <w:r>
        <w:rPr>
          <w:spacing w:val="-6"/>
          <w:vertAlign w:val="baseline"/>
        </w:rPr>
        <w:t> </w:t>
      </w:r>
      <w:r>
        <w:rPr>
          <w:vertAlign w:val="baseline"/>
        </w:rPr>
        <w:t>the</w:t>
      </w:r>
      <w:r>
        <w:rPr>
          <w:spacing w:val="-5"/>
          <w:vertAlign w:val="baseline"/>
        </w:rPr>
        <w:t> </w:t>
      </w:r>
      <w:r>
        <w:rPr>
          <w:vertAlign w:val="baseline"/>
        </w:rPr>
        <w:t>same</w:t>
      </w:r>
      <w:r>
        <w:rPr>
          <w:spacing w:val="-5"/>
          <w:vertAlign w:val="baseline"/>
        </w:rPr>
        <w:t> </w:t>
      </w:r>
      <w:r>
        <w:rPr>
          <w:vertAlign w:val="baseline"/>
        </w:rPr>
        <w:t>is</w:t>
      </w:r>
      <w:r>
        <w:rPr>
          <w:spacing w:val="-6"/>
          <w:vertAlign w:val="baseline"/>
        </w:rPr>
        <w:t> </w:t>
      </w:r>
      <w:r>
        <w:rPr>
          <w:vertAlign w:val="baseline"/>
        </w:rPr>
        <w:t>not</w:t>
      </w:r>
      <w:r>
        <w:rPr>
          <w:spacing w:val="-5"/>
          <w:vertAlign w:val="baseline"/>
        </w:rPr>
        <w:t> </w:t>
      </w:r>
      <w:r>
        <w:rPr>
          <w:vertAlign w:val="baseline"/>
        </w:rPr>
        <w:t>true</w:t>
      </w:r>
      <w:r>
        <w:rPr>
          <w:spacing w:val="-5"/>
          <w:vertAlign w:val="baseline"/>
        </w:rPr>
        <w:t> </w:t>
      </w:r>
      <w:r>
        <w:rPr>
          <w:vertAlign w:val="baseline"/>
        </w:rPr>
        <w:t>of</w:t>
      </w:r>
      <w:r>
        <w:rPr>
          <w:spacing w:val="-6"/>
          <w:vertAlign w:val="baseline"/>
        </w:rPr>
        <w:t> </w:t>
      </w:r>
      <w:r>
        <w:rPr>
          <w:vertAlign w:val="baseline"/>
        </w:rPr>
        <w:t>those</w:t>
      </w:r>
      <w:r>
        <w:rPr>
          <w:spacing w:val="-5"/>
          <w:vertAlign w:val="baseline"/>
        </w:rPr>
        <w:t> </w:t>
      </w:r>
      <w:r>
        <w:rPr>
          <w:vertAlign w:val="baseline"/>
        </w:rPr>
        <w:t>parts</w:t>
      </w:r>
      <w:r>
        <w:rPr>
          <w:spacing w:val="-6"/>
          <w:vertAlign w:val="baseline"/>
        </w:rPr>
        <w:t> </w:t>
      </w:r>
      <w:r>
        <w:rPr>
          <w:vertAlign w:val="baseline"/>
        </w:rPr>
        <w:t>of</w:t>
      </w:r>
      <w:r>
        <w:rPr>
          <w:spacing w:val="-6"/>
          <w:vertAlign w:val="baseline"/>
        </w:rPr>
        <w:t> </w:t>
      </w:r>
      <w:r>
        <w:rPr>
          <w:vertAlign w:val="baseline"/>
        </w:rPr>
        <w:t>the</w:t>
      </w:r>
      <w:r>
        <w:rPr>
          <w:spacing w:val="-5"/>
          <w:vertAlign w:val="baseline"/>
        </w:rPr>
        <w:t> </w:t>
      </w:r>
      <w:r>
        <w:rPr>
          <w:vertAlign w:val="baseline"/>
        </w:rPr>
        <w:t>Protocol</w:t>
      </w:r>
      <w:r>
        <w:rPr>
          <w:spacing w:val="-6"/>
          <w:vertAlign w:val="baseline"/>
        </w:rPr>
        <w:t> </w:t>
      </w:r>
      <w:r>
        <w:rPr>
          <w:vertAlign w:val="baseline"/>
        </w:rPr>
        <w:t>relating</w:t>
      </w:r>
      <w:r>
        <w:rPr>
          <w:spacing w:val="-5"/>
          <w:vertAlign w:val="baseline"/>
        </w:rPr>
        <w:t> </w:t>
      </w:r>
      <w:r>
        <w:rPr>
          <w:vertAlign w:val="baseline"/>
        </w:rPr>
        <w:t>to</w:t>
      </w:r>
      <w:r>
        <w:rPr>
          <w:spacing w:val="-6"/>
          <w:vertAlign w:val="baseline"/>
        </w:rPr>
        <w:t> </w:t>
      </w:r>
      <w:r>
        <w:rPr>
          <w:vertAlign w:val="baseline"/>
        </w:rPr>
        <w:t>the</w:t>
      </w:r>
      <w:r>
        <w:rPr>
          <w:spacing w:val="-5"/>
          <w:vertAlign w:val="baseline"/>
        </w:rPr>
        <w:t> </w:t>
      </w:r>
      <w:r>
        <w:rPr>
          <w:vertAlign w:val="baseline"/>
        </w:rPr>
        <w:t>free movement of goods and the customs union. The UK and EU have adopted a series of measures to address issues with the working of these elements of the Protocol in a series of declarations, decisions and frameworks. As part of these changes,</w:t>
      </w:r>
      <w:r>
        <w:rPr>
          <w:spacing w:val="40"/>
          <w:vertAlign w:val="baseline"/>
        </w:rPr>
        <w:t> </w:t>
      </w:r>
      <w:r>
        <w:rPr>
          <w:vertAlign w:val="baseline"/>
        </w:rPr>
        <w:t>the Windsor Framework is the new name for the Protocol (and will be used for</w:t>
      </w:r>
    </w:p>
    <w:p>
      <w:pPr>
        <w:pStyle w:val="BodyText"/>
        <w:spacing w:line="232" w:lineRule="auto"/>
        <w:ind w:left="1117" w:right="738"/>
      </w:pPr>
      <w:r>
        <w:rPr/>
        <w:t>the rest of this report). Following the political agreement by the UK and EU on a new</w:t>
      </w:r>
      <w:r>
        <w:rPr>
          <w:spacing w:val="-6"/>
        </w:rPr>
        <w:t> </w:t>
      </w:r>
      <w:r>
        <w:rPr/>
        <w:t>way</w:t>
      </w:r>
      <w:r>
        <w:rPr>
          <w:spacing w:val="-6"/>
        </w:rPr>
        <w:t> </w:t>
      </w:r>
      <w:r>
        <w:rPr/>
        <w:t>forward</w:t>
      </w:r>
      <w:r>
        <w:rPr>
          <w:spacing w:val="-7"/>
        </w:rPr>
        <w:t> </w:t>
      </w:r>
      <w:r>
        <w:rPr/>
        <w:t>on</w:t>
      </w:r>
      <w:r>
        <w:rPr>
          <w:spacing w:val="-7"/>
        </w:rPr>
        <w:t> </w:t>
      </w:r>
      <w:r>
        <w:rPr/>
        <w:t>the</w:t>
      </w:r>
      <w:r>
        <w:rPr>
          <w:spacing w:val="-6"/>
        </w:rPr>
        <w:t> </w:t>
      </w:r>
      <w:r>
        <w:rPr/>
        <w:t>original</w:t>
      </w:r>
      <w:r>
        <w:rPr>
          <w:spacing w:val="-7"/>
        </w:rPr>
        <w:t> </w:t>
      </w:r>
      <w:r>
        <w:rPr/>
        <w:t>Protocol,</w:t>
      </w:r>
      <w:r>
        <w:rPr>
          <w:spacing w:val="-6"/>
        </w:rPr>
        <w:t> </w:t>
      </w:r>
      <w:r>
        <w:rPr/>
        <w:t>the</w:t>
      </w:r>
      <w:r>
        <w:rPr>
          <w:spacing w:val="-6"/>
        </w:rPr>
        <w:t> </w:t>
      </w:r>
      <w:r>
        <w:rPr/>
        <w:t>UK</w:t>
      </w:r>
      <w:r>
        <w:rPr>
          <w:spacing w:val="-6"/>
        </w:rPr>
        <w:t> </w:t>
      </w:r>
      <w:r>
        <w:rPr/>
        <w:t>Government</w:t>
      </w:r>
      <w:r>
        <w:rPr>
          <w:spacing w:val="-6"/>
        </w:rPr>
        <w:t> </w:t>
      </w:r>
      <w:r>
        <w:rPr/>
        <w:t>decided</w:t>
      </w:r>
      <w:r>
        <w:rPr>
          <w:spacing w:val="-7"/>
        </w:rPr>
        <w:t> </w:t>
      </w:r>
      <w:r>
        <w:rPr/>
        <w:t>to</w:t>
      </w:r>
      <w:r>
        <w:rPr>
          <w:spacing w:val="-7"/>
        </w:rPr>
        <w:t> </w:t>
      </w:r>
      <w:r>
        <w:rPr/>
        <w:t>drop</w:t>
      </w:r>
      <w:r>
        <w:rPr>
          <w:spacing w:val="-7"/>
        </w:rPr>
        <w:t> </w:t>
      </w:r>
      <w:r>
        <w:rPr/>
        <w:t>the contentious Northern Ireland Protocol Bill.</w:t>
      </w:r>
      <w:r>
        <w:rPr>
          <w:vertAlign w:val="superscript"/>
        </w:rPr>
        <w:t>65</w:t>
      </w:r>
    </w:p>
    <w:p>
      <w:pPr>
        <w:pStyle w:val="BodyText"/>
        <w:spacing w:line="232" w:lineRule="auto" w:before="270"/>
        <w:ind w:left="1117" w:right="738"/>
      </w:pPr>
      <w:r>
        <w:rPr/>
        <w:t>The UK-EU Joint Committee did not make any direct changes to Article 2 or to Annex</w:t>
      </w:r>
      <w:r>
        <w:rPr>
          <w:spacing w:val="-6"/>
        </w:rPr>
        <w:t> </w:t>
      </w:r>
      <w:r>
        <w:rPr/>
        <w:t>1.</w:t>
      </w:r>
      <w:r>
        <w:rPr>
          <w:spacing w:val="-6"/>
        </w:rPr>
        <w:t> </w:t>
      </w:r>
      <w:r>
        <w:rPr/>
        <w:t>The</w:t>
      </w:r>
      <w:r>
        <w:rPr>
          <w:spacing w:val="-5"/>
        </w:rPr>
        <w:t> </w:t>
      </w:r>
      <w:r>
        <w:rPr/>
        <w:t>Joint</w:t>
      </w:r>
      <w:r>
        <w:rPr>
          <w:spacing w:val="-5"/>
        </w:rPr>
        <w:t> </w:t>
      </w:r>
      <w:r>
        <w:rPr/>
        <w:t>Committee</w:t>
      </w:r>
      <w:r>
        <w:rPr>
          <w:spacing w:val="-5"/>
        </w:rPr>
        <w:t> </w:t>
      </w:r>
      <w:r>
        <w:rPr/>
        <w:t>did</w:t>
      </w:r>
      <w:r>
        <w:rPr>
          <w:spacing w:val="-6"/>
        </w:rPr>
        <w:t> </w:t>
      </w:r>
      <w:r>
        <w:rPr/>
        <w:t>adopt</w:t>
      </w:r>
      <w:r>
        <w:rPr>
          <w:spacing w:val="-5"/>
        </w:rPr>
        <w:t> </w:t>
      </w:r>
      <w:r>
        <w:rPr/>
        <w:t>changes</w:t>
      </w:r>
      <w:r>
        <w:rPr>
          <w:spacing w:val="-6"/>
        </w:rPr>
        <w:t> </w:t>
      </w:r>
      <w:r>
        <w:rPr/>
        <w:t>to</w:t>
      </w:r>
      <w:r>
        <w:rPr>
          <w:spacing w:val="-6"/>
        </w:rPr>
        <w:t> </w:t>
      </w:r>
      <w:r>
        <w:rPr/>
        <w:t>the</w:t>
      </w:r>
      <w:r>
        <w:rPr>
          <w:spacing w:val="-5"/>
        </w:rPr>
        <w:t> </w:t>
      </w:r>
      <w:r>
        <w:rPr/>
        <w:t>text</w:t>
      </w:r>
      <w:r>
        <w:rPr>
          <w:spacing w:val="-5"/>
        </w:rPr>
        <w:t> </w:t>
      </w:r>
      <w:r>
        <w:rPr/>
        <w:t>of</w:t>
      </w:r>
      <w:r>
        <w:rPr>
          <w:spacing w:val="-6"/>
        </w:rPr>
        <w:t> </w:t>
      </w:r>
      <w:r>
        <w:rPr/>
        <w:t>the</w:t>
      </w:r>
      <w:r>
        <w:rPr>
          <w:spacing w:val="-5"/>
        </w:rPr>
        <w:t> </w:t>
      </w:r>
      <w:r>
        <w:rPr/>
        <w:t>original</w:t>
      </w:r>
      <w:r>
        <w:rPr>
          <w:spacing w:val="-6"/>
        </w:rPr>
        <w:t> </w:t>
      </w:r>
      <w:r>
        <w:rPr/>
        <w:t>Protocol introducing a new Article 13(3a), based on the Assembly’s petition of concern</w:t>
      </w:r>
    </w:p>
    <w:p>
      <w:pPr>
        <w:pStyle w:val="BodyText"/>
        <w:spacing w:before="11"/>
        <w:rPr>
          <w:sz w:val="14"/>
        </w:rPr>
      </w:pPr>
      <w:r>
        <w:rPr/>
        <mc:AlternateContent>
          <mc:Choice Requires="wps">
            <w:drawing>
              <wp:anchor distT="0" distB="0" distL="0" distR="0" allowOverlap="1" layoutInCell="1" locked="0" behindDoc="1" simplePos="0" relativeHeight="487644160">
                <wp:simplePos x="0" y="0"/>
                <wp:positionH relativeFrom="page">
                  <wp:posOffset>899999</wp:posOffset>
                </wp:positionH>
                <wp:positionV relativeFrom="paragraph">
                  <wp:posOffset>131243</wp:posOffset>
                </wp:positionV>
                <wp:extent cx="6012180" cy="1270"/>
                <wp:effectExtent l="0" t="0" r="0" b="0"/>
                <wp:wrapTopAndBottom/>
                <wp:docPr id="308" name="Graphic 308"/>
                <wp:cNvGraphicFramePr>
                  <a:graphicFrameLocks/>
                </wp:cNvGraphicFramePr>
                <a:graphic>
                  <a:graphicData uri="http://schemas.microsoft.com/office/word/2010/wordprocessingShape">
                    <wps:wsp>
                      <wps:cNvPr id="308" name="Graphic 30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0.334099pt;width:473.4pt;height:.1pt;mso-position-horizontal-relative:page;mso-position-vertical-relative:paragraph;z-index:-15672320;mso-wrap-distance-left:0;mso-wrap-distance-right:0" id="docshape242" coordorigin="1417,207" coordsize="9468,0" path="m1417,207l10885,207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0" w:hanging="567"/>
        <w:jc w:val="left"/>
        <w:rPr>
          <w:sz w:val="18"/>
        </w:rPr>
      </w:pPr>
      <w:r>
        <w:rPr>
          <w:color w:val="1D71B8"/>
          <w:sz w:val="18"/>
          <w:u w:val="single" w:color="1D71B8"/>
        </w:rPr>
        <w:t>In</w:t>
      </w:r>
      <w:r>
        <w:rPr>
          <w:color w:val="1D71B8"/>
          <w:spacing w:val="-6"/>
          <w:sz w:val="18"/>
          <w:u w:val="single" w:color="1D71B8"/>
        </w:rPr>
        <w:t> </w:t>
      </w:r>
      <w:r>
        <w:rPr>
          <w:color w:val="1D71B8"/>
          <w:sz w:val="18"/>
          <w:u w:val="single" w:color="1D71B8"/>
        </w:rPr>
        <w:t>re</w:t>
      </w:r>
      <w:r>
        <w:rPr>
          <w:color w:val="1D71B8"/>
          <w:spacing w:val="-4"/>
          <w:sz w:val="18"/>
          <w:u w:val="single" w:color="1D71B8"/>
        </w:rPr>
        <w:t> </w:t>
      </w:r>
      <w:r>
        <w:rPr>
          <w:color w:val="1D71B8"/>
          <w:sz w:val="18"/>
          <w:u w:val="single" w:color="1D71B8"/>
        </w:rPr>
        <w:t>SPUC</w:t>
      </w:r>
      <w:r>
        <w:rPr>
          <w:color w:val="1D71B8"/>
          <w:spacing w:val="-5"/>
          <w:sz w:val="18"/>
          <w:u w:val="single" w:color="1D71B8"/>
        </w:rPr>
        <w:t> </w:t>
      </w:r>
      <w:r>
        <w:rPr>
          <w:color w:val="1D71B8"/>
          <w:sz w:val="18"/>
          <w:u w:val="single" w:color="1D71B8"/>
        </w:rPr>
        <w:t>Pro-Life</w:t>
      </w:r>
      <w:r>
        <w:rPr>
          <w:color w:val="1D71B8"/>
          <w:spacing w:val="-4"/>
          <w:sz w:val="18"/>
          <w:u w:val="single" w:color="1D71B8"/>
        </w:rPr>
        <w:t> </w:t>
      </w:r>
      <w:r>
        <w:rPr>
          <w:color w:val="1D71B8"/>
          <w:sz w:val="18"/>
          <w:u w:val="single" w:color="1D71B8"/>
        </w:rPr>
        <w:t>Ltd</w:t>
      </w:r>
      <w:r>
        <w:rPr>
          <w:color w:val="1D71B8"/>
          <w:spacing w:val="-5"/>
          <w:sz w:val="18"/>
          <w:u w:val="single" w:color="1D71B8"/>
        </w:rPr>
        <w:t> </w:t>
      </w:r>
      <w:r>
        <w:rPr>
          <w:color w:val="1D71B8"/>
          <w:sz w:val="18"/>
          <w:u w:val="single" w:color="1D71B8"/>
        </w:rPr>
        <w:t>(Abortion)</w:t>
      </w:r>
      <w:r>
        <w:rPr>
          <w:color w:val="1D71B8"/>
          <w:spacing w:val="-4"/>
          <w:sz w:val="18"/>
          <w:u w:val="none"/>
        </w:rPr>
        <w:t> </w:t>
      </w:r>
      <w:r>
        <w:rPr>
          <w:sz w:val="18"/>
          <w:u w:val="none"/>
        </w:rPr>
        <w:t>[2022]</w:t>
      </w:r>
      <w:r>
        <w:rPr>
          <w:spacing w:val="-4"/>
          <w:sz w:val="18"/>
          <w:u w:val="none"/>
        </w:rPr>
        <w:t> </w:t>
      </w:r>
      <w:r>
        <w:rPr>
          <w:sz w:val="18"/>
          <w:u w:val="none"/>
        </w:rPr>
        <w:t>NIQB</w:t>
      </w:r>
      <w:r>
        <w:rPr>
          <w:spacing w:val="-5"/>
          <w:sz w:val="18"/>
          <w:u w:val="none"/>
        </w:rPr>
        <w:t> </w:t>
      </w:r>
      <w:r>
        <w:rPr>
          <w:sz w:val="18"/>
          <w:u w:val="none"/>
        </w:rPr>
        <w:t>9,</w:t>
      </w:r>
      <w:r>
        <w:rPr>
          <w:spacing w:val="-4"/>
          <w:sz w:val="18"/>
          <w:u w:val="none"/>
        </w:rPr>
        <w:t> </w:t>
      </w:r>
      <w:r>
        <w:rPr>
          <w:sz w:val="18"/>
          <w:u w:val="none"/>
        </w:rPr>
        <w:t>(8</w:t>
      </w:r>
      <w:r>
        <w:rPr>
          <w:spacing w:val="-4"/>
          <w:sz w:val="18"/>
          <w:u w:val="none"/>
        </w:rPr>
        <w:t> </w:t>
      </w:r>
      <w:r>
        <w:rPr>
          <w:sz w:val="18"/>
          <w:u w:val="none"/>
        </w:rPr>
        <w:t>February</w:t>
      </w:r>
      <w:r>
        <w:rPr>
          <w:spacing w:val="-4"/>
          <w:sz w:val="18"/>
          <w:u w:val="none"/>
        </w:rPr>
        <w:t> </w:t>
      </w:r>
      <w:r>
        <w:rPr>
          <w:sz w:val="18"/>
          <w:u w:val="none"/>
        </w:rPr>
        <w:t>2022)</w:t>
      </w:r>
      <w:r>
        <w:rPr>
          <w:spacing w:val="-5"/>
          <w:sz w:val="18"/>
          <w:u w:val="none"/>
        </w:rPr>
        <w:t> </w:t>
      </w:r>
      <w:r>
        <w:rPr>
          <w:sz w:val="18"/>
          <w:u w:val="none"/>
        </w:rPr>
        <w:t>and</w:t>
      </w:r>
      <w:r>
        <w:rPr>
          <w:spacing w:val="-5"/>
          <w:sz w:val="18"/>
          <w:u w:val="none"/>
        </w:rPr>
        <w:t> </w:t>
      </w:r>
      <w:hyperlink r:id="rId32">
        <w:r>
          <w:rPr>
            <w:color w:val="1D71B8"/>
            <w:sz w:val="18"/>
            <w:u w:val="single" w:color="1D71B8"/>
          </w:rPr>
          <w:t>In</w:t>
        </w:r>
        <w:r>
          <w:rPr>
            <w:color w:val="1D71B8"/>
            <w:spacing w:val="-5"/>
            <w:sz w:val="18"/>
            <w:u w:val="single" w:color="1D71B8"/>
          </w:rPr>
          <w:t> </w:t>
        </w:r>
        <w:r>
          <w:rPr>
            <w:color w:val="1D71B8"/>
            <w:sz w:val="18"/>
            <w:u w:val="single" w:color="1D71B8"/>
          </w:rPr>
          <w:t>re</w:t>
        </w:r>
        <w:r>
          <w:rPr>
            <w:color w:val="1D71B8"/>
            <w:spacing w:val="-4"/>
            <w:sz w:val="18"/>
            <w:u w:val="single" w:color="1D71B8"/>
          </w:rPr>
          <w:t> </w:t>
        </w:r>
        <w:r>
          <w:rPr>
            <w:color w:val="1D71B8"/>
            <w:sz w:val="18"/>
            <w:u w:val="single" w:color="1D71B8"/>
          </w:rPr>
          <w:t>SPUC</w:t>
        </w:r>
        <w:r>
          <w:rPr>
            <w:color w:val="1D71B8"/>
            <w:spacing w:val="-5"/>
            <w:sz w:val="18"/>
            <w:u w:val="single" w:color="1D71B8"/>
          </w:rPr>
          <w:t> </w:t>
        </w:r>
        <w:r>
          <w:rPr>
            <w:color w:val="1D71B8"/>
            <w:sz w:val="18"/>
            <w:u w:val="single" w:color="1D71B8"/>
          </w:rPr>
          <w:t>Pro-Life</w:t>
        </w:r>
        <w:r>
          <w:rPr>
            <w:color w:val="1D71B8"/>
            <w:spacing w:val="-5"/>
            <w:sz w:val="18"/>
            <w:u w:val="single" w:color="1D71B8"/>
          </w:rPr>
          <w:t> </w:t>
        </w:r>
        <w:r>
          <w:rPr>
            <w:color w:val="1D71B8"/>
            <w:sz w:val="18"/>
            <w:u w:val="single" w:color="1D71B8"/>
          </w:rPr>
          <w:t>Ltd</w:t>
        </w:r>
        <w:r>
          <w:rPr>
            <w:color w:val="1D71B8"/>
            <w:spacing w:val="-5"/>
            <w:sz w:val="18"/>
            <w:u w:val="single" w:color="1D71B8"/>
          </w:rPr>
          <w:t> </w:t>
        </w:r>
        <w:r>
          <w:rPr>
            <w:color w:val="1D71B8"/>
            <w:sz w:val="18"/>
            <w:u w:val="single" w:color="1D71B8"/>
          </w:rPr>
          <w:t>(Abortion)</w:t>
        </w:r>
      </w:hyperlink>
      <w:r>
        <w:rPr>
          <w:color w:val="1D71B8"/>
          <w:spacing w:val="-4"/>
          <w:sz w:val="18"/>
          <w:u w:val="none"/>
        </w:rPr>
        <w:t> </w:t>
      </w:r>
      <w:r>
        <w:rPr>
          <w:sz w:val="18"/>
          <w:u w:val="none"/>
        </w:rPr>
        <w:t>[2023]</w:t>
      </w:r>
      <w:r>
        <w:rPr>
          <w:spacing w:val="-4"/>
          <w:sz w:val="18"/>
          <w:u w:val="none"/>
        </w:rPr>
        <w:t> </w:t>
      </w:r>
      <w:r>
        <w:rPr>
          <w:sz w:val="18"/>
          <w:u w:val="none"/>
        </w:rPr>
        <w:t>NICA</w:t>
      </w:r>
      <w:r>
        <w:rPr>
          <w:spacing w:val="-4"/>
          <w:sz w:val="18"/>
          <w:u w:val="none"/>
        </w:rPr>
        <w:t> </w:t>
      </w:r>
      <w:r>
        <w:rPr>
          <w:spacing w:val="-5"/>
          <w:sz w:val="18"/>
          <w:u w:val="none"/>
        </w:rPr>
        <w:t>35,</w:t>
      </w:r>
    </w:p>
    <w:p>
      <w:pPr>
        <w:spacing w:before="1"/>
        <w:ind w:left="1684" w:right="0" w:firstLine="0"/>
        <w:jc w:val="left"/>
        <w:rPr>
          <w:sz w:val="18"/>
        </w:rPr>
      </w:pPr>
      <w:r>
        <w:rPr>
          <w:sz w:val="18"/>
        </w:rPr>
        <w:t>(25</w:t>
      </w:r>
      <w:r>
        <w:rPr>
          <w:spacing w:val="-2"/>
          <w:sz w:val="18"/>
        </w:rPr>
        <w:t> </w:t>
      </w:r>
      <w:r>
        <w:rPr>
          <w:sz w:val="18"/>
        </w:rPr>
        <w:t>May</w:t>
      </w:r>
      <w:r>
        <w:rPr>
          <w:spacing w:val="-2"/>
          <w:sz w:val="18"/>
        </w:rPr>
        <w:t> 2023).</w:t>
      </w:r>
    </w:p>
    <w:p>
      <w:pPr>
        <w:pStyle w:val="ListParagraph"/>
        <w:numPr>
          <w:ilvl w:val="0"/>
          <w:numId w:val="9"/>
        </w:numPr>
        <w:tabs>
          <w:tab w:pos="1684" w:val="left" w:leader="none"/>
        </w:tabs>
        <w:spacing w:line="240" w:lineRule="auto" w:before="0" w:after="0"/>
        <w:ind w:left="1684" w:right="984" w:hanging="567"/>
        <w:jc w:val="left"/>
        <w:rPr>
          <w:sz w:val="18"/>
        </w:rPr>
      </w:pPr>
      <w:r>
        <w:rPr>
          <w:color w:val="1D71B8"/>
          <w:sz w:val="18"/>
          <w:u w:val="single" w:color="1D71B8"/>
        </w:rPr>
        <w:t>In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matter</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an</w:t>
      </w:r>
      <w:r>
        <w:rPr>
          <w:color w:val="1D71B8"/>
          <w:spacing w:val="-4"/>
          <w:sz w:val="18"/>
          <w:u w:val="single" w:color="1D71B8"/>
        </w:rPr>
        <w:t> </w:t>
      </w:r>
      <w:r>
        <w:rPr>
          <w:color w:val="1D71B8"/>
          <w:sz w:val="18"/>
          <w:u w:val="single" w:color="1D71B8"/>
        </w:rPr>
        <w:t>application</w:t>
      </w:r>
      <w:r>
        <w:rPr>
          <w:color w:val="1D71B8"/>
          <w:spacing w:val="-4"/>
          <w:sz w:val="18"/>
          <w:u w:val="single" w:color="1D71B8"/>
        </w:rPr>
        <w:t> </w:t>
      </w:r>
      <w:r>
        <w:rPr>
          <w:color w:val="1D71B8"/>
          <w:sz w:val="18"/>
          <w:u w:val="single" w:color="1D71B8"/>
        </w:rPr>
        <w:t>by</w:t>
      </w:r>
      <w:r>
        <w:rPr>
          <w:color w:val="1D71B8"/>
          <w:spacing w:val="-3"/>
          <w:sz w:val="18"/>
          <w:u w:val="single" w:color="1D71B8"/>
        </w:rPr>
        <w:t> </w:t>
      </w:r>
      <w:r>
        <w:rPr>
          <w:color w:val="1D71B8"/>
          <w:sz w:val="18"/>
          <w:u w:val="single" w:color="1D71B8"/>
        </w:rPr>
        <w:t>Aman</w:t>
      </w:r>
      <w:r>
        <w:rPr>
          <w:color w:val="1D71B8"/>
          <w:spacing w:val="-4"/>
          <w:sz w:val="18"/>
          <w:u w:val="single" w:color="1D71B8"/>
        </w:rPr>
        <w:t> </w:t>
      </w:r>
      <w:r>
        <w:rPr>
          <w:color w:val="1D71B8"/>
          <w:sz w:val="18"/>
          <w:u w:val="single" w:color="1D71B8"/>
        </w:rPr>
        <w:t>Angesom</w:t>
      </w:r>
      <w:r>
        <w:rPr>
          <w:color w:val="1D71B8"/>
          <w:spacing w:val="-3"/>
          <w:sz w:val="18"/>
          <w:u w:val="single" w:color="1D71B8"/>
        </w:rPr>
        <w:t> </w:t>
      </w:r>
      <w:r>
        <w:rPr>
          <w:color w:val="1D71B8"/>
          <w:sz w:val="18"/>
          <w:u w:val="single" w:color="1D71B8"/>
        </w:rPr>
        <w:t>for</w:t>
      </w:r>
      <w:r>
        <w:rPr>
          <w:color w:val="1D71B8"/>
          <w:spacing w:val="-3"/>
          <w:sz w:val="18"/>
          <w:u w:val="single" w:color="1D71B8"/>
        </w:rPr>
        <w:t> </w:t>
      </w:r>
      <w:r>
        <w:rPr>
          <w:color w:val="1D71B8"/>
          <w:sz w:val="18"/>
          <w:u w:val="single" w:color="1D71B8"/>
        </w:rPr>
        <w:t>judicial</w:t>
      </w:r>
      <w:r>
        <w:rPr>
          <w:color w:val="1D71B8"/>
          <w:spacing w:val="-4"/>
          <w:sz w:val="18"/>
          <w:u w:val="single" w:color="1D71B8"/>
        </w:rPr>
        <w:t> </w:t>
      </w:r>
      <w:r>
        <w:rPr>
          <w:color w:val="1D71B8"/>
          <w:sz w:val="18"/>
          <w:u w:val="single" w:color="1D71B8"/>
        </w:rPr>
        <w:t>review</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matter</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a</w:t>
      </w:r>
      <w:r>
        <w:rPr>
          <w:color w:val="1D71B8"/>
          <w:spacing w:val="-4"/>
          <w:sz w:val="18"/>
          <w:u w:val="single" w:color="1D71B8"/>
        </w:rPr>
        <w:t> </w:t>
      </w:r>
      <w:r>
        <w:rPr>
          <w:color w:val="1D71B8"/>
          <w:sz w:val="18"/>
          <w:u w:val="single" w:color="1D71B8"/>
        </w:rPr>
        <w:t>decision</w:t>
      </w:r>
      <w:r>
        <w:rPr>
          <w:color w:val="1D71B8"/>
          <w:spacing w:val="-4"/>
          <w:sz w:val="18"/>
          <w:u w:val="single" w:color="1D71B8"/>
        </w:rPr>
        <w:t> </w:t>
      </w:r>
      <w:r>
        <w:rPr>
          <w:color w:val="1D71B8"/>
          <w:sz w:val="18"/>
          <w:u w:val="single" w:color="1D71B8"/>
        </w:rPr>
        <w:t>by</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Secretary</w:t>
      </w:r>
      <w:r>
        <w:rPr>
          <w:color w:val="1D71B8"/>
          <w:spacing w:val="-3"/>
          <w:sz w:val="18"/>
          <w:u w:val="single" w:color="1D71B8"/>
        </w:rPr>
        <w:t> </w:t>
      </w:r>
      <w:r>
        <w:rPr>
          <w:color w:val="1D71B8"/>
          <w:sz w:val="18"/>
          <w:u w:val="single" w:color="1D71B8"/>
        </w:rPr>
        <w:t>of</w:t>
      </w:r>
      <w:r>
        <w:rPr>
          <w:color w:val="1D71B8"/>
          <w:sz w:val="18"/>
          <w:u w:val="none"/>
        </w:rPr>
        <w:t> </w:t>
      </w:r>
      <w:r>
        <w:rPr>
          <w:color w:val="1D71B8"/>
          <w:sz w:val="18"/>
          <w:u w:val="single" w:color="1D71B8"/>
        </w:rPr>
        <w:t>State for the Home Department, Northern Ireland Human Rights Commission and Equality Commission for Northern</w:t>
      </w:r>
      <w:r>
        <w:rPr>
          <w:color w:val="1D71B8"/>
          <w:sz w:val="18"/>
          <w:u w:val="none"/>
        </w:rPr>
        <w:t> </w:t>
      </w:r>
      <w:r>
        <w:rPr>
          <w:color w:val="1D71B8"/>
          <w:sz w:val="18"/>
          <w:u w:val="single" w:color="1D71B8"/>
        </w:rPr>
        <w:t>Ireland intervening</w:t>
      </w:r>
      <w:r>
        <w:rPr>
          <w:color w:val="1D71B8"/>
          <w:sz w:val="18"/>
          <w:u w:val="none"/>
        </w:rPr>
        <w:t> </w:t>
      </w:r>
      <w:r>
        <w:rPr>
          <w:sz w:val="18"/>
          <w:u w:val="none"/>
        </w:rPr>
        <w:t>[2023] NIKB 102, (18 October 2023).</w:t>
      </w:r>
    </w:p>
    <w:p>
      <w:pPr>
        <w:pStyle w:val="ListParagraph"/>
        <w:numPr>
          <w:ilvl w:val="0"/>
          <w:numId w:val="9"/>
        </w:numPr>
        <w:tabs>
          <w:tab w:pos="1684" w:val="left" w:leader="none"/>
        </w:tabs>
        <w:spacing w:line="240" w:lineRule="auto" w:before="1" w:after="0"/>
        <w:ind w:left="1684" w:right="0" w:hanging="567"/>
        <w:jc w:val="left"/>
        <w:rPr>
          <w:sz w:val="18"/>
        </w:rPr>
      </w:pPr>
      <w:r>
        <w:rPr>
          <w:color w:val="1D71B8"/>
          <w:sz w:val="18"/>
          <w:u w:val="single" w:color="1D71B8"/>
        </w:rPr>
        <w:t>Legacy</w:t>
      </w:r>
      <w:r>
        <w:rPr>
          <w:color w:val="1D71B8"/>
          <w:spacing w:val="-4"/>
          <w:sz w:val="18"/>
          <w:u w:val="single" w:color="1D71B8"/>
        </w:rPr>
        <w:t> </w:t>
      </w:r>
      <w:r>
        <w:rPr>
          <w:color w:val="1D71B8"/>
          <w:sz w:val="18"/>
          <w:u w:val="single" w:color="1D71B8"/>
        </w:rPr>
        <w:t>Act</w:t>
      </w:r>
      <w:r>
        <w:rPr>
          <w:color w:val="1D71B8"/>
          <w:spacing w:val="-3"/>
          <w:sz w:val="18"/>
          <w:u w:val="single" w:color="1D71B8"/>
        </w:rPr>
        <w:t> </w:t>
      </w:r>
      <w:r>
        <w:rPr>
          <w:color w:val="1D71B8"/>
          <w:sz w:val="18"/>
          <w:u w:val="single" w:color="1D71B8"/>
        </w:rPr>
        <w:t>cases</w:t>
      </w:r>
      <w:r>
        <w:rPr>
          <w:color w:val="1D71B8"/>
          <w:spacing w:val="-3"/>
          <w:sz w:val="18"/>
          <w:u w:val="single" w:color="1D71B8"/>
        </w:rPr>
        <w:t> </w:t>
      </w:r>
      <w:r>
        <w:rPr>
          <w:color w:val="1D71B8"/>
          <w:sz w:val="18"/>
          <w:u w:val="single" w:color="1D71B8"/>
        </w:rPr>
        <w:t>(Dillon</w:t>
      </w:r>
      <w:r>
        <w:rPr>
          <w:color w:val="1D71B8"/>
          <w:spacing w:val="-4"/>
          <w:sz w:val="18"/>
          <w:u w:val="single" w:color="1D71B8"/>
        </w:rPr>
        <w:t> </w:t>
      </w:r>
      <w:r>
        <w:rPr>
          <w:color w:val="1D71B8"/>
          <w:sz w:val="18"/>
          <w:u w:val="single" w:color="1D71B8"/>
        </w:rPr>
        <w:t>and</w:t>
      </w:r>
      <w:r>
        <w:rPr>
          <w:color w:val="1D71B8"/>
          <w:spacing w:val="-3"/>
          <w:sz w:val="18"/>
          <w:u w:val="single" w:color="1D71B8"/>
        </w:rPr>
        <w:t> </w:t>
      </w:r>
      <w:r>
        <w:rPr>
          <w:color w:val="1D71B8"/>
          <w:sz w:val="18"/>
          <w:u w:val="single" w:color="1D71B8"/>
        </w:rPr>
        <w:t>others)</w:t>
      </w:r>
      <w:r>
        <w:rPr>
          <w:sz w:val="18"/>
          <w:u w:val="none"/>
        </w:rPr>
        <w:t>,</w:t>
      </w:r>
      <w:r>
        <w:rPr>
          <w:spacing w:val="-3"/>
          <w:sz w:val="18"/>
          <w:u w:val="none"/>
        </w:rPr>
        <w:t> </w:t>
      </w:r>
      <w:r>
        <w:rPr>
          <w:sz w:val="18"/>
          <w:u w:val="none"/>
        </w:rPr>
        <w:t>[2024]</w:t>
      </w:r>
      <w:r>
        <w:rPr>
          <w:spacing w:val="-3"/>
          <w:sz w:val="18"/>
          <w:u w:val="none"/>
        </w:rPr>
        <w:t> </w:t>
      </w:r>
      <w:r>
        <w:rPr>
          <w:sz w:val="18"/>
          <w:u w:val="none"/>
        </w:rPr>
        <w:t>NIKB</w:t>
      </w:r>
      <w:r>
        <w:rPr>
          <w:spacing w:val="-3"/>
          <w:sz w:val="18"/>
          <w:u w:val="none"/>
        </w:rPr>
        <w:t> </w:t>
      </w:r>
      <w:r>
        <w:rPr>
          <w:spacing w:val="-5"/>
          <w:sz w:val="18"/>
          <w:u w:val="none"/>
        </w:rPr>
        <w:t>11.</w:t>
      </w:r>
    </w:p>
    <w:p>
      <w:pPr>
        <w:pStyle w:val="ListParagraph"/>
        <w:numPr>
          <w:ilvl w:val="0"/>
          <w:numId w:val="9"/>
        </w:numPr>
        <w:tabs>
          <w:tab w:pos="1684" w:val="left" w:leader="none"/>
        </w:tabs>
        <w:spacing w:line="240" w:lineRule="auto" w:before="0" w:after="0"/>
        <w:ind w:left="1684" w:right="1406" w:hanging="567"/>
        <w:jc w:val="left"/>
        <w:rPr>
          <w:sz w:val="18"/>
        </w:rPr>
      </w:pPr>
      <w:r>
        <w:rPr>
          <w:sz w:val="18"/>
        </w:rPr>
        <w:t>Northern</w:t>
      </w:r>
      <w:r>
        <w:rPr>
          <w:spacing w:val="-6"/>
          <w:sz w:val="18"/>
        </w:rPr>
        <w:t> </w:t>
      </w:r>
      <w:r>
        <w:rPr>
          <w:sz w:val="18"/>
        </w:rPr>
        <w:t>Ireland</w:t>
      </w:r>
      <w:r>
        <w:rPr>
          <w:spacing w:val="-6"/>
          <w:sz w:val="18"/>
        </w:rPr>
        <w:t> </w:t>
      </w:r>
      <w:r>
        <w:rPr>
          <w:sz w:val="18"/>
        </w:rPr>
        <w:t>Human</w:t>
      </w:r>
      <w:r>
        <w:rPr>
          <w:spacing w:val="-6"/>
          <w:sz w:val="18"/>
        </w:rPr>
        <w:t> </w:t>
      </w:r>
      <w:r>
        <w:rPr>
          <w:sz w:val="18"/>
        </w:rPr>
        <w:t>Rights</w:t>
      </w:r>
      <w:r>
        <w:rPr>
          <w:spacing w:val="-6"/>
          <w:sz w:val="18"/>
        </w:rPr>
        <w:t> </w:t>
      </w:r>
      <w:r>
        <w:rPr>
          <w:sz w:val="18"/>
        </w:rPr>
        <w:t>Commission’s</w:t>
      </w:r>
      <w:r>
        <w:rPr>
          <w:spacing w:val="-6"/>
          <w:sz w:val="18"/>
        </w:rPr>
        <w:t> </w:t>
      </w:r>
      <w:r>
        <w:rPr>
          <w:sz w:val="18"/>
        </w:rPr>
        <w:t>Application</w:t>
      </w:r>
      <w:r>
        <w:rPr>
          <w:spacing w:val="-6"/>
          <w:sz w:val="18"/>
        </w:rPr>
        <w:t> </w:t>
      </w:r>
      <w:r>
        <w:rPr>
          <w:sz w:val="18"/>
        </w:rPr>
        <w:t>and</w:t>
      </w:r>
      <w:r>
        <w:rPr>
          <w:spacing w:val="-6"/>
          <w:sz w:val="18"/>
        </w:rPr>
        <w:t> </w:t>
      </w:r>
      <w:r>
        <w:rPr>
          <w:sz w:val="18"/>
        </w:rPr>
        <w:t>JR295’s</w:t>
      </w:r>
      <w:r>
        <w:rPr>
          <w:spacing w:val="-6"/>
          <w:sz w:val="18"/>
        </w:rPr>
        <w:t> </w:t>
      </w:r>
      <w:r>
        <w:rPr>
          <w:sz w:val="18"/>
        </w:rPr>
        <w:t>Application</w:t>
      </w:r>
      <w:r>
        <w:rPr>
          <w:spacing w:val="-6"/>
          <w:sz w:val="18"/>
        </w:rPr>
        <w:t> </w:t>
      </w:r>
      <w:r>
        <w:rPr>
          <w:sz w:val="18"/>
        </w:rPr>
        <w:t>and</w:t>
      </w:r>
      <w:r>
        <w:rPr>
          <w:spacing w:val="-6"/>
          <w:sz w:val="18"/>
        </w:rPr>
        <w:t> </w:t>
      </w:r>
      <w:r>
        <w:rPr>
          <w:sz w:val="18"/>
        </w:rPr>
        <w:t>In</w:t>
      </w:r>
      <w:r>
        <w:rPr>
          <w:spacing w:val="-6"/>
          <w:sz w:val="18"/>
        </w:rPr>
        <w:t> </w:t>
      </w:r>
      <w:r>
        <w:rPr>
          <w:sz w:val="18"/>
        </w:rPr>
        <w:t>the</w:t>
      </w:r>
      <w:r>
        <w:rPr>
          <w:spacing w:val="-5"/>
          <w:sz w:val="18"/>
        </w:rPr>
        <w:t> </w:t>
      </w:r>
      <w:r>
        <w:rPr>
          <w:sz w:val="18"/>
        </w:rPr>
        <w:t>matter</w:t>
      </w:r>
      <w:r>
        <w:rPr>
          <w:spacing w:val="-5"/>
          <w:sz w:val="18"/>
        </w:rPr>
        <w:t> </w:t>
      </w:r>
      <w:r>
        <w:rPr>
          <w:sz w:val="18"/>
        </w:rPr>
        <w:t>of</w:t>
      </w:r>
      <w:r>
        <w:rPr>
          <w:spacing w:val="-6"/>
          <w:sz w:val="18"/>
        </w:rPr>
        <w:t> </w:t>
      </w:r>
      <w:r>
        <w:rPr>
          <w:sz w:val="18"/>
        </w:rPr>
        <w:t>The</w:t>
      </w:r>
      <w:r>
        <w:rPr>
          <w:spacing w:val="-5"/>
          <w:sz w:val="18"/>
        </w:rPr>
        <w:t> </w:t>
      </w:r>
      <w:r>
        <w:rPr>
          <w:sz w:val="18"/>
        </w:rPr>
        <w:t>Illegal Migration Act 2023; [2024] NIKB 35, (13 May 2024) (</w:t>
      </w:r>
      <w:r>
        <w:rPr>
          <w:color w:val="1D71B8"/>
          <w:sz w:val="18"/>
          <w:u w:val="single" w:color="1D71B8"/>
        </w:rPr>
        <w:t>Illegal Migration Act case</w:t>
      </w:r>
      <w:r>
        <w:rPr>
          <w:sz w:val="18"/>
          <w:u w:val="none"/>
        </w:rPr>
        <w:t>).</w:t>
      </w:r>
    </w:p>
    <w:p>
      <w:pPr>
        <w:pStyle w:val="ListParagraph"/>
        <w:numPr>
          <w:ilvl w:val="0"/>
          <w:numId w:val="9"/>
        </w:numPr>
        <w:tabs>
          <w:tab w:pos="1684" w:val="left" w:leader="none"/>
        </w:tabs>
        <w:spacing w:line="240" w:lineRule="auto" w:before="1" w:after="0"/>
        <w:ind w:left="1684" w:right="795" w:hanging="567"/>
        <w:jc w:val="left"/>
        <w:rPr>
          <w:sz w:val="18"/>
        </w:rPr>
      </w:pPr>
      <w:r>
        <w:rPr>
          <w:sz w:val="18"/>
        </w:rPr>
        <w:t>The debate on the Safety of Rwanda Bill indicates some differing views on the merits, operation and indeed applicability of Article 2 – see the interventions by Jim Shannon, Sammy Wilson, Claire Hanna and Michael Tomlinson in Hansard, </w:t>
      </w:r>
      <w:r>
        <w:rPr>
          <w:color w:val="1D71B8"/>
          <w:sz w:val="18"/>
          <w:u w:val="single" w:color="1D71B8"/>
        </w:rPr>
        <w:t>Safety</w:t>
      </w:r>
      <w:r>
        <w:rPr>
          <w:color w:val="1D71B8"/>
          <w:spacing w:val="-2"/>
          <w:sz w:val="18"/>
          <w:u w:val="single" w:color="1D71B8"/>
        </w:rPr>
        <w:t> </w:t>
      </w:r>
      <w:r>
        <w:rPr>
          <w:color w:val="1D71B8"/>
          <w:sz w:val="18"/>
          <w:u w:val="single" w:color="1D71B8"/>
        </w:rPr>
        <w:t>of</w:t>
      </w:r>
      <w:r>
        <w:rPr>
          <w:color w:val="1D71B8"/>
          <w:spacing w:val="-3"/>
          <w:sz w:val="18"/>
          <w:u w:val="single" w:color="1D71B8"/>
        </w:rPr>
        <w:t> </w:t>
      </w:r>
      <w:r>
        <w:rPr>
          <w:color w:val="1D71B8"/>
          <w:sz w:val="18"/>
          <w:u w:val="single" w:color="1D71B8"/>
        </w:rPr>
        <w:t>Rwanda</w:t>
      </w:r>
      <w:r>
        <w:rPr>
          <w:color w:val="1D71B8"/>
          <w:spacing w:val="-3"/>
          <w:sz w:val="18"/>
          <w:u w:val="single" w:color="1D71B8"/>
        </w:rPr>
        <w:t> </w:t>
      </w:r>
      <w:r>
        <w:rPr>
          <w:color w:val="1D71B8"/>
          <w:sz w:val="18"/>
          <w:u w:val="single" w:color="1D71B8"/>
        </w:rPr>
        <w:t>(Asylum</w:t>
      </w:r>
      <w:r>
        <w:rPr>
          <w:color w:val="1D71B8"/>
          <w:spacing w:val="-2"/>
          <w:sz w:val="18"/>
          <w:u w:val="single" w:color="1D71B8"/>
        </w:rPr>
        <w:t> </w:t>
      </w:r>
      <w:r>
        <w:rPr>
          <w:color w:val="1D71B8"/>
          <w:sz w:val="18"/>
          <w:u w:val="single" w:color="1D71B8"/>
        </w:rPr>
        <w:t>and</w:t>
      </w:r>
      <w:r>
        <w:rPr>
          <w:color w:val="1D71B8"/>
          <w:spacing w:val="-3"/>
          <w:sz w:val="18"/>
          <w:u w:val="single" w:color="1D71B8"/>
        </w:rPr>
        <w:t> </w:t>
      </w:r>
      <w:r>
        <w:rPr>
          <w:color w:val="1D71B8"/>
          <w:sz w:val="18"/>
          <w:u w:val="single" w:color="1D71B8"/>
        </w:rPr>
        <w:t>Immigration)</w:t>
      </w:r>
      <w:r>
        <w:rPr>
          <w:color w:val="1D71B8"/>
          <w:spacing w:val="-3"/>
          <w:sz w:val="18"/>
          <w:u w:val="single" w:color="1D71B8"/>
        </w:rPr>
        <w:t> </w:t>
      </w:r>
      <w:r>
        <w:rPr>
          <w:color w:val="1D71B8"/>
          <w:sz w:val="18"/>
          <w:u w:val="single" w:color="1D71B8"/>
        </w:rPr>
        <w:t>Bill</w:t>
      </w:r>
      <w:r>
        <w:rPr>
          <w:color w:val="1D71B8"/>
          <w:spacing w:val="-3"/>
          <w:sz w:val="18"/>
          <w:u w:val="single" w:color="1D71B8"/>
        </w:rPr>
        <w:t> </w:t>
      </w:r>
      <w:r>
        <w:rPr>
          <w:color w:val="1D71B8"/>
          <w:sz w:val="18"/>
          <w:u w:val="single" w:color="1D71B8"/>
        </w:rPr>
        <w:t>Second</w:t>
      </w:r>
      <w:r>
        <w:rPr>
          <w:color w:val="1D71B8"/>
          <w:spacing w:val="-3"/>
          <w:sz w:val="18"/>
          <w:u w:val="single" w:color="1D71B8"/>
        </w:rPr>
        <w:t> </w:t>
      </w:r>
      <w:r>
        <w:rPr>
          <w:color w:val="1D71B8"/>
          <w:sz w:val="18"/>
          <w:u w:val="single" w:color="1D71B8"/>
        </w:rPr>
        <w:t>Reading</w:t>
      </w:r>
      <w:r>
        <w:rPr>
          <w:color w:val="1D71B8"/>
          <w:spacing w:val="-3"/>
          <w:sz w:val="18"/>
          <w:u w:val="none"/>
        </w:rPr>
        <w:t> </w:t>
      </w:r>
      <w:r>
        <w:rPr>
          <w:sz w:val="18"/>
          <w:u w:val="none"/>
        </w:rPr>
        <w:t>(12</w:t>
      </w:r>
      <w:r>
        <w:rPr>
          <w:spacing w:val="-2"/>
          <w:sz w:val="18"/>
          <w:u w:val="none"/>
        </w:rPr>
        <w:t> </w:t>
      </w:r>
      <w:r>
        <w:rPr>
          <w:sz w:val="18"/>
          <w:u w:val="none"/>
        </w:rPr>
        <w:t>December</w:t>
      </w:r>
      <w:r>
        <w:rPr>
          <w:spacing w:val="-2"/>
          <w:sz w:val="18"/>
          <w:u w:val="none"/>
        </w:rPr>
        <w:t> </w:t>
      </w:r>
      <w:r>
        <w:rPr>
          <w:sz w:val="18"/>
          <w:u w:val="none"/>
        </w:rPr>
        <w:t>2023).</w:t>
      </w:r>
      <w:r>
        <w:rPr>
          <w:spacing w:val="-3"/>
          <w:sz w:val="18"/>
          <w:u w:val="none"/>
        </w:rPr>
        <w:t> </w:t>
      </w:r>
      <w:r>
        <w:rPr>
          <w:sz w:val="18"/>
          <w:u w:val="none"/>
        </w:rPr>
        <w:t>Also,</w:t>
      </w:r>
      <w:r>
        <w:rPr>
          <w:spacing w:val="-2"/>
          <w:sz w:val="18"/>
          <w:u w:val="none"/>
        </w:rPr>
        <w:t> </w:t>
      </w:r>
      <w:r>
        <w:rPr>
          <w:sz w:val="18"/>
          <w:u w:val="none"/>
        </w:rPr>
        <w:t>in</w:t>
      </w:r>
      <w:r>
        <w:rPr>
          <w:spacing w:val="-3"/>
          <w:sz w:val="18"/>
          <w:u w:val="none"/>
        </w:rPr>
        <w:t> </w:t>
      </w:r>
      <w:r>
        <w:rPr>
          <w:sz w:val="18"/>
          <w:u w:val="none"/>
        </w:rPr>
        <w:t>response</w:t>
      </w:r>
      <w:r>
        <w:rPr>
          <w:spacing w:val="-2"/>
          <w:sz w:val="18"/>
          <w:u w:val="none"/>
        </w:rPr>
        <w:t> </w:t>
      </w:r>
      <w:r>
        <w:rPr>
          <w:sz w:val="18"/>
          <w:u w:val="none"/>
        </w:rPr>
        <w:t>to</w:t>
      </w:r>
      <w:r>
        <w:rPr>
          <w:spacing w:val="-3"/>
          <w:sz w:val="18"/>
          <w:u w:val="none"/>
        </w:rPr>
        <w:t> </w:t>
      </w:r>
      <w:r>
        <w:rPr>
          <w:sz w:val="18"/>
          <w:u w:val="none"/>
        </w:rPr>
        <w:t>the</w:t>
      </w:r>
      <w:r>
        <w:rPr>
          <w:spacing w:val="-3"/>
          <w:sz w:val="18"/>
          <w:u w:val="none"/>
        </w:rPr>
        <w:t> </w:t>
      </w:r>
      <w:r>
        <w:rPr>
          <w:i/>
          <w:sz w:val="18"/>
          <w:u w:val="none"/>
        </w:rPr>
        <w:t>Legacy</w:t>
      </w:r>
      <w:r>
        <w:rPr>
          <w:i/>
          <w:spacing w:val="-3"/>
          <w:sz w:val="18"/>
          <w:u w:val="none"/>
        </w:rPr>
        <w:t> </w:t>
      </w:r>
      <w:r>
        <w:rPr>
          <w:i/>
          <w:sz w:val="18"/>
          <w:u w:val="none"/>
        </w:rPr>
        <w:t>Act</w:t>
      </w:r>
      <w:r>
        <w:rPr>
          <w:i/>
          <w:sz w:val="18"/>
          <w:u w:val="none"/>
        </w:rPr>
        <w:t> cases</w:t>
      </w:r>
      <w:r>
        <w:rPr>
          <w:i/>
          <w:spacing w:val="-5"/>
          <w:sz w:val="18"/>
          <w:u w:val="none"/>
        </w:rPr>
        <w:t> </w:t>
      </w:r>
      <w:r>
        <w:rPr>
          <w:i/>
          <w:sz w:val="18"/>
          <w:u w:val="none"/>
        </w:rPr>
        <w:t>(Dillon</w:t>
      </w:r>
      <w:r>
        <w:rPr>
          <w:i/>
          <w:spacing w:val="-5"/>
          <w:sz w:val="18"/>
          <w:u w:val="none"/>
        </w:rPr>
        <w:t> </w:t>
      </w:r>
      <w:r>
        <w:rPr>
          <w:i/>
          <w:sz w:val="18"/>
          <w:u w:val="none"/>
        </w:rPr>
        <w:t>and</w:t>
      </w:r>
      <w:r>
        <w:rPr>
          <w:i/>
          <w:spacing w:val="-5"/>
          <w:sz w:val="18"/>
          <w:u w:val="none"/>
        </w:rPr>
        <w:t> </w:t>
      </w:r>
      <w:r>
        <w:rPr>
          <w:i/>
          <w:sz w:val="18"/>
          <w:u w:val="none"/>
        </w:rPr>
        <w:t>others)</w:t>
      </w:r>
      <w:r>
        <w:rPr>
          <w:i/>
          <w:spacing w:val="-5"/>
          <w:sz w:val="18"/>
          <w:u w:val="none"/>
        </w:rPr>
        <w:t> </w:t>
      </w:r>
      <w:r>
        <w:rPr>
          <w:sz w:val="18"/>
          <w:u w:val="none"/>
        </w:rPr>
        <w:t>the</w:t>
      </w:r>
      <w:r>
        <w:rPr>
          <w:spacing w:val="-5"/>
          <w:sz w:val="18"/>
          <w:u w:val="none"/>
        </w:rPr>
        <w:t> </w:t>
      </w:r>
      <w:r>
        <w:rPr>
          <w:sz w:val="18"/>
          <w:u w:val="none"/>
        </w:rPr>
        <w:t>Democratic</w:t>
      </w:r>
      <w:r>
        <w:rPr>
          <w:spacing w:val="-5"/>
          <w:sz w:val="18"/>
          <w:u w:val="none"/>
        </w:rPr>
        <w:t> </w:t>
      </w:r>
      <w:r>
        <w:rPr>
          <w:sz w:val="18"/>
          <w:u w:val="none"/>
        </w:rPr>
        <w:t>Unionist</w:t>
      </w:r>
      <w:r>
        <w:rPr>
          <w:spacing w:val="-5"/>
          <w:sz w:val="18"/>
          <w:u w:val="none"/>
        </w:rPr>
        <w:t> </w:t>
      </w:r>
      <w:r>
        <w:rPr>
          <w:sz w:val="18"/>
          <w:u w:val="none"/>
        </w:rPr>
        <w:t>Party</w:t>
      </w:r>
      <w:r>
        <w:rPr>
          <w:spacing w:val="-5"/>
          <w:sz w:val="18"/>
          <w:u w:val="none"/>
        </w:rPr>
        <w:t> </w:t>
      </w:r>
      <w:r>
        <w:rPr>
          <w:sz w:val="18"/>
          <w:u w:val="none"/>
        </w:rPr>
        <w:t>has</w:t>
      </w:r>
      <w:r>
        <w:rPr>
          <w:spacing w:val="-5"/>
          <w:sz w:val="18"/>
          <w:u w:val="none"/>
        </w:rPr>
        <w:t> </w:t>
      </w:r>
      <w:r>
        <w:rPr>
          <w:sz w:val="18"/>
          <w:u w:val="none"/>
        </w:rPr>
        <w:t>published</w:t>
      </w:r>
      <w:r>
        <w:rPr>
          <w:spacing w:val="-5"/>
          <w:sz w:val="18"/>
          <w:u w:val="none"/>
        </w:rPr>
        <w:t> </w:t>
      </w:r>
      <w:r>
        <w:rPr>
          <w:sz w:val="18"/>
          <w:u w:val="none"/>
        </w:rPr>
        <w:t>a</w:t>
      </w:r>
      <w:r>
        <w:rPr>
          <w:spacing w:val="-5"/>
          <w:sz w:val="18"/>
          <w:u w:val="none"/>
        </w:rPr>
        <w:t> </w:t>
      </w:r>
      <w:hyperlink r:id="rId38">
        <w:r>
          <w:rPr>
            <w:color w:val="1D71B8"/>
            <w:sz w:val="18"/>
            <w:u w:val="single" w:color="1D71B8"/>
          </w:rPr>
          <w:t>statement</w:t>
        </w:r>
      </w:hyperlink>
      <w:r>
        <w:rPr>
          <w:color w:val="1D71B8"/>
          <w:spacing w:val="-5"/>
          <w:sz w:val="18"/>
          <w:u w:val="none"/>
        </w:rPr>
        <w:t> </w:t>
      </w:r>
      <w:r>
        <w:rPr>
          <w:sz w:val="18"/>
          <w:u w:val="none"/>
        </w:rPr>
        <w:t>suggesting</w:t>
      </w:r>
      <w:r>
        <w:rPr>
          <w:spacing w:val="-5"/>
          <w:sz w:val="18"/>
          <w:u w:val="none"/>
        </w:rPr>
        <w:t> </w:t>
      </w:r>
      <w:r>
        <w:rPr>
          <w:sz w:val="18"/>
          <w:u w:val="none"/>
        </w:rPr>
        <w:t>the</w:t>
      </w:r>
      <w:r>
        <w:rPr>
          <w:spacing w:val="-5"/>
          <w:sz w:val="18"/>
          <w:u w:val="none"/>
        </w:rPr>
        <w:t> </w:t>
      </w:r>
      <w:r>
        <w:rPr>
          <w:sz w:val="18"/>
          <w:u w:val="none"/>
        </w:rPr>
        <w:t>interpretation</w:t>
      </w:r>
      <w:r>
        <w:rPr>
          <w:spacing w:val="-5"/>
          <w:sz w:val="18"/>
          <w:u w:val="none"/>
        </w:rPr>
        <w:t> </w:t>
      </w:r>
      <w:r>
        <w:rPr>
          <w:sz w:val="18"/>
          <w:u w:val="none"/>
        </w:rPr>
        <w:t>of</w:t>
      </w:r>
      <w:r>
        <w:rPr>
          <w:spacing w:val="-5"/>
          <w:sz w:val="18"/>
          <w:u w:val="none"/>
        </w:rPr>
        <w:t> </w:t>
      </w:r>
      <w:r>
        <w:rPr>
          <w:sz w:val="18"/>
          <w:u w:val="none"/>
        </w:rPr>
        <w:t>Article 2 is contentious.</w:t>
      </w:r>
    </w:p>
    <w:p>
      <w:pPr>
        <w:pStyle w:val="ListParagraph"/>
        <w:numPr>
          <w:ilvl w:val="0"/>
          <w:numId w:val="9"/>
        </w:numPr>
        <w:tabs>
          <w:tab w:pos="1684" w:val="left" w:leader="none"/>
        </w:tabs>
        <w:spacing w:line="240" w:lineRule="auto" w:before="1" w:after="0"/>
        <w:ind w:left="1684" w:right="0" w:hanging="567"/>
        <w:jc w:val="left"/>
        <w:rPr>
          <w:sz w:val="18"/>
        </w:rPr>
      </w:pPr>
      <w:r>
        <w:rPr>
          <w:color w:val="1D71B8"/>
          <w:sz w:val="18"/>
          <w:u w:val="single" w:color="1D71B8"/>
        </w:rPr>
        <w:t>Northern</w:t>
      </w:r>
      <w:r>
        <w:rPr>
          <w:color w:val="1D71B8"/>
          <w:spacing w:val="-8"/>
          <w:sz w:val="18"/>
          <w:u w:val="single" w:color="1D71B8"/>
        </w:rPr>
        <w:t> </w:t>
      </w:r>
      <w:r>
        <w:rPr>
          <w:color w:val="1D71B8"/>
          <w:sz w:val="18"/>
          <w:u w:val="single" w:color="1D71B8"/>
        </w:rPr>
        <w:t>Ireland</w:t>
      </w:r>
      <w:r>
        <w:rPr>
          <w:color w:val="1D71B8"/>
          <w:spacing w:val="-8"/>
          <w:sz w:val="18"/>
          <w:u w:val="single" w:color="1D71B8"/>
        </w:rPr>
        <w:t> </w:t>
      </w:r>
      <w:r>
        <w:rPr>
          <w:color w:val="1D71B8"/>
          <w:sz w:val="18"/>
          <w:u w:val="single" w:color="1D71B8"/>
        </w:rPr>
        <w:t>Protocol</w:t>
      </w:r>
      <w:r>
        <w:rPr>
          <w:color w:val="1D71B8"/>
          <w:spacing w:val="-8"/>
          <w:sz w:val="18"/>
          <w:u w:val="single" w:color="1D71B8"/>
        </w:rPr>
        <w:t> </w:t>
      </w:r>
      <w:r>
        <w:rPr>
          <w:color w:val="1D71B8"/>
          <w:spacing w:val="-4"/>
          <w:sz w:val="18"/>
          <w:u w:val="single" w:color="1D71B8"/>
        </w:rPr>
        <w:t>Bill</w:t>
      </w:r>
      <w:r>
        <w:rPr>
          <w:spacing w:val="-4"/>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62368">
                <wp:simplePos x="0" y="0"/>
                <wp:positionH relativeFrom="page">
                  <wp:posOffset>0</wp:posOffset>
                </wp:positionH>
                <wp:positionV relativeFrom="page">
                  <wp:posOffset>0</wp:posOffset>
                </wp:positionV>
                <wp:extent cx="7560309" cy="1155065"/>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7560309" cy="1155065"/>
                          <a:chExt cx="7560309" cy="1155065"/>
                        </a:xfrm>
                      </wpg:grpSpPr>
                      <wps:wsp>
                        <wps:cNvPr id="310" name="Graphic 310"/>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311" name="Graphic 311"/>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54112" id="docshapegroup243" coordorigin="0,0" coordsize="11906,1819">
                <v:shape style="position:absolute;left:0;top:0;width:11906;height:1819" id="docshape244"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24</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procedure,</w:t>
      </w:r>
      <w:r>
        <w:rPr>
          <w:spacing w:val="-6"/>
        </w:rPr>
        <w:t> </w:t>
      </w:r>
      <w:r>
        <w:rPr/>
        <w:t>for</w:t>
      </w:r>
      <w:r>
        <w:rPr>
          <w:spacing w:val="-6"/>
        </w:rPr>
        <w:t> </w:t>
      </w:r>
      <w:r>
        <w:rPr/>
        <w:t>proposals</w:t>
      </w:r>
      <w:r>
        <w:rPr>
          <w:spacing w:val="-7"/>
        </w:rPr>
        <w:t> </w:t>
      </w:r>
      <w:r>
        <w:rPr/>
        <w:t>to</w:t>
      </w:r>
      <w:r>
        <w:rPr>
          <w:spacing w:val="-7"/>
        </w:rPr>
        <w:t> </w:t>
      </w:r>
      <w:r>
        <w:rPr/>
        <w:t>amend</w:t>
      </w:r>
      <w:r>
        <w:rPr>
          <w:spacing w:val="-7"/>
        </w:rPr>
        <w:t> </w:t>
      </w:r>
      <w:r>
        <w:rPr/>
        <w:t>or</w:t>
      </w:r>
      <w:r>
        <w:rPr>
          <w:spacing w:val="-6"/>
        </w:rPr>
        <w:t> </w:t>
      </w:r>
      <w:r>
        <w:rPr/>
        <w:t>replace</w:t>
      </w:r>
      <w:r>
        <w:rPr>
          <w:spacing w:val="-6"/>
        </w:rPr>
        <w:t> </w:t>
      </w:r>
      <w:r>
        <w:rPr/>
        <w:t>EU</w:t>
      </w:r>
      <w:r>
        <w:rPr>
          <w:spacing w:val="-6"/>
        </w:rPr>
        <w:t> </w:t>
      </w:r>
      <w:r>
        <w:rPr/>
        <w:t>acts</w:t>
      </w:r>
      <w:r>
        <w:rPr>
          <w:spacing w:val="-7"/>
        </w:rPr>
        <w:t> </w:t>
      </w:r>
      <w:r>
        <w:rPr/>
        <w:t>relating</w:t>
      </w:r>
      <w:r>
        <w:rPr>
          <w:spacing w:val="-6"/>
        </w:rPr>
        <w:t> </w:t>
      </w:r>
      <w:r>
        <w:rPr/>
        <w:t>to</w:t>
      </w:r>
      <w:r>
        <w:rPr>
          <w:spacing w:val="-7"/>
        </w:rPr>
        <w:t> </w:t>
      </w:r>
      <w:r>
        <w:rPr/>
        <w:t>the</w:t>
      </w:r>
      <w:r>
        <w:rPr>
          <w:spacing w:val="-6"/>
        </w:rPr>
        <w:t> </w:t>
      </w:r>
      <w:r>
        <w:rPr/>
        <w:t>movement</w:t>
      </w:r>
      <w:r>
        <w:rPr>
          <w:spacing w:val="-6"/>
        </w:rPr>
        <w:t> </w:t>
      </w:r>
      <w:r>
        <w:rPr/>
        <w:t>of goods; the Stormont Brake does not apply to the Annex 1 directives.</w:t>
      </w:r>
      <w:r>
        <w:rPr>
          <w:vertAlign w:val="superscript"/>
        </w:rPr>
        <w:t>66</w:t>
      </w:r>
    </w:p>
    <w:p>
      <w:pPr>
        <w:pStyle w:val="BodyText"/>
        <w:spacing w:line="232" w:lineRule="auto" w:before="280"/>
        <w:ind w:left="720" w:right="1087"/>
      </w:pPr>
      <w:r>
        <w:rPr/>
        <w:t>The Brake would be triggered by 30 MLAs from two or more parties and would require</w:t>
      </w:r>
      <w:r>
        <w:rPr>
          <w:spacing w:val="-4"/>
        </w:rPr>
        <w:t> </w:t>
      </w:r>
      <w:r>
        <w:rPr/>
        <w:t>the</w:t>
      </w:r>
      <w:r>
        <w:rPr>
          <w:spacing w:val="-4"/>
        </w:rPr>
        <w:t> </w:t>
      </w:r>
      <w:r>
        <w:rPr/>
        <w:t>UK</w:t>
      </w:r>
      <w:r>
        <w:rPr>
          <w:spacing w:val="-4"/>
        </w:rPr>
        <w:t> </w:t>
      </w:r>
      <w:r>
        <w:rPr/>
        <w:t>Government</w:t>
      </w:r>
      <w:r>
        <w:rPr>
          <w:spacing w:val="-4"/>
        </w:rPr>
        <w:t> </w:t>
      </w:r>
      <w:r>
        <w:rPr/>
        <w:t>to</w:t>
      </w:r>
      <w:r>
        <w:rPr>
          <w:spacing w:val="-5"/>
        </w:rPr>
        <w:t> </w:t>
      </w:r>
      <w:r>
        <w:rPr/>
        <w:t>consult</w:t>
      </w:r>
      <w:r>
        <w:rPr>
          <w:spacing w:val="-4"/>
        </w:rPr>
        <w:t> </w:t>
      </w:r>
      <w:r>
        <w:rPr/>
        <w:t>with</w:t>
      </w:r>
      <w:r>
        <w:rPr>
          <w:spacing w:val="-5"/>
        </w:rPr>
        <w:t> </w:t>
      </w:r>
      <w:r>
        <w:rPr/>
        <w:t>parties</w:t>
      </w:r>
      <w:r>
        <w:rPr>
          <w:spacing w:val="-5"/>
        </w:rPr>
        <w:t> </w:t>
      </w:r>
      <w:r>
        <w:rPr/>
        <w:t>on</w:t>
      </w:r>
      <w:r>
        <w:rPr>
          <w:spacing w:val="-5"/>
        </w:rPr>
        <w:t> </w:t>
      </w:r>
      <w:r>
        <w:rPr/>
        <w:t>the</w:t>
      </w:r>
      <w:r>
        <w:rPr>
          <w:spacing w:val="-4"/>
        </w:rPr>
        <w:t> </w:t>
      </w:r>
      <w:r>
        <w:rPr/>
        <w:t>proposed</w:t>
      </w:r>
      <w:r>
        <w:rPr>
          <w:spacing w:val="-5"/>
        </w:rPr>
        <w:t> </w:t>
      </w:r>
      <w:r>
        <w:rPr/>
        <w:t>EU</w:t>
      </w:r>
      <w:r>
        <w:rPr>
          <w:spacing w:val="-4"/>
        </w:rPr>
        <w:t> </w:t>
      </w:r>
      <w:r>
        <w:rPr/>
        <w:t>act.</w:t>
      </w:r>
      <w:r>
        <w:rPr>
          <w:spacing w:val="-5"/>
        </w:rPr>
        <w:t> </w:t>
      </w:r>
      <w:r>
        <w:rPr/>
        <w:t>The Stormont</w:t>
      </w:r>
      <w:r>
        <w:rPr>
          <w:spacing w:val="-7"/>
        </w:rPr>
        <w:t> </w:t>
      </w:r>
      <w:r>
        <w:rPr/>
        <w:t>Brake</w:t>
      </w:r>
      <w:r>
        <w:rPr>
          <w:spacing w:val="-7"/>
        </w:rPr>
        <w:t> </w:t>
      </w:r>
      <w:r>
        <w:rPr/>
        <w:t>would</w:t>
      </w:r>
      <w:r>
        <w:rPr>
          <w:spacing w:val="-8"/>
        </w:rPr>
        <w:t> </w:t>
      </w:r>
      <w:r>
        <w:rPr/>
        <w:t>not</w:t>
      </w:r>
      <w:r>
        <w:rPr>
          <w:spacing w:val="-7"/>
        </w:rPr>
        <w:t> </w:t>
      </w:r>
      <w:r>
        <w:rPr/>
        <w:t>be</w:t>
      </w:r>
      <w:r>
        <w:rPr>
          <w:spacing w:val="-7"/>
        </w:rPr>
        <w:t> </w:t>
      </w:r>
      <w:r>
        <w:rPr/>
        <w:t>available</w:t>
      </w:r>
      <w:r>
        <w:rPr>
          <w:spacing w:val="-7"/>
        </w:rPr>
        <w:t> </w:t>
      </w:r>
      <w:r>
        <w:rPr/>
        <w:t>for</w:t>
      </w:r>
      <w:r>
        <w:rPr>
          <w:spacing w:val="-7"/>
        </w:rPr>
        <w:t> </w:t>
      </w:r>
      <w:r>
        <w:rPr/>
        <w:t>trivial</w:t>
      </w:r>
      <w:r>
        <w:rPr>
          <w:spacing w:val="-8"/>
        </w:rPr>
        <w:t> </w:t>
      </w:r>
      <w:r>
        <w:rPr/>
        <w:t>matters</w:t>
      </w:r>
      <w:r>
        <w:rPr>
          <w:spacing w:val="-8"/>
        </w:rPr>
        <w:t> </w:t>
      </w:r>
      <w:r>
        <w:rPr/>
        <w:t>and</w:t>
      </w:r>
      <w:r>
        <w:rPr>
          <w:spacing w:val="-8"/>
        </w:rPr>
        <w:t> </w:t>
      </w:r>
      <w:r>
        <w:rPr/>
        <w:t>would</w:t>
      </w:r>
      <w:r>
        <w:rPr>
          <w:spacing w:val="-8"/>
        </w:rPr>
        <w:t> </w:t>
      </w:r>
      <w:r>
        <w:rPr/>
        <w:t>give</w:t>
      </w:r>
      <w:r>
        <w:rPr>
          <w:spacing w:val="-7"/>
        </w:rPr>
        <w:t> </w:t>
      </w:r>
      <w:r>
        <w:rPr/>
        <w:t>the</w:t>
      </w:r>
      <w:r>
        <w:rPr>
          <w:spacing w:val="-7"/>
        </w:rPr>
        <w:t> </w:t>
      </w:r>
      <w:r>
        <w:rPr/>
        <w:t>UK Government a veto on the application of the new act to Northern Ireland; as a consequence of any UK veto the EU would be authorised to take appropriate remedial matters.</w:t>
      </w:r>
      <w:r>
        <w:rPr>
          <w:vertAlign w:val="superscript"/>
        </w:rPr>
        <w:t>67</w:t>
      </w:r>
    </w:p>
    <w:p>
      <w:pPr>
        <w:pStyle w:val="BodyText"/>
        <w:spacing w:line="232" w:lineRule="auto" w:before="274"/>
        <w:ind w:left="720" w:right="1143"/>
      </w:pPr>
      <w:r>
        <w:rPr/>
        <w:t>The Stormont Brake does not apply to the Annex 1 directives, and this feature has been welcomed by the two Commissions.</w:t>
      </w:r>
      <w:r>
        <w:rPr>
          <w:vertAlign w:val="superscript"/>
        </w:rPr>
        <w:t>68</w:t>
      </w:r>
      <w:r>
        <w:rPr>
          <w:vertAlign w:val="baseline"/>
        </w:rPr>
        <w:t> However the Stormont Brake does apply to EU acts listed in Annex 2, and some of these may have implications for rights and equality. These include provisions on lifts and safety components,</w:t>
      </w:r>
      <w:r>
        <w:rPr>
          <w:vertAlign w:val="superscript"/>
        </w:rPr>
        <w:t>69</w:t>
      </w:r>
      <w:r>
        <w:rPr>
          <w:vertAlign w:val="baseline"/>
        </w:rPr>
        <w:t> machinery and access for persons with disabilities,</w:t>
      </w:r>
      <w:r>
        <w:rPr>
          <w:vertAlign w:val="superscript"/>
        </w:rPr>
        <w:t>70</w:t>
      </w:r>
      <w:r>
        <w:rPr>
          <w:vertAlign w:val="baseline"/>
        </w:rPr>
        <w:t> vulnerable road users,</w:t>
      </w:r>
      <w:r>
        <w:rPr>
          <w:vertAlign w:val="superscript"/>
        </w:rPr>
        <w:t>71</w:t>
      </w:r>
      <w:r>
        <w:rPr>
          <w:vertAlign w:val="baseline"/>
        </w:rPr>
        <w:t> etc. These</w:t>
      </w:r>
      <w:r>
        <w:rPr>
          <w:spacing w:val="-5"/>
          <w:vertAlign w:val="baseline"/>
        </w:rPr>
        <w:t> </w:t>
      </w:r>
      <w:r>
        <w:rPr>
          <w:vertAlign w:val="baseline"/>
        </w:rPr>
        <w:t>and</w:t>
      </w:r>
      <w:r>
        <w:rPr>
          <w:spacing w:val="-6"/>
          <w:vertAlign w:val="baseline"/>
        </w:rPr>
        <w:t> </w:t>
      </w:r>
      <w:r>
        <w:rPr>
          <w:vertAlign w:val="baseline"/>
        </w:rPr>
        <w:t>other</w:t>
      </w:r>
      <w:r>
        <w:rPr>
          <w:spacing w:val="-5"/>
          <w:vertAlign w:val="baseline"/>
        </w:rPr>
        <w:t> </w:t>
      </w:r>
      <w:r>
        <w:rPr>
          <w:vertAlign w:val="baseline"/>
        </w:rPr>
        <w:t>Annex</w:t>
      </w:r>
      <w:r>
        <w:rPr>
          <w:spacing w:val="-6"/>
          <w:vertAlign w:val="baseline"/>
        </w:rPr>
        <w:t> </w:t>
      </w:r>
      <w:r>
        <w:rPr>
          <w:vertAlign w:val="baseline"/>
        </w:rPr>
        <w:t>2</w:t>
      </w:r>
      <w:r>
        <w:rPr>
          <w:spacing w:val="-5"/>
          <w:vertAlign w:val="baseline"/>
        </w:rPr>
        <w:t> </w:t>
      </w:r>
      <w:r>
        <w:rPr>
          <w:vertAlign w:val="baseline"/>
        </w:rPr>
        <w:t>Acts</w:t>
      </w:r>
      <w:r>
        <w:rPr>
          <w:spacing w:val="-6"/>
          <w:vertAlign w:val="baseline"/>
        </w:rPr>
        <w:t> </w:t>
      </w:r>
      <w:r>
        <w:rPr>
          <w:vertAlign w:val="baseline"/>
        </w:rPr>
        <w:t>have</w:t>
      </w:r>
      <w:r>
        <w:rPr>
          <w:spacing w:val="-5"/>
          <w:vertAlign w:val="baseline"/>
        </w:rPr>
        <w:t> </w:t>
      </w:r>
      <w:r>
        <w:rPr>
          <w:vertAlign w:val="baseline"/>
        </w:rPr>
        <w:t>been</w:t>
      </w:r>
      <w:r>
        <w:rPr>
          <w:spacing w:val="-6"/>
          <w:vertAlign w:val="baseline"/>
        </w:rPr>
        <w:t> </w:t>
      </w:r>
      <w:r>
        <w:rPr>
          <w:vertAlign w:val="baseline"/>
        </w:rPr>
        <w:t>identified</w:t>
      </w:r>
      <w:r>
        <w:rPr>
          <w:spacing w:val="-6"/>
          <w:vertAlign w:val="baseline"/>
        </w:rPr>
        <w:t> </w:t>
      </w:r>
      <w:r>
        <w:rPr>
          <w:vertAlign w:val="baseline"/>
        </w:rPr>
        <w:t>by</w:t>
      </w:r>
      <w:r>
        <w:rPr>
          <w:spacing w:val="-5"/>
          <w:vertAlign w:val="baseline"/>
        </w:rPr>
        <w:t> </w:t>
      </w:r>
      <w:r>
        <w:rPr>
          <w:vertAlign w:val="baseline"/>
        </w:rPr>
        <w:t>the</w:t>
      </w:r>
      <w:r>
        <w:rPr>
          <w:spacing w:val="-5"/>
          <w:vertAlign w:val="baseline"/>
        </w:rPr>
        <w:t> </w:t>
      </w:r>
      <w:r>
        <w:rPr>
          <w:vertAlign w:val="baseline"/>
        </w:rPr>
        <w:t>Commissions</w:t>
      </w:r>
      <w:r>
        <w:rPr>
          <w:spacing w:val="-6"/>
          <w:vertAlign w:val="baseline"/>
        </w:rPr>
        <w:t> </w:t>
      </w:r>
      <w:r>
        <w:rPr>
          <w:vertAlign w:val="baseline"/>
        </w:rPr>
        <w:t>as</w:t>
      </w:r>
      <w:r>
        <w:rPr>
          <w:spacing w:val="-6"/>
          <w:vertAlign w:val="baseline"/>
        </w:rPr>
        <w:t> </w:t>
      </w:r>
      <w:r>
        <w:rPr>
          <w:vertAlign w:val="baseline"/>
        </w:rPr>
        <w:t>relevant to the rights in the Rights, Safeguards and Equality of Opportunity section of the 1988 Agreement.</w:t>
      </w:r>
      <w:r>
        <w:rPr>
          <w:vertAlign w:val="superscript"/>
        </w:rPr>
        <w:t>72</w:t>
      </w:r>
      <w:r>
        <w:rPr>
          <w:vertAlign w:val="baseline"/>
        </w:rPr>
        <w:t> The Commissions have urged that equality and human rights considerations be made central in any process for the application of the Stormont </w:t>
      </w:r>
      <w:r>
        <w:rPr>
          <w:spacing w:val="-2"/>
          <w:vertAlign w:val="baseline"/>
        </w:rPr>
        <w:t>Brake.</w:t>
      </w:r>
      <w:r>
        <w:rPr>
          <w:spacing w:val="-2"/>
          <w:vertAlign w:val="superscript"/>
        </w:rPr>
        <w:t>73</w:t>
      </w:r>
    </w:p>
    <w:p>
      <w:pPr>
        <w:pStyle w:val="BodyText"/>
        <w:spacing w:line="232" w:lineRule="auto" w:before="268"/>
        <w:ind w:left="720" w:right="1156"/>
      </w:pPr>
      <w:r>
        <w:rPr/>
        <w:t>In addition to the Stormont Brake for acts amending or replacing Union acts in Article 13(3) and (3a), the UK has adopted rules on how it will exercise its powers under Article 13(4). Article 13(4) allows the Joint Committee to add a Union act to one of</w:t>
      </w:r>
      <w:r>
        <w:rPr>
          <w:spacing w:val="-1"/>
        </w:rPr>
        <w:t> </w:t>
      </w:r>
      <w:r>
        <w:rPr/>
        <w:t>the annexes</w:t>
      </w:r>
      <w:r>
        <w:rPr>
          <w:spacing w:val="-1"/>
        </w:rPr>
        <w:t> </w:t>
      </w:r>
      <w:r>
        <w:rPr/>
        <w:t>where it does</w:t>
      </w:r>
      <w:r>
        <w:rPr>
          <w:spacing w:val="-1"/>
        </w:rPr>
        <w:t> </w:t>
      </w:r>
      <w:r>
        <w:rPr/>
        <w:t>not amend</w:t>
      </w:r>
      <w:r>
        <w:rPr>
          <w:spacing w:val="-1"/>
        </w:rPr>
        <w:t> </w:t>
      </w:r>
      <w:r>
        <w:rPr/>
        <w:t>or replace a</w:t>
      </w:r>
      <w:r>
        <w:rPr>
          <w:spacing w:val="-1"/>
        </w:rPr>
        <w:t> </w:t>
      </w:r>
      <w:r>
        <w:rPr/>
        <w:t>Union</w:t>
      </w:r>
      <w:r>
        <w:rPr>
          <w:spacing w:val="-1"/>
        </w:rPr>
        <w:t> </w:t>
      </w:r>
      <w:r>
        <w:rPr/>
        <w:t>Act in</w:t>
      </w:r>
      <w:r>
        <w:rPr>
          <w:spacing w:val="-1"/>
        </w:rPr>
        <w:t> </w:t>
      </w:r>
      <w:r>
        <w:rPr/>
        <w:t>the annexes but does fall within the scope of the WF. Under the original text of the Protocol,</w:t>
      </w:r>
      <w:r>
        <w:rPr/>
        <w:t> the</w:t>
      </w:r>
      <w:r>
        <w:rPr>
          <w:spacing w:val="-4"/>
        </w:rPr>
        <w:t> </w:t>
      </w:r>
      <w:r>
        <w:rPr/>
        <w:t>UK</w:t>
      </w:r>
      <w:r>
        <w:rPr>
          <w:spacing w:val="-4"/>
        </w:rPr>
        <w:t> </w:t>
      </w:r>
      <w:r>
        <w:rPr/>
        <w:t>had</w:t>
      </w:r>
      <w:r>
        <w:rPr>
          <w:spacing w:val="-5"/>
        </w:rPr>
        <w:t> </w:t>
      </w:r>
      <w:r>
        <w:rPr/>
        <w:t>a</w:t>
      </w:r>
      <w:r>
        <w:rPr>
          <w:spacing w:val="-5"/>
        </w:rPr>
        <w:t> </w:t>
      </w:r>
      <w:r>
        <w:rPr/>
        <w:t>veto</w:t>
      </w:r>
      <w:r>
        <w:rPr>
          <w:spacing w:val="-5"/>
        </w:rPr>
        <w:t> </w:t>
      </w:r>
      <w:r>
        <w:rPr/>
        <w:t>in</w:t>
      </w:r>
      <w:r>
        <w:rPr>
          <w:spacing w:val="-5"/>
        </w:rPr>
        <w:t> </w:t>
      </w:r>
      <w:r>
        <w:rPr/>
        <w:t>the</w:t>
      </w:r>
      <w:r>
        <w:rPr>
          <w:spacing w:val="-4"/>
        </w:rPr>
        <w:t> </w:t>
      </w:r>
      <w:r>
        <w:rPr/>
        <w:t>Joint</w:t>
      </w:r>
      <w:r>
        <w:rPr>
          <w:spacing w:val="-4"/>
        </w:rPr>
        <w:t> </w:t>
      </w:r>
      <w:r>
        <w:rPr/>
        <w:t>Committee</w:t>
      </w:r>
      <w:r>
        <w:rPr>
          <w:spacing w:val="-4"/>
        </w:rPr>
        <w:t> </w:t>
      </w:r>
      <w:r>
        <w:rPr/>
        <w:t>on</w:t>
      </w:r>
      <w:r>
        <w:rPr>
          <w:spacing w:val="-5"/>
        </w:rPr>
        <w:t> </w:t>
      </w:r>
      <w:r>
        <w:rPr/>
        <w:t>this.</w:t>
      </w:r>
      <w:r>
        <w:rPr>
          <w:spacing w:val="-5"/>
        </w:rPr>
        <w:t> </w:t>
      </w:r>
      <w:r>
        <w:rPr/>
        <w:t>Now</w:t>
      </w:r>
      <w:r>
        <w:rPr>
          <w:spacing w:val="-4"/>
        </w:rPr>
        <w:t> </w:t>
      </w:r>
      <w:r>
        <w:rPr/>
        <w:t>following</w:t>
      </w:r>
      <w:r>
        <w:rPr>
          <w:spacing w:val="-4"/>
        </w:rPr>
        <w:t> </w:t>
      </w:r>
      <w:r>
        <w:rPr/>
        <w:t>changes</w:t>
      </w:r>
      <w:r>
        <w:rPr>
          <w:spacing w:val="-5"/>
        </w:rPr>
        <w:t> </w:t>
      </w:r>
      <w:r>
        <w:rPr/>
        <w:t>to</w:t>
      </w:r>
      <w:r>
        <w:rPr>
          <w:spacing w:val="-5"/>
        </w:rPr>
        <w:t> </w:t>
      </w:r>
      <w:r>
        <w:rPr/>
        <w:t>the</w:t>
      </w:r>
      <w:r>
        <w:rPr>
          <w:spacing w:val="-4"/>
        </w:rPr>
        <w:t> </w:t>
      </w:r>
      <w:r>
        <w:rPr/>
        <w:t>WF it has set out how it will exercise this power, effectively replicating the Stormont Brake approach in respect of decisions it will make under Article 13(4).</w:t>
      </w:r>
      <w:r>
        <w:rPr>
          <w:vertAlign w:val="superscript"/>
        </w:rPr>
        <w:t>74</w:t>
      </w:r>
    </w:p>
    <w:p>
      <w:pPr>
        <w:pStyle w:val="BodyText"/>
        <w:spacing w:before="5"/>
        <w:rPr>
          <w:sz w:val="6"/>
        </w:rPr>
      </w:pPr>
      <w:r>
        <w:rPr/>
        <mc:AlternateContent>
          <mc:Choice Requires="wps">
            <w:drawing>
              <wp:anchor distT="0" distB="0" distL="0" distR="0" allowOverlap="1" layoutInCell="1" locked="0" behindDoc="1" simplePos="0" relativeHeight="487645184">
                <wp:simplePos x="0" y="0"/>
                <wp:positionH relativeFrom="page">
                  <wp:posOffset>647999</wp:posOffset>
                </wp:positionH>
                <wp:positionV relativeFrom="paragraph">
                  <wp:posOffset>65426</wp:posOffset>
                </wp:positionV>
                <wp:extent cx="6012180" cy="127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5.151672pt;width:473.4pt;height:.1pt;mso-position-horizontal-relative:page;mso-position-vertical-relative:paragraph;z-index:-15671296;mso-wrap-distance-left:0;mso-wrap-distance-right:0" id="docshape245" coordorigin="1020,103" coordsize="9468,0" path="m1020,103l10488,103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1313" w:hanging="567"/>
        <w:jc w:val="left"/>
        <w:rPr>
          <w:sz w:val="18"/>
        </w:rPr>
      </w:pPr>
      <w:r>
        <w:rPr>
          <w:sz w:val="18"/>
        </w:rPr>
        <w:t>Joint</w:t>
      </w:r>
      <w:r>
        <w:rPr>
          <w:spacing w:val="-4"/>
          <w:sz w:val="18"/>
        </w:rPr>
        <w:t> </w:t>
      </w:r>
      <w:r>
        <w:rPr>
          <w:sz w:val="18"/>
        </w:rPr>
        <w:t>Committee</w:t>
      </w:r>
      <w:r>
        <w:rPr>
          <w:spacing w:val="-4"/>
          <w:sz w:val="18"/>
        </w:rPr>
        <w:t> </w:t>
      </w:r>
      <w:r>
        <w:rPr>
          <w:sz w:val="18"/>
        </w:rPr>
        <w:t>Established</w:t>
      </w:r>
      <w:r>
        <w:rPr>
          <w:spacing w:val="-4"/>
          <w:sz w:val="18"/>
        </w:rPr>
        <w:t> </w:t>
      </w:r>
      <w:r>
        <w:rPr>
          <w:sz w:val="18"/>
        </w:rPr>
        <w:t>by</w:t>
      </w:r>
      <w:r>
        <w:rPr>
          <w:spacing w:val="-4"/>
          <w:sz w:val="18"/>
        </w:rPr>
        <w:t> </w:t>
      </w:r>
      <w:r>
        <w:rPr>
          <w:sz w:val="18"/>
        </w:rPr>
        <w:t>the</w:t>
      </w:r>
      <w:r>
        <w:rPr>
          <w:spacing w:val="-4"/>
          <w:sz w:val="18"/>
        </w:rPr>
        <w:t> </w:t>
      </w:r>
      <w:r>
        <w:rPr>
          <w:sz w:val="18"/>
        </w:rPr>
        <w:t>Agreement</w:t>
      </w:r>
      <w:r>
        <w:rPr>
          <w:spacing w:val="-4"/>
          <w:sz w:val="18"/>
        </w:rPr>
        <w:t> </w:t>
      </w:r>
      <w:r>
        <w:rPr>
          <w:sz w:val="18"/>
        </w:rPr>
        <w:t>on</w:t>
      </w:r>
      <w:r>
        <w:rPr>
          <w:spacing w:val="-5"/>
          <w:sz w:val="18"/>
        </w:rPr>
        <w:t> </w:t>
      </w:r>
      <w:r>
        <w:rPr>
          <w:sz w:val="18"/>
        </w:rPr>
        <w:t>the</w:t>
      </w:r>
      <w:r>
        <w:rPr>
          <w:spacing w:val="-4"/>
          <w:sz w:val="18"/>
        </w:rPr>
        <w:t> </w:t>
      </w:r>
      <w:r>
        <w:rPr>
          <w:sz w:val="18"/>
        </w:rPr>
        <w:t>Withdrawal</w:t>
      </w:r>
      <w:r>
        <w:rPr>
          <w:spacing w:val="-5"/>
          <w:sz w:val="18"/>
        </w:rPr>
        <w:t> </w:t>
      </w:r>
      <w:r>
        <w:rPr>
          <w:sz w:val="18"/>
        </w:rPr>
        <w:t>of</w:t>
      </w:r>
      <w:r>
        <w:rPr>
          <w:spacing w:val="-5"/>
          <w:sz w:val="18"/>
        </w:rPr>
        <w:t> </w:t>
      </w:r>
      <w:r>
        <w:rPr>
          <w:sz w:val="18"/>
        </w:rPr>
        <w:t>the</w:t>
      </w:r>
      <w:r>
        <w:rPr>
          <w:spacing w:val="-4"/>
          <w:sz w:val="18"/>
        </w:rPr>
        <w:t> </w:t>
      </w:r>
      <w:r>
        <w:rPr>
          <w:sz w:val="18"/>
        </w:rPr>
        <w:t>United</w:t>
      </w:r>
      <w:r>
        <w:rPr>
          <w:spacing w:val="-5"/>
          <w:sz w:val="18"/>
        </w:rPr>
        <w:t> </w:t>
      </w:r>
      <w:r>
        <w:rPr>
          <w:sz w:val="18"/>
        </w:rPr>
        <w:t>Kingdom</w:t>
      </w:r>
      <w:r>
        <w:rPr>
          <w:spacing w:val="-4"/>
          <w:sz w:val="18"/>
        </w:rPr>
        <w:t> </w:t>
      </w:r>
      <w:r>
        <w:rPr>
          <w:sz w:val="18"/>
        </w:rPr>
        <w:t>of</w:t>
      </w:r>
      <w:r>
        <w:rPr>
          <w:spacing w:val="-5"/>
          <w:sz w:val="18"/>
        </w:rPr>
        <w:t> </w:t>
      </w:r>
      <w:r>
        <w:rPr>
          <w:sz w:val="18"/>
        </w:rPr>
        <w:t>Great</w:t>
      </w:r>
      <w:r>
        <w:rPr>
          <w:spacing w:val="-4"/>
          <w:sz w:val="18"/>
        </w:rPr>
        <w:t> </w:t>
      </w:r>
      <w:r>
        <w:rPr>
          <w:sz w:val="18"/>
        </w:rPr>
        <w:t>Britain</w:t>
      </w:r>
      <w:r>
        <w:rPr>
          <w:spacing w:val="-5"/>
          <w:sz w:val="18"/>
        </w:rPr>
        <w:t> </w:t>
      </w:r>
      <w:r>
        <w:rPr>
          <w:sz w:val="18"/>
        </w:rPr>
        <w:t>and</w:t>
      </w:r>
      <w:r>
        <w:rPr>
          <w:spacing w:val="-5"/>
          <w:sz w:val="18"/>
        </w:rPr>
        <w:t> </w:t>
      </w:r>
      <w:r>
        <w:rPr>
          <w:sz w:val="18"/>
        </w:rPr>
        <w:t>Northern Ireland from The European Union and the European Atomic Energy Community of 24 March 2023 Laying Down Arrangements</w:t>
      </w:r>
      <w:r>
        <w:rPr>
          <w:spacing w:val="-1"/>
          <w:sz w:val="18"/>
        </w:rPr>
        <w:t> </w:t>
      </w:r>
      <w:r>
        <w:rPr>
          <w:sz w:val="18"/>
        </w:rPr>
        <w:t>Relating to</w:t>
      </w:r>
      <w:r>
        <w:rPr>
          <w:spacing w:val="-1"/>
          <w:sz w:val="18"/>
        </w:rPr>
        <w:t> </w:t>
      </w:r>
      <w:r>
        <w:rPr>
          <w:sz w:val="18"/>
        </w:rPr>
        <w:t>The Windsor Framework 2023)</w:t>
      </w:r>
      <w:r>
        <w:rPr>
          <w:spacing w:val="-1"/>
          <w:sz w:val="18"/>
        </w:rPr>
        <w:t> </w:t>
      </w:r>
      <w:r>
        <w:rPr>
          <w:sz w:val="18"/>
        </w:rPr>
        <w:t>(24 March</w:t>
      </w:r>
      <w:r>
        <w:rPr>
          <w:spacing w:val="-1"/>
          <w:sz w:val="18"/>
        </w:rPr>
        <w:t> </w:t>
      </w:r>
      <w:r>
        <w:rPr>
          <w:sz w:val="18"/>
        </w:rPr>
        <w:t>2023).</w:t>
      </w:r>
      <w:r>
        <w:rPr>
          <w:spacing w:val="-1"/>
          <w:sz w:val="18"/>
        </w:rPr>
        <w:t> </w:t>
      </w:r>
      <w:r>
        <w:rPr>
          <w:sz w:val="18"/>
        </w:rPr>
        <w:t>The new provisions</w:t>
      </w:r>
      <w:r>
        <w:rPr>
          <w:spacing w:val="-1"/>
          <w:sz w:val="18"/>
        </w:rPr>
        <w:t> </w:t>
      </w:r>
      <w:r>
        <w:rPr>
          <w:sz w:val="18"/>
        </w:rPr>
        <w:t>apply in</w:t>
      </w:r>
      <w:r>
        <w:rPr>
          <w:spacing w:val="-1"/>
          <w:sz w:val="18"/>
        </w:rPr>
        <w:t> </w:t>
      </w:r>
      <w:r>
        <w:rPr>
          <w:sz w:val="18"/>
        </w:rPr>
        <w:t>respect of</w:t>
      </w:r>
      <w:r>
        <w:rPr>
          <w:spacing w:val="-1"/>
          <w:sz w:val="18"/>
        </w:rPr>
        <w:t> </w:t>
      </w:r>
      <w:r>
        <w:rPr>
          <w:sz w:val="18"/>
        </w:rPr>
        <w:t>‘first indent</w:t>
      </w:r>
      <w:r>
        <w:rPr>
          <w:spacing w:val="-2"/>
          <w:sz w:val="18"/>
        </w:rPr>
        <w:t> </w:t>
      </w:r>
      <w:r>
        <w:rPr>
          <w:sz w:val="18"/>
        </w:rPr>
        <w:t>of</w:t>
      </w:r>
      <w:r>
        <w:rPr>
          <w:spacing w:val="-3"/>
          <w:sz w:val="18"/>
        </w:rPr>
        <w:t> </w:t>
      </w:r>
      <w:r>
        <w:rPr>
          <w:sz w:val="18"/>
        </w:rPr>
        <w:t>heading</w:t>
      </w:r>
      <w:r>
        <w:rPr>
          <w:spacing w:val="-2"/>
          <w:sz w:val="18"/>
        </w:rPr>
        <w:t> </w:t>
      </w:r>
      <w:r>
        <w:rPr>
          <w:sz w:val="18"/>
        </w:rPr>
        <w:t>1</w:t>
      </w:r>
      <w:r>
        <w:rPr>
          <w:spacing w:val="-2"/>
          <w:sz w:val="18"/>
        </w:rPr>
        <w:t> </w:t>
      </w:r>
      <w:r>
        <w:rPr>
          <w:sz w:val="18"/>
        </w:rPr>
        <w:t>and</w:t>
      </w:r>
      <w:r>
        <w:rPr>
          <w:spacing w:val="-3"/>
          <w:sz w:val="18"/>
        </w:rPr>
        <w:t> </w:t>
      </w:r>
      <w:r>
        <w:rPr>
          <w:sz w:val="18"/>
        </w:rPr>
        <w:t>headings</w:t>
      </w:r>
      <w:r>
        <w:rPr>
          <w:spacing w:val="-3"/>
          <w:sz w:val="18"/>
        </w:rPr>
        <w:t> </w:t>
      </w:r>
      <w:r>
        <w:rPr>
          <w:sz w:val="18"/>
        </w:rPr>
        <w:t>7</w:t>
      </w:r>
      <w:r>
        <w:rPr>
          <w:spacing w:val="-2"/>
          <w:sz w:val="18"/>
        </w:rPr>
        <w:t> </w:t>
      </w:r>
      <w:r>
        <w:rPr>
          <w:sz w:val="18"/>
        </w:rPr>
        <w:t>to</w:t>
      </w:r>
      <w:r>
        <w:rPr>
          <w:spacing w:val="-3"/>
          <w:sz w:val="18"/>
        </w:rPr>
        <w:t> </w:t>
      </w:r>
      <w:r>
        <w:rPr>
          <w:sz w:val="18"/>
        </w:rPr>
        <w:t>47</w:t>
      </w:r>
      <w:r>
        <w:rPr>
          <w:spacing w:val="-2"/>
          <w:sz w:val="18"/>
        </w:rPr>
        <w:t> </w:t>
      </w:r>
      <w:r>
        <w:rPr>
          <w:sz w:val="18"/>
        </w:rPr>
        <w:t>of</w:t>
      </w:r>
      <w:r>
        <w:rPr>
          <w:spacing w:val="-3"/>
          <w:sz w:val="18"/>
        </w:rPr>
        <w:t> </w:t>
      </w:r>
      <w:r>
        <w:rPr>
          <w:sz w:val="18"/>
        </w:rPr>
        <w:t>Annex</w:t>
      </w:r>
      <w:r>
        <w:rPr>
          <w:spacing w:val="-3"/>
          <w:sz w:val="18"/>
        </w:rPr>
        <w:t> </w:t>
      </w:r>
      <w:r>
        <w:rPr>
          <w:sz w:val="18"/>
        </w:rPr>
        <w:t>2</w:t>
      </w:r>
      <w:r>
        <w:rPr>
          <w:spacing w:val="-2"/>
          <w:sz w:val="18"/>
        </w:rPr>
        <w:t> </w:t>
      </w:r>
      <w:r>
        <w:rPr>
          <w:sz w:val="18"/>
        </w:rPr>
        <w:t>to</w:t>
      </w:r>
      <w:r>
        <w:rPr>
          <w:spacing w:val="-3"/>
          <w:sz w:val="18"/>
        </w:rPr>
        <w:t> </w:t>
      </w:r>
      <w:r>
        <w:rPr>
          <w:sz w:val="18"/>
        </w:rPr>
        <w:t>this</w:t>
      </w:r>
      <w:r>
        <w:rPr>
          <w:spacing w:val="-3"/>
          <w:sz w:val="18"/>
        </w:rPr>
        <w:t> </w:t>
      </w:r>
      <w:r>
        <w:rPr>
          <w:sz w:val="18"/>
        </w:rPr>
        <w:t>Protocol,</w:t>
      </w:r>
      <w:r>
        <w:rPr>
          <w:spacing w:val="-2"/>
          <w:sz w:val="18"/>
        </w:rPr>
        <w:t> </w:t>
      </w:r>
      <w:r>
        <w:rPr>
          <w:sz w:val="18"/>
        </w:rPr>
        <w:t>and</w:t>
      </w:r>
      <w:r>
        <w:rPr>
          <w:spacing w:val="-3"/>
          <w:sz w:val="18"/>
        </w:rPr>
        <w:t> </w:t>
      </w:r>
      <w:r>
        <w:rPr>
          <w:sz w:val="18"/>
        </w:rPr>
        <w:t>the</w:t>
      </w:r>
      <w:r>
        <w:rPr>
          <w:spacing w:val="-2"/>
          <w:sz w:val="18"/>
        </w:rPr>
        <w:t> </w:t>
      </w:r>
      <w:r>
        <w:rPr>
          <w:sz w:val="18"/>
        </w:rPr>
        <w:t>third</w:t>
      </w:r>
      <w:r>
        <w:rPr>
          <w:spacing w:val="-3"/>
          <w:sz w:val="18"/>
        </w:rPr>
        <w:t> </w:t>
      </w:r>
      <w:r>
        <w:rPr>
          <w:sz w:val="18"/>
        </w:rPr>
        <w:t>subparagraph</w:t>
      </w:r>
      <w:r>
        <w:rPr>
          <w:spacing w:val="-3"/>
          <w:sz w:val="18"/>
        </w:rPr>
        <w:t> </w:t>
      </w:r>
      <w:r>
        <w:rPr>
          <w:sz w:val="18"/>
        </w:rPr>
        <w:t>of</w:t>
      </w:r>
      <w:r>
        <w:rPr>
          <w:spacing w:val="-3"/>
          <w:sz w:val="18"/>
        </w:rPr>
        <w:t> </w:t>
      </w:r>
      <w:r>
        <w:rPr>
          <w:sz w:val="18"/>
        </w:rPr>
        <w:t>Article</w:t>
      </w:r>
      <w:r>
        <w:rPr>
          <w:spacing w:val="-2"/>
          <w:sz w:val="18"/>
        </w:rPr>
        <w:t> </w:t>
      </w:r>
      <w:r>
        <w:rPr>
          <w:sz w:val="18"/>
        </w:rPr>
        <w:t>5(1)</w:t>
      </w:r>
      <w:r>
        <w:rPr>
          <w:spacing w:val="-3"/>
          <w:sz w:val="18"/>
        </w:rPr>
        <w:t> </w:t>
      </w:r>
      <w:r>
        <w:rPr>
          <w:sz w:val="18"/>
        </w:rPr>
        <w:t>thereof’ that is they do not apply to the Annex 1 directives.</w:t>
      </w:r>
    </w:p>
    <w:p>
      <w:pPr>
        <w:pStyle w:val="ListParagraph"/>
        <w:numPr>
          <w:ilvl w:val="0"/>
          <w:numId w:val="9"/>
        </w:numPr>
        <w:tabs>
          <w:tab w:pos="1287" w:val="left" w:leader="none"/>
        </w:tabs>
        <w:spacing w:line="240" w:lineRule="auto" w:before="2" w:after="0"/>
        <w:ind w:left="1287" w:right="0" w:hanging="567"/>
        <w:jc w:val="left"/>
        <w:rPr>
          <w:sz w:val="18"/>
        </w:rPr>
      </w:pPr>
      <w:r>
        <w:rPr>
          <w:sz w:val="18"/>
        </w:rPr>
        <w:t>UK</w:t>
      </w:r>
      <w:r>
        <w:rPr>
          <w:spacing w:val="-7"/>
          <w:sz w:val="18"/>
        </w:rPr>
        <w:t> </w:t>
      </w:r>
      <w:r>
        <w:rPr>
          <w:sz w:val="18"/>
        </w:rPr>
        <w:t>Government,</w:t>
      </w:r>
      <w:r>
        <w:rPr>
          <w:spacing w:val="-4"/>
          <w:sz w:val="18"/>
        </w:rPr>
        <w:t> </w:t>
      </w:r>
      <w:r>
        <w:rPr>
          <w:color w:val="1D71B8"/>
          <w:sz w:val="18"/>
          <w:u w:val="single" w:color="1D71B8"/>
        </w:rPr>
        <w:t>The</w:t>
      </w:r>
      <w:r>
        <w:rPr>
          <w:color w:val="1D71B8"/>
          <w:spacing w:val="-4"/>
          <w:sz w:val="18"/>
          <w:u w:val="single" w:color="1D71B8"/>
        </w:rPr>
        <w:t> </w:t>
      </w:r>
      <w:r>
        <w:rPr>
          <w:color w:val="1D71B8"/>
          <w:sz w:val="18"/>
          <w:u w:val="single" w:color="1D71B8"/>
        </w:rPr>
        <w:t>Windsor</w:t>
      </w:r>
      <w:r>
        <w:rPr>
          <w:color w:val="1D71B8"/>
          <w:spacing w:val="-4"/>
          <w:sz w:val="18"/>
          <w:u w:val="single" w:color="1D71B8"/>
        </w:rPr>
        <w:t> </w:t>
      </w:r>
      <w:r>
        <w:rPr>
          <w:color w:val="1D71B8"/>
          <w:sz w:val="18"/>
          <w:u w:val="single" w:color="1D71B8"/>
        </w:rPr>
        <w:t>Framework:</w:t>
      </w:r>
      <w:r>
        <w:rPr>
          <w:color w:val="1D71B8"/>
          <w:spacing w:val="-4"/>
          <w:sz w:val="18"/>
          <w:u w:val="single" w:color="1D71B8"/>
        </w:rPr>
        <w:t> </w:t>
      </w:r>
      <w:r>
        <w:rPr>
          <w:color w:val="1D71B8"/>
          <w:sz w:val="18"/>
          <w:u w:val="single" w:color="1D71B8"/>
        </w:rPr>
        <w:t>A</w:t>
      </w:r>
      <w:r>
        <w:rPr>
          <w:color w:val="1D71B8"/>
          <w:spacing w:val="-5"/>
          <w:sz w:val="18"/>
          <w:u w:val="single" w:color="1D71B8"/>
        </w:rPr>
        <w:t> </w:t>
      </w:r>
      <w:r>
        <w:rPr>
          <w:color w:val="1D71B8"/>
          <w:sz w:val="18"/>
          <w:u w:val="single" w:color="1D71B8"/>
        </w:rPr>
        <w:t>New</w:t>
      </w:r>
      <w:r>
        <w:rPr>
          <w:color w:val="1D71B8"/>
          <w:spacing w:val="-4"/>
          <w:sz w:val="18"/>
          <w:u w:val="single" w:color="1D71B8"/>
        </w:rPr>
        <w:t> </w:t>
      </w:r>
      <w:r>
        <w:rPr>
          <w:color w:val="1D71B8"/>
          <w:sz w:val="18"/>
          <w:u w:val="single" w:color="1D71B8"/>
        </w:rPr>
        <w:t>Way</w:t>
      </w:r>
      <w:r>
        <w:rPr>
          <w:color w:val="1D71B8"/>
          <w:spacing w:val="-4"/>
          <w:sz w:val="18"/>
          <w:u w:val="single" w:color="1D71B8"/>
        </w:rPr>
        <w:t> </w:t>
      </w:r>
      <w:r>
        <w:rPr>
          <w:color w:val="1D71B8"/>
          <w:sz w:val="18"/>
          <w:u w:val="single" w:color="1D71B8"/>
        </w:rPr>
        <w:t>Forward</w:t>
      </w:r>
      <w:r>
        <w:rPr>
          <w:color w:val="1D71B8"/>
          <w:spacing w:val="-6"/>
          <w:sz w:val="18"/>
          <w:u w:val="none"/>
        </w:rPr>
        <w:t> </w:t>
      </w:r>
      <w:r>
        <w:rPr>
          <w:sz w:val="18"/>
          <w:u w:val="none"/>
        </w:rPr>
        <w:t>CP</w:t>
      </w:r>
      <w:r>
        <w:rPr>
          <w:spacing w:val="-4"/>
          <w:sz w:val="18"/>
          <w:u w:val="none"/>
        </w:rPr>
        <w:t> </w:t>
      </w:r>
      <w:r>
        <w:rPr>
          <w:sz w:val="18"/>
          <w:u w:val="none"/>
        </w:rPr>
        <w:t>806</w:t>
      </w:r>
      <w:r>
        <w:rPr>
          <w:spacing w:val="-4"/>
          <w:sz w:val="18"/>
          <w:u w:val="none"/>
        </w:rPr>
        <w:t> </w:t>
      </w:r>
      <w:r>
        <w:rPr>
          <w:sz w:val="18"/>
          <w:u w:val="none"/>
        </w:rPr>
        <w:t>(February</w:t>
      </w:r>
      <w:r>
        <w:rPr>
          <w:spacing w:val="-4"/>
          <w:sz w:val="18"/>
          <w:u w:val="none"/>
        </w:rPr>
        <w:t> </w:t>
      </w:r>
      <w:r>
        <w:rPr>
          <w:sz w:val="18"/>
          <w:u w:val="none"/>
        </w:rPr>
        <w:t>2023)</w:t>
      </w:r>
      <w:r>
        <w:rPr>
          <w:spacing w:val="-5"/>
          <w:sz w:val="18"/>
          <w:u w:val="none"/>
        </w:rPr>
        <w:t> </w:t>
      </w:r>
      <w:r>
        <w:rPr>
          <w:sz w:val="18"/>
          <w:u w:val="none"/>
        </w:rPr>
        <w:t>22-</w:t>
      </w:r>
      <w:r>
        <w:rPr>
          <w:spacing w:val="-5"/>
          <w:sz w:val="18"/>
          <w:u w:val="none"/>
        </w:rPr>
        <w:t>24.</w:t>
      </w:r>
    </w:p>
    <w:p>
      <w:pPr>
        <w:pStyle w:val="ListParagraph"/>
        <w:numPr>
          <w:ilvl w:val="0"/>
          <w:numId w:val="9"/>
        </w:numPr>
        <w:tabs>
          <w:tab w:pos="1287" w:val="left" w:leader="none"/>
        </w:tabs>
        <w:spacing w:line="240" w:lineRule="auto" w:before="0" w:after="0"/>
        <w:ind w:left="1287" w:right="1292" w:hanging="567"/>
        <w:jc w:val="left"/>
        <w:rPr>
          <w:sz w:val="18"/>
        </w:rPr>
      </w:pPr>
      <w:r>
        <w:rPr>
          <w:sz w:val="18"/>
        </w:rPr>
        <w:t>ECNI and NIHRC, </w:t>
      </w:r>
      <w:r>
        <w:rPr>
          <w:color w:val="1D71B8"/>
          <w:sz w:val="18"/>
          <w:u w:val="single" w:color="1D71B8"/>
        </w:rPr>
        <w:t>Submission of the NIHRC and ECNI to the House of Lords Sub-Committee on the Protocol’s call for</w:t>
      </w:r>
      <w:r>
        <w:rPr>
          <w:color w:val="1D71B8"/>
          <w:sz w:val="18"/>
          <w:u w:val="none"/>
        </w:rPr>
        <w:t> </w:t>
      </w:r>
      <w:r>
        <w:rPr>
          <w:color w:val="1D71B8"/>
          <w:sz w:val="18"/>
          <w:u w:val="single" w:color="1D71B8"/>
        </w:rPr>
        <w:t>evidence</w:t>
      </w:r>
      <w:r>
        <w:rPr>
          <w:color w:val="1D71B8"/>
          <w:spacing w:val="-3"/>
          <w:sz w:val="18"/>
          <w:u w:val="single" w:color="1D71B8"/>
        </w:rPr>
        <w:t> </w:t>
      </w:r>
      <w:r>
        <w:rPr>
          <w:color w:val="1D71B8"/>
          <w:sz w:val="18"/>
          <w:u w:val="single" w:color="1D71B8"/>
        </w:rPr>
        <w:t>for</w:t>
      </w:r>
      <w:r>
        <w:rPr>
          <w:color w:val="1D71B8"/>
          <w:spacing w:val="-3"/>
          <w:sz w:val="18"/>
          <w:u w:val="single" w:color="1D71B8"/>
        </w:rPr>
        <w:t> </w:t>
      </w:r>
      <w:r>
        <w:rPr>
          <w:color w:val="1D71B8"/>
          <w:sz w:val="18"/>
          <w:u w:val="single" w:color="1D71B8"/>
        </w:rPr>
        <w:t>its</w:t>
      </w:r>
      <w:r>
        <w:rPr>
          <w:color w:val="1D71B8"/>
          <w:spacing w:val="-4"/>
          <w:sz w:val="18"/>
          <w:u w:val="single" w:color="1D71B8"/>
        </w:rPr>
        <w:t> </w:t>
      </w:r>
      <w:r>
        <w:rPr>
          <w:color w:val="1D71B8"/>
          <w:sz w:val="18"/>
          <w:u w:val="single" w:color="1D71B8"/>
        </w:rPr>
        <w:t>inquiry</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Windsor</w:t>
      </w:r>
      <w:r>
        <w:rPr>
          <w:color w:val="1D71B8"/>
          <w:spacing w:val="-3"/>
          <w:sz w:val="18"/>
          <w:u w:val="single" w:color="1D71B8"/>
        </w:rPr>
        <w:t> </w:t>
      </w:r>
      <w:r>
        <w:rPr>
          <w:color w:val="1D71B8"/>
          <w:sz w:val="18"/>
          <w:u w:val="single" w:color="1D71B8"/>
        </w:rPr>
        <w:t>Framework</w:t>
      </w:r>
      <w:r>
        <w:rPr>
          <w:color w:val="1D71B8"/>
          <w:spacing w:val="-6"/>
          <w:sz w:val="18"/>
          <w:u w:val="none"/>
        </w:rPr>
        <w:t> </w:t>
      </w:r>
      <w:r>
        <w:rPr>
          <w:sz w:val="18"/>
          <w:u w:val="none"/>
        </w:rPr>
        <w:t>(2023)</w:t>
      </w:r>
      <w:r>
        <w:rPr>
          <w:spacing w:val="-4"/>
          <w:sz w:val="18"/>
          <w:u w:val="none"/>
        </w:rPr>
        <w:t> </w:t>
      </w:r>
      <w:r>
        <w:rPr>
          <w:sz w:val="18"/>
          <w:u w:val="none"/>
        </w:rPr>
        <w:t>6.</w:t>
      </w:r>
      <w:r>
        <w:rPr>
          <w:spacing w:val="-4"/>
          <w:sz w:val="18"/>
          <w:u w:val="none"/>
        </w:rPr>
        <w:t> </w:t>
      </w:r>
      <w:r>
        <w:rPr>
          <w:sz w:val="18"/>
          <w:u w:val="none"/>
        </w:rPr>
        <w:t>The</w:t>
      </w:r>
      <w:r>
        <w:rPr>
          <w:spacing w:val="-3"/>
          <w:sz w:val="18"/>
          <w:u w:val="none"/>
        </w:rPr>
        <w:t> </w:t>
      </w:r>
      <w:r>
        <w:rPr>
          <w:sz w:val="18"/>
          <w:u w:val="none"/>
        </w:rPr>
        <w:t>Commissions</w:t>
      </w:r>
      <w:r>
        <w:rPr>
          <w:spacing w:val="-4"/>
          <w:sz w:val="18"/>
          <w:u w:val="none"/>
        </w:rPr>
        <w:t> </w:t>
      </w:r>
      <w:r>
        <w:rPr>
          <w:sz w:val="18"/>
          <w:u w:val="none"/>
        </w:rPr>
        <w:t>have</w:t>
      </w:r>
      <w:r>
        <w:rPr>
          <w:spacing w:val="-3"/>
          <w:sz w:val="18"/>
          <w:u w:val="none"/>
        </w:rPr>
        <w:t> </w:t>
      </w:r>
      <w:r>
        <w:rPr>
          <w:sz w:val="18"/>
          <w:u w:val="none"/>
        </w:rPr>
        <w:t>also</w:t>
      </w:r>
      <w:r>
        <w:rPr>
          <w:spacing w:val="-4"/>
          <w:sz w:val="18"/>
          <w:u w:val="none"/>
        </w:rPr>
        <w:t> </w:t>
      </w:r>
      <w:r>
        <w:rPr>
          <w:sz w:val="18"/>
          <w:u w:val="none"/>
        </w:rPr>
        <w:t>welcomed</w:t>
      </w:r>
      <w:r>
        <w:rPr>
          <w:spacing w:val="-4"/>
          <w:sz w:val="18"/>
          <w:u w:val="none"/>
        </w:rPr>
        <w:t> </w:t>
      </w:r>
      <w:r>
        <w:rPr>
          <w:sz w:val="18"/>
          <w:u w:val="none"/>
        </w:rPr>
        <w:t>other</w:t>
      </w:r>
      <w:r>
        <w:rPr>
          <w:spacing w:val="-3"/>
          <w:sz w:val="18"/>
          <w:u w:val="none"/>
        </w:rPr>
        <w:t> </w:t>
      </w:r>
      <w:r>
        <w:rPr>
          <w:sz w:val="18"/>
          <w:u w:val="none"/>
        </w:rPr>
        <w:t>aspects</w:t>
      </w:r>
      <w:r>
        <w:rPr>
          <w:spacing w:val="-4"/>
          <w:sz w:val="18"/>
          <w:u w:val="none"/>
        </w:rPr>
        <w:t> </w:t>
      </w:r>
      <w:r>
        <w:rPr>
          <w:sz w:val="18"/>
          <w:u w:val="none"/>
        </w:rPr>
        <w:t>of</w:t>
      </w:r>
      <w:r>
        <w:rPr>
          <w:spacing w:val="-4"/>
          <w:sz w:val="18"/>
          <w:u w:val="none"/>
        </w:rPr>
        <w:t> </w:t>
      </w:r>
      <w:r>
        <w:rPr>
          <w:sz w:val="18"/>
          <w:u w:val="none"/>
        </w:rPr>
        <w:t>the Windsor Framework in relation to the supply of medicines and movement of assistance animals, at 8-9.</w:t>
      </w:r>
    </w:p>
    <w:p>
      <w:pPr>
        <w:pStyle w:val="ListParagraph"/>
        <w:numPr>
          <w:ilvl w:val="0"/>
          <w:numId w:val="9"/>
        </w:numPr>
        <w:tabs>
          <w:tab w:pos="1287" w:val="left" w:leader="none"/>
        </w:tabs>
        <w:spacing w:line="240" w:lineRule="auto" w:before="1" w:after="0"/>
        <w:ind w:left="1287" w:right="1426" w:hanging="567"/>
        <w:jc w:val="left"/>
        <w:rPr>
          <w:sz w:val="18"/>
        </w:rPr>
      </w:pPr>
      <w:r>
        <w:rPr>
          <w:color w:val="1D71B8"/>
          <w:sz w:val="18"/>
          <w:u w:val="single" w:color="1D71B8"/>
        </w:rPr>
        <w:t>Directive</w:t>
      </w:r>
      <w:r>
        <w:rPr>
          <w:color w:val="1D71B8"/>
          <w:spacing w:val="-3"/>
          <w:sz w:val="18"/>
          <w:u w:val="single" w:color="1D71B8"/>
        </w:rPr>
        <w:t> </w:t>
      </w:r>
      <w:r>
        <w:rPr>
          <w:color w:val="1D71B8"/>
          <w:sz w:val="18"/>
          <w:u w:val="single" w:color="1D71B8"/>
        </w:rPr>
        <w:t>2014/33/EU</w:t>
      </w:r>
      <w:r>
        <w:rPr>
          <w:color w:val="1D71B8"/>
          <w:spacing w:val="-5"/>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26</w:t>
      </w:r>
      <w:r>
        <w:rPr>
          <w:spacing w:val="-3"/>
          <w:sz w:val="18"/>
          <w:u w:val="none"/>
        </w:rPr>
        <w:t> </w:t>
      </w:r>
      <w:r>
        <w:rPr>
          <w:sz w:val="18"/>
          <w:u w:val="none"/>
        </w:rPr>
        <w:t>February</w:t>
      </w:r>
      <w:r>
        <w:rPr>
          <w:spacing w:val="-3"/>
          <w:sz w:val="18"/>
          <w:u w:val="none"/>
        </w:rPr>
        <w:t> </w:t>
      </w:r>
      <w:r>
        <w:rPr>
          <w:sz w:val="18"/>
          <w:u w:val="none"/>
        </w:rPr>
        <w:t>2014</w:t>
      </w:r>
      <w:r>
        <w:rPr>
          <w:spacing w:val="-3"/>
          <w:sz w:val="18"/>
          <w:u w:val="none"/>
        </w:rPr>
        <w:t> </w:t>
      </w:r>
      <w:r>
        <w:rPr>
          <w:sz w:val="18"/>
          <w:u w:val="none"/>
        </w:rPr>
        <w:t>on</w:t>
      </w:r>
      <w:r>
        <w:rPr>
          <w:spacing w:val="-4"/>
          <w:sz w:val="18"/>
          <w:u w:val="none"/>
        </w:rPr>
        <w:t> </w:t>
      </w:r>
      <w:r>
        <w:rPr>
          <w:sz w:val="18"/>
          <w:u w:val="none"/>
        </w:rPr>
        <w:t>the</w:t>
      </w:r>
      <w:r>
        <w:rPr>
          <w:spacing w:val="-3"/>
          <w:sz w:val="18"/>
          <w:u w:val="none"/>
        </w:rPr>
        <w:t> </w:t>
      </w:r>
      <w:r>
        <w:rPr>
          <w:sz w:val="18"/>
          <w:u w:val="none"/>
        </w:rPr>
        <w:t>harmonisation</w:t>
      </w:r>
      <w:r>
        <w:rPr>
          <w:spacing w:val="-4"/>
          <w:sz w:val="18"/>
          <w:u w:val="none"/>
        </w:rPr>
        <w:t> </w:t>
      </w:r>
      <w:r>
        <w:rPr>
          <w:sz w:val="18"/>
          <w:u w:val="none"/>
        </w:rPr>
        <w:t>of</w:t>
      </w:r>
      <w:r>
        <w:rPr>
          <w:spacing w:val="-4"/>
          <w:sz w:val="18"/>
          <w:u w:val="none"/>
        </w:rPr>
        <w:t> </w:t>
      </w:r>
      <w:r>
        <w:rPr>
          <w:sz w:val="18"/>
          <w:u w:val="none"/>
        </w:rPr>
        <w:t>the laws of the Member States relating to lifts and safety components for lifts 2014.</w:t>
      </w:r>
    </w:p>
    <w:p>
      <w:pPr>
        <w:pStyle w:val="ListParagraph"/>
        <w:numPr>
          <w:ilvl w:val="0"/>
          <w:numId w:val="9"/>
        </w:numPr>
        <w:tabs>
          <w:tab w:pos="1287" w:val="left" w:leader="none"/>
        </w:tabs>
        <w:spacing w:line="240" w:lineRule="auto" w:before="0" w:after="0"/>
        <w:ind w:left="1287" w:right="1716" w:hanging="567"/>
        <w:jc w:val="left"/>
        <w:rPr>
          <w:sz w:val="18"/>
        </w:rPr>
      </w:pPr>
      <w:hyperlink r:id="rId39">
        <w:r>
          <w:rPr>
            <w:color w:val="1D71B8"/>
            <w:sz w:val="18"/>
            <w:u w:val="single" w:color="1D71B8"/>
          </w:rPr>
          <w:t>Directive</w:t>
        </w:r>
        <w:r>
          <w:rPr>
            <w:color w:val="1D71B8"/>
            <w:spacing w:val="-4"/>
            <w:sz w:val="18"/>
            <w:u w:val="single" w:color="1D71B8"/>
          </w:rPr>
          <w:t> </w:t>
        </w:r>
        <w:r>
          <w:rPr>
            <w:color w:val="1D71B8"/>
            <w:sz w:val="18"/>
            <w:u w:val="single" w:color="1D71B8"/>
          </w:rPr>
          <w:t>2006/42/EC</w:t>
        </w:r>
      </w:hyperlink>
      <w:r>
        <w:rPr>
          <w:color w:val="1D71B8"/>
          <w:spacing w:val="-4"/>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w:t>
      </w:r>
      <w:r>
        <w:rPr>
          <w:spacing w:val="-4"/>
          <w:sz w:val="18"/>
          <w:u w:val="none"/>
        </w:rPr>
        <w:t> </w:t>
      </w:r>
      <w:r>
        <w:rPr>
          <w:sz w:val="18"/>
          <w:u w:val="none"/>
        </w:rPr>
        <w:t>and</w:t>
      </w:r>
      <w:r>
        <w:rPr>
          <w:spacing w:val="-5"/>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Council</w:t>
      </w:r>
      <w:r>
        <w:rPr>
          <w:spacing w:val="-5"/>
          <w:sz w:val="18"/>
          <w:u w:val="none"/>
        </w:rPr>
        <w:t> </w:t>
      </w:r>
      <w:r>
        <w:rPr>
          <w:sz w:val="18"/>
          <w:u w:val="none"/>
        </w:rPr>
        <w:t>of</w:t>
      </w:r>
      <w:r>
        <w:rPr>
          <w:spacing w:val="-5"/>
          <w:sz w:val="18"/>
          <w:u w:val="none"/>
        </w:rPr>
        <w:t> </w:t>
      </w:r>
      <w:r>
        <w:rPr>
          <w:sz w:val="18"/>
          <w:u w:val="none"/>
        </w:rPr>
        <w:t>17</w:t>
      </w:r>
      <w:r>
        <w:rPr>
          <w:spacing w:val="-4"/>
          <w:sz w:val="18"/>
          <w:u w:val="none"/>
        </w:rPr>
        <w:t> </w:t>
      </w:r>
      <w:r>
        <w:rPr>
          <w:sz w:val="18"/>
          <w:u w:val="none"/>
        </w:rPr>
        <w:t>May</w:t>
      </w:r>
      <w:r>
        <w:rPr>
          <w:spacing w:val="-4"/>
          <w:sz w:val="18"/>
          <w:u w:val="none"/>
        </w:rPr>
        <w:t> </w:t>
      </w:r>
      <w:r>
        <w:rPr>
          <w:sz w:val="18"/>
          <w:u w:val="none"/>
        </w:rPr>
        <w:t>2006</w:t>
      </w:r>
      <w:r>
        <w:rPr>
          <w:spacing w:val="-4"/>
          <w:sz w:val="18"/>
          <w:u w:val="none"/>
        </w:rPr>
        <w:t> </w:t>
      </w:r>
      <w:r>
        <w:rPr>
          <w:sz w:val="18"/>
          <w:u w:val="none"/>
        </w:rPr>
        <w:t>on</w:t>
      </w:r>
      <w:r>
        <w:rPr>
          <w:spacing w:val="-5"/>
          <w:sz w:val="18"/>
          <w:u w:val="none"/>
        </w:rPr>
        <w:t> </w:t>
      </w:r>
      <w:r>
        <w:rPr>
          <w:sz w:val="18"/>
          <w:u w:val="none"/>
        </w:rPr>
        <w:t>machinery,</w:t>
      </w:r>
      <w:r>
        <w:rPr>
          <w:spacing w:val="-4"/>
          <w:sz w:val="18"/>
          <w:u w:val="none"/>
        </w:rPr>
        <w:t> </w:t>
      </w:r>
      <w:r>
        <w:rPr>
          <w:sz w:val="18"/>
          <w:u w:val="none"/>
        </w:rPr>
        <w:t>and</w:t>
      </w:r>
      <w:r>
        <w:rPr>
          <w:spacing w:val="-5"/>
          <w:sz w:val="18"/>
          <w:u w:val="none"/>
        </w:rPr>
        <w:t> </w:t>
      </w:r>
      <w:r>
        <w:rPr>
          <w:sz w:val="18"/>
          <w:u w:val="none"/>
        </w:rPr>
        <w:t>amending Directive 95/16/EC (recast) 2006.</w:t>
      </w:r>
    </w:p>
    <w:p>
      <w:pPr>
        <w:pStyle w:val="ListParagraph"/>
        <w:numPr>
          <w:ilvl w:val="0"/>
          <w:numId w:val="9"/>
        </w:numPr>
        <w:tabs>
          <w:tab w:pos="1287" w:val="left" w:leader="none"/>
        </w:tabs>
        <w:spacing w:line="240" w:lineRule="auto" w:before="1" w:after="0"/>
        <w:ind w:left="1287" w:right="1609" w:hanging="567"/>
        <w:jc w:val="both"/>
        <w:rPr>
          <w:sz w:val="18"/>
        </w:rPr>
      </w:pPr>
      <w:r>
        <w:rPr>
          <w:color w:val="1D71B8"/>
          <w:sz w:val="18"/>
          <w:u w:val="single" w:color="1D71B8"/>
        </w:rPr>
        <w:t>Regulation</w:t>
      </w:r>
      <w:r>
        <w:rPr>
          <w:color w:val="1D71B8"/>
          <w:spacing w:val="-4"/>
          <w:sz w:val="18"/>
          <w:u w:val="single" w:color="1D71B8"/>
        </w:rPr>
        <w:t> </w:t>
      </w:r>
      <w:r>
        <w:rPr>
          <w:color w:val="1D71B8"/>
          <w:sz w:val="18"/>
          <w:u w:val="single" w:color="1D71B8"/>
        </w:rPr>
        <w:t>(EC)</w:t>
      </w:r>
      <w:r>
        <w:rPr>
          <w:color w:val="1D71B8"/>
          <w:spacing w:val="-4"/>
          <w:sz w:val="18"/>
          <w:u w:val="single" w:color="1D71B8"/>
        </w:rPr>
        <w:t> </w:t>
      </w:r>
      <w:r>
        <w:rPr>
          <w:color w:val="1D71B8"/>
          <w:sz w:val="18"/>
          <w:u w:val="single" w:color="1D71B8"/>
        </w:rPr>
        <w:t>No</w:t>
      </w:r>
      <w:r>
        <w:rPr>
          <w:color w:val="1D71B8"/>
          <w:spacing w:val="-4"/>
          <w:sz w:val="18"/>
          <w:u w:val="single" w:color="1D71B8"/>
        </w:rPr>
        <w:t> </w:t>
      </w:r>
      <w:r>
        <w:rPr>
          <w:color w:val="1D71B8"/>
          <w:sz w:val="18"/>
          <w:u w:val="single" w:color="1D71B8"/>
        </w:rPr>
        <w:t>78/2009</w:t>
      </w:r>
      <w:r>
        <w:rPr>
          <w:color w:val="1D71B8"/>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14</w:t>
      </w:r>
      <w:r>
        <w:rPr>
          <w:spacing w:val="-3"/>
          <w:sz w:val="18"/>
          <w:u w:val="none"/>
        </w:rPr>
        <w:t> </w:t>
      </w:r>
      <w:r>
        <w:rPr>
          <w:sz w:val="18"/>
          <w:u w:val="none"/>
        </w:rPr>
        <w:t>January</w:t>
      </w:r>
      <w:r>
        <w:rPr>
          <w:spacing w:val="-3"/>
          <w:sz w:val="18"/>
          <w:u w:val="none"/>
        </w:rPr>
        <w:t> </w:t>
      </w:r>
      <w:r>
        <w:rPr>
          <w:sz w:val="18"/>
          <w:u w:val="none"/>
        </w:rPr>
        <w:t>2009</w:t>
      </w:r>
      <w:r>
        <w:rPr>
          <w:spacing w:val="-3"/>
          <w:sz w:val="18"/>
          <w:u w:val="none"/>
        </w:rPr>
        <w:t> </w:t>
      </w:r>
      <w:r>
        <w:rPr>
          <w:sz w:val="18"/>
          <w:u w:val="none"/>
        </w:rPr>
        <w:t>on</w:t>
      </w:r>
      <w:r>
        <w:rPr>
          <w:spacing w:val="-4"/>
          <w:sz w:val="18"/>
          <w:u w:val="none"/>
        </w:rPr>
        <w:t> </w:t>
      </w:r>
      <w:r>
        <w:rPr>
          <w:sz w:val="18"/>
          <w:u w:val="none"/>
        </w:rPr>
        <w:t>the</w:t>
      </w:r>
      <w:r>
        <w:rPr>
          <w:spacing w:val="-3"/>
          <w:sz w:val="18"/>
          <w:u w:val="none"/>
        </w:rPr>
        <w:t> </w:t>
      </w:r>
      <w:r>
        <w:rPr>
          <w:sz w:val="18"/>
          <w:u w:val="none"/>
        </w:rPr>
        <w:t>type</w:t>
      </w:r>
      <w:r>
        <w:rPr>
          <w:spacing w:val="-3"/>
          <w:sz w:val="18"/>
          <w:u w:val="none"/>
        </w:rPr>
        <w:t> </w:t>
      </w:r>
      <w:r>
        <w:rPr>
          <w:sz w:val="18"/>
          <w:u w:val="none"/>
        </w:rPr>
        <w:t>approval of</w:t>
      </w:r>
      <w:r>
        <w:rPr>
          <w:spacing w:val="-3"/>
          <w:sz w:val="18"/>
          <w:u w:val="none"/>
        </w:rPr>
        <w:t> </w:t>
      </w:r>
      <w:r>
        <w:rPr>
          <w:sz w:val="18"/>
          <w:u w:val="none"/>
        </w:rPr>
        <w:t>motor</w:t>
      </w:r>
      <w:r>
        <w:rPr>
          <w:spacing w:val="-2"/>
          <w:sz w:val="18"/>
          <w:u w:val="none"/>
        </w:rPr>
        <w:t> </w:t>
      </w:r>
      <w:r>
        <w:rPr>
          <w:sz w:val="18"/>
          <w:u w:val="none"/>
        </w:rPr>
        <w:t>vehicles</w:t>
      </w:r>
      <w:r>
        <w:rPr>
          <w:spacing w:val="-3"/>
          <w:sz w:val="18"/>
          <w:u w:val="none"/>
        </w:rPr>
        <w:t> </w:t>
      </w:r>
      <w:r>
        <w:rPr>
          <w:sz w:val="18"/>
          <w:u w:val="none"/>
        </w:rPr>
        <w:t>with</w:t>
      </w:r>
      <w:r>
        <w:rPr>
          <w:spacing w:val="-3"/>
          <w:sz w:val="18"/>
          <w:u w:val="none"/>
        </w:rPr>
        <w:t> </w:t>
      </w:r>
      <w:r>
        <w:rPr>
          <w:sz w:val="18"/>
          <w:u w:val="none"/>
        </w:rPr>
        <w:t>regard</w:t>
      </w:r>
      <w:r>
        <w:rPr>
          <w:spacing w:val="-3"/>
          <w:sz w:val="18"/>
          <w:u w:val="none"/>
        </w:rPr>
        <w:t> </w:t>
      </w:r>
      <w:r>
        <w:rPr>
          <w:sz w:val="18"/>
          <w:u w:val="none"/>
        </w:rPr>
        <w:t>to</w:t>
      </w:r>
      <w:r>
        <w:rPr>
          <w:spacing w:val="-3"/>
          <w:sz w:val="18"/>
          <w:u w:val="none"/>
        </w:rPr>
        <w:t> </w:t>
      </w:r>
      <w:r>
        <w:rPr>
          <w:sz w:val="18"/>
          <w:u w:val="none"/>
        </w:rPr>
        <w:t>the</w:t>
      </w:r>
      <w:r>
        <w:rPr>
          <w:spacing w:val="-2"/>
          <w:sz w:val="18"/>
          <w:u w:val="none"/>
        </w:rPr>
        <w:t> </w:t>
      </w:r>
      <w:r>
        <w:rPr>
          <w:sz w:val="18"/>
          <w:u w:val="none"/>
        </w:rPr>
        <w:t>protection</w:t>
      </w:r>
      <w:r>
        <w:rPr>
          <w:spacing w:val="-3"/>
          <w:sz w:val="18"/>
          <w:u w:val="none"/>
        </w:rPr>
        <w:t> </w:t>
      </w:r>
      <w:r>
        <w:rPr>
          <w:sz w:val="18"/>
          <w:u w:val="none"/>
        </w:rPr>
        <w:t>of</w:t>
      </w:r>
      <w:r>
        <w:rPr>
          <w:spacing w:val="-3"/>
          <w:sz w:val="18"/>
          <w:u w:val="none"/>
        </w:rPr>
        <w:t> </w:t>
      </w:r>
      <w:r>
        <w:rPr>
          <w:sz w:val="18"/>
          <w:u w:val="none"/>
        </w:rPr>
        <w:t>pedestrians</w:t>
      </w:r>
      <w:r>
        <w:rPr>
          <w:spacing w:val="-3"/>
          <w:sz w:val="18"/>
          <w:u w:val="none"/>
        </w:rPr>
        <w:t> </w:t>
      </w:r>
      <w:r>
        <w:rPr>
          <w:sz w:val="18"/>
          <w:u w:val="none"/>
        </w:rPr>
        <w:t>and</w:t>
      </w:r>
      <w:r>
        <w:rPr>
          <w:spacing w:val="-3"/>
          <w:sz w:val="18"/>
          <w:u w:val="none"/>
        </w:rPr>
        <w:t> </w:t>
      </w:r>
      <w:r>
        <w:rPr>
          <w:sz w:val="18"/>
          <w:u w:val="none"/>
        </w:rPr>
        <w:t>other</w:t>
      </w:r>
      <w:r>
        <w:rPr>
          <w:spacing w:val="-2"/>
          <w:sz w:val="18"/>
          <w:u w:val="none"/>
        </w:rPr>
        <w:t> </w:t>
      </w:r>
      <w:r>
        <w:rPr>
          <w:sz w:val="18"/>
          <w:u w:val="none"/>
        </w:rPr>
        <w:t>vulnerable</w:t>
      </w:r>
      <w:r>
        <w:rPr>
          <w:spacing w:val="-2"/>
          <w:sz w:val="18"/>
          <w:u w:val="none"/>
        </w:rPr>
        <w:t> </w:t>
      </w:r>
      <w:r>
        <w:rPr>
          <w:sz w:val="18"/>
          <w:u w:val="none"/>
        </w:rPr>
        <w:t>road</w:t>
      </w:r>
      <w:r>
        <w:rPr>
          <w:spacing w:val="-3"/>
          <w:sz w:val="18"/>
          <w:u w:val="none"/>
        </w:rPr>
        <w:t> </w:t>
      </w:r>
      <w:r>
        <w:rPr>
          <w:sz w:val="18"/>
          <w:u w:val="none"/>
        </w:rPr>
        <w:t>users,</w:t>
      </w:r>
      <w:r>
        <w:rPr>
          <w:spacing w:val="-2"/>
          <w:sz w:val="18"/>
          <w:u w:val="none"/>
        </w:rPr>
        <w:t> </w:t>
      </w:r>
      <w:r>
        <w:rPr>
          <w:sz w:val="18"/>
          <w:u w:val="none"/>
        </w:rPr>
        <w:t>amending</w:t>
      </w:r>
      <w:r>
        <w:rPr>
          <w:spacing w:val="-2"/>
          <w:sz w:val="18"/>
          <w:u w:val="none"/>
        </w:rPr>
        <w:t> </w:t>
      </w:r>
      <w:r>
        <w:rPr>
          <w:sz w:val="18"/>
          <w:u w:val="none"/>
        </w:rPr>
        <w:t>Directive </w:t>
      </w:r>
      <w:r>
        <w:rPr>
          <w:spacing w:val="-2"/>
          <w:sz w:val="18"/>
          <w:u w:val="none"/>
        </w:rPr>
        <w:t>2007/46/EC.</w:t>
      </w:r>
    </w:p>
    <w:p>
      <w:pPr>
        <w:pStyle w:val="ListParagraph"/>
        <w:numPr>
          <w:ilvl w:val="0"/>
          <w:numId w:val="9"/>
        </w:numPr>
        <w:tabs>
          <w:tab w:pos="1287" w:val="left" w:leader="none"/>
        </w:tabs>
        <w:spacing w:line="240" w:lineRule="auto" w:before="1" w:after="0"/>
        <w:ind w:left="1287" w:right="1679" w:hanging="567"/>
        <w:jc w:val="both"/>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color w:val="1D71B8"/>
          <w:sz w:val="18"/>
          <w:u w:val="single" w:color="1D71B8"/>
        </w:rPr>
        <w:t>Submission</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NIHRC</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ECNI</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House</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Lords</w:t>
      </w:r>
      <w:r>
        <w:rPr>
          <w:color w:val="1D71B8"/>
          <w:spacing w:val="-5"/>
          <w:sz w:val="18"/>
          <w:u w:val="single" w:color="1D71B8"/>
        </w:rPr>
        <w:t> </w:t>
      </w:r>
      <w:r>
        <w:rPr>
          <w:color w:val="1D71B8"/>
          <w:sz w:val="18"/>
          <w:u w:val="single" w:color="1D71B8"/>
        </w:rPr>
        <w:t>Sub-Committee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Protocol’s</w:t>
      </w:r>
      <w:r>
        <w:rPr>
          <w:color w:val="1D71B8"/>
          <w:spacing w:val="-5"/>
          <w:sz w:val="18"/>
          <w:u w:val="single" w:color="1D71B8"/>
        </w:rPr>
        <w:t> </w:t>
      </w:r>
      <w:r>
        <w:rPr>
          <w:color w:val="1D71B8"/>
          <w:sz w:val="18"/>
          <w:u w:val="single" w:color="1D71B8"/>
        </w:rPr>
        <w:t>call</w:t>
      </w:r>
      <w:r>
        <w:rPr>
          <w:color w:val="1D71B8"/>
          <w:spacing w:val="-5"/>
          <w:sz w:val="18"/>
          <w:u w:val="single" w:color="1D71B8"/>
        </w:rPr>
        <w:t> </w:t>
      </w:r>
      <w:r>
        <w:rPr>
          <w:color w:val="1D71B8"/>
          <w:sz w:val="18"/>
          <w:u w:val="single" w:color="1D71B8"/>
        </w:rPr>
        <w:t>for</w:t>
      </w:r>
      <w:r>
        <w:rPr>
          <w:color w:val="1D71B8"/>
          <w:sz w:val="18"/>
          <w:u w:val="none"/>
        </w:rPr>
        <w:t> </w:t>
      </w:r>
      <w:r>
        <w:rPr>
          <w:color w:val="1D71B8"/>
          <w:sz w:val="18"/>
          <w:u w:val="single" w:color="1D71B8"/>
        </w:rPr>
        <w:t>evidence for its inquiry on the Windsor Framework</w:t>
      </w:r>
      <w:r>
        <w:rPr>
          <w:color w:val="1D71B8"/>
          <w:sz w:val="18"/>
          <w:u w:val="none"/>
        </w:rPr>
        <w:t> </w:t>
      </w:r>
      <w:r>
        <w:rPr>
          <w:sz w:val="18"/>
          <w:u w:val="none"/>
        </w:rPr>
        <w:t>(2023) 11-12.</w:t>
      </w:r>
    </w:p>
    <w:p>
      <w:pPr>
        <w:pStyle w:val="ListParagraph"/>
        <w:numPr>
          <w:ilvl w:val="0"/>
          <w:numId w:val="9"/>
        </w:numPr>
        <w:tabs>
          <w:tab w:pos="1287" w:val="left" w:leader="none"/>
        </w:tabs>
        <w:spacing w:line="240" w:lineRule="auto" w:before="0" w:after="0"/>
        <w:ind w:left="1287" w:right="1679" w:hanging="567"/>
        <w:jc w:val="both"/>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color w:val="1D71B8"/>
          <w:sz w:val="18"/>
          <w:u w:val="single" w:color="1D71B8"/>
        </w:rPr>
        <w:t>Submission</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NIHRC</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ECNI</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House</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Lords</w:t>
      </w:r>
      <w:r>
        <w:rPr>
          <w:color w:val="1D71B8"/>
          <w:spacing w:val="-5"/>
          <w:sz w:val="18"/>
          <w:u w:val="single" w:color="1D71B8"/>
        </w:rPr>
        <w:t> </w:t>
      </w:r>
      <w:r>
        <w:rPr>
          <w:color w:val="1D71B8"/>
          <w:sz w:val="18"/>
          <w:u w:val="single" w:color="1D71B8"/>
        </w:rPr>
        <w:t>Sub-Committee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Protocol’s</w:t>
      </w:r>
      <w:r>
        <w:rPr>
          <w:color w:val="1D71B8"/>
          <w:spacing w:val="-5"/>
          <w:sz w:val="18"/>
          <w:u w:val="single" w:color="1D71B8"/>
        </w:rPr>
        <w:t> </w:t>
      </w:r>
      <w:r>
        <w:rPr>
          <w:color w:val="1D71B8"/>
          <w:sz w:val="18"/>
          <w:u w:val="single" w:color="1D71B8"/>
        </w:rPr>
        <w:t>call</w:t>
      </w:r>
      <w:r>
        <w:rPr>
          <w:color w:val="1D71B8"/>
          <w:spacing w:val="-5"/>
          <w:sz w:val="18"/>
          <w:u w:val="single" w:color="1D71B8"/>
        </w:rPr>
        <w:t> </w:t>
      </w:r>
      <w:r>
        <w:rPr>
          <w:color w:val="1D71B8"/>
          <w:sz w:val="18"/>
          <w:u w:val="single" w:color="1D71B8"/>
        </w:rPr>
        <w:t>for</w:t>
      </w:r>
      <w:r>
        <w:rPr>
          <w:color w:val="1D71B8"/>
          <w:sz w:val="18"/>
          <w:u w:val="none"/>
        </w:rPr>
        <w:t> </w:t>
      </w:r>
      <w:r>
        <w:rPr>
          <w:color w:val="1D71B8"/>
          <w:sz w:val="18"/>
          <w:u w:val="single" w:color="1D71B8"/>
        </w:rPr>
        <w:t>evidence for its inquiry on the Windsor Framework</w:t>
      </w:r>
      <w:r>
        <w:rPr>
          <w:color w:val="1D71B8"/>
          <w:sz w:val="18"/>
          <w:u w:val="none"/>
        </w:rPr>
        <w:t> </w:t>
      </w:r>
      <w:r>
        <w:rPr>
          <w:sz w:val="18"/>
          <w:u w:val="none"/>
        </w:rPr>
        <w:t>(2023) 13.</w:t>
      </w:r>
    </w:p>
    <w:p>
      <w:pPr>
        <w:pStyle w:val="ListParagraph"/>
        <w:numPr>
          <w:ilvl w:val="0"/>
          <w:numId w:val="9"/>
        </w:numPr>
        <w:tabs>
          <w:tab w:pos="1286" w:val="left" w:leader="none"/>
        </w:tabs>
        <w:spacing w:line="240" w:lineRule="auto" w:before="1" w:after="0"/>
        <w:ind w:left="1286" w:right="0" w:hanging="566"/>
        <w:jc w:val="both"/>
        <w:rPr>
          <w:sz w:val="18"/>
        </w:rPr>
      </w:pPr>
      <w:r>
        <w:rPr>
          <w:color w:val="1D71B8"/>
          <w:sz w:val="18"/>
          <w:u w:val="single" w:color="1D71B8"/>
        </w:rPr>
        <w:t>Windsor</w:t>
      </w:r>
      <w:r>
        <w:rPr>
          <w:color w:val="1D71B8"/>
          <w:spacing w:val="-9"/>
          <w:sz w:val="18"/>
          <w:u w:val="single" w:color="1D71B8"/>
        </w:rPr>
        <w:t> </w:t>
      </w:r>
      <w:r>
        <w:rPr>
          <w:color w:val="1D71B8"/>
          <w:sz w:val="18"/>
          <w:u w:val="single" w:color="1D71B8"/>
        </w:rPr>
        <w:t>Framework</w:t>
      </w:r>
      <w:r>
        <w:rPr>
          <w:color w:val="1D71B8"/>
          <w:spacing w:val="-9"/>
          <w:sz w:val="18"/>
          <w:u w:val="single" w:color="1D71B8"/>
        </w:rPr>
        <w:t> </w:t>
      </w:r>
      <w:r>
        <w:rPr>
          <w:color w:val="1D71B8"/>
          <w:sz w:val="18"/>
          <w:u w:val="single" w:color="1D71B8"/>
        </w:rPr>
        <w:t>(Democratic</w:t>
      </w:r>
      <w:r>
        <w:rPr>
          <w:color w:val="1D71B8"/>
          <w:spacing w:val="-9"/>
          <w:sz w:val="18"/>
          <w:u w:val="single" w:color="1D71B8"/>
        </w:rPr>
        <w:t> </w:t>
      </w:r>
      <w:r>
        <w:rPr>
          <w:color w:val="1D71B8"/>
          <w:sz w:val="18"/>
          <w:u w:val="single" w:color="1D71B8"/>
        </w:rPr>
        <w:t>Scrutiny)</w:t>
      </w:r>
      <w:r>
        <w:rPr>
          <w:color w:val="1D71B8"/>
          <w:spacing w:val="-10"/>
          <w:sz w:val="18"/>
          <w:u w:val="single" w:color="1D71B8"/>
        </w:rPr>
        <w:t> </w:t>
      </w:r>
      <w:r>
        <w:rPr>
          <w:color w:val="1D71B8"/>
          <w:sz w:val="18"/>
          <w:u w:val="single" w:color="1D71B8"/>
        </w:rPr>
        <w:t>Regulations</w:t>
      </w:r>
      <w:r>
        <w:rPr>
          <w:color w:val="1D71B8"/>
          <w:spacing w:val="-10"/>
          <w:sz w:val="18"/>
          <w:u w:val="single" w:color="1D71B8"/>
        </w:rPr>
        <w:t> </w:t>
      </w:r>
      <w:r>
        <w:rPr>
          <w:color w:val="1D71B8"/>
          <w:spacing w:val="-2"/>
          <w:sz w:val="18"/>
          <w:u w:val="single" w:color="1D71B8"/>
        </w:rPr>
        <w:t>2024</w:t>
      </w:r>
      <w:r>
        <w:rPr>
          <w:spacing w:val="-2"/>
          <w:sz w:val="18"/>
          <w:u w:val="none"/>
        </w:rPr>
        <w:t>.</w:t>
      </w:r>
    </w:p>
    <w:p>
      <w:pPr>
        <w:spacing w:after="0" w:line="240" w:lineRule="auto"/>
        <w:jc w:val="both"/>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63904">
                <wp:simplePos x="0" y="0"/>
                <wp:positionH relativeFrom="page">
                  <wp:posOffset>-2</wp:posOffset>
                </wp:positionH>
                <wp:positionV relativeFrom="page">
                  <wp:posOffset>0</wp:posOffset>
                </wp:positionV>
                <wp:extent cx="7560309" cy="1155065"/>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7560309" cy="1155065"/>
                          <a:chExt cx="7560309" cy="1155065"/>
                        </a:xfrm>
                      </wpg:grpSpPr>
                      <wps:wsp>
                        <wps:cNvPr id="314" name="Graphic 314"/>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315" name="Graphic 315"/>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52576" id="docshapegroup246" coordorigin="0,0" coordsize="11906,1819">
                <v:shape style="position:absolute;left:0;top:0;width:11906;height:1819" id="docshape247"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1.2.5 Return of the Devolved Institution" w:id="36"/>
      <w:bookmarkEnd w:id="36"/>
      <w:r>
        <w:rPr/>
      </w:r>
      <w:bookmarkStart w:name="_bookmark15" w:id="37"/>
      <w:bookmarkEnd w:id="37"/>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25</w:t>
      </w:r>
    </w:p>
    <w:p>
      <w:pPr>
        <w:pStyle w:val="BodyText"/>
        <w:rPr>
          <w:b/>
        </w:rPr>
      </w:pPr>
    </w:p>
    <w:p>
      <w:pPr>
        <w:pStyle w:val="BodyText"/>
        <w:spacing w:before="48"/>
        <w:rPr>
          <w:b/>
        </w:rPr>
      </w:pPr>
    </w:p>
    <w:p>
      <w:pPr>
        <w:pStyle w:val="BodyText"/>
        <w:spacing w:line="232" w:lineRule="auto"/>
        <w:ind w:left="1117" w:right="923"/>
      </w:pPr>
      <w:r>
        <w:rPr/>
        <w:t>To facilitate the workings of Articles 13(3a) and 13(4), domestic regulations now provide for a Windsor Framework Democratic Scrutiny Committee (WFDSC) of</w:t>
      </w:r>
      <w:r>
        <w:rPr/>
        <w:t> the Assembly.</w:t>
      </w:r>
      <w:r>
        <w:rPr>
          <w:vertAlign w:val="superscript"/>
        </w:rPr>
        <w:t>75</w:t>
      </w:r>
      <w:r>
        <w:rPr>
          <w:vertAlign w:val="baseline"/>
        </w:rPr>
        <w:t> There has been controversy over the operation of the petition of concern</w:t>
      </w:r>
      <w:r>
        <w:rPr>
          <w:spacing w:val="-2"/>
          <w:vertAlign w:val="baseline"/>
        </w:rPr>
        <w:t> </w:t>
      </w:r>
      <w:r>
        <w:rPr>
          <w:vertAlign w:val="baseline"/>
        </w:rPr>
        <w:t>mechanism</w:t>
      </w:r>
      <w:r>
        <w:rPr>
          <w:spacing w:val="-1"/>
          <w:vertAlign w:val="baseline"/>
        </w:rPr>
        <w:t> </w:t>
      </w:r>
      <w:r>
        <w:rPr>
          <w:vertAlign w:val="baseline"/>
        </w:rPr>
        <w:t>in</w:t>
      </w:r>
      <w:r>
        <w:rPr>
          <w:spacing w:val="-2"/>
          <w:vertAlign w:val="baseline"/>
        </w:rPr>
        <w:t> </w:t>
      </w:r>
      <w:r>
        <w:rPr>
          <w:vertAlign w:val="baseline"/>
        </w:rPr>
        <w:t>Northern</w:t>
      </w:r>
      <w:r>
        <w:rPr>
          <w:spacing w:val="-2"/>
          <w:vertAlign w:val="baseline"/>
        </w:rPr>
        <w:t> </w:t>
      </w:r>
      <w:r>
        <w:rPr>
          <w:vertAlign w:val="baseline"/>
        </w:rPr>
        <w:t>Ireland</w:t>
      </w:r>
      <w:r>
        <w:rPr>
          <w:spacing w:val="-2"/>
          <w:vertAlign w:val="baseline"/>
        </w:rPr>
        <w:t> </w:t>
      </w:r>
      <w:r>
        <w:rPr>
          <w:vertAlign w:val="baseline"/>
        </w:rPr>
        <w:t>and</w:t>
      </w:r>
      <w:r>
        <w:rPr>
          <w:spacing w:val="-2"/>
          <w:vertAlign w:val="baseline"/>
        </w:rPr>
        <w:t> </w:t>
      </w:r>
      <w:r>
        <w:rPr>
          <w:vertAlign w:val="baseline"/>
        </w:rPr>
        <w:t>in</w:t>
      </w:r>
      <w:r>
        <w:rPr>
          <w:spacing w:val="-2"/>
          <w:vertAlign w:val="baseline"/>
        </w:rPr>
        <w:t> </w:t>
      </w:r>
      <w:r>
        <w:rPr>
          <w:vertAlign w:val="baseline"/>
        </w:rPr>
        <w:t>particular</w:t>
      </w:r>
      <w:r>
        <w:rPr>
          <w:spacing w:val="-1"/>
          <w:vertAlign w:val="baseline"/>
        </w:rPr>
        <w:t> </w:t>
      </w:r>
      <w:r>
        <w:rPr>
          <w:vertAlign w:val="baseline"/>
        </w:rPr>
        <w:t>that</w:t>
      </w:r>
      <w:r>
        <w:rPr>
          <w:spacing w:val="-1"/>
          <w:vertAlign w:val="baseline"/>
        </w:rPr>
        <w:t> </w:t>
      </w:r>
      <w:r>
        <w:rPr>
          <w:vertAlign w:val="baseline"/>
        </w:rPr>
        <w:t>the</w:t>
      </w:r>
      <w:r>
        <w:rPr>
          <w:spacing w:val="-1"/>
          <w:vertAlign w:val="baseline"/>
        </w:rPr>
        <w:t> </w:t>
      </w:r>
      <w:r>
        <w:rPr>
          <w:vertAlign w:val="baseline"/>
        </w:rPr>
        <w:t>mechanism</w:t>
      </w:r>
      <w:r>
        <w:rPr>
          <w:spacing w:val="-1"/>
          <w:vertAlign w:val="baseline"/>
        </w:rPr>
        <w:t> </w:t>
      </w:r>
      <w:r>
        <w:rPr>
          <w:vertAlign w:val="baseline"/>
        </w:rPr>
        <w:t>has been used for many purposes not contemplated in the 1998 Agreement and has effectively</w:t>
      </w:r>
      <w:r>
        <w:rPr>
          <w:spacing w:val="-11"/>
          <w:vertAlign w:val="baseline"/>
        </w:rPr>
        <w:t> </w:t>
      </w:r>
      <w:r>
        <w:rPr>
          <w:vertAlign w:val="baseline"/>
        </w:rPr>
        <w:t>halted</w:t>
      </w:r>
      <w:r>
        <w:rPr>
          <w:spacing w:val="-12"/>
          <w:vertAlign w:val="baseline"/>
        </w:rPr>
        <w:t> </w:t>
      </w:r>
      <w:r>
        <w:rPr>
          <w:vertAlign w:val="baseline"/>
        </w:rPr>
        <w:t>opportunities</w:t>
      </w:r>
      <w:r>
        <w:rPr>
          <w:spacing w:val="-12"/>
          <w:vertAlign w:val="baseline"/>
        </w:rPr>
        <w:t> </w:t>
      </w:r>
      <w:r>
        <w:rPr>
          <w:vertAlign w:val="baseline"/>
        </w:rPr>
        <w:t>for</w:t>
      </w:r>
      <w:r>
        <w:rPr>
          <w:spacing w:val="-11"/>
          <w:vertAlign w:val="baseline"/>
        </w:rPr>
        <w:t> </w:t>
      </w:r>
      <w:r>
        <w:rPr>
          <w:vertAlign w:val="baseline"/>
        </w:rPr>
        <w:t>progressive</w:t>
      </w:r>
      <w:r>
        <w:rPr>
          <w:spacing w:val="-11"/>
          <w:vertAlign w:val="baseline"/>
        </w:rPr>
        <w:t> </w:t>
      </w:r>
      <w:r>
        <w:rPr>
          <w:vertAlign w:val="baseline"/>
        </w:rPr>
        <w:t>change</w:t>
      </w:r>
      <w:r>
        <w:rPr>
          <w:spacing w:val="-11"/>
          <w:vertAlign w:val="baseline"/>
        </w:rPr>
        <w:t> </w:t>
      </w:r>
      <w:r>
        <w:rPr>
          <w:vertAlign w:val="baseline"/>
        </w:rPr>
        <w:t>in</w:t>
      </w:r>
      <w:r>
        <w:rPr>
          <w:spacing w:val="-12"/>
          <w:vertAlign w:val="baseline"/>
        </w:rPr>
        <w:t> </w:t>
      </w:r>
      <w:r>
        <w:rPr>
          <w:vertAlign w:val="baseline"/>
        </w:rPr>
        <w:t>Northern</w:t>
      </w:r>
      <w:r>
        <w:rPr>
          <w:spacing w:val="-12"/>
          <w:vertAlign w:val="baseline"/>
        </w:rPr>
        <w:t> </w:t>
      </w:r>
      <w:r>
        <w:rPr>
          <w:vertAlign w:val="baseline"/>
        </w:rPr>
        <w:t>Ireland.</w:t>
      </w:r>
      <w:r>
        <w:rPr>
          <w:vertAlign w:val="superscript"/>
        </w:rPr>
        <w:t>76</w:t>
      </w:r>
      <w:r>
        <w:rPr>
          <w:spacing w:val="-12"/>
          <w:vertAlign w:val="baseline"/>
        </w:rPr>
        <w:t> </w:t>
      </w:r>
      <w:r>
        <w:rPr>
          <w:vertAlign w:val="baseline"/>
        </w:rPr>
        <w:t>Prior to the UK’s exit from the EU, the petition of concern process could not ultimately</w:t>
      </w:r>
    </w:p>
    <w:p>
      <w:pPr>
        <w:pStyle w:val="BodyText"/>
        <w:spacing w:line="232" w:lineRule="auto"/>
        <w:ind w:left="1117" w:right="738"/>
      </w:pPr>
      <w:r>
        <w:rPr/>
        <w:t>prevail</w:t>
      </w:r>
      <w:r>
        <w:rPr>
          <w:spacing w:val="-10"/>
        </w:rPr>
        <w:t> </w:t>
      </w:r>
      <w:r>
        <w:rPr/>
        <w:t>over</w:t>
      </w:r>
      <w:r>
        <w:rPr>
          <w:spacing w:val="-10"/>
        </w:rPr>
        <w:t> </w:t>
      </w:r>
      <w:r>
        <w:rPr/>
        <w:t>changes</w:t>
      </w:r>
      <w:r>
        <w:rPr>
          <w:spacing w:val="-10"/>
        </w:rPr>
        <w:t> </w:t>
      </w:r>
      <w:r>
        <w:rPr/>
        <w:t>introduced</w:t>
      </w:r>
      <w:r>
        <w:rPr>
          <w:spacing w:val="-10"/>
        </w:rPr>
        <w:t> </w:t>
      </w:r>
      <w:r>
        <w:rPr/>
        <w:t>by</w:t>
      </w:r>
      <w:r>
        <w:rPr>
          <w:spacing w:val="-10"/>
        </w:rPr>
        <w:t> </w:t>
      </w:r>
      <w:r>
        <w:rPr/>
        <w:t>EU</w:t>
      </w:r>
      <w:r>
        <w:rPr>
          <w:spacing w:val="-10"/>
        </w:rPr>
        <w:t> </w:t>
      </w:r>
      <w:r>
        <w:rPr/>
        <w:t>law,</w:t>
      </w:r>
      <w:r>
        <w:rPr>
          <w:spacing w:val="-10"/>
        </w:rPr>
        <w:t> </w:t>
      </w:r>
      <w:r>
        <w:rPr/>
        <w:t>but</w:t>
      </w:r>
      <w:r>
        <w:rPr>
          <w:spacing w:val="-10"/>
        </w:rPr>
        <w:t> </w:t>
      </w:r>
      <w:r>
        <w:rPr/>
        <w:t>this</w:t>
      </w:r>
      <w:r>
        <w:rPr>
          <w:spacing w:val="-10"/>
        </w:rPr>
        <w:t> </w:t>
      </w:r>
      <w:r>
        <w:rPr/>
        <w:t>new</w:t>
      </w:r>
      <w:r>
        <w:rPr>
          <w:spacing w:val="-10"/>
        </w:rPr>
        <w:t> </w:t>
      </w:r>
      <w:r>
        <w:rPr/>
        <w:t>arrangement</w:t>
      </w:r>
      <w:r>
        <w:rPr>
          <w:spacing w:val="-10"/>
        </w:rPr>
        <w:t> </w:t>
      </w:r>
      <w:r>
        <w:rPr/>
        <w:t>could</w:t>
      </w:r>
      <w:r>
        <w:rPr>
          <w:spacing w:val="-10"/>
        </w:rPr>
        <w:t> </w:t>
      </w:r>
      <w:r>
        <w:rPr/>
        <w:t>provide an</w:t>
      </w:r>
      <w:r>
        <w:rPr>
          <w:spacing w:val="-5"/>
        </w:rPr>
        <w:t> </w:t>
      </w:r>
      <w:r>
        <w:rPr/>
        <w:t>effective</w:t>
      </w:r>
      <w:r>
        <w:rPr>
          <w:spacing w:val="-4"/>
        </w:rPr>
        <w:t> </w:t>
      </w:r>
      <w:r>
        <w:rPr/>
        <w:t>veto,</w:t>
      </w:r>
      <w:r>
        <w:rPr>
          <w:spacing w:val="-4"/>
        </w:rPr>
        <w:t> </w:t>
      </w:r>
      <w:r>
        <w:rPr/>
        <w:t>apart</w:t>
      </w:r>
      <w:r>
        <w:rPr>
          <w:spacing w:val="-4"/>
        </w:rPr>
        <w:t> </w:t>
      </w:r>
      <w:r>
        <w:rPr/>
        <w:t>from</w:t>
      </w:r>
      <w:r>
        <w:rPr>
          <w:spacing w:val="-4"/>
        </w:rPr>
        <w:t> </w:t>
      </w:r>
      <w:r>
        <w:rPr/>
        <w:t>EU</w:t>
      </w:r>
      <w:r>
        <w:rPr>
          <w:spacing w:val="-4"/>
        </w:rPr>
        <w:t> </w:t>
      </w:r>
      <w:r>
        <w:rPr/>
        <w:t>acts</w:t>
      </w:r>
      <w:r>
        <w:rPr>
          <w:spacing w:val="-5"/>
        </w:rPr>
        <w:t> </w:t>
      </w:r>
      <w:r>
        <w:rPr/>
        <w:t>amending</w:t>
      </w:r>
      <w:r>
        <w:rPr>
          <w:spacing w:val="-4"/>
        </w:rPr>
        <w:t> </w:t>
      </w:r>
      <w:r>
        <w:rPr/>
        <w:t>or</w:t>
      </w:r>
      <w:r>
        <w:rPr>
          <w:spacing w:val="-4"/>
        </w:rPr>
        <w:t> </w:t>
      </w:r>
      <w:r>
        <w:rPr/>
        <w:t>replacing</w:t>
      </w:r>
      <w:r>
        <w:rPr>
          <w:spacing w:val="-4"/>
        </w:rPr>
        <w:t> </w:t>
      </w:r>
      <w:r>
        <w:rPr/>
        <w:t>Annex</w:t>
      </w:r>
      <w:r>
        <w:rPr>
          <w:spacing w:val="-5"/>
        </w:rPr>
        <w:t> </w:t>
      </w:r>
      <w:r>
        <w:rPr/>
        <w:t>1</w:t>
      </w:r>
      <w:r>
        <w:rPr>
          <w:spacing w:val="-4"/>
        </w:rPr>
        <w:t> </w:t>
      </w:r>
      <w:r>
        <w:rPr/>
        <w:t>directives.</w:t>
      </w:r>
      <w:r>
        <w:rPr>
          <w:spacing w:val="-5"/>
        </w:rPr>
        <w:t> </w:t>
      </w:r>
      <w:r>
        <w:rPr/>
        <w:t>The Commissions have emphasised (and we agree) that equality and rights concerns need to be made central in the work of the WF institutions including the WFDSC.</w:t>
      </w:r>
      <w:r>
        <w:rPr>
          <w:vertAlign w:val="superscript"/>
        </w:rPr>
        <w:t>77</w:t>
      </w:r>
    </w:p>
    <w:p>
      <w:pPr>
        <w:pStyle w:val="BodyText"/>
        <w:spacing w:line="232" w:lineRule="auto" w:before="266"/>
        <w:ind w:left="1117" w:right="738"/>
      </w:pPr>
      <w:r>
        <w:rPr/>
        <w:t>While the WF includes provisions amending the original Protocol, there does not appear</w:t>
      </w:r>
      <w:r>
        <w:rPr>
          <w:spacing w:val="-2"/>
        </w:rPr>
        <w:t> </w:t>
      </w:r>
      <w:r>
        <w:rPr/>
        <w:t>to</w:t>
      </w:r>
      <w:r>
        <w:rPr>
          <w:spacing w:val="-3"/>
        </w:rPr>
        <w:t> </w:t>
      </w:r>
      <w:r>
        <w:rPr/>
        <w:t>be</w:t>
      </w:r>
      <w:r>
        <w:rPr>
          <w:spacing w:val="-2"/>
        </w:rPr>
        <w:t> </w:t>
      </w:r>
      <w:r>
        <w:rPr/>
        <w:t>a</w:t>
      </w:r>
      <w:r>
        <w:rPr>
          <w:spacing w:val="-3"/>
        </w:rPr>
        <w:t> </w:t>
      </w:r>
      <w:r>
        <w:rPr/>
        <w:t>consolidated</w:t>
      </w:r>
      <w:r>
        <w:rPr>
          <w:spacing w:val="-3"/>
        </w:rPr>
        <w:t> </w:t>
      </w:r>
      <w:r>
        <w:rPr/>
        <w:t>version</w:t>
      </w:r>
      <w:r>
        <w:rPr>
          <w:spacing w:val="-3"/>
        </w:rPr>
        <w:t> </w:t>
      </w:r>
      <w:r>
        <w:rPr/>
        <w:t>of</w:t>
      </w:r>
      <w:r>
        <w:rPr>
          <w:spacing w:val="-3"/>
        </w:rPr>
        <w:t> </w:t>
      </w:r>
      <w:r>
        <w:rPr/>
        <w:t>the</w:t>
      </w:r>
      <w:r>
        <w:rPr>
          <w:spacing w:val="-2"/>
        </w:rPr>
        <w:t> </w:t>
      </w:r>
      <w:r>
        <w:rPr/>
        <w:t>text.</w:t>
      </w:r>
      <w:r>
        <w:rPr>
          <w:spacing w:val="-3"/>
        </w:rPr>
        <w:t> </w:t>
      </w:r>
      <w:r>
        <w:rPr/>
        <w:t>This</w:t>
      </w:r>
      <w:r>
        <w:rPr>
          <w:spacing w:val="-3"/>
        </w:rPr>
        <w:t> </w:t>
      </w:r>
      <w:r>
        <w:rPr/>
        <w:t>is</w:t>
      </w:r>
      <w:r>
        <w:rPr>
          <w:spacing w:val="-3"/>
        </w:rPr>
        <w:t> </w:t>
      </w:r>
      <w:r>
        <w:rPr/>
        <w:t>harmful</w:t>
      </w:r>
      <w:r>
        <w:rPr>
          <w:spacing w:val="-3"/>
        </w:rPr>
        <w:t> </w:t>
      </w:r>
      <w:r>
        <w:rPr/>
        <w:t>to</w:t>
      </w:r>
      <w:r>
        <w:rPr>
          <w:spacing w:val="-3"/>
        </w:rPr>
        <w:t> </w:t>
      </w:r>
      <w:r>
        <w:rPr/>
        <w:t>the</w:t>
      </w:r>
      <w:r>
        <w:rPr>
          <w:spacing w:val="-2"/>
        </w:rPr>
        <w:t> </w:t>
      </w:r>
      <w:r>
        <w:rPr/>
        <w:t>clarity</w:t>
      </w:r>
      <w:r>
        <w:rPr>
          <w:spacing w:val="-2"/>
        </w:rPr>
        <w:t> </w:t>
      </w:r>
      <w:r>
        <w:rPr/>
        <w:t>of</w:t>
      </w:r>
      <w:r>
        <w:rPr>
          <w:spacing w:val="-3"/>
        </w:rPr>
        <w:t> </w:t>
      </w:r>
      <w:r>
        <w:rPr/>
        <w:t>the law</w:t>
      </w:r>
      <w:r>
        <w:rPr>
          <w:spacing w:val="-8"/>
        </w:rPr>
        <w:t> </w:t>
      </w:r>
      <w:r>
        <w:rPr/>
        <w:t>as</w:t>
      </w:r>
      <w:r>
        <w:rPr>
          <w:spacing w:val="-9"/>
        </w:rPr>
        <w:t> </w:t>
      </w:r>
      <w:r>
        <w:rPr/>
        <w:t>it</w:t>
      </w:r>
      <w:r>
        <w:rPr>
          <w:spacing w:val="-8"/>
        </w:rPr>
        <w:t> </w:t>
      </w:r>
      <w:r>
        <w:rPr/>
        <w:t>is</w:t>
      </w:r>
      <w:r>
        <w:rPr>
          <w:spacing w:val="-9"/>
        </w:rPr>
        <w:t> </w:t>
      </w:r>
      <w:r>
        <w:rPr/>
        <w:t>necessary</w:t>
      </w:r>
      <w:r>
        <w:rPr>
          <w:spacing w:val="-8"/>
        </w:rPr>
        <w:t> </w:t>
      </w:r>
      <w:r>
        <w:rPr/>
        <w:t>to</w:t>
      </w:r>
      <w:r>
        <w:rPr>
          <w:spacing w:val="-9"/>
        </w:rPr>
        <w:t> </w:t>
      </w:r>
      <w:r>
        <w:rPr/>
        <w:t>cross-reference</w:t>
      </w:r>
      <w:r>
        <w:rPr>
          <w:spacing w:val="-8"/>
        </w:rPr>
        <w:t> </w:t>
      </w:r>
      <w:r>
        <w:rPr/>
        <w:t>different</w:t>
      </w:r>
      <w:r>
        <w:rPr>
          <w:spacing w:val="-8"/>
        </w:rPr>
        <w:t> </w:t>
      </w:r>
      <w:r>
        <w:rPr/>
        <w:t>legal</w:t>
      </w:r>
      <w:r>
        <w:rPr>
          <w:spacing w:val="-9"/>
        </w:rPr>
        <w:t> </w:t>
      </w:r>
      <w:r>
        <w:rPr/>
        <w:t>measures</w:t>
      </w:r>
      <w:r>
        <w:rPr>
          <w:spacing w:val="-9"/>
        </w:rPr>
        <w:t> </w:t>
      </w:r>
      <w:r>
        <w:rPr/>
        <w:t>to</w:t>
      </w:r>
      <w:r>
        <w:rPr>
          <w:spacing w:val="-9"/>
        </w:rPr>
        <w:t> </w:t>
      </w:r>
      <w:r>
        <w:rPr/>
        <w:t>understand</w:t>
      </w:r>
      <w:r>
        <w:rPr>
          <w:spacing w:val="-9"/>
        </w:rPr>
        <w:t> </w:t>
      </w:r>
      <w:r>
        <w:rPr/>
        <w:t>the legal position.</w:t>
      </w:r>
    </w:p>
    <w:p>
      <w:pPr>
        <w:pStyle w:val="BodyText"/>
        <w:spacing w:before="1"/>
        <w:rPr>
          <w:sz w:val="20"/>
        </w:rPr>
      </w:pPr>
      <w:r>
        <w:rPr/>
        <mc:AlternateContent>
          <mc:Choice Requires="wps">
            <w:drawing>
              <wp:anchor distT="0" distB="0" distL="0" distR="0" allowOverlap="1" layoutInCell="1" locked="0" behindDoc="1" simplePos="0" relativeHeight="487646208">
                <wp:simplePos x="0" y="0"/>
                <wp:positionH relativeFrom="page">
                  <wp:posOffset>899994</wp:posOffset>
                </wp:positionH>
                <wp:positionV relativeFrom="paragraph">
                  <wp:posOffset>171254</wp:posOffset>
                </wp:positionV>
                <wp:extent cx="6012180" cy="603885"/>
                <wp:effectExtent l="0" t="0" r="0" b="0"/>
                <wp:wrapTopAndBottom/>
                <wp:docPr id="316" name="Group 316"/>
                <wp:cNvGraphicFramePr>
                  <a:graphicFrameLocks/>
                </wp:cNvGraphicFramePr>
                <a:graphic>
                  <a:graphicData uri="http://schemas.microsoft.com/office/word/2010/wordprocessingGroup">
                    <wpg:wgp>
                      <wpg:cNvPr id="316" name="Group 316"/>
                      <wpg:cNvGrpSpPr/>
                      <wpg:grpSpPr>
                        <a:xfrm>
                          <a:off x="0" y="0"/>
                          <a:ext cx="6012180" cy="603885"/>
                          <a:chExt cx="6012180" cy="603885"/>
                        </a:xfrm>
                      </wpg:grpSpPr>
                      <wps:wsp>
                        <wps:cNvPr id="317" name="Graphic 317"/>
                        <wps:cNvSpPr/>
                        <wps:spPr>
                          <a:xfrm>
                            <a:off x="0" y="0"/>
                            <a:ext cx="6012180" cy="603885"/>
                          </a:xfrm>
                          <a:custGeom>
                            <a:avLst/>
                            <a:gdLst/>
                            <a:ahLst/>
                            <a:cxnLst/>
                            <a:rect l="l" t="t" r="r" b="b"/>
                            <a:pathLst>
                              <a:path w="6012180" h="603885">
                                <a:moveTo>
                                  <a:pt x="5868009" y="0"/>
                                </a:moveTo>
                                <a:lnTo>
                                  <a:pt x="144005" y="0"/>
                                </a:lnTo>
                                <a:lnTo>
                                  <a:pt x="98490" y="7340"/>
                                </a:lnTo>
                                <a:lnTo>
                                  <a:pt x="58959" y="27782"/>
                                </a:lnTo>
                                <a:lnTo>
                                  <a:pt x="27785" y="58954"/>
                                </a:lnTo>
                                <a:lnTo>
                                  <a:pt x="7341" y="98485"/>
                                </a:lnTo>
                                <a:lnTo>
                                  <a:pt x="0" y="144005"/>
                                </a:lnTo>
                                <a:lnTo>
                                  <a:pt x="0" y="459346"/>
                                </a:lnTo>
                                <a:lnTo>
                                  <a:pt x="7341" y="504861"/>
                                </a:lnTo>
                                <a:lnTo>
                                  <a:pt x="27785" y="544392"/>
                                </a:lnTo>
                                <a:lnTo>
                                  <a:pt x="58959" y="575565"/>
                                </a:lnTo>
                                <a:lnTo>
                                  <a:pt x="98490" y="596009"/>
                                </a:lnTo>
                                <a:lnTo>
                                  <a:pt x="144005" y="603351"/>
                                </a:lnTo>
                                <a:lnTo>
                                  <a:pt x="5868009" y="603351"/>
                                </a:lnTo>
                                <a:lnTo>
                                  <a:pt x="5913523" y="596009"/>
                                </a:lnTo>
                                <a:lnTo>
                                  <a:pt x="5953050" y="575565"/>
                                </a:lnTo>
                                <a:lnTo>
                                  <a:pt x="5984220" y="544392"/>
                                </a:lnTo>
                                <a:lnTo>
                                  <a:pt x="6004661" y="504861"/>
                                </a:lnTo>
                                <a:lnTo>
                                  <a:pt x="6012002" y="4593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318" name="Textbox 318"/>
                        <wps:cNvSpPr txBox="1"/>
                        <wps:spPr>
                          <a:xfrm>
                            <a:off x="0" y="0"/>
                            <a:ext cx="6012180" cy="60388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that</w:t>
                              </w:r>
                              <w:r>
                                <w:rPr>
                                  <w:b/>
                                  <w:color w:val="164194"/>
                                  <w:spacing w:val="-6"/>
                                  <w:sz w:val="28"/>
                                </w:rPr>
                                <w:t> </w:t>
                              </w:r>
                              <w:r>
                                <w:rPr>
                                  <w:b/>
                                  <w:color w:val="164194"/>
                                  <w:sz w:val="28"/>
                                </w:rPr>
                                <w:t>EU</w:t>
                              </w:r>
                              <w:r>
                                <w:rPr>
                                  <w:b/>
                                  <w:color w:val="164194"/>
                                  <w:spacing w:val="-6"/>
                                  <w:sz w:val="28"/>
                                </w:rPr>
                                <w:t> </w:t>
                              </w:r>
                              <w:r>
                                <w:rPr>
                                  <w:b/>
                                  <w:color w:val="164194"/>
                                  <w:sz w:val="28"/>
                                </w:rPr>
                                <w:t>and</w:t>
                              </w:r>
                              <w:r>
                                <w:rPr>
                                  <w:b/>
                                  <w:color w:val="164194"/>
                                  <w:spacing w:val="-6"/>
                                  <w:sz w:val="28"/>
                                </w:rPr>
                                <w:t> </w:t>
                              </w:r>
                              <w:r>
                                <w:rPr>
                                  <w:b/>
                                  <w:color w:val="164194"/>
                                  <w:sz w:val="28"/>
                                </w:rPr>
                                <w:t>UK</w:t>
                              </w:r>
                              <w:r>
                                <w:rPr>
                                  <w:b/>
                                  <w:color w:val="164194"/>
                                  <w:spacing w:val="-6"/>
                                  <w:sz w:val="28"/>
                                </w:rPr>
                                <w:t> </w:t>
                              </w:r>
                              <w:r>
                                <w:rPr>
                                  <w:b/>
                                  <w:color w:val="164194"/>
                                  <w:sz w:val="28"/>
                                </w:rPr>
                                <w:t>publish</w:t>
                              </w:r>
                              <w:r>
                                <w:rPr>
                                  <w:b/>
                                  <w:color w:val="164194"/>
                                  <w:spacing w:val="-6"/>
                                  <w:sz w:val="28"/>
                                </w:rPr>
                                <w:t> </w:t>
                              </w:r>
                              <w:r>
                                <w:rPr>
                                  <w:b/>
                                  <w:color w:val="164194"/>
                                  <w:sz w:val="28"/>
                                </w:rPr>
                                <w:t>a</w:t>
                              </w:r>
                              <w:r>
                                <w:rPr>
                                  <w:b/>
                                  <w:color w:val="164194"/>
                                  <w:spacing w:val="-6"/>
                                  <w:sz w:val="28"/>
                                </w:rPr>
                                <w:t> </w:t>
                              </w:r>
                              <w:r>
                                <w:rPr>
                                  <w:b/>
                                  <w:color w:val="164194"/>
                                  <w:sz w:val="28"/>
                                </w:rPr>
                                <w:t>consolidated</w:t>
                              </w:r>
                              <w:r>
                                <w:rPr>
                                  <w:b/>
                                  <w:color w:val="164194"/>
                                  <w:spacing w:val="-6"/>
                                  <w:sz w:val="28"/>
                                </w:rPr>
                                <w:t> </w:t>
                              </w:r>
                              <w:r>
                                <w:rPr>
                                  <w:b/>
                                  <w:color w:val="164194"/>
                                  <w:sz w:val="28"/>
                                </w:rPr>
                                <w:t>version</w:t>
                              </w:r>
                              <w:r>
                                <w:rPr>
                                  <w:b/>
                                  <w:color w:val="164194"/>
                                  <w:spacing w:val="-6"/>
                                  <w:sz w:val="28"/>
                                </w:rPr>
                                <w:t> </w:t>
                              </w:r>
                              <w:r>
                                <w:rPr>
                                  <w:b/>
                                  <w:color w:val="164194"/>
                                  <w:sz w:val="28"/>
                                </w:rPr>
                                <w:t>of</w:t>
                              </w:r>
                              <w:r>
                                <w:rPr>
                                  <w:b/>
                                  <w:color w:val="164194"/>
                                  <w:spacing w:val="-7"/>
                                  <w:sz w:val="28"/>
                                </w:rPr>
                                <w:t> </w:t>
                              </w:r>
                              <w:r>
                                <w:rPr>
                                  <w:b/>
                                  <w:color w:val="164194"/>
                                  <w:sz w:val="28"/>
                                </w:rPr>
                                <w:t>the Windsor Framework text.</w:t>
                              </w:r>
                            </w:p>
                          </w:txbxContent>
                        </wps:txbx>
                        <wps:bodyPr wrap="square" lIns="0" tIns="0" rIns="0" bIns="0" rtlCol="0">
                          <a:noAutofit/>
                        </wps:bodyPr>
                      </wps:wsp>
                    </wpg:wgp>
                  </a:graphicData>
                </a:graphic>
              </wp:anchor>
            </w:drawing>
          </mc:Choice>
          <mc:Fallback>
            <w:pict>
              <v:group style="position:absolute;margin-left:70.8657pt;margin-top:13.484642pt;width:473.4pt;height:47.55pt;mso-position-horizontal-relative:page;mso-position-vertical-relative:paragraph;z-index:-15670272;mso-wrap-distance-left:0;mso-wrap-distance-right:0" id="docshapegroup248" coordorigin="1417,270" coordsize="9468,951">
                <v:shape style="position:absolute;left:1417;top:269;width:9468;height:951" id="docshape249" coordorigin="1417,270" coordsize="9468,951" path="m10658,270l1644,270,1572,281,1510,313,1461,363,1429,425,1417,496,1417,993,1429,1065,1461,1127,1510,1176,1572,1208,1644,1220,10658,1220,10730,1208,10792,1176,10841,1127,10873,1065,10885,993,10885,496,10873,425,10841,363,10792,313,10730,281,10658,270xe" filled="true" fillcolor="#e9f3fc" stroked="false">
                  <v:path arrowok="t"/>
                  <v:fill type="solid"/>
                </v:shape>
                <v:shape style="position:absolute;left:1417;top:269;width:9468;height:951" type="#_x0000_t202" id="docshape250"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that</w:t>
                        </w:r>
                        <w:r>
                          <w:rPr>
                            <w:b/>
                            <w:color w:val="164194"/>
                            <w:spacing w:val="-6"/>
                            <w:sz w:val="28"/>
                          </w:rPr>
                          <w:t> </w:t>
                        </w:r>
                        <w:r>
                          <w:rPr>
                            <w:b/>
                            <w:color w:val="164194"/>
                            <w:sz w:val="28"/>
                          </w:rPr>
                          <w:t>EU</w:t>
                        </w:r>
                        <w:r>
                          <w:rPr>
                            <w:b/>
                            <w:color w:val="164194"/>
                            <w:spacing w:val="-6"/>
                            <w:sz w:val="28"/>
                          </w:rPr>
                          <w:t> </w:t>
                        </w:r>
                        <w:r>
                          <w:rPr>
                            <w:b/>
                            <w:color w:val="164194"/>
                            <w:sz w:val="28"/>
                          </w:rPr>
                          <w:t>and</w:t>
                        </w:r>
                        <w:r>
                          <w:rPr>
                            <w:b/>
                            <w:color w:val="164194"/>
                            <w:spacing w:val="-6"/>
                            <w:sz w:val="28"/>
                          </w:rPr>
                          <w:t> </w:t>
                        </w:r>
                        <w:r>
                          <w:rPr>
                            <w:b/>
                            <w:color w:val="164194"/>
                            <w:sz w:val="28"/>
                          </w:rPr>
                          <w:t>UK</w:t>
                        </w:r>
                        <w:r>
                          <w:rPr>
                            <w:b/>
                            <w:color w:val="164194"/>
                            <w:spacing w:val="-6"/>
                            <w:sz w:val="28"/>
                          </w:rPr>
                          <w:t> </w:t>
                        </w:r>
                        <w:r>
                          <w:rPr>
                            <w:b/>
                            <w:color w:val="164194"/>
                            <w:sz w:val="28"/>
                          </w:rPr>
                          <w:t>publish</w:t>
                        </w:r>
                        <w:r>
                          <w:rPr>
                            <w:b/>
                            <w:color w:val="164194"/>
                            <w:spacing w:val="-6"/>
                            <w:sz w:val="28"/>
                          </w:rPr>
                          <w:t> </w:t>
                        </w:r>
                        <w:r>
                          <w:rPr>
                            <w:b/>
                            <w:color w:val="164194"/>
                            <w:sz w:val="28"/>
                          </w:rPr>
                          <w:t>a</w:t>
                        </w:r>
                        <w:r>
                          <w:rPr>
                            <w:b/>
                            <w:color w:val="164194"/>
                            <w:spacing w:val="-6"/>
                            <w:sz w:val="28"/>
                          </w:rPr>
                          <w:t> </w:t>
                        </w:r>
                        <w:r>
                          <w:rPr>
                            <w:b/>
                            <w:color w:val="164194"/>
                            <w:sz w:val="28"/>
                          </w:rPr>
                          <w:t>consolidated</w:t>
                        </w:r>
                        <w:r>
                          <w:rPr>
                            <w:b/>
                            <w:color w:val="164194"/>
                            <w:spacing w:val="-6"/>
                            <w:sz w:val="28"/>
                          </w:rPr>
                          <w:t> </w:t>
                        </w:r>
                        <w:r>
                          <w:rPr>
                            <w:b/>
                            <w:color w:val="164194"/>
                            <w:sz w:val="28"/>
                          </w:rPr>
                          <w:t>version</w:t>
                        </w:r>
                        <w:r>
                          <w:rPr>
                            <w:b/>
                            <w:color w:val="164194"/>
                            <w:spacing w:val="-6"/>
                            <w:sz w:val="28"/>
                          </w:rPr>
                          <w:t> </w:t>
                        </w:r>
                        <w:r>
                          <w:rPr>
                            <w:b/>
                            <w:color w:val="164194"/>
                            <w:sz w:val="28"/>
                          </w:rPr>
                          <w:t>of</w:t>
                        </w:r>
                        <w:r>
                          <w:rPr>
                            <w:b/>
                            <w:color w:val="164194"/>
                            <w:spacing w:val="-7"/>
                            <w:sz w:val="28"/>
                          </w:rPr>
                          <w:t> </w:t>
                        </w:r>
                        <w:r>
                          <w:rPr>
                            <w:b/>
                            <w:color w:val="164194"/>
                            <w:sz w:val="28"/>
                          </w:rPr>
                          <w:t>the Windsor Framework text.</w:t>
                        </w:r>
                      </w:p>
                    </w:txbxContent>
                  </v:textbox>
                  <w10:wrap type="none"/>
                </v:shape>
                <w10:wrap type="topAndBottom"/>
              </v:group>
            </w:pict>
          </mc:Fallback>
        </mc:AlternateContent>
      </w:r>
    </w:p>
    <w:p>
      <w:pPr>
        <w:pStyle w:val="BodyText"/>
        <w:spacing w:before="1"/>
      </w:pPr>
    </w:p>
    <w:p>
      <w:pPr>
        <w:pStyle w:val="Heading3"/>
        <w:numPr>
          <w:ilvl w:val="2"/>
          <w:numId w:val="10"/>
        </w:numPr>
        <w:tabs>
          <w:tab w:pos="1755" w:val="left" w:leader="none"/>
        </w:tabs>
        <w:spacing w:line="336" w:lineRule="exact" w:before="0" w:after="0"/>
        <w:ind w:left="1755" w:right="0" w:hanging="638"/>
        <w:jc w:val="left"/>
      </w:pPr>
      <w:r>
        <w:rPr>
          <w:color w:val="004A93"/>
        </w:rPr>
        <w:t>Return</w:t>
      </w:r>
      <w:r>
        <w:rPr>
          <w:color w:val="004A93"/>
          <w:spacing w:val="-8"/>
        </w:rPr>
        <w:t> </w:t>
      </w:r>
      <w:r>
        <w:rPr>
          <w:color w:val="004A93"/>
        </w:rPr>
        <w:t>of</w:t>
      </w:r>
      <w:r>
        <w:rPr>
          <w:color w:val="004A93"/>
          <w:spacing w:val="-7"/>
        </w:rPr>
        <w:t> </w:t>
      </w:r>
      <w:r>
        <w:rPr>
          <w:color w:val="004A93"/>
        </w:rPr>
        <w:t>the</w:t>
      </w:r>
      <w:r>
        <w:rPr>
          <w:color w:val="004A93"/>
          <w:spacing w:val="-8"/>
        </w:rPr>
        <w:t> </w:t>
      </w:r>
      <w:r>
        <w:rPr>
          <w:color w:val="004A93"/>
        </w:rPr>
        <w:t>Devolved</w:t>
      </w:r>
      <w:r>
        <w:rPr>
          <w:color w:val="004A93"/>
          <w:spacing w:val="-7"/>
        </w:rPr>
        <w:t> </w:t>
      </w:r>
      <w:r>
        <w:rPr>
          <w:color w:val="004A93"/>
        </w:rPr>
        <w:t>Institutions</w:t>
      </w:r>
      <w:r>
        <w:rPr>
          <w:color w:val="004A93"/>
          <w:spacing w:val="-7"/>
        </w:rPr>
        <w:t> </w:t>
      </w:r>
      <w:r>
        <w:rPr>
          <w:color w:val="004A93"/>
        </w:rPr>
        <w:t>and</w:t>
      </w:r>
      <w:r>
        <w:rPr>
          <w:color w:val="004A93"/>
          <w:spacing w:val="-8"/>
        </w:rPr>
        <w:t> </w:t>
      </w:r>
      <w:r>
        <w:rPr>
          <w:color w:val="004A93"/>
        </w:rPr>
        <w:t>Safeguarding</w:t>
      </w:r>
      <w:r>
        <w:rPr>
          <w:color w:val="004A93"/>
          <w:spacing w:val="-7"/>
        </w:rPr>
        <w:t> </w:t>
      </w:r>
      <w:r>
        <w:rPr>
          <w:color w:val="004A93"/>
        </w:rPr>
        <w:t>the</w:t>
      </w:r>
      <w:r>
        <w:rPr>
          <w:color w:val="004A93"/>
          <w:spacing w:val="-8"/>
        </w:rPr>
        <w:t> </w:t>
      </w:r>
      <w:r>
        <w:rPr>
          <w:color w:val="004A93"/>
          <w:spacing w:val="-2"/>
        </w:rPr>
        <w:t>Union</w:t>
      </w:r>
    </w:p>
    <w:p>
      <w:pPr>
        <w:pStyle w:val="BodyText"/>
        <w:spacing w:line="232" w:lineRule="auto" w:before="3"/>
        <w:ind w:left="1117" w:right="805"/>
      </w:pPr>
      <w:r>
        <w:rPr/>
        <w:t>In January 2024 the UK Government published a new Command paper, </w:t>
      </w:r>
      <w:r>
        <w:rPr>
          <w:i/>
        </w:rPr>
        <w:t>Safeguarding the Union</w:t>
      </w:r>
      <w:r>
        <w:rPr/>
        <w:t>, explaining the arrangements it had agreed as part of the deal for restoration of the Executive and Assembly.</w:t>
      </w:r>
      <w:r>
        <w:rPr>
          <w:vertAlign w:val="superscript"/>
        </w:rPr>
        <w:t>78</w:t>
      </w:r>
      <w:r>
        <w:rPr>
          <w:vertAlign w:val="baseline"/>
        </w:rPr>
        <w:t> As part of this package the Government also published draft regulations. These regulations provide statutory recognition</w:t>
      </w:r>
      <w:r>
        <w:rPr>
          <w:spacing w:val="-7"/>
          <w:vertAlign w:val="baseline"/>
        </w:rPr>
        <w:t> </w:t>
      </w:r>
      <w:r>
        <w:rPr>
          <w:vertAlign w:val="baseline"/>
        </w:rPr>
        <w:t>of</w:t>
      </w:r>
      <w:r>
        <w:rPr>
          <w:spacing w:val="-7"/>
          <w:vertAlign w:val="baseline"/>
        </w:rPr>
        <w:t> </w:t>
      </w:r>
      <w:r>
        <w:rPr>
          <w:vertAlign w:val="baseline"/>
        </w:rPr>
        <w:t>the</w:t>
      </w:r>
      <w:r>
        <w:rPr>
          <w:spacing w:val="-6"/>
          <w:vertAlign w:val="baseline"/>
        </w:rPr>
        <w:t> </w:t>
      </w:r>
      <w:r>
        <w:rPr>
          <w:vertAlign w:val="baseline"/>
        </w:rPr>
        <w:t>constitutional</w:t>
      </w:r>
      <w:r>
        <w:rPr>
          <w:spacing w:val="-7"/>
          <w:vertAlign w:val="baseline"/>
        </w:rPr>
        <w:t> </w:t>
      </w:r>
      <w:r>
        <w:rPr>
          <w:vertAlign w:val="baseline"/>
        </w:rPr>
        <w:t>position</w:t>
      </w:r>
      <w:r>
        <w:rPr>
          <w:spacing w:val="-7"/>
          <w:vertAlign w:val="baseline"/>
        </w:rPr>
        <w:t> </w:t>
      </w:r>
      <w:r>
        <w:rPr>
          <w:vertAlign w:val="baseline"/>
        </w:rPr>
        <w:t>of</w:t>
      </w:r>
      <w:r>
        <w:rPr>
          <w:spacing w:val="-7"/>
          <w:vertAlign w:val="baseline"/>
        </w:rPr>
        <w:t> </w:t>
      </w:r>
      <w:r>
        <w:rPr>
          <w:vertAlign w:val="baseline"/>
        </w:rPr>
        <w:t>Northern</w:t>
      </w:r>
      <w:r>
        <w:rPr>
          <w:spacing w:val="-7"/>
          <w:vertAlign w:val="baseline"/>
        </w:rPr>
        <w:t> </w:t>
      </w:r>
      <w:r>
        <w:rPr>
          <w:vertAlign w:val="baseline"/>
        </w:rPr>
        <w:t>Ireland,</w:t>
      </w:r>
      <w:r>
        <w:rPr>
          <w:spacing w:val="-6"/>
          <w:vertAlign w:val="baseline"/>
        </w:rPr>
        <w:t> </w:t>
      </w:r>
      <w:r>
        <w:rPr>
          <w:vertAlign w:val="baseline"/>
        </w:rPr>
        <w:t>preclude</w:t>
      </w:r>
      <w:r>
        <w:rPr>
          <w:spacing w:val="-6"/>
          <w:vertAlign w:val="baseline"/>
        </w:rPr>
        <w:t> </w:t>
      </w:r>
      <w:r>
        <w:rPr>
          <w:vertAlign w:val="baseline"/>
        </w:rPr>
        <w:t>ratification of UK-EU agreements creating new regulatory borders between Northern Ireland and</w:t>
      </w:r>
      <w:r>
        <w:rPr>
          <w:spacing w:val="-8"/>
          <w:vertAlign w:val="baseline"/>
        </w:rPr>
        <w:t> </w:t>
      </w:r>
      <w:r>
        <w:rPr>
          <w:vertAlign w:val="baseline"/>
        </w:rPr>
        <w:t>Great</w:t>
      </w:r>
      <w:r>
        <w:rPr>
          <w:spacing w:val="-7"/>
          <w:vertAlign w:val="baseline"/>
        </w:rPr>
        <w:t> </w:t>
      </w:r>
      <w:r>
        <w:rPr>
          <w:vertAlign w:val="baseline"/>
        </w:rPr>
        <w:t>Britain,</w:t>
      </w:r>
      <w:r>
        <w:rPr>
          <w:spacing w:val="-7"/>
          <w:vertAlign w:val="baseline"/>
        </w:rPr>
        <w:t> </w:t>
      </w:r>
      <w:r>
        <w:rPr>
          <w:vertAlign w:val="baseline"/>
        </w:rPr>
        <w:t>and</w:t>
      </w:r>
      <w:r>
        <w:rPr>
          <w:spacing w:val="-8"/>
          <w:vertAlign w:val="baseline"/>
        </w:rPr>
        <w:t> </w:t>
      </w:r>
      <w:r>
        <w:rPr>
          <w:vertAlign w:val="baseline"/>
        </w:rPr>
        <w:t>provide</w:t>
      </w:r>
      <w:r>
        <w:rPr>
          <w:spacing w:val="-7"/>
          <w:vertAlign w:val="baseline"/>
        </w:rPr>
        <w:t> </w:t>
      </w:r>
      <w:r>
        <w:rPr>
          <w:vertAlign w:val="baseline"/>
        </w:rPr>
        <w:t>for</w:t>
      </w:r>
      <w:r>
        <w:rPr>
          <w:spacing w:val="-7"/>
          <w:vertAlign w:val="baseline"/>
        </w:rPr>
        <w:t> </w:t>
      </w:r>
      <w:r>
        <w:rPr>
          <w:vertAlign w:val="baseline"/>
        </w:rPr>
        <w:t>recognition</w:t>
      </w:r>
      <w:r>
        <w:rPr>
          <w:spacing w:val="-8"/>
          <w:vertAlign w:val="baseline"/>
        </w:rPr>
        <w:t> </w:t>
      </w:r>
      <w:r>
        <w:rPr>
          <w:vertAlign w:val="baseline"/>
        </w:rPr>
        <w:t>in</w:t>
      </w:r>
      <w:r>
        <w:rPr>
          <w:spacing w:val="-8"/>
          <w:vertAlign w:val="baseline"/>
        </w:rPr>
        <w:t> </w:t>
      </w:r>
      <w:r>
        <w:rPr>
          <w:vertAlign w:val="baseline"/>
        </w:rPr>
        <w:t>the</w:t>
      </w:r>
      <w:r>
        <w:rPr>
          <w:spacing w:val="-7"/>
          <w:vertAlign w:val="baseline"/>
        </w:rPr>
        <w:t> </w:t>
      </w:r>
      <w:r>
        <w:rPr>
          <w:vertAlign w:val="baseline"/>
        </w:rPr>
        <w:t>European</w:t>
      </w:r>
      <w:r>
        <w:rPr>
          <w:spacing w:val="-8"/>
          <w:vertAlign w:val="baseline"/>
        </w:rPr>
        <w:t> </w:t>
      </w:r>
      <w:r>
        <w:rPr>
          <w:vertAlign w:val="baseline"/>
        </w:rPr>
        <w:t>Union</w:t>
      </w:r>
      <w:r>
        <w:rPr>
          <w:spacing w:val="-8"/>
          <w:vertAlign w:val="baseline"/>
        </w:rPr>
        <w:t> </w:t>
      </w:r>
      <w:r>
        <w:rPr>
          <w:vertAlign w:val="baseline"/>
        </w:rPr>
        <w:t>(Withdrawal) Act 2018 section 7A of the processes of democratic consent and scrutiny.</w:t>
      </w:r>
      <w:r>
        <w:rPr>
          <w:vertAlign w:val="superscript"/>
        </w:rPr>
        <w:t>79</w:t>
      </w:r>
      <w:r>
        <w:rPr>
          <w:vertAlign w:val="baseline"/>
        </w:rPr>
        <w:t> These processes apply to the trade elements of the WF and do not directly apply to Article 2 WF.</w:t>
      </w:r>
    </w:p>
    <w:p>
      <w:pPr>
        <w:spacing w:line="232" w:lineRule="auto" w:before="268"/>
        <w:ind w:left="1117" w:right="1051" w:firstLine="0"/>
        <w:jc w:val="left"/>
        <w:rPr>
          <w:i/>
          <w:sz w:val="28"/>
        </w:rPr>
      </w:pPr>
      <w:r>
        <w:rPr>
          <w:sz w:val="28"/>
        </w:rPr>
        <w:t>The </w:t>
      </w:r>
      <w:r>
        <w:rPr>
          <w:i/>
          <w:sz w:val="28"/>
        </w:rPr>
        <w:t>Safeguarding the Union </w:t>
      </w:r>
      <w:r>
        <w:rPr>
          <w:sz w:val="28"/>
        </w:rPr>
        <w:t>paper contains only a brief discussion of Article 2 WF. It makes the misleading claim that the WF only applies to trade in goods. While as a general proposition this is true, it is not correct in respect of every implication</w:t>
      </w:r>
      <w:r>
        <w:rPr>
          <w:spacing w:val="-5"/>
          <w:sz w:val="28"/>
        </w:rPr>
        <w:t> </w:t>
      </w:r>
      <w:r>
        <w:rPr>
          <w:sz w:val="28"/>
        </w:rPr>
        <w:t>of</w:t>
      </w:r>
      <w:r>
        <w:rPr>
          <w:spacing w:val="-5"/>
          <w:sz w:val="28"/>
        </w:rPr>
        <w:t> </w:t>
      </w:r>
      <w:r>
        <w:rPr>
          <w:sz w:val="28"/>
        </w:rPr>
        <w:t>the</w:t>
      </w:r>
      <w:r>
        <w:rPr>
          <w:spacing w:val="-4"/>
          <w:sz w:val="28"/>
        </w:rPr>
        <w:t> </w:t>
      </w:r>
      <w:r>
        <w:rPr>
          <w:sz w:val="28"/>
        </w:rPr>
        <w:t>Windsor</w:t>
      </w:r>
      <w:r>
        <w:rPr>
          <w:spacing w:val="-4"/>
          <w:sz w:val="28"/>
        </w:rPr>
        <w:t> </w:t>
      </w:r>
      <w:r>
        <w:rPr>
          <w:sz w:val="28"/>
        </w:rPr>
        <w:t>Framework</w:t>
      </w:r>
      <w:r>
        <w:rPr>
          <w:spacing w:val="-4"/>
          <w:sz w:val="28"/>
        </w:rPr>
        <w:t> </w:t>
      </w:r>
      <w:r>
        <w:rPr>
          <w:sz w:val="28"/>
        </w:rPr>
        <w:t>and</w:t>
      </w:r>
      <w:r>
        <w:rPr>
          <w:spacing w:val="-5"/>
          <w:sz w:val="28"/>
        </w:rPr>
        <w:t> </w:t>
      </w:r>
      <w:r>
        <w:rPr>
          <w:sz w:val="28"/>
        </w:rPr>
        <w:t>in</w:t>
      </w:r>
      <w:r>
        <w:rPr>
          <w:spacing w:val="-5"/>
          <w:sz w:val="28"/>
        </w:rPr>
        <w:t> </w:t>
      </w:r>
      <w:r>
        <w:rPr>
          <w:sz w:val="28"/>
        </w:rPr>
        <w:t>particular</w:t>
      </w:r>
      <w:r>
        <w:rPr>
          <w:spacing w:val="-4"/>
          <w:sz w:val="28"/>
        </w:rPr>
        <w:t> </w:t>
      </w:r>
      <w:r>
        <w:rPr>
          <w:sz w:val="28"/>
        </w:rPr>
        <w:t>does</w:t>
      </w:r>
      <w:r>
        <w:rPr>
          <w:spacing w:val="-5"/>
          <w:sz w:val="28"/>
        </w:rPr>
        <w:t> </w:t>
      </w:r>
      <w:r>
        <w:rPr>
          <w:sz w:val="28"/>
        </w:rPr>
        <w:t>not</w:t>
      </w:r>
      <w:r>
        <w:rPr>
          <w:spacing w:val="-4"/>
          <w:sz w:val="28"/>
        </w:rPr>
        <w:t> </w:t>
      </w:r>
      <w:r>
        <w:rPr>
          <w:sz w:val="28"/>
        </w:rPr>
        <w:t>apply</w:t>
      </w:r>
      <w:r>
        <w:rPr>
          <w:spacing w:val="-4"/>
          <w:sz w:val="28"/>
        </w:rPr>
        <w:t> </w:t>
      </w:r>
      <w:r>
        <w:rPr>
          <w:sz w:val="28"/>
        </w:rPr>
        <w:t>to</w:t>
      </w:r>
      <w:r>
        <w:rPr>
          <w:spacing w:val="-5"/>
          <w:sz w:val="28"/>
        </w:rPr>
        <w:t> </w:t>
      </w:r>
      <w:r>
        <w:rPr>
          <w:sz w:val="28"/>
        </w:rPr>
        <w:t>Article 2,</w:t>
      </w:r>
      <w:r>
        <w:rPr>
          <w:spacing w:val="-2"/>
          <w:sz w:val="28"/>
        </w:rPr>
        <w:t> </w:t>
      </w:r>
      <w:r>
        <w:rPr>
          <w:sz w:val="28"/>
        </w:rPr>
        <w:t>as</w:t>
      </w:r>
      <w:r>
        <w:rPr>
          <w:spacing w:val="-3"/>
          <w:sz w:val="28"/>
        </w:rPr>
        <w:t> </w:t>
      </w:r>
      <w:r>
        <w:rPr>
          <w:sz w:val="28"/>
        </w:rPr>
        <w:t>evident</w:t>
      </w:r>
      <w:r>
        <w:rPr>
          <w:spacing w:val="-2"/>
          <w:sz w:val="28"/>
        </w:rPr>
        <w:t> </w:t>
      </w:r>
      <w:r>
        <w:rPr>
          <w:sz w:val="28"/>
        </w:rPr>
        <w:t>in</w:t>
      </w:r>
      <w:r>
        <w:rPr>
          <w:spacing w:val="-3"/>
          <w:sz w:val="28"/>
        </w:rPr>
        <w:t> </w:t>
      </w:r>
      <w:r>
        <w:rPr>
          <w:sz w:val="28"/>
        </w:rPr>
        <w:t>the</w:t>
      </w:r>
      <w:r>
        <w:rPr>
          <w:spacing w:val="-2"/>
          <w:sz w:val="28"/>
        </w:rPr>
        <w:t> </w:t>
      </w:r>
      <w:r>
        <w:rPr>
          <w:i/>
          <w:sz w:val="28"/>
        </w:rPr>
        <w:t>Legacy</w:t>
      </w:r>
      <w:r>
        <w:rPr>
          <w:i/>
          <w:spacing w:val="-3"/>
          <w:sz w:val="28"/>
        </w:rPr>
        <w:t> </w:t>
      </w:r>
      <w:r>
        <w:rPr>
          <w:i/>
          <w:sz w:val="28"/>
        </w:rPr>
        <w:t>Act</w:t>
      </w:r>
      <w:r>
        <w:rPr>
          <w:i/>
          <w:spacing w:val="-2"/>
          <w:sz w:val="28"/>
        </w:rPr>
        <w:t> </w:t>
      </w:r>
      <w:r>
        <w:rPr>
          <w:i/>
          <w:sz w:val="28"/>
        </w:rPr>
        <w:t>cases</w:t>
      </w:r>
      <w:r>
        <w:rPr>
          <w:i/>
          <w:spacing w:val="-3"/>
          <w:sz w:val="28"/>
        </w:rPr>
        <w:t> </w:t>
      </w:r>
      <w:r>
        <w:rPr>
          <w:i/>
          <w:sz w:val="28"/>
        </w:rPr>
        <w:t>(Dillon</w:t>
      </w:r>
      <w:r>
        <w:rPr>
          <w:i/>
          <w:spacing w:val="-3"/>
          <w:sz w:val="28"/>
        </w:rPr>
        <w:t> </w:t>
      </w:r>
      <w:r>
        <w:rPr>
          <w:i/>
          <w:sz w:val="28"/>
        </w:rPr>
        <w:t>and</w:t>
      </w:r>
      <w:r>
        <w:rPr>
          <w:i/>
          <w:spacing w:val="-3"/>
          <w:sz w:val="28"/>
        </w:rPr>
        <w:t> </w:t>
      </w:r>
      <w:r>
        <w:rPr>
          <w:i/>
          <w:sz w:val="28"/>
        </w:rPr>
        <w:t>others)</w:t>
      </w:r>
      <w:r>
        <w:rPr>
          <w:i/>
          <w:spacing w:val="-1"/>
          <w:sz w:val="28"/>
        </w:rPr>
        <w:t> </w:t>
      </w:r>
      <w:r>
        <w:rPr>
          <w:sz w:val="28"/>
        </w:rPr>
        <w:t>and</w:t>
      </w:r>
      <w:r>
        <w:rPr>
          <w:spacing w:val="-2"/>
          <w:sz w:val="28"/>
        </w:rPr>
        <w:t> </w:t>
      </w:r>
      <w:r>
        <w:rPr>
          <w:i/>
          <w:sz w:val="28"/>
        </w:rPr>
        <w:t>Illegal</w:t>
      </w:r>
      <w:r>
        <w:rPr>
          <w:i/>
          <w:spacing w:val="-3"/>
          <w:sz w:val="28"/>
        </w:rPr>
        <w:t> </w:t>
      </w:r>
      <w:r>
        <w:rPr>
          <w:i/>
          <w:sz w:val="28"/>
        </w:rPr>
        <w:t>Migration</w:t>
      </w:r>
      <w:r>
        <w:rPr>
          <w:i/>
          <w:spacing w:val="-3"/>
          <w:sz w:val="28"/>
        </w:rPr>
        <w:t> </w:t>
      </w:r>
      <w:r>
        <w:rPr>
          <w:i/>
          <w:sz w:val="28"/>
        </w:rPr>
        <w:t>Act</w:t>
      </w:r>
    </w:p>
    <w:p>
      <w:pPr>
        <w:pStyle w:val="BodyText"/>
        <w:spacing w:before="11"/>
        <w:rPr>
          <w:i/>
          <w:sz w:val="17"/>
        </w:rPr>
      </w:pPr>
      <w:r>
        <w:rPr/>
        <mc:AlternateContent>
          <mc:Choice Requires="wps">
            <w:drawing>
              <wp:anchor distT="0" distB="0" distL="0" distR="0" allowOverlap="1" layoutInCell="1" locked="0" behindDoc="1" simplePos="0" relativeHeight="487646720">
                <wp:simplePos x="0" y="0"/>
                <wp:positionH relativeFrom="page">
                  <wp:posOffset>899999</wp:posOffset>
                </wp:positionH>
                <wp:positionV relativeFrom="paragraph">
                  <wp:posOffset>154489</wp:posOffset>
                </wp:positionV>
                <wp:extent cx="6012180" cy="1270"/>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2.164508pt;width:473.4pt;height:.1pt;mso-position-horizontal-relative:page;mso-position-vertical-relative:paragraph;z-index:-15669760;mso-wrap-distance-left:0;mso-wrap-distance-right:0" id="docshape251" coordorigin="1417,243" coordsize="9468,0" path="m1417,243l10885,243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0" w:hanging="567"/>
        <w:jc w:val="left"/>
        <w:rPr>
          <w:sz w:val="18"/>
        </w:rPr>
      </w:pPr>
      <w:r>
        <w:rPr>
          <w:sz w:val="18"/>
        </w:rPr>
        <w:t>Windsor</w:t>
      </w:r>
      <w:r>
        <w:rPr>
          <w:spacing w:val="-6"/>
          <w:sz w:val="18"/>
        </w:rPr>
        <w:t> </w:t>
      </w:r>
      <w:r>
        <w:rPr>
          <w:sz w:val="18"/>
        </w:rPr>
        <w:t>Framework</w:t>
      </w:r>
      <w:r>
        <w:rPr>
          <w:spacing w:val="-5"/>
          <w:sz w:val="18"/>
        </w:rPr>
        <w:t> </w:t>
      </w:r>
      <w:r>
        <w:rPr>
          <w:sz w:val="18"/>
        </w:rPr>
        <w:t>(Democratic</w:t>
      </w:r>
      <w:r>
        <w:rPr>
          <w:spacing w:val="-5"/>
          <w:sz w:val="18"/>
        </w:rPr>
        <w:t> </w:t>
      </w:r>
      <w:r>
        <w:rPr>
          <w:sz w:val="18"/>
        </w:rPr>
        <w:t>Scrutiny)</w:t>
      </w:r>
      <w:r>
        <w:rPr>
          <w:spacing w:val="-6"/>
          <w:sz w:val="18"/>
        </w:rPr>
        <w:t> </w:t>
      </w:r>
      <w:r>
        <w:rPr>
          <w:sz w:val="18"/>
        </w:rPr>
        <w:t>Regulations</w:t>
      </w:r>
      <w:r>
        <w:rPr>
          <w:spacing w:val="-6"/>
          <w:sz w:val="18"/>
        </w:rPr>
        <w:t> </w:t>
      </w:r>
      <w:r>
        <w:rPr>
          <w:sz w:val="18"/>
        </w:rPr>
        <w:t>2024,</w:t>
      </w:r>
      <w:r>
        <w:rPr>
          <w:spacing w:val="-5"/>
          <w:sz w:val="18"/>
        </w:rPr>
        <w:t> </w:t>
      </w:r>
      <w:r>
        <w:rPr>
          <w:sz w:val="18"/>
        </w:rPr>
        <w:t>2024</w:t>
      </w:r>
      <w:r>
        <w:rPr>
          <w:spacing w:val="-5"/>
          <w:sz w:val="18"/>
        </w:rPr>
        <w:t> </w:t>
      </w:r>
      <w:r>
        <w:rPr>
          <w:sz w:val="18"/>
        </w:rPr>
        <w:t>No</w:t>
      </w:r>
      <w:r>
        <w:rPr>
          <w:spacing w:val="-6"/>
          <w:sz w:val="18"/>
        </w:rPr>
        <w:t> </w:t>
      </w:r>
      <w:r>
        <w:rPr>
          <w:sz w:val="18"/>
        </w:rPr>
        <w:t>118,</w:t>
      </w:r>
      <w:r>
        <w:rPr>
          <w:spacing w:val="-7"/>
          <w:sz w:val="18"/>
        </w:rPr>
        <w:t> </w:t>
      </w:r>
      <w:r>
        <w:rPr>
          <w:color w:val="1D71B8"/>
          <w:spacing w:val="-2"/>
          <w:sz w:val="18"/>
          <w:u w:val="single" w:color="1D71B8"/>
        </w:rPr>
        <w:t>schedule</w:t>
      </w:r>
      <w:r>
        <w:rPr>
          <w:spacing w:val="-2"/>
          <w:sz w:val="18"/>
          <w:u w:val="none"/>
        </w:rPr>
        <w:t>.</w:t>
      </w:r>
    </w:p>
    <w:p>
      <w:pPr>
        <w:pStyle w:val="ListParagraph"/>
        <w:numPr>
          <w:ilvl w:val="0"/>
          <w:numId w:val="9"/>
        </w:numPr>
        <w:tabs>
          <w:tab w:pos="1684" w:val="left" w:leader="none"/>
        </w:tabs>
        <w:spacing w:line="240" w:lineRule="auto" w:before="1" w:after="0"/>
        <w:ind w:left="1684" w:right="966" w:hanging="567"/>
        <w:jc w:val="left"/>
        <w:rPr>
          <w:sz w:val="18"/>
        </w:rPr>
      </w:pPr>
      <w:r>
        <w:rPr>
          <w:sz w:val="18"/>
        </w:rPr>
        <w:t>Daniel</w:t>
      </w:r>
      <w:r>
        <w:rPr>
          <w:spacing w:val="-5"/>
          <w:sz w:val="18"/>
        </w:rPr>
        <w:t> </w:t>
      </w:r>
      <w:r>
        <w:rPr>
          <w:sz w:val="18"/>
        </w:rPr>
        <w:t>Holder</w:t>
      </w:r>
      <w:r>
        <w:rPr>
          <w:spacing w:val="-4"/>
          <w:sz w:val="18"/>
        </w:rPr>
        <w:t> </w:t>
      </w:r>
      <w:r>
        <w:rPr>
          <w:sz w:val="18"/>
        </w:rPr>
        <w:t>‘Stormont’s</w:t>
      </w:r>
      <w:r>
        <w:rPr>
          <w:spacing w:val="-5"/>
          <w:sz w:val="18"/>
        </w:rPr>
        <w:t> </w:t>
      </w:r>
      <w:r>
        <w:rPr>
          <w:sz w:val="18"/>
        </w:rPr>
        <w:t>vetoes</w:t>
      </w:r>
      <w:r>
        <w:rPr>
          <w:spacing w:val="-5"/>
          <w:sz w:val="18"/>
        </w:rPr>
        <w:t> </w:t>
      </w:r>
      <w:r>
        <w:rPr>
          <w:sz w:val="18"/>
        </w:rPr>
        <w:t>–</w:t>
      </w:r>
      <w:r>
        <w:rPr>
          <w:spacing w:val="-5"/>
          <w:sz w:val="18"/>
        </w:rPr>
        <w:t> </w:t>
      </w:r>
      <w:r>
        <w:rPr>
          <w:sz w:val="18"/>
        </w:rPr>
        <w:t>Turning</w:t>
      </w:r>
      <w:r>
        <w:rPr>
          <w:spacing w:val="-4"/>
          <w:sz w:val="18"/>
        </w:rPr>
        <w:t> </w:t>
      </w:r>
      <w:r>
        <w:rPr>
          <w:sz w:val="18"/>
        </w:rPr>
        <w:t>equality</w:t>
      </w:r>
      <w:r>
        <w:rPr>
          <w:spacing w:val="-4"/>
          <w:sz w:val="18"/>
        </w:rPr>
        <w:t> </w:t>
      </w:r>
      <w:r>
        <w:rPr>
          <w:sz w:val="18"/>
        </w:rPr>
        <w:t>on</w:t>
      </w:r>
      <w:r>
        <w:rPr>
          <w:spacing w:val="-5"/>
          <w:sz w:val="18"/>
        </w:rPr>
        <w:t> </w:t>
      </w:r>
      <w:r>
        <w:rPr>
          <w:sz w:val="18"/>
        </w:rPr>
        <w:t>its</w:t>
      </w:r>
      <w:r>
        <w:rPr>
          <w:spacing w:val="-5"/>
          <w:sz w:val="18"/>
        </w:rPr>
        <w:t> </w:t>
      </w:r>
      <w:r>
        <w:rPr>
          <w:sz w:val="18"/>
        </w:rPr>
        <w:t>head?’</w:t>
      </w:r>
      <w:r>
        <w:rPr>
          <w:spacing w:val="-4"/>
          <w:sz w:val="18"/>
        </w:rPr>
        <w:t> </w:t>
      </w:r>
      <w:r>
        <w:rPr>
          <w:sz w:val="18"/>
        </w:rPr>
        <w:t>13</w:t>
      </w:r>
      <w:r>
        <w:rPr>
          <w:spacing w:val="-4"/>
          <w:sz w:val="18"/>
        </w:rPr>
        <w:t> </w:t>
      </w:r>
      <w:r>
        <w:rPr>
          <w:sz w:val="18"/>
        </w:rPr>
        <w:t>October</w:t>
      </w:r>
      <w:r>
        <w:rPr>
          <w:spacing w:val="-4"/>
          <w:sz w:val="18"/>
        </w:rPr>
        <w:t> </w:t>
      </w:r>
      <w:r>
        <w:rPr>
          <w:sz w:val="18"/>
        </w:rPr>
        <w:t>2023</w:t>
      </w:r>
      <w:r>
        <w:rPr>
          <w:spacing w:val="-6"/>
          <w:sz w:val="18"/>
        </w:rPr>
        <w:t> </w:t>
      </w:r>
      <w:r>
        <w:rPr>
          <w:color w:val="1D71B8"/>
          <w:sz w:val="18"/>
          <w:u w:val="single" w:color="1D71B8"/>
        </w:rPr>
        <w:t>Could</w:t>
      </w:r>
      <w:r>
        <w:rPr>
          <w:color w:val="1D71B8"/>
          <w:spacing w:val="-5"/>
          <w:sz w:val="18"/>
          <w:u w:val="single" w:color="1D71B8"/>
        </w:rPr>
        <w:t> </w:t>
      </w:r>
      <w:r>
        <w:rPr>
          <w:color w:val="1D71B8"/>
          <w:sz w:val="18"/>
          <w:u w:val="single" w:color="1D71B8"/>
        </w:rPr>
        <w:t>rights-based</w:t>
      </w:r>
      <w:r>
        <w:rPr>
          <w:color w:val="1D71B8"/>
          <w:spacing w:val="-5"/>
          <w:sz w:val="18"/>
          <w:u w:val="single" w:color="1D71B8"/>
        </w:rPr>
        <w:t> </w:t>
      </w:r>
      <w:r>
        <w:rPr>
          <w:color w:val="1D71B8"/>
          <w:sz w:val="18"/>
          <w:u w:val="single" w:color="1D71B8"/>
        </w:rPr>
        <w:t>safeguards</w:t>
      </w:r>
      <w:r>
        <w:rPr>
          <w:color w:val="1D71B8"/>
          <w:spacing w:val="-5"/>
          <w:sz w:val="18"/>
          <w:u w:val="single" w:color="1D71B8"/>
        </w:rPr>
        <w:t> </w:t>
      </w:r>
      <w:r>
        <w:rPr>
          <w:color w:val="1D71B8"/>
          <w:sz w:val="18"/>
          <w:u w:val="single" w:color="1D71B8"/>
        </w:rPr>
        <w:t>make</w:t>
      </w:r>
      <w:r>
        <w:rPr>
          <w:color w:val="1D71B8"/>
          <w:sz w:val="18"/>
          <w:u w:val="none"/>
        </w:rPr>
        <w:t> </w:t>
      </w:r>
      <w:r>
        <w:rPr>
          <w:color w:val="1D71B8"/>
          <w:sz w:val="18"/>
          <w:u w:val="single" w:color="1D71B8"/>
        </w:rPr>
        <w:t>Stormont functional?</w:t>
      </w:r>
      <w:r>
        <w:rPr>
          <w:color w:val="1D71B8"/>
          <w:sz w:val="18"/>
          <w:u w:val="none"/>
        </w:rPr>
        <w:t> </w:t>
      </w:r>
      <w:r>
        <w:rPr>
          <w:sz w:val="18"/>
          <w:u w:val="none"/>
        </w:rPr>
        <w:t>Ulster University, Belfast.</w:t>
      </w:r>
    </w:p>
    <w:p>
      <w:pPr>
        <w:pStyle w:val="ListParagraph"/>
        <w:numPr>
          <w:ilvl w:val="0"/>
          <w:numId w:val="9"/>
        </w:numPr>
        <w:tabs>
          <w:tab w:pos="1684" w:val="left" w:leader="none"/>
        </w:tabs>
        <w:spacing w:line="240" w:lineRule="auto" w:before="0" w:after="0"/>
        <w:ind w:left="1684" w:right="1359" w:hanging="567"/>
        <w:jc w:val="left"/>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color w:val="1D71B8"/>
          <w:sz w:val="18"/>
          <w:u w:val="single" w:color="1D71B8"/>
        </w:rPr>
        <w:t>Submission</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NIHRC</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ECNI</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House</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Lords</w:t>
      </w:r>
      <w:r>
        <w:rPr>
          <w:color w:val="1D71B8"/>
          <w:spacing w:val="-5"/>
          <w:sz w:val="18"/>
          <w:u w:val="single" w:color="1D71B8"/>
        </w:rPr>
        <w:t> </w:t>
      </w:r>
      <w:r>
        <w:rPr>
          <w:color w:val="1D71B8"/>
          <w:sz w:val="18"/>
          <w:u w:val="single" w:color="1D71B8"/>
        </w:rPr>
        <w:t>Subcommittee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Protocol’s</w:t>
      </w:r>
      <w:r>
        <w:rPr>
          <w:color w:val="1D71B8"/>
          <w:spacing w:val="-5"/>
          <w:sz w:val="18"/>
          <w:u w:val="single" w:color="1D71B8"/>
        </w:rPr>
        <w:t> </w:t>
      </w:r>
      <w:r>
        <w:rPr>
          <w:color w:val="1D71B8"/>
          <w:sz w:val="18"/>
          <w:u w:val="single" w:color="1D71B8"/>
        </w:rPr>
        <w:t>call</w:t>
      </w:r>
      <w:r>
        <w:rPr>
          <w:color w:val="1D71B8"/>
          <w:spacing w:val="-5"/>
          <w:sz w:val="18"/>
          <w:u w:val="single" w:color="1D71B8"/>
        </w:rPr>
        <w:t> </w:t>
      </w:r>
      <w:r>
        <w:rPr>
          <w:color w:val="1D71B8"/>
          <w:sz w:val="18"/>
          <w:u w:val="single" w:color="1D71B8"/>
        </w:rPr>
        <w:t>for</w:t>
      </w:r>
      <w:r>
        <w:rPr>
          <w:color w:val="1D71B8"/>
          <w:sz w:val="18"/>
          <w:u w:val="none"/>
        </w:rPr>
        <w:t> </w:t>
      </w:r>
      <w:r>
        <w:rPr>
          <w:color w:val="1D71B8"/>
          <w:sz w:val="18"/>
          <w:u w:val="single" w:color="1D71B8"/>
        </w:rPr>
        <w:t>evidence for its inquiry on the Windsor Framework</w:t>
      </w:r>
      <w:r>
        <w:rPr>
          <w:color w:val="1D71B8"/>
          <w:sz w:val="18"/>
          <w:u w:val="none"/>
        </w:rPr>
        <w:t> </w:t>
      </w:r>
      <w:r>
        <w:rPr>
          <w:sz w:val="18"/>
          <w:u w:val="none"/>
        </w:rPr>
        <w:t>(2 May 2023) 1, 10.</w:t>
      </w:r>
    </w:p>
    <w:p>
      <w:pPr>
        <w:pStyle w:val="ListParagraph"/>
        <w:numPr>
          <w:ilvl w:val="0"/>
          <w:numId w:val="9"/>
        </w:numPr>
        <w:tabs>
          <w:tab w:pos="1684" w:val="left" w:leader="none"/>
        </w:tabs>
        <w:spacing w:line="240" w:lineRule="auto" w:before="1" w:after="0"/>
        <w:ind w:left="1684" w:right="0" w:hanging="567"/>
        <w:jc w:val="left"/>
        <w:rPr>
          <w:sz w:val="18"/>
        </w:rPr>
      </w:pPr>
      <w:r>
        <w:rPr>
          <w:sz w:val="18"/>
        </w:rPr>
        <w:t>UK</w:t>
      </w:r>
      <w:r>
        <w:rPr>
          <w:spacing w:val="-7"/>
          <w:sz w:val="18"/>
        </w:rPr>
        <w:t> </w:t>
      </w:r>
      <w:r>
        <w:rPr>
          <w:sz w:val="18"/>
        </w:rPr>
        <w:t>Government,</w:t>
      </w:r>
      <w:r>
        <w:rPr>
          <w:spacing w:val="-4"/>
          <w:sz w:val="18"/>
        </w:rPr>
        <w:t> </w:t>
      </w:r>
      <w:r>
        <w:rPr>
          <w:color w:val="1D71B8"/>
          <w:sz w:val="18"/>
          <w:u w:val="single" w:color="1D71B8"/>
        </w:rPr>
        <w:t>Safeguarding</w:t>
      </w:r>
      <w:r>
        <w:rPr>
          <w:color w:val="1D71B8"/>
          <w:spacing w:val="-4"/>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Union</w:t>
      </w:r>
      <w:r>
        <w:rPr>
          <w:color w:val="1D71B8"/>
          <w:spacing w:val="-5"/>
          <w:sz w:val="18"/>
          <w:u w:val="none"/>
        </w:rPr>
        <w:t> </w:t>
      </w:r>
      <w:r>
        <w:rPr>
          <w:sz w:val="18"/>
          <w:u w:val="none"/>
        </w:rPr>
        <w:t>(2024)</w:t>
      </w:r>
      <w:r>
        <w:rPr>
          <w:spacing w:val="-5"/>
          <w:sz w:val="18"/>
          <w:u w:val="none"/>
        </w:rPr>
        <w:t> </w:t>
      </w:r>
      <w:r>
        <w:rPr>
          <w:sz w:val="18"/>
          <w:u w:val="none"/>
        </w:rPr>
        <w:t>CP</w:t>
      </w:r>
      <w:r>
        <w:rPr>
          <w:spacing w:val="-4"/>
          <w:sz w:val="18"/>
          <w:u w:val="none"/>
        </w:rPr>
        <w:t> </w:t>
      </w:r>
      <w:r>
        <w:rPr>
          <w:spacing w:val="-2"/>
          <w:sz w:val="18"/>
          <w:u w:val="none"/>
        </w:rPr>
        <w:t>1021.</w:t>
      </w:r>
    </w:p>
    <w:p>
      <w:pPr>
        <w:pStyle w:val="ListParagraph"/>
        <w:numPr>
          <w:ilvl w:val="0"/>
          <w:numId w:val="9"/>
        </w:numPr>
        <w:tabs>
          <w:tab w:pos="1684" w:val="left" w:leader="none"/>
        </w:tabs>
        <w:spacing w:line="240" w:lineRule="auto" w:before="0" w:after="0"/>
        <w:ind w:left="1684" w:right="0" w:hanging="567"/>
        <w:jc w:val="left"/>
        <w:rPr>
          <w:sz w:val="18"/>
        </w:rPr>
      </w:pPr>
      <w:hyperlink r:id="rId40">
        <w:r>
          <w:rPr>
            <w:color w:val="1D71B8"/>
            <w:sz w:val="18"/>
            <w:u w:val="single" w:color="1D71B8"/>
          </w:rPr>
          <w:t>Draf</w:t>
        </w:r>
        <w:r>
          <w:rPr>
            <w:color w:val="1D71B8"/>
            <w:spacing w:val="-8"/>
            <w:sz w:val="18"/>
            <w:u w:val="single" w:color="1D71B8"/>
          </w:rPr>
          <w:t> </w:t>
        </w:r>
        <w:r>
          <w:rPr>
            <w:color w:val="1D71B8"/>
            <w:sz w:val="18"/>
            <w:u w:val="single" w:color="1D71B8"/>
          </w:rPr>
          <w:t>t</w:t>
        </w:r>
        <w:r>
          <w:rPr>
            <w:color w:val="1D71B8"/>
            <w:spacing w:val="-7"/>
            <w:sz w:val="18"/>
            <w:u w:val="single" w:color="1D71B8"/>
          </w:rPr>
          <w:t> </w:t>
        </w:r>
        <w:r>
          <w:rPr>
            <w:color w:val="1D71B8"/>
            <w:sz w:val="18"/>
            <w:u w:val="single" w:color="1D71B8"/>
          </w:rPr>
          <w:t>Windsor</w:t>
        </w:r>
        <w:r>
          <w:rPr>
            <w:color w:val="1D71B8"/>
            <w:spacing w:val="-8"/>
            <w:sz w:val="18"/>
            <w:u w:val="single" w:color="1D71B8"/>
          </w:rPr>
          <w:t> </w:t>
        </w:r>
        <w:r>
          <w:rPr>
            <w:color w:val="1D71B8"/>
            <w:sz w:val="18"/>
            <w:u w:val="single" w:color="1D71B8"/>
          </w:rPr>
          <w:t>Framework</w:t>
        </w:r>
        <w:r>
          <w:rPr>
            <w:color w:val="1D71B8"/>
            <w:spacing w:val="-7"/>
            <w:sz w:val="18"/>
            <w:u w:val="single" w:color="1D71B8"/>
          </w:rPr>
          <w:t> </w:t>
        </w:r>
        <w:r>
          <w:rPr>
            <w:color w:val="1D71B8"/>
            <w:sz w:val="18"/>
            <w:u w:val="single" w:color="1D71B8"/>
          </w:rPr>
          <w:t>(Constitutional</w:t>
        </w:r>
        <w:r>
          <w:rPr>
            <w:color w:val="1D71B8"/>
            <w:spacing w:val="-8"/>
            <w:sz w:val="18"/>
            <w:u w:val="single" w:color="1D71B8"/>
          </w:rPr>
          <w:t> </w:t>
        </w:r>
        <w:r>
          <w:rPr>
            <w:color w:val="1D71B8"/>
            <w:sz w:val="18"/>
            <w:u w:val="single" w:color="1D71B8"/>
          </w:rPr>
          <w:t>Status</w:t>
        </w:r>
        <w:r>
          <w:rPr>
            <w:color w:val="1D71B8"/>
            <w:spacing w:val="-8"/>
            <w:sz w:val="18"/>
            <w:u w:val="single" w:color="1D71B8"/>
          </w:rPr>
          <w:t> </w:t>
        </w:r>
        <w:r>
          <w:rPr>
            <w:color w:val="1D71B8"/>
            <w:sz w:val="18"/>
            <w:u w:val="single" w:color="1D71B8"/>
          </w:rPr>
          <w:t>of</w:t>
        </w:r>
        <w:r>
          <w:rPr>
            <w:color w:val="1D71B8"/>
            <w:spacing w:val="-9"/>
            <w:sz w:val="18"/>
            <w:u w:val="single" w:color="1D71B8"/>
          </w:rPr>
          <w:t> </w:t>
        </w:r>
        <w:r>
          <w:rPr>
            <w:color w:val="1D71B8"/>
            <w:sz w:val="18"/>
            <w:u w:val="single" w:color="1D71B8"/>
          </w:rPr>
          <w:t>Northern</w:t>
        </w:r>
        <w:r>
          <w:rPr>
            <w:color w:val="1D71B8"/>
            <w:spacing w:val="-8"/>
            <w:sz w:val="18"/>
            <w:u w:val="single" w:color="1D71B8"/>
          </w:rPr>
          <w:t> </w:t>
        </w:r>
        <w:r>
          <w:rPr>
            <w:color w:val="1D71B8"/>
            <w:sz w:val="18"/>
            <w:u w:val="single" w:color="1D71B8"/>
          </w:rPr>
          <w:t>Ireland)</w:t>
        </w:r>
        <w:r>
          <w:rPr>
            <w:color w:val="1D71B8"/>
            <w:spacing w:val="-8"/>
            <w:sz w:val="18"/>
            <w:u w:val="single" w:color="1D71B8"/>
          </w:rPr>
          <w:t> </w:t>
        </w:r>
        <w:r>
          <w:rPr>
            <w:color w:val="1D71B8"/>
            <w:sz w:val="18"/>
            <w:u w:val="single" w:color="1D71B8"/>
          </w:rPr>
          <w:t>Regulations</w:t>
        </w:r>
        <w:r>
          <w:rPr>
            <w:color w:val="1D71B8"/>
            <w:spacing w:val="-8"/>
            <w:sz w:val="18"/>
            <w:u w:val="single" w:color="1D71B8"/>
          </w:rPr>
          <w:t> </w:t>
        </w:r>
        <w:r>
          <w:rPr>
            <w:color w:val="1D71B8"/>
            <w:spacing w:val="-2"/>
            <w:sz w:val="18"/>
            <w:u w:val="single" w:color="1D71B8"/>
          </w:rPr>
          <w:t>2024</w:t>
        </w:r>
      </w:hyperlink>
      <w:r>
        <w:rPr>
          <w:spacing w:val="-2"/>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64928">
                <wp:simplePos x="0" y="0"/>
                <wp:positionH relativeFrom="page">
                  <wp:posOffset>0</wp:posOffset>
                </wp:positionH>
                <wp:positionV relativeFrom="page">
                  <wp:posOffset>0</wp:posOffset>
                </wp:positionV>
                <wp:extent cx="7560309" cy="1155065"/>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7560309" cy="1155065"/>
                          <a:chExt cx="7560309" cy="1155065"/>
                        </a:xfrm>
                      </wpg:grpSpPr>
                      <wps:wsp>
                        <wps:cNvPr id="321" name="Graphic 321"/>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322" name="Graphic 322"/>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51552" id="docshapegroup252" coordorigin="0,0" coordsize="11906,1819">
                <v:shape style="position:absolute;left:0;top:0;width:11906;height:1819" id="docshape253"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1.2.6 The Role of the Commissions" w:id="38"/>
      <w:bookmarkEnd w:id="38"/>
      <w:r>
        <w:rPr/>
      </w:r>
      <w:bookmarkStart w:name="_bookmark16" w:id="39"/>
      <w:bookmarkEnd w:id="39"/>
      <w:r>
        <w:rPr/>
      </w:r>
      <w:r>
        <w:rPr>
          <w:b/>
          <w:color w:val="FFFFFF"/>
          <w:spacing w:val="-5"/>
          <w:position w:val="-1"/>
          <w:sz w:val="28"/>
        </w:rPr>
        <w:t>26</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250"/>
      </w:pPr>
      <w:r>
        <w:rPr>
          <w:i/>
        </w:rPr>
        <w:t>case </w:t>
      </w:r>
      <w:r>
        <w:rPr/>
        <w:t>(both discussed in chapter five). The paper goes on to state that Article 2 ‘does</w:t>
      </w:r>
      <w:r>
        <w:rPr>
          <w:spacing w:val="-5"/>
        </w:rPr>
        <w:t> </w:t>
      </w:r>
      <w:r>
        <w:rPr/>
        <w:t>not</w:t>
      </w:r>
      <w:r>
        <w:rPr>
          <w:spacing w:val="-4"/>
        </w:rPr>
        <w:t> </w:t>
      </w:r>
      <w:r>
        <w:rPr/>
        <w:t>apply</w:t>
      </w:r>
      <w:r>
        <w:rPr>
          <w:spacing w:val="-4"/>
        </w:rPr>
        <w:t> </w:t>
      </w:r>
      <w:r>
        <w:rPr/>
        <w:t>EU</w:t>
      </w:r>
      <w:r>
        <w:rPr>
          <w:spacing w:val="-4"/>
        </w:rPr>
        <w:t> </w:t>
      </w:r>
      <w:r>
        <w:rPr/>
        <w:t>law</w:t>
      </w:r>
      <w:r>
        <w:rPr>
          <w:spacing w:val="-4"/>
        </w:rPr>
        <w:t> </w:t>
      </w:r>
      <w:r>
        <w:rPr/>
        <w:t>or</w:t>
      </w:r>
      <w:r>
        <w:rPr>
          <w:spacing w:val="-4"/>
        </w:rPr>
        <w:t> </w:t>
      </w:r>
      <w:r>
        <w:rPr/>
        <w:t>ECJ</w:t>
      </w:r>
      <w:r>
        <w:rPr>
          <w:spacing w:val="-4"/>
        </w:rPr>
        <w:t> </w:t>
      </w:r>
      <w:r>
        <w:rPr/>
        <w:t>jurisdiction,</w:t>
      </w:r>
      <w:r>
        <w:rPr>
          <w:spacing w:val="-4"/>
        </w:rPr>
        <w:t> </w:t>
      </w:r>
      <w:r>
        <w:rPr/>
        <w:t>and</w:t>
      </w:r>
      <w:r>
        <w:rPr>
          <w:spacing w:val="-5"/>
        </w:rPr>
        <w:t> </w:t>
      </w:r>
      <w:r>
        <w:rPr/>
        <w:t>only</w:t>
      </w:r>
      <w:r>
        <w:rPr>
          <w:spacing w:val="-4"/>
        </w:rPr>
        <w:t> </w:t>
      </w:r>
      <w:r>
        <w:rPr/>
        <w:t>applies</w:t>
      </w:r>
      <w:r>
        <w:rPr>
          <w:spacing w:val="-5"/>
        </w:rPr>
        <w:t> </w:t>
      </w:r>
      <w:r>
        <w:rPr/>
        <w:t>in</w:t>
      </w:r>
      <w:r>
        <w:rPr>
          <w:spacing w:val="-5"/>
        </w:rPr>
        <w:t> </w:t>
      </w:r>
      <w:r>
        <w:rPr/>
        <w:t>the</w:t>
      </w:r>
      <w:r>
        <w:rPr>
          <w:spacing w:val="-4"/>
        </w:rPr>
        <w:t> </w:t>
      </w:r>
      <w:r>
        <w:rPr/>
        <w:t>respect</w:t>
      </w:r>
      <w:r>
        <w:rPr>
          <w:spacing w:val="-4"/>
        </w:rPr>
        <w:t> </w:t>
      </w:r>
      <w:r>
        <w:rPr/>
        <w:t>of</w:t>
      </w:r>
      <w:r>
        <w:rPr>
          <w:spacing w:val="-5"/>
        </w:rPr>
        <w:t> </w:t>
      </w:r>
      <w:r>
        <w:rPr/>
        <w:t>rights set out in the relevant chapter of the 1998 Agreement and a diminution of those rights which arises as a result of the UK’s withdrawal from the EU’. According</w:t>
      </w:r>
    </w:p>
    <w:p>
      <w:pPr>
        <w:spacing w:line="232" w:lineRule="auto" w:before="0"/>
        <w:ind w:left="720" w:right="1404" w:firstLine="0"/>
        <w:jc w:val="left"/>
        <w:rPr>
          <w:sz w:val="28"/>
        </w:rPr>
      </w:pPr>
      <w:r>
        <w:rPr>
          <w:sz w:val="28"/>
        </w:rPr>
        <w:t>to</w:t>
      </w:r>
      <w:r>
        <w:rPr>
          <w:spacing w:val="-10"/>
          <w:sz w:val="28"/>
        </w:rPr>
        <w:t> </w:t>
      </w:r>
      <w:r>
        <w:rPr>
          <w:sz w:val="28"/>
        </w:rPr>
        <w:t>the</w:t>
      </w:r>
      <w:r>
        <w:rPr>
          <w:spacing w:val="-6"/>
          <w:sz w:val="28"/>
        </w:rPr>
        <w:t> </w:t>
      </w:r>
      <w:r>
        <w:rPr>
          <w:sz w:val="28"/>
        </w:rPr>
        <w:t>Government,</w:t>
      </w:r>
      <w:r>
        <w:rPr>
          <w:spacing w:val="-6"/>
          <w:sz w:val="28"/>
        </w:rPr>
        <w:t> </w:t>
      </w:r>
      <w:r>
        <w:rPr>
          <w:sz w:val="28"/>
        </w:rPr>
        <w:t>Article</w:t>
      </w:r>
      <w:r>
        <w:rPr>
          <w:spacing w:val="-6"/>
          <w:sz w:val="28"/>
        </w:rPr>
        <w:t> </w:t>
      </w:r>
      <w:r>
        <w:rPr>
          <w:sz w:val="28"/>
        </w:rPr>
        <w:t>2</w:t>
      </w:r>
      <w:r>
        <w:rPr>
          <w:spacing w:val="-6"/>
          <w:sz w:val="28"/>
        </w:rPr>
        <w:t> </w:t>
      </w:r>
      <w:r>
        <w:rPr>
          <w:sz w:val="28"/>
        </w:rPr>
        <w:t>is</w:t>
      </w:r>
      <w:r>
        <w:rPr>
          <w:spacing w:val="-7"/>
          <w:sz w:val="28"/>
        </w:rPr>
        <w:t> </w:t>
      </w:r>
      <w:r>
        <w:rPr>
          <w:sz w:val="28"/>
        </w:rPr>
        <w:t>not</w:t>
      </w:r>
      <w:r>
        <w:rPr>
          <w:spacing w:val="-6"/>
          <w:sz w:val="28"/>
        </w:rPr>
        <w:t> </w:t>
      </w:r>
      <w:r>
        <w:rPr>
          <w:sz w:val="28"/>
        </w:rPr>
        <w:t>engaged</w:t>
      </w:r>
      <w:r>
        <w:rPr>
          <w:spacing w:val="-7"/>
          <w:sz w:val="28"/>
        </w:rPr>
        <w:t> </w:t>
      </w:r>
      <w:r>
        <w:rPr>
          <w:sz w:val="28"/>
        </w:rPr>
        <w:t>by</w:t>
      </w:r>
      <w:r>
        <w:rPr>
          <w:spacing w:val="-6"/>
          <w:sz w:val="28"/>
        </w:rPr>
        <w:t> </w:t>
      </w:r>
      <w:r>
        <w:rPr>
          <w:sz w:val="28"/>
        </w:rPr>
        <w:t>the</w:t>
      </w:r>
      <w:r>
        <w:rPr>
          <w:spacing w:val="-6"/>
          <w:sz w:val="28"/>
        </w:rPr>
        <w:t> </w:t>
      </w:r>
      <w:r>
        <w:rPr>
          <w:sz w:val="28"/>
        </w:rPr>
        <w:t>Safety</w:t>
      </w:r>
      <w:r>
        <w:rPr>
          <w:spacing w:val="-6"/>
          <w:sz w:val="28"/>
        </w:rPr>
        <w:t> </w:t>
      </w:r>
      <w:r>
        <w:rPr>
          <w:sz w:val="28"/>
        </w:rPr>
        <w:t>of</w:t>
      </w:r>
      <w:r>
        <w:rPr>
          <w:spacing w:val="-7"/>
          <w:sz w:val="28"/>
        </w:rPr>
        <w:t> </w:t>
      </w:r>
      <w:r>
        <w:rPr>
          <w:sz w:val="28"/>
        </w:rPr>
        <w:t>Rwanda</w:t>
      </w:r>
      <w:r>
        <w:rPr>
          <w:spacing w:val="-7"/>
          <w:sz w:val="28"/>
        </w:rPr>
        <w:t> </w:t>
      </w:r>
      <w:r>
        <w:rPr>
          <w:sz w:val="28"/>
        </w:rPr>
        <w:t>Bill.</w:t>
      </w:r>
      <w:r>
        <w:rPr>
          <w:spacing w:val="-27"/>
          <w:sz w:val="28"/>
        </w:rPr>
        <w:t> </w:t>
      </w:r>
      <w:r>
        <w:rPr>
          <w:sz w:val="28"/>
          <w:vertAlign w:val="superscript"/>
        </w:rPr>
        <w:t>80</w:t>
      </w:r>
      <w:r>
        <w:rPr>
          <w:spacing w:val="-7"/>
          <w:sz w:val="28"/>
          <w:vertAlign w:val="baseline"/>
        </w:rPr>
        <w:t> </w:t>
      </w:r>
      <w:r>
        <w:rPr>
          <w:sz w:val="28"/>
          <w:vertAlign w:val="baseline"/>
        </w:rPr>
        <w:t>This interpretation</w:t>
      </w:r>
      <w:r>
        <w:rPr>
          <w:spacing w:val="-3"/>
          <w:sz w:val="28"/>
          <w:vertAlign w:val="baseline"/>
        </w:rPr>
        <w:t> </w:t>
      </w:r>
      <w:r>
        <w:rPr>
          <w:sz w:val="28"/>
          <w:vertAlign w:val="baseline"/>
        </w:rPr>
        <w:t>is</w:t>
      </w:r>
      <w:r>
        <w:rPr>
          <w:spacing w:val="-3"/>
          <w:sz w:val="28"/>
          <w:vertAlign w:val="baseline"/>
        </w:rPr>
        <w:t> </w:t>
      </w:r>
      <w:r>
        <w:rPr>
          <w:sz w:val="28"/>
          <w:vertAlign w:val="baseline"/>
        </w:rPr>
        <w:t>highly</w:t>
      </w:r>
      <w:r>
        <w:rPr>
          <w:spacing w:val="-2"/>
          <w:sz w:val="28"/>
          <w:vertAlign w:val="baseline"/>
        </w:rPr>
        <w:t> </w:t>
      </w:r>
      <w:r>
        <w:rPr>
          <w:sz w:val="28"/>
          <w:vertAlign w:val="baseline"/>
        </w:rPr>
        <w:t>contentious.</w:t>
      </w:r>
      <w:r>
        <w:rPr>
          <w:spacing w:val="-3"/>
          <w:sz w:val="28"/>
          <w:vertAlign w:val="baseline"/>
        </w:rPr>
        <w:t> </w:t>
      </w:r>
      <w:r>
        <w:rPr>
          <w:i/>
          <w:sz w:val="28"/>
          <w:vertAlign w:val="baseline"/>
        </w:rPr>
        <w:t>Angesom,</w:t>
      </w:r>
      <w:r>
        <w:rPr>
          <w:i/>
          <w:spacing w:val="-3"/>
          <w:sz w:val="28"/>
          <w:vertAlign w:val="baseline"/>
        </w:rPr>
        <w:t> </w:t>
      </w:r>
      <w:r>
        <w:rPr>
          <w:sz w:val="28"/>
          <w:vertAlign w:val="baseline"/>
        </w:rPr>
        <w:t>the</w:t>
      </w:r>
      <w:r>
        <w:rPr>
          <w:spacing w:val="-3"/>
          <w:sz w:val="28"/>
          <w:vertAlign w:val="baseline"/>
        </w:rPr>
        <w:t> </w:t>
      </w:r>
      <w:r>
        <w:rPr>
          <w:i/>
          <w:sz w:val="28"/>
          <w:vertAlign w:val="baseline"/>
        </w:rPr>
        <w:t>Legacy</w:t>
      </w:r>
      <w:r>
        <w:rPr>
          <w:i/>
          <w:spacing w:val="-3"/>
          <w:sz w:val="28"/>
          <w:vertAlign w:val="baseline"/>
        </w:rPr>
        <w:t> </w:t>
      </w:r>
      <w:r>
        <w:rPr>
          <w:i/>
          <w:sz w:val="28"/>
          <w:vertAlign w:val="baseline"/>
        </w:rPr>
        <w:t>Act</w:t>
      </w:r>
      <w:r>
        <w:rPr>
          <w:i/>
          <w:spacing w:val="-2"/>
          <w:sz w:val="28"/>
          <w:vertAlign w:val="baseline"/>
        </w:rPr>
        <w:t> </w:t>
      </w:r>
      <w:r>
        <w:rPr>
          <w:i/>
          <w:sz w:val="28"/>
          <w:vertAlign w:val="baseline"/>
        </w:rPr>
        <w:t>cases</w:t>
      </w:r>
      <w:r>
        <w:rPr>
          <w:i/>
          <w:spacing w:val="-3"/>
          <w:sz w:val="28"/>
          <w:vertAlign w:val="baseline"/>
        </w:rPr>
        <w:t> </w:t>
      </w:r>
      <w:r>
        <w:rPr>
          <w:i/>
          <w:sz w:val="28"/>
          <w:vertAlign w:val="baseline"/>
        </w:rPr>
        <w:t>(Dillon</w:t>
      </w:r>
      <w:r>
        <w:rPr>
          <w:i/>
          <w:spacing w:val="-3"/>
          <w:sz w:val="28"/>
          <w:vertAlign w:val="baseline"/>
        </w:rPr>
        <w:t> </w:t>
      </w:r>
      <w:r>
        <w:rPr>
          <w:i/>
          <w:sz w:val="28"/>
          <w:vertAlign w:val="baseline"/>
        </w:rPr>
        <w:t>and</w:t>
      </w:r>
      <w:r>
        <w:rPr>
          <w:i/>
          <w:sz w:val="28"/>
          <w:vertAlign w:val="baseline"/>
        </w:rPr>
        <w:t> others) </w:t>
      </w:r>
      <w:r>
        <w:rPr>
          <w:sz w:val="28"/>
          <w:vertAlign w:val="baseline"/>
        </w:rPr>
        <w:t>and the </w:t>
      </w:r>
      <w:r>
        <w:rPr>
          <w:i/>
          <w:sz w:val="28"/>
          <w:vertAlign w:val="baseline"/>
        </w:rPr>
        <w:t>Illegal Migration Act case </w:t>
      </w:r>
      <w:r>
        <w:rPr>
          <w:sz w:val="28"/>
          <w:vertAlign w:val="baseline"/>
        </w:rPr>
        <w:t>establish that Article 2 WF at least applies to situations aside from the free movement of goods.</w:t>
      </w:r>
    </w:p>
    <w:p>
      <w:pPr>
        <w:pStyle w:val="BodyText"/>
        <w:spacing w:before="44"/>
      </w:pPr>
    </w:p>
    <w:p>
      <w:pPr>
        <w:pStyle w:val="Heading3"/>
        <w:numPr>
          <w:ilvl w:val="2"/>
          <w:numId w:val="10"/>
        </w:numPr>
        <w:tabs>
          <w:tab w:pos="1358" w:val="left" w:leader="none"/>
        </w:tabs>
        <w:spacing w:line="336" w:lineRule="exact" w:before="0" w:after="0"/>
        <w:ind w:left="1358" w:right="0" w:hanging="638"/>
        <w:jc w:val="left"/>
      </w:pPr>
      <w:r>
        <w:rPr>
          <w:color w:val="004A93"/>
        </w:rPr>
        <w:t>The</w:t>
      </w:r>
      <w:r>
        <w:rPr>
          <w:color w:val="004A93"/>
          <w:spacing w:val="-4"/>
        </w:rPr>
        <w:t> </w:t>
      </w:r>
      <w:r>
        <w:rPr>
          <w:color w:val="004A93"/>
        </w:rPr>
        <w:t>Role</w:t>
      </w:r>
      <w:r>
        <w:rPr>
          <w:color w:val="004A93"/>
          <w:spacing w:val="-4"/>
        </w:rPr>
        <w:t> </w:t>
      </w:r>
      <w:r>
        <w:rPr>
          <w:color w:val="004A93"/>
        </w:rPr>
        <w:t>of</w:t>
      </w:r>
      <w:r>
        <w:rPr>
          <w:color w:val="004A93"/>
          <w:spacing w:val="-4"/>
        </w:rPr>
        <w:t> </w:t>
      </w:r>
      <w:r>
        <w:rPr>
          <w:color w:val="004A93"/>
        </w:rPr>
        <w:t>the</w:t>
      </w:r>
      <w:r>
        <w:rPr>
          <w:color w:val="004A93"/>
          <w:spacing w:val="-4"/>
        </w:rPr>
        <w:t> </w:t>
      </w:r>
      <w:r>
        <w:rPr>
          <w:color w:val="004A93"/>
          <w:spacing w:val="-2"/>
        </w:rPr>
        <w:t>Commissions</w:t>
      </w:r>
    </w:p>
    <w:p>
      <w:pPr>
        <w:pStyle w:val="BodyText"/>
        <w:spacing w:line="232" w:lineRule="auto" w:before="3"/>
        <w:ind w:left="720" w:right="1087"/>
      </w:pPr>
      <w:r>
        <w:rPr/>
        <w:t>Under the terms of Article 2(2) WF the UK must facilitate the work of the 1998 Agreement institutions including the ECNI, NIHRC, and the joint committee of the two human rights commissions on the island. The UK Government has identified these two institutions as the ‘dedicated mechanisms’ required by Article 2(1) WF, and the European Union (Withdrawal Agreement) Act 2020 amends the Northern Ireland Act 1998 to specify the Article 2 WF functions of these bodies. These functions</w:t>
      </w:r>
      <w:r>
        <w:rPr>
          <w:spacing w:val="-2"/>
        </w:rPr>
        <w:t> </w:t>
      </w:r>
      <w:r>
        <w:rPr/>
        <w:t>include</w:t>
      </w:r>
      <w:r>
        <w:rPr>
          <w:spacing w:val="-1"/>
        </w:rPr>
        <w:t> </w:t>
      </w:r>
      <w:r>
        <w:rPr/>
        <w:t>monitoring</w:t>
      </w:r>
      <w:r>
        <w:rPr>
          <w:spacing w:val="-1"/>
        </w:rPr>
        <w:t> </w:t>
      </w:r>
      <w:r>
        <w:rPr/>
        <w:t>the</w:t>
      </w:r>
      <w:r>
        <w:rPr>
          <w:spacing w:val="-1"/>
        </w:rPr>
        <w:t> </w:t>
      </w:r>
      <w:r>
        <w:rPr/>
        <w:t>implementation</w:t>
      </w:r>
      <w:r>
        <w:rPr>
          <w:spacing w:val="-2"/>
        </w:rPr>
        <w:t> </w:t>
      </w:r>
      <w:r>
        <w:rPr/>
        <w:t>of</w:t>
      </w:r>
      <w:r>
        <w:rPr>
          <w:spacing w:val="-2"/>
        </w:rPr>
        <w:t> </w:t>
      </w:r>
      <w:r>
        <w:rPr/>
        <w:t>Article</w:t>
      </w:r>
      <w:r>
        <w:rPr>
          <w:spacing w:val="-1"/>
        </w:rPr>
        <w:t> </w:t>
      </w:r>
      <w:r>
        <w:rPr/>
        <w:t>2</w:t>
      </w:r>
      <w:r>
        <w:rPr>
          <w:spacing w:val="-1"/>
        </w:rPr>
        <w:t> </w:t>
      </w:r>
      <w:r>
        <w:rPr/>
        <w:t>WF,</w:t>
      </w:r>
      <w:r>
        <w:rPr>
          <w:spacing w:val="-1"/>
        </w:rPr>
        <w:t> </w:t>
      </w:r>
      <w:r>
        <w:rPr/>
        <w:t>reporting</w:t>
      </w:r>
      <w:r>
        <w:rPr>
          <w:spacing w:val="-1"/>
        </w:rPr>
        <w:t> </w:t>
      </w:r>
      <w:r>
        <w:rPr/>
        <w:t>to</w:t>
      </w:r>
      <w:r>
        <w:rPr>
          <w:spacing w:val="-2"/>
        </w:rPr>
        <w:t> </w:t>
      </w:r>
      <w:r>
        <w:rPr/>
        <w:t>the Secretary of State, providing advice to the Secretary of State and the Executive, advising</w:t>
      </w:r>
      <w:r>
        <w:rPr>
          <w:spacing w:val="-5"/>
        </w:rPr>
        <w:t> </w:t>
      </w:r>
      <w:r>
        <w:rPr/>
        <w:t>the</w:t>
      </w:r>
      <w:r>
        <w:rPr>
          <w:spacing w:val="-5"/>
        </w:rPr>
        <w:t> </w:t>
      </w:r>
      <w:r>
        <w:rPr/>
        <w:t>Assembly</w:t>
      </w:r>
      <w:r>
        <w:rPr>
          <w:spacing w:val="-5"/>
        </w:rPr>
        <w:t> </w:t>
      </w:r>
      <w:r>
        <w:rPr/>
        <w:t>(or</w:t>
      </w:r>
      <w:r>
        <w:rPr>
          <w:spacing w:val="-5"/>
        </w:rPr>
        <w:t> </w:t>
      </w:r>
      <w:r>
        <w:rPr/>
        <w:t>a</w:t>
      </w:r>
      <w:r>
        <w:rPr>
          <w:spacing w:val="-6"/>
        </w:rPr>
        <w:t> </w:t>
      </w:r>
      <w:r>
        <w:rPr/>
        <w:t>Committee</w:t>
      </w:r>
      <w:r>
        <w:rPr>
          <w:spacing w:val="-5"/>
        </w:rPr>
        <w:t> </w:t>
      </w:r>
      <w:r>
        <w:rPr/>
        <w:t>thereof)</w:t>
      </w:r>
      <w:r>
        <w:rPr>
          <w:spacing w:val="-6"/>
        </w:rPr>
        <w:t> </w:t>
      </w:r>
      <w:r>
        <w:rPr/>
        <w:t>of</w:t>
      </w:r>
      <w:r>
        <w:rPr>
          <w:spacing w:val="-6"/>
        </w:rPr>
        <w:t> </w:t>
      </w:r>
      <w:r>
        <w:rPr/>
        <w:t>compatibility</w:t>
      </w:r>
      <w:r>
        <w:rPr>
          <w:spacing w:val="-5"/>
        </w:rPr>
        <w:t> </w:t>
      </w:r>
      <w:r>
        <w:rPr/>
        <w:t>issues</w:t>
      </w:r>
      <w:r>
        <w:rPr>
          <w:spacing w:val="-6"/>
        </w:rPr>
        <w:t> </w:t>
      </w:r>
      <w:r>
        <w:rPr/>
        <w:t>concerning legislation, and promoting understanding and awareness of Article 2 WF.</w:t>
      </w:r>
      <w:r>
        <w:rPr>
          <w:vertAlign w:val="superscript"/>
        </w:rPr>
        <w:t>81</w:t>
      </w:r>
      <w:r>
        <w:rPr>
          <w:vertAlign w:val="baseline"/>
        </w:rPr>
        <w:t> To</w:t>
      </w:r>
    </w:p>
    <w:p>
      <w:pPr>
        <w:pStyle w:val="BodyText"/>
        <w:spacing w:line="312" w:lineRule="exact"/>
        <w:ind w:left="720"/>
      </w:pPr>
      <w:r>
        <w:rPr/>
        <w:t>carry</w:t>
      </w:r>
      <w:r>
        <w:rPr>
          <w:spacing w:val="-7"/>
        </w:rPr>
        <w:t> </w:t>
      </w:r>
      <w:r>
        <w:rPr/>
        <w:t>out</w:t>
      </w:r>
      <w:r>
        <w:rPr>
          <w:spacing w:val="-7"/>
        </w:rPr>
        <w:t> </w:t>
      </w:r>
      <w:r>
        <w:rPr/>
        <w:t>these</w:t>
      </w:r>
      <w:r>
        <w:rPr>
          <w:spacing w:val="-7"/>
        </w:rPr>
        <w:t> </w:t>
      </w:r>
      <w:r>
        <w:rPr/>
        <w:t>functions</w:t>
      </w:r>
      <w:r>
        <w:rPr>
          <w:spacing w:val="-7"/>
        </w:rPr>
        <w:t> </w:t>
      </w:r>
      <w:r>
        <w:rPr/>
        <w:t>the</w:t>
      </w:r>
      <w:r>
        <w:rPr>
          <w:spacing w:val="-7"/>
        </w:rPr>
        <w:t> </w:t>
      </w:r>
      <w:r>
        <w:rPr/>
        <w:t>Commissions</w:t>
      </w:r>
      <w:r>
        <w:rPr>
          <w:spacing w:val="-7"/>
        </w:rPr>
        <w:t> </w:t>
      </w:r>
      <w:r>
        <w:rPr/>
        <w:t>have</w:t>
      </w:r>
      <w:r>
        <w:rPr>
          <w:spacing w:val="-7"/>
        </w:rPr>
        <w:t> </w:t>
      </w:r>
      <w:r>
        <w:rPr/>
        <w:t>been</w:t>
      </w:r>
      <w:r>
        <w:rPr>
          <w:spacing w:val="-8"/>
        </w:rPr>
        <w:t> </w:t>
      </w:r>
      <w:r>
        <w:rPr/>
        <w:t>given</w:t>
      </w:r>
      <w:r>
        <w:rPr>
          <w:spacing w:val="-7"/>
        </w:rPr>
        <w:t> </w:t>
      </w:r>
      <w:r>
        <w:rPr/>
        <w:t>additional</w:t>
      </w:r>
      <w:r>
        <w:rPr>
          <w:spacing w:val="-8"/>
        </w:rPr>
        <w:t> </w:t>
      </w:r>
      <w:r>
        <w:rPr/>
        <w:t>powers,</w:t>
      </w:r>
      <w:r>
        <w:rPr>
          <w:spacing w:val="-7"/>
        </w:rPr>
        <w:t> </w:t>
      </w:r>
      <w:r>
        <w:rPr>
          <w:spacing w:val="-5"/>
        </w:rPr>
        <w:t>for</w:t>
      </w:r>
    </w:p>
    <w:p>
      <w:pPr>
        <w:pStyle w:val="BodyText"/>
        <w:spacing w:line="232" w:lineRule="auto" w:before="2"/>
        <w:ind w:left="720" w:right="1087"/>
      </w:pPr>
      <w:r>
        <w:rPr/>
        <w:t>example, to require the NI Secretary of State or the Executive to reply in writing to recommendations;</w:t>
      </w:r>
      <w:r>
        <w:rPr>
          <w:spacing w:val="-27"/>
        </w:rPr>
        <w:t> </w:t>
      </w:r>
      <w:r>
        <w:rPr>
          <w:vertAlign w:val="superscript"/>
        </w:rPr>
        <w:t>82</w:t>
      </w:r>
      <w:r>
        <w:rPr>
          <w:spacing w:val="-16"/>
          <w:vertAlign w:val="baseline"/>
        </w:rPr>
        <w:t> </w:t>
      </w:r>
      <w:r>
        <w:rPr>
          <w:vertAlign w:val="baseline"/>
        </w:rPr>
        <w:t>to</w:t>
      </w:r>
      <w:r>
        <w:rPr>
          <w:spacing w:val="-14"/>
          <w:vertAlign w:val="baseline"/>
        </w:rPr>
        <w:t> </w:t>
      </w:r>
      <w:r>
        <w:rPr>
          <w:vertAlign w:val="baseline"/>
        </w:rPr>
        <w:t>bring</w:t>
      </w:r>
      <w:r>
        <w:rPr>
          <w:spacing w:val="-11"/>
          <w:vertAlign w:val="baseline"/>
        </w:rPr>
        <w:t> </w:t>
      </w:r>
      <w:r>
        <w:rPr>
          <w:vertAlign w:val="baseline"/>
        </w:rPr>
        <w:t>matters</w:t>
      </w:r>
      <w:r>
        <w:rPr>
          <w:spacing w:val="-12"/>
          <w:vertAlign w:val="baseline"/>
        </w:rPr>
        <w:t> </w:t>
      </w:r>
      <w:r>
        <w:rPr>
          <w:vertAlign w:val="baseline"/>
        </w:rPr>
        <w:t>to</w:t>
      </w:r>
      <w:r>
        <w:rPr>
          <w:spacing w:val="-12"/>
          <w:vertAlign w:val="baseline"/>
        </w:rPr>
        <w:t> </w:t>
      </w:r>
      <w:r>
        <w:rPr>
          <w:vertAlign w:val="baseline"/>
        </w:rPr>
        <w:t>the</w:t>
      </w:r>
      <w:r>
        <w:rPr>
          <w:spacing w:val="-11"/>
          <w:vertAlign w:val="baseline"/>
        </w:rPr>
        <w:t> </w:t>
      </w:r>
      <w:r>
        <w:rPr>
          <w:vertAlign w:val="baseline"/>
        </w:rPr>
        <w:t>attention</w:t>
      </w:r>
      <w:r>
        <w:rPr>
          <w:spacing w:val="-12"/>
          <w:vertAlign w:val="baseline"/>
        </w:rPr>
        <w:t> </w:t>
      </w:r>
      <w:r>
        <w:rPr>
          <w:vertAlign w:val="baseline"/>
        </w:rPr>
        <w:t>of</w:t>
      </w:r>
      <w:r>
        <w:rPr>
          <w:spacing w:val="-12"/>
          <w:vertAlign w:val="baseline"/>
        </w:rPr>
        <w:t> </w:t>
      </w:r>
      <w:r>
        <w:rPr>
          <w:vertAlign w:val="baseline"/>
        </w:rPr>
        <w:t>the</w:t>
      </w:r>
      <w:r>
        <w:rPr>
          <w:spacing w:val="-12"/>
          <w:vertAlign w:val="baseline"/>
        </w:rPr>
        <w:t> </w:t>
      </w:r>
      <w:r>
        <w:rPr>
          <w:vertAlign w:val="baseline"/>
        </w:rPr>
        <w:t>Specialised</w:t>
      </w:r>
      <w:r>
        <w:rPr>
          <w:spacing w:val="-11"/>
          <w:vertAlign w:val="baseline"/>
        </w:rPr>
        <w:t> </w:t>
      </w:r>
      <w:r>
        <w:rPr>
          <w:vertAlign w:val="baseline"/>
        </w:rPr>
        <w:t>Committee on the Protocol,</w:t>
      </w:r>
      <w:r>
        <w:rPr>
          <w:vertAlign w:val="superscript"/>
        </w:rPr>
        <w:t>83</w:t>
      </w:r>
      <w:r>
        <w:rPr>
          <w:vertAlign w:val="baseline"/>
        </w:rPr>
        <w:t> to bring or intervene in litigation</w:t>
      </w:r>
      <w:r>
        <w:rPr>
          <w:vertAlign w:val="superscript"/>
        </w:rPr>
        <w:t>84</w:t>
      </w:r>
      <w:r>
        <w:rPr>
          <w:vertAlign w:val="baseline"/>
        </w:rPr>
        <w:t> and to assist persons in</w:t>
      </w:r>
    </w:p>
    <w:p>
      <w:pPr>
        <w:pStyle w:val="BodyText"/>
        <w:spacing w:line="232" w:lineRule="auto"/>
        <w:ind w:left="720" w:right="1404"/>
      </w:pPr>
      <w:r>
        <w:rPr/>
        <w:t>legal proceedings.</w:t>
      </w:r>
      <w:r>
        <w:rPr>
          <w:vertAlign w:val="superscript"/>
        </w:rPr>
        <w:t>85</w:t>
      </w:r>
      <w:r>
        <w:rPr>
          <w:vertAlign w:val="baseline"/>
        </w:rPr>
        <w:t> As part of the function of promoting understanding and awareness</w:t>
      </w:r>
      <w:r>
        <w:rPr>
          <w:spacing w:val="-9"/>
          <w:vertAlign w:val="baseline"/>
        </w:rPr>
        <w:t> </w:t>
      </w:r>
      <w:r>
        <w:rPr>
          <w:vertAlign w:val="baseline"/>
        </w:rPr>
        <w:t>the</w:t>
      </w:r>
      <w:r>
        <w:rPr>
          <w:spacing w:val="-8"/>
          <w:vertAlign w:val="baseline"/>
        </w:rPr>
        <w:t> </w:t>
      </w:r>
      <w:r>
        <w:rPr>
          <w:vertAlign w:val="baseline"/>
        </w:rPr>
        <w:t>Commissions</w:t>
      </w:r>
      <w:r>
        <w:rPr>
          <w:spacing w:val="-9"/>
          <w:vertAlign w:val="baseline"/>
        </w:rPr>
        <w:t> </w:t>
      </w:r>
      <w:r>
        <w:rPr>
          <w:vertAlign w:val="baseline"/>
        </w:rPr>
        <w:t>may</w:t>
      </w:r>
      <w:r>
        <w:rPr>
          <w:spacing w:val="-8"/>
          <w:vertAlign w:val="baseline"/>
        </w:rPr>
        <w:t> </w:t>
      </w:r>
      <w:r>
        <w:rPr>
          <w:vertAlign w:val="baseline"/>
        </w:rPr>
        <w:t>undertake</w:t>
      </w:r>
      <w:r>
        <w:rPr>
          <w:spacing w:val="-8"/>
          <w:vertAlign w:val="baseline"/>
        </w:rPr>
        <w:t> </w:t>
      </w:r>
      <w:r>
        <w:rPr>
          <w:vertAlign w:val="baseline"/>
        </w:rPr>
        <w:t>or</w:t>
      </w:r>
      <w:r>
        <w:rPr>
          <w:spacing w:val="-8"/>
          <w:vertAlign w:val="baseline"/>
        </w:rPr>
        <w:t> </w:t>
      </w:r>
      <w:r>
        <w:rPr>
          <w:vertAlign w:val="baseline"/>
        </w:rPr>
        <w:t>commission</w:t>
      </w:r>
      <w:r>
        <w:rPr>
          <w:spacing w:val="-9"/>
          <w:vertAlign w:val="baseline"/>
        </w:rPr>
        <w:t> </w:t>
      </w:r>
      <w:r>
        <w:rPr>
          <w:vertAlign w:val="baseline"/>
        </w:rPr>
        <w:t>research</w:t>
      </w:r>
      <w:r>
        <w:rPr>
          <w:spacing w:val="-9"/>
          <w:vertAlign w:val="baseline"/>
        </w:rPr>
        <w:t> </w:t>
      </w:r>
      <w:r>
        <w:rPr>
          <w:vertAlign w:val="baseline"/>
        </w:rPr>
        <w:t>and</w:t>
      </w:r>
      <w:r>
        <w:rPr>
          <w:spacing w:val="-9"/>
          <w:vertAlign w:val="baseline"/>
        </w:rPr>
        <w:t> </w:t>
      </w:r>
      <w:r>
        <w:rPr>
          <w:vertAlign w:val="baseline"/>
        </w:rPr>
        <w:t>publish the research.</w:t>
      </w:r>
      <w:r>
        <w:rPr>
          <w:vertAlign w:val="superscript"/>
        </w:rPr>
        <w:t>86</w:t>
      </w:r>
      <w:r>
        <w:rPr>
          <w:vertAlign w:val="baseline"/>
        </w:rPr>
        <w:t> The Commissions may cooperate with each other in this work.</w:t>
      </w:r>
    </w:p>
    <w:p>
      <w:pPr>
        <w:pStyle w:val="BodyText"/>
        <w:spacing w:line="232" w:lineRule="auto"/>
        <w:ind w:left="720" w:right="1250"/>
      </w:pPr>
      <w:r>
        <w:rPr/>
        <w:t>They</w:t>
      </w:r>
      <w:r>
        <w:rPr>
          <w:spacing w:val="-5"/>
        </w:rPr>
        <w:t> </w:t>
      </w:r>
      <w:r>
        <w:rPr/>
        <w:t>may</w:t>
      </w:r>
      <w:r>
        <w:rPr>
          <w:spacing w:val="-5"/>
        </w:rPr>
        <w:t> </w:t>
      </w:r>
      <w:r>
        <w:rPr/>
        <w:t>also</w:t>
      </w:r>
      <w:r>
        <w:rPr>
          <w:spacing w:val="-6"/>
        </w:rPr>
        <w:t> </w:t>
      </w:r>
      <w:r>
        <w:rPr/>
        <w:t>collaborate</w:t>
      </w:r>
      <w:r>
        <w:rPr>
          <w:spacing w:val="-5"/>
        </w:rPr>
        <w:t> </w:t>
      </w:r>
      <w:r>
        <w:rPr/>
        <w:t>with</w:t>
      </w:r>
      <w:r>
        <w:rPr>
          <w:spacing w:val="-6"/>
        </w:rPr>
        <w:t> </w:t>
      </w:r>
      <w:r>
        <w:rPr/>
        <w:t>the</w:t>
      </w:r>
      <w:r>
        <w:rPr>
          <w:spacing w:val="-5"/>
        </w:rPr>
        <w:t> </w:t>
      </w:r>
      <w:r>
        <w:rPr/>
        <w:t>Irish</w:t>
      </w:r>
      <w:r>
        <w:rPr>
          <w:spacing w:val="-6"/>
        </w:rPr>
        <w:t> </w:t>
      </w:r>
      <w:r>
        <w:rPr/>
        <w:t>Human</w:t>
      </w:r>
      <w:r>
        <w:rPr>
          <w:spacing w:val="-6"/>
        </w:rPr>
        <w:t> </w:t>
      </w:r>
      <w:r>
        <w:rPr/>
        <w:t>Rights</w:t>
      </w:r>
      <w:r>
        <w:rPr>
          <w:spacing w:val="-6"/>
        </w:rPr>
        <w:t> </w:t>
      </w:r>
      <w:r>
        <w:rPr/>
        <w:t>and</w:t>
      </w:r>
      <w:r>
        <w:rPr>
          <w:spacing w:val="-6"/>
        </w:rPr>
        <w:t> </w:t>
      </w:r>
      <w:r>
        <w:rPr/>
        <w:t>Equality</w:t>
      </w:r>
      <w:r>
        <w:rPr>
          <w:spacing w:val="-5"/>
        </w:rPr>
        <w:t> </w:t>
      </w:r>
      <w:r>
        <w:rPr/>
        <w:t>Commission</w:t>
      </w:r>
      <w:r>
        <w:rPr>
          <w:spacing w:val="-6"/>
        </w:rPr>
        <w:t> </w:t>
      </w:r>
      <w:r>
        <w:rPr/>
        <w:t>in order to oversee and report on rights and equalities falling within scope of Article 2</w:t>
      </w:r>
      <w:r>
        <w:rPr>
          <w:spacing w:val="-1"/>
        </w:rPr>
        <w:t> </w:t>
      </w:r>
      <w:r>
        <w:rPr/>
        <w:t>matters</w:t>
      </w:r>
      <w:r>
        <w:rPr>
          <w:spacing w:val="-2"/>
        </w:rPr>
        <w:t> </w:t>
      </w:r>
      <w:r>
        <w:rPr/>
        <w:t>that</w:t>
      </w:r>
      <w:r>
        <w:rPr>
          <w:spacing w:val="-1"/>
        </w:rPr>
        <w:t> </w:t>
      </w:r>
      <w:r>
        <w:rPr/>
        <w:t>have</w:t>
      </w:r>
      <w:r>
        <w:rPr>
          <w:spacing w:val="-1"/>
        </w:rPr>
        <w:t> </w:t>
      </w:r>
      <w:r>
        <w:rPr/>
        <w:t>an</w:t>
      </w:r>
      <w:r>
        <w:rPr>
          <w:spacing w:val="-2"/>
        </w:rPr>
        <w:t> </w:t>
      </w:r>
      <w:r>
        <w:rPr/>
        <w:t>island</w:t>
      </w:r>
      <w:r>
        <w:rPr>
          <w:spacing w:val="-2"/>
        </w:rPr>
        <w:t> </w:t>
      </w:r>
      <w:r>
        <w:rPr/>
        <w:t>of</w:t>
      </w:r>
      <w:r>
        <w:rPr>
          <w:spacing w:val="-2"/>
        </w:rPr>
        <w:t> </w:t>
      </w:r>
      <w:r>
        <w:rPr/>
        <w:t>Ireland</w:t>
      </w:r>
      <w:r>
        <w:rPr>
          <w:spacing w:val="-2"/>
        </w:rPr>
        <w:t> </w:t>
      </w:r>
      <w:r>
        <w:rPr/>
        <w:t>dimension.</w:t>
      </w:r>
      <w:r>
        <w:rPr>
          <w:spacing w:val="-2"/>
        </w:rPr>
        <w:t> </w:t>
      </w:r>
      <w:r>
        <w:rPr/>
        <w:t>The</w:t>
      </w:r>
      <w:r>
        <w:rPr>
          <w:spacing w:val="-1"/>
        </w:rPr>
        <w:t> </w:t>
      </w:r>
      <w:r>
        <w:rPr/>
        <w:t>ECNI,</w:t>
      </w:r>
      <w:r>
        <w:rPr>
          <w:spacing w:val="-1"/>
        </w:rPr>
        <w:t> </w:t>
      </w:r>
      <w:r>
        <w:rPr/>
        <w:t>NIHRC,</w:t>
      </w:r>
      <w:r>
        <w:rPr>
          <w:spacing w:val="-1"/>
        </w:rPr>
        <w:t> </w:t>
      </w:r>
      <w:r>
        <w:rPr/>
        <w:t>and</w:t>
      </w:r>
      <w:r>
        <w:rPr>
          <w:spacing w:val="-2"/>
        </w:rPr>
        <w:t> </w:t>
      </w:r>
      <w:r>
        <w:rPr/>
        <w:t>the</w:t>
      </w:r>
      <w:r>
        <w:rPr>
          <w:spacing w:val="-1"/>
        </w:rPr>
        <w:t> </w:t>
      </w:r>
      <w:r>
        <w:rPr/>
        <w:t>joint committee of the NIHRC/IHREC also have the possibility to bring matters to the attention of the Specialised Committee under Article 14(C) of the WF.</w:t>
      </w:r>
      <w:r>
        <w:rPr>
          <w:vertAlign w:val="superscript"/>
        </w:rPr>
        <w:t>87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2"/>
        <w:rPr>
          <w:sz w:val="20"/>
        </w:rPr>
      </w:pPr>
      <w:r>
        <w:rPr/>
        <mc:AlternateContent>
          <mc:Choice Requires="wps">
            <w:drawing>
              <wp:anchor distT="0" distB="0" distL="0" distR="0" allowOverlap="1" layoutInCell="1" locked="0" behindDoc="1" simplePos="0" relativeHeight="487647744">
                <wp:simplePos x="0" y="0"/>
                <wp:positionH relativeFrom="page">
                  <wp:posOffset>647999</wp:posOffset>
                </wp:positionH>
                <wp:positionV relativeFrom="paragraph">
                  <wp:posOffset>197191</wp:posOffset>
                </wp:positionV>
                <wp:extent cx="6012180" cy="1270"/>
                <wp:effectExtent l="0" t="0" r="0" b="0"/>
                <wp:wrapTopAndBottom/>
                <wp:docPr id="323" name="Graphic 323"/>
                <wp:cNvGraphicFramePr>
                  <a:graphicFrameLocks/>
                </wp:cNvGraphicFramePr>
                <a:graphic>
                  <a:graphicData uri="http://schemas.microsoft.com/office/word/2010/wordprocessingShape">
                    <wps:wsp>
                      <wps:cNvPr id="323" name="Graphic 32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5.5269pt;width:473.4pt;height:.1pt;mso-position-horizontal-relative:page;mso-position-vertical-relative:paragraph;z-index:-15668736;mso-wrap-distance-left:0;mso-wrap-distance-right:0" id="docshape254" coordorigin="1020,311" coordsize="9468,0" path="m1020,311l10488,311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0" w:hanging="567"/>
        <w:jc w:val="left"/>
        <w:rPr>
          <w:sz w:val="18"/>
        </w:rPr>
      </w:pPr>
      <w:r>
        <w:rPr>
          <w:sz w:val="18"/>
        </w:rPr>
        <w:t>UK</w:t>
      </w:r>
      <w:r>
        <w:rPr>
          <w:spacing w:val="-5"/>
          <w:sz w:val="18"/>
        </w:rPr>
        <w:t> </w:t>
      </w:r>
      <w:r>
        <w:rPr>
          <w:sz w:val="18"/>
        </w:rPr>
        <w:t>Government,</w:t>
      </w:r>
      <w:r>
        <w:rPr>
          <w:spacing w:val="-4"/>
          <w:sz w:val="18"/>
        </w:rPr>
        <w:t> </w:t>
      </w:r>
      <w:r>
        <w:rPr>
          <w:color w:val="1D71B8"/>
          <w:sz w:val="18"/>
          <w:u w:val="single" w:color="1D71B8"/>
        </w:rPr>
        <w:t>Safeguarding</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Union</w:t>
      </w:r>
      <w:r>
        <w:rPr>
          <w:color w:val="1D71B8"/>
          <w:spacing w:val="-6"/>
          <w:sz w:val="18"/>
          <w:u w:val="none"/>
        </w:rPr>
        <w:t> </w:t>
      </w:r>
      <w:r>
        <w:rPr>
          <w:sz w:val="18"/>
          <w:u w:val="none"/>
        </w:rPr>
        <w:t>(2024)</w:t>
      </w:r>
      <w:r>
        <w:rPr>
          <w:spacing w:val="-5"/>
          <w:sz w:val="18"/>
          <w:u w:val="none"/>
        </w:rPr>
        <w:t> </w:t>
      </w:r>
      <w:r>
        <w:rPr>
          <w:sz w:val="18"/>
          <w:u w:val="none"/>
        </w:rPr>
        <w:t>CP</w:t>
      </w:r>
      <w:r>
        <w:rPr>
          <w:spacing w:val="-5"/>
          <w:sz w:val="18"/>
          <w:u w:val="none"/>
        </w:rPr>
        <w:t> </w:t>
      </w:r>
      <w:r>
        <w:rPr>
          <w:sz w:val="18"/>
          <w:u w:val="none"/>
        </w:rPr>
        <w:t>1021,</w:t>
      </w:r>
      <w:r>
        <w:rPr>
          <w:spacing w:val="-4"/>
          <w:sz w:val="18"/>
          <w:u w:val="none"/>
        </w:rPr>
        <w:t> </w:t>
      </w:r>
      <w:r>
        <w:rPr>
          <w:sz w:val="18"/>
          <w:u w:val="none"/>
        </w:rPr>
        <w:t>paragraph</w:t>
      </w:r>
      <w:r>
        <w:rPr>
          <w:spacing w:val="-5"/>
          <w:sz w:val="18"/>
          <w:u w:val="none"/>
        </w:rPr>
        <w:t> 46.</w:t>
      </w:r>
    </w:p>
    <w:p>
      <w:pPr>
        <w:pStyle w:val="ListParagraph"/>
        <w:numPr>
          <w:ilvl w:val="0"/>
          <w:numId w:val="9"/>
        </w:numPr>
        <w:tabs>
          <w:tab w:pos="1287" w:val="left" w:leader="none"/>
        </w:tabs>
        <w:spacing w:line="240" w:lineRule="auto" w:before="1" w:after="0"/>
        <w:ind w:left="1287" w:right="0" w:hanging="567"/>
        <w:jc w:val="left"/>
        <w:rPr>
          <w:sz w:val="18"/>
        </w:rPr>
      </w:pPr>
      <w:r>
        <w:rPr>
          <w:sz w:val="18"/>
        </w:rPr>
        <w:t>Northern</w:t>
      </w:r>
      <w:r>
        <w:rPr>
          <w:spacing w:val="-5"/>
          <w:sz w:val="18"/>
        </w:rPr>
        <w:t> </w:t>
      </w:r>
      <w:r>
        <w:rPr>
          <w:sz w:val="18"/>
        </w:rPr>
        <w:t>Ireland</w:t>
      </w:r>
      <w:r>
        <w:rPr>
          <w:spacing w:val="-5"/>
          <w:sz w:val="18"/>
        </w:rPr>
        <w:t> </w:t>
      </w:r>
      <w:r>
        <w:rPr>
          <w:sz w:val="18"/>
        </w:rPr>
        <w:t>Act</w:t>
      </w:r>
      <w:r>
        <w:rPr>
          <w:spacing w:val="-4"/>
          <w:sz w:val="18"/>
        </w:rPr>
        <w:t> </w:t>
      </w:r>
      <w:r>
        <w:rPr>
          <w:sz w:val="18"/>
        </w:rPr>
        <w:t>1998,</w:t>
      </w:r>
      <w:r>
        <w:rPr>
          <w:spacing w:val="-4"/>
          <w:sz w:val="18"/>
        </w:rPr>
        <w:t> </w:t>
      </w:r>
      <w:r>
        <w:rPr>
          <w:color w:val="1D71B8"/>
          <w:sz w:val="18"/>
          <w:u w:val="single" w:color="1D71B8"/>
        </w:rPr>
        <w:t>sections</w:t>
      </w:r>
      <w:r>
        <w:rPr>
          <w:color w:val="1D71B8"/>
          <w:spacing w:val="-5"/>
          <w:sz w:val="18"/>
          <w:u w:val="single" w:color="1D71B8"/>
        </w:rPr>
        <w:t> </w:t>
      </w:r>
      <w:r>
        <w:rPr>
          <w:color w:val="1D71B8"/>
          <w:sz w:val="18"/>
          <w:u w:val="single" w:color="1D71B8"/>
        </w:rPr>
        <w:t>78A</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pacing w:val="-4"/>
          <w:sz w:val="18"/>
          <w:u w:val="single" w:color="1D71B8"/>
        </w:rPr>
        <w:t>78B</w:t>
      </w:r>
      <w:r>
        <w:rPr>
          <w:spacing w:val="-4"/>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sz w:val="18"/>
        </w:rPr>
        <w:t>Northern</w:t>
      </w:r>
      <w:r>
        <w:rPr>
          <w:spacing w:val="-7"/>
          <w:sz w:val="18"/>
        </w:rPr>
        <w:t> </w:t>
      </w:r>
      <w:r>
        <w:rPr>
          <w:sz w:val="18"/>
        </w:rPr>
        <w:t>Ireland</w:t>
      </w:r>
      <w:r>
        <w:rPr>
          <w:spacing w:val="-6"/>
          <w:sz w:val="18"/>
        </w:rPr>
        <w:t> </w:t>
      </w:r>
      <w:r>
        <w:rPr>
          <w:sz w:val="18"/>
        </w:rPr>
        <w:t>Act</w:t>
      </w:r>
      <w:r>
        <w:rPr>
          <w:spacing w:val="-5"/>
          <w:sz w:val="18"/>
        </w:rPr>
        <w:t> </w:t>
      </w:r>
      <w:r>
        <w:rPr>
          <w:sz w:val="18"/>
        </w:rPr>
        <w:t>1998,</w:t>
      </w:r>
      <w:r>
        <w:rPr>
          <w:spacing w:val="-5"/>
          <w:sz w:val="18"/>
        </w:rPr>
        <w:t> </w:t>
      </w:r>
      <w:r>
        <w:rPr>
          <w:color w:val="1D71B8"/>
          <w:sz w:val="18"/>
          <w:u w:val="single" w:color="1D71B8"/>
        </w:rPr>
        <w:t>section</w:t>
      </w:r>
      <w:r>
        <w:rPr>
          <w:color w:val="1D71B8"/>
          <w:spacing w:val="-6"/>
          <w:sz w:val="18"/>
          <w:u w:val="single" w:color="1D71B8"/>
        </w:rPr>
        <w:t> </w:t>
      </w:r>
      <w:r>
        <w:rPr>
          <w:color w:val="1D71B8"/>
          <w:sz w:val="18"/>
          <w:u w:val="single" w:color="1D71B8"/>
        </w:rPr>
        <w:t>78A(3)</w:t>
      </w:r>
      <w:r>
        <w:rPr>
          <w:color w:val="1D71B8"/>
          <w:spacing w:val="-5"/>
          <w:sz w:val="18"/>
          <w:u w:val="none"/>
        </w:rPr>
        <w:t> </w:t>
      </w:r>
      <w:r>
        <w:rPr>
          <w:sz w:val="18"/>
          <w:u w:val="none"/>
        </w:rPr>
        <w:t>and</w:t>
      </w:r>
      <w:r>
        <w:rPr>
          <w:spacing w:val="-5"/>
          <w:sz w:val="18"/>
          <w:u w:val="none"/>
        </w:rPr>
        <w:t> </w:t>
      </w:r>
      <w:r>
        <w:rPr>
          <w:color w:val="1D71B8"/>
          <w:sz w:val="18"/>
          <w:u w:val="single" w:color="1D71B8"/>
        </w:rPr>
        <w:t>section</w:t>
      </w:r>
      <w:r>
        <w:rPr>
          <w:color w:val="1D71B8"/>
          <w:spacing w:val="-6"/>
          <w:sz w:val="18"/>
          <w:u w:val="single" w:color="1D71B8"/>
        </w:rPr>
        <w:t> </w:t>
      </w:r>
      <w:r>
        <w:rPr>
          <w:color w:val="1D71B8"/>
          <w:spacing w:val="-2"/>
          <w:sz w:val="18"/>
          <w:u w:val="single" w:color="1D71B8"/>
        </w:rPr>
        <w:t>78B(3).</w:t>
      </w:r>
    </w:p>
    <w:p>
      <w:pPr>
        <w:pStyle w:val="ListParagraph"/>
        <w:numPr>
          <w:ilvl w:val="0"/>
          <w:numId w:val="9"/>
        </w:numPr>
        <w:tabs>
          <w:tab w:pos="1287" w:val="left" w:leader="none"/>
        </w:tabs>
        <w:spacing w:line="240" w:lineRule="auto" w:before="0" w:after="0"/>
        <w:ind w:left="1287" w:right="0" w:hanging="567"/>
        <w:jc w:val="left"/>
        <w:rPr>
          <w:sz w:val="18"/>
        </w:rPr>
      </w:pPr>
      <w:r>
        <w:rPr>
          <w:sz w:val="18"/>
        </w:rPr>
        <w:t>Northern</w:t>
      </w:r>
      <w:r>
        <w:rPr>
          <w:spacing w:val="-7"/>
          <w:sz w:val="18"/>
        </w:rPr>
        <w:t> </w:t>
      </w:r>
      <w:r>
        <w:rPr>
          <w:sz w:val="18"/>
        </w:rPr>
        <w:t>Ireland</w:t>
      </w:r>
      <w:r>
        <w:rPr>
          <w:spacing w:val="-6"/>
          <w:sz w:val="18"/>
        </w:rPr>
        <w:t> </w:t>
      </w:r>
      <w:r>
        <w:rPr>
          <w:sz w:val="18"/>
        </w:rPr>
        <w:t>Act</w:t>
      </w:r>
      <w:r>
        <w:rPr>
          <w:spacing w:val="-5"/>
          <w:sz w:val="18"/>
        </w:rPr>
        <w:t> </w:t>
      </w:r>
      <w:r>
        <w:rPr>
          <w:sz w:val="18"/>
        </w:rPr>
        <w:t>1998,</w:t>
      </w:r>
      <w:r>
        <w:rPr>
          <w:spacing w:val="-5"/>
          <w:sz w:val="18"/>
        </w:rPr>
        <w:t> </w:t>
      </w:r>
      <w:r>
        <w:rPr>
          <w:color w:val="1D71B8"/>
          <w:sz w:val="18"/>
          <w:u w:val="single" w:color="1D71B8"/>
        </w:rPr>
        <w:t>section</w:t>
      </w:r>
      <w:r>
        <w:rPr>
          <w:color w:val="1D71B8"/>
          <w:spacing w:val="-6"/>
          <w:sz w:val="18"/>
          <w:u w:val="single" w:color="1D71B8"/>
        </w:rPr>
        <w:t> </w:t>
      </w:r>
      <w:r>
        <w:rPr>
          <w:color w:val="1D71B8"/>
          <w:sz w:val="18"/>
          <w:u w:val="single" w:color="1D71B8"/>
        </w:rPr>
        <w:t>78A(9)</w:t>
      </w:r>
      <w:r>
        <w:rPr>
          <w:color w:val="1D71B8"/>
          <w:spacing w:val="-5"/>
          <w:sz w:val="18"/>
          <w:u w:val="none"/>
        </w:rPr>
        <w:t> </w:t>
      </w:r>
      <w:r>
        <w:rPr>
          <w:sz w:val="18"/>
          <w:u w:val="none"/>
        </w:rPr>
        <w:t>and</w:t>
      </w:r>
      <w:r>
        <w:rPr>
          <w:spacing w:val="-5"/>
          <w:sz w:val="18"/>
          <w:u w:val="none"/>
        </w:rPr>
        <w:t> </w:t>
      </w:r>
      <w:r>
        <w:rPr>
          <w:color w:val="1D71B8"/>
          <w:sz w:val="18"/>
          <w:u w:val="single" w:color="1D71B8"/>
        </w:rPr>
        <w:t>section</w:t>
      </w:r>
      <w:r>
        <w:rPr>
          <w:color w:val="1D71B8"/>
          <w:spacing w:val="-6"/>
          <w:sz w:val="18"/>
          <w:u w:val="single" w:color="1D71B8"/>
        </w:rPr>
        <w:t> </w:t>
      </w:r>
      <w:r>
        <w:rPr>
          <w:color w:val="1D71B8"/>
          <w:spacing w:val="-2"/>
          <w:sz w:val="18"/>
          <w:u w:val="single" w:color="1D71B8"/>
        </w:rPr>
        <w:t>78B(9).</w:t>
      </w:r>
    </w:p>
    <w:p>
      <w:pPr>
        <w:pStyle w:val="ListParagraph"/>
        <w:numPr>
          <w:ilvl w:val="0"/>
          <w:numId w:val="9"/>
        </w:numPr>
        <w:tabs>
          <w:tab w:pos="1287" w:val="left" w:leader="none"/>
        </w:tabs>
        <w:spacing w:line="240" w:lineRule="auto" w:before="0" w:after="0"/>
        <w:ind w:left="1287" w:right="0" w:hanging="567"/>
        <w:jc w:val="left"/>
        <w:rPr>
          <w:sz w:val="18"/>
        </w:rPr>
      </w:pPr>
      <w:r>
        <w:rPr>
          <w:sz w:val="18"/>
        </w:rPr>
        <w:t>Northern</w:t>
      </w:r>
      <w:r>
        <w:rPr>
          <w:spacing w:val="-6"/>
          <w:sz w:val="18"/>
        </w:rPr>
        <w:t> </w:t>
      </w:r>
      <w:r>
        <w:rPr>
          <w:sz w:val="18"/>
        </w:rPr>
        <w:t>Ireland</w:t>
      </w:r>
      <w:r>
        <w:rPr>
          <w:spacing w:val="-6"/>
          <w:sz w:val="18"/>
        </w:rPr>
        <w:t> </w:t>
      </w:r>
      <w:r>
        <w:rPr>
          <w:sz w:val="18"/>
        </w:rPr>
        <w:t>Act</w:t>
      </w:r>
      <w:r>
        <w:rPr>
          <w:spacing w:val="-4"/>
          <w:sz w:val="18"/>
        </w:rPr>
        <w:t> </w:t>
      </w:r>
      <w:r>
        <w:rPr>
          <w:sz w:val="18"/>
        </w:rPr>
        <w:t>1998,</w:t>
      </w:r>
      <w:r>
        <w:rPr>
          <w:spacing w:val="-5"/>
          <w:sz w:val="18"/>
        </w:rPr>
        <w:t> </w:t>
      </w:r>
      <w:r>
        <w:rPr>
          <w:color w:val="1D71B8"/>
          <w:sz w:val="18"/>
          <w:u w:val="single" w:color="1D71B8"/>
        </w:rPr>
        <w:t>section</w:t>
      </w:r>
      <w:r>
        <w:rPr>
          <w:color w:val="1D71B8"/>
          <w:spacing w:val="-6"/>
          <w:sz w:val="18"/>
          <w:u w:val="single" w:color="1D71B8"/>
        </w:rPr>
        <w:t> </w:t>
      </w:r>
      <w:r>
        <w:rPr>
          <w:color w:val="1D71B8"/>
          <w:spacing w:val="-4"/>
          <w:sz w:val="18"/>
          <w:u w:val="single" w:color="1D71B8"/>
        </w:rPr>
        <w:t>78C</w:t>
      </w:r>
      <w:r>
        <w:rPr>
          <w:spacing w:val="-4"/>
          <w:sz w:val="18"/>
          <w:u w:val="none"/>
        </w:rPr>
        <w:t>.</w:t>
      </w:r>
    </w:p>
    <w:p>
      <w:pPr>
        <w:pStyle w:val="ListParagraph"/>
        <w:numPr>
          <w:ilvl w:val="0"/>
          <w:numId w:val="9"/>
        </w:numPr>
        <w:tabs>
          <w:tab w:pos="1287" w:val="left" w:leader="none"/>
        </w:tabs>
        <w:spacing w:line="240" w:lineRule="auto" w:before="1" w:after="0"/>
        <w:ind w:left="1287" w:right="0" w:hanging="567"/>
        <w:jc w:val="left"/>
        <w:rPr>
          <w:sz w:val="18"/>
        </w:rPr>
      </w:pPr>
      <w:r>
        <w:rPr>
          <w:sz w:val="18"/>
        </w:rPr>
        <w:t>Northern</w:t>
      </w:r>
      <w:r>
        <w:rPr>
          <w:spacing w:val="-6"/>
          <w:sz w:val="18"/>
        </w:rPr>
        <w:t> </w:t>
      </w:r>
      <w:r>
        <w:rPr>
          <w:sz w:val="18"/>
        </w:rPr>
        <w:t>Ireland</w:t>
      </w:r>
      <w:r>
        <w:rPr>
          <w:spacing w:val="-6"/>
          <w:sz w:val="18"/>
        </w:rPr>
        <w:t> </w:t>
      </w:r>
      <w:r>
        <w:rPr>
          <w:sz w:val="18"/>
        </w:rPr>
        <w:t>Act</w:t>
      </w:r>
      <w:r>
        <w:rPr>
          <w:spacing w:val="-4"/>
          <w:sz w:val="18"/>
        </w:rPr>
        <w:t> </w:t>
      </w:r>
      <w:r>
        <w:rPr>
          <w:sz w:val="18"/>
        </w:rPr>
        <w:t>1998,</w:t>
      </w:r>
      <w:r>
        <w:rPr>
          <w:spacing w:val="-5"/>
          <w:sz w:val="18"/>
        </w:rPr>
        <w:t> </w:t>
      </w:r>
      <w:r>
        <w:rPr>
          <w:color w:val="1D71B8"/>
          <w:sz w:val="18"/>
          <w:u w:val="single" w:color="1D71B8"/>
        </w:rPr>
        <w:t>section</w:t>
      </w:r>
      <w:r>
        <w:rPr>
          <w:color w:val="1D71B8"/>
          <w:spacing w:val="-6"/>
          <w:sz w:val="18"/>
          <w:u w:val="single" w:color="1D71B8"/>
        </w:rPr>
        <w:t> </w:t>
      </w:r>
      <w:r>
        <w:rPr>
          <w:color w:val="1D71B8"/>
          <w:spacing w:val="-4"/>
          <w:sz w:val="18"/>
          <w:u w:val="single" w:color="1D71B8"/>
        </w:rPr>
        <w:t>78D</w:t>
      </w:r>
      <w:r>
        <w:rPr>
          <w:spacing w:val="-4"/>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spacing w:val="-2"/>
          <w:sz w:val="18"/>
        </w:rPr>
        <w:t>Northern</w:t>
      </w:r>
      <w:r>
        <w:rPr>
          <w:spacing w:val="6"/>
          <w:sz w:val="18"/>
        </w:rPr>
        <w:t> </w:t>
      </w:r>
      <w:r>
        <w:rPr>
          <w:spacing w:val="-2"/>
          <w:sz w:val="18"/>
        </w:rPr>
        <w:t>Ireland</w:t>
      </w:r>
      <w:r>
        <w:rPr>
          <w:spacing w:val="6"/>
          <w:sz w:val="18"/>
        </w:rPr>
        <w:t> </w:t>
      </w:r>
      <w:r>
        <w:rPr>
          <w:spacing w:val="-2"/>
          <w:sz w:val="18"/>
        </w:rPr>
        <w:t>Act</w:t>
      </w:r>
      <w:r>
        <w:rPr>
          <w:spacing w:val="8"/>
          <w:sz w:val="18"/>
        </w:rPr>
        <w:t> </w:t>
      </w:r>
      <w:r>
        <w:rPr>
          <w:spacing w:val="-2"/>
          <w:sz w:val="18"/>
        </w:rPr>
        <w:t>1998,</w:t>
      </w:r>
      <w:r>
        <w:rPr>
          <w:spacing w:val="8"/>
          <w:sz w:val="18"/>
        </w:rPr>
        <w:t> </w:t>
      </w:r>
      <w:r>
        <w:rPr>
          <w:color w:val="1D71B8"/>
          <w:spacing w:val="-2"/>
          <w:sz w:val="18"/>
          <w:u w:val="single" w:color="1D71B8"/>
        </w:rPr>
        <w:t>section78A(7)-(8)</w:t>
      </w:r>
      <w:r>
        <w:rPr>
          <w:color w:val="1D71B8"/>
          <w:spacing w:val="8"/>
          <w:sz w:val="18"/>
          <w:u w:val="none"/>
        </w:rPr>
        <w:t> </w:t>
      </w:r>
      <w:r>
        <w:rPr>
          <w:spacing w:val="-2"/>
          <w:sz w:val="18"/>
          <w:u w:val="none"/>
        </w:rPr>
        <w:t>and</w:t>
      </w:r>
      <w:r>
        <w:rPr>
          <w:spacing w:val="7"/>
          <w:sz w:val="18"/>
          <w:u w:val="none"/>
        </w:rPr>
        <w:t> </w:t>
      </w:r>
      <w:r>
        <w:rPr>
          <w:color w:val="1D71B8"/>
          <w:spacing w:val="-2"/>
          <w:sz w:val="18"/>
          <w:u w:val="single" w:color="1D71B8"/>
        </w:rPr>
        <w:t>section78B(7)-</w:t>
      </w:r>
      <w:r>
        <w:rPr>
          <w:color w:val="1D71B8"/>
          <w:spacing w:val="-4"/>
          <w:sz w:val="18"/>
          <w:u w:val="single" w:color="1D71B8"/>
        </w:rPr>
        <w:t>(8)</w:t>
      </w:r>
      <w:r>
        <w:rPr>
          <w:spacing w:val="-4"/>
          <w:sz w:val="18"/>
          <w:u w:val="none"/>
        </w:rPr>
        <w:t>.</w:t>
      </w:r>
    </w:p>
    <w:p>
      <w:pPr>
        <w:pStyle w:val="ListParagraph"/>
        <w:numPr>
          <w:ilvl w:val="0"/>
          <w:numId w:val="9"/>
        </w:numPr>
        <w:tabs>
          <w:tab w:pos="1287" w:val="left" w:leader="none"/>
        </w:tabs>
        <w:spacing w:line="240" w:lineRule="auto" w:before="0" w:after="0"/>
        <w:ind w:left="1287" w:right="1226" w:hanging="567"/>
        <w:jc w:val="left"/>
        <w:rPr>
          <w:sz w:val="18"/>
        </w:rPr>
      </w:pPr>
      <w:r>
        <w:rPr>
          <w:sz w:val="18"/>
        </w:rPr>
        <w:t>The</w:t>
      </w:r>
      <w:r>
        <w:rPr>
          <w:spacing w:val="-5"/>
          <w:sz w:val="18"/>
        </w:rPr>
        <w:t> </w:t>
      </w:r>
      <w:r>
        <w:rPr>
          <w:sz w:val="18"/>
        </w:rPr>
        <w:t>Specialised</w:t>
      </w:r>
      <w:r>
        <w:rPr>
          <w:spacing w:val="-6"/>
          <w:sz w:val="18"/>
        </w:rPr>
        <w:t> </w:t>
      </w:r>
      <w:r>
        <w:rPr>
          <w:sz w:val="18"/>
        </w:rPr>
        <w:t>Committee</w:t>
      </w:r>
      <w:r>
        <w:rPr>
          <w:spacing w:val="-6"/>
          <w:sz w:val="18"/>
        </w:rPr>
        <w:t> </w:t>
      </w:r>
      <w:r>
        <w:rPr>
          <w:sz w:val="18"/>
        </w:rPr>
        <w:t>is</w:t>
      </w:r>
      <w:r>
        <w:rPr>
          <w:spacing w:val="-6"/>
          <w:sz w:val="18"/>
        </w:rPr>
        <w:t> </w:t>
      </w:r>
      <w:r>
        <w:rPr>
          <w:sz w:val="18"/>
        </w:rPr>
        <w:t>established</w:t>
      </w:r>
      <w:r>
        <w:rPr>
          <w:spacing w:val="-6"/>
          <w:sz w:val="18"/>
        </w:rPr>
        <w:t> </w:t>
      </w:r>
      <w:r>
        <w:rPr>
          <w:sz w:val="18"/>
        </w:rPr>
        <w:t>by</w:t>
      </w:r>
      <w:r>
        <w:rPr>
          <w:spacing w:val="-5"/>
          <w:sz w:val="18"/>
        </w:rPr>
        <w:t> </w:t>
      </w:r>
      <w:r>
        <w:rPr>
          <w:sz w:val="18"/>
        </w:rPr>
        <w:t>Article</w:t>
      </w:r>
      <w:r>
        <w:rPr>
          <w:spacing w:val="-5"/>
          <w:sz w:val="18"/>
        </w:rPr>
        <w:t> </w:t>
      </w:r>
      <w:r>
        <w:rPr>
          <w:sz w:val="18"/>
        </w:rPr>
        <w:t>165</w:t>
      </w:r>
      <w:r>
        <w:rPr>
          <w:spacing w:val="-5"/>
          <w:sz w:val="18"/>
        </w:rPr>
        <w:t> </w:t>
      </w:r>
      <w:r>
        <w:rPr>
          <w:sz w:val="18"/>
        </w:rPr>
        <w:t>of</w:t>
      </w:r>
      <w:r>
        <w:rPr>
          <w:spacing w:val="-6"/>
          <w:sz w:val="18"/>
        </w:rPr>
        <w:t> </w:t>
      </w:r>
      <w:r>
        <w:rPr>
          <w:sz w:val="18"/>
        </w:rPr>
        <w:t>the</w:t>
      </w:r>
      <w:r>
        <w:rPr>
          <w:spacing w:val="-6"/>
          <w:sz w:val="18"/>
        </w:rPr>
        <w:t> </w:t>
      </w:r>
      <w:r>
        <w:rPr>
          <w:sz w:val="18"/>
        </w:rPr>
        <w:t>Withdrawal</w:t>
      </w:r>
      <w:r>
        <w:rPr>
          <w:spacing w:val="-6"/>
          <w:sz w:val="18"/>
        </w:rPr>
        <w:t> </w:t>
      </w:r>
      <w:r>
        <w:rPr>
          <w:sz w:val="18"/>
        </w:rPr>
        <w:t>Agreement</w:t>
      </w:r>
      <w:r>
        <w:rPr>
          <w:spacing w:val="-5"/>
          <w:sz w:val="18"/>
        </w:rPr>
        <w:t> </w:t>
      </w:r>
      <w:r>
        <w:rPr>
          <w:sz w:val="18"/>
        </w:rPr>
        <w:t>and</w:t>
      </w:r>
      <w:r>
        <w:rPr>
          <w:spacing w:val="-6"/>
          <w:sz w:val="18"/>
        </w:rPr>
        <w:t> </w:t>
      </w:r>
      <w:r>
        <w:rPr>
          <w:sz w:val="18"/>
        </w:rPr>
        <w:t>facilitates</w:t>
      </w:r>
      <w:r>
        <w:rPr>
          <w:spacing w:val="-6"/>
          <w:sz w:val="18"/>
        </w:rPr>
        <w:t> </w:t>
      </w:r>
      <w:r>
        <w:rPr>
          <w:sz w:val="18"/>
        </w:rPr>
        <w:t>the</w:t>
      </w:r>
      <w:r>
        <w:rPr>
          <w:spacing w:val="-5"/>
          <w:sz w:val="18"/>
        </w:rPr>
        <w:t> </w:t>
      </w:r>
      <w:r>
        <w:rPr>
          <w:sz w:val="18"/>
        </w:rPr>
        <w:t>implementation and application of the WF; it can make recommendations to the Joint Committee.</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790080">
                <wp:simplePos x="0" y="0"/>
                <wp:positionH relativeFrom="page">
                  <wp:posOffset>-2</wp:posOffset>
                </wp:positionH>
                <wp:positionV relativeFrom="page">
                  <wp:posOffset>0</wp:posOffset>
                </wp:positionV>
                <wp:extent cx="7560309" cy="1257935"/>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7560309" cy="1257935"/>
                          <a:chExt cx="7560309" cy="1257935"/>
                        </a:xfrm>
                      </wpg:grpSpPr>
                      <wps:wsp>
                        <wps:cNvPr id="325" name="Graphic 325"/>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326" name="Graphic 326"/>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327" name="Textbox 327"/>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328" name="Textbox 328"/>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27</w:t>
                              </w:r>
                            </w:p>
                          </w:txbxContent>
                        </wps:txbx>
                        <wps:bodyPr wrap="square" lIns="0" tIns="0" rIns="0" bIns="0" rtlCol="0">
                          <a:noAutofit/>
                        </wps:bodyPr>
                      </wps:wsp>
                      <wps:wsp>
                        <wps:cNvPr id="329" name="Textbox 329"/>
                        <wps:cNvSpPr txBox="1"/>
                        <wps:spPr>
                          <a:xfrm>
                            <a:off x="900001" y="1076402"/>
                            <a:ext cx="5788025" cy="181610"/>
                          </a:xfrm>
                          <a:prstGeom prst="rect">
                            <a:avLst/>
                          </a:prstGeom>
                        </wps:spPr>
                        <wps:txbx>
                          <w:txbxContent>
                            <w:p>
                              <w:pPr>
                                <w:spacing w:line="286" w:lineRule="exact" w:before="0"/>
                                <w:ind w:left="0" w:right="0" w:firstLine="0"/>
                                <w:jc w:val="left"/>
                                <w:rPr>
                                  <w:sz w:val="28"/>
                                </w:rPr>
                              </w:pPr>
                              <w:r>
                                <w:rPr>
                                  <w:sz w:val="28"/>
                                </w:rPr>
                                <w:t>In</w:t>
                              </w:r>
                              <w:r>
                                <w:rPr>
                                  <w:spacing w:val="-10"/>
                                  <w:sz w:val="28"/>
                                </w:rPr>
                                <w:t> </w:t>
                              </w:r>
                              <w:r>
                                <w:rPr>
                                  <w:sz w:val="28"/>
                                </w:rPr>
                                <w:t>this</w:t>
                              </w:r>
                              <w:r>
                                <w:rPr>
                                  <w:spacing w:val="-9"/>
                                  <w:sz w:val="28"/>
                                </w:rPr>
                                <w:t> </w:t>
                              </w:r>
                              <w:r>
                                <w:rPr>
                                  <w:sz w:val="28"/>
                                </w:rPr>
                                <w:t>regard</w:t>
                              </w:r>
                              <w:r>
                                <w:rPr>
                                  <w:spacing w:val="-9"/>
                                  <w:sz w:val="28"/>
                                </w:rPr>
                                <w:t> </w:t>
                              </w:r>
                              <w:r>
                                <w:rPr>
                                  <w:sz w:val="28"/>
                                </w:rPr>
                                <w:t>the</w:t>
                              </w:r>
                              <w:r>
                                <w:rPr>
                                  <w:spacing w:val="-9"/>
                                  <w:sz w:val="28"/>
                                </w:rPr>
                                <w:t> </w:t>
                              </w:r>
                              <w:r>
                                <w:rPr>
                                  <w:sz w:val="28"/>
                                </w:rPr>
                                <w:t>Commissions</w:t>
                              </w:r>
                              <w:r>
                                <w:rPr>
                                  <w:spacing w:val="-9"/>
                                  <w:sz w:val="28"/>
                                </w:rPr>
                                <w:t> </w:t>
                              </w:r>
                              <w:r>
                                <w:rPr>
                                  <w:sz w:val="28"/>
                                </w:rPr>
                                <w:t>have</w:t>
                              </w:r>
                              <w:r>
                                <w:rPr>
                                  <w:spacing w:val="-9"/>
                                  <w:sz w:val="28"/>
                                </w:rPr>
                                <w:t> </w:t>
                              </w:r>
                              <w:r>
                                <w:rPr>
                                  <w:sz w:val="28"/>
                                </w:rPr>
                                <w:t>already</w:t>
                              </w:r>
                              <w:r>
                                <w:rPr>
                                  <w:spacing w:val="-8"/>
                                  <w:sz w:val="28"/>
                                </w:rPr>
                                <w:t> </w:t>
                              </w:r>
                              <w:r>
                                <w:rPr>
                                  <w:sz w:val="28"/>
                                </w:rPr>
                                <w:t>published</w:t>
                              </w:r>
                              <w:r>
                                <w:rPr>
                                  <w:spacing w:val="-9"/>
                                  <w:sz w:val="28"/>
                                </w:rPr>
                                <w:t> </w:t>
                              </w:r>
                              <w:r>
                                <w:rPr>
                                  <w:sz w:val="28"/>
                                </w:rPr>
                                <w:t>several</w:t>
                              </w:r>
                              <w:r>
                                <w:rPr>
                                  <w:spacing w:val="-10"/>
                                  <w:sz w:val="28"/>
                                </w:rPr>
                                <w:t> </w:t>
                              </w:r>
                              <w:r>
                                <w:rPr>
                                  <w:sz w:val="28"/>
                                </w:rPr>
                                <w:t>reports</w:t>
                              </w:r>
                              <w:r>
                                <w:rPr>
                                  <w:sz w:val="28"/>
                                  <w:vertAlign w:val="superscript"/>
                                </w:rPr>
                                <w:t>88</w:t>
                              </w:r>
                              <w:r>
                                <w:rPr>
                                  <w:spacing w:val="-9"/>
                                  <w:sz w:val="28"/>
                                  <w:vertAlign w:val="baseline"/>
                                </w:rPr>
                                <w:t> </w:t>
                              </w:r>
                              <w:r>
                                <w:rPr>
                                  <w:spacing w:val="-2"/>
                                  <w:sz w:val="28"/>
                                  <w:vertAlign w:val="baseline"/>
                                </w:rPr>
                                <w:t>relevant</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790080" id="docshapegroup255" coordorigin="0,0" coordsize="11906,1981">
                <v:shape style="position:absolute;left:0;top:0;width:11906;height:1819" id="docshape256"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257"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258" filled="false" stroked="false">
                  <v:textbox inset="0,0,0,0">
                    <w:txbxContent>
                      <w:p>
                        <w:pPr>
                          <w:spacing w:line="280" w:lineRule="exact" w:before="0"/>
                          <w:ind w:left="0" w:right="0" w:firstLine="0"/>
                          <w:jc w:val="left"/>
                          <w:rPr>
                            <w:b/>
                            <w:sz w:val="28"/>
                          </w:rPr>
                        </w:pPr>
                        <w:r>
                          <w:rPr>
                            <w:b/>
                            <w:color w:val="FFFFFF"/>
                            <w:spacing w:val="-5"/>
                            <w:sz w:val="28"/>
                          </w:rPr>
                          <w:t>27</w:t>
                        </w:r>
                      </w:p>
                    </w:txbxContent>
                  </v:textbox>
                  <w10:wrap type="none"/>
                </v:shape>
                <v:shape style="position:absolute;left:1417;top:1695;width:9115;height:286" type="#_x0000_t202" id="docshape259" filled="false" stroked="false">
                  <v:textbox inset="0,0,0,0">
                    <w:txbxContent>
                      <w:p>
                        <w:pPr>
                          <w:spacing w:line="286" w:lineRule="exact" w:before="0"/>
                          <w:ind w:left="0" w:right="0" w:firstLine="0"/>
                          <w:jc w:val="left"/>
                          <w:rPr>
                            <w:sz w:val="28"/>
                          </w:rPr>
                        </w:pPr>
                        <w:r>
                          <w:rPr>
                            <w:sz w:val="28"/>
                          </w:rPr>
                          <w:t>In</w:t>
                        </w:r>
                        <w:r>
                          <w:rPr>
                            <w:spacing w:val="-10"/>
                            <w:sz w:val="28"/>
                          </w:rPr>
                          <w:t> </w:t>
                        </w:r>
                        <w:r>
                          <w:rPr>
                            <w:sz w:val="28"/>
                          </w:rPr>
                          <w:t>this</w:t>
                        </w:r>
                        <w:r>
                          <w:rPr>
                            <w:spacing w:val="-9"/>
                            <w:sz w:val="28"/>
                          </w:rPr>
                          <w:t> </w:t>
                        </w:r>
                        <w:r>
                          <w:rPr>
                            <w:sz w:val="28"/>
                          </w:rPr>
                          <w:t>regard</w:t>
                        </w:r>
                        <w:r>
                          <w:rPr>
                            <w:spacing w:val="-9"/>
                            <w:sz w:val="28"/>
                          </w:rPr>
                          <w:t> </w:t>
                        </w:r>
                        <w:r>
                          <w:rPr>
                            <w:sz w:val="28"/>
                          </w:rPr>
                          <w:t>the</w:t>
                        </w:r>
                        <w:r>
                          <w:rPr>
                            <w:spacing w:val="-9"/>
                            <w:sz w:val="28"/>
                          </w:rPr>
                          <w:t> </w:t>
                        </w:r>
                        <w:r>
                          <w:rPr>
                            <w:sz w:val="28"/>
                          </w:rPr>
                          <w:t>Commissions</w:t>
                        </w:r>
                        <w:r>
                          <w:rPr>
                            <w:spacing w:val="-9"/>
                            <w:sz w:val="28"/>
                          </w:rPr>
                          <w:t> </w:t>
                        </w:r>
                        <w:r>
                          <w:rPr>
                            <w:sz w:val="28"/>
                          </w:rPr>
                          <w:t>have</w:t>
                        </w:r>
                        <w:r>
                          <w:rPr>
                            <w:spacing w:val="-9"/>
                            <w:sz w:val="28"/>
                          </w:rPr>
                          <w:t> </w:t>
                        </w:r>
                        <w:r>
                          <w:rPr>
                            <w:sz w:val="28"/>
                          </w:rPr>
                          <w:t>already</w:t>
                        </w:r>
                        <w:r>
                          <w:rPr>
                            <w:spacing w:val="-8"/>
                            <w:sz w:val="28"/>
                          </w:rPr>
                          <w:t> </w:t>
                        </w:r>
                        <w:r>
                          <w:rPr>
                            <w:sz w:val="28"/>
                          </w:rPr>
                          <w:t>published</w:t>
                        </w:r>
                        <w:r>
                          <w:rPr>
                            <w:spacing w:val="-9"/>
                            <w:sz w:val="28"/>
                          </w:rPr>
                          <w:t> </w:t>
                        </w:r>
                        <w:r>
                          <w:rPr>
                            <w:sz w:val="28"/>
                          </w:rPr>
                          <w:t>several</w:t>
                        </w:r>
                        <w:r>
                          <w:rPr>
                            <w:spacing w:val="-10"/>
                            <w:sz w:val="28"/>
                          </w:rPr>
                          <w:t> </w:t>
                        </w:r>
                        <w:r>
                          <w:rPr>
                            <w:sz w:val="28"/>
                          </w:rPr>
                          <w:t>reports</w:t>
                        </w:r>
                        <w:r>
                          <w:rPr>
                            <w:sz w:val="28"/>
                            <w:vertAlign w:val="superscript"/>
                          </w:rPr>
                          <w:t>88</w:t>
                        </w:r>
                        <w:r>
                          <w:rPr>
                            <w:spacing w:val="-9"/>
                            <w:sz w:val="28"/>
                            <w:vertAlign w:val="baseline"/>
                          </w:rPr>
                          <w:t> </w:t>
                        </w:r>
                        <w:r>
                          <w:rPr>
                            <w:spacing w:val="-2"/>
                            <w:sz w:val="28"/>
                            <w:vertAlign w:val="baseline"/>
                          </w:rPr>
                          <w:t>relevant</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right="888"/>
      </w:pPr>
      <w:bookmarkStart w:name="1.2.7 Equivalence and Divergence" w:id="40"/>
      <w:bookmarkEnd w:id="40"/>
      <w:r>
        <w:rPr/>
      </w:r>
      <w:bookmarkStart w:name="_bookmark17" w:id="41"/>
      <w:bookmarkEnd w:id="41"/>
      <w:r>
        <w:rPr/>
      </w:r>
      <w:r>
        <w:rPr/>
        <w:t>to the scope of this report and have worked closely with the Irish Human Rights and Equality Commission.</w:t>
      </w:r>
      <w:r>
        <w:rPr>
          <w:vertAlign w:val="superscript"/>
        </w:rPr>
        <w:t>89</w:t>
      </w:r>
      <w:r>
        <w:rPr>
          <w:vertAlign w:val="baseline"/>
        </w:rPr>
        <w:t> These reports have stressed the issue of equivalence (see</w:t>
      </w:r>
      <w:r>
        <w:rPr>
          <w:spacing w:val="-5"/>
          <w:vertAlign w:val="baseline"/>
        </w:rPr>
        <w:t> </w:t>
      </w:r>
      <w:r>
        <w:rPr>
          <w:vertAlign w:val="baseline"/>
        </w:rPr>
        <w:t>below</w:t>
      </w:r>
      <w:r>
        <w:rPr>
          <w:spacing w:val="-5"/>
          <w:vertAlign w:val="baseline"/>
        </w:rPr>
        <w:t> </w:t>
      </w:r>
      <w:r>
        <w:rPr>
          <w:vertAlign w:val="baseline"/>
        </w:rPr>
        <w:t>1.2.7).</w:t>
      </w:r>
      <w:r>
        <w:rPr>
          <w:spacing w:val="-6"/>
          <w:vertAlign w:val="baseline"/>
        </w:rPr>
        <w:t> </w:t>
      </w:r>
      <w:r>
        <w:rPr>
          <w:vertAlign w:val="baseline"/>
        </w:rPr>
        <w:t>They</w:t>
      </w:r>
      <w:r>
        <w:rPr>
          <w:spacing w:val="-5"/>
          <w:vertAlign w:val="baseline"/>
        </w:rPr>
        <w:t> </w:t>
      </w:r>
      <w:r>
        <w:rPr>
          <w:vertAlign w:val="baseline"/>
        </w:rPr>
        <w:t>have</w:t>
      </w:r>
      <w:r>
        <w:rPr>
          <w:spacing w:val="-5"/>
          <w:vertAlign w:val="baseline"/>
        </w:rPr>
        <w:t> </w:t>
      </w:r>
      <w:r>
        <w:rPr>
          <w:vertAlign w:val="baseline"/>
        </w:rPr>
        <w:t>also</w:t>
      </w:r>
      <w:r>
        <w:rPr>
          <w:spacing w:val="-6"/>
          <w:vertAlign w:val="baseline"/>
        </w:rPr>
        <w:t> </w:t>
      </w:r>
      <w:r>
        <w:rPr>
          <w:vertAlign w:val="baseline"/>
        </w:rPr>
        <w:t>developed</w:t>
      </w:r>
      <w:r>
        <w:rPr>
          <w:spacing w:val="-6"/>
          <w:vertAlign w:val="baseline"/>
        </w:rPr>
        <w:t> </w:t>
      </w:r>
      <w:r>
        <w:rPr>
          <w:vertAlign w:val="baseline"/>
        </w:rPr>
        <w:t>important</w:t>
      </w:r>
      <w:r>
        <w:rPr>
          <w:spacing w:val="-5"/>
          <w:vertAlign w:val="baseline"/>
        </w:rPr>
        <w:t> </w:t>
      </w:r>
      <w:r>
        <w:rPr>
          <w:vertAlign w:val="baseline"/>
        </w:rPr>
        <w:t>arguments</w:t>
      </w:r>
      <w:r>
        <w:rPr>
          <w:spacing w:val="-6"/>
          <w:vertAlign w:val="baseline"/>
        </w:rPr>
        <w:t> </w:t>
      </w:r>
      <w:r>
        <w:rPr>
          <w:vertAlign w:val="baseline"/>
        </w:rPr>
        <w:t>on</w:t>
      </w:r>
      <w:r>
        <w:rPr>
          <w:spacing w:val="-6"/>
          <w:vertAlign w:val="baseline"/>
        </w:rPr>
        <w:t> </w:t>
      </w:r>
      <w:r>
        <w:rPr>
          <w:vertAlign w:val="baseline"/>
        </w:rPr>
        <w:t>the</w:t>
      </w:r>
      <w:r>
        <w:rPr>
          <w:spacing w:val="-5"/>
          <w:vertAlign w:val="baseline"/>
        </w:rPr>
        <w:t> </w:t>
      </w:r>
      <w:r>
        <w:rPr>
          <w:vertAlign w:val="baseline"/>
        </w:rPr>
        <w:t>scope</w:t>
      </w:r>
      <w:r>
        <w:rPr>
          <w:spacing w:val="-5"/>
          <w:vertAlign w:val="baseline"/>
        </w:rPr>
        <w:t> </w:t>
      </w:r>
      <w:r>
        <w:rPr>
          <w:vertAlign w:val="baseline"/>
        </w:rPr>
        <w:t>of Article 2 WF (see below 1.2.8).</w:t>
      </w:r>
    </w:p>
    <w:p>
      <w:pPr>
        <w:pStyle w:val="BodyText"/>
        <w:spacing w:before="51"/>
      </w:pPr>
    </w:p>
    <w:p>
      <w:pPr>
        <w:pStyle w:val="Heading3"/>
        <w:ind w:left="1117" w:firstLine="0"/>
      </w:pPr>
      <w:r>
        <w:rPr>
          <w:color w:val="004A93"/>
        </w:rPr>
        <w:t>1.2.7</w:t>
      </w:r>
      <w:r>
        <w:rPr>
          <w:color w:val="004A93"/>
          <w:spacing w:val="-7"/>
        </w:rPr>
        <w:t> </w:t>
      </w:r>
      <w:r>
        <w:rPr>
          <w:color w:val="004A93"/>
        </w:rPr>
        <w:t>Equivalence</w:t>
      </w:r>
      <w:r>
        <w:rPr>
          <w:color w:val="004A93"/>
          <w:spacing w:val="-6"/>
        </w:rPr>
        <w:t> </w:t>
      </w:r>
      <w:r>
        <w:rPr>
          <w:color w:val="004A93"/>
        </w:rPr>
        <w:t>and</w:t>
      </w:r>
      <w:r>
        <w:rPr>
          <w:color w:val="004A93"/>
          <w:spacing w:val="-6"/>
        </w:rPr>
        <w:t> </w:t>
      </w:r>
      <w:r>
        <w:rPr>
          <w:color w:val="004A93"/>
          <w:spacing w:val="-2"/>
        </w:rPr>
        <w:t>Divergence</w:t>
      </w:r>
    </w:p>
    <w:p>
      <w:pPr>
        <w:pStyle w:val="BodyText"/>
        <w:spacing w:line="232" w:lineRule="auto" w:before="2"/>
        <w:ind w:left="1117" w:right="738"/>
      </w:pPr>
      <w:r>
        <w:rPr>
          <w:spacing w:val="-2"/>
        </w:rPr>
        <w:t>On</w:t>
      </w:r>
      <w:r>
        <w:rPr>
          <w:spacing w:val="-11"/>
        </w:rPr>
        <w:t> </w:t>
      </w:r>
      <w:r>
        <w:rPr>
          <w:spacing w:val="-2"/>
        </w:rPr>
        <w:t>equivalence,</w:t>
      </w:r>
      <w:r>
        <w:rPr>
          <w:spacing w:val="-11"/>
        </w:rPr>
        <w:t> </w:t>
      </w:r>
      <w:r>
        <w:rPr>
          <w:spacing w:val="-2"/>
        </w:rPr>
        <w:t>the</w:t>
      </w:r>
      <w:r>
        <w:rPr>
          <w:spacing w:val="-11"/>
        </w:rPr>
        <w:t> </w:t>
      </w:r>
      <w:r>
        <w:rPr>
          <w:spacing w:val="-2"/>
        </w:rPr>
        <w:t>Commissions</w:t>
      </w:r>
      <w:r>
        <w:rPr>
          <w:spacing w:val="-11"/>
        </w:rPr>
        <w:t> </w:t>
      </w:r>
      <w:r>
        <w:rPr>
          <w:spacing w:val="-2"/>
        </w:rPr>
        <w:t>have</w:t>
      </w:r>
      <w:r>
        <w:rPr>
          <w:spacing w:val="-11"/>
        </w:rPr>
        <w:t> </w:t>
      </w:r>
      <w:r>
        <w:rPr>
          <w:spacing w:val="-2"/>
        </w:rPr>
        <w:t>expressed</w:t>
      </w:r>
      <w:r>
        <w:rPr>
          <w:spacing w:val="-11"/>
        </w:rPr>
        <w:t> </w:t>
      </w:r>
      <w:r>
        <w:rPr>
          <w:spacing w:val="-2"/>
        </w:rPr>
        <w:t>the</w:t>
      </w:r>
      <w:r>
        <w:rPr>
          <w:spacing w:val="-11"/>
        </w:rPr>
        <w:t> </w:t>
      </w:r>
      <w:r>
        <w:rPr>
          <w:spacing w:val="-2"/>
        </w:rPr>
        <w:t>view</w:t>
      </w:r>
      <w:r>
        <w:rPr>
          <w:spacing w:val="-11"/>
        </w:rPr>
        <w:t> </w:t>
      </w:r>
      <w:r>
        <w:rPr>
          <w:spacing w:val="-2"/>
        </w:rPr>
        <w:t>that</w:t>
      </w:r>
      <w:r>
        <w:rPr>
          <w:spacing w:val="-11"/>
        </w:rPr>
        <w:t> </w:t>
      </w:r>
      <w:r>
        <w:rPr>
          <w:spacing w:val="-2"/>
        </w:rPr>
        <w:t>the</w:t>
      </w:r>
      <w:r>
        <w:rPr>
          <w:spacing w:val="-11"/>
        </w:rPr>
        <w:t> </w:t>
      </w:r>
      <w:r>
        <w:rPr>
          <w:spacing w:val="-2"/>
        </w:rPr>
        <w:t>1998</w:t>
      </w:r>
      <w:r>
        <w:rPr>
          <w:spacing w:val="-11"/>
        </w:rPr>
        <w:t> </w:t>
      </w:r>
      <w:r>
        <w:rPr>
          <w:spacing w:val="-2"/>
        </w:rPr>
        <w:t>Agreement includes</w:t>
      </w:r>
      <w:r>
        <w:rPr>
          <w:spacing w:val="-11"/>
        </w:rPr>
        <w:t> </w:t>
      </w:r>
      <w:r>
        <w:rPr>
          <w:spacing w:val="-2"/>
        </w:rPr>
        <w:t>a</w:t>
      </w:r>
      <w:r>
        <w:rPr>
          <w:spacing w:val="-11"/>
        </w:rPr>
        <w:t> </w:t>
      </w:r>
      <w:r>
        <w:rPr>
          <w:spacing w:val="-2"/>
        </w:rPr>
        <w:t>‘broad</w:t>
      </w:r>
      <w:r>
        <w:rPr>
          <w:spacing w:val="-11"/>
        </w:rPr>
        <w:t> </w:t>
      </w:r>
      <w:r>
        <w:rPr>
          <w:spacing w:val="-2"/>
        </w:rPr>
        <w:t>expectation</w:t>
      </w:r>
      <w:r>
        <w:rPr>
          <w:spacing w:val="-11"/>
        </w:rPr>
        <w:t> </w:t>
      </w:r>
      <w:r>
        <w:rPr>
          <w:spacing w:val="-2"/>
        </w:rPr>
        <w:t>of</w:t>
      </w:r>
      <w:r>
        <w:rPr>
          <w:spacing w:val="-11"/>
        </w:rPr>
        <w:t> </w:t>
      </w:r>
      <w:r>
        <w:rPr>
          <w:spacing w:val="-2"/>
        </w:rPr>
        <w:t>equivalence</w:t>
      </w:r>
      <w:r>
        <w:rPr>
          <w:spacing w:val="-11"/>
        </w:rPr>
        <w:t> </w:t>
      </w:r>
      <w:r>
        <w:rPr>
          <w:spacing w:val="-2"/>
        </w:rPr>
        <w:t>in</w:t>
      </w:r>
      <w:r>
        <w:rPr>
          <w:spacing w:val="-11"/>
        </w:rPr>
        <w:t> </w:t>
      </w:r>
      <w:r>
        <w:rPr>
          <w:spacing w:val="-2"/>
        </w:rPr>
        <w:t>rights</w:t>
      </w:r>
      <w:r>
        <w:rPr>
          <w:spacing w:val="-11"/>
        </w:rPr>
        <w:t> </w:t>
      </w:r>
      <w:r>
        <w:rPr>
          <w:spacing w:val="-2"/>
        </w:rPr>
        <w:t>protection</w:t>
      </w:r>
      <w:r>
        <w:rPr>
          <w:spacing w:val="-11"/>
        </w:rPr>
        <w:t> </w:t>
      </w:r>
      <w:r>
        <w:rPr>
          <w:spacing w:val="-2"/>
        </w:rPr>
        <w:t>in</w:t>
      </w:r>
      <w:r>
        <w:rPr>
          <w:spacing w:val="-11"/>
        </w:rPr>
        <w:t> </w:t>
      </w:r>
      <w:r>
        <w:rPr>
          <w:spacing w:val="-2"/>
        </w:rPr>
        <w:t>Ireland</w:t>
      </w:r>
      <w:r>
        <w:rPr>
          <w:spacing w:val="-11"/>
        </w:rPr>
        <w:t> </w:t>
      </w:r>
      <w:r>
        <w:rPr>
          <w:spacing w:val="-2"/>
        </w:rPr>
        <w:t>as</w:t>
      </w:r>
      <w:r>
        <w:rPr>
          <w:spacing w:val="-11"/>
        </w:rPr>
        <w:t> </w:t>
      </w:r>
      <w:r>
        <w:rPr>
          <w:spacing w:val="-2"/>
        </w:rPr>
        <w:t>in</w:t>
      </w:r>
      <w:r>
        <w:rPr>
          <w:spacing w:val="-11"/>
        </w:rPr>
        <w:t> </w:t>
      </w:r>
      <w:r>
        <w:rPr>
          <w:spacing w:val="-2"/>
        </w:rPr>
        <w:t>NI’.</w:t>
      </w:r>
      <w:r>
        <w:rPr>
          <w:spacing w:val="-2"/>
          <w:vertAlign w:val="superscript"/>
        </w:rPr>
        <w:t>90</w:t>
      </w:r>
      <w:r>
        <w:rPr>
          <w:spacing w:val="-2"/>
          <w:vertAlign w:val="baseline"/>
        </w:rPr>
        <w:t> </w:t>
      </w:r>
      <w:r>
        <w:rPr>
          <w:vertAlign w:val="baseline"/>
        </w:rPr>
        <w:t>The</w:t>
      </w:r>
      <w:r>
        <w:rPr>
          <w:spacing w:val="-7"/>
          <w:vertAlign w:val="baseline"/>
        </w:rPr>
        <w:t> </w:t>
      </w:r>
      <w:r>
        <w:rPr>
          <w:vertAlign w:val="baseline"/>
        </w:rPr>
        <w:t>principle</w:t>
      </w:r>
      <w:r>
        <w:rPr>
          <w:spacing w:val="-7"/>
          <w:vertAlign w:val="baseline"/>
        </w:rPr>
        <w:t> </w:t>
      </w:r>
      <w:r>
        <w:rPr>
          <w:vertAlign w:val="baseline"/>
        </w:rPr>
        <w:t>of</w:t>
      </w:r>
      <w:r>
        <w:rPr>
          <w:spacing w:val="-7"/>
          <w:vertAlign w:val="baseline"/>
        </w:rPr>
        <w:t> </w:t>
      </w:r>
      <w:r>
        <w:rPr>
          <w:vertAlign w:val="baseline"/>
        </w:rPr>
        <w:t>equivalence</w:t>
      </w:r>
      <w:r>
        <w:rPr>
          <w:spacing w:val="-7"/>
          <w:vertAlign w:val="baseline"/>
        </w:rPr>
        <w:t> </w:t>
      </w:r>
      <w:r>
        <w:rPr>
          <w:vertAlign w:val="baseline"/>
        </w:rPr>
        <w:t>is</w:t>
      </w:r>
      <w:r>
        <w:rPr>
          <w:spacing w:val="-7"/>
          <w:vertAlign w:val="baseline"/>
        </w:rPr>
        <w:t> </w:t>
      </w:r>
      <w:r>
        <w:rPr>
          <w:vertAlign w:val="baseline"/>
        </w:rPr>
        <w:t>important</w:t>
      </w:r>
      <w:r>
        <w:rPr>
          <w:spacing w:val="-7"/>
          <w:vertAlign w:val="baseline"/>
        </w:rPr>
        <w:t> </w:t>
      </w:r>
      <w:r>
        <w:rPr>
          <w:vertAlign w:val="baseline"/>
        </w:rPr>
        <w:t>to</w:t>
      </w:r>
      <w:r>
        <w:rPr>
          <w:spacing w:val="-7"/>
          <w:vertAlign w:val="baseline"/>
        </w:rPr>
        <w:t> </w:t>
      </w:r>
      <w:r>
        <w:rPr>
          <w:vertAlign w:val="baseline"/>
        </w:rPr>
        <w:t>ensure</w:t>
      </w:r>
      <w:r>
        <w:rPr>
          <w:spacing w:val="-7"/>
          <w:vertAlign w:val="baseline"/>
        </w:rPr>
        <w:t> </w:t>
      </w:r>
      <w:r>
        <w:rPr>
          <w:vertAlign w:val="baseline"/>
        </w:rPr>
        <w:t>there</w:t>
      </w:r>
      <w:r>
        <w:rPr>
          <w:spacing w:val="-7"/>
          <w:vertAlign w:val="baseline"/>
        </w:rPr>
        <w:t> </w:t>
      </w:r>
      <w:r>
        <w:rPr>
          <w:vertAlign w:val="baseline"/>
        </w:rPr>
        <w:t>is</w:t>
      </w:r>
      <w:r>
        <w:rPr>
          <w:spacing w:val="-7"/>
          <w:vertAlign w:val="baseline"/>
        </w:rPr>
        <w:t> </w:t>
      </w:r>
      <w:r>
        <w:rPr>
          <w:vertAlign w:val="baseline"/>
        </w:rPr>
        <w:t>no</w:t>
      </w:r>
      <w:r>
        <w:rPr>
          <w:spacing w:val="-7"/>
          <w:vertAlign w:val="baseline"/>
        </w:rPr>
        <w:t> </w:t>
      </w:r>
      <w:r>
        <w:rPr>
          <w:vertAlign w:val="baseline"/>
        </w:rPr>
        <w:t>diminution</w:t>
      </w:r>
      <w:r>
        <w:rPr>
          <w:spacing w:val="-7"/>
          <w:vertAlign w:val="baseline"/>
        </w:rPr>
        <w:t> </w:t>
      </w:r>
      <w:r>
        <w:rPr>
          <w:vertAlign w:val="baseline"/>
        </w:rPr>
        <w:t>of</w:t>
      </w:r>
      <w:r>
        <w:rPr>
          <w:spacing w:val="-7"/>
          <w:vertAlign w:val="baseline"/>
        </w:rPr>
        <w:t> </w:t>
      </w:r>
      <w:r>
        <w:rPr>
          <w:vertAlign w:val="baseline"/>
        </w:rPr>
        <w:t>rights</w:t>
      </w:r>
      <w:r>
        <w:rPr>
          <w:vertAlign w:val="baseline"/>
        </w:rPr>
        <w:t> in</w:t>
      </w:r>
      <w:r>
        <w:rPr>
          <w:spacing w:val="-10"/>
          <w:vertAlign w:val="baseline"/>
        </w:rPr>
        <w:t> </w:t>
      </w:r>
      <w:r>
        <w:rPr>
          <w:vertAlign w:val="baseline"/>
        </w:rPr>
        <w:t>Northern</w:t>
      </w:r>
      <w:r>
        <w:rPr>
          <w:spacing w:val="-10"/>
          <w:vertAlign w:val="baseline"/>
        </w:rPr>
        <w:t> </w:t>
      </w:r>
      <w:r>
        <w:rPr>
          <w:vertAlign w:val="baseline"/>
        </w:rPr>
        <w:t>Ireland</w:t>
      </w:r>
      <w:r>
        <w:rPr>
          <w:spacing w:val="-10"/>
          <w:vertAlign w:val="baseline"/>
        </w:rPr>
        <w:t> </w:t>
      </w:r>
      <w:r>
        <w:rPr>
          <w:vertAlign w:val="baseline"/>
        </w:rPr>
        <w:t>and</w:t>
      </w:r>
      <w:r>
        <w:rPr>
          <w:spacing w:val="-10"/>
          <w:vertAlign w:val="baseline"/>
        </w:rPr>
        <w:t> </w:t>
      </w:r>
      <w:r>
        <w:rPr>
          <w:vertAlign w:val="baseline"/>
        </w:rPr>
        <w:t>to</w:t>
      </w:r>
      <w:r>
        <w:rPr>
          <w:spacing w:val="-10"/>
          <w:vertAlign w:val="baseline"/>
        </w:rPr>
        <w:t> </w:t>
      </w:r>
      <w:r>
        <w:rPr>
          <w:vertAlign w:val="baseline"/>
        </w:rPr>
        <w:t>ensure</w:t>
      </w:r>
      <w:r>
        <w:rPr>
          <w:spacing w:val="-10"/>
          <w:vertAlign w:val="baseline"/>
        </w:rPr>
        <w:t> </w:t>
      </w:r>
      <w:r>
        <w:rPr>
          <w:vertAlign w:val="baseline"/>
        </w:rPr>
        <w:t>‘continual</w:t>
      </w:r>
      <w:r>
        <w:rPr>
          <w:spacing w:val="-10"/>
          <w:vertAlign w:val="baseline"/>
        </w:rPr>
        <w:t> </w:t>
      </w:r>
      <w:r>
        <w:rPr>
          <w:vertAlign w:val="baseline"/>
        </w:rPr>
        <w:t>improvement’</w:t>
      </w:r>
      <w:r>
        <w:rPr>
          <w:spacing w:val="-10"/>
          <w:vertAlign w:val="baseline"/>
        </w:rPr>
        <w:t> </w:t>
      </w:r>
      <w:r>
        <w:rPr>
          <w:vertAlign w:val="baseline"/>
        </w:rPr>
        <w:t>in</w:t>
      </w:r>
      <w:r>
        <w:rPr>
          <w:spacing w:val="-10"/>
          <w:vertAlign w:val="baseline"/>
        </w:rPr>
        <w:t> </w:t>
      </w:r>
      <w:r>
        <w:rPr>
          <w:vertAlign w:val="baseline"/>
        </w:rPr>
        <w:t>human</w:t>
      </w:r>
      <w:r>
        <w:rPr>
          <w:spacing w:val="-10"/>
          <w:vertAlign w:val="baseline"/>
        </w:rPr>
        <w:t> </w:t>
      </w:r>
      <w:r>
        <w:rPr>
          <w:vertAlign w:val="baseline"/>
        </w:rPr>
        <w:t>rights</w:t>
      </w:r>
      <w:r>
        <w:rPr>
          <w:spacing w:val="-10"/>
          <w:vertAlign w:val="baseline"/>
        </w:rPr>
        <w:t> </w:t>
      </w:r>
      <w:r>
        <w:rPr>
          <w:vertAlign w:val="baseline"/>
        </w:rPr>
        <w:t>and equality</w:t>
      </w:r>
      <w:r>
        <w:rPr>
          <w:spacing w:val="-16"/>
          <w:vertAlign w:val="baseline"/>
        </w:rPr>
        <w:t> </w:t>
      </w:r>
      <w:r>
        <w:rPr>
          <w:vertAlign w:val="baseline"/>
        </w:rPr>
        <w:t>protections.</w:t>
      </w:r>
      <w:r>
        <w:rPr>
          <w:vertAlign w:val="superscript"/>
        </w:rPr>
        <w:t>91</w:t>
      </w:r>
      <w:r>
        <w:rPr>
          <w:spacing w:val="-16"/>
          <w:vertAlign w:val="baseline"/>
        </w:rPr>
        <w:t> </w:t>
      </w:r>
      <w:r>
        <w:rPr>
          <w:vertAlign w:val="baseline"/>
        </w:rPr>
        <w:t>This</w:t>
      </w:r>
      <w:r>
        <w:rPr>
          <w:spacing w:val="-16"/>
          <w:vertAlign w:val="baseline"/>
        </w:rPr>
        <w:t> </w:t>
      </w:r>
      <w:r>
        <w:rPr>
          <w:vertAlign w:val="baseline"/>
        </w:rPr>
        <w:t>should</w:t>
      </w:r>
      <w:r>
        <w:rPr>
          <w:spacing w:val="-16"/>
          <w:vertAlign w:val="baseline"/>
        </w:rPr>
        <w:t> </w:t>
      </w:r>
      <w:r>
        <w:rPr>
          <w:vertAlign w:val="baseline"/>
        </w:rPr>
        <w:t>‘reflect</w:t>
      </w:r>
      <w:r>
        <w:rPr>
          <w:spacing w:val="-16"/>
          <w:vertAlign w:val="baseline"/>
        </w:rPr>
        <w:t> </w:t>
      </w:r>
      <w:r>
        <w:rPr>
          <w:vertAlign w:val="baseline"/>
        </w:rPr>
        <w:t>international</w:t>
      </w:r>
      <w:r>
        <w:rPr>
          <w:spacing w:val="-15"/>
          <w:vertAlign w:val="baseline"/>
        </w:rPr>
        <w:t> </w:t>
      </w:r>
      <w:r>
        <w:rPr>
          <w:vertAlign w:val="baseline"/>
        </w:rPr>
        <w:t>human</w:t>
      </w:r>
      <w:r>
        <w:rPr>
          <w:spacing w:val="-16"/>
          <w:vertAlign w:val="baseline"/>
        </w:rPr>
        <w:t> </w:t>
      </w:r>
      <w:r>
        <w:rPr>
          <w:vertAlign w:val="baseline"/>
        </w:rPr>
        <w:t>rights</w:t>
      </w:r>
      <w:r>
        <w:rPr>
          <w:spacing w:val="-16"/>
          <w:vertAlign w:val="baseline"/>
        </w:rPr>
        <w:t> </w:t>
      </w:r>
      <w:r>
        <w:rPr>
          <w:vertAlign w:val="baseline"/>
        </w:rPr>
        <w:t>standards</w:t>
      </w:r>
      <w:r>
        <w:rPr>
          <w:spacing w:val="-16"/>
          <w:vertAlign w:val="baseline"/>
        </w:rPr>
        <w:t> </w:t>
      </w:r>
      <w:r>
        <w:rPr>
          <w:vertAlign w:val="baseline"/>
        </w:rPr>
        <w:t>and best</w:t>
      </w:r>
      <w:r>
        <w:rPr>
          <w:spacing w:val="-13"/>
          <w:vertAlign w:val="baseline"/>
        </w:rPr>
        <w:t> </w:t>
      </w:r>
      <w:r>
        <w:rPr>
          <w:vertAlign w:val="baseline"/>
        </w:rPr>
        <w:t>practice’.</w:t>
      </w:r>
      <w:r>
        <w:rPr>
          <w:vertAlign w:val="superscript"/>
        </w:rPr>
        <w:t>92</w:t>
      </w:r>
      <w:r>
        <w:rPr>
          <w:spacing w:val="-13"/>
          <w:vertAlign w:val="baseline"/>
        </w:rPr>
        <w:t> </w:t>
      </w:r>
      <w:r>
        <w:rPr>
          <w:vertAlign w:val="baseline"/>
        </w:rPr>
        <w:t>This</w:t>
      </w:r>
      <w:r>
        <w:rPr>
          <w:spacing w:val="-13"/>
          <w:vertAlign w:val="baseline"/>
        </w:rPr>
        <w:t> </w:t>
      </w:r>
      <w:r>
        <w:rPr>
          <w:vertAlign w:val="baseline"/>
        </w:rPr>
        <w:t>suggests</w:t>
      </w:r>
      <w:r>
        <w:rPr>
          <w:spacing w:val="-13"/>
          <w:vertAlign w:val="baseline"/>
        </w:rPr>
        <w:t> </w:t>
      </w:r>
      <w:r>
        <w:rPr>
          <w:vertAlign w:val="baseline"/>
        </w:rPr>
        <w:t>that</w:t>
      </w:r>
      <w:r>
        <w:rPr>
          <w:spacing w:val="-13"/>
          <w:vertAlign w:val="baseline"/>
        </w:rPr>
        <w:t> </w:t>
      </w:r>
      <w:r>
        <w:rPr>
          <w:vertAlign w:val="baseline"/>
        </w:rPr>
        <w:t>Northern</w:t>
      </w:r>
      <w:r>
        <w:rPr>
          <w:spacing w:val="-13"/>
          <w:vertAlign w:val="baseline"/>
        </w:rPr>
        <w:t> </w:t>
      </w:r>
      <w:r>
        <w:rPr>
          <w:vertAlign w:val="baseline"/>
        </w:rPr>
        <w:t>Ireland</w:t>
      </w:r>
      <w:r>
        <w:rPr>
          <w:spacing w:val="-13"/>
          <w:vertAlign w:val="baseline"/>
        </w:rPr>
        <w:t> </w:t>
      </w:r>
      <w:r>
        <w:rPr>
          <w:vertAlign w:val="baseline"/>
        </w:rPr>
        <w:t>should</w:t>
      </w:r>
      <w:r>
        <w:rPr>
          <w:spacing w:val="-13"/>
          <w:vertAlign w:val="baseline"/>
        </w:rPr>
        <w:t> </w:t>
      </w:r>
      <w:r>
        <w:rPr>
          <w:vertAlign w:val="baseline"/>
        </w:rPr>
        <w:t>keep</w:t>
      </w:r>
      <w:r>
        <w:rPr>
          <w:spacing w:val="-13"/>
          <w:vertAlign w:val="baseline"/>
        </w:rPr>
        <w:t> </w:t>
      </w:r>
      <w:r>
        <w:rPr>
          <w:vertAlign w:val="baseline"/>
        </w:rPr>
        <w:t>pace</w:t>
      </w:r>
      <w:r>
        <w:rPr>
          <w:spacing w:val="-13"/>
          <w:vertAlign w:val="baseline"/>
        </w:rPr>
        <w:t> </w:t>
      </w:r>
      <w:r>
        <w:rPr>
          <w:vertAlign w:val="baseline"/>
        </w:rPr>
        <w:t>with</w:t>
      </w:r>
      <w:r>
        <w:rPr>
          <w:spacing w:val="-13"/>
          <w:vertAlign w:val="baseline"/>
        </w:rPr>
        <w:t> </w:t>
      </w:r>
      <w:r>
        <w:rPr>
          <w:vertAlign w:val="baseline"/>
        </w:rPr>
        <w:t>changes to</w:t>
      </w:r>
      <w:r>
        <w:rPr>
          <w:spacing w:val="-9"/>
          <w:vertAlign w:val="baseline"/>
        </w:rPr>
        <w:t> </w:t>
      </w:r>
      <w:r>
        <w:rPr>
          <w:vertAlign w:val="baseline"/>
        </w:rPr>
        <w:t>EU</w:t>
      </w:r>
      <w:r>
        <w:rPr>
          <w:spacing w:val="-9"/>
          <w:vertAlign w:val="baseline"/>
        </w:rPr>
        <w:t> </w:t>
      </w:r>
      <w:r>
        <w:rPr>
          <w:vertAlign w:val="baseline"/>
        </w:rPr>
        <w:t>rights</w:t>
      </w:r>
      <w:r>
        <w:rPr>
          <w:spacing w:val="-9"/>
          <w:vertAlign w:val="baseline"/>
        </w:rPr>
        <w:t> </w:t>
      </w:r>
      <w:r>
        <w:rPr>
          <w:vertAlign w:val="baseline"/>
        </w:rPr>
        <w:t>and</w:t>
      </w:r>
      <w:r>
        <w:rPr>
          <w:spacing w:val="-9"/>
          <w:vertAlign w:val="baseline"/>
        </w:rPr>
        <w:t> </w:t>
      </w:r>
      <w:r>
        <w:rPr>
          <w:vertAlign w:val="baseline"/>
        </w:rPr>
        <w:t>equality</w:t>
      </w:r>
      <w:r>
        <w:rPr>
          <w:spacing w:val="-9"/>
          <w:vertAlign w:val="baseline"/>
        </w:rPr>
        <w:t> </w:t>
      </w:r>
      <w:r>
        <w:rPr>
          <w:vertAlign w:val="baseline"/>
        </w:rPr>
        <w:t>laws</w:t>
      </w:r>
      <w:r>
        <w:rPr>
          <w:spacing w:val="-9"/>
          <w:vertAlign w:val="baseline"/>
        </w:rPr>
        <w:t> </w:t>
      </w:r>
      <w:r>
        <w:rPr>
          <w:vertAlign w:val="baseline"/>
        </w:rPr>
        <w:t>that</w:t>
      </w:r>
      <w:r>
        <w:rPr>
          <w:spacing w:val="-9"/>
          <w:vertAlign w:val="baseline"/>
        </w:rPr>
        <w:t> </w:t>
      </w:r>
      <w:r>
        <w:rPr>
          <w:vertAlign w:val="baseline"/>
        </w:rPr>
        <w:t>strengthen</w:t>
      </w:r>
      <w:r>
        <w:rPr>
          <w:spacing w:val="-9"/>
          <w:vertAlign w:val="baseline"/>
        </w:rPr>
        <w:t> </w:t>
      </w:r>
      <w:r>
        <w:rPr>
          <w:vertAlign w:val="baseline"/>
        </w:rPr>
        <w:t>protections</w:t>
      </w:r>
      <w:r>
        <w:rPr>
          <w:spacing w:val="-9"/>
          <w:vertAlign w:val="baseline"/>
        </w:rPr>
        <w:t> </w:t>
      </w:r>
      <w:r>
        <w:rPr>
          <w:vertAlign w:val="baseline"/>
        </w:rPr>
        <w:t>even</w:t>
      </w:r>
      <w:r>
        <w:rPr>
          <w:spacing w:val="-9"/>
          <w:vertAlign w:val="baseline"/>
        </w:rPr>
        <w:t> </w:t>
      </w:r>
      <w:r>
        <w:rPr>
          <w:vertAlign w:val="baseline"/>
        </w:rPr>
        <w:t>outside</w:t>
      </w:r>
      <w:r>
        <w:rPr>
          <w:spacing w:val="-9"/>
          <w:vertAlign w:val="baseline"/>
        </w:rPr>
        <w:t> </w:t>
      </w:r>
      <w:r>
        <w:rPr>
          <w:vertAlign w:val="baseline"/>
        </w:rPr>
        <w:t>the</w:t>
      </w:r>
      <w:r>
        <w:rPr>
          <w:spacing w:val="-9"/>
          <w:vertAlign w:val="baseline"/>
        </w:rPr>
        <w:t> </w:t>
      </w:r>
      <w:r>
        <w:rPr>
          <w:vertAlign w:val="baseline"/>
        </w:rPr>
        <w:t>areas</w:t>
      </w:r>
    </w:p>
    <w:p>
      <w:pPr>
        <w:pStyle w:val="BodyText"/>
        <w:spacing w:line="232" w:lineRule="auto"/>
        <w:ind w:left="1117" w:right="950"/>
      </w:pPr>
      <w:r>
        <w:rPr/>
        <w:t>of</w:t>
      </w:r>
      <w:r>
        <w:rPr>
          <w:spacing w:val="-6"/>
        </w:rPr>
        <w:t> </w:t>
      </w:r>
      <w:r>
        <w:rPr/>
        <w:t>the</w:t>
      </w:r>
      <w:r>
        <w:rPr>
          <w:spacing w:val="-6"/>
        </w:rPr>
        <w:t> </w:t>
      </w:r>
      <w:r>
        <w:rPr/>
        <w:t>Annex</w:t>
      </w:r>
      <w:r>
        <w:rPr>
          <w:spacing w:val="-6"/>
        </w:rPr>
        <w:t> </w:t>
      </w:r>
      <w:r>
        <w:rPr/>
        <w:t>1</w:t>
      </w:r>
      <w:r>
        <w:rPr>
          <w:spacing w:val="-6"/>
        </w:rPr>
        <w:t> </w:t>
      </w:r>
      <w:r>
        <w:rPr/>
        <w:t>directives</w:t>
      </w:r>
      <w:r>
        <w:rPr>
          <w:spacing w:val="-6"/>
        </w:rPr>
        <w:t> </w:t>
      </w:r>
      <w:r>
        <w:rPr/>
        <w:t>and</w:t>
      </w:r>
      <w:r>
        <w:rPr>
          <w:spacing w:val="-6"/>
        </w:rPr>
        <w:t> </w:t>
      </w:r>
      <w:r>
        <w:rPr/>
        <w:t>that</w:t>
      </w:r>
      <w:r>
        <w:rPr>
          <w:spacing w:val="-6"/>
        </w:rPr>
        <w:t> </w:t>
      </w:r>
      <w:r>
        <w:rPr/>
        <w:t>the</w:t>
      </w:r>
      <w:r>
        <w:rPr>
          <w:spacing w:val="-6"/>
        </w:rPr>
        <w:t> </w:t>
      </w:r>
      <w:r>
        <w:rPr/>
        <w:t>jurisdictions</w:t>
      </w:r>
      <w:r>
        <w:rPr>
          <w:spacing w:val="-6"/>
        </w:rPr>
        <w:t> </w:t>
      </w:r>
      <w:r>
        <w:rPr/>
        <w:t>on</w:t>
      </w:r>
      <w:r>
        <w:rPr>
          <w:spacing w:val="-6"/>
        </w:rPr>
        <w:t> </w:t>
      </w:r>
      <w:r>
        <w:rPr/>
        <w:t>the</w:t>
      </w:r>
      <w:r>
        <w:rPr>
          <w:spacing w:val="-6"/>
        </w:rPr>
        <w:t> </w:t>
      </w:r>
      <w:r>
        <w:rPr/>
        <w:t>island</w:t>
      </w:r>
      <w:r>
        <w:rPr>
          <w:spacing w:val="-6"/>
        </w:rPr>
        <w:t> </w:t>
      </w:r>
      <w:r>
        <w:rPr/>
        <w:t>should</w:t>
      </w:r>
      <w:r>
        <w:rPr>
          <w:spacing w:val="-6"/>
        </w:rPr>
        <w:t> </w:t>
      </w:r>
      <w:r>
        <w:rPr/>
        <w:t>work</w:t>
      </w:r>
      <w:r>
        <w:rPr>
          <w:spacing w:val="-6"/>
        </w:rPr>
        <w:t> </w:t>
      </w:r>
      <w:r>
        <w:rPr/>
        <w:t>to </w:t>
      </w:r>
      <w:r>
        <w:rPr>
          <w:spacing w:val="-2"/>
        </w:rPr>
        <w:t>harmonise</w:t>
      </w:r>
      <w:r>
        <w:rPr>
          <w:spacing w:val="-13"/>
        </w:rPr>
        <w:t> </w:t>
      </w:r>
      <w:r>
        <w:rPr>
          <w:spacing w:val="-2"/>
        </w:rPr>
        <w:t>equality</w:t>
      </w:r>
      <w:r>
        <w:rPr>
          <w:spacing w:val="-13"/>
        </w:rPr>
        <w:t> </w:t>
      </w:r>
      <w:r>
        <w:rPr>
          <w:spacing w:val="-2"/>
        </w:rPr>
        <w:t>and</w:t>
      </w:r>
      <w:r>
        <w:rPr>
          <w:spacing w:val="-13"/>
        </w:rPr>
        <w:t> </w:t>
      </w:r>
      <w:r>
        <w:rPr>
          <w:spacing w:val="-2"/>
        </w:rPr>
        <w:t>human</w:t>
      </w:r>
      <w:r>
        <w:rPr>
          <w:spacing w:val="-13"/>
        </w:rPr>
        <w:t> </w:t>
      </w:r>
      <w:r>
        <w:rPr>
          <w:spacing w:val="-2"/>
        </w:rPr>
        <w:t>rights</w:t>
      </w:r>
      <w:r>
        <w:rPr>
          <w:spacing w:val="-13"/>
        </w:rPr>
        <w:t> </w:t>
      </w:r>
      <w:r>
        <w:rPr>
          <w:spacing w:val="-2"/>
        </w:rPr>
        <w:t>‘so</w:t>
      </w:r>
      <w:r>
        <w:rPr>
          <w:spacing w:val="-13"/>
        </w:rPr>
        <w:t> </w:t>
      </w:r>
      <w:r>
        <w:rPr>
          <w:spacing w:val="-2"/>
        </w:rPr>
        <w:t>as</w:t>
      </w:r>
      <w:r>
        <w:rPr>
          <w:spacing w:val="-13"/>
        </w:rPr>
        <w:t> </w:t>
      </w:r>
      <w:r>
        <w:rPr>
          <w:spacing w:val="-2"/>
        </w:rPr>
        <w:t>to</w:t>
      </w:r>
      <w:r>
        <w:rPr>
          <w:spacing w:val="-13"/>
        </w:rPr>
        <w:t> </w:t>
      </w:r>
      <w:r>
        <w:rPr>
          <w:spacing w:val="-2"/>
        </w:rPr>
        <w:t>strengthen</w:t>
      </w:r>
      <w:r>
        <w:rPr>
          <w:spacing w:val="-13"/>
        </w:rPr>
        <w:t> </w:t>
      </w:r>
      <w:r>
        <w:rPr>
          <w:spacing w:val="-2"/>
        </w:rPr>
        <w:t>protections’.</w:t>
      </w:r>
      <w:r>
        <w:rPr>
          <w:spacing w:val="-2"/>
          <w:vertAlign w:val="superscript"/>
        </w:rPr>
        <w:t>93</w:t>
      </w:r>
      <w:r>
        <w:rPr>
          <w:spacing w:val="-13"/>
          <w:vertAlign w:val="baseline"/>
        </w:rPr>
        <w:t> </w:t>
      </w:r>
      <w:r>
        <w:rPr>
          <w:spacing w:val="-2"/>
          <w:vertAlign w:val="baseline"/>
        </w:rPr>
        <w:t>It</w:t>
      </w:r>
      <w:r>
        <w:rPr>
          <w:spacing w:val="-13"/>
          <w:vertAlign w:val="baseline"/>
        </w:rPr>
        <w:t> </w:t>
      </w:r>
      <w:r>
        <w:rPr>
          <w:spacing w:val="-2"/>
          <w:vertAlign w:val="baseline"/>
        </w:rPr>
        <w:t>is</w:t>
      </w:r>
      <w:r>
        <w:rPr>
          <w:spacing w:val="-13"/>
          <w:vertAlign w:val="baseline"/>
        </w:rPr>
        <w:t> </w:t>
      </w:r>
      <w:r>
        <w:rPr>
          <w:spacing w:val="-2"/>
          <w:vertAlign w:val="baseline"/>
        </w:rPr>
        <w:t>worth </w:t>
      </w:r>
      <w:r>
        <w:rPr>
          <w:vertAlign w:val="baseline"/>
        </w:rPr>
        <w:t>emphasising</w:t>
      </w:r>
      <w:r>
        <w:rPr>
          <w:spacing w:val="-10"/>
          <w:vertAlign w:val="baseline"/>
        </w:rPr>
        <w:t> </w:t>
      </w:r>
      <w:r>
        <w:rPr>
          <w:vertAlign w:val="baseline"/>
        </w:rPr>
        <w:t>here</w:t>
      </w:r>
      <w:r>
        <w:rPr>
          <w:spacing w:val="-10"/>
          <w:vertAlign w:val="baseline"/>
        </w:rPr>
        <w:t> </w:t>
      </w:r>
      <w:r>
        <w:rPr>
          <w:vertAlign w:val="baseline"/>
        </w:rPr>
        <w:t>that</w:t>
      </w:r>
      <w:r>
        <w:rPr>
          <w:spacing w:val="-10"/>
          <w:vertAlign w:val="baseline"/>
        </w:rPr>
        <w:t> </w:t>
      </w:r>
      <w:r>
        <w:rPr>
          <w:vertAlign w:val="baseline"/>
        </w:rPr>
        <w:t>the</w:t>
      </w:r>
      <w:r>
        <w:rPr>
          <w:spacing w:val="-10"/>
          <w:vertAlign w:val="baseline"/>
        </w:rPr>
        <w:t> </w:t>
      </w:r>
      <w:r>
        <w:rPr>
          <w:vertAlign w:val="baseline"/>
        </w:rPr>
        <w:t>intention</w:t>
      </w:r>
      <w:r>
        <w:rPr>
          <w:spacing w:val="-10"/>
          <w:vertAlign w:val="baseline"/>
        </w:rPr>
        <w:t> </w:t>
      </w:r>
      <w:r>
        <w:rPr>
          <w:vertAlign w:val="baseline"/>
        </w:rPr>
        <w:t>should</w:t>
      </w:r>
      <w:r>
        <w:rPr>
          <w:spacing w:val="-10"/>
          <w:vertAlign w:val="baseline"/>
        </w:rPr>
        <w:t> </w:t>
      </w:r>
      <w:r>
        <w:rPr>
          <w:vertAlign w:val="baseline"/>
        </w:rPr>
        <w:t>be</w:t>
      </w:r>
      <w:r>
        <w:rPr>
          <w:spacing w:val="-10"/>
          <w:vertAlign w:val="baseline"/>
        </w:rPr>
        <w:t> </w:t>
      </w:r>
      <w:r>
        <w:rPr>
          <w:vertAlign w:val="baseline"/>
        </w:rPr>
        <w:t>to</w:t>
      </w:r>
      <w:r>
        <w:rPr>
          <w:spacing w:val="-10"/>
          <w:vertAlign w:val="baseline"/>
        </w:rPr>
        <w:t> </w:t>
      </w:r>
      <w:r>
        <w:rPr>
          <w:vertAlign w:val="baseline"/>
        </w:rPr>
        <w:t>strengthen</w:t>
      </w:r>
      <w:r>
        <w:rPr>
          <w:spacing w:val="-10"/>
          <w:vertAlign w:val="baseline"/>
        </w:rPr>
        <w:t> </w:t>
      </w:r>
      <w:r>
        <w:rPr>
          <w:vertAlign w:val="baseline"/>
        </w:rPr>
        <w:t>protections,</w:t>
      </w:r>
      <w:r>
        <w:rPr>
          <w:spacing w:val="-10"/>
          <w:vertAlign w:val="baseline"/>
        </w:rPr>
        <w:t> </w:t>
      </w:r>
      <w:r>
        <w:rPr>
          <w:vertAlign w:val="baseline"/>
        </w:rPr>
        <w:t>so</w:t>
      </w:r>
      <w:r>
        <w:rPr>
          <w:spacing w:val="-10"/>
          <w:vertAlign w:val="baseline"/>
        </w:rPr>
        <w:t> </w:t>
      </w:r>
      <w:r>
        <w:rPr>
          <w:vertAlign w:val="baseline"/>
        </w:rPr>
        <w:t>it</w:t>
      </w:r>
      <w:r>
        <w:rPr>
          <w:spacing w:val="-10"/>
          <w:vertAlign w:val="baseline"/>
        </w:rPr>
        <w:t> </w:t>
      </w:r>
      <w:r>
        <w:rPr>
          <w:vertAlign w:val="baseline"/>
        </w:rPr>
        <w:t>is</w:t>
      </w:r>
      <w:r>
        <w:rPr>
          <w:spacing w:val="-10"/>
          <w:vertAlign w:val="baseline"/>
        </w:rPr>
        <w:t> </w:t>
      </w:r>
      <w:r>
        <w:rPr>
          <w:vertAlign w:val="baseline"/>
        </w:rPr>
        <w:t>a matter</w:t>
      </w:r>
      <w:r>
        <w:rPr>
          <w:spacing w:val="-9"/>
          <w:vertAlign w:val="baseline"/>
        </w:rPr>
        <w:t> </w:t>
      </w:r>
      <w:r>
        <w:rPr>
          <w:vertAlign w:val="baseline"/>
        </w:rPr>
        <w:t>of</w:t>
      </w:r>
      <w:r>
        <w:rPr>
          <w:spacing w:val="-9"/>
          <w:vertAlign w:val="baseline"/>
        </w:rPr>
        <w:t> </w:t>
      </w:r>
      <w:r>
        <w:rPr>
          <w:vertAlign w:val="baseline"/>
        </w:rPr>
        <w:t>levelling</w:t>
      </w:r>
      <w:r>
        <w:rPr>
          <w:spacing w:val="-9"/>
          <w:vertAlign w:val="baseline"/>
        </w:rPr>
        <w:t> </w:t>
      </w:r>
      <w:r>
        <w:rPr>
          <w:vertAlign w:val="baseline"/>
        </w:rPr>
        <w:t>up</w:t>
      </w:r>
      <w:r>
        <w:rPr>
          <w:spacing w:val="-9"/>
          <w:vertAlign w:val="baseline"/>
        </w:rPr>
        <w:t> </w:t>
      </w:r>
      <w:r>
        <w:rPr>
          <w:vertAlign w:val="baseline"/>
        </w:rPr>
        <w:t>not</w:t>
      </w:r>
      <w:r>
        <w:rPr>
          <w:spacing w:val="-9"/>
          <w:vertAlign w:val="baseline"/>
        </w:rPr>
        <w:t> </w:t>
      </w:r>
      <w:r>
        <w:rPr>
          <w:vertAlign w:val="baseline"/>
        </w:rPr>
        <w:t>down.</w:t>
      </w:r>
      <w:r>
        <w:rPr>
          <w:spacing w:val="-9"/>
          <w:vertAlign w:val="baseline"/>
        </w:rPr>
        <w:t> </w:t>
      </w:r>
      <w:r>
        <w:rPr>
          <w:vertAlign w:val="baseline"/>
        </w:rPr>
        <w:t>The</w:t>
      </w:r>
      <w:r>
        <w:rPr>
          <w:spacing w:val="-9"/>
          <w:vertAlign w:val="baseline"/>
        </w:rPr>
        <w:t> </w:t>
      </w:r>
      <w:r>
        <w:rPr>
          <w:vertAlign w:val="baseline"/>
        </w:rPr>
        <w:t>Irish</w:t>
      </w:r>
      <w:r>
        <w:rPr>
          <w:spacing w:val="-9"/>
          <w:vertAlign w:val="baseline"/>
        </w:rPr>
        <w:t> </w:t>
      </w:r>
      <w:r>
        <w:rPr>
          <w:vertAlign w:val="baseline"/>
        </w:rPr>
        <w:t>Human</w:t>
      </w:r>
      <w:r>
        <w:rPr>
          <w:spacing w:val="-9"/>
          <w:vertAlign w:val="baseline"/>
        </w:rPr>
        <w:t> </w:t>
      </w:r>
      <w:r>
        <w:rPr>
          <w:vertAlign w:val="baseline"/>
        </w:rPr>
        <w:t>Rights</w:t>
      </w:r>
      <w:r>
        <w:rPr>
          <w:spacing w:val="-9"/>
          <w:vertAlign w:val="baseline"/>
        </w:rPr>
        <w:t> </w:t>
      </w:r>
      <w:r>
        <w:rPr>
          <w:vertAlign w:val="baseline"/>
        </w:rPr>
        <w:t>and</w:t>
      </w:r>
      <w:r>
        <w:rPr>
          <w:spacing w:val="-9"/>
          <w:vertAlign w:val="baseline"/>
        </w:rPr>
        <w:t> </w:t>
      </w:r>
      <w:r>
        <w:rPr>
          <w:vertAlign w:val="baseline"/>
        </w:rPr>
        <w:t>Equality</w:t>
      </w:r>
      <w:r>
        <w:rPr>
          <w:spacing w:val="-9"/>
          <w:vertAlign w:val="baseline"/>
        </w:rPr>
        <w:t> </w:t>
      </w:r>
      <w:r>
        <w:rPr>
          <w:vertAlign w:val="baseline"/>
        </w:rPr>
        <w:t>Commission has</w:t>
      </w:r>
      <w:r>
        <w:rPr>
          <w:spacing w:val="-9"/>
          <w:vertAlign w:val="baseline"/>
        </w:rPr>
        <w:t> </w:t>
      </w:r>
      <w:r>
        <w:rPr>
          <w:vertAlign w:val="baseline"/>
        </w:rPr>
        <w:t>published</w:t>
      </w:r>
      <w:r>
        <w:rPr>
          <w:spacing w:val="-9"/>
          <w:vertAlign w:val="baseline"/>
        </w:rPr>
        <w:t> </w:t>
      </w:r>
      <w:r>
        <w:rPr>
          <w:vertAlign w:val="baseline"/>
        </w:rPr>
        <w:t>details</w:t>
      </w:r>
      <w:r>
        <w:rPr>
          <w:spacing w:val="-9"/>
          <w:vertAlign w:val="baseline"/>
        </w:rPr>
        <w:t> </w:t>
      </w:r>
      <w:r>
        <w:rPr>
          <w:vertAlign w:val="baseline"/>
        </w:rPr>
        <w:t>of</w:t>
      </w:r>
      <w:r>
        <w:rPr>
          <w:spacing w:val="-9"/>
          <w:vertAlign w:val="baseline"/>
        </w:rPr>
        <w:t> </w:t>
      </w:r>
      <w:r>
        <w:rPr>
          <w:vertAlign w:val="baseline"/>
        </w:rPr>
        <w:t>its</w:t>
      </w:r>
      <w:r>
        <w:rPr>
          <w:spacing w:val="-9"/>
          <w:vertAlign w:val="baseline"/>
        </w:rPr>
        <w:t> </w:t>
      </w:r>
      <w:r>
        <w:rPr>
          <w:vertAlign w:val="baseline"/>
        </w:rPr>
        <w:t>survey</w:t>
      </w:r>
      <w:r>
        <w:rPr>
          <w:spacing w:val="-9"/>
          <w:vertAlign w:val="baseline"/>
        </w:rPr>
        <w:t> </w:t>
      </w:r>
      <w:r>
        <w:rPr>
          <w:vertAlign w:val="baseline"/>
        </w:rPr>
        <w:t>indicating</w:t>
      </w:r>
      <w:r>
        <w:rPr>
          <w:spacing w:val="-9"/>
          <w:vertAlign w:val="baseline"/>
        </w:rPr>
        <w:t> </w:t>
      </w:r>
      <w:r>
        <w:rPr>
          <w:vertAlign w:val="baseline"/>
        </w:rPr>
        <w:t>that</w:t>
      </w:r>
      <w:r>
        <w:rPr>
          <w:spacing w:val="-9"/>
          <w:vertAlign w:val="baseline"/>
        </w:rPr>
        <w:t> </w:t>
      </w:r>
      <w:r>
        <w:rPr>
          <w:vertAlign w:val="baseline"/>
        </w:rPr>
        <w:t>very</w:t>
      </w:r>
      <w:r>
        <w:rPr>
          <w:spacing w:val="-9"/>
          <w:vertAlign w:val="baseline"/>
        </w:rPr>
        <w:t> </w:t>
      </w:r>
      <w:r>
        <w:rPr>
          <w:vertAlign w:val="baseline"/>
        </w:rPr>
        <w:t>significant</w:t>
      </w:r>
      <w:r>
        <w:rPr>
          <w:spacing w:val="-9"/>
          <w:vertAlign w:val="baseline"/>
        </w:rPr>
        <w:t> </w:t>
      </w:r>
      <w:r>
        <w:rPr>
          <w:vertAlign w:val="baseline"/>
        </w:rPr>
        <w:t>majorities</w:t>
      </w:r>
      <w:r>
        <w:rPr>
          <w:spacing w:val="-9"/>
          <w:vertAlign w:val="baseline"/>
        </w:rPr>
        <w:t> </w:t>
      </w:r>
      <w:r>
        <w:rPr>
          <w:vertAlign w:val="baseline"/>
        </w:rPr>
        <w:t>(81%) in</w:t>
      </w:r>
      <w:r>
        <w:rPr>
          <w:spacing w:val="-6"/>
          <w:vertAlign w:val="baseline"/>
        </w:rPr>
        <w:t> </w:t>
      </w:r>
      <w:r>
        <w:rPr>
          <w:vertAlign w:val="baseline"/>
        </w:rPr>
        <w:t>Ireland</w:t>
      </w:r>
      <w:r>
        <w:rPr>
          <w:spacing w:val="-6"/>
          <w:vertAlign w:val="baseline"/>
        </w:rPr>
        <w:t> </w:t>
      </w:r>
      <w:r>
        <w:rPr>
          <w:vertAlign w:val="baseline"/>
        </w:rPr>
        <w:t>believe</w:t>
      </w:r>
      <w:r>
        <w:rPr>
          <w:spacing w:val="-6"/>
          <w:vertAlign w:val="baseline"/>
        </w:rPr>
        <w:t> </w:t>
      </w:r>
      <w:r>
        <w:rPr>
          <w:vertAlign w:val="baseline"/>
        </w:rPr>
        <w:t>it</w:t>
      </w:r>
      <w:r>
        <w:rPr>
          <w:spacing w:val="-6"/>
          <w:vertAlign w:val="baseline"/>
        </w:rPr>
        <w:t> </w:t>
      </w:r>
      <w:r>
        <w:rPr>
          <w:vertAlign w:val="baseline"/>
        </w:rPr>
        <w:t>is</w:t>
      </w:r>
      <w:r>
        <w:rPr>
          <w:spacing w:val="-6"/>
          <w:vertAlign w:val="baseline"/>
        </w:rPr>
        <w:t> </w:t>
      </w:r>
      <w:r>
        <w:rPr>
          <w:vertAlign w:val="baseline"/>
        </w:rPr>
        <w:t>important</w:t>
      </w:r>
      <w:r>
        <w:rPr>
          <w:spacing w:val="-6"/>
          <w:vertAlign w:val="baseline"/>
        </w:rPr>
        <w:t> </w:t>
      </w:r>
      <w:r>
        <w:rPr>
          <w:vertAlign w:val="baseline"/>
        </w:rPr>
        <w:t>(26%)</w:t>
      </w:r>
      <w:r>
        <w:rPr>
          <w:spacing w:val="-6"/>
          <w:vertAlign w:val="baseline"/>
        </w:rPr>
        <w:t> </w:t>
      </w:r>
      <w:r>
        <w:rPr>
          <w:vertAlign w:val="baseline"/>
        </w:rPr>
        <w:t>or</w:t>
      </w:r>
      <w:r>
        <w:rPr>
          <w:spacing w:val="-6"/>
          <w:vertAlign w:val="baseline"/>
        </w:rPr>
        <w:t> </w:t>
      </w:r>
      <w:r>
        <w:rPr>
          <w:vertAlign w:val="baseline"/>
        </w:rPr>
        <w:t>very</w:t>
      </w:r>
      <w:r>
        <w:rPr>
          <w:spacing w:val="-6"/>
          <w:vertAlign w:val="baseline"/>
        </w:rPr>
        <w:t> </w:t>
      </w:r>
      <w:r>
        <w:rPr>
          <w:vertAlign w:val="baseline"/>
        </w:rPr>
        <w:t>important</w:t>
      </w:r>
      <w:r>
        <w:rPr>
          <w:spacing w:val="-6"/>
          <w:vertAlign w:val="baseline"/>
        </w:rPr>
        <w:t> </w:t>
      </w:r>
      <w:r>
        <w:rPr>
          <w:vertAlign w:val="baseline"/>
        </w:rPr>
        <w:t>(55%)</w:t>
      </w:r>
      <w:r>
        <w:rPr>
          <w:spacing w:val="-6"/>
          <w:vertAlign w:val="baseline"/>
        </w:rPr>
        <w:t> </w:t>
      </w:r>
      <w:r>
        <w:rPr>
          <w:vertAlign w:val="baseline"/>
        </w:rPr>
        <w:t>that</w:t>
      </w:r>
      <w:r>
        <w:rPr>
          <w:spacing w:val="-6"/>
          <w:vertAlign w:val="baseline"/>
        </w:rPr>
        <w:t> </w:t>
      </w:r>
      <w:r>
        <w:rPr>
          <w:vertAlign w:val="baseline"/>
        </w:rPr>
        <w:t>there</w:t>
      </w:r>
      <w:r>
        <w:rPr>
          <w:spacing w:val="-6"/>
          <w:vertAlign w:val="baseline"/>
        </w:rPr>
        <w:t> </w:t>
      </w:r>
      <w:r>
        <w:rPr>
          <w:vertAlign w:val="baseline"/>
        </w:rPr>
        <w:t>be</w:t>
      </w:r>
      <w:r>
        <w:rPr>
          <w:spacing w:val="-6"/>
          <w:vertAlign w:val="baseline"/>
        </w:rPr>
        <w:t> </w:t>
      </w:r>
      <w:r>
        <w:rPr>
          <w:vertAlign w:val="baseline"/>
        </w:rPr>
        <w:t>an</w:t>
      </w:r>
    </w:p>
    <w:p>
      <w:pPr>
        <w:pStyle w:val="BodyText"/>
        <w:spacing w:line="232" w:lineRule="auto"/>
        <w:ind w:left="1117" w:right="738"/>
      </w:pPr>
      <w:r>
        <w:rPr>
          <w:spacing w:val="-2"/>
        </w:rPr>
        <w:t>equivalent</w:t>
      </w:r>
      <w:r>
        <w:rPr>
          <w:spacing w:val="-10"/>
        </w:rPr>
        <w:t> </w:t>
      </w:r>
      <w:r>
        <w:rPr>
          <w:spacing w:val="-2"/>
        </w:rPr>
        <w:t>level</w:t>
      </w:r>
      <w:r>
        <w:rPr>
          <w:spacing w:val="-10"/>
        </w:rPr>
        <w:t> </w:t>
      </w:r>
      <w:r>
        <w:rPr>
          <w:spacing w:val="-2"/>
        </w:rPr>
        <w:t>of</w:t>
      </w:r>
      <w:r>
        <w:rPr>
          <w:spacing w:val="-10"/>
        </w:rPr>
        <w:t> </w:t>
      </w:r>
      <w:r>
        <w:rPr>
          <w:spacing w:val="-2"/>
        </w:rPr>
        <w:t>protections</w:t>
      </w:r>
      <w:r>
        <w:rPr>
          <w:spacing w:val="-10"/>
        </w:rPr>
        <w:t> </w:t>
      </w:r>
      <w:r>
        <w:rPr>
          <w:spacing w:val="-2"/>
        </w:rPr>
        <w:t>of</w:t>
      </w:r>
      <w:r>
        <w:rPr>
          <w:spacing w:val="-10"/>
        </w:rPr>
        <w:t> </w:t>
      </w:r>
      <w:r>
        <w:rPr>
          <w:spacing w:val="-2"/>
        </w:rPr>
        <w:t>equality</w:t>
      </w:r>
      <w:r>
        <w:rPr>
          <w:spacing w:val="-10"/>
        </w:rPr>
        <w:t> </w:t>
      </w:r>
      <w:r>
        <w:rPr>
          <w:spacing w:val="-2"/>
        </w:rPr>
        <w:t>and</w:t>
      </w:r>
      <w:r>
        <w:rPr>
          <w:spacing w:val="-10"/>
        </w:rPr>
        <w:t> </w:t>
      </w:r>
      <w:r>
        <w:rPr>
          <w:spacing w:val="-2"/>
        </w:rPr>
        <w:t>human</w:t>
      </w:r>
      <w:r>
        <w:rPr>
          <w:spacing w:val="-10"/>
        </w:rPr>
        <w:t> </w:t>
      </w:r>
      <w:r>
        <w:rPr>
          <w:spacing w:val="-2"/>
        </w:rPr>
        <w:t>rights</w:t>
      </w:r>
      <w:r>
        <w:rPr>
          <w:spacing w:val="-10"/>
        </w:rPr>
        <w:t> </w:t>
      </w:r>
      <w:r>
        <w:rPr>
          <w:spacing w:val="-2"/>
        </w:rPr>
        <w:t>in</w:t>
      </w:r>
      <w:r>
        <w:rPr>
          <w:spacing w:val="-10"/>
        </w:rPr>
        <w:t> </w:t>
      </w:r>
      <w:r>
        <w:rPr>
          <w:spacing w:val="-2"/>
        </w:rPr>
        <w:t>Ireland</w:t>
      </w:r>
      <w:r>
        <w:rPr>
          <w:spacing w:val="-10"/>
        </w:rPr>
        <w:t> </w:t>
      </w:r>
      <w:r>
        <w:rPr>
          <w:spacing w:val="-2"/>
        </w:rPr>
        <w:t>and</w:t>
      </w:r>
      <w:r>
        <w:rPr>
          <w:spacing w:val="-10"/>
        </w:rPr>
        <w:t> </w:t>
      </w:r>
      <w:r>
        <w:rPr>
          <w:spacing w:val="-2"/>
        </w:rPr>
        <w:t>Northern </w:t>
      </w:r>
      <w:r>
        <w:rPr/>
        <w:t>Ireland,</w:t>
      </w:r>
      <w:r>
        <w:rPr>
          <w:spacing w:val="-6"/>
        </w:rPr>
        <w:t> </w:t>
      </w:r>
      <w:r>
        <w:rPr/>
        <w:t>and</w:t>
      </w:r>
      <w:r>
        <w:rPr>
          <w:spacing w:val="-6"/>
        </w:rPr>
        <w:t> </w:t>
      </w:r>
      <w:r>
        <w:rPr/>
        <w:t>agree</w:t>
      </w:r>
      <w:r>
        <w:rPr>
          <w:spacing w:val="-6"/>
        </w:rPr>
        <w:t> </w:t>
      </w:r>
      <w:r>
        <w:rPr/>
        <w:t>(37%)</w:t>
      </w:r>
      <w:r>
        <w:rPr>
          <w:spacing w:val="-6"/>
        </w:rPr>
        <w:t> </w:t>
      </w:r>
      <w:r>
        <w:rPr/>
        <w:t>or</w:t>
      </w:r>
      <w:r>
        <w:rPr>
          <w:spacing w:val="-6"/>
        </w:rPr>
        <w:t> </w:t>
      </w:r>
      <w:r>
        <w:rPr/>
        <w:t>strongly</w:t>
      </w:r>
      <w:r>
        <w:rPr>
          <w:spacing w:val="-6"/>
        </w:rPr>
        <w:t> </w:t>
      </w:r>
      <w:r>
        <w:rPr/>
        <w:t>agree</w:t>
      </w:r>
      <w:r>
        <w:rPr>
          <w:spacing w:val="-6"/>
        </w:rPr>
        <w:t> </w:t>
      </w:r>
      <w:r>
        <w:rPr/>
        <w:t>(39%)</w:t>
      </w:r>
      <w:r>
        <w:rPr>
          <w:spacing w:val="-6"/>
        </w:rPr>
        <w:t> </w:t>
      </w:r>
      <w:r>
        <w:rPr/>
        <w:t>that</w:t>
      </w:r>
      <w:r>
        <w:rPr>
          <w:spacing w:val="-6"/>
        </w:rPr>
        <w:t> </w:t>
      </w:r>
      <w:r>
        <w:rPr/>
        <w:t>more</w:t>
      </w:r>
      <w:r>
        <w:rPr>
          <w:spacing w:val="-6"/>
        </w:rPr>
        <w:t> </w:t>
      </w:r>
      <w:r>
        <w:rPr/>
        <w:t>should</w:t>
      </w:r>
      <w:r>
        <w:rPr>
          <w:spacing w:val="-6"/>
        </w:rPr>
        <w:t> </w:t>
      </w:r>
      <w:r>
        <w:rPr/>
        <w:t>be</w:t>
      </w:r>
      <w:r>
        <w:rPr>
          <w:spacing w:val="-6"/>
        </w:rPr>
        <w:t> </w:t>
      </w:r>
      <w:r>
        <w:rPr/>
        <w:t>done</w:t>
      </w:r>
      <w:r>
        <w:rPr>
          <w:spacing w:val="-6"/>
        </w:rPr>
        <w:t> </w:t>
      </w:r>
      <w:r>
        <w:rPr/>
        <w:t>to harmonise</w:t>
      </w:r>
      <w:r>
        <w:rPr>
          <w:spacing w:val="-7"/>
        </w:rPr>
        <w:t> </w:t>
      </w:r>
      <w:r>
        <w:rPr/>
        <w:t>protections</w:t>
      </w:r>
      <w:r>
        <w:rPr>
          <w:spacing w:val="-7"/>
        </w:rPr>
        <w:t> </w:t>
      </w:r>
      <w:r>
        <w:rPr/>
        <w:t>on</w:t>
      </w:r>
      <w:r>
        <w:rPr>
          <w:spacing w:val="-7"/>
        </w:rPr>
        <w:t> </w:t>
      </w:r>
      <w:r>
        <w:rPr/>
        <w:t>the</w:t>
      </w:r>
      <w:r>
        <w:rPr>
          <w:spacing w:val="-7"/>
        </w:rPr>
        <w:t> </w:t>
      </w:r>
      <w:r>
        <w:rPr/>
        <w:t>island</w:t>
      </w:r>
      <w:r>
        <w:rPr>
          <w:spacing w:val="-7"/>
        </w:rPr>
        <w:t> </w:t>
      </w:r>
      <w:r>
        <w:rPr/>
        <w:t>of</w:t>
      </w:r>
      <w:r>
        <w:rPr>
          <w:spacing w:val="-7"/>
        </w:rPr>
        <w:t> </w:t>
      </w:r>
      <w:r>
        <w:rPr/>
        <w:t>Ireland</w:t>
      </w:r>
      <w:r>
        <w:rPr>
          <w:spacing w:val="-7"/>
        </w:rPr>
        <w:t> </w:t>
      </w:r>
      <w:r>
        <w:rPr/>
        <w:t>after</w:t>
      </w:r>
      <w:r>
        <w:rPr>
          <w:spacing w:val="-7"/>
        </w:rPr>
        <w:t> </w:t>
      </w:r>
      <w:r>
        <w:rPr/>
        <w:t>Brexit.</w:t>
      </w:r>
      <w:r>
        <w:rPr>
          <w:vertAlign w:val="superscript"/>
        </w:rPr>
        <w:t>94</w:t>
      </w:r>
    </w:p>
    <w:p>
      <w:pPr>
        <w:pStyle w:val="BodyText"/>
        <w:spacing w:line="232" w:lineRule="auto" w:before="259"/>
        <w:ind w:left="1117" w:right="738"/>
      </w:pPr>
      <w:r>
        <w:rPr/>
        <w:t>In addition, the Commissions have commissioned various research reports on Article 2 WF including the initial report on divergence of rights on the island of Ireland.</w:t>
      </w:r>
      <w:r>
        <w:rPr>
          <w:vertAlign w:val="superscript"/>
        </w:rPr>
        <w:t>95</w:t>
      </w:r>
      <w:r>
        <w:rPr>
          <w:spacing w:val="-8"/>
          <w:vertAlign w:val="baseline"/>
        </w:rPr>
        <w:t> </w:t>
      </w:r>
      <w:r>
        <w:rPr>
          <w:vertAlign w:val="baseline"/>
        </w:rPr>
        <w:t>This</w:t>
      </w:r>
      <w:r>
        <w:rPr>
          <w:spacing w:val="-8"/>
          <w:vertAlign w:val="baseline"/>
        </w:rPr>
        <w:t> </w:t>
      </w:r>
      <w:r>
        <w:rPr>
          <w:vertAlign w:val="baseline"/>
        </w:rPr>
        <w:t>current</w:t>
      </w:r>
      <w:r>
        <w:rPr>
          <w:spacing w:val="-7"/>
          <w:vertAlign w:val="baseline"/>
        </w:rPr>
        <w:t> </w:t>
      </w:r>
      <w:r>
        <w:rPr>
          <w:vertAlign w:val="baseline"/>
        </w:rPr>
        <w:t>report</w:t>
      </w:r>
      <w:r>
        <w:rPr>
          <w:spacing w:val="-7"/>
          <w:vertAlign w:val="baseline"/>
        </w:rPr>
        <w:t> </w:t>
      </w:r>
      <w:r>
        <w:rPr>
          <w:vertAlign w:val="baseline"/>
        </w:rPr>
        <w:t>serves</w:t>
      </w:r>
      <w:r>
        <w:rPr>
          <w:spacing w:val="-8"/>
          <w:vertAlign w:val="baseline"/>
        </w:rPr>
        <w:t> </w:t>
      </w:r>
      <w:r>
        <w:rPr>
          <w:vertAlign w:val="baseline"/>
        </w:rPr>
        <w:t>as</w:t>
      </w:r>
      <w:r>
        <w:rPr>
          <w:spacing w:val="-8"/>
          <w:vertAlign w:val="baseline"/>
        </w:rPr>
        <w:t> </w:t>
      </w:r>
      <w:r>
        <w:rPr>
          <w:vertAlign w:val="baseline"/>
        </w:rPr>
        <w:t>an</w:t>
      </w:r>
      <w:r>
        <w:rPr>
          <w:spacing w:val="-8"/>
          <w:vertAlign w:val="baseline"/>
        </w:rPr>
        <w:t> </w:t>
      </w:r>
      <w:r>
        <w:rPr>
          <w:vertAlign w:val="baseline"/>
        </w:rPr>
        <w:t>update</w:t>
      </w:r>
      <w:r>
        <w:rPr>
          <w:spacing w:val="-7"/>
          <w:vertAlign w:val="baseline"/>
        </w:rPr>
        <w:t> </w:t>
      </w:r>
      <w:r>
        <w:rPr>
          <w:vertAlign w:val="baseline"/>
        </w:rPr>
        <w:t>to</w:t>
      </w:r>
      <w:r>
        <w:rPr>
          <w:spacing w:val="-8"/>
          <w:vertAlign w:val="baseline"/>
        </w:rPr>
        <w:t> </w:t>
      </w:r>
      <w:r>
        <w:rPr>
          <w:vertAlign w:val="baseline"/>
        </w:rPr>
        <w:t>that</w:t>
      </w:r>
      <w:r>
        <w:rPr>
          <w:spacing w:val="-7"/>
          <w:vertAlign w:val="baseline"/>
        </w:rPr>
        <w:t> </w:t>
      </w:r>
      <w:r>
        <w:rPr>
          <w:vertAlign w:val="baseline"/>
        </w:rPr>
        <w:t>initial</w:t>
      </w:r>
      <w:r>
        <w:rPr>
          <w:spacing w:val="-8"/>
          <w:vertAlign w:val="baseline"/>
        </w:rPr>
        <w:t> </w:t>
      </w:r>
      <w:r>
        <w:rPr>
          <w:vertAlign w:val="baseline"/>
        </w:rPr>
        <w:t>divergence</w:t>
      </w:r>
      <w:r>
        <w:rPr>
          <w:spacing w:val="-7"/>
          <w:vertAlign w:val="baseline"/>
        </w:rPr>
        <w:t> </w:t>
      </w:r>
      <w:r>
        <w:rPr>
          <w:vertAlign w:val="baseline"/>
        </w:rPr>
        <w:t>report.</w:t>
      </w:r>
    </w:p>
    <w:p>
      <w:pPr>
        <w:pStyle w:val="BodyText"/>
        <w:spacing w:before="9"/>
        <w:rPr>
          <w:sz w:val="15"/>
        </w:rPr>
      </w:pPr>
      <w:r>
        <w:rPr/>
        <mc:AlternateContent>
          <mc:Choice Requires="wps">
            <w:drawing>
              <wp:anchor distT="0" distB="0" distL="0" distR="0" allowOverlap="1" layoutInCell="1" locked="0" behindDoc="1" simplePos="0" relativeHeight="487648768">
                <wp:simplePos x="0" y="0"/>
                <wp:positionH relativeFrom="page">
                  <wp:posOffset>899999</wp:posOffset>
                </wp:positionH>
                <wp:positionV relativeFrom="paragraph">
                  <wp:posOffset>137817</wp:posOffset>
                </wp:positionV>
                <wp:extent cx="6012180" cy="1270"/>
                <wp:effectExtent l="0" t="0" r="0" b="0"/>
                <wp:wrapTopAndBottom/>
                <wp:docPr id="330" name="Graphic 330"/>
                <wp:cNvGraphicFramePr>
                  <a:graphicFrameLocks/>
                </wp:cNvGraphicFramePr>
                <a:graphic>
                  <a:graphicData uri="http://schemas.microsoft.com/office/word/2010/wordprocessingShape">
                    <wps:wsp>
                      <wps:cNvPr id="330" name="Graphic 33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0.851802pt;width:473.4pt;height:.1pt;mso-position-horizontal-relative:page;mso-position-vertical-relative:paragraph;z-index:-15667712;mso-wrap-distance-left:0;mso-wrap-distance-right:0" id="docshape260" coordorigin="1417,217" coordsize="9468,0" path="m1417,217l10885,217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818" w:hanging="567"/>
        <w:jc w:val="left"/>
        <w:rPr>
          <w:sz w:val="18"/>
        </w:rPr>
      </w:pPr>
      <w:r>
        <w:rPr>
          <w:sz w:val="18"/>
        </w:rPr>
        <w:t>NIHRC and ECNI, </w:t>
      </w:r>
      <w:r>
        <w:rPr>
          <w:color w:val="1D71B8"/>
          <w:sz w:val="18"/>
          <w:u w:val="single" w:color="1D71B8"/>
        </w:rPr>
        <w:t>Annual Report 2021-22: Implementation of Protocol Article 2</w:t>
      </w:r>
      <w:r>
        <w:rPr>
          <w:color w:val="1D71B8"/>
          <w:sz w:val="18"/>
          <w:u w:val="none"/>
        </w:rPr>
        <w:t> </w:t>
      </w:r>
      <w:r>
        <w:rPr>
          <w:sz w:val="18"/>
          <w:u w:val="none"/>
        </w:rPr>
        <w:t>(2022); ECNI and NIHRC, </w:t>
      </w:r>
      <w:r>
        <w:rPr>
          <w:color w:val="1D71B8"/>
          <w:sz w:val="18"/>
          <w:u w:val="single" w:color="1D71B8"/>
        </w:rPr>
        <w:t>Annual Report </w:t>
      </w:r>
      <w:r>
        <w:rPr>
          <w:color w:val="1D71B8"/>
          <w:sz w:val="18"/>
          <w:u w:val="none"/>
        </w:rPr>
        <w:t> </w:t>
      </w:r>
      <w:r>
        <w:rPr>
          <w:color w:val="1D71B8"/>
          <w:sz w:val="18"/>
          <w:u w:val="single" w:color="1D71B8"/>
        </w:rPr>
        <w:t>2022-2023:</w:t>
      </w:r>
      <w:r>
        <w:rPr>
          <w:color w:val="1D71B8"/>
          <w:spacing w:val="-4"/>
          <w:sz w:val="18"/>
          <w:u w:val="single" w:color="1D71B8"/>
        </w:rPr>
        <w:t> </w:t>
      </w:r>
      <w:r>
        <w:rPr>
          <w:color w:val="1D71B8"/>
          <w:sz w:val="18"/>
          <w:u w:val="single" w:color="1D71B8"/>
        </w:rPr>
        <w:t>Implementation</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Protocol</w:t>
      </w:r>
      <w:r>
        <w:rPr>
          <w:color w:val="1D71B8"/>
          <w:spacing w:val="-4"/>
          <w:sz w:val="18"/>
          <w:u w:val="single" w:color="1D71B8"/>
        </w:rPr>
        <w:t> </w:t>
      </w:r>
      <w:r>
        <w:rPr>
          <w:color w:val="1D71B8"/>
          <w:sz w:val="18"/>
          <w:u w:val="single" w:color="1D71B8"/>
        </w:rPr>
        <w:t>Article</w:t>
      </w:r>
      <w:r>
        <w:rPr>
          <w:color w:val="1D71B8"/>
          <w:spacing w:val="-4"/>
          <w:sz w:val="18"/>
          <w:u w:val="single" w:color="1D71B8"/>
        </w:rPr>
        <w:t> </w:t>
      </w:r>
      <w:r>
        <w:rPr>
          <w:color w:val="1D71B8"/>
          <w:sz w:val="18"/>
          <w:u w:val="single" w:color="1D71B8"/>
        </w:rPr>
        <w:t>2</w:t>
      </w:r>
      <w:r>
        <w:rPr>
          <w:color w:val="1D71B8"/>
          <w:spacing w:val="-4"/>
          <w:sz w:val="18"/>
          <w:u w:val="none"/>
        </w:rPr>
        <w:t> </w:t>
      </w:r>
      <w:r>
        <w:rPr>
          <w:sz w:val="18"/>
          <w:u w:val="none"/>
        </w:rPr>
        <w:t>(2023);</w:t>
      </w:r>
      <w:r>
        <w:rPr>
          <w:spacing w:val="-4"/>
          <w:sz w:val="18"/>
          <w:u w:val="none"/>
        </w:rPr>
        <w:t> </w:t>
      </w:r>
      <w:r>
        <w:rPr>
          <w:sz w:val="18"/>
          <w:u w:val="none"/>
        </w:rPr>
        <w:t>NIHRC</w:t>
      </w:r>
      <w:r>
        <w:rPr>
          <w:spacing w:val="-4"/>
          <w:sz w:val="18"/>
          <w:u w:val="none"/>
        </w:rPr>
        <w:t> </w:t>
      </w:r>
      <w:r>
        <w:rPr>
          <w:sz w:val="18"/>
          <w:u w:val="none"/>
        </w:rPr>
        <w:t>and</w:t>
      </w:r>
      <w:r>
        <w:rPr>
          <w:spacing w:val="-4"/>
          <w:sz w:val="18"/>
          <w:u w:val="none"/>
        </w:rPr>
        <w:t> </w:t>
      </w:r>
      <w:r>
        <w:rPr>
          <w:sz w:val="18"/>
          <w:u w:val="none"/>
        </w:rPr>
        <w:t>ECNI,</w:t>
      </w:r>
      <w:r>
        <w:rPr>
          <w:spacing w:val="-4"/>
          <w:sz w:val="18"/>
          <w:u w:val="none"/>
        </w:rPr>
        <w:t> </w:t>
      </w:r>
      <w:r>
        <w:rPr>
          <w:color w:val="1D71B8"/>
          <w:sz w:val="18"/>
          <w:u w:val="single" w:color="1D71B8"/>
        </w:rPr>
        <w:t>Working</w:t>
      </w:r>
      <w:r>
        <w:rPr>
          <w:color w:val="1D71B8"/>
          <w:spacing w:val="-4"/>
          <w:sz w:val="18"/>
          <w:u w:val="single" w:color="1D71B8"/>
        </w:rPr>
        <w:t> </w:t>
      </w:r>
      <w:r>
        <w:rPr>
          <w:color w:val="1D71B8"/>
          <w:sz w:val="18"/>
          <w:u w:val="single" w:color="1D71B8"/>
        </w:rPr>
        <w:t>Paper:</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Scope</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Article</w:t>
      </w:r>
      <w:r>
        <w:rPr>
          <w:color w:val="1D71B8"/>
          <w:spacing w:val="-4"/>
          <w:sz w:val="18"/>
          <w:u w:val="single" w:color="1D71B8"/>
        </w:rPr>
        <w:t> </w:t>
      </w:r>
      <w:r>
        <w:rPr>
          <w:color w:val="1D71B8"/>
          <w:sz w:val="18"/>
          <w:u w:val="single" w:color="1D71B8"/>
        </w:rPr>
        <w:t>2(1)</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Ireland/Northern Ireland Protocol</w:t>
      </w:r>
      <w:r>
        <w:rPr>
          <w:color w:val="1D71B8"/>
          <w:sz w:val="18"/>
          <w:u w:val="none"/>
        </w:rPr>
        <w:t> </w:t>
      </w:r>
      <w:r>
        <w:rPr>
          <w:sz w:val="18"/>
          <w:u w:val="none"/>
        </w:rPr>
        <w:t>(2022).</w:t>
      </w:r>
    </w:p>
    <w:p>
      <w:pPr>
        <w:pStyle w:val="ListParagraph"/>
        <w:numPr>
          <w:ilvl w:val="0"/>
          <w:numId w:val="9"/>
        </w:numPr>
        <w:tabs>
          <w:tab w:pos="1684" w:val="left" w:leader="none"/>
        </w:tabs>
        <w:spacing w:line="240" w:lineRule="auto" w:before="1" w:after="0"/>
        <w:ind w:left="1684" w:right="738" w:hanging="567"/>
        <w:jc w:val="left"/>
        <w:rPr>
          <w:sz w:val="18"/>
        </w:rPr>
      </w:pPr>
      <w:r>
        <w:rPr>
          <w:sz w:val="18"/>
        </w:rPr>
        <w:t>IHREC,</w:t>
      </w:r>
      <w:r>
        <w:rPr>
          <w:spacing w:val="-3"/>
          <w:sz w:val="18"/>
        </w:rPr>
        <w:t> </w:t>
      </w:r>
      <w:r>
        <w:rPr>
          <w:sz w:val="18"/>
        </w:rPr>
        <w:t>NIHRC</w:t>
      </w:r>
      <w:r>
        <w:rPr>
          <w:spacing w:val="-4"/>
          <w:sz w:val="18"/>
        </w:rPr>
        <w:t> </w:t>
      </w:r>
      <w:r>
        <w:rPr>
          <w:sz w:val="18"/>
        </w:rPr>
        <w:t>and</w:t>
      </w:r>
      <w:r>
        <w:rPr>
          <w:spacing w:val="-4"/>
          <w:sz w:val="18"/>
        </w:rPr>
        <w:t> </w:t>
      </w:r>
      <w:r>
        <w:rPr>
          <w:sz w:val="18"/>
        </w:rPr>
        <w:t>ECNI,</w:t>
      </w:r>
      <w:r>
        <w:rPr>
          <w:spacing w:val="-3"/>
          <w:sz w:val="1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Island</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after</w:t>
      </w:r>
      <w:r>
        <w:rPr>
          <w:color w:val="1D71B8"/>
          <w:spacing w:val="-3"/>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Annual</w:t>
      </w:r>
      <w:r>
        <w:rPr>
          <w:color w:val="1D71B8"/>
          <w:spacing w:val="-3"/>
          <w:sz w:val="18"/>
          <w:u w:val="single" w:color="1D71B8"/>
        </w:rPr>
        <w:t> </w:t>
      </w:r>
      <w:r>
        <w:rPr>
          <w:color w:val="1D71B8"/>
          <w:sz w:val="18"/>
          <w:u w:val="single" w:color="1D71B8"/>
        </w:rPr>
        <w:t>joint</w:t>
      </w:r>
      <w:r>
        <w:rPr>
          <w:color w:val="1D71B8"/>
          <w:spacing w:val="-3"/>
          <w:sz w:val="18"/>
          <w:u w:val="single" w:color="1D71B8"/>
        </w:rPr>
        <w:t> </w:t>
      </w:r>
      <w:r>
        <w:rPr>
          <w:color w:val="1D71B8"/>
          <w:sz w:val="18"/>
          <w:u w:val="single" w:color="1D71B8"/>
        </w:rPr>
        <w:t>report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IHREC,</w:t>
      </w:r>
      <w:r>
        <w:rPr>
          <w:color w:val="1D71B8"/>
          <w:spacing w:val="-3"/>
          <w:sz w:val="18"/>
          <w:u w:val="single" w:color="1D71B8"/>
        </w:rPr>
        <w:t> </w:t>
      </w:r>
      <w:r>
        <w:rPr>
          <w:color w:val="1D71B8"/>
          <w:sz w:val="18"/>
          <w:u w:val="single" w:color="1D71B8"/>
        </w:rPr>
        <w:t>ECNI</w:t>
      </w:r>
      <w:r>
        <w:rPr>
          <w:color w:val="1D71B8"/>
          <w:sz w:val="18"/>
          <w:u w:val="none"/>
        </w:rPr>
        <w:t> </w:t>
      </w:r>
      <w:r>
        <w:rPr>
          <w:color w:val="1D71B8"/>
          <w:sz w:val="18"/>
          <w:u w:val="single" w:color="1D71B8"/>
        </w:rPr>
        <w:t>and</w:t>
      </w:r>
      <w:r>
        <w:rPr>
          <w:color w:val="1D71B8"/>
          <w:spacing w:val="-4"/>
          <w:sz w:val="18"/>
          <w:u w:val="single" w:color="1D71B8"/>
        </w:rPr>
        <w:t> </w:t>
      </w:r>
      <w:r>
        <w:rPr>
          <w:color w:val="1D71B8"/>
          <w:sz w:val="18"/>
          <w:u w:val="single" w:color="1D71B8"/>
        </w:rPr>
        <w:t>NIHRC</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implementation</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Article</w:t>
      </w:r>
      <w:r>
        <w:rPr>
          <w:color w:val="1D71B8"/>
          <w:spacing w:val="-3"/>
          <w:sz w:val="18"/>
          <w:u w:val="single" w:color="1D71B8"/>
        </w:rPr>
        <w:t> </w:t>
      </w:r>
      <w:r>
        <w:rPr>
          <w:color w:val="1D71B8"/>
          <w:sz w:val="18"/>
          <w:u w:val="single" w:color="1D71B8"/>
        </w:rPr>
        <w:t>2</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Windsor</w:t>
      </w:r>
      <w:r>
        <w:rPr>
          <w:color w:val="1D71B8"/>
          <w:spacing w:val="-3"/>
          <w:sz w:val="18"/>
          <w:u w:val="single" w:color="1D71B8"/>
        </w:rPr>
        <w:t> </w:t>
      </w:r>
      <w:r>
        <w:rPr>
          <w:color w:val="1D71B8"/>
          <w:sz w:val="18"/>
          <w:u w:val="single" w:color="1D71B8"/>
        </w:rPr>
        <w:t>Framework.</w:t>
      </w:r>
      <w:r>
        <w:rPr>
          <w:color w:val="1D71B8"/>
          <w:spacing w:val="-4"/>
          <w:sz w:val="18"/>
          <w:u w:val="single" w:color="1D71B8"/>
        </w:rPr>
        <w:t> </w:t>
      </w:r>
      <w:r>
        <w:rPr>
          <w:color w:val="1D71B8"/>
          <w:sz w:val="18"/>
          <w:u w:val="single" w:color="1D71B8"/>
        </w:rPr>
        <w:t>October</w:t>
      </w:r>
      <w:r>
        <w:rPr>
          <w:color w:val="1D71B8"/>
          <w:spacing w:val="-3"/>
          <w:sz w:val="18"/>
          <w:u w:val="single" w:color="1D71B8"/>
        </w:rPr>
        <w:t> </w:t>
      </w:r>
      <w:r>
        <w:rPr>
          <w:color w:val="1D71B8"/>
          <w:sz w:val="18"/>
          <w:u w:val="single" w:color="1D71B8"/>
        </w:rPr>
        <w:t>2022</w:t>
      </w:r>
      <w:r>
        <w:rPr>
          <w:color w:val="1D71B8"/>
          <w:spacing w:val="-3"/>
          <w:sz w:val="18"/>
          <w:u w:val="single" w:color="1D71B8"/>
        </w:rPr>
        <w:t> </w:t>
      </w:r>
      <w:r>
        <w:rPr>
          <w:color w:val="1D71B8"/>
          <w:sz w:val="18"/>
          <w:u w:val="single" w:color="1D71B8"/>
        </w:rPr>
        <w:t>–</w:t>
      </w:r>
      <w:r>
        <w:rPr>
          <w:color w:val="1D71B8"/>
          <w:spacing w:val="-4"/>
          <w:sz w:val="18"/>
          <w:u w:val="single" w:color="1D71B8"/>
        </w:rPr>
        <w:t> </w:t>
      </w:r>
      <w:r>
        <w:rPr>
          <w:color w:val="1D71B8"/>
          <w:sz w:val="18"/>
          <w:u w:val="single" w:color="1D71B8"/>
        </w:rPr>
        <w:t>September</w:t>
      </w:r>
      <w:r>
        <w:rPr>
          <w:color w:val="1D71B8"/>
          <w:spacing w:val="-3"/>
          <w:sz w:val="18"/>
          <w:u w:val="single" w:color="1D71B8"/>
        </w:rPr>
        <w:t> </w:t>
      </w:r>
      <w:r>
        <w:rPr>
          <w:color w:val="1D71B8"/>
          <w:sz w:val="18"/>
          <w:u w:val="single" w:color="1D71B8"/>
        </w:rPr>
        <w:t>2023</w:t>
      </w:r>
      <w:r>
        <w:rPr>
          <w:color w:val="1D71B8"/>
          <w:spacing w:val="-5"/>
          <w:sz w:val="18"/>
          <w:u w:val="none"/>
        </w:rPr>
        <w:t> </w:t>
      </w:r>
      <w:r>
        <w:rPr>
          <w:sz w:val="18"/>
          <w:u w:val="none"/>
        </w:rPr>
        <w:t>(2023);</w:t>
      </w:r>
      <w:r>
        <w:rPr>
          <w:spacing w:val="-3"/>
          <w:sz w:val="18"/>
          <w:u w:val="none"/>
        </w:rPr>
        <w:t> </w:t>
      </w:r>
      <w:r>
        <w:rPr>
          <w:sz w:val="18"/>
          <w:u w:val="none"/>
        </w:rPr>
        <w:t>IHREC, NIHRC and ECNI, </w:t>
      </w:r>
      <w:r>
        <w:rPr>
          <w:color w:val="1D71B8"/>
          <w:sz w:val="18"/>
          <w:u w:val="single" w:color="1D71B8"/>
        </w:rPr>
        <w:t>Policy Recommendations: European Union Developments in Equality and Human Rights: The Impact of</w:t>
      </w:r>
      <w:r>
        <w:rPr>
          <w:color w:val="1D71B8"/>
          <w:sz w:val="18"/>
          <w:u w:val="none"/>
        </w:rPr>
        <w:t> </w:t>
      </w:r>
      <w:r>
        <w:rPr>
          <w:color w:val="1D71B8"/>
          <w:sz w:val="18"/>
          <w:u w:val="single" w:color="1D71B8"/>
        </w:rPr>
        <w:t>Brexit on the Divergence of Rights and Best Practice on the Island of Ireland</w:t>
      </w:r>
      <w:r>
        <w:rPr>
          <w:color w:val="1D71B8"/>
          <w:sz w:val="18"/>
          <w:u w:val="none"/>
        </w:rPr>
        <w:t> </w:t>
      </w:r>
      <w:r>
        <w:rPr>
          <w:sz w:val="18"/>
          <w:u w:val="none"/>
        </w:rPr>
        <w:t>(2023).</w:t>
      </w:r>
    </w:p>
    <w:p>
      <w:pPr>
        <w:pStyle w:val="ListParagraph"/>
        <w:numPr>
          <w:ilvl w:val="0"/>
          <w:numId w:val="9"/>
        </w:numPr>
        <w:tabs>
          <w:tab w:pos="1684" w:val="left" w:leader="none"/>
        </w:tabs>
        <w:spacing w:line="240" w:lineRule="auto" w:before="1" w:after="0"/>
        <w:ind w:left="1684" w:right="1003" w:hanging="567"/>
        <w:jc w:val="both"/>
        <w:rPr>
          <w:sz w:val="18"/>
        </w:rPr>
      </w:pPr>
      <w:r>
        <w:rPr>
          <w:sz w:val="18"/>
        </w:rPr>
        <w:t>IHREC,</w:t>
      </w:r>
      <w:r>
        <w:rPr>
          <w:spacing w:val="-3"/>
          <w:sz w:val="18"/>
        </w:rPr>
        <w:t> </w:t>
      </w:r>
      <w:r>
        <w:rPr>
          <w:sz w:val="18"/>
        </w:rPr>
        <w:t>NIHRC</w:t>
      </w:r>
      <w:r>
        <w:rPr>
          <w:spacing w:val="-4"/>
          <w:sz w:val="18"/>
        </w:rPr>
        <w:t> </w:t>
      </w:r>
      <w:r>
        <w:rPr>
          <w:sz w:val="18"/>
        </w:rPr>
        <w:t>and</w:t>
      </w:r>
      <w:r>
        <w:rPr>
          <w:spacing w:val="-4"/>
          <w:sz w:val="18"/>
        </w:rPr>
        <w:t> </w:t>
      </w:r>
      <w:r>
        <w:rPr>
          <w:sz w:val="18"/>
        </w:rPr>
        <w:t>ECNI,</w:t>
      </w:r>
      <w:r>
        <w:rPr>
          <w:spacing w:val="-3"/>
          <w:sz w:val="1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island</w:t>
      </w:r>
      <w:r>
        <w:rPr>
          <w:color w:val="1D71B8"/>
          <w:spacing w:val="-4"/>
          <w:sz w:val="18"/>
          <w:u w:val="single" w:color="1D71B8"/>
        </w:rPr>
        <w:t> </w:t>
      </w:r>
      <w:r>
        <w:rPr>
          <w:color w:val="1D71B8"/>
          <w:sz w:val="18"/>
          <w:u w:val="single" w:color="1D71B8"/>
        </w:rPr>
        <w:t>of</w:t>
      </w:r>
      <w:r>
        <w:rPr>
          <w:color w:val="1D71B8"/>
          <w:spacing w:val="-3"/>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after</w:t>
      </w:r>
      <w:r>
        <w:rPr>
          <w:color w:val="1D71B8"/>
          <w:spacing w:val="-3"/>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Annual</w:t>
      </w:r>
      <w:r>
        <w:rPr>
          <w:color w:val="1D71B8"/>
          <w:spacing w:val="-4"/>
          <w:sz w:val="18"/>
          <w:u w:val="single" w:color="1D71B8"/>
        </w:rPr>
        <w:t> </w:t>
      </w:r>
      <w:r>
        <w:rPr>
          <w:color w:val="1D71B8"/>
          <w:sz w:val="18"/>
          <w:u w:val="single" w:color="1D71B8"/>
        </w:rPr>
        <w:t>joint</w:t>
      </w:r>
      <w:r>
        <w:rPr>
          <w:color w:val="1D71B8"/>
          <w:spacing w:val="-3"/>
          <w:sz w:val="18"/>
          <w:u w:val="single" w:color="1D71B8"/>
        </w:rPr>
        <w:t> </w:t>
      </w:r>
      <w:r>
        <w:rPr>
          <w:color w:val="1D71B8"/>
          <w:sz w:val="18"/>
          <w:u w:val="single" w:color="1D71B8"/>
        </w:rPr>
        <w:t>report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IHREC,</w:t>
      </w:r>
      <w:r>
        <w:rPr>
          <w:color w:val="1D71B8"/>
          <w:spacing w:val="-3"/>
          <w:sz w:val="18"/>
          <w:u w:val="single" w:color="1D71B8"/>
        </w:rPr>
        <w:t> </w:t>
      </w:r>
      <w:r>
        <w:rPr>
          <w:color w:val="1D71B8"/>
          <w:sz w:val="18"/>
          <w:u w:val="single" w:color="1D71B8"/>
        </w:rPr>
        <w:t>ECNI</w:t>
      </w:r>
      <w:r>
        <w:rPr>
          <w:color w:val="1D71B8"/>
          <w:spacing w:val="-3"/>
          <w:sz w:val="18"/>
          <w:u w:val="single" w:color="1D71B8"/>
        </w:rPr>
        <w:t> </w:t>
      </w:r>
      <w:r>
        <w:rPr>
          <w:color w:val="1D71B8"/>
          <w:sz w:val="18"/>
          <w:u w:val="single" w:color="1D71B8"/>
        </w:rPr>
        <w:t>and</w:t>
      </w:r>
      <w:r>
        <w:rPr>
          <w:color w:val="1D71B8"/>
          <w:sz w:val="18"/>
          <w:u w:val="none"/>
        </w:rPr>
        <w:t> </w:t>
      </w:r>
      <w:r>
        <w:rPr>
          <w:color w:val="1D71B8"/>
          <w:sz w:val="18"/>
          <w:u w:val="single" w:color="1D71B8"/>
        </w:rPr>
        <w:t>NIHRC</w:t>
      </w:r>
      <w:r>
        <w:rPr>
          <w:color w:val="1D71B8"/>
          <w:spacing w:val="-3"/>
          <w:sz w:val="18"/>
          <w:u w:val="single" w:color="1D71B8"/>
        </w:rPr>
        <w:t> </w:t>
      </w:r>
      <w:r>
        <w:rPr>
          <w:color w:val="1D71B8"/>
          <w:sz w:val="18"/>
          <w:u w:val="single" w:color="1D71B8"/>
        </w:rPr>
        <w:t>on</w:t>
      </w:r>
      <w:r>
        <w:rPr>
          <w:color w:val="1D71B8"/>
          <w:spacing w:val="-3"/>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implementation</w:t>
      </w:r>
      <w:r>
        <w:rPr>
          <w:color w:val="1D71B8"/>
          <w:spacing w:val="-3"/>
          <w:sz w:val="18"/>
          <w:u w:val="single" w:color="1D71B8"/>
        </w:rPr>
        <w:t> </w:t>
      </w:r>
      <w:r>
        <w:rPr>
          <w:color w:val="1D71B8"/>
          <w:sz w:val="18"/>
          <w:u w:val="single" w:color="1D71B8"/>
        </w:rPr>
        <w:t>of</w:t>
      </w:r>
      <w:r>
        <w:rPr>
          <w:color w:val="1D71B8"/>
          <w:spacing w:val="-3"/>
          <w:sz w:val="18"/>
          <w:u w:val="single" w:color="1D71B8"/>
        </w:rPr>
        <w:t> </w:t>
      </w:r>
      <w:r>
        <w:rPr>
          <w:color w:val="1D71B8"/>
          <w:sz w:val="18"/>
          <w:u w:val="single" w:color="1D71B8"/>
        </w:rPr>
        <w:t>Article</w:t>
      </w:r>
      <w:r>
        <w:rPr>
          <w:color w:val="1D71B8"/>
          <w:spacing w:val="-2"/>
          <w:sz w:val="18"/>
          <w:u w:val="single" w:color="1D71B8"/>
        </w:rPr>
        <w:t> </w:t>
      </w:r>
      <w:r>
        <w:rPr>
          <w:color w:val="1D71B8"/>
          <w:sz w:val="18"/>
          <w:u w:val="single" w:color="1D71B8"/>
        </w:rPr>
        <w:t>2</w:t>
      </w:r>
      <w:r>
        <w:rPr>
          <w:color w:val="1D71B8"/>
          <w:spacing w:val="-2"/>
          <w:sz w:val="18"/>
          <w:u w:val="single" w:color="1D71B8"/>
        </w:rPr>
        <w:t> </w:t>
      </w:r>
      <w:r>
        <w:rPr>
          <w:color w:val="1D71B8"/>
          <w:sz w:val="18"/>
          <w:u w:val="single" w:color="1D71B8"/>
        </w:rPr>
        <w:t>of</w:t>
      </w:r>
      <w:r>
        <w:rPr>
          <w:color w:val="1D71B8"/>
          <w:spacing w:val="-3"/>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Ireland/Northern</w:t>
      </w:r>
      <w:r>
        <w:rPr>
          <w:color w:val="1D71B8"/>
          <w:spacing w:val="-3"/>
          <w:sz w:val="18"/>
          <w:u w:val="single" w:color="1D71B8"/>
        </w:rPr>
        <w:t> </w:t>
      </w:r>
      <w:r>
        <w:rPr>
          <w:color w:val="1D71B8"/>
          <w:sz w:val="18"/>
          <w:u w:val="single" w:color="1D71B8"/>
        </w:rPr>
        <w:t>Ireland</w:t>
      </w:r>
      <w:r>
        <w:rPr>
          <w:color w:val="1D71B8"/>
          <w:spacing w:val="-3"/>
          <w:sz w:val="18"/>
          <w:u w:val="single" w:color="1D71B8"/>
        </w:rPr>
        <w:t> </w:t>
      </w:r>
      <w:r>
        <w:rPr>
          <w:color w:val="1D71B8"/>
          <w:sz w:val="18"/>
          <w:u w:val="single" w:color="1D71B8"/>
        </w:rPr>
        <w:t>Protocol.</w:t>
      </w:r>
      <w:r>
        <w:rPr>
          <w:color w:val="1D71B8"/>
          <w:spacing w:val="-3"/>
          <w:sz w:val="18"/>
          <w:u w:val="single" w:color="1D71B8"/>
        </w:rPr>
        <w:t> </w:t>
      </w:r>
      <w:r>
        <w:rPr>
          <w:color w:val="1D71B8"/>
          <w:sz w:val="18"/>
          <w:u w:val="single" w:color="1D71B8"/>
        </w:rPr>
        <w:t>January</w:t>
      </w:r>
      <w:r>
        <w:rPr>
          <w:color w:val="1D71B8"/>
          <w:spacing w:val="-2"/>
          <w:sz w:val="18"/>
          <w:u w:val="single" w:color="1D71B8"/>
        </w:rPr>
        <w:t> </w:t>
      </w:r>
      <w:r>
        <w:rPr>
          <w:color w:val="1D71B8"/>
          <w:sz w:val="18"/>
          <w:u w:val="single" w:color="1D71B8"/>
        </w:rPr>
        <w:t>2021-September</w:t>
      </w:r>
      <w:r>
        <w:rPr>
          <w:color w:val="1D71B8"/>
          <w:spacing w:val="-2"/>
          <w:sz w:val="18"/>
          <w:u w:val="single" w:color="1D71B8"/>
        </w:rPr>
        <w:t> </w:t>
      </w:r>
      <w:r>
        <w:rPr>
          <w:color w:val="1D71B8"/>
          <w:sz w:val="18"/>
          <w:u w:val="single" w:color="1D71B8"/>
        </w:rPr>
        <w:t>2022</w:t>
      </w:r>
      <w:r>
        <w:rPr>
          <w:color w:val="1D71B8"/>
          <w:spacing w:val="-2"/>
          <w:sz w:val="18"/>
          <w:u w:val="none"/>
        </w:rPr>
        <w:t> </w:t>
      </w:r>
      <w:r>
        <w:rPr>
          <w:sz w:val="18"/>
          <w:u w:val="none"/>
        </w:rPr>
        <w:t>(28 November 2022) 1.</w:t>
      </w:r>
    </w:p>
    <w:p>
      <w:pPr>
        <w:pStyle w:val="ListParagraph"/>
        <w:numPr>
          <w:ilvl w:val="0"/>
          <w:numId w:val="9"/>
        </w:numPr>
        <w:tabs>
          <w:tab w:pos="1684" w:val="left" w:leader="none"/>
        </w:tabs>
        <w:spacing w:line="240" w:lineRule="auto" w:before="1" w:after="0"/>
        <w:ind w:left="1684" w:right="743" w:hanging="567"/>
        <w:jc w:val="left"/>
        <w:rPr>
          <w:sz w:val="18"/>
        </w:rPr>
      </w:pPr>
      <w:r>
        <w:rPr>
          <w:sz w:val="18"/>
        </w:rPr>
        <w:t>IHREC,</w:t>
      </w:r>
      <w:r>
        <w:rPr>
          <w:spacing w:val="-3"/>
          <w:sz w:val="18"/>
        </w:rPr>
        <w:t> </w:t>
      </w:r>
      <w:r>
        <w:rPr>
          <w:sz w:val="18"/>
        </w:rPr>
        <w:t>NIHRC</w:t>
      </w:r>
      <w:r>
        <w:rPr>
          <w:spacing w:val="-4"/>
          <w:sz w:val="18"/>
        </w:rPr>
        <w:t> </w:t>
      </w:r>
      <w:r>
        <w:rPr>
          <w:sz w:val="18"/>
        </w:rPr>
        <w:t>and</w:t>
      </w:r>
      <w:r>
        <w:rPr>
          <w:spacing w:val="-4"/>
          <w:sz w:val="18"/>
        </w:rPr>
        <w:t> </w:t>
      </w:r>
      <w:r>
        <w:rPr>
          <w:sz w:val="18"/>
        </w:rPr>
        <w:t>ECNI,</w:t>
      </w:r>
      <w:r>
        <w:rPr>
          <w:spacing w:val="-3"/>
          <w:sz w:val="1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Island</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after</w:t>
      </w:r>
      <w:r>
        <w:rPr>
          <w:color w:val="1D71B8"/>
          <w:spacing w:val="-3"/>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Annual</w:t>
      </w:r>
      <w:r>
        <w:rPr>
          <w:color w:val="1D71B8"/>
          <w:spacing w:val="-3"/>
          <w:sz w:val="18"/>
          <w:u w:val="single" w:color="1D71B8"/>
        </w:rPr>
        <w:t> </w:t>
      </w:r>
      <w:r>
        <w:rPr>
          <w:color w:val="1D71B8"/>
          <w:sz w:val="18"/>
          <w:u w:val="single" w:color="1D71B8"/>
        </w:rPr>
        <w:t>joint</w:t>
      </w:r>
      <w:r>
        <w:rPr>
          <w:color w:val="1D71B8"/>
          <w:spacing w:val="-3"/>
          <w:sz w:val="18"/>
          <w:u w:val="single" w:color="1D71B8"/>
        </w:rPr>
        <w:t> </w:t>
      </w:r>
      <w:r>
        <w:rPr>
          <w:color w:val="1D71B8"/>
          <w:sz w:val="18"/>
          <w:u w:val="single" w:color="1D71B8"/>
        </w:rPr>
        <w:t>report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IHREC,</w:t>
      </w:r>
      <w:r>
        <w:rPr>
          <w:color w:val="1D71B8"/>
          <w:spacing w:val="-3"/>
          <w:sz w:val="18"/>
          <w:u w:val="single" w:color="1D71B8"/>
        </w:rPr>
        <w:t> </w:t>
      </w:r>
      <w:r>
        <w:rPr>
          <w:color w:val="1D71B8"/>
          <w:sz w:val="18"/>
          <w:u w:val="single" w:color="1D71B8"/>
        </w:rPr>
        <w:t>ECNI</w:t>
      </w:r>
      <w:r>
        <w:rPr>
          <w:color w:val="1D71B8"/>
          <w:sz w:val="18"/>
          <w:u w:val="none"/>
        </w:rPr>
        <w:t> </w:t>
      </w:r>
      <w:r>
        <w:rPr>
          <w:color w:val="1D71B8"/>
          <w:sz w:val="18"/>
          <w:u w:val="single" w:color="1D71B8"/>
        </w:rPr>
        <w:t>and NIHRC on the implementation of Article 2 of the Windsor Framework. October 2022 – September 2023</w:t>
      </w:r>
      <w:r>
        <w:rPr>
          <w:color w:val="1D71B8"/>
          <w:sz w:val="18"/>
          <w:u w:val="none"/>
        </w:rPr>
        <w:t> </w:t>
      </w:r>
      <w:r>
        <w:rPr>
          <w:sz w:val="18"/>
          <w:u w:val="none"/>
        </w:rPr>
        <w:t>(6 December 2023)</w:t>
      </w:r>
      <w:r>
        <w:rPr>
          <w:spacing w:val="-2"/>
          <w:sz w:val="18"/>
          <w:u w:val="none"/>
        </w:rPr>
        <w:t> </w:t>
      </w:r>
      <w:r>
        <w:rPr>
          <w:sz w:val="18"/>
          <w:u w:val="none"/>
        </w:rPr>
        <w:t>7.</w:t>
      </w:r>
    </w:p>
    <w:p>
      <w:pPr>
        <w:pStyle w:val="ListParagraph"/>
        <w:numPr>
          <w:ilvl w:val="0"/>
          <w:numId w:val="9"/>
        </w:numPr>
        <w:tabs>
          <w:tab w:pos="1684" w:val="left" w:leader="none"/>
        </w:tabs>
        <w:spacing w:line="240" w:lineRule="auto" w:before="1" w:after="0"/>
        <w:ind w:left="1684" w:right="1283" w:hanging="567"/>
        <w:jc w:val="left"/>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color w:val="1D71B8"/>
          <w:sz w:val="18"/>
          <w:u w:val="single" w:color="1D71B8"/>
        </w:rPr>
        <w:t>Submission</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NIHRC</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ECNI</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House</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Lords</w:t>
      </w:r>
      <w:r>
        <w:rPr>
          <w:color w:val="1D71B8"/>
          <w:spacing w:val="-5"/>
          <w:sz w:val="18"/>
          <w:u w:val="single" w:color="1D71B8"/>
        </w:rPr>
        <w:t> </w:t>
      </w:r>
      <w:r>
        <w:rPr>
          <w:color w:val="1D71B8"/>
          <w:sz w:val="18"/>
          <w:u w:val="single" w:color="1D71B8"/>
        </w:rPr>
        <w:t>Sub-Committee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Protocol’s</w:t>
      </w:r>
      <w:r>
        <w:rPr>
          <w:color w:val="1D71B8"/>
          <w:spacing w:val="-5"/>
          <w:sz w:val="18"/>
          <w:u w:val="single" w:color="1D71B8"/>
        </w:rPr>
        <w:t> </w:t>
      </w:r>
      <w:r>
        <w:rPr>
          <w:color w:val="1D71B8"/>
          <w:sz w:val="18"/>
          <w:u w:val="single" w:color="1D71B8"/>
        </w:rPr>
        <w:t>call</w:t>
      </w:r>
      <w:r>
        <w:rPr>
          <w:color w:val="1D71B8"/>
          <w:spacing w:val="-5"/>
          <w:sz w:val="18"/>
          <w:u w:val="single" w:color="1D71B8"/>
        </w:rPr>
        <w:t> </w:t>
      </w:r>
      <w:r>
        <w:rPr>
          <w:color w:val="1D71B8"/>
          <w:sz w:val="18"/>
          <w:u w:val="single" w:color="1D71B8"/>
        </w:rPr>
        <w:t>for</w:t>
      </w:r>
      <w:r>
        <w:rPr>
          <w:color w:val="1D71B8"/>
          <w:sz w:val="18"/>
          <w:u w:val="none"/>
        </w:rPr>
        <w:t> </w:t>
      </w:r>
      <w:r>
        <w:rPr>
          <w:color w:val="1D71B8"/>
          <w:sz w:val="18"/>
          <w:u w:val="single" w:color="1D71B8"/>
        </w:rPr>
        <w:t>evidence for its inquiry on the Windsor Framework</w:t>
      </w:r>
      <w:r>
        <w:rPr>
          <w:color w:val="1D71B8"/>
          <w:sz w:val="18"/>
          <w:u w:val="none"/>
        </w:rPr>
        <w:t> </w:t>
      </w:r>
      <w:r>
        <w:rPr>
          <w:sz w:val="18"/>
          <w:u w:val="none"/>
        </w:rPr>
        <w:t>(2023) 10.</w:t>
      </w:r>
    </w:p>
    <w:p>
      <w:pPr>
        <w:pStyle w:val="ListParagraph"/>
        <w:numPr>
          <w:ilvl w:val="0"/>
          <w:numId w:val="9"/>
        </w:numPr>
        <w:tabs>
          <w:tab w:pos="1684" w:val="left" w:leader="none"/>
        </w:tabs>
        <w:spacing w:line="240" w:lineRule="auto" w:before="0" w:after="0"/>
        <w:ind w:left="1684" w:right="1085" w:hanging="567"/>
        <w:jc w:val="left"/>
        <w:rPr>
          <w:sz w:val="18"/>
        </w:rPr>
      </w:pPr>
      <w:r>
        <w:rPr>
          <w:sz w:val="18"/>
        </w:rPr>
        <w:t>IHREC,</w:t>
      </w:r>
      <w:r>
        <w:rPr>
          <w:spacing w:val="-4"/>
          <w:sz w:val="18"/>
        </w:rPr>
        <w:t> </w:t>
      </w:r>
      <w:r>
        <w:rPr>
          <w:sz w:val="18"/>
        </w:rPr>
        <w:t>NIHRC</w:t>
      </w:r>
      <w:r>
        <w:rPr>
          <w:spacing w:val="-5"/>
          <w:sz w:val="18"/>
        </w:rPr>
        <w:t> </w:t>
      </w:r>
      <w:r>
        <w:rPr>
          <w:sz w:val="18"/>
        </w:rPr>
        <w:t>and</w:t>
      </w:r>
      <w:r>
        <w:rPr>
          <w:spacing w:val="-5"/>
          <w:sz w:val="18"/>
        </w:rPr>
        <w:t> </w:t>
      </w:r>
      <w:r>
        <w:rPr>
          <w:sz w:val="18"/>
        </w:rPr>
        <w:t>ECNI,</w:t>
      </w:r>
      <w:r>
        <w:rPr>
          <w:spacing w:val="33"/>
          <w:sz w:val="18"/>
        </w:rPr>
        <w:t> </w:t>
      </w:r>
      <w:r>
        <w:rPr>
          <w:color w:val="1D71B8"/>
          <w:sz w:val="18"/>
          <w:u w:val="single" w:color="1D71B8"/>
        </w:rPr>
        <w:t>Policy</w:t>
      </w:r>
      <w:r>
        <w:rPr>
          <w:color w:val="1D71B8"/>
          <w:spacing w:val="-4"/>
          <w:sz w:val="18"/>
          <w:u w:val="single" w:color="1D71B8"/>
        </w:rPr>
        <w:t> </w:t>
      </w:r>
      <w:r>
        <w:rPr>
          <w:color w:val="1D71B8"/>
          <w:sz w:val="18"/>
          <w:u w:val="single" w:color="1D71B8"/>
        </w:rPr>
        <w:t>Recommendations:</w:t>
      </w:r>
      <w:r>
        <w:rPr>
          <w:color w:val="1D71B8"/>
          <w:spacing w:val="-4"/>
          <w:sz w:val="18"/>
          <w:u w:val="single" w:color="1D71B8"/>
        </w:rPr>
        <w:t> </w:t>
      </w:r>
      <w:r>
        <w:rPr>
          <w:color w:val="1D71B8"/>
          <w:sz w:val="18"/>
          <w:u w:val="single" w:color="1D71B8"/>
        </w:rPr>
        <w:t>European</w:t>
      </w:r>
      <w:r>
        <w:rPr>
          <w:color w:val="1D71B8"/>
          <w:spacing w:val="-4"/>
          <w:sz w:val="18"/>
          <w:u w:val="single" w:color="1D71B8"/>
        </w:rPr>
        <w:t> </w:t>
      </w:r>
      <w:r>
        <w:rPr>
          <w:color w:val="1D71B8"/>
          <w:sz w:val="18"/>
          <w:u w:val="single" w:color="1D71B8"/>
        </w:rPr>
        <w:t>Union</w:t>
      </w:r>
      <w:r>
        <w:rPr>
          <w:color w:val="1D71B8"/>
          <w:spacing w:val="-5"/>
          <w:sz w:val="18"/>
          <w:u w:val="single" w:color="1D71B8"/>
        </w:rPr>
        <w:t> </w:t>
      </w:r>
      <w:r>
        <w:rPr>
          <w:color w:val="1D71B8"/>
          <w:sz w:val="18"/>
          <w:u w:val="single" w:color="1D71B8"/>
        </w:rPr>
        <w:t>Developments</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Impact of Brexit on the Divergence of Rights and Best Practice on the Island of Ireland</w:t>
      </w:r>
      <w:r>
        <w:rPr>
          <w:color w:val="1D71B8"/>
          <w:sz w:val="18"/>
          <w:u w:val="none"/>
        </w:rPr>
        <w:t> </w:t>
      </w:r>
      <w:r>
        <w:rPr>
          <w:sz w:val="18"/>
          <w:u w:val="none"/>
        </w:rPr>
        <w:t>(2023) 27.</w:t>
      </w:r>
    </w:p>
    <w:p>
      <w:pPr>
        <w:pStyle w:val="ListParagraph"/>
        <w:numPr>
          <w:ilvl w:val="0"/>
          <w:numId w:val="9"/>
        </w:numPr>
        <w:tabs>
          <w:tab w:pos="1684" w:val="left" w:leader="none"/>
        </w:tabs>
        <w:spacing w:line="240" w:lineRule="auto" w:before="1" w:after="0"/>
        <w:ind w:left="1684" w:right="743" w:hanging="567"/>
        <w:jc w:val="left"/>
        <w:rPr>
          <w:sz w:val="18"/>
        </w:rPr>
      </w:pPr>
      <w:r>
        <w:rPr>
          <w:sz w:val="18"/>
        </w:rPr>
        <w:t>IHREC,</w:t>
      </w:r>
      <w:r>
        <w:rPr>
          <w:spacing w:val="-3"/>
          <w:sz w:val="18"/>
        </w:rPr>
        <w:t> </w:t>
      </w:r>
      <w:r>
        <w:rPr>
          <w:sz w:val="18"/>
        </w:rPr>
        <w:t>NIHRC</w:t>
      </w:r>
      <w:r>
        <w:rPr>
          <w:spacing w:val="-4"/>
          <w:sz w:val="18"/>
        </w:rPr>
        <w:t> </w:t>
      </w:r>
      <w:r>
        <w:rPr>
          <w:sz w:val="18"/>
        </w:rPr>
        <w:t>and</w:t>
      </w:r>
      <w:r>
        <w:rPr>
          <w:spacing w:val="-4"/>
          <w:sz w:val="18"/>
        </w:rPr>
        <w:t> </w:t>
      </w:r>
      <w:r>
        <w:rPr>
          <w:sz w:val="18"/>
        </w:rPr>
        <w:t>ECNI,</w:t>
      </w:r>
      <w:r>
        <w:rPr>
          <w:spacing w:val="-3"/>
          <w:sz w:val="1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Island</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after</w:t>
      </w:r>
      <w:r>
        <w:rPr>
          <w:color w:val="1D71B8"/>
          <w:spacing w:val="-3"/>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Annual</w:t>
      </w:r>
      <w:r>
        <w:rPr>
          <w:color w:val="1D71B8"/>
          <w:spacing w:val="-3"/>
          <w:sz w:val="18"/>
          <w:u w:val="single" w:color="1D71B8"/>
        </w:rPr>
        <w:t> </w:t>
      </w:r>
      <w:r>
        <w:rPr>
          <w:color w:val="1D71B8"/>
          <w:sz w:val="18"/>
          <w:u w:val="single" w:color="1D71B8"/>
        </w:rPr>
        <w:t>joint</w:t>
      </w:r>
      <w:r>
        <w:rPr>
          <w:color w:val="1D71B8"/>
          <w:spacing w:val="-3"/>
          <w:sz w:val="18"/>
          <w:u w:val="single" w:color="1D71B8"/>
        </w:rPr>
        <w:t> </w:t>
      </w:r>
      <w:r>
        <w:rPr>
          <w:color w:val="1D71B8"/>
          <w:sz w:val="18"/>
          <w:u w:val="single" w:color="1D71B8"/>
        </w:rPr>
        <w:t>report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IHREC,</w:t>
      </w:r>
      <w:r>
        <w:rPr>
          <w:color w:val="1D71B8"/>
          <w:spacing w:val="-3"/>
          <w:sz w:val="18"/>
          <w:u w:val="single" w:color="1D71B8"/>
        </w:rPr>
        <w:t> </w:t>
      </w:r>
      <w:r>
        <w:rPr>
          <w:color w:val="1D71B8"/>
          <w:sz w:val="18"/>
          <w:u w:val="single" w:color="1D71B8"/>
        </w:rPr>
        <w:t>ECNI</w:t>
      </w:r>
      <w:r>
        <w:rPr>
          <w:color w:val="1D71B8"/>
          <w:sz w:val="18"/>
          <w:u w:val="none"/>
        </w:rPr>
        <w:t> </w:t>
      </w:r>
      <w:r>
        <w:rPr>
          <w:color w:val="1D71B8"/>
          <w:sz w:val="18"/>
          <w:u w:val="single" w:color="1D71B8"/>
        </w:rPr>
        <w:t>and NIHRC on the implementation of Article 2 of the Windsor Framework. October 2022 – September 2023</w:t>
      </w:r>
      <w:r>
        <w:rPr>
          <w:color w:val="1D71B8"/>
          <w:sz w:val="18"/>
          <w:u w:val="none"/>
        </w:rPr>
        <w:t> </w:t>
      </w:r>
      <w:r>
        <w:rPr>
          <w:sz w:val="18"/>
          <w:u w:val="none"/>
        </w:rPr>
        <w:t>(6 December 2023)</w:t>
      </w:r>
      <w:r>
        <w:rPr>
          <w:spacing w:val="-2"/>
          <w:sz w:val="18"/>
          <w:u w:val="none"/>
        </w:rPr>
        <w:t> </w:t>
      </w:r>
      <w:r>
        <w:rPr>
          <w:sz w:val="18"/>
          <w:u w:val="none"/>
        </w:rPr>
        <w:t>11.</w:t>
      </w:r>
    </w:p>
    <w:p>
      <w:pPr>
        <w:pStyle w:val="ListParagraph"/>
        <w:numPr>
          <w:ilvl w:val="0"/>
          <w:numId w:val="9"/>
        </w:numPr>
        <w:tabs>
          <w:tab w:pos="1684" w:val="left" w:leader="none"/>
        </w:tabs>
        <w:spacing w:line="240" w:lineRule="auto" w:before="1" w:after="0"/>
        <w:ind w:left="1684" w:right="981"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w:t>
      </w:r>
    </w:p>
    <w:p>
      <w:pPr>
        <w:spacing w:after="0" w:line="240" w:lineRule="auto"/>
        <w:jc w:val="both"/>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66976">
                <wp:simplePos x="0" y="0"/>
                <wp:positionH relativeFrom="page">
                  <wp:posOffset>0</wp:posOffset>
                </wp:positionH>
                <wp:positionV relativeFrom="page">
                  <wp:posOffset>0</wp:posOffset>
                </wp:positionV>
                <wp:extent cx="7560309" cy="1155065"/>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7560309" cy="1155065"/>
                          <a:chExt cx="7560309" cy="1155065"/>
                        </a:xfrm>
                      </wpg:grpSpPr>
                      <wps:wsp>
                        <wps:cNvPr id="332" name="Graphic 332"/>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333" name="Graphic 333"/>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49504" id="docshapegroup261" coordorigin="0,0" coordsize="11906,1819">
                <v:shape style="position:absolute;left:0;top:0;width:11906;height:1819" id="docshape262"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28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170"/>
      </w:pPr>
      <w:r>
        <w:rPr/>
        <w:t>We agree with the analysis and recommendations in that initial report, though note many of the recommendations remain outstanding. We generally do not replicate the recommendations</w:t>
      </w:r>
      <w:r>
        <w:rPr>
          <w:spacing w:val="-1"/>
        </w:rPr>
        <w:t> </w:t>
      </w:r>
      <w:r>
        <w:rPr/>
        <w:t>in</w:t>
      </w:r>
      <w:r>
        <w:rPr>
          <w:spacing w:val="-1"/>
        </w:rPr>
        <w:t> </w:t>
      </w:r>
      <w:r>
        <w:rPr/>
        <w:t>the initial</w:t>
      </w:r>
      <w:r>
        <w:rPr>
          <w:spacing w:val="-1"/>
        </w:rPr>
        <w:t> </w:t>
      </w:r>
      <w:r>
        <w:rPr/>
        <w:t>report, except where we wish</w:t>
      </w:r>
      <w:r>
        <w:rPr>
          <w:spacing w:val="-1"/>
        </w:rPr>
        <w:t> </w:t>
      </w:r>
      <w:r>
        <w:rPr/>
        <w:t>to</w:t>
      </w:r>
      <w:r>
        <w:rPr>
          <w:spacing w:val="-1"/>
        </w:rPr>
        <w:t> </w:t>
      </w:r>
      <w:r>
        <w:rPr/>
        <w:t>draw attention to subsequent developments or outstanding issues. The Commissions have</w:t>
      </w:r>
      <w:r>
        <w:rPr>
          <w:spacing w:val="-7"/>
        </w:rPr>
        <w:t> </w:t>
      </w:r>
      <w:r>
        <w:rPr/>
        <w:t>produced</w:t>
      </w:r>
      <w:r>
        <w:rPr>
          <w:spacing w:val="-8"/>
        </w:rPr>
        <w:t> </w:t>
      </w:r>
      <w:r>
        <w:rPr/>
        <w:t>policy</w:t>
      </w:r>
      <w:r>
        <w:rPr>
          <w:spacing w:val="-7"/>
        </w:rPr>
        <w:t> </w:t>
      </w:r>
      <w:r>
        <w:rPr/>
        <w:t>recommendations</w:t>
      </w:r>
      <w:r>
        <w:rPr>
          <w:spacing w:val="-8"/>
        </w:rPr>
        <w:t> </w:t>
      </w:r>
      <w:r>
        <w:rPr/>
        <w:t>based</w:t>
      </w:r>
      <w:r>
        <w:rPr>
          <w:spacing w:val="-8"/>
        </w:rPr>
        <w:t> </w:t>
      </w:r>
      <w:r>
        <w:rPr/>
        <w:t>on</w:t>
      </w:r>
      <w:r>
        <w:rPr>
          <w:spacing w:val="-8"/>
        </w:rPr>
        <w:t> </w:t>
      </w:r>
      <w:r>
        <w:rPr/>
        <w:t>the</w:t>
      </w:r>
      <w:r>
        <w:rPr>
          <w:spacing w:val="-7"/>
        </w:rPr>
        <w:t> </w:t>
      </w:r>
      <w:r>
        <w:rPr/>
        <w:t>initial</w:t>
      </w:r>
      <w:r>
        <w:rPr>
          <w:spacing w:val="-8"/>
        </w:rPr>
        <w:t> </w:t>
      </w:r>
      <w:r>
        <w:rPr/>
        <w:t>divergence</w:t>
      </w:r>
      <w:r>
        <w:rPr>
          <w:spacing w:val="-7"/>
        </w:rPr>
        <w:t> </w:t>
      </w:r>
      <w:r>
        <w:rPr/>
        <w:t>report.</w:t>
      </w:r>
      <w:r>
        <w:rPr>
          <w:spacing w:val="-8"/>
        </w:rPr>
        <w:t> </w:t>
      </w:r>
      <w:r>
        <w:rPr/>
        <w:t>The Commissions make numerous recommendations ‘in line with international human rights best practice and to avoid a divergence of rights on the island of Ireland’,</w:t>
      </w:r>
      <w:r>
        <w:rPr>
          <w:vertAlign w:val="superscript"/>
        </w:rPr>
        <w:t>96</w:t>
      </w:r>
      <w:r>
        <w:rPr>
          <w:vertAlign w:val="baseline"/>
        </w:rPr>
        <w:t> including in relation to:</w:t>
      </w:r>
    </w:p>
    <w:p>
      <w:pPr>
        <w:pStyle w:val="ListParagraph"/>
        <w:numPr>
          <w:ilvl w:val="0"/>
          <w:numId w:val="12"/>
        </w:numPr>
        <w:tabs>
          <w:tab w:pos="1060" w:val="left" w:leader="none"/>
        </w:tabs>
        <w:spacing w:line="343" w:lineRule="exact" w:before="249" w:after="0"/>
        <w:ind w:left="1060" w:right="0" w:hanging="340"/>
        <w:jc w:val="left"/>
        <w:rPr>
          <w:sz w:val="28"/>
        </w:rPr>
      </w:pPr>
      <w:r>
        <w:rPr>
          <w:sz w:val="28"/>
        </w:rPr>
        <w:t>Age</w:t>
      </w:r>
      <w:r>
        <w:rPr>
          <w:spacing w:val="-9"/>
          <w:sz w:val="28"/>
        </w:rPr>
        <w:t> </w:t>
      </w:r>
      <w:r>
        <w:rPr>
          <w:sz w:val="28"/>
        </w:rPr>
        <w:t>discrimination</w:t>
      </w:r>
      <w:r>
        <w:rPr>
          <w:spacing w:val="-8"/>
          <w:sz w:val="28"/>
        </w:rPr>
        <w:t> </w:t>
      </w:r>
      <w:r>
        <w:rPr>
          <w:sz w:val="28"/>
        </w:rPr>
        <w:t>legislation</w:t>
      </w:r>
      <w:r>
        <w:rPr>
          <w:spacing w:val="-9"/>
          <w:sz w:val="28"/>
        </w:rPr>
        <w:t> </w:t>
      </w:r>
      <w:r>
        <w:rPr>
          <w:sz w:val="28"/>
        </w:rPr>
        <w:t>and</w:t>
      </w:r>
      <w:r>
        <w:rPr>
          <w:spacing w:val="-9"/>
          <w:sz w:val="28"/>
        </w:rPr>
        <w:t> </w:t>
      </w:r>
      <w:r>
        <w:rPr>
          <w:sz w:val="28"/>
        </w:rPr>
        <w:t>goods</w:t>
      </w:r>
      <w:r>
        <w:rPr>
          <w:spacing w:val="-9"/>
          <w:sz w:val="28"/>
        </w:rPr>
        <w:t> </w:t>
      </w:r>
      <w:r>
        <w:rPr>
          <w:sz w:val="28"/>
        </w:rPr>
        <w:t>facilities</w:t>
      </w:r>
      <w:r>
        <w:rPr>
          <w:spacing w:val="-9"/>
          <w:sz w:val="28"/>
        </w:rPr>
        <w:t> </w:t>
      </w:r>
      <w:r>
        <w:rPr>
          <w:sz w:val="28"/>
        </w:rPr>
        <w:t>and</w:t>
      </w:r>
      <w:r>
        <w:rPr>
          <w:spacing w:val="-9"/>
          <w:sz w:val="28"/>
        </w:rPr>
        <w:t> </w:t>
      </w:r>
      <w:r>
        <w:rPr>
          <w:spacing w:val="-2"/>
          <w:sz w:val="28"/>
        </w:rPr>
        <w:t>services;</w:t>
      </w:r>
      <w:r>
        <w:rPr>
          <w:spacing w:val="-2"/>
          <w:sz w:val="28"/>
          <w:vertAlign w:val="superscript"/>
        </w:rPr>
        <w:t>97</w:t>
      </w:r>
    </w:p>
    <w:p>
      <w:pPr>
        <w:pStyle w:val="ListParagraph"/>
        <w:numPr>
          <w:ilvl w:val="0"/>
          <w:numId w:val="12"/>
        </w:numPr>
        <w:tabs>
          <w:tab w:pos="1060" w:val="left" w:leader="none"/>
        </w:tabs>
        <w:spacing w:line="330" w:lineRule="exact" w:before="0" w:after="0"/>
        <w:ind w:left="1060" w:right="0" w:hanging="340"/>
        <w:jc w:val="left"/>
        <w:rPr>
          <w:sz w:val="28"/>
        </w:rPr>
      </w:pPr>
      <w:r>
        <w:rPr>
          <w:sz w:val="28"/>
        </w:rPr>
        <w:t>Pay</w:t>
      </w:r>
      <w:r>
        <w:rPr>
          <w:spacing w:val="-13"/>
          <w:sz w:val="28"/>
        </w:rPr>
        <w:t> </w:t>
      </w:r>
      <w:r>
        <w:rPr>
          <w:spacing w:val="-2"/>
          <w:sz w:val="28"/>
        </w:rPr>
        <w:t>transparency;</w:t>
      </w:r>
      <w:r>
        <w:rPr>
          <w:spacing w:val="-2"/>
          <w:sz w:val="28"/>
          <w:vertAlign w:val="superscript"/>
        </w:rPr>
        <w:t>98</w:t>
      </w:r>
    </w:p>
    <w:p>
      <w:pPr>
        <w:pStyle w:val="ListParagraph"/>
        <w:numPr>
          <w:ilvl w:val="0"/>
          <w:numId w:val="12"/>
        </w:numPr>
        <w:tabs>
          <w:tab w:pos="1060" w:val="left" w:leader="none"/>
        </w:tabs>
        <w:spacing w:line="330" w:lineRule="exact" w:before="0" w:after="0"/>
        <w:ind w:left="1060" w:right="0" w:hanging="340"/>
        <w:jc w:val="left"/>
        <w:rPr>
          <w:sz w:val="28"/>
        </w:rPr>
      </w:pPr>
      <w:r>
        <w:rPr>
          <w:sz w:val="28"/>
        </w:rPr>
        <w:t>Standards</w:t>
      </w:r>
      <w:r>
        <w:rPr>
          <w:spacing w:val="-6"/>
          <w:sz w:val="28"/>
        </w:rPr>
        <w:t> </w:t>
      </w:r>
      <w:r>
        <w:rPr>
          <w:sz w:val="28"/>
        </w:rPr>
        <w:t>for</w:t>
      </w:r>
      <w:r>
        <w:rPr>
          <w:spacing w:val="-5"/>
          <w:sz w:val="28"/>
        </w:rPr>
        <w:t> </w:t>
      </w:r>
      <w:r>
        <w:rPr>
          <w:sz w:val="28"/>
        </w:rPr>
        <w:t>equality</w:t>
      </w:r>
      <w:r>
        <w:rPr>
          <w:spacing w:val="-5"/>
          <w:sz w:val="28"/>
        </w:rPr>
        <w:t> </w:t>
      </w:r>
      <w:r>
        <w:rPr>
          <w:spacing w:val="-2"/>
          <w:sz w:val="28"/>
        </w:rPr>
        <w:t>bodies;</w:t>
      </w:r>
      <w:r>
        <w:rPr>
          <w:spacing w:val="-2"/>
          <w:sz w:val="28"/>
          <w:vertAlign w:val="superscript"/>
        </w:rPr>
        <w:t>99</w:t>
      </w:r>
    </w:p>
    <w:p>
      <w:pPr>
        <w:pStyle w:val="ListParagraph"/>
        <w:numPr>
          <w:ilvl w:val="0"/>
          <w:numId w:val="12"/>
        </w:numPr>
        <w:tabs>
          <w:tab w:pos="1060" w:val="left" w:leader="none"/>
        </w:tabs>
        <w:spacing w:line="330" w:lineRule="exact" w:before="0" w:after="0"/>
        <w:ind w:left="1060" w:right="0" w:hanging="340"/>
        <w:jc w:val="left"/>
        <w:rPr>
          <w:sz w:val="28"/>
        </w:rPr>
      </w:pPr>
      <w:r>
        <w:rPr>
          <w:sz w:val="28"/>
        </w:rPr>
        <w:t>The</w:t>
      </w:r>
      <w:r>
        <w:rPr>
          <w:spacing w:val="-2"/>
          <w:sz w:val="28"/>
        </w:rPr>
        <w:t> </w:t>
      </w:r>
      <w:r>
        <w:rPr>
          <w:sz w:val="28"/>
        </w:rPr>
        <w:t>EU Accessibility </w:t>
      </w:r>
      <w:r>
        <w:rPr>
          <w:spacing w:val="-2"/>
          <w:sz w:val="28"/>
        </w:rPr>
        <w:t>Act;</w:t>
      </w:r>
      <w:r>
        <w:rPr>
          <w:spacing w:val="-2"/>
          <w:sz w:val="28"/>
          <w:vertAlign w:val="superscript"/>
        </w:rPr>
        <w:t>100</w:t>
      </w:r>
    </w:p>
    <w:p>
      <w:pPr>
        <w:pStyle w:val="ListParagraph"/>
        <w:numPr>
          <w:ilvl w:val="0"/>
          <w:numId w:val="12"/>
        </w:numPr>
        <w:tabs>
          <w:tab w:pos="1060" w:val="left" w:leader="none"/>
        </w:tabs>
        <w:spacing w:line="330" w:lineRule="exact" w:before="0" w:after="0"/>
        <w:ind w:left="1060" w:right="0" w:hanging="340"/>
        <w:jc w:val="left"/>
        <w:rPr>
          <w:sz w:val="28"/>
        </w:rPr>
      </w:pPr>
      <w:r>
        <w:rPr>
          <w:sz w:val="28"/>
        </w:rPr>
        <w:t>The</w:t>
      </w:r>
      <w:r>
        <w:rPr>
          <w:spacing w:val="-9"/>
          <w:sz w:val="28"/>
        </w:rPr>
        <w:t> </w:t>
      </w:r>
      <w:r>
        <w:rPr>
          <w:sz w:val="28"/>
        </w:rPr>
        <w:t>EU</w:t>
      </w:r>
      <w:r>
        <w:rPr>
          <w:spacing w:val="-8"/>
          <w:sz w:val="28"/>
        </w:rPr>
        <w:t> </w:t>
      </w:r>
      <w:r>
        <w:rPr>
          <w:sz w:val="28"/>
        </w:rPr>
        <w:t>Work-Life</w:t>
      </w:r>
      <w:r>
        <w:rPr>
          <w:spacing w:val="-8"/>
          <w:sz w:val="28"/>
        </w:rPr>
        <w:t> </w:t>
      </w:r>
      <w:r>
        <w:rPr>
          <w:sz w:val="28"/>
        </w:rPr>
        <w:t>Balance</w:t>
      </w:r>
      <w:r>
        <w:rPr>
          <w:spacing w:val="-8"/>
          <w:sz w:val="28"/>
        </w:rPr>
        <w:t> </w:t>
      </w:r>
      <w:r>
        <w:rPr>
          <w:spacing w:val="-2"/>
          <w:sz w:val="28"/>
        </w:rPr>
        <w:t>directive;</w:t>
      </w:r>
      <w:r>
        <w:rPr>
          <w:spacing w:val="-2"/>
          <w:sz w:val="28"/>
          <w:vertAlign w:val="superscript"/>
        </w:rPr>
        <w:t>101</w:t>
      </w:r>
    </w:p>
    <w:p>
      <w:pPr>
        <w:pStyle w:val="ListParagraph"/>
        <w:numPr>
          <w:ilvl w:val="0"/>
          <w:numId w:val="12"/>
        </w:numPr>
        <w:tabs>
          <w:tab w:pos="1060" w:val="left" w:leader="none"/>
        </w:tabs>
        <w:spacing w:line="330" w:lineRule="exact" w:before="0" w:after="0"/>
        <w:ind w:left="1060" w:right="0" w:hanging="340"/>
        <w:jc w:val="left"/>
        <w:rPr>
          <w:sz w:val="28"/>
        </w:rPr>
      </w:pPr>
      <w:r>
        <w:rPr>
          <w:sz w:val="28"/>
        </w:rPr>
        <w:t>CJEU</w:t>
      </w:r>
      <w:r>
        <w:rPr>
          <w:spacing w:val="-4"/>
          <w:sz w:val="28"/>
        </w:rPr>
        <w:t> </w:t>
      </w:r>
      <w:r>
        <w:rPr>
          <w:sz w:val="28"/>
        </w:rPr>
        <w:t>case</w:t>
      </w:r>
      <w:r>
        <w:rPr>
          <w:spacing w:val="-3"/>
          <w:sz w:val="28"/>
        </w:rPr>
        <w:t> </w:t>
      </w:r>
      <w:r>
        <w:rPr>
          <w:sz w:val="28"/>
        </w:rPr>
        <w:t>law</w:t>
      </w:r>
      <w:r>
        <w:rPr>
          <w:spacing w:val="-3"/>
          <w:sz w:val="28"/>
        </w:rPr>
        <w:t> </w:t>
      </w:r>
      <w:r>
        <w:rPr>
          <w:sz w:val="28"/>
        </w:rPr>
        <w:t>on</w:t>
      </w:r>
      <w:r>
        <w:rPr>
          <w:spacing w:val="-5"/>
          <w:sz w:val="28"/>
        </w:rPr>
        <w:t> </w:t>
      </w:r>
      <w:r>
        <w:rPr>
          <w:sz w:val="28"/>
        </w:rPr>
        <w:t>the</w:t>
      </w:r>
      <w:r>
        <w:rPr>
          <w:spacing w:val="-3"/>
          <w:sz w:val="28"/>
        </w:rPr>
        <w:t> </w:t>
      </w:r>
      <w:r>
        <w:rPr>
          <w:sz w:val="28"/>
        </w:rPr>
        <w:t>Citizens’</w:t>
      </w:r>
      <w:r>
        <w:rPr>
          <w:spacing w:val="-3"/>
          <w:sz w:val="28"/>
        </w:rPr>
        <w:t> </w:t>
      </w:r>
      <w:r>
        <w:rPr>
          <w:sz w:val="28"/>
        </w:rPr>
        <w:t>Rights</w:t>
      </w:r>
      <w:r>
        <w:rPr>
          <w:spacing w:val="-4"/>
          <w:sz w:val="28"/>
        </w:rPr>
        <w:t> </w:t>
      </w:r>
      <w:r>
        <w:rPr>
          <w:spacing w:val="-2"/>
          <w:sz w:val="28"/>
        </w:rPr>
        <w:t>Directive;</w:t>
      </w:r>
      <w:r>
        <w:rPr>
          <w:spacing w:val="-2"/>
          <w:sz w:val="28"/>
          <w:vertAlign w:val="superscript"/>
        </w:rPr>
        <w:t>102</w:t>
      </w:r>
    </w:p>
    <w:p>
      <w:pPr>
        <w:pStyle w:val="ListParagraph"/>
        <w:numPr>
          <w:ilvl w:val="0"/>
          <w:numId w:val="12"/>
        </w:numPr>
        <w:tabs>
          <w:tab w:pos="1060" w:val="left" w:leader="none"/>
        </w:tabs>
        <w:spacing w:line="330" w:lineRule="exact" w:before="0" w:after="0"/>
        <w:ind w:left="1060" w:right="0" w:hanging="340"/>
        <w:jc w:val="left"/>
        <w:rPr>
          <w:sz w:val="28"/>
        </w:rPr>
      </w:pPr>
      <w:r>
        <w:rPr>
          <w:sz w:val="28"/>
        </w:rPr>
        <w:t>CJEU</w:t>
      </w:r>
      <w:r>
        <w:rPr>
          <w:spacing w:val="-6"/>
          <w:sz w:val="28"/>
        </w:rPr>
        <w:t> </w:t>
      </w:r>
      <w:r>
        <w:rPr>
          <w:sz w:val="28"/>
        </w:rPr>
        <w:t>case</w:t>
      </w:r>
      <w:r>
        <w:rPr>
          <w:spacing w:val="-5"/>
          <w:sz w:val="28"/>
        </w:rPr>
        <w:t> </w:t>
      </w:r>
      <w:r>
        <w:rPr>
          <w:sz w:val="28"/>
        </w:rPr>
        <w:t>law</w:t>
      </w:r>
      <w:r>
        <w:rPr>
          <w:spacing w:val="-5"/>
          <w:sz w:val="28"/>
        </w:rPr>
        <w:t> </w:t>
      </w:r>
      <w:r>
        <w:rPr>
          <w:sz w:val="28"/>
        </w:rPr>
        <w:t>on</w:t>
      </w:r>
      <w:r>
        <w:rPr>
          <w:spacing w:val="-6"/>
          <w:sz w:val="28"/>
        </w:rPr>
        <w:t> </w:t>
      </w:r>
      <w:r>
        <w:rPr>
          <w:sz w:val="28"/>
        </w:rPr>
        <w:t>access</w:t>
      </w:r>
      <w:r>
        <w:rPr>
          <w:spacing w:val="-5"/>
          <w:sz w:val="28"/>
        </w:rPr>
        <w:t> </w:t>
      </w:r>
      <w:r>
        <w:rPr>
          <w:sz w:val="28"/>
        </w:rPr>
        <w:t>to</w:t>
      </w:r>
      <w:r>
        <w:rPr>
          <w:spacing w:val="-6"/>
          <w:sz w:val="28"/>
        </w:rPr>
        <w:t> </w:t>
      </w:r>
      <w:r>
        <w:rPr>
          <w:sz w:val="28"/>
        </w:rPr>
        <w:t>court</w:t>
      </w:r>
      <w:r>
        <w:rPr>
          <w:spacing w:val="-5"/>
          <w:sz w:val="28"/>
        </w:rPr>
        <w:t> </w:t>
      </w:r>
      <w:r>
        <w:rPr>
          <w:sz w:val="28"/>
        </w:rPr>
        <w:t>and</w:t>
      </w:r>
      <w:r>
        <w:rPr>
          <w:spacing w:val="-6"/>
          <w:sz w:val="28"/>
        </w:rPr>
        <w:t> </w:t>
      </w:r>
      <w:r>
        <w:rPr>
          <w:sz w:val="28"/>
        </w:rPr>
        <w:t>effective</w:t>
      </w:r>
      <w:r>
        <w:rPr>
          <w:spacing w:val="-5"/>
          <w:sz w:val="28"/>
        </w:rPr>
        <w:t> </w:t>
      </w:r>
      <w:r>
        <w:rPr>
          <w:spacing w:val="-2"/>
          <w:sz w:val="28"/>
        </w:rPr>
        <w:t>remedies;</w:t>
      </w:r>
      <w:r>
        <w:rPr>
          <w:spacing w:val="-2"/>
          <w:sz w:val="28"/>
          <w:vertAlign w:val="superscript"/>
        </w:rPr>
        <w:t>103</w:t>
      </w:r>
    </w:p>
    <w:p>
      <w:pPr>
        <w:pStyle w:val="ListParagraph"/>
        <w:numPr>
          <w:ilvl w:val="0"/>
          <w:numId w:val="12"/>
        </w:numPr>
        <w:tabs>
          <w:tab w:pos="1060" w:val="left" w:leader="none"/>
        </w:tabs>
        <w:spacing w:line="330" w:lineRule="exact" w:before="0" w:after="0"/>
        <w:ind w:left="1060" w:right="0" w:hanging="340"/>
        <w:jc w:val="left"/>
        <w:rPr>
          <w:sz w:val="28"/>
        </w:rPr>
      </w:pPr>
      <w:r>
        <w:rPr>
          <w:sz w:val="28"/>
        </w:rPr>
        <w:t>CJEU</w:t>
      </w:r>
      <w:r>
        <w:rPr>
          <w:spacing w:val="-2"/>
          <w:sz w:val="28"/>
        </w:rPr>
        <w:t> </w:t>
      </w:r>
      <w:r>
        <w:rPr>
          <w:sz w:val="28"/>
        </w:rPr>
        <w:t>case</w:t>
      </w:r>
      <w:r>
        <w:rPr>
          <w:spacing w:val="-1"/>
          <w:sz w:val="28"/>
        </w:rPr>
        <w:t> </w:t>
      </w:r>
      <w:r>
        <w:rPr>
          <w:sz w:val="28"/>
        </w:rPr>
        <w:t>law</w:t>
      </w:r>
      <w:r>
        <w:rPr>
          <w:spacing w:val="-1"/>
          <w:sz w:val="28"/>
        </w:rPr>
        <w:t> </w:t>
      </w:r>
      <w:r>
        <w:rPr>
          <w:sz w:val="28"/>
        </w:rPr>
        <w:t>on</w:t>
      </w:r>
      <w:r>
        <w:rPr>
          <w:spacing w:val="-2"/>
          <w:sz w:val="28"/>
        </w:rPr>
        <w:t> compensation;</w:t>
      </w:r>
      <w:r>
        <w:rPr>
          <w:spacing w:val="-2"/>
          <w:sz w:val="28"/>
          <w:vertAlign w:val="superscript"/>
        </w:rPr>
        <w:t>104</w:t>
      </w:r>
    </w:p>
    <w:p>
      <w:pPr>
        <w:pStyle w:val="ListParagraph"/>
        <w:numPr>
          <w:ilvl w:val="0"/>
          <w:numId w:val="12"/>
        </w:numPr>
        <w:tabs>
          <w:tab w:pos="1060" w:val="left" w:leader="none"/>
        </w:tabs>
        <w:spacing w:line="330" w:lineRule="exact" w:before="0" w:after="0"/>
        <w:ind w:left="1060" w:right="0" w:hanging="340"/>
        <w:jc w:val="left"/>
        <w:rPr>
          <w:sz w:val="28"/>
        </w:rPr>
      </w:pPr>
      <w:r>
        <w:rPr>
          <w:sz w:val="28"/>
        </w:rPr>
        <w:t>Giving</w:t>
      </w:r>
      <w:r>
        <w:rPr>
          <w:spacing w:val="-6"/>
          <w:sz w:val="28"/>
        </w:rPr>
        <w:t> </w:t>
      </w:r>
      <w:r>
        <w:rPr>
          <w:sz w:val="28"/>
        </w:rPr>
        <w:t>effect</w:t>
      </w:r>
      <w:r>
        <w:rPr>
          <w:spacing w:val="-6"/>
          <w:sz w:val="28"/>
        </w:rPr>
        <w:t> </w:t>
      </w:r>
      <w:r>
        <w:rPr>
          <w:sz w:val="28"/>
        </w:rPr>
        <w:t>to</w:t>
      </w:r>
      <w:r>
        <w:rPr>
          <w:spacing w:val="-7"/>
          <w:sz w:val="28"/>
        </w:rPr>
        <w:t> </w:t>
      </w:r>
      <w:r>
        <w:rPr>
          <w:sz w:val="28"/>
        </w:rPr>
        <w:t>the</w:t>
      </w:r>
      <w:r>
        <w:rPr>
          <w:spacing w:val="-6"/>
          <w:sz w:val="28"/>
        </w:rPr>
        <w:t> </w:t>
      </w:r>
      <w:r>
        <w:rPr>
          <w:sz w:val="28"/>
        </w:rPr>
        <w:t>UN</w:t>
      </w:r>
      <w:r>
        <w:rPr>
          <w:spacing w:val="-5"/>
          <w:sz w:val="28"/>
        </w:rPr>
        <w:t> </w:t>
      </w:r>
      <w:r>
        <w:rPr>
          <w:sz w:val="28"/>
        </w:rPr>
        <w:t>Convention</w:t>
      </w:r>
      <w:r>
        <w:rPr>
          <w:spacing w:val="-7"/>
          <w:sz w:val="28"/>
        </w:rPr>
        <w:t> </w:t>
      </w:r>
      <w:r>
        <w:rPr>
          <w:sz w:val="28"/>
        </w:rPr>
        <w:t>on</w:t>
      </w:r>
      <w:r>
        <w:rPr>
          <w:spacing w:val="-7"/>
          <w:sz w:val="28"/>
        </w:rPr>
        <w:t> </w:t>
      </w:r>
      <w:r>
        <w:rPr>
          <w:sz w:val="28"/>
        </w:rPr>
        <w:t>the</w:t>
      </w:r>
      <w:r>
        <w:rPr>
          <w:spacing w:val="-6"/>
          <w:sz w:val="28"/>
        </w:rPr>
        <w:t> </w:t>
      </w:r>
      <w:r>
        <w:rPr>
          <w:sz w:val="28"/>
        </w:rPr>
        <w:t>Rights</w:t>
      </w:r>
      <w:r>
        <w:rPr>
          <w:spacing w:val="-6"/>
          <w:sz w:val="28"/>
        </w:rPr>
        <w:t> </w:t>
      </w:r>
      <w:r>
        <w:rPr>
          <w:sz w:val="28"/>
        </w:rPr>
        <w:t>of</w:t>
      </w:r>
      <w:r>
        <w:rPr>
          <w:spacing w:val="-7"/>
          <w:sz w:val="28"/>
        </w:rPr>
        <w:t> </w:t>
      </w:r>
      <w:r>
        <w:rPr>
          <w:sz w:val="28"/>
        </w:rPr>
        <w:t>Persons</w:t>
      </w:r>
      <w:r>
        <w:rPr>
          <w:spacing w:val="-7"/>
          <w:sz w:val="28"/>
        </w:rPr>
        <w:t> </w:t>
      </w:r>
      <w:r>
        <w:rPr>
          <w:sz w:val="28"/>
        </w:rPr>
        <w:t>with</w:t>
      </w:r>
      <w:r>
        <w:rPr>
          <w:spacing w:val="-7"/>
          <w:sz w:val="28"/>
        </w:rPr>
        <w:t> </w:t>
      </w:r>
      <w:r>
        <w:rPr>
          <w:spacing w:val="-2"/>
          <w:sz w:val="28"/>
        </w:rPr>
        <w:t>Disabilities;</w:t>
      </w:r>
      <w:r>
        <w:rPr>
          <w:spacing w:val="-2"/>
          <w:sz w:val="28"/>
          <w:vertAlign w:val="superscript"/>
        </w:rPr>
        <w:t>105</w:t>
      </w:r>
    </w:p>
    <w:p>
      <w:pPr>
        <w:pStyle w:val="ListParagraph"/>
        <w:numPr>
          <w:ilvl w:val="0"/>
          <w:numId w:val="12"/>
        </w:numPr>
        <w:tabs>
          <w:tab w:pos="1060" w:val="left" w:leader="none"/>
        </w:tabs>
        <w:spacing w:line="330" w:lineRule="exact" w:before="0" w:after="0"/>
        <w:ind w:left="1060" w:right="0" w:hanging="340"/>
        <w:jc w:val="left"/>
        <w:rPr>
          <w:sz w:val="28"/>
        </w:rPr>
      </w:pPr>
      <w:r>
        <w:rPr>
          <w:sz w:val="28"/>
        </w:rPr>
        <w:t>Giving</w:t>
      </w:r>
      <w:r>
        <w:rPr>
          <w:spacing w:val="-1"/>
          <w:sz w:val="28"/>
        </w:rPr>
        <w:t> </w:t>
      </w:r>
      <w:r>
        <w:rPr>
          <w:sz w:val="28"/>
        </w:rPr>
        <w:t>priority</w:t>
      </w:r>
      <w:r>
        <w:rPr>
          <w:spacing w:val="-1"/>
          <w:sz w:val="28"/>
        </w:rPr>
        <w:t> </w:t>
      </w:r>
      <w:r>
        <w:rPr>
          <w:sz w:val="28"/>
        </w:rPr>
        <w:t>to</w:t>
      </w:r>
      <w:r>
        <w:rPr>
          <w:spacing w:val="-2"/>
          <w:sz w:val="28"/>
        </w:rPr>
        <w:t> </w:t>
      </w:r>
      <w:r>
        <w:rPr>
          <w:sz w:val="28"/>
        </w:rPr>
        <w:t>disability </w:t>
      </w:r>
      <w:r>
        <w:rPr>
          <w:spacing w:val="-2"/>
          <w:sz w:val="28"/>
        </w:rPr>
        <w:t>discrimination;</w:t>
      </w:r>
      <w:r>
        <w:rPr>
          <w:spacing w:val="-2"/>
          <w:sz w:val="28"/>
          <w:vertAlign w:val="superscript"/>
        </w:rPr>
        <w:t>106</w:t>
      </w:r>
    </w:p>
    <w:p>
      <w:pPr>
        <w:pStyle w:val="ListParagraph"/>
        <w:numPr>
          <w:ilvl w:val="0"/>
          <w:numId w:val="12"/>
        </w:numPr>
        <w:tabs>
          <w:tab w:pos="1060" w:val="left" w:leader="none"/>
        </w:tabs>
        <w:spacing w:line="343" w:lineRule="exact" w:before="0" w:after="0"/>
        <w:ind w:left="1060" w:right="0" w:hanging="340"/>
        <w:jc w:val="left"/>
        <w:rPr>
          <w:sz w:val="28"/>
        </w:rPr>
      </w:pPr>
      <w:r>
        <w:rPr>
          <w:sz w:val="28"/>
        </w:rPr>
        <w:t>The</w:t>
      </w:r>
      <w:r>
        <w:rPr>
          <w:spacing w:val="-4"/>
          <w:sz w:val="28"/>
        </w:rPr>
        <w:t> </w:t>
      </w:r>
      <w:r>
        <w:rPr>
          <w:sz w:val="28"/>
        </w:rPr>
        <w:t>introduction</w:t>
      </w:r>
      <w:r>
        <w:rPr>
          <w:spacing w:val="-5"/>
          <w:sz w:val="28"/>
        </w:rPr>
        <w:t> </w:t>
      </w:r>
      <w:r>
        <w:rPr>
          <w:sz w:val="28"/>
        </w:rPr>
        <w:t>of</w:t>
      </w:r>
      <w:r>
        <w:rPr>
          <w:spacing w:val="-4"/>
          <w:sz w:val="28"/>
        </w:rPr>
        <w:t> </w:t>
      </w:r>
      <w:r>
        <w:rPr>
          <w:sz w:val="28"/>
        </w:rPr>
        <w:t>a</w:t>
      </w:r>
      <w:r>
        <w:rPr>
          <w:spacing w:val="-4"/>
          <w:sz w:val="28"/>
        </w:rPr>
        <w:t> </w:t>
      </w:r>
      <w:r>
        <w:rPr>
          <w:sz w:val="28"/>
        </w:rPr>
        <w:t>single</w:t>
      </w:r>
      <w:r>
        <w:rPr>
          <w:spacing w:val="-4"/>
          <w:sz w:val="28"/>
        </w:rPr>
        <w:t> </w:t>
      </w:r>
      <w:r>
        <w:rPr>
          <w:sz w:val="28"/>
        </w:rPr>
        <w:t>equality</w:t>
      </w:r>
      <w:r>
        <w:rPr>
          <w:spacing w:val="-4"/>
          <w:sz w:val="28"/>
        </w:rPr>
        <w:t> </w:t>
      </w:r>
      <w:r>
        <w:rPr>
          <w:sz w:val="28"/>
        </w:rPr>
        <w:t>act</w:t>
      </w:r>
      <w:r>
        <w:rPr>
          <w:spacing w:val="-3"/>
          <w:sz w:val="28"/>
        </w:rPr>
        <w:t> </w:t>
      </w:r>
      <w:r>
        <w:rPr>
          <w:sz w:val="28"/>
        </w:rPr>
        <w:t>in</w:t>
      </w:r>
      <w:r>
        <w:rPr>
          <w:spacing w:val="-5"/>
          <w:sz w:val="28"/>
        </w:rPr>
        <w:t> </w:t>
      </w:r>
      <w:r>
        <w:rPr>
          <w:spacing w:val="-2"/>
          <w:sz w:val="28"/>
        </w:rPr>
        <w:t>NI.</w:t>
      </w:r>
      <w:r>
        <w:rPr>
          <w:spacing w:val="-2"/>
          <w:sz w:val="28"/>
          <w:vertAlign w:val="superscript"/>
        </w:rPr>
        <w:t>107</w:t>
      </w:r>
    </w:p>
    <w:p>
      <w:pPr>
        <w:pStyle w:val="BodyText"/>
        <w:spacing w:line="232" w:lineRule="auto" w:before="280"/>
        <w:ind w:left="720" w:right="1819"/>
      </w:pPr>
      <w:r>
        <w:rPr/>
        <w:t>The UK Government does not agree with the analysis of the Commissions that the 1998 Agreement envisages a broad concept of equivalence in rights protection North and South.</w:t>
      </w:r>
      <w:r>
        <w:rPr>
          <w:vertAlign w:val="superscript"/>
        </w:rPr>
        <w:t>108</w:t>
      </w:r>
      <w:r>
        <w:rPr>
          <w:vertAlign w:val="baseline"/>
        </w:rPr>
        <w:t> The Government does however agree that future</w:t>
      </w:r>
      <w:r>
        <w:rPr>
          <w:spacing w:val="-7"/>
          <w:vertAlign w:val="baseline"/>
        </w:rPr>
        <w:t> </w:t>
      </w:r>
      <w:r>
        <w:rPr>
          <w:vertAlign w:val="baseline"/>
        </w:rPr>
        <w:t>developments</w:t>
      </w:r>
      <w:r>
        <w:rPr>
          <w:spacing w:val="-8"/>
          <w:vertAlign w:val="baseline"/>
        </w:rPr>
        <w:t> </w:t>
      </w:r>
      <w:r>
        <w:rPr>
          <w:vertAlign w:val="baseline"/>
        </w:rPr>
        <w:t>in</w:t>
      </w:r>
      <w:r>
        <w:rPr>
          <w:spacing w:val="-8"/>
          <w:vertAlign w:val="baseline"/>
        </w:rPr>
        <w:t> </w:t>
      </w:r>
      <w:r>
        <w:rPr>
          <w:vertAlign w:val="baseline"/>
        </w:rPr>
        <w:t>international</w:t>
      </w:r>
      <w:r>
        <w:rPr>
          <w:spacing w:val="-8"/>
          <w:vertAlign w:val="baseline"/>
        </w:rPr>
        <w:t> </w:t>
      </w:r>
      <w:r>
        <w:rPr>
          <w:vertAlign w:val="baseline"/>
        </w:rPr>
        <w:t>best</w:t>
      </w:r>
      <w:r>
        <w:rPr>
          <w:spacing w:val="-7"/>
          <w:vertAlign w:val="baseline"/>
        </w:rPr>
        <w:t> </w:t>
      </w:r>
      <w:r>
        <w:rPr>
          <w:vertAlign w:val="baseline"/>
        </w:rPr>
        <w:t>practice</w:t>
      </w:r>
      <w:r>
        <w:rPr>
          <w:spacing w:val="-7"/>
          <w:vertAlign w:val="baseline"/>
        </w:rPr>
        <w:t> </w:t>
      </w:r>
      <w:r>
        <w:rPr>
          <w:vertAlign w:val="baseline"/>
        </w:rPr>
        <w:t>is</w:t>
      </w:r>
      <w:r>
        <w:rPr>
          <w:spacing w:val="-8"/>
          <w:vertAlign w:val="baseline"/>
        </w:rPr>
        <w:t> </w:t>
      </w:r>
      <w:r>
        <w:rPr>
          <w:vertAlign w:val="baseline"/>
        </w:rPr>
        <w:t>relevant,</w:t>
      </w:r>
      <w:r>
        <w:rPr>
          <w:spacing w:val="-7"/>
          <w:vertAlign w:val="baseline"/>
        </w:rPr>
        <w:t> </w:t>
      </w:r>
      <w:r>
        <w:rPr>
          <w:vertAlign w:val="baseline"/>
        </w:rPr>
        <w:t>as</w:t>
      </w:r>
      <w:r>
        <w:rPr>
          <w:spacing w:val="-8"/>
          <w:vertAlign w:val="baseline"/>
        </w:rPr>
        <w:t> </w:t>
      </w:r>
      <w:r>
        <w:rPr>
          <w:vertAlign w:val="baseline"/>
        </w:rPr>
        <w:t>the</w:t>
      </w:r>
      <w:r>
        <w:rPr>
          <w:spacing w:val="-7"/>
          <w:vertAlign w:val="baseline"/>
        </w:rPr>
        <w:t> </w:t>
      </w:r>
      <w:r>
        <w:rPr>
          <w:vertAlign w:val="baseline"/>
        </w:rPr>
        <w:t>Article</w:t>
      </w:r>
      <w:r>
        <w:rPr>
          <w:spacing w:val="-7"/>
          <w:vertAlign w:val="baseline"/>
        </w:rPr>
        <w:t> </w:t>
      </w:r>
      <w:r>
        <w:rPr>
          <w:vertAlign w:val="baseline"/>
        </w:rPr>
        <w:t>2 commitment is implemented.</w:t>
      </w:r>
      <w:r>
        <w:rPr>
          <w:vertAlign w:val="superscript"/>
        </w:rPr>
        <w:t>109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7"/>
        <w:rPr>
          <w:sz w:val="20"/>
        </w:rPr>
      </w:pPr>
      <w:r>
        <w:rPr/>
        <mc:AlternateContent>
          <mc:Choice Requires="wps">
            <w:drawing>
              <wp:anchor distT="0" distB="0" distL="0" distR="0" allowOverlap="1" layoutInCell="1" locked="0" behindDoc="1" simplePos="0" relativeHeight="487649792">
                <wp:simplePos x="0" y="0"/>
                <wp:positionH relativeFrom="page">
                  <wp:posOffset>647999</wp:posOffset>
                </wp:positionH>
                <wp:positionV relativeFrom="paragraph">
                  <wp:posOffset>295850</wp:posOffset>
                </wp:positionV>
                <wp:extent cx="6012180" cy="1270"/>
                <wp:effectExtent l="0" t="0" r="0" b="0"/>
                <wp:wrapTopAndBottom/>
                <wp:docPr id="334" name="Graphic 334"/>
                <wp:cNvGraphicFramePr>
                  <a:graphicFrameLocks/>
                </wp:cNvGraphicFramePr>
                <a:graphic>
                  <a:graphicData uri="http://schemas.microsoft.com/office/word/2010/wordprocessingShape">
                    <wps:wsp>
                      <wps:cNvPr id="334" name="Graphic 33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3.295313pt;width:473.4pt;height:.1pt;mso-position-horizontal-relative:page;mso-position-vertical-relative:paragraph;z-index:-15666688;mso-wrap-distance-left:0;mso-wrap-distance-right:0" id="docshape263" coordorigin="1020,466" coordsize="9468,0" path="m1020,466l10488,466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1523" w:hanging="567"/>
        <w:jc w:val="left"/>
        <w:rPr>
          <w:sz w:val="18"/>
        </w:rPr>
      </w:pPr>
      <w:r>
        <w:rPr>
          <w:sz w:val="18"/>
        </w:rPr>
        <w:t>IHREC,</w:t>
      </w:r>
      <w:r>
        <w:rPr>
          <w:spacing w:val="-4"/>
          <w:sz w:val="18"/>
        </w:rPr>
        <w:t> </w:t>
      </w:r>
      <w:r>
        <w:rPr>
          <w:sz w:val="18"/>
        </w:rPr>
        <w:t>NIHRC</w:t>
      </w:r>
      <w:r>
        <w:rPr>
          <w:spacing w:val="-5"/>
          <w:sz w:val="18"/>
        </w:rPr>
        <w:t> </w:t>
      </w:r>
      <w:r>
        <w:rPr>
          <w:sz w:val="18"/>
        </w:rPr>
        <w:t>and</w:t>
      </w:r>
      <w:r>
        <w:rPr>
          <w:spacing w:val="-5"/>
          <w:sz w:val="18"/>
        </w:rPr>
        <w:t> </w:t>
      </w:r>
      <w:r>
        <w:rPr>
          <w:sz w:val="18"/>
        </w:rPr>
        <w:t>ECNI,</w:t>
      </w:r>
      <w:r>
        <w:rPr>
          <w:spacing w:val="-4"/>
          <w:sz w:val="18"/>
        </w:rPr>
        <w:t> </w:t>
      </w:r>
      <w:r>
        <w:rPr>
          <w:color w:val="1D71B8"/>
          <w:sz w:val="18"/>
          <w:u w:val="single" w:color="1D71B8"/>
        </w:rPr>
        <w:t>Policy</w:t>
      </w:r>
      <w:r>
        <w:rPr>
          <w:color w:val="1D71B8"/>
          <w:spacing w:val="-4"/>
          <w:sz w:val="18"/>
          <w:u w:val="single" w:color="1D71B8"/>
        </w:rPr>
        <w:t> </w:t>
      </w:r>
      <w:r>
        <w:rPr>
          <w:color w:val="1D71B8"/>
          <w:sz w:val="18"/>
          <w:u w:val="single" w:color="1D71B8"/>
        </w:rPr>
        <w:t>Recommendations:</w:t>
      </w:r>
      <w:r>
        <w:rPr>
          <w:color w:val="1D71B8"/>
          <w:spacing w:val="-4"/>
          <w:sz w:val="18"/>
          <w:u w:val="single" w:color="1D71B8"/>
        </w:rPr>
        <w:t> </w:t>
      </w:r>
      <w:r>
        <w:rPr>
          <w:color w:val="1D71B8"/>
          <w:sz w:val="18"/>
          <w:u w:val="single" w:color="1D71B8"/>
        </w:rPr>
        <w:t>European</w:t>
      </w:r>
      <w:r>
        <w:rPr>
          <w:color w:val="1D71B8"/>
          <w:spacing w:val="-4"/>
          <w:sz w:val="18"/>
          <w:u w:val="single" w:color="1D71B8"/>
        </w:rPr>
        <w:t> </w:t>
      </w:r>
      <w:r>
        <w:rPr>
          <w:color w:val="1D71B8"/>
          <w:sz w:val="18"/>
          <w:u w:val="single" w:color="1D71B8"/>
        </w:rPr>
        <w:t>Union</w:t>
      </w:r>
      <w:r>
        <w:rPr>
          <w:color w:val="1D71B8"/>
          <w:spacing w:val="-5"/>
          <w:sz w:val="18"/>
          <w:u w:val="single" w:color="1D71B8"/>
        </w:rPr>
        <w:t> </w:t>
      </w:r>
      <w:r>
        <w:rPr>
          <w:color w:val="1D71B8"/>
          <w:sz w:val="18"/>
          <w:u w:val="single" w:color="1D71B8"/>
        </w:rPr>
        <w:t>Developments</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Impact of Brexit on the Divergence of Rights and Best Practice on the Island of Ireland</w:t>
      </w:r>
      <w:r>
        <w:rPr>
          <w:color w:val="1D71B8"/>
          <w:sz w:val="18"/>
          <w:u w:val="none"/>
        </w:rPr>
        <w:t> </w:t>
      </w:r>
      <w:r>
        <w:rPr>
          <w:sz w:val="18"/>
          <w:u w:val="none"/>
        </w:rPr>
        <w:t>(2023) 32.</w:t>
      </w:r>
    </w:p>
    <w:p>
      <w:pPr>
        <w:pStyle w:val="ListParagraph"/>
        <w:numPr>
          <w:ilvl w:val="0"/>
          <w:numId w:val="9"/>
        </w:numPr>
        <w:tabs>
          <w:tab w:pos="1287" w:val="left" w:leader="none"/>
        </w:tabs>
        <w:spacing w:line="240" w:lineRule="auto" w:before="1" w:after="0"/>
        <w:ind w:left="1287" w:right="0" w:hanging="567"/>
        <w:jc w:val="left"/>
        <w:rPr>
          <w:sz w:val="18"/>
        </w:rPr>
      </w:pPr>
      <w:r>
        <w:rPr>
          <w:sz w:val="18"/>
        </w:rPr>
        <w:t>Ibid</w:t>
      </w:r>
      <w:r>
        <w:rPr>
          <w:spacing w:val="-4"/>
          <w:sz w:val="18"/>
        </w:rPr>
        <w:t> </w:t>
      </w:r>
      <w:r>
        <w:rPr>
          <w:spacing w:val="-5"/>
          <w:sz w:val="18"/>
        </w:rPr>
        <w:t>33.</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4"/>
          <w:sz w:val="18"/>
        </w:rPr>
        <w:t> </w:t>
      </w:r>
      <w:r>
        <w:rPr>
          <w:spacing w:val="-5"/>
          <w:sz w:val="18"/>
        </w:rPr>
        <w:t>35.</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4"/>
          <w:sz w:val="18"/>
        </w:rPr>
        <w:t> </w:t>
      </w:r>
      <w:r>
        <w:rPr>
          <w:spacing w:val="-5"/>
          <w:sz w:val="18"/>
        </w:rPr>
        <w:t>37.</w:t>
      </w:r>
    </w:p>
    <w:p>
      <w:pPr>
        <w:pStyle w:val="ListParagraph"/>
        <w:numPr>
          <w:ilvl w:val="0"/>
          <w:numId w:val="9"/>
        </w:numPr>
        <w:tabs>
          <w:tab w:pos="1287" w:val="left" w:leader="none"/>
        </w:tabs>
        <w:spacing w:line="240" w:lineRule="auto" w:before="1" w:after="0"/>
        <w:ind w:left="1287" w:right="0" w:hanging="567"/>
        <w:jc w:val="left"/>
        <w:rPr>
          <w:sz w:val="18"/>
        </w:rPr>
      </w:pPr>
      <w:r>
        <w:rPr>
          <w:sz w:val="18"/>
        </w:rPr>
        <w:t>Ibid</w:t>
      </w:r>
      <w:r>
        <w:rPr>
          <w:spacing w:val="-4"/>
          <w:sz w:val="18"/>
        </w:rPr>
        <w:t> </w:t>
      </w:r>
      <w:r>
        <w:rPr>
          <w:spacing w:val="-5"/>
          <w:sz w:val="18"/>
        </w:rPr>
        <w:t>39.</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4"/>
          <w:sz w:val="18"/>
        </w:rPr>
        <w:t> </w:t>
      </w:r>
      <w:r>
        <w:rPr>
          <w:spacing w:val="-5"/>
          <w:sz w:val="18"/>
        </w:rPr>
        <w:t>40.</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4"/>
          <w:sz w:val="18"/>
        </w:rPr>
        <w:t> </w:t>
      </w:r>
      <w:r>
        <w:rPr>
          <w:spacing w:val="-5"/>
          <w:sz w:val="18"/>
        </w:rPr>
        <w:t>43.</w:t>
      </w:r>
    </w:p>
    <w:p>
      <w:pPr>
        <w:pStyle w:val="ListParagraph"/>
        <w:numPr>
          <w:ilvl w:val="0"/>
          <w:numId w:val="9"/>
        </w:numPr>
        <w:tabs>
          <w:tab w:pos="1287" w:val="left" w:leader="none"/>
        </w:tabs>
        <w:spacing w:line="240" w:lineRule="auto" w:before="1" w:after="0"/>
        <w:ind w:left="1287" w:right="0" w:hanging="567"/>
        <w:jc w:val="left"/>
        <w:rPr>
          <w:sz w:val="18"/>
        </w:rPr>
      </w:pPr>
      <w:r>
        <w:rPr>
          <w:sz w:val="18"/>
        </w:rPr>
        <w:t>Ibid</w:t>
      </w:r>
      <w:r>
        <w:rPr>
          <w:spacing w:val="-4"/>
          <w:sz w:val="18"/>
        </w:rPr>
        <w:t> </w:t>
      </w:r>
      <w:r>
        <w:rPr>
          <w:spacing w:val="-5"/>
          <w:sz w:val="18"/>
        </w:rPr>
        <w:t>45.</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4"/>
          <w:sz w:val="18"/>
        </w:rPr>
        <w:t> </w:t>
      </w:r>
      <w:r>
        <w:rPr>
          <w:spacing w:val="-5"/>
          <w:sz w:val="18"/>
        </w:rPr>
        <w:t>46.</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4"/>
          <w:sz w:val="18"/>
        </w:rPr>
        <w:t> </w:t>
      </w:r>
      <w:r>
        <w:rPr>
          <w:spacing w:val="-5"/>
          <w:sz w:val="18"/>
        </w:rPr>
        <w:t>48.</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4"/>
          <w:sz w:val="18"/>
        </w:rPr>
        <w:t> </w:t>
      </w:r>
      <w:r>
        <w:rPr>
          <w:spacing w:val="-5"/>
          <w:sz w:val="18"/>
        </w:rPr>
        <w:t>50.</w:t>
      </w:r>
    </w:p>
    <w:p>
      <w:pPr>
        <w:pStyle w:val="ListParagraph"/>
        <w:numPr>
          <w:ilvl w:val="0"/>
          <w:numId w:val="9"/>
        </w:numPr>
        <w:tabs>
          <w:tab w:pos="1287" w:val="left" w:leader="none"/>
        </w:tabs>
        <w:spacing w:line="240" w:lineRule="auto" w:before="1" w:after="0"/>
        <w:ind w:left="1287" w:right="0" w:hanging="567"/>
        <w:jc w:val="left"/>
        <w:rPr>
          <w:sz w:val="18"/>
        </w:rPr>
      </w:pPr>
      <w:r>
        <w:rPr>
          <w:sz w:val="18"/>
        </w:rPr>
        <w:t>Ibid</w:t>
      </w:r>
      <w:r>
        <w:rPr>
          <w:spacing w:val="-4"/>
          <w:sz w:val="18"/>
        </w:rPr>
        <w:t> </w:t>
      </w:r>
      <w:r>
        <w:rPr>
          <w:spacing w:val="-5"/>
          <w:sz w:val="18"/>
        </w:rPr>
        <w:t>51.</w:t>
      </w:r>
    </w:p>
    <w:p>
      <w:pPr>
        <w:pStyle w:val="ListParagraph"/>
        <w:numPr>
          <w:ilvl w:val="0"/>
          <w:numId w:val="9"/>
        </w:numPr>
        <w:tabs>
          <w:tab w:pos="1287" w:val="left" w:leader="none"/>
        </w:tabs>
        <w:spacing w:line="240" w:lineRule="auto" w:before="0" w:after="0"/>
        <w:ind w:left="1287" w:right="1941" w:hanging="567"/>
        <w:jc w:val="left"/>
        <w:rPr>
          <w:sz w:val="18"/>
        </w:rPr>
      </w:pPr>
      <w:r>
        <w:rPr>
          <w:sz w:val="18"/>
        </w:rPr>
        <w:t>UK</w:t>
      </w:r>
      <w:r>
        <w:rPr>
          <w:spacing w:val="-4"/>
          <w:sz w:val="18"/>
        </w:rPr>
        <w:t> </w:t>
      </w:r>
      <w:r>
        <w:rPr>
          <w:sz w:val="18"/>
        </w:rPr>
        <w:t>Government,</w:t>
      </w:r>
      <w:r>
        <w:rPr>
          <w:spacing w:val="-4"/>
          <w:sz w:val="18"/>
        </w:rPr>
        <w:t> </w:t>
      </w:r>
      <w:r>
        <w:rPr>
          <w:color w:val="1D71B8"/>
          <w:sz w:val="18"/>
          <w:u w:val="single" w:color="1D71B8"/>
        </w:rPr>
        <w:t>Explainer:</w:t>
      </w:r>
      <w:r>
        <w:rPr>
          <w:color w:val="1D71B8"/>
          <w:spacing w:val="-4"/>
          <w:sz w:val="18"/>
          <w:u w:val="single" w:color="1D71B8"/>
        </w:rPr>
        <w:t> </w:t>
      </w:r>
      <w:r>
        <w:rPr>
          <w:color w:val="1D71B8"/>
          <w:sz w:val="18"/>
          <w:u w:val="single" w:color="1D71B8"/>
        </w:rPr>
        <w:t>UK</w:t>
      </w:r>
      <w:r>
        <w:rPr>
          <w:color w:val="1D71B8"/>
          <w:spacing w:val="-4"/>
          <w:sz w:val="18"/>
          <w:u w:val="single" w:color="1D71B8"/>
        </w:rPr>
        <w:t> </w:t>
      </w:r>
      <w:r>
        <w:rPr>
          <w:color w:val="1D71B8"/>
          <w:sz w:val="18"/>
          <w:u w:val="single" w:color="1D71B8"/>
        </w:rPr>
        <w:t>Government</w:t>
      </w:r>
      <w:r>
        <w:rPr>
          <w:color w:val="1D71B8"/>
          <w:spacing w:val="-4"/>
          <w:sz w:val="18"/>
          <w:u w:val="single" w:color="1D71B8"/>
        </w:rPr>
        <w:t> </w:t>
      </w:r>
      <w:r>
        <w:rPr>
          <w:color w:val="1D71B8"/>
          <w:sz w:val="18"/>
          <w:u w:val="single" w:color="1D71B8"/>
        </w:rPr>
        <w:t>commitment</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no</w:t>
      </w:r>
      <w:r>
        <w:rPr>
          <w:color w:val="1D71B8"/>
          <w:spacing w:val="-4"/>
          <w:sz w:val="18"/>
          <w:u w:val="single" w:color="1D71B8"/>
        </w:rPr>
        <w:t> </w:t>
      </w:r>
      <w:r>
        <w:rPr>
          <w:color w:val="1D71B8"/>
          <w:sz w:val="18"/>
          <w:u w:val="single" w:color="1D71B8"/>
        </w:rPr>
        <w:t>diminution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safeguards</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of</w:t>
      </w:r>
      <w:r>
        <w:rPr>
          <w:color w:val="1D71B8"/>
          <w:sz w:val="18"/>
          <w:u w:val="none"/>
        </w:rPr>
        <w:t> </w:t>
      </w:r>
      <w:r>
        <w:rPr>
          <w:color w:val="1D71B8"/>
          <w:sz w:val="18"/>
          <w:u w:val="single" w:color="1D71B8"/>
        </w:rPr>
        <w:t>opportunity in Northern Ireland</w:t>
      </w:r>
      <w:r>
        <w:rPr>
          <w:color w:val="1D71B8"/>
          <w:sz w:val="18"/>
          <w:u w:val="none"/>
        </w:rPr>
        <w:t> </w:t>
      </w:r>
      <w:r>
        <w:rPr>
          <w:sz w:val="18"/>
          <w:u w:val="none"/>
        </w:rPr>
        <w:t>(2020) paragraph 23.</w:t>
      </w:r>
    </w:p>
    <w:p>
      <w:pPr>
        <w:pStyle w:val="ListParagraph"/>
        <w:numPr>
          <w:ilvl w:val="0"/>
          <w:numId w:val="9"/>
        </w:numPr>
        <w:tabs>
          <w:tab w:pos="1287" w:val="left" w:leader="none"/>
        </w:tabs>
        <w:spacing w:line="240" w:lineRule="auto" w:before="0" w:after="0"/>
        <w:ind w:left="1287" w:right="1941" w:hanging="567"/>
        <w:jc w:val="left"/>
        <w:rPr>
          <w:sz w:val="18"/>
        </w:rPr>
      </w:pPr>
      <w:r>
        <w:rPr>
          <w:sz w:val="18"/>
        </w:rPr>
        <w:t>UK</w:t>
      </w:r>
      <w:r>
        <w:rPr>
          <w:spacing w:val="-4"/>
          <w:sz w:val="18"/>
        </w:rPr>
        <w:t> </w:t>
      </w:r>
      <w:r>
        <w:rPr>
          <w:sz w:val="18"/>
        </w:rPr>
        <w:t>Government,</w:t>
      </w:r>
      <w:r>
        <w:rPr>
          <w:spacing w:val="-4"/>
          <w:sz w:val="18"/>
        </w:rPr>
        <w:t> </w:t>
      </w:r>
      <w:r>
        <w:rPr>
          <w:color w:val="1D71B8"/>
          <w:sz w:val="18"/>
          <w:u w:val="single" w:color="1D71B8"/>
        </w:rPr>
        <w:t>Explainer:</w:t>
      </w:r>
      <w:r>
        <w:rPr>
          <w:color w:val="1D71B8"/>
          <w:spacing w:val="-4"/>
          <w:sz w:val="18"/>
          <w:u w:val="single" w:color="1D71B8"/>
        </w:rPr>
        <w:t> </w:t>
      </w:r>
      <w:r>
        <w:rPr>
          <w:color w:val="1D71B8"/>
          <w:sz w:val="18"/>
          <w:u w:val="single" w:color="1D71B8"/>
        </w:rPr>
        <w:t>UK</w:t>
      </w:r>
      <w:r>
        <w:rPr>
          <w:color w:val="1D71B8"/>
          <w:spacing w:val="-4"/>
          <w:sz w:val="18"/>
          <w:u w:val="single" w:color="1D71B8"/>
        </w:rPr>
        <w:t> </w:t>
      </w:r>
      <w:r>
        <w:rPr>
          <w:color w:val="1D71B8"/>
          <w:sz w:val="18"/>
          <w:u w:val="single" w:color="1D71B8"/>
        </w:rPr>
        <w:t>Government</w:t>
      </w:r>
      <w:r>
        <w:rPr>
          <w:color w:val="1D71B8"/>
          <w:spacing w:val="-4"/>
          <w:sz w:val="18"/>
          <w:u w:val="single" w:color="1D71B8"/>
        </w:rPr>
        <w:t> </w:t>
      </w:r>
      <w:r>
        <w:rPr>
          <w:color w:val="1D71B8"/>
          <w:sz w:val="18"/>
          <w:u w:val="single" w:color="1D71B8"/>
        </w:rPr>
        <w:t>commitment</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no</w:t>
      </w:r>
      <w:r>
        <w:rPr>
          <w:color w:val="1D71B8"/>
          <w:spacing w:val="-4"/>
          <w:sz w:val="18"/>
          <w:u w:val="single" w:color="1D71B8"/>
        </w:rPr>
        <w:t> </w:t>
      </w:r>
      <w:r>
        <w:rPr>
          <w:color w:val="1D71B8"/>
          <w:sz w:val="18"/>
          <w:u w:val="single" w:color="1D71B8"/>
        </w:rPr>
        <w:t>diminution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safeguards</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of</w:t>
      </w:r>
      <w:r>
        <w:rPr>
          <w:color w:val="1D71B8"/>
          <w:sz w:val="18"/>
          <w:u w:val="none"/>
        </w:rPr>
        <w:t> </w:t>
      </w:r>
      <w:r>
        <w:rPr>
          <w:color w:val="1D71B8"/>
          <w:sz w:val="18"/>
          <w:u w:val="single" w:color="1D71B8"/>
        </w:rPr>
        <w:t>opportunity in Northern Ireland</w:t>
      </w:r>
      <w:r>
        <w:rPr>
          <w:color w:val="1D71B8"/>
          <w:sz w:val="18"/>
          <w:u w:val="none"/>
        </w:rPr>
        <w:t> </w:t>
      </w:r>
      <w:r>
        <w:rPr>
          <w:sz w:val="18"/>
          <w:u w:val="none"/>
        </w:rPr>
        <w:t>(2020) paragraph 7, 23.</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792128">
                <wp:simplePos x="0" y="0"/>
                <wp:positionH relativeFrom="page">
                  <wp:posOffset>-2</wp:posOffset>
                </wp:positionH>
                <wp:positionV relativeFrom="page">
                  <wp:posOffset>0</wp:posOffset>
                </wp:positionV>
                <wp:extent cx="7560309" cy="1257935"/>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7560309" cy="1257935"/>
                          <a:chExt cx="7560309" cy="1257935"/>
                        </a:xfrm>
                      </wpg:grpSpPr>
                      <wps:wsp>
                        <wps:cNvPr id="336" name="Graphic 336"/>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337" name="Graphic 337"/>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338" name="Textbox 338"/>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339" name="Textbox 339"/>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29</w:t>
                              </w:r>
                            </w:p>
                          </w:txbxContent>
                        </wps:txbx>
                        <wps:bodyPr wrap="square" lIns="0" tIns="0" rIns="0" bIns="0" rtlCol="0">
                          <a:noAutofit/>
                        </wps:bodyPr>
                      </wps:wsp>
                      <wps:wsp>
                        <wps:cNvPr id="340" name="Textbox 340"/>
                        <wps:cNvSpPr txBox="1"/>
                        <wps:spPr>
                          <a:xfrm>
                            <a:off x="900001" y="1080003"/>
                            <a:ext cx="1983739" cy="177800"/>
                          </a:xfrm>
                          <a:prstGeom prst="rect">
                            <a:avLst/>
                          </a:prstGeom>
                        </wps:spPr>
                        <wps:txbx>
                          <w:txbxContent>
                            <w:p>
                              <w:pPr>
                                <w:spacing w:line="280" w:lineRule="exact" w:before="0"/>
                                <w:ind w:left="0" w:right="0" w:firstLine="0"/>
                                <w:jc w:val="left"/>
                                <w:rPr>
                                  <w:b/>
                                  <w:sz w:val="28"/>
                                </w:rPr>
                              </w:pPr>
                              <w:r>
                                <w:rPr>
                                  <w:b/>
                                  <w:color w:val="004A93"/>
                                  <w:sz w:val="28"/>
                                </w:rPr>
                                <w:t>1.2.8</w:t>
                              </w:r>
                              <w:r>
                                <w:rPr>
                                  <w:b/>
                                  <w:color w:val="004A93"/>
                                  <w:spacing w:val="-4"/>
                                  <w:sz w:val="28"/>
                                </w:rPr>
                                <w:t> </w:t>
                              </w:r>
                              <w:r>
                                <w:rPr>
                                  <w:b/>
                                  <w:color w:val="004A93"/>
                                  <w:sz w:val="28"/>
                                </w:rPr>
                                <w:t>Scope</w:t>
                              </w:r>
                              <w:r>
                                <w:rPr>
                                  <w:b/>
                                  <w:color w:val="004A93"/>
                                  <w:spacing w:val="-5"/>
                                  <w:sz w:val="28"/>
                                </w:rPr>
                                <w:t> </w:t>
                              </w:r>
                              <w:r>
                                <w:rPr>
                                  <w:b/>
                                  <w:color w:val="004A93"/>
                                  <w:sz w:val="28"/>
                                </w:rPr>
                                <w:t>of</w:t>
                              </w:r>
                              <w:r>
                                <w:rPr>
                                  <w:b/>
                                  <w:color w:val="004A93"/>
                                  <w:spacing w:val="-5"/>
                                  <w:sz w:val="28"/>
                                </w:rPr>
                                <w:t> </w:t>
                              </w:r>
                              <w:r>
                                <w:rPr>
                                  <w:b/>
                                  <w:color w:val="004A93"/>
                                  <w:sz w:val="28"/>
                                </w:rPr>
                                <w:t>Article</w:t>
                              </w:r>
                              <w:r>
                                <w:rPr>
                                  <w:b/>
                                  <w:color w:val="004A93"/>
                                  <w:spacing w:val="-5"/>
                                  <w:sz w:val="28"/>
                                </w:rPr>
                                <w:t> </w:t>
                              </w:r>
                              <w:r>
                                <w:rPr>
                                  <w:b/>
                                  <w:color w:val="004A93"/>
                                  <w:sz w:val="28"/>
                                </w:rPr>
                                <w:t>2</w:t>
                              </w:r>
                              <w:r>
                                <w:rPr>
                                  <w:b/>
                                  <w:color w:val="004A93"/>
                                  <w:spacing w:val="-4"/>
                                  <w:sz w:val="28"/>
                                </w:rPr>
                                <w:t> </w:t>
                              </w:r>
                              <w:r>
                                <w:rPr>
                                  <w:b/>
                                  <w:color w:val="004A93"/>
                                  <w:spacing w:val="-5"/>
                                  <w:sz w:val="28"/>
                                </w:rPr>
                                <w:t>WF</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792128" id="docshapegroup264" coordorigin="0,0" coordsize="11906,1981">
                <v:shape style="position:absolute;left:0;top:0;width:11906;height:1819" id="docshape26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266"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267" filled="false" stroked="false">
                  <v:textbox inset="0,0,0,0">
                    <w:txbxContent>
                      <w:p>
                        <w:pPr>
                          <w:spacing w:line="280" w:lineRule="exact" w:before="0"/>
                          <w:ind w:left="0" w:right="0" w:firstLine="0"/>
                          <w:jc w:val="left"/>
                          <w:rPr>
                            <w:b/>
                            <w:sz w:val="28"/>
                          </w:rPr>
                        </w:pPr>
                        <w:r>
                          <w:rPr>
                            <w:b/>
                            <w:color w:val="FFFFFF"/>
                            <w:spacing w:val="-5"/>
                            <w:sz w:val="28"/>
                          </w:rPr>
                          <w:t>29</w:t>
                        </w:r>
                      </w:p>
                    </w:txbxContent>
                  </v:textbox>
                  <w10:wrap type="none"/>
                </v:shape>
                <v:shape style="position:absolute;left:1417;top:1700;width:3124;height:280" type="#_x0000_t202" id="docshape268" filled="false" stroked="false">
                  <v:textbox inset="0,0,0,0">
                    <w:txbxContent>
                      <w:p>
                        <w:pPr>
                          <w:spacing w:line="280" w:lineRule="exact" w:before="0"/>
                          <w:ind w:left="0" w:right="0" w:firstLine="0"/>
                          <w:jc w:val="left"/>
                          <w:rPr>
                            <w:b/>
                            <w:sz w:val="28"/>
                          </w:rPr>
                        </w:pPr>
                        <w:r>
                          <w:rPr>
                            <w:b/>
                            <w:color w:val="004A93"/>
                            <w:sz w:val="28"/>
                          </w:rPr>
                          <w:t>1.2.8</w:t>
                        </w:r>
                        <w:r>
                          <w:rPr>
                            <w:b/>
                            <w:color w:val="004A93"/>
                            <w:spacing w:val="-4"/>
                            <w:sz w:val="28"/>
                          </w:rPr>
                          <w:t> </w:t>
                        </w:r>
                        <w:r>
                          <w:rPr>
                            <w:b/>
                            <w:color w:val="004A93"/>
                            <w:sz w:val="28"/>
                          </w:rPr>
                          <w:t>Scope</w:t>
                        </w:r>
                        <w:r>
                          <w:rPr>
                            <w:b/>
                            <w:color w:val="004A93"/>
                            <w:spacing w:val="-5"/>
                            <w:sz w:val="28"/>
                          </w:rPr>
                          <w:t> </w:t>
                        </w:r>
                        <w:r>
                          <w:rPr>
                            <w:b/>
                            <w:color w:val="004A93"/>
                            <w:sz w:val="28"/>
                          </w:rPr>
                          <w:t>of</w:t>
                        </w:r>
                        <w:r>
                          <w:rPr>
                            <w:b/>
                            <w:color w:val="004A93"/>
                            <w:spacing w:val="-5"/>
                            <w:sz w:val="28"/>
                          </w:rPr>
                          <w:t> </w:t>
                        </w:r>
                        <w:r>
                          <w:rPr>
                            <w:b/>
                            <w:color w:val="004A93"/>
                            <w:sz w:val="28"/>
                          </w:rPr>
                          <w:t>Article</w:t>
                        </w:r>
                        <w:r>
                          <w:rPr>
                            <w:b/>
                            <w:color w:val="004A93"/>
                            <w:spacing w:val="-5"/>
                            <w:sz w:val="28"/>
                          </w:rPr>
                          <w:t> </w:t>
                        </w:r>
                        <w:r>
                          <w:rPr>
                            <w:b/>
                            <w:color w:val="004A93"/>
                            <w:sz w:val="28"/>
                          </w:rPr>
                          <w:t>2</w:t>
                        </w:r>
                        <w:r>
                          <w:rPr>
                            <w:b/>
                            <w:color w:val="004A93"/>
                            <w:spacing w:val="-4"/>
                            <w:sz w:val="28"/>
                          </w:rPr>
                          <w:t> </w:t>
                        </w:r>
                        <w:r>
                          <w:rPr>
                            <w:b/>
                            <w:color w:val="004A93"/>
                            <w:spacing w:val="-5"/>
                            <w:sz w:val="28"/>
                          </w:rPr>
                          <w:t>WF</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right="805"/>
      </w:pPr>
      <w:bookmarkStart w:name="1.2.8 Scope of Article 2 WF" w:id="42"/>
      <w:bookmarkEnd w:id="42"/>
      <w:r>
        <w:rPr/>
      </w:r>
      <w:bookmarkStart w:name="_bookmark18" w:id="43"/>
      <w:bookmarkEnd w:id="43"/>
      <w:r>
        <w:rPr/>
      </w:r>
      <w:r>
        <w:rPr/>
        <w:t>The UK Government has accepted in its explainer that Article 2 WF covers some aspects of EU law in addition to the Annex 1 directives. It specifically says that these ‘include’ the Victims’ Directive,</w:t>
      </w:r>
      <w:r>
        <w:rPr>
          <w:vertAlign w:val="superscript"/>
        </w:rPr>
        <w:t>110</w:t>
      </w:r>
      <w:r>
        <w:rPr>
          <w:vertAlign w:val="baseline"/>
        </w:rPr>
        <w:t> Parental Leave Directive</w:t>
      </w:r>
      <w:r>
        <w:rPr>
          <w:vertAlign w:val="superscript"/>
        </w:rPr>
        <w:t>111</w:t>
      </w:r>
      <w:r>
        <w:rPr>
          <w:vertAlign w:val="baseline"/>
        </w:rPr>
        <w:t> and Pregnant Workers’</w:t>
      </w:r>
      <w:r>
        <w:rPr>
          <w:spacing w:val="-16"/>
          <w:vertAlign w:val="baseline"/>
        </w:rPr>
        <w:t> </w:t>
      </w:r>
      <w:r>
        <w:rPr>
          <w:vertAlign w:val="baseline"/>
        </w:rPr>
        <w:t>Directive</w:t>
      </w:r>
      <w:r>
        <w:rPr>
          <w:vertAlign w:val="superscript"/>
        </w:rPr>
        <w:t>112</w:t>
      </w:r>
      <w:r>
        <w:rPr>
          <w:spacing w:val="-16"/>
          <w:vertAlign w:val="baseline"/>
        </w:rPr>
        <w:t> </w:t>
      </w:r>
      <w:r>
        <w:rPr>
          <w:vertAlign w:val="baseline"/>
        </w:rPr>
        <w:t>and</w:t>
      </w:r>
      <w:r>
        <w:rPr>
          <w:spacing w:val="-15"/>
          <w:vertAlign w:val="baseline"/>
        </w:rPr>
        <w:t> </w:t>
      </w:r>
      <w:r>
        <w:rPr>
          <w:vertAlign w:val="baseline"/>
        </w:rPr>
        <w:t>measures</w:t>
      </w:r>
      <w:r>
        <w:rPr>
          <w:spacing w:val="-16"/>
          <w:vertAlign w:val="baseline"/>
        </w:rPr>
        <w:t> </w:t>
      </w:r>
      <w:r>
        <w:rPr>
          <w:vertAlign w:val="baseline"/>
        </w:rPr>
        <w:t>aimed</w:t>
      </w:r>
      <w:r>
        <w:rPr>
          <w:spacing w:val="-16"/>
          <w:vertAlign w:val="baseline"/>
        </w:rPr>
        <w:t> </w:t>
      </w:r>
      <w:r>
        <w:rPr>
          <w:vertAlign w:val="baseline"/>
        </w:rPr>
        <w:t>at</w:t>
      </w:r>
      <w:r>
        <w:rPr>
          <w:spacing w:val="-15"/>
          <w:vertAlign w:val="baseline"/>
        </w:rPr>
        <w:t> </w:t>
      </w:r>
      <w:r>
        <w:rPr>
          <w:vertAlign w:val="baseline"/>
        </w:rPr>
        <w:t>protecting</w:t>
      </w:r>
      <w:r>
        <w:rPr>
          <w:spacing w:val="-16"/>
          <w:vertAlign w:val="baseline"/>
        </w:rPr>
        <w:t> </w:t>
      </w:r>
      <w:r>
        <w:rPr>
          <w:vertAlign w:val="baseline"/>
        </w:rPr>
        <w:t>persons</w:t>
      </w:r>
      <w:r>
        <w:rPr>
          <w:spacing w:val="-16"/>
          <w:vertAlign w:val="baseline"/>
        </w:rPr>
        <w:t> </w:t>
      </w:r>
      <w:r>
        <w:rPr>
          <w:vertAlign w:val="baseline"/>
        </w:rPr>
        <w:t>with</w:t>
      </w:r>
      <w:r>
        <w:rPr>
          <w:spacing w:val="-15"/>
          <w:vertAlign w:val="baseline"/>
        </w:rPr>
        <w:t> </w:t>
      </w:r>
      <w:r>
        <w:rPr>
          <w:vertAlign w:val="baseline"/>
        </w:rPr>
        <w:t>disabilities.</w:t>
      </w:r>
      <w:r>
        <w:rPr>
          <w:vertAlign w:val="superscript"/>
        </w:rPr>
        <w:t>113</w:t>
      </w:r>
      <w:r>
        <w:rPr>
          <w:vertAlign w:val="baseline"/>
        </w:rPr>
        <w:t> The explainer also indicates that Charter of Fundamental Rights of the European Union (CFR) continue to be relevant where ‘captured’ in retained EU law or domestic law and relevant to the rights in the Rights, Safeguards and Equality of Opportunity chapter of the 1998 Agreement.</w:t>
      </w:r>
      <w:r>
        <w:rPr>
          <w:vertAlign w:val="superscript"/>
        </w:rPr>
        <w:t>114</w:t>
      </w:r>
    </w:p>
    <w:p>
      <w:pPr>
        <w:pStyle w:val="BodyText"/>
        <w:spacing w:line="232" w:lineRule="auto" w:before="271"/>
        <w:ind w:left="1117" w:right="950"/>
      </w:pPr>
      <w:r>
        <w:rPr/>
        <w:t>The Commissions have published work on the scope of Article 2 WF.</w:t>
      </w:r>
      <w:r>
        <w:rPr>
          <w:vertAlign w:val="superscript"/>
        </w:rPr>
        <w:t>115</w:t>
      </w:r>
      <w:r>
        <w:rPr>
          <w:vertAlign w:val="baseline"/>
        </w:rPr>
        <w:t> The Commissions’ view is that the relevant chapter of the 1998 Agreement must cover at least the rights in the European Convention on Human Rights, where there</w:t>
      </w:r>
      <w:r>
        <w:rPr>
          <w:spacing w:val="-8"/>
          <w:vertAlign w:val="baseline"/>
        </w:rPr>
        <w:t> </w:t>
      </w:r>
      <w:r>
        <w:rPr>
          <w:vertAlign w:val="baseline"/>
        </w:rPr>
        <w:t>was</w:t>
      </w:r>
      <w:r>
        <w:rPr>
          <w:spacing w:val="-9"/>
          <w:vertAlign w:val="baseline"/>
        </w:rPr>
        <w:t> </w:t>
      </w:r>
      <w:r>
        <w:rPr>
          <w:vertAlign w:val="baseline"/>
        </w:rPr>
        <w:t>underpinning</w:t>
      </w:r>
      <w:r>
        <w:rPr>
          <w:spacing w:val="-8"/>
          <w:vertAlign w:val="baseline"/>
        </w:rPr>
        <w:t> </w:t>
      </w:r>
      <w:r>
        <w:rPr>
          <w:vertAlign w:val="baseline"/>
        </w:rPr>
        <w:t>EU</w:t>
      </w:r>
      <w:r>
        <w:rPr>
          <w:spacing w:val="-8"/>
          <w:vertAlign w:val="baseline"/>
        </w:rPr>
        <w:t> </w:t>
      </w:r>
      <w:r>
        <w:rPr>
          <w:vertAlign w:val="baseline"/>
        </w:rPr>
        <w:t>legislation</w:t>
      </w:r>
      <w:r>
        <w:rPr>
          <w:spacing w:val="-9"/>
          <w:vertAlign w:val="baseline"/>
        </w:rPr>
        <w:t> </w:t>
      </w:r>
      <w:r>
        <w:rPr>
          <w:vertAlign w:val="baseline"/>
        </w:rPr>
        <w:t>in</w:t>
      </w:r>
      <w:r>
        <w:rPr>
          <w:spacing w:val="-9"/>
          <w:vertAlign w:val="baseline"/>
        </w:rPr>
        <w:t> </w:t>
      </w:r>
      <w:r>
        <w:rPr>
          <w:vertAlign w:val="baseline"/>
        </w:rPr>
        <w:t>force</w:t>
      </w:r>
      <w:r>
        <w:rPr>
          <w:spacing w:val="-8"/>
          <w:vertAlign w:val="baseline"/>
        </w:rPr>
        <w:t> </w:t>
      </w:r>
      <w:r>
        <w:rPr>
          <w:vertAlign w:val="baseline"/>
        </w:rPr>
        <w:t>on</w:t>
      </w:r>
      <w:r>
        <w:rPr>
          <w:spacing w:val="-9"/>
          <w:vertAlign w:val="baseline"/>
        </w:rPr>
        <w:t> </w:t>
      </w:r>
      <w:r>
        <w:rPr>
          <w:vertAlign w:val="baseline"/>
        </w:rPr>
        <w:t>or</w:t>
      </w:r>
      <w:r>
        <w:rPr>
          <w:spacing w:val="-8"/>
          <w:vertAlign w:val="baseline"/>
        </w:rPr>
        <w:t> </w:t>
      </w:r>
      <w:r>
        <w:rPr>
          <w:vertAlign w:val="baseline"/>
        </w:rPr>
        <w:t>before</w:t>
      </w:r>
      <w:r>
        <w:rPr>
          <w:spacing w:val="-8"/>
          <w:vertAlign w:val="baseline"/>
        </w:rPr>
        <w:t> </w:t>
      </w:r>
      <w:r>
        <w:rPr>
          <w:vertAlign w:val="baseline"/>
        </w:rPr>
        <w:t>31</w:t>
      </w:r>
      <w:r>
        <w:rPr>
          <w:spacing w:val="-8"/>
          <w:vertAlign w:val="baseline"/>
        </w:rPr>
        <w:t> </w:t>
      </w:r>
      <w:r>
        <w:rPr>
          <w:vertAlign w:val="baseline"/>
        </w:rPr>
        <w:t>December</w:t>
      </w:r>
      <w:r>
        <w:rPr>
          <w:spacing w:val="-8"/>
          <w:vertAlign w:val="baseline"/>
        </w:rPr>
        <w:t> </w:t>
      </w:r>
      <w:r>
        <w:rPr>
          <w:vertAlign w:val="baseline"/>
        </w:rPr>
        <w:t>2020.</w:t>
      </w:r>
      <w:r>
        <w:rPr>
          <w:vertAlign w:val="superscript"/>
        </w:rPr>
        <w:t>116</w:t>
      </w:r>
      <w:r>
        <w:rPr>
          <w:vertAlign w:val="baseline"/>
        </w:rPr>
        <w:t> The language of the 1998 Agreement though also embraces the right to equality of opportunity and envisages a Bill of Rights that would draw on ‘international instruments and experience’, while the British-Irish treaty part of the Agreement refers to civil, political, social, economic and cultural rights. So for the ECNI and NIHRC this makes it ‘arguable’ that the language in the Agreement covers all ‘human rights standards ratified by the UK’.</w:t>
      </w:r>
      <w:r>
        <w:rPr>
          <w:vertAlign w:val="superscript"/>
        </w:rPr>
        <w:t>117</w:t>
      </w:r>
    </w:p>
    <w:p>
      <w:pPr>
        <w:spacing w:line="232" w:lineRule="auto" w:before="268"/>
        <w:ind w:left="1117" w:right="1713" w:firstLine="0"/>
        <w:jc w:val="left"/>
        <w:rPr>
          <w:sz w:val="28"/>
        </w:rPr>
      </w:pPr>
      <w:r>
        <w:rPr>
          <w:sz w:val="28"/>
        </w:rPr>
        <w:t>In</w:t>
      </w:r>
      <w:r>
        <w:rPr>
          <w:spacing w:val="-4"/>
          <w:sz w:val="28"/>
        </w:rPr>
        <w:t> </w:t>
      </w:r>
      <w:r>
        <w:rPr>
          <w:sz w:val="28"/>
        </w:rPr>
        <w:t>the</w:t>
      </w:r>
      <w:r>
        <w:rPr>
          <w:spacing w:val="-3"/>
          <w:sz w:val="28"/>
        </w:rPr>
        <w:t> </w:t>
      </w:r>
      <w:r>
        <w:rPr>
          <w:i/>
          <w:sz w:val="28"/>
        </w:rPr>
        <w:t>Legacy</w:t>
      </w:r>
      <w:r>
        <w:rPr>
          <w:i/>
          <w:spacing w:val="-4"/>
          <w:sz w:val="28"/>
        </w:rPr>
        <w:t> </w:t>
      </w:r>
      <w:r>
        <w:rPr>
          <w:i/>
          <w:sz w:val="28"/>
        </w:rPr>
        <w:t>Act</w:t>
      </w:r>
      <w:r>
        <w:rPr>
          <w:i/>
          <w:spacing w:val="-3"/>
          <w:sz w:val="28"/>
        </w:rPr>
        <w:t> </w:t>
      </w:r>
      <w:r>
        <w:rPr>
          <w:i/>
          <w:sz w:val="28"/>
        </w:rPr>
        <w:t>cases</w:t>
      </w:r>
      <w:r>
        <w:rPr>
          <w:i/>
          <w:spacing w:val="-4"/>
          <w:sz w:val="28"/>
        </w:rPr>
        <w:t> </w:t>
      </w:r>
      <w:r>
        <w:rPr>
          <w:i/>
          <w:sz w:val="28"/>
        </w:rPr>
        <w:t>(Dillon</w:t>
      </w:r>
      <w:r>
        <w:rPr>
          <w:i/>
          <w:spacing w:val="-4"/>
          <w:sz w:val="28"/>
        </w:rPr>
        <w:t> </w:t>
      </w:r>
      <w:r>
        <w:rPr>
          <w:i/>
          <w:sz w:val="28"/>
        </w:rPr>
        <w:t>and</w:t>
      </w:r>
      <w:r>
        <w:rPr>
          <w:i/>
          <w:spacing w:val="-4"/>
          <w:sz w:val="28"/>
        </w:rPr>
        <w:t> </w:t>
      </w:r>
      <w:r>
        <w:rPr>
          <w:i/>
          <w:sz w:val="28"/>
        </w:rPr>
        <w:t>others)</w:t>
      </w:r>
      <w:r>
        <w:rPr>
          <w:i/>
          <w:spacing w:val="-2"/>
          <w:sz w:val="28"/>
        </w:rPr>
        <w:t> </w:t>
      </w:r>
      <w:r>
        <w:rPr>
          <w:sz w:val="28"/>
        </w:rPr>
        <w:t>the</w:t>
      </w:r>
      <w:r>
        <w:rPr>
          <w:spacing w:val="-3"/>
          <w:sz w:val="28"/>
        </w:rPr>
        <w:t> </w:t>
      </w:r>
      <w:r>
        <w:rPr>
          <w:sz w:val="28"/>
        </w:rPr>
        <w:t>High</w:t>
      </w:r>
      <w:r>
        <w:rPr>
          <w:spacing w:val="-4"/>
          <w:sz w:val="28"/>
        </w:rPr>
        <w:t> </w:t>
      </w:r>
      <w:r>
        <w:rPr>
          <w:sz w:val="28"/>
        </w:rPr>
        <w:t>Court</w:t>
      </w:r>
      <w:r>
        <w:rPr>
          <w:spacing w:val="-3"/>
          <w:sz w:val="28"/>
        </w:rPr>
        <w:t> </w:t>
      </w:r>
      <w:r>
        <w:rPr>
          <w:sz w:val="28"/>
        </w:rPr>
        <w:t>considers</w:t>
      </w:r>
      <w:r>
        <w:rPr>
          <w:spacing w:val="-4"/>
          <w:sz w:val="28"/>
        </w:rPr>
        <w:t> </w:t>
      </w:r>
      <w:r>
        <w:rPr>
          <w:sz w:val="28"/>
        </w:rPr>
        <w:t>that</w:t>
      </w:r>
      <w:r>
        <w:rPr>
          <w:spacing w:val="-3"/>
          <w:sz w:val="28"/>
        </w:rPr>
        <w:t> </w:t>
      </w:r>
      <w:r>
        <w:rPr>
          <w:sz w:val="28"/>
        </w:rPr>
        <w:t>it is entitled to rely on the Vienna Convention on the Law of Treaties when</w:t>
      </w:r>
    </w:p>
    <w:p>
      <w:pPr>
        <w:pStyle w:val="BodyText"/>
        <w:spacing w:line="232" w:lineRule="auto"/>
        <w:ind w:left="1117" w:right="738"/>
      </w:pPr>
      <w:r>
        <w:rPr/>
        <w:t>interpretating Article 2 WF and the 1998 Agreement; for this reason it takes a ‘generous</w:t>
      </w:r>
      <w:r>
        <w:rPr>
          <w:spacing w:val="-11"/>
        </w:rPr>
        <w:t> </w:t>
      </w:r>
      <w:r>
        <w:rPr/>
        <w:t>and</w:t>
      </w:r>
      <w:r>
        <w:rPr>
          <w:spacing w:val="-11"/>
        </w:rPr>
        <w:t> </w:t>
      </w:r>
      <w:r>
        <w:rPr/>
        <w:t>purposive</w:t>
      </w:r>
      <w:r>
        <w:rPr>
          <w:spacing w:val="-11"/>
        </w:rPr>
        <w:t> </w:t>
      </w:r>
      <w:r>
        <w:rPr/>
        <w:t>approach</w:t>
      </w:r>
      <w:r>
        <w:rPr>
          <w:spacing w:val="-11"/>
        </w:rPr>
        <w:t> </w:t>
      </w:r>
      <w:r>
        <w:rPr/>
        <w:t>in</w:t>
      </w:r>
      <w:r>
        <w:rPr>
          <w:spacing w:val="-11"/>
        </w:rPr>
        <w:t> </w:t>
      </w:r>
      <w:r>
        <w:rPr/>
        <w:t>interpreting</w:t>
      </w:r>
      <w:r>
        <w:rPr>
          <w:spacing w:val="-11"/>
        </w:rPr>
        <w:t> </w:t>
      </w:r>
      <w:r>
        <w:rPr/>
        <w:t>Article</w:t>
      </w:r>
      <w:r>
        <w:rPr>
          <w:spacing w:val="-11"/>
        </w:rPr>
        <w:t> </w:t>
      </w:r>
      <w:r>
        <w:rPr/>
        <w:t>2</w:t>
      </w:r>
      <w:r>
        <w:rPr>
          <w:spacing w:val="-11"/>
        </w:rPr>
        <w:t> </w:t>
      </w:r>
      <w:r>
        <w:rPr/>
        <w:t>WF’.</w:t>
      </w:r>
      <w:r>
        <w:rPr>
          <w:vertAlign w:val="superscript"/>
        </w:rPr>
        <w:t>118</w:t>
      </w:r>
      <w:r>
        <w:rPr>
          <w:spacing w:val="-11"/>
          <w:vertAlign w:val="baseline"/>
        </w:rPr>
        <w:t> </w:t>
      </w:r>
      <w:r>
        <w:rPr>
          <w:vertAlign w:val="baseline"/>
        </w:rPr>
        <w:t>In</w:t>
      </w:r>
      <w:r>
        <w:rPr>
          <w:spacing w:val="-11"/>
          <w:vertAlign w:val="baseline"/>
        </w:rPr>
        <w:t> </w:t>
      </w:r>
      <w:r>
        <w:rPr>
          <w:vertAlign w:val="baseline"/>
        </w:rPr>
        <w:t>looking</w:t>
      </w:r>
      <w:r>
        <w:rPr>
          <w:spacing w:val="-11"/>
          <w:vertAlign w:val="baseline"/>
        </w:rPr>
        <w:t> </w:t>
      </w:r>
      <w:r>
        <w:rPr>
          <w:vertAlign w:val="baseline"/>
        </w:rPr>
        <w:t>at</w:t>
      </w:r>
      <w:r>
        <w:rPr>
          <w:spacing w:val="-11"/>
          <w:vertAlign w:val="baseline"/>
        </w:rPr>
        <w:t> </w:t>
      </w:r>
      <w:r>
        <w:rPr>
          <w:vertAlign w:val="baseline"/>
        </w:rPr>
        <w:t>the wider text of the 1998 Agreement the Court draws attention to the Declaration</w:t>
      </w:r>
    </w:p>
    <w:p>
      <w:pPr>
        <w:pStyle w:val="BodyText"/>
        <w:spacing w:line="232" w:lineRule="auto"/>
        <w:ind w:left="1117" w:right="1029"/>
        <w:jc w:val="both"/>
      </w:pPr>
      <w:r>
        <w:rPr/>
        <w:t>of</w:t>
      </w:r>
      <w:r>
        <w:rPr>
          <w:spacing w:val="-3"/>
        </w:rPr>
        <w:t> </w:t>
      </w:r>
      <w:r>
        <w:rPr/>
        <w:t>Support</w:t>
      </w:r>
      <w:r>
        <w:rPr>
          <w:spacing w:val="-2"/>
        </w:rPr>
        <w:t> </w:t>
      </w:r>
      <w:r>
        <w:rPr/>
        <w:t>which</w:t>
      </w:r>
      <w:r>
        <w:rPr>
          <w:spacing w:val="-3"/>
        </w:rPr>
        <w:t> </w:t>
      </w:r>
      <w:r>
        <w:rPr/>
        <w:t>refers</w:t>
      </w:r>
      <w:r>
        <w:rPr>
          <w:spacing w:val="-3"/>
        </w:rPr>
        <w:t> </w:t>
      </w:r>
      <w:r>
        <w:rPr/>
        <w:t>to</w:t>
      </w:r>
      <w:r>
        <w:rPr>
          <w:spacing w:val="-3"/>
        </w:rPr>
        <w:t> </w:t>
      </w:r>
      <w:r>
        <w:rPr/>
        <w:t>‘the</w:t>
      </w:r>
      <w:r>
        <w:rPr>
          <w:spacing w:val="-2"/>
        </w:rPr>
        <w:t> </w:t>
      </w:r>
      <w:r>
        <w:rPr/>
        <w:t>protection</w:t>
      </w:r>
      <w:r>
        <w:rPr>
          <w:spacing w:val="-3"/>
        </w:rPr>
        <w:t> </w:t>
      </w:r>
      <w:r>
        <w:rPr/>
        <w:t>and</w:t>
      </w:r>
      <w:r>
        <w:rPr>
          <w:spacing w:val="-3"/>
        </w:rPr>
        <w:t> </w:t>
      </w:r>
      <w:r>
        <w:rPr/>
        <w:t>vindication</w:t>
      </w:r>
      <w:r>
        <w:rPr>
          <w:spacing w:val="-3"/>
        </w:rPr>
        <w:t> </w:t>
      </w:r>
      <w:r>
        <w:rPr/>
        <w:t>of</w:t>
      </w:r>
      <w:r>
        <w:rPr>
          <w:spacing w:val="-3"/>
        </w:rPr>
        <w:t> </w:t>
      </w:r>
      <w:r>
        <w:rPr/>
        <w:t>the</w:t>
      </w:r>
      <w:r>
        <w:rPr>
          <w:spacing w:val="-2"/>
        </w:rPr>
        <w:t> </w:t>
      </w:r>
      <w:r>
        <w:rPr/>
        <w:t>human</w:t>
      </w:r>
      <w:r>
        <w:rPr>
          <w:spacing w:val="-3"/>
        </w:rPr>
        <w:t> </w:t>
      </w:r>
      <w:r>
        <w:rPr/>
        <w:t>rights</w:t>
      </w:r>
      <w:r>
        <w:rPr>
          <w:spacing w:val="-3"/>
        </w:rPr>
        <w:t> </w:t>
      </w:r>
      <w:r>
        <w:rPr/>
        <w:t>of all’.</w:t>
      </w:r>
      <w:r>
        <w:rPr>
          <w:vertAlign w:val="superscript"/>
        </w:rPr>
        <w:t>119</w:t>
      </w:r>
      <w:r>
        <w:rPr>
          <w:spacing w:val="-11"/>
          <w:vertAlign w:val="baseline"/>
        </w:rPr>
        <w:t> </w:t>
      </w:r>
      <w:r>
        <w:rPr>
          <w:vertAlign w:val="baseline"/>
        </w:rPr>
        <w:t>The</w:t>
      </w:r>
      <w:r>
        <w:rPr>
          <w:spacing w:val="-11"/>
          <w:vertAlign w:val="baseline"/>
        </w:rPr>
        <w:t> </w:t>
      </w:r>
      <w:r>
        <w:rPr>
          <w:vertAlign w:val="baseline"/>
        </w:rPr>
        <w:t>Court</w:t>
      </w:r>
      <w:r>
        <w:rPr>
          <w:spacing w:val="-11"/>
          <w:vertAlign w:val="baseline"/>
        </w:rPr>
        <w:t> </w:t>
      </w:r>
      <w:r>
        <w:rPr>
          <w:vertAlign w:val="baseline"/>
        </w:rPr>
        <w:t>also</w:t>
      </w:r>
      <w:r>
        <w:rPr>
          <w:spacing w:val="-11"/>
          <w:vertAlign w:val="baseline"/>
        </w:rPr>
        <w:t> </w:t>
      </w:r>
      <w:r>
        <w:rPr>
          <w:vertAlign w:val="baseline"/>
        </w:rPr>
        <w:t>notes</w:t>
      </w:r>
      <w:r>
        <w:rPr>
          <w:spacing w:val="-11"/>
          <w:vertAlign w:val="baseline"/>
        </w:rPr>
        <w:t> </w:t>
      </w:r>
      <w:r>
        <w:rPr>
          <w:vertAlign w:val="baseline"/>
        </w:rPr>
        <w:t>that</w:t>
      </w:r>
      <w:r>
        <w:rPr>
          <w:spacing w:val="-11"/>
          <w:vertAlign w:val="baseline"/>
        </w:rPr>
        <w:t> </w:t>
      </w:r>
      <w:r>
        <w:rPr>
          <w:vertAlign w:val="baseline"/>
        </w:rPr>
        <w:t>taking</w:t>
      </w:r>
      <w:r>
        <w:rPr>
          <w:spacing w:val="-11"/>
          <w:vertAlign w:val="baseline"/>
        </w:rPr>
        <w:t> </w:t>
      </w:r>
      <w:r>
        <w:rPr>
          <w:vertAlign w:val="baseline"/>
        </w:rPr>
        <w:t>a</w:t>
      </w:r>
      <w:r>
        <w:rPr>
          <w:spacing w:val="-11"/>
          <w:vertAlign w:val="baseline"/>
        </w:rPr>
        <w:t> </w:t>
      </w:r>
      <w:r>
        <w:rPr>
          <w:vertAlign w:val="baseline"/>
        </w:rPr>
        <w:t>narrow</w:t>
      </w:r>
      <w:r>
        <w:rPr>
          <w:spacing w:val="-11"/>
          <w:vertAlign w:val="baseline"/>
        </w:rPr>
        <w:t> </w:t>
      </w:r>
      <w:r>
        <w:rPr>
          <w:vertAlign w:val="baseline"/>
        </w:rPr>
        <w:t>interpretation</w:t>
      </w:r>
      <w:r>
        <w:rPr>
          <w:spacing w:val="-11"/>
          <w:vertAlign w:val="baseline"/>
        </w:rPr>
        <w:t> </w:t>
      </w:r>
      <w:r>
        <w:rPr>
          <w:vertAlign w:val="baseline"/>
        </w:rPr>
        <w:t>of</w:t>
      </w:r>
      <w:r>
        <w:rPr>
          <w:spacing w:val="-11"/>
          <w:vertAlign w:val="baseline"/>
        </w:rPr>
        <w:t> </w:t>
      </w:r>
      <w:r>
        <w:rPr>
          <w:vertAlign w:val="baseline"/>
        </w:rPr>
        <w:t>the</w:t>
      </w:r>
      <w:r>
        <w:rPr>
          <w:spacing w:val="-11"/>
          <w:vertAlign w:val="baseline"/>
        </w:rPr>
        <w:t> </w:t>
      </w:r>
      <w:r>
        <w:rPr>
          <w:vertAlign w:val="baseline"/>
        </w:rPr>
        <w:t>phrase</w:t>
      </w:r>
      <w:r>
        <w:rPr>
          <w:spacing w:val="-11"/>
          <w:vertAlign w:val="baseline"/>
        </w:rPr>
        <w:t> </w:t>
      </w:r>
      <w:r>
        <w:rPr>
          <w:vertAlign w:val="baseline"/>
        </w:rPr>
        <w:t>‘civil rights’ in the 1998 Agreement would undermine the ‘forward-facing’ element of Article 2 WF.</w:t>
      </w:r>
      <w:r>
        <w:rPr>
          <w:vertAlign w:val="superscript"/>
        </w:rPr>
        <w:t>120</w:t>
      </w:r>
    </w:p>
    <w:p>
      <w:pPr>
        <w:pStyle w:val="BodyText"/>
        <w:rPr>
          <w:sz w:val="20"/>
        </w:rPr>
      </w:pPr>
    </w:p>
    <w:p>
      <w:pPr>
        <w:pStyle w:val="BodyText"/>
        <w:rPr>
          <w:sz w:val="20"/>
        </w:rPr>
      </w:pPr>
    </w:p>
    <w:p>
      <w:pPr>
        <w:pStyle w:val="BodyText"/>
        <w:spacing w:before="68"/>
        <w:rPr>
          <w:sz w:val="20"/>
        </w:rPr>
      </w:pPr>
      <w:r>
        <w:rPr/>
        <mc:AlternateContent>
          <mc:Choice Requires="wps">
            <w:drawing>
              <wp:anchor distT="0" distB="0" distL="0" distR="0" allowOverlap="1" layoutInCell="1" locked="0" behindDoc="1" simplePos="0" relativeHeight="487650816">
                <wp:simplePos x="0" y="0"/>
                <wp:positionH relativeFrom="page">
                  <wp:posOffset>899999</wp:posOffset>
                </wp:positionH>
                <wp:positionV relativeFrom="paragraph">
                  <wp:posOffset>213728</wp:posOffset>
                </wp:positionV>
                <wp:extent cx="6012180" cy="1270"/>
                <wp:effectExtent l="0" t="0" r="0" b="0"/>
                <wp:wrapTopAndBottom/>
                <wp:docPr id="341" name="Graphic 341"/>
                <wp:cNvGraphicFramePr>
                  <a:graphicFrameLocks/>
                </wp:cNvGraphicFramePr>
                <a:graphic>
                  <a:graphicData uri="http://schemas.microsoft.com/office/word/2010/wordprocessingShape">
                    <wps:wsp>
                      <wps:cNvPr id="341" name="Graphic 34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6.82901pt;width:473.4pt;height:.1pt;mso-position-horizontal-relative:page;mso-position-vertical-relative:paragraph;z-index:-15665664;mso-wrap-distance-left:0;mso-wrap-distance-right:0" id="docshape269" coordorigin="1417,337" coordsize="9468,0" path="m1417,337l10885,337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776" w:hanging="567"/>
        <w:jc w:val="left"/>
        <w:rPr>
          <w:sz w:val="18"/>
        </w:rPr>
      </w:pPr>
      <w:r>
        <w:rPr>
          <w:color w:val="1D71B8"/>
          <w:sz w:val="18"/>
          <w:u w:val="single" w:color="1D71B8"/>
        </w:rPr>
        <w:t>Directive</w:t>
      </w:r>
      <w:r>
        <w:rPr>
          <w:color w:val="1D71B8"/>
          <w:spacing w:val="-4"/>
          <w:sz w:val="18"/>
          <w:u w:val="single" w:color="1D71B8"/>
        </w:rPr>
        <w:t> </w:t>
      </w:r>
      <w:r>
        <w:rPr>
          <w:color w:val="1D71B8"/>
          <w:sz w:val="18"/>
          <w:u w:val="single" w:color="1D71B8"/>
        </w:rPr>
        <w:t>2012/29/EU</w:t>
      </w:r>
      <w:r>
        <w:rPr>
          <w:color w:val="1D71B8"/>
          <w:spacing w:val="-6"/>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w:t>
      </w:r>
      <w:r>
        <w:rPr>
          <w:spacing w:val="-4"/>
          <w:sz w:val="18"/>
          <w:u w:val="none"/>
        </w:rPr>
        <w:t> </w:t>
      </w:r>
      <w:r>
        <w:rPr>
          <w:sz w:val="18"/>
          <w:u w:val="none"/>
        </w:rPr>
        <w:t>and</w:t>
      </w:r>
      <w:r>
        <w:rPr>
          <w:spacing w:val="-5"/>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Council</w:t>
      </w:r>
      <w:r>
        <w:rPr>
          <w:spacing w:val="-5"/>
          <w:sz w:val="18"/>
          <w:u w:val="none"/>
        </w:rPr>
        <w:t> </w:t>
      </w:r>
      <w:r>
        <w:rPr>
          <w:sz w:val="18"/>
          <w:u w:val="none"/>
        </w:rPr>
        <w:t>of</w:t>
      </w:r>
      <w:r>
        <w:rPr>
          <w:spacing w:val="-5"/>
          <w:sz w:val="18"/>
          <w:u w:val="none"/>
        </w:rPr>
        <w:t> </w:t>
      </w:r>
      <w:r>
        <w:rPr>
          <w:sz w:val="18"/>
          <w:u w:val="none"/>
        </w:rPr>
        <w:t>25</w:t>
      </w:r>
      <w:r>
        <w:rPr>
          <w:spacing w:val="-4"/>
          <w:sz w:val="18"/>
          <w:u w:val="none"/>
        </w:rPr>
        <w:t> </w:t>
      </w:r>
      <w:r>
        <w:rPr>
          <w:sz w:val="18"/>
          <w:u w:val="none"/>
        </w:rPr>
        <w:t>October</w:t>
      </w:r>
      <w:r>
        <w:rPr>
          <w:spacing w:val="-4"/>
          <w:sz w:val="18"/>
          <w:u w:val="none"/>
        </w:rPr>
        <w:t> </w:t>
      </w:r>
      <w:r>
        <w:rPr>
          <w:sz w:val="18"/>
          <w:u w:val="none"/>
        </w:rPr>
        <w:t>2012</w:t>
      </w:r>
      <w:r>
        <w:rPr>
          <w:spacing w:val="-4"/>
          <w:sz w:val="18"/>
          <w:u w:val="none"/>
        </w:rPr>
        <w:t> </w:t>
      </w:r>
      <w:r>
        <w:rPr>
          <w:sz w:val="18"/>
          <w:u w:val="none"/>
        </w:rPr>
        <w:t>establishing</w:t>
      </w:r>
      <w:r>
        <w:rPr>
          <w:spacing w:val="-4"/>
          <w:sz w:val="18"/>
          <w:u w:val="none"/>
        </w:rPr>
        <w:t> </w:t>
      </w:r>
      <w:r>
        <w:rPr>
          <w:sz w:val="18"/>
          <w:u w:val="none"/>
        </w:rPr>
        <w:t>minimum</w:t>
      </w:r>
      <w:r>
        <w:rPr>
          <w:spacing w:val="-4"/>
          <w:sz w:val="18"/>
          <w:u w:val="none"/>
        </w:rPr>
        <w:t> </w:t>
      </w:r>
      <w:r>
        <w:rPr>
          <w:sz w:val="18"/>
          <w:u w:val="none"/>
        </w:rPr>
        <w:t>standards on</w:t>
      </w:r>
      <w:r>
        <w:rPr>
          <w:spacing w:val="-1"/>
          <w:sz w:val="18"/>
          <w:u w:val="none"/>
        </w:rPr>
        <w:t> </w:t>
      </w:r>
      <w:r>
        <w:rPr>
          <w:sz w:val="18"/>
          <w:u w:val="none"/>
        </w:rPr>
        <w:t>the rights, support and</w:t>
      </w:r>
      <w:r>
        <w:rPr>
          <w:spacing w:val="-1"/>
          <w:sz w:val="18"/>
          <w:u w:val="none"/>
        </w:rPr>
        <w:t> </w:t>
      </w:r>
      <w:r>
        <w:rPr>
          <w:sz w:val="18"/>
          <w:u w:val="none"/>
        </w:rPr>
        <w:t>protection</w:t>
      </w:r>
      <w:r>
        <w:rPr>
          <w:spacing w:val="-1"/>
          <w:sz w:val="18"/>
          <w:u w:val="none"/>
        </w:rPr>
        <w:t> </w:t>
      </w:r>
      <w:r>
        <w:rPr>
          <w:sz w:val="18"/>
          <w:u w:val="none"/>
        </w:rPr>
        <w:t>of</w:t>
      </w:r>
      <w:r>
        <w:rPr>
          <w:spacing w:val="-1"/>
          <w:sz w:val="18"/>
          <w:u w:val="none"/>
        </w:rPr>
        <w:t> </w:t>
      </w:r>
      <w:r>
        <w:rPr>
          <w:sz w:val="18"/>
          <w:u w:val="none"/>
        </w:rPr>
        <w:t>victims</w:t>
      </w:r>
      <w:r>
        <w:rPr>
          <w:spacing w:val="-1"/>
          <w:sz w:val="18"/>
          <w:u w:val="none"/>
        </w:rPr>
        <w:t> </w:t>
      </w:r>
      <w:r>
        <w:rPr>
          <w:sz w:val="18"/>
          <w:u w:val="none"/>
        </w:rPr>
        <w:t>of</w:t>
      </w:r>
      <w:r>
        <w:rPr>
          <w:spacing w:val="-1"/>
          <w:sz w:val="18"/>
          <w:u w:val="none"/>
        </w:rPr>
        <w:t> </w:t>
      </w:r>
      <w:r>
        <w:rPr>
          <w:sz w:val="18"/>
          <w:u w:val="none"/>
        </w:rPr>
        <w:t>crime, and</w:t>
      </w:r>
      <w:r>
        <w:rPr>
          <w:spacing w:val="-1"/>
          <w:sz w:val="18"/>
          <w:u w:val="none"/>
        </w:rPr>
        <w:t> </w:t>
      </w:r>
      <w:r>
        <w:rPr>
          <w:sz w:val="18"/>
          <w:u w:val="none"/>
        </w:rPr>
        <w:t>replacing Council</w:t>
      </w:r>
      <w:r>
        <w:rPr>
          <w:spacing w:val="-1"/>
          <w:sz w:val="18"/>
          <w:u w:val="none"/>
        </w:rPr>
        <w:t> </w:t>
      </w:r>
      <w:r>
        <w:rPr>
          <w:sz w:val="18"/>
          <w:u w:val="none"/>
        </w:rPr>
        <w:t>Framework Decision</w:t>
      </w:r>
      <w:r>
        <w:rPr>
          <w:spacing w:val="-1"/>
          <w:sz w:val="18"/>
          <w:u w:val="none"/>
        </w:rPr>
        <w:t> </w:t>
      </w:r>
      <w:r>
        <w:rPr>
          <w:sz w:val="18"/>
          <w:u w:val="none"/>
        </w:rPr>
        <w:t>2001/220/JHA 2012.</w:t>
      </w:r>
    </w:p>
    <w:p>
      <w:pPr>
        <w:pStyle w:val="ListParagraph"/>
        <w:numPr>
          <w:ilvl w:val="0"/>
          <w:numId w:val="9"/>
        </w:numPr>
        <w:tabs>
          <w:tab w:pos="1684" w:val="left" w:leader="none"/>
        </w:tabs>
        <w:spacing w:line="240" w:lineRule="auto" w:before="1" w:after="0"/>
        <w:ind w:left="1684" w:right="874" w:hanging="567"/>
        <w:jc w:val="left"/>
        <w:rPr>
          <w:sz w:val="18"/>
        </w:rPr>
      </w:pPr>
      <w:r>
        <w:rPr>
          <w:color w:val="1D71B8"/>
          <w:sz w:val="18"/>
          <w:u w:val="single" w:color="1D71B8"/>
        </w:rPr>
        <w:t>Directive</w:t>
      </w:r>
      <w:r>
        <w:rPr>
          <w:color w:val="1D71B8"/>
          <w:spacing w:val="-5"/>
          <w:sz w:val="18"/>
          <w:u w:val="single" w:color="1D71B8"/>
        </w:rPr>
        <w:t> </w:t>
      </w:r>
      <w:r>
        <w:rPr>
          <w:color w:val="1D71B8"/>
          <w:sz w:val="18"/>
          <w:u w:val="single" w:color="1D71B8"/>
        </w:rPr>
        <w:t>2010/18/EU</w:t>
      </w:r>
      <w:r>
        <w:rPr>
          <w:color w:val="1D71B8"/>
          <w:spacing w:val="-7"/>
          <w:sz w:val="18"/>
          <w:u w:val="none"/>
        </w:rPr>
        <w:t> </w:t>
      </w:r>
      <w:r>
        <w:rPr>
          <w:sz w:val="18"/>
          <w:u w:val="none"/>
        </w:rPr>
        <w:t>of</w:t>
      </w:r>
      <w:r>
        <w:rPr>
          <w:spacing w:val="-6"/>
          <w:sz w:val="18"/>
          <w:u w:val="none"/>
        </w:rPr>
        <w:t> </w:t>
      </w:r>
      <w:r>
        <w:rPr>
          <w:sz w:val="18"/>
          <w:u w:val="none"/>
        </w:rPr>
        <w:t>8</w:t>
      </w:r>
      <w:r>
        <w:rPr>
          <w:spacing w:val="-5"/>
          <w:sz w:val="18"/>
          <w:u w:val="none"/>
        </w:rPr>
        <w:t> </w:t>
      </w:r>
      <w:r>
        <w:rPr>
          <w:sz w:val="18"/>
          <w:u w:val="none"/>
        </w:rPr>
        <w:t>March</w:t>
      </w:r>
      <w:r>
        <w:rPr>
          <w:spacing w:val="-6"/>
          <w:sz w:val="18"/>
          <w:u w:val="none"/>
        </w:rPr>
        <w:t> </w:t>
      </w:r>
      <w:r>
        <w:rPr>
          <w:sz w:val="18"/>
          <w:u w:val="none"/>
        </w:rPr>
        <w:t>2010</w:t>
      </w:r>
      <w:r>
        <w:rPr>
          <w:spacing w:val="-5"/>
          <w:sz w:val="18"/>
          <w:u w:val="none"/>
        </w:rPr>
        <w:t> </w:t>
      </w:r>
      <w:r>
        <w:rPr>
          <w:sz w:val="18"/>
          <w:u w:val="none"/>
        </w:rPr>
        <w:t>implementing</w:t>
      </w:r>
      <w:r>
        <w:rPr>
          <w:spacing w:val="-5"/>
          <w:sz w:val="18"/>
          <w:u w:val="none"/>
        </w:rPr>
        <w:t> </w:t>
      </w:r>
      <w:r>
        <w:rPr>
          <w:sz w:val="18"/>
          <w:u w:val="none"/>
        </w:rPr>
        <w:t>the</w:t>
      </w:r>
      <w:r>
        <w:rPr>
          <w:spacing w:val="-5"/>
          <w:sz w:val="18"/>
          <w:u w:val="none"/>
        </w:rPr>
        <w:t> </w:t>
      </w:r>
      <w:r>
        <w:rPr>
          <w:sz w:val="18"/>
          <w:u w:val="none"/>
        </w:rPr>
        <w:t>revised</w:t>
      </w:r>
      <w:r>
        <w:rPr>
          <w:spacing w:val="-6"/>
          <w:sz w:val="18"/>
          <w:u w:val="none"/>
        </w:rPr>
        <w:t> </w:t>
      </w:r>
      <w:r>
        <w:rPr>
          <w:sz w:val="18"/>
          <w:u w:val="none"/>
        </w:rPr>
        <w:t>Framework</w:t>
      </w:r>
      <w:r>
        <w:rPr>
          <w:spacing w:val="-5"/>
          <w:sz w:val="18"/>
          <w:u w:val="none"/>
        </w:rPr>
        <w:t> </w:t>
      </w:r>
      <w:r>
        <w:rPr>
          <w:sz w:val="18"/>
          <w:u w:val="none"/>
        </w:rPr>
        <w:t>Agreement</w:t>
      </w:r>
      <w:r>
        <w:rPr>
          <w:spacing w:val="-5"/>
          <w:sz w:val="18"/>
          <w:u w:val="none"/>
        </w:rPr>
        <w:t> </w:t>
      </w:r>
      <w:r>
        <w:rPr>
          <w:sz w:val="18"/>
          <w:u w:val="none"/>
        </w:rPr>
        <w:t>on</w:t>
      </w:r>
      <w:r>
        <w:rPr>
          <w:spacing w:val="-5"/>
          <w:sz w:val="18"/>
          <w:u w:val="none"/>
        </w:rPr>
        <w:t> </w:t>
      </w:r>
      <w:r>
        <w:rPr>
          <w:sz w:val="18"/>
          <w:u w:val="none"/>
        </w:rPr>
        <w:t>parental</w:t>
      </w:r>
      <w:r>
        <w:rPr>
          <w:spacing w:val="-6"/>
          <w:sz w:val="18"/>
          <w:u w:val="none"/>
        </w:rPr>
        <w:t> </w:t>
      </w:r>
      <w:r>
        <w:rPr>
          <w:sz w:val="18"/>
          <w:u w:val="none"/>
        </w:rPr>
        <w:t>leave</w:t>
      </w:r>
      <w:r>
        <w:rPr>
          <w:spacing w:val="-5"/>
          <w:sz w:val="18"/>
          <w:u w:val="none"/>
        </w:rPr>
        <w:t> </w:t>
      </w:r>
      <w:r>
        <w:rPr>
          <w:sz w:val="18"/>
          <w:u w:val="none"/>
        </w:rPr>
        <w:t>concluded</w:t>
      </w:r>
      <w:r>
        <w:rPr>
          <w:spacing w:val="-6"/>
          <w:sz w:val="18"/>
          <w:u w:val="none"/>
        </w:rPr>
        <w:t> </w:t>
      </w:r>
      <w:r>
        <w:rPr>
          <w:sz w:val="18"/>
          <w:u w:val="none"/>
        </w:rPr>
        <w:t>by BUSINESSEUROPE, UEAPME, CEEP and ETUC and repealing Directive 96/34/EC (Parental Leave Directive) 2010</w:t>
      </w:r>
    </w:p>
    <w:p>
      <w:pPr>
        <w:pStyle w:val="ListParagraph"/>
        <w:numPr>
          <w:ilvl w:val="0"/>
          <w:numId w:val="9"/>
        </w:numPr>
        <w:tabs>
          <w:tab w:pos="1684" w:val="left" w:leader="none"/>
        </w:tabs>
        <w:spacing w:line="240" w:lineRule="auto" w:before="0" w:after="0"/>
        <w:ind w:left="1684" w:right="967" w:hanging="567"/>
        <w:jc w:val="left"/>
        <w:rPr>
          <w:sz w:val="18"/>
        </w:rPr>
      </w:pPr>
      <w:hyperlink r:id="rId41">
        <w:r>
          <w:rPr>
            <w:color w:val="1D71B8"/>
            <w:sz w:val="18"/>
            <w:u w:val="single" w:color="1D71B8"/>
          </w:rPr>
          <w:t>Directive</w:t>
        </w:r>
        <w:r>
          <w:rPr>
            <w:color w:val="1D71B8"/>
            <w:spacing w:val="-4"/>
            <w:sz w:val="18"/>
            <w:u w:val="single" w:color="1D71B8"/>
          </w:rPr>
          <w:t> </w:t>
        </w:r>
        <w:r>
          <w:rPr>
            <w:color w:val="1D71B8"/>
            <w:sz w:val="18"/>
            <w:u w:val="single" w:color="1D71B8"/>
          </w:rPr>
          <w:t>92/85/EEC</w:t>
        </w:r>
      </w:hyperlink>
      <w:r>
        <w:rPr>
          <w:color w:val="1D71B8"/>
          <w:spacing w:val="-5"/>
          <w:sz w:val="18"/>
          <w:u w:val="none"/>
        </w:rPr>
        <w:t> </w:t>
      </w:r>
      <w:r>
        <w:rPr>
          <w:sz w:val="18"/>
          <w:u w:val="none"/>
        </w:rPr>
        <w:t>of</w:t>
      </w:r>
      <w:r>
        <w:rPr>
          <w:spacing w:val="-5"/>
          <w:sz w:val="18"/>
          <w:u w:val="none"/>
        </w:rPr>
        <w:t> </w:t>
      </w:r>
      <w:r>
        <w:rPr>
          <w:sz w:val="18"/>
          <w:u w:val="none"/>
        </w:rPr>
        <w:t>19</w:t>
      </w:r>
      <w:r>
        <w:rPr>
          <w:spacing w:val="-4"/>
          <w:sz w:val="18"/>
          <w:u w:val="none"/>
        </w:rPr>
        <w:t> </w:t>
      </w:r>
      <w:r>
        <w:rPr>
          <w:sz w:val="18"/>
          <w:u w:val="none"/>
        </w:rPr>
        <w:t>October</w:t>
      </w:r>
      <w:r>
        <w:rPr>
          <w:spacing w:val="-4"/>
          <w:sz w:val="18"/>
          <w:u w:val="none"/>
        </w:rPr>
        <w:t> </w:t>
      </w:r>
      <w:r>
        <w:rPr>
          <w:sz w:val="18"/>
          <w:u w:val="none"/>
        </w:rPr>
        <w:t>1992</w:t>
      </w:r>
      <w:r>
        <w:rPr>
          <w:spacing w:val="-4"/>
          <w:sz w:val="18"/>
          <w:u w:val="none"/>
        </w:rPr>
        <w:t> </w:t>
      </w:r>
      <w:r>
        <w:rPr>
          <w:sz w:val="18"/>
          <w:u w:val="none"/>
        </w:rPr>
        <w:t>on</w:t>
      </w:r>
      <w:r>
        <w:rPr>
          <w:spacing w:val="-5"/>
          <w:sz w:val="18"/>
          <w:u w:val="none"/>
        </w:rPr>
        <w:t> </w:t>
      </w:r>
      <w:r>
        <w:rPr>
          <w:sz w:val="18"/>
          <w:u w:val="none"/>
        </w:rPr>
        <w:t>the</w:t>
      </w:r>
      <w:r>
        <w:rPr>
          <w:spacing w:val="-4"/>
          <w:sz w:val="18"/>
          <w:u w:val="none"/>
        </w:rPr>
        <w:t> </w:t>
      </w:r>
      <w:r>
        <w:rPr>
          <w:sz w:val="18"/>
          <w:u w:val="none"/>
        </w:rPr>
        <w:t>introduction</w:t>
      </w:r>
      <w:r>
        <w:rPr>
          <w:spacing w:val="-5"/>
          <w:sz w:val="18"/>
          <w:u w:val="none"/>
        </w:rPr>
        <w:t> </w:t>
      </w:r>
      <w:r>
        <w:rPr>
          <w:sz w:val="18"/>
          <w:u w:val="none"/>
        </w:rPr>
        <w:t>of</w:t>
      </w:r>
      <w:r>
        <w:rPr>
          <w:spacing w:val="-4"/>
          <w:sz w:val="18"/>
          <w:u w:val="none"/>
        </w:rPr>
        <w:t> </w:t>
      </w:r>
      <w:r>
        <w:rPr>
          <w:sz w:val="18"/>
          <w:u w:val="none"/>
        </w:rPr>
        <w:t>measures</w:t>
      </w:r>
      <w:r>
        <w:rPr>
          <w:spacing w:val="-5"/>
          <w:sz w:val="18"/>
          <w:u w:val="none"/>
        </w:rPr>
        <w:t> </w:t>
      </w:r>
      <w:r>
        <w:rPr>
          <w:sz w:val="18"/>
          <w:u w:val="none"/>
        </w:rPr>
        <w:t>to</w:t>
      </w:r>
      <w:r>
        <w:rPr>
          <w:spacing w:val="-5"/>
          <w:sz w:val="18"/>
          <w:u w:val="none"/>
        </w:rPr>
        <w:t> </w:t>
      </w:r>
      <w:r>
        <w:rPr>
          <w:sz w:val="18"/>
          <w:u w:val="none"/>
        </w:rPr>
        <w:t>encourage</w:t>
      </w:r>
      <w:r>
        <w:rPr>
          <w:spacing w:val="-4"/>
          <w:sz w:val="18"/>
          <w:u w:val="none"/>
        </w:rPr>
        <w:t> </w:t>
      </w:r>
      <w:r>
        <w:rPr>
          <w:sz w:val="18"/>
          <w:u w:val="none"/>
        </w:rPr>
        <w:t>improvements</w:t>
      </w:r>
      <w:r>
        <w:rPr>
          <w:spacing w:val="-5"/>
          <w:sz w:val="18"/>
          <w:u w:val="none"/>
        </w:rPr>
        <w:t> </w:t>
      </w:r>
      <w:r>
        <w:rPr>
          <w:sz w:val="18"/>
          <w:u w:val="none"/>
        </w:rPr>
        <w:t>in</w:t>
      </w:r>
      <w:r>
        <w:rPr>
          <w:spacing w:val="-5"/>
          <w:sz w:val="18"/>
          <w:u w:val="none"/>
        </w:rPr>
        <w:t> </w:t>
      </w:r>
      <w:r>
        <w:rPr>
          <w:sz w:val="18"/>
          <w:u w:val="none"/>
        </w:rPr>
        <w:t>the</w:t>
      </w:r>
      <w:r>
        <w:rPr>
          <w:spacing w:val="-4"/>
          <w:sz w:val="18"/>
          <w:u w:val="none"/>
        </w:rPr>
        <w:t> </w:t>
      </w:r>
      <w:r>
        <w:rPr>
          <w:sz w:val="18"/>
          <w:u w:val="none"/>
        </w:rPr>
        <w:t>safety</w:t>
      </w:r>
      <w:r>
        <w:rPr>
          <w:spacing w:val="-4"/>
          <w:sz w:val="18"/>
          <w:u w:val="none"/>
        </w:rPr>
        <w:t> </w:t>
      </w:r>
      <w:r>
        <w:rPr>
          <w:sz w:val="18"/>
          <w:u w:val="none"/>
        </w:rPr>
        <w:t>and health at work of pregnant workers and workers who have recently given birth or are breastfeeding.</w:t>
      </w:r>
    </w:p>
    <w:p>
      <w:pPr>
        <w:pStyle w:val="ListParagraph"/>
        <w:numPr>
          <w:ilvl w:val="0"/>
          <w:numId w:val="9"/>
        </w:numPr>
        <w:tabs>
          <w:tab w:pos="1684" w:val="left" w:leader="none"/>
        </w:tabs>
        <w:spacing w:line="240" w:lineRule="auto" w:before="1" w:after="0"/>
        <w:ind w:left="1684" w:right="1544" w:hanging="567"/>
        <w:jc w:val="left"/>
        <w:rPr>
          <w:sz w:val="18"/>
        </w:rPr>
      </w:pPr>
      <w:r>
        <w:rPr>
          <w:sz w:val="18"/>
        </w:rPr>
        <w:t>UK</w:t>
      </w:r>
      <w:r>
        <w:rPr>
          <w:spacing w:val="-4"/>
          <w:sz w:val="18"/>
        </w:rPr>
        <w:t> </w:t>
      </w:r>
      <w:r>
        <w:rPr>
          <w:sz w:val="18"/>
        </w:rPr>
        <w:t>Government,</w:t>
      </w:r>
      <w:r>
        <w:rPr>
          <w:spacing w:val="-4"/>
          <w:sz w:val="18"/>
        </w:rPr>
        <w:t> </w:t>
      </w:r>
      <w:r>
        <w:rPr>
          <w:color w:val="1D71B8"/>
          <w:sz w:val="18"/>
          <w:u w:val="single" w:color="1D71B8"/>
        </w:rPr>
        <w:t>Explainer:</w:t>
      </w:r>
      <w:r>
        <w:rPr>
          <w:color w:val="1D71B8"/>
          <w:spacing w:val="-4"/>
          <w:sz w:val="18"/>
          <w:u w:val="single" w:color="1D71B8"/>
        </w:rPr>
        <w:t> </w:t>
      </w:r>
      <w:r>
        <w:rPr>
          <w:color w:val="1D71B8"/>
          <w:sz w:val="18"/>
          <w:u w:val="single" w:color="1D71B8"/>
        </w:rPr>
        <w:t>UK</w:t>
      </w:r>
      <w:r>
        <w:rPr>
          <w:color w:val="1D71B8"/>
          <w:spacing w:val="-4"/>
          <w:sz w:val="18"/>
          <w:u w:val="single" w:color="1D71B8"/>
        </w:rPr>
        <w:t> </w:t>
      </w:r>
      <w:r>
        <w:rPr>
          <w:color w:val="1D71B8"/>
          <w:sz w:val="18"/>
          <w:u w:val="single" w:color="1D71B8"/>
        </w:rPr>
        <w:t>Government</w:t>
      </w:r>
      <w:r>
        <w:rPr>
          <w:color w:val="1D71B8"/>
          <w:spacing w:val="-4"/>
          <w:sz w:val="18"/>
          <w:u w:val="single" w:color="1D71B8"/>
        </w:rPr>
        <w:t> </w:t>
      </w:r>
      <w:r>
        <w:rPr>
          <w:color w:val="1D71B8"/>
          <w:sz w:val="18"/>
          <w:u w:val="single" w:color="1D71B8"/>
        </w:rPr>
        <w:t>commitment</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no</w:t>
      </w:r>
      <w:r>
        <w:rPr>
          <w:color w:val="1D71B8"/>
          <w:spacing w:val="-4"/>
          <w:sz w:val="18"/>
          <w:u w:val="single" w:color="1D71B8"/>
        </w:rPr>
        <w:t> </w:t>
      </w:r>
      <w:r>
        <w:rPr>
          <w:color w:val="1D71B8"/>
          <w:sz w:val="18"/>
          <w:u w:val="single" w:color="1D71B8"/>
        </w:rPr>
        <w:t>diminution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safeguards</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of</w:t>
      </w:r>
      <w:r>
        <w:rPr>
          <w:color w:val="1D71B8"/>
          <w:sz w:val="18"/>
          <w:u w:val="none"/>
        </w:rPr>
        <w:t> </w:t>
      </w:r>
      <w:r>
        <w:rPr>
          <w:color w:val="1D71B8"/>
          <w:sz w:val="18"/>
          <w:u w:val="single" w:color="1D71B8"/>
        </w:rPr>
        <w:t>opportunity in Northern Ireland</w:t>
      </w:r>
      <w:r>
        <w:rPr>
          <w:color w:val="1D71B8"/>
          <w:sz w:val="18"/>
          <w:u w:val="none"/>
        </w:rPr>
        <w:t> </w:t>
      </w:r>
      <w:r>
        <w:rPr>
          <w:sz w:val="18"/>
          <w:u w:val="none"/>
        </w:rPr>
        <w:t>(2020) paragraph 13.</w:t>
      </w:r>
    </w:p>
    <w:p>
      <w:pPr>
        <w:pStyle w:val="ListParagraph"/>
        <w:numPr>
          <w:ilvl w:val="0"/>
          <w:numId w:val="9"/>
        </w:numPr>
        <w:tabs>
          <w:tab w:pos="1684" w:val="left" w:leader="none"/>
        </w:tabs>
        <w:spacing w:line="240" w:lineRule="auto" w:before="1" w:after="0"/>
        <w:ind w:left="1684" w:right="1544" w:hanging="567"/>
        <w:jc w:val="left"/>
        <w:rPr>
          <w:sz w:val="18"/>
        </w:rPr>
      </w:pPr>
      <w:r>
        <w:rPr>
          <w:sz w:val="18"/>
        </w:rPr>
        <w:t>UK</w:t>
      </w:r>
      <w:r>
        <w:rPr>
          <w:spacing w:val="-4"/>
          <w:sz w:val="18"/>
        </w:rPr>
        <w:t> </w:t>
      </w:r>
      <w:r>
        <w:rPr>
          <w:sz w:val="18"/>
        </w:rPr>
        <w:t>Government,</w:t>
      </w:r>
      <w:r>
        <w:rPr>
          <w:spacing w:val="-4"/>
          <w:sz w:val="18"/>
        </w:rPr>
        <w:t> </w:t>
      </w:r>
      <w:r>
        <w:rPr>
          <w:color w:val="1D71B8"/>
          <w:sz w:val="18"/>
          <w:u w:val="single" w:color="1D71B8"/>
        </w:rPr>
        <w:t>Explainer:</w:t>
      </w:r>
      <w:r>
        <w:rPr>
          <w:color w:val="1D71B8"/>
          <w:spacing w:val="-4"/>
          <w:sz w:val="18"/>
          <w:u w:val="single" w:color="1D71B8"/>
        </w:rPr>
        <w:t> </w:t>
      </w:r>
      <w:r>
        <w:rPr>
          <w:color w:val="1D71B8"/>
          <w:sz w:val="18"/>
          <w:u w:val="single" w:color="1D71B8"/>
        </w:rPr>
        <w:t>UK</w:t>
      </w:r>
      <w:r>
        <w:rPr>
          <w:color w:val="1D71B8"/>
          <w:spacing w:val="-4"/>
          <w:sz w:val="18"/>
          <w:u w:val="single" w:color="1D71B8"/>
        </w:rPr>
        <w:t> </w:t>
      </w:r>
      <w:r>
        <w:rPr>
          <w:color w:val="1D71B8"/>
          <w:sz w:val="18"/>
          <w:u w:val="single" w:color="1D71B8"/>
        </w:rPr>
        <w:t>Government</w:t>
      </w:r>
      <w:r>
        <w:rPr>
          <w:color w:val="1D71B8"/>
          <w:spacing w:val="-4"/>
          <w:sz w:val="18"/>
          <w:u w:val="single" w:color="1D71B8"/>
        </w:rPr>
        <w:t> </w:t>
      </w:r>
      <w:r>
        <w:rPr>
          <w:color w:val="1D71B8"/>
          <w:sz w:val="18"/>
          <w:u w:val="single" w:color="1D71B8"/>
        </w:rPr>
        <w:t>commitment</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no</w:t>
      </w:r>
      <w:r>
        <w:rPr>
          <w:color w:val="1D71B8"/>
          <w:spacing w:val="-4"/>
          <w:sz w:val="18"/>
          <w:u w:val="single" w:color="1D71B8"/>
        </w:rPr>
        <w:t> </w:t>
      </w:r>
      <w:r>
        <w:rPr>
          <w:color w:val="1D71B8"/>
          <w:sz w:val="18"/>
          <w:u w:val="single" w:color="1D71B8"/>
        </w:rPr>
        <w:t>diminution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safeguards</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of</w:t>
      </w:r>
      <w:r>
        <w:rPr>
          <w:color w:val="1D71B8"/>
          <w:sz w:val="18"/>
          <w:u w:val="none"/>
        </w:rPr>
        <w:t> </w:t>
      </w:r>
      <w:r>
        <w:rPr>
          <w:color w:val="1D71B8"/>
          <w:sz w:val="18"/>
          <w:u w:val="single" w:color="1D71B8"/>
        </w:rPr>
        <w:t>opportunity in Northern Ireland</w:t>
      </w:r>
      <w:r>
        <w:rPr>
          <w:color w:val="1D71B8"/>
          <w:sz w:val="18"/>
          <w:u w:val="none"/>
        </w:rPr>
        <w:t> </w:t>
      </w:r>
      <w:r>
        <w:rPr>
          <w:sz w:val="18"/>
          <w:u w:val="none"/>
        </w:rPr>
        <w:t>(2020) paragraph 15.</w:t>
      </w:r>
    </w:p>
    <w:p>
      <w:pPr>
        <w:pStyle w:val="ListParagraph"/>
        <w:numPr>
          <w:ilvl w:val="0"/>
          <w:numId w:val="9"/>
        </w:numPr>
        <w:tabs>
          <w:tab w:pos="1684" w:val="left" w:leader="none"/>
        </w:tabs>
        <w:spacing w:line="240" w:lineRule="auto" w:before="0" w:after="0"/>
        <w:ind w:left="1684" w:right="0" w:hanging="567"/>
        <w:jc w:val="left"/>
        <w:rPr>
          <w:sz w:val="18"/>
        </w:rPr>
      </w:pPr>
      <w:r>
        <w:rPr>
          <w:sz w:val="18"/>
        </w:rPr>
        <w:t>ECNI</w:t>
      </w:r>
      <w:r>
        <w:rPr>
          <w:spacing w:val="-4"/>
          <w:sz w:val="18"/>
        </w:rPr>
        <w:t> </w:t>
      </w:r>
      <w:r>
        <w:rPr>
          <w:sz w:val="18"/>
        </w:rPr>
        <w:t>and</w:t>
      </w:r>
      <w:r>
        <w:rPr>
          <w:spacing w:val="-5"/>
          <w:sz w:val="18"/>
        </w:rPr>
        <w:t> </w:t>
      </w:r>
      <w:r>
        <w:rPr>
          <w:sz w:val="18"/>
        </w:rPr>
        <w:t>NIHRC,</w:t>
      </w:r>
      <w:r>
        <w:rPr>
          <w:spacing w:val="-3"/>
          <w:sz w:val="18"/>
        </w:rPr>
        <w:t> </w:t>
      </w:r>
      <w:r>
        <w:rPr>
          <w:color w:val="1D71B8"/>
          <w:sz w:val="18"/>
          <w:u w:val="single" w:color="1D71B8"/>
        </w:rPr>
        <w:t>Working</w:t>
      </w:r>
      <w:r>
        <w:rPr>
          <w:color w:val="1D71B8"/>
          <w:spacing w:val="-4"/>
          <w:sz w:val="18"/>
          <w:u w:val="single" w:color="1D71B8"/>
        </w:rPr>
        <w:t> </w:t>
      </w:r>
      <w:r>
        <w:rPr>
          <w:color w:val="1D71B8"/>
          <w:sz w:val="18"/>
          <w:u w:val="single" w:color="1D71B8"/>
        </w:rPr>
        <w:t>Paper:</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Scope</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Article</w:t>
      </w:r>
      <w:r>
        <w:rPr>
          <w:color w:val="1D71B8"/>
          <w:spacing w:val="-3"/>
          <w:sz w:val="18"/>
          <w:u w:val="single" w:color="1D71B8"/>
        </w:rPr>
        <w:t> </w:t>
      </w:r>
      <w:r>
        <w:rPr>
          <w:color w:val="1D71B8"/>
          <w:sz w:val="18"/>
          <w:u w:val="single" w:color="1D71B8"/>
        </w:rPr>
        <w:t>2(1)</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Ireland/</w:t>
      </w:r>
      <w:r>
        <w:rPr>
          <w:color w:val="1D71B8"/>
          <w:spacing w:val="-5"/>
          <w:sz w:val="18"/>
          <w:u w:val="single" w:color="1D71B8"/>
        </w:rPr>
        <w:t> </w:t>
      </w:r>
      <w:r>
        <w:rPr>
          <w:color w:val="1D71B8"/>
          <w:sz w:val="18"/>
          <w:u w:val="single" w:color="1D71B8"/>
        </w:rPr>
        <w:t>Northern</w:t>
      </w:r>
      <w:r>
        <w:rPr>
          <w:color w:val="1D71B8"/>
          <w:spacing w:val="-4"/>
          <w:sz w:val="18"/>
          <w:u w:val="single" w:color="1D71B8"/>
        </w:rPr>
        <w:t> </w:t>
      </w:r>
      <w:r>
        <w:rPr>
          <w:color w:val="1D71B8"/>
          <w:sz w:val="18"/>
          <w:u w:val="single" w:color="1D71B8"/>
        </w:rPr>
        <w:t>Ireland</w:t>
      </w:r>
      <w:r>
        <w:rPr>
          <w:color w:val="1D71B8"/>
          <w:spacing w:val="-5"/>
          <w:sz w:val="18"/>
          <w:u w:val="single" w:color="1D71B8"/>
        </w:rPr>
        <w:t> </w:t>
      </w:r>
      <w:r>
        <w:rPr>
          <w:color w:val="1D71B8"/>
          <w:sz w:val="18"/>
          <w:u w:val="single" w:color="1D71B8"/>
        </w:rPr>
        <w:t>Protocol</w:t>
      </w:r>
      <w:r>
        <w:rPr>
          <w:color w:val="1D71B8"/>
          <w:spacing w:val="-5"/>
          <w:sz w:val="18"/>
          <w:u w:val="none"/>
        </w:rPr>
        <w:t> </w:t>
      </w:r>
      <w:r>
        <w:rPr>
          <w:sz w:val="18"/>
          <w:u w:val="none"/>
        </w:rPr>
        <w:t>(December</w:t>
      </w:r>
      <w:r>
        <w:rPr>
          <w:spacing w:val="-3"/>
          <w:sz w:val="18"/>
          <w:u w:val="none"/>
        </w:rPr>
        <w:t> </w:t>
      </w:r>
      <w:r>
        <w:rPr>
          <w:spacing w:val="-2"/>
          <w:sz w:val="18"/>
          <w:u w:val="none"/>
        </w:rPr>
        <w:t>2022).</w:t>
      </w:r>
    </w:p>
    <w:p>
      <w:pPr>
        <w:pStyle w:val="ListParagraph"/>
        <w:numPr>
          <w:ilvl w:val="0"/>
          <w:numId w:val="9"/>
        </w:numPr>
        <w:tabs>
          <w:tab w:pos="1684" w:val="left" w:leader="none"/>
        </w:tabs>
        <w:spacing w:line="240" w:lineRule="auto" w:before="0" w:after="0"/>
        <w:ind w:left="1684" w:right="0" w:hanging="567"/>
        <w:jc w:val="left"/>
        <w:rPr>
          <w:sz w:val="18"/>
        </w:rPr>
      </w:pPr>
      <w:r>
        <w:rPr>
          <w:spacing w:val="-2"/>
          <w:sz w:val="18"/>
        </w:rPr>
        <w:t>Ibid.,13.</w:t>
      </w:r>
    </w:p>
    <w:p>
      <w:pPr>
        <w:pStyle w:val="ListParagraph"/>
        <w:numPr>
          <w:ilvl w:val="0"/>
          <w:numId w:val="9"/>
        </w:numPr>
        <w:tabs>
          <w:tab w:pos="1684" w:val="left" w:leader="none"/>
        </w:tabs>
        <w:spacing w:line="240" w:lineRule="auto" w:before="1" w:after="0"/>
        <w:ind w:left="1684" w:right="0" w:hanging="567"/>
        <w:jc w:val="left"/>
        <w:rPr>
          <w:sz w:val="18"/>
        </w:rPr>
      </w:pPr>
      <w:r>
        <w:rPr>
          <w:sz w:val="18"/>
        </w:rPr>
        <w:t>Ibid., 15, </w:t>
      </w:r>
      <w:r>
        <w:rPr>
          <w:spacing w:val="-5"/>
          <w:sz w:val="18"/>
        </w:rPr>
        <w:t>17.</w:t>
      </w:r>
    </w:p>
    <w:p>
      <w:pPr>
        <w:pStyle w:val="ListParagraph"/>
        <w:numPr>
          <w:ilvl w:val="0"/>
          <w:numId w:val="9"/>
        </w:numPr>
        <w:tabs>
          <w:tab w:pos="1684" w:val="left" w:leader="none"/>
        </w:tabs>
        <w:spacing w:line="240" w:lineRule="auto" w:before="0" w:after="0"/>
        <w:ind w:left="1684" w:right="0" w:hanging="567"/>
        <w:jc w:val="left"/>
        <w:rPr>
          <w:sz w:val="18"/>
        </w:rPr>
      </w:pPr>
      <w:r>
        <w:rPr>
          <w:color w:val="1D71B8"/>
          <w:sz w:val="18"/>
          <w:u w:val="single" w:color="1D71B8"/>
        </w:rPr>
        <w:t>Legacy</w:t>
      </w:r>
      <w:r>
        <w:rPr>
          <w:color w:val="1D71B8"/>
          <w:spacing w:val="-3"/>
          <w:sz w:val="18"/>
          <w:u w:val="single" w:color="1D71B8"/>
        </w:rPr>
        <w:t> </w:t>
      </w:r>
      <w:r>
        <w:rPr>
          <w:color w:val="1D71B8"/>
          <w:sz w:val="18"/>
          <w:u w:val="single" w:color="1D71B8"/>
        </w:rPr>
        <w:t>Act</w:t>
      </w:r>
      <w:r>
        <w:rPr>
          <w:color w:val="1D71B8"/>
          <w:spacing w:val="-3"/>
          <w:sz w:val="18"/>
          <w:u w:val="single" w:color="1D71B8"/>
        </w:rPr>
        <w:t> </w:t>
      </w:r>
      <w:r>
        <w:rPr>
          <w:color w:val="1D71B8"/>
          <w:sz w:val="18"/>
          <w:u w:val="single" w:color="1D71B8"/>
        </w:rPr>
        <w:t>cases</w:t>
      </w:r>
      <w:r>
        <w:rPr>
          <w:color w:val="1D71B8"/>
          <w:spacing w:val="-3"/>
          <w:sz w:val="18"/>
          <w:u w:val="single" w:color="1D71B8"/>
        </w:rPr>
        <w:t> </w:t>
      </w:r>
      <w:r>
        <w:rPr>
          <w:color w:val="1D71B8"/>
          <w:sz w:val="18"/>
          <w:u w:val="single" w:color="1D71B8"/>
        </w:rPr>
        <w:t>(Dillon</w:t>
      </w:r>
      <w:r>
        <w:rPr>
          <w:color w:val="1D71B8"/>
          <w:spacing w:val="-4"/>
          <w:sz w:val="18"/>
          <w:u w:val="single" w:color="1D71B8"/>
        </w:rPr>
        <w:t> </w:t>
      </w:r>
      <w:r>
        <w:rPr>
          <w:color w:val="1D71B8"/>
          <w:sz w:val="18"/>
          <w:u w:val="single" w:color="1D71B8"/>
        </w:rPr>
        <w:t>and</w:t>
      </w:r>
      <w:r>
        <w:rPr>
          <w:color w:val="1D71B8"/>
          <w:spacing w:val="-3"/>
          <w:sz w:val="18"/>
          <w:u w:val="single" w:color="1D71B8"/>
        </w:rPr>
        <w:t> </w:t>
      </w:r>
      <w:r>
        <w:rPr>
          <w:color w:val="1D71B8"/>
          <w:sz w:val="18"/>
          <w:u w:val="single" w:color="1D71B8"/>
        </w:rPr>
        <w:t>others)</w:t>
      </w:r>
      <w:r>
        <w:rPr>
          <w:sz w:val="18"/>
          <w:u w:val="none"/>
        </w:rPr>
        <w:t>,</w:t>
      </w:r>
      <w:r>
        <w:rPr>
          <w:spacing w:val="-2"/>
          <w:sz w:val="18"/>
          <w:u w:val="none"/>
        </w:rPr>
        <w:t> </w:t>
      </w:r>
      <w:r>
        <w:rPr>
          <w:sz w:val="18"/>
          <w:u w:val="none"/>
        </w:rPr>
        <w:t>[2024]</w:t>
      </w:r>
      <w:r>
        <w:rPr>
          <w:spacing w:val="-3"/>
          <w:sz w:val="18"/>
          <w:u w:val="none"/>
        </w:rPr>
        <w:t> </w:t>
      </w:r>
      <w:r>
        <w:rPr>
          <w:sz w:val="18"/>
          <w:u w:val="none"/>
        </w:rPr>
        <w:t>NIKB</w:t>
      </w:r>
      <w:r>
        <w:rPr>
          <w:spacing w:val="-3"/>
          <w:sz w:val="18"/>
          <w:u w:val="none"/>
        </w:rPr>
        <w:t> </w:t>
      </w:r>
      <w:r>
        <w:rPr>
          <w:sz w:val="18"/>
          <w:u w:val="none"/>
        </w:rPr>
        <w:t>11</w:t>
      </w:r>
      <w:r>
        <w:rPr>
          <w:spacing w:val="-2"/>
          <w:sz w:val="18"/>
          <w:u w:val="none"/>
        </w:rPr>
        <w:t> [535].</w:t>
      </w:r>
    </w:p>
    <w:p>
      <w:pPr>
        <w:pStyle w:val="ListParagraph"/>
        <w:numPr>
          <w:ilvl w:val="0"/>
          <w:numId w:val="9"/>
        </w:numPr>
        <w:tabs>
          <w:tab w:pos="1684" w:val="left" w:leader="none"/>
        </w:tabs>
        <w:spacing w:line="240" w:lineRule="auto" w:before="0" w:after="0"/>
        <w:ind w:left="1684" w:right="0" w:hanging="567"/>
        <w:jc w:val="left"/>
        <w:rPr>
          <w:sz w:val="18"/>
        </w:rPr>
      </w:pPr>
      <w:r>
        <w:rPr>
          <w:sz w:val="18"/>
        </w:rPr>
        <w:t>Ibid., </w:t>
      </w:r>
      <w:r>
        <w:rPr>
          <w:spacing w:val="-2"/>
          <w:sz w:val="18"/>
        </w:rPr>
        <w:t>[545].</w:t>
      </w:r>
    </w:p>
    <w:p>
      <w:pPr>
        <w:pStyle w:val="ListParagraph"/>
        <w:numPr>
          <w:ilvl w:val="0"/>
          <w:numId w:val="9"/>
        </w:numPr>
        <w:tabs>
          <w:tab w:pos="1684" w:val="left" w:leader="none"/>
        </w:tabs>
        <w:spacing w:line="240" w:lineRule="auto" w:before="0" w:after="0"/>
        <w:ind w:left="1684" w:right="0" w:hanging="567"/>
        <w:jc w:val="left"/>
        <w:rPr>
          <w:sz w:val="18"/>
        </w:rPr>
      </w:pPr>
      <w:r>
        <w:rPr>
          <w:sz w:val="18"/>
        </w:rPr>
        <w:t>Ibid., </w:t>
      </w:r>
      <w:r>
        <w:rPr>
          <w:spacing w:val="-2"/>
          <w:sz w:val="18"/>
        </w:rPr>
        <w:t>[554].</w:t>
      </w:r>
    </w:p>
    <w:p>
      <w:pPr>
        <w:spacing w:after="0" w:line="240" w:lineRule="auto"/>
        <w:jc w:val="left"/>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793152">
                <wp:simplePos x="0" y="0"/>
                <wp:positionH relativeFrom="page">
                  <wp:posOffset>0</wp:posOffset>
                </wp:positionH>
                <wp:positionV relativeFrom="page">
                  <wp:posOffset>0</wp:posOffset>
                </wp:positionV>
                <wp:extent cx="7560309" cy="1283335"/>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7560309" cy="1283335"/>
                          <a:chExt cx="7560309" cy="1283335"/>
                        </a:xfrm>
                      </wpg:grpSpPr>
                      <wps:wsp>
                        <wps:cNvPr id="343" name="Graphic 343"/>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344" name="Graphic 344"/>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345" name="Textbox 345"/>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30</w:t>
                              </w:r>
                            </w:p>
                          </w:txbxContent>
                        </wps:txbx>
                        <wps:bodyPr wrap="square" lIns="0" tIns="0" rIns="0" bIns="0" rtlCol="0">
                          <a:noAutofit/>
                        </wps:bodyPr>
                      </wps:wsp>
                      <wps:wsp>
                        <wps:cNvPr id="346" name="Textbox 346"/>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347" name="Textbox 347"/>
                        <wps:cNvSpPr txBox="1"/>
                        <wps:spPr>
                          <a:xfrm>
                            <a:off x="647999" y="1080003"/>
                            <a:ext cx="1567815" cy="203200"/>
                          </a:xfrm>
                          <a:prstGeom prst="rect">
                            <a:avLst/>
                          </a:prstGeom>
                        </wps:spPr>
                        <wps:txbx>
                          <w:txbxContent>
                            <w:p>
                              <w:pPr>
                                <w:numPr>
                                  <w:ilvl w:val="1"/>
                                  <w:numId w:val="13"/>
                                </w:numPr>
                                <w:tabs>
                                  <w:tab w:pos="482" w:val="left" w:leader="none"/>
                                </w:tabs>
                                <w:spacing w:line="320" w:lineRule="exact" w:before="0"/>
                                <w:ind w:left="482" w:right="0" w:hanging="482"/>
                                <w:jc w:val="left"/>
                                <w:rPr>
                                  <w:b/>
                                  <w:sz w:val="32"/>
                                </w:rPr>
                              </w:pPr>
                              <w:r>
                                <w:rPr>
                                  <w:b/>
                                  <w:color w:val="004A93"/>
                                  <w:sz w:val="32"/>
                                </w:rPr>
                                <w:t>Report</w:t>
                              </w:r>
                              <w:r>
                                <w:rPr>
                                  <w:b/>
                                  <w:color w:val="004A93"/>
                                  <w:spacing w:val="-5"/>
                                  <w:sz w:val="32"/>
                                </w:rPr>
                                <w:t> </w:t>
                              </w:r>
                              <w:r>
                                <w:rPr>
                                  <w:b/>
                                  <w:color w:val="004A93"/>
                                  <w:spacing w:val="-2"/>
                                  <w:sz w:val="32"/>
                                </w:rPr>
                                <w:t>Outline</w:t>
                              </w:r>
                            </w:p>
                          </w:txbxContent>
                        </wps:txbx>
                        <wps:bodyPr wrap="square" lIns="0" tIns="0" rIns="0" bIns="0" rtlCol="0">
                          <a:noAutofit/>
                        </wps:bodyPr>
                      </wps:wsp>
                    </wpg:wgp>
                  </a:graphicData>
                </a:graphic>
              </wp:anchor>
            </w:drawing>
          </mc:Choice>
          <mc:Fallback>
            <w:pict>
              <v:group style="position:absolute;margin-left:.0pt;margin-top:-.00002pt;width:595.3pt;height:101.05pt;mso-position-horizontal-relative:page;mso-position-vertical-relative:page;z-index:15793152" id="docshapegroup270" coordorigin="0,0" coordsize="11906,2021">
                <v:shape style="position:absolute;left:0;top:0;width:11906;height:1819" id="docshape271"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272" filled="false" stroked="false">
                  <v:textbox inset="0,0,0,0">
                    <w:txbxContent>
                      <w:p>
                        <w:pPr>
                          <w:spacing w:line="280" w:lineRule="exact" w:before="0"/>
                          <w:ind w:left="0" w:right="0" w:firstLine="0"/>
                          <w:jc w:val="left"/>
                          <w:rPr>
                            <w:b/>
                            <w:sz w:val="28"/>
                          </w:rPr>
                        </w:pPr>
                        <w:r>
                          <w:rPr>
                            <w:b/>
                            <w:color w:val="FFFFFF"/>
                            <w:spacing w:val="-5"/>
                            <w:sz w:val="28"/>
                          </w:rPr>
                          <w:t>30</w:t>
                        </w:r>
                      </w:p>
                    </w:txbxContent>
                  </v:textbox>
                  <w10:wrap type="none"/>
                </v:shape>
                <v:shape style="position:absolute;left:1303;top:645;width:6182;height:240" type="#_x0000_t202" id="docshape273"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2469;height:320" type="#_x0000_t202" id="docshape274" filled="false" stroked="false">
                  <v:textbox inset="0,0,0,0">
                    <w:txbxContent>
                      <w:p>
                        <w:pPr>
                          <w:numPr>
                            <w:ilvl w:val="1"/>
                            <w:numId w:val="13"/>
                          </w:numPr>
                          <w:tabs>
                            <w:tab w:pos="482" w:val="left" w:leader="none"/>
                          </w:tabs>
                          <w:spacing w:line="320" w:lineRule="exact" w:before="0"/>
                          <w:ind w:left="482" w:right="0" w:hanging="482"/>
                          <w:jc w:val="left"/>
                          <w:rPr>
                            <w:b/>
                            <w:sz w:val="32"/>
                          </w:rPr>
                        </w:pPr>
                        <w:r>
                          <w:rPr>
                            <w:b/>
                            <w:color w:val="004A93"/>
                            <w:sz w:val="32"/>
                          </w:rPr>
                          <w:t>Report</w:t>
                        </w:r>
                        <w:r>
                          <w:rPr>
                            <w:b/>
                            <w:color w:val="004A93"/>
                            <w:spacing w:val="-5"/>
                            <w:sz w:val="32"/>
                          </w:rPr>
                          <w:t> </w:t>
                        </w:r>
                        <w:r>
                          <w:rPr>
                            <w:b/>
                            <w:color w:val="004A93"/>
                            <w:spacing w:val="-2"/>
                            <w:sz w:val="32"/>
                          </w:rPr>
                          <w:t>Outline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after="1"/>
        <w:rPr>
          <w:sz w:val="20"/>
        </w:rPr>
      </w:pPr>
    </w:p>
    <w:p>
      <w:pPr>
        <w:pStyle w:val="BodyText"/>
        <w:spacing w:line="20" w:lineRule="exact"/>
        <w:ind w:left="720"/>
        <w:rPr>
          <w:sz w:val="2"/>
        </w:rPr>
      </w:pPr>
      <w:r>
        <w:rPr>
          <w:sz w:val="2"/>
        </w:rPr>
        <mc:AlternateContent>
          <mc:Choice Requires="wps">
            <w:drawing>
              <wp:inline distT="0" distB="0" distL="0" distR="0">
                <wp:extent cx="6012180" cy="12700"/>
                <wp:effectExtent l="9525" t="0" r="0" b="6350"/>
                <wp:docPr id="348" name="Group 348"/>
                <wp:cNvGraphicFramePr>
                  <a:graphicFrameLocks/>
                </wp:cNvGraphicFramePr>
                <a:graphic>
                  <a:graphicData uri="http://schemas.microsoft.com/office/word/2010/wordprocessingGroup">
                    <wpg:wgp>
                      <wpg:cNvPr id="348" name="Group 348"/>
                      <wpg:cNvGrpSpPr/>
                      <wpg:grpSpPr>
                        <a:xfrm>
                          <a:off x="0" y="0"/>
                          <a:ext cx="6012180" cy="12700"/>
                          <a:chExt cx="6012180" cy="12700"/>
                        </a:xfrm>
                      </wpg:grpSpPr>
                      <wps:wsp>
                        <wps:cNvPr id="349" name="Graphic 349"/>
                        <wps:cNvSpPr/>
                        <wps:spPr>
                          <a:xfrm>
                            <a:off x="0" y="635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g:wgp>
                  </a:graphicData>
                </a:graphic>
              </wp:inline>
            </w:drawing>
          </mc:Choice>
          <mc:Fallback>
            <w:pict>
              <v:group style="width:473.4pt;height:1pt;mso-position-horizontal-relative:char;mso-position-vertical-relative:line" id="docshapegroup275" coordorigin="0,0" coordsize="9468,20">
                <v:line style="position:absolute" from="0,10" to="9468,10" stroked="true" strokeweight="1pt" strokecolor="#36a9e1">
                  <v:stroke dashstyle="solid"/>
                </v:line>
              </v:group>
            </w:pict>
          </mc:Fallback>
        </mc:AlternateContent>
      </w:r>
      <w:r>
        <w:rPr>
          <w:sz w:val="2"/>
        </w:rPr>
      </w:r>
    </w:p>
    <w:p>
      <w:pPr>
        <w:pStyle w:val="BodyText"/>
        <w:spacing w:line="232" w:lineRule="auto" w:before="98"/>
        <w:ind w:left="720" w:right="1087"/>
      </w:pPr>
      <w:bookmarkStart w:name="1.3 Report Outline" w:id="44"/>
      <w:bookmarkEnd w:id="44"/>
      <w:r>
        <w:rPr/>
      </w:r>
      <w:bookmarkStart w:name="_bookmark19" w:id="45"/>
      <w:bookmarkEnd w:id="45"/>
      <w:r>
        <w:rPr/>
      </w:r>
      <w:r>
        <w:rPr/>
        <w:t>This</w:t>
      </w:r>
      <w:r>
        <w:rPr>
          <w:spacing w:val="-1"/>
        </w:rPr>
        <w:t> </w:t>
      </w:r>
      <w:r>
        <w:rPr/>
        <w:t>briefing</w:t>
      </w:r>
      <w:r>
        <w:rPr>
          <w:spacing w:val="-1"/>
        </w:rPr>
        <w:t> </w:t>
      </w:r>
      <w:r>
        <w:rPr/>
        <w:t>paper</w:t>
      </w:r>
      <w:r>
        <w:rPr>
          <w:spacing w:val="-1"/>
        </w:rPr>
        <w:t> </w:t>
      </w:r>
      <w:r>
        <w:rPr/>
        <w:t>consists</w:t>
      </w:r>
      <w:r>
        <w:rPr>
          <w:spacing w:val="-1"/>
        </w:rPr>
        <w:t> </w:t>
      </w:r>
      <w:r>
        <w:rPr/>
        <w:t>of</w:t>
      </w:r>
      <w:r>
        <w:rPr>
          <w:spacing w:val="-1"/>
        </w:rPr>
        <w:t> </w:t>
      </w:r>
      <w:r>
        <w:rPr/>
        <w:t>an</w:t>
      </w:r>
      <w:r>
        <w:rPr>
          <w:spacing w:val="-1"/>
        </w:rPr>
        <w:t> </w:t>
      </w:r>
      <w:r>
        <w:rPr/>
        <w:t>introduction,</w:t>
      </w:r>
      <w:r>
        <w:rPr>
          <w:spacing w:val="-1"/>
        </w:rPr>
        <w:t> </w:t>
      </w:r>
      <w:r>
        <w:rPr/>
        <w:t>seven</w:t>
      </w:r>
      <w:r>
        <w:rPr>
          <w:spacing w:val="-1"/>
        </w:rPr>
        <w:t> </w:t>
      </w:r>
      <w:r>
        <w:rPr/>
        <w:t>chapters,</w:t>
      </w:r>
      <w:r>
        <w:rPr>
          <w:spacing w:val="-1"/>
        </w:rPr>
        <w:t> </w:t>
      </w:r>
      <w:r>
        <w:rPr/>
        <w:t>a</w:t>
      </w:r>
      <w:r>
        <w:rPr>
          <w:spacing w:val="-1"/>
        </w:rPr>
        <w:t> </w:t>
      </w:r>
      <w:r>
        <w:rPr/>
        <w:t>chapter</w:t>
      </w:r>
      <w:r>
        <w:rPr>
          <w:spacing w:val="-1"/>
        </w:rPr>
        <w:t> </w:t>
      </w:r>
      <w:r>
        <w:rPr/>
        <w:t>listing conclusions</w:t>
      </w:r>
      <w:r>
        <w:rPr>
          <w:spacing w:val="-1"/>
        </w:rPr>
        <w:t> </w:t>
      </w:r>
      <w:r>
        <w:rPr/>
        <w:t>and</w:t>
      </w:r>
      <w:r>
        <w:rPr>
          <w:spacing w:val="-1"/>
        </w:rPr>
        <w:t> </w:t>
      </w:r>
      <w:r>
        <w:rPr/>
        <w:t>recommendations</w:t>
      </w:r>
      <w:r>
        <w:rPr>
          <w:spacing w:val="-1"/>
        </w:rPr>
        <w:t> </w:t>
      </w:r>
      <w:r>
        <w:rPr/>
        <w:t>and</w:t>
      </w:r>
      <w:r>
        <w:rPr>
          <w:spacing w:val="-1"/>
        </w:rPr>
        <w:t> </w:t>
      </w:r>
      <w:r>
        <w:rPr/>
        <w:t>appendices.</w:t>
      </w:r>
      <w:r>
        <w:rPr>
          <w:spacing w:val="-1"/>
        </w:rPr>
        <w:t> </w:t>
      </w:r>
      <w:r>
        <w:rPr/>
        <w:t>This</w:t>
      </w:r>
      <w:r>
        <w:rPr>
          <w:spacing w:val="-1"/>
        </w:rPr>
        <w:t> </w:t>
      </w:r>
      <w:r>
        <w:rPr/>
        <w:t>introductory</w:t>
      </w:r>
      <w:r>
        <w:rPr>
          <w:spacing w:val="-1"/>
        </w:rPr>
        <w:t> </w:t>
      </w:r>
      <w:r>
        <w:rPr/>
        <w:t>chapter</w:t>
      </w:r>
      <w:r>
        <w:rPr>
          <w:spacing w:val="-1"/>
        </w:rPr>
        <w:t> </w:t>
      </w:r>
      <w:r>
        <w:rPr/>
        <w:t>has set</w:t>
      </w:r>
      <w:r>
        <w:rPr>
          <w:spacing w:val="-15"/>
        </w:rPr>
        <w:t> </w:t>
      </w:r>
      <w:r>
        <w:rPr/>
        <w:t>out</w:t>
      </w:r>
      <w:r>
        <w:rPr>
          <w:spacing w:val="-15"/>
        </w:rPr>
        <w:t> </w:t>
      </w:r>
      <w:r>
        <w:rPr/>
        <w:t>the</w:t>
      </w:r>
      <w:r>
        <w:rPr>
          <w:spacing w:val="-15"/>
        </w:rPr>
        <w:t> </w:t>
      </w:r>
      <w:r>
        <w:rPr/>
        <w:t>background,</w:t>
      </w:r>
      <w:r>
        <w:rPr>
          <w:spacing w:val="-15"/>
        </w:rPr>
        <w:t> </w:t>
      </w:r>
      <w:r>
        <w:rPr/>
        <w:t>aims</w:t>
      </w:r>
      <w:r>
        <w:rPr>
          <w:spacing w:val="-15"/>
        </w:rPr>
        <w:t> </w:t>
      </w:r>
      <w:r>
        <w:rPr/>
        <w:t>and</w:t>
      </w:r>
      <w:r>
        <w:rPr>
          <w:spacing w:val="-15"/>
        </w:rPr>
        <w:t> </w:t>
      </w:r>
      <w:r>
        <w:rPr/>
        <w:t>objectives</w:t>
      </w:r>
      <w:r>
        <w:rPr>
          <w:spacing w:val="-15"/>
        </w:rPr>
        <w:t> </w:t>
      </w:r>
      <w:r>
        <w:rPr/>
        <w:t>and</w:t>
      </w:r>
      <w:r>
        <w:rPr>
          <w:spacing w:val="-15"/>
        </w:rPr>
        <w:t> </w:t>
      </w:r>
      <w:r>
        <w:rPr/>
        <w:t>methodology</w:t>
      </w:r>
      <w:r>
        <w:rPr>
          <w:spacing w:val="-15"/>
        </w:rPr>
        <w:t> </w:t>
      </w:r>
      <w:r>
        <w:rPr/>
        <w:t>of</w:t>
      </w:r>
      <w:r>
        <w:rPr>
          <w:spacing w:val="-15"/>
        </w:rPr>
        <w:t> </w:t>
      </w:r>
      <w:r>
        <w:rPr/>
        <w:t>the</w:t>
      </w:r>
      <w:r>
        <w:rPr>
          <w:spacing w:val="-15"/>
        </w:rPr>
        <w:t> </w:t>
      </w:r>
      <w:r>
        <w:rPr/>
        <w:t>briefing</w:t>
      </w:r>
      <w:r>
        <w:rPr>
          <w:spacing w:val="-15"/>
        </w:rPr>
        <w:t> </w:t>
      </w:r>
      <w:r>
        <w:rPr/>
        <w:t>paper.</w:t>
      </w:r>
    </w:p>
    <w:p>
      <w:pPr>
        <w:pStyle w:val="BodyText"/>
        <w:spacing w:line="232" w:lineRule="auto" w:before="279"/>
        <w:ind w:left="720" w:right="1358"/>
      </w:pPr>
      <w:r>
        <w:rPr/>
        <w:t>Chapter two examines the key developments in equality and human rights in Northern Ireland and the UK since January 2022. It highlights areas where there</w:t>
      </w:r>
      <w:r>
        <w:rPr>
          <w:spacing w:val="40"/>
        </w:rPr>
        <w:t> </w:t>
      </w:r>
      <w:r>
        <w:rPr/>
        <w:t>is</w:t>
      </w:r>
      <w:r>
        <w:rPr>
          <w:spacing w:val="-6"/>
        </w:rPr>
        <w:t> </w:t>
      </w:r>
      <w:r>
        <w:rPr/>
        <w:t>a</w:t>
      </w:r>
      <w:r>
        <w:rPr>
          <w:spacing w:val="-6"/>
        </w:rPr>
        <w:t> </w:t>
      </w:r>
      <w:r>
        <w:rPr/>
        <w:t>risk</w:t>
      </w:r>
      <w:r>
        <w:rPr>
          <w:spacing w:val="-5"/>
        </w:rPr>
        <w:t> </w:t>
      </w:r>
      <w:r>
        <w:rPr/>
        <w:t>of</w:t>
      </w:r>
      <w:r>
        <w:rPr>
          <w:spacing w:val="-6"/>
        </w:rPr>
        <w:t> </w:t>
      </w:r>
      <w:r>
        <w:rPr/>
        <w:t>divergence</w:t>
      </w:r>
      <w:r>
        <w:rPr>
          <w:spacing w:val="-5"/>
        </w:rPr>
        <w:t> </w:t>
      </w:r>
      <w:r>
        <w:rPr/>
        <w:t>especially</w:t>
      </w:r>
      <w:r>
        <w:rPr>
          <w:spacing w:val="-5"/>
        </w:rPr>
        <w:t> </w:t>
      </w:r>
      <w:r>
        <w:rPr/>
        <w:t>where</w:t>
      </w:r>
      <w:r>
        <w:rPr>
          <w:spacing w:val="-5"/>
        </w:rPr>
        <w:t> </w:t>
      </w:r>
      <w:r>
        <w:rPr/>
        <w:t>UK</w:t>
      </w:r>
      <w:r>
        <w:rPr>
          <w:spacing w:val="-5"/>
        </w:rPr>
        <w:t> </w:t>
      </w:r>
      <w:r>
        <w:rPr/>
        <w:t>legislation</w:t>
      </w:r>
      <w:r>
        <w:rPr>
          <w:spacing w:val="-6"/>
        </w:rPr>
        <w:t> </w:t>
      </w:r>
      <w:r>
        <w:rPr/>
        <w:t>potentially</w:t>
      </w:r>
      <w:r>
        <w:rPr>
          <w:spacing w:val="-5"/>
        </w:rPr>
        <w:t> </w:t>
      </w:r>
      <w:r>
        <w:rPr/>
        <w:t>diminishes</w:t>
      </w:r>
      <w:r>
        <w:rPr>
          <w:spacing w:val="-6"/>
        </w:rPr>
        <w:t> </w:t>
      </w:r>
      <w:r>
        <w:rPr/>
        <w:t>rights protections and where there seem to be misunderstandings of the meaning of Article 2 WF.</w:t>
      </w:r>
    </w:p>
    <w:p>
      <w:pPr>
        <w:pStyle w:val="BodyText"/>
        <w:spacing w:line="232" w:lineRule="auto" w:before="275"/>
        <w:ind w:left="720" w:right="1087"/>
      </w:pPr>
      <w:r>
        <w:rPr/>
        <w:t>Chapter three examines the rights and equality developments in Ireland since January 2022, highlighting areas where there is a risk of divergence. This is often because</w:t>
      </w:r>
      <w:r>
        <w:rPr>
          <w:spacing w:val="-7"/>
        </w:rPr>
        <w:t> </w:t>
      </w:r>
      <w:r>
        <w:rPr/>
        <w:t>Ireland</w:t>
      </w:r>
      <w:r>
        <w:rPr>
          <w:spacing w:val="-7"/>
        </w:rPr>
        <w:t> </w:t>
      </w:r>
      <w:r>
        <w:rPr/>
        <w:t>has</w:t>
      </w:r>
      <w:r>
        <w:rPr>
          <w:spacing w:val="-7"/>
        </w:rPr>
        <w:t> </w:t>
      </w:r>
      <w:r>
        <w:rPr/>
        <w:t>adopted</w:t>
      </w:r>
      <w:r>
        <w:rPr>
          <w:spacing w:val="-7"/>
        </w:rPr>
        <w:t> </w:t>
      </w:r>
      <w:r>
        <w:rPr/>
        <w:t>or</w:t>
      </w:r>
      <w:r>
        <w:rPr>
          <w:spacing w:val="-7"/>
        </w:rPr>
        <w:t> </w:t>
      </w:r>
      <w:r>
        <w:rPr/>
        <w:t>is</w:t>
      </w:r>
      <w:r>
        <w:rPr>
          <w:spacing w:val="-7"/>
        </w:rPr>
        <w:t> </w:t>
      </w:r>
      <w:r>
        <w:rPr/>
        <w:t>considering</w:t>
      </w:r>
      <w:r>
        <w:rPr>
          <w:spacing w:val="-7"/>
        </w:rPr>
        <w:t> </w:t>
      </w:r>
      <w:r>
        <w:rPr/>
        <w:t>adopting</w:t>
      </w:r>
      <w:r>
        <w:rPr>
          <w:spacing w:val="-7"/>
        </w:rPr>
        <w:t> </w:t>
      </w:r>
      <w:r>
        <w:rPr/>
        <w:t>measures</w:t>
      </w:r>
      <w:r>
        <w:rPr>
          <w:spacing w:val="-7"/>
        </w:rPr>
        <w:t> </w:t>
      </w:r>
      <w:r>
        <w:rPr/>
        <w:t>representing</w:t>
      </w:r>
      <w:r>
        <w:rPr>
          <w:spacing w:val="-7"/>
        </w:rPr>
        <w:t> </w:t>
      </w:r>
      <w:r>
        <w:rPr/>
        <w:t>best practice but also instances where Ireland has not adequately implemented EU law.</w:t>
      </w:r>
    </w:p>
    <w:p>
      <w:pPr>
        <w:pStyle w:val="BodyText"/>
        <w:spacing w:line="232" w:lineRule="auto" w:before="278"/>
        <w:ind w:left="720" w:right="1143"/>
      </w:pPr>
      <w:r>
        <w:rPr/>
        <w:t>Chapter four presents the developments in EU law in relation to human rights and equality since January 2022 focusing on directives and regulations. It identifies developments since January 2022 relating to proposed and/or adopted EU law (directives and regulations), that relates to equality and human rights, which did not apply in NI domestic law before the end of the Brexit transition period (31 December 2021), and which could potentially amend and/or update an Annex 1 Directive;</w:t>
      </w:r>
      <w:r>
        <w:rPr>
          <w:spacing w:val="-5"/>
        </w:rPr>
        <w:t> </w:t>
      </w:r>
      <w:r>
        <w:rPr/>
        <w:t>or</w:t>
      </w:r>
      <w:r>
        <w:rPr>
          <w:spacing w:val="-5"/>
        </w:rPr>
        <w:t> </w:t>
      </w:r>
      <w:r>
        <w:rPr/>
        <w:t>which</w:t>
      </w:r>
      <w:r>
        <w:rPr>
          <w:spacing w:val="-6"/>
        </w:rPr>
        <w:t> </w:t>
      </w:r>
      <w:r>
        <w:rPr/>
        <w:t>do</w:t>
      </w:r>
      <w:r>
        <w:rPr>
          <w:spacing w:val="-6"/>
        </w:rPr>
        <w:t> </w:t>
      </w:r>
      <w:r>
        <w:rPr/>
        <w:t>not</w:t>
      </w:r>
      <w:r>
        <w:rPr>
          <w:spacing w:val="-5"/>
        </w:rPr>
        <w:t> </w:t>
      </w:r>
      <w:r>
        <w:rPr/>
        <w:t>amend</w:t>
      </w:r>
      <w:r>
        <w:rPr>
          <w:spacing w:val="-6"/>
        </w:rPr>
        <w:t> </w:t>
      </w:r>
      <w:r>
        <w:rPr/>
        <w:t>and/or</w:t>
      </w:r>
      <w:r>
        <w:rPr>
          <w:spacing w:val="-5"/>
        </w:rPr>
        <w:t> </w:t>
      </w:r>
      <w:r>
        <w:rPr/>
        <w:t>update</w:t>
      </w:r>
      <w:r>
        <w:rPr>
          <w:spacing w:val="-5"/>
        </w:rPr>
        <w:t> </w:t>
      </w:r>
      <w:r>
        <w:rPr/>
        <w:t>an</w:t>
      </w:r>
      <w:r>
        <w:rPr>
          <w:spacing w:val="-6"/>
        </w:rPr>
        <w:t> </w:t>
      </w:r>
      <w:r>
        <w:rPr/>
        <w:t>Annex</w:t>
      </w:r>
      <w:r>
        <w:rPr>
          <w:spacing w:val="-6"/>
        </w:rPr>
        <w:t> </w:t>
      </w:r>
      <w:r>
        <w:rPr/>
        <w:t>1</w:t>
      </w:r>
      <w:r>
        <w:rPr>
          <w:spacing w:val="-5"/>
        </w:rPr>
        <w:t> </w:t>
      </w:r>
      <w:r>
        <w:rPr/>
        <w:t>Directive</w:t>
      </w:r>
      <w:r>
        <w:rPr>
          <w:spacing w:val="-5"/>
        </w:rPr>
        <w:t> </w:t>
      </w:r>
      <w:r>
        <w:rPr/>
        <w:t>but</w:t>
      </w:r>
      <w:r>
        <w:rPr>
          <w:spacing w:val="-5"/>
        </w:rPr>
        <w:t> </w:t>
      </w:r>
      <w:r>
        <w:rPr/>
        <w:t>do</w:t>
      </w:r>
      <w:r>
        <w:rPr>
          <w:spacing w:val="-6"/>
        </w:rPr>
        <w:t> </w:t>
      </w:r>
      <w:r>
        <w:rPr/>
        <w:t>relate to</w:t>
      </w:r>
      <w:r>
        <w:rPr>
          <w:spacing w:val="-3"/>
        </w:rPr>
        <w:t> </w:t>
      </w:r>
      <w:r>
        <w:rPr/>
        <w:t>human</w:t>
      </w:r>
      <w:r>
        <w:rPr>
          <w:spacing w:val="-3"/>
        </w:rPr>
        <w:t> </w:t>
      </w:r>
      <w:r>
        <w:rPr/>
        <w:t>rights</w:t>
      </w:r>
      <w:r>
        <w:rPr>
          <w:spacing w:val="-3"/>
        </w:rPr>
        <w:t> </w:t>
      </w:r>
      <w:r>
        <w:rPr/>
        <w:t>and</w:t>
      </w:r>
      <w:r>
        <w:rPr>
          <w:spacing w:val="-3"/>
        </w:rPr>
        <w:t> </w:t>
      </w:r>
      <w:r>
        <w:rPr/>
        <w:t>equality</w:t>
      </w:r>
      <w:r>
        <w:rPr>
          <w:spacing w:val="-2"/>
        </w:rPr>
        <w:t> </w:t>
      </w:r>
      <w:r>
        <w:rPr/>
        <w:t>and</w:t>
      </w:r>
      <w:r>
        <w:rPr>
          <w:spacing w:val="-3"/>
        </w:rPr>
        <w:t> </w:t>
      </w:r>
      <w:r>
        <w:rPr/>
        <w:t>would</w:t>
      </w:r>
      <w:r>
        <w:rPr>
          <w:spacing w:val="-3"/>
        </w:rPr>
        <w:t> </w:t>
      </w:r>
      <w:r>
        <w:rPr/>
        <w:t>have</w:t>
      </w:r>
      <w:r>
        <w:rPr>
          <w:spacing w:val="-2"/>
        </w:rPr>
        <w:t> </w:t>
      </w:r>
      <w:r>
        <w:rPr/>
        <w:t>applied</w:t>
      </w:r>
      <w:r>
        <w:rPr>
          <w:spacing w:val="-3"/>
        </w:rPr>
        <w:t> </w:t>
      </w:r>
      <w:r>
        <w:rPr/>
        <w:t>to</w:t>
      </w:r>
      <w:r>
        <w:rPr>
          <w:spacing w:val="-3"/>
        </w:rPr>
        <w:t> </w:t>
      </w:r>
      <w:r>
        <w:rPr/>
        <w:t>NI</w:t>
      </w:r>
      <w:r>
        <w:rPr>
          <w:spacing w:val="-2"/>
        </w:rPr>
        <w:t> </w:t>
      </w:r>
      <w:r>
        <w:rPr/>
        <w:t>had</w:t>
      </w:r>
      <w:r>
        <w:rPr>
          <w:spacing w:val="-3"/>
        </w:rPr>
        <w:t> </w:t>
      </w:r>
      <w:r>
        <w:rPr/>
        <w:t>the</w:t>
      </w:r>
      <w:r>
        <w:rPr>
          <w:spacing w:val="-2"/>
        </w:rPr>
        <w:t> </w:t>
      </w:r>
      <w:r>
        <w:rPr/>
        <w:t>UK</w:t>
      </w:r>
      <w:r>
        <w:rPr>
          <w:spacing w:val="-2"/>
        </w:rPr>
        <w:t> </w:t>
      </w:r>
      <w:r>
        <w:rPr/>
        <w:t>remained</w:t>
      </w:r>
      <w:r>
        <w:rPr>
          <w:spacing w:val="-3"/>
        </w:rPr>
        <w:t> </w:t>
      </w:r>
      <w:r>
        <w:rPr/>
        <w:t>in the EU.</w:t>
      </w:r>
    </w:p>
    <w:p>
      <w:pPr>
        <w:pStyle w:val="BodyText"/>
        <w:spacing w:line="232" w:lineRule="auto" w:before="269"/>
        <w:ind w:left="720" w:right="1505"/>
      </w:pPr>
      <w:r>
        <w:rPr/>
        <w:t>Chapter five explores the domestic developments in relation to case law and</w:t>
      </w:r>
      <w:r>
        <w:rPr>
          <w:spacing w:val="40"/>
        </w:rPr>
        <w:t> </w:t>
      </w:r>
      <w:r>
        <w:rPr/>
        <w:t>the</w:t>
      </w:r>
      <w:r>
        <w:rPr>
          <w:spacing w:val="-4"/>
        </w:rPr>
        <w:t> </w:t>
      </w:r>
      <w:r>
        <w:rPr/>
        <w:t>role</w:t>
      </w:r>
      <w:r>
        <w:rPr>
          <w:spacing w:val="-4"/>
        </w:rPr>
        <w:t> </w:t>
      </w:r>
      <w:r>
        <w:rPr/>
        <w:t>of</w:t>
      </w:r>
      <w:r>
        <w:rPr>
          <w:spacing w:val="-5"/>
        </w:rPr>
        <w:t> </w:t>
      </w:r>
      <w:r>
        <w:rPr/>
        <w:t>CJEU</w:t>
      </w:r>
      <w:r>
        <w:rPr>
          <w:spacing w:val="-4"/>
        </w:rPr>
        <w:t> </w:t>
      </w:r>
      <w:r>
        <w:rPr/>
        <w:t>case</w:t>
      </w:r>
      <w:r>
        <w:rPr>
          <w:spacing w:val="-4"/>
        </w:rPr>
        <w:t> </w:t>
      </w:r>
      <w:r>
        <w:rPr/>
        <w:t>law</w:t>
      </w:r>
      <w:r>
        <w:rPr>
          <w:spacing w:val="-4"/>
        </w:rPr>
        <w:t> </w:t>
      </w:r>
      <w:r>
        <w:rPr/>
        <w:t>since</w:t>
      </w:r>
      <w:r>
        <w:rPr>
          <w:spacing w:val="-4"/>
        </w:rPr>
        <w:t> </w:t>
      </w:r>
      <w:r>
        <w:rPr/>
        <w:t>January</w:t>
      </w:r>
      <w:r>
        <w:rPr>
          <w:spacing w:val="-4"/>
        </w:rPr>
        <w:t> </w:t>
      </w:r>
      <w:r>
        <w:rPr/>
        <w:t>2022.</w:t>
      </w:r>
      <w:r>
        <w:rPr>
          <w:spacing w:val="-5"/>
        </w:rPr>
        <w:t> </w:t>
      </w:r>
      <w:r>
        <w:rPr/>
        <w:t>It</w:t>
      </w:r>
      <w:r>
        <w:rPr>
          <w:spacing w:val="-4"/>
        </w:rPr>
        <w:t> </w:t>
      </w:r>
      <w:r>
        <w:rPr/>
        <w:t>provides</w:t>
      </w:r>
      <w:r>
        <w:rPr>
          <w:spacing w:val="-5"/>
        </w:rPr>
        <w:t> </w:t>
      </w:r>
      <w:r>
        <w:rPr/>
        <w:t>an</w:t>
      </w:r>
      <w:r>
        <w:rPr>
          <w:spacing w:val="-5"/>
        </w:rPr>
        <w:t> </w:t>
      </w:r>
      <w:r>
        <w:rPr/>
        <w:t>update,</w:t>
      </w:r>
      <w:r>
        <w:rPr>
          <w:spacing w:val="-4"/>
        </w:rPr>
        <w:t> </w:t>
      </w:r>
      <w:r>
        <w:rPr/>
        <w:t>analysis</w:t>
      </w:r>
      <w:r>
        <w:rPr>
          <w:spacing w:val="-5"/>
        </w:rPr>
        <w:t> </w:t>
      </w:r>
      <w:r>
        <w:rPr/>
        <w:t>and implications</w:t>
      </w:r>
      <w:r>
        <w:rPr>
          <w:spacing w:val="-1"/>
        </w:rPr>
        <w:t> </w:t>
      </w:r>
      <w:r>
        <w:rPr/>
        <w:t>in</w:t>
      </w:r>
      <w:r>
        <w:rPr>
          <w:spacing w:val="-1"/>
        </w:rPr>
        <w:t> </w:t>
      </w:r>
      <w:r>
        <w:rPr/>
        <w:t>terms</w:t>
      </w:r>
      <w:r>
        <w:rPr>
          <w:spacing w:val="-1"/>
        </w:rPr>
        <w:t> </w:t>
      </w:r>
      <w:r>
        <w:rPr/>
        <w:t>of</w:t>
      </w:r>
      <w:r>
        <w:rPr>
          <w:spacing w:val="-1"/>
        </w:rPr>
        <w:t> </w:t>
      </w:r>
      <w:r>
        <w:rPr/>
        <w:t>domestic legislative developments, if</w:t>
      </w:r>
      <w:r>
        <w:rPr>
          <w:spacing w:val="-1"/>
        </w:rPr>
        <w:t> </w:t>
      </w:r>
      <w:r>
        <w:rPr/>
        <w:t>any, since January</w:t>
      </w:r>
    </w:p>
    <w:p>
      <w:pPr>
        <w:pStyle w:val="BodyText"/>
        <w:spacing w:line="232" w:lineRule="auto"/>
        <w:ind w:left="720" w:right="1087"/>
      </w:pPr>
      <w:r>
        <w:rPr/>
        <w:t>2022</w:t>
      </w:r>
      <w:r>
        <w:rPr>
          <w:spacing w:val="-3"/>
        </w:rPr>
        <w:t> </w:t>
      </w:r>
      <w:r>
        <w:rPr/>
        <w:t>relating</w:t>
      </w:r>
      <w:r>
        <w:rPr>
          <w:spacing w:val="-3"/>
        </w:rPr>
        <w:t> </w:t>
      </w:r>
      <w:r>
        <w:rPr/>
        <w:t>to</w:t>
      </w:r>
      <w:r>
        <w:rPr>
          <w:spacing w:val="-4"/>
        </w:rPr>
        <w:t> </w:t>
      </w:r>
      <w:r>
        <w:rPr/>
        <w:t>how</w:t>
      </w:r>
      <w:r>
        <w:rPr>
          <w:spacing w:val="-3"/>
        </w:rPr>
        <w:t> </w:t>
      </w:r>
      <w:r>
        <w:rPr/>
        <w:t>the</w:t>
      </w:r>
      <w:r>
        <w:rPr>
          <w:spacing w:val="-3"/>
        </w:rPr>
        <w:t> </w:t>
      </w:r>
      <w:r>
        <w:rPr/>
        <w:t>jurisprudence</w:t>
      </w:r>
      <w:r>
        <w:rPr>
          <w:spacing w:val="-3"/>
        </w:rPr>
        <w:t> </w:t>
      </w:r>
      <w:r>
        <w:rPr/>
        <w:t>of</w:t>
      </w:r>
      <w:r>
        <w:rPr>
          <w:spacing w:val="-4"/>
        </w:rPr>
        <w:t> </w:t>
      </w:r>
      <w:r>
        <w:rPr/>
        <w:t>the</w:t>
      </w:r>
      <w:r>
        <w:rPr>
          <w:spacing w:val="-3"/>
        </w:rPr>
        <w:t> </w:t>
      </w:r>
      <w:r>
        <w:rPr/>
        <w:t>CJEU</w:t>
      </w:r>
      <w:r>
        <w:rPr>
          <w:spacing w:val="-3"/>
        </w:rPr>
        <w:t> </w:t>
      </w:r>
      <w:r>
        <w:rPr/>
        <w:t>on</w:t>
      </w:r>
      <w:r>
        <w:rPr>
          <w:spacing w:val="-4"/>
        </w:rPr>
        <w:t> </w:t>
      </w:r>
      <w:r>
        <w:rPr/>
        <w:t>equality</w:t>
      </w:r>
      <w:r>
        <w:rPr>
          <w:spacing w:val="-3"/>
        </w:rPr>
        <w:t> </w:t>
      </w:r>
      <w:r>
        <w:rPr/>
        <w:t>and</w:t>
      </w:r>
      <w:r>
        <w:rPr>
          <w:spacing w:val="-4"/>
        </w:rPr>
        <w:t> </w:t>
      </w:r>
      <w:r>
        <w:rPr/>
        <w:t>human</w:t>
      </w:r>
      <w:r>
        <w:rPr>
          <w:spacing w:val="-4"/>
        </w:rPr>
        <w:t> </w:t>
      </w:r>
      <w:r>
        <w:rPr/>
        <w:t>rights related matters is to be, or will be, taken into account or complied with by the respective courts in NI post the end of the Brexit transition period.</w:t>
      </w:r>
    </w:p>
    <w:p>
      <w:pPr>
        <w:pStyle w:val="BodyText"/>
        <w:spacing w:line="232" w:lineRule="auto" w:before="274"/>
        <w:ind w:left="720" w:right="1250"/>
      </w:pPr>
      <w:r>
        <w:rPr/>
        <w:t>Chapter six analyses the CJEU case law on the Annex 1 directives since January 2022. It sets out the details and implications, including potential implications, of this</w:t>
      </w:r>
      <w:r>
        <w:rPr>
          <w:spacing w:val="-7"/>
        </w:rPr>
        <w:t> </w:t>
      </w:r>
      <w:r>
        <w:rPr/>
        <w:t>CJEU</w:t>
      </w:r>
      <w:r>
        <w:rPr>
          <w:spacing w:val="-6"/>
        </w:rPr>
        <w:t> </w:t>
      </w:r>
      <w:r>
        <w:rPr/>
        <w:t>case</w:t>
      </w:r>
      <w:r>
        <w:rPr>
          <w:spacing w:val="-6"/>
        </w:rPr>
        <w:t> </w:t>
      </w:r>
      <w:r>
        <w:rPr/>
        <w:t>law</w:t>
      </w:r>
      <w:r>
        <w:rPr>
          <w:spacing w:val="-6"/>
        </w:rPr>
        <w:t> </w:t>
      </w:r>
      <w:r>
        <w:rPr/>
        <w:t>on</w:t>
      </w:r>
      <w:r>
        <w:rPr>
          <w:spacing w:val="-7"/>
        </w:rPr>
        <w:t> </w:t>
      </w:r>
      <w:r>
        <w:rPr/>
        <w:t>equality</w:t>
      </w:r>
      <w:r>
        <w:rPr>
          <w:spacing w:val="-6"/>
        </w:rPr>
        <w:t> </w:t>
      </w:r>
      <w:r>
        <w:rPr/>
        <w:t>and</w:t>
      </w:r>
      <w:r>
        <w:rPr>
          <w:spacing w:val="-7"/>
        </w:rPr>
        <w:t> </w:t>
      </w:r>
      <w:r>
        <w:rPr/>
        <w:t>human</w:t>
      </w:r>
      <w:r>
        <w:rPr>
          <w:spacing w:val="-7"/>
        </w:rPr>
        <w:t> </w:t>
      </w:r>
      <w:r>
        <w:rPr/>
        <w:t>rights</w:t>
      </w:r>
      <w:r>
        <w:rPr>
          <w:spacing w:val="-7"/>
        </w:rPr>
        <w:t> </w:t>
      </w:r>
      <w:r>
        <w:rPr/>
        <w:t>law,</w:t>
      </w:r>
      <w:r>
        <w:rPr>
          <w:spacing w:val="-6"/>
        </w:rPr>
        <w:t> </w:t>
      </w:r>
      <w:r>
        <w:rPr/>
        <w:t>including</w:t>
      </w:r>
      <w:r>
        <w:rPr>
          <w:spacing w:val="-6"/>
        </w:rPr>
        <w:t> </w:t>
      </w:r>
      <w:r>
        <w:rPr/>
        <w:t>implications</w:t>
      </w:r>
      <w:r>
        <w:rPr>
          <w:spacing w:val="-7"/>
        </w:rPr>
        <w:t> </w:t>
      </w:r>
      <w:r>
        <w:rPr/>
        <w:t>for</w:t>
      </w:r>
      <w:r>
        <w:rPr>
          <w:spacing w:val="-6"/>
        </w:rPr>
        <w:t> </w:t>
      </w:r>
      <w:r>
        <w:rPr/>
        <w:t>NI.</w:t>
      </w:r>
    </w:p>
    <w:p>
      <w:pPr>
        <w:pStyle w:val="BodyText"/>
        <w:spacing w:line="232" w:lineRule="auto" w:before="279"/>
        <w:ind w:left="720" w:right="1087"/>
      </w:pPr>
      <w:r>
        <w:rPr/>
        <w:t>Chapter</w:t>
      </w:r>
      <w:r>
        <w:rPr>
          <w:spacing w:val="-6"/>
        </w:rPr>
        <w:t> </w:t>
      </w:r>
      <w:r>
        <w:rPr/>
        <w:t>seven</w:t>
      </w:r>
      <w:r>
        <w:rPr>
          <w:spacing w:val="-6"/>
        </w:rPr>
        <w:t> </w:t>
      </w:r>
      <w:r>
        <w:rPr/>
        <w:t>looks</w:t>
      </w:r>
      <w:r>
        <w:rPr>
          <w:spacing w:val="-6"/>
        </w:rPr>
        <w:t> </w:t>
      </w:r>
      <w:r>
        <w:rPr/>
        <w:t>at</w:t>
      </w:r>
      <w:r>
        <w:rPr>
          <w:spacing w:val="-6"/>
        </w:rPr>
        <w:t> </w:t>
      </w:r>
      <w:r>
        <w:rPr/>
        <w:t>EU</w:t>
      </w:r>
      <w:r>
        <w:rPr>
          <w:spacing w:val="-5"/>
        </w:rPr>
        <w:t> </w:t>
      </w:r>
      <w:r>
        <w:rPr/>
        <w:t>policy</w:t>
      </w:r>
      <w:r>
        <w:rPr>
          <w:spacing w:val="-5"/>
        </w:rPr>
        <w:t> </w:t>
      </w:r>
      <w:r>
        <w:rPr/>
        <w:t>developments</w:t>
      </w:r>
      <w:r>
        <w:rPr>
          <w:spacing w:val="-6"/>
        </w:rPr>
        <w:t> </w:t>
      </w:r>
      <w:r>
        <w:rPr/>
        <w:t>on</w:t>
      </w:r>
      <w:r>
        <w:rPr>
          <w:spacing w:val="-5"/>
        </w:rPr>
        <w:t> </w:t>
      </w:r>
      <w:r>
        <w:rPr/>
        <w:t>rights</w:t>
      </w:r>
      <w:r>
        <w:rPr>
          <w:spacing w:val="-6"/>
        </w:rPr>
        <w:t> </w:t>
      </w:r>
      <w:r>
        <w:rPr/>
        <w:t>and</w:t>
      </w:r>
      <w:r>
        <w:rPr>
          <w:spacing w:val="-5"/>
        </w:rPr>
        <w:t> </w:t>
      </w:r>
      <w:r>
        <w:rPr/>
        <w:t>equality</w:t>
      </w:r>
      <w:r>
        <w:rPr>
          <w:spacing w:val="-5"/>
        </w:rPr>
        <w:t> </w:t>
      </w:r>
      <w:r>
        <w:rPr/>
        <w:t>since</w:t>
      </w:r>
      <w:r>
        <w:rPr>
          <w:spacing w:val="-5"/>
        </w:rPr>
        <w:t> </w:t>
      </w:r>
      <w:r>
        <w:rPr/>
        <w:t>January 2022. It identifies EU initiatives that encourage or support the Governments of Member States to progress equality or human rights, and/or support civil society organisations in their work to progress equality or human rights.</w:t>
      </w:r>
    </w:p>
    <w:p>
      <w:pPr>
        <w:pStyle w:val="BodyText"/>
        <w:spacing w:before="270"/>
        <w:ind w:left="720"/>
      </w:pPr>
      <w:r>
        <w:rPr/>
        <w:t>Chapter</w:t>
      </w:r>
      <w:r>
        <w:rPr>
          <w:spacing w:val="-7"/>
        </w:rPr>
        <w:t> </w:t>
      </w:r>
      <w:r>
        <w:rPr/>
        <w:t>seven</w:t>
      </w:r>
      <w:r>
        <w:rPr>
          <w:spacing w:val="-5"/>
        </w:rPr>
        <w:t> </w:t>
      </w:r>
      <w:r>
        <w:rPr/>
        <w:t>is</w:t>
      </w:r>
      <w:r>
        <w:rPr>
          <w:spacing w:val="-5"/>
        </w:rPr>
        <w:t> </w:t>
      </w:r>
      <w:r>
        <w:rPr/>
        <w:t>followed</w:t>
      </w:r>
      <w:r>
        <w:rPr>
          <w:spacing w:val="-5"/>
        </w:rPr>
        <w:t> </w:t>
      </w:r>
      <w:r>
        <w:rPr/>
        <w:t>by</w:t>
      </w:r>
      <w:r>
        <w:rPr>
          <w:spacing w:val="-4"/>
        </w:rPr>
        <w:t> </w:t>
      </w:r>
      <w:r>
        <w:rPr/>
        <w:t>a</w:t>
      </w:r>
      <w:r>
        <w:rPr>
          <w:spacing w:val="-5"/>
        </w:rPr>
        <w:t> </w:t>
      </w:r>
      <w:r>
        <w:rPr/>
        <w:t>summary</w:t>
      </w:r>
      <w:r>
        <w:rPr>
          <w:spacing w:val="-4"/>
        </w:rPr>
        <w:t> </w:t>
      </w:r>
      <w:r>
        <w:rPr/>
        <w:t>list</w:t>
      </w:r>
      <w:r>
        <w:rPr>
          <w:spacing w:val="-4"/>
        </w:rPr>
        <w:t> </w:t>
      </w:r>
      <w:r>
        <w:rPr/>
        <w:t>of</w:t>
      </w:r>
      <w:r>
        <w:rPr>
          <w:spacing w:val="-5"/>
        </w:rPr>
        <w:t> </w:t>
      </w:r>
      <w:r>
        <w:rPr>
          <w:spacing w:val="-2"/>
        </w:rPr>
        <w:t>recommendations.</w:t>
      </w:r>
    </w:p>
    <w:p>
      <w:pPr>
        <w:spacing w:after="0"/>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69536">
                <wp:simplePos x="0" y="0"/>
                <wp:positionH relativeFrom="page">
                  <wp:posOffset>-2</wp:posOffset>
                </wp:positionH>
                <wp:positionV relativeFrom="page">
                  <wp:posOffset>0</wp:posOffset>
                </wp:positionV>
                <wp:extent cx="7560309" cy="7153275"/>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7560309" cy="7153275"/>
                          <a:chExt cx="7560309" cy="7153275"/>
                        </a:xfrm>
                      </wpg:grpSpPr>
                      <pic:pic>
                        <pic:nvPicPr>
                          <pic:cNvPr id="351" name="Image 351"/>
                          <pic:cNvPicPr/>
                        </pic:nvPicPr>
                        <pic:blipFill>
                          <a:blip r:embed="rId42" cstate="print"/>
                          <a:stretch>
                            <a:fillRect/>
                          </a:stretch>
                        </pic:blipFill>
                        <pic:spPr>
                          <a:xfrm>
                            <a:off x="2" y="12"/>
                            <a:ext cx="7559992" cy="4139996"/>
                          </a:xfrm>
                          <a:prstGeom prst="rect">
                            <a:avLst/>
                          </a:prstGeom>
                        </pic:spPr>
                      </pic:pic>
                      <wps:wsp>
                        <wps:cNvPr id="352" name="Graphic 352"/>
                        <wps:cNvSpPr/>
                        <wps:spPr>
                          <a:xfrm>
                            <a:off x="2" y="2970003"/>
                            <a:ext cx="7560309" cy="4183379"/>
                          </a:xfrm>
                          <a:custGeom>
                            <a:avLst/>
                            <a:gdLst/>
                            <a:ahLst/>
                            <a:cxnLst/>
                            <a:rect l="l" t="t" r="r" b="b"/>
                            <a:pathLst>
                              <a:path w="7560309" h="4183379">
                                <a:moveTo>
                                  <a:pt x="6840004" y="0"/>
                                </a:moveTo>
                                <a:lnTo>
                                  <a:pt x="0" y="0"/>
                                </a:lnTo>
                                <a:lnTo>
                                  <a:pt x="0" y="4182872"/>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353" name="Graphic 353"/>
                        <wps:cNvSpPr/>
                        <wps:spPr>
                          <a:xfrm>
                            <a:off x="900001" y="344030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354" name="Graphic 354"/>
                        <wps:cNvSpPr/>
                        <wps:spPr>
                          <a:xfrm>
                            <a:off x="900001" y="551905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355" name="Graphic 355"/>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356" name="Graphic 356"/>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563.25pt;mso-position-horizontal-relative:page;mso-position-vertical-relative:page;z-index:-19346944" id="docshapegroup276" coordorigin="0,0" coordsize="11906,11265">
                <v:shape style="position:absolute;left:0;top:0;width:11906;height:6520" type="#_x0000_t75" id="docshape277" stroked="false">
                  <v:imagedata r:id="rId42" o:title=""/>
                </v:shape>
                <v:shape style="position:absolute;left:0;top:4677;width:11906;height:6588" id="docshape278" coordorigin="0,4677" coordsize="11906,6588" path="m10772,4677l0,4677,0,11264,11906,11264,11906,5245,11846,5169,11798,5117,11749,5068,11697,5021,11642,4976,11586,4934,11527,4895,11467,4859,11404,4826,11340,4796,11274,4769,11206,4745,11137,4725,11066,4708,10994,4695,10921,4685,10847,4679,10772,4677xe" filled="true" fillcolor="#ffffff" stroked="false">
                  <v:path arrowok="t"/>
                  <v:fill type="solid"/>
                </v:shape>
                <v:line style="position:absolute" from="1417,5418" to="10885,5418" stroked="true" strokeweight="1pt" strokecolor="#36a9e1">
                  <v:stroke dashstyle="solid"/>
                </v:line>
                <v:line style="position:absolute" from="1417,8691" to="10885,8691" stroked="true" strokeweight="1pt" strokecolor="#36a9e1">
                  <v:stroke dashstyle="solid"/>
                </v:line>
                <v:shape style="position:absolute;left:0;top:0;width:11906;height:1819" id="docshape279"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Chapter 2: Human Rights and Equality Dev" w:id="46"/>
      <w:bookmarkEnd w:id="46"/>
      <w:r>
        <w:rPr/>
      </w:r>
      <w:bookmarkStart w:name="2.1 Introduction" w:id="47"/>
      <w:bookmarkEnd w:id="47"/>
      <w:r>
        <w:rPr/>
      </w:r>
      <w:bookmarkStart w:name="2.2 Northern Ireland" w:id="48"/>
      <w:bookmarkEnd w:id="48"/>
      <w:r>
        <w:rPr/>
      </w:r>
      <w:bookmarkStart w:name="_bookmark20" w:id="49"/>
      <w:bookmarkEnd w:id="49"/>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31</w:t>
      </w:r>
    </w:p>
    <w:p>
      <w:pPr>
        <w:pStyle w:val="BodyText"/>
        <w:spacing w:before="40"/>
        <w:rPr>
          <w:b/>
          <w:sz w:val="52"/>
        </w:rPr>
      </w:pPr>
    </w:p>
    <w:p>
      <w:pPr>
        <w:spacing w:line="597" w:lineRule="exact" w:before="0"/>
        <w:ind w:left="1117" w:right="0" w:firstLine="0"/>
        <w:jc w:val="left"/>
        <w:rPr>
          <w:sz w:val="52"/>
        </w:rPr>
      </w:pPr>
      <w:r>
        <w:rPr>
          <w:color w:val="FFFFFF"/>
          <w:sz w:val="52"/>
        </w:rPr>
        <w:t>Chapter</w:t>
      </w:r>
      <w:r>
        <w:rPr>
          <w:color w:val="FFFFFF"/>
          <w:spacing w:val="-13"/>
          <w:sz w:val="52"/>
        </w:rPr>
        <w:t> </w:t>
      </w:r>
      <w:r>
        <w:rPr>
          <w:color w:val="FFFFFF"/>
          <w:spacing w:val="-5"/>
          <w:sz w:val="52"/>
        </w:rPr>
        <w:t>2:</w:t>
      </w:r>
    </w:p>
    <w:p>
      <w:pPr>
        <w:pStyle w:val="Heading1"/>
        <w:spacing w:line="211" w:lineRule="auto" w:before="22"/>
        <w:ind w:right="1087"/>
      </w:pPr>
      <w:r>
        <w:rPr>
          <w:color w:val="FFFFFF"/>
        </w:rPr>
        <w:t>Human</w:t>
      </w:r>
      <w:r>
        <w:rPr>
          <w:color w:val="FFFFFF"/>
          <w:spacing w:val="-14"/>
        </w:rPr>
        <w:t> </w:t>
      </w:r>
      <w:r>
        <w:rPr>
          <w:color w:val="FFFFFF"/>
        </w:rPr>
        <w:t>Rights</w:t>
      </w:r>
      <w:r>
        <w:rPr>
          <w:color w:val="FFFFFF"/>
          <w:spacing w:val="-14"/>
        </w:rPr>
        <w:t> </w:t>
      </w:r>
      <w:r>
        <w:rPr>
          <w:color w:val="FFFFFF"/>
        </w:rPr>
        <w:t>and</w:t>
      </w:r>
      <w:r>
        <w:rPr>
          <w:color w:val="FFFFFF"/>
          <w:spacing w:val="-14"/>
        </w:rPr>
        <w:t> </w:t>
      </w:r>
      <w:r>
        <w:rPr>
          <w:color w:val="FFFFFF"/>
        </w:rPr>
        <w:t>Equality</w:t>
      </w:r>
      <w:r>
        <w:rPr>
          <w:color w:val="FFFFFF"/>
          <w:spacing w:val="-14"/>
        </w:rPr>
        <w:t> </w:t>
      </w:r>
      <w:r>
        <w:rPr>
          <w:color w:val="FFFFFF"/>
        </w:rPr>
        <w:t>Developments in Northern Ireland and the United Kingdom since January 2022 and the</w:t>
      </w:r>
    </w:p>
    <w:p>
      <w:pPr>
        <w:spacing w:line="580" w:lineRule="exact" w:before="0"/>
        <w:ind w:left="1117" w:right="0" w:firstLine="0"/>
        <w:jc w:val="left"/>
        <w:rPr>
          <w:b/>
          <w:sz w:val="52"/>
        </w:rPr>
      </w:pPr>
      <w:r>
        <w:rPr>
          <w:b/>
          <w:color w:val="FFFFFF"/>
          <w:sz w:val="52"/>
        </w:rPr>
        <w:t>Risk</w:t>
      </w:r>
      <w:r>
        <w:rPr>
          <w:b/>
          <w:color w:val="FFFFFF"/>
          <w:spacing w:val="-2"/>
          <w:sz w:val="52"/>
        </w:rPr>
        <w:t> </w:t>
      </w:r>
      <w:r>
        <w:rPr>
          <w:b/>
          <w:color w:val="FFFFFF"/>
          <w:sz w:val="52"/>
        </w:rPr>
        <w:t>of</w:t>
      </w:r>
      <w:r>
        <w:rPr>
          <w:b/>
          <w:color w:val="FFFFFF"/>
          <w:spacing w:val="-1"/>
          <w:sz w:val="52"/>
        </w:rPr>
        <w:t> </w:t>
      </w:r>
      <w:r>
        <w:rPr>
          <w:b/>
          <w:color w:val="FFFFFF"/>
          <w:spacing w:val="-2"/>
          <w:sz w:val="52"/>
        </w:rPr>
        <w:t>Divergence</w:t>
      </w:r>
    </w:p>
    <w:p>
      <w:pPr>
        <w:pStyle w:val="Heading2"/>
        <w:numPr>
          <w:ilvl w:val="1"/>
          <w:numId w:val="14"/>
        </w:numPr>
        <w:tabs>
          <w:tab w:pos="1599" w:val="left" w:leader="none"/>
        </w:tabs>
        <w:spacing w:line="240" w:lineRule="auto" w:before="463" w:after="0"/>
        <w:ind w:left="1599" w:right="0" w:hanging="482"/>
        <w:jc w:val="left"/>
      </w:pPr>
      <w:r>
        <w:rPr>
          <w:color w:val="004A93"/>
          <w:spacing w:val="-2"/>
        </w:rPr>
        <w:t>Introduction</w:t>
      </w:r>
    </w:p>
    <w:p>
      <w:pPr>
        <w:pStyle w:val="BodyText"/>
        <w:spacing w:line="232" w:lineRule="auto" w:before="212"/>
        <w:ind w:left="1117" w:right="1291"/>
      </w:pPr>
      <w:r>
        <w:rPr/>
        <w:t>This</w:t>
      </w:r>
      <w:r>
        <w:rPr>
          <w:spacing w:val="-6"/>
        </w:rPr>
        <w:t> </w:t>
      </w:r>
      <w:r>
        <w:rPr/>
        <w:t>chapter</w:t>
      </w:r>
      <w:r>
        <w:rPr>
          <w:spacing w:val="-5"/>
        </w:rPr>
        <w:t> </w:t>
      </w:r>
      <w:r>
        <w:rPr/>
        <w:t>provides</w:t>
      </w:r>
      <w:r>
        <w:rPr>
          <w:spacing w:val="-6"/>
        </w:rPr>
        <w:t> </w:t>
      </w:r>
      <w:r>
        <w:rPr/>
        <w:t>an</w:t>
      </w:r>
      <w:r>
        <w:rPr>
          <w:spacing w:val="-6"/>
        </w:rPr>
        <w:t> </w:t>
      </w:r>
      <w:r>
        <w:rPr/>
        <w:t>update</w:t>
      </w:r>
      <w:r>
        <w:rPr>
          <w:spacing w:val="-5"/>
        </w:rPr>
        <w:t> </w:t>
      </w:r>
      <w:r>
        <w:rPr/>
        <w:t>on</w:t>
      </w:r>
      <w:r>
        <w:rPr>
          <w:spacing w:val="-6"/>
        </w:rPr>
        <w:t> </w:t>
      </w:r>
      <w:r>
        <w:rPr/>
        <w:t>any</w:t>
      </w:r>
      <w:r>
        <w:rPr>
          <w:spacing w:val="-5"/>
        </w:rPr>
        <w:t> </w:t>
      </w:r>
      <w:r>
        <w:rPr/>
        <w:t>developments</w:t>
      </w:r>
      <w:r>
        <w:rPr>
          <w:spacing w:val="-6"/>
        </w:rPr>
        <w:t> </w:t>
      </w:r>
      <w:r>
        <w:rPr/>
        <w:t>in</w:t>
      </w:r>
      <w:r>
        <w:rPr>
          <w:spacing w:val="-6"/>
        </w:rPr>
        <w:t> </w:t>
      </w:r>
      <w:r>
        <w:rPr/>
        <w:t>terms</w:t>
      </w:r>
      <w:r>
        <w:rPr>
          <w:spacing w:val="-6"/>
        </w:rPr>
        <w:t> </w:t>
      </w:r>
      <w:r>
        <w:rPr/>
        <w:t>of</w:t>
      </w:r>
      <w:r>
        <w:rPr>
          <w:spacing w:val="-6"/>
        </w:rPr>
        <w:t> </w:t>
      </w:r>
      <w:r>
        <w:rPr/>
        <w:t>equality</w:t>
      </w:r>
      <w:r>
        <w:rPr>
          <w:spacing w:val="-5"/>
        </w:rPr>
        <w:t> </w:t>
      </w:r>
      <w:r>
        <w:rPr/>
        <w:t>and human rights in NI and the UK since January 2022, including, in respect of NI, in</w:t>
      </w:r>
      <w:r>
        <w:rPr>
          <w:spacing w:val="-2"/>
        </w:rPr>
        <w:t> </w:t>
      </w:r>
      <w:r>
        <w:rPr/>
        <w:t>areas</w:t>
      </w:r>
      <w:r>
        <w:rPr>
          <w:spacing w:val="-2"/>
        </w:rPr>
        <w:t> </w:t>
      </w:r>
      <w:r>
        <w:rPr/>
        <w:t>of</w:t>
      </w:r>
      <w:r>
        <w:rPr>
          <w:spacing w:val="-2"/>
        </w:rPr>
        <w:t> </w:t>
      </w:r>
      <w:r>
        <w:rPr/>
        <w:t>law</w:t>
      </w:r>
      <w:r>
        <w:rPr>
          <w:spacing w:val="-1"/>
        </w:rPr>
        <w:t> </w:t>
      </w:r>
      <w:r>
        <w:rPr/>
        <w:t>and</w:t>
      </w:r>
      <w:r>
        <w:rPr>
          <w:spacing w:val="-2"/>
        </w:rPr>
        <w:t> </w:t>
      </w:r>
      <w:r>
        <w:rPr/>
        <w:t>policy</w:t>
      </w:r>
      <w:r>
        <w:rPr>
          <w:spacing w:val="-1"/>
        </w:rPr>
        <w:t> </w:t>
      </w:r>
      <w:r>
        <w:rPr/>
        <w:t>that</w:t>
      </w:r>
      <w:r>
        <w:rPr>
          <w:spacing w:val="-1"/>
        </w:rPr>
        <w:t> </w:t>
      </w:r>
      <w:r>
        <w:rPr/>
        <w:t>are</w:t>
      </w:r>
      <w:r>
        <w:rPr>
          <w:spacing w:val="-1"/>
        </w:rPr>
        <w:t> </w:t>
      </w:r>
      <w:r>
        <w:rPr/>
        <w:t>reserved</w:t>
      </w:r>
      <w:r>
        <w:rPr>
          <w:spacing w:val="-2"/>
        </w:rPr>
        <w:t> </w:t>
      </w:r>
      <w:r>
        <w:rPr/>
        <w:t>or</w:t>
      </w:r>
      <w:r>
        <w:rPr>
          <w:spacing w:val="-1"/>
        </w:rPr>
        <w:t> </w:t>
      </w:r>
      <w:r>
        <w:rPr/>
        <w:t>excepted</w:t>
      </w:r>
      <w:r>
        <w:rPr>
          <w:spacing w:val="-2"/>
        </w:rPr>
        <w:t> </w:t>
      </w:r>
      <w:r>
        <w:rPr/>
        <w:t>as</w:t>
      </w:r>
      <w:r>
        <w:rPr>
          <w:spacing w:val="-2"/>
        </w:rPr>
        <w:t> </w:t>
      </w:r>
      <w:r>
        <w:rPr/>
        <w:t>well</w:t>
      </w:r>
      <w:r>
        <w:rPr>
          <w:spacing w:val="-2"/>
        </w:rPr>
        <w:t> </w:t>
      </w:r>
      <w:r>
        <w:rPr/>
        <w:t>as</w:t>
      </w:r>
      <w:r>
        <w:rPr>
          <w:spacing w:val="-2"/>
        </w:rPr>
        <w:t> </w:t>
      </w:r>
      <w:r>
        <w:rPr/>
        <w:t>those</w:t>
      </w:r>
      <w:r>
        <w:rPr>
          <w:spacing w:val="-1"/>
        </w:rPr>
        <w:t> </w:t>
      </w:r>
      <w:r>
        <w:rPr/>
        <w:t>which</w:t>
      </w:r>
    </w:p>
    <w:p>
      <w:pPr>
        <w:pStyle w:val="BodyText"/>
        <w:spacing w:line="232" w:lineRule="auto"/>
        <w:ind w:left="1117" w:right="1087"/>
      </w:pPr>
      <w:r>
        <w:rPr/>
        <w:t>are</w:t>
      </w:r>
      <w:r>
        <w:rPr>
          <w:spacing w:val="-7"/>
        </w:rPr>
        <w:t> </w:t>
      </w:r>
      <w:r>
        <w:rPr/>
        <w:t>transferred</w:t>
      </w:r>
      <w:r>
        <w:rPr>
          <w:spacing w:val="-8"/>
        </w:rPr>
        <w:t> </w:t>
      </w:r>
      <w:r>
        <w:rPr/>
        <w:t>(devolved).</w:t>
      </w:r>
      <w:r>
        <w:rPr>
          <w:spacing w:val="-8"/>
        </w:rPr>
        <w:t> </w:t>
      </w:r>
      <w:r>
        <w:rPr/>
        <w:t>It</w:t>
      </w:r>
      <w:r>
        <w:rPr>
          <w:spacing w:val="-7"/>
        </w:rPr>
        <w:t> </w:t>
      </w:r>
      <w:r>
        <w:rPr/>
        <w:t>highlights</w:t>
      </w:r>
      <w:r>
        <w:rPr>
          <w:spacing w:val="-8"/>
        </w:rPr>
        <w:t> </w:t>
      </w:r>
      <w:r>
        <w:rPr/>
        <w:t>areas</w:t>
      </w:r>
      <w:r>
        <w:rPr>
          <w:spacing w:val="-8"/>
        </w:rPr>
        <w:t> </w:t>
      </w:r>
      <w:r>
        <w:rPr/>
        <w:t>where</w:t>
      </w:r>
      <w:r>
        <w:rPr>
          <w:spacing w:val="-7"/>
        </w:rPr>
        <w:t> </w:t>
      </w:r>
      <w:r>
        <w:rPr/>
        <w:t>there</w:t>
      </w:r>
      <w:r>
        <w:rPr>
          <w:spacing w:val="-7"/>
        </w:rPr>
        <w:t> </w:t>
      </w:r>
      <w:r>
        <w:rPr/>
        <w:t>is</w:t>
      </w:r>
      <w:r>
        <w:rPr>
          <w:spacing w:val="-8"/>
        </w:rPr>
        <w:t> </w:t>
      </w:r>
      <w:r>
        <w:rPr/>
        <w:t>a</w:t>
      </w:r>
      <w:r>
        <w:rPr>
          <w:spacing w:val="-8"/>
        </w:rPr>
        <w:t> </w:t>
      </w:r>
      <w:r>
        <w:rPr/>
        <w:t>risk</w:t>
      </w:r>
      <w:r>
        <w:rPr>
          <w:spacing w:val="-7"/>
        </w:rPr>
        <w:t> </w:t>
      </w:r>
      <w:r>
        <w:rPr/>
        <w:t>of</w:t>
      </w:r>
      <w:r>
        <w:rPr>
          <w:spacing w:val="-8"/>
        </w:rPr>
        <w:t> </w:t>
      </w:r>
      <w:r>
        <w:rPr/>
        <w:t>divergence between Ireland and Northern Ireland (or the UK), often stemming from UK legislation which potentially diminishes rights protection, as well as some misunderstandings or failures to consider Article 2 WF.</w:t>
      </w:r>
    </w:p>
    <w:p>
      <w:pPr>
        <w:pStyle w:val="BodyText"/>
        <w:spacing w:before="8"/>
      </w:pPr>
    </w:p>
    <w:p>
      <w:pPr>
        <w:pStyle w:val="Heading2"/>
        <w:numPr>
          <w:ilvl w:val="1"/>
          <w:numId w:val="14"/>
        </w:numPr>
        <w:tabs>
          <w:tab w:pos="1599" w:val="left" w:leader="none"/>
        </w:tabs>
        <w:spacing w:line="240" w:lineRule="auto" w:before="0" w:after="0"/>
        <w:ind w:left="1599" w:right="0" w:hanging="482"/>
        <w:jc w:val="left"/>
      </w:pPr>
      <w:r>
        <w:rPr>
          <w:color w:val="004A93"/>
        </w:rPr>
        <w:t>Northern </w:t>
      </w:r>
      <w:r>
        <w:rPr>
          <w:color w:val="004A93"/>
          <w:spacing w:val="-2"/>
        </w:rPr>
        <w:t>Ireland</w:t>
      </w:r>
    </w:p>
    <w:p>
      <w:pPr>
        <w:pStyle w:val="BodyText"/>
        <w:spacing w:line="232" w:lineRule="auto" w:before="212"/>
        <w:ind w:left="1117" w:right="1087"/>
      </w:pPr>
      <w:r>
        <w:rPr/>
        <w:t>In</w:t>
      </w:r>
      <w:r>
        <w:rPr>
          <w:spacing w:val="-1"/>
        </w:rPr>
        <w:t> </w:t>
      </w:r>
      <w:r>
        <w:rPr/>
        <w:t>Northern</w:t>
      </w:r>
      <w:r>
        <w:rPr>
          <w:spacing w:val="-1"/>
        </w:rPr>
        <w:t> </w:t>
      </w:r>
      <w:r>
        <w:rPr/>
        <w:t>Ireland</w:t>
      </w:r>
      <w:r>
        <w:rPr>
          <w:spacing w:val="-1"/>
        </w:rPr>
        <w:t> </w:t>
      </w:r>
      <w:r>
        <w:rPr/>
        <w:t>itself</w:t>
      </w:r>
      <w:r>
        <w:rPr>
          <w:spacing w:val="-1"/>
        </w:rPr>
        <w:t> </w:t>
      </w:r>
      <w:r>
        <w:rPr/>
        <w:t>the most notable development has</w:t>
      </w:r>
      <w:r>
        <w:rPr>
          <w:spacing w:val="-1"/>
        </w:rPr>
        <w:t> </w:t>
      </w:r>
      <w:r>
        <w:rPr/>
        <w:t>been</w:t>
      </w:r>
      <w:r>
        <w:rPr>
          <w:spacing w:val="-1"/>
        </w:rPr>
        <w:t> </w:t>
      </w:r>
      <w:r>
        <w:rPr/>
        <w:t>the absence of functioning local devolved institutions. First Minister Paul Givan resigned in February</w:t>
      </w:r>
      <w:r>
        <w:rPr>
          <w:spacing w:val="-7"/>
        </w:rPr>
        <w:t> </w:t>
      </w:r>
      <w:r>
        <w:rPr/>
        <w:t>2022,</w:t>
      </w:r>
      <w:r>
        <w:rPr>
          <w:spacing w:val="-7"/>
        </w:rPr>
        <w:t> </w:t>
      </w:r>
      <w:r>
        <w:rPr/>
        <w:t>automatically</w:t>
      </w:r>
      <w:r>
        <w:rPr>
          <w:spacing w:val="-7"/>
        </w:rPr>
        <w:t> </w:t>
      </w:r>
      <w:r>
        <w:rPr/>
        <w:t>triggering</w:t>
      </w:r>
      <w:r>
        <w:rPr>
          <w:spacing w:val="-7"/>
        </w:rPr>
        <w:t> </w:t>
      </w:r>
      <w:r>
        <w:rPr/>
        <w:t>the</w:t>
      </w:r>
      <w:r>
        <w:rPr>
          <w:spacing w:val="-7"/>
        </w:rPr>
        <w:t> </w:t>
      </w:r>
      <w:r>
        <w:rPr/>
        <w:t>resignation</w:t>
      </w:r>
      <w:r>
        <w:rPr>
          <w:spacing w:val="-8"/>
        </w:rPr>
        <w:t> </w:t>
      </w:r>
      <w:r>
        <w:rPr/>
        <w:t>of</w:t>
      </w:r>
      <w:r>
        <w:rPr>
          <w:spacing w:val="-8"/>
        </w:rPr>
        <w:t> </w:t>
      </w:r>
      <w:r>
        <w:rPr/>
        <w:t>deputy</w:t>
      </w:r>
      <w:r>
        <w:rPr>
          <w:spacing w:val="-7"/>
        </w:rPr>
        <w:t> </w:t>
      </w:r>
      <w:r>
        <w:rPr/>
        <w:t>First</w:t>
      </w:r>
      <w:r>
        <w:rPr>
          <w:spacing w:val="-7"/>
        </w:rPr>
        <w:t> </w:t>
      </w:r>
      <w:r>
        <w:rPr/>
        <w:t>Minister Michelle O’Neill. The Northern Ireland Assembly was able to carry on some</w:t>
      </w:r>
    </w:p>
    <w:p>
      <w:pPr>
        <w:pStyle w:val="BodyText"/>
        <w:spacing w:line="232" w:lineRule="auto"/>
        <w:ind w:left="1117" w:right="738"/>
      </w:pPr>
      <w:r>
        <w:rPr/>
        <w:t>business for the remainder of its mandate before the Assembly election on 5 May 2022. The Assembly election resulted in Sinn Féin becoming the largest political party and so entitled to nominate the First Minister. Following the election</w:t>
      </w:r>
      <w:r>
        <w:rPr/>
        <w:t> however the Democratic Unionist Party refused to support any nominee for Speaker; the election of the Speaker requires a cross-community vote. This has meant</w:t>
      </w:r>
      <w:r>
        <w:rPr>
          <w:spacing w:val="-6"/>
        </w:rPr>
        <w:t> </w:t>
      </w:r>
      <w:r>
        <w:rPr/>
        <w:t>that</w:t>
      </w:r>
      <w:r>
        <w:rPr>
          <w:spacing w:val="-6"/>
        </w:rPr>
        <w:t> </w:t>
      </w:r>
      <w:r>
        <w:rPr/>
        <w:t>Northern</w:t>
      </w:r>
      <w:r>
        <w:rPr>
          <w:spacing w:val="-7"/>
        </w:rPr>
        <w:t> </w:t>
      </w:r>
      <w:r>
        <w:rPr/>
        <w:t>Ireland</w:t>
      </w:r>
      <w:r>
        <w:rPr>
          <w:spacing w:val="-7"/>
        </w:rPr>
        <w:t> </w:t>
      </w:r>
      <w:r>
        <w:rPr/>
        <w:t>was</w:t>
      </w:r>
      <w:r>
        <w:rPr>
          <w:spacing w:val="-7"/>
        </w:rPr>
        <w:t> </w:t>
      </w:r>
      <w:r>
        <w:rPr/>
        <w:t>without</w:t>
      </w:r>
      <w:r>
        <w:rPr>
          <w:spacing w:val="-6"/>
        </w:rPr>
        <w:t> </w:t>
      </w:r>
      <w:r>
        <w:rPr/>
        <w:t>a</w:t>
      </w:r>
      <w:r>
        <w:rPr>
          <w:spacing w:val="-7"/>
        </w:rPr>
        <w:t> </w:t>
      </w:r>
      <w:r>
        <w:rPr/>
        <w:t>functioning</w:t>
      </w:r>
      <w:r>
        <w:rPr>
          <w:spacing w:val="-6"/>
        </w:rPr>
        <w:t> </w:t>
      </w:r>
      <w:r>
        <w:rPr/>
        <w:t>Executive</w:t>
      </w:r>
      <w:r>
        <w:rPr>
          <w:spacing w:val="-6"/>
        </w:rPr>
        <w:t> </w:t>
      </w:r>
      <w:r>
        <w:rPr/>
        <w:t>or</w:t>
      </w:r>
      <w:r>
        <w:rPr>
          <w:spacing w:val="-6"/>
        </w:rPr>
        <w:t> </w:t>
      </w:r>
      <w:r>
        <w:rPr/>
        <w:t>Assembly</w:t>
      </w:r>
      <w:r>
        <w:rPr>
          <w:spacing w:val="-6"/>
        </w:rPr>
        <w:t> </w:t>
      </w:r>
      <w:r>
        <w:rPr/>
        <w:t>from 2022 until 3 February 2024, when the institutions were restored.</w:t>
      </w:r>
    </w:p>
    <w:p>
      <w:pPr>
        <w:pStyle w:val="BodyText"/>
        <w:spacing w:line="232" w:lineRule="auto" w:before="267"/>
        <w:ind w:left="1117" w:right="738"/>
      </w:pPr>
      <w:r>
        <w:rPr/>
        <w:t>The absence of a functioning Executive or Assembly meant civil servants had to maintain</w:t>
      </w:r>
      <w:r>
        <w:rPr>
          <w:spacing w:val="-6"/>
        </w:rPr>
        <w:t> </w:t>
      </w:r>
      <w:r>
        <w:rPr/>
        <w:t>public</w:t>
      </w:r>
      <w:r>
        <w:rPr>
          <w:spacing w:val="-5"/>
        </w:rPr>
        <w:t> </w:t>
      </w:r>
      <w:r>
        <w:rPr/>
        <w:t>services</w:t>
      </w:r>
      <w:r>
        <w:rPr>
          <w:spacing w:val="-6"/>
        </w:rPr>
        <w:t> </w:t>
      </w:r>
      <w:r>
        <w:rPr/>
        <w:t>while</w:t>
      </w:r>
      <w:r>
        <w:rPr>
          <w:spacing w:val="-5"/>
        </w:rPr>
        <w:t> </w:t>
      </w:r>
      <w:r>
        <w:rPr/>
        <w:t>the</w:t>
      </w:r>
      <w:r>
        <w:rPr>
          <w:spacing w:val="-5"/>
        </w:rPr>
        <w:t> </w:t>
      </w:r>
      <w:r>
        <w:rPr/>
        <w:t>Secretary</w:t>
      </w:r>
      <w:r>
        <w:rPr>
          <w:spacing w:val="-5"/>
        </w:rPr>
        <w:t> </w:t>
      </w:r>
      <w:r>
        <w:rPr/>
        <w:t>of</w:t>
      </w:r>
      <w:r>
        <w:rPr>
          <w:spacing w:val="-6"/>
        </w:rPr>
        <w:t> </w:t>
      </w:r>
      <w:r>
        <w:rPr/>
        <w:t>State</w:t>
      </w:r>
      <w:r>
        <w:rPr>
          <w:spacing w:val="-5"/>
        </w:rPr>
        <w:t> </w:t>
      </w:r>
      <w:r>
        <w:rPr/>
        <w:t>had</w:t>
      </w:r>
      <w:r>
        <w:rPr>
          <w:spacing w:val="-6"/>
        </w:rPr>
        <w:t> </w:t>
      </w:r>
      <w:r>
        <w:rPr/>
        <w:t>to</w:t>
      </w:r>
      <w:r>
        <w:rPr>
          <w:spacing w:val="-6"/>
        </w:rPr>
        <w:t> </w:t>
      </w:r>
      <w:r>
        <w:rPr/>
        <w:t>establish</w:t>
      </w:r>
      <w:r>
        <w:rPr>
          <w:spacing w:val="-6"/>
        </w:rPr>
        <w:t> </w:t>
      </w:r>
      <w:r>
        <w:rPr/>
        <w:t>a</w:t>
      </w:r>
      <w:r>
        <w:rPr>
          <w:spacing w:val="-6"/>
        </w:rPr>
        <w:t> </w:t>
      </w:r>
      <w:r>
        <w:rPr/>
        <w:t>budget.</w:t>
      </w:r>
      <w:r>
        <w:rPr>
          <w:spacing w:val="-6"/>
        </w:rPr>
        <w:t> </w:t>
      </w:r>
      <w:r>
        <w:rPr/>
        <w:t>In this</w:t>
      </w:r>
      <w:r>
        <w:rPr>
          <w:spacing w:val="-2"/>
        </w:rPr>
        <w:t> </w:t>
      </w:r>
      <w:r>
        <w:rPr/>
        <w:t>context,</w:t>
      </w:r>
      <w:r>
        <w:rPr>
          <w:spacing w:val="-1"/>
        </w:rPr>
        <w:t> </w:t>
      </w:r>
      <w:r>
        <w:rPr/>
        <w:t>there</w:t>
      </w:r>
      <w:r>
        <w:rPr>
          <w:spacing w:val="-1"/>
        </w:rPr>
        <w:t> </w:t>
      </w:r>
      <w:r>
        <w:rPr/>
        <w:t>were</w:t>
      </w:r>
      <w:r>
        <w:rPr>
          <w:spacing w:val="-1"/>
        </w:rPr>
        <w:t> </w:t>
      </w:r>
      <w:r>
        <w:rPr/>
        <w:t>limits</w:t>
      </w:r>
      <w:r>
        <w:rPr>
          <w:spacing w:val="-2"/>
        </w:rPr>
        <w:t> </w:t>
      </w:r>
      <w:r>
        <w:rPr/>
        <w:t>to</w:t>
      </w:r>
      <w:r>
        <w:rPr>
          <w:spacing w:val="-2"/>
        </w:rPr>
        <w:t> </w:t>
      </w:r>
      <w:r>
        <w:rPr/>
        <w:t>the</w:t>
      </w:r>
      <w:r>
        <w:rPr>
          <w:spacing w:val="-1"/>
        </w:rPr>
        <w:t> </w:t>
      </w:r>
      <w:r>
        <w:rPr/>
        <w:t>local</w:t>
      </w:r>
      <w:r>
        <w:rPr>
          <w:spacing w:val="-2"/>
        </w:rPr>
        <w:t> </w:t>
      </w:r>
      <w:r>
        <w:rPr/>
        <w:t>developments</w:t>
      </w:r>
      <w:r>
        <w:rPr>
          <w:spacing w:val="-2"/>
        </w:rPr>
        <w:t> </w:t>
      </w:r>
      <w:r>
        <w:rPr/>
        <w:t>in</w:t>
      </w:r>
      <w:r>
        <w:rPr>
          <w:spacing w:val="-2"/>
        </w:rPr>
        <w:t> </w:t>
      </w:r>
      <w:r>
        <w:rPr/>
        <w:t>relation</w:t>
      </w:r>
      <w:r>
        <w:rPr>
          <w:spacing w:val="-2"/>
        </w:rPr>
        <w:t> </w:t>
      </w:r>
      <w:r>
        <w:rPr/>
        <w:t>to</w:t>
      </w:r>
      <w:r>
        <w:rPr>
          <w:spacing w:val="-2"/>
        </w:rPr>
        <w:t> </w:t>
      </w:r>
      <w:r>
        <w:rPr/>
        <w:t>rights</w:t>
      </w:r>
      <w:r>
        <w:rPr>
          <w:spacing w:val="-2"/>
        </w:rPr>
        <w:t> </w:t>
      </w:r>
      <w:r>
        <w:rPr/>
        <w:t>and </w:t>
      </w:r>
      <w:r>
        <w:rPr>
          <w:spacing w:val="-2"/>
        </w:rPr>
        <w:t>equality.</w:t>
      </w:r>
    </w:p>
    <w:p>
      <w:pPr>
        <w:spacing w:after="0" w:line="232" w:lineRule="auto"/>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70560">
                <wp:simplePos x="0" y="0"/>
                <wp:positionH relativeFrom="page">
                  <wp:posOffset>0</wp:posOffset>
                </wp:positionH>
                <wp:positionV relativeFrom="page">
                  <wp:posOffset>0</wp:posOffset>
                </wp:positionV>
                <wp:extent cx="7560309" cy="1155065"/>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7560309" cy="1155065"/>
                          <a:chExt cx="7560309" cy="1155065"/>
                        </a:xfrm>
                      </wpg:grpSpPr>
                      <wps:wsp>
                        <wps:cNvPr id="358" name="Graphic 358"/>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359" name="Graphic 359"/>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45920" id="docshapegroup280" coordorigin="0,0" coordsize="11906,1819">
                <v:shape style="position:absolute;left:0;top:0;width:11906;height:1819" id="docshape281"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32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The Assembly managed to pass some legislation in 2022 prior to the 5 May 2022 election.</w:t>
      </w:r>
      <w:r>
        <w:rPr>
          <w:spacing w:val="-5"/>
        </w:rPr>
        <w:t> </w:t>
      </w:r>
      <w:r>
        <w:rPr/>
        <w:t>Acts</w:t>
      </w:r>
      <w:r>
        <w:rPr>
          <w:spacing w:val="-5"/>
        </w:rPr>
        <w:t> </w:t>
      </w:r>
      <w:r>
        <w:rPr/>
        <w:t>passed</w:t>
      </w:r>
      <w:r>
        <w:rPr>
          <w:spacing w:val="-5"/>
        </w:rPr>
        <w:t> </w:t>
      </w:r>
      <w:r>
        <w:rPr/>
        <w:t>during</w:t>
      </w:r>
      <w:r>
        <w:rPr>
          <w:spacing w:val="-4"/>
        </w:rPr>
        <w:t> </w:t>
      </w:r>
      <w:r>
        <w:rPr/>
        <w:t>2022</w:t>
      </w:r>
      <w:r>
        <w:rPr>
          <w:spacing w:val="-4"/>
        </w:rPr>
        <w:t> </w:t>
      </w:r>
      <w:r>
        <w:rPr/>
        <w:t>relevant</w:t>
      </w:r>
      <w:r>
        <w:rPr>
          <w:spacing w:val="-4"/>
        </w:rPr>
        <w:t> </w:t>
      </w:r>
      <w:r>
        <w:rPr/>
        <w:t>to</w:t>
      </w:r>
      <w:r>
        <w:rPr>
          <w:spacing w:val="-5"/>
        </w:rPr>
        <w:t> </w:t>
      </w:r>
      <w:r>
        <w:rPr/>
        <w:t>rights</w:t>
      </w:r>
      <w:r>
        <w:rPr>
          <w:spacing w:val="-5"/>
        </w:rPr>
        <w:t> </w:t>
      </w:r>
      <w:r>
        <w:rPr/>
        <w:t>and</w:t>
      </w:r>
      <w:r>
        <w:rPr>
          <w:spacing w:val="-5"/>
        </w:rPr>
        <w:t> </w:t>
      </w:r>
      <w:r>
        <w:rPr/>
        <w:t>equality</w:t>
      </w:r>
      <w:r>
        <w:rPr>
          <w:spacing w:val="-4"/>
        </w:rPr>
        <w:t> </w:t>
      </w:r>
      <w:r>
        <w:rPr/>
        <w:t>include</w:t>
      </w:r>
      <w:r>
        <w:rPr>
          <w:spacing w:val="-4"/>
        </w:rPr>
        <w:t> </w:t>
      </w:r>
      <w:r>
        <w:rPr/>
        <w:t>measures on climate change,</w:t>
      </w:r>
      <w:r>
        <w:rPr>
          <w:vertAlign w:val="superscript"/>
        </w:rPr>
        <w:t>121</w:t>
      </w:r>
      <w:r>
        <w:rPr>
          <w:vertAlign w:val="baseline"/>
        </w:rPr>
        <w:t> defamation,</w:t>
      </w:r>
      <w:r>
        <w:rPr>
          <w:vertAlign w:val="superscript"/>
        </w:rPr>
        <w:t>122</w:t>
      </w:r>
      <w:r>
        <w:rPr>
          <w:vertAlign w:val="baseline"/>
        </w:rPr>
        <w:t> domestic abuse,</w:t>
      </w:r>
      <w:r>
        <w:rPr>
          <w:vertAlign w:val="superscript"/>
        </w:rPr>
        <w:t>123</w:t>
      </w:r>
      <w:r>
        <w:rPr>
          <w:vertAlign w:val="baseline"/>
        </w:rPr>
        <w:t> period products,</w:t>
      </w:r>
      <w:r>
        <w:rPr>
          <w:vertAlign w:val="superscript"/>
        </w:rPr>
        <w:t>124</w:t>
      </w:r>
      <w:r>
        <w:rPr>
          <w:vertAlign w:val="baseline"/>
        </w:rPr>
        <w:t> fair </w:t>
      </w:r>
      <w:r>
        <w:rPr>
          <w:spacing w:val="-2"/>
          <w:vertAlign w:val="baseline"/>
        </w:rPr>
        <w:t>employment</w:t>
      </w:r>
      <w:r>
        <w:rPr>
          <w:spacing w:val="-7"/>
          <w:vertAlign w:val="baseline"/>
        </w:rPr>
        <w:t> </w:t>
      </w:r>
      <w:r>
        <w:rPr>
          <w:spacing w:val="-2"/>
          <w:vertAlign w:val="baseline"/>
        </w:rPr>
        <w:t>law,</w:t>
      </w:r>
      <w:r>
        <w:rPr>
          <w:spacing w:val="-2"/>
          <w:vertAlign w:val="superscript"/>
        </w:rPr>
        <w:t>125</w:t>
      </w:r>
      <w:r>
        <w:rPr>
          <w:spacing w:val="-8"/>
          <w:vertAlign w:val="baseline"/>
        </w:rPr>
        <w:t> </w:t>
      </w:r>
      <w:r>
        <w:rPr>
          <w:spacing w:val="-2"/>
          <w:vertAlign w:val="baseline"/>
        </w:rPr>
        <w:t>hospital</w:t>
      </w:r>
      <w:r>
        <w:rPr>
          <w:spacing w:val="-8"/>
          <w:vertAlign w:val="baseline"/>
        </w:rPr>
        <w:t> </w:t>
      </w:r>
      <w:r>
        <w:rPr>
          <w:spacing w:val="-2"/>
          <w:vertAlign w:val="baseline"/>
        </w:rPr>
        <w:t>parking</w:t>
      </w:r>
      <w:r>
        <w:rPr>
          <w:spacing w:val="-7"/>
          <w:vertAlign w:val="baseline"/>
        </w:rPr>
        <w:t> </w:t>
      </w:r>
      <w:r>
        <w:rPr>
          <w:spacing w:val="-2"/>
          <w:vertAlign w:val="baseline"/>
        </w:rPr>
        <w:t>charges,</w:t>
      </w:r>
      <w:r>
        <w:rPr>
          <w:spacing w:val="-2"/>
          <w:vertAlign w:val="superscript"/>
        </w:rPr>
        <w:t>126</w:t>
      </w:r>
      <w:r>
        <w:rPr>
          <w:spacing w:val="-8"/>
          <w:vertAlign w:val="baseline"/>
        </w:rPr>
        <w:t> </w:t>
      </w:r>
      <w:r>
        <w:rPr>
          <w:spacing w:val="-2"/>
          <w:vertAlign w:val="baseline"/>
        </w:rPr>
        <w:t>trafficking,</w:t>
      </w:r>
      <w:r>
        <w:rPr>
          <w:spacing w:val="-2"/>
          <w:vertAlign w:val="superscript"/>
        </w:rPr>
        <w:t>127</w:t>
      </w:r>
      <w:r>
        <w:rPr>
          <w:spacing w:val="-8"/>
          <w:vertAlign w:val="baseline"/>
        </w:rPr>
        <w:t> </w:t>
      </w:r>
      <w:r>
        <w:rPr>
          <w:spacing w:val="-2"/>
          <w:vertAlign w:val="baseline"/>
        </w:rPr>
        <w:t>stalking,</w:t>
      </w:r>
      <w:r>
        <w:rPr>
          <w:spacing w:val="-2"/>
          <w:vertAlign w:val="superscript"/>
        </w:rPr>
        <w:t>128</w:t>
      </w:r>
      <w:r>
        <w:rPr>
          <w:spacing w:val="-8"/>
          <w:vertAlign w:val="baseline"/>
        </w:rPr>
        <w:t> </w:t>
      </w:r>
      <w:r>
        <w:rPr>
          <w:spacing w:val="-2"/>
          <w:vertAlign w:val="baseline"/>
        </w:rPr>
        <w:t>integrated </w:t>
      </w:r>
      <w:r>
        <w:rPr>
          <w:vertAlign w:val="baseline"/>
        </w:rPr>
        <w:t>education,</w:t>
      </w:r>
      <w:r>
        <w:rPr>
          <w:vertAlign w:val="superscript"/>
        </w:rPr>
        <w:t>129</w:t>
      </w:r>
      <w:r>
        <w:rPr>
          <w:vertAlign w:val="baseline"/>
        </w:rPr>
        <w:t> and autism.</w:t>
      </w:r>
      <w:r>
        <w:rPr>
          <w:vertAlign w:val="superscript"/>
        </w:rPr>
        <w:t>130</w:t>
      </w:r>
    </w:p>
    <w:p>
      <w:pPr>
        <w:pStyle w:val="BodyText"/>
        <w:spacing w:line="232" w:lineRule="auto" w:before="275"/>
        <w:ind w:left="720" w:right="1819"/>
      </w:pPr>
      <w:r>
        <w:rPr/>
        <w:t>Of these the Fair Employment (School Teachers) Act (Northern Ireland) 2022 is</w:t>
      </w:r>
      <w:r>
        <w:rPr>
          <w:spacing w:val="-3"/>
        </w:rPr>
        <w:t> </w:t>
      </w:r>
      <w:r>
        <w:rPr/>
        <w:t>noteworthy</w:t>
      </w:r>
      <w:r>
        <w:rPr>
          <w:spacing w:val="-2"/>
        </w:rPr>
        <w:t> </w:t>
      </w:r>
      <w:r>
        <w:rPr/>
        <w:t>for</w:t>
      </w:r>
      <w:r>
        <w:rPr>
          <w:spacing w:val="-2"/>
        </w:rPr>
        <w:t> </w:t>
      </w:r>
      <w:r>
        <w:rPr/>
        <w:t>addressing</w:t>
      </w:r>
      <w:r>
        <w:rPr>
          <w:spacing w:val="-2"/>
        </w:rPr>
        <w:t> </w:t>
      </w:r>
      <w:r>
        <w:rPr/>
        <w:t>an</w:t>
      </w:r>
      <w:r>
        <w:rPr>
          <w:spacing w:val="-3"/>
        </w:rPr>
        <w:t> </w:t>
      </w:r>
      <w:r>
        <w:rPr/>
        <w:t>important</w:t>
      </w:r>
      <w:r>
        <w:rPr>
          <w:spacing w:val="-2"/>
        </w:rPr>
        <w:t> </w:t>
      </w:r>
      <w:r>
        <w:rPr/>
        <w:t>exception</w:t>
      </w:r>
      <w:r>
        <w:rPr>
          <w:spacing w:val="-3"/>
        </w:rPr>
        <w:t> </w:t>
      </w:r>
      <w:r>
        <w:rPr/>
        <w:t>in</w:t>
      </w:r>
      <w:r>
        <w:rPr>
          <w:spacing w:val="-3"/>
        </w:rPr>
        <w:t> </w:t>
      </w:r>
      <w:r>
        <w:rPr/>
        <w:t>fair</w:t>
      </w:r>
      <w:r>
        <w:rPr>
          <w:spacing w:val="-2"/>
        </w:rPr>
        <w:t> </w:t>
      </w:r>
      <w:r>
        <w:rPr/>
        <w:t>employment</w:t>
      </w:r>
      <w:r>
        <w:rPr>
          <w:spacing w:val="-2"/>
        </w:rPr>
        <w:t> </w:t>
      </w:r>
      <w:r>
        <w:rPr/>
        <w:t>law.</w:t>
      </w:r>
    </w:p>
    <w:p>
      <w:pPr>
        <w:pStyle w:val="BodyText"/>
        <w:spacing w:line="232" w:lineRule="auto"/>
        <w:ind w:left="720" w:right="1087"/>
      </w:pPr>
      <w:r>
        <w:rPr/>
        <w:t>By virtue of Article 71 of the Fair Employment and Treatment Order 1998, fair employment</w:t>
      </w:r>
      <w:r>
        <w:rPr>
          <w:spacing w:val="-7"/>
        </w:rPr>
        <w:t> </w:t>
      </w:r>
      <w:r>
        <w:rPr/>
        <w:t>law</w:t>
      </w:r>
      <w:r>
        <w:rPr>
          <w:spacing w:val="-7"/>
        </w:rPr>
        <w:t> </w:t>
      </w:r>
      <w:r>
        <w:rPr/>
        <w:t>did</w:t>
      </w:r>
      <w:r>
        <w:rPr>
          <w:spacing w:val="-7"/>
        </w:rPr>
        <w:t> </w:t>
      </w:r>
      <w:r>
        <w:rPr/>
        <w:t>not</w:t>
      </w:r>
      <w:r>
        <w:rPr>
          <w:spacing w:val="-7"/>
        </w:rPr>
        <w:t> </w:t>
      </w:r>
      <w:r>
        <w:rPr/>
        <w:t>generally</w:t>
      </w:r>
      <w:r>
        <w:rPr>
          <w:spacing w:val="-7"/>
        </w:rPr>
        <w:t> </w:t>
      </w:r>
      <w:r>
        <w:rPr/>
        <w:t>apply</w:t>
      </w:r>
      <w:r>
        <w:rPr>
          <w:spacing w:val="-7"/>
        </w:rPr>
        <w:t> </w:t>
      </w:r>
      <w:r>
        <w:rPr/>
        <w:t>to</w:t>
      </w:r>
      <w:r>
        <w:rPr>
          <w:spacing w:val="-7"/>
        </w:rPr>
        <w:t> </w:t>
      </w:r>
      <w:r>
        <w:rPr/>
        <w:t>recruitment</w:t>
      </w:r>
      <w:r>
        <w:rPr>
          <w:spacing w:val="-7"/>
        </w:rPr>
        <w:t> </w:t>
      </w:r>
      <w:r>
        <w:rPr/>
        <w:t>as</w:t>
      </w:r>
      <w:r>
        <w:rPr>
          <w:spacing w:val="-7"/>
        </w:rPr>
        <w:t> </w:t>
      </w:r>
      <w:r>
        <w:rPr/>
        <w:t>a</w:t>
      </w:r>
      <w:r>
        <w:rPr>
          <w:spacing w:val="-7"/>
        </w:rPr>
        <w:t> </w:t>
      </w:r>
      <w:r>
        <w:rPr/>
        <w:t>teacher</w:t>
      </w:r>
      <w:r>
        <w:rPr>
          <w:spacing w:val="-7"/>
        </w:rPr>
        <w:t> </w:t>
      </w:r>
      <w:r>
        <w:rPr/>
        <w:t>in</w:t>
      </w:r>
      <w:r>
        <w:rPr>
          <w:spacing w:val="-7"/>
        </w:rPr>
        <w:t> </w:t>
      </w:r>
      <w:r>
        <w:rPr/>
        <w:t>a</w:t>
      </w:r>
      <w:r>
        <w:rPr>
          <w:spacing w:val="-7"/>
        </w:rPr>
        <w:t> </w:t>
      </w:r>
      <w:r>
        <w:rPr/>
        <w:t>school.</w:t>
      </w:r>
      <w:r>
        <w:rPr>
          <w:vertAlign w:val="superscript"/>
        </w:rPr>
        <w:t>131</w:t>
      </w:r>
      <w:r>
        <w:rPr>
          <w:vertAlign w:val="baseline"/>
        </w:rPr>
        <w:t> This was a significant exception to the prohibition on religious (or political) discrimination in employment. When the European Union adopted the General Framework</w:t>
      </w:r>
      <w:r>
        <w:rPr>
          <w:spacing w:val="-1"/>
          <w:vertAlign w:val="baseline"/>
        </w:rPr>
        <w:t> </w:t>
      </w:r>
      <w:r>
        <w:rPr>
          <w:vertAlign w:val="baseline"/>
        </w:rPr>
        <w:t>Directive</w:t>
      </w:r>
      <w:r>
        <w:rPr>
          <w:spacing w:val="-1"/>
          <w:vertAlign w:val="baseline"/>
        </w:rPr>
        <w:t> </w:t>
      </w:r>
      <w:r>
        <w:rPr>
          <w:vertAlign w:val="baseline"/>
        </w:rPr>
        <w:t>prohibiting</w:t>
      </w:r>
      <w:r>
        <w:rPr>
          <w:spacing w:val="-1"/>
          <w:vertAlign w:val="baseline"/>
        </w:rPr>
        <w:t> </w:t>
      </w:r>
      <w:r>
        <w:rPr>
          <w:vertAlign w:val="baseline"/>
        </w:rPr>
        <w:t>discrimination</w:t>
      </w:r>
      <w:r>
        <w:rPr>
          <w:spacing w:val="-2"/>
          <w:vertAlign w:val="baseline"/>
        </w:rPr>
        <w:t> </w:t>
      </w:r>
      <w:r>
        <w:rPr>
          <w:vertAlign w:val="baseline"/>
        </w:rPr>
        <w:t>on</w:t>
      </w:r>
      <w:r>
        <w:rPr>
          <w:spacing w:val="-2"/>
          <w:vertAlign w:val="baseline"/>
        </w:rPr>
        <w:t> </w:t>
      </w:r>
      <w:r>
        <w:rPr>
          <w:vertAlign w:val="baseline"/>
        </w:rPr>
        <w:t>the</w:t>
      </w:r>
      <w:r>
        <w:rPr>
          <w:spacing w:val="-1"/>
          <w:vertAlign w:val="baseline"/>
        </w:rPr>
        <w:t> </w:t>
      </w:r>
      <w:r>
        <w:rPr>
          <w:vertAlign w:val="baseline"/>
        </w:rPr>
        <w:t>ground</w:t>
      </w:r>
      <w:r>
        <w:rPr>
          <w:spacing w:val="-2"/>
          <w:vertAlign w:val="baseline"/>
        </w:rPr>
        <w:t> </w:t>
      </w:r>
      <w:r>
        <w:rPr>
          <w:vertAlign w:val="baseline"/>
        </w:rPr>
        <w:t>of</w:t>
      </w:r>
      <w:r>
        <w:rPr>
          <w:spacing w:val="-2"/>
          <w:vertAlign w:val="baseline"/>
        </w:rPr>
        <w:t> </w:t>
      </w:r>
      <w:r>
        <w:rPr>
          <w:vertAlign w:val="baseline"/>
        </w:rPr>
        <w:t>religion</w:t>
      </w:r>
      <w:r>
        <w:rPr>
          <w:spacing w:val="-2"/>
          <w:vertAlign w:val="baseline"/>
        </w:rPr>
        <w:t> </w:t>
      </w:r>
      <w:r>
        <w:rPr>
          <w:vertAlign w:val="baseline"/>
        </w:rPr>
        <w:t>or</w:t>
      </w:r>
      <w:r>
        <w:rPr>
          <w:spacing w:val="-1"/>
          <w:vertAlign w:val="baseline"/>
        </w:rPr>
        <w:t> </w:t>
      </w:r>
      <w:r>
        <w:rPr>
          <w:vertAlign w:val="baseline"/>
        </w:rPr>
        <w:t>belief (among other grounds), the Directive included a special provision preserving this Northern</w:t>
      </w:r>
      <w:r>
        <w:rPr>
          <w:spacing w:val="-3"/>
          <w:vertAlign w:val="baseline"/>
        </w:rPr>
        <w:t> </w:t>
      </w:r>
      <w:r>
        <w:rPr>
          <w:vertAlign w:val="baseline"/>
        </w:rPr>
        <w:t>Ireland</w:t>
      </w:r>
      <w:r>
        <w:rPr>
          <w:spacing w:val="-3"/>
          <w:vertAlign w:val="baseline"/>
        </w:rPr>
        <w:t> </w:t>
      </w:r>
      <w:r>
        <w:rPr>
          <w:vertAlign w:val="baseline"/>
        </w:rPr>
        <w:t>exception.</w:t>
      </w:r>
      <w:r>
        <w:rPr>
          <w:vertAlign w:val="superscript"/>
        </w:rPr>
        <w:t>132</w:t>
      </w:r>
      <w:r>
        <w:rPr>
          <w:spacing w:val="-3"/>
          <w:vertAlign w:val="baseline"/>
        </w:rPr>
        <w:t> </w:t>
      </w:r>
      <w:r>
        <w:rPr>
          <w:vertAlign w:val="baseline"/>
        </w:rPr>
        <w:t>The</w:t>
      </w:r>
      <w:r>
        <w:rPr>
          <w:spacing w:val="-2"/>
          <w:vertAlign w:val="baseline"/>
        </w:rPr>
        <w:t> </w:t>
      </w:r>
      <w:r>
        <w:rPr>
          <w:vertAlign w:val="baseline"/>
        </w:rPr>
        <w:t>Directive</w:t>
      </w:r>
      <w:r>
        <w:rPr>
          <w:spacing w:val="-2"/>
          <w:vertAlign w:val="baseline"/>
        </w:rPr>
        <w:t> </w:t>
      </w:r>
      <w:r>
        <w:rPr>
          <w:vertAlign w:val="baseline"/>
        </w:rPr>
        <w:t>provided</w:t>
      </w:r>
      <w:r>
        <w:rPr>
          <w:spacing w:val="-3"/>
          <w:vertAlign w:val="baseline"/>
        </w:rPr>
        <w:t> </w:t>
      </w:r>
      <w:r>
        <w:rPr>
          <w:vertAlign w:val="baseline"/>
        </w:rPr>
        <w:t>for</w:t>
      </w:r>
      <w:r>
        <w:rPr>
          <w:spacing w:val="-2"/>
          <w:vertAlign w:val="baseline"/>
        </w:rPr>
        <w:t> </w:t>
      </w:r>
      <w:r>
        <w:rPr>
          <w:vertAlign w:val="baseline"/>
        </w:rPr>
        <w:t>this</w:t>
      </w:r>
      <w:r>
        <w:rPr>
          <w:spacing w:val="-3"/>
          <w:vertAlign w:val="baseline"/>
        </w:rPr>
        <w:t> </w:t>
      </w:r>
      <w:r>
        <w:rPr>
          <w:vertAlign w:val="baseline"/>
        </w:rPr>
        <w:t>exception</w:t>
      </w:r>
      <w:r>
        <w:rPr>
          <w:spacing w:val="-3"/>
          <w:vertAlign w:val="baseline"/>
        </w:rPr>
        <w:t> </w:t>
      </w:r>
      <w:r>
        <w:rPr>
          <w:vertAlign w:val="baseline"/>
        </w:rPr>
        <w:t>insofar</w:t>
      </w:r>
      <w:r>
        <w:rPr>
          <w:spacing w:val="-2"/>
          <w:vertAlign w:val="baseline"/>
        </w:rPr>
        <w:t> </w:t>
      </w:r>
      <w:r>
        <w:rPr>
          <w:vertAlign w:val="baseline"/>
        </w:rPr>
        <w:t>as authorised by national legislation. The ECNI and NIHRC had expressed concerns about this exemption. The ECNI had recommended that the exemption no longer apply</w:t>
      </w:r>
      <w:r>
        <w:rPr>
          <w:spacing w:val="-1"/>
          <w:vertAlign w:val="baseline"/>
        </w:rPr>
        <w:t> </w:t>
      </w:r>
      <w:r>
        <w:rPr>
          <w:vertAlign w:val="baseline"/>
        </w:rPr>
        <w:t>at</w:t>
      </w:r>
      <w:r>
        <w:rPr>
          <w:spacing w:val="-1"/>
          <w:vertAlign w:val="baseline"/>
        </w:rPr>
        <w:t> </w:t>
      </w:r>
      <w:r>
        <w:rPr>
          <w:vertAlign w:val="baseline"/>
        </w:rPr>
        <w:t>secondary</w:t>
      </w:r>
      <w:r>
        <w:rPr>
          <w:spacing w:val="-1"/>
          <w:vertAlign w:val="baseline"/>
        </w:rPr>
        <w:t> </w:t>
      </w:r>
      <w:r>
        <w:rPr>
          <w:vertAlign w:val="baseline"/>
        </w:rPr>
        <w:t>school</w:t>
      </w:r>
      <w:r>
        <w:rPr>
          <w:spacing w:val="-2"/>
          <w:vertAlign w:val="baseline"/>
        </w:rPr>
        <w:t> </w:t>
      </w:r>
      <w:r>
        <w:rPr>
          <w:vertAlign w:val="baseline"/>
        </w:rPr>
        <w:t>level</w:t>
      </w:r>
      <w:r>
        <w:rPr>
          <w:spacing w:val="-2"/>
          <w:vertAlign w:val="baseline"/>
        </w:rPr>
        <w:t> </w:t>
      </w:r>
      <w:r>
        <w:rPr>
          <w:vertAlign w:val="baseline"/>
        </w:rPr>
        <w:t>and</w:t>
      </w:r>
      <w:r>
        <w:rPr>
          <w:spacing w:val="-2"/>
          <w:vertAlign w:val="baseline"/>
        </w:rPr>
        <w:t> </w:t>
      </w:r>
      <w:r>
        <w:rPr>
          <w:vertAlign w:val="baseline"/>
        </w:rPr>
        <w:t>consideration</w:t>
      </w:r>
      <w:r>
        <w:rPr>
          <w:spacing w:val="-2"/>
          <w:vertAlign w:val="baseline"/>
        </w:rPr>
        <w:t> </w:t>
      </w:r>
      <w:r>
        <w:rPr>
          <w:vertAlign w:val="baseline"/>
        </w:rPr>
        <w:t>be</w:t>
      </w:r>
      <w:r>
        <w:rPr>
          <w:spacing w:val="-1"/>
          <w:vertAlign w:val="baseline"/>
        </w:rPr>
        <w:t> </w:t>
      </w:r>
      <w:r>
        <w:rPr>
          <w:vertAlign w:val="baseline"/>
        </w:rPr>
        <w:t>given</w:t>
      </w:r>
      <w:r>
        <w:rPr>
          <w:spacing w:val="-2"/>
          <w:vertAlign w:val="baseline"/>
        </w:rPr>
        <w:t> </w:t>
      </w:r>
      <w:r>
        <w:rPr>
          <w:vertAlign w:val="baseline"/>
        </w:rPr>
        <w:t>to</w:t>
      </w:r>
      <w:r>
        <w:rPr>
          <w:spacing w:val="-2"/>
          <w:vertAlign w:val="baseline"/>
        </w:rPr>
        <w:t> </w:t>
      </w:r>
      <w:r>
        <w:rPr>
          <w:vertAlign w:val="baseline"/>
        </w:rPr>
        <w:t>ending</w:t>
      </w:r>
      <w:r>
        <w:rPr>
          <w:spacing w:val="-1"/>
          <w:vertAlign w:val="baseline"/>
        </w:rPr>
        <w:t> </w:t>
      </w:r>
      <w:r>
        <w:rPr>
          <w:vertAlign w:val="baseline"/>
        </w:rPr>
        <w:t>it</w:t>
      </w:r>
      <w:r>
        <w:rPr>
          <w:spacing w:val="-1"/>
          <w:vertAlign w:val="baseline"/>
        </w:rPr>
        <w:t> </w:t>
      </w:r>
      <w:r>
        <w:rPr>
          <w:vertAlign w:val="baseline"/>
        </w:rPr>
        <w:t>at</w:t>
      </w:r>
      <w:r>
        <w:rPr>
          <w:spacing w:val="-1"/>
          <w:vertAlign w:val="baseline"/>
        </w:rPr>
        <w:t> </w:t>
      </w:r>
      <w:r>
        <w:rPr>
          <w:vertAlign w:val="baseline"/>
        </w:rPr>
        <w:t>primary school level,</w:t>
      </w:r>
      <w:r>
        <w:rPr>
          <w:vertAlign w:val="superscript"/>
        </w:rPr>
        <w:t>133</w:t>
      </w:r>
      <w:r>
        <w:rPr>
          <w:vertAlign w:val="baseline"/>
        </w:rPr>
        <w:t> while the NIHRC had welcomed the Bill as providing for a more robust protection of anti-discrimination law.</w:t>
      </w:r>
      <w:r>
        <w:rPr>
          <w:vertAlign w:val="superscript"/>
        </w:rPr>
        <w:t>134</w:t>
      </w:r>
    </w:p>
    <w:p>
      <w:pPr>
        <w:pStyle w:val="BodyText"/>
        <w:spacing w:line="232" w:lineRule="auto" w:before="262"/>
        <w:ind w:left="720" w:right="1263"/>
      </w:pPr>
      <w:r>
        <w:rPr/>
        <w:t>For most of the period from the 5 May 2022 election until February 2024 there has</w:t>
      </w:r>
      <w:r>
        <w:rPr>
          <w:spacing w:val="-4"/>
        </w:rPr>
        <w:t> </w:t>
      </w:r>
      <w:r>
        <w:rPr/>
        <w:t>not</w:t>
      </w:r>
      <w:r>
        <w:rPr>
          <w:spacing w:val="-3"/>
        </w:rPr>
        <w:t> </w:t>
      </w:r>
      <w:r>
        <w:rPr/>
        <w:t>been</w:t>
      </w:r>
      <w:r>
        <w:rPr>
          <w:spacing w:val="-4"/>
        </w:rPr>
        <w:t> </w:t>
      </w:r>
      <w:r>
        <w:rPr/>
        <w:t>a</w:t>
      </w:r>
      <w:r>
        <w:rPr>
          <w:spacing w:val="-4"/>
        </w:rPr>
        <w:t> </w:t>
      </w:r>
      <w:r>
        <w:rPr/>
        <w:t>functioning</w:t>
      </w:r>
      <w:r>
        <w:rPr>
          <w:spacing w:val="-3"/>
        </w:rPr>
        <w:t> </w:t>
      </w:r>
      <w:r>
        <w:rPr/>
        <w:t>Assembly</w:t>
      </w:r>
      <w:r>
        <w:rPr>
          <w:spacing w:val="-3"/>
        </w:rPr>
        <w:t> </w:t>
      </w:r>
      <w:r>
        <w:rPr/>
        <w:t>and</w:t>
      </w:r>
      <w:r>
        <w:rPr>
          <w:spacing w:val="-4"/>
        </w:rPr>
        <w:t> </w:t>
      </w:r>
      <w:r>
        <w:rPr/>
        <w:t>so</w:t>
      </w:r>
      <w:r>
        <w:rPr>
          <w:spacing w:val="-4"/>
        </w:rPr>
        <w:t> </w:t>
      </w:r>
      <w:r>
        <w:rPr/>
        <w:t>there</w:t>
      </w:r>
      <w:r>
        <w:rPr>
          <w:spacing w:val="-3"/>
        </w:rPr>
        <w:t> </w:t>
      </w:r>
      <w:r>
        <w:rPr/>
        <w:t>has</w:t>
      </w:r>
      <w:r>
        <w:rPr>
          <w:spacing w:val="-4"/>
        </w:rPr>
        <w:t> </w:t>
      </w:r>
      <w:r>
        <w:rPr/>
        <w:t>been</w:t>
      </w:r>
      <w:r>
        <w:rPr>
          <w:spacing w:val="-4"/>
        </w:rPr>
        <w:t> </w:t>
      </w:r>
      <w:r>
        <w:rPr/>
        <w:t>no</w:t>
      </w:r>
      <w:r>
        <w:rPr>
          <w:spacing w:val="-4"/>
        </w:rPr>
        <w:t> </w:t>
      </w:r>
      <w:r>
        <w:rPr/>
        <w:t>legislative</w:t>
      </w:r>
      <w:r>
        <w:rPr>
          <w:spacing w:val="-3"/>
        </w:rPr>
        <w:t> </w:t>
      </w:r>
      <w:r>
        <w:rPr/>
        <w:t>business coming through</w:t>
      </w:r>
      <w:r>
        <w:rPr>
          <w:spacing w:val="-1"/>
        </w:rPr>
        <w:t> </w:t>
      </w:r>
      <w:r>
        <w:rPr/>
        <w:t>the Assembly.</w:t>
      </w:r>
      <w:r>
        <w:rPr>
          <w:spacing w:val="-1"/>
        </w:rPr>
        <w:t> </w:t>
      </w:r>
      <w:r>
        <w:rPr/>
        <w:t>This</w:t>
      </w:r>
      <w:r>
        <w:rPr>
          <w:spacing w:val="-1"/>
        </w:rPr>
        <w:t> </w:t>
      </w:r>
      <w:r>
        <w:rPr/>
        <w:t>has</w:t>
      </w:r>
      <w:r>
        <w:rPr>
          <w:spacing w:val="-1"/>
        </w:rPr>
        <w:t> </w:t>
      </w:r>
      <w:r>
        <w:rPr/>
        <w:t>not led</w:t>
      </w:r>
      <w:r>
        <w:rPr>
          <w:spacing w:val="-1"/>
        </w:rPr>
        <w:t> </w:t>
      </w:r>
      <w:r>
        <w:rPr/>
        <w:t>to</w:t>
      </w:r>
      <w:r>
        <w:rPr>
          <w:spacing w:val="-1"/>
        </w:rPr>
        <w:t> </w:t>
      </w:r>
      <w:r>
        <w:rPr/>
        <w:t>a</w:t>
      </w:r>
      <w:r>
        <w:rPr>
          <w:spacing w:val="-1"/>
        </w:rPr>
        <w:t> </w:t>
      </w:r>
      <w:r>
        <w:rPr/>
        <w:t>complete halt to</w:t>
      </w:r>
      <w:r>
        <w:rPr>
          <w:spacing w:val="-1"/>
        </w:rPr>
        <w:t> </w:t>
      </w:r>
      <w:r>
        <w:rPr/>
        <w:t>all</w:t>
      </w:r>
      <w:r>
        <w:rPr>
          <w:spacing w:val="-1"/>
        </w:rPr>
        <w:t> </w:t>
      </w:r>
      <w:r>
        <w:rPr/>
        <w:t>policy and legislative work on rights and equality.</w:t>
      </w:r>
    </w:p>
    <w:p>
      <w:pPr>
        <w:pStyle w:val="BodyText"/>
        <w:spacing w:line="232" w:lineRule="auto" w:before="278"/>
        <w:ind w:left="720" w:right="1087"/>
      </w:pPr>
      <w:r>
        <w:rPr/>
        <w:t>Most notably the Executive Office has held a consultation on plans to reform the Race</w:t>
      </w:r>
      <w:r>
        <w:rPr>
          <w:spacing w:val="-9"/>
        </w:rPr>
        <w:t> </w:t>
      </w:r>
      <w:r>
        <w:rPr/>
        <w:t>Relations</w:t>
      </w:r>
      <w:r>
        <w:rPr>
          <w:spacing w:val="-10"/>
        </w:rPr>
        <w:t> </w:t>
      </w:r>
      <w:r>
        <w:rPr/>
        <w:t>(NI)</w:t>
      </w:r>
      <w:r>
        <w:rPr>
          <w:spacing w:val="-10"/>
        </w:rPr>
        <w:t> </w:t>
      </w:r>
      <w:r>
        <w:rPr/>
        <w:t>Order</w:t>
      </w:r>
      <w:r>
        <w:rPr>
          <w:spacing w:val="-9"/>
        </w:rPr>
        <w:t> </w:t>
      </w:r>
      <w:r>
        <w:rPr/>
        <w:t>1997.</w:t>
      </w:r>
      <w:r>
        <w:rPr>
          <w:vertAlign w:val="superscript"/>
        </w:rPr>
        <w:t>135</w:t>
      </w:r>
      <w:r>
        <w:rPr>
          <w:spacing w:val="-10"/>
          <w:vertAlign w:val="baseline"/>
        </w:rPr>
        <w:t> </w:t>
      </w:r>
      <w:r>
        <w:rPr>
          <w:vertAlign w:val="baseline"/>
        </w:rPr>
        <w:t>Both</w:t>
      </w:r>
      <w:r>
        <w:rPr>
          <w:spacing w:val="-10"/>
          <w:vertAlign w:val="baseline"/>
        </w:rPr>
        <w:t> </w:t>
      </w:r>
      <w:r>
        <w:rPr>
          <w:vertAlign w:val="baseline"/>
        </w:rPr>
        <w:t>the</w:t>
      </w:r>
      <w:r>
        <w:rPr>
          <w:spacing w:val="-9"/>
          <w:vertAlign w:val="baseline"/>
        </w:rPr>
        <w:t> </w:t>
      </w:r>
      <w:r>
        <w:rPr>
          <w:vertAlign w:val="baseline"/>
        </w:rPr>
        <w:t>ECNI</w:t>
      </w:r>
      <w:r>
        <w:rPr>
          <w:vertAlign w:val="superscript"/>
        </w:rPr>
        <w:t>136</w:t>
      </w:r>
      <w:r>
        <w:rPr>
          <w:spacing w:val="-10"/>
          <w:vertAlign w:val="baseline"/>
        </w:rPr>
        <w:t> </w:t>
      </w:r>
      <w:r>
        <w:rPr>
          <w:vertAlign w:val="baseline"/>
        </w:rPr>
        <w:t>and</w:t>
      </w:r>
      <w:r>
        <w:rPr>
          <w:spacing w:val="-10"/>
          <w:vertAlign w:val="baseline"/>
        </w:rPr>
        <w:t> </w:t>
      </w:r>
      <w:r>
        <w:rPr>
          <w:vertAlign w:val="baseline"/>
        </w:rPr>
        <w:t>the</w:t>
      </w:r>
      <w:r>
        <w:rPr>
          <w:spacing w:val="-9"/>
          <w:vertAlign w:val="baseline"/>
        </w:rPr>
        <w:t> </w:t>
      </w:r>
      <w:r>
        <w:rPr>
          <w:vertAlign w:val="baseline"/>
        </w:rPr>
        <w:t>NIHRC</w:t>
      </w:r>
      <w:r>
        <w:rPr>
          <w:spacing w:val="-10"/>
          <w:vertAlign w:val="baseline"/>
        </w:rPr>
        <w:t> </w:t>
      </w:r>
      <w:r>
        <w:rPr>
          <w:vertAlign w:val="baseline"/>
        </w:rPr>
        <w:t>have</w:t>
      </w:r>
      <w:r>
        <w:rPr>
          <w:spacing w:val="-9"/>
          <w:vertAlign w:val="baseline"/>
        </w:rPr>
        <w:t> </w:t>
      </w:r>
      <w:r>
        <w:rPr>
          <w:vertAlign w:val="baseline"/>
        </w:rPr>
        <w:t>published extensively on issues around race law reform.</w:t>
      </w:r>
      <w:r>
        <w:rPr>
          <w:vertAlign w:val="superscript"/>
        </w:rPr>
        <w:t>137</w:t>
      </w:r>
    </w:p>
    <w:p>
      <w:pPr>
        <w:pStyle w:val="BodyText"/>
        <w:spacing w:before="1"/>
        <w:rPr>
          <w:sz w:val="8"/>
        </w:rPr>
      </w:pPr>
      <w:r>
        <w:rPr/>
        <mc:AlternateContent>
          <mc:Choice Requires="wps">
            <w:drawing>
              <wp:anchor distT="0" distB="0" distL="0" distR="0" allowOverlap="1" layoutInCell="1" locked="0" behindDoc="1" simplePos="0" relativeHeight="487653376">
                <wp:simplePos x="0" y="0"/>
                <wp:positionH relativeFrom="page">
                  <wp:posOffset>647999</wp:posOffset>
                </wp:positionH>
                <wp:positionV relativeFrom="paragraph">
                  <wp:posOffset>78460</wp:posOffset>
                </wp:positionV>
                <wp:extent cx="6012180" cy="1270"/>
                <wp:effectExtent l="0" t="0" r="0" b="0"/>
                <wp:wrapTopAndBottom/>
                <wp:docPr id="360" name="Graphic 360"/>
                <wp:cNvGraphicFramePr>
                  <a:graphicFrameLocks/>
                </wp:cNvGraphicFramePr>
                <a:graphic>
                  <a:graphicData uri="http://schemas.microsoft.com/office/word/2010/wordprocessingShape">
                    <wps:wsp>
                      <wps:cNvPr id="360" name="Graphic 36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6.177972pt;width:473.4pt;height:.1pt;mso-position-horizontal-relative:page;mso-position-vertical-relative:paragraph;z-index:-15663104;mso-wrap-distance-left:0;mso-wrap-distance-right:0" id="docshape282" coordorigin="1020,124" coordsize="9468,0" path="m1020,124l10488,124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0" w:hanging="567"/>
        <w:jc w:val="left"/>
        <w:rPr>
          <w:sz w:val="18"/>
        </w:rPr>
      </w:pPr>
      <w:r>
        <w:rPr>
          <w:color w:val="1D71B8"/>
          <w:sz w:val="18"/>
          <w:u w:val="single" w:color="1D71B8"/>
        </w:rPr>
        <w:t>Climate</w:t>
      </w:r>
      <w:r>
        <w:rPr>
          <w:color w:val="1D71B8"/>
          <w:spacing w:val="-6"/>
          <w:sz w:val="18"/>
          <w:u w:val="single" w:color="1D71B8"/>
        </w:rPr>
        <w:t> </w:t>
      </w:r>
      <w:r>
        <w:rPr>
          <w:color w:val="1D71B8"/>
          <w:sz w:val="18"/>
          <w:u w:val="single" w:color="1D71B8"/>
        </w:rPr>
        <w:t>Change</w:t>
      </w:r>
      <w:r>
        <w:rPr>
          <w:color w:val="1D71B8"/>
          <w:spacing w:val="-3"/>
          <w:sz w:val="18"/>
          <w:u w:val="single" w:color="1D71B8"/>
        </w:rPr>
        <w:t> </w:t>
      </w:r>
      <w:r>
        <w:rPr>
          <w:color w:val="1D71B8"/>
          <w:sz w:val="18"/>
          <w:u w:val="single" w:color="1D71B8"/>
        </w:rPr>
        <w:t>Act</w:t>
      </w:r>
      <w:r>
        <w:rPr>
          <w:color w:val="1D71B8"/>
          <w:spacing w:val="-3"/>
          <w:sz w:val="18"/>
          <w:u w:val="single" w:color="1D71B8"/>
        </w:rPr>
        <w:t> </w:t>
      </w:r>
      <w:r>
        <w:rPr>
          <w:color w:val="1D71B8"/>
          <w:sz w:val="18"/>
          <w:u w:val="single" w:color="1D71B8"/>
        </w:rPr>
        <w:t>(Northern</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pacing w:val="-2"/>
          <w:sz w:val="18"/>
          <w:u w:val="single" w:color="1D71B8"/>
        </w:rPr>
        <w:t>2022</w:t>
      </w:r>
      <w:r>
        <w:rPr>
          <w:spacing w:val="-2"/>
          <w:sz w:val="18"/>
          <w:u w:val="none"/>
        </w:rPr>
        <w:t>.</w:t>
      </w:r>
    </w:p>
    <w:p>
      <w:pPr>
        <w:pStyle w:val="ListParagraph"/>
        <w:numPr>
          <w:ilvl w:val="0"/>
          <w:numId w:val="9"/>
        </w:numPr>
        <w:tabs>
          <w:tab w:pos="1287" w:val="left" w:leader="none"/>
        </w:tabs>
        <w:spacing w:line="240" w:lineRule="auto" w:before="1" w:after="0"/>
        <w:ind w:left="1287" w:right="0" w:hanging="567"/>
        <w:jc w:val="left"/>
        <w:rPr>
          <w:sz w:val="18"/>
        </w:rPr>
      </w:pPr>
      <w:hyperlink r:id="rId43">
        <w:r>
          <w:rPr>
            <w:color w:val="1D71B8"/>
            <w:sz w:val="18"/>
            <w:u w:val="single" w:color="1D71B8"/>
          </w:rPr>
          <w:t>Defamation</w:t>
        </w:r>
        <w:r>
          <w:rPr>
            <w:color w:val="1D71B8"/>
            <w:spacing w:val="-9"/>
            <w:sz w:val="18"/>
            <w:u w:val="single" w:color="1D71B8"/>
          </w:rPr>
          <w:t> </w:t>
        </w:r>
        <w:r>
          <w:rPr>
            <w:color w:val="1D71B8"/>
            <w:sz w:val="18"/>
            <w:u w:val="single" w:color="1D71B8"/>
          </w:rPr>
          <w:t>Act</w:t>
        </w:r>
        <w:r>
          <w:rPr>
            <w:color w:val="1D71B8"/>
            <w:spacing w:val="-7"/>
            <w:sz w:val="18"/>
            <w:u w:val="single" w:color="1D71B8"/>
          </w:rPr>
          <w:t> </w:t>
        </w:r>
        <w:r>
          <w:rPr>
            <w:color w:val="1D71B8"/>
            <w:sz w:val="18"/>
            <w:u w:val="single" w:color="1D71B8"/>
          </w:rPr>
          <w:t>(Northern</w:t>
        </w:r>
        <w:r>
          <w:rPr>
            <w:color w:val="1D71B8"/>
            <w:spacing w:val="-8"/>
            <w:sz w:val="18"/>
            <w:u w:val="single" w:color="1D71B8"/>
          </w:rPr>
          <w:t> </w:t>
        </w:r>
        <w:r>
          <w:rPr>
            <w:color w:val="1D71B8"/>
            <w:sz w:val="18"/>
            <w:u w:val="single" w:color="1D71B8"/>
          </w:rPr>
          <w:t>Ireland)</w:t>
        </w:r>
        <w:r>
          <w:rPr>
            <w:color w:val="1D71B8"/>
            <w:spacing w:val="-8"/>
            <w:sz w:val="18"/>
            <w:u w:val="single" w:color="1D71B8"/>
          </w:rPr>
          <w:t> </w:t>
        </w:r>
        <w:r>
          <w:rPr>
            <w:color w:val="1D71B8"/>
            <w:spacing w:val="-2"/>
            <w:sz w:val="18"/>
            <w:u w:val="single" w:color="1D71B8"/>
          </w:rPr>
          <w:t>2022</w:t>
        </w:r>
      </w:hyperlink>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color w:val="1D71B8"/>
          <w:sz w:val="18"/>
          <w:u w:val="single" w:color="1D71B8"/>
        </w:rPr>
        <w:t>Domestic</w:t>
      </w:r>
      <w:r>
        <w:rPr>
          <w:color w:val="1D71B8"/>
          <w:spacing w:val="-6"/>
          <w:sz w:val="18"/>
          <w:u w:val="single" w:color="1D71B8"/>
        </w:rPr>
        <w:t> </w:t>
      </w:r>
      <w:r>
        <w:rPr>
          <w:color w:val="1D71B8"/>
          <w:sz w:val="18"/>
          <w:u w:val="single" w:color="1D71B8"/>
        </w:rPr>
        <w:t>Abuse</w:t>
      </w:r>
      <w:r>
        <w:rPr>
          <w:color w:val="1D71B8"/>
          <w:spacing w:val="-5"/>
          <w:sz w:val="18"/>
          <w:u w:val="single" w:color="1D71B8"/>
        </w:rPr>
        <w:t> </w:t>
      </w:r>
      <w:r>
        <w:rPr>
          <w:color w:val="1D71B8"/>
          <w:sz w:val="18"/>
          <w:u w:val="single" w:color="1D71B8"/>
        </w:rPr>
        <w:t>(Safe</w:t>
      </w:r>
      <w:r>
        <w:rPr>
          <w:color w:val="1D71B8"/>
          <w:spacing w:val="-5"/>
          <w:sz w:val="18"/>
          <w:u w:val="single" w:color="1D71B8"/>
        </w:rPr>
        <w:t> </w:t>
      </w:r>
      <w:r>
        <w:rPr>
          <w:color w:val="1D71B8"/>
          <w:sz w:val="18"/>
          <w:u w:val="single" w:color="1D71B8"/>
        </w:rPr>
        <w:t>Leave)</w:t>
      </w:r>
      <w:r>
        <w:rPr>
          <w:color w:val="1D71B8"/>
          <w:spacing w:val="-6"/>
          <w:sz w:val="18"/>
          <w:u w:val="single" w:color="1D71B8"/>
        </w:rPr>
        <w:t> </w:t>
      </w:r>
      <w:r>
        <w:rPr>
          <w:color w:val="1D71B8"/>
          <w:sz w:val="18"/>
          <w:u w:val="single" w:color="1D71B8"/>
        </w:rPr>
        <w:t>Act</w:t>
      </w:r>
      <w:r>
        <w:rPr>
          <w:color w:val="1D71B8"/>
          <w:spacing w:val="-5"/>
          <w:sz w:val="18"/>
          <w:u w:val="single" w:color="1D71B8"/>
        </w:rPr>
        <w:t> </w:t>
      </w:r>
      <w:r>
        <w:rPr>
          <w:color w:val="1D71B8"/>
          <w:sz w:val="18"/>
          <w:u w:val="single" w:color="1D71B8"/>
        </w:rPr>
        <w:t>(Northern</w:t>
      </w:r>
      <w:r>
        <w:rPr>
          <w:color w:val="1D71B8"/>
          <w:spacing w:val="-6"/>
          <w:sz w:val="18"/>
          <w:u w:val="single" w:color="1D71B8"/>
        </w:rPr>
        <w:t> </w:t>
      </w:r>
      <w:r>
        <w:rPr>
          <w:color w:val="1D71B8"/>
          <w:sz w:val="18"/>
          <w:u w:val="single" w:color="1D71B8"/>
        </w:rPr>
        <w:t>Ireland)</w:t>
      </w:r>
      <w:r>
        <w:rPr>
          <w:color w:val="1D71B8"/>
          <w:spacing w:val="-7"/>
          <w:sz w:val="18"/>
          <w:u w:val="single" w:color="1D71B8"/>
        </w:rPr>
        <w:t> </w:t>
      </w:r>
      <w:r>
        <w:rPr>
          <w:color w:val="1D71B8"/>
          <w:spacing w:val="-2"/>
          <w:sz w:val="18"/>
          <w:u w:val="single" w:color="1D71B8"/>
        </w:rPr>
        <w:t>2022</w:t>
      </w:r>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hyperlink r:id="rId44">
        <w:r>
          <w:rPr>
            <w:color w:val="1D71B8"/>
            <w:sz w:val="18"/>
            <w:u w:val="single" w:color="1D71B8"/>
          </w:rPr>
          <w:t>Period</w:t>
        </w:r>
        <w:r>
          <w:rPr>
            <w:color w:val="1D71B8"/>
            <w:spacing w:val="-10"/>
            <w:sz w:val="18"/>
            <w:u w:val="single" w:color="1D71B8"/>
          </w:rPr>
          <w:t> </w:t>
        </w:r>
        <w:r>
          <w:rPr>
            <w:color w:val="1D71B8"/>
            <w:sz w:val="18"/>
            <w:u w:val="single" w:color="1D71B8"/>
          </w:rPr>
          <w:t>Products</w:t>
        </w:r>
        <w:r>
          <w:rPr>
            <w:color w:val="1D71B8"/>
            <w:spacing w:val="-8"/>
            <w:sz w:val="18"/>
            <w:u w:val="single" w:color="1D71B8"/>
          </w:rPr>
          <w:t> </w:t>
        </w:r>
        <w:r>
          <w:rPr>
            <w:color w:val="1D71B8"/>
            <w:sz w:val="18"/>
            <w:u w:val="single" w:color="1D71B8"/>
          </w:rPr>
          <w:t>(Free</w:t>
        </w:r>
        <w:r>
          <w:rPr>
            <w:color w:val="1D71B8"/>
            <w:spacing w:val="-6"/>
            <w:sz w:val="18"/>
            <w:u w:val="single" w:color="1D71B8"/>
          </w:rPr>
          <w:t> </w:t>
        </w:r>
        <w:r>
          <w:rPr>
            <w:color w:val="1D71B8"/>
            <w:sz w:val="18"/>
            <w:u w:val="single" w:color="1D71B8"/>
          </w:rPr>
          <w:t>Provision)</w:t>
        </w:r>
        <w:r>
          <w:rPr>
            <w:color w:val="1D71B8"/>
            <w:spacing w:val="-8"/>
            <w:sz w:val="18"/>
            <w:u w:val="single" w:color="1D71B8"/>
          </w:rPr>
          <w:t> </w:t>
        </w:r>
        <w:r>
          <w:rPr>
            <w:color w:val="1D71B8"/>
            <w:sz w:val="18"/>
            <w:u w:val="single" w:color="1D71B8"/>
          </w:rPr>
          <w:t>Act</w:t>
        </w:r>
        <w:r>
          <w:rPr>
            <w:color w:val="1D71B8"/>
            <w:spacing w:val="-6"/>
            <w:sz w:val="18"/>
            <w:u w:val="single" w:color="1D71B8"/>
          </w:rPr>
          <w:t> </w:t>
        </w:r>
        <w:r>
          <w:rPr>
            <w:color w:val="1D71B8"/>
            <w:sz w:val="18"/>
            <w:u w:val="single" w:color="1D71B8"/>
          </w:rPr>
          <w:t>(Northern</w:t>
        </w:r>
        <w:r>
          <w:rPr>
            <w:color w:val="1D71B8"/>
            <w:spacing w:val="-8"/>
            <w:sz w:val="18"/>
            <w:u w:val="single" w:color="1D71B8"/>
          </w:rPr>
          <w:t> </w:t>
        </w:r>
        <w:r>
          <w:rPr>
            <w:color w:val="1D71B8"/>
            <w:sz w:val="18"/>
            <w:u w:val="single" w:color="1D71B8"/>
          </w:rPr>
          <w:t>Ireland)</w:t>
        </w:r>
        <w:r>
          <w:rPr>
            <w:color w:val="1D71B8"/>
            <w:spacing w:val="-7"/>
            <w:sz w:val="18"/>
            <w:u w:val="single" w:color="1D71B8"/>
          </w:rPr>
          <w:t> </w:t>
        </w:r>
        <w:r>
          <w:rPr>
            <w:color w:val="1D71B8"/>
            <w:spacing w:val="-2"/>
            <w:sz w:val="18"/>
            <w:u w:val="single" w:color="1D71B8"/>
          </w:rPr>
          <w:t>2022</w:t>
        </w:r>
      </w:hyperlink>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color w:val="1D71B8"/>
          <w:sz w:val="18"/>
          <w:u w:val="single" w:color="1D71B8"/>
        </w:rPr>
        <w:t>Fair</w:t>
      </w:r>
      <w:r>
        <w:rPr>
          <w:color w:val="1D71B8"/>
          <w:spacing w:val="-11"/>
          <w:sz w:val="18"/>
          <w:u w:val="single" w:color="1D71B8"/>
        </w:rPr>
        <w:t> </w:t>
      </w:r>
      <w:r>
        <w:rPr>
          <w:color w:val="1D71B8"/>
          <w:sz w:val="18"/>
          <w:u w:val="single" w:color="1D71B8"/>
        </w:rPr>
        <w:t>Employment</w:t>
      </w:r>
      <w:r>
        <w:rPr>
          <w:color w:val="1D71B8"/>
          <w:spacing w:val="-8"/>
          <w:sz w:val="18"/>
          <w:u w:val="single" w:color="1D71B8"/>
        </w:rPr>
        <w:t> </w:t>
      </w:r>
      <w:r>
        <w:rPr>
          <w:color w:val="1D71B8"/>
          <w:sz w:val="18"/>
          <w:u w:val="single" w:color="1D71B8"/>
        </w:rPr>
        <w:t>(School</w:t>
      </w:r>
      <w:r>
        <w:rPr>
          <w:color w:val="1D71B8"/>
          <w:spacing w:val="-9"/>
          <w:sz w:val="18"/>
          <w:u w:val="single" w:color="1D71B8"/>
        </w:rPr>
        <w:t> </w:t>
      </w:r>
      <w:r>
        <w:rPr>
          <w:color w:val="1D71B8"/>
          <w:sz w:val="18"/>
          <w:u w:val="single" w:color="1D71B8"/>
        </w:rPr>
        <w:t>Teachers)</w:t>
      </w:r>
      <w:r>
        <w:rPr>
          <w:color w:val="1D71B8"/>
          <w:spacing w:val="-10"/>
          <w:sz w:val="18"/>
          <w:u w:val="single" w:color="1D71B8"/>
        </w:rPr>
        <w:t> </w:t>
      </w:r>
      <w:r>
        <w:rPr>
          <w:color w:val="1D71B8"/>
          <w:sz w:val="18"/>
          <w:u w:val="single" w:color="1D71B8"/>
        </w:rPr>
        <w:t>Act</w:t>
      </w:r>
      <w:r>
        <w:rPr>
          <w:color w:val="1D71B8"/>
          <w:spacing w:val="-8"/>
          <w:sz w:val="18"/>
          <w:u w:val="single" w:color="1D71B8"/>
        </w:rPr>
        <w:t> </w:t>
      </w:r>
      <w:r>
        <w:rPr>
          <w:color w:val="1D71B8"/>
          <w:sz w:val="18"/>
          <w:u w:val="single" w:color="1D71B8"/>
        </w:rPr>
        <w:t>(Northern</w:t>
      </w:r>
      <w:r>
        <w:rPr>
          <w:color w:val="1D71B8"/>
          <w:spacing w:val="-9"/>
          <w:sz w:val="18"/>
          <w:u w:val="single" w:color="1D71B8"/>
        </w:rPr>
        <w:t> </w:t>
      </w:r>
      <w:r>
        <w:rPr>
          <w:color w:val="1D71B8"/>
          <w:sz w:val="18"/>
          <w:u w:val="single" w:color="1D71B8"/>
        </w:rPr>
        <w:t>Ireland)</w:t>
      </w:r>
      <w:r>
        <w:rPr>
          <w:color w:val="1D71B8"/>
          <w:spacing w:val="-9"/>
          <w:sz w:val="18"/>
          <w:u w:val="single" w:color="1D71B8"/>
        </w:rPr>
        <w:t> </w:t>
      </w:r>
      <w:r>
        <w:rPr>
          <w:color w:val="1D71B8"/>
          <w:spacing w:val="-2"/>
          <w:sz w:val="18"/>
          <w:u w:val="single" w:color="1D71B8"/>
        </w:rPr>
        <w:t>2022</w:t>
      </w:r>
      <w:r>
        <w:rPr>
          <w:spacing w:val="-2"/>
          <w:sz w:val="18"/>
          <w:u w:val="none"/>
        </w:rPr>
        <w:t>.</w:t>
      </w:r>
    </w:p>
    <w:p>
      <w:pPr>
        <w:pStyle w:val="ListParagraph"/>
        <w:numPr>
          <w:ilvl w:val="0"/>
          <w:numId w:val="9"/>
        </w:numPr>
        <w:tabs>
          <w:tab w:pos="1287" w:val="left" w:leader="none"/>
        </w:tabs>
        <w:spacing w:line="240" w:lineRule="auto" w:before="1" w:after="0"/>
        <w:ind w:left="1287" w:right="0" w:hanging="567"/>
        <w:jc w:val="left"/>
        <w:rPr>
          <w:sz w:val="18"/>
        </w:rPr>
      </w:pPr>
      <w:hyperlink r:id="rId45">
        <w:r>
          <w:rPr>
            <w:color w:val="1D71B8"/>
            <w:sz w:val="18"/>
            <w:u w:val="single" w:color="1D71B8"/>
          </w:rPr>
          <w:t>Hospital</w:t>
        </w:r>
        <w:r>
          <w:rPr>
            <w:color w:val="1D71B8"/>
            <w:spacing w:val="-8"/>
            <w:sz w:val="18"/>
            <w:u w:val="single" w:color="1D71B8"/>
          </w:rPr>
          <w:t> </w:t>
        </w:r>
        <w:r>
          <w:rPr>
            <w:color w:val="1D71B8"/>
            <w:sz w:val="18"/>
            <w:u w:val="single" w:color="1D71B8"/>
          </w:rPr>
          <w:t>Parking</w:t>
        </w:r>
        <w:r>
          <w:rPr>
            <w:color w:val="1D71B8"/>
            <w:spacing w:val="-6"/>
            <w:sz w:val="18"/>
            <w:u w:val="single" w:color="1D71B8"/>
          </w:rPr>
          <w:t> </w:t>
        </w:r>
        <w:r>
          <w:rPr>
            <w:color w:val="1D71B8"/>
            <w:sz w:val="18"/>
            <w:u w:val="single" w:color="1D71B8"/>
          </w:rPr>
          <w:t>Charges</w:t>
        </w:r>
        <w:r>
          <w:rPr>
            <w:color w:val="1D71B8"/>
            <w:spacing w:val="-5"/>
            <w:sz w:val="18"/>
            <w:u w:val="single" w:color="1D71B8"/>
          </w:rPr>
          <w:t> </w:t>
        </w:r>
        <w:r>
          <w:rPr>
            <w:color w:val="1D71B8"/>
            <w:sz w:val="18"/>
            <w:u w:val="single" w:color="1D71B8"/>
          </w:rPr>
          <w:t>Act</w:t>
        </w:r>
        <w:r>
          <w:rPr>
            <w:color w:val="1D71B8"/>
            <w:spacing w:val="-6"/>
            <w:sz w:val="18"/>
            <w:u w:val="single" w:color="1D71B8"/>
          </w:rPr>
          <w:t> </w:t>
        </w:r>
        <w:r>
          <w:rPr>
            <w:color w:val="1D71B8"/>
            <w:sz w:val="18"/>
            <w:u w:val="single" w:color="1D71B8"/>
          </w:rPr>
          <w:t>(Northern</w:t>
        </w:r>
        <w:r>
          <w:rPr>
            <w:color w:val="1D71B8"/>
            <w:spacing w:val="-6"/>
            <w:sz w:val="18"/>
            <w:u w:val="single" w:color="1D71B8"/>
          </w:rPr>
          <w:t> </w:t>
        </w:r>
        <w:r>
          <w:rPr>
            <w:color w:val="1D71B8"/>
            <w:sz w:val="18"/>
            <w:u w:val="single" w:color="1D71B8"/>
          </w:rPr>
          <w:t>Ireland)</w:t>
        </w:r>
        <w:r>
          <w:rPr>
            <w:color w:val="1D71B8"/>
            <w:spacing w:val="-5"/>
            <w:sz w:val="18"/>
            <w:u w:val="single" w:color="1D71B8"/>
          </w:rPr>
          <w:t> </w:t>
        </w:r>
        <w:r>
          <w:rPr>
            <w:color w:val="1D71B8"/>
            <w:spacing w:val="-2"/>
            <w:sz w:val="18"/>
            <w:u w:val="single" w:color="1D71B8"/>
          </w:rPr>
          <w:t>2022</w:t>
        </w:r>
      </w:hyperlink>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hyperlink r:id="rId46">
        <w:r>
          <w:rPr>
            <w:color w:val="1D71B8"/>
            <w:sz w:val="18"/>
            <w:u w:val="single" w:color="1D71B8"/>
          </w:rPr>
          <w:t>Justice</w:t>
        </w:r>
        <w:r>
          <w:rPr>
            <w:color w:val="1D71B8"/>
            <w:spacing w:val="-11"/>
            <w:sz w:val="18"/>
            <w:u w:val="single" w:color="1D71B8"/>
          </w:rPr>
          <w:t> </w:t>
        </w:r>
        <w:r>
          <w:rPr>
            <w:color w:val="1D71B8"/>
            <w:sz w:val="18"/>
            <w:u w:val="single" w:color="1D71B8"/>
          </w:rPr>
          <w:t>(Sexual</w:t>
        </w:r>
        <w:r>
          <w:rPr>
            <w:color w:val="1D71B8"/>
            <w:spacing w:val="-10"/>
            <w:sz w:val="18"/>
            <w:u w:val="single" w:color="1D71B8"/>
          </w:rPr>
          <w:t> </w:t>
        </w:r>
        <w:r>
          <w:rPr>
            <w:color w:val="1D71B8"/>
            <w:sz w:val="18"/>
            <w:u w:val="single" w:color="1D71B8"/>
          </w:rPr>
          <w:t>Offences</w:t>
        </w:r>
        <w:r>
          <w:rPr>
            <w:color w:val="1D71B8"/>
            <w:spacing w:val="-10"/>
            <w:sz w:val="18"/>
            <w:u w:val="single" w:color="1D71B8"/>
          </w:rPr>
          <w:t> </w:t>
        </w:r>
        <w:r>
          <w:rPr>
            <w:color w:val="1D71B8"/>
            <w:sz w:val="18"/>
            <w:u w:val="single" w:color="1D71B8"/>
          </w:rPr>
          <w:t>and</w:t>
        </w:r>
        <w:r>
          <w:rPr>
            <w:color w:val="1D71B8"/>
            <w:spacing w:val="-10"/>
            <w:sz w:val="18"/>
            <w:u w:val="single" w:color="1D71B8"/>
          </w:rPr>
          <w:t> </w:t>
        </w:r>
        <w:r>
          <w:rPr>
            <w:color w:val="1D71B8"/>
            <w:sz w:val="18"/>
            <w:u w:val="single" w:color="1D71B8"/>
          </w:rPr>
          <w:t>Trafficking</w:t>
        </w:r>
        <w:r>
          <w:rPr>
            <w:color w:val="1D71B8"/>
            <w:spacing w:val="-10"/>
            <w:sz w:val="18"/>
            <w:u w:val="single" w:color="1D71B8"/>
          </w:rPr>
          <w:t> </w:t>
        </w:r>
        <w:r>
          <w:rPr>
            <w:color w:val="1D71B8"/>
            <w:sz w:val="18"/>
            <w:u w:val="single" w:color="1D71B8"/>
          </w:rPr>
          <w:t>Victims)</w:t>
        </w:r>
        <w:r>
          <w:rPr>
            <w:color w:val="1D71B8"/>
            <w:spacing w:val="-11"/>
            <w:sz w:val="18"/>
            <w:u w:val="single" w:color="1D71B8"/>
          </w:rPr>
          <w:t> </w:t>
        </w:r>
        <w:r>
          <w:rPr>
            <w:color w:val="1D71B8"/>
            <w:sz w:val="18"/>
            <w:u w:val="single" w:color="1D71B8"/>
          </w:rPr>
          <w:t>Act</w:t>
        </w:r>
        <w:r>
          <w:rPr>
            <w:color w:val="1D71B8"/>
            <w:spacing w:val="-10"/>
            <w:sz w:val="18"/>
            <w:u w:val="single" w:color="1D71B8"/>
          </w:rPr>
          <w:t> </w:t>
        </w:r>
        <w:r>
          <w:rPr>
            <w:color w:val="1D71B8"/>
            <w:sz w:val="18"/>
            <w:u w:val="single" w:color="1D71B8"/>
          </w:rPr>
          <w:t>(Northern</w:t>
        </w:r>
        <w:r>
          <w:rPr>
            <w:color w:val="1D71B8"/>
            <w:spacing w:val="-10"/>
            <w:sz w:val="18"/>
            <w:u w:val="single" w:color="1D71B8"/>
          </w:rPr>
          <w:t> </w:t>
        </w:r>
        <w:r>
          <w:rPr>
            <w:color w:val="1D71B8"/>
            <w:sz w:val="18"/>
            <w:u w:val="single" w:color="1D71B8"/>
          </w:rPr>
          <w:t>Ireland)</w:t>
        </w:r>
        <w:r>
          <w:rPr>
            <w:color w:val="1D71B8"/>
            <w:spacing w:val="-10"/>
            <w:sz w:val="18"/>
            <w:u w:val="single" w:color="1D71B8"/>
          </w:rPr>
          <w:t> </w:t>
        </w:r>
        <w:r>
          <w:rPr>
            <w:color w:val="1D71B8"/>
            <w:spacing w:val="-2"/>
            <w:sz w:val="18"/>
            <w:u w:val="single" w:color="1D71B8"/>
          </w:rPr>
          <w:t>2022</w:t>
        </w:r>
      </w:hyperlink>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hyperlink r:id="rId47">
        <w:r>
          <w:rPr>
            <w:color w:val="1D71B8"/>
            <w:sz w:val="18"/>
            <w:u w:val="single" w:color="1D71B8"/>
          </w:rPr>
          <w:t>Protection</w:t>
        </w:r>
        <w:r>
          <w:rPr>
            <w:color w:val="1D71B8"/>
            <w:spacing w:val="-7"/>
            <w:sz w:val="18"/>
            <w:u w:val="single" w:color="1D71B8"/>
          </w:rPr>
          <w:t> </w:t>
        </w:r>
        <w:r>
          <w:rPr>
            <w:color w:val="1D71B8"/>
            <w:sz w:val="18"/>
            <w:u w:val="single" w:color="1D71B8"/>
          </w:rPr>
          <w:t>from</w:t>
        </w:r>
        <w:r>
          <w:rPr>
            <w:color w:val="1D71B8"/>
            <w:spacing w:val="-6"/>
            <w:sz w:val="18"/>
            <w:u w:val="single" w:color="1D71B8"/>
          </w:rPr>
          <w:t> </w:t>
        </w:r>
        <w:r>
          <w:rPr>
            <w:color w:val="1D71B8"/>
            <w:sz w:val="18"/>
            <w:u w:val="single" w:color="1D71B8"/>
          </w:rPr>
          <w:t>Stalking</w:t>
        </w:r>
        <w:r>
          <w:rPr>
            <w:color w:val="1D71B8"/>
            <w:spacing w:val="-6"/>
            <w:sz w:val="18"/>
            <w:u w:val="single" w:color="1D71B8"/>
          </w:rPr>
          <w:t> </w:t>
        </w:r>
        <w:r>
          <w:rPr>
            <w:color w:val="1D71B8"/>
            <w:sz w:val="18"/>
            <w:u w:val="single" w:color="1D71B8"/>
          </w:rPr>
          <w:t>Act</w:t>
        </w:r>
        <w:r>
          <w:rPr>
            <w:color w:val="1D71B8"/>
            <w:spacing w:val="-6"/>
            <w:sz w:val="18"/>
            <w:u w:val="single" w:color="1D71B8"/>
          </w:rPr>
          <w:t> </w:t>
        </w:r>
        <w:r>
          <w:rPr>
            <w:color w:val="1D71B8"/>
            <w:sz w:val="18"/>
            <w:u w:val="single" w:color="1D71B8"/>
          </w:rPr>
          <w:t>(Northern</w:t>
        </w:r>
        <w:r>
          <w:rPr>
            <w:color w:val="1D71B8"/>
            <w:spacing w:val="-7"/>
            <w:sz w:val="18"/>
            <w:u w:val="single" w:color="1D71B8"/>
          </w:rPr>
          <w:t> </w:t>
        </w:r>
        <w:r>
          <w:rPr>
            <w:color w:val="1D71B8"/>
            <w:sz w:val="18"/>
            <w:u w:val="single" w:color="1D71B8"/>
          </w:rPr>
          <w:t>Ireland)</w:t>
        </w:r>
        <w:r>
          <w:rPr>
            <w:color w:val="1D71B8"/>
            <w:spacing w:val="-7"/>
            <w:sz w:val="18"/>
            <w:u w:val="single" w:color="1D71B8"/>
          </w:rPr>
          <w:t> </w:t>
        </w:r>
        <w:r>
          <w:rPr>
            <w:color w:val="1D71B8"/>
            <w:spacing w:val="-2"/>
            <w:sz w:val="18"/>
            <w:u w:val="single" w:color="1D71B8"/>
          </w:rPr>
          <w:t>2022</w:t>
        </w:r>
      </w:hyperlink>
      <w:r>
        <w:rPr>
          <w:spacing w:val="-2"/>
          <w:sz w:val="18"/>
          <w:u w:val="none"/>
        </w:rPr>
        <w:t>.</w:t>
      </w:r>
    </w:p>
    <w:p>
      <w:pPr>
        <w:pStyle w:val="ListParagraph"/>
        <w:numPr>
          <w:ilvl w:val="0"/>
          <w:numId w:val="9"/>
        </w:numPr>
        <w:tabs>
          <w:tab w:pos="1287" w:val="left" w:leader="none"/>
        </w:tabs>
        <w:spacing w:line="240" w:lineRule="auto" w:before="1" w:after="0"/>
        <w:ind w:left="1287" w:right="0" w:hanging="567"/>
        <w:jc w:val="left"/>
        <w:rPr>
          <w:sz w:val="18"/>
        </w:rPr>
      </w:pPr>
      <w:r>
        <w:rPr>
          <w:color w:val="1D71B8"/>
          <w:sz w:val="18"/>
          <w:u w:val="single" w:color="1D71B8"/>
        </w:rPr>
        <w:t>Integrated</w:t>
      </w:r>
      <w:r>
        <w:rPr>
          <w:color w:val="1D71B8"/>
          <w:spacing w:val="-10"/>
          <w:sz w:val="18"/>
          <w:u w:val="single" w:color="1D71B8"/>
        </w:rPr>
        <w:t> </w:t>
      </w:r>
      <w:r>
        <w:rPr>
          <w:color w:val="1D71B8"/>
          <w:sz w:val="18"/>
          <w:u w:val="single" w:color="1D71B8"/>
        </w:rPr>
        <w:t>Education</w:t>
      </w:r>
      <w:r>
        <w:rPr>
          <w:color w:val="1D71B8"/>
          <w:spacing w:val="-9"/>
          <w:sz w:val="18"/>
          <w:u w:val="single" w:color="1D71B8"/>
        </w:rPr>
        <w:t> </w:t>
      </w:r>
      <w:r>
        <w:rPr>
          <w:color w:val="1D71B8"/>
          <w:sz w:val="18"/>
          <w:u w:val="single" w:color="1D71B8"/>
        </w:rPr>
        <w:t>Act</w:t>
      </w:r>
      <w:r>
        <w:rPr>
          <w:color w:val="1D71B8"/>
          <w:spacing w:val="-9"/>
          <w:sz w:val="18"/>
          <w:u w:val="single" w:color="1D71B8"/>
        </w:rPr>
        <w:t> </w:t>
      </w:r>
      <w:r>
        <w:rPr>
          <w:color w:val="1D71B8"/>
          <w:sz w:val="18"/>
          <w:u w:val="single" w:color="1D71B8"/>
        </w:rPr>
        <w:t>(Northern</w:t>
      </w:r>
      <w:r>
        <w:rPr>
          <w:color w:val="1D71B8"/>
          <w:spacing w:val="-9"/>
          <w:sz w:val="18"/>
          <w:u w:val="single" w:color="1D71B8"/>
        </w:rPr>
        <w:t> </w:t>
      </w:r>
      <w:r>
        <w:rPr>
          <w:color w:val="1D71B8"/>
          <w:sz w:val="18"/>
          <w:u w:val="single" w:color="1D71B8"/>
        </w:rPr>
        <w:t>Ireland)</w:t>
      </w:r>
      <w:r>
        <w:rPr>
          <w:color w:val="1D71B8"/>
          <w:spacing w:val="-9"/>
          <w:sz w:val="18"/>
          <w:u w:val="single" w:color="1D71B8"/>
        </w:rPr>
        <w:t> </w:t>
      </w:r>
      <w:r>
        <w:rPr>
          <w:color w:val="1D71B8"/>
          <w:spacing w:val="-2"/>
          <w:sz w:val="18"/>
          <w:u w:val="single" w:color="1D71B8"/>
        </w:rPr>
        <w:t>2022</w:t>
      </w:r>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hyperlink r:id="rId48">
        <w:r>
          <w:rPr>
            <w:color w:val="1D71B8"/>
            <w:sz w:val="18"/>
            <w:u w:val="single" w:color="1D71B8"/>
          </w:rPr>
          <w:t>Autism</w:t>
        </w:r>
        <w:r>
          <w:rPr>
            <w:color w:val="1D71B8"/>
            <w:spacing w:val="-7"/>
            <w:sz w:val="18"/>
            <w:u w:val="single" w:color="1D71B8"/>
          </w:rPr>
          <w:t> </w:t>
        </w:r>
        <w:r>
          <w:rPr>
            <w:color w:val="1D71B8"/>
            <w:sz w:val="18"/>
            <w:u w:val="single" w:color="1D71B8"/>
          </w:rPr>
          <w:t>(Amendment)</w:t>
        </w:r>
        <w:r>
          <w:rPr>
            <w:color w:val="1D71B8"/>
            <w:spacing w:val="-6"/>
            <w:sz w:val="18"/>
            <w:u w:val="single" w:color="1D71B8"/>
          </w:rPr>
          <w:t> </w:t>
        </w:r>
        <w:r>
          <w:rPr>
            <w:color w:val="1D71B8"/>
            <w:sz w:val="18"/>
            <w:u w:val="single" w:color="1D71B8"/>
          </w:rPr>
          <w:t>Act</w:t>
        </w:r>
        <w:r>
          <w:rPr>
            <w:color w:val="1D71B8"/>
            <w:spacing w:val="-6"/>
            <w:sz w:val="18"/>
            <w:u w:val="single" w:color="1D71B8"/>
          </w:rPr>
          <w:t> </w:t>
        </w:r>
        <w:r>
          <w:rPr>
            <w:color w:val="1D71B8"/>
            <w:sz w:val="18"/>
            <w:u w:val="single" w:color="1D71B8"/>
          </w:rPr>
          <w:t>(Northern</w:t>
        </w:r>
        <w:r>
          <w:rPr>
            <w:color w:val="1D71B8"/>
            <w:spacing w:val="-7"/>
            <w:sz w:val="18"/>
            <w:u w:val="single" w:color="1D71B8"/>
          </w:rPr>
          <w:t> </w:t>
        </w:r>
        <w:r>
          <w:rPr>
            <w:color w:val="1D71B8"/>
            <w:sz w:val="18"/>
            <w:u w:val="single" w:color="1D71B8"/>
          </w:rPr>
          <w:t>Ireland)</w:t>
        </w:r>
        <w:r>
          <w:rPr>
            <w:color w:val="1D71B8"/>
            <w:spacing w:val="-7"/>
            <w:sz w:val="18"/>
            <w:u w:val="single" w:color="1D71B8"/>
          </w:rPr>
          <w:t> </w:t>
        </w:r>
        <w:r>
          <w:rPr>
            <w:color w:val="1D71B8"/>
            <w:spacing w:val="-2"/>
            <w:sz w:val="18"/>
            <w:u w:val="single" w:color="1D71B8"/>
          </w:rPr>
          <w:t>2022</w:t>
        </w:r>
      </w:hyperlink>
      <w:r>
        <w:rPr>
          <w:spacing w:val="-2"/>
          <w:sz w:val="18"/>
          <w:u w:val="none"/>
        </w:rPr>
        <w:t>.</w:t>
      </w:r>
    </w:p>
    <w:p>
      <w:pPr>
        <w:pStyle w:val="ListParagraph"/>
        <w:numPr>
          <w:ilvl w:val="0"/>
          <w:numId w:val="9"/>
        </w:numPr>
        <w:tabs>
          <w:tab w:pos="1287" w:val="left" w:leader="none"/>
        </w:tabs>
        <w:spacing w:line="240" w:lineRule="auto" w:before="0" w:after="0"/>
        <w:ind w:left="1287" w:right="0" w:hanging="567"/>
        <w:jc w:val="left"/>
        <w:rPr>
          <w:sz w:val="18"/>
        </w:rPr>
      </w:pPr>
      <w:r>
        <w:rPr>
          <w:sz w:val="18"/>
        </w:rPr>
        <w:t>Fair</w:t>
      </w:r>
      <w:r>
        <w:rPr>
          <w:spacing w:val="-6"/>
          <w:sz w:val="18"/>
        </w:rPr>
        <w:t> </w:t>
      </w:r>
      <w:r>
        <w:rPr>
          <w:sz w:val="18"/>
        </w:rPr>
        <w:t>Employment</w:t>
      </w:r>
      <w:r>
        <w:rPr>
          <w:spacing w:val="-6"/>
          <w:sz w:val="18"/>
        </w:rPr>
        <w:t> </w:t>
      </w:r>
      <w:r>
        <w:rPr>
          <w:sz w:val="18"/>
        </w:rPr>
        <w:t>and</w:t>
      </w:r>
      <w:r>
        <w:rPr>
          <w:spacing w:val="-7"/>
          <w:sz w:val="18"/>
        </w:rPr>
        <w:t> </w:t>
      </w:r>
      <w:r>
        <w:rPr>
          <w:sz w:val="18"/>
        </w:rPr>
        <w:t>Treatment</w:t>
      </w:r>
      <w:r>
        <w:rPr>
          <w:spacing w:val="-6"/>
          <w:sz w:val="18"/>
        </w:rPr>
        <w:t> </w:t>
      </w:r>
      <w:r>
        <w:rPr>
          <w:sz w:val="18"/>
        </w:rPr>
        <w:t>Order</w:t>
      </w:r>
      <w:r>
        <w:rPr>
          <w:spacing w:val="-6"/>
          <w:sz w:val="18"/>
        </w:rPr>
        <w:t> </w:t>
      </w:r>
      <w:r>
        <w:rPr>
          <w:sz w:val="18"/>
        </w:rPr>
        <w:t>1998,</w:t>
      </w:r>
      <w:r>
        <w:rPr>
          <w:spacing w:val="-6"/>
          <w:sz w:val="18"/>
        </w:rPr>
        <w:t> </w:t>
      </w:r>
      <w:hyperlink r:id="rId49">
        <w:r>
          <w:rPr>
            <w:color w:val="1D71B8"/>
            <w:sz w:val="18"/>
            <w:u w:val="single" w:color="1D71B8"/>
          </w:rPr>
          <w:t>art</w:t>
        </w:r>
        <w:r>
          <w:rPr>
            <w:color w:val="1D71B8"/>
            <w:spacing w:val="-5"/>
            <w:sz w:val="18"/>
            <w:u w:val="single" w:color="1D71B8"/>
          </w:rPr>
          <w:t> 71</w:t>
        </w:r>
      </w:hyperlink>
      <w:r>
        <w:rPr>
          <w:spacing w:val="-5"/>
          <w:sz w:val="18"/>
          <w:u w:val="none"/>
        </w:rPr>
        <w:t>.</w:t>
      </w:r>
    </w:p>
    <w:p>
      <w:pPr>
        <w:pStyle w:val="ListParagraph"/>
        <w:numPr>
          <w:ilvl w:val="0"/>
          <w:numId w:val="9"/>
        </w:numPr>
        <w:tabs>
          <w:tab w:pos="1287" w:val="left" w:leader="none"/>
        </w:tabs>
        <w:spacing w:line="240" w:lineRule="auto" w:before="0" w:after="0"/>
        <w:ind w:left="1287" w:right="1187" w:hanging="567"/>
        <w:jc w:val="left"/>
        <w:rPr>
          <w:sz w:val="18"/>
        </w:rPr>
      </w:pPr>
      <w:r>
        <w:rPr>
          <w:sz w:val="18"/>
        </w:rPr>
        <w:t>Council</w:t>
      </w:r>
      <w:r>
        <w:rPr>
          <w:spacing w:val="-6"/>
          <w:sz w:val="18"/>
        </w:rPr>
        <w:t> </w:t>
      </w:r>
      <w:r>
        <w:rPr>
          <w:sz w:val="18"/>
        </w:rPr>
        <w:t>Directive</w:t>
      </w:r>
      <w:r>
        <w:rPr>
          <w:spacing w:val="-5"/>
          <w:sz w:val="18"/>
        </w:rPr>
        <w:t> </w:t>
      </w:r>
      <w:r>
        <w:rPr>
          <w:sz w:val="18"/>
        </w:rPr>
        <w:t>2000/78/EC</w:t>
      </w:r>
      <w:r>
        <w:rPr>
          <w:spacing w:val="-6"/>
          <w:sz w:val="18"/>
        </w:rPr>
        <w:t> </w:t>
      </w:r>
      <w:r>
        <w:rPr>
          <w:sz w:val="18"/>
        </w:rPr>
        <w:t>of</w:t>
      </w:r>
      <w:r>
        <w:rPr>
          <w:spacing w:val="-6"/>
          <w:sz w:val="18"/>
        </w:rPr>
        <w:t> </w:t>
      </w:r>
      <w:r>
        <w:rPr>
          <w:sz w:val="18"/>
        </w:rPr>
        <w:t>27</w:t>
      </w:r>
      <w:r>
        <w:rPr>
          <w:spacing w:val="-5"/>
          <w:sz w:val="18"/>
        </w:rPr>
        <w:t> </w:t>
      </w:r>
      <w:r>
        <w:rPr>
          <w:sz w:val="18"/>
        </w:rPr>
        <w:t>November</w:t>
      </w:r>
      <w:r>
        <w:rPr>
          <w:spacing w:val="-5"/>
          <w:sz w:val="18"/>
        </w:rPr>
        <w:t> </w:t>
      </w:r>
      <w:r>
        <w:rPr>
          <w:sz w:val="18"/>
        </w:rPr>
        <w:t>2000</w:t>
      </w:r>
      <w:r>
        <w:rPr>
          <w:spacing w:val="-5"/>
          <w:sz w:val="18"/>
        </w:rPr>
        <w:t> </w:t>
      </w:r>
      <w:r>
        <w:rPr>
          <w:sz w:val="18"/>
        </w:rPr>
        <w:t>establishing</w:t>
      </w:r>
      <w:r>
        <w:rPr>
          <w:spacing w:val="-5"/>
          <w:sz w:val="18"/>
        </w:rPr>
        <w:t> </w:t>
      </w:r>
      <w:r>
        <w:rPr>
          <w:sz w:val="18"/>
        </w:rPr>
        <w:t>a</w:t>
      </w:r>
      <w:r>
        <w:rPr>
          <w:spacing w:val="-6"/>
          <w:sz w:val="18"/>
        </w:rPr>
        <w:t> </w:t>
      </w:r>
      <w:r>
        <w:rPr>
          <w:sz w:val="18"/>
        </w:rPr>
        <w:t>general</w:t>
      </w:r>
      <w:r>
        <w:rPr>
          <w:spacing w:val="-6"/>
          <w:sz w:val="18"/>
        </w:rPr>
        <w:t> </w:t>
      </w:r>
      <w:r>
        <w:rPr>
          <w:sz w:val="18"/>
        </w:rPr>
        <w:t>framework</w:t>
      </w:r>
      <w:r>
        <w:rPr>
          <w:spacing w:val="-5"/>
          <w:sz w:val="18"/>
        </w:rPr>
        <w:t> </w:t>
      </w:r>
      <w:r>
        <w:rPr>
          <w:sz w:val="18"/>
        </w:rPr>
        <w:t>for</w:t>
      </w:r>
      <w:r>
        <w:rPr>
          <w:spacing w:val="-5"/>
          <w:sz w:val="18"/>
        </w:rPr>
        <w:t> </w:t>
      </w:r>
      <w:r>
        <w:rPr>
          <w:sz w:val="18"/>
        </w:rPr>
        <w:t>equal</w:t>
      </w:r>
      <w:r>
        <w:rPr>
          <w:spacing w:val="-6"/>
          <w:sz w:val="18"/>
        </w:rPr>
        <w:t> </w:t>
      </w:r>
      <w:r>
        <w:rPr>
          <w:sz w:val="18"/>
        </w:rPr>
        <w:t>treatment</w:t>
      </w:r>
      <w:r>
        <w:rPr>
          <w:spacing w:val="-5"/>
          <w:sz w:val="18"/>
        </w:rPr>
        <w:t> </w:t>
      </w:r>
      <w:r>
        <w:rPr>
          <w:sz w:val="18"/>
        </w:rPr>
        <w:t>in</w:t>
      </w:r>
      <w:r>
        <w:rPr>
          <w:spacing w:val="-6"/>
          <w:sz w:val="18"/>
        </w:rPr>
        <w:t> </w:t>
      </w:r>
      <w:r>
        <w:rPr>
          <w:sz w:val="18"/>
        </w:rPr>
        <w:t>employment and occupation 2000, </w:t>
      </w:r>
      <w:r>
        <w:rPr>
          <w:color w:val="1D71B8"/>
          <w:sz w:val="18"/>
          <w:u w:val="single" w:color="1D71B8"/>
        </w:rPr>
        <w:t>art 15(2)</w:t>
      </w:r>
      <w:r>
        <w:rPr>
          <w:sz w:val="18"/>
          <w:u w:val="none"/>
        </w:rPr>
        <w:t>. The Directive also permitted the policy of 50:50 recruitment to the Police Service of Northern Ireland in art 15(1).</w:t>
      </w:r>
    </w:p>
    <w:p>
      <w:pPr>
        <w:pStyle w:val="ListParagraph"/>
        <w:numPr>
          <w:ilvl w:val="0"/>
          <w:numId w:val="9"/>
        </w:numPr>
        <w:tabs>
          <w:tab w:pos="1287" w:val="left" w:leader="none"/>
        </w:tabs>
        <w:spacing w:line="240" w:lineRule="auto" w:before="1" w:after="0"/>
        <w:ind w:left="1287" w:right="0" w:hanging="567"/>
        <w:jc w:val="left"/>
        <w:rPr>
          <w:sz w:val="18"/>
        </w:rPr>
      </w:pPr>
      <w:r>
        <w:rPr>
          <w:sz w:val="18"/>
        </w:rPr>
        <w:t>ECNI,</w:t>
      </w:r>
      <w:r>
        <w:rPr>
          <w:spacing w:val="-11"/>
          <w:sz w:val="18"/>
        </w:rPr>
        <w:t> </w:t>
      </w:r>
      <w:r>
        <w:rPr>
          <w:color w:val="1D71B8"/>
          <w:sz w:val="18"/>
          <w:u w:val="single" w:color="1D71B8"/>
        </w:rPr>
        <w:t>Briefin</w:t>
      </w:r>
      <w:r>
        <w:rPr>
          <w:color w:val="1D71B8"/>
          <w:sz w:val="18"/>
          <w:u w:val="none"/>
        </w:rPr>
        <w:t>g</w:t>
      </w:r>
      <w:r>
        <w:rPr>
          <w:color w:val="1D71B8"/>
          <w:sz w:val="18"/>
          <w:u w:val="single" w:color="1D71B8"/>
        </w:rPr>
        <w:t>:</w:t>
      </w:r>
      <w:r>
        <w:rPr>
          <w:color w:val="1D71B8"/>
          <w:spacing w:val="-9"/>
          <w:sz w:val="18"/>
          <w:u w:val="single" w:color="1D71B8"/>
        </w:rPr>
        <w:t> </w:t>
      </w:r>
      <w:r>
        <w:rPr>
          <w:color w:val="1D71B8"/>
          <w:sz w:val="18"/>
          <w:u w:val="single" w:color="1D71B8"/>
        </w:rPr>
        <w:t>FETO</w:t>
      </w:r>
      <w:r>
        <w:rPr>
          <w:color w:val="1D71B8"/>
          <w:spacing w:val="-10"/>
          <w:sz w:val="18"/>
          <w:u w:val="single" w:color="1D71B8"/>
        </w:rPr>
        <w:t> </w:t>
      </w:r>
      <w:r>
        <w:rPr>
          <w:color w:val="1D71B8"/>
          <w:sz w:val="18"/>
          <w:u w:val="single" w:color="1D71B8"/>
        </w:rPr>
        <w:t>Teachers’</w:t>
      </w:r>
      <w:r>
        <w:rPr>
          <w:color w:val="1D71B8"/>
          <w:spacing w:val="-9"/>
          <w:sz w:val="18"/>
          <w:u w:val="single" w:color="1D71B8"/>
        </w:rPr>
        <w:t> </w:t>
      </w:r>
      <w:r>
        <w:rPr>
          <w:color w:val="1D71B8"/>
          <w:sz w:val="18"/>
          <w:u w:val="single" w:color="1D71B8"/>
        </w:rPr>
        <w:t>Exception</w:t>
      </w:r>
      <w:r>
        <w:rPr>
          <w:color w:val="1D71B8"/>
          <w:spacing w:val="-11"/>
          <w:sz w:val="18"/>
          <w:u w:val="none"/>
        </w:rPr>
        <w:t> </w:t>
      </w:r>
      <w:r>
        <w:rPr>
          <w:sz w:val="18"/>
          <w:u w:val="none"/>
        </w:rPr>
        <w:t>(ECNI,</w:t>
      </w:r>
      <w:r>
        <w:rPr>
          <w:spacing w:val="-9"/>
          <w:sz w:val="18"/>
          <w:u w:val="none"/>
        </w:rPr>
        <w:t> </w:t>
      </w:r>
      <w:r>
        <w:rPr>
          <w:sz w:val="18"/>
          <w:u w:val="none"/>
        </w:rPr>
        <w:t>Belfast</w:t>
      </w:r>
      <w:r>
        <w:rPr>
          <w:spacing w:val="-9"/>
          <w:sz w:val="18"/>
          <w:u w:val="none"/>
        </w:rPr>
        <w:t> </w:t>
      </w:r>
      <w:r>
        <w:rPr>
          <w:spacing w:val="-2"/>
          <w:sz w:val="18"/>
          <w:u w:val="none"/>
        </w:rPr>
        <w:t>2021).</w:t>
      </w:r>
    </w:p>
    <w:p>
      <w:pPr>
        <w:pStyle w:val="ListParagraph"/>
        <w:numPr>
          <w:ilvl w:val="0"/>
          <w:numId w:val="9"/>
        </w:numPr>
        <w:tabs>
          <w:tab w:pos="1287" w:val="left" w:leader="none"/>
        </w:tabs>
        <w:spacing w:line="240" w:lineRule="auto" w:before="0" w:after="0"/>
        <w:ind w:left="1287" w:right="1488" w:hanging="567"/>
        <w:jc w:val="left"/>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color w:val="1D71B8"/>
          <w:sz w:val="18"/>
          <w:u w:val="single" w:color="1D71B8"/>
        </w:rPr>
        <w:t>Annual</w:t>
      </w:r>
      <w:r>
        <w:rPr>
          <w:color w:val="1D71B8"/>
          <w:spacing w:val="-5"/>
          <w:sz w:val="18"/>
          <w:u w:val="single" w:color="1D71B8"/>
        </w:rPr>
        <w:t> </w:t>
      </w:r>
      <w:r>
        <w:rPr>
          <w:color w:val="1D71B8"/>
          <w:sz w:val="18"/>
          <w:u w:val="single" w:color="1D71B8"/>
        </w:rPr>
        <w:t>Report</w:t>
      </w:r>
      <w:r>
        <w:rPr>
          <w:color w:val="1D71B8"/>
          <w:spacing w:val="-4"/>
          <w:sz w:val="18"/>
          <w:u w:val="single" w:color="1D71B8"/>
        </w:rPr>
        <w:t> </w:t>
      </w:r>
      <w:r>
        <w:rPr>
          <w:color w:val="1D71B8"/>
          <w:sz w:val="18"/>
          <w:u w:val="single" w:color="1D71B8"/>
        </w:rPr>
        <w:t>2021-22:</w:t>
      </w:r>
      <w:r>
        <w:rPr>
          <w:color w:val="1D71B8"/>
          <w:spacing w:val="-4"/>
          <w:sz w:val="18"/>
          <w:u w:val="single" w:color="1D71B8"/>
        </w:rPr>
        <w:t> </w:t>
      </w:r>
      <w:r>
        <w:rPr>
          <w:color w:val="1D71B8"/>
          <w:sz w:val="18"/>
          <w:u w:val="single" w:color="1D71B8"/>
        </w:rPr>
        <w:t>Implementation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Protocol</w:t>
      </w:r>
      <w:r>
        <w:rPr>
          <w:color w:val="1D71B8"/>
          <w:spacing w:val="-5"/>
          <w:sz w:val="18"/>
          <w:u w:val="single" w:color="1D71B8"/>
        </w:rPr>
        <w:t> </w:t>
      </w:r>
      <w:r>
        <w:rPr>
          <w:color w:val="1D71B8"/>
          <w:sz w:val="18"/>
          <w:u w:val="single" w:color="1D71B8"/>
        </w:rPr>
        <w:t>Article</w:t>
      </w:r>
      <w:r>
        <w:rPr>
          <w:color w:val="1D71B8"/>
          <w:spacing w:val="-4"/>
          <w:sz w:val="18"/>
          <w:u w:val="single" w:color="1D71B8"/>
        </w:rPr>
        <w:t> </w:t>
      </w:r>
      <w:r>
        <w:rPr>
          <w:color w:val="1D71B8"/>
          <w:sz w:val="18"/>
          <w:u w:val="single" w:color="1D71B8"/>
        </w:rPr>
        <w:t>2</w:t>
      </w:r>
      <w:r>
        <w:rPr>
          <w:color w:val="1D71B8"/>
          <w:spacing w:val="-4"/>
          <w:sz w:val="18"/>
          <w:u w:val="none"/>
        </w:rPr>
        <w:t> </w:t>
      </w:r>
      <w:r>
        <w:rPr>
          <w:sz w:val="18"/>
          <w:u w:val="none"/>
        </w:rPr>
        <w:t>(2022)</w:t>
      </w:r>
      <w:r>
        <w:rPr>
          <w:spacing w:val="-5"/>
          <w:sz w:val="18"/>
          <w:u w:val="none"/>
        </w:rPr>
        <w:t> </w:t>
      </w:r>
      <w:r>
        <w:rPr>
          <w:sz w:val="18"/>
          <w:u w:val="none"/>
        </w:rPr>
        <w:t>74-75;</w:t>
      </w:r>
      <w:r>
        <w:rPr>
          <w:spacing w:val="-4"/>
          <w:sz w:val="18"/>
          <w:u w:val="none"/>
        </w:rPr>
        <w:t> </w:t>
      </w:r>
      <w:r>
        <w:rPr>
          <w:sz w:val="18"/>
          <w:u w:val="none"/>
        </w:rPr>
        <w:t>NIHRC,</w:t>
      </w:r>
      <w:r>
        <w:rPr>
          <w:spacing w:val="-4"/>
          <w:sz w:val="18"/>
          <w:u w:val="none"/>
        </w:rPr>
        <w:t> </w:t>
      </w:r>
      <w:r>
        <w:rPr>
          <w:color w:val="1D71B8"/>
          <w:sz w:val="18"/>
          <w:u w:val="single" w:color="1D71B8"/>
        </w:rPr>
        <w:t>The</w:t>
      </w:r>
      <w:r>
        <w:rPr>
          <w:color w:val="1D71B8"/>
          <w:spacing w:val="-4"/>
          <w:sz w:val="18"/>
          <w:u w:val="single" w:color="1D71B8"/>
        </w:rPr>
        <w:t> </w:t>
      </w:r>
      <w:r>
        <w:rPr>
          <w:color w:val="1D71B8"/>
          <w:sz w:val="18"/>
          <w:u w:val="single" w:color="1D71B8"/>
        </w:rPr>
        <w:t>2022</w:t>
      </w:r>
      <w:r>
        <w:rPr>
          <w:color w:val="1D71B8"/>
          <w:spacing w:val="-4"/>
          <w:sz w:val="18"/>
          <w:u w:val="single" w:color="1D71B8"/>
        </w:rPr>
        <w:t> </w:t>
      </w:r>
      <w:r>
        <w:rPr>
          <w:color w:val="1D71B8"/>
          <w:sz w:val="18"/>
          <w:u w:val="single" w:color="1D71B8"/>
        </w:rPr>
        <w:t>Annual</w:t>
      </w:r>
      <w:r>
        <w:rPr>
          <w:color w:val="1D71B8"/>
          <w:sz w:val="18"/>
          <w:u w:val="none"/>
        </w:rPr>
        <w:t> </w:t>
      </w:r>
      <w:r>
        <w:rPr>
          <w:color w:val="1D71B8"/>
          <w:sz w:val="18"/>
          <w:u w:val="single" w:color="1D71B8"/>
        </w:rPr>
        <w:t>Statement: Human Rights in Northern Ireland</w:t>
      </w:r>
      <w:r>
        <w:rPr>
          <w:color w:val="1D71B8"/>
          <w:sz w:val="18"/>
          <w:u w:val="none"/>
        </w:rPr>
        <w:t> </w:t>
      </w:r>
      <w:r>
        <w:rPr>
          <w:sz w:val="18"/>
          <w:u w:val="none"/>
        </w:rPr>
        <w:t>(2022) 192.</w:t>
      </w:r>
    </w:p>
    <w:p>
      <w:pPr>
        <w:pStyle w:val="ListParagraph"/>
        <w:numPr>
          <w:ilvl w:val="0"/>
          <w:numId w:val="9"/>
        </w:numPr>
        <w:tabs>
          <w:tab w:pos="1287" w:val="left" w:leader="none"/>
        </w:tabs>
        <w:spacing w:line="240" w:lineRule="auto" w:before="1" w:after="0"/>
        <w:ind w:left="1287" w:right="0" w:hanging="567"/>
        <w:jc w:val="left"/>
        <w:rPr>
          <w:sz w:val="18"/>
        </w:rPr>
      </w:pPr>
      <w:r>
        <w:rPr>
          <w:color w:val="1D71B8"/>
          <w:sz w:val="18"/>
          <w:u w:val="single" w:color="1D71B8"/>
        </w:rPr>
        <w:t>Consultation</w:t>
      </w:r>
      <w:r>
        <w:rPr>
          <w:color w:val="1D71B8"/>
          <w:spacing w:val="-5"/>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Review</w:t>
      </w:r>
      <w:r>
        <w:rPr>
          <w:color w:val="1D71B8"/>
          <w:spacing w:val="-3"/>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Race</w:t>
      </w:r>
      <w:r>
        <w:rPr>
          <w:color w:val="1D71B8"/>
          <w:spacing w:val="-4"/>
          <w:sz w:val="18"/>
          <w:u w:val="single" w:color="1D71B8"/>
        </w:rPr>
        <w:t> </w:t>
      </w:r>
      <w:r>
        <w:rPr>
          <w:color w:val="1D71B8"/>
          <w:sz w:val="18"/>
          <w:u w:val="single" w:color="1D71B8"/>
        </w:rPr>
        <w:t>Relations</w:t>
      </w:r>
      <w:r>
        <w:rPr>
          <w:color w:val="1D71B8"/>
          <w:spacing w:val="-4"/>
          <w:sz w:val="18"/>
          <w:u w:val="single" w:color="1D71B8"/>
        </w:rPr>
        <w:t> </w:t>
      </w:r>
      <w:r>
        <w:rPr>
          <w:color w:val="1D71B8"/>
          <w:sz w:val="18"/>
          <w:u w:val="single" w:color="1D71B8"/>
        </w:rPr>
        <w:t>(NI)</w:t>
      </w:r>
      <w:r>
        <w:rPr>
          <w:color w:val="1D71B8"/>
          <w:spacing w:val="-5"/>
          <w:sz w:val="18"/>
          <w:u w:val="single" w:color="1D71B8"/>
        </w:rPr>
        <w:t> </w:t>
      </w:r>
      <w:r>
        <w:rPr>
          <w:color w:val="1D71B8"/>
          <w:sz w:val="18"/>
          <w:u w:val="single" w:color="1D71B8"/>
        </w:rPr>
        <w:t>Order</w:t>
      </w:r>
      <w:r>
        <w:rPr>
          <w:color w:val="1D71B8"/>
          <w:spacing w:val="-3"/>
          <w:sz w:val="18"/>
          <w:u w:val="single" w:color="1D71B8"/>
        </w:rPr>
        <w:t> </w:t>
      </w:r>
      <w:r>
        <w:rPr>
          <w:color w:val="1D71B8"/>
          <w:spacing w:val="-4"/>
          <w:sz w:val="18"/>
          <w:u w:val="single" w:color="1D71B8"/>
        </w:rPr>
        <w:t>1997</w:t>
      </w:r>
      <w:r>
        <w:rPr>
          <w:spacing w:val="-4"/>
          <w:sz w:val="18"/>
          <w:u w:val="none"/>
        </w:rPr>
        <w:t>.</w:t>
      </w:r>
    </w:p>
    <w:p>
      <w:pPr>
        <w:pStyle w:val="ListParagraph"/>
        <w:numPr>
          <w:ilvl w:val="0"/>
          <w:numId w:val="9"/>
        </w:numPr>
        <w:tabs>
          <w:tab w:pos="1287" w:val="left" w:leader="none"/>
        </w:tabs>
        <w:spacing w:line="240" w:lineRule="auto" w:before="0" w:after="0"/>
        <w:ind w:left="1287" w:right="1367" w:hanging="567"/>
        <w:jc w:val="left"/>
        <w:rPr>
          <w:sz w:val="18"/>
        </w:rPr>
      </w:pPr>
      <w:hyperlink r:id="rId50">
        <w:r>
          <w:rPr>
            <w:color w:val="1D71B8"/>
            <w:sz w:val="18"/>
            <w:u w:val="single" w:color="1D71B8"/>
          </w:rPr>
          <w:t>Race</w:t>
        </w:r>
        <w:r>
          <w:rPr>
            <w:color w:val="1D71B8"/>
            <w:spacing w:val="-5"/>
            <w:sz w:val="18"/>
            <w:u w:val="single" w:color="1D71B8"/>
          </w:rPr>
          <w:t> </w:t>
        </w:r>
        <w:r>
          <w:rPr>
            <w:color w:val="1D71B8"/>
            <w:sz w:val="18"/>
            <w:u w:val="single" w:color="1D71B8"/>
          </w:rPr>
          <w:t>Law</w:t>
        </w:r>
        <w:r>
          <w:rPr>
            <w:color w:val="1D71B8"/>
            <w:spacing w:val="-5"/>
            <w:sz w:val="18"/>
            <w:u w:val="single" w:color="1D71B8"/>
          </w:rPr>
          <w:t> </w:t>
        </w:r>
        <w:r>
          <w:rPr>
            <w:color w:val="1D71B8"/>
            <w:sz w:val="18"/>
            <w:u w:val="single" w:color="1D71B8"/>
          </w:rPr>
          <w:t>Reform</w:t>
        </w:r>
      </w:hyperlink>
      <w:r>
        <w:rPr>
          <w:sz w:val="18"/>
          <w:u w:val="none"/>
        </w:rPr>
        <w:t>,</w:t>
      </w:r>
      <w:r>
        <w:rPr>
          <w:spacing w:val="-5"/>
          <w:sz w:val="18"/>
          <w:u w:val="none"/>
        </w:rPr>
        <w:t> </w:t>
      </w:r>
      <w:r>
        <w:rPr>
          <w:sz w:val="18"/>
          <w:u w:val="none"/>
        </w:rPr>
        <w:t>ECNI,</w:t>
      </w:r>
      <w:r>
        <w:rPr>
          <w:spacing w:val="-6"/>
          <w:sz w:val="18"/>
          <w:u w:val="none"/>
        </w:rPr>
        <w:t> </w:t>
      </w:r>
      <w:r>
        <w:rPr>
          <w:color w:val="1D71B8"/>
          <w:sz w:val="18"/>
          <w:u w:val="single" w:color="1D71B8"/>
        </w:rPr>
        <w:t>Consultation</w:t>
      </w:r>
      <w:r>
        <w:rPr>
          <w:color w:val="1D71B8"/>
          <w:spacing w:val="-6"/>
          <w:sz w:val="18"/>
          <w:u w:val="single" w:color="1D71B8"/>
        </w:rPr>
        <w:t> </w:t>
      </w:r>
      <w:r>
        <w:rPr>
          <w:color w:val="1D71B8"/>
          <w:sz w:val="18"/>
          <w:u w:val="single" w:color="1D71B8"/>
        </w:rPr>
        <w:t>Response:</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Executive</w:t>
      </w:r>
      <w:r>
        <w:rPr>
          <w:color w:val="1D71B8"/>
          <w:spacing w:val="-5"/>
          <w:sz w:val="18"/>
          <w:u w:val="single" w:color="1D71B8"/>
        </w:rPr>
        <w:t> </w:t>
      </w:r>
      <w:r>
        <w:rPr>
          <w:color w:val="1D71B8"/>
          <w:sz w:val="18"/>
          <w:u w:val="single" w:color="1D71B8"/>
        </w:rPr>
        <w:t>Office:</w:t>
      </w:r>
      <w:r>
        <w:rPr>
          <w:color w:val="1D71B8"/>
          <w:spacing w:val="-5"/>
          <w:sz w:val="18"/>
          <w:u w:val="single" w:color="1D71B8"/>
        </w:rPr>
        <w:t> </w:t>
      </w:r>
      <w:r>
        <w:rPr>
          <w:color w:val="1D71B8"/>
          <w:sz w:val="18"/>
          <w:u w:val="single" w:color="1D71B8"/>
        </w:rPr>
        <w:t>Consultation</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Review</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Race</w:t>
      </w:r>
      <w:r>
        <w:rPr>
          <w:color w:val="1D71B8"/>
          <w:spacing w:val="-5"/>
          <w:sz w:val="18"/>
          <w:u w:val="single" w:color="1D71B8"/>
        </w:rPr>
        <w:t> </w:t>
      </w:r>
      <w:r>
        <w:rPr>
          <w:color w:val="1D71B8"/>
          <w:sz w:val="18"/>
          <w:u w:val="single" w:color="1D71B8"/>
        </w:rPr>
        <w:t>Relations</w:t>
      </w:r>
      <w:r>
        <w:rPr>
          <w:color w:val="1D71B8"/>
          <w:sz w:val="18"/>
          <w:u w:val="none"/>
        </w:rPr>
        <w:t> </w:t>
      </w:r>
      <w:r>
        <w:rPr>
          <w:color w:val="1D71B8"/>
          <w:sz w:val="18"/>
          <w:u w:val="single" w:color="1D71B8"/>
        </w:rPr>
        <w:t>(NI) Order 1997</w:t>
      </w:r>
      <w:r>
        <w:rPr>
          <w:color w:val="1D71B8"/>
          <w:sz w:val="18"/>
          <w:u w:val="none"/>
        </w:rPr>
        <w:t> </w:t>
      </w:r>
      <w:r>
        <w:rPr>
          <w:sz w:val="18"/>
          <w:u w:val="none"/>
        </w:rPr>
        <w:t>(June 2023); ECNI, </w:t>
      </w:r>
      <w:r>
        <w:rPr>
          <w:color w:val="1D71B8"/>
          <w:sz w:val="18"/>
          <w:u w:val="single" w:color="1D71B8"/>
        </w:rPr>
        <w:t>Response to consultation: European Commission - Addressing possible gaps in the</w:t>
      </w:r>
      <w:r>
        <w:rPr>
          <w:color w:val="1D71B8"/>
          <w:sz w:val="18"/>
          <w:u w:val="none"/>
        </w:rPr>
        <w:t> </w:t>
      </w:r>
      <w:r>
        <w:rPr>
          <w:color w:val="1D71B8"/>
          <w:sz w:val="18"/>
          <w:u w:val="single" w:color="1D71B8"/>
        </w:rPr>
        <w:t>Racial Equality Directive</w:t>
      </w:r>
      <w:r>
        <w:rPr>
          <w:color w:val="1D71B8"/>
          <w:sz w:val="18"/>
          <w:u w:val="none"/>
        </w:rPr>
        <w:t> </w:t>
      </w:r>
      <w:r>
        <w:rPr>
          <w:sz w:val="18"/>
          <w:u w:val="none"/>
        </w:rPr>
        <w:t>(April 2022).</w:t>
      </w:r>
    </w:p>
    <w:p>
      <w:pPr>
        <w:pStyle w:val="ListParagraph"/>
        <w:numPr>
          <w:ilvl w:val="0"/>
          <w:numId w:val="9"/>
        </w:numPr>
        <w:tabs>
          <w:tab w:pos="1287" w:val="left" w:leader="none"/>
        </w:tabs>
        <w:spacing w:line="240" w:lineRule="auto" w:before="1" w:after="0"/>
        <w:ind w:left="1287" w:right="1141" w:hanging="567"/>
        <w:jc w:val="left"/>
        <w:rPr>
          <w:sz w:val="18"/>
        </w:rPr>
      </w:pPr>
      <w:r>
        <w:rPr>
          <w:sz w:val="18"/>
        </w:rPr>
        <w:t>NIHRC,</w:t>
      </w:r>
      <w:r>
        <w:rPr>
          <w:spacing w:val="-4"/>
          <w:sz w:val="18"/>
        </w:rPr>
        <w:t> </w:t>
      </w:r>
      <w:r>
        <w:rPr>
          <w:color w:val="1D71B8"/>
          <w:sz w:val="18"/>
          <w:u w:val="single" w:color="1D71B8"/>
        </w:rPr>
        <w:t>Response</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European</w:t>
      </w:r>
      <w:r>
        <w:rPr>
          <w:color w:val="1D71B8"/>
          <w:spacing w:val="-5"/>
          <w:sz w:val="18"/>
          <w:u w:val="single" w:color="1D71B8"/>
        </w:rPr>
        <w:t> </w:t>
      </w:r>
      <w:r>
        <w:rPr>
          <w:color w:val="1D71B8"/>
          <w:sz w:val="18"/>
          <w:u w:val="single" w:color="1D71B8"/>
        </w:rPr>
        <w:t>Commission</w:t>
      </w:r>
      <w:r>
        <w:rPr>
          <w:color w:val="1D71B8"/>
          <w:spacing w:val="-5"/>
          <w:sz w:val="18"/>
          <w:u w:val="single" w:color="1D71B8"/>
        </w:rPr>
        <w:t> </w:t>
      </w:r>
      <w:r>
        <w:rPr>
          <w:color w:val="1D71B8"/>
          <w:sz w:val="18"/>
          <w:u w:val="single" w:color="1D71B8"/>
        </w:rPr>
        <w:t>Consultation</w:t>
      </w:r>
      <w:r>
        <w:rPr>
          <w:color w:val="1D71B8"/>
          <w:spacing w:val="-5"/>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Racial</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Directive</w:t>
      </w:r>
      <w:r>
        <w:rPr>
          <w:color w:val="1D71B8"/>
          <w:spacing w:val="-6"/>
          <w:sz w:val="18"/>
          <w:u w:val="none"/>
        </w:rPr>
        <w:t> </w:t>
      </w:r>
      <w:r>
        <w:rPr>
          <w:sz w:val="18"/>
          <w:u w:val="none"/>
        </w:rPr>
        <w:t>(12</w:t>
      </w:r>
      <w:r>
        <w:rPr>
          <w:spacing w:val="-4"/>
          <w:sz w:val="18"/>
          <w:u w:val="none"/>
        </w:rPr>
        <w:t> </w:t>
      </w:r>
      <w:r>
        <w:rPr>
          <w:sz w:val="18"/>
          <w:u w:val="none"/>
        </w:rPr>
        <w:t>April</w:t>
      </w:r>
      <w:r>
        <w:rPr>
          <w:spacing w:val="-5"/>
          <w:sz w:val="18"/>
          <w:u w:val="none"/>
        </w:rPr>
        <w:t> </w:t>
      </w:r>
      <w:r>
        <w:rPr>
          <w:sz w:val="18"/>
          <w:u w:val="none"/>
        </w:rPr>
        <w:t>2022);</w:t>
      </w:r>
      <w:r>
        <w:rPr>
          <w:spacing w:val="-4"/>
          <w:sz w:val="18"/>
          <w:u w:val="none"/>
        </w:rPr>
        <w:t> </w:t>
      </w:r>
      <w:r>
        <w:rPr>
          <w:sz w:val="18"/>
          <w:u w:val="none"/>
        </w:rPr>
        <w:t>NIHRC,</w:t>
      </w:r>
      <w:r>
        <w:rPr>
          <w:spacing w:val="-4"/>
          <w:sz w:val="18"/>
          <w:u w:val="none"/>
        </w:rPr>
        <w:t> </w:t>
      </w:r>
      <w:r>
        <w:rPr>
          <w:color w:val="1D71B8"/>
          <w:sz w:val="18"/>
          <w:u w:val="single" w:color="1D71B8"/>
        </w:rPr>
        <w:t>NIHRC</w:t>
      </w:r>
      <w:r>
        <w:rPr>
          <w:color w:val="1D71B8"/>
          <w:sz w:val="18"/>
          <w:u w:val="none"/>
        </w:rPr>
        <w:t> </w:t>
      </w:r>
      <w:r>
        <w:rPr>
          <w:color w:val="1D71B8"/>
          <w:sz w:val="18"/>
          <w:u w:val="single" w:color="1D71B8"/>
        </w:rPr>
        <w:t>response to The Executive Office’s consultation on the Review of the Race Relations (NI) Order 1997</w:t>
      </w:r>
      <w:r>
        <w:rPr>
          <w:color w:val="1D71B8"/>
          <w:sz w:val="18"/>
          <w:u w:val="none"/>
        </w:rPr>
        <w:t> </w:t>
      </w:r>
      <w:r>
        <w:rPr>
          <w:sz w:val="18"/>
          <w:u w:val="none"/>
        </w:rPr>
        <w:t>(June 2023).</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71584">
                <wp:simplePos x="0" y="0"/>
                <wp:positionH relativeFrom="page">
                  <wp:posOffset>-2</wp:posOffset>
                </wp:positionH>
                <wp:positionV relativeFrom="page">
                  <wp:posOffset>0</wp:posOffset>
                </wp:positionV>
                <wp:extent cx="7560309" cy="1155065"/>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7560309" cy="1155065"/>
                          <a:chExt cx="7560309" cy="1155065"/>
                        </a:xfrm>
                      </wpg:grpSpPr>
                      <wps:wsp>
                        <wps:cNvPr id="362" name="Graphic 362"/>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363" name="Graphic 363"/>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44896" id="docshapegroup283" coordorigin="0,0" coordsize="11906,1819">
                <v:shape style="position:absolute;left:0;top:0;width:11906;height:1819" id="docshape284"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33</w:t>
      </w:r>
    </w:p>
    <w:p>
      <w:pPr>
        <w:pStyle w:val="BodyText"/>
        <w:rPr>
          <w:b/>
        </w:rPr>
      </w:pPr>
    </w:p>
    <w:p>
      <w:pPr>
        <w:pStyle w:val="BodyText"/>
        <w:spacing w:before="48"/>
        <w:rPr>
          <w:b/>
        </w:rPr>
      </w:pPr>
    </w:p>
    <w:p>
      <w:pPr>
        <w:pStyle w:val="BodyText"/>
        <w:spacing w:line="232" w:lineRule="auto"/>
        <w:ind w:left="1117" w:right="738"/>
      </w:pPr>
      <w:r>
        <w:rPr/>
        <w:t>It is noteworthy that the Executive Office consultation document contains only three references (apart from the glossary) to European Union directives and contains no reference to the Protocol/WF. There is therefore no discussion of any possible need to amend Northern Ireland law to keep pace with any EU measures amending or replacing the Race Directive.</w:t>
      </w:r>
      <w:r>
        <w:rPr>
          <w:vertAlign w:val="superscript"/>
        </w:rPr>
        <w:t>138</w:t>
      </w:r>
      <w:r>
        <w:rPr>
          <w:vertAlign w:val="baseline"/>
        </w:rPr>
        <w:t> The Consultation includes references to Ireland’s Equal Status Act 2000 and Employment Equality Act 1998, which is welcome, but does not mention the current Irish review of these Acts. As will be discussed</w:t>
      </w:r>
      <w:r>
        <w:rPr>
          <w:spacing w:val="-5"/>
          <w:vertAlign w:val="baseline"/>
        </w:rPr>
        <w:t> </w:t>
      </w:r>
      <w:r>
        <w:rPr>
          <w:vertAlign w:val="baseline"/>
        </w:rPr>
        <w:t>later</w:t>
      </w:r>
      <w:r>
        <w:rPr>
          <w:spacing w:val="-4"/>
          <w:vertAlign w:val="baseline"/>
        </w:rPr>
        <w:t> </w:t>
      </w:r>
      <w:r>
        <w:rPr>
          <w:vertAlign w:val="baseline"/>
        </w:rPr>
        <w:t>this</w:t>
      </w:r>
      <w:r>
        <w:rPr>
          <w:spacing w:val="-5"/>
          <w:vertAlign w:val="baseline"/>
        </w:rPr>
        <w:t> </w:t>
      </w:r>
      <w:r>
        <w:rPr>
          <w:vertAlign w:val="baseline"/>
        </w:rPr>
        <w:t>review</w:t>
      </w:r>
      <w:r>
        <w:rPr>
          <w:spacing w:val="-4"/>
          <w:vertAlign w:val="baseline"/>
        </w:rPr>
        <w:t> </w:t>
      </w:r>
      <w:r>
        <w:rPr>
          <w:vertAlign w:val="baseline"/>
        </w:rPr>
        <w:t>of</w:t>
      </w:r>
      <w:r>
        <w:rPr>
          <w:spacing w:val="-5"/>
          <w:vertAlign w:val="baseline"/>
        </w:rPr>
        <w:t> </w:t>
      </w:r>
      <w:r>
        <w:rPr>
          <w:vertAlign w:val="baseline"/>
        </w:rPr>
        <w:t>the</w:t>
      </w:r>
      <w:r>
        <w:rPr>
          <w:spacing w:val="-4"/>
          <w:vertAlign w:val="baseline"/>
        </w:rPr>
        <w:t> </w:t>
      </w:r>
      <w:r>
        <w:rPr>
          <w:vertAlign w:val="baseline"/>
        </w:rPr>
        <w:t>Irish</w:t>
      </w:r>
      <w:r>
        <w:rPr>
          <w:spacing w:val="-5"/>
          <w:vertAlign w:val="baseline"/>
        </w:rPr>
        <w:t> </w:t>
      </w:r>
      <w:r>
        <w:rPr>
          <w:vertAlign w:val="baseline"/>
        </w:rPr>
        <w:t>legislation</w:t>
      </w:r>
      <w:r>
        <w:rPr>
          <w:spacing w:val="-5"/>
          <w:vertAlign w:val="baseline"/>
        </w:rPr>
        <w:t> </w:t>
      </w:r>
      <w:r>
        <w:rPr>
          <w:vertAlign w:val="baseline"/>
        </w:rPr>
        <w:t>opens</w:t>
      </w:r>
      <w:r>
        <w:rPr>
          <w:spacing w:val="-5"/>
          <w:vertAlign w:val="baseline"/>
        </w:rPr>
        <w:t> </w:t>
      </w:r>
      <w:r>
        <w:rPr>
          <w:vertAlign w:val="baseline"/>
        </w:rPr>
        <w:t>up</w:t>
      </w:r>
      <w:r>
        <w:rPr>
          <w:spacing w:val="-5"/>
          <w:vertAlign w:val="baseline"/>
        </w:rPr>
        <w:t> </w:t>
      </w:r>
      <w:r>
        <w:rPr>
          <w:vertAlign w:val="baseline"/>
        </w:rPr>
        <w:t>the</w:t>
      </w:r>
      <w:r>
        <w:rPr>
          <w:spacing w:val="-4"/>
          <w:vertAlign w:val="baseline"/>
        </w:rPr>
        <w:t> </w:t>
      </w:r>
      <w:r>
        <w:rPr>
          <w:vertAlign w:val="baseline"/>
        </w:rPr>
        <w:t>possibility</w:t>
      </w:r>
      <w:r>
        <w:rPr>
          <w:spacing w:val="-4"/>
          <w:vertAlign w:val="baseline"/>
        </w:rPr>
        <w:t> </w:t>
      </w:r>
      <w:r>
        <w:rPr>
          <w:vertAlign w:val="baseline"/>
        </w:rPr>
        <w:t>of</w:t>
      </w:r>
      <w:r>
        <w:rPr>
          <w:spacing w:val="-5"/>
          <w:vertAlign w:val="baseline"/>
        </w:rPr>
        <w:t> </w:t>
      </w:r>
      <w:r>
        <w:rPr>
          <w:vertAlign w:val="baseline"/>
        </w:rPr>
        <w:t>greater divergence in terms of equality legislation on the island of Ireland.</w:t>
      </w:r>
    </w:p>
    <w:p>
      <w:pPr>
        <w:pStyle w:val="BodyText"/>
        <w:spacing w:line="232" w:lineRule="auto" w:before="269"/>
        <w:ind w:left="1117" w:right="738"/>
      </w:pPr>
      <w:r>
        <w:rPr/>
        <w:t>The two Commissions have responded to the consultation on the Race Relations Order and made several recommendations to comply with Article 2 WF. These include: ensuring that any changes to the order are compatible with the EU Race Equality</w:t>
      </w:r>
      <w:r>
        <w:rPr>
          <w:spacing w:val="-7"/>
        </w:rPr>
        <w:t> </w:t>
      </w:r>
      <w:r>
        <w:rPr/>
        <w:t>directive</w:t>
      </w:r>
      <w:r>
        <w:rPr>
          <w:spacing w:val="-7"/>
        </w:rPr>
        <w:t> </w:t>
      </w:r>
      <w:r>
        <w:rPr/>
        <w:t>and</w:t>
      </w:r>
      <w:r>
        <w:rPr>
          <w:spacing w:val="-8"/>
        </w:rPr>
        <w:t> </w:t>
      </w:r>
      <w:r>
        <w:rPr/>
        <w:t>CJEU</w:t>
      </w:r>
      <w:r>
        <w:rPr>
          <w:spacing w:val="-7"/>
        </w:rPr>
        <w:t> </w:t>
      </w:r>
      <w:r>
        <w:rPr/>
        <w:t>case</w:t>
      </w:r>
      <w:r>
        <w:rPr>
          <w:spacing w:val="-7"/>
        </w:rPr>
        <w:t> </w:t>
      </w:r>
      <w:r>
        <w:rPr/>
        <w:t>law,</w:t>
      </w:r>
      <w:r>
        <w:rPr>
          <w:spacing w:val="-7"/>
        </w:rPr>
        <w:t> </w:t>
      </w:r>
      <w:r>
        <w:rPr/>
        <w:t>taking</w:t>
      </w:r>
      <w:r>
        <w:rPr>
          <w:spacing w:val="-7"/>
        </w:rPr>
        <w:t> </w:t>
      </w:r>
      <w:r>
        <w:rPr/>
        <w:t>into</w:t>
      </w:r>
      <w:r>
        <w:rPr>
          <w:spacing w:val="-8"/>
        </w:rPr>
        <w:t> </w:t>
      </w:r>
      <w:r>
        <w:rPr/>
        <w:t>account</w:t>
      </w:r>
      <w:r>
        <w:rPr>
          <w:spacing w:val="-7"/>
        </w:rPr>
        <w:t> </w:t>
      </w:r>
      <w:r>
        <w:rPr/>
        <w:t>the</w:t>
      </w:r>
      <w:r>
        <w:rPr>
          <w:spacing w:val="-7"/>
        </w:rPr>
        <w:t> </w:t>
      </w:r>
      <w:r>
        <w:rPr/>
        <w:t>ongoing</w:t>
      </w:r>
      <w:r>
        <w:rPr>
          <w:spacing w:val="-7"/>
        </w:rPr>
        <w:t> </w:t>
      </w:r>
      <w:r>
        <w:rPr/>
        <w:t>review</w:t>
      </w:r>
      <w:r>
        <w:rPr>
          <w:spacing w:val="-7"/>
        </w:rPr>
        <w:t> </w:t>
      </w:r>
      <w:r>
        <w:rPr/>
        <w:t>of</w:t>
      </w:r>
      <w:r>
        <w:rPr>
          <w:spacing w:val="-8"/>
        </w:rPr>
        <w:t> </w:t>
      </w:r>
      <w:r>
        <w:rPr/>
        <w:t>the Race Directive,</w:t>
      </w:r>
      <w:r>
        <w:rPr>
          <w:vertAlign w:val="superscript"/>
        </w:rPr>
        <w:t>139</w:t>
      </w:r>
      <w:r>
        <w:rPr>
          <w:vertAlign w:val="baseline"/>
        </w:rPr>
        <w:t> considering the EU law on victimisation,</w:t>
      </w:r>
      <w:r>
        <w:rPr>
          <w:vertAlign w:val="superscript"/>
        </w:rPr>
        <w:t>140</w:t>
      </w:r>
      <w:r>
        <w:rPr>
          <w:vertAlign w:val="baseline"/>
        </w:rPr>
        <w:t> considering any EU standards</w:t>
      </w:r>
      <w:r>
        <w:rPr>
          <w:spacing w:val="-1"/>
          <w:vertAlign w:val="baseline"/>
        </w:rPr>
        <w:t> </w:t>
      </w:r>
      <w:r>
        <w:rPr>
          <w:vertAlign w:val="baseline"/>
        </w:rPr>
        <w:t>on</w:t>
      </w:r>
      <w:r>
        <w:rPr>
          <w:spacing w:val="-1"/>
          <w:vertAlign w:val="baseline"/>
        </w:rPr>
        <w:t> </w:t>
      </w:r>
      <w:r>
        <w:rPr>
          <w:vertAlign w:val="baseline"/>
        </w:rPr>
        <w:t>equality bodies,</w:t>
      </w:r>
      <w:r>
        <w:rPr>
          <w:vertAlign w:val="superscript"/>
        </w:rPr>
        <w:t>141</w:t>
      </w:r>
      <w:r>
        <w:rPr>
          <w:spacing w:val="-1"/>
          <w:vertAlign w:val="baseline"/>
        </w:rPr>
        <w:t> </w:t>
      </w:r>
      <w:r>
        <w:rPr>
          <w:vertAlign w:val="baseline"/>
        </w:rPr>
        <w:t>and</w:t>
      </w:r>
      <w:r>
        <w:rPr>
          <w:spacing w:val="-1"/>
          <w:vertAlign w:val="baseline"/>
        </w:rPr>
        <w:t> </w:t>
      </w:r>
      <w:r>
        <w:rPr>
          <w:vertAlign w:val="baseline"/>
        </w:rPr>
        <w:t>ensuring real</w:t>
      </w:r>
      <w:r>
        <w:rPr>
          <w:spacing w:val="-1"/>
          <w:vertAlign w:val="baseline"/>
        </w:rPr>
        <w:t> </w:t>
      </w:r>
      <w:r>
        <w:rPr>
          <w:vertAlign w:val="baseline"/>
        </w:rPr>
        <w:t>and</w:t>
      </w:r>
      <w:r>
        <w:rPr>
          <w:spacing w:val="-1"/>
          <w:vertAlign w:val="baseline"/>
        </w:rPr>
        <w:t> </w:t>
      </w:r>
      <w:r>
        <w:rPr>
          <w:vertAlign w:val="baseline"/>
        </w:rPr>
        <w:t>effective judicial</w:t>
      </w:r>
      <w:r>
        <w:rPr>
          <w:spacing w:val="-1"/>
          <w:vertAlign w:val="baseline"/>
        </w:rPr>
        <w:t> </w:t>
      </w:r>
      <w:r>
        <w:rPr>
          <w:vertAlign w:val="baseline"/>
        </w:rPr>
        <w:t>protection of rights in line with the Charter.</w:t>
      </w:r>
      <w:r>
        <w:rPr>
          <w:vertAlign w:val="superscript"/>
        </w:rPr>
        <w:t>142</w:t>
      </w:r>
    </w:p>
    <w:p>
      <w:pPr>
        <w:pStyle w:val="BodyText"/>
        <w:spacing w:line="232" w:lineRule="auto" w:before="273"/>
        <w:ind w:left="1117" w:right="882"/>
      </w:pPr>
      <w:r>
        <w:rPr/>
        <w:t>The responses also include numerous other recommendations such as the need</w:t>
      </w:r>
      <w:r>
        <w:rPr>
          <w:spacing w:val="40"/>
        </w:rPr>
        <w:t> </w:t>
      </w:r>
      <w:r>
        <w:rPr/>
        <w:t>to introduce single equality legislation,</w:t>
      </w:r>
      <w:r>
        <w:rPr>
          <w:vertAlign w:val="superscript"/>
        </w:rPr>
        <w:t>143</w:t>
      </w:r>
      <w:r>
        <w:rPr>
          <w:vertAlign w:val="baseline"/>
        </w:rPr>
        <w:t> to consider combined or multiple intersectional</w:t>
      </w:r>
      <w:r>
        <w:rPr>
          <w:spacing w:val="-11"/>
          <w:vertAlign w:val="baseline"/>
        </w:rPr>
        <w:t> </w:t>
      </w:r>
      <w:r>
        <w:rPr>
          <w:vertAlign w:val="baseline"/>
        </w:rPr>
        <w:t>discrimination,</w:t>
      </w:r>
      <w:r>
        <w:rPr>
          <w:vertAlign w:val="superscript"/>
        </w:rPr>
        <w:t>144</w:t>
      </w:r>
      <w:r>
        <w:rPr>
          <w:spacing w:val="-11"/>
          <w:vertAlign w:val="baseline"/>
        </w:rPr>
        <w:t> </w:t>
      </w:r>
      <w:r>
        <w:rPr>
          <w:vertAlign w:val="baseline"/>
        </w:rPr>
        <w:t>and</w:t>
      </w:r>
      <w:r>
        <w:rPr>
          <w:spacing w:val="-11"/>
          <w:vertAlign w:val="baseline"/>
        </w:rPr>
        <w:t> </w:t>
      </w:r>
      <w:r>
        <w:rPr>
          <w:vertAlign w:val="baseline"/>
        </w:rPr>
        <w:t>to</w:t>
      </w:r>
      <w:r>
        <w:rPr>
          <w:spacing w:val="-11"/>
          <w:vertAlign w:val="baseline"/>
        </w:rPr>
        <w:t> </w:t>
      </w:r>
      <w:r>
        <w:rPr>
          <w:vertAlign w:val="baseline"/>
        </w:rPr>
        <w:t>have</w:t>
      </w:r>
      <w:r>
        <w:rPr>
          <w:spacing w:val="-10"/>
          <w:vertAlign w:val="baseline"/>
        </w:rPr>
        <w:t> </w:t>
      </w:r>
      <w:r>
        <w:rPr>
          <w:vertAlign w:val="baseline"/>
        </w:rPr>
        <w:t>an</w:t>
      </w:r>
      <w:r>
        <w:rPr>
          <w:spacing w:val="-11"/>
          <w:vertAlign w:val="baseline"/>
        </w:rPr>
        <w:t> </w:t>
      </w:r>
      <w:r>
        <w:rPr>
          <w:vertAlign w:val="baseline"/>
        </w:rPr>
        <w:t>inclusive</w:t>
      </w:r>
      <w:r>
        <w:rPr>
          <w:spacing w:val="-10"/>
          <w:vertAlign w:val="baseline"/>
        </w:rPr>
        <w:t> </w:t>
      </w:r>
      <w:r>
        <w:rPr>
          <w:vertAlign w:val="baseline"/>
        </w:rPr>
        <w:t>definition</w:t>
      </w:r>
      <w:r>
        <w:rPr>
          <w:spacing w:val="-11"/>
          <w:vertAlign w:val="baseline"/>
        </w:rPr>
        <w:t> </w:t>
      </w:r>
      <w:r>
        <w:rPr>
          <w:vertAlign w:val="baseline"/>
        </w:rPr>
        <w:t>of</w:t>
      </w:r>
      <w:r>
        <w:rPr>
          <w:spacing w:val="-11"/>
          <w:vertAlign w:val="baseline"/>
        </w:rPr>
        <w:t> </w:t>
      </w:r>
      <w:r>
        <w:rPr>
          <w:vertAlign w:val="baseline"/>
        </w:rPr>
        <w:t>racial</w:t>
      </w:r>
      <w:r>
        <w:rPr>
          <w:spacing w:val="-11"/>
          <w:vertAlign w:val="baseline"/>
        </w:rPr>
        <w:t> </w:t>
      </w:r>
      <w:r>
        <w:rPr>
          <w:vertAlign w:val="baseline"/>
        </w:rPr>
        <w:t>ground and specifically name caste and descent.</w:t>
      </w:r>
      <w:r>
        <w:rPr>
          <w:vertAlign w:val="superscript"/>
        </w:rPr>
        <w:t>145</w:t>
      </w:r>
    </w:p>
    <w:p>
      <w:pPr>
        <w:pStyle w:val="BodyText"/>
        <w:spacing w:line="232" w:lineRule="auto" w:before="277"/>
        <w:ind w:left="1117" w:right="1051"/>
      </w:pPr>
      <w:r>
        <w:rPr/>
        <w:t>Notwithstanding the numerous areas for improvement identified by the two Commissions, the consultation on the Race Relations (NI) Order is nevertheless to</w:t>
      </w:r>
      <w:r>
        <w:rPr>
          <w:spacing w:val="-6"/>
        </w:rPr>
        <w:t> </w:t>
      </w:r>
      <w:r>
        <w:rPr/>
        <w:t>be</w:t>
      </w:r>
      <w:r>
        <w:rPr>
          <w:spacing w:val="-5"/>
        </w:rPr>
        <w:t> </w:t>
      </w:r>
      <w:r>
        <w:rPr/>
        <w:t>lauded</w:t>
      </w:r>
      <w:r>
        <w:rPr>
          <w:spacing w:val="-6"/>
        </w:rPr>
        <w:t> </w:t>
      </w:r>
      <w:r>
        <w:rPr/>
        <w:t>as</w:t>
      </w:r>
      <w:r>
        <w:rPr>
          <w:spacing w:val="-6"/>
        </w:rPr>
        <w:t> </w:t>
      </w:r>
      <w:r>
        <w:rPr/>
        <w:t>a</w:t>
      </w:r>
      <w:r>
        <w:rPr>
          <w:spacing w:val="-6"/>
        </w:rPr>
        <w:t> </w:t>
      </w:r>
      <w:r>
        <w:rPr/>
        <w:t>departmental</w:t>
      </w:r>
      <w:r>
        <w:rPr>
          <w:spacing w:val="-6"/>
        </w:rPr>
        <w:t> </w:t>
      </w:r>
      <w:r>
        <w:rPr/>
        <w:t>initiative</w:t>
      </w:r>
      <w:r>
        <w:rPr>
          <w:spacing w:val="-5"/>
        </w:rPr>
        <w:t> </w:t>
      </w:r>
      <w:r>
        <w:rPr/>
        <w:t>to</w:t>
      </w:r>
      <w:r>
        <w:rPr>
          <w:spacing w:val="-6"/>
        </w:rPr>
        <w:t> </w:t>
      </w:r>
      <w:r>
        <w:rPr/>
        <w:t>make</w:t>
      </w:r>
      <w:r>
        <w:rPr>
          <w:spacing w:val="-5"/>
        </w:rPr>
        <w:t> </w:t>
      </w:r>
      <w:r>
        <w:rPr/>
        <w:t>progress</w:t>
      </w:r>
      <w:r>
        <w:rPr>
          <w:spacing w:val="-6"/>
        </w:rPr>
        <w:t> </w:t>
      </w:r>
      <w:r>
        <w:rPr/>
        <w:t>on</w:t>
      </w:r>
      <w:r>
        <w:rPr>
          <w:spacing w:val="-6"/>
        </w:rPr>
        <w:t> </w:t>
      </w:r>
      <w:r>
        <w:rPr/>
        <w:t>rights</w:t>
      </w:r>
      <w:r>
        <w:rPr>
          <w:spacing w:val="-6"/>
        </w:rPr>
        <w:t> </w:t>
      </w:r>
      <w:r>
        <w:rPr/>
        <w:t>and</w:t>
      </w:r>
      <w:r>
        <w:rPr>
          <w:spacing w:val="-6"/>
        </w:rPr>
        <w:t> </w:t>
      </w:r>
      <w:r>
        <w:rPr/>
        <w:t>equality issues. Other initiatives on rights and equality have been held up because of the lack of a functioning Assembly and Executive for most of the period since early </w:t>
      </w:r>
      <w:r>
        <w:rPr>
          <w:spacing w:val="-2"/>
        </w:rPr>
        <w:t>2022.</w:t>
      </w:r>
    </w:p>
    <w:p>
      <w:pPr>
        <w:pStyle w:val="BodyText"/>
        <w:rPr>
          <w:sz w:val="20"/>
        </w:rPr>
      </w:pPr>
    </w:p>
    <w:p>
      <w:pPr>
        <w:pStyle w:val="BodyText"/>
        <w:rPr>
          <w:sz w:val="20"/>
        </w:rPr>
      </w:pPr>
    </w:p>
    <w:p>
      <w:pPr>
        <w:pStyle w:val="BodyText"/>
        <w:spacing w:before="243"/>
        <w:rPr>
          <w:sz w:val="20"/>
        </w:rPr>
      </w:pPr>
      <w:r>
        <w:rPr/>
        <mc:AlternateContent>
          <mc:Choice Requires="wps">
            <w:drawing>
              <wp:anchor distT="0" distB="0" distL="0" distR="0" allowOverlap="1" layoutInCell="1" locked="0" behindDoc="1" simplePos="0" relativeHeight="487654400">
                <wp:simplePos x="0" y="0"/>
                <wp:positionH relativeFrom="page">
                  <wp:posOffset>900000</wp:posOffset>
                </wp:positionH>
                <wp:positionV relativeFrom="paragraph">
                  <wp:posOffset>324653</wp:posOffset>
                </wp:positionV>
                <wp:extent cx="6012180" cy="1270"/>
                <wp:effectExtent l="0" t="0" r="0" b="0"/>
                <wp:wrapTopAndBottom/>
                <wp:docPr id="364" name="Graphic 364"/>
                <wp:cNvGraphicFramePr>
                  <a:graphicFrameLocks/>
                </wp:cNvGraphicFramePr>
                <a:graphic>
                  <a:graphicData uri="http://schemas.microsoft.com/office/word/2010/wordprocessingShape">
                    <wps:wsp>
                      <wps:cNvPr id="364" name="Graphic 36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25.563248pt;width:473.4pt;height:.1pt;mso-position-horizontal-relative:page;mso-position-vertical-relative:paragraph;z-index:-15662080;mso-wrap-distance-left:0;mso-wrap-distance-right:0" id="docshape285" coordorigin="1417,511" coordsize="9468,0" path="m1417,511l10885,511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1039" w:hanging="567"/>
        <w:jc w:val="both"/>
        <w:rPr>
          <w:sz w:val="18"/>
        </w:rPr>
      </w:pPr>
      <w:r>
        <w:rPr>
          <w:sz w:val="18"/>
        </w:rPr>
        <w:t>This</w:t>
      </w:r>
      <w:r>
        <w:rPr>
          <w:spacing w:val="-2"/>
          <w:sz w:val="18"/>
        </w:rPr>
        <w:t> </w:t>
      </w:r>
      <w:r>
        <w:rPr>
          <w:sz w:val="18"/>
        </w:rPr>
        <w:t>is</w:t>
      </w:r>
      <w:r>
        <w:rPr>
          <w:spacing w:val="-2"/>
          <w:sz w:val="18"/>
        </w:rPr>
        <w:t> </w:t>
      </w:r>
      <w:r>
        <w:rPr>
          <w:sz w:val="18"/>
        </w:rPr>
        <w:t>addressed</w:t>
      </w:r>
      <w:r>
        <w:rPr>
          <w:spacing w:val="-2"/>
          <w:sz w:val="18"/>
        </w:rPr>
        <w:t> </w:t>
      </w:r>
      <w:r>
        <w:rPr>
          <w:sz w:val="18"/>
        </w:rPr>
        <w:t>in</w:t>
      </w:r>
      <w:r>
        <w:rPr>
          <w:spacing w:val="-2"/>
          <w:sz w:val="18"/>
        </w:rPr>
        <w:t> </w:t>
      </w:r>
      <w:r>
        <w:rPr>
          <w:sz w:val="18"/>
        </w:rPr>
        <w:t>the</w:t>
      </w:r>
      <w:r>
        <w:rPr>
          <w:spacing w:val="-1"/>
          <w:sz w:val="18"/>
        </w:rPr>
        <w:t> </w:t>
      </w:r>
      <w:r>
        <w:rPr>
          <w:sz w:val="18"/>
        </w:rPr>
        <w:t>summary</w:t>
      </w:r>
      <w:r>
        <w:rPr>
          <w:spacing w:val="-1"/>
          <w:sz w:val="18"/>
        </w:rPr>
        <w:t> </w:t>
      </w:r>
      <w:r>
        <w:rPr>
          <w:sz w:val="18"/>
        </w:rPr>
        <w:t>of</w:t>
      </w:r>
      <w:r>
        <w:rPr>
          <w:spacing w:val="-2"/>
          <w:sz w:val="18"/>
        </w:rPr>
        <w:t> </w:t>
      </w:r>
      <w:r>
        <w:rPr>
          <w:sz w:val="18"/>
        </w:rPr>
        <w:t>responses</w:t>
      </w:r>
      <w:r>
        <w:rPr>
          <w:spacing w:val="-2"/>
          <w:sz w:val="18"/>
        </w:rPr>
        <w:t> </w:t>
      </w:r>
      <w:r>
        <w:rPr>
          <w:sz w:val="18"/>
        </w:rPr>
        <w:t>which</w:t>
      </w:r>
      <w:r>
        <w:rPr>
          <w:spacing w:val="-2"/>
          <w:sz w:val="18"/>
        </w:rPr>
        <w:t> </w:t>
      </w:r>
      <w:r>
        <w:rPr>
          <w:sz w:val="18"/>
        </w:rPr>
        <w:t>refers</w:t>
      </w:r>
      <w:r>
        <w:rPr>
          <w:spacing w:val="-2"/>
          <w:sz w:val="18"/>
        </w:rPr>
        <w:t> </w:t>
      </w:r>
      <w:r>
        <w:rPr>
          <w:sz w:val="18"/>
        </w:rPr>
        <w:t>to</w:t>
      </w:r>
      <w:r>
        <w:rPr>
          <w:spacing w:val="-2"/>
          <w:sz w:val="18"/>
        </w:rPr>
        <w:t> </w:t>
      </w:r>
      <w:r>
        <w:rPr>
          <w:sz w:val="18"/>
        </w:rPr>
        <w:t>processes</w:t>
      </w:r>
      <w:r>
        <w:rPr>
          <w:spacing w:val="-2"/>
          <w:sz w:val="18"/>
        </w:rPr>
        <w:t> </w:t>
      </w:r>
      <w:r>
        <w:rPr>
          <w:sz w:val="18"/>
        </w:rPr>
        <w:t>for</w:t>
      </w:r>
      <w:r>
        <w:rPr>
          <w:spacing w:val="-1"/>
          <w:sz w:val="18"/>
        </w:rPr>
        <w:t> </w:t>
      </w:r>
      <w:r>
        <w:rPr>
          <w:sz w:val="18"/>
        </w:rPr>
        <w:t>monitoring</w:t>
      </w:r>
      <w:r>
        <w:rPr>
          <w:spacing w:val="-1"/>
          <w:sz w:val="18"/>
        </w:rPr>
        <w:t> </w:t>
      </w:r>
      <w:r>
        <w:rPr>
          <w:sz w:val="18"/>
        </w:rPr>
        <w:t>compliance</w:t>
      </w:r>
      <w:r>
        <w:rPr>
          <w:spacing w:val="-1"/>
          <w:sz w:val="18"/>
        </w:rPr>
        <w:t> </w:t>
      </w:r>
      <w:r>
        <w:rPr>
          <w:sz w:val="18"/>
        </w:rPr>
        <w:t>with</w:t>
      </w:r>
      <w:r>
        <w:rPr>
          <w:spacing w:val="-2"/>
          <w:sz w:val="18"/>
        </w:rPr>
        <w:t> </w:t>
      </w:r>
      <w:r>
        <w:rPr>
          <w:sz w:val="18"/>
        </w:rPr>
        <w:t>the</w:t>
      </w:r>
      <w:r>
        <w:rPr>
          <w:spacing w:val="-1"/>
          <w:sz w:val="18"/>
        </w:rPr>
        <w:t> </w:t>
      </w:r>
      <w:r>
        <w:rPr>
          <w:sz w:val="18"/>
        </w:rPr>
        <w:t>Windsor Framework:</w:t>
      </w:r>
      <w:r>
        <w:rPr>
          <w:spacing w:val="-6"/>
          <w:sz w:val="18"/>
        </w:rPr>
        <w:t> </w:t>
      </w:r>
      <w:r>
        <w:rPr>
          <w:sz w:val="18"/>
        </w:rPr>
        <w:t>The</w:t>
      </w:r>
      <w:r>
        <w:rPr>
          <w:spacing w:val="-6"/>
          <w:sz w:val="18"/>
        </w:rPr>
        <w:t> </w:t>
      </w:r>
      <w:r>
        <w:rPr>
          <w:sz w:val="18"/>
        </w:rPr>
        <w:t>Executive</w:t>
      </w:r>
      <w:r>
        <w:rPr>
          <w:spacing w:val="-6"/>
          <w:sz w:val="18"/>
        </w:rPr>
        <w:t> </w:t>
      </w:r>
      <w:r>
        <w:rPr>
          <w:sz w:val="18"/>
        </w:rPr>
        <w:t>Office,</w:t>
      </w:r>
      <w:r>
        <w:rPr>
          <w:spacing w:val="-7"/>
          <w:sz w:val="18"/>
        </w:rPr>
        <w:t> </w:t>
      </w:r>
      <w:hyperlink r:id="rId51">
        <w:r>
          <w:rPr>
            <w:color w:val="1D71B8"/>
            <w:sz w:val="18"/>
            <w:u w:val="single" w:color="1D71B8"/>
          </w:rPr>
          <w:t>Review</w:t>
        </w:r>
        <w:r>
          <w:rPr>
            <w:color w:val="1D71B8"/>
            <w:spacing w:val="-6"/>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Current</w:t>
        </w:r>
        <w:r>
          <w:rPr>
            <w:color w:val="1D71B8"/>
            <w:spacing w:val="-6"/>
            <w:sz w:val="18"/>
            <w:u w:val="single" w:color="1D71B8"/>
          </w:rPr>
          <w:t> </w:t>
        </w:r>
        <w:r>
          <w:rPr>
            <w:color w:val="1D71B8"/>
            <w:sz w:val="18"/>
            <w:u w:val="single" w:color="1D71B8"/>
          </w:rPr>
          <w:t>Race</w:t>
        </w:r>
        <w:r>
          <w:rPr>
            <w:color w:val="1D71B8"/>
            <w:spacing w:val="-6"/>
            <w:sz w:val="18"/>
            <w:u w:val="single" w:color="1D71B8"/>
          </w:rPr>
          <w:t> </w:t>
        </w:r>
        <w:r>
          <w:rPr>
            <w:color w:val="1D71B8"/>
            <w:sz w:val="18"/>
            <w:u w:val="single" w:color="1D71B8"/>
          </w:rPr>
          <w:t>Relations</w:t>
        </w:r>
        <w:r>
          <w:rPr>
            <w:color w:val="1D71B8"/>
            <w:spacing w:val="-6"/>
            <w:sz w:val="18"/>
            <w:u w:val="single" w:color="1D71B8"/>
          </w:rPr>
          <w:t> </w:t>
        </w:r>
        <w:r>
          <w:rPr>
            <w:color w:val="1D71B8"/>
            <w:sz w:val="18"/>
            <w:u w:val="single" w:color="1D71B8"/>
          </w:rPr>
          <w:t>(NI)</w:t>
        </w:r>
        <w:r>
          <w:rPr>
            <w:color w:val="1D71B8"/>
            <w:spacing w:val="-6"/>
            <w:sz w:val="18"/>
            <w:u w:val="single" w:color="1D71B8"/>
          </w:rPr>
          <w:t> </w:t>
        </w:r>
        <w:r>
          <w:rPr>
            <w:color w:val="1D71B8"/>
            <w:sz w:val="18"/>
            <w:u w:val="single" w:color="1D71B8"/>
          </w:rPr>
          <w:t>Order</w:t>
        </w:r>
        <w:r>
          <w:rPr>
            <w:color w:val="1D71B8"/>
            <w:spacing w:val="-6"/>
            <w:sz w:val="18"/>
            <w:u w:val="single" w:color="1D71B8"/>
          </w:rPr>
          <w:t> </w:t>
        </w:r>
        <w:r>
          <w:rPr>
            <w:color w:val="1D71B8"/>
            <w:sz w:val="18"/>
            <w:u w:val="single" w:color="1D71B8"/>
          </w:rPr>
          <w:t>1997</w:t>
        </w:r>
        <w:r>
          <w:rPr>
            <w:color w:val="1D71B8"/>
            <w:spacing w:val="-6"/>
            <w:sz w:val="18"/>
            <w:u w:val="single" w:color="1D71B8"/>
          </w:rPr>
          <w:t> </w:t>
        </w:r>
        <w:r>
          <w:rPr>
            <w:color w:val="1D71B8"/>
            <w:sz w:val="18"/>
            <w:u w:val="single" w:color="1D71B8"/>
          </w:rPr>
          <w:t>Consultation</w:t>
        </w:r>
        <w:r>
          <w:rPr>
            <w:color w:val="1D71B8"/>
            <w:spacing w:val="-6"/>
            <w:sz w:val="18"/>
            <w:u w:val="single" w:color="1D71B8"/>
          </w:rPr>
          <w:t> </w:t>
        </w:r>
        <w:r>
          <w:rPr>
            <w:color w:val="1D71B8"/>
            <w:sz w:val="18"/>
            <w:u w:val="single" w:color="1D71B8"/>
          </w:rPr>
          <w:t>Response</w:t>
        </w:r>
        <w:r>
          <w:rPr>
            <w:color w:val="1D71B8"/>
            <w:spacing w:val="-6"/>
            <w:sz w:val="18"/>
            <w:u w:val="single" w:color="1D71B8"/>
          </w:rPr>
          <w:t> </w:t>
        </w:r>
        <w:r>
          <w:rPr>
            <w:color w:val="1D71B8"/>
            <w:sz w:val="18"/>
            <w:u w:val="single" w:color="1D71B8"/>
          </w:rPr>
          <w:t>Report</w:t>
        </w:r>
      </w:hyperlink>
      <w:r>
        <w:rPr>
          <w:color w:val="1D71B8"/>
          <w:sz w:val="18"/>
          <w:u w:val="none"/>
        </w:rPr>
        <w:t> </w:t>
      </w:r>
      <w:r>
        <w:rPr>
          <w:sz w:val="18"/>
          <w:u w:val="none"/>
        </w:rPr>
        <w:t>(2024)</w:t>
      </w:r>
      <w:r>
        <w:rPr>
          <w:spacing w:val="-2"/>
          <w:sz w:val="18"/>
          <w:u w:val="none"/>
        </w:rPr>
        <w:t> </w:t>
      </w:r>
      <w:r>
        <w:rPr>
          <w:sz w:val="18"/>
          <w:u w:val="none"/>
        </w:rPr>
        <w:t>77.</w:t>
      </w:r>
    </w:p>
    <w:p>
      <w:pPr>
        <w:pStyle w:val="ListParagraph"/>
        <w:numPr>
          <w:ilvl w:val="0"/>
          <w:numId w:val="9"/>
        </w:numPr>
        <w:tabs>
          <w:tab w:pos="1684" w:val="left" w:leader="none"/>
        </w:tabs>
        <w:spacing w:line="240" w:lineRule="auto" w:before="1" w:after="0"/>
        <w:ind w:left="1684" w:right="743" w:hanging="567"/>
        <w:jc w:val="both"/>
        <w:rPr>
          <w:sz w:val="18"/>
        </w:rPr>
      </w:pPr>
      <w:r>
        <w:rPr>
          <w:sz w:val="18"/>
        </w:rPr>
        <w:t>ECNI</w:t>
      </w:r>
      <w:r>
        <w:rPr>
          <w:spacing w:val="-4"/>
          <w:sz w:val="18"/>
        </w:rPr>
        <w:t> </w:t>
      </w:r>
      <w:r>
        <w:rPr>
          <w:color w:val="1D71B8"/>
          <w:sz w:val="18"/>
          <w:u w:val="single" w:color="1D71B8"/>
        </w:rPr>
        <w:t>Consultation</w:t>
      </w:r>
      <w:r>
        <w:rPr>
          <w:color w:val="1D71B8"/>
          <w:spacing w:val="-5"/>
          <w:sz w:val="18"/>
          <w:u w:val="single" w:color="1D71B8"/>
        </w:rPr>
        <w:t> </w:t>
      </w:r>
      <w:r>
        <w:rPr>
          <w:color w:val="1D71B8"/>
          <w:sz w:val="18"/>
          <w:u w:val="single" w:color="1D71B8"/>
        </w:rPr>
        <w:t>Response:</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Executive</w:t>
      </w:r>
      <w:r>
        <w:rPr>
          <w:color w:val="1D71B8"/>
          <w:spacing w:val="-4"/>
          <w:sz w:val="18"/>
          <w:u w:val="single" w:color="1D71B8"/>
        </w:rPr>
        <w:t> </w:t>
      </w:r>
      <w:r>
        <w:rPr>
          <w:color w:val="1D71B8"/>
          <w:sz w:val="18"/>
          <w:u w:val="single" w:color="1D71B8"/>
        </w:rPr>
        <w:t>Office:</w:t>
      </w:r>
      <w:r>
        <w:rPr>
          <w:color w:val="1D71B8"/>
          <w:spacing w:val="-4"/>
          <w:sz w:val="18"/>
          <w:u w:val="single" w:color="1D71B8"/>
        </w:rPr>
        <w:t> </w:t>
      </w:r>
      <w:r>
        <w:rPr>
          <w:color w:val="1D71B8"/>
          <w:sz w:val="18"/>
          <w:u w:val="single" w:color="1D71B8"/>
        </w:rPr>
        <w:t>Consultation</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Review</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Race</w:t>
      </w:r>
      <w:r>
        <w:rPr>
          <w:color w:val="1D71B8"/>
          <w:spacing w:val="-4"/>
          <w:sz w:val="18"/>
          <w:u w:val="single" w:color="1D71B8"/>
        </w:rPr>
        <w:t> </w:t>
      </w:r>
      <w:r>
        <w:rPr>
          <w:color w:val="1D71B8"/>
          <w:sz w:val="18"/>
          <w:u w:val="single" w:color="1D71B8"/>
        </w:rPr>
        <w:t>Relations</w:t>
      </w:r>
      <w:r>
        <w:rPr>
          <w:color w:val="1D71B8"/>
          <w:spacing w:val="-5"/>
          <w:sz w:val="18"/>
          <w:u w:val="single" w:color="1D71B8"/>
        </w:rPr>
        <w:t> </w:t>
      </w:r>
      <w:r>
        <w:rPr>
          <w:color w:val="1D71B8"/>
          <w:sz w:val="18"/>
          <w:u w:val="single" w:color="1D71B8"/>
        </w:rPr>
        <w:t>(NI)</w:t>
      </w:r>
      <w:r>
        <w:rPr>
          <w:color w:val="1D71B8"/>
          <w:spacing w:val="-5"/>
          <w:sz w:val="18"/>
          <w:u w:val="single" w:color="1D71B8"/>
        </w:rPr>
        <w:t> </w:t>
      </w:r>
      <w:r>
        <w:rPr>
          <w:color w:val="1D71B8"/>
          <w:sz w:val="18"/>
          <w:u w:val="single" w:color="1D71B8"/>
        </w:rPr>
        <w:t>Order</w:t>
      </w:r>
      <w:r>
        <w:rPr>
          <w:color w:val="1D71B8"/>
          <w:spacing w:val="-4"/>
          <w:sz w:val="18"/>
          <w:u w:val="single" w:color="1D71B8"/>
        </w:rPr>
        <w:t> </w:t>
      </w:r>
      <w:r>
        <w:rPr>
          <w:color w:val="1D71B8"/>
          <w:sz w:val="18"/>
          <w:u w:val="single" w:color="1D71B8"/>
        </w:rPr>
        <w:t>1997</w:t>
      </w:r>
      <w:r>
        <w:rPr>
          <w:color w:val="1D71B8"/>
          <w:spacing w:val="-8"/>
          <w:sz w:val="18"/>
          <w:u w:val="none"/>
        </w:rPr>
        <w:t> </w:t>
      </w:r>
      <w:r>
        <w:rPr>
          <w:sz w:val="18"/>
          <w:u w:val="none"/>
        </w:rPr>
        <w:t>(June 2023)</w:t>
      </w:r>
      <w:r>
        <w:rPr>
          <w:spacing w:val="-1"/>
          <w:sz w:val="18"/>
          <w:u w:val="none"/>
        </w:rPr>
        <w:t> </w:t>
      </w:r>
      <w:r>
        <w:rPr>
          <w:sz w:val="18"/>
          <w:u w:val="none"/>
        </w:rPr>
        <w:t>3-4; NIHRC, </w:t>
      </w:r>
      <w:r>
        <w:rPr>
          <w:color w:val="1D71B8"/>
          <w:sz w:val="18"/>
          <w:u w:val="single" w:color="1D71B8"/>
        </w:rPr>
        <w:t>Response to</w:t>
      </w:r>
      <w:r>
        <w:rPr>
          <w:color w:val="1D71B8"/>
          <w:spacing w:val="-1"/>
          <w:sz w:val="18"/>
          <w:u w:val="single" w:color="1D71B8"/>
        </w:rPr>
        <w:t> </w:t>
      </w:r>
      <w:r>
        <w:rPr>
          <w:color w:val="1D71B8"/>
          <w:sz w:val="18"/>
          <w:u w:val="single" w:color="1D71B8"/>
        </w:rPr>
        <w:t>the European</w:t>
      </w:r>
      <w:r>
        <w:rPr>
          <w:color w:val="1D71B8"/>
          <w:spacing w:val="-1"/>
          <w:sz w:val="18"/>
          <w:u w:val="single" w:color="1D71B8"/>
        </w:rPr>
        <w:t> </w:t>
      </w:r>
      <w:r>
        <w:rPr>
          <w:color w:val="1D71B8"/>
          <w:sz w:val="18"/>
          <w:u w:val="single" w:color="1D71B8"/>
        </w:rPr>
        <w:t>Commission</w:t>
      </w:r>
      <w:r>
        <w:rPr>
          <w:color w:val="1D71B8"/>
          <w:spacing w:val="-1"/>
          <w:sz w:val="18"/>
          <w:u w:val="single" w:color="1D71B8"/>
        </w:rPr>
        <w:t> </w:t>
      </w:r>
      <w:r>
        <w:rPr>
          <w:color w:val="1D71B8"/>
          <w:sz w:val="18"/>
          <w:u w:val="single" w:color="1D71B8"/>
        </w:rPr>
        <w:t>Consultation</w:t>
      </w:r>
      <w:r>
        <w:rPr>
          <w:color w:val="1D71B8"/>
          <w:spacing w:val="-1"/>
          <w:sz w:val="18"/>
          <w:u w:val="single" w:color="1D71B8"/>
        </w:rPr>
        <w:t> </w:t>
      </w:r>
      <w:r>
        <w:rPr>
          <w:color w:val="1D71B8"/>
          <w:sz w:val="18"/>
          <w:u w:val="single" w:color="1D71B8"/>
        </w:rPr>
        <w:t>on</w:t>
      </w:r>
      <w:r>
        <w:rPr>
          <w:color w:val="1D71B8"/>
          <w:spacing w:val="-1"/>
          <w:sz w:val="18"/>
          <w:u w:val="single" w:color="1D71B8"/>
        </w:rPr>
        <w:t> </w:t>
      </w:r>
      <w:r>
        <w:rPr>
          <w:color w:val="1D71B8"/>
          <w:sz w:val="18"/>
          <w:u w:val="single" w:color="1D71B8"/>
        </w:rPr>
        <w:t>the Racial</w:t>
      </w:r>
      <w:r>
        <w:rPr>
          <w:color w:val="1D71B8"/>
          <w:spacing w:val="-1"/>
          <w:sz w:val="18"/>
          <w:u w:val="single" w:color="1D71B8"/>
        </w:rPr>
        <w:t> </w:t>
      </w:r>
      <w:r>
        <w:rPr>
          <w:color w:val="1D71B8"/>
          <w:sz w:val="18"/>
          <w:u w:val="single" w:color="1D71B8"/>
        </w:rPr>
        <w:t>Equality Directive</w:t>
      </w:r>
      <w:r>
        <w:rPr>
          <w:color w:val="1D71B8"/>
          <w:spacing w:val="-2"/>
          <w:sz w:val="18"/>
          <w:u w:val="none"/>
        </w:rPr>
        <w:t> </w:t>
      </w:r>
      <w:r>
        <w:rPr>
          <w:sz w:val="18"/>
          <w:u w:val="none"/>
        </w:rPr>
        <w:t>(12 April</w:t>
      </w:r>
      <w:r>
        <w:rPr>
          <w:spacing w:val="-1"/>
          <w:sz w:val="18"/>
          <w:u w:val="none"/>
        </w:rPr>
        <w:t> </w:t>
      </w:r>
      <w:r>
        <w:rPr>
          <w:sz w:val="18"/>
          <w:u w:val="none"/>
        </w:rPr>
        <w:t>2022)</w:t>
      </w:r>
      <w:r>
        <w:rPr>
          <w:spacing w:val="-1"/>
          <w:sz w:val="18"/>
          <w:u w:val="none"/>
        </w:rPr>
        <w:t> </w:t>
      </w:r>
      <w:r>
        <w:rPr>
          <w:sz w:val="18"/>
          <w:u w:val="none"/>
        </w:rPr>
        <w:t>13.</w:t>
      </w:r>
    </w:p>
    <w:p>
      <w:pPr>
        <w:pStyle w:val="ListParagraph"/>
        <w:numPr>
          <w:ilvl w:val="0"/>
          <w:numId w:val="9"/>
        </w:numPr>
        <w:tabs>
          <w:tab w:pos="1683" w:val="left" w:leader="none"/>
        </w:tabs>
        <w:spacing w:line="240" w:lineRule="auto" w:before="1" w:after="0"/>
        <w:ind w:left="1683" w:right="0" w:hanging="566"/>
        <w:jc w:val="both"/>
        <w:rPr>
          <w:sz w:val="18"/>
        </w:rPr>
      </w:pPr>
      <w:r>
        <w:rPr>
          <w:sz w:val="18"/>
        </w:rPr>
        <w:t>NIHRC,</w:t>
      </w:r>
      <w:r>
        <w:rPr>
          <w:spacing w:val="-4"/>
          <w:sz w:val="18"/>
        </w:rPr>
        <w:t> </w:t>
      </w:r>
      <w:r>
        <w:rPr>
          <w:color w:val="1D71B8"/>
          <w:sz w:val="18"/>
          <w:u w:val="single" w:color="1D71B8"/>
        </w:rPr>
        <w:t>Response</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European</w:t>
      </w:r>
      <w:r>
        <w:rPr>
          <w:color w:val="1D71B8"/>
          <w:spacing w:val="-5"/>
          <w:sz w:val="18"/>
          <w:u w:val="single" w:color="1D71B8"/>
        </w:rPr>
        <w:t> </w:t>
      </w:r>
      <w:r>
        <w:rPr>
          <w:color w:val="1D71B8"/>
          <w:sz w:val="18"/>
          <w:u w:val="single" w:color="1D71B8"/>
        </w:rPr>
        <w:t>Commission</w:t>
      </w:r>
      <w:r>
        <w:rPr>
          <w:color w:val="1D71B8"/>
          <w:spacing w:val="-5"/>
          <w:sz w:val="18"/>
          <w:u w:val="single" w:color="1D71B8"/>
        </w:rPr>
        <w:t> </w:t>
      </w:r>
      <w:r>
        <w:rPr>
          <w:color w:val="1D71B8"/>
          <w:sz w:val="18"/>
          <w:u w:val="single" w:color="1D71B8"/>
        </w:rPr>
        <w:t>Consultation</w:t>
      </w:r>
      <w:r>
        <w:rPr>
          <w:color w:val="1D71B8"/>
          <w:spacing w:val="-5"/>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Racial</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Directive</w:t>
      </w:r>
      <w:r>
        <w:rPr>
          <w:color w:val="1D71B8"/>
          <w:spacing w:val="-5"/>
          <w:sz w:val="18"/>
          <w:u w:val="none"/>
        </w:rPr>
        <w:t> </w:t>
      </w:r>
      <w:r>
        <w:rPr>
          <w:sz w:val="18"/>
          <w:u w:val="none"/>
        </w:rPr>
        <w:t>(12</w:t>
      </w:r>
      <w:r>
        <w:rPr>
          <w:spacing w:val="-4"/>
          <w:sz w:val="18"/>
          <w:u w:val="none"/>
        </w:rPr>
        <w:t> </w:t>
      </w:r>
      <w:r>
        <w:rPr>
          <w:sz w:val="18"/>
          <w:u w:val="none"/>
        </w:rPr>
        <w:t>April</w:t>
      </w:r>
      <w:r>
        <w:rPr>
          <w:spacing w:val="-5"/>
          <w:sz w:val="18"/>
          <w:u w:val="none"/>
        </w:rPr>
        <w:t> </w:t>
      </w:r>
      <w:r>
        <w:rPr>
          <w:sz w:val="18"/>
          <w:u w:val="none"/>
        </w:rPr>
        <w:t>2022)</w:t>
      </w:r>
      <w:r>
        <w:rPr>
          <w:spacing w:val="-5"/>
          <w:sz w:val="18"/>
          <w:u w:val="none"/>
        </w:rPr>
        <w:t> 18.</w:t>
      </w:r>
    </w:p>
    <w:p>
      <w:pPr>
        <w:pStyle w:val="ListParagraph"/>
        <w:numPr>
          <w:ilvl w:val="0"/>
          <w:numId w:val="9"/>
        </w:numPr>
        <w:tabs>
          <w:tab w:pos="1684" w:val="left" w:leader="none"/>
        </w:tabs>
        <w:spacing w:line="240" w:lineRule="auto" w:before="0" w:after="0"/>
        <w:ind w:left="1684" w:right="1025" w:hanging="567"/>
        <w:jc w:val="left"/>
        <w:rPr>
          <w:sz w:val="18"/>
        </w:rPr>
      </w:pPr>
      <w:r>
        <w:rPr>
          <w:sz w:val="18"/>
        </w:rPr>
        <w:t>ECNI, </w:t>
      </w:r>
      <w:r>
        <w:rPr>
          <w:color w:val="1D71B8"/>
          <w:sz w:val="18"/>
          <w:u w:val="single" w:color="1D71B8"/>
        </w:rPr>
        <w:t>Consultation Response: The Executive Office: Consultation on the Review of the Race Relations (NI) Order 1997</w:t>
      </w:r>
      <w:r>
        <w:rPr>
          <w:color w:val="1D71B8"/>
          <w:sz w:val="18"/>
          <w:u w:val="none"/>
        </w:rPr>
        <w:t> </w:t>
      </w:r>
      <w:r>
        <w:rPr>
          <w:sz w:val="18"/>
          <w:u w:val="none"/>
        </w:rPr>
        <w:t>(June</w:t>
      </w:r>
      <w:r>
        <w:rPr>
          <w:spacing w:val="-3"/>
          <w:sz w:val="18"/>
          <w:u w:val="none"/>
        </w:rPr>
        <w:t> </w:t>
      </w:r>
      <w:r>
        <w:rPr>
          <w:sz w:val="18"/>
          <w:u w:val="none"/>
        </w:rPr>
        <w:t>2023)</w:t>
      </w:r>
      <w:r>
        <w:rPr>
          <w:spacing w:val="-4"/>
          <w:sz w:val="18"/>
          <w:u w:val="none"/>
        </w:rPr>
        <w:t> </w:t>
      </w:r>
      <w:r>
        <w:rPr>
          <w:sz w:val="18"/>
          <w:u w:val="none"/>
        </w:rPr>
        <w:t>58,</w:t>
      </w:r>
      <w:r>
        <w:rPr>
          <w:spacing w:val="-3"/>
          <w:sz w:val="18"/>
          <w:u w:val="none"/>
        </w:rPr>
        <w:t> </w:t>
      </w:r>
      <w:r>
        <w:rPr>
          <w:sz w:val="18"/>
          <w:u w:val="none"/>
        </w:rPr>
        <w:t>72-77;</w:t>
      </w:r>
      <w:r>
        <w:rPr>
          <w:spacing w:val="-3"/>
          <w:sz w:val="18"/>
          <w:u w:val="none"/>
        </w:rPr>
        <w:t> </w:t>
      </w:r>
      <w:r>
        <w:rPr>
          <w:sz w:val="18"/>
          <w:u w:val="none"/>
        </w:rPr>
        <w:t>NIHRC,</w:t>
      </w:r>
      <w:r>
        <w:rPr>
          <w:spacing w:val="-4"/>
          <w:sz w:val="18"/>
          <w:u w:val="none"/>
        </w:rPr>
        <w:t> </w:t>
      </w:r>
      <w:r>
        <w:rPr>
          <w:color w:val="1D71B8"/>
          <w:sz w:val="18"/>
          <w:u w:val="single" w:color="1D71B8"/>
        </w:rPr>
        <w:t>Response</w:t>
      </w:r>
      <w:r>
        <w:rPr>
          <w:color w:val="1D71B8"/>
          <w:spacing w:val="-3"/>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European</w:t>
      </w:r>
      <w:r>
        <w:rPr>
          <w:color w:val="1D71B8"/>
          <w:spacing w:val="-4"/>
          <w:sz w:val="18"/>
          <w:u w:val="single" w:color="1D71B8"/>
        </w:rPr>
        <w:t> </w:t>
      </w:r>
      <w:r>
        <w:rPr>
          <w:color w:val="1D71B8"/>
          <w:sz w:val="18"/>
          <w:u w:val="single" w:color="1D71B8"/>
        </w:rPr>
        <w:t>Commission</w:t>
      </w:r>
      <w:r>
        <w:rPr>
          <w:color w:val="1D71B8"/>
          <w:spacing w:val="-4"/>
          <w:sz w:val="18"/>
          <w:u w:val="single" w:color="1D71B8"/>
        </w:rPr>
        <w:t> </w:t>
      </w:r>
      <w:r>
        <w:rPr>
          <w:color w:val="1D71B8"/>
          <w:sz w:val="18"/>
          <w:u w:val="single" w:color="1D71B8"/>
        </w:rPr>
        <w:t>Consultation</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Racial</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Directive</w:t>
      </w:r>
      <w:r>
        <w:rPr>
          <w:color w:val="1D71B8"/>
          <w:spacing w:val="-5"/>
          <w:sz w:val="18"/>
          <w:u w:val="none"/>
        </w:rPr>
        <w:t> </w:t>
      </w:r>
      <w:r>
        <w:rPr>
          <w:sz w:val="18"/>
          <w:u w:val="none"/>
        </w:rPr>
        <w:t>(12 April 2022) 30.</w:t>
      </w:r>
    </w:p>
    <w:p>
      <w:pPr>
        <w:pStyle w:val="ListParagraph"/>
        <w:numPr>
          <w:ilvl w:val="0"/>
          <w:numId w:val="9"/>
        </w:numPr>
        <w:tabs>
          <w:tab w:pos="1684" w:val="left" w:leader="none"/>
        </w:tabs>
        <w:spacing w:line="240" w:lineRule="auto" w:before="1" w:after="0"/>
        <w:ind w:left="1684" w:right="1128" w:hanging="567"/>
        <w:jc w:val="both"/>
        <w:rPr>
          <w:sz w:val="18"/>
        </w:rPr>
      </w:pPr>
      <w:r>
        <w:rPr>
          <w:sz w:val="18"/>
        </w:rPr>
        <w:t>ECNI,</w:t>
      </w:r>
      <w:r>
        <w:rPr>
          <w:spacing w:val="-6"/>
          <w:sz w:val="18"/>
        </w:rPr>
        <w:t> </w:t>
      </w:r>
      <w:r>
        <w:rPr>
          <w:color w:val="1D71B8"/>
          <w:sz w:val="18"/>
          <w:u w:val="single" w:color="1D71B8"/>
        </w:rPr>
        <w:t>Consultation</w:t>
      </w:r>
      <w:r>
        <w:rPr>
          <w:color w:val="1D71B8"/>
          <w:spacing w:val="-6"/>
          <w:sz w:val="18"/>
          <w:u w:val="single" w:color="1D71B8"/>
        </w:rPr>
        <w:t> </w:t>
      </w:r>
      <w:r>
        <w:rPr>
          <w:color w:val="1D71B8"/>
          <w:sz w:val="18"/>
          <w:u w:val="single" w:color="1D71B8"/>
        </w:rPr>
        <w:t>Response:</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Executive</w:t>
      </w:r>
      <w:r>
        <w:rPr>
          <w:color w:val="1D71B8"/>
          <w:spacing w:val="-5"/>
          <w:sz w:val="18"/>
          <w:u w:val="single" w:color="1D71B8"/>
        </w:rPr>
        <w:t> </w:t>
      </w:r>
      <w:r>
        <w:rPr>
          <w:color w:val="1D71B8"/>
          <w:sz w:val="18"/>
          <w:u w:val="single" w:color="1D71B8"/>
        </w:rPr>
        <w:t>Office:</w:t>
      </w:r>
      <w:r>
        <w:rPr>
          <w:color w:val="1D71B8"/>
          <w:spacing w:val="-5"/>
          <w:sz w:val="18"/>
          <w:u w:val="single" w:color="1D71B8"/>
        </w:rPr>
        <w:t> </w:t>
      </w:r>
      <w:r>
        <w:rPr>
          <w:color w:val="1D71B8"/>
          <w:sz w:val="18"/>
          <w:u w:val="single" w:color="1D71B8"/>
        </w:rPr>
        <w:t>Consultation</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Review</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Race</w:t>
      </w:r>
      <w:r>
        <w:rPr>
          <w:color w:val="1D71B8"/>
          <w:spacing w:val="-5"/>
          <w:sz w:val="18"/>
          <w:u w:val="single" w:color="1D71B8"/>
        </w:rPr>
        <w:t> </w:t>
      </w:r>
      <w:r>
        <w:rPr>
          <w:color w:val="1D71B8"/>
          <w:sz w:val="18"/>
          <w:u w:val="single" w:color="1D71B8"/>
        </w:rPr>
        <w:t>Relations</w:t>
      </w:r>
      <w:r>
        <w:rPr>
          <w:color w:val="1D71B8"/>
          <w:spacing w:val="-6"/>
          <w:sz w:val="18"/>
          <w:u w:val="single" w:color="1D71B8"/>
        </w:rPr>
        <w:t> </w:t>
      </w:r>
      <w:r>
        <w:rPr>
          <w:color w:val="1D71B8"/>
          <w:sz w:val="18"/>
          <w:u w:val="single" w:color="1D71B8"/>
        </w:rPr>
        <w:t>(NI)</w:t>
      </w:r>
      <w:r>
        <w:rPr>
          <w:color w:val="1D71B8"/>
          <w:spacing w:val="-6"/>
          <w:sz w:val="18"/>
          <w:u w:val="single" w:color="1D71B8"/>
        </w:rPr>
        <w:t> </w:t>
      </w:r>
      <w:r>
        <w:rPr>
          <w:color w:val="1D71B8"/>
          <w:sz w:val="18"/>
          <w:u w:val="single" w:color="1D71B8"/>
        </w:rPr>
        <w:t>Order</w:t>
      </w:r>
      <w:r>
        <w:rPr>
          <w:color w:val="1D71B8"/>
          <w:spacing w:val="-5"/>
          <w:sz w:val="18"/>
          <w:u w:val="single" w:color="1D71B8"/>
        </w:rPr>
        <w:t> </w:t>
      </w:r>
      <w:r>
        <w:rPr>
          <w:color w:val="1D71B8"/>
          <w:sz w:val="18"/>
          <w:u w:val="single" w:color="1D71B8"/>
        </w:rPr>
        <w:t>1997</w:t>
      </w:r>
      <w:r>
        <w:rPr>
          <w:color w:val="1D71B8"/>
          <w:sz w:val="18"/>
          <w:u w:val="none"/>
        </w:rPr>
        <w:t> </w:t>
      </w:r>
      <w:r>
        <w:rPr>
          <w:sz w:val="18"/>
          <w:u w:val="none"/>
        </w:rPr>
        <w:t>(June</w:t>
      </w:r>
      <w:r>
        <w:rPr>
          <w:spacing w:val="-2"/>
          <w:sz w:val="18"/>
          <w:u w:val="none"/>
        </w:rPr>
        <w:t> </w:t>
      </w:r>
      <w:r>
        <w:rPr>
          <w:sz w:val="18"/>
          <w:u w:val="none"/>
        </w:rPr>
        <w:t>2023)</w:t>
      </w:r>
      <w:r>
        <w:rPr>
          <w:spacing w:val="-3"/>
          <w:sz w:val="18"/>
          <w:u w:val="none"/>
        </w:rPr>
        <w:t> </w:t>
      </w:r>
      <w:r>
        <w:rPr>
          <w:sz w:val="18"/>
          <w:u w:val="none"/>
        </w:rPr>
        <w:t>77;</w:t>
      </w:r>
      <w:r>
        <w:rPr>
          <w:spacing w:val="-2"/>
          <w:sz w:val="18"/>
          <w:u w:val="none"/>
        </w:rPr>
        <w:t> </w:t>
      </w:r>
      <w:r>
        <w:rPr>
          <w:sz w:val="18"/>
          <w:u w:val="none"/>
        </w:rPr>
        <w:t>NIHRC,</w:t>
      </w:r>
      <w:r>
        <w:rPr>
          <w:spacing w:val="-3"/>
          <w:sz w:val="18"/>
          <w:u w:val="none"/>
        </w:rPr>
        <w:t> </w:t>
      </w:r>
      <w:r>
        <w:rPr>
          <w:color w:val="1D71B8"/>
          <w:sz w:val="18"/>
          <w:u w:val="single" w:color="1D71B8"/>
        </w:rPr>
        <w:t>Response</w:t>
      </w:r>
      <w:r>
        <w:rPr>
          <w:color w:val="1D71B8"/>
          <w:spacing w:val="-2"/>
          <w:sz w:val="18"/>
          <w:u w:val="single" w:color="1D71B8"/>
        </w:rPr>
        <w:t> </w:t>
      </w:r>
      <w:r>
        <w:rPr>
          <w:color w:val="1D71B8"/>
          <w:sz w:val="18"/>
          <w:u w:val="single" w:color="1D71B8"/>
        </w:rPr>
        <w:t>to</w:t>
      </w:r>
      <w:r>
        <w:rPr>
          <w:color w:val="1D71B8"/>
          <w:spacing w:val="-3"/>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European</w:t>
      </w:r>
      <w:r>
        <w:rPr>
          <w:color w:val="1D71B8"/>
          <w:spacing w:val="-3"/>
          <w:sz w:val="18"/>
          <w:u w:val="single" w:color="1D71B8"/>
        </w:rPr>
        <w:t> </w:t>
      </w:r>
      <w:r>
        <w:rPr>
          <w:color w:val="1D71B8"/>
          <w:sz w:val="18"/>
          <w:u w:val="single" w:color="1D71B8"/>
        </w:rPr>
        <w:t>Commission</w:t>
      </w:r>
      <w:r>
        <w:rPr>
          <w:color w:val="1D71B8"/>
          <w:spacing w:val="-3"/>
          <w:sz w:val="18"/>
          <w:u w:val="single" w:color="1D71B8"/>
        </w:rPr>
        <w:t> </w:t>
      </w:r>
      <w:r>
        <w:rPr>
          <w:color w:val="1D71B8"/>
          <w:sz w:val="18"/>
          <w:u w:val="single" w:color="1D71B8"/>
        </w:rPr>
        <w:t>Consultation</w:t>
      </w:r>
      <w:r>
        <w:rPr>
          <w:color w:val="1D71B8"/>
          <w:spacing w:val="-3"/>
          <w:sz w:val="18"/>
          <w:u w:val="single" w:color="1D71B8"/>
        </w:rPr>
        <w:t> </w:t>
      </w:r>
      <w:r>
        <w:rPr>
          <w:color w:val="1D71B8"/>
          <w:sz w:val="18"/>
          <w:u w:val="single" w:color="1D71B8"/>
        </w:rPr>
        <w:t>on</w:t>
      </w:r>
      <w:r>
        <w:rPr>
          <w:color w:val="1D71B8"/>
          <w:spacing w:val="-3"/>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Racial</w:t>
      </w:r>
      <w:r>
        <w:rPr>
          <w:color w:val="1D71B8"/>
          <w:spacing w:val="-3"/>
          <w:sz w:val="18"/>
          <w:u w:val="single" w:color="1D71B8"/>
        </w:rPr>
        <w:t> </w:t>
      </w:r>
      <w:r>
        <w:rPr>
          <w:color w:val="1D71B8"/>
          <w:sz w:val="18"/>
          <w:u w:val="single" w:color="1D71B8"/>
        </w:rPr>
        <w:t>Equality</w:t>
      </w:r>
      <w:r>
        <w:rPr>
          <w:color w:val="1D71B8"/>
          <w:spacing w:val="-2"/>
          <w:sz w:val="18"/>
          <w:u w:val="single" w:color="1D71B8"/>
        </w:rPr>
        <w:t> </w:t>
      </w:r>
      <w:r>
        <w:rPr>
          <w:color w:val="1D71B8"/>
          <w:sz w:val="18"/>
          <w:u w:val="single" w:color="1D71B8"/>
        </w:rPr>
        <w:t>Directive</w:t>
      </w:r>
      <w:r>
        <w:rPr>
          <w:color w:val="1D71B8"/>
          <w:spacing w:val="-4"/>
          <w:sz w:val="18"/>
          <w:u w:val="none"/>
        </w:rPr>
        <w:t> </w:t>
      </w:r>
      <w:r>
        <w:rPr>
          <w:sz w:val="18"/>
          <w:u w:val="none"/>
        </w:rPr>
        <w:t>(12</w:t>
      </w:r>
      <w:r>
        <w:rPr>
          <w:spacing w:val="-2"/>
          <w:sz w:val="18"/>
          <w:u w:val="none"/>
        </w:rPr>
        <w:t> </w:t>
      </w:r>
      <w:r>
        <w:rPr>
          <w:sz w:val="18"/>
          <w:u w:val="none"/>
        </w:rPr>
        <w:t>April 2022)</w:t>
      </w:r>
      <w:r>
        <w:rPr>
          <w:spacing w:val="-2"/>
          <w:sz w:val="18"/>
          <w:u w:val="none"/>
        </w:rPr>
        <w:t> </w:t>
      </w:r>
      <w:r>
        <w:rPr>
          <w:sz w:val="18"/>
          <w:u w:val="none"/>
        </w:rPr>
        <w:t>32.</w:t>
      </w:r>
    </w:p>
    <w:p>
      <w:pPr>
        <w:pStyle w:val="ListParagraph"/>
        <w:numPr>
          <w:ilvl w:val="0"/>
          <w:numId w:val="9"/>
        </w:numPr>
        <w:tabs>
          <w:tab w:pos="1684" w:val="left" w:leader="none"/>
        </w:tabs>
        <w:spacing w:line="240" w:lineRule="auto" w:before="1" w:after="0"/>
        <w:ind w:left="1684" w:right="1128" w:hanging="567"/>
        <w:jc w:val="both"/>
        <w:rPr>
          <w:sz w:val="18"/>
        </w:rPr>
      </w:pPr>
      <w:r>
        <w:rPr>
          <w:sz w:val="18"/>
        </w:rPr>
        <w:t>ECNI,</w:t>
      </w:r>
      <w:r>
        <w:rPr>
          <w:spacing w:val="-6"/>
          <w:sz w:val="18"/>
        </w:rPr>
        <w:t> </w:t>
      </w:r>
      <w:r>
        <w:rPr>
          <w:color w:val="1D71B8"/>
          <w:sz w:val="18"/>
          <w:u w:val="single" w:color="1D71B8"/>
        </w:rPr>
        <w:t>Consultation</w:t>
      </w:r>
      <w:r>
        <w:rPr>
          <w:color w:val="1D71B8"/>
          <w:spacing w:val="-6"/>
          <w:sz w:val="18"/>
          <w:u w:val="single" w:color="1D71B8"/>
        </w:rPr>
        <w:t> </w:t>
      </w:r>
      <w:r>
        <w:rPr>
          <w:color w:val="1D71B8"/>
          <w:sz w:val="18"/>
          <w:u w:val="single" w:color="1D71B8"/>
        </w:rPr>
        <w:t>Response:</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Executive</w:t>
      </w:r>
      <w:r>
        <w:rPr>
          <w:color w:val="1D71B8"/>
          <w:spacing w:val="-5"/>
          <w:sz w:val="18"/>
          <w:u w:val="single" w:color="1D71B8"/>
        </w:rPr>
        <w:t> </w:t>
      </w:r>
      <w:r>
        <w:rPr>
          <w:color w:val="1D71B8"/>
          <w:sz w:val="18"/>
          <w:u w:val="single" w:color="1D71B8"/>
        </w:rPr>
        <w:t>Office:</w:t>
      </w:r>
      <w:r>
        <w:rPr>
          <w:color w:val="1D71B8"/>
          <w:spacing w:val="-5"/>
          <w:sz w:val="18"/>
          <w:u w:val="single" w:color="1D71B8"/>
        </w:rPr>
        <w:t> </w:t>
      </w:r>
      <w:r>
        <w:rPr>
          <w:color w:val="1D71B8"/>
          <w:sz w:val="18"/>
          <w:u w:val="single" w:color="1D71B8"/>
        </w:rPr>
        <w:t>Consultation</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Review</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Race</w:t>
      </w:r>
      <w:r>
        <w:rPr>
          <w:color w:val="1D71B8"/>
          <w:spacing w:val="-5"/>
          <w:sz w:val="18"/>
          <w:u w:val="single" w:color="1D71B8"/>
        </w:rPr>
        <w:t> </w:t>
      </w:r>
      <w:r>
        <w:rPr>
          <w:color w:val="1D71B8"/>
          <w:sz w:val="18"/>
          <w:u w:val="single" w:color="1D71B8"/>
        </w:rPr>
        <w:t>Relations</w:t>
      </w:r>
      <w:r>
        <w:rPr>
          <w:color w:val="1D71B8"/>
          <w:spacing w:val="-6"/>
          <w:sz w:val="18"/>
          <w:u w:val="single" w:color="1D71B8"/>
        </w:rPr>
        <w:t> </w:t>
      </w:r>
      <w:r>
        <w:rPr>
          <w:color w:val="1D71B8"/>
          <w:sz w:val="18"/>
          <w:u w:val="single" w:color="1D71B8"/>
        </w:rPr>
        <w:t>(NI)</w:t>
      </w:r>
      <w:r>
        <w:rPr>
          <w:color w:val="1D71B8"/>
          <w:spacing w:val="-6"/>
          <w:sz w:val="18"/>
          <w:u w:val="single" w:color="1D71B8"/>
        </w:rPr>
        <w:t> </w:t>
      </w:r>
      <w:r>
        <w:rPr>
          <w:color w:val="1D71B8"/>
          <w:sz w:val="18"/>
          <w:u w:val="single" w:color="1D71B8"/>
        </w:rPr>
        <w:t>Order</w:t>
      </w:r>
      <w:r>
        <w:rPr>
          <w:color w:val="1D71B8"/>
          <w:spacing w:val="-5"/>
          <w:sz w:val="18"/>
          <w:u w:val="single" w:color="1D71B8"/>
        </w:rPr>
        <w:t> </w:t>
      </w:r>
      <w:r>
        <w:rPr>
          <w:color w:val="1D71B8"/>
          <w:sz w:val="18"/>
          <w:u w:val="single" w:color="1D71B8"/>
        </w:rPr>
        <w:t>1997</w:t>
      </w:r>
      <w:r>
        <w:rPr>
          <w:color w:val="1D71B8"/>
          <w:sz w:val="18"/>
          <w:u w:val="none"/>
        </w:rPr>
        <w:t> </w:t>
      </w:r>
      <w:r>
        <w:rPr>
          <w:sz w:val="18"/>
          <w:u w:val="none"/>
        </w:rPr>
        <w:t>(June 2023) 1.</w:t>
      </w:r>
    </w:p>
    <w:p>
      <w:pPr>
        <w:pStyle w:val="ListParagraph"/>
        <w:numPr>
          <w:ilvl w:val="0"/>
          <w:numId w:val="9"/>
        </w:numPr>
        <w:tabs>
          <w:tab w:pos="1684" w:val="left" w:leader="none"/>
        </w:tabs>
        <w:spacing w:line="240" w:lineRule="auto" w:before="0" w:after="0"/>
        <w:ind w:left="1684" w:right="1128" w:hanging="567"/>
        <w:jc w:val="both"/>
        <w:rPr>
          <w:sz w:val="18"/>
        </w:rPr>
      </w:pPr>
      <w:r>
        <w:rPr>
          <w:sz w:val="18"/>
        </w:rPr>
        <w:t>ECNI,</w:t>
      </w:r>
      <w:r>
        <w:rPr>
          <w:spacing w:val="-6"/>
          <w:sz w:val="18"/>
        </w:rPr>
        <w:t> </w:t>
      </w:r>
      <w:r>
        <w:rPr>
          <w:color w:val="1D71B8"/>
          <w:sz w:val="18"/>
          <w:u w:val="single" w:color="1D71B8"/>
        </w:rPr>
        <w:t>Consultation</w:t>
      </w:r>
      <w:r>
        <w:rPr>
          <w:color w:val="1D71B8"/>
          <w:spacing w:val="-6"/>
          <w:sz w:val="18"/>
          <w:u w:val="single" w:color="1D71B8"/>
        </w:rPr>
        <w:t> </w:t>
      </w:r>
      <w:r>
        <w:rPr>
          <w:color w:val="1D71B8"/>
          <w:sz w:val="18"/>
          <w:u w:val="single" w:color="1D71B8"/>
        </w:rPr>
        <w:t>Response:</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Executive</w:t>
      </w:r>
      <w:r>
        <w:rPr>
          <w:color w:val="1D71B8"/>
          <w:spacing w:val="-5"/>
          <w:sz w:val="18"/>
          <w:u w:val="single" w:color="1D71B8"/>
        </w:rPr>
        <w:t> </w:t>
      </w:r>
      <w:r>
        <w:rPr>
          <w:color w:val="1D71B8"/>
          <w:sz w:val="18"/>
          <w:u w:val="single" w:color="1D71B8"/>
        </w:rPr>
        <w:t>Office:</w:t>
      </w:r>
      <w:r>
        <w:rPr>
          <w:color w:val="1D71B8"/>
          <w:spacing w:val="-5"/>
          <w:sz w:val="18"/>
          <w:u w:val="single" w:color="1D71B8"/>
        </w:rPr>
        <w:t> </w:t>
      </w:r>
      <w:r>
        <w:rPr>
          <w:color w:val="1D71B8"/>
          <w:sz w:val="18"/>
          <w:u w:val="single" w:color="1D71B8"/>
        </w:rPr>
        <w:t>Consultation</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Review</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Race</w:t>
      </w:r>
      <w:r>
        <w:rPr>
          <w:color w:val="1D71B8"/>
          <w:spacing w:val="-5"/>
          <w:sz w:val="18"/>
          <w:u w:val="single" w:color="1D71B8"/>
        </w:rPr>
        <w:t> </w:t>
      </w:r>
      <w:r>
        <w:rPr>
          <w:color w:val="1D71B8"/>
          <w:sz w:val="18"/>
          <w:u w:val="single" w:color="1D71B8"/>
        </w:rPr>
        <w:t>Relations</w:t>
      </w:r>
      <w:r>
        <w:rPr>
          <w:color w:val="1D71B8"/>
          <w:spacing w:val="-6"/>
          <w:sz w:val="18"/>
          <w:u w:val="single" w:color="1D71B8"/>
        </w:rPr>
        <w:t> </w:t>
      </w:r>
      <w:r>
        <w:rPr>
          <w:color w:val="1D71B8"/>
          <w:sz w:val="18"/>
          <w:u w:val="single" w:color="1D71B8"/>
        </w:rPr>
        <w:t>(NI)</w:t>
      </w:r>
      <w:r>
        <w:rPr>
          <w:color w:val="1D71B8"/>
          <w:spacing w:val="-6"/>
          <w:sz w:val="18"/>
          <w:u w:val="single" w:color="1D71B8"/>
        </w:rPr>
        <w:t> </w:t>
      </w:r>
      <w:r>
        <w:rPr>
          <w:color w:val="1D71B8"/>
          <w:sz w:val="18"/>
          <w:u w:val="single" w:color="1D71B8"/>
        </w:rPr>
        <w:t>Order</w:t>
      </w:r>
      <w:r>
        <w:rPr>
          <w:color w:val="1D71B8"/>
          <w:spacing w:val="-5"/>
          <w:sz w:val="18"/>
          <w:u w:val="single" w:color="1D71B8"/>
        </w:rPr>
        <w:t> </w:t>
      </w:r>
      <w:r>
        <w:rPr>
          <w:color w:val="1D71B8"/>
          <w:sz w:val="18"/>
          <w:u w:val="single" w:color="1D71B8"/>
        </w:rPr>
        <w:t>1997</w:t>
      </w:r>
      <w:r>
        <w:rPr>
          <w:color w:val="1D71B8"/>
          <w:sz w:val="18"/>
          <w:u w:val="none"/>
        </w:rPr>
        <w:t> </w:t>
      </w:r>
      <w:r>
        <w:rPr>
          <w:sz w:val="18"/>
          <w:u w:val="none"/>
        </w:rPr>
        <w:t>(June</w:t>
      </w:r>
      <w:r>
        <w:rPr>
          <w:spacing w:val="-2"/>
          <w:sz w:val="18"/>
          <w:u w:val="none"/>
        </w:rPr>
        <w:t> </w:t>
      </w:r>
      <w:r>
        <w:rPr>
          <w:sz w:val="18"/>
          <w:u w:val="none"/>
        </w:rPr>
        <w:t>2023)</w:t>
      </w:r>
      <w:r>
        <w:rPr>
          <w:spacing w:val="-3"/>
          <w:sz w:val="18"/>
          <w:u w:val="none"/>
        </w:rPr>
        <w:t> </w:t>
      </w:r>
      <w:r>
        <w:rPr>
          <w:sz w:val="18"/>
          <w:u w:val="none"/>
        </w:rPr>
        <w:t>17;</w:t>
      </w:r>
      <w:r>
        <w:rPr>
          <w:spacing w:val="-2"/>
          <w:sz w:val="18"/>
          <w:u w:val="none"/>
        </w:rPr>
        <w:t> </w:t>
      </w:r>
      <w:r>
        <w:rPr>
          <w:sz w:val="18"/>
          <w:u w:val="none"/>
        </w:rPr>
        <w:t>NIHRC,</w:t>
      </w:r>
      <w:r>
        <w:rPr>
          <w:spacing w:val="-3"/>
          <w:sz w:val="18"/>
          <w:u w:val="none"/>
        </w:rPr>
        <w:t> </w:t>
      </w:r>
      <w:r>
        <w:rPr>
          <w:color w:val="1D71B8"/>
          <w:sz w:val="18"/>
          <w:u w:val="single" w:color="1D71B8"/>
        </w:rPr>
        <w:t>Response</w:t>
      </w:r>
      <w:r>
        <w:rPr>
          <w:color w:val="1D71B8"/>
          <w:spacing w:val="-2"/>
          <w:sz w:val="18"/>
          <w:u w:val="single" w:color="1D71B8"/>
        </w:rPr>
        <w:t> </w:t>
      </w:r>
      <w:r>
        <w:rPr>
          <w:color w:val="1D71B8"/>
          <w:sz w:val="18"/>
          <w:u w:val="single" w:color="1D71B8"/>
        </w:rPr>
        <w:t>to</w:t>
      </w:r>
      <w:r>
        <w:rPr>
          <w:color w:val="1D71B8"/>
          <w:spacing w:val="-3"/>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European</w:t>
      </w:r>
      <w:r>
        <w:rPr>
          <w:color w:val="1D71B8"/>
          <w:spacing w:val="-3"/>
          <w:sz w:val="18"/>
          <w:u w:val="single" w:color="1D71B8"/>
        </w:rPr>
        <w:t> </w:t>
      </w:r>
      <w:r>
        <w:rPr>
          <w:color w:val="1D71B8"/>
          <w:sz w:val="18"/>
          <w:u w:val="single" w:color="1D71B8"/>
        </w:rPr>
        <w:t>Commission</w:t>
      </w:r>
      <w:r>
        <w:rPr>
          <w:color w:val="1D71B8"/>
          <w:spacing w:val="-3"/>
          <w:sz w:val="18"/>
          <w:u w:val="single" w:color="1D71B8"/>
        </w:rPr>
        <w:t> </w:t>
      </w:r>
      <w:r>
        <w:rPr>
          <w:color w:val="1D71B8"/>
          <w:sz w:val="18"/>
          <w:u w:val="single" w:color="1D71B8"/>
        </w:rPr>
        <w:t>Consultation</w:t>
      </w:r>
      <w:r>
        <w:rPr>
          <w:color w:val="1D71B8"/>
          <w:spacing w:val="-3"/>
          <w:sz w:val="18"/>
          <w:u w:val="single" w:color="1D71B8"/>
        </w:rPr>
        <w:t> </w:t>
      </w:r>
      <w:r>
        <w:rPr>
          <w:color w:val="1D71B8"/>
          <w:sz w:val="18"/>
          <w:u w:val="single" w:color="1D71B8"/>
        </w:rPr>
        <w:t>on</w:t>
      </w:r>
      <w:r>
        <w:rPr>
          <w:color w:val="1D71B8"/>
          <w:spacing w:val="-3"/>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Racial</w:t>
      </w:r>
      <w:r>
        <w:rPr>
          <w:color w:val="1D71B8"/>
          <w:spacing w:val="-3"/>
          <w:sz w:val="18"/>
          <w:u w:val="single" w:color="1D71B8"/>
        </w:rPr>
        <w:t> </w:t>
      </w:r>
      <w:r>
        <w:rPr>
          <w:color w:val="1D71B8"/>
          <w:sz w:val="18"/>
          <w:u w:val="single" w:color="1D71B8"/>
        </w:rPr>
        <w:t>Equality</w:t>
      </w:r>
      <w:r>
        <w:rPr>
          <w:color w:val="1D71B8"/>
          <w:spacing w:val="-2"/>
          <w:sz w:val="18"/>
          <w:u w:val="single" w:color="1D71B8"/>
        </w:rPr>
        <w:t> </w:t>
      </w:r>
      <w:r>
        <w:rPr>
          <w:color w:val="1D71B8"/>
          <w:sz w:val="18"/>
          <w:u w:val="single" w:color="1D71B8"/>
        </w:rPr>
        <w:t>Directive</w:t>
      </w:r>
      <w:r>
        <w:rPr>
          <w:color w:val="1D71B8"/>
          <w:spacing w:val="-4"/>
          <w:sz w:val="18"/>
          <w:u w:val="none"/>
        </w:rPr>
        <w:t> </w:t>
      </w:r>
      <w:r>
        <w:rPr>
          <w:sz w:val="18"/>
          <w:u w:val="none"/>
        </w:rPr>
        <w:t>(12</w:t>
      </w:r>
      <w:r>
        <w:rPr>
          <w:spacing w:val="-2"/>
          <w:sz w:val="18"/>
          <w:u w:val="none"/>
        </w:rPr>
        <w:t> </w:t>
      </w:r>
      <w:r>
        <w:rPr>
          <w:sz w:val="18"/>
          <w:u w:val="none"/>
        </w:rPr>
        <w:t>April 2022)</w:t>
      </w:r>
      <w:r>
        <w:rPr>
          <w:spacing w:val="-2"/>
          <w:sz w:val="18"/>
          <w:u w:val="none"/>
        </w:rPr>
        <w:t> </w:t>
      </w:r>
      <w:r>
        <w:rPr>
          <w:sz w:val="18"/>
          <w:u w:val="none"/>
        </w:rPr>
        <w:t>15.</w:t>
      </w:r>
    </w:p>
    <w:p>
      <w:pPr>
        <w:pStyle w:val="ListParagraph"/>
        <w:numPr>
          <w:ilvl w:val="0"/>
          <w:numId w:val="9"/>
        </w:numPr>
        <w:tabs>
          <w:tab w:pos="1684" w:val="left" w:leader="none"/>
        </w:tabs>
        <w:spacing w:line="240" w:lineRule="auto" w:before="1" w:after="0"/>
        <w:ind w:left="1684" w:right="1128" w:hanging="567"/>
        <w:jc w:val="both"/>
        <w:rPr>
          <w:sz w:val="18"/>
        </w:rPr>
      </w:pPr>
      <w:r>
        <w:rPr>
          <w:sz w:val="18"/>
        </w:rPr>
        <w:t>ECNI,</w:t>
      </w:r>
      <w:r>
        <w:rPr>
          <w:spacing w:val="-6"/>
          <w:sz w:val="18"/>
        </w:rPr>
        <w:t> </w:t>
      </w:r>
      <w:r>
        <w:rPr>
          <w:color w:val="1D71B8"/>
          <w:sz w:val="18"/>
          <w:u w:val="single" w:color="1D71B8"/>
        </w:rPr>
        <w:t>Consultation</w:t>
      </w:r>
      <w:r>
        <w:rPr>
          <w:color w:val="1D71B8"/>
          <w:spacing w:val="-6"/>
          <w:sz w:val="18"/>
          <w:u w:val="single" w:color="1D71B8"/>
        </w:rPr>
        <w:t> </w:t>
      </w:r>
      <w:r>
        <w:rPr>
          <w:color w:val="1D71B8"/>
          <w:sz w:val="18"/>
          <w:u w:val="single" w:color="1D71B8"/>
        </w:rPr>
        <w:t>Response:</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Executive</w:t>
      </w:r>
      <w:r>
        <w:rPr>
          <w:color w:val="1D71B8"/>
          <w:spacing w:val="-5"/>
          <w:sz w:val="18"/>
          <w:u w:val="single" w:color="1D71B8"/>
        </w:rPr>
        <w:t> </w:t>
      </w:r>
      <w:r>
        <w:rPr>
          <w:color w:val="1D71B8"/>
          <w:sz w:val="18"/>
          <w:u w:val="single" w:color="1D71B8"/>
        </w:rPr>
        <w:t>Office:</w:t>
      </w:r>
      <w:r>
        <w:rPr>
          <w:color w:val="1D71B8"/>
          <w:spacing w:val="-5"/>
          <w:sz w:val="18"/>
          <w:u w:val="single" w:color="1D71B8"/>
        </w:rPr>
        <w:t> </w:t>
      </w:r>
      <w:r>
        <w:rPr>
          <w:color w:val="1D71B8"/>
          <w:sz w:val="18"/>
          <w:u w:val="single" w:color="1D71B8"/>
        </w:rPr>
        <w:t>Consultation</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Review</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Race</w:t>
      </w:r>
      <w:r>
        <w:rPr>
          <w:color w:val="1D71B8"/>
          <w:spacing w:val="-5"/>
          <w:sz w:val="18"/>
          <w:u w:val="single" w:color="1D71B8"/>
        </w:rPr>
        <w:t> </w:t>
      </w:r>
      <w:r>
        <w:rPr>
          <w:color w:val="1D71B8"/>
          <w:sz w:val="18"/>
          <w:u w:val="single" w:color="1D71B8"/>
        </w:rPr>
        <w:t>Relations</w:t>
      </w:r>
      <w:r>
        <w:rPr>
          <w:color w:val="1D71B8"/>
          <w:spacing w:val="-6"/>
          <w:sz w:val="18"/>
          <w:u w:val="single" w:color="1D71B8"/>
        </w:rPr>
        <w:t> </w:t>
      </w:r>
      <w:r>
        <w:rPr>
          <w:color w:val="1D71B8"/>
          <w:sz w:val="18"/>
          <w:u w:val="single" w:color="1D71B8"/>
        </w:rPr>
        <w:t>(NI)</w:t>
      </w:r>
      <w:r>
        <w:rPr>
          <w:color w:val="1D71B8"/>
          <w:spacing w:val="-6"/>
          <w:sz w:val="18"/>
          <w:u w:val="single" w:color="1D71B8"/>
        </w:rPr>
        <w:t> </w:t>
      </w:r>
      <w:r>
        <w:rPr>
          <w:color w:val="1D71B8"/>
          <w:sz w:val="18"/>
          <w:u w:val="single" w:color="1D71B8"/>
        </w:rPr>
        <w:t>Order</w:t>
      </w:r>
      <w:r>
        <w:rPr>
          <w:color w:val="1D71B8"/>
          <w:spacing w:val="-5"/>
          <w:sz w:val="18"/>
          <w:u w:val="single" w:color="1D71B8"/>
        </w:rPr>
        <w:t> </w:t>
      </w:r>
      <w:r>
        <w:rPr>
          <w:color w:val="1D71B8"/>
          <w:sz w:val="18"/>
          <w:u w:val="single" w:color="1D71B8"/>
        </w:rPr>
        <w:t>1997</w:t>
      </w:r>
      <w:r>
        <w:rPr>
          <w:color w:val="1D71B8"/>
          <w:sz w:val="18"/>
          <w:u w:val="none"/>
        </w:rPr>
        <w:t> </w:t>
      </w:r>
      <w:r>
        <w:rPr>
          <w:sz w:val="18"/>
          <w:u w:val="none"/>
        </w:rPr>
        <w:t>(June 2023) 87.</w:t>
      </w:r>
    </w:p>
    <w:p>
      <w:pPr>
        <w:spacing w:after="0" w:line="240" w:lineRule="auto"/>
        <w:jc w:val="both"/>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798272">
                <wp:simplePos x="0" y="0"/>
                <wp:positionH relativeFrom="page">
                  <wp:posOffset>0</wp:posOffset>
                </wp:positionH>
                <wp:positionV relativeFrom="page">
                  <wp:posOffset>0</wp:posOffset>
                </wp:positionV>
                <wp:extent cx="7560309" cy="1784985"/>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7560309" cy="1784985"/>
                          <a:chExt cx="7560309" cy="1784985"/>
                        </a:xfrm>
                      </wpg:grpSpPr>
                      <wps:wsp>
                        <wps:cNvPr id="366" name="Graphic 366"/>
                        <wps:cNvSpPr/>
                        <wps:spPr>
                          <a:xfrm>
                            <a:off x="647994" y="972002"/>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367" name="Graphic 367"/>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368" name="Graphic 368"/>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369" name="Textbox 369"/>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34</w:t>
                              </w:r>
                            </w:p>
                          </w:txbxContent>
                        </wps:txbx>
                        <wps:bodyPr wrap="square" lIns="0" tIns="0" rIns="0" bIns="0" rtlCol="0">
                          <a:noAutofit/>
                        </wps:bodyPr>
                      </wps:wsp>
                      <wps:wsp>
                        <wps:cNvPr id="370" name="Textbox 370"/>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371" name="Textbox 371"/>
                        <wps:cNvSpPr txBox="1"/>
                        <wps:spPr>
                          <a:xfrm>
                            <a:off x="864000" y="1080003"/>
                            <a:ext cx="5670550" cy="59690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12"/>
                                  <w:sz w:val="28"/>
                                </w:rPr>
                                <w:t> </w:t>
                              </w:r>
                              <w:r>
                                <w:rPr>
                                  <w:b/>
                                  <w:color w:val="164194"/>
                                  <w:sz w:val="28"/>
                                </w:rPr>
                                <w:t>recommend</w:t>
                              </w:r>
                              <w:r>
                                <w:rPr>
                                  <w:b/>
                                  <w:color w:val="164194"/>
                                  <w:spacing w:val="-11"/>
                                  <w:sz w:val="28"/>
                                </w:rPr>
                                <w:t> </w:t>
                              </w:r>
                              <w:r>
                                <w:rPr>
                                  <w:b/>
                                  <w:color w:val="164194"/>
                                  <w:sz w:val="28"/>
                                </w:rPr>
                                <w:t>that</w:t>
                              </w:r>
                              <w:r>
                                <w:rPr>
                                  <w:b/>
                                  <w:color w:val="164194"/>
                                  <w:spacing w:val="-11"/>
                                  <w:sz w:val="28"/>
                                </w:rPr>
                                <w:t> </w:t>
                              </w:r>
                              <w:r>
                                <w:rPr>
                                  <w:b/>
                                  <w:color w:val="164194"/>
                                  <w:sz w:val="28"/>
                                </w:rPr>
                                <w:t>the</w:t>
                              </w:r>
                              <w:r>
                                <w:rPr>
                                  <w:b/>
                                  <w:color w:val="164194"/>
                                  <w:spacing w:val="-11"/>
                                  <w:sz w:val="28"/>
                                </w:rPr>
                                <w:t> </w:t>
                              </w:r>
                              <w:r>
                                <w:rPr>
                                  <w:b/>
                                  <w:color w:val="164194"/>
                                  <w:sz w:val="28"/>
                                </w:rPr>
                                <w:t>Executive</w:t>
                              </w:r>
                              <w:r>
                                <w:rPr>
                                  <w:b/>
                                  <w:color w:val="164194"/>
                                  <w:spacing w:val="-12"/>
                                  <w:sz w:val="28"/>
                                </w:rPr>
                                <w:t> </w:t>
                              </w:r>
                              <w:r>
                                <w:rPr>
                                  <w:b/>
                                  <w:color w:val="164194"/>
                                  <w:sz w:val="28"/>
                                </w:rPr>
                                <w:t>Office</w:t>
                              </w:r>
                              <w:r>
                                <w:rPr>
                                  <w:b/>
                                  <w:color w:val="164194"/>
                                  <w:spacing w:val="-12"/>
                                  <w:sz w:val="28"/>
                                </w:rPr>
                                <w:t> </w:t>
                              </w:r>
                              <w:r>
                                <w:rPr>
                                  <w:b/>
                                  <w:color w:val="164194"/>
                                  <w:sz w:val="28"/>
                                </w:rPr>
                                <w:t>explicitly</w:t>
                              </w:r>
                              <w:r>
                                <w:rPr>
                                  <w:b/>
                                  <w:color w:val="164194"/>
                                  <w:spacing w:val="-10"/>
                                  <w:sz w:val="28"/>
                                </w:rPr>
                                <w:t> </w:t>
                              </w:r>
                              <w:r>
                                <w:rPr>
                                  <w:b/>
                                  <w:color w:val="164194"/>
                                  <w:sz w:val="28"/>
                                </w:rPr>
                                <w:t>refer</w:t>
                              </w:r>
                              <w:r>
                                <w:rPr>
                                  <w:b/>
                                  <w:color w:val="164194"/>
                                  <w:spacing w:val="-12"/>
                                  <w:sz w:val="28"/>
                                </w:rPr>
                                <w:t> </w:t>
                              </w:r>
                              <w:r>
                                <w:rPr>
                                  <w:b/>
                                  <w:color w:val="164194"/>
                                  <w:sz w:val="28"/>
                                </w:rPr>
                                <w:t>to,</w:t>
                              </w:r>
                              <w:r>
                                <w:rPr>
                                  <w:b/>
                                  <w:color w:val="164194"/>
                                  <w:spacing w:val="-11"/>
                                  <w:sz w:val="28"/>
                                </w:rPr>
                                <w:t> </w:t>
                              </w:r>
                              <w:r>
                                <w:rPr>
                                  <w:b/>
                                  <w:color w:val="164194"/>
                                  <w:sz w:val="28"/>
                                </w:rPr>
                                <w:t>and</w:t>
                              </w:r>
                              <w:r>
                                <w:rPr>
                                  <w:b/>
                                  <w:color w:val="164194"/>
                                  <w:spacing w:val="-11"/>
                                  <w:sz w:val="28"/>
                                </w:rPr>
                                <w:t> </w:t>
                              </w:r>
                              <w:r>
                                <w:rPr>
                                  <w:b/>
                                  <w:color w:val="164194"/>
                                  <w:sz w:val="28"/>
                                </w:rPr>
                                <w:t>consider,</w:t>
                              </w:r>
                              <w:r>
                                <w:rPr>
                                  <w:b/>
                                  <w:color w:val="164194"/>
                                  <w:spacing w:val="-10"/>
                                  <w:sz w:val="28"/>
                                </w:rPr>
                                <w:t> </w:t>
                              </w:r>
                              <w:r>
                                <w:rPr>
                                  <w:b/>
                                  <w:color w:val="164194"/>
                                  <w:spacing w:val="-5"/>
                                  <w:sz w:val="28"/>
                                </w:rPr>
                                <w:t>the</w:t>
                              </w:r>
                            </w:p>
                            <w:p>
                              <w:pPr>
                                <w:spacing w:line="232" w:lineRule="auto" w:before="0"/>
                                <w:ind w:left="0" w:right="0" w:firstLine="0"/>
                                <w:jc w:val="left"/>
                                <w:rPr>
                                  <w:b/>
                                  <w:sz w:val="28"/>
                                </w:rPr>
                              </w:pPr>
                              <w:r>
                                <w:rPr>
                                  <w:b/>
                                  <w:color w:val="164194"/>
                                  <w:sz w:val="28"/>
                                </w:rPr>
                                <w:t>Article</w:t>
                              </w:r>
                              <w:r>
                                <w:rPr>
                                  <w:b/>
                                  <w:color w:val="164194"/>
                                  <w:spacing w:val="-9"/>
                                  <w:sz w:val="28"/>
                                </w:rPr>
                                <w:t> </w:t>
                              </w:r>
                              <w:r>
                                <w:rPr>
                                  <w:b/>
                                  <w:color w:val="164194"/>
                                  <w:sz w:val="28"/>
                                </w:rPr>
                                <w:t>2</w:t>
                              </w:r>
                              <w:r>
                                <w:rPr>
                                  <w:b/>
                                  <w:color w:val="164194"/>
                                  <w:spacing w:val="-8"/>
                                  <w:sz w:val="28"/>
                                </w:rPr>
                                <w:t> </w:t>
                              </w:r>
                              <w:r>
                                <w:rPr>
                                  <w:b/>
                                  <w:color w:val="164194"/>
                                  <w:sz w:val="28"/>
                                </w:rPr>
                                <w:t>WF</w:t>
                              </w:r>
                              <w:r>
                                <w:rPr>
                                  <w:b/>
                                  <w:color w:val="164194"/>
                                  <w:spacing w:val="-9"/>
                                  <w:sz w:val="28"/>
                                </w:rPr>
                                <w:t> </w:t>
                              </w:r>
                              <w:r>
                                <w:rPr>
                                  <w:b/>
                                  <w:color w:val="164194"/>
                                  <w:sz w:val="28"/>
                                </w:rPr>
                                <w:t>obligations</w:t>
                              </w:r>
                              <w:r>
                                <w:rPr>
                                  <w:b/>
                                  <w:color w:val="164194"/>
                                  <w:spacing w:val="-8"/>
                                  <w:sz w:val="28"/>
                                </w:rPr>
                                <w:t> </w:t>
                              </w:r>
                              <w:r>
                                <w:rPr>
                                  <w:b/>
                                  <w:color w:val="164194"/>
                                  <w:sz w:val="28"/>
                                </w:rPr>
                                <w:t>in</w:t>
                              </w:r>
                              <w:r>
                                <w:rPr>
                                  <w:b/>
                                  <w:color w:val="164194"/>
                                  <w:spacing w:val="-8"/>
                                  <w:sz w:val="28"/>
                                </w:rPr>
                                <w:t> </w:t>
                              </w:r>
                              <w:r>
                                <w:rPr>
                                  <w:b/>
                                  <w:color w:val="164194"/>
                                  <w:sz w:val="28"/>
                                </w:rPr>
                                <w:t>its</w:t>
                              </w:r>
                              <w:r>
                                <w:rPr>
                                  <w:b/>
                                  <w:color w:val="164194"/>
                                  <w:spacing w:val="-8"/>
                                  <w:sz w:val="28"/>
                                </w:rPr>
                                <w:t> </w:t>
                              </w:r>
                              <w:r>
                                <w:rPr>
                                  <w:b/>
                                  <w:color w:val="164194"/>
                                  <w:sz w:val="28"/>
                                </w:rPr>
                                <w:t>work</w:t>
                              </w:r>
                              <w:r>
                                <w:rPr>
                                  <w:b/>
                                  <w:color w:val="164194"/>
                                  <w:spacing w:val="-9"/>
                                  <w:sz w:val="28"/>
                                </w:rPr>
                                <w:t> </w:t>
                              </w:r>
                              <w:r>
                                <w:rPr>
                                  <w:b/>
                                  <w:color w:val="164194"/>
                                  <w:sz w:val="28"/>
                                </w:rPr>
                                <w:t>on</w:t>
                              </w:r>
                              <w:r>
                                <w:rPr>
                                  <w:b/>
                                  <w:color w:val="164194"/>
                                  <w:spacing w:val="-8"/>
                                  <w:sz w:val="28"/>
                                </w:rPr>
                                <w:t> </w:t>
                              </w:r>
                              <w:r>
                                <w:rPr>
                                  <w:b/>
                                  <w:color w:val="164194"/>
                                  <w:sz w:val="28"/>
                                </w:rPr>
                                <w:t>reform</w:t>
                              </w:r>
                              <w:r>
                                <w:rPr>
                                  <w:b/>
                                  <w:color w:val="164194"/>
                                  <w:spacing w:val="-9"/>
                                  <w:sz w:val="28"/>
                                </w:rPr>
                                <w:t> </w:t>
                              </w:r>
                              <w:r>
                                <w:rPr>
                                  <w:b/>
                                  <w:color w:val="164194"/>
                                  <w:sz w:val="28"/>
                                </w:rPr>
                                <w:t>of</w:t>
                              </w:r>
                              <w:r>
                                <w:rPr>
                                  <w:b/>
                                  <w:color w:val="164194"/>
                                  <w:spacing w:val="-9"/>
                                  <w:sz w:val="28"/>
                                </w:rPr>
                                <w:t> </w:t>
                              </w:r>
                              <w:r>
                                <w:rPr>
                                  <w:b/>
                                  <w:color w:val="164194"/>
                                  <w:sz w:val="28"/>
                                </w:rPr>
                                <w:t>the</w:t>
                              </w:r>
                              <w:r>
                                <w:rPr>
                                  <w:b/>
                                  <w:color w:val="164194"/>
                                  <w:spacing w:val="-9"/>
                                  <w:sz w:val="28"/>
                                </w:rPr>
                                <w:t> </w:t>
                              </w:r>
                              <w:r>
                                <w:rPr>
                                  <w:b/>
                                  <w:color w:val="164194"/>
                                  <w:sz w:val="28"/>
                                </w:rPr>
                                <w:t>Race</w:t>
                              </w:r>
                              <w:r>
                                <w:rPr>
                                  <w:b/>
                                  <w:color w:val="164194"/>
                                  <w:spacing w:val="-9"/>
                                  <w:sz w:val="28"/>
                                </w:rPr>
                                <w:t> </w:t>
                              </w:r>
                              <w:r>
                                <w:rPr>
                                  <w:b/>
                                  <w:color w:val="164194"/>
                                  <w:sz w:val="28"/>
                                </w:rPr>
                                <w:t>Relations</w:t>
                              </w:r>
                              <w:r>
                                <w:rPr>
                                  <w:b/>
                                  <w:color w:val="164194"/>
                                  <w:spacing w:val="-8"/>
                                  <w:sz w:val="28"/>
                                </w:rPr>
                                <w:t> </w:t>
                              </w:r>
                              <w:r>
                                <w:rPr>
                                  <w:b/>
                                  <w:color w:val="164194"/>
                                  <w:sz w:val="28"/>
                                </w:rPr>
                                <w:t>Order. This should include as regards relevant CJEU case law.</w:t>
                              </w:r>
                            </w:p>
                          </w:txbxContent>
                        </wps:txbx>
                        <wps:bodyPr wrap="square" lIns="0" tIns="0" rIns="0" bIns="0" rtlCol="0">
                          <a:noAutofit/>
                        </wps:bodyPr>
                      </wps:wsp>
                    </wpg:wgp>
                  </a:graphicData>
                </a:graphic>
              </wp:anchor>
            </w:drawing>
          </mc:Choice>
          <mc:Fallback>
            <w:pict>
              <v:group style="position:absolute;margin-left:.0pt;margin-top:-.00002pt;width:595.3pt;height:140.550pt;mso-position-horizontal-relative:page;mso-position-vertical-relative:page;z-index:15798272" id="docshapegroup286" coordorigin="0,0" coordsize="11906,2811">
                <v:shape style="position:absolute;left:1020;top:1530;width:9468;height:1281" id="docshape287" coordorigin="1020,1531" coordsize="9468,1281" path="m10261,1531l1247,1531,1176,1542,1113,1574,1064,1624,1032,1686,1020,1757,1020,2584,1032,2656,1064,2718,1113,2767,1176,2799,1247,2811,10261,2811,10333,2799,10395,2767,10444,2718,10477,2656,10488,2584,10488,1757,10477,1686,10444,1624,10395,1574,10333,1542,10261,1531xe" filled="true" fillcolor="#e9f3fc" stroked="false">
                  <v:path arrowok="t"/>
                  <v:fill type="solid"/>
                </v:shape>
                <v:shape style="position:absolute;left:0;top:0;width:11906;height:1819" id="docshape28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289" filled="false" stroked="false">
                  <v:textbox inset="0,0,0,0">
                    <w:txbxContent>
                      <w:p>
                        <w:pPr>
                          <w:spacing w:line="280" w:lineRule="exact" w:before="0"/>
                          <w:ind w:left="0" w:right="0" w:firstLine="0"/>
                          <w:jc w:val="left"/>
                          <w:rPr>
                            <w:b/>
                            <w:sz w:val="28"/>
                          </w:rPr>
                        </w:pPr>
                        <w:r>
                          <w:rPr>
                            <w:b/>
                            <w:color w:val="FFFFFF"/>
                            <w:spacing w:val="-5"/>
                            <w:sz w:val="28"/>
                          </w:rPr>
                          <w:t>34</w:t>
                        </w:r>
                      </w:p>
                    </w:txbxContent>
                  </v:textbox>
                  <w10:wrap type="none"/>
                </v:shape>
                <v:shape style="position:absolute;left:1303;top:645;width:6182;height:240" type="#_x0000_t202" id="docshape290"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360;top:1700;width:8930;height:940" type="#_x0000_t202" id="docshape291" filled="false" stroked="false">
                  <v:textbox inset="0,0,0,0">
                    <w:txbxContent>
                      <w:p>
                        <w:pPr>
                          <w:spacing w:line="279" w:lineRule="exact" w:before="0"/>
                          <w:ind w:left="0" w:right="0" w:firstLine="0"/>
                          <w:jc w:val="left"/>
                          <w:rPr>
                            <w:b/>
                            <w:sz w:val="28"/>
                          </w:rPr>
                        </w:pPr>
                        <w:r>
                          <w:rPr>
                            <w:b/>
                            <w:color w:val="164194"/>
                            <w:sz w:val="28"/>
                          </w:rPr>
                          <w:t>We</w:t>
                        </w:r>
                        <w:r>
                          <w:rPr>
                            <w:b/>
                            <w:color w:val="164194"/>
                            <w:spacing w:val="-12"/>
                            <w:sz w:val="28"/>
                          </w:rPr>
                          <w:t> </w:t>
                        </w:r>
                        <w:r>
                          <w:rPr>
                            <w:b/>
                            <w:color w:val="164194"/>
                            <w:sz w:val="28"/>
                          </w:rPr>
                          <w:t>recommend</w:t>
                        </w:r>
                        <w:r>
                          <w:rPr>
                            <w:b/>
                            <w:color w:val="164194"/>
                            <w:spacing w:val="-11"/>
                            <w:sz w:val="28"/>
                          </w:rPr>
                          <w:t> </w:t>
                        </w:r>
                        <w:r>
                          <w:rPr>
                            <w:b/>
                            <w:color w:val="164194"/>
                            <w:sz w:val="28"/>
                          </w:rPr>
                          <w:t>that</w:t>
                        </w:r>
                        <w:r>
                          <w:rPr>
                            <w:b/>
                            <w:color w:val="164194"/>
                            <w:spacing w:val="-11"/>
                            <w:sz w:val="28"/>
                          </w:rPr>
                          <w:t> </w:t>
                        </w:r>
                        <w:r>
                          <w:rPr>
                            <w:b/>
                            <w:color w:val="164194"/>
                            <w:sz w:val="28"/>
                          </w:rPr>
                          <w:t>the</w:t>
                        </w:r>
                        <w:r>
                          <w:rPr>
                            <w:b/>
                            <w:color w:val="164194"/>
                            <w:spacing w:val="-11"/>
                            <w:sz w:val="28"/>
                          </w:rPr>
                          <w:t> </w:t>
                        </w:r>
                        <w:r>
                          <w:rPr>
                            <w:b/>
                            <w:color w:val="164194"/>
                            <w:sz w:val="28"/>
                          </w:rPr>
                          <w:t>Executive</w:t>
                        </w:r>
                        <w:r>
                          <w:rPr>
                            <w:b/>
                            <w:color w:val="164194"/>
                            <w:spacing w:val="-12"/>
                            <w:sz w:val="28"/>
                          </w:rPr>
                          <w:t> </w:t>
                        </w:r>
                        <w:r>
                          <w:rPr>
                            <w:b/>
                            <w:color w:val="164194"/>
                            <w:sz w:val="28"/>
                          </w:rPr>
                          <w:t>Office</w:t>
                        </w:r>
                        <w:r>
                          <w:rPr>
                            <w:b/>
                            <w:color w:val="164194"/>
                            <w:spacing w:val="-12"/>
                            <w:sz w:val="28"/>
                          </w:rPr>
                          <w:t> </w:t>
                        </w:r>
                        <w:r>
                          <w:rPr>
                            <w:b/>
                            <w:color w:val="164194"/>
                            <w:sz w:val="28"/>
                          </w:rPr>
                          <w:t>explicitly</w:t>
                        </w:r>
                        <w:r>
                          <w:rPr>
                            <w:b/>
                            <w:color w:val="164194"/>
                            <w:spacing w:val="-10"/>
                            <w:sz w:val="28"/>
                          </w:rPr>
                          <w:t> </w:t>
                        </w:r>
                        <w:r>
                          <w:rPr>
                            <w:b/>
                            <w:color w:val="164194"/>
                            <w:sz w:val="28"/>
                          </w:rPr>
                          <w:t>refer</w:t>
                        </w:r>
                        <w:r>
                          <w:rPr>
                            <w:b/>
                            <w:color w:val="164194"/>
                            <w:spacing w:val="-12"/>
                            <w:sz w:val="28"/>
                          </w:rPr>
                          <w:t> </w:t>
                        </w:r>
                        <w:r>
                          <w:rPr>
                            <w:b/>
                            <w:color w:val="164194"/>
                            <w:sz w:val="28"/>
                          </w:rPr>
                          <w:t>to,</w:t>
                        </w:r>
                        <w:r>
                          <w:rPr>
                            <w:b/>
                            <w:color w:val="164194"/>
                            <w:spacing w:val="-11"/>
                            <w:sz w:val="28"/>
                          </w:rPr>
                          <w:t> </w:t>
                        </w:r>
                        <w:r>
                          <w:rPr>
                            <w:b/>
                            <w:color w:val="164194"/>
                            <w:sz w:val="28"/>
                          </w:rPr>
                          <w:t>and</w:t>
                        </w:r>
                        <w:r>
                          <w:rPr>
                            <w:b/>
                            <w:color w:val="164194"/>
                            <w:spacing w:val="-11"/>
                            <w:sz w:val="28"/>
                          </w:rPr>
                          <w:t> </w:t>
                        </w:r>
                        <w:r>
                          <w:rPr>
                            <w:b/>
                            <w:color w:val="164194"/>
                            <w:sz w:val="28"/>
                          </w:rPr>
                          <w:t>consider,</w:t>
                        </w:r>
                        <w:r>
                          <w:rPr>
                            <w:b/>
                            <w:color w:val="164194"/>
                            <w:spacing w:val="-10"/>
                            <w:sz w:val="28"/>
                          </w:rPr>
                          <w:t> </w:t>
                        </w:r>
                        <w:r>
                          <w:rPr>
                            <w:b/>
                            <w:color w:val="164194"/>
                            <w:spacing w:val="-5"/>
                            <w:sz w:val="28"/>
                          </w:rPr>
                          <w:t>the</w:t>
                        </w:r>
                      </w:p>
                      <w:p>
                        <w:pPr>
                          <w:spacing w:line="232" w:lineRule="auto" w:before="0"/>
                          <w:ind w:left="0" w:right="0" w:firstLine="0"/>
                          <w:jc w:val="left"/>
                          <w:rPr>
                            <w:b/>
                            <w:sz w:val="28"/>
                          </w:rPr>
                        </w:pPr>
                        <w:r>
                          <w:rPr>
                            <w:b/>
                            <w:color w:val="164194"/>
                            <w:sz w:val="28"/>
                          </w:rPr>
                          <w:t>Article</w:t>
                        </w:r>
                        <w:r>
                          <w:rPr>
                            <w:b/>
                            <w:color w:val="164194"/>
                            <w:spacing w:val="-9"/>
                            <w:sz w:val="28"/>
                          </w:rPr>
                          <w:t> </w:t>
                        </w:r>
                        <w:r>
                          <w:rPr>
                            <w:b/>
                            <w:color w:val="164194"/>
                            <w:sz w:val="28"/>
                          </w:rPr>
                          <w:t>2</w:t>
                        </w:r>
                        <w:r>
                          <w:rPr>
                            <w:b/>
                            <w:color w:val="164194"/>
                            <w:spacing w:val="-8"/>
                            <w:sz w:val="28"/>
                          </w:rPr>
                          <w:t> </w:t>
                        </w:r>
                        <w:r>
                          <w:rPr>
                            <w:b/>
                            <w:color w:val="164194"/>
                            <w:sz w:val="28"/>
                          </w:rPr>
                          <w:t>WF</w:t>
                        </w:r>
                        <w:r>
                          <w:rPr>
                            <w:b/>
                            <w:color w:val="164194"/>
                            <w:spacing w:val="-9"/>
                            <w:sz w:val="28"/>
                          </w:rPr>
                          <w:t> </w:t>
                        </w:r>
                        <w:r>
                          <w:rPr>
                            <w:b/>
                            <w:color w:val="164194"/>
                            <w:sz w:val="28"/>
                          </w:rPr>
                          <w:t>obligations</w:t>
                        </w:r>
                        <w:r>
                          <w:rPr>
                            <w:b/>
                            <w:color w:val="164194"/>
                            <w:spacing w:val="-8"/>
                            <w:sz w:val="28"/>
                          </w:rPr>
                          <w:t> </w:t>
                        </w:r>
                        <w:r>
                          <w:rPr>
                            <w:b/>
                            <w:color w:val="164194"/>
                            <w:sz w:val="28"/>
                          </w:rPr>
                          <w:t>in</w:t>
                        </w:r>
                        <w:r>
                          <w:rPr>
                            <w:b/>
                            <w:color w:val="164194"/>
                            <w:spacing w:val="-8"/>
                            <w:sz w:val="28"/>
                          </w:rPr>
                          <w:t> </w:t>
                        </w:r>
                        <w:r>
                          <w:rPr>
                            <w:b/>
                            <w:color w:val="164194"/>
                            <w:sz w:val="28"/>
                          </w:rPr>
                          <w:t>its</w:t>
                        </w:r>
                        <w:r>
                          <w:rPr>
                            <w:b/>
                            <w:color w:val="164194"/>
                            <w:spacing w:val="-8"/>
                            <w:sz w:val="28"/>
                          </w:rPr>
                          <w:t> </w:t>
                        </w:r>
                        <w:r>
                          <w:rPr>
                            <w:b/>
                            <w:color w:val="164194"/>
                            <w:sz w:val="28"/>
                          </w:rPr>
                          <w:t>work</w:t>
                        </w:r>
                        <w:r>
                          <w:rPr>
                            <w:b/>
                            <w:color w:val="164194"/>
                            <w:spacing w:val="-9"/>
                            <w:sz w:val="28"/>
                          </w:rPr>
                          <w:t> </w:t>
                        </w:r>
                        <w:r>
                          <w:rPr>
                            <w:b/>
                            <w:color w:val="164194"/>
                            <w:sz w:val="28"/>
                          </w:rPr>
                          <w:t>on</w:t>
                        </w:r>
                        <w:r>
                          <w:rPr>
                            <w:b/>
                            <w:color w:val="164194"/>
                            <w:spacing w:val="-8"/>
                            <w:sz w:val="28"/>
                          </w:rPr>
                          <w:t> </w:t>
                        </w:r>
                        <w:r>
                          <w:rPr>
                            <w:b/>
                            <w:color w:val="164194"/>
                            <w:sz w:val="28"/>
                          </w:rPr>
                          <w:t>reform</w:t>
                        </w:r>
                        <w:r>
                          <w:rPr>
                            <w:b/>
                            <w:color w:val="164194"/>
                            <w:spacing w:val="-9"/>
                            <w:sz w:val="28"/>
                          </w:rPr>
                          <w:t> </w:t>
                        </w:r>
                        <w:r>
                          <w:rPr>
                            <w:b/>
                            <w:color w:val="164194"/>
                            <w:sz w:val="28"/>
                          </w:rPr>
                          <w:t>of</w:t>
                        </w:r>
                        <w:r>
                          <w:rPr>
                            <w:b/>
                            <w:color w:val="164194"/>
                            <w:spacing w:val="-9"/>
                            <w:sz w:val="28"/>
                          </w:rPr>
                          <w:t> </w:t>
                        </w:r>
                        <w:r>
                          <w:rPr>
                            <w:b/>
                            <w:color w:val="164194"/>
                            <w:sz w:val="28"/>
                          </w:rPr>
                          <w:t>the</w:t>
                        </w:r>
                        <w:r>
                          <w:rPr>
                            <w:b/>
                            <w:color w:val="164194"/>
                            <w:spacing w:val="-9"/>
                            <w:sz w:val="28"/>
                          </w:rPr>
                          <w:t> </w:t>
                        </w:r>
                        <w:r>
                          <w:rPr>
                            <w:b/>
                            <w:color w:val="164194"/>
                            <w:sz w:val="28"/>
                          </w:rPr>
                          <w:t>Race</w:t>
                        </w:r>
                        <w:r>
                          <w:rPr>
                            <w:b/>
                            <w:color w:val="164194"/>
                            <w:spacing w:val="-9"/>
                            <w:sz w:val="28"/>
                          </w:rPr>
                          <w:t> </w:t>
                        </w:r>
                        <w:r>
                          <w:rPr>
                            <w:b/>
                            <w:color w:val="164194"/>
                            <w:sz w:val="28"/>
                          </w:rPr>
                          <w:t>Relations</w:t>
                        </w:r>
                        <w:r>
                          <w:rPr>
                            <w:b/>
                            <w:color w:val="164194"/>
                            <w:spacing w:val="-8"/>
                            <w:sz w:val="28"/>
                          </w:rPr>
                          <w:t> </w:t>
                        </w:r>
                        <w:r>
                          <w:rPr>
                            <w:b/>
                            <w:color w:val="164194"/>
                            <w:sz w:val="28"/>
                          </w:rPr>
                          <w:t>Order. This should include as regards relevant CJEU case law.</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3"/>
        <w:rPr>
          <w:sz w:val="20"/>
        </w:rPr>
      </w:pPr>
    </w:p>
    <w:p>
      <w:pPr>
        <w:pStyle w:val="BodyText"/>
        <w:ind w:left="720"/>
        <w:rPr>
          <w:sz w:val="20"/>
        </w:rPr>
      </w:pPr>
      <w:r>
        <w:rPr>
          <w:sz w:val="20"/>
        </w:rPr>
        <mc:AlternateContent>
          <mc:Choice Requires="wps">
            <w:drawing>
              <wp:inline distT="0" distB="0" distL="0" distR="0">
                <wp:extent cx="6012180" cy="1442085"/>
                <wp:effectExtent l="0" t="0" r="0" b="5715"/>
                <wp:docPr id="372" name="Group 372"/>
                <wp:cNvGraphicFramePr>
                  <a:graphicFrameLocks/>
                </wp:cNvGraphicFramePr>
                <a:graphic>
                  <a:graphicData uri="http://schemas.microsoft.com/office/word/2010/wordprocessingGroup">
                    <wpg:wgp>
                      <wpg:cNvPr id="372" name="Group 372"/>
                      <wpg:cNvGrpSpPr/>
                      <wpg:grpSpPr>
                        <a:xfrm>
                          <a:off x="0" y="0"/>
                          <a:ext cx="6012180" cy="1442085"/>
                          <a:chExt cx="6012180" cy="1442085"/>
                        </a:xfrm>
                      </wpg:grpSpPr>
                      <wps:wsp>
                        <wps:cNvPr id="373" name="Graphic 373"/>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374" name="Textbox 374"/>
                        <wps:cNvSpPr txBox="1"/>
                        <wps:spPr>
                          <a:xfrm>
                            <a:off x="0" y="0"/>
                            <a:ext cx="6012180" cy="1442085"/>
                          </a:xfrm>
                          <a:prstGeom prst="rect">
                            <a:avLst/>
                          </a:prstGeom>
                        </wps:spPr>
                        <wps:txbx>
                          <w:txbxContent>
                            <w:p>
                              <w:pPr>
                                <w:spacing w:line="232" w:lineRule="auto" w:before="121"/>
                                <w:ind w:left="340" w:right="152" w:firstLine="0"/>
                                <w:jc w:val="both"/>
                                <w:rPr>
                                  <w:b/>
                                  <w:sz w:val="28"/>
                                </w:rPr>
                              </w:pPr>
                              <w:bookmarkStart w:name="2.3 United Kingdom" w:id="50"/>
                              <w:bookmarkEnd w:id="50"/>
                              <w:r>
                                <w:rPr/>
                              </w:r>
                              <w:bookmarkStart w:name="2.3.1 Bill of Rights Bill and the ECHR" w:id="51"/>
                              <w:bookmarkEnd w:id="51"/>
                              <w:r>
                                <w:rPr/>
                              </w:r>
                              <w:bookmarkStart w:name="_bookmark21" w:id="52"/>
                              <w:bookmarkEnd w:id="52"/>
                              <w:r>
                                <w:rPr/>
                              </w:r>
                              <w:r>
                                <w:rPr>
                                  <w:b/>
                                  <w:color w:val="164194"/>
                                  <w:sz w:val="28"/>
                                </w:rPr>
                                <w:t>We</w:t>
                              </w:r>
                              <w:r>
                                <w:rPr>
                                  <w:b/>
                                  <w:color w:val="164194"/>
                                  <w:spacing w:val="-2"/>
                                  <w:sz w:val="28"/>
                                </w:rPr>
                                <w:t> </w:t>
                              </w:r>
                              <w:r>
                                <w:rPr>
                                  <w:b/>
                                  <w:color w:val="164194"/>
                                  <w:sz w:val="28"/>
                                </w:rPr>
                                <w:t>recommend</w:t>
                              </w:r>
                              <w:r>
                                <w:rPr>
                                  <w:b/>
                                  <w:color w:val="164194"/>
                                  <w:spacing w:val="-1"/>
                                  <w:sz w:val="28"/>
                                </w:rPr>
                                <w:t> </w:t>
                              </w:r>
                              <w:r>
                                <w:rPr>
                                  <w:b/>
                                  <w:color w:val="164194"/>
                                  <w:sz w:val="28"/>
                                </w:rPr>
                                <w:t>that</w:t>
                              </w:r>
                              <w:r>
                                <w:rPr>
                                  <w:b/>
                                  <w:color w:val="164194"/>
                                  <w:spacing w:val="-1"/>
                                  <w:sz w:val="28"/>
                                </w:rPr>
                                <w:t> </w:t>
                              </w:r>
                              <w:r>
                                <w:rPr>
                                  <w:b/>
                                  <w:color w:val="164194"/>
                                  <w:sz w:val="28"/>
                                </w:rPr>
                                <w:t>the</w:t>
                              </w:r>
                              <w:r>
                                <w:rPr>
                                  <w:b/>
                                  <w:color w:val="164194"/>
                                  <w:spacing w:val="-2"/>
                                  <w:sz w:val="28"/>
                                </w:rPr>
                                <w:t> </w:t>
                              </w:r>
                              <w:r>
                                <w:rPr>
                                  <w:b/>
                                  <w:color w:val="164194"/>
                                  <w:sz w:val="28"/>
                                </w:rPr>
                                <w:t>Executive</w:t>
                              </w:r>
                              <w:r>
                                <w:rPr>
                                  <w:b/>
                                  <w:color w:val="164194"/>
                                  <w:spacing w:val="-2"/>
                                  <w:sz w:val="28"/>
                                </w:rPr>
                                <w:t> </w:t>
                              </w:r>
                              <w:r>
                                <w:rPr>
                                  <w:b/>
                                  <w:color w:val="164194"/>
                                  <w:sz w:val="28"/>
                                </w:rPr>
                                <w:t>Office</w:t>
                              </w:r>
                              <w:r>
                                <w:rPr>
                                  <w:b/>
                                  <w:color w:val="164194"/>
                                  <w:spacing w:val="-2"/>
                                  <w:sz w:val="28"/>
                                </w:rPr>
                                <w:t> </w:t>
                              </w:r>
                              <w:r>
                                <w:rPr>
                                  <w:b/>
                                  <w:color w:val="164194"/>
                                  <w:sz w:val="28"/>
                                </w:rPr>
                                <w:t>and</w:t>
                              </w:r>
                              <w:r>
                                <w:rPr>
                                  <w:b/>
                                  <w:color w:val="164194"/>
                                  <w:spacing w:val="-1"/>
                                  <w:sz w:val="28"/>
                                </w:rPr>
                                <w:t> </w:t>
                              </w:r>
                              <w:r>
                                <w:rPr>
                                  <w:b/>
                                  <w:color w:val="164194"/>
                                  <w:sz w:val="28"/>
                                </w:rPr>
                                <w:t>other</w:t>
                              </w:r>
                              <w:r>
                                <w:rPr>
                                  <w:b/>
                                  <w:color w:val="164194"/>
                                  <w:spacing w:val="-2"/>
                                  <w:sz w:val="28"/>
                                </w:rPr>
                                <w:t> </w:t>
                              </w:r>
                              <w:r>
                                <w:rPr>
                                  <w:b/>
                                  <w:color w:val="164194"/>
                                  <w:sz w:val="28"/>
                                </w:rPr>
                                <w:t>relevant</w:t>
                              </w:r>
                              <w:r>
                                <w:rPr>
                                  <w:b/>
                                  <w:color w:val="164194"/>
                                  <w:spacing w:val="-1"/>
                                  <w:sz w:val="28"/>
                                </w:rPr>
                                <w:t> </w:t>
                              </w:r>
                              <w:r>
                                <w:rPr>
                                  <w:b/>
                                  <w:color w:val="164194"/>
                                  <w:sz w:val="28"/>
                                </w:rPr>
                                <w:t>NI</w:t>
                              </w:r>
                              <w:r>
                                <w:rPr>
                                  <w:b/>
                                  <w:color w:val="164194"/>
                                  <w:spacing w:val="-1"/>
                                  <w:sz w:val="28"/>
                                </w:rPr>
                                <w:t> </w:t>
                              </w:r>
                              <w:r>
                                <w:rPr>
                                  <w:b/>
                                  <w:color w:val="164194"/>
                                  <w:sz w:val="28"/>
                                </w:rPr>
                                <w:t>Departments consider</w:t>
                              </w:r>
                              <w:r>
                                <w:rPr>
                                  <w:b/>
                                  <w:color w:val="164194"/>
                                  <w:spacing w:val="-7"/>
                                  <w:sz w:val="28"/>
                                </w:rPr>
                                <w:t> </w:t>
                              </w:r>
                              <w:r>
                                <w:rPr>
                                  <w:b/>
                                  <w:color w:val="164194"/>
                                  <w:sz w:val="28"/>
                                </w:rPr>
                                <w:t>any</w:t>
                              </w:r>
                              <w:r>
                                <w:rPr>
                                  <w:b/>
                                  <w:color w:val="164194"/>
                                  <w:spacing w:val="-6"/>
                                  <w:sz w:val="28"/>
                                </w:rPr>
                                <w:t> </w:t>
                              </w:r>
                              <w:r>
                                <w:rPr>
                                  <w:b/>
                                  <w:color w:val="164194"/>
                                  <w:sz w:val="28"/>
                                </w:rPr>
                                <w:t>EU</w:t>
                              </w:r>
                              <w:r>
                                <w:rPr>
                                  <w:b/>
                                  <w:color w:val="164194"/>
                                  <w:spacing w:val="-6"/>
                                  <w:sz w:val="28"/>
                                </w:rPr>
                                <w:t> </w:t>
                              </w:r>
                              <w:r>
                                <w:rPr>
                                  <w:b/>
                                  <w:color w:val="164194"/>
                                  <w:sz w:val="28"/>
                                </w:rPr>
                                <w:t>proposals</w:t>
                              </w:r>
                              <w:r>
                                <w:rPr>
                                  <w:b/>
                                  <w:color w:val="164194"/>
                                  <w:spacing w:val="-6"/>
                                  <w:sz w:val="28"/>
                                </w:rPr>
                                <w:t> </w:t>
                              </w:r>
                              <w:r>
                                <w:rPr>
                                  <w:b/>
                                  <w:color w:val="164194"/>
                                  <w:sz w:val="28"/>
                                </w:rPr>
                                <w:t>for</w:t>
                              </w:r>
                              <w:r>
                                <w:rPr>
                                  <w:b/>
                                  <w:color w:val="164194"/>
                                  <w:spacing w:val="-7"/>
                                  <w:sz w:val="28"/>
                                </w:rPr>
                                <w:t> </w:t>
                              </w:r>
                              <w:r>
                                <w:rPr>
                                  <w:b/>
                                  <w:color w:val="164194"/>
                                  <w:sz w:val="28"/>
                                </w:rPr>
                                <w:t>amendments</w:t>
                              </w:r>
                              <w:r>
                                <w:rPr>
                                  <w:b/>
                                  <w:color w:val="164194"/>
                                  <w:spacing w:val="-6"/>
                                  <w:sz w:val="28"/>
                                </w:rPr>
                                <w:t> </w:t>
                              </w:r>
                              <w:r>
                                <w:rPr>
                                  <w:b/>
                                  <w:color w:val="164194"/>
                                  <w:sz w:val="28"/>
                                </w:rPr>
                                <w:t>to</w:t>
                              </w:r>
                              <w:r>
                                <w:rPr>
                                  <w:b/>
                                  <w:color w:val="164194"/>
                                  <w:spacing w:val="-6"/>
                                  <w:sz w:val="28"/>
                                </w:rPr>
                                <w:t> </w:t>
                              </w:r>
                              <w:r>
                                <w:rPr>
                                  <w:b/>
                                  <w:color w:val="164194"/>
                                  <w:sz w:val="28"/>
                                </w:rPr>
                                <w:t>EU</w:t>
                              </w:r>
                              <w:r>
                                <w:rPr>
                                  <w:b/>
                                  <w:color w:val="164194"/>
                                  <w:spacing w:val="-6"/>
                                  <w:sz w:val="28"/>
                                </w:rPr>
                                <w:t> </w:t>
                              </w:r>
                              <w:r>
                                <w:rPr>
                                  <w:b/>
                                  <w:color w:val="164194"/>
                                  <w:sz w:val="28"/>
                                </w:rPr>
                                <w:t>law</w:t>
                              </w:r>
                              <w:r>
                                <w:rPr>
                                  <w:b/>
                                  <w:color w:val="164194"/>
                                  <w:spacing w:val="-7"/>
                                  <w:sz w:val="28"/>
                                </w:rPr>
                                <w:t> </w:t>
                              </w:r>
                              <w:r>
                                <w:rPr>
                                  <w:b/>
                                  <w:color w:val="164194"/>
                                  <w:sz w:val="28"/>
                                </w:rPr>
                                <w:t>where</w:t>
                              </w:r>
                              <w:r>
                                <w:rPr>
                                  <w:b/>
                                  <w:color w:val="164194"/>
                                  <w:spacing w:val="-7"/>
                                  <w:sz w:val="28"/>
                                </w:rPr>
                                <w:t> </w:t>
                              </w:r>
                              <w:r>
                                <w:rPr>
                                  <w:b/>
                                  <w:color w:val="164194"/>
                                  <w:sz w:val="28"/>
                                </w:rPr>
                                <w:t>they</w:t>
                              </w:r>
                              <w:r>
                                <w:rPr>
                                  <w:b/>
                                  <w:color w:val="164194"/>
                                  <w:spacing w:val="-6"/>
                                  <w:sz w:val="28"/>
                                </w:rPr>
                                <w:t> </w:t>
                              </w:r>
                              <w:r>
                                <w:rPr>
                                  <w:b/>
                                  <w:color w:val="164194"/>
                                  <w:sz w:val="28"/>
                                </w:rPr>
                                <w:t>may</w:t>
                              </w:r>
                              <w:r>
                                <w:rPr>
                                  <w:b/>
                                  <w:color w:val="164194"/>
                                  <w:spacing w:val="-6"/>
                                  <w:sz w:val="28"/>
                                </w:rPr>
                                <w:t> </w:t>
                              </w:r>
                              <w:r>
                                <w:rPr>
                                  <w:b/>
                                  <w:color w:val="164194"/>
                                  <w:sz w:val="28"/>
                                </w:rPr>
                                <w:t>trigger the keeping pace requirement because they amend or replace an Annex</w:t>
                              </w:r>
                            </w:p>
                            <w:p>
                              <w:pPr>
                                <w:spacing w:line="232" w:lineRule="auto" w:before="0"/>
                                <w:ind w:left="340" w:right="196" w:firstLine="0"/>
                                <w:jc w:val="left"/>
                                <w:rPr>
                                  <w:b/>
                                  <w:sz w:val="28"/>
                                </w:rPr>
                              </w:pPr>
                              <w:r>
                                <w:rPr>
                                  <w:b/>
                                  <w:color w:val="164194"/>
                                  <w:sz w:val="28"/>
                                </w:rPr>
                                <w:t>1 directive or may represent an opportunity for voluntary alignment to strengthen</w:t>
                              </w:r>
                              <w:r>
                                <w:rPr>
                                  <w:b/>
                                  <w:color w:val="164194"/>
                                  <w:spacing w:val="-9"/>
                                  <w:sz w:val="28"/>
                                </w:rPr>
                                <w:t>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reflect</w:t>
                              </w:r>
                              <w:r>
                                <w:rPr>
                                  <w:b/>
                                  <w:color w:val="164194"/>
                                  <w:spacing w:val="-9"/>
                                  <w:sz w:val="28"/>
                                </w:rPr>
                                <w:t> </w:t>
                              </w:r>
                              <w:r>
                                <w:rPr>
                                  <w:b/>
                                  <w:color w:val="164194"/>
                                  <w:sz w:val="28"/>
                                </w:rPr>
                                <w:t>international</w:t>
                              </w:r>
                              <w:r>
                                <w:rPr>
                                  <w:b/>
                                  <w:color w:val="164194"/>
                                  <w:spacing w:val="-9"/>
                                  <w:sz w:val="28"/>
                                </w:rPr>
                                <w:t> </w:t>
                              </w:r>
                              <w:r>
                                <w:rPr>
                                  <w:b/>
                                  <w:color w:val="164194"/>
                                  <w:sz w:val="28"/>
                                </w:rPr>
                                <w:t>human</w:t>
                              </w:r>
                              <w:r>
                                <w:rPr>
                                  <w:b/>
                                  <w:color w:val="164194"/>
                                  <w:spacing w:val="-9"/>
                                  <w:sz w:val="28"/>
                                </w:rPr>
                                <w:t> </w:t>
                              </w:r>
                              <w:r>
                                <w:rPr>
                                  <w:b/>
                                  <w:color w:val="164194"/>
                                  <w:sz w:val="28"/>
                                </w:rPr>
                                <w:t>rights</w:t>
                              </w:r>
                              <w:r>
                                <w:rPr>
                                  <w:b/>
                                  <w:color w:val="164194"/>
                                  <w:spacing w:val="-9"/>
                                  <w:sz w:val="28"/>
                                </w:rPr>
                                <w:t> </w:t>
                              </w:r>
                              <w:r>
                                <w:rPr>
                                  <w:b/>
                                  <w:color w:val="164194"/>
                                  <w:sz w:val="28"/>
                                </w:rPr>
                                <w:t>standards</w:t>
                              </w:r>
                              <w:r>
                                <w:rPr>
                                  <w:b/>
                                  <w:color w:val="164194"/>
                                  <w:spacing w:val="-9"/>
                                  <w:sz w:val="28"/>
                                </w:rPr>
                                <w:t> </w:t>
                              </w:r>
                              <w:r>
                                <w:rPr>
                                  <w:b/>
                                  <w:color w:val="164194"/>
                                  <w:sz w:val="28"/>
                                </w:rPr>
                                <w:t>and</w:t>
                              </w:r>
                              <w:r>
                                <w:rPr>
                                  <w:b/>
                                  <w:color w:val="164194"/>
                                  <w:spacing w:val="-9"/>
                                  <w:sz w:val="28"/>
                                </w:rPr>
                                <w:t> </w:t>
                              </w:r>
                              <w:r>
                                <w:rPr>
                                  <w:b/>
                                  <w:color w:val="164194"/>
                                  <w:sz w:val="28"/>
                                </w:rPr>
                                <w:t>best </w:t>
                              </w:r>
                              <w:r>
                                <w:rPr>
                                  <w:b/>
                                  <w:color w:val="164194"/>
                                  <w:spacing w:val="-2"/>
                                  <w:sz w:val="28"/>
                                </w:rPr>
                                <w:t>practice.</w:t>
                              </w:r>
                            </w:p>
                          </w:txbxContent>
                        </wps:txbx>
                        <wps:bodyPr wrap="square" lIns="0" tIns="0" rIns="0" bIns="0" rtlCol="0">
                          <a:noAutofit/>
                        </wps:bodyPr>
                      </wps:wsp>
                    </wpg:wgp>
                  </a:graphicData>
                </a:graphic>
              </wp:inline>
            </w:drawing>
          </mc:Choice>
          <mc:Fallback>
            <w:pict>
              <v:group style="width:473.4pt;height:113.55pt;mso-position-horizontal-relative:char;mso-position-vertical-relative:line" id="docshapegroup292" coordorigin="0,0" coordsize="9468,2271">
                <v:shape style="position:absolute;left:0;top:0;width:9468;height:2271" id="docshape293" coordorigin="0,0" coordsize="9468,2271" path="m9241,0l227,0,155,12,93,44,44,93,12,155,0,227,0,2043,12,2115,44,2177,93,2226,155,2259,227,2270,9241,2270,9313,2259,9375,2226,9424,2177,9456,2115,9468,2043,9468,227,9456,155,9424,93,9375,44,9313,12,9241,0xe" filled="true" fillcolor="#e9f3fc" stroked="false">
                  <v:path arrowok="t"/>
                  <v:fill type="solid"/>
                </v:shape>
                <v:shape style="position:absolute;left:0;top:0;width:9468;height:2271" type="#_x0000_t202" id="docshape294" filled="false" stroked="false">
                  <v:textbox inset="0,0,0,0">
                    <w:txbxContent>
                      <w:p>
                        <w:pPr>
                          <w:spacing w:line="232" w:lineRule="auto" w:before="121"/>
                          <w:ind w:left="340" w:right="152" w:firstLine="0"/>
                          <w:jc w:val="both"/>
                          <w:rPr>
                            <w:b/>
                            <w:sz w:val="28"/>
                          </w:rPr>
                        </w:pPr>
                        <w:bookmarkStart w:name="2.3 United Kingdom" w:id="53"/>
                        <w:bookmarkEnd w:id="53"/>
                        <w:r>
                          <w:rPr/>
                        </w:r>
                        <w:bookmarkStart w:name="2.3.1 Bill of Rights Bill and the ECHR" w:id="54"/>
                        <w:bookmarkEnd w:id="54"/>
                        <w:r>
                          <w:rPr/>
                        </w:r>
                        <w:bookmarkStart w:name="_bookmark21" w:id="55"/>
                        <w:bookmarkEnd w:id="55"/>
                        <w:r>
                          <w:rPr/>
                        </w:r>
                        <w:r>
                          <w:rPr>
                            <w:b/>
                            <w:color w:val="164194"/>
                            <w:sz w:val="28"/>
                          </w:rPr>
                          <w:t>We</w:t>
                        </w:r>
                        <w:r>
                          <w:rPr>
                            <w:b/>
                            <w:color w:val="164194"/>
                            <w:spacing w:val="-2"/>
                            <w:sz w:val="28"/>
                          </w:rPr>
                          <w:t> </w:t>
                        </w:r>
                        <w:r>
                          <w:rPr>
                            <w:b/>
                            <w:color w:val="164194"/>
                            <w:sz w:val="28"/>
                          </w:rPr>
                          <w:t>recommend</w:t>
                        </w:r>
                        <w:r>
                          <w:rPr>
                            <w:b/>
                            <w:color w:val="164194"/>
                            <w:spacing w:val="-1"/>
                            <w:sz w:val="28"/>
                          </w:rPr>
                          <w:t> </w:t>
                        </w:r>
                        <w:r>
                          <w:rPr>
                            <w:b/>
                            <w:color w:val="164194"/>
                            <w:sz w:val="28"/>
                          </w:rPr>
                          <w:t>that</w:t>
                        </w:r>
                        <w:r>
                          <w:rPr>
                            <w:b/>
                            <w:color w:val="164194"/>
                            <w:spacing w:val="-1"/>
                            <w:sz w:val="28"/>
                          </w:rPr>
                          <w:t> </w:t>
                        </w:r>
                        <w:r>
                          <w:rPr>
                            <w:b/>
                            <w:color w:val="164194"/>
                            <w:sz w:val="28"/>
                          </w:rPr>
                          <w:t>the</w:t>
                        </w:r>
                        <w:r>
                          <w:rPr>
                            <w:b/>
                            <w:color w:val="164194"/>
                            <w:spacing w:val="-2"/>
                            <w:sz w:val="28"/>
                          </w:rPr>
                          <w:t> </w:t>
                        </w:r>
                        <w:r>
                          <w:rPr>
                            <w:b/>
                            <w:color w:val="164194"/>
                            <w:sz w:val="28"/>
                          </w:rPr>
                          <w:t>Executive</w:t>
                        </w:r>
                        <w:r>
                          <w:rPr>
                            <w:b/>
                            <w:color w:val="164194"/>
                            <w:spacing w:val="-2"/>
                            <w:sz w:val="28"/>
                          </w:rPr>
                          <w:t> </w:t>
                        </w:r>
                        <w:r>
                          <w:rPr>
                            <w:b/>
                            <w:color w:val="164194"/>
                            <w:sz w:val="28"/>
                          </w:rPr>
                          <w:t>Office</w:t>
                        </w:r>
                        <w:r>
                          <w:rPr>
                            <w:b/>
                            <w:color w:val="164194"/>
                            <w:spacing w:val="-2"/>
                            <w:sz w:val="28"/>
                          </w:rPr>
                          <w:t> </w:t>
                        </w:r>
                        <w:r>
                          <w:rPr>
                            <w:b/>
                            <w:color w:val="164194"/>
                            <w:sz w:val="28"/>
                          </w:rPr>
                          <w:t>and</w:t>
                        </w:r>
                        <w:r>
                          <w:rPr>
                            <w:b/>
                            <w:color w:val="164194"/>
                            <w:spacing w:val="-1"/>
                            <w:sz w:val="28"/>
                          </w:rPr>
                          <w:t> </w:t>
                        </w:r>
                        <w:r>
                          <w:rPr>
                            <w:b/>
                            <w:color w:val="164194"/>
                            <w:sz w:val="28"/>
                          </w:rPr>
                          <w:t>other</w:t>
                        </w:r>
                        <w:r>
                          <w:rPr>
                            <w:b/>
                            <w:color w:val="164194"/>
                            <w:spacing w:val="-2"/>
                            <w:sz w:val="28"/>
                          </w:rPr>
                          <w:t> </w:t>
                        </w:r>
                        <w:r>
                          <w:rPr>
                            <w:b/>
                            <w:color w:val="164194"/>
                            <w:sz w:val="28"/>
                          </w:rPr>
                          <w:t>relevant</w:t>
                        </w:r>
                        <w:r>
                          <w:rPr>
                            <w:b/>
                            <w:color w:val="164194"/>
                            <w:spacing w:val="-1"/>
                            <w:sz w:val="28"/>
                          </w:rPr>
                          <w:t> </w:t>
                        </w:r>
                        <w:r>
                          <w:rPr>
                            <w:b/>
                            <w:color w:val="164194"/>
                            <w:sz w:val="28"/>
                          </w:rPr>
                          <w:t>NI</w:t>
                        </w:r>
                        <w:r>
                          <w:rPr>
                            <w:b/>
                            <w:color w:val="164194"/>
                            <w:spacing w:val="-1"/>
                            <w:sz w:val="28"/>
                          </w:rPr>
                          <w:t> </w:t>
                        </w:r>
                        <w:r>
                          <w:rPr>
                            <w:b/>
                            <w:color w:val="164194"/>
                            <w:sz w:val="28"/>
                          </w:rPr>
                          <w:t>Departments consider</w:t>
                        </w:r>
                        <w:r>
                          <w:rPr>
                            <w:b/>
                            <w:color w:val="164194"/>
                            <w:spacing w:val="-7"/>
                            <w:sz w:val="28"/>
                          </w:rPr>
                          <w:t> </w:t>
                        </w:r>
                        <w:r>
                          <w:rPr>
                            <w:b/>
                            <w:color w:val="164194"/>
                            <w:sz w:val="28"/>
                          </w:rPr>
                          <w:t>any</w:t>
                        </w:r>
                        <w:r>
                          <w:rPr>
                            <w:b/>
                            <w:color w:val="164194"/>
                            <w:spacing w:val="-6"/>
                            <w:sz w:val="28"/>
                          </w:rPr>
                          <w:t> </w:t>
                        </w:r>
                        <w:r>
                          <w:rPr>
                            <w:b/>
                            <w:color w:val="164194"/>
                            <w:sz w:val="28"/>
                          </w:rPr>
                          <w:t>EU</w:t>
                        </w:r>
                        <w:r>
                          <w:rPr>
                            <w:b/>
                            <w:color w:val="164194"/>
                            <w:spacing w:val="-6"/>
                            <w:sz w:val="28"/>
                          </w:rPr>
                          <w:t> </w:t>
                        </w:r>
                        <w:r>
                          <w:rPr>
                            <w:b/>
                            <w:color w:val="164194"/>
                            <w:sz w:val="28"/>
                          </w:rPr>
                          <w:t>proposals</w:t>
                        </w:r>
                        <w:r>
                          <w:rPr>
                            <w:b/>
                            <w:color w:val="164194"/>
                            <w:spacing w:val="-6"/>
                            <w:sz w:val="28"/>
                          </w:rPr>
                          <w:t> </w:t>
                        </w:r>
                        <w:r>
                          <w:rPr>
                            <w:b/>
                            <w:color w:val="164194"/>
                            <w:sz w:val="28"/>
                          </w:rPr>
                          <w:t>for</w:t>
                        </w:r>
                        <w:r>
                          <w:rPr>
                            <w:b/>
                            <w:color w:val="164194"/>
                            <w:spacing w:val="-7"/>
                            <w:sz w:val="28"/>
                          </w:rPr>
                          <w:t> </w:t>
                        </w:r>
                        <w:r>
                          <w:rPr>
                            <w:b/>
                            <w:color w:val="164194"/>
                            <w:sz w:val="28"/>
                          </w:rPr>
                          <w:t>amendments</w:t>
                        </w:r>
                        <w:r>
                          <w:rPr>
                            <w:b/>
                            <w:color w:val="164194"/>
                            <w:spacing w:val="-6"/>
                            <w:sz w:val="28"/>
                          </w:rPr>
                          <w:t> </w:t>
                        </w:r>
                        <w:r>
                          <w:rPr>
                            <w:b/>
                            <w:color w:val="164194"/>
                            <w:sz w:val="28"/>
                          </w:rPr>
                          <w:t>to</w:t>
                        </w:r>
                        <w:r>
                          <w:rPr>
                            <w:b/>
                            <w:color w:val="164194"/>
                            <w:spacing w:val="-6"/>
                            <w:sz w:val="28"/>
                          </w:rPr>
                          <w:t> </w:t>
                        </w:r>
                        <w:r>
                          <w:rPr>
                            <w:b/>
                            <w:color w:val="164194"/>
                            <w:sz w:val="28"/>
                          </w:rPr>
                          <w:t>EU</w:t>
                        </w:r>
                        <w:r>
                          <w:rPr>
                            <w:b/>
                            <w:color w:val="164194"/>
                            <w:spacing w:val="-6"/>
                            <w:sz w:val="28"/>
                          </w:rPr>
                          <w:t> </w:t>
                        </w:r>
                        <w:r>
                          <w:rPr>
                            <w:b/>
                            <w:color w:val="164194"/>
                            <w:sz w:val="28"/>
                          </w:rPr>
                          <w:t>law</w:t>
                        </w:r>
                        <w:r>
                          <w:rPr>
                            <w:b/>
                            <w:color w:val="164194"/>
                            <w:spacing w:val="-7"/>
                            <w:sz w:val="28"/>
                          </w:rPr>
                          <w:t> </w:t>
                        </w:r>
                        <w:r>
                          <w:rPr>
                            <w:b/>
                            <w:color w:val="164194"/>
                            <w:sz w:val="28"/>
                          </w:rPr>
                          <w:t>where</w:t>
                        </w:r>
                        <w:r>
                          <w:rPr>
                            <w:b/>
                            <w:color w:val="164194"/>
                            <w:spacing w:val="-7"/>
                            <w:sz w:val="28"/>
                          </w:rPr>
                          <w:t> </w:t>
                        </w:r>
                        <w:r>
                          <w:rPr>
                            <w:b/>
                            <w:color w:val="164194"/>
                            <w:sz w:val="28"/>
                          </w:rPr>
                          <w:t>they</w:t>
                        </w:r>
                        <w:r>
                          <w:rPr>
                            <w:b/>
                            <w:color w:val="164194"/>
                            <w:spacing w:val="-6"/>
                            <w:sz w:val="28"/>
                          </w:rPr>
                          <w:t> </w:t>
                        </w:r>
                        <w:r>
                          <w:rPr>
                            <w:b/>
                            <w:color w:val="164194"/>
                            <w:sz w:val="28"/>
                          </w:rPr>
                          <w:t>may</w:t>
                        </w:r>
                        <w:r>
                          <w:rPr>
                            <w:b/>
                            <w:color w:val="164194"/>
                            <w:spacing w:val="-6"/>
                            <w:sz w:val="28"/>
                          </w:rPr>
                          <w:t> </w:t>
                        </w:r>
                        <w:r>
                          <w:rPr>
                            <w:b/>
                            <w:color w:val="164194"/>
                            <w:sz w:val="28"/>
                          </w:rPr>
                          <w:t>trigger the keeping pace requirement because they amend or replace an Annex</w:t>
                        </w:r>
                      </w:p>
                      <w:p>
                        <w:pPr>
                          <w:spacing w:line="232" w:lineRule="auto" w:before="0"/>
                          <w:ind w:left="340" w:right="196" w:firstLine="0"/>
                          <w:jc w:val="left"/>
                          <w:rPr>
                            <w:b/>
                            <w:sz w:val="28"/>
                          </w:rPr>
                        </w:pPr>
                        <w:r>
                          <w:rPr>
                            <w:b/>
                            <w:color w:val="164194"/>
                            <w:sz w:val="28"/>
                          </w:rPr>
                          <w:t>1 directive or may represent an opportunity for voluntary alignment to strengthen</w:t>
                        </w:r>
                        <w:r>
                          <w:rPr>
                            <w:b/>
                            <w:color w:val="164194"/>
                            <w:spacing w:val="-9"/>
                            <w:sz w:val="28"/>
                          </w:rPr>
                          <w:t>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reflect</w:t>
                        </w:r>
                        <w:r>
                          <w:rPr>
                            <w:b/>
                            <w:color w:val="164194"/>
                            <w:spacing w:val="-9"/>
                            <w:sz w:val="28"/>
                          </w:rPr>
                          <w:t> </w:t>
                        </w:r>
                        <w:r>
                          <w:rPr>
                            <w:b/>
                            <w:color w:val="164194"/>
                            <w:sz w:val="28"/>
                          </w:rPr>
                          <w:t>international</w:t>
                        </w:r>
                        <w:r>
                          <w:rPr>
                            <w:b/>
                            <w:color w:val="164194"/>
                            <w:spacing w:val="-9"/>
                            <w:sz w:val="28"/>
                          </w:rPr>
                          <w:t> </w:t>
                        </w:r>
                        <w:r>
                          <w:rPr>
                            <w:b/>
                            <w:color w:val="164194"/>
                            <w:sz w:val="28"/>
                          </w:rPr>
                          <w:t>human</w:t>
                        </w:r>
                        <w:r>
                          <w:rPr>
                            <w:b/>
                            <w:color w:val="164194"/>
                            <w:spacing w:val="-9"/>
                            <w:sz w:val="28"/>
                          </w:rPr>
                          <w:t> </w:t>
                        </w:r>
                        <w:r>
                          <w:rPr>
                            <w:b/>
                            <w:color w:val="164194"/>
                            <w:sz w:val="28"/>
                          </w:rPr>
                          <w:t>rights</w:t>
                        </w:r>
                        <w:r>
                          <w:rPr>
                            <w:b/>
                            <w:color w:val="164194"/>
                            <w:spacing w:val="-9"/>
                            <w:sz w:val="28"/>
                          </w:rPr>
                          <w:t> </w:t>
                        </w:r>
                        <w:r>
                          <w:rPr>
                            <w:b/>
                            <w:color w:val="164194"/>
                            <w:sz w:val="28"/>
                          </w:rPr>
                          <w:t>standards</w:t>
                        </w:r>
                        <w:r>
                          <w:rPr>
                            <w:b/>
                            <w:color w:val="164194"/>
                            <w:spacing w:val="-9"/>
                            <w:sz w:val="28"/>
                          </w:rPr>
                          <w:t> </w:t>
                        </w:r>
                        <w:r>
                          <w:rPr>
                            <w:b/>
                            <w:color w:val="164194"/>
                            <w:sz w:val="28"/>
                          </w:rPr>
                          <w:t>and</w:t>
                        </w:r>
                        <w:r>
                          <w:rPr>
                            <w:b/>
                            <w:color w:val="164194"/>
                            <w:spacing w:val="-9"/>
                            <w:sz w:val="28"/>
                          </w:rPr>
                          <w:t> </w:t>
                        </w:r>
                        <w:r>
                          <w:rPr>
                            <w:b/>
                            <w:color w:val="164194"/>
                            <w:sz w:val="28"/>
                          </w:rPr>
                          <w:t>best </w:t>
                        </w:r>
                        <w:r>
                          <w:rPr>
                            <w:b/>
                            <w:color w:val="164194"/>
                            <w:spacing w:val="-2"/>
                            <w:sz w:val="28"/>
                          </w:rPr>
                          <w:t>practice.</w:t>
                        </w:r>
                      </w:p>
                    </w:txbxContent>
                  </v:textbox>
                  <w10:wrap type="none"/>
                </v:shape>
              </v:group>
            </w:pict>
          </mc:Fallback>
        </mc:AlternateContent>
      </w:r>
      <w:r>
        <w:rPr>
          <w:sz w:val="20"/>
        </w:rPr>
      </w:r>
    </w:p>
    <w:p>
      <w:pPr>
        <w:pStyle w:val="BodyText"/>
        <w:spacing w:before="2"/>
        <w:rPr>
          <w:sz w:val="13"/>
        </w:rPr>
      </w:pPr>
      <w:r>
        <w:rPr/>
        <mc:AlternateContent>
          <mc:Choice Requires="wps">
            <w:drawing>
              <wp:anchor distT="0" distB="0" distL="0" distR="0" allowOverlap="1" layoutInCell="1" locked="0" behindDoc="1" simplePos="0" relativeHeight="487655936">
                <wp:simplePos x="0" y="0"/>
                <wp:positionH relativeFrom="page">
                  <wp:posOffset>647994</wp:posOffset>
                </wp:positionH>
                <wp:positionV relativeFrom="paragraph">
                  <wp:posOffset>117623</wp:posOffset>
                </wp:positionV>
                <wp:extent cx="6012180" cy="1232535"/>
                <wp:effectExtent l="0" t="0" r="0" b="0"/>
                <wp:wrapTopAndBottom/>
                <wp:docPr id="375" name="Group 375"/>
                <wp:cNvGraphicFramePr>
                  <a:graphicFrameLocks/>
                </wp:cNvGraphicFramePr>
                <a:graphic>
                  <a:graphicData uri="http://schemas.microsoft.com/office/word/2010/wordprocessingGroup">
                    <wpg:wgp>
                      <wpg:cNvPr id="375" name="Group 375"/>
                      <wpg:cNvGrpSpPr/>
                      <wpg:grpSpPr>
                        <a:xfrm>
                          <a:off x="0" y="0"/>
                          <a:ext cx="6012180" cy="1232535"/>
                          <a:chExt cx="6012180" cy="1232535"/>
                        </a:xfrm>
                      </wpg:grpSpPr>
                      <wps:wsp>
                        <wps:cNvPr id="376" name="Graphic 376"/>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377" name="Textbox 377"/>
                        <wps:cNvSpPr txBox="1"/>
                        <wps:spPr>
                          <a:xfrm>
                            <a:off x="0" y="0"/>
                            <a:ext cx="6012180" cy="123253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9"/>
                                  <w:sz w:val="28"/>
                                </w:rPr>
                                <w:t> </w:t>
                              </w:r>
                              <w:r>
                                <w:rPr>
                                  <w:b/>
                                  <w:color w:val="164194"/>
                                  <w:sz w:val="28"/>
                                </w:rPr>
                                <w:t>that</w:t>
                              </w:r>
                              <w:r>
                                <w:rPr>
                                  <w:b/>
                                  <w:color w:val="164194"/>
                                  <w:spacing w:val="-9"/>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and</w:t>
                              </w:r>
                              <w:r>
                                <w:rPr>
                                  <w:b/>
                                  <w:color w:val="164194"/>
                                  <w:spacing w:val="-9"/>
                                  <w:sz w:val="28"/>
                                </w:rPr>
                                <w:t> </w:t>
                              </w:r>
                              <w:r>
                                <w:rPr>
                                  <w:b/>
                                  <w:color w:val="164194"/>
                                  <w:sz w:val="28"/>
                                </w:rPr>
                                <w:t>other</w:t>
                              </w:r>
                              <w:r>
                                <w:rPr>
                                  <w:b/>
                                  <w:color w:val="164194"/>
                                  <w:spacing w:val="-10"/>
                                  <w:sz w:val="28"/>
                                </w:rPr>
                                <w:t> </w:t>
                              </w:r>
                              <w:r>
                                <w:rPr>
                                  <w:b/>
                                  <w:color w:val="164194"/>
                                  <w:sz w:val="28"/>
                                </w:rPr>
                                <w:t>relevant</w:t>
                              </w:r>
                              <w:r>
                                <w:rPr>
                                  <w:b/>
                                  <w:color w:val="164194"/>
                                  <w:spacing w:val="-9"/>
                                  <w:sz w:val="28"/>
                                </w:rPr>
                                <w:t> </w:t>
                              </w:r>
                              <w:r>
                                <w:rPr>
                                  <w:b/>
                                  <w:color w:val="164194"/>
                                  <w:sz w:val="28"/>
                                </w:rPr>
                                <w:t>NI</w:t>
                              </w:r>
                              <w:r>
                                <w:rPr>
                                  <w:b/>
                                  <w:color w:val="164194"/>
                                  <w:spacing w:val="-9"/>
                                  <w:sz w:val="28"/>
                                </w:rPr>
                                <w:t> </w:t>
                              </w:r>
                              <w:r>
                                <w:rPr>
                                  <w:b/>
                                  <w:color w:val="164194"/>
                                  <w:sz w:val="28"/>
                                </w:rPr>
                                <w:t>Departments consider any proposals for amendments to the Irish equality legislation where they highlight a risk of divergence of rights or an opportunity for voluntary alignment to strengthen 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9.2617pt;width:473.4pt;height:97.05pt;mso-position-horizontal-relative:page;mso-position-vertical-relative:paragraph;z-index:-15660544;mso-wrap-distance-left:0;mso-wrap-distance-right:0" id="docshapegroup295" coordorigin="1020,185" coordsize="9468,1941">
                <v:shape style="position:absolute;left:1020;top:185;width:9468;height:1941" id="docshape296" coordorigin="1020,185" coordsize="9468,1941" path="m10261,185l1247,185,1176,197,1113,229,1064,278,1032,340,1020,412,1020,1899,1032,1970,1064,2033,1113,2082,1176,2114,1247,2125,10261,2125,10333,2114,10395,2082,10444,2033,10477,1970,10488,1899,10488,412,10477,340,10444,278,10395,229,10333,197,10261,185xe" filled="true" fillcolor="#e9f3fc" stroked="false">
                  <v:path arrowok="t"/>
                  <v:fill type="solid"/>
                </v:shape>
                <v:shape style="position:absolute;left:1020;top:185;width:9468;height:1941" type="#_x0000_t202" id="docshape297"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9"/>
                            <w:sz w:val="28"/>
                          </w:rPr>
                          <w:t> </w:t>
                        </w:r>
                        <w:r>
                          <w:rPr>
                            <w:b/>
                            <w:color w:val="164194"/>
                            <w:sz w:val="28"/>
                          </w:rPr>
                          <w:t>that</w:t>
                        </w:r>
                        <w:r>
                          <w:rPr>
                            <w:b/>
                            <w:color w:val="164194"/>
                            <w:spacing w:val="-9"/>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and</w:t>
                        </w:r>
                        <w:r>
                          <w:rPr>
                            <w:b/>
                            <w:color w:val="164194"/>
                            <w:spacing w:val="-9"/>
                            <w:sz w:val="28"/>
                          </w:rPr>
                          <w:t> </w:t>
                        </w:r>
                        <w:r>
                          <w:rPr>
                            <w:b/>
                            <w:color w:val="164194"/>
                            <w:sz w:val="28"/>
                          </w:rPr>
                          <w:t>other</w:t>
                        </w:r>
                        <w:r>
                          <w:rPr>
                            <w:b/>
                            <w:color w:val="164194"/>
                            <w:spacing w:val="-10"/>
                            <w:sz w:val="28"/>
                          </w:rPr>
                          <w:t> </w:t>
                        </w:r>
                        <w:r>
                          <w:rPr>
                            <w:b/>
                            <w:color w:val="164194"/>
                            <w:sz w:val="28"/>
                          </w:rPr>
                          <w:t>relevant</w:t>
                        </w:r>
                        <w:r>
                          <w:rPr>
                            <w:b/>
                            <w:color w:val="164194"/>
                            <w:spacing w:val="-9"/>
                            <w:sz w:val="28"/>
                          </w:rPr>
                          <w:t> </w:t>
                        </w:r>
                        <w:r>
                          <w:rPr>
                            <w:b/>
                            <w:color w:val="164194"/>
                            <w:sz w:val="28"/>
                          </w:rPr>
                          <w:t>NI</w:t>
                        </w:r>
                        <w:r>
                          <w:rPr>
                            <w:b/>
                            <w:color w:val="164194"/>
                            <w:spacing w:val="-9"/>
                            <w:sz w:val="28"/>
                          </w:rPr>
                          <w:t> </w:t>
                        </w:r>
                        <w:r>
                          <w:rPr>
                            <w:b/>
                            <w:color w:val="164194"/>
                            <w:sz w:val="28"/>
                          </w:rPr>
                          <w:t>Departments consider any proposals for amendments to the Irish equality legislation where they highlight a risk of divergence of rights or an opportunity for voluntary alignment to strengthen rights and reflect international human rights standards and best practice.</w:t>
                        </w:r>
                      </w:p>
                    </w:txbxContent>
                  </v:textbox>
                  <w10:wrap type="none"/>
                </v:shape>
                <w10:wrap type="topAndBottom"/>
              </v:group>
            </w:pict>
          </mc:Fallback>
        </mc:AlternateContent>
      </w:r>
    </w:p>
    <w:p>
      <w:pPr>
        <w:pStyle w:val="Heading2"/>
        <w:numPr>
          <w:ilvl w:val="1"/>
          <w:numId w:val="15"/>
        </w:numPr>
        <w:tabs>
          <w:tab w:pos="1202" w:val="left" w:leader="none"/>
        </w:tabs>
        <w:spacing w:line="240" w:lineRule="auto" w:before="305" w:after="0"/>
        <w:ind w:left="1202" w:right="0" w:hanging="482"/>
        <w:jc w:val="left"/>
      </w:pPr>
      <w:r>
        <w:rPr>
          <w:color w:val="004A93"/>
        </w:rPr>
        <w:t>United</w:t>
      </w:r>
      <w:r>
        <w:rPr>
          <w:color w:val="004A93"/>
          <w:spacing w:val="-5"/>
        </w:rPr>
        <w:t> </w:t>
      </w:r>
      <w:r>
        <w:rPr>
          <w:color w:val="004A93"/>
          <w:spacing w:val="-2"/>
        </w:rPr>
        <w:t>Kingdom</w:t>
      </w:r>
    </w:p>
    <w:p>
      <w:pPr>
        <w:pStyle w:val="BodyText"/>
        <w:spacing w:before="9"/>
        <w:rPr>
          <w:b/>
          <w:sz w:val="5"/>
        </w:rPr>
      </w:pPr>
      <w:r>
        <w:rPr/>
        <mc:AlternateContent>
          <mc:Choice Requires="wps">
            <w:drawing>
              <wp:anchor distT="0" distB="0" distL="0" distR="0" allowOverlap="1" layoutInCell="1" locked="0" behindDoc="1" simplePos="0" relativeHeight="487656448">
                <wp:simplePos x="0" y="0"/>
                <wp:positionH relativeFrom="page">
                  <wp:posOffset>647999</wp:posOffset>
                </wp:positionH>
                <wp:positionV relativeFrom="paragraph">
                  <wp:posOffset>60076</wp:posOffset>
                </wp:positionV>
                <wp:extent cx="6012180" cy="1270"/>
                <wp:effectExtent l="0" t="0" r="0" b="0"/>
                <wp:wrapTopAndBottom/>
                <wp:docPr id="378" name="Graphic 378"/>
                <wp:cNvGraphicFramePr>
                  <a:graphicFrameLocks/>
                </wp:cNvGraphicFramePr>
                <a:graphic>
                  <a:graphicData uri="http://schemas.microsoft.com/office/word/2010/wordprocessingShape">
                    <wps:wsp>
                      <wps:cNvPr id="378" name="Graphic 378"/>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73045pt;width:473.4pt;height:.1pt;mso-position-horizontal-relative:page;mso-position-vertical-relative:paragraph;z-index:-15660032;mso-wrap-distance-left:0;mso-wrap-distance-right:0" id="docshape298" coordorigin="1020,95" coordsize="9468,0" path="m1020,95l10488,95e" filled="false" stroked="true" strokeweight="1pt" strokecolor="#36a9e1">
                <v:path arrowok="t"/>
                <v:stroke dashstyle="solid"/>
                <w10:wrap type="topAndBottom"/>
              </v:shape>
            </w:pict>
          </mc:Fallback>
        </mc:AlternateContent>
      </w:r>
    </w:p>
    <w:p>
      <w:pPr>
        <w:spacing w:line="232" w:lineRule="auto" w:before="108"/>
        <w:ind w:left="720" w:right="1153" w:firstLine="0"/>
        <w:jc w:val="both"/>
        <w:rPr>
          <w:i/>
          <w:sz w:val="28"/>
        </w:rPr>
      </w:pPr>
      <w:r>
        <w:rPr>
          <w:i/>
          <w:sz w:val="28"/>
        </w:rPr>
        <w:t>The July 2024 election resulted in a change of UK Government; all references in this</w:t>
      </w:r>
      <w:r>
        <w:rPr>
          <w:i/>
          <w:sz w:val="28"/>
        </w:rPr>
        <w:t> report</w:t>
      </w:r>
      <w:r>
        <w:rPr>
          <w:i/>
          <w:spacing w:val="-4"/>
          <w:sz w:val="28"/>
        </w:rPr>
        <w:t> </w:t>
      </w:r>
      <w:r>
        <w:rPr>
          <w:i/>
          <w:sz w:val="28"/>
        </w:rPr>
        <w:t>to</w:t>
      </w:r>
      <w:r>
        <w:rPr>
          <w:i/>
          <w:spacing w:val="-5"/>
          <w:sz w:val="28"/>
        </w:rPr>
        <w:t> </w:t>
      </w:r>
      <w:r>
        <w:rPr>
          <w:i/>
          <w:sz w:val="28"/>
        </w:rPr>
        <w:t>past</w:t>
      </w:r>
      <w:r>
        <w:rPr>
          <w:i/>
          <w:spacing w:val="-4"/>
          <w:sz w:val="28"/>
        </w:rPr>
        <w:t> </w:t>
      </w:r>
      <w:r>
        <w:rPr>
          <w:i/>
          <w:sz w:val="28"/>
        </w:rPr>
        <w:t>actions</w:t>
      </w:r>
      <w:r>
        <w:rPr>
          <w:i/>
          <w:spacing w:val="-5"/>
          <w:sz w:val="28"/>
        </w:rPr>
        <w:t> </w:t>
      </w:r>
      <w:r>
        <w:rPr>
          <w:i/>
          <w:sz w:val="28"/>
        </w:rPr>
        <w:t>of</w:t>
      </w:r>
      <w:r>
        <w:rPr>
          <w:i/>
          <w:spacing w:val="-5"/>
          <w:sz w:val="28"/>
        </w:rPr>
        <w:t> </w:t>
      </w:r>
      <w:r>
        <w:rPr>
          <w:i/>
          <w:sz w:val="28"/>
        </w:rPr>
        <w:t>‘UK</w:t>
      </w:r>
      <w:r>
        <w:rPr>
          <w:i/>
          <w:spacing w:val="-4"/>
          <w:sz w:val="28"/>
        </w:rPr>
        <w:t> </w:t>
      </w:r>
      <w:r>
        <w:rPr>
          <w:i/>
          <w:sz w:val="28"/>
        </w:rPr>
        <w:t>Government’</w:t>
      </w:r>
      <w:r>
        <w:rPr>
          <w:i/>
          <w:spacing w:val="-4"/>
          <w:sz w:val="28"/>
        </w:rPr>
        <w:t> </w:t>
      </w:r>
      <w:r>
        <w:rPr>
          <w:i/>
          <w:sz w:val="28"/>
        </w:rPr>
        <w:t>refer</w:t>
      </w:r>
      <w:r>
        <w:rPr>
          <w:i/>
          <w:spacing w:val="-4"/>
          <w:sz w:val="28"/>
        </w:rPr>
        <w:t> </w:t>
      </w:r>
      <w:r>
        <w:rPr>
          <w:i/>
          <w:sz w:val="28"/>
        </w:rPr>
        <w:t>to</w:t>
      </w:r>
      <w:r>
        <w:rPr>
          <w:i/>
          <w:spacing w:val="-5"/>
          <w:sz w:val="28"/>
        </w:rPr>
        <w:t> </w:t>
      </w:r>
      <w:r>
        <w:rPr>
          <w:i/>
          <w:sz w:val="28"/>
        </w:rPr>
        <w:t>the</w:t>
      </w:r>
      <w:r>
        <w:rPr>
          <w:i/>
          <w:spacing w:val="-4"/>
          <w:sz w:val="28"/>
        </w:rPr>
        <w:t> </w:t>
      </w:r>
      <w:r>
        <w:rPr>
          <w:i/>
          <w:sz w:val="28"/>
        </w:rPr>
        <w:t>Conservative</w:t>
      </w:r>
      <w:r>
        <w:rPr>
          <w:i/>
          <w:spacing w:val="-4"/>
          <w:sz w:val="28"/>
        </w:rPr>
        <w:t> </w:t>
      </w:r>
      <w:r>
        <w:rPr>
          <w:i/>
          <w:sz w:val="28"/>
        </w:rPr>
        <w:t>UK</w:t>
      </w:r>
      <w:r>
        <w:rPr>
          <w:i/>
          <w:spacing w:val="-4"/>
          <w:sz w:val="28"/>
        </w:rPr>
        <w:t> </w:t>
      </w:r>
      <w:r>
        <w:rPr>
          <w:i/>
          <w:sz w:val="28"/>
        </w:rPr>
        <w:t>Government prior to the election unless specified otherwise.</w:t>
      </w:r>
    </w:p>
    <w:p>
      <w:pPr>
        <w:pStyle w:val="BodyText"/>
        <w:spacing w:line="232" w:lineRule="auto" w:before="279"/>
        <w:ind w:left="720" w:right="1087"/>
      </w:pPr>
      <w:r>
        <w:rPr/>
        <w:t>As part of the United Kingdom, Northern Ireland is also affected by UK legislative developments</w:t>
      </w:r>
      <w:r>
        <w:rPr>
          <w:spacing w:val="-10"/>
        </w:rPr>
        <w:t> </w:t>
      </w:r>
      <w:r>
        <w:rPr/>
        <w:t>with</w:t>
      </w:r>
      <w:r>
        <w:rPr>
          <w:spacing w:val="-10"/>
        </w:rPr>
        <w:t> </w:t>
      </w:r>
      <w:r>
        <w:rPr/>
        <w:t>respect</w:t>
      </w:r>
      <w:r>
        <w:rPr>
          <w:spacing w:val="-9"/>
        </w:rPr>
        <w:t> </w:t>
      </w:r>
      <w:r>
        <w:rPr/>
        <w:t>to</w:t>
      </w:r>
      <w:r>
        <w:rPr>
          <w:spacing w:val="-10"/>
        </w:rPr>
        <w:t> </w:t>
      </w:r>
      <w:r>
        <w:rPr/>
        <w:t>reserved</w:t>
      </w:r>
      <w:r>
        <w:rPr>
          <w:spacing w:val="-10"/>
        </w:rPr>
        <w:t> </w:t>
      </w:r>
      <w:r>
        <w:rPr/>
        <w:t>and</w:t>
      </w:r>
      <w:r>
        <w:rPr>
          <w:spacing w:val="-10"/>
        </w:rPr>
        <w:t> </w:t>
      </w:r>
      <w:r>
        <w:rPr/>
        <w:t>excepted</w:t>
      </w:r>
      <w:r>
        <w:rPr>
          <w:spacing w:val="-10"/>
        </w:rPr>
        <w:t> </w:t>
      </w:r>
      <w:r>
        <w:rPr/>
        <w:t>matters</w:t>
      </w:r>
      <w:r>
        <w:rPr>
          <w:spacing w:val="-10"/>
        </w:rPr>
        <w:t> </w:t>
      </w:r>
      <w:r>
        <w:rPr/>
        <w:t>and</w:t>
      </w:r>
      <w:r>
        <w:rPr>
          <w:spacing w:val="-10"/>
        </w:rPr>
        <w:t> </w:t>
      </w:r>
      <w:r>
        <w:rPr/>
        <w:t>there</w:t>
      </w:r>
      <w:r>
        <w:rPr>
          <w:spacing w:val="-9"/>
        </w:rPr>
        <w:t> </w:t>
      </w:r>
      <w:r>
        <w:rPr/>
        <w:t>have</w:t>
      </w:r>
      <w:r>
        <w:rPr>
          <w:spacing w:val="-9"/>
        </w:rPr>
        <w:t> </w:t>
      </w:r>
      <w:r>
        <w:rPr/>
        <w:t>been several developments since 1 January 2022. These have included the adoption</w:t>
      </w:r>
    </w:p>
    <w:p>
      <w:pPr>
        <w:pStyle w:val="BodyText"/>
        <w:spacing w:line="232" w:lineRule="auto"/>
        <w:ind w:left="720" w:right="1877"/>
      </w:pPr>
      <w:r>
        <w:rPr/>
        <w:t>of the WF discussed above which resulted in the UK Government dropping its</w:t>
      </w:r>
      <w:r>
        <w:rPr>
          <w:spacing w:val="-9"/>
        </w:rPr>
        <w:t> </w:t>
      </w:r>
      <w:r>
        <w:rPr/>
        <w:t>contentious</w:t>
      </w:r>
      <w:r>
        <w:rPr>
          <w:spacing w:val="-9"/>
        </w:rPr>
        <w:t> </w:t>
      </w:r>
      <w:r>
        <w:rPr/>
        <w:t>Northern</w:t>
      </w:r>
      <w:r>
        <w:rPr>
          <w:spacing w:val="-9"/>
        </w:rPr>
        <w:t> </w:t>
      </w:r>
      <w:r>
        <w:rPr/>
        <w:t>Ireland</w:t>
      </w:r>
      <w:r>
        <w:rPr>
          <w:spacing w:val="-9"/>
        </w:rPr>
        <w:t> </w:t>
      </w:r>
      <w:r>
        <w:rPr/>
        <w:t>Protocol</w:t>
      </w:r>
      <w:r>
        <w:rPr>
          <w:spacing w:val="-9"/>
        </w:rPr>
        <w:t> </w:t>
      </w:r>
      <w:r>
        <w:rPr/>
        <w:t>Bill.</w:t>
      </w:r>
      <w:r>
        <w:rPr>
          <w:vertAlign w:val="superscript"/>
        </w:rPr>
        <w:t>146</w:t>
      </w:r>
      <w:r>
        <w:rPr>
          <w:spacing w:val="-9"/>
          <w:vertAlign w:val="baseline"/>
        </w:rPr>
        <w:t> </w:t>
      </w:r>
      <w:r>
        <w:rPr>
          <w:vertAlign w:val="baseline"/>
        </w:rPr>
        <w:t>In</w:t>
      </w:r>
      <w:r>
        <w:rPr>
          <w:spacing w:val="-9"/>
          <w:vertAlign w:val="baseline"/>
        </w:rPr>
        <w:t> </w:t>
      </w:r>
      <w:r>
        <w:rPr>
          <w:vertAlign w:val="baseline"/>
        </w:rPr>
        <w:t>respect</w:t>
      </w:r>
      <w:r>
        <w:rPr>
          <w:spacing w:val="-9"/>
          <w:vertAlign w:val="baseline"/>
        </w:rPr>
        <w:t> </w:t>
      </w:r>
      <w:r>
        <w:rPr>
          <w:vertAlign w:val="baseline"/>
        </w:rPr>
        <w:t>of</w:t>
      </w:r>
      <w:r>
        <w:rPr>
          <w:spacing w:val="-9"/>
          <w:vertAlign w:val="baseline"/>
        </w:rPr>
        <w:t> </w:t>
      </w:r>
      <w:r>
        <w:rPr>
          <w:vertAlign w:val="baseline"/>
        </w:rPr>
        <w:t>several</w:t>
      </w:r>
      <w:r>
        <w:rPr>
          <w:spacing w:val="-9"/>
          <w:vertAlign w:val="baseline"/>
        </w:rPr>
        <w:t> </w:t>
      </w:r>
      <w:r>
        <w:rPr>
          <w:vertAlign w:val="baseline"/>
        </w:rPr>
        <w:t>of</w:t>
      </w:r>
      <w:r>
        <w:rPr>
          <w:spacing w:val="-9"/>
          <w:vertAlign w:val="baseline"/>
        </w:rPr>
        <w:t> </w:t>
      </w:r>
      <w:r>
        <w:rPr>
          <w:vertAlign w:val="baseline"/>
        </w:rPr>
        <w:t>these developments the UK Government has supported changes to the law which</w:t>
      </w:r>
    </w:p>
    <w:p>
      <w:pPr>
        <w:pStyle w:val="BodyText"/>
        <w:spacing w:line="232" w:lineRule="auto"/>
        <w:ind w:left="720" w:right="1250"/>
      </w:pPr>
      <w:r>
        <w:rPr/>
        <w:t>arguably</w:t>
      </w:r>
      <w:r>
        <w:rPr>
          <w:spacing w:val="-6"/>
        </w:rPr>
        <w:t> </w:t>
      </w:r>
      <w:r>
        <w:rPr/>
        <w:t>reduce</w:t>
      </w:r>
      <w:r>
        <w:rPr>
          <w:spacing w:val="-6"/>
        </w:rPr>
        <w:t> </w:t>
      </w:r>
      <w:r>
        <w:rPr/>
        <w:t>the</w:t>
      </w:r>
      <w:r>
        <w:rPr>
          <w:spacing w:val="-6"/>
        </w:rPr>
        <w:t> </w:t>
      </w:r>
      <w:r>
        <w:rPr/>
        <w:t>rights</w:t>
      </w:r>
      <w:r>
        <w:rPr>
          <w:spacing w:val="-6"/>
        </w:rPr>
        <w:t> </w:t>
      </w:r>
      <w:r>
        <w:rPr/>
        <w:t>and</w:t>
      </w:r>
      <w:r>
        <w:rPr>
          <w:spacing w:val="-6"/>
        </w:rPr>
        <w:t> </w:t>
      </w:r>
      <w:r>
        <w:rPr/>
        <w:t>equality</w:t>
      </w:r>
      <w:r>
        <w:rPr>
          <w:spacing w:val="-6"/>
        </w:rPr>
        <w:t> </w:t>
      </w:r>
      <w:r>
        <w:rPr/>
        <w:t>protections</w:t>
      </w:r>
      <w:r>
        <w:rPr>
          <w:spacing w:val="-6"/>
        </w:rPr>
        <w:t> </w:t>
      </w:r>
      <w:r>
        <w:rPr/>
        <w:t>that</w:t>
      </w:r>
      <w:r>
        <w:rPr>
          <w:spacing w:val="-6"/>
        </w:rPr>
        <w:t> </w:t>
      </w:r>
      <w:r>
        <w:rPr/>
        <w:t>had</w:t>
      </w:r>
      <w:r>
        <w:rPr>
          <w:spacing w:val="-6"/>
        </w:rPr>
        <w:t> </w:t>
      </w:r>
      <w:r>
        <w:rPr/>
        <w:t>been</w:t>
      </w:r>
      <w:r>
        <w:rPr>
          <w:spacing w:val="-6"/>
        </w:rPr>
        <w:t> </w:t>
      </w:r>
      <w:r>
        <w:rPr/>
        <w:t>available</w:t>
      </w:r>
      <w:r>
        <w:rPr>
          <w:spacing w:val="-6"/>
        </w:rPr>
        <w:t> </w:t>
      </w:r>
      <w:r>
        <w:rPr/>
        <w:t>under EU law prior to the end of the transition period. This risks introducing divergence in rights protection North and South as Ireland will still have to respect the EU standards (or possibly new EU standards).</w:t>
      </w:r>
    </w:p>
    <w:p>
      <w:pPr>
        <w:pStyle w:val="BodyText"/>
        <w:spacing w:before="41"/>
      </w:pPr>
    </w:p>
    <w:p>
      <w:pPr>
        <w:pStyle w:val="Heading3"/>
        <w:numPr>
          <w:ilvl w:val="2"/>
          <w:numId w:val="15"/>
        </w:numPr>
        <w:tabs>
          <w:tab w:pos="1358" w:val="left" w:leader="none"/>
        </w:tabs>
        <w:spacing w:line="336" w:lineRule="exact" w:before="0" w:after="0"/>
        <w:ind w:left="1358" w:right="0" w:hanging="638"/>
        <w:jc w:val="left"/>
      </w:pPr>
      <w:r>
        <w:rPr>
          <w:color w:val="004A93"/>
        </w:rPr>
        <w:t>Bill</w:t>
      </w:r>
      <w:r>
        <w:rPr>
          <w:color w:val="004A93"/>
          <w:spacing w:val="-2"/>
        </w:rPr>
        <w:t> </w:t>
      </w:r>
      <w:r>
        <w:rPr>
          <w:color w:val="004A93"/>
        </w:rPr>
        <w:t>of</w:t>
      </w:r>
      <w:r>
        <w:rPr>
          <w:color w:val="004A93"/>
          <w:spacing w:val="-2"/>
        </w:rPr>
        <w:t> </w:t>
      </w:r>
      <w:r>
        <w:rPr>
          <w:color w:val="004A93"/>
        </w:rPr>
        <w:t>Rights</w:t>
      </w:r>
      <w:r>
        <w:rPr>
          <w:color w:val="004A93"/>
          <w:spacing w:val="-1"/>
        </w:rPr>
        <w:t> </w:t>
      </w:r>
      <w:r>
        <w:rPr>
          <w:color w:val="004A93"/>
        </w:rPr>
        <w:t>Bill</w:t>
      </w:r>
      <w:r>
        <w:rPr>
          <w:color w:val="004A93"/>
          <w:spacing w:val="-1"/>
        </w:rPr>
        <w:t> </w:t>
      </w:r>
      <w:r>
        <w:rPr>
          <w:color w:val="004A93"/>
        </w:rPr>
        <w:t>and</w:t>
      </w:r>
      <w:r>
        <w:rPr>
          <w:color w:val="004A93"/>
          <w:spacing w:val="-1"/>
        </w:rPr>
        <w:t> </w:t>
      </w:r>
      <w:r>
        <w:rPr>
          <w:color w:val="004A93"/>
        </w:rPr>
        <w:t>the</w:t>
      </w:r>
      <w:r>
        <w:rPr>
          <w:color w:val="004A93"/>
          <w:spacing w:val="-2"/>
        </w:rPr>
        <w:t> </w:t>
      </w:r>
      <w:r>
        <w:rPr>
          <w:color w:val="004A93"/>
          <w:spacing w:val="-4"/>
        </w:rPr>
        <w:t>ECHR</w:t>
      </w:r>
    </w:p>
    <w:p>
      <w:pPr>
        <w:pStyle w:val="BodyText"/>
        <w:spacing w:line="232" w:lineRule="auto" w:before="2"/>
        <w:ind w:left="720" w:right="1087"/>
      </w:pPr>
      <w:r>
        <w:rPr/>
        <w:t>One of the most concerning initiatives has been the debate about a new Bill of Rights</w:t>
      </w:r>
      <w:r>
        <w:rPr>
          <w:spacing w:val="-4"/>
        </w:rPr>
        <w:t> </w:t>
      </w:r>
      <w:r>
        <w:rPr/>
        <w:t>Bill</w:t>
      </w:r>
      <w:r>
        <w:rPr>
          <w:spacing w:val="-4"/>
        </w:rPr>
        <w:t> </w:t>
      </w:r>
      <w:r>
        <w:rPr/>
        <w:t>to</w:t>
      </w:r>
      <w:r>
        <w:rPr>
          <w:spacing w:val="-4"/>
        </w:rPr>
        <w:t> </w:t>
      </w:r>
      <w:r>
        <w:rPr/>
        <w:t>replace</w:t>
      </w:r>
      <w:r>
        <w:rPr>
          <w:spacing w:val="-4"/>
        </w:rPr>
        <w:t> </w:t>
      </w:r>
      <w:r>
        <w:rPr/>
        <w:t>the</w:t>
      </w:r>
      <w:r>
        <w:rPr>
          <w:spacing w:val="-4"/>
        </w:rPr>
        <w:t> </w:t>
      </w:r>
      <w:r>
        <w:rPr/>
        <w:t>Human</w:t>
      </w:r>
      <w:r>
        <w:rPr>
          <w:spacing w:val="-4"/>
        </w:rPr>
        <w:t> </w:t>
      </w:r>
      <w:r>
        <w:rPr/>
        <w:t>Rights</w:t>
      </w:r>
      <w:r>
        <w:rPr>
          <w:spacing w:val="-4"/>
        </w:rPr>
        <w:t> </w:t>
      </w:r>
      <w:r>
        <w:rPr/>
        <w:t>Act.</w:t>
      </w:r>
      <w:r>
        <w:rPr>
          <w:spacing w:val="-4"/>
        </w:rPr>
        <w:t> </w:t>
      </w:r>
      <w:r>
        <w:rPr/>
        <w:t>While</w:t>
      </w:r>
      <w:r>
        <w:rPr>
          <w:spacing w:val="-4"/>
        </w:rPr>
        <w:t> </w:t>
      </w:r>
      <w:r>
        <w:rPr/>
        <w:t>the</w:t>
      </w:r>
      <w:r>
        <w:rPr>
          <w:spacing w:val="-4"/>
        </w:rPr>
        <w:t> </w:t>
      </w:r>
      <w:r>
        <w:rPr/>
        <w:t>proposed</w:t>
      </w:r>
      <w:r>
        <w:rPr>
          <w:spacing w:val="-4"/>
        </w:rPr>
        <w:t> </w:t>
      </w:r>
      <w:r>
        <w:rPr/>
        <w:t>Bill</w:t>
      </w:r>
      <w:r>
        <w:rPr>
          <w:spacing w:val="-4"/>
        </w:rPr>
        <w:t> </w:t>
      </w:r>
      <w:r>
        <w:rPr/>
        <w:t>of</w:t>
      </w:r>
      <w:r>
        <w:rPr>
          <w:spacing w:val="-4"/>
        </w:rPr>
        <w:t> </w:t>
      </w:r>
      <w:r>
        <w:rPr/>
        <w:t>Rights</w:t>
      </w:r>
      <w:r>
        <w:rPr>
          <w:spacing w:val="-4"/>
        </w:rPr>
        <w:t> </w:t>
      </w:r>
      <w:r>
        <w:rPr/>
        <w:t>Bill would</w:t>
      </w:r>
      <w:r>
        <w:rPr>
          <w:spacing w:val="-4"/>
        </w:rPr>
        <w:t> </w:t>
      </w:r>
      <w:r>
        <w:rPr/>
        <w:t>have</w:t>
      </w:r>
      <w:r>
        <w:rPr>
          <w:spacing w:val="-3"/>
        </w:rPr>
        <w:t> </w:t>
      </w:r>
      <w:r>
        <w:rPr/>
        <w:t>retained</w:t>
      </w:r>
      <w:r>
        <w:rPr>
          <w:spacing w:val="-4"/>
        </w:rPr>
        <w:t> </w:t>
      </w:r>
      <w:r>
        <w:rPr/>
        <w:t>Convention</w:t>
      </w:r>
      <w:r>
        <w:rPr>
          <w:spacing w:val="-4"/>
        </w:rPr>
        <w:t> </w:t>
      </w:r>
      <w:r>
        <w:rPr/>
        <w:t>rights,</w:t>
      </w:r>
      <w:r>
        <w:rPr>
          <w:spacing w:val="-3"/>
        </w:rPr>
        <w:t> </w:t>
      </w:r>
      <w:r>
        <w:rPr/>
        <w:t>the</w:t>
      </w:r>
      <w:r>
        <w:rPr>
          <w:spacing w:val="-3"/>
        </w:rPr>
        <w:t> </w:t>
      </w:r>
      <w:r>
        <w:rPr/>
        <w:t>Bill</w:t>
      </w:r>
      <w:r>
        <w:rPr>
          <w:spacing w:val="-4"/>
        </w:rPr>
        <w:t> </w:t>
      </w:r>
      <w:r>
        <w:rPr/>
        <w:t>would</w:t>
      </w:r>
      <w:r>
        <w:rPr>
          <w:spacing w:val="-4"/>
        </w:rPr>
        <w:t> </w:t>
      </w:r>
      <w:r>
        <w:rPr/>
        <w:t>have</w:t>
      </w:r>
      <w:r>
        <w:rPr>
          <w:spacing w:val="-3"/>
        </w:rPr>
        <w:t> </w:t>
      </w:r>
      <w:r>
        <w:rPr/>
        <w:t>proposed</w:t>
      </w:r>
      <w:r>
        <w:rPr>
          <w:spacing w:val="-4"/>
        </w:rPr>
        <w:t> </w:t>
      </w:r>
      <w:r>
        <w:rPr/>
        <w:t>numerous</w:t>
      </w:r>
    </w:p>
    <w:p>
      <w:pPr>
        <w:pStyle w:val="BodyText"/>
        <w:spacing w:before="7"/>
        <w:rPr>
          <w:sz w:val="19"/>
        </w:rPr>
      </w:pPr>
      <w:r>
        <w:rPr/>
        <mc:AlternateContent>
          <mc:Choice Requires="wps">
            <w:drawing>
              <wp:anchor distT="0" distB="0" distL="0" distR="0" allowOverlap="1" layoutInCell="1" locked="0" behindDoc="1" simplePos="0" relativeHeight="487656960">
                <wp:simplePos x="0" y="0"/>
                <wp:positionH relativeFrom="page">
                  <wp:posOffset>647999</wp:posOffset>
                </wp:positionH>
                <wp:positionV relativeFrom="paragraph">
                  <wp:posOffset>167235</wp:posOffset>
                </wp:positionV>
                <wp:extent cx="6012180" cy="1270"/>
                <wp:effectExtent l="0" t="0" r="0" b="0"/>
                <wp:wrapTopAndBottom/>
                <wp:docPr id="379" name="Graphic 379"/>
                <wp:cNvGraphicFramePr>
                  <a:graphicFrameLocks/>
                </wp:cNvGraphicFramePr>
                <a:graphic>
                  <a:graphicData uri="http://schemas.microsoft.com/office/word/2010/wordprocessingShape">
                    <wps:wsp>
                      <wps:cNvPr id="379" name="Graphic 37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3.168159pt;width:473.4pt;height:.1pt;mso-position-horizontal-relative:page;mso-position-vertical-relative:paragraph;z-index:-15659520;mso-wrap-distance-left:0;mso-wrap-distance-right:0" id="docshape299" coordorigin="1020,263" coordsize="9468,0" path="m1020,263l10488,263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1200" w:hanging="567"/>
        <w:jc w:val="left"/>
        <w:rPr>
          <w:sz w:val="18"/>
        </w:rPr>
      </w:pPr>
      <w:r>
        <w:rPr>
          <w:color w:val="1D71B8"/>
          <w:sz w:val="18"/>
          <w:u w:val="single" w:color="1D71B8"/>
        </w:rPr>
        <w:t>Northern</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Protocol</w:t>
      </w:r>
      <w:r>
        <w:rPr>
          <w:color w:val="1D71B8"/>
          <w:spacing w:val="-4"/>
          <w:sz w:val="18"/>
          <w:u w:val="single" w:color="1D71B8"/>
        </w:rPr>
        <w:t> </w:t>
      </w:r>
      <w:r>
        <w:rPr>
          <w:color w:val="1D71B8"/>
          <w:sz w:val="18"/>
          <w:u w:val="single" w:color="1D71B8"/>
        </w:rPr>
        <w:t>Bill</w:t>
      </w:r>
      <w:r>
        <w:rPr>
          <w:sz w:val="18"/>
          <w:u w:val="none"/>
        </w:rPr>
        <w:t>.</w:t>
      </w:r>
      <w:r>
        <w:rPr>
          <w:spacing w:val="-4"/>
          <w:sz w:val="18"/>
          <w:u w:val="none"/>
        </w:rPr>
        <w:t> </w:t>
      </w:r>
      <w:r>
        <w:rPr>
          <w:sz w:val="18"/>
          <w:u w:val="none"/>
        </w:rPr>
        <w:t>This</w:t>
      </w:r>
      <w:r>
        <w:rPr>
          <w:spacing w:val="-4"/>
          <w:sz w:val="18"/>
          <w:u w:val="none"/>
        </w:rPr>
        <w:t> </w:t>
      </w:r>
      <w:r>
        <w:rPr>
          <w:sz w:val="18"/>
          <w:u w:val="none"/>
        </w:rPr>
        <w:t>Bill,</w:t>
      </w:r>
      <w:r>
        <w:rPr>
          <w:spacing w:val="-3"/>
          <w:sz w:val="18"/>
          <w:u w:val="none"/>
        </w:rPr>
        <w:t> </w:t>
      </w:r>
      <w:r>
        <w:rPr>
          <w:sz w:val="18"/>
          <w:u w:val="none"/>
        </w:rPr>
        <w:t>as</w:t>
      </w:r>
      <w:r>
        <w:rPr>
          <w:spacing w:val="-4"/>
          <w:sz w:val="18"/>
          <w:u w:val="none"/>
        </w:rPr>
        <w:t> </w:t>
      </w:r>
      <w:r>
        <w:rPr>
          <w:sz w:val="18"/>
          <w:u w:val="none"/>
        </w:rPr>
        <w:t>introduced</w:t>
      </w:r>
      <w:r>
        <w:rPr>
          <w:spacing w:val="-4"/>
          <w:sz w:val="18"/>
          <w:u w:val="none"/>
        </w:rPr>
        <w:t> </w:t>
      </w:r>
      <w:r>
        <w:rPr>
          <w:sz w:val="18"/>
          <w:u w:val="none"/>
        </w:rPr>
        <w:t>would</w:t>
      </w:r>
      <w:r>
        <w:rPr>
          <w:spacing w:val="-4"/>
          <w:sz w:val="18"/>
          <w:u w:val="none"/>
        </w:rPr>
        <w:t> </w:t>
      </w:r>
      <w:r>
        <w:rPr>
          <w:sz w:val="18"/>
          <w:u w:val="none"/>
        </w:rPr>
        <w:t>have</w:t>
      </w:r>
      <w:r>
        <w:rPr>
          <w:spacing w:val="-3"/>
          <w:sz w:val="18"/>
          <w:u w:val="none"/>
        </w:rPr>
        <w:t> </w:t>
      </w:r>
      <w:r>
        <w:rPr>
          <w:sz w:val="18"/>
          <w:u w:val="none"/>
        </w:rPr>
        <w:t>severely</w:t>
      </w:r>
      <w:r>
        <w:rPr>
          <w:spacing w:val="-3"/>
          <w:sz w:val="18"/>
          <w:u w:val="none"/>
        </w:rPr>
        <w:t> </w:t>
      </w:r>
      <w:r>
        <w:rPr>
          <w:sz w:val="18"/>
          <w:u w:val="none"/>
        </w:rPr>
        <w:t>affected</w:t>
      </w:r>
      <w:r>
        <w:rPr>
          <w:spacing w:val="-4"/>
          <w:sz w:val="18"/>
          <w:u w:val="none"/>
        </w:rPr>
        <w:t> </w:t>
      </w:r>
      <w:r>
        <w:rPr>
          <w:sz w:val="18"/>
          <w:u w:val="none"/>
        </w:rPr>
        <w:t>the</w:t>
      </w:r>
      <w:r>
        <w:rPr>
          <w:spacing w:val="-3"/>
          <w:sz w:val="18"/>
          <w:u w:val="none"/>
        </w:rPr>
        <w:t> </w:t>
      </w:r>
      <w:r>
        <w:rPr>
          <w:sz w:val="18"/>
          <w:u w:val="none"/>
        </w:rPr>
        <w:t>operation</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Protocol.</w:t>
      </w:r>
      <w:r>
        <w:rPr>
          <w:spacing w:val="-4"/>
          <w:sz w:val="18"/>
          <w:u w:val="none"/>
        </w:rPr>
        <w:t> </w:t>
      </w:r>
      <w:r>
        <w:rPr>
          <w:sz w:val="18"/>
          <w:u w:val="none"/>
        </w:rPr>
        <w:t>The</w:t>
      </w:r>
      <w:r>
        <w:rPr>
          <w:spacing w:val="-3"/>
          <w:sz w:val="18"/>
          <w:u w:val="none"/>
        </w:rPr>
        <w:t> </w:t>
      </w:r>
      <w:r>
        <w:rPr>
          <w:sz w:val="18"/>
          <w:u w:val="none"/>
        </w:rPr>
        <w:t>Bill would have removed the protection offered by the European Union (Withdrawal) Act 2018 from excluded provisions of the Protocol. This would have applied to provisions on movement of goods for instance and Ministers would have been given</w:t>
      </w:r>
      <w:r>
        <w:rPr>
          <w:spacing w:val="-7"/>
          <w:sz w:val="18"/>
          <w:u w:val="none"/>
        </w:rPr>
        <w:t> </w:t>
      </w:r>
      <w:r>
        <w:rPr>
          <w:sz w:val="18"/>
          <w:u w:val="none"/>
        </w:rPr>
        <w:t>the</w:t>
      </w:r>
      <w:r>
        <w:rPr>
          <w:spacing w:val="-6"/>
          <w:sz w:val="18"/>
          <w:u w:val="none"/>
        </w:rPr>
        <w:t> </w:t>
      </w:r>
      <w:r>
        <w:rPr>
          <w:sz w:val="18"/>
          <w:u w:val="none"/>
        </w:rPr>
        <w:t>power</w:t>
      </w:r>
      <w:r>
        <w:rPr>
          <w:spacing w:val="-6"/>
          <w:sz w:val="18"/>
          <w:u w:val="none"/>
        </w:rPr>
        <w:t> </w:t>
      </w:r>
      <w:r>
        <w:rPr>
          <w:sz w:val="18"/>
          <w:u w:val="none"/>
        </w:rPr>
        <w:t>to</w:t>
      </w:r>
      <w:r>
        <w:rPr>
          <w:spacing w:val="-7"/>
          <w:sz w:val="18"/>
          <w:u w:val="none"/>
        </w:rPr>
        <w:t> </w:t>
      </w:r>
      <w:r>
        <w:rPr>
          <w:sz w:val="18"/>
          <w:u w:val="none"/>
        </w:rPr>
        <w:t>designate</w:t>
      </w:r>
      <w:r>
        <w:rPr>
          <w:spacing w:val="-6"/>
          <w:sz w:val="18"/>
          <w:u w:val="none"/>
        </w:rPr>
        <w:t> </w:t>
      </w:r>
      <w:r>
        <w:rPr>
          <w:sz w:val="18"/>
          <w:u w:val="none"/>
        </w:rPr>
        <w:t>other</w:t>
      </w:r>
      <w:r>
        <w:rPr>
          <w:spacing w:val="-6"/>
          <w:sz w:val="18"/>
          <w:u w:val="none"/>
        </w:rPr>
        <w:t> </w:t>
      </w:r>
      <w:r>
        <w:rPr>
          <w:sz w:val="18"/>
          <w:u w:val="none"/>
        </w:rPr>
        <w:t>Protocol</w:t>
      </w:r>
      <w:r>
        <w:rPr>
          <w:spacing w:val="-7"/>
          <w:sz w:val="18"/>
          <w:u w:val="none"/>
        </w:rPr>
        <w:t> </w:t>
      </w:r>
      <w:r>
        <w:rPr>
          <w:sz w:val="18"/>
          <w:u w:val="none"/>
        </w:rPr>
        <w:t>provisions</w:t>
      </w:r>
      <w:r>
        <w:rPr>
          <w:spacing w:val="-7"/>
          <w:sz w:val="18"/>
          <w:u w:val="none"/>
        </w:rPr>
        <w:t> </w:t>
      </w:r>
      <w:r>
        <w:rPr>
          <w:sz w:val="18"/>
          <w:u w:val="none"/>
        </w:rPr>
        <w:t>excluded;</w:t>
      </w:r>
      <w:r>
        <w:rPr>
          <w:spacing w:val="-6"/>
          <w:sz w:val="18"/>
          <w:u w:val="none"/>
        </w:rPr>
        <w:t> </w:t>
      </w:r>
      <w:r>
        <w:rPr>
          <w:sz w:val="18"/>
          <w:u w:val="none"/>
        </w:rPr>
        <w:t>article</w:t>
      </w:r>
      <w:r>
        <w:rPr>
          <w:spacing w:val="-6"/>
          <w:sz w:val="18"/>
          <w:u w:val="none"/>
        </w:rPr>
        <w:t> </w:t>
      </w:r>
      <w:r>
        <w:rPr>
          <w:sz w:val="18"/>
          <w:u w:val="none"/>
        </w:rPr>
        <w:t>2</w:t>
      </w:r>
      <w:r>
        <w:rPr>
          <w:spacing w:val="-6"/>
          <w:sz w:val="18"/>
          <w:u w:val="none"/>
        </w:rPr>
        <w:t> </w:t>
      </w:r>
      <w:r>
        <w:rPr>
          <w:sz w:val="18"/>
          <w:u w:val="none"/>
        </w:rPr>
        <w:t>of</w:t>
      </w:r>
      <w:r>
        <w:rPr>
          <w:spacing w:val="-7"/>
          <w:sz w:val="18"/>
          <w:u w:val="none"/>
        </w:rPr>
        <w:t> </w:t>
      </w:r>
      <w:r>
        <w:rPr>
          <w:sz w:val="18"/>
          <w:u w:val="none"/>
        </w:rPr>
        <w:t>the</w:t>
      </w:r>
      <w:r>
        <w:rPr>
          <w:spacing w:val="-6"/>
          <w:sz w:val="18"/>
          <w:u w:val="none"/>
        </w:rPr>
        <w:t> </w:t>
      </w:r>
      <w:r>
        <w:rPr>
          <w:sz w:val="18"/>
          <w:u w:val="none"/>
        </w:rPr>
        <w:t>Protocol</w:t>
      </w:r>
      <w:r>
        <w:rPr>
          <w:spacing w:val="-7"/>
          <w:sz w:val="18"/>
          <w:u w:val="none"/>
        </w:rPr>
        <w:t> </w:t>
      </w:r>
      <w:r>
        <w:rPr>
          <w:sz w:val="18"/>
          <w:u w:val="none"/>
        </w:rPr>
        <w:t>was</w:t>
      </w:r>
      <w:r>
        <w:rPr>
          <w:spacing w:val="-7"/>
          <w:sz w:val="18"/>
          <w:u w:val="none"/>
        </w:rPr>
        <w:t> </w:t>
      </w:r>
      <w:r>
        <w:rPr>
          <w:sz w:val="18"/>
          <w:u w:val="none"/>
        </w:rPr>
        <w:t>exempted</w:t>
      </w:r>
      <w:r>
        <w:rPr>
          <w:spacing w:val="-7"/>
          <w:sz w:val="18"/>
          <w:u w:val="none"/>
        </w:rPr>
        <w:t> </w:t>
      </w:r>
      <w:r>
        <w:rPr>
          <w:sz w:val="18"/>
          <w:u w:val="none"/>
        </w:rPr>
        <w:t>from</w:t>
      </w:r>
      <w:r>
        <w:rPr>
          <w:spacing w:val="-6"/>
          <w:sz w:val="18"/>
          <w:u w:val="none"/>
        </w:rPr>
        <w:t> </w:t>
      </w:r>
      <w:r>
        <w:rPr>
          <w:sz w:val="18"/>
          <w:u w:val="none"/>
        </w:rPr>
        <w:t>this</w:t>
      </w:r>
      <w:r>
        <w:rPr>
          <w:spacing w:val="-7"/>
          <w:sz w:val="18"/>
          <w:u w:val="none"/>
        </w:rPr>
        <w:t> </w:t>
      </w:r>
      <w:r>
        <w:rPr>
          <w:sz w:val="18"/>
          <w:u w:val="none"/>
        </w:rPr>
        <w:t>power.</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75168">
                <wp:simplePos x="0" y="0"/>
                <wp:positionH relativeFrom="page">
                  <wp:posOffset>-2</wp:posOffset>
                </wp:positionH>
                <wp:positionV relativeFrom="page">
                  <wp:posOffset>0</wp:posOffset>
                </wp:positionV>
                <wp:extent cx="7560309" cy="1155065"/>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7560309" cy="1155065"/>
                          <a:chExt cx="7560309" cy="1155065"/>
                        </a:xfrm>
                      </wpg:grpSpPr>
                      <wps:wsp>
                        <wps:cNvPr id="381" name="Graphic 381"/>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382" name="Graphic 382"/>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41312" id="docshapegroup300" coordorigin="0,0" coordsize="11906,1819">
                <v:shape style="position:absolute;left:0;top:0;width:11906;height:1819" id="docshape301"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35</w:t>
      </w:r>
    </w:p>
    <w:p>
      <w:pPr>
        <w:pStyle w:val="BodyText"/>
        <w:rPr>
          <w:b/>
        </w:rPr>
      </w:pPr>
    </w:p>
    <w:p>
      <w:pPr>
        <w:pStyle w:val="BodyText"/>
        <w:spacing w:before="48"/>
        <w:rPr>
          <w:b/>
        </w:rPr>
      </w:pPr>
    </w:p>
    <w:p>
      <w:pPr>
        <w:pStyle w:val="BodyText"/>
        <w:spacing w:line="232" w:lineRule="auto"/>
        <w:ind w:left="1117" w:right="738"/>
      </w:pPr>
      <w:r>
        <w:rPr/>
        <w:t>restrictions about the interpretation of rights, the use of positive obligations, restrictions</w:t>
      </w:r>
      <w:r>
        <w:rPr>
          <w:spacing w:val="-8"/>
        </w:rPr>
        <w:t> </w:t>
      </w:r>
      <w:r>
        <w:rPr/>
        <w:t>on</w:t>
      </w:r>
      <w:r>
        <w:rPr>
          <w:spacing w:val="-8"/>
        </w:rPr>
        <w:t> </w:t>
      </w:r>
      <w:r>
        <w:rPr/>
        <w:t>remedies</w:t>
      </w:r>
      <w:r>
        <w:rPr>
          <w:spacing w:val="-8"/>
        </w:rPr>
        <w:t> </w:t>
      </w:r>
      <w:r>
        <w:rPr/>
        <w:t>and</w:t>
      </w:r>
      <w:r>
        <w:rPr>
          <w:spacing w:val="-8"/>
        </w:rPr>
        <w:t> </w:t>
      </w:r>
      <w:r>
        <w:rPr/>
        <w:t>other</w:t>
      </w:r>
      <w:r>
        <w:rPr>
          <w:spacing w:val="-7"/>
        </w:rPr>
        <w:t> </w:t>
      </w:r>
      <w:r>
        <w:rPr/>
        <w:t>complications</w:t>
      </w:r>
      <w:r>
        <w:rPr>
          <w:spacing w:val="-8"/>
        </w:rPr>
        <w:t> </w:t>
      </w:r>
      <w:r>
        <w:rPr/>
        <w:t>for</w:t>
      </w:r>
      <w:r>
        <w:rPr>
          <w:spacing w:val="-7"/>
        </w:rPr>
        <w:t> </w:t>
      </w:r>
      <w:r>
        <w:rPr/>
        <w:t>the</w:t>
      </w:r>
      <w:r>
        <w:rPr>
          <w:spacing w:val="-7"/>
        </w:rPr>
        <w:t> </w:t>
      </w:r>
      <w:r>
        <w:rPr/>
        <w:t>protection</w:t>
      </w:r>
      <w:r>
        <w:rPr>
          <w:spacing w:val="-8"/>
        </w:rPr>
        <w:t> </w:t>
      </w:r>
      <w:r>
        <w:rPr/>
        <w:t>of</w:t>
      </w:r>
      <w:r>
        <w:rPr>
          <w:spacing w:val="-8"/>
        </w:rPr>
        <w:t> </w:t>
      </w:r>
      <w:r>
        <w:rPr/>
        <w:t>rights</w:t>
      </w:r>
      <w:r>
        <w:rPr>
          <w:spacing w:val="-8"/>
        </w:rPr>
        <w:t> </w:t>
      </w:r>
      <w:r>
        <w:rPr/>
        <w:t>across the UK. The Bill of Rights Bill was the subject of extensive, detailed and trenchant criticism, including from the NIHRC</w:t>
      </w:r>
      <w:r>
        <w:rPr>
          <w:vertAlign w:val="superscript"/>
        </w:rPr>
        <w:t>147</w:t>
      </w:r>
      <w:r>
        <w:rPr>
          <w:vertAlign w:val="baseline"/>
        </w:rPr>
        <w:t> and ECNI,</w:t>
      </w:r>
      <w:r>
        <w:rPr>
          <w:vertAlign w:val="superscript"/>
        </w:rPr>
        <w:t>148</w:t>
      </w:r>
      <w:r>
        <w:rPr>
          <w:vertAlign w:val="baseline"/>
        </w:rPr>
        <w:t> while the Joint Committee</w:t>
      </w:r>
    </w:p>
    <w:p>
      <w:pPr>
        <w:pStyle w:val="BodyText"/>
        <w:spacing w:line="232" w:lineRule="auto"/>
        <w:ind w:left="1117" w:right="805"/>
      </w:pPr>
      <w:r>
        <w:rPr/>
        <w:t>on Human Rights published a highly critical report.</w:t>
      </w:r>
      <w:r>
        <w:rPr>
          <w:vertAlign w:val="superscript"/>
        </w:rPr>
        <w:t>149</w:t>
      </w:r>
      <w:r>
        <w:rPr>
          <w:vertAlign w:val="baseline"/>
        </w:rPr>
        <w:t> The Commissions, among numerous other criticisms, flagged issues about compatibility with Article 2 WF. The Equality Commission expressed concern that the Government did not explain its position on the Bill and Article 2 WF and that the Bill contained no safeguards for Article 2 WF.</w:t>
      </w:r>
      <w:r>
        <w:rPr>
          <w:vertAlign w:val="superscript"/>
        </w:rPr>
        <w:t>150</w:t>
      </w:r>
      <w:r>
        <w:rPr>
          <w:vertAlign w:val="baseline"/>
        </w:rPr>
        <w:t> The NIHRC expressed concerns that the Bill of Rights Bill would ‘create uncertainty and confusion’ and so make the interpretation of Article 2 WF more</w:t>
      </w:r>
      <w:r>
        <w:rPr>
          <w:spacing w:val="-7"/>
          <w:vertAlign w:val="baseline"/>
        </w:rPr>
        <w:t> </w:t>
      </w:r>
      <w:r>
        <w:rPr>
          <w:vertAlign w:val="baseline"/>
        </w:rPr>
        <w:t>‘challenging’.</w:t>
      </w:r>
      <w:r>
        <w:rPr>
          <w:vertAlign w:val="superscript"/>
        </w:rPr>
        <w:t>151</w:t>
      </w:r>
      <w:r>
        <w:rPr>
          <w:spacing w:val="-8"/>
          <w:vertAlign w:val="baseline"/>
        </w:rPr>
        <w:t> </w:t>
      </w:r>
      <w:r>
        <w:rPr>
          <w:vertAlign w:val="baseline"/>
        </w:rPr>
        <w:t>Furthermore</w:t>
      </w:r>
      <w:r>
        <w:rPr>
          <w:spacing w:val="-7"/>
          <w:vertAlign w:val="baseline"/>
        </w:rPr>
        <w:t> </w:t>
      </w:r>
      <w:r>
        <w:rPr>
          <w:vertAlign w:val="baseline"/>
        </w:rPr>
        <w:t>the</w:t>
      </w:r>
      <w:r>
        <w:rPr>
          <w:spacing w:val="-7"/>
          <w:vertAlign w:val="baseline"/>
        </w:rPr>
        <w:t> </w:t>
      </w:r>
      <w:r>
        <w:rPr>
          <w:vertAlign w:val="baseline"/>
        </w:rPr>
        <w:t>NIHRC</w:t>
      </w:r>
      <w:r>
        <w:rPr>
          <w:spacing w:val="-8"/>
          <w:vertAlign w:val="baseline"/>
        </w:rPr>
        <w:t> </w:t>
      </w:r>
      <w:r>
        <w:rPr>
          <w:vertAlign w:val="baseline"/>
        </w:rPr>
        <w:t>warned</w:t>
      </w:r>
      <w:r>
        <w:rPr>
          <w:spacing w:val="-8"/>
          <w:vertAlign w:val="baseline"/>
        </w:rPr>
        <w:t> </w:t>
      </w:r>
      <w:r>
        <w:rPr>
          <w:vertAlign w:val="baseline"/>
        </w:rPr>
        <w:t>that</w:t>
      </w:r>
      <w:r>
        <w:rPr>
          <w:spacing w:val="-7"/>
          <w:vertAlign w:val="baseline"/>
        </w:rPr>
        <w:t> </w:t>
      </w:r>
      <w:r>
        <w:rPr>
          <w:vertAlign w:val="baseline"/>
        </w:rPr>
        <w:t>Article</w:t>
      </w:r>
      <w:r>
        <w:rPr>
          <w:spacing w:val="-7"/>
          <w:vertAlign w:val="baseline"/>
        </w:rPr>
        <w:t> </w:t>
      </w:r>
      <w:r>
        <w:rPr>
          <w:vertAlign w:val="baseline"/>
        </w:rPr>
        <w:t>2</w:t>
      </w:r>
      <w:r>
        <w:rPr>
          <w:spacing w:val="-8"/>
          <w:vertAlign w:val="baseline"/>
        </w:rPr>
        <w:t> </w:t>
      </w:r>
      <w:r>
        <w:rPr>
          <w:vertAlign w:val="baseline"/>
        </w:rPr>
        <w:t>WF</w:t>
      </w:r>
      <w:r>
        <w:rPr>
          <w:spacing w:val="-8"/>
          <w:vertAlign w:val="baseline"/>
        </w:rPr>
        <w:t> </w:t>
      </w:r>
      <w:r>
        <w:rPr>
          <w:vertAlign w:val="baseline"/>
        </w:rPr>
        <w:t>meant</w:t>
      </w:r>
      <w:r>
        <w:rPr>
          <w:spacing w:val="-7"/>
          <w:vertAlign w:val="baseline"/>
        </w:rPr>
        <w:t> </w:t>
      </w:r>
      <w:r>
        <w:rPr>
          <w:vertAlign w:val="baseline"/>
        </w:rPr>
        <w:t>that the case law of the European Court of Human Rights would remain relevant even though the Bill sought to downplay the case law of that court with a proposal to remove</w:t>
      </w:r>
      <w:r>
        <w:rPr>
          <w:spacing w:val="-11"/>
          <w:vertAlign w:val="baseline"/>
        </w:rPr>
        <w:t> </w:t>
      </w:r>
      <w:r>
        <w:rPr>
          <w:vertAlign w:val="baseline"/>
        </w:rPr>
        <w:t>the</w:t>
      </w:r>
      <w:r>
        <w:rPr>
          <w:spacing w:val="-11"/>
          <w:vertAlign w:val="baseline"/>
        </w:rPr>
        <w:t> </w:t>
      </w:r>
      <w:r>
        <w:rPr>
          <w:vertAlign w:val="baseline"/>
        </w:rPr>
        <w:t>obligation</w:t>
      </w:r>
      <w:r>
        <w:rPr>
          <w:spacing w:val="-11"/>
          <w:vertAlign w:val="baseline"/>
        </w:rPr>
        <w:t> </w:t>
      </w:r>
      <w:r>
        <w:rPr>
          <w:vertAlign w:val="baseline"/>
        </w:rPr>
        <w:t>on</w:t>
      </w:r>
      <w:r>
        <w:rPr>
          <w:spacing w:val="-11"/>
          <w:vertAlign w:val="baseline"/>
        </w:rPr>
        <w:t> </w:t>
      </w:r>
      <w:r>
        <w:rPr>
          <w:vertAlign w:val="baseline"/>
        </w:rPr>
        <w:t>UK</w:t>
      </w:r>
      <w:r>
        <w:rPr>
          <w:spacing w:val="-11"/>
          <w:vertAlign w:val="baseline"/>
        </w:rPr>
        <w:t> </w:t>
      </w:r>
      <w:r>
        <w:rPr>
          <w:vertAlign w:val="baseline"/>
        </w:rPr>
        <w:t>courts</w:t>
      </w:r>
      <w:r>
        <w:rPr>
          <w:spacing w:val="-11"/>
          <w:vertAlign w:val="baseline"/>
        </w:rPr>
        <w:t> </w:t>
      </w:r>
      <w:r>
        <w:rPr>
          <w:vertAlign w:val="baseline"/>
        </w:rPr>
        <w:t>to</w:t>
      </w:r>
      <w:r>
        <w:rPr>
          <w:spacing w:val="-11"/>
          <w:vertAlign w:val="baseline"/>
        </w:rPr>
        <w:t> </w:t>
      </w:r>
      <w:r>
        <w:rPr>
          <w:vertAlign w:val="baseline"/>
        </w:rPr>
        <w:t>take</w:t>
      </w:r>
      <w:r>
        <w:rPr>
          <w:spacing w:val="-11"/>
          <w:vertAlign w:val="baseline"/>
        </w:rPr>
        <w:t> </w:t>
      </w:r>
      <w:r>
        <w:rPr>
          <w:vertAlign w:val="baseline"/>
        </w:rPr>
        <w:t>into</w:t>
      </w:r>
      <w:r>
        <w:rPr>
          <w:spacing w:val="-11"/>
          <w:vertAlign w:val="baseline"/>
        </w:rPr>
        <w:t> </w:t>
      </w:r>
      <w:r>
        <w:rPr>
          <w:vertAlign w:val="baseline"/>
        </w:rPr>
        <w:t>account</w:t>
      </w:r>
      <w:r>
        <w:rPr>
          <w:spacing w:val="-11"/>
          <w:vertAlign w:val="baseline"/>
        </w:rPr>
        <w:t> </w:t>
      </w:r>
      <w:r>
        <w:rPr>
          <w:vertAlign w:val="baseline"/>
        </w:rPr>
        <w:t>the</w:t>
      </w:r>
      <w:r>
        <w:rPr>
          <w:spacing w:val="-11"/>
          <w:vertAlign w:val="baseline"/>
        </w:rPr>
        <w:t> </w:t>
      </w:r>
      <w:r>
        <w:rPr>
          <w:vertAlign w:val="baseline"/>
        </w:rPr>
        <w:t>Strasbourg</w:t>
      </w:r>
      <w:r>
        <w:rPr>
          <w:spacing w:val="-11"/>
          <w:vertAlign w:val="baseline"/>
        </w:rPr>
        <w:t> </w:t>
      </w:r>
      <w:r>
        <w:rPr>
          <w:vertAlign w:val="baseline"/>
        </w:rPr>
        <w:t>case</w:t>
      </w:r>
      <w:r>
        <w:rPr>
          <w:spacing w:val="-11"/>
          <w:vertAlign w:val="baseline"/>
        </w:rPr>
        <w:t> </w:t>
      </w:r>
      <w:r>
        <w:rPr>
          <w:vertAlign w:val="baseline"/>
        </w:rPr>
        <w:t>law.</w:t>
      </w:r>
      <w:r>
        <w:rPr>
          <w:vertAlign w:val="superscript"/>
        </w:rPr>
        <w:t>152</w:t>
      </w:r>
    </w:p>
    <w:p>
      <w:pPr>
        <w:pStyle w:val="BodyText"/>
        <w:spacing w:line="232" w:lineRule="auto" w:before="262"/>
        <w:ind w:left="1117" w:right="950"/>
      </w:pPr>
      <w:r>
        <w:rPr/>
        <w:t>Following a change in the Secretary of State for Justice the Bill of Rights Bill was withdrawn on 27 June 2023.</w:t>
      </w:r>
      <w:r>
        <w:rPr>
          <w:vertAlign w:val="superscript"/>
        </w:rPr>
        <w:t>153</w:t>
      </w:r>
      <w:r>
        <w:rPr>
          <w:vertAlign w:val="baseline"/>
        </w:rPr>
        <w:t> While the Bill of Rights Bill has been withdrawn, the Government has adopted an approach of specific changes to the human rights</w:t>
      </w:r>
      <w:r>
        <w:rPr>
          <w:spacing w:val="-8"/>
          <w:vertAlign w:val="baseline"/>
        </w:rPr>
        <w:t> </w:t>
      </w:r>
      <w:r>
        <w:rPr>
          <w:vertAlign w:val="baseline"/>
        </w:rPr>
        <w:t>framework</w:t>
      </w:r>
      <w:r>
        <w:rPr>
          <w:spacing w:val="-8"/>
          <w:vertAlign w:val="baseline"/>
        </w:rPr>
        <w:t> </w:t>
      </w:r>
      <w:r>
        <w:rPr>
          <w:vertAlign w:val="baseline"/>
        </w:rPr>
        <w:t>in</w:t>
      </w:r>
      <w:r>
        <w:rPr>
          <w:spacing w:val="-8"/>
          <w:vertAlign w:val="baseline"/>
        </w:rPr>
        <w:t> </w:t>
      </w:r>
      <w:r>
        <w:rPr>
          <w:vertAlign w:val="baseline"/>
        </w:rPr>
        <w:t>different</w:t>
      </w:r>
      <w:r>
        <w:rPr>
          <w:spacing w:val="-8"/>
          <w:vertAlign w:val="baseline"/>
        </w:rPr>
        <w:t> </w:t>
      </w:r>
      <w:r>
        <w:rPr>
          <w:vertAlign w:val="baseline"/>
        </w:rPr>
        <w:t>pieces</w:t>
      </w:r>
      <w:r>
        <w:rPr>
          <w:spacing w:val="-8"/>
          <w:vertAlign w:val="baseline"/>
        </w:rPr>
        <w:t> </w:t>
      </w:r>
      <w:r>
        <w:rPr>
          <w:vertAlign w:val="baseline"/>
        </w:rPr>
        <w:t>of</w:t>
      </w:r>
      <w:r>
        <w:rPr>
          <w:spacing w:val="-8"/>
          <w:vertAlign w:val="baseline"/>
        </w:rPr>
        <w:t> </w:t>
      </w:r>
      <w:r>
        <w:rPr>
          <w:vertAlign w:val="baseline"/>
        </w:rPr>
        <w:t>legislation.</w:t>
      </w:r>
      <w:r>
        <w:rPr>
          <w:vertAlign w:val="superscript"/>
        </w:rPr>
        <w:t>154</w:t>
      </w:r>
      <w:r>
        <w:rPr>
          <w:spacing w:val="-8"/>
          <w:vertAlign w:val="baseline"/>
        </w:rPr>
        <w:t> </w:t>
      </w:r>
      <w:r>
        <w:rPr>
          <w:vertAlign w:val="baseline"/>
        </w:rPr>
        <w:t>So</w:t>
      </w:r>
      <w:r>
        <w:rPr>
          <w:spacing w:val="-8"/>
          <w:vertAlign w:val="baseline"/>
        </w:rPr>
        <w:t> </w:t>
      </w:r>
      <w:r>
        <w:rPr>
          <w:vertAlign w:val="baseline"/>
        </w:rPr>
        <w:t>there</w:t>
      </w:r>
      <w:r>
        <w:rPr>
          <w:spacing w:val="-8"/>
          <w:vertAlign w:val="baseline"/>
        </w:rPr>
        <w:t> </w:t>
      </w:r>
      <w:r>
        <w:rPr>
          <w:vertAlign w:val="baseline"/>
        </w:rPr>
        <w:t>has</w:t>
      </w:r>
      <w:r>
        <w:rPr>
          <w:spacing w:val="-8"/>
          <w:vertAlign w:val="baseline"/>
        </w:rPr>
        <w:t> </w:t>
      </w:r>
      <w:r>
        <w:rPr>
          <w:vertAlign w:val="baseline"/>
        </w:rPr>
        <w:t>been</w:t>
      </w:r>
      <w:r>
        <w:rPr>
          <w:spacing w:val="-8"/>
          <w:vertAlign w:val="baseline"/>
        </w:rPr>
        <w:t> </w:t>
      </w:r>
      <w:r>
        <w:rPr>
          <w:vertAlign w:val="baseline"/>
        </w:rPr>
        <w:t>a</w:t>
      </w:r>
      <w:r>
        <w:rPr>
          <w:spacing w:val="-8"/>
          <w:vertAlign w:val="baseline"/>
        </w:rPr>
        <w:t> </w:t>
      </w:r>
      <w:r>
        <w:rPr>
          <w:vertAlign w:val="baseline"/>
        </w:rPr>
        <w:t>policy</w:t>
      </w:r>
      <w:r>
        <w:rPr>
          <w:spacing w:val="-8"/>
          <w:vertAlign w:val="baseline"/>
        </w:rPr>
        <w:t> </w:t>
      </w:r>
      <w:r>
        <w:rPr>
          <w:vertAlign w:val="baseline"/>
        </w:rPr>
        <w:t>of including provisions amending</w:t>
      </w:r>
      <w:r>
        <w:rPr>
          <w:vertAlign w:val="superscript"/>
        </w:rPr>
        <w:t>155</w:t>
      </w:r>
      <w:r>
        <w:rPr>
          <w:vertAlign w:val="baseline"/>
        </w:rPr>
        <w:t> or disapplying parts of the Human Rights Act in some subsequent acts</w:t>
      </w:r>
      <w:r>
        <w:rPr>
          <w:vertAlign w:val="superscript"/>
        </w:rPr>
        <w:t>156</w:t>
      </w:r>
      <w:r>
        <w:rPr>
          <w:vertAlign w:val="baseline"/>
        </w:rPr>
        <w:t> and bills.</w:t>
      </w:r>
      <w:r>
        <w:rPr>
          <w:vertAlign w:val="superscript"/>
        </w:rPr>
        <w:t>157</w:t>
      </w:r>
    </w:p>
    <w:p>
      <w:pPr>
        <w:pStyle w:val="BodyText"/>
        <w:spacing w:line="232" w:lineRule="auto" w:before="274"/>
        <w:ind w:left="1117" w:right="1087"/>
      </w:pPr>
      <w:r>
        <w:rPr/>
        <w:t>More</w:t>
      </w:r>
      <w:r>
        <w:rPr>
          <w:spacing w:val="-6"/>
        </w:rPr>
        <w:t> </w:t>
      </w:r>
      <w:r>
        <w:rPr/>
        <w:t>recently</w:t>
      </w:r>
      <w:r>
        <w:rPr>
          <w:spacing w:val="-6"/>
        </w:rPr>
        <w:t> </w:t>
      </w:r>
      <w:r>
        <w:rPr/>
        <w:t>there</w:t>
      </w:r>
      <w:r>
        <w:rPr>
          <w:spacing w:val="-6"/>
        </w:rPr>
        <w:t> </w:t>
      </w:r>
      <w:r>
        <w:rPr/>
        <w:t>has</w:t>
      </w:r>
      <w:r>
        <w:rPr>
          <w:spacing w:val="-7"/>
        </w:rPr>
        <w:t> </w:t>
      </w:r>
      <w:r>
        <w:rPr/>
        <w:t>been</w:t>
      </w:r>
      <w:r>
        <w:rPr>
          <w:spacing w:val="-7"/>
        </w:rPr>
        <w:t> </w:t>
      </w:r>
      <w:r>
        <w:rPr/>
        <w:t>some</w:t>
      </w:r>
      <w:r>
        <w:rPr>
          <w:spacing w:val="-6"/>
        </w:rPr>
        <w:t> </w:t>
      </w:r>
      <w:r>
        <w:rPr/>
        <w:t>renewed</w:t>
      </w:r>
      <w:r>
        <w:rPr>
          <w:spacing w:val="-7"/>
        </w:rPr>
        <w:t> </w:t>
      </w:r>
      <w:r>
        <w:rPr/>
        <w:t>speculation</w:t>
      </w:r>
      <w:r>
        <w:rPr>
          <w:spacing w:val="-7"/>
        </w:rPr>
        <w:t> </w:t>
      </w:r>
      <w:r>
        <w:rPr/>
        <w:t>about</w:t>
      </w:r>
      <w:r>
        <w:rPr>
          <w:spacing w:val="-6"/>
        </w:rPr>
        <w:t> </w:t>
      </w:r>
      <w:r>
        <w:rPr/>
        <w:t>the</w:t>
      </w:r>
      <w:r>
        <w:rPr>
          <w:spacing w:val="-6"/>
        </w:rPr>
        <w:t> </w:t>
      </w:r>
      <w:r>
        <w:rPr/>
        <w:t>United Kingdom leaving the European Convention on Human Rights, some of the speculation coming from the then-Home Secretary.</w:t>
      </w:r>
      <w:r>
        <w:rPr>
          <w:vertAlign w:val="superscript"/>
        </w:rPr>
        <w:t>158</w:t>
      </w:r>
    </w:p>
    <w:p>
      <w:pPr>
        <w:pStyle w:val="BodyText"/>
        <w:spacing w:line="232" w:lineRule="auto" w:before="279"/>
        <w:ind w:left="1117" w:right="738"/>
      </w:pPr>
      <w:r>
        <w:rPr/>
        <w:t>Significant changes to the Human Rights Act or withdrawal from the European Convention</w:t>
      </w:r>
      <w:r>
        <w:rPr>
          <w:spacing w:val="-8"/>
        </w:rPr>
        <w:t> </w:t>
      </w:r>
      <w:r>
        <w:rPr/>
        <w:t>on</w:t>
      </w:r>
      <w:r>
        <w:rPr>
          <w:spacing w:val="-8"/>
        </w:rPr>
        <w:t> </w:t>
      </w:r>
      <w:r>
        <w:rPr/>
        <w:t>Human</w:t>
      </w:r>
      <w:r>
        <w:rPr>
          <w:spacing w:val="-8"/>
        </w:rPr>
        <w:t> </w:t>
      </w:r>
      <w:r>
        <w:rPr/>
        <w:t>Rights</w:t>
      </w:r>
      <w:r>
        <w:rPr>
          <w:spacing w:val="-8"/>
        </w:rPr>
        <w:t> </w:t>
      </w:r>
      <w:r>
        <w:rPr/>
        <w:t>would</w:t>
      </w:r>
      <w:r>
        <w:rPr>
          <w:spacing w:val="-8"/>
        </w:rPr>
        <w:t> </w:t>
      </w:r>
      <w:r>
        <w:rPr/>
        <w:t>have</w:t>
      </w:r>
      <w:r>
        <w:rPr>
          <w:spacing w:val="-7"/>
        </w:rPr>
        <w:t> </w:t>
      </w:r>
      <w:r>
        <w:rPr/>
        <w:t>potentially</w:t>
      </w:r>
      <w:r>
        <w:rPr>
          <w:spacing w:val="-7"/>
        </w:rPr>
        <w:t> </w:t>
      </w:r>
      <w:r>
        <w:rPr/>
        <w:t>serious</w:t>
      </w:r>
      <w:r>
        <w:rPr>
          <w:spacing w:val="-8"/>
        </w:rPr>
        <w:t> </w:t>
      </w:r>
      <w:r>
        <w:rPr/>
        <w:t>consequences</w:t>
      </w:r>
      <w:r>
        <w:rPr>
          <w:spacing w:val="-8"/>
        </w:rPr>
        <w:t> </w:t>
      </w:r>
      <w:r>
        <w:rPr/>
        <w:t>for</w:t>
      </w:r>
      <w:r>
        <w:rPr>
          <w:spacing w:val="-7"/>
        </w:rPr>
        <w:t> </w:t>
      </w:r>
      <w:r>
        <w:rPr/>
        <w:t>NI. The ECHR is central to the 1998 Agreement which contains several commitments respecting the ECHR, for example:</w:t>
      </w:r>
    </w:p>
    <w:p>
      <w:pPr>
        <w:pStyle w:val="BodyText"/>
        <w:spacing w:before="11"/>
        <w:rPr>
          <w:sz w:val="15"/>
        </w:rPr>
      </w:pPr>
      <w:r>
        <w:rPr/>
        <mc:AlternateContent>
          <mc:Choice Requires="wps">
            <w:drawing>
              <wp:anchor distT="0" distB="0" distL="0" distR="0" allowOverlap="1" layoutInCell="1" locked="0" behindDoc="1" simplePos="0" relativeHeight="487657984">
                <wp:simplePos x="0" y="0"/>
                <wp:positionH relativeFrom="page">
                  <wp:posOffset>900000</wp:posOffset>
                </wp:positionH>
                <wp:positionV relativeFrom="paragraph">
                  <wp:posOffset>138733</wp:posOffset>
                </wp:positionV>
                <wp:extent cx="6012180" cy="1270"/>
                <wp:effectExtent l="0" t="0" r="0" b="0"/>
                <wp:wrapTopAndBottom/>
                <wp:docPr id="383" name="Graphic 383"/>
                <wp:cNvGraphicFramePr>
                  <a:graphicFrameLocks/>
                </wp:cNvGraphicFramePr>
                <a:graphic>
                  <a:graphicData uri="http://schemas.microsoft.com/office/word/2010/wordprocessingShape">
                    <wps:wsp>
                      <wps:cNvPr id="383" name="Graphic 38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10.923861pt;width:473.4pt;height:.1pt;mso-position-horizontal-relative:page;mso-position-vertical-relative:paragraph;z-index:-15658496;mso-wrap-distance-left:0;mso-wrap-distance-right:0" id="docshape302" coordorigin="1417,218" coordsize="9468,0" path="m1417,218l10885,218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1221" w:hanging="567"/>
        <w:jc w:val="left"/>
        <w:rPr>
          <w:sz w:val="18"/>
        </w:rPr>
      </w:pPr>
      <w:r>
        <w:rPr>
          <w:sz w:val="18"/>
        </w:rPr>
        <w:t>NIHRC,</w:t>
      </w:r>
      <w:r>
        <w:rPr>
          <w:spacing w:val="-4"/>
          <w:sz w:val="18"/>
        </w:rPr>
        <w:t> </w:t>
      </w:r>
      <w:r>
        <w:rPr>
          <w:color w:val="1D71B8"/>
          <w:sz w:val="18"/>
          <w:u w:val="single" w:color="1D71B8"/>
        </w:rPr>
        <w:t>Response</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UK</w:t>
      </w:r>
      <w:r>
        <w:rPr>
          <w:color w:val="1D71B8"/>
          <w:spacing w:val="-4"/>
          <w:sz w:val="18"/>
          <w:u w:val="single" w:color="1D71B8"/>
        </w:rPr>
        <w:t> </w:t>
      </w:r>
      <w:r>
        <w:rPr>
          <w:color w:val="1D71B8"/>
          <w:sz w:val="18"/>
          <w:u w:val="single" w:color="1D71B8"/>
        </w:rPr>
        <w:t>Joint</w:t>
      </w:r>
      <w:r>
        <w:rPr>
          <w:color w:val="1D71B8"/>
          <w:spacing w:val="-4"/>
          <w:sz w:val="18"/>
          <w:u w:val="single" w:color="1D71B8"/>
        </w:rPr>
        <w:t> </w:t>
      </w:r>
      <w:r>
        <w:rPr>
          <w:color w:val="1D71B8"/>
          <w:sz w:val="18"/>
          <w:u w:val="single" w:color="1D71B8"/>
        </w:rPr>
        <w:t>Committee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call</w:t>
      </w:r>
      <w:r>
        <w:rPr>
          <w:color w:val="1D71B8"/>
          <w:spacing w:val="-5"/>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evidence</w:t>
      </w:r>
      <w:r>
        <w:rPr>
          <w:color w:val="1D71B8"/>
          <w:spacing w:val="-4"/>
          <w:sz w:val="18"/>
          <w:u w:val="single" w:color="1D71B8"/>
        </w:rPr>
        <w:t> </w:t>
      </w:r>
      <w:r>
        <w:rPr>
          <w:color w:val="1D71B8"/>
          <w:sz w:val="18"/>
          <w:u w:val="single" w:color="1D71B8"/>
        </w:rPr>
        <w:t>Legislative</w:t>
      </w:r>
      <w:r>
        <w:rPr>
          <w:color w:val="1D71B8"/>
          <w:spacing w:val="-4"/>
          <w:sz w:val="18"/>
          <w:u w:val="single" w:color="1D71B8"/>
        </w:rPr>
        <w:t> </w:t>
      </w:r>
      <w:r>
        <w:rPr>
          <w:color w:val="1D71B8"/>
          <w:sz w:val="18"/>
          <w:u w:val="single" w:color="1D71B8"/>
        </w:rPr>
        <w:t>Scrutiny:</w:t>
      </w:r>
      <w:r>
        <w:rPr>
          <w:color w:val="1D71B8"/>
          <w:spacing w:val="-4"/>
          <w:sz w:val="18"/>
          <w:u w:val="single" w:color="1D71B8"/>
        </w:rPr>
        <w:t> </w:t>
      </w:r>
      <w:r>
        <w:rPr>
          <w:color w:val="1D71B8"/>
          <w:sz w:val="18"/>
          <w:u w:val="single" w:color="1D71B8"/>
        </w:rPr>
        <w:t>Bill</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Bill</w:t>
      </w:r>
      <w:r>
        <w:rPr>
          <w:color w:val="1D71B8"/>
          <w:sz w:val="18"/>
          <w:u w:val="none"/>
        </w:rPr>
        <w:t> </w:t>
      </w:r>
      <w:r>
        <w:rPr>
          <w:spacing w:val="-2"/>
          <w:sz w:val="18"/>
          <w:u w:val="none"/>
        </w:rPr>
        <w:t>(2022).</w:t>
      </w:r>
    </w:p>
    <w:p>
      <w:pPr>
        <w:pStyle w:val="ListParagraph"/>
        <w:numPr>
          <w:ilvl w:val="0"/>
          <w:numId w:val="9"/>
        </w:numPr>
        <w:tabs>
          <w:tab w:pos="1684" w:val="left" w:leader="none"/>
        </w:tabs>
        <w:spacing w:line="240" w:lineRule="auto" w:before="1" w:after="0"/>
        <w:ind w:left="1684" w:right="0" w:hanging="567"/>
        <w:jc w:val="left"/>
        <w:rPr>
          <w:sz w:val="18"/>
        </w:rPr>
      </w:pPr>
      <w:r>
        <w:rPr>
          <w:sz w:val="18"/>
        </w:rPr>
        <w:t>ECNI,</w:t>
      </w:r>
      <w:r>
        <w:rPr>
          <w:spacing w:val="-6"/>
          <w:sz w:val="18"/>
        </w:rPr>
        <w:t> </w:t>
      </w:r>
      <w:r>
        <w:rPr>
          <w:color w:val="1D71B8"/>
          <w:sz w:val="18"/>
          <w:u w:val="single" w:color="1D71B8"/>
        </w:rPr>
        <w:t>Response</w:t>
      </w:r>
      <w:r>
        <w:rPr>
          <w:color w:val="1D71B8"/>
          <w:spacing w:val="-5"/>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UK</w:t>
      </w:r>
      <w:r>
        <w:rPr>
          <w:color w:val="1D71B8"/>
          <w:spacing w:val="-5"/>
          <w:sz w:val="18"/>
          <w:u w:val="single" w:color="1D71B8"/>
        </w:rPr>
        <w:t> </w:t>
      </w:r>
      <w:r>
        <w:rPr>
          <w:color w:val="1D71B8"/>
          <w:sz w:val="18"/>
          <w:u w:val="single" w:color="1D71B8"/>
        </w:rPr>
        <w:t>Joint</w:t>
      </w:r>
      <w:r>
        <w:rPr>
          <w:color w:val="1D71B8"/>
          <w:spacing w:val="-5"/>
          <w:sz w:val="18"/>
          <w:u w:val="single" w:color="1D71B8"/>
        </w:rPr>
        <w:t> </w:t>
      </w:r>
      <w:r>
        <w:rPr>
          <w:color w:val="1D71B8"/>
          <w:sz w:val="18"/>
          <w:u w:val="single" w:color="1D71B8"/>
        </w:rPr>
        <w:t>Committee</w:t>
      </w:r>
      <w:r>
        <w:rPr>
          <w:color w:val="1D71B8"/>
          <w:spacing w:val="-4"/>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Human</w:t>
      </w:r>
      <w:r>
        <w:rPr>
          <w:color w:val="1D71B8"/>
          <w:spacing w:val="-6"/>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call</w:t>
      </w:r>
      <w:r>
        <w:rPr>
          <w:color w:val="1D71B8"/>
          <w:spacing w:val="-6"/>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evidence</w:t>
      </w:r>
      <w:r>
        <w:rPr>
          <w:color w:val="1D71B8"/>
          <w:spacing w:val="-4"/>
          <w:sz w:val="18"/>
          <w:u w:val="single" w:color="1D71B8"/>
        </w:rPr>
        <w:t> </w:t>
      </w:r>
      <w:r>
        <w:rPr>
          <w:color w:val="1D71B8"/>
          <w:sz w:val="18"/>
          <w:u w:val="single" w:color="1D71B8"/>
        </w:rPr>
        <w:t>Legislative</w:t>
      </w:r>
      <w:r>
        <w:rPr>
          <w:color w:val="1D71B8"/>
          <w:spacing w:val="-5"/>
          <w:sz w:val="18"/>
          <w:u w:val="single" w:color="1D71B8"/>
        </w:rPr>
        <w:t> </w:t>
      </w:r>
      <w:r>
        <w:rPr>
          <w:color w:val="1D71B8"/>
          <w:sz w:val="18"/>
          <w:u w:val="single" w:color="1D71B8"/>
        </w:rPr>
        <w:t>Scrutiny:</w:t>
      </w:r>
      <w:r>
        <w:rPr>
          <w:color w:val="1D71B8"/>
          <w:spacing w:val="-5"/>
          <w:sz w:val="18"/>
          <w:u w:val="single" w:color="1D71B8"/>
        </w:rPr>
        <w:t> </w:t>
      </w:r>
      <w:r>
        <w:rPr>
          <w:color w:val="1D71B8"/>
          <w:sz w:val="18"/>
          <w:u w:val="single" w:color="1D71B8"/>
        </w:rPr>
        <w:t>Bill</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Rights</w:t>
      </w:r>
      <w:r>
        <w:rPr>
          <w:color w:val="1D71B8"/>
          <w:spacing w:val="-6"/>
          <w:sz w:val="18"/>
          <w:u w:val="single" w:color="1D71B8"/>
        </w:rPr>
        <w:t> </w:t>
      </w:r>
      <w:r>
        <w:rPr>
          <w:color w:val="1D71B8"/>
          <w:sz w:val="18"/>
          <w:u w:val="single" w:color="1D71B8"/>
        </w:rPr>
        <w:t>Bill</w:t>
      </w:r>
      <w:r>
        <w:rPr>
          <w:color w:val="1D71B8"/>
          <w:spacing w:val="-5"/>
          <w:sz w:val="18"/>
          <w:u w:val="none"/>
        </w:rPr>
        <w:t> </w:t>
      </w:r>
      <w:r>
        <w:rPr>
          <w:spacing w:val="-2"/>
          <w:sz w:val="18"/>
          <w:u w:val="none"/>
        </w:rPr>
        <w:t>(2022).</w:t>
      </w:r>
    </w:p>
    <w:p>
      <w:pPr>
        <w:pStyle w:val="ListParagraph"/>
        <w:numPr>
          <w:ilvl w:val="0"/>
          <w:numId w:val="9"/>
        </w:numPr>
        <w:tabs>
          <w:tab w:pos="1684" w:val="left" w:leader="none"/>
        </w:tabs>
        <w:spacing w:line="240" w:lineRule="auto" w:before="0" w:after="0"/>
        <w:ind w:left="1684" w:right="811" w:hanging="567"/>
        <w:jc w:val="left"/>
        <w:rPr>
          <w:sz w:val="18"/>
        </w:rPr>
      </w:pPr>
      <w:r>
        <w:rPr>
          <w:sz w:val="18"/>
        </w:rPr>
        <w:t>Joint</w:t>
      </w:r>
      <w:r>
        <w:rPr>
          <w:spacing w:val="-3"/>
          <w:sz w:val="18"/>
        </w:rPr>
        <w:t> </w:t>
      </w:r>
      <w:r>
        <w:rPr>
          <w:sz w:val="18"/>
        </w:rPr>
        <w:t>Committee</w:t>
      </w:r>
      <w:r>
        <w:rPr>
          <w:spacing w:val="-3"/>
          <w:sz w:val="18"/>
        </w:rPr>
        <w:t> </w:t>
      </w:r>
      <w:r>
        <w:rPr>
          <w:sz w:val="18"/>
        </w:rPr>
        <w:t>on</w:t>
      </w:r>
      <w:r>
        <w:rPr>
          <w:spacing w:val="-4"/>
          <w:sz w:val="18"/>
        </w:rPr>
        <w:t> </w:t>
      </w:r>
      <w:r>
        <w:rPr>
          <w:sz w:val="18"/>
        </w:rPr>
        <w:t>Human</w:t>
      </w:r>
      <w:r>
        <w:rPr>
          <w:spacing w:val="-3"/>
          <w:sz w:val="18"/>
        </w:rPr>
        <w:t> </w:t>
      </w:r>
      <w:r>
        <w:rPr>
          <w:sz w:val="18"/>
        </w:rPr>
        <w:t>Rights,</w:t>
      </w:r>
      <w:r>
        <w:rPr>
          <w:spacing w:val="-3"/>
          <w:sz w:val="18"/>
        </w:rPr>
        <w:t> </w:t>
      </w:r>
      <w:hyperlink r:id="rId52">
        <w:r>
          <w:rPr>
            <w:color w:val="1D71B8"/>
            <w:sz w:val="18"/>
            <w:u w:val="single" w:color="1D71B8"/>
          </w:rPr>
          <w:t>Ninth</w:t>
        </w:r>
        <w:r>
          <w:rPr>
            <w:color w:val="1D71B8"/>
            <w:spacing w:val="-4"/>
            <w:sz w:val="18"/>
            <w:u w:val="single" w:color="1D71B8"/>
          </w:rPr>
          <w:t> </w:t>
        </w:r>
        <w:r>
          <w:rPr>
            <w:color w:val="1D71B8"/>
            <w:sz w:val="18"/>
            <w:u w:val="single" w:color="1D71B8"/>
          </w:rPr>
          <w:t>Report</w:t>
        </w:r>
        <w:r>
          <w:rPr>
            <w:color w:val="1D71B8"/>
            <w:spacing w:val="-3"/>
            <w:sz w:val="18"/>
            <w:u w:val="single" w:color="1D71B8"/>
          </w:rPr>
          <w:t> </w:t>
        </w:r>
        <w:r>
          <w:rPr>
            <w:color w:val="1D71B8"/>
            <w:sz w:val="18"/>
            <w:u w:val="single" w:color="1D71B8"/>
          </w:rPr>
          <w:t>-</w:t>
        </w:r>
        <w:r>
          <w:rPr>
            <w:color w:val="1D71B8"/>
            <w:spacing w:val="-4"/>
            <w:sz w:val="18"/>
            <w:u w:val="single" w:color="1D71B8"/>
          </w:rPr>
          <w:t> </w:t>
        </w:r>
        <w:r>
          <w:rPr>
            <w:color w:val="1D71B8"/>
            <w:sz w:val="18"/>
            <w:u w:val="single" w:color="1D71B8"/>
          </w:rPr>
          <w:t>Legislative</w:t>
        </w:r>
        <w:r>
          <w:rPr>
            <w:color w:val="1D71B8"/>
            <w:spacing w:val="-3"/>
            <w:sz w:val="18"/>
            <w:u w:val="single" w:color="1D71B8"/>
          </w:rPr>
          <w:t> </w:t>
        </w:r>
        <w:r>
          <w:rPr>
            <w:color w:val="1D71B8"/>
            <w:sz w:val="18"/>
            <w:u w:val="single" w:color="1D71B8"/>
          </w:rPr>
          <w:t>Scrutiny:</w:t>
        </w:r>
        <w:r>
          <w:rPr>
            <w:color w:val="1D71B8"/>
            <w:spacing w:val="-3"/>
            <w:sz w:val="18"/>
            <w:u w:val="single" w:color="1D71B8"/>
          </w:rPr>
          <w:t> </w:t>
        </w:r>
        <w:r>
          <w:rPr>
            <w:color w:val="1D71B8"/>
            <w:sz w:val="18"/>
            <w:u w:val="single" w:color="1D71B8"/>
          </w:rPr>
          <w:t>Bill</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Bill</w:t>
        </w:r>
      </w:hyperlink>
      <w:r>
        <w:rPr>
          <w:color w:val="1D71B8"/>
          <w:spacing w:val="-3"/>
          <w:sz w:val="18"/>
          <w:u w:val="none"/>
        </w:rPr>
        <w:t> </w:t>
      </w:r>
      <w:r>
        <w:rPr>
          <w:sz w:val="18"/>
          <w:u w:val="none"/>
        </w:rPr>
        <w:t>(House</w:t>
      </w:r>
      <w:r>
        <w:rPr>
          <w:spacing w:val="-3"/>
          <w:sz w:val="18"/>
          <w:u w:val="none"/>
        </w:rPr>
        <w:t> </w:t>
      </w:r>
      <w:r>
        <w:rPr>
          <w:sz w:val="18"/>
          <w:u w:val="none"/>
        </w:rPr>
        <w:t>of</w:t>
      </w:r>
      <w:r>
        <w:rPr>
          <w:spacing w:val="-4"/>
          <w:sz w:val="18"/>
          <w:u w:val="none"/>
        </w:rPr>
        <w:t> </w:t>
      </w:r>
      <w:r>
        <w:rPr>
          <w:sz w:val="18"/>
          <w:u w:val="none"/>
        </w:rPr>
        <w:t>Commons</w:t>
      </w:r>
      <w:r>
        <w:rPr>
          <w:spacing w:val="-4"/>
          <w:sz w:val="18"/>
          <w:u w:val="none"/>
        </w:rPr>
        <w:t> </w:t>
      </w:r>
      <w:r>
        <w:rPr>
          <w:sz w:val="18"/>
          <w:u w:val="none"/>
        </w:rPr>
        <w:t>and</w:t>
      </w:r>
      <w:r>
        <w:rPr>
          <w:spacing w:val="-4"/>
          <w:sz w:val="18"/>
          <w:u w:val="none"/>
        </w:rPr>
        <w:t> </w:t>
      </w:r>
      <w:r>
        <w:rPr>
          <w:sz w:val="18"/>
          <w:u w:val="none"/>
        </w:rPr>
        <w:t>House</w:t>
      </w:r>
      <w:r>
        <w:rPr>
          <w:spacing w:val="-3"/>
          <w:sz w:val="18"/>
          <w:u w:val="none"/>
        </w:rPr>
        <w:t> </w:t>
      </w:r>
      <w:r>
        <w:rPr>
          <w:sz w:val="18"/>
          <w:u w:val="none"/>
        </w:rPr>
        <w:t>of Lords, 2022-2023) HC 611 / HL Paper 132.</w:t>
      </w:r>
    </w:p>
    <w:p>
      <w:pPr>
        <w:pStyle w:val="ListParagraph"/>
        <w:numPr>
          <w:ilvl w:val="0"/>
          <w:numId w:val="9"/>
        </w:numPr>
        <w:tabs>
          <w:tab w:pos="1684" w:val="left" w:leader="none"/>
        </w:tabs>
        <w:spacing w:line="240" w:lineRule="auto" w:before="1" w:after="0"/>
        <w:ind w:left="1684" w:right="829" w:hanging="567"/>
        <w:jc w:val="left"/>
        <w:rPr>
          <w:sz w:val="18"/>
        </w:rPr>
      </w:pPr>
      <w:r>
        <w:rPr>
          <w:sz w:val="18"/>
        </w:rPr>
        <w:t>ECNI,</w:t>
      </w:r>
      <w:r>
        <w:rPr>
          <w:spacing w:val="-5"/>
          <w:sz w:val="18"/>
        </w:rPr>
        <w:t> </w:t>
      </w:r>
      <w:r>
        <w:rPr>
          <w:color w:val="1D71B8"/>
          <w:sz w:val="18"/>
          <w:u w:val="single" w:color="1D71B8"/>
        </w:rPr>
        <w:t>Response</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UK</w:t>
      </w:r>
      <w:r>
        <w:rPr>
          <w:color w:val="1D71B8"/>
          <w:spacing w:val="-4"/>
          <w:sz w:val="18"/>
          <w:u w:val="single" w:color="1D71B8"/>
        </w:rPr>
        <w:t> </w:t>
      </w:r>
      <w:r>
        <w:rPr>
          <w:color w:val="1D71B8"/>
          <w:sz w:val="18"/>
          <w:u w:val="single" w:color="1D71B8"/>
        </w:rPr>
        <w:t>Joint</w:t>
      </w:r>
      <w:r>
        <w:rPr>
          <w:color w:val="1D71B8"/>
          <w:spacing w:val="-4"/>
          <w:sz w:val="18"/>
          <w:u w:val="single" w:color="1D71B8"/>
        </w:rPr>
        <w:t> </w:t>
      </w:r>
      <w:r>
        <w:rPr>
          <w:color w:val="1D71B8"/>
          <w:sz w:val="18"/>
          <w:u w:val="single" w:color="1D71B8"/>
        </w:rPr>
        <w:t>Committee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call</w:t>
      </w:r>
      <w:r>
        <w:rPr>
          <w:color w:val="1D71B8"/>
          <w:spacing w:val="-5"/>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evidence</w:t>
      </w:r>
      <w:r>
        <w:rPr>
          <w:color w:val="1D71B8"/>
          <w:spacing w:val="-4"/>
          <w:sz w:val="18"/>
          <w:u w:val="single" w:color="1D71B8"/>
        </w:rPr>
        <w:t> </w:t>
      </w:r>
      <w:r>
        <w:rPr>
          <w:color w:val="1D71B8"/>
          <w:sz w:val="18"/>
          <w:u w:val="single" w:color="1D71B8"/>
        </w:rPr>
        <w:t>Legislative</w:t>
      </w:r>
      <w:r>
        <w:rPr>
          <w:color w:val="1D71B8"/>
          <w:spacing w:val="-4"/>
          <w:sz w:val="18"/>
          <w:u w:val="single" w:color="1D71B8"/>
        </w:rPr>
        <w:t> </w:t>
      </w:r>
      <w:r>
        <w:rPr>
          <w:color w:val="1D71B8"/>
          <w:sz w:val="18"/>
          <w:u w:val="single" w:color="1D71B8"/>
        </w:rPr>
        <w:t>Scrutiny:</w:t>
      </w:r>
      <w:r>
        <w:rPr>
          <w:color w:val="1D71B8"/>
          <w:spacing w:val="-4"/>
          <w:sz w:val="18"/>
          <w:u w:val="single" w:color="1D71B8"/>
        </w:rPr>
        <w:t> </w:t>
      </w:r>
      <w:r>
        <w:rPr>
          <w:color w:val="1D71B8"/>
          <w:sz w:val="18"/>
          <w:u w:val="single" w:color="1D71B8"/>
        </w:rPr>
        <w:t>Bill</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Bill</w:t>
      </w:r>
      <w:r>
        <w:rPr>
          <w:color w:val="1D71B8"/>
          <w:spacing w:val="-5"/>
          <w:sz w:val="18"/>
          <w:u w:val="none"/>
        </w:rPr>
        <w:t> </w:t>
      </w:r>
      <w:r>
        <w:rPr>
          <w:sz w:val="18"/>
          <w:u w:val="none"/>
        </w:rPr>
        <w:t>(2022) 20-21; also</w:t>
      </w:r>
      <w:r>
        <w:rPr>
          <w:spacing w:val="-1"/>
          <w:sz w:val="18"/>
          <w:u w:val="none"/>
        </w:rPr>
        <w:t> </w:t>
      </w:r>
      <w:r>
        <w:rPr>
          <w:sz w:val="18"/>
          <w:u w:val="none"/>
        </w:rPr>
        <w:t>ECNI,</w:t>
      </w:r>
      <w:r>
        <w:rPr>
          <w:spacing w:val="-1"/>
          <w:sz w:val="18"/>
          <w:u w:val="none"/>
        </w:rPr>
        <w:t> </w:t>
      </w:r>
      <w:hyperlink r:id="rId53">
        <w:r>
          <w:rPr>
            <w:color w:val="1D71B8"/>
            <w:sz w:val="18"/>
            <w:u w:val="single" w:color="1D71B8"/>
          </w:rPr>
          <w:t>Response to</w:t>
        </w:r>
        <w:r>
          <w:rPr>
            <w:color w:val="1D71B8"/>
            <w:spacing w:val="-1"/>
            <w:sz w:val="18"/>
            <w:u w:val="single" w:color="1D71B8"/>
          </w:rPr>
          <w:t> </w:t>
        </w:r>
        <w:r>
          <w:rPr>
            <w:color w:val="1D71B8"/>
            <w:sz w:val="18"/>
            <w:u w:val="single" w:color="1D71B8"/>
          </w:rPr>
          <w:t>consultatio</w:t>
        </w:r>
        <w:r>
          <w:rPr>
            <w:color w:val="1D71B8"/>
            <w:sz w:val="18"/>
            <w:u w:val="none"/>
          </w:rPr>
          <w:t>n</w:t>
        </w:r>
        <w:r>
          <w:rPr>
            <w:color w:val="1D71B8"/>
            <w:sz w:val="18"/>
            <w:u w:val="single" w:color="1D71B8"/>
          </w:rPr>
          <w:t>: Human</w:t>
        </w:r>
        <w:r>
          <w:rPr>
            <w:color w:val="1D71B8"/>
            <w:spacing w:val="-1"/>
            <w:sz w:val="18"/>
            <w:u w:val="single" w:color="1D71B8"/>
          </w:rPr>
          <w:t> </w:t>
        </w:r>
        <w:r>
          <w:rPr>
            <w:color w:val="1D71B8"/>
            <w:sz w:val="18"/>
            <w:u w:val="single" w:color="1D71B8"/>
          </w:rPr>
          <w:t>Rights</w:t>
        </w:r>
        <w:r>
          <w:rPr>
            <w:color w:val="1D71B8"/>
            <w:spacing w:val="-1"/>
            <w:sz w:val="18"/>
            <w:u w:val="single" w:color="1D71B8"/>
          </w:rPr>
          <w:t> </w:t>
        </w:r>
        <w:r>
          <w:rPr>
            <w:color w:val="1D71B8"/>
            <w:sz w:val="18"/>
            <w:u w:val="single" w:color="1D71B8"/>
          </w:rPr>
          <w:t>Act Reform: a</w:t>
        </w:r>
        <w:r>
          <w:rPr>
            <w:color w:val="1D71B8"/>
            <w:spacing w:val="-1"/>
            <w:sz w:val="18"/>
            <w:u w:val="single" w:color="1D71B8"/>
          </w:rPr>
          <w:t> </w:t>
        </w:r>
        <w:r>
          <w:rPr>
            <w:color w:val="1D71B8"/>
            <w:sz w:val="18"/>
            <w:u w:val="single" w:color="1D71B8"/>
          </w:rPr>
          <w:t>Modern</w:t>
        </w:r>
        <w:r>
          <w:rPr>
            <w:color w:val="1D71B8"/>
            <w:spacing w:val="-1"/>
            <w:sz w:val="18"/>
            <w:u w:val="single" w:color="1D71B8"/>
          </w:rPr>
          <w:t> </w:t>
        </w:r>
        <w:r>
          <w:rPr>
            <w:color w:val="1D71B8"/>
            <w:sz w:val="18"/>
            <w:u w:val="single" w:color="1D71B8"/>
          </w:rPr>
          <w:t>Bill</w:t>
        </w:r>
        <w:r>
          <w:rPr>
            <w:color w:val="1D71B8"/>
            <w:spacing w:val="-1"/>
            <w:sz w:val="18"/>
            <w:u w:val="single" w:color="1D71B8"/>
          </w:rPr>
          <w:t> </w:t>
        </w:r>
        <w:r>
          <w:rPr>
            <w:color w:val="1D71B8"/>
            <w:sz w:val="18"/>
            <w:u w:val="single" w:color="1D71B8"/>
          </w:rPr>
          <w:t>of</w:t>
        </w:r>
        <w:r>
          <w:rPr>
            <w:color w:val="1D71B8"/>
            <w:spacing w:val="-1"/>
            <w:sz w:val="18"/>
            <w:u w:val="single" w:color="1D71B8"/>
          </w:rPr>
          <w:t> </w:t>
        </w:r>
        <w:r>
          <w:rPr>
            <w:color w:val="1D71B8"/>
            <w:sz w:val="18"/>
            <w:u w:val="single" w:color="1D71B8"/>
          </w:rPr>
          <w:t>Rights, Ministry of</w:t>
        </w:r>
        <w:r>
          <w:rPr>
            <w:color w:val="1D71B8"/>
            <w:spacing w:val="-1"/>
            <w:sz w:val="18"/>
            <w:u w:val="single" w:color="1D71B8"/>
          </w:rPr>
          <w:t> </w:t>
        </w:r>
        <w:r>
          <w:rPr>
            <w:color w:val="1D71B8"/>
            <w:sz w:val="18"/>
            <w:u w:val="single" w:color="1D71B8"/>
          </w:rPr>
          <w:t>Justice</w:t>
        </w:r>
      </w:hyperlink>
      <w:r>
        <w:rPr>
          <w:color w:val="1D71B8"/>
          <w:spacing w:val="-2"/>
          <w:sz w:val="18"/>
          <w:u w:val="none"/>
        </w:rPr>
        <w:t> </w:t>
      </w:r>
      <w:r>
        <w:rPr>
          <w:sz w:val="18"/>
          <w:u w:val="none"/>
        </w:rPr>
        <w:t>(2022) </w:t>
      </w:r>
      <w:r>
        <w:rPr>
          <w:spacing w:val="-2"/>
          <w:sz w:val="18"/>
          <w:u w:val="none"/>
        </w:rPr>
        <w:t>10-12.</w:t>
      </w:r>
    </w:p>
    <w:p>
      <w:pPr>
        <w:pStyle w:val="ListParagraph"/>
        <w:numPr>
          <w:ilvl w:val="0"/>
          <w:numId w:val="9"/>
        </w:numPr>
        <w:tabs>
          <w:tab w:pos="1684" w:val="left" w:leader="none"/>
        </w:tabs>
        <w:spacing w:line="240" w:lineRule="auto" w:before="1" w:after="0"/>
        <w:ind w:left="1684" w:right="1221" w:hanging="567"/>
        <w:jc w:val="left"/>
        <w:rPr>
          <w:sz w:val="18"/>
        </w:rPr>
      </w:pPr>
      <w:r>
        <w:rPr>
          <w:sz w:val="18"/>
        </w:rPr>
        <w:t>NIHRC,</w:t>
      </w:r>
      <w:r>
        <w:rPr>
          <w:spacing w:val="-4"/>
          <w:sz w:val="18"/>
        </w:rPr>
        <w:t> </w:t>
      </w:r>
      <w:r>
        <w:rPr>
          <w:color w:val="1D71B8"/>
          <w:sz w:val="18"/>
          <w:u w:val="single" w:color="1D71B8"/>
        </w:rPr>
        <w:t>Response</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UK</w:t>
      </w:r>
      <w:r>
        <w:rPr>
          <w:color w:val="1D71B8"/>
          <w:spacing w:val="-4"/>
          <w:sz w:val="18"/>
          <w:u w:val="single" w:color="1D71B8"/>
        </w:rPr>
        <w:t> </w:t>
      </w:r>
      <w:r>
        <w:rPr>
          <w:color w:val="1D71B8"/>
          <w:sz w:val="18"/>
          <w:u w:val="single" w:color="1D71B8"/>
        </w:rPr>
        <w:t>Joint</w:t>
      </w:r>
      <w:r>
        <w:rPr>
          <w:color w:val="1D71B8"/>
          <w:spacing w:val="-4"/>
          <w:sz w:val="18"/>
          <w:u w:val="single" w:color="1D71B8"/>
        </w:rPr>
        <w:t> </w:t>
      </w:r>
      <w:r>
        <w:rPr>
          <w:color w:val="1D71B8"/>
          <w:sz w:val="18"/>
          <w:u w:val="single" w:color="1D71B8"/>
        </w:rPr>
        <w:t>Committee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call</w:t>
      </w:r>
      <w:r>
        <w:rPr>
          <w:color w:val="1D71B8"/>
          <w:spacing w:val="-5"/>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evidence</w:t>
      </w:r>
      <w:r>
        <w:rPr>
          <w:color w:val="1D71B8"/>
          <w:spacing w:val="-4"/>
          <w:sz w:val="18"/>
          <w:u w:val="single" w:color="1D71B8"/>
        </w:rPr>
        <w:t> </w:t>
      </w:r>
      <w:r>
        <w:rPr>
          <w:color w:val="1D71B8"/>
          <w:sz w:val="18"/>
          <w:u w:val="single" w:color="1D71B8"/>
        </w:rPr>
        <w:t>Legislative</w:t>
      </w:r>
      <w:r>
        <w:rPr>
          <w:color w:val="1D71B8"/>
          <w:spacing w:val="-4"/>
          <w:sz w:val="18"/>
          <w:u w:val="single" w:color="1D71B8"/>
        </w:rPr>
        <w:t> </w:t>
      </w:r>
      <w:r>
        <w:rPr>
          <w:color w:val="1D71B8"/>
          <w:sz w:val="18"/>
          <w:u w:val="single" w:color="1D71B8"/>
        </w:rPr>
        <w:t>Scrutiny:</w:t>
      </w:r>
      <w:r>
        <w:rPr>
          <w:color w:val="1D71B8"/>
          <w:spacing w:val="-4"/>
          <w:sz w:val="18"/>
          <w:u w:val="single" w:color="1D71B8"/>
        </w:rPr>
        <w:t> </w:t>
      </w:r>
      <w:r>
        <w:rPr>
          <w:color w:val="1D71B8"/>
          <w:sz w:val="18"/>
          <w:u w:val="single" w:color="1D71B8"/>
        </w:rPr>
        <w:t>Bill</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Bill</w:t>
      </w:r>
      <w:r>
        <w:rPr>
          <w:color w:val="1D71B8"/>
          <w:sz w:val="18"/>
          <w:u w:val="none"/>
        </w:rPr>
        <w:t> </w:t>
      </w:r>
      <w:r>
        <w:rPr>
          <w:sz w:val="18"/>
          <w:u w:val="none"/>
        </w:rPr>
        <w:t>(2022) 8, 16.</w:t>
      </w:r>
    </w:p>
    <w:p>
      <w:pPr>
        <w:pStyle w:val="ListParagraph"/>
        <w:numPr>
          <w:ilvl w:val="0"/>
          <w:numId w:val="9"/>
        </w:numPr>
        <w:tabs>
          <w:tab w:pos="1684" w:val="left" w:leader="none"/>
        </w:tabs>
        <w:spacing w:line="240" w:lineRule="auto" w:before="0" w:after="0"/>
        <w:ind w:left="1684" w:right="0" w:hanging="567"/>
        <w:jc w:val="left"/>
        <w:rPr>
          <w:sz w:val="18"/>
        </w:rPr>
      </w:pPr>
      <w:r>
        <w:rPr>
          <w:spacing w:val="-2"/>
          <w:sz w:val="18"/>
        </w:rPr>
        <w:t>Ibid.,11.</w:t>
      </w:r>
    </w:p>
    <w:p>
      <w:pPr>
        <w:pStyle w:val="ListParagraph"/>
        <w:numPr>
          <w:ilvl w:val="0"/>
          <w:numId w:val="9"/>
        </w:numPr>
        <w:tabs>
          <w:tab w:pos="1684" w:val="left" w:leader="none"/>
        </w:tabs>
        <w:spacing w:line="240" w:lineRule="auto" w:before="0" w:after="0"/>
        <w:ind w:left="1684" w:right="0" w:hanging="567"/>
        <w:jc w:val="left"/>
        <w:rPr>
          <w:sz w:val="18"/>
        </w:rPr>
      </w:pPr>
      <w:r>
        <w:rPr>
          <w:color w:val="1D71B8"/>
          <w:sz w:val="18"/>
          <w:u w:val="single" w:color="1D71B8"/>
        </w:rPr>
        <w:t>Bill</w:t>
      </w:r>
      <w:r>
        <w:rPr>
          <w:color w:val="1D71B8"/>
          <w:spacing w:val="-6"/>
          <w:sz w:val="18"/>
          <w:u w:val="single" w:color="1D71B8"/>
        </w:rPr>
        <w:t> </w:t>
      </w:r>
      <w:r>
        <w:rPr>
          <w:color w:val="1D71B8"/>
          <w:sz w:val="18"/>
          <w:u w:val="single" w:color="1D71B8"/>
        </w:rPr>
        <w:t>of</w:t>
      </w:r>
      <w:r>
        <w:rPr>
          <w:color w:val="1D71B8"/>
          <w:spacing w:val="-3"/>
          <w:sz w:val="18"/>
          <w:u w:val="single" w:color="1D71B8"/>
        </w:rPr>
        <w:t> </w:t>
      </w:r>
      <w:r>
        <w:rPr>
          <w:color w:val="1D71B8"/>
          <w:sz w:val="18"/>
          <w:u w:val="single" w:color="1D71B8"/>
        </w:rPr>
        <w:t>Rights</w:t>
      </w:r>
      <w:r>
        <w:rPr>
          <w:color w:val="1D71B8"/>
          <w:spacing w:val="-3"/>
          <w:sz w:val="18"/>
          <w:u w:val="single" w:color="1D71B8"/>
        </w:rPr>
        <w:t> </w:t>
      </w:r>
      <w:r>
        <w:rPr>
          <w:color w:val="1D71B8"/>
          <w:spacing w:val="-4"/>
          <w:sz w:val="18"/>
          <w:u w:val="single" w:color="1D71B8"/>
        </w:rPr>
        <w:t>Bill</w:t>
      </w:r>
      <w:r>
        <w:rPr>
          <w:spacing w:val="-4"/>
          <w:sz w:val="18"/>
          <w:u w:val="none"/>
        </w:rPr>
        <w:t>.</w:t>
      </w:r>
    </w:p>
    <w:p>
      <w:pPr>
        <w:pStyle w:val="ListParagraph"/>
        <w:numPr>
          <w:ilvl w:val="0"/>
          <w:numId w:val="9"/>
        </w:numPr>
        <w:tabs>
          <w:tab w:pos="1684" w:val="left" w:leader="none"/>
        </w:tabs>
        <w:spacing w:line="240" w:lineRule="auto" w:before="1" w:after="0"/>
        <w:ind w:left="1684" w:right="0" w:hanging="567"/>
        <w:jc w:val="left"/>
        <w:rPr>
          <w:sz w:val="18"/>
        </w:rPr>
      </w:pPr>
      <w:r>
        <w:rPr>
          <w:sz w:val="18"/>
        </w:rPr>
        <w:t>Secretary</w:t>
      </w:r>
      <w:r>
        <w:rPr>
          <w:spacing w:val="-4"/>
          <w:sz w:val="18"/>
        </w:rPr>
        <w:t> </w:t>
      </w:r>
      <w:r>
        <w:rPr>
          <w:sz w:val="18"/>
        </w:rPr>
        <w:t>of</w:t>
      </w:r>
      <w:r>
        <w:rPr>
          <w:spacing w:val="-4"/>
          <w:sz w:val="18"/>
        </w:rPr>
        <w:t> </w:t>
      </w:r>
      <w:r>
        <w:rPr>
          <w:sz w:val="18"/>
        </w:rPr>
        <w:t>State</w:t>
      </w:r>
      <w:r>
        <w:rPr>
          <w:spacing w:val="-3"/>
          <w:sz w:val="18"/>
        </w:rPr>
        <w:t> </w:t>
      </w:r>
      <w:r>
        <w:rPr>
          <w:sz w:val="18"/>
        </w:rPr>
        <w:t>for</w:t>
      </w:r>
      <w:r>
        <w:rPr>
          <w:spacing w:val="-4"/>
          <w:sz w:val="18"/>
        </w:rPr>
        <w:t> </w:t>
      </w:r>
      <w:r>
        <w:rPr>
          <w:sz w:val="18"/>
        </w:rPr>
        <w:t>Justice</w:t>
      </w:r>
      <w:r>
        <w:rPr>
          <w:spacing w:val="-3"/>
          <w:sz w:val="18"/>
        </w:rPr>
        <w:t> </w:t>
      </w:r>
      <w:r>
        <w:rPr>
          <w:sz w:val="18"/>
        </w:rPr>
        <w:t>Alex</w:t>
      </w:r>
      <w:r>
        <w:rPr>
          <w:spacing w:val="-4"/>
          <w:sz w:val="18"/>
        </w:rPr>
        <w:t> </w:t>
      </w:r>
      <w:r>
        <w:rPr>
          <w:sz w:val="18"/>
        </w:rPr>
        <w:t>Chalk,</w:t>
      </w:r>
      <w:r>
        <w:rPr>
          <w:spacing w:val="-5"/>
          <w:sz w:val="18"/>
        </w:rPr>
        <w:t> </w:t>
      </w:r>
      <w:hyperlink r:id="rId54">
        <w:r>
          <w:rPr>
            <w:color w:val="1D71B8"/>
            <w:sz w:val="18"/>
            <w:u w:val="single" w:color="1D71B8"/>
          </w:rPr>
          <w:t>Hansard</w:t>
        </w:r>
      </w:hyperlink>
      <w:r>
        <w:rPr>
          <w:sz w:val="18"/>
          <w:u w:val="none"/>
        </w:rPr>
        <w:t>,</w:t>
      </w:r>
      <w:r>
        <w:rPr>
          <w:spacing w:val="-4"/>
          <w:sz w:val="18"/>
          <w:u w:val="none"/>
        </w:rPr>
        <w:t> </w:t>
      </w:r>
      <w:r>
        <w:rPr>
          <w:sz w:val="18"/>
          <w:u w:val="none"/>
        </w:rPr>
        <w:t>27</w:t>
      </w:r>
      <w:r>
        <w:rPr>
          <w:spacing w:val="-3"/>
          <w:sz w:val="18"/>
          <w:u w:val="none"/>
        </w:rPr>
        <w:t> </w:t>
      </w:r>
      <w:r>
        <w:rPr>
          <w:sz w:val="18"/>
          <w:u w:val="none"/>
        </w:rPr>
        <w:t>June</w:t>
      </w:r>
      <w:r>
        <w:rPr>
          <w:spacing w:val="-3"/>
          <w:sz w:val="18"/>
          <w:u w:val="none"/>
        </w:rPr>
        <w:t> </w:t>
      </w:r>
      <w:r>
        <w:rPr>
          <w:spacing w:val="-2"/>
          <w:sz w:val="18"/>
          <w:u w:val="none"/>
        </w:rPr>
        <w:t>2023.</w:t>
      </w:r>
    </w:p>
    <w:p>
      <w:pPr>
        <w:pStyle w:val="ListParagraph"/>
        <w:numPr>
          <w:ilvl w:val="0"/>
          <w:numId w:val="9"/>
        </w:numPr>
        <w:tabs>
          <w:tab w:pos="1684" w:val="left" w:leader="none"/>
        </w:tabs>
        <w:spacing w:line="240" w:lineRule="auto" w:before="0" w:after="0"/>
        <w:ind w:left="1684" w:right="0" w:hanging="567"/>
        <w:jc w:val="left"/>
        <w:rPr>
          <w:sz w:val="18"/>
        </w:rPr>
      </w:pPr>
      <w:r>
        <w:rPr>
          <w:sz w:val="18"/>
        </w:rPr>
        <w:t>Overseas</w:t>
      </w:r>
      <w:r>
        <w:rPr>
          <w:spacing w:val="-9"/>
          <w:sz w:val="18"/>
        </w:rPr>
        <w:t> </w:t>
      </w:r>
      <w:r>
        <w:rPr>
          <w:sz w:val="18"/>
        </w:rPr>
        <w:t>Operations</w:t>
      </w:r>
      <w:r>
        <w:rPr>
          <w:spacing w:val="-8"/>
          <w:sz w:val="18"/>
        </w:rPr>
        <w:t> </w:t>
      </w:r>
      <w:r>
        <w:rPr>
          <w:sz w:val="18"/>
        </w:rPr>
        <w:t>(Service</w:t>
      </w:r>
      <w:r>
        <w:rPr>
          <w:spacing w:val="-8"/>
          <w:sz w:val="18"/>
        </w:rPr>
        <w:t> </w:t>
      </w:r>
      <w:r>
        <w:rPr>
          <w:sz w:val="18"/>
        </w:rPr>
        <w:t>Personnel</w:t>
      </w:r>
      <w:r>
        <w:rPr>
          <w:spacing w:val="-8"/>
          <w:sz w:val="18"/>
        </w:rPr>
        <w:t> </w:t>
      </w:r>
      <w:r>
        <w:rPr>
          <w:sz w:val="18"/>
        </w:rPr>
        <w:t>and</w:t>
      </w:r>
      <w:r>
        <w:rPr>
          <w:spacing w:val="-8"/>
          <w:sz w:val="18"/>
        </w:rPr>
        <w:t> </w:t>
      </w:r>
      <w:r>
        <w:rPr>
          <w:sz w:val="18"/>
        </w:rPr>
        <w:t>Veterans)</w:t>
      </w:r>
      <w:r>
        <w:rPr>
          <w:spacing w:val="-8"/>
          <w:sz w:val="18"/>
        </w:rPr>
        <w:t> </w:t>
      </w:r>
      <w:r>
        <w:rPr>
          <w:sz w:val="18"/>
        </w:rPr>
        <w:t>Act</w:t>
      </w:r>
      <w:r>
        <w:rPr>
          <w:spacing w:val="-8"/>
          <w:sz w:val="18"/>
        </w:rPr>
        <w:t> </w:t>
      </w:r>
      <w:r>
        <w:rPr>
          <w:sz w:val="18"/>
        </w:rPr>
        <w:t>2021,</w:t>
      </w:r>
      <w:r>
        <w:rPr>
          <w:spacing w:val="-8"/>
          <w:sz w:val="18"/>
        </w:rPr>
        <w:t> </w:t>
      </w:r>
      <w:hyperlink r:id="rId55">
        <w:r>
          <w:rPr>
            <w:color w:val="1D71B8"/>
            <w:sz w:val="18"/>
            <w:u w:val="single" w:color="1D71B8"/>
          </w:rPr>
          <w:t>section</w:t>
        </w:r>
        <w:r>
          <w:rPr>
            <w:color w:val="1D71B8"/>
            <w:spacing w:val="-8"/>
            <w:sz w:val="18"/>
            <w:u w:val="single" w:color="1D71B8"/>
          </w:rPr>
          <w:t> </w:t>
        </w:r>
        <w:r>
          <w:rPr>
            <w:color w:val="1D71B8"/>
            <w:spacing w:val="-5"/>
            <w:sz w:val="18"/>
            <w:u w:val="single" w:color="1D71B8"/>
          </w:rPr>
          <w:t>11</w:t>
        </w:r>
      </w:hyperlink>
      <w:r>
        <w:rPr>
          <w:spacing w:val="-5"/>
          <w:sz w:val="18"/>
          <w:u w:val="none"/>
        </w:rPr>
        <w:t>.</w:t>
      </w:r>
    </w:p>
    <w:p>
      <w:pPr>
        <w:pStyle w:val="ListParagraph"/>
        <w:numPr>
          <w:ilvl w:val="0"/>
          <w:numId w:val="9"/>
        </w:numPr>
        <w:tabs>
          <w:tab w:pos="1684" w:val="left" w:leader="none"/>
        </w:tabs>
        <w:spacing w:line="240" w:lineRule="auto" w:before="0" w:after="0"/>
        <w:ind w:left="1684" w:right="1216" w:hanging="567"/>
        <w:jc w:val="left"/>
        <w:rPr>
          <w:sz w:val="18"/>
        </w:rPr>
      </w:pPr>
      <w:r>
        <w:rPr>
          <w:sz w:val="18"/>
        </w:rPr>
        <w:t>Illegal</w:t>
      </w:r>
      <w:r>
        <w:rPr>
          <w:spacing w:val="-5"/>
          <w:sz w:val="18"/>
        </w:rPr>
        <w:t> </w:t>
      </w:r>
      <w:r>
        <w:rPr>
          <w:sz w:val="18"/>
        </w:rPr>
        <w:t>Migration</w:t>
      </w:r>
      <w:r>
        <w:rPr>
          <w:spacing w:val="-5"/>
          <w:sz w:val="18"/>
        </w:rPr>
        <w:t> </w:t>
      </w:r>
      <w:r>
        <w:rPr>
          <w:sz w:val="18"/>
        </w:rPr>
        <w:t>Act</w:t>
      </w:r>
      <w:r>
        <w:rPr>
          <w:spacing w:val="-4"/>
          <w:sz w:val="18"/>
        </w:rPr>
        <w:t> </w:t>
      </w:r>
      <w:r>
        <w:rPr>
          <w:sz w:val="18"/>
        </w:rPr>
        <w:t>2023,</w:t>
      </w:r>
      <w:r>
        <w:rPr>
          <w:spacing w:val="-5"/>
          <w:sz w:val="18"/>
        </w:rPr>
        <w:t> </w:t>
      </w:r>
      <w:r>
        <w:rPr>
          <w:color w:val="1D71B8"/>
          <w:sz w:val="18"/>
          <w:u w:val="single" w:color="1D71B8"/>
        </w:rPr>
        <w:t>section</w:t>
      </w:r>
      <w:r>
        <w:rPr>
          <w:color w:val="1D71B8"/>
          <w:spacing w:val="-5"/>
          <w:sz w:val="18"/>
          <w:u w:val="single" w:color="1D71B8"/>
        </w:rPr>
        <w:t> </w:t>
      </w:r>
      <w:r>
        <w:rPr>
          <w:color w:val="1D71B8"/>
          <w:sz w:val="18"/>
          <w:u w:val="single" w:color="1D71B8"/>
        </w:rPr>
        <w:t>1(5)</w:t>
      </w:r>
      <w:r>
        <w:rPr>
          <w:color w:val="1D71B8"/>
          <w:spacing w:val="-4"/>
          <w:sz w:val="18"/>
          <w:u w:val="none"/>
        </w:rPr>
        <w:t> </w:t>
      </w:r>
      <w:r>
        <w:rPr>
          <w:sz w:val="18"/>
          <w:u w:val="none"/>
        </w:rPr>
        <w:t>disapplying</w:t>
      </w:r>
      <w:r>
        <w:rPr>
          <w:spacing w:val="-4"/>
          <w:sz w:val="18"/>
          <w:u w:val="none"/>
        </w:rPr>
        <w:t> </w:t>
      </w:r>
      <w:r>
        <w:rPr>
          <w:sz w:val="18"/>
          <w:u w:val="none"/>
        </w:rPr>
        <w:t>the</w:t>
      </w:r>
      <w:r>
        <w:rPr>
          <w:spacing w:val="-4"/>
          <w:sz w:val="18"/>
          <w:u w:val="none"/>
        </w:rPr>
        <w:t> </w:t>
      </w:r>
      <w:r>
        <w:rPr>
          <w:sz w:val="18"/>
          <w:u w:val="none"/>
        </w:rPr>
        <w:t>interpretative</w:t>
      </w:r>
      <w:r>
        <w:rPr>
          <w:spacing w:val="-4"/>
          <w:sz w:val="18"/>
          <w:u w:val="none"/>
        </w:rPr>
        <w:t> </w:t>
      </w:r>
      <w:r>
        <w:rPr>
          <w:sz w:val="18"/>
          <w:u w:val="none"/>
        </w:rPr>
        <w:t>obligation</w:t>
      </w:r>
      <w:r>
        <w:rPr>
          <w:spacing w:val="-5"/>
          <w:sz w:val="18"/>
          <w:u w:val="none"/>
        </w:rPr>
        <w:t> </w:t>
      </w:r>
      <w:r>
        <w:rPr>
          <w:sz w:val="18"/>
          <w:u w:val="none"/>
        </w:rPr>
        <w:t>in</w:t>
      </w:r>
      <w:r>
        <w:rPr>
          <w:spacing w:val="-5"/>
          <w:sz w:val="18"/>
          <w:u w:val="none"/>
        </w:rPr>
        <w:t> </w:t>
      </w:r>
      <w:r>
        <w:rPr>
          <w:sz w:val="18"/>
          <w:u w:val="none"/>
        </w:rPr>
        <w:t>section</w:t>
      </w:r>
      <w:r>
        <w:rPr>
          <w:spacing w:val="-5"/>
          <w:sz w:val="18"/>
          <w:u w:val="none"/>
        </w:rPr>
        <w:t> </w:t>
      </w:r>
      <w:r>
        <w:rPr>
          <w:sz w:val="18"/>
          <w:u w:val="none"/>
        </w:rPr>
        <w:t>3of</w:t>
      </w:r>
      <w:r>
        <w:rPr>
          <w:spacing w:val="-5"/>
          <w:sz w:val="18"/>
          <w:u w:val="none"/>
        </w:rPr>
        <w:t> </w:t>
      </w:r>
      <w:r>
        <w:rPr>
          <w:sz w:val="18"/>
          <w:u w:val="none"/>
        </w:rPr>
        <w:t>the</w:t>
      </w:r>
      <w:r>
        <w:rPr>
          <w:spacing w:val="-4"/>
          <w:sz w:val="18"/>
          <w:u w:val="none"/>
        </w:rPr>
        <w:t> </w:t>
      </w:r>
      <w:r>
        <w:rPr>
          <w:sz w:val="18"/>
          <w:u w:val="none"/>
        </w:rPr>
        <w:t>Human</w:t>
      </w:r>
      <w:r>
        <w:rPr>
          <w:spacing w:val="-5"/>
          <w:sz w:val="18"/>
          <w:u w:val="none"/>
        </w:rPr>
        <w:t> </w:t>
      </w:r>
      <w:r>
        <w:rPr>
          <w:sz w:val="18"/>
          <w:u w:val="none"/>
        </w:rPr>
        <w:t>Rights</w:t>
      </w:r>
      <w:r>
        <w:rPr>
          <w:spacing w:val="-5"/>
          <w:sz w:val="18"/>
          <w:u w:val="none"/>
        </w:rPr>
        <w:t> </w:t>
      </w:r>
      <w:r>
        <w:rPr>
          <w:sz w:val="18"/>
          <w:u w:val="none"/>
        </w:rPr>
        <w:t>Act </w:t>
      </w:r>
      <w:r>
        <w:rPr>
          <w:spacing w:val="-2"/>
          <w:sz w:val="18"/>
          <w:u w:val="none"/>
        </w:rPr>
        <w:t>1998;.</w:t>
      </w:r>
    </w:p>
    <w:p>
      <w:pPr>
        <w:pStyle w:val="ListParagraph"/>
        <w:numPr>
          <w:ilvl w:val="0"/>
          <w:numId w:val="9"/>
        </w:numPr>
        <w:tabs>
          <w:tab w:pos="1684" w:val="left" w:leader="none"/>
        </w:tabs>
        <w:spacing w:line="240" w:lineRule="auto" w:before="1" w:after="0"/>
        <w:ind w:left="1684" w:right="0" w:hanging="567"/>
        <w:jc w:val="left"/>
        <w:rPr>
          <w:sz w:val="18"/>
        </w:rPr>
      </w:pPr>
      <w:r>
        <w:rPr>
          <w:sz w:val="18"/>
        </w:rPr>
        <w:t>The</w:t>
      </w:r>
      <w:r>
        <w:rPr>
          <w:spacing w:val="-4"/>
          <w:sz w:val="18"/>
        </w:rPr>
        <w:t> </w:t>
      </w:r>
      <w:r>
        <w:rPr>
          <w:sz w:val="18"/>
        </w:rPr>
        <w:t>Victims</w:t>
      </w:r>
      <w:r>
        <w:rPr>
          <w:spacing w:val="-5"/>
          <w:sz w:val="18"/>
        </w:rPr>
        <w:t> </w:t>
      </w:r>
      <w:r>
        <w:rPr>
          <w:sz w:val="18"/>
        </w:rPr>
        <w:t>and</w:t>
      </w:r>
      <w:r>
        <w:rPr>
          <w:spacing w:val="-4"/>
          <w:sz w:val="18"/>
        </w:rPr>
        <w:t> </w:t>
      </w:r>
      <w:r>
        <w:rPr>
          <w:sz w:val="18"/>
        </w:rPr>
        <w:t>Prisoners</w:t>
      </w:r>
      <w:r>
        <w:rPr>
          <w:spacing w:val="-5"/>
          <w:sz w:val="18"/>
        </w:rPr>
        <w:t> </w:t>
      </w:r>
      <w:r>
        <w:rPr>
          <w:sz w:val="18"/>
        </w:rPr>
        <w:t>Bill</w:t>
      </w:r>
      <w:r>
        <w:rPr>
          <w:spacing w:val="-4"/>
          <w:sz w:val="18"/>
        </w:rPr>
        <w:t> </w:t>
      </w:r>
      <w:r>
        <w:rPr>
          <w:sz w:val="18"/>
        </w:rPr>
        <w:t>and</w:t>
      </w:r>
      <w:r>
        <w:rPr>
          <w:spacing w:val="-5"/>
          <w:sz w:val="18"/>
        </w:rPr>
        <w:t> </w:t>
      </w:r>
      <w:r>
        <w:rPr>
          <w:sz w:val="18"/>
        </w:rPr>
        <w:t>the</w:t>
      </w:r>
      <w:r>
        <w:rPr>
          <w:spacing w:val="-3"/>
          <w:sz w:val="18"/>
        </w:rPr>
        <w:t> </w:t>
      </w:r>
      <w:r>
        <w:rPr>
          <w:sz w:val="18"/>
        </w:rPr>
        <w:t>Safety</w:t>
      </w:r>
      <w:r>
        <w:rPr>
          <w:spacing w:val="-4"/>
          <w:sz w:val="18"/>
        </w:rPr>
        <w:t> </w:t>
      </w:r>
      <w:r>
        <w:rPr>
          <w:sz w:val="18"/>
        </w:rPr>
        <w:t>of</w:t>
      </w:r>
      <w:r>
        <w:rPr>
          <w:spacing w:val="-4"/>
          <w:sz w:val="18"/>
        </w:rPr>
        <w:t> </w:t>
      </w:r>
      <w:r>
        <w:rPr>
          <w:sz w:val="18"/>
        </w:rPr>
        <w:t>Rwanda</w:t>
      </w:r>
      <w:r>
        <w:rPr>
          <w:spacing w:val="-5"/>
          <w:sz w:val="18"/>
        </w:rPr>
        <w:t> </w:t>
      </w:r>
      <w:r>
        <w:rPr>
          <w:spacing w:val="-2"/>
          <w:sz w:val="18"/>
        </w:rPr>
        <w:t>Bill.</w:t>
      </w:r>
    </w:p>
    <w:p>
      <w:pPr>
        <w:pStyle w:val="ListParagraph"/>
        <w:numPr>
          <w:ilvl w:val="0"/>
          <w:numId w:val="9"/>
        </w:numPr>
        <w:tabs>
          <w:tab w:pos="1684" w:val="left" w:leader="none"/>
        </w:tabs>
        <w:spacing w:line="240" w:lineRule="auto" w:before="0" w:after="0"/>
        <w:ind w:left="1684" w:right="1277" w:hanging="567"/>
        <w:jc w:val="left"/>
        <w:rPr>
          <w:sz w:val="18"/>
        </w:rPr>
      </w:pPr>
      <w:r>
        <w:rPr>
          <w:sz w:val="18"/>
        </w:rPr>
        <w:t>Peter</w:t>
      </w:r>
      <w:r>
        <w:rPr>
          <w:spacing w:val="-8"/>
          <w:sz w:val="18"/>
        </w:rPr>
        <w:t> </w:t>
      </w:r>
      <w:r>
        <w:rPr>
          <w:sz w:val="18"/>
        </w:rPr>
        <w:t>Walker,</w:t>
      </w:r>
      <w:r>
        <w:rPr>
          <w:spacing w:val="-8"/>
          <w:sz w:val="18"/>
        </w:rPr>
        <w:t> </w:t>
      </w:r>
      <w:r>
        <w:rPr>
          <w:sz w:val="18"/>
        </w:rPr>
        <w:t>Matthew</w:t>
      </w:r>
      <w:r>
        <w:rPr>
          <w:spacing w:val="-8"/>
          <w:sz w:val="18"/>
        </w:rPr>
        <w:t> </w:t>
      </w:r>
      <w:r>
        <w:rPr>
          <w:sz w:val="18"/>
        </w:rPr>
        <w:t>Weaver</w:t>
      </w:r>
      <w:r>
        <w:rPr>
          <w:spacing w:val="-8"/>
          <w:sz w:val="18"/>
        </w:rPr>
        <w:t> </w:t>
      </w:r>
      <w:r>
        <w:rPr>
          <w:sz w:val="18"/>
        </w:rPr>
        <w:t>and</w:t>
      </w:r>
      <w:r>
        <w:rPr>
          <w:spacing w:val="-9"/>
          <w:sz w:val="18"/>
        </w:rPr>
        <w:t> </w:t>
      </w:r>
      <w:r>
        <w:rPr>
          <w:sz w:val="18"/>
        </w:rPr>
        <w:t>Diane</w:t>
      </w:r>
      <w:r>
        <w:rPr>
          <w:spacing w:val="-8"/>
          <w:sz w:val="18"/>
        </w:rPr>
        <w:t> </w:t>
      </w:r>
      <w:r>
        <w:rPr>
          <w:sz w:val="18"/>
        </w:rPr>
        <w:t>Taylor</w:t>
      </w:r>
      <w:r>
        <w:rPr>
          <w:spacing w:val="-8"/>
          <w:sz w:val="18"/>
        </w:rPr>
        <w:t> </w:t>
      </w:r>
      <w:r>
        <w:rPr>
          <w:sz w:val="18"/>
        </w:rPr>
        <w:t>‘</w:t>
      </w:r>
      <w:hyperlink r:id="rId56">
        <w:r>
          <w:rPr>
            <w:color w:val="1D71B8"/>
            <w:sz w:val="18"/>
            <w:u w:val="single" w:color="1D71B8"/>
          </w:rPr>
          <w:t>Suella</w:t>
        </w:r>
        <w:r>
          <w:rPr>
            <w:color w:val="1D71B8"/>
            <w:spacing w:val="-9"/>
            <w:sz w:val="18"/>
            <w:u w:val="single" w:color="1D71B8"/>
          </w:rPr>
          <w:t> </w:t>
        </w:r>
        <w:r>
          <w:rPr>
            <w:color w:val="1D71B8"/>
            <w:sz w:val="18"/>
            <w:u w:val="single" w:color="1D71B8"/>
          </w:rPr>
          <w:t>Braverman</w:t>
        </w:r>
        <w:r>
          <w:rPr>
            <w:color w:val="1D71B8"/>
            <w:spacing w:val="-9"/>
            <w:sz w:val="18"/>
            <w:u w:val="single" w:color="1D71B8"/>
          </w:rPr>
          <w:t> </w:t>
        </w:r>
        <w:r>
          <w:rPr>
            <w:color w:val="1D71B8"/>
            <w:sz w:val="18"/>
            <w:u w:val="single" w:color="1D71B8"/>
          </w:rPr>
          <w:t>restates</w:t>
        </w:r>
        <w:r>
          <w:rPr>
            <w:color w:val="1D71B8"/>
            <w:spacing w:val="-9"/>
            <w:sz w:val="18"/>
            <w:u w:val="single" w:color="1D71B8"/>
          </w:rPr>
          <w:t> </w:t>
        </w:r>
        <w:r>
          <w:rPr>
            <w:color w:val="1D71B8"/>
            <w:sz w:val="18"/>
            <w:u w:val="single" w:color="1D71B8"/>
          </w:rPr>
          <w:t>wish</w:t>
        </w:r>
        <w:r>
          <w:rPr>
            <w:color w:val="1D71B8"/>
            <w:spacing w:val="-9"/>
            <w:sz w:val="18"/>
            <w:u w:val="single" w:color="1D71B8"/>
          </w:rPr>
          <w:t> </w:t>
        </w:r>
        <w:r>
          <w:rPr>
            <w:color w:val="1D71B8"/>
            <w:sz w:val="18"/>
            <w:u w:val="single" w:color="1D71B8"/>
          </w:rPr>
          <w:t>for</w:t>
        </w:r>
        <w:r>
          <w:rPr>
            <w:color w:val="1D71B8"/>
            <w:spacing w:val="-8"/>
            <w:sz w:val="18"/>
            <w:u w:val="single" w:color="1D71B8"/>
          </w:rPr>
          <w:t> </w:t>
        </w:r>
        <w:r>
          <w:rPr>
            <w:color w:val="1D71B8"/>
            <w:sz w:val="18"/>
            <w:u w:val="single" w:color="1D71B8"/>
          </w:rPr>
          <w:t>UK</w:t>
        </w:r>
        <w:r>
          <w:rPr>
            <w:color w:val="1D71B8"/>
            <w:spacing w:val="-8"/>
            <w:sz w:val="18"/>
            <w:u w:val="single" w:color="1D71B8"/>
          </w:rPr>
          <w:t> </w:t>
        </w:r>
        <w:r>
          <w:rPr>
            <w:color w:val="1D71B8"/>
            <w:sz w:val="18"/>
            <w:u w:val="single" w:color="1D71B8"/>
          </w:rPr>
          <w:t>to</w:t>
        </w:r>
        <w:r>
          <w:rPr>
            <w:color w:val="1D71B8"/>
            <w:spacing w:val="-9"/>
            <w:sz w:val="18"/>
            <w:u w:val="single" w:color="1D71B8"/>
          </w:rPr>
          <w:t> </w:t>
        </w:r>
        <w:r>
          <w:rPr>
            <w:color w:val="1D71B8"/>
            <w:sz w:val="18"/>
            <w:u w:val="single" w:color="1D71B8"/>
          </w:rPr>
          <w:t>leave</w:t>
        </w:r>
        <w:r>
          <w:rPr>
            <w:color w:val="1D71B8"/>
            <w:spacing w:val="-8"/>
            <w:sz w:val="18"/>
            <w:u w:val="single" w:color="1D71B8"/>
          </w:rPr>
          <w:t> </w:t>
        </w:r>
        <w:r>
          <w:rPr>
            <w:color w:val="1D71B8"/>
            <w:sz w:val="18"/>
            <w:u w:val="single" w:color="1D71B8"/>
          </w:rPr>
          <w:t>European</w:t>
        </w:r>
        <w:r>
          <w:rPr>
            <w:color w:val="1D71B8"/>
            <w:spacing w:val="-9"/>
            <w:sz w:val="18"/>
            <w:u w:val="single" w:color="1D71B8"/>
          </w:rPr>
          <w:t> </w:t>
        </w:r>
        <w:r>
          <w:rPr>
            <w:color w:val="1D71B8"/>
            <w:sz w:val="18"/>
            <w:u w:val="single" w:color="1D71B8"/>
          </w:rPr>
          <w:t>court</w:t>
        </w:r>
        <w:r>
          <w:rPr>
            <w:color w:val="1D71B8"/>
            <w:spacing w:val="-8"/>
            <w:sz w:val="18"/>
            <w:u w:val="single" w:color="1D71B8"/>
          </w:rPr>
          <w:t> </w:t>
        </w:r>
        <w:r>
          <w:rPr>
            <w:color w:val="1D71B8"/>
            <w:sz w:val="18"/>
            <w:u w:val="single" w:color="1D71B8"/>
          </w:rPr>
          <w:t>of</w:t>
        </w:r>
      </w:hyperlink>
      <w:r>
        <w:rPr>
          <w:color w:val="1D71B8"/>
          <w:sz w:val="18"/>
          <w:u w:val="none"/>
        </w:rPr>
        <w:t> </w:t>
      </w:r>
      <w:hyperlink r:id="rId56">
        <w:r>
          <w:rPr>
            <w:color w:val="1D71B8"/>
            <w:sz w:val="18"/>
            <w:u w:val="single" w:color="1D71B8"/>
          </w:rPr>
          <w:t>human rights</w:t>
        </w:r>
      </w:hyperlink>
      <w:r>
        <w:rPr>
          <w:sz w:val="18"/>
          <w:u w:val="none"/>
        </w:rPr>
        <w:t>’ (28 August 2023) </w:t>
      </w:r>
      <w:r>
        <w:rPr>
          <w:i/>
          <w:sz w:val="18"/>
          <w:u w:val="none"/>
        </w:rPr>
        <w:t>The Guardian</w:t>
      </w:r>
      <w:r>
        <w:rPr>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76192">
                <wp:simplePos x="0" y="0"/>
                <wp:positionH relativeFrom="page">
                  <wp:posOffset>0</wp:posOffset>
                </wp:positionH>
                <wp:positionV relativeFrom="page">
                  <wp:posOffset>0</wp:posOffset>
                </wp:positionV>
                <wp:extent cx="7560309" cy="1155065"/>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7560309" cy="1155065"/>
                          <a:chExt cx="7560309" cy="1155065"/>
                        </a:xfrm>
                      </wpg:grpSpPr>
                      <wps:wsp>
                        <wps:cNvPr id="385" name="Graphic 38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386" name="Graphic 38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40288" id="docshapegroup303" coordorigin="0,0" coordsize="11906,1819">
                <v:shape style="position:absolute;left:0;top:0;width:11906;height:1819" id="docshape304"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36</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26"/>
        <w:rPr>
          <w:b/>
        </w:rPr>
      </w:pPr>
    </w:p>
    <w:p>
      <w:pPr>
        <w:pStyle w:val="ListParagraph"/>
        <w:numPr>
          <w:ilvl w:val="0"/>
          <w:numId w:val="16"/>
        </w:numPr>
        <w:tabs>
          <w:tab w:pos="1059" w:val="left" w:leader="none"/>
        </w:tabs>
        <w:spacing w:line="343" w:lineRule="exact" w:before="0" w:after="0"/>
        <w:ind w:left="1059" w:right="0" w:hanging="339"/>
        <w:jc w:val="left"/>
        <w:rPr>
          <w:sz w:val="28"/>
        </w:rPr>
      </w:pPr>
      <w:r>
        <w:rPr>
          <w:sz w:val="28"/>
        </w:rPr>
        <w:t>Neither</w:t>
      </w:r>
      <w:r>
        <w:rPr>
          <w:spacing w:val="-10"/>
          <w:sz w:val="28"/>
        </w:rPr>
        <w:t> </w:t>
      </w:r>
      <w:r>
        <w:rPr>
          <w:sz w:val="28"/>
        </w:rPr>
        <w:t>the</w:t>
      </w:r>
      <w:r>
        <w:rPr>
          <w:spacing w:val="-9"/>
          <w:sz w:val="28"/>
        </w:rPr>
        <w:t> </w:t>
      </w:r>
      <w:r>
        <w:rPr>
          <w:sz w:val="28"/>
        </w:rPr>
        <w:t>Assembly</w:t>
      </w:r>
      <w:r>
        <w:rPr>
          <w:spacing w:val="-9"/>
          <w:sz w:val="28"/>
        </w:rPr>
        <w:t> </w:t>
      </w:r>
      <w:r>
        <w:rPr>
          <w:sz w:val="28"/>
        </w:rPr>
        <w:t>nor</w:t>
      </w:r>
      <w:r>
        <w:rPr>
          <w:spacing w:val="-9"/>
          <w:sz w:val="28"/>
        </w:rPr>
        <w:t> </w:t>
      </w:r>
      <w:r>
        <w:rPr>
          <w:sz w:val="28"/>
        </w:rPr>
        <w:t>public</w:t>
      </w:r>
      <w:r>
        <w:rPr>
          <w:spacing w:val="-9"/>
          <w:sz w:val="28"/>
        </w:rPr>
        <w:t> </w:t>
      </w:r>
      <w:r>
        <w:rPr>
          <w:sz w:val="28"/>
        </w:rPr>
        <w:t>bodies</w:t>
      </w:r>
      <w:r>
        <w:rPr>
          <w:spacing w:val="-9"/>
          <w:sz w:val="28"/>
        </w:rPr>
        <w:t> </w:t>
      </w:r>
      <w:r>
        <w:rPr>
          <w:sz w:val="28"/>
        </w:rPr>
        <w:t>can</w:t>
      </w:r>
      <w:r>
        <w:rPr>
          <w:spacing w:val="-9"/>
          <w:sz w:val="28"/>
        </w:rPr>
        <w:t> </w:t>
      </w:r>
      <w:r>
        <w:rPr>
          <w:sz w:val="28"/>
        </w:rPr>
        <w:t>infringe</w:t>
      </w:r>
      <w:r>
        <w:rPr>
          <w:spacing w:val="-10"/>
          <w:sz w:val="28"/>
        </w:rPr>
        <w:t> </w:t>
      </w:r>
      <w:r>
        <w:rPr>
          <w:sz w:val="28"/>
        </w:rPr>
        <w:t>the</w:t>
      </w:r>
      <w:r>
        <w:rPr>
          <w:spacing w:val="-9"/>
          <w:sz w:val="28"/>
        </w:rPr>
        <w:t> </w:t>
      </w:r>
      <w:r>
        <w:rPr>
          <w:spacing w:val="-2"/>
          <w:sz w:val="28"/>
        </w:rPr>
        <w:t>ECHR;</w:t>
      </w:r>
      <w:r>
        <w:rPr>
          <w:spacing w:val="-2"/>
          <w:sz w:val="28"/>
          <w:vertAlign w:val="superscript"/>
        </w:rPr>
        <w:t>159</w:t>
      </w:r>
    </w:p>
    <w:p>
      <w:pPr>
        <w:pStyle w:val="ListParagraph"/>
        <w:numPr>
          <w:ilvl w:val="0"/>
          <w:numId w:val="16"/>
        </w:numPr>
        <w:tabs>
          <w:tab w:pos="1058" w:val="left" w:leader="none"/>
          <w:tab w:pos="1060" w:val="left" w:leader="none"/>
        </w:tabs>
        <w:spacing w:line="232" w:lineRule="auto" w:before="0" w:after="0"/>
        <w:ind w:left="1060" w:right="1146" w:hanging="341"/>
        <w:jc w:val="left"/>
        <w:rPr>
          <w:sz w:val="28"/>
        </w:rPr>
      </w:pPr>
      <w:r>
        <w:rPr>
          <w:sz w:val="28"/>
        </w:rPr>
        <w:t>‘arrangements</w:t>
      </w:r>
      <w:r>
        <w:rPr>
          <w:spacing w:val="-16"/>
          <w:sz w:val="28"/>
        </w:rPr>
        <w:t> </w:t>
      </w:r>
      <w:r>
        <w:rPr>
          <w:sz w:val="28"/>
        </w:rPr>
        <w:t>to</w:t>
      </w:r>
      <w:r>
        <w:rPr>
          <w:spacing w:val="-16"/>
          <w:sz w:val="28"/>
        </w:rPr>
        <w:t> </w:t>
      </w:r>
      <w:r>
        <w:rPr>
          <w:sz w:val="28"/>
        </w:rPr>
        <w:t>provide</w:t>
      </w:r>
      <w:r>
        <w:rPr>
          <w:spacing w:val="-16"/>
          <w:sz w:val="28"/>
        </w:rPr>
        <w:t> </w:t>
      </w:r>
      <w:r>
        <w:rPr>
          <w:sz w:val="28"/>
        </w:rPr>
        <w:t>that</w:t>
      </w:r>
      <w:r>
        <w:rPr>
          <w:spacing w:val="-16"/>
          <w:sz w:val="28"/>
        </w:rPr>
        <w:t> </w:t>
      </w:r>
      <w:r>
        <w:rPr>
          <w:sz w:val="28"/>
        </w:rPr>
        <w:t>key</w:t>
      </w:r>
      <w:r>
        <w:rPr>
          <w:spacing w:val="-16"/>
          <w:sz w:val="28"/>
        </w:rPr>
        <w:t> </w:t>
      </w:r>
      <w:r>
        <w:rPr>
          <w:sz w:val="28"/>
        </w:rPr>
        <w:t>decisions</w:t>
      </w:r>
      <w:r>
        <w:rPr>
          <w:spacing w:val="-15"/>
          <w:sz w:val="28"/>
        </w:rPr>
        <w:t> </w:t>
      </w:r>
      <w:r>
        <w:rPr>
          <w:sz w:val="28"/>
        </w:rPr>
        <w:t>and</w:t>
      </w:r>
      <w:r>
        <w:rPr>
          <w:spacing w:val="-16"/>
          <w:sz w:val="28"/>
        </w:rPr>
        <w:t> </w:t>
      </w:r>
      <w:r>
        <w:rPr>
          <w:sz w:val="28"/>
        </w:rPr>
        <w:t>legislation</w:t>
      </w:r>
      <w:r>
        <w:rPr>
          <w:spacing w:val="-16"/>
          <w:sz w:val="28"/>
        </w:rPr>
        <w:t> </w:t>
      </w:r>
      <w:r>
        <w:rPr>
          <w:sz w:val="28"/>
        </w:rPr>
        <w:t>are</w:t>
      </w:r>
      <w:r>
        <w:rPr>
          <w:spacing w:val="-16"/>
          <w:sz w:val="28"/>
        </w:rPr>
        <w:t> </w:t>
      </w:r>
      <w:r>
        <w:rPr>
          <w:sz w:val="28"/>
        </w:rPr>
        <w:t>proofed</w:t>
      </w:r>
      <w:r>
        <w:rPr>
          <w:spacing w:val="-16"/>
          <w:sz w:val="28"/>
        </w:rPr>
        <w:t> </w:t>
      </w:r>
      <w:r>
        <w:rPr>
          <w:sz w:val="28"/>
        </w:rPr>
        <w:t>to</w:t>
      </w:r>
      <w:r>
        <w:rPr>
          <w:spacing w:val="-16"/>
          <w:sz w:val="28"/>
        </w:rPr>
        <w:t> </w:t>
      </w:r>
      <w:r>
        <w:rPr>
          <w:sz w:val="28"/>
        </w:rPr>
        <w:t>ensure that</w:t>
      </w:r>
      <w:r>
        <w:rPr>
          <w:spacing w:val="-4"/>
          <w:sz w:val="28"/>
        </w:rPr>
        <w:t> </w:t>
      </w:r>
      <w:r>
        <w:rPr>
          <w:sz w:val="28"/>
        </w:rPr>
        <w:t>they</w:t>
      </w:r>
      <w:r>
        <w:rPr>
          <w:spacing w:val="-4"/>
          <w:sz w:val="28"/>
        </w:rPr>
        <w:t> </w:t>
      </w:r>
      <w:r>
        <w:rPr>
          <w:sz w:val="28"/>
        </w:rPr>
        <w:t>do</w:t>
      </w:r>
      <w:r>
        <w:rPr>
          <w:spacing w:val="-4"/>
          <w:sz w:val="28"/>
        </w:rPr>
        <w:t> </w:t>
      </w:r>
      <w:r>
        <w:rPr>
          <w:sz w:val="28"/>
        </w:rPr>
        <w:t>not</w:t>
      </w:r>
      <w:r>
        <w:rPr>
          <w:spacing w:val="-4"/>
          <w:sz w:val="28"/>
        </w:rPr>
        <w:t> </w:t>
      </w:r>
      <w:r>
        <w:rPr>
          <w:sz w:val="28"/>
        </w:rPr>
        <w:t>infringe</w:t>
      </w:r>
      <w:r>
        <w:rPr>
          <w:spacing w:val="-4"/>
          <w:sz w:val="28"/>
        </w:rPr>
        <w:t> </w:t>
      </w:r>
      <w:r>
        <w:rPr>
          <w:sz w:val="28"/>
        </w:rPr>
        <w:t>the</w:t>
      </w:r>
      <w:r>
        <w:rPr>
          <w:spacing w:val="-4"/>
          <w:sz w:val="28"/>
        </w:rPr>
        <w:t> </w:t>
      </w:r>
      <w:r>
        <w:rPr>
          <w:sz w:val="28"/>
        </w:rPr>
        <w:t>ECHR</w:t>
      </w:r>
      <w:r>
        <w:rPr>
          <w:spacing w:val="-4"/>
          <w:sz w:val="28"/>
        </w:rPr>
        <w:t> </w:t>
      </w:r>
      <w:r>
        <w:rPr>
          <w:sz w:val="28"/>
        </w:rPr>
        <w:t>and</w:t>
      </w:r>
      <w:r>
        <w:rPr>
          <w:spacing w:val="-4"/>
          <w:sz w:val="28"/>
        </w:rPr>
        <w:t> </w:t>
      </w:r>
      <w:r>
        <w:rPr>
          <w:sz w:val="28"/>
        </w:rPr>
        <w:t>any</w:t>
      </w:r>
      <w:r>
        <w:rPr>
          <w:spacing w:val="-4"/>
          <w:sz w:val="28"/>
        </w:rPr>
        <w:t> </w:t>
      </w:r>
      <w:r>
        <w:rPr>
          <w:sz w:val="28"/>
        </w:rPr>
        <w:t>Bill</w:t>
      </w:r>
      <w:r>
        <w:rPr>
          <w:spacing w:val="-4"/>
          <w:sz w:val="28"/>
        </w:rPr>
        <w:t> </w:t>
      </w:r>
      <w:r>
        <w:rPr>
          <w:sz w:val="28"/>
        </w:rPr>
        <w:t>of</w:t>
      </w:r>
      <w:r>
        <w:rPr>
          <w:spacing w:val="-4"/>
          <w:sz w:val="28"/>
        </w:rPr>
        <w:t> </w:t>
      </w:r>
      <w:r>
        <w:rPr>
          <w:sz w:val="28"/>
        </w:rPr>
        <w:t>Rights</w:t>
      </w:r>
      <w:r>
        <w:rPr>
          <w:spacing w:val="-4"/>
          <w:sz w:val="28"/>
        </w:rPr>
        <w:t> </w:t>
      </w:r>
      <w:r>
        <w:rPr>
          <w:sz w:val="28"/>
        </w:rPr>
        <w:t>for</w:t>
      </w:r>
      <w:r>
        <w:rPr>
          <w:spacing w:val="-4"/>
          <w:sz w:val="28"/>
        </w:rPr>
        <w:t> </w:t>
      </w:r>
      <w:r>
        <w:rPr>
          <w:sz w:val="28"/>
        </w:rPr>
        <w:t>Northern</w:t>
      </w:r>
      <w:r>
        <w:rPr>
          <w:spacing w:val="-4"/>
          <w:sz w:val="28"/>
        </w:rPr>
        <w:t> </w:t>
      </w:r>
      <w:r>
        <w:rPr>
          <w:sz w:val="28"/>
        </w:rPr>
        <w:t>Ireland’;</w:t>
      </w:r>
      <w:r>
        <w:rPr>
          <w:sz w:val="28"/>
          <w:vertAlign w:val="superscript"/>
        </w:rPr>
        <w:t>160</w:t>
      </w:r>
    </w:p>
    <w:p>
      <w:pPr>
        <w:pStyle w:val="ListParagraph"/>
        <w:numPr>
          <w:ilvl w:val="0"/>
          <w:numId w:val="16"/>
        </w:numPr>
        <w:tabs>
          <w:tab w:pos="1059" w:val="left" w:leader="none"/>
        </w:tabs>
        <w:spacing w:line="325" w:lineRule="exact" w:before="0" w:after="0"/>
        <w:ind w:left="1059" w:right="0" w:hanging="339"/>
        <w:jc w:val="left"/>
        <w:rPr>
          <w:sz w:val="28"/>
        </w:rPr>
      </w:pPr>
      <w:r>
        <w:rPr>
          <w:sz w:val="28"/>
        </w:rPr>
        <w:t>Possibility</w:t>
      </w:r>
      <w:r>
        <w:rPr>
          <w:spacing w:val="-14"/>
          <w:sz w:val="28"/>
        </w:rPr>
        <w:t> </w:t>
      </w:r>
      <w:r>
        <w:rPr>
          <w:sz w:val="28"/>
        </w:rPr>
        <w:t>for</w:t>
      </w:r>
      <w:r>
        <w:rPr>
          <w:spacing w:val="-13"/>
          <w:sz w:val="28"/>
        </w:rPr>
        <w:t> </w:t>
      </w:r>
      <w:r>
        <w:rPr>
          <w:sz w:val="28"/>
        </w:rPr>
        <w:t>the</w:t>
      </w:r>
      <w:r>
        <w:rPr>
          <w:spacing w:val="-13"/>
          <w:sz w:val="28"/>
        </w:rPr>
        <w:t> </w:t>
      </w:r>
      <w:r>
        <w:rPr>
          <w:sz w:val="28"/>
        </w:rPr>
        <w:t>Assembly</w:t>
      </w:r>
      <w:r>
        <w:rPr>
          <w:spacing w:val="-13"/>
          <w:sz w:val="28"/>
        </w:rPr>
        <w:t> </w:t>
      </w:r>
      <w:r>
        <w:rPr>
          <w:sz w:val="28"/>
        </w:rPr>
        <w:t>to</w:t>
      </w:r>
      <w:r>
        <w:rPr>
          <w:spacing w:val="-14"/>
          <w:sz w:val="28"/>
        </w:rPr>
        <w:t> </w:t>
      </w:r>
      <w:r>
        <w:rPr>
          <w:sz w:val="28"/>
        </w:rPr>
        <w:t>appoint</w:t>
      </w:r>
      <w:r>
        <w:rPr>
          <w:spacing w:val="-13"/>
          <w:sz w:val="28"/>
        </w:rPr>
        <w:t> </w:t>
      </w:r>
      <w:r>
        <w:rPr>
          <w:sz w:val="28"/>
        </w:rPr>
        <w:t>a</w:t>
      </w:r>
      <w:r>
        <w:rPr>
          <w:spacing w:val="-13"/>
          <w:sz w:val="28"/>
        </w:rPr>
        <w:t> </w:t>
      </w:r>
      <w:r>
        <w:rPr>
          <w:sz w:val="28"/>
        </w:rPr>
        <w:t>committee</w:t>
      </w:r>
      <w:r>
        <w:rPr>
          <w:spacing w:val="-13"/>
          <w:sz w:val="28"/>
        </w:rPr>
        <w:t> </w:t>
      </w:r>
      <w:r>
        <w:rPr>
          <w:sz w:val="28"/>
        </w:rPr>
        <w:t>to</w:t>
      </w:r>
      <w:r>
        <w:rPr>
          <w:spacing w:val="-13"/>
          <w:sz w:val="28"/>
        </w:rPr>
        <w:t> </w:t>
      </w:r>
      <w:r>
        <w:rPr>
          <w:sz w:val="28"/>
        </w:rPr>
        <w:t>examine</w:t>
      </w:r>
      <w:r>
        <w:rPr>
          <w:spacing w:val="-14"/>
          <w:sz w:val="28"/>
        </w:rPr>
        <w:t> </w:t>
      </w:r>
      <w:r>
        <w:rPr>
          <w:sz w:val="28"/>
        </w:rPr>
        <w:t>a</w:t>
      </w:r>
      <w:r>
        <w:rPr>
          <w:spacing w:val="-13"/>
          <w:sz w:val="28"/>
        </w:rPr>
        <w:t> </w:t>
      </w:r>
      <w:r>
        <w:rPr>
          <w:sz w:val="28"/>
        </w:rPr>
        <w:t>measure</w:t>
      </w:r>
      <w:r>
        <w:rPr>
          <w:spacing w:val="-13"/>
          <w:sz w:val="28"/>
        </w:rPr>
        <w:t> </w:t>
      </w:r>
      <w:r>
        <w:rPr>
          <w:spacing w:val="-5"/>
          <w:sz w:val="28"/>
        </w:rPr>
        <w:t>or</w:t>
      </w:r>
    </w:p>
    <w:p>
      <w:pPr>
        <w:pStyle w:val="BodyText"/>
        <w:spacing w:line="323" w:lineRule="exact"/>
        <w:ind w:left="1060"/>
      </w:pPr>
      <w:r>
        <w:rPr/>
        <w:t>legislation</w:t>
      </w:r>
      <w:r>
        <w:rPr>
          <w:spacing w:val="-16"/>
        </w:rPr>
        <w:t> </w:t>
      </w:r>
      <w:r>
        <w:rPr/>
        <w:t>for</w:t>
      </w:r>
      <w:r>
        <w:rPr>
          <w:spacing w:val="-15"/>
        </w:rPr>
        <w:t> </w:t>
      </w:r>
      <w:r>
        <w:rPr/>
        <w:t>compatibility</w:t>
      </w:r>
      <w:r>
        <w:rPr>
          <w:spacing w:val="-16"/>
        </w:rPr>
        <w:t> </w:t>
      </w:r>
      <w:r>
        <w:rPr/>
        <w:t>with</w:t>
      </w:r>
      <w:r>
        <w:rPr>
          <w:spacing w:val="-15"/>
        </w:rPr>
        <w:t> </w:t>
      </w:r>
      <w:r>
        <w:rPr/>
        <w:t>the</w:t>
      </w:r>
      <w:r>
        <w:rPr>
          <w:spacing w:val="-16"/>
        </w:rPr>
        <w:t> </w:t>
      </w:r>
      <w:r>
        <w:rPr>
          <w:spacing w:val="-2"/>
        </w:rPr>
        <w:t>ECHR;</w:t>
      </w:r>
      <w:r>
        <w:rPr>
          <w:spacing w:val="-2"/>
          <w:vertAlign w:val="superscript"/>
        </w:rPr>
        <w:t>161</w:t>
      </w:r>
    </w:p>
    <w:p>
      <w:pPr>
        <w:pStyle w:val="ListParagraph"/>
        <w:numPr>
          <w:ilvl w:val="0"/>
          <w:numId w:val="16"/>
        </w:numPr>
        <w:tabs>
          <w:tab w:pos="1058" w:val="left" w:leader="none"/>
          <w:tab w:pos="1060" w:val="left" w:leader="none"/>
        </w:tabs>
        <w:spacing w:line="232" w:lineRule="auto" w:before="0" w:after="0"/>
        <w:ind w:left="1060" w:right="1556" w:hanging="341"/>
        <w:jc w:val="left"/>
        <w:rPr>
          <w:sz w:val="28"/>
        </w:rPr>
      </w:pPr>
      <w:r>
        <w:rPr>
          <w:sz w:val="28"/>
        </w:rPr>
        <w:t>incorporation</w:t>
      </w:r>
      <w:r>
        <w:rPr>
          <w:spacing w:val="-13"/>
          <w:sz w:val="28"/>
        </w:rPr>
        <w:t> </w:t>
      </w:r>
      <w:r>
        <w:rPr>
          <w:sz w:val="28"/>
        </w:rPr>
        <w:t>of</w:t>
      </w:r>
      <w:r>
        <w:rPr>
          <w:spacing w:val="-13"/>
          <w:sz w:val="28"/>
        </w:rPr>
        <w:t> </w:t>
      </w:r>
      <w:r>
        <w:rPr>
          <w:sz w:val="28"/>
        </w:rPr>
        <w:t>the</w:t>
      </w:r>
      <w:r>
        <w:rPr>
          <w:spacing w:val="-13"/>
          <w:sz w:val="28"/>
        </w:rPr>
        <w:t> </w:t>
      </w:r>
      <w:r>
        <w:rPr>
          <w:sz w:val="28"/>
        </w:rPr>
        <w:t>ECHR</w:t>
      </w:r>
      <w:r>
        <w:rPr>
          <w:spacing w:val="-13"/>
          <w:sz w:val="28"/>
        </w:rPr>
        <w:t> </w:t>
      </w:r>
      <w:r>
        <w:rPr>
          <w:sz w:val="28"/>
        </w:rPr>
        <w:t>into</w:t>
      </w:r>
      <w:r>
        <w:rPr>
          <w:spacing w:val="-13"/>
          <w:sz w:val="28"/>
        </w:rPr>
        <w:t> </w:t>
      </w:r>
      <w:r>
        <w:rPr>
          <w:sz w:val="28"/>
        </w:rPr>
        <w:t>Northern</w:t>
      </w:r>
      <w:r>
        <w:rPr>
          <w:spacing w:val="-13"/>
          <w:sz w:val="28"/>
        </w:rPr>
        <w:t> </w:t>
      </w:r>
      <w:r>
        <w:rPr>
          <w:sz w:val="28"/>
        </w:rPr>
        <w:t>Ireland</w:t>
      </w:r>
      <w:r>
        <w:rPr>
          <w:spacing w:val="-13"/>
          <w:sz w:val="28"/>
        </w:rPr>
        <w:t> </w:t>
      </w:r>
      <w:r>
        <w:rPr>
          <w:sz w:val="28"/>
        </w:rPr>
        <w:t>law</w:t>
      </w:r>
      <w:r>
        <w:rPr>
          <w:spacing w:val="-13"/>
          <w:sz w:val="28"/>
        </w:rPr>
        <w:t> </w:t>
      </w:r>
      <w:r>
        <w:rPr>
          <w:sz w:val="28"/>
        </w:rPr>
        <w:t>‘with</w:t>
      </w:r>
      <w:r>
        <w:rPr>
          <w:spacing w:val="-13"/>
          <w:sz w:val="28"/>
        </w:rPr>
        <w:t> </w:t>
      </w:r>
      <w:r>
        <w:rPr>
          <w:sz w:val="28"/>
        </w:rPr>
        <w:t>direct</w:t>
      </w:r>
      <w:r>
        <w:rPr>
          <w:spacing w:val="-13"/>
          <w:sz w:val="28"/>
        </w:rPr>
        <w:t> </w:t>
      </w:r>
      <w:r>
        <w:rPr>
          <w:sz w:val="28"/>
        </w:rPr>
        <w:t>access</w:t>
      </w:r>
      <w:r>
        <w:rPr>
          <w:spacing w:val="-13"/>
          <w:sz w:val="28"/>
        </w:rPr>
        <w:t> </w:t>
      </w:r>
      <w:r>
        <w:rPr>
          <w:sz w:val="28"/>
        </w:rPr>
        <w:t>to</w:t>
      </w:r>
      <w:r>
        <w:rPr>
          <w:spacing w:val="-13"/>
          <w:sz w:val="28"/>
        </w:rPr>
        <w:t> </w:t>
      </w:r>
      <w:r>
        <w:rPr>
          <w:sz w:val="28"/>
        </w:rPr>
        <w:t>the courts, and remedies for breach of the Convention, including power for the courts</w:t>
      </w:r>
      <w:r>
        <w:rPr>
          <w:spacing w:val="-2"/>
          <w:sz w:val="28"/>
        </w:rPr>
        <w:t> </w:t>
      </w:r>
      <w:r>
        <w:rPr>
          <w:sz w:val="28"/>
        </w:rPr>
        <w:t>to</w:t>
      </w:r>
      <w:r>
        <w:rPr>
          <w:spacing w:val="-2"/>
          <w:sz w:val="28"/>
        </w:rPr>
        <w:t> </w:t>
      </w:r>
      <w:r>
        <w:rPr>
          <w:sz w:val="28"/>
        </w:rPr>
        <w:t>overrule</w:t>
      </w:r>
      <w:r>
        <w:rPr>
          <w:spacing w:val="-2"/>
          <w:sz w:val="28"/>
        </w:rPr>
        <w:t> </w:t>
      </w:r>
      <w:r>
        <w:rPr>
          <w:sz w:val="28"/>
        </w:rPr>
        <w:t>Assembly</w:t>
      </w:r>
      <w:r>
        <w:rPr>
          <w:spacing w:val="-2"/>
          <w:sz w:val="28"/>
        </w:rPr>
        <w:t> </w:t>
      </w:r>
      <w:r>
        <w:rPr>
          <w:sz w:val="28"/>
        </w:rPr>
        <w:t>legislation</w:t>
      </w:r>
      <w:r>
        <w:rPr>
          <w:spacing w:val="-2"/>
          <w:sz w:val="28"/>
        </w:rPr>
        <w:t> </w:t>
      </w:r>
      <w:r>
        <w:rPr>
          <w:sz w:val="28"/>
        </w:rPr>
        <w:t>on</w:t>
      </w:r>
      <w:r>
        <w:rPr>
          <w:spacing w:val="-2"/>
          <w:sz w:val="28"/>
        </w:rPr>
        <w:t> </w:t>
      </w:r>
      <w:r>
        <w:rPr>
          <w:sz w:val="28"/>
        </w:rPr>
        <w:t>grounds</w:t>
      </w:r>
      <w:r>
        <w:rPr>
          <w:spacing w:val="-2"/>
          <w:sz w:val="28"/>
        </w:rPr>
        <w:t> </w:t>
      </w:r>
      <w:r>
        <w:rPr>
          <w:sz w:val="28"/>
        </w:rPr>
        <w:t>of</w:t>
      </w:r>
      <w:r>
        <w:rPr>
          <w:spacing w:val="-2"/>
          <w:sz w:val="28"/>
        </w:rPr>
        <w:t> </w:t>
      </w:r>
      <w:r>
        <w:rPr>
          <w:sz w:val="28"/>
        </w:rPr>
        <w:t>inconsistency’.</w:t>
      </w:r>
      <w:r>
        <w:rPr>
          <w:sz w:val="28"/>
          <w:vertAlign w:val="superscript"/>
        </w:rPr>
        <w:t>162</w:t>
      </w:r>
    </w:p>
    <w:p>
      <w:pPr>
        <w:pStyle w:val="BodyText"/>
        <w:spacing w:line="232" w:lineRule="auto" w:before="270"/>
        <w:ind w:left="720" w:right="1087"/>
      </w:pPr>
      <w:r>
        <w:rPr/>
        <w:t>The</w:t>
      </w:r>
      <w:r>
        <w:rPr>
          <w:spacing w:val="-5"/>
        </w:rPr>
        <w:t> </w:t>
      </w:r>
      <w:r>
        <w:rPr/>
        <w:t>NIHRC</w:t>
      </w:r>
      <w:r>
        <w:rPr>
          <w:spacing w:val="-5"/>
        </w:rPr>
        <w:t> </w:t>
      </w:r>
      <w:r>
        <w:rPr/>
        <w:t>has</w:t>
      </w:r>
      <w:r>
        <w:rPr>
          <w:spacing w:val="-5"/>
        </w:rPr>
        <w:t> </w:t>
      </w:r>
      <w:r>
        <w:rPr/>
        <w:t>rightly</w:t>
      </w:r>
      <w:r>
        <w:rPr>
          <w:spacing w:val="-5"/>
        </w:rPr>
        <w:t> </w:t>
      </w:r>
      <w:r>
        <w:rPr/>
        <w:t>stressed</w:t>
      </w:r>
      <w:r>
        <w:rPr>
          <w:spacing w:val="-5"/>
        </w:rPr>
        <w:t> </w:t>
      </w:r>
      <w:r>
        <w:rPr/>
        <w:t>the</w:t>
      </w:r>
      <w:r>
        <w:rPr>
          <w:spacing w:val="-5"/>
        </w:rPr>
        <w:t> </w:t>
      </w:r>
      <w:r>
        <w:rPr/>
        <w:t>‘integral</w:t>
      </w:r>
      <w:r>
        <w:rPr>
          <w:spacing w:val="-5"/>
        </w:rPr>
        <w:t> </w:t>
      </w:r>
      <w:r>
        <w:rPr/>
        <w:t>role</w:t>
      </w:r>
      <w:r>
        <w:rPr>
          <w:spacing w:val="-5"/>
        </w:rPr>
        <w:t> </w:t>
      </w:r>
      <w:r>
        <w:rPr/>
        <w:t>of</w:t>
      </w:r>
      <w:r>
        <w:rPr>
          <w:spacing w:val="-5"/>
        </w:rPr>
        <w:t> </w:t>
      </w:r>
      <w:r>
        <w:rPr/>
        <w:t>both</w:t>
      </w:r>
      <w:r>
        <w:rPr>
          <w:spacing w:val="-5"/>
        </w:rPr>
        <w:t> </w:t>
      </w:r>
      <w:r>
        <w:rPr/>
        <w:t>the</w:t>
      </w:r>
      <w:r>
        <w:rPr>
          <w:spacing w:val="-5"/>
        </w:rPr>
        <w:t> </w:t>
      </w:r>
      <w:r>
        <w:rPr/>
        <w:t>Human</w:t>
      </w:r>
      <w:r>
        <w:rPr>
          <w:spacing w:val="-5"/>
        </w:rPr>
        <w:t> </w:t>
      </w:r>
      <w:r>
        <w:rPr/>
        <w:t>Rights</w:t>
      </w:r>
      <w:r>
        <w:rPr>
          <w:spacing w:val="-5"/>
        </w:rPr>
        <w:t> </w:t>
      </w:r>
      <w:r>
        <w:rPr/>
        <w:t>Act</w:t>
      </w:r>
      <w:r>
        <w:rPr>
          <w:spacing w:val="-5"/>
        </w:rPr>
        <w:t> </w:t>
      </w:r>
      <w:r>
        <w:rPr/>
        <w:t>and ECHR in the complex fabric of the NI Peace Process and devolution’.</w:t>
      </w:r>
      <w:r>
        <w:rPr>
          <w:vertAlign w:val="superscript"/>
        </w:rPr>
        <w:t>163</w:t>
      </w:r>
      <w:r>
        <w:rPr>
          <w:vertAlign w:val="baseline"/>
        </w:rPr>
        <w:t> Given the centrality of the ECHR to the 1998 Agreement, significantly downgrading Human Rights Act protections or withdrawal from the European Convention itself would breach its terms.</w:t>
      </w:r>
      <w:r>
        <w:rPr>
          <w:vertAlign w:val="superscript"/>
        </w:rPr>
        <w:t>164</w:t>
      </w:r>
      <w:r>
        <w:rPr>
          <w:vertAlign w:val="baseline"/>
        </w:rPr>
        <w:t> Actual withdrawal from the European Convention would also effectively make it impossible for the UK to remain a member of the Council of Europe.</w:t>
      </w:r>
      <w:r>
        <w:rPr>
          <w:spacing w:val="-5"/>
          <w:vertAlign w:val="baseline"/>
        </w:rPr>
        <w:t> </w:t>
      </w:r>
      <w:r>
        <w:rPr>
          <w:vertAlign w:val="baseline"/>
        </w:rPr>
        <w:t>We</w:t>
      </w:r>
      <w:r>
        <w:rPr>
          <w:spacing w:val="-4"/>
          <w:vertAlign w:val="baseline"/>
        </w:rPr>
        <w:t> </w:t>
      </w:r>
      <w:r>
        <w:rPr>
          <w:vertAlign w:val="baseline"/>
        </w:rPr>
        <w:t>also</w:t>
      </w:r>
      <w:r>
        <w:rPr>
          <w:spacing w:val="-5"/>
          <w:vertAlign w:val="baseline"/>
        </w:rPr>
        <w:t> </w:t>
      </w:r>
      <w:r>
        <w:rPr>
          <w:vertAlign w:val="baseline"/>
        </w:rPr>
        <w:t>note</w:t>
      </w:r>
      <w:r>
        <w:rPr>
          <w:spacing w:val="-4"/>
          <w:vertAlign w:val="baseline"/>
        </w:rPr>
        <w:t> </w:t>
      </w:r>
      <w:r>
        <w:rPr>
          <w:vertAlign w:val="baseline"/>
        </w:rPr>
        <w:t>that</w:t>
      </w:r>
      <w:r>
        <w:rPr>
          <w:spacing w:val="-4"/>
          <w:vertAlign w:val="baseline"/>
        </w:rPr>
        <w:t> </w:t>
      </w:r>
      <w:r>
        <w:rPr>
          <w:vertAlign w:val="baseline"/>
        </w:rPr>
        <w:t>the</w:t>
      </w:r>
      <w:r>
        <w:rPr>
          <w:spacing w:val="-4"/>
          <w:vertAlign w:val="baseline"/>
        </w:rPr>
        <w:t> </w:t>
      </w:r>
      <w:r>
        <w:rPr>
          <w:vertAlign w:val="baseline"/>
        </w:rPr>
        <w:t>tendency</w:t>
      </w:r>
      <w:r>
        <w:rPr>
          <w:spacing w:val="-4"/>
          <w:vertAlign w:val="baseline"/>
        </w:rPr>
        <w:t> </w:t>
      </w:r>
      <w:r>
        <w:rPr>
          <w:vertAlign w:val="baseline"/>
        </w:rPr>
        <w:t>to</w:t>
      </w:r>
      <w:r>
        <w:rPr>
          <w:spacing w:val="-5"/>
          <w:vertAlign w:val="baseline"/>
        </w:rPr>
        <w:t> </w:t>
      </w:r>
      <w:r>
        <w:rPr>
          <w:vertAlign w:val="baseline"/>
        </w:rPr>
        <w:t>disapply</w:t>
      </w:r>
      <w:r>
        <w:rPr>
          <w:spacing w:val="-4"/>
          <w:vertAlign w:val="baseline"/>
        </w:rPr>
        <w:t> </w:t>
      </w:r>
      <w:r>
        <w:rPr>
          <w:vertAlign w:val="baseline"/>
        </w:rPr>
        <w:t>section</w:t>
      </w:r>
      <w:r>
        <w:rPr>
          <w:spacing w:val="-5"/>
          <w:vertAlign w:val="baseline"/>
        </w:rPr>
        <w:t> </w:t>
      </w:r>
      <w:r>
        <w:rPr>
          <w:vertAlign w:val="baseline"/>
        </w:rPr>
        <w:t>3</w:t>
      </w:r>
      <w:r>
        <w:rPr>
          <w:spacing w:val="-4"/>
          <w:vertAlign w:val="baseline"/>
        </w:rPr>
        <w:t> </w:t>
      </w:r>
      <w:r>
        <w:rPr>
          <w:vertAlign w:val="baseline"/>
        </w:rPr>
        <w:t>of</w:t>
      </w:r>
      <w:r>
        <w:rPr>
          <w:spacing w:val="-5"/>
          <w:vertAlign w:val="baseline"/>
        </w:rPr>
        <w:t> </w:t>
      </w:r>
      <w:r>
        <w:rPr>
          <w:vertAlign w:val="baseline"/>
        </w:rPr>
        <w:t>the</w:t>
      </w:r>
      <w:r>
        <w:rPr>
          <w:spacing w:val="-4"/>
          <w:vertAlign w:val="baseline"/>
        </w:rPr>
        <w:t> </w:t>
      </w:r>
      <w:r>
        <w:rPr>
          <w:vertAlign w:val="baseline"/>
        </w:rPr>
        <w:t>Human</w:t>
      </w:r>
      <w:r>
        <w:rPr>
          <w:spacing w:val="-5"/>
          <w:vertAlign w:val="baseline"/>
        </w:rPr>
        <w:t> </w:t>
      </w:r>
      <w:r>
        <w:rPr>
          <w:vertAlign w:val="baseline"/>
        </w:rPr>
        <w:t>Rights Act seems unnecessary in a system that upholds parliamentary sovereignty;</w:t>
      </w:r>
    </w:p>
    <w:p>
      <w:pPr>
        <w:pStyle w:val="BodyText"/>
        <w:spacing w:line="232" w:lineRule="auto"/>
        <w:ind w:left="720" w:right="1886"/>
      </w:pPr>
      <w:r>
        <w:rPr/>
        <w:t>Parliament</w:t>
      </w:r>
      <w:r>
        <w:rPr>
          <w:spacing w:val="-4"/>
        </w:rPr>
        <w:t> </w:t>
      </w:r>
      <w:r>
        <w:rPr/>
        <w:t>always</w:t>
      </w:r>
      <w:r>
        <w:rPr>
          <w:spacing w:val="-4"/>
        </w:rPr>
        <w:t> </w:t>
      </w:r>
      <w:r>
        <w:rPr/>
        <w:t>has</w:t>
      </w:r>
      <w:r>
        <w:rPr>
          <w:spacing w:val="-4"/>
        </w:rPr>
        <w:t> </w:t>
      </w:r>
      <w:r>
        <w:rPr/>
        <w:t>the</w:t>
      </w:r>
      <w:r>
        <w:rPr>
          <w:spacing w:val="-4"/>
        </w:rPr>
        <w:t> </w:t>
      </w:r>
      <w:r>
        <w:rPr/>
        <w:t>possibility</w:t>
      </w:r>
      <w:r>
        <w:rPr>
          <w:spacing w:val="-4"/>
        </w:rPr>
        <w:t> </w:t>
      </w:r>
      <w:r>
        <w:rPr/>
        <w:t>to</w:t>
      </w:r>
      <w:r>
        <w:rPr>
          <w:spacing w:val="-4"/>
        </w:rPr>
        <w:t> </w:t>
      </w:r>
      <w:r>
        <w:rPr/>
        <w:t>amend</w:t>
      </w:r>
      <w:r>
        <w:rPr>
          <w:spacing w:val="-4"/>
        </w:rPr>
        <w:t> </w:t>
      </w:r>
      <w:r>
        <w:rPr/>
        <w:t>the</w:t>
      </w:r>
      <w:r>
        <w:rPr>
          <w:spacing w:val="-4"/>
        </w:rPr>
        <w:t> </w:t>
      </w:r>
      <w:r>
        <w:rPr/>
        <w:t>law</w:t>
      </w:r>
      <w:r>
        <w:rPr>
          <w:spacing w:val="-4"/>
        </w:rPr>
        <w:t> </w:t>
      </w:r>
      <w:r>
        <w:rPr/>
        <w:t>in</w:t>
      </w:r>
      <w:r>
        <w:rPr>
          <w:spacing w:val="-4"/>
        </w:rPr>
        <w:t> </w:t>
      </w:r>
      <w:r>
        <w:rPr/>
        <w:t>an</w:t>
      </w:r>
      <w:r>
        <w:rPr>
          <w:spacing w:val="-4"/>
        </w:rPr>
        <w:t> </w:t>
      </w:r>
      <w:r>
        <w:rPr/>
        <w:t>instance</w:t>
      </w:r>
      <w:r>
        <w:rPr>
          <w:spacing w:val="-4"/>
        </w:rPr>
        <w:t> </w:t>
      </w:r>
      <w:r>
        <w:rPr/>
        <w:t>where it</w:t>
      </w:r>
      <w:r>
        <w:rPr>
          <w:spacing w:val="-6"/>
        </w:rPr>
        <w:t> </w:t>
      </w:r>
      <w:r>
        <w:rPr/>
        <w:t>does</w:t>
      </w:r>
      <w:r>
        <w:rPr>
          <w:spacing w:val="-7"/>
        </w:rPr>
        <w:t> </w:t>
      </w:r>
      <w:r>
        <w:rPr/>
        <w:t>not</w:t>
      </w:r>
      <w:r>
        <w:rPr>
          <w:spacing w:val="-6"/>
        </w:rPr>
        <w:t> </w:t>
      </w:r>
      <w:r>
        <w:rPr/>
        <w:t>feel</w:t>
      </w:r>
      <w:r>
        <w:rPr>
          <w:spacing w:val="-7"/>
        </w:rPr>
        <w:t> </w:t>
      </w:r>
      <w:r>
        <w:rPr/>
        <w:t>a</w:t>
      </w:r>
      <w:r>
        <w:rPr>
          <w:spacing w:val="-7"/>
        </w:rPr>
        <w:t> </w:t>
      </w:r>
      <w:r>
        <w:rPr/>
        <w:t>judicial</w:t>
      </w:r>
      <w:r>
        <w:rPr>
          <w:spacing w:val="-6"/>
        </w:rPr>
        <w:t> </w:t>
      </w:r>
      <w:r>
        <w:rPr/>
        <w:t>interpretation</w:t>
      </w:r>
      <w:r>
        <w:rPr>
          <w:spacing w:val="-7"/>
        </w:rPr>
        <w:t> </w:t>
      </w:r>
      <w:r>
        <w:rPr/>
        <w:t>has</w:t>
      </w:r>
      <w:r>
        <w:rPr>
          <w:spacing w:val="-7"/>
        </w:rPr>
        <w:t> </w:t>
      </w:r>
      <w:r>
        <w:rPr/>
        <w:t>been</w:t>
      </w:r>
      <w:r>
        <w:rPr>
          <w:spacing w:val="-7"/>
        </w:rPr>
        <w:t> </w:t>
      </w:r>
      <w:r>
        <w:rPr/>
        <w:t>appropriate.</w:t>
      </w:r>
      <w:r>
        <w:rPr>
          <w:spacing w:val="-6"/>
        </w:rPr>
        <w:t> </w:t>
      </w:r>
      <w:r>
        <w:rPr/>
        <w:t>It</w:t>
      </w:r>
      <w:r>
        <w:rPr>
          <w:spacing w:val="-6"/>
        </w:rPr>
        <w:t> </w:t>
      </w:r>
      <w:r>
        <w:rPr/>
        <w:t>would</w:t>
      </w:r>
      <w:r>
        <w:rPr>
          <w:spacing w:val="-7"/>
        </w:rPr>
        <w:t> </w:t>
      </w:r>
      <w:r>
        <w:rPr>
          <w:spacing w:val="-4"/>
        </w:rPr>
        <w:t>seem</w:t>
      </w:r>
    </w:p>
    <w:p>
      <w:pPr>
        <w:pStyle w:val="BodyText"/>
        <w:spacing w:line="232" w:lineRule="auto"/>
        <w:ind w:left="720" w:right="1087"/>
      </w:pPr>
      <w:r>
        <w:rPr/>
        <w:t>more compatible with the idea of a balance between the different branches of government</w:t>
      </w:r>
      <w:r>
        <w:rPr>
          <w:spacing w:val="-8"/>
        </w:rPr>
        <w:t> </w:t>
      </w:r>
      <w:r>
        <w:rPr/>
        <w:t>for</w:t>
      </w:r>
      <w:r>
        <w:rPr>
          <w:spacing w:val="-8"/>
        </w:rPr>
        <w:t> </w:t>
      </w:r>
      <w:r>
        <w:rPr/>
        <w:t>Parliament</w:t>
      </w:r>
      <w:r>
        <w:rPr>
          <w:spacing w:val="-8"/>
        </w:rPr>
        <w:t> </w:t>
      </w:r>
      <w:r>
        <w:rPr/>
        <w:t>to</w:t>
      </w:r>
      <w:r>
        <w:rPr>
          <w:spacing w:val="-9"/>
        </w:rPr>
        <w:t> </w:t>
      </w:r>
      <w:r>
        <w:rPr/>
        <w:t>wait</w:t>
      </w:r>
      <w:r>
        <w:rPr>
          <w:spacing w:val="-8"/>
        </w:rPr>
        <w:t> </w:t>
      </w:r>
      <w:r>
        <w:rPr/>
        <w:t>to</w:t>
      </w:r>
      <w:r>
        <w:rPr>
          <w:spacing w:val="-9"/>
        </w:rPr>
        <w:t> </w:t>
      </w:r>
      <w:r>
        <w:rPr/>
        <w:t>see</w:t>
      </w:r>
      <w:r>
        <w:rPr>
          <w:spacing w:val="-8"/>
        </w:rPr>
        <w:t> </w:t>
      </w:r>
      <w:r>
        <w:rPr/>
        <w:t>what</w:t>
      </w:r>
      <w:r>
        <w:rPr>
          <w:spacing w:val="-8"/>
        </w:rPr>
        <w:t> </w:t>
      </w:r>
      <w:r>
        <w:rPr/>
        <w:t>interpretation</w:t>
      </w:r>
      <w:r>
        <w:rPr>
          <w:spacing w:val="-9"/>
        </w:rPr>
        <w:t> </w:t>
      </w:r>
      <w:r>
        <w:rPr/>
        <w:t>the</w:t>
      </w:r>
      <w:r>
        <w:rPr>
          <w:spacing w:val="-8"/>
        </w:rPr>
        <w:t> </w:t>
      </w:r>
      <w:r>
        <w:rPr/>
        <w:t>courts</w:t>
      </w:r>
      <w:r>
        <w:rPr>
          <w:spacing w:val="-9"/>
        </w:rPr>
        <w:t> </w:t>
      </w:r>
      <w:r>
        <w:rPr/>
        <w:t>devise, rather than pre-emptively disapplying the section 3 power.</w:t>
      </w:r>
    </w:p>
    <w:p>
      <w:pPr>
        <w:pStyle w:val="BodyText"/>
        <w:spacing w:line="232" w:lineRule="auto" w:before="263"/>
        <w:ind w:left="720" w:right="1385"/>
      </w:pPr>
      <w:r>
        <w:rPr/>
        <w:t>In</w:t>
      </w:r>
      <w:r>
        <w:rPr>
          <w:spacing w:val="-1"/>
        </w:rPr>
        <w:t> </w:t>
      </w:r>
      <w:r>
        <w:rPr/>
        <w:t>addition, the provisions</w:t>
      </w:r>
      <w:r>
        <w:rPr>
          <w:spacing w:val="-1"/>
        </w:rPr>
        <w:t> </w:t>
      </w:r>
      <w:r>
        <w:rPr/>
        <w:t>of</w:t>
      </w:r>
      <w:r>
        <w:rPr>
          <w:spacing w:val="-1"/>
        </w:rPr>
        <w:t> </w:t>
      </w:r>
      <w:r>
        <w:rPr/>
        <w:t>the UK EU Trade and</w:t>
      </w:r>
      <w:r>
        <w:rPr>
          <w:spacing w:val="-1"/>
        </w:rPr>
        <w:t> </w:t>
      </w:r>
      <w:r>
        <w:rPr/>
        <w:t>Cooperation</w:t>
      </w:r>
      <w:r>
        <w:rPr>
          <w:spacing w:val="-1"/>
        </w:rPr>
        <w:t> </w:t>
      </w:r>
      <w:r>
        <w:rPr/>
        <w:t>Agreement (TCA) are relevant.</w:t>
      </w:r>
      <w:r>
        <w:rPr>
          <w:vertAlign w:val="superscript"/>
        </w:rPr>
        <w:t>165</w:t>
      </w:r>
      <w:r>
        <w:rPr>
          <w:vertAlign w:val="baseline"/>
        </w:rPr>
        <w:t> In the TCA the UK and EU reaffirm their commitment to human rights,</w:t>
      </w:r>
      <w:r>
        <w:rPr>
          <w:vertAlign w:val="superscript"/>
        </w:rPr>
        <w:t>166</w:t>
      </w:r>
      <w:r>
        <w:rPr>
          <w:spacing w:val="-4"/>
          <w:vertAlign w:val="baseline"/>
        </w:rPr>
        <w:t> </w:t>
      </w:r>
      <w:r>
        <w:rPr>
          <w:vertAlign w:val="baseline"/>
        </w:rPr>
        <w:t>and</w:t>
      </w:r>
      <w:r>
        <w:rPr>
          <w:spacing w:val="-4"/>
          <w:vertAlign w:val="baseline"/>
        </w:rPr>
        <w:t> </w:t>
      </w:r>
      <w:r>
        <w:rPr>
          <w:vertAlign w:val="baseline"/>
        </w:rPr>
        <w:t>undertake</w:t>
      </w:r>
      <w:r>
        <w:rPr>
          <w:spacing w:val="-3"/>
          <w:vertAlign w:val="baseline"/>
        </w:rPr>
        <w:t> </w:t>
      </w:r>
      <w:r>
        <w:rPr>
          <w:vertAlign w:val="baseline"/>
        </w:rPr>
        <w:t>to</w:t>
      </w:r>
      <w:r>
        <w:rPr>
          <w:spacing w:val="-4"/>
          <w:vertAlign w:val="baseline"/>
        </w:rPr>
        <w:t> </w:t>
      </w:r>
      <w:r>
        <w:rPr>
          <w:vertAlign w:val="baseline"/>
        </w:rPr>
        <w:t>include</w:t>
      </w:r>
      <w:r>
        <w:rPr>
          <w:spacing w:val="-3"/>
          <w:vertAlign w:val="baseline"/>
        </w:rPr>
        <w:t> </w:t>
      </w:r>
      <w:r>
        <w:rPr>
          <w:vertAlign w:val="baseline"/>
        </w:rPr>
        <w:t>human</w:t>
      </w:r>
      <w:r>
        <w:rPr>
          <w:spacing w:val="-4"/>
          <w:vertAlign w:val="baseline"/>
        </w:rPr>
        <w:t> </w:t>
      </w:r>
      <w:r>
        <w:rPr>
          <w:vertAlign w:val="baseline"/>
        </w:rPr>
        <w:t>rights</w:t>
      </w:r>
      <w:r>
        <w:rPr>
          <w:spacing w:val="-4"/>
          <w:vertAlign w:val="baseline"/>
        </w:rPr>
        <w:t> </w:t>
      </w:r>
      <w:r>
        <w:rPr>
          <w:vertAlign w:val="baseline"/>
        </w:rPr>
        <w:t>in</w:t>
      </w:r>
      <w:r>
        <w:rPr>
          <w:spacing w:val="-4"/>
          <w:vertAlign w:val="baseline"/>
        </w:rPr>
        <w:t> </w:t>
      </w:r>
      <w:r>
        <w:rPr>
          <w:vertAlign w:val="baseline"/>
        </w:rPr>
        <w:t>consultative</w:t>
      </w:r>
      <w:r>
        <w:rPr>
          <w:spacing w:val="-3"/>
          <w:vertAlign w:val="baseline"/>
        </w:rPr>
        <w:t> </w:t>
      </w:r>
      <w:r>
        <w:rPr>
          <w:vertAlign w:val="baseline"/>
        </w:rPr>
        <w:t>processes.</w:t>
      </w:r>
      <w:r>
        <w:rPr>
          <w:vertAlign w:val="superscript"/>
        </w:rPr>
        <w:t>167</w:t>
      </w:r>
      <w:r>
        <w:rPr>
          <w:spacing w:val="-4"/>
          <w:vertAlign w:val="baseline"/>
        </w:rPr>
        <w:t> </w:t>
      </w:r>
      <w:r>
        <w:rPr>
          <w:vertAlign w:val="baseline"/>
        </w:rPr>
        <w:t>The Part on Law Enforcement and Judicial Cooperation in Criminal Matters rests on respect</w:t>
      </w:r>
      <w:r>
        <w:rPr>
          <w:spacing w:val="-2"/>
          <w:vertAlign w:val="baseline"/>
        </w:rPr>
        <w:t> </w:t>
      </w:r>
      <w:r>
        <w:rPr>
          <w:vertAlign w:val="baseline"/>
        </w:rPr>
        <w:t>for</w:t>
      </w:r>
      <w:r>
        <w:rPr>
          <w:spacing w:val="-2"/>
          <w:vertAlign w:val="baseline"/>
        </w:rPr>
        <w:t> </w:t>
      </w:r>
      <w:r>
        <w:rPr>
          <w:vertAlign w:val="baseline"/>
        </w:rPr>
        <w:t>rights</w:t>
      </w:r>
      <w:r>
        <w:rPr>
          <w:spacing w:val="-3"/>
          <w:vertAlign w:val="baseline"/>
        </w:rPr>
        <w:t> </w:t>
      </w:r>
      <w:r>
        <w:rPr>
          <w:vertAlign w:val="baseline"/>
        </w:rPr>
        <w:t>in</w:t>
      </w:r>
      <w:r>
        <w:rPr>
          <w:spacing w:val="-3"/>
          <w:vertAlign w:val="baseline"/>
        </w:rPr>
        <w:t> </w:t>
      </w:r>
      <w:r>
        <w:rPr>
          <w:vertAlign w:val="baseline"/>
        </w:rPr>
        <w:t>the</w:t>
      </w:r>
      <w:r>
        <w:rPr>
          <w:spacing w:val="-2"/>
          <w:vertAlign w:val="baseline"/>
        </w:rPr>
        <w:t> </w:t>
      </w:r>
      <w:r>
        <w:rPr>
          <w:vertAlign w:val="baseline"/>
        </w:rPr>
        <w:t>Universal</w:t>
      </w:r>
      <w:r>
        <w:rPr>
          <w:spacing w:val="-3"/>
          <w:vertAlign w:val="baseline"/>
        </w:rPr>
        <w:t> </w:t>
      </w:r>
      <w:r>
        <w:rPr>
          <w:vertAlign w:val="baseline"/>
        </w:rPr>
        <w:t>Declaration</w:t>
      </w:r>
      <w:r>
        <w:rPr>
          <w:spacing w:val="-3"/>
          <w:vertAlign w:val="baseline"/>
        </w:rPr>
        <w:t> </w:t>
      </w:r>
      <w:r>
        <w:rPr>
          <w:vertAlign w:val="baseline"/>
        </w:rPr>
        <w:t>of</w:t>
      </w:r>
      <w:r>
        <w:rPr>
          <w:spacing w:val="-3"/>
          <w:vertAlign w:val="baseline"/>
        </w:rPr>
        <w:t> </w:t>
      </w:r>
      <w:r>
        <w:rPr>
          <w:vertAlign w:val="baseline"/>
        </w:rPr>
        <w:t>Human</w:t>
      </w:r>
      <w:r>
        <w:rPr>
          <w:spacing w:val="-3"/>
          <w:vertAlign w:val="baseline"/>
        </w:rPr>
        <w:t> </w:t>
      </w:r>
      <w:r>
        <w:rPr>
          <w:vertAlign w:val="baseline"/>
        </w:rPr>
        <w:t>Rights</w:t>
      </w:r>
      <w:r>
        <w:rPr>
          <w:spacing w:val="-3"/>
          <w:vertAlign w:val="baseline"/>
        </w:rPr>
        <w:t> </w:t>
      </w:r>
      <w:r>
        <w:rPr>
          <w:vertAlign w:val="baseline"/>
        </w:rPr>
        <w:t>and</w:t>
      </w:r>
      <w:r>
        <w:rPr>
          <w:spacing w:val="-3"/>
          <w:vertAlign w:val="baseline"/>
        </w:rPr>
        <w:t> </w:t>
      </w:r>
      <w:r>
        <w:rPr>
          <w:vertAlign w:val="baseline"/>
        </w:rPr>
        <w:t>the</w:t>
      </w:r>
      <w:r>
        <w:rPr>
          <w:spacing w:val="-2"/>
          <w:vertAlign w:val="baseline"/>
        </w:rPr>
        <w:t> </w:t>
      </w:r>
      <w:r>
        <w:rPr>
          <w:vertAlign w:val="baseline"/>
        </w:rPr>
        <w:t>European Convention</w:t>
      </w:r>
      <w:r>
        <w:rPr>
          <w:spacing w:val="-7"/>
          <w:vertAlign w:val="baseline"/>
        </w:rPr>
        <w:t> </w:t>
      </w:r>
      <w:r>
        <w:rPr>
          <w:vertAlign w:val="baseline"/>
        </w:rPr>
        <w:t>on</w:t>
      </w:r>
      <w:r>
        <w:rPr>
          <w:spacing w:val="-7"/>
          <w:vertAlign w:val="baseline"/>
        </w:rPr>
        <w:t> </w:t>
      </w:r>
      <w:r>
        <w:rPr>
          <w:vertAlign w:val="baseline"/>
        </w:rPr>
        <w:t>Human</w:t>
      </w:r>
      <w:r>
        <w:rPr>
          <w:spacing w:val="-7"/>
          <w:vertAlign w:val="baseline"/>
        </w:rPr>
        <w:t> </w:t>
      </w:r>
      <w:r>
        <w:rPr>
          <w:vertAlign w:val="baseline"/>
        </w:rPr>
        <w:t>Rights</w:t>
      </w:r>
      <w:r>
        <w:rPr>
          <w:spacing w:val="-7"/>
          <w:vertAlign w:val="baseline"/>
        </w:rPr>
        <w:t> </w:t>
      </w:r>
      <w:r>
        <w:rPr>
          <w:vertAlign w:val="baseline"/>
        </w:rPr>
        <w:t>‘and</w:t>
      </w:r>
      <w:r>
        <w:rPr>
          <w:spacing w:val="-7"/>
          <w:vertAlign w:val="baseline"/>
        </w:rPr>
        <w:t> </w:t>
      </w:r>
      <w:r>
        <w:rPr>
          <w:vertAlign w:val="baseline"/>
        </w:rPr>
        <w:t>on</w:t>
      </w:r>
      <w:r>
        <w:rPr>
          <w:spacing w:val="-7"/>
          <w:vertAlign w:val="baseline"/>
        </w:rPr>
        <w:t> </w:t>
      </w:r>
      <w:r>
        <w:rPr>
          <w:vertAlign w:val="baseline"/>
        </w:rPr>
        <w:t>the</w:t>
      </w:r>
      <w:r>
        <w:rPr>
          <w:spacing w:val="-6"/>
          <w:vertAlign w:val="baseline"/>
        </w:rPr>
        <w:t> </w:t>
      </w:r>
      <w:r>
        <w:rPr>
          <w:vertAlign w:val="baseline"/>
        </w:rPr>
        <w:t>importance</w:t>
      </w:r>
      <w:r>
        <w:rPr>
          <w:spacing w:val="-6"/>
          <w:vertAlign w:val="baseline"/>
        </w:rPr>
        <w:t> </w:t>
      </w:r>
      <w:r>
        <w:rPr>
          <w:vertAlign w:val="baseline"/>
        </w:rPr>
        <w:t>of</w:t>
      </w:r>
      <w:r>
        <w:rPr>
          <w:spacing w:val="-7"/>
          <w:vertAlign w:val="baseline"/>
        </w:rPr>
        <w:t> </w:t>
      </w:r>
      <w:r>
        <w:rPr>
          <w:vertAlign w:val="baseline"/>
        </w:rPr>
        <w:t>giving</w:t>
      </w:r>
      <w:r>
        <w:rPr>
          <w:spacing w:val="-6"/>
          <w:vertAlign w:val="baseline"/>
        </w:rPr>
        <w:t> </w:t>
      </w:r>
      <w:r>
        <w:rPr>
          <w:vertAlign w:val="baseline"/>
        </w:rPr>
        <w:t>effect</w:t>
      </w:r>
      <w:r>
        <w:rPr>
          <w:spacing w:val="-6"/>
          <w:vertAlign w:val="baseline"/>
        </w:rPr>
        <w:t> </w:t>
      </w:r>
      <w:r>
        <w:rPr>
          <w:vertAlign w:val="baseline"/>
        </w:rPr>
        <w:t>to</w:t>
      </w:r>
      <w:r>
        <w:rPr>
          <w:spacing w:val="-7"/>
          <w:vertAlign w:val="baseline"/>
        </w:rPr>
        <w:t> </w:t>
      </w:r>
      <w:r>
        <w:rPr>
          <w:vertAlign w:val="baseline"/>
        </w:rPr>
        <w:t>the</w:t>
      </w:r>
      <w:r>
        <w:rPr>
          <w:spacing w:val="-6"/>
          <w:vertAlign w:val="baseline"/>
        </w:rPr>
        <w:t> </w:t>
      </w:r>
      <w:r>
        <w:rPr>
          <w:vertAlign w:val="baseline"/>
        </w:rPr>
        <w:t>rights and freedoms in that Convention domestically.’</w:t>
      </w:r>
      <w:r>
        <w:rPr>
          <w:vertAlign w:val="superscript"/>
        </w:rPr>
        <w:t>168</w:t>
      </w:r>
      <w:r>
        <w:rPr>
          <w:vertAlign w:val="baseline"/>
        </w:rPr>
        <w:t> This part of the TCA can be terminated for any reason and, if so, such termination takes place nine months following notification of same; however if the reason for termination is because the UK or a Member State has denounced the Convention, then termination takes</w:t>
      </w:r>
      <w:r>
        <w:rPr>
          <w:spacing w:val="-5"/>
          <w:vertAlign w:val="baseline"/>
        </w:rPr>
        <w:t> </w:t>
      </w:r>
      <w:r>
        <w:rPr>
          <w:vertAlign w:val="baseline"/>
        </w:rPr>
        <w:t>place</w:t>
      </w:r>
      <w:r>
        <w:rPr>
          <w:spacing w:val="-4"/>
          <w:vertAlign w:val="baseline"/>
        </w:rPr>
        <w:t> </w:t>
      </w:r>
      <w:r>
        <w:rPr>
          <w:vertAlign w:val="baseline"/>
        </w:rPr>
        <w:t>either</w:t>
      </w:r>
      <w:r>
        <w:rPr>
          <w:spacing w:val="-4"/>
          <w:vertAlign w:val="baseline"/>
        </w:rPr>
        <w:t> </w:t>
      </w:r>
      <w:r>
        <w:rPr>
          <w:vertAlign w:val="baseline"/>
        </w:rPr>
        <w:t>upon</w:t>
      </w:r>
      <w:r>
        <w:rPr>
          <w:spacing w:val="-5"/>
          <w:vertAlign w:val="baseline"/>
        </w:rPr>
        <w:t> </w:t>
      </w:r>
      <w:r>
        <w:rPr>
          <w:vertAlign w:val="baseline"/>
        </w:rPr>
        <w:t>denunciation</w:t>
      </w:r>
      <w:r>
        <w:rPr>
          <w:spacing w:val="-5"/>
          <w:vertAlign w:val="baseline"/>
        </w:rPr>
        <w:t> </w:t>
      </w:r>
      <w:r>
        <w:rPr>
          <w:vertAlign w:val="baseline"/>
        </w:rPr>
        <w:t>taking</w:t>
      </w:r>
      <w:r>
        <w:rPr>
          <w:spacing w:val="-4"/>
          <w:vertAlign w:val="baseline"/>
        </w:rPr>
        <w:t> </w:t>
      </w:r>
      <w:r>
        <w:rPr>
          <w:vertAlign w:val="baseline"/>
        </w:rPr>
        <w:t>effect</w:t>
      </w:r>
      <w:r>
        <w:rPr>
          <w:spacing w:val="-4"/>
          <w:vertAlign w:val="baseline"/>
        </w:rPr>
        <w:t> </w:t>
      </w:r>
      <w:r>
        <w:rPr>
          <w:vertAlign w:val="baseline"/>
        </w:rPr>
        <w:t>or</w:t>
      </w:r>
      <w:r>
        <w:rPr>
          <w:spacing w:val="-4"/>
          <w:vertAlign w:val="baseline"/>
        </w:rPr>
        <w:t> </w:t>
      </w:r>
      <w:r>
        <w:rPr>
          <w:vertAlign w:val="baseline"/>
        </w:rPr>
        <w:t>15</w:t>
      </w:r>
      <w:r>
        <w:rPr>
          <w:spacing w:val="-4"/>
          <w:vertAlign w:val="baseline"/>
        </w:rPr>
        <w:t> </w:t>
      </w:r>
      <w:r>
        <w:rPr>
          <w:vertAlign w:val="baseline"/>
        </w:rPr>
        <w:t>days</w:t>
      </w:r>
      <w:r>
        <w:rPr>
          <w:spacing w:val="-5"/>
          <w:vertAlign w:val="baseline"/>
        </w:rPr>
        <w:t> </w:t>
      </w:r>
      <w:r>
        <w:rPr>
          <w:vertAlign w:val="baseline"/>
        </w:rPr>
        <w:t>after</w:t>
      </w:r>
      <w:r>
        <w:rPr>
          <w:spacing w:val="-4"/>
          <w:vertAlign w:val="baseline"/>
        </w:rPr>
        <w:t> </w:t>
      </w:r>
      <w:r>
        <w:rPr>
          <w:vertAlign w:val="baseline"/>
        </w:rPr>
        <w:t>notification</w:t>
      </w:r>
      <w:r>
        <w:rPr>
          <w:spacing w:val="-5"/>
          <w:vertAlign w:val="baseline"/>
        </w:rPr>
        <w:t> </w:t>
      </w:r>
      <w:r>
        <w:rPr>
          <w:vertAlign w:val="baseline"/>
        </w:rPr>
        <w:t>of </w:t>
      </w:r>
      <w:r>
        <w:rPr>
          <w:spacing w:val="-2"/>
          <w:vertAlign w:val="baseline"/>
        </w:rPr>
        <w:t>termination.</w:t>
      </w:r>
      <w:r>
        <w:rPr>
          <w:spacing w:val="-2"/>
          <w:vertAlign w:val="superscript"/>
        </w:rPr>
        <w:t>169</w:t>
      </w:r>
    </w:p>
    <w:p>
      <w:pPr>
        <w:pStyle w:val="BodyText"/>
        <w:spacing w:before="4"/>
        <w:rPr>
          <w:sz w:val="7"/>
        </w:rPr>
      </w:pPr>
      <w:r>
        <w:rPr/>
        <mc:AlternateContent>
          <mc:Choice Requires="wps">
            <w:drawing>
              <wp:anchor distT="0" distB="0" distL="0" distR="0" allowOverlap="1" layoutInCell="1" locked="0" behindDoc="1" simplePos="0" relativeHeight="487659008">
                <wp:simplePos x="0" y="0"/>
                <wp:positionH relativeFrom="page">
                  <wp:posOffset>647999</wp:posOffset>
                </wp:positionH>
                <wp:positionV relativeFrom="paragraph">
                  <wp:posOffset>72096</wp:posOffset>
                </wp:positionV>
                <wp:extent cx="6012180" cy="1270"/>
                <wp:effectExtent l="0" t="0" r="0" b="0"/>
                <wp:wrapTopAndBottom/>
                <wp:docPr id="387" name="Graphic 387"/>
                <wp:cNvGraphicFramePr>
                  <a:graphicFrameLocks/>
                </wp:cNvGraphicFramePr>
                <a:graphic>
                  <a:graphicData uri="http://schemas.microsoft.com/office/word/2010/wordprocessingShape">
                    <wps:wsp>
                      <wps:cNvPr id="387" name="Graphic 38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5.676918pt;width:473.4pt;height:.1pt;mso-position-horizontal-relative:page;mso-position-vertical-relative:paragraph;z-index:-15657472;mso-wrap-distance-left:0;mso-wrap-distance-right:0" id="docshape305" coordorigin="1020,114" coordsize="9468,0" path="m1020,114l10488,114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0" w:hanging="567"/>
        <w:jc w:val="left"/>
        <w:rPr>
          <w:sz w:val="18"/>
        </w:rPr>
      </w:pPr>
      <w:r>
        <w:rPr>
          <w:color w:val="1D71B8"/>
          <w:sz w:val="18"/>
          <w:u w:val="single" w:color="1D71B8"/>
        </w:rPr>
        <w:t>Belfast</w:t>
      </w:r>
      <w:r>
        <w:rPr>
          <w:color w:val="1D71B8"/>
          <w:spacing w:val="-7"/>
          <w:sz w:val="18"/>
          <w:u w:val="single" w:color="1D71B8"/>
        </w:rPr>
        <w:t> </w:t>
      </w:r>
      <w:r>
        <w:rPr>
          <w:color w:val="1D71B8"/>
          <w:sz w:val="18"/>
          <w:u w:val="single" w:color="1D71B8"/>
        </w:rPr>
        <w:t>Good</w:t>
      </w:r>
      <w:r>
        <w:rPr>
          <w:color w:val="1D71B8"/>
          <w:spacing w:val="-6"/>
          <w:sz w:val="18"/>
          <w:u w:val="single" w:color="1D71B8"/>
        </w:rPr>
        <w:t> </w:t>
      </w:r>
      <w:r>
        <w:rPr>
          <w:color w:val="1D71B8"/>
          <w:sz w:val="18"/>
          <w:u w:val="single" w:color="1D71B8"/>
        </w:rPr>
        <w:t>Friday</w:t>
      </w:r>
      <w:r>
        <w:rPr>
          <w:color w:val="1D71B8"/>
          <w:spacing w:val="-7"/>
          <w:sz w:val="18"/>
          <w:u w:val="single" w:color="1D71B8"/>
        </w:rPr>
        <w:t> </w:t>
      </w:r>
      <w:r>
        <w:rPr>
          <w:color w:val="1D71B8"/>
          <w:sz w:val="18"/>
          <w:u w:val="single" w:color="1D71B8"/>
        </w:rPr>
        <w:t>Agreement</w:t>
      </w:r>
      <w:r>
        <w:rPr>
          <w:color w:val="1D71B8"/>
          <w:spacing w:val="-6"/>
          <w:sz w:val="18"/>
          <w:u w:val="single" w:color="1D71B8"/>
        </w:rPr>
        <w:t> </w:t>
      </w:r>
      <w:r>
        <w:rPr>
          <w:color w:val="1D71B8"/>
          <w:sz w:val="18"/>
          <w:u w:val="single" w:color="1D71B8"/>
        </w:rPr>
        <w:t>1998</w:t>
      </w:r>
      <w:r>
        <w:rPr>
          <w:sz w:val="18"/>
          <w:u w:val="none"/>
        </w:rPr>
        <w:t>,</w:t>
      </w:r>
      <w:r>
        <w:rPr>
          <w:spacing w:val="-6"/>
          <w:sz w:val="18"/>
          <w:u w:val="none"/>
        </w:rPr>
        <w:t> </w:t>
      </w:r>
      <w:r>
        <w:rPr>
          <w:sz w:val="18"/>
          <w:u w:val="none"/>
        </w:rPr>
        <w:t>Strand</w:t>
      </w:r>
      <w:r>
        <w:rPr>
          <w:spacing w:val="-7"/>
          <w:sz w:val="18"/>
          <w:u w:val="none"/>
        </w:rPr>
        <w:t> </w:t>
      </w:r>
      <w:r>
        <w:rPr>
          <w:sz w:val="18"/>
          <w:u w:val="none"/>
        </w:rPr>
        <w:t>One</w:t>
      </w:r>
      <w:r>
        <w:rPr>
          <w:spacing w:val="-6"/>
          <w:sz w:val="18"/>
          <w:u w:val="none"/>
        </w:rPr>
        <w:t> </w:t>
      </w:r>
      <w:r>
        <w:rPr>
          <w:sz w:val="18"/>
          <w:u w:val="none"/>
        </w:rPr>
        <w:t>Democratic</w:t>
      </w:r>
      <w:r>
        <w:rPr>
          <w:spacing w:val="-6"/>
          <w:sz w:val="18"/>
          <w:u w:val="none"/>
        </w:rPr>
        <w:t> </w:t>
      </w:r>
      <w:r>
        <w:rPr>
          <w:sz w:val="18"/>
          <w:u w:val="none"/>
        </w:rPr>
        <w:t>Institutions</w:t>
      </w:r>
      <w:r>
        <w:rPr>
          <w:spacing w:val="-7"/>
          <w:sz w:val="18"/>
          <w:u w:val="none"/>
        </w:rPr>
        <w:t> </w:t>
      </w:r>
      <w:r>
        <w:rPr>
          <w:sz w:val="18"/>
          <w:u w:val="none"/>
        </w:rPr>
        <w:t>in</w:t>
      </w:r>
      <w:r>
        <w:rPr>
          <w:spacing w:val="-6"/>
          <w:sz w:val="18"/>
          <w:u w:val="none"/>
        </w:rPr>
        <w:t> </w:t>
      </w:r>
      <w:r>
        <w:rPr>
          <w:sz w:val="18"/>
          <w:u w:val="none"/>
        </w:rPr>
        <w:t>Northern</w:t>
      </w:r>
      <w:r>
        <w:rPr>
          <w:spacing w:val="-7"/>
          <w:sz w:val="18"/>
          <w:u w:val="none"/>
        </w:rPr>
        <w:t> </w:t>
      </w:r>
      <w:r>
        <w:rPr>
          <w:sz w:val="18"/>
          <w:u w:val="none"/>
        </w:rPr>
        <w:t>Ireland,</w:t>
      </w:r>
      <w:r>
        <w:rPr>
          <w:spacing w:val="-6"/>
          <w:sz w:val="18"/>
          <w:u w:val="none"/>
        </w:rPr>
        <w:t> </w:t>
      </w:r>
      <w:r>
        <w:rPr>
          <w:sz w:val="18"/>
          <w:u w:val="none"/>
        </w:rPr>
        <w:t>Safeguards,</w:t>
      </w:r>
      <w:r>
        <w:rPr>
          <w:spacing w:val="-6"/>
          <w:sz w:val="18"/>
          <w:u w:val="none"/>
        </w:rPr>
        <w:t> </w:t>
      </w:r>
      <w:r>
        <w:rPr>
          <w:spacing w:val="-5"/>
          <w:sz w:val="18"/>
          <w:u w:val="none"/>
        </w:rPr>
        <w:t>5.</w:t>
      </w:r>
    </w:p>
    <w:p>
      <w:pPr>
        <w:pStyle w:val="ListParagraph"/>
        <w:numPr>
          <w:ilvl w:val="0"/>
          <w:numId w:val="9"/>
        </w:numPr>
        <w:tabs>
          <w:tab w:pos="1287" w:val="left" w:leader="none"/>
        </w:tabs>
        <w:spacing w:line="240" w:lineRule="auto" w:before="1" w:after="0"/>
        <w:ind w:left="1287" w:right="0" w:hanging="567"/>
        <w:jc w:val="left"/>
        <w:rPr>
          <w:sz w:val="18"/>
        </w:rPr>
      </w:pPr>
      <w:r>
        <w:rPr>
          <w:sz w:val="18"/>
        </w:rPr>
        <w:t>Ibid.,</w:t>
      </w:r>
      <w:r>
        <w:rPr>
          <w:spacing w:val="-4"/>
          <w:sz w:val="18"/>
        </w:rPr>
        <w:t> </w:t>
      </w:r>
      <w:r>
        <w:rPr>
          <w:sz w:val="18"/>
        </w:rPr>
        <w:t>Safeguards,</w:t>
      </w:r>
      <w:r>
        <w:rPr>
          <w:spacing w:val="-4"/>
          <w:sz w:val="18"/>
        </w:rPr>
        <w:t> </w:t>
      </w:r>
      <w:r>
        <w:rPr>
          <w:sz w:val="18"/>
        </w:rPr>
        <w:t>5</w:t>
      </w:r>
      <w:r>
        <w:rPr>
          <w:spacing w:val="-4"/>
          <w:sz w:val="18"/>
        </w:rPr>
        <w:t> </w:t>
      </w:r>
      <w:r>
        <w:rPr>
          <w:sz w:val="18"/>
        </w:rPr>
        <w:t>and</w:t>
      </w:r>
      <w:r>
        <w:rPr>
          <w:spacing w:val="-5"/>
          <w:sz w:val="18"/>
        </w:rPr>
        <w:t> </w:t>
      </w:r>
      <w:r>
        <w:rPr>
          <w:sz w:val="18"/>
        </w:rPr>
        <w:t>Legislation,</w:t>
      </w:r>
      <w:r>
        <w:rPr>
          <w:spacing w:val="-4"/>
          <w:sz w:val="18"/>
        </w:rPr>
        <w:t> </w:t>
      </w:r>
      <w:r>
        <w:rPr>
          <w:spacing w:val="-5"/>
          <w:sz w:val="18"/>
        </w:rPr>
        <w:t>26.</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6"/>
          <w:sz w:val="18"/>
        </w:rPr>
        <w:t> </w:t>
      </w:r>
      <w:r>
        <w:rPr>
          <w:sz w:val="18"/>
        </w:rPr>
        <w:t>Operation</w:t>
      </w:r>
      <w:r>
        <w:rPr>
          <w:spacing w:val="-6"/>
          <w:sz w:val="18"/>
        </w:rPr>
        <w:t> </w:t>
      </w:r>
      <w:r>
        <w:rPr>
          <w:sz w:val="18"/>
        </w:rPr>
        <w:t>of</w:t>
      </w:r>
      <w:r>
        <w:rPr>
          <w:spacing w:val="-6"/>
          <w:sz w:val="18"/>
        </w:rPr>
        <w:t> </w:t>
      </w:r>
      <w:r>
        <w:rPr>
          <w:sz w:val="18"/>
        </w:rPr>
        <w:t>the</w:t>
      </w:r>
      <w:r>
        <w:rPr>
          <w:spacing w:val="-5"/>
          <w:sz w:val="18"/>
        </w:rPr>
        <w:t> </w:t>
      </w:r>
      <w:r>
        <w:rPr>
          <w:sz w:val="18"/>
        </w:rPr>
        <w:t>Assembly,</w:t>
      </w:r>
      <w:r>
        <w:rPr>
          <w:spacing w:val="-5"/>
          <w:sz w:val="18"/>
        </w:rPr>
        <w:t> 11</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4"/>
          <w:sz w:val="18"/>
        </w:rPr>
        <w:t> </w:t>
      </w:r>
      <w:r>
        <w:rPr>
          <w:sz w:val="18"/>
        </w:rPr>
        <w:t>United</w:t>
      </w:r>
      <w:r>
        <w:rPr>
          <w:spacing w:val="-5"/>
          <w:sz w:val="18"/>
        </w:rPr>
        <w:t> </w:t>
      </w:r>
      <w:r>
        <w:rPr>
          <w:sz w:val="18"/>
        </w:rPr>
        <w:t>Kingdom</w:t>
      </w:r>
      <w:r>
        <w:rPr>
          <w:spacing w:val="-4"/>
          <w:sz w:val="18"/>
        </w:rPr>
        <w:t> </w:t>
      </w:r>
      <w:r>
        <w:rPr>
          <w:sz w:val="18"/>
        </w:rPr>
        <w:t>legislation,</w:t>
      </w:r>
      <w:r>
        <w:rPr>
          <w:spacing w:val="-4"/>
          <w:sz w:val="18"/>
        </w:rPr>
        <w:t> </w:t>
      </w:r>
      <w:r>
        <w:rPr>
          <w:spacing w:val="-5"/>
          <w:sz w:val="18"/>
        </w:rPr>
        <w:t>1.</w:t>
      </w:r>
    </w:p>
    <w:p>
      <w:pPr>
        <w:pStyle w:val="ListParagraph"/>
        <w:numPr>
          <w:ilvl w:val="0"/>
          <w:numId w:val="9"/>
        </w:numPr>
        <w:tabs>
          <w:tab w:pos="1287" w:val="left" w:leader="none"/>
        </w:tabs>
        <w:spacing w:line="240" w:lineRule="auto" w:before="0" w:after="0"/>
        <w:ind w:left="1287" w:right="1618" w:hanging="567"/>
        <w:jc w:val="left"/>
        <w:rPr>
          <w:sz w:val="18"/>
        </w:rPr>
      </w:pPr>
      <w:r>
        <w:rPr>
          <w:sz w:val="18"/>
        </w:rPr>
        <w:t>NIHRC,</w:t>
      </w:r>
      <w:r>
        <w:rPr>
          <w:spacing w:val="-4"/>
          <w:sz w:val="18"/>
        </w:rPr>
        <w:t> </w:t>
      </w:r>
      <w:r>
        <w:rPr>
          <w:color w:val="1D71B8"/>
          <w:sz w:val="18"/>
          <w:u w:val="single" w:color="1D71B8"/>
        </w:rPr>
        <w:t>Response</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UK</w:t>
      </w:r>
      <w:r>
        <w:rPr>
          <w:color w:val="1D71B8"/>
          <w:spacing w:val="-4"/>
          <w:sz w:val="18"/>
          <w:u w:val="single" w:color="1D71B8"/>
        </w:rPr>
        <w:t> </w:t>
      </w:r>
      <w:r>
        <w:rPr>
          <w:color w:val="1D71B8"/>
          <w:sz w:val="18"/>
          <w:u w:val="single" w:color="1D71B8"/>
        </w:rPr>
        <w:t>Joint</w:t>
      </w:r>
      <w:r>
        <w:rPr>
          <w:color w:val="1D71B8"/>
          <w:spacing w:val="-4"/>
          <w:sz w:val="18"/>
          <w:u w:val="single" w:color="1D71B8"/>
        </w:rPr>
        <w:t> </w:t>
      </w:r>
      <w:r>
        <w:rPr>
          <w:color w:val="1D71B8"/>
          <w:sz w:val="18"/>
          <w:u w:val="single" w:color="1D71B8"/>
        </w:rPr>
        <w:t>Committee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call</w:t>
      </w:r>
      <w:r>
        <w:rPr>
          <w:color w:val="1D71B8"/>
          <w:spacing w:val="-5"/>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evidence</w:t>
      </w:r>
      <w:r>
        <w:rPr>
          <w:color w:val="1D71B8"/>
          <w:spacing w:val="-4"/>
          <w:sz w:val="18"/>
          <w:u w:val="single" w:color="1D71B8"/>
        </w:rPr>
        <w:t> </w:t>
      </w:r>
      <w:r>
        <w:rPr>
          <w:color w:val="1D71B8"/>
          <w:sz w:val="18"/>
          <w:u w:val="single" w:color="1D71B8"/>
        </w:rPr>
        <w:t>Legislative</w:t>
      </w:r>
      <w:r>
        <w:rPr>
          <w:color w:val="1D71B8"/>
          <w:spacing w:val="-4"/>
          <w:sz w:val="18"/>
          <w:u w:val="single" w:color="1D71B8"/>
        </w:rPr>
        <w:t> </w:t>
      </w:r>
      <w:r>
        <w:rPr>
          <w:color w:val="1D71B8"/>
          <w:sz w:val="18"/>
          <w:u w:val="single" w:color="1D71B8"/>
        </w:rPr>
        <w:t>Scrutiny:</w:t>
      </w:r>
      <w:r>
        <w:rPr>
          <w:color w:val="1D71B8"/>
          <w:spacing w:val="-4"/>
          <w:sz w:val="18"/>
          <w:u w:val="single" w:color="1D71B8"/>
        </w:rPr>
        <w:t> </w:t>
      </w:r>
      <w:r>
        <w:rPr>
          <w:color w:val="1D71B8"/>
          <w:sz w:val="18"/>
          <w:u w:val="single" w:color="1D71B8"/>
        </w:rPr>
        <w:t>Bill</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Bill</w:t>
      </w:r>
      <w:r>
        <w:rPr>
          <w:color w:val="1D71B8"/>
          <w:sz w:val="18"/>
          <w:u w:val="none"/>
        </w:rPr>
        <w:t> </w:t>
      </w:r>
      <w:r>
        <w:rPr>
          <w:sz w:val="18"/>
          <w:u w:val="none"/>
        </w:rPr>
        <w:t>(2022)</w:t>
      </w:r>
      <w:r>
        <w:rPr>
          <w:spacing w:val="-2"/>
          <w:sz w:val="18"/>
          <w:u w:val="none"/>
        </w:rPr>
        <w:t> </w:t>
      </w:r>
      <w:r>
        <w:rPr>
          <w:sz w:val="18"/>
          <w:u w:val="none"/>
        </w:rPr>
        <w:t>26.</w:t>
      </w:r>
    </w:p>
    <w:p>
      <w:pPr>
        <w:pStyle w:val="ListParagraph"/>
        <w:numPr>
          <w:ilvl w:val="0"/>
          <w:numId w:val="9"/>
        </w:numPr>
        <w:tabs>
          <w:tab w:pos="1287" w:val="left" w:leader="none"/>
        </w:tabs>
        <w:spacing w:line="240" w:lineRule="auto" w:before="1" w:after="0"/>
        <w:ind w:left="1287" w:right="1484" w:hanging="567"/>
        <w:jc w:val="left"/>
        <w:rPr>
          <w:sz w:val="18"/>
        </w:rPr>
      </w:pPr>
      <w:r>
        <w:rPr>
          <w:sz w:val="18"/>
        </w:rPr>
        <w:t>CRG</w:t>
      </w:r>
      <w:r>
        <w:rPr>
          <w:spacing w:val="-4"/>
          <w:sz w:val="18"/>
        </w:rPr>
        <w:t> </w:t>
      </w:r>
      <w:r>
        <w:rPr>
          <w:sz w:val="18"/>
        </w:rPr>
        <w:t>Murray,</w:t>
      </w:r>
      <w:r>
        <w:rPr>
          <w:spacing w:val="-4"/>
          <w:sz w:val="18"/>
        </w:rPr>
        <w:t> </w:t>
      </w:r>
      <w:r>
        <w:rPr>
          <w:sz w:val="18"/>
        </w:rPr>
        <w:t>Aoife</w:t>
      </w:r>
      <w:r>
        <w:rPr>
          <w:spacing w:val="-4"/>
          <w:sz w:val="18"/>
        </w:rPr>
        <w:t> </w:t>
      </w:r>
      <w:r>
        <w:rPr>
          <w:sz w:val="18"/>
        </w:rPr>
        <w:t>O’Donoghue</w:t>
      </w:r>
      <w:r>
        <w:rPr>
          <w:spacing w:val="-4"/>
          <w:sz w:val="18"/>
        </w:rPr>
        <w:t> </w:t>
      </w:r>
      <w:r>
        <w:rPr>
          <w:sz w:val="18"/>
        </w:rPr>
        <w:t>and</w:t>
      </w:r>
      <w:r>
        <w:rPr>
          <w:spacing w:val="-5"/>
          <w:sz w:val="18"/>
        </w:rPr>
        <w:t> </w:t>
      </w:r>
      <w:r>
        <w:rPr>
          <w:sz w:val="18"/>
        </w:rPr>
        <w:t>Ben</w:t>
      </w:r>
      <w:r>
        <w:rPr>
          <w:spacing w:val="-5"/>
          <w:sz w:val="18"/>
        </w:rPr>
        <w:t> </w:t>
      </w:r>
      <w:r>
        <w:rPr>
          <w:sz w:val="18"/>
        </w:rPr>
        <w:t>TC</w:t>
      </w:r>
      <w:r>
        <w:rPr>
          <w:spacing w:val="-5"/>
          <w:sz w:val="18"/>
        </w:rPr>
        <w:t> </w:t>
      </w:r>
      <w:r>
        <w:rPr>
          <w:sz w:val="18"/>
        </w:rPr>
        <w:t>Warwick,</w:t>
      </w:r>
      <w:r>
        <w:rPr>
          <w:spacing w:val="-4"/>
          <w:sz w:val="18"/>
        </w:rPr>
        <w:t> </w:t>
      </w:r>
      <w:r>
        <w:rPr>
          <w:sz w:val="18"/>
        </w:rPr>
        <w:t>‘The</w:t>
      </w:r>
      <w:r>
        <w:rPr>
          <w:spacing w:val="-4"/>
          <w:sz w:val="18"/>
        </w:rPr>
        <w:t> </w:t>
      </w:r>
      <w:r>
        <w:rPr>
          <w:sz w:val="18"/>
        </w:rPr>
        <w:t>Implications</w:t>
      </w:r>
      <w:r>
        <w:rPr>
          <w:spacing w:val="-5"/>
          <w:sz w:val="18"/>
        </w:rPr>
        <w:t> </w:t>
      </w:r>
      <w:r>
        <w:rPr>
          <w:sz w:val="18"/>
        </w:rPr>
        <w:t>of</w:t>
      </w:r>
      <w:r>
        <w:rPr>
          <w:spacing w:val="-5"/>
          <w:sz w:val="18"/>
        </w:rPr>
        <w:t> </w:t>
      </w:r>
      <w:r>
        <w:rPr>
          <w:sz w:val="18"/>
        </w:rPr>
        <w:t>the</w:t>
      </w:r>
      <w:r>
        <w:rPr>
          <w:spacing w:val="-4"/>
          <w:sz w:val="18"/>
        </w:rPr>
        <w:t> </w:t>
      </w:r>
      <w:r>
        <w:rPr>
          <w:sz w:val="18"/>
        </w:rPr>
        <w:t>Good</w:t>
      </w:r>
      <w:r>
        <w:rPr>
          <w:spacing w:val="-5"/>
          <w:sz w:val="18"/>
        </w:rPr>
        <w:t> </w:t>
      </w:r>
      <w:r>
        <w:rPr>
          <w:sz w:val="18"/>
        </w:rPr>
        <w:t>Friday</w:t>
      </w:r>
      <w:r>
        <w:rPr>
          <w:spacing w:val="-4"/>
          <w:sz w:val="18"/>
        </w:rPr>
        <w:t> </w:t>
      </w:r>
      <w:r>
        <w:rPr>
          <w:sz w:val="18"/>
        </w:rPr>
        <w:t>Agreement</w:t>
      </w:r>
      <w:r>
        <w:rPr>
          <w:spacing w:val="-4"/>
          <w:sz w:val="18"/>
        </w:rPr>
        <w:t> </w:t>
      </w:r>
      <w:r>
        <w:rPr>
          <w:sz w:val="18"/>
        </w:rPr>
        <w:t>for</w:t>
      </w:r>
      <w:r>
        <w:rPr>
          <w:spacing w:val="-4"/>
          <w:sz w:val="18"/>
        </w:rPr>
        <w:t> </w:t>
      </w:r>
      <w:r>
        <w:rPr>
          <w:sz w:val="18"/>
        </w:rPr>
        <w:t>UK</w:t>
      </w:r>
      <w:r>
        <w:rPr>
          <w:spacing w:val="-4"/>
          <w:sz w:val="18"/>
        </w:rPr>
        <w:t> </w:t>
      </w:r>
      <w:r>
        <w:rPr>
          <w:sz w:val="18"/>
        </w:rPr>
        <w:t>Human- Rights Reform’ (2017) Irish Yearbook of International Law (2017); </w:t>
      </w:r>
      <w:hyperlink r:id="rId57">
        <w:r>
          <w:rPr>
            <w:color w:val="1D71B8"/>
            <w:sz w:val="18"/>
            <w:u w:val="single" w:color="1D71B8"/>
          </w:rPr>
          <w:t>open access version</w:t>
        </w:r>
      </w:hyperlink>
      <w:r>
        <w:rPr>
          <w:sz w:val="18"/>
          <w:u w:val="none"/>
        </w:rPr>
        <w:t>.</w:t>
      </w:r>
    </w:p>
    <w:p>
      <w:pPr>
        <w:pStyle w:val="ListParagraph"/>
        <w:numPr>
          <w:ilvl w:val="0"/>
          <w:numId w:val="9"/>
        </w:numPr>
        <w:tabs>
          <w:tab w:pos="1287" w:val="left" w:leader="none"/>
        </w:tabs>
        <w:spacing w:line="240" w:lineRule="auto" w:before="1" w:after="0"/>
        <w:ind w:left="1287" w:right="0" w:hanging="567"/>
        <w:jc w:val="left"/>
        <w:rPr>
          <w:sz w:val="18"/>
        </w:rPr>
      </w:pPr>
      <w:r>
        <w:rPr>
          <w:sz w:val="18"/>
        </w:rPr>
        <w:t>The</w:t>
      </w:r>
      <w:r>
        <w:rPr>
          <w:spacing w:val="-7"/>
          <w:sz w:val="18"/>
        </w:rPr>
        <w:t> </w:t>
      </w:r>
      <w:r>
        <w:rPr>
          <w:color w:val="1D71B8"/>
          <w:sz w:val="18"/>
          <w:u w:val="single" w:color="1D71B8"/>
        </w:rPr>
        <w:t>European</w:t>
      </w:r>
      <w:r>
        <w:rPr>
          <w:color w:val="1D71B8"/>
          <w:spacing w:val="-7"/>
          <w:sz w:val="18"/>
          <w:u w:val="single" w:color="1D71B8"/>
        </w:rPr>
        <w:t> </w:t>
      </w:r>
      <w:r>
        <w:rPr>
          <w:color w:val="1D71B8"/>
          <w:sz w:val="18"/>
          <w:u w:val="single" w:color="1D71B8"/>
        </w:rPr>
        <w:t>Union</w:t>
      </w:r>
      <w:r>
        <w:rPr>
          <w:color w:val="1D71B8"/>
          <w:spacing w:val="-6"/>
          <w:sz w:val="18"/>
          <w:u w:val="single" w:color="1D71B8"/>
        </w:rPr>
        <w:t> </w:t>
      </w:r>
      <w:r>
        <w:rPr>
          <w:color w:val="1D71B8"/>
          <w:sz w:val="18"/>
          <w:u w:val="single" w:color="1D71B8"/>
        </w:rPr>
        <w:t>(Future</w:t>
      </w:r>
      <w:r>
        <w:rPr>
          <w:color w:val="1D71B8"/>
          <w:spacing w:val="-6"/>
          <w:sz w:val="18"/>
          <w:u w:val="single" w:color="1D71B8"/>
        </w:rPr>
        <w:t> </w:t>
      </w:r>
      <w:r>
        <w:rPr>
          <w:color w:val="1D71B8"/>
          <w:sz w:val="18"/>
          <w:u w:val="single" w:color="1D71B8"/>
        </w:rPr>
        <w:t>Relationship)</w:t>
      </w:r>
      <w:r>
        <w:rPr>
          <w:color w:val="1D71B8"/>
          <w:spacing w:val="-7"/>
          <w:sz w:val="18"/>
          <w:u w:val="single" w:color="1D71B8"/>
        </w:rPr>
        <w:t> </w:t>
      </w:r>
      <w:r>
        <w:rPr>
          <w:color w:val="1D71B8"/>
          <w:sz w:val="18"/>
          <w:u w:val="single" w:color="1D71B8"/>
        </w:rPr>
        <w:t>Act</w:t>
      </w:r>
      <w:r>
        <w:rPr>
          <w:color w:val="1D71B8"/>
          <w:spacing w:val="-5"/>
          <w:sz w:val="18"/>
          <w:u w:val="single" w:color="1D71B8"/>
        </w:rPr>
        <w:t> </w:t>
      </w:r>
      <w:r>
        <w:rPr>
          <w:color w:val="1D71B8"/>
          <w:sz w:val="18"/>
          <w:u w:val="single" w:color="1D71B8"/>
        </w:rPr>
        <w:t>2020</w:t>
      </w:r>
      <w:r>
        <w:rPr>
          <w:color w:val="1D71B8"/>
          <w:spacing w:val="-7"/>
          <w:sz w:val="18"/>
          <w:u w:val="none"/>
        </w:rPr>
        <w:t> </w:t>
      </w:r>
      <w:r>
        <w:rPr>
          <w:sz w:val="18"/>
          <w:u w:val="none"/>
        </w:rPr>
        <w:t>gives</w:t>
      </w:r>
      <w:r>
        <w:rPr>
          <w:spacing w:val="-6"/>
          <w:sz w:val="18"/>
          <w:u w:val="none"/>
        </w:rPr>
        <w:t> </w:t>
      </w:r>
      <w:r>
        <w:rPr>
          <w:sz w:val="18"/>
          <w:u w:val="none"/>
        </w:rPr>
        <w:t>effect</w:t>
      </w:r>
      <w:r>
        <w:rPr>
          <w:spacing w:val="-6"/>
          <w:sz w:val="18"/>
          <w:u w:val="none"/>
        </w:rPr>
        <w:t> </w:t>
      </w:r>
      <w:r>
        <w:rPr>
          <w:sz w:val="18"/>
          <w:u w:val="none"/>
        </w:rPr>
        <w:t>to</w:t>
      </w:r>
      <w:r>
        <w:rPr>
          <w:spacing w:val="-7"/>
          <w:sz w:val="18"/>
          <w:u w:val="none"/>
        </w:rPr>
        <w:t> </w:t>
      </w:r>
      <w:r>
        <w:rPr>
          <w:sz w:val="18"/>
          <w:u w:val="none"/>
        </w:rPr>
        <w:t>the</w:t>
      </w:r>
      <w:r>
        <w:rPr>
          <w:spacing w:val="-6"/>
          <w:sz w:val="18"/>
          <w:u w:val="none"/>
        </w:rPr>
        <w:t> </w:t>
      </w:r>
      <w:r>
        <w:rPr>
          <w:sz w:val="18"/>
          <w:u w:val="none"/>
        </w:rPr>
        <w:t>Trade</w:t>
      </w:r>
      <w:r>
        <w:rPr>
          <w:spacing w:val="-5"/>
          <w:sz w:val="18"/>
          <w:u w:val="none"/>
        </w:rPr>
        <w:t> </w:t>
      </w:r>
      <w:r>
        <w:rPr>
          <w:sz w:val="18"/>
          <w:u w:val="none"/>
        </w:rPr>
        <w:t>and</w:t>
      </w:r>
      <w:r>
        <w:rPr>
          <w:spacing w:val="-7"/>
          <w:sz w:val="18"/>
          <w:u w:val="none"/>
        </w:rPr>
        <w:t> </w:t>
      </w:r>
      <w:r>
        <w:rPr>
          <w:sz w:val="18"/>
          <w:u w:val="none"/>
        </w:rPr>
        <w:t>Cooperation</w:t>
      </w:r>
      <w:r>
        <w:rPr>
          <w:spacing w:val="-6"/>
          <w:sz w:val="18"/>
          <w:u w:val="none"/>
        </w:rPr>
        <w:t> </w:t>
      </w:r>
      <w:r>
        <w:rPr>
          <w:spacing w:val="-2"/>
          <w:sz w:val="18"/>
          <w:u w:val="none"/>
        </w:rPr>
        <w:t>agreement.</w:t>
      </w:r>
    </w:p>
    <w:p>
      <w:pPr>
        <w:pStyle w:val="ListParagraph"/>
        <w:numPr>
          <w:ilvl w:val="0"/>
          <w:numId w:val="9"/>
        </w:numPr>
        <w:tabs>
          <w:tab w:pos="1287" w:val="left" w:leader="none"/>
        </w:tabs>
        <w:spacing w:line="240" w:lineRule="auto" w:before="0" w:after="0"/>
        <w:ind w:left="1287" w:right="0" w:hanging="567"/>
        <w:jc w:val="left"/>
        <w:rPr>
          <w:sz w:val="18"/>
        </w:rPr>
      </w:pPr>
      <w:r>
        <w:rPr>
          <w:color w:val="1D71B8"/>
          <w:sz w:val="18"/>
          <w:u w:val="single" w:color="1D71B8"/>
        </w:rPr>
        <w:t>Trade</w:t>
      </w:r>
      <w:r>
        <w:rPr>
          <w:color w:val="1D71B8"/>
          <w:spacing w:val="-11"/>
          <w:sz w:val="18"/>
          <w:u w:val="single" w:color="1D71B8"/>
        </w:rPr>
        <w:t> </w:t>
      </w:r>
      <w:r>
        <w:rPr>
          <w:color w:val="1D71B8"/>
          <w:sz w:val="18"/>
          <w:u w:val="single" w:color="1D71B8"/>
        </w:rPr>
        <w:t>and</w:t>
      </w:r>
      <w:r>
        <w:rPr>
          <w:color w:val="1D71B8"/>
          <w:spacing w:val="-9"/>
          <w:sz w:val="18"/>
          <w:u w:val="single" w:color="1D71B8"/>
        </w:rPr>
        <w:t> </w:t>
      </w:r>
      <w:r>
        <w:rPr>
          <w:color w:val="1D71B8"/>
          <w:sz w:val="18"/>
          <w:u w:val="single" w:color="1D71B8"/>
        </w:rPr>
        <w:t>Cooperation</w:t>
      </w:r>
      <w:r>
        <w:rPr>
          <w:color w:val="1D71B8"/>
          <w:spacing w:val="-11"/>
          <w:sz w:val="18"/>
          <w:u w:val="single" w:color="1D71B8"/>
        </w:rPr>
        <w:t> </w:t>
      </w:r>
      <w:r>
        <w:rPr>
          <w:color w:val="1D71B8"/>
          <w:sz w:val="18"/>
          <w:u w:val="single" w:color="1D71B8"/>
        </w:rPr>
        <w:t>Agreement</w:t>
      </w:r>
      <w:r>
        <w:rPr>
          <w:sz w:val="18"/>
          <w:u w:val="none"/>
        </w:rPr>
        <w:t>,</w:t>
      </w:r>
      <w:r>
        <w:rPr>
          <w:spacing w:val="-9"/>
          <w:sz w:val="18"/>
          <w:u w:val="none"/>
        </w:rPr>
        <w:t> </w:t>
      </w:r>
      <w:r>
        <w:rPr>
          <w:spacing w:val="-2"/>
          <w:sz w:val="18"/>
          <w:u w:val="none"/>
        </w:rPr>
        <w:t>Preamble.</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4"/>
          <w:sz w:val="18"/>
        </w:rPr>
        <w:t> </w:t>
      </w:r>
      <w:r>
        <w:rPr>
          <w:sz w:val="18"/>
        </w:rPr>
        <w:t>articles</w:t>
      </w:r>
      <w:r>
        <w:rPr>
          <w:spacing w:val="-5"/>
          <w:sz w:val="18"/>
        </w:rPr>
        <w:t> </w:t>
      </w:r>
      <w:r>
        <w:rPr>
          <w:sz w:val="18"/>
        </w:rPr>
        <w:t>13</w:t>
      </w:r>
      <w:r>
        <w:rPr>
          <w:spacing w:val="-3"/>
          <w:sz w:val="18"/>
        </w:rPr>
        <w:t> </w:t>
      </w:r>
      <w:r>
        <w:rPr>
          <w:sz w:val="18"/>
        </w:rPr>
        <w:t>and</w:t>
      </w:r>
      <w:r>
        <w:rPr>
          <w:spacing w:val="-5"/>
          <w:sz w:val="18"/>
        </w:rPr>
        <w:t> 14.</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7"/>
          <w:sz w:val="18"/>
        </w:rPr>
        <w:t> </w:t>
      </w:r>
      <w:r>
        <w:rPr>
          <w:sz w:val="18"/>
        </w:rPr>
        <w:t>articles</w:t>
      </w:r>
      <w:r>
        <w:rPr>
          <w:spacing w:val="-7"/>
          <w:sz w:val="18"/>
        </w:rPr>
        <w:t> </w:t>
      </w:r>
      <w:r>
        <w:rPr>
          <w:spacing w:val="-2"/>
          <w:sz w:val="18"/>
        </w:rPr>
        <w:t>524(1).</w:t>
      </w:r>
    </w:p>
    <w:p>
      <w:pPr>
        <w:pStyle w:val="ListParagraph"/>
        <w:numPr>
          <w:ilvl w:val="0"/>
          <w:numId w:val="9"/>
        </w:numPr>
        <w:tabs>
          <w:tab w:pos="1287" w:val="left" w:leader="none"/>
        </w:tabs>
        <w:spacing w:line="240" w:lineRule="auto" w:before="1" w:after="0"/>
        <w:ind w:left="1287" w:right="0" w:hanging="567"/>
        <w:jc w:val="left"/>
        <w:rPr>
          <w:sz w:val="18"/>
        </w:rPr>
      </w:pPr>
      <w:r>
        <w:rPr>
          <w:sz w:val="18"/>
        </w:rPr>
        <w:t>Ibid.,</w:t>
      </w:r>
      <w:r>
        <w:rPr>
          <w:spacing w:val="-7"/>
          <w:sz w:val="18"/>
        </w:rPr>
        <w:t> </w:t>
      </w:r>
      <w:r>
        <w:rPr>
          <w:sz w:val="18"/>
        </w:rPr>
        <w:t>articles</w:t>
      </w:r>
      <w:r>
        <w:rPr>
          <w:spacing w:val="-7"/>
          <w:sz w:val="18"/>
        </w:rPr>
        <w:t> </w:t>
      </w:r>
      <w:r>
        <w:rPr>
          <w:spacing w:val="-4"/>
          <w:sz w:val="18"/>
        </w:rPr>
        <w:t>692.</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01344">
                <wp:simplePos x="0" y="0"/>
                <wp:positionH relativeFrom="page">
                  <wp:posOffset>-2</wp:posOffset>
                </wp:positionH>
                <wp:positionV relativeFrom="page">
                  <wp:posOffset>0</wp:posOffset>
                </wp:positionV>
                <wp:extent cx="7560309" cy="1994535"/>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7560309" cy="1994535"/>
                          <a:chExt cx="7560309" cy="1994535"/>
                        </a:xfrm>
                      </wpg:grpSpPr>
                      <wps:wsp>
                        <wps:cNvPr id="389" name="Graphic 389"/>
                        <wps:cNvSpPr/>
                        <wps:spPr>
                          <a:xfrm>
                            <a:off x="899996" y="972002"/>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390" name="Graphic 39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391" name="Graphic 39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392" name="Textbox 392"/>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393" name="Textbox 393"/>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37</w:t>
                              </w:r>
                            </w:p>
                          </w:txbxContent>
                        </wps:txbx>
                        <wps:bodyPr wrap="square" lIns="0" tIns="0" rIns="0" bIns="0" rtlCol="0">
                          <a:noAutofit/>
                        </wps:bodyPr>
                      </wps:wsp>
                      <wps:wsp>
                        <wps:cNvPr id="394" name="Textbox 394"/>
                        <wps:cNvSpPr txBox="1"/>
                        <wps:spPr>
                          <a:xfrm>
                            <a:off x="1116002" y="1080003"/>
                            <a:ext cx="5588000" cy="80645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5"/>
                                  <w:sz w:val="28"/>
                                </w:rPr>
                                <w:t> </w:t>
                              </w:r>
                              <w:r>
                                <w:rPr>
                                  <w:b/>
                                  <w:color w:val="164194"/>
                                  <w:sz w:val="28"/>
                                </w:rPr>
                                <w:t>that</w:t>
                              </w:r>
                              <w:r>
                                <w:rPr>
                                  <w:b/>
                                  <w:color w:val="164194"/>
                                  <w:spacing w:val="-6"/>
                                  <w:sz w:val="28"/>
                                </w:rPr>
                                <w:t> </w:t>
                              </w:r>
                              <w:r>
                                <w:rPr>
                                  <w:b/>
                                  <w:color w:val="164194"/>
                                  <w:sz w:val="28"/>
                                </w:rPr>
                                <w:t>the</w:t>
                              </w:r>
                              <w:r>
                                <w:rPr>
                                  <w:b/>
                                  <w:color w:val="164194"/>
                                  <w:spacing w:val="-6"/>
                                  <w:sz w:val="28"/>
                                </w:rPr>
                                <w:t> </w:t>
                              </w:r>
                              <w:r>
                                <w:rPr>
                                  <w:b/>
                                  <w:color w:val="164194"/>
                                  <w:sz w:val="28"/>
                                </w:rPr>
                                <w:t>UK</w:t>
                              </w:r>
                              <w:r>
                                <w:rPr>
                                  <w:b/>
                                  <w:color w:val="164194"/>
                                  <w:spacing w:val="-6"/>
                                  <w:sz w:val="28"/>
                                </w:rPr>
                                <w:t> </w:t>
                              </w:r>
                              <w:r>
                                <w:rPr>
                                  <w:b/>
                                  <w:color w:val="164194"/>
                                  <w:sz w:val="28"/>
                                </w:rPr>
                                <w:t>Government</w:t>
                              </w:r>
                              <w:r>
                                <w:rPr>
                                  <w:b/>
                                  <w:color w:val="164194"/>
                                  <w:spacing w:val="-6"/>
                                  <w:sz w:val="28"/>
                                </w:rPr>
                                <w:t> </w:t>
                              </w:r>
                              <w:r>
                                <w:rPr>
                                  <w:b/>
                                  <w:color w:val="164194"/>
                                  <w:sz w:val="28"/>
                                </w:rPr>
                                <w:t>introduce</w:t>
                              </w:r>
                              <w:r>
                                <w:rPr>
                                  <w:b/>
                                  <w:color w:val="164194"/>
                                  <w:spacing w:val="-6"/>
                                  <w:sz w:val="28"/>
                                </w:rPr>
                                <w:t> </w:t>
                              </w:r>
                              <w:r>
                                <w:rPr>
                                  <w:b/>
                                  <w:color w:val="164194"/>
                                  <w:sz w:val="28"/>
                                </w:rPr>
                                <w:t>amendments</w:t>
                              </w:r>
                              <w:r>
                                <w:rPr>
                                  <w:b/>
                                  <w:color w:val="164194"/>
                                  <w:spacing w:val="-5"/>
                                  <w:sz w:val="28"/>
                                </w:rPr>
                                <w:t> </w:t>
                              </w:r>
                              <w:r>
                                <w:rPr>
                                  <w:b/>
                                  <w:color w:val="164194"/>
                                  <w:spacing w:val="-4"/>
                                  <w:sz w:val="28"/>
                                </w:rPr>
                                <w:t>into</w:t>
                              </w:r>
                            </w:p>
                            <w:p>
                              <w:pPr>
                                <w:spacing w:line="232" w:lineRule="auto" w:before="0"/>
                                <w:ind w:left="0" w:right="0" w:firstLine="0"/>
                                <w:jc w:val="left"/>
                                <w:rPr>
                                  <w:b/>
                                  <w:sz w:val="28"/>
                                </w:rPr>
                              </w:pPr>
                              <w:r>
                                <w:rPr>
                                  <w:b/>
                                  <w:color w:val="164194"/>
                                  <w:sz w:val="28"/>
                                </w:rPr>
                                <w:t>Parliament to amend any enacted legislation that has included provisions limiting</w:t>
                              </w:r>
                              <w:r>
                                <w:rPr>
                                  <w:b/>
                                  <w:color w:val="164194"/>
                                  <w:spacing w:val="-6"/>
                                  <w:sz w:val="28"/>
                                </w:rPr>
                                <w:t> </w:t>
                              </w:r>
                              <w:r>
                                <w:rPr>
                                  <w:b/>
                                  <w:color w:val="164194"/>
                                  <w:sz w:val="28"/>
                                </w:rPr>
                                <w:t>the</w:t>
                              </w:r>
                              <w:r>
                                <w:rPr>
                                  <w:b/>
                                  <w:color w:val="164194"/>
                                  <w:spacing w:val="-6"/>
                                  <w:sz w:val="28"/>
                                </w:rPr>
                                <w:t> </w:t>
                              </w:r>
                              <w:r>
                                <w:rPr>
                                  <w:b/>
                                  <w:color w:val="164194"/>
                                  <w:sz w:val="28"/>
                                </w:rPr>
                                <w:t>application</w:t>
                              </w:r>
                              <w:r>
                                <w:rPr>
                                  <w:b/>
                                  <w:color w:val="164194"/>
                                  <w:spacing w:val="-5"/>
                                  <w:sz w:val="28"/>
                                </w:rPr>
                                <w:t> </w:t>
                              </w:r>
                              <w:r>
                                <w:rPr>
                                  <w:b/>
                                  <w:color w:val="164194"/>
                                  <w:sz w:val="28"/>
                                </w:rPr>
                                <w:t>of</w:t>
                              </w:r>
                              <w:r>
                                <w:rPr>
                                  <w:b/>
                                  <w:color w:val="164194"/>
                                  <w:spacing w:val="-6"/>
                                  <w:sz w:val="28"/>
                                </w:rPr>
                                <w:t> </w:t>
                              </w:r>
                              <w:r>
                                <w:rPr>
                                  <w:b/>
                                  <w:color w:val="164194"/>
                                  <w:sz w:val="28"/>
                                </w:rPr>
                                <w:t>section</w:t>
                              </w:r>
                              <w:r>
                                <w:rPr>
                                  <w:b/>
                                  <w:color w:val="164194"/>
                                  <w:spacing w:val="-5"/>
                                  <w:sz w:val="28"/>
                                </w:rPr>
                                <w:t> </w:t>
                              </w:r>
                              <w:r>
                                <w:rPr>
                                  <w:b/>
                                  <w:color w:val="164194"/>
                                  <w:sz w:val="28"/>
                                </w:rPr>
                                <w:t>3</w:t>
                              </w:r>
                              <w:r>
                                <w:rPr>
                                  <w:b/>
                                  <w:color w:val="164194"/>
                                  <w:spacing w:val="-5"/>
                                  <w:sz w:val="28"/>
                                </w:rPr>
                                <w:t> </w:t>
                              </w:r>
                              <w:r>
                                <w:rPr>
                                  <w:b/>
                                  <w:color w:val="164194"/>
                                  <w:sz w:val="28"/>
                                </w:rPr>
                                <w:t>of</w:t>
                              </w:r>
                              <w:r>
                                <w:rPr>
                                  <w:b/>
                                  <w:color w:val="164194"/>
                                  <w:spacing w:val="-6"/>
                                  <w:sz w:val="28"/>
                                </w:rPr>
                                <w:t> </w:t>
                              </w:r>
                              <w:r>
                                <w:rPr>
                                  <w:b/>
                                  <w:color w:val="164194"/>
                                  <w:sz w:val="28"/>
                                </w:rPr>
                                <w:t>the</w:t>
                              </w:r>
                              <w:r>
                                <w:rPr>
                                  <w:b/>
                                  <w:color w:val="164194"/>
                                  <w:spacing w:val="-6"/>
                                  <w:sz w:val="28"/>
                                </w:rPr>
                                <w:t> </w:t>
                              </w:r>
                              <w:r>
                                <w:rPr>
                                  <w:b/>
                                  <w:color w:val="164194"/>
                                  <w:sz w:val="28"/>
                                </w:rPr>
                                <w:t>Human</w:t>
                              </w:r>
                              <w:r>
                                <w:rPr>
                                  <w:b/>
                                  <w:color w:val="164194"/>
                                  <w:spacing w:val="-5"/>
                                  <w:sz w:val="28"/>
                                </w:rPr>
                                <w:t> </w:t>
                              </w:r>
                              <w:r>
                                <w:rPr>
                                  <w:b/>
                                  <w:color w:val="164194"/>
                                  <w:sz w:val="28"/>
                                </w:rPr>
                                <w:t>Rights</w:t>
                              </w:r>
                              <w:r>
                                <w:rPr>
                                  <w:b/>
                                  <w:color w:val="164194"/>
                                  <w:spacing w:val="-5"/>
                                  <w:sz w:val="28"/>
                                </w:rPr>
                                <w:t> </w:t>
                              </w:r>
                              <w:r>
                                <w:rPr>
                                  <w:b/>
                                  <w:color w:val="164194"/>
                                  <w:sz w:val="28"/>
                                </w:rPr>
                                <w:t>Act</w:t>
                              </w:r>
                              <w:r>
                                <w:rPr>
                                  <w:b/>
                                  <w:color w:val="164194"/>
                                  <w:spacing w:val="-5"/>
                                  <w:sz w:val="28"/>
                                </w:rPr>
                                <w:t> </w:t>
                              </w:r>
                              <w:r>
                                <w:rPr>
                                  <w:b/>
                                  <w:color w:val="164194"/>
                                  <w:sz w:val="28"/>
                                </w:rPr>
                                <w:t>to</w:t>
                              </w:r>
                              <w:r>
                                <w:rPr>
                                  <w:b/>
                                  <w:color w:val="164194"/>
                                  <w:spacing w:val="-5"/>
                                  <w:sz w:val="28"/>
                                </w:rPr>
                                <w:t> </w:t>
                              </w:r>
                              <w:r>
                                <w:rPr>
                                  <w:b/>
                                  <w:color w:val="164194"/>
                                  <w:sz w:val="28"/>
                                </w:rPr>
                                <w:t>remove</w:t>
                              </w:r>
                              <w:r>
                                <w:rPr>
                                  <w:b/>
                                  <w:color w:val="164194"/>
                                  <w:spacing w:val="-6"/>
                                  <w:sz w:val="28"/>
                                </w:rPr>
                                <w:t> </w:t>
                              </w:r>
                              <w:r>
                                <w:rPr>
                                  <w:b/>
                                  <w:color w:val="164194"/>
                                  <w:sz w:val="28"/>
                                </w:rPr>
                                <w:t>that </w:t>
                              </w:r>
                              <w:r>
                                <w:rPr>
                                  <w:b/>
                                  <w:color w:val="164194"/>
                                  <w:spacing w:val="-2"/>
                                  <w:sz w:val="28"/>
                                </w:rPr>
                                <w:t>limitation.</w:t>
                              </w:r>
                            </w:p>
                          </w:txbxContent>
                        </wps:txbx>
                        <wps:bodyPr wrap="square" lIns="0" tIns="0" rIns="0" bIns="0" rtlCol="0">
                          <a:noAutofit/>
                        </wps:bodyPr>
                      </wps:wsp>
                    </wpg:wgp>
                  </a:graphicData>
                </a:graphic>
              </wp:anchor>
            </w:drawing>
          </mc:Choice>
          <mc:Fallback>
            <w:pict>
              <v:group style="position:absolute;margin-left:-.000192pt;margin-top:-.00002pt;width:595.3pt;height:157.050pt;mso-position-horizontal-relative:page;mso-position-vertical-relative:page;z-index:15801344" id="docshapegroup306" coordorigin="0,0" coordsize="11906,3141">
                <v:shape style="position:absolute;left:1417;top:1530;width:9468;height:1611" id="docshape307" coordorigin="1417,1531" coordsize="9468,1611" path="m10658,1531l1644,1531,1572,1542,1510,1574,1461,1624,1429,1686,1417,1757,1417,2914,1429,2986,1461,3048,1510,3097,1572,3129,1644,3141,10658,3141,10730,3129,10792,3097,10841,3048,10873,2986,10885,2914,10885,1757,10873,1686,10841,1624,10792,1574,10730,1542,10658,1531xe" filled="true" fillcolor="#e9f3fc" stroked="false">
                  <v:path arrowok="t"/>
                  <v:fill type="solid"/>
                </v:shape>
                <v:shape style="position:absolute;left:0;top:0;width:11906;height:1819" id="docshape308"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309"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310" filled="false" stroked="false">
                  <v:textbox inset="0,0,0,0">
                    <w:txbxContent>
                      <w:p>
                        <w:pPr>
                          <w:spacing w:line="280" w:lineRule="exact" w:before="0"/>
                          <w:ind w:left="0" w:right="0" w:firstLine="0"/>
                          <w:jc w:val="left"/>
                          <w:rPr>
                            <w:b/>
                            <w:sz w:val="28"/>
                          </w:rPr>
                        </w:pPr>
                        <w:r>
                          <w:rPr>
                            <w:b/>
                            <w:color w:val="FFFFFF"/>
                            <w:spacing w:val="-5"/>
                            <w:sz w:val="28"/>
                          </w:rPr>
                          <w:t>37</w:t>
                        </w:r>
                      </w:p>
                    </w:txbxContent>
                  </v:textbox>
                  <w10:wrap type="none"/>
                </v:shape>
                <v:shape style="position:absolute;left:1757;top:1700;width:8800;height:1270" type="#_x0000_t202" id="docshape311" filled="false" stroked="false">
                  <v:textbox inset="0,0,0,0">
                    <w:txbxContent>
                      <w:p>
                        <w:pPr>
                          <w:spacing w:line="279" w:lineRule="exact" w:before="0"/>
                          <w:ind w:left="0" w:right="0"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5"/>
                            <w:sz w:val="28"/>
                          </w:rPr>
                          <w:t> </w:t>
                        </w:r>
                        <w:r>
                          <w:rPr>
                            <w:b/>
                            <w:color w:val="164194"/>
                            <w:sz w:val="28"/>
                          </w:rPr>
                          <w:t>that</w:t>
                        </w:r>
                        <w:r>
                          <w:rPr>
                            <w:b/>
                            <w:color w:val="164194"/>
                            <w:spacing w:val="-6"/>
                            <w:sz w:val="28"/>
                          </w:rPr>
                          <w:t> </w:t>
                        </w:r>
                        <w:r>
                          <w:rPr>
                            <w:b/>
                            <w:color w:val="164194"/>
                            <w:sz w:val="28"/>
                          </w:rPr>
                          <w:t>the</w:t>
                        </w:r>
                        <w:r>
                          <w:rPr>
                            <w:b/>
                            <w:color w:val="164194"/>
                            <w:spacing w:val="-6"/>
                            <w:sz w:val="28"/>
                          </w:rPr>
                          <w:t> </w:t>
                        </w:r>
                        <w:r>
                          <w:rPr>
                            <w:b/>
                            <w:color w:val="164194"/>
                            <w:sz w:val="28"/>
                          </w:rPr>
                          <w:t>UK</w:t>
                        </w:r>
                        <w:r>
                          <w:rPr>
                            <w:b/>
                            <w:color w:val="164194"/>
                            <w:spacing w:val="-6"/>
                            <w:sz w:val="28"/>
                          </w:rPr>
                          <w:t> </w:t>
                        </w:r>
                        <w:r>
                          <w:rPr>
                            <w:b/>
                            <w:color w:val="164194"/>
                            <w:sz w:val="28"/>
                          </w:rPr>
                          <w:t>Government</w:t>
                        </w:r>
                        <w:r>
                          <w:rPr>
                            <w:b/>
                            <w:color w:val="164194"/>
                            <w:spacing w:val="-6"/>
                            <w:sz w:val="28"/>
                          </w:rPr>
                          <w:t> </w:t>
                        </w:r>
                        <w:r>
                          <w:rPr>
                            <w:b/>
                            <w:color w:val="164194"/>
                            <w:sz w:val="28"/>
                          </w:rPr>
                          <w:t>introduce</w:t>
                        </w:r>
                        <w:r>
                          <w:rPr>
                            <w:b/>
                            <w:color w:val="164194"/>
                            <w:spacing w:val="-6"/>
                            <w:sz w:val="28"/>
                          </w:rPr>
                          <w:t> </w:t>
                        </w:r>
                        <w:r>
                          <w:rPr>
                            <w:b/>
                            <w:color w:val="164194"/>
                            <w:sz w:val="28"/>
                          </w:rPr>
                          <w:t>amendments</w:t>
                        </w:r>
                        <w:r>
                          <w:rPr>
                            <w:b/>
                            <w:color w:val="164194"/>
                            <w:spacing w:val="-5"/>
                            <w:sz w:val="28"/>
                          </w:rPr>
                          <w:t> </w:t>
                        </w:r>
                        <w:r>
                          <w:rPr>
                            <w:b/>
                            <w:color w:val="164194"/>
                            <w:spacing w:val="-4"/>
                            <w:sz w:val="28"/>
                          </w:rPr>
                          <w:t>into</w:t>
                        </w:r>
                      </w:p>
                      <w:p>
                        <w:pPr>
                          <w:spacing w:line="232" w:lineRule="auto" w:before="0"/>
                          <w:ind w:left="0" w:right="0" w:firstLine="0"/>
                          <w:jc w:val="left"/>
                          <w:rPr>
                            <w:b/>
                            <w:sz w:val="28"/>
                          </w:rPr>
                        </w:pPr>
                        <w:r>
                          <w:rPr>
                            <w:b/>
                            <w:color w:val="164194"/>
                            <w:sz w:val="28"/>
                          </w:rPr>
                          <w:t>Parliament to amend any enacted legislation that has included provisions limiting</w:t>
                        </w:r>
                        <w:r>
                          <w:rPr>
                            <w:b/>
                            <w:color w:val="164194"/>
                            <w:spacing w:val="-6"/>
                            <w:sz w:val="28"/>
                          </w:rPr>
                          <w:t> </w:t>
                        </w:r>
                        <w:r>
                          <w:rPr>
                            <w:b/>
                            <w:color w:val="164194"/>
                            <w:sz w:val="28"/>
                          </w:rPr>
                          <w:t>the</w:t>
                        </w:r>
                        <w:r>
                          <w:rPr>
                            <w:b/>
                            <w:color w:val="164194"/>
                            <w:spacing w:val="-6"/>
                            <w:sz w:val="28"/>
                          </w:rPr>
                          <w:t> </w:t>
                        </w:r>
                        <w:r>
                          <w:rPr>
                            <w:b/>
                            <w:color w:val="164194"/>
                            <w:sz w:val="28"/>
                          </w:rPr>
                          <w:t>application</w:t>
                        </w:r>
                        <w:r>
                          <w:rPr>
                            <w:b/>
                            <w:color w:val="164194"/>
                            <w:spacing w:val="-5"/>
                            <w:sz w:val="28"/>
                          </w:rPr>
                          <w:t> </w:t>
                        </w:r>
                        <w:r>
                          <w:rPr>
                            <w:b/>
                            <w:color w:val="164194"/>
                            <w:sz w:val="28"/>
                          </w:rPr>
                          <w:t>of</w:t>
                        </w:r>
                        <w:r>
                          <w:rPr>
                            <w:b/>
                            <w:color w:val="164194"/>
                            <w:spacing w:val="-6"/>
                            <w:sz w:val="28"/>
                          </w:rPr>
                          <w:t> </w:t>
                        </w:r>
                        <w:r>
                          <w:rPr>
                            <w:b/>
                            <w:color w:val="164194"/>
                            <w:sz w:val="28"/>
                          </w:rPr>
                          <w:t>section</w:t>
                        </w:r>
                        <w:r>
                          <w:rPr>
                            <w:b/>
                            <w:color w:val="164194"/>
                            <w:spacing w:val="-5"/>
                            <w:sz w:val="28"/>
                          </w:rPr>
                          <w:t> </w:t>
                        </w:r>
                        <w:r>
                          <w:rPr>
                            <w:b/>
                            <w:color w:val="164194"/>
                            <w:sz w:val="28"/>
                          </w:rPr>
                          <w:t>3</w:t>
                        </w:r>
                        <w:r>
                          <w:rPr>
                            <w:b/>
                            <w:color w:val="164194"/>
                            <w:spacing w:val="-5"/>
                            <w:sz w:val="28"/>
                          </w:rPr>
                          <w:t> </w:t>
                        </w:r>
                        <w:r>
                          <w:rPr>
                            <w:b/>
                            <w:color w:val="164194"/>
                            <w:sz w:val="28"/>
                          </w:rPr>
                          <w:t>of</w:t>
                        </w:r>
                        <w:r>
                          <w:rPr>
                            <w:b/>
                            <w:color w:val="164194"/>
                            <w:spacing w:val="-6"/>
                            <w:sz w:val="28"/>
                          </w:rPr>
                          <w:t> </w:t>
                        </w:r>
                        <w:r>
                          <w:rPr>
                            <w:b/>
                            <w:color w:val="164194"/>
                            <w:sz w:val="28"/>
                          </w:rPr>
                          <w:t>the</w:t>
                        </w:r>
                        <w:r>
                          <w:rPr>
                            <w:b/>
                            <w:color w:val="164194"/>
                            <w:spacing w:val="-6"/>
                            <w:sz w:val="28"/>
                          </w:rPr>
                          <w:t> </w:t>
                        </w:r>
                        <w:r>
                          <w:rPr>
                            <w:b/>
                            <w:color w:val="164194"/>
                            <w:sz w:val="28"/>
                          </w:rPr>
                          <w:t>Human</w:t>
                        </w:r>
                        <w:r>
                          <w:rPr>
                            <w:b/>
                            <w:color w:val="164194"/>
                            <w:spacing w:val="-5"/>
                            <w:sz w:val="28"/>
                          </w:rPr>
                          <w:t> </w:t>
                        </w:r>
                        <w:r>
                          <w:rPr>
                            <w:b/>
                            <w:color w:val="164194"/>
                            <w:sz w:val="28"/>
                          </w:rPr>
                          <w:t>Rights</w:t>
                        </w:r>
                        <w:r>
                          <w:rPr>
                            <w:b/>
                            <w:color w:val="164194"/>
                            <w:spacing w:val="-5"/>
                            <w:sz w:val="28"/>
                          </w:rPr>
                          <w:t> </w:t>
                        </w:r>
                        <w:r>
                          <w:rPr>
                            <w:b/>
                            <w:color w:val="164194"/>
                            <w:sz w:val="28"/>
                          </w:rPr>
                          <w:t>Act</w:t>
                        </w:r>
                        <w:r>
                          <w:rPr>
                            <w:b/>
                            <w:color w:val="164194"/>
                            <w:spacing w:val="-5"/>
                            <w:sz w:val="28"/>
                          </w:rPr>
                          <w:t> </w:t>
                        </w:r>
                        <w:r>
                          <w:rPr>
                            <w:b/>
                            <w:color w:val="164194"/>
                            <w:sz w:val="28"/>
                          </w:rPr>
                          <w:t>to</w:t>
                        </w:r>
                        <w:r>
                          <w:rPr>
                            <w:b/>
                            <w:color w:val="164194"/>
                            <w:spacing w:val="-5"/>
                            <w:sz w:val="28"/>
                          </w:rPr>
                          <w:t> </w:t>
                        </w:r>
                        <w:r>
                          <w:rPr>
                            <w:b/>
                            <w:color w:val="164194"/>
                            <w:sz w:val="28"/>
                          </w:rPr>
                          <w:t>remove</w:t>
                        </w:r>
                        <w:r>
                          <w:rPr>
                            <w:b/>
                            <w:color w:val="164194"/>
                            <w:spacing w:val="-6"/>
                            <w:sz w:val="28"/>
                          </w:rPr>
                          <w:t> </w:t>
                        </w:r>
                        <w:r>
                          <w:rPr>
                            <w:b/>
                            <w:color w:val="164194"/>
                            <w:sz w:val="28"/>
                          </w:rPr>
                          <w:t>that </w:t>
                        </w:r>
                        <w:r>
                          <w:rPr>
                            <w:b/>
                            <w:color w:val="164194"/>
                            <w:spacing w:val="-2"/>
                            <w:sz w:val="28"/>
                          </w:rPr>
                          <w:t>limitation.</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8"/>
      </w:pPr>
    </w:p>
    <w:p>
      <w:pPr>
        <w:pStyle w:val="Heading3"/>
        <w:numPr>
          <w:ilvl w:val="2"/>
          <w:numId w:val="15"/>
        </w:numPr>
        <w:tabs>
          <w:tab w:pos="1755" w:val="left" w:leader="none"/>
        </w:tabs>
        <w:spacing w:line="336" w:lineRule="exact" w:before="0" w:after="0"/>
        <w:ind w:left="1755" w:right="0" w:hanging="638"/>
        <w:jc w:val="left"/>
      </w:pPr>
      <w:bookmarkStart w:name="2.3.2 Nationality and Borders Act 2022" w:id="56"/>
      <w:bookmarkEnd w:id="56"/>
      <w:r>
        <w:rPr>
          <w:b w:val="0"/>
        </w:rPr>
      </w:r>
      <w:bookmarkStart w:name="_bookmark22" w:id="57"/>
      <w:bookmarkEnd w:id="57"/>
      <w:r>
        <w:rPr>
          <w:b w:val="0"/>
        </w:rPr>
      </w:r>
      <w:r>
        <w:rPr>
          <w:color w:val="004A93"/>
        </w:rPr>
        <w:t>Nationality</w:t>
      </w:r>
      <w:r>
        <w:rPr>
          <w:color w:val="004A93"/>
          <w:spacing w:val="-7"/>
        </w:rPr>
        <w:t> </w:t>
      </w:r>
      <w:r>
        <w:rPr>
          <w:color w:val="004A93"/>
        </w:rPr>
        <w:t>and</w:t>
      </w:r>
      <w:r>
        <w:rPr>
          <w:color w:val="004A93"/>
          <w:spacing w:val="-6"/>
        </w:rPr>
        <w:t> </w:t>
      </w:r>
      <w:r>
        <w:rPr>
          <w:color w:val="004A93"/>
        </w:rPr>
        <w:t>Borders</w:t>
      </w:r>
      <w:r>
        <w:rPr>
          <w:color w:val="004A93"/>
          <w:spacing w:val="-7"/>
        </w:rPr>
        <w:t> </w:t>
      </w:r>
      <w:r>
        <w:rPr>
          <w:color w:val="004A93"/>
        </w:rPr>
        <w:t>Act</w:t>
      </w:r>
      <w:r>
        <w:rPr>
          <w:color w:val="004A93"/>
          <w:spacing w:val="-6"/>
        </w:rPr>
        <w:t> </w:t>
      </w:r>
      <w:r>
        <w:rPr>
          <w:color w:val="004A93"/>
          <w:spacing w:val="-4"/>
        </w:rPr>
        <w:t>2022</w:t>
      </w:r>
    </w:p>
    <w:p>
      <w:pPr>
        <w:pStyle w:val="BodyText"/>
        <w:spacing w:line="232" w:lineRule="auto" w:before="2"/>
        <w:ind w:left="1117" w:right="888"/>
      </w:pPr>
      <w:r>
        <w:rPr/>
        <w:t>The Nationality and Borders Act 2022 makes wide-ranging changes to UK nationality, immigration and asylum law. It addresses anomalies (typically arising from discrimination on grounds of sex or marital status) in nationality law.</w:t>
      </w:r>
      <w:r>
        <w:rPr>
          <w:vertAlign w:val="superscript"/>
        </w:rPr>
        <w:t>170</w:t>
      </w:r>
      <w:r>
        <w:rPr>
          <w:vertAlign w:val="baseline"/>
        </w:rPr>
        <w:t> It seeks to reform the asylum system by discouraging irregular immigration and allowing the removal of persons before their asylum claim has been decided.</w:t>
      </w:r>
      <w:r>
        <w:rPr>
          <w:vertAlign w:val="superscript"/>
        </w:rPr>
        <w:t>171</w:t>
      </w:r>
      <w:r>
        <w:rPr>
          <w:vertAlign w:val="baseline"/>
        </w:rPr>
        <w:t> It streamlines the appeals process for asylum and related claims. The Act reforms the law on modern slavery,</w:t>
      </w:r>
      <w:r>
        <w:rPr>
          <w:vertAlign w:val="superscript"/>
        </w:rPr>
        <w:t>172</w:t>
      </w:r>
      <w:r>
        <w:rPr>
          <w:vertAlign w:val="baseline"/>
        </w:rPr>
        <w:t> includes measures to tackle people smuggling and provides for an Electronic Travel Authorisation (ETA) scheme.</w:t>
      </w:r>
      <w:r>
        <w:rPr>
          <w:vertAlign w:val="superscript"/>
        </w:rPr>
        <w:t>173</w:t>
      </w:r>
      <w:r>
        <w:rPr>
          <w:vertAlign w:val="baseline"/>
        </w:rPr>
        <w:t> Section 68 of the Act</w:t>
      </w:r>
      <w:r>
        <w:rPr>
          <w:spacing w:val="-7"/>
          <w:vertAlign w:val="baseline"/>
        </w:rPr>
        <w:t> </w:t>
      </w:r>
      <w:r>
        <w:rPr>
          <w:vertAlign w:val="baseline"/>
        </w:rPr>
        <w:t>expressly</w:t>
      </w:r>
      <w:r>
        <w:rPr>
          <w:spacing w:val="-7"/>
          <w:vertAlign w:val="baseline"/>
        </w:rPr>
        <w:t> </w:t>
      </w:r>
      <w:r>
        <w:rPr>
          <w:vertAlign w:val="baseline"/>
        </w:rPr>
        <w:t>disapplies</w:t>
      </w:r>
      <w:r>
        <w:rPr>
          <w:spacing w:val="-7"/>
          <w:vertAlign w:val="baseline"/>
        </w:rPr>
        <w:t> </w:t>
      </w:r>
      <w:r>
        <w:rPr>
          <w:vertAlign w:val="baseline"/>
        </w:rPr>
        <w:t>the</w:t>
      </w:r>
      <w:r>
        <w:rPr>
          <w:spacing w:val="-7"/>
          <w:vertAlign w:val="baseline"/>
        </w:rPr>
        <w:t> </w:t>
      </w:r>
      <w:r>
        <w:rPr>
          <w:vertAlign w:val="baseline"/>
        </w:rPr>
        <w:t>Trafficking</w:t>
      </w:r>
      <w:r>
        <w:rPr>
          <w:spacing w:val="-7"/>
          <w:vertAlign w:val="baseline"/>
        </w:rPr>
        <w:t> </w:t>
      </w:r>
      <w:r>
        <w:rPr>
          <w:vertAlign w:val="baseline"/>
        </w:rPr>
        <w:t>Directive</w:t>
      </w:r>
      <w:r>
        <w:rPr>
          <w:spacing w:val="-7"/>
          <w:vertAlign w:val="baseline"/>
        </w:rPr>
        <w:t> </w:t>
      </w:r>
      <w:r>
        <w:rPr>
          <w:vertAlign w:val="baseline"/>
        </w:rPr>
        <w:t>as</w:t>
      </w:r>
      <w:r>
        <w:rPr>
          <w:spacing w:val="-7"/>
          <w:vertAlign w:val="baseline"/>
        </w:rPr>
        <w:t> </w:t>
      </w:r>
      <w:r>
        <w:rPr>
          <w:vertAlign w:val="baseline"/>
        </w:rPr>
        <w:t>retained</w:t>
      </w:r>
      <w:r>
        <w:rPr>
          <w:spacing w:val="-7"/>
          <w:vertAlign w:val="baseline"/>
        </w:rPr>
        <w:t> </w:t>
      </w:r>
      <w:r>
        <w:rPr>
          <w:vertAlign w:val="baseline"/>
        </w:rPr>
        <w:t>EU</w:t>
      </w:r>
      <w:r>
        <w:rPr>
          <w:spacing w:val="-7"/>
          <w:vertAlign w:val="baseline"/>
        </w:rPr>
        <w:t> </w:t>
      </w:r>
      <w:r>
        <w:rPr>
          <w:vertAlign w:val="baseline"/>
        </w:rPr>
        <w:t>law</w:t>
      </w:r>
      <w:r>
        <w:rPr>
          <w:spacing w:val="-7"/>
          <w:vertAlign w:val="baseline"/>
        </w:rPr>
        <w:t> </w:t>
      </w:r>
      <w:r>
        <w:rPr>
          <w:vertAlign w:val="baseline"/>
        </w:rPr>
        <w:t>in</w:t>
      </w:r>
      <w:r>
        <w:rPr>
          <w:spacing w:val="-7"/>
          <w:vertAlign w:val="baseline"/>
        </w:rPr>
        <w:t> </w:t>
      </w:r>
      <w:r>
        <w:rPr>
          <w:vertAlign w:val="baseline"/>
        </w:rPr>
        <w:t>so</w:t>
      </w:r>
      <w:r>
        <w:rPr>
          <w:spacing w:val="-7"/>
          <w:vertAlign w:val="baseline"/>
        </w:rPr>
        <w:t> </w:t>
      </w:r>
      <w:r>
        <w:rPr>
          <w:vertAlign w:val="baseline"/>
        </w:rPr>
        <w:t>far</w:t>
      </w:r>
      <w:r>
        <w:rPr>
          <w:spacing w:val="-7"/>
          <w:vertAlign w:val="baseline"/>
        </w:rPr>
        <w:t> </w:t>
      </w:r>
      <w:r>
        <w:rPr>
          <w:vertAlign w:val="baseline"/>
        </w:rPr>
        <w:t>as</w:t>
      </w:r>
      <w:r>
        <w:rPr>
          <w:spacing w:val="-7"/>
          <w:vertAlign w:val="baseline"/>
        </w:rPr>
        <w:t> </w:t>
      </w:r>
      <w:r>
        <w:rPr>
          <w:vertAlign w:val="baseline"/>
        </w:rPr>
        <w:t>it</w:t>
      </w:r>
      <w:r>
        <w:rPr>
          <w:spacing w:val="-7"/>
          <w:vertAlign w:val="baseline"/>
        </w:rPr>
        <w:t> </w:t>
      </w:r>
      <w:r>
        <w:rPr>
          <w:vertAlign w:val="baseline"/>
        </w:rPr>
        <w:t>is inconsistent with the Act or provisions made under the act.</w:t>
      </w:r>
      <w:r>
        <w:rPr>
          <w:vertAlign w:val="superscript"/>
        </w:rPr>
        <w:t>174</w:t>
      </w:r>
    </w:p>
    <w:p>
      <w:pPr>
        <w:pStyle w:val="BodyText"/>
        <w:spacing w:line="232" w:lineRule="auto" w:before="268"/>
        <w:ind w:left="1117" w:right="761"/>
      </w:pPr>
      <w:r>
        <w:rPr/>
        <w:t>The Joint Committee on Human Rights examined the Bill in some detail, producing four reports.</w:t>
      </w:r>
      <w:r>
        <w:rPr>
          <w:vertAlign w:val="superscript"/>
        </w:rPr>
        <w:t>175</w:t>
      </w:r>
      <w:r>
        <w:rPr>
          <w:vertAlign w:val="baseline"/>
        </w:rPr>
        <w:t> In some cases these highlighted positive aspects of the Bill which are welcome from human rights perspectives;</w:t>
      </w:r>
      <w:r>
        <w:rPr>
          <w:vertAlign w:val="superscript"/>
        </w:rPr>
        <w:t>176</w:t>
      </w:r>
      <w:r>
        <w:rPr>
          <w:vertAlign w:val="baseline"/>
        </w:rPr>
        <w:t> in many other cases they called</w:t>
      </w:r>
      <w:r>
        <w:rPr>
          <w:vertAlign w:val="baseline"/>
        </w:rPr>
        <w:t> for clarifications. Worryingly the Joint Committee on Human Rights identified numerous concerns about possible breaches of international human rights obligations including in relation to refugee protection, the Convention on the Rights of the Child, and the obligation to protect victims of modern slavery. Some of</w:t>
      </w:r>
      <w:r>
        <w:rPr>
          <w:spacing w:val="-4"/>
          <w:vertAlign w:val="baseline"/>
        </w:rPr>
        <w:t> </w:t>
      </w:r>
      <w:r>
        <w:rPr>
          <w:vertAlign w:val="baseline"/>
        </w:rPr>
        <w:t>the</w:t>
      </w:r>
      <w:r>
        <w:rPr>
          <w:spacing w:val="-3"/>
          <w:vertAlign w:val="baseline"/>
        </w:rPr>
        <w:t> </w:t>
      </w:r>
      <w:r>
        <w:rPr>
          <w:vertAlign w:val="baseline"/>
        </w:rPr>
        <w:t>concerns</w:t>
      </w:r>
      <w:r>
        <w:rPr>
          <w:spacing w:val="-4"/>
          <w:vertAlign w:val="baseline"/>
        </w:rPr>
        <w:t> </w:t>
      </w:r>
      <w:r>
        <w:rPr>
          <w:vertAlign w:val="baseline"/>
        </w:rPr>
        <w:t>include</w:t>
      </w:r>
      <w:r>
        <w:rPr>
          <w:spacing w:val="-3"/>
          <w:vertAlign w:val="baseline"/>
        </w:rPr>
        <w:t> </w:t>
      </w:r>
      <w:r>
        <w:rPr>
          <w:vertAlign w:val="baseline"/>
        </w:rPr>
        <w:t>that</w:t>
      </w:r>
      <w:r>
        <w:rPr>
          <w:spacing w:val="-3"/>
          <w:vertAlign w:val="baseline"/>
        </w:rPr>
        <w:t> </w:t>
      </w:r>
      <w:r>
        <w:rPr>
          <w:vertAlign w:val="baseline"/>
        </w:rPr>
        <w:t>the</w:t>
      </w:r>
      <w:r>
        <w:rPr>
          <w:spacing w:val="-3"/>
          <w:vertAlign w:val="baseline"/>
        </w:rPr>
        <w:t> </w:t>
      </w:r>
      <w:r>
        <w:rPr>
          <w:vertAlign w:val="baseline"/>
        </w:rPr>
        <w:t>UK</w:t>
      </w:r>
      <w:r>
        <w:rPr>
          <w:spacing w:val="-3"/>
          <w:vertAlign w:val="baseline"/>
        </w:rPr>
        <w:t> </w:t>
      </w:r>
      <w:r>
        <w:rPr>
          <w:vertAlign w:val="baseline"/>
        </w:rPr>
        <w:t>might</w:t>
      </w:r>
      <w:r>
        <w:rPr>
          <w:spacing w:val="-3"/>
          <w:vertAlign w:val="baseline"/>
        </w:rPr>
        <w:t> </w:t>
      </w:r>
      <w:r>
        <w:rPr>
          <w:vertAlign w:val="baseline"/>
        </w:rPr>
        <w:t>risk</w:t>
      </w:r>
      <w:r>
        <w:rPr>
          <w:spacing w:val="-3"/>
          <w:vertAlign w:val="baseline"/>
        </w:rPr>
        <w:t> </w:t>
      </w:r>
      <w:r>
        <w:rPr>
          <w:vertAlign w:val="baseline"/>
        </w:rPr>
        <w:t>the</w:t>
      </w:r>
      <w:r>
        <w:rPr>
          <w:spacing w:val="-3"/>
          <w:vertAlign w:val="baseline"/>
        </w:rPr>
        <w:t> </w:t>
      </w:r>
      <w:r>
        <w:rPr>
          <w:vertAlign w:val="baseline"/>
        </w:rPr>
        <w:t>lives</w:t>
      </w:r>
      <w:r>
        <w:rPr>
          <w:spacing w:val="-4"/>
          <w:vertAlign w:val="baseline"/>
        </w:rPr>
        <w:t> </w:t>
      </w:r>
      <w:r>
        <w:rPr>
          <w:vertAlign w:val="baseline"/>
        </w:rPr>
        <w:t>of</w:t>
      </w:r>
      <w:r>
        <w:rPr>
          <w:spacing w:val="-4"/>
          <w:vertAlign w:val="baseline"/>
        </w:rPr>
        <w:t> </w:t>
      </w:r>
      <w:r>
        <w:rPr>
          <w:vertAlign w:val="baseline"/>
        </w:rPr>
        <w:t>some</w:t>
      </w:r>
      <w:r>
        <w:rPr>
          <w:spacing w:val="-3"/>
          <w:vertAlign w:val="baseline"/>
        </w:rPr>
        <w:t> </w:t>
      </w:r>
      <w:r>
        <w:rPr>
          <w:vertAlign w:val="baseline"/>
        </w:rPr>
        <w:t>people</w:t>
      </w:r>
      <w:r>
        <w:rPr>
          <w:spacing w:val="-3"/>
          <w:vertAlign w:val="baseline"/>
        </w:rPr>
        <w:t> </w:t>
      </w:r>
      <w:r>
        <w:rPr>
          <w:vertAlign w:val="baseline"/>
        </w:rPr>
        <w:t>in</w:t>
      </w:r>
      <w:r>
        <w:rPr>
          <w:spacing w:val="-4"/>
          <w:vertAlign w:val="baseline"/>
        </w:rPr>
        <w:t> </w:t>
      </w:r>
      <w:r>
        <w:rPr>
          <w:vertAlign w:val="baseline"/>
        </w:rPr>
        <w:t>breach</w:t>
      </w:r>
      <w:r>
        <w:rPr>
          <w:spacing w:val="-4"/>
          <w:vertAlign w:val="baseline"/>
        </w:rPr>
        <w:t> </w:t>
      </w:r>
      <w:r>
        <w:rPr>
          <w:vertAlign w:val="baseline"/>
        </w:rPr>
        <w:t>of Article 2 ECHR obligations.</w:t>
      </w:r>
      <w:r>
        <w:rPr>
          <w:vertAlign w:val="superscript"/>
        </w:rPr>
        <w:t>177</w:t>
      </w:r>
    </w:p>
    <w:p>
      <w:pPr>
        <w:pStyle w:val="BodyText"/>
        <w:spacing w:line="232" w:lineRule="auto" w:before="270"/>
        <w:ind w:left="1117" w:right="738"/>
      </w:pPr>
      <w:r>
        <w:rPr/>
        <w:t>A joint briefing paper by the NIHRC and ECNI highlights concerns about the compatibility</w:t>
      </w:r>
      <w:r>
        <w:rPr>
          <w:spacing w:val="-7"/>
        </w:rPr>
        <w:t> </w:t>
      </w:r>
      <w:r>
        <w:rPr/>
        <w:t>of</w:t>
      </w:r>
      <w:r>
        <w:rPr>
          <w:spacing w:val="-8"/>
        </w:rPr>
        <w:t> </w:t>
      </w:r>
      <w:r>
        <w:rPr/>
        <w:t>the</w:t>
      </w:r>
      <w:r>
        <w:rPr>
          <w:spacing w:val="-7"/>
        </w:rPr>
        <w:t> </w:t>
      </w:r>
      <w:r>
        <w:rPr/>
        <w:t>then</w:t>
      </w:r>
      <w:r>
        <w:rPr>
          <w:spacing w:val="-8"/>
        </w:rPr>
        <w:t> </w:t>
      </w:r>
      <w:r>
        <w:rPr/>
        <w:t>Bill</w:t>
      </w:r>
      <w:r>
        <w:rPr>
          <w:spacing w:val="-8"/>
        </w:rPr>
        <w:t> </w:t>
      </w:r>
      <w:r>
        <w:rPr/>
        <w:t>with</w:t>
      </w:r>
      <w:r>
        <w:rPr>
          <w:spacing w:val="-8"/>
        </w:rPr>
        <w:t> </w:t>
      </w:r>
      <w:r>
        <w:rPr/>
        <w:t>Article</w:t>
      </w:r>
      <w:r>
        <w:rPr>
          <w:spacing w:val="-7"/>
        </w:rPr>
        <w:t> </w:t>
      </w:r>
      <w:r>
        <w:rPr/>
        <w:t>2</w:t>
      </w:r>
      <w:r>
        <w:rPr>
          <w:spacing w:val="-7"/>
        </w:rPr>
        <w:t> </w:t>
      </w:r>
      <w:r>
        <w:rPr/>
        <w:t>WF.</w:t>
      </w:r>
      <w:r>
        <w:rPr>
          <w:vertAlign w:val="superscript"/>
        </w:rPr>
        <w:t>178</w:t>
      </w:r>
      <w:r>
        <w:rPr>
          <w:spacing w:val="-8"/>
          <w:vertAlign w:val="baseline"/>
        </w:rPr>
        <w:t> </w:t>
      </w:r>
      <w:r>
        <w:rPr>
          <w:vertAlign w:val="baseline"/>
        </w:rPr>
        <w:t>The</w:t>
      </w:r>
      <w:r>
        <w:rPr>
          <w:spacing w:val="-7"/>
          <w:vertAlign w:val="baseline"/>
        </w:rPr>
        <w:t> </w:t>
      </w:r>
      <w:r>
        <w:rPr>
          <w:vertAlign w:val="baseline"/>
        </w:rPr>
        <w:t>briefing</w:t>
      </w:r>
      <w:r>
        <w:rPr>
          <w:spacing w:val="-7"/>
          <w:vertAlign w:val="baseline"/>
        </w:rPr>
        <w:t> </w:t>
      </w:r>
      <w:r>
        <w:rPr>
          <w:vertAlign w:val="baseline"/>
        </w:rPr>
        <w:t>paper</w:t>
      </w:r>
      <w:r>
        <w:rPr>
          <w:spacing w:val="-7"/>
          <w:vertAlign w:val="baseline"/>
        </w:rPr>
        <w:t> </w:t>
      </w:r>
      <w:r>
        <w:rPr>
          <w:vertAlign w:val="baseline"/>
        </w:rPr>
        <w:t>notes</w:t>
      </w:r>
      <w:r>
        <w:rPr>
          <w:spacing w:val="-8"/>
          <w:vertAlign w:val="baseline"/>
        </w:rPr>
        <w:t> </w:t>
      </w:r>
      <w:r>
        <w:rPr>
          <w:vertAlign w:val="baseline"/>
        </w:rPr>
        <w:t>that</w:t>
      </w:r>
      <w:r>
        <w:rPr>
          <w:spacing w:val="-7"/>
          <w:vertAlign w:val="baseline"/>
        </w:rPr>
        <w:t> </w:t>
      </w:r>
      <w:r>
        <w:rPr>
          <w:vertAlign w:val="baseline"/>
        </w:rPr>
        <w:t>the</w:t>
      </w:r>
    </w:p>
    <w:p>
      <w:pPr>
        <w:pStyle w:val="BodyText"/>
        <w:spacing w:before="110"/>
        <w:rPr>
          <w:sz w:val="20"/>
        </w:rPr>
      </w:pPr>
      <w:r>
        <w:rPr/>
        <mc:AlternateContent>
          <mc:Choice Requires="wps">
            <w:drawing>
              <wp:anchor distT="0" distB="0" distL="0" distR="0" allowOverlap="1" layoutInCell="1" locked="0" behindDoc="1" simplePos="0" relativeHeight="487660032">
                <wp:simplePos x="0" y="0"/>
                <wp:positionH relativeFrom="page">
                  <wp:posOffset>899999</wp:posOffset>
                </wp:positionH>
                <wp:positionV relativeFrom="paragraph">
                  <wp:posOffset>240477</wp:posOffset>
                </wp:positionV>
                <wp:extent cx="6012180" cy="1270"/>
                <wp:effectExtent l="0" t="0" r="0" b="0"/>
                <wp:wrapTopAndBottom/>
                <wp:docPr id="395" name="Graphic 395"/>
                <wp:cNvGraphicFramePr>
                  <a:graphicFrameLocks/>
                </wp:cNvGraphicFramePr>
                <a:graphic>
                  <a:graphicData uri="http://schemas.microsoft.com/office/word/2010/wordprocessingShape">
                    <wps:wsp>
                      <wps:cNvPr id="395" name="Graphic 395"/>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8.935223pt;width:473.4pt;height:.1pt;mso-position-horizontal-relative:page;mso-position-vertical-relative:paragraph;z-index:-15656448;mso-wrap-distance-left:0;mso-wrap-distance-right:0" id="docshape312" coordorigin="1417,379" coordsize="9468,0" path="m1417,379l10885,379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0" w:hanging="567"/>
        <w:jc w:val="left"/>
        <w:rPr>
          <w:sz w:val="18"/>
        </w:rPr>
      </w:pPr>
      <w:r>
        <w:rPr>
          <w:sz w:val="18"/>
        </w:rPr>
        <w:t>Nationality</w:t>
      </w:r>
      <w:r>
        <w:rPr>
          <w:spacing w:val="-3"/>
          <w:sz w:val="18"/>
        </w:rPr>
        <w:t> </w:t>
      </w:r>
      <w:r>
        <w:rPr>
          <w:sz w:val="18"/>
        </w:rPr>
        <w:t>and</w:t>
      </w:r>
      <w:r>
        <w:rPr>
          <w:spacing w:val="-4"/>
          <w:sz w:val="18"/>
        </w:rPr>
        <w:t> </w:t>
      </w:r>
      <w:r>
        <w:rPr>
          <w:sz w:val="18"/>
        </w:rPr>
        <w:t>Borders</w:t>
      </w:r>
      <w:r>
        <w:rPr>
          <w:spacing w:val="-3"/>
          <w:sz w:val="18"/>
        </w:rPr>
        <w:t> </w:t>
      </w:r>
      <w:r>
        <w:rPr>
          <w:sz w:val="18"/>
        </w:rPr>
        <w:t>Act</w:t>
      </w:r>
      <w:r>
        <w:rPr>
          <w:spacing w:val="-3"/>
          <w:sz w:val="18"/>
        </w:rPr>
        <w:t> </w:t>
      </w:r>
      <w:r>
        <w:rPr>
          <w:sz w:val="18"/>
        </w:rPr>
        <w:t>2022,</w:t>
      </w:r>
      <w:r>
        <w:rPr>
          <w:spacing w:val="-5"/>
          <w:sz w:val="18"/>
        </w:rPr>
        <w:t> </w:t>
      </w:r>
      <w:r>
        <w:rPr>
          <w:color w:val="1D71B8"/>
          <w:sz w:val="18"/>
          <w:u w:val="single" w:color="1D71B8"/>
        </w:rPr>
        <w:t>part</w:t>
      </w:r>
      <w:r>
        <w:rPr>
          <w:color w:val="1D71B8"/>
          <w:spacing w:val="-3"/>
          <w:sz w:val="18"/>
          <w:u w:val="single" w:color="1D71B8"/>
        </w:rPr>
        <w:t> </w:t>
      </w:r>
      <w:r>
        <w:rPr>
          <w:color w:val="1D71B8"/>
          <w:spacing w:val="-5"/>
          <w:sz w:val="18"/>
          <w:u w:val="single" w:color="1D71B8"/>
        </w:rPr>
        <w:t>1</w:t>
      </w:r>
      <w:r>
        <w:rPr>
          <w:spacing w:val="-5"/>
          <w:sz w:val="18"/>
          <w:u w:val="none"/>
        </w:rPr>
        <w:t>.</w:t>
      </w:r>
    </w:p>
    <w:p>
      <w:pPr>
        <w:pStyle w:val="ListParagraph"/>
        <w:numPr>
          <w:ilvl w:val="0"/>
          <w:numId w:val="9"/>
        </w:numPr>
        <w:tabs>
          <w:tab w:pos="1684" w:val="left" w:leader="none"/>
        </w:tabs>
        <w:spacing w:line="240" w:lineRule="auto" w:before="1" w:after="0"/>
        <w:ind w:left="1684" w:right="0" w:hanging="567"/>
        <w:jc w:val="left"/>
        <w:rPr>
          <w:sz w:val="18"/>
        </w:rPr>
      </w:pPr>
      <w:r>
        <w:rPr>
          <w:sz w:val="18"/>
        </w:rPr>
        <w:t>Ibid.,</w:t>
      </w:r>
      <w:r>
        <w:rPr>
          <w:spacing w:val="-2"/>
          <w:sz w:val="18"/>
        </w:rPr>
        <w:t> </w:t>
      </w:r>
      <w:r>
        <w:rPr>
          <w:color w:val="1D71B8"/>
          <w:sz w:val="18"/>
          <w:u w:val="single" w:color="1D71B8"/>
        </w:rPr>
        <w:t>part 2</w:t>
      </w:r>
      <w:r>
        <w:rPr>
          <w:color w:val="1D71B8"/>
          <w:spacing w:val="-2"/>
          <w:sz w:val="18"/>
          <w:u w:val="none"/>
        </w:rPr>
        <w:t> </w:t>
      </w:r>
      <w:r>
        <w:rPr>
          <w:sz w:val="18"/>
          <w:u w:val="none"/>
        </w:rPr>
        <w:t>and </w:t>
      </w:r>
      <w:r>
        <w:rPr>
          <w:color w:val="1D71B8"/>
          <w:sz w:val="18"/>
          <w:u w:val="single" w:color="1D71B8"/>
        </w:rPr>
        <w:t>part </w:t>
      </w:r>
      <w:r>
        <w:rPr>
          <w:color w:val="1D71B8"/>
          <w:spacing w:val="-5"/>
          <w:sz w:val="18"/>
          <w:u w:val="single" w:color="1D71B8"/>
        </w:rPr>
        <w:t>3</w:t>
      </w:r>
      <w:r>
        <w:rPr>
          <w:spacing w:val="-5"/>
          <w:sz w:val="18"/>
          <w:u w:val="none"/>
        </w:rPr>
        <w:t>.</w:t>
      </w:r>
    </w:p>
    <w:p>
      <w:pPr>
        <w:pStyle w:val="ListParagraph"/>
        <w:numPr>
          <w:ilvl w:val="0"/>
          <w:numId w:val="9"/>
        </w:numPr>
        <w:tabs>
          <w:tab w:pos="1684" w:val="left" w:leader="none"/>
        </w:tabs>
        <w:spacing w:line="240" w:lineRule="auto" w:before="0" w:after="0"/>
        <w:ind w:left="1684" w:right="0" w:hanging="567"/>
        <w:jc w:val="left"/>
        <w:rPr>
          <w:sz w:val="18"/>
        </w:rPr>
      </w:pPr>
      <w:r>
        <w:rPr>
          <w:sz w:val="18"/>
        </w:rPr>
        <w:t>Ibid.,</w:t>
      </w:r>
      <w:r>
        <w:rPr>
          <w:spacing w:val="-1"/>
          <w:sz w:val="18"/>
        </w:rPr>
        <w:t> </w:t>
      </w:r>
      <w:r>
        <w:rPr>
          <w:color w:val="1D71B8"/>
          <w:sz w:val="18"/>
          <w:u w:val="single" w:color="1D71B8"/>
        </w:rPr>
        <w:t>part </w:t>
      </w:r>
      <w:r>
        <w:rPr>
          <w:color w:val="1D71B8"/>
          <w:spacing w:val="-5"/>
          <w:sz w:val="18"/>
          <w:u w:val="single" w:color="1D71B8"/>
        </w:rPr>
        <w:t>5</w:t>
      </w:r>
      <w:r>
        <w:rPr>
          <w:spacing w:val="-5"/>
          <w:sz w:val="18"/>
          <w:u w:val="none"/>
        </w:rPr>
        <w:t>.</w:t>
      </w:r>
    </w:p>
    <w:p>
      <w:pPr>
        <w:pStyle w:val="ListParagraph"/>
        <w:numPr>
          <w:ilvl w:val="0"/>
          <w:numId w:val="9"/>
        </w:numPr>
        <w:tabs>
          <w:tab w:pos="1684" w:val="left" w:leader="none"/>
        </w:tabs>
        <w:spacing w:line="240" w:lineRule="auto" w:before="0" w:after="0"/>
        <w:ind w:left="1684"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75</w:t>
      </w:r>
      <w:r>
        <w:rPr>
          <w:spacing w:val="-5"/>
          <w:sz w:val="18"/>
          <w:u w:val="none"/>
        </w:rPr>
        <w:t>.</w:t>
      </w:r>
    </w:p>
    <w:p>
      <w:pPr>
        <w:pStyle w:val="ListParagraph"/>
        <w:numPr>
          <w:ilvl w:val="0"/>
          <w:numId w:val="9"/>
        </w:numPr>
        <w:tabs>
          <w:tab w:pos="1684" w:val="left" w:leader="none"/>
        </w:tabs>
        <w:spacing w:line="240" w:lineRule="auto" w:before="0" w:after="0"/>
        <w:ind w:left="1684"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68</w:t>
      </w:r>
      <w:r>
        <w:rPr>
          <w:spacing w:val="-5"/>
          <w:sz w:val="18"/>
          <w:u w:val="none"/>
        </w:rPr>
        <w:t>.</w:t>
      </w:r>
    </w:p>
    <w:p>
      <w:pPr>
        <w:pStyle w:val="ListParagraph"/>
        <w:numPr>
          <w:ilvl w:val="0"/>
          <w:numId w:val="9"/>
        </w:numPr>
        <w:tabs>
          <w:tab w:pos="1684" w:val="left" w:leader="none"/>
        </w:tabs>
        <w:spacing w:line="240" w:lineRule="auto" w:before="1" w:after="0"/>
        <w:ind w:left="1684" w:right="810" w:hanging="567"/>
        <w:jc w:val="left"/>
        <w:rPr>
          <w:sz w:val="18"/>
        </w:rPr>
      </w:pPr>
      <w:r>
        <w:rPr>
          <w:sz w:val="18"/>
        </w:rPr>
        <w:t>Joint Committee on Human Rights, </w:t>
      </w:r>
      <w:r>
        <w:rPr>
          <w:color w:val="1D71B8"/>
          <w:sz w:val="18"/>
          <w:u w:val="single" w:color="1D71B8"/>
        </w:rPr>
        <w:t>Eleventh Report - Legislative Scrutiny: Nationality and Borders Bill (Part 5)—Modern</w:t>
      </w:r>
      <w:r>
        <w:rPr>
          <w:color w:val="1D71B8"/>
          <w:sz w:val="18"/>
          <w:u w:val="none"/>
        </w:rPr>
        <w:t> </w:t>
      </w:r>
      <w:r>
        <w:rPr>
          <w:color w:val="1D71B8"/>
          <w:sz w:val="18"/>
          <w:u w:val="single" w:color="1D71B8"/>
        </w:rPr>
        <w:t>slavery</w:t>
      </w:r>
      <w:r>
        <w:rPr>
          <w:color w:val="1D71B8"/>
          <w:spacing w:val="-4"/>
          <w:sz w:val="18"/>
          <w:u w:val="none"/>
        </w:rPr>
        <w:t> </w:t>
      </w:r>
      <w:r>
        <w:rPr>
          <w:sz w:val="18"/>
          <w:u w:val="none"/>
        </w:rPr>
        <w:t>(House</w:t>
      </w:r>
      <w:r>
        <w:rPr>
          <w:spacing w:val="-3"/>
          <w:sz w:val="18"/>
          <w:u w:val="none"/>
        </w:rPr>
        <w:t> </w:t>
      </w:r>
      <w:r>
        <w:rPr>
          <w:sz w:val="18"/>
          <w:u w:val="none"/>
        </w:rPr>
        <w:t>of</w:t>
      </w:r>
      <w:r>
        <w:rPr>
          <w:spacing w:val="-4"/>
          <w:sz w:val="18"/>
          <w:u w:val="none"/>
        </w:rPr>
        <w:t> </w:t>
      </w:r>
      <w:r>
        <w:rPr>
          <w:sz w:val="18"/>
          <w:u w:val="none"/>
        </w:rPr>
        <w:t>Commons</w:t>
      </w:r>
      <w:r>
        <w:rPr>
          <w:spacing w:val="-4"/>
          <w:sz w:val="18"/>
          <w:u w:val="none"/>
        </w:rPr>
        <w:t> </w:t>
      </w:r>
      <w:r>
        <w:rPr>
          <w:sz w:val="18"/>
          <w:u w:val="none"/>
        </w:rPr>
        <w:t>and</w:t>
      </w:r>
      <w:r>
        <w:rPr>
          <w:spacing w:val="-4"/>
          <w:sz w:val="18"/>
          <w:u w:val="none"/>
        </w:rPr>
        <w:t> </w:t>
      </w:r>
      <w:r>
        <w:rPr>
          <w:sz w:val="18"/>
          <w:u w:val="none"/>
        </w:rPr>
        <w:t>House</w:t>
      </w:r>
      <w:r>
        <w:rPr>
          <w:spacing w:val="-3"/>
          <w:sz w:val="18"/>
          <w:u w:val="none"/>
        </w:rPr>
        <w:t> </w:t>
      </w:r>
      <w:r>
        <w:rPr>
          <w:sz w:val="18"/>
          <w:u w:val="none"/>
        </w:rPr>
        <w:t>of</w:t>
      </w:r>
      <w:r>
        <w:rPr>
          <w:spacing w:val="-4"/>
          <w:sz w:val="18"/>
          <w:u w:val="none"/>
        </w:rPr>
        <w:t> </w:t>
      </w:r>
      <w:r>
        <w:rPr>
          <w:sz w:val="18"/>
          <w:u w:val="none"/>
        </w:rPr>
        <w:t>Lords,</w:t>
      </w:r>
      <w:r>
        <w:rPr>
          <w:spacing w:val="-3"/>
          <w:sz w:val="18"/>
          <w:u w:val="none"/>
        </w:rPr>
        <w:t> </w:t>
      </w:r>
      <w:r>
        <w:rPr>
          <w:sz w:val="18"/>
          <w:u w:val="none"/>
        </w:rPr>
        <w:t>2021-2022)</w:t>
      </w:r>
      <w:r>
        <w:rPr>
          <w:spacing w:val="-4"/>
          <w:sz w:val="18"/>
          <w:u w:val="none"/>
        </w:rPr>
        <w:t> </w:t>
      </w:r>
      <w:r>
        <w:rPr>
          <w:sz w:val="18"/>
          <w:u w:val="none"/>
        </w:rPr>
        <w:t>HC</w:t>
      </w:r>
      <w:r>
        <w:rPr>
          <w:spacing w:val="-4"/>
          <w:sz w:val="18"/>
          <w:u w:val="none"/>
        </w:rPr>
        <w:t> </w:t>
      </w:r>
      <w:r>
        <w:rPr>
          <w:sz w:val="18"/>
          <w:u w:val="none"/>
        </w:rPr>
        <w:t>964</w:t>
      </w:r>
      <w:r>
        <w:rPr>
          <w:spacing w:val="-3"/>
          <w:sz w:val="18"/>
          <w:u w:val="none"/>
        </w:rPr>
        <w:t> </w:t>
      </w:r>
      <w:r>
        <w:rPr>
          <w:sz w:val="18"/>
          <w:u w:val="none"/>
        </w:rPr>
        <w:t>/</w:t>
      </w:r>
      <w:r>
        <w:rPr>
          <w:spacing w:val="-4"/>
          <w:sz w:val="18"/>
          <w:u w:val="none"/>
        </w:rPr>
        <w:t> </w:t>
      </w:r>
      <w:r>
        <w:rPr>
          <w:sz w:val="18"/>
          <w:u w:val="none"/>
        </w:rPr>
        <w:t>HL</w:t>
      </w:r>
      <w:r>
        <w:rPr>
          <w:spacing w:val="-4"/>
          <w:sz w:val="18"/>
          <w:u w:val="none"/>
        </w:rPr>
        <w:t> </w:t>
      </w:r>
      <w:r>
        <w:rPr>
          <w:sz w:val="18"/>
          <w:u w:val="none"/>
        </w:rPr>
        <w:t>135;</w:t>
      </w:r>
      <w:r>
        <w:rPr>
          <w:spacing w:val="-3"/>
          <w:sz w:val="18"/>
          <w:u w:val="none"/>
        </w:rPr>
        <w:t> </w:t>
      </w:r>
      <w:r>
        <w:rPr>
          <w:sz w:val="18"/>
          <w:u w:val="none"/>
        </w:rPr>
        <w:t>Joint</w:t>
      </w:r>
      <w:r>
        <w:rPr>
          <w:spacing w:val="-3"/>
          <w:sz w:val="18"/>
          <w:u w:val="none"/>
        </w:rPr>
        <w:t> </w:t>
      </w:r>
      <w:r>
        <w:rPr>
          <w:sz w:val="18"/>
          <w:u w:val="none"/>
        </w:rPr>
        <w:t>Committee</w:t>
      </w:r>
      <w:r>
        <w:rPr>
          <w:spacing w:val="-3"/>
          <w:sz w:val="18"/>
          <w:u w:val="none"/>
        </w:rPr>
        <w:t> </w:t>
      </w:r>
      <w:r>
        <w:rPr>
          <w:sz w:val="18"/>
          <w:u w:val="none"/>
        </w:rPr>
        <w:t>on</w:t>
      </w:r>
      <w:r>
        <w:rPr>
          <w:spacing w:val="-4"/>
          <w:sz w:val="18"/>
          <w:u w:val="none"/>
        </w:rPr>
        <w:t> </w:t>
      </w:r>
      <w:r>
        <w:rPr>
          <w:sz w:val="18"/>
          <w:u w:val="none"/>
        </w:rPr>
        <w:t>Human</w:t>
      </w:r>
      <w:r>
        <w:rPr>
          <w:spacing w:val="-4"/>
          <w:sz w:val="18"/>
          <w:u w:val="none"/>
        </w:rPr>
        <w:t> </w:t>
      </w:r>
      <w:r>
        <w:rPr>
          <w:sz w:val="18"/>
          <w:u w:val="none"/>
        </w:rPr>
        <w:t>Rights,</w:t>
      </w:r>
      <w:r>
        <w:rPr>
          <w:spacing w:val="-4"/>
          <w:sz w:val="18"/>
          <w:u w:val="none"/>
        </w:rPr>
        <w:t> </w:t>
      </w:r>
      <w:hyperlink r:id="rId58">
        <w:r>
          <w:rPr>
            <w:color w:val="1D71B8"/>
            <w:sz w:val="18"/>
            <w:u w:val="single" w:color="1D71B8"/>
          </w:rPr>
          <w:t>Twelfth</w:t>
        </w:r>
      </w:hyperlink>
      <w:r>
        <w:rPr>
          <w:color w:val="1D71B8"/>
          <w:sz w:val="18"/>
          <w:u w:val="none"/>
        </w:rPr>
        <w:t> </w:t>
      </w:r>
      <w:hyperlink r:id="rId58">
        <w:r>
          <w:rPr>
            <w:color w:val="1D71B8"/>
            <w:sz w:val="18"/>
            <w:u w:val="single" w:color="1D71B8"/>
          </w:rPr>
          <w:t>Report - Legislative Scrutiny: Nationality and Borders Bill (Parts 1, 2 and 4) – Asylum, Home Office Decision-Making,</w:t>
        </w:r>
      </w:hyperlink>
    </w:p>
    <w:p>
      <w:pPr>
        <w:spacing w:before="1"/>
        <w:ind w:left="1684" w:right="0" w:firstLine="0"/>
        <w:jc w:val="left"/>
        <w:rPr>
          <w:sz w:val="18"/>
        </w:rPr>
      </w:pPr>
      <w:hyperlink r:id="rId58">
        <w:r>
          <w:rPr>
            <w:color w:val="1D71B8"/>
            <w:sz w:val="18"/>
            <w:u w:val="single" w:color="1D71B8"/>
          </w:rPr>
          <w:t>Age</w:t>
        </w:r>
        <w:r>
          <w:rPr>
            <w:color w:val="1D71B8"/>
            <w:spacing w:val="-5"/>
            <w:sz w:val="18"/>
            <w:u w:val="single" w:color="1D71B8"/>
          </w:rPr>
          <w:t> </w:t>
        </w:r>
        <w:r>
          <w:rPr>
            <w:color w:val="1D71B8"/>
            <w:sz w:val="18"/>
            <w:u w:val="single" w:color="1D71B8"/>
          </w:rPr>
          <w:t>Assessments,</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Deprivation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Citizenship</w:t>
        </w:r>
        <w:r>
          <w:rPr>
            <w:color w:val="1D71B8"/>
            <w:spacing w:val="-5"/>
            <w:sz w:val="18"/>
            <w:u w:val="single" w:color="1D71B8"/>
          </w:rPr>
          <w:t> </w:t>
        </w:r>
        <w:r>
          <w:rPr>
            <w:color w:val="1D71B8"/>
            <w:sz w:val="18"/>
            <w:u w:val="single" w:color="1D71B8"/>
          </w:rPr>
          <w:t>Orders</w:t>
        </w:r>
      </w:hyperlink>
      <w:r>
        <w:rPr>
          <w:color w:val="1D71B8"/>
          <w:spacing w:val="-4"/>
          <w:sz w:val="18"/>
          <w:u w:val="none"/>
        </w:rPr>
        <w:t> </w:t>
      </w:r>
      <w:r>
        <w:rPr>
          <w:sz w:val="18"/>
          <w:u w:val="none"/>
        </w:rPr>
        <w:t>(House</w:t>
      </w:r>
      <w:r>
        <w:rPr>
          <w:spacing w:val="-5"/>
          <w:sz w:val="18"/>
          <w:u w:val="none"/>
        </w:rPr>
        <w:t> </w:t>
      </w:r>
      <w:r>
        <w:rPr>
          <w:sz w:val="18"/>
          <w:u w:val="none"/>
        </w:rPr>
        <w:t>of</w:t>
      </w:r>
      <w:r>
        <w:rPr>
          <w:spacing w:val="-5"/>
          <w:sz w:val="18"/>
          <w:u w:val="none"/>
        </w:rPr>
        <w:t> </w:t>
      </w:r>
      <w:r>
        <w:rPr>
          <w:sz w:val="18"/>
          <w:u w:val="none"/>
        </w:rPr>
        <w:t>Commons</w:t>
      </w:r>
      <w:r>
        <w:rPr>
          <w:spacing w:val="-5"/>
          <w:sz w:val="18"/>
          <w:u w:val="none"/>
        </w:rPr>
        <w:t> </w:t>
      </w:r>
      <w:r>
        <w:rPr>
          <w:sz w:val="18"/>
          <w:u w:val="none"/>
        </w:rPr>
        <w:t>and</w:t>
      </w:r>
      <w:r>
        <w:rPr>
          <w:spacing w:val="-5"/>
          <w:sz w:val="18"/>
          <w:u w:val="none"/>
        </w:rPr>
        <w:t> </w:t>
      </w:r>
      <w:r>
        <w:rPr>
          <w:sz w:val="18"/>
          <w:u w:val="none"/>
        </w:rPr>
        <w:t>House</w:t>
      </w:r>
      <w:r>
        <w:rPr>
          <w:spacing w:val="-4"/>
          <w:sz w:val="18"/>
          <w:u w:val="none"/>
        </w:rPr>
        <w:t> </w:t>
      </w:r>
      <w:r>
        <w:rPr>
          <w:sz w:val="18"/>
          <w:u w:val="none"/>
        </w:rPr>
        <w:t>of</w:t>
      </w:r>
      <w:r>
        <w:rPr>
          <w:spacing w:val="-5"/>
          <w:sz w:val="18"/>
          <w:u w:val="none"/>
        </w:rPr>
        <w:t> </w:t>
      </w:r>
      <w:r>
        <w:rPr>
          <w:sz w:val="18"/>
          <w:u w:val="none"/>
        </w:rPr>
        <w:t>Lords,</w:t>
      </w:r>
      <w:r>
        <w:rPr>
          <w:spacing w:val="-4"/>
          <w:sz w:val="18"/>
          <w:u w:val="none"/>
        </w:rPr>
        <w:t> </w:t>
      </w:r>
      <w:r>
        <w:rPr>
          <w:sz w:val="18"/>
          <w:u w:val="none"/>
        </w:rPr>
        <w:t>2021-2022)</w:t>
      </w:r>
      <w:r>
        <w:rPr>
          <w:spacing w:val="-5"/>
          <w:sz w:val="18"/>
          <w:u w:val="none"/>
        </w:rPr>
        <w:t> </w:t>
      </w:r>
      <w:r>
        <w:rPr>
          <w:sz w:val="18"/>
          <w:u w:val="none"/>
        </w:rPr>
        <w:t>HC</w:t>
      </w:r>
      <w:r>
        <w:rPr>
          <w:spacing w:val="-6"/>
          <w:sz w:val="18"/>
          <w:u w:val="none"/>
        </w:rPr>
        <w:t> </w:t>
      </w:r>
      <w:r>
        <w:rPr>
          <w:spacing w:val="-4"/>
          <w:sz w:val="18"/>
          <w:u w:val="none"/>
        </w:rPr>
        <w:t>1007</w:t>
      </w:r>
    </w:p>
    <w:p>
      <w:pPr>
        <w:spacing w:before="0"/>
        <w:ind w:left="1684" w:right="1116" w:firstLine="0"/>
        <w:jc w:val="left"/>
        <w:rPr>
          <w:sz w:val="18"/>
        </w:rPr>
      </w:pPr>
      <w:r>
        <w:rPr>
          <w:sz w:val="18"/>
        </w:rPr>
        <w:t>/ HL 143; Joint Committee on Human Rights, </w:t>
      </w:r>
      <w:r>
        <w:rPr>
          <w:color w:val="1D71B8"/>
          <w:sz w:val="18"/>
          <w:u w:val="single" w:color="1D71B8"/>
        </w:rPr>
        <w:t>Ninth Report - Legislative Scrutiny: Nationality and Borders Bill (Part 3)</w:t>
      </w:r>
      <w:r>
        <w:rPr>
          <w:color w:val="1D71B8"/>
          <w:spacing w:val="40"/>
          <w:sz w:val="18"/>
          <w:u w:val="none"/>
        </w:rPr>
        <w:t> </w:t>
      </w:r>
      <w:r>
        <w:rPr>
          <w:color w:val="1D71B8"/>
          <w:sz w:val="18"/>
          <w:u w:val="single" w:color="1D71B8"/>
        </w:rPr>
        <w:t>–</w:t>
      </w:r>
      <w:r>
        <w:rPr>
          <w:color w:val="1D71B8"/>
          <w:spacing w:val="-4"/>
          <w:sz w:val="18"/>
          <w:u w:val="single" w:color="1D71B8"/>
        </w:rPr>
        <w:t> </w:t>
      </w:r>
      <w:r>
        <w:rPr>
          <w:color w:val="1D71B8"/>
          <w:sz w:val="18"/>
          <w:u w:val="single" w:color="1D71B8"/>
        </w:rPr>
        <w:t>Immigration</w:t>
      </w:r>
      <w:r>
        <w:rPr>
          <w:color w:val="1D71B8"/>
          <w:spacing w:val="-4"/>
          <w:sz w:val="18"/>
          <w:u w:val="single" w:color="1D71B8"/>
        </w:rPr>
        <w:t> </w:t>
      </w:r>
      <w:r>
        <w:rPr>
          <w:color w:val="1D71B8"/>
          <w:sz w:val="18"/>
          <w:u w:val="single" w:color="1D71B8"/>
        </w:rPr>
        <w:t>offences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enforcement</w:t>
      </w:r>
      <w:r>
        <w:rPr>
          <w:color w:val="1D71B8"/>
          <w:spacing w:val="-3"/>
          <w:sz w:val="18"/>
          <w:u w:val="single" w:color="1D71B8"/>
        </w:rPr>
        <w:t> </w:t>
      </w:r>
      <w:r>
        <w:rPr>
          <w:color w:val="1D71B8"/>
          <w:sz w:val="18"/>
          <w:u w:val="single" w:color="1D71B8"/>
        </w:rPr>
        <w:t>(</w:t>
      </w:r>
      <w:r>
        <w:rPr>
          <w:sz w:val="18"/>
          <w:u w:val="none"/>
        </w:rPr>
        <w:t>House</w:t>
      </w:r>
      <w:r>
        <w:rPr>
          <w:spacing w:val="-3"/>
          <w:sz w:val="18"/>
          <w:u w:val="none"/>
        </w:rPr>
        <w:t> </w:t>
      </w:r>
      <w:r>
        <w:rPr>
          <w:sz w:val="18"/>
          <w:u w:val="none"/>
        </w:rPr>
        <w:t>of</w:t>
      </w:r>
      <w:r>
        <w:rPr>
          <w:spacing w:val="-4"/>
          <w:sz w:val="18"/>
          <w:u w:val="none"/>
        </w:rPr>
        <w:t> </w:t>
      </w:r>
      <w:r>
        <w:rPr>
          <w:sz w:val="18"/>
          <w:u w:val="none"/>
        </w:rPr>
        <w:t>Commons</w:t>
      </w:r>
      <w:r>
        <w:rPr>
          <w:spacing w:val="-4"/>
          <w:sz w:val="18"/>
          <w:u w:val="none"/>
        </w:rPr>
        <w:t> </w:t>
      </w:r>
      <w:r>
        <w:rPr>
          <w:sz w:val="18"/>
          <w:u w:val="none"/>
        </w:rPr>
        <w:t>and</w:t>
      </w:r>
      <w:r>
        <w:rPr>
          <w:spacing w:val="-4"/>
          <w:sz w:val="18"/>
          <w:u w:val="none"/>
        </w:rPr>
        <w:t> </w:t>
      </w:r>
      <w:r>
        <w:rPr>
          <w:sz w:val="18"/>
          <w:u w:val="none"/>
        </w:rPr>
        <w:t>House</w:t>
      </w:r>
      <w:r>
        <w:rPr>
          <w:spacing w:val="-3"/>
          <w:sz w:val="18"/>
          <w:u w:val="none"/>
        </w:rPr>
        <w:t> </w:t>
      </w:r>
      <w:r>
        <w:rPr>
          <w:sz w:val="18"/>
          <w:u w:val="none"/>
        </w:rPr>
        <w:t>of</w:t>
      </w:r>
      <w:r>
        <w:rPr>
          <w:spacing w:val="-4"/>
          <w:sz w:val="18"/>
          <w:u w:val="none"/>
        </w:rPr>
        <w:t> </w:t>
      </w:r>
      <w:r>
        <w:rPr>
          <w:sz w:val="18"/>
          <w:u w:val="none"/>
        </w:rPr>
        <w:t>Lords,</w:t>
      </w:r>
      <w:r>
        <w:rPr>
          <w:spacing w:val="-3"/>
          <w:sz w:val="18"/>
          <w:u w:val="none"/>
        </w:rPr>
        <w:t> </w:t>
      </w:r>
      <w:r>
        <w:rPr>
          <w:sz w:val="18"/>
          <w:u w:val="none"/>
        </w:rPr>
        <w:t>2021-2022)</w:t>
      </w:r>
      <w:r>
        <w:rPr>
          <w:spacing w:val="-4"/>
          <w:sz w:val="18"/>
          <w:u w:val="none"/>
        </w:rPr>
        <w:t> </w:t>
      </w:r>
      <w:r>
        <w:rPr>
          <w:sz w:val="18"/>
          <w:u w:val="none"/>
        </w:rPr>
        <w:t>HC</w:t>
      </w:r>
      <w:r>
        <w:rPr>
          <w:spacing w:val="-4"/>
          <w:sz w:val="18"/>
          <w:u w:val="none"/>
        </w:rPr>
        <w:t> </w:t>
      </w:r>
      <w:r>
        <w:rPr>
          <w:sz w:val="18"/>
          <w:u w:val="none"/>
        </w:rPr>
        <w:t>885</w:t>
      </w:r>
      <w:r>
        <w:rPr>
          <w:spacing w:val="-3"/>
          <w:sz w:val="18"/>
          <w:u w:val="none"/>
        </w:rPr>
        <w:t> </w:t>
      </w:r>
      <w:r>
        <w:rPr>
          <w:sz w:val="18"/>
          <w:u w:val="none"/>
        </w:rPr>
        <w:t>/</w:t>
      </w:r>
      <w:r>
        <w:rPr>
          <w:spacing w:val="-4"/>
          <w:sz w:val="18"/>
          <w:u w:val="none"/>
        </w:rPr>
        <w:t> </w:t>
      </w:r>
      <w:r>
        <w:rPr>
          <w:sz w:val="18"/>
          <w:u w:val="none"/>
        </w:rPr>
        <w:t>HL</w:t>
      </w:r>
      <w:r>
        <w:rPr>
          <w:spacing w:val="-4"/>
          <w:sz w:val="18"/>
          <w:u w:val="none"/>
        </w:rPr>
        <w:t> </w:t>
      </w:r>
      <w:r>
        <w:rPr>
          <w:sz w:val="18"/>
          <w:u w:val="none"/>
        </w:rPr>
        <w:t>112;</w:t>
      </w:r>
      <w:r>
        <w:rPr>
          <w:spacing w:val="-3"/>
          <w:sz w:val="18"/>
          <w:u w:val="none"/>
        </w:rPr>
        <w:t> </w:t>
      </w:r>
      <w:r>
        <w:rPr>
          <w:sz w:val="18"/>
          <w:u w:val="none"/>
        </w:rPr>
        <w:t>Joint Committee</w:t>
      </w:r>
      <w:r>
        <w:rPr>
          <w:spacing w:val="-1"/>
          <w:sz w:val="18"/>
          <w:u w:val="none"/>
        </w:rPr>
        <w:t> </w:t>
      </w:r>
      <w:r>
        <w:rPr>
          <w:sz w:val="18"/>
          <w:u w:val="none"/>
        </w:rPr>
        <w:t>on</w:t>
      </w:r>
      <w:r>
        <w:rPr>
          <w:spacing w:val="-2"/>
          <w:sz w:val="18"/>
          <w:u w:val="none"/>
        </w:rPr>
        <w:t> </w:t>
      </w:r>
      <w:r>
        <w:rPr>
          <w:sz w:val="18"/>
          <w:u w:val="none"/>
        </w:rPr>
        <w:t>Human</w:t>
      </w:r>
      <w:r>
        <w:rPr>
          <w:spacing w:val="-2"/>
          <w:sz w:val="18"/>
          <w:u w:val="none"/>
        </w:rPr>
        <w:t> </w:t>
      </w:r>
      <w:r>
        <w:rPr>
          <w:sz w:val="18"/>
          <w:u w:val="none"/>
        </w:rPr>
        <w:t>Rights,</w:t>
      </w:r>
      <w:r>
        <w:rPr>
          <w:spacing w:val="-1"/>
          <w:sz w:val="18"/>
          <w:u w:val="none"/>
        </w:rPr>
        <w:t> </w:t>
      </w:r>
      <w:r>
        <w:rPr>
          <w:color w:val="1D71B8"/>
          <w:sz w:val="18"/>
          <w:u w:val="single" w:color="1D71B8"/>
        </w:rPr>
        <w:t>Seventh</w:t>
      </w:r>
      <w:r>
        <w:rPr>
          <w:color w:val="1D71B8"/>
          <w:spacing w:val="-2"/>
          <w:sz w:val="18"/>
          <w:u w:val="single" w:color="1D71B8"/>
        </w:rPr>
        <w:t> </w:t>
      </w:r>
      <w:r>
        <w:rPr>
          <w:color w:val="1D71B8"/>
          <w:sz w:val="18"/>
          <w:u w:val="single" w:color="1D71B8"/>
        </w:rPr>
        <w:t>Report</w:t>
      </w:r>
      <w:r>
        <w:rPr>
          <w:color w:val="1D71B8"/>
          <w:spacing w:val="-1"/>
          <w:sz w:val="18"/>
          <w:u w:val="single" w:color="1D71B8"/>
        </w:rPr>
        <w:t> </w:t>
      </w:r>
      <w:r>
        <w:rPr>
          <w:color w:val="1D71B8"/>
          <w:sz w:val="18"/>
          <w:u w:val="single" w:color="1D71B8"/>
        </w:rPr>
        <w:t>-</w:t>
      </w:r>
      <w:r>
        <w:rPr>
          <w:color w:val="1D71B8"/>
          <w:spacing w:val="-2"/>
          <w:sz w:val="18"/>
          <w:u w:val="single" w:color="1D71B8"/>
        </w:rPr>
        <w:t> </w:t>
      </w:r>
      <w:r>
        <w:rPr>
          <w:color w:val="1D71B8"/>
          <w:sz w:val="18"/>
          <w:u w:val="single" w:color="1D71B8"/>
        </w:rPr>
        <w:t>Legislati</w:t>
      </w:r>
      <w:r>
        <w:rPr>
          <w:color w:val="1D71B8"/>
          <w:sz w:val="18"/>
          <w:u w:val="none"/>
        </w:rPr>
        <w:t>v</w:t>
      </w:r>
      <w:r>
        <w:rPr>
          <w:color w:val="1D71B8"/>
          <w:sz w:val="18"/>
          <w:u w:val="single" w:color="1D71B8"/>
        </w:rPr>
        <w:t>e</w:t>
      </w:r>
      <w:r>
        <w:rPr>
          <w:color w:val="1D71B8"/>
          <w:spacing w:val="-1"/>
          <w:sz w:val="18"/>
          <w:u w:val="single" w:color="1D71B8"/>
        </w:rPr>
        <w:t> </w:t>
      </w:r>
      <w:r>
        <w:rPr>
          <w:color w:val="1D71B8"/>
          <w:sz w:val="18"/>
          <w:u w:val="single" w:color="1D71B8"/>
        </w:rPr>
        <w:t>Scruti</w:t>
      </w:r>
      <w:r>
        <w:rPr>
          <w:color w:val="1D71B8"/>
          <w:sz w:val="18"/>
          <w:u w:val="none"/>
        </w:rPr>
        <w:t>n</w:t>
      </w:r>
      <w:r>
        <w:rPr>
          <w:color w:val="1D71B8"/>
          <w:sz w:val="18"/>
          <w:u w:val="single" w:color="1D71B8"/>
        </w:rPr>
        <w:t>y:</w:t>
      </w:r>
      <w:r>
        <w:rPr>
          <w:color w:val="1D71B8"/>
          <w:spacing w:val="-1"/>
          <w:sz w:val="18"/>
          <w:u w:val="single" w:color="1D71B8"/>
        </w:rPr>
        <w:t> </w:t>
      </w:r>
      <w:r>
        <w:rPr>
          <w:color w:val="1D71B8"/>
          <w:sz w:val="18"/>
          <w:u w:val="single" w:color="1D71B8"/>
        </w:rPr>
        <w:t>Nationali</w:t>
      </w:r>
      <w:r>
        <w:rPr>
          <w:color w:val="1D71B8"/>
          <w:sz w:val="18"/>
          <w:u w:val="none"/>
        </w:rPr>
        <w:t>t</w:t>
      </w:r>
      <w:r>
        <w:rPr>
          <w:color w:val="1D71B8"/>
          <w:sz w:val="18"/>
          <w:u w:val="single" w:color="1D71B8"/>
        </w:rPr>
        <w:t>y</w:t>
      </w:r>
      <w:r>
        <w:rPr>
          <w:color w:val="1D71B8"/>
          <w:spacing w:val="-1"/>
          <w:sz w:val="18"/>
          <w:u w:val="single" w:color="1D71B8"/>
        </w:rPr>
        <w:t> </w:t>
      </w:r>
      <w:r>
        <w:rPr>
          <w:color w:val="1D71B8"/>
          <w:sz w:val="18"/>
          <w:u w:val="single" w:color="1D71B8"/>
        </w:rPr>
        <w:t>and</w:t>
      </w:r>
      <w:r>
        <w:rPr>
          <w:color w:val="1D71B8"/>
          <w:spacing w:val="-2"/>
          <w:sz w:val="18"/>
          <w:u w:val="single" w:color="1D71B8"/>
        </w:rPr>
        <w:t> </w:t>
      </w:r>
      <w:r>
        <w:rPr>
          <w:color w:val="1D71B8"/>
          <w:sz w:val="18"/>
          <w:u w:val="single" w:color="1D71B8"/>
        </w:rPr>
        <w:t>Borders</w:t>
      </w:r>
      <w:r>
        <w:rPr>
          <w:color w:val="1D71B8"/>
          <w:spacing w:val="-2"/>
          <w:sz w:val="18"/>
          <w:u w:val="single" w:color="1D71B8"/>
        </w:rPr>
        <w:t> </w:t>
      </w:r>
      <w:r>
        <w:rPr>
          <w:color w:val="1D71B8"/>
          <w:sz w:val="18"/>
          <w:u w:val="single" w:color="1D71B8"/>
        </w:rPr>
        <w:t>Bill</w:t>
      </w:r>
      <w:r>
        <w:rPr>
          <w:color w:val="1D71B8"/>
          <w:spacing w:val="-2"/>
          <w:sz w:val="18"/>
          <w:u w:val="single" w:color="1D71B8"/>
        </w:rPr>
        <w:t> </w:t>
      </w:r>
      <w:r>
        <w:rPr>
          <w:color w:val="1D71B8"/>
          <w:sz w:val="18"/>
          <w:u w:val="single" w:color="1D71B8"/>
        </w:rPr>
        <w:t>(Part</w:t>
      </w:r>
      <w:r>
        <w:rPr>
          <w:color w:val="1D71B8"/>
          <w:spacing w:val="-1"/>
          <w:sz w:val="18"/>
          <w:u w:val="single" w:color="1D71B8"/>
        </w:rPr>
        <w:t> </w:t>
      </w:r>
      <w:r>
        <w:rPr>
          <w:color w:val="1D71B8"/>
          <w:sz w:val="18"/>
          <w:u w:val="single" w:color="1D71B8"/>
        </w:rPr>
        <w:t>1)</w:t>
      </w:r>
      <w:r>
        <w:rPr>
          <w:color w:val="1D71B8"/>
          <w:spacing w:val="-2"/>
          <w:sz w:val="18"/>
          <w:u w:val="single" w:color="1D71B8"/>
        </w:rPr>
        <w:t> </w:t>
      </w:r>
      <w:r>
        <w:rPr>
          <w:color w:val="1D71B8"/>
          <w:sz w:val="18"/>
          <w:u w:val="single" w:color="1D71B8"/>
        </w:rPr>
        <w:t>–</w:t>
      </w:r>
      <w:r>
        <w:rPr>
          <w:color w:val="1D71B8"/>
          <w:spacing w:val="-2"/>
          <w:sz w:val="18"/>
          <w:u w:val="single" w:color="1D71B8"/>
        </w:rPr>
        <w:t> </w:t>
      </w:r>
      <w:r>
        <w:rPr>
          <w:color w:val="1D71B8"/>
          <w:sz w:val="18"/>
          <w:u w:val="single" w:color="1D71B8"/>
        </w:rPr>
        <w:t>Nationality</w:t>
      </w:r>
      <w:r>
        <w:rPr>
          <w:color w:val="1D71B8"/>
          <w:sz w:val="18"/>
          <w:u w:val="none"/>
        </w:rPr>
        <w:t> </w:t>
      </w:r>
      <w:r>
        <w:rPr>
          <w:sz w:val="18"/>
          <w:u w:val="none"/>
        </w:rPr>
        <w:t>(House of Commons and House of Lords, 2021-2022) HC 764 / HL 90.</w:t>
      </w:r>
    </w:p>
    <w:p>
      <w:pPr>
        <w:pStyle w:val="ListParagraph"/>
        <w:numPr>
          <w:ilvl w:val="0"/>
          <w:numId w:val="9"/>
        </w:numPr>
        <w:tabs>
          <w:tab w:pos="1684" w:val="left" w:leader="none"/>
        </w:tabs>
        <w:spacing w:line="240" w:lineRule="auto" w:before="1" w:after="0"/>
        <w:ind w:left="1684" w:right="785" w:hanging="567"/>
        <w:jc w:val="left"/>
        <w:rPr>
          <w:sz w:val="18"/>
        </w:rPr>
      </w:pPr>
      <w:r>
        <w:rPr>
          <w:sz w:val="18"/>
        </w:rPr>
        <w:t>Joint</w:t>
      </w:r>
      <w:r>
        <w:rPr>
          <w:spacing w:val="-5"/>
          <w:sz w:val="18"/>
        </w:rPr>
        <w:t> </w:t>
      </w:r>
      <w:r>
        <w:rPr>
          <w:sz w:val="18"/>
        </w:rPr>
        <w:t>Committee</w:t>
      </w:r>
      <w:r>
        <w:rPr>
          <w:spacing w:val="-5"/>
          <w:sz w:val="18"/>
        </w:rPr>
        <w:t> </w:t>
      </w:r>
      <w:r>
        <w:rPr>
          <w:sz w:val="18"/>
        </w:rPr>
        <w:t>on</w:t>
      </w:r>
      <w:r>
        <w:rPr>
          <w:spacing w:val="-5"/>
          <w:sz w:val="18"/>
        </w:rPr>
        <w:t> </w:t>
      </w:r>
      <w:r>
        <w:rPr>
          <w:sz w:val="18"/>
        </w:rPr>
        <w:t>Human</w:t>
      </w:r>
      <w:r>
        <w:rPr>
          <w:spacing w:val="-5"/>
          <w:sz w:val="18"/>
        </w:rPr>
        <w:t> </w:t>
      </w:r>
      <w:r>
        <w:rPr>
          <w:sz w:val="18"/>
        </w:rPr>
        <w:t>Rights,</w:t>
      </w:r>
      <w:r>
        <w:rPr>
          <w:spacing w:val="-5"/>
          <w:sz w:val="18"/>
        </w:rPr>
        <w:t> </w:t>
      </w:r>
      <w:r>
        <w:rPr>
          <w:color w:val="1D71B8"/>
          <w:sz w:val="18"/>
          <w:u w:val="single" w:color="1D71B8"/>
        </w:rPr>
        <w:t>Seventh</w:t>
      </w:r>
      <w:r>
        <w:rPr>
          <w:color w:val="1D71B8"/>
          <w:spacing w:val="-5"/>
          <w:sz w:val="18"/>
          <w:u w:val="single" w:color="1D71B8"/>
        </w:rPr>
        <w:t> </w:t>
      </w:r>
      <w:r>
        <w:rPr>
          <w:color w:val="1D71B8"/>
          <w:sz w:val="18"/>
          <w:u w:val="single" w:color="1D71B8"/>
        </w:rPr>
        <w:t>Report</w:t>
      </w:r>
      <w:r>
        <w:rPr>
          <w:color w:val="1D71B8"/>
          <w:spacing w:val="-5"/>
          <w:sz w:val="18"/>
          <w:u w:val="single" w:color="1D71B8"/>
        </w:rPr>
        <w:t> </w:t>
      </w:r>
      <w:r>
        <w:rPr>
          <w:color w:val="1D71B8"/>
          <w:sz w:val="18"/>
          <w:u w:val="single" w:color="1D71B8"/>
        </w:rPr>
        <w:t>-</w:t>
      </w:r>
      <w:r>
        <w:rPr>
          <w:color w:val="1D71B8"/>
          <w:spacing w:val="-5"/>
          <w:sz w:val="18"/>
          <w:u w:val="single" w:color="1D71B8"/>
        </w:rPr>
        <w:t> </w:t>
      </w:r>
      <w:r>
        <w:rPr>
          <w:color w:val="1D71B8"/>
          <w:sz w:val="18"/>
          <w:u w:val="single" w:color="1D71B8"/>
        </w:rPr>
        <w:t>Legislati</w:t>
      </w:r>
      <w:r>
        <w:rPr>
          <w:color w:val="1D71B8"/>
          <w:sz w:val="18"/>
          <w:u w:val="none"/>
        </w:rPr>
        <w:t>v</w:t>
      </w:r>
      <w:r>
        <w:rPr>
          <w:color w:val="1D71B8"/>
          <w:sz w:val="18"/>
          <w:u w:val="single" w:color="1D71B8"/>
        </w:rPr>
        <w:t>e</w:t>
      </w:r>
      <w:r>
        <w:rPr>
          <w:color w:val="1D71B8"/>
          <w:spacing w:val="-5"/>
          <w:sz w:val="18"/>
          <w:u w:val="single" w:color="1D71B8"/>
        </w:rPr>
        <w:t> </w:t>
      </w:r>
      <w:r>
        <w:rPr>
          <w:color w:val="1D71B8"/>
          <w:sz w:val="18"/>
          <w:u w:val="single" w:color="1D71B8"/>
        </w:rPr>
        <w:t>Scruti</w:t>
      </w:r>
      <w:r>
        <w:rPr>
          <w:color w:val="1D71B8"/>
          <w:sz w:val="18"/>
          <w:u w:val="none"/>
        </w:rPr>
        <w:t>n</w:t>
      </w:r>
      <w:r>
        <w:rPr>
          <w:color w:val="1D71B8"/>
          <w:sz w:val="18"/>
          <w:u w:val="single" w:color="1D71B8"/>
        </w:rPr>
        <w:t>y:</w:t>
      </w:r>
      <w:r>
        <w:rPr>
          <w:color w:val="1D71B8"/>
          <w:spacing w:val="-5"/>
          <w:sz w:val="18"/>
          <w:u w:val="single" w:color="1D71B8"/>
        </w:rPr>
        <w:t> </w:t>
      </w:r>
      <w:r>
        <w:rPr>
          <w:color w:val="1D71B8"/>
          <w:sz w:val="18"/>
          <w:u w:val="single" w:color="1D71B8"/>
        </w:rPr>
        <w:t>Nationali</w:t>
      </w:r>
      <w:r>
        <w:rPr>
          <w:color w:val="1D71B8"/>
          <w:sz w:val="18"/>
          <w:u w:val="none"/>
        </w:rPr>
        <w:t>t</w:t>
      </w:r>
      <w:r>
        <w:rPr>
          <w:color w:val="1D71B8"/>
          <w:sz w:val="18"/>
          <w:u w:val="single" w:color="1D71B8"/>
        </w:rPr>
        <w:t>y</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Borders</w:t>
      </w:r>
      <w:r>
        <w:rPr>
          <w:color w:val="1D71B8"/>
          <w:spacing w:val="-5"/>
          <w:sz w:val="18"/>
          <w:u w:val="single" w:color="1D71B8"/>
        </w:rPr>
        <w:t> </w:t>
      </w:r>
      <w:r>
        <w:rPr>
          <w:color w:val="1D71B8"/>
          <w:sz w:val="18"/>
          <w:u w:val="single" w:color="1D71B8"/>
        </w:rPr>
        <w:t>Bill</w:t>
      </w:r>
      <w:r>
        <w:rPr>
          <w:color w:val="1D71B8"/>
          <w:spacing w:val="-5"/>
          <w:sz w:val="18"/>
          <w:u w:val="single" w:color="1D71B8"/>
        </w:rPr>
        <w:t> </w:t>
      </w:r>
      <w:r>
        <w:rPr>
          <w:color w:val="1D71B8"/>
          <w:sz w:val="18"/>
          <w:u w:val="single" w:color="1D71B8"/>
        </w:rPr>
        <w:t>(Part</w:t>
      </w:r>
      <w:r>
        <w:rPr>
          <w:color w:val="1D71B8"/>
          <w:spacing w:val="-5"/>
          <w:sz w:val="18"/>
          <w:u w:val="single" w:color="1D71B8"/>
        </w:rPr>
        <w:t> </w:t>
      </w:r>
      <w:r>
        <w:rPr>
          <w:color w:val="1D71B8"/>
          <w:sz w:val="18"/>
          <w:u w:val="single" w:color="1D71B8"/>
        </w:rPr>
        <w:t>1)</w:t>
      </w:r>
      <w:r>
        <w:rPr>
          <w:color w:val="1D71B8"/>
          <w:spacing w:val="-5"/>
          <w:sz w:val="18"/>
          <w:u w:val="single" w:color="1D71B8"/>
        </w:rPr>
        <w:t> </w:t>
      </w:r>
      <w:r>
        <w:rPr>
          <w:color w:val="1D71B8"/>
          <w:sz w:val="18"/>
          <w:u w:val="single" w:color="1D71B8"/>
        </w:rPr>
        <w:t>–</w:t>
      </w:r>
      <w:r>
        <w:rPr>
          <w:color w:val="1D71B8"/>
          <w:spacing w:val="-5"/>
          <w:sz w:val="18"/>
          <w:u w:val="single" w:color="1D71B8"/>
        </w:rPr>
        <w:t> </w:t>
      </w:r>
      <w:r>
        <w:rPr>
          <w:color w:val="1D71B8"/>
          <w:sz w:val="18"/>
          <w:u w:val="single" w:color="1D71B8"/>
        </w:rPr>
        <w:t>Nationality</w:t>
      </w:r>
      <w:r>
        <w:rPr>
          <w:color w:val="1D71B8"/>
          <w:sz w:val="18"/>
          <w:u w:val="none"/>
        </w:rPr>
        <w:t> </w:t>
      </w:r>
      <w:r>
        <w:rPr>
          <w:sz w:val="18"/>
          <w:u w:val="none"/>
        </w:rPr>
        <w:t>(House of Commons and House of Lords, 2021-2022) HC 764 / HL 90.</w:t>
      </w:r>
    </w:p>
    <w:p>
      <w:pPr>
        <w:pStyle w:val="ListParagraph"/>
        <w:numPr>
          <w:ilvl w:val="0"/>
          <w:numId w:val="9"/>
        </w:numPr>
        <w:tabs>
          <w:tab w:pos="1684" w:val="left" w:leader="none"/>
        </w:tabs>
        <w:spacing w:line="240" w:lineRule="auto" w:before="0" w:after="0"/>
        <w:ind w:left="1684" w:right="878" w:hanging="567"/>
        <w:jc w:val="left"/>
        <w:rPr>
          <w:sz w:val="18"/>
        </w:rPr>
      </w:pPr>
      <w:r>
        <w:rPr>
          <w:sz w:val="18"/>
        </w:rPr>
        <w:t>Joint</w:t>
      </w:r>
      <w:r>
        <w:rPr>
          <w:spacing w:val="-5"/>
          <w:sz w:val="18"/>
        </w:rPr>
        <w:t> </w:t>
      </w:r>
      <w:r>
        <w:rPr>
          <w:sz w:val="18"/>
        </w:rPr>
        <w:t>Committee</w:t>
      </w:r>
      <w:r>
        <w:rPr>
          <w:spacing w:val="-5"/>
          <w:sz w:val="18"/>
        </w:rPr>
        <w:t> </w:t>
      </w:r>
      <w:r>
        <w:rPr>
          <w:sz w:val="18"/>
        </w:rPr>
        <w:t>on</w:t>
      </w:r>
      <w:r>
        <w:rPr>
          <w:spacing w:val="-6"/>
          <w:sz w:val="18"/>
        </w:rPr>
        <w:t> </w:t>
      </w:r>
      <w:r>
        <w:rPr>
          <w:sz w:val="18"/>
        </w:rPr>
        <w:t>Human</w:t>
      </w:r>
      <w:r>
        <w:rPr>
          <w:spacing w:val="-5"/>
          <w:sz w:val="18"/>
        </w:rPr>
        <w:t> </w:t>
      </w:r>
      <w:r>
        <w:rPr>
          <w:sz w:val="18"/>
        </w:rPr>
        <w:t>Rights,</w:t>
      </w:r>
      <w:r>
        <w:rPr>
          <w:spacing w:val="-5"/>
          <w:sz w:val="18"/>
        </w:rPr>
        <w:t> </w:t>
      </w:r>
      <w:r>
        <w:rPr>
          <w:color w:val="1D71B8"/>
          <w:sz w:val="18"/>
          <w:u w:val="single" w:color="1D71B8"/>
        </w:rPr>
        <w:t>Ninth</w:t>
      </w:r>
      <w:r>
        <w:rPr>
          <w:color w:val="1D71B8"/>
          <w:spacing w:val="-6"/>
          <w:sz w:val="18"/>
          <w:u w:val="single" w:color="1D71B8"/>
        </w:rPr>
        <w:t> </w:t>
      </w:r>
      <w:r>
        <w:rPr>
          <w:color w:val="1D71B8"/>
          <w:sz w:val="18"/>
          <w:u w:val="single" w:color="1D71B8"/>
        </w:rPr>
        <w:t>Report</w:t>
      </w:r>
      <w:r>
        <w:rPr>
          <w:color w:val="1D71B8"/>
          <w:spacing w:val="-5"/>
          <w:sz w:val="18"/>
          <w:u w:val="single" w:color="1D71B8"/>
        </w:rPr>
        <w:t> </w:t>
      </w:r>
      <w:r>
        <w:rPr>
          <w:color w:val="1D71B8"/>
          <w:sz w:val="18"/>
          <w:u w:val="single" w:color="1D71B8"/>
        </w:rPr>
        <w:t>-</w:t>
      </w:r>
      <w:r>
        <w:rPr>
          <w:color w:val="1D71B8"/>
          <w:spacing w:val="-6"/>
          <w:sz w:val="18"/>
          <w:u w:val="single" w:color="1D71B8"/>
        </w:rPr>
        <w:t> </w:t>
      </w:r>
      <w:r>
        <w:rPr>
          <w:color w:val="1D71B8"/>
          <w:sz w:val="18"/>
          <w:u w:val="single" w:color="1D71B8"/>
        </w:rPr>
        <w:t>Legislati</w:t>
      </w:r>
      <w:r>
        <w:rPr>
          <w:color w:val="1D71B8"/>
          <w:sz w:val="18"/>
          <w:u w:val="none"/>
        </w:rPr>
        <w:t>v</w:t>
      </w:r>
      <w:r>
        <w:rPr>
          <w:color w:val="1D71B8"/>
          <w:sz w:val="18"/>
          <w:u w:val="single" w:color="1D71B8"/>
        </w:rPr>
        <w:t>e</w:t>
      </w:r>
      <w:r>
        <w:rPr>
          <w:color w:val="1D71B8"/>
          <w:spacing w:val="-5"/>
          <w:sz w:val="18"/>
          <w:u w:val="single" w:color="1D71B8"/>
        </w:rPr>
        <w:t> </w:t>
      </w:r>
      <w:r>
        <w:rPr>
          <w:color w:val="1D71B8"/>
          <w:sz w:val="18"/>
          <w:u w:val="single" w:color="1D71B8"/>
        </w:rPr>
        <w:t>Scruti</w:t>
      </w:r>
      <w:r>
        <w:rPr>
          <w:color w:val="1D71B8"/>
          <w:sz w:val="18"/>
          <w:u w:val="none"/>
        </w:rPr>
        <w:t>n</w:t>
      </w:r>
      <w:r>
        <w:rPr>
          <w:color w:val="1D71B8"/>
          <w:sz w:val="18"/>
          <w:u w:val="single" w:color="1D71B8"/>
        </w:rPr>
        <w:t>y:</w:t>
      </w:r>
      <w:r>
        <w:rPr>
          <w:color w:val="1D71B8"/>
          <w:spacing w:val="-5"/>
          <w:sz w:val="18"/>
          <w:u w:val="single" w:color="1D71B8"/>
        </w:rPr>
        <w:t> </w:t>
      </w:r>
      <w:r>
        <w:rPr>
          <w:color w:val="1D71B8"/>
          <w:sz w:val="18"/>
          <w:u w:val="single" w:color="1D71B8"/>
        </w:rPr>
        <w:t>Nationali</w:t>
      </w:r>
      <w:r>
        <w:rPr>
          <w:color w:val="1D71B8"/>
          <w:sz w:val="18"/>
          <w:u w:val="none"/>
        </w:rPr>
        <w:t>t</w:t>
      </w:r>
      <w:r>
        <w:rPr>
          <w:color w:val="1D71B8"/>
          <w:sz w:val="18"/>
          <w:u w:val="single" w:color="1D71B8"/>
        </w:rPr>
        <w:t>y</w:t>
      </w:r>
      <w:r>
        <w:rPr>
          <w:color w:val="1D71B8"/>
          <w:spacing w:val="-5"/>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Borders</w:t>
      </w:r>
      <w:r>
        <w:rPr>
          <w:color w:val="1D71B8"/>
          <w:spacing w:val="-6"/>
          <w:sz w:val="18"/>
          <w:u w:val="single" w:color="1D71B8"/>
        </w:rPr>
        <w:t> </w:t>
      </w:r>
      <w:r>
        <w:rPr>
          <w:color w:val="1D71B8"/>
          <w:sz w:val="18"/>
          <w:u w:val="single" w:color="1D71B8"/>
        </w:rPr>
        <w:t>Bill</w:t>
      </w:r>
      <w:r>
        <w:rPr>
          <w:color w:val="1D71B8"/>
          <w:spacing w:val="-6"/>
          <w:sz w:val="18"/>
          <w:u w:val="single" w:color="1D71B8"/>
        </w:rPr>
        <w:t> </w:t>
      </w:r>
      <w:r>
        <w:rPr>
          <w:color w:val="1D71B8"/>
          <w:sz w:val="18"/>
          <w:u w:val="single" w:color="1D71B8"/>
        </w:rPr>
        <w:t>(Part</w:t>
      </w:r>
      <w:r>
        <w:rPr>
          <w:color w:val="1D71B8"/>
          <w:spacing w:val="-5"/>
          <w:sz w:val="18"/>
          <w:u w:val="single" w:color="1D71B8"/>
        </w:rPr>
        <w:t> </w:t>
      </w:r>
      <w:r>
        <w:rPr>
          <w:color w:val="1D71B8"/>
          <w:sz w:val="18"/>
          <w:u w:val="single" w:color="1D71B8"/>
        </w:rPr>
        <w:t>3)</w:t>
      </w:r>
      <w:r>
        <w:rPr>
          <w:color w:val="1D71B8"/>
          <w:spacing w:val="-6"/>
          <w:sz w:val="18"/>
          <w:u w:val="single" w:color="1D71B8"/>
        </w:rPr>
        <w:t> </w:t>
      </w:r>
      <w:r>
        <w:rPr>
          <w:color w:val="1D71B8"/>
          <w:sz w:val="18"/>
          <w:u w:val="single" w:color="1D71B8"/>
        </w:rPr>
        <w:t>–</w:t>
      </w:r>
      <w:r>
        <w:rPr>
          <w:color w:val="1D71B8"/>
          <w:spacing w:val="-6"/>
          <w:sz w:val="18"/>
          <w:u w:val="single" w:color="1D71B8"/>
        </w:rPr>
        <w:t> </w:t>
      </w:r>
      <w:r>
        <w:rPr>
          <w:color w:val="1D71B8"/>
          <w:sz w:val="18"/>
          <w:u w:val="single" w:color="1D71B8"/>
        </w:rPr>
        <w:t>Immigration</w:t>
      </w:r>
      <w:r>
        <w:rPr>
          <w:color w:val="1D71B8"/>
          <w:sz w:val="18"/>
          <w:u w:val="none"/>
        </w:rPr>
        <w:t> </w:t>
      </w:r>
      <w:r>
        <w:rPr>
          <w:color w:val="1D71B8"/>
          <w:sz w:val="18"/>
          <w:u w:val="single" w:color="1D71B8"/>
        </w:rPr>
        <w:t>offences and enforcement</w:t>
      </w:r>
      <w:r>
        <w:rPr>
          <w:color w:val="1D71B8"/>
          <w:sz w:val="18"/>
          <w:u w:val="none"/>
        </w:rPr>
        <w:t> </w:t>
      </w:r>
      <w:r>
        <w:rPr>
          <w:sz w:val="18"/>
          <w:u w:val="none"/>
        </w:rPr>
        <w:t>(House of Commons and House of Lords, 2021-2022) HC 885 / HL 112.</w:t>
      </w:r>
    </w:p>
    <w:p>
      <w:pPr>
        <w:pStyle w:val="ListParagraph"/>
        <w:numPr>
          <w:ilvl w:val="0"/>
          <w:numId w:val="9"/>
        </w:numPr>
        <w:tabs>
          <w:tab w:pos="1684" w:val="left" w:leader="none"/>
        </w:tabs>
        <w:spacing w:line="240" w:lineRule="auto" w:before="1" w:after="0"/>
        <w:ind w:left="1684" w:right="844" w:hanging="567"/>
        <w:jc w:val="left"/>
        <w:rPr>
          <w:sz w:val="18"/>
        </w:rPr>
      </w:pPr>
      <w:r>
        <w:rPr>
          <w:sz w:val="18"/>
        </w:rPr>
        <w:t>Northern Ireland Human Rights Commission and Equality Commission for Northern Ireland, </w:t>
      </w:r>
      <w:hyperlink r:id="rId59">
        <w:r>
          <w:rPr>
            <w:color w:val="1D71B8"/>
            <w:sz w:val="18"/>
            <w:u w:val="single" w:color="1D71B8"/>
          </w:rPr>
          <w:t>Joint NIHRC/ECNI Briefing</w:t>
        </w:r>
      </w:hyperlink>
      <w:r>
        <w:rPr>
          <w:color w:val="1D71B8"/>
          <w:sz w:val="18"/>
          <w:u w:val="none"/>
        </w:rPr>
        <w:t> </w:t>
      </w:r>
      <w:hyperlink r:id="rId59">
        <w:r>
          <w:rPr>
            <w:color w:val="1D71B8"/>
            <w:sz w:val="18"/>
            <w:u w:val="single" w:color="1D71B8"/>
          </w:rPr>
          <w:t>Paper</w:t>
        </w:r>
        <w:r>
          <w:rPr>
            <w:color w:val="1D71B8"/>
            <w:spacing w:val="-6"/>
            <w:sz w:val="18"/>
            <w:u w:val="single" w:color="1D71B8"/>
          </w:rPr>
          <w:t> </w:t>
        </w:r>
        <w:r>
          <w:rPr>
            <w:color w:val="1D71B8"/>
            <w:sz w:val="18"/>
            <w:u w:val="single" w:color="1D71B8"/>
          </w:rPr>
          <w:t>on</w:t>
        </w:r>
        <w:r>
          <w:rPr>
            <w:color w:val="1D71B8"/>
            <w:spacing w:val="-7"/>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Modern</w:t>
        </w:r>
        <w:r>
          <w:rPr>
            <w:color w:val="1D71B8"/>
            <w:spacing w:val="-7"/>
            <w:sz w:val="18"/>
            <w:u w:val="single" w:color="1D71B8"/>
          </w:rPr>
          <w:t> </w:t>
        </w:r>
        <w:r>
          <w:rPr>
            <w:color w:val="1D71B8"/>
            <w:sz w:val="18"/>
            <w:u w:val="single" w:color="1D71B8"/>
          </w:rPr>
          <w:t>Slavery</w:t>
        </w:r>
        <w:r>
          <w:rPr>
            <w:color w:val="1D71B8"/>
            <w:spacing w:val="-6"/>
            <w:sz w:val="18"/>
            <w:u w:val="single" w:color="1D71B8"/>
          </w:rPr>
          <w:t> </w:t>
        </w:r>
        <w:r>
          <w:rPr>
            <w:color w:val="1D71B8"/>
            <w:sz w:val="18"/>
            <w:u w:val="single" w:color="1D71B8"/>
          </w:rPr>
          <w:t>and</w:t>
        </w:r>
        <w:r>
          <w:rPr>
            <w:color w:val="1D71B8"/>
            <w:spacing w:val="-7"/>
            <w:sz w:val="18"/>
            <w:u w:val="single" w:color="1D71B8"/>
          </w:rPr>
          <w:t> </w:t>
        </w:r>
        <w:r>
          <w:rPr>
            <w:color w:val="1D71B8"/>
            <w:sz w:val="18"/>
            <w:u w:val="single" w:color="1D71B8"/>
          </w:rPr>
          <w:t>Human</w:t>
        </w:r>
        <w:r>
          <w:rPr>
            <w:color w:val="1D71B8"/>
            <w:spacing w:val="-7"/>
            <w:sz w:val="18"/>
            <w:u w:val="single" w:color="1D71B8"/>
          </w:rPr>
          <w:t> </w:t>
        </w:r>
        <w:r>
          <w:rPr>
            <w:color w:val="1D71B8"/>
            <w:sz w:val="18"/>
            <w:u w:val="single" w:color="1D71B8"/>
          </w:rPr>
          <w:t>Trafficking</w:t>
        </w:r>
        <w:r>
          <w:rPr>
            <w:color w:val="1D71B8"/>
            <w:spacing w:val="-6"/>
            <w:sz w:val="18"/>
            <w:u w:val="single" w:color="1D71B8"/>
          </w:rPr>
          <w:t> </w:t>
        </w:r>
        <w:r>
          <w:rPr>
            <w:color w:val="1D71B8"/>
            <w:sz w:val="18"/>
            <w:u w:val="single" w:color="1D71B8"/>
          </w:rPr>
          <w:t>and</w:t>
        </w:r>
        <w:r>
          <w:rPr>
            <w:color w:val="1D71B8"/>
            <w:spacing w:val="-7"/>
            <w:sz w:val="18"/>
            <w:u w:val="single" w:color="1D71B8"/>
          </w:rPr>
          <w:t> </w:t>
        </w:r>
        <w:r>
          <w:rPr>
            <w:color w:val="1D71B8"/>
            <w:sz w:val="18"/>
            <w:u w:val="single" w:color="1D71B8"/>
          </w:rPr>
          <w:t>Electronic</w:t>
        </w:r>
        <w:r>
          <w:rPr>
            <w:color w:val="1D71B8"/>
            <w:spacing w:val="-6"/>
            <w:sz w:val="18"/>
            <w:u w:val="single" w:color="1D71B8"/>
          </w:rPr>
          <w:t> </w:t>
        </w:r>
        <w:r>
          <w:rPr>
            <w:color w:val="1D71B8"/>
            <w:sz w:val="18"/>
            <w:u w:val="single" w:color="1D71B8"/>
          </w:rPr>
          <w:t>Travel</w:t>
        </w:r>
        <w:r>
          <w:rPr>
            <w:color w:val="1D71B8"/>
            <w:spacing w:val="-7"/>
            <w:sz w:val="18"/>
            <w:u w:val="single" w:color="1D71B8"/>
          </w:rPr>
          <w:t> </w:t>
        </w:r>
        <w:r>
          <w:rPr>
            <w:color w:val="1D71B8"/>
            <w:sz w:val="18"/>
            <w:u w:val="single" w:color="1D71B8"/>
          </w:rPr>
          <w:t>Authorisation</w:t>
        </w:r>
        <w:r>
          <w:rPr>
            <w:color w:val="1D71B8"/>
            <w:spacing w:val="-7"/>
            <w:sz w:val="18"/>
            <w:u w:val="single" w:color="1D71B8"/>
          </w:rPr>
          <w:t> </w:t>
        </w:r>
        <w:r>
          <w:rPr>
            <w:color w:val="1D71B8"/>
            <w:sz w:val="18"/>
            <w:u w:val="single" w:color="1D71B8"/>
          </w:rPr>
          <w:t>provisions</w:t>
        </w:r>
        <w:r>
          <w:rPr>
            <w:color w:val="1D71B8"/>
            <w:spacing w:val="-7"/>
            <w:sz w:val="18"/>
            <w:u w:val="single" w:color="1D71B8"/>
          </w:rPr>
          <w:t> </w:t>
        </w:r>
        <w:r>
          <w:rPr>
            <w:color w:val="1D71B8"/>
            <w:sz w:val="18"/>
            <w:u w:val="single" w:color="1D71B8"/>
          </w:rPr>
          <w:t>in</w:t>
        </w:r>
        <w:r>
          <w:rPr>
            <w:color w:val="1D71B8"/>
            <w:spacing w:val="-7"/>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Nationality</w:t>
        </w:r>
        <w:r>
          <w:rPr>
            <w:color w:val="1D71B8"/>
            <w:spacing w:val="-6"/>
            <w:sz w:val="18"/>
            <w:u w:val="single" w:color="1D71B8"/>
          </w:rPr>
          <w:t> </w:t>
        </w:r>
        <w:r>
          <w:rPr>
            <w:color w:val="1D71B8"/>
            <w:sz w:val="18"/>
            <w:u w:val="single" w:color="1D71B8"/>
          </w:rPr>
          <w:t>and</w:t>
        </w:r>
      </w:hyperlink>
      <w:r>
        <w:rPr>
          <w:color w:val="1D71B8"/>
          <w:sz w:val="18"/>
          <w:u w:val="none"/>
        </w:rPr>
        <w:t> </w:t>
      </w:r>
      <w:hyperlink r:id="rId59">
        <w:r>
          <w:rPr>
            <w:color w:val="1D71B8"/>
            <w:sz w:val="18"/>
            <w:u w:val="single" w:color="1D71B8"/>
          </w:rPr>
          <w:t>Borders Bill</w:t>
        </w:r>
      </w:hyperlink>
      <w:r>
        <w:rPr>
          <w:color w:val="1D71B8"/>
          <w:sz w:val="18"/>
          <w:u w:val="none"/>
        </w:rPr>
        <w:t> </w:t>
      </w:r>
      <w:r>
        <w:rPr>
          <w:sz w:val="18"/>
          <w:u w:val="none"/>
        </w:rPr>
        <w:t>(January 2022).</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78240">
                <wp:simplePos x="0" y="0"/>
                <wp:positionH relativeFrom="page">
                  <wp:posOffset>0</wp:posOffset>
                </wp:positionH>
                <wp:positionV relativeFrom="page">
                  <wp:posOffset>0</wp:posOffset>
                </wp:positionV>
                <wp:extent cx="7560309" cy="1155065"/>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7560309" cy="1155065"/>
                          <a:chExt cx="7560309" cy="1155065"/>
                        </a:xfrm>
                      </wpg:grpSpPr>
                      <wps:wsp>
                        <wps:cNvPr id="397" name="Graphic 397"/>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398" name="Graphic 398"/>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38240" id="docshapegroup313" coordorigin="0,0" coordsize="11906,1819">
                <v:shape style="position:absolute;left:0;top:0;width:11906;height:1819" id="docshape314"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2.3.3 Retained EU Law (Revocation and Re" w:id="58"/>
      <w:bookmarkEnd w:id="58"/>
      <w:r>
        <w:rPr/>
      </w:r>
      <w:bookmarkStart w:name="_bookmark23" w:id="59"/>
      <w:bookmarkEnd w:id="59"/>
      <w:r>
        <w:rPr/>
      </w:r>
      <w:r>
        <w:rPr>
          <w:b/>
          <w:color w:val="FFFFFF"/>
          <w:spacing w:val="-5"/>
          <w:position w:val="-1"/>
          <w:sz w:val="28"/>
        </w:rPr>
        <w:t>38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335"/>
      </w:pPr>
      <w:r>
        <w:rPr/>
        <w:t>Government</w:t>
      </w:r>
      <w:r>
        <w:rPr>
          <w:spacing w:val="-5"/>
        </w:rPr>
        <w:t> </w:t>
      </w:r>
      <w:r>
        <w:rPr/>
        <w:t>has</w:t>
      </w:r>
      <w:r>
        <w:rPr>
          <w:spacing w:val="-6"/>
        </w:rPr>
        <w:t> </w:t>
      </w:r>
      <w:r>
        <w:rPr/>
        <w:t>accepted</w:t>
      </w:r>
      <w:r>
        <w:rPr>
          <w:spacing w:val="-6"/>
        </w:rPr>
        <w:t> </w:t>
      </w:r>
      <w:r>
        <w:rPr/>
        <w:t>that</w:t>
      </w:r>
      <w:r>
        <w:rPr>
          <w:spacing w:val="-5"/>
        </w:rPr>
        <w:t> </w:t>
      </w:r>
      <w:r>
        <w:rPr/>
        <w:t>the</w:t>
      </w:r>
      <w:r>
        <w:rPr>
          <w:spacing w:val="-5"/>
        </w:rPr>
        <w:t> </w:t>
      </w:r>
      <w:r>
        <w:rPr/>
        <w:t>Victims’</w:t>
      </w:r>
      <w:r>
        <w:rPr>
          <w:spacing w:val="-5"/>
        </w:rPr>
        <w:t> </w:t>
      </w:r>
      <w:r>
        <w:rPr/>
        <w:t>Directive</w:t>
      </w:r>
      <w:r>
        <w:rPr>
          <w:spacing w:val="-5"/>
        </w:rPr>
        <w:t> </w:t>
      </w:r>
      <w:r>
        <w:rPr/>
        <w:t>is</w:t>
      </w:r>
      <w:r>
        <w:rPr>
          <w:spacing w:val="-6"/>
        </w:rPr>
        <w:t> </w:t>
      </w:r>
      <w:r>
        <w:rPr/>
        <w:t>within</w:t>
      </w:r>
      <w:r>
        <w:rPr>
          <w:spacing w:val="-6"/>
        </w:rPr>
        <w:t> </w:t>
      </w:r>
      <w:r>
        <w:rPr/>
        <w:t>the</w:t>
      </w:r>
      <w:r>
        <w:rPr>
          <w:spacing w:val="-5"/>
        </w:rPr>
        <w:t> </w:t>
      </w:r>
      <w:r>
        <w:rPr/>
        <w:t>scope</w:t>
      </w:r>
      <w:r>
        <w:rPr>
          <w:spacing w:val="-5"/>
        </w:rPr>
        <w:t> </w:t>
      </w:r>
      <w:r>
        <w:rPr/>
        <w:t>of</w:t>
      </w:r>
      <w:r>
        <w:rPr>
          <w:spacing w:val="-6"/>
        </w:rPr>
        <w:t> </w:t>
      </w:r>
      <w:r>
        <w:rPr/>
        <w:t>Article 2 WF and argues that the Trafficking Directive is also. The paper recommends</w:t>
      </w:r>
      <w:r>
        <w:rPr/>
        <w:t> that Northern Ireland be excluded from the provision disapplying the Trafficking Directive</w:t>
      </w:r>
      <w:r>
        <w:rPr>
          <w:spacing w:val="-9"/>
        </w:rPr>
        <w:t> </w:t>
      </w:r>
      <w:r>
        <w:rPr/>
        <w:t>(clause</w:t>
      </w:r>
      <w:r>
        <w:rPr>
          <w:spacing w:val="-6"/>
        </w:rPr>
        <w:t> </w:t>
      </w:r>
      <w:r>
        <w:rPr/>
        <w:t>67,</w:t>
      </w:r>
      <w:r>
        <w:rPr>
          <w:spacing w:val="-6"/>
        </w:rPr>
        <w:t> </w:t>
      </w:r>
      <w:r>
        <w:rPr/>
        <w:t>now</w:t>
      </w:r>
      <w:r>
        <w:rPr>
          <w:spacing w:val="-6"/>
        </w:rPr>
        <w:t> </w:t>
      </w:r>
      <w:r>
        <w:rPr/>
        <w:t>section</w:t>
      </w:r>
      <w:r>
        <w:rPr>
          <w:spacing w:val="-7"/>
        </w:rPr>
        <w:t> </w:t>
      </w:r>
      <w:r>
        <w:rPr/>
        <w:t>68).</w:t>
      </w:r>
      <w:r>
        <w:rPr>
          <w:vertAlign w:val="superscript"/>
        </w:rPr>
        <w:t>179</w:t>
      </w:r>
      <w:r>
        <w:rPr>
          <w:spacing w:val="-27"/>
          <w:vertAlign w:val="baseline"/>
        </w:rPr>
        <w:t> </w:t>
      </w:r>
      <w:r>
        <w:rPr>
          <w:vertAlign w:val="baseline"/>
        </w:rPr>
        <w:t>It</w:t>
      </w:r>
      <w:r>
        <w:rPr>
          <w:spacing w:val="-6"/>
          <w:vertAlign w:val="baseline"/>
        </w:rPr>
        <w:t> </w:t>
      </w:r>
      <w:r>
        <w:rPr>
          <w:vertAlign w:val="baseline"/>
        </w:rPr>
        <w:t>also</w:t>
      </w:r>
      <w:r>
        <w:rPr>
          <w:spacing w:val="-6"/>
          <w:vertAlign w:val="baseline"/>
        </w:rPr>
        <w:t> </w:t>
      </w:r>
      <w:r>
        <w:rPr>
          <w:vertAlign w:val="baseline"/>
        </w:rPr>
        <w:t>recommends</w:t>
      </w:r>
      <w:r>
        <w:rPr>
          <w:spacing w:val="-7"/>
          <w:vertAlign w:val="baseline"/>
        </w:rPr>
        <w:t> </w:t>
      </w:r>
      <w:r>
        <w:rPr>
          <w:vertAlign w:val="baseline"/>
        </w:rPr>
        <w:t>that</w:t>
      </w:r>
      <w:r>
        <w:rPr>
          <w:spacing w:val="-6"/>
          <w:vertAlign w:val="baseline"/>
        </w:rPr>
        <w:t> </w:t>
      </w:r>
      <w:r>
        <w:rPr>
          <w:vertAlign w:val="baseline"/>
        </w:rPr>
        <w:t>Northern</w:t>
      </w:r>
      <w:r>
        <w:rPr>
          <w:spacing w:val="-7"/>
          <w:vertAlign w:val="baseline"/>
        </w:rPr>
        <w:t> </w:t>
      </w:r>
      <w:r>
        <w:rPr>
          <w:vertAlign w:val="baseline"/>
        </w:rPr>
        <w:t>Ireland be</w:t>
      </w:r>
      <w:r>
        <w:rPr>
          <w:spacing w:val="-1"/>
          <w:vertAlign w:val="baseline"/>
        </w:rPr>
        <w:t> </w:t>
      </w:r>
      <w:r>
        <w:rPr>
          <w:vertAlign w:val="baseline"/>
        </w:rPr>
        <w:t>removed</w:t>
      </w:r>
      <w:r>
        <w:rPr>
          <w:spacing w:val="-2"/>
          <w:vertAlign w:val="baseline"/>
        </w:rPr>
        <w:t> </w:t>
      </w:r>
      <w:r>
        <w:rPr>
          <w:vertAlign w:val="baseline"/>
        </w:rPr>
        <w:t>from</w:t>
      </w:r>
      <w:r>
        <w:rPr>
          <w:spacing w:val="-1"/>
          <w:vertAlign w:val="baseline"/>
        </w:rPr>
        <w:t> </w:t>
      </w:r>
      <w:r>
        <w:rPr>
          <w:vertAlign w:val="baseline"/>
        </w:rPr>
        <w:t>the</w:t>
      </w:r>
      <w:r>
        <w:rPr>
          <w:spacing w:val="-1"/>
          <w:vertAlign w:val="baseline"/>
        </w:rPr>
        <w:t> </w:t>
      </w:r>
      <w:r>
        <w:rPr>
          <w:vertAlign w:val="baseline"/>
        </w:rPr>
        <w:t>extent</w:t>
      </w:r>
      <w:r>
        <w:rPr>
          <w:spacing w:val="-1"/>
          <w:vertAlign w:val="baseline"/>
        </w:rPr>
        <w:t> </w:t>
      </w:r>
      <w:r>
        <w:rPr>
          <w:vertAlign w:val="baseline"/>
        </w:rPr>
        <w:t>of</w:t>
      </w:r>
      <w:r>
        <w:rPr>
          <w:spacing w:val="-2"/>
          <w:vertAlign w:val="baseline"/>
        </w:rPr>
        <w:t> </w:t>
      </w:r>
      <w:r>
        <w:rPr>
          <w:vertAlign w:val="baseline"/>
        </w:rPr>
        <w:t>certain</w:t>
      </w:r>
      <w:r>
        <w:rPr>
          <w:spacing w:val="-2"/>
          <w:vertAlign w:val="baseline"/>
        </w:rPr>
        <w:t> </w:t>
      </w:r>
      <w:r>
        <w:rPr>
          <w:vertAlign w:val="baseline"/>
        </w:rPr>
        <w:t>clauses</w:t>
      </w:r>
      <w:r>
        <w:rPr>
          <w:spacing w:val="-2"/>
          <w:vertAlign w:val="baseline"/>
        </w:rPr>
        <w:t> </w:t>
      </w:r>
      <w:r>
        <w:rPr>
          <w:vertAlign w:val="baseline"/>
        </w:rPr>
        <w:t>that</w:t>
      </w:r>
      <w:r>
        <w:rPr>
          <w:spacing w:val="-1"/>
          <w:vertAlign w:val="baseline"/>
        </w:rPr>
        <w:t> </w:t>
      </w:r>
      <w:r>
        <w:rPr>
          <w:vertAlign w:val="baseline"/>
        </w:rPr>
        <w:t>arguably</w:t>
      </w:r>
      <w:r>
        <w:rPr>
          <w:spacing w:val="-1"/>
          <w:vertAlign w:val="baseline"/>
        </w:rPr>
        <w:t> </w:t>
      </w:r>
      <w:r>
        <w:rPr>
          <w:vertAlign w:val="baseline"/>
        </w:rPr>
        <w:t>diminish</w:t>
      </w:r>
      <w:r>
        <w:rPr>
          <w:spacing w:val="-2"/>
          <w:vertAlign w:val="baseline"/>
        </w:rPr>
        <w:t> </w:t>
      </w:r>
      <w:r>
        <w:rPr>
          <w:vertAlign w:val="baseline"/>
        </w:rPr>
        <w:t>protections available under the Trafficking Directive.</w:t>
      </w:r>
      <w:r>
        <w:rPr>
          <w:vertAlign w:val="superscript"/>
        </w:rPr>
        <w:t>180</w:t>
      </w:r>
      <w:r>
        <w:rPr>
          <w:vertAlign w:val="baseline"/>
        </w:rPr>
        <w:t> The paper raises concerns about the impact of the new Electronic Travel Authorisation (ETA) on people moving across the Irish land border and draws attention to the need for consideration more generally of Article 2 in the Bill and accompanying Explanatory Notes.</w:t>
      </w:r>
      <w:r>
        <w:rPr>
          <w:vertAlign w:val="superscript"/>
        </w:rPr>
        <w:t>181</w:t>
      </w:r>
      <w:r>
        <w:rPr>
          <w:spacing w:val="-22"/>
          <w:vertAlign w:val="baseline"/>
        </w:rPr>
        <w:t> </w:t>
      </w:r>
      <w:r>
        <w:rPr>
          <w:vertAlign w:val="baseline"/>
        </w:rPr>
        <w:t>These</w:t>
      </w:r>
    </w:p>
    <w:p>
      <w:pPr>
        <w:pStyle w:val="BodyText"/>
        <w:spacing w:line="232" w:lineRule="auto"/>
        <w:ind w:left="720" w:right="1087"/>
      </w:pPr>
      <w:r>
        <w:rPr/>
        <w:t>concerns</w:t>
      </w:r>
      <w:r>
        <w:rPr>
          <w:spacing w:val="-6"/>
        </w:rPr>
        <w:t> </w:t>
      </w:r>
      <w:r>
        <w:rPr/>
        <w:t>have</w:t>
      </w:r>
      <w:r>
        <w:rPr>
          <w:spacing w:val="-5"/>
        </w:rPr>
        <w:t> </w:t>
      </w:r>
      <w:r>
        <w:rPr/>
        <w:t>been</w:t>
      </w:r>
      <w:r>
        <w:rPr>
          <w:spacing w:val="-6"/>
        </w:rPr>
        <w:t> </w:t>
      </w:r>
      <w:r>
        <w:rPr/>
        <w:t>reiterated</w:t>
      </w:r>
      <w:r>
        <w:rPr>
          <w:spacing w:val="-6"/>
        </w:rPr>
        <w:t> </w:t>
      </w:r>
      <w:r>
        <w:rPr/>
        <w:t>by</w:t>
      </w:r>
      <w:r>
        <w:rPr>
          <w:spacing w:val="-5"/>
        </w:rPr>
        <w:t> </w:t>
      </w:r>
      <w:r>
        <w:rPr/>
        <w:t>the</w:t>
      </w:r>
      <w:r>
        <w:rPr>
          <w:spacing w:val="-5"/>
        </w:rPr>
        <w:t> </w:t>
      </w:r>
      <w:r>
        <w:rPr/>
        <w:t>two</w:t>
      </w:r>
      <w:r>
        <w:rPr>
          <w:spacing w:val="-6"/>
        </w:rPr>
        <w:t> </w:t>
      </w:r>
      <w:r>
        <w:rPr/>
        <w:t>Commissions</w:t>
      </w:r>
      <w:r>
        <w:rPr>
          <w:spacing w:val="-6"/>
        </w:rPr>
        <w:t> </w:t>
      </w:r>
      <w:r>
        <w:rPr/>
        <w:t>along</w:t>
      </w:r>
      <w:r>
        <w:rPr>
          <w:spacing w:val="-5"/>
        </w:rPr>
        <w:t> </w:t>
      </w:r>
      <w:r>
        <w:rPr/>
        <w:t>with</w:t>
      </w:r>
      <w:r>
        <w:rPr>
          <w:spacing w:val="-6"/>
        </w:rPr>
        <w:t> </w:t>
      </w:r>
      <w:r>
        <w:rPr/>
        <w:t>the</w:t>
      </w:r>
      <w:r>
        <w:rPr>
          <w:spacing w:val="-5"/>
        </w:rPr>
        <w:t> </w:t>
      </w:r>
      <w:r>
        <w:rPr/>
        <w:t>Irish</w:t>
      </w:r>
      <w:r>
        <w:rPr>
          <w:spacing w:val="-6"/>
        </w:rPr>
        <w:t> </w:t>
      </w:r>
      <w:r>
        <w:rPr/>
        <w:t>Human Rights and Equality Commission.</w:t>
      </w:r>
      <w:r>
        <w:rPr>
          <w:vertAlign w:val="superscript"/>
        </w:rPr>
        <w:t>182</w:t>
      </w:r>
    </w:p>
    <w:p>
      <w:pPr>
        <w:pStyle w:val="BodyText"/>
        <w:spacing w:line="232" w:lineRule="auto" w:before="266"/>
        <w:ind w:left="720" w:right="1143"/>
      </w:pPr>
      <w:r>
        <w:rPr/>
        <w:t>Correspondence between the Lords Subcommittee and the Home Office indicates that the Home Office at least favours a somewhat narrow scope of Article 2 WF. The Home Office refers to the provision in the 1998 Agreement on the right of victims to remember and to contribute to a changed society. For the Home Office this</w:t>
      </w:r>
      <w:r>
        <w:rPr>
          <w:spacing w:val="-5"/>
        </w:rPr>
        <w:t> </w:t>
      </w:r>
      <w:r>
        <w:rPr/>
        <w:t>implies</w:t>
      </w:r>
      <w:r>
        <w:rPr>
          <w:spacing w:val="-5"/>
        </w:rPr>
        <w:t> </w:t>
      </w:r>
      <w:r>
        <w:rPr/>
        <w:t>that</w:t>
      </w:r>
      <w:r>
        <w:rPr>
          <w:spacing w:val="-4"/>
        </w:rPr>
        <w:t> </w:t>
      </w:r>
      <w:r>
        <w:rPr/>
        <w:t>the</w:t>
      </w:r>
      <w:r>
        <w:rPr>
          <w:spacing w:val="-4"/>
        </w:rPr>
        <w:t> </w:t>
      </w:r>
      <w:r>
        <w:rPr/>
        <w:t>Victims’</w:t>
      </w:r>
      <w:r>
        <w:rPr>
          <w:spacing w:val="-4"/>
        </w:rPr>
        <w:t> </w:t>
      </w:r>
      <w:r>
        <w:rPr/>
        <w:t>Directive</w:t>
      </w:r>
      <w:r>
        <w:rPr>
          <w:spacing w:val="-4"/>
        </w:rPr>
        <w:t> </w:t>
      </w:r>
      <w:r>
        <w:rPr/>
        <w:t>can</w:t>
      </w:r>
      <w:r>
        <w:rPr>
          <w:spacing w:val="-5"/>
        </w:rPr>
        <w:t> </w:t>
      </w:r>
      <w:r>
        <w:rPr/>
        <w:t>only</w:t>
      </w:r>
      <w:r>
        <w:rPr>
          <w:spacing w:val="-4"/>
        </w:rPr>
        <w:t> </w:t>
      </w:r>
      <w:r>
        <w:rPr/>
        <w:t>fall</w:t>
      </w:r>
      <w:r>
        <w:rPr>
          <w:spacing w:val="-5"/>
        </w:rPr>
        <w:t> </w:t>
      </w:r>
      <w:r>
        <w:rPr/>
        <w:t>within</w:t>
      </w:r>
      <w:r>
        <w:rPr>
          <w:spacing w:val="-5"/>
        </w:rPr>
        <w:t> </w:t>
      </w:r>
      <w:r>
        <w:rPr/>
        <w:t>the</w:t>
      </w:r>
      <w:r>
        <w:rPr>
          <w:spacing w:val="-4"/>
        </w:rPr>
        <w:t> </w:t>
      </w:r>
      <w:r>
        <w:rPr/>
        <w:t>scope</w:t>
      </w:r>
      <w:r>
        <w:rPr>
          <w:spacing w:val="-4"/>
        </w:rPr>
        <w:t> </w:t>
      </w:r>
      <w:r>
        <w:rPr/>
        <w:t>of</w:t>
      </w:r>
      <w:r>
        <w:rPr>
          <w:spacing w:val="-5"/>
        </w:rPr>
        <w:t> </w:t>
      </w:r>
      <w:r>
        <w:rPr/>
        <w:t>Article</w:t>
      </w:r>
      <w:r>
        <w:rPr>
          <w:spacing w:val="-4"/>
        </w:rPr>
        <w:t> </w:t>
      </w:r>
      <w:r>
        <w:rPr/>
        <w:t>2</w:t>
      </w:r>
      <w:r>
        <w:rPr>
          <w:spacing w:val="-4"/>
        </w:rPr>
        <w:t> </w:t>
      </w:r>
      <w:r>
        <w:rPr/>
        <w:t>WF in so far as it relates to the victims of conflict-related violence to remember and</w:t>
      </w:r>
    </w:p>
    <w:p>
      <w:pPr>
        <w:pStyle w:val="BodyText"/>
        <w:spacing w:line="232" w:lineRule="auto"/>
        <w:ind w:left="720" w:right="1250"/>
      </w:pPr>
      <w:r>
        <w:rPr/>
        <w:t>to contribute; furthermore this means that the Trafficking Directive does not fall within the scope of Article 2 WF at all.</w:t>
      </w:r>
      <w:r>
        <w:rPr>
          <w:vertAlign w:val="superscript"/>
        </w:rPr>
        <w:t>183</w:t>
      </w:r>
      <w:r>
        <w:rPr>
          <w:vertAlign w:val="baseline"/>
        </w:rPr>
        <w:t> This effort to limit the scope of Article 2 WF</w:t>
      </w:r>
      <w:r>
        <w:rPr>
          <w:spacing w:val="-5"/>
          <w:vertAlign w:val="baseline"/>
        </w:rPr>
        <w:t> </w:t>
      </w:r>
      <w:r>
        <w:rPr>
          <w:vertAlign w:val="baseline"/>
        </w:rPr>
        <w:t>came</w:t>
      </w:r>
      <w:r>
        <w:rPr>
          <w:spacing w:val="-4"/>
          <w:vertAlign w:val="baseline"/>
        </w:rPr>
        <w:t> </w:t>
      </w:r>
      <w:r>
        <w:rPr>
          <w:vertAlign w:val="baseline"/>
        </w:rPr>
        <w:t>up</w:t>
      </w:r>
      <w:r>
        <w:rPr>
          <w:spacing w:val="-5"/>
          <w:vertAlign w:val="baseline"/>
        </w:rPr>
        <w:t> </w:t>
      </w:r>
      <w:r>
        <w:rPr>
          <w:vertAlign w:val="baseline"/>
        </w:rPr>
        <w:t>in</w:t>
      </w:r>
      <w:r>
        <w:rPr>
          <w:spacing w:val="-5"/>
          <w:vertAlign w:val="baseline"/>
        </w:rPr>
        <w:t> </w:t>
      </w:r>
      <w:r>
        <w:rPr>
          <w:vertAlign w:val="baseline"/>
        </w:rPr>
        <w:t>the</w:t>
      </w:r>
      <w:r>
        <w:rPr>
          <w:spacing w:val="-4"/>
          <w:vertAlign w:val="baseline"/>
        </w:rPr>
        <w:t> </w:t>
      </w:r>
      <w:r>
        <w:rPr>
          <w:i/>
          <w:vertAlign w:val="baseline"/>
        </w:rPr>
        <w:t>Angesom</w:t>
      </w:r>
      <w:r>
        <w:rPr>
          <w:i/>
          <w:spacing w:val="-5"/>
          <w:vertAlign w:val="baseline"/>
        </w:rPr>
        <w:t> </w:t>
      </w:r>
      <w:r>
        <w:rPr>
          <w:i/>
          <w:vertAlign w:val="baseline"/>
        </w:rPr>
        <w:t>case</w:t>
      </w:r>
      <w:r>
        <w:rPr>
          <w:i/>
          <w:spacing w:val="-5"/>
          <w:vertAlign w:val="baseline"/>
        </w:rPr>
        <w:t> </w:t>
      </w:r>
      <w:r>
        <w:rPr>
          <w:vertAlign w:val="baseline"/>
        </w:rPr>
        <w:t>(discussed</w:t>
      </w:r>
      <w:r>
        <w:rPr>
          <w:spacing w:val="-5"/>
          <w:vertAlign w:val="baseline"/>
        </w:rPr>
        <w:t> </w:t>
      </w:r>
      <w:r>
        <w:rPr>
          <w:vertAlign w:val="baseline"/>
        </w:rPr>
        <w:t>later)</w:t>
      </w:r>
      <w:r>
        <w:rPr>
          <w:spacing w:val="-5"/>
          <w:vertAlign w:val="baseline"/>
        </w:rPr>
        <w:t> </w:t>
      </w:r>
      <w:r>
        <w:rPr>
          <w:vertAlign w:val="baseline"/>
        </w:rPr>
        <w:t>where</w:t>
      </w:r>
      <w:r>
        <w:rPr>
          <w:spacing w:val="-4"/>
          <w:vertAlign w:val="baseline"/>
        </w:rPr>
        <w:t> </w:t>
      </w:r>
      <w:r>
        <w:rPr>
          <w:vertAlign w:val="baseline"/>
        </w:rPr>
        <w:t>the</w:t>
      </w:r>
      <w:r>
        <w:rPr>
          <w:spacing w:val="-4"/>
          <w:vertAlign w:val="baseline"/>
        </w:rPr>
        <w:t> </w:t>
      </w:r>
      <w:r>
        <w:rPr>
          <w:vertAlign w:val="baseline"/>
        </w:rPr>
        <w:t>High</w:t>
      </w:r>
      <w:r>
        <w:rPr>
          <w:spacing w:val="-5"/>
          <w:vertAlign w:val="baseline"/>
        </w:rPr>
        <w:t> </w:t>
      </w:r>
      <w:r>
        <w:rPr>
          <w:vertAlign w:val="baseline"/>
        </w:rPr>
        <w:t>Court</w:t>
      </w:r>
      <w:r>
        <w:rPr>
          <w:spacing w:val="-4"/>
          <w:vertAlign w:val="baseline"/>
        </w:rPr>
        <w:t> </w:t>
      </w:r>
      <w:r>
        <w:rPr>
          <w:vertAlign w:val="baseline"/>
        </w:rPr>
        <w:t>robustly rejected this attempt to limit the understanding of rights in the 1998 Agreement as being limited to conflict-related issues. This sort of argument from the Home Office also runs counter to the view of the High Court in the </w:t>
      </w:r>
      <w:r>
        <w:rPr>
          <w:i/>
          <w:vertAlign w:val="baseline"/>
        </w:rPr>
        <w:t>Legacy Act cases</w:t>
      </w:r>
      <w:r>
        <w:rPr>
          <w:i/>
          <w:vertAlign w:val="baseline"/>
        </w:rPr>
        <w:t> (Dillon and others) </w:t>
      </w:r>
      <w:r>
        <w:rPr>
          <w:vertAlign w:val="baseline"/>
        </w:rPr>
        <w:t>that Article 2 WF should be given a generous and purposive interpretation.</w:t>
      </w:r>
      <w:r>
        <w:rPr>
          <w:vertAlign w:val="superscript"/>
        </w:rPr>
        <w:t>184</w:t>
      </w:r>
      <w:r>
        <w:rPr>
          <w:vertAlign w:val="baseline"/>
        </w:rPr>
        <w:t> The </w:t>
      </w:r>
      <w:r>
        <w:rPr>
          <w:i/>
          <w:vertAlign w:val="baseline"/>
        </w:rPr>
        <w:t>Illegal Migration Act case </w:t>
      </w:r>
      <w:r>
        <w:rPr>
          <w:vertAlign w:val="baseline"/>
        </w:rPr>
        <w:t>now confirms that Article 2 WF covers issues of asylum and immigration, including the Trafficking Directive.</w:t>
      </w:r>
      <w:r>
        <w:rPr>
          <w:vertAlign w:val="superscript"/>
        </w:rPr>
        <w:t>185</w:t>
      </w:r>
    </w:p>
    <w:p>
      <w:pPr>
        <w:pStyle w:val="BodyText"/>
        <w:spacing w:before="34"/>
      </w:pPr>
    </w:p>
    <w:p>
      <w:pPr>
        <w:pStyle w:val="Heading3"/>
        <w:numPr>
          <w:ilvl w:val="2"/>
          <w:numId w:val="15"/>
        </w:numPr>
        <w:tabs>
          <w:tab w:pos="1358" w:val="left" w:leader="none"/>
        </w:tabs>
        <w:spacing w:line="336" w:lineRule="exact" w:before="0" w:after="0"/>
        <w:ind w:left="1358" w:right="0" w:hanging="638"/>
        <w:jc w:val="left"/>
      </w:pPr>
      <w:r>
        <w:rPr>
          <w:color w:val="004A93"/>
        </w:rPr>
        <w:t>Retained</w:t>
      </w:r>
      <w:r>
        <w:rPr>
          <w:color w:val="004A93"/>
          <w:spacing w:val="-7"/>
        </w:rPr>
        <w:t> </w:t>
      </w:r>
      <w:r>
        <w:rPr>
          <w:color w:val="004A93"/>
        </w:rPr>
        <w:t>EU</w:t>
      </w:r>
      <w:r>
        <w:rPr>
          <w:color w:val="004A93"/>
          <w:spacing w:val="-7"/>
        </w:rPr>
        <w:t> </w:t>
      </w:r>
      <w:r>
        <w:rPr>
          <w:color w:val="004A93"/>
        </w:rPr>
        <w:t>Law</w:t>
      </w:r>
      <w:r>
        <w:rPr>
          <w:color w:val="004A93"/>
          <w:spacing w:val="-7"/>
        </w:rPr>
        <w:t> </w:t>
      </w:r>
      <w:r>
        <w:rPr>
          <w:color w:val="004A93"/>
        </w:rPr>
        <w:t>(Revocation</w:t>
      </w:r>
      <w:r>
        <w:rPr>
          <w:color w:val="004A93"/>
          <w:spacing w:val="-7"/>
        </w:rPr>
        <w:t> </w:t>
      </w:r>
      <w:r>
        <w:rPr>
          <w:color w:val="004A93"/>
        </w:rPr>
        <w:t>and</w:t>
      </w:r>
      <w:r>
        <w:rPr>
          <w:color w:val="004A93"/>
          <w:spacing w:val="-7"/>
        </w:rPr>
        <w:t> </w:t>
      </w:r>
      <w:r>
        <w:rPr>
          <w:color w:val="004A93"/>
        </w:rPr>
        <w:t>Reform)</w:t>
      </w:r>
      <w:r>
        <w:rPr>
          <w:color w:val="004A93"/>
          <w:spacing w:val="-6"/>
        </w:rPr>
        <w:t> </w:t>
      </w:r>
      <w:r>
        <w:rPr>
          <w:color w:val="004A93"/>
        </w:rPr>
        <w:t>Act</w:t>
      </w:r>
      <w:r>
        <w:rPr>
          <w:color w:val="004A93"/>
          <w:spacing w:val="-7"/>
        </w:rPr>
        <w:t> </w:t>
      </w:r>
      <w:r>
        <w:rPr>
          <w:color w:val="004A93"/>
          <w:spacing w:val="-4"/>
        </w:rPr>
        <w:t>2023</w:t>
      </w:r>
    </w:p>
    <w:p>
      <w:pPr>
        <w:pStyle w:val="BodyText"/>
        <w:spacing w:line="232" w:lineRule="auto" w:before="2"/>
        <w:ind w:left="720" w:right="1087"/>
      </w:pPr>
      <w:r>
        <w:rPr/>
        <w:t>This</w:t>
      </w:r>
      <w:r>
        <w:rPr>
          <w:spacing w:val="-1"/>
        </w:rPr>
        <w:t> </w:t>
      </w:r>
      <w:r>
        <w:rPr/>
        <w:t>Bill</w:t>
      </w:r>
      <w:r>
        <w:rPr>
          <w:spacing w:val="-1"/>
        </w:rPr>
        <w:t> </w:t>
      </w:r>
      <w:r>
        <w:rPr/>
        <w:t>was</w:t>
      </w:r>
      <w:r>
        <w:rPr>
          <w:spacing w:val="-1"/>
        </w:rPr>
        <w:t> </w:t>
      </w:r>
      <w:r>
        <w:rPr/>
        <w:t>introduced</w:t>
      </w:r>
      <w:r>
        <w:rPr>
          <w:spacing w:val="-1"/>
        </w:rPr>
        <w:t> </w:t>
      </w:r>
      <w:r>
        <w:rPr/>
        <w:t>to</w:t>
      </w:r>
      <w:r>
        <w:rPr>
          <w:spacing w:val="-1"/>
        </w:rPr>
        <w:t> </w:t>
      </w:r>
      <w:r>
        <w:rPr/>
        <w:t>remove significant elements</w:t>
      </w:r>
      <w:r>
        <w:rPr>
          <w:spacing w:val="-1"/>
        </w:rPr>
        <w:t> </w:t>
      </w:r>
      <w:r>
        <w:rPr/>
        <w:t>of</w:t>
      </w:r>
      <w:r>
        <w:rPr>
          <w:spacing w:val="-1"/>
        </w:rPr>
        <w:t> </w:t>
      </w:r>
      <w:r>
        <w:rPr/>
        <w:t>retained</w:t>
      </w:r>
      <w:r>
        <w:rPr>
          <w:spacing w:val="-1"/>
        </w:rPr>
        <w:t> </w:t>
      </w:r>
      <w:r>
        <w:rPr/>
        <w:t>EU law.</w:t>
      </w:r>
      <w:r>
        <w:rPr>
          <w:spacing w:val="-1"/>
        </w:rPr>
        <w:t> </w:t>
      </w:r>
      <w:r>
        <w:rPr/>
        <w:t>When originally introduced as a Bill, this was drafted to provide a sunset clause for retained EU law, except where such law was expressly saved. This would have caused serious issues for legal certainty and the political accountability of the Government</w:t>
      </w:r>
      <w:r>
        <w:rPr>
          <w:spacing w:val="-7"/>
        </w:rPr>
        <w:t> </w:t>
      </w:r>
      <w:r>
        <w:rPr/>
        <w:t>to</w:t>
      </w:r>
      <w:r>
        <w:rPr>
          <w:spacing w:val="-8"/>
        </w:rPr>
        <w:t> </w:t>
      </w:r>
      <w:r>
        <w:rPr/>
        <w:t>Parliament</w:t>
      </w:r>
      <w:r>
        <w:rPr>
          <w:spacing w:val="-7"/>
        </w:rPr>
        <w:t> </w:t>
      </w:r>
      <w:r>
        <w:rPr/>
        <w:t>as</w:t>
      </w:r>
      <w:r>
        <w:rPr>
          <w:spacing w:val="-8"/>
        </w:rPr>
        <w:t> </w:t>
      </w:r>
      <w:r>
        <w:rPr/>
        <w:t>much</w:t>
      </w:r>
      <w:r>
        <w:rPr>
          <w:spacing w:val="-8"/>
        </w:rPr>
        <w:t> </w:t>
      </w:r>
      <w:r>
        <w:rPr/>
        <w:t>legislation</w:t>
      </w:r>
      <w:r>
        <w:rPr>
          <w:spacing w:val="-8"/>
        </w:rPr>
        <w:t> </w:t>
      </w:r>
      <w:r>
        <w:rPr/>
        <w:t>would</w:t>
      </w:r>
      <w:r>
        <w:rPr>
          <w:spacing w:val="-8"/>
        </w:rPr>
        <w:t> </w:t>
      </w:r>
      <w:r>
        <w:rPr/>
        <w:t>have</w:t>
      </w:r>
      <w:r>
        <w:rPr>
          <w:spacing w:val="-7"/>
        </w:rPr>
        <w:t> </w:t>
      </w:r>
      <w:r>
        <w:rPr/>
        <w:t>been</w:t>
      </w:r>
      <w:r>
        <w:rPr>
          <w:spacing w:val="-8"/>
        </w:rPr>
        <w:t> </w:t>
      </w:r>
      <w:r>
        <w:rPr/>
        <w:t>repealed</w:t>
      </w:r>
      <w:r>
        <w:rPr>
          <w:spacing w:val="-8"/>
        </w:rPr>
        <w:t> </w:t>
      </w:r>
      <w:r>
        <w:rPr/>
        <w:t>without any consideration by Parliament. The ECNI and NIHRC criticised the original</w:t>
      </w:r>
    </w:p>
    <w:p>
      <w:pPr>
        <w:pStyle w:val="BodyText"/>
        <w:spacing w:before="107"/>
        <w:rPr>
          <w:sz w:val="20"/>
        </w:rPr>
      </w:pPr>
      <w:r>
        <w:rPr/>
        <mc:AlternateContent>
          <mc:Choice Requires="wps">
            <w:drawing>
              <wp:anchor distT="0" distB="0" distL="0" distR="0" allowOverlap="1" layoutInCell="1" locked="0" behindDoc="1" simplePos="0" relativeHeight="487661056">
                <wp:simplePos x="0" y="0"/>
                <wp:positionH relativeFrom="page">
                  <wp:posOffset>647999</wp:posOffset>
                </wp:positionH>
                <wp:positionV relativeFrom="paragraph">
                  <wp:posOffset>238821</wp:posOffset>
                </wp:positionV>
                <wp:extent cx="6012180" cy="1270"/>
                <wp:effectExtent l="0" t="0" r="0" b="0"/>
                <wp:wrapTopAndBottom/>
                <wp:docPr id="399" name="Graphic 399"/>
                <wp:cNvGraphicFramePr>
                  <a:graphicFrameLocks/>
                </wp:cNvGraphicFramePr>
                <a:graphic>
                  <a:graphicData uri="http://schemas.microsoft.com/office/word/2010/wordprocessingShape">
                    <wps:wsp>
                      <wps:cNvPr id="399" name="Graphic 39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8.804815pt;width:473.4pt;height:.1pt;mso-position-horizontal-relative:page;mso-position-vertical-relative:paragraph;z-index:-15655424;mso-wrap-distance-left:0;mso-wrap-distance-right:0" id="docshape315" coordorigin="1020,376" coordsize="9468,0" path="m1020,376l10488,376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0" w:hanging="567"/>
        <w:jc w:val="left"/>
        <w:rPr>
          <w:sz w:val="18"/>
        </w:rPr>
      </w:pPr>
      <w:r>
        <w:rPr>
          <w:sz w:val="18"/>
        </w:rPr>
        <w:t>Ibid</w:t>
      </w:r>
      <w:r>
        <w:rPr>
          <w:spacing w:val="-4"/>
          <w:sz w:val="18"/>
        </w:rPr>
        <w:t> </w:t>
      </w:r>
      <w:r>
        <w:rPr>
          <w:spacing w:val="-5"/>
          <w:sz w:val="18"/>
        </w:rPr>
        <w:t>7.</w:t>
      </w:r>
    </w:p>
    <w:p>
      <w:pPr>
        <w:pStyle w:val="ListParagraph"/>
        <w:numPr>
          <w:ilvl w:val="0"/>
          <w:numId w:val="9"/>
        </w:numPr>
        <w:tabs>
          <w:tab w:pos="1287" w:val="left" w:leader="none"/>
        </w:tabs>
        <w:spacing w:line="240" w:lineRule="auto" w:before="1" w:after="0"/>
        <w:ind w:left="1287" w:right="0" w:hanging="567"/>
        <w:jc w:val="left"/>
        <w:rPr>
          <w:sz w:val="18"/>
        </w:rPr>
      </w:pPr>
      <w:r>
        <w:rPr>
          <w:sz w:val="18"/>
        </w:rPr>
        <w:t>Ibid</w:t>
      </w:r>
      <w:r>
        <w:rPr>
          <w:spacing w:val="-6"/>
          <w:sz w:val="18"/>
        </w:rPr>
        <w:t> </w:t>
      </w:r>
      <w:r>
        <w:rPr>
          <w:sz w:val="18"/>
        </w:rPr>
        <w:t>7-</w:t>
      </w:r>
      <w:r>
        <w:rPr>
          <w:spacing w:val="-5"/>
          <w:sz w:val="18"/>
        </w:rPr>
        <w:t>10.</w:t>
      </w:r>
    </w:p>
    <w:p>
      <w:pPr>
        <w:pStyle w:val="ListParagraph"/>
        <w:numPr>
          <w:ilvl w:val="0"/>
          <w:numId w:val="9"/>
        </w:numPr>
        <w:tabs>
          <w:tab w:pos="1287" w:val="left" w:leader="none"/>
        </w:tabs>
        <w:spacing w:line="240" w:lineRule="auto" w:before="0" w:after="0"/>
        <w:ind w:left="1287" w:right="0" w:hanging="567"/>
        <w:jc w:val="left"/>
        <w:rPr>
          <w:sz w:val="18"/>
        </w:rPr>
      </w:pPr>
      <w:r>
        <w:rPr>
          <w:sz w:val="18"/>
        </w:rPr>
        <w:t>Ibid</w:t>
      </w:r>
      <w:r>
        <w:rPr>
          <w:spacing w:val="-7"/>
          <w:sz w:val="18"/>
        </w:rPr>
        <w:t> </w:t>
      </w:r>
      <w:r>
        <w:rPr>
          <w:sz w:val="18"/>
        </w:rPr>
        <w:t>12-</w:t>
      </w:r>
      <w:r>
        <w:rPr>
          <w:spacing w:val="-5"/>
          <w:sz w:val="18"/>
        </w:rPr>
        <w:t>14.</w:t>
      </w:r>
    </w:p>
    <w:p>
      <w:pPr>
        <w:pStyle w:val="ListParagraph"/>
        <w:numPr>
          <w:ilvl w:val="0"/>
          <w:numId w:val="9"/>
        </w:numPr>
        <w:tabs>
          <w:tab w:pos="1287" w:val="left" w:leader="none"/>
        </w:tabs>
        <w:spacing w:line="240" w:lineRule="auto" w:before="0" w:after="0"/>
        <w:ind w:left="1287" w:right="1400" w:hanging="567"/>
        <w:jc w:val="both"/>
        <w:rPr>
          <w:sz w:val="18"/>
        </w:rPr>
      </w:pPr>
      <w:r>
        <w:rPr>
          <w:sz w:val="18"/>
        </w:rPr>
        <w:t>IHREC,</w:t>
      </w:r>
      <w:r>
        <w:rPr>
          <w:spacing w:val="-3"/>
          <w:sz w:val="18"/>
        </w:rPr>
        <w:t> </w:t>
      </w:r>
      <w:r>
        <w:rPr>
          <w:sz w:val="18"/>
        </w:rPr>
        <w:t>NIHRC</w:t>
      </w:r>
      <w:r>
        <w:rPr>
          <w:spacing w:val="-4"/>
          <w:sz w:val="18"/>
        </w:rPr>
        <w:t> </w:t>
      </w:r>
      <w:r>
        <w:rPr>
          <w:sz w:val="18"/>
        </w:rPr>
        <w:t>and</w:t>
      </w:r>
      <w:r>
        <w:rPr>
          <w:spacing w:val="-4"/>
          <w:sz w:val="18"/>
        </w:rPr>
        <w:t> </w:t>
      </w:r>
      <w:r>
        <w:rPr>
          <w:sz w:val="18"/>
        </w:rPr>
        <w:t>ECNI,</w:t>
      </w:r>
      <w:r>
        <w:rPr>
          <w:spacing w:val="-3"/>
          <w:sz w:val="1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island</w:t>
      </w:r>
      <w:r>
        <w:rPr>
          <w:color w:val="1D71B8"/>
          <w:spacing w:val="-4"/>
          <w:sz w:val="18"/>
          <w:u w:val="single" w:color="1D71B8"/>
        </w:rPr>
        <w:t> </w:t>
      </w:r>
      <w:r>
        <w:rPr>
          <w:color w:val="1D71B8"/>
          <w:sz w:val="18"/>
          <w:u w:val="single" w:color="1D71B8"/>
        </w:rPr>
        <w:t>of</w:t>
      </w:r>
      <w:r>
        <w:rPr>
          <w:color w:val="1D71B8"/>
          <w:spacing w:val="-3"/>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after</w:t>
      </w:r>
      <w:r>
        <w:rPr>
          <w:color w:val="1D71B8"/>
          <w:spacing w:val="-3"/>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Annual</w:t>
      </w:r>
      <w:r>
        <w:rPr>
          <w:color w:val="1D71B8"/>
          <w:spacing w:val="-4"/>
          <w:sz w:val="18"/>
          <w:u w:val="single" w:color="1D71B8"/>
        </w:rPr>
        <w:t> </w:t>
      </w:r>
      <w:r>
        <w:rPr>
          <w:color w:val="1D71B8"/>
          <w:sz w:val="18"/>
          <w:u w:val="single" w:color="1D71B8"/>
        </w:rPr>
        <w:t>joint</w:t>
      </w:r>
      <w:r>
        <w:rPr>
          <w:color w:val="1D71B8"/>
          <w:spacing w:val="-3"/>
          <w:sz w:val="18"/>
          <w:u w:val="single" w:color="1D71B8"/>
        </w:rPr>
        <w:t> </w:t>
      </w:r>
      <w:r>
        <w:rPr>
          <w:color w:val="1D71B8"/>
          <w:sz w:val="18"/>
          <w:u w:val="single" w:color="1D71B8"/>
        </w:rPr>
        <w:t>report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IHREC,</w:t>
      </w:r>
      <w:r>
        <w:rPr>
          <w:color w:val="1D71B8"/>
          <w:spacing w:val="-3"/>
          <w:sz w:val="18"/>
          <w:u w:val="single" w:color="1D71B8"/>
        </w:rPr>
        <w:t> </w:t>
      </w:r>
      <w:r>
        <w:rPr>
          <w:color w:val="1D71B8"/>
          <w:sz w:val="18"/>
          <w:u w:val="single" w:color="1D71B8"/>
        </w:rPr>
        <w:t>ECNI</w:t>
      </w:r>
      <w:r>
        <w:rPr>
          <w:color w:val="1D71B8"/>
          <w:spacing w:val="-3"/>
          <w:sz w:val="18"/>
          <w:u w:val="single" w:color="1D71B8"/>
        </w:rPr>
        <w:t> </w:t>
      </w:r>
      <w:r>
        <w:rPr>
          <w:color w:val="1D71B8"/>
          <w:sz w:val="18"/>
          <w:u w:val="single" w:color="1D71B8"/>
        </w:rPr>
        <w:t>and</w:t>
      </w:r>
      <w:r>
        <w:rPr>
          <w:color w:val="1D71B8"/>
          <w:sz w:val="18"/>
          <w:u w:val="none"/>
        </w:rPr>
        <w:t> </w:t>
      </w:r>
      <w:r>
        <w:rPr>
          <w:color w:val="1D71B8"/>
          <w:sz w:val="18"/>
          <w:u w:val="single" w:color="1D71B8"/>
        </w:rPr>
        <w:t>NIHRC</w:t>
      </w:r>
      <w:r>
        <w:rPr>
          <w:color w:val="1D71B8"/>
          <w:spacing w:val="-3"/>
          <w:sz w:val="18"/>
          <w:u w:val="single" w:color="1D71B8"/>
        </w:rPr>
        <w:t> </w:t>
      </w:r>
      <w:r>
        <w:rPr>
          <w:color w:val="1D71B8"/>
          <w:sz w:val="18"/>
          <w:u w:val="single" w:color="1D71B8"/>
        </w:rPr>
        <w:t>on</w:t>
      </w:r>
      <w:r>
        <w:rPr>
          <w:color w:val="1D71B8"/>
          <w:spacing w:val="-3"/>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implementation</w:t>
      </w:r>
      <w:r>
        <w:rPr>
          <w:color w:val="1D71B8"/>
          <w:spacing w:val="-3"/>
          <w:sz w:val="18"/>
          <w:u w:val="single" w:color="1D71B8"/>
        </w:rPr>
        <w:t> </w:t>
      </w:r>
      <w:r>
        <w:rPr>
          <w:color w:val="1D71B8"/>
          <w:sz w:val="18"/>
          <w:u w:val="single" w:color="1D71B8"/>
        </w:rPr>
        <w:t>of</w:t>
      </w:r>
      <w:r>
        <w:rPr>
          <w:color w:val="1D71B8"/>
          <w:spacing w:val="-3"/>
          <w:sz w:val="18"/>
          <w:u w:val="single" w:color="1D71B8"/>
        </w:rPr>
        <w:t> </w:t>
      </w:r>
      <w:r>
        <w:rPr>
          <w:color w:val="1D71B8"/>
          <w:sz w:val="18"/>
          <w:u w:val="single" w:color="1D71B8"/>
        </w:rPr>
        <w:t>Article</w:t>
      </w:r>
      <w:r>
        <w:rPr>
          <w:color w:val="1D71B8"/>
          <w:spacing w:val="-2"/>
          <w:sz w:val="18"/>
          <w:u w:val="single" w:color="1D71B8"/>
        </w:rPr>
        <w:t> </w:t>
      </w:r>
      <w:r>
        <w:rPr>
          <w:color w:val="1D71B8"/>
          <w:sz w:val="18"/>
          <w:u w:val="single" w:color="1D71B8"/>
        </w:rPr>
        <w:t>2</w:t>
      </w:r>
      <w:r>
        <w:rPr>
          <w:color w:val="1D71B8"/>
          <w:spacing w:val="-2"/>
          <w:sz w:val="18"/>
          <w:u w:val="single" w:color="1D71B8"/>
        </w:rPr>
        <w:t> </w:t>
      </w:r>
      <w:r>
        <w:rPr>
          <w:color w:val="1D71B8"/>
          <w:sz w:val="18"/>
          <w:u w:val="single" w:color="1D71B8"/>
        </w:rPr>
        <w:t>of</w:t>
      </w:r>
      <w:r>
        <w:rPr>
          <w:color w:val="1D71B8"/>
          <w:spacing w:val="-3"/>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Ireland/Northern</w:t>
      </w:r>
      <w:r>
        <w:rPr>
          <w:color w:val="1D71B8"/>
          <w:spacing w:val="-3"/>
          <w:sz w:val="18"/>
          <w:u w:val="single" w:color="1D71B8"/>
        </w:rPr>
        <w:t> </w:t>
      </w:r>
      <w:r>
        <w:rPr>
          <w:color w:val="1D71B8"/>
          <w:sz w:val="18"/>
          <w:u w:val="single" w:color="1D71B8"/>
        </w:rPr>
        <w:t>Ireland</w:t>
      </w:r>
      <w:r>
        <w:rPr>
          <w:color w:val="1D71B8"/>
          <w:spacing w:val="-3"/>
          <w:sz w:val="18"/>
          <w:u w:val="single" w:color="1D71B8"/>
        </w:rPr>
        <w:t> </w:t>
      </w:r>
      <w:r>
        <w:rPr>
          <w:color w:val="1D71B8"/>
          <w:sz w:val="18"/>
          <w:u w:val="single" w:color="1D71B8"/>
        </w:rPr>
        <w:t>Protocol.</w:t>
      </w:r>
      <w:r>
        <w:rPr>
          <w:color w:val="1D71B8"/>
          <w:spacing w:val="-3"/>
          <w:sz w:val="18"/>
          <w:u w:val="single" w:color="1D71B8"/>
        </w:rPr>
        <w:t> </w:t>
      </w:r>
      <w:r>
        <w:rPr>
          <w:color w:val="1D71B8"/>
          <w:sz w:val="18"/>
          <w:u w:val="single" w:color="1D71B8"/>
        </w:rPr>
        <w:t>January</w:t>
      </w:r>
      <w:r>
        <w:rPr>
          <w:color w:val="1D71B8"/>
          <w:spacing w:val="-2"/>
          <w:sz w:val="18"/>
          <w:u w:val="single" w:color="1D71B8"/>
        </w:rPr>
        <w:t> </w:t>
      </w:r>
      <w:r>
        <w:rPr>
          <w:color w:val="1D71B8"/>
          <w:sz w:val="18"/>
          <w:u w:val="single" w:color="1D71B8"/>
        </w:rPr>
        <w:t>2021-September</w:t>
      </w:r>
      <w:r>
        <w:rPr>
          <w:color w:val="1D71B8"/>
          <w:spacing w:val="-2"/>
          <w:sz w:val="18"/>
          <w:u w:val="single" w:color="1D71B8"/>
        </w:rPr>
        <w:t> </w:t>
      </w:r>
      <w:r>
        <w:rPr>
          <w:color w:val="1D71B8"/>
          <w:sz w:val="18"/>
          <w:u w:val="single" w:color="1D71B8"/>
        </w:rPr>
        <w:t>2022</w:t>
      </w:r>
      <w:r>
        <w:rPr>
          <w:color w:val="1D71B8"/>
          <w:spacing w:val="-2"/>
          <w:sz w:val="18"/>
          <w:u w:val="none"/>
        </w:rPr>
        <w:t> </w:t>
      </w:r>
      <w:r>
        <w:rPr>
          <w:sz w:val="18"/>
          <w:u w:val="none"/>
        </w:rPr>
        <w:t>(28 November 2022).</w:t>
      </w:r>
    </w:p>
    <w:p>
      <w:pPr>
        <w:pStyle w:val="ListParagraph"/>
        <w:numPr>
          <w:ilvl w:val="0"/>
          <w:numId w:val="9"/>
        </w:numPr>
        <w:tabs>
          <w:tab w:pos="1287" w:val="left" w:leader="none"/>
        </w:tabs>
        <w:spacing w:line="240" w:lineRule="auto" w:before="1" w:after="0"/>
        <w:ind w:left="1287" w:right="1359" w:hanging="567"/>
        <w:jc w:val="both"/>
        <w:rPr>
          <w:sz w:val="18"/>
        </w:rPr>
      </w:pPr>
      <w:r>
        <w:rPr>
          <w:sz w:val="18"/>
        </w:rPr>
        <w:t>House</w:t>
      </w:r>
      <w:r>
        <w:rPr>
          <w:spacing w:val="-4"/>
          <w:sz w:val="18"/>
        </w:rPr>
        <w:t> </w:t>
      </w:r>
      <w:r>
        <w:rPr>
          <w:sz w:val="18"/>
        </w:rPr>
        <w:t>of</w:t>
      </w:r>
      <w:r>
        <w:rPr>
          <w:spacing w:val="-5"/>
          <w:sz w:val="18"/>
        </w:rPr>
        <w:t> </w:t>
      </w:r>
      <w:r>
        <w:rPr>
          <w:sz w:val="18"/>
        </w:rPr>
        <w:t>Lords</w:t>
      </w:r>
      <w:r>
        <w:rPr>
          <w:spacing w:val="-5"/>
          <w:sz w:val="18"/>
        </w:rPr>
        <w:t> </w:t>
      </w:r>
      <w:r>
        <w:rPr>
          <w:sz w:val="18"/>
        </w:rPr>
        <w:t>Sub-Committee</w:t>
      </w:r>
      <w:r>
        <w:rPr>
          <w:spacing w:val="-4"/>
          <w:sz w:val="18"/>
        </w:rPr>
        <w:t> </w:t>
      </w:r>
      <w:r>
        <w:rPr>
          <w:sz w:val="18"/>
        </w:rPr>
        <w:t>on</w:t>
      </w:r>
      <w:r>
        <w:rPr>
          <w:spacing w:val="-5"/>
          <w:sz w:val="18"/>
        </w:rPr>
        <w:t> </w:t>
      </w:r>
      <w:r>
        <w:rPr>
          <w:sz w:val="18"/>
        </w:rPr>
        <w:t>the</w:t>
      </w:r>
      <w:r>
        <w:rPr>
          <w:spacing w:val="-4"/>
          <w:sz w:val="18"/>
        </w:rPr>
        <w:t> </w:t>
      </w:r>
      <w:r>
        <w:rPr>
          <w:sz w:val="18"/>
        </w:rPr>
        <w:t>Protocol</w:t>
      </w:r>
      <w:r>
        <w:rPr>
          <w:spacing w:val="-5"/>
          <w:sz w:val="18"/>
        </w:rPr>
        <w:t> </w:t>
      </w:r>
      <w:r>
        <w:rPr>
          <w:sz w:val="18"/>
        </w:rPr>
        <w:t>on</w:t>
      </w:r>
      <w:r>
        <w:rPr>
          <w:spacing w:val="-5"/>
          <w:sz w:val="18"/>
        </w:rPr>
        <w:t> </w:t>
      </w:r>
      <w:r>
        <w:rPr>
          <w:sz w:val="18"/>
        </w:rPr>
        <w:t>Ireland/Northern</w:t>
      </w:r>
      <w:r>
        <w:rPr>
          <w:spacing w:val="-5"/>
          <w:sz w:val="18"/>
        </w:rPr>
        <w:t> </w:t>
      </w:r>
      <w:r>
        <w:rPr>
          <w:sz w:val="18"/>
        </w:rPr>
        <w:t>Ireland,</w:t>
      </w:r>
      <w:r>
        <w:rPr>
          <w:spacing w:val="-6"/>
          <w:sz w:val="18"/>
        </w:rPr>
        <w:t> </w:t>
      </w:r>
      <w:r>
        <w:rPr>
          <w:color w:val="1D71B8"/>
          <w:sz w:val="18"/>
          <w:u w:val="single" w:color="1D71B8"/>
        </w:rPr>
        <w:t>Letter</w:t>
      </w:r>
      <w:r>
        <w:rPr>
          <w:color w:val="1D71B8"/>
          <w:spacing w:val="-4"/>
          <w:sz w:val="18"/>
          <w:u w:val="single" w:color="1D71B8"/>
        </w:rPr>
        <w:t> </w:t>
      </w:r>
      <w:r>
        <w:rPr>
          <w:color w:val="1D71B8"/>
          <w:sz w:val="18"/>
          <w:u w:val="single" w:color="1D71B8"/>
        </w:rPr>
        <w:t>from</w:t>
      </w:r>
      <w:r>
        <w:rPr>
          <w:color w:val="1D71B8"/>
          <w:spacing w:val="-4"/>
          <w:sz w:val="18"/>
          <w:u w:val="single" w:color="1D71B8"/>
        </w:rPr>
        <w:t> </w:t>
      </w:r>
      <w:r>
        <w:rPr>
          <w:color w:val="1D71B8"/>
          <w:sz w:val="18"/>
          <w:u w:val="single" w:color="1D71B8"/>
        </w:rPr>
        <w:t>Baroness</w:t>
      </w:r>
      <w:r>
        <w:rPr>
          <w:color w:val="1D71B8"/>
          <w:spacing w:val="-5"/>
          <w:sz w:val="18"/>
          <w:u w:val="single" w:color="1D71B8"/>
        </w:rPr>
        <w:t> </w:t>
      </w:r>
      <w:r>
        <w:rPr>
          <w:color w:val="1D71B8"/>
          <w:sz w:val="18"/>
          <w:u w:val="single" w:color="1D71B8"/>
        </w:rPr>
        <w:t>Williams</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Trafford,</w:t>
      </w:r>
      <w:r>
        <w:rPr>
          <w:color w:val="1D71B8"/>
          <w:sz w:val="18"/>
          <w:u w:val="none"/>
        </w:rPr>
        <w:t> </w:t>
      </w:r>
      <w:r>
        <w:rPr>
          <w:color w:val="1D71B8"/>
          <w:sz w:val="18"/>
          <w:u w:val="single" w:color="1D71B8"/>
        </w:rPr>
        <w:t>Minister</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State,</w:t>
      </w:r>
      <w:r>
        <w:rPr>
          <w:color w:val="1D71B8"/>
          <w:spacing w:val="-3"/>
          <w:sz w:val="18"/>
          <w:u w:val="single" w:color="1D71B8"/>
        </w:rPr>
        <w:t> </w:t>
      </w:r>
      <w:r>
        <w:rPr>
          <w:color w:val="1D71B8"/>
          <w:sz w:val="18"/>
          <w:u w:val="single" w:color="1D71B8"/>
        </w:rPr>
        <w:t>Home</w:t>
      </w:r>
      <w:r>
        <w:rPr>
          <w:color w:val="1D71B8"/>
          <w:spacing w:val="-3"/>
          <w:sz w:val="18"/>
          <w:u w:val="single" w:color="1D71B8"/>
        </w:rPr>
        <w:t> </w:t>
      </w:r>
      <w:r>
        <w:rPr>
          <w:color w:val="1D71B8"/>
          <w:sz w:val="18"/>
          <w:u w:val="single" w:color="1D71B8"/>
        </w:rPr>
        <w:t>Office,</w:t>
      </w:r>
      <w:r>
        <w:rPr>
          <w:color w:val="1D71B8"/>
          <w:spacing w:val="-3"/>
          <w:sz w:val="18"/>
          <w:u w:val="single" w:color="1D71B8"/>
        </w:rPr>
        <w:t> </w:t>
      </w:r>
      <w:r>
        <w:rPr>
          <w:color w:val="1D71B8"/>
          <w:sz w:val="18"/>
          <w:u w:val="single" w:color="1D71B8"/>
        </w:rPr>
        <w:t>re:</w:t>
      </w:r>
      <w:r>
        <w:rPr>
          <w:color w:val="1D71B8"/>
          <w:spacing w:val="-3"/>
          <w:sz w:val="18"/>
          <w:u w:val="single" w:color="1D71B8"/>
        </w:rPr>
        <w:t> </w:t>
      </w:r>
      <w:r>
        <w:rPr>
          <w:color w:val="1D71B8"/>
          <w:sz w:val="18"/>
          <w:u w:val="single" w:color="1D71B8"/>
        </w:rPr>
        <w:t>Nationality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Borders</w:t>
      </w:r>
      <w:r>
        <w:rPr>
          <w:color w:val="1D71B8"/>
          <w:spacing w:val="-4"/>
          <w:sz w:val="18"/>
          <w:u w:val="single" w:color="1D71B8"/>
        </w:rPr>
        <w:t> </w:t>
      </w:r>
      <w:r>
        <w:rPr>
          <w:color w:val="1D71B8"/>
          <w:sz w:val="18"/>
          <w:u w:val="single" w:color="1D71B8"/>
        </w:rPr>
        <w:t>Bill,</w:t>
      </w:r>
      <w:r>
        <w:rPr>
          <w:color w:val="1D71B8"/>
          <w:spacing w:val="-3"/>
          <w:sz w:val="18"/>
          <w:u w:val="single" w:color="1D71B8"/>
        </w:rPr>
        <w:t> </w:t>
      </w:r>
      <w:r>
        <w:rPr>
          <w:color w:val="1D71B8"/>
          <w:sz w:val="18"/>
          <w:u w:val="single" w:color="1D71B8"/>
        </w:rPr>
        <w:t>1</w:t>
      </w:r>
      <w:r>
        <w:rPr>
          <w:color w:val="1D71B8"/>
          <w:spacing w:val="-3"/>
          <w:sz w:val="18"/>
          <w:u w:val="single" w:color="1D71B8"/>
        </w:rPr>
        <w:t> </w:t>
      </w:r>
      <w:r>
        <w:rPr>
          <w:color w:val="1D71B8"/>
          <w:sz w:val="18"/>
          <w:u w:val="single" w:color="1D71B8"/>
        </w:rPr>
        <w:t>April</w:t>
      </w:r>
      <w:r>
        <w:rPr>
          <w:color w:val="1D71B8"/>
          <w:spacing w:val="-4"/>
          <w:sz w:val="18"/>
          <w:u w:val="single" w:color="1D71B8"/>
        </w:rPr>
        <w:t> </w:t>
      </w:r>
      <w:r>
        <w:rPr>
          <w:color w:val="1D71B8"/>
          <w:sz w:val="18"/>
          <w:u w:val="single" w:color="1D71B8"/>
        </w:rPr>
        <w:t>2022</w:t>
      </w:r>
      <w:r>
        <w:rPr>
          <w:color w:val="1D71B8"/>
          <w:spacing w:val="-5"/>
          <w:sz w:val="18"/>
          <w:u w:val="none"/>
        </w:rPr>
        <w:t> </w:t>
      </w:r>
      <w:r>
        <w:rPr>
          <w:sz w:val="18"/>
          <w:u w:val="none"/>
        </w:rPr>
        <w:t>(House</w:t>
      </w:r>
      <w:r>
        <w:rPr>
          <w:spacing w:val="-3"/>
          <w:sz w:val="18"/>
          <w:u w:val="none"/>
        </w:rPr>
        <w:t> </w:t>
      </w:r>
      <w:r>
        <w:rPr>
          <w:sz w:val="18"/>
          <w:u w:val="none"/>
        </w:rPr>
        <w:t>of</w:t>
      </w:r>
      <w:r>
        <w:rPr>
          <w:spacing w:val="-4"/>
          <w:sz w:val="18"/>
          <w:u w:val="none"/>
        </w:rPr>
        <w:t> </w:t>
      </w:r>
      <w:r>
        <w:rPr>
          <w:sz w:val="18"/>
          <w:u w:val="none"/>
        </w:rPr>
        <w:t>Lords,</w:t>
      </w:r>
      <w:r>
        <w:rPr>
          <w:spacing w:val="-3"/>
          <w:sz w:val="18"/>
          <w:u w:val="none"/>
        </w:rPr>
        <w:t> </w:t>
      </w:r>
      <w:r>
        <w:rPr>
          <w:sz w:val="18"/>
          <w:u w:val="none"/>
        </w:rPr>
        <w:t>2022-2023)</w:t>
      </w:r>
      <w:r>
        <w:rPr>
          <w:spacing w:val="-4"/>
          <w:sz w:val="18"/>
          <w:u w:val="none"/>
        </w:rPr>
        <w:t> </w:t>
      </w:r>
      <w:r>
        <w:rPr>
          <w:sz w:val="18"/>
          <w:u w:val="none"/>
        </w:rPr>
        <w:t>(1</w:t>
      </w:r>
      <w:r>
        <w:rPr>
          <w:spacing w:val="-3"/>
          <w:sz w:val="18"/>
          <w:u w:val="none"/>
        </w:rPr>
        <w:t> </w:t>
      </w:r>
      <w:r>
        <w:rPr>
          <w:sz w:val="18"/>
          <w:u w:val="none"/>
        </w:rPr>
        <w:t>April</w:t>
      </w:r>
      <w:r>
        <w:rPr>
          <w:spacing w:val="-4"/>
          <w:sz w:val="18"/>
          <w:u w:val="none"/>
        </w:rPr>
        <w:t> </w:t>
      </w:r>
      <w:r>
        <w:rPr>
          <w:sz w:val="18"/>
          <w:u w:val="none"/>
        </w:rPr>
        <w:t>2022).</w:t>
      </w:r>
    </w:p>
    <w:p>
      <w:pPr>
        <w:pStyle w:val="ListParagraph"/>
        <w:numPr>
          <w:ilvl w:val="0"/>
          <w:numId w:val="9"/>
        </w:numPr>
        <w:tabs>
          <w:tab w:pos="1286" w:val="left" w:leader="none"/>
        </w:tabs>
        <w:spacing w:line="240" w:lineRule="auto" w:before="1" w:after="0"/>
        <w:ind w:left="1286" w:right="0" w:hanging="566"/>
        <w:jc w:val="both"/>
        <w:rPr>
          <w:sz w:val="18"/>
        </w:rPr>
      </w:pPr>
      <w:r>
        <w:rPr>
          <w:color w:val="1D71B8"/>
          <w:sz w:val="18"/>
          <w:u w:val="single" w:color="1D71B8"/>
        </w:rPr>
        <w:t>Legacy</w:t>
      </w:r>
      <w:r>
        <w:rPr>
          <w:color w:val="1D71B8"/>
          <w:spacing w:val="-3"/>
          <w:sz w:val="18"/>
          <w:u w:val="single" w:color="1D71B8"/>
        </w:rPr>
        <w:t> </w:t>
      </w:r>
      <w:r>
        <w:rPr>
          <w:color w:val="1D71B8"/>
          <w:sz w:val="18"/>
          <w:u w:val="single" w:color="1D71B8"/>
        </w:rPr>
        <w:t>Act</w:t>
      </w:r>
      <w:r>
        <w:rPr>
          <w:color w:val="1D71B8"/>
          <w:spacing w:val="-3"/>
          <w:sz w:val="18"/>
          <w:u w:val="single" w:color="1D71B8"/>
        </w:rPr>
        <w:t> </w:t>
      </w:r>
      <w:r>
        <w:rPr>
          <w:color w:val="1D71B8"/>
          <w:sz w:val="18"/>
          <w:u w:val="single" w:color="1D71B8"/>
        </w:rPr>
        <w:t>cases</w:t>
      </w:r>
      <w:r>
        <w:rPr>
          <w:color w:val="1D71B8"/>
          <w:spacing w:val="-3"/>
          <w:sz w:val="18"/>
          <w:u w:val="single" w:color="1D71B8"/>
        </w:rPr>
        <w:t> </w:t>
      </w:r>
      <w:r>
        <w:rPr>
          <w:color w:val="1D71B8"/>
          <w:sz w:val="18"/>
          <w:u w:val="single" w:color="1D71B8"/>
        </w:rPr>
        <w:t>(Dillon</w:t>
      </w:r>
      <w:r>
        <w:rPr>
          <w:color w:val="1D71B8"/>
          <w:spacing w:val="-4"/>
          <w:sz w:val="18"/>
          <w:u w:val="single" w:color="1D71B8"/>
        </w:rPr>
        <w:t> </w:t>
      </w:r>
      <w:r>
        <w:rPr>
          <w:color w:val="1D71B8"/>
          <w:sz w:val="18"/>
          <w:u w:val="single" w:color="1D71B8"/>
        </w:rPr>
        <w:t>and</w:t>
      </w:r>
      <w:r>
        <w:rPr>
          <w:color w:val="1D71B8"/>
          <w:spacing w:val="-3"/>
          <w:sz w:val="18"/>
          <w:u w:val="single" w:color="1D71B8"/>
        </w:rPr>
        <w:t> </w:t>
      </w:r>
      <w:r>
        <w:rPr>
          <w:color w:val="1D71B8"/>
          <w:sz w:val="18"/>
          <w:u w:val="single" w:color="1D71B8"/>
        </w:rPr>
        <w:t>others)</w:t>
      </w:r>
      <w:r>
        <w:rPr>
          <w:i/>
          <w:sz w:val="18"/>
          <w:u w:val="none"/>
        </w:rPr>
        <w:t>,</w:t>
      </w:r>
      <w:r>
        <w:rPr>
          <w:i/>
          <w:spacing w:val="-3"/>
          <w:sz w:val="18"/>
          <w:u w:val="none"/>
        </w:rPr>
        <w:t> </w:t>
      </w:r>
      <w:r>
        <w:rPr>
          <w:sz w:val="18"/>
          <w:u w:val="none"/>
        </w:rPr>
        <w:t>[2024]</w:t>
      </w:r>
      <w:r>
        <w:rPr>
          <w:spacing w:val="-3"/>
          <w:sz w:val="18"/>
          <w:u w:val="none"/>
        </w:rPr>
        <w:t> </w:t>
      </w:r>
      <w:r>
        <w:rPr>
          <w:sz w:val="18"/>
          <w:u w:val="none"/>
        </w:rPr>
        <w:t>NIKB</w:t>
      </w:r>
      <w:r>
        <w:rPr>
          <w:spacing w:val="-3"/>
          <w:sz w:val="18"/>
          <w:u w:val="none"/>
        </w:rPr>
        <w:t> </w:t>
      </w:r>
      <w:r>
        <w:rPr>
          <w:sz w:val="18"/>
          <w:u w:val="none"/>
        </w:rPr>
        <w:t>11</w:t>
      </w:r>
      <w:r>
        <w:rPr>
          <w:spacing w:val="-2"/>
          <w:sz w:val="18"/>
          <w:u w:val="none"/>
        </w:rPr>
        <w:t> [535].</w:t>
      </w:r>
    </w:p>
    <w:p>
      <w:pPr>
        <w:pStyle w:val="ListParagraph"/>
        <w:numPr>
          <w:ilvl w:val="0"/>
          <w:numId w:val="9"/>
        </w:numPr>
        <w:tabs>
          <w:tab w:pos="1286" w:val="left" w:leader="none"/>
        </w:tabs>
        <w:spacing w:line="240" w:lineRule="auto" w:before="0" w:after="0"/>
        <w:ind w:left="1286" w:right="0" w:hanging="566"/>
        <w:jc w:val="both"/>
        <w:rPr>
          <w:sz w:val="18"/>
        </w:rPr>
      </w:pPr>
      <w:r>
        <w:rPr>
          <w:color w:val="1D71B8"/>
          <w:sz w:val="18"/>
          <w:u w:val="single" w:color="1D71B8"/>
        </w:rPr>
        <w:t>Illegal</w:t>
      </w:r>
      <w:r>
        <w:rPr>
          <w:color w:val="1D71B8"/>
          <w:spacing w:val="-9"/>
          <w:sz w:val="18"/>
          <w:u w:val="single" w:color="1D71B8"/>
        </w:rPr>
        <w:t> </w:t>
      </w:r>
      <w:r>
        <w:rPr>
          <w:color w:val="1D71B8"/>
          <w:sz w:val="18"/>
          <w:u w:val="single" w:color="1D71B8"/>
        </w:rPr>
        <w:t>Migration</w:t>
      </w:r>
      <w:r>
        <w:rPr>
          <w:color w:val="1D71B8"/>
          <w:spacing w:val="-8"/>
          <w:sz w:val="18"/>
          <w:u w:val="single" w:color="1D71B8"/>
        </w:rPr>
        <w:t> </w:t>
      </w:r>
      <w:r>
        <w:rPr>
          <w:color w:val="1D71B8"/>
          <w:sz w:val="18"/>
          <w:u w:val="single" w:color="1D71B8"/>
        </w:rPr>
        <w:t>Act</w:t>
      </w:r>
      <w:r>
        <w:rPr>
          <w:color w:val="1D71B8"/>
          <w:spacing w:val="-7"/>
          <w:sz w:val="18"/>
          <w:u w:val="single" w:color="1D71B8"/>
        </w:rPr>
        <w:t> </w:t>
      </w:r>
      <w:r>
        <w:rPr>
          <w:color w:val="1D71B8"/>
          <w:sz w:val="18"/>
          <w:u w:val="single" w:color="1D71B8"/>
        </w:rPr>
        <w:t>case</w:t>
      </w:r>
      <w:r>
        <w:rPr>
          <w:color w:val="1D71B8"/>
          <w:spacing w:val="-8"/>
          <w:sz w:val="18"/>
          <w:u w:val="none"/>
        </w:rPr>
        <w:t> </w:t>
      </w:r>
      <w:r>
        <w:rPr>
          <w:sz w:val="18"/>
          <w:u w:val="none"/>
        </w:rPr>
        <w:t>and</w:t>
      </w:r>
      <w:r>
        <w:rPr>
          <w:spacing w:val="-8"/>
          <w:sz w:val="18"/>
          <w:u w:val="none"/>
        </w:rPr>
        <w:t> </w:t>
      </w:r>
      <w:r>
        <w:rPr>
          <w:sz w:val="18"/>
          <w:u w:val="none"/>
        </w:rPr>
        <w:t>specifically</w:t>
      </w:r>
      <w:r>
        <w:rPr>
          <w:spacing w:val="-7"/>
          <w:sz w:val="18"/>
          <w:u w:val="none"/>
        </w:rPr>
        <w:t> </w:t>
      </w:r>
      <w:r>
        <w:rPr>
          <w:sz w:val="18"/>
          <w:u w:val="none"/>
        </w:rPr>
        <w:t>on</w:t>
      </w:r>
      <w:r>
        <w:rPr>
          <w:spacing w:val="-8"/>
          <w:sz w:val="18"/>
          <w:u w:val="none"/>
        </w:rPr>
        <w:t> </w:t>
      </w:r>
      <w:r>
        <w:rPr>
          <w:sz w:val="18"/>
          <w:u w:val="none"/>
        </w:rPr>
        <w:t>the</w:t>
      </w:r>
      <w:r>
        <w:rPr>
          <w:spacing w:val="-8"/>
          <w:sz w:val="18"/>
          <w:u w:val="none"/>
        </w:rPr>
        <w:t> </w:t>
      </w:r>
      <w:r>
        <w:rPr>
          <w:sz w:val="18"/>
          <w:u w:val="none"/>
        </w:rPr>
        <w:t>Trafficking</w:t>
      </w:r>
      <w:r>
        <w:rPr>
          <w:spacing w:val="-7"/>
          <w:sz w:val="18"/>
          <w:u w:val="none"/>
        </w:rPr>
        <w:t> </w:t>
      </w:r>
      <w:r>
        <w:rPr>
          <w:sz w:val="18"/>
          <w:u w:val="none"/>
        </w:rPr>
        <w:t>Directive:</w:t>
      </w:r>
      <w:r>
        <w:rPr>
          <w:spacing w:val="-7"/>
          <w:sz w:val="18"/>
          <w:u w:val="none"/>
        </w:rPr>
        <w:t> </w:t>
      </w:r>
      <w:r>
        <w:rPr>
          <w:sz w:val="18"/>
          <w:u w:val="none"/>
        </w:rPr>
        <w:t>[147]-</w:t>
      </w:r>
      <w:r>
        <w:rPr>
          <w:spacing w:val="-2"/>
          <w:sz w:val="18"/>
          <w:u w:val="none"/>
        </w:rPr>
        <w:t>[158].</w:t>
      </w:r>
    </w:p>
    <w:p>
      <w:pPr>
        <w:spacing w:after="0" w:line="240" w:lineRule="auto"/>
        <w:jc w:val="both"/>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79264">
                <wp:simplePos x="0" y="0"/>
                <wp:positionH relativeFrom="page">
                  <wp:posOffset>-2</wp:posOffset>
                </wp:positionH>
                <wp:positionV relativeFrom="page">
                  <wp:posOffset>0</wp:posOffset>
                </wp:positionV>
                <wp:extent cx="7560309" cy="1155065"/>
                <wp:effectExtent l="0" t="0" r="0" b="0"/>
                <wp:wrapNone/>
                <wp:docPr id="400" name="Group 400"/>
                <wp:cNvGraphicFramePr>
                  <a:graphicFrameLocks/>
                </wp:cNvGraphicFramePr>
                <a:graphic>
                  <a:graphicData uri="http://schemas.microsoft.com/office/word/2010/wordprocessingGroup">
                    <wpg:wgp>
                      <wpg:cNvPr id="400" name="Group 400"/>
                      <wpg:cNvGrpSpPr/>
                      <wpg:grpSpPr>
                        <a:xfrm>
                          <a:off x="0" y="0"/>
                          <a:ext cx="7560309" cy="1155065"/>
                          <a:chExt cx="7560309" cy="1155065"/>
                        </a:xfrm>
                      </wpg:grpSpPr>
                      <wps:wsp>
                        <wps:cNvPr id="401" name="Graphic 401"/>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402" name="Graphic 402"/>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37216" id="docshapegroup316" coordorigin="0,0" coordsize="11906,1819">
                <v:shape style="position:absolute;left:0;top:0;width:11906;height:1819" id="docshape317"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39</w:t>
      </w:r>
    </w:p>
    <w:p>
      <w:pPr>
        <w:pStyle w:val="BodyText"/>
        <w:rPr>
          <w:b/>
        </w:rPr>
      </w:pPr>
    </w:p>
    <w:p>
      <w:pPr>
        <w:pStyle w:val="BodyText"/>
        <w:spacing w:before="48"/>
        <w:rPr>
          <w:b/>
        </w:rPr>
      </w:pPr>
    </w:p>
    <w:p>
      <w:pPr>
        <w:pStyle w:val="BodyText"/>
        <w:spacing w:line="232" w:lineRule="auto"/>
        <w:ind w:left="1117" w:right="971"/>
      </w:pPr>
      <w:r>
        <w:rPr/>
        <w:t>draft, highlighting numerous concerns including several specific to Northern Ireland.</w:t>
      </w:r>
      <w:r>
        <w:rPr>
          <w:spacing w:val="-3"/>
        </w:rPr>
        <w:t> </w:t>
      </w:r>
      <w:r>
        <w:rPr/>
        <w:t>Among</w:t>
      </w:r>
      <w:r>
        <w:rPr>
          <w:spacing w:val="-2"/>
        </w:rPr>
        <w:t> </w:t>
      </w:r>
      <w:r>
        <w:rPr/>
        <w:t>the</w:t>
      </w:r>
      <w:r>
        <w:rPr>
          <w:spacing w:val="-2"/>
        </w:rPr>
        <w:t> </w:t>
      </w:r>
      <w:r>
        <w:rPr/>
        <w:t>Commissions’</w:t>
      </w:r>
      <w:r>
        <w:rPr>
          <w:spacing w:val="-2"/>
        </w:rPr>
        <w:t> </w:t>
      </w:r>
      <w:r>
        <w:rPr/>
        <w:t>concerns</w:t>
      </w:r>
      <w:r>
        <w:rPr>
          <w:spacing w:val="-3"/>
        </w:rPr>
        <w:t> </w:t>
      </w:r>
      <w:r>
        <w:rPr/>
        <w:t>were</w:t>
      </w:r>
      <w:r>
        <w:rPr>
          <w:spacing w:val="-2"/>
        </w:rPr>
        <w:t> </w:t>
      </w:r>
      <w:r>
        <w:rPr/>
        <w:t>the</w:t>
      </w:r>
      <w:r>
        <w:rPr>
          <w:spacing w:val="-2"/>
        </w:rPr>
        <w:t> </w:t>
      </w:r>
      <w:r>
        <w:rPr/>
        <w:t>risk</w:t>
      </w:r>
      <w:r>
        <w:rPr>
          <w:spacing w:val="-2"/>
        </w:rPr>
        <w:t> </w:t>
      </w:r>
      <w:r>
        <w:rPr/>
        <w:t>to</w:t>
      </w:r>
      <w:r>
        <w:rPr>
          <w:spacing w:val="-3"/>
        </w:rPr>
        <w:t> </w:t>
      </w:r>
      <w:r>
        <w:rPr/>
        <w:t>the</w:t>
      </w:r>
      <w:r>
        <w:rPr>
          <w:spacing w:val="-2"/>
        </w:rPr>
        <w:t> </w:t>
      </w:r>
      <w:r>
        <w:rPr/>
        <w:t>UK</w:t>
      </w:r>
      <w:r>
        <w:rPr>
          <w:spacing w:val="-2"/>
        </w:rPr>
        <w:t> </w:t>
      </w:r>
      <w:r>
        <w:rPr/>
        <w:t>constitutional convention</w:t>
      </w:r>
      <w:r>
        <w:rPr>
          <w:spacing w:val="-9"/>
        </w:rPr>
        <w:t> </w:t>
      </w:r>
      <w:r>
        <w:rPr/>
        <w:t>that</w:t>
      </w:r>
      <w:r>
        <w:rPr>
          <w:spacing w:val="-8"/>
        </w:rPr>
        <w:t> </w:t>
      </w:r>
      <w:r>
        <w:rPr/>
        <w:t>policy</w:t>
      </w:r>
      <w:r>
        <w:rPr>
          <w:spacing w:val="-8"/>
        </w:rPr>
        <w:t> </w:t>
      </w:r>
      <w:r>
        <w:rPr/>
        <w:t>changes</w:t>
      </w:r>
      <w:r>
        <w:rPr>
          <w:spacing w:val="-9"/>
        </w:rPr>
        <w:t> </w:t>
      </w:r>
      <w:r>
        <w:rPr/>
        <w:t>should</w:t>
      </w:r>
      <w:r>
        <w:rPr>
          <w:spacing w:val="-9"/>
        </w:rPr>
        <w:t> </w:t>
      </w:r>
      <w:r>
        <w:rPr/>
        <w:t>be</w:t>
      </w:r>
      <w:r>
        <w:rPr>
          <w:spacing w:val="-8"/>
        </w:rPr>
        <w:t> </w:t>
      </w:r>
      <w:r>
        <w:rPr/>
        <w:t>a</w:t>
      </w:r>
      <w:r>
        <w:rPr>
          <w:spacing w:val="-9"/>
        </w:rPr>
        <w:t> </w:t>
      </w:r>
      <w:r>
        <w:rPr/>
        <w:t>matter</w:t>
      </w:r>
      <w:r>
        <w:rPr>
          <w:spacing w:val="-8"/>
        </w:rPr>
        <w:t> </w:t>
      </w:r>
      <w:r>
        <w:rPr/>
        <w:t>for</w:t>
      </w:r>
      <w:r>
        <w:rPr>
          <w:spacing w:val="-8"/>
        </w:rPr>
        <w:t> </w:t>
      </w:r>
      <w:r>
        <w:rPr/>
        <w:t>Parliament,</w:t>
      </w:r>
      <w:r>
        <w:rPr>
          <w:spacing w:val="-8"/>
        </w:rPr>
        <w:t> </w:t>
      </w:r>
      <w:r>
        <w:rPr/>
        <w:t>that</w:t>
      </w:r>
      <w:r>
        <w:rPr>
          <w:spacing w:val="-8"/>
        </w:rPr>
        <w:t> </w:t>
      </w:r>
      <w:r>
        <w:rPr/>
        <w:t>the</w:t>
      </w:r>
      <w:r>
        <w:rPr>
          <w:spacing w:val="-8"/>
        </w:rPr>
        <w:t> </w:t>
      </w:r>
      <w:r>
        <w:rPr/>
        <w:t>failure to protect retained EU law within the scope of Article 2 WF would breach Article 2 WF, and that the speed of adoption of the bill and the sunsetting clause would preclude proper consultation, including that required under section 75 of the Northern Ireland Act.</w:t>
      </w:r>
      <w:r>
        <w:rPr>
          <w:vertAlign w:val="superscript"/>
        </w:rPr>
        <w:t>186</w:t>
      </w:r>
    </w:p>
    <w:p>
      <w:pPr>
        <w:pStyle w:val="BodyText"/>
        <w:spacing w:line="232" w:lineRule="auto" w:before="272"/>
        <w:ind w:left="1117" w:right="888"/>
      </w:pPr>
      <w:r>
        <w:rPr/>
        <w:t>In light of the criticisms, the draft of the Bill was changed during its passage through</w:t>
      </w:r>
      <w:r>
        <w:rPr>
          <w:spacing w:val="-8"/>
        </w:rPr>
        <w:t> </w:t>
      </w:r>
      <w:r>
        <w:rPr/>
        <w:t>Parliament.</w:t>
      </w:r>
      <w:r>
        <w:rPr>
          <w:spacing w:val="-8"/>
        </w:rPr>
        <w:t> </w:t>
      </w:r>
      <w:r>
        <w:rPr/>
        <w:t>Nevertheless,</w:t>
      </w:r>
      <w:r>
        <w:rPr>
          <w:spacing w:val="-7"/>
        </w:rPr>
        <w:t> </w:t>
      </w:r>
      <w:r>
        <w:rPr/>
        <w:t>the</w:t>
      </w:r>
      <w:r>
        <w:rPr>
          <w:spacing w:val="-7"/>
        </w:rPr>
        <w:t> </w:t>
      </w:r>
      <w:r>
        <w:rPr/>
        <w:t>Act</w:t>
      </w:r>
      <w:r>
        <w:rPr>
          <w:spacing w:val="-7"/>
        </w:rPr>
        <w:t> </w:t>
      </w:r>
      <w:r>
        <w:rPr/>
        <w:t>makes</w:t>
      </w:r>
      <w:r>
        <w:rPr>
          <w:spacing w:val="-8"/>
        </w:rPr>
        <w:t> </w:t>
      </w:r>
      <w:r>
        <w:rPr/>
        <w:t>some</w:t>
      </w:r>
      <w:r>
        <w:rPr>
          <w:spacing w:val="-7"/>
        </w:rPr>
        <w:t> </w:t>
      </w:r>
      <w:r>
        <w:rPr/>
        <w:t>important</w:t>
      </w:r>
      <w:r>
        <w:rPr>
          <w:spacing w:val="-7"/>
        </w:rPr>
        <w:t> </w:t>
      </w:r>
      <w:r>
        <w:rPr/>
        <w:t>changes</w:t>
      </w:r>
      <w:r>
        <w:rPr>
          <w:spacing w:val="-8"/>
        </w:rPr>
        <w:t> </w:t>
      </w:r>
      <w:r>
        <w:rPr/>
        <w:t>to</w:t>
      </w:r>
      <w:r>
        <w:rPr>
          <w:spacing w:val="-8"/>
        </w:rPr>
        <w:t> </w:t>
      </w:r>
      <w:r>
        <w:rPr/>
        <w:t>the law and leaves some matters uncertain.</w:t>
      </w:r>
      <w:r>
        <w:rPr>
          <w:vertAlign w:val="superscript"/>
        </w:rPr>
        <w:t>187</w:t>
      </w:r>
    </w:p>
    <w:p>
      <w:pPr>
        <w:pStyle w:val="BodyText"/>
        <w:spacing w:line="232" w:lineRule="auto" w:before="279"/>
        <w:ind w:left="1117" w:right="761"/>
      </w:pPr>
      <w:r>
        <w:rPr/>
        <w:t>Section 1 of the Act provides for the sunset of specified legislation in schedule 1. Section 2 of the Act provides for the sunset of EU law retained by virtue of section 4</w:t>
      </w:r>
      <w:r>
        <w:rPr>
          <w:spacing w:val="-3"/>
        </w:rPr>
        <w:t> </w:t>
      </w:r>
      <w:r>
        <w:rPr/>
        <w:t>of</w:t>
      </w:r>
      <w:r>
        <w:rPr>
          <w:spacing w:val="-4"/>
        </w:rPr>
        <w:t> </w:t>
      </w:r>
      <w:r>
        <w:rPr/>
        <w:t>the</w:t>
      </w:r>
      <w:r>
        <w:rPr>
          <w:spacing w:val="-3"/>
        </w:rPr>
        <w:t> </w:t>
      </w:r>
      <w:r>
        <w:rPr/>
        <w:t>European</w:t>
      </w:r>
      <w:r>
        <w:rPr>
          <w:spacing w:val="-4"/>
        </w:rPr>
        <w:t> </w:t>
      </w:r>
      <w:r>
        <w:rPr/>
        <w:t>Union</w:t>
      </w:r>
      <w:r>
        <w:rPr>
          <w:spacing w:val="-4"/>
        </w:rPr>
        <w:t> </w:t>
      </w:r>
      <w:r>
        <w:rPr/>
        <w:t>(Withdrawal)</w:t>
      </w:r>
      <w:r>
        <w:rPr>
          <w:spacing w:val="-4"/>
        </w:rPr>
        <w:t> </w:t>
      </w:r>
      <w:r>
        <w:rPr/>
        <w:t>Act</w:t>
      </w:r>
      <w:r>
        <w:rPr>
          <w:spacing w:val="-3"/>
        </w:rPr>
        <w:t> </w:t>
      </w:r>
      <w:r>
        <w:rPr/>
        <w:t>2018.</w:t>
      </w:r>
      <w:r>
        <w:rPr>
          <w:spacing w:val="-4"/>
        </w:rPr>
        <w:t> </w:t>
      </w:r>
      <w:r>
        <w:rPr/>
        <w:t>Sections</w:t>
      </w:r>
      <w:r>
        <w:rPr>
          <w:spacing w:val="-4"/>
        </w:rPr>
        <w:t> </w:t>
      </w:r>
      <w:r>
        <w:rPr/>
        <w:t>3</w:t>
      </w:r>
      <w:r>
        <w:rPr>
          <w:spacing w:val="-3"/>
        </w:rPr>
        <w:t> </w:t>
      </w:r>
      <w:r>
        <w:rPr/>
        <w:t>and</w:t>
      </w:r>
      <w:r>
        <w:rPr>
          <w:spacing w:val="-4"/>
        </w:rPr>
        <w:t> </w:t>
      </w:r>
      <w:r>
        <w:rPr/>
        <w:t>4</w:t>
      </w:r>
      <w:r>
        <w:rPr>
          <w:spacing w:val="-3"/>
        </w:rPr>
        <w:t> </w:t>
      </w:r>
      <w:r>
        <w:rPr/>
        <w:t>of</w:t>
      </w:r>
      <w:r>
        <w:rPr>
          <w:spacing w:val="-4"/>
        </w:rPr>
        <w:t> </w:t>
      </w:r>
      <w:r>
        <w:rPr/>
        <w:t>the</w:t>
      </w:r>
      <w:r>
        <w:rPr>
          <w:spacing w:val="-3"/>
        </w:rPr>
        <w:t> </w:t>
      </w:r>
      <w:r>
        <w:rPr/>
        <w:t>Act</w:t>
      </w:r>
      <w:r>
        <w:rPr>
          <w:spacing w:val="-3"/>
        </w:rPr>
        <w:t> </w:t>
      </w:r>
      <w:r>
        <w:rPr/>
        <w:t>abolish the remnants of EU supremacy and general principles of law after the end of 2023. Section 5 renames retained aspects of EU law as ‘assimilated’. Section 6 provides for how the courts should deal with retained EU case law. Sections 9 to 16 of the Act create powers to amend or revoke retained EU law.</w:t>
      </w:r>
    </w:p>
    <w:p>
      <w:pPr>
        <w:pStyle w:val="BodyText"/>
        <w:spacing w:line="232" w:lineRule="auto" w:before="273"/>
        <w:ind w:left="1117" w:right="1087"/>
      </w:pPr>
      <w:r>
        <w:rPr/>
        <w:t>Professor Catherine Barnard has highlighted that the effect of the Act may be more</w:t>
      </w:r>
      <w:r>
        <w:rPr>
          <w:spacing w:val="-7"/>
        </w:rPr>
        <w:t> </w:t>
      </w:r>
      <w:r>
        <w:rPr/>
        <w:t>significant</w:t>
      </w:r>
      <w:r>
        <w:rPr>
          <w:spacing w:val="-7"/>
        </w:rPr>
        <w:t> </w:t>
      </w:r>
      <w:r>
        <w:rPr/>
        <w:t>than</w:t>
      </w:r>
      <w:r>
        <w:rPr>
          <w:spacing w:val="-8"/>
        </w:rPr>
        <w:t> </w:t>
      </w:r>
      <w:r>
        <w:rPr/>
        <w:t>the</w:t>
      </w:r>
      <w:r>
        <w:rPr>
          <w:spacing w:val="-7"/>
        </w:rPr>
        <w:t> </w:t>
      </w:r>
      <w:r>
        <w:rPr/>
        <w:t>changes</w:t>
      </w:r>
      <w:r>
        <w:rPr>
          <w:spacing w:val="-8"/>
        </w:rPr>
        <w:t> </w:t>
      </w:r>
      <w:r>
        <w:rPr/>
        <w:t>to</w:t>
      </w:r>
      <w:r>
        <w:rPr>
          <w:spacing w:val="-8"/>
        </w:rPr>
        <w:t> </w:t>
      </w:r>
      <w:r>
        <w:rPr/>
        <w:t>the</w:t>
      </w:r>
      <w:r>
        <w:rPr>
          <w:spacing w:val="-7"/>
        </w:rPr>
        <w:t> </w:t>
      </w:r>
      <w:r>
        <w:rPr/>
        <w:t>original</w:t>
      </w:r>
      <w:r>
        <w:rPr>
          <w:spacing w:val="-8"/>
        </w:rPr>
        <w:t> </w:t>
      </w:r>
      <w:r>
        <w:rPr/>
        <w:t>text</w:t>
      </w:r>
      <w:r>
        <w:rPr>
          <w:spacing w:val="-7"/>
        </w:rPr>
        <w:t> </w:t>
      </w:r>
      <w:r>
        <w:rPr/>
        <w:t>of</w:t>
      </w:r>
      <w:r>
        <w:rPr>
          <w:spacing w:val="-8"/>
        </w:rPr>
        <w:t> </w:t>
      </w:r>
      <w:r>
        <w:rPr/>
        <w:t>the</w:t>
      </w:r>
      <w:r>
        <w:rPr>
          <w:spacing w:val="-7"/>
        </w:rPr>
        <w:t> </w:t>
      </w:r>
      <w:r>
        <w:rPr/>
        <w:t>bill</w:t>
      </w:r>
      <w:r>
        <w:rPr>
          <w:spacing w:val="-8"/>
        </w:rPr>
        <w:t> </w:t>
      </w:r>
      <w:r>
        <w:rPr/>
        <w:t>might</w:t>
      </w:r>
      <w:r>
        <w:rPr>
          <w:spacing w:val="-7"/>
        </w:rPr>
        <w:t> </w:t>
      </w:r>
      <w:r>
        <w:rPr/>
        <w:t>suggest.</w:t>
      </w:r>
      <w:r>
        <w:rPr>
          <w:vertAlign w:val="superscript"/>
        </w:rPr>
        <w:t>188</w:t>
      </w:r>
      <w:r>
        <w:rPr>
          <w:vertAlign w:val="baseline"/>
        </w:rPr>
        <w:t> The effect of Section 2 for instance would be to end the applicability of Article 157</w:t>
      </w:r>
      <w:r>
        <w:rPr>
          <w:spacing w:val="-6"/>
          <w:vertAlign w:val="baseline"/>
        </w:rPr>
        <w:t> </w:t>
      </w:r>
      <w:r>
        <w:rPr>
          <w:vertAlign w:val="baseline"/>
        </w:rPr>
        <w:t>Treaty</w:t>
      </w:r>
      <w:r>
        <w:rPr>
          <w:spacing w:val="-6"/>
          <w:vertAlign w:val="baseline"/>
        </w:rPr>
        <w:t> </w:t>
      </w:r>
      <w:r>
        <w:rPr>
          <w:vertAlign w:val="baseline"/>
        </w:rPr>
        <w:t>on</w:t>
      </w:r>
      <w:r>
        <w:rPr>
          <w:spacing w:val="-7"/>
          <w:vertAlign w:val="baseline"/>
        </w:rPr>
        <w:t> </w:t>
      </w:r>
      <w:r>
        <w:rPr>
          <w:vertAlign w:val="baseline"/>
        </w:rPr>
        <w:t>Functioning</w:t>
      </w:r>
      <w:r>
        <w:rPr>
          <w:spacing w:val="-6"/>
          <w:vertAlign w:val="baseline"/>
        </w:rPr>
        <w:t> </w:t>
      </w:r>
      <w:r>
        <w:rPr>
          <w:vertAlign w:val="baseline"/>
        </w:rPr>
        <w:t>of</w:t>
      </w:r>
      <w:r>
        <w:rPr>
          <w:spacing w:val="-7"/>
          <w:vertAlign w:val="baseline"/>
        </w:rPr>
        <w:t> </w:t>
      </w:r>
      <w:r>
        <w:rPr>
          <w:vertAlign w:val="baseline"/>
        </w:rPr>
        <w:t>the</w:t>
      </w:r>
      <w:r>
        <w:rPr>
          <w:spacing w:val="-6"/>
          <w:vertAlign w:val="baseline"/>
        </w:rPr>
        <w:t> </w:t>
      </w:r>
      <w:r>
        <w:rPr>
          <w:vertAlign w:val="baseline"/>
        </w:rPr>
        <w:t>European</w:t>
      </w:r>
      <w:r>
        <w:rPr>
          <w:spacing w:val="-7"/>
          <w:vertAlign w:val="baseline"/>
        </w:rPr>
        <w:t> </w:t>
      </w:r>
      <w:r>
        <w:rPr>
          <w:vertAlign w:val="baseline"/>
        </w:rPr>
        <w:t>Union</w:t>
      </w:r>
      <w:r>
        <w:rPr>
          <w:spacing w:val="-7"/>
          <w:vertAlign w:val="baseline"/>
        </w:rPr>
        <w:t> </w:t>
      </w:r>
      <w:r>
        <w:rPr>
          <w:vertAlign w:val="baseline"/>
        </w:rPr>
        <w:t>(TFEU)</w:t>
      </w:r>
      <w:r>
        <w:rPr>
          <w:spacing w:val="-7"/>
          <w:vertAlign w:val="baseline"/>
        </w:rPr>
        <w:t> </w:t>
      </w:r>
      <w:r>
        <w:rPr>
          <w:vertAlign w:val="baseline"/>
        </w:rPr>
        <w:t>on</w:t>
      </w:r>
      <w:r>
        <w:rPr>
          <w:spacing w:val="-7"/>
          <w:vertAlign w:val="baseline"/>
        </w:rPr>
        <w:t> </w:t>
      </w:r>
      <w:r>
        <w:rPr>
          <w:vertAlign w:val="baseline"/>
        </w:rPr>
        <w:t>equal</w:t>
      </w:r>
      <w:r>
        <w:rPr>
          <w:spacing w:val="-7"/>
          <w:vertAlign w:val="baseline"/>
        </w:rPr>
        <w:t> </w:t>
      </w:r>
      <w:r>
        <w:rPr>
          <w:vertAlign w:val="baseline"/>
        </w:rPr>
        <w:t>pay,</w:t>
      </w:r>
      <w:r>
        <w:rPr>
          <w:spacing w:val="-6"/>
          <w:vertAlign w:val="baseline"/>
        </w:rPr>
        <w:t> </w:t>
      </w:r>
      <w:r>
        <w:rPr>
          <w:vertAlign w:val="baseline"/>
        </w:rPr>
        <w:t>while</w:t>
      </w:r>
      <w:r>
        <w:rPr>
          <w:spacing w:val="-6"/>
          <w:vertAlign w:val="baseline"/>
        </w:rPr>
        <w:t> </w:t>
      </w:r>
      <w:r>
        <w:rPr>
          <w:vertAlign w:val="baseline"/>
        </w:rPr>
        <w:t>the effect of</w:t>
      </w:r>
      <w:r>
        <w:rPr>
          <w:spacing w:val="-1"/>
          <w:vertAlign w:val="baseline"/>
        </w:rPr>
        <w:t> </w:t>
      </w:r>
      <w:r>
        <w:rPr>
          <w:vertAlign w:val="baseline"/>
        </w:rPr>
        <w:t>section</w:t>
      </w:r>
      <w:r>
        <w:rPr>
          <w:spacing w:val="-1"/>
          <w:vertAlign w:val="baseline"/>
        </w:rPr>
        <w:t> </w:t>
      </w:r>
      <w:r>
        <w:rPr>
          <w:vertAlign w:val="baseline"/>
        </w:rPr>
        <w:t>3 and</w:t>
      </w:r>
      <w:r>
        <w:rPr>
          <w:spacing w:val="-1"/>
          <w:vertAlign w:val="baseline"/>
        </w:rPr>
        <w:t> </w:t>
      </w:r>
      <w:r>
        <w:rPr>
          <w:vertAlign w:val="baseline"/>
        </w:rPr>
        <w:t>4 (when</w:t>
      </w:r>
      <w:r>
        <w:rPr>
          <w:spacing w:val="-1"/>
          <w:vertAlign w:val="baseline"/>
        </w:rPr>
        <w:t> </w:t>
      </w:r>
      <w:r>
        <w:rPr>
          <w:vertAlign w:val="baseline"/>
        </w:rPr>
        <w:t>brought into</w:t>
      </w:r>
      <w:r>
        <w:rPr>
          <w:spacing w:val="-1"/>
          <w:vertAlign w:val="baseline"/>
        </w:rPr>
        <w:t> </w:t>
      </w:r>
      <w:r>
        <w:rPr>
          <w:vertAlign w:val="baseline"/>
        </w:rPr>
        <w:t>force)</w:t>
      </w:r>
      <w:r>
        <w:rPr>
          <w:spacing w:val="-1"/>
          <w:vertAlign w:val="baseline"/>
        </w:rPr>
        <w:t> </w:t>
      </w:r>
      <w:r>
        <w:rPr>
          <w:vertAlign w:val="baseline"/>
        </w:rPr>
        <w:t>would</w:t>
      </w:r>
      <w:r>
        <w:rPr>
          <w:spacing w:val="-1"/>
          <w:vertAlign w:val="baseline"/>
        </w:rPr>
        <w:t> </w:t>
      </w:r>
      <w:r>
        <w:rPr>
          <w:vertAlign w:val="baseline"/>
        </w:rPr>
        <w:t>end</w:t>
      </w:r>
      <w:r>
        <w:rPr>
          <w:spacing w:val="-1"/>
          <w:vertAlign w:val="baseline"/>
        </w:rPr>
        <w:t> </w:t>
      </w:r>
      <w:r>
        <w:rPr>
          <w:vertAlign w:val="baseline"/>
        </w:rPr>
        <w:t>important EU law principles such as supremacy and effectiveness which make EU measures like Article 157 TFEU very important when domestic law falls short of EU standards.</w:t>
      </w:r>
    </w:p>
    <w:p>
      <w:pPr>
        <w:pStyle w:val="BodyText"/>
        <w:spacing w:line="232" w:lineRule="auto"/>
        <w:ind w:left="1117"/>
      </w:pPr>
      <w:r>
        <w:rPr/>
        <w:t>Barnard</w:t>
      </w:r>
      <w:r>
        <w:rPr>
          <w:spacing w:val="-8"/>
        </w:rPr>
        <w:t> </w:t>
      </w:r>
      <w:r>
        <w:rPr/>
        <w:t>speculates</w:t>
      </w:r>
      <w:r>
        <w:rPr>
          <w:spacing w:val="-8"/>
        </w:rPr>
        <w:t> </w:t>
      </w:r>
      <w:r>
        <w:rPr/>
        <w:t>the</w:t>
      </w:r>
      <w:r>
        <w:rPr>
          <w:spacing w:val="-8"/>
        </w:rPr>
        <w:t> </w:t>
      </w:r>
      <w:r>
        <w:rPr/>
        <w:t>Government</w:t>
      </w:r>
      <w:r>
        <w:rPr>
          <w:spacing w:val="-8"/>
        </w:rPr>
        <w:t> </w:t>
      </w:r>
      <w:r>
        <w:rPr/>
        <w:t>may</w:t>
      </w:r>
      <w:r>
        <w:rPr>
          <w:spacing w:val="-8"/>
        </w:rPr>
        <w:t> </w:t>
      </w:r>
      <w:r>
        <w:rPr/>
        <w:t>restate</w:t>
      </w:r>
      <w:r>
        <w:rPr>
          <w:spacing w:val="-8"/>
        </w:rPr>
        <w:t> </w:t>
      </w:r>
      <w:r>
        <w:rPr/>
        <w:t>article</w:t>
      </w:r>
      <w:r>
        <w:rPr>
          <w:spacing w:val="-8"/>
        </w:rPr>
        <w:t> </w:t>
      </w:r>
      <w:r>
        <w:rPr/>
        <w:t>157</w:t>
      </w:r>
      <w:r>
        <w:rPr>
          <w:spacing w:val="-8"/>
        </w:rPr>
        <w:t> </w:t>
      </w:r>
      <w:r>
        <w:rPr/>
        <w:t>TFEU</w:t>
      </w:r>
      <w:r>
        <w:rPr>
          <w:spacing w:val="-8"/>
        </w:rPr>
        <w:t> </w:t>
      </w:r>
      <w:r>
        <w:rPr/>
        <w:t>and</w:t>
      </w:r>
      <w:r>
        <w:rPr>
          <w:spacing w:val="-8"/>
        </w:rPr>
        <w:t> </w:t>
      </w:r>
      <w:r>
        <w:rPr/>
        <w:t>the</w:t>
      </w:r>
      <w:r>
        <w:rPr>
          <w:spacing w:val="-8"/>
        </w:rPr>
        <w:t> </w:t>
      </w:r>
      <w:r>
        <w:rPr/>
        <w:t>effects</w:t>
      </w:r>
      <w:r>
        <w:rPr>
          <w:spacing w:val="-8"/>
        </w:rPr>
        <w:t> </w:t>
      </w:r>
      <w:r>
        <w:rPr/>
        <w:t>of supremacy etc using powers in section 11 of the Act.</w:t>
      </w:r>
    </w:p>
    <w:p>
      <w:pPr>
        <w:pStyle w:val="BodyText"/>
        <w:spacing w:line="232" w:lineRule="auto" w:before="269"/>
        <w:ind w:left="1117" w:right="1087"/>
      </w:pPr>
      <w:r>
        <w:rPr/>
        <w:t>While</w:t>
      </w:r>
      <w:r>
        <w:rPr>
          <w:spacing w:val="-7"/>
        </w:rPr>
        <w:t> </w:t>
      </w:r>
      <w:r>
        <w:rPr/>
        <w:t>the</w:t>
      </w:r>
      <w:r>
        <w:rPr>
          <w:spacing w:val="-7"/>
        </w:rPr>
        <w:t> </w:t>
      </w:r>
      <w:r>
        <w:rPr/>
        <w:t>effects</w:t>
      </w:r>
      <w:r>
        <w:rPr>
          <w:spacing w:val="-8"/>
        </w:rPr>
        <w:t> </w:t>
      </w:r>
      <w:r>
        <w:rPr/>
        <w:t>of</w:t>
      </w:r>
      <w:r>
        <w:rPr>
          <w:spacing w:val="-8"/>
        </w:rPr>
        <w:t> </w:t>
      </w:r>
      <w:r>
        <w:rPr/>
        <w:t>the</w:t>
      </w:r>
      <w:r>
        <w:rPr>
          <w:spacing w:val="-7"/>
        </w:rPr>
        <w:t> </w:t>
      </w:r>
      <w:r>
        <w:rPr/>
        <w:t>Retained</w:t>
      </w:r>
      <w:r>
        <w:rPr>
          <w:spacing w:val="-8"/>
        </w:rPr>
        <w:t> </w:t>
      </w:r>
      <w:r>
        <w:rPr/>
        <w:t>EU</w:t>
      </w:r>
      <w:r>
        <w:rPr>
          <w:spacing w:val="-7"/>
        </w:rPr>
        <w:t> </w:t>
      </w:r>
      <w:r>
        <w:rPr/>
        <w:t>Law</w:t>
      </w:r>
      <w:r>
        <w:rPr>
          <w:spacing w:val="-7"/>
        </w:rPr>
        <w:t> </w:t>
      </w:r>
      <w:r>
        <w:rPr/>
        <w:t>(Revocation</w:t>
      </w:r>
      <w:r>
        <w:rPr>
          <w:spacing w:val="-8"/>
        </w:rPr>
        <w:t> </w:t>
      </w:r>
      <w:r>
        <w:rPr/>
        <w:t>and</w:t>
      </w:r>
      <w:r>
        <w:rPr>
          <w:spacing w:val="-8"/>
        </w:rPr>
        <w:t> </w:t>
      </w:r>
      <w:r>
        <w:rPr/>
        <w:t>Reform)</w:t>
      </w:r>
      <w:r>
        <w:rPr>
          <w:spacing w:val="-8"/>
        </w:rPr>
        <w:t> </w:t>
      </w:r>
      <w:r>
        <w:rPr/>
        <w:t>Act</w:t>
      </w:r>
      <w:r>
        <w:rPr>
          <w:spacing w:val="-7"/>
        </w:rPr>
        <w:t> </w:t>
      </w:r>
      <w:r>
        <w:rPr/>
        <w:t>2023</w:t>
      </w:r>
      <w:r>
        <w:rPr>
          <w:spacing w:val="-7"/>
        </w:rPr>
        <w:t> </w:t>
      </w:r>
      <w:r>
        <w:rPr/>
        <w:t>may appear significant at UK level, its effect in Northern Ireland is not so clear. The Act extends to Northern Ireland but none of the legislation listed in Schedule</w:t>
      </w:r>
    </w:p>
    <w:p>
      <w:pPr>
        <w:pStyle w:val="BodyText"/>
        <w:spacing w:line="232" w:lineRule="auto"/>
        <w:ind w:left="1117" w:right="1087"/>
      </w:pPr>
      <w:r>
        <w:rPr/>
        <w:t>1 appears to be NI specific. In addition, the Government provided assurances during</w:t>
      </w:r>
      <w:r>
        <w:rPr>
          <w:spacing w:val="-4"/>
        </w:rPr>
        <w:t> </w:t>
      </w:r>
      <w:r>
        <w:rPr/>
        <w:t>the</w:t>
      </w:r>
      <w:r>
        <w:rPr>
          <w:spacing w:val="-4"/>
        </w:rPr>
        <w:t> </w:t>
      </w:r>
      <w:r>
        <w:rPr/>
        <w:t>debate</w:t>
      </w:r>
      <w:r>
        <w:rPr>
          <w:spacing w:val="-4"/>
        </w:rPr>
        <w:t> </w:t>
      </w:r>
      <w:r>
        <w:rPr/>
        <w:t>on</w:t>
      </w:r>
      <w:r>
        <w:rPr>
          <w:spacing w:val="-5"/>
        </w:rPr>
        <w:t> </w:t>
      </w:r>
      <w:r>
        <w:rPr/>
        <w:t>the</w:t>
      </w:r>
      <w:r>
        <w:rPr>
          <w:spacing w:val="-4"/>
        </w:rPr>
        <w:t> </w:t>
      </w:r>
      <w:r>
        <w:rPr/>
        <w:t>bill</w:t>
      </w:r>
      <w:r>
        <w:rPr>
          <w:spacing w:val="-5"/>
        </w:rPr>
        <w:t> </w:t>
      </w:r>
      <w:r>
        <w:rPr/>
        <w:t>that</w:t>
      </w:r>
      <w:r>
        <w:rPr>
          <w:spacing w:val="-4"/>
        </w:rPr>
        <w:t> </w:t>
      </w:r>
      <w:r>
        <w:rPr/>
        <w:t>it</w:t>
      </w:r>
      <w:r>
        <w:rPr>
          <w:spacing w:val="-4"/>
        </w:rPr>
        <w:t> </w:t>
      </w:r>
      <w:r>
        <w:rPr/>
        <w:t>did</w:t>
      </w:r>
      <w:r>
        <w:rPr>
          <w:spacing w:val="-5"/>
        </w:rPr>
        <w:t> </w:t>
      </w:r>
      <w:r>
        <w:rPr/>
        <w:t>not</w:t>
      </w:r>
      <w:r>
        <w:rPr>
          <w:spacing w:val="-4"/>
        </w:rPr>
        <w:t> </w:t>
      </w:r>
      <w:r>
        <w:rPr/>
        <w:t>‘disturb’</w:t>
      </w:r>
      <w:r>
        <w:rPr>
          <w:spacing w:val="-4"/>
        </w:rPr>
        <w:t> </w:t>
      </w:r>
      <w:r>
        <w:rPr/>
        <w:t>section</w:t>
      </w:r>
      <w:r>
        <w:rPr>
          <w:spacing w:val="-5"/>
        </w:rPr>
        <w:t> </w:t>
      </w:r>
      <w:r>
        <w:rPr/>
        <w:t>7A</w:t>
      </w:r>
      <w:r>
        <w:rPr>
          <w:spacing w:val="-4"/>
        </w:rPr>
        <w:t> </w:t>
      </w:r>
      <w:r>
        <w:rPr/>
        <w:t>of</w:t>
      </w:r>
      <w:r>
        <w:rPr>
          <w:spacing w:val="-5"/>
        </w:rPr>
        <w:t> </w:t>
      </w:r>
      <w:r>
        <w:rPr/>
        <w:t>the</w:t>
      </w:r>
      <w:r>
        <w:rPr>
          <w:spacing w:val="-4"/>
        </w:rPr>
        <w:t> </w:t>
      </w:r>
      <w:r>
        <w:rPr/>
        <w:t>European Union (Withdrawal) Act 2018 and that the Government would ensure that legislation was in place to respect the Article 2 WF commitments.</w:t>
      </w:r>
      <w:r>
        <w:rPr>
          <w:vertAlign w:val="superscript"/>
        </w:rPr>
        <w:t>189</w:t>
      </w:r>
      <w:r>
        <w:rPr>
          <w:vertAlign w:val="baseline"/>
        </w:rPr>
        <w:t> While this statement of principle is clear, there may still be scope for misunderstandings.</w:t>
      </w:r>
    </w:p>
    <w:p>
      <w:pPr>
        <w:pStyle w:val="BodyText"/>
        <w:spacing w:before="3"/>
        <w:rPr>
          <w:sz w:val="19"/>
        </w:rPr>
      </w:pPr>
      <w:r>
        <w:rPr/>
        <mc:AlternateContent>
          <mc:Choice Requires="wps">
            <w:drawing>
              <wp:anchor distT="0" distB="0" distL="0" distR="0" allowOverlap="1" layoutInCell="1" locked="0" behindDoc="1" simplePos="0" relativeHeight="487662080">
                <wp:simplePos x="0" y="0"/>
                <wp:positionH relativeFrom="page">
                  <wp:posOffset>899999</wp:posOffset>
                </wp:positionH>
                <wp:positionV relativeFrom="paragraph">
                  <wp:posOffset>164893</wp:posOffset>
                </wp:positionV>
                <wp:extent cx="6012180" cy="1270"/>
                <wp:effectExtent l="0" t="0" r="0" b="0"/>
                <wp:wrapTopAndBottom/>
                <wp:docPr id="403" name="Graphic 403"/>
                <wp:cNvGraphicFramePr>
                  <a:graphicFrameLocks/>
                </wp:cNvGraphicFramePr>
                <a:graphic>
                  <a:graphicData uri="http://schemas.microsoft.com/office/word/2010/wordprocessingShape">
                    <wps:wsp>
                      <wps:cNvPr id="403" name="Graphic 40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2.983722pt;width:473.4pt;height:.1pt;mso-position-horizontal-relative:page;mso-position-vertical-relative:paragraph;z-index:-15654400;mso-wrap-distance-left:0;mso-wrap-distance-right:0" id="docshape318" coordorigin="1417,260" coordsize="9468,0" path="m1417,260l10885,260e" filled="false" stroked="true" strokeweight=".5pt" strokecolor="#36a9e1">
                <v:path arrowok="t"/>
                <v:stroke dashstyle="solid"/>
                <w10:wrap type="topAndBottom"/>
              </v:shape>
            </w:pict>
          </mc:Fallback>
        </mc:AlternateContent>
      </w:r>
    </w:p>
    <w:p>
      <w:pPr>
        <w:pStyle w:val="ListParagraph"/>
        <w:numPr>
          <w:ilvl w:val="0"/>
          <w:numId w:val="9"/>
        </w:numPr>
        <w:tabs>
          <w:tab w:pos="1684" w:val="left" w:leader="none"/>
        </w:tabs>
        <w:spacing w:line="240" w:lineRule="auto" w:before="43" w:after="0"/>
        <w:ind w:left="1684" w:right="936" w:hanging="567"/>
        <w:jc w:val="left"/>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color w:val="1D71B8"/>
          <w:sz w:val="18"/>
          <w:u w:val="single" w:color="1D71B8"/>
        </w:rPr>
        <w:t>Annual</w:t>
      </w:r>
      <w:r>
        <w:rPr>
          <w:color w:val="1D71B8"/>
          <w:spacing w:val="-5"/>
          <w:sz w:val="18"/>
          <w:u w:val="single" w:color="1D71B8"/>
        </w:rPr>
        <w:t> </w:t>
      </w:r>
      <w:r>
        <w:rPr>
          <w:color w:val="1D71B8"/>
          <w:sz w:val="18"/>
          <w:u w:val="single" w:color="1D71B8"/>
        </w:rPr>
        <w:t>Report</w:t>
      </w:r>
      <w:r>
        <w:rPr>
          <w:color w:val="1D71B8"/>
          <w:spacing w:val="-4"/>
          <w:sz w:val="18"/>
          <w:u w:val="single" w:color="1D71B8"/>
        </w:rPr>
        <w:t> </w:t>
      </w:r>
      <w:r>
        <w:rPr>
          <w:color w:val="1D71B8"/>
          <w:sz w:val="18"/>
          <w:u w:val="single" w:color="1D71B8"/>
        </w:rPr>
        <w:t>2022-2023:</w:t>
      </w:r>
      <w:r>
        <w:rPr>
          <w:color w:val="1D71B8"/>
          <w:spacing w:val="-4"/>
          <w:sz w:val="18"/>
          <w:u w:val="single" w:color="1D71B8"/>
        </w:rPr>
        <w:t> </w:t>
      </w:r>
      <w:r>
        <w:rPr>
          <w:color w:val="1D71B8"/>
          <w:sz w:val="18"/>
          <w:u w:val="single" w:color="1D71B8"/>
        </w:rPr>
        <w:t>Implementation</w:t>
      </w:r>
      <w:r>
        <w:rPr>
          <w:color w:val="1D71B8"/>
          <w:spacing w:val="-5"/>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Protocol</w:t>
      </w:r>
      <w:r>
        <w:rPr>
          <w:color w:val="1D71B8"/>
          <w:spacing w:val="-5"/>
          <w:sz w:val="18"/>
          <w:u w:val="single" w:color="1D71B8"/>
        </w:rPr>
        <w:t> </w:t>
      </w:r>
      <w:r>
        <w:rPr>
          <w:color w:val="1D71B8"/>
          <w:sz w:val="18"/>
          <w:u w:val="single" w:color="1D71B8"/>
        </w:rPr>
        <w:t>Article</w:t>
      </w:r>
      <w:r>
        <w:rPr>
          <w:color w:val="1D71B8"/>
          <w:spacing w:val="-4"/>
          <w:sz w:val="18"/>
          <w:u w:val="single" w:color="1D71B8"/>
        </w:rPr>
        <w:t> </w:t>
      </w:r>
      <w:r>
        <w:rPr>
          <w:color w:val="1D71B8"/>
          <w:sz w:val="18"/>
          <w:u w:val="single" w:color="1D71B8"/>
        </w:rPr>
        <w:t>2</w:t>
      </w:r>
      <w:r>
        <w:rPr>
          <w:color w:val="1D71B8"/>
          <w:spacing w:val="-5"/>
          <w:sz w:val="18"/>
          <w:u w:val="none"/>
        </w:rPr>
        <w:t> </w:t>
      </w:r>
      <w:r>
        <w:rPr>
          <w:sz w:val="18"/>
          <w:u w:val="none"/>
        </w:rPr>
        <w:t>(2023)</w:t>
      </w:r>
      <w:r>
        <w:rPr>
          <w:spacing w:val="-5"/>
          <w:sz w:val="18"/>
          <w:u w:val="none"/>
        </w:rPr>
        <w:t> </w:t>
      </w:r>
      <w:r>
        <w:rPr>
          <w:sz w:val="18"/>
          <w:u w:val="none"/>
        </w:rPr>
        <w:t>16-17;</w:t>
      </w:r>
      <w:r>
        <w:rPr>
          <w:spacing w:val="-4"/>
          <w:sz w:val="18"/>
          <w:u w:val="none"/>
        </w:rPr>
        <w:t> </w:t>
      </w:r>
      <w:r>
        <w:rPr>
          <w:sz w:val="18"/>
          <w:u w:val="none"/>
        </w:rPr>
        <w:t>ECNI</w:t>
      </w:r>
      <w:r>
        <w:rPr>
          <w:spacing w:val="-4"/>
          <w:sz w:val="18"/>
          <w:u w:val="none"/>
        </w:rPr>
        <w:t> </w:t>
      </w:r>
      <w:r>
        <w:rPr>
          <w:sz w:val="18"/>
          <w:u w:val="none"/>
        </w:rPr>
        <w:t>and</w:t>
      </w:r>
      <w:r>
        <w:rPr>
          <w:spacing w:val="-5"/>
          <w:sz w:val="18"/>
          <w:u w:val="none"/>
        </w:rPr>
        <w:t> </w:t>
      </w:r>
      <w:r>
        <w:rPr>
          <w:sz w:val="18"/>
          <w:u w:val="none"/>
        </w:rPr>
        <w:t>NIHRC,</w:t>
      </w:r>
      <w:r>
        <w:rPr>
          <w:spacing w:val="-4"/>
          <w:sz w:val="18"/>
          <w:u w:val="none"/>
        </w:rPr>
        <w:t> </w:t>
      </w:r>
      <w:r>
        <w:rPr>
          <w:color w:val="1D71B8"/>
          <w:sz w:val="18"/>
          <w:u w:val="single" w:color="1D71B8"/>
        </w:rPr>
        <w:t>NIHRC</w:t>
      </w:r>
      <w:r>
        <w:rPr>
          <w:color w:val="1D71B8"/>
          <w:spacing w:val="-4"/>
          <w:sz w:val="18"/>
          <w:u w:val="single" w:color="1D71B8"/>
        </w:rPr>
        <w:t> </w:t>
      </w:r>
      <w:r>
        <w:rPr>
          <w:color w:val="1D71B8"/>
          <w:sz w:val="18"/>
          <w:u w:val="none"/>
        </w:rPr>
        <w:t> </w:t>
      </w:r>
      <w:r>
        <w:rPr>
          <w:color w:val="1D71B8"/>
          <w:sz w:val="18"/>
          <w:u w:val="single" w:color="1D71B8"/>
        </w:rPr>
        <w:t>and ECNI Briefing on the Retained EU Law (Revocation and Reform) Bill</w:t>
      </w:r>
      <w:r>
        <w:rPr>
          <w:color w:val="1D71B8"/>
          <w:sz w:val="18"/>
          <w:u w:val="none"/>
        </w:rPr>
        <w:t> </w:t>
      </w:r>
      <w:r>
        <w:rPr>
          <w:sz w:val="18"/>
          <w:u w:val="none"/>
        </w:rPr>
        <w:t>(2023).</w:t>
      </w:r>
    </w:p>
    <w:p>
      <w:pPr>
        <w:pStyle w:val="ListParagraph"/>
        <w:numPr>
          <w:ilvl w:val="0"/>
          <w:numId w:val="9"/>
        </w:numPr>
        <w:tabs>
          <w:tab w:pos="1684" w:val="left" w:leader="none"/>
        </w:tabs>
        <w:spacing w:line="240" w:lineRule="auto" w:before="1" w:after="0"/>
        <w:ind w:left="1684" w:right="972" w:hanging="567"/>
        <w:jc w:val="left"/>
        <w:rPr>
          <w:sz w:val="18"/>
        </w:rPr>
      </w:pPr>
      <w:r>
        <w:rPr>
          <w:sz w:val="18"/>
        </w:rPr>
        <w:t>The</w:t>
      </w:r>
      <w:r>
        <w:rPr>
          <w:spacing w:val="-4"/>
          <w:sz w:val="18"/>
        </w:rPr>
        <w:t> </w:t>
      </w:r>
      <w:r>
        <w:rPr>
          <w:sz w:val="18"/>
        </w:rPr>
        <w:t>High</w:t>
      </w:r>
      <w:r>
        <w:rPr>
          <w:spacing w:val="-5"/>
          <w:sz w:val="18"/>
        </w:rPr>
        <w:t> </w:t>
      </w:r>
      <w:r>
        <w:rPr>
          <w:sz w:val="18"/>
        </w:rPr>
        <w:t>Court</w:t>
      </w:r>
      <w:r>
        <w:rPr>
          <w:spacing w:val="-4"/>
          <w:sz w:val="18"/>
        </w:rPr>
        <w:t> </w:t>
      </w:r>
      <w:r>
        <w:rPr>
          <w:sz w:val="18"/>
        </w:rPr>
        <w:t>provides</w:t>
      </w:r>
      <w:r>
        <w:rPr>
          <w:spacing w:val="-5"/>
          <w:sz w:val="18"/>
        </w:rPr>
        <w:t> </w:t>
      </w:r>
      <w:r>
        <w:rPr>
          <w:sz w:val="18"/>
        </w:rPr>
        <w:t>a</w:t>
      </w:r>
      <w:r>
        <w:rPr>
          <w:spacing w:val="-5"/>
          <w:sz w:val="18"/>
        </w:rPr>
        <w:t> </w:t>
      </w:r>
      <w:r>
        <w:rPr>
          <w:sz w:val="18"/>
        </w:rPr>
        <w:t>helpful</w:t>
      </w:r>
      <w:r>
        <w:rPr>
          <w:spacing w:val="-5"/>
          <w:sz w:val="18"/>
        </w:rPr>
        <w:t> </w:t>
      </w:r>
      <w:r>
        <w:rPr>
          <w:sz w:val="18"/>
        </w:rPr>
        <w:t>summary</w:t>
      </w:r>
      <w:r>
        <w:rPr>
          <w:spacing w:val="-4"/>
          <w:sz w:val="18"/>
        </w:rPr>
        <w:t> </w:t>
      </w:r>
      <w:r>
        <w:rPr>
          <w:sz w:val="18"/>
        </w:rPr>
        <w:t>at</w:t>
      </w:r>
      <w:r>
        <w:rPr>
          <w:spacing w:val="-5"/>
          <w:sz w:val="18"/>
        </w:rPr>
        <w:t> </w:t>
      </w:r>
      <w:r>
        <w:rPr>
          <w:color w:val="1D71B8"/>
          <w:sz w:val="18"/>
          <w:u w:val="single" w:color="1D71B8"/>
        </w:rPr>
        <w:t>E-Accounting</w:t>
      </w:r>
      <w:r>
        <w:rPr>
          <w:color w:val="1D71B8"/>
          <w:spacing w:val="-4"/>
          <w:sz w:val="18"/>
          <w:u w:val="single" w:color="1D71B8"/>
        </w:rPr>
        <w:t> </w:t>
      </w:r>
      <w:r>
        <w:rPr>
          <w:color w:val="1D71B8"/>
          <w:sz w:val="18"/>
          <w:u w:val="single" w:color="1D71B8"/>
        </w:rPr>
        <w:t>Solutions</w:t>
      </w:r>
      <w:r>
        <w:rPr>
          <w:color w:val="1D71B8"/>
          <w:spacing w:val="-5"/>
          <w:sz w:val="18"/>
          <w:u w:val="single" w:color="1D71B8"/>
        </w:rPr>
        <w:t> </w:t>
      </w:r>
      <w:r>
        <w:rPr>
          <w:color w:val="1D71B8"/>
          <w:sz w:val="18"/>
          <w:u w:val="single" w:color="1D71B8"/>
        </w:rPr>
        <w:t>Ltd</w:t>
      </w:r>
      <w:r>
        <w:rPr>
          <w:color w:val="1D71B8"/>
          <w:spacing w:val="-5"/>
          <w:sz w:val="18"/>
          <w:u w:val="single" w:color="1D71B8"/>
        </w:rPr>
        <w:t> </w:t>
      </w:r>
      <w:r>
        <w:rPr>
          <w:color w:val="1D71B8"/>
          <w:sz w:val="18"/>
          <w:u w:val="single" w:color="1D71B8"/>
        </w:rPr>
        <w:t>(t/a</w:t>
      </w:r>
      <w:r>
        <w:rPr>
          <w:color w:val="1D71B8"/>
          <w:spacing w:val="-5"/>
          <w:sz w:val="18"/>
          <w:u w:val="single" w:color="1D71B8"/>
        </w:rPr>
        <w:t> </w:t>
      </w:r>
      <w:r>
        <w:rPr>
          <w:color w:val="1D71B8"/>
          <w:sz w:val="18"/>
          <w:u w:val="single" w:color="1D71B8"/>
        </w:rPr>
        <w:t>Advancetrack)</w:t>
      </w:r>
      <w:r>
        <w:rPr>
          <w:color w:val="1D71B8"/>
          <w:spacing w:val="-5"/>
          <w:sz w:val="18"/>
          <w:u w:val="single" w:color="1D71B8"/>
        </w:rPr>
        <w:t> </w:t>
      </w:r>
      <w:r>
        <w:rPr>
          <w:color w:val="1D71B8"/>
          <w:sz w:val="18"/>
          <w:u w:val="single" w:color="1D71B8"/>
        </w:rPr>
        <w:t>v</w:t>
      </w:r>
      <w:r>
        <w:rPr>
          <w:color w:val="1D71B8"/>
          <w:spacing w:val="-5"/>
          <w:sz w:val="18"/>
          <w:u w:val="single" w:color="1D71B8"/>
        </w:rPr>
        <w:t> </w:t>
      </w:r>
      <w:r>
        <w:rPr>
          <w:color w:val="1D71B8"/>
          <w:sz w:val="18"/>
          <w:u w:val="single" w:color="1D71B8"/>
        </w:rPr>
        <w:t>Global</w:t>
      </w:r>
      <w:r>
        <w:rPr>
          <w:color w:val="1D71B8"/>
          <w:spacing w:val="-5"/>
          <w:sz w:val="18"/>
          <w:u w:val="single" w:color="1D71B8"/>
        </w:rPr>
        <w:t> </w:t>
      </w:r>
      <w:r>
        <w:rPr>
          <w:color w:val="1D71B8"/>
          <w:sz w:val="18"/>
          <w:u w:val="single" w:color="1D71B8"/>
        </w:rPr>
        <w:t>Infosys</w:t>
      </w:r>
      <w:r>
        <w:rPr>
          <w:color w:val="1D71B8"/>
          <w:spacing w:val="-5"/>
          <w:sz w:val="18"/>
          <w:u w:val="single" w:color="1D71B8"/>
        </w:rPr>
        <w:t> </w:t>
      </w:r>
      <w:r>
        <w:rPr>
          <w:color w:val="1D71B8"/>
          <w:sz w:val="18"/>
          <w:u w:val="single" w:color="1D71B8"/>
        </w:rPr>
        <w:t>Ltd</w:t>
      </w:r>
      <w:r>
        <w:rPr>
          <w:color w:val="1D71B8"/>
          <w:spacing w:val="-5"/>
          <w:sz w:val="18"/>
          <w:u w:val="single" w:color="1D71B8"/>
        </w:rPr>
        <w:t> </w:t>
      </w:r>
      <w:r>
        <w:rPr>
          <w:color w:val="1D71B8"/>
          <w:sz w:val="18"/>
          <w:u w:val="single" w:color="1D71B8"/>
        </w:rPr>
        <w:t>(t/a</w:t>
      </w:r>
      <w:r>
        <w:rPr>
          <w:color w:val="1D71B8"/>
          <w:spacing w:val="-5"/>
          <w:sz w:val="18"/>
          <w:u w:val="single" w:color="1D71B8"/>
        </w:rPr>
        <w:t> </w:t>
      </w:r>
      <w:r>
        <w:rPr>
          <w:color w:val="1D71B8"/>
          <w:sz w:val="18"/>
          <w:u w:val="single" w:color="1D71B8"/>
        </w:rPr>
        <w:t>GI</w:t>
      </w:r>
      <w:r>
        <w:rPr>
          <w:color w:val="1D71B8"/>
          <w:sz w:val="18"/>
          <w:u w:val="none"/>
        </w:rPr>
        <w:t> </w:t>
      </w:r>
      <w:r>
        <w:rPr>
          <w:color w:val="1D71B8"/>
          <w:sz w:val="18"/>
          <w:u w:val="single" w:color="1D71B8"/>
        </w:rPr>
        <w:t>Outsourcing)</w:t>
      </w:r>
      <w:r>
        <w:rPr>
          <w:color w:val="1D71B8"/>
          <w:sz w:val="18"/>
          <w:u w:val="none"/>
        </w:rPr>
        <w:t> </w:t>
      </w:r>
      <w:r>
        <w:rPr>
          <w:sz w:val="18"/>
          <w:u w:val="none"/>
        </w:rPr>
        <w:t>[2023] EWHC 2038 (Ch), (4 August 2023) [13].</w:t>
      </w:r>
    </w:p>
    <w:p>
      <w:pPr>
        <w:pStyle w:val="ListParagraph"/>
        <w:numPr>
          <w:ilvl w:val="0"/>
          <w:numId w:val="9"/>
        </w:numPr>
        <w:tabs>
          <w:tab w:pos="1684" w:val="left" w:leader="none"/>
        </w:tabs>
        <w:spacing w:line="240" w:lineRule="auto" w:before="0" w:after="0"/>
        <w:ind w:left="1684" w:right="759" w:hanging="567"/>
        <w:jc w:val="left"/>
        <w:rPr>
          <w:sz w:val="18"/>
        </w:rPr>
      </w:pPr>
      <w:r>
        <w:rPr>
          <w:sz w:val="18"/>
        </w:rPr>
        <w:t>Professor</w:t>
      </w:r>
      <w:r>
        <w:rPr>
          <w:spacing w:val="-4"/>
          <w:sz w:val="18"/>
        </w:rPr>
        <w:t> </w:t>
      </w:r>
      <w:r>
        <w:rPr>
          <w:sz w:val="18"/>
        </w:rPr>
        <w:t>Barnard</w:t>
      </w:r>
      <w:r>
        <w:rPr>
          <w:spacing w:val="-5"/>
          <w:sz w:val="18"/>
        </w:rPr>
        <w:t> </w:t>
      </w:r>
      <w:r>
        <w:rPr>
          <w:sz w:val="18"/>
        </w:rPr>
        <w:t>is</w:t>
      </w:r>
      <w:r>
        <w:rPr>
          <w:spacing w:val="-5"/>
          <w:sz w:val="18"/>
        </w:rPr>
        <w:t> </w:t>
      </w:r>
      <w:r>
        <w:rPr>
          <w:sz w:val="18"/>
        </w:rPr>
        <w:t>Professor</w:t>
      </w:r>
      <w:r>
        <w:rPr>
          <w:spacing w:val="-4"/>
          <w:sz w:val="18"/>
        </w:rPr>
        <w:t> </w:t>
      </w:r>
      <w:r>
        <w:rPr>
          <w:sz w:val="18"/>
        </w:rPr>
        <w:t>of</w:t>
      </w:r>
      <w:r>
        <w:rPr>
          <w:spacing w:val="-5"/>
          <w:sz w:val="18"/>
        </w:rPr>
        <w:t> </w:t>
      </w:r>
      <w:r>
        <w:rPr>
          <w:sz w:val="18"/>
        </w:rPr>
        <w:t>European</w:t>
      </w:r>
      <w:r>
        <w:rPr>
          <w:spacing w:val="-5"/>
          <w:sz w:val="18"/>
        </w:rPr>
        <w:t> </w:t>
      </w:r>
      <w:r>
        <w:rPr>
          <w:sz w:val="18"/>
        </w:rPr>
        <w:t>and</w:t>
      </w:r>
      <w:r>
        <w:rPr>
          <w:spacing w:val="-5"/>
          <w:sz w:val="18"/>
        </w:rPr>
        <w:t> </w:t>
      </w:r>
      <w:r>
        <w:rPr>
          <w:sz w:val="18"/>
        </w:rPr>
        <w:t>Employment</w:t>
      </w:r>
      <w:r>
        <w:rPr>
          <w:spacing w:val="-4"/>
          <w:sz w:val="18"/>
        </w:rPr>
        <w:t> </w:t>
      </w:r>
      <w:r>
        <w:rPr>
          <w:sz w:val="18"/>
        </w:rPr>
        <w:t>Law</w:t>
      </w:r>
      <w:r>
        <w:rPr>
          <w:spacing w:val="-4"/>
          <w:sz w:val="18"/>
        </w:rPr>
        <w:t> </w:t>
      </w:r>
      <w:r>
        <w:rPr>
          <w:sz w:val="18"/>
        </w:rPr>
        <w:t>in</w:t>
      </w:r>
      <w:r>
        <w:rPr>
          <w:spacing w:val="-5"/>
          <w:sz w:val="18"/>
        </w:rPr>
        <w:t> </w:t>
      </w:r>
      <w:r>
        <w:rPr>
          <w:sz w:val="18"/>
        </w:rPr>
        <w:t>Trinity</w:t>
      </w:r>
      <w:r>
        <w:rPr>
          <w:spacing w:val="-4"/>
          <w:sz w:val="18"/>
        </w:rPr>
        <w:t> </w:t>
      </w:r>
      <w:r>
        <w:rPr>
          <w:sz w:val="18"/>
        </w:rPr>
        <w:t>College,</w:t>
      </w:r>
      <w:r>
        <w:rPr>
          <w:spacing w:val="-4"/>
          <w:sz w:val="18"/>
        </w:rPr>
        <w:t> </w:t>
      </w:r>
      <w:r>
        <w:rPr>
          <w:sz w:val="18"/>
        </w:rPr>
        <w:t>Cambridge</w:t>
      </w:r>
      <w:r>
        <w:rPr>
          <w:spacing w:val="-4"/>
          <w:sz w:val="18"/>
        </w:rPr>
        <w:t> </w:t>
      </w:r>
      <w:r>
        <w:rPr>
          <w:sz w:val="18"/>
        </w:rPr>
        <w:t>and</w:t>
      </w:r>
      <w:r>
        <w:rPr>
          <w:spacing w:val="-5"/>
          <w:sz w:val="18"/>
        </w:rPr>
        <w:t> </w:t>
      </w:r>
      <w:r>
        <w:rPr>
          <w:sz w:val="18"/>
        </w:rPr>
        <w:t>Deputy</w:t>
      </w:r>
      <w:r>
        <w:rPr>
          <w:spacing w:val="-4"/>
          <w:sz w:val="18"/>
        </w:rPr>
        <w:t> </w:t>
      </w:r>
      <w:r>
        <w:rPr>
          <w:sz w:val="18"/>
        </w:rPr>
        <w:t>Director</w:t>
      </w:r>
      <w:r>
        <w:rPr>
          <w:spacing w:val="-4"/>
          <w:sz w:val="18"/>
        </w:rPr>
        <w:t> </w:t>
      </w:r>
      <w:r>
        <w:rPr>
          <w:sz w:val="18"/>
        </w:rPr>
        <w:t>of</w:t>
      </w:r>
      <w:r>
        <w:rPr>
          <w:spacing w:val="-5"/>
          <w:sz w:val="18"/>
        </w:rPr>
        <w:t> </w:t>
      </w:r>
      <w:r>
        <w:rPr>
          <w:sz w:val="18"/>
        </w:rPr>
        <w:t>‘UK In A Changing Europe’. The argument is developed in </w:t>
      </w:r>
      <w:r>
        <w:rPr>
          <w:color w:val="1D71B8"/>
          <w:sz w:val="18"/>
          <w:u w:val="single" w:color="1D71B8"/>
        </w:rPr>
        <w:t>10 posts on X/Twitter</w:t>
      </w:r>
      <w:r>
        <w:rPr>
          <w:sz w:val="18"/>
          <w:u w:val="none"/>
        </w:rPr>
        <w:t>.</w:t>
      </w:r>
    </w:p>
    <w:p>
      <w:pPr>
        <w:pStyle w:val="ListParagraph"/>
        <w:numPr>
          <w:ilvl w:val="0"/>
          <w:numId w:val="9"/>
        </w:numPr>
        <w:tabs>
          <w:tab w:pos="1684" w:val="left" w:leader="none"/>
        </w:tabs>
        <w:spacing w:line="240" w:lineRule="auto" w:before="1" w:after="0"/>
        <w:ind w:left="1684" w:right="0" w:hanging="567"/>
        <w:jc w:val="left"/>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color w:val="1D71B8"/>
          <w:sz w:val="18"/>
          <w:u w:val="single" w:color="1D71B8"/>
        </w:rPr>
        <w:t>Annual</w:t>
      </w:r>
      <w:r>
        <w:rPr>
          <w:color w:val="1D71B8"/>
          <w:spacing w:val="-5"/>
          <w:sz w:val="18"/>
          <w:u w:val="single" w:color="1D71B8"/>
        </w:rPr>
        <w:t> </w:t>
      </w:r>
      <w:r>
        <w:rPr>
          <w:color w:val="1D71B8"/>
          <w:sz w:val="18"/>
          <w:u w:val="single" w:color="1D71B8"/>
        </w:rPr>
        <w:t>Report</w:t>
      </w:r>
      <w:r>
        <w:rPr>
          <w:color w:val="1D71B8"/>
          <w:spacing w:val="-4"/>
          <w:sz w:val="18"/>
          <w:u w:val="single" w:color="1D71B8"/>
        </w:rPr>
        <w:t> </w:t>
      </w:r>
      <w:r>
        <w:rPr>
          <w:color w:val="1D71B8"/>
          <w:sz w:val="18"/>
          <w:u w:val="single" w:color="1D71B8"/>
        </w:rPr>
        <w:t>2022-2023:</w:t>
      </w:r>
      <w:r>
        <w:rPr>
          <w:color w:val="1D71B8"/>
          <w:spacing w:val="-4"/>
          <w:sz w:val="18"/>
          <w:u w:val="single" w:color="1D71B8"/>
        </w:rPr>
        <w:t> </w:t>
      </w:r>
      <w:r>
        <w:rPr>
          <w:color w:val="1D71B8"/>
          <w:sz w:val="18"/>
          <w:u w:val="single" w:color="1D71B8"/>
        </w:rPr>
        <w:t>Implementation</w:t>
      </w:r>
      <w:r>
        <w:rPr>
          <w:color w:val="1D71B8"/>
          <w:spacing w:val="-5"/>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Protocol</w:t>
      </w:r>
      <w:r>
        <w:rPr>
          <w:color w:val="1D71B8"/>
          <w:spacing w:val="-5"/>
          <w:sz w:val="18"/>
          <w:u w:val="single" w:color="1D71B8"/>
        </w:rPr>
        <w:t> </w:t>
      </w:r>
      <w:r>
        <w:rPr>
          <w:color w:val="1D71B8"/>
          <w:sz w:val="18"/>
          <w:u w:val="single" w:color="1D71B8"/>
        </w:rPr>
        <w:t>Article</w:t>
      </w:r>
      <w:r>
        <w:rPr>
          <w:color w:val="1D71B8"/>
          <w:spacing w:val="-4"/>
          <w:sz w:val="18"/>
          <w:u w:val="single" w:color="1D71B8"/>
        </w:rPr>
        <w:t> </w:t>
      </w:r>
      <w:r>
        <w:rPr>
          <w:color w:val="1D71B8"/>
          <w:sz w:val="18"/>
          <w:u w:val="single" w:color="1D71B8"/>
        </w:rPr>
        <w:t>2</w:t>
      </w:r>
      <w:r>
        <w:rPr>
          <w:color w:val="1D71B8"/>
          <w:spacing w:val="-5"/>
          <w:sz w:val="18"/>
          <w:u w:val="none"/>
        </w:rPr>
        <w:t> </w:t>
      </w:r>
      <w:r>
        <w:rPr>
          <w:sz w:val="18"/>
          <w:u w:val="none"/>
        </w:rPr>
        <w:t>(2023)</w:t>
      </w:r>
      <w:r>
        <w:rPr>
          <w:spacing w:val="-5"/>
          <w:sz w:val="18"/>
          <w:u w:val="none"/>
        </w:rPr>
        <w:t> 17.</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80288">
                <wp:simplePos x="0" y="0"/>
                <wp:positionH relativeFrom="page">
                  <wp:posOffset>0</wp:posOffset>
                </wp:positionH>
                <wp:positionV relativeFrom="page">
                  <wp:posOffset>0</wp:posOffset>
                </wp:positionV>
                <wp:extent cx="7560309" cy="115506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7560309" cy="1155065"/>
                          <a:chExt cx="7560309" cy="1155065"/>
                        </a:xfrm>
                      </wpg:grpSpPr>
                      <wps:wsp>
                        <wps:cNvPr id="405" name="Graphic 40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406" name="Graphic 40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36192" id="docshapegroup319" coordorigin="0,0" coordsize="11906,1819">
                <v:shape style="position:absolute;left:0;top:0;width:11906;height:1819" id="docshape320"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2.3.4 Elections Act 2022" w:id="60"/>
      <w:bookmarkEnd w:id="60"/>
      <w:r>
        <w:rPr/>
      </w:r>
      <w:bookmarkStart w:name="_bookmark24" w:id="61"/>
      <w:bookmarkEnd w:id="61"/>
      <w:r>
        <w:rPr/>
      </w:r>
      <w:r>
        <w:rPr>
          <w:b/>
          <w:color w:val="FFFFFF"/>
          <w:spacing w:val="-5"/>
          <w:position w:val="-1"/>
          <w:sz w:val="28"/>
        </w:rPr>
        <w:t>40</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404"/>
      </w:pPr>
      <w:r>
        <w:rPr/>
        <w:t>Already</w:t>
      </w:r>
      <w:r>
        <w:rPr>
          <w:spacing w:val="-5"/>
        </w:rPr>
        <w:t> </w:t>
      </w:r>
      <w:r>
        <w:rPr/>
        <w:t>for</w:t>
      </w:r>
      <w:r>
        <w:rPr>
          <w:spacing w:val="-5"/>
        </w:rPr>
        <w:t> </w:t>
      </w:r>
      <w:r>
        <w:rPr/>
        <w:t>instance</w:t>
      </w:r>
      <w:r>
        <w:rPr>
          <w:spacing w:val="-5"/>
        </w:rPr>
        <w:t> </w:t>
      </w:r>
      <w:r>
        <w:rPr/>
        <w:t>the</w:t>
      </w:r>
      <w:r>
        <w:rPr>
          <w:spacing w:val="-5"/>
        </w:rPr>
        <w:t> </w:t>
      </w:r>
      <w:r>
        <w:rPr/>
        <w:t>NIHRC</w:t>
      </w:r>
      <w:r>
        <w:rPr>
          <w:spacing w:val="-6"/>
        </w:rPr>
        <w:t> </w:t>
      </w:r>
      <w:r>
        <w:rPr/>
        <w:t>has</w:t>
      </w:r>
      <w:r>
        <w:rPr>
          <w:spacing w:val="-6"/>
        </w:rPr>
        <w:t> </w:t>
      </w:r>
      <w:r>
        <w:rPr/>
        <w:t>had</w:t>
      </w:r>
      <w:r>
        <w:rPr>
          <w:spacing w:val="-6"/>
        </w:rPr>
        <w:t> </w:t>
      </w:r>
      <w:r>
        <w:rPr/>
        <w:t>to</w:t>
      </w:r>
      <w:r>
        <w:rPr>
          <w:spacing w:val="-6"/>
        </w:rPr>
        <w:t> </w:t>
      </w:r>
      <w:r>
        <w:rPr/>
        <w:t>write</w:t>
      </w:r>
      <w:r>
        <w:rPr>
          <w:spacing w:val="-5"/>
        </w:rPr>
        <w:t> </w:t>
      </w:r>
      <w:r>
        <w:rPr/>
        <w:t>to</w:t>
      </w:r>
      <w:r>
        <w:rPr>
          <w:spacing w:val="-6"/>
        </w:rPr>
        <w:t> </w:t>
      </w:r>
      <w:r>
        <w:rPr/>
        <w:t>the</w:t>
      </w:r>
      <w:r>
        <w:rPr>
          <w:spacing w:val="-5"/>
        </w:rPr>
        <w:t> </w:t>
      </w:r>
      <w:r>
        <w:rPr/>
        <w:t>Department</w:t>
      </w:r>
      <w:r>
        <w:rPr>
          <w:spacing w:val="-5"/>
        </w:rPr>
        <w:t> </w:t>
      </w:r>
      <w:r>
        <w:rPr/>
        <w:t>for</w:t>
      </w:r>
      <w:r>
        <w:rPr>
          <w:spacing w:val="-5"/>
        </w:rPr>
        <w:t> </w:t>
      </w:r>
      <w:r>
        <w:rPr/>
        <w:t>Business and Trade to highlight that two provisions the Department was proposing to change apply in Northern Ireland.</w:t>
      </w:r>
      <w:r>
        <w:rPr>
          <w:vertAlign w:val="superscript"/>
        </w:rPr>
        <w:t>190</w:t>
      </w:r>
    </w:p>
    <w:p>
      <w:pPr>
        <w:pStyle w:val="BodyText"/>
        <w:spacing w:line="232" w:lineRule="auto" w:before="279"/>
        <w:ind w:left="720" w:right="1666"/>
        <w:jc w:val="both"/>
      </w:pPr>
      <w:r>
        <w:rPr/>
        <w:t>The</w:t>
      </w:r>
      <w:r>
        <w:rPr>
          <w:spacing w:val="-6"/>
        </w:rPr>
        <w:t> </w:t>
      </w:r>
      <w:r>
        <w:rPr/>
        <w:t>Retained</w:t>
      </w:r>
      <w:r>
        <w:rPr>
          <w:spacing w:val="-7"/>
        </w:rPr>
        <w:t> </w:t>
      </w:r>
      <w:r>
        <w:rPr/>
        <w:t>EU</w:t>
      </w:r>
      <w:r>
        <w:rPr>
          <w:spacing w:val="-6"/>
        </w:rPr>
        <w:t> </w:t>
      </w:r>
      <w:r>
        <w:rPr/>
        <w:t>Law</w:t>
      </w:r>
      <w:r>
        <w:rPr>
          <w:spacing w:val="-6"/>
        </w:rPr>
        <w:t> </w:t>
      </w:r>
      <w:r>
        <w:rPr/>
        <w:t>(Revocation</w:t>
      </w:r>
      <w:r>
        <w:rPr>
          <w:spacing w:val="-7"/>
        </w:rPr>
        <w:t> </w:t>
      </w:r>
      <w:r>
        <w:rPr/>
        <w:t>and</w:t>
      </w:r>
      <w:r>
        <w:rPr>
          <w:spacing w:val="-7"/>
        </w:rPr>
        <w:t> </w:t>
      </w:r>
      <w:r>
        <w:rPr/>
        <w:t>Reform)</w:t>
      </w:r>
      <w:r>
        <w:rPr>
          <w:spacing w:val="-7"/>
        </w:rPr>
        <w:t> </w:t>
      </w:r>
      <w:r>
        <w:rPr/>
        <w:t>Act</w:t>
      </w:r>
      <w:r>
        <w:rPr>
          <w:spacing w:val="-6"/>
        </w:rPr>
        <w:t> </w:t>
      </w:r>
      <w:r>
        <w:rPr/>
        <w:t>2023</w:t>
      </w:r>
      <w:r>
        <w:rPr>
          <w:spacing w:val="-6"/>
        </w:rPr>
        <w:t> </w:t>
      </w:r>
      <w:r>
        <w:rPr/>
        <w:t>leaves</w:t>
      </w:r>
      <w:r>
        <w:rPr>
          <w:spacing w:val="-7"/>
        </w:rPr>
        <w:t> </w:t>
      </w:r>
      <w:r>
        <w:rPr/>
        <w:t>in</w:t>
      </w:r>
      <w:r>
        <w:rPr>
          <w:spacing w:val="-7"/>
        </w:rPr>
        <w:t> </w:t>
      </w:r>
      <w:r>
        <w:rPr/>
        <w:t>place</w:t>
      </w:r>
      <w:r>
        <w:rPr>
          <w:spacing w:val="-6"/>
        </w:rPr>
        <w:t> </w:t>
      </w:r>
      <w:r>
        <w:rPr/>
        <w:t>section 7A</w:t>
      </w:r>
      <w:r>
        <w:rPr>
          <w:spacing w:val="-4"/>
        </w:rPr>
        <w:t> </w:t>
      </w:r>
      <w:r>
        <w:rPr/>
        <w:t>of</w:t>
      </w:r>
      <w:r>
        <w:rPr>
          <w:spacing w:val="-5"/>
        </w:rPr>
        <w:t> </w:t>
      </w:r>
      <w:r>
        <w:rPr/>
        <w:t>the</w:t>
      </w:r>
      <w:r>
        <w:rPr>
          <w:spacing w:val="-4"/>
        </w:rPr>
        <w:t> </w:t>
      </w:r>
      <w:r>
        <w:rPr/>
        <w:t>2018</w:t>
      </w:r>
      <w:r>
        <w:rPr>
          <w:spacing w:val="-4"/>
        </w:rPr>
        <w:t> </w:t>
      </w:r>
      <w:r>
        <w:rPr/>
        <w:t>Act</w:t>
      </w:r>
      <w:r>
        <w:rPr>
          <w:spacing w:val="-4"/>
        </w:rPr>
        <w:t> </w:t>
      </w:r>
      <w:r>
        <w:rPr/>
        <w:t>which</w:t>
      </w:r>
      <w:r>
        <w:rPr>
          <w:spacing w:val="-5"/>
        </w:rPr>
        <w:t> </w:t>
      </w:r>
      <w:r>
        <w:rPr/>
        <w:t>means</w:t>
      </w:r>
      <w:r>
        <w:rPr>
          <w:spacing w:val="-5"/>
        </w:rPr>
        <w:t> </w:t>
      </w:r>
      <w:r>
        <w:rPr/>
        <w:t>that</w:t>
      </w:r>
      <w:r>
        <w:rPr>
          <w:spacing w:val="-4"/>
        </w:rPr>
        <w:t> </w:t>
      </w:r>
      <w:r>
        <w:rPr/>
        <w:t>the</w:t>
      </w:r>
      <w:r>
        <w:rPr>
          <w:spacing w:val="-4"/>
        </w:rPr>
        <w:t> </w:t>
      </w:r>
      <w:r>
        <w:rPr/>
        <w:t>2023</w:t>
      </w:r>
      <w:r>
        <w:rPr>
          <w:spacing w:val="-4"/>
        </w:rPr>
        <w:t> </w:t>
      </w:r>
      <w:r>
        <w:rPr/>
        <w:t>Act</w:t>
      </w:r>
      <w:r>
        <w:rPr>
          <w:spacing w:val="-4"/>
        </w:rPr>
        <w:t> </w:t>
      </w:r>
      <w:r>
        <w:rPr/>
        <w:t>must</w:t>
      </w:r>
      <w:r>
        <w:rPr>
          <w:spacing w:val="-4"/>
        </w:rPr>
        <w:t> </w:t>
      </w:r>
      <w:r>
        <w:rPr/>
        <w:t>be</w:t>
      </w:r>
      <w:r>
        <w:rPr>
          <w:spacing w:val="-4"/>
        </w:rPr>
        <w:t> </w:t>
      </w:r>
      <w:r>
        <w:rPr/>
        <w:t>interpreted</w:t>
      </w:r>
      <w:r>
        <w:rPr>
          <w:spacing w:val="-5"/>
        </w:rPr>
        <w:t> </w:t>
      </w:r>
      <w:r>
        <w:rPr/>
        <w:t>subject to the powers and rights etc in the Withdrawal Agreement, including the</w:t>
      </w:r>
    </w:p>
    <w:p>
      <w:pPr>
        <w:pStyle w:val="BodyText"/>
        <w:spacing w:line="232" w:lineRule="auto"/>
        <w:ind w:left="720" w:right="1087"/>
      </w:pPr>
      <w:r>
        <w:rPr/>
        <w:t>WF. Correspondence from the UK Government confirms that the Withdrawal Agreement, including the WF, constitute ‘relevant separation agreement law’ and so any domestic law will be interpreted in line with that Agreement including any general principles of law and EU law supremacy.</w:t>
      </w:r>
      <w:r>
        <w:rPr>
          <w:vertAlign w:val="superscript"/>
        </w:rPr>
        <w:t>191</w:t>
      </w:r>
      <w:r>
        <w:rPr>
          <w:vertAlign w:val="baseline"/>
        </w:rPr>
        <w:t> As discussed further in chapter five,</w:t>
      </w:r>
      <w:r>
        <w:rPr>
          <w:spacing w:val="-5"/>
          <w:vertAlign w:val="baseline"/>
        </w:rPr>
        <w:t> </w:t>
      </w:r>
      <w:r>
        <w:rPr>
          <w:vertAlign w:val="baseline"/>
        </w:rPr>
        <w:t>this</w:t>
      </w:r>
      <w:r>
        <w:rPr>
          <w:spacing w:val="-6"/>
          <w:vertAlign w:val="baseline"/>
        </w:rPr>
        <w:t> </w:t>
      </w:r>
      <w:r>
        <w:rPr>
          <w:vertAlign w:val="baseline"/>
        </w:rPr>
        <w:t>means</w:t>
      </w:r>
      <w:r>
        <w:rPr>
          <w:spacing w:val="-6"/>
          <w:vertAlign w:val="baseline"/>
        </w:rPr>
        <w:t> </w:t>
      </w:r>
      <w:r>
        <w:rPr>
          <w:vertAlign w:val="baseline"/>
        </w:rPr>
        <w:t>the</w:t>
      </w:r>
      <w:r>
        <w:rPr>
          <w:spacing w:val="-5"/>
          <w:vertAlign w:val="baseline"/>
        </w:rPr>
        <w:t> </w:t>
      </w:r>
      <w:r>
        <w:rPr>
          <w:vertAlign w:val="baseline"/>
        </w:rPr>
        <w:t>approach</w:t>
      </w:r>
      <w:r>
        <w:rPr>
          <w:spacing w:val="-6"/>
          <w:vertAlign w:val="baseline"/>
        </w:rPr>
        <w:t> </w:t>
      </w:r>
      <w:r>
        <w:rPr>
          <w:vertAlign w:val="baseline"/>
        </w:rPr>
        <w:t>of</w:t>
      </w:r>
      <w:r>
        <w:rPr>
          <w:spacing w:val="-6"/>
          <w:vertAlign w:val="baseline"/>
        </w:rPr>
        <w:t> </w:t>
      </w:r>
      <w:r>
        <w:rPr>
          <w:vertAlign w:val="baseline"/>
        </w:rPr>
        <w:t>the</w:t>
      </w:r>
      <w:r>
        <w:rPr>
          <w:spacing w:val="-5"/>
          <w:vertAlign w:val="baseline"/>
        </w:rPr>
        <w:t> </w:t>
      </w:r>
      <w:r>
        <w:rPr>
          <w:vertAlign w:val="baseline"/>
        </w:rPr>
        <w:t>courts</w:t>
      </w:r>
      <w:r>
        <w:rPr>
          <w:spacing w:val="-6"/>
          <w:vertAlign w:val="baseline"/>
        </w:rPr>
        <w:t> </w:t>
      </w:r>
      <w:r>
        <w:rPr>
          <w:vertAlign w:val="baseline"/>
        </w:rPr>
        <w:t>to</w:t>
      </w:r>
      <w:r>
        <w:rPr>
          <w:spacing w:val="-6"/>
          <w:vertAlign w:val="baseline"/>
        </w:rPr>
        <w:t> </w:t>
      </w:r>
      <w:r>
        <w:rPr>
          <w:vertAlign w:val="baseline"/>
        </w:rPr>
        <w:t>matters</w:t>
      </w:r>
      <w:r>
        <w:rPr>
          <w:spacing w:val="-6"/>
          <w:vertAlign w:val="baseline"/>
        </w:rPr>
        <w:t> </w:t>
      </w:r>
      <w:r>
        <w:rPr>
          <w:vertAlign w:val="baseline"/>
        </w:rPr>
        <w:t>like</w:t>
      </w:r>
      <w:r>
        <w:rPr>
          <w:spacing w:val="-5"/>
          <w:vertAlign w:val="baseline"/>
        </w:rPr>
        <w:t> </w:t>
      </w:r>
      <w:r>
        <w:rPr>
          <w:vertAlign w:val="baseline"/>
        </w:rPr>
        <w:t>CJEU</w:t>
      </w:r>
      <w:r>
        <w:rPr>
          <w:spacing w:val="-5"/>
          <w:vertAlign w:val="baseline"/>
        </w:rPr>
        <w:t> </w:t>
      </w:r>
      <w:r>
        <w:rPr>
          <w:vertAlign w:val="baseline"/>
        </w:rPr>
        <w:t>case</w:t>
      </w:r>
      <w:r>
        <w:rPr>
          <w:spacing w:val="-5"/>
          <w:vertAlign w:val="baseline"/>
        </w:rPr>
        <w:t> </w:t>
      </w:r>
      <w:r>
        <w:rPr>
          <w:vertAlign w:val="baseline"/>
        </w:rPr>
        <w:t>law</w:t>
      </w:r>
      <w:r>
        <w:rPr>
          <w:spacing w:val="-5"/>
          <w:vertAlign w:val="baseline"/>
        </w:rPr>
        <w:t> </w:t>
      </w:r>
      <w:r>
        <w:rPr>
          <w:vertAlign w:val="baseline"/>
        </w:rPr>
        <w:t>and</w:t>
      </w:r>
      <w:r>
        <w:rPr>
          <w:spacing w:val="-6"/>
          <w:vertAlign w:val="baseline"/>
        </w:rPr>
        <w:t> </w:t>
      </w:r>
      <w:r>
        <w:rPr>
          <w:vertAlign w:val="baseline"/>
        </w:rPr>
        <w:t>issues like the Charter of Fundamental Rights and general principles of law will differ depending on whether what is at issue is the WF, the Withdrawal Agreement or retained EU law.</w:t>
      </w:r>
    </w:p>
    <w:p>
      <w:pPr>
        <w:pStyle w:val="BodyText"/>
        <w:spacing w:before="39"/>
      </w:pPr>
    </w:p>
    <w:p>
      <w:pPr>
        <w:pStyle w:val="Heading3"/>
        <w:numPr>
          <w:ilvl w:val="2"/>
          <w:numId w:val="15"/>
        </w:numPr>
        <w:tabs>
          <w:tab w:pos="1358" w:val="left" w:leader="none"/>
        </w:tabs>
        <w:spacing w:line="336" w:lineRule="exact" w:before="1" w:after="0"/>
        <w:ind w:left="1358" w:right="0" w:hanging="638"/>
        <w:jc w:val="left"/>
      </w:pPr>
      <w:r>
        <w:rPr>
          <w:color w:val="004A93"/>
        </w:rPr>
        <w:t>Elections</w:t>
      </w:r>
      <w:r>
        <w:rPr>
          <w:color w:val="004A93"/>
          <w:spacing w:val="-6"/>
        </w:rPr>
        <w:t> </w:t>
      </w:r>
      <w:r>
        <w:rPr>
          <w:color w:val="004A93"/>
        </w:rPr>
        <w:t>Act</w:t>
      </w:r>
      <w:r>
        <w:rPr>
          <w:color w:val="004A93"/>
          <w:spacing w:val="-5"/>
        </w:rPr>
        <w:t> </w:t>
      </w:r>
      <w:r>
        <w:rPr>
          <w:color w:val="004A93"/>
          <w:spacing w:val="-4"/>
        </w:rPr>
        <w:t>2022</w:t>
      </w:r>
    </w:p>
    <w:p>
      <w:pPr>
        <w:pStyle w:val="BodyText"/>
        <w:spacing w:line="232" w:lineRule="auto" w:before="2"/>
        <w:ind w:left="720" w:right="1404"/>
      </w:pPr>
      <w:r>
        <w:rPr/>
        <w:t>The Elections Act 2022 makes wide-ranging and sometimes controversial</w:t>
      </w:r>
      <w:r>
        <w:rPr>
          <w:vertAlign w:val="superscript"/>
        </w:rPr>
        <w:t>192</w:t>
      </w:r>
      <w:r>
        <w:rPr>
          <w:vertAlign w:val="baseline"/>
        </w:rPr>
        <w:t> changes</w:t>
      </w:r>
      <w:r>
        <w:rPr>
          <w:spacing w:val="-11"/>
          <w:vertAlign w:val="baseline"/>
        </w:rPr>
        <w:t> </w:t>
      </w:r>
      <w:r>
        <w:rPr>
          <w:vertAlign w:val="baseline"/>
        </w:rPr>
        <w:t>to</w:t>
      </w:r>
      <w:r>
        <w:rPr>
          <w:spacing w:val="-11"/>
          <w:vertAlign w:val="baseline"/>
        </w:rPr>
        <w:t> </w:t>
      </w:r>
      <w:r>
        <w:rPr>
          <w:vertAlign w:val="baseline"/>
        </w:rPr>
        <w:t>electoral</w:t>
      </w:r>
      <w:r>
        <w:rPr>
          <w:spacing w:val="-11"/>
          <w:vertAlign w:val="baseline"/>
        </w:rPr>
        <w:t> </w:t>
      </w:r>
      <w:r>
        <w:rPr>
          <w:vertAlign w:val="baseline"/>
        </w:rPr>
        <w:t>law,</w:t>
      </w:r>
      <w:r>
        <w:rPr>
          <w:spacing w:val="-10"/>
          <w:vertAlign w:val="baseline"/>
        </w:rPr>
        <w:t> </w:t>
      </w:r>
      <w:r>
        <w:rPr>
          <w:vertAlign w:val="baseline"/>
        </w:rPr>
        <w:t>including</w:t>
      </w:r>
      <w:r>
        <w:rPr>
          <w:spacing w:val="-10"/>
          <w:vertAlign w:val="baseline"/>
        </w:rPr>
        <w:t> </w:t>
      </w:r>
      <w:r>
        <w:rPr>
          <w:vertAlign w:val="baseline"/>
        </w:rPr>
        <w:t>in</w:t>
      </w:r>
      <w:r>
        <w:rPr>
          <w:spacing w:val="-11"/>
          <w:vertAlign w:val="baseline"/>
        </w:rPr>
        <w:t> </w:t>
      </w:r>
      <w:r>
        <w:rPr>
          <w:vertAlign w:val="baseline"/>
        </w:rPr>
        <w:t>relation</w:t>
      </w:r>
      <w:r>
        <w:rPr>
          <w:spacing w:val="-11"/>
          <w:vertAlign w:val="baseline"/>
        </w:rPr>
        <w:t> </w:t>
      </w:r>
      <w:r>
        <w:rPr>
          <w:vertAlign w:val="baseline"/>
        </w:rPr>
        <w:t>to</w:t>
      </w:r>
      <w:r>
        <w:rPr>
          <w:spacing w:val="-11"/>
          <w:vertAlign w:val="baseline"/>
        </w:rPr>
        <w:t> </w:t>
      </w:r>
      <w:r>
        <w:rPr>
          <w:vertAlign w:val="baseline"/>
        </w:rPr>
        <w:t>voter</w:t>
      </w:r>
      <w:r>
        <w:rPr>
          <w:spacing w:val="-10"/>
          <w:vertAlign w:val="baseline"/>
        </w:rPr>
        <w:t> </w:t>
      </w:r>
      <w:r>
        <w:rPr>
          <w:vertAlign w:val="baseline"/>
        </w:rPr>
        <w:t>identification,</w:t>
      </w:r>
      <w:r>
        <w:rPr>
          <w:spacing w:val="-10"/>
          <w:vertAlign w:val="baseline"/>
        </w:rPr>
        <w:t> </w:t>
      </w:r>
      <w:r>
        <w:rPr>
          <w:vertAlign w:val="baseline"/>
        </w:rPr>
        <w:t>proxy</w:t>
      </w:r>
      <w:r>
        <w:rPr>
          <w:spacing w:val="-10"/>
          <w:vertAlign w:val="baseline"/>
        </w:rPr>
        <w:t> </w:t>
      </w:r>
      <w:r>
        <w:rPr>
          <w:vertAlign w:val="baseline"/>
        </w:rPr>
        <w:t>votes, expenditure, disqualification etc.</w:t>
      </w:r>
    </w:p>
    <w:p>
      <w:pPr>
        <w:pStyle w:val="BodyText"/>
        <w:spacing w:line="232" w:lineRule="auto" w:before="279"/>
        <w:ind w:left="720" w:right="1404"/>
      </w:pPr>
      <w:r>
        <w:rPr/>
        <w:t>One</w:t>
      </w:r>
      <w:r>
        <w:rPr>
          <w:spacing w:val="-5"/>
        </w:rPr>
        <w:t> </w:t>
      </w:r>
      <w:r>
        <w:rPr/>
        <w:t>specific</w:t>
      </w:r>
      <w:r>
        <w:rPr>
          <w:spacing w:val="-5"/>
        </w:rPr>
        <w:t> </w:t>
      </w:r>
      <w:r>
        <w:rPr/>
        <w:t>change</w:t>
      </w:r>
      <w:r>
        <w:rPr>
          <w:spacing w:val="-5"/>
        </w:rPr>
        <w:t> </w:t>
      </w:r>
      <w:r>
        <w:rPr/>
        <w:t>has</w:t>
      </w:r>
      <w:r>
        <w:rPr>
          <w:spacing w:val="-6"/>
        </w:rPr>
        <w:t> </w:t>
      </w:r>
      <w:r>
        <w:rPr/>
        <w:t>been</w:t>
      </w:r>
      <w:r>
        <w:rPr>
          <w:spacing w:val="-6"/>
        </w:rPr>
        <w:t> </w:t>
      </w:r>
      <w:r>
        <w:rPr/>
        <w:t>highlighted</w:t>
      </w:r>
      <w:r>
        <w:rPr>
          <w:spacing w:val="-6"/>
        </w:rPr>
        <w:t> </w:t>
      </w:r>
      <w:r>
        <w:rPr/>
        <w:t>of</w:t>
      </w:r>
      <w:r>
        <w:rPr>
          <w:spacing w:val="-6"/>
        </w:rPr>
        <w:t> </w:t>
      </w:r>
      <w:r>
        <w:rPr/>
        <w:t>concern</w:t>
      </w:r>
      <w:r>
        <w:rPr>
          <w:spacing w:val="-6"/>
        </w:rPr>
        <w:t> </w:t>
      </w:r>
      <w:r>
        <w:rPr/>
        <w:t>in</w:t>
      </w:r>
      <w:r>
        <w:rPr>
          <w:spacing w:val="-6"/>
        </w:rPr>
        <w:t> </w:t>
      </w:r>
      <w:r>
        <w:rPr/>
        <w:t>Northern</w:t>
      </w:r>
      <w:r>
        <w:rPr>
          <w:spacing w:val="-6"/>
        </w:rPr>
        <w:t> </w:t>
      </w:r>
      <w:r>
        <w:rPr/>
        <w:t>Ireland.</w:t>
      </w:r>
      <w:r>
        <w:rPr>
          <w:spacing w:val="-6"/>
        </w:rPr>
        <w:t> </w:t>
      </w:r>
      <w:r>
        <w:rPr/>
        <w:t>Section 15 and schedule 8 make provision for voting rights of EU citizens in England and in Northern Ireland (this is a devolved matter in Scotland and Wales). These provisions provide that EU citizens can only vote in local elections if they are ‘qualifying’ EU citizens or EU citizens ‘with retained rights’, that is, if they come from an EU country which has a treaty with the UK recognising reciprocal voting rights, or were EU citizens resident before 31 December 2020.</w:t>
      </w:r>
      <w:r>
        <w:rPr>
          <w:vertAlign w:val="superscript"/>
        </w:rPr>
        <w:t>193</w:t>
      </w:r>
    </w:p>
    <w:p>
      <w:pPr>
        <w:pStyle w:val="BodyText"/>
        <w:spacing w:line="232" w:lineRule="auto" w:before="272"/>
        <w:ind w:left="720" w:right="1143"/>
      </w:pPr>
      <w:r>
        <w:rPr/>
        <w:t>The Equality Commission for Northern Ireland and the Northern Ireland Human rights</w:t>
      </w:r>
      <w:r>
        <w:rPr>
          <w:spacing w:val="-5"/>
        </w:rPr>
        <w:t> </w:t>
      </w:r>
      <w:r>
        <w:rPr/>
        <w:t>Commission</w:t>
      </w:r>
      <w:r>
        <w:rPr>
          <w:spacing w:val="-5"/>
        </w:rPr>
        <w:t> </w:t>
      </w:r>
      <w:r>
        <w:rPr/>
        <w:t>provided</w:t>
      </w:r>
      <w:r>
        <w:rPr>
          <w:spacing w:val="-5"/>
        </w:rPr>
        <w:t> </w:t>
      </w:r>
      <w:r>
        <w:rPr/>
        <w:t>a</w:t>
      </w:r>
      <w:r>
        <w:rPr>
          <w:spacing w:val="-5"/>
        </w:rPr>
        <w:t> </w:t>
      </w:r>
      <w:r>
        <w:rPr/>
        <w:t>briefing</w:t>
      </w:r>
      <w:r>
        <w:rPr>
          <w:spacing w:val="-4"/>
        </w:rPr>
        <w:t> </w:t>
      </w:r>
      <w:r>
        <w:rPr/>
        <w:t>on</w:t>
      </w:r>
      <w:r>
        <w:rPr>
          <w:spacing w:val="-5"/>
        </w:rPr>
        <w:t> </w:t>
      </w:r>
      <w:r>
        <w:rPr/>
        <w:t>the</w:t>
      </w:r>
      <w:r>
        <w:rPr>
          <w:spacing w:val="-4"/>
        </w:rPr>
        <w:t> </w:t>
      </w:r>
      <w:r>
        <w:rPr/>
        <w:t>Bill</w:t>
      </w:r>
      <w:r>
        <w:rPr>
          <w:spacing w:val="-5"/>
        </w:rPr>
        <w:t> </w:t>
      </w:r>
      <w:r>
        <w:rPr/>
        <w:t>to</w:t>
      </w:r>
      <w:r>
        <w:rPr>
          <w:spacing w:val="-5"/>
        </w:rPr>
        <w:t> </w:t>
      </w:r>
      <w:r>
        <w:rPr/>
        <w:t>the</w:t>
      </w:r>
      <w:r>
        <w:rPr>
          <w:spacing w:val="-4"/>
        </w:rPr>
        <w:t> </w:t>
      </w:r>
      <w:r>
        <w:rPr/>
        <w:t>House</w:t>
      </w:r>
      <w:r>
        <w:rPr>
          <w:spacing w:val="-4"/>
        </w:rPr>
        <w:t> </w:t>
      </w:r>
      <w:r>
        <w:rPr/>
        <w:t>of</w:t>
      </w:r>
      <w:r>
        <w:rPr>
          <w:spacing w:val="-5"/>
        </w:rPr>
        <w:t> </w:t>
      </w:r>
      <w:r>
        <w:rPr/>
        <w:t>Lords</w:t>
      </w:r>
      <w:r>
        <w:rPr>
          <w:spacing w:val="-5"/>
        </w:rPr>
        <w:t> </w:t>
      </w:r>
      <w:r>
        <w:rPr/>
        <w:t>arguing</w:t>
      </w:r>
      <w:r>
        <w:rPr>
          <w:spacing w:val="-4"/>
        </w:rPr>
        <w:t> </w:t>
      </w:r>
      <w:r>
        <w:rPr/>
        <w:t>that this may breach Article 2 WF.</w:t>
      </w:r>
      <w:r>
        <w:rPr>
          <w:vertAlign w:val="superscript"/>
        </w:rPr>
        <w:t>194</w:t>
      </w:r>
      <w:r>
        <w:rPr>
          <w:vertAlign w:val="baseline"/>
        </w:rPr>
        <w:t> The Commissions note that the 1998 Agreement contains several civil and political rights; while the right to vote is not explicitly mentioned other political rights are (‘the right of free political thought’; ‘the right to pursue democratically national and political aspirations’; ‘the right to seek constitutional change by peaceful and legitimate means’). Furthermore, that part</w:t>
      </w:r>
    </w:p>
    <w:p>
      <w:pPr>
        <w:pStyle w:val="BodyText"/>
        <w:spacing w:before="146"/>
        <w:rPr>
          <w:sz w:val="20"/>
        </w:rPr>
      </w:pPr>
      <w:r>
        <w:rPr/>
        <mc:AlternateContent>
          <mc:Choice Requires="wps">
            <w:drawing>
              <wp:anchor distT="0" distB="0" distL="0" distR="0" allowOverlap="1" layoutInCell="1" locked="0" behindDoc="1" simplePos="0" relativeHeight="487663104">
                <wp:simplePos x="0" y="0"/>
                <wp:positionH relativeFrom="page">
                  <wp:posOffset>647999</wp:posOffset>
                </wp:positionH>
                <wp:positionV relativeFrom="paragraph">
                  <wp:posOffset>263101</wp:posOffset>
                </wp:positionV>
                <wp:extent cx="6012180" cy="1270"/>
                <wp:effectExtent l="0" t="0" r="0" b="0"/>
                <wp:wrapTopAndBottom/>
                <wp:docPr id="407" name="Graphic 407"/>
                <wp:cNvGraphicFramePr>
                  <a:graphicFrameLocks/>
                </wp:cNvGraphicFramePr>
                <a:graphic>
                  <a:graphicData uri="http://schemas.microsoft.com/office/word/2010/wordprocessingShape">
                    <wps:wsp>
                      <wps:cNvPr id="407" name="Graphic 40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0.716663pt;width:473.4pt;height:.1pt;mso-position-horizontal-relative:page;mso-position-vertical-relative:paragraph;z-index:-15653376;mso-wrap-distance-left:0;mso-wrap-distance-right:0" id="docshape321" coordorigin="1020,414" coordsize="9468,0" path="m1020,414l10488,414e" filled="false" stroked="true" strokeweight=".5pt" strokecolor="#36a9e1">
                <v:path arrowok="t"/>
                <v:stroke dashstyle="solid"/>
                <w10:wrap type="topAndBottom"/>
              </v:shape>
            </w:pict>
          </mc:Fallback>
        </mc:AlternateContent>
      </w:r>
    </w:p>
    <w:p>
      <w:pPr>
        <w:pStyle w:val="ListParagraph"/>
        <w:numPr>
          <w:ilvl w:val="0"/>
          <w:numId w:val="9"/>
        </w:numPr>
        <w:tabs>
          <w:tab w:pos="1287" w:val="left" w:leader="none"/>
        </w:tabs>
        <w:spacing w:line="240" w:lineRule="auto" w:before="43" w:after="0"/>
        <w:ind w:left="1287" w:right="0" w:hanging="567"/>
        <w:jc w:val="left"/>
        <w:rPr>
          <w:sz w:val="18"/>
        </w:rPr>
      </w:pPr>
      <w:r>
        <w:rPr>
          <w:sz w:val="18"/>
        </w:rPr>
        <w:t>NIHRC,</w:t>
      </w:r>
      <w:r>
        <w:rPr>
          <w:spacing w:val="-7"/>
          <w:sz w:val="18"/>
        </w:rPr>
        <w:t> </w:t>
      </w:r>
      <w:r>
        <w:rPr>
          <w:color w:val="1D71B8"/>
          <w:sz w:val="18"/>
          <w:u w:val="single" w:color="1D71B8"/>
        </w:rPr>
        <w:t>The</w:t>
      </w:r>
      <w:r>
        <w:rPr>
          <w:color w:val="1D71B8"/>
          <w:spacing w:val="-4"/>
          <w:sz w:val="18"/>
          <w:u w:val="single" w:color="1D71B8"/>
        </w:rPr>
        <w:t> </w:t>
      </w:r>
      <w:r>
        <w:rPr>
          <w:color w:val="1D71B8"/>
          <w:sz w:val="18"/>
          <w:u w:val="single" w:color="1D71B8"/>
        </w:rPr>
        <w:t>2023</w:t>
      </w:r>
      <w:r>
        <w:rPr>
          <w:color w:val="1D71B8"/>
          <w:spacing w:val="-5"/>
          <w:sz w:val="18"/>
          <w:u w:val="single" w:color="1D71B8"/>
        </w:rPr>
        <w:t> </w:t>
      </w:r>
      <w:r>
        <w:rPr>
          <w:color w:val="1D71B8"/>
          <w:sz w:val="18"/>
          <w:u w:val="single" w:color="1D71B8"/>
        </w:rPr>
        <w:t>Annual</w:t>
      </w:r>
      <w:r>
        <w:rPr>
          <w:color w:val="1D71B8"/>
          <w:spacing w:val="-5"/>
          <w:sz w:val="18"/>
          <w:u w:val="single" w:color="1D71B8"/>
        </w:rPr>
        <w:t> </w:t>
      </w:r>
      <w:r>
        <w:rPr>
          <w:color w:val="1D71B8"/>
          <w:sz w:val="18"/>
          <w:u w:val="single" w:color="1D71B8"/>
        </w:rPr>
        <w:t>Statement:</w:t>
      </w:r>
      <w:r>
        <w:rPr>
          <w:color w:val="1D71B8"/>
          <w:spacing w:val="-5"/>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6"/>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Northern</w:t>
      </w:r>
      <w:r>
        <w:rPr>
          <w:color w:val="1D71B8"/>
          <w:spacing w:val="-5"/>
          <w:sz w:val="18"/>
          <w:u w:val="single" w:color="1D71B8"/>
        </w:rPr>
        <w:t> </w:t>
      </w:r>
      <w:r>
        <w:rPr>
          <w:color w:val="1D71B8"/>
          <w:sz w:val="18"/>
          <w:u w:val="single" w:color="1D71B8"/>
        </w:rPr>
        <w:t>Ireland</w:t>
      </w:r>
      <w:r>
        <w:rPr>
          <w:color w:val="1D71B8"/>
          <w:spacing w:val="-4"/>
          <w:sz w:val="18"/>
          <w:u w:val="none"/>
        </w:rPr>
        <w:t> </w:t>
      </w:r>
      <w:r>
        <w:rPr>
          <w:sz w:val="18"/>
          <w:u w:val="none"/>
        </w:rPr>
        <w:t>(2023)</w:t>
      </w:r>
      <w:r>
        <w:rPr>
          <w:spacing w:val="-5"/>
          <w:sz w:val="18"/>
          <w:u w:val="none"/>
        </w:rPr>
        <w:t> 40.</w:t>
      </w:r>
    </w:p>
    <w:p>
      <w:pPr>
        <w:pStyle w:val="ListParagraph"/>
        <w:numPr>
          <w:ilvl w:val="0"/>
          <w:numId w:val="9"/>
        </w:numPr>
        <w:tabs>
          <w:tab w:pos="1287" w:val="left" w:leader="none"/>
        </w:tabs>
        <w:spacing w:line="240" w:lineRule="auto" w:before="1" w:after="0"/>
        <w:ind w:left="1287" w:right="1219" w:hanging="567"/>
        <w:jc w:val="left"/>
        <w:rPr>
          <w:sz w:val="18"/>
        </w:rPr>
      </w:pPr>
      <w:r>
        <w:rPr>
          <w:sz w:val="18"/>
        </w:rPr>
        <w:t>House of Lords Sub-Committee on the Protocol on Ireland/Northern Ireland, </w:t>
      </w:r>
      <w:r>
        <w:rPr>
          <w:color w:val="1D71B8"/>
          <w:sz w:val="18"/>
          <w:u w:val="single" w:color="1D71B8"/>
        </w:rPr>
        <w:t>Letter from Nusrat Ghani MP (Minister of</w:t>
      </w:r>
      <w:r>
        <w:rPr>
          <w:color w:val="1D71B8"/>
          <w:sz w:val="18"/>
          <w:u w:val="none"/>
        </w:rPr>
        <w:t> </w:t>
      </w:r>
      <w:r>
        <w:rPr>
          <w:color w:val="1D71B8"/>
          <w:sz w:val="18"/>
          <w:u w:val="single" w:color="1D71B8"/>
        </w:rPr>
        <w:t>State</w:t>
      </w:r>
      <w:r>
        <w:rPr>
          <w:color w:val="1D71B8"/>
          <w:spacing w:val="-5"/>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Industry</w:t>
      </w:r>
      <w:r>
        <w:rPr>
          <w:color w:val="1D71B8"/>
          <w:spacing w:val="-5"/>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Economic</w:t>
      </w:r>
      <w:r>
        <w:rPr>
          <w:color w:val="1D71B8"/>
          <w:spacing w:val="-5"/>
          <w:sz w:val="18"/>
          <w:u w:val="single" w:color="1D71B8"/>
        </w:rPr>
        <w:t> </w:t>
      </w:r>
      <w:r>
        <w:rPr>
          <w:color w:val="1D71B8"/>
          <w:sz w:val="18"/>
          <w:u w:val="single" w:color="1D71B8"/>
        </w:rPr>
        <w:t>Security</w:t>
      </w:r>
      <w:r>
        <w:rPr>
          <w:color w:val="1D71B8"/>
          <w:spacing w:val="-5"/>
          <w:sz w:val="18"/>
          <w:u w:val="single" w:color="1D71B8"/>
        </w:rPr>
        <w:t> </w:t>
      </w:r>
      <w:r>
        <w:rPr>
          <w:color w:val="1D71B8"/>
          <w:sz w:val="18"/>
          <w:u w:val="single" w:color="1D71B8"/>
        </w:rPr>
        <w:t>at</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Department</w:t>
      </w:r>
      <w:r>
        <w:rPr>
          <w:color w:val="1D71B8"/>
          <w:spacing w:val="-5"/>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Business</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Trade)</w:t>
      </w:r>
      <w:r>
        <w:rPr>
          <w:color w:val="1D71B8"/>
          <w:spacing w:val="-6"/>
          <w:sz w:val="18"/>
          <w:u w:val="single" w:color="1D71B8"/>
        </w:rPr>
        <w:t> </w:t>
      </w:r>
      <w:r>
        <w:rPr>
          <w:color w:val="1D71B8"/>
          <w:sz w:val="18"/>
          <w:u w:val="single" w:color="1D71B8"/>
        </w:rPr>
        <w:t>re:</w:t>
      </w:r>
      <w:r>
        <w:rPr>
          <w:color w:val="1D71B8"/>
          <w:spacing w:val="-5"/>
          <w:sz w:val="18"/>
          <w:u w:val="single" w:color="1D71B8"/>
        </w:rPr>
        <w:t> </w:t>
      </w:r>
      <w:r>
        <w:rPr>
          <w:color w:val="1D71B8"/>
          <w:sz w:val="18"/>
          <w:u w:val="single" w:color="1D71B8"/>
        </w:rPr>
        <w:t>Retained</w:t>
      </w:r>
      <w:r>
        <w:rPr>
          <w:color w:val="1D71B8"/>
          <w:spacing w:val="-6"/>
          <w:sz w:val="18"/>
          <w:u w:val="single" w:color="1D71B8"/>
        </w:rPr>
        <w:t> </w:t>
      </w:r>
      <w:r>
        <w:rPr>
          <w:color w:val="1D71B8"/>
          <w:sz w:val="18"/>
          <w:u w:val="single" w:color="1D71B8"/>
        </w:rPr>
        <w:t>EU</w:t>
      </w:r>
      <w:r>
        <w:rPr>
          <w:color w:val="1D71B8"/>
          <w:spacing w:val="-5"/>
          <w:sz w:val="18"/>
          <w:u w:val="single" w:color="1D71B8"/>
        </w:rPr>
        <w:t> </w:t>
      </w:r>
      <w:r>
        <w:rPr>
          <w:color w:val="1D71B8"/>
          <w:sz w:val="18"/>
          <w:u w:val="single" w:color="1D71B8"/>
        </w:rPr>
        <w:t>Law</w:t>
      </w:r>
      <w:r>
        <w:rPr>
          <w:color w:val="1D71B8"/>
          <w:spacing w:val="-5"/>
          <w:sz w:val="18"/>
          <w:u w:val="single" w:color="1D71B8"/>
        </w:rPr>
        <w:t> </w:t>
      </w:r>
      <w:r>
        <w:rPr>
          <w:color w:val="1D71B8"/>
          <w:sz w:val="18"/>
          <w:u w:val="single" w:color="1D71B8"/>
        </w:rPr>
        <w:t>(Revocation</w:t>
      </w:r>
      <w:r>
        <w:rPr>
          <w:color w:val="1D71B8"/>
          <w:spacing w:val="-6"/>
          <w:sz w:val="18"/>
          <w:u w:val="single" w:color="1D71B8"/>
        </w:rPr>
        <w:t> </w:t>
      </w:r>
      <w:r>
        <w:rPr>
          <w:color w:val="1D71B8"/>
          <w:sz w:val="18"/>
          <w:u w:val="single" w:color="1D71B8"/>
        </w:rPr>
        <w:t>and</w:t>
      </w:r>
      <w:r>
        <w:rPr>
          <w:color w:val="1D71B8"/>
          <w:sz w:val="18"/>
          <w:u w:val="none"/>
        </w:rPr>
        <w:t> </w:t>
      </w:r>
      <w:r>
        <w:rPr>
          <w:color w:val="1D71B8"/>
          <w:sz w:val="18"/>
          <w:u w:val="single" w:color="1D71B8"/>
        </w:rPr>
        <w:t>Reform) Bill (now Act), 11 September 2023</w:t>
      </w:r>
      <w:r>
        <w:rPr>
          <w:color w:val="1D71B8"/>
          <w:sz w:val="18"/>
          <w:u w:val="none"/>
        </w:rPr>
        <w:t> </w:t>
      </w:r>
      <w:r>
        <w:rPr>
          <w:sz w:val="18"/>
          <w:u w:val="none"/>
        </w:rPr>
        <w:t>(House of Lords, 2022-2023) (11 September 2023).</w:t>
      </w:r>
    </w:p>
    <w:p>
      <w:pPr>
        <w:pStyle w:val="ListParagraph"/>
        <w:numPr>
          <w:ilvl w:val="0"/>
          <w:numId w:val="9"/>
        </w:numPr>
        <w:tabs>
          <w:tab w:pos="1287" w:val="left" w:leader="none"/>
        </w:tabs>
        <w:spacing w:line="240" w:lineRule="auto" w:before="0" w:after="0"/>
        <w:ind w:left="1287" w:right="1529" w:hanging="567"/>
        <w:jc w:val="left"/>
        <w:rPr>
          <w:sz w:val="18"/>
        </w:rPr>
      </w:pPr>
      <w:r>
        <w:rPr>
          <w:sz w:val="18"/>
        </w:rPr>
        <w:t>Joint</w:t>
      </w:r>
      <w:r>
        <w:rPr>
          <w:spacing w:val="-4"/>
          <w:sz w:val="18"/>
        </w:rPr>
        <w:t> </w:t>
      </w:r>
      <w:r>
        <w:rPr>
          <w:sz w:val="18"/>
        </w:rPr>
        <w:t>Committee</w:t>
      </w:r>
      <w:r>
        <w:rPr>
          <w:spacing w:val="-4"/>
          <w:sz w:val="18"/>
        </w:rPr>
        <w:t> </w:t>
      </w:r>
      <w:r>
        <w:rPr>
          <w:sz w:val="18"/>
        </w:rPr>
        <w:t>on</w:t>
      </w:r>
      <w:r>
        <w:rPr>
          <w:spacing w:val="-5"/>
          <w:sz w:val="18"/>
        </w:rPr>
        <w:t> </w:t>
      </w:r>
      <w:r>
        <w:rPr>
          <w:sz w:val="18"/>
        </w:rPr>
        <w:t>Human</w:t>
      </w:r>
      <w:r>
        <w:rPr>
          <w:spacing w:val="-4"/>
          <w:sz w:val="18"/>
        </w:rPr>
        <w:t> </w:t>
      </w:r>
      <w:r>
        <w:rPr>
          <w:sz w:val="18"/>
        </w:rPr>
        <w:t>Rights,</w:t>
      </w:r>
      <w:r>
        <w:rPr>
          <w:spacing w:val="-4"/>
          <w:sz w:val="18"/>
        </w:rPr>
        <w:t> </w:t>
      </w:r>
      <w:hyperlink r:id="rId60">
        <w:r>
          <w:rPr>
            <w:color w:val="1D71B8"/>
            <w:sz w:val="18"/>
            <w:u w:val="single" w:color="1D71B8"/>
          </w:rPr>
          <w:t>Fifth</w:t>
        </w:r>
        <w:r>
          <w:rPr>
            <w:color w:val="1D71B8"/>
            <w:spacing w:val="-5"/>
            <w:sz w:val="18"/>
            <w:u w:val="single" w:color="1D71B8"/>
          </w:rPr>
          <w:t> </w:t>
        </w:r>
        <w:r>
          <w:rPr>
            <w:color w:val="1D71B8"/>
            <w:sz w:val="18"/>
            <w:u w:val="single" w:color="1D71B8"/>
          </w:rPr>
          <w:t>Report</w:t>
        </w:r>
        <w:r>
          <w:rPr>
            <w:color w:val="1D71B8"/>
            <w:spacing w:val="-4"/>
            <w:sz w:val="18"/>
            <w:u w:val="single" w:color="1D71B8"/>
          </w:rPr>
          <w:t> </w:t>
        </w:r>
        <w:r>
          <w:rPr>
            <w:color w:val="1D71B8"/>
            <w:sz w:val="18"/>
            <w:u w:val="single" w:color="1D71B8"/>
          </w:rPr>
          <w:t>-</w:t>
        </w:r>
        <w:r>
          <w:rPr>
            <w:color w:val="1D71B8"/>
            <w:spacing w:val="-5"/>
            <w:sz w:val="18"/>
            <w:u w:val="single" w:color="1D71B8"/>
          </w:rPr>
          <w:t> </w:t>
        </w:r>
        <w:r>
          <w:rPr>
            <w:color w:val="1D71B8"/>
            <w:sz w:val="18"/>
            <w:u w:val="single" w:color="1D71B8"/>
          </w:rPr>
          <w:t>Legislative</w:t>
        </w:r>
        <w:r>
          <w:rPr>
            <w:color w:val="1D71B8"/>
            <w:spacing w:val="-4"/>
            <w:sz w:val="18"/>
            <w:u w:val="single" w:color="1D71B8"/>
          </w:rPr>
          <w:t> </w:t>
        </w:r>
        <w:r>
          <w:rPr>
            <w:color w:val="1D71B8"/>
            <w:sz w:val="18"/>
            <w:u w:val="single" w:color="1D71B8"/>
          </w:rPr>
          <w:t>Scrutiny:</w:t>
        </w:r>
        <w:r>
          <w:rPr>
            <w:color w:val="1D71B8"/>
            <w:spacing w:val="-4"/>
            <w:sz w:val="18"/>
            <w:u w:val="single" w:color="1D71B8"/>
          </w:rPr>
          <w:t> </w:t>
        </w:r>
        <w:r>
          <w:rPr>
            <w:color w:val="1D71B8"/>
            <w:sz w:val="18"/>
            <w:u w:val="single" w:color="1D71B8"/>
          </w:rPr>
          <w:t>Elections</w:t>
        </w:r>
        <w:r>
          <w:rPr>
            <w:color w:val="1D71B8"/>
            <w:spacing w:val="-5"/>
            <w:sz w:val="18"/>
            <w:u w:val="single" w:color="1D71B8"/>
          </w:rPr>
          <w:t> </w:t>
        </w:r>
        <w:r>
          <w:rPr>
            <w:color w:val="1D71B8"/>
            <w:sz w:val="18"/>
            <w:u w:val="single" w:color="1D71B8"/>
          </w:rPr>
          <w:t>Bill</w:t>
        </w:r>
      </w:hyperlink>
      <w:r>
        <w:rPr>
          <w:color w:val="1D71B8"/>
          <w:spacing w:val="-4"/>
          <w:sz w:val="18"/>
          <w:u w:val="none"/>
        </w:rPr>
        <w:t> </w:t>
      </w:r>
      <w:r>
        <w:rPr>
          <w:sz w:val="18"/>
          <w:u w:val="none"/>
        </w:rPr>
        <w:t>(House</w:t>
      </w:r>
      <w:r>
        <w:rPr>
          <w:spacing w:val="-4"/>
          <w:sz w:val="18"/>
          <w:u w:val="none"/>
        </w:rPr>
        <w:t> </w:t>
      </w:r>
      <w:r>
        <w:rPr>
          <w:sz w:val="18"/>
          <w:u w:val="none"/>
        </w:rPr>
        <w:t>of</w:t>
      </w:r>
      <w:r>
        <w:rPr>
          <w:spacing w:val="-5"/>
          <w:sz w:val="18"/>
          <w:u w:val="none"/>
        </w:rPr>
        <w:t> </w:t>
      </w:r>
      <w:r>
        <w:rPr>
          <w:sz w:val="18"/>
          <w:u w:val="none"/>
        </w:rPr>
        <w:t>Commons</w:t>
      </w:r>
      <w:r>
        <w:rPr>
          <w:spacing w:val="-5"/>
          <w:sz w:val="18"/>
          <w:u w:val="none"/>
        </w:rPr>
        <w:t> </w:t>
      </w:r>
      <w:r>
        <w:rPr>
          <w:sz w:val="18"/>
          <w:u w:val="none"/>
        </w:rPr>
        <w:t>and</w:t>
      </w:r>
      <w:r>
        <w:rPr>
          <w:spacing w:val="-5"/>
          <w:sz w:val="18"/>
          <w:u w:val="none"/>
        </w:rPr>
        <w:t> </w:t>
      </w:r>
      <w:r>
        <w:rPr>
          <w:sz w:val="18"/>
          <w:u w:val="none"/>
        </w:rPr>
        <w:t>House</w:t>
      </w:r>
      <w:r>
        <w:rPr>
          <w:spacing w:val="-4"/>
          <w:sz w:val="18"/>
          <w:u w:val="none"/>
        </w:rPr>
        <w:t> </w:t>
      </w:r>
      <w:r>
        <w:rPr>
          <w:sz w:val="18"/>
          <w:u w:val="none"/>
        </w:rPr>
        <w:t>of Lords, 2021-2022) HC 233 / HL Paper 58, 11-13, 18.</w:t>
      </w:r>
    </w:p>
    <w:p>
      <w:pPr>
        <w:pStyle w:val="ListParagraph"/>
        <w:numPr>
          <w:ilvl w:val="0"/>
          <w:numId w:val="9"/>
        </w:numPr>
        <w:tabs>
          <w:tab w:pos="1287" w:val="left" w:leader="none"/>
        </w:tabs>
        <w:spacing w:line="240" w:lineRule="auto" w:before="1" w:after="0"/>
        <w:ind w:left="1287" w:right="0" w:hanging="567"/>
        <w:jc w:val="left"/>
        <w:rPr>
          <w:sz w:val="18"/>
        </w:rPr>
      </w:pPr>
      <w:r>
        <w:rPr>
          <w:sz w:val="18"/>
        </w:rPr>
        <w:t>Elections</w:t>
      </w:r>
      <w:r>
        <w:rPr>
          <w:spacing w:val="-5"/>
          <w:sz w:val="18"/>
        </w:rPr>
        <w:t> </w:t>
      </w:r>
      <w:r>
        <w:rPr>
          <w:sz w:val="18"/>
        </w:rPr>
        <w:t>Act</w:t>
      </w:r>
      <w:r>
        <w:rPr>
          <w:spacing w:val="-4"/>
          <w:sz w:val="18"/>
        </w:rPr>
        <w:t> </w:t>
      </w:r>
      <w:r>
        <w:rPr>
          <w:sz w:val="18"/>
        </w:rPr>
        <w:t>2022,</w:t>
      </w:r>
      <w:r>
        <w:rPr>
          <w:spacing w:val="-4"/>
          <w:sz w:val="18"/>
        </w:rPr>
        <w:t> </w:t>
      </w:r>
      <w:hyperlink r:id="rId30">
        <w:r>
          <w:rPr>
            <w:color w:val="1D71B8"/>
            <w:sz w:val="18"/>
            <w:u w:val="single" w:color="1D71B8"/>
          </w:rPr>
          <w:t>schedule</w:t>
        </w:r>
        <w:r>
          <w:rPr>
            <w:color w:val="1D71B8"/>
            <w:spacing w:val="-4"/>
            <w:sz w:val="18"/>
            <w:u w:val="single" w:color="1D71B8"/>
          </w:rPr>
          <w:t> </w:t>
        </w:r>
        <w:r>
          <w:rPr>
            <w:color w:val="1D71B8"/>
            <w:spacing w:val="-5"/>
            <w:sz w:val="18"/>
            <w:u w:val="single" w:color="1D71B8"/>
          </w:rPr>
          <w:t>8</w:t>
        </w:r>
      </w:hyperlink>
      <w:r>
        <w:rPr>
          <w:spacing w:val="-5"/>
          <w:sz w:val="18"/>
          <w:u w:val="none"/>
        </w:rPr>
        <w:t>.</w:t>
      </w:r>
    </w:p>
    <w:p>
      <w:pPr>
        <w:pStyle w:val="ListParagraph"/>
        <w:numPr>
          <w:ilvl w:val="0"/>
          <w:numId w:val="9"/>
        </w:numPr>
        <w:tabs>
          <w:tab w:pos="1287" w:val="left" w:leader="none"/>
        </w:tabs>
        <w:spacing w:line="240" w:lineRule="auto" w:before="0" w:after="0"/>
        <w:ind w:left="1287" w:right="1248" w:hanging="567"/>
        <w:jc w:val="left"/>
        <w:rPr>
          <w:sz w:val="18"/>
        </w:rPr>
      </w:pPr>
      <w:r>
        <w:rPr>
          <w:sz w:val="18"/>
        </w:rPr>
        <w:t>ECNI</w:t>
      </w:r>
      <w:r>
        <w:rPr>
          <w:spacing w:val="-3"/>
          <w:sz w:val="18"/>
        </w:rPr>
        <w:t> </w:t>
      </w:r>
      <w:r>
        <w:rPr>
          <w:sz w:val="18"/>
        </w:rPr>
        <w:t>and</w:t>
      </w:r>
      <w:r>
        <w:rPr>
          <w:spacing w:val="-4"/>
          <w:sz w:val="18"/>
        </w:rPr>
        <w:t> </w:t>
      </w:r>
      <w:r>
        <w:rPr>
          <w:sz w:val="18"/>
        </w:rPr>
        <w:t>NIHRC,</w:t>
      </w:r>
      <w:r>
        <w:rPr>
          <w:spacing w:val="-3"/>
          <w:sz w:val="18"/>
        </w:rPr>
        <w:t> </w:t>
      </w:r>
      <w:r>
        <w:rPr>
          <w:color w:val="1D71B8"/>
          <w:sz w:val="18"/>
          <w:u w:val="single" w:color="1D71B8"/>
        </w:rPr>
        <w:t>Briefing</w:t>
      </w:r>
      <w:r>
        <w:rPr>
          <w:color w:val="1D71B8"/>
          <w:spacing w:val="-3"/>
          <w:sz w:val="18"/>
          <w:u w:val="single" w:color="1D71B8"/>
        </w:rPr>
        <w:t> </w:t>
      </w:r>
      <w:r>
        <w:rPr>
          <w:color w:val="1D71B8"/>
          <w:sz w:val="18"/>
          <w:u w:val="single" w:color="1D71B8"/>
        </w:rPr>
        <w:t>on</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provisions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Voting/Candidacy</w:t>
      </w:r>
      <w:r>
        <w:rPr>
          <w:color w:val="1D71B8"/>
          <w:spacing w:val="-3"/>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EU</w:t>
      </w:r>
      <w:r>
        <w:rPr>
          <w:color w:val="1D71B8"/>
          <w:spacing w:val="-3"/>
          <w:sz w:val="18"/>
          <w:u w:val="single" w:color="1D71B8"/>
        </w:rPr>
        <w:t> </w:t>
      </w:r>
      <w:r>
        <w:rPr>
          <w:color w:val="1D71B8"/>
          <w:sz w:val="18"/>
          <w:u w:val="single" w:color="1D71B8"/>
        </w:rPr>
        <w:t>citizens</w:t>
      </w:r>
      <w:r>
        <w:rPr>
          <w:color w:val="1D71B8"/>
          <w:spacing w:val="-4"/>
          <w:sz w:val="18"/>
          <w:u w:val="single" w:color="1D71B8"/>
        </w:rPr>
        <w:t> </w:t>
      </w:r>
      <w:r>
        <w:rPr>
          <w:color w:val="1D71B8"/>
          <w:sz w:val="18"/>
          <w:u w:val="single" w:color="1D71B8"/>
        </w:rPr>
        <w:t>in</w:t>
      </w:r>
      <w:r>
        <w:rPr>
          <w:color w:val="1D71B8"/>
          <w:spacing w:val="-3"/>
          <w:sz w:val="18"/>
          <w:u w:val="single" w:color="1D71B8"/>
        </w:rPr>
        <w:t> </w:t>
      </w:r>
      <w:r>
        <w:rPr>
          <w:color w:val="1D71B8"/>
          <w:sz w:val="18"/>
          <w:u w:val="single" w:color="1D71B8"/>
        </w:rPr>
        <w:t>Northern</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Elections</w:t>
      </w:r>
      <w:r>
        <w:rPr>
          <w:color w:val="1D71B8"/>
          <w:sz w:val="18"/>
          <w:u w:val="none"/>
        </w:rPr>
        <w:t> </w:t>
      </w:r>
      <w:r>
        <w:rPr>
          <w:color w:val="1D71B8"/>
          <w:sz w:val="18"/>
          <w:u w:val="single" w:color="1D71B8"/>
        </w:rPr>
        <w:t>Bill</w:t>
      </w:r>
      <w:r>
        <w:rPr>
          <w:color w:val="1D71B8"/>
          <w:sz w:val="18"/>
          <w:u w:val="none"/>
        </w:rPr>
        <w:t> </w:t>
      </w:r>
      <w:r>
        <w:rPr>
          <w:sz w:val="18"/>
          <w:u w:val="none"/>
        </w:rPr>
        <w:t>(4 March 2022).</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81824">
                <wp:simplePos x="0" y="0"/>
                <wp:positionH relativeFrom="page">
                  <wp:posOffset>-2</wp:posOffset>
                </wp:positionH>
                <wp:positionV relativeFrom="page">
                  <wp:posOffset>0</wp:posOffset>
                </wp:positionV>
                <wp:extent cx="7560309" cy="1155065"/>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7560309" cy="1155065"/>
                          <a:chExt cx="7560309" cy="1155065"/>
                        </a:xfrm>
                      </wpg:grpSpPr>
                      <wps:wsp>
                        <wps:cNvPr id="409" name="Graphic 409"/>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410" name="Graphic 410"/>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34656" id="docshapegroup322" coordorigin="0,0" coordsize="11906,1819">
                <v:shape style="position:absolute;left:0;top:0;width:11906;height:1819" id="docshape323"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41</w:t>
      </w:r>
    </w:p>
    <w:p>
      <w:pPr>
        <w:pStyle w:val="BodyText"/>
        <w:rPr>
          <w:b/>
        </w:rPr>
      </w:pPr>
    </w:p>
    <w:p>
      <w:pPr>
        <w:pStyle w:val="BodyText"/>
        <w:spacing w:before="48"/>
        <w:rPr>
          <w:b/>
        </w:rPr>
      </w:pPr>
    </w:p>
    <w:p>
      <w:pPr>
        <w:pStyle w:val="BodyText"/>
        <w:spacing w:line="232" w:lineRule="auto"/>
        <w:ind w:left="1117" w:right="1404"/>
      </w:pPr>
      <w:r>
        <w:rPr/>
        <w:t>of</w:t>
      </w:r>
      <w:r>
        <w:rPr>
          <w:spacing w:val="-9"/>
        </w:rPr>
        <w:t> </w:t>
      </w:r>
      <w:r>
        <w:rPr/>
        <w:t>the</w:t>
      </w:r>
      <w:r>
        <w:rPr>
          <w:spacing w:val="-8"/>
        </w:rPr>
        <w:t> </w:t>
      </w:r>
      <w:r>
        <w:rPr/>
        <w:t>Agreement</w:t>
      </w:r>
      <w:r>
        <w:rPr>
          <w:spacing w:val="-8"/>
        </w:rPr>
        <w:t> </w:t>
      </w:r>
      <w:r>
        <w:rPr/>
        <w:t>applies</w:t>
      </w:r>
      <w:r>
        <w:rPr>
          <w:spacing w:val="-9"/>
        </w:rPr>
        <w:t> </w:t>
      </w:r>
      <w:r>
        <w:rPr/>
        <w:t>to</w:t>
      </w:r>
      <w:r>
        <w:rPr>
          <w:spacing w:val="-9"/>
        </w:rPr>
        <w:t> </w:t>
      </w:r>
      <w:r>
        <w:rPr/>
        <w:t>‘everyone</w:t>
      </w:r>
      <w:r>
        <w:rPr>
          <w:spacing w:val="-8"/>
        </w:rPr>
        <w:t> </w:t>
      </w:r>
      <w:r>
        <w:rPr/>
        <w:t>in</w:t>
      </w:r>
      <w:r>
        <w:rPr>
          <w:spacing w:val="-9"/>
        </w:rPr>
        <w:t> </w:t>
      </w:r>
      <w:r>
        <w:rPr/>
        <w:t>the</w:t>
      </w:r>
      <w:r>
        <w:rPr>
          <w:spacing w:val="-8"/>
        </w:rPr>
        <w:t> </w:t>
      </w:r>
      <w:r>
        <w:rPr/>
        <w:t>community’,</w:t>
      </w:r>
      <w:r>
        <w:rPr>
          <w:spacing w:val="-8"/>
        </w:rPr>
        <w:t> </w:t>
      </w:r>
      <w:r>
        <w:rPr/>
        <w:t>a</w:t>
      </w:r>
      <w:r>
        <w:rPr>
          <w:spacing w:val="-9"/>
        </w:rPr>
        <w:t> </w:t>
      </w:r>
      <w:r>
        <w:rPr/>
        <w:t>point</w:t>
      </w:r>
      <w:r>
        <w:rPr>
          <w:spacing w:val="-8"/>
        </w:rPr>
        <w:t> </w:t>
      </w:r>
      <w:r>
        <w:rPr/>
        <w:t>supported by the High Court in the </w:t>
      </w:r>
      <w:r>
        <w:rPr>
          <w:i/>
        </w:rPr>
        <w:t>Angesom </w:t>
      </w:r>
      <w:r>
        <w:rPr/>
        <w:t>case (see chapter five). The Commissions</w:t>
      </w:r>
    </w:p>
    <w:p>
      <w:pPr>
        <w:pStyle w:val="BodyText"/>
        <w:spacing w:line="232" w:lineRule="auto"/>
        <w:ind w:left="1117" w:right="738"/>
      </w:pPr>
      <w:r>
        <w:rPr/>
        <w:t>have</w:t>
      </w:r>
      <w:r>
        <w:rPr>
          <w:spacing w:val="-6"/>
        </w:rPr>
        <w:t> </w:t>
      </w:r>
      <w:r>
        <w:rPr/>
        <w:t>recommended</w:t>
      </w:r>
      <w:r>
        <w:rPr>
          <w:spacing w:val="-6"/>
        </w:rPr>
        <w:t> </w:t>
      </w:r>
      <w:r>
        <w:rPr/>
        <w:t>that</w:t>
      </w:r>
      <w:r>
        <w:rPr>
          <w:spacing w:val="-6"/>
        </w:rPr>
        <w:t> </w:t>
      </w:r>
      <w:r>
        <w:rPr/>
        <w:t>there</w:t>
      </w:r>
      <w:r>
        <w:rPr>
          <w:spacing w:val="-6"/>
        </w:rPr>
        <w:t> </w:t>
      </w:r>
      <w:r>
        <w:rPr/>
        <w:t>is</w:t>
      </w:r>
      <w:r>
        <w:rPr>
          <w:spacing w:val="-6"/>
        </w:rPr>
        <w:t> </w:t>
      </w:r>
      <w:r>
        <w:rPr/>
        <w:t>no</w:t>
      </w:r>
      <w:r>
        <w:rPr>
          <w:spacing w:val="-6"/>
        </w:rPr>
        <w:t> </w:t>
      </w:r>
      <w:r>
        <w:rPr/>
        <w:t>reduction</w:t>
      </w:r>
      <w:r>
        <w:rPr>
          <w:spacing w:val="-6"/>
        </w:rPr>
        <w:t> </w:t>
      </w:r>
      <w:r>
        <w:rPr/>
        <w:t>of</w:t>
      </w:r>
      <w:r>
        <w:rPr>
          <w:spacing w:val="-6"/>
        </w:rPr>
        <w:t> </w:t>
      </w:r>
      <w:r>
        <w:rPr/>
        <w:t>rights</w:t>
      </w:r>
      <w:r>
        <w:rPr>
          <w:spacing w:val="-6"/>
        </w:rPr>
        <w:t> </w:t>
      </w:r>
      <w:r>
        <w:rPr/>
        <w:t>of</w:t>
      </w:r>
      <w:r>
        <w:rPr>
          <w:spacing w:val="-6"/>
        </w:rPr>
        <w:t> </w:t>
      </w:r>
      <w:r>
        <w:rPr/>
        <w:t>certain</w:t>
      </w:r>
      <w:r>
        <w:rPr>
          <w:spacing w:val="-6"/>
        </w:rPr>
        <w:t> </w:t>
      </w:r>
      <w:r>
        <w:rPr/>
        <w:t>EU</w:t>
      </w:r>
      <w:r>
        <w:rPr>
          <w:spacing w:val="-6"/>
        </w:rPr>
        <w:t> </w:t>
      </w:r>
      <w:r>
        <w:rPr/>
        <w:t>citizens</w:t>
      </w:r>
      <w:r>
        <w:rPr>
          <w:spacing w:val="-6"/>
        </w:rPr>
        <w:t> </w:t>
      </w:r>
      <w:r>
        <w:rPr/>
        <w:t>who arrive in Northern Ireland after the end of the Brexit transition period in terms</w:t>
      </w:r>
    </w:p>
    <w:p>
      <w:pPr>
        <w:pStyle w:val="BodyText"/>
        <w:spacing w:line="232" w:lineRule="auto"/>
        <w:ind w:left="1117" w:right="1087"/>
      </w:pPr>
      <w:r>
        <w:rPr/>
        <w:t>of</w:t>
      </w:r>
      <w:r>
        <w:rPr>
          <w:spacing w:val="-7"/>
        </w:rPr>
        <w:t> </w:t>
      </w:r>
      <w:r>
        <w:rPr/>
        <w:t>voting</w:t>
      </w:r>
      <w:r>
        <w:rPr>
          <w:spacing w:val="-7"/>
        </w:rPr>
        <w:t> </w:t>
      </w:r>
      <w:r>
        <w:rPr/>
        <w:t>and</w:t>
      </w:r>
      <w:r>
        <w:rPr>
          <w:spacing w:val="-7"/>
        </w:rPr>
        <w:t> </w:t>
      </w:r>
      <w:r>
        <w:rPr/>
        <w:t>candidacy</w:t>
      </w:r>
      <w:r>
        <w:rPr>
          <w:spacing w:val="-7"/>
        </w:rPr>
        <w:t> </w:t>
      </w:r>
      <w:r>
        <w:rPr/>
        <w:t>rights</w:t>
      </w:r>
      <w:r>
        <w:rPr>
          <w:spacing w:val="-7"/>
        </w:rPr>
        <w:t> </w:t>
      </w:r>
      <w:r>
        <w:rPr/>
        <w:t>in</w:t>
      </w:r>
      <w:r>
        <w:rPr>
          <w:spacing w:val="-7"/>
        </w:rPr>
        <w:t> </w:t>
      </w:r>
      <w:r>
        <w:rPr/>
        <w:t>local</w:t>
      </w:r>
      <w:r>
        <w:rPr>
          <w:spacing w:val="-7"/>
        </w:rPr>
        <w:t> </w:t>
      </w:r>
      <w:r>
        <w:rPr/>
        <w:t>elections</w:t>
      </w:r>
      <w:r>
        <w:rPr>
          <w:spacing w:val="-7"/>
        </w:rPr>
        <w:t> </w:t>
      </w:r>
      <w:r>
        <w:rPr/>
        <w:t>in</w:t>
      </w:r>
      <w:r>
        <w:rPr>
          <w:spacing w:val="-7"/>
        </w:rPr>
        <w:t> </w:t>
      </w:r>
      <w:r>
        <w:rPr/>
        <w:t>NI.</w:t>
      </w:r>
      <w:r>
        <w:rPr>
          <w:vertAlign w:val="superscript"/>
        </w:rPr>
        <w:t>195</w:t>
      </w:r>
      <w:r>
        <w:rPr>
          <w:spacing w:val="-7"/>
          <w:vertAlign w:val="baseline"/>
        </w:rPr>
        <w:t> </w:t>
      </w:r>
      <w:r>
        <w:rPr>
          <w:vertAlign w:val="baseline"/>
        </w:rPr>
        <w:t>The</w:t>
      </w:r>
      <w:r>
        <w:rPr>
          <w:spacing w:val="-7"/>
          <w:vertAlign w:val="baseline"/>
        </w:rPr>
        <w:t> </w:t>
      </w:r>
      <w:r>
        <w:rPr>
          <w:vertAlign w:val="baseline"/>
        </w:rPr>
        <w:t>Windsor</w:t>
      </w:r>
      <w:r>
        <w:rPr>
          <w:spacing w:val="-7"/>
          <w:vertAlign w:val="baseline"/>
        </w:rPr>
        <w:t> </w:t>
      </w:r>
      <w:r>
        <w:rPr>
          <w:vertAlign w:val="baseline"/>
        </w:rPr>
        <w:t>Framework Sub-Committee has followed up on this point with the Government. The Government view is that the voting rights under Article 22 TFEU are not within the scope of</w:t>
      </w:r>
      <w:r>
        <w:rPr>
          <w:spacing w:val="-1"/>
          <w:vertAlign w:val="baseline"/>
        </w:rPr>
        <w:t> </w:t>
      </w:r>
      <w:r>
        <w:rPr>
          <w:vertAlign w:val="baseline"/>
        </w:rPr>
        <w:t>Article 2 WF.</w:t>
      </w:r>
      <w:r>
        <w:rPr>
          <w:vertAlign w:val="superscript"/>
        </w:rPr>
        <w:t>196</w:t>
      </w:r>
      <w:r>
        <w:rPr>
          <w:spacing w:val="-1"/>
          <w:vertAlign w:val="baseline"/>
        </w:rPr>
        <w:t> </w:t>
      </w:r>
      <w:r>
        <w:rPr>
          <w:vertAlign w:val="baseline"/>
        </w:rPr>
        <w:t>The ECNI and</w:t>
      </w:r>
      <w:r>
        <w:rPr>
          <w:spacing w:val="-1"/>
          <w:vertAlign w:val="baseline"/>
        </w:rPr>
        <w:t> </w:t>
      </w:r>
      <w:r>
        <w:rPr>
          <w:vertAlign w:val="baseline"/>
        </w:rPr>
        <w:t>NIHRC</w:t>
      </w:r>
      <w:r>
        <w:rPr>
          <w:spacing w:val="-1"/>
          <w:vertAlign w:val="baseline"/>
        </w:rPr>
        <w:t> </w:t>
      </w:r>
      <w:r>
        <w:rPr>
          <w:vertAlign w:val="baseline"/>
        </w:rPr>
        <w:t>have stated</w:t>
      </w:r>
      <w:r>
        <w:rPr>
          <w:spacing w:val="-1"/>
          <w:vertAlign w:val="baseline"/>
        </w:rPr>
        <w:t> </w:t>
      </w:r>
      <w:r>
        <w:rPr>
          <w:vertAlign w:val="baseline"/>
        </w:rPr>
        <w:t>that they disagree with the Government’s analysis and that the issue is not one of Article 22 TFEU but Article 2 WF.</w:t>
      </w:r>
      <w:r>
        <w:rPr>
          <w:vertAlign w:val="superscript"/>
        </w:rPr>
        <w:t>197</w:t>
      </w:r>
    </w:p>
    <w:p>
      <w:pPr>
        <w:pStyle w:val="BodyText"/>
        <w:spacing w:line="232" w:lineRule="auto" w:before="268"/>
        <w:ind w:left="1117" w:right="900"/>
      </w:pPr>
      <w:r>
        <w:rPr/>
        <w:t>The 1998 Agreement devotes considerable language to describing political rights (quoted above) and protects the rights of everyone in the community. Removing the</w:t>
      </w:r>
      <w:r>
        <w:rPr>
          <w:spacing w:val="-6"/>
        </w:rPr>
        <w:t> </w:t>
      </w:r>
      <w:r>
        <w:rPr/>
        <w:t>right</w:t>
      </w:r>
      <w:r>
        <w:rPr>
          <w:spacing w:val="-6"/>
        </w:rPr>
        <w:t> </w:t>
      </w:r>
      <w:r>
        <w:rPr/>
        <w:t>to</w:t>
      </w:r>
      <w:r>
        <w:rPr>
          <w:spacing w:val="-7"/>
        </w:rPr>
        <w:t> </w:t>
      </w:r>
      <w:r>
        <w:rPr/>
        <w:t>vote</w:t>
      </w:r>
      <w:r>
        <w:rPr>
          <w:spacing w:val="-6"/>
        </w:rPr>
        <w:t> </w:t>
      </w:r>
      <w:r>
        <w:rPr/>
        <w:t>of</w:t>
      </w:r>
      <w:r>
        <w:rPr>
          <w:spacing w:val="-7"/>
        </w:rPr>
        <w:t> </w:t>
      </w:r>
      <w:r>
        <w:rPr/>
        <w:t>EU</w:t>
      </w:r>
      <w:r>
        <w:rPr>
          <w:spacing w:val="-6"/>
        </w:rPr>
        <w:t> </w:t>
      </w:r>
      <w:r>
        <w:rPr/>
        <w:t>citizens</w:t>
      </w:r>
      <w:r>
        <w:rPr>
          <w:spacing w:val="-7"/>
        </w:rPr>
        <w:t> </w:t>
      </w:r>
      <w:r>
        <w:rPr/>
        <w:t>would</w:t>
      </w:r>
      <w:r>
        <w:rPr>
          <w:spacing w:val="-7"/>
        </w:rPr>
        <w:t> </w:t>
      </w:r>
      <w:r>
        <w:rPr/>
        <w:t>appear</w:t>
      </w:r>
      <w:r>
        <w:rPr>
          <w:spacing w:val="-6"/>
        </w:rPr>
        <w:t> </w:t>
      </w:r>
      <w:r>
        <w:rPr/>
        <w:t>to</w:t>
      </w:r>
      <w:r>
        <w:rPr>
          <w:spacing w:val="-7"/>
        </w:rPr>
        <w:t> </w:t>
      </w:r>
      <w:r>
        <w:rPr/>
        <w:t>remove</w:t>
      </w:r>
      <w:r>
        <w:rPr>
          <w:spacing w:val="-6"/>
        </w:rPr>
        <w:t> </w:t>
      </w:r>
      <w:r>
        <w:rPr/>
        <w:t>a</w:t>
      </w:r>
      <w:r>
        <w:rPr>
          <w:spacing w:val="-7"/>
        </w:rPr>
        <w:t> </w:t>
      </w:r>
      <w:r>
        <w:rPr/>
        <w:t>right</w:t>
      </w:r>
      <w:r>
        <w:rPr>
          <w:spacing w:val="-6"/>
        </w:rPr>
        <w:t> </w:t>
      </w:r>
      <w:r>
        <w:rPr/>
        <w:t>that</w:t>
      </w:r>
      <w:r>
        <w:rPr>
          <w:spacing w:val="-6"/>
        </w:rPr>
        <w:t> </w:t>
      </w:r>
      <w:r>
        <w:rPr/>
        <w:t>existed</w:t>
      </w:r>
      <w:r>
        <w:rPr>
          <w:spacing w:val="-7"/>
        </w:rPr>
        <w:t> </w:t>
      </w:r>
      <w:r>
        <w:rPr/>
        <w:t>before the end of the transition period. The protections offered by Article 2 WF cannot be</w:t>
      </w:r>
      <w:r>
        <w:rPr>
          <w:spacing w:val="-1"/>
        </w:rPr>
        <w:t> </w:t>
      </w:r>
      <w:r>
        <w:rPr/>
        <w:t>limited</w:t>
      </w:r>
      <w:r>
        <w:rPr>
          <w:spacing w:val="-2"/>
        </w:rPr>
        <w:t> </w:t>
      </w:r>
      <w:r>
        <w:rPr/>
        <w:t>to</w:t>
      </w:r>
      <w:r>
        <w:rPr>
          <w:spacing w:val="-2"/>
        </w:rPr>
        <w:t> </w:t>
      </w:r>
      <w:r>
        <w:rPr/>
        <w:t>persons</w:t>
      </w:r>
      <w:r>
        <w:rPr>
          <w:spacing w:val="-2"/>
        </w:rPr>
        <w:t> </w:t>
      </w:r>
      <w:r>
        <w:rPr/>
        <w:t>who</w:t>
      </w:r>
      <w:r>
        <w:rPr>
          <w:spacing w:val="-2"/>
        </w:rPr>
        <w:t> </w:t>
      </w:r>
      <w:r>
        <w:rPr/>
        <w:t>arrived</w:t>
      </w:r>
      <w:r>
        <w:rPr>
          <w:spacing w:val="-2"/>
        </w:rPr>
        <w:t> </w:t>
      </w:r>
      <w:r>
        <w:rPr/>
        <w:t>before</w:t>
      </w:r>
      <w:r>
        <w:rPr>
          <w:spacing w:val="-1"/>
        </w:rPr>
        <w:t> </w:t>
      </w:r>
      <w:r>
        <w:rPr/>
        <w:t>that</w:t>
      </w:r>
      <w:r>
        <w:rPr>
          <w:spacing w:val="-1"/>
        </w:rPr>
        <w:t> </w:t>
      </w:r>
      <w:r>
        <w:rPr/>
        <w:t>date</w:t>
      </w:r>
      <w:r>
        <w:rPr>
          <w:spacing w:val="-1"/>
        </w:rPr>
        <w:t> </w:t>
      </w:r>
      <w:r>
        <w:rPr/>
        <w:t>–</w:t>
      </w:r>
      <w:r>
        <w:rPr>
          <w:spacing w:val="-2"/>
        </w:rPr>
        <w:t> </w:t>
      </w:r>
      <w:r>
        <w:rPr/>
        <w:t>the</w:t>
      </w:r>
      <w:r>
        <w:rPr>
          <w:spacing w:val="-1"/>
        </w:rPr>
        <w:t> </w:t>
      </w:r>
      <w:r>
        <w:rPr/>
        <w:t>rights</w:t>
      </w:r>
      <w:r>
        <w:rPr>
          <w:spacing w:val="-2"/>
        </w:rPr>
        <w:t> </w:t>
      </w:r>
      <w:r>
        <w:rPr/>
        <w:t>of</w:t>
      </w:r>
      <w:r>
        <w:rPr>
          <w:spacing w:val="-2"/>
        </w:rPr>
        <w:t> </w:t>
      </w:r>
      <w:r>
        <w:rPr/>
        <w:t>everyone</w:t>
      </w:r>
      <w:r>
        <w:rPr>
          <w:spacing w:val="-1"/>
        </w:rPr>
        <w:t> </w:t>
      </w:r>
      <w:r>
        <w:rPr/>
        <w:t>in</w:t>
      </w:r>
      <w:r>
        <w:rPr>
          <w:spacing w:val="-2"/>
        </w:rPr>
        <w:t> </w:t>
      </w:r>
      <w:r>
        <w:rPr/>
        <w:t>the community are ongoing.</w:t>
      </w:r>
    </w:p>
    <w:p>
      <w:pPr>
        <w:pStyle w:val="BodyText"/>
        <w:spacing w:line="232" w:lineRule="auto" w:before="274"/>
        <w:ind w:left="1117" w:right="766"/>
      </w:pPr>
      <w:r>
        <w:rPr/>
        <w:t>It</w:t>
      </w:r>
      <w:r>
        <w:rPr>
          <w:spacing w:val="-5"/>
        </w:rPr>
        <w:t> </w:t>
      </w:r>
      <w:r>
        <w:rPr/>
        <w:t>might</w:t>
      </w:r>
      <w:r>
        <w:rPr>
          <w:spacing w:val="-5"/>
        </w:rPr>
        <w:t> </w:t>
      </w:r>
      <w:r>
        <w:rPr/>
        <w:t>be</w:t>
      </w:r>
      <w:r>
        <w:rPr>
          <w:spacing w:val="-5"/>
        </w:rPr>
        <w:t> </w:t>
      </w:r>
      <w:r>
        <w:rPr/>
        <w:t>argued</w:t>
      </w:r>
      <w:r>
        <w:rPr>
          <w:spacing w:val="-6"/>
        </w:rPr>
        <w:t> </w:t>
      </w:r>
      <w:r>
        <w:rPr/>
        <w:t>that</w:t>
      </w:r>
      <w:r>
        <w:rPr>
          <w:spacing w:val="-5"/>
        </w:rPr>
        <w:t> </w:t>
      </w:r>
      <w:r>
        <w:rPr/>
        <w:t>including</w:t>
      </w:r>
      <w:r>
        <w:rPr>
          <w:spacing w:val="-5"/>
        </w:rPr>
        <w:t> </w:t>
      </w:r>
      <w:r>
        <w:rPr/>
        <w:t>the</w:t>
      </w:r>
      <w:r>
        <w:rPr>
          <w:spacing w:val="-5"/>
        </w:rPr>
        <w:t> </w:t>
      </w:r>
      <w:r>
        <w:rPr/>
        <w:t>right</w:t>
      </w:r>
      <w:r>
        <w:rPr>
          <w:spacing w:val="-5"/>
        </w:rPr>
        <w:t> </w:t>
      </w:r>
      <w:r>
        <w:rPr/>
        <w:t>to</w:t>
      </w:r>
      <w:r>
        <w:rPr>
          <w:spacing w:val="-6"/>
        </w:rPr>
        <w:t> </w:t>
      </w:r>
      <w:r>
        <w:rPr/>
        <w:t>vote</w:t>
      </w:r>
      <w:r>
        <w:rPr>
          <w:spacing w:val="-5"/>
        </w:rPr>
        <w:t> </w:t>
      </w:r>
      <w:r>
        <w:rPr/>
        <w:t>in</w:t>
      </w:r>
      <w:r>
        <w:rPr>
          <w:spacing w:val="-6"/>
        </w:rPr>
        <w:t> </w:t>
      </w:r>
      <w:r>
        <w:rPr/>
        <w:t>local</w:t>
      </w:r>
      <w:r>
        <w:rPr>
          <w:spacing w:val="-6"/>
        </w:rPr>
        <w:t> </w:t>
      </w:r>
      <w:r>
        <w:rPr/>
        <w:t>elections</w:t>
      </w:r>
      <w:r>
        <w:rPr>
          <w:spacing w:val="-6"/>
        </w:rPr>
        <w:t> </w:t>
      </w:r>
      <w:r>
        <w:rPr/>
        <w:t>for</w:t>
      </w:r>
      <w:r>
        <w:rPr>
          <w:spacing w:val="-5"/>
        </w:rPr>
        <w:t> </w:t>
      </w:r>
      <w:r>
        <w:rPr/>
        <w:t>EU</w:t>
      </w:r>
      <w:r>
        <w:rPr>
          <w:spacing w:val="-5"/>
        </w:rPr>
        <w:t> </w:t>
      </w:r>
      <w:r>
        <w:rPr/>
        <w:t>nationals also raises the prospect that one could also argue that free movement rights should be extended to EU citizens arriving after 1 January 2021. This does not though cause an insuperable argument as a distinction can be drawn between entitlements that one has when a member of the community and one’s interest</w:t>
      </w:r>
    </w:p>
    <w:p>
      <w:pPr>
        <w:pStyle w:val="BodyText"/>
        <w:spacing w:line="232" w:lineRule="auto"/>
        <w:ind w:left="1117" w:right="1003"/>
        <w:jc w:val="both"/>
      </w:pPr>
      <w:r>
        <w:rPr/>
        <w:t>in</w:t>
      </w:r>
      <w:r>
        <w:rPr>
          <w:spacing w:val="-4"/>
        </w:rPr>
        <w:t> </w:t>
      </w:r>
      <w:r>
        <w:rPr/>
        <w:t>moving</w:t>
      </w:r>
      <w:r>
        <w:rPr>
          <w:spacing w:val="-3"/>
        </w:rPr>
        <w:t> </w:t>
      </w:r>
      <w:r>
        <w:rPr/>
        <w:t>to</w:t>
      </w:r>
      <w:r>
        <w:rPr>
          <w:spacing w:val="-4"/>
        </w:rPr>
        <w:t> </w:t>
      </w:r>
      <w:r>
        <w:rPr/>
        <w:t>a</w:t>
      </w:r>
      <w:r>
        <w:rPr>
          <w:spacing w:val="-4"/>
        </w:rPr>
        <w:t> </w:t>
      </w:r>
      <w:r>
        <w:rPr/>
        <w:t>territory</w:t>
      </w:r>
      <w:r>
        <w:rPr>
          <w:spacing w:val="-3"/>
        </w:rPr>
        <w:t> </w:t>
      </w:r>
      <w:r>
        <w:rPr/>
        <w:t>to</w:t>
      </w:r>
      <w:r>
        <w:rPr>
          <w:spacing w:val="-4"/>
        </w:rPr>
        <w:t> </w:t>
      </w:r>
      <w:r>
        <w:rPr/>
        <w:t>become</w:t>
      </w:r>
      <w:r>
        <w:rPr>
          <w:spacing w:val="-3"/>
        </w:rPr>
        <w:t> </w:t>
      </w:r>
      <w:r>
        <w:rPr/>
        <w:t>part</w:t>
      </w:r>
      <w:r>
        <w:rPr>
          <w:spacing w:val="-3"/>
        </w:rPr>
        <w:t> </w:t>
      </w:r>
      <w:r>
        <w:rPr/>
        <w:t>of</w:t>
      </w:r>
      <w:r>
        <w:rPr>
          <w:spacing w:val="-4"/>
        </w:rPr>
        <w:t> </w:t>
      </w:r>
      <w:r>
        <w:rPr/>
        <w:t>a</w:t>
      </w:r>
      <w:r>
        <w:rPr>
          <w:spacing w:val="-4"/>
        </w:rPr>
        <w:t> </w:t>
      </w:r>
      <w:r>
        <w:rPr/>
        <w:t>community.</w:t>
      </w:r>
      <w:r>
        <w:rPr>
          <w:spacing w:val="-4"/>
        </w:rPr>
        <w:t> </w:t>
      </w:r>
      <w:r>
        <w:rPr/>
        <w:t>There</w:t>
      </w:r>
      <w:r>
        <w:rPr>
          <w:spacing w:val="-3"/>
        </w:rPr>
        <w:t> </w:t>
      </w:r>
      <w:r>
        <w:rPr/>
        <w:t>may</w:t>
      </w:r>
      <w:r>
        <w:rPr>
          <w:spacing w:val="-3"/>
        </w:rPr>
        <w:t> </w:t>
      </w:r>
      <w:r>
        <w:rPr/>
        <w:t>well</w:t>
      </w:r>
      <w:r>
        <w:rPr>
          <w:spacing w:val="-4"/>
        </w:rPr>
        <w:t> </w:t>
      </w:r>
      <w:r>
        <w:rPr/>
        <w:t>be</w:t>
      </w:r>
      <w:r>
        <w:rPr>
          <w:spacing w:val="-3"/>
        </w:rPr>
        <w:t> </w:t>
      </w:r>
      <w:r>
        <w:rPr/>
        <w:t>other arguments:</w:t>
      </w:r>
      <w:r>
        <w:rPr>
          <w:spacing w:val="-6"/>
        </w:rPr>
        <w:t> </w:t>
      </w:r>
      <w:r>
        <w:rPr/>
        <w:t>would</w:t>
      </w:r>
      <w:r>
        <w:rPr>
          <w:spacing w:val="-7"/>
        </w:rPr>
        <w:t> </w:t>
      </w:r>
      <w:r>
        <w:rPr/>
        <w:t>such</w:t>
      </w:r>
      <w:r>
        <w:rPr>
          <w:spacing w:val="-7"/>
        </w:rPr>
        <w:t> </w:t>
      </w:r>
      <w:r>
        <w:rPr/>
        <w:t>a</w:t>
      </w:r>
      <w:r>
        <w:rPr>
          <w:spacing w:val="-7"/>
        </w:rPr>
        <w:t> </w:t>
      </w:r>
      <w:r>
        <w:rPr/>
        <w:t>right</w:t>
      </w:r>
      <w:r>
        <w:rPr>
          <w:spacing w:val="-6"/>
        </w:rPr>
        <w:t> </w:t>
      </w:r>
      <w:r>
        <w:rPr/>
        <w:t>extend</w:t>
      </w:r>
      <w:r>
        <w:rPr>
          <w:spacing w:val="-7"/>
        </w:rPr>
        <w:t> </w:t>
      </w:r>
      <w:r>
        <w:rPr/>
        <w:t>to</w:t>
      </w:r>
      <w:r>
        <w:rPr>
          <w:spacing w:val="-7"/>
        </w:rPr>
        <w:t> </w:t>
      </w:r>
      <w:r>
        <w:rPr/>
        <w:t>members</w:t>
      </w:r>
      <w:r>
        <w:rPr>
          <w:spacing w:val="-7"/>
        </w:rPr>
        <w:t> </w:t>
      </w:r>
      <w:r>
        <w:rPr/>
        <w:t>of</w:t>
      </w:r>
      <w:r>
        <w:rPr>
          <w:spacing w:val="-7"/>
        </w:rPr>
        <w:t> </w:t>
      </w:r>
      <w:r>
        <w:rPr/>
        <w:t>new</w:t>
      </w:r>
      <w:r>
        <w:rPr>
          <w:spacing w:val="-6"/>
        </w:rPr>
        <w:t> </w:t>
      </w:r>
      <w:r>
        <w:rPr/>
        <w:t>European</w:t>
      </w:r>
      <w:r>
        <w:rPr>
          <w:spacing w:val="-7"/>
        </w:rPr>
        <w:t> </w:t>
      </w:r>
      <w:r>
        <w:rPr/>
        <w:t>Union</w:t>
      </w:r>
      <w:r>
        <w:rPr>
          <w:spacing w:val="-7"/>
        </w:rPr>
        <w:t> </w:t>
      </w:r>
      <w:r>
        <w:rPr/>
        <w:t>states for instance, and would there be reciprocity for people from Northern Ireland</w:t>
      </w:r>
    </w:p>
    <w:p>
      <w:pPr>
        <w:pStyle w:val="BodyText"/>
        <w:spacing w:line="232" w:lineRule="auto"/>
        <w:ind w:left="1117" w:right="738"/>
      </w:pPr>
      <w:r>
        <w:rPr/>
        <w:t>if they moved to an EU state. Considering the second point first, most people in Northern Ireland can claim to be British or Irish or both and insofar as entitled to Irish citizenship could presumably claim the right to vote in local elections in EU states. This would also apply to any new EU state. This solution though does leave those</w:t>
      </w:r>
      <w:r>
        <w:rPr>
          <w:spacing w:val="-3"/>
        </w:rPr>
        <w:t> </w:t>
      </w:r>
      <w:r>
        <w:rPr/>
        <w:t>people</w:t>
      </w:r>
      <w:r>
        <w:rPr>
          <w:spacing w:val="-3"/>
        </w:rPr>
        <w:t> </w:t>
      </w:r>
      <w:r>
        <w:rPr/>
        <w:t>of</w:t>
      </w:r>
      <w:r>
        <w:rPr>
          <w:spacing w:val="-4"/>
        </w:rPr>
        <w:t> </w:t>
      </w:r>
      <w:r>
        <w:rPr/>
        <w:t>Northern</w:t>
      </w:r>
      <w:r>
        <w:rPr>
          <w:spacing w:val="-4"/>
        </w:rPr>
        <w:t> </w:t>
      </w:r>
      <w:r>
        <w:rPr/>
        <w:t>Ireland</w:t>
      </w:r>
      <w:r>
        <w:rPr>
          <w:spacing w:val="-4"/>
        </w:rPr>
        <w:t> </w:t>
      </w:r>
      <w:r>
        <w:rPr/>
        <w:t>who</w:t>
      </w:r>
      <w:r>
        <w:rPr>
          <w:spacing w:val="-4"/>
        </w:rPr>
        <w:t> </w:t>
      </w:r>
      <w:r>
        <w:rPr/>
        <w:t>chose</w:t>
      </w:r>
      <w:r>
        <w:rPr>
          <w:spacing w:val="-3"/>
        </w:rPr>
        <w:t> </w:t>
      </w:r>
      <w:r>
        <w:rPr/>
        <w:t>to</w:t>
      </w:r>
      <w:r>
        <w:rPr>
          <w:spacing w:val="-4"/>
        </w:rPr>
        <w:t> </w:t>
      </w:r>
      <w:r>
        <w:rPr/>
        <w:t>identify</w:t>
      </w:r>
      <w:r>
        <w:rPr>
          <w:spacing w:val="-3"/>
        </w:rPr>
        <w:t> </w:t>
      </w:r>
      <w:r>
        <w:rPr/>
        <w:t>as</w:t>
      </w:r>
      <w:r>
        <w:rPr>
          <w:spacing w:val="-4"/>
        </w:rPr>
        <w:t> </w:t>
      </w:r>
      <w:r>
        <w:rPr/>
        <w:t>British</w:t>
      </w:r>
      <w:r>
        <w:rPr>
          <w:spacing w:val="-4"/>
        </w:rPr>
        <w:t> </w:t>
      </w:r>
      <w:r>
        <w:rPr/>
        <w:t>only</w:t>
      </w:r>
      <w:r>
        <w:rPr>
          <w:spacing w:val="-3"/>
        </w:rPr>
        <w:t> </w:t>
      </w:r>
      <w:r>
        <w:rPr/>
        <w:t>without</w:t>
      </w:r>
      <w:r>
        <w:rPr>
          <w:spacing w:val="-3"/>
        </w:rPr>
        <w:t> </w:t>
      </w:r>
      <w:r>
        <w:rPr/>
        <w:t>this option. As Article 2 WF does not create obligations for the European Union, we would encourage the EU as a matter of good faith to allow all persons who form part of the community in Northern Ireland to vote in local elections in the Union.</w:t>
      </w:r>
    </w:p>
    <w:p>
      <w:pPr>
        <w:pStyle w:val="BodyText"/>
        <w:spacing w:before="7"/>
        <w:rPr>
          <w:sz w:val="18"/>
        </w:rPr>
      </w:pPr>
      <w:r>
        <w:rPr/>
        <mc:AlternateContent>
          <mc:Choice Requires="wps">
            <w:drawing>
              <wp:anchor distT="0" distB="0" distL="0" distR="0" allowOverlap="1" layoutInCell="1" locked="0" behindDoc="1" simplePos="0" relativeHeight="487664128">
                <wp:simplePos x="0" y="0"/>
                <wp:positionH relativeFrom="page">
                  <wp:posOffset>899994</wp:posOffset>
                </wp:positionH>
                <wp:positionV relativeFrom="paragraph">
                  <wp:posOffset>159338</wp:posOffset>
                </wp:positionV>
                <wp:extent cx="6012180" cy="1022985"/>
                <wp:effectExtent l="0" t="0" r="0" b="0"/>
                <wp:wrapTopAndBottom/>
                <wp:docPr id="411" name="Group 411"/>
                <wp:cNvGraphicFramePr>
                  <a:graphicFrameLocks/>
                </wp:cNvGraphicFramePr>
                <a:graphic>
                  <a:graphicData uri="http://schemas.microsoft.com/office/word/2010/wordprocessingGroup">
                    <wpg:wgp>
                      <wpg:cNvPr id="411" name="Group 411"/>
                      <wpg:cNvGrpSpPr/>
                      <wpg:grpSpPr>
                        <a:xfrm>
                          <a:off x="0" y="0"/>
                          <a:ext cx="6012180" cy="1022985"/>
                          <a:chExt cx="6012180" cy="1022985"/>
                        </a:xfrm>
                      </wpg:grpSpPr>
                      <wps:wsp>
                        <wps:cNvPr id="412" name="Graphic 412"/>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413" name="Textbox 413"/>
                        <wps:cNvSpPr txBox="1"/>
                        <wps:spPr>
                          <a:xfrm>
                            <a:off x="0" y="0"/>
                            <a:ext cx="6012180" cy="1022985"/>
                          </a:xfrm>
                          <a:prstGeom prst="rect">
                            <a:avLst/>
                          </a:prstGeom>
                        </wps:spPr>
                        <wps:txbx>
                          <w:txbxContent>
                            <w:p>
                              <w:pPr>
                                <w:spacing w:line="232" w:lineRule="auto" w:before="121"/>
                                <w:ind w:left="340" w:right="196" w:firstLine="0"/>
                                <w:jc w:val="left"/>
                                <w:rPr>
                                  <w:b/>
                                  <w:sz w:val="28"/>
                                </w:rPr>
                              </w:pPr>
                              <w:r>
                                <w:rPr>
                                  <w:b/>
                                  <w:color w:val="164194"/>
                                  <w:sz w:val="28"/>
                                </w:rPr>
                                <w:t>We recommend that the UK Government introduce legislation into Parliament</w:t>
                              </w:r>
                              <w:r>
                                <w:rPr>
                                  <w:b/>
                                  <w:color w:val="164194"/>
                                  <w:spacing w:val="-6"/>
                                  <w:sz w:val="28"/>
                                </w:rPr>
                                <w:t> </w:t>
                              </w:r>
                              <w:r>
                                <w:rPr>
                                  <w:b/>
                                  <w:color w:val="164194"/>
                                  <w:sz w:val="28"/>
                                </w:rPr>
                                <w:t>to</w:t>
                              </w:r>
                              <w:r>
                                <w:rPr>
                                  <w:b/>
                                  <w:color w:val="164194"/>
                                  <w:spacing w:val="-6"/>
                                  <w:sz w:val="28"/>
                                </w:rPr>
                                <w:t> </w:t>
                              </w:r>
                              <w:r>
                                <w:rPr>
                                  <w:b/>
                                  <w:color w:val="164194"/>
                                  <w:sz w:val="28"/>
                                </w:rPr>
                                <w:t>amend</w:t>
                              </w:r>
                              <w:r>
                                <w:rPr>
                                  <w:b/>
                                  <w:color w:val="164194"/>
                                  <w:spacing w:val="-6"/>
                                  <w:sz w:val="28"/>
                                </w:rPr>
                                <w:t> </w:t>
                              </w:r>
                              <w:r>
                                <w:rPr>
                                  <w:b/>
                                  <w:color w:val="164194"/>
                                  <w:sz w:val="28"/>
                                </w:rPr>
                                <w:t>the</w:t>
                              </w:r>
                              <w:r>
                                <w:rPr>
                                  <w:b/>
                                  <w:color w:val="164194"/>
                                  <w:spacing w:val="-7"/>
                                  <w:sz w:val="28"/>
                                </w:rPr>
                                <w:t> </w:t>
                              </w:r>
                              <w:r>
                                <w:rPr>
                                  <w:b/>
                                  <w:color w:val="164194"/>
                                  <w:sz w:val="28"/>
                                </w:rPr>
                                <w:t>Elections</w:t>
                              </w:r>
                              <w:r>
                                <w:rPr>
                                  <w:b/>
                                  <w:color w:val="164194"/>
                                  <w:spacing w:val="-6"/>
                                  <w:sz w:val="28"/>
                                </w:rPr>
                                <w:t> </w:t>
                              </w:r>
                              <w:r>
                                <w:rPr>
                                  <w:b/>
                                  <w:color w:val="164194"/>
                                  <w:sz w:val="28"/>
                                </w:rPr>
                                <w:t>Act</w:t>
                              </w:r>
                              <w:r>
                                <w:rPr>
                                  <w:b/>
                                  <w:color w:val="164194"/>
                                  <w:spacing w:val="-6"/>
                                  <w:sz w:val="28"/>
                                </w:rPr>
                                <w:t> </w:t>
                              </w:r>
                              <w:r>
                                <w:rPr>
                                  <w:b/>
                                  <w:color w:val="164194"/>
                                  <w:sz w:val="28"/>
                                </w:rPr>
                                <w:t>to</w:t>
                              </w:r>
                              <w:r>
                                <w:rPr>
                                  <w:b/>
                                  <w:color w:val="164194"/>
                                  <w:spacing w:val="-6"/>
                                  <w:sz w:val="28"/>
                                </w:rPr>
                                <w:t> </w:t>
                              </w:r>
                              <w:r>
                                <w:rPr>
                                  <w:b/>
                                  <w:color w:val="164194"/>
                                  <w:sz w:val="28"/>
                                </w:rPr>
                                <w:t>restore</w:t>
                              </w:r>
                              <w:r>
                                <w:rPr>
                                  <w:b/>
                                  <w:color w:val="164194"/>
                                  <w:spacing w:val="-7"/>
                                  <w:sz w:val="28"/>
                                </w:rPr>
                                <w:t> </w:t>
                              </w:r>
                              <w:r>
                                <w:rPr>
                                  <w:b/>
                                  <w:color w:val="164194"/>
                                  <w:sz w:val="28"/>
                                </w:rPr>
                                <w:t>the</w:t>
                              </w:r>
                              <w:r>
                                <w:rPr>
                                  <w:b/>
                                  <w:color w:val="164194"/>
                                  <w:spacing w:val="-7"/>
                                  <w:sz w:val="28"/>
                                </w:rPr>
                                <w:t> </w:t>
                              </w:r>
                              <w:r>
                                <w:rPr>
                                  <w:b/>
                                  <w:color w:val="164194"/>
                                  <w:sz w:val="28"/>
                                </w:rPr>
                                <w:t>rights</w:t>
                              </w:r>
                              <w:r>
                                <w:rPr>
                                  <w:b/>
                                  <w:color w:val="164194"/>
                                  <w:spacing w:val="-6"/>
                                  <w:sz w:val="28"/>
                                </w:rPr>
                                <w:t> </w:t>
                              </w:r>
                              <w:r>
                                <w:rPr>
                                  <w:b/>
                                  <w:color w:val="164194"/>
                                  <w:sz w:val="28"/>
                                </w:rPr>
                                <w:t>of</w:t>
                              </w:r>
                              <w:r>
                                <w:rPr>
                                  <w:b/>
                                  <w:color w:val="164194"/>
                                  <w:spacing w:val="-7"/>
                                  <w:sz w:val="28"/>
                                </w:rPr>
                                <w:t> </w:t>
                              </w:r>
                              <w:r>
                                <w:rPr>
                                  <w:b/>
                                  <w:color w:val="164194"/>
                                  <w:sz w:val="28"/>
                                </w:rPr>
                                <w:t>all</w:t>
                              </w:r>
                              <w:r>
                                <w:rPr>
                                  <w:b/>
                                  <w:color w:val="164194"/>
                                  <w:spacing w:val="-6"/>
                                  <w:sz w:val="28"/>
                                </w:rPr>
                                <w:t> </w:t>
                              </w:r>
                              <w:r>
                                <w:rPr>
                                  <w:b/>
                                  <w:color w:val="164194"/>
                                  <w:sz w:val="28"/>
                                </w:rPr>
                                <w:t>EU</w:t>
                              </w:r>
                              <w:r>
                                <w:rPr>
                                  <w:b/>
                                  <w:color w:val="164194"/>
                                  <w:spacing w:val="-6"/>
                                  <w:sz w:val="28"/>
                                </w:rPr>
                                <w:t> </w:t>
                              </w:r>
                              <w:r>
                                <w:rPr>
                                  <w:b/>
                                  <w:color w:val="164194"/>
                                  <w:sz w:val="28"/>
                                </w:rPr>
                                <w:t>citizens to</w:t>
                              </w:r>
                              <w:r>
                                <w:rPr>
                                  <w:b/>
                                  <w:color w:val="164194"/>
                                  <w:spacing w:val="-5"/>
                                  <w:sz w:val="28"/>
                                </w:rPr>
                                <w:t> </w:t>
                              </w:r>
                              <w:r>
                                <w:rPr>
                                  <w:b/>
                                  <w:color w:val="164194"/>
                                  <w:sz w:val="28"/>
                                </w:rPr>
                                <w:t>vote</w:t>
                              </w:r>
                              <w:r>
                                <w:rPr>
                                  <w:b/>
                                  <w:color w:val="164194"/>
                                  <w:spacing w:val="-6"/>
                                  <w:sz w:val="28"/>
                                </w:rPr>
                                <w:t> </w:t>
                              </w:r>
                              <w:r>
                                <w:rPr>
                                  <w:b/>
                                  <w:color w:val="164194"/>
                                  <w:sz w:val="28"/>
                                </w:rPr>
                                <w:t>in</w:t>
                              </w:r>
                              <w:r>
                                <w:rPr>
                                  <w:b/>
                                  <w:color w:val="164194"/>
                                  <w:spacing w:val="-5"/>
                                  <w:sz w:val="28"/>
                                </w:rPr>
                                <w:t> </w:t>
                              </w:r>
                              <w:r>
                                <w:rPr>
                                  <w:b/>
                                  <w:color w:val="164194"/>
                                  <w:sz w:val="28"/>
                                </w:rPr>
                                <w:t>local</w:t>
                              </w:r>
                              <w:r>
                                <w:rPr>
                                  <w:b/>
                                  <w:color w:val="164194"/>
                                  <w:spacing w:val="-5"/>
                                  <w:sz w:val="28"/>
                                </w:rPr>
                                <w:t> </w:t>
                              </w:r>
                              <w:r>
                                <w:rPr>
                                  <w:b/>
                                  <w:color w:val="164194"/>
                                  <w:sz w:val="28"/>
                                </w:rPr>
                                <w:t>elections</w:t>
                              </w:r>
                              <w:r>
                                <w:rPr>
                                  <w:b/>
                                  <w:color w:val="164194"/>
                                  <w:spacing w:val="-5"/>
                                  <w:sz w:val="28"/>
                                </w:rPr>
                                <w:t> </w:t>
                              </w:r>
                              <w:r>
                                <w:rPr>
                                  <w:b/>
                                  <w:color w:val="164194"/>
                                  <w:sz w:val="28"/>
                                </w:rPr>
                                <w:t>in</w:t>
                              </w:r>
                              <w:r>
                                <w:rPr>
                                  <w:b/>
                                  <w:color w:val="164194"/>
                                  <w:spacing w:val="-5"/>
                                  <w:sz w:val="28"/>
                                </w:rPr>
                                <w:t> </w:t>
                              </w:r>
                              <w:r>
                                <w:rPr>
                                  <w:b/>
                                  <w:color w:val="164194"/>
                                  <w:sz w:val="28"/>
                                </w:rPr>
                                <w:t>Northern</w:t>
                              </w:r>
                              <w:r>
                                <w:rPr>
                                  <w:b/>
                                  <w:color w:val="164194"/>
                                  <w:spacing w:val="-5"/>
                                  <w:sz w:val="28"/>
                                </w:rPr>
                                <w:t> </w:t>
                              </w:r>
                              <w:r>
                                <w:rPr>
                                  <w:b/>
                                  <w:color w:val="164194"/>
                                  <w:sz w:val="28"/>
                                </w:rPr>
                                <w:t>Ireland</w:t>
                              </w:r>
                              <w:r>
                                <w:rPr>
                                  <w:b/>
                                  <w:color w:val="164194"/>
                                  <w:spacing w:val="-5"/>
                                  <w:sz w:val="28"/>
                                </w:rPr>
                                <w:t> </w:t>
                              </w:r>
                              <w:r>
                                <w:rPr>
                                  <w:b/>
                                  <w:color w:val="164194"/>
                                  <w:sz w:val="28"/>
                                </w:rPr>
                                <w:t>and</w:t>
                              </w:r>
                              <w:r>
                                <w:rPr>
                                  <w:b/>
                                  <w:color w:val="164194"/>
                                  <w:spacing w:val="-5"/>
                                  <w:sz w:val="28"/>
                                </w:rPr>
                                <w:t> </w:t>
                              </w:r>
                              <w:r>
                                <w:rPr>
                                  <w:b/>
                                  <w:color w:val="164194"/>
                                  <w:sz w:val="28"/>
                                </w:rPr>
                                <w:t>to</w:t>
                              </w:r>
                              <w:r>
                                <w:rPr>
                                  <w:b/>
                                  <w:color w:val="164194"/>
                                  <w:spacing w:val="-5"/>
                                  <w:sz w:val="28"/>
                                </w:rPr>
                                <w:t> </w:t>
                              </w:r>
                              <w:r>
                                <w:rPr>
                                  <w:b/>
                                  <w:color w:val="164194"/>
                                  <w:sz w:val="28"/>
                                </w:rPr>
                                <w:t>ensure</w:t>
                              </w:r>
                              <w:r>
                                <w:rPr>
                                  <w:b/>
                                  <w:color w:val="164194"/>
                                  <w:spacing w:val="-6"/>
                                  <w:sz w:val="28"/>
                                </w:rPr>
                                <w:t> </w:t>
                              </w:r>
                              <w:r>
                                <w:rPr>
                                  <w:b/>
                                  <w:color w:val="164194"/>
                                  <w:sz w:val="28"/>
                                </w:rPr>
                                <w:t>compliance</w:t>
                              </w:r>
                              <w:r>
                                <w:rPr>
                                  <w:b/>
                                  <w:color w:val="164194"/>
                                  <w:spacing w:val="-6"/>
                                  <w:sz w:val="28"/>
                                </w:rPr>
                                <w:t> </w:t>
                              </w:r>
                              <w:r>
                                <w:rPr>
                                  <w:b/>
                                  <w:color w:val="164194"/>
                                  <w:sz w:val="28"/>
                                </w:rPr>
                                <w:t>with Article 2 WF.</w:t>
                              </w:r>
                            </w:p>
                          </w:txbxContent>
                        </wps:txbx>
                        <wps:bodyPr wrap="square" lIns="0" tIns="0" rIns="0" bIns="0" rtlCol="0">
                          <a:noAutofit/>
                        </wps:bodyPr>
                      </wps:wsp>
                    </wpg:wgp>
                  </a:graphicData>
                </a:graphic>
              </wp:anchor>
            </w:drawing>
          </mc:Choice>
          <mc:Fallback>
            <w:pict>
              <v:group style="position:absolute;margin-left:70.8657pt;margin-top:12.546319pt;width:473.4pt;height:80.55pt;mso-position-horizontal-relative:page;mso-position-vertical-relative:paragraph;z-index:-15652352;mso-wrap-distance-left:0;mso-wrap-distance-right:0" id="docshapegroup324" coordorigin="1417,251" coordsize="9468,1611">
                <v:shape style="position:absolute;left:1417;top:250;width:9468;height:1611" id="docshape325" coordorigin="1417,251" coordsize="9468,1611" path="m10658,251l1644,251,1572,262,1510,295,1461,344,1429,406,1417,478,1417,1634,1429,1706,1461,1768,1510,1817,1572,1850,1644,1861,10658,1861,10730,1850,10792,1817,10841,1768,10873,1706,10885,1634,10885,478,10873,406,10841,344,10792,295,10730,262,10658,251xe" filled="true" fillcolor="#e9f3fc" stroked="false">
                  <v:path arrowok="t"/>
                  <v:fill type="solid"/>
                </v:shape>
                <v:shape style="position:absolute;left:1417;top:250;width:9468;height:1611" type="#_x0000_t202" id="docshape326" filled="false" stroked="false">
                  <v:textbox inset="0,0,0,0">
                    <w:txbxContent>
                      <w:p>
                        <w:pPr>
                          <w:spacing w:line="232" w:lineRule="auto" w:before="121"/>
                          <w:ind w:left="340" w:right="196" w:firstLine="0"/>
                          <w:jc w:val="left"/>
                          <w:rPr>
                            <w:b/>
                            <w:sz w:val="28"/>
                          </w:rPr>
                        </w:pPr>
                        <w:r>
                          <w:rPr>
                            <w:b/>
                            <w:color w:val="164194"/>
                            <w:sz w:val="28"/>
                          </w:rPr>
                          <w:t>We recommend that the UK Government introduce legislation into Parliament</w:t>
                        </w:r>
                        <w:r>
                          <w:rPr>
                            <w:b/>
                            <w:color w:val="164194"/>
                            <w:spacing w:val="-6"/>
                            <w:sz w:val="28"/>
                          </w:rPr>
                          <w:t> </w:t>
                        </w:r>
                        <w:r>
                          <w:rPr>
                            <w:b/>
                            <w:color w:val="164194"/>
                            <w:sz w:val="28"/>
                          </w:rPr>
                          <w:t>to</w:t>
                        </w:r>
                        <w:r>
                          <w:rPr>
                            <w:b/>
                            <w:color w:val="164194"/>
                            <w:spacing w:val="-6"/>
                            <w:sz w:val="28"/>
                          </w:rPr>
                          <w:t> </w:t>
                        </w:r>
                        <w:r>
                          <w:rPr>
                            <w:b/>
                            <w:color w:val="164194"/>
                            <w:sz w:val="28"/>
                          </w:rPr>
                          <w:t>amend</w:t>
                        </w:r>
                        <w:r>
                          <w:rPr>
                            <w:b/>
                            <w:color w:val="164194"/>
                            <w:spacing w:val="-6"/>
                            <w:sz w:val="28"/>
                          </w:rPr>
                          <w:t> </w:t>
                        </w:r>
                        <w:r>
                          <w:rPr>
                            <w:b/>
                            <w:color w:val="164194"/>
                            <w:sz w:val="28"/>
                          </w:rPr>
                          <w:t>the</w:t>
                        </w:r>
                        <w:r>
                          <w:rPr>
                            <w:b/>
                            <w:color w:val="164194"/>
                            <w:spacing w:val="-7"/>
                            <w:sz w:val="28"/>
                          </w:rPr>
                          <w:t> </w:t>
                        </w:r>
                        <w:r>
                          <w:rPr>
                            <w:b/>
                            <w:color w:val="164194"/>
                            <w:sz w:val="28"/>
                          </w:rPr>
                          <w:t>Elections</w:t>
                        </w:r>
                        <w:r>
                          <w:rPr>
                            <w:b/>
                            <w:color w:val="164194"/>
                            <w:spacing w:val="-6"/>
                            <w:sz w:val="28"/>
                          </w:rPr>
                          <w:t> </w:t>
                        </w:r>
                        <w:r>
                          <w:rPr>
                            <w:b/>
                            <w:color w:val="164194"/>
                            <w:sz w:val="28"/>
                          </w:rPr>
                          <w:t>Act</w:t>
                        </w:r>
                        <w:r>
                          <w:rPr>
                            <w:b/>
                            <w:color w:val="164194"/>
                            <w:spacing w:val="-6"/>
                            <w:sz w:val="28"/>
                          </w:rPr>
                          <w:t> </w:t>
                        </w:r>
                        <w:r>
                          <w:rPr>
                            <w:b/>
                            <w:color w:val="164194"/>
                            <w:sz w:val="28"/>
                          </w:rPr>
                          <w:t>to</w:t>
                        </w:r>
                        <w:r>
                          <w:rPr>
                            <w:b/>
                            <w:color w:val="164194"/>
                            <w:spacing w:val="-6"/>
                            <w:sz w:val="28"/>
                          </w:rPr>
                          <w:t> </w:t>
                        </w:r>
                        <w:r>
                          <w:rPr>
                            <w:b/>
                            <w:color w:val="164194"/>
                            <w:sz w:val="28"/>
                          </w:rPr>
                          <w:t>restore</w:t>
                        </w:r>
                        <w:r>
                          <w:rPr>
                            <w:b/>
                            <w:color w:val="164194"/>
                            <w:spacing w:val="-7"/>
                            <w:sz w:val="28"/>
                          </w:rPr>
                          <w:t> </w:t>
                        </w:r>
                        <w:r>
                          <w:rPr>
                            <w:b/>
                            <w:color w:val="164194"/>
                            <w:sz w:val="28"/>
                          </w:rPr>
                          <w:t>the</w:t>
                        </w:r>
                        <w:r>
                          <w:rPr>
                            <w:b/>
                            <w:color w:val="164194"/>
                            <w:spacing w:val="-7"/>
                            <w:sz w:val="28"/>
                          </w:rPr>
                          <w:t> </w:t>
                        </w:r>
                        <w:r>
                          <w:rPr>
                            <w:b/>
                            <w:color w:val="164194"/>
                            <w:sz w:val="28"/>
                          </w:rPr>
                          <w:t>rights</w:t>
                        </w:r>
                        <w:r>
                          <w:rPr>
                            <w:b/>
                            <w:color w:val="164194"/>
                            <w:spacing w:val="-6"/>
                            <w:sz w:val="28"/>
                          </w:rPr>
                          <w:t> </w:t>
                        </w:r>
                        <w:r>
                          <w:rPr>
                            <w:b/>
                            <w:color w:val="164194"/>
                            <w:sz w:val="28"/>
                          </w:rPr>
                          <w:t>of</w:t>
                        </w:r>
                        <w:r>
                          <w:rPr>
                            <w:b/>
                            <w:color w:val="164194"/>
                            <w:spacing w:val="-7"/>
                            <w:sz w:val="28"/>
                          </w:rPr>
                          <w:t> </w:t>
                        </w:r>
                        <w:r>
                          <w:rPr>
                            <w:b/>
                            <w:color w:val="164194"/>
                            <w:sz w:val="28"/>
                          </w:rPr>
                          <w:t>all</w:t>
                        </w:r>
                        <w:r>
                          <w:rPr>
                            <w:b/>
                            <w:color w:val="164194"/>
                            <w:spacing w:val="-6"/>
                            <w:sz w:val="28"/>
                          </w:rPr>
                          <w:t> </w:t>
                        </w:r>
                        <w:r>
                          <w:rPr>
                            <w:b/>
                            <w:color w:val="164194"/>
                            <w:sz w:val="28"/>
                          </w:rPr>
                          <w:t>EU</w:t>
                        </w:r>
                        <w:r>
                          <w:rPr>
                            <w:b/>
                            <w:color w:val="164194"/>
                            <w:spacing w:val="-6"/>
                            <w:sz w:val="28"/>
                          </w:rPr>
                          <w:t> </w:t>
                        </w:r>
                        <w:r>
                          <w:rPr>
                            <w:b/>
                            <w:color w:val="164194"/>
                            <w:sz w:val="28"/>
                          </w:rPr>
                          <w:t>citizens to</w:t>
                        </w:r>
                        <w:r>
                          <w:rPr>
                            <w:b/>
                            <w:color w:val="164194"/>
                            <w:spacing w:val="-5"/>
                            <w:sz w:val="28"/>
                          </w:rPr>
                          <w:t> </w:t>
                        </w:r>
                        <w:r>
                          <w:rPr>
                            <w:b/>
                            <w:color w:val="164194"/>
                            <w:sz w:val="28"/>
                          </w:rPr>
                          <w:t>vote</w:t>
                        </w:r>
                        <w:r>
                          <w:rPr>
                            <w:b/>
                            <w:color w:val="164194"/>
                            <w:spacing w:val="-6"/>
                            <w:sz w:val="28"/>
                          </w:rPr>
                          <w:t> </w:t>
                        </w:r>
                        <w:r>
                          <w:rPr>
                            <w:b/>
                            <w:color w:val="164194"/>
                            <w:sz w:val="28"/>
                          </w:rPr>
                          <w:t>in</w:t>
                        </w:r>
                        <w:r>
                          <w:rPr>
                            <w:b/>
                            <w:color w:val="164194"/>
                            <w:spacing w:val="-5"/>
                            <w:sz w:val="28"/>
                          </w:rPr>
                          <w:t> </w:t>
                        </w:r>
                        <w:r>
                          <w:rPr>
                            <w:b/>
                            <w:color w:val="164194"/>
                            <w:sz w:val="28"/>
                          </w:rPr>
                          <w:t>local</w:t>
                        </w:r>
                        <w:r>
                          <w:rPr>
                            <w:b/>
                            <w:color w:val="164194"/>
                            <w:spacing w:val="-5"/>
                            <w:sz w:val="28"/>
                          </w:rPr>
                          <w:t> </w:t>
                        </w:r>
                        <w:r>
                          <w:rPr>
                            <w:b/>
                            <w:color w:val="164194"/>
                            <w:sz w:val="28"/>
                          </w:rPr>
                          <w:t>elections</w:t>
                        </w:r>
                        <w:r>
                          <w:rPr>
                            <w:b/>
                            <w:color w:val="164194"/>
                            <w:spacing w:val="-5"/>
                            <w:sz w:val="28"/>
                          </w:rPr>
                          <w:t> </w:t>
                        </w:r>
                        <w:r>
                          <w:rPr>
                            <w:b/>
                            <w:color w:val="164194"/>
                            <w:sz w:val="28"/>
                          </w:rPr>
                          <w:t>in</w:t>
                        </w:r>
                        <w:r>
                          <w:rPr>
                            <w:b/>
                            <w:color w:val="164194"/>
                            <w:spacing w:val="-5"/>
                            <w:sz w:val="28"/>
                          </w:rPr>
                          <w:t> </w:t>
                        </w:r>
                        <w:r>
                          <w:rPr>
                            <w:b/>
                            <w:color w:val="164194"/>
                            <w:sz w:val="28"/>
                          </w:rPr>
                          <w:t>Northern</w:t>
                        </w:r>
                        <w:r>
                          <w:rPr>
                            <w:b/>
                            <w:color w:val="164194"/>
                            <w:spacing w:val="-5"/>
                            <w:sz w:val="28"/>
                          </w:rPr>
                          <w:t> </w:t>
                        </w:r>
                        <w:r>
                          <w:rPr>
                            <w:b/>
                            <w:color w:val="164194"/>
                            <w:sz w:val="28"/>
                          </w:rPr>
                          <w:t>Ireland</w:t>
                        </w:r>
                        <w:r>
                          <w:rPr>
                            <w:b/>
                            <w:color w:val="164194"/>
                            <w:spacing w:val="-5"/>
                            <w:sz w:val="28"/>
                          </w:rPr>
                          <w:t> </w:t>
                        </w:r>
                        <w:r>
                          <w:rPr>
                            <w:b/>
                            <w:color w:val="164194"/>
                            <w:sz w:val="28"/>
                          </w:rPr>
                          <w:t>and</w:t>
                        </w:r>
                        <w:r>
                          <w:rPr>
                            <w:b/>
                            <w:color w:val="164194"/>
                            <w:spacing w:val="-5"/>
                            <w:sz w:val="28"/>
                          </w:rPr>
                          <w:t> </w:t>
                        </w:r>
                        <w:r>
                          <w:rPr>
                            <w:b/>
                            <w:color w:val="164194"/>
                            <w:sz w:val="28"/>
                          </w:rPr>
                          <w:t>to</w:t>
                        </w:r>
                        <w:r>
                          <w:rPr>
                            <w:b/>
                            <w:color w:val="164194"/>
                            <w:spacing w:val="-5"/>
                            <w:sz w:val="28"/>
                          </w:rPr>
                          <w:t> </w:t>
                        </w:r>
                        <w:r>
                          <w:rPr>
                            <w:b/>
                            <w:color w:val="164194"/>
                            <w:sz w:val="28"/>
                          </w:rPr>
                          <w:t>ensure</w:t>
                        </w:r>
                        <w:r>
                          <w:rPr>
                            <w:b/>
                            <w:color w:val="164194"/>
                            <w:spacing w:val="-6"/>
                            <w:sz w:val="28"/>
                          </w:rPr>
                          <w:t> </w:t>
                        </w:r>
                        <w:r>
                          <w:rPr>
                            <w:b/>
                            <w:color w:val="164194"/>
                            <w:sz w:val="28"/>
                          </w:rPr>
                          <w:t>compliance</w:t>
                        </w:r>
                        <w:r>
                          <w:rPr>
                            <w:b/>
                            <w:color w:val="164194"/>
                            <w:spacing w:val="-6"/>
                            <w:sz w:val="28"/>
                          </w:rPr>
                          <w:t> </w:t>
                        </w:r>
                        <w:r>
                          <w:rPr>
                            <w:b/>
                            <w:color w:val="164194"/>
                            <w:sz w:val="28"/>
                          </w:rPr>
                          <w:t>with Article 2 WF.</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4640">
                <wp:simplePos x="0" y="0"/>
                <wp:positionH relativeFrom="page">
                  <wp:posOffset>899999</wp:posOffset>
                </wp:positionH>
                <wp:positionV relativeFrom="paragraph">
                  <wp:posOffset>1251238</wp:posOffset>
                </wp:positionV>
                <wp:extent cx="6012180" cy="1270"/>
                <wp:effectExtent l="0" t="0" r="0" b="0"/>
                <wp:wrapTopAndBottom/>
                <wp:docPr id="414" name="Graphic 414"/>
                <wp:cNvGraphicFramePr>
                  <a:graphicFrameLocks/>
                </wp:cNvGraphicFramePr>
                <a:graphic>
                  <a:graphicData uri="http://schemas.microsoft.com/office/word/2010/wordprocessingShape">
                    <wps:wsp>
                      <wps:cNvPr id="414" name="Graphic 41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98.52272pt;width:473.4pt;height:.1pt;mso-position-horizontal-relative:page;mso-position-vertical-relative:paragraph;z-index:-15651840;mso-wrap-distance-left:0;mso-wrap-distance-right:0" id="docshape327" coordorigin="1417,1970" coordsize="9468,0" path="m1417,1970l10885,1970e" filled="false" stroked="true" strokeweight=".5pt" strokecolor="#36a9e1">
                <v:path arrowok="t"/>
                <v:stroke dashstyle="solid"/>
                <w10:wrap type="topAndBottom"/>
              </v:shape>
            </w:pict>
          </mc:Fallback>
        </mc:AlternateContent>
      </w:r>
    </w:p>
    <w:p>
      <w:pPr>
        <w:pStyle w:val="BodyText"/>
        <w:spacing w:before="12"/>
        <w:rPr>
          <w:sz w:val="6"/>
        </w:rPr>
      </w:pPr>
    </w:p>
    <w:p>
      <w:pPr>
        <w:tabs>
          <w:tab w:pos="1684" w:val="left" w:leader="none"/>
        </w:tabs>
        <w:spacing w:before="43"/>
        <w:ind w:left="1117" w:right="0" w:firstLine="0"/>
        <w:jc w:val="left"/>
        <w:rPr>
          <w:sz w:val="18"/>
        </w:rPr>
      </w:pPr>
      <w:r>
        <w:rPr>
          <w:spacing w:val="-5"/>
          <w:sz w:val="18"/>
        </w:rPr>
        <w:t>195</w:t>
      </w:r>
      <w:r>
        <w:rPr>
          <w:sz w:val="18"/>
        </w:rPr>
        <w:tab/>
        <w:t>Ibid.,</w:t>
      </w:r>
      <w:r>
        <w:rPr>
          <w:spacing w:val="-2"/>
          <w:sz w:val="18"/>
        </w:rPr>
        <w:t> </w:t>
      </w:r>
      <w:r>
        <w:rPr>
          <w:sz w:val="18"/>
        </w:rPr>
        <w:t>4-</w:t>
      </w:r>
      <w:r>
        <w:rPr>
          <w:spacing w:val="-7"/>
          <w:sz w:val="18"/>
        </w:rPr>
        <w:t>5.</w:t>
      </w:r>
    </w:p>
    <w:p>
      <w:pPr>
        <w:pStyle w:val="ListParagraph"/>
        <w:numPr>
          <w:ilvl w:val="0"/>
          <w:numId w:val="17"/>
        </w:numPr>
        <w:tabs>
          <w:tab w:pos="1684" w:val="left" w:leader="none"/>
        </w:tabs>
        <w:spacing w:line="240" w:lineRule="auto" w:before="1" w:after="0"/>
        <w:ind w:left="1684" w:right="1014" w:hanging="567"/>
        <w:jc w:val="left"/>
        <w:rPr>
          <w:sz w:val="18"/>
        </w:rPr>
      </w:pPr>
      <w:r>
        <w:rPr>
          <w:sz w:val="18"/>
        </w:rPr>
        <w:t>House</w:t>
      </w:r>
      <w:r>
        <w:rPr>
          <w:spacing w:val="-5"/>
          <w:sz w:val="18"/>
        </w:rPr>
        <w:t> </w:t>
      </w:r>
      <w:r>
        <w:rPr>
          <w:sz w:val="18"/>
        </w:rPr>
        <w:t>of</w:t>
      </w:r>
      <w:r>
        <w:rPr>
          <w:spacing w:val="-6"/>
          <w:sz w:val="18"/>
        </w:rPr>
        <w:t> </w:t>
      </w:r>
      <w:r>
        <w:rPr>
          <w:sz w:val="18"/>
        </w:rPr>
        <w:t>Lords</w:t>
      </w:r>
      <w:r>
        <w:rPr>
          <w:spacing w:val="-6"/>
          <w:sz w:val="18"/>
        </w:rPr>
        <w:t> </w:t>
      </w:r>
      <w:r>
        <w:rPr>
          <w:sz w:val="18"/>
        </w:rPr>
        <w:t>Sub-Committee</w:t>
      </w:r>
      <w:r>
        <w:rPr>
          <w:spacing w:val="-5"/>
          <w:sz w:val="18"/>
        </w:rPr>
        <w:t> </w:t>
      </w:r>
      <w:r>
        <w:rPr>
          <w:sz w:val="18"/>
        </w:rPr>
        <w:t>on</w:t>
      </w:r>
      <w:r>
        <w:rPr>
          <w:spacing w:val="-6"/>
          <w:sz w:val="18"/>
        </w:rPr>
        <w:t> </w:t>
      </w:r>
      <w:r>
        <w:rPr>
          <w:sz w:val="18"/>
        </w:rPr>
        <w:t>the</w:t>
      </w:r>
      <w:r>
        <w:rPr>
          <w:spacing w:val="-5"/>
          <w:sz w:val="18"/>
        </w:rPr>
        <w:t> </w:t>
      </w:r>
      <w:r>
        <w:rPr>
          <w:sz w:val="18"/>
        </w:rPr>
        <w:t>Protocol</w:t>
      </w:r>
      <w:r>
        <w:rPr>
          <w:spacing w:val="-6"/>
          <w:sz w:val="18"/>
        </w:rPr>
        <w:t> </w:t>
      </w:r>
      <w:r>
        <w:rPr>
          <w:sz w:val="18"/>
        </w:rPr>
        <w:t>on</w:t>
      </w:r>
      <w:r>
        <w:rPr>
          <w:spacing w:val="-6"/>
          <w:sz w:val="18"/>
        </w:rPr>
        <w:t> </w:t>
      </w:r>
      <w:r>
        <w:rPr>
          <w:sz w:val="18"/>
        </w:rPr>
        <w:t>Ireland/Northern</w:t>
      </w:r>
      <w:r>
        <w:rPr>
          <w:spacing w:val="-6"/>
          <w:sz w:val="18"/>
        </w:rPr>
        <w:t> </w:t>
      </w:r>
      <w:r>
        <w:rPr>
          <w:sz w:val="18"/>
        </w:rPr>
        <w:t>Ireland,</w:t>
      </w:r>
      <w:r>
        <w:rPr>
          <w:spacing w:val="-7"/>
          <w:sz w:val="18"/>
        </w:rPr>
        <w:t> </w:t>
      </w:r>
      <w:r>
        <w:rPr>
          <w:color w:val="1D71B8"/>
          <w:sz w:val="18"/>
          <w:u w:val="single" w:color="1D71B8"/>
        </w:rPr>
        <w:t>Letter</w:t>
      </w:r>
      <w:r>
        <w:rPr>
          <w:color w:val="1D71B8"/>
          <w:spacing w:val="-5"/>
          <w:sz w:val="18"/>
          <w:u w:val="single" w:color="1D71B8"/>
        </w:rPr>
        <w:t> </w:t>
      </w:r>
      <w:r>
        <w:rPr>
          <w:color w:val="1D71B8"/>
          <w:sz w:val="18"/>
          <w:u w:val="single" w:color="1D71B8"/>
        </w:rPr>
        <w:t>from</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Rt.</w:t>
      </w:r>
      <w:r>
        <w:rPr>
          <w:color w:val="1D71B8"/>
          <w:spacing w:val="-6"/>
          <w:sz w:val="18"/>
          <w:u w:val="single" w:color="1D71B8"/>
        </w:rPr>
        <w:t> </w:t>
      </w:r>
      <w:r>
        <w:rPr>
          <w:color w:val="1D71B8"/>
          <w:sz w:val="18"/>
          <w:u w:val="single" w:color="1D71B8"/>
        </w:rPr>
        <w:t>Hon.</w:t>
      </w:r>
      <w:r>
        <w:rPr>
          <w:color w:val="1D71B8"/>
          <w:spacing w:val="-6"/>
          <w:sz w:val="18"/>
          <w:u w:val="single" w:color="1D71B8"/>
        </w:rPr>
        <w:t> </w:t>
      </w:r>
      <w:r>
        <w:rPr>
          <w:color w:val="1D71B8"/>
          <w:sz w:val="18"/>
          <w:u w:val="single" w:color="1D71B8"/>
        </w:rPr>
        <w:t>Conor</w:t>
      </w:r>
      <w:r>
        <w:rPr>
          <w:color w:val="1D71B8"/>
          <w:spacing w:val="-5"/>
          <w:sz w:val="18"/>
          <w:u w:val="single" w:color="1D71B8"/>
        </w:rPr>
        <w:t> </w:t>
      </w:r>
      <w:r>
        <w:rPr>
          <w:color w:val="1D71B8"/>
          <w:sz w:val="18"/>
          <w:u w:val="single" w:color="1D71B8"/>
        </w:rPr>
        <w:t>Burns</w:t>
      </w:r>
      <w:r>
        <w:rPr>
          <w:color w:val="1D71B8"/>
          <w:spacing w:val="-6"/>
          <w:sz w:val="18"/>
          <w:u w:val="single" w:color="1D71B8"/>
        </w:rPr>
        <w:t> </w:t>
      </w:r>
      <w:r>
        <w:rPr>
          <w:color w:val="1D71B8"/>
          <w:sz w:val="18"/>
          <w:u w:val="single" w:color="1D71B8"/>
        </w:rPr>
        <w:t>MP,</w:t>
      </w:r>
      <w:r>
        <w:rPr>
          <w:color w:val="1D71B8"/>
          <w:sz w:val="18"/>
          <w:u w:val="none"/>
        </w:rPr>
        <w:t> </w:t>
      </w:r>
      <w:r>
        <w:rPr>
          <w:color w:val="1D71B8"/>
          <w:sz w:val="18"/>
          <w:u w:val="single" w:color="1D71B8"/>
        </w:rPr>
        <w:t>Minister of State, Northern Ireland Office to Lord Jay of Ewelme re Article 2 of the Protocol</w:t>
      </w:r>
      <w:r>
        <w:rPr>
          <w:sz w:val="18"/>
          <w:u w:val="none"/>
        </w:rPr>
        <w:t>, 25 March 2022 (House of Lords, 2022-2023).</w:t>
      </w:r>
    </w:p>
    <w:p>
      <w:pPr>
        <w:pStyle w:val="ListParagraph"/>
        <w:numPr>
          <w:ilvl w:val="0"/>
          <w:numId w:val="17"/>
        </w:numPr>
        <w:tabs>
          <w:tab w:pos="1684" w:val="left" w:leader="none"/>
        </w:tabs>
        <w:spacing w:line="240" w:lineRule="auto" w:before="0" w:after="0"/>
        <w:ind w:left="1684" w:right="0" w:hanging="567"/>
        <w:jc w:val="left"/>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color w:val="1D71B8"/>
          <w:sz w:val="18"/>
          <w:u w:val="single" w:color="1D71B8"/>
        </w:rPr>
        <w:t>Annual</w:t>
      </w:r>
      <w:r>
        <w:rPr>
          <w:color w:val="1D71B8"/>
          <w:spacing w:val="-5"/>
          <w:sz w:val="18"/>
          <w:u w:val="single" w:color="1D71B8"/>
        </w:rPr>
        <w:t> </w:t>
      </w:r>
      <w:r>
        <w:rPr>
          <w:color w:val="1D71B8"/>
          <w:sz w:val="18"/>
          <w:u w:val="single" w:color="1D71B8"/>
        </w:rPr>
        <w:t>Report</w:t>
      </w:r>
      <w:r>
        <w:rPr>
          <w:color w:val="1D71B8"/>
          <w:spacing w:val="-4"/>
          <w:sz w:val="18"/>
          <w:u w:val="single" w:color="1D71B8"/>
        </w:rPr>
        <w:t> </w:t>
      </w:r>
      <w:r>
        <w:rPr>
          <w:color w:val="1D71B8"/>
          <w:sz w:val="18"/>
          <w:u w:val="single" w:color="1D71B8"/>
        </w:rPr>
        <w:t>2022-2023:</w:t>
      </w:r>
      <w:r>
        <w:rPr>
          <w:color w:val="1D71B8"/>
          <w:spacing w:val="-4"/>
          <w:sz w:val="18"/>
          <w:u w:val="single" w:color="1D71B8"/>
        </w:rPr>
        <w:t> </w:t>
      </w:r>
      <w:r>
        <w:rPr>
          <w:color w:val="1D71B8"/>
          <w:sz w:val="18"/>
          <w:u w:val="single" w:color="1D71B8"/>
        </w:rPr>
        <w:t>Implementation</w:t>
      </w:r>
      <w:r>
        <w:rPr>
          <w:color w:val="1D71B8"/>
          <w:spacing w:val="-5"/>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Protocol</w:t>
      </w:r>
      <w:r>
        <w:rPr>
          <w:color w:val="1D71B8"/>
          <w:spacing w:val="-5"/>
          <w:sz w:val="18"/>
          <w:u w:val="single" w:color="1D71B8"/>
        </w:rPr>
        <w:t> </w:t>
      </w:r>
      <w:r>
        <w:rPr>
          <w:color w:val="1D71B8"/>
          <w:sz w:val="18"/>
          <w:u w:val="single" w:color="1D71B8"/>
        </w:rPr>
        <w:t>Article</w:t>
      </w:r>
      <w:r>
        <w:rPr>
          <w:color w:val="1D71B8"/>
          <w:spacing w:val="-4"/>
          <w:sz w:val="18"/>
          <w:u w:val="single" w:color="1D71B8"/>
        </w:rPr>
        <w:t> </w:t>
      </w:r>
      <w:r>
        <w:rPr>
          <w:color w:val="1D71B8"/>
          <w:sz w:val="18"/>
          <w:u w:val="single" w:color="1D71B8"/>
        </w:rPr>
        <w:t>2</w:t>
      </w:r>
      <w:r>
        <w:rPr>
          <w:color w:val="1D71B8"/>
          <w:spacing w:val="-5"/>
          <w:sz w:val="18"/>
          <w:u w:val="none"/>
        </w:rPr>
        <w:t> </w:t>
      </w:r>
      <w:r>
        <w:rPr>
          <w:sz w:val="18"/>
          <w:u w:val="none"/>
        </w:rPr>
        <w:t>(2023)</w:t>
      </w:r>
      <w:r>
        <w:rPr>
          <w:spacing w:val="-5"/>
          <w:sz w:val="18"/>
          <w:u w:val="none"/>
        </w:rPr>
        <w:t> 88.</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06976">
                <wp:simplePos x="0" y="0"/>
                <wp:positionH relativeFrom="page">
                  <wp:posOffset>0</wp:posOffset>
                </wp:positionH>
                <wp:positionV relativeFrom="page">
                  <wp:posOffset>0</wp:posOffset>
                </wp:positionV>
                <wp:extent cx="7560309" cy="1994535"/>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7560309" cy="1994535"/>
                          <a:chExt cx="7560309" cy="1994535"/>
                        </a:xfrm>
                      </wpg:grpSpPr>
                      <wps:wsp>
                        <wps:cNvPr id="416" name="Graphic 416"/>
                        <wps:cNvSpPr/>
                        <wps:spPr>
                          <a:xfrm>
                            <a:off x="647994" y="972002"/>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417" name="Graphic 417"/>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418" name="Graphic 418"/>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419" name="Textbox 419"/>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42</w:t>
                              </w:r>
                            </w:p>
                          </w:txbxContent>
                        </wps:txbx>
                        <wps:bodyPr wrap="square" lIns="0" tIns="0" rIns="0" bIns="0" rtlCol="0">
                          <a:noAutofit/>
                        </wps:bodyPr>
                      </wps:wsp>
                      <wps:wsp>
                        <wps:cNvPr id="420" name="Textbox 420"/>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421" name="Textbox 421"/>
                        <wps:cNvSpPr txBox="1"/>
                        <wps:spPr>
                          <a:xfrm>
                            <a:off x="864000" y="1080003"/>
                            <a:ext cx="5708015" cy="80645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5"/>
                                  <w:sz w:val="28"/>
                                </w:rPr>
                                <w:t> </w:t>
                              </w:r>
                              <w:r>
                                <w:rPr>
                                  <w:b/>
                                  <w:color w:val="164194"/>
                                  <w:sz w:val="28"/>
                                </w:rPr>
                                <w:t>that</w:t>
                              </w:r>
                              <w:r>
                                <w:rPr>
                                  <w:b/>
                                  <w:color w:val="164194"/>
                                  <w:spacing w:val="-5"/>
                                  <w:sz w:val="28"/>
                                </w:rPr>
                                <w:t> </w:t>
                              </w:r>
                              <w:r>
                                <w:rPr>
                                  <w:b/>
                                  <w:color w:val="164194"/>
                                  <w:sz w:val="28"/>
                                </w:rPr>
                                <w:t>the</w:t>
                              </w:r>
                              <w:r>
                                <w:rPr>
                                  <w:b/>
                                  <w:color w:val="164194"/>
                                  <w:spacing w:val="-6"/>
                                  <w:sz w:val="28"/>
                                </w:rPr>
                                <w:t> </w:t>
                              </w:r>
                              <w:r>
                                <w:rPr>
                                  <w:b/>
                                  <w:color w:val="164194"/>
                                  <w:sz w:val="28"/>
                                </w:rPr>
                                <w:t>European</w:t>
                              </w:r>
                              <w:r>
                                <w:rPr>
                                  <w:b/>
                                  <w:color w:val="164194"/>
                                  <w:spacing w:val="-5"/>
                                  <w:sz w:val="28"/>
                                </w:rPr>
                                <w:t> </w:t>
                              </w:r>
                              <w:r>
                                <w:rPr>
                                  <w:b/>
                                  <w:color w:val="164194"/>
                                  <w:sz w:val="28"/>
                                </w:rPr>
                                <w:t>Union</w:t>
                              </w:r>
                              <w:r>
                                <w:rPr>
                                  <w:b/>
                                  <w:color w:val="164194"/>
                                  <w:spacing w:val="-5"/>
                                  <w:sz w:val="28"/>
                                </w:rPr>
                                <w:t> </w:t>
                              </w:r>
                              <w:r>
                                <w:rPr>
                                  <w:b/>
                                  <w:color w:val="164194"/>
                                  <w:sz w:val="28"/>
                                </w:rPr>
                                <w:t>should</w:t>
                              </w:r>
                              <w:r>
                                <w:rPr>
                                  <w:b/>
                                  <w:color w:val="164194"/>
                                  <w:spacing w:val="-5"/>
                                  <w:sz w:val="28"/>
                                </w:rPr>
                                <w:t> </w:t>
                              </w:r>
                              <w:r>
                                <w:rPr>
                                  <w:b/>
                                  <w:color w:val="164194"/>
                                  <w:sz w:val="28"/>
                                </w:rPr>
                                <w:t>review</w:t>
                              </w:r>
                              <w:r>
                                <w:rPr>
                                  <w:b/>
                                  <w:color w:val="164194"/>
                                  <w:spacing w:val="-5"/>
                                  <w:sz w:val="28"/>
                                </w:rPr>
                                <w:t> </w:t>
                              </w:r>
                              <w:r>
                                <w:rPr>
                                  <w:b/>
                                  <w:color w:val="164194"/>
                                  <w:spacing w:val="-2"/>
                                  <w:sz w:val="28"/>
                                </w:rPr>
                                <w:t>current</w:t>
                              </w:r>
                            </w:p>
                            <w:p>
                              <w:pPr>
                                <w:spacing w:line="232" w:lineRule="auto" w:before="0"/>
                                <w:ind w:left="0" w:right="0" w:firstLine="0"/>
                                <w:jc w:val="left"/>
                                <w:rPr>
                                  <w:b/>
                                  <w:sz w:val="28"/>
                                </w:rPr>
                              </w:pPr>
                              <w:r>
                                <w:rPr>
                                  <w:b/>
                                  <w:color w:val="164194"/>
                                  <w:sz w:val="28"/>
                                </w:rPr>
                                <w:t>arrangements</w:t>
                              </w:r>
                              <w:r>
                                <w:rPr>
                                  <w:b/>
                                  <w:color w:val="164194"/>
                                  <w:spacing w:val="-7"/>
                                  <w:sz w:val="28"/>
                                </w:rPr>
                                <w:t> </w:t>
                              </w:r>
                              <w:r>
                                <w:rPr>
                                  <w:b/>
                                  <w:color w:val="164194"/>
                                  <w:sz w:val="28"/>
                                </w:rPr>
                                <w:t>as</w:t>
                              </w:r>
                              <w:r>
                                <w:rPr>
                                  <w:b/>
                                  <w:color w:val="164194"/>
                                  <w:spacing w:val="-7"/>
                                  <w:sz w:val="28"/>
                                </w:rPr>
                                <w:t> </w:t>
                              </w:r>
                              <w:r>
                                <w:rPr>
                                  <w:b/>
                                  <w:color w:val="164194"/>
                                  <w:sz w:val="28"/>
                                </w:rPr>
                                <w:t>regards</w:t>
                              </w:r>
                              <w:r>
                                <w:rPr>
                                  <w:b/>
                                  <w:color w:val="164194"/>
                                  <w:spacing w:val="-7"/>
                                  <w:sz w:val="28"/>
                                </w:rPr>
                                <w:t> </w:t>
                              </w:r>
                              <w:r>
                                <w:rPr>
                                  <w:b/>
                                  <w:color w:val="164194"/>
                                  <w:sz w:val="28"/>
                                </w:rPr>
                                <w:t>the</w:t>
                              </w:r>
                              <w:r>
                                <w:rPr>
                                  <w:b/>
                                  <w:color w:val="164194"/>
                                  <w:spacing w:val="-8"/>
                                  <w:sz w:val="28"/>
                                </w:rPr>
                                <w:t> </w:t>
                              </w:r>
                              <w:r>
                                <w:rPr>
                                  <w:b/>
                                  <w:color w:val="164194"/>
                                  <w:sz w:val="28"/>
                                </w:rPr>
                                <w:t>rights</w:t>
                              </w:r>
                              <w:r>
                                <w:rPr>
                                  <w:b/>
                                  <w:color w:val="164194"/>
                                  <w:spacing w:val="-7"/>
                                  <w:sz w:val="28"/>
                                </w:rPr>
                                <w:t> </w:t>
                              </w:r>
                              <w:r>
                                <w:rPr>
                                  <w:b/>
                                  <w:color w:val="164194"/>
                                  <w:sz w:val="28"/>
                                </w:rPr>
                                <w:t>of</w:t>
                              </w:r>
                              <w:r>
                                <w:rPr>
                                  <w:b/>
                                  <w:color w:val="164194"/>
                                  <w:spacing w:val="-8"/>
                                  <w:sz w:val="28"/>
                                </w:rPr>
                                <w:t> </w:t>
                              </w:r>
                              <w:r>
                                <w:rPr>
                                  <w:b/>
                                  <w:color w:val="164194"/>
                                  <w:sz w:val="28"/>
                                </w:rPr>
                                <w:t>UK</w:t>
                              </w:r>
                              <w:r>
                                <w:rPr>
                                  <w:b/>
                                  <w:color w:val="164194"/>
                                  <w:spacing w:val="-7"/>
                                  <w:sz w:val="28"/>
                                </w:rPr>
                                <w:t> </w:t>
                              </w:r>
                              <w:r>
                                <w:rPr>
                                  <w:b/>
                                  <w:color w:val="164194"/>
                                  <w:sz w:val="28"/>
                                </w:rPr>
                                <w:t>citizens</w:t>
                              </w:r>
                              <w:r>
                                <w:rPr>
                                  <w:b/>
                                  <w:color w:val="164194"/>
                                  <w:spacing w:val="-7"/>
                                  <w:sz w:val="28"/>
                                </w:rPr>
                                <w:t> </w:t>
                              </w:r>
                              <w:r>
                                <w:rPr>
                                  <w:b/>
                                  <w:color w:val="164194"/>
                                  <w:sz w:val="28"/>
                                </w:rPr>
                                <w:t>who</w:t>
                              </w:r>
                              <w:r>
                                <w:rPr>
                                  <w:b/>
                                  <w:color w:val="164194"/>
                                  <w:spacing w:val="-7"/>
                                  <w:sz w:val="28"/>
                                </w:rPr>
                                <w:t> </w:t>
                              </w:r>
                              <w:r>
                                <w:rPr>
                                  <w:b/>
                                  <w:color w:val="164194"/>
                                  <w:sz w:val="28"/>
                                </w:rPr>
                                <w:t>were</w:t>
                              </w:r>
                              <w:r>
                                <w:rPr>
                                  <w:b/>
                                  <w:color w:val="164194"/>
                                  <w:spacing w:val="-8"/>
                                  <w:sz w:val="28"/>
                                </w:rPr>
                                <w:t> </w:t>
                              </w:r>
                              <w:r>
                                <w:rPr>
                                  <w:b/>
                                  <w:color w:val="164194"/>
                                  <w:sz w:val="28"/>
                                </w:rPr>
                                <w:t>born</w:t>
                              </w:r>
                              <w:r>
                                <w:rPr>
                                  <w:b/>
                                  <w:color w:val="164194"/>
                                  <w:spacing w:val="-7"/>
                                  <w:sz w:val="28"/>
                                </w:rPr>
                                <w:t> </w:t>
                              </w:r>
                              <w:r>
                                <w:rPr>
                                  <w:b/>
                                  <w:color w:val="164194"/>
                                  <w:sz w:val="28"/>
                                </w:rPr>
                                <w:t>and</w:t>
                              </w:r>
                              <w:r>
                                <w:rPr>
                                  <w:b/>
                                  <w:color w:val="164194"/>
                                  <w:spacing w:val="-7"/>
                                  <w:sz w:val="28"/>
                                </w:rPr>
                                <w:t> </w:t>
                              </w:r>
                              <w:r>
                                <w:rPr>
                                  <w:b/>
                                  <w:color w:val="164194"/>
                                  <w:sz w:val="28"/>
                                </w:rPr>
                                <w:t>residing in NI who move to EU Member States to vote in local elections in that Member State.</w:t>
                              </w:r>
                            </w:p>
                          </w:txbxContent>
                        </wps:txbx>
                        <wps:bodyPr wrap="square" lIns="0" tIns="0" rIns="0" bIns="0" rtlCol="0">
                          <a:noAutofit/>
                        </wps:bodyPr>
                      </wps:wsp>
                    </wpg:wgp>
                  </a:graphicData>
                </a:graphic>
              </wp:anchor>
            </w:drawing>
          </mc:Choice>
          <mc:Fallback>
            <w:pict>
              <v:group style="position:absolute;margin-left:.0pt;margin-top:-.00002pt;width:595.3pt;height:157.050pt;mso-position-horizontal-relative:page;mso-position-vertical-relative:page;z-index:15806976" id="docshapegroup328" coordorigin="0,0" coordsize="11906,3141">
                <v:shape style="position:absolute;left:1020;top:1530;width:9468;height:1611" id="docshape329" coordorigin="1020,1531" coordsize="9468,1611" path="m10261,1531l1247,1531,1176,1542,1113,1574,1064,1624,1032,1686,1020,1757,1020,2914,1032,2986,1064,3048,1113,3097,1176,3129,1247,3141,10261,3141,10333,3129,10395,3097,10444,3048,10477,2986,10488,2914,10488,1757,10477,1686,10444,1624,10395,1574,10333,1542,10261,1531xe" filled="true" fillcolor="#e9f3fc" stroked="false">
                  <v:path arrowok="t"/>
                  <v:fill type="solid"/>
                </v:shape>
                <v:shape style="position:absolute;left:0;top:0;width:11906;height:1819" id="docshape330"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331" filled="false" stroked="false">
                  <v:textbox inset="0,0,0,0">
                    <w:txbxContent>
                      <w:p>
                        <w:pPr>
                          <w:spacing w:line="280" w:lineRule="exact" w:before="0"/>
                          <w:ind w:left="0" w:right="0" w:firstLine="0"/>
                          <w:jc w:val="left"/>
                          <w:rPr>
                            <w:b/>
                            <w:sz w:val="28"/>
                          </w:rPr>
                        </w:pPr>
                        <w:r>
                          <w:rPr>
                            <w:b/>
                            <w:color w:val="FFFFFF"/>
                            <w:spacing w:val="-5"/>
                            <w:sz w:val="28"/>
                          </w:rPr>
                          <w:t>42</w:t>
                        </w:r>
                      </w:p>
                    </w:txbxContent>
                  </v:textbox>
                  <w10:wrap type="none"/>
                </v:shape>
                <v:shape style="position:absolute;left:1303;top:645;width:6182;height:240" type="#_x0000_t202" id="docshape332"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360;top:1700;width:8989;height:1270" type="#_x0000_t202" id="docshape333" filled="false" stroked="false">
                  <v:textbox inset="0,0,0,0">
                    <w:txbxContent>
                      <w:p>
                        <w:pPr>
                          <w:spacing w:line="279" w:lineRule="exact" w:before="0"/>
                          <w:ind w:left="0" w:right="0"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5"/>
                            <w:sz w:val="28"/>
                          </w:rPr>
                          <w:t> </w:t>
                        </w:r>
                        <w:r>
                          <w:rPr>
                            <w:b/>
                            <w:color w:val="164194"/>
                            <w:sz w:val="28"/>
                          </w:rPr>
                          <w:t>that</w:t>
                        </w:r>
                        <w:r>
                          <w:rPr>
                            <w:b/>
                            <w:color w:val="164194"/>
                            <w:spacing w:val="-5"/>
                            <w:sz w:val="28"/>
                          </w:rPr>
                          <w:t> </w:t>
                        </w:r>
                        <w:r>
                          <w:rPr>
                            <w:b/>
                            <w:color w:val="164194"/>
                            <w:sz w:val="28"/>
                          </w:rPr>
                          <w:t>the</w:t>
                        </w:r>
                        <w:r>
                          <w:rPr>
                            <w:b/>
                            <w:color w:val="164194"/>
                            <w:spacing w:val="-6"/>
                            <w:sz w:val="28"/>
                          </w:rPr>
                          <w:t> </w:t>
                        </w:r>
                        <w:r>
                          <w:rPr>
                            <w:b/>
                            <w:color w:val="164194"/>
                            <w:sz w:val="28"/>
                          </w:rPr>
                          <w:t>European</w:t>
                        </w:r>
                        <w:r>
                          <w:rPr>
                            <w:b/>
                            <w:color w:val="164194"/>
                            <w:spacing w:val="-5"/>
                            <w:sz w:val="28"/>
                          </w:rPr>
                          <w:t> </w:t>
                        </w:r>
                        <w:r>
                          <w:rPr>
                            <w:b/>
                            <w:color w:val="164194"/>
                            <w:sz w:val="28"/>
                          </w:rPr>
                          <w:t>Union</w:t>
                        </w:r>
                        <w:r>
                          <w:rPr>
                            <w:b/>
                            <w:color w:val="164194"/>
                            <w:spacing w:val="-5"/>
                            <w:sz w:val="28"/>
                          </w:rPr>
                          <w:t> </w:t>
                        </w:r>
                        <w:r>
                          <w:rPr>
                            <w:b/>
                            <w:color w:val="164194"/>
                            <w:sz w:val="28"/>
                          </w:rPr>
                          <w:t>should</w:t>
                        </w:r>
                        <w:r>
                          <w:rPr>
                            <w:b/>
                            <w:color w:val="164194"/>
                            <w:spacing w:val="-5"/>
                            <w:sz w:val="28"/>
                          </w:rPr>
                          <w:t> </w:t>
                        </w:r>
                        <w:r>
                          <w:rPr>
                            <w:b/>
                            <w:color w:val="164194"/>
                            <w:sz w:val="28"/>
                          </w:rPr>
                          <w:t>review</w:t>
                        </w:r>
                        <w:r>
                          <w:rPr>
                            <w:b/>
                            <w:color w:val="164194"/>
                            <w:spacing w:val="-5"/>
                            <w:sz w:val="28"/>
                          </w:rPr>
                          <w:t> </w:t>
                        </w:r>
                        <w:r>
                          <w:rPr>
                            <w:b/>
                            <w:color w:val="164194"/>
                            <w:spacing w:val="-2"/>
                            <w:sz w:val="28"/>
                          </w:rPr>
                          <w:t>current</w:t>
                        </w:r>
                      </w:p>
                      <w:p>
                        <w:pPr>
                          <w:spacing w:line="232" w:lineRule="auto" w:before="0"/>
                          <w:ind w:left="0" w:right="0" w:firstLine="0"/>
                          <w:jc w:val="left"/>
                          <w:rPr>
                            <w:b/>
                            <w:sz w:val="28"/>
                          </w:rPr>
                        </w:pPr>
                        <w:r>
                          <w:rPr>
                            <w:b/>
                            <w:color w:val="164194"/>
                            <w:sz w:val="28"/>
                          </w:rPr>
                          <w:t>arrangements</w:t>
                        </w:r>
                        <w:r>
                          <w:rPr>
                            <w:b/>
                            <w:color w:val="164194"/>
                            <w:spacing w:val="-7"/>
                            <w:sz w:val="28"/>
                          </w:rPr>
                          <w:t> </w:t>
                        </w:r>
                        <w:r>
                          <w:rPr>
                            <w:b/>
                            <w:color w:val="164194"/>
                            <w:sz w:val="28"/>
                          </w:rPr>
                          <w:t>as</w:t>
                        </w:r>
                        <w:r>
                          <w:rPr>
                            <w:b/>
                            <w:color w:val="164194"/>
                            <w:spacing w:val="-7"/>
                            <w:sz w:val="28"/>
                          </w:rPr>
                          <w:t> </w:t>
                        </w:r>
                        <w:r>
                          <w:rPr>
                            <w:b/>
                            <w:color w:val="164194"/>
                            <w:sz w:val="28"/>
                          </w:rPr>
                          <w:t>regards</w:t>
                        </w:r>
                        <w:r>
                          <w:rPr>
                            <w:b/>
                            <w:color w:val="164194"/>
                            <w:spacing w:val="-7"/>
                            <w:sz w:val="28"/>
                          </w:rPr>
                          <w:t> </w:t>
                        </w:r>
                        <w:r>
                          <w:rPr>
                            <w:b/>
                            <w:color w:val="164194"/>
                            <w:sz w:val="28"/>
                          </w:rPr>
                          <w:t>the</w:t>
                        </w:r>
                        <w:r>
                          <w:rPr>
                            <w:b/>
                            <w:color w:val="164194"/>
                            <w:spacing w:val="-8"/>
                            <w:sz w:val="28"/>
                          </w:rPr>
                          <w:t> </w:t>
                        </w:r>
                        <w:r>
                          <w:rPr>
                            <w:b/>
                            <w:color w:val="164194"/>
                            <w:sz w:val="28"/>
                          </w:rPr>
                          <w:t>rights</w:t>
                        </w:r>
                        <w:r>
                          <w:rPr>
                            <w:b/>
                            <w:color w:val="164194"/>
                            <w:spacing w:val="-7"/>
                            <w:sz w:val="28"/>
                          </w:rPr>
                          <w:t> </w:t>
                        </w:r>
                        <w:r>
                          <w:rPr>
                            <w:b/>
                            <w:color w:val="164194"/>
                            <w:sz w:val="28"/>
                          </w:rPr>
                          <w:t>of</w:t>
                        </w:r>
                        <w:r>
                          <w:rPr>
                            <w:b/>
                            <w:color w:val="164194"/>
                            <w:spacing w:val="-8"/>
                            <w:sz w:val="28"/>
                          </w:rPr>
                          <w:t> </w:t>
                        </w:r>
                        <w:r>
                          <w:rPr>
                            <w:b/>
                            <w:color w:val="164194"/>
                            <w:sz w:val="28"/>
                          </w:rPr>
                          <w:t>UK</w:t>
                        </w:r>
                        <w:r>
                          <w:rPr>
                            <w:b/>
                            <w:color w:val="164194"/>
                            <w:spacing w:val="-7"/>
                            <w:sz w:val="28"/>
                          </w:rPr>
                          <w:t> </w:t>
                        </w:r>
                        <w:r>
                          <w:rPr>
                            <w:b/>
                            <w:color w:val="164194"/>
                            <w:sz w:val="28"/>
                          </w:rPr>
                          <w:t>citizens</w:t>
                        </w:r>
                        <w:r>
                          <w:rPr>
                            <w:b/>
                            <w:color w:val="164194"/>
                            <w:spacing w:val="-7"/>
                            <w:sz w:val="28"/>
                          </w:rPr>
                          <w:t> </w:t>
                        </w:r>
                        <w:r>
                          <w:rPr>
                            <w:b/>
                            <w:color w:val="164194"/>
                            <w:sz w:val="28"/>
                          </w:rPr>
                          <w:t>who</w:t>
                        </w:r>
                        <w:r>
                          <w:rPr>
                            <w:b/>
                            <w:color w:val="164194"/>
                            <w:spacing w:val="-7"/>
                            <w:sz w:val="28"/>
                          </w:rPr>
                          <w:t> </w:t>
                        </w:r>
                        <w:r>
                          <w:rPr>
                            <w:b/>
                            <w:color w:val="164194"/>
                            <w:sz w:val="28"/>
                          </w:rPr>
                          <w:t>were</w:t>
                        </w:r>
                        <w:r>
                          <w:rPr>
                            <w:b/>
                            <w:color w:val="164194"/>
                            <w:spacing w:val="-8"/>
                            <w:sz w:val="28"/>
                          </w:rPr>
                          <w:t> </w:t>
                        </w:r>
                        <w:r>
                          <w:rPr>
                            <w:b/>
                            <w:color w:val="164194"/>
                            <w:sz w:val="28"/>
                          </w:rPr>
                          <w:t>born</w:t>
                        </w:r>
                        <w:r>
                          <w:rPr>
                            <w:b/>
                            <w:color w:val="164194"/>
                            <w:spacing w:val="-7"/>
                            <w:sz w:val="28"/>
                          </w:rPr>
                          <w:t> </w:t>
                        </w:r>
                        <w:r>
                          <w:rPr>
                            <w:b/>
                            <w:color w:val="164194"/>
                            <w:sz w:val="28"/>
                          </w:rPr>
                          <w:t>and</w:t>
                        </w:r>
                        <w:r>
                          <w:rPr>
                            <w:b/>
                            <w:color w:val="164194"/>
                            <w:spacing w:val="-7"/>
                            <w:sz w:val="28"/>
                          </w:rPr>
                          <w:t> </w:t>
                        </w:r>
                        <w:r>
                          <w:rPr>
                            <w:b/>
                            <w:color w:val="164194"/>
                            <w:sz w:val="28"/>
                          </w:rPr>
                          <w:t>residing in NI who move to EU Member States to vote in local elections in that Member State.</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8"/>
      </w:pPr>
    </w:p>
    <w:p>
      <w:pPr>
        <w:pStyle w:val="Heading3"/>
        <w:numPr>
          <w:ilvl w:val="2"/>
          <w:numId w:val="15"/>
        </w:numPr>
        <w:tabs>
          <w:tab w:pos="1358" w:val="left" w:leader="none"/>
        </w:tabs>
        <w:spacing w:line="336" w:lineRule="exact" w:before="0" w:after="0"/>
        <w:ind w:left="1358" w:right="0" w:hanging="638"/>
        <w:jc w:val="left"/>
      </w:pPr>
      <w:bookmarkStart w:name="2.3.5 Illegal Migration Act 2023" w:id="62"/>
      <w:bookmarkEnd w:id="62"/>
      <w:r>
        <w:rPr>
          <w:b w:val="0"/>
        </w:rPr>
      </w:r>
      <w:bookmarkStart w:name="_bookmark25" w:id="63"/>
      <w:bookmarkEnd w:id="63"/>
      <w:r>
        <w:rPr>
          <w:b w:val="0"/>
        </w:rPr>
      </w:r>
      <w:r>
        <w:rPr>
          <w:color w:val="004A93"/>
        </w:rPr>
        <w:t>Illegal</w:t>
      </w:r>
      <w:r>
        <w:rPr>
          <w:color w:val="004A93"/>
          <w:spacing w:val="-10"/>
        </w:rPr>
        <w:t> </w:t>
      </w:r>
      <w:r>
        <w:rPr>
          <w:color w:val="004A93"/>
        </w:rPr>
        <w:t>Migration</w:t>
      </w:r>
      <w:r>
        <w:rPr>
          <w:color w:val="004A93"/>
          <w:spacing w:val="-9"/>
        </w:rPr>
        <w:t> </w:t>
      </w:r>
      <w:r>
        <w:rPr>
          <w:color w:val="004A93"/>
        </w:rPr>
        <w:t>Act</w:t>
      </w:r>
      <w:r>
        <w:rPr>
          <w:color w:val="004A93"/>
          <w:spacing w:val="-9"/>
        </w:rPr>
        <w:t> </w:t>
      </w:r>
      <w:r>
        <w:rPr>
          <w:color w:val="004A93"/>
          <w:spacing w:val="-4"/>
        </w:rPr>
        <w:t>2023</w:t>
      </w:r>
    </w:p>
    <w:p>
      <w:pPr>
        <w:pStyle w:val="BodyText"/>
        <w:spacing w:line="232" w:lineRule="auto" w:before="2"/>
        <w:ind w:left="720" w:right="1475"/>
      </w:pPr>
      <w:r>
        <w:rPr/>
        <w:t>The Illegal Migration Act 2023 is another wide-ranging and controversial piece</w:t>
      </w:r>
      <w:r>
        <w:rPr>
          <w:spacing w:val="40"/>
        </w:rPr>
        <w:t> </w:t>
      </w:r>
      <w:r>
        <w:rPr/>
        <w:t>of</w:t>
      </w:r>
      <w:r>
        <w:rPr>
          <w:spacing w:val="-9"/>
        </w:rPr>
        <w:t> </w:t>
      </w:r>
      <w:r>
        <w:rPr/>
        <w:t>legislation.</w:t>
      </w:r>
      <w:r>
        <w:rPr>
          <w:vertAlign w:val="superscript"/>
        </w:rPr>
        <w:t>198</w:t>
      </w:r>
      <w:r>
        <w:rPr>
          <w:spacing w:val="-9"/>
          <w:vertAlign w:val="baseline"/>
        </w:rPr>
        <w:t> </w:t>
      </w:r>
      <w:r>
        <w:rPr>
          <w:vertAlign w:val="baseline"/>
        </w:rPr>
        <w:t>The</w:t>
      </w:r>
      <w:r>
        <w:rPr>
          <w:spacing w:val="-8"/>
          <w:vertAlign w:val="baseline"/>
        </w:rPr>
        <w:t> </w:t>
      </w:r>
      <w:r>
        <w:rPr>
          <w:vertAlign w:val="baseline"/>
        </w:rPr>
        <w:t>Joint</w:t>
      </w:r>
      <w:r>
        <w:rPr>
          <w:spacing w:val="-8"/>
          <w:vertAlign w:val="baseline"/>
        </w:rPr>
        <w:t> </w:t>
      </w:r>
      <w:r>
        <w:rPr>
          <w:vertAlign w:val="baseline"/>
        </w:rPr>
        <w:t>Committee</w:t>
      </w:r>
      <w:r>
        <w:rPr>
          <w:spacing w:val="-8"/>
          <w:vertAlign w:val="baseline"/>
        </w:rPr>
        <w:t> </w:t>
      </w:r>
      <w:r>
        <w:rPr>
          <w:vertAlign w:val="baseline"/>
        </w:rPr>
        <w:t>on</w:t>
      </w:r>
      <w:r>
        <w:rPr>
          <w:spacing w:val="-9"/>
          <w:vertAlign w:val="baseline"/>
        </w:rPr>
        <w:t> </w:t>
      </w:r>
      <w:r>
        <w:rPr>
          <w:vertAlign w:val="baseline"/>
        </w:rPr>
        <w:t>Human</w:t>
      </w:r>
      <w:r>
        <w:rPr>
          <w:spacing w:val="-9"/>
          <w:vertAlign w:val="baseline"/>
        </w:rPr>
        <w:t> </w:t>
      </w:r>
      <w:r>
        <w:rPr>
          <w:vertAlign w:val="baseline"/>
        </w:rPr>
        <w:t>Rights</w:t>
      </w:r>
      <w:r>
        <w:rPr>
          <w:spacing w:val="-9"/>
          <w:vertAlign w:val="baseline"/>
        </w:rPr>
        <w:t> </w:t>
      </w:r>
      <w:r>
        <w:rPr>
          <w:vertAlign w:val="baseline"/>
        </w:rPr>
        <w:t>produced</w:t>
      </w:r>
      <w:r>
        <w:rPr>
          <w:spacing w:val="-9"/>
          <w:vertAlign w:val="baseline"/>
        </w:rPr>
        <w:t> </w:t>
      </w:r>
      <w:r>
        <w:rPr>
          <w:vertAlign w:val="baseline"/>
        </w:rPr>
        <w:t>a</w:t>
      </w:r>
      <w:r>
        <w:rPr>
          <w:spacing w:val="-9"/>
          <w:vertAlign w:val="baseline"/>
        </w:rPr>
        <w:t> </w:t>
      </w:r>
      <w:r>
        <w:rPr>
          <w:vertAlign w:val="baseline"/>
        </w:rPr>
        <w:t>critical</w:t>
      </w:r>
      <w:r>
        <w:rPr>
          <w:spacing w:val="-9"/>
          <w:vertAlign w:val="baseline"/>
        </w:rPr>
        <w:t> </w:t>
      </w:r>
      <w:r>
        <w:rPr>
          <w:vertAlign w:val="baseline"/>
        </w:rPr>
        <w:t>report</w:t>
      </w:r>
    </w:p>
    <w:p>
      <w:pPr>
        <w:pStyle w:val="BodyText"/>
        <w:spacing w:line="232" w:lineRule="auto"/>
        <w:ind w:left="720" w:right="1250"/>
      </w:pPr>
      <w:r>
        <w:rPr/>
        <w:t>highlighting</w:t>
      </w:r>
      <w:r>
        <w:rPr>
          <w:spacing w:val="-5"/>
        </w:rPr>
        <w:t> </w:t>
      </w:r>
      <w:r>
        <w:rPr/>
        <w:t>concerns,</w:t>
      </w:r>
      <w:r>
        <w:rPr>
          <w:spacing w:val="-5"/>
        </w:rPr>
        <w:t> </w:t>
      </w:r>
      <w:r>
        <w:rPr/>
        <w:t>including</w:t>
      </w:r>
      <w:r>
        <w:rPr>
          <w:spacing w:val="-5"/>
        </w:rPr>
        <w:t> </w:t>
      </w:r>
      <w:r>
        <w:rPr/>
        <w:t>about</w:t>
      </w:r>
      <w:r>
        <w:rPr>
          <w:spacing w:val="-5"/>
        </w:rPr>
        <w:t> </w:t>
      </w:r>
      <w:r>
        <w:rPr/>
        <w:t>the</w:t>
      </w:r>
      <w:r>
        <w:rPr>
          <w:spacing w:val="-5"/>
        </w:rPr>
        <w:t> </w:t>
      </w:r>
      <w:r>
        <w:rPr/>
        <w:t>rights</w:t>
      </w:r>
      <w:r>
        <w:rPr>
          <w:spacing w:val="-6"/>
        </w:rPr>
        <w:t> </w:t>
      </w:r>
      <w:r>
        <w:rPr/>
        <w:t>of</w:t>
      </w:r>
      <w:r>
        <w:rPr>
          <w:spacing w:val="-6"/>
        </w:rPr>
        <w:t> </w:t>
      </w:r>
      <w:r>
        <w:rPr/>
        <w:t>children,</w:t>
      </w:r>
      <w:r>
        <w:rPr>
          <w:spacing w:val="-5"/>
        </w:rPr>
        <w:t> </w:t>
      </w:r>
      <w:r>
        <w:rPr/>
        <w:t>age</w:t>
      </w:r>
      <w:r>
        <w:rPr>
          <w:spacing w:val="-5"/>
        </w:rPr>
        <w:t> </w:t>
      </w:r>
      <w:r>
        <w:rPr/>
        <w:t>assessments,</w:t>
      </w:r>
      <w:r>
        <w:rPr>
          <w:spacing w:val="-5"/>
        </w:rPr>
        <w:t> </w:t>
      </w:r>
      <w:r>
        <w:rPr/>
        <w:t>and victims of slavery and trafficking; the Committee identified possible breaches of the Convention on the Rights of the Child as well as the European Convention on Human Rights.</w:t>
      </w:r>
      <w:r>
        <w:rPr>
          <w:vertAlign w:val="superscript"/>
        </w:rPr>
        <w:t>199</w:t>
      </w:r>
    </w:p>
    <w:p>
      <w:pPr>
        <w:pStyle w:val="BodyText"/>
        <w:spacing w:line="232" w:lineRule="auto" w:before="275"/>
        <w:ind w:left="720" w:right="1203"/>
      </w:pPr>
      <w:r>
        <w:rPr/>
        <w:t>The Act provides for the removal of people who enter the UK in breach of immigration control; it limits the possibility for people subject to the Act to invoke legal protections including human rights protections. The Act disapplies section 3 of</w:t>
      </w:r>
      <w:r>
        <w:rPr>
          <w:spacing w:val="-8"/>
        </w:rPr>
        <w:t> </w:t>
      </w:r>
      <w:r>
        <w:rPr/>
        <w:t>the</w:t>
      </w:r>
      <w:r>
        <w:rPr>
          <w:spacing w:val="-7"/>
        </w:rPr>
        <w:t> </w:t>
      </w:r>
      <w:r>
        <w:rPr/>
        <w:t>Human</w:t>
      </w:r>
      <w:r>
        <w:rPr>
          <w:spacing w:val="-8"/>
        </w:rPr>
        <w:t> </w:t>
      </w:r>
      <w:r>
        <w:rPr/>
        <w:t>Rights</w:t>
      </w:r>
      <w:r>
        <w:rPr>
          <w:spacing w:val="-8"/>
        </w:rPr>
        <w:t> </w:t>
      </w:r>
      <w:r>
        <w:rPr/>
        <w:t>Act</w:t>
      </w:r>
      <w:r>
        <w:rPr>
          <w:spacing w:val="-7"/>
        </w:rPr>
        <w:t> </w:t>
      </w:r>
      <w:r>
        <w:rPr/>
        <w:t>(the</w:t>
      </w:r>
      <w:r>
        <w:rPr>
          <w:spacing w:val="-7"/>
        </w:rPr>
        <w:t> </w:t>
      </w:r>
      <w:r>
        <w:rPr/>
        <w:t>interpretive</w:t>
      </w:r>
      <w:r>
        <w:rPr>
          <w:spacing w:val="-7"/>
        </w:rPr>
        <w:t> </w:t>
      </w:r>
      <w:r>
        <w:rPr/>
        <w:t>application</w:t>
      </w:r>
      <w:r>
        <w:rPr>
          <w:vertAlign w:val="superscript"/>
        </w:rPr>
        <w:t>200</w:t>
      </w:r>
      <w:r>
        <w:rPr>
          <w:vertAlign w:val="baseline"/>
        </w:rPr>
        <w:t>)</w:t>
      </w:r>
      <w:r>
        <w:rPr>
          <w:spacing w:val="-8"/>
          <w:vertAlign w:val="baseline"/>
        </w:rPr>
        <w:t> </w:t>
      </w:r>
      <w:r>
        <w:rPr>
          <w:vertAlign w:val="baseline"/>
        </w:rPr>
        <w:t>in</w:t>
      </w:r>
      <w:r>
        <w:rPr>
          <w:spacing w:val="-8"/>
          <w:vertAlign w:val="baseline"/>
        </w:rPr>
        <w:t> </w:t>
      </w:r>
      <w:r>
        <w:rPr>
          <w:vertAlign w:val="baseline"/>
        </w:rPr>
        <w:t>relation</w:t>
      </w:r>
      <w:r>
        <w:rPr>
          <w:spacing w:val="-8"/>
          <w:vertAlign w:val="baseline"/>
        </w:rPr>
        <w:t> </w:t>
      </w:r>
      <w:r>
        <w:rPr>
          <w:vertAlign w:val="baseline"/>
        </w:rPr>
        <w:t>to</w:t>
      </w:r>
      <w:r>
        <w:rPr>
          <w:spacing w:val="-8"/>
          <w:vertAlign w:val="baseline"/>
        </w:rPr>
        <w:t> </w:t>
      </w:r>
      <w:r>
        <w:rPr>
          <w:vertAlign w:val="baseline"/>
        </w:rPr>
        <w:t>the</w:t>
      </w:r>
      <w:r>
        <w:rPr>
          <w:spacing w:val="-7"/>
          <w:vertAlign w:val="baseline"/>
        </w:rPr>
        <w:t> </w:t>
      </w:r>
      <w:r>
        <w:rPr>
          <w:vertAlign w:val="baseline"/>
        </w:rPr>
        <w:t>2023</w:t>
      </w:r>
      <w:r>
        <w:rPr>
          <w:spacing w:val="-7"/>
          <w:vertAlign w:val="baseline"/>
        </w:rPr>
        <w:t> </w:t>
      </w:r>
      <w:r>
        <w:rPr>
          <w:vertAlign w:val="baseline"/>
        </w:rPr>
        <w:t>Act or provisions made by virtue of it.</w:t>
      </w:r>
      <w:r>
        <w:rPr>
          <w:vertAlign w:val="superscript"/>
        </w:rPr>
        <w:t>201</w:t>
      </w:r>
    </w:p>
    <w:p>
      <w:pPr>
        <w:pStyle w:val="BodyText"/>
        <w:spacing w:line="232" w:lineRule="auto" w:before="275"/>
        <w:ind w:left="720" w:right="1087"/>
      </w:pPr>
      <w:r>
        <w:rPr/>
        <w:t>The NIHRC provided a briefing on the Bill to the House of Lords, noting the widespread criticism of the Bill as constituting an attack on the right to seek asylum.</w:t>
      </w:r>
      <w:r>
        <w:rPr>
          <w:vertAlign w:val="superscript"/>
        </w:rPr>
        <w:t>202</w:t>
      </w:r>
      <w:r>
        <w:rPr>
          <w:spacing w:val="-14"/>
          <w:vertAlign w:val="baseline"/>
        </w:rPr>
        <w:t> </w:t>
      </w:r>
      <w:r>
        <w:rPr>
          <w:vertAlign w:val="baseline"/>
        </w:rPr>
        <w:t>The</w:t>
      </w:r>
      <w:r>
        <w:rPr>
          <w:spacing w:val="-14"/>
          <w:vertAlign w:val="baseline"/>
        </w:rPr>
        <w:t> </w:t>
      </w:r>
      <w:r>
        <w:rPr>
          <w:vertAlign w:val="baseline"/>
        </w:rPr>
        <w:t>NIHRC</w:t>
      </w:r>
      <w:r>
        <w:rPr>
          <w:vertAlign w:val="superscript"/>
        </w:rPr>
        <w:t>203</w:t>
      </w:r>
      <w:r>
        <w:rPr>
          <w:spacing w:val="-14"/>
          <w:vertAlign w:val="baseline"/>
        </w:rPr>
        <w:t> </w:t>
      </w:r>
      <w:r>
        <w:rPr>
          <w:vertAlign w:val="baseline"/>
        </w:rPr>
        <w:t>and</w:t>
      </w:r>
      <w:r>
        <w:rPr>
          <w:spacing w:val="-14"/>
          <w:vertAlign w:val="baseline"/>
        </w:rPr>
        <w:t> </w:t>
      </w:r>
      <w:r>
        <w:rPr>
          <w:vertAlign w:val="baseline"/>
        </w:rPr>
        <w:t>ECNI</w:t>
      </w:r>
      <w:r>
        <w:rPr>
          <w:vertAlign w:val="superscript"/>
        </w:rPr>
        <w:t>204</w:t>
      </w:r>
      <w:r>
        <w:rPr>
          <w:spacing w:val="-14"/>
          <w:vertAlign w:val="baseline"/>
        </w:rPr>
        <w:t> </w:t>
      </w:r>
      <w:r>
        <w:rPr>
          <w:vertAlign w:val="baseline"/>
        </w:rPr>
        <w:t>have</w:t>
      </w:r>
      <w:r>
        <w:rPr>
          <w:spacing w:val="-14"/>
          <w:vertAlign w:val="baseline"/>
        </w:rPr>
        <w:t> </w:t>
      </w:r>
      <w:r>
        <w:rPr>
          <w:vertAlign w:val="baseline"/>
        </w:rPr>
        <w:t>identified</w:t>
      </w:r>
      <w:r>
        <w:rPr>
          <w:spacing w:val="-14"/>
          <w:vertAlign w:val="baseline"/>
        </w:rPr>
        <w:t> </w:t>
      </w:r>
      <w:r>
        <w:rPr>
          <w:vertAlign w:val="baseline"/>
        </w:rPr>
        <w:t>several</w:t>
      </w:r>
      <w:r>
        <w:rPr>
          <w:spacing w:val="-14"/>
          <w:vertAlign w:val="baseline"/>
        </w:rPr>
        <w:t> </w:t>
      </w:r>
      <w:r>
        <w:rPr>
          <w:vertAlign w:val="baseline"/>
        </w:rPr>
        <w:t>provisions</w:t>
      </w:r>
      <w:r>
        <w:rPr>
          <w:spacing w:val="-14"/>
          <w:vertAlign w:val="baseline"/>
        </w:rPr>
        <w:t> </w:t>
      </w:r>
      <w:r>
        <w:rPr>
          <w:vertAlign w:val="baseline"/>
        </w:rPr>
        <w:t>of</w:t>
      </w:r>
      <w:r>
        <w:rPr>
          <w:spacing w:val="-14"/>
          <w:vertAlign w:val="baseline"/>
        </w:rPr>
        <w:t> </w:t>
      </w:r>
      <w:r>
        <w:rPr>
          <w:vertAlign w:val="baseline"/>
        </w:rPr>
        <w:t>EU</w:t>
      </w:r>
      <w:r>
        <w:rPr>
          <w:spacing w:val="-14"/>
          <w:vertAlign w:val="baseline"/>
        </w:rPr>
        <w:t> </w:t>
      </w:r>
      <w:r>
        <w:rPr>
          <w:vertAlign w:val="baseline"/>
        </w:rPr>
        <w:t>law relevant to Article 2 WF and the Illegal Migration Act, as follows: EU Reception Directive,</w:t>
      </w:r>
      <w:r>
        <w:rPr>
          <w:vertAlign w:val="superscript"/>
        </w:rPr>
        <w:t>205</w:t>
      </w:r>
      <w:r>
        <w:rPr>
          <w:vertAlign w:val="baseline"/>
        </w:rPr>
        <w:t> Procedures Directive,</w:t>
      </w:r>
      <w:r>
        <w:rPr>
          <w:vertAlign w:val="superscript"/>
        </w:rPr>
        <w:t>206</w:t>
      </w:r>
      <w:r>
        <w:rPr>
          <w:vertAlign w:val="baseline"/>
        </w:rPr>
        <w:t> Qualification Directive,</w:t>
      </w:r>
      <w:r>
        <w:rPr>
          <w:vertAlign w:val="superscript"/>
        </w:rPr>
        <w:t>207</w:t>
      </w:r>
      <w:r>
        <w:rPr>
          <w:vertAlign w:val="baseline"/>
        </w:rPr>
        <w:t> Dublin III Regulation,</w:t>
      </w:r>
      <w:r>
        <w:rPr>
          <w:vertAlign w:val="superscript"/>
        </w:rPr>
        <w:t>208</w:t>
      </w:r>
      <w:r>
        <w:rPr>
          <w:vertAlign w:val="baseline"/>
        </w:rPr>
        <w:t> Victims Directive</w:t>
      </w:r>
      <w:r>
        <w:rPr>
          <w:vertAlign w:val="superscript"/>
        </w:rPr>
        <w:t>209</w:t>
      </w:r>
      <w:r>
        <w:rPr>
          <w:vertAlign w:val="baseline"/>
        </w:rPr>
        <w:t> and Human Trafficking Directive.</w:t>
      </w:r>
      <w:r>
        <w:rPr>
          <w:vertAlign w:val="superscript"/>
        </w:rPr>
        <w:t>210</w:t>
      </w:r>
    </w:p>
    <w:p>
      <w:pPr>
        <w:pStyle w:val="BodyText"/>
        <w:rPr>
          <w:sz w:val="20"/>
        </w:rPr>
      </w:pPr>
    </w:p>
    <w:p>
      <w:pPr>
        <w:pStyle w:val="BodyText"/>
        <w:spacing w:before="17"/>
        <w:rPr>
          <w:sz w:val="20"/>
        </w:rPr>
      </w:pPr>
      <w:r>
        <w:rPr/>
        <mc:AlternateContent>
          <mc:Choice Requires="wps">
            <w:drawing>
              <wp:anchor distT="0" distB="0" distL="0" distR="0" allowOverlap="1" layoutInCell="1" locked="0" behindDoc="1" simplePos="0" relativeHeight="487665664">
                <wp:simplePos x="0" y="0"/>
                <wp:positionH relativeFrom="page">
                  <wp:posOffset>647999</wp:posOffset>
                </wp:positionH>
                <wp:positionV relativeFrom="paragraph">
                  <wp:posOffset>181141</wp:posOffset>
                </wp:positionV>
                <wp:extent cx="6012180" cy="1270"/>
                <wp:effectExtent l="0" t="0" r="0" b="0"/>
                <wp:wrapTopAndBottom/>
                <wp:docPr id="422" name="Graphic 422"/>
                <wp:cNvGraphicFramePr>
                  <a:graphicFrameLocks/>
                </wp:cNvGraphicFramePr>
                <a:graphic>
                  <a:graphicData uri="http://schemas.microsoft.com/office/word/2010/wordprocessingShape">
                    <wps:wsp>
                      <wps:cNvPr id="422" name="Graphic 42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4.263086pt;width:473.4pt;height:.1pt;mso-position-horizontal-relative:page;mso-position-vertical-relative:paragraph;z-index:-15650816;mso-wrap-distance-left:0;mso-wrap-distance-right:0" id="docshape334" coordorigin="1020,285" coordsize="9468,0" path="m1020,285l10488,285e" filled="false" stroked="true" strokeweight=".5pt" strokecolor="#36a9e1">
                <v:path arrowok="t"/>
                <v:stroke dashstyle="solid"/>
                <w10:wrap type="topAndBottom"/>
              </v:shape>
            </w:pict>
          </mc:Fallback>
        </mc:AlternateContent>
      </w:r>
    </w:p>
    <w:p>
      <w:pPr>
        <w:pStyle w:val="ListParagraph"/>
        <w:numPr>
          <w:ilvl w:val="0"/>
          <w:numId w:val="17"/>
        </w:numPr>
        <w:tabs>
          <w:tab w:pos="1287" w:val="left" w:leader="none"/>
        </w:tabs>
        <w:spacing w:line="240" w:lineRule="auto" w:before="43" w:after="0"/>
        <w:ind w:left="1287" w:right="0" w:hanging="567"/>
        <w:jc w:val="left"/>
        <w:rPr>
          <w:sz w:val="18"/>
        </w:rPr>
      </w:pPr>
      <w:r>
        <w:rPr>
          <w:color w:val="1D71B8"/>
          <w:sz w:val="18"/>
          <w:u w:val="single" w:color="1D71B8"/>
        </w:rPr>
        <w:t>Illegal</w:t>
      </w:r>
      <w:r>
        <w:rPr>
          <w:color w:val="1D71B8"/>
          <w:spacing w:val="-7"/>
          <w:sz w:val="18"/>
          <w:u w:val="single" w:color="1D71B8"/>
        </w:rPr>
        <w:t> </w:t>
      </w:r>
      <w:r>
        <w:rPr>
          <w:color w:val="1D71B8"/>
          <w:sz w:val="18"/>
          <w:u w:val="single" w:color="1D71B8"/>
        </w:rPr>
        <w:t>Migration</w:t>
      </w:r>
      <w:r>
        <w:rPr>
          <w:color w:val="1D71B8"/>
          <w:spacing w:val="-7"/>
          <w:sz w:val="18"/>
          <w:u w:val="single" w:color="1D71B8"/>
        </w:rPr>
        <w:t> </w:t>
      </w:r>
      <w:r>
        <w:rPr>
          <w:color w:val="1D71B8"/>
          <w:sz w:val="18"/>
          <w:u w:val="single" w:color="1D71B8"/>
        </w:rPr>
        <w:t>Act</w:t>
      </w:r>
      <w:r>
        <w:rPr>
          <w:color w:val="1D71B8"/>
          <w:spacing w:val="-5"/>
          <w:sz w:val="18"/>
          <w:u w:val="single" w:color="1D71B8"/>
        </w:rPr>
        <w:t> </w:t>
      </w:r>
      <w:r>
        <w:rPr>
          <w:color w:val="1D71B8"/>
          <w:spacing w:val="-2"/>
          <w:sz w:val="18"/>
          <w:u w:val="single" w:color="1D71B8"/>
        </w:rPr>
        <w:t>2023</w:t>
      </w:r>
      <w:r>
        <w:rPr>
          <w:spacing w:val="-2"/>
          <w:sz w:val="18"/>
          <w:u w:val="none"/>
        </w:rPr>
        <w:t>.</w:t>
      </w:r>
    </w:p>
    <w:p>
      <w:pPr>
        <w:pStyle w:val="ListParagraph"/>
        <w:numPr>
          <w:ilvl w:val="0"/>
          <w:numId w:val="17"/>
        </w:numPr>
        <w:tabs>
          <w:tab w:pos="1287" w:val="left" w:leader="none"/>
        </w:tabs>
        <w:spacing w:line="240" w:lineRule="auto" w:before="1" w:after="0"/>
        <w:ind w:left="1287" w:right="1483" w:hanging="567"/>
        <w:jc w:val="left"/>
        <w:rPr>
          <w:sz w:val="18"/>
        </w:rPr>
      </w:pPr>
      <w:r>
        <w:rPr>
          <w:sz w:val="18"/>
        </w:rPr>
        <w:t>Joint</w:t>
      </w:r>
      <w:r>
        <w:rPr>
          <w:spacing w:val="-5"/>
          <w:sz w:val="18"/>
        </w:rPr>
        <w:t> </w:t>
      </w:r>
      <w:r>
        <w:rPr>
          <w:sz w:val="18"/>
        </w:rPr>
        <w:t>Committee</w:t>
      </w:r>
      <w:r>
        <w:rPr>
          <w:spacing w:val="-5"/>
          <w:sz w:val="18"/>
        </w:rPr>
        <w:t> </w:t>
      </w:r>
      <w:r>
        <w:rPr>
          <w:sz w:val="18"/>
        </w:rPr>
        <w:t>on</w:t>
      </w:r>
      <w:r>
        <w:rPr>
          <w:spacing w:val="-6"/>
          <w:sz w:val="18"/>
        </w:rPr>
        <w:t> </w:t>
      </w:r>
      <w:r>
        <w:rPr>
          <w:sz w:val="18"/>
        </w:rPr>
        <w:t>Human</w:t>
      </w:r>
      <w:r>
        <w:rPr>
          <w:spacing w:val="-5"/>
          <w:sz w:val="18"/>
        </w:rPr>
        <w:t> </w:t>
      </w:r>
      <w:r>
        <w:rPr>
          <w:sz w:val="18"/>
        </w:rPr>
        <w:t>Rights,</w:t>
      </w:r>
      <w:r>
        <w:rPr>
          <w:spacing w:val="-5"/>
          <w:sz w:val="18"/>
        </w:rPr>
        <w:t> </w:t>
      </w:r>
      <w:hyperlink r:id="rId61">
        <w:r>
          <w:rPr>
            <w:color w:val="1D71B8"/>
            <w:sz w:val="18"/>
            <w:u w:val="single" w:color="1D71B8"/>
          </w:rPr>
          <w:t>Twelfth</w:t>
        </w:r>
        <w:r>
          <w:rPr>
            <w:color w:val="1D71B8"/>
            <w:spacing w:val="-6"/>
            <w:sz w:val="18"/>
            <w:u w:val="single" w:color="1D71B8"/>
          </w:rPr>
          <w:t> </w:t>
        </w:r>
        <w:r>
          <w:rPr>
            <w:color w:val="1D71B8"/>
            <w:sz w:val="18"/>
            <w:u w:val="single" w:color="1D71B8"/>
          </w:rPr>
          <w:t>Report</w:t>
        </w:r>
        <w:r>
          <w:rPr>
            <w:color w:val="1D71B8"/>
            <w:spacing w:val="-5"/>
            <w:sz w:val="18"/>
            <w:u w:val="single" w:color="1D71B8"/>
          </w:rPr>
          <w:t> </w:t>
        </w:r>
        <w:r>
          <w:rPr>
            <w:color w:val="1D71B8"/>
            <w:sz w:val="18"/>
            <w:u w:val="single" w:color="1D71B8"/>
          </w:rPr>
          <w:t>-</w:t>
        </w:r>
        <w:r>
          <w:rPr>
            <w:color w:val="1D71B8"/>
            <w:spacing w:val="-6"/>
            <w:sz w:val="18"/>
            <w:u w:val="single" w:color="1D71B8"/>
          </w:rPr>
          <w:t> </w:t>
        </w:r>
        <w:r>
          <w:rPr>
            <w:color w:val="1D71B8"/>
            <w:sz w:val="18"/>
            <w:u w:val="single" w:color="1D71B8"/>
          </w:rPr>
          <w:t>Legislative</w:t>
        </w:r>
        <w:r>
          <w:rPr>
            <w:color w:val="1D71B8"/>
            <w:spacing w:val="-5"/>
            <w:sz w:val="18"/>
            <w:u w:val="single" w:color="1D71B8"/>
          </w:rPr>
          <w:t> </w:t>
        </w:r>
        <w:r>
          <w:rPr>
            <w:color w:val="1D71B8"/>
            <w:sz w:val="18"/>
            <w:u w:val="single" w:color="1D71B8"/>
          </w:rPr>
          <w:t>Scrutiny:</w:t>
        </w:r>
        <w:r>
          <w:rPr>
            <w:color w:val="1D71B8"/>
            <w:spacing w:val="-5"/>
            <w:sz w:val="18"/>
            <w:u w:val="single" w:color="1D71B8"/>
          </w:rPr>
          <w:t> </w:t>
        </w:r>
        <w:r>
          <w:rPr>
            <w:color w:val="1D71B8"/>
            <w:sz w:val="18"/>
            <w:u w:val="single" w:color="1D71B8"/>
          </w:rPr>
          <w:t>Illegal</w:t>
        </w:r>
        <w:r>
          <w:rPr>
            <w:color w:val="1D71B8"/>
            <w:spacing w:val="-6"/>
            <w:sz w:val="18"/>
            <w:u w:val="single" w:color="1D71B8"/>
          </w:rPr>
          <w:t> </w:t>
        </w:r>
        <w:r>
          <w:rPr>
            <w:color w:val="1D71B8"/>
            <w:sz w:val="18"/>
            <w:u w:val="single" w:color="1D71B8"/>
          </w:rPr>
          <w:t>Migration</w:t>
        </w:r>
        <w:r>
          <w:rPr>
            <w:color w:val="1D71B8"/>
            <w:spacing w:val="-6"/>
            <w:sz w:val="18"/>
            <w:u w:val="single" w:color="1D71B8"/>
          </w:rPr>
          <w:t> </w:t>
        </w:r>
        <w:r>
          <w:rPr>
            <w:color w:val="1D71B8"/>
            <w:sz w:val="18"/>
            <w:u w:val="single" w:color="1D71B8"/>
          </w:rPr>
          <w:t>Bill</w:t>
        </w:r>
      </w:hyperlink>
      <w:r>
        <w:rPr>
          <w:color w:val="1D71B8"/>
          <w:spacing w:val="-5"/>
          <w:sz w:val="18"/>
          <w:u w:val="none"/>
        </w:rPr>
        <w:t> </w:t>
      </w:r>
      <w:r>
        <w:rPr>
          <w:sz w:val="18"/>
          <w:u w:val="none"/>
        </w:rPr>
        <w:t>(House</w:t>
      </w:r>
      <w:r>
        <w:rPr>
          <w:spacing w:val="-5"/>
          <w:sz w:val="18"/>
          <w:u w:val="none"/>
        </w:rPr>
        <w:t> </w:t>
      </w:r>
      <w:r>
        <w:rPr>
          <w:sz w:val="18"/>
          <w:u w:val="none"/>
        </w:rPr>
        <w:t>of</w:t>
      </w:r>
      <w:r>
        <w:rPr>
          <w:spacing w:val="-6"/>
          <w:sz w:val="18"/>
          <w:u w:val="none"/>
        </w:rPr>
        <w:t> </w:t>
      </w:r>
      <w:r>
        <w:rPr>
          <w:sz w:val="18"/>
          <w:u w:val="none"/>
        </w:rPr>
        <w:t>Commons</w:t>
      </w:r>
      <w:r>
        <w:rPr>
          <w:spacing w:val="-6"/>
          <w:sz w:val="18"/>
          <w:u w:val="none"/>
        </w:rPr>
        <w:t> </w:t>
      </w:r>
      <w:r>
        <w:rPr>
          <w:sz w:val="18"/>
          <w:u w:val="none"/>
        </w:rPr>
        <w:t>and House of Lords, 2022-2023) HC 1241 / HL Paper 208 (11 June 2023).</w:t>
      </w:r>
    </w:p>
    <w:p>
      <w:pPr>
        <w:pStyle w:val="ListParagraph"/>
        <w:numPr>
          <w:ilvl w:val="0"/>
          <w:numId w:val="17"/>
        </w:numPr>
        <w:tabs>
          <w:tab w:pos="1287" w:val="left" w:leader="none"/>
        </w:tabs>
        <w:spacing w:line="240" w:lineRule="auto" w:before="0" w:after="0"/>
        <w:ind w:left="1287" w:right="1339" w:hanging="567"/>
        <w:jc w:val="left"/>
        <w:rPr>
          <w:sz w:val="18"/>
        </w:rPr>
      </w:pPr>
      <w:r>
        <w:rPr>
          <w:sz w:val="18"/>
        </w:rPr>
        <w:t>Section</w:t>
      </w:r>
      <w:r>
        <w:rPr>
          <w:spacing w:val="-4"/>
          <w:sz w:val="18"/>
        </w:rPr>
        <w:t> </w:t>
      </w:r>
      <w:r>
        <w:rPr>
          <w:sz w:val="18"/>
        </w:rPr>
        <w:t>3</w:t>
      </w:r>
      <w:r>
        <w:rPr>
          <w:spacing w:val="-3"/>
          <w:sz w:val="18"/>
        </w:rPr>
        <w:t> </w:t>
      </w:r>
      <w:r>
        <w:rPr>
          <w:sz w:val="18"/>
        </w:rPr>
        <w:t>requires</w:t>
      </w:r>
      <w:r>
        <w:rPr>
          <w:spacing w:val="-4"/>
          <w:sz w:val="18"/>
        </w:rPr>
        <w:t> </w:t>
      </w:r>
      <w:r>
        <w:rPr>
          <w:sz w:val="18"/>
        </w:rPr>
        <w:t>that</w:t>
      </w:r>
      <w:r>
        <w:rPr>
          <w:spacing w:val="-3"/>
          <w:sz w:val="18"/>
        </w:rPr>
        <w:t> </w:t>
      </w:r>
      <w:r>
        <w:rPr>
          <w:sz w:val="18"/>
        </w:rPr>
        <w:t>‘So</w:t>
      </w:r>
      <w:r>
        <w:rPr>
          <w:spacing w:val="-4"/>
          <w:sz w:val="18"/>
        </w:rPr>
        <w:t> </w:t>
      </w:r>
      <w:r>
        <w:rPr>
          <w:sz w:val="18"/>
        </w:rPr>
        <w:t>far</w:t>
      </w:r>
      <w:r>
        <w:rPr>
          <w:spacing w:val="-3"/>
          <w:sz w:val="18"/>
        </w:rPr>
        <w:t> </w:t>
      </w:r>
      <w:r>
        <w:rPr>
          <w:sz w:val="18"/>
        </w:rPr>
        <w:t>as</w:t>
      </w:r>
      <w:r>
        <w:rPr>
          <w:spacing w:val="-4"/>
          <w:sz w:val="18"/>
        </w:rPr>
        <w:t> </w:t>
      </w:r>
      <w:r>
        <w:rPr>
          <w:sz w:val="18"/>
        </w:rPr>
        <w:t>it</w:t>
      </w:r>
      <w:r>
        <w:rPr>
          <w:spacing w:val="-3"/>
          <w:sz w:val="18"/>
        </w:rPr>
        <w:t> </w:t>
      </w:r>
      <w:r>
        <w:rPr>
          <w:sz w:val="18"/>
        </w:rPr>
        <w:t>is</w:t>
      </w:r>
      <w:r>
        <w:rPr>
          <w:spacing w:val="-4"/>
          <w:sz w:val="18"/>
        </w:rPr>
        <w:t> </w:t>
      </w:r>
      <w:r>
        <w:rPr>
          <w:sz w:val="18"/>
        </w:rPr>
        <w:t>possible</w:t>
      </w:r>
      <w:r>
        <w:rPr>
          <w:spacing w:val="-3"/>
          <w:sz w:val="18"/>
        </w:rPr>
        <w:t> </w:t>
      </w:r>
      <w:r>
        <w:rPr>
          <w:sz w:val="18"/>
        </w:rPr>
        <w:t>to</w:t>
      </w:r>
      <w:r>
        <w:rPr>
          <w:spacing w:val="-4"/>
          <w:sz w:val="18"/>
        </w:rPr>
        <w:t> </w:t>
      </w:r>
      <w:r>
        <w:rPr>
          <w:sz w:val="18"/>
        </w:rPr>
        <w:t>do</w:t>
      </w:r>
      <w:r>
        <w:rPr>
          <w:spacing w:val="-4"/>
          <w:sz w:val="18"/>
        </w:rPr>
        <w:t> </w:t>
      </w:r>
      <w:r>
        <w:rPr>
          <w:sz w:val="18"/>
        </w:rPr>
        <w:t>so,</w:t>
      </w:r>
      <w:r>
        <w:rPr>
          <w:spacing w:val="-3"/>
          <w:sz w:val="18"/>
        </w:rPr>
        <w:t> </w:t>
      </w:r>
      <w:r>
        <w:rPr>
          <w:sz w:val="18"/>
        </w:rPr>
        <w:t>primary</w:t>
      </w:r>
      <w:r>
        <w:rPr>
          <w:spacing w:val="-3"/>
          <w:sz w:val="18"/>
        </w:rPr>
        <w:t> </w:t>
      </w:r>
      <w:r>
        <w:rPr>
          <w:sz w:val="18"/>
        </w:rPr>
        <w:t>legislation</w:t>
      </w:r>
      <w:r>
        <w:rPr>
          <w:spacing w:val="-4"/>
          <w:sz w:val="18"/>
        </w:rPr>
        <w:t> </w:t>
      </w:r>
      <w:r>
        <w:rPr>
          <w:sz w:val="18"/>
        </w:rPr>
        <w:t>and</w:t>
      </w:r>
      <w:r>
        <w:rPr>
          <w:spacing w:val="-4"/>
          <w:sz w:val="18"/>
        </w:rPr>
        <w:t> </w:t>
      </w:r>
      <w:r>
        <w:rPr>
          <w:sz w:val="18"/>
        </w:rPr>
        <w:t>subordinate</w:t>
      </w:r>
      <w:r>
        <w:rPr>
          <w:spacing w:val="-3"/>
          <w:sz w:val="18"/>
        </w:rPr>
        <w:t> </w:t>
      </w:r>
      <w:r>
        <w:rPr>
          <w:sz w:val="18"/>
        </w:rPr>
        <w:t>legislation</w:t>
      </w:r>
      <w:r>
        <w:rPr>
          <w:spacing w:val="-4"/>
          <w:sz w:val="18"/>
        </w:rPr>
        <w:t> </w:t>
      </w:r>
      <w:r>
        <w:rPr>
          <w:sz w:val="18"/>
        </w:rPr>
        <w:t>must</w:t>
      </w:r>
      <w:r>
        <w:rPr>
          <w:spacing w:val="-3"/>
          <w:sz w:val="18"/>
        </w:rPr>
        <w:t> </w:t>
      </w:r>
      <w:r>
        <w:rPr>
          <w:sz w:val="18"/>
        </w:rPr>
        <w:t>be</w:t>
      </w:r>
      <w:r>
        <w:rPr>
          <w:spacing w:val="-3"/>
          <w:sz w:val="18"/>
        </w:rPr>
        <w:t> </w:t>
      </w:r>
      <w:r>
        <w:rPr>
          <w:sz w:val="18"/>
        </w:rPr>
        <w:t>read</w:t>
      </w:r>
      <w:r>
        <w:rPr>
          <w:spacing w:val="-4"/>
          <w:sz w:val="18"/>
        </w:rPr>
        <w:t> </w:t>
      </w:r>
      <w:r>
        <w:rPr>
          <w:sz w:val="18"/>
        </w:rPr>
        <w:t>and given effect in a way which is compatible with Convention rights’.</w:t>
      </w:r>
    </w:p>
    <w:p>
      <w:pPr>
        <w:pStyle w:val="ListParagraph"/>
        <w:numPr>
          <w:ilvl w:val="0"/>
          <w:numId w:val="17"/>
        </w:numPr>
        <w:tabs>
          <w:tab w:pos="1287" w:val="left" w:leader="none"/>
        </w:tabs>
        <w:spacing w:line="240" w:lineRule="auto" w:before="1" w:after="0"/>
        <w:ind w:left="1287" w:right="0" w:hanging="567"/>
        <w:jc w:val="left"/>
        <w:rPr>
          <w:sz w:val="18"/>
        </w:rPr>
      </w:pPr>
      <w:r>
        <w:rPr>
          <w:sz w:val="18"/>
        </w:rPr>
        <w:t>Illegal</w:t>
      </w:r>
      <w:r>
        <w:rPr>
          <w:spacing w:val="-8"/>
          <w:sz w:val="18"/>
        </w:rPr>
        <w:t> </w:t>
      </w:r>
      <w:r>
        <w:rPr>
          <w:sz w:val="18"/>
        </w:rPr>
        <w:t>Migration</w:t>
      </w:r>
      <w:r>
        <w:rPr>
          <w:spacing w:val="-8"/>
          <w:sz w:val="18"/>
        </w:rPr>
        <w:t> </w:t>
      </w:r>
      <w:r>
        <w:rPr>
          <w:sz w:val="18"/>
        </w:rPr>
        <w:t>act,</w:t>
      </w:r>
      <w:r>
        <w:rPr>
          <w:spacing w:val="-8"/>
          <w:sz w:val="18"/>
        </w:rPr>
        <w:t> </w:t>
      </w:r>
      <w:hyperlink r:id="rId62">
        <w:r>
          <w:rPr>
            <w:color w:val="1D71B8"/>
            <w:sz w:val="18"/>
            <w:u w:val="single" w:color="1D71B8"/>
          </w:rPr>
          <w:t>section</w:t>
        </w:r>
        <w:r>
          <w:rPr>
            <w:color w:val="1D71B8"/>
            <w:spacing w:val="-8"/>
            <w:sz w:val="18"/>
            <w:u w:val="single" w:color="1D71B8"/>
          </w:rPr>
          <w:t> </w:t>
        </w:r>
        <w:r>
          <w:rPr>
            <w:color w:val="1D71B8"/>
            <w:spacing w:val="-2"/>
            <w:sz w:val="18"/>
            <w:u w:val="single" w:color="1D71B8"/>
          </w:rPr>
          <w:t>1(5).</w:t>
        </w:r>
      </w:hyperlink>
    </w:p>
    <w:p>
      <w:pPr>
        <w:pStyle w:val="ListParagraph"/>
        <w:numPr>
          <w:ilvl w:val="0"/>
          <w:numId w:val="17"/>
        </w:numPr>
        <w:tabs>
          <w:tab w:pos="1287" w:val="left" w:leader="none"/>
        </w:tabs>
        <w:spacing w:line="240" w:lineRule="auto" w:before="0" w:after="0"/>
        <w:ind w:left="1287" w:right="1448" w:hanging="567"/>
        <w:jc w:val="left"/>
        <w:rPr>
          <w:sz w:val="18"/>
        </w:rPr>
      </w:pPr>
      <w:r>
        <w:rPr>
          <w:sz w:val="18"/>
        </w:rPr>
        <w:t>NIHRC,</w:t>
      </w:r>
      <w:r>
        <w:rPr>
          <w:spacing w:val="-3"/>
          <w:sz w:val="18"/>
        </w:rPr>
        <w:t> </w:t>
      </w:r>
      <w:r>
        <w:rPr>
          <w:color w:val="1D71B8"/>
          <w:sz w:val="18"/>
          <w:u w:val="single" w:color="1D71B8"/>
        </w:rPr>
        <w:t>Northern</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Commission</w:t>
      </w:r>
      <w:r>
        <w:rPr>
          <w:color w:val="1D71B8"/>
          <w:spacing w:val="-4"/>
          <w:sz w:val="18"/>
          <w:u w:val="single" w:color="1D71B8"/>
        </w:rPr>
        <w:t> </w:t>
      </w:r>
      <w:r>
        <w:rPr>
          <w:color w:val="1D71B8"/>
          <w:sz w:val="18"/>
          <w:u w:val="single" w:color="1D71B8"/>
        </w:rPr>
        <w:t>submission</w:t>
      </w:r>
      <w:r>
        <w:rPr>
          <w:color w:val="1D71B8"/>
          <w:spacing w:val="-3"/>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House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Lords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Illegal</w:t>
      </w:r>
      <w:r>
        <w:rPr>
          <w:color w:val="1D71B8"/>
          <w:spacing w:val="-4"/>
          <w:sz w:val="18"/>
          <w:u w:val="single" w:color="1D71B8"/>
        </w:rPr>
        <w:t> </w:t>
      </w:r>
      <w:r>
        <w:rPr>
          <w:color w:val="1D71B8"/>
          <w:sz w:val="18"/>
          <w:u w:val="single" w:color="1D71B8"/>
        </w:rPr>
        <w:t>Migration</w:t>
      </w:r>
      <w:r>
        <w:rPr>
          <w:color w:val="1D71B8"/>
          <w:spacing w:val="-4"/>
          <w:sz w:val="18"/>
          <w:u w:val="single" w:color="1D71B8"/>
        </w:rPr>
        <w:t> </w:t>
      </w:r>
      <w:r>
        <w:rPr>
          <w:color w:val="1D71B8"/>
          <w:sz w:val="18"/>
          <w:u w:val="single" w:color="1D71B8"/>
        </w:rPr>
        <w:t>Bill</w:t>
      </w:r>
      <w:r>
        <w:rPr>
          <w:color w:val="1D71B8"/>
          <w:spacing w:val="-2"/>
          <w:sz w:val="18"/>
          <w:u w:val="none"/>
        </w:rPr>
        <w:t> </w:t>
      </w:r>
      <w:r>
        <w:rPr>
          <w:sz w:val="18"/>
          <w:u w:val="none"/>
        </w:rPr>
        <w:t>(16</w:t>
      </w:r>
      <w:r>
        <w:rPr>
          <w:spacing w:val="-3"/>
          <w:sz w:val="18"/>
          <w:u w:val="none"/>
        </w:rPr>
        <w:t> </w:t>
      </w:r>
      <w:r>
        <w:rPr>
          <w:sz w:val="18"/>
          <w:u w:val="none"/>
        </w:rPr>
        <w:t>May 2023)</w:t>
      </w:r>
      <w:r>
        <w:rPr>
          <w:spacing w:val="-2"/>
          <w:sz w:val="18"/>
          <w:u w:val="none"/>
        </w:rPr>
        <w:t> </w:t>
      </w:r>
      <w:r>
        <w:rPr>
          <w:sz w:val="18"/>
          <w:u w:val="none"/>
        </w:rPr>
        <w:t>4-5.</w:t>
      </w:r>
    </w:p>
    <w:p>
      <w:pPr>
        <w:pStyle w:val="ListParagraph"/>
        <w:numPr>
          <w:ilvl w:val="0"/>
          <w:numId w:val="17"/>
        </w:numPr>
        <w:tabs>
          <w:tab w:pos="1287" w:val="left" w:leader="none"/>
        </w:tabs>
        <w:spacing w:line="240" w:lineRule="auto" w:before="1" w:after="0"/>
        <w:ind w:left="1287" w:right="1448" w:hanging="567"/>
        <w:jc w:val="left"/>
        <w:rPr>
          <w:sz w:val="18"/>
        </w:rPr>
      </w:pPr>
      <w:r>
        <w:rPr>
          <w:sz w:val="18"/>
        </w:rPr>
        <w:t>NIHRC,</w:t>
      </w:r>
      <w:r>
        <w:rPr>
          <w:spacing w:val="-3"/>
          <w:sz w:val="18"/>
        </w:rPr>
        <w:t> </w:t>
      </w:r>
      <w:r>
        <w:rPr>
          <w:color w:val="1D71B8"/>
          <w:sz w:val="18"/>
          <w:u w:val="single" w:color="1D71B8"/>
        </w:rPr>
        <w:t>Northern</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Commission</w:t>
      </w:r>
      <w:r>
        <w:rPr>
          <w:color w:val="1D71B8"/>
          <w:spacing w:val="-4"/>
          <w:sz w:val="18"/>
          <w:u w:val="single" w:color="1D71B8"/>
        </w:rPr>
        <w:t> </w:t>
      </w:r>
      <w:r>
        <w:rPr>
          <w:color w:val="1D71B8"/>
          <w:sz w:val="18"/>
          <w:u w:val="single" w:color="1D71B8"/>
        </w:rPr>
        <w:t>submission</w:t>
      </w:r>
      <w:r>
        <w:rPr>
          <w:color w:val="1D71B8"/>
          <w:spacing w:val="-3"/>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House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Lords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Illegal</w:t>
      </w:r>
      <w:r>
        <w:rPr>
          <w:color w:val="1D71B8"/>
          <w:spacing w:val="-4"/>
          <w:sz w:val="18"/>
          <w:u w:val="single" w:color="1D71B8"/>
        </w:rPr>
        <w:t> </w:t>
      </w:r>
      <w:r>
        <w:rPr>
          <w:color w:val="1D71B8"/>
          <w:sz w:val="18"/>
          <w:u w:val="single" w:color="1D71B8"/>
        </w:rPr>
        <w:t>Migration</w:t>
      </w:r>
      <w:r>
        <w:rPr>
          <w:color w:val="1D71B8"/>
          <w:spacing w:val="-4"/>
          <w:sz w:val="18"/>
          <w:u w:val="single" w:color="1D71B8"/>
        </w:rPr>
        <w:t> </w:t>
      </w:r>
      <w:r>
        <w:rPr>
          <w:color w:val="1D71B8"/>
          <w:sz w:val="18"/>
          <w:u w:val="single" w:color="1D71B8"/>
        </w:rPr>
        <w:t>Bill</w:t>
      </w:r>
      <w:r>
        <w:rPr>
          <w:color w:val="1D71B8"/>
          <w:spacing w:val="-2"/>
          <w:sz w:val="18"/>
          <w:u w:val="none"/>
        </w:rPr>
        <w:t> </w:t>
      </w:r>
      <w:r>
        <w:rPr>
          <w:sz w:val="18"/>
          <w:u w:val="none"/>
        </w:rPr>
        <w:t>(16</w:t>
      </w:r>
      <w:r>
        <w:rPr>
          <w:spacing w:val="-3"/>
          <w:sz w:val="18"/>
          <w:u w:val="none"/>
        </w:rPr>
        <w:t> </w:t>
      </w:r>
      <w:r>
        <w:rPr>
          <w:sz w:val="18"/>
          <w:u w:val="none"/>
        </w:rPr>
        <w:t>May 2023)</w:t>
      </w:r>
      <w:r>
        <w:rPr>
          <w:spacing w:val="-2"/>
          <w:sz w:val="18"/>
          <w:u w:val="none"/>
        </w:rPr>
        <w:t> </w:t>
      </w:r>
      <w:r>
        <w:rPr>
          <w:sz w:val="18"/>
          <w:u w:val="none"/>
        </w:rPr>
        <w:t>18.</w:t>
      </w:r>
    </w:p>
    <w:p>
      <w:pPr>
        <w:pStyle w:val="ListParagraph"/>
        <w:numPr>
          <w:ilvl w:val="0"/>
          <w:numId w:val="17"/>
        </w:numPr>
        <w:tabs>
          <w:tab w:pos="1287" w:val="left" w:leader="none"/>
        </w:tabs>
        <w:spacing w:line="240" w:lineRule="auto" w:before="0" w:after="0"/>
        <w:ind w:left="1287" w:right="0" w:hanging="567"/>
        <w:jc w:val="left"/>
        <w:rPr>
          <w:i/>
          <w:sz w:val="18"/>
        </w:rPr>
      </w:pPr>
      <w:r>
        <w:rPr>
          <w:sz w:val="18"/>
        </w:rPr>
        <w:t>ECNI,</w:t>
      </w:r>
      <w:r>
        <w:rPr>
          <w:spacing w:val="-5"/>
          <w:sz w:val="18"/>
        </w:rPr>
        <w:t> </w:t>
      </w:r>
      <w:hyperlink r:id="rId63">
        <w:r>
          <w:rPr>
            <w:color w:val="1D71B8"/>
            <w:sz w:val="18"/>
            <w:u w:val="single" w:color="1D71B8"/>
          </w:rPr>
          <w:t>Submission</w:t>
        </w:r>
        <w:r>
          <w:rPr>
            <w:color w:val="1D71B8"/>
            <w:spacing w:val="-4"/>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House</w:t>
        </w:r>
        <w:r>
          <w:rPr>
            <w:color w:val="1D71B8"/>
            <w:spacing w:val="-3"/>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Lords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Illegal</w:t>
        </w:r>
        <w:r>
          <w:rPr>
            <w:color w:val="1D71B8"/>
            <w:spacing w:val="-4"/>
            <w:sz w:val="18"/>
            <w:u w:val="single" w:color="1D71B8"/>
          </w:rPr>
          <w:t> </w:t>
        </w:r>
        <w:r>
          <w:rPr>
            <w:color w:val="1D71B8"/>
            <w:sz w:val="18"/>
            <w:u w:val="single" w:color="1D71B8"/>
          </w:rPr>
          <w:t>Migration</w:t>
        </w:r>
        <w:r>
          <w:rPr>
            <w:color w:val="1D71B8"/>
            <w:spacing w:val="-3"/>
            <w:sz w:val="18"/>
            <w:u w:val="single" w:color="1D71B8"/>
          </w:rPr>
          <w:t> </w:t>
        </w:r>
        <w:r>
          <w:rPr>
            <w:color w:val="1D71B8"/>
            <w:spacing w:val="-2"/>
            <w:sz w:val="18"/>
            <w:u w:val="single" w:color="1D71B8"/>
          </w:rPr>
          <w:t>Bill</w:t>
        </w:r>
      </w:hyperlink>
      <w:r>
        <w:rPr>
          <w:i/>
          <w:spacing w:val="-2"/>
          <w:sz w:val="18"/>
          <w:u w:val="none"/>
        </w:rPr>
        <w:t>.</w:t>
      </w:r>
    </w:p>
    <w:p>
      <w:pPr>
        <w:pStyle w:val="ListParagraph"/>
        <w:numPr>
          <w:ilvl w:val="0"/>
          <w:numId w:val="17"/>
        </w:numPr>
        <w:tabs>
          <w:tab w:pos="1287" w:val="left" w:leader="none"/>
        </w:tabs>
        <w:spacing w:line="240" w:lineRule="auto" w:before="0" w:after="0"/>
        <w:ind w:left="1287" w:right="0" w:hanging="567"/>
        <w:jc w:val="left"/>
        <w:rPr>
          <w:sz w:val="18"/>
        </w:rPr>
      </w:pPr>
      <w:r>
        <w:rPr>
          <w:color w:val="1D71B8"/>
          <w:sz w:val="18"/>
          <w:u w:val="single" w:color="1D71B8"/>
        </w:rPr>
        <w:t>EU</w:t>
      </w:r>
      <w:r>
        <w:rPr>
          <w:color w:val="1D71B8"/>
          <w:spacing w:val="-5"/>
          <w:sz w:val="18"/>
          <w:u w:val="single" w:color="1D71B8"/>
        </w:rPr>
        <w:t> </w:t>
      </w:r>
      <w:r>
        <w:rPr>
          <w:color w:val="1D71B8"/>
          <w:sz w:val="18"/>
          <w:u w:val="single" w:color="1D71B8"/>
        </w:rPr>
        <w:t>Directive</w:t>
      </w:r>
      <w:r>
        <w:rPr>
          <w:color w:val="1D71B8"/>
          <w:spacing w:val="-5"/>
          <w:sz w:val="18"/>
          <w:u w:val="single" w:color="1D71B8"/>
        </w:rPr>
        <w:t> </w:t>
      </w:r>
      <w:r>
        <w:rPr>
          <w:color w:val="1D71B8"/>
          <w:sz w:val="18"/>
          <w:u w:val="single" w:color="1D71B8"/>
        </w:rPr>
        <w:t>2003/9/EC</w:t>
      </w:r>
      <w:r>
        <w:rPr>
          <w:color w:val="1D71B8"/>
          <w:spacing w:val="-6"/>
          <w:sz w:val="18"/>
          <w:u w:val="none"/>
        </w:rPr>
        <w:t> </w:t>
      </w:r>
      <w:r>
        <w:rPr>
          <w:sz w:val="18"/>
          <w:u w:val="none"/>
        </w:rPr>
        <w:t>laying</w:t>
      </w:r>
      <w:r>
        <w:rPr>
          <w:spacing w:val="-4"/>
          <w:sz w:val="18"/>
          <w:u w:val="none"/>
        </w:rPr>
        <w:t> </w:t>
      </w:r>
      <w:r>
        <w:rPr>
          <w:sz w:val="18"/>
          <w:u w:val="none"/>
        </w:rPr>
        <w:t>down</w:t>
      </w:r>
      <w:r>
        <w:rPr>
          <w:spacing w:val="-6"/>
          <w:sz w:val="18"/>
          <w:u w:val="none"/>
        </w:rPr>
        <w:t> </w:t>
      </w:r>
      <w:r>
        <w:rPr>
          <w:sz w:val="18"/>
          <w:u w:val="none"/>
        </w:rPr>
        <w:t>minimum</w:t>
      </w:r>
      <w:r>
        <w:rPr>
          <w:spacing w:val="-5"/>
          <w:sz w:val="18"/>
          <w:u w:val="none"/>
        </w:rPr>
        <w:t> </w:t>
      </w:r>
      <w:r>
        <w:rPr>
          <w:sz w:val="18"/>
          <w:u w:val="none"/>
        </w:rPr>
        <w:t>standards</w:t>
      </w:r>
      <w:r>
        <w:rPr>
          <w:spacing w:val="-5"/>
          <w:sz w:val="18"/>
          <w:u w:val="none"/>
        </w:rPr>
        <w:t> </w:t>
      </w:r>
      <w:r>
        <w:rPr>
          <w:sz w:val="18"/>
          <w:u w:val="none"/>
        </w:rPr>
        <w:t>for</w:t>
      </w:r>
      <w:r>
        <w:rPr>
          <w:spacing w:val="-5"/>
          <w:sz w:val="18"/>
          <w:u w:val="none"/>
        </w:rPr>
        <w:t> </w:t>
      </w:r>
      <w:r>
        <w:rPr>
          <w:sz w:val="18"/>
          <w:u w:val="none"/>
        </w:rPr>
        <w:t>the</w:t>
      </w:r>
      <w:r>
        <w:rPr>
          <w:spacing w:val="-5"/>
          <w:sz w:val="18"/>
          <w:u w:val="none"/>
        </w:rPr>
        <w:t> </w:t>
      </w:r>
      <w:r>
        <w:rPr>
          <w:sz w:val="18"/>
          <w:u w:val="none"/>
        </w:rPr>
        <w:t>reception</w:t>
      </w:r>
      <w:r>
        <w:rPr>
          <w:spacing w:val="-6"/>
          <w:sz w:val="18"/>
          <w:u w:val="none"/>
        </w:rPr>
        <w:t> </w:t>
      </w:r>
      <w:r>
        <w:rPr>
          <w:sz w:val="18"/>
          <w:u w:val="none"/>
        </w:rPr>
        <w:t>of</w:t>
      </w:r>
      <w:r>
        <w:rPr>
          <w:spacing w:val="-5"/>
          <w:sz w:val="18"/>
          <w:u w:val="none"/>
        </w:rPr>
        <w:t> </w:t>
      </w:r>
      <w:r>
        <w:rPr>
          <w:sz w:val="18"/>
          <w:u w:val="none"/>
        </w:rPr>
        <w:t>asylum</w:t>
      </w:r>
      <w:r>
        <w:rPr>
          <w:spacing w:val="-5"/>
          <w:sz w:val="18"/>
          <w:u w:val="none"/>
        </w:rPr>
        <w:t> </w:t>
      </w:r>
      <w:r>
        <w:rPr>
          <w:spacing w:val="-2"/>
          <w:sz w:val="18"/>
          <w:u w:val="none"/>
        </w:rPr>
        <w:t>seekers.</w:t>
      </w:r>
    </w:p>
    <w:p>
      <w:pPr>
        <w:pStyle w:val="ListParagraph"/>
        <w:numPr>
          <w:ilvl w:val="0"/>
          <w:numId w:val="17"/>
        </w:numPr>
        <w:tabs>
          <w:tab w:pos="1287" w:val="left" w:leader="none"/>
        </w:tabs>
        <w:spacing w:line="240" w:lineRule="auto" w:before="1" w:after="0"/>
        <w:ind w:left="1287" w:right="1320" w:hanging="567"/>
        <w:jc w:val="left"/>
        <w:rPr>
          <w:sz w:val="18"/>
        </w:rPr>
      </w:pPr>
      <w:r>
        <w:rPr>
          <w:color w:val="1D71B8"/>
          <w:sz w:val="18"/>
          <w:u w:val="single" w:color="1D71B8"/>
        </w:rPr>
        <w:t>Council</w:t>
      </w:r>
      <w:r>
        <w:rPr>
          <w:color w:val="1D71B8"/>
          <w:spacing w:val="-5"/>
          <w:sz w:val="18"/>
          <w:u w:val="single" w:color="1D71B8"/>
        </w:rPr>
        <w:t> </w:t>
      </w:r>
      <w:r>
        <w:rPr>
          <w:color w:val="1D71B8"/>
          <w:sz w:val="18"/>
          <w:u w:val="single" w:color="1D71B8"/>
        </w:rPr>
        <w:t>Directive</w:t>
      </w:r>
      <w:r>
        <w:rPr>
          <w:color w:val="1D71B8"/>
          <w:spacing w:val="-4"/>
          <w:sz w:val="18"/>
          <w:u w:val="single" w:color="1D71B8"/>
        </w:rPr>
        <w:t> </w:t>
      </w:r>
      <w:r>
        <w:rPr>
          <w:color w:val="1D71B8"/>
          <w:sz w:val="18"/>
          <w:u w:val="single" w:color="1D71B8"/>
        </w:rPr>
        <w:t>2005/85/EC</w:t>
      </w:r>
      <w:r>
        <w:rPr>
          <w:color w:val="1D71B8"/>
          <w:spacing w:val="-4"/>
          <w:sz w:val="18"/>
          <w:u w:val="none"/>
        </w:rPr>
        <w:t> </w:t>
      </w:r>
      <w:r>
        <w:rPr>
          <w:sz w:val="18"/>
          <w:u w:val="none"/>
        </w:rPr>
        <w:t>of</w:t>
      </w:r>
      <w:r>
        <w:rPr>
          <w:spacing w:val="-5"/>
          <w:sz w:val="18"/>
          <w:u w:val="none"/>
        </w:rPr>
        <w:t> </w:t>
      </w:r>
      <w:r>
        <w:rPr>
          <w:sz w:val="18"/>
          <w:u w:val="none"/>
        </w:rPr>
        <w:t>1</w:t>
      </w:r>
      <w:r>
        <w:rPr>
          <w:spacing w:val="-4"/>
          <w:sz w:val="18"/>
          <w:u w:val="none"/>
        </w:rPr>
        <w:t> </w:t>
      </w:r>
      <w:r>
        <w:rPr>
          <w:sz w:val="18"/>
          <w:u w:val="none"/>
        </w:rPr>
        <w:t>December</w:t>
      </w:r>
      <w:r>
        <w:rPr>
          <w:spacing w:val="-4"/>
          <w:sz w:val="18"/>
          <w:u w:val="none"/>
        </w:rPr>
        <w:t> </w:t>
      </w:r>
      <w:r>
        <w:rPr>
          <w:sz w:val="18"/>
          <w:u w:val="none"/>
        </w:rPr>
        <w:t>2005</w:t>
      </w:r>
      <w:r>
        <w:rPr>
          <w:spacing w:val="-4"/>
          <w:sz w:val="18"/>
          <w:u w:val="none"/>
        </w:rPr>
        <w:t> </w:t>
      </w:r>
      <w:r>
        <w:rPr>
          <w:sz w:val="18"/>
          <w:u w:val="none"/>
        </w:rPr>
        <w:t>on</w:t>
      </w:r>
      <w:r>
        <w:rPr>
          <w:spacing w:val="-5"/>
          <w:sz w:val="18"/>
          <w:u w:val="none"/>
        </w:rPr>
        <w:t> </w:t>
      </w:r>
      <w:r>
        <w:rPr>
          <w:sz w:val="18"/>
          <w:u w:val="none"/>
        </w:rPr>
        <w:t>minimum</w:t>
      </w:r>
      <w:r>
        <w:rPr>
          <w:spacing w:val="-4"/>
          <w:sz w:val="18"/>
          <w:u w:val="none"/>
        </w:rPr>
        <w:t> </w:t>
      </w:r>
      <w:r>
        <w:rPr>
          <w:sz w:val="18"/>
          <w:u w:val="none"/>
        </w:rPr>
        <w:t>standards</w:t>
      </w:r>
      <w:r>
        <w:rPr>
          <w:spacing w:val="-5"/>
          <w:sz w:val="18"/>
          <w:u w:val="none"/>
        </w:rPr>
        <w:t> </w:t>
      </w:r>
      <w:r>
        <w:rPr>
          <w:sz w:val="18"/>
          <w:u w:val="none"/>
        </w:rPr>
        <w:t>on</w:t>
      </w:r>
      <w:r>
        <w:rPr>
          <w:spacing w:val="-5"/>
          <w:sz w:val="18"/>
          <w:u w:val="none"/>
        </w:rPr>
        <w:t> </w:t>
      </w:r>
      <w:r>
        <w:rPr>
          <w:sz w:val="18"/>
          <w:u w:val="none"/>
        </w:rPr>
        <w:t>procedures</w:t>
      </w:r>
      <w:r>
        <w:rPr>
          <w:spacing w:val="-5"/>
          <w:sz w:val="18"/>
          <w:u w:val="none"/>
        </w:rPr>
        <w:t> </w:t>
      </w:r>
      <w:r>
        <w:rPr>
          <w:sz w:val="18"/>
          <w:u w:val="none"/>
        </w:rPr>
        <w:t>in</w:t>
      </w:r>
      <w:r>
        <w:rPr>
          <w:spacing w:val="-5"/>
          <w:sz w:val="18"/>
          <w:u w:val="none"/>
        </w:rPr>
        <w:t> </w:t>
      </w:r>
      <w:r>
        <w:rPr>
          <w:sz w:val="18"/>
          <w:u w:val="none"/>
        </w:rPr>
        <w:t>Member</w:t>
      </w:r>
      <w:r>
        <w:rPr>
          <w:spacing w:val="-4"/>
          <w:sz w:val="18"/>
          <w:u w:val="none"/>
        </w:rPr>
        <w:t> </w:t>
      </w:r>
      <w:r>
        <w:rPr>
          <w:sz w:val="18"/>
          <w:u w:val="none"/>
        </w:rPr>
        <w:t>States</w:t>
      </w:r>
      <w:r>
        <w:rPr>
          <w:spacing w:val="-5"/>
          <w:sz w:val="18"/>
          <w:u w:val="none"/>
        </w:rPr>
        <w:t> </w:t>
      </w:r>
      <w:r>
        <w:rPr>
          <w:sz w:val="18"/>
          <w:u w:val="none"/>
        </w:rPr>
        <w:t>for</w:t>
      </w:r>
      <w:r>
        <w:rPr>
          <w:spacing w:val="-4"/>
          <w:sz w:val="18"/>
          <w:u w:val="none"/>
        </w:rPr>
        <w:t> </w:t>
      </w:r>
      <w:r>
        <w:rPr>
          <w:sz w:val="18"/>
          <w:u w:val="none"/>
        </w:rPr>
        <w:t>granting and withdrawing refugee status 2005.</w:t>
      </w:r>
    </w:p>
    <w:p>
      <w:pPr>
        <w:pStyle w:val="ListParagraph"/>
        <w:numPr>
          <w:ilvl w:val="0"/>
          <w:numId w:val="17"/>
        </w:numPr>
        <w:tabs>
          <w:tab w:pos="1287" w:val="left" w:leader="none"/>
        </w:tabs>
        <w:spacing w:line="240" w:lineRule="auto" w:before="0" w:after="0"/>
        <w:ind w:left="1287" w:right="1281" w:hanging="567"/>
        <w:jc w:val="left"/>
        <w:rPr>
          <w:sz w:val="18"/>
        </w:rPr>
      </w:pPr>
      <w:r>
        <w:rPr>
          <w:color w:val="1D71B8"/>
          <w:sz w:val="18"/>
          <w:u w:val="single" w:color="1D71B8"/>
        </w:rPr>
        <w:t>Council Directive 2004/83/EC</w:t>
      </w:r>
      <w:r>
        <w:rPr>
          <w:color w:val="1D71B8"/>
          <w:sz w:val="18"/>
          <w:u w:val="none"/>
        </w:rPr>
        <w:t> </w:t>
      </w:r>
      <w:r>
        <w:rPr>
          <w:sz w:val="18"/>
          <w:u w:val="none"/>
        </w:rPr>
        <w:t>of 29 April 2004 on minimum standards for the qualification and status of third country nationals</w:t>
      </w:r>
      <w:r>
        <w:rPr>
          <w:spacing w:val="-5"/>
          <w:sz w:val="18"/>
          <w:u w:val="none"/>
        </w:rPr>
        <w:t> </w:t>
      </w:r>
      <w:r>
        <w:rPr>
          <w:sz w:val="18"/>
          <w:u w:val="none"/>
        </w:rPr>
        <w:t>or</w:t>
      </w:r>
      <w:r>
        <w:rPr>
          <w:spacing w:val="-4"/>
          <w:sz w:val="18"/>
          <w:u w:val="none"/>
        </w:rPr>
        <w:t> </w:t>
      </w:r>
      <w:r>
        <w:rPr>
          <w:sz w:val="18"/>
          <w:u w:val="none"/>
        </w:rPr>
        <w:t>stateless</w:t>
      </w:r>
      <w:r>
        <w:rPr>
          <w:spacing w:val="-5"/>
          <w:sz w:val="18"/>
          <w:u w:val="none"/>
        </w:rPr>
        <w:t> </w:t>
      </w:r>
      <w:r>
        <w:rPr>
          <w:sz w:val="18"/>
          <w:u w:val="none"/>
        </w:rPr>
        <w:t>persons</w:t>
      </w:r>
      <w:r>
        <w:rPr>
          <w:spacing w:val="-5"/>
          <w:sz w:val="18"/>
          <w:u w:val="none"/>
        </w:rPr>
        <w:t> </w:t>
      </w:r>
      <w:r>
        <w:rPr>
          <w:sz w:val="18"/>
          <w:u w:val="none"/>
        </w:rPr>
        <w:t>as</w:t>
      </w:r>
      <w:r>
        <w:rPr>
          <w:spacing w:val="-5"/>
          <w:sz w:val="18"/>
          <w:u w:val="none"/>
        </w:rPr>
        <w:t> </w:t>
      </w:r>
      <w:r>
        <w:rPr>
          <w:sz w:val="18"/>
          <w:u w:val="none"/>
        </w:rPr>
        <w:t>refugees</w:t>
      </w:r>
      <w:r>
        <w:rPr>
          <w:spacing w:val="-5"/>
          <w:sz w:val="18"/>
          <w:u w:val="none"/>
        </w:rPr>
        <w:t> </w:t>
      </w:r>
      <w:r>
        <w:rPr>
          <w:sz w:val="18"/>
          <w:u w:val="none"/>
        </w:rPr>
        <w:t>or</w:t>
      </w:r>
      <w:r>
        <w:rPr>
          <w:spacing w:val="-4"/>
          <w:sz w:val="18"/>
          <w:u w:val="none"/>
        </w:rPr>
        <w:t> </w:t>
      </w:r>
      <w:r>
        <w:rPr>
          <w:sz w:val="18"/>
          <w:u w:val="none"/>
        </w:rPr>
        <w:t>as</w:t>
      </w:r>
      <w:r>
        <w:rPr>
          <w:spacing w:val="-5"/>
          <w:sz w:val="18"/>
          <w:u w:val="none"/>
        </w:rPr>
        <w:t> </w:t>
      </w:r>
      <w:r>
        <w:rPr>
          <w:sz w:val="18"/>
          <w:u w:val="none"/>
        </w:rPr>
        <w:t>persons</w:t>
      </w:r>
      <w:r>
        <w:rPr>
          <w:spacing w:val="-5"/>
          <w:sz w:val="18"/>
          <w:u w:val="none"/>
        </w:rPr>
        <w:t> </w:t>
      </w:r>
      <w:r>
        <w:rPr>
          <w:sz w:val="18"/>
          <w:u w:val="none"/>
        </w:rPr>
        <w:t>who</w:t>
      </w:r>
      <w:r>
        <w:rPr>
          <w:spacing w:val="-5"/>
          <w:sz w:val="18"/>
          <w:u w:val="none"/>
        </w:rPr>
        <w:t> </w:t>
      </w:r>
      <w:r>
        <w:rPr>
          <w:sz w:val="18"/>
          <w:u w:val="none"/>
        </w:rPr>
        <w:t>otherwise</w:t>
      </w:r>
      <w:r>
        <w:rPr>
          <w:spacing w:val="-4"/>
          <w:sz w:val="18"/>
          <w:u w:val="none"/>
        </w:rPr>
        <w:t> </w:t>
      </w:r>
      <w:r>
        <w:rPr>
          <w:sz w:val="18"/>
          <w:u w:val="none"/>
        </w:rPr>
        <w:t>need</w:t>
      </w:r>
      <w:r>
        <w:rPr>
          <w:spacing w:val="-5"/>
          <w:sz w:val="18"/>
          <w:u w:val="none"/>
        </w:rPr>
        <w:t> </w:t>
      </w:r>
      <w:r>
        <w:rPr>
          <w:sz w:val="18"/>
          <w:u w:val="none"/>
        </w:rPr>
        <w:t>international</w:t>
      </w:r>
      <w:r>
        <w:rPr>
          <w:spacing w:val="-5"/>
          <w:sz w:val="18"/>
          <w:u w:val="none"/>
        </w:rPr>
        <w:t> </w:t>
      </w:r>
      <w:r>
        <w:rPr>
          <w:sz w:val="18"/>
          <w:u w:val="none"/>
        </w:rPr>
        <w:t>protection</w:t>
      </w:r>
      <w:r>
        <w:rPr>
          <w:spacing w:val="-5"/>
          <w:sz w:val="18"/>
          <w:u w:val="none"/>
        </w:rPr>
        <w:t> </w:t>
      </w:r>
      <w:r>
        <w:rPr>
          <w:sz w:val="18"/>
          <w:u w:val="none"/>
        </w:rPr>
        <w:t>and</w:t>
      </w:r>
      <w:r>
        <w:rPr>
          <w:spacing w:val="-5"/>
          <w:sz w:val="18"/>
          <w:u w:val="none"/>
        </w:rPr>
        <w:t> </w:t>
      </w:r>
      <w:r>
        <w:rPr>
          <w:sz w:val="18"/>
          <w:u w:val="none"/>
        </w:rPr>
        <w:t>the</w:t>
      </w:r>
      <w:r>
        <w:rPr>
          <w:spacing w:val="-4"/>
          <w:sz w:val="18"/>
          <w:u w:val="none"/>
        </w:rPr>
        <w:t> </w:t>
      </w:r>
      <w:r>
        <w:rPr>
          <w:sz w:val="18"/>
          <w:u w:val="none"/>
        </w:rPr>
        <w:t>content</w:t>
      </w:r>
      <w:r>
        <w:rPr>
          <w:spacing w:val="-4"/>
          <w:sz w:val="18"/>
          <w:u w:val="none"/>
        </w:rPr>
        <w:t> </w:t>
      </w:r>
      <w:r>
        <w:rPr>
          <w:sz w:val="18"/>
          <w:u w:val="none"/>
        </w:rPr>
        <w:t>of the protection granted (Qualification Directive).</w:t>
      </w:r>
    </w:p>
    <w:p>
      <w:pPr>
        <w:pStyle w:val="ListParagraph"/>
        <w:numPr>
          <w:ilvl w:val="0"/>
          <w:numId w:val="17"/>
        </w:numPr>
        <w:tabs>
          <w:tab w:pos="1287" w:val="left" w:leader="none"/>
        </w:tabs>
        <w:spacing w:line="240" w:lineRule="auto" w:before="1" w:after="0"/>
        <w:ind w:left="1287" w:right="1539" w:hanging="567"/>
        <w:jc w:val="left"/>
        <w:rPr>
          <w:sz w:val="18"/>
        </w:rPr>
      </w:pPr>
      <w:r>
        <w:rPr>
          <w:color w:val="1D71B8"/>
          <w:sz w:val="18"/>
          <w:u w:val="single" w:color="1D71B8"/>
        </w:rPr>
        <w:t>Regulation 604/2013/EU</w:t>
      </w:r>
      <w:r>
        <w:rPr>
          <w:sz w:val="18"/>
          <w:u w:val="none"/>
        </w:rPr>
        <w:t>, Regulation of the European Parliament and of the Council establishing the criteria and mechanisms</w:t>
      </w:r>
      <w:r>
        <w:rPr>
          <w:spacing w:val="-7"/>
          <w:sz w:val="18"/>
          <w:u w:val="none"/>
        </w:rPr>
        <w:t> </w:t>
      </w:r>
      <w:r>
        <w:rPr>
          <w:sz w:val="18"/>
          <w:u w:val="none"/>
        </w:rPr>
        <w:t>for</w:t>
      </w:r>
      <w:r>
        <w:rPr>
          <w:spacing w:val="-6"/>
          <w:sz w:val="18"/>
          <w:u w:val="none"/>
        </w:rPr>
        <w:t> </w:t>
      </w:r>
      <w:r>
        <w:rPr>
          <w:sz w:val="18"/>
          <w:u w:val="none"/>
        </w:rPr>
        <w:t>determining</w:t>
      </w:r>
      <w:r>
        <w:rPr>
          <w:spacing w:val="-6"/>
          <w:sz w:val="18"/>
          <w:u w:val="none"/>
        </w:rPr>
        <w:t> </w:t>
      </w:r>
      <w:r>
        <w:rPr>
          <w:sz w:val="18"/>
          <w:u w:val="none"/>
        </w:rPr>
        <w:t>the</w:t>
      </w:r>
      <w:r>
        <w:rPr>
          <w:spacing w:val="-6"/>
          <w:sz w:val="18"/>
          <w:u w:val="none"/>
        </w:rPr>
        <w:t> </w:t>
      </w:r>
      <w:r>
        <w:rPr>
          <w:sz w:val="18"/>
          <w:u w:val="none"/>
        </w:rPr>
        <w:t>Member</w:t>
      </w:r>
      <w:r>
        <w:rPr>
          <w:spacing w:val="-6"/>
          <w:sz w:val="18"/>
          <w:u w:val="none"/>
        </w:rPr>
        <w:t> </w:t>
      </w:r>
      <w:r>
        <w:rPr>
          <w:sz w:val="18"/>
          <w:u w:val="none"/>
        </w:rPr>
        <w:t>State</w:t>
      </w:r>
      <w:r>
        <w:rPr>
          <w:spacing w:val="-6"/>
          <w:sz w:val="18"/>
          <w:u w:val="none"/>
        </w:rPr>
        <w:t> </w:t>
      </w:r>
      <w:r>
        <w:rPr>
          <w:sz w:val="18"/>
          <w:u w:val="none"/>
        </w:rPr>
        <w:t>responsible</w:t>
      </w:r>
      <w:r>
        <w:rPr>
          <w:spacing w:val="-6"/>
          <w:sz w:val="18"/>
          <w:u w:val="none"/>
        </w:rPr>
        <w:t> </w:t>
      </w:r>
      <w:r>
        <w:rPr>
          <w:sz w:val="18"/>
          <w:u w:val="none"/>
        </w:rPr>
        <w:t>for</w:t>
      </w:r>
      <w:r>
        <w:rPr>
          <w:spacing w:val="-6"/>
          <w:sz w:val="18"/>
          <w:u w:val="none"/>
        </w:rPr>
        <w:t> </w:t>
      </w:r>
      <w:r>
        <w:rPr>
          <w:sz w:val="18"/>
          <w:u w:val="none"/>
        </w:rPr>
        <w:t>examining</w:t>
      </w:r>
      <w:r>
        <w:rPr>
          <w:spacing w:val="-6"/>
          <w:sz w:val="18"/>
          <w:u w:val="none"/>
        </w:rPr>
        <w:t> </w:t>
      </w:r>
      <w:r>
        <w:rPr>
          <w:sz w:val="18"/>
          <w:u w:val="none"/>
        </w:rPr>
        <w:t>an</w:t>
      </w:r>
      <w:r>
        <w:rPr>
          <w:spacing w:val="-7"/>
          <w:sz w:val="18"/>
          <w:u w:val="none"/>
        </w:rPr>
        <w:t> </w:t>
      </w:r>
      <w:r>
        <w:rPr>
          <w:sz w:val="18"/>
          <w:u w:val="none"/>
        </w:rPr>
        <w:t>application</w:t>
      </w:r>
      <w:r>
        <w:rPr>
          <w:spacing w:val="-7"/>
          <w:sz w:val="18"/>
          <w:u w:val="none"/>
        </w:rPr>
        <w:t> </w:t>
      </w:r>
      <w:r>
        <w:rPr>
          <w:sz w:val="18"/>
          <w:u w:val="none"/>
        </w:rPr>
        <w:t>for</w:t>
      </w:r>
      <w:r>
        <w:rPr>
          <w:spacing w:val="-6"/>
          <w:sz w:val="18"/>
          <w:u w:val="none"/>
        </w:rPr>
        <w:t> </w:t>
      </w:r>
      <w:r>
        <w:rPr>
          <w:sz w:val="18"/>
          <w:u w:val="none"/>
        </w:rPr>
        <w:t>international</w:t>
      </w:r>
      <w:r>
        <w:rPr>
          <w:spacing w:val="-7"/>
          <w:sz w:val="18"/>
          <w:u w:val="none"/>
        </w:rPr>
        <w:t> </w:t>
      </w:r>
      <w:r>
        <w:rPr>
          <w:sz w:val="18"/>
          <w:u w:val="none"/>
        </w:rPr>
        <w:t>protection lodged in one of the Member States by a third-country national or a stateless person, 26 June 2013.</w:t>
      </w:r>
    </w:p>
    <w:p>
      <w:pPr>
        <w:pStyle w:val="ListParagraph"/>
        <w:numPr>
          <w:ilvl w:val="0"/>
          <w:numId w:val="17"/>
        </w:numPr>
        <w:tabs>
          <w:tab w:pos="1287" w:val="left" w:leader="none"/>
        </w:tabs>
        <w:spacing w:line="240" w:lineRule="auto" w:before="1" w:after="0"/>
        <w:ind w:left="1287" w:right="1173" w:hanging="567"/>
        <w:jc w:val="left"/>
        <w:rPr>
          <w:sz w:val="18"/>
        </w:rPr>
      </w:pPr>
      <w:r>
        <w:rPr>
          <w:color w:val="1D71B8"/>
          <w:sz w:val="18"/>
          <w:u w:val="single" w:color="1D71B8"/>
        </w:rPr>
        <w:t>Directive</w:t>
      </w:r>
      <w:r>
        <w:rPr>
          <w:color w:val="1D71B8"/>
          <w:spacing w:val="-4"/>
          <w:sz w:val="18"/>
          <w:u w:val="single" w:color="1D71B8"/>
        </w:rPr>
        <w:t> </w:t>
      </w:r>
      <w:r>
        <w:rPr>
          <w:color w:val="1D71B8"/>
          <w:sz w:val="18"/>
          <w:u w:val="single" w:color="1D71B8"/>
        </w:rPr>
        <w:t>2012/29/EU</w:t>
      </w:r>
      <w:r>
        <w:rPr>
          <w:color w:val="1D71B8"/>
          <w:spacing w:val="-6"/>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w:t>
      </w:r>
      <w:r>
        <w:rPr>
          <w:spacing w:val="-4"/>
          <w:sz w:val="18"/>
          <w:u w:val="none"/>
        </w:rPr>
        <w:t> </w:t>
      </w:r>
      <w:r>
        <w:rPr>
          <w:sz w:val="18"/>
          <w:u w:val="none"/>
        </w:rPr>
        <w:t>and</w:t>
      </w:r>
      <w:r>
        <w:rPr>
          <w:spacing w:val="-5"/>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Council</w:t>
      </w:r>
      <w:r>
        <w:rPr>
          <w:spacing w:val="-5"/>
          <w:sz w:val="18"/>
          <w:u w:val="none"/>
        </w:rPr>
        <w:t> </w:t>
      </w:r>
      <w:r>
        <w:rPr>
          <w:sz w:val="18"/>
          <w:u w:val="none"/>
        </w:rPr>
        <w:t>of</w:t>
      </w:r>
      <w:r>
        <w:rPr>
          <w:spacing w:val="-5"/>
          <w:sz w:val="18"/>
          <w:u w:val="none"/>
        </w:rPr>
        <w:t> </w:t>
      </w:r>
      <w:r>
        <w:rPr>
          <w:sz w:val="18"/>
          <w:u w:val="none"/>
        </w:rPr>
        <w:t>25</w:t>
      </w:r>
      <w:r>
        <w:rPr>
          <w:spacing w:val="-4"/>
          <w:sz w:val="18"/>
          <w:u w:val="none"/>
        </w:rPr>
        <w:t> </w:t>
      </w:r>
      <w:r>
        <w:rPr>
          <w:sz w:val="18"/>
          <w:u w:val="none"/>
        </w:rPr>
        <w:t>October</w:t>
      </w:r>
      <w:r>
        <w:rPr>
          <w:spacing w:val="-4"/>
          <w:sz w:val="18"/>
          <w:u w:val="none"/>
        </w:rPr>
        <w:t> </w:t>
      </w:r>
      <w:r>
        <w:rPr>
          <w:sz w:val="18"/>
          <w:u w:val="none"/>
        </w:rPr>
        <w:t>2012</w:t>
      </w:r>
      <w:r>
        <w:rPr>
          <w:spacing w:val="-4"/>
          <w:sz w:val="18"/>
          <w:u w:val="none"/>
        </w:rPr>
        <w:t> </w:t>
      </w:r>
      <w:r>
        <w:rPr>
          <w:sz w:val="18"/>
          <w:u w:val="none"/>
        </w:rPr>
        <w:t>establishing</w:t>
      </w:r>
      <w:r>
        <w:rPr>
          <w:spacing w:val="-4"/>
          <w:sz w:val="18"/>
          <w:u w:val="none"/>
        </w:rPr>
        <w:t> </w:t>
      </w:r>
      <w:r>
        <w:rPr>
          <w:sz w:val="18"/>
          <w:u w:val="none"/>
        </w:rPr>
        <w:t>minimum</w:t>
      </w:r>
      <w:r>
        <w:rPr>
          <w:spacing w:val="-4"/>
          <w:sz w:val="18"/>
          <w:u w:val="none"/>
        </w:rPr>
        <w:t> </w:t>
      </w:r>
      <w:r>
        <w:rPr>
          <w:sz w:val="18"/>
          <w:u w:val="none"/>
        </w:rPr>
        <w:t>standards on</w:t>
      </w:r>
      <w:r>
        <w:rPr>
          <w:spacing w:val="-1"/>
          <w:sz w:val="18"/>
          <w:u w:val="none"/>
        </w:rPr>
        <w:t> </w:t>
      </w:r>
      <w:r>
        <w:rPr>
          <w:sz w:val="18"/>
          <w:u w:val="none"/>
        </w:rPr>
        <w:t>the rights, support and</w:t>
      </w:r>
      <w:r>
        <w:rPr>
          <w:spacing w:val="-1"/>
          <w:sz w:val="18"/>
          <w:u w:val="none"/>
        </w:rPr>
        <w:t> </w:t>
      </w:r>
      <w:r>
        <w:rPr>
          <w:sz w:val="18"/>
          <w:u w:val="none"/>
        </w:rPr>
        <w:t>protection</w:t>
      </w:r>
      <w:r>
        <w:rPr>
          <w:spacing w:val="-1"/>
          <w:sz w:val="18"/>
          <w:u w:val="none"/>
        </w:rPr>
        <w:t> </w:t>
      </w:r>
      <w:r>
        <w:rPr>
          <w:sz w:val="18"/>
          <w:u w:val="none"/>
        </w:rPr>
        <w:t>of</w:t>
      </w:r>
      <w:r>
        <w:rPr>
          <w:spacing w:val="-1"/>
          <w:sz w:val="18"/>
          <w:u w:val="none"/>
        </w:rPr>
        <w:t> </w:t>
      </w:r>
      <w:r>
        <w:rPr>
          <w:sz w:val="18"/>
          <w:u w:val="none"/>
        </w:rPr>
        <w:t>victims</w:t>
      </w:r>
      <w:r>
        <w:rPr>
          <w:spacing w:val="-1"/>
          <w:sz w:val="18"/>
          <w:u w:val="none"/>
        </w:rPr>
        <w:t> </w:t>
      </w:r>
      <w:r>
        <w:rPr>
          <w:sz w:val="18"/>
          <w:u w:val="none"/>
        </w:rPr>
        <w:t>of</w:t>
      </w:r>
      <w:r>
        <w:rPr>
          <w:spacing w:val="-1"/>
          <w:sz w:val="18"/>
          <w:u w:val="none"/>
        </w:rPr>
        <w:t> </w:t>
      </w:r>
      <w:r>
        <w:rPr>
          <w:sz w:val="18"/>
          <w:u w:val="none"/>
        </w:rPr>
        <w:t>crime, and</w:t>
      </w:r>
      <w:r>
        <w:rPr>
          <w:spacing w:val="-1"/>
          <w:sz w:val="18"/>
          <w:u w:val="none"/>
        </w:rPr>
        <w:t> </w:t>
      </w:r>
      <w:r>
        <w:rPr>
          <w:sz w:val="18"/>
          <w:u w:val="none"/>
        </w:rPr>
        <w:t>replacing Council</w:t>
      </w:r>
      <w:r>
        <w:rPr>
          <w:spacing w:val="-1"/>
          <w:sz w:val="18"/>
          <w:u w:val="none"/>
        </w:rPr>
        <w:t> </w:t>
      </w:r>
      <w:r>
        <w:rPr>
          <w:sz w:val="18"/>
          <w:u w:val="none"/>
        </w:rPr>
        <w:t>Framework Decision</w:t>
      </w:r>
      <w:r>
        <w:rPr>
          <w:spacing w:val="-1"/>
          <w:sz w:val="18"/>
          <w:u w:val="none"/>
        </w:rPr>
        <w:t> </w:t>
      </w:r>
      <w:r>
        <w:rPr>
          <w:sz w:val="18"/>
          <w:u w:val="none"/>
        </w:rPr>
        <w:t>2001/220/JHA 2012.</w:t>
      </w:r>
    </w:p>
    <w:p>
      <w:pPr>
        <w:pStyle w:val="ListParagraph"/>
        <w:numPr>
          <w:ilvl w:val="0"/>
          <w:numId w:val="17"/>
        </w:numPr>
        <w:tabs>
          <w:tab w:pos="1287" w:val="left" w:leader="none"/>
        </w:tabs>
        <w:spacing w:line="240" w:lineRule="auto" w:before="0" w:after="0"/>
        <w:ind w:left="1287" w:right="1266" w:hanging="567"/>
        <w:jc w:val="left"/>
        <w:rPr>
          <w:sz w:val="18"/>
        </w:rPr>
      </w:pPr>
      <w:r>
        <w:rPr>
          <w:color w:val="1D71B8"/>
          <w:sz w:val="18"/>
          <w:u w:val="single" w:color="1D71B8"/>
        </w:rPr>
        <w:t>Directive</w:t>
      </w:r>
      <w:r>
        <w:rPr>
          <w:color w:val="1D71B8"/>
          <w:spacing w:val="-4"/>
          <w:sz w:val="18"/>
          <w:u w:val="single" w:color="1D71B8"/>
        </w:rPr>
        <w:t> </w:t>
      </w:r>
      <w:r>
        <w:rPr>
          <w:color w:val="1D71B8"/>
          <w:sz w:val="18"/>
          <w:u w:val="single" w:color="1D71B8"/>
        </w:rPr>
        <w:t>2011/36/EU</w:t>
      </w:r>
      <w:r>
        <w:rPr>
          <w:color w:val="1D71B8"/>
          <w:spacing w:val="-6"/>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w:t>
      </w:r>
      <w:r>
        <w:rPr>
          <w:spacing w:val="-4"/>
          <w:sz w:val="18"/>
          <w:u w:val="none"/>
        </w:rPr>
        <w:t> </w:t>
      </w:r>
      <w:r>
        <w:rPr>
          <w:sz w:val="18"/>
          <w:u w:val="none"/>
        </w:rPr>
        <w:t>and</w:t>
      </w:r>
      <w:r>
        <w:rPr>
          <w:spacing w:val="-5"/>
          <w:sz w:val="18"/>
          <w:u w:val="none"/>
        </w:rPr>
        <w:t> </w:t>
      </w:r>
      <w:r>
        <w:rPr>
          <w:sz w:val="18"/>
          <w:u w:val="none"/>
        </w:rPr>
        <w:t>Council</w:t>
      </w:r>
      <w:r>
        <w:rPr>
          <w:spacing w:val="-4"/>
          <w:sz w:val="18"/>
          <w:u w:val="none"/>
        </w:rPr>
        <w:t> </w:t>
      </w:r>
      <w:r>
        <w:rPr>
          <w:sz w:val="18"/>
          <w:u w:val="none"/>
        </w:rPr>
        <w:t>of</w:t>
      </w:r>
      <w:r>
        <w:rPr>
          <w:spacing w:val="-5"/>
          <w:sz w:val="18"/>
          <w:u w:val="none"/>
        </w:rPr>
        <w:t> </w:t>
      </w:r>
      <w:r>
        <w:rPr>
          <w:sz w:val="18"/>
          <w:u w:val="none"/>
        </w:rPr>
        <w:t>5</w:t>
      </w:r>
      <w:r>
        <w:rPr>
          <w:spacing w:val="-4"/>
          <w:sz w:val="18"/>
          <w:u w:val="none"/>
        </w:rPr>
        <w:t> </w:t>
      </w:r>
      <w:r>
        <w:rPr>
          <w:sz w:val="18"/>
          <w:u w:val="none"/>
        </w:rPr>
        <w:t>April</w:t>
      </w:r>
      <w:r>
        <w:rPr>
          <w:spacing w:val="-5"/>
          <w:sz w:val="18"/>
          <w:u w:val="none"/>
        </w:rPr>
        <w:t> </w:t>
      </w:r>
      <w:r>
        <w:rPr>
          <w:sz w:val="18"/>
          <w:u w:val="none"/>
        </w:rPr>
        <w:t>2011</w:t>
      </w:r>
      <w:r>
        <w:rPr>
          <w:spacing w:val="-4"/>
          <w:sz w:val="18"/>
          <w:u w:val="none"/>
        </w:rPr>
        <w:t> </w:t>
      </w:r>
      <w:r>
        <w:rPr>
          <w:sz w:val="18"/>
          <w:u w:val="none"/>
        </w:rPr>
        <w:t>on</w:t>
      </w:r>
      <w:r>
        <w:rPr>
          <w:spacing w:val="-5"/>
          <w:sz w:val="18"/>
          <w:u w:val="none"/>
        </w:rPr>
        <w:t> </w:t>
      </w:r>
      <w:r>
        <w:rPr>
          <w:sz w:val="18"/>
          <w:u w:val="none"/>
        </w:rPr>
        <w:t>preventing</w:t>
      </w:r>
      <w:r>
        <w:rPr>
          <w:spacing w:val="-4"/>
          <w:sz w:val="18"/>
          <w:u w:val="none"/>
        </w:rPr>
        <w:t> </w:t>
      </w:r>
      <w:r>
        <w:rPr>
          <w:sz w:val="18"/>
          <w:u w:val="none"/>
        </w:rPr>
        <w:t>and</w:t>
      </w:r>
      <w:r>
        <w:rPr>
          <w:spacing w:val="-5"/>
          <w:sz w:val="18"/>
          <w:u w:val="none"/>
        </w:rPr>
        <w:t> </w:t>
      </w:r>
      <w:r>
        <w:rPr>
          <w:sz w:val="18"/>
          <w:u w:val="none"/>
        </w:rPr>
        <w:t>combating</w:t>
      </w:r>
      <w:r>
        <w:rPr>
          <w:spacing w:val="-4"/>
          <w:sz w:val="18"/>
          <w:u w:val="none"/>
        </w:rPr>
        <w:t> </w:t>
      </w:r>
      <w:r>
        <w:rPr>
          <w:sz w:val="18"/>
          <w:u w:val="none"/>
        </w:rPr>
        <w:t>trafficking</w:t>
      </w:r>
      <w:r>
        <w:rPr>
          <w:spacing w:val="-4"/>
          <w:sz w:val="18"/>
          <w:u w:val="none"/>
        </w:rPr>
        <w:t> </w:t>
      </w:r>
      <w:r>
        <w:rPr>
          <w:sz w:val="18"/>
          <w:u w:val="none"/>
        </w:rPr>
        <w:t>in human beings and protecting its victims, and replacing Council Framework Decision 2002/629/JHA 2011.</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08000">
                <wp:simplePos x="0" y="0"/>
                <wp:positionH relativeFrom="page">
                  <wp:posOffset>-2</wp:posOffset>
                </wp:positionH>
                <wp:positionV relativeFrom="page">
                  <wp:posOffset>0</wp:posOffset>
                </wp:positionV>
                <wp:extent cx="7560309" cy="1257935"/>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7560309" cy="1257935"/>
                          <a:chExt cx="7560309" cy="1257935"/>
                        </a:xfrm>
                      </wpg:grpSpPr>
                      <wps:wsp>
                        <wps:cNvPr id="424" name="Graphic 424"/>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425" name="Graphic 425"/>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426" name="Textbox 426"/>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427" name="Textbox 427"/>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43</w:t>
                              </w:r>
                            </w:p>
                          </w:txbxContent>
                        </wps:txbx>
                        <wps:bodyPr wrap="square" lIns="0" tIns="0" rIns="0" bIns="0" rtlCol="0">
                          <a:noAutofit/>
                        </wps:bodyPr>
                      </wps:wsp>
                      <wps:wsp>
                        <wps:cNvPr id="428" name="Textbox 428"/>
                        <wps:cNvSpPr txBox="1"/>
                        <wps:spPr>
                          <a:xfrm>
                            <a:off x="900001" y="1076402"/>
                            <a:ext cx="3841750" cy="181610"/>
                          </a:xfrm>
                          <a:prstGeom prst="rect">
                            <a:avLst/>
                          </a:prstGeom>
                        </wps:spPr>
                        <wps:txbx>
                          <w:txbxContent>
                            <w:p>
                              <w:pPr>
                                <w:spacing w:line="286" w:lineRule="exact" w:before="0"/>
                                <w:ind w:left="0" w:right="0" w:firstLine="0"/>
                                <w:jc w:val="left"/>
                                <w:rPr>
                                  <w:sz w:val="28"/>
                                </w:rPr>
                              </w:pPr>
                              <w:r>
                                <w:rPr>
                                  <w:sz w:val="28"/>
                                </w:rPr>
                                <w:t>The</w:t>
                              </w:r>
                              <w:r>
                                <w:rPr>
                                  <w:spacing w:val="-7"/>
                                  <w:sz w:val="28"/>
                                </w:rPr>
                                <w:t> </w:t>
                              </w:r>
                              <w:r>
                                <w:rPr>
                                  <w:sz w:val="28"/>
                                </w:rPr>
                                <w:t>Charter</w:t>
                              </w:r>
                              <w:r>
                                <w:rPr>
                                  <w:spacing w:val="-4"/>
                                  <w:sz w:val="28"/>
                                </w:rPr>
                                <w:t> </w:t>
                              </w:r>
                              <w:r>
                                <w:rPr>
                                  <w:sz w:val="28"/>
                                </w:rPr>
                                <w:t>of</w:t>
                              </w:r>
                              <w:r>
                                <w:rPr>
                                  <w:spacing w:val="-5"/>
                                  <w:sz w:val="28"/>
                                </w:rPr>
                                <w:t> </w:t>
                              </w:r>
                              <w:r>
                                <w:rPr>
                                  <w:sz w:val="28"/>
                                </w:rPr>
                                <w:t>Fundamental</w:t>
                              </w:r>
                              <w:r>
                                <w:rPr>
                                  <w:spacing w:val="-6"/>
                                  <w:sz w:val="28"/>
                                </w:rPr>
                                <w:t> </w:t>
                              </w:r>
                              <w:r>
                                <w:rPr>
                                  <w:sz w:val="28"/>
                                </w:rPr>
                                <w:t>Rights</w:t>
                              </w:r>
                              <w:r>
                                <w:rPr>
                                  <w:spacing w:val="-5"/>
                                  <w:sz w:val="28"/>
                                </w:rPr>
                                <w:t> </w:t>
                              </w:r>
                              <w:r>
                                <w:rPr>
                                  <w:sz w:val="28"/>
                                </w:rPr>
                                <w:t>is</w:t>
                              </w:r>
                              <w:r>
                                <w:rPr>
                                  <w:spacing w:val="-5"/>
                                  <w:sz w:val="28"/>
                                </w:rPr>
                                <w:t> </w:t>
                              </w:r>
                              <w:r>
                                <w:rPr>
                                  <w:sz w:val="28"/>
                                </w:rPr>
                                <w:t>also</w:t>
                              </w:r>
                              <w:r>
                                <w:rPr>
                                  <w:spacing w:val="-5"/>
                                  <w:sz w:val="28"/>
                                </w:rPr>
                                <w:t> </w:t>
                              </w:r>
                              <w:r>
                                <w:rPr>
                                  <w:spacing w:val="-2"/>
                                  <w:sz w:val="28"/>
                                </w:rPr>
                                <w:t>relevant.</w:t>
                              </w:r>
                              <w:r>
                                <w:rPr>
                                  <w:spacing w:val="-2"/>
                                  <w:sz w:val="28"/>
                                  <w:vertAlign w:val="superscript"/>
                                </w:rPr>
                                <w:t>211</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808000" id="docshapegroup335" coordorigin="0,0" coordsize="11906,1981">
                <v:shape style="position:absolute;left:0;top:0;width:11906;height:1819" id="docshape336"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337"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338" filled="false" stroked="false">
                  <v:textbox inset="0,0,0,0">
                    <w:txbxContent>
                      <w:p>
                        <w:pPr>
                          <w:spacing w:line="280" w:lineRule="exact" w:before="0"/>
                          <w:ind w:left="0" w:right="0" w:firstLine="0"/>
                          <w:jc w:val="left"/>
                          <w:rPr>
                            <w:b/>
                            <w:sz w:val="28"/>
                          </w:rPr>
                        </w:pPr>
                        <w:r>
                          <w:rPr>
                            <w:b/>
                            <w:color w:val="FFFFFF"/>
                            <w:spacing w:val="-5"/>
                            <w:sz w:val="28"/>
                          </w:rPr>
                          <w:t>43</w:t>
                        </w:r>
                      </w:p>
                    </w:txbxContent>
                  </v:textbox>
                  <w10:wrap type="none"/>
                </v:shape>
                <v:shape style="position:absolute;left:1417;top:1695;width:6050;height:286" type="#_x0000_t202" id="docshape339" filled="false" stroked="false">
                  <v:textbox inset="0,0,0,0">
                    <w:txbxContent>
                      <w:p>
                        <w:pPr>
                          <w:spacing w:line="286" w:lineRule="exact" w:before="0"/>
                          <w:ind w:left="0" w:right="0" w:firstLine="0"/>
                          <w:jc w:val="left"/>
                          <w:rPr>
                            <w:sz w:val="28"/>
                          </w:rPr>
                        </w:pPr>
                        <w:r>
                          <w:rPr>
                            <w:sz w:val="28"/>
                          </w:rPr>
                          <w:t>The</w:t>
                        </w:r>
                        <w:r>
                          <w:rPr>
                            <w:spacing w:val="-7"/>
                            <w:sz w:val="28"/>
                          </w:rPr>
                          <w:t> </w:t>
                        </w:r>
                        <w:r>
                          <w:rPr>
                            <w:sz w:val="28"/>
                          </w:rPr>
                          <w:t>Charter</w:t>
                        </w:r>
                        <w:r>
                          <w:rPr>
                            <w:spacing w:val="-4"/>
                            <w:sz w:val="28"/>
                          </w:rPr>
                          <w:t> </w:t>
                        </w:r>
                        <w:r>
                          <w:rPr>
                            <w:sz w:val="28"/>
                          </w:rPr>
                          <w:t>of</w:t>
                        </w:r>
                        <w:r>
                          <w:rPr>
                            <w:spacing w:val="-5"/>
                            <w:sz w:val="28"/>
                          </w:rPr>
                          <w:t> </w:t>
                        </w:r>
                        <w:r>
                          <w:rPr>
                            <w:sz w:val="28"/>
                          </w:rPr>
                          <w:t>Fundamental</w:t>
                        </w:r>
                        <w:r>
                          <w:rPr>
                            <w:spacing w:val="-6"/>
                            <w:sz w:val="28"/>
                          </w:rPr>
                          <w:t> </w:t>
                        </w:r>
                        <w:r>
                          <w:rPr>
                            <w:sz w:val="28"/>
                          </w:rPr>
                          <w:t>Rights</w:t>
                        </w:r>
                        <w:r>
                          <w:rPr>
                            <w:spacing w:val="-5"/>
                            <w:sz w:val="28"/>
                          </w:rPr>
                          <w:t> </w:t>
                        </w:r>
                        <w:r>
                          <w:rPr>
                            <w:sz w:val="28"/>
                          </w:rPr>
                          <w:t>is</w:t>
                        </w:r>
                        <w:r>
                          <w:rPr>
                            <w:spacing w:val="-5"/>
                            <w:sz w:val="28"/>
                          </w:rPr>
                          <w:t> </w:t>
                        </w:r>
                        <w:r>
                          <w:rPr>
                            <w:sz w:val="28"/>
                          </w:rPr>
                          <w:t>also</w:t>
                        </w:r>
                        <w:r>
                          <w:rPr>
                            <w:spacing w:val="-5"/>
                            <w:sz w:val="28"/>
                          </w:rPr>
                          <w:t> </w:t>
                        </w:r>
                        <w:r>
                          <w:rPr>
                            <w:spacing w:val="-2"/>
                            <w:sz w:val="28"/>
                          </w:rPr>
                          <w:t>relevant.</w:t>
                        </w:r>
                        <w:r>
                          <w:rPr>
                            <w:spacing w:val="-2"/>
                            <w:sz w:val="28"/>
                            <w:vertAlign w:val="superscript"/>
                          </w:rPr>
                          <w:t>211</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spacing w:before="197"/>
      </w:pPr>
    </w:p>
    <w:p>
      <w:pPr>
        <w:pStyle w:val="BodyText"/>
        <w:spacing w:line="232" w:lineRule="auto"/>
        <w:ind w:left="1117" w:right="738"/>
      </w:pPr>
      <w:r>
        <w:rPr/>
        <w:t>The</w:t>
      </w:r>
      <w:r>
        <w:rPr>
          <w:spacing w:val="-5"/>
        </w:rPr>
        <w:t> </w:t>
      </w:r>
      <w:r>
        <w:rPr/>
        <w:t>failure</w:t>
      </w:r>
      <w:r>
        <w:rPr>
          <w:spacing w:val="-5"/>
        </w:rPr>
        <w:t> </w:t>
      </w:r>
      <w:r>
        <w:rPr/>
        <w:t>of</w:t>
      </w:r>
      <w:r>
        <w:rPr>
          <w:spacing w:val="-6"/>
        </w:rPr>
        <w:t> </w:t>
      </w:r>
      <w:r>
        <w:rPr/>
        <w:t>the</w:t>
      </w:r>
      <w:r>
        <w:rPr>
          <w:spacing w:val="-5"/>
        </w:rPr>
        <w:t> </w:t>
      </w:r>
      <w:r>
        <w:rPr/>
        <w:t>Government</w:t>
      </w:r>
      <w:r>
        <w:rPr>
          <w:spacing w:val="-5"/>
        </w:rPr>
        <w:t> </w:t>
      </w:r>
      <w:r>
        <w:rPr/>
        <w:t>to</w:t>
      </w:r>
      <w:r>
        <w:rPr>
          <w:spacing w:val="-6"/>
        </w:rPr>
        <w:t> </w:t>
      </w:r>
      <w:r>
        <w:rPr/>
        <w:t>address</w:t>
      </w:r>
      <w:r>
        <w:rPr>
          <w:spacing w:val="-6"/>
        </w:rPr>
        <w:t> </w:t>
      </w:r>
      <w:r>
        <w:rPr/>
        <w:t>this</w:t>
      </w:r>
      <w:r>
        <w:rPr>
          <w:spacing w:val="-6"/>
        </w:rPr>
        <w:t> </w:t>
      </w:r>
      <w:r>
        <w:rPr/>
        <w:t>EU</w:t>
      </w:r>
      <w:r>
        <w:rPr>
          <w:spacing w:val="-5"/>
        </w:rPr>
        <w:t> </w:t>
      </w:r>
      <w:r>
        <w:rPr/>
        <w:t>law/WF</w:t>
      </w:r>
      <w:r>
        <w:rPr>
          <w:spacing w:val="-6"/>
        </w:rPr>
        <w:t> </w:t>
      </w:r>
      <w:r>
        <w:rPr/>
        <w:t>dimension</w:t>
      </w:r>
      <w:r>
        <w:rPr>
          <w:spacing w:val="-6"/>
        </w:rPr>
        <w:t> </w:t>
      </w:r>
      <w:r>
        <w:rPr/>
        <w:t>is</w:t>
      </w:r>
      <w:r>
        <w:rPr>
          <w:spacing w:val="-6"/>
        </w:rPr>
        <w:t> </w:t>
      </w:r>
      <w:r>
        <w:rPr/>
        <w:t>concerning. As noted in correspondence from the Lords Subcommittee, the Government believes that the Trafficking Directive does not fall within the scope of Article</w:t>
      </w:r>
    </w:p>
    <w:p>
      <w:pPr>
        <w:pStyle w:val="BodyText"/>
        <w:spacing w:line="232" w:lineRule="auto"/>
        <w:ind w:left="1117" w:right="738"/>
      </w:pPr>
      <w:r>
        <w:rPr/>
        <w:t>2 WF,</w:t>
      </w:r>
      <w:r>
        <w:rPr>
          <w:vertAlign w:val="superscript"/>
        </w:rPr>
        <w:t>212</w:t>
      </w:r>
      <w:r>
        <w:rPr>
          <w:vertAlign w:val="baseline"/>
        </w:rPr>
        <w:t> but does not explain its views on the other measures identified by the Commissions, nor do Government publications on the Bill, now Act, explicitly address Article 2 WF.</w:t>
      </w:r>
      <w:r>
        <w:rPr>
          <w:vertAlign w:val="superscript"/>
        </w:rPr>
        <w:t>213</w:t>
      </w:r>
      <w:r>
        <w:rPr>
          <w:vertAlign w:val="baseline"/>
        </w:rPr>
        <w:t> Also concerning is the willingness to exclude section 3 of the</w:t>
      </w:r>
      <w:r>
        <w:rPr>
          <w:spacing w:val="-4"/>
          <w:vertAlign w:val="baseline"/>
        </w:rPr>
        <w:t> </w:t>
      </w:r>
      <w:r>
        <w:rPr>
          <w:vertAlign w:val="baseline"/>
        </w:rPr>
        <w:t>Human</w:t>
      </w:r>
      <w:r>
        <w:rPr>
          <w:spacing w:val="-5"/>
          <w:vertAlign w:val="baseline"/>
        </w:rPr>
        <w:t> </w:t>
      </w:r>
      <w:r>
        <w:rPr>
          <w:vertAlign w:val="baseline"/>
        </w:rPr>
        <w:t>Rights</w:t>
      </w:r>
      <w:r>
        <w:rPr>
          <w:spacing w:val="-5"/>
          <w:vertAlign w:val="baseline"/>
        </w:rPr>
        <w:t> </w:t>
      </w:r>
      <w:r>
        <w:rPr>
          <w:vertAlign w:val="baseline"/>
        </w:rPr>
        <w:t>Act</w:t>
      </w:r>
      <w:r>
        <w:rPr>
          <w:spacing w:val="-4"/>
          <w:vertAlign w:val="baseline"/>
        </w:rPr>
        <w:t> </w:t>
      </w:r>
      <w:r>
        <w:rPr>
          <w:vertAlign w:val="baseline"/>
        </w:rPr>
        <w:t>and</w:t>
      </w:r>
      <w:r>
        <w:rPr>
          <w:spacing w:val="-5"/>
          <w:vertAlign w:val="baseline"/>
        </w:rPr>
        <w:t> </w:t>
      </w:r>
      <w:r>
        <w:rPr>
          <w:vertAlign w:val="baseline"/>
        </w:rPr>
        <w:t>to</w:t>
      </w:r>
      <w:r>
        <w:rPr>
          <w:spacing w:val="-5"/>
          <w:vertAlign w:val="baseline"/>
        </w:rPr>
        <w:t> </w:t>
      </w:r>
      <w:r>
        <w:rPr>
          <w:vertAlign w:val="baseline"/>
        </w:rPr>
        <w:t>limit</w:t>
      </w:r>
      <w:r>
        <w:rPr>
          <w:spacing w:val="-4"/>
          <w:vertAlign w:val="baseline"/>
        </w:rPr>
        <w:t> </w:t>
      </w:r>
      <w:r>
        <w:rPr>
          <w:vertAlign w:val="baseline"/>
        </w:rPr>
        <w:t>human</w:t>
      </w:r>
      <w:r>
        <w:rPr>
          <w:spacing w:val="-5"/>
          <w:vertAlign w:val="baseline"/>
        </w:rPr>
        <w:t> </w:t>
      </w:r>
      <w:r>
        <w:rPr>
          <w:vertAlign w:val="baseline"/>
        </w:rPr>
        <w:t>rights</w:t>
      </w:r>
      <w:r>
        <w:rPr>
          <w:spacing w:val="-5"/>
          <w:vertAlign w:val="baseline"/>
        </w:rPr>
        <w:t> </w:t>
      </w:r>
      <w:r>
        <w:rPr>
          <w:vertAlign w:val="baseline"/>
        </w:rPr>
        <w:t>claims,</w:t>
      </w:r>
      <w:r>
        <w:rPr>
          <w:spacing w:val="-4"/>
          <w:vertAlign w:val="baseline"/>
        </w:rPr>
        <w:t> </w:t>
      </w:r>
      <w:r>
        <w:rPr>
          <w:vertAlign w:val="baseline"/>
        </w:rPr>
        <w:t>which</w:t>
      </w:r>
      <w:r>
        <w:rPr>
          <w:spacing w:val="-5"/>
          <w:vertAlign w:val="baseline"/>
        </w:rPr>
        <w:t> </w:t>
      </w:r>
      <w:r>
        <w:rPr>
          <w:vertAlign w:val="baseline"/>
        </w:rPr>
        <w:t>is</w:t>
      </w:r>
      <w:r>
        <w:rPr>
          <w:spacing w:val="-5"/>
          <w:vertAlign w:val="baseline"/>
        </w:rPr>
        <w:t> </w:t>
      </w:r>
      <w:r>
        <w:rPr>
          <w:vertAlign w:val="baseline"/>
        </w:rPr>
        <w:t>inconsistent</w:t>
      </w:r>
      <w:r>
        <w:rPr>
          <w:spacing w:val="-4"/>
          <w:vertAlign w:val="baseline"/>
        </w:rPr>
        <w:t> </w:t>
      </w:r>
      <w:r>
        <w:rPr>
          <w:vertAlign w:val="baseline"/>
        </w:rPr>
        <w:t>with the 1998 Agreement.</w:t>
      </w:r>
      <w:r>
        <w:rPr>
          <w:vertAlign w:val="superscript"/>
        </w:rPr>
        <w:t>214</w:t>
      </w:r>
    </w:p>
    <w:p>
      <w:pPr>
        <w:pStyle w:val="BodyText"/>
        <w:spacing w:line="232" w:lineRule="auto" w:before="271"/>
        <w:ind w:left="1117"/>
      </w:pPr>
      <w:r>
        <w:rPr/>
        <w:t>The</w:t>
      </w:r>
      <w:r>
        <w:rPr>
          <w:spacing w:val="-7"/>
        </w:rPr>
        <w:t> </w:t>
      </w:r>
      <w:r>
        <w:rPr/>
        <w:t>Act’s</w:t>
      </w:r>
      <w:r>
        <w:rPr>
          <w:spacing w:val="-8"/>
        </w:rPr>
        <w:t> </w:t>
      </w:r>
      <w:r>
        <w:rPr/>
        <w:t>provisions</w:t>
      </w:r>
      <w:r>
        <w:rPr>
          <w:spacing w:val="-8"/>
        </w:rPr>
        <w:t> </w:t>
      </w:r>
      <w:r>
        <w:rPr/>
        <w:t>deeming</w:t>
      </w:r>
      <w:r>
        <w:rPr>
          <w:spacing w:val="-7"/>
        </w:rPr>
        <w:t> </w:t>
      </w:r>
      <w:r>
        <w:rPr/>
        <w:t>applications</w:t>
      </w:r>
      <w:r>
        <w:rPr>
          <w:spacing w:val="-8"/>
        </w:rPr>
        <w:t> </w:t>
      </w:r>
      <w:r>
        <w:rPr/>
        <w:t>to</w:t>
      </w:r>
      <w:r>
        <w:rPr>
          <w:spacing w:val="-8"/>
        </w:rPr>
        <w:t> </w:t>
      </w:r>
      <w:r>
        <w:rPr/>
        <w:t>be</w:t>
      </w:r>
      <w:r>
        <w:rPr>
          <w:spacing w:val="-7"/>
        </w:rPr>
        <w:t> </w:t>
      </w:r>
      <w:r>
        <w:rPr/>
        <w:t>automatically</w:t>
      </w:r>
      <w:r>
        <w:rPr>
          <w:spacing w:val="-7"/>
        </w:rPr>
        <w:t> </w:t>
      </w:r>
      <w:r>
        <w:rPr/>
        <w:t>inadmissible</w:t>
      </w:r>
      <w:r>
        <w:rPr>
          <w:spacing w:val="-7"/>
        </w:rPr>
        <w:t> </w:t>
      </w:r>
      <w:r>
        <w:rPr/>
        <w:t>seem inconsistent with the Qualification Directive and the Procedures Directive.</w:t>
      </w:r>
      <w:r>
        <w:rPr>
          <w:vertAlign w:val="superscript"/>
        </w:rPr>
        <w:t>215</w:t>
      </w:r>
    </w:p>
    <w:p>
      <w:pPr>
        <w:pStyle w:val="BodyText"/>
        <w:spacing w:line="232" w:lineRule="auto"/>
        <w:ind w:left="1117" w:right="1010"/>
      </w:pPr>
      <w:r>
        <w:rPr/>
        <w:t>The failure to consider safeguards for persons at risk or with individual needs</w:t>
      </w:r>
      <w:r>
        <w:rPr/>
        <w:t> also seems incompatible with the Reception and Qualification Directives.</w:t>
      </w:r>
      <w:r>
        <w:rPr>
          <w:vertAlign w:val="superscript"/>
        </w:rPr>
        <w:t>216</w:t>
      </w:r>
      <w:r>
        <w:rPr>
          <w:vertAlign w:val="baseline"/>
        </w:rPr>
        <w:t> The detention of people without regard to vulnerability engages the Procedures, Reception</w:t>
      </w:r>
      <w:r>
        <w:rPr>
          <w:spacing w:val="-13"/>
          <w:vertAlign w:val="baseline"/>
        </w:rPr>
        <w:t> </w:t>
      </w:r>
      <w:r>
        <w:rPr>
          <w:vertAlign w:val="baseline"/>
        </w:rPr>
        <w:t>and</w:t>
      </w:r>
      <w:r>
        <w:rPr>
          <w:spacing w:val="-13"/>
          <w:vertAlign w:val="baseline"/>
        </w:rPr>
        <w:t> </w:t>
      </w:r>
      <w:r>
        <w:rPr>
          <w:vertAlign w:val="baseline"/>
        </w:rPr>
        <w:t>Qualification</w:t>
      </w:r>
      <w:r>
        <w:rPr>
          <w:spacing w:val="-13"/>
          <w:vertAlign w:val="baseline"/>
        </w:rPr>
        <w:t> </w:t>
      </w:r>
      <w:r>
        <w:rPr>
          <w:vertAlign w:val="baseline"/>
        </w:rPr>
        <w:t>directives</w:t>
      </w:r>
      <w:r>
        <w:rPr>
          <w:spacing w:val="-13"/>
          <w:vertAlign w:val="baseline"/>
        </w:rPr>
        <w:t> </w:t>
      </w:r>
      <w:r>
        <w:rPr>
          <w:vertAlign w:val="baseline"/>
        </w:rPr>
        <w:t>and</w:t>
      </w:r>
      <w:r>
        <w:rPr>
          <w:spacing w:val="-13"/>
          <w:vertAlign w:val="baseline"/>
        </w:rPr>
        <w:t> </w:t>
      </w:r>
      <w:r>
        <w:rPr>
          <w:vertAlign w:val="baseline"/>
        </w:rPr>
        <w:t>Charter.</w:t>
      </w:r>
      <w:r>
        <w:rPr>
          <w:vertAlign w:val="superscript"/>
        </w:rPr>
        <w:t>217</w:t>
      </w:r>
      <w:r>
        <w:rPr>
          <w:spacing w:val="-13"/>
          <w:vertAlign w:val="baseline"/>
        </w:rPr>
        <w:t> </w:t>
      </w:r>
      <w:r>
        <w:rPr>
          <w:vertAlign w:val="baseline"/>
        </w:rPr>
        <w:t>Similarly</w:t>
      </w:r>
      <w:r>
        <w:rPr>
          <w:spacing w:val="-13"/>
          <w:vertAlign w:val="baseline"/>
        </w:rPr>
        <w:t> </w:t>
      </w:r>
      <w:r>
        <w:rPr>
          <w:vertAlign w:val="baseline"/>
        </w:rPr>
        <w:t>the</w:t>
      </w:r>
      <w:r>
        <w:rPr>
          <w:spacing w:val="-13"/>
          <w:vertAlign w:val="baseline"/>
        </w:rPr>
        <w:t> </w:t>
      </w:r>
      <w:r>
        <w:rPr>
          <w:vertAlign w:val="baseline"/>
        </w:rPr>
        <w:t>Act</w:t>
      </w:r>
      <w:r>
        <w:rPr>
          <w:spacing w:val="-13"/>
          <w:vertAlign w:val="baseline"/>
        </w:rPr>
        <w:t> </w:t>
      </w:r>
      <w:r>
        <w:rPr>
          <w:vertAlign w:val="baseline"/>
        </w:rPr>
        <w:t>potentially limits the right to a remedy in the Procedures and Reception Directives and the Charter.</w:t>
      </w:r>
      <w:r>
        <w:rPr>
          <w:vertAlign w:val="superscript"/>
        </w:rPr>
        <w:t>218</w:t>
      </w:r>
      <w:r>
        <w:rPr>
          <w:spacing w:val="-14"/>
          <w:vertAlign w:val="baseline"/>
        </w:rPr>
        <w:t> </w:t>
      </w:r>
      <w:r>
        <w:rPr>
          <w:vertAlign w:val="baseline"/>
        </w:rPr>
        <w:t>The</w:t>
      </w:r>
      <w:r>
        <w:rPr>
          <w:spacing w:val="-14"/>
          <w:vertAlign w:val="baseline"/>
        </w:rPr>
        <w:t> </w:t>
      </w:r>
      <w:r>
        <w:rPr>
          <w:vertAlign w:val="baseline"/>
        </w:rPr>
        <w:t>provisions</w:t>
      </w:r>
      <w:r>
        <w:rPr>
          <w:spacing w:val="-14"/>
          <w:vertAlign w:val="baseline"/>
        </w:rPr>
        <w:t> </w:t>
      </w:r>
      <w:r>
        <w:rPr>
          <w:vertAlign w:val="baseline"/>
        </w:rPr>
        <w:t>on</w:t>
      </w:r>
      <w:r>
        <w:rPr>
          <w:spacing w:val="-14"/>
          <w:vertAlign w:val="baseline"/>
        </w:rPr>
        <w:t> </w:t>
      </w:r>
      <w:r>
        <w:rPr>
          <w:vertAlign w:val="baseline"/>
        </w:rPr>
        <w:t>unaccompanied</w:t>
      </w:r>
      <w:r>
        <w:rPr>
          <w:spacing w:val="-14"/>
          <w:vertAlign w:val="baseline"/>
        </w:rPr>
        <w:t> </w:t>
      </w:r>
      <w:r>
        <w:rPr>
          <w:vertAlign w:val="baseline"/>
        </w:rPr>
        <w:t>children</w:t>
      </w:r>
      <w:r>
        <w:rPr>
          <w:spacing w:val="-14"/>
          <w:vertAlign w:val="baseline"/>
        </w:rPr>
        <w:t> </w:t>
      </w:r>
      <w:r>
        <w:rPr>
          <w:vertAlign w:val="baseline"/>
        </w:rPr>
        <w:t>mean</w:t>
      </w:r>
      <w:r>
        <w:rPr>
          <w:spacing w:val="-14"/>
          <w:vertAlign w:val="baseline"/>
        </w:rPr>
        <w:t> </w:t>
      </w:r>
      <w:r>
        <w:rPr>
          <w:vertAlign w:val="baseline"/>
        </w:rPr>
        <w:t>the</w:t>
      </w:r>
      <w:r>
        <w:rPr>
          <w:spacing w:val="-14"/>
          <w:vertAlign w:val="baseline"/>
        </w:rPr>
        <w:t> </w:t>
      </w:r>
      <w:r>
        <w:rPr>
          <w:vertAlign w:val="baseline"/>
        </w:rPr>
        <w:t>children</w:t>
      </w:r>
      <w:r>
        <w:rPr>
          <w:spacing w:val="-14"/>
          <w:vertAlign w:val="baseline"/>
        </w:rPr>
        <w:t> </w:t>
      </w:r>
      <w:r>
        <w:rPr>
          <w:vertAlign w:val="baseline"/>
        </w:rPr>
        <w:t>affected may not have access to procedures that reflect the best interests of the child, contrary to the Procedures, Qualification and Reception Directives and Dublin III </w:t>
      </w:r>
      <w:r>
        <w:rPr>
          <w:spacing w:val="-2"/>
          <w:vertAlign w:val="baseline"/>
        </w:rPr>
        <w:t>Regulations.</w:t>
      </w:r>
      <w:r>
        <w:rPr>
          <w:spacing w:val="-2"/>
          <w:vertAlign w:val="superscript"/>
        </w:rPr>
        <w:t>219</w:t>
      </w:r>
    </w:p>
    <w:p>
      <w:pPr>
        <w:pStyle w:val="BodyText"/>
        <w:spacing w:line="232" w:lineRule="auto" w:before="266"/>
        <w:ind w:left="1117" w:right="738"/>
      </w:pPr>
      <w:r>
        <w:rPr/>
        <w:t>In</w:t>
      </w:r>
      <w:r>
        <w:rPr>
          <w:spacing w:val="-4"/>
        </w:rPr>
        <w:t> </w:t>
      </w:r>
      <w:r>
        <w:rPr/>
        <w:t>October</w:t>
      </w:r>
      <w:r>
        <w:rPr>
          <w:spacing w:val="-4"/>
        </w:rPr>
        <w:t> </w:t>
      </w:r>
      <w:r>
        <w:rPr/>
        <w:t>2023</w:t>
      </w:r>
      <w:r>
        <w:rPr>
          <w:spacing w:val="-4"/>
        </w:rPr>
        <w:t> </w:t>
      </w:r>
      <w:r>
        <w:rPr/>
        <w:t>the</w:t>
      </w:r>
      <w:r>
        <w:rPr>
          <w:spacing w:val="-4"/>
        </w:rPr>
        <w:t> </w:t>
      </w:r>
      <w:r>
        <w:rPr/>
        <w:t>NIHRC</w:t>
      </w:r>
      <w:r>
        <w:rPr>
          <w:spacing w:val="-4"/>
        </w:rPr>
        <w:t> </w:t>
      </w:r>
      <w:r>
        <w:rPr/>
        <w:t>commenced</w:t>
      </w:r>
      <w:r>
        <w:rPr>
          <w:spacing w:val="-4"/>
        </w:rPr>
        <w:t> </w:t>
      </w:r>
      <w:r>
        <w:rPr/>
        <w:t>a</w:t>
      </w:r>
      <w:r>
        <w:rPr>
          <w:spacing w:val="-4"/>
        </w:rPr>
        <w:t> </w:t>
      </w:r>
      <w:r>
        <w:rPr/>
        <w:t>legal</w:t>
      </w:r>
      <w:r>
        <w:rPr>
          <w:spacing w:val="-4"/>
        </w:rPr>
        <w:t> </w:t>
      </w:r>
      <w:r>
        <w:rPr/>
        <w:t>challenge</w:t>
      </w:r>
      <w:r>
        <w:rPr>
          <w:spacing w:val="-4"/>
        </w:rPr>
        <w:t> </w:t>
      </w:r>
      <w:r>
        <w:rPr/>
        <w:t>in</w:t>
      </w:r>
      <w:r>
        <w:rPr>
          <w:spacing w:val="-4"/>
        </w:rPr>
        <w:t> </w:t>
      </w:r>
      <w:r>
        <w:rPr/>
        <w:t>the</w:t>
      </w:r>
      <w:r>
        <w:rPr>
          <w:spacing w:val="-4"/>
        </w:rPr>
        <w:t> </w:t>
      </w:r>
      <w:r>
        <w:rPr/>
        <w:t>High</w:t>
      </w:r>
      <w:r>
        <w:rPr>
          <w:spacing w:val="-4"/>
        </w:rPr>
        <w:t> </w:t>
      </w:r>
      <w:r>
        <w:rPr/>
        <w:t>Court</w:t>
      </w:r>
      <w:r>
        <w:rPr>
          <w:spacing w:val="-4"/>
        </w:rPr>
        <w:t> </w:t>
      </w:r>
      <w:r>
        <w:rPr/>
        <w:t>to</w:t>
      </w:r>
      <w:r>
        <w:rPr>
          <w:spacing w:val="-4"/>
        </w:rPr>
        <w:t> </w:t>
      </w:r>
      <w:r>
        <w:rPr/>
        <w:t>the Illegal Migration Act on the basis of Article 2(1) WF and the Human Rights Act/ European Convention on Human Rights.</w:t>
      </w:r>
      <w:r>
        <w:rPr>
          <w:vertAlign w:val="superscript"/>
        </w:rPr>
        <w:t>220</w:t>
      </w:r>
    </w:p>
    <w:p>
      <w:pPr>
        <w:pStyle w:val="BodyText"/>
        <w:spacing w:line="232" w:lineRule="auto" w:before="279"/>
        <w:ind w:left="1117" w:right="738"/>
      </w:pPr>
      <w:r>
        <w:rPr/>
        <w:t>The</w:t>
      </w:r>
      <w:r>
        <w:rPr>
          <w:spacing w:val="-4"/>
        </w:rPr>
        <w:t> </w:t>
      </w:r>
      <w:r>
        <w:rPr/>
        <w:t>High</w:t>
      </w:r>
      <w:r>
        <w:rPr>
          <w:spacing w:val="-5"/>
        </w:rPr>
        <w:t> </w:t>
      </w:r>
      <w:r>
        <w:rPr/>
        <w:t>Court</w:t>
      </w:r>
      <w:r>
        <w:rPr>
          <w:spacing w:val="-4"/>
        </w:rPr>
        <w:t> </w:t>
      </w:r>
      <w:r>
        <w:rPr/>
        <w:t>has</w:t>
      </w:r>
      <w:r>
        <w:rPr>
          <w:spacing w:val="-5"/>
        </w:rPr>
        <w:t> </w:t>
      </w:r>
      <w:r>
        <w:rPr/>
        <w:t>now</w:t>
      </w:r>
      <w:r>
        <w:rPr>
          <w:spacing w:val="-4"/>
        </w:rPr>
        <w:t> </w:t>
      </w:r>
      <w:r>
        <w:rPr/>
        <w:t>ruled</w:t>
      </w:r>
      <w:r>
        <w:rPr>
          <w:spacing w:val="-5"/>
        </w:rPr>
        <w:t> </w:t>
      </w:r>
      <w:r>
        <w:rPr/>
        <w:t>that</w:t>
      </w:r>
      <w:r>
        <w:rPr>
          <w:spacing w:val="-4"/>
        </w:rPr>
        <w:t> </w:t>
      </w:r>
      <w:r>
        <w:rPr/>
        <w:t>the</w:t>
      </w:r>
      <w:r>
        <w:rPr>
          <w:spacing w:val="-4"/>
        </w:rPr>
        <w:t> </w:t>
      </w:r>
      <w:r>
        <w:rPr/>
        <w:t>Illegal</w:t>
      </w:r>
      <w:r>
        <w:rPr>
          <w:spacing w:val="-5"/>
        </w:rPr>
        <w:t> </w:t>
      </w:r>
      <w:r>
        <w:rPr/>
        <w:t>Migration</w:t>
      </w:r>
      <w:r>
        <w:rPr>
          <w:spacing w:val="-5"/>
        </w:rPr>
        <w:t> </w:t>
      </w:r>
      <w:r>
        <w:rPr/>
        <w:t>Act</w:t>
      </w:r>
      <w:r>
        <w:rPr>
          <w:spacing w:val="-4"/>
        </w:rPr>
        <w:t> </w:t>
      </w:r>
      <w:r>
        <w:rPr/>
        <w:t>breaches</w:t>
      </w:r>
      <w:r>
        <w:rPr>
          <w:spacing w:val="-5"/>
        </w:rPr>
        <w:t> </w:t>
      </w:r>
      <w:r>
        <w:rPr/>
        <w:t>Article</w:t>
      </w:r>
      <w:r>
        <w:rPr>
          <w:spacing w:val="-4"/>
        </w:rPr>
        <w:t> </w:t>
      </w:r>
      <w:r>
        <w:rPr/>
        <w:t>2</w:t>
      </w:r>
      <w:r>
        <w:rPr>
          <w:spacing w:val="-4"/>
        </w:rPr>
        <w:t> </w:t>
      </w:r>
      <w:r>
        <w:rPr/>
        <w:t>WF (see below section 5.4.4).</w:t>
      </w:r>
      <w:r>
        <w:rPr>
          <w:vertAlign w:val="superscript"/>
        </w:rPr>
        <w:t>221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
        <w:rPr>
          <w:sz w:val="20"/>
        </w:rPr>
      </w:pPr>
      <w:r>
        <w:rPr/>
        <mc:AlternateContent>
          <mc:Choice Requires="wps">
            <w:drawing>
              <wp:anchor distT="0" distB="0" distL="0" distR="0" allowOverlap="1" layoutInCell="1" locked="0" behindDoc="1" simplePos="0" relativeHeight="487666688">
                <wp:simplePos x="0" y="0"/>
                <wp:positionH relativeFrom="page">
                  <wp:posOffset>900000</wp:posOffset>
                </wp:positionH>
                <wp:positionV relativeFrom="paragraph">
                  <wp:posOffset>179165</wp:posOffset>
                </wp:positionV>
                <wp:extent cx="6012180" cy="1270"/>
                <wp:effectExtent l="0" t="0" r="0" b="0"/>
                <wp:wrapTopAndBottom/>
                <wp:docPr id="429" name="Graphic 429"/>
                <wp:cNvGraphicFramePr>
                  <a:graphicFrameLocks/>
                </wp:cNvGraphicFramePr>
                <a:graphic>
                  <a:graphicData uri="http://schemas.microsoft.com/office/word/2010/wordprocessingShape">
                    <wps:wsp>
                      <wps:cNvPr id="429" name="Graphic 42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14.10755pt;width:473.4pt;height:.1pt;mso-position-horizontal-relative:page;mso-position-vertical-relative:paragraph;z-index:-15649792;mso-wrap-distance-left:0;mso-wrap-distance-right:0" id="docshape340" coordorigin="1417,282" coordsize="9468,0" path="m1417,282l10885,282e" filled="false" stroked="true" strokeweight=".5pt" strokecolor="#36a9e1">
                <v:path arrowok="t"/>
                <v:stroke dashstyle="solid"/>
                <w10:wrap type="topAndBottom"/>
              </v:shape>
            </w:pict>
          </mc:Fallback>
        </mc:AlternateContent>
      </w:r>
    </w:p>
    <w:p>
      <w:pPr>
        <w:pStyle w:val="ListParagraph"/>
        <w:numPr>
          <w:ilvl w:val="0"/>
          <w:numId w:val="17"/>
        </w:numPr>
        <w:tabs>
          <w:tab w:pos="1684" w:val="left" w:leader="none"/>
        </w:tabs>
        <w:spacing w:line="240" w:lineRule="auto" w:before="43" w:after="0"/>
        <w:ind w:left="1684" w:right="1052" w:hanging="567"/>
        <w:jc w:val="left"/>
        <w:rPr>
          <w:sz w:val="18"/>
        </w:rPr>
      </w:pPr>
      <w:r>
        <w:rPr>
          <w:sz w:val="18"/>
        </w:rPr>
        <w:t>NIHRC,</w:t>
      </w:r>
      <w:r>
        <w:rPr>
          <w:spacing w:val="-3"/>
          <w:sz w:val="18"/>
        </w:rPr>
        <w:t> </w:t>
      </w:r>
      <w:r>
        <w:rPr>
          <w:color w:val="1D71B8"/>
          <w:sz w:val="18"/>
          <w:u w:val="single" w:color="1D71B8"/>
        </w:rPr>
        <w:t>Northern</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Commission</w:t>
      </w:r>
      <w:r>
        <w:rPr>
          <w:color w:val="1D71B8"/>
          <w:spacing w:val="-4"/>
          <w:sz w:val="18"/>
          <w:u w:val="single" w:color="1D71B8"/>
        </w:rPr>
        <w:t> </w:t>
      </w:r>
      <w:r>
        <w:rPr>
          <w:color w:val="1D71B8"/>
          <w:sz w:val="18"/>
          <w:u w:val="single" w:color="1D71B8"/>
        </w:rPr>
        <w:t>submission</w:t>
      </w:r>
      <w:r>
        <w:rPr>
          <w:color w:val="1D71B8"/>
          <w:spacing w:val="-3"/>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House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Lords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Illegal</w:t>
      </w:r>
      <w:r>
        <w:rPr>
          <w:color w:val="1D71B8"/>
          <w:spacing w:val="-4"/>
          <w:sz w:val="18"/>
          <w:u w:val="single" w:color="1D71B8"/>
        </w:rPr>
        <w:t> </w:t>
      </w:r>
      <w:r>
        <w:rPr>
          <w:color w:val="1D71B8"/>
          <w:sz w:val="18"/>
          <w:u w:val="single" w:color="1D71B8"/>
        </w:rPr>
        <w:t>Migration</w:t>
      </w:r>
      <w:r>
        <w:rPr>
          <w:color w:val="1D71B8"/>
          <w:spacing w:val="-4"/>
          <w:sz w:val="18"/>
          <w:u w:val="single" w:color="1D71B8"/>
        </w:rPr>
        <w:t> </w:t>
      </w:r>
      <w:r>
        <w:rPr>
          <w:color w:val="1D71B8"/>
          <w:sz w:val="18"/>
          <w:u w:val="single" w:color="1D71B8"/>
        </w:rPr>
        <w:t>Bill</w:t>
      </w:r>
      <w:r>
        <w:rPr>
          <w:color w:val="1D71B8"/>
          <w:spacing w:val="-2"/>
          <w:sz w:val="18"/>
          <w:u w:val="none"/>
        </w:rPr>
        <w:t> </w:t>
      </w:r>
      <w:r>
        <w:rPr>
          <w:sz w:val="18"/>
          <w:u w:val="none"/>
        </w:rPr>
        <w:t>(16</w:t>
      </w:r>
      <w:r>
        <w:rPr>
          <w:spacing w:val="-3"/>
          <w:sz w:val="18"/>
          <w:u w:val="none"/>
        </w:rPr>
        <w:t> </w:t>
      </w:r>
      <w:r>
        <w:rPr>
          <w:sz w:val="18"/>
          <w:u w:val="none"/>
        </w:rPr>
        <w:t>May 2023)</w:t>
      </w:r>
      <w:r>
        <w:rPr>
          <w:spacing w:val="-2"/>
          <w:sz w:val="18"/>
          <w:u w:val="none"/>
        </w:rPr>
        <w:t> </w:t>
      </w:r>
      <w:r>
        <w:rPr>
          <w:sz w:val="18"/>
          <w:u w:val="none"/>
        </w:rPr>
        <w:t>18.</w:t>
      </w:r>
    </w:p>
    <w:p>
      <w:pPr>
        <w:pStyle w:val="ListParagraph"/>
        <w:numPr>
          <w:ilvl w:val="0"/>
          <w:numId w:val="17"/>
        </w:numPr>
        <w:tabs>
          <w:tab w:pos="1684" w:val="left" w:leader="none"/>
        </w:tabs>
        <w:spacing w:line="240" w:lineRule="auto" w:before="1" w:after="0"/>
        <w:ind w:left="1684" w:right="0" w:hanging="567"/>
        <w:jc w:val="left"/>
        <w:rPr>
          <w:sz w:val="18"/>
        </w:rPr>
      </w:pPr>
      <w:r>
        <w:rPr>
          <w:sz w:val="18"/>
        </w:rPr>
        <w:t>Hansard,</w:t>
      </w:r>
      <w:r>
        <w:rPr>
          <w:spacing w:val="-6"/>
          <w:sz w:val="18"/>
        </w:rPr>
        <w:t> </w:t>
      </w:r>
      <w:r>
        <w:rPr>
          <w:color w:val="1D71B8"/>
          <w:sz w:val="18"/>
          <w:u w:val="single" w:color="1D71B8"/>
        </w:rPr>
        <w:t>‘Illegal</w:t>
      </w:r>
      <w:r>
        <w:rPr>
          <w:color w:val="1D71B8"/>
          <w:spacing w:val="-5"/>
          <w:sz w:val="18"/>
          <w:u w:val="single" w:color="1D71B8"/>
        </w:rPr>
        <w:t> </w:t>
      </w:r>
      <w:r>
        <w:rPr>
          <w:color w:val="1D71B8"/>
          <w:sz w:val="18"/>
          <w:u w:val="single" w:color="1D71B8"/>
        </w:rPr>
        <w:t>Migration</w:t>
      </w:r>
      <w:r>
        <w:rPr>
          <w:color w:val="1D71B8"/>
          <w:spacing w:val="-5"/>
          <w:sz w:val="18"/>
          <w:u w:val="single" w:color="1D71B8"/>
        </w:rPr>
        <w:t> </w:t>
      </w:r>
      <w:r>
        <w:rPr>
          <w:color w:val="1D71B8"/>
          <w:sz w:val="18"/>
          <w:u w:val="single" w:color="1D71B8"/>
        </w:rPr>
        <w:t>Bill</w:t>
      </w:r>
      <w:r>
        <w:rPr>
          <w:color w:val="1D71B8"/>
          <w:spacing w:val="-5"/>
          <w:sz w:val="18"/>
          <w:u w:val="single" w:color="1D71B8"/>
        </w:rPr>
        <w:t> </w:t>
      </w:r>
      <w:r>
        <w:rPr>
          <w:color w:val="1D71B8"/>
          <w:sz w:val="18"/>
          <w:u w:val="single" w:color="1D71B8"/>
        </w:rPr>
        <w:t>Volume</w:t>
      </w:r>
      <w:r>
        <w:rPr>
          <w:color w:val="1D71B8"/>
          <w:spacing w:val="-4"/>
          <w:sz w:val="18"/>
          <w:u w:val="single" w:color="1D71B8"/>
        </w:rPr>
        <w:t> </w:t>
      </w:r>
      <w:r>
        <w:rPr>
          <w:color w:val="1D71B8"/>
          <w:sz w:val="18"/>
          <w:u w:val="single" w:color="1D71B8"/>
        </w:rPr>
        <w:t>831:</w:t>
      </w:r>
      <w:r>
        <w:rPr>
          <w:color w:val="1D71B8"/>
          <w:spacing w:val="-4"/>
          <w:sz w:val="18"/>
          <w:u w:val="single" w:color="1D71B8"/>
        </w:rPr>
        <w:t> </w:t>
      </w:r>
      <w:r>
        <w:rPr>
          <w:color w:val="1D71B8"/>
          <w:sz w:val="18"/>
          <w:u w:val="single" w:color="1D71B8"/>
        </w:rPr>
        <w:t>debated</w:t>
      </w:r>
      <w:r>
        <w:rPr>
          <w:color w:val="1D71B8"/>
          <w:spacing w:val="-6"/>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Wednesday</w:t>
      </w:r>
      <w:r>
        <w:rPr>
          <w:color w:val="1D71B8"/>
          <w:spacing w:val="-4"/>
          <w:sz w:val="18"/>
          <w:u w:val="single" w:color="1D71B8"/>
        </w:rPr>
        <w:t> </w:t>
      </w:r>
      <w:r>
        <w:rPr>
          <w:color w:val="1D71B8"/>
          <w:sz w:val="18"/>
          <w:u w:val="single" w:color="1D71B8"/>
        </w:rPr>
        <w:t>28</w:t>
      </w:r>
      <w:r>
        <w:rPr>
          <w:color w:val="1D71B8"/>
          <w:spacing w:val="-4"/>
          <w:sz w:val="18"/>
          <w:u w:val="single" w:color="1D71B8"/>
        </w:rPr>
        <w:t> </w:t>
      </w:r>
      <w:r>
        <w:rPr>
          <w:color w:val="1D71B8"/>
          <w:sz w:val="18"/>
          <w:u w:val="single" w:color="1D71B8"/>
        </w:rPr>
        <w:t>June</w:t>
      </w:r>
      <w:r>
        <w:rPr>
          <w:color w:val="1D71B8"/>
          <w:spacing w:val="-4"/>
          <w:sz w:val="18"/>
          <w:u w:val="single" w:color="1D71B8"/>
        </w:rPr>
        <w:t> </w:t>
      </w:r>
      <w:r>
        <w:rPr>
          <w:color w:val="1D71B8"/>
          <w:spacing w:val="-2"/>
          <w:sz w:val="18"/>
          <w:u w:val="single" w:color="1D71B8"/>
        </w:rPr>
        <w:t>2023’</w:t>
      </w:r>
      <w:r>
        <w:rPr>
          <w:spacing w:val="-2"/>
          <w:sz w:val="18"/>
          <w:u w:val="none"/>
        </w:rPr>
        <w:t>.</w:t>
      </w:r>
    </w:p>
    <w:p>
      <w:pPr>
        <w:pStyle w:val="ListParagraph"/>
        <w:numPr>
          <w:ilvl w:val="0"/>
          <w:numId w:val="17"/>
        </w:numPr>
        <w:tabs>
          <w:tab w:pos="1684" w:val="left" w:leader="none"/>
        </w:tabs>
        <w:spacing w:line="240" w:lineRule="auto" w:before="0" w:after="0"/>
        <w:ind w:left="1684" w:right="788" w:hanging="567"/>
        <w:jc w:val="left"/>
        <w:rPr>
          <w:sz w:val="18"/>
        </w:rPr>
      </w:pPr>
      <w:r>
        <w:rPr>
          <w:sz w:val="18"/>
        </w:rPr>
        <w:t>House of Lords Sub-Committee on the Protocol on Ireland/Northern Ireland, </w:t>
      </w:r>
      <w:r>
        <w:rPr>
          <w:color w:val="1D71B8"/>
          <w:sz w:val="18"/>
          <w:u w:val="single" w:color="1D71B8"/>
        </w:rPr>
        <w:t>Letter from Lord Jay of Ewelme to Lord</w:t>
      </w:r>
      <w:r>
        <w:rPr>
          <w:color w:val="1D71B8"/>
          <w:sz w:val="18"/>
          <w:u w:val="none"/>
        </w:rPr>
        <w:t> </w:t>
      </w:r>
      <w:r>
        <w:rPr>
          <w:color w:val="1D71B8"/>
          <w:sz w:val="18"/>
          <w:u w:val="single" w:color="1D71B8"/>
        </w:rPr>
        <w:t>Murray</w:t>
      </w:r>
      <w:r>
        <w:rPr>
          <w:color w:val="1D71B8"/>
          <w:spacing w:val="-6"/>
          <w:sz w:val="18"/>
          <w:u w:val="single" w:color="1D71B8"/>
        </w:rPr>
        <w:t> </w:t>
      </w:r>
      <w:r>
        <w:rPr>
          <w:color w:val="1D71B8"/>
          <w:sz w:val="18"/>
          <w:u w:val="single" w:color="1D71B8"/>
        </w:rPr>
        <w:t>of</w:t>
      </w:r>
      <w:r>
        <w:rPr>
          <w:color w:val="1D71B8"/>
          <w:spacing w:val="-7"/>
          <w:sz w:val="18"/>
          <w:u w:val="single" w:color="1D71B8"/>
        </w:rPr>
        <w:t> </w:t>
      </w:r>
      <w:r>
        <w:rPr>
          <w:color w:val="1D71B8"/>
          <w:sz w:val="18"/>
          <w:u w:val="single" w:color="1D71B8"/>
        </w:rPr>
        <w:t>Blidworth,</w:t>
      </w:r>
      <w:r>
        <w:rPr>
          <w:color w:val="1D71B8"/>
          <w:spacing w:val="-6"/>
          <w:sz w:val="18"/>
          <w:u w:val="single" w:color="1D71B8"/>
        </w:rPr>
        <w:t> </w:t>
      </w:r>
      <w:r>
        <w:rPr>
          <w:color w:val="1D71B8"/>
          <w:sz w:val="18"/>
          <w:u w:val="single" w:color="1D71B8"/>
        </w:rPr>
        <w:t>Parliamentary</w:t>
      </w:r>
      <w:r>
        <w:rPr>
          <w:color w:val="1D71B8"/>
          <w:spacing w:val="-6"/>
          <w:sz w:val="18"/>
          <w:u w:val="single" w:color="1D71B8"/>
        </w:rPr>
        <w:t> </w:t>
      </w:r>
      <w:r>
        <w:rPr>
          <w:color w:val="1D71B8"/>
          <w:sz w:val="18"/>
          <w:u w:val="single" w:color="1D71B8"/>
        </w:rPr>
        <w:t>Under</w:t>
      </w:r>
      <w:r>
        <w:rPr>
          <w:color w:val="1D71B8"/>
          <w:spacing w:val="-6"/>
          <w:sz w:val="18"/>
          <w:u w:val="single" w:color="1D71B8"/>
        </w:rPr>
        <w:t> </w:t>
      </w:r>
      <w:r>
        <w:rPr>
          <w:color w:val="1D71B8"/>
          <w:sz w:val="18"/>
          <w:u w:val="single" w:color="1D71B8"/>
        </w:rPr>
        <w:t>Secretary</w:t>
      </w:r>
      <w:r>
        <w:rPr>
          <w:color w:val="1D71B8"/>
          <w:spacing w:val="-6"/>
          <w:sz w:val="18"/>
          <w:u w:val="single" w:color="1D71B8"/>
        </w:rPr>
        <w:t> </w:t>
      </w:r>
      <w:r>
        <w:rPr>
          <w:color w:val="1D71B8"/>
          <w:sz w:val="18"/>
          <w:u w:val="single" w:color="1D71B8"/>
        </w:rPr>
        <w:t>of</w:t>
      </w:r>
      <w:r>
        <w:rPr>
          <w:color w:val="1D71B8"/>
          <w:spacing w:val="-7"/>
          <w:sz w:val="18"/>
          <w:u w:val="single" w:color="1D71B8"/>
        </w:rPr>
        <w:t> </w:t>
      </w:r>
      <w:r>
        <w:rPr>
          <w:color w:val="1D71B8"/>
          <w:sz w:val="18"/>
          <w:u w:val="single" w:color="1D71B8"/>
        </w:rPr>
        <w:t>State</w:t>
      </w:r>
      <w:r>
        <w:rPr>
          <w:color w:val="1D71B8"/>
          <w:spacing w:val="-6"/>
          <w:sz w:val="18"/>
          <w:u w:val="single" w:color="1D71B8"/>
        </w:rPr>
        <w:t> </w:t>
      </w:r>
      <w:r>
        <w:rPr>
          <w:color w:val="1D71B8"/>
          <w:sz w:val="18"/>
          <w:u w:val="single" w:color="1D71B8"/>
        </w:rPr>
        <w:t>for</w:t>
      </w:r>
      <w:r>
        <w:rPr>
          <w:color w:val="1D71B8"/>
          <w:spacing w:val="-6"/>
          <w:sz w:val="18"/>
          <w:u w:val="single" w:color="1D71B8"/>
        </w:rPr>
        <w:t> </w:t>
      </w:r>
      <w:r>
        <w:rPr>
          <w:color w:val="1D71B8"/>
          <w:sz w:val="18"/>
          <w:u w:val="single" w:color="1D71B8"/>
        </w:rPr>
        <w:t>Migrati</w:t>
      </w:r>
      <w:r>
        <w:rPr>
          <w:color w:val="1D71B8"/>
          <w:sz w:val="18"/>
          <w:u w:val="none"/>
        </w:rPr>
        <w:t>o</w:t>
      </w:r>
      <w:r>
        <w:rPr>
          <w:color w:val="1D71B8"/>
          <w:sz w:val="18"/>
          <w:u w:val="single" w:color="1D71B8"/>
        </w:rPr>
        <w:t>n</w:t>
      </w:r>
      <w:r>
        <w:rPr>
          <w:color w:val="1D71B8"/>
          <w:spacing w:val="-7"/>
          <w:sz w:val="18"/>
          <w:u w:val="single" w:color="1D71B8"/>
        </w:rPr>
        <w:t> </w:t>
      </w:r>
      <w:r>
        <w:rPr>
          <w:color w:val="1D71B8"/>
          <w:sz w:val="18"/>
          <w:u w:val="single" w:color="1D71B8"/>
        </w:rPr>
        <w:t>and</w:t>
      </w:r>
      <w:r>
        <w:rPr>
          <w:color w:val="1D71B8"/>
          <w:spacing w:val="-7"/>
          <w:sz w:val="18"/>
          <w:u w:val="single" w:color="1D71B8"/>
        </w:rPr>
        <w:t> </w:t>
      </w:r>
      <w:r>
        <w:rPr>
          <w:color w:val="1D71B8"/>
          <w:sz w:val="18"/>
          <w:u w:val="single" w:color="1D71B8"/>
        </w:rPr>
        <w:t>Borders,</w:t>
      </w:r>
      <w:r>
        <w:rPr>
          <w:color w:val="1D71B8"/>
          <w:spacing w:val="-6"/>
          <w:sz w:val="18"/>
          <w:u w:val="single" w:color="1D71B8"/>
        </w:rPr>
        <w:t> </w:t>
      </w:r>
      <w:r>
        <w:rPr>
          <w:color w:val="1D71B8"/>
          <w:sz w:val="18"/>
          <w:u w:val="single" w:color="1D71B8"/>
        </w:rPr>
        <w:t>Home</w:t>
      </w:r>
      <w:r>
        <w:rPr>
          <w:color w:val="1D71B8"/>
          <w:spacing w:val="-6"/>
          <w:sz w:val="18"/>
          <w:u w:val="single" w:color="1D71B8"/>
        </w:rPr>
        <w:t> </w:t>
      </w:r>
      <w:r>
        <w:rPr>
          <w:color w:val="1D71B8"/>
          <w:sz w:val="18"/>
          <w:u w:val="single" w:color="1D71B8"/>
        </w:rPr>
        <w:t>Offi</w:t>
      </w:r>
      <w:r>
        <w:rPr>
          <w:color w:val="1D71B8"/>
          <w:sz w:val="18"/>
          <w:u w:val="none"/>
        </w:rPr>
        <w:t>ce</w:t>
      </w:r>
      <w:r>
        <w:rPr>
          <w:color w:val="1D71B8"/>
          <w:sz w:val="18"/>
          <w:u w:val="single" w:color="1D71B8"/>
        </w:rPr>
        <w:t>,</w:t>
      </w:r>
      <w:r>
        <w:rPr>
          <w:color w:val="1D71B8"/>
          <w:spacing w:val="-6"/>
          <w:sz w:val="18"/>
          <w:u w:val="single" w:color="1D71B8"/>
        </w:rPr>
        <w:t> </w:t>
      </w:r>
      <w:r>
        <w:rPr>
          <w:color w:val="1D71B8"/>
          <w:sz w:val="18"/>
          <w:u w:val="single" w:color="1D71B8"/>
        </w:rPr>
        <w:t>re:</w:t>
      </w:r>
      <w:r>
        <w:rPr>
          <w:color w:val="1D71B8"/>
          <w:spacing w:val="-6"/>
          <w:sz w:val="18"/>
          <w:u w:val="single" w:color="1D71B8"/>
        </w:rPr>
        <w:t> </w:t>
      </w:r>
      <w:r>
        <w:rPr>
          <w:color w:val="1D71B8"/>
          <w:sz w:val="18"/>
          <w:u w:val="single" w:color="1D71B8"/>
        </w:rPr>
        <w:t>Illegal</w:t>
      </w:r>
      <w:r>
        <w:rPr>
          <w:color w:val="1D71B8"/>
          <w:spacing w:val="-7"/>
          <w:sz w:val="18"/>
          <w:u w:val="single" w:color="1D71B8"/>
        </w:rPr>
        <w:t> </w:t>
      </w:r>
      <w:r>
        <w:rPr>
          <w:color w:val="1D71B8"/>
          <w:sz w:val="18"/>
          <w:u w:val="single" w:color="1D71B8"/>
        </w:rPr>
        <w:t>Migration</w:t>
      </w:r>
      <w:r>
        <w:rPr>
          <w:color w:val="1D71B8"/>
          <w:sz w:val="18"/>
          <w:u w:val="none"/>
        </w:rPr>
        <w:t> </w:t>
      </w:r>
      <w:r>
        <w:rPr>
          <w:color w:val="1D71B8"/>
          <w:sz w:val="18"/>
          <w:u w:val="single" w:color="1D71B8"/>
        </w:rPr>
        <w:t>Bill (now Act), 14 September 2023</w:t>
      </w:r>
      <w:r>
        <w:rPr>
          <w:color w:val="1D71B8"/>
          <w:sz w:val="18"/>
          <w:u w:val="none"/>
        </w:rPr>
        <w:t> </w:t>
      </w:r>
      <w:r>
        <w:rPr>
          <w:sz w:val="18"/>
          <w:u w:val="none"/>
        </w:rPr>
        <w:t>(House of Lords, 2022-2023) (14 September 2023).</w:t>
      </w:r>
    </w:p>
    <w:p>
      <w:pPr>
        <w:pStyle w:val="ListParagraph"/>
        <w:numPr>
          <w:ilvl w:val="0"/>
          <w:numId w:val="17"/>
        </w:numPr>
        <w:tabs>
          <w:tab w:pos="1684" w:val="left" w:leader="none"/>
        </w:tabs>
        <w:spacing w:line="240" w:lineRule="auto" w:before="1" w:after="0"/>
        <w:ind w:left="1684" w:right="1052" w:hanging="567"/>
        <w:jc w:val="left"/>
        <w:rPr>
          <w:sz w:val="18"/>
        </w:rPr>
      </w:pPr>
      <w:r>
        <w:rPr>
          <w:sz w:val="18"/>
        </w:rPr>
        <w:t>NIHRC,</w:t>
      </w:r>
      <w:r>
        <w:rPr>
          <w:spacing w:val="-3"/>
          <w:sz w:val="18"/>
        </w:rPr>
        <w:t> </w:t>
      </w:r>
      <w:r>
        <w:rPr>
          <w:color w:val="1D71B8"/>
          <w:sz w:val="18"/>
          <w:u w:val="single" w:color="1D71B8"/>
        </w:rPr>
        <w:t>Northern</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Commission</w:t>
      </w:r>
      <w:r>
        <w:rPr>
          <w:color w:val="1D71B8"/>
          <w:spacing w:val="-4"/>
          <w:sz w:val="18"/>
          <w:u w:val="single" w:color="1D71B8"/>
        </w:rPr>
        <w:t> </w:t>
      </w:r>
      <w:r>
        <w:rPr>
          <w:color w:val="1D71B8"/>
          <w:sz w:val="18"/>
          <w:u w:val="single" w:color="1D71B8"/>
        </w:rPr>
        <w:t>submission</w:t>
      </w:r>
      <w:r>
        <w:rPr>
          <w:color w:val="1D71B8"/>
          <w:spacing w:val="-3"/>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House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Lords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Illegal</w:t>
      </w:r>
      <w:r>
        <w:rPr>
          <w:color w:val="1D71B8"/>
          <w:spacing w:val="-4"/>
          <w:sz w:val="18"/>
          <w:u w:val="single" w:color="1D71B8"/>
        </w:rPr>
        <w:t> </w:t>
      </w:r>
      <w:r>
        <w:rPr>
          <w:color w:val="1D71B8"/>
          <w:sz w:val="18"/>
          <w:u w:val="single" w:color="1D71B8"/>
        </w:rPr>
        <w:t>Migration</w:t>
      </w:r>
      <w:r>
        <w:rPr>
          <w:color w:val="1D71B8"/>
          <w:spacing w:val="-4"/>
          <w:sz w:val="18"/>
          <w:u w:val="single" w:color="1D71B8"/>
        </w:rPr>
        <w:t> </w:t>
      </w:r>
      <w:r>
        <w:rPr>
          <w:color w:val="1D71B8"/>
          <w:sz w:val="18"/>
          <w:u w:val="single" w:color="1D71B8"/>
        </w:rPr>
        <w:t>Bill</w:t>
      </w:r>
      <w:r>
        <w:rPr>
          <w:color w:val="1D71B8"/>
          <w:spacing w:val="-2"/>
          <w:sz w:val="18"/>
          <w:u w:val="none"/>
        </w:rPr>
        <w:t> </w:t>
      </w:r>
      <w:r>
        <w:rPr>
          <w:sz w:val="18"/>
          <w:u w:val="none"/>
        </w:rPr>
        <w:t>(16</w:t>
      </w:r>
      <w:r>
        <w:rPr>
          <w:spacing w:val="-3"/>
          <w:sz w:val="18"/>
          <w:u w:val="none"/>
        </w:rPr>
        <w:t> </w:t>
      </w:r>
      <w:r>
        <w:rPr>
          <w:sz w:val="18"/>
          <w:u w:val="none"/>
        </w:rPr>
        <w:t>May 2023)</w:t>
      </w:r>
      <w:r>
        <w:rPr>
          <w:spacing w:val="-2"/>
          <w:sz w:val="18"/>
          <w:u w:val="none"/>
        </w:rPr>
        <w:t> </w:t>
      </w:r>
      <w:r>
        <w:rPr>
          <w:sz w:val="18"/>
          <w:u w:val="none"/>
        </w:rPr>
        <w:t>10.</w:t>
      </w:r>
    </w:p>
    <w:p>
      <w:pPr>
        <w:pStyle w:val="ListParagraph"/>
        <w:numPr>
          <w:ilvl w:val="0"/>
          <w:numId w:val="17"/>
        </w:numPr>
        <w:tabs>
          <w:tab w:pos="1684" w:val="left" w:leader="none"/>
        </w:tabs>
        <w:spacing w:line="240" w:lineRule="auto" w:before="1" w:after="0"/>
        <w:ind w:left="1684" w:right="0" w:hanging="567"/>
        <w:jc w:val="left"/>
        <w:rPr>
          <w:sz w:val="18"/>
        </w:rPr>
      </w:pPr>
      <w:r>
        <w:rPr>
          <w:sz w:val="18"/>
        </w:rPr>
        <w:t>Ibid</w:t>
      </w:r>
      <w:r>
        <w:rPr>
          <w:spacing w:val="-7"/>
          <w:sz w:val="18"/>
        </w:rPr>
        <w:t> </w:t>
      </w:r>
      <w:r>
        <w:rPr>
          <w:sz w:val="18"/>
        </w:rPr>
        <w:t>11-</w:t>
      </w:r>
      <w:r>
        <w:rPr>
          <w:spacing w:val="-5"/>
          <w:sz w:val="18"/>
        </w:rPr>
        <w:t>12.</w:t>
      </w:r>
    </w:p>
    <w:p>
      <w:pPr>
        <w:pStyle w:val="ListParagraph"/>
        <w:numPr>
          <w:ilvl w:val="0"/>
          <w:numId w:val="17"/>
        </w:numPr>
        <w:tabs>
          <w:tab w:pos="1684" w:val="left" w:leader="none"/>
        </w:tabs>
        <w:spacing w:line="240" w:lineRule="auto" w:before="0" w:after="0"/>
        <w:ind w:left="1684" w:right="0" w:hanging="567"/>
        <w:jc w:val="left"/>
        <w:rPr>
          <w:sz w:val="18"/>
        </w:rPr>
      </w:pPr>
      <w:r>
        <w:rPr>
          <w:sz w:val="18"/>
        </w:rPr>
        <w:t>Ibid</w:t>
      </w:r>
      <w:r>
        <w:rPr>
          <w:spacing w:val="-4"/>
          <w:sz w:val="18"/>
        </w:rPr>
        <w:t> </w:t>
      </w:r>
      <w:r>
        <w:rPr>
          <w:spacing w:val="-5"/>
          <w:sz w:val="18"/>
        </w:rPr>
        <w:t>13.</w:t>
      </w:r>
    </w:p>
    <w:p>
      <w:pPr>
        <w:pStyle w:val="ListParagraph"/>
        <w:numPr>
          <w:ilvl w:val="0"/>
          <w:numId w:val="17"/>
        </w:numPr>
        <w:tabs>
          <w:tab w:pos="1684" w:val="left" w:leader="none"/>
        </w:tabs>
        <w:spacing w:line="240" w:lineRule="auto" w:before="0" w:after="0"/>
        <w:ind w:left="1684" w:right="0" w:hanging="567"/>
        <w:jc w:val="left"/>
        <w:rPr>
          <w:sz w:val="18"/>
        </w:rPr>
      </w:pPr>
      <w:r>
        <w:rPr>
          <w:sz w:val="18"/>
        </w:rPr>
        <w:t>Ibid</w:t>
      </w:r>
      <w:r>
        <w:rPr>
          <w:spacing w:val="-4"/>
          <w:sz w:val="18"/>
        </w:rPr>
        <w:t> </w:t>
      </w:r>
      <w:r>
        <w:rPr>
          <w:spacing w:val="-5"/>
          <w:sz w:val="18"/>
        </w:rPr>
        <w:t>18.</w:t>
      </w:r>
    </w:p>
    <w:p>
      <w:pPr>
        <w:pStyle w:val="ListParagraph"/>
        <w:numPr>
          <w:ilvl w:val="0"/>
          <w:numId w:val="17"/>
        </w:numPr>
        <w:tabs>
          <w:tab w:pos="1684" w:val="left" w:leader="none"/>
        </w:tabs>
        <w:spacing w:line="240" w:lineRule="auto" w:before="0" w:after="0"/>
        <w:ind w:left="1684" w:right="0" w:hanging="567"/>
        <w:jc w:val="left"/>
        <w:rPr>
          <w:sz w:val="18"/>
        </w:rPr>
      </w:pPr>
      <w:r>
        <w:rPr>
          <w:sz w:val="18"/>
        </w:rPr>
        <w:t>Ibid</w:t>
      </w:r>
      <w:r>
        <w:rPr>
          <w:spacing w:val="-7"/>
          <w:sz w:val="18"/>
        </w:rPr>
        <w:t> </w:t>
      </w:r>
      <w:r>
        <w:rPr>
          <w:sz w:val="18"/>
        </w:rPr>
        <w:t>19-</w:t>
      </w:r>
      <w:r>
        <w:rPr>
          <w:spacing w:val="-5"/>
          <w:sz w:val="18"/>
        </w:rPr>
        <w:t>20.</w:t>
      </w:r>
    </w:p>
    <w:p>
      <w:pPr>
        <w:pStyle w:val="ListParagraph"/>
        <w:numPr>
          <w:ilvl w:val="0"/>
          <w:numId w:val="17"/>
        </w:numPr>
        <w:tabs>
          <w:tab w:pos="1684" w:val="left" w:leader="none"/>
        </w:tabs>
        <w:spacing w:line="240" w:lineRule="auto" w:before="1" w:after="0"/>
        <w:ind w:left="1684" w:right="0" w:hanging="567"/>
        <w:jc w:val="left"/>
        <w:rPr>
          <w:sz w:val="18"/>
        </w:rPr>
      </w:pPr>
      <w:r>
        <w:rPr>
          <w:sz w:val="18"/>
        </w:rPr>
        <w:t>Ibid</w:t>
      </w:r>
      <w:r>
        <w:rPr>
          <w:spacing w:val="-7"/>
          <w:sz w:val="18"/>
        </w:rPr>
        <w:t> </w:t>
      </w:r>
      <w:r>
        <w:rPr>
          <w:sz w:val="18"/>
        </w:rPr>
        <w:t>22-</w:t>
      </w:r>
      <w:r>
        <w:rPr>
          <w:spacing w:val="-5"/>
          <w:sz w:val="18"/>
        </w:rPr>
        <w:t>23.</w:t>
      </w:r>
    </w:p>
    <w:p>
      <w:pPr>
        <w:pStyle w:val="ListParagraph"/>
        <w:numPr>
          <w:ilvl w:val="0"/>
          <w:numId w:val="17"/>
        </w:numPr>
        <w:tabs>
          <w:tab w:pos="1684" w:val="left" w:leader="none"/>
        </w:tabs>
        <w:spacing w:line="240" w:lineRule="auto" w:before="0" w:after="0"/>
        <w:ind w:left="1684" w:right="0" w:hanging="567"/>
        <w:jc w:val="left"/>
        <w:rPr>
          <w:sz w:val="18"/>
        </w:rPr>
      </w:pPr>
      <w:r>
        <w:rPr>
          <w:sz w:val="18"/>
        </w:rPr>
        <w:t>NIHRC,</w:t>
      </w:r>
      <w:r>
        <w:rPr>
          <w:spacing w:val="-4"/>
          <w:sz w:val="18"/>
        </w:rPr>
        <w:t> </w:t>
      </w:r>
      <w:r>
        <w:rPr>
          <w:color w:val="1D71B8"/>
          <w:sz w:val="18"/>
          <w:u w:val="single" w:color="1D71B8"/>
        </w:rPr>
        <w:t>Illegal</w:t>
      </w:r>
      <w:r>
        <w:rPr>
          <w:color w:val="1D71B8"/>
          <w:spacing w:val="-5"/>
          <w:sz w:val="18"/>
          <w:u w:val="single" w:color="1D71B8"/>
        </w:rPr>
        <w:t> </w:t>
      </w:r>
      <w:r>
        <w:rPr>
          <w:color w:val="1D71B8"/>
          <w:sz w:val="18"/>
          <w:u w:val="single" w:color="1D71B8"/>
        </w:rPr>
        <w:t>Migration</w:t>
      </w:r>
      <w:r>
        <w:rPr>
          <w:color w:val="1D71B8"/>
          <w:spacing w:val="-4"/>
          <w:sz w:val="18"/>
          <w:u w:val="single" w:color="1D71B8"/>
        </w:rPr>
        <w:t> </w:t>
      </w:r>
      <w:r>
        <w:rPr>
          <w:color w:val="1D71B8"/>
          <w:sz w:val="18"/>
          <w:u w:val="single" w:color="1D71B8"/>
        </w:rPr>
        <w:t>Act</w:t>
      </w:r>
      <w:r>
        <w:rPr>
          <w:color w:val="1D71B8"/>
          <w:spacing w:val="-4"/>
          <w:sz w:val="18"/>
          <w:u w:val="single" w:color="1D71B8"/>
        </w:rPr>
        <w:t> </w:t>
      </w:r>
      <w:r>
        <w:rPr>
          <w:color w:val="1D71B8"/>
          <w:sz w:val="18"/>
          <w:u w:val="single" w:color="1D71B8"/>
        </w:rPr>
        <w:t>Challenge</w:t>
      </w:r>
      <w:r>
        <w:rPr>
          <w:color w:val="1D71B8"/>
          <w:spacing w:val="-4"/>
          <w:sz w:val="18"/>
          <w:u w:val="single" w:color="1D71B8"/>
        </w:rPr>
        <w:t> </w:t>
      </w:r>
      <w:r>
        <w:rPr>
          <w:color w:val="1D71B8"/>
          <w:sz w:val="18"/>
          <w:u w:val="single" w:color="1D71B8"/>
        </w:rPr>
        <w:t>Factsheet</w:t>
      </w:r>
      <w:r>
        <w:rPr>
          <w:color w:val="1D71B8"/>
          <w:spacing w:val="-5"/>
          <w:sz w:val="18"/>
          <w:u w:val="none"/>
        </w:rPr>
        <w:t> </w:t>
      </w:r>
      <w:r>
        <w:rPr>
          <w:sz w:val="18"/>
          <w:u w:val="none"/>
        </w:rPr>
        <w:t>(NIHRC,</w:t>
      </w:r>
      <w:r>
        <w:rPr>
          <w:spacing w:val="-4"/>
          <w:sz w:val="18"/>
          <w:u w:val="none"/>
        </w:rPr>
        <w:t> </w:t>
      </w:r>
      <w:r>
        <w:rPr>
          <w:sz w:val="18"/>
          <w:u w:val="none"/>
        </w:rPr>
        <w:t>2023)</w:t>
      </w:r>
      <w:r>
        <w:rPr>
          <w:spacing w:val="-4"/>
          <w:sz w:val="18"/>
          <w:u w:val="none"/>
        </w:rPr>
        <w:t> </w:t>
      </w:r>
      <w:r>
        <w:rPr>
          <w:sz w:val="18"/>
          <w:u w:val="none"/>
        </w:rPr>
        <w:t>(6</w:t>
      </w:r>
      <w:r>
        <w:rPr>
          <w:spacing w:val="-4"/>
          <w:sz w:val="18"/>
          <w:u w:val="none"/>
        </w:rPr>
        <w:t> </w:t>
      </w:r>
      <w:r>
        <w:rPr>
          <w:sz w:val="18"/>
          <w:u w:val="none"/>
        </w:rPr>
        <w:t>October</w:t>
      </w:r>
      <w:r>
        <w:rPr>
          <w:spacing w:val="-3"/>
          <w:sz w:val="18"/>
          <w:u w:val="none"/>
        </w:rPr>
        <w:t> </w:t>
      </w:r>
      <w:r>
        <w:rPr>
          <w:spacing w:val="-2"/>
          <w:sz w:val="18"/>
          <w:u w:val="none"/>
        </w:rPr>
        <w:t>2023).</w:t>
      </w:r>
    </w:p>
    <w:p>
      <w:pPr>
        <w:pStyle w:val="ListParagraph"/>
        <w:numPr>
          <w:ilvl w:val="0"/>
          <w:numId w:val="17"/>
        </w:numPr>
        <w:tabs>
          <w:tab w:pos="1684" w:val="left" w:leader="none"/>
        </w:tabs>
        <w:spacing w:line="240" w:lineRule="auto" w:before="0" w:after="0"/>
        <w:ind w:left="1684" w:right="1406" w:hanging="567"/>
        <w:jc w:val="left"/>
        <w:rPr>
          <w:sz w:val="18"/>
        </w:rPr>
      </w:pPr>
      <w:r>
        <w:rPr>
          <w:color w:val="1D71B8"/>
          <w:sz w:val="18"/>
          <w:u w:val="single" w:color="1D71B8"/>
        </w:rPr>
        <w:t>Northern</w:t>
      </w:r>
      <w:r>
        <w:rPr>
          <w:color w:val="1D71B8"/>
          <w:spacing w:val="-6"/>
          <w:sz w:val="18"/>
          <w:u w:val="single" w:color="1D71B8"/>
        </w:rPr>
        <w:t> </w:t>
      </w:r>
      <w:r>
        <w:rPr>
          <w:color w:val="1D71B8"/>
          <w:sz w:val="18"/>
          <w:u w:val="single" w:color="1D71B8"/>
        </w:rPr>
        <w:t>Ireland</w:t>
      </w:r>
      <w:r>
        <w:rPr>
          <w:color w:val="1D71B8"/>
          <w:spacing w:val="-6"/>
          <w:sz w:val="18"/>
          <w:u w:val="single" w:color="1D71B8"/>
        </w:rPr>
        <w:t> </w:t>
      </w:r>
      <w:r>
        <w:rPr>
          <w:color w:val="1D71B8"/>
          <w:sz w:val="18"/>
          <w:u w:val="single" w:color="1D71B8"/>
        </w:rPr>
        <w:t>Human</w:t>
      </w:r>
      <w:r>
        <w:rPr>
          <w:color w:val="1D71B8"/>
          <w:spacing w:val="-6"/>
          <w:sz w:val="18"/>
          <w:u w:val="single" w:color="1D71B8"/>
        </w:rPr>
        <w:t> </w:t>
      </w:r>
      <w:r>
        <w:rPr>
          <w:color w:val="1D71B8"/>
          <w:sz w:val="18"/>
          <w:u w:val="single" w:color="1D71B8"/>
        </w:rPr>
        <w:t>Rights</w:t>
      </w:r>
      <w:r>
        <w:rPr>
          <w:color w:val="1D71B8"/>
          <w:spacing w:val="-6"/>
          <w:sz w:val="18"/>
          <w:u w:val="single" w:color="1D71B8"/>
        </w:rPr>
        <w:t> </w:t>
      </w:r>
      <w:r>
        <w:rPr>
          <w:color w:val="1D71B8"/>
          <w:sz w:val="18"/>
          <w:u w:val="single" w:color="1D71B8"/>
        </w:rPr>
        <w:t>Commission’s</w:t>
      </w:r>
      <w:r>
        <w:rPr>
          <w:color w:val="1D71B8"/>
          <w:spacing w:val="-6"/>
          <w:sz w:val="18"/>
          <w:u w:val="single" w:color="1D71B8"/>
        </w:rPr>
        <w:t> </w:t>
      </w:r>
      <w:r>
        <w:rPr>
          <w:color w:val="1D71B8"/>
          <w:sz w:val="18"/>
          <w:u w:val="single" w:color="1D71B8"/>
        </w:rPr>
        <w:t>Application</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JR295’s</w:t>
      </w:r>
      <w:r>
        <w:rPr>
          <w:color w:val="1D71B8"/>
          <w:spacing w:val="-6"/>
          <w:sz w:val="18"/>
          <w:u w:val="single" w:color="1D71B8"/>
        </w:rPr>
        <w:t> </w:t>
      </w:r>
      <w:r>
        <w:rPr>
          <w:color w:val="1D71B8"/>
          <w:sz w:val="18"/>
          <w:u w:val="single" w:color="1D71B8"/>
        </w:rPr>
        <w:t>Application</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In</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matter</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Illegal</w:t>
      </w:r>
      <w:r>
        <w:rPr>
          <w:color w:val="1D71B8"/>
          <w:sz w:val="18"/>
          <w:u w:val="none"/>
        </w:rPr>
        <w:t> </w:t>
      </w:r>
      <w:r>
        <w:rPr>
          <w:color w:val="1D71B8"/>
          <w:sz w:val="18"/>
          <w:u w:val="single" w:color="1D71B8"/>
        </w:rPr>
        <w:t>Migration Act 2023; [2024] NIKB 35</w:t>
      </w:r>
      <w:r>
        <w:rPr>
          <w:sz w:val="18"/>
          <w:u w:val="none"/>
        </w:rPr>
        <w:t>, (13 May 2024).</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09024">
                <wp:simplePos x="0" y="0"/>
                <wp:positionH relativeFrom="page">
                  <wp:posOffset>0</wp:posOffset>
                </wp:positionH>
                <wp:positionV relativeFrom="page">
                  <wp:posOffset>0</wp:posOffset>
                </wp:positionV>
                <wp:extent cx="7560309" cy="1257935"/>
                <wp:effectExtent l="0" t="0" r="0" b="0"/>
                <wp:wrapNone/>
                <wp:docPr id="430" name="Group 430"/>
                <wp:cNvGraphicFramePr>
                  <a:graphicFrameLocks/>
                </wp:cNvGraphicFramePr>
                <a:graphic>
                  <a:graphicData uri="http://schemas.microsoft.com/office/word/2010/wordprocessingGroup">
                    <wpg:wgp>
                      <wpg:cNvPr id="430" name="Group 430"/>
                      <wpg:cNvGrpSpPr/>
                      <wpg:grpSpPr>
                        <a:xfrm>
                          <a:off x="0" y="0"/>
                          <a:ext cx="7560309" cy="1257935"/>
                          <a:chExt cx="7560309" cy="1257935"/>
                        </a:xfrm>
                      </wpg:grpSpPr>
                      <wps:wsp>
                        <wps:cNvPr id="431" name="Graphic 431"/>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432" name="Graphic 432"/>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433" name="Textbox 433"/>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44</w:t>
                              </w:r>
                            </w:p>
                          </w:txbxContent>
                        </wps:txbx>
                        <wps:bodyPr wrap="square" lIns="0" tIns="0" rIns="0" bIns="0" rtlCol="0">
                          <a:noAutofit/>
                        </wps:bodyPr>
                      </wps:wsp>
                      <wps:wsp>
                        <wps:cNvPr id="434" name="Textbox 434"/>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435" name="Textbox 435"/>
                        <wps:cNvSpPr txBox="1"/>
                        <wps:spPr>
                          <a:xfrm>
                            <a:off x="647999" y="1080003"/>
                            <a:ext cx="3933825" cy="177800"/>
                          </a:xfrm>
                          <a:prstGeom prst="rect">
                            <a:avLst/>
                          </a:prstGeom>
                        </wps:spPr>
                        <wps:txbx>
                          <w:txbxContent>
                            <w:p>
                              <w:pPr>
                                <w:spacing w:line="280" w:lineRule="exact" w:before="0"/>
                                <w:ind w:left="0" w:right="0" w:firstLine="0"/>
                                <w:jc w:val="left"/>
                                <w:rPr>
                                  <w:b/>
                                  <w:sz w:val="28"/>
                                </w:rPr>
                              </w:pPr>
                              <w:r>
                                <w:rPr>
                                  <w:b/>
                                  <w:color w:val="004A93"/>
                                  <w:sz w:val="28"/>
                                </w:rPr>
                                <w:t>2.3.6</w:t>
                              </w:r>
                              <w:r>
                                <w:rPr>
                                  <w:b/>
                                  <w:color w:val="004A93"/>
                                  <w:spacing w:val="-7"/>
                                  <w:sz w:val="28"/>
                                </w:rPr>
                                <w:t> </w:t>
                              </w:r>
                              <w:r>
                                <w:rPr>
                                  <w:b/>
                                  <w:color w:val="004A93"/>
                                  <w:sz w:val="28"/>
                                </w:rPr>
                                <w:t>Safety</w:t>
                              </w:r>
                              <w:r>
                                <w:rPr>
                                  <w:b/>
                                  <w:color w:val="004A93"/>
                                  <w:spacing w:val="-7"/>
                                  <w:sz w:val="28"/>
                                </w:rPr>
                                <w:t> </w:t>
                              </w:r>
                              <w:r>
                                <w:rPr>
                                  <w:b/>
                                  <w:color w:val="004A93"/>
                                  <w:sz w:val="28"/>
                                </w:rPr>
                                <w:t>of</w:t>
                              </w:r>
                              <w:r>
                                <w:rPr>
                                  <w:b/>
                                  <w:color w:val="004A93"/>
                                  <w:spacing w:val="-7"/>
                                  <w:sz w:val="28"/>
                                </w:rPr>
                                <w:t> </w:t>
                              </w:r>
                              <w:r>
                                <w:rPr>
                                  <w:b/>
                                  <w:color w:val="004A93"/>
                                  <w:sz w:val="28"/>
                                </w:rPr>
                                <w:t>Rwanda</w:t>
                              </w:r>
                              <w:r>
                                <w:rPr>
                                  <w:b/>
                                  <w:color w:val="004A93"/>
                                  <w:spacing w:val="-7"/>
                                  <w:sz w:val="28"/>
                                </w:rPr>
                                <w:t> </w:t>
                              </w:r>
                              <w:r>
                                <w:rPr>
                                  <w:b/>
                                  <w:color w:val="004A93"/>
                                  <w:sz w:val="28"/>
                                </w:rPr>
                                <w:t>(Asylum</w:t>
                              </w:r>
                              <w:r>
                                <w:rPr>
                                  <w:b/>
                                  <w:color w:val="004A93"/>
                                  <w:spacing w:val="-7"/>
                                  <w:sz w:val="28"/>
                                </w:rPr>
                                <w:t> </w:t>
                              </w:r>
                              <w:r>
                                <w:rPr>
                                  <w:b/>
                                  <w:color w:val="004A93"/>
                                  <w:sz w:val="28"/>
                                </w:rPr>
                                <w:t>and</w:t>
                              </w:r>
                              <w:r>
                                <w:rPr>
                                  <w:b/>
                                  <w:color w:val="004A93"/>
                                  <w:spacing w:val="-6"/>
                                  <w:sz w:val="28"/>
                                </w:rPr>
                                <w:t> </w:t>
                              </w:r>
                              <w:r>
                                <w:rPr>
                                  <w:b/>
                                  <w:color w:val="004A93"/>
                                  <w:sz w:val="28"/>
                                </w:rPr>
                                <w:t>Immigration)</w:t>
                              </w:r>
                              <w:r>
                                <w:rPr>
                                  <w:b/>
                                  <w:color w:val="004A93"/>
                                  <w:spacing w:val="-7"/>
                                  <w:sz w:val="28"/>
                                </w:rPr>
                                <w:t> </w:t>
                              </w:r>
                              <w:r>
                                <w:rPr>
                                  <w:b/>
                                  <w:color w:val="004A93"/>
                                  <w:spacing w:val="-4"/>
                                  <w:sz w:val="28"/>
                                </w:rPr>
                                <w:t>Bill</w:t>
                              </w:r>
                            </w:p>
                          </w:txbxContent>
                        </wps:txbx>
                        <wps:bodyPr wrap="square" lIns="0" tIns="0" rIns="0" bIns="0" rtlCol="0">
                          <a:noAutofit/>
                        </wps:bodyPr>
                      </wps:wsp>
                    </wpg:wgp>
                  </a:graphicData>
                </a:graphic>
              </wp:anchor>
            </w:drawing>
          </mc:Choice>
          <mc:Fallback>
            <w:pict>
              <v:group style="position:absolute;margin-left:.0pt;margin-top:-.00002pt;width:595.3pt;height:99.05pt;mso-position-horizontal-relative:page;mso-position-vertical-relative:page;z-index:15809024" id="docshapegroup341" coordorigin="0,0" coordsize="11906,1981">
                <v:shape style="position:absolute;left:0;top:0;width:11906;height:1819" id="docshape342"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343" filled="false" stroked="false">
                  <v:textbox inset="0,0,0,0">
                    <w:txbxContent>
                      <w:p>
                        <w:pPr>
                          <w:spacing w:line="280" w:lineRule="exact" w:before="0"/>
                          <w:ind w:left="0" w:right="0" w:firstLine="0"/>
                          <w:jc w:val="left"/>
                          <w:rPr>
                            <w:b/>
                            <w:sz w:val="28"/>
                          </w:rPr>
                        </w:pPr>
                        <w:r>
                          <w:rPr>
                            <w:b/>
                            <w:color w:val="FFFFFF"/>
                            <w:spacing w:val="-5"/>
                            <w:sz w:val="28"/>
                          </w:rPr>
                          <w:t>44</w:t>
                        </w:r>
                      </w:p>
                    </w:txbxContent>
                  </v:textbox>
                  <w10:wrap type="none"/>
                </v:shape>
                <v:shape style="position:absolute;left:1303;top:645;width:6182;height:240" type="#_x0000_t202" id="docshape344"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6195;height:280" type="#_x0000_t202" id="docshape345" filled="false" stroked="false">
                  <v:textbox inset="0,0,0,0">
                    <w:txbxContent>
                      <w:p>
                        <w:pPr>
                          <w:spacing w:line="280" w:lineRule="exact" w:before="0"/>
                          <w:ind w:left="0" w:right="0" w:firstLine="0"/>
                          <w:jc w:val="left"/>
                          <w:rPr>
                            <w:b/>
                            <w:sz w:val="28"/>
                          </w:rPr>
                        </w:pPr>
                        <w:r>
                          <w:rPr>
                            <w:b/>
                            <w:color w:val="004A93"/>
                            <w:sz w:val="28"/>
                          </w:rPr>
                          <w:t>2.3.6</w:t>
                        </w:r>
                        <w:r>
                          <w:rPr>
                            <w:b/>
                            <w:color w:val="004A93"/>
                            <w:spacing w:val="-7"/>
                            <w:sz w:val="28"/>
                          </w:rPr>
                          <w:t> </w:t>
                        </w:r>
                        <w:r>
                          <w:rPr>
                            <w:b/>
                            <w:color w:val="004A93"/>
                            <w:sz w:val="28"/>
                          </w:rPr>
                          <w:t>Safety</w:t>
                        </w:r>
                        <w:r>
                          <w:rPr>
                            <w:b/>
                            <w:color w:val="004A93"/>
                            <w:spacing w:val="-7"/>
                            <w:sz w:val="28"/>
                          </w:rPr>
                          <w:t> </w:t>
                        </w:r>
                        <w:r>
                          <w:rPr>
                            <w:b/>
                            <w:color w:val="004A93"/>
                            <w:sz w:val="28"/>
                          </w:rPr>
                          <w:t>of</w:t>
                        </w:r>
                        <w:r>
                          <w:rPr>
                            <w:b/>
                            <w:color w:val="004A93"/>
                            <w:spacing w:val="-7"/>
                            <w:sz w:val="28"/>
                          </w:rPr>
                          <w:t> </w:t>
                        </w:r>
                        <w:r>
                          <w:rPr>
                            <w:b/>
                            <w:color w:val="004A93"/>
                            <w:sz w:val="28"/>
                          </w:rPr>
                          <w:t>Rwanda</w:t>
                        </w:r>
                        <w:r>
                          <w:rPr>
                            <w:b/>
                            <w:color w:val="004A93"/>
                            <w:spacing w:val="-7"/>
                            <w:sz w:val="28"/>
                          </w:rPr>
                          <w:t> </w:t>
                        </w:r>
                        <w:r>
                          <w:rPr>
                            <w:b/>
                            <w:color w:val="004A93"/>
                            <w:sz w:val="28"/>
                          </w:rPr>
                          <w:t>(Asylum</w:t>
                        </w:r>
                        <w:r>
                          <w:rPr>
                            <w:b/>
                            <w:color w:val="004A93"/>
                            <w:spacing w:val="-7"/>
                            <w:sz w:val="28"/>
                          </w:rPr>
                          <w:t> </w:t>
                        </w:r>
                        <w:r>
                          <w:rPr>
                            <w:b/>
                            <w:color w:val="004A93"/>
                            <w:sz w:val="28"/>
                          </w:rPr>
                          <w:t>and</w:t>
                        </w:r>
                        <w:r>
                          <w:rPr>
                            <w:b/>
                            <w:color w:val="004A93"/>
                            <w:spacing w:val="-6"/>
                            <w:sz w:val="28"/>
                          </w:rPr>
                          <w:t> </w:t>
                        </w:r>
                        <w:r>
                          <w:rPr>
                            <w:b/>
                            <w:color w:val="004A93"/>
                            <w:sz w:val="28"/>
                          </w:rPr>
                          <w:t>Immigration)</w:t>
                        </w:r>
                        <w:r>
                          <w:rPr>
                            <w:b/>
                            <w:color w:val="004A93"/>
                            <w:spacing w:val="-7"/>
                            <w:sz w:val="28"/>
                          </w:rPr>
                          <w:t> </w:t>
                        </w:r>
                        <w:r>
                          <w:rPr>
                            <w:b/>
                            <w:color w:val="004A93"/>
                            <w:spacing w:val="-4"/>
                            <w:sz w:val="28"/>
                          </w:rPr>
                          <w:t>Bill</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720" w:right="1327"/>
      </w:pPr>
      <w:bookmarkStart w:name="2.3.6 Safety of Rwanda (Asylum and Immig" w:id="64"/>
      <w:bookmarkEnd w:id="64"/>
      <w:r>
        <w:rPr/>
      </w:r>
      <w:bookmarkStart w:name="_bookmark26" w:id="65"/>
      <w:bookmarkEnd w:id="65"/>
      <w:r>
        <w:rPr/>
      </w:r>
      <w:r>
        <w:rPr/>
        <w:t>Following</w:t>
      </w:r>
      <w:r>
        <w:rPr>
          <w:spacing w:val="-5"/>
        </w:rPr>
        <w:t> </w:t>
      </w:r>
      <w:r>
        <w:rPr/>
        <w:t>the</w:t>
      </w:r>
      <w:r>
        <w:rPr>
          <w:spacing w:val="-5"/>
        </w:rPr>
        <w:t> </w:t>
      </w:r>
      <w:r>
        <w:rPr/>
        <w:t>UK</w:t>
      </w:r>
      <w:r>
        <w:rPr>
          <w:spacing w:val="-5"/>
        </w:rPr>
        <w:t> </w:t>
      </w:r>
      <w:r>
        <w:rPr/>
        <w:t>Supreme</w:t>
      </w:r>
      <w:r>
        <w:rPr>
          <w:spacing w:val="-5"/>
        </w:rPr>
        <w:t> </w:t>
      </w:r>
      <w:r>
        <w:rPr/>
        <w:t>Court</w:t>
      </w:r>
      <w:r>
        <w:rPr>
          <w:spacing w:val="-5"/>
        </w:rPr>
        <w:t> </w:t>
      </w:r>
      <w:r>
        <w:rPr/>
        <w:t>judgment</w:t>
      </w:r>
      <w:r>
        <w:rPr>
          <w:spacing w:val="-5"/>
        </w:rPr>
        <w:t> </w:t>
      </w:r>
      <w:r>
        <w:rPr/>
        <w:t>in</w:t>
      </w:r>
      <w:r>
        <w:rPr>
          <w:spacing w:val="-6"/>
        </w:rPr>
        <w:t> </w:t>
      </w:r>
      <w:r>
        <w:rPr/>
        <w:t>the</w:t>
      </w:r>
      <w:r>
        <w:rPr>
          <w:spacing w:val="-5"/>
        </w:rPr>
        <w:t> </w:t>
      </w:r>
      <w:r>
        <w:rPr/>
        <w:t>Rwanda</w:t>
      </w:r>
      <w:r>
        <w:rPr>
          <w:spacing w:val="-6"/>
        </w:rPr>
        <w:t> </w:t>
      </w:r>
      <w:r>
        <w:rPr/>
        <w:t>case</w:t>
      </w:r>
      <w:r>
        <w:rPr>
          <w:spacing w:val="-5"/>
        </w:rPr>
        <w:t> </w:t>
      </w:r>
      <w:r>
        <w:rPr/>
        <w:t>(see</w:t>
      </w:r>
      <w:r>
        <w:rPr>
          <w:spacing w:val="-5"/>
        </w:rPr>
        <w:t> </w:t>
      </w:r>
      <w:r>
        <w:rPr/>
        <w:t>chapter</w:t>
      </w:r>
      <w:r>
        <w:rPr>
          <w:spacing w:val="-5"/>
        </w:rPr>
        <w:t> </w:t>
      </w:r>
      <w:r>
        <w:rPr/>
        <w:t>five), the UK has introduced the Safety of Rwanda (Asylum and Immigration) Bill 2023 to further the Government’s plans to deport certain migrants to Rwanda.</w:t>
      </w:r>
      <w:r>
        <w:rPr>
          <w:vertAlign w:val="superscript"/>
        </w:rPr>
        <w:t>222</w:t>
      </w:r>
      <w:r>
        <w:rPr>
          <w:vertAlign w:val="baseline"/>
        </w:rPr>
        <w:t> The Bill is seriously problematic from the viewpoint of Article 2(1) WF and the Rights, Safeguards and Equality of Opportunity section of the 1998 Agreement.</w:t>
      </w:r>
    </w:p>
    <w:p>
      <w:pPr>
        <w:pStyle w:val="BodyText"/>
        <w:spacing w:line="232" w:lineRule="auto" w:before="276"/>
        <w:ind w:left="720" w:right="1404"/>
      </w:pPr>
      <w:r>
        <w:rPr/>
        <w:t>The</w:t>
      </w:r>
      <w:r>
        <w:rPr>
          <w:spacing w:val="-5"/>
        </w:rPr>
        <w:t> </w:t>
      </w:r>
      <w:r>
        <w:rPr/>
        <w:t>Secretary</w:t>
      </w:r>
      <w:r>
        <w:rPr>
          <w:spacing w:val="-5"/>
        </w:rPr>
        <w:t> </w:t>
      </w:r>
      <w:r>
        <w:rPr/>
        <w:t>of</w:t>
      </w:r>
      <w:r>
        <w:rPr>
          <w:spacing w:val="-6"/>
        </w:rPr>
        <w:t> </w:t>
      </w:r>
      <w:r>
        <w:rPr/>
        <w:t>State</w:t>
      </w:r>
      <w:r>
        <w:rPr>
          <w:spacing w:val="-5"/>
        </w:rPr>
        <w:t> </w:t>
      </w:r>
      <w:r>
        <w:rPr/>
        <w:t>in</w:t>
      </w:r>
      <w:r>
        <w:rPr>
          <w:spacing w:val="-6"/>
        </w:rPr>
        <w:t> </w:t>
      </w:r>
      <w:r>
        <w:rPr/>
        <w:t>introducing</w:t>
      </w:r>
      <w:r>
        <w:rPr>
          <w:spacing w:val="-5"/>
        </w:rPr>
        <w:t> </w:t>
      </w:r>
      <w:r>
        <w:rPr/>
        <w:t>the</w:t>
      </w:r>
      <w:r>
        <w:rPr>
          <w:spacing w:val="-5"/>
        </w:rPr>
        <w:t> </w:t>
      </w:r>
      <w:r>
        <w:rPr/>
        <w:t>Bill</w:t>
      </w:r>
      <w:r>
        <w:rPr>
          <w:spacing w:val="-6"/>
        </w:rPr>
        <w:t> </w:t>
      </w:r>
      <w:r>
        <w:rPr/>
        <w:t>has</w:t>
      </w:r>
      <w:r>
        <w:rPr>
          <w:spacing w:val="-6"/>
        </w:rPr>
        <w:t> </w:t>
      </w:r>
      <w:r>
        <w:rPr/>
        <w:t>indicated</w:t>
      </w:r>
      <w:r>
        <w:rPr>
          <w:spacing w:val="-6"/>
        </w:rPr>
        <w:t> </w:t>
      </w:r>
      <w:r>
        <w:rPr/>
        <w:t>he</w:t>
      </w:r>
      <w:r>
        <w:rPr>
          <w:spacing w:val="-5"/>
        </w:rPr>
        <w:t> </w:t>
      </w:r>
      <w:r>
        <w:rPr/>
        <w:t>cannot</w:t>
      </w:r>
      <w:r>
        <w:rPr>
          <w:spacing w:val="-5"/>
        </w:rPr>
        <w:t> </w:t>
      </w:r>
      <w:r>
        <w:rPr/>
        <w:t>say</w:t>
      </w:r>
      <w:r>
        <w:rPr>
          <w:spacing w:val="-5"/>
        </w:rPr>
        <w:t> </w:t>
      </w:r>
      <w:r>
        <w:rPr/>
        <w:t>that</w:t>
      </w:r>
      <w:r>
        <w:rPr>
          <w:spacing w:val="-5"/>
        </w:rPr>
        <w:t> </w:t>
      </w:r>
      <w:r>
        <w:rPr/>
        <w:t>the Bill is compatible with the rights in the European Convention on Human Rights.</w:t>
      </w:r>
    </w:p>
    <w:p>
      <w:pPr>
        <w:pStyle w:val="BodyText"/>
        <w:spacing w:line="232" w:lineRule="auto"/>
        <w:ind w:left="720" w:right="1087"/>
      </w:pPr>
      <w:r>
        <w:rPr/>
        <w:t>The</w:t>
      </w:r>
      <w:r>
        <w:rPr>
          <w:spacing w:val="-3"/>
        </w:rPr>
        <w:t> </w:t>
      </w:r>
      <w:r>
        <w:rPr/>
        <w:t>Bill</w:t>
      </w:r>
      <w:r>
        <w:rPr>
          <w:spacing w:val="-4"/>
        </w:rPr>
        <w:t> </w:t>
      </w:r>
      <w:r>
        <w:rPr/>
        <w:t>applies</w:t>
      </w:r>
      <w:r>
        <w:rPr>
          <w:spacing w:val="-4"/>
        </w:rPr>
        <w:t> </w:t>
      </w:r>
      <w:r>
        <w:rPr/>
        <w:t>to</w:t>
      </w:r>
      <w:r>
        <w:rPr>
          <w:spacing w:val="-4"/>
        </w:rPr>
        <w:t> </w:t>
      </w:r>
      <w:r>
        <w:rPr/>
        <w:t>Northern</w:t>
      </w:r>
      <w:r>
        <w:rPr>
          <w:spacing w:val="-4"/>
        </w:rPr>
        <w:t> </w:t>
      </w:r>
      <w:r>
        <w:rPr/>
        <w:t>Ireland</w:t>
      </w:r>
      <w:r>
        <w:rPr>
          <w:spacing w:val="-4"/>
        </w:rPr>
        <w:t> </w:t>
      </w:r>
      <w:r>
        <w:rPr/>
        <w:t>and</w:t>
      </w:r>
      <w:r>
        <w:rPr>
          <w:spacing w:val="-4"/>
        </w:rPr>
        <w:t> </w:t>
      </w:r>
      <w:r>
        <w:rPr/>
        <w:t>there</w:t>
      </w:r>
      <w:r>
        <w:rPr>
          <w:spacing w:val="-3"/>
        </w:rPr>
        <w:t> </w:t>
      </w:r>
      <w:r>
        <w:rPr/>
        <w:t>is</w:t>
      </w:r>
      <w:r>
        <w:rPr>
          <w:spacing w:val="-4"/>
        </w:rPr>
        <w:t> </w:t>
      </w:r>
      <w:r>
        <w:rPr/>
        <w:t>no</w:t>
      </w:r>
      <w:r>
        <w:rPr>
          <w:spacing w:val="-4"/>
        </w:rPr>
        <w:t> </w:t>
      </w:r>
      <w:r>
        <w:rPr/>
        <w:t>discussion</w:t>
      </w:r>
      <w:r>
        <w:rPr>
          <w:spacing w:val="-4"/>
        </w:rPr>
        <w:t> </w:t>
      </w:r>
      <w:r>
        <w:rPr/>
        <w:t>in</w:t>
      </w:r>
      <w:r>
        <w:rPr>
          <w:spacing w:val="-4"/>
        </w:rPr>
        <w:t> </w:t>
      </w:r>
      <w:r>
        <w:rPr/>
        <w:t>the</w:t>
      </w:r>
      <w:r>
        <w:rPr>
          <w:spacing w:val="-3"/>
        </w:rPr>
        <w:t> </w:t>
      </w:r>
      <w:r>
        <w:rPr/>
        <w:t>Explanatory Notes or Human Rights Memorandum about either Article 2(1) WF or the 1998 Agreement or the Trade and Cooperation Agreement.</w:t>
      </w:r>
    </w:p>
    <w:p>
      <w:pPr>
        <w:pStyle w:val="BodyText"/>
        <w:spacing w:line="232" w:lineRule="auto" w:before="276"/>
        <w:ind w:left="720" w:right="1203"/>
      </w:pPr>
      <w:r>
        <w:rPr/>
        <w:t>Clause 1 gives details of the treaty between the UK and Rwanda. Clause 2 of the Bill requires decision-makers to treat Rwanda as a safe country and courts or tribunals</w:t>
      </w:r>
      <w:r>
        <w:rPr>
          <w:spacing w:val="-7"/>
        </w:rPr>
        <w:t> </w:t>
      </w:r>
      <w:r>
        <w:rPr/>
        <w:t>are</w:t>
      </w:r>
      <w:r>
        <w:rPr>
          <w:spacing w:val="-6"/>
        </w:rPr>
        <w:t> </w:t>
      </w:r>
      <w:r>
        <w:rPr/>
        <w:t>precluded</w:t>
      </w:r>
      <w:r>
        <w:rPr>
          <w:spacing w:val="-7"/>
        </w:rPr>
        <w:t> </w:t>
      </w:r>
      <w:r>
        <w:rPr/>
        <w:t>from</w:t>
      </w:r>
      <w:r>
        <w:rPr>
          <w:spacing w:val="-6"/>
        </w:rPr>
        <w:t> </w:t>
      </w:r>
      <w:r>
        <w:rPr/>
        <w:t>hearing</w:t>
      </w:r>
      <w:r>
        <w:rPr>
          <w:spacing w:val="-6"/>
        </w:rPr>
        <w:t> </w:t>
      </w:r>
      <w:r>
        <w:rPr/>
        <w:t>arguments</w:t>
      </w:r>
      <w:r>
        <w:rPr>
          <w:spacing w:val="-7"/>
        </w:rPr>
        <w:t> </w:t>
      </w:r>
      <w:r>
        <w:rPr/>
        <w:t>that</w:t>
      </w:r>
      <w:r>
        <w:rPr>
          <w:spacing w:val="-6"/>
        </w:rPr>
        <w:t> </w:t>
      </w:r>
      <w:r>
        <w:rPr/>
        <w:t>Rwanda</w:t>
      </w:r>
      <w:r>
        <w:rPr>
          <w:spacing w:val="-7"/>
        </w:rPr>
        <w:t> </w:t>
      </w:r>
      <w:r>
        <w:rPr/>
        <w:t>is</w:t>
      </w:r>
      <w:r>
        <w:rPr>
          <w:spacing w:val="-7"/>
        </w:rPr>
        <w:t> </w:t>
      </w:r>
      <w:r>
        <w:rPr/>
        <w:t>not</w:t>
      </w:r>
      <w:r>
        <w:rPr>
          <w:spacing w:val="-6"/>
        </w:rPr>
        <w:t> </w:t>
      </w:r>
      <w:r>
        <w:rPr/>
        <w:t>a</w:t>
      </w:r>
      <w:r>
        <w:rPr>
          <w:spacing w:val="-7"/>
        </w:rPr>
        <w:t> </w:t>
      </w:r>
      <w:r>
        <w:rPr/>
        <w:t>safe</w:t>
      </w:r>
      <w:r>
        <w:rPr>
          <w:spacing w:val="-6"/>
        </w:rPr>
        <w:t> </w:t>
      </w:r>
      <w:r>
        <w:rPr/>
        <w:t>country; the sub-clauses are said to apply notwithstanding the Immigration Acts, Human Rights</w:t>
      </w:r>
      <w:r>
        <w:rPr>
          <w:spacing w:val="-6"/>
        </w:rPr>
        <w:t> </w:t>
      </w:r>
      <w:r>
        <w:rPr/>
        <w:t>Act,</w:t>
      </w:r>
      <w:r>
        <w:rPr>
          <w:spacing w:val="-6"/>
        </w:rPr>
        <w:t> </w:t>
      </w:r>
      <w:r>
        <w:rPr/>
        <w:t>any</w:t>
      </w:r>
      <w:r>
        <w:rPr>
          <w:spacing w:val="-6"/>
        </w:rPr>
        <w:t> </w:t>
      </w:r>
      <w:r>
        <w:rPr/>
        <w:t>domestic</w:t>
      </w:r>
      <w:r>
        <w:rPr>
          <w:spacing w:val="-6"/>
        </w:rPr>
        <w:t> </w:t>
      </w:r>
      <w:r>
        <w:rPr/>
        <w:t>law</w:t>
      </w:r>
      <w:r>
        <w:rPr>
          <w:spacing w:val="-6"/>
        </w:rPr>
        <w:t> </w:t>
      </w:r>
      <w:r>
        <w:rPr/>
        <w:t>(including</w:t>
      </w:r>
      <w:r>
        <w:rPr>
          <w:spacing w:val="-6"/>
        </w:rPr>
        <w:t> </w:t>
      </w:r>
      <w:r>
        <w:rPr/>
        <w:t>the</w:t>
      </w:r>
      <w:r>
        <w:rPr>
          <w:spacing w:val="-6"/>
        </w:rPr>
        <w:t> </w:t>
      </w:r>
      <w:r>
        <w:rPr/>
        <w:t>common</w:t>
      </w:r>
      <w:r>
        <w:rPr>
          <w:spacing w:val="-6"/>
        </w:rPr>
        <w:t> </w:t>
      </w:r>
      <w:r>
        <w:rPr/>
        <w:t>law)</w:t>
      </w:r>
      <w:r>
        <w:rPr>
          <w:spacing w:val="-6"/>
        </w:rPr>
        <w:t> </w:t>
      </w:r>
      <w:r>
        <w:rPr/>
        <w:t>and</w:t>
      </w:r>
      <w:r>
        <w:rPr>
          <w:spacing w:val="-6"/>
        </w:rPr>
        <w:t> </w:t>
      </w:r>
      <w:r>
        <w:rPr/>
        <w:t>any</w:t>
      </w:r>
      <w:r>
        <w:rPr>
          <w:spacing w:val="-6"/>
        </w:rPr>
        <w:t> </w:t>
      </w:r>
      <w:r>
        <w:rPr/>
        <w:t>interpretation</w:t>
      </w:r>
      <w:r>
        <w:rPr>
          <w:spacing w:val="-6"/>
        </w:rPr>
        <w:t> </w:t>
      </w:r>
      <w:r>
        <w:rPr/>
        <w:t>of international law.</w:t>
      </w:r>
    </w:p>
    <w:p>
      <w:pPr>
        <w:pStyle w:val="BodyText"/>
        <w:spacing w:line="232" w:lineRule="auto" w:before="274"/>
        <w:ind w:left="720" w:right="1143"/>
      </w:pPr>
      <w:r>
        <w:rPr/>
        <w:t>Clause 3 disapplies sections 2, 3 and 6-9 of the Human Rights Act to certain questions under the Bill; section 3 is disapplied in its entirety in respect of the Bill. Section</w:t>
      </w:r>
      <w:r>
        <w:rPr>
          <w:spacing w:val="-6"/>
        </w:rPr>
        <w:t> </w:t>
      </w:r>
      <w:r>
        <w:rPr/>
        <w:t>2</w:t>
      </w:r>
      <w:r>
        <w:rPr>
          <w:spacing w:val="-5"/>
        </w:rPr>
        <w:t> </w:t>
      </w:r>
      <w:r>
        <w:rPr/>
        <w:t>Human</w:t>
      </w:r>
      <w:r>
        <w:rPr>
          <w:spacing w:val="-6"/>
        </w:rPr>
        <w:t> </w:t>
      </w:r>
      <w:r>
        <w:rPr/>
        <w:t>Rights</w:t>
      </w:r>
      <w:r>
        <w:rPr>
          <w:spacing w:val="-6"/>
        </w:rPr>
        <w:t> </w:t>
      </w:r>
      <w:r>
        <w:rPr/>
        <w:t>Act</w:t>
      </w:r>
      <w:r>
        <w:rPr>
          <w:spacing w:val="-5"/>
        </w:rPr>
        <w:t> </w:t>
      </w:r>
      <w:r>
        <w:rPr/>
        <w:t>requires</w:t>
      </w:r>
      <w:r>
        <w:rPr>
          <w:spacing w:val="-6"/>
        </w:rPr>
        <w:t> </w:t>
      </w:r>
      <w:r>
        <w:rPr/>
        <w:t>courts</w:t>
      </w:r>
      <w:r>
        <w:rPr>
          <w:spacing w:val="-6"/>
        </w:rPr>
        <w:t> </w:t>
      </w:r>
      <w:r>
        <w:rPr/>
        <w:t>to</w:t>
      </w:r>
      <w:r>
        <w:rPr>
          <w:spacing w:val="-6"/>
        </w:rPr>
        <w:t> </w:t>
      </w:r>
      <w:r>
        <w:rPr/>
        <w:t>take</w:t>
      </w:r>
      <w:r>
        <w:rPr>
          <w:spacing w:val="-5"/>
        </w:rPr>
        <w:t> </w:t>
      </w:r>
      <w:r>
        <w:rPr/>
        <w:t>into</w:t>
      </w:r>
      <w:r>
        <w:rPr>
          <w:spacing w:val="-6"/>
        </w:rPr>
        <w:t> </w:t>
      </w:r>
      <w:r>
        <w:rPr/>
        <w:t>account</w:t>
      </w:r>
      <w:r>
        <w:rPr>
          <w:spacing w:val="-5"/>
        </w:rPr>
        <w:t> </w:t>
      </w:r>
      <w:r>
        <w:rPr/>
        <w:t>the</w:t>
      </w:r>
      <w:r>
        <w:rPr>
          <w:spacing w:val="-5"/>
        </w:rPr>
        <w:t> </w:t>
      </w:r>
      <w:r>
        <w:rPr/>
        <w:t>case</w:t>
      </w:r>
      <w:r>
        <w:rPr>
          <w:spacing w:val="-5"/>
        </w:rPr>
        <w:t> </w:t>
      </w:r>
      <w:r>
        <w:rPr/>
        <w:t>law</w:t>
      </w:r>
      <w:r>
        <w:rPr>
          <w:spacing w:val="-5"/>
        </w:rPr>
        <w:t> </w:t>
      </w:r>
      <w:r>
        <w:rPr/>
        <w:t>of</w:t>
      </w:r>
      <w:r>
        <w:rPr>
          <w:spacing w:val="-6"/>
        </w:rPr>
        <w:t> </w:t>
      </w:r>
      <w:r>
        <w:rPr/>
        <w:t>the European Court of Human Rights; section 3 requires courts to interpret legislation in so far as it is possible to do so to be compatible with Convention rights, while section 6 requires public authorities to act compatibly with Convention rights.</w:t>
      </w:r>
    </w:p>
    <w:p>
      <w:pPr>
        <w:pStyle w:val="BodyText"/>
        <w:spacing w:line="232" w:lineRule="auto"/>
        <w:ind w:left="720" w:right="1087"/>
      </w:pPr>
      <w:r>
        <w:rPr/>
        <w:t>The disapplication of sections 6-9 Human Rights Act</w:t>
      </w:r>
      <w:r>
        <w:rPr>
          <w:vertAlign w:val="superscript"/>
        </w:rPr>
        <w:t>223</w:t>
      </w:r>
      <w:r>
        <w:rPr>
          <w:vertAlign w:val="baseline"/>
        </w:rPr>
        <w:t> is ‘unprecedented’ and ‘particularly</w:t>
      </w:r>
      <w:r>
        <w:rPr>
          <w:spacing w:val="-7"/>
          <w:vertAlign w:val="baseline"/>
        </w:rPr>
        <w:t> </w:t>
      </w:r>
      <w:r>
        <w:rPr>
          <w:vertAlign w:val="baseline"/>
        </w:rPr>
        <w:t>alarming’.</w:t>
      </w:r>
      <w:r>
        <w:rPr>
          <w:vertAlign w:val="superscript"/>
        </w:rPr>
        <w:t>224</w:t>
      </w:r>
      <w:r>
        <w:rPr>
          <w:spacing w:val="-8"/>
          <w:vertAlign w:val="baseline"/>
        </w:rPr>
        <w:t> </w:t>
      </w:r>
      <w:r>
        <w:rPr>
          <w:vertAlign w:val="baseline"/>
        </w:rPr>
        <w:t>Under</w:t>
      </w:r>
      <w:r>
        <w:rPr>
          <w:spacing w:val="-7"/>
          <w:vertAlign w:val="baseline"/>
        </w:rPr>
        <w:t> </w:t>
      </w:r>
      <w:r>
        <w:rPr>
          <w:vertAlign w:val="baseline"/>
        </w:rPr>
        <w:t>clause</w:t>
      </w:r>
      <w:r>
        <w:rPr>
          <w:spacing w:val="-7"/>
          <w:vertAlign w:val="baseline"/>
        </w:rPr>
        <w:t> </w:t>
      </w:r>
      <w:r>
        <w:rPr>
          <w:vertAlign w:val="baseline"/>
        </w:rPr>
        <w:t>5</w:t>
      </w:r>
      <w:r>
        <w:rPr>
          <w:spacing w:val="-7"/>
          <w:vertAlign w:val="baseline"/>
        </w:rPr>
        <w:t> </w:t>
      </w:r>
      <w:r>
        <w:rPr>
          <w:vertAlign w:val="baseline"/>
        </w:rPr>
        <w:t>of</w:t>
      </w:r>
      <w:r>
        <w:rPr>
          <w:spacing w:val="-8"/>
          <w:vertAlign w:val="baseline"/>
        </w:rPr>
        <w:t> </w:t>
      </w:r>
      <w:r>
        <w:rPr>
          <w:vertAlign w:val="baseline"/>
        </w:rPr>
        <w:t>the</w:t>
      </w:r>
      <w:r>
        <w:rPr>
          <w:spacing w:val="-7"/>
          <w:vertAlign w:val="baseline"/>
        </w:rPr>
        <w:t> </w:t>
      </w:r>
      <w:r>
        <w:rPr>
          <w:vertAlign w:val="baseline"/>
        </w:rPr>
        <w:t>Bill</w:t>
      </w:r>
      <w:r>
        <w:rPr>
          <w:spacing w:val="-8"/>
          <w:vertAlign w:val="baseline"/>
        </w:rPr>
        <w:t> </w:t>
      </w:r>
      <w:r>
        <w:rPr>
          <w:vertAlign w:val="baseline"/>
        </w:rPr>
        <w:t>courts</w:t>
      </w:r>
      <w:r>
        <w:rPr>
          <w:spacing w:val="-8"/>
          <w:vertAlign w:val="baseline"/>
        </w:rPr>
        <w:t> </w:t>
      </w:r>
      <w:r>
        <w:rPr>
          <w:vertAlign w:val="baseline"/>
        </w:rPr>
        <w:t>or</w:t>
      </w:r>
      <w:r>
        <w:rPr>
          <w:spacing w:val="-7"/>
          <w:vertAlign w:val="baseline"/>
        </w:rPr>
        <w:t> </w:t>
      </w:r>
      <w:r>
        <w:rPr>
          <w:vertAlign w:val="baseline"/>
        </w:rPr>
        <w:t>tribunals</w:t>
      </w:r>
      <w:r>
        <w:rPr>
          <w:spacing w:val="-8"/>
          <w:vertAlign w:val="baseline"/>
        </w:rPr>
        <w:t> </w:t>
      </w:r>
      <w:r>
        <w:rPr>
          <w:vertAlign w:val="baseline"/>
        </w:rPr>
        <w:t>may</w:t>
      </w:r>
      <w:r>
        <w:rPr>
          <w:spacing w:val="-7"/>
          <w:vertAlign w:val="baseline"/>
        </w:rPr>
        <w:t> </w:t>
      </w:r>
      <w:r>
        <w:rPr>
          <w:vertAlign w:val="baseline"/>
        </w:rPr>
        <w:t>not</w:t>
      </w:r>
      <w:r>
        <w:rPr>
          <w:spacing w:val="-7"/>
          <w:vertAlign w:val="baseline"/>
        </w:rPr>
        <w:t> </w:t>
      </w:r>
      <w:r>
        <w:rPr>
          <w:vertAlign w:val="baseline"/>
        </w:rPr>
        <w:t>have regard to any interim measure of the European Court of Human Rights relating to the removal of a person to Rwanda.</w:t>
      </w:r>
    </w:p>
    <w:p>
      <w:pPr>
        <w:pStyle w:val="BodyText"/>
        <w:spacing w:line="232" w:lineRule="auto" w:before="268"/>
        <w:ind w:left="720" w:right="1404"/>
      </w:pPr>
      <w:r>
        <w:rPr/>
        <w:t>The ECHR Memorandum attached to the Bill recognises that the rights to life, freedom</w:t>
      </w:r>
      <w:r>
        <w:rPr>
          <w:spacing w:val="-5"/>
        </w:rPr>
        <w:t> </w:t>
      </w:r>
      <w:r>
        <w:rPr/>
        <w:t>from</w:t>
      </w:r>
      <w:r>
        <w:rPr>
          <w:spacing w:val="-5"/>
        </w:rPr>
        <w:t> </w:t>
      </w:r>
      <w:r>
        <w:rPr/>
        <w:t>torture</w:t>
      </w:r>
      <w:r>
        <w:rPr>
          <w:spacing w:val="-5"/>
        </w:rPr>
        <w:t> </w:t>
      </w:r>
      <w:r>
        <w:rPr/>
        <w:t>inhuman</w:t>
      </w:r>
      <w:r>
        <w:rPr>
          <w:spacing w:val="-6"/>
        </w:rPr>
        <w:t> </w:t>
      </w:r>
      <w:r>
        <w:rPr/>
        <w:t>or</w:t>
      </w:r>
      <w:r>
        <w:rPr>
          <w:spacing w:val="-5"/>
        </w:rPr>
        <w:t> </w:t>
      </w:r>
      <w:r>
        <w:rPr/>
        <w:t>degrading</w:t>
      </w:r>
      <w:r>
        <w:rPr>
          <w:spacing w:val="-5"/>
        </w:rPr>
        <w:t> </w:t>
      </w:r>
      <w:r>
        <w:rPr/>
        <w:t>treatment</w:t>
      </w:r>
      <w:r>
        <w:rPr>
          <w:spacing w:val="-5"/>
        </w:rPr>
        <w:t> </w:t>
      </w:r>
      <w:r>
        <w:rPr/>
        <w:t>or</w:t>
      </w:r>
      <w:r>
        <w:rPr>
          <w:spacing w:val="-5"/>
        </w:rPr>
        <w:t> </w:t>
      </w:r>
      <w:r>
        <w:rPr/>
        <w:t>punishment,</w:t>
      </w:r>
      <w:r>
        <w:rPr>
          <w:spacing w:val="-5"/>
        </w:rPr>
        <w:t> </w:t>
      </w:r>
      <w:r>
        <w:rPr/>
        <w:t>respect for private and family life and right to a remedy are engaged by the Bill.</w:t>
      </w:r>
      <w:r>
        <w:rPr>
          <w:spacing w:val="-26"/>
        </w:rPr>
        <w:t> </w:t>
      </w:r>
      <w:r>
        <w:rPr>
          <w:vertAlign w:val="superscript"/>
        </w:rPr>
        <w:t>225</w:t>
      </w:r>
      <w:r>
        <w:rPr>
          <w:vertAlign w:val="baseline"/>
        </w:rPr>
        <w:t> It argues</w:t>
      </w:r>
      <w:r>
        <w:rPr>
          <w:spacing w:val="-2"/>
          <w:vertAlign w:val="baseline"/>
        </w:rPr>
        <w:t> </w:t>
      </w:r>
      <w:r>
        <w:rPr>
          <w:vertAlign w:val="baseline"/>
        </w:rPr>
        <w:t>that</w:t>
      </w:r>
      <w:r>
        <w:rPr>
          <w:spacing w:val="-1"/>
          <w:vertAlign w:val="baseline"/>
        </w:rPr>
        <w:t> </w:t>
      </w:r>
      <w:r>
        <w:rPr>
          <w:vertAlign w:val="baseline"/>
        </w:rPr>
        <w:t>the</w:t>
      </w:r>
      <w:r>
        <w:rPr>
          <w:spacing w:val="-1"/>
          <w:vertAlign w:val="baseline"/>
        </w:rPr>
        <w:t> </w:t>
      </w:r>
      <w:r>
        <w:rPr>
          <w:vertAlign w:val="baseline"/>
        </w:rPr>
        <w:t>Bill</w:t>
      </w:r>
      <w:r>
        <w:rPr>
          <w:spacing w:val="-2"/>
          <w:vertAlign w:val="baseline"/>
        </w:rPr>
        <w:t> </w:t>
      </w:r>
      <w:r>
        <w:rPr>
          <w:vertAlign w:val="baseline"/>
        </w:rPr>
        <w:t>will</w:t>
      </w:r>
      <w:r>
        <w:rPr>
          <w:spacing w:val="-2"/>
          <w:vertAlign w:val="baseline"/>
        </w:rPr>
        <w:t> </w:t>
      </w:r>
      <w:r>
        <w:rPr>
          <w:vertAlign w:val="baseline"/>
        </w:rPr>
        <w:t>not</w:t>
      </w:r>
      <w:r>
        <w:rPr>
          <w:spacing w:val="-1"/>
          <w:vertAlign w:val="baseline"/>
        </w:rPr>
        <w:t> </w:t>
      </w:r>
      <w:r>
        <w:rPr>
          <w:vertAlign w:val="baseline"/>
        </w:rPr>
        <w:t>breach</w:t>
      </w:r>
      <w:r>
        <w:rPr>
          <w:spacing w:val="-2"/>
          <w:vertAlign w:val="baseline"/>
        </w:rPr>
        <w:t> </w:t>
      </w:r>
      <w:r>
        <w:rPr>
          <w:vertAlign w:val="baseline"/>
        </w:rPr>
        <w:t>the</w:t>
      </w:r>
      <w:r>
        <w:rPr>
          <w:spacing w:val="-1"/>
          <w:vertAlign w:val="baseline"/>
        </w:rPr>
        <w:t> </w:t>
      </w:r>
      <w:r>
        <w:rPr>
          <w:vertAlign w:val="baseline"/>
        </w:rPr>
        <w:t>right</w:t>
      </w:r>
      <w:r>
        <w:rPr>
          <w:spacing w:val="-1"/>
          <w:vertAlign w:val="baseline"/>
        </w:rPr>
        <w:t> </w:t>
      </w:r>
      <w:r>
        <w:rPr>
          <w:vertAlign w:val="baseline"/>
        </w:rPr>
        <w:t>to</w:t>
      </w:r>
      <w:r>
        <w:rPr>
          <w:spacing w:val="-2"/>
          <w:vertAlign w:val="baseline"/>
        </w:rPr>
        <w:t> </w:t>
      </w:r>
      <w:r>
        <w:rPr>
          <w:vertAlign w:val="baseline"/>
        </w:rPr>
        <w:t>life</w:t>
      </w:r>
      <w:r>
        <w:rPr>
          <w:spacing w:val="-1"/>
          <w:vertAlign w:val="baseline"/>
        </w:rPr>
        <w:t> </w:t>
      </w:r>
      <w:r>
        <w:rPr>
          <w:vertAlign w:val="baseline"/>
        </w:rPr>
        <w:t>or</w:t>
      </w:r>
      <w:r>
        <w:rPr>
          <w:spacing w:val="-1"/>
          <w:vertAlign w:val="baseline"/>
        </w:rPr>
        <w:t> </w:t>
      </w:r>
      <w:r>
        <w:rPr>
          <w:vertAlign w:val="baseline"/>
        </w:rPr>
        <w:t>the</w:t>
      </w:r>
      <w:r>
        <w:rPr>
          <w:spacing w:val="-1"/>
          <w:vertAlign w:val="baseline"/>
        </w:rPr>
        <w:t> </w:t>
      </w:r>
      <w:r>
        <w:rPr>
          <w:vertAlign w:val="baseline"/>
        </w:rPr>
        <w:t>right</w:t>
      </w:r>
      <w:r>
        <w:rPr>
          <w:spacing w:val="-1"/>
          <w:vertAlign w:val="baseline"/>
        </w:rPr>
        <w:t> </w:t>
      </w:r>
      <w:r>
        <w:rPr>
          <w:vertAlign w:val="baseline"/>
        </w:rPr>
        <w:t>to</w:t>
      </w:r>
      <w:r>
        <w:rPr>
          <w:spacing w:val="-2"/>
          <w:vertAlign w:val="baseline"/>
        </w:rPr>
        <w:t> </w:t>
      </w:r>
      <w:r>
        <w:rPr>
          <w:vertAlign w:val="baseline"/>
        </w:rPr>
        <w:t>freedom</w:t>
      </w:r>
      <w:r>
        <w:rPr>
          <w:spacing w:val="-1"/>
          <w:vertAlign w:val="baseline"/>
        </w:rPr>
        <w:t> </w:t>
      </w:r>
      <w:r>
        <w:rPr>
          <w:vertAlign w:val="baseline"/>
        </w:rPr>
        <w:t>from torture, inhuman or degrading treatment or punishment because the Bill still allows individualised arguments to be made that an individual would risk their safety</w:t>
      </w:r>
      <w:r>
        <w:rPr>
          <w:spacing w:val="-9"/>
          <w:vertAlign w:val="baseline"/>
        </w:rPr>
        <w:t> </w:t>
      </w:r>
      <w:r>
        <w:rPr>
          <w:vertAlign w:val="baseline"/>
        </w:rPr>
        <w:t>if</w:t>
      </w:r>
      <w:r>
        <w:rPr>
          <w:spacing w:val="-9"/>
          <w:vertAlign w:val="baseline"/>
        </w:rPr>
        <w:t> </w:t>
      </w:r>
      <w:r>
        <w:rPr>
          <w:vertAlign w:val="baseline"/>
        </w:rPr>
        <w:t>removed</w:t>
      </w:r>
      <w:r>
        <w:rPr>
          <w:spacing w:val="-9"/>
          <w:vertAlign w:val="baseline"/>
        </w:rPr>
        <w:t> </w:t>
      </w:r>
      <w:r>
        <w:rPr>
          <w:vertAlign w:val="baseline"/>
        </w:rPr>
        <w:t>to</w:t>
      </w:r>
      <w:r>
        <w:rPr>
          <w:spacing w:val="-9"/>
          <w:vertAlign w:val="baseline"/>
        </w:rPr>
        <w:t> </w:t>
      </w:r>
      <w:r>
        <w:rPr>
          <w:vertAlign w:val="baseline"/>
        </w:rPr>
        <w:t>Rwanda.</w:t>
      </w:r>
      <w:r>
        <w:rPr>
          <w:vertAlign w:val="superscript"/>
        </w:rPr>
        <w:t>226</w:t>
      </w:r>
      <w:r>
        <w:rPr>
          <w:spacing w:val="-9"/>
          <w:vertAlign w:val="baseline"/>
        </w:rPr>
        <w:t> </w:t>
      </w:r>
      <w:r>
        <w:rPr>
          <w:vertAlign w:val="baseline"/>
        </w:rPr>
        <w:t>The</w:t>
      </w:r>
      <w:r>
        <w:rPr>
          <w:spacing w:val="-9"/>
          <w:vertAlign w:val="baseline"/>
        </w:rPr>
        <w:t> </w:t>
      </w:r>
      <w:r>
        <w:rPr>
          <w:vertAlign w:val="baseline"/>
        </w:rPr>
        <w:t>memorandum</w:t>
      </w:r>
      <w:r>
        <w:rPr>
          <w:spacing w:val="-9"/>
          <w:vertAlign w:val="baseline"/>
        </w:rPr>
        <w:t> </w:t>
      </w:r>
      <w:r>
        <w:rPr>
          <w:vertAlign w:val="baseline"/>
        </w:rPr>
        <w:t>argues</w:t>
      </w:r>
      <w:r>
        <w:rPr>
          <w:spacing w:val="-9"/>
          <w:vertAlign w:val="baseline"/>
        </w:rPr>
        <w:t> </w:t>
      </w:r>
      <w:r>
        <w:rPr>
          <w:vertAlign w:val="baseline"/>
        </w:rPr>
        <w:t>that</w:t>
      </w:r>
      <w:r>
        <w:rPr>
          <w:spacing w:val="-9"/>
          <w:vertAlign w:val="baseline"/>
        </w:rPr>
        <w:t> </w:t>
      </w:r>
      <w:r>
        <w:rPr>
          <w:vertAlign w:val="baseline"/>
        </w:rPr>
        <w:t>Article</w:t>
      </w:r>
      <w:r>
        <w:rPr>
          <w:spacing w:val="-9"/>
          <w:vertAlign w:val="baseline"/>
        </w:rPr>
        <w:t> </w:t>
      </w:r>
      <w:r>
        <w:rPr>
          <w:vertAlign w:val="baseline"/>
        </w:rPr>
        <w:t>8</w:t>
      </w:r>
      <w:r>
        <w:rPr>
          <w:spacing w:val="-9"/>
          <w:vertAlign w:val="baseline"/>
        </w:rPr>
        <w:t> </w:t>
      </w:r>
      <w:r>
        <w:rPr>
          <w:vertAlign w:val="baseline"/>
        </w:rPr>
        <w:t>ECHR</w:t>
      </w:r>
      <w:r>
        <w:rPr>
          <w:spacing w:val="-9"/>
          <w:vertAlign w:val="baseline"/>
        </w:rPr>
        <w:t> </w:t>
      </w:r>
      <w:r>
        <w:rPr>
          <w:vertAlign w:val="baseline"/>
        </w:rPr>
        <w:t>is</w:t>
      </w:r>
    </w:p>
    <w:p>
      <w:pPr>
        <w:pStyle w:val="BodyText"/>
        <w:spacing w:before="4"/>
        <w:rPr>
          <w:sz w:val="19"/>
        </w:rPr>
      </w:pPr>
      <w:r>
        <w:rPr/>
        <mc:AlternateContent>
          <mc:Choice Requires="wps">
            <w:drawing>
              <wp:anchor distT="0" distB="0" distL="0" distR="0" allowOverlap="1" layoutInCell="1" locked="0" behindDoc="1" simplePos="0" relativeHeight="487667712">
                <wp:simplePos x="0" y="0"/>
                <wp:positionH relativeFrom="page">
                  <wp:posOffset>647999</wp:posOffset>
                </wp:positionH>
                <wp:positionV relativeFrom="paragraph">
                  <wp:posOffset>165490</wp:posOffset>
                </wp:positionV>
                <wp:extent cx="6012180" cy="1270"/>
                <wp:effectExtent l="0" t="0" r="0" b="0"/>
                <wp:wrapTopAndBottom/>
                <wp:docPr id="436" name="Graphic 436"/>
                <wp:cNvGraphicFramePr>
                  <a:graphicFrameLocks/>
                </wp:cNvGraphicFramePr>
                <a:graphic>
                  <a:graphicData uri="http://schemas.microsoft.com/office/word/2010/wordprocessingShape">
                    <wps:wsp>
                      <wps:cNvPr id="436" name="Graphic 43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3.030783pt;width:473.4pt;height:.1pt;mso-position-horizontal-relative:page;mso-position-vertical-relative:paragraph;z-index:-15648768;mso-wrap-distance-left:0;mso-wrap-distance-right:0" id="docshape346" coordorigin="1020,261" coordsize="9468,0" path="m1020,261l10488,261e" filled="false" stroked="true" strokeweight=".5pt" strokecolor="#36a9e1">
                <v:path arrowok="t"/>
                <v:stroke dashstyle="solid"/>
                <w10:wrap type="topAndBottom"/>
              </v:shape>
            </w:pict>
          </mc:Fallback>
        </mc:AlternateContent>
      </w:r>
    </w:p>
    <w:p>
      <w:pPr>
        <w:pStyle w:val="ListParagraph"/>
        <w:numPr>
          <w:ilvl w:val="0"/>
          <w:numId w:val="17"/>
        </w:numPr>
        <w:tabs>
          <w:tab w:pos="1287" w:val="left" w:leader="none"/>
        </w:tabs>
        <w:spacing w:line="240" w:lineRule="auto" w:before="43" w:after="0"/>
        <w:ind w:left="1287" w:right="0" w:hanging="567"/>
        <w:jc w:val="left"/>
        <w:rPr>
          <w:sz w:val="18"/>
        </w:rPr>
      </w:pPr>
      <w:r>
        <w:rPr>
          <w:color w:val="1D71B8"/>
          <w:sz w:val="18"/>
          <w:u w:val="single" w:color="1D71B8"/>
        </w:rPr>
        <w:t>Safety</w:t>
      </w:r>
      <w:r>
        <w:rPr>
          <w:color w:val="1D71B8"/>
          <w:spacing w:val="-6"/>
          <w:sz w:val="18"/>
          <w:u w:val="single" w:color="1D71B8"/>
        </w:rPr>
        <w:t> </w:t>
      </w:r>
      <w:r>
        <w:rPr>
          <w:color w:val="1D71B8"/>
          <w:sz w:val="18"/>
          <w:u w:val="single" w:color="1D71B8"/>
        </w:rPr>
        <w:t>of</w:t>
      </w:r>
      <w:r>
        <w:rPr>
          <w:color w:val="1D71B8"/>
          <w:spacing w:val="-7"/>
          <w:sz w:val="18"/>
          <w:u w:val="single" w:color="1D71B8"/>
        </w:rPr>
        <w:t> </w:t>
      </w:r>
      <w:r>
        <w:rPr>
          <w:color w:val="1D71B8"/>
          <w:sz w:val="18"/>
          <w:u w:val="single" w:color="1D71B8"/>
        </w:rPr>
        <w:t>Rwanda</w:t>
      </w:r>
      <w:r>
        <w:rPr>
          <w:color w:val="1D71B8"/>
          <w:spacing w:val="-6"/>
          <w:sz w:val="18"/>
          <w:u w:val="single" w:color="1D71B8"/>
        </w:rPr>
        <w:t> </w:t>
      </w:r>
      <w:r>
        <w:rPr>
          <w:color w:val="1D71B8"/>
          <w:sz w:val="18"/>
          <w:u w:val="single" w:color="1D71B8"/>
        </w:rPr>
        <w:t>(Asylum</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Immigration)</w:t>
      </w:r>
      <w:r>
        <w:rPr>
          <w:color w:val="1D71B8"/>
          <w:spacing w:val="-7"/>
          <w:sz w:val="18"/>
          <w:u w:val="single" w:color="1D71B8"/>
        </w:rPr>
        <w:t> </w:t>
      </w:r>
      <w:r>
        <w:rPr>
          <w:color w:val="1D71B8"/>
          <w:sz w:val="18"/>
          <w:u w:val="single" w:color="1D71B8"/>
        </w:rPr>
        <w:t>Bill</w:t>
      </w:r>
      <w:r>
        <w:rPr>
          <w:color w:val="1D71B8"/>
          <w:spacing w:val="-6"/>
          <w:sz w:val="18"/>
          <w:u w:val="single" w:color="1D71B8"/>
        </w:rPr>
        <w:t> </w:t>
      </w:r>
      <w:r>
        <w:rPr>
          <w:color w:val="1D71B8"/>
          <w:spacing w:val="-2"/>
          <w:sz w:val="18"/>
          <w:u w:val="single" w:color="1D71B8"/>
        </w:rPr>
        <w:t>2023</w:t>
      </w:r>
      <w:r>
        <w:rPr>
          <w:spacing w:val="-2"/>
          <w:sz w:val="18"/>
          <w:u w:val="none"/>
        </w:rPr>
        <w:t>.</w:t>
      </w:r>
    </w:p>
    <w:p>
      <w:pPr>
        <w:pStyle w:val="ListParagraph"/>
        <w:numPr>
          <w:ilvl w:val="0"/>
          <w:numId w:val="17"/>
        </w:numPr>
        <w:tabs>
          <w:tab w:pos="1287" w:val="left" w:leader="none"/>
        </w:tabs>
        <w:spacing w:line="240" w:lineRule="auto" w:before="1" w:after="0"/>
        <w:ind w:left="1287" w:right="1784" w:hanging="567"/>
        <w:jc w:val="left"/>
        <w:rPr>
          <w:sz w:val="18"/>
        </w:rPr>
      </w:pPr>
      <w:r>
        <w:rPr>
          <w:sz w:val="18"/>
        </w:rPr>
        <w:t>Section</w:t>
      </w:r>
      <w:r>
        <w:rPr>
          <w:spacing w:val="-4"/>
          <w:sz w:val="18"/>
        </w:rPr>
        <w:t> </w:t>
      </w:r>
      <w:r>
        <w:rPr>
          <w:sz w:val="18"/>
        </w:rPr>
        <w:t>6</w:t>
      </w:r>
      <w:r>
        <w:rPr>
          <w:spacing w:val="-4"/>
          <w:sz w:val="18"/>
        </w:rPr>
        <w:t> </w:t>
      </w:r>
      <w:r>
        <w:rPr>
          <w:sz w:val="18"/>
        </w:rPr>
        <w:t>is</w:t>
      </w:r>
      <w:r>
        <w:rPr>
          <w:spacing w:val="-4"/>
          <w:sz w:val="18"/>
        </w:rPr>
        <w:t> </w:t>
      </w:r>
      <w:r>
        <w:rPr>
          <w:sz w:val="18"/>
        </w:rPr>
        <w:t>the</w:t>
      </w:r>
      <w:r>
        <w:rPr>
          <w:spacing w:val="-4"/>
          <w:sz w:val="18"/>
        </w:rPr>
        <w:t> </w:t>
      </w:r>
      <w:r>
        <w:rPr>
          <w:sz w:val="18"/>
        </w:rPr>
        <w:t>obligation</w:t>
      </w:r>
      <w:r>
        <w:rPr>
          <w:spacing w:val="-4"/>
          <w:sz w:val="18"/>
        </w:rPr>
        <w:t> </w:t>
      </w:r>
      <w:r>
        <w:rPr>
          <w:sz w:val="18"/>
        </w:rPr>
        <w:t>for</w:t>
      </w:r>
      <w:r>
        <w:rPr>
          <w:spacing w:val="-4"/>
          <w:sz w:val="18"/>
        </w:rPr>
        <w:t> </w:t>
      </w:r>
      <w:r>
        <w:rPr>
          <w:sz w:val="18"/>
        </w:rPr>
        <w:t>a</w:t>
      </w:r>
      <w:r>
        <w:rPr>
          <w:spacing w:val="-4"/>
          <w:sz w:val="18"/>
        </w:rPr>
        <w:t> </w:t>
      </w:r>
      <w:r>
        <w:rPr>
          <w:sz w:val="18"/>
        </w:rPr>
        <w:t>public</w:t>
      </w:r>
      <w:r>
        <w:rPr>
          <w:spacing w:val="-4"/>
          <w:sz w:val="18"/>
        </w:rPr>
        <w:t> </w:t>
      </w:r>
      <w:r>
        <w:rPr>
          <w:sz w:val="18"/>
        </w:rPr>
        <w:t>authority</w:t>
      </w:r>
      <w:r>
        <w:rPr>
          <w:spacing w:val="-4"/>
          <w:sz w:val="18"/>
        </w:rPr>
        <w:t> </w:t>
      </w:r>
      <w:r>
        <w:rPr>
          <w:sz w:val="18"/>
        </w:rPr>
        <w:t>to</w:t>
      </w:r>
      <w:r>
        <w:rPr>
          <w:spacing w:val="-4"/>
          <w:sz w:val="18"/>
        </w:rPr>
        <w:t> </w:t>
      </w:r>
      <w:r>
        <w:rPr>
          <w:sz w:val="18"/>
        </w:rPr>
        <w:t>act</w:t>
      </w:r>
      <w:r>
        <w:rPr>
          <w:spacing w:val="-4"/>
          <w:sz w:val="18"/>
        </w:rPr>
        <w:t> </w:t>
      </w:r>
      <w:r>
        <w:rPr>
          <w:sz w:val="18"/>
        </w:rPr>
        <w:t>compatibly</w:t>
      </w:r>
      <w:r>
        <w:rPr>
          <w:spacing w:val="-4"/>
          <w:sz w:val="18"/>
        </w:rPr>
        <w:t> </w:t>
      </w:r>
      <w:r>
        <w:rPr>
          <w:sz w:val="18"/>
        </w:rPr>
        <w:t>with</w:t>
      </w:r>
      <w:r>
        <w:rPr>
          <w:spacing w:val="-4"/>
          <w:sz w:val="18"/>
        </w:rPr>
        <w:t> </w:t>
      </w:r>
      <w:r>
        <w:rPr>
          <w:sz w:val="18"/>
        </w:rPr>
        <w:t>a</w:t>
      </w:r>
      <w:r>
        <w:rPr>
          <w:spacing w:val="-4"/>
          <w:sz w:val="18"/>
        </w:rPr>
        <w:t> </w:t>
      </w:r>
      <w:r>
        <w:rPr>
          <w:sz w:val="18"/>
        </w:rPr>
        <w:t>Convention</w:t>
      </w:r>
      <w:r>
        <w:rPr>
          <w:spacing w:val="-4"/>
          <w:sz w:val="18"/>
        </w:rPr>
        <w:t> </w:t>
      </w:r>
      <w:r>
        <w:rPr>
          <w:sz w:val="18"/>
        </w:rPr>
        <w:t>right;</w:t>
      </w:r>
      <w:r>
        <w:rPr>
          <w:spacing w:val="-4"/>
          <w:sz w:val="18"/>
        </w:rPr>
        <w:t> </w:t>
      </w:r>
      <w:r>
        <w:rPr>
          <w:sz w:val="18"/>
        </w:rPr>
        <w:t>section</w:t>
      </w:r>
      <w:r>
        <w:rPr>
          <w:spacing w:val="-4"/>
          <w:sz w:val="18"/>
        </w:rPr>
        <w:t> </w:t>
      </w:r>
      <w:r>
        <w:rPr>
          <w:sz w:val="18"/>
        </w:rPr>
        <w:t>7-8</w:t>
      </w:r>
      <w:r>
        <w:rPr>
          <w:spacing w:val="-4"/>
          <w:sz w:val="18"/>
        </w:rPr>
        <w:t> </w:t>
      </w:r>
      <w:r>
        <w:rPr>
          <w:sz w:val="18"/>
        </w:rPr>
        <w:t>provide</w:t>
      </w:r>
      <w:r>
        <w:rPr>
          <w:spacing w:val="-4"/>
          <w:sz w:val="18"/>
        </w:rPr>
        <w:t> </w:t>
      </w:r>
      <w:r>
        <w:rPr>
          <w:sz w:val="18"/>
        </w:rPr>
        <w:t>for proceedings and remedies in relation to this obligation and section 9 regulates the position of judicial acts.</w:t>
      </w:r>
    </w:p>
    <w:p>
      <w:pPr>
        <w:pStyle w:val="ListParagraph"/>
        <w:numPr>
          <w:ilvl w:val="0"/>
          <w:numId w:val="17"/>
        </w:numPr>
        <w:tabs>
          <w:tab w:pos="1287" w:val="left" w:leader="none"/>
        </w:tabs>
        <w:spacing w:line="240" w:lineRule="auto" w:before="0" w:after="0"/>
        <w:ind w:left="1287" w:right="1418" w:hanging="567"/>
        <w:jc w:val="left"/>
        <w:rPr>
          <w:sz w:val="18"/>
        </w:rPr>
      </w:pPr>
      <w:r>
        <w:rPr>
          <w:sz w:val="18"/>
        </w:rPr>
        <w:t>Joint</w:t>
      </w:r>
      <w:r>
        <w:rPr>
          <w:spacing w:val="-4"/>
          <w:sz w:val="18"/>
        </w:rPr>
        <w:t> </w:t>
      </w:r>
      <w:r>
        <w:rPr>
          <w:sz w:val="18"/>
        </w:rPr>
        <w:t>Committee</w:t>
      </w:r>
      <w:r>
        <w:rPr>
          <w:spacing w:val="-4"/>
          <w:sz w:val="18"/>
        </w:rPr>
        <w:t> </w:t>
      </w:r>
      <w:r>
        <w:rPr>
          <w:sz w:val="18"/>
        </w:rPr>
        <w:t>on</w:t>
      </w:r>
      <w:r>
        <w:rPr>
          <w:spacing w:val="-5"/>
          <w:sz w:val="18"/>
        </w:rPr>
        <w:t> </w:t>
      </w:r>
      <w:r>
        <w:rPr>
          <w:sz w:val="18"/>
        </w:rPr>
        <w:t>Human</w:t>
      </w:r>
      <w:r>
        <w:rPr>
          <w:spacing w:val="-4"/>
          <w:sz w:val="18"/>
        </w:rPr>
        <w:t> </w:t>
      </w:r>
      <w:r>
        <w:rPr>
          <w:sz w:val="18"/>
        </w:rPr>
        <w:t>Rights,</w:t>
      </w:r>
      <w:r>
        <w:rPr>
          <w:spacing w:val="-4"/>
          <w:sz w:val="18"/>
        </w:rPr>
        <w:t> </w:t>
      </w:r>
      <w:r>
        <w:rPr>
          <w:color w:val="1D71B8"/>
          <w:sz w:val="18"/>
          <w:u w:val="single" w:color="1D71B8"/>
        </w:rPr>
        <w:t>Safety</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Rwanda</w:t>
      </w:r>
      <w:r>
        <w:rPr>
          <w:color w:val="1D71B8"/>
          <w:spacing w:val="-5"/>
          <w:sz w:val="18"/>
          <w:u w:val="single" w:color="1D71B8"/>
        </w:rPr>
        <w:t> </w:t>
      </w:r>
      <w:r>
        <w:rPr>
          <w:color w:val="1D71B8"/>
          <w:sz w:val="18"/>
          <w:u w:val="single" w:color="1D71B8"/>
        </w:rPr>
        <w:t>(Asylum</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Immigration)</w:t>
      </w:r>
      <w:r>
        <w:rPr>
          <w:color w:val="1D71B8"/>
          <w:spacing w:val="-5"/>
          <w:sz w:val="18"/>
          <w:u w:val="single" w:color="1D71B8"/>
        </w:rPr>
        <w:t> </w:t>
      </w:r>
      <w:r>
        <w:rPr>
          <w:color w:val="1D71B8"/>
          <w:sz w:val="18"/>
          <w:u w:val="single" w:color="1D71B8"/>
        </w:rPr>
        <w:t>Bill</w:t>
      </w:r>
      <w:r>
        <w:rPr>
          <w:color w:val="1D71B8"/>
          <w:spacing w:val="-5"/>
          <w:sz w:val="18"/>
          <w:u w:val="single" w:color="1D71B8"/>
        </w:rPr>
        <w:t> </w:t>
      </w:r>
      <w:r>
        <w:rPr>
          <w:color w:val="1D71B8"/>
          <w:sz w:val="18"/>
          <w:u w:val="single" w:color="1D71B8"/>
        </w:rPr>
        <w:t>2023-2024</w:t>
      </w:r>
      <w:r>
        <w:rPr>
          <w:color w:val="1D71B8"/>
          <w:spacing w:val="-5"/>
          <w:sz w:val="18"/>
          <w:u w:val="none"/>
        </w:rPr>
        <w:t> </w:t>
      </w:r>
      <w:r>
        <w:rPr>
          <w:sz w:val="18"/>
          <w:u w:val="none"/>
        </w:rPr>
        <w:t>HC</w:t>
      </w:r>
      <w:r>
        <w:rPr>
          <w:spacing w:val="-5"/>
          <w:sz w:val="18"/>
          <w:u w:val="none"/>
        </w:rPr>
        <w:t> </w:t>
      </w:r>
      <w:r>
        <w:rPr>
          <w:sz w:val="18"/>
          <w:u w:val="none"/>
        </w:rPr>
        <w:t>435</w:t>
      </w:r>
      <w:r>
        <w:rPr>
          <w:spacing w:val="-4"/>
          <w:sz w:val="18"/>
          <w:u w:val="none"/>
        </w:rPr>
        <w:t> </w:t>
      </w:r>
      <w:r>
        <w:rPr>
          <w:sz w:val="18"/>
          <w:u w:val="none"/>
        </w:rPr>
        <w:t>/</w:t>
      </w:r>
      <w:r>
        <w:rPr>
          <w:spacing w:val="-5"/>
          <w:sz w:val="18"/>
          <w:u w:val="none"/>
        </w:rPr>
        <w:t> </w:t>
      </w:r>
      <w:r>
        <w:rPr>
          <w:sz w:val="18"/>
          <w:u w:val="none"/>
        </w:rPr>
        <w:t>HL</w:t>
      </w:r>
      <w:r>
        <w:rPr>
          <w:spacing w:val="-5"/>
          <w:sz w:val="18"/>
          <w:u w:val="none"/>
        </w:rPr>
        <w:t> </w:t>
      </w:r>
      <w:r>
        <w:rPr>
          <w:sz w:val="18"/>
          <w:u w:val="none"/>
        </w:rPr>
        <w:t>62,</w:t>
      </w:r>
      <w:r>
        <w:rPr>
          <w:spacing w:val="-4"/>
          <w:sz w:val="18"/>
          <w:u w:val="none"/>
        </w:rPr>
        <w:t> </w:t>
      </w:r>
      <w:r>
        <w:rPr>
          <w:sz w:val="18"/>
          <w:u w:val="none"/>
        </w:rPr>
        <w:t>para</w:t>
      </w:r>
      <w:r>
        <w:rPr>
          <w:spacing w:val="-5"/>
          <w:sz w:val="18"/>
          <w:u w:val="none"/>
        </w:rPr>
        <w:t> </w:t>
      </w:r>
      <w:r>
        <w:rPr>
          <w:sz w:val="18"/>
          <w:u w:val="none"/>
        </w:rPr>
        <w:t>85 and</w:t>
      </w:r>
      <w:r>
        <w:rPr>
          <w:spacing w:val="-2"/>
          <w:sz w:val="18"/>
          <w:u w:val="none"/>
        </w:rPr>
        <w:t> </w:t>
      </w:r>
      <w:r>
        <w:rPr>
          <w:sz w:val="18"/>
          <w:u w:val="none"/>
        </w:rPr>
        <w:t>89.</w:t>
      </w:r>
    </w:p>
    <w:p>
      <w:pPr>
        <w:pStyle w:val="ListParagraph"/>
        <w:numPr>
          <w:ilvl w:val="0"/>
          <w:numId w:val="17"/>
        </w:numPr>
        <w:tabs>
          <w:tab w:pos="1287" w:val="left" w:leader="none"/>
        </w:tabs>
        <w:spacing w:line="240" w:lineRule="auto" w:before="1" w:after="0"/>
        <w:ind w:left="1287" w:right="0" w:hanging="567"/>
        <w:jc w:val="left"/>
        <w:rPr>
          <w:sz w:val="18"/>
        </w:rPr>
      </w:pPr>
      <w:r>
        <w:rPr>
          <w:color w:val="1D71B8"/>
          <w:sz w:val="18"/>
          <w:u w:val="single" w:color="1D71B8"/>
        </w:rPr>
        <w:t>Safety</w:t>
      </w:r>
      <w:r>
        <w:rPr>
          <w:color w:val="1D71B8"/>
          <w:spacing w:val="-6"/>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Rwanda</w:t>
      </w:r>
      <w:r>
        <w:rPr>
          <w:color w:val="1D71B8"/>
          <w:spacing w:val="-6"/>
          <w:sz w:val="18"/>
          <w:u w:val="single" w:color="1D71B8"/>
        </w:rPr>
        <w:t> </w:t>
      </w:r>
      <w:r>
        <w:rPr>
          <w:color w:val="1D71B8"/>
          <w:sz w:val="18"/>
          <w:u w:val="single" w:color="1D71B8"/>
        </w:rPr>
        <w:t>(Asylum</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Immigration)</w:t>
      </w:r>
      <w:r>
        <w:rPr>
          <w:color w:val="1D71B8"/>
          <w:spacing w:val="-6"/>
          <w:sz w:val="18"/>
          <w:u w:val="single" w:color="1D71B8"/>
        </w:rPr>
        <w:t> </w:t>
      </w:r>
      <w:r>
        <w:rPr>
          <w:color w:val="1D71B8"/>
          <w:sz w:val="18"/>
          <w:u w:val="single" w:color="1D71B8"/>
        </w:rPr>
        <w:t>Bill</w:t>
      </w:r>
      <w:r>
        <w:rPr>
          <w:color w:val="1D71B8"/>
          <w:spacing w:val="-6"/>
          <w:sz w:val="18"/>
          <w:u w:val="single" w:color="1D71B8"/>
        </w:rPr>
        <w:t> </w:t>
      </w:r>
      <w:r>
        <w:rPr>
          <w:color w:val="1D71B8"/>
          <w:sz w:val="18"/>
          <w:u w:val="single" w:color="1D71B8"/>
        </w:rPr>
        <w:t>European</w:t>
      </w:r>
      <w:r>
        <w:rPr>
          <w:color w:val="1D71B8"/>
          <w:spacing w:val="-7"/>
          <w:sz w:val="18"/>
          <w:u w:val="single" w:color="1D71B8"/>
        </w:rPr>
        <w:t> </w:t>
      </w:r>
      <w:r>
        <w:rPr>
          <w:color w:val="1D71B8"/>
          <w:sz w:val="18"/>
          <w:u w:val="single" w:color="1D71B8"/>
        </w:rPr>
        <w:t>Convention</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Human</w:t>
      </w:r>
      <w:r>
        <w:rPr>
          <w:color w:val="1D71B8"/>
          <w:spacing w:val="-6"/>
          <w:sz w:val="18"/>
          <w:u w:val="single" w:color="1D71B8"/>
        </w:rPr>
        <w:t> </w:t>
      </w:r>
      <w:r>
        <w:rPr>
          <w:color w:val="1D71B8"/>
          <w:sz w:val="18"/>
          <w:u w:val="single" w:color="1D71B8"/>
        </w:rPr>
        <w:t>Rights</w:t>
      </w:r>
      <w:r>
        <w:rPr>
          <w:color w:val="1D71B8"/>
          <w:spacing w:val="-7"/>
          <w:sz w:val="18"/>
          <w:u w:val="single" w:color="1D71B8"/>
        </w:rPr>
        <w:t> </w:t>
      </w:r>
      <w:r>
        <w:rPr>
          <w:color w:val="1D71B8"/>
          <w:sz w:val="18"/>
          <w:u w:val="single" w:color="1D71B8"/>
        </w:rPr>
        <w:t>Memorandum</w:t>
      </w:r>
      <w:r>
        <w:rPr>
          <w:color w:val="1D71B8"/>
          <w:spacing w:val="-5"/>
          <w:sz w:val="18"/>
          <w:u w:val="single" w:color="1D71B8"/>
        </w:rPr>
        <w:t> </w:t>
      </w:r>
      <w:r>
        <w:rPr>
          <w:color w:val="1D71B8"/>
          <w:sz w:val="18"/>
          <w:u w:val="single" w:color="1D71B8"/>
        </w:rPr>
        <w:t>2023</w:t>
      </w:r>
      <w:r>
        <w:rPr>
          <w:color w:val="1D71B8"/>
          <w:spacing w:val="-6"/>
          <w:sz w:val="18"/>
          <w:u w:val="none"/>
        </w:rPr>
        <w:t> </w:t>
      </w:r>
      <w:r>
        <w:rPr>
          <w:sz w:val="18"/>
          <w:u w:val="none"/>
        </w:rPr>
        <w:t>para</w:t>
      </w:r>
      <w:r>
        <w:rPr>
          <w:spacing w:val="-6"/>
          <w:sz w:val="18"/>
          <w:u w:val="none"/>
        </w:rPr>
        <w:t> </w:t>
      </w:r>
      <w:r>
        <w:rPr>
          <w:spacing w:val="-5"/>
          <w:sz w:val="18"/>
          <w:u w:val="none"/>
        </w:rPr>
        <w:t>5.</w:t>
      </w:r>
    </w:p>
    <w:p>
      <w:pPr>
        <w:pStyle w:val="ListParagraph"/>
        <w:numPr>
          <w:ilvl w:val="0"/>
          <w:numId w:val="17"/>
        </w:numPr>
        <w:tabs>
          <w:tab w:pos="1287" w:val="left" w:leader="none"/>
        </w:tabs>
        <w:spacing w:line="240" w:lineRule="auto" w:before="0" w:after="0"/>
        <w:ind w:left="1287" w:right="0" w:hanging="567"/>
        <w:jc w:val="left"/>
        <w:rPr>
          <w:sz w:val="18"/>
        </w:rPr>
      </w:pPr>
      <w:r>
        <w:rPr>
          <w:sz w:val="18"/>
        </w:rPr>
        <w:t>Ibid.,</w:t>
      </w:r>
      <w:r>
        <w:rPr>
          <w:spacing w:val="-2"/>
          <w:sz w:val="18"/>
        </w:rPr>
        <w:t> </w:t>
      </w:r>
      <w:r>
        <w:rPr>
          <w:sz w:val="18"/>
        </w:rPr>
        <w:t>paras</w:t>
      </w:r>
      <w:r>
        <w:rPr>
          <w:spacing w:val="-3"/>
          <w:sz w:val="18"/>
        </w:rPr>
        <w:t> </w:t>
      </w:r>
      <w:r>
        <w:rPr>
          <w:sz w:val="18"/>
        </w:rPr>
        <w:t>10-11,</w:t>
      </w:r>
      <w:r>
        <w:rPr>
          <w:spacing w:val="-1"/>
          <w:sz w:val="18"/>
        </w:rPr>
        <w:t> </w:t>
      </w:r>
      <w:r>
        <w:rPr>
          <w:spacing w:val="-5"/>
          <w:sz w:val="18"/>
        </w:rPr>
        <w:t>14.</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85920">
                <wp:simplePos x="0" y="0"/>
                <wp:positionH relativeFrom="page">
                  <wp:posOffset>-2</wp:posOffset>
                </wp:positionH>
                <wp:positionV relativeFrom="page">
                  <wp:posOffset>0</wp:posOffset>
                </wp:positionV>
                <wp:extent cx="7560309" cy="1155065"/>
                <wp:effectExtent l="0" t="0" r="0" b="0"/>
                <wp:wrapNone/>
                <wp:docPr id="437" name="Group 437"/>
                <wp:cNvGraphicFramePr>
                  <a:graphicFrameLocks/>
                </wp:cNvGraphicFramePr>
                <a:graphic>
                  <a:graphicData uri="http://schemas.microsoft.com/office/word/2010/wordprocessingGroup">
                    <wpg:wgp>
                      <wpg:cNvPr id="437" name="Group 437"/>
                      <wpg:cNvGrpSpPr/>
                      <wpg:grpSpPr>
                        <a:xfrm>
                          <a:off x="0" y="0"/>
                          <a:ext cx="7560309" cy="1155065"/>
                          <a:chExt cx="7560309" cy="1155065"/>
                        </a:xfrm>
                      </wpg:grpSpPr>
                      <wps:wsp>
                        <wps:cNvPr id="438" name="Graphic 438"/>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439" name="Graphic 439"/>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30560" id="docshapegroup347" coordorigin="0,0" coordsize="11906,1819">
                <v:shape style="position:absolute;left:0;top:0;width:11906;height:1819" id="docshape348"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45</w:t>
      </w:r>
    </w:p>
    <w:p>
      <w:pPr>
        <w:pStyle w:val="BodyText"/>
        <w:rPr>
          <w:b/>
        </w:rPr>
      </w:pPr>
    </w:p>
    <w:p>
      <w:pPr>
        <w:pStyle w:val="BodyText"/>
        <w:spacing w:before="48"/>
        <w:rPr>
          <w:b/>
        </w:rPr>
      </w:pPr>
    </w:p>
    <w:p>
      <w:pPr>
        <w:pStyle w:val="BodyText"/>
        <w:spacing w:line="232" w:lineRule="auto"/>
        <w:ind w:left="1117" w:right="738"/>
      </w:pPr>
      <w:r>
        <w:rPr/>
        <w:t>not</w:t>
      </w:r>
      <w:r>
        <w:rPr>
          <w:spacing w:val="-5"/>
        </w:rPr>
        <w:t> </w:t>
      </w:r>
      <w:r>
        <w:rPr/>
        <w:t>breached</w:t>
      </w:r>
      <w:r>
        <w:rPr>
          <w:spacing w:val="-6"/>
        </w:rPr>
        <w:t> </w:t>
      </w:r>
      <w:r>
        <w:rPr/>
        <w:t>because</w:t>
      </w:r>
      <w:r>
        <w:rPr>
          <w:spacing w:val="-5"/>
        </w:rPr>
        <w:t> </w:t>
      </w:r>
      <w:r>
        <w:rPr/>
        <w:t>removal</w:t>
      </w:r>
      <w:r>
        <w:rPr>
          <w:spacing w:val="-6"/>
        </w:rPr>
        <w:t> </w:t>
      </w:r>
      <w:r>
        <w:rPr/>
        <w:t>is</w:t>
      </w:r>
      <w:r>
        <w:rPr>
          <w:spacing w:val="-6"/>
        </w:rPr>
        <w:t> </w:t>
      </w:r>
      <w:r>
        <w:rPr/>
        <w:t>justified.</w:t>
      </w:r>
      <w:r>
        <w:rPr>
          <w:spacing w:val="-6"/>
        </w:rPr>
        <w:t> </w:t>
      </w:r>
      <w:r>
        <w:rPr/>
        <w:t>It</w:t>
      </w:r>
      <w:r>
        <w:rPr>
          <w:spacing w:val="-5"/>
        </w:rPr>
        <w:t> </w:t>
      </w:r>
      <w:r>
        <w:rPr/>
        <w:t>also</w:t>
      </w:r>
      <w:r>
        <w:rPr>
          <w:spacing w:val="-6"/>
        </w:rPr>
        <w:t> </w:t>
      </w:r>
      <w:r>
        <w:rPr/>
        <w:t>argues</w:t>
      </w:r>
      <w:r>
        <w:rPr>
          <w:spacing w:val="-6"/>
        </w:rPr>
        <w:t> </w:t>
      </w:r>
      <w:r>
        <w:rPr/>
        <w:t>that</w:t>
      </w:r>
      <w:r>
        <w:rPr>
          <w:spacing w:val="-5"/>
        </w:rPr>
        <w:t> </w:t>
      </w:r>
      <w:r>
        <w:rPr/>
        <w:t>the</w:t>
      </w:r>
      <w:r>
        <w:rPr>
          <w:spacing w:val="-5"/>
        </w:rPr>
        <w:t> </w:t>
      </w:r>
      <w:r>
        <w:rPr/>
        <w:t>right</w:t>
      </w:r>
      <w:r>
        <w:rPr>
          <w:spacing w:val="-5"/>
        </w:rPr>
        <w:t> </w:t>
      </w:r>
      <w:r>
        <w:rPr/>
        <w:t>to</w:t>
      </w:r>
      <w:r>
        <w:rPr>
          <w:spacing w:val="-6"/>
        </w:rPr>
        <w:t> </w:t>
      </w:r>
      <w:r>
        <w:rPr/>
        <w:t>a</w:t>
      </w:r>
      <w:r>
        <w:rPr>
          <w:spacing w:val="-6"/>
        </w:rPr>
        <w:t> </w:t>
      </w:r>
      <w:r>
        <w:rPr/>
        <w:t>remedy (Article 13 ECHR) is not breached as different satisfactory remedies exist under</w:t>
      </w:r>
    </w:p>
    <w:p>
      <w:pPr>
        <w:pStyle w:val="BodyText"/>
        <w:spacing w:line="232" w:lineRule="auto"/>
        <w:ind w:left="1117"/>
      </w:pPr>
      <w:r>
        <w:rPr/>
        <w:t>the</w:t>
      </w:r>
      <w:r>
        <w:rPr>
          <w:spacing w:val="-9"/>
        </w:rPr>
        <w:t> </w:t>
      </w:r>
      <w:r>
        <w:rPr/>
        <w:t>Bill.</w:t>
      </w:r>
      <w:r>
        <w:rPr>
          <w:vertAlign w:val="superscript"/>
        </w:rPr>
        <w:t>227</w:t>
      </w:r>
      <w:r>
        <w:rPr>
          <w:spacing w:val="-9"/>
          <w:vertAlign w:val="baseline"/>
        </w:rPr>
        <w:t> </w:t>
      </w:r>
      <w:r>
        <w:rPr>
          <w:vertAlign w:val="baseline"/>
        </w:rPr>
        <w:t>The</w:t>
      </w:r>
      <w:r>
        <w:rPr>
          <w:spacing w:val="-9"/>
          <w:vertAlign w:val="baseline"/>
        </w:rPr>
        <w:t> </w:t>
      </w:r>
      <w:r>
        <w:rPr>
          <w:vertAlign w:val="baseline"/>
        </w:rPr>
        <w:t>recent</w:t>
      </w:r>
      <w:r>
        <w:rPr>
          <w:spacing w:val="-9"/>
          <w:vertAlign w:val="baseline"/>
        </w:rPr>
        <w:t> </w:t>
      </w:r>
      <w:r>
        <w:rPr>
          <w:vertAlign w:val="baseline"/>
        </w:rPr>
        <w:t>Command</w:t>
      </w:r>
      <w:r>
        <w:rPr>
          <w:spacing w:val="-9"/>
          <w:vertAlign w:val="baseline"/>
        </w:rPr>
        <w:t> </w:t>
      </w:r>
      <w:r>
        <w:rPr>
          <w:vertAlign w:val="baseline"/>
        </w:rPr>
        <w:t>Paper</w:t>
      </w:r>
      <w:r>
        <w:rPr>
          <w:spacing w:val="-9"/>
          <w:vertAlign w:val="baseline"/>
        </w:rPr>
        <w:t> </w:t>
      </w:r>
      <w:r>
        <w:rPr>
          <w:i/>
          <w:vertAlign w:val="baseline"/>
        </w:rPr>
        <w:t>Safeguarding</w:t>
      </w:r>
      <w:r>
        <w:rPr>
          <w:i/>
          <w:spacing w:val="-9"/>
          <w:vertAlign w:val="baseline"/>
        </w:rPr>
        <w:t> </w:t>
      </w:r>
      <w:r>
        <w:rPr>
          <w:i/>
          <w:vertAlign w:val="baseline"/>
        </w:rPr>
        <w:t>the</w:t>
      </w:r>
      <w:r>
        <w:rPr>
          <w:i/>
          <w:spacing w:val="-9"/>
          <w:vertAlign w:val="baseline"/>
        </w:rPr>
        <w:t> </w:t>
      </w:r>
      <w:r>
        <w:rPr>
          <w:i/>
          <w:vertAlign w:val="baseline"/>
        </w:rPr>
        <w:t>Union</w:t>
      </w:r>
      <w:r>
        <w:rPr>
          <w:i/>
          <w:spacing w:val="-9"/>
          <w:vertAlign w:val="baseline"/>
        </w:rPr>
        <w:t> </w:t>
      </w:r>
      <w:r>
        <w:rPr>
          <w:vertAlign w:val="baseline"/>
        </w:rPr>
        <w:t>has</w:t>
      </w:r>
      <w:r>
        <w:rPr>
          <w:spacing w:val="-9"/>
          <w:vertAlign w:val="baseline"/>
        </w:rPr>
        <w:t> </w:t>
      </w:r>
      <w:r>
        <w:rPr>
          <w:vertAlign w:val="baseline"/>
        </w:rPr>
        <w:t>reiterated</w:t>
      </w:r>
      <w:r>
        <w:rPr>
          <w:spacing w:val="-9"/>
          <w:vertAlign w:val="baseline"/>
        </w:rPr>
        <w:t> </w:t>
      </w:r>
      <w:r>
        <w:rPr>
          <w:vertAlign w:val="baseline"/>
        </w:rPr>
        <w:t>the Government position that Article 2 WF is not engaged by the Bill.</w:t>
      </w:r>
      <w:r>
        <w:rPr>
          <w:vertAlign w:val="superscript"/>
        </w:rPr>
        <w:t>228</w:t>
      </w:r>
    </w:p>
    <w:p>
      <w:pPr>
        <w:pStyle w:val="BodyText"/>
        <w:spacing w:line="232" w:lineRule="auto" w:before="277"/>
        <w:ind w:left="1117" w:right="1087"/>
      </w:pPr>
      <w:r>
        <w:rPr/>
        <w:t>The</w:t>
      </w:r>
      <w:r>
        <w:rPr>
          <w:spacing w:val="-4"/>
        </w:rPr>
        <w:t> </w:t>
      </w:r>
      <w:r>
        <w:rPr/>
        <w:t>Bill</w:t>
      </w:r>
      <w:r>
        <w:rPr>
          <w:spacing w:val="-5"/>
        </w:rPr>
        <w:t> </w:t>
      </w:r>
      <w:r>
        <w:rPr/>
        <w:t>raises</w:t>
      </w:r>
      <w:r>
        <w:rPr>
          <w:spacing w:val="-5"/>
        </w:rPr>
        <w:t> </w:t>
      </w:r>
      <w:r>
        <w:rPr/>
        <w:t>serious</w:t>
      </w:r>
      <w:r>
        <w:rPr>
          <w:spacing w:val="-5"/>
        </w:rPr>
        <w:t> </w:t>
      </w:r>
      <w:r>
        <w:rPr/>
        <w:t>issues</w:t>
      </w:r>
      <w:r>
        <w:rPr>
          <w:spacing w:val="-5"/>
        </w:rPr>
        <w:t> </w:t>
      </w:r>
      <w:r>
        <w:rPr/>
        <w:t>about</w:t>
      </w:r>
      <w:r>
        <w:rPr>
          <w:spacing w:val="-4"/>
        </w:rPr>
        <w:t> </w:t>
      </w:r>
      <w:r>
        <w:rPr/>
        <w:t>the</w:t>
      </w:r>
      <w:r>
        <w:rPr>
          <w:spacing w:val="-4"/>
        </w:rPr>
        <w:t> </w:t>
      </w:r>
      <w:r>
        <w:rPr/>
        <w:t>1998</w:t>
      </w:r>
      <w:r>
        <w:rPr>
          <w:spacing w:val="-4"/>
        </w:rPr>
        <w:t> </w:t>
      </w:r>
      <w:r>
        <w:rPr/>
        <w:t>Agreement,</w:t>
      </w:r>
      <w:r>
        <w:rPr>
          <w:spacing w:val="-4"/>
        </w:rPr>
        <w:t> </w:t>
      </w:r>
      <w:r>
        <w:rPr/>
        <w:t>Article</w:t>
      </w:r>
      <w:r>
        <w:rPr>
          <w:spacing w:val="-4"/>
        </w:rPr>
        <w:t> </w:t>
      </w:r>
      <w:r>
        <w:rPr/>
        <w:t>2(1)</w:t>
      </w:r>
      <w:r>
        <w:rPr>
          <w:spacing w:val="-5"/>
        </w:rPr>
        <w:t> </w:t>
      </w:r>
      <w:r>
        <w:rPr/>
        <w:t>WF</w:t>
      </w:r>
      <w:r>
        <w:rPr>
          <w:spacing w:val="-5"/>
        </w:rPr>
        <w:t> </w:t>
      </w:r>
      <w:r>
        <w:rPr/>
        <w:t>and</w:t>
      </w:r>
      <w:r>
        <w:rPr>
          <w:spacing w:val="-5"/>
        </w:rPr>
        <w:t> </w:t>
      </w:r>
      <w:r>
        <w:rPr/>
        <w:t>the Trade and Cooperation Agreement.</w:t>
      </w:r>
    </w:p>
    <w:p>
      <w:pPr>
        <w:pStyle w:val="BodyText"/>
        <w:spacing w:line="232" w:lineRule="auto" w:before="280"/>
        <w:ind w:left="1117" w:right="890"/>
      </w:pPr>
      <w:r>
        <w:rPr/>
        <w:t>The</w:t>
      </w:r>
      <w:r>
        <w:rPr>
          <w:spacing w:val="-6"/>
        </w:rPr>
        <w:t> </w:t>
      </w:r>
      <w:r>
        <w:rPr/>
        <w:t>1998</w:t>
      </w:r>
      <w:r>
        <w:rPr>
          <w:spacing w:val="-6"/>
        </w:rPr>
        <w:t> </w:t>
      </w:r>
      <w:r>
        <w:rPr/>
        <w:t>Agreement</w:t>
      </w:r>
      <w:r>
        <w:rPr>
          <w:spacing w:val="-6"/>
        </w:rPr>
        <w:t> </w:t>
      </w:r>
      <w:r>
        <w:rPr/>
        <w:t>includes</w:t>
      </w:r>
      <w:r>
        <w:rPr>
          <w:spacing w:val="-7"/>
        </w:rPr>
        <w:t> </w:t>
      </w:r>
      <w:r>
        <w:rPr/>
        <w:t>an</w:t>
      </w:r>
      <w:r>
        <w:rPr>
          <w:spacing w:val="-7"/>
        </w:rPr>
        <w:t> </w:t>
      </w:r>
      <w:r>
        <w:rPr/>
        <w:t>undertaking</w:t>
      </w:r>
      <w:r>
        <w:rPr>
          <w:spacing w:val="-6"/>
        </w:rPr>
        <w:t> </w:t>
      </w:r>
      <w:r>
        <w:rPr/>
        <w:t>by</w:t>
      </w:r>
      <w:r>
        <w:rPr>
          <w:spacing w:val="-6"/>
        </w:rPr>
        <w:t> </w:t>
      </w:r>
      <w:r>
        <w:rPr/>
        <w:t>the</w:t>
      </w:r>
      <w:r>
        <w:rPr>
          <w:spacing w:val="-6"/>
        </w:rPr>
        <w:t> </w:t>
      </w:r>
      <w:r>
        <w:rPr/>
        <w:t>UK</w:t>
      </w:r>
      <w:r>
        <w:rPr>
          <w:spacing w:val="-6"/>
        </w:rPr>
        <w:t> </w:t>
      </w:r>
      <w:r>
        <w:rPr/>
        <w:t>Government</w:t>
      </w:r>
      <w:r>
        <w:rPr>
          <w:spacing w:val="-6"/>
        </w:rPr>
        <w:t> </w:t>
      </w:r>
      <w:r>
        <w:rPr/>
        <w:t>to</w:t>
      </w:r>
      <w:r>
        <w:rPr>
          <w:spacing w:val="-7"/>
        </w:rPr>
        <w:t> </w:t>
      </w:r>
      <w:r>
        <w:rPr/>
        <w:t>‘complete incorporation into Northern Ireland law of the European Convention on Human Rights (ECHR), with direct access to the courts, and remedies for breach of the Convention’.</w:t>
      </w:r>
      <w:r>
        <w:rPr>
          <w:vertAlign w:val="superscript"/>
        </w:rPr>
        <w:t>229</w:t>
      </w:r>
      <w:r>
        <w:rPr>
          <w:spacing w:val="-2"/>
          <w:vertAlign w:val="baseline"/>
        </w:rPr>
        <w:t> </w:t>
      </w:r>
      <w:r>
        <w:rPr>
          <w:vertAlign w:val="baseline"/>
        </w:rPr>
        <w:t>The</w:t>
      </w:r>
      <w:r>
        <w:rPr>
          <w:spacing w:val="-1"/>
          <w:vertAlign w:val="baseline"/>
        </w:rPr>
        <w:t> </w:t>
      </w:r>
      <w:r>
        <w:rPr>
          <w:vertAlign w:val="baseline"/>
        </w:rPr>
        <w:t>disapplication</w:t>
      </w:r>
      <w:r>
        <w:rPr>
          <w:spacing w:val="-2"/>
          <w:vertAlign w:val="baseline"/>
        </w:rPr>
        <w:t> </w:t>
      </w:r>
      <w:r>
        <w:rPr>
          <w:vertAlign w:val="baseline"/>
        </w:rPr>
        <w:t>of</w:t>
      </w:r>
      <w:r>
        <w:rPr>
          <w:spacing w:val="-2"/>
          <w:vertAlign w:val="baseline"/>
        </w:rPr>
        <w:t> </w:t>
      </w:r>
      <w:r>
        <w:rPr>
          <w:vertAlign w:val="baseline"/>
        </w:rPr>
        <w:t>sections</w:t>
      </w:r>
      <w:r>
        <w:rPr>
          <w:spacing w:val="-1"/>
          <w:vertAlign w:val="baseline"/>
        </w:rPr>
        <w:t> </w:t>
      </w:r>
      <w:r>
        <w:rPr>
          <w:vertAlign w:val="baseline"/>
        </w:rPr>
        <w:t>6-9</w:t>
      </w:r>
      <w:r>
        <w:rPr>
          <w:spacing w:val="-1"/>
          <w:vertAlign w:val="baseline"/>
        </w:rPr>
        <w:t> </w:t>
      </w:r>
      <w:r>
        <w:rPr>
          <w:vertAlign w:val="baseline"/>
        </w:rPr>
        <w:t>Human</w:t>
      </w:r>
      <w:r>
        <w:rPr>
          <w:spacing w:val="-2"/>
          <w:vertAlign w:val="baseline"/>
        </w:rPr>
        <w:t> </w:t>
      </w:r>
      <w:r>
        <w:rPr>
          <w:vertAlign w:val="baseline"/>
        </w:rPr>
        <w:t>Rights</w:t>
      </w:r>
      <w:r>
        <w:rPr>
          <w:spacing w:val="-2"/>
          <w:vertAlign w:val="baseline"/>
        </w:rPr>
        <w:t> </w:t>
      </w:r>
      <w:r>
        <w:rPr>
          <w:vertAlign w:val="baseline"/>
        </w:rPr>
        <w:t>Act</w:t>
      </w:r>
      <w:r>
        <w:rPr>
          <w:spacing w:val="-1"/>
          <w:vertAlign w:val="baseline"/>
        </w:rPr>
        <w:t> </w:t>
      </w:r>
      <w:r>
        <w:rPr>
          <w:vertAlign w:val="baseline"/>
        </w:rPr>
        <w:t>interfere</w:t>
      </w:r>
      <w:r>
        <w:rPr>
          <w:spacing w:val="-1"/>
          <w:vertAlign w:val="baseline"/>
        </w:rPr>
        <w:t> </w:t>
      </w:r>
      <w:r>
        <w:rPr>
          <w:vertAlign w:val="baseline"/>
        </w:rPr>
        <w:t>with direct access to the courts, as does the disapplication of section 2 Human Rights Act. Direct access must mean that persons can plead their Convention rights</w:t>
      </w:r>
      <w:r>
        <w:rPr>
          <w:spacing w:val="40"/>
          <w:vertAlign w:val="baseline"/>
        </w:rPr>
        <w:t> </w:t>
      </w:r>
      <w:r>
        <w:rPr>
          <w:vertAlign w:val="baseline"/>
        </w:rPr>
        <w:t>when</w:t>
      </w:r>
      <w:r>
        <w:rPr>
          <w:spacing w:val="-5"/>
          <w:vertAlign w:val="baseline"/>
        </w:rPr>
        <w:t> </w:t>
      </w:r>
      <w:r>
        <w:rPr>
          <w:vertAlign w:val="baseline"/>
        </w:rPr>
        <w:t>a</w:t>
      </w:r>
      <w:r>
        <w:rPr>
          <w:spacing w:val="-5"/>
          <w:vertAlign w:val="baseline"/>
        </w:rPr>
        <w:t> </w:t>
      </w:r>
      <w:r>
        <w:rPr>
          <w:vertAlign w:val="baseline"/>
        </w:rPr>
        <w:t>public</w:t>
      </w:r>
      <w:r>
        <w:rPr>
          <w:spacing w:val="-4"/>
          <w:vertAlign w:val="baseline"/>
        </w:rPr>
        <w:t> </w:t>
      </w:r>
      <w:r>
        <w:rPr>
          <w:vertAlign w:val="baseline"/>
        </w:rPr>
        <w:t>authority</w:t>
      </w:r>
      <w:r>
        <w:rPr>
          <w:spacing w:val="-4"/>
          <w:vertAlign w:val="baseline"/>
        </w:rPr>
        <w:t> </w:t>
      </w:r>
      <w:r>
        <w:rPr>
          <w:vertAlign w:val="baseline"/>
        </w:rPr>
        <w:t>acts</w:t>
      </w:r>
      <w:r>
        <w:rPr>
          <w:spacing w:val="-5"/>
          <w:vertAlign w:val="baseline"/>
        </w:rPr>
        <w:t> </w:t>
      </w:r>
      <w:r>
        <w:rPr>
          <w:vertAlign w:val="baseline"/>
        </w:rPr>
        <w:t>in</w:t>
      </w:r>
      <w:r>
        <w:rPr>
          <w:spacing w:val="-5"/>
          <w:vertAlign w:val="baseline"/>
        </w:rPr>
        <w:t> </w:t>
      </w:r>
      <w:r>
        <w:rPr>
          <w:vertAlign w:val="baseline"/>
        </w:rPr>
        <w:t>breach</w:t>
      </w:r>
      <w:r>
        <w:rPr>
          <w:spacing w:val="-5"/>
          <w:vertAlign w:val="baseline"/>
        </w:rPr>
        <w:t> </w:t>
      </w:r>
      <w:r>
        <w:rPr>
          <w:vertAlign w:val="baseline"/>
        </w:rPr>
        <w:t>and</w:t>
      </w:r>
      <w:r>
        <w:rPr>
          <w:spacing w:val="-5"/>
          <w:vertAlign w:val="baseline"/>
        </w:rPr>
        <w:t> </w:t>
      </w:r>
      <w:r>
        <w:rPr>
          <w:vertAlign w:val="baseline"/>
        </w:rPr>
        <w:t>those</w:t>
      </w:r>
      <w:r>
        <w:rPr>
          <w:spacing w:val="-4"/>
          <w:vertAlign w:val="baseline"/>
        </w:rPr>
        <w:t> </w:t>
      </w:r>
      <w:r>
        <w:rPr>
          <w:vertAlign w:val="baseline"/>
        </w:rPr>
        <w:t>Convention</w:t>
      </w:r>
      <w:r>
        <w:rPr>
          <w:spacing w:val="-5"/>
          <w:vertAlign w:val="baseline"/>
        </w:rPr>
        <w:t> </w:t>
      </w:r>
      <w:r>
        <w:rPr>
          <w:vertAlign w:val="baseline"/>
        </w:rPr>
        <w:t>rights</w:t>
      </w:r>
      <w:r>
        <w:rPr>
          <w:spacing w:val="-5"/>
          <w:vertAlign w:val="baseline"/>
        </w:rPr>
        <w:t> </w:t>
      </w:r>
      <w:r>
        <w:rPr>
          <w:vertAlign w:val="baseline"/>
        </w:rPr>
        <w:t>need</w:t>
      </w:r>
      <w:r>
        <w:rPr>
          <w:spacing w:val="-5"/>
          <w:vertAlign w:val="baseline"/>
        </w:rPr>
        <w:t> </w:t>
      </w:r>
      <w:r>
        <w:rPr>
          <w:vertAlign w:val="baseline"/>
        </w:rPr>
        <w:t>to</w:t>
      </w:r>
      <w:r>
        <w:rPr>
          <w:spacing w:val="-5"/>
          <w:vertAlign w:val="baseline"/>
        </w:rPr>
        <w:t> </w:t>
      </w:r>
      <w:r>
        <w:rPr>
          <w:vertAlign w:val="baseline"/>
        </w:rPr>
        <w:t>reflect what the European Court of Human Rights has said on this matter. It is difficult</w:t>
      </w:r>
    </w:p>
    <w:p>
      <w:pPr>
        <w:pStyle w:val="BodyText"/>
        <w:spacing w:line="232" w:lineRule="auto"/>
        <w:ind w:left="1117" w:right="738"/>
      </w:pPr>
      <w:r>
        <w:rPr/>
        <w:t>to see how the right to a remedy is respected if section 3 Human Rights Act is disapplied;</w:t>
      </w:r>
      <w:r>
        <w:rPr>
          <w:spacing w:val="-4"/>
        </w:rPr>
        <w:t> </w:t>
      </w:r>
      <w:r>
        <w:rPr/>
        <w:t>this</w:t>
      </w:r>
      <w:r>
        <w:rPr>
          <w:spacing w:val="-5"/>
        </w:rPr>
        <w:t> </w:t>
      </w:r>
      <w:r>
        <w:rPr/>
        <w:t>leaves</w:t>
      </w:r>
      <w:r>
        <w:rPr>
          <w:spacing w:val="-5"/>
        </w:rPr>
        <w:t> </w:t>
      </w:r>
      <w:r>
        <w:rPr/>
        <w:t>the</w:t>
      </w:r>
      <w:r>
        <w:rPr>
          <w:spacing w:val="-4"/>
        </w:rPr>
        <w:t> </w:t>
      </w:r>
      <w:r>
        <w:rPr/>
        <w:t>remedy</w:t>
      </w:r>
      <w:r>
        <w:rPr>
          <w:spacing w:val="-4"/>
        </w:rPr>
        <w:t> </w:t>
      </w:r>
      <w:r>
        <w:rPr/>
        <w:t>only</w:t>
      </w:r>
      <w:r>
        <w:rPr>
          <w:spacing w:val="-4"/>
        </w:rPr>
        <w:t> </w:t>
      </w:r>
      <w:r>
        <w:rPr/>
        <w:t>of</w:t>
      </w:r>
      <w:r>
        <w:rPr>
          <w:spacing w:val="-5"/>
        </w:rPr>
        <w:t> </w:t>
      </w:r>
      <w:r>
        <w:rPr/>
        <w:t>a</w:t>
      </w:r>
      <w:r>
        <w:rPr>
          <w:spacing w:val="-5"/>
        </w:rPr>
        <w:t> </w:t>
      </w:r>
      <w:r>
        <w:rPr/>
        <w:t>section</w:t>
      </w:r>
      <w:r>
        <w:rPr>
          <w:spacing w:val="-5"/>
        </w:rPr>
        <w:t> </w:t>
      </w:r>
      <w:r>
        <w:rPr/>
        <w:t>4</w:t>
      </w:r>
      <w:r>
        <w:rPr>
          <w:spacing w:val="-4"/>
        </w:rPr>
        <w:t> </w:t>
      </w:r>
      <w:r>
        <w:rPr/>
        <w:t>Human</w:t>
      </w:r>
      <w:r>
        <w:rPr>
          <w:spacing w:val="-5"/>
        </w:rPr>
        <w:t> </w:t>
      </w:r>
      <w:r>
        <w:rPr/>
        <w:t>Rights</w:t>
      </w:r>
      <w:r>
        <w:rPr>
          <w:spacing w:val="-5"/>
        </w:rPr>
        <w:t> </w:t>
      </w:r>
      <w:r>
        <w:rPr/>
        <w:t>Act</w:t>
      </w:r>
      <w:r>
        <w:rPr>
          <w:spacing w:val="-4"/>
        </w:rPr>
        <w:t> </w:t>
      </w:r>
      <w:r>
        <w:rPr/>
        <w:t>declaration of</w:t>
      </w:r>
      <w:r>
        <w:rPr>
          <w:spacing w:val="-4"/>
        </w:rPr>
        <w:t> </w:t>
      </w:r>
      <w:r>
        <w:rPr/>
        <w:t>incompatibility</w:t>
      </w:r>
      <w:r>
        <w:rPr>
          <w:spacing w:val="-3"/>
        </w:rPr>
        <w:t> </w:t>
      </w:r>
      <w:r>
        <w:rPr/>
        <w:t>which</w:t>
      </w:r>
      <w:r>
        <w:rPr>
          <w:spacing w:val="-4"/>
        </w:rPr>
        <w:t> </w:t>
      </w:r>
      <w:r>
        <w:rPr/>
        <w:t>is</w:t>
      </w:r>
      <w:r>
        <w:rPr>
          <w:spacing w:val="-4"/>
        </w:rPr>
        <w:t> </w:t>
      </w:r>
      <w:r>
        <w:rPr/>
        <w:t>non-binding</w:t>
      </w:r>
      <w:r>
        <w:rPr>
          <w:spacing w:val="-3"/>
        </w:rPr>
        <w:t> </w:t>
      </w:r>
      <w:r>
        <w:rPr/>
        <w:t>and</w:t>
      </w:r>
      <w:r>
        <w:rPr>
          <w:spacing w:val="-4"/>
        </w:rPr>
        <w:t> </w:t>
      </w:r>
      <w:r>
        <w:rPr/>
        <w:t>does</w:t>
      </w:r>
      <w:r>
        <w:rPr>
          <w:spacing w:val="-4"/>
        </w:rPr>
        <w:t> </w:t>
      </w:r>
      <w:r>
        <w:rPr/>
        <w:t>not</w:t>
      </w:r>
      <w:r>
        <w:rPr>
          <w:spacing w:val="-3"/>
        </w:rPr>
        <w:t> </w:t>
      </w:r>
      <w:r>
        <w:rPr/>
        <w:t>offer</w:t>
      </w:r>
      <w:r>
        <w:rPr>
          <w:spacing w:val="-3"/>
        </w:rPr>
        <w:t> </w:t>
      </w:r>
      <w:r>
        <w:rPr/>
        <w:t>an</w:t>
      </w:r>
      <w:r>
        <w:rPr>
          <w:spacing w:val="-4"/>
        </w:rPr>
        <w:t> </w:t>
      </w:r>
      <w:r>
        <w:rPr/>
        <w:t>effective</w:t>
      </w:r>
      <w:r>
        <w:rPr>
          <w:spacing w:val="-3"/>
        </w:rPr>
        <w:t> </w:t>
      </w:r>
      <w:r>
        <w:rPr/>
        <w:t>remedy</w:t>
      </w:r>
      <w:r>
        <w:rPr>
          <w:spacing w:val="-3"/>
        </w:rPr>
        <w:t> </w:t>
      </w:r>
      <w:r>
        <w:rPr/>
        <w:t>to</w:t>
      </w:r>
      <w:r>
        <w:rPr>
          <w:spacing w:val="-4"/>
        </w:rPr>
        <w:t> </w:t>
      </w:r>
      <w:r>
        <w:rPr/>
        <w:t>a successful litigant.</w:t>
      </w:r>
    </w:p>
    <w:p>
      <w:pPr>
        <w:pStyle w:val="BodyText"/>
        <w:spacing w:line="232" w:lineRule="auto" w:before="265"/>
        <w:ind w:left="1117" w:right="738"/>
      </w:pPr>
      <w:r>
        <w:rPr/>
        <w:t>As discussed in chapter five, the Supreme Court considered arguments about the Procedures</w:t>
      </w:r>
      <w:r>
        <w:rPr>
          <w:spacing w:val="-9"/>
        </w:rPr>
        <w:t> </w:t>
      </w:r>
      <w:r>
        <w:rPr/>
        <w:t>Directive</w:t>
      </w:r>
      <w:r>
        <w:rPr>
          <w:spacing w:val="-9"/>
        </w:rPr>
        <w:t> </w:t>
      </w:r>
      <w:r>
        <w:rPr/>
        <w:t>in</w:t>
      </w:r>
      <w:r>
        <w:rPr>
          <w:spacing w:val="-9"/>
        </w:rPr>
        <w:t> </w:t>
      </w:r>
      <w:r>
        <w:rPr/>
        <w:t>the</w:t>
      </w:r>
      <w:r>
        <w:rPr>
          <w:spacing w:val="-9"/>
        </w:rPr>
        <w:t> </w:t>
      </w:r>
      <w:r>
        <w:rPr/>
        <w:t>Rwanda</w:t>
      </w:r>
      <w:r>
        <w:rPr>
          <w:spacing w:val="-9"/>
        </w:rPr>
        <w:t> </w:t>
      </w:r>
      <w:r>
        <w:rPr/>
        <w:t>flights</w:t>
      </w:r>
      <w:r>
        <w:rPr>
          <w:spacing w:val="-9"/>
        </w:rPr>
        <w:t> </w:t>
      </w:r>
      <w:r>
        <w:rPr/>
        <w:t>case.</w:t>
      </w:r>
      <w:r>
        <w:rPr>
          <w:vertAlign w:val="superscript"/>
        </w:rPr>
        <w:t>230</w:t>
      </w:r>
      <w:r>
        <w:rPr>
          <w:spacing w:val="-9"/>
          <w:vertAlign w:val="baseline"/>
        </w:rPr>
        <w:t> </w:t>
      </w:r>
      <w:r>
        <w:rPr>
          <w:vertAlign w:val="baseline"/>
        </w:rPr>
        <w:t>In</w:t>
      </w:r>
      <w:r>
        <w:rPr>
          <w:spacing w:val="-9"/>
          <w:vertAlign w:val="baseline"/>
        </w:rPr>
        <w:t> </w:t>
      </w:r>
      <w:r>
        <w:rPr>
          <w:vertAlign w:val="baseline"/>
        </w:rPr>
        <w:t>the</w:t>
      </w:r>
      <w:r>
        <w:rPr>
          <w:spacing w:val="-9"/>
          <w:vertAlign w:val="baseline"/>
        </w:rPr>
        <w:t> </w:t>
      </w:r>
      <w:r>
        <w:rPr>
          <w:vertAlign w:val="baseline"/>
        </w:rPr>
        <w:t>Supreme</w:t>
      </w:r>
      <w:r>
        <w:rPr>
          <w:spacing w:val="-9"/>
          <w:vertAlign w:val="baseline"/>
        </w:rPr>
        <w:t> </w:t>
      </w:r>
      <w:r>
        <w:rPr>
          <w:vertAlign w:val="baseline"/>
        </w:rPr>
        <w:t>Court</w:t>
      </w:r>
      <w:r>
        <w:rPr>
          <w:spacing w:val="-9"/>
          <w:vertAlign w:val="baseline"/>
        </w:rPr>
        <w:t> </w:t>
      </w:r>
      <w:r>
        <w:rPr>
          <w:vertAlign w:val="baseline"/>
        </w:rPr>
        <w:t>judgment the Secretary of State accepted that if this Directive applied the policy would</w:t>
      </w:r>
    </w:p>
    <w:p>
      <w:pPr>
        <w:pStyle w:val="BodyText"/>
        <w:spacing w:line="232" w:lineRule="auto"/>
        <w:ind w:left="1117" w:right="1087"/>
      </w:pPr>
      <w:r>
        <w:rPr/>
        <w:t>be in breach of the Directive.</w:t>
      </w:r>
      <w:r>
        <w:rPr>
          <w:vertAlign w:val="superscript"/>
        </w:rPr>
        <w:t>231</w:t>
      </w:r>
      <w:r>
        <w:rPr>
          <w:vertAlign w:val="baseline"/>
        </w:rPr>
        <w:t> The Supreme Court concluded the Directive no longer applied because of changes made by the Immigration and Social Security Coordination (EU Withdrawal) Act 2020. But that argument did not consider Northern Ireland or Article 2(1) WF. That the Secretary of State has already accepted</w:t>
      </w:r>
      <w:r>
        <w:rPr>
          <w:spacing w:val="-9"/>
          <w:vertAlign w:val="baseline"/>
        </w:rPr>
        <w:t> </w:t>
      </w:r>
      <w:r>
        <w:rPr>
          <w:vertAlign w:val="baseline"/>
        </w:rPr>
        <w:t>that</w:t>
      </w:r>
      <w:r>
        <w:rPr>
          <w:spacing w:val="-8"/>
          <w:vertAlign w:val="baseline"/>
        </w:rPr>
        <w:t> </w:t>
      </w:r>
      <w:r>
        <w:rPr>
          <w:vertAlign w:val="baseline"/>
        </w:rPr>
        <w:t>the</w:t>
      </w:r>
      <w:r>
        <w:rPr>
          <w:spacing w:val="-8"/>
          <w:vertAlign w:val="baseline"/>
        </w:rPr>
        <w:t> </w:t>
      </w:r>
      <w:r>
        <w:rPr>
          <w:vertAlign w:val="baseline"/>
        </w:rPr>
        <w:t>policy</w:t>
      </w:r>
      <w:r>
        <w:rPr>
          <w:spacing w:val="-8"/>
          <w:vertAlign w:val="baseline"/>
        </w:rPr>
        <w:t> </w:t>
      </w:r>
      <w:r>
        <w:rPr>
          <w:vertAlign w:val="baseline"/>
        </w:rPr>
        <w:t>would</w:t>
      </w:r>
      <w:r>
        <w:rPr>
          <w:spacing w:val="-9"/>
          <w:vertAlign w:val="baseline"/>
        </w:rPr>
        <w:t> </w:t>
      </w:r>
      <w:r>
        <w:rPr>
          <w:vertAlign w:val="baseline"/>
        </w:rPr>
        <w:t>breach</w:t>
      </w:r>
      <w:r>
        <w:rPr>
          <w:spacing w:val="-9"/>
          <w:vertAlign w:val="baseline"/>
        </w:rPr>
        <w:t> </w:t>
      </w:r>
      <w:r>
        <w:rPr>
          <w:vertAlign w:val="baseline"/>
        </w:rPr>
        <w:t>the</w:t>
      </w:r>
      <w:r>
        <w:rPr>
          <w:spacing w:val="-8"/>
          <w:vertAlign w:val="baseline"/>
        </w:rPr>
        <w:t> </w:t>
      </w:r>
      <w:r>
        <w:rPr>
          <w:vertAlign w:val="baseline"/>
        </w:rPr>
        <w:t>Procedures</w:t>
      </w:r>
      <w:r>
        <w:rPr>
          <w:spacing w:val="-9"/>
          <w:vertAlign w:val="baseline"/>
        </w:rPr>
        <w:t> </w:t>
      </w:r>
      <w:r>
        <w:rPr>
          <w:vertAlign w:val="baseline"/>
        </w:rPr>
        <w:t>Directive</w:t>
      </w:r>
      <w:r>
        <w:rPr>
          <w:spacing w:val="-8"/>
          <w:vertAlign w:val="baseline"/>
        </w:rPr>
        <w:t> </w:t>
      </w:r>
      <w:r>
        <w:rPr>
          <w:vertAlign w:val="baseline"/>
        </w:rPr>
        <w:t>therefore</w:t>
      </w:r>
      <w:r>
        <w:rPr>
          <w:spacing w:val="-8"/>
          <w:vertAlign w:val="baseline"/>
        </w:rPr>
        <w:t> </w:t>
      </w:r>
      <w:r>
        <w:rPr>
          <w:vertAlign w:val="baseline"/>
        </w:rPr>
        <w:t>would appear to be confirmation the bill is a diminution of rights within the terms of Article 2(1) WF.</w:t>
      </w:r>
    </w:p>
    <w:p>
      <w:pPr>
        <w:pStyle w:val="BodyText"/>
        <w:spacing w:line="232" w:lineRule="auto" w:before="268"/>
        <w:ind w:left="1117" w:right="1203"/>
      </w:pPr>
      <w:r>
        <w:rPr/>
        <w:t>Article 524 of the Trade and Cooperation Agreement provides that the cooperation</w:t>
      </w:r>
      <w:r>
        <w:rPr>
          <w:spacing w:val="-9"/>
        </w:rPr>
        <w:t> </w:t>
      </w:r>
      <w:r>
        <w:rPr/>
        <w:t>in</w:t>
      </w:r>
      <w:r>
        <w:rPr>
          <w:spacing w:val="-9"/>
        </w:rPr>
        <w:t> </w:t>
      </w:r>
      <w:r>
        <w:rPr/>
        <w:t>that</w:t>
      </w:r>
      <w:r>
        <w:rPr>
          <w:spacing w:val="-8"/>
        </w:rPr>
        <w:t> </w:t>
      </w:r>
      <w:r>
        <w:rPr/>
        <w:t>Part</w:t>
      </w:r>
      <w:r>
        <w:rPr>
          <w:spacing w:val="-8"/>
        </w:rPr>
        <w:t> </w:t>
      </w:r>
      <w:r>
        <w:rPr/>
        <w:t>(Law</w:t>
      </w:r>
      <w:r>
        <w:rPr>
          <w:spacing w:val="-8"/>
        </w:rPr>
        <w:t> </w:t>
      </w:r>
      <w:r>
        <w:rPr/>
        <w:t>Enforcement</w:t>
      </w:r>
      <w:r>
        <w:rPr>
          <w:spacing w:val="-8"/>
        </w:rPr>
        <w:t> </w:t>
      </w:r>
      <w:r>
        <w:rPr/>
        <w:t>and</w:t>
      </w:r>
      <w:r>
        <w:rPr>
          <w:spacing w:val="-9"/>
        </w:rPr>
        <w:t> </w:t>
      </w:r>
      <w:r>
        <w:rPr/>
        <w:t>Judicial</w:t>
      </w:r>
      <w:r>
        <w:rPr>
          <w:spacing w:val="-9"/>
        </w:rPr>
        <w:t> </w:t>
      </w:r>
      <w:r>
        <w:rPr/>
        <w:t>Cooperation</w:t>
      </w:r>
      <w:r>
        <w:rPr>
          <w:spacing w:val="-9"/>
        </w:rPr>
        <w:t> </w:t>
      </w:r>
      <w:r>
        <w:rPr/>
        <w:t>in</w:t>
      </w:r>
      <w:r>
        <w:rPr>
          <w:spacing w:val="-9"/>
        </w:rPr>
        <w:t> </w:t>
      </w:r>
      <w:r>
        <w:rPr/>
        <w:t>Criminal Matters) is based on respect for democracy, the rule of law and fundamental rights and freedoms as set out in the Universal Declaration of Human Rights and the European Convention on Human Rights ‘and on the importance of giving effect to the rights and freedoms in that Convention domestically’.</w:t>
      </w:r>
    </w:p>
    <w:p>
      <w:pPr>
        <w:pStyle w:val="BodyText"/>
        <w:spacing w:before="6"/>
        <w:rPr>
          <w:sz w:val="19"/>
        </w:rPr>
      </w:pPr>
      <w:r>
        <w:rPr/>
        <mc:AlternateContent>
          <mc:Choice Requires="wps">
            <w:drawing>
              <wp:anchor distT="0" distB="0" distL="0" distR="0" allowOverlap="1" layoutInCell="1" locked="0" behindDoc="1" simplePos="0" relativeHeight="487668736">
                <wp:simplePos x="0" y="0"/>
                <wp:positionH relativeFrom="page">
                  <wp:posOffset>899999</wp:posOffset>
                </wp:positionH>
                <wp:positionV relativeFrom="paragraph">
                  <wp:posOffset>166798</wp:posOffset>
                </wp:positionV>
                <wp:extent cx="6012180" cy="1270"/>
                <wp:effectExtent l="0" t="0" r="0" b="0"/>
                <wp:wrapTopAndBottom/>
                <wp:docPr id="440" name="Graphic 440"/>
                <wp:cNvGraphicFramePr>
                  <a:graphicFrameLocks/>
                </wp:cNvGraphicFramePr>
                <a:graphic>
                  <a:graphicData uri="http://schemas.microsoft.com/office/word/2010/wordprocessingShape">
                    <wps:wsp>
                      <wps:cNvPr id="440" name="Graphic 44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3.133722pt;width:473.4pt;height:.1pt;mso-position-horizontal-relative:page;mso-position-vertical-relative:paragraph;z-index:-15647744;mso-wrap-distance-left:0;mso-wrap-distance-right:0" id="docshape349" coordorigin="1417,263" coordsize="9468,0" path="m1417,263l10885,263e" filled="false" stroked="true" strokeweight=".5pt" strokecolor="#36a9e1">
                <v:path arrowok="t"/>
                <v:stroke dashstyle="solid"/>
                <w10:wrap type="topAndBottom"/>
              </v:shape>
            </w:pict>
          </mc:Fallback>
        </mc:AlternateContent>
      </w:r>
    </w:p>
    <w:p>
      <w:pPr>
        <w:tabs>
          <w:tab w:pos="1684" w:val="left" w:leader="none"/>
        </w:tabs>
        <w:spacing w:before="43"/>
        <w:ind w:left="1117" w:right="0" w:firstLine="0"/>
        <w:jc w:val="left"/>
        <w:rPr>
          <w:sz w:val="18"/>
        </w:rPr>
      </w:pPr>
      <w:r>
        <w:rPr>
          <w:spacing w:val="-5"/>
          <w:sz w:val="18"/>
        </w:rPr>
        <w:t>227</w:t>
      </w:r>
      <w:r>
        <w:rPr>
          <w:sz w:val="18"/>
        </w:rPr>
        <w:tab/>
        <w:t>Ibid.,</w:t>
      </w:r>
      <w:r>
        <w:rPr>
          <w:spacing w:val="-4"/>
          <w:sz w:val="18"/>
        </w:rPr>
        <w:t> </w:t>
      </w:r>
      <w:r>
        <w:rPr>
          <w:sz w:val="18"/>
        </w:rPr>
        <w:t>paras</w:t>
      </w:r>
      <w:r>
        <w:rPr>
          <w:spacing w:val="-2"/>
          <w:sz w:val="18"/>
        </w:rPr>
        <w:t> </w:t>
      </w:r>
      <w:r>
        <w:rPr>
          <w:sz w:val="18"/>
        </w:rPr>
        <w:t>16,</w:t>
      </w:r>
      <w:r>
        <w:rPr>
          <w:spacing w:val="-1"/>
          <w:sz w:val="18"/>
        </w:rPr>
        <w:t> </w:t>
      </w:r>
      <w:r>
        <w:rPr>
          <w:sz w:val="18"/>
        </w:rPr>
        <w:t>21,</w:t>
      </w:r>
      <w:r>
        <w:rPr>
          <w:spacing w:val="-1"/>
          <w:sz w:val="18"/>
        </w:rPr>
        <w:t> </w:t>
      </w:r>
      <w:r>
        <w:rPr>
          <w:spacing w:val="-5"/>
          <w:sz w:val="18"/>
        </w:rPr>
        <w:t>27.</w:t>
      </w:r>
    </w:p>
    <w:p>
      <w:pPr>
        <w:pStyle w:val="ListParagraph"/>
        <w:numPr>
          <w:ilvl w:val="0"/>
          <w:numId w:val="18"/>
        </w:numPr>
        <w:tabs>
          <w:tab w:pos="1684" w:val="left" w:leader="none"/>
        </w:tabs>
        <w:spacing w:line="240" w:lineRule="auto" w:before="1" w:after="0"/>
        <w:ind w:left="1684" w:right="0" w:hanging="567"/>
        <w:jc w:val="left"/>
        <w:rPr>
          <w:sz w:val="18"/>
        </w:rPr>
      </w:pPr>
      <w:r>
        <w:rPr>
          <w:sz w:val="18"/>
        </w:rPr>
        <w:t>UK</w:t>
      </w:r>
      <w:r>
        <w:rPr>
          <w:spacing w:val="-5"/>
          <w:sz w:val="18"/>
        </w:rPr>
        <w:t> </w:t>
      </w:r>
      <w:r>
        <w:rPr>
          <w:sz w:val="18"/>
        </w:rPr>
        <w:t>Government,</w:t>
      </w:r>
      <w:r>
        <w:rPr>
          <w:spacing w:val="-4"/>
          <w:sz w:val="18"/>
        </w:rPr>
        <w:t> </w:t>
      </w:r>
      <w:r>
        <w:rPr>
          <w:color w:val="1D71B8"/>
          <w:sz w:val="18"/>
          <w:u w:val="single" w:color="1D71B8"/>
        </w:rPr>
        <w:t>Safeguarding</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Union</w:t>
      </w:r>
      <w:r>
        <w:rPr>
          <w:color w:val="1D71B8"/>
          <w:spacing w:val="-6"/>
          <w:sz w:val="18"/>
          <w:u w:val="none"/>
        </w:rPr>
        <w:t> </w:t>
      </w:r>
      <w:r>
        <w:rPr>
          <w:sz w:val="18"/>
          <w:u w:val="none"/>
        </w:rPr>
        <w:t>(2024)</w:t>
      </w:r>
      <w:r>
        <w:rPr>
          <w:spacing w:val="-5"/>
          <w:sz w:val="18"/>
          <w:u w:val="none"/>
        </w:rPr>
        <w:t> </w:t>
      </w:r>
      <w:r>
        <w:rPr>
          <w:sz w:val="18"/>
          <w:u w:val="none"/>
        </w:rPr>
        <w:t>CP</w:t>
      </w:r>
      <w:r>
        <w:rPr>
          <w:spacing w:val="-5"/>
          <w:sz w:val="18"/>
          <w:u w:val="none"/>
        </w:rPr>
        <w:t> </w:t>
      </w:r>
      <w:r>
        <w:rPr>
          <w:sz w:val="18"/>
          <w:u w:val="none"/>
        </w:rPr>
        <w:t>1021,</w:t>
      </w:r>
      <w:r>
        <w:rPr>
          <w:spacing w:val="-4"/>
          <w:sz w:val="18"/>
          <w:u w:val="none"/>
        </w:rPr>
        <w:t> </w:t>
      </w:r>
      <w:r>
        <w:rPr>
          <w:sz w:val="18"/>
          <w:u w:val="none"/>
        </w:rPr>
        <w:t>paragraph</w:t>
      </w:r>
      <w:r>
        <w:rPr>
          <w:spacing w:val="-5"/>
          <w:sz w:val="18"/>
          <w:u w:val="none"/>
        </w:rPr>
        <w:t> 46.</w:t>
      </w:r>
    </w:p>
    <w:p>
      <w:pPr>
        <w:pStyle w:val="ListParagraph"/>
        <w:numPr>
          <w:ilvl w:val="0"/>
          <w:numId w:val="18"/>
        </w:numPr>
        <w:tabs>
          <w:tab w:pos="1684" w:val="left" w:leader="none"/>
        </w:tabs>
        <w:spacing w:line="240" w:lineRule="auto" w:before="0" w:after="0"/>
        <w:ind w:left="1684" w:right="0" w:hanging="567"/>
        <w:jc w:val="left"/>
        <w:rPr>
          <w:sz w:val="18"/>
        </w:rPr>
      </w:pPr>
      <w:r>
        <w:rPr>
          <w:color w:val="1D71B8"/>
          <w:sz w:val="18"/>
          <w:u w:val="single" w:color="1D71B8"/>
        </w:rPr>
        <w:t>Belfast</w:t>
      </w:r>
      <w:r>
        <w:rPr>
          <w:color w:val="1D71B8"/>
          <w:spacing w:val="-6"/>
          <w:sz w:val="18"/>
          <w:u w:val="single" w:color="1D71B8"/>
        </w:rPr>
        <w:t> </w:t>
      </w:r>
      <w:r>
        <w:rPr>
          <w:color w:val="1D71B8"/>
          <w:sz w:val="18"/>
          <w:u w:val="single" w:color="1D71B8"/>
        </w:rPr>
        <w:t>Good</w:t>
      </w:r>
      <w:r>
        <w:rPr>
          <w:color w:val="1D71B8"/>
          <w:spacing w:val="-6"/>
          <w:sz w:val="18"/>
          <w:u w:val="single" w:color="1D71B8"/>
        </w:rPr>
        <w:t> </w:t>
      </w:r>
      <w:r>
        <w:rPr>
          <w:color w:val="1D71B8"/>
          <w:sz w:val="18"/>
          <w:u w:val="single" w:color="1D71B8"/>
        </w:rPr>
        <w:t>Friday</w:t>
      </w:r>
      <w:r>
        <w:rPr>
          <w:color w:val="1D71B8"/>
          <w:spacing w:val="-6"/>
          <w:sz w:val="18"/>
          <w:u w:val="single" w:color="1D71B8"/>
        </w:rPr>
        <w:t> </w:t>
      </w:r>
      <w:r>
        <w:rPr>
          <w:color w:val="1D71B8"/>
          <w:sz w:val="18"/>
          <w:u w:val="single" w:color="1D71B8"/>
        </w:rPr>
        <w:t>Agreement</w:t>
      </w:r>
      <w:r>
        <w:rPr>
          <w:color w:val="1D71B8"/>
          <w:spacing w:val="-5"/>
          <w:sz w:val="18"/>
          <w:u w:val="single" w:color="1D71B8"/>
        </w:rPr>
        <w:t> </w:t>
      </w:r>
      <w:r>
        <w:rPr>
          <w:color w:val="1D71B8"/>
          <w:sz w:val="18"/>
          <w:u w:val="single" w:color="1D71B8"/>
        </w:rPr>
        <w:t>1998</w:t>
      </w:r>
      <w:r>
        <w:rPr>
          <w:sz w:val="18"/>
          <w:u w:val="none"/>
        </w:rPr>
        <w:t>,</w:t>
      </w:r>
      <w:r>
        <w:rPr>
          <w:spacing w:val="-6"/>
          <w:sz w:val="18"/>
          <w:u w:val="none"/>
        </w:rPr>
        <w:t> </w:t>
      </w:r>
      <w:r>
        <w:rPr>
          <w:sz w:val="18"/>
          <w:u w:val="none"/>
        </w:rPr>
        <w:t>Rights,</w:t>
      </w:r>
      <w:r>
        <w:rPr>
          <w:spacing w:val="-5"/>
          <w:sz w:val="18"/>
          <w:u w:val="none"/>
        </w:rPr>
        <w:t> </w:t>
      </w:r>
      <w:r>
        <w:rPr>
          <w:sz w:val="18"/>
          <w:u w:val="none"/>
        </w:rPr>
        <w:t>Safeguards</w:t>
      </w:r>
      <w:r>
        <w:rPr>
          <w:spacing w:val="-7"/>
          <w:sz w:val="18"/>
          <w:u w:val="none"/>
        </w:rPr>
        <w:t> </w:t>
      </w:r>
      <w:r>
        <w:rPr>
          <w:sz w:val="18"/>
          <w:u w:val="none"/>
        </w:rPr>
        <w:t>and</w:t>
      </w:r>
      <w:r>
        <w:rPr>
          <w:spacing w:val="-6"/>
          <w:sz w:val="18"/>
          <w:u w:val="none"/>
        </w:rPr>
        <w:t> </w:t>
      </w:r>
      <w:r>
        <w:rPr>
          <w:sz w:val="18"/>
          <w:u w:val="none"/>
        </w:rPr>
        <w:t>Equality</w:t>
      </w:r>
      <w:r>
        <w:rPr>
          <w:spacing w:val="-6"/>
          <w:sz w:val="18"/>
          <w:u w:val="none"/>
        </w:rPr>
        <w:t> </w:t>
      </w:r>
      <w:r>
        <w:rPr>
          <w:sz w:val="18"/>
          <w:u w:val="none"/>
        </w:rPr>
        <w:t>of</w:t>
      </w:r>
      <w:r>
        <w:rPr>
          <w:spacing w:val="-6"/>
          <w:sz w:val="18"/>
          <w:u w:val="none"/>
        </w:rPr>
        <w:t> </w:t>
      </w:r>
      <w:r>
        <w:rPr>
          <w:sz w:val="18"/>
          <w:u w:val="none"/>
        </w:rPr>
        <w:t>Opportunity,</w:t>
      </w:r>
      <w:r>
        <w:rPr>
          <w:spacing w:val="-5"/>
          <w:sz w:val="18"/>
          <w:u w:val="none"/>
        </w:rPr>
        <w:t> 2.</w:t>
      </w:r>
    </w:p>
    <w:p>
      <w:pPr>
        <w:pStyle w:val="ListParagraph"/>
        <w:numPr>
          <w:ilvl w:val="0"/>
          <w:numId w:val="18"/>
        </w:numPr>
        <w:tabs>
          <w:tab w:pos="1684" w:val="left" w:leader="none"/>
        </w:tabs>
        <w:spacing w:line="240" w:lineRule="auto" w:before="0" w:after="0"/>
        <w:ind w:left="1684" w:right="924" w:hanging="567"/>
        <w:jc w:val="left"/>
        <w:rPr>
          <w:sz w:val="18"/>
        </w:rPr>
      </w:pPr>
      <w:r>
        <w:rPr>
          <w:color w:val="1D71B8"/>
          <w:sz w:val="18"/>
          <w:u w:val="single" w:color="1D71B8"/>
        </w:rPr>
        <w:t>Council</w:t>
      </w:r>
      <w:r>
        <w:rPr>
          <w:color w:val="1D71B8"/>
          <w:spacing w:val="-5"/>
          <w:sz w:val="18"/>
          <w:u w:val="single" w:color="1D71B8"/>
        </w:rPr>
        <w:t> </w:t>
      </w:r>
      <w:r>
        <w:rPr>
          <w:color w:val="1D71B8"/>
          <w:sz w:val="18"/>
          <w:u w:val="single" w:color="1D71B8"/>
        </w:rPr>
        <w:t>Directive</w:t>
      </w:r>
      <w:r>
        <w:rPr>
          <w:color w:val="1D71B8"/>
          <w:spacing w:val="-4"/>
          <w:sz w:val="18"/>
          <w:u w:val="single" w:color="1D71B8"/>
        </w:rPr>
        <w:t> </w:t>
      </w:r>
      <w:r>
        <w:rPr>
          <w:color w:val="1D71B8"/>
          <w:sz w:val="18"/>
          <w:u w:val="single" w:color="1D71B8"/>
        </w:rPr>
        <w:t>2005/85/EC</w:t>
      </w:r>
      <w:r>
        <w:rPr>
          <w:color w:val="1D71B8"/>
          <w:spacing w:val="-4"/>
          <w:sz w:val="18"/>
          <w:u w:val="none"/>
        </w:rPr>
        <w:t> </w:t>
      </w:r>
      <w:r>
        <w:rPr>
          <w:sz w:val="18"/>
          <w:u w:val="none"/>
        </w:rPr>
        <w:t>of</w:t>
      </w:r>
      <w:r>
        <w:rPr>
          <w:spacing w:val="-5"/>
          <w:sz w:val="18"/>
          <w:u w:val="none"/>
        </w:rPr>
        <w:t> </w:t>
      </w:r>
      <w:r>
        <w:rPr>
          <w:sz w:val="18"/>
          <w:u w:val="none"/>
        </w:rPr>
        <w:t>1</w:t>
      </w:r>
      <w:r>
        <w:rPr>
          <w:spacing w:val="-4"/>
          <w:sz w:val="18"/>
          <w:u w:val="none"/>
        </w:rPr>
        <w:t> </w:t>
      </w:r>
      <w:r>
        <w:rPr>
          <w:sz w:val="18"/>
          <w:u w:val="none"/>
        </w:rPr>
        <w:t>December</w:t>
      </w:r>
      <w:r>
        <w:rPr>
          <w:spacing w:val="-4"/>
          <w:sz w:val="18"/>
          <w:u w:val="none"/>
        </w:rPr>
        <w:t> </w:t>
      </w:r>
      <w:r>
        <w:rPr>
          <w:sz w:val="18"/>
          <w:u w:val="none"/>
        </w:rPr>
        <w:t>2005</w:t>
      </w:r>
      <w:r>
        <w:rPr>
          <w:spacing w:val="-4"/>
          <w:sz w:val="18"/>
          <w:u w:val="none"/>
        </w:rPr>
        <w:t> </w:t>
      </w:r>
      <w:r>
        <w:rPr>
          <w:sz w:val="18"/>
          <w:u w:val="none"/>
        </w:rPr>
        <w:t>on</w:t>
      </w:r>
      <w:r>
        <w:rPr>
          <w:spacing w:val="-5"/>
          <w:sz w:val="18"/>
          <w:u w:val="none"/>
        </w:rPr>
        <w:t> </w:t>
      </w:r>
      <w:r>
        <w:rPr>
          <w:sz w:val="18"/>
          <w:u w:val="none"/>
        </w:rPr>
        <w:t>minimum</w:t>
      </w:r>
      <w:r>
        <w:rPr>
          <w:spacing w:val="-4"/>
          <w:sz w:val="18"/>
          <w:u w:val="none"/>
        </w:rPr>
        <w:t> </w:t>
      </w:r>
      <w:r>
        <w:rPr>
          <w:sz w:val="18"/>
          <w:u w:val="none"/>
        </w:rPr>
        <w:t>standards</w:t>
      </w:r>
      <w:r>
        <w:rPr>
          <w:spacing w:val="-5"/>
          <w:sz w:val="18"/>
          <w:u w:val="none"/>
        </w:rPr>
        <w:t> </w:t>
      </w:r>
      <w:r>
        <w:rPr>
          <w:sz w:val="18"/>
          <w:u w:val="none"/>
        </w:rPr>
        <w:t>on</w:t>
      </w:r>
      <w:r>
        <w:rPr>
          <w:spacing w:val="-5"/>
          <w:sz w:val="18"/>
          <w:u w:val="none"/>
        </w:rPr>
        <w:t> </w:t>
      </w:r>
      <w:r>
        <w:rPr>
          <w:sz w:val="18"/>
          <w:u w:val="none"/>
        </w:rPr>
        <w:t>procedures</w:t>
      </w:r>
      <w:r>
        <w:rPr>
          <w:spacing w:val="-5"/>
          <w:sz w:val="18"/>
          <w:u w:val="none"/>
        </w:rPr>
        <w:t> </w:t>
      </w:r>
      <w:r>
        <w:rPr>
          <w:sz w:val="18"/>
          <w:u w:val="none"/>
        </w:rPr>
        <w:t>in</w:t>
      </w:r>
      <w:r>
        <w:rPr>
          <w:spacing w:val="-5"/>
          <w:sz w:val="18"/>
          <w:u w:val="none"/>
        </w:rPr>
        <w:t> </w:t>
      </w:r>
      <w:r>
        <w:rPr>
          <w:sz w:val="18"/>
          <w:u w:val="none"/>
        </w:rPr>
        <w:t>Member</w:t>
      </w:r>
      <w:r>
        <w:rPr>
          <w:spacing w:val="-4"/>
          <w:sz w:val="18"/>
          <w:u w:val="none"/>
        </w:rPr>
        <w:t> </w:t>
      </w:r>
      <w:r>
        <w:rPr>
          <w:sz w:val="18"/>
          <w:u w:val="none"/>
        </w:rPr>
        <w:t>States</w:t>
      </w:r>
      <w:r>
        <w:rPr>
          <w:spacing w:val="-5"/>
          <w:sz w:val="18"/>
          <w:u w:val="none"/>
        </w:rPr>
        <w:t> </w:t>
      </w:r>
      <w:r>
        <w:rPr>
          <w:sz w:val="18"/>
          <w:u w:val="none"/>
        </w:rPr>
        <w:t>for</w:t>
      </w:r>
      <w:r>
        <w:rPr>
          <w:spacing w:val="-4"/>
          <w:sz w:val="18"/>
          <w:u w:val="none"/>
        </w:rPr>
        <w:t> </w:t>
      </w:r>
      <w:r>
        <w:rPr>
          <w:sz w:val="18"/>
          <w:u w:val="none"/>
        </w:rPr>
        <w:t>granting and withdrawing refugee status 2005.</w:t>
      </w:r>
    </w:p>
    <w:p>
      <w:pPr>
        <w:pStyle w:val="ListParagraph"/>
        <w:numPr>
          <w:ilvl w:val="0"/>
          <w:numId w:val="18"/>
        </w:numPr>
        <w:tabs>
          <w:tab w:pos="1684" w:val="left" w:leader="none"/>
        </w:tabs>
        <w:spacing w:line="240" w:lineRule="auto" w:before="1" w:after="0"/>
        <w:ind w:left="1684" w:right="924" w:hanging="567"/>
        <w:jc w:val="left"/>
        <w:rPr>
          <w:sz w:val="18"/>
        </w:rPr>
      </w:pPr>
      <w:r>
        <w:rPr>
          <w:color w:val="1D71B8"/>
          <w:sz w:val="18"/>
          <w:u w:val="single" w:color="1D71B8"/>
        </w:rPr>
        <w:t>R</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application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AAA</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others)</w:t>
      </w:r>
      <w:r>
        <w:rPr>
          <w:color w:val="1D71B8"/>
          <w:spacing w:val="-5"/>
          <w:sz w:val="18"/>
          <w:u w:val="single" w:color="1D71B8"/>
        </w:rPr>
        <w:t> </w:t>
      </w:r>
      <w:r>
        <w:rPr>
          <w:color w:val="1D71B8"/>
          <w:sz w:val="18"/>
          <w:u w:val="single" w:color="1D71B8"/>
        </w:rPr>
        <w:t>(Respondents/Cross</w:t>
      </w:r>
      <w:r>
        <w:rPr>
          <w:color w:val="1D71B8"/>
          <w:spacing w:val="-5"/>
          <w:sz w:val="18"/>
          <w:u w:val="single" w:color="1D71B8"/>
        </w:rPr>
        <w:t> </w:t>
      </w:r>
      <w:r>
        <w:rPr>
          <w:color w:val="1D71B8"/>
          <w:sz w:val="18"/>
          <w:u w:val="single" w:color="1D71B8"/>
        </w:rPr>
        <w:t>Appellants)</w:t>
      </w:r>
      <w:r>
        <w:rPr>
          <w:color w:val="1D71B8"/>
          <w:spacing w:val="-5"/>
          <w:sz w:val="18"/>
          <w:u w:val="single" w:color="1D71B8"/>
        </w:rPr>
        <w:t> </w:t>
      </w:r>
      <w:r>
        <w:rPr>
          <w:color w:val="1D71B8"/>
          <w:sz w:val="18"/>
          <w:u w:val="single" w:color="1D71B8"/>
        </w:rPr>
        <w:t>v</w:t>
      </w:r>
      <w:r>
        <w:rPr>
          <w:color w:val="1D71B8"/>
          <w:spacing w:val="-4"/>
          <w:sz w:val="18"/>
          <w:u w:val="single" w:color="1D71B8"/>
        </w:rPr>
        <w:t> </w:t>
      </w:r>
      <w:r>
        <w:rPr>
          <w:color w:val="1D71B8"/>
          <w:sz w:val="18"/>
          <w:u w:val="single" w:color="1D71B8"/>
        </w:rPr>
        <w:t>Secretary</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State</w:t>
      </w:r>
      <w:r>
        <w:rPr>
          <w:color w:val="1D71B8"/>
          <w:spacing w:val="-4"/>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Home</w:t>
      </w:r>
      <w:r>
        <w:rPr>
          <w:color w:val="1D71B8"/>
          <w:spacing w:val="-4"/>
          <w:sz w:val="18"/>
          <w:u w:val="single" w:color="1D71B8"/>
        </w:rPr>
        <w:t> </w:t>
      </w:r>
      <w:r>
        <w:rPr>
          <w:color w:val="1D71B8"/>
          <w:sz w:val="18"/>
          <w:u w:val="single" w:color="1D71B8"/>
        </w:rPr>
        <w:t>Department</w:t>
      </w:r>
      <w:r>
        <w:rPr>
          <w:color w:val="1D71B8"/>
          <w:sz w:val="18"/>
          <w:u w:val="none"/>
        </w:rPr>
        <w:t> </w:t>
      </w:r>
      <w:r>
        <w:rPr>
          <w:color w:val="1D71B8"/>
          <w:sz w:val="18"/>
          <w:u w:val="single" w:color="1D71B8"/>
        </w:rPr>
        <w:t>(Appellant/Cross Respondent)</w:t>
      </w:r>
      <w:r>
        <w:rPr>
          <w:color w:val="1D71B8"/>
          <w:sz w:val="18"/>
          <w:u w:val="none"/>
        </w:rPr>
        <w:t> </w:t>
      </w:r>
      <w:r>
        <w:rPr>
          <w:sz w:val="18"/>
          <w:u w:val="none"/>
        </w:rPr>
        <w:t>[2023] UKSC 42, (15 November 2023) [108].</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86944">
                <wp:simplePos x="0" y="0"/>
                <wp:positionH relativeFrom="page">
                  <wp:posOffset>0</wp:posOffset>
                </wp:positionH>
                <wp:positionV relativeFrom="page">
                  <wp:posOffset>0</wp:posOffset>
                </wp:positionV>
                <wp:extent cx="7560309" cy="1155065"/>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7560309" cy="1155065"/>
                          <a:chExt cx="7560309" cy="1155065"/>
                        </a:xfrm>
                      </wpg:grpSpPr>
                      <wps:wsp>
                        <wps:cNvPr id="442" name="Graphic 442"/>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443" name="Graphic 443"/>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29536" id="docshapegroup350" coordorigin="0,0" coordsize="11906,1819">
                <v:shape style="position:absolute;left:0;top:0;width:11906;height:1819" id="docshape351"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46</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886"/>
      </w:pPr>
      <w:r>
        <w:rPr/>
        <w:t>The</w:t>
      </w:r>
      <w:r>
        <w:rPr>
          <w:spacing w:val="-6"/>
        </w:rPr>
        <w:t> </w:t>
      </w:r>
      <w:r>
        <w:rPr/>
        <w:t>Safety</w:t>
      </w:r>
      <w:r>
        <w:rPr>
          <w:spacing w:val="-6"/>
        </w:rPr>
        <w:t> </w:t>
      </w:r>
      <w:r>
        <w:rPr/>
        <w:t>of</w:t>
      </w:r>
      <w:r>
        <w:rPr>
          <w:spacing w:val="-7"/>
        </w:rPr>
        <w:t> </w:t>
      </w:r>
      <w:r>
        <w:rPr/>
        <w:t>Rwanda</w:t>
      </w:r>
      <w:r>
        <w:rPr>
          <w:spacing w:val="-7"/>
        </w:rPr>
        <w:t> </w:t>
      </w:r>
      <w:r>
        <w:rPr/>
        <w:t>Bill</w:t>
      </w:r>
      <w:r>
        <w:rPr>
          <w:spacing w:val="-7"/>
        </w:rPr>
        <w:t> </w:t>
      </w:r>
      <w:r>
        <w:rPr/>
        <w:t>would</w:t>
      </w:r>
      <w:r>
        <w:rPr>
          <w:spacing w:val="-7"/>
        </w:rPr>
        <w:t> </w:t>
      </w:r>
      <w:r>
        <w:rPr/>
        <w:t>seem</w:t>
      </w:r>
      <w:r>
        <w:rPr>
          <w:spacing w:val="-6"/>
        </w:rPr>
        <w:t> </w:t>
      </w:r>
      <w:r>
        <w:rPr/>
        <w:t>to</w:t>
      </w:r>
      <w:r>
        <w:rPr>
          <w:spacing w:val="-7"/>
        </w:rPr>
        <w:t> </w:t>
      </w:r>
      <w:r>
        <w:rPr/>
        <w:t>undermine</w:t>
      </w:r>
      <w:r>
        <w:rPr>
          <w:spacing w:val="-6"/>
        </w:rPr>
        <w:t> </w:t>
      </w:r>
      <w:r>
        <w:rPr/>
        <w:t>the</w:t>
      </w:r>
      <w:r>
        <w:rPr>
          <w:spacing w:val="-6"/>
        </w:rPr>
        <w:t> </w:t>
      </w:r>
      <w:r>
        <w:rPr/>
        <w:t>domestic</w:t>
      </w:r>
      <w:r>
        <w:rPr>
          <w:spacing w:val="-6"/>
        </w:rPr>
        <w:t> </w:t>
      </w:r>
      <w:r>
        <w:rPr/>
        <w:t>effect</w:t>
      </w:r>
      <w:r>
        <w:rPr>
          <w:spacing w:val="-6"/>
        </w:rPr>
        <w:t> </w:t>
      </w:r>
      <w:r>
        <w:rPr/>
        <w:t>of the</w:t>
      </w:r>
      <w:r>
        <w:rPr>
          <w:spacing w:val="-4"/>
        </w:rPr>
        <w:t> </w:t>
      </w:r>
      <w:r>
        <w:rPr/>
        <w:t>Convention</w:t>
      </w:r>
      <w:r>
        <w:rPr>
          <w:spacing w:val="-5"/>
        </w:rPr>
        <w:t> </w:t>
      </w:r>
      <w:r>
        <w:rPr/>
        <w:t>in</w:t>
      </w:r>
      <w:r>
        <w:rPr>
          <w:spacing w:val="-5"/>
        </w:rPr>
        <w:t> </w:t>
      </w:r>
      <w:r>
        <w:rPr/>
        <w:t>the</w:t>
      </w:r>
      <w:r>
        <w:rPr>
          <w:spacing w:val="-3"/>
        </w:rPr>
        <w:t> </w:t>
      </w:r>
      <w:r>
        <w:rPr/>
        <w:t>UK.</w:t>
      </w:r>
      <w:r>
        <w:rPr>
          <w:spacing w:val="-5"/>
        </w:rPr>
        <w:t> </w:t>
      </w:r>
      <w:r>
        <w:rPr/>
        <w:t>Whilst</w:t>
      </w:r>
      <w:r>
        <w:rPr>
          <w:spacing w:val="-4"/>
        </w:rPr>
        <w:t> </w:t>
      </w:r>
      <w:r>
        <w:rPr/>
        <w:t>there</w:t>
      </w:r>
      <w:r>
        <w:rPr>
          <w:spacing w:val="-4"/>
        </w:rPr>
        <w:t> </w:t>
      </w:r>
      <w:r>
        <w:rPr/>
        <w:t>does</w:t>
      </w:r>
      <w:r>
        <w:rPr>
          <w:spacing w:val="-4"/>
        </w:rPr>
        <w:t> </w:t>
      </w:r>
      <w:r>
        <w:rPr/>
        <w:t>not</w:t>
      </w:r>
      <w:r>
        <w:rPr>
          <w:spacing w:val="-4"/>
        </w:rPr>
        <w:t> </w:t>
      </w:r>
      <w:r>
        <w:rPr/>
        <w:t>seem</w:t>
      </w:r>
      <w:r>
        <w:rPr>
          <w:spacing w:val="-4"/>
        </w:rPr>
        <w:t> </w:t>
      </w:r>
      <w:r>
        <w:rPr/>
        <w:t>to</w:t>
      </w:r>
      <w:r>
        <w:rPr>
          <w:spacing w:val="-5"/>
        </w:rPr>
        <w:t> </w:t>
      </w:r>
      <w:r>
        <w:rPr/>
        <w:t>be</w:t>
      </w:r>
      <w:r>
        <w:rPr>
          <w:spacing w:val="-3"/>
        </w:rPr>
        <w:t> </w:t>
      </w:r>
      <w:r>
        <w:rPr/>
        <w:t>any</w:t>
      </w:r>
      <w:r>
        <w:rPr>
          <w:spacing w:val="-4"/>
        </w:rPr>
        <w:t> </w:t>
      </w:r>
      <w:r>
        <w:rPr>
          <w:spacing w:val="-2"/>
        </w:rPr>
        <w:t>automatic</w:t>
      </w:r>
    </w:p>
    <w:p>
      <w:pPr>
        <w:pStyle w:val="BodyText"/>
        <w:spacing w:line="232" w:lineRule="auto"/>
        <w:ind w:left="720" w:right="1250"/>
      </w:pPr>
      <w:r>
        <w:rPr/>
        <w:t>consequence</w:t>
      </w:r>
      <w:r>
        <w:rPr>
          <w:spacing w:val="-6"/>
        </w:rPr>
        <w:t> </w:t>
      </w:r>
      <w:r>
        <w:rPr/>
        <w:t>for</w:t>
      </w:r>
      <w:r>
        <w:rPr>
          <w:spacing w:val="-6"/>
        </w:rPr>
        <w:t> </w:t>
      </w:r>
      <w:r>
        <w:rPr/>
        <w:t>this</w:t>
      </w:r>
      <w:r>
        <w:rPr>
          <w:spacing w:val="-6"/>
        </w:rPr>
        <w:t> </w:t>
      </w:r>
      <w:r>
        <w:rPr/>
        <w:t>provided</w:t>
      </w:r>
      <w:r>
        <w:rPr>
          <w:spacing w:val="-6"/>
        </w:rPr>
        <w:t> </w:t>
      </w:r>
      <w:r>
        <w:rPr/>
        <w:t>for</w:t>
      </w:r>
      <w:r>
        <w:rPr>
          <w:spacing w:val="-6"/>
        </w:rPr>
        <w:t> </w:t>
      </w:r>
      <w:r>
        <w:rPr/>
        <w:t>in</w:t>
      </w:r>
      <w:r>
        <w:rPr>
          <w:spacing w:val="-6"/>
        </w:rPr>
        <w:t> </w:t>
      </w:r>
      <w:r>
        <w:rPr/>
        <w:t>Article</w:t>
      </w:r>
      <w:r>
        <w:rPr>
          <w:spacing w:val="-6"/>
        </w:rPr>
        <w:t> </w:t>
      </w:r>
      <w:r>
        <w:rPr/>
        <w:t>524</w:t>
      </w:r>
      <w:r>
        <w:rPr>
          <w:spacing w:val="-6"/>
        </w:rPr>
        <w:t> </w:t>
      </w:r>
      <w:r>
        <w:rPr/>
        <w:t>it</w:t>
      </w:r>
      <w:r>
        <w:rPr>
          <w:spacing w:val="-6"/>
        </w:rPr>
        <w:t> </w:t>
      </w:r>
      <w:r>
        <w:rPr/>
        <w:t>should</w:t>
      </w:r>
      <w:r>
        <w:rPr>
          <w:spacing w:val="-6"/>
        </w:rPr>
        <w:t> </w:t>
      </w:r>
      <w:r>
        <w:rPr/>
        <w:t>presumably</w:t>
      </w:r>
      <w:r>
        <w:rPr>
          <w:spacing w:val="-6"/>
        </w:rPr>
        <w:t> </w:t>
      </w:r>
      <w:r>
        <w:rPr/>
        <w:t>be</w:t>
      </w:r>
      <w:r>
        <w:rPr>
          <w:spacing w:val="-6"/>
        </w:rPr>
        <w:t> </w:t>
      </w:r>
      <w:r>
        <w:rPr/>
        <w:t>a</w:t>
      </w:r>
      <w:r>
        <w:rPr>
          <w:spacing w:val="-6"/>
        </w:rPr>
        <w:t> </w:t>
      </w:r>
      <w:r>
        <w:rPr/>
        <w:t>matter of concern for the UK Government and the EU that the UK is proposing to so undermine the domestic protection of the Convention rights.</w:t>
      </w:r>
    </w:p>
    <w:p>
      <w:pPr>
        <w:pStyle w:val="BodyText"/>
        <w:spacing w:line="232" w:lineRule="auto" w:before="275"/>
        <w:ind w:left="720" w:right="1087"/>
      </w:pPr>
      <w:r>
        <w:rPr/>
        <w:t>The NIHRC has published a research report</w:t>
      </w:r>
      <w:r>
        <w:rPr>
          <w:vertAlign w:val="superscript"/>
        </w:rPr>
        <w:t>232</w:t>
      </w:r>
      <w:r>
        <w:rPr>
          <w:vertAlign w:val="baseline"/>
        </w:rPr>
        <w:t> and a briefing document</w:t>
      </w:r>
      <w:r>
        <w:rPr>
          <w:vertAlign w:val="superscript"/>
        </w:rPr>
        <w:t>233</w:t>
      </w:r>
      <w:r>
        <w:rPr>
          <w:vertAlign w:val="baseline"/>
        </w:rPr>
        <w:t> highlighting serious concerns about the protection of asylum seekers and refugees under Article 2(1) WF. It has also published its advice on the Rwanda Bill.</w:t>
      </w:r>
      <w:r>
        <w:rPr>
          <w:vertAlign w:val="superscript"/>
        </w:rPr>
        <w:t>234</w:t>
      </w:r>
      <w:r>
        <w:rPr>
          <w:vertAlign w:val="baseline"/>
        </w:rPr>
        <w:t> In its advice on the Rwanda Bill the Commission has indicated that certain EU laws on asylum</w:t>
      </w:r>
      <w:r>
        <w:rPr>
          <w:spacing w:val="-1"/>
          <w:vertAlign w:val="baseline"/>
        </w:rPr>
        <w:t> </w:t>
      </w:r>
      <w:r>
        <w:rPr>
          <w:vertAlign w:val="baseline"/>
        </w:rPr>
        <w:t>are</w:t>
      </w:r>
      <w:r>
        <w:rPr>
          <w:spacing w:val="-1"/>
          <w:vertAlign w:val="baseline"/>
        </w:rPr>
        <w:t> </w:t>
      </w:r>
      <w:r>
        <w:rPr>
          <w:vertAlign w:val="baseline"/>
        </w:rPr>
        <w:t>within</w:t>
      </w:r>
      <w:r>
        <w:rPr>
          <w:spacing w:val="-2"/>
          <w:vertAlign w:val="baseline"/>
        </w:rPr>
        <w:t> </w:t>
      </w:r>
      <w:r>
        <w:rPr>
          <w:vertAlign w:val="baseline"/>
        </w:rPr>
        <w:t>the</w:t>
      </w:r>
      <w:r>
        <w:rPr>
          <w:spacing w:val="-1"/>
          <w:vertAlign w:val="baseline"/>
        </w:rPr>
        <w:t> </w:t>
      </w:r>
      <w:r>
        <w:rPr>
          <w:vertAlign w:val="baseline"/>
        </w:rPr>
        <w:t>scope</w:t>
      </w:r>
      <w:r>
        <w:rPr>
          <w:spacing w:val="-1"/>
          <w:vertAlign w:val="baseline"/>
        </w:rPr>
        <w:t> </w:t>
      </w:r>
      <w:r>
        <w:rPr>
          <w:vertAlign w:val="baseline"/>
        </w:rPr>
        <w:t>of</w:t>
      </w:r>
      <w:r>
        <w:rPr>
          <w:spacing w:val="-2"/>
          <w:vertAlign w:val="baseline"/>
        </w:rPr>
        <w:t> </w:t>
      </w:r>
      <w:r>
        <w:rPr>
          <w:vertAlign w:val="baseline"/>
        </w:rPr>
        <w:t>Article</w:t>
      </w:r>
      <w:r>
        <w:rPr>
          <w:spacing w:val="-1"/>
          <w:vertAlign w:val="baseline"/>
        </w:rPr>
        <w:t> </w:t>
      </w:r>
      <w:r>
        <w:rPr>
          <w:vertAlign w:val="baseline"/>
        </w:rPr>
        <w:t>2</w:t>
      </w:r>
      <w:r>
        <w:rPr>
          <w:spacing w:val="-1"/>
          <w:vertAlign w:val="baseline"/>
        </w:rPr>
        <w:t> </w:t>
      </w:r>
      <w:r>
        <w:rPr>
          <w:vertAlign w:val="baseline"/>
        </w:rPr>
        <w:t>WF:</w:t>
      </w:r>
      <w:r>
        <w:rPr>
          <w:spacing w:val="-1"/>
          <w:vertAlign w:val="baseline"/>
        </w:rPr>
        <w:t> </w:t>
      </w:r>
      <w:r>
        <w:rPr>
          <w:vertAlign w:val="baseline"/>
        </w:rPr>
        <w:t>the</w:t>
      </w:r>
      <w:r>
        <w:rPr>
          <w:spacing w:val="-1"/>
          <w:vertAlign w:val="baseline"/>
        </w:rPr>
        <w:t> </w:t>
      </w:r>
      <w:r>
        <w:rPr>
          <w:vertAlign w:val="baseline"/>
        </w:rPr>
        <w:t>Temporary</w:t>
      </w:r>
      <w:r>
        <w:rPr>
          <w:spacing w:val="-1"/>
          <w:vertAlign w:val="baseline"/>
        </w:rPr>
        <w:t> </w:t>
      </w:r>
      <w:r>
        <w:rPr>
          <w:vertAlign w:val="baseline"/>
        </w:rPr>
        <w:t>Protection</w:t>
      </w:r>
      <w:r>
        <w:rPr>
          <w:spacing w:val="-2"/>
          <w:vertAlign w:val="baseline"/>
        </w:rPr>
        <w:t> </w:t>
      </w:r>
      <w:r>
        <w:rPr>
          <w:vertAlign w:val="baseline"/>
        </w:rPr>
        <w:t>Directive,</w:t>
      </w:r>
      <w:r>
        <w:rPr>
          <w:vertAlign w:val="superscript"/>
        </w:rPr>
        <w:t>235</w:t>
      </w:r>
      <w:r>
        <w:rPr>
          <w:vertAlign w:val="baseline"/>
        </w:rPr>
        <w:t> the original Asylum Reception Directive,</w:t>
      </w:r>
      <w:r>
        <w:rPr>
          <w:vertAlign w:val="superscript"/>
        </w:rPr>
        <w:t>236</w:t>
      </w:r>
      <w:r>
        <w:rPr>
          <w:vertAlign w:val="baseline"/>
        </w:rPr>
        <w:t> the Qualification Directive,</w:t>
      </w:r>
      <w:r>
        <w:rPr>
          <w:vertAlign w:val="superscript"/>
        </w:rPr>
        <w:t>237</w:t>
      </w:r>
      <w:r>
        <w:rPr>
          <w:vertAlign w:val="baseline"/>
        </w:rPr>
        <w:t> the Procedures Directive</w:t>
      </w:r>
      <w:r>
        <w:rPr>
          <w:vertAlign w:val="superscript"/>
        </w:rPr>
        <w:t>238</w:t>
      </w:r>
      <w:r>
        <w:rPr>
          <w:vertAlign w:val="baseline"/>
        </w:rPr>
        <w:t> and the Dublin Convention.</w:t>
      </w:r>
      <w:r>
        <w:rPr>
          <w:vertAlign w:val="superscript"/>
        </w:rPr>
        <w:t>239</w:t>
      </w:r>
      <w:r>
        <w:rPr>
          <w:vertAlign w:val="baseline"/>
        </w:rPr>
        <w:t> The Commission highlights numerous problems with the Bill, including compatibility with Article 2 WF but also international law more generally and UK constitutional principles. The Bill may also conflict with section 7A of the European Union (Withdrawal) Act.</w:t>
      </w:r>
      <w:r>
        <w:rPr>
          <w:vertAlign w:val="superscript"/>
        </w:rPr>
        <w:t>240</w:t>
      </w:r>
      <w:r>
        <w:rPr>
          <w:vertAlign w:val="baseline"/>
        </w:rPr>
        <w:t> The Equality Commission</w:t>
      </w:r>
      <w:r>
        <w:rPr>
          <w:spacing w:val="-5"/>
          <w:vertAlign w:val="baseline"/>
        </w:rPr>
        <w:t> </w:t>
      </w:r>
      <w:r>
        <w:rPr>
          <w:vertAlign w:val="baseline"/>
        </w:rPr>
        <w:t>for</w:t>
      </w:r>
      <w:r>
        <w:rPr>
          <w:spacing w:val="-5"/>
          <w:vertAlign w:val="baseline"/>
        </w:rPr>
        <w:t> </w:t>
      </w:r>
      <w:r>
        <w:rPr>
          <w:vertAlign w:val="baseline"/>
        </w:rPr>
        <w:t>Northern</w:t>
      </w:r>
      <w:r>
        <w:rPr>
          <w:spacing w:val="-5"/>
          <w:vertAlign w:val="baseline"/>
        </w:rPr>
        <w:t> </w:t>
      </w:r>
      <w:r>
        <w:rPr>
          <w:vertAlign w:val="baseline"/>
        </w:rPr>
        <w:t>Ireland</w:t>
      </w:r>
      <w:r>
        <w:rPr>
          <w:spacing w:val="-5"/>
          <w:vertAlign w:val="baseline"/>
        </w:rPr>
        <w:t> </w:t>
      </w:r>
      <w:r>
        <w:rPr>
          <w:vertAlign w:val="baseline"/>
        </w:rPr>
        <w:t>has</w:t>
      </w:r>
      <w:r>
        <w:rPr>
          <w:spacing w:val="-5"/>
          <w:vertAlign w:val="baseline"/>
        </w:rPr>
        <w:t> </w:t>
      </w:r>
      <w:r>
        <w:rPr>
          <w:vertAlign w:val="baseline"/>
        </w:rPr>
        <w:t>similarly</w:t>
      </w:r>
      <w:r>
        <w:rPr>
          <w:spacing w:val="-5"/>
          <w:vertAlign w:val="baseline"/>
        </w:rPr>
        <w:t> </w:t>
      </w:r>
      <w:r>
        <w:rPr>
          <w:vertAlign w:val="baseline"/>
        </w:rPr>
        <w:t>published</w:t>
      </w:r>
      <w:r>
        <w:rPr>
          <w:spacing w:val="-5"/>
          <w:vertAlign w:val="baseline"/>
        </w:rPr>
        <w:t> </w:t>
      </w:r>
      <w:r>
        <w:rPr>
          <w:vertAlign w:val="baseline"/>
        </w:rPr>
        <w:t>a</w:t>
      </w:r>
      <w:r>
        <w:rPr>
          <w:spacing w:val="-5"/>
          <w:vertAlign w:val="baseline"/>
        </w:rPr>
        <w:t> </w:t>
      </w:r>
      <w:r>
        <w:rPr>
          <w:vertAlign w:val="baseline"/>
        </w:rPr>
        <w:t>submission</w:t>
      </w:r>
      <w:r>
        <w:rPr>
          <w:spacing w:val="-5"/>
          <w:vertAlign w:val="baseline"/>
        </w:rPr>
        <w:t> </w:t>
      </w:r>
      <w:r>
        <w:rPr>
          <w:vertAlign w:val="baseline"/>
        </w:rPr>
        <w:t>critical</w:t>
      </w:r>
      <w:r>
        <w:rPr>
          <w:spacing w:val="-5"/>
          <w:vertAlign w:val="baseline"/>
        </w:rPr>
        <w:t> </w:t>
      </w:r>
      <w:r>
        <w:rPr>
          <w:vertAlign w:val="baseline"/>
        </w:rPr>
        <w:t>of</w:t>
      </w:r>
      <w:r>
        <w:rPr>
          <w:spacing w:val="-5"/>
          <w:vertAlign w:val="baseline"/>
        </w:rPr>
        <w:t> </w:t>
      </w:r>
      <w:r>
        <w:rPr>
          <w:vertAlign w:val="baseline"/>
        </w:rPr>
        <w:t>the Bill, expressing concerns at its implication for the Human Rights Act, Article 2 WF, and constitutional principles including the rule of law and separation of powers.</w:t>
      </w:r>
      <w:r>
        <w:rPr>
          <w:vertAlign w:val="superscript"/>
        </w:rPr>
        <w:t>241</w:t>
      </w:r>
      <w:r>
        <w:rPr>
          <w:vertAlign w:val="baseline"/>
        </w:rPr>
        <w:t> The Bill may raise issues for extradition to the UK.</w:t>
      </w:r>
      <w:r>
        <w:rPr>
          <w:vertAlign w:val="superscript"/>
        </w:rPr>
        <w:t>242</w:t>
      </w:r>
    </w:p>
    <w:p>
      <w:pPr>
        <w:pStyle w:val="BodyText"/>
        <w:spacing w:line="232" w:lineRule="auto" w:before="262"/>
        <w:ind w:left="720" w:right="1886"/>
      </w:pPr>
      <w:r>
        <w:rPr/>
        <w:t>The</w:t>
      </w:r>
      <w:r>
        <w:rPr>
          <w:spacing w:val="-4"/>
        </w:rPr>
        <w:t> </w:t>
      </w:r>
      <w:r>
        <w:rPr/>
        <w:t>Bill</w:t>
      </w:r>
      <w:r>
        <w:rPr>
          <w:spacing w:val="-5"/>
        </w:rPr>
        <w:t> </w:t>
      </w:r>
      <w:r>
        <w:rPr/>
        <w:t>received</w:t>
      </w:r>
      <w:r>
        <w:rPr>
          <w:spacing w:val="-5"/>
        </w:rPr>
        <w:t> </w:t>
      </w:r>
      <w:r>
        <w:rPr/>
        <w:t>royal</w:t>
      </w:r>
      <w:r>
        <w:rPr>
          <w:spacing w:val="-5"/>
        </w:rPr>
        <w:t> </w:t>
      </w:r>
      <w:r>
        <w:rPr/>
        <w:t>assent</w:t>
      </w:r>
      <w:r>
        <w:rPr>
          <w:spacing w:val="-4"/>
        </w:rPr>
        <w:t> </w:t>
      </w:r>
      <w:r>
        <w:rPr/>
        <w:t>on</w:t>
      </w:r>
      <w:r>
        <w:rPr>
          <w:spacing w:val="-5"/>
        </w:rPr>
        <w:t> </w:t>
      </w:r>
      <w:r>
        <w:rPr/>
        <w:t>25</w:t>
      </w:r>
      <w:r>
        <w:rPr>
          <w:spacing w:val="-4"/>
        </w:rPr>
        <w:t> </w:t>
      </w:r>
      <w:r>
        <w:rPr/>
        <w:t>April</w:t>
      </w:r>
      <w:r>
        <w:rPr>
          <w:spacing w:val="-5"/>
        </w:rPr>
        <w:t> </w:t>
      </w:r>
      <w:r>
        <w:rPr/>
        <w:t>2024</w:t>
      </w:r>
      <w:r>
        <w:rPr>
          <w:spacing w:val="-4"/>
        </w:rPr>
        <w:t> </w:t>
      </w:r>
      <w:r>
        <w:rPr/>
        <w:t>and</w:t>
      </w:r>
      <w:r>
        <w:rPr>
          <w:spacing w:val="-5"/>
        </w:rPr>
        <w:t> </w:t>
      </w:r>
      <w:r>
        <w:rPr/>
        <w:t>became</w:t>
      </w:r>
      <w:r>
        <w:rPr>
          <w:spacing w:val="-4"/>
        </w:rPr>
        <w:t> </w:t>
      </w:r>
      <w:r>
        <w:rPr/>
        <w:t>an</w:t>
      </w:r>
      <w:r>
        <w:rPr>
          <w:spacing w:val="-5"/>
        </w:rPr>
        <w:t> </w:t>
      </w:r>
      <w:r>
        <w:rPr/>
        <w:t>Act.</w:t>
      </w:r>
      <w:r>
        <w:rPr>
          <w:spacing w:val="-5"/>
        </w:rPr>
        <w:t> </w:t>
      </w:r>
      <w:r>
        <w:rPr/>
        <w:t>It</w:t>
      </w:r>
      <w:r>
        <w:rPr>
          <w:spacing w:val="-4"/>
        </w:rPr>
        <w:t> </w:t>
      </w:r>
      <w:r>
        <w:rPr/>
        <w:t>appears though that the Labour Government has dropped the Rwanda scheme.</w:t>
      </w:r>
    </w:p>
    <w:p>
      <w:pPr>
        <w:pStyle w:val="BodyText"/>
        <w:rPr>
          <w:sz w:val="20"/>
        </w:rPr>
      </w:pPr>
    </w:p>
    <w:p>
      <w:pPr>
        <w:pStyle w:val="BodyText"/>
        <w:rPr>
          <w:sz w:val="20"/>
        </w:rPr>
      </w:pPr>
    </w:p>
    <w:p>
      <w:pPr>
        <w:pStyle w:val="BodyText"/>
        <w:spacing w:before="189"/>
        <w:rPr>
          <w:sz w:val="20"/>
        </w:rPr>
      </w:pPr>
      <w:r>
        <w:rPr/>
        <mc:AlternateContent>
          <mc:Choice Requires="wps">
            <w:drawing>
              <wp:anchor distT="0" distB="0" distL="0" distR="0" allowOverlap="1" layoutInCell="1" locked="0" behindDoc="1" simplePos="0" relativeHeight="487669760">
                <wp:simplePos x="0" y="0"/>
                <wp:positionH relativeFrom="page">
                  <wp:posOffset>647999</wp:posOffset>
                </wp:positionH>
                <wp:positionV relativeFrom="paragraph">
                  <wp:posOffset>290503</wp:posOffset>
                </wp:positionV>
                <wp:extent cx="6012180" cy="1270"/>
                <wp:effectExtent l="0" t="0" r="0" b="0"/>
                <wp:wrapTopAndBottom/>
                <wp:docPr id="444" name="Graphic 444"/>
                <wp:cNvGraphicFramePr>
                  <a:graphicFrameLocks/>
                </wp:cNvGraphicFramePr>
                <a:graphic>
                  <a:graphicData uri="http://schemas.microsoft.com/office/word/2010/wordprocessingShape">
                    <wps:wsp>
                      <wps:cNvPr id="444" name="Graphic 44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2.874252pt;width:473.4pt;height:.1pt;mso-position-horizontal-relative:page;mso-position-vertical-relative:paragraph;z-index:-15646720;mso-wrap-distance-left:0;mso-wrap-distance-right:0" id="docshape352" coordorigin="1020,457" coordsize="9468,0" path="m1020,457l10488,457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557" w:hanging="567"/>
        <w:jc w:val="left"/>
        <w:rPr>
          <w:sz w:val="18"/>
        </w:rPr>
      </w:pPr>
      <w:r>
        <w:rPr>
          <w:sz w:val="18"/>
        </w:rPr>
        <w:t>Alison</w:t>
      </w:r>
      <w:r>
        <w:rPr>
          <w:spacing w:val="-6"/>
          <w:sz w:val="18"/>
        </w:rPr>
        <w:t> </w:t>
      </w:r>
      <w:r>
        <w:rPr>
          <w:sz w:val="18"/>
        </w:rPr>
        <w:t>Harvey,</w:t>
      </w:r>
      <w:r>
        <w:rPr>
          <w:spacing w:val="-6"/>
          <w:sz w:val="18"/>
        </w:rPr>
        <w:t> </w:t>
      </w:r>
      <w:r>
        <w:rPr>
          <w:color w:val="1D71B8"/>
          <w:sz w:val="18"/>
          <w:u w:val="single" w:color="1D71B8"/>
        </w:rPr>
        <w:t>Article</w:t>
      </w:r>
      <w:r>
        <w:rPr>
          <w:color w:val="1D71B8"/>
          <w:spacing w:val="-5"/>
          <w:sz w:val="18"/>
          <w:u w:val="single" w:color="1D71B8"/>
        </w:rPr>
        <w:t> </w:t>
      </w:r>
      <w:r>
        <w:rPr>
          <w:color w:val="1D71B8"/>
          <w:sz w:val="18"/>
          <w:u w:val="single" w:color="1D71B8"/>
        </w:rPr>
        <w:t>2</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Windsor</w:t>
      </w:r>
      <w:r>
        <w:rPr>
          <w:color w:val="1D71B8"/>
          <w:spacing w:val="-5"/>
          <w:sz w:val="18"/>
          <w:u w:val="single" w:color="1D71B8"/>
        </w:rPr>
        <w:t> </w:t>
      </w:r>
      <w:r>
        <w:rPr>
          <w:color w:val="1D71B8"/>
          <w:sz w:val="18"/>
          <w:u w:val="single" w:color="1D71B8"/>
        </w:rPr>
        <w:t>Framework</w:t>
      </w:r>
      <w:r>
        <w:rPr>
          <w:color w:val="1D71B8"/>
          <w:spacing w:val="-5"/>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Rights</w:t>
      </w:r>
      <w:r>
        <w:rPr>
          <w:color w:val="1D71B8"/>
          <w:spacing w:val="-6"/>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Refugees</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Asylum-seekers</w:t>
      </w:r>
      <w:r>
        <w:rPr>
          <w:color w:val="1D71B8"/>
          <w:spacing w:val="-7"/>
          <w:sz w:val="18"/>
          <w:u w:val="none"/>
        </w:rPr>
        <w:t> </w:t>
      </w:r>
      <w:r>
        <w:rPr>
          <w:sz w:val="18"/>
          <w:u w:val="none"/>
        </w:rPr>
        <w:t>(Northern</w:t>
      </w:r>
      <w:r>
        <w:rPr>
          <w:spacing w:val="-6"/>
          <w:sz w:val="18"/>
          <w:u w:val="none"/>
        </w:rPr>
        <w:t> </w:t>
      </w:r>
      <w:r>
        <w:rPr>
          <w:sz w:val="18"/>
          <w:u w:val="none"/>
        </w:rPr>
        <w:t>Ireland Human Rights Commission, 2023).</w:t>
      </w:r>
    </w:p>
    <w:p>
      <w:pPr>
        <w:pStyle w:val="ListParagraph"/>
        <w:numPr>
          <w:ilvl w:val="0"/>
          <w:numId w:val="18"/>
        </w:numPr>
        <w:tabs>
          <w:tab w:pos="1287" w:val="left" w:leader="none"/>
        </w:tabs>
        <w:spacing w:line="240" w:lineRule="auto" w:before="1" w:after="0"/>
        <w:ind w:left="1287" w:right="0" w:hanging="567"/>
        <w:jc w:val="left"/>
        <w:rPr>
          <w:sz w:val="18"/>
        </w:rPr>
      </w:pPr>
      <w:r>
        <w:rPr>
          <w:sz w:val="18"/>
        </w:rPr>
        <w:t>NIHRC,</w:t>
      </w:r>
      <w:r>
        <w:rPr>
          <w:spacing w:val="-4"/>
          <w:sz w:val="18"/>
        </w:rPr>
        <w:t> </w:t>
      </w:r>
      <w:r>
        <w:rPr>
          <w:color w:val="1D71B8"/>
          <w:sz w:val="18"/>
          <w:u w:val="single" w:color="1D71B8"/>
        </w:rPr>
        <w:t>Briefing</w:t>
      </w:r>
      <w:r>
        <w:rPr>
          <w:color w:val="1D71B8"/>
          <w:spacing w:val="-4"/>
          <w:sz w:val="18"/>
          <w:u w:val="single" w:color="1D71B8"/>
        </w:rPr>
        <w:t> </w:t>
      </w:r>
      <w:r>
        <w:rPr>
          <w:color w:val="1D71B8"/>
          <w:sz w:val="18"/>
          <w:u w:val="single" w:color="1D71B8"/>
        </w:rPr>
        <w:t>Note</w:t>
      </w:r>
      <w:r>
        <w:rPr>
          <w:color w:val="1D71B8"/>
          <w:spacing w:val="-3"/>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Article</w:t>
      </w:r>
      <w:r>
        <w:rPr>
          <w:color w:val="1D71B8"/>
          <w:spacing w:val="-3"/>
          <w:sz w:val="18"/>
          <w:u w:val="single" w:color="1D71B8"/>
        </w:rPr>
        <w:t> </w:t>
      </w:r>
      <w:r>
        <w:rPr>
          <w:color w:val="1D71B8"/>
          <w:sz w:val="18"/>
          <w:u w:val="single" w:color="1D71B8"/>
        </w:rPr>
        <w:t>2</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Windsor</w:t>
      </w:r>
      <w:r>
        <w:rPr>
          <w:color w:val="1D71B8"/>
          <w:spacing w:val="-3"/>
          <w:sz w:val="18"/>
          <w:u w:val="single" w:color="1D71B8"/>
        </w:rPr>
        <w:t> </w:t>
      </w:r>
      <w:r>
        <w:rPr>
          <w:color w:val="1D71B8"/>
          <w:sz w:val="18"/>
          <w:u w:val="single" w:color="1D71B8"/>
        </w:rPr>
        <w:t>Framework</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Refugees</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Asylum-seekers</w:t>
      </w:r>
      <w:r>
        <w:rPr>
          <w:color w:val="1D71B8"/>
          <w:spacing w:val="-6"/>
          <w:sz w:val="18"/>
          <w:u w:val="none"/>
        </w:rPr>
        <w:t> </w:t>
      </w:r>
      <w:r>
        <w:rPr>
          <w:spacing w:val="-2"/>
          <w:sz w:val="18"/>
          <w:u w:val="none"/>
        </w:rPr>
        <w:t>(2023).</w:t>
      </w:r>
    </w:p>
    <w:p>
      <w:pPr>
        <w:pStyle w:val="ListParagraph"/>
        <w:numPr>
          <w:ilvl w:val="0"/>
          <w:numId w:val="18"/>
        </w:numPr>
        <w:tabs>
          <w:tab w:pos="1287" w:val="left" w:leader="none"/>
        </w:tabs>
        <w:spacing w:line="240" w:lineRule="auto" w:before="0" w:after="0"/>
        <w:ind w:left="1287" w:right="0" w:hanging="567"/>
        <w:jc w:val="left"/>
        <w:rPr>
          <w:sz w:val="18"/>
        </w:rPr>
      </w:pPr>
      <w:r>
        <w:rPr>
          <w:sz w:val="18"/>
        </w:rPr>
        <w:t>NIHRC,</w:t>
      </w:r>
      <w:r>
        <w:rPr>
          <w:spacing w:val="-4"/>
          <w:sz w:val="18"/>
        </w:rPr>
        <w:t> </w:t>
      </w:r>
      <w:r>
        <w:rPr>
          <w:color w:val="1D71B8"/>
          <w:sz w:val="18"/>
          <w:u w:val="single" w:color="1D71B8"/>
        </w:rPr>
        <w:t>Advice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Safety</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Rwanda</w:t>
      </w:r>
      <w:r>
        <w:rPr>
          <w:color w:val="1D71B8"/>
          <w:spacing w:val="-5"/>
          <w:sz w:val="18"/>
          <w:u w:val="single" w:color="1D71B8"/>
        </w:rPr>
        <w:t> </w:t>
      </w:r>
      <w:r>
        <w:rPr>
          <w:color w:val="1D71B8"/>
          <w:sz w:val="18"/>
          <w:u w:val="single" w:color="1D71B8"/>
        </w:rPr>
        <w:t>(Asylum</w:t>
      </w:r>
      <w:r>
        <w:rPr>
          <w:color w:val="1D71B8"/>
          <w:spacing w:val="-3"/>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Immigration)</w:t>
      </w:r>
      <w:r>
        <w:rPr>
          <w:color w:val="1D71B8"/>
          <w:spacing w:val="-5"/>
          <w:sz w:val="18"/>
          <w:u w:val="single" w:color="1D71B8"/>
        </w:rPr>
        <w:t> </w:t>
      </w:r>
      <w:r>
        <w:rPr>
          <w:color w:val="1D71B8"/>
          <w:sz w:val="18"/>
          <w:u w:val="single" w:color="1D71B8"/>
        </w:rPr>
        <w:t>Bill</w:t>
      </w:r>
      <w:r>
        <w:rPr>
          <w:color w:val="1D71B8"/>
          <w:spacing w:val="-4"/>
          <w:sz w:val="18"/>
          <w:u w:val="none"/>
        </w:rPr>
        <w:t> </w:t>
      </w:r>
      <w:r>
        <w:rPr>
          <w:spacing w:val="-2"/>
          <w:sz w:val="18"/>
          <w:u w:val="none"/>
        </w:rPr>
        <w:t>(2024).</w:t>
      </w:r>
    </w:p>
    <w:p>
      <w:pPr>
        <w:pStyle w:val="ListParagraph"/>
        <w:numPr>
          <w:ilvl w:val="0"/>
          <w:numId w:val="18"/>
        </w:numPr>
        <w:tabs>
          <w:tab w:pos="1287" w:val="left" w:leader="none"/>
        </w:tabs>
        <w:spacing w:line="240" w:lineRule="auto" w:before="0" w:after="0"/>
        <w:ind w:left="1287" w:right="1420" w:hanging="567"/>
        <w:jc w:val="both"/>
        <w:rPr>
          <w:sz w:val="18"/>
        </w:rPr>
      </w:pPr>
      <w:hyperlink r:id="rId64">
        <w:r>
          <w:rPr>
            <w:color w:val="1D71B8"/>
            <w:sz w:val="18"/>
            <w:u w:val="single" w:color="1D71B8"/>
          </w:rPr>
          <w:t>Council</w:t>
        </w:r>
        <w:r>
          <w:rPr>
            <w:color w:val="1D71B8"/>
            <w:spacing w:val="-2"/>
            <w:sz w:val="18"/>
            <w:u w:val="single" w:color="1D71B8"/>
          </w:rPr>
          <w:t> </w:t>
        </w:r>
        <w:r>
          <w:rPr>
            <w:color w:val="1D71B8"/>
            <w:sz w:val="18"/>
            <w:u w:val="single" w:color="1D71B8"/>
          </w:rPr>
          <w:t>Directive</w:t>
        </w:r>
        <w:r>
          <w:rPr>
            <w:color w:val="1D71B8"/>
            <w:spacing w:val="-1"/>
            <w:sz w:val="18"/>
            <w:u w:val="single" w:color="1D71B8"/>
          </w:rPr>
          <w:t> </w:t>
        </w:r>
        <w:r>
          <w:rPr>
            <w:color w:val="1D71B8"/>
            <w:sz w:val="18"/>
            <w:u w:val="single" w:color="1D71B8"/>
          </w:rPr>
          <w:t>2001/55/EC</w:t>
        </w:r>
      </w:hyperlink>
      <w:r>
        <w:rPr>
          <w:color w:val="1D71B8"/>
          <w:spacing w:val="-1"/>
          <w:sz w:val="18"/>
          <w:u w:val="none"/>
        </w:rPr>
        <w:t> </w:t>
      </w:r>
      <w:r>
        <w:rPr>
          <w:sz w:val="18"/>
          <w:u w:val="none"/>
        </w:rPr>
        <w:t>of</w:t>
      </w:r>
      <w:r>
        <w:rPr>
          <w:spacing w:val="-2"/>
          <w:sz w:val="18"/>
          <w:u w:val="none"/>
        </w:rPr>
        <w:t> </w:t>
      </w:r>
      <w:r>
        <w:rPr>
          <w:sz w:val="18"/>
          <w:u w:val="none"/>
        </w:rPr>
        <w:t>20</w:t>
      </w:r>
      <w:r>
        <w:rPr>
          <w:spacing w:val="-1"/>
          <w:sz w:val="18"/>
          <w:u w:val="none"/>
        </w:rPr>
        <w:t> </w:t>
      </w:r>
      <w:r>
        <w:rPr>
          <w:sz w:val="18"/>
          <w:u w:val="none"/>
        </w:rPr>
        <w:t>July</w:t>
      </w:r>
      <w:r>
        <w:rPr>
          <w:spacing w:val="-1"/>
          <w:sz w:val="18"/>
          <w:u w:val="none"/>
        </w:rPr>
        <w:t> </w:t>
      </w:r>
      <w:r>
        <w:rPr>
          <w:sz w:val="18"/>
          <w:u w:val="none"/>
        </w:rPr>
        <w:t>2001</w:t>
      </w:r>
      <w:r>
        <w:rPr>
          <w:spacing w:val="-1"/>
          <w:sz w:val="18"/>
          <w:u w:val="none"/>
        </w:rPr>
        <w:t> </w:t>
      </w:r>
      <w:r>
        <w:rPr>
          <w:sz w:val="18"/>
          <w:u w:val="none"/>
        </w:rPr>
        <w:t>on</w:t>
      </w:r>
      <w:r>
        <w:rPr>
          <w:spacing w:val="-2"/>
          <w:sz w:val="18"/>
          <w:u w:val="none"/>
        </w:rPr>
        <w:t> </w:t>
      </w:r>
      <w:r>
        <w:rPr>
          <w:sz w:val="18"/>
          <w:u w:val="none"/>
        </w:rPr>
        <w:t>minimum</w:t>
      </w:r>
      <w:r>
        <w:rPr>
          <w:spacing w:val="-1"/>
          <w:sz w:val="18"/>
          <w:u w:val="none"/>
        </w:rPr>
        <w:t> </w:t>
      </w:r>
      <w:r>
        <w:rPr>
          <w:sz w:val="18"/>
          <w:u w:val="none"/>
        </w:rPr>
        <w:t>standards</w:t>
      </w:r>
      <w:r>
        <w:rPr>
          <w:spacing w:val="-2"/>
          <w:sz w:val="18"/>
          <w:u w:val="none"/>
        </w:rPr>
        <w:t> </w:t>
      </w:r>
      <w:r>
        <w:rPr>
          <w:sz w:val="18"/>
          <w:u w:val="none"/>
        </w:rPr>
        <w:t>for</w:t>
      </w:r>
      <w:r>
        <w:rPr>
          <w:spacing w:val="-1"/>
          <w:sz w:val="18"/>
          <w:u w:val="none"/>
        </w:rPr>
        <w:t> </w:t>
      </w:r>
      <w:r>
        <w:rPr>
          <w:sz w:val="18"/>
          <w:u w:val="none"/>
        </w:rPr>
        <w:t>giving</w:t>
      </w:r>
      <w:r>
        <w:rPr>
          <w:spacing w:val="-1"/>
          <w:sz w:val="18"/>
          <w:u w:val="none"/>
        </w:rPr>
        <w:t> </w:t>
      </w:r>
      <w:r>
        <w:rPr>
          <w:sz w:val="18"/>
          <w:u w:val="none"/>
        </w:rPr>
        <w:t>temporary</w:t>
      </w:r>
      <w:r>
        <w:rPr>
          <w:spacing w:val="-1"/>
          <w:sz w:val="18"/>
          <w:u w:val="none"/>
        </w:rPr>
        <w:t> </w:t>
      </w:r>
      <w:r>
        <w:rPr>
          <w:sz w:val="18"/>
          <w:u w:val="none"/>
        </w:rPr>
        <w:t>protection</w:t>
      </w:r>
      <w:r>
        <w:rPr>
          <w:spacing w:val="-2"/>
          <w:sz w:val="18"/>
          <w:u w:val="none"/>
        </w:rPr>
        <w:t> </w:t>
      </w:r>
      <w:r>
        <w:rPr>
          <w:sz w:val="18"/>
          <w:u w:val="none"/>
        </w:rPr>
        <w:t>in</w:t>
      </w:r>
      <w:r>
        <w:rPr>
          <w:spacing w:val="-2"/>
          <w:sz w:val="18"/>
          <w:u w:val="none"/>
        </w:rPr>
        <w:t> </w:t>
      </w:r>
      <w:r>
        <w:rPr>
          <w:sz w:val="18"/>
          <w:u w:val="none"/>
        </w:rPr>
        <w:t>the</w:t>
      </w:r>
      <w:r>
        <w:rPr>
          <w:spacing w:val="-1"/>
          <w:sz w:val="18"/>
          <w:u w:val="none"/>
        </w:rPr>
        <w:t> </w:t>
      </w:r>
      <w:r>
        <w:rPr>
          <w:sz w:val="18"/>
          <w:u w:val="none"/>
        </w:rPr>
        <w:t>event</w:t>
      </w:r>
      <w:r>
        <w:rPr>
          <w:spacing w:val="-1"/>
          <w:sz w:val="18"/>
          <w:u w:val="none"/>
        </w:rPr>
        <w:t> </w:t>
      </w:r>
      <w:r>
        <w:rPr>
          <w:sz w:val="18"/>
          <w:u w:val="none"/>
        </w:rPr>
        <w:t>of</w:t>
      </w:r>
      <w:r>
        <w:rPr>
          <w:spacing w:val="-2"/>
          <w:sz w:val="18"/>
          <w:u w:val="none"/>
        </w:rPr>
        <w:t> </w:t>
      </w:r>
      <w:r>
        <w:rPr>
          <w:sz w:val="18"/>
          <w:u w:val="none"/>
        </w:rPr>
        <w:t>a mass</w:t>
      </w:r>
      <w:r>
        <w:rPr>
          <w:spacing w:val="-4"/>
          <w:sz w:val="18"/>
          <w:u w:val="none"/>
        </w:rPr>
        <w:t> </w:t>
      </w:r>
      <w:r>
        <w:rPr>
          <w:sz w:val="18"/>
          <w:u w:val="none"/>
        </w:rPr>
        <w:t>influx</w:t>
      </w:r>
      <w:r>
        <w:rPr>
          <w:spacing w:val="-4"/>
          <w:sz w:val="18"/>
          <w:u w:val="none"/>
        </w:rPr>
        <w:t> </w:t>
      </w:r>
      <w:r>
        <w:rPr>
          <w:sz w:val="18"/>
          <w:u w:val="none"/>
        </w:rPr>
        <w:t>of</w:t>
      </w:r>
      <w:r>
        <w:rPr>
          <w:spacing w:val="-4"/>
          <w:sz w:val="18"/>
          <w:u w:val="none"/>
        </w:rPr>
        <w:t> </w:t>
      </w:r>
      <w:r>
        <w:rPr>
          <w:sz w:val="18"/>
          <w:u w:val="none"/>
        </w:rPr>
        <w:t>displaced</w:t>
      </w:r>
      <w:r>
        <w:rPr>
          <w:spacing w:val="-4"/>
          <w:sz w:val="18"/>
          <w:u w:val="none"/>
        </w:rPr>
        <w:t> </w:t>
      </w:r>
      <w:r>
        <w:rPr>
          <w:sz w:val="18"/>
          <w:u w:val="none"/>
        </w:rPr>
        <w:t>persons</w:t>
      </w:r>
      <w:r>
        <w:rPr>
          <w:spacing w:val="-4"/>
          <w:sz w:val="18"/>
          <w:u w:val="none"/>
        </w:rPr>
        <w:t> </w:t>
      </w:r>
      <w:r>
        <w:rPr>
          <w:sz w:val="18"/>
          <w:u w:val="none"/>
        </w:rPr>
        <w:t>and</w:t>
      </w:r>
      <w:r>
        <w:rPr>
          <w:spacing w:val="-4"/>
          <w:sz w:val="18"/>
          <w:u w:val="none"/>
        </w:rPr>
        <w:t> </w:t>
      </w:r>
      <w:r>
        <w:rPr>
          <w:sz w:val="18"/>
          <w:u w:val="none"/>
        </w:rPr>
        <w:t>on</w:t>
      </w:r>
      <w:r>
        <w:rPr>
          <w:spacing w:val="-4"/>
          <w:sz w:val="18"/>
          <w:u w:val="none"/>
        </w:rPr>
        <w:t> </w:t>
      </w:r>
      <w:r>
        <w:rPr>
          <w:sz w:val="18"/>
          <w:u w:val="none"/>
        </w:rPr>
        <w:t>measures</w:t>
      </w:r>
      <w:r>
        <w:rPr>
          <w:spacing w:val="-4"/>
          <w:sz w:val="18"/>
          <w:u w:val="none"/>
        </w:rPr>
        <w:t> </w:t>
      </w:r>
      <w:r>
        <w:rPr>
          <w:sz w:val="18"/>
          <w:u w:val="none"/>
        </w:rPr>
        <w:t>promoting</w:t>
      </w:r>
      <w:r>
        <w:rPr>
          <w:spacing w:val="-3"/>
          <w:sz w:val="18"/>
          <w:u w:val="none"/>
        </w:rPr>
        <w:t> </w:t>
      </w:r>
      <w:r>
        <w:rPr>
          <w:sz w:val="18"/>
          <w:u w:val="none"/>
        </w:rPr>
        <w:t>a</w:t>
      </w:r>
      <w:r>
        <w:rPr>
          <w:spacing w:val="-4"/>
          <w:sz w:val="18"/>
          <w:u w:val="none"/>
        </w:rPr>
        <w:t> </w:t>
      </w:r>
      <w:r>
        <w:rPr>
          <w:sz w:val="18"/>
          <w:u w:val="none"/>
        </w:rPr>
        <w:t>balance</w:t>
      </w:r>
      <w:r>
        <w:rPr>
          <w:spacing w:val="-3"/>
          <w:sz w:val="18"/>
          <w:u w:val="none"/>
        </w:rPr>
        <w:t> </w:t>
      </w:r>
      <w:r>
        <w:rPr>
          <w:sz w:val="18"/>
          <w:u w:val="none"/>
        </w:rPr>
        <w:t>of</w:t>
      </w:r>
      <w:r>
        <w:rPr>
          <w:spacing w:val="-4"/>
          <w:sz w:val="18"/>
          <w:u w:val="none"/>
        </w:rPr>
        <w:t> </w:t>
      </w:r>
      <w:r>
        <w:rPr>
          <w:sz w:val="18"/>
          <w:u w:val="none"/>
        </w:rPr>
        <w:t>efforts</w:t>
      </w:r>
      <w:r>
        <w:rPr>
          <w:spacing w:val="-4"/>
          <w:sz w:val="18"/>
          <w:u w:val="none"/>
        </w:rPr>
        <w:t> </w:t>
      </w:r>
      <w:r>
        <w:rPr>
          <w:sz w:val="18"/>
          <w:u w:val="none"/>
        </w:rPr>
        <w:t>between</w:t>
      </w:r>
      <w:r>
        <w:rPr>
          <w:spacing w:val="-4"/>
          <w:sz w:val="18"/>
          <w:u w:val="none"/>
        </w:rPr>
        <w:t> </w:t>
      </w:r>
      <w:r>
        <w:rPr>
          <w:sz w:val="18"/>
          <w:u w:val="none"/>
        </w:rPr>
        <w:t>Member</w:t>
      </w:r>
      <w:r>
        <w:rPr>
          <w:spacing w:val="-3"/>
          <w:sz w:val="18"/>
          <w:u w:val="none"/>
        </w:rPr>
        <w:t> </w:t>
      </w:r>
      <w:r>
        <w:rPr>
          <w:sz w:val="18"/>
          <w:u w:val="none"/>
        </w:rPr>
        <w:t>States</w:t>
      </w:r>
      <w:r>
        <w:rPr>
          <w:spacing w:val="-4"/>
          <w:sz w:val="18"/>
          <w:u w:val="none"/>
        </w:rPr>
        <w:t> </w:t>
      </w:r>
      <w:r>
        <w:rPr>
          <w:sz w:val="18"/>
          <w:u w:val="none"/>
        </w:rPr>
        <w:t>in</w:t>
      </w:r>
      <w:r>
        <w:rPr>
          <w:spacing w:val="-4"/>
          <w:sz w:val="18"/>
          <w:u w:val="none"/>
        </w:rPr>
        <w:t> </w:t>
      </w:r>
      <w:r>
        <w:rPr>
          <w:sz w:val="18"/>
          <w:u w:val="none"/>
        </w:rPr>
        <w:t>receiving such persons and bearing the consequences thereof (Temporary Protection Directive).</w:t>
      </w:r>
    </w:p>
    <w:p>
      <w:pPr>
        <w:pStyle w:val="ListParagraph"/>
        <w:numPr>
          <w:ilvl w:val="0"/>
          <w:numId w:val="18"/>
        </w:numPr>
        <w:tabs>
          <w:tab w:pos="1287" w:val="left" w:leader="none"/>
        </w:tabs>
        <w:spacing w:line="240" w:lineRule="auto" w:before="1" w:after="0"/>
        <w:ind w:left="1287" w:right="1542" w:hanging="567"/>
        <w:jc w:val="left"/>
        <w:rPr>
          <w:sz w:val="18"/>
        </w:rPr>
      </w:pPr>
      <w:r>
        <w:rPr>
          <w:color w:val="1D71B8"/>
          <w:sz w:val="18"/>
          <w:u w:val="single" w:color="1D71B8"/>
        </w:rPr>
        <w:t>Council</w:t>
      </w:r>
      <w:r>
        <w:rPr>
          <w:color w:val="1D71B8"/>
          <w:spacing w:val="-5"/>
          <w:sz w:val="18"/>
          <w:u w:val="single" w:color="1D71B8"/>
        </w:rPr>
        <w:t> </w:t>
      </w:r>
      <w:r>
        <w:rPr>
          <w:color w:val="1D71B8"/>
          <w:sz w:val="18"/>
          <w:u w:val="single" w:color="1D71B8"/>
        </w:rPr>
        <w:t>Directive</w:t>
      </w:r>
      <w:r>
        <w:rPr>
          <w:color w:val="1D71B8"/>
          <w:spacing w:val="-5"/>
          <w:sz w:val="18"/>
          <w:u w:val="single" w:color="1D71B8"/>
        </w:rPr>
        <w:t> </w:t>
      </w:r>
      <w:r>
        <w:rPr>
          <w:color w:val="1D71B8"/>
          <w:sz w:val="18"/>
          <w:u w:val="single" w:color="1D71B8"/>
        </w:rPr>
        <w:t>2003/9/EC</w:t>
      </w:r>
      <w:r>
        <w:rPr>
          <w:color w:val="1D71B8"/>
          <w:spacing w:val="-5"/>
          <w:sz w:val="18"/>
          <w:u w:val="none"/>
        </w:rPr>
        <w:t> </w:t>
      </w:r>
      <w:r>
        <w:rPr>
          <w:sz w:val="18"/>
          <w:u w:val="none"/>
        </w:rPr>
        <w:t>of</w:t>
      </w:r>
      <w:r>
        <w:rPr>
          <w:spacing w:val="-5"/>
          <w:sz w:val="18"/>
          <w:u w:val="none"/>
        </w:rPr>
        <w:t> </w:t>
      </w:r>
      <w:r>
        <w:rPr>
          <w:sz w:val="18"/>
          <w:u w:val="none"/>
        </w:rPr>
        <w:t>27</w:t>
      </w:r>
      <w:r>
        <w:rPr>
          <w:spacing w:val="-5"/>
          <w:sz w:val="18"/>
          <w:u w:val="none"/>
        </w:rPr>
        <w:t> </w:t>
      </w:r>
      <w:r>
        <w:rPr>
          <w:sz w:val="18"/>
          <w:u w:val="none"/>
        </w:rPr>
        <w:t>January</w:t>
      </w:r>
      <w:r>
        <w:rPr>
          <w:spacing w:val="-5"/>
          <w:sz w:val="18"/>
          <w:u w:val="none"/>
        </w:rPr>
        <w:t> </w:t>
      </w:r>
      <w:r>
        <w:rPr>
          <w:sz w:val="18"/>
          <w:u w:val="none"/>
        </w:rPr>
        <w:t>2003</w:t>
      </w:r>
      <w:r>
        <w:rPr>
          <w:spacing w:val="-5"/>
          <w:sz w:val="18"/>
          <w:u w:val="none"/>
        </w:rPr>
        <w:t> </w:t>
      </w:r>
      <w:r>
        <w:rPr>
          <w:sz w:val="18"/>
          <w:u w:val="none"/>
        </w:rPr>
        <w:t>laying</w:t>
      </w:r>
      <w:r>
        <w:rPr>
          <w:spacing w:val="-5"/>
          <w:sz w:val="18"/>
          <w:u w:val="none"/>
        </w:rPr>
        <w:t> </w:t>
      </w:r>
      <w:r>
        <w:rPr>
          <w:sz w:val="18"/>
          <w:u w:val="none"/>
        </w:rPr>
        <w:t>down</w:t>
      </w:r>
      <w:r>
        <w:rPr>
          <w:spacing w:val="-5"/>
          <w:sz w:val="18"/>
          <w:u w:val="none"/>
        </w:rPr>
        <w:t> </w:t>
      </w:r>
      <w:r>
        <w:rPr>
          <w:sz w:val="18"/>
          <w:u w:val="none"/>
        </w:rPr>
        <w:t>minimum</w:t>
      </w:r>
      <w:r>
        <w:rPr>
          <w:spacing w:val="-5"/>
          <w:sz w:val="18"/>
          <w:u w:val="none"/>
        </w:rPr>
        <w:t> </w:t>
      </w:r>
      <w:r>
        <w:rPr>
          <w:sz w:val="18"/>
          <w:u w:val="none"/>
        </w:rPr>
        <w:t>standards</w:t>
      </w:r>
      <w:r>
        <w:rPr>
          <w:spacing w:val="-5"/>
          <w:sz w:val="18"/>
          <w:u w:val="none"/>
        </w:rPr>
        <w:t> </w:t>
      </w:r>
      <w:r>
        <w:rPr>
          <w:sz w:val="18"/>
          <w:u w:val="none"/>
        </w:rPr>
        <w:t>for</w:t>
      </w:r>
      <w:r>
        <w:rPr>
          <w:spacing w:val="-5"/>
          <w:sz w:val="18"/>
          <w:u w:val="none"/>
        </w:rPr>
        <w:t> </w:t>
      </w:r>
      <w:r>
        <w:rPr>
          <w:sz w:val="18"/>
          <w:u w:val="none"/>
        </w:rPr>
        <w:t>the</w:t>
      </w:r>
      <w:r>
        <w:rPr>
          <w:spacing w:val="-5"/>
          <w:sz w:val="18"/>
          <w:u w:val="none"/>
        </w:rPr>
        <w:t> </w:t>
      </w:r>
      <w:r>
        <w:rPr>
          <w:sz w:val="18"/>
          <w:u w:val="none"/>
        </w:rPr>
        <w:t>reception</w:t>
      </w:r>
      <w:r>
        <w:rPr>
          <w:spacing w:val="-5"/>
          <w:sz w:val="18"/>
          <w:u w:val="none"/>
        </w:rPr>
        <w:t> </w:t>
      </w:r>
      <w:r>
        <w:rPr>
          <w:sz w:val="18"/>
          <w:u w:val="none"/>
        </w:rPr>
        <w:t>of</w:t>
      </w:r>
      <w:r>
        <w:rPr>
          <w:spacing w:val="-5"/>
          <w:sz w:val="18"/>
          <w:u w:val="none"/>
        </w:rPr>
        <w:t> </w:t>
      </w:r>
      <w:r>
        <w:rPr>
          <w:sz w:val="18"/>
          <w:u w:val="none"/>
        </w:rPr>
        <w:t>asylum</w:t>
      </w:r>
      <w:r>
        <w:rPr>
          <w:spacing w:val="-5"/>
          <w:sz w:val="18"/>
          <w:u w:val="none"/>
        </w:rPr>
        <w:t> </w:t>
      </w:r>
      <w:r>
        <w:rPr>
          <w:sz w:val="18"/>
          <w:u w:val="none"/>
        </w:rPr>
        <w:t>seekers (Reception Directive) 2003</w:t>
      </w:r>
    </w:p>
    <w:p>
      <w:pPr>
        <w:pStyle w:val="ListParagraph"/>
        <w:numPr>
          <w:ilvl w:val="0"/>
          <w:numId w:val="18"/>
        </w:numPr>
        <w:tabs>
          <w:tab w:pos="1287" w:val="left" w:leader="none"/>
        </w:tabs>
        <w:spacing w:line="240" w:lineRule="auto" w:before="1" w:after="0"/>
        <w:ind w:left="1287" w:right="1281" w:hanging="567"/>
        <w:jc w:val="left"/>
        <w:rPr>
          <w:sz w:val="18"/>
        </w:rPr>
      </w:pPr>
      <w:r>
        <w:rPr>
          <w:color w:val="1D71B8"/>
          <w:sz w:val="18"/>
          <w:u w:val="single" w:color="1D71B8"/>
        </w:rPr>
        <w:t>Council Directive 2004/83/EC</w:t>
      </w:r>
      <w:r>
        <w:rPr>
          <w:color w:val="1D71B8"/>
          <w:sz w:val="18"/>
          <w:u w:val="none"/>
        </w:rPr>
        <w:t> </w:t>
      </w:r>
      <w:r>
        <w:rPr>
          <w:sz w:val="18"/>
          <w:u w:val="none"/>
        </w:rPr>
        <w:t>of 29 April 2004 on minimum standards for the qualification and status of third country nationals</w:t>
      </w:r>
      <w:r>
        <w:rPr>
          <w:spacing w:val="-5"/>
          <w:sz w:val="18"/>
          <w:u w:val="none"/>
        </w:rPr>
        <w:t> </w:t>
      </w:r>
      <w:r>
        <w:rPr>
          <w:sz w:val="18"/>
          <w:u w:val="none"/>
        </w:rPr>
        <w:t>or</w:t>
      </w:r>
      <w:r>
        <w:rPr>
          <w:spacing w:val="-4"/>
          <w:sz w:val="18"/>
          <w:u w:val="none"/>
        </w:rPr>
        <w:t> </w:t>
      </w:r>
      <w:r>
        <w:rPr>
          <w:sz w:val="18"/>
          <w:u w:val="none"/>
        </w:rPr>
        <w:t>stateless</w:t>
      </w:r>
      <w:r>
        <w:rPr>
          <w:spacing w:val="-5"/>
          <w:sz w:val="18"/>
          <w:u w:val="none"/>
        </w:rPr>
        <w:t> </w:t>
      </w:r>
      <w:r>
        <w:rPr>
          <w:sz w:val="18"/>
          <w:u w:val="none"/>
        </w:rPr>
        <w:t>persons</w:t>
      </w:r>
      <w:r>
        <w:rPr>
          <w:spacing w:val="-5"/>
          <w:sz w:val="18"/>
          <w:u w:val="none"/>
        </w:rPr>
        <w:t> </w:t>
      </w:r>
      <w:r>
        <w:rPr>
          <w:sz w:val="18"/>
          <w:u w:val="none"/>
        </w:rPr>
        <w:t>as</w:t>
      </w:r>
      <w:r>
        <w:rPr>
          <w:spacing w:val="-5"/>
          <w:sz w:val="18"/>
          <w:u w:val="none"/>
        </w:rPr>
        <w:t> </w:t>
      </w:r>
      <w:r>
        <w:rPr>
          <w:sz w:val="18"/>
          <w:u w:val="none"/>
        </w:rPr>
        <w:t>refugees</w:t>
      </w:r>
      <w:r>
        <w:rPr>
          <w:spacing w:val="-5"/>
          <w:sz w:val="18"/>
          <w:u w:val="none"/>
        </w:rPr>
        <w:t> </w:t>
      </w:r>
      <w:r>
        <w:rPr>
          <w:sz w:val="18"/>
          <w:u w:val="none"/>
        </w:rPr>
        <w:t>or</w:t>
      </w:r>
      <w:r>
        <w:rPr>
          <w:spacing w:val="-4"/>
          <w:sz w:val="18"/>
          <w:u w:val="none"/>
        </w:rPr>
        <w:t> </w:t>
      </w:r>
      <w:r>
        <w:rPr>
          <w:sz w:val="18"/>
          <w:u w:val="none"/>
        </w:rPr>
        <w:t>as</w:t>
      </w:r>
      <w:r>
        <w:rPr>
          <w:spacing w:val="-5"/>
          <w:sz w:val="18"/>
          <w:u w:val="none"/>
        </w:rPr>
        <w:t> </w:t>
      </w:r>
      <w:r>
        <w:rPr>
          <w:sz w:val="18"/>
          <w:u w:val="none"/>
        </w:rPr>
        <w:t>persons</w:t>
      </w:r>
      <w:r>
        <w:rPr>
          <w:spacing w:val="-5"/>
          <w:sz w:val="18"/>
          <w:u w:val="none"/>
        </w:rPr>
        <w:t> </w:t>
      </w:r>
      <w:r>
        <w:rPr>
          <w:sz w:val="18"/>
          <w:u w:val="none"/>
        </w:rPr>
        <w:t>who</w:t>
      </w:r>
      <w:r>
        <w:rPr>
          <w:spacing w:val="-5"/>
          <w:sz w:val="18"/>
          <w:u w:val="none"/>
        </w:rPr>
        <w:t> </w:t>
      </w:r>
      <w:r>
        <w:rPr>
          <w:sz w:val="18"/>
          <w:u w:val="none"/>
        </w:rPr>
        <w:t>otherwise</w:t>
      </w:r>
      <w:r>
        <w:rPr>
          <w:spacing w:val="-4"/>
          <w:sz w:val="18"/>
          <w:u w:val="none"/>
        </w:rPr>
        <w:t> </w:t>
      </w:r>
      <w:r>
        <w:rPr>
          <w:sz w:val="18"/>
          <w:u w:val="none"/>
        </w:rPr>
        <w:t>need</w:t>
      </w:r>
      <w:r>
        <w:rPr>
          <w:spacing w:val="-5"/>
          <w:sz w:val="18"/>
          <w:u w:val="none"/>
        </w:rPr>
        <w:t> </w:t>
      </w:r>
      <w:r>
        <w:rPr>
          <w:sz w:val="18"/>
          <w:u w:val="none"/>
        </w:rPr>
        <w:t>international</w:t>
      </w:r>
      <w:r>
        <w:rPr>
          <w:spacing w:val="-5"/>
          <w:sz w:val="18"/>
          <w:u w:val="none"/>
        </w:rPr>
        <w:t> </w:t>
      </w:r>
      <w:r>
        <w:rPr>
          <w:sz w:val="18"/>
          <w:u w:val="none"/>
        </w:rPr>
        <w:t>protection</w:t>
      </w:r>
      <w:r>
        <w:rPr>
          <w:spacing w:val="-5"/>
          <w:sz w:val="18"/>
          <w:u w:val="none"/>
        </w:rPr>
        <w:t> </w:t>
      </w:r>
      <w:r>
        <w:rPr>
          <w:sz w:val="18"/>
          <w:u w:val="none"/>
        </w:rPr>
        <w:t>and</w:t>
      </w:r>
      <w:r>
        <w:rPr>
          <w:spacing w:val="-5"/>
          <w:sz w:val="18"/>
          <w:u w:val="none"/>
        </w:rPr>
        <w:t> </w:t>
      </w:r>
      <w:r>
        <w:rPr>
          <w:sz w:val="18"/>
          <w:u w:val="none"/>
        </w:rPr>
        <w:t>the</w:t>
      </w:r>
      <w:r>
        <w:rPr>
          <w:spacing w:val="-4"/>
          <w:sz w:val="18"/>
          <w:u w:val="none"/>
        </w:rPr>
        <w:t> </w:t>
      </w:r>
      <w:r>
        <w:rPr>
          <w:sz w:val="18"/>
          <w:u w:val="none"/>
        </w:rPr>
        <w:t>content</w:t>
      </w:r>
      <w:r>
        <w:rPr>
          <w:spacing w:val="-4"/>
          <w:sz w:val="18"/>
          <w:u w:val="none"/>
        </w:rPr>
        <w:t> </w:t>
      </w:r>
      <w:r>
        <w:rPr>
          <w:sz w:val="18"/>
          <w:u w:val="none"/>
        </w:rPr>
        <w:t>of the protection granted (Qualification Directive).</w:t>
      </w:r>
    </w:p>
    <w:p>
      <w:pPr>
        <w:pStyle w:val="ListParagraph"/>
        <w:numPr>
          <w:ilvl w:val="0"/>
          <w:numId w:val="18"/>
        </w:numPr>
        <w:tabs>
          <w:tab w:pos="1287" w:val="left" w:leader="none"/>
        </w:tabs>
        <w:spacing w:line="240" w:lineRule="auto" w:before="1" w:after="0"/>
        <w:ind w:left="1287" w:right="1320" w:hanging="567"/>
        <w:jc w:val="left"/>
        <w:rPr>
          <w:sz w:val="18"/>
        </w:rPr>
      </w:pPr>
      <w:r>
        <w:rPr>
          <w:color w:val="1D71B8"/>
          <w:sz w:val="18"/>
          <w:u w:val="single" w:color="1D71B8"/>
        </w:rPr>
        <w:t>Council</w:t>
      </w:r>
      <w:r>
        <w:rPr>
          <w:color w:val="1D71B8"/>
          <w:spacing w:val="-5"/>
          <w:sz w:val="18"/>
          <w:u w:val="single" w:color="1D71B8"/>
        </w:rPr>
        <w:t> </w:t>
      </w:r>
      <w:r>
        <w:rPr>
          <w:color w:val="1D71B8"/>
          <w:sz w:val="18"/>
          <w:u w:val="single" w:color="1D71B8"/>
        </w:rPr>
        <w:t>Directive</w:t>
      </w:r>
      <w:r>
        <w:rPr>
          <w:color w:val="1D71B8"/>
          <w:spacing w:val="-4"/>
          <w:sz w:val="18"/>
          <w:u w:val="single" w:color="1D71B8"/>
        </w:rPr>
        <w:t> </w:t>
      </w:r>
      <w:r>
        <w:rPr>
          <w:color w:val="1D71B8"/>
          <w:sz w:val="18"/>
          <w:u w:val="single" w:color="1D71B8"/>
        </w:rPr>
        <w:t>2005/85/EC</w:t>
      </w:r>
      <w:r>
        <w:rPr>
          <w:color w:val="1D71B8"/>
          <w:spacing w:val="-4"/>
          <w:sz w:val="18"/>
          <w:u w:val="none"/>
        </w:rPr>
        <w:t> </w:t>
      </w:r>
      <w:r>
        <w:rPr>
          <w:sz w:val="18"/>
          <w:u w:val="none"/>
        </w:rPr>
        <w:t>of</w:t>
      </w:r>
      <w:r>
        <w:rPr>
          <w:spacing w:val="-5"/>
          <w:sz w:val="18"/>
          <w:u w:val="none"/>
        </w:rPr>
        <w:t> </w:t>
      </w:r>
      <w:r>
        <w:rPr>
          <w:sz w:val="18"/>
          <w:u w:val="none"/>
        </w:rPr>
        <w:t>1</w:t>
      </w:r>
      <w:r>
        <w:rPr>
          <w:spacing w:val="-4"/>
          <w:sz w:val="18"/>
          <w:u w:val="none"/>
        </w:rPr>
        <w:t> </w:t>
      </w:r>
      <w:r>
        <w:rPr>
          <w:sz w:val="18"/>
          <w:u w:val="none"/>
        </w:rPr>
        <w:t>December</w:t>
      </w:r>
      <w:r>
        <w:rPr>
          <w:spacing w:val="-4"/>
          <w:sz w:val="18"/>
          <w:u w:val="none"/>
        </w:rPr>
        <w:t> </w:t>
      </w:r>
      <w:r>
        <w:rPr>
          <w:sz w:val="18"/>
          <w:u w:val="none"/>
        </w:rPr>
        <w:t>2005</w:t>
      </w:r>
      <w:r>
        <w:rPr>
          <w:spacing w:val="-4"/>
          <w:sz w:val="18"/>
          <w:u w:val="none"/>
        </w:rPr>
        <w:t> </w:t>
      </w:r>
      <w:r>
        <w:rPr>
          <w:sz w:val="18"/>
          <w:u w:val="none"/>
        </w:rPr>
        <w:t>on</w:t>
      </w:r>
      <w:r>
        <w:rPr>
          <w:spacing w:val="-5"/>
          <w:sz w:val="18"/>
          <w:u w:val="none"/>
        </w:rPr>
        <w:t> </w:t>
      </w:r>
      <w:r>
        <w:rPr>
          <w:sz w:val="18"/>
          <w:u w:val="none"/>
        </w:rPr>
        <w:t>minimum</w:t>
      </w:r>
      <w:r>
        <w:rPr>
          <w:spacing w:val="-4"/>
          <w:sz w:val="18"/>
          <w:u w:val="none"/>
        </w:rPr>
        <w:t> </w:t>
      </w:r>
      <w:r>
        <w:rPr>
          <w:sz w:val="18"/>
          <w:u w:val="none"/>
        </w:rPr>
        <w:t>standards</w:t>
      </w:r>
      <w:r>
        <w:rPr>
          <w:spacing w:val="-5"/>
          <w:sz w:val="18"/>
          <w:u w:val="none"/>
        </w:rPr>
        <w:t> </w:t>
      </w:r>
      <w:r>
        <w:rPr>
          <w:sz w:val="18"/>
          <w:u w:val="none"/>
        </w:rPr>
        <w:t>on</w:t>
      </w:r>
      <w:r>
        <w:rPr>
          <w:spacing w:val="-5"/>
          <w:sz w:val="18"/>
          <w:u w:val="none"/>
        </w:rPr>
        <w:t> </w:t>
      </w:r>
      <w:r>
        <w:rPr>
          <w:sz w:val="18"/>
          <w:u w:val="none"/>
        </w:rPr>
        <w:t>procedures</w:t>
      </w:r>
      <w:r>
        <w:rPr>
          <w:spacing w:val="-5"/>
          <w:sz w:val="18"/>
          <w:u w:val="none"/>
        </w:rPr>
        <w:t> </w:t>
      </w:r>
      <w:r>
        <w:rPr>
          <w:sz w:val="18"/>
          <w:u w:val="none"/>
        </w:rPr>
        <w:t>in</w:t>
      </w:r>
      <w:r>
        <w:rPr>
          <w:spacing w:val="-5"/>
          <w:sz w:val="18"/>
          <w:u w:val="none"/>
        </w:rPr>
        <w:t> </w:t>
      </w:r>
      <w:r>
        <w:rPr>
          <w:sz w:val="18"/>
          <w:u w:val="none"/>
        </w:rPr>
        <w:t>Member</w:t>
      </w:r>
      <w:r>
        <w:rPr>
          <w:spacing w:val="-4"/>
          <w:sz w:val="18"/>
          <w:u w:val="none"/>
        </w:rPr>
        <w:t> </w:t>
      </w:r>
      <w:r>
        <w:rPr>
          <w:sz w:val="18"/>
          <w:u w:val="none"/>
        </w:rPr>
        <w:t>States</w:t>
      </w:r>
      <w:r>
        <w:rPr>
          <w:spacing w:val="-5"/>
          <w:sz w:val="18"/>
          <w:u w:val="none"/>
        </w:rPr>
        <w:t> </w:t>
      </w:r>
      <w:r>
        <w:rPr>
          <w:sz w:val="18"/>
          <w:u w:val="none"/>
        </w:rPr>
        <w:t>for</w:t>
      </w:r>
      <w:r>
        <w:rPr>
          <w:spacing w:val="-4"/>
          <w:sz w:val="18"/>
          <w:u w:val="none"/>
        </w:rPr>
        <w:t> </w:t>
      </w:r>
      <w:r>
        <w:rPr>
          <w:sz w:val="18"/>
          <w:u w:val="none"/>
        </w:rPr>
        <w:t>granting and withdrawing refugee status (Procedures Directive).</w:t>
      </w:r>
    </w:p>
    <w:p>
      <w:pPr>
        <w:pStyle w:val="ListParagraph"/>
        <w:numPr>
          <w:ilvl w:val="0"/>
          <w:numId w:val="18"/>
        </w:numPr>
        <w:tabs>
          <w:tab w:pos="1287" w:val="left" w:leader="none"/>
        </w:tabs>
        <w:spacing w:line="240" w:lineRule="auto" w:before="0" w:after="0"/>
        <w:ind w:left="1287" w:right="1539" w:hanging="567"/>
        <w:jc w:val="left"/>
        <w:rPr>
          <w:sz w:val="18"/>
        </w:rPr>
      </w:pPr>
      <w:r>
        <w:rPr>
          <w:color w:val="1D71B8"/>
          <w:sz w:val="18"/>
          <w:u w:val="single" w:color="1D71B8"/>
        </w:rPr>
        <w:t>Regulation 604/2013/EU</w:t>
      </w:r>
      <w:r>
        <w:rPr>
          <w:sz w:val="18"/>
          <w:u w:val="none"/>
        </w:rPr>
        <w:t>, Regulation of the European Parliament and of the Council establishing the criteria and mechanisms</w:t>
      </w:r>
      <w:r>
        <w:rPr>
          <w:spacing w:val="-7"/>
          <w:sz w:val="18"/>
          <w:u w:val="none"/>
        </w:rPr>
        <w:t> </w:t>
      </w:r>
      <w:r>
        <w:rPr>
          <w:sz w:val="18"/>
          <w:u w:val="none"/>
        </w:rPr>
        <w:t>for</w:t>
      </w:r>
      <w:r>
        <w:rPr>
          <w:spacing w:val="-6"/>
          <w:sz w:val="18"/>
          <w:u w:val="none"/>
        </w:rPr>
        <w:t> </w:t>
      </w:r>
      <w:r>
        <w:rPr>
          <w:sz w:val="18"/>
          <w:u w:val="none"/>
        </w:rPr>
        <w:t>determining</w:t>
      </w:r>
      <w:r>
        <w:rPr>
          <w:spacing w:val="-6"/>
          <w:sz w:val="18"/>
          <w:u w:val="none"/>
        </w:rPr>
        <w:t> </w:t>
      </w:r>
      <w:r>
        <w:rPr>
          <w:sz w:val="18"/>
          <w:u w:val="none"/>
        </w:rPr>
        <w:t>the</w:t>
      </w:r>
      <w:r>
        <w:rPr>
          <w:spacing w:val="-6"/>
          <w:sz w:val="18"/>
          <w:u w:val="none"/>
        </w:rPr>
        <w:t> </w:t>
      </w:r>
      <w:r>
        <w:rPr>
          <w:sz w:val="18"/>
          <w:u w:val="none"/>
        </w:rPr>
        <w:t>Member</w:t>
      </w:r>
      <w:r>
        <w:rPr>
          <w:spacing w:val="-6"/>
          <w:sz w:val="18"/>
          <w:u w:val="none"/>
        </w:rPr>
        <w:t> </w:t>
      </w:r>
      <w:r>
        <w:rPr>
          <w:sz w:val="18"/>
          <w:u w:val="none"/>
        </w:rPr>
        <w:t>State</w:t>
      </w:r>
      <w:r>
        <w:rPr>
          <w:spacing w:val="-6"/>
          <w:sz w:val="18"/>
          <w:u w:val="none"/>
        </w:rPr>
        <w:t> </w:t>
      </w:r>
      <w:r>
        <w:rPr>
          <w:sz w:val="18"/>
          <w:u w:val="none"/>
        </w:rPr>
        <w:t>responsible</w:t>
      </w:r>
      <w:r>
        <w:rPr>
          <w:spacing w:val="-6"/>
          <w:sz w:val="18"/>
          <w:u w:val="none"/>
        </w:rPr>
        <w:t> </w:t>
      </w:r>
      <w:r>
        <w:rPr>
          <w:sz w:val="18"/>
          <w:u w:val="none"/>
        </w:rPr>
        <w:t>for</w:t>
      </w:r>
      <w:r>
        <w:rPr>
          <w:spacing w:val="-6"/>
          <w:sz w:val="18"/>
          <w:u w:val="none"/>
        </w:rPr>
        <w:t> </w:t>
      </w:r>
      <w:r>
        <w:rPr>
          <w:sz w:val="18"/>
          <w:u w:val="none"/>
        </w:rPr>
        <w:t>examining</w:t>
      </w:r>
      <w:r>
        <w:rPr>
          <w:spacing w:val="-6"/>
          <w:sz w:val="18"/>
          <w:u w:val="none"/>
        </w:rPr>
        <w:t> </w:t>
      </w:r>
      <w:r>
        <w:rPr>
          <w:sz w:val="18"/>
          <w:u w:val="none"/>
        </w:rPr>
        <w:t>an</w:t>
      </w:r>
      <w:r>
        <w:rPr>
          <w:spacing w:val="-7"/>
          <w:sz w:val="18"/>
          <w:u w:val="none"/>
        </w:rPr>
        <w:t> </w:t>
      </w:r>
      <w:r>
        <w:rPr>
          <w:sz w:val="18"/>
          <w:u w:val="none"/>
        </w:rPr>
        <w:t>application</w:t>
      </w:r>
      <w:r>
        <w:rPr>
          <w:spacing w:val="-7"/>
          <w:sz w:val="18"/>
          <w:u w:val="none"/>
        </w:rPr>
        <w:t> </w:t>
      </w:r>
      <w:r>
        <w:rPr>
          <w:sz w:val="18"/>
          <w:u w:val="none"/>
        </w:rPr>
        <w:t>for</w:t>
      </w:r>
      <w:r>
        <w:rPr>
          <w:spacing w:val="-6"/>
          <w:sz w:val="18"/>
          <w:u w:val="none"/>
        </w:rPr>
        <w:t> </w:t>
      </w:r>
      <w:r>
        <w:rPr>
          <w:sz w:val="18"/>
          <w:u w:val="none"/>
        </w:rPr>
        <w:t>international</w:t>
      </w:r>
      <w:r>
        <w:rPr>
          <w:spacing w:val="-7"/>
          <w:sz w:val="18"/>
          <w:u w:val="none"/>
        </w:rPr>
        <w:t> </w:t>
      </w:r>
      <w:r>
        <w:rPr>
          <w:sz w:val="18"/>
          <w:u w:val="none"/>
        </w:rPr>
        <w:t>protection lodged in one of the Member States by a third-country national or a stateless person, 26 June 2013. 2013</w:t>
      </w:r>
    </w:p>
    <w:p>
      <w:pPr>
        <w:pStyle w:val="ListParagraph"/>
        <w:numPr>
          <w:ilvl w:val="0"/>
          <w:numId w:val="18"/>
        </w:numPr>
        <w:tabs>
          <w:tab w:pos="1287" w:val="left" w:leader="none"/>
        </w:tabs>
        <w:spacing w:line="240" w:lineRule="auto" w:before="1" w:after="0"/>
        <w:ind w:left="1287" w:right="0" w:hanging="567"/>
        <w:jc w:val="left"/>
        <w:rPr>
          <w:sz w:val="18"/>
        </w:rPr>
      </w:pPr>
      <w:r>
        <w:rPr>
          <w:sz w:val="18"/>
        </w:rPr>
        <w:t>NIHRC,</w:t>
      </w:r>
      <w:r>
        <w:rPr>
          <w:spacing w:val="-4"/>
          <w:sz w:val="18"/>
        </w:rPr>
        <w:t> </w:t>
      </w:r>
      <w:r>
        <w:rPr>
          <w:color w:val="1D71B8"/>
          <w:sz w:val="18"/>
          <w:u w:val="single" w:color="1D71B8"/>
        </w:rPr>
        <w:t>Advice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Safety</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Rwanda</w:t>
      </w:r>
      <w:r>
        <w:rPr>
          <w:color w:val="1D71B8"/>
          <w:spacing w:val="-4"/>
          <w:sz w:val="18"/>
          <w:u w:val="single" w:color="1D71B8"/>
        </w:rPr>
        <w:t> </w:t>
      </w:r>
      <w:r>
        <w:rPr>
          <w:color w:val="1D71B8"/>
          <w:sz w:val="18"/>
          <w:u w:val="single" w:color="1D71B8"/>
        </w:rPr>
        <w:t>(Asylum</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Immigration)</w:t>
      </w:r>
      <w:r>
        <w:rPr>
          <w:color w:val="1D71B8"/>
          <w:spacing w:val="-5"/>
          <w:sz w:val="18"/>
          <w:u w:val="single" w:color="1D71B8"/>
        </w:rPr>
        <w:t> </w:t>
      </w:r>
      <w:r>
        <w:rPr>
          <w:color w:val="1D71B8"/>
          <w:sz w:val="18"/>
          <w:u w:val="single" w:color="1D71B8"/>
        </w:rPr>
        <w:t>Bill</w:t>
      </w:r>
      <w:r>
        <w:rPr>
          <w:color w:val="1D71B8"/>
          <w:spacing w:val="-5"/>
          <w:sz w:val="18"/>
          <w:u w:val="none"/>
        </w:rPr>
        <w:t> </w:t>
      </w:r>
      <w:r>
        <w:rPr>
          <w:sz w:val="18"/>
          <w:u w:val="none"/>
        </w:rPr>
        <w:t>(2024)</w:t>
      </w:r>
      <w:r>
        <w:rPr>
          <w:spacing w:val="-4"/>
          <w:sz w:val="18"/>
          <w:u w:val="none"/>
        </w:rPr>
        <w:t> </w:t>
      </w:r>
      <w:r>
        <w:rPr>
          <w:spacing w:val="-5"/>
          <w:sz w:val="18"/>
          <w:u w:val="none"/>
        </w:rPr>
        <w:t>24.</w:t>
      </w:r>
    </w:p>
    <w:p>
      <w:pPr>
        <w:pStyle w:val="ListParagraph"/>
        <w:numPr>
          <w:ilvl w:val="0"/>
          <w:numId w:val="18"/>
        </w:numPr>
        <w:tabs>
          <w:tab w:pos="1287" w:val="left" w:leader="none"/>
        </w:tabs>
        <w:spacing w:line="240" w:lineRule="auto" w:before="0" w:after="0"/>
        <w:ind w:left="1287" w:right="0" w:hanging="567"/>
        <w:jc w:val="left"/>
        <w:rPr>
          <w:sz w:val="18"/>
        </w:rPr>
      </w:pPr>
      <w:r>
        <w:rPr>
          <w:sz w:val="18"/>
        </w:rPr>
        <w:t>ECNI,</w:t>
      </w:r>
      <w:r>
        <w:rPr>
          <w:spacing w:val="-6"/>
          <w:sz w:val="18"/>
        </w:rPr>
        <w:t> </w:t>
      </w:r>
      <w:r>
        <w:rPr>
          <w:color w:val="1D71B8"/>
          <w:sz w:val="18"/>
          <w:u w:val="single" w:color="1D71B8"/>
        </w:rPr>
        <w:t>Submission</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Safety</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Rwanda</w:t>
      </w:r>
      <w:r>
        <w:rPr>
          <w:color w:val="1D71B8"/>
          <w:spacing w:val="-6"/>
          <w:sz w:val="18"/>
          <w:u w:val="single" w:color="1D71B8"/>
        </w:rPr>
        <w:t> </w:t>
      </w:r>
      <w:r>
        <w:rPr>
          <w:color w:val="1D71B8"/>
          <w:sz w:val="18"/>
          <w:u w:val="single" w:color="1D71B8"/>
        </w:rPr>
        <w:t>(Asylum</w:t>
      </w:r>
      <w:r>
        <w:rPr>
          <w:color w:val="1D71B8"/>
          <w:spacing w:val="-4"/>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Immigration)</w:t>
      </w:r>
      <w:r>
        <w:rPr>
          <w:color w:val="1D71B8"/>
          <w:spacing w:val="-6"/>
          <w:sz w:val="18"/>
          <w:u w:val="single" w:color="1D71B8"/>
        </w:rPr>
        <w:t> </w:t>
      </w:r>
      <w:r>
        <w:rPr>
          <w:color w:val="1D71B8"/>
          <w:sz w:val="18"/>
          <w:u w:val="single" w:color="1D71B8"/>
        </w:rPr>
        <w:t>Bill</w:t>
      </w:r>
      <w:r>
        <w:rPr>
          <w:color w:val="1D71B8"/>
          <w:spacing w:val="-5"/>
          <w:sz w:val="18"/>
          <w:u w:val="none"/>
        </w:rPr>
        <w:t> </w:t>
      </w:r>
      <w:r>
        <w:rPr>
          <w:sz w:val="18"/>
          <w:u w:val="none"/>
        </w:rPr>
        <w:t>(ECNI,</w:t>
      </w:r>
      <w:r>
        <w:rPr>
          <w:spacing w:val="-4"/>
          <w:sz w:val="18"/>
          <w:u w:val="none"/>
        </w:rPr>
        <w:t> </w:t>
      </w:r>
      <w:r>
        <w:rPr>
          <w:spacing w:val="-2"/>
          <w:sz w:val="18"/>
          <w:u w:val="none"/>
        </w:rPr>
        <w:t>2024).</w:t>
      </w:r>
    </w:p>
    <w:p>
      <w:pPr>
        <w:pStyle w:val="ListParagraph"/>
        <w:numPr>
          <w:ilvl w:val="0"/>
          <w:numId w:val="18"/>
        </w:numPr>
        <w:tabs>
          <w:tab w:pos="1287" w:val="left" w:leader="none"/>
        </w:tabs>
        <w:spacing w:line="240" w:lineRule="auto" w:before="1" w:after="0"/>
        <w:ind w:left="1287" w:right="1261" w:hanging="567"/>
        <w:jc w:val="both"/>
        <w:rPr>
          <w:sz w:val="18"/>
        </w:rPr>
      </w:pPr>
      <w:r>
        <w:rPr>
          <w:sz w:val="18"/>
        </w:rPr>
        <w:t>The Irish High Court has noted this could be an issue in a case involving the designation of the UK as a safe country; the High Court found the designation was unlawful because of inadequate safeguards in the but did not have to decide the issue as</w:t>
      </w:r>
      <w:r>
        <w:rPr>
          <w:spacing w:val="-1"/>
          <w:sz w:val="18"/>
        </w:rPr>
        <w:t> </w:t>
      </w:r>
      <w:r>
        <w:rPr>
          <w:sz w:val="18"/>
        </w:rPr>
        <w:t>to</w:t>
      </w:r>
      <w:r>
        <w:rPr>
          <w:spacing w:val="-1"/>
          <w:sz w:val="18"/>
        </w:rPr>
        <w:t> </w:t>
      </w:r>
      <w:r>
        <w:rPr>
          <w:sz w:val="18"/>
        </w:rPr>
        <w:t>whether the UK was</w:t>
      </w:r>
      <w:r>
        <w:rPr>
          <w:spacing w:val="-1"/>
          <w:sz w:val="18"/>
        </w:rPr>
        <w:t> </w:t>
      </w:r>
      <w:r>
        <w:rPr>
          <w:sz w:val="18"/>
        </w:rPr>
        <w:t>a</w:t>
      </w:r>
      <w:r>
        <w:rPr>
          <w:spacing w:val="-1"/>
          <w:sz w:val="18"/>
        </w:rPr>
        <w:t> </w:t>
      </w:r>
      <w:r>
        <w:rPr>
          <w:sz w:val="18"/>
        </w:rPr>
        <w:t>safe country:</w:t>
      </w:r>
      <w:r>
        <w:rPr>
          <w:spacing w:val="-2"/>
          <w:sz w:val="18"/>
        </w:rPr>
        <w:t> </w:t>
      </w:r>
      <w:r>
        <w:rPr>
          <w:color w:val="1D71B8"/>
          <w:sz w:val="18"/>
          <w:u w:val="single" w:color="1D71B8"/>
        </w:rPr>
        <w:t>In</w:t>
      </w:r>
      <w:r>
        <w:rPr>
          <w:color w:val="1D71B8"/>
          <w:spacing w:val="-1"/>
          <w:sz w:val="18"/>
          <w:u w:val="single" w:color="1D71B8"/>
        </w:rPr>
        <w:t> </w:t>
      </w:r>
      <w:r>
        <w:rPr>
          <w:color w:val="1D71B8"/>
          <w:sz w:val="18"/>
          <w:u w:val="single" w:color="1D71B8"/>
        </w:rPr>
        <w:t>the Matter of</w:t>
      </w:r>
      <w:r>
        <w:rPr>
          <w:color w:val="1D71B8"/>
          <w:spacing w:val="-1"/>
          <w:sz w:val="18"/>
          <w:u w:val="single" w:color="1D71B8"/>
        </w:rPr>
        <w:t> </w:t>
      </w:r>
      <w:r>
        <w:rPr>
          <w:color w:val="1D71B8"/>
          <w:sz w:val="18"/>
          <w:u w:val="single" w:color="1D71B8"/>
        </w:rPr>
        <w:t>Section</w:t>
      </w:r>
      <w:r>
        <w:rPr>
          <w:color w:val="1D71B8"/>
          <w:spacing w:val="-1"/>
          <w:sz w:val="18"/>
          <w:u w:val="single" w:color="1D71B8"/>
        </w:rPr>
        <w:t> </w:t>
      </w:r>
      <w:r>
        <w:rPr>
          <w:color w:val="1D71B8"/>
          <w:sz w:val="18"/>
          <w:u w:val="single" w:color="1D71B8"/>
        </w:rPr>
        <w:t>5 of</w:t>
      </w:r>
      <w:r>
        <w:rPr>
          <w:color w:val="1D71B8"/>
          <w:spacing w:val="-1"/>
          <w:sz w:val="18"/>
          <w:u w:val="single" w:color="1D71B8"/>
        </w:rPr>
        <w:t> </w:t>
      </w:r>
      <w:r>
        <w:rPr>
          <w:color w:val="1D71B8"/>
          <w:sz w:val="18"/>
          <w:u w:val="single" w:color="1D71B8"/>
        </w:rPr>
        <w:t>the Illegal</w:t>
      </w:r>
      <w:r>
        <w:rPr>
          <w:color w:val="1D71B8"/>
          <w:spacing w:val="-1"/>
          <w:sz w:val="18"/>
          <w:u w:val="single" w:color="1D71B8"/>
        </w:rPr>
        <w:t> </w:t>
      </w:r>
      <w:r>
        <w:rPr>
          <w:color w:val="1D71B8"/>
          <w:sz w:val="18"/>
          <w:u w:val="single" w:color="1D71B8"/>
        </w:rPr>
        <w:t>Immigrants</w:t>
      </w:r>
      <w:r>
        <w:rPr>
          <w:color w:val="1D71B8"/>
          <w:spacing w:val="-1"/>
          <w:sz w:val="18"/>
          <w:u w:val="single" w:color="1D71B8"/>
        </w:rPr>
        <w:t> </w:t>
      </w:r>
      <w:r>
        <w:rPr>
          <w:color w:val="1D71B8"/>
          <w:sz w:val="18"/>
          <w:u w:val="single" w:color="1D71B8"/>
        </w:rPr>
        <w:t>(Trafficking)</w:t>
      </w:r>
      <w:r>
        <w:rPr>
          <w:color w:val="1D71B8"/>
          <w:spacing w:val="-1"/>
          <w:sz w:val="18"/>
          <w:u w:val="single" w:color="1D71B8"/>
        </w:rPr>
        <w:t> </w:t>
      </w:r>
      <w:r>
        <w:rPr>
          <w:color w:val="1D71B8"/>
          <w:sz w:val="18"/>
          <w:u w:val="single" w:color="1D71B8"/>
        </w:rPr>
        <w:t>Act 2000</w:t>
      </w:r>
      <w:r>
        <w:rPr>
          <w:color w:val="1D71B8"/>
          <w:sz w:val="18"/>
          <w:u w:val="none"/>
        </w:rPr>
        <w:t> </w:t>
      </w:r>
      <w:r>
        <w:rPr>
          <w:color w:val="1D71B8"/>
          <w:sz w:val="18"/>
          <w:u w:val="single" w:color="1D71B8"/>
        </w:rPr>
        <w:t>as</w:t>
      </w:r>
      <w:r>
        <w:rPr>
          <w:color w:val="1D71B8"/>
          <w:spacing w:val="-4"/>
          <w:sz w:val="18"/>
          <w:u w:val="single" w:color="1D71B8"/>
        </w:rPr>
        <w:t> </w:t>
      </w:r>
      <w:r>
        <w:rPr>
          <w:color w:val="1D71B8"/>
          <w:sz w:val="18"/>
          <w:u w:val="single" w:color="1D71B8"/>
        </w:rPr>
        <w:t>amended</w:t>
      </w:r>
      <w:r>
        <w:rPr>
          <w:color w:val="1D71B8"/>
          <w:spacing w:val="-3"/>
          <w:sz w:val="18"/>
          <w:u w:val="none"/>
        </w:rPr>
        <w:t> </w:t>
      </w:r>
      <w:r>
        <w:rPr>
          <w:sz w:val="18"/>
          <w:u w:val="none"/>
        </w:rPr>
        <w:t>[2024]</w:t>
      </w:r>
      <w:r>
        <w:rPr>
          <w:spacing w:val="-3"/>
          <w:sz w:val="18"/>
          <w:u w:val="none"/>
        </w:rPr>
        <w:t> </w:t>
      </w:r>
      <w:r>
        <w:rPr>
          <w:sz w:val="18"/>
          <w:u w:val="none"/>
        </w:rPr>
        <w:t>IEHC</w:t>
      </w:r>
      <w:r>
        <w:rPr>
          <w:spacing w:val="-4"/>
          <w:sz w:val="18"/>
          <w:u w:val="none"/>
        </w:rPr>
        <w:t> </w:t>
      </w:r>
      <w:r>
        <w:rPr>
          <w:sz w:val="18"/>
          <w:u w:val="none"/>
        </w:rPr>
        <w:t>183,</w:t>
      </w:r>
      <w:r>
        <w:rPr>
          <w:spacing w:val="-3"/>
          <w:sz w:val="18"/>
          <w:u w:val="none"/>
        </w:rPr>
        <w:t> </w:t>
      </w:r>
      <w:r>
        <w:rPr>
          <w:sz w:val="18"/>
          <w:u w:val="none"/>
        </w:rPr>
        <w:t>(22</w:t>
      </w:r>
      <w:r>
        <w:rPr>
          <w:spacing w:val="-3"/>
          <w:sz w:val="18"/>
          <w:u w:val="none"/>
        </w:rPr>
        <w:t> </w:t>
      </w:r>
      <w:r>
        <w:rPr>
          <w:sz w:val="18"/>
          <w:u w:val="none"/>
        </w:rPr>
        <w:t>March</w:t>
      </w:r>
      <w:r>
        <w:rPr>
          <w:spacing w:val="-4"/>
          <w:sz w:val="18"/>
          <w:u w:val="none"/>
        </w:rPr>
        <w:t> </w:t>
      </w:r>
      <w:r>
        <w:rPr>
          <w:sz w:val="18"/>
          <w:u w:val="none"/>
        </w:rPr>
        <w:t>2024).</w:t>
      </w:r>
      <w:r>
        <w:rPr>
          <w:spacing w:val="-4"/>
          <w:sz w:val="18"/>
          <w:u w:val="none"/>
        </w:rPr>
        <w:t> </w:t>
      </w:r>
      <w:r>
        <w:rPr>
          <w:sz w:val="18"/>
          <w:u w:val="none"/>
        </w:rPr>
        <w:t>In</w:t>
      </w:r>
      <w:r>
        <w:rPr>
          <w:spacing w:val="-4"/>
          <w:sz w:val="18"/>
          <w:u w:val="none"/>
        </w:rPr>
        <w:t> </w:t>
      </w:r>
      <w:r>
        <w:rPr>
          <w:sz w:val="18"/>
          <w:u w:val="none"/>
        </w:rPr>
        <w:t>a</w:t>
      </w:r>
      <w:r>
        <w:rPr>
          <w:spacing w:val="-4"/>
          <w:sz w:val="18"/>
          <w:u w:val="none"/>
        </w:rPr>
        <w:t> </w:t>
      </w:r>
      <w:r>
        <w:rPr>
          <w:sz w:val="18"/>
          <w:u w:val="none"/>
        </w:rPr>
        <w:t>separate</w:t>
      </w:r>
      <w:r>
        <w:rPr>
          <w:spacing w:val="-3"/>
          <w:sz w:val="18"/>
          <w:u w:val="none"/>
        </w:rPr>
        <w:t> </w:t>
      </w:r>
      <w:r>
        <w:rPr>
          <w:sz w:val="18"/>
          <w:u w:val="none"/>
        </w:rPr>
        <w:t>case</w:t>
      </w:r>
      <w:r>
        <w:rPr>
          <w:spacing w:val="-3"/>
          <w:sz w:val="18"/>
          <w:u w:val="none"/>
        </w:rPr>
        <w:t> </w:t>
      </w:r>
      <w:r>
        <w:rPr>
          <w:sz w:val="18"/>
          <w:u w:val="none"/>
        </w:rPr>
        <w:t>the</w:t>
      </w:r>
      <w:r>
        <w:rPr>
          <w:spacing w:val="-3"/>
          <w:sz w:val="18"/>
          <w:u w:val="none"/>
        </w:rPr>
        <w:t> </w:t>
      </w:r>
      <w:r>
        <w:rPr>
          <w:sz w:val="18"/>
          <w:u w:val="none"/>
        </w:rPr>
        <w:t>Irish</w:t>
      </w:r>
      <w:r>
        <w:rPr>
          <w:spacing w:val="-4"/>
          <w:sz w:val="18"/>
          <w:u w:val="none"/>
        </w:rPr>
        <w:t> </w:t>
      </w:r>
      <w:r>
        <w:rPr>
          <w:sz w:val="18"/>
          <w:u w:val="none"/>
        </w:rPr>
        <w:t>Supreme</w:t>
      </w:r>
      <w:r>
        <w:rPr>
          <w:spacing w:val="-3"/>
          <w:sz w:val="18"/>
          <w:u w:val="none"/>
        </w:rPr>
        <w:t> </w:t>
      </w:r>
      <w:r>
        <w:rPr>
          <w:sz w:val="18"/>
          <w:u w:val="none"/>
        </w:rPr>
        <w:t>Court</w:t>
      </w:r>
      <w:r>
        <w:rPr>
          <w:spacing w:val="-3"/>
          <w:sz w:val="18"/>
          <w:u w:val="none"/>
        </w:rPr>
        <w:t> </w:t>
      </w:r>
      <w:r>
        <w:rPr>
          <w:sz w:val="18"/>
          <w:u w:val="none"/>
        </w:rPr>
        <w:t>has</w:t>
      </w:r>
      <w:r>
        <w:rPr>
          <w:spacing w:val="-4"/>
          <w:sz w:val="18"/>
          <w:u w:val="none"/>
        </w:rPr>
        <w:t> </w:t>
      </w:r>
      <w:r>
        <w:rPr>
          <w:sz w:val="18"/>
          <w:u w:val="none"/>
        </w:rPr>
        <w:t>referred</w:t>
      </w:r>
      <w:r>
        <w:rPr>
          <w:spacing w:val="-4"/>
          <w:sz w:val="18"/>
          <w:u w:val="none"/>
        </w:rPr>
        <w:t> </w:t>
      </w:r>
      <w:r>
        <w:rPr>
          <w:sz w:val="18"/>
          <w:u w:val="none"/>
        </w:rPr>
        <w:t>a</w:t>
      </w:r>
      <w:r>
        <w:rPr>
          <w:spacing w:val="-4"/>
          <w:sz w:val="18"/>
          <w:u w:val="none"/>
        </w:rPr>
        <w:t> </w:t>
      </w:r>
      <w:r>
        <w:rPr>
          <w:sz w:val="18"/>
          <w:u w:val="none"/>
        </w:rPr>
        <w:t>question</w:t>
      </w:r>
      <w:r>
        <w:rPr>
          <w:spacing w:val="-4"/>
          <w:sz w:val="18"/>
          <w:u w:val="none"/>
        </w:rPr>
        <w:t> </w:t>
      </w:r>
      <w:r>
        <w:rPr>
          <w:sz w:val="18"/>
          <w:u w:val="none"/>
        </w:rPr>
        <w:t>about</w:t>
      </w:r>
    </w:p>
    <w:p>
      <w:pPr>
        <w:spacing w:before="1"/>
        <w:ind w:left="1287" w:right="1087" w:firstLine="0"/>
        <w:jc w:val="left"/>
        <w:rPr>
          <w:sz w:val="18"/>
        </w:rPr>
      </w:pPr>
      <w:r>
        <w:rPr>
          <w:sz w:val="18"/>
        </w:rPr>
        <w:t>extraditing</w:t>
      </w:r>
      <w:r>
        <w:rPr>
          <w:spacing w:val="-4"/>
          <w:sz w:val="18"/>
        </w:rPr>
        <w:t> </w:t>
      </w:r>
      <w:r>
        <w:rPr>
          <w:sz w:val="18"/>
        </w:rPr>
        <w:t>a</w:t>
      </w:r>
      <w:r>
        <w:rPr>
          <w:spacing w:val="-5"/>
          <w:sz w:val="18"/>
        </w:rPr>
        <w:t> </w:t>
      </w:r>
      <w:r>
        <w:rPr>
          <w:sz w:val="18"/>
        </w:rPr>
        <w:t>person</w:t>
      </w:r>
      <w:r>
        <w:rPr>
          <w:spacing w:val="-5"/>
          <w:sz w:val="18"/>
        </w:rPr>
        <w:t> </w:t>
      </w:r>
      <w:r>
        <w:rPr>
          <w:sz w:val="18"/>
        </w:rPr>
        <w:t>to</w:t>
      </w:r>
      <w:r>
        <w:rPr>
          <w:spacing w:val="-5"/>
          <w:sz w:val="18"/>
        </w:rPr>
        <w:t> </w:t>
      </w:r>
      <w:r>
        <w:rPr>
          <w:sz w:val="18"/>
        </w:rPr>
        <w:t>the</w:t>
      </w:r>
      <w:r>
        <w:rPr>
          <w:spacing w:val="-4"/>
          <w:sz w:val="18"/>
        </w:rPr>
        <w:t> </w:t>
      </w:r>
      <w:r>
        <w:rPr>
          <w:sz w:val="18"/>
        </w:rPr>
        <w:t>UK</w:t>
      </w:r>
      <w:r>
        <w:rPr>
          <w:spacing w:val="-5"/>
          <w:sz w:val="18"/>
        </w:rPr>
        <w:t> </w:t>
      </w:r>
      <w:r>
        <w:rPr>
          <w:sz w:val="18"/>
        </w:rPr>
        <w:t>to</w:t>
      </w:r>
      <w:r>
        <w:rPr>
          <w:spacing w:val="-5"/>
          <w:sz w:val="18"/>
        </w:rPr>
        <w:t> </w:t>
      </w:r>
      <w:r>
        <w:rPr>
          <w:sz w:val="18"/>
        </w:rPr>
        <w:t>the</w:t>
      </w:r>
      <w:r>
        <w:rPr>
          <w:spacing w:val="-4"/>
          <w:sz w:val="18"/>
        </w:rPr>
        <w:t> </w:t>
      </w:r>
      <w:r>
        <w:rPr>
          <w:sz w:val="18"/>
        </w:rPr>
        <w:t>Court</w:t>
      </w:r>
      <w:r>
        <w:rPr>
          <w:spacing w:val="-4"/>
          <w:sz w:val="18"/>
        </w:rPr>
        <w:t> </w:t>
      </w:r>
      <w:r>
        <w:rPr>
          <w:sz w:val="18"/>
        </w:rPr>
        <w:t>of</w:t>
      </w:r>
      <w:r>
        <w:rPr>
          <w:spacing w:val="-4"/>
          <w:sz w:val="18"/>
        </w:rPr>
        <w:t> </w:t>
      </w:r>
      <w:r>
        <w:rPr>
          <w:sz w:val="18"/>
        </w:rPr>
        <w:t>Justice;</w:t>
      </w:r>
      <w:r>
        <w:rPr>
          <w:spacing w:val="-5"/>
          <w:sz w:val="18"/>
        </w:rPr>
        <w:t> </w:t>
      </w:r>
      <w:r>
        <w:rPr>
          <w:sz w:val="18"/>
        </w:rPr>
        <w:t>the</w:t>
      </w:r>
      <w:r>
        <w:rPr>
          <w:spacing w:val="-4"/>
          <w:sz w:val="18"/>
        </w:rPr>
        <w:t> </w:t>
      </w:r>
      <w:r>
        <w:rPr>
          <w:sz w:val="18"/>
        </w:rPr>
        <w:t>Advocate</w:t>
      </w:r>
      <w:r>
        <w:rPr>
          <w:spacing w:val="-4"/>
          <w:sz w:val="18"/>
        </w:rPr>
        <w:t> </w:t>
      </w:r>
      <w:r>
        <w:rPr>
          <w:sz w:val="18"/>
        </w:rPr>
        <w:t>General</w:t>
      </w:r>
      <w:r>
        <w:rPr>
          <w:spacing w:val="-5"/>
          <w:sz w:val="18"/>
        </w:rPr>
        <w:t> </w:t>
      </w:r>
      <w:r>
        <w:rPr>
          <w:sz w:val="18"/>
        </w:rPr>
        <w:t>opinion</w:t>
      </w:r>
      <w:r>
        <w:rPr>
          <w:spacing w:val="-4"/>
          <w:sz w:val="18"/>
        </w:rPr>
        <w:t> </w:t>
      </w:r>
      <w:r>
        <w:rPr>
          <w:sz w:val="18"/>
        </w:rPr>
        <w:t>recommends</w:t>
      </w:r>
      <w:r>
        <w:rPr>
          <w:spacing w:val="-5"/>
          <w:sz w:val="18"/>
        </w:rPr>
        <w:t> </w:t>
      </w:r>
      <w:r>
        <w:rPr>
          <w:sz w:val="18"/>
        </w:rPr>
        <w:t>that</w:t>
      </w:r>
      <w:r>
        <w:rPr>
          <w:spacing w:val="-4"/>
          <w:sz w:val="18"/>
        </w:rPr>
        <w:t> </w:t>
      </w:r>
      <w:r>
        <w:rPr>
          <w:sz w:val="18"/>
        </w:rPr>
        <w:t>courts</w:t>
      </w:r>
      <w:r>
        <w:rPr>
          <w:spacing w:val="-5"/>
          <w:sz w:val="18"/>
        </w:rPr>
        <w:t> </w:t>
      </w:r>
      <w:r>
        <w:rPr>
          <w:sz w:val="18"/>
        </w:rPr>
        <w:t>could</w:t>
      </w:r>
      <w:r>
        <w:rPr>
          <w:spacing w:val="-4"/>
          <w:sz w:val="18"/>
        </w:rPr>
        <w:t> </w:t>
      </w:r>
      <w:r>
        <w:rPr>
          <w:sz w:val="18"/>
        </w:rPr>
        <w:t>decide in a specific case that extradition to the UK would breach Article 49 of the Charter of Fundamental Rights: </w:t>
      </w:r>
      <w:r>
        <w:rPr>
          <w:i/>
          <w:sz w:val="18"/>
        </w:rPr>
        <w:t>Minister for</w:t>
      </w:r>
      <w:r>
        <w:rPr>
          <w:i/>
          <w:sz w:val="18"/>
        </w:rPr>
        <w:t> Justice and Equality v MA </w:t>
      </w:r>
      <w:r>
        <w:rPr>
          <w:color w:val="1D71B8"/>
          <w:sz w:val="18"/>
          <w:u w:val="single" w:color="1D71B8"/>
        </w:rPr>
        <w:t>Opinion of Advocate General</w:t>
      </w:r>
      <w:r>
        <w:rPr>
          <w:color w:val="1D71B8"/>
          <w:sz w:val="18"/>
          <w:u w:val="none"/>
        </w:rPr>
        <w:t> </w:t>
      </w:r>
      <w:r>
        <w:rPr>
          <w:sz w:val="18"/>
          <w:u w:val="none"/>
        </w:rPr>
        <w:t>Case C-202/24.</w:t>
      </w:r>
    </w:p>
    <w:p>
      <w:pPr>
        <w:spacing w:after="0"/>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12096">
                <wp:simplePos x="0" y="0"/>
                <wp:positionH relativeFrom="page">
                  <wp:posOffset>-2</wp:posOffset>
                </wp:positionH>
                <wp:positionV relativeFrom="page">
                  <wp:posOffset>0</wp:posOffset>
                </wp:positionV>
                <wp:extent cx="7560309" cy="1784985"/>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7560309" cy="1784985"/>
                          <a:chExt cx="7560309" cy="1784985"/>
                        </a:xfrm>
                      </wpg:grpSpPr>
                      <wps:wsp>
                        <wps:cNvPr id="446" name="Graphic 446"/>
                        <wps:cNvSpPr/>
                        <wps:spPr>
                          <a:xfrm>
                            <a:off x="899996" y="972002"/>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447" name="Graphic 447"/>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448" name="Graphic 448"/>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449" name="Textbox 449"/>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450" name="Textbox 450"/>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47</w:t>
                              </w:r>
                            </w:p>
                          </w:txbxContent>
                        </wps:txbx>
                        <wps:bodyPr wrap="square" lIns="0" tIns="0" rIns="0" bIns="0" rtlCol="0">
                          <a:noAutofit/>
                        </wps:bodyPr>
                      </wps:wsp>
                      <wps:wsp>
                        <wps:cNvPr id="451" name="Textbox 451"/>
                        <wps:cNvSpPr txBox="1"/>
                        <wps:spPr>
                          <a:xfrm>
                            <a:off x="1116002" y="1080003"/>
                            <a:ext cx="5426075" cy="59690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the</w:t>
                              </w:r>
                              <w:r>
                                <w:rPr>
                                  <w:b/>
                                  <w:color w:val="164194"/>
                                  <w:spacing w:val="-6"/>
                                  <w:sz w:val="28"/>
                                </w:rPr>
                                <w:t> </w:t>
                              </w:r>
                              <w:r>
                                <w:rPr>
                                  <w:b/>
                                  <w:color w:val="164194"/>
                                  <w:sz w:val="28"/>
                                </w:rPr>
                                <w:t>UK</w:t>
                              </w:r>
                              <w:r>
                                <w:rPr>
                                  <w:b/>
                                  <w:color w:val="164194"/>
                                  <w:spacing w:val="-6"/>
                                  <w:sz w:val="28"/>
                                </w:rPr>
                                <w:t> </w:t>
                              </w:r>
                              <w:r>
                                <w:rPr>
                                  <w:b/>
                                  <w:color w:val="164194"/>
                                  <w:sz w:val="28"/>
                                </w:rPr>
                                <w:t>Government</w:t>
                              </w:r>
                              <w:r>
                                <w:rPr>
                                  <w:b/>
                                  <w:color w:val="164194"/>
                                  <w:spacing w:val="-6"/>
                                  <w:sz w:val="28"/>
                                </w:rPr>
                                <w:t> </w:t>
                              </w:r>
                              <w:r>
                                <w:rPr>
                                  <w:b/>
                                  <w:color w:val="164194"/>
                                  <w:sz w:val="28"/>
                                </w:rPr>
                                <w:t>introduce</w:t>
                              </w:r>
                              <w:r>
                                <w:rPr>
                                  <w:b/>
                                  <w:color w:val="164194"/>
                                  <w:spacing w:val="-7"/>
                                  <w:sz w:val="28"/>
                                </w:rPr>
                                <w:t> </w:t>
                              </w:r>
                              <w:r>
                                <w:rPr>
                                  <w:b/>
                                  <w:color w:val="164194"/>
                                  <w:sz w:val="28"/>
                                </w:rPr>
                                <w:t>legislation</w:t>
                              </w:r>
                              <w:r>
                                <w:rPr>
                                  <w:b/>
                                  <w:color w:val="164194"/>
                                  <w:spacing w:val="-5"/>
                                  <w:sz w:val="28"/>
                                </w:rPr>
                                <w:t> </w:t>
                              </w:r>
                              <w:r>
                                <w:rPr>
                                  <w:b/>
                                  <w:color w:val="164194"/>
                                  <w:sz w:val="28"/>
                                </w:rPr>
                                <w:t>to</w:t>
                              </w:r>
                              <w:r>
                                <w:rPr>
                                  <w:b/>
                                  <w:color w:val="164194"/>
                                  <w:spacing w:val="-6"/>
                                  <w:sz w:val="28"/>
                                </w:rPr>
                                <w:t> </w:t>
                              </w:r>
                              <w:r>
                                <w:rPr>
                                  <w:b/>
                                  <w:color w:val="164194"/>
                                  <w:spacing w:val="-2"/>
                                  <w:sz w:val="28"/>
                                </w:rPr>
                                <w:t>repeal</w:t>
                              </w:r>
                            </w:p>
                            <w:p>
                              <w:pPr>
                                <w:spacing w:line="232" w:lineRule="auto" w:before="0"/>
                                <w:ind w:left="0" w:right="0" w:firstLine="0"/>
                                <w:jc w:val="left"/>
                                <w:rPr>
                                  <w:b/>
                                  <w:sz w:val="28"/>
                                </w:rPr>
                              </w:pPr>
                              <w:r>
                                <w:rPr>
                                  <w:b/>
                                  <w:color w:val="164194"/>
                                  <w:sz w:val="28"/>
                                </w:rPr>
                                <w:t>the</w:t>
                              </w:r>
                              <w:r>
                                <w:rPr>
                                  <w:b/>
                                  <w:color w:val="164194"/>
                                  <w:spacing w:val="-6"/>
                                  <w:sz w:val="28"/>
                                </w:rPr>
                                <w:t> </w:t>
                              </w:r>
                              <w:r>
                                <w:rPr>
                                  <w:b/>
                                  <w:color w:val="164194"/>
                                  <w:sz w:val="28"/>
                                </w:rPr>
                                <w:t>Safety</w:t>
                              </w:r>
                              <w:r>
                                <w:rPr>
                                  <w:b/>
                                  <w:color w:val="164194"/>
                                  <w:spacing w:val="-5"/>
                                  <w:sz w:val="28"/>
                                </w:rPr>
                                <w:t> </w:t>
                              </w:r>
                              <w:r>
                                <w:rPr>
                                  <w:b/>
                                  <w:color w:val="164194"/>
                                  <w:sz w:val="28"/>
                                </w:rPr>
                                <w:t>of</w:t>
                              </w:r>
                              <w:r>
                                <w:rPr>
                                  <w:b/>
                                  <w:color w:val="164194"/>
                                  <w:spacing w:val="-6"/>
                                  <w:sz w:val="28"/>
                                </w:rPr>
                                <w:t> </w:t>
                              </w:r>
                              <w:r>
                                <w:rPr>
                                  <w:b/>
                                  <w:color w:val="164194"/>
                                  <w:sz w:val="28"/>
                                </w:rPr>
                                <w:t>Rwanda</w:t>
                              </w:r>
                              <w:r>
                                <w:rPr>
                                  <w:b/>
                                  <w:color w:val="164194"/>
                                  <w:spacing w:val="-5"/>
                                  <w:sz w:val="28"/>
                                </w:rPr>
                                <w:t> </w:t>
                              </w:r>
                              <w:r>
                                <w:rPr>
                                  <w:b/>
                                  <w:color w:val="164194"/>
                                  <w:sz w:val="28"/>
                                </w:rPr>
                                <w:t>Act</w:t>
                              </w:r>
                              <w:r>
                                <w:rPr>
                                  <w:b/>
                                  <w:color w:val="164194"/>
                                  <w:spacing w:val="-5"/>
                                  <w:sz w:val="28"/>
                                </w:rPr>
                                <w:t> </w:t>
                              </w:r>
                              <w:r>
                                <w:rPr>
                                  <w:b/>
                                  <w:color w:val="164194"/>
                                  <w:sz w:val="28"/>
                                </w:rPr>
                                <w:t>or</w:t>
                              </w:r>
                              <w:r>
                                <w:rPr>
                                  <w:b/>
                                  <w:color w:val="164194"/>
                                  <w:spacing w:val="-6"/>
                                  <w:sz w:val="28"/>
                                </w:rPr>
                                <w:t> </w:t>
                              </w:r>
                              <w:r>
                                <w:rPr>
                                  <w:b/>
                                  <w:color w:val="164194"/>
                                  <w:sz w:val="28"/>
                                </w:rPr>
                                <w:t>to</w:t>
                              </w:r>
                              <w:r>
                                <w:rPr>
                                  <w:b/>
                                  <w:color w:val="164194"/>
                                  <w:spacing w:val="-5"/>
                                  <w:sz w:val="28"/>
                                </w:rPr>
                                <w:t> </w:t>
                              </w:r>
                              <w:r>
                                <w:rPr>
                                  <w:b/>
                                  <w:color w:val="164194"/>
                                  <w:sz w:val="28"/>
                                </w:rPr>
                                <w:t>amend</w:t>
                              </w:r>
                              <w:r>
                                <w:rPr>
                                  <w:b/>
                                  <w:color w:val="164194"/>
                                  <w:spacing w:val="-5"/>
                                  <w:sz w:val="28"/>
                                </w:rPr>
                                <w:t> </w:t>
                              </w:r>
                              <w:r>
                                <w:rPr>
                                  <w:b/>
                                  <w:color w:val="164194"/>
                                  <w:sz w:val="28"/>
                                </w:rPr>
                                <w:t>it</w:t>
                              </w:r>
                              <w:r>
                                <w:rPr>
                                  <w:b/>
                                  <w:color w:val="164194"/>
                                  <w:spacing w:val="-5"/>
                                  <w:sz w:val="28"/>
                                </w:rPr>
                                <w:t> </w:t>
                              </w:r>
                              <w:r>
                                <w:rPr>
                                  <w:b/>
                                  <w:color w:val="164194"/>
                                  <w:sz w:val="28"/>
                                </w:rPr>
                                <w:t>to</w:t>
                              </w:r>
                              <w:r>
                                <w:rPr>
                                  <w:b/>
                                  <w:color w:val="164194"/>
                                  <w:spacing w:val="-5"/>
                                  <w:sz w:val="28"/>
                                </w:rPr>
                                <w:t> </w:t>
                              </w:r>
                              <w:r>
                                <w:rPr>
                                  <w:b/>
                                  <w:color w:val="164194"/>
                                  <w:sz w:val="28"/>
                                </w:rPr>
                                <w:t>remove</w:t>
                              </w:r>
                              <w:r>
                                <w:rPr>
                                  <w:b/>
                                  <w:color w:val="164194"/>
                                  <w:spacing w:val="-6"/>
                                  <w:sz w:val="28"/>
                                </w:rPr>
                                <w:t> </w:t>
                              </w:r>
                              <w:r>
                                <w:rPr>
                                  <w:b/>
                                  <w:color w:val="164194"/>
                                  <w:sz w:val="28"/>
                                </w:rPr>
                                <w:t>provisions</w:t>
                              </w:r>
                              <w:r>
                                <w:rPr>
                                  <w:b/>
                                  <w:color w:val="164194"/>
                                  <w:spacing w:val="-5"/>
                                  <w:sz w:val="28"/>
                                </w:rPr>
                                <w:t> </w:t>
                              </w:r>
                              <w:r>
                                <w:rPr>
                                  <w:b/>
                                  <w:color w:val="164194"/>
                                  <w:sz w:val="28"/>
                                </w:rPr>
                                <w:t>that</w:t>
                              </w:r>
                              <w:r>
                                <w:rPr>
                                  <w:b/>
                                  <w:color w:val="164194"/>
                                  <w:spacing w:val="-5"/>
                                  <w:sz w:val="28"/>
                                </w:rPr>
                                <w:t> </w:t>
                              </w:r>
                              <w:r>
                                <w:rPr>
                                  <w:b/>
                                  <w:color w:val="164194"/>
                                  <w:sz w:val="28"/>
                                </w:rPr>
                                <w:t>do</w:t>
                              </w:r>
                              <w:r>
                                <w:rPr>
                                  <w:b/>
                                  <w:color w:val="164194"/>
                                  <w:spacing w:val="-5"/>
                                  <w:sz w:val="28"/>
                                </w:rPr>
                                <w:t> </w:t>
                              </w:r>
                              <w:r>
                                <w:rPr>
                                  <w:b/>
                                  <w:color w:val="164194"/>
                                  <w:sz w:val="28"/>
                                </w:rPr>
                                <w:t>not comply with Article 2 WF or the Human Rights Act.</w:t>
                              </w:r>
                            </w:p>
                          </w:txbxContent>
                        </wps:txbx>
                        <wps:bodyPr wrap="square" lIns="0" tIns="0" rIns="0" bIns="0" rtlCol="0">
                          <a:noAutofit/>
                        </wps:bodyPr>
                      </wps:wsp>
                    </wpg:wgp>
                  </a:graphicData>
                </a:graphic>
              </wp:anchor>
            </w:drawing>
          </mc:Choice>
          <mc:Fallback>
            <w:pict>
              <v:group style="position:absolute;margin-left:-.000192pt;margin-top:-.00002pt;width:595.3pt;height:140.550pt;mso-position-horizontal-relative:page;mso-position-vertical-relative:page;z-index:15812096" id="docshapegroup353" coordorigin="0,0" coordsize="11906,2811">
                <v:shape style="position:absolute;left:1417;top:1530;width:9468;height:1281" id="docshape354" coordorigin="1417,1531" coordsize="9468,1281" path="m10658,1531l1644,1531,1572,1542,1510,1574,1461,1624,1429,1686,1417,1757,1417,2584,1429,2656,1461,2718,1510,2767,1572,2799,1644,2811,10658,2811,10730,2799,10792,2767,10841,2718,10873,2656,10885,2584,10885,1757,10873,1686,10841,1624,10792,1574,10730,1542,10658,1531xe" filled="true" fillcolor="#e9f3fc" stroked="false">
                  <v:path arrowok="t"/>
                  <v:fill type="solid"/>
                </v:shape>
                <v:shape style="position:absolute;left:0;top:0;width:11906;height:1819" id="docshape35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356"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357" filled="false" stroked="false">
                  <v:textbox inset="0,0,0,0">
                    <w:txbxContent>
                      <w:p>
                        <w:pPr>
                          <w:spacing w:line="280" w:lineRule="exact" w:before="0"/>
                          <w:ind w:left="0" w:right="0" w:firstLine="0"/>
                          <w:jc w:val="left"/>
                          <w:rPr>
                            <w:b/>
                            <w:sz w:val="28"/>
                          </w:rPr>
                        </w:pPr>
                        <w:r>
                          <w:rPr>
                            <w:b/>
                            <w:color w:val="FFFFFF"/>
                            <w:spacing w:val="-5"/>
                            <w:sz w:val="28"/>
                          </w:rPr>
                          <w:t>47</w:t>
                        </w:r>
                      </w:p>
                    </w:txbxContent>
                  </v:textbox>
                  <w10:wrap type="none"/>
                </v:shape>
                <v:shape style="position:absolute;left:1757;top:1700;width:8545;height:940" type="#_x0000_t202" id="docshape358" filled="false" stroked="false">
                  <v:textbox inset="0,0,0,0">
                    <w:txbxContent>
                      <w:p>
                        <w:pPr>
                          <w:spacing w:line="279" w:lineRule="exact" w:before="0"/>
                          <w:ind w:left="0" w:right="0"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the</w:t>
                        </w:r>
                        <w:r>
                          <w:rPr>
                            <w:b/>
                            <w:color w:val="164194"/>
                            <w:spacing w:val="-6"/>
                            <w:sz w:val="28"/>
                          </w:rPr>
                          <w:t> </w:t>
                        </w:r>
                        <w:r>
                          <w:rPr>
                            <w:b/>
                            <w:color w:val="164194"/>
                            <w:sz w:val="28"/>
                          </w:rPr>
                          <w:t>UK</w:t>
                        </w:r>
                        <w:r>
                          <w:rPr>
                            <w:b/>
                            <w:color w:val="164194"/>
                            <w:spacing w:val="-6"/>
                            <w:sz w:val="28"/>
                          </w:rPr>
                          <w:t> </w:t>
                        </w:r>
                        <w:r>
                          <w:rPr>
                            <w:b/>
                            <w:color w:val="164194"/>
                            <w:sz w:val="28"/>
                          </w:rPr>
                          <w:t>Government</w:t>
                        </w:r>
                        <w:r>
                          <w:rPr>
                            <w:b/>
                            <w:color w:val="164194"/>
                            <w:spacing w:val="-6"/>
                            <w:sz w:val="28"/>
                          </w:rPr>
                          <w:t> </w:t>
                        </w:r>
                        <w:r>
                          <w:rPr>
                            <w:b/>
                            <w:color w:val="164194"/>
                            <w:sz w:val="28"/>
                          </w:rPr>
                          <w:t>introduce</w:t>
                        </w:r>
                        <w:r>
                          <w:rPr>
                            <w:b/>
                            <w:color w:val="164194"/>
                            <w:spacing w:val="-7"/>
                            <w:sz w:val="28"/>
                          </w:rPr>
                          <w:t> </w:t>
                        </w:r>
                        <w:r>
                          <w:rPr>
                            <w:b/>
                            <w:color w:val="164194"/>
                            <w:sz w:val="28"/>
                          </w:rPr>
                          <w:t>legislation</w:t>
                        </w:r>
                        <w:r>
                          <w:rPr>
                            <w:b/>
                            <w:color w:val="164194"/>
                            <w:spacing w:val="-5"/>
                            <w:sz w:val="28"/>
                          </w:rPr>
                          <w:t> </w:t>
                        </w:r>
                        <w:r>
                          <w:rPr>
                            <w:b/>
                            <w:color w:val="164194"/>
                            <w:sz w:val="28"/>
                          </w:rPr>
                          <w:t>to</w:t>
                        </w:r>
                        <w:r>
                          <w:rPr>
                            <w:b/>
                            <w:color w:val="164194"/>
                            <w:spacing w:val="-6"/>
                            <w:sz w:val="28"/>
                          </w:rPr>
                          <w:t> </w:t>
                        </w:r>
                        <w:r>
                          <w:rPr>
                            <w:b/>
                            <w:color w:val="164194"/>
                            <w:spacing w:val="-2"/>
                            <w:sz w:val="28"/>
                          </w:rPr>
                          <w:t>repeal</w:t>
                        </w:r>
                      </w:p>
                      <w:p>
                        <w:pPr>
                          <w:spacing w:line="232" w:lineRule="auto" w:before="0"/>
                          <w:ind w:left="0" w:right="0" w:firstLine="0"/>
                          <w:jc w:val="left"/>
                          <w:rPr>
                            <w:b/>
                            <w:sz w:val="28"/>
                          </w:rPr>
                        </w:pPr>
                        <w:r>
                          <w:rPr>
                            <w:b/>
                            <w:color w:val="164194"/>
                            <w:sz w:val="28"/>
                          </w:rPr>
                          <w:t>the</w:t>
                        </w:r>
                        <w:r>
                          <w:rPr>
                            <w:b/>
                            <w:color w:val="164194"/>
                            <w:spacing w:val="-6"/>
                            <w:sz w:val="28"/>
                          </w:rPr>
                          <w:t> </w:t>
                        </w:r>
                        <w:r>
                          <w:rPr>
                            <w:b/>
                            <w:color w:val="164194"/>
                            <w:sz w:val="28"/>
                          </w:rPr>
                          <w:t>Safety</w:t>
                        </w:r>
                        <w:r>
                          <w:rPr>
                            <w:b/>
                            <w:color w:val="164194"/>
                            <w:spacing w:val="-5"/>
                            <w:sz w:val="28"/>
                          </w:rPr>
                          <w:t> </w:t>
                        </w:r>
                        <w:r>
                          <w:rPr>
                            <w:b/>
                            <w:color w:val="164194"/>
                            <w:sz w:val="28"/>
                          </w:rPr>
                          <w:t>of</w:t>
                        </w:r>
                        <w:r>
                          <w:rPr>
                            <w:b/>
                            <w:color w:val="164194"/>
                            <w:spacing w:val="-6"/>
                            <w:sz w:val="28"/>
                          </w:rPr>
                          <w:t> </w:t>
                        </w:r>
                        <w:r>
                          <w:rPr>
                            <w:b/>
                            <w:color w:val="164194"/>
                            <w:sz w:val="28"/>
                          </w:rPr>
                          <w:t>Rwanda</w:t>
                        </w:r>
                        <w:r>
                          <w:rPr>
                            <w:b/>
                            <w:color w:val="164194"/>
                            <w:spacing w:val="-5"/>
                            <w:sz w:val="28"/>
                          </w:rPr>
                          <w:t> </w:t>
                        </w:r>
                        <w:r>
                          <w:rPr>
                            <w:b/>
                            <w:color w:val="164194"/>
                            <w:sz w:val="28"/>
                          </w:rPr>
                          <w:t>Act</w:t>
                        </w:r>
                        <w:r>
                          <w:rPr>
                            <w:b/>
                            <w:color w:val="164194"/>
                            <w:spacing w:val="-5"/>
                            <w:sz w:val="28"/>
                          </w:rPr>
                          <w:t> </w:t>
                        </w:r>
                        <w:r>
                          <w:rPr>
                            <w:b/>
                            <w:color w:val="164194"/>
                            <w:sz w:val="28"/>
                          </w:rPr>
                          <w:t>or</w:t>
                        </w:r>
                        <w:r>
                          <w:rPr>
                            <w:b/>
                            <w:color w:val="164194"/>
                            <w:spacing w:val="-6"/>
                            <w:sz w:val="28"/>
                          </w:rPr>
                          <w:t> </w:t>
                        </w:r>
                        <w:r>
                          <w:rPr>
                            <w:b/>
                            <w:color w:val="164194"/>
                            <w:sz w:val="28"/>
                          </w:rPr>
                          <w:t>to</w:t>
                        </w:r>
                        <w:r>
                          <w:rPr>
                            <w:b/>
                            <w:color w:val="164194"/>
                            <w:spacing w:val="-5"/>
                            <w:sz w:val="28"/>
                          </w:rPr>
                          <w:t> </w:t>
                        </w:r>
                        <w:r>
                          <w:rPr>
                            <w:b/>
                            <w:color w:val="164194"/>
                            <w:sz w:val="28"/>
                          </w:rPr>
                          <w:t>amend</w:t>
                        </w:r>
                        <w:r>
                          <w:rPr>
                            <w:b/>
                            <w:color w:val="164194"/>
                            <w:spacing w:val="-5"/>
                            <w:sz w:val="28"/>
                          </w:rPr>
                          <w:t> </w:t>
                        </w:r>
                        <w:r>
                          <w:rPr>
                            <w:b/>
                            <w:color w:val="164194"/>
                            <w:sz w:val="28"/>
                          </w:rPr>
                          <w:t>it</w:t>
                        </w:r>
                        <w:r>
                          <w:rPr>
                            <w:b/>
                            <w:color w:val="164194"/>
                            <w:spacing w:val="-5"/>
                            <w:sz w:val="28"/>
                          </w:rPr>
                          <w:t> </w:t>
                        </w:r>
                        <w:r>
                          <w:rPr>
                            <w:b/>
                            <w:color w:val="164194"/>
                            <w:sz w:val="28"/>
                          </w:rPr>
                          <w:t>to</w:t>
                        </w:r>
                        <w:r>
                          <w:rPr>
                            <w:b/>
                            <w:color w:val="164194"/>
                            <w:spacing w:val="-5"/>
                            <w:sz w:val="28"/>
                          </w:rPr>
                          <w:t> </w:t>
                        </w:r>
                        <w:r>
                          <w:rPr>
                            <w:b/>
                            <w:color w:val="164194"/>
                            <w:sz w:val="28"/>
                          </w:rPr>
                          <w:t>remove</w:t>
                        </w:r>
                        <w:r>
                          <w:rPr>
                            <w:b/>
                            <w:color w:val="164194"/>
                            <w:spacing w:val="-6"/>
                            <w:sz w:val="28"/>
                          </w:rPr>
                          <w:t> </w:t>
                        </w:r>
                        <w:r>
                          <w:rPr>
                            <w:b/>
                            <w:color w:val="164194"/>
                            <w:sz w:val="28"/>
                          </w:rPr>
                          <w:t>provisions</w:t>
                        </w:r>
                        <w:r>
                          <w:rPr>
                            <w:b/>
                            <w:color w:val="164194"/>
                            <w:spacing w:val="-5"/>
                            <w:sz w:val="28"/>
                          </w:rPr>
                          <w:t> </w:t>
                        </w:r>
                        <w:r>
                          <w:rPr>
                            <w:b/>
                            <w:color w:val="164194"/>
                            <w:sz w:val="28"/>
                          </w:rPr>
                          <w:t>that</w:t>
                        </w:r>
                        <w:r>
                          <w:rPr>
                            <w:b/>
                            <w:color w:val="164194"/>
                            <w:spacing w:val="-5"/>
                            <w:sz w:val="28"/>
                          </w:rPr>
                          <w:t> </w:t>
                        </w:r>
                        <w:r>
                          <w:rPr>
                            <w:b/>
                            <w:color w:val="164194"/>
                            <w:sz w:val="28"/>
                          </w:rPr>
                          <w:t>do</w:t>
                        </w:r>
                        <w:r>
                          <w:rPr>
                            <w:b/>
                            <w:color w:val="164194"/>
                            <w:spacing w:val="-5"/>
                            <w:sz w:val="28"/>
                          </w:rPr>
                          <w:t> </w:t>
                        </w:r>
                        <w:r>
                          <w:rPr>
                            <w:b/>
                            <w:color w:val="164194"/>
                            <w:sz w:val="28"/>
                          </w:rPr>
                          <w:t>not comply with Article 2 WF or the Human Rights Act.</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0"/>
      </w:pPr>
    </w:p>
    <w:p>
      <w:pPr>
        <w:pStyle w:val="Heading3"/>
        <w:numPr>
          <w:ilvl w:val="2"/>
          <w:numId w:val="19"/>
        </w:numPr>
        <w:tabs>
          <w:tab w:pos="1755" w:val="left" w:leader="none"/>
        </w:tabs>
        <w:spacing w:line="336" w:lineRule="exact" w:before="0" w:after="0"/>
        <w:ind w:left="1755" w:right="0" w:hanging="638"/>
        <w:jc w:val="left"/>
      </w:pPr>
      <w:bookmarkStart w:name="2.3.7 Northern Ireland Troubles (Legacy " w:id="66"/>
      <w:bookmarkEnd w:id="66"/>
      <w:r>
        <w:rPr>
          <w:b w:val="0"/>
        </w:rPr>
      </w:r>
      <w:bookmarkStart w:name="_bookmark27" w:id="67"/>
      <w:bookmarkEnd w:id="67"/>
      <w:r>
        <w:rPr>
          <w:b w:val="0"/>
        </w:rPr>
      </w:r>
      <w:r>
        <w:rPr>
          <w:color w:val="004A93"/>
        </w:rPr>
        <w:t>Northern</w:t>
      </w:r>
      <w:r>
        <w:rPr>
          <w:color w:val="004A93"/>
          <w:spacing w:val="-8"/>
        </w:rPr>
        <w:t> </w:t>
      </w:r>
      <w:r>
        <w:rPr>
          <w:color w:val="004A93"/>
        </w:rPr>
        <w:t>Ireland</w:t>
      </w:r>
      <w:r>
        <w:rPr>
          <w:color w:val="004A93"/>
          <w:spacing w:val="-7"/>
        </w:rPr>
        <w:t> </w:t>
      </w:r>
      <w:r>
        <w:rPr>
          <w:color w:val="004A93"/>
        </w:rPr>
        <w:t>Troubles</w:t>
      </w:r>
      <w:r>
        <w:rPr>
          <w:color w:val="004A93"/>
          <w:spacing w:val="-7"/>
        </w:rPr>
        <w:t> </w:t>
      </w:r>
      <w:r>
        <w:rPr>
          <w:color w:val="004A93"/>
        </w:rPr>
        <w:t>(Legacy</w:t>
      </w:r>
      <w:r>
        <w:rPr>
          <w:color w:val="004A93"/>
          <w:spacing w:val="-7"/>
        </w:rPr>
        <w:t> </w:t>
      </w:r>
      <w:r>
        <w:rPr>
          <w:color w:val="004A93"/>
        </w:rPr>
        <w:t>and</w:t>
      </w:r>
      <w:r>
        <w:rPr>
          <w:color w:val="004A93"/>
          <w:spacing w:val="-8"/>
        </w:rPr>
        <w:t> </w:t>
      </w:r>
      <w:r>
        <w:rPr>
          <w:color w:val="004A93"/>
        </w:rPr>
        <w:t>Reconciliation)</w:t>
      </w:r>
      <w:r>
        <w:rPr>
          <w:color w:val="004A93"/>
          <w:spacing w:val="-7"/>
        </w:rPr>
        <w:t> </w:t>
      </w:r>
      <w:r>
        <w:rPr>
          <w:color w:val="004A93"/>
        </w:rPr>
        <w:t>Act</w:t>
      </w:r>
      <w:r>
        <w:rPr>
          <w:color w:val="004A93"/>
          <w:spacing w:val="-7"/>
        </w:rPr>
        <w:t> </w:t>
      </w:r>
      <w:r>
        <w:rPr>
          <w:color w:val="004A93"/>
          <w:spacing w:val="-4"/>
        </w:rPr>
        <w:t>2023</w:t>
      </w:r>
    </w:p>
    <w:p>
      <w:pPr>
        <w:pStyle w:val="BodyText"/>
        <w:spacing w:line="232" w:lineRule="auto" w:before="2"/>
        <w:ind w:left="1117" w:right="1227"/>
      </w:pPr>
      <w:r>
        <w:rPr/>
        <w:t>The Northern Ireland Troubles (Legacy and Reconciliation) Act 2023 (the</w:t>
      </w:r>
      <w:r>
        <w:rPr/>
        <w:t> Legacy Act)</w:t>
      </w:r>
      <w:r>
        <w:rPr>
          <w:vertAlign w:val="superscript"/>
        </w:rPr>
        <w:t>243</w:t>
      </w:r>
      <w:r>
        <w:rPr>
          <w:vertAlign w:val="baseline"/>
        </w:rPr>
        <w:t> has been controversial. The Legacy Act is the UK Government approach</w:t>
      </w:r>
      <w:r>
        <w:rPr>
          <w:spacing w:val="-7"/>
          <w:vertAlign w:val="baseline"/>
        </w:rPr>
        <w:t> </w:t>
      </w:r>
      <w:r>
        <w:rPr>
          <w:vertAlign w:val="baseline"/>
        </w:rPr>
        <w:t>to</w:t>
      </w:r>
      <w:r>
        <w:rPr>
          <w:spacing w:val="-7"/>
          <w:vertAlign w:val="baseline"/>
        </w:rPr>
        <w:t> </w:t>
      </w:r>
      <w:r>
        <w:rPr>
          <w:vertAlign w:val="baseline"/>
        </w:rPr>
        <w:t>dealing</w:t>
      </w:r>
      <w:r>
        <w:rPr>
          <w:spacing w:val="-6"/>
          <w:vertAlign w:val="baseline"/>
        </w:rPr>
        <w:t> </w:t>
      </w:r>
      <w:r>
        <w:rPr>
          <w:vertAlign w:val="baseline"/>
        </w:rPr>
        <w:t>with</w:t>
      </w:r>
      <w:r>
        <w:rPr>
          <w:spacing w:val="-7"/>
          <w:vertAlign w:val="baseline"/>
        </w:rPr>
        <w:t> </w:t>
      </w:r>
      <w:r>
        <w:rPr>
          <w:vertAlign w:val="baseline"/>
        </w:rPr>
        <w:t>the</w:t>
      </w:r>
      <w:r>
        <w:rPr>
          <w:spacing w:val="-6"/>
          <w:vertAlign w:val="baseline"/>
        </w:rPr>
        <w:t> </w:t>
      </w:r>
      <w:r>
        <w:rPr>
          <w:vertAlign w:val="baseline"/>
        </w:rPr>
        <w:t>legacy</w:t>
      </w:r>
      <w:r>
        <w:rPr>
          <w:spacing w:val="-6"/>
          <w:vertAlign w:val="baseline"/>
        </w:rPr>
        <w:t> </w:t>
      </w:r>
      <w:r>
        <w:rPr>
          <w:vertAlign w:val="baseline"/>
        </w:rPr>
        <w:t>of</w:t>
      </w:r>
      <w:r>
        <w:rPr>
          <w:spacing w:val="-7"/>
          <w:vertAlign w:val="baseline"/>
        </w:rPr>
        <w:t> </w:t>
      </w:r>
      <w:r>
        <w:rPr>
          <w:vertAlign w:val="baseline"/>
        </w:rPr>
        <w:t>conflict-related</w:t>
      </w:r>
      <w:r>
        <w:rPr>
          <w:spacing w:val="-7"/>
          <w:vertAlign w:val="baseline"/>
        </w:rPr>
        <w:t> </w:t>
      </w:r>
      <w:r>
        <w:rPr>
          <w:vertAlign w:val="baseline"/>
        </w:rPr>
        <w:t>crimes.</w:t>
      </w:r>
      <w:r>
        <w:rPr>
          <w:spacing w:val="-7"/>
          <w:vertAlign w:val="baseline"/>
        </w:rPr>
        <w:t> </w:t>
      </w:r>
      <w:r>
        <w:rPr>
          <w:vertAlign w:val="baseline"/>
        </w:rPr>
        <w:t>It</w:t>
      </w:r>
      <w:r>
        <w:rPr>
          <w:spacing w:val="-6"/>
          <w:vertAlign w:val="baseline"/>
        </w:rPr>
        <w:t> </w:t>
      </w:r>
      <w:r>
        <w:rPr>
          <w:vertAlign w:val="baseline"/>
        </w:rPr>
        <w:t>dispenses</w:t>
      </w:r>
      <w:r>
        <w:rPr>
          <w:spacing w:val="-7"/>
          <w:vertAlign w:val="baseline"/>
        </w:rPr>
        <w:t> </w:t>
      </w:r>
      <w:r>
        <w:rPr>
          <w:vertAlign w:val="baseline"/>
        </w:rPr>
        <w:t>with significant</w:t>
      </w:r>
      <w:r>
        <w:rPr>
          <w:spacing w:val="-4"/>
          <w:vertAlign w:val="baseline"/>
        </w:rPr>
        <w:t> </w:t>
      </w:r>
      <w:r>
        <w:rPr>
          <w:vertAlign w:val="baseline"/>
        </w:rPr>
        <w:t>elements</w:t>
      </w:r>
      <w:r>
        <w:rPr>
          <w:spacing w:val="-5"/>
          <w:vertAlign w:val="baseline"/>
        </w:rPr>
        <w:t> </w:t>
      </w:r>
      <w:r>
        <w:rPr>
          <w:vertAlign w:val="baseline"/>
        </w:rPr>
        <w:t>of</w:t>
      </w:r>
      <w:r>
        <w:rPr>
          <w:spacing w:val="-5"/>
          <w:vertAlign w:val="baseline"/>
        </w:rPr>
        <w:t> </w:t>
      </w:r>
      <w:r>
        <w:rPr>
          <w:vertAlign w:val="baseline"/>
        </w:rPr>
        <w:t>the</w:t>
      </w:r>
      <w:r>
        <w:rPr>
          <w:spacing w:val="-4"/>
          <w:vertAlign w:val="baseline"/>
        </w:rPr>
        <w:t> </w:t>
      </w:r>
      <w:r>
        <w:rPr>
          <w:vertAlign w:val="baseline"/>
        </w:rPr>
        <w:t>approach</w:t>
      </w:r>
      <w:r>
        <w:rPr>
          <w:spacing w:val="-5"/>
          <w:vertAlign w:val="baseline"/>
        </w:rPr>
        <w:t> </w:t>
      </w:r>
      <w:r>
        <w:rPr>
          <w:vertAlign w:val="baseline"/>
        </w:rPr>
        <w:t>agreed</w:t>
      </w:r>
      <w:r>
        <w:rPr>
          <w:spacing w:val="-5"/>
          <w:vertAlign w:val="baseline"/>
        </w:rPr>
        <w:t> </w:t>
      </w:r>
      <w:r>
        <w:rPr>
          <w:vertAlign w:val="baseline"/>
        </w:rPr>
        <w:t>in</w:t>
      </w:r>
      <w:r>
        <w:rPr>
          <w:spacing w:val="-5"/>
          <w:vertAlign w:val="baseline"/>
        </w:rPr>
        <w:t> </w:t>
      </w:r>
      <w:r>
        <w:rPr>
          <w:vertAlign w:val="baseline"/>
        </w:rPr>
        <w:t>the</w:t>
      </w:r>
      <w:r>
        <w:rPr>
          <w:spacing w:val="-4"/>
          <w:vertAlign w:val="baseline"/>
        </w:rPr>
        <w:t> </w:t>
      </w:r>
      <w:r>
        <w:rPr>
          <w:vertAlign w:val="baseline"/>
        </w:rPr>
        <w:t>Stormont</w:t>
      </w:r>
      <w:r>
        <w:rPr>
          <w:spacing w:val="-4"/>
          <w:vertAlign w:val="baseline"/>
        </w:rPr>
        <w:t> </w:t>
      </w:r>
      <w:r>
        <w:rPr>
          <w:vertAlign w:val="baseline"/>
        </w:rPr>
        <w:t>House</w:t>
      </w:r>
      <w:r>
        <w:rPr>
          <w:spacing w:val="-4"/>
          <w:vertAlign w:val="baseline"/>
        </w:rPr>
        <w:t> </w:t>
      </w:r>
      <w:r>
        <w:rPr>
          <w:vertAlign w:val="baseline"/>
        </w:rPr>
        <w:t>Agreement and has attracted widespread criticism from Northern Ireland political parties and civil society. The Joint Committee on Human Rights produced a report</w:t>
      </w:r>
    </w:p>
    <w:p>
      <w:pPr>
        <w:pStyle w:val="BodyText"/>
        <w:spacing w:line="232" w:lineRule="auto"/>
        <w:ind w:left="1117" w:right="1404"/>
      </w:pPr>
      <w:r>
        <w:rPr/>
        <w:t>on</w:t>
      </w:r>
      <w:r>
        <w:rPr>
          <w:spacing w:val="-4"/>
        </w:rPr>
        <w:t> </w:t>
      </w:r>
      <w:r>
        <w:rPr/>
        <w:t>the</w:t>
      </w:r>
      <w:r>
        <w:rPr>
          <w:spacing w:val="-3"/>
        </w:rPr>
        <w:t> </w:t>
      </w:r>
      <w:r>
        <w:rPr/>
        <w:t>Bill</w:t>
      </w:r>
      <w:r>
        <w:rPr>
          <w:spacing w:val="-4"/>
        </w:rPr>
        <w:t> </w:t>
      </w:r>
      <w:r>
        <w:rPr/>
        <w:t>which</w:t>
      </w:r>
      <w:r>
        <w:rPr>
          <w:spacing w:val="-4"/>
        </w:rPr>
        <w:t> </w:t>
      </w:r>
      <w:r>
        <w:rPr/>
        <w:t>agreed</w:t>
      </w:r>
      <w:r>
        <w:rPr>
          <w:spacing w:val="-4"/>
        </w:rPr>
        <w:t> </w:t>
      </w:r>
      <w:r>
        <w:rPr/>
        <w:t>with</w:t>
      </w:r>
      <w:r>
        <w:rPr>
          <w:spacing w:val="-4"/>
        </w:rPr>
        <w:t> </w:t>
      </w:r>
      <w:r>
        <w:rPr/>
        <w:t>the</w:t>
      </w:r>
      <w:r>
        <w:rPr>
          <w:spacing w:val="-3"/>
        </w:rPr>
        <w:t> </w:t>
      </w:r>
      <w:r>
        <w:rPr/>
        <w:t>assessment</w:t>
      </w:r>
      <w:r>
        <w:rPr>
          <w:spacing w:val="-3"/>
        </w:rPr>
        <w:t> </w:t>
      </w:r>
      <w:r>
        <w:rPr/>
        <w:t>of</w:t>
      </w:r>
      <w:r>
        <w:rPr>
          <w:spacing w:val="-4"/>
        </w:rPr>
        <w:t> </w:t>
      </w:r>
      <w:r>
        <w:rPr/>
        <w:t>numerous</w:t>
      </w:r>
      <w:r>
        <w:rPr>
          <w:spacing w:val="-4"/>
        </w:rPr>
        <w:t> </w:t>
      </w:r>
      <w:r>
        <w:rPr/>
        <w:t>stakeholders</w:t>
      </w:r>
      <w:r>
        <w:rPr>
          <w:spacing w:val="-4"/>
        </w:rPr>
        <w:t> </w:t>
      </w:r>
      <w:r>
        <w:rPr/>
        <w:t>that the</w:t>
      </w:r>
      <w:r>
        <w:rPr>
          <w:spacing w:val="-4"/>
        </w:rPr>
        <w:t> </w:t>
      </w:r>
      <w:r>
        <w:rPr/>
        <w:t>Bill</w:t>
      </w:r>
      <w:r>
        <w:rPr>
          <w:spacing w:val="-5"/>
        </w:rPr>
        <w:t> </w:t>
      </w:r>
      <w:r>
        <w:rPr/>
        <w:t>had</w:t>
      </w:r>
      <w:r>
        <w:rPr>
          <w:spacing w:val="-5"/>
        </w:rPr>
        <w:t> </w:t>
      </w:r>
      <w:r>
        <w:rPr/>
        <w:t>multiple</w:t>
      </w:r>
      <w:r>
        <w:rPr>
          <w:spacing w:val="-4"/>
        </w:rPr>
        <w:t> </w:t>
      </w:r>
      <w:r>
        <w:rPr/>
        <w:t>serious</w:t>
      </w:r>
      <w:r>
        <w:rPr>
          <w:spacing w:val="-5"/>
        </w:rPr>
        <w:t> </w:t>
      </w:r>
      <w:r>
        <w:rPr/>
        <w:t>flaws,</w:t>
      </w:r>
      <w:r>
        <w:rPr>
          <w:spacing w:val="-4"/>
        </w:rPr>
        <w:t> </w:t>
      </w:r>
      <w:r>
        <w:rPr/>
        <w:t>undermined</w:t>
      </w:r>
      <w:r>
        <w:rPr>
          <w:spacing w:val="-5"/>
        </w:rPr>
        <w:t> </w:t>
      </w:r>
      <w:r>
        <w:rPr/>
        <w:t>the</w:t>
      </w:r>
      <w:r>
        <w:rPr>
          <w:spacing w:val="-4"/>
        </w:rPr>
        <w:t> </w:t>
      </w:r>
      <w:r>
        <w:rPr/>
        <w:t>rule</w:t>
      </w:r>
      <w:r>
        <w:rPr>
          <w:spacing w:val="-4"/>
        </w:rPr>
        <w:t> </w:t>
      </w:r>
      <w:r>
        <w:rPr/>
        <w:t>of</w:t>
      </w:r>
      <w:r>
        <w:rPr>
          <w:spacing w:val="-5"/>
        </w:rPr>
        <w:t> </w:t>
      </w:r>
      <w:r>
        <w:rPr/>
        <w:t>law</w:t>
      </w:r>
      <w:r>
        <w:rPr>
          <w:spacing w:val="-4"/>
        </w:rPr>
        <w:t> </w:t>
      </w:r>
      <w:r>
        <w:rPr/>
        <w:t>and</w:t>
      </w:r>
      <w:r>
        <w:rPr>
          <w:spacing w:val="-5"/>
        </w:rPr>
        <w:t> </w:t>
      </w:r>
      <w:r>
        <w:rPr/>
        <w:t>was</w:t>
      </w:r>
      <w:r>
        <w:rPr>
          <w:spacing w:val="-5"/>
        </w:rPr>
        <w:t> </w:t>
      </w:r>
      <w:r>
        <w:rPr/>
        <w:t>likely incompatible with ECHR rights including the right to life and freedom from torture, inhuman and degrading treatment.</w:t>
      </w:r>
      <w:r>
        <w:rPr>
          <w:vertAlign w:val="superscript"/>
        </w:rPr>
        <w:t>244</w:t>
      </w:r>
      <w:r>
        <w:rPr>
          <w:vertAlign w:val="baseline"/>
        </w:rPr>
        <w:t> Some aspects of the Bill were modified in an attempt to deal with some of these criticisms, though it is far from clear the amendments resolve all these issues.</w:t>
      </w:r>
    </w:p>
    <w:p>
      <w:pPr>
        <w:pStyle w:val="BodyText"/>
        <w:spacing w:line="232" w:lineRule="auto" w:before="265"/>
        <w:ind w:left="1117" w:right="1250"/>
      </w:pPr>
      <w:r>
        <w:rPr/>
        <w:t>The Legacy Act creates an Independent Commission for Reconciliation and Information Recovery (ICRIR). The ICRIR can carry out reviews into deaths and other</w:t>
      </w:r>
      <w:r>
        <w:rPr>
          <w:spacing w:val="-5"/>
        </w:rPr>
        <w:t> </w:t>
      </w:r>
      <w:r>
        <w:rPr/>
        <w:t>harmful</w:t>
      </w:r>
      <w:r>
        <w:rPr>
          <w:spacing w:val="-6"/>
        </w:rPr>
        <w:t> </w:t>
      </w:r>
      <w:r>
        <w:rPr/>
        <w:t>conduct</w:t>
      </w:r>
      <w:r>
        <w:rPr>
          <w:spacing w:val="-5"/>
        </w:rPr>
        <w:t> </w:t>
      </w:r>
      <w:r>
        <w:rPr/>
        <w:t>committed</w:t>
      </w:r>
      <w:r>
        <w:rPr>
          <w:spacing w:val="-6"/>
        </w:rPr>
        <w:t> </w:t>
      </w:r>
      <w:r>
        <w:rPr/>
        <w:t>during</w:t>
      </w:r>
      <w:r>
        <w:rPr>
          <w:spacing w:val="-5"/>
        </w:rPr>
        <w:t> </w:t>
      </w:r>
      <w:r>
        <w:rPr/>
        <w:t>the</w:t>
      </w:r>
      <w:r>
        <w:rPr>
          <w:spacing w:val="-5"/>
        </w:rPr>
        <w:t> </w:t>
      </w:r>
      <w:r>
        <w:rPr/>
        <w:t>conflict.</w:t>
      </w:r>
      <w:r>
        <w:rPr>
          <w:spacing w:val="-6"/>
        </w:rPr>
        <w:t> </w:t>
      </w:r>
      <w:r>
        <w:rPr/>
        <w:t>On</w:t>
      </w:r>
      <w:r>
        <w:rPr>
          <w:spacing w:val="-6"/>
        </w:rPr>
        <w:t> </w:t>
      </w:r>
      <w:r>
        <w:rPr/>
        <w:t>foot</w:t>
      </w:r>
      <w:r>
        <w:rPr>
          <w:spacing w:val="-5"/>
        </w:rPr>
        <w:t> </w:t>
      </w:r>
      <w:r>
        <w:rPr/>
        <w:t>of</w:t>
      </w:r>
      <w:r>
        <w:rPr>
          <w:spacing w:val="-6"/>
        </w:rPr>
        <w:t> </w:t>
      </w:r>
      <w:r>
        <w:rPr/>
        <w:t>such</w:t>
      </w:r>
      <w:r>
        <w:rPr>
          <w:spacing w:val="-6"/>
        </w:rPr>
        <w:t> </w:t>
      </w:r>
      <w:r>
        <w:rPr/>
        <w:t>a</w:t>
      </w:r>
      <w:r>
        <w:rPr>
          <w:spacing w:val="-6"/>
        </w:rPr>
        <w:t> </w:t>
      </w:r>
      <w:r>
        <w:rPr/>
        <w:t>review the</w:t>
      </w:r>
      <w:r>
        <w:rPr>
          <w:spacing w:val="-10"/>
        </w:rPr>
        <w:t> </w:t>
      </w:r>
      <w:r>
        <w:rPr/>
        <w:t>ICRIR</w:t>
      </w:r>
      <w:r>
        <w:rPr>
          <w:spacing w:val="-11"/>
        </w:rPr>
        <w:t> </w:t>
      </w:r>
      <w:r>
        <w:rPr/>
        <w:t>may</w:t>
      </w:r>
      <w:r>
        <w:rPr>
          <w:spacing w:val="-10"/>
        </w:rPr>
        <w:t> </w:t>
      </w:r>
      <w:r>
        <w:rPr/>
        <w:t>refer</w:t>
      </w:r>
      <w:r>
        <w:rPr>
          <w:spacing w:val="-10"/>
        </w:rPr>
        <w:t> </w:t>
      </w:r>
      <w:r>
        <w:rPr/>
        <w:t>the</w:t>
      </w:r>
      <w:r>
        <w:rPr>
          <w:spacing w:val="-10"/>
        </w:rPr>
        <w:t> </w:t>
      </w:r>
      <w:r>
        <w:rPr/>
        <w:t>matter</w:t>
      </w:r>
      <w:r>
        <w:rPr>
          <w:spacing w:val="-10"/>
        </w:rPr>
        <w:t> </w:t>
      </w:r>
      <w:r>
        <w:rPr/>
        <w:t>to</w:t>
      </w:r>
      <w:r>
        <w:rPr>
          <w:spacing w:val="-11"/>
        </w:rPr>
        <w:t> </w:t>
      </w:r>
      <w:r>
        <w:rPr/>
        <w:t>the</w:t>
      </w:r>
      <w:r>
        <w:rPr>
          <w:spacing w:val="-10"/>
        </w:rPr>
        <w:t> </w:t>
      </w:r>
      <w:r>
        <w:rPr/>
        <w:t>relevant</w:t>
      </w:r>
      <w:r>
        <w:rPr>
          <w:spacing w:val="-10"/>
        </w:rPr>
        <w:t> </w:t>
      </w:r>
      <w:r>
        <w:rPr/>
        <w:t>prosecution</w:t>
      </w:r>
      <w:r>
        <w:rPr>
          <w:spacing w:val="-11"/>
        </w:rPr>
        <w:t> </w:t>
      </w:r>
      <w:r>
        <w:rPr/>
        <w:t>authorities.</w:t>
      </w:r>
      <w:r>
        <w:rPr>
          <w:vertAlign w:val="superscript"/>
        </w:rPr>
        <w:t>245</w:t>
      </w:r>
      <w:r>
        <w:rPr>
          <w:spacing w:val="-11"/>
          <w:vertAlign w:val="baseline"/>
        </w:rPr>
        <w:t> </w:t>
      </w:r>
      <w:r>
        <w:rPr>
          <w:vertAlign w:val="baseline"/>
        </w:rPr>
        <w:t>It</w:t>
      </w:r>
      <w:r>
        <w:rPr>
          <w:spacing w:val="-10"/>
          <w:vertAlign w:val="baseline"/>
        </w:rPr>
        <w:t> </w:t>
      </w:r>
      <w:r>
        <w:rPr>
          <w:vertAlign w:val="baseline"/>
        </w:rPr>
        <w:t>has power to grant immunity from prosecution in some circumstances.</w:t>
      </w:r>
      <w:r>
        <w:rPr>
          <w:vertAlign w:val="superscript"/>
        </w:rPr>
        <w:t>246</w:t>
      </w:r>
      <w:r>
        <w:rPr>
          <w:vertAlign w:val="baseline"/>
        </w:rPr>
        <w:t> When the</w:t>
      </w:r>
      <w:r>
        <w:rPr>
          <w:spacing w:val="-1"/>
          <w:vertAlign w:val="baseline"/>
        </w:rPr>
        <w:t> </w:t>
      </w:r>
      <w:r>
        <w:rPr>
          <w:vertAlign w:val="baseline"/>
        </w:rPr>
        <w:t>relevant</w:t>
      </w:r>
      <w:r>
        <w:rPr>
          <w:spacing w:val="-1"/>
          <w:vertAlign w:val="baseline"/>
        </w:rPr>
        <w:t> </w:t>
      </w:r>
      <w:r>
        <w:rPr>
          <w:vertAlign w:val="baseline"/>
        </w:rPr>
        <w:t>section</w:t>
      </w:r>
      <w:r>
        <w:rPr>
          <w:spacing w:val="-2"/>
          <w:vertAlign w:val="baseline"/>
        </w:rPr>
        <w:t> </w:t>
      </w:r>
      <w:r>
        <w:rPr>
          <w:vertAlign w:val="baseline"/>
        </w:rPr>
        <w:t>comes</w:t>
      </w:r>
      <w:r>
        <w:rPr>
          <w:spacing w:val="-2"/>
          <w:vertAlign w:val="baseline"/>
        </w:rPr>
        <w:t> </w:t>
      </w:r>
      <w:r>
        <w:rPr>
          <w:vertAlign w:val="baseline"/>
        </w:rPr>
        <w:t>into</w:t>
      </w:r>
      <w:r>
        <w:rPr>
          <w:spacing w:val="-2"/>
          <w:vertAlign w:val="baseline"/>
        </w:rPr>
        <w:t> </w:t>
      </w:r>
      <w:r>
        <w:rPr>
          <w:vertAlign w:val="baseline"/>
        </w:rPr>
        <w:t>force</w:t>
      </w:r>
      <w:r>
        <w:rPr>
          <w:spacing w:val="-1"/>
          <w:vertAlign w:val="baseline"/>
        </w:rPr>
        <w:t> </w:t>
      </w:r>
      <w:r>
        <w:rPr>
          <w:vertAlign w:val="baseline"/>
        </w:rPr>
        <w:t>the</w:t>
      </w:r>
      <w:r>
        <w:rPr>
          <w:spacing w:val="-1"/>
          <w:vertAlign w:val="baseline"/>
        </w:rPr>
        <w:t> </w:t>
      </w:r>
      <w:r>
        <w:rPr>
          <w:vertAlign w:val="baseline"/>
        </w:rPr>
        <w:t>ICRIR</w:t>
      </w:r>
      <w:r>
        <w:rPr>
          <w:spacing w:val="-2"/>
          <w:vertAlign w:val="baseline"/>
        </w:rPr>
        <w:t> </w:t>
      </w:r>
      <w:r>
        <w:rPr>
          <w:vertAlign w:val="baseline"/>
        </w:rPr>
        <w:t>will</w:t>
      </w:r>
      <w:r>
        <w:rPr>
          <w:spacing w:val="-2"/>
          <w:vertAlign w:val="baseline"/>
        </w:rPr>
        <w:t> </w:t>
      </w:r>
      <w:r>
        <w:rPr>
          <w:vertAlign w:val="baseline"/>
        </w:rPr>
        <w:t>be</w:t>
      </w:r>
      <w:r>
        <w:rPr>
          <w:spacing w:val="-1"/>
          <w:vertAlign w:val="baseline"/>
        </w:rPr>
        <w:t> </w:t>
      </w:r>
      <w:r>
        <w:rPr>
          <w:vertAlign w:val="baseline"/>
        </w:rPr>
        <w:t>the</w:t>
      </w:r>
      <w:r>
        <w:rPr>
          <w:spacing w:val="-1"/>
          <w:vertAlign w:val="baseline"/>
        </w:rPr>
        <w:t> </w:t>
      </w:r>
      <w:r>
        <w:rPr>
          <w:vertAlign w:val="baseline"/>
        </w:rPr>
        <w:t>exclusive</w:t>
      </w:r>
      <w:r>
        <w:rPr>
          <w:spacing w:val="-1"/>
          <w:vertAlign w:val="baseline"/>
        </w:rPr>
        <w:t> </w:t>
      </w:r>
      <w:r>
        <w:rPr>
          <w:vertAlign w:val="baseline"/>
        </w:rPr>
        <w:t>means</w:t>
      </w:r>
      <w:r>
        <w:rPr>
          <w:spacing w:val="-2"/>
          <w:vertAlign w:val="baseline"/>
        </w:rPr>
        <w:t> </w:t>
      </w:r>
      <w:r>
        <w:rPr>
          <w:vertAlign w:val="baseline"/>
        </w:rPr>
        <w:t>for any</w:t>
      </w:r>
      <w:r>
        <w:rPr>
          <w:spacing w:val="-16"/>
          <w:vertAlign w:val="baseline"/>
        </w:rPr>
        <w:t> </w:t>
      </w:r>
      <w:r>
        <w:rPr>
          <w:vertAlign w:val="baseline"/>
        </w:rPr>
        <w:t>criminal</w:t>
      </w:r>
      <w:r>
        <w:rPr>
          <w:spacing w:val="-16"/>
          <w:vertAlign w:val="baseline"/>
        </w:rPr>
        <w:t> </w:t>
      </w:r>
      <w:r>
        <w:rPr>
          <w:vertAlign w:val="baseline"/>
        </w:rPr>
        <w:t>investigation</w:t>
      </w:r>
      <w:r>
        <w:rPr>
          <w:spacing w:val="-16"/>
          <w:vertAlign w:val="baseline"/>
        </w:rPr>
        <w:t> </w:t>
      </w:r>
      <w:r>
        <w:rPr>
          <w:vertAlign w:val="baseline"/>
        </w:rPr>
        <w:t>into</w:t>
      </w:r>
      <w:r>
        <w:rPr>
          <w:spacing w:val="-16"/>
          <w:vertAlign w:val="baseline"/>
        </w:rPr>
        <w:t> </w:t>
      </w:r>
      <w:r>
        <w:rPr>
          <w:vertAlign w:val="baseline"/>
        </w:rPr>
        <w:t>Troubles-related</w:t>
      </w:r>
      <w:r>
        <w:rPr>
          <w:spacing w:val="-16"/>
          <w:vertAlign w:val="baseline"/>
        </w:rPr>
        <w:t> </w:t>
      </w:r>
      <w:r>
        <w:rPr>
          <w:vertAlign w:val="baseline"/>
        </w:rPr>
        <w:t>offences.</w:t>
      </w:r>
      <w:r>
        <w:rPr>
          <w:vertAlign w:val="superscript"/>
        </w:rPr>
        <w:t>247</w:t>
      </w:r>
      <w:r>
        <w:rPr>
          <w:spacing w:val="-27"/>
          <w:vertAlign w:val="baseline"/>
        </w:rPr>
        <w:t> </w:t>
      </w:r>
      <w:r>
        <w:rPr>
          <w:vertAlign w:val="baseline"/>
        </w:rPr>
        <w:t>The</w:t>
      </w:r>
      <w:r>
        <w:rPr>
          <w:spacing w:val="-15"/>
          <w:vertAlign w:val="baseline"/>
        </w:rPr>
        <w:t> </w:t>
      </w:r>
      <w:r>
        <w:rPr>
          <w:vertAlign w:val="baseline"/>
        </w:rPr>
        <w:t>Legacy</w:t>
      </w:r>
      <w:r>
        <w:rPr>
          <w:spacing w:val="-15"/>
          <w:vertAlign w:val="baseline"/>
        </w:rPr>
        <w:t> </w:t>
      </w:r>
      <w:r>
        <w:rPr>
          <w:vertAlign w:val="baseline"/>
        </w:rPr>
        <w:t>Act</w:t>
      </w:r>
      <w:r>
        <w:rPr>
          <w:spacing w:val="-14"/>
          <w:vertAlign w:val="baseline"/>
        </w:rPr>
        <w:t> </w:t>
      </w:r>
      <w:r>
        <w:rPr>
          <w:vertAlign w:val="baseline"/>
        </w:rPr>
        <w:t>also provides for mechanisms to remember the conflict.</w:t>
      </w:r>
      <w:r>
        <w:rPr>
          <w:vertAlign w:val="superscript"/>
        </w:rPr>
        <w:t>248</w:t>
      </w:r>
    </w:p>
    <w:p>
      <w:pPr>
        <w:pStyle w:val="BodyText"/>
        <w:spacing w:line="336" w:lineRule="exact" w:before="263"/>
        <w:ind w:left="1117"/>
      </w:pPr>
      <w:r>
        <w:rPr/>
        <w:t>The</w:t>
      </w:r>
      <w:r>
        <w:rPr>
          <w:spacing w:val="-11"/>
        </w:rPr>
        <w:t> </w:t>
      </w:r>
      <w:r>
        <w:rPr/>
        <w:t>Act</w:t>
      </w:r>
      <w:r>
        <w:rPr>
          <w:spacing w:val="-9"/>
        </w:rPr>
        <w:t> </w:t>
      </w:r>
      <w:r>
        <w:rPr/>
        <w:t>prohibits</w:t>
      </w:r>
      <w:r>
        <w:rPr>
          <w:spacing w:val="-9"/>
        </w:rPr>
        <w:t> </w:t>
      </w:r>
      <w:r>
        <w:rPr/>
        <w:t>new</w:t>
      </w:r>
      <w:r>
        <w:rPr>
          <w:spacing w:val="-8"/>
        </w:rPr>
        <w:t> </w:t>
      </w:r>
      <w:r>
        <w:rPr/>
        <w:t>coroner</w:t>
      </w:r>
      <w:r>
        <w:rPr>
          <w:spacing w:val="-9"/>
        </w:rPr>
        <w:t> </w:t>
      </w:r>
      <w:r>
        <w:rPr/>
        <w:t>inquests</w:t>
      </w:r>
      <w:r>
        <w:rPr>
          <w:spacing w:val="-9"/>
        </w:rPr>
        <w:t> </w:t>
      </w:r>
      <w:r>
        <w:rPr/>
        <w:t>into</w:t>
      </w:r>
      <w:r>
        <w:rPr>
          <w:spacing w:val="-10"/>
        </w:rPr>
        <w:t> </w:t>
      </w:r>
      <w:r>
        <w:rPr/>
        <w:t>Troubles-related</w:t>
      </w:r>
      <w:r>
        <w:rPr>
          <w:spacing w:val="-9"/>
        </w:rPr>
        <w:t> </w:t>
      </w:r>
      <w:r>
        <w:rPr/>
        <w:t>deaths</w:t>
      </w:r>
      <w:r>
        <w:rPr>
          <w:spacing w:val="-9"/>
        </w:rPr>
        <w:t> </w:t>
      </w:r>
      <w:r>
        <w:rPr>
          <w:spacing w:val="-5"/>
        </w:rPr>
        <w:t>and</w:t>
      </w:r>
    </w:p>
    <w:p>
      <w:pPr>
        <w:pStyle w:val="BodyText"/>
        <w:spacing w:line="232" w:lineRule="auto" w:before="2"/>
        <w:ind w:left="1117" w:right="1250"/>
      </w:pPr>
      <w:r>
        <w:rPr/>
        <w:t>stops</w:t>
      </w:r>
      <w:r>
        <w:rPr>
          <w:spacing w:val="-9"/>
        </w:rPr>
        <w:t> </w:t>
      </w:r>
      <w:r>
        <w:rPr/>
        <w:t>existing</w:t>
      </w:r>
      <w:r>
        <w:rPr>
          <w:spacing w:val="-8"/>
        </w:rPr>
        <w:t> </w:t>
      </w:r>
      <w:r>
        <w:rPr/>
        <w:t>inquests</w:t>
      </w:r>
      <w:r>
        <w:rPr>
          <w:spacing w:val="-9"/>
        </w:rPr>
        <w:t> </w:t>
      </w:r>
      <w:r>
        <w:rPr/>
        <w:t>unless</w:t>
      </w:r>
      <w:r>
        <w:rPr>
          <w:spacing w:val="-9"/>
        </w:rPr>
        <w:t> </w:t>
      </w:r>
      <w:r>
        <w:rPr/>
        <w:t>they</w:t>
      </w:r>
      <w:r>
        <w:rPr>
          <w:spacing w:val="-8"/>
        </w:rPr>
        <w:t> </w:t>
      </w:r>
      <w:r>
        <w:rPr/>
        <w:t>are</w:t>
      </w:r>
      <w:r>
        <w:rPr>
          <w:spacing w:val="-8"/>
        </w:rPr>
        <w:t> </w:t>
      </w:r>
      <w:r>
        <w:rPr/>
        <w:t>only</w:t>
      </w:r>
      <w:r>
        <w:rPr>
          <w:spacing w:val="-8"/>
        </w:rPr>
        <w:t> </w:t>
      </w:r>
      <w:r>
        <w:rPr/>
        <w:t>lacking</w:t>
      </w:r>
      <w:r>
        <w:rPr>
          <w:spacing w:val="-8"/>
        </w:rPr>
        <w:t> </w:t>
      </w:r>
      <w:r>
        <w:rPr/>
        <w:t>a</w:t>
      </w:r>
      <w:r>
        <w:rPr>
          <w:spacing w:val="-9"/>
        </w:rPr>
        <w:t> </w:t>
      </w:r>
      <w:r>
        <w:rPr/>
        <w:t>verdict.</w:t>
      </w:r>
      <w:r>
        <w:rPr>
          <w:vertAlign w:val="superscript"/>
        </w:rPr>
        <w:t>249</w:t>
      </w:r>
      <w:r>
        <w:rPr>
          <w:spacing w:val="-9"/>
          <w:vertAlign w:val="baseline"/>
        </w:rPr>
        <w:t> </w:t>
      </w:r>
      <w:r>
        <w:rPr>
          <w:vertAlign w:val="baseline"/>
        </w:rPr>
        <w:t>It</w:t>
      </w:r>
      <w:r>
        <w:rPr>
          <w:spacing w:val="-8"/>
          <w:vertAlign w:val="baseline"/>
        </w:rPr>
        <w:t> </w:t>
      </w:r>
      <w:r>
        <w:rPr>
          <w:vertAlign w:val="baseline"/>
        </w:rPr>
        <w:t>also</w:t>
      </w:r>
      <w:r>
        <w:rPr>
          <w:spacing w:val="-9"/>
          <w:vertAlign w:val="baseline"/>
        </w:rPr>
        <w:t> </w:t>
      </w:r>
      <w:r>
        <w:rPr>
          <w:vertAlign w:val="baseline"/>
        </w:rPr>
        <w:t>prohibits new civil actions, or civil actions begun on or after the day of First Reading of the Bill.</w:t>
      </w:r>
      <w:r>
        <w:rPr>
          <w:vertAlign w:val="superscript"/>
        </w:rPr>
        <w:t>250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1"/>
        <w:rPr>
          <w:sz w:val="20"/>
        </w:rPr>
      </w:pPr>
      <w:r>
        <w:rPr/>
        <mc:AlternateContent>
          <mc:Choice Requires="wps">
            <w:drawing>
              <wp:anchor distT="0" distB="0" distL="0" distR="0" allowOverlap="1" layoutInCell="1" locked="0" behindDoc="1" simplePos="0" relativeHeight="487670784">
                <wp:simplePos x="0" y="0"/>
                <wp:positionH relativeFrom="page">
                  <wp:posOffset>899999</wp:posOffset>
                </wp:positionH>
                <wp:positionV relativeFrom="paragraph">
                  <wp:posOffset>247147</wp:posOffset>
                </wp:positionV>
                <wp:extent cx="6012180" cy="1270"/>
                <wp:effectExtent l="0" t="0" r="0" b="0"/>
                <wp:wrapTopAndBottom/>
                <wp:docPr id="452" name="Graphic 452"/>
                <wp:cNvGraphicFramePr>
                  <a:graphicFrameLocks/>
                </wp:cNvGraphicFramePr>
                <a:graphic>
                  <a:graphicData uri="http://schemas.microsoft.com/office/word/2010/wordprocessingShape">
                    <wps:wsp>
                      <wps:cNvPr id="452" name="Graphic 45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9.460461pt;width:473.4pt;height:.1pt;mso-position-horizontal-relative:page;mso-position-vertical-relative:paragraph;z-index:-15645696;mso-wrap-distance-left:0;mso-wrap-distance-right:0" id="docshape359" coordorigin="1417,389" coordsize="9468,0" path="m1417,389l10885,389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0" w:hanging="567"/>
        <w:jc w:val="left"/>
        <w:rPr>
          <w:sz w:val="18"/>
        </w:rPr>
      </w:pPr>
      <w:r>
        <w:rPr>
          <w:color w:val="1D71B8"/>
          <w:sz w:val="18"/>
          <w:u w:val="single" w:color="1D71B8"/>
        </w:rPr>
        <w:t>Northern</w:t>
      </w:r>
      <w:r>
        <w:rPr>
          <w:color w:val="1D71B8"/>
          <w:spacing w:val="-9"/>
          <w:sz w:val="18"/>
          <w:u w:val="single" w:color="1D71B8"/>
        </w:rPr>
        <w:t> </w:t>
      </w:r>
      <w:r>
        <w:rPr>
          <w:color w:val="1D71B8"/>
          <w:sz w:val="18"/>
          <w:u w:val="single" w:color="1D71B8"/>
        </w:rPr>
        <w:t>Irish</w:t>
      </w:r>
      <w:r>
        <w:rPr>
          <w:color w:val="1D71B8"/>
          <w:spacing w:val="-8"/>
          <w:sz w:val="18"/>
          <w:u w:val="single" w:color="1D71B8"/>
        </w:rPr>
        <w:t> </w:t>
      </w:r>
      <w:r>
        <w:rPr>
          <w:color w:val="1D71B8"/>
          <w:sz w:val="18"/>
          <w:u w:val="single" w:color="1D71B8"/>
        </w:rPr>
        <w:t>Troubles</w:t>
      </w:r>
      <w:r>
        <w:rPr>
          <w:color w:val="1D71B8"/>
          <w:spacing w:val="-8"/>
          <w:sz w:val="18"/>
          <w:u w:val="single" w:color="1D71B8"/>
        </w:rPr>
        <w:t> </w:t>
      </w:r>
      <w:r>
        <w:rPr>
          <w:color w:val="1D71B8"/>
          <w:sz w:val="18"/>
          <w:u w:val="single" w:color="1D71B8"/>
        </w:rPr>
        <w:t>(Legacy</w:t>
      </w:r>
      <w:r>
        <w:rPr>
          <w:color w:val="1D71B8"/>
          <w:spacing w:val="-8"/>
          <w:sz w:val="18"/>
          <w:u w:val="single" w:color="1D71B8"/>
        </w:rPr>
        <w:t> </w:t>
      </w:r>
      <w:r>
        <w:rPr>
          <w:color w:val="1D71B8"/>
          <w:sz w:val="18"/>
          <w:u w:val="single" w:color="1D71B8"/>
        </w:rPr>
        <w:t>and</w:t>
      </w:r>
      <w:r>
        <w:rPr>
          <w:color w:val="1D71B8"/>
          <w:spacing w:val="-8"/>
          <w:sz w:val="18"/>
          <w:u w:val="single" w:color="1D71B8"/>
        </w:rPr>
        <w:t> </w:t>
      </w:r>
      <w:r>
        <w:rPr>
          <w:color w:val="1D71B8"/>
          <w:sz w:val="18"/>
          <w:u w:val="single" w:color="1D71B8"/>
        </w:rPr>
        <w:t>Reconciliation)</w:t>
      </w:r>
      <w:r>
        <w:rPr>
          <w:color w:val="1D71B8"/>
          <w:spacing w:val="-8"/>
          <w:sz w:val="18"/>
          <w:u w:val="single" w:color="1D71B8"/>
        </w:rPr>
        <w:t> </w:t>
      </w:r>
      <w:r>
        <w:rPr>
          <w:color w:val="1D71B8"/>
          <w:sz w:val="18"/>
          <w:u w:val="single" w:color="1D71B8"/>
        </w:rPr>
        <w:t>Act</w:t>
      </w:r>
      <w:r>
        <w:rPr>
          <w:color w:val="1D71B8"/>
          <w:spacing w:val="-7"/>
          <w:sz w:val="18"/>
          <w:u w:val="single" w:color="1D71B8"/>
        </w:rPr>
        <w:t> </w:t>
      </w:r>
      <w:r>
        <w:rPr>
          <w:color w:val="1D71B8"/>
          <w:spacing w:val="-2"/>
          <w:sz w:val="18"/>
          <w:u w:val="single" w:color="1D71B8"/>
        </w:rPr>
        <w:t>2023</w:t>
      </w:r>
      <w:r>
        <w:rPr>
          <w:spacing w:val="-2"/>
          <w:sz w:val="18"/>
          <w:u w:val="none"/>
        </w:rPr>
        <w:t>.</w:t>
      </w:r>
    </w:p>
    <w:p>
      <w:pPr>
        <w:pStyle w:val="ListParagraph"/>
        <w:numPr>
          <w:ilvl w:val="0"/>
          <w:numId w:val="18"/>
        </w:numPr>
        <w:tabs>
          <w:tab w:pos="1684" w:val="left" w:leader="none"/>
        </w:tabs>
        <w:spacing w:line="240" w:lineRule="auto" w:before="1" w:after="0"/>
        <w:ind w:left="1684" w:right="1767" w:hanging="567"/>
        <w:jc w:val="left"/>
        <w:rPr>
          <w:sz w:val="18"/>
        </w:rPr>
      </w:pPr>
      <w:r>
        <w:rPr>
          <w:sz w:val="18"/>
        </w:rPr>
        <w:t>Joint</w:t>
      </w:r>
      <w:r>
        <w:rPr>
          <w:spacing w:val="-6"/>
          <w:sz w:val="18"/>
        </w:rPr>
        <w:t> </w:t>
      </w:r>
      <w:r>
        <w:rPr>
          <w:sz w:val="18"/>
        </w:rPr>
        <w:t>Committee</w:t>
      </w:r>
      <w:r>
        <w:rPr>
          <w:spacing w:val="-6"/>
          <w:sz w:val="18"/>
        </w:rPr>
        <w:t> </w:t>
      </w:r>
      <w:r>
        <w:rPr>
          <w:sz w:val="18"/>
        </w:rPr>
        <w:t>on</w:t>
      </w:r>
      <w:r>
        <w:rPr>
          <w:spacing w:val="-7"/>
          <w:sz w:val="18"/>
        </w:rPr>
        <w:t> </w:t>
      </w:r>
      <w:r>
        <w:rPr>
          <w:sz w:val="18"/>
        </w:rPr>
        <w:t>Human</w:t>
      </w:r>
      <w:r>
        <w:rPr>
          <w:spacing w:val="-6"/>
          <w:sz w:val="18"/>
        </w:rPr>
        <w:t> </w:t>
      </w:r>
      <w:r>
        <w:rPr>
          <w:sz w:val="18"/>
        </w:rPr>
        <w:t>Rights,</w:t>
      </w:r>
      <w:r>
        <w:rPr>
          <w:spacing w:val="-6"/>
          <w:sz w:val="18"/>
        </w:rPr>
        <w:t> </w:t>
      </w:r>
      <w:hyperlink r:id="rId65">
        <w:r>
          <w:rPr>
            <w:color w:val="1D71B8"/>
            <w:sz w:val="18"/>
            <w:u w:val="single" w:color="1D71B8"/>
          </w:rPr>
          <w:t>Sixth</w:t>
        </w:r>
        <w:r>
          <w:rPr>
            <w:color w:val="1D71B8"/>
            <w:spacing w:val="-7"/>
            <w:sz w:val="18"/>
            <w:u w:val="single" w:color="1D71B8"/>
          </w:rPr>
          <w:t> </w:t>
        </w:r>
        <w:r>
          <w:rPr>
            <w:color w:val="1D71B8"/>
            <w:sz w:val="18"/>
            <w:u w:val="single" w:color="1D71B8"/>
          </w:rPr>
          <w:t>Report</w:t>
        </w:r>
        <w:r>
          <w:rPr>
            <w:color w:val="1D71B8"/>
            <w:spacing w:val="-6"/>
            <w:sz w:val="18"/>
            <w:u w:val="single" w:color="1D71B8"/>
          </w:rPr>
          <w:t> </w:t>
        </w:r>
        <w:r>
          <w:rPr>
            <w:color w:val="1D71B8"/>
            <w:sz w:val="18"/>
            <w:u w:val="single" w:color="1D71B8"/>
          </w:rPr>
          <w:t>-</w:t>
        </w:r>
        <w:r>
          <w:rPr>
            <w:color w:val="1D71B8"/>
            <w:spacing w:val="-7"/>
            <w:sz w:val="18"/>
            <w:u w:val="single" w:color="1D71B8"/>
          </w:rPr>
          <w:t> </w:t>
        </w:r>
        <w:r>
          <w:rPr>
            <w:color w:val="1D71B8"/>
            <w:sz w:val="18"/>
            <w:u w:val="single" w:color="1D71B8"/>
          </w:rPr>
          <w:t>Legislative</w:t>
        </w:r>
        <w:r>
          <w:rPr>
            <w:color w:val="1D71B8"/>
            <w:spacing w:val="-6"/>
            <w:sz w:val="18"/>
            <w:u w:val="single" w:color="1D71B8"/>
          </w:rPr>
          <w:t> </w:t>
        </w:r>
        <w:r>
          <w:rPr>
            <w:color w:val="1D71B8"/>
            <w:sz w:val="18"/>
            <w:u w:val="single" w:color="1D71B8"/>
          </w:rPr>
          <w:t>Scrutiny:</w:t>
        </w:r>
        <w:r>
          <w:rPr>
            <w:color w:val="1D71B8"/>
            <w:spacing w:val="-6"/>
            <w:sz w:val="18"/>
            <w:u w:val="single" w:color="1D71B8"/>
          </w:rPr>
          <w:t> </w:t>
        </w:r>
        <w:r>
          <w:rPr>
            <w:color w:val="1D71B8"/>
            <w:sz w:val="18"/>
            <w:u w:val="single" w:color="1D71B8"/>
          </w:rPr>
          <w:t>Northern</w:t>
        </w:r>
        <w:r>
          <w:rPr>
            <w:color w:val="1D71B8"/>
            <w:spacing w:val="-7"/>
            <w:sz w:val="18"/>
            <w:u w:val="single" w:color="1D71B8"/>
          </w:rPr>
          <w:t> </w:t>
        </w:r>
        <w:r>
          <w:rPr>
            <w:color w:val="1D71B8"/>
            <w:sz w:val="18"/>
            <w:u w:val="single" w:color="1D71B8"/>
          </w:rPr>
          <w:t>Ireland</w:t>
        </w:r>
        <w:r>
          <w:rPr>
            <w:color w:val="1D71B8"/>
            <w:spacing w:val="-7"/>
            <w:sz w:val="18"/>
            <w:u w:val="single" w:color="1D71B8"/>
          </w:rPr>
          <w:t> </w:t>
        </w:r>
        <w:r>
          <w:rPr>
            <w:color w:val="1D71B8"/>
            <w:sz w:val="18"/>
            <w:u w:val="single" w:color="1D71B8"/>
          </w:rPr>
          <w:t>Troubles</w:t>
        </w:r>
        <w:r>
          <w:rPr>
            <w:color w:val="1D71B8"/>
            <w:spacing w:val="-7"/>
            <w:sz w:val="18"/>
            <w:u w:val="single" w:color="1D71B8"/>
          </w:rPr>
          <w:t> </w:t>
        </w:r>
        <w:r>
          <w:rPr>
            <w:color w:val="1D71B8"/>
            <w:sz w:val="18"/>
            <w:u w:val="single" w:color="1D71B8"/>
          </w:rPr>
          <w:t>(Legacy</w:t>
        </w:r>
        <w:r>
          <w:rPr>
            <w:color w:val="1D71B8"/>
            <w:spacing w:val="-6"/>
            <w:sz w:val="18"/>
            <w:u w:val="single" w:color="1D71B8"/>
          </w:rPr>
          <w:t> </w:t>
        </w:r>
        <w:r>
          <w:rPr>
            <w:color w:val="1D71B8"/>
            <w:sz w:val="18"/>
            <w:u w:val="single" w:color="1D71B8"/>
          </w:rPr>
          <w:t>and</w:t>
        </w:r>
      </w:hyperlink>
      <w:r>
        <w:rPr>
          <w:color w:val="1D71B8"/>
          <w:sz w:val="18"/>
          <w:u w:val="none"/>
        </w:rPr>
        <w:t> </w:t>
      </w:r>
      <w:hyperlink r:id="rId65">
        <w:r>
          <w:rPr>
            <w:color w:val="1D71B8"/>
            <w:sz w:val="18"/>
            <w:u w:val="single" w:color="1D71B8"/>
          </w:rPr>
          <w:t>Reconciliation) Bill</w:t>
        </w:r>
      </w:hyperlink>
      <w:r>
        <w:rPr>
          <w:color w:val="1D71B8"/>
          <w:sz w:val="18"/>
          <w:u w:val="none"/>
        </w:rPr>
        <w:t> </w:t>
      </w:r>
      <w:r>
        <w:rPr>
          <w:sz w:val="18"/>
          <w:u w:val="none"/>
        </w:rPr>
        <w:t>(House of Commons and House of Lords, 2022-2023) HC 311 / HL Paper 79.</w:t>
      </w:r>
    </w:p>
    <w:p>
      <w:pPr>
        <w:pStyle w:val="ListParagraph"/>
        <w:numPr>
          <w:ilvl w:val="0"/>
          <w:numId w:val="18"/>
        </w:numPr>
        <w:tabs>
          <w:tab w:pos="1684" w:val="left" w:leader="none"/>
        </w:tabs>
        <w:spacing w:line="240" w:lineRule="auto" w:before="0" w:after="0"/>
        <w:ind w:left="1684" w:right="0" w:hanging="567"/>
        <w:jc w:val="left"/>
        <w:rPr>
          <w:sz w:val="18"/>
        </w:rPr>
      </w:pPr>
      <w:r>
        <w:rPr>
          <w:sz w:val="18"/>
        </w:rPr>
        <w:t>Legacy</w:t>
      </w:r>
      <w:r>
        <w:rPr>
          <w:spacing w:val="-5"/>
          <w:sz w:val="18"/>
        </w:rPr>
        <w:t> </w:t>
      </w:r>
      <w:r>
        <w:rPr>
          <w:sz w:val="18"/>
        </w:rPr>
        <w:t>Act,</w:t>
      </w:r>
      <w:r>
        <w:rPr>
          <w:spacing w:val="-6"/>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25</w:t>
      </w:r>
      <w:r>
        <w:rPr>
          <w:spacing w:val="-5"/>
          <w:sz w:val="18"/>
          <w:u w:val="none"/>
        </w:rPr>
        <w:t>.</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7"/>
          <w:sz w:val="18"/>
        </w:rPr>
        <w:t> </w:t>
      </w:r>
      <w:hyperlink r:id="rId66">
        <w:r>
          <w:rPr>
            <w:color w:val="1D71B8"/>
            <w:sz w:val="18"/>
            <w:u w:val="single" w:color="1D71B8"/>
          </w:rPr>
          <w:t>section</w:t>
        </w:r>
        <w:r>
          <w:rPr>
            <w:color w:val="1D71B8"/>
            <w:spacing w:val="-6"/>
            <w:sz w:val="18"/>
            <w:u w:val="single" w:color="1D71B8"/>
          </w:rPr>
          <w:t> </w:t>
        </w:r>
        <w:r>
          <w:rPr>
            <w:color w:val="1D71B8"/>
            <w:spacing w:val="-5"/>
            <w:sz w:val="18"/>
            <w:u w:val="single" w:color="1D71B8"/>
          </w:rPr>
          <w:t>19</w:t>
        </w:r>
        <w:r>
          <w:rPr>
            <w:spacing w:val="-5"/>
            <w:sz w:val="18"/>
            <w:u w:val="none"/>
          </w:rPr>
          <w:t>.</w:t>
        </w:r>
      </w:hyperlink>
    </w:p>
    <w:p>
      <w:pPr>
        <w:pStyle w:val="ListParagraph"/>
        <w:numPr>
          <w:ilvl w:val="0"/>
          <w:numId w:val="18"/>
        </w:numPr>
        <w:tabs>
          <w:tab w:pos="1684" w:val="left" w:leader="none"/>
        </w:tabs>
        <w:spacing w:line="240" w:lineRule="auto" w:before="1" w:after="0"/>
        <w:ind w:left="1684" w:right="0" w:hanging="567"/>
        <w:jc w:val="left"/>
        <w:rPr>
          <w:sz w:val="18"/>
        </w:rPr>
      </w:pPr>
      <w:r>
        <w:rPr>
          <w:color w:val="1D71B8"/>
          <w:sz w:val="18"/>
          <w:u w:val="single" w:color="1D71B8"/>
        </w:rPr>
        <w:t>Northern</w:t>
      </w:r>
      <w:r>
        <w:rPr>
          <w:color w:val="1D71B8"/>
          <w:spacing w:val="-8"/>
          <w:sz w:val="18"/>
          <w:u w:val="single" w:color="1D71B8"/>
        </w:rPr>
        <w:t> </w:t>
      </w:r>
      <w:r>
        <w:rPr>
          <w:color w:val="1D71B8"/>
          <w:sz w:val="18"/>
          <w:u w:val="single" w:color="1D71B8"/>
        </w:rPr>
        <w:t>Irish</w:t>
      </w:r>
      <w:r>
        <w:rPr>
          <w:color w:val="1D71B8"/>
          <w:spacing w:val="-8"/>
          <w:sz w:val="18"/>
          <w:u w:val="single" w:color="1D71B8"/>
        </w:rPr>
        <w:t> </w:t>
      </w:r>
      <w:r>
        <w:rPr>
          <w:color w:val="1D71B8"/>
          <w:sz w:val="18"/>
          <w:u w:val="single" w:color="1D71B8"/>
        </w:rPr>
        <w:t>Troubles</w:t>
      </w:r>
      <w:r>
        <w:rPr>
          <w:color w:val="1D71B8"/>
          <w:spacing w:val="-8"/>
          <w:sz w:val="18"/>
          <w:u w:val="single" w:color="1D71B8"/>
        </w:rPr>
        <w:t> </w:t>
      </w:r>
      <w:r>
        <w:rPr>
          <w:color w:val="1D71B8"/>
          <w:sz w:val="18"/>
          <w:u w:val="single" w:color="1D71B8"/>
        </w:rPr>
        <w:t>(Legacy</w:t>
      </w:r>
      <w:r>
        <w:rPr>
          <w:color w:val="1D71B8"/>
          <w:spacing w:val="-7"/>
          <w:sz w:val="18"/>
          <w:u w:val="single" w:color="1D71B8"/>
        </w:rPr>
        <w:t> </w:t>
      </w:r>
      <w:r>
        <w:rPr>
          <w:color w:val="1D71B8"/>
          <w:sz w:val="18"/>
          <w:u w:val="single" w:color="1D71B8"/>
        </w:rPr>
        <w:t>and</w:t>
      </w:r>
      <w:r>
        <w:rPr>
          <w:color w:val="1D71B8"/>
          <w:spacing w:val="-7"/>
          <w:sz w:val="18"/>
          <w:u w:val="single" w:color="1D71B8"/>
        </w:rPr>
        <w:t> </w:t>
      </w:r>
      <w:r>
        <w:rPr>
          <w:color w:val="1D71B8"/>
          <w:sz w:val="18"/>
          <w:u w:val="single" w:color="1D71B8"/>
        </w:rPr>
        <w:t>Reconciliation)</w:t>
      </w:r>
      <w:r>
        <w:rPr>
          <w:color w:val="1D71B8"/>
          <w:spacing w:val="-8"/>
          <w:sz w:val="18"/>
          <w:u w:val="single" w:color="1D71B8"/>
        </w:rPr>
        <w:t> </w:t>
      </w:r>
      <w:r>
        <w:rPr>
          <w:color w:val="1D71B8"/>
          <w:sz w:val="18"/>
          <w:u w:val="single" w:color="1D71B8"/>
        </w:rPr>
        <w:t>Act</w:t>
      </w:r>
      <w:r>
        <w:rPr>
          <w:color w:val="1D71B8"/>
          <w:spacing w:val="-7"/>
          <w:sz w:val="18"/>
          <w:u w:val="single" w:color="1D71B8"/>
        </w:rPr>
        <w:t> </w:t>
      </w:r>
      <w:r>
        <w:rPr>
          <w:color w:val="1D71B8"/>
          <w:sz w:val="18"/>
          <w:u w:val="single" w:color="1D71B8"/>
        </w:rPr>
        <w:t>2023,</w:t>
      </w:r>
      <w:r>
        <w:rPr>
          <w:color w:val="1D71B8"/>
          <w:spacing w:val="-7"/>
          <w:sz w:val="18"/>
          <w:u w:val="single" w:color="1D71B8"/>
        </w:rPr>
        <w:t> </w:t>
      </w:r>
      <w:r>
        <w:rPr>
          <w:color w:val="1D71B8"/>
          <w:sz w:val="18"/>
          <w:u w:val="single" w:color="1D71B8"/>
        </w:rPr>
        <w:t>section</w:t>
      </w:r>
      <w:r>
        <w:rPr>
          <w:color w:val="1D71B8"/>
          <w:spacing w:val="-8"/>
          <w:sz w:val="18"/>
          <w:u w:val="single" w:color="1D71B8"/>
        </w:rPr>
        <w:t> </w:t>
      </w:r>
      <w:r>
        <w:rPr>
          <w:color w:val="1D71B8"/>
          <w:spacing w:val="-5"/>
          <w:sz w:val="18"/>
          <w:u w:val="single" w:color="1D71B8"/>
        </w:rPr>
        <w:t>38.</w:t>
      </w:r>
    </w:p>
    <w:p>
      <w:pPr>
        <w:pStyle w:val="ListParagraph"/>
        <w:numPr>
          <w:ilvl w:val="0"/>
          <w:numId w:val="18"/>
        </w:numPr>
        <w:tabs>
          <w:tab w:pos="1684" w:val="left" w:leader="none"/>
        </w:tabs>
        <w:spacing w:line="240" w:lineRule="auto" w:before="0" w:after="0"/>
        <w:ind w:left="1684" w:right="0" w:hanging="567"/>
        <w:jc w:val="left"/>
        <w:rPr>
          <w:sz w:val="18"/>
        </w:rPr>
      </w:pPr>
      <w:r>
        <w:rPr>
          <w:sz w:val="18"/>
        </w:rPr>
        <w:t>Legacy</w:t>
      </w:r>
      <w:r>
        <w:rPr>
          <w:spacing w:val="-2"/>
          <w:sz w:val="18"/>
        </w:rPr>
        <w:t> </w:t>
      </w:r>
      <w:r>
        <w:rPr>
          <w:sz w:val="18"/>
        </w:rPr>
        <w:t>Act,</w:t>
      </w:r>
      <w:r>
        <w:rPr>
          <w:spacing w:val="-2"/>
          <w:sz w:val="18"/>
        </w:rPr>
        <w:t> </w:t>
      </w:r>
      <w:hyperlink r:id="rId67">
        <w:r>
          <w:rPr>
            <w:color w:val="1D71B8"/>
            <w:sz w:val="18"/>
            <w:u w:val="single" w:color="1D71B8"/>
          </w:rPr>
          <w:t>part</w:t>
        </w:r>
        <w:r>
          <w:rPr>
            <w:color w:val="1D71B8"/>
            <w:spacing w:val="-1"/>
            <w:sz w:val="18"/>
            <w:u w:val="single" w:color="1D71B8"/>
          </w:rPr>
          <w:t> </w:t>
        </w:r>
        <w:r>
          <w:rPr>
            <w:color w:val="1D71B8"/>
            <w:spacing w:val="-5"/>
            <w:sz w:val="18"/>
            <w:u w:val="single" w:color="1D71B8"/>
          </w:rPr>
          <w:t>4</w:t>
        </w:r>
      </w:hyperlink>
      <w:r>
        <w:rPr>
          <w:spacing w:val="-5"/>
          <w:sz w:val="18"/>
          <w:u w:val="none"/>
        </w:rPr>
        <w:t>.</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7"/>
          <w:sz w:val="18"/>
        </w:rPr>
        <w:t> </w:t>
      </w:r>
      <w:hyperlink r:id="rId68">
        <w:r>
          <w:rPr>
            <w:color w:val="1D71B8"/>
            <w:sz w:val="18"/>
            <w:u w:val="single" w:color="1D71B8"/>
          </w:rPr>
          <w:t>section</w:t>
        </w:r>
        <w:r>
          <w:rPr>
            <w:color w:val="1D71B8"/>
            <w:spacing w:val="-6"/>
            <w:sz w:val="18"/>
            <w:u w:val="single" w:color="1D71B8"/>
          </w:rPr>
          <w:t> </w:t>
        </w:r>
        <w:r>
          <w:rPr>
            <w:color w:val="1D71B8"/>
            <w:spacing w:val="-5"/>
            <w:sz w:val="18"/>
            <w:u w:val="single" w:color="1D71B8"/>
          </w:rPr>
          <w:t>44</w:t>
        </w:r>
      </w:hyperlink>
      <w:r>
        <w:rPr>
          <w:spacing w:val="-5"/>
          <w:sz w:val="18"/>
          <w:u w:val="none"/>
        </w:rPr>
        <w:t>.</w:t>
      </w:r>
    </w:p>
    <w:p>
      <w:pPr>
        <w:pStyle w:val="ListParagraph"/>
        <w:numPr>
          <w:ilvl w:val="0"/>
          <w:numId w:val="18"/>
        </w:numPr>
        <w:tabs>
          <w:tab w:pos="1684" w:val="left" w:leader="none"/>
        </w:tabs>
        <w:spacing w:line="240" w:lineRule="auto" w:before="1" w:after="0"/>
        <w:ind w:left="1684"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43</w:t>
      </w:r>
      <w:r>
        <w:rPr>
          <w:spacing w:val="-5"/>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88992">
                <wp:simplePos x="0" y="0"/>
                <wp:positionH relativeFrom="page">
                  <wp:posOffset>0</wp:posOffset>
                </wp:positionH>
                <wp:positionV relativeFrom="page">
                  <wp:posOffset>0</wp:posOffset>
                </wp:positionV>
                <wp:extent cx="7560309" cy="1155065"/>
                <wp:effectExtent l="0" t="0" r="0" b="0"/>
                <wp:wrapNone/>
                <wp:docPr id="453" name="Group 453"/>
                <wp:cNvGraphicFramePr>
                  <a:graphicFrameLocks/>
                </wp:cNvGraphicFramePr>
                <a:graphic>
                  <a:graphicData uri="http://schemas.microsoft.com/office/word/2010/wordprocessingGroup">
                    <wpg:wgp>
                      <wpg:cNvPr id="453" name="Group 453"/>
                      <wpg:cNvGrpSpPr/>
                      <wpg:grpSpPr>
                        <a:xfrm>
                          <a:off x="0" y="0"/>
                          <a:ext cx="7560309" cy="1155065"/>
                          <a:chExt cx="7560309" cy="1155065"/>
                        </a:xfrm>
                      </wpg:grpSpPr>
                      <wps:wsp>
                        <wps:cNvPr id="454" name="Graphic 454"/>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455" name="Graphic 455"/>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27488" id="docshapegroup360" coordorigin="0,0" coordsize="11906,1819">
                <v:shape style="position:absolute;left:0;top:0;width:11906;height:1819" id="docshape361"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48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404"/>
      </w:pPr>
      <w:r>
        <w:rPr/>
        <w:t>Since the passage of the Legacy Act, the Government of Ireland has announced that</w:t>
      </w:r>
      <w:r>
        <w:rPr>
          <w:spacing w:val="-7"/>
        </w:rPr>
        <w:t> </w:t>
      </w:r>
      <w:r>
        <w:rPr/>
        <w:t>it</w:t>
      </w:r>
      <w:r>
        <w:rPr>
          <w:spacing w:val="-7"/>
        </w:rPr>
        <w:t> </w:t>
      </w:r>
      <w:r>
        <w:rPr/>
        <w:t>will</w:t>
      </w:r>
      <w:r>
        <w:rPr>
          <w:spacing w:val="-8"/>
        </w:rPr>
        <w:t> </w:t>
      </w:r>
      <w:r>
        <w:rPr/>
        <w:t>take</w:t>
      </w:r>
      <w:r>
        <w:rPr>
          <w:spacing w:val="-7"/>
        </w:rPr>
        <w:t> </w:t>
      </w:r>
      <w:r>
        <w:rPr/>
        <w:t>a</w:t>
      </w:r>
      <w:r>
        <w:rPr>
          <w:spacing w:val="-8"/>
        </w:rPr>
        <w:t> </w:t>
      </w:r>
      <w:r>
        <w:rPr/>
        <w:t>rare</w:t>
      </w:r>
      <w:r>
        <w:rPr>
          <w:spacing w:val="-7"/>
        </w:rPr>
        <w:t> </w:t>
      </w:r>
      <w:r>
        <w:rPr/>
        <w:t>interstate</w:t>
      </w:r>
      <w:r>
        <w:rPr>
          <w:spacing w:val="-7"/>
        </w:rPr>
        <w:t> </w:t>
      </w:r>
      <w:r>
        <w:rPr/>
        <w:t>case</w:t>
      </w:r>
      <w:r>
        <w:rPr>
          <w:spacing w:val="-7"/>
        </w:rPr>
        <w:t> </w:t>
      </w:r>
      <w:r>
        <w:rPr/>
        <w:t>against</w:t>
      </w:r>
      <w:r>
        <w:rPr>
          <w:spacing w:val="-7"/>
        </w:rPr>
        <w:t> </w:t>
      </w:r>
      <w:r>
        <w:rPr/>
        <w:t>the</w:t>
      </w:r>
      <w:r>
        <w:rPr>
          <w:spacing w:val="-7"/>
        </w:rPr>
        <w:t> </w:t>
      </w:r>
      <w:r>
        <w:rPr/>
        <w:t>United</w:t>
      </w:r>
      <w:r>
        <w:rPr>
          <w:spacing w:val="-8"/>
        </w:rPr>
        <w:t> </w:t>
      </w:r>
      <w:r>
        <w:rPr/>
        <w:t>Kingdom</w:t>
      </w:r>
      <w:r>
        <w:rPr>
          <w:spacing w:val="-7"/>
        </w:rPr>
        <w:t> </w:t>
      </w:r>
      <w:r>
        <w:rPr/>
        <w:t>alleging</w:t>
      </w:r>
      <w:r>
        <w:rPr>
          <w:spacing w:val="-7"/>
        </w:rPr>
        <w:t> </w:t>
      </w:r>
      <w:r>
        <w:rPr/>
        <w:t>the</w:t>
      </w:r>
      <w:r>
        <w:rPr>
          <w:spacing w:val="-7"/>
        </w:rPr>
        <w:t> </w:t>
      </w:r>
      <w:r>
        <w:rPr/>
        <w:t>Act breaches the ECHR.</w:t>
      </w:r>
      <w:r>
        <w:rPr>
          <w:vertAlign w:val="superscript"/>
        </w:rPr>
        <w:t>251</w:t>
      </w:r>
      <w:r>
        <w:rPr>
          <w:vertAlign w:val="baseline"/>
        </w:rPr>
        <w:t> The Labour Party has indicated its intention to repeal the Legacy Act if elected to government.</w:t>
      </w:r>
      <w:r>
        <w:rPr>
          <w:vertAlign w:val="superscript"/>
        </w:rPr>
        <w:t>252</w:t>
      </w:r>
    </w:p>
    <w:p>
      <w:pPr>
        <w:pStyle w:val="BodyText"/>
        <w:spacing w:line="232" w:lineRule="auto" w:before="277"/>
        <w:ind w:left="720" w:right="1404"/>
      </w:pPr>
      <w:r>
        <w:rPr/>
        <w:t>Most</w:t>
      </w:r>
      <w:r>
        <w:rPr>
          <w:spacing w:val="-2"/>
        </w:rPr>
        <w:t> </w:t>
      </w:r>
      <w:r>
        <w:rPr/>
        <w:t>of</w:t>
      </w:r>
      <w:r>
        <w:rPr>
          <w:spacing w:val="-3"/>
        </w:rPr>
        <w:t> </w:t>
      </w:r>
      <w:r>
        <w:rPr/>
        <w:t>the</w:t>
      </w:r>
      <w:r>
        <w:rPr>
          <w:spacing w:val="-2"/>
        </w:rPr>
        <w:t> </w:t>
      </w:r>
      <w:r>
        <w:rPr/>
        <w:t>criticisms</w:t>
      </w:r>
      <w:r>
        <w:rPr>
          <w:spacing w:val="-3"/>
        </w:rPr>
        <w:t> </w:t>
      </w:r>
      <w:r>
        <w:rPr/>
        <w:t>of</w:t>
      </w:r>
      <w:r>
        <w:rPr>
          <w:spacing w:val="-3"/>
        </w:rPr>
        <w:t> </w:t>
      </w:r>
      <w:r>
        <w:rPr/>
        <w:t>the</w:t>
      </w:r>
      <w:r>
        <w:rPr>
          <w:spacing w:val="-2"/>
        </w:rPr>
        <w:t> </w:t>
      </w:r>
      <w:r>
        <w:rPr/>
        <w:t>Act</w:t>
      </w:r>
      <w:r>
        <w:rPr>
          <w:spacing w:val="-2"/>
        </w:rPr>
        <w:t> </w:t>
      </w:r>
      <w:r>
        <w:rPr/>
        <w:t>have</w:t>
      </w:r>
      <w:r>
        <w:rPr>
          <w:spacing w:val="-2"/>
        </w:rPr>
        <w:t> </w:t>
      </w:r>
      <w:r>
        <w:rPr/>
        <w:t>focused</w:t>
      </w:r>
      <w:r>
        <w:rPr>
          <w:spacing w:val="-3"/>
        </w:rPr>
        <w:t> </w:t>
      </w:r>
      <w:r>
        <w:rPr/>
        <w:t>on</w:t>
      </w:r>
      <w:r>
        <w:rPr>
          <w:spacing w:val="-3"/>
        </w:rPr>
        <w:t> </w:t>
      </w:r>
      <w:r>
        <w:rPr/>
        <w:t>compliance</w:t>
      </w:r>
      <w:r>
        <w:rPr>
          <w:spacing w:val="-2"/>
        </w:rPr>
        <w:t> </w:t>
      </w:r>
      <w:r>
        <w:rPr/>
        <w:t>with</w:t>
      </w:r>
      <w:r>
        <w:rPr>
          <w:spacing w:val="-3"/>
        </w:rPr>
        <w:t> </w:t>
      </w:r>
      <w:r>
        <w:rPr/>
        <w:t>the</w:t>
      </w:r>
      <w:r>
        <w:rPr>
          <w:spacing w:val="-2"/>
        </w:rPr>
        <w:t> </w:t>
      </w:r>
      <w:r>
        <w:rPr/>
        <w:t>ECHR</w:t>
      </w:r>
      <w:r>
        <w:rPr>
          <w:spacing w:val="-3"/>
        </w:rPr>
        <w:t> </w:t>
      </w:r>
      <w:r>
        <w:rPr/>
        <w:t>and other</w:t>
      </w:r>
      <w:r>
        <w:rPr>
          <w:spacing w:val="-9"/>
        </w:rPr>
        <w:t> </w:t>
      </w:r>
      <w:r>
        <w:rPr/>
        <w:t>human</w:t>
      </w:r>
      <w:r>
        <w:rPr>
          <w:spacing w:val="-10"/>
        </w:rPr>
        <w:t> </w:t>
      </w:r>
      <w:r>
        <w:rPr/>
        <w:t>rights</w:t>
      </w:r>
      <w:r>
        <w:rPr>
          <w:spacing w:val="-10"/>
        </w:rPr>
        <w:t> </w:t>
      </w:r>
      <w:r>
        <w:rPr/>
        <w:t>treaties.</w:t>
      </w:r>
      <w:r>
        <w:rPr>
          <w:spacing w:val="-10"/>
        </w:rPr>
        <w:t> </w:t>
      </w:r>
      <w:r>
        <w:rPr/>
        <w:t>However,</w:t>
      </w:r>
      <w:r>
        <w:rPr>
          <w:spacing w:val="-9"/>
        </w:rPr>
        <w:t> </w:t>
      </w:r>
      <w:r>
        <w:rPr/>
        <w:t>there</w:t>
      </w:r>
      <w:r>
        <w:rPr>
          <w:spacing w:val="-9"/>
        </w:rPr>
        <w:t> </w:t>
      </w:r>
      <w:r>
        <w:rPr/>
        <w:t>are</w:t>
      </w:r>
      <w:r>
        <w:rPr>
          <w:spacing w:val="-9"/>
        </w:rPr>
        <w:t> </w:t>
      </w:r>
      <w:r>
        <w:rPr/>
        <w:t>also</w:t>
      </w:r>
      <w:r>
        <w:rPr>
          <w:spacing w:val="-10"/>
        </w:rPr>
        <w:t> </w:t>
      </w:r>
      <w:r>
        <w:rPr/>
        <w:t>issues</w:t>
      </w:r>
      <w:r>
        <w:rPr>
          <w:spacing w:val="-10"/>
        </w:rPr>
        <w:t> </w:t>
      </w:r>
      <w:r>
        <w:rPr/>
        <w:t>around</w:t>
      </w:r>
      <w:r>
        <w:rPr>
          <w:spacing w:val="-10"/>
        </w:rPr>
        <w:t> </w:t>
      </w:r>
      <w:r>
        <w:rPr/>
        <w:t>compatibility with Article 2 WF. Article 2 WF provides for non-diminution where EU law provided an underpinning for the rights in the rights, safeguards and equality</w:t>
      </w:r>
    </w:p>
    <w:p>
      <w:pPr>
        <w:pStyle w:val="BodyText"/>
        <w:spacing w:line="232" w:lineRule="auto"/>
        <w:ind w:left="720" w:right="1087"/>
      </w:pPr>
      <w:r>
        <w:rPr/>
        <w:t>of opportunity section of the 1998 Agreement. One such EU law is the Victims Directive,</w:t>
      </w:r>
      <w:r>
        <w:rPr>
          <w:spacing w:val="-5"/>
        </w:rPr>
        <w:t> </w:t>
      </w:r>
      <w:r>
        <w:rPr/>
        <w:t>interpreted</w:t>
      </w:r>
      <w:r>
        <w:rPr>
          <w:spacing w:val="-6"/>
        </w:rPr>
        <w:t> </w:t>
      </w:r>
      <w:r>
        <w:rPr/>
        <w:t>in</w:t>
      </w:r>
      <w:r>
        <w:rPr>
          <w:spacing w:val="-6"/>
        </w:rPr>
        <w:t> </w:t>
      </w:r>
      <w:r>
        <w:rPr/>
        <w:t>the</w:t>
      </w:r>
      <w:r>
        <w:rPr>
          <w:spacing w:val="-5"/>
        </w:rPr>
        <w:t> </w:t>
      </w:r>
      <w:r>
        <w:rPr/>
        <w:t>light</w:t>
      </w:r>
      <w:r>
        <w:rPr>
          <w:spacing w:val="-5"/>
        </w:rPr>
        <w:t> </w:t>
      </w:r>
      <w:r>
        <w:rPr/>
        <w:t>of</w:t>
      </w:r>
      <w:r>
        <w:rPr>
          <w:spacing w:val="-6"/>
        </w:rPr>
        <w:t> </w:t>
      </w:r>
      <w:r>
        <w:rPr/>
        <w:t>general</w:t>
      </w:r>
      <w:r>
        <w:rPr>
          <w:spacing w:val="-6"/>
        </w:rPr>
        <w:t> </w:t>
      </w:r>
      <w:r>
        <w:rPr/>
        <w:t>principles</w:t>
      </w:r>
      <w:r>
        <w:rPr>
          <w:spacing w:val="-6"/>
        </w:rPr>
        <w:t> </w:t>
      </w:r>
      <w:r>
        <w:rPr/>
        <w:t>of</w:t>
      </w:r>
      <w:r>
        <w:rPr>
          <w:spacing w:val="-6"/>
        </w:rPr>
        <w:t> </w:t>
      </w:r>
      <w:r>
        <w:rPr/>
        <w:t>EU</w:t>
      </w:r>
      <w:r>
        <w:rPr>
          <w:spacing w:val="-5"/>
        </w:rPr>
        <w:t> </w:t>
      </w:r>
      <w:r>
        <w:rPr/>
        <w:t>law</w:t>
      </w:r>
      <w:r>
        <w:rPr>
          <w:spacing w:val="-5"/>
        </w:rPr>
        <w:t> </w:t>
      </w:r>
      <w:r>
        <w:rPr/>
        <w:t>and</w:t>
      </w:r>
      <w:r>
        <w:rPr>
          <w:spacing w:val="-6"/>
        </w:rPr>
        <w:t> </w:t>
      </w:r>
      <w:r>
        <w:rPr/>
        <w:t>the</w:t>
      </w:r>
      <w:r>
        <w:rPr>
          <w:spacing w:val="-5"/>
        </w:rPr>
        <w:t> </w:t>
      </w:r>
      <w:r>
        <w:rPr/>
        <w:t>Charter</w:t>
      </w:r>
      <w:r>
        <w:rPr>
          <w:spacing w:val="-5"/>
        </w:rPr>
        <w:t> </w:t>
      </w:r>
      <w:r>
        <w:rPr/>
        <w:t>of Fundamental Rights.</w:t>
      </w:r>
      <w:r>
        <w:rPr>
          <w:vertAlign w:val="superscript"/>
        </w:rPr>
        <w:t>253</w:t>
      </w:r>
    </w:p>
    <w:p>
      <w:pPr>
        <w:pStyle w:val="BodyText"/>
        <w:spacing w:line="232" w:lineRule="auto" w:before="273"/>
        <w:ind w:left="720" w:right="1143"/>
      </w:pPr>
      <w:r>
        <w:rPr/>
        <w:t>The NIHRC raised several concerns about the compatibility of the Legacy Bill with the Victims Directive. The NIHRC specifically criticised the conditional immunity scheme in the Bill, highlighting that the Directive required ‘sufficient access to justice’ for victims and the next-of-kin, required the state to provide victims with information including on decisions not to investigate and prosecute and provided for a right to review a decision not to prosecute.</w:t>
      </w:r>
      <w:r>
        <w:rPr>
          <w:vertAlign w:val="superscript"/>
        </w:rPr>
        <w:t>254</w:t>
      </w:r>
      <w:r>
        <w:rPr>
          <w:vertAlign w:val="baseline"/>
        </w:rPr>
        <w:t> The conditional immunity scheme, according to the NIHRC, appeared to fall foul of these standards in that there was no involvement for victims and their families in the immunity scheme and</w:t>
      </w:r>
      <w:r>
        <w:rPr>
          <w:spacing w:val="-2"/>
          <w:vertAlign w:val="baseline"/>
        </w:rPr>
        <w:t> </w:t>
      </w:r>
      <w:r>
        <w:rPr>
          <w:vertAlign w:val="baseline"/>
        </w:rPr>
        <w:t>no</w:t>
      </w:r>
      <w:r>
        <w:rPr>
          <w:spacing w:val="-2"/>
          <w:vertAlign w:val="baseline"/>
        </w:rPr>
        <w:t> </w:t>
      </w:r>
      <w:r>
        <w:rPr>
          <w:vertAlign w:val="baseline"/>
        </w:rPr>
        <w:t>possibility</w:t>
      </w:r>
      <w:r>
        <w:rPr>
          <w:spacing w:val="-1"/>
          <w:vertAlign w:val="baseline"/>
        </w:rPr>
        <w:t> </w:t>
      </w:r>
      <w:r>
        <w:rPr>
          <w:vertAlign w:val="baseline"/>
        </w:rPr>
        <w:t>to</w:t>
      </w:r>
      <w:r>
        <w:rPr>
          <w:spacing w:val="-2"/>
          <w:vertAlign w:val="baseline"/>
        </w:rPr>
        <w:t> </w:t>
      </w:r>
      <w:r>
        <w:rPr>
          <w:vertAlign w:val="baseline"/>
        </w:rPr>
        <w:t>seek</w:t>
      </w:r>
      <w:r>
        <w:rPr>
          <w:spacing w:val="-1"/>
          <w:vertAlign w:val="baseline"/>
        </w:rPr>
        <w:t> </w:t>
      </w:r>
      <w:r>
        <w:rPr>
          <w:vertAlign w:val="baseline"/>
        </w:rPr>
        <w:t>a</w:t>
      </w:r>
      <w:r>
        <w:rPr>
          <w:spacing w:val="-2"/>
          <w:vertAlign w:val="baseline"/>
        </w:rPr>
        <w:t> </w:t>
      </w:r>
      <w:r>
        <w:rPr>
          <w:vertAlign w:val="baseline"/>
        </w:rPr>
        <w:t>review</w:t>
      </w:r>
      <w:r>
        <w:rPr>
          <w:spacing w:val="-1"/>
          <w:vertAlign w:val="baseline"/>
        </w:rPr>
        <w:t> </w:t>
      </w:r>
      <w:r>
        <w:rPr>
          <w:vertAlign w:val="baseline"/>
        </w:rPr>
        <w:t>of</w:t>
      </w:r>
      <w:r>
        <w:rPr>
          <w:spacing w:val="-2"/>
          <w:vertAlign w:val="baseline"/>
        </w:rPr>
        <w:t> </w:t>
      </w:r>
      <w:r>
        <w:rPr>
          <w:vertAlign w:val="baseline"/>
        </w:rPr>
        <w:t>a</w:t>
      </w:r>
      <w:r>
        <w:rPr>
          <w:spacing w:val="-2"/>
          <w:vertAlign w:val="baseline"/>
        </w:rPr>
        <w:t> </w:t>
      </w:r>
      <w:r>
        <w:rPr>
          <w:vertAlign w:val="baseline"/>
        </w:rPr>
        <w:t>decision</w:t>
      </w:r>
      <w:r>
        <w:rPr>
          <w:spacing w:val="-2"/>
          <w:vertAlign w:val="baseline"/>
        </w:rPr>
        <w:t> </w:t>
      </w:r>
      <w:r>
        <w:rPr>
          <w:vertAlign w:val="baseline"/>
        </w:rPr>
        <w:t>to</w:t>
      </w:r>
      <w:r>
        <w:rPr>
          <w:spacing w:val="-2"/>
          <w:vertAlign w:val="baseline"/>
        </w:rPr>
        <w:t> </w:t>
      </w:r>
      <w:r>
        <w:rPr>
          <w:vertAlign w:val="baseline"/>
        </w:rPr>
        <w:t>grant</w:t>
      </w:r>
      <w:r>
        <w:rPr>
          <w:spacing w:val="-1"/>
          <w:vertAlign w:val="baseline"/>
        </w:rPr>
        <w:t> </w:t>
      </w:r>
      <w:r>
        <w:rPr>
          <w:vertAlign w:val="baseline"/>
        </w:rPr>
        <w:t>immunity.</w:t>
      </w:r>
      <w:r>
        <w:rPr>
          <w:spacing w:val="-2"/>
          <w:vertAlign w:val="baseline"/>
        </w:rPr>
        <w:t> </w:t>
      </w:r>
      <w:r>
        <w:rPr>
          <w:vertAlign w:val="baseline"/>
        </w:rPr>
        <w:t>The</w:t>
      </w:r>
      <w:r>
        <w:rPr>
          <w:spacing w:val="-1"/>
          <w:vertAlign w:val="baseline"/>
        </w:rPr>
        <w:t> </w:t>
      </w:r>
      <w:r>
        <w:rPr>
          <w:vertAlign w:val="baseline"/>
        </w:rPr>
        <w:t>NIHRC</w:t>
      </w:r>
      <w:r>
        <w:rPr>
          <w:spacing w:val="-2"/>
          <w:vertAlign w:val="baseline"/>
        </w:rPr>
        <w:t> </w:t>
      </w:r>
      <w:r>
        <w:rPr>
          <w:vertAlign w:val="baseline"/>
        </w:rPr>
        <w:t>also raised</w:t>
      </w:r>
      <w:r>
        <w:rPr>
          <w:spacing w:val="-5"/>
          <w:vertAlign w:val="baseline"/>
        </w:rPr>
        <w:t> </w:t>
      </w:r>
      <w:r>
        <w:rPr>
          <w:vertAlign w:val="baseline"/>
        </w:rPr>
        <w:t>concerns</w:t>
      </w:r>
      <w:r>
        <w:rPr>
          <w:spacing w:val="-5"/>
          <w:vertAlign w:val="baseline"/>
        </w:rPr>
        <w:t> </w:t>
      </w:r>
      <w:r>
        <w:rPr>
          <w:vertAlign w:val="baseline"/>
        </w:rPr>
        <w:t>about</w:t>
      </w:r>
      <w:r>
        <w:rPr>
          <w:spacing w:val="-5"/>
          <w:vertAlign w:val="baseline"/>
        </w:rPr>
        <w:t> </w:t>
      </w:r>
      <w:r>
        <w:rPr>
          <w:vertAlign w:val="baseline"/>
        </w:rPr>
        <w:t>the</w:t>
      </w:r>
      <w:r>
        <w:rPr>
          <w:spacing w:val="-5"/>
          <w:vertAlign w:val="baseline"/>
        </w:rPr>
        <w:t> </w:t>
      </w:r>
      <w:r>
        <w:rPr>
          <w:vertAlign w:val="baseline"/>
        </w:rPr>
        <w:t>closing</w:t>
      </w:r>
      <w:r>
        <w:rPr>
          <w:spacing w:val="-5"/>
          <w:vertAlign w:val="baseline"/>
        </w:rPr>
        <w:t> </w:t>
      </w:r>
      <w:r>
        <w:rPr>
          <w:vertAlign w:val="baseline"/>
        </w:rPr>
        <w:t>down</w:t>
      </w:r>
      <w:r>
        <w:rPr>
          <w:spacing w:val="-5"/>
          <w:vertAlign w:val="baseline"/>
        </w:rPr>
        <w:t> </w:t>
      </w:r>
      <w:r>
        <w:rPr>
          <w:vertAlign w:val="baseline"/>
        </w:rPr>
        <w:t>of</w:t>
      </w:r>
      <w:r>
        <w:rPr>
          <w:spacing w:val="-5"/>
          <w:vertAlign w:val="baseline"/>
        </w:rPr>
        <w:t> </w:t>
      </w:r>
      <w:r>
        <w:rPr>
          <w:vertAlign w:val="baseline"/>
        </w:rPr>
        <w:t>other</w:t>
      </w:r>
      <w:r>
        <w:rPr>
          <w:spacing w:val="-5"/>
          <w:vertAlign w:val="baseline"/>
        </w:rPr>
        <w:t> </w:t>
      </w:r>
      <w:r>
        <w:rPr>
          <w:vertAlign w:val="baseline"/>
        </w:rPr>
        <w:t>avenues</w:t>
      </w:r>
      <w:r>
        <w:rPr>
          <w:spacing w:val="-5"/>
          <w:vertAlign w:val="baseline"/>
        </w:rPr>
        <w:t> </w:t>
      </w:r>
      <w:r>
        <w:rPr>
          <w:vertAlign w:val="baseline"/>
        </w:rPr>
        <w:t>of</w:t>
      </w:r>
      <w:r>
        <w:rPr>
          <w:spacing w:val="-5"/>
          <w:vertAlign w:val="baseline"/>
        </w:rPr>
        <w:t> </w:t>
      </w:r>
      <w:r>
        <w:rPr>
          <w:vertAlign w:val="baseline"/>
        </w:rPr>
        <w:t>redress</w:t>
      </w:r>
      <w:r>
        <w:rPr>
          <w:spacing w:val="-5"/>
          <w:vertAlign w:val="baseline"/>
        </w:rPr>
        <w:t> </w:t>
      </w:r>
      <w:r>
        <w:rPr>
          <w:vertAlign w:val="baseline"/>
        </w:rPr>
        <w:t>apart</w:t>
      </w:r>
      <w:r>
        <w:rPr>
          <w:spacing w:val="-5"/>
          <w:vertAlign w:val="baseline"/>
        </w:rPr>
        <w:t> </w:t>
      </w:r>
      <w:r>
        <w:rPr>
          <w:vertAlign w:val="baseline"/>
        </w:rPr>
        <w:t>from</w:t>
      </w:r>
      <w:r>
        <w:rPr>
          <w:spacing w:val="-5"/>
          <w:vertAlign w:val="baseline"/>
        </w:rPr>
        <w:t> </w:t>
      </w:r>
      <w:r>
        <w:rPr>
          <w:vertAlign w:val="baseline"/>
        </w:rPr>
        <w:t>the ICRIR as interfering with the right to an effective remedy as a general principle of EU law relevant to the Directive.</w:t>
      </w:r>
      <w:r>
        <w:rPr>
          <w:vertAlign w:val="superscript"/>
        </w:rPr>
        <w:t>255</w:t>
      </w:r>
    </w:p>
    <w:p>
      <w:pPr>
        <w:pStyle w:val="BodyText"/>
        <w:spacing w:line="232" w:lineRule="auto" w:before="265"/>
        <w:ind w:left="720" w:right="1087"/>
      </w:pPr>
      <w:r>
        <w:rPr/>
        <w:t>The</w:t>
      </w:r>
      <w:r>
        <w:rPr>
          <w:spacing w:val="-4"/>
        </w:rPr>
        <w:t> </w:t>
      </w:r>
      <w:r>
        <w:rPr/>
        <w:t>UK</w:t>
      </w:r>
      <w:r>
        <w:rPr>
          <w:spacing w:val="-4"/>
        </w:rPr>
        <w:t> </w:t>
      </w:r>
      <w:r>
        <w:rPr/>
        <w:t>Government</w:t>
      </w:r>
      <w:r>
        <w:rPr>
          <w:spacing w:val="-4"/>
        </w:rPr>
        <w:t> </w:t>
      </w:r>
      <w:r>
        <w:rPr/>
        <w:t>did</w:t>
      </w:r>
      <w:r>
        <w:rPr>
          <w:spacing w:val="-5"/>
        </w:rPr>
        <w:t> </w:t>
      </w:r>
      <w:r>
        <w:rPr/>
        <w:t>introduce</w:t>
      </w:r>
      <w:r>
        <w:rPr>
          <w:spacing w:val="-4"/>
        </w:rPr>
        <w:t> </w:t>
      </w:r>
      <w:r>
        <w:rPr/>
        <w:t>some</w:t>
      </w:r>
      <w:r>
        <w:rPr>
          <w:spacing w:val="-4"/>
        </w:rPr>
        <w:t> </w:t>
      </w:r>
      <w:r>
        <w:rPr/>
        <w:t>amendments</w:t>
      </w:r>
      <w:r>
        <w:rPr>
          <w:spacing w:val="-5"/>
        </w:rPr>
        <w:t> </w:t>
      </w:r>
      <w:r>
        <w:rPr/>
        <w:t>to</w:t>
      </w:r>
      <w:r>
        <w:rPr>
          <w:spacing w:val="-5"/>
        </w:rPr>
        <w:t> </w:t>
      </w:r>
      <w:r>
        <w:rPr/>
        <w:t>the</w:t>
      </w:r>
      <w:r>
        <w:rPr>
          <w:spacing w:val="-4"/>
        </w:rPr>
        <w:t> </w:t>
      </w:r>
      <w:r>
        <w:rPr/>
        <w:t>Bill,</w:t>
      </w:r>
      <w:r>
        <w:rPr>
          <w:spacing w:val="-4"/>
        </w:rPr>
        <w:t> </w:t>
      </w:r>
      <w:r>
        <w:rPr/>
        <w:t>but</w:t>
      </w:r>
      <w:r>
        <w:rPr>
          <w:spacing w:val="-4"/>
        </w:rPr>
        <w:t> </w:t>
      </w:r>
      <w:r>
        <w:rPr/>
        <w:t>these</w:t>
      </w:r>
      <w:r>
        <w:rPr>
          <w:spacing w:val="-4"/>
        </w:rPr>
        <w:t> </w:t>
      </w:r>
      <w:r>
        <w:rPr/>
        <w:t>did</w:t>
      </w:r>
      <w:r>
        <w:rPr>
          <w:spacing w:val="-5"/>
        </w:rPr>
        <w:t> </w:t>
      </w:r>
      <w:r>
        <w:rPr/>
        <w:t>not address the Article 2 WF concerns identified by the NIHRC.</w:t>
      </w:r>
      <w:r>
        <w:rPr>
          <w:vertAlign w:val="superscript"/>
        </w:rPr>
        <w:t>256</w:t>
      </w:r>
    </w:p>
    <w:p>
      <w:pPr>
        <w:pStyle w:val="BodyText"/>
        <w:spacing w:line="232" w:lineRule="auto" w:before="280"/>
        <w:ind w:left="720" w:right="1327"/>
      </w:pPr>
      <w:r>
        <w:rPr/>
        <w:t>In a letter to the House of Lords sub-committee, the Government sought to allay the NIHRC concerns.</w:t>
      </w:r>
      <w:r>
        <w:rPr>
          <w:vertAlign w:val="superscript"/>
        </w:rPr>
        <w:t>257</w:t>
      </w:r>
      <w:r>
        <w:rPr>
          <w:vertAlign w:val="baseline"/>
        </w:rPr>
        <w:t> According to the Government, they ‘would expect’ that the</w:t>
      </w:r>
      <w:r>
        <w:rPr>
          <w:spacing w:val="-6"/>
          <w:vertAlign w:val="baseline"/>
        </w:rPr>
        <w:t> </w:t>
      </w:r>
      <w:r>
        <w:rPr>
          <w:vertAlign w:val="baseline"/>
        </w:rPr>
        <w:t>ICRIR</w:t>
      </w:r>
      <w:r>
        <w:rPr>
          <w:spacing w:val="-7"/>
          <w:vertAlign w:val="baseline"/>
        </w:rPr>
        <w:t> </w:t>
      </w:r>
      <w:r>
        <w:rPr>
          <w:vertAlign w:val="baseline"/>
        </w:rPr>
        <w:t>standards</w:t>
      </w:r>
      <w:r>
        <w:rPr>
          <w:spacing w:val="-7"/>
          <w:vertAlign w:val="baseline"/>
        </w:rPr>
        <w:t> </w:t>
      </w:r>
      <w:r>
        <w:rPr>
          <w:vertAlign w:val="baseline"/>
        </w:rPr>
        <w:t>for</w:t>
      </w:r>
      <w:r>
        <w:rPr>
          <w:spacing w:val="-6"/>
          <w:vertAlign w:val="baseline"/>
        </w:rPr>
        <w:t> </w:t>
      </w:r>
      <w:r>
        <w:rPr>
          <w:vertAlign w:val="baseline"/>
        </w:rPr>
        <w:t>involving</w:t>
      </w:r>
      <w:r>
        <w:rPr>
          <w:spacing w:val="-6"/>
          <w:vertAlign w:val="baseline"/>
        </w:rPr>
        <w:t> </w:t>
      </w:r>
      <w:r>
        <w:rPr>
          <w:vertAlign w:val="baseline"/>
        </w:rPr>
        <w:t>victims</w:t>
      </w:r>
      <w:r>
        <w:rPr>
          <w:spacing w:val="-7"/>
          <w:vertAlign w:val="baseline"/>
        </w:rPr>
        <w:t> </w:t>
      </w:r>
      <w:r>
        <w:rPr>
          <w:vertAlign w:val="baseline"/>
        </w:rPr>
        <w:t>and</w:t>
      </w:r>
      <w:r>
        <w:rPr>
          <w:spacing w:val="-7"/>
          <w:vertAlign w:val="baseline"/>
        </w:rPr>
        <w:t> </w:t>
      </w:r>
      <w:r>
        <w:rPr>
          <w:vertAlign w:val="baseline"/>
        </w:rPr>
        <w:t>families</w:t>
      </w:r>
      <w:r>
        <w:rPr>
          <w:spacing w:val="-7"/>
          <w:vertAlign w:val="baseline"/>
        </w:rPr>
        <w:t> </w:t>
      </w:r>
      <w:r>
        <w:rPr>
          <w:vertAlign w:val="baseline"/>
        </w:rPr>
        <w:t>would</w:t>
      </w:r>
      <w:r>
        <w:rPr>
          <w:spacing w:val="-7"/>
          <w:vertAlign w:val="baseline"/>
        </w:rPr>
        <w:t> </w:t>
      </w:r>
      <w:r>
        <w:rPr>
          <w:vertAlign w:val="baseline"/>
        </w:rPr>
        <w:t>be</w:t>
      </w:r>
      <w:r>
        <w:rPr>
          <w:spacing w:val="-6"/>
          <w:vertAlign w:val="baseline"/>
        </w:rPr>
        <w:t> </w:t>
      </w:r>
      <w:r>
        <w:rPr>
          <w:vertAlign w:val="baseline"/>
        </w:rPr>
        <w:t>at</w:t>
      </w:r>
      <w:r>
        <w:rPr>
          <w:spacing w:val="-6"/>
          <w:vertAlign w:val="baseline"/>
        </w:rPr>
        <w:t> </w:t>
      </w:r>
      <w:r>
        <w:rPr>
          <w:vertAlign w:val="baseline"/>
        </w:rPr>
        <w:t>least</w:t>
      </w:r>
      <w:r>
        <w:rPr>
          <w:spacing w:val="-6"/>
          <w:vertAlign w:val="baseline"/>
        </w:rPr>
        <w:t> </w:t>
      </w:r>
      <w:r>
        <w:rPr>
          <w:vertAlign w:val="baseline"/>
        </w:rPr>
        <w:t>equivalent to that applied by police forces. The Government disagreed that the granting of</w:t>
      </w:r>
    </w:p>
    <w:p>
      <w:pPr>
        <w:pStyle w:val="BodyText"/>
        <w:spacing w:before="107"/>
        <w:rPr>
          <w:sz w:val="20"/>
        </w:rPr>
      </w:pPr>
      <w:r>
        <w:rPr/>
        <mc:AlternateContent>
          <mc:Choice Requires="wps">
            <w:drawing>
              <wp:anchor distT="0" distB="0" distL="0" distR="0" allowOverlap="1" layoutInCell="1" locked="0" behindDoc="1" simplePos="0" relativeHeight="487671808">
                <wp:simplePos x="0" y="0"/>
                <wp:positionH relativeFrom="page">
                  <wp:posOffset>647999</wp:posOffset>
                </wp:positionH>
                <wp:positionV relativeFrom="paragraph">
                  <wp:posOffset>238384</wp:posOffset>
                </wp:positionV>
                <wp:extent cx="6012180" cy="1270"/>
                <wp:effectExtent l="0" t="0" r="0" b="0"/>
                <wp:wrapTopAndBottom/>
                <wp:docPr id="456" name="Graphic 456"/>
                <wp:cNvGraphicFramePr>
                  <a:graphicFrameLocks/>
                </wp:cNvGraphicFramePr>
                <a:graphic>
                  <a:graphicData uri="http://schemas.microsoft.com/office/word/2010/wordprocessingShape">
                    <wps:wsp>
                      <wps:cNvPr id="456" name="Graphic 45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8.770426pt;width:473.4pt;height:.1pt;mso-position-horizontal-relative:page;mso-position-vertical-relative:paragraph;z-index:-15644672;mso-wrap-distance-left:0;mso-wrap-distance-right:0" id="docshape362" coordorigin="1020,375" coordsize="9468,0" path="m1020,375l10488,375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441" w:hanging="567"/>
        <w:jc w:val="left"/>
        <w:rPr>
          <w:sz w:val="18"/>
        </w:rPr>
      </w:pPr>
      <w:r>
        <w:rPr>
          <w:sz w:val="18"/>
        </w:rPr>
        <w:t>Department</w:t>
      </w:r>
      <w:r>
        <w:rPr>
          <w:spacing w:val="-6"/>
          <w:sz w:val="18"/>
        </w:rPr>
        <w:t> </w:t>
      </w:r>
      <w:r>
        <w:rPr>
          <w:sz w:val="18"/>
        </w:rPr>
        <w:t>for</w:t>
      </w:r>
      <w:r>
        <w:rPr>
          <w:spacing w:val="-6"/>
          <w:sz w:val="18"/>
        </w:rPr>
        <w:t> </w:t>
      </w:r>
      <w:r>
        <w:rPr>
          <w:sz w:val="18"/>
        </w:rPr>
        <w:t>Foreign</w:t>
      </w:r>
      <w:r>
        <w:rPr>
          <w:spacing w:val="-7"/>
          <w:sz w:val="18"/>
        </w:rPr>
        <w:t> </w:t>
      </w:r>
      <w:r>
        <w:rPr>
          <w:sz w:val="18"/>
        </w:rPr>
        <w:t>Affairs,</w:t>
      </w:r>
      <w:r>
        <w:rPr>
          <w:spacing w:val="-6"/>
          <w:sz w:val="18"/>
        </w:rPr>
        <w:t> </w:t>
      </w:r>
      <w:hyperlink r:id="rId69">
        <w:r>
          <w:rPr>
            <w:color w:val="1D71B8"/>
            <w:sz w:val="18"/>
            <w:u w:val="single" w:color="1D71B8"/>
          </w:rPr>
          <w:t>Statement</w:t>
        </w:r>
        <w:r>
          <w:rPr>
            <w:color w:val="1D71B8"/>
            <w:spacing w:val="-6"/>
            <w:sz w:val="18"/>
            <w:u w:val="single" w:color="1D71B8"/>
          </w:rPr>
          <w:t> </w:t>
        </w:r>
        <w:r>
          <w:rPr>
            <w:color w:val="1D71B8"/>
            <w:sz w:val="18"/>
            <w:u w:val="single" w:color="1D71B8"/>
          </w:rPr>
          <w:t>by</w:t>
        </w:r>
        <w:r>
          <w:rPr>
            <w:color w:val="1D71B8"/>
            <w:spacing w:val="-6"/>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Tánaiste</w:t>
        </w:r>
        <w:r>
          <w:rPr>
            <w:color w:val="1D71B8"/>
            <w:spacing w:val="-6"/>
            <w:sz w:val="18"/>
            <w:u w:val="single" w:color="1D71B8"/>
          </w:rPr>
          <w:t> </w:t>
        </w:r>
        <w:r>
          <w:rPr>
            <w:color w:val="1D71B8"/>
            <w:sz w:val="18"/>
            <w:u w:val="single" w:color="1D71B8"/>
          </w:rPr>
          <w:t>,</w:t>
        </w:r>
        <w:r>
          <w:rPr>
            <w:color w:val="1D71B8"/>
            <w:spacing w:val="-6"/>
            <w:sz w:val="18"/>
            <w:u w:val="single" w:color="1D71B8"/>
          </w:rPr>
          <w:t> </w:t>
        </w:r>
        <w:r>
          <w:rPr>
            <w:color w:val="1D71B8"/>
            <w:sz w:val="18"/>
            <w:u w:val="single" w:color="1D71B8"/>
          </w:rPr>
          <w:t>Micheál</w:t>
        </w:r>
        <w:r>
          <w:rPr>
            <w:color w:val="1D71B8"/>
            <w:spacing w:val="-7"/>
            <w:sz w:val="18"/>
            <w:u w:val="single" w:color="1D71B8"/>
          </w:rPr>
          <w:t> </w:t>
        </w:r>
        <w:r>
          <w:rPr>
            <w:color w:val="1D71B8"/>
            <w:sz w:val="18"/>
            <w:u w:val="single" w:color="1D71B8"/>
          </w:rPr>
          <w:t>Martin,</w:t>
        </w:r>
        <w:r>
          <w:rPr>
            <w:color w:val="1D71B8"/>
            <w:spacing w:val="-6"/>
            <w:sz w:val="18"/>
            <w:u w:val="single" w:color="1D71B8"/>
          </w:rPr>
          <w:t> </w:t>
        </w:r>
        <w:r>
          <w:rPr>
            <w:color w:val="1D71B8"/>
            <w:sz w:val="18"/>
            <w:u w:val="single" w:color="1D71B8"/>
          </w:rPr>
          <w:t>on</w:t>
        </w:r>
        <w:r>
          <w:rPr>
            <w:color w:val="1D71B8"/>
            <w:spacing w:val="-7"/>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Government</w:t>
        </w:r>
        <w:r>
          <w:rPr>
            <w:color w:val="1D71B8"/>
            <w:spacing w:val="-6"/>
            <w:sz w:val="18"/>
            <w:u w:val="single" w:color="1D71B8"/>
          </w:rPr>
          <w:t> </w:t>
        </w:r>
        <w:r>
          <w:rPr>
            <w:color w:val="1D71B8"/>
            <w:sz w:val="18"/>
            <w:u w:val="single" w:color="1D71B8"/>
          </w:rPr>
          <w:t>decision</w:t>
        </w:r>
        <w:r>
          <w:rPr>
            <w:color w:val="1D71B8"/>
            <w:spacing w:val="-7"/>
            <w:sz w:val="18"/>
            <w:u w:val="single" w:color="1D71B8"/>
          </w:rPr>
          <w:t> </w:t>
        </w:r>
        <w:r>
          <w:rPr>
            <w:color w:val="1D71B8"/>
            <w:sz w:val="18"/>
            <w:u w:val="single" w:color="1D71B8"/>
          </w:rPr>
          <w:t>to</w:t>
        </w:r>
        <w:r>
          <w:rPr>
            <w:color w:val="1D71B8"/>
            <w:spacing w:val="-7"/>
            <w:sz w:val="18"/>
            <w:u w:val="single" w:color="1D71B8"/>
          </w:rPr>
          <w:t> </w:t>
        </w:r>
        <w:r>
          <w:rPr>
            <w:color w:val="1D71B8"/>
            <w:sz w:val="18"/>
            <w:u w:val="single" w:color="1D71B8"/>
          </w:rPr>
          <w:t>initiate</w:t>
        </w:r>
        <w:r>
          <w:rPr>
            <w:color w:val="1D71B8"/>
            <w:spacing w:val="-6"/>
            <w:sz w:val="18"/>
            <w:u w:val="single" w:color="1D71B8"/>
          </w:rPr>
          <w:t> </w:t>
        </w:r>
        <w:r>
          <w:rPr>
            <w:color w:val="1D71B8"/>
            <w:sz w:val="18"/>
            <w:u w:val="single" w:color="1D71B8"/>
          </w:rPr>
          <w:t>an</w:t>
        </w:r>
      </w:hyperlink>
      <w:r>
        <w:rPr>
          <w:color w:val="1D71B8"/>
          <w:sz w:val="18"/>
          <w:u w:val="none"/>
        </w:rPr>
        <w:t> </w:t>
      </w:r>
      <w:hyperlink r:id="rId69">
        <w:r>
          <w:rPr>
            <w:color w:val="1D71B8"/>
            <w:sz w:val="18"/>
            <w:u w:val="single" w:color="1D71B8"/>
          </w:rPr>
          <w:t>inter-State case against the United Kingdom</w:t>
        </w:r>
      </w:hyperlink>
      <w:r>
        <w:rPr>
          <w:color w:val="1D71B8"/>
          <w:sz w:val="18"/>
          <w:u w:val="none"/>
        </w:rPr>
        <w:t> </w:t>
      </w:r>
      <w:r>
        <w:rPr>
          <w:sz w:val="18"/>
          <w:u w:val="none"/>
        </w:rPr>
        <w:t>(20 December 2023); Northern Ireland Office, </w:t>
      </w:r>
      <w:hyperlink r:id="rId70">
        <w:r>
          <w:rPr>
            <w:color w:val="1D71B8"/>
            <w:sz w:val="18"/>
            <w:u w:val="single" w:color="1D71B8"/>
          </w:rPr>
          <w:t>Statement in response to</w:t>
        </w:r>
      </w:hyperlink>
      <w:r>
        <w:rPr>
          <w:color w:val="1D71B8"/>
          <w:sz w:val="18"/>
          <w:u w:val="none"/>
        </w:rPr>
        <w:t> </w:t>
      </w:r>
      <w:hyperlink r:id="rId70">
        <w:r>
          <w:rPr>
            <w:color w:val="1D71B8"/>
            <w:sz w:val="18"/>
            <w:u w:val="single" w:color="1D71B8"/>
          </w:rPr>
          <w:t>legacy inter-state case by the Irish Government</w:t>
        </w:r>
      </w:hyperlink>
      <w:r>
        <w:rPr>
          <w:color w:val="1D71B8"/>
          <w:sz w:val="18"/>
          <w:u w:val="none"/>
        </w:rPr>
        <w:t> </w:t>
      </w:r>
      <w:r>
        <w:rPr>
          <w:sz w:val="18"/>
          <w:u w:val="none"/>
        </w:rPr>
        <w:t>(20 December 2023).</w:t>
      </w:r>
    </w:p>
    <w:p>
      <w:pPr>
        <w:pStyle w:val="ListParagraph"/>
        <w:numPr>
          <w:ilvl w:val="0"/>
          <w:numId w:val="18"/>
        </w:numPr>
        <w:tabs>
          <w:tab w:pos="1287" w:val="left" w:leader="none"/>
        </w:tabs>
        <w:spacing w:line="240" w:lineRule="auto" w:before="1" w:after="0"/>
        <w:ind w:left="1287" w:right="1416" w:hanging="567"/>
        <w:jc w:val="left"/>
        <w:rPr>
          <w:sz w:val="18"/>
        </w:rPr>
      </w:pPr>
      <w:r>
        <w:rPr>
          <w:sz w:val="18"/>
        </w:rPr>
        <w:t>Hansard,</w:t>
      </w:r>
      <w:r>
        <w:rPr>
          <w:spacing w:val="-7"/>
          <w:sz w:val="18"/>
        </w:rPr>
        <w:t> </w:t>
      </w:r>
      <w:hyperlink r:id="rId71">
        <w:r>
          <w:rPr>
            <w:color w:val="1D71B8"/>
            <w:sz w:val="18"/>
            <w:u w:val="single" w:color="1D71B8"/>
          </w:rPr>
          <w:t>Northern</w:t>
        </w:r>
        <w:r>
          <w:rPr>
            <w:color w:val="1D71B8"/>
            <w:spacing w:val="-7"/>
            <w:sz w:val="18"/>
            <w:u w:val="single" w:color="1D71B8"/>
          </w:rPr>
          <w:t> </w:t>
        </w:r>
        <w:r>
          <w:rPr>
            <w:color w:val="1D71B8"/>
            <w:sz w:val="18"/>
            <w:u w:val="single" w:color="1D71B8"/>
          </w:rPr>
          <w:t>Ireland</w:t>
        </w:r>
        <w:r>
          <w:rPr>
            <w:color w:val="1D71B8"/>
            <w:spacing w:val="-7"/>
            <w:sz w:val="18"/>
            <w:u w:val="single" w:color="1D71B8"/>
          </w:rPr>
          <w:t> </w:t>
        </w:r>
        <w:r>
          <w:rPr>
            <w:color w:val="1D71B8"/>
            <w:sz w:val="18"/>
            <w:u w:val="single" w:color="1D71B8"/>
          </w:rPr>
          <w:t>Troubles</w:t>
        </w:r>
        <w:r>
          <w:rPr>
            <w:color w:val="1D71B8"/>
            <w:spacing w:val="-7"/>
            <w:sz w:val="18"/>
            <w:u w:val="single" w:color="1D71B8"/>
          </w:rPr>
          <w:t> </w:t>
        </w:r>
        <w:r>
          <w:rPr>
            <w:color w:val="1D71B8"/>
            <w:sz w:val="18"/>
            <w:u w:val="single" w:color="1D71B8"/>
          </w:rPr>
          <w:t>(Legacy</w:t>
        </w:r>
        <w:r>
          <w:rPr>
            <w:color w:val="1D71B8"/>
            <w:spacing w:val="-6"/>
            <w:sz w:val="18"/>
            <w:u w:val="single" w:color="1D71B8"/>
          </w:rPr>
          <w:t> </w:t>
        </w:r>
        <w:r>
          <w:rPr>
            <w:color w:val="1D71B8"/>
            <w:sz w:val="18"/>
            <w:u w:val="single" w:color="1D71B8"/>
          </w:rPr>
          <w:t>and</w:t>
        </w:r>
        <w:r>
          <w:rPr>
            <w:color w:val="1D71B8"/>
            <w:spacing w:val="-7"/>
            <w:sz w:val="18"/>
            <w:u w:val="single" w:color="1D71B8"/>
          </w:rPr>
          <w:t> </w:t>
        </w:r>
        <w:r>
          <w:rPr>
            <w:color w:val="1D71B8"/>
            <w:sz w:val="18"/>
            <w:u w:val="single" w:color="1D71B8"/>
          </w:rPr>
          <w:t>Reconciliation)</w:t>
        </w:r>
        <w:r>
          <w:rPr>
            <w:color w:val="1D71B8"/>
            <w:spacing w:val="-6"/>
            <w:sz w:val="18"/>
            <w:u w:val="single" w:color="1D71B8"/>
          </w:rPr>
          <w:t> </w:t>
        </w:r>
        <w:r>
          <w:rPr>
            <w:color w:val="1D71B8"/>
            <w:sz w:val="18"/>
            <w:u w:val="single" w:color="1D71B8"/>
          </w:rPr>
          <w:t>Bill;</w:t>
        </w:r>
        <w:r>
          <w:rPr>
            <w:color w:val="1D71B8"/>
            <w:spacing w:val="-6"/>
            <w:sz w:val="18"/>
            <w:u w:val="single" w:color="1D71B8"/>
          </w:rPr>
          <w:t> </w:t>
        </w:r>
        <w:r>
          <w:rPr>
            <w:color w:val="1D71B8"/>
            <w:sz w:val="18"/>
            <w:u w:val="single" w:color="1D71B8"/>
          </w:rPr>
          <w:t>Volume</w:t>
        </w:r>
        <w:r>
          <w:rPr>
            <w:color w:val="1D71B8"/>
            <w:spacing w:val="-6"/>
            <w:sz w:val="18"/>
            <w:u w:val="single" w:color="1D71B8"/>
          </w:rPr>
          <w:t> </w:t>
        </w:r>
        <w:r>
          <w:rPr>
            <w:color w:val="1D71B8"/>
            <w:sz w:val="18"/>
            <w:u w:val="single" w:color="1D71B8"/>
          </w:rPr>
          <w:t>737:</w:t>
        </w:r>
        <w:r>
          <w:rPr>
            <w:color w:val="1D71B8"/>
            <w:spacing w:val="-6"/>
            <w:sz w:val="18"/>
            <w:u w:val="single" w:color="1D71B8"/>
          </w:rPr>
          <w:t> </w:t>
        </w:r>
        <w:r>
          <w:rPr>
            <w:color w:val="1D71B8"/>
            <w:sz w:val="18"/>
            <w:u w:val="single" w:color="1D71B8"/>
          </w:rPr>
          <w:t>debated</w:t>
        </w:r>
        <w:r>
          <w:rPr>
            <w:color w:val="1D71B8"/>
            <w:spacing w:val="-7"/>
            <w:sz w:val="18"/>
            <w:u w:val="single" w:color="1D71B8"/>
          </w:rPr>
          <w:t> </w:t>
        </w:r>
        <w:r>
          <w:rPr>
            <w:color w:val="1D71B8"/>
            <w:sz w:val="18"/>
            <w:u w:val="single" w:color="1D71B8"/>
          </w:rPr>
          <w:t>on</w:t>
        </w:r>
        <w:r>
          <w:rPr>
            <w:color w:val="1D71B8"/>
            <w:spacing w:val="-7"/>
            <w:sz w:val="18"/>
            <w:u w:val="single" w:color="1D71B8"/>
          </w:rPr>
          <w:t> </w:t>
        </w:r>
        <w:r>
          <w:rPr>
            <w:color w:val="1D71B8"/>
            <w:sz w:val="18"/>
            <w:u w:val="single" w:color="1D71B8"/>
          </w:rPr>
          <w:t>Wednesday</w:t>
        </w:r>
        <w:r>
          <w:rPr>
            <w:color w:val="1D71B8"/>
            <w:spacing w:val="-6"/>
            <w:sz w:val="18"/>
            <w:u w:val="single" w:color="1D71B8"/>
          </w:rPr>
          <w:t> </w:t>
        </w:r>
        <w:r>
          <w:rPr>
            <w:color w:val="1D71B8"/>
            <w:sz w:val="18"/>
            <w:u w:val="single" w:color="1D71B8"/>
          </w:rPr>
          <w:t>6</w:t>
        </w:r>
        <w:r>
          <w:rPr>
            <w:color w:val="1D71B8"/>
            <w:spacing w:val="-6"/>
            <w:sz w:val="18"/>
            <w:u w:val="single" w:color="1D71B8"/>
          </w:rPr>
          <w:t> </w:t>
        </w:r>
        <w:r>
          <w:rPr>
            <w:color w:val="1D71B8"/>
            <w:sz w:val="18"/>
            <w:u w:val="single" w:color="1D71B8"/>
          </w:rPr>
          <w:t>September</w:t>
        </w:r>
      </w:hyperlink>
      <w:r>
        <w:rPr>
          <w:color w:val="1D71B8"/>
          <w:sz w:val="18"/>
          <w:u w:val="none"/>
        </w:rPr>
        <w:t> </w:t>
      </w:r>
      <w:hyperlink r:id="rId71">
        <w:r>
          <w:rPr>
            <w:color w:val="1D71B8"/>
            <w:sz w:val="18"/>
            <w:u w:val="single" w:color="1D71B8"/>
          </w:rPr>
          <w:t>2023</w:t>
        </w:r>
      </w:hyperlink>
      <w:r>
        <w:rPr>
          <w:sz w:val="18"/>
          <w:u w:val="none"/>
        </w:rPr>
        <w:t>, speech by Hilary Benn.</w:t>
      </w:r>
    </w:p>
    <w:p>
      <w:pPr>
        <w:pStyle w:val="ListParagraph"/>
        <w:numPr>
          <w:ilvl w:val="0"/>
          <w:numId w:val="18"/>
        </w:numPr>
        <w:tabs>
          <w:tab w:pos="1287" w:val="left" w:leader="none"/>
        </w:tabs>
        <w:spacing w:line="240" w:lineRule="auto" w:before="1" w:after="0"/>
        <w:ind w:left="1287" w:right="1173" w:hanging="567"/>
        <w:jc w:val="left"/>
        <w:rPr>
          <w:sz w:val="18"/>
        </w:rPr>
      </w:pPr>
      <w:r>
        <w:rPr>
          <w:color w:val="1D71B8"/>
          <w:sz w:val="18"/>
          <w:u w:val="single" w:color="1D71B8"/>
        </w:rPr>
        <w:t>Directive</w:t>
      </w:r>
      <w:r>
        <w:rPr>
          <w:color w:val="1D71B8"/>
          <w:spacing w:val="-4"/>
          <w:sz w:val="18"/>
          <w:u w:val="single" w:color="1D71B8"/>
        </w:rPr>
        <w:t> </w:t>
      </w:r>
      <w:r>
        <w:rPr>
          <w:color w:val="1D71B8"/>
          <w:sz w:val="18"/>
          <w:u w:val="single" w:color="1D71B8"/>
        </w:rPr>
        <w:t>2012/29/EU</w:t>
      </w:r>
      <w:r>
        <w:rPr>
          <w:color w:val="1D71B8"/>
          <w:spacing w:val="-6"/>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w:t>
      </w:r>
      <w:r>
        <w:rPr>
          <w:spacing w:val="-4"/>
          <w:sz w:val="18"/>
          <w:u w:val="none"/>
        </w:rPr>
        <w:t> </w:t>
      </w:r>
      <w:r>
        <w:rPr>
          <w:sz w:val="18"/>
          <w:u w:val="none"/>
        </w:rPr>
        <w:t>and</w:t>
      </w:r>
      <w:r>
        <w:rPr>
          <w:spacing w:val="-5"/>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Council</w:t>
      </w:r>
      <w:r>
        <w:rPr>
          <w:spacing w:val="-5"/>
          <w:sz w:val="18"/>
          <w:u w:val="none"/>
        </w:rPr>
        <w:t> </w:t>
      </w:r>
      <w:r>
        <w:rPr>
          <w:sz w:val="18"/>
          <w:u w:val="none"/>
        </w:rPr>
        <w:t>of</w:t>
      </w:r>
      <w:r>
        <w:rPr>
          <w:spacing w:val="-5"/>
          <w:sz w:val="18"/>
          <w:u w:val="none"/>
        </w:rPr>
        <w:t> </w:t>
      </w:r>
      <w:r>
        <w:rPr>
          <w:sz w:val="18"/>
          <w:u w:val="none"/>
        </w:rPr>
        <w:t>25</w:t>
      </w:r>
      <w:r>
        <w:rPr>
          <w:spacing w:val="-4"/>
          <w:sz w:val="18"/>
          <w:u w:val="none"/>
        </w:rPr>
        <w:t> </w:t>
      </w:r>
      <w:r>
        <w:rPr>
          <w:sz w:val="18"/>
          <w:u w:val="none"/>
        </w:rPr>
        <w:t>October</w:t>
      </w:r>
      <w:r>
        <w:rPr>
          <w:spacing w:val="-4"/>
          <w:sz w:val="18"/>
          <w:u w:val="none"/>
        </w:rPr>
        <w:t> </w:t>
      </w:r>
      <w:r>
        <w:rPr>
          <w:sz w:val="18"/>
          <w:u w:val="none"/>
        </w:rPr>
        <w:t>2012</w:t>
      </w:r>
      <w:r>
        <w:rPr>
          <w:spacing w:val="-4"/>
          <w:sz w:val="18"/>
          <w:u w:val="none"/>
        </w:rPr>
        <w:t> </w:t>
      </w:r>
      <w:r>
        <w:rPr>
          <w:sz w:val="18"/>
          <w:u w:val="none"/>
        </w:rPr>
        <w:t>establishing</w:t>
      </w:r>
      <w:r>
        <w:rPr>
          <w:spacing w:val="-4"/>
          <w:sz w:val="18"/>
          <w:u w:val="none"/>
        </w:rPr>
        <w:t> </w:t>
      </w:r>
      <w:r>
        <w:rPr>
          <w:sz w:val="18"/>
          <w:u w:val="none"/>
        </w:rPr>
        <w:t>minimum</w:t>
      </w:r>
      <w:r>
        <w:rPr>
          <w:spacing w:val="-4"/>
          <w:sz w:val="18"/>
          <w:u w:val="none"/>
        </w:rPr>
        <w:t> </w:t>
      </w:r>
      <w:r>
        <w:rPr>
          <w:sz w:val="18"/>
          <w:u w:val="none"/>
        </w:rPr>
        <w:t>standards on</w:t>
      </w:r>
      <w:r>
        <w:rPr>
          <w:spacing w:val="-1"/>
          <w:sz w:val="18"/>
          <w:u w:val="none"/>
        </w:rPr>
        <w:t> </w:t>
      </w:r>
      <w:r>
        <w:rPr>
          <w:sz w:val="18"/>
          <w:u w:val="none"/>
        </w:rPr>
        <w:t>the rights, support and</w:t>
      </w:r>
      <w:r>
        <w:rPr>
          <w:spacing w:val="-1"/>
          <w:sz w:val="18"/>
          <w:u w:val="none"/>
        </w:rPr>
        <w:t> </w:t>
      </w:r>
      <w:r>
        <w:rPr>
          <w:sz w:val="18"/>
          <w:u w:val="none"/>
        </w:rPr>
        <w:t>protection</w:t>
      </w:r>
      <w:r>
        <w:rPr>
          <w:spacing w:val="-1"/>
          <w:sz w:val="18"/>
          <w:u w:val="none"/>
        </w:rPr>
        <w:t> </w:t>
      </w:r>
      <w:r>
        <w:rPr>
          <w:sz w:val="18"/>
          <w:u w:val="none"/>
        </w:rPr>
        <w:t>of</w:t>
      </w:r>
      <w:r>
        <w:rPr>
          <w:spacing w:val="-1"/>
          <w:sz w:val="18"/>
          <w:u w:val="none"/>
        </w:rPr>
        <w:t> </w:t>
      </w:r>
      <w:r>
        <w:rPr>
          <w:sz w:val="18"/>
          <w:u w:val="none"/>
        </w:rPr>
        <w:t>victims</w:t>
      </w:r>
      <w:r>
        <w:rPr>
          <w:spacing w:val="-1"/>
          <w:sz w:val="18"/>
          <w:u w:val="none"/>
        </w:rPr>
        <w:t> </w:t>
      </w:r>
      <w:r>
        <w:rPr>
          <w:sz w:val="18"/>
          <w:u w:val="none"/>
        </w:rPr>
        <w:t>of</w:t>
      </w:r>
      <w:r>
        <w:rPr>
          <w:spacing w:val="-1"/>
          <w:sz w:val="18"/>
          <w:u w:val="none"/>
        </w:rPr>
        <w:t> </w:t>
      </w:r>
      <w:r>
        <w:rPr>
          <w:sz w:val="18"/>
          <w:u w:val="none"/>
        </w:rPr>
        <w:t>crime, and</w:t>
      </w:r>
      <w:r>
        <w:rPr>
          <w:spacing w:val="-1"/>
          <w:sz w:val="18"/>
          <w:u w:val="none"/>
        </w:rPr>
        <w:t> </w:t>
      </w:r>
      <w:r>
        <w:rPr>
          <w:sz w:val="18"/>
          <w:u w:val="none"/>
        </w:rPr>
        <w:t>replacing Council</w:t>
      </w:r>
      <w:r>
        <w:rPr>
          <w:spacing w:val="-1"/>
          <w:sz w:val="18"/>
          <w:u w:val="none"/>
        </w:rPr>
        <w:t> </w:t>
      </w:r>
      <w:r>
        <w:rPr>
          <w:sz w:val="18"/>
          <w:u w:val="none"/>
        </w:rPr>
        <w:t>Framework Decision</w:t>
      </w:r>
      <w:r>
        <w:rPr>
          <w:spacing w:val="-1"/>
          <w:sz w:val="18"/>
          <w:u w:val="none"/>
        </w:rPr>
        <w:t> </w:t>
      </w:r>
      <w:r>
        <w:rPr>
          <w:sz w:val="18"/>
          <w:u w:val="none"/>
        </w:rPr>
        <w:t>2001/220/JHA 2012.</w:t>
      </w:r>
    </w:p>
    <w:p>
      <w:pPr>
        <w:pStyle w:val="ListParagraph"/>
        <w:numPr>
          <w:ilvl w:val="0"/>
          <w:numId w:val="18"/>
        </w:numPr>
        <w:tabs>
          <w:tab w:pos="1287" w:val="left" w:leader="none"/>
        </w:tabs>
        <w:spacing w:line="240" w:lineRule="auto" w:before="0" w:after="0"/>
        <w:ind w:left="1287" w:right="1207" w:hanging="567"/>
        <w:jc w:val="left"/>
        <w:rPr>
          <w:sz w:val="18"/>
        </w:rPr>
      </w:pPr>
      <w:r>
        <w:rPr>
          <w:sz w:val="18"/>
        </w:rPr>
        <w:t>NIHRC,</w:t>
      </w:r>
      <w:r>
        <w:rPr>
          <w:spacing w:val="-5"/>
          <w:sz w:val="18"/>
        </w:rPr>
        <w:t> </w:t>
      </w:r>
      <w:r>
        <w:rPr>
          <w:color w:val="1D71B8"/>
          <w:sz w:val="18"/>
          <w:u w:val="single" w:color="1D71B8"/>
        </w:rPr>
        <w:t>Advice</w:t>
      </w:r>
      <w:r>
        <w:rPr>
          <w:color w:val="1D71B8"/>
          <w:spacing w:val="-5"/>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Northern</w:t>
      </w:r>
      <w:r>
        <w:rPr>
          <w:color w:val="1D71B8"/>
          <w:spacing w:val="-5"/>
          <w:sz w:val="18"/>
          <w:u w:val="single" w:color="1D71B8"/>
        </w:rPr>
        <w:t> </w:t>
      </w:r>
      <w:r>
        <w:rPr>
          <w:color w:val="1D71B8"/>
          <w:sz w:val="18"/>
          <w:u w:val="single" w:color="1D71B8"/>
        </w:rPr>
        <w:t>Ireland</w:t>
      </w:r>
      <w:r>
        <w:rPr>
          <w:color w:val="1D71B8"/>
          <w:spacing w:val="-5"/>
          <w:sz w:val="18"/>
          <w:u w:val="single" w:color="1D71B8"/>
        </w:rPr>
        <w:t> </w:t>
      </w:r>
      <w:r>
        <w:rPr>
          <w:color w:val="1D71B8"/>
          <w:sz w:val="18"/>
          <w:u w:val="single" w:color="1D71B8"/>
        </w:rPr>
        <w:t>Troubles</w:t>
      </w:r>
      <w:r>
        <w:rPr>
          <w:color w:val="1D71B8"/>
          <w:spacing w:val="-5"/>
          <w:sz w:val="18"/>
          <w:u w:val="single" w:color="1D71B8"/>
        </w:rPr>
        <w:t> </w:t>
      </w:r>
      <w:r>
        <w:rPr>
          <w:color w:val="1D71B8"/>
          <w:sz w:val="18"/>
          <w:u w:val="single" w:color="1D71B8"/>
        </w:rPr>
        <w:t>(Legacy</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Reconciliation)</w:t>
      </w:r>
      <w:r>
        <w:rPr>
          <w:color w:val="1D71B8"/>
          <w:spacing w:val="-5"/>
          <w:sz w:val="18"/>
          <w:u w:val="single" w:color="1D71B8"/>
        </w:rPr>
        <w:t> </w:t>
      </w:r>
      <w:r>
        <w:rPr>
          <w:color w:val="1D71B8"/>
          <w:sz w:val="18"/>
          <w:u w:val="single" w:color="1D71B8"/>
        </w:rPr>
        <w:t>Bill</w:t>
      </w:r>
      <w:r>
        <w:rPr>
          <w:color w:val="1D71B8"/>
          <w:spacing w:val="-5"/>
          <w:sz w:val="18"/>
          <w:u w:val="none"/>
        </w:rPr>
        <w:t> </w:t>
      </w:r>
      <w:r>
        <w:rPr>
          <w:sz w:val="18"/>
          <w:u w:val="none"/>
        </w:rPr>
        <w:t>(2022)</w:t>
      </w:r>
      <w:r>
        <w:rPr>
          <w:spacing w:val="-5"/>
          <w:sz w:val="18"/>
          <w:u w:val="none"/>
        </w:rPr>
        <w:t> </w:t>
      </w:r>
      <w:r>
        <w:rPr>
          <w:sz w:val="18"/>
          <w:u w:val="none"/>
        </w:rPr>
        <w:t>48,</w:t>
      </w:r>
      <w:r>
        <w:rPr>
          <w:spacing w:val="-5"/>
          <w:sz w:val="18"/>
          <w:u w:val="none"/>
        </w:rPr>
        <w:t> </w:t>
      </w:r>
      <w:r>
        <w:rPr>
          <w:sz w:val="18"/>
          <w:u w:val="none"/>
        </w:rPr>
        <w:t>referring</w:t>
      </w:r>
      <w:r>
        <w:rPr>
          <w:spacing w:val="-5"/>
          <w:sz w:val="18"/>
          <w:u w:val="none"/>
        </w:rPr>
        <w:t> </w:t>
      </w:r>
      <w:r>
        <w:rPr>
          <w:sz w:val="18"/>
          <w:u w:val="none"/>
        </w:rPr>
        <w:t>to</w:t>
      </w:r>
      <w:r>
        <w:rPr>
          <w:spacing w:val="-5"/>
          <w:sz w:val="18"/>
          <w:u w:val="none"/>
        </w:rPr>
        <w:t> </w:t>
      </w:r>
      <w:r>
        <w:rPr>
          <w:sz w:val="18"/>
          <w:u w:val="none"/>
        </w:rPr>
        <w:t>the</w:t>
      </w:r>
      <w:r>
        <w:rPr>
          <w:spacing w:val="-5"/>
          <w:sz w:val="18"/>
          <w:u w:val="none"/>
        </w:rPr>
        <w:t> </w:t>
      </w:r>
      <w:r>
        <w:rPr>
          <w:sz w:val="18"/>
          <w:u w:val="none"/>
        </w:rPr>
        <w:t>recitals,</w:t>
      </w:r>
      <w:r>
        <w:rPr>
          <w:spacing w:val="-5"/>
          <w:sz w:val="18"/>
          <w:u w:val="none"/>
        </w:rPr>
        <w:t> </w:t>
      </w:r>
      <w:r>
        <w:rPr>
          <w:sz w:val="18"/>
          <w:u w:val="none"/>
        </w:rPr>
        <w:t>Article 6 and Article 11 of the Directive.</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Ibid., </w:t>
      </w:r>
      <w:r>
        <w:rPr>
          <w:spacing w:val="-5"/>
          <w:sz w:val="18"/>
        </w:rPr>
        <w:t>52.</w:t>
      </w:r>
    </w:p>
    <w:p>
      <w:pPr>
        <w:pStyle w:val="ListParagraph"/>
        <w:numPr>
          <w:ilvl w:val="0"/>
          <w:numId w:val="18"/>
        </w:numPr>
        <w:tabs>
          <w:tab w:pos="1287" w:val="left" w:leader="none"/>
        </w:tabs>
        <w:spacing w:line="240" w:lineRule="auto" w:before="0" w:after="0"/>
        <w:ind w:left="1287" w:right="2173" w:hanging="567"/>
        <w:jc w:val="left"/>
        <w:rPr>
          <w:sz w:val="18"/>
        </w:rPr>
      </w:pPr>
      <w:r>
        <w:rPr>
          <w:sz w:val="18"/>
        </w:rPr>
        <w:t>NIHRC,</w:t>
      </w:r>
      <w:r>
        <w:rPr>
          <w:spacing w:val="-6"/>
          <w:sz w:val="18"/>
        </w:rPr>
        <w:t> </w:t>
      </w:r>
      <w:r>
        <w:rPr>
          <w:color w:val="1D71B8"/>
          <w:sz w:val="18"/>
          <w:u w:val="single" w:color="1D71B8"/>
        </w:rPr>
        <w:t>NIHRC</w:t>
      </w:r>
      <w:r>
        <w:rPr>
          <w:color w:val="1D71B8"/>
          <w:spacing w:val="-7"/>
          <w:sz w:val="18"/>
          <w:u w:val="single" w:color="1D71B8"/>
        </w:rPr>
        <w:t> </w:t>
      </w:r>
      <w:r>
        <w:rPr>
          <w:color w:val="1D71B8"/>
          <w:sz w:val="18"/>
          <w:u w:val="single" w:color="1D71B8"/>
        </w:rPr>
        <w:t>Supplementary</w:t>
      </w:r>
      <w:r>
        <w:rPr>
          <w:color w:val="1D71B8"/>
          <w:spacing w:val="-6"/>
          <w:sz w:val="18"/>
          <w:u w:val="single" w:color="1D71B8"/>
        </w:rPr>
        <w:t> </w:t>
      </w:r>
      <w:r>
        <w:rPr>
          <w:color w:val="1D71B8"/>
          <w:sz w:val="18"/>
          <w:u w:val="single" w:color="1D71B8"/>
        </w:rPr>
        <w:t>Briefing:</w:t>
      </w:r>
      <w:r>
        <w:rPr>
          <w:color w:val="1D71B8"/>
          <w:spacing w:val="-6"/>
          <w:sz w:val="18"/>
          <w:u w:val="single" w:color="1D71B8"/>
        </w:rPr>
        <w:t> </w:t>
      </w:r>
      <w:r>
        <w:rPr>
          <w:color w:val="1D71B8"/>
          <w:sz w:val="18"/>
          <w:u w:val="single" w:color="1D71B8"/>
        </w:rPr>
        <w:t>UK</w:t>
      </w:r>
      <w:r>
        <w:rPr>
          <w:color w:val="1D71B8"/>
          <w:spacing w:val="-7"/>
          <w:sz w:val="18"/>
          <w:u w:val="single" w:color="1D71B8"/>
        </w:rPr>
        <w:t> </w:t>
      </w:r>
      <w:r>
        <w:rPr>
          <w:color w:val="1D71B8"/>
          <w:sz w:val="18"/>
          <w:u w:val="single" w:color="1D71B8"/>
        </w:rPr>
        <w:t>Government’s</w:t>
      </w:r>
      <w:r>
        <w:rPr>
          <w:color w:val="1D71B8"/>
          <w:spacing w:val="-7"/>
          <w:sz w:val="18"/>
          <w:u w:val="single" w:color="1D71B8"/>
        </w:rPr>
        <w:t> </w:t>
      </w:r>
      <w:r>
        <w:rPr>
          <w:color w:val="1D71B8"/>
          <w:sz w:val="18"/>
          <w:u w:val="single" w:color="1D71B8"/>
        </w:rPr>
        <w:t>Proposed</w:t>
      </w:r>
      <w:r>
        <w:rPr>
          <w:color w:val="1D71B8"/>
          <w:spacing w:val="-7"/>
          <w:sz w:val="18"/>
          <w:u w:val="single" w:color="1D71B8"/>
        </w:rPr>
        <w:t> </w:t>
      </w:r>
      <w:r>
        <w:rPr>
          <w:color w:val="1D71B8"/>
          <w:sz w:val="18"/>
          <w:u w:val="single" w:color="1D71B8"/>
        </w:rPr>
        <w:t>Amendments</w:t>
      </w:r>
      <w:r>
        <w:rPr>
          <w:color w:val="1D71B8"/>
          <w:spacing w:val="-7"/>
          <w:sz w:val="18"/>
          <w:u w:val="single" w:color="1D71B8"/>
        </w:rPr>
        <w:t> </w:t>
      </w:r>
      <w:r>
        <w:rPr>
          <w:color w:val="1D71B8"/>
          <w:sz w:val="18"/>
          <w:u w:val="single" w:color="1D71B8"/>
        </w:rPr>
        <w:t>to</w:t>
      </w:r>
      <w:r>
        <w:rPr>
          <w:color w:val="1D71B8"/>
          <w:spacing w:val="-7"/>
          <w:sz w:val="18"/>
          <w:u w:val="single" w:color="1D71B8"/>
        </w:rPr>
        <w:t> </w:t>
      </w:r>
      <w:r>
        <w:rPr>
          <w:color w:val="1D71B8"/>
          <w:sz w:val="18"/>
          <w:u w:val="single" w:color="1D71B8"/>
        </w:rPr>
        <w:t>NI</w:t>
      </w:r>
      <w:r>
        <w:rPr>
          <w:color w:val="1D71B8"/>
          <w:spacing w:val="-6"/>
          <w:sz w:val="18"/>
          <w:u w:val="single" w:color="1D71B8"/>
        </w:rPr>
        <w:t> </w:t>
      </w:r>
      <w:r>
        <w:rPr>
          <w:color w:val="1D71B8"/>
          <w:sz w:val="18"/>
          <w:u w:val="single" w:color="1D71B8"/>
        </w:rPr>
        <w:t>Troubles</w:t>
      </w:r>
      <w:r>
        <w:rPr>
          <w:color w:val="1D71B8"/>
          <w:spacing w:val="-7"/>
          <w:sz w:val="18"/>
          <w:u w:val="single" w:color="1D71B8"/>
        </w:rPr>
        <w:t> </w:t>
      </w:r>
      <w:r>
        <w:rPr>
          <w:color w:val="1D71B8"/>
          <w:sz w:val="18"/>
          <w:u w:val="single" w:color="1D71B8"/>
        </w:rPr>
        <w:t>(Legacy</w:t>
      </w:r>
      <w:r>
        <w:rPr>
          <w:color w:val="1D71B8"/>
          <w:spacing w:val="-6"/>
          <w:sz w:val="18"/>
          <w:u w:val="single" w:color="1D71B8"/>
        </w:rPr>
        <w:t> </w:t>
      </w:r>
      <w:r>
        <w:rPr>
          <w:color w:val="1D71B8"/>
          <w:sz w:val="18"/>
          <w:u w:val="single" w:color="1D71B8"/>
        </w:rPr>
        <w:t>and</w:t>
      </w:r>
      <w:r>
        <w:rPr>
          <w:color w:val="1D71B8"/>
          <w:sz w:val="18"/>
          <w:u w:val="none"/>
        </w:rPr>
        <w:t> </w:t>
      </w:r>
      <w:r>
        <w:rPr>
          <w:color w:val="1D71B8"/>
          <w:sz w:val="18"/>
          <w:u w:val="single" w:color="1D71B8"/>
        </w:rPr>
        <w:t>Reconciliation) Bill</w:t>
      </w:r>
      <w:r>
        <w:rPr>
          <w:color w:val="1D71B8"/>
          <w:sz w:val="18"/>
          <w:u w:val="none"/>
        </w:rPr>
        <w:t> </w:t>
      </w:r>
      <w:r>
        <w:rPr>
          <w:sz w:val="18"/>
          <w:u w:val="none"/>
        </w:rPr>
        <w:t>(2023).</w:t>
      </w:r>
    </w:p>
    <w:p>
      <w:pPr>
        <w:pStyle w:val="ListParagraph"/>
        <w:numPr>
          <w:ilvl w:val="0"/>
          <w:numId w:val="18"/>
        </w:numPr>
        <w:tabs>
          <w:tab w:pos="1287" w:val="left" w:leader="none"/>
        </w:tabs>
        <w:spacing w:line="240" w:lineRule="auto" w:before="1" w:after="0"/>
        <w:ind w:left="1287" w:right="1782" w:hanging="567"/>
        <w:jc w:val="left"/>
        <w:rPr>
          <w:sz w:val="18"/>
        </w:rPr>
      </w:pPr>
      <w:r>
        <w:rPr>
          <w:sz w:val="18"/>
        </w:rPr>
        <w:t>House</w:t>
      </w:r>
      <w:r>
        <w:rPr>
          <w:spacing w:val="-4"/>
          <w:sz w:val="18"/>
        </w:rPr>
        <w:t> </w:t>
      </w:r>
      <w:r>
        <w:rPr>
          <w:sz w:val="18"/>
        </w:rPr>
        <w:t>of</w:t>
      </w:r>
      <w:r>
        <w:rPr>
          <w:spacing w:val="-5"/>
          <w:sz w:val="18"/>
        </w:rPr>
        <w:t> </w:t>
      </w:r>
      <w:r>
        <w:rPr>
          <w:sz w:val="18"/>
        </w:rPr>
        <w:t>Lords</w:t>
      </w:r>
      <w:r>
        <w:rPr>
          <w:spacing w:val="-5"/>
          <w:sz w:val="18"/>
        </w:rPr>
        <w:t> </w:t>
      </w:r>
      <w:r>
        <w:rPr>
          <w:sz w:val="18"/>
        </w:rPr>
        <w:t>Sub-Committee</w:t>
      </w:r>
      <w:r>
        <w:rPr>
          <w:spacing w:val="-4"/>
          <w:sz w:val="18"/>
        </w:rPr>
        <w:t> </w:t>
      </w:r>
      <w:r>
        <w:rPr>
          <w:sz w:val="18"/>
        </w:rPr>
        <w:t>on</w:t>
      </w:r>
      <w:r>
        <w:rPr>
          <w:spacing w:val="-5"/>
          <w:sz w:val="18"/>
        </w:rPr>
        <w:t> </w:t>
      </w:r>
      <w:r>
        <w:rPr>
          <w:sz w:val="18"/>
        </w:rPr>
        <w:t>the</w:t>
      </w:r>
      <w:r>
        <w:rPr>
          <w:spacing w:val="-4"/>
          <w:sz w:val="18"/>
        </w:rPr>
        <w:t> </w:t>
      </w:r>
      <w:r>
        <w:rPr>
          <w:sz w:val="18"/>
        </w:rPr>
        <w:t>Protocol</w:t>
      </w:r>
      <w:r>
        <w:rPr>
          <w:spacing w:val="-5"/>
          <w:sz w:val="18"/>
        </w:rPr>
        <w:t> </w:t>
      </w:r>
      <w:r>
        <w:rPr>
          <w:sz w:val="18"/>
        </w:rPr>
        <w:t>on</w:t>
      </w:r>
      <w:r>
        <w:rPr>
          <w:spacing w:val="-5"/>
          <w:sz w:val="18"/>
        </w:rPr>
        <w:t> </w:t>
      </w:r>
      <w:r>
        <w:rPr>
          <w:sz w:val="18"/>
        </w:rPr>
        <w:t>Ireland/Northern</w:t>
      </w:r>
      <w:r>
        <w:rPr>
          <w:spacing w:val="-5"/>
          <w:sz w:val="18"/>
        </w:rPr>
        <w:t> </w:t>
      </w:r>
      <w:r>
        <w:rPr>
          <w:sz w:val="18"/>
        </w:rPr>
        <w:t>Ireland,</w:t>
      </w:r>
      <w:r>
        <w:rPr>
          <w:spacing w:val="-6"/>
          <w:sz w:val="18"/>
        </w:rPr>
        <w:t> </w:t>
      </w:r>
      <w:r>
        <w:rPr>
          <w:color w:val="1D71B8"/>
          <w:sz w:val="18"/>
          <w:u w:val="single" w:color="1D71B8"/>
        </w:rPr>
        <w:t>Letter</w:t>
      </w:r>
      <w:r>
        <w:rPr>
          <w:color w:val="1D71B8"/>
          <w:spacing w:val="-4"/>
          <w:sz w:val="18"/>
          <w:u w:val="single" w:color="1D71B8"/>
        </w:rPr>
        <w:t> </w:t>
      </w:r>
      <w:r>
        <w:rPr>
          <w:color w:val="1D71B8"/>
          <w:sz w:val="18"/>
          <w:u w:val="single" w:color="1D71B8"/>
        </w:rPr>
        <w:t>from</w:t>
      </w:r>
      <w:r>
        <w:rPr>
          <w:color w:val="1D71B8"/>
          <w:spacing w:val="-4"/>
          <w:sz w:val="18"/>
          <w:u w:val="single" w:color="1D71B8"/>
        </w:rPr>
        <w:t> </w:t>
      </w:r>
      <w:r>
        <w:rPr>
          <w:color w:val="1D71B8"/>
          <w:sz w:val="18"/>
          <w:u w:val="single" w:color="1D71B8"/>
        </w:rPr>
        <w:t>Lord</w:t>
      </w:r>
      <w:r>
        <w:rPr>
          <w:color w:val="1D71B8"/>
          <w:spacing w:val="-5"/>
          <w:sz w:val="18"/>
          <w:u w:val="single" w:color="1D71B8"/>
        </w:rPr>
        <w:t> </w:t>
      </w:r>
      <w:r>
        <w:rPr>
          <w:color w:val="1D71B8"/>
          <w:sz w:val="18"/>
          <w:u w:val="single" w:color="1D71B8"/>
        </w:rPr>
        <w:t>Caine</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Lord</w:t>
      </w:r>
      <w:r>
        <w:rPr>
          <w:color w:val="1D71B8"/>
          <w:spacing w:val="-5"/>
          <w:sz w:val="18"/>
          <w:u w:val="single" w:color="1D71B8"/>
        </w:rPr>
        <w:t> </w:t>
      </w:r>
      <w:r>
        <w:rPr>
          <w:color w:val="1D71B8"/>
          <w:sz w:val="18"/>
          <w:u w:val="single" w:color="1D71B8"/>
        </w:rPr>
        <w:t>Jay</w:t>
      </w:r>
      <w:r>
        <w:rPr>
          <w:color w:val="1D71B8"/>
          <w:spacing w:val="-4"/>
          <w:sz w:val="18"/>
          <w:u w:val="single" w:color="1D71B8"/>
        </w:rPr>
        <w:t> </w:t>
      </w:r>
      <w:r>
        <w:rPr>
          <w:color w:val="1D71B8"/>
          <w:sz w:val="18"/>
          <w:u w:val="single" w:color="1D71B8"/>
        </w:rPr>
        <w:t>of</w:t>
      </w:r>
      <w:r>
        <w:rPr>
          <w:color w:val="1D71B8"/>
          <w:sz w:val="18"/>
          <w:u w:val="none"/>
        </w:rPr>
        <w:t> </w:t>
      </w:r>
      <w:r>
        <w:rPr>
          <w:color w:val="1D71B8"/>
          <w:sz w:val="18"/>
          <w:u w:val="single" w:color="1D71B8"/>
        </w:rPr>
        <w:t>Ewelme, 20 December 2022</w:t>
      </w:r>
      <w:r>
        <w:rPr>
          <w:color w:val="1D71B8"/>
          <w:sz w:val="18"/>
          <w:u w:val="none"/>
        </w:rPr>
        <w:t> </w:t>
      </w:r>
      <w:r>
        <w:rPr>
          <w:sz w:val="18"/>
          <w:u w:val="none"/>
        </w:rPr>
        <w:t>(House of Lords, 2022-2023).</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14144">
                <wp:simplePos x="0" y="0"/>
                <wp:positionH relativeFrom="page">
                  <wp:posOffset>-2</wp:posOffset>
                </wp:positionH>
                <wp:positionV relativeFrom="page">
                  <wp:posOffset>0</wp:posOffset>
                </wp:positionV>
                <wp:extent cx="7560309" cy="1257935"/>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7560309" cy="1257935"/>
                          <a:chExt cx="7560309" cy="1257935"/>
                        </a:xfrm>
                      </wpg:grpSpPr>
                      <wps:wsp>
                        <wps:cNvPr id="458" name="Graphic 458"/>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459" name="Graphic 459"/>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460" name="Textbox 460"/>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461" name="Textbox 461"/>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49</w:t>
                              </w:r>
                            </w:p>
                          </w:txbxContent>
                        </wps:txbx>
                        <wps:bodyPr wrap="square" lIns="0" tIns="0" rIns="0" bIns="0" rtlCol="0">
                          <a:noAutofit/>
                        </wps:bodyPr>
                      </wps:wsp>
                      <wps:wsp>
                        <wps:cNvPr id="462" name="Textbox 462"/>
                        <wps:cNvSpPr txBox="1"/>
                        <wps:spPr>
                          <a:xfrm>
                            <a:off x="900001" y="1080003"/>
                            <a:ext cx="5845810" cy="177800"/>
                          </a:xfrm>
                          <a:prstGeom prst="rect">
                            <a:avLst/>
                          </a:prstGeom>
                        </wps:spPr>
                        <wps:txbx>
                          <w:txbxContent>
                            <w:p>
                              <w:pPr>
                                <w:spacing w:line="280" w:lineRule="exact" w:before="0"/>
                                <w:ind w:left="0" w:right="0" w:firstLine="0"/>
                                <w:jc w:val="left"/>
                                <w:rPr>
                                  <w:sz w:val="28"/>
                                </w:rPr>
                              </w:pPr>
                              <w:r>
                                <w:rPr>
                                  <w:sz w:val="28"/>
                                </w:rPr>
                                <w:t>immunity</w:t>
                              </w:r>
                              <w:r>
                                <w:rPr>
                                  <w:spacing w:val="-5"/>
                                  <w:sz w:val="28"/>
                                </w:rPr>
                                <w:t> </w:t>
                              </w:r>
                              <w:r>
                                <w:rPr>
                                  <w:sz w:val="28"/>
                                </w:rPr>
                                <w:t>amounted</w:t>
                              </w:r>
                              <w:r>
                                <w:rPr>
                                  <w:spacing w:val="-6"/>
                                  <w:sz w:val="28"/>
                                </w:rPr>
                                <w:t> </w:t>
                              </w:r>
                              <w:r>
                                <w:rPr>
                                  <w:sz w:val="28"/>
                                </w:rPr>
                                <w:t>to</w:t>
                              </w:r>
                              <w:r>
                                <w:rPr>
                                  <w:spacing w:val="-6"/>
                                  <w:sz w:val="28"/>
                                </w:rPr>
                                <w:t> </w:t>
                              </w:r>
                              <w:r>
                                <w:rPr>
                                  <w:sz w:val="28"/>
                                </w:rPr>
                                <w:t>a</w:t>
                              </w:r>
                              <w:r>
                                <w:rPr>
                                  <w:spacing w:val="-6"/>
                                  <w:sz w:val="28"/>
                                </w:rPr>
                                <w:t> </w:t>
                              </w:r>
                              <w:r>
                                <w:rPr>
                                  <w:sz w:val="28"/>
                                </w:rPr>
                                <w:t>decision</w:t>
                              </w:r>
                              <w:r>
                                <w:rPr>
                                  <w:spacing w:val="-6"/>
                                  <w:sz w:val="28"/>
                                </w:rPr>
                                <w:t> </w:t>
                              </w:r>
                              <w:r>
                                <w:rPr>
                                  <w:sz w:val="28"/>
                                </w:rPr>
                                <w:t>not</w:t>
                              </w:r>
                              <w:r>
                                <w:rPr>
                                  <w:spacing w:val="-4"/>
                                  <w:sz w:val="28"/>
                                </w:rPr>
                                <w:t> </w:t>
                              </w:r>
                              <w:r>
                                <w:rPr>
                                  <w:sz w:val="28"/>
                                </w:rPr>
                                <w:t>to</w:t>
                              </w:r>
                              <w:r>
                                <w:rPr>
                                  <w:spacing w:val="-6"/>
                                  <w:sz w:val="28"/>
                                </w:rPr>
                                <w:t> </w:t>
                              </w:r>
                              <w:r>
                                <w:rPr>
                                  <w:sz w:val="28"/>
                                </w:rPr>
                                <w:t>prosecute.</w:t>
                              </w:r>
                              <w:r>
                                <w:rPr>
                                  <w:spacing w:val="-6"/>
                                  <w:sz w:val="28"/>
                                </w:rPr>
                                <w:t> </w:t>
                              </w:r>
                              <w:r>
                                <w:rPr>
                                  <w:sz w:val="28"/>
                                </w:rPr>
                                <w:t>The</w:t>
                              </w:r>
                              <w:r>
                                <w:rPr>
                                  <w:spacing w:val="-5"/>
                                  <w:sz w:val="28"/>
                                </w:rPr>
                                <w:t> </w:t>
                              </w:r>
                              <w:r>
                                <w:rPr>
                                  <w:sz w:val="28"/>
                                </w:rPr>
                                <w:t>Government</w:t>
                              </w:r>
                              <w:r>
                                <w:rPr>
                                  <w:spacing w:val="-5"/>
                                  <w:sz w:val="28"/>
                                </w:rPr>
                                <w:t> </w:t>
                              </w:r>
                              <w:r>
                                <w:rPr>
                                  <w:sz w:val="28"/>
                                </w:rPr>
                                <w:t>‘would</w:t>
                              </w:r>
                              <w:r>
                                <w:rPr>
                                  <w:spacing w:val="-5"/>
                                  <w:sz w:val="28"/>
                                </w:rPr>
                                <w:t> </w:t>
                              </w:r>
                              <w:r>
                                <w:rPr>
                                  <w:spacing w:val="-4"/>
                                  <w:sz w:val="28"/>
                                </w:rPr>
                                <w:t>also</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814144" id="docshapegroup363" coordorigin="0,0" coordsize="11906,1981">
                <v:shape style="position:absolute;left:0;top:0;width:11906;height:1819" id="docshape364"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365"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366" filled="false" stroked="false">
                  <v:textbox inset="0,0,0,0">
                    <w:txbxContent>
                      <w:p>
                        <w:pPr>
                          <w:spacing w:line="280" w:lineRule="exact" w:before="0"/>
                          <w:ind w:left="0" w:right="0" w:firstLine="0"/>
                          <w:jc w:val="left"/>
                          <w:rPr>
                            <w:b/>
                            <w:sz w:val="28"/>
                          </w:rPr>
                        </w:pPr>
                        <w:r>
                          <w:rPr>
                            <w:b/>
                            <w:color w:val="FFFFFF"/>
                            <w:spacing w:val="-5"/>
                            <w:sz w:val="28"/>
                          </w:rPr>
                          <w:t>49</w:t>
                        </w:r>
                      </w:p>
                    </w:txbxContent>
                  </v:textbox>
                  <w10:wrap type="none"/>
                </v:shape>
                <v:shape style="position:absolute;left:1417;top:1700;width:9206;height:280" type="#_x0000_t202" id="docshape367" filled="false" stroked="false">
                  <v:textbox inset="0,0,0,0">
                    <w:txbxContent>
                      <w:p>
                        <w:pPr>
                          <w:spacing w:line="280" w:lineRule="exact" w:before="0"/>
                          <w:ind w:left="0" w:right="0" w:firstLine="0"/>
                          <w:jc w:val="left"/>
                          <w:rPr>
                            <w:sz w:val="28"/>
                          </w:rPr>
                        </w:pPr>
                        <w:r>
                          <w:rPr>
                            <w:sz w:val="28"/>
                          </w:rPr>
                          <w:t>immunity</w:t>
                        </w:r>
                        <w:r>
                          <w:rPr>
                            <w:spacing w:val="-5"/>
                            <w:sz w:val="28"/>
                          </w:rPr>
                          <w:t> </w:t>
                        </w:r>
                        <w:r>
                          <w:rPr>
                            <w:sz w:val="28"/>
                          </w:rPr>
                          <w:t>amounted</w:t>
                        </w:r>
                        <w:r>
                          <w:rPr>
                            <w:spacing w:val="-6"/>
                            <w:sz w:val="28"/>
                          </w:rPr>
                          <w:t> </w:t>
                        </w:r>
                        <w:r>
                          <w:rPr>
                            <w:sz w:val="28"/>
                          </w:rPr>
                          <w:t>to</w:t>
                        </w:r>
                        <w:r>
                          <w:rPr>
                            <w:spacing w:val="-6"/>
                            <w:sz w:val="28"/>
                          </w:rPr>
                          <w:t> </w:t>
                        </w:r>
                        <w:r>
                          <w:rPr>
                            <w:sz w:val="28"/>
                          </w:rPr>
                          <w:t>a</w:t>
                        </w:r>
                        <w:r>
                          <w:rPr>
                            <w:spacing w:val="-6"/>
                            <w:sz w:val="28"/>
                          </w:rPr>
                          <w:t> </w:t>
                        </w:r>
                        <w:r>
                          <w:rPr>
                            <w:sz w:val="28"/>
                          </w:rPr>
                          <w:t>decision</w:t>
                        </w:r>
                        <w:r>
                          <w:rPr>
                            <w:spacing w:val="-6"/>
                            <w:sz w:val="28"/>
                          </w:rPr>
                          <w:t> </w:t>
                        </w:r>
                        <w:r>
                          <w:rPr>
                            <w:sz w:val="28"/>
                          </w:rPr>
                          <w:t>not</w:t>
                        </w:r>
                        <w:r>
                          <w:rPr>
                            <w:spacing w:val="-4"/>
                            <w:sz w:val="28"/>
                          </w:rPr>
                          <w:t> </w:t>
                        </w:r>
                        <w:r>
                          <w:rPr>
                            <w:sz w:val="28"/>
                          </w:rPr>
                          <w:t>to</w:t>
                        </w:r>
                        <w:r>
                          <w:rPr>
                            <w:spacing w:val="-6"/>
                            <w:sz w:val="28"/>
                          </w:rPr>
                          <w:t> </w:t>
                        </w:r>
                        <w:r>
                          <w:rPr>
                            <w:sz w:val="28"/>
                          </w:rPr>
                          <w:t>prosecute.</w:t>
                        </w:r>
                        <w:r>
                          <w:rPr>
                            <w:spacing w:val="-6"/>
                            <w:sz w:val="28"/>
                          </w:rPr>
                          <w:t> </w:t>
                        </w:r>
                        <w:r>
                          <w:rPr>
                            <w:sz w:val="28"/>
                          </w:rPr>
                          <w:t>The</w:t>
                        </w:r>
                        <w:r>
                          <w:rPr>
                            <w:spacing w:val="-5"/>
                            <w:sz w:val="28"/>
                          </w:rPr>
                          <w:t> </w:t>
                        </w:r>
                        <w:r>
                          <w:rPr>
                            <w:sz w:val="28"/>
                          </w:rPr>
                          <w:t>Government</w:t>
                        </w:r>
                        <w:r>
                          <w:rPr>
                            <w:spacing w:val="-5"/>
                            <w:sz w:val="28"/>
                          </w:rPr>
                          <w:t> </w:t>
                        </w:r>
                        <w:r>
                          <w:rPr>
                            <w:sz w:val="28"/>
                          </w:rPr>
                          <w:t>‘would</w:t>
                        </w:r>
                        <w:r>
                          <w:rPr>
                            <w:spacing w:val="-5"/>
                            <w:sz w:val="28"/>
                          </w:rPr>
                          <w:t> </w:t>
                        </w:r>
                        <w:r>
                          <w:rPr>
                            <w:spacing w:val="-4"/>
                            <w:sz w:val="28"/>
                          </w:rPr>
                          <w:t>also</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right="738"/>
      </w:pPr>
      <w:bookmarkStart w:name="2.3.8 Data Protection and Digital Inform" w:id="68"/>
      <w:bookmarkEnd w:id="68"/>
      <w:r>
        <w:rPr/>
      </w:r>
      <w:bookmarkStart w:name="_bookmark28" w:id="69"/>
      <w:bookmarkEnd w:id="69"/>
      <w:r>
        <w:rPr/>
      </w:r>
      <w:r>
        <w:rPr/>
        <w:t>expect’ the ICRIR to provide reasons for immunity decisions and these could be subject to judicial review. The Government rejected the NIHRC interpretation that the</w:t>
      </w:r>
      <w:r>
        <w:rPr>
          <w:spacing w:val="-2"/>
        </w:rPr>
        <w:t> </w:t>
      </w:r>
      <w:r>
        <w:rPr/>
        <w:t>immunity</w:t>
      </w:r>
      <w:r>
        <w:rPr>
          <w:spacing w:val="-2"/>
        </w:rPr>
        <w:t> </w:t>
      </w:r>
      <w:r>
        <w:rPr/>
        <w:t>panel</w:t>
      </w:r>
      <w:r>
        <w:rPr>
          <w:spacing w:val="-3"/>
        </w:rPr>
        <w:t> </w:t>
      </w:r>
      <w:r>
        <w:rPr/>
        <w:t>would</w:t>
      </w:r>
      <w:r>
        <w:rPr>
          <w:spacing w:val="-3"/>
        </w:rPr>
        <w:t> </w:t>
      </w:r>
      <w:r>
        <w:rPr/>
        <w:t>only</w:t>
      </w:r>
      <w:r>
        <w:rPr>
          <w:spacing w:val="-2"/>
        </w:rPr>
        <w:t> </w:t>
      </w:r>
      <w:r>
        <w:rPr/>
        <w:t>rely</w:t>
      </w:r>
      <w:r>
        <w:rPr>
          <w:spacing w:val="-2"/>
        </w:rPr>
        <w:t> </w:t>
      </w:r>
      <w:r>
        <w:rPr/>
        <w:t>on</w:t>
      </w:r>
      <w:r>
        <w:rPr>
          <w:spacing w:val="-3"/>
        </w:rPr>
        <w:t> </w:t>
      </w:r>
      <w:r>
        <w:rPr/>
        <w:t>information</w:t>
      </w:r>
      <w:r>
        <w:rPr>
          <w:spacing w:val="-3"/>
        </w:rPr>
        <w:t> </w:t>
      </w:r>
      <w:r>
        <w:rPr/>
        <w:t>provided</w:t>
      </w:r>
      <w:r>
        <w:rPr>
          <w:spacing w:val="-3"/>
        </w:rPr>
        <w:t> </w:t>
      </w:r>
      <w:r>
        <w:rPr/>
        <w:t>by</w:t>
      </w:r>
      <w:r>
        <w:rPr>
          <w:spacing w:val="-2"/>
        </w:rPr>
        <w:t> </w:t>
      </w:r>
      <w:r>
        <w:rPr/>
        <w:t>the</w:t>
      </w:r>
      <w:r>
        <w:rPr>
          <w:spacing w:val="-2"/>
        </w:rPr>
        <w:t> </w:t>
      </w:r>
      <w:r>
        <w:rPr/>
        <w:t>person</w:t>
      </w:r>
      <w:r>
        <w:rPr>
          <w:spacing w:val="-3"/>
        </w:rPr>
        <w:t> </w:t>
      </w:r>
      <w:r>
        <w:rPr/>
        <w:t>seeking immunity.</w:t>
      </w:r>
      <w:r>
        <w:rPr>
          <w:spacing w:val="-7"/>
        </w:rPr>
        <w:t> </w:t>
      </w:r>
      <w:r>
        <w:rPr/>
        <w:t>The</w:t>
      </w:r>
      <w:r>
        <w:rPr>
          <w:spacing w:val="-6"/>
        </w:rPr>
        <w:t> </w:t>
      </w:r>
      <w:r>
        <w:rPr/>
        <w:t>Government</w:t>
      </w:r>
      <w:r>
        <w:rPr>
          <w:spacing w:val="-6"/>
        </w:rPr>
        <w:t> </w:t>
      </w:r>
      <w:r>
        <w:rPr/>
        <w:t>also</w:t>
      </w:r>
      <w:r>
        <w:rPr>
          <w:spacing w:val="-7"/>
        </w:rPr>
        <w:t> </w:t>
      </w:r>
      <w:r>
        <w:rPr/>
        <w:t>disagreed</w:t>
      </w:r>
      <w:r>
        <w:rPr>
          <w:spacing w:val="-7"/>
        </w:rPr>
        <w:t> </w:t>
      </w:r>
      <w:r>
        <w:rPr/>
        <w:t>that</w:t>
      </w:r>
      <w:r>
        <w:rPr>
          <w:spacing w:val="-6"/>
        </w:rPr>
        <w:t> </w:t>
      </w:r>
      <w:r>
        <w:rPr/>
        <w:t>EU</w:t>
      </w:r>
      <w:r>
        <w:rPr>
          <w:spacing w:val="-6"/>
        </w:rPr>
        <w:t> </w:t>
      </w:r>
      <w:r>
        <w:rPr/>
        <w:t>law</w:t>
      </w:r>
      <w:r>
        <w:rPr>
          <w:spacing w:val="-6"/>
        </w:rPr>
        <w:t> </w:t>
      </w:r>
      <w:r>
        <w:rPr/>
        <w:t>required</w:t>
      </w:r>
      <w:r>
        <w:rPr>
          <w:spacing w:val="-7"/>
        </w:rPr>
        <w:t> </w:t>
      </w:r>
      <w:r>
        <w:rPr/>
        <w:t>a</w:t>
      </w:r>
      <w:r>
        <w:rPr>
          <w:spacing w:val="-7"/>
        </w:rPr>
        <w:t> </w:t>
      </w:r>
      <w:r>
        <w:rPr/>
        <w:t>public</w:t>
      </w:r>
      <w:r>
        <w:rPr>
          <w:spacing w:val="-6"/>
        </w:rPr>
        <w:t> </w:t>
      </w:r>
      <w:r>
        <w:rPr/>
        <w:t>hearing</w:t>
      </w:r>
      <w:r>
        <w:rPr>
          <w:spacing w:val="-6"/>
        </w:rPr>
        <w:t> </w:t>
      </w:r>
      <w:r>
        <w:rPr/>
        <w:t>on any decision about immunity or prosecution.</w:t>
      </w:r>
    </w:p>
    <w:p>
      <w:pPr>
        <w:pStyle w:val="BodyText"/>
        <w:spacing w:line="232" w:lineRule="auto" w:before="276"/>
        <w:ind w:left="1117" w:right="761"/>
      </w:pPr>
      <w:r>
        <w:rPr/>
        <w:t>The</w:t>
      </w:r>
      <w:r>
        <w:rPr>
          <w:spacing w:val="-7"/>
        </w:rPr>
        <w:t> </w:t>
      </w:r>
      <w:r>
        <w:rPr/>
        <w:t>NIHRC</w:t>
      </w:r>
      <w:r>
        <w:rPr>
          <w:spacing w:val="-8"/>
        </w:rPr>
        <w:t> </w:t>
      </w:r>
      <w:r>
        <w:rPr/>
        <w:t>sent</w:t>
      </w:r>
      <w:r>
        <w:rPr>
          <w:spacing w:val="-7"/>
        </w:rPr>
        <w:t> </w:t>
      </w:r>
      <w:r>
        <w:rPr/>
        <w:t>a</w:t>
      </w:r>
      <w:r>
        <w:rPr>
          <w:spacing w:val="-8"/>
        </w:rPr>
        <w:t> </w:t>
      </w:r>
      <w:r>
        <w:rPr/>
        <w:t>letter</w:t>
      </w:r>
      <w:r>
        <w:rPr>
          <w:spacing w:val="-7"/>
        </w:rPr>
        <w:t> </w:t>
      </w:r>
      <w:r>
        <w:rPr/>
        <w:t>to</w:t>
      </w:r>
      <w:r>
        <w:rPr>
          <w:spacing w:val="-8"/>
        </w:rPr>
        <w:t> </w:t>
      </w:r>
      <w:r>
        <w:rPr/>
        <w:t>the</w:t>
      </w:r>
      <w:r>
        <w:rPr>
          <w:spacing w:val="-7"/>
        </w:rPr>
        <w:t> </w:t>
      </w:r>
      <w:r>
        <w:rPr/>
        <w:t>House</w:t>
      </w:r>
      <w:r>
        <w:rPr>
          <w:spacing w:val="-7"/>
        </w:rPr>
        <w:t> </w:t>
      </w:r>
      <w:r>
        <w:rPr/>
        <w:t>of</w:t>
      </w:r>
      <w:r>
        <w:rPr>
          <w:spacing w:val="-8"/>
        </w:rPr>
        <w:t> </w:t>
      </w:r>
      <w:r>
        <w:rPr/>
        <w:t>Lords</w:t>
      </w:r>
      <w:r>
        <w:rPr>
          <w:spacing w:val="-8"/>
        </w:rPr>
        <w:t> </w:t>
      </w:r>
      <w:r>
        <w:rPr/>
        <w:t>sub-committee</w:t>
      </w:r>
      <w:r>
        <w:rPr>
          <w:spacing w:val="-7"/>
        </w:rPr>
        <w:t> </w:t>
      </w:r>
      <w:r>
        <w:rPr/>
        <w:t>providing</w:t>
      </w:r>
      <w:r>
        <w:rPr>
          <w:spacing w:val="-7"/>
        </w:rPr>
        <w:t> </w:t>
      </w:r>
      <w:r>
        <w:rPr/>
        <w:t>more</w:t>
      </w:r>
      <w:r>
        <w:rPr>
          <w:spacing w:val="-7"/>
        </w:rPr>
        <w:t> </w:t>
      </w:r>
      <w:r>
        <w:rPr/>
        <w:t>detail on its concerns around the Victims’ Directive.</w:t>
      </w:r>
      <w:r>
        <w:rPr>
          <w:vertAlign w:val="superscript"/>
        </w:rPr>
        <w:t>258</w:t>
      </w:r>
      <w:r>
        <w:rPr>
          <w:vertAlign w:val="baseline"/>
        </w:rPr>
        <w:t> The NIHRC letter explained that the Victims’ Directive provision on review of decisions not to prosecute was not limited to decisions of prosecuting authorities but included other agencies (apart from courts). For the NIHRC an immunity decision was a decision tantamount to</w:t>
      </w:r>
    </w:p>
    <w:p>
      <w:pPr>
        <w:pStyle w:val="BodyText"/>
        <w:spacing w:line="232" w:lineRule="auto"/>
        <w:ind w:left="1117" w:right="754"/>
      </w:pPr>
      <w:r>
        <w:rPr/>
        <w:t>a decision not to prosecute. The Bill made no provision for appeal of a decision to grant</w:t>
      </w:r>
      <w:r>
        <w:rPr>
          <w:spacing w:val="-2"/>
        </w:rPr>
        <w:t> </w:t>
      </w:r>
      <w:r>
        <w:rPr/>
        <w:t>immunity</w:t>
      </w:r>
      <w:r>
        <w:rPr>
          <w:spacing w:val="-2"/>
        </w:rPr>
        <w:t> </w:t>
      </w:r>
      <w:r>
        <w:rPr/>
        <w:t>and</w:t>
      </w:r>
      <w:r>
        <w:rPr>
          <w:spacing w:val="-3"/>
        </w:rPr>
        <w:t> </w:t>
      </w:r>
      <w:r>
        <w:rPr/>
        <w:t>the</w:t>
      </w:r>
      <w:r>
        <w:rPr>
          <w:spacing w:val="-2"/>
        </w:rPr>
        <w:t> </w:t>
      </w:r>
      <w:r>
        <w:rPr/>
        <w:t>NIHRC</w:t>
      </w:r>
      <w:r>
        <w:rPr>
          <w:spacing w:val="-3"/>
        </w:rPr>
        <w:t> </w:t>
      </w:r>
      <w:r>
        <w:rPr/>
        <w:t>noted</w:t>
      </w:r>
      <w:r>
        <w:rPr>
          <w:spacing w:val="-3"/>
        </w:rPr>
        <w:t> </w:t>
      </w:r>
      <w:r>
        <w:rPr/>
        <w:t>that</w:t>
      </w:r>
      <w:r>
        <w:rPr>
          <w:spacing w:val="-2"/>
        </w:rPr>
        <w:t> </w:t>
      </w:r>
      <w:r>
        <w:rPr/>
        <w:t>judicial</w:t>
      </w:r>
      <w:r>
        <w:rPr>
          <w:spacing w:val="-3"/>
        </w:rPr>
        <w:t> </w:t>
      </w:r>
      <w:r>
        <w:rPr/>
        <w:t>review,</w:t>
      </w:r>
      <w:r>
        <w:rPr>
          <w:spacing w:val="-2"/>
        </w:rPr>
        <w:t> </w:t>
      </w:r>
      <w:r>
        <w:rPr/>
        <w:t>while</w:t>
      </w:r>
      <w:r>
        <w:rPr>
          <w:spacing w:val="-2"/>
        </w:rPr>
        <w:t> </w:t>
      </w:r>
      <w:r>
        <w:rPr/>
        <w:t>important,</w:t>
      </w:r>
      <w:r>
        <w:rPr>
          <w:spacing w:val="-2"/>
        </w:rPr>
        <w:t> </w:t>
      </w:r>
      <w:r>
        <w:rPr/>
        <w:t>was</w:t>
      </w:r>
      <w:r>
        <w:rPr>
          <w:spacing w:val="-3"/>
        </w:rPr>
        <w:t> </w:t>
      </w:r>
      <w:r>
        <w:rPr/>
        <w:t>not a</w:t>
      </w:r>
      <w:r>
        <w:rPr>
          <w:spacing w:val="-5"/>
        </w:rPr>
        <w:t> </w:t>
      </w:r>
      <w:r>
        <w:rPr/>
        <w:t>substitute</w:t>
      </w:r>
      <w:r>
        <w:rPr>
          <w:spacing w:val="-5"/>
        </w:rPr>
        <w:t> </w:t>
      </w:r>
      <w:r>
        <w:rPr/>
        <w:t>for</w:t>
      </w:r>
      <w:r>
        <w:rPr>
          <w:spacing w:val="-5"/>
        </w:rPr>
        <w:t> </w:t>
      </w:r>
      <w:r>
        <w:rPr/>
        <w:t>an</w:t>
      </w:r>
      <w:r>
        <w:rPr>
          <w:spacing w:val="-5"/>
        </w:rPr>
        <w:t> </w:t>
      </w:r>
      <w:r>
        <w:rPr/>
        <w:t>appeal</w:t>
      </w:r>
      <w:r>
        <w:rPr>
          <w:spacing w:val="-5"/>
        </w:rPr>
        <w:t> </w:t>
      </w:r>
      <w:r>
        <w:rPr/>
        <w:t>process.</w:t>
      </w:r>
      <w:r>
        <w:rPr>
          <w:spacing w:val="-5"/>
        </w:rPr>
        <w:t> </w:t>
      </w:r>
      <w:r>
        <w:rPr/>
        <w:t>The</w:t>
      </w:r>
      <w:r>
        <w:rPr>
          <w:spacing w:val="-5"/>
        </w:rPr>
        <w:t> </w:t>
      </w:r>
      <w:r>
        <w:rPr/>
        <w:t>NIHRC</w:t>
      </w:r>
      <w:r>
        <w:rPr>
          <w:spacing w:val="-5"/>
        </w:rPr>
        <w:t> </w:t>
      </w:r>
      <w:r>
        <w:rPr/>
        <w:t>also</w:t>
      </w:r>
      <w:r>
        <w:rPr>
          <w:spacing w:val="-5"/>
        </w:rPr>
        <w:t> </w:t>
      </w:r>
      <w:r>
        <w:rPr/>
        <w:t>elaborated</w:t>
      </w:r>
      <w:r>
        <w:rPr>
          <w:spacing w:val="-5"/>
        </w:rPr>
        <w:t> </w:t>
      </w:r>
      <w:r>
        <w:rPr/>
        <w:t>on</w:t>
      </w:r>
      <w:r>
        <w:rPr>
          <w:spacing w:val="-5"/>
        </w:rPr>
        <w:t> </w:t>
      </w:r>
      <w:r>
        <w:rPr/>
        <w:t>the</w:t>
      </w:r>
      <w:r>
        <w:rPr>
          <w:spacing w:val="-5"/>
        </w:rPr>
        <w:t> </w:t>
      </w:r>
      <w:r>
        <w:rPr/>
        <w:t>inadequacy</w:t>
      </w:r>
      <w:r>
        <w:rPr>
          <w:spacing w:val="-5"/>
        </w:rPr>
        <w:t> </w:t>
      </w:r>
      <w:r>
        <w:rPr/>
        <w:t>of the</w:t>
      </w:r>
      <w:r>
        <w:rPr>
          <w:spacing w:val="-5"/>
        </w:rPr>
        <w:t> </w:t>
      </w:r>
      <w:r>
        <w:rPr/>
        <w:t>Bill</w:t>
      </w:r>
      <w:r>
        <w:rPr>
          <w:spacing w:val="-6"/>
        </w:rPr>
        <w:t> </w:t>
      </w:r>
      <w:r>
        <w:rPr/>
        <w:t>in</w:t>
      </w:r>
      <w:r>
        <w:rPr>
          <w:spacing w:val="-6"/>
        </w:rPr>
        <w:t> </w:t>
      </w:r>
      <w:r>
        <w:rPr/>
        <w:t>terms</w:t>
      </w:r>
      <w:r>
        <w:rPr>
          <w:spacing w:val="-6"/>
        </w:rPr>
        <w:t> </w:t>
      </w:r>
      <w:r>
        <w:rPr/>
        <w:t>of</w:t>
      </w:r>
      <w:r>
        <w:rPr>
          <w:spacing w:val="-6"/>
        </w:rPr>
        <w:t> </w:t>
      </w:r>
      <w:r>
        <w:rPr/>
        <w:t>considering</w:t>
      </w:r>
      <w:r>
        <w:rPr>
          <w:spacing w:val="-5"/>
        </w:rPr>
        <w:t> </w:t>
      </w:r>
      <w:r>
        <w:rPr/>
        <w:t>information</w:t>
      </w:r>
      <w:r>
        <w:rPr>
          <w:spacing w:val="-6"/>
        </w:rPr>
        <w:t> </w:t>
      </w:r>
      <w:r>
        <w:rPr/>
        <w:t>from</w:t>
      </w:r>
      <w:r>
        <w:rPr>
          <w:spacing w:val="-5"/>
        </w:rPr>
        <w:t> </w:t>
      </w:r>
      <w:r>
        <w:rPr/>
        <w:t>victims</w:t>
      </w:r>
      <w:r>
        <w:rPr>
          <w:spacing w:val="-6"/>
        </w:rPr>
        <w:t> </w:t>
      </w:r>
      <w:r>
        <w:rPr/>
        <w:t>in</w:t>
      </w:r>
      <w:r>
        <w:rPr>
          <w:spacing w:val="-6"/>
        </w:rPr>
        <w:t> </w:t>
      </w:r>
      <w:r>
        <w:rPr/>
        <w:t>relation</w:t>
      </w:r>
      <w:r>
        <w:rPr>
          <w:spacing w:val="-6"/>
        </w:rPr>
        <w:t> </w:t>
      </w:r>
      <w:r>
        <w:rPr/>
        <w:t>to</w:t>
      </w:r>
      <w:r>
        <w:rPr>
          <w:spacing w:val="-6"/>
        </w:rPr>
        <w:t> </w:t>
      </w:r>
      <w:r>
        <w:rPr/>
        <w:t>the</w:t>
      </w:r>
      <w:r>
        <w:rPr>
          <w:spacing w:val="-5"/>
        </w:rPr>
        <w:t> </w:t>
      </w:r>
      <w:r>
        <w:rPr/>
        <w:t>immunity process. In a separate briefing for the Council of Europe the NIHRC also flagged</w:t>
      </w:r>
      <w:r>
        <w:rPr/>
        <w:t> that it was looking at issues around compensation and the Victims’ Directive </w:t>
      </w:r>
      <w:r>
        <w:rPr>
          <w:spacing w:val="-2"/>
        </w:rPr>
        <w:t>requirements.</w:t>
      </w:r>
      <w:r>
        <w:rPr>
          <w:spacing w:val="-2"/>
          <w:vertAlign w:val="superscript"/>
        </w:rPr>
        <w:t>259</w:t>
      </w:r>
    </w:p>
    <w:p>
      <w:pPr>
        <w:pStyle w:val="BodyText"/>
        <w:spacing w:line="232" w:lineRule="auto" w:before="265"/>
        <w:ind w:left="1117" w:right="670"/>
      </w:pPr>
      <w:r>
        <w:rPr/>
        <w:t>The eventual Act does not address these concerns of the NIHRC in relation to the Victims’ Directive. The UN Human Rights Committee has also criticised (among other</w:t>
      </w:r>
      <w:r>
        <w:rPr>
          <w:spacing w:val="-7"/>
        </w:rPr>
        <w:t> </w:t>
      </w:r>
      <w:r>
        <w:rPr/>
        <w:t>matters)</w:t>
      </w:r>
      <w:r>
        <w:rPr>
          <w:spacing w:val="-8"/>
        </w:rPr>
        <w:t> </w:t>
      </w:r>
      <w:r>
        <w:rPr/>
        <w:t>the</w:t>
      </w:r>
      <w:r>
        <w:rPr>
          <w:spacing w:val="-7"/>
        </w:rPr>
        <w:t> </w:t>
      </w:r>
      <w:r>
        <w:rPr/>
        <w:t>legislation’s</w:t>
      </w:r>
      <w:r>
        <w:rPr>
          <w:spacing w:val="-8"/>
        </w:rPr>
        <w:t> </w:t>
      </w:r>
      <w:r>
        <w:rPr/>
        <w:t>immunity</w:t>
      </w:r>
      <w:r>
        <w:rPr>
          <w:spacing w:val="-7"/>
        </w:rPr>
        <w:t> </w:t>
      </w:r>
      <w:r>
        <w:rPr/>
        <w:t>scheme,</w:t>
      </w:r>
      <w:r>
        <w:rPr>
          <w:spacing w:val="-7"/>
        </w:rPr>
        <w:t> </w:t>
      </w:r>
      <w:r>
        <w:rPr/>
        <w:t>the</w:t>
      </w:r>
      <w:r>
        <w:rPr>
          <w:spacing w:val="-7"/>
        </w:rPr>
        <w:t> </w:t>
      </w:r>
      <w:r>
        <w:rPr/>
        <w:t>weakness</w:t>
      </w:r>
      <w:r>
        <w:rPr>
          <w:spacing w:val="-8"/>
        </w:rPr>
        <w:t> </w:t>
      </w:r>
      <w:r>
        <w:rPr/>
        <w:t>of</w:t>
      </w:r>
      <w:r>
        <w:rPr>
          <w:spacing w:val="-8"/>
        </w:rPr>
        <w:t> </w:t>
      </w:r>
      <w:r>
        <w:rPr/>
        <w:t>the</w:t>
      </w:r>
      <w:r>
        <w:rPr>
          <w:spacing w:val="-7"/>
        </w:rPr>
        <w:t> </w:t>
      </w:r>
      <w:r>
        <w:rPr/>
        <w:t>ICRIR</w:t>
      </w:r>
      <w:r>
        <w:rPr>
          <w:spacing w:val="-8"/>
        </w:rPr>
        <w:t> </w:t>
      </w:r>
      <w:r>
        <w:rPr/>
        <w:t>review function, allegations about lack of independence, and procedural barriers to legal investigations.</w:t>
      </w:r>
      <w:r>
        <w:rPr>
          <w:vertAlign w:val="superscript"/>
        </w:rPr>
        <w:t>260</w:t>
      </w:r>
      <w:r>
        <w:rPr>
          <w:vertAlign w:val="baseline"/>
        </w:rPr>
        <w:t> The Committee has called for the repeal or reform of the Act.</w:t>
      </w:r>
    </w:p>
    <w:p>
      <w:pPr>
        <w:pStyle w:val="BodyText"/>
        <w:spacing w:line="232" w:lineRule="auto" w:before="276"/>
        <w:ind w:left="1117" w:right="738"/>
      </w:pPr>
      <w:r>
        <w:rPr/>
        <w:t>The</w:t>
      </w:r>
      <w:r>
        <w:rPr>
          <w:spacing w:val="-4"/>
        </w:rPr>
        <w:t> </w:t>
      </w:r>
      <w:r>
        <w:rPr>
          <w:i/>
        </w:rPr>
        <w:t>Legacy</w:t>
      </w:r>
      <w:r>
        <w:rPr>
          <w:i/>
          <w:spacing w:val="-4"/>
        </w:rPr>
        <w:t> </w:t>
      </w:r>
      <w:r>
        <w:rPr>
          <w:i/>
        </w:rPr>
        <w:t>Act</w:t>
      </w:r>
      <w:r>
        <w:rPr>
          <w:i/>
          <w:spacing w:val="-3"/>
        </w:rPr>
        <w:t> </w:t>
      </w:r>
      <w:r>
        <w:rPr>
          <w:i/>
        </w:rPr>
        <w:t>cases</w:t>
      </w:r>
      <w:r>
        <w:rPr>
          <w:i/>
          <w:spacing w:val="-4"/>
        </w:rPr>
        <w:t> </w:t>
      </w:r>
      <w:r>
        <w:rPr>
          <w:i/>
        </w:rPr>
        <w:t>(Dillon</w:t>
      </w:r>
      <w:r>
        <w:rPr>
          <w:i/>
          <w:spacing w:val="-4"/>
        </w:rPr>
        <w:t> </w:t>
      </w:r>
      <w:r>
        <w:rPr>
          <w:i/>
        </w:rPr>
        <w:t>and</w:t>
      </w:r>
      <w:r>
        <w:rPr>
          <w:i/>
          <w:spacing w:val="-4"/>
        </w:rPr>
        <w:t> </w:t>
      </w:r>
      <w:r>
        <w:rPr>
          <w:i/>
        </w:rPr>
        <w:t>others),</w:t>
      </w:r>
      <w:r>
        <w:rPr>
          <w:i/>
          <w:spacing w:val="-3"/>
        </w:rPr>
        <w:t> </w:t>
      </w:r>
      <w:r>
        <w:rPr/>
        <w:t>in</w:t>
      </w:r>
      <w:r>
        <w:rPr>
          <w:spacing w:val="-4"/>
        </w:rPr>
        <w:t> </w:t>
      </w:r>
      <w:r>
        <w:rPr/>
        <w:t>which</w:t>
      </w:r>
      <w:r>
        <w:rPr>
          <w:spacing w:val="-4"/>
        </w:rPr>
        <w:t> </w:t>
      </w:r>
      <w:r>
        <w:rPr/>
        <w:t>both</w:t>
      </w:r>
      <w:r>
        <w:rPr>
          <w:spacing w:val="-4"/>
        </w:rPr>
        <w:t> </w:t>
      </w:r>
      <w:r>
        <w:rPr/>
        <w:t>Commissions</w:t>
      </w:r>
      <w:r>
        <w:rPr>
          <w:spacing w:val="-4"/>
        </w:rPr>
        <w:t> </w:t>
      </w:r>
      <w:r>
        <w:rPr/>
        <w:t>intervened, has now vindicated the position that the immunity provisions of the Act are inconsistent</w:t>
      </w:r>
      <w:r>
        <w:rPr>
          <w:spacing w:val="-4"/>
        </w:rPr>
        <w:t> </w:t>
      </w:r>
      <w:r>
        <w:rPr/>
        <w:t>not</w:t>
      </w:r>
      <w:r>
        <w:rPr>
          <w:spacing w:val="-4"/>
        </w:rPr>
        <w:t> </w:t>
      </w:r>
      <w:r>
        <w:rPr/>
        <w:t>just</w:t>
      </w:r>
      <w:r>
        <w:rPr>
          <w:spacing w:val="-4"/>
        </w:rPr>
        <w:t> </w:t>
      </w:r>
      <w:r>
        <w:rPr/>
        <w:t>with</w:t>
      </w:r>
      <w:r>
        <w:rPr>
          <w:spacing w:val="-5"/>
        </w:rPr>
        <w:t> </w:t>
      </w:r>
      <w:r>
        <w:rPr/>
        <w:t>Convention</w:t>
      </w:r>
      <w:r>
        <w:rPr>
          <w:spacing w:val="-5"/>
        </w:rPr>
        <w:t> </w:t>
      </w:r>
      <w:r>
        <w:rPr/>
        <w:t>rights</w:t>
      </w:r>
      <w:r>
        <w:rPr>
          <w:spacing w:val="-5"/>
        </w:rPr>
        <w:t> </w:t>
      </w:r>
      <w:r>
        <w:rPr/>
        <w:t>but</w:t>
      </w:r>
      <w:r>
        <w:rPr>
          <w:spacing w:val="-4"/>
        </w:rPr>
        <w:t> </w:t>
      </w:r>
      <w:r>
        <w:rPr/>
        <w:t>also</w:t>
      </w:r>
      <w:r>
        <w:rPr>
          <w:spacing w:val="-5"/>
        </w:rPr>
        <w:t> </w:t>
      </w:r>
      <w:r>
        <w:rPr/>
        <w:t>Article</w:t>
      </w:r>
      <w:r>
        <w:rPr>
          <w:spacing w:val="-4"/>
        </w:rPr>
        <w:t> </w:t>
      </w:r>
      <w:r>
        <w:rPr/>
        <w:t>2</w:t>
      </w:r>
      <w:r>
        <w:rPr>
          <w:spacing w:val="-4"/>
        </w:rPr>
        <w:t> </w:t>
      </w:r>
      <w:r>
        <w:rPr/>
        <w:t>WF</w:t>
      </w:r>
      <w:r>
        <w:rPr>
          <w:spacing w:val="-5"/>
        </w:rPr>
        <w:t> </w:t>
      </w:r>
      <w:r>
        <w:rPr/>
        <w:t>and</w:t>
      </w:r>
      <w:r>
        <w:rPr>
          <w:spacing w:val="-5"/>
        </w:rPr>
        <w:t> </w:t>
      </w:r>
      <w:r>
        <w:rPr/>
        <w:t>specifically rights in the Charter of Fundamental Rights corresponding to the relevant Convention rights and rights in the Victims’ Directive.</w:t>
      </w:r>
      <w:r>
        <w:rPr>
          <w:vertAlign w:val="superscript"/>
        </w:rPr>
        <w:t>261</w:t>
      </w:r>
    </w:p>
    <w:p>
      <w:pPr>
        <w:pStyle w:val="BodyText"/>
        <w:spacing w:before="49"/>
      </w:pPr>
    </w:p>
    <w:p>
      <w:pPr>
        <w:pStyle w:val="Heading3"/>
        <w:numPr>
          <w:ilvl w:val="2"/>
          <w:numId w:val="19"/>
        </w:numPr>
        <w:tabs>
          <w:tab w:pos="1755" w:val="left" w:leader="none"/>
        </w:tabs>
        <w:spacing w:line="336" w:lineRule="exact" w:before="0" w:after="0"/>
        <w:ind w:left="1755" w:right="0" w:hanging="638"/>
        <w:jc w:val="left"/>
      </w:pPr>
      <w:r>
        <w:rPr>
          <w:color w:val="004A93"/>
        </w:rPr>
        <w:t>Data</w:t>
      </w:r>
      <w:r>
        <w:rPr>
          <w:color w:val="004A93"/>
          <w:spacing w:val="-6"/>
        </w:rPr>
        <w:t> </w:t>
      </w:r>
      <w:r>
        <w:rPr>
          <w:color w:val="004A93"/>
        </w:rPr>
        <w:t>Protection</w:t>
      </w:r>
      <w:r>
        <w:rPr>
          <w:color w:val="004A93"/>
          <w:spacing w:val="-6"/>
        </w:rPr>
        <w:t> </w:t>
      </w:r>
      <w:r>
        <w:rPr>
          <w:color w:val="004A93"/>
        </w:rPr>
        <w:t>and</w:t>
      </w:r>
      <w:r>
        <w:rPr>
          <w:color w:val="004A93"/>
          <w:spacing w:val="-6"/>
        </w:rPr>
        <w:t> </w:t>
      </w:r>
      <w:r>
        <w:rPr>
          <w:color w:val="004A93"/>
        </w:rPr>
        <w:t>Digital</w:t>
      </w:r>
      <w:r>
        <w:rPr>
          <w:color w:val="004A93"/>
          <w:spacing w:val="-5"/>
        </w:rPr>
        <w:t> </w:t>
      </w:r>
      <w:r>
        <w:rPr>
          <w:color w:val="004A93"/>
        </w:rPr>
        <w:t>Information</w:t>
      </w:r>
      <w:r>
        <w:rPr>
          <w:color w:val="004A93"/>
          <w:spacing w:val="-6"/>
        </w:rPr>
        <w:t> </w:t>
      </w:r>
      <w:r>
        <w:rPr>
          <w:color w:val="004A93"/>
        </w:rPr>
        <w:t>(No</w:t>
      </w:r>
      <w:r>
        <w:rPr>
          <w:color w:val="004A93"/>
          <w:spacing w:val="-6"/>
        </w:rPr>
        <w:t> </w:t>
      </w:r>
      <w:r>
        <w:rPr>
          <w:color w:val="004A93"/>
        </w:rPr>
        <w:t>2)</w:t>
      </w:r>
      <w:r>
        <w:rPr>
          <w:color w:val="004A93"/>
          <w:spacing w:val="-5"/>
        </w:rPr>
        <w:t> </w:t>
      </w:r>
      <w:r>
        <w:rPr>
          <w:color w:val="004A93"/>
          <w:spacing w:val="-4"/>
        </w:rPr>
        <w:t>Bill</w:t>
      </w:r>
    </w:p>
    <w:p>
      <w:pPr>
        <w:pStyle w:val="BodyText"/>
        <w:spacing w:line="232" w:lineRule="auto" w:before="2"/>
        <w:ind w:left="1117" w:right="738"/>
      </w:pPr>
      <w:r>
        <w:rPr/>
        <w:t>This bill has been introduced by the Government and introduced as an effort to create</w:t>
      </w:r>
      <w:r>
        <w:rPr>
          <w:spacing w:val="-12"/>
        </w:rPr>
        <w:t> </w:t>
      </w:r>
      <w:r>
        <w:rPr/>
        <w:t>a</w:t>
      </w:r>
      <w:r>
        <w:rPr>
          <w:spacing w:val="-13"/>
        </w:rPr>
        <w:t> </w:t>
      </w:r>
      <w:r>
        <w:rPr/>
        <w:t>new</w:t>
      </w:r>
      <w:r>
        <w:rPr>
          <w:spacing w:val="-12"/>
        </w:rPr>
        <w:t> </w:t>
      </w:r>
      <w:r>
        <w:rPr/>
        <w:t>data</w:t>
      </w:r>
      <w:r>
        <w:rPr>
          <w:spacing w:val="-13"/>
        </w:rPr>
        <w:t> </w:t>
      </w:r>
      <w:r>
        <w:rPr/>
        <w:t>regime</w:t>
      </w:r>
      <w:r>
        <w:rPr>
          <w:spacing w:val="-12"/>
        </w:rPr>
        <w:t> </w:t>
      </w:r>
      <w:r>
        <w:rPr/>
        <w:t>post-Brexit.</w:t>
      </w:r>
      <w:r>
        <w:rPr>
          <w:vertAlign w:val="superscript"/>
        </w:rPr>
        <w:t>262</w:t>
      </w:r>
      <w:r>
        <w:rPr>
          <w:spacing w:val="-13"/>
          <w:vertAlign w:val="baseline"/>
        </w:rPr>
        <w:t> </w:t>
      </w:r>
      <w:r>
        <w:rPr>
          <w:vertAlign w:val="baseline"/>
        </w:rPr>
        <w:t>Some</w:t>
      </w:r>
      <w:r>
        <w:rPr>
          <w:spacing w:val="-12"/>
          <w:vertAlign w:val="baseline"/>
        </w:rPr>
        <w:t> </w:t>
      </w:r>
      <w:r>
        <w:rPr>
          <w:vertAlign w:val="baseline"/>
        </w:rPr>
        <w:t>commentators</w:t>
      </w:r>
      <w:r>
        <w:rPr>
          <w:spacing w:val="-13"/>
          <w:vertAlign w:val="baseline"/>
        </w:rPr>
        <w:t> </w:t>
      </w:r>
      <w:r>
        <w:rPr>
          <w:vertAlign w:val="baseline"/>
        </w:rPr>
        <w:t>have</w:t>
      </w:r>
      <w:r>
        <w:rPr>
          <w:spacing w:val="-12"/>
          <w:vertAlign w:val="baseline"/>
        </w:rPr>
        <w:t> </w:t>
      </w:r>
      <w:r>
        <w:rPr>
          <w:vertAlign w:val="baseline"/>
        </w:rPr>
        <w:t>noted</w:t>
      </w:r>
      <w:r>
        <w:rPr>
          <w:spacing w:val="-13"/>
          <w:vertAlign w:val="baseline"/>
        </w:rPr>
        <w:t> </w:t>
      </w:r>
      <w:r>
        <w:rPr>
          <w:vertAlign w:val="baseline"/>
        </w:rPr>
        <w:t>that</w:t>
      </w:r>
      <w:r>
        <w:rPr>
          <w:spacing w:val="-12"/>
          <w:vertAlign w:val="baseline"/>
        </w:rPr>
        <w:t> </w:t>
      </w:r>
      <w:r>
        <w:rPr>
          <w:vertAlign w:val="baseline"/>
        </w:rPr>
        <w:t>there is a risk that the Bill will be regressive with respect to existing protections including</w:t>
      </w:r>
    </w:p>
    <w:p>
      <w:pPr>
        <w:pStyle w:val="BodyText"/>
        <w:spacing w:before="95"/>
        <w:rPr>
          <w:sz w:val="20"/>
        </w:rPr>
      </w:pPr>
      <w:r>
        <w:rPr/>
        <mc:AlternateContent>
          <mc:Choice Requires="wps">
            <w:drawing>
              <wp:anchor distT="0" distB="0" distL="0" distR="0" allowOverlap="1" layoutInCell="1" locked="0" behindDoc="1" simplePos="0" relativeHeight="487672832">
                <wp:simplePos x="0" y="0"/>
                <wp:positionH relativeFrom="page">
                  <wp:posOffset>900000</wp:posOffset>
                </wp:positionH>
                <wp:positionV relativeFrom="paragraph">
                  <wp:posOffset>230853</wp:posOffset>
                </wp:positionV>
                <wp:extent cx="6012180" cy="1270"/>
                <wp:effectExtent l="0" t="0" r="0" b="0"/>
                <wp:wrapTopAndBottom/>
                <wp:docPr id="463" name="Graphic 463"/>
                <wp:cNvGraphicFramePr>
                  <a:graphicFrameLocks/>
                </wp:cNvGraphicFramePr>
                <a:graphic>
                  <a:graphicData uri="http://schemas.microsoft.com/office/word/2010/wordprocessingShape">
                    <wps:wsp>
                      <wps:cNvPr id="463" name="Graphic 46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18.177462pt;width:473.4pt;height:.1pt;mso-position-horizontal-relative:page;mso-position-vertical-relative:paragraph;z-index:-15643648;mso-wrap-distance-left:0;mso-wrap-distance-right:0" id="docshape368" coordorigin="1417,364" coordsize="9468,0" path="m1417,364l10885,364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873" w:hanging="567"/>
        <w:jc w:val="left"/>
        <w:rPr>
          <w:sz w:val="18"/>
        </w:rPr>
      </w:pPr>
      <w:r>
        <w:rPr>
          <w:sz w:val="18"/>
        </w:rPr>
        <w:t>House of Lords Sub-Committee on the Protocol on Ireland/Northern Ireland, </w:t>
      </w:r>
      <w:r>
        <w:rPr>
          <w:color w:val="1D71B8"/>
          <w:sz w:val="18"/>
          <w:u w:val="single" w:color="1D71B8"/>
        </w:rPr>
        <w:t>Letter from Alyson Kilpatrick BL, Chief</w:t>
      </w:r>
      <w:r>
        <w:rPr>
          <w:color w:val="1D71B8"/>
          <w:sz w:val="18"/>
          <w:u w:val="none"/>
        </w:rPr>
        <w:t> </w:t>
      </w:r>
      <w:r>
        <w:rPr>
          <w:color w:val="1D71B8"/>
          <w:sz w:val="18"/>
          <w:u w:val="single" w:color="1D71B8"/>
        </w:rPr>
        <w:t>Commissioner,</w:t>
      </w:r>
      <w:r>
        <w:rPr>
          <w:color w:val="1D71B8"/>
          <w:spacing w:val="-5"/>
          <w:sz w:val="18"/>
          <w:u w:val="single" w:color="1D71B8"/>
        </w:rPr>
        <w:t> </w:t>
      </w:r>
      <w:r>
        <w:rPr>
          <w:color w:val="1D71B8"/>
          <w:sz w:val="18"/>
          <w:u w:val="single" w:color="1D71B8"/>
        </w:rPr>
        <w:t>Northern</w:t>
      </w:r>
      <w:r>
        <w:rPr>
          <w:color w:val="1D71B8"/>
          <w:spacing w:val="-6"/>
          <w:sz w:val="18"/>
          <w:u w:val="single" w:color="1D71B8"/>
        </w:rPr>
        <w:t> </w:t>
      </w:r>
      <w:r>
        <w:rPr>
          <w:color w:val="1D71B8"/>
          <w:sz w:val="18"/>
          <w:u w:val="single" w:color="1D71B8"/>
        </w:rPr>
        <w:t>Ireland</w:t>
      </w:r>
      <w:r>
        <w:rPr>
          <w:color w:val="1D71B8"/>
          <w:spacing w:val="-6"/>
          <w:sz w:val="18"/>
          <w:u w:val="single" w:color="1D71B8"/>
        </w:rPr>
        <w:t> </w:t>
      </w:r>
      <w:r>
        <w:rPr>
          <w:color w:val="1D71B8"/>
          <w:sz w:val="18"/>
          <w:u w:val="single" w:color="1D71B8"/>
        </w:rPr>
        <w:t>Human</w:t>
      </w:r>
      <w:r>
        <w:rPr>
          <w:color w:val="1D71B8"/>
          <w:spacing w:val="-6"/>
          <w:sz w:val="18"/>
          <w:u w:val="single" w:color="1D71B8"/>
        </w:rPr>
        <w:t> </w:t>
      </w:r>
      <w:r>
        <w:rPr>
          <w:color w:val="1D71B8"/>
          <w:sz w:val="18"/>
          <w:u w:val="single" w:color="1D71B8"/>
        </w:rPr>
        <w:t>Rights</w:t>
      </w:r>
      <w:r>
        <w:rPr>
          <w:color w:val="1D71B8"/>
          <w:spacing w:val="-6"/>
          <w:sz w:val="18"/>
          <w:u w:val="single" w:color="1D71B8"/>
        </w:rPr>
        <w:t> </w:t>
      </w:r>
      <w:r>
        <w:rPr>
          <w:color w:val="1D71B8"/>
          <w:sz w:val="18"/>
          <w:u w:val="single" w:color="1D71B8"/>
        </w:rPr>
        <w:t>Commission</w:t>
      </w:r>
      <w:r>
        <w:rPr>
          <w:color w:val="1D71B8"/>
          <w:spacing w:val="-6"/>
          <w:sz w:val="18"/>
          <w:u w:val="single" w:color="1D71B8"/>
        </w:rPr>
        <w:t> </w:t>
      </w:r>
      <w:r>
        <w:rPr>
          <w:color w:val="1D71B8"/>
          <w:sz w:val="18"/>
          <w:u w:val="single" w:color="1D71B8"/>
        </w:rPr>
        <w:t>to</w:t>
      </w:r>
      <w:r>
        <w:rPr>
          <w:color w:val="1D71B8"/>
          <w:spacing w:val="-6"/>
          <w:sz w:val="18"/>
          <w:u w:val="single" w:color="1D71B8"/>
        </w:rPr>
        <w:t> </w:t>
      </w:r>
      <w:r>
        <w:rPr>
          <w:color w:val="1D71B8"/>
          <w:sz w:val="18"/>
          <w:u w:val="single" w:color="1D71B8"/>
        </w:rPr>
        <w:t>Lord</w:t>
      </w:r>
      <w:r>
        <w:rPr>
          <w:color w:val="1D71B8"/>
          <w:spacing w:val="-6"/>
          <w:sz w:val="18"/>
          <w:u w:val="single" w:color="1D71B8"/>
        </w:rPr>
        <w:t> </w:t>
      </w:r>
      <w:r>
        <w:rPr>
          <w:color w:val="1D71B8"/>
          <w:sz w:val="18"/>
          <w:u w:val="single" w:color="1D71B8"/>
        </w:rPr>
        <w:t>Jay</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Ewelme</w:t>
      </w:r>
      <w:r>
        <w:rPr>
          <w:color w:val="1D71B8"/>
          <w:spacing w:val="-5"/>
          <w:sz w:val="18"/>
          <w:u w:val="single" w:color="1D71B8"/>
        </w:rPr>
        <w:t> </w:t>
      </w:r>
      <w:r>
        <w:rPr>
          <w:color w:val="1D71B8"/>
          <w:sz w:val="18"/>
          <w:u w:val="single" w:color="1D71B8"/>
        </w:rPr>
        <w:t>re:</w:t>
      </w:r>
      <w:r>
        <w:rPr>
          <w:color w:val="1D71B8"/>
          <w:spacing w:val="-5"/>
          <w:sz w:val="18"/>
          <w:u w:val="single" w:color="1D71B8"/>
        </w:rPr>
        <w:t> </w:t>
      </w:r>
      <w:r>
        <w:rPr>
          <w:color w:val="1D71B8"/>
          <w:sz w:val="18"/>
          <w:u w:val="single" w:color="1D71B8"/>
        </w:rPr>
        <w:t>Letter</w:t>
      </w:r>
      <w:r>
        <w:rPr>
          <w:color w:val="1D71B8"/>
          <w:spacing w:val="-5"/>
          <w:sz w:val="18"/>
          <w:u w:val="single" w:color="1D71B8"/>
        </w:rPr>
        <w:t> </w:t>
      </w:r>
      <w:r>
        <w:rPr>
          <w:color w:val="1D71B8"/>
          <w:sz w:val="18"/>
          <w:u w:val="single" w:color="1D71B8"/>
        </w:rPr>
        <w:t>from</w:t>
      </w:r>
      <w:r>
        <w:rPr>
          <w:color w:val="1D71B8"/>
          <w:spacing w:val="-5"/>
          <w:sz w:val="18"/>
          <w:u w:val="single" w:color="1D71B8"/>
        </w:rPr>
        <w:t> </w:t>
      </w:r>
      <w:r>
        <w:rPr>
          <w:color w:val="1D71B8"/>
          <w:sz w:val="18"/>
          <w:u w:val="single" w:color="1D71B8"/>
        </w:rPr>
        <w:t>Lord</w:t>
      </w:r>
      <w:r>
        <w:rPr>
          <w:color w:val="1D71B8"/>
          <w:spacing w:val="-6"/>
          <w:sz w:val="18"/>
          <w:u w:val="single" w:color="1D71B8"/>
        </w:rPr>
        <w:t> </w:t>
      </w:r>
      <w:r>
        <w:rPr>
          <w:color w:val="1D71B8"/>
          <w:sz w:val="18"/>
          <w:u w:val="single" w:color="1D71B8"/>
        </w:rPr>
        <w:t>Caine</w:t>
      </w:r>
      <w:r>
        <w:rPr>
          <w:color w:val="1D71B8"/>
          <w:spacing w:val="-5"/>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Protocol</w:t>
      </w:r>
      <w:r>
        <w:rPr>
          <w:color w:val="1D71B8"/>
          <w:sz w:val="18"/>
          <w:u w:val="none"/>
        </w:rPr>
        <w:t> </w:t>
      </w:r>
      <w:r>
        <w:rPr>
          <w:color w:val="1D71B8"/>
          <w:sz w:val="18"/>
          <w:u w:val="single" w:color="1D71B8"/>
        </w:rPr>
        <w:t>Article 2 and the NI Troubles (Legacy and Reconciliation) Bill, 30 January 2023</w:t>
      </w:r>
      <w:r>
        <w:rPr>
          <w:color w:val="1D71B8"/>
          <w:sz w:val="18"/>
          <w:u w:val="none"/>
        </w:rPr>
        <w:t> </w:t>
      </w:r>
      <w:r>
        <w:rPr>
          <w:sz w:val="18"/>
          <w:u w:val="none"/>
        </w:rPr>
        <w:t>(House of Lords, 2022-2023).</w:t>
      </w:r>
    </w:p>
    <w:p>
      <w:pPr>
        <w:pStyle w:val="ListParagraph"/>
        <w:numPr>
          <w:ilvl w:val="0"/>
          <w:numId w:val="18"/>
        </w:numPr>
        <w:tabs>
          <w:tab w:pos="1684" w:val="left" w:leader="none"/>
        </w:tabs>
        <w:spacing w:line="240" w:lineRule="auto" w:before="1" w:after="0"/>
        <w:ind w:left="1684" w:right="964" w:hanging="567"/>
        <w:jc w:val="left"/>
        <w:rPr>
          <w:sz w:val="18"/>
        </w:rPr>
      </w:pPr>
      <w:r>
        <w:rPr>
          <w:sz w:val="18"/>
        </w:rPr>
        <w:t>NIHRC,</w:t>
      </w:r>
      <w:r>
        <w:rPr>
          <w:spacing w:val="-3"/>
          <w:sz w:val="18"/>
        </w:rPr>
        <w:t> </w:t>
      </w:r>
      <w:hyperlink r:id="rId72">
        <w:r>
          <w:rPr>
            <w:i/>
            <w:sz w:val="18"/>
          </w:rPr>
          <w:t>Rule</w:t>
        </w:r>
        <w:r>
          <w:rPr>
            <w:i/>
            <w:spacing w:val="-3"/>
            <w:sz w:val="18"/>
          </w:rPr>
          <w:t> </w:t>
        </w:r>
        <w:r>
          <w:rPr>
            <w:i/>
            <w:sz w:val="18"/>
          </w:rPr>
          <w:t>9</w:t>
        </w:r>
        <w:r>
          <w:rPr>
            <w:i/>
            <w:spacing w:val="-3"/>
            <w:sz w:val="18"/>
          </w:rPr>
          <w:t> </w:t>
        </w:r>
        <w:r>
          <w:rPr>
            <w:i/>
            <w:sz w:val="18"/>
          </w:rPr>
          <w:t>Submission</w:t>
        </w:r>
        <w:r>
          <w:rPr>
            <w:i/>
            <w:spacing w:val="-4"/>
            <w:sz w:val="18"/>
          </w:rPr>
          <w:t> </w:t>
        </w:r>
        <w:r>
          <w:rPr>
            <w:i/>
            <w:sz w:val="18"/>
          </w:rPr>
          <w:t>to</w:t>
        </w:r>
        <w:r>
          <w:rPr>
            <w:i/>
            <w:spacing w:val="-4"/>
            <w:sz w:val="18"/>
          </w:rPr>
          <w:t> </w:t>
        </w:r>
        <w:r>
          <w:rPr>
            <w:i/>
            <w:sz w:val="18"/>
          </w:rPr>
          <w:t>the</w:t>
        </w:r>
        <w:r>
          <w:rPr>
            <w:i/>
            <w:spacing w:val="-3"/>
            <w:sz w:val="18"/>
          </w:rPr>
          <w:t> </w:t>
        </w:r>
        <w:r>
          <w:rPr>
            <w:i/>
            <w:sz w:val="18"/>
          </w:rPr>
          <w:t>CoE</w:t>
        </w:r>
        <w:r>
          <w:rPr>
            <w:color w:val="1D71B8"/>
            <w:spacing w:val="-8"/>
            <w:sz w:val="18"/>
            <w:u w:val="single" w:color="1D71B8"/>
          </w:rPr>
          <w:t> </w:t>
        </w:r>
        <w:r>
          <w:rPr>
            <w:color w:val="1D71B8"/>
            <w:sz w:val="18"/>
            <w:u w:val="single" w:color="1D71B8"/>
          </w:rPr>
          <w:t>Committee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Ministers</w:t>
        </w:r>
        <w:r>
          <w:rPr>
            <w:color w:val="1D71B8"/>
            <w:spacing w:val="-4"/>
            <w:sz w:val="18"/>
            <w:u w:val="single" w:color="1D71B8"/>
          </w:rPr>
          <w:t> </w:t>
        </w:r>
        <w:r>
          <w:rPr>
            <w:color w:val="1D71B8"/>
            <w:sz w:val="18"/>
            <w:u w:val="single" w:color="1D71B8"/>
          </w:rPr>
          <w:t>in</w:t>
        </w:r>
        <w:r>
          <w:rPr>
            <w:color w:val="1D71B8"/>
            <w:spacing w:val="-3"/>
            <w:sz w:val="18"/>
            <w:u w:val="single" w:color="1D71B8"/>
          </w:rPr>
          <w:t> </w:t>
        </w:r>
        <w:r>
          <w:rPr>
            <w:color w:val="1D71B8"/>
            <w:sz w:val="18"/>
            <w:u w:val="single" w:color="1D71B8"/>
          </w:rPr>
          <w:t>Relation</w:t>
        </w:r>
        <w:r>
          <w:rPr>
            <w:color w:val="1D71B8"/>
            <w:spacing w:val="-4"/>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Supervision</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Cases</w:t>
        </w:r>
        <w:r>
          <w:rPr>
            <w:color w:val="1D71B8"/>
            <w:spacing w:val="-4"/>
            <w:sz w:val="18"/>
            <w:u w:val="single" w:color="1D71B8"/>
          </w:rPr>
          <w:t> </w:t>
        </w:r>
        <w:r>
          <w:rPr>
            <w:color w:val="1D71B8"/>
            <w:sz w:val="18"/>
            <w:u w:val="single" w:color="1D71B8"/>
          </w:rPr>
          <w:t>Concerning</w:t>
        </w:r>
        <w:r>
          <w:rPr>
            <w:color w:val="1D71B8"/>
            <w:spacing w:val="-3"/>
            <w:sz w:val="18"/>
            <w:u w:val="single" w:color="1D71B8"/>
          </w:rPr>
          <w:t> </w:t>
        </w:r>
        <w:r>
          <w:rPr>
            <w:color w:val="1D71B8"/>
            <w:sz w:val="18"/>
            <w:u w:val="single" w:color="1D71B8"/>
          </w:rPr>
          <w:t>the</w:t>
        </w:r>
      </w:hyperlink>
      <w:r>
        <w:rPr>
          <w:color w:val="1D71B8"/>
          <w:sz w:val="18"/>
          <w:u w:val="none"/>
        </w:rPr>
        <w:t> </w:t>
      </w:r>
      <w:hyperlink r:id="rId72">
        <w:r>
          <w:rPr>
            <w:color w:val="1D71B8"/>
            <w:sz w:val="18"/>
            <w:u w:val="single" w:color="1D71B8"/>
          </w:rPr>
          <w:t>Actions of the Security Forces in NI: Advice on NI Troubles (Legacy and Reconciliation) Bill</w:t>
        </w:r>
      </w:hyperlink>
      <w:r>
        <w:rPr>
          <w:color w:val="1D71B8"/>
          <w:sz w:val="18"/>
          <w:u w:val="none"/>
        </w:rPr>
        <w:t> </w:t>
      </w:r>
      <w:r>
        <w:rPr>
          <w:sz w:val="18"/>
          <w:u w:val="none"/>
        </w:rPr>
        <w:t>(2022).</w:t>
      </w:r>
    </w:p>
    <w:p>
      <w:pPr>
        <w:pStyle w:val="ListParagraph"/>
        <w:numPr>
          <w:ilvl w:val="0"/>
          <w:numId w:val="18"/>
        </w:numPr>
        <w:tabs>
          <w:tab w:pos="1684" w:val="left" w:leader="none"/>
        </w:tabs>
        <w:spacing w:line="240" w:lineRule="auto" w:before="1" w:after="0"/>
        <w:ind w:left="1684" w:right="780" w:hanging="567"/>
        <w:jc w:val="left"/>
        <w:rPr>
          <w:sz w:val="18"/>
        </w:rPr>
      </w:pPr>
      <w:r>
        <w:rPr>
          <w:sz w:val="18"/>
        </w:rPr>
        <w:t>Human</w:t>
      </w:r>
      <w:r>
        <w:rPr>
          <w:spacing w:val="-5"/>
          <w:sz w:val="18"/>
        </w:rPr>
        <w:t> </w:t>
      </w:r>
      <w:r>
        <w:rPr>
          <w:sz w:val="18"/>
        </w:rPr>
        <w:t>Rights</w:t>
      </w:r>
      <w:r>
        <w:rPr>
          <w:spacing w:val="-5"/>
          <w:sz w:val="18"/>
        </w:rPr>
        <w:t> </w:t>
      </w:r>
      <w:r>
        <w:rPr>
          <w:sz w:val="18"/>
        </w:rPr>
        <w:t>Committee,</w:t>
      </w:r>
      <w:r>
        <w:rPr>
          <w:spacing w:val="-4"/>
          <w:sz w:val="18"/>
        </w:rPr>
        <w:t> </w:t>
      </w:r>
      <w:hyperlink r:id="rId73">
        <w:r>
          <w:rPr>
            <w:color w:val="1D71B8"/>
            <w:sz w:val="18"/>
            <w:u w:val="single" w:color="1D71B8"/>
          </w:rPr>
          <w:t>Concluding</w:t>
        </w:r>
        <w:r>
          <w:rPr>
            <w:color w:val="1D71B8"/>
            <w:spacing w:val="-4"/>
            <w:sz w:val="18"/>
            <w:u w:val="single" w:color="1D71B8"/>
          </w:rPr>
          <w:t> </w:t>
        </w:r>
        <w:r>
          <w:rPr>
            <w:color w:val="1D71B8"/>
            <w:sz w:val="18"/>
            <w:u w:val="single" w:color="1D71B8"/>
          </w:rPr>
          <w:t>Observations</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Committee:</w:t>
        </w:r>
        <w:r>
          <w:rPr>
            <w:color w:val="1D71B8"/>
            <w:spacing w:val="-4"/>
            <w:sz w:val="18"/>
            <w:u w:val="single" w:color="1D71B8"/>
          </w:rPr>
          <w:t> </w:t>
        </w:r>
        <w:r>
          <w:rPr>
            <w:color w:val="1D71B8"/>
            <w:sz w:val="18"/>
            <w:u w:val="single" w:color="1D71B8"/>
          </w:rPr>
          <w:t>United</w:t>
        </w:r>
        <w:r>
          <w:rPr>
            <w:color w:val="1D71B8"/>
            <w:spacing w:val="-5"/>
            <w:sz w:val="18"/>
            <w:u w:val="single" w:color="1D71B8"/>
          </w:rPr>
          <w:t> </w:t>
        </w:r>
        <w:r>
          <w:rPr>
            <w:color w:val="1D71B8"/>
            <w:sz w:val="18"/>
            <w:u w:val="single" w:color="1D71B8"/>
          </w:rPr>
          <w:t>Kingdom</w:t>
        </w:r>
        <w:r>
          <w:rPr>
            <w:color w:val="1D71B8"/>
            <w:spacing w:val="-4"/>
            <w:sz w:val="18"/>
            <w:u w:val="single" w:color="1D71B8"/>
          </w:rPr>
          <w:t> </w:t>
        </w:r>
        <w:r>
          <w:rPr>
            <w:color w:val="1D71B8"/>
            <w:sz w:val="18"/>
            <w:u w:val="single" w:color="1D71B8"/>
          </w:rPr>
          <w:t>3</w:t>
        </w:r>
        <w:r>
          <w:rPr>
            <w:color w:val="1D71B8"/>
            <w:spacing w:val="-4"/>
            <w:sz w:val="18"/>
            <w:u w:val="single" w:color="1D71B8"/>
          </w:rPr>
          <w:t> </w:t>
        </w:r>
        <w:r>
          <w:rPr>
            <w:color w:val="1D71B8"/>
            <w:sz w:val="18"/>
            <w:u w:val="single" w:color="1D71B8"/>
          </w:rPr>
          <w:t>May</w:t>
        </w:r>
        <w:r>
          <w:rPr>
            <w:color w:val="1D71B8"/>
            <w:spacing w:val="-4"/>
            <w:sz w:val="18"/>
            <w:u w:val="single" w:color="1D71B8"/>
          </w:rPr>
          <w:t> </w:t>
        </w:r>
        <w:r>
          <w:rPr>
            <w:color w:val="1D71B8"/>
            <w:sz w:val="18"/>
            <w:u w:val="single" w:color="1D71B8"/>
          </w:rPr>
          <w:t>2024</w:t>
        </w:r>
      </w:hyperlink>
      <w:r>
        <w:rPr>
          <w:color w:val="1D71B8"/>
          <w:spacing w:val="-6"/>
          <w:sz w:val="18"/>
          <w:u w:val="none"/>
        </w:rPr>
        <w:t> </w:t>
      </w:r>
      <w:r>
        <w:rPr>
          <w:sz w:val="18"/>
          <w:u w:val="none"/>
        </w:rPr>
        <w:t>United Nations 2024) CCPR/C/GBR/CO/8 para 10.</w:t>
      </w:r>
    </w:p>
    <w:p>
      <w:pPr>
        <w:pStyle w:val="ListParagraph"/>
        <w:numPr>
          <w:ilvl w:val="0"/>
          <w:numId w:val="18"/>
        </w:numPr>
        <w:tabs>
          <w:tab w:pos="1684" w:val="left" w:leader="none"/>
        </w:tabs>
        <w:spacing w:line="240" w:lineRule="auto" w:before="0" w:after="0"/>
        <w:ind w:left="1684" w:right="0" w:hanging="567"/>
        <w:jc w:val="left"/>
        <w:rPr>
          <w:sz w:val="18"/>
        </w:rPr>
      </w:pPr>
      <w:r>
        <w:rPr>
          <w:color w:val="1D71B8"/>
          <w:sz w:val="18"/>
          <w:u w:val="single" w:color="1D71B8"/>
        </w:rPr>
        <w:t>Legacy</w:t>
      </w:r>
      <w:r>
        <w:rPr>
          <w:color w:val="1D71B8"/>
          <w:spacing w:val="-5"/>
          <w:sz w:val="18"/>
          <w:u w:val="single" w:color="1D71B8"/>
        </w:rPr>
        <w:t> </w:t>
      </w:r>
      <w:r>
        <w:rPr>
          <w:color w:val="1D71B8"/>
          <w:sz w:val="18"/>
          <w:u w:val="single" w:color="1D71B8"/>
        </w:rPr>
        <w:t>Act</w:t>
      </w:r>
      <w:r>
        <w:rPr>
          <w:color w:val="1D71B8"/>
          <w:spacing w:val="-3"/>
          <w:sz w:val="18"/>
          <w:u w:val="single" w:color="1D71B8"/>
        </w:rPr>
        <w:t> </w:t>
      </w:r>
      <w:r>
        <w:rPr>
          <w:color w:val="1D71B8"/>
          <w:sz w:val="18"/>
          <w:u w:val="single" w:color="1D71B8"/>
        </w:rPr>
        <w:t>cases</w:t>
      </w:r>
      <w:r>
        <w:rPr>
          <w:color w:val="1D71B8"/>
          <w:spacing w:val="-4"/>
          <w:sz w:val="18"/>
          <w:u w:val="single" w:color="1D71B8"/>
        </w:rPr>
        <w:t> </w:t>
      </w:r>
      <w:r>
        <w:rPr>
          <w:color w:val="1D71B8"/>
          <w:sz w:val="18"/>
          <w:u w:val="single" w:color="1D71B8"/>
        </w:rPr>
        <w:t>(Dillon</w:t>
      </w:r>
      <w:r>
        <w:rPr>
          <w:color w:val="1D71B8"/>
          <w:spacing w:val="-4"/>
          <w:sz w:val="18"/>
          <w:u w:val="single" w:color="1D71B8"/>
        </w:rPr>
        <w:t> </w:t>
      </w:r>
      <w:r>
        <w:rPr>
          <w:color w:val="1D71B8"/>
          <w:sz w:val="18"/>
          <w:u w:val="single" w:color="1D71B8"/>
        </w:rPr>
        <w:t>and</w:t>
      </w:r>
      <w:r>
        <w:rPr>
          <w:color w:val="1D71B8"/>
          <w:spacing w:val="-3"/>
          <w:sz w:val="18"/>
          <w:u w:val="single" w:color="1D71B8"/>
        </w:rPr>
        <w:t> </w:t>
      </w:r>
      <w:r>
        <w:rPr>
          <w:color w:val="1D71B8"/>
          <w:sz w:val="18"/>
          <w:u w:val="single" w:color="1D71B8"/>
        </w:rPr>
        <w:t>others)</w:t>
      </w:r>
      <w:r>
        <w:rPr>
          <w:i/>
          <w:sz w:val="18"/>
          <w:u w:val="none"/>
        </w:rPr>
        <w:t>,</w:t>
      </w:r>
      <w:r>
        <w:rPr>
          <w:i/>
          <w:spacing w:val="-4"/>
          <w:sz w:val="18"/>
          <w:u w:val="none"/>
        </w:rPr>
        <w:t> </w:t>
      </w:r>
      <w:r>
        <w:rPr>
          <w:sz w:val="18"/>
          <w:u w:val="none"/>
        </w:rPr>
        <w:t>[2024]</w:t>
      </w:r>
      <w:r>
        <w:rPr>
          <w:spacing w:val="-3"/>
          <w:sz w:val="18"/>
          <w:u w:val="none"/>
        </w:rPr>
        <w:t> </w:t>
      </w:r>
      <w:r>
        <w:rPr>
          <w:sz w:val="18"/>
          <w:u w:val="none"/>
        </w:rPr>
        <w:t>NIKB</w:t>
      </w:r>
      <w:r>
        <w:rPr>
          <w:spacing w:val="-3"/>
          <w:sz w:val="18"/>
          <w:u w:val="none"/>
        </w:rPr>
        <w:t> </w:t>
      </w:r>
      <w:r>
        <w:rPr>
          <w:sz w:val="18"/>
          <w:u w:val="none"/>
        </w:rPr>
        <w:t>11</w:t>
      </w:r>
      <w:r>
        <w:rPr>
          <w:spacing w:val="-2"/>
          <w:sz w:val="18"/>
          <w:u w:val="none"/>
        </w:rPr>
        <w:t> </w:t>
      </w:r>
      <w:r>
        <w:rPr>
          <w:sz w:val="18"/>
          <w:u w:val="none"/>
        </w:rPr>
        <w:t>(28</w:t>
      </w:r>
      <w:r>
        <w:rPr>
          <w:spacing w:val="-3"/>
          <w:sz w:val="18"/>
          <w:u w:val="none"/>
        </w:rPr>
        <w:t> </w:t>
      </w:r>
      <w:r>
        <w:rPr>
          <w:sz w:val="18"/>
          <w:u w:val="none"/>
        </w:rPr>
        <w:t>February</w:t>
      </w:r>
      <w:r>
        <w:rPr>
          <w:spacing w:val="-3"/>
          <w:sz w:val="18"/>
          <w:u w:val="none"/>
        </w:rPr>
        <w:t> </w:t>
      </w:r>
      <w:r>
        <w:rPr>
          <w:sz w:val="18"/>
          <w:u w:val="none"/>
        </w:rPr>
        <w:t>2024)</w:t>
      </w:r>
      <w:r>
        <w:rPr>
          <w:spacing w:val="-4"/>
          <w:sz w:val="18"/>
          <w:u w:val="none"/>
        </w:rPr>
        <w:t> </w:t>
      </w:r>
      <w:r>
        <w:rPr>
          <w:sz w:val="18"/>
          <w:u w:val="none"/>
        </w:rPr>
        <w:t>para</w:t>
      </w:r>
      <w:r>
        <w:rPr>
          <w:spacing w:val="-4"/>
          <w:sz w:val="18"/>
          <w:u w:val="none"/>
        </w:rPr>
        <w:t> </w:t>
      </w:r>
      <w:r>
        <w:rPr>
          <w:sz w:val="18"/>
          <w:u w:val="none"/>
        </w:rPr>
        <w:t>710(ii).</w:t>
      </w:r>
      <w:r>
        <w:rPr>
          <w:spacing w:val="-4"/>
          <w:sz w:val="18"/>
          <w:u w:val="none"/>
        </w:rPr>
        <w:t> </w:t>
      </w:r>
      <w:r>
        <w:rPr>
          <w:sz w:val="18"/>
          <w:u w:val="none"/>
        </w:rPr>
        <w:t>See</w:t>
      </w:r>
      <w:r>
        <w:rPr>
          <w:spacing w:val="-3"/>
          <w:sz w:val="18"/>
          <w:u w:val="none"/>
        </w:rPr>
        <w:t> </w:t>
      </w:r>
      <w:r>
        <w:rPr>
          <w:sz w:val="18"/>
          <w:u w:val="none"/>
        </w:rPr>
        <w:t>further</w:t>
      </w:r>
      <w:r>
        <w:rPr>
          <w:spacing w:val="-3"/>
          <w:sz w:val="18"/>
          <w:u w:val="none"/>
        </w:rPr>
        <w:t> </w:t>
      </w:r>
      <w:r>
        <w:rPr>
          <w:sz w:val="18"/>
          <w:u w:val="none"/>
        </w:rPr>
        <w:t>chapter</w:t>
      </w:r>
      <w:r>
        <w:rPr>
          <w:spacing w:val="-2"/>
          <w:sz w:val="18"/>
          <w:u w:val="none"/>
        </w:rPr>
        <w:t> five.</w:t>
      </w:r>
    </w:p>
    <w:p>
      <w:pPr>
        <w:pStyle w:val="ListParagraph"/>
        <w:numPr>
          <w:ilvl w:val="0"/>
          <w:numId w:val="18"/>
        </w:numPr>
        <w:tabs>
          <w:tab w:pos="1684" w:val="left" w:leader="none"/>
        </w:tabs>
        <w:spacing w:line="240" w:lineRule="auto" w:before="1" w:after="0"/>
        <w:ind w:left="1684" w:right="0" w:hanging="567"/>
        <w:jc w:val="left"/>
        <w:rPr>
          <w:sz w:val="18"/>
        </w:rPr>
      </w:pPr>
      <w:r>
        <w:rPr>
          <w:sz w:val="18"/>
        </w:rPr>
        <w:t>Hansard,</w:t>
      </w:r>
      <w:r>
        <w:rPr>
          <w:spacing w:val="-6"/>
          <w:sz w:val="18"/>
        </w:rPr>
        <w:t> </w:t>
      </w:r>
      <w:r>
        <w:rPr>
          <w:sz w:val="18"/>
        </w:rPr>
        <w:t>‘</w:t>
      </w:r>
      <w:hyperlink r:id="rId74">
        <w:r>
          <w:rPr>
            <w:color w:val="1D71B8"/>
            <w:sz w:val="18"/>
            <w:u w:val="single" w:color="1D71B8"/>
          </w:rPr>
          <w:t>Data</w:t>
        </w:r>
        <w:r>
          <w:rPr>
            <w:color w:val="1D71B8"/>
            <w:spacing w:val="-6"/>
            <w:sz w:val="18"/>
            <w:u w:val="single" w:color="1D71B8"/>
          </w:rPr>
          <w:t> </w:t>
        </w:r>
        <w:r>
          <w:rPr>
            <w:color w:val="1D71B8"/>
            <w:sz w:val="18"/>
            <w:u w:val="single" w:color="1D71B8"/>
          </w:rPr>
          <w:t>Protection</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Digital</w:t>
        </w:r>
        <w:r>
          <w:rPr>
            <w:color w:val="1D71B8"/>
            <w:spacing w:val="-6"/>
            <w:sz w:val="18"/>
            <w:u w:val="single" w:color="1D71B8"/>
          </w:rPr>
          <w:t> </w:t>
        </w:r>
        <w:r>
          <w:rPr>
            <w:color w:val="1D71B8"/>
            <w:sz w:val="18"/>
            <w:u w:val="single" w:color="1D71B8"/>
          </w:rPr>
          <w:t>Information</w:t>
        </w:r>
        <w:r>
          <w:rPr>
            <w:color w:val="1D71B8"/>
            <w:spacing w:val="-6"/>
            <w:sz w:val="18"/>
            <w:u w:val="single" w:color="1D71B8"/>
          </w:rPr>
          <w:t> </w:t>
        </w:r>
        <w:r>
          <w:rPr>
            <w:color w:val="1D71B8"/>
            <w:sz w:val="18"/>
            <w:u w:val="single" w:color="1D71B8"/>
          </w:rPr>
          <w:t>(No.2)</w:t>
        </w:r>
        <w:r>
          <w:rPr>
            <w:color w:val="1D71B8"/>
            <w:spacing w:val="-6"/>
            <w:sz w:val="18"/>
            <w:u w:val="single" w:color="1D71B8"/>
          </w:rPr>
          <w:t> </w:t>
        </w:r>
        <w:r>
          <w:rPr>
            <w:color w:val="1D71B8"/>
            <w:sz w:val="18"/>
            <w:u w:val="single" w:color="1D71B8"/>
          </w:rPr>
          <w:t>Bill</w:t>
        </w:r>
        <w:r>
          <w:rPr>
            <w:color w:val="1D71B8"/>
            <w:spacing w:val="-6"/>
            <w:sz w:val="18"/>
            <w:u w:val="single" w:color="1D71B8"/>
          </w:rPr>
          <w:t> </w:t>
        </w:r>
        <w:r>
          <w:rPr>
            <w:color w:val="1D71B8"/>
            <w:sz w:val="18"/>
            <w:u w:val="single" w:color="1D71B8"/>
          </w:rPr>
          <w:t>Volume</w:t>
        </w:r>
        <w:r>
          <w:rPr>
            <w:color w:val="1D71B8"/>
            <w:spacing w:val="-5"/>
            <w:sz w:val="18"/>
            <w:u w:val="single" w:color="1D71B8"/>
          </w:rPr>
          <w:t> </w:t>
        </w:r>
        <w:r>
          <w:rPr>
            <w:color w:val="1D71B8"/>
            <w:sz w:val="18"/>
            <w:u w:val="single" w:color="1D71B8"/>
          </w:rPr>
          <w:t>729:</w:t>
        </w:r>
        <w:r>
          <w:rPr>
            <w:color w:val="1D71B8"/>
            <w:spacing w:val="-6"/>
            <w:sz w:val="18"/>
            <w:u w:val="single" w:color="1D71B8"/>
          </w:rPr>
          <w:t> </w:t>
        </w:r>
        <w:r>
          <w:rPr>
            <w:color w:val="1D71B8"/>
            <w:sz w:val="18"/>
            <w:u w:val="single" w:color="1D71B8"/>
          </w:rPr>
          <w:t>debated</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Wednesday</w:t>
        </w:r>
        <w:r>
          <w:rPr>
            <w:color w:val="1D71B8"/>
            <w:spacing w:val="-5"/>
            <w:sz w:val="18"/>
            <w:u w:val="single" w:color="1D71B8"/>
          </w:rPr>
          <w:t> </w:t>
        </w:r>
        <w:r>
          <w:rPr>
            <w:color w:val="1D71B8"/>
            <w:sz w:val="18"/>
            <w:u w:val="single" w:color="1D71B8"/>
          </w:rPr>
          <w:t>8</w:t>
        </w:r>
        <w:r>
          <w:rPr>
            <w:color w:val="1D71B8"/>
            <w:spacing w:val="-5"/>
            <w:sz w:val="18"/>
            <w:u w:val="single" w:color="1D71B8"/>
          </w:rPr>
          <w:t> </w:t>
        </w:r>
        <w:r>
          <w:rPr>
            <w:color w:val="1D71B8"/>
            <w:sz w:val="18"/>
            <w:u w:val="single" w:color="1D71B8"/>
          </w:rPr>
          <w:t>March</w:t>
        </w:r>
        <w:r>
          <w:rPr>
            <w:color w:val="1D71B8"/>
            <w:spacing w:val="-6"/>
            <w:sz w:val="18"/>
            <w:u w:val="single" w:color="1D71B8"/>
          </w:rPr>
          <w:t> </w:t>
        </w:r>
        <w:r>
          <w:rPr>
            <w:color w:val="1D71B8"/>
            <w:spacing w:val="-2"/>
            <w:sz w:val="18"/>
            <w:u w:val="single" w:color="1D71B8"/>
          </w:rPr>
          <w:t>2023</w:t>
        </w:r>
      </w:hyperlink>
      <w:r>
        <w:rPr>
          <w:spacing w:val="-2"/>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91040">
                <wp:simplePos x="0" y="0"/>
                <wp:positionH relativeFrom="page">
                  <wp:posOffset>0</wp:posOffset>
                </wp:positionH>
                <wp:positionV relativeFrom="page">
                  <wp:posOffset>0</wp:posOffset>
                </wp:positionV>
                <wp:extent cx="7560309" cy="1155065"/>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7560309" cy="1155065"/>
                          <a:chExt cx="7560309" cy="1155065"/>
                        </a:xfrm>
                      </wpg:grpSpPr>
                      <wps:wsp>
                        <wps:cNvPr id="465" name="Graphic 46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466" name="Graphic 46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25440" id="docshapegroup369" coordorigin="0,0" coordsize="11906,1819">
                <v:shape style="position:absolute;left:0;top:0;width:11906;height:1819" id="docshape370"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2.3.9 Victims and Prisoners Bill 2023" w:id="70"/>
      <w:bookmarkEnd w:id="70"/>
      <w:r>
        <w:rPr/>
      </w:r>
      <w:bookmarkStart w:name="2.3.10 Article 2 WF and the legislative " w:id="71"/>
      <w:bookmarkEnd w:id="71"/>
      <w:r>
        <w:rPr/>
      </w:r>
      <w:bookmarkStart w:name="_bookmark29" w:id="72"/>
      <w:bookmarkEnd w:id="72"/>
      <w:r>
        <w:rPr/>
      </w:r>
      <w:r>
        <w:rPr>
          <w:b/>
          <w:color w:val="FFFFFF"/>
          <w:spacing w:val="-5"/>
          <w:position w:val="-1"/>
          <w:sz w:val="28"/>
        </w:rPr>
        <w:t>50</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143"/>
      </w:pPr>
      <w:r>
        <w:rPr/>
        <w:t>European Union General Data Protection Regulation protections (EU GDPR).</w:t>
      </w:r>
      <w:r>
        <w:rPr>
          <w:vertAlign w:val="superscript"/>
        </w:rPr>
        <w:t>263</w:t>
      </w:r>
      <w:r>
        <w:rPr>
          <w:vertAlign w:val="baseline"/>
        </w:rPr>
        <w:t> Much</w:t>
      </w:r>
      <w:r>
        <w:rPr>
          <w:spacing w:val="-5"/>
          <w:vertAlign w:val="baseline"/>
        </w:rPr>
        <w:t> </w:t>
      </w:r>
      <w:r>
        <w:rPr>
          <w:vertAlign w:val="baseline"/>
        </w:rPr>
        <w:t>of</w:t>
      </w:r>
      <w:r>
        <w:rPr>
          <w:spacing w:val="-5"/>
          <w:vertAlign w:val="baseline"/>
        </w:rPr>
        <w:t> </w:t>
      </w:r>
      <w:r>
        <w:rPr>
          <w:vertAlign w:val="baseline"/>
        </w:rPr>
        <w:t>the</w:t>
      </w:r>
      <w:r>
        <w:rPr>
          <w:spacing w:val="-4"/>
          <w:vertAlign w:val="baseline"/>
        </w:rPr>
        <w:t> </w:t>
      </w:r>
      <w:r>
        <w:rPr>
          <w:vertAlign w:val="baseline"/>
        </w:rPr>
        <w:t>Bill</w:t>
      </w:r>
      <w:r>
        <w:rPr>
          <w:spacing w:val="-5"/>
          <w:vertAlign w:val="baseline"/>
        </w:rPr>
        <w:t> </w:t>
      </w:r>
      <w:r>
        <w:rPr>
          <w:vertAlign w:val="baseline"/>
        </w:rPr>
        <w:t>extends</w:t>
      </w:r>
      <w:r>
        <w:rPr>
          <w:spacing w:val="-5"/>
          <w:vertAlign w:val="baseline"/>
        </w:rPr>
        <w:t> </w:t>
      </w:r>
      <w:r>
        <w:rPr>
          <w:vertAlign w:val="baseline"/>
        </w:rPr>
        <w:t>to</w:t>
      </w:r>
      <w:r>
        <w:rPr>
          <w:spacing w:val="-5"/>
          <w:vertAlign w:val="baseline"/>
        </w:rPr>
        <w:t> </w:t>
      </w:r>
      <w:r>
        <w:rPr>
          <w:vertAlign w:val="baseline"/>
        </w:rPr>
        <w:t>Northern</w:t>
      </w:r>
      <w:r>
        <w:rPr>
          <w:spacing w:val="-5"/>
          <w:vertAlign w:val="baseline"/>
        </w:rPr>
        <w:t> </w:t>
      </w:r>
      <w:r>
        <w:rPr>
          <w:vertAlign w:val="baseline"/>
        </w:rPr>
        <w:t>Ireland.</w:t>
      </w:r>
      <w:r>
        <w:rPr>
          <w:spacing w:val="-5"/>
          <w:vertAlign w:val="baseline"/>
        </w:rPr>
        <w:t> </w:t>
      </w:r>
      <w:r>
        <w:rPr>
          <w:vertAlign w:val="baseline"/>
        </w:rPr>
        <w:t>While</w:t>
      </w:r>
      <w:r>
        <w:rPr>
          <w:spacing w:val="-4"/>
          <w:vertAlign w:val="baseline"/>
        </w:rPr>
        <w:t> </w:t>
      </w:r>
      <w:r>
        <w:rPr>
          <w:vertAlign w:val="baseline"/>
        </w:rPr>
        <w:t>the</w:t>
      </w:r>
      <w:r>
        <w:rPr>
          <w:spacing w:val="-4"/>
          <w:vertAlign w:val="baseline"/>
        </w:rPr>
        <w:t> </w:t>
      </w:r>
      <w:r>
        <w:rPr>
          <w:vertAlign w:val="baseline"/>
        </w:rPr>
        <w:t>Government</w:t>
      </w:r>
      <w:r>
        <w:rPr>
          <w:spacing w:val="-4"/>
          <w:vertAlign w:val="baseline"/>
        </w:rPr>
        <w:t> </w:t>
      </w:r>
      <w:r>
        <w:rPr>
          <w:vertAlign w:val="baseline"/>
        </w:rPr>
        <w:t>has</w:t>
      </w:r>
      <w:r>
        <w:rPr>
          <w:spacing w:val="-5"/>
          <w:vertAlign w:val="baseline"/>
        </w:rPr>
        <w:t> </w:t>
      </w:r>
      <w:r>
        <w:rPr>
          <w:vertAlign w:val="baseline"/>
        </w:rPr>
        <w:t>published Explanatory Notes and a Human Rights Memorandum there is nothing to indicate that</w:t>
      </w:r>
      <w:r>
        <w:rPr>
          <w:spacing w:val="-3"/>
          <w:vertAlign w:val="baseline"/>
        </w:rPr>
        <w:t> </w:t>
      </w:r>
      <w:r>
        <w:rPr>
          <w:vertAlign w:val="baseline"/>
        </w:rPr>
        <w:t>is</w:t>
      </w:r>
      <w:r>
        <w:rPr>
          <w:spacing w:val="-4"/>
          <w:vertAlign w:val="baseline"/>
        </w:rPr>
        <w:t> </w:t>
      </w:r>
      <w:r>
        <w:rPr>
          <w:vertAlign w:val="baseline"/>
        </w:rPr>
        <w:t>has</w:t>
      </w:r>
      <w:r>
        <w:rPr>
          <w:spacing w:val="-4"/>
          <w:vertAlign w:val="baseline"/>
        </w:rPr>
        <w:t> </w:t>
      </w:r>
      <w:r>
        <w:rPr>
          <w:vertAlign w:val="baseline"/>
        </w:rPr>
        <w:t>considered</w:t>
      </w:r>
      <w:r>
        <w:rPr>
          <w:spacing w:val="-4"/>
          <w:vertAlign w:val="baseline"/>
        </w:rPr>
        <w:t> </w:t>
      </w:r>
      <w:r>
        <w:rPr>
          <w:vertAlign w:val="baseline"/>
        </w:rPr>
        <w:t>the</w:t>
      </w:r>
      <w:r>
        <w:rPr>
          <w:spacing w:val="-3"/>
          <w:vertAlign w:val="baseline"/>
        </w:rPr>
        <w:t> </w:t>
      </w:r>
      <w:r>
        <w:rPr>
          <w:vertAlign w:val="baseline"/>
        </w:rPr>
        <w:t>implications</w:t>
      </w:r>
      <w:r>
        <w:rPr>
          <w:spacing w:val="-4"/>
          <w:vertAlign w:val="baseline"/>
        </w:rPr>
        <w:t> </w:t>
      </w:r>
      <w:r>
        <w:rPr>
          <w:vertAlign w:val="baseline"/>
        </w:rPr>
        <w:t>of</w:t>
      </w:r>
      <w:r>
        <w:rPr>
          <w:spacing w:val="-4"/>
          <w:vertAlign w:val="baseline"/>
        </w:rPr>
        <w:t> </w:t>
      </w:r>
      <w:r>
        <w:rPr>
          <w:vertAlign w:val="baseline"/>
        </w:rPr>
        <w:t>Article</w:t>
      </w:r>
      <w:r>
        <w:rPr>
          <w:spacing w:val="-3"/>
          <w:vertAlign w:val="baseline"/>
        </w:rPr>
        <w:t> </w:t>
      </w:r>
      <w:r>
        <w:rPr>
          <w:vertAlign w:val="baseline"/>
        </w:rPr>
        <w:t>2(1)</w:t>
      </w:r>
      <w:r>
        <w:rPr>
          <w:spacing w:val="-4"/>
          <w:vertAlign w:val="baseline"/>
        </w:rPr>
        <w:t> </w:t>
      </w:r>
      <w:r>
        <w:rPr>
          <w:vertAlign w:val="baseline"/>
        </w:rPr>
        <w:t>WF.</w:t>
      </w:r>
      <w:r>
        <w:rPr>
          <w:spacing w:val="-4"/>
          <w:vertAlign w:val="baseline"/>
        </w:rPr>
        <w:t> </w:t>
      </w:r>
      <w:r>
        <w:rPr>
          <w:vertAlign w:val="baseline"/>
        </w:rPr>
        <w:t>The</w:t>
      </w:r>
      <w:r>
        <w:rPr>
          <w:spacing w:val="-3"/>
          <w:vertAlign w:val="baseline"/>
        </w:rPr>
        <w:t> </w:t>
      </w:r>
      <w:r>
        <w:rPr>
          <w:vertAlign w:val="baseline"/>
        </w:rPr>
        <w:t>NIHRC</w:t>
      </w:r>
      <w:r>
        <w:rPr>
          <w:spacing w:val="-4"/>
          <w:vertAlign w:val="baseline"/>
        </w:rPr>
        <w:t> </w:t>
      </w:r>
      <w:r>
        <w:rPr>
          <w:vertAlign w:val="baseline"/>
        </w:rPr>
        <w:t>has</w:t>
      </w:r>
      <w:r>
        <w:rPr>
          <w:spacing w:val="-4"/>
          <w:vertAlign w:val="baseline"/>
        </w:rPr>
        <w:t> </w:t>
      </w:r>
      <w:r>
        <w:rPr>
          <w:vertAlign w:val="baseline"/>
        </w:rPr>
        <w:t>published a briefing highlighting concerns that several provisions in the Bill could diminish protections</w:t>
      </w:r>
      <w:r>
        <w:rPr>
          <w:spacing w:val="-3"/>
          <w:vertAlign w:val="baseline"/>
        </w:rPr>
        <w:t> </w:t>
      </w:r>
      <w:r>
        <w:rPr>
          <w:vertAlign w:val="baseline"/>
        </w:rPr>
        <w:t>available</w:t>
      </w:r>
      <w:r>
        <w:rPr>
          <w:spacing w:val="-2"/>
          <w:vertAlign w:val="baseline"/>
        </w:rPr>
        <w:t> </w:t>
      </w:r>
      <w:r>
        <w:rPr>
          <w:vertAlign w:val="baseline"/>
        </w:rPr>
        <w:t>under</w:t>
      </w:r>
      <w:r>
        <w:rPr>
          <w:spacing w:val="-2"/>
          <w:vertAlign w:val="baseline"/>
        </w:rPr>
        <w:t> </w:t>
      </w:r>
      <w:r>
        <w:rPr>
          <w:vertAlign w:val="baseline"/>
        </w:rPr>
        <w:t>the</w:t>
      </w:r>
      <w:r>
        <w:rPr>
          <w:spacing w:val="-2"/>
          <w:vertAlign w:val="baseline"/>
        </w:rPr>
        <w:t> </w:t>
      </w:r>
      <w:r>
        <w:rPr>
          <w:vertAlign w:val="baseline"/>
        </w:rPr>
        <w:t>EU</w:t>
      </w:r>
      <w:r>
        <w:rPr>
          <w:spacing w:val="-2"/>
          <w:vertAlign w:val="baseline"/>
        </w:rPr>
        <w:t> </w:t>
      </w:r>
      <w:r>
        <w:rPr>
          <w:vertAlign w:val="baseline"/>
        </w:rPr>
        <w:t>GDPR;</w:t>
      </w:r>
      <w:r>
        <w:rPr>
          <w:spacing w:val="-2"/>
          <w:vertAlign w:val="baseline"/>
        </w:rPr>
        <w:t> </w:t>
      </w:r>
      <w:r>
        <w:rPr>
          <w:vertAlign w:val="baseline"/>
        </w:rPr>
        <w:t>these</w:t>
      </w:r>
      <w:r>
        <w:rPr>
          <w:spacing w:val="-2"/>
          <w:vertAlign w:val="baseline"/>
        </w:rPr>
        <w:t> </w:t>
      </w:r>
      <w:r>
        <w:rPr>
          <w:vertAlign w:val="baseline"/>
        </w:rPr>
        <w:t>include</w:t>
      </w:r>
      <w:r>
        <w:rPr>
          <w:spacing w:val="-2"/>
          <w:vertAlign w:val="baseline"/>
        </w:rPr>
        <w:t> </w:t>
      </w:r>
      <w:r>
        <w:rPr>
          <w:vertAlign w:val="baseline"/>
        </w:rPr>
        <w:t>matters</w:t>
      </w:r>
      <w:r>
        <w:rPr>
          <w:spacing w:val="-3"/>
          <w:vertAlign w:val="baseline"/>
        </w:rPr>
        <w:t> </w:t>
      </w:r>
      <w:r>
        <w:rPr>
          <w:vertAlign w:val="baseline"/>
        </w:rPr>
        <w:t>like</w:t>
      </w:r>
      <w:r>
        <w:rPr>
          <w:spacing w:val="-2"/>
          <w:vertAlign w:val="baseline"/>
        </w:rPr>
        <w:t> </w:t>
      </w:r>
      <w:r>
        <w:rPr>
          <w:vertAlign w:val="baseline"/>
        </w:rPr>
        <w:t>the</w:t>
      </w:r>
      <w:r>
        <w:rPr>
          <w:spacing w:val="-2"/>
          <w:vertAlign w:val="baseline"/>
        </w:rPr>
        <w:t> </w:t>
      </w:r>
      <w:r>
        <w:rPr>
          <w:vertAlign w:val="baseline"/>
        </w:rPr>
        <w:t>automatic processing of information, the potential transfer of data to other countries, the definition of scientific research.</w:t>
      </w:r>
      <w:r>
        <w:rPr>
          <w:vertAlign w:val="superscript"/>
        </w:rPr>
        <w:t>264</w:t>
      </w:r>
      <w:r>
        <w:rPr>
          <w:vertAlign w:val="baseline"/>
        </w:rPr>
        <w:t> The ECNI similarly submitted evidence critical</w:t>
      </w:r>
    </w:p>
    <w:p>
      <w:pPr>
        <w:pStyle w:val="BodyText"/>
        <w:spacing w:line="232" w:lineRule="auto"/>
        <w:ind w:left="720" w:right="1250"/>
      </w:pPr>
      <w:r>
        <w:rPr/>
        <w:t>of the Bill, highlighting how it expanded the possibility for a data controller to refuse an access request, limited the prohibition on automatic data processing in relation to sensitive personal data, permitted departments to obtain information about bank accounts used for social security payments.</w:t>
      </w:r>
      <w:r>
        <w:rPr>
          <w:vertAlign w:val="superscript"/>
        </w:rPr>
        <w:t>265</w:t>
      </w:r>
      <w:r>
        <w:rPr>
          <w:vertAlign w:val="baseline"/>
        </w:rPr>
        <w:t> There is a risk here not just</w:t>
      </w:r>
      <w:r>
        <w:rPr>
          <w:spacing w:val="-6"/>
          <w:vertAlign w:val="baseline"/>
        </w:rPr>
        <w:t> </w:t>
      </w:r>
      <w:r>
        <w:rPr>
          <w:vertAlign w:val="baseline"/>
        </w:rPr>
        <w:t>of</w:t>
      </w:r>
      <w:r>
        <w:rPr>
          <w:spacing w:val="-7"/>
          <w:vertAlign w:val="baseline"/>
        </w:rPr>
        <w:t> </w:t>
      </w:r>
      <w:r>
        <w:rPr>
          <w:vertAlign w:val="baseline"/>
        </w:rPr>
        <w:t>diminution</w:t>
      </w:r>
      <w:r>
        <w:rPr>
          <w:spacing w:val="-7"/>
          <w:vertAlign w:val="baseline"/>
        </w:rPr>
        <w:t> </w:t>
      </w:r>
      <w:r>
        <w:rPr>
          <w:vertAlign w:val="baseline"/>
        </w:rPr>
        <w:t>but</w:t>
      </w:r>
      <w:r>
        <w:rPr>
          <w:spacing w:val="-6"/>
          <w:vertAlign w:val="baseline"/>
        </w:rPr>
        <w:t> </w:t>
      </w:r>
      <w:r>
        <w:rPr>
          <w:vertAlign w:val="baseline"/>
        </w:rPr>
        <w:t>also</w:t>
      </w:r>
      <w:r>
        <w:rPr>
          <w:spacing w:val="-7"/>
          <w:vertAlign w:val="baseline"/>
        </w:rPr>
        <w:t> </w:t>
      </w:r>
      <w:r>
        <w:rPr>
          <w:vertAlign w:val="baseline"/>
        </w:rPr>
        <w:t>that</w:t>
      </w:r>
      <w:r>
        <w:rPr>
          <w:spacing w:val="-6"/>
          <w:vertAlign w:val="baseline"/>
        </w:rPr>
        <w:t> </w:t>
      </w:r>
      <w:r>
        <w:rPr>
          <w:vertAlign w:val="baseline"/>
        </w:rPr>
        <w:t>the</w:t>
      </w:r>
      <w:r>
        <w:rPr>
          <w:spacing w:val="-6"/>
          <w:vertAlign w:val="baseline"/>
        </w:rPr>
        <w:t> </w:t>
      </w:r>
      <w:r>
        <w:rPr>
          <w:vertAlign w:val="baseline"/>
        </w:rPr>
        <w:t>changes</w:t>
      </w:r>
      <w:r>
        <w:rPr>
          <w:spacing w:val="-7"/>
          <w:vertAlign w:val="baseline"/>
        </w:rPr>
        <w:t> </w:t>
      </w:r>
      <w:r>
        <w:rPr>
          <w:vertAlign w:val="baseline"/>
        </w:rPr>
        <w:t>might</w:t>
      </w:r>
      <w:r>
        <w:rPr>
          <w:spacing w:val="-6"/>
          <w:vertAlign w:val="baseline"/>
        </w:rPr>
        <w:t> </w:t>
      </w:r>
      <w:r>
        <w:rPr>
          <w:vertAlign w:val="baseline"/>
        </w:rPr>
        <w:t>endanger</w:t>
      </w:r>
      <w:r>
        <w:rPr>
          <w:spacing w:val="-6"/>
          <w:vertAlign w:val="baseline"/>
        </w:rPr>
        <w:t> </w:t>
      </w:r>
      <w:r>
        <w:rPr>
          <w:vertAlign w:val="baseline"/>
        </w:rPr>
        <w:t>the</w:t>
      </w:r>
      <w:r>
        <w:rPr>
          <w:spacing w:val="-6"/>
          <w:vertAlign w:val="baseline"/>
        </w:rPr>
        <w:t> </w:t>
      </w:r>
      <w:r>
        <w:rPr>
          <w:vertAlign w:val="baseline"/>
        </w:rPr>
        <w:t>European</w:t>
      </w:r>
      <w:r>
        <w:rPr>
          <w:spacing w:val="-7"/>
          <w:vertAlign w:val="baseline"/>
        </w:rPr>
        <w:t> </w:t>
      </w:r>
      <w:r>
        <w:rPr>
          <w:vertAlign w:val="baseline"/>
        </w:rPr>
        <w:t>Union’s adequacy decision as regards the UK (that is, the decision that UK data protection laws</w:t>
      </w:r>
      <w:r>
        <w:rPr>
          <w:spacing w:val="-5"/>
          <w:vertAlign w:val="baseline"/>
        </w:rPr>
        <w:t> </w:t>
      </w:r>
      <w:r>
        <w:rPr>
          <w:vertAlign w:val="baseline"/>
        </w:rPr>
        <w:t>are</w:t>
      </w:r>
      <w:r>
        <w:rPr>
          <w:spacing w:val="-4"/>
          <w:vertAlign w:val="baseline"/>
        </w:rPr>
        <w:t> </w:t>
      </w:r>
      <w:r>
        <w:rPr>
          <w:vertAlign w:val="baseline"/>
        </w:rPr>
        <w:t>equivalent</w:t>
      </w:r>
      <w:r>
        <w:rPr>
          <w:spacing w:val="-4"/>
          <w:vertAlign w:val="baseline"/>
        </w:rPr>
        <w:t> </w:t>
      </w:r>
      <w:r>
        <w:rPr>
          <w:vertAlign w:val="baseline"/>
        </w:rPr>
        <w:t>to</w:t>
      </w:r>
      <w:r>
        <w:rPr>
          <w:spacing w:val="-5"/>
          <w:vertAlign w:val="baseline"/>
        </w:rPr>
        <w:t> </w:t>
      </w:r>
      <w:r>
        <w:rPr>
          <w:vertAlign w:val="baseline"/>
        </w:rPr>
        <w:t>EU</w:t>
      </w:r>
      <w:r>
        <w:rPr>
          <w:spacing w:val="-4"/>
          <w:vertAlign w:val="baseline"/>
        </w:rPr>
        <w:t> </w:t>
      </w:r>
      <w:r>
        <w:rPr>
          <w:vertAlign w:val="baseline"/>
        </w:rPr>
        <w:t>protections)</w:t>
      </w:r>
      <w:r>
        <w:rPr>
          <w:spacing w:val="-5"/>
          <w:vertAlign w:val="baseline"/>
        </w:rPr>
        <w:t> </w:t>
      </w:r>
      <w:r>
        <w:rPr>
          <w:vertAlign w:val="baseline"/>
        </w:rPr>
        <w:t>and</w:t>
      </w:r>
      <w:r>
        <w:rPr>
          <w:spacing w:val="-5"/>
          <w:vertAlign w:val="baseline"/>
        </w:rPr>
        <w:t> </w:t>
      </w:r>
      <w:r>
        <w:rPr>
          <w:vertAlign w:val="baseline"/>
        </w:rPr>
        <w:t>so</w:t>
      </w:r>
      <w:r>
        <w:rPr>
          <w:spacing w:val="-5"/>
          <w:vertAlign w:val="baseline"/>
        </w:rPr>
        <w:t> </w:t>
      </w:r>
      <w:r>
        <w:rPr>
          <w:vertAlign w:val="baseline"/>
        </w:rPr>
        <w:t>endanger</w:t>
      </w:r>
      <w:r>
        <w:rPr>
          <w:spacing w:val="-4"/>
          <w:vertAlign w:val="baseline"/>
        </w:rPr>
        <w:t> </w:t>
      </w:r>
      <w:r>
        <w:rPr>
          <w:vertAlign w:val="baseline"/>
        </w:rPr>
        <w:t>cross-border</w:t>
      </w:r>
      <w:r>
        <w:rPr>
          <w:spacing w:val="-4"/>
          <w:vertAlign w:val="baseline"/>
        </w:rPr>
        <w:t> </w:t>
      </w:r>
      <w:r>
        <w:rPr>
          <w:vertAlign w:val="baseline"/>
        </w:rPr>
        <w:t>cooperation; this could be particularly serious in the North-South context.</w:t>
      </w:r>
      <w:r>
        <w:rPr>
          <w:vertAlign w:val="superscript"/>
        </w:rPr>
        <w:t>266</w:t>
      </w:r>
    </w:p>
    <w:p>
      <w:pPr>
        <w:pStyle w:val="BodyText"/>
        <w:spacing w:line="232" w:lineRule="auto" w:before="259"/>
        <w:ind w:left="720" w:right="1250"/>
      </w:pPr>
      <w:r>
        <w:rPr/>
        <w:t>The</w:t>
      </w:r>
      <w:r>
        <w:rPr>
          <w:spacing w:val="-7"/>
        </w:rPr>
        <w:t> </w:t>
      </w:r>
      <w:r>
        <w:rPr/>
        <w:t>Bill</w:t>
      </w:r>
      <w:r>
        <w:rPr>
          <w:spacing w:val="-7"/>
        </w:rPr>
        <w:t> </w:t>
      </w:r>
      <w:r>
        <w:rPr/>
        <w:t>fell</w:t>
      </w:r>
      <w:r>
        <w:rPr>
          <w:spacing w:val="-7"/>
        </w:rPr>
        <w:t> </w:t>
      </w:r>
      <w:r>
        <w:rPr/>
        <w:t>with</w:t>
      </w:r>
      <w:r>
        <w:rPr>
          <w:spacing w:val="-7"/>
        </w:rPr>
        <w:t> </w:t>
      </w:r>
      <w:r>
        <w:rPr/>
        <w:t>the</w:t>
      </w:r>
      <w:r>
        <w:rPr>
          <w:spacing w:val="-7"/>
        </w:rPr>
        <w:t> </w:t>
      </w:r>
      <w:r>
        <w:rPr/>
        <w:t>prorogation</w:t>
      </w:r>
      <w:r>
        <w:rPr>
          <w:spacing w:val="-7"/>
        </w:rPr>
        <w:t> </w:t>
      </w:r>
      <w:r>
        <w:rPr/>
        <w:t>of</w:t>
      </w:r>
      <w:r>
        <w:rPr>
          <w:spacing w:val="-7"/>
        </w:rPr>
        <w:t> </w:t>
      </w:r>
      <w:r>
        <w:rPr/>
        <w:t>Parliament.</w:t>
      </w:r>
      <w:r>
        <w:rPr>
          <w:spacing w:val="-7"/>
        </w:rPr>
        <w:t> </w:t>
      </w:r>
      <w:r>
        <w:rPr/>
        <w:t>We</w:t>
      </w:r>
      <w:r>
        <w:rPr>
          <w:spacing w:val="-7"/>
        </w:rPr>
        <w:t> </w:t>
      </w:r>
      <w:r>
        <w:rPr/>
        <w:t>highlight</w:t>
      </w:r>
      <w:r>
        <w:rPr>
          <w:spacing w:val="-7"/>
        </w:rPr>
        <w:t> </w:t>
      </w:r>
      <w:r>
        <w:rPr/>
        <w:t>it</w:t>
      </w:r>
      <w:r>
        <w:rPr>
          <w:spacing w:val="-7"/>
        </w:rPr>
        <w:t> </w:t>
      </w:r>
      <w:r>
        <w:rPr/>
        <w:t>here</w:t>
      </w:r>
      <w:r>
        <w:rPr>
          <w:spacing w:val="-7"/>
        </w:rPr>
        <w:t> </w:t>
      </w:r>
      <w:r>
        <w:rPr/>
        <w:t>as</w:t>
      </w:r>
      <w:r>
        <w:rPr>
          <w:spacing w:val="-7"/>
        </w:rPr>
        <w:t> </w:t>
      </w:r>
      <w:r>
        <w:rPr/>
        <w:t>an</w:t>
      </w:r>
      <w:r>
        <w:rPr>
          <w:spacing w:val="-7"/>
        </w:rPr>
        <w:t> </w:t>
      </w:r>
      <w:r>
        <w:rPr/>
        <w:t>example of how any changes to UK data protection law must consider the implications for Article 2 WF.</w:t>
      </w:r>
    </w:p>
    <w:p>
      <w:pPr>
        <w:pStyle w:val="BodyText"/>
        <w:spacing w:before="52"/>
      </w:pPr>
    </w:p>
    <w:p>
      <w:pPr>
        <w:pStyle w:val="Heading3"/>
        <w:numPr>
          <w:ilvl w:val="2"/>
          <w:numId w:val="19"/>
        </w:numPr>
        <w:tabs>
          <w:tab w:pos="1358" w:val="left" w:leader="none"/>
        </w:tabs>
        <w:spacing w:line="336" w:lineRule="exact" w:before="0" w:after="0"/>
        <w:ind w:left="1358" w:right="0" w:hanging="638"/>
        <w:jc w:val="both"/>
      </w:pPr>
      <w:r>
        <w:rPr>
          <w:color w:val="004A93"/>
        </w:rPr>
        <w:t>Victims</w:t>
      </w:r>
      <w:r>
        <w:rPr>
          <w:color w:val="004A93"/>
          <w:spacing w:val="-5"/>
        </w:rPr>
        <w:t> </w:t>
      </w:r>
      <w:r>
        <w:rPr>
          <w:color w:val="004A93"/>
        </w:rPr>
        <w:t>and</w:t>
      </w:r>
      <w:r>
        <w:rPr>
          <w:color w:val="004A93"/>
          <w:spacing w:val="-5"/>
        </w:rPr>
        <w:t> </w:t>
      </w:r>
      <w:r>
        <w:rPr>
          <w:color w:val="004A93"/>
        </w:rPr>
        <w:t>Prisoners</w:t>
      </w:r>
      <w:r>
        <w:rPr>
          <w:color w:val="004A93"/>
          <w:spacing w:val="-5"/>
        </w:rPr>
        <w:t> </w:t>
      </w:r>
      <w:r>
        <w:rPr>
          <w:color w:val="004A93"/>
        </w:rPr>
        <w:t>Bill</w:t>
      </w:r>
      <w:r>
        <w:rPr>
          <w:color w:val="004A93"/>
          <w:spacing w:val="-5"/>
        </w:rPr>
        <w:t> </w:t>
      </w:r>
      <w:r>
        <w:rPr>
          <w:color w:val="004A93"/>
          <w:spacing w:val="-4"/>
        </w:rPr>
        <w:t>2023</w:t>
      </w:r>
    </w:p>
    <w:p>
      <w:pPr>
        <w:pStyle w:val="BodyText"/>
        <w:spacing w:line="232" w:lineRule="auto" w:before="2"/>
        <w:ind w:left="720" w:right="1230"/>
        <w:jc w:val="both"/>
      </w:pPr>
      <w:r>
        <w:rPr/>
        <w:t>This</w:t>
      </w:r>
      <w:r>
        <w:rPr>
          <w:spacing w:val="-7"/>
        </w:rPr>
        <w:t> </w:t>
      </w:r>
      <w:r>
        <w:rPr/>
        <w:t>Bill</w:t>
      </w:r>
      <w:r>
        <w:rPr>
          <w:spacing w:val="-7"/>
        </w:rPr>
        <w:t> </w:t>
      </w:r>
      <w:r>
        <w:rPr/>
        <w:t>makes</w:t>
      </w:r>
      <w:r>
        <w:rPr>
          <w:spacing w:val="-7"/>
        </w:rPr>
        <w:t> </w:t>
      </w:r>
      <w:r>
        <w:rPr/>
        <w:t>provisions</w:t>
      </w:r>
      <w:r>
        <w:rPr>
          <w:spacing w:val="-7"/>
        </w:rPr>
        <w:t> </w:t>
      </w:r>
      <w:r>
        <w:rPr/>
        <w:t>about</w:t>
      </w:r>
      <w:r>
        <w:rPr>
          <w:spacing w:val="-6"/>
        </w:rPr>
        <w:t> </w:t>
      </w:r>
      <w:r>
        <w:rPr/>
        <w:t>the</w:t>
      </w:r>
      <w:r>
        <w:rPr>
          <w:spacing w:val="-6"/>
        </w:rPr>
        <w:t> </w:t>
      </w:r>
      <w:r>
        <w:rPr/>
        <w:t>appointment</w:t>
      </w:r>
      <w:r>
        <w:rPr>
          <w:spacing w:val="-6"/>
        </w:rPr>
        <w:t> </w:t>
      </w:r>
      <w:r>
        <w:rPr/>
        <w:t>of</w:t>
      </w:r>
      <w:r>
        <w:rPr>
          <w:spacing w:val="-7"/>
        </w:rPr>
        <w:t> </w:t>
      </w:r>
      <w:r>
        <w:rPr/>
        <w:t>advocates</w:t>
      </w:r>
      <w:r>
        <w:rPr>
          <w:spacing w:val="-7"/>
        </w:rPr>
        <w:t> </w:t>
      </w:r>
      <w:r>
        <w:rPr/>
        <w:t>for</w:t>
      </w:r>
      <w:r>
        <w:rPr>
          <w:spacing w:val="-6"/>
        </w:rPr>
        <w:t> </w:t>
      </w:r>
      <w:r>
        <w:rPr/>
        <w:t>victims</w:t>
      </w:r>
      <w:r>
        <w:rPr>
          <w:spacing w:val="-7"/>
        </w:rPr>
        <w:t> </w:t>
      </w:r>
      <w:r>
        <w:rPr/>
        <w:t>of</w:t>
      </w:r>
      <w:r>
        <w:rPr>
          <w:spacing w:val="-7"/>
        </w:rPr>
        <w:t> </w:t>
      </w:r>
      <w:r>
        <w:rPr/>
        <w:t>major incidents,</w:t>
      </w:r>
      <w:r>
        <w:rPr>
          <w:spacing w:val="-2"/>
        </w:rPr>
        <w:t> </w:t>
      </w:r>
      <w:r>
        <w:rPr/>
        <w:t>the</w:t>
      </w:r>
      <w:r>
        <w:rPr>
          <w:spacing w:val="-2"/>
        </w:rPr>
        <w:t> </w:t>
      </w:r>
      <w:r>
        <w:rPr/>
        <w:t>release</w:t>
      </w:r>
      <w:r>
        <w:rPr>
          <w:spacing w:val="-2"/>
        </w:rPr>
        <w:t> </w:t>
      </w:r>
      <w:r>
        <w:rPr/>
        <w:t>of</w:t>
      </w:r>
      <w:r>
        <w:rPr>
          <w:spacing w:val="-3"/>
        </w:rPr>
        <w:t> </w:t>
      </w:r>
      <w:r>
        <w:rPr/>
        <w:t>prisoners</w:t>
      </w:r>
      <w:r>
        <w:rPr>
          <w:spacing w:val="-3"/>
        </w:rPr>
        <w:t> </w:t>
      </w:r>
      <w:r>
        <w:rPr/>
        <w:t>and</w:t>
      </w:r>
      <w:r>
        <w:rPr>
          <w:spacing w:val="-3"/>
        </w:rPr>
        <w:t> </w:t>
      </w:r>
      <w:r>
        <w:rPr/>
        <w:t>restrictions</w:t>
      </w:r>
      <w:r>
        <w:rPr>
          <w:spacing w:val="-3"/>
        </w:rPr>
        <w:t> </w:t>
      </w:r>
      <w:r>
        <w:rPr/>
        <w:t>on</w:t>
      </w:r>
      <w:r>
        <w:rPr>
          <w:spacing w:val="-3"/>
        </w:rPr>
        <w:t> </w:t>
      </w:r>
      <w:r>
        <w:rPr/>
        <w:t>the</w:t>
      </w:r>
      <w:r>
        <w:rPr>
          <w:spacing w:val="-2"/>
        </w:rPr>
        <w:t> </w:t>
      </w:r>
      <w:r>
        <w:rPr/>
        <w:t>right</w:t>
      </w:r>
      <w:r>
        <w:rPr>
          <w:spacing w:val="-2"/>
        </w:rPr>
        <w:t> </w:t>
      </w:r>
      <w:r>
        <w:rPr/>
        <w:t>of</w:t>
      </w:r>
      <w:r>
        <w:rPr>
          <w:spacing w:val="-3"/>
        </w:rPr>
        <w:t> </w:t>
      </w:r>
      <w:r>
        <w:rPr/>
        <w:t>certain</w:t>
      </w:r>
      <w:r>
        <w:rPr>
          <w:spacing w:val="-3"/>
        </w:rPr>
        <w:t> </w:t>
      </w:r>
      <w:r>
        <w:rPr/>
        <w:t>prisoners to marry. Most of the Bill does not apply to Northern Ireland. We note it here as</w:t>
      </w:r>
    </w:p>
    <w:p>
      <w:pPr>
        <w:pStyle w:val="BodyText"/>
        <w:spacing w:line="232" w:lineRule="auto"/>
        <w:ind w:left="720" w:right="1087"/>
      </w:pPr>
      <w:r>
        <w:rPr/>
        <w:t>it is an example of a recent legislative proposal containing provisions disapplying parts</w:t>
      </w:r>
      <w:r>
        <w:rPr>
          <w:spacing w:val="-8"/>
        </w:rPr>
        <w:t> </w:t>
      </w:r>
      <w:r>
        <w:rPr/>
        <w:t>of</w:t>
      </w:r>
      <w:r>
        <w:rPr>
          <w:spacing w:val="-8"/>
        </w:rPr>
        <w:t> </w:t>
      </w:r>
      <w:r>
        <w:rPr/>
        <w:t>the</w:t>
      </w:r>
      <w:r>
        <w:rPr>
          <w:spacing w:val="-7"/>
        </w:rPr>
        <w:t> </w:t>
      </w:r>
      <w:r>
        <w:rPr/>
        <w:t>Human</w:t>
      </w:r>
      <w:r>
        <w:rPr>
          <w:spacing w:val="-8"/>
        </w:rPr>
        <w:t> </w:t>
      </w:r>
      <w:r>
        <w:rPr/>
        <w:t>Rights</w:t>
      </w:r>
      <w:r>
        <w:rPr>
          <w:spacing w:val="-8"/>
        </w:rPr>
        <w:t> </w:t>
      </w:r>
      <w:r>
        <w:rPr/>
        <w:t>Act,</w:t>
      </w:r>
      <w:r>
        <w:rPr>
          <w:spacing w:val="-7"/>
        </w:rPr>
        <w:t> </w:t>
      </w:r>
      <w:r>
        <w:rPr/>
        <w:t>in</w:t>
      </w:r>
      <w:r>
        <w:rPr>
          <w:spacing w:val="-8"/>
        </w:rPr>
        <w:t> </w:t>
      </w:r>
      <w:r>
        <w:rPr/>
        <w:t>this</w:t>
      </w:r>
      <w:r>
        <w:rPr>
          <w:spacing w:val="-8"/>
        </w:rPr>
        <w:t> </w:t>
      </w:r>
      <w:r>
        <w:rPr/>
        <w:t>case</w:t>
      </w:r>
      <w:r>
        <w:rPr>
          <w:spacing w:val="-7"/>
        </w:rPr>
        <w:t> </w:t>
      </w:r>
      <w:r>
        <w:rPr/>
        <w:t>the</w:t>
      </w:r>
      <w:r>
        <w:rPr>
          <w:spacing w:val="-7"/>
        </w:rPr>
        <w:t> </w:t>
      </w:r>
      <w:r>
        <w:rPr/>
        <w:t>section</w:t>
      </w:r>
      <w:r>
        <w:rPr>
          <w:spacing w:val="-8"/>
        </w:rPr>
        <w:t> </w:t>
      </w:r>
      <w:r>
        <w:rPr/>
        <w:t>3</w:t>
      </w:r>
      <w:r>
        <w:rPr>
          <w:spacing w:val="-7"/>
        </w:rPr>
        <w:t> </w:t>
      </w:r>
      <w:r>
        <w:rPr/>
        <w:t>interpretative</w:t>
      </w:r>
      <w:r>
        <w:rPr>
          <w:spacing w:val="-7"/>
        </w:rPr>
        <w:t> </w:t>
      </w:r>
      <w:r>
        <w:rPr/>
        <w:t>obligation.</w:t>
      </w:r>
      <w:r>
        <w:rPr>
          <w:vertAlign w:val="superscript"/>
        </w:rPr>
        <w:t>267</w:t>
      </w:r>
      <w:r>
        <w:rPr>
          <w:vertAlign w:val="baseline"/>
        </w:rPr>
        <w:t> The Bill has now become the Victims and Prisoners Act 2024.</w:t>
      </w:r>
      <w:r>
        <w:rPr>
          <w:vertAlign w:val="superscript"/>
        </w:rPr>
        <w:t>268</w:t>
      </w:r>
    </w:p>
    <w:p>
      <w:pPr>
        <w:pStyle w:val="BodyText"/>
        <w:spacing w:before="48"/>
      </w:pPr>
    </w:p>
    <w:p>
      <w:pPr>
        <w:pStyle w:val="Heading3"/>
        <w:numPr>
          <w:ilvl w:val="2"/>
          <w:numId w:val="19"/>
        </w:numPr>
        <w:tabs>
          <w:tab w:pos="1500" w:val="left" w:leader="none"/>
        </w:tabs>
        <w:spacing w:line="336" w:lineRule="exact" w:before="0" w:after="0"/>
        <w:ind w:left="1500" w:right="0" w:hanging="780"/>
        <w:jc w:val="left"/>
      </w:pPr>
      <w:r>
        <w:rPr>
          <w:color w:val="004A93"/>
        </w:rPr>
        <w:t>Article</w:t>
      </w:r>
      <w:r>
        <w:rPr>
          <w:color w:val="004A93"/>
          <w:spacing w:val="-6"/>
        </w:rPr>
        <w:t> </w:t>
      </w:r>
      <w:r>
        <w:rPr>
          <w:color w:val="004A93"/>
        </w:rPr>
        <w:t>2</w:t>
      </w:r>
      <w:r>
        <w:rPr>
          <w:color w:val="004A93"/>
          <w:spacing w:val="-4"/>
        </w:rPr>
        <w:t> </w:t>
      </w:r>
      <w:r>
        <w:rPr>
          <w:color w:val="004A93"/>
        </w:rPr>
        <w:t>WF</w:t>
      </w:r>
      <w:r>
        <w:rPr>
          <w:color w:val="004A93"/>
          <w:spacing w:val="-6"/>
        </w:rPr>
        <w:t> </w:t>
      </w:r>
      <w:r>
        <w:rPr>
          <w:color w:val="004A93"/>
        </w:rPr>
        <w:t>and</w:t>
      </w:r>
      <w:r>
        <w:rPr>
          <w:color w:val="004A93"/>
          <w:spacing w:val="-4"/>
        </w:rPr>
        <w:t> </w:t>
      </w:r>
      <w:r>
        <w:rPr>
          <w:color w:val="004A93"/>
        </w:rPr>
        <w:t>the</w:t>
      </w:r>
      <w:r>
        <w:rPr>
          <w:color w:val="004A93"/>
          <w:spacing w:val="-6"/>
        </w:rPr>
        <w:t> </w:t>
      </w:r>
      <w:r>
        <w:rPr>
          <w:color w:val="004A93"/>
        </w:rPr>
        <w:t>legislative</w:t>
      </w:r>
      <w:r>
        <w:rPr>
          <w:color w:val="004A93"/>
          <w:spacing w:val="-5"/>
        </w:rPr>
        <w:t> </w:t>
      </w:r>
      <w:r>
        <w:rPr>
          <w:color w:val="004A93"/>
          <w:spacing w:val="-2"/>
        </w:rPr>
        <w:t>process</w:t>
      </w:r>
    </w:p>
    <w:p>
      <w:pPr>
        <w:pStyle w:val="BodyText"/>
        <w:spacing w:line="232" w:lineRule="auto" w:before="2"/>
        <w:ind w:left="720" w:right="1087"/>
      </w:pPr>
      <w:r>
        <w:rPr/>
        <w:t>There does not seem to be a systematic process employed by the UK Government for examining whether UK legal measures (or NI legal measures) are in breach of Article</w:t>
      </w:r>
      <w:r>
        <w:rPr>
          <w:spacing w:val="-4"/>
        </w:rPr>
        <w:t> </w:t>
      </w:r>
      <w:r>
        <w:rPr/>
        <w:t>2</w:t>
      </w:r>
      <w:r>
        <w:rPr>
          <w:spacing w:val="-4"/>
        </w:rPr>
        <w:t> </w:t>
      </w:r>
      <w:r>
        <w:rPr/>
        <w:t>WF.</w:t>
      </w:r>
      <w:r>
        <w:rPr>
          <w:spacing w:val="-5"/>
        </w:rPr>
        <w:t> </w:t>
      </w:r>
      <w:r>
        <w:rPr/>
        <w:t>Meanwhile</w:t>
      </w:r>
      <w:r>
        <w:rPr>
          <w:spacing w:val="-4"/>
        </w:rPr>
        <w:t> </w:t>
      </w:r>
      <w:r>
        <w:rPr/>
        <w:t>correspondence</w:t>
      </w:r>
      <w:r>
        <w:rPr>
          <w:spacing w:val="-4"/>
        </w:rPr>
        <w:t> </w:t>
      </w:r>
      <w:r>
        <w:rPr/>
        <w:t>from</w:t>
      </w:r>
      <w:r>
        <w:rPr>
          <w:spacing w:val="-4"/>
        </w:rPr>
        <w:t> </w:t>
      </w:r>
      <w:r>
        <w:rPr/>
        <w:t>the</w:t>
      </w:r>
      <w:r>
        <w:rPr>
          <w:spacing w:val="-4"/>
        </w:rPr>
        <w:t> </w:t>
      </w:r>
      <w:r>
        <w:rPr/>
        <w:t>UK</w:t>
      </w:r>
      <w:r>
        <w:rPr>
          <w:spacing w:val="-4"/>
        </w:rPr>
        <w:t> </w:t>
      </w:r>
      <w:r>
        <w:rPr/>
        <w:t>Government</w:t>
      </w:r>
      <w:r>
        <w:rPr>
          <w:spacing w:val="-4"/>
        </w:rPr>
        <w:t> </w:t>
      </w:r>
      <w:r>
        <w:rPr/>
        <w:t>to</w:t>
      </w:r>
      <w:r>
        <w:rPr>
          <w:spacing w:val="-5"/>
        </w:rPr>
        <w:t> </w:t>
      </w:r>
      <w:r>
        <w:rPr/>
        <w:t>the</w:t>
      </w:r>
      <w:r>
        <w:rPr>
          <w:spacing w:val="-4"/>
        </w:rPr>
        <w:t> </w:t>
      </w:r>
      <w:r>
        <w:rPr/>
        <w:t>House</w:t>
      </w:r>
      <w:r>
        <w:rPr>
          <w:spacing w:val="-4"/>
        </w:rPr>
        <w:t> </w:t>
      </w:r>
      <w:r>
        <w:rPr/>
        <w:t>of Lords</w:t>
      </w:r>
      <w:r>
        <w:rPr>
          <w:spacing w:val="-9"/>
        </w:rPr>
        <w:t> </w:t>
      </w:r>
      <w:r>
        <w:rPr/>
        <w:t>sub-committee</w:t>
      </w:r>
      <w:r>
        <w:rPr>
          <w:spacing w:val="-10"/>
        </w:rPr>
        <w:t> </w:t>
      </w:r>
      <w:r>
        <w:rPr/>
        <w:t>indicates</w:t>
      </w:r>
      <w:r>
        <w:rPr>
          <w:spacing w:val="-10"/>
        </w:rPr>
        <w:t> </w:t>
      </w:r>
      <w:r>
        <w:rPr/>
        <w:t>that</w:t>
      </w:r>
      <w:r>
        <w:rPr>
          <w:spacing w:val="-10"/>
        </w:rPr>
        <w:t> </w:t>
      </w:r>
      <w:r>
        <w:rPr/>
        <w:t>departments</w:t>
      </w:r>
      <w:r>
        <w:rPr>
          <w:spacing w:val="-10"/>
        </w:rPr>
        <w:t> </w:t>
      </w:r>
      <w:r>
        <w:rPr/>
        <w:t>are</w:t>
      </w:r>
      <w:r>
        <w:rPr>
          <w:spacing w:val="-10"/>
        </w:rPr>
        <w:t> </w:t>
      </w:r>
      <w:r>
        <w:rPr/>
        <w:t>working</w:t>
      </w:r>
      <w:r>
        <w:rPr>
          <w:spacing w:val="-9"/>
        </w:rPr>
        <w:t> </w:t>
      </w:r>
      <w:r>
        <w:rPr/>
        <w:t>to</w:t>
      </w:r>
      <w:r>
        <w:rPr>
          <w:spacing w:val="-10"/>
        </w:rPr>
        <w:t> </w:t>
      </w:r>
      <w:r>
        <w:rPr/>
        <w:t>provide</w:t>
      </w:r>
      <w:r>
        <w:rPr>
          <w:spacing w:val="-9"/>
        </w:rPr>
        <w:t> </w:t>
      </w:r>
      <w:r>
        <w:rPr/>
        <w:t>an</w:t>
      </w:r>
      <w:r>
        <w:rPr>
          <w:spacing w:val="-10"/>
        </w:rPr>
        <w:t> </w:t>
      </w:r>
      <w:r>
        <w:rPr/>
        <w:t>account of</w:t>
      </w:r>
      <w:r>
        <w:rPr>
          <w:spacing w:val="-5"/>
        </w:rPr>
        <w:t> </w:t>
      </w:r>
      <w:r>
        <w:rPr/>
        <w:t>retained</w:t>
      </w:r>
      <w:r>
        <w:rPr>
          <w:spacing w:val="-5"/>
        </w:rPr>
        <w:t> </w:t>
      </w:r>
      <w:r>
        <w:rPr/>
        <w:t>EU</w:t>
      </w:r>
      <w:r>
        <w:rPr>
          <w:spacing w:val="-4"/>
        </w:rPr>
        <w:t> </w:t>
      </w:r>
      <w:r>
        <w:rPr/>
        <w:t>law,</w:t>
      </w:r>
      <w:r>
        <w:rPr>
          <w:spacing w:val="-4"/>
        </w:rPr>
        <w:t> </w:t>
      </w:r>
      <w:r>
        <w:rPr/>
        <w:t>including</w:t>
      </w:r>
      <w:r>
        <w:rPr>
          <w:spacing w:val="-4"/>
        </w:rPr>
        <w:t> </w:t>
      </w:r>
      <w:r>
        <w:rPr/>
        <w:t>where</w:t>
      </w:r>
      <w:r>
        <w:rPr>
          <w:spacing w:val="-4"/>
        </w:rPr>
        <w:t> </w:t>
      </w:r>
      <w:r>
        <w:rPr/>
        <w:t>retained</w:t>
      </w:r>
      <w:r>
        <w:rPr>
          <w:spacing w:val="-5"/>
        </w:rPr>
        <w:t> </w:t>
      </w:r>
      <w:r>
        <w:rPr/>
        <w:t>EU</w:t>
      </w:r>
      <w:r>
        <w:rPr>
          <w:spacing w:val="-4"/>
        </w:rPr>
        <w:t> </w:t>
      </w:r>
      <w:r>
        <w:rPr/>
        <w:t>law</w:t>
      </w:r>
      <w:r>
        <w:rPr>
          <w:spacing w:val="-4"/>
        </w:rPr>
        <w:t> </w:t>
      </w:r>
      <w:r>
        <w:rPr/>
        <w:t>falls</w:t>
      </w:r>
      <w:r>
        <w:rPr>
          <w:spacing w:val="-5"/>
        </w:rPr>
        <w:t> </w:t>
      </w:r>
      <w:r>
        <w:rPr/>
        <w:t>within</w:t>
      </w:r>
      <w:r>
        <w:rPr>
          <w:spacing w:val="-5"/>
        </w:rPr>
        <w:t> </w:t>
      </w:r>
      <w:r>
        <w:rPr/>
        <w:t>the</w:t>
      </w:r>
      <w:r>
        <w:rPr>
          <w:spacing w:val="-4"/>
        </w:rPr>
        <w:t> </w:t>
      </w:r>
      <w:r>
        <w:rPr/>
        <w:t>scope</w:t>
      </w:r>
      <w:r>
        <w:rPr>
          <w:spacing w:val="-4"/>
        </w:rPr>
        <w:t> </w:t>
      </w:r>
      <w:r>
        <w:rPr/>
        <w:t>of</w:t>
      </w:r>
      <w:r>
        <w:rPr>
          <w:spacing w:val="-5"/>
        </w:rPr>
        <w:t> </w:t>
      </w:r>
      <w:r>
        <w:rPr/>
        <w:t>Article 2 WF; as part of this the Brexit Opportunities’ Unit is working with the Northern</w:t>
      </w:r>
    </w:p>
    <w:p>
      <w:pPr>
        <w:pStyle w:val="BodyText"/>
        <w:rPr>
          <w:sz w:val="20"/>
        </w:rPr>
      </w:pPr>
    </w:p>
    <w:p>
      <w:pPr>
        <w:pStyle w:val="BodyText"/>
        <w:rPr>
          <w:sz w:val="20"/>
        </w:rPr>
      </w:pPr>
    </w:p>
    <w:p>
      <w:pPr>
        <w:pStyle w:val="BodyText"/>
        <w:spacing w:before="92"/>
        <w:rPr>
          <w:sz w:val="20"/>
        </w:rPr>
      </w:pPr>
      <w:r>
        <w:rPr/>
        <mc:AlternateContent>
          <mc:Choice Requires="wps">
            <w:drawing>
              <wp:anchor distT="0" distB="0" distL="0" distR="0" allowOverlap="1" layoutInCell="1" locked="0" behindDoc="1" simplePos="0" relativeHeight="487673856">
                <wp:simplePos x="0" y="0"/>
                <wp:positionH relativeFrom="page">
                  <wp:posOffset>647999</wp:posOffset>
                </wp:positionH>
                <wp:positionV relativeFrom="paragraph">
                  <wp:posOffset>229013</wp:posOffset>
                </wp:positionV>
                <wp:extent cx="6012180" cy="1270"/>
                <wp:effectExtent l="0" t="0" r="0" b="0"/>
                <wp:wrapTopAndBottom/>
                <wp:docPr id="467" name="Graphic 467"/>
                <wp:cNvGraphicFramePr>
                  <a:graphicFrameLocks/>
                </wp:cNvGraphicFramePr>
                <a:graphic>
                  <a:graphicData uri="http://schemas.microsoft.com/office/word/2010/wordprocessingShape">
                    <wps:wsp>
                      <wps:cNvPr id="467" name="Graphic 46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8.032536pt;width:473.4pt;height:.1pt;mso-position-horizontal-relative:page;mso-position-vertical-relative:paragraph;z-index:-15642624;mso-wrap-distance-left:0;mso-wrap-distance-right:0" id="docshape371" coordorigin="1020,361" coordsize="9468,0" path="m1020,361l10488,361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0" w:hanging="567"/>
        <w:jc w:val="left"/>
        <w:rPr>
          <w:sz w:val="18"/>
        </w:rPr>
      </w:pPr>
      <w:r>
        <w:rPr>
          <w:sz w:val="18"/>
        </w:rPr>
        <w:t>Open</w:t>
      </w:r>
      <w:r>
        <w:rPr>
          <w:spacing w:val="-6"/>
          <w:sz w:val="18"/>
        </w:rPr>
        <w:t> </w:t>
      </w:r>
      <w:r>
        <w:rPr>
          <w:sz w:val="18"/>
        </w:rPr>
        <w:t>Rights</w:t>
      </w:r>
      <w:r>
        <w:rPr>
          <w:spacing w:val="-5"/>
          <w:sz w:val="18"/>
        </w:rPr>
        <w:t> </w:t>
      </w:r>
      <w:r>
        <w:rPr>
          <w:sz w:val="18"/>
        </w:rPr>
        <w:t>Group</w:t>
      </w:r>
      <w:r>
        <w:rPr>
          <w:spacing w:val="-4"/>
          <w:sz w:val="18"/>
        </w:rPr>
        <w:t> </w:t>
      </w:r>
      <w:hyperlink r:id="rId75">
        <w:r>
          <w:rPr>
            <w:color w:val="1D71B8"/>
            <w:sz w:val="18"/>
            <w:u w:val="single" w:color="1D71B8"/>
          </w:rPr>
          <w:t>‘The</w:t>
        </w:r>
        <w:r>
          <w:rPr>
            <w:color w:val="1D71B8"/>
            <w:spacing w:val="-5"/>
            <w:sz w:val="18"/>
            <w:u w:val="single" w:color="1D71B8"/>
          </w:rPr>
          <w:t> </w:t>
        </w:r>
        <w:r>
          <w:rPr>
            <w:color w:val="1D71B8"/>
            <w:sz w:val="18"/>
            <w:u w:val="single" w:color="1D71B8"/>
          </w:rPr>
          <w:t>Data</w:t>
        </w:r>
        <w:r>
          <w:rPr>
            <w:color w:val="1D71B8"/>
            <w:spacing w:val="-5"/>
            <w:sz w:val="18"/>
            <w:u w:val="single" w:color="1D71B8"/>
          </w:rPr>
          <w:t> </w:t>
        </w:r>
        <w:r>
          <w:rPr>
            <w:color w:val="1D71B8"/>
            <w:sz w:val="18"/>
            <w:u w:val="single" w:color="1D71B8"/>
          </w:rPr>
          <w:t>Grab</w:t>
        </w:r>
        <w:r>
          <w:rPr>
            <w:color w:val="1D71B8"/>
            <w:spacing w:val="-5"/>
            <w:sz w:val="18"/>
            <w:u w:val="single" w:color="1D71B8"/>
          </w:rPr>
          <w:t> </w:t>
        </w:r>
        <w:r>
          <w:rPr>
            <w:color w:val="1D71B8"/>
            <w:sz w:val="18"/>
            <w:u w:val="single" w:color="1D71B8"/>
          </w:rPr>
          <w:t>Bill</w:t>
        </w:r>
        <w:r>
          <w:rPr>
            <w:color w:val="1D71B8"/>
            <w:spacing w:val="-6"/>
            <w:sz w:val="18"/>
            <w:u w:val="single" w:color="1D71B8"/>
          </w:rPr>
          <w:t> </w:t>
        </w:r>
        <w:r>
          <w:rPr>
            <w:color w:val="1D71B8"/>
            <w:sz w:val="18"/>
            <w:u w:val="single" w:color="1D71B8"/>
          </w:rPr>
          <w:t>Attacks</w:t>
        </w:r>
        <w:r>
          <w:rPr>
            <w:color w:val="1D71B8"/>
            <w:spacing w:val="-5"/>
            <w:sz w:val="18"/>
            <w:u w:val="single" w:color="1D71B8"/>
          </w:rPr>
          <w:t> </w:t>
        </w:r>
        <w:r>
          <w:rPr>
            <w:color w:val="1D71B8"/>
            <w:sz w:val="18"/>
            <w:u w:val="single" w:color="1D71B8"/>
          </w:rPr>
          <w:t>our</w:t>
        </w:r>
        <w:r>
          <w:rPr>
            <w:color w:val="1D71B8"/>
            <w:spacing w:val="-4"/>
            <w:sz w:val="18"/>
            <w:u w:val="single" w:color="1D71B8"/>
          </w:rPr>
          <w:t> </w:t>
        </w:r>
        <w:r>
          <w:rPr>
            <w:color w:val="1D71B8"/>
            <w:sz w:val="18"/>
            <w:u w:val="single" w:color="1D71B8"/>
          </w:rPr>
          <w:t>Data</w:t>
        </w:r>
        <w:r>
          <w:rPr>
            <w:color w:val="1D71B8"/>
            <w:spacing w:val="-5"/>
            <w:sz w:val="18"/>
            <w:u w:val="single" w:color="1D71B8"/>
          </w:rPr>
          <w:t> </w:t>
        </w:r>
        <w:r>
          <w:rPr>
            <w:color w:val="1D71B8"/>
            <w:sz w:val="18"/>
            <w:u w:val="single" w:color="1D71B8"/>
          </w:rPr>
          <w:t>Rights’</w:t>
        </w:r>
      </w:hyperlink>
      <w:r>
        <w:rPr>
          <w:color w:val="1D71B8"/>
          <w:spacing w:val="-6"/>
          <w:sz w:val="18"/>
          <w:u w:val="none"/>
        </w:rPr>
        <w:t> </w:t>
      </w:r>
      <w:r>
        <w:rPr>
          <w:spacing w:val="-2"/>
          <w:sz w:val="18"/>
          <w:u w:val="none"/>
        </w:rPr>
        <w:t>(2023).</w:t>
      </w:r>
    </w:p>
    <w:p>
      <w:pPr>
        <w:pStyle w:val="ListParagraph"/>
        <w:numPr>
          <w:ilvl w:val="0"/>
          <w:numId w:val="18"/>
        </w:numPr>
        <w:tabs>
          <w:tab w:pos="1287" w:val="left" w:leader="none"/>
        </w:tabs>
        <w:spacing w:line="240" w:lineRule="auto" w:before="1" w:after="0"/>
        <w:ind w:left="1287" w:right="0" w:hanging="567"/>
        <w:jc w:val="left"/>
        <w:rPr>
          <w:sz w:val="18"/>
        </w:rPr>
      </w:pPr>
      <w:r>
        <w:rPr>
          <w:sz w:val="18"/>
        </w:rPr>
        <w:t>NIHRC,</w:t>
      </w:r>
      <w:r>
        <w:rPr>
          <w:spacing w:val="-5"/>
          <w:sz w:val="18"/>
        </w:rPr>
        <w:t> </w:t>
      </w:r>
      <w:r>
        <w:rPr>
          <w:color w:val="1D71B8"/>
          <w:sz w:val="18"/>
          <w:u w:val="single" w:color="1D71B8"/>
        </w:rPr>
        <w:t>NIHRC</w:t>
      </w:r>
      <w:r>
        <w:rPr>
          <w:color w:val="1D71B8"/>
          <w:spacing w:val="-5"/>
          <w:sz w:val="18"/>
          <w:u w:val="single" w:color="1D71B8"/>
        </w:rPr>
        <w:t> </w:t>
      </w:r>
      <w:r>
        <w:rPr>
          <w:color w:val="1D71B8"/>
          <w:sz w:val="18"/>
          <w:u w:val="single" w:color="1D71B8"/>
        </w:rPr>
        <w:t>Briefing</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Data</w:t>
      </w:r>
      <w:r>
        <w:rPr>
          <w:color w:val="1D71B8"/>
          <w:spacing w:val="-5"/>
          <w:sz w:val="18"/>
          <w:u w:val="single" w:color="1D71B8"/>
        </w:rPr>
        <w:t> </w:t>
      </w:r>
      <w:r>
        <w:rPr>
          <w:color w:val="1D71B8"/>
          <w:sz w:val="18"/>
          <w:u w:val="single" w:color="1D71B8"/>
        </w:rPr>
        <w:t>Protection</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Digital</w:t>
      </w:r>
      <w:r>
        <w:rPr>
          <w:color w:val="1D71B8"/>
          <w:spacing w:val="-6"/>
          <w:sz w:val="18"/>
          <w:u w:val="single" w:color="1D71B8"/>
        </w:rPr>
        <w:t> </w:t>
      </w:r>
      <w:r>
        <w:rPr>
          <w:color w:val="1D71B8"/>
          <w:sz w:val="18"/>
          <w:u w:val="single" w:color="1D71B8"/>
        </w:rPr>
        <w:t>Information</w:t>
      </w:r>
      <w:r>
        <w:rPr>
          <w:color w:val="1D71B8"/>
          <w:spacing w:val="-5"/>
          <w:sz w:val="18"/>
          <w:u w:val="single" w:color="1D71B8"/>
        </w:rPr>
        <w:t> </w:t>
      </w:r>
      <w:r>
        <w:rPr>
          <w:color w:val="1D71B8"/>
          <w:sz w:val="18"/>
          <w:u w:val="single" w:color="1D71B8"/>
        </w:rPr>
        <w:t>Bill</w:t>
      </w:r>
      <w:r>
        <w:rPr>
          <w:color w:val="1D71B8"/>
          <w:spacing w:val="-4"/>
          <w:sz w:val="18"/>
          <w:u w:val="none"/>
        </w:rPr>
        <w:t> </w:t>
      </w:r>
      <w:r>
        <w:rPr>
          <w:sz w:val="18"/>
          <w:u w:val="none"/>
        </w:rPr>
        <w:t>(January</w:t>
      </w:r>
      <w:r>
        <w:rPr>
          <w:spacing w:val="-4"/>
          <w:sz w:val="18"/>
          <w:u w:val="none"/>
        </w:rPr>
        <w:t> </w:t>
      </w:r>
      <w:r>
        <w:rPr>
          <w:spacing w:val="-2"/>
          <w:sz w:val="18"/>
          <w:u w:val="none"/>
        </w:rPr>
        <w:t>2024).</w:t>
      </w:r>
    </w:p>
    <w:p>
      <w:pPr>
        <w:pStyle w:val="ListParagraph"/>
        <w:numPr>
          <w:ilvl w:val="0"/>
          <w:numId w:val="18"/>
        </w:numPr>
        <w:tabs>
          <w:tab w:pos="1287" w:val="left" w:leader="none"/>
        </w:tabs>
        <w:spacing w:line="240" w:lineRule="auto" w:before="0" w:after="0"/>
        <w:ind w:left="1287" w:right="0" w:hanging="567"/>
        <w:jc w:val="left"/>
        <w:rPr>
          <w:sz w:val="18"/>
        </w:rPr>
      </w:pPr>
      <w:r>
        <w:rPr>
          <w:sz w:val="18"/>
        </w:rPr>
        <w:t>ECNI,</w:t>
      </w:r>
      <w:r>
        <w:rPr>
          <w:spacing w:val="-7"/>
          <w:sz w:val="18"/>
        </w:rPr>
        <w:t> </w:t>
      </w:r>
      <w:hyperlink r:id="rId76">
        <w:r>
          <w:rPr>
            <w:color w:val="1D71B8"/>
            <w:sz w:val="18"/>
            <w:u w:val="single" w:color="1D71B8"/>
          </w:rPr>
          <w:t>Submission</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Data</w:t>
        </w:r>
        <w:r>
          <w:rPr>
            <w:color w:val="1D71B8"/>
            <w:spacing w:val="-6"/>
            <w:sz w:val="18"/>
            <w:u w:val="single" w:color="1D71B8"/>
          </w:rPr>
          <w:t> </w:t>
        </w:r>
        <w:r>
          <w:rPr>
            <w:color w:val="1D71B8"/>
            <w:sz w:val="18"/>
            <w:u w:val="single" w:color="1D71B8"/>
          </w:rPr>
          <w:t>Protection</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Digital</w:t>
        </w:r>
        <w:r>
          <w:rPr>
            <w:color w:val="1D71B8"/>
            <w:spacing w:val="-6"/>
            <w:sz w:val="18"/>
            <w:u w:val="single" w:color="1D71B8"/>
          </w:rPr>
          <w:t> </w:t>
        </w:r>
        <w:r>
          <w:rPr>
            <w:color w:val="1D71B8"/>
            <w:sz w:val="18"/>
            <w:u w:val="single" w:color="1D71B8"/>
          </w:rPr>
          <w:t>Information</w:t>
        </w:r>
        <w:r>
          <w:rPr>
            <w:color w:val="1D71B8"/>
            <w:spacing w:val="-6"/>
            <w:sz w:val="18"/>
            <w:u w:val="single" w:color="1D71B8"/>
          </w:rPr>
          <w:t> </w:t>
        </w:r>
        <w:r>
          <w:rPr>
            <w:color w:val="1D71B8"/>
            <w:sz w:val="18"/>
            <w:u w:val="single" w:color="1D71B8"/>
          </w:rPr>
          <w:t>Bill</w:t>
        </w:r>
      </w:hyperlink>
      <w:r>
        <w:rPr>
          <w:color w:val="1D71B8"/>
          <w:spacing w:val="-5"/>
          <w:sz w:val="18"/>
          <w:u w:val="none"/>
        </w:rPr>
        <w:t> </w:t>
      </w:r>
      <w:r>
        <w:rPr>
          <w:sz w:val="18"/>
          <w:u w:val="none"/>
        </w:rPr>
        <w:t>(March</w:t>
      </w:r>
      <w:r>
        <w:rPr>
          <w:spacing w:val="-6"/>
          <w:sz w:val="18"/>
          <w:u w:val="none"/>
        </w:rPr>
        <w:t> </w:t>
      </w:r>
      <w:r>
        <w:rPr>
          <w:spacing w:val="-2"/>
          <w:sz w:val="18"/>
          <w:u w:val="none"/>
        </w:rPr>
        <w:t>2024).</w:t>
      </w:r>
    </w:p>
    <w:p>
      <w:pPr>
        <w:pStyle w:val="ListParagraph"/>
        <w:numPr>
          <w:ilvl w:val="0"/>
          <w:numId w:val="18"/>
        </w:numPr>
        <w:tabs>
          <w:tab w:pos="1287" w:val="left" w:leader="none"/>
        </w:tabs>
        <w:spacing w:line="240" w:lineRule="auto" w:before="0" w:after="0"/>
        <w:ind w:left="1287" w:right="0" w:hanging="567"/>
        <w:jc w:val="left"/>
        <w:rPr>
          <w:sz w:val="18"/>
        </w:rPr>
      </w:pPr>
      <w:r>
        <w:rPr>
          <w:sz w:val="18"/>
        </w:rPr>
        <w:t>NIHRC,</w:t>
      </w:r>
      <w:r>
        <w:rPr>
          <w:spacing w:val="-5"/>
          <w:sz w:val="18"/>
        </w:rPr>
        <w:t> </w:t>
      </w:r>
      <w:r>
        <w:rPr>
          <w:color w:val="1D71B8"/>
          <w:sz w:val="18"/>
          <w:u w:val="single" w:color="1D71B8"/>
        </w:rPr>
        <w:t>NIHRC</w:t>
      </w:r>
      <w:r>
        <w:rPr>
          <w:color w:val="1D71B8"/>
          <w:spacing w:val="-5"/>
          <w:sz w:val="18"/>
          <w:u w:val="single" w:color="1D71B8"/>
        </w:rPr>
        <w:t> </w:t>
      </w:r>
      <w:r>
        <w:rPr>
          <w:color w:val="1D71B8"/>
          <w:sz w:val="18"/>
          <w:u w:val="single" w:color="1D71B8"/>
        </w:rPr>
        <w:t>Briefing</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Data</w:t>
      </w:r>
      <w:r>
        <w:rPr>
          <w:color w:val="1D71B8"/>
          <w:spacing w:val="-5"/>
          <w:sz w:val="18"/>
          <w:u w:val="single" w:color="1D71B8"/>
        </w:rPr>
        <w:t> </w:t>
      </w:r>
      <w:r>
        <w:rPr>
          <w:color w:val="1D71B8"/>
          <w:sz w:val="18"/>
          <w:u w:val="single" w:color="1D71B8"/>
        </w:rPr>
        <w:t>Protection</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Digital</w:t>
      </w:r>
      <w:r>
        <w:rPr>
          <w:color w:val="1D71B8"/>
          <w:spacing w:val="-5"/>
          <w:sz w:val="18"/>
          <w:u w:val="single" w:color="1D71B8"/>
        </w:rPr>
        <w:t> </w:t>
      </w:r>
      <w:r>
        <w:rPr>
          <w:color w:val="1D71B8"/>
          <w:sz w:val="18"/>
          <w:u w:val="single" w:color="1D71B8"/>
        </w:rPr>
        <w:t>Information</w:t>
      </w:r>
      <w:r>
        <w:rPr>
          <w:color w:val="1D71B8"/>
          <w:spacing w:val="-6"/>
          <w:sz w:val="18"/>
          <w:u w:val="single" w:color="1D71B8"/>
        </w:rPr>
        <w:t> </w:t>
      </w:r>
      <w:r>
        <w:rPr>
          <w:color w:val="1D71B8"/>
          <w:sz w:val="18"/>
          <w:u w:val="single" w:color="1D71B8"/>
        </w:rPr>
        <w:t>Bill</w:t>
      </w:r>
      <w:r>
        <w:rPr>
          <w:color w:val="1D71B8"/>
          <w:spacing w:val="-4"/>
          <w:sz w:val="18"/>
          <w:u w:val="none"/>
        </w:rPr>
        <w:t> </w:t>
      </w:r>
      <w:r>
        <w:rPr>
          <w:sz w:val="18"/>
          <w:u w:val="none"/>
        </w:rPr>
        <w:t>(January</w:t>
      </w:r>
      <w:r>
        <w:rPr>
          <w:spacing w:val="-4"/>
          <w:sz w:val="18"/>
          <w:u w:val="none"/>
        </w:rPr>
        <w:t> </w:t>
      </w:r>
      <w:r>
        <w:rPr>
          <w:sz w:val="18"/>
          <w:u w:val="none"/>
        </w:rPr>
        <w:t>2024)</w:t>
      </w:r>
      <w:r>
        <w:rPr>
          <w:spacing w:val="-5"/>
          <w:sz w:val="18"/>
          <w:u w:val="none"/>
        </w:rPr>
        <w:t> 21.</w:t>
      </w:r>
    </w:p>
    <w:p>
      <w:pPr>
        <w:pStyle w:val="ListParagraph"/>
        <w:numPr>
          <w:ilvl w:val="0"/>
          <w:numId w:val="18"/>
        </w:numPr>
        <w:tabs>
          <w:tab w:pos="1287" w:val="left" w:leader="none"/>
        </w:tabs>
        <w:spacing w:line="240" w:lineRule="auto" w:before="0" w:after="0"/>
        <w:ind w:left="1287" w:right="0" w:hanging="567"/>
        <w:jc w:val="left"/>
        <w:rPr>
          <w:sz w:val="18"/>
        </w:rPr>
      </w:pPr>
      <w:r>
        <w:rPr>
          <w:sz w:val="18"/>
        </w:rPr>
        <w:t>Victims</w:t>
      </w:r>
      <w:r>
        <w:rPr>
          <w:spacing w:val="-6"/>
          <w:sz w:val="18"/>
        </w:rPr>
        <w:t> </w:t>
      </w:r>
      <w:r>
        <w:rPr>
          <w:sz w:val="18"/>
        </w:rPr>
        <w:t>and</w:t>
      </w:r>
      <w:r>
        <w:rPr>
          <w:spacing w:val="-5"/>
          <w:sz w:val="18"/>
        </w:rPr>
        <w:t> </w:t>
      </w:r>
      <w:r>
        <w:rPr>
          <w:sz w:val="18"/>
        </w:rPr>
        <w:t>Prisoners</w:t>
      </w:r>
      <w:r>
        <w:rPr>
          <w:spacing w:val="-5"/>
          <w:sz w:val="18"/>
        </w:rPr>
        <w:t> </w:t>
      </w:r>
      <w:r>
        <w:rPr>
          <w:sz w:val="18"/>
        </w:rPr>
        <w:t>Bill</w:t>
      </w:r>
      <w:r>
        <w:rPr>
          <w:spacing w:val="-5"/>
          <w:sz w:val="18"/>
        </w:rPr>
        <w:t> </w:t>
      </w:r>
      <w:r>
        <w:rPr>
          <w:sz w:val="18"/>
        </w:rPr>
        <w:t>2023,</w:t>
      </w:r>
      <w:r>
        <w:rPr>
          <w:spacing w:val="-6"/>
          <w:sz w:val="18"/>
        </w:rPr>
        <w:t> </w:t>
      </w:r>
      <w:r>
        <w:rPr>
          <w:color w:val="1D71B8"/>
          <w:sz w:val="18"/>
          <w:u w:val="single" w:color="1D71B8"/>
        </w:rPr>
        <w:t>clauses</w:t>
      </w:r>
      <w:r>
        <w:rPr>
          <w:color w:val="1D71B8"/>
          <w:spacing w:val="-5"/>
          <w:sz w:val="18"/>
          <w:u w:val="single" w:color="1D71B8"/>
        </w:rPr>
        <w:t> </w:t>
      </w:r>
      <w:r>
        <w:rPr>
          <w:color w:val="1D71B8"/>
          <w:sz w:val="18"/>
          <w:u w:val="single" w:color="1D71B8"/>
        </w:rPr>
        <w:t>49-</w:t>
      </w:r>
      <w:r>
        <w:rPr>
          <w:color w:val="1D71B8"/>
          <w:spacing w:val="-5"/>
          <w:sz w:val="18"/>
          <w:u w:val="single" w:color="1D71B8"/>
        </w:rPr>
        <w:t>51</w:t>
      </w:r>
      <w:r>
        <w:rPr>
          <w:spacing w:val="-5"/>
          <w:sz w:val="18"/>
          <w:u w:val="none"/>
        </w:rPr>
        <w:t>.</w:t>
      </w:r>
    </w:p>
    <w:p>
      <w:pPr>
        <w:pStyle w:val="ListParagraph"/>
        <w:numPr>
          <w:ilvl w:val="0"/>
          <w:numId w:val="18"/>
        </w:numPr>
        <w:tabs>
          <w:tab w:pos="1287" w:val="left" w:leader="none"/>
        </w:tabs>
        <w:spacing w:line="240" w:lineRule="auto" w:before="1" w:after="0"/>
        <w:ind w:left="1287" w:right="0" w:hanging="567"/>
        <w:jc w:val="left"/>
        <w:rPr>
          <w:sz w:val="18"/>
        </w:rPr>
      </w:pPr>
      <w:r>
        <w:rPr>
          <w:sz w:val="18"/>
        </w:rPr>
        <w:t>See</w:t>
      </w:r>
      <w:r>
        <w:rPr>
          <w:spacing w:val="-5"/>
          <w:sz w:val="18"/>
        </w:rPr>
        <w:t> </w:t>
      </w:r>
      <w:r>
        <w:rPr>
          <w:color w:val="1D71B8"/>
          <w:sz w:val="18"/>
          <w:u w:val="single" w:color="1D71B8"/>
        </w:rPr>
        <w:t>sections</w:t>
      </w:r>
      <w:r>
        <w:rPr>
          <w:color w:val="1D71B8"/>
          <w:spacing w:val="-4"/>
          <w:sz w:val="18"/>
          <w:u w:val="single" w:color="1D71B8"/>
        </w:rPr>
        <w:t> </w:t>
      </w:r>
      <w:r>
        <w:rPr>
          <w:color w:val="1D71B8"/>
          <w:sz w:val="18"/>
          <w:u w:val="single" w:color="1D71B8"/>
        </w:rPr>
        <w:t>69-72</w:t>
      </w:r>
      <w:r>
        <w:rPr>
          <w:color w:val="1D71B8"/>
          <w:spacing w:val="-4"/>
          <w:sz w:val="18"/>
          <w:u w:val="none"/>
        </w:rPr>
        <w:t> </w:t>
      </w:r>
      <w:r>
        <w:rPr>
          <w:sz w:val="18"/>
          <w:u w:val="none"/>
        </w:rPr>
        <w:t>on</w:t>
      </w:r>
      <w:r>
        <w:rPr>
          <w:spacing w:val="-4"/>
          <w:sz w:val="18"/>
          <w:u w:val="none"/>
        </w:rPr>
        <w:t> </w:t>
      </w:r>
      <w:r>
        <w:rPr>
          <w:sz w:val="18"/>
          <w:u w:val="none"/>
        </w:rPr>
        <w:t>the</w:t>
      </w:r>
      <w:r>
        <w:rPr>
          <w:spacing w:val="-4"/>
          <w:sz w:val="18"/>
          <w:u w:val="none"/>
        </w:rPr>
        <w:t> </w:t>
      </w:r>
      <w:r>
        <w:rPr>
          <w:sz w:val="18"/>
          <w:u w:val="none"/>
        </w:rPr>
        <w:t>disapplication</w:t>
      </w:r>
      <w:r>
        <w:rPr>
          <w:spacing w:val="-4"/>
          <w:sz w:val="18"/>
          <w:u w:val="none"/>
        </w:rPr>
        <w:t> </w:t>
      </w:r>
      <w:r>
        <w:rPr>
          <w:sz w:val="18"/>
          <w:u w:val="none"/>
        </w:rPr>
        <w:t>of</w:t>
      </w:r>
      <w:r>
        <w:rPr>
          <w:spacing w:val="-5"/>
          <w:sz w:val="18"/>
          <w:u w:val="none"/>
        </w:rPr>
        <w:t> </w:t>
      </w:r>
      <w:r>
        <w:rPr>
          <w:sz w:val="18"/>
          <w:u w:val="none"/>
        </w:rPr>
        <w:t>section</w:t>
      </w:r>
      <w:r>
        <w:rPr>
          <w:spacing w:val="-4"/>
          <w:sz w:val="18"/>
          <w:u w:val="none"/>
        </w:rPr>
        <w:t> </w:t>
      </w:r>
      <w:r>
        <w:rPr>
          <w:sz w:val="18"/>
          <w:u w:val="none"/>
        </w:rPr>
        <w:t>3</w:t>
      </w:r>
      <w:r>
        <w:rPr>
          <w:spacing w:val="-4"/>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Human</w:t>
      </w:r>
      <w:r>
        <w:rPr>
          <w:spacing w:val="-4"/>
          <w:sz w:val="18"/>
          <w:u w:val="none"/>
        </w:rPr>
        <w:t> </w:t>
      </w:r>
      <w:r>
        <w:rPr>
          <w:sz w:val="18"/>
          <w:u w:val="none"/>
        </w:rPr>
        <w:t>Rights</w:t>
      </w:r>
      <w:r>
        <w:rPr>
          <w:spacing w:val="-5"/>
          <w:sz w:val="18"/>
          <w:u w:val="none"/>
        </w:rPr>
        <w:t> </w:t>
      </w:r>
      <w:r>
        <w:rPr>
          <w:spacing w:val="-4"/>
          <w:sz w:val="18"/>
          <w:u w:val="none"/>
        </w:rPr>
        <w:t>Act.</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93088">
                <wp:simplePos x="0" y="0"/>
                <wp:positionH relativeFrom="page">
                  <wp:posOffset>-2</wp:posOffset>
                </wp:positionH>
                <wp:positionV relativeFrom="page">
                  <wp:posOffset>0</wp:posOffset>
                </wp:positionV>
                <wp:extent cx="7560309" cy="1155065"/>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7560309" cy="1155065"/>
                          <a:chExt cx="7560309" cy="1155065"/>
                        </a:xfrm>
                      </wpg:grpSpPr>
                      <wps:wsp>
                        <wps:cNvPr id="469" name="Graphic 469"/>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470" name="Graphic 470"/>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23392" id="docshapegroup372" coordorigin="0,0" coordsize="11906,1819">
                <v:shape style="position:absolute;left:0;top:0;width:11906;height:1819" id="docshape373"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51</w:t>
      </w:r>
    </w:p>
    <w:p>
      <w:pPr>
        <w:pStyle w:val="BodyText"/>
        <w:rPr>
          <w:b/>
        </w:rPr>
      </w:pPr>
    </w:p>
    <w:p>
      <w:pPr>
        <w:pStyle w:val="BodyText"/>
        <w:spacing w:before="48"/>
        <w:rPr>
          <w:b/>
        </w:rPr>
      </w:pPr>
    </w:p>
    <w:p>
      <w:pPr>
        <w:pStyle w:val="BodyText"/>
        <w:spacing w:line="232" w:lineRule="auto"/>
        <w:ind w:left="1117" w:right="950"/>
      </w:pPr>
      <w:r>
        <w:rPr/>
        <w:t>Ireland</w:t>
      </w:r>
      <w:r>
        <w:rPr>
          <w:spacing w:val="-8"/>
        </w:rPr>
        <w:t> </w:t>
      </w:r>
      <w:r>
        <w:rPr/>
        <w:t>Office</w:t>
      </w:r>
      <w:r>
        <w:rPr>
          <w:spacing w:val="-7"/>
        </w:rPr>
        <w:t> </w:t>
      </w:r>
      <w:r>
        <w:rPr/>
        <w:t>to</w:t>
      </w:r>
      <w:r>
        <w:rPr>
          <w:spacing w:val="-8"/>
        </w:rPr>
        <w:t> </w:t>
      </w:r>
      <w:r>
        <w:rPr/>
        <w:t>understand</w:t>
      </w:r>
      <w:r>
        <w:rPr>
          <w:spacing w:val="-8"/>
        </w:rPr>
        <w:t> </w:t>
      </w:r>
      <w:r>
        <w:rPr/>
        <w:t>the</w:t>
      </w:r>
      <w:r>
        <w:rPr>
          <w:spacing w:val="-7"/>
        </w:rPr>
        <w:t> </w:t>
      </w:r>
      <w:r>
        <w:rPr/>
        <w:t>effects</w:t>
      </w:r>
      <w:r>
        <w:rPr>
          <w:spacing w:val="-8"/>
        </w:rPr>
        <w:t> </w:t>
      </w:r>
      <w:r>
        <w:rPr/>
        <w:t>of</w:t>
      </w:r>
      <w:r>
        <w:rPr>
          <w:spacing w:val="-8"/>
        </w:rPr>
        <w:t> </w:t>
      </w:r>
      <w:r>
        <w:rPr/>
        <w:t>Article</w:t>
      </w:r>
      <w:r>
        <w:rPr>
          <w:spacing w:val="-7"/>
        </w:rPr>
        <w:t> </w:t>
      </w:r>
      <w:r>
        <w:rPr/>
        <w:t>2</w:t>
      </w:r>
      <w:r>
        <w:rPr>
          <w:spacing w:val="-7"/>
        </w:rPr>
        <w:t> </w:t>
      </w:r>
      <w:r>
        <w:rPr/>
        <w:t>WF.</w:t>
      </w:r>
      <w:r>
        <w:rPr>
          <w:vertAlign w:val="superscript"/>
        </w:rPr>
        <w:t>269</w:t>
      </w:r>
      <w:r>
        <w:rPr>
          <w:spacing w:val="-8"/>
          <w:vertAlign w:val="baseline"/>
        </w:rPr>
        <w:t> </w:t>
      </w:r>
      <w:r>
        <w:rPr>
          <w:vertAlign w:val="baseline"/>
        </w:rPr>
        <w:t>In</w:t>
      </w:r>
      <w:r>
        <w:rPr>
          <w:spacing w:val="-8"/>
          <w:vertAlign w:val="baseline"/>
        </w:rPr>
        <w:t> </w:t>
      </w:r>
      <w:r>
        <w:rPr>
          <w:vertAlign w:val="baseline"/>
        </w:rPr>
        <w:t>response</w:t>
      </w:r>
      <w:r>
        <w:rPr>
          <w:spacing w:val="-7"/>
          <w:vertAlign w:val="baseline"/>
        </w:rPr>
        <w:t> </w:t>
      </w:r>
      <w:r>
        <w:rPr>
          <w:vertAlign w:val="baseline"/>
        </w:rPr>
        <w:t>the</w:t>
      </w:r>
      <w:r>
        <w:rPr>
          <w:spacing w:val="-7"/>
          <w:vertAlign w:val="baseline"/>
        </w:rPr>
        <w:t> </w:t>
      </w:r>
      <w:r>
        <w:rPr>
          <w:vertAlign w:val="baseline"/>
        </w:rPr>
        <w:t>House of Lords sub-committee has noted that the Government apparently does not have</w:t>
      </w:r>
      <w:r>
        <w:rPr>
          <w:spacing w:val="-4"/>
          <w:vertAlign w:val="baseline"/>
        </w:rPr>
        <w:t> </w:t>
      </w:r>
      <w:r>
        <w:rPr>
          <w:vertAlign w:val="baseline"/>
        </w:rPr>
        <w:t>a</w:t>
      </w:r>
      <w:r>
        <w:rPr>
          <w:spacing w:val="-4"/>
          <w:vertAlign w:val="baseline"/>
        </w:rPr>
        <w:t> </w:t>
      </w:r>
      <w:r>
        <w:rPr>
          <w:vertAlign w:val="baseline"/>
        </w:rPr>
        <w:t>list</w:t>
      </w:r>
      <w:r>
        <w:rPr>
          <w:spacing w:val="-4"/>
          <w:vertAlign w:val="baseline"/>
        </w:rPr>
        <w:t> </w:t>
      </w:r>
      <w:r>
        <w:rPr>
          <w:vertAlign w:val="baseline"/>
        </w:rPr>
        <w:t>of</w:t>
      </w:r>
      <w:r>
        <w:rPr>
          <w:spacing w:val="-4"/>
          <w:vertAlign w:val="baseline"/>
        </w:rPr>
        <w:t> </w:t>
      </w:r>
      <w:r>
        <w:rPr>
          <w:vertAlign w:val="baseline"/>
        </w:rPr>
        <w:t>measures</w:t>
      </w:r>
      <w:r>
        <w:rPr>
          <w:spacing w:val="-5"/>
          <w:vertAlign w:val="baseline"/>
        </w:rPr>
        <w:t> </w:t>
      </w:r>
      <w:r>
        <w:rPr>
          <w:vertAlign w:val="baseline"/>
        </w:rPr>
        <w:t>falling</w:t>
      </w:r>
      <w:r>
        <w:rPr>
          <w:spacing w:val="-4"/>
          <w:vertAlign w:val="baseline"/>
        </w:rPr>
        <w:t> </w:t>
      </w:r>
      <w:r>
        <w:rPr>
          <w:vertAlign w:val="baseline"/>
        </w:rPr>
        <w:t>within</w:t>
      </w:r>
      <w:r>
        <w:rPr>
          <w:spacing w:val="-4"/>
          <w:vertAlign w:val="baseline"/>
        </w:rPr>
        <w:t> </w:t>
      </w:r>
      <w:r>
        <w:rPr>
          <w:vertAlign w:val="baseline"/>
        </w:rPr>
        <w:t>the</w:t>
      </w:r>
      <w:r>
        <w:rPr>
          <w:spacing w:val="-4"/>
          <w:vertAlign w:val="baseline"/>
        </w:rPr>
        <w:t> </w:t>
      </w:r>
      <w:r>
        <w:rPr>
          <w:vertAlign w:val="baseline"/>
        </w:rPr>
        <w:t>scope</w:t>
      </w:r>
      <w:r>
        <w:rPr>
          <w:spacing w:val="-4"/>
          <w:vertAlign w:val="baseline"/>
        </w:rPr>
        <w:t> </w:t>
      </w:r>
      <w:r>
        <w:rPr>
          <w:vertAlign w:val="baseline"/>
        </w:rPr>
        <w:t>of</w:t>
      </w:r>
      <w:r>
        <w:rPr>
          <w:spacing w:val="-4"/>
          <w:vertAlign w:val="baseline"/>
        </w:rPr>
        <w:t> </w:t>
      </w:r>
      <w:r>
        <w:rPr>
          <w:vertAlign w:val="baseline"/>
        </w:rPr>
        <w:t>Article</w:t>
      </w:r>
      <w:r>
        <w:rPr>
          <w:spacing w:val="-4"/>
          <w:vertAlign w:val="baseline"/>
        </w:rPr>
        <w:t> </w:t>
      </w:r>
      <w:r>
        <w:rPr>
          <w:vertAlign w:val="baseline"/>
        </w:rPr>
        <w:t>2</w:t>
      </w:r>
      <w:r>
        <w:rPr>
          <w:spacing w:val="-4"/>
          <w:vertAlign w:val="baseline"/>
        </w:rPr>
        <w:t> </w:t>
      </w:r>
      <w:r>
        <w:rPr>
          <w:vertAlign w:val="baseline"/>
        </w:rPr>
        <w:t>WF</w:t>
      </w:r>
      <w:r>
        <w:rPr>
          <w:spacing w:val="-4"/>
          <w:vertAlign w:val="baseline"/>
        </w:rPr>
        <w:t> </w:t>
      </w:r>
      <w:r>
        <w:rPr>
          <w:vertAlign w:val="baseline"/>
        </w:rPr>
        <w:t>and</w:t>
      </w:r>
      <w:r>
        <w:rPr>
          <w:spacing w:val="-5"/>
          <w:vertAlign w:val="baseline"/>
        </w:rPr>
        <w:t> </w:t>
      </w:r>
      <w:r>
        <w:rPr>
          <w:vertAlign w:val="baseline"/>
        </w:rPr>
        <w:t>has</w:t>
      </w:r>
      <w:r>
        <w:rPr>
          <w:spacing w:val="-4"/>
          <w:vertAlign w:val="baseline"/>
        </w:rPr>
        <w:t> </w:t>
      </w:r>
      <w:r>
        <w:rPr>
          <w:vertAlign w:val="baseline"/>
        </w:rPr>
        <w:t>asked</w:t>
      </w:r>
      <w:r>
        <w:rPr>
          <w:spacing w:val="-5"/>
          <w:vertAlign w:val="baseline"/>
        </w:rPr>
        <w:t> </w:t>
      </w:r>
      <w:r>
        <w:rPr>
          <w:vertAlign w:val="baseline"/>
        </w:rPr>
        <w:t>the Government</w:t>
      </w:r>
      <w:r>
        <w:rPr>
          <w:spacing w:val="-7"/>
          <w:vertAlign w:val="baseline"/>
        </w:rPr>
        <w:t> </w:t>
      </w:r>
      <w:r>
        <w:rPr>
          <w:vertAlign w:val="baseline"/>
        </w:rPr>
        <w:t>to</w:t>
      </w:r>
      <w:r>
        <w:rPr>
          <w:spacing w:val="-6"/>
          <w:vertAlign w:val="baseline"/>
        </w:rPr>
        <w:t> </w:t>
      </w:r>
      <w:r>
        <w:rPr>
          <w:vertAlign w:val="baseline"/>
        </w:rPr>
        <w:t>consider</w:t>
      </w:r>
      <w:r>
        <w:rPr>
          <w:spacing w:val="-7"/>
          <w:vertAlign w:val="baseline"/>
        </w:rPr>
        <w:t> </w:t>
      </w:r>
      <w:r>
        <w:rPr>
          <w:vertAlign w:val="baseline"/>
        </w:rPr>
        <w:t>producing</w:t>
      </w:r>
      <w:r>
        <w:rPr>
          <w:spacing w:val="-6"/>
          <w:vertAlign w:val="baseline"/>
        </w:rPr>
        <w:t> </w:t>
      </w:r>
      <w:r>
        <w:rPr>
          <w:vertAlign w:val="baseline"/>
        </w:rPr>
        <w:t>such</w:t>
      </w:r>
      <w:r>
        <w:rPr>
          <w:spacing w:val="-6"/>
          <w:vertAlign w:val="baseline"/>
        </w:rPr>
        <w:t> </w:t>
      </w:r>
      <w:r>
        <w:rPr>
          <w:vertAlign w:val="baseline"/>
        </w:rPr>
        <w:t>a</w:t>
      </w:r>
      <w:r>
        <w:rPr>
          <w:spacing w:val="-7"/>
          <w:vertAlign w:val="baseline"/>
        </w:rPr>
        <w:t> </w:t>
      </w:r>
      <w:r>
        <w:rPr>
          <w:vertAlign w:val="baseline"/>
        </w:rPr>
        <w:t>list;</w:t>
      </w:r>
      <w:r>
        <w:rPr>
          <w:spacing w:val="-6"/>
          <w:vertAlign w:val="baseline"/>
        </w:rPr>
        <w:t> </w:t>
      </w:r>
      <w:r>
        <w:rPr>
          <w:vertAlign w:val="baseline"/>
        </w:rPr>
        <w:t>the</w:t>
      </w:r>
      <w:r>
        <w:rPr>
          <w:spacing w:val="-7"/>
          <w:vertAlign w:val="baseline"/>
        </w:rPr>
        <w:t> </w:t>
      </w:r>
      <w:r>
        <w:rPr>
          <w:vertAlign w:val="baseline"/>
        </w:rPr>
        <w:t>sub-committee</w:t>
      </w:r>
      <w:r>
        <w:rPr>
          <w:spacing w:val="-6"/>
          <w:vertAlign w:val="baseline"/>
        </w:rPr>
        <w:t> </w:t>
      </w:r>
      <w:r>
        <w:rPr>
          <w:vertAlign w:val="baseline"/>
        </w:rPr>
        <w:t>has</w:t>
      </w:r>
      <w:r>
        <w:rPr>
          <w:spacing w:val="-6"/>
          <w:vertAlign w:val="baseline"/>
        </w:rPr>
        <w:t> </w:t>
      </w:r>
      <w:r>
        <w:rPr>
          <w:vertAlign w:val="baseline"/>
        </w:rPr>
        <w:t>also</w:t>
      </w:r>
      <w:r>
        <w:rPr>
          <w:spacing w:val="-7"/>
          <w:vertAlign w:val="baseline"/>
        </w:rPr>
        <w:t> </w:t>
      </w:r>
      <w:r>
        <w:rPr>
          <w:spacing w:val="-2"/>
          <w:vertAlign w:val="baseline"/>
        </w:rPr>
        <w:t>asked</w:t>
      </w:r>
    </w:p>
    <w:p>
      <w:pPr>
        <w:pStyle w:val="BodyText"/>
        <w:spacing w:line="232" w:lineRule="auto"/>
        <w:ind w:left="1117" w:right="738"/>
      </w:pPr>
      <w:r>
        <w:rPr/>
        <w:t>how the Government is producing an account of retained EU law in the absence of such a list.</w:t>
      </w:r>
      <w:r>
        <w:rPr>
          <w:vertAlign w:val="superscript"/>
        </w:rPr>
        <w:t>270</w:t>
      </w:r>
      <w:r>
        <w:rPr>
          <w:vertAlign w:val="baseline"/>
        </w:rPr>
        <w:t> The Commissions have already drawn attention to the need for the Government</w:t>
      </w:r>
      <w:r>
        <w:rPr>
          <w:spacing w:val="-6"/>
          <w:vertAlign w:val="baseline"/>
        </w:rPr>
        <w:t> </w:t>
      </w:r>
      <w:r>
        <w:rPr>
          <w:vertAlign w:val="baseline"/>
        </w:rPr>
        <w:t>to</w:t>
      </w:r>
      <w:r>
        <w:rPr>
          <w:spacing w:val="-7"/>
          <w:vertAlign w:val="baseline"/>
        </w:rPr>
        <w:t> </w:t>
      </w:r>
      <w:r>
        <w:rPr>
          <w:vertAlign w:val="baseline"/>
        </w:rPr>
        <w:t>make</w:t>
      </w:r>
      <w:r>
        <w:rPr>
          <w:spacing w:val="-6"/>
          <w:vertAlign w:val="baseline"/>
        </w:rPr>
        <w:t> </w:t>
      </w:r>
      <w:r>
        <w:rPr>
          <w:vertAlign w:val="baseline"/>
        </w:rPr>
        <w:t>clear</w:t>
      </w:r>
      <w:r>
        <w:rPr>
          <w:spacing w:val="-6"/>
          <w:vertAlign w:val="baseline"/>
        </w:rPr>
        <w:t> </w:t>
      </w:r>
      <w:r>
        <w:rPr>
          <w:vertAlign w:val="baseline"/>
        </w:rPr>
        <w:t>how</w:t>
      </w:r>
      <w:r>
        <w:rPr>
          <w:spacing w:val="-6"/>
          <w:vertAlign w:val="baseline"/>
        </w:rPr>
        <w:t> </w:t>
      </w:r>
      <w:r>
        <w:rPr>
          <w:vertAlign w:val="baseline"/>
        </w:rPr>
        <w:t>it</w:t>
      </w:r>
      <w:r>
        <w:rPr>
          <w:spacing w:val="-6"/>
          <w:vertAlign w:val="baseline"/>
        </w:rPr>
        <w:t> </w:t>
      </w:r>
      <w:r>
        <w:rPr>
          <w:vertAlign w:val="baseline"/>
        </w:rPr>
        <w:t>ensures</w:t>
      </w:r>
      <w:r>
        <w:rPr>
          <w:spacing w:val="-7"/>
          <w:vertAlign w:val="baseline"/>
        </w:rPr>
        <w:t> </w:t>
      </w:r>
      <w:r>
        <w:rPr>
          <w:vertAlign w:val="baseline"/>
        </w:rPr>
        <w:t>that</w:t>
      </w:r>
      <w:r>
        <w:rPr>
          <w:spacing w:val="-6"/>
          <w:vertAlign w:val="baseline"/>
        </w:rPr>
        <w:t> </w:t>
      </w:r>
      <w:r>
        <w:rPr>
          <w:vertAlign w:val="baseline"/>
        </w:rPr>
        <w:t>legislation</w:t>
      </w:r>
      <w:r>
        <w:rPr>
          <w:spacing w:val="-7"/>
          <w:vertAlign w:val="baseline"/>
        </w:rPr>
        <w:t> </w:t>
      </w:r>
      <w:r>
        <w:rPr>
          <w:vertAlign w:val="baseline"/>
        </w:rPr>
        <w:t>is</w:t>
      </w:r>
      <w:r>
        <w:rPr>
          <w:spacing w:val="-7"/>
          <w:vertAlign w:val="baseline"/>
        </w:rPr>
        <w:t> </w:t>
      </w:r>
      <w:r>
        <w:rPr>
          <w:vertAlign w:val="baseline"/>
        </w:rPr>
        <w:t>compatible</w:t>
      </w:r>
      <w:r>
        <w:rPr>
          <w:spacing w:val="-6"/>
          <w:vertAlign w:val="baseline"/>
        </w:rPr>
        <w:t> </w:t>
      </w:r>
      <w:r>
        <w:rPr>
          <w:vertAlign w:val="baseline"/>
        </w:rPr>
        <w:t>with</w:t>
      </w:r>
      <w:r>
        <w:rPr>
          <w:spacing w:val="-7"/>
          <w:vertAlign w:val="baseline"/>
        </w:rPr>
        <w:t> </w:t>
      </w:r>
      <w:r>
        <w:rPr>
          <w:vertAlign w:val="baseline"/>
        </w:rPr>
        <w:t>Article 2 WF through publications in the Guide to Making Legislation and in explanatory materials.</w:t>
      </w:r>
      <w:r>
        <w:rPr>
          <w:vertAlign w:val="superscript"/>
        </w:rPr>
        <w:t>271</w:t>
      </w:r>
      <w:r>
        <w:rPr>
          <w:vertAlign w:val="baseline"/>
        </w:rPr>
        <w:t> The Guide to Making Legislation has not been updated with any references to Article 2 WF (as of 27 February 2024).</w:t>
      </w:r>
      <w:r>
        <w:rPr>
          <w:vertAlign w:val="superscript"/>
        </w:rPr>
        <w:t>272</w:t>
      </w:r>
      <w:r>
        <w:rPr>
          <w:vertAlign w:val="baseline"/>
        </w:rPr>
        <w:t> We have already noted how Government publications on legislative proposals frequently do not include any discussion of Article 2 WF concerns.</w:t>
      </w:r>
    </w:p>
    <w:p>
      <w:pPr>
        <w:pStyle w:val="BodyText"/>
        <w:spacing w:line="232" w:lineRule="auto" w:before="265"/>
        <w:ind w:left="1117" w:right="738"/>
      </w:pPr>
      <w:r>
        <w:rPr/>
        <w:t>The Northern Ireland Executive has started to publish Article 2 Impact Assessments.</w:t>
      </w:r>
      <w:r>
        <w:rPr>
          <w:vertAlign w:val="superscript"/>
        </w:rPr>
        <w:t>273</w:t>
      </w:r>
      <w:r>
        <w:rPr>
          <w:vertAlign w:val="baseline"/>
        </w:rPr>
        <w:t> This is welcome and a better approach than that existing at UK Government level, though we note the impact assessments seem to consider the scope</w:t>
      </w:r>
      <w:r>
        <w:rPr>
          <w:spacing w:val="-4"/>
          <w:vertAlign w:val="baseline"/>
        </w:rPr>
        <w:t> </w:t>
      </w:r>
      <w:r>
        <w:rPr>
          <w:vertAlign w:val="baseline"/>
        </w:rPr>
        <w:t>of</w:t>
      </w:r>
      <w:r>
        <w:rPr>
          <w:spacing w:val="-5"/>
          <w:vertAlign w:val="baseline"/>
        </w:rPr>
        <w:t> </w:t>
      </w:r>
      <w:r>
        <w:rPr>
          <w:vertAlign w:val="baseline"/>
        </w:rPr>
        <w:t>Article</w:t>
      </w:r>
      <w:r>
        <w:rPr>
          <w:spacing w:val="-4"/>
          <w:vertAlign w:val="baseline"/>
        </w:rPr>
        <w:t> </w:t>
      </w:r>
      <w:r>
        <w:rPr>
          <w:vertAlign w:val="baseline"/>
        </w:rPr>
        <w:t>2</w:t>
      </w:r>
      <w:r>
        <w:rPr>
          <w:spacing w:val="-4"/>
          <w:vertAlign w:val="baseline"/>
        </w:rPr>
        <w:t> </w:t>
      </w:r>
      <w:r>
        <w:rPr>
          <w:vertAlign w:val="baseline"/>
        </w:rPr>
        <w:t>to</w:t>
      </w:r>
      <w:r>
        <w:rPr>
          <w:spacing w:val="-5"/>
          <w:vertAlign w:val="baseline"/>
        </w:rPr>
        <w:t> </w:t>
      </w:r>
      <w:r>
        <w:rPr>
          <w:vertAlign w:val="baseline"/>
        </w:rPr>
        <w:t>be</w:t>
      </w:r>
      <w:r>
        <w:rPr>
          <w:spacing w:val="-4"/>
          <w:vertAlign w:val="baseline"/>
        </w:rPr>
        <w:t> </w:t>
      </w:r>
      <w:r>
        <w:rPr>
          <w:vertAlign w:val="baseline"/>
        </w:rPr>
        <w:t>more</w:t>
      </w:r>
      <w:r>
        <w:rPr>
          <w:spacing w:val="-4"/>
          <w:vertAlign w:val="baseline"/>
        </w:rPr>
        <w:t> </w:t>
      </w:r>
      <w:r>
        <w:rPr>
          <w:vertAlign w:val="baseline"/>
        </w:rPr>
        <w:t>limited</w:t>
      </w:r>
      <w:r>
        <w:rPr>
          <w:spacing w:val="-5"/>
          <w:vertAlign w:val="baseline"/>
        </w:rPr>
        <w:t> </w:t>
      </w:r>
      <w:r>
        <w:rPr>
          <w:vertAlign w:val="baseline"/>
        </w:rPr>
        <w:t>than</w:t>
      </w:r>
      <w:r>
        <w:rPr>
          <w:spacing w:val="-5"/>
          <w:vertAlign w:val="baseline"/>
        </w:rPr>
        <w:t> </w:t>
      </w:r>
      <w:r>
        <w:rPr>
          <w:vertAlign w:val="baseline"/>
        </w:rPr>
        <w:t>that</w:t>
      </w:r>
      <w:r>
        <w:rPr>
          <w:spacing w:val="-4"/>
          <w:vertAlign w:val="baseline"/>
        </w:rPr>
        <w:t> </w:t>
      </w:r>
      <w:r>
        <w:rPr>
          <w:vertAlign w:val="baseline"/>
        </w:rPr>
        <w:t>supported</w:t>
      </w:r>
      <w:r>
        <w:rPr>
          <w:spacing w:val="-5"/>
          <w:vertAlign w:val="baseline"/>
        </w:rPr>
        <w:t> </w:t>
      </w:r>
      <w:r>
        <w:rPr>
          <w:vertAlign w:val="baseline"/>
        </w:rPr>
        <w:t>by</w:t>
      </w:r>
      <w:r>
        <w:rPr>
          <w:spacing w:val="-4"/>
          <w:vertAlign w:val="baseline"/>
        </w:rPr>
        <w:t> </w:t>
      </w:r>
      <w:r>
        <w:rPr>
          <w:vertAlign w:val="baseline"/>
        </w:rPr>
        <w:t>the</w:t>
      </w:r>
      <w:r>
        <w:rPr>
          <w:spacing w:val="-4"/>
          <w:vertAlign w:val="baseline"/>
        </w:rPr>
        <w:t> </w:t>
      </w:r>
      <w:r>
        <w:rPr>
          <w:vertAlign w:val="baseline"/>
        </w:rPr>
        <w:t>two</w:t>
      </w:r>
      <w:r>
        <w:rPr>
          <w:spacing w:val="-5"/>
          <w:vertAlign w:val="baseline"/>
        </w:rPr>
        <w:t> </w:t>
      </w:r>
      <w:r>
        <w:rPr>
          <w:vertAlign w:val="baseline"/>
        </w:rPr>
        <w:t>Commissions.</w:t>
      </w:r>
    </w:p>
    <w:p>
      <w:pPr>
        <w:pStyle w:val="BodyText"/>
        <w:spacing w:before="1"/>
        <w:rPr>
          <w:sz w:val="20"/>
        </w:rPr>
      </w:pPr>
      <w:r>
        <w:rPr/>
        <mc:AlternateContent>
          <mc:Choice Requires="wps">
            <w:drawing>
              <wp:anchor distT="0" distB="0" distL="0" distR="0" allowOverlap="1" layoutInCell="1" locked="0" behindDoc="1" simplePos="0" relativeHeight="487674880">
                <wp:simplePos x="0" y="0"/>
                <wp:positionH relativeFrom="page">
                  <wp:posOffset>899994</wp:posOffset>
                </wp:positionH>
                <wp:positionV relativeFrom="paragraph">
                  <wp:posOffset>170910</wp:posOffset>
                </wp:positionV>
                <wp:extent cx="6012180" cy="813435"/>
                <wp:effectExtent l="0" t="0" r="0" b="0"/>
                <wp:wrapTopAndBottom/>
                <wp:docPr id="471" name="Group 471"/>
                <wp:cNvGraphicFramePr>
                  <a:graphicFrameLocks/>
                </wp:cNvGraphicFramePr>
                <a:graphic>
                  <a:graphicData uri="http://schemas.microsoft.com/office/word/2010/wordprocessingGroup">
                    <wpg:wgp>
                      <wpg:cNvPr id="471" name="Group 471"/>
                      <wpg:cNvGrpSpPr/>
                      <wpg:grpSpPr>
                        <a:xfrm>
                          <a:off x="0" y="0"/>
                          <a:ext cx="6012180" cy="813435"/>
                          <a:chExt cx="6012180" cy="813435"/>
                        </a:xfrm>
                      </wpg:grpSpPr>
                      <wps:wsp>
                        <wps:cNvPr id="472" name="Graphic 472"/>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473" name="Textbox 473"/>
                        <wps:cNvSpPr txBox="1"/>
                        <wps:spPr>
                          <a:xfrm>
                            <a:off x="0" y="0"/>
                            <a:ext cx="6012180" cy="813435"/>
                          </a:xfrm>
                          <a:prstGeom prst="rect">
                            <a:avLst/>
                          </a:prstGeom>
                        </wps:spPr>
                        <wps:txbx>
                          <w:txbxContent>
                            <w:p>
                              <w:pPr>
                                <w:spacing w:line="232" w:lineRule="auto" w:before="121"/>
                                <w:ind w:left="340" w:right="196" w:firstLine="0"/>
                                <w:jc w:val="left"/>
                                <w:rPr>
                                  <w:b/>
                                  <w:sz w:val="28"/>
                                </w:rPr>
                              </w:pPr>
                              <w:r>
                                <w:rPr>
                                  <w:b/>
                                  <w:color w:val="164194"/>
                                  <w:sz w:val="28"/>
                                </w:rPr>
                                <w:t>We recommend that, in the interests of transparency, the Government publish</w:t>
                              </w:r>
                              <w:r>
                                <w:rPr>
                                  <w:b/>
                                  <w:color w:val="164194"/>
                                  <w:spacing w:val="-7"/>
                                  <w:sz w:val="28"/>
                                </w:rPr>
                                <w:t> </w:t>
                              </w:r>
                              <w:r>
                                <w:rPr>
                                  <w:b/>
                                  <w:color w:val="164194"/>
                                  <w:sz w:val="28"/>
                                </w:rPr>
                                <w:t>details</w:t>
                              </w:r>
                              <w:r>
                                <w:rPr>
                                  <w:b/>
                                  <w:color w:val="164194"/>
                                  <w:spacing w:val="-7"/>
                                  <w:sz w:val="28"/>
                                </w:rPr>
                                <w:t> </w:t>
                              </w:r>
                              <w:r>
                                <w:rPr>
                                  <w:b/>
                                  <w:color w:val="164194"/>
                                  <w:sz w:val="28"/>
                                </w:rPr>
                                <w:t>of</w:t>
                              </w:r>
                              <w:r>
                                <w:rPr>
                                  <w:b/>
                                  <w:color w:val="164194"/>
                                  <w:spacing w:val="-8"/>
                                  <w:sz w:val="28"/>
                                </w:rPr>
                                <w:t> </w:t>
                              </w:r>
                              <w:r>
                                <w:rPr>
                                  <w:b/>
                                  <w:color w:val="164194"/>
                                  <w:sz w:val="28"/>
                                </w:rPr>
                                <w:t>its</w:t>
                              </w:r>
                              <w:r>
                                <w:rPr>
                                  <w:b/>
                                  <w:color w:val="164194"/>
                                  <w:spacing w:val="-7"/>
                                  <w:sz w:val="28"/>
                                </w:rPr>
                                <w:t> </w:t>
                              </w:r>
                              <w:r>
                                <w:rPr>
                                  <w:b/>
                                  <w:color w:val="164194"/>
                                  <w:sz w:val="28"/>
                                </w:rPr>
                                <w:t>account</w:t>
                              </w:r>
                              <w:r>
                                <w:rPr>
                                  <w:b/>
                                  <w:color w:val="164194"/>
                                  <w:spacing w:val="-7"/>
                                  <w:sz w:val="28"/>
                                </w:rPr>
                                <w:t> </w:t>
                              </w:r>
                              <w:r>
                                <w:rPr>
                                  <w:b/>
                                  <w:color w:val="164194"/>
                                  <w:sz w:val="28"/>
                                </w:rPr>
                                <w:t>of</w:t>
                              </w:r>
                              <w:r>
                                <w:rPr>
                                  <w:b/>
                                  <w:color w:val="164194"/>
                                  <w:spacing w:val="-8"/>
                                  <w:sz w:val="28"/>
                                </w:rPr>
                                <w:t> </w:t>
                              </w:r>
                              <w:r>
                                <w:rPr>
                                  <w:b/>
                                  <w:color w:val="164194"/>
                                  <w:sz w:val="28"/>
                                </w:rPr>
                                <w:t>retained</w:t>
                              </w:r>
                              <w:r>
                                <w:rPr>
                                  <w:b/>
                                  <w:color w:val="164194"/>
                                  <w:spacing w:val="-7"/>
                                  <w:sz w:val="28"/>
                                </w:rPr>
                                <w:t> </w:t>
                              </w:r>
                              <w:r>
                                <w:rPr>
                                  <w:b/>
                                  <w:color w:val="164194"/>
                                  <w:sz w:val="28"/>
                                </w:rPr>
                                <w:t>EU</w:t>
                              </w:r>
                              <w:r>
                                <w:rPr>
                                  <w:b/>
                                  <w:color w:val="164194"/>
                                  <w:spacing w:val="-7"/>
                                  <w:sz w:val="28"/>
                                </w:rPr>
                                <w:t> </w:t>
                              </w:r>
                              <w:r>
                                <w:rPr>
                                  <w:b/>
                                  <w:color w:val="164194"/>
                                  <w:sz w:val="28"/>
                                </w:rPr>
                                <w:t>law,</w:t>
                              </w:r>
                              <w:r>
                                <w:rPr>
                                  <w:b/>
                                  <w:color w:val="164194"/>
                                  <w:spacing w:val="-7"/>
                                  <w:sz w:val="28"/>
                                </w:rPr>
                                <w:t> </w:t>
                              </w:r>
                              <w:r>
                                <w:rPr>
                                  <w:b/>
                                  <w:color w:val="164194"/>
                                  <w:sz w:val="28"/>
                                </w:rPr>
                                <w:t>including</w:t>
                              </w:r>
                              <w:r>
                                <w:rPr>
                                  <w:b/>
                                  <w:color w:val="164194"/>
                                  <w:spacing w:val="-8"/>
                                  <w:sz w:val="28"/>
                                </w:rPr>
                                <w:t> </w:t>
                              </w:r>
                              <w:r>
                                <w:rPr>
                                  <w:b/>
                                  <w:color w:val="164194"/>
                                  <w:sz w:val="28"/>
                                </w:rPr>
                                <w:t>details</w:t>
                              </w:r>
                              <w:r>
                                <w:rPr>
                                  <w:b/>
                                  <w:color w:val="164194"/>
                                  <w:spacing w:val="-7"/>
                                  <w:sz w:val="28"/>
                                </w:rPr>
                                <w:t> </w:t>
                              </w:r>
                              <w:r>
                                <w:rPr>
                                  <w:b/>
                                  <w:color w:val="164194"/>
                                  <w:sz w:val="28"/>
                                </w:rPr>
                                <w:t>on</w:t>
                              </w:r>
                              <w:r>
                                <w:rPr>
                                  <w:b/>
                                  <w:color w:val="164194"/>
                                  <w:spacing w:val="-7"/>
                                  <w:sz w:val="28"/>
                                </w:rPr>
                                <w:t> </w:t>
                              </w:r>
                              <w:r>
                                <w:rPr>
                                  <w:b/>
                                  <w:color w:val="164194"/>
                                  <w:sz w:val="28"/>
                                </w:rPr>
                                <w:t>the methodology used to identify relevant issues.</w:t>
                              </w:r>
                            </w:p>
                          </w:txbxContent>
                        </wps:txbx>
                        <wps:bodyPr wrap="square" lIns="0" tIns="0" rIns="0" bIns="0" rtlCol="0">
                          <a:noAutofit/>
                        </wps:bodyPr>
                      </wps:wsp>
                    </wpg:wgp>
                  </a:graphicData>
                </a:graphic>
              </wp:anchor>
            </w:drawing>
          </mc:Choice>
          <mc:Fallback>
            <w:pict>
              <v:group style="position:absolute;margin-left:70.8657pt;margin-top:13.457494pt;width:473.4pt;height:64.05pt;mso-position-horizontal-relative:page;mso-position-vertical-relative:paragraph;z-index:-15641600;mso-wrap-distance-left:0;mso-wrap-distance-right:0" id="docshapegroup374" coordorigin="1417,269" coordsize="9468,1281">
                <v:shape style="position:absolute;left:1417;top:269;width:9468;height:1281" id="docshape375" coordorigin="1417,269" coordsize="9468,1281" path="m10658,269l1644,269,1572,281,1510,313,1461,362,1429,424,1417,496,1417,1323,1429,1394,1461,1456,1510,1506,1572,1538,1644,1549,10658,1549,10730,1538,10792,1506,10841,1456,10873,1394,10885,1323,10885,496,10873,424,10841,362,10792,313,10730,281,10658,269xe" filled="true" fillcolor="#e9f3fc" stroked="false">
                  <v:path arrowok="t"/>
                  <v:fill type="solid"/>
                </v:shape>
                <v:shape style="position:absolute;left:1417;top:269;width:9468;height:1281" type="#_x0000_t202" id="docshape376" filled="false" stroked="false">
                  <v:textbox inset="0,0,0,0">
                    <w:txbxContent>
                      <w:p>
                        <w:pPr>
                          <w:spacing w:line="232" w:lineRule="auto" w:before="121"/>
                          <w:ind w:left="340" w:right="196" w:firstLine="0"/>
                          <w:jc w:val="left"/>
                          <w:rPr>
                            <w:b/>
                            <w:sz w:val="28"/>
                          </w:rPr>
                        </w:pPr>
                        <w:r>
                          <w:rPr>
                            <w:b/>
                            <w:color w:val="164194"/>
                            <w:sz w:val="28"/>
                          </w:rPr>
                          <w:t>We recommend that, in the interests of transparency, the Government publish</w:t>
                        </w:r>
                        <w:r>
                          <w:rPr>
                            <w:b/>
                            <w:color w:val="164194"/>
                            <w:spacing w:val="-7"/>
                            <w:sz w:val="28"/>
                          </w:rPr>
                          <w:t> </w:t>
                        </w:r>
                        <w:r>
                          <w:rPr>
                            <w:b/>
                            <w:color w:val="164194"/>
                            <w:sz w:val="28"/>
                          </w:rPr>
                          <w:t>details</w:t>
                        </w:r>
                        <w:r>
                          <w:rPr>
                            <w:b/>
                            <w:color w:val="164194"/>
                            <w:spacing w:val="-7"/>
                            <w:sz w:val="28"/>
                          </w:rPr>
                          <w:t> </w:t>
                        </w:r>
                        <w:r>
                          <w:rPr>
                            <w:b/>
                            <w:color w:val="164194"/>
                            <w:sz w:val="28"/>
                          </w:rPr>
                          <w:t>of</w:t>
                        </w:r>
                        <w:r>
                          <w:rPr>
                            <w:b/>
                            <w:color w:val="164194"/>
                            <w:spacing w:val="-8"/>
                            <w:sz w:val="28"/>
                          </w:rPr>
                          <w:t> </w:t>
                        </w:r>
                        <w:r>
                          <w:rPr>
                            <w:b/>
                            <w:color w:val="164194"/>
                            <w:sz w:val="28"/>
                          </w:rPr>
                          <w:t>its</w:t>
                        </w:r>
                        <w:r>
                          <w:rPr>
                            <w:b/>
                            <w:color w:val="164194"/>
                            <w:spacing w:val="-7"/>
                            <w:sz w:val="28"/>
                          </w:rPr>
                          <w:t> </w:t>
                        </w:r>
                        <w:r>
                          <w:rPr>
                            <w:b/>
                            <w:color w:val="164194"/>
                            <w:sz w:val="28"/>
                          </w:rPr>
                          <w:t>account</w:t>
                        </w:r>
                        <w:r>
                          <w:rPr>
                            <w:b/>
                            <w:color w:val="164194"/>
                            <w:spacing w:val="-7"/>
                            <w:sz w:val="28"/>
                          </w:rPr>
                          <w:t> </w:t>
                        </w:r>
                        <w:r>
                          <w:rPr>
                            <w:b/>
                            <w:color w:val="164194"/>
                            <w:sz w:val="28"/>
                          </w:rPr>
                          <w:t>of</w:t>
                        </w:r>
                        <w:r>
                          <w:rPr>
                            <w:b/>
                            <w:color w:val="164194"/>
                            <w:spacing w:val="-8"/>
                            <w:sz w:val="28"/>
                          </w:rPr>
                          <w:t> </w:t>
                        </w:r>
                        <w:r>
                          <w:rPr>
                            <w:b/>
                            <w:color w:val="164194"/>
                            <w:sz w:val="28"/>
                          </w:rPr>
                          <w:t>retained</w:t>
                        </w:r>
                        <w:r>
                          <w:rPr>
                            <w:b/>
                            <w:color w:val="164194"/>
                            <w:spacing w:val="-7"/>
                            <w:sz w:val="28"/>
                          </w:rPr>
                          <w:t> </w:t>
                        </w:r>
                        <w:r>
                          <w:rPr>
                            <w:b/>
                            <w:color w:val="164194"/>
                            <w:sz w:val="28"/>
                          </w:rPr>
                          <w:t>EU</w:t>
                        </w:r>
                        <w:r>
                          <w:rPr>
                            <w:b/>
                            <w:color w:val="164194"/>
                            <w:spacing w:val="-7"/>
                            <w:sz w:val="28"/>
                          </w:rPr>
                          <w:t> </w:t>
                        </w:r>
                        <w:r>
                          <w:rPr>
                            <w:b/>
                            <w:color w:val="164194"/>
                            <w:sz w:val="28"/>
                          </w:rPr>
                          <w:t>law,</w:t>
                        </w:r>
                        <w:r>
                          <w:rPr>
                            <w:b/>
                            <w:color w:val="164194"/>
                            <w:spacing w:val="-7"/>
                            <w:sz w:val="28"/>
                          </w:rPr>
                          <w:t> </w:t>
                        </w:r>
                        <w:r>
                          <w:rPr>
                            <w:b/>
                            <w:color w:val="164194"/>
                            <w:sz w:val="28"/>
                          </w:rPr>
                          <w:t>including</w:t>
                        </w:r>
                        <w:r>
                          <w:rPr>
                            <w:b/>
                            <w:color w:val="164194"/>
                            <w:spacing w:val="-8"/>
                            <w:sz w:val="28"/>
                          </w:rPr>
                          <w:t> </w:t>
                        </w:r>
                        <w:r>
                          <w:rPr>
                            <w:b/>
                            <w:color w:val="164194"/>
                            <w:sz w:val="28"/>
                          </w:rPr>
                          <w:t>details</w:t>
                        </w:r>
                        <w:r>
                          <w:rPr>
                            <w:b/>
                            <w:color w:val="164194"/>
                            <w:spacing w:val="-7"/>
                            <w:sz w:val="28"/>
                          </w:rPr>
                          <w:t> </w:t>
                        </w:r>
                        <w:r>
                          <w:rPr>
                            <w:b/>
                            <w:color w:val="164194"/>
                            <w:sz w:val="28"/>
                          </w:rPr>
                          <w:t>on</w:t>
                        </w:r>
                        <w:r>
                          <w:rPr>
                            <w:b/>
                            <w:color w:val="164194"/>
                            <w:spacing w:val="-7"/>
                            <w:sz w:val="28"/>
                          </w:rPr>
                          <w:t> </w:t>
                        </w:r>
                        <w:r>
                          <w:rPr>
                            <w:b/>
                            <w:color w:val="164194"/>
                            <w:sz w:val="28"/>
                          </w:rPr>
                          <w:t>the methodology used to identify relevant issues.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75392">
                <wp:simplePos x="0" y="0"/>
                <wp:positionH relativeFrom="page">
                  <wp:posOffset>899994</wp:posOffset>
                </wp:positionH>
                <wp:positionV relativeFrom="paragraph">
                  <wp:posOffset>1123560</wp:posOffset>
                </wp:positionV>
                <wp:extent cx="6012180" cy="1232535"/>
                <wp:effectExtent l="0" t="0" r="0" b="0"/>
                <wp:wrapTopAndBottom/>
                <wp:docPr id="474" name="Group 474"/>
                <wp:cNvGraphicFramePr>
                  <a:graphicFrameLocks/>
                </wp:cNvGraphicFramePr>
                <a:graphic>
                  <a:graphicData uri="http://schemas.microsoft.com/office/word/2010/wordprocessingGroup">
                    <wpg:wgp>
                      <wpg:cNvPr id="474" name="Group 474"/>
                      <wpg:cNvGrpSpPr/>
                      <wpg:grpSpPr>
                        <a:xfrm>
                          <a:off x="0" y="0"/>
                          <a:ext cx="6012180" cy="1232535"/>
                          <a:chExt cx="6012180" cy="1232535"/>
                        </a:xfrm>
                      </wpg:grpSpPr>
                      <wps:wsp>
                        <wps:cNvPr id="475" name="Graphic 475"/>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476" name="Textbox 476"/>
                        <wps:cNvSpPr txBox="1"/>
                        <wps:spPr>
                          <a:xfrm>
                            <a:off x="0" y="0"/>
                            <a:ext cx="6012180" cy="1232535"/>
                          </a:xfrm>
                          <a:prstGeom prst="rect">
                            <a:avLst/>
                          </a:prstGeom>
                        </wps:spPr>
                        <wps:txbx>
                          <w:txbxContent>
                            <w:p>
                              <w:pPr>
                                <w:spacing w:line="232" w:lineRule="auto" w:before="121"/>
                                <w:ind w:left="340" w:right="315"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Government</w:t>
                              </w:r>
                              <w:r>
                                <w:rPr>
                                  <w:b/>
                                  <w:color w:val="164194"/>
                                  <w:spacing w:val="-8"/>
                                  <w:sz w:val="28"/>
                                </w:rPr>
                                <w:t> </w:t>
                              </w:r>
                              <w:r>
                                <w:rPr>
                                  <w:b/>
                                  <w:color w:val="164194"/>
                                  <w:sz w:val="28"/>
                                </w:rPr>
                                <w:t>ensure</w:t>
                              </w:r>
                              <w:r>
                                <w:rPr>
                                  <w:b/>
                                  <w:color w:val="164194"/>
                                  <w:spacing w:val="-9"/>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Explanatory</w:t>
                              </w:r>
                              <w:r>
                                <w:rPr>
                                  <w:b/>
                                  <w:color w:val="164194"/>
                                  <w:spacing w:val="-8"/>
                                  <w:sz w:val="28"/>
                                </w:rPr>
                                <w:t> </w:t>
                              </w:r>
                              <w:r>
                                <w:rPr>
                                  <w:b/>
                                  <w:color w:val="164194"/>
                                  <w:sz w:val="28"/>
                                </w:rPr>
                                <w:t>Notes</w:t>
                              </w:r>
                              <w:r>
                                <w:rPr>
                                  <w:b/>
                                  <w:color w:val="164194"/>
                                  <w:spacing w:val="-8"/>
                                  <w:sz w:val="28"/>
                                </w:rPr>
                                <w:t> </w:t>
                              </w:r>
                              <w:r>
                                <w:rPr>
                                  <w:b/>
                                  <w:color w:val="164194"/>
                                  <w:sz w:val="28"/>
                                </w:rPr>
                                <w:t>for any</w:t>
                              </w:r>
                              <w:r>
                                <w:rPr>
                                  <w:b/>
                                  <w:color w:val="164194"/>
                                  <w:spacing w:val="-6"/>
                                  <w:sz w:val="28"/>
                                </w:rPr>
                                <w:t> </w:t>
                              </w:r>
                              <w:r>
                                <w:rPr>
                                  <w:b/>
                                  <w:color w:val="164194"/>
                                  <w:sz w:val="28"/>
                                </w:rPr>
                                <w:t>draft</w:t>
                              </w:r>
                              <w:r>
                                <w:rPr>
                                  <w:b/>
                                  <w:color w:val="164194"/>
                                  <w:spacing w:val="-6"/>
                                  <w:sz w:val="28"/>
                                </w:rPr>
                                <w:t> </w:t>
                              </w:r>
                              <w:r>
                                <w:rPr>
                                  <w:b/>
                                  <w:color w:val="164194"/>
                                  <w:sz w:val="28"/>
                                </w:rPr>
                                <w:t>legislation</w:t>
                              </w:r>
                              <w:r>
                                <w:rPr>
                                  <w:b/>
                                  <w:color w:val="164194"/>
                                  <w:spacing w:val="-6"/>
                                  <w:sz w:val="28"/>
                                </w:rPr>
                                <w:t> </w:t>
                              </w:r>
                              <w:r>
                                <w:rPr>
                                  <w:b/>
                                  <w:color w:val="164194"/>
                                  <w:sz w:val="28"/>
                                </w:rPr>
                                <w:t>impacting</w:t>
                              </w:r>
                              <w:r>
                                <w:rPr>
                                  <w:b/>
                                  <w:color w:val="164194"/>
                                  <w:spacing w:val="-7"/>
                                  <w:sz w:val="28"/>
                                </w:rPr>
                                <w:t> </w:t>
                              </w:r>
                              <w:r>
                                <w:rPr>
                                  <w:b/>
                                  <w:color w:val="164194"/>
                                  <w:sz w:val="28"/>
                                </w:rPr>
                                <w:t>on</w:t>
                              </w:r>
                              <w:r>
                                <w:rPr>
                                  <w:b/>
                                  <w:color w:val="164194"/>
                                  <w:spacing w:val="-6"/>
                                  <w:sz w:val="28"/>
                                </w:rPr>
                                <w:t> </w:t>
                              </w:r>
                              <w:r>
                                <w:rPr>
                                  <w:b/>
                                  <w:color w:val="164194"/>
                                  <w:sz w:val="28"/>
                                </w:rPr>
                                <w:t>Northern</w:t>
                              </w:r>
                              <w:r>
                                <w:rPr>
                                  <w:b/>
                                  <w:color w:val="164194"/>
                                  <w:spacing w:val="-6"/>
                                  <w:sz w:val="28"/>
                                </w:rPr>
                                <w:t> </w:t>
                              </w:r>
                              <w:r>
                                <w:rPr>
                                  <w:b/>
                                  <w:color w:val="164194"/>
                                  <w:sz w:val="28"/>
                                </w:rPr>
                                <w:t>Ireland</w:t>
                              </w:r>
                              <w:r>
                                <w:rPr>
                                  <w:b/>
                                  <w:color w:val="164194"/>
                                  <w:spacing w:val="-6"/>
                                  <w:sz w:val="28"/>
                                </w:rPr>
                                <w:t> </w:t>
                              </w:r>
                              <w:r>
                                <w:rPr>
                                  <w:b/>
                                  <w:color w:val="164194"/>
                                  <w:sz w:val="28"/>
                                </w:rPr>
                                <w:t>explicitly</w:t>
                              </w:r>
                              <w:r>
                                <w:rPr>
                                  <w:b/>
                                  <w:color w:val="164194"/>
                                  <w:spacing w:val="-6"/>
                                  <w:sz w:val="28"/>
                                </w:rPr>
                                <w:t> </w:t>
                              </w:r>
                              <w:r>
                                <w:rPr>
                                  <w:b/>
                                  <w:color w:val="164194"/>
                                  <w:sz w:val="28"/>
                                </w:rPr>
                                <w:t>state,</w:t>
                              </w:r>
                              <w:r>
                                <w:rPr>
                                  <w:b/>
                                  <w:color w:val="164194"/>
                                  <w:spacing w:val="-6"/>
                                  <w:sz w:val="28"/>
                                </w:rPr>
                                <w:t> </w:t>
                              </w:r>
                              <w:r>
                                <w:rPr>
                                  <w:b/>
                                  <w:color w:val="164194"/>
                                  <w:sz w:val="28"/>
                                </w:rPr>
                                <w:t>in</w:t>
                              </w:r>
                              <w:r>
                                <w:rPr>
                                  <w:b/>
                                  <w:color w:val="164194"/>
                                  <w:spacing w:val="-6"/>
                                  <w:sz w:val="28"/>
                                </w:rPr>
                                <w:t> </w:t>
                              </w:r>
                              <w:r>
                                <w:rPr>
                                  <w:b/>
                                  <w:color w:val="164194"/>
                                  <w:sz w:val="28"/>
                                </w:rPr>
                                <w:t>detail, whether the Government considers that Article 2 WF is engaged by the proposals and if so, how the draft legislation respects the keeping pace and non-diminution aspects of Article 2 WF.</w:t>
                              </w:r>
                            </w:p>
                          </w:txbxContent>
                        </wps:txbx>
                        <wps:bodyPr wrap="square" lIns="0" tIns="0" rIns="0" bIns="0" rtlCol="0">
                          <a:noAutofit/>
                        </wps:bodyPr>
                      </wps:wsp>
                    </wpg:wgp>
                  </a:graphicData>
                </a:graphic>
              </wp:anchor>
            </w:drawing>
          </mc:Choice>
          <mc:Fallback>
            <w:pict>
              <v:group style="position:absolute;margin-left:70.8657pt;margin-top:88.469292pt;width:473.4pt;height:97.05pt;mso-position-horizontal-relative:page;mso-position-vertical-relative:paragraph;z-index:-15641088;mso-wrap-distance-left:0;mso-wrap-distance-right:0" id="docshapegroup377" coordorigin="1417,1769" coordsize="9468,1941">
                <v:shape style="position:absolute;left:1417;top:1769;width:9468;height:1941" id="docshape378" coordorigin="1417,1769" coordsize="9468,1941" path="m10658,1769l1644,1769,1572,1781,1510,1813,1461,1862,1429,1924,1417,1996,1417,3483,1429,3554,1461,3617,1510,3666,1572,3698,1644,3710,10658,3710,10730,3698,10792,3666,10841,3617,10873,3554,10885,3483,10885,1996,10873,1924,10841,1862,10792,1813,10730,1781,10658,1769xe" filled="true" fillcolor="#e9f3fc" stroked="false">
                  <v:path arrowok="t"/>
                  <v:fill type="solid"/>
                </v:shape>
                <v:shape style="position:absolute;left:1417;top:1769;width:9468;height:1941" type="#_x0000_t202" id="docshape379" filled="false" stroked="false">
                  <v:textbox inset="0,0,0,0">
                    <w:txbxContent>
                      <w:p>
                        <w:pPr>
                          <w:spacing w:line="232" w:lineRule="auto" w:before="121"/>
                          <w:ind w:left="340" w:right="315"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Government</w:t>
                        </w:r>
                        <w:r>
                          <w:rPr>
                            <w:b/>
                            <w:color w:val="164194"/>
                            <w:spacing w:val="-8"/>
                            <w:sz w:val="28"/>
                          </w:rPr>
                          <w:t> </w:t>
                        </w:r>
                        <w:r>
                          <w:rPr>
                            <w:b/>
                            <w:color w:val="164194"/>
                            <w:sz w:val="28"/>
                          </w:rPr>
                          <w:t>ensure</w:t>
                        </w:r>
                        <w:r>
                          <w:rPr>
                            <w:b/>
                            <w:color w:val="164194"/>
                            <w:spacing w:val="-9"/>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Explanatory</w:t>
                        </w:r>
                        <w:r>
                          <w:rPr>
                            <w:b/>
                            <w:color w:val="164194"/>
                            <w:spacing w:val="-8"/>
                            <w:sz w:val="28"/>
                          </w:rPr>
                          <w:t> </w:t>
                        </w:r>
                        <w:r>
                          <w:rPr>
                            <w:b/>
                            <w:color w:val="164194"/>
                            <w:sz w:val="28"/>
                          </w:rPr>
                          <w:t>Notes</w:t>
                        </w:r>
                        <w:r>
                          <w:rPr>
                            <w:b/>
                            <w:color w:val="164194"/>
                            <w:spacing w:val="-8"/>
                            <w:sz w:val="28"/>
                          </w:rPr>
                          <w:t> </w:t>
                        </w:r>
                        <w:r>
                          <w:rPr>
                            <w:b/>
                            <w:color w:val="164194"/>
                            <w:sz w:val="28"/>
                          </w:rPr>
                          <w:t>for any</w:t>
                        </w:r>
                        <w:r>
                          <w:rPr>
                            <w:b/>
                            <w:color w:val="164194"/>
                            <w:spacing w:val="-6"/>
                            <w:sz w:val="28"/>
                          </w:rPr>
                          <w:t> </w:t>
                        </w:r>
                        <w:r>
                          <w:rPr>
                            <w:b/>
                            <w:color w:val="164194"/>
                            <w:sz w:val="28"/>
                          </w:rPr>
                          <w:t>draft</w:t>
                        </w:r>
                        <w:r>
                          <w:rPr>
                            <w:b/>
                            <w:color w:val="164194"/>
                            <w:spacing w:val="-6"/>
                            <w:sz w:val="28"/>
                          </w:rPr>
                          <w:t> </w:t>
                        </w:r>
                        <w:r>
                          <w:rPr>
                            <w:b/>
                            <w:color w:val="164194"/>
                            <w:sz w:val="28"/>
                          </w:rPr>
                          <w:t>legislation</w:t>
                        </w:r>
                        <w:r>
                          <w:rPr>
                            <w:b/>
                            <w:color w:val="164194"/>
                            <w:spacing w:val="-6"/>
                            <w:sz w:val="28"/>
                          </w:rPr>
                          <w:t> </w:t>
                        </w:r>
                        <w:r>
                          <w:rPr>
                            <w:b/>
                            <w:color w:val="164194"/>
                            <w:sz w:val="28"/>
                          </w:rPr>
                          <w:t>impacting</w:t>
                        </w:r>
                        <w:r>
                          <w:rPr>
                            <w:b/>
                            <w:color w:val="164194"/>
                            <w:spacing w:val="-7"/>
                            <w:sz w:val="28"/>
                          </w:rPr>
                          <w:t> </w:t>
                        </w:r>
                        <w:r>
                          <w:rPr>
                            <w:b/>
                            <w:color w:val="164194"/>
                            <w:sz w:val="28"/>
                          </w:rPr>
                          <w:t>on</w:t>
                        </w:r>
                        <w:r>
                          <w:rPr>
                            <w:b/>
                            <w:color w:val="164194"/>
                            <w:spacing w:val="-6"/>
                            <w:sz w:val="28"/>
                          </w:rPr>
                          <w:t> </w:t>
                        </w:r>
                        <w:r>
                          <w:rPr>
                            <w:b/>
                            <w:color w:val="164194"/>
                            <w:sz w:val="28"/>
                          </w:rPr>
                          <w:t>Northern</w:t>
                        </w:r>
                        <w:r>
                          <w:rPr>
                            <w:b/>
                            <w:color w:val="164194"/>
                            <w:spacing w:val="-6"/>
                            <w:sz w:val="28"/>
                          </w:rPr>
                          <w:t> </w:t>
                        </w:r>
                        <w:r>
                          <w:rPr>
                            <w:b/>
                            <w:color w:val="164194"/>
                            <w:sz w:val="28"/>
                          </w:rPr>
                          <w:t>Ireland</w:t>
                        </w:r>
                        <w:r>
                          <w:rPr>
                            <w:b/>
                            <w:color w:val="164194"/>
                            <w:spacing w:val="-6"/>
                            <w:sz w:val="28"/>
                          </w:rPr>
                          <w:t> </w:t>
                        </w:r>
                        <w:r>
                          <w:rPr>
                            <w:b/>
                            <w:color w:val="164194"/>
                            <w:sz w:val="28"/>
                          </w:rPr>
                          <w:t>explicitly</w:t>
                        </w:r>
                        <w:r>
                          <w:rPr>
                            <w:b/>
                            <w:color w:val="164194"/>
                            <w:spacing w:val="-6"/>
                            <w:sz w:val="28"/>
                          </w:rPr>
                          <w:t> </w:t>
                        </w:r>
                        <w:r>
                          <w:rPr>
                            <w:b/>
                            <w:color w:val="164194"/>
                            <w:sz w:val="28"/>
                          </w:rPr>
                          <w:t>state,</w:t>
                        </w:r>
                        <w:r>
                          <w:rPr>
                            <w:b/>
                            <w:color w:val="164194"/>
                            <w:spacing w:val="-6"/>
                            <w:sz w:val="28"/>
                          </w:rPr>
                          <w:t> </w:t>
                        </w:r>
                        <w:r>
                          <w:rPr>
                            <w:b/>
                            <w:color w:val="164194"/>
                            <w:sz w:val="28"/>
                          </w:rPr>
                          <w:t>in</w:t>
                        </w:r>
                        <w:r>
                          <w:rPr>
                            <w:b/>
                            <w:color w:val="164194"/>
                            <w:spacing w:val="-6"/>
                            <w:sz w:val="28"/>
                          </w:rPr>
                          <w:t> </w:t>
                        </w:r>
                        <w:r>
                          <w:rPr>
                            <w:b/>
                            <w:color w:val="164194"/>
                            <w:sz w:val="28"/>
                          </w:rPr>
                          <w:t>detail, whether the Government considers that Article 2 WF is engaged by the proposals and if so, how the draft legislation respects the keeping pace and non-diminution aspects of Article 2 WF.</w:t>
                        </w:r>
                      </w:p>
                    </w:txbxContent>
                  </v:textbox>
                  <w10:wrap type="none"/>
                </v:shape>
                <w10:wrap type="topAndBottom"/>
              </v:group>
            </w:pict>
          </mc:Fallback>
        </mc:AlternateContent>
      </w:r>
    </w:p>
    <w:p>
      <w:pPr>
        <w:pStyle w:val="BodyText"/>
        <w:rPr>
          <w:sz w:val="16"/>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mc:AlternateContent>
          <mc:Choice Requires="wps">
            <w:drawing>
              <wp:anchor distT="0" distB="0" distL="0" distR="0" allowOverlap="1" layoutInCell="1" locked="0" behindDoc="1" simplePos="0" relativeHeight="487675904">
                <wp:simplePos x="0" y="0"/>
                <wp:positionH relativeFrom="page">
                  <wp:posOffset>899999</wp:posOffset>
                </wp:positionH>
                <wp:positionV relativeFrom="paragraph">
                  <wp:posOffset>170579</wp:posOffset>
                </wp:positionV>
                <wp:extent cx="6012180" cy="1270"/>
                <wp:effectExtent l="0" t="0" r="0" b="0"/>
                <wp:wrapTopAndBottom/>
                <wp:docPr id="477" name="Graphic 477"/>
                <wp:cNvGraphicFramePr>
                  <a:graphicFrameLocks/>
                </wp:cNvGraphicFramePr>
                <a:graphic>
                  <a:graphicData uri="http://schemas.microsoft.com/office/word/2010/wordprocessingShape">
                    <wps:wsp>
                      <wps:cNvPr id="477" name="Graphic 47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3.431418pt;width:473.4pt;height:.1pt;mso-position-horizontal-relative:page;mso-position-vertical-relative:paragraph;z-index:-15640576;mso-wrap-distance-left:0;mso-wrap-distance-right:0" id="docshape380" coordorigin="1417,269" coordsize="9468,0" path="m1417,269l10885,269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822" w:hanging="567"/>
        <w:jc w:val="left"/>
        <w:rPr>
          <w:sz w:val="18"/>
        </w:rPr>
      </w:pPr>
      <w:r>
        <w:rPr>
          <w:sz w:val="18"/>
        </w:rPr>
        <w:t>House of Lords Sub-Committee on the Protocol on Ireland/Northern Ireland, </w:t>
      </w:r>
      <w:r>
        <w:rPr>
          <w:color w:val="1D71B8"/>
          <w:sz w:val="18"/>
          <w:u w:val="single" w:color="1D71B8"/>
        </w:rPr>
        <w:t>Letter from Nusrat Ghani MP (Minister of</w:t>
      </w:r>
      <w:r>
        <w:rPr>
          <w:color w:val="1D71B8"/>
          <w:sz w:val="18"/>
          <w:u w:val="none"/>
        </w:rPr>
        <w:t> </w:t>
      </w:r>
      <w:r>
        <w:rPr>
          <w:color w:val="1D71B8"/>
          <w:sz w:val="18"/>
          <w:u w:val="single" w:color="1D71B8"/>
        </w:rPr>
        <w:t>State</w:t>
      </w:r>
      <w:r>
        <w:rPr>
          <w:color w:val="1D71B8"/>
          <w:spacing w:val="-5"/>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Industry</w:t>
      </w:r>
      <w:r>
        <w:rPr>
          <w:color w:val="1D71B8"/>
          <w:spacing w:val="-5"/>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Economic</w:t>
      </w:r>
      <w:r>
        <w:rPr>
          <w:color w:val="1D71B8"/>
          <w:spacing w:val="-5"/>
          <w:sz w:val="18"/>
          <w:u w:val="single" w:color="1D71B8"/>
        </w:rPr>
        <w:t> </w:t>
      </w:r>
      <w:r>
        <w:rPr>
          <w:color w:val="1D71B8"/>
          <w:sz w:val="18"/>
          <w:u w:val="single" w:color="1D71B8"/>
        </w:rPr>
        <w:t>Security</w:t>
      </w:r>
      <w:r>
        <w:rPr>
          <w:color w:val="1D71B8"/>
          <w:spacing w:val="-5"/>
          <w:sz w:val="18"/>
          <w:u w:val="single" w:color="1D71B8"/>
        </w:rPr>
        <w:t> </w:t>
      </w:r>
      <w:r>
        <w:rPr>
          <w:color w:val="1D71B8"/>
          <w:sz w:val="18"/>
          <w:u w:val="single" w:color="1D71B8"/>
        </w:rPr>
        <w:t>at</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Department</w:t>
      </w:r>
      <w:r>
        <w:rPr>
          <w:color w:val="1D71B8"/>
          <w:spacing w:val="-5"/>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Business</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Trade)</w:t>
      </w:r>
      <w:r>
        <w:rPr>
          <w:color w:val="1D71B8"/>
          <w:spacing w:val="-6"/>
          <w:sz w:val="18"/>
          <w:u w:val="single" w:color="1D71B8"/>
        </w:rPr>
        <w:t> </w:t>
      </w:r>
      <w:r>
        <w:rPr>
          <w:color w:val="1D71B8"/>
          <w:sz w:val="18"/>
          <w:u w:val="single" w:color="1D71B8"/>
        </w:rPr>
        <w:t>re:</w:t>
      </w:r>
      <w:r>
        <w:rPr>
          <w:color w:val="1D71B8"/>
          <w:spacing w:val="-5"/>
          <w:sz w:val="18"/>
          <w:u w:val="single" w:color="1D71B8"/>
        </w:rPr>
        <w:t> </w:t>
      </w:r>
      <w:r>
        <w:rPr>
          <w:color w:val="1D71B8"/>
          <w:sz w:val="18"/>
          <w:u w:val="single" w:color="1D71B8"/>
        </w:rPr>
        <w:t>Retained</w:t>
      </w:r>
      <w:r>
        <w:rPr>
          <w:color w:val="1D71B8"/>
          <w:spacing w:val="-6"/>
          <w:sz w:val="18"/>
          <w:u w:val="single" w:color="1D71B8"/>
        </w:rPr>
        <w:t> </w:t>
      </w:r>
      <w:r>
        <w:rPr>
          <w:color w:val="1D71B8"/>
          <w:sz w:val="18"/>
          <w:u w:val="single" w:color="1D71B8"/>
        </w:rPr>
        <w:t>EU</w:t>
      </w:r>
      <w:r>
        <w:rPr>
          <w:color w:val="1D71B8"/>
          <w:spacing w:val="-5"/>
          <w:sz w:val="18"/>
          <w:u w:val="single" w:color="1D71B8"/>
        </w:rPr>
        <w:t> </w:t>
      </w:r>
      <w:r>
        <w:rPr>
          <w:color w:val="1D71B8"/>
          <w:sz w:val="18"/>
          <w:u w:val="single" w:color="1D71B8"/>
        </w:rPr>
        <w:t>Law</w:t>
      </w:r>
      <w:r>
        <w:rPr>
          <w:color w:val="1D71B8"/>
          <w:spacing w:val="-5"/>
          <w:sz w:val="18"/>
          <w:u w:val="single" w:color="1D71B8"/>
        </w:rPr>
        <w:t> </w:t>
      </w:r>
      <w:r>
        <w:rPr>
          <w:color w:val="1D71B8"/>
          <w:sz w:val="18"/>
          <w:u w:val="single" w:color="1D71B8"/>
        </w:rPr>
        <w:t>(Revocation</w:t>
      </w:r>
      <w:r>
        <w:rPr>
          <w:color w:val="1D71B8"/>
          <w:spacing w:val="-6"/>
          <w:sz w:val="18"/>
          <w:u w:val="single" w:color="1D71B8"/>
        </w:rPr>
        <w:t> </w:t>
      </w:r>
      <w:r>
        <w:rPr>
          <w:color w:val="1D71B8"/>
          <w:sz w:val="18"/>
          <w:u w:val="single" w:color="1D71B8"/>
        </w:rPr>
        <w:t>and</w:t>
      </w:r>
      <w:r>
        <w:rPr>
          <w:color w:val="1D71B8"/>
          <w:sz w:val="18"/>
          <w:u w:val="none"/>
        </w:rPr>
        <w:t> </w:t>
      </w:r>
      <w:r>
        <w:rPr>
          <w:color w:val="1D71B8"/>
          <w:sz w:val="18"/>
          <w:u w:val="single" w:color="1D71B8"/>
        </w:rPr>
        <w:t>Reform) Bill (now Act), 11 September 2023</w:t>
      </w:r>
      <w:r>
        <w:rPr>
          <w:color w:val="1D71B8"/>
          <w:sz w:val="18"/>
          <w:u w:val="none"/>
        </w:rPr>
        <w:t> </w:t>
      </w:r>
      <w:r>
        <w:rPr>
          <w:sz w:val="18"/>
          <w:u w:val="none"/>
        </w:rPr>
        <w:t>(House of Lords, 2022-2023) (11 September 2023).</w:t>
      </w:r>
    </w:p>
    <w:p>
      <w:pPr>
        <w:pStyle w:val="ListParagraph"/>
        <w:numPr>
          <w:ilvl w:val="0"/>
          <w:numId w:val="18"/>
        </w:numPr>
        <w:tabs>
          <w:tab w:pos="1684" w:val="left" w:leader="none"/>
        </w:tabs>
        <w:spacing w:line="240" w:lineRule="auto" w:before="1" w:after="0"/>
        <w:ind w:left="1684" w:right="982" w:hanging="567"/>
        <w:jc w:val="left"/>
        <w:rPr>
          <w:sz w:val="18"/>
        </w:rPr>
      </w:pPr>
      <w:r>
        <w:rPr>
          <w:sz w:val="18"/>
        </w:rPr>
        <w:t>House of</w:t>
      </w:r>
      <w:r>
        <w:rPr>
          <w:spacing w:val="-1"/>
          <w:sz w:val="18"/>
        </w:rPr>
        <w:t> </w:t>
      </w:r>
      <w:r>
        <w:rPr>
          <w:sz w:val="18"/>
        </w:rPr>
        <w:t>Lords</w:t>
      </w:r>
      <w:r>
        <w:rPr>
          <w:spacing w:val="-1"/>
          <w:sz w:val="18"/>
        </w:rPr>
        <w:t> </w:t>
      </w:r>
      <w:r>
        <w:rPr>
          <w:sz w:val="18"/>
        </w:rPr>
        <w:t>Sub-Committee on</w:t>
      </w:r>
      <w:r>
        <w:rPr>
          <w:spacing w:val="-1"/>
          <w:sz w:val="18"/>
        </w:rPr>
        <w:t> </w:t>
      </w:r>
      <w:r>
        <w:rPr>
          <w:sz w:val="18"/>
        </w:rPr>
        <w:t>the Protocol</w:t>
      </w:r>
      <w:r>
        <w:rPr>
          <w:spacing w:val="-1"/>
          <w:sz w:val="18"/>
        </w:rPr>
        <w:t> </w:t>
      </w:r>
      <w:r>
        <w:rPr>
          <w:sz w:val="18"/>
        </w:rPr>
        <w:t>on</w:t>
      </w:r>
      <w:r>
        <w:rPr>
          <w:spacing w:val="-1"/>
          <w:sz w:val="18"/>
        </w:rPr>
        <w:t> </w:t>
      </w:r>
      <w:r>
        <w:rPr>
          <w:sz w:val="18"/>
        </w:rPr>
        <w:t>Ireland/Northern</w:t>
      </w:r>
      <w:r>
        <w:rPr>
          <w:spacing w:val="-1"/>
          <w:sz w:val="18"/>
        </w:rPr>
        <w:t> </w:t>
      </w:r>
      <w:r>
        <w:rPr>
          <w:sz w:val="18"/>
        </w:rPr>
        <w:t>Ireland,</w:t>
      </w:r>
      <w:r>
        <w:rPr>
          <w:spacing w:val="-2"/>
          <w:sz w:val="18"/>
        </w:rPr>
        <w:t> </w:t>
      </w:r>
      <w:r>
        <w:rPr>
          <w:color w:val="1D71B8"/>
          <w:sz w:val="18"/>
          <w:u w:val="single" w:color="1D71B8"/>
        </w:rPr>
        <w:t>Letter from Lord</w:t>
      </w:r>
      <w:r>
        <w:rPr>
          <w:color w:val="1D71B8"/>
          <w:spacing w:val="-1"/>
          <w:sz w:val="18"/>
          <w:u w:val="single" w:color="1D71B8"/>
        </w:rPr>
        <w:t> </w:t>
      </w:r>
      <w:r>
        <w:rPr>
          <w:color w:val="1D71B8"/>
          <w:sz w:val="18"/>
          <w:u w:val="single" w:color="1D71B8"/>
        </w:rPr>
        <w:t>Jay of</w:t>
      </w:r>
      <w:r>
        <w:rPr>
          <w:color w:val="1D71B8"/>
          <w:spacing w:val="-1"/>
          <w:sz w:val="18"/>
          <w:u w:val="single" w:color="1D71B8"/>
        </w:rPr>
        <w:t> </w:t>
      </w:r>
      <w:r>
        <w:rPr>
          <w:color w:val="1D71B8"/>
          <w:sz w:val="18"/>
          <w:u w:val="single" w:color="1D71B8"/>
        </w:rPr>
        <w:t>Ewelme to</w:t>
      </w:r>
      <w:r>
        <w:rPr>
          <w:color w:val="1D71B8"/>
          <w:spacing w:val="-1"/>
          <w:sz w:val="18"/>
          <w:u w:val="single" w:color="1D71B8"/>
        </w:rPr>
        <w:t> </w:t>
      </w:r>
      <w:r>
        <w:rPr>
          <w:color w:val="1D71B8"/>
          <w:sz w:val="18"/>
          <w:u w:val="single" w:color="1D71B8"/>
        </w:rPr>
        <w:t>Nusrat</w:t>
      </w:r>
      <w:r>
        <w:rPr>
          <w:color w:val="1D71B8"/>
          <w:sz w:val="18"/>
          <w:u w:val="none"/>
        </w:rPr>
        <w:t> </w:t>
      </w:r>
      <w:r>
        <w:rPr>
          <w:color w:val="1D71B8"/>
          <w:sz w:val="18"/>
          <w:u w:val="single" w:color="1D71B8"/>
        </w:rPr>
        <w:t>Ghani</w:t>
      </w:r>
      <w:r>
        <w:rPr>
          <w:color w:val="1D71B8"/>
          <w:spacing w:val="-5"/>
          <w:sz w:val="18"/>
          <w:u w:val="single" w:color="1D71B8"/>
        </w:rPr>
        <w:t> </w:t>
      </w:r>
      <w:r>
        <w:rPr>
          <w:color w:val="1D71B8"/>
          <w:sz w:val="18"/>
          <w:u w:val="single" w:color="1D71B8"/>
        </w:rPr>
        <w:t>MP</w:t>
      </w:r>
      <w:r>
        <w:rPr>
          <w:color w:val="1D71B8"/>
          <w:spacing w:val="-4"/>
          <w:sz w:val="18"/>
          <w:u w:val="single" w:color="1D71B8"/>
        </w:rPr>
        <w:t> </w:t>
      </w:r>
      <w:r>
        <w:rPr>
          <w:color w:val="1D71B8"/>
          <w:sz w:val="18"/>
          <w:u w:val="single" w:color="1D71B8"/>
        </w:rPr>
        <w:t>(Minister</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State</w:t>
      </w:r>
      <w:r>
        <w:rPr>
          <w:color w:val="1D71B8"/>
          <w:spacing w:val="-4"/>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Industry</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Economic</w:t>
      </w:r>
      <w:r>
        <w:rPr>
          <w:color w:val="1D71B8"/>
          <w:spacing w:val="-4"/>
          <w:sz w:val="18"/>
          <w:u w:val="single" w:color="1D71B8"/>
        </w:rPr>
        <w:t> </w:t>
      </w:r>
      <w:r>
        <w:rPr>
          <w:color w:val="1D71B8"/>
          <w:sz w:val="18"/>
          <w:u w:val="single" w:color="1D71B8"/>
        </w:rPr>
        <w:t>Security</w:t>
      </w:r>
      <w:r>
        <w:rPr>
          <w:color w:val="1D71B8"/>
          <w:spacing w:val="-4"/>
          <w:sz w:val="18"/>
          <w:u w:val="single" w:color="1D71B8"/>
        </w:rPr>
        <w:t> </w:t>
      </w:r>
      <w:r>
        <w:rPr>
          <w:color w:val="1D71B8"/>
          <w:sz w:val="18"/>
          <w:u w:val="single" w:color="1D71B8"/>
        </w:rPr>
        <w:t>at</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Department</w:t>
      </w:r>
      <w:r>
        <w:rPr>
          <w:color w:val="1D71B8"/>
          <w:spacing w:val="-4"/>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Business</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Trade),</w:t>
      </w:r>
      <w:r>
        <w:rPr>
          <w:color w:val="1D71B8"/>
          <w:spacing w:val="-4"/>
          <w:sz w:val="18"/>
          <w:u w:val="single" w:color="1D71B8"/>
        </w:rPr>
        <w:t> </w:t>
      </w:r>
      <w:r>
        <w:rPr>
          <w:color w:val="1D71B8"/>
          <w:sz w:val="18"/>
          <w:u w:val="single" w:color="1D71B8"/>
        </w:rPr>
        <w:t>19</w:t>
      </w:r>
      <w:r>
        <w:rPr>
          <w:color w:val="1D71B8"/>
          <w:spacing w:val="-4"/>
          <w:sz w:val="18"/>
          <w:u w:val="single" w:color="1D71B8"/>
        </w:rPr>
        <w:t> </w:t>
      </w:r>
      <w:r>
        <w:rPr>
          <w:color w:val="1D71B8"/>
          <w:sz w:val="18"/>
          <w:u w:val="single" w:color="1D71B8"/>
        </w:rPr>
        <w:t>October</w:t>
      </w:r>
      <w:r>
        <w:rPr>
          <w:color w:val="1D71B8"/>
          <w:sz w:val="18"/>
          <w:u w:val="none"/>
        </w:rPr>
        <w:t> </w:t>
      </w:r>
      <w:r>
        <w:rPr>
          <w:color w:val="1D71B8"/>
          <w:sz w:val="18"/>
          <w:u w:val="single" w:color="1D71B8"/>
        </w:rPr>
        <w:t>2023</w:t>
      </w:r>
      <w:r>
        <w:rPr>
          <w:color w:val="1D71B8"/>
          <w:sz w:val="18"/>
          <w:u w:val="none"/>
        </w:rPr>
        <w:t> </w:t>
      </w:r>
      <w:r>
        <w:rPr>
          <w:sz w:val="18"/>
          <w:u w:val="none"/>
        </w:rPr>
        <w:t>(House of Lords, 2022-2023) (19 October 2023).</w:t>
      </w:r>
    </w:p>
    <w:p>
      <w:pPr>
        <w:pStyle w:val="ListParagraph"/>
        <w:numPr>
          <w:ilvl w:val="0"/>
          <w:numId w:val="18"/>
        </w:numPr>
        <w:tabs>
          <w:tab w:pos="1684" w:val="left" w:leader="none"/>
        </w:tabs>
        <w:spacing w:line="240" w:lineRule="auto" w:before="1" w:after="0"/>
        <w:ind w:left="1684" w:right="1106" w:hanging="567"/>
        <w:jc w:val="left"/>
        <w:rPr>
          <w:sz w:val="18"/>
        </w:rPr>
      </w:pPr>
      <w:r>
        <w:rPr>
          <w:sz w:val="18"/>
        </w:rPr>
        <w:t>ECNI and NIHRC, </w:t>
      </w:r>
      <w:r>
        <w:rPr>
          <w:color w:val="1D71B8"/>
          <w:sz w:val="18"/>
          <w:u w:val="single" w:color="1D71B8"/>
        </w:rPr>
        <w:t>Submission of the NIHRC and ECNI to the House of Lords Sub-Committee on the Protocol’s call for</w:t>
      </w:r>
      <w:r>
        <w:rPr>
          <w:color w:val="1D71B8"/>
          <w:sz w:val="18"/>
          <w:u w:val="none"/>
        </w:rPr>
        <w:t> </w:t>
      </w:r>
      <w:r>
        <w:rPr>
          <w:color w:val="1D71B8"/>
          <w:sz w:val="18"/>
          <w:u w:val="single" w:color="1D71B8"/>
        </w:rPr>
        <w:t>evidence</w:t>
      </w:r>
      <w:r>
        <w:rPr>
          <w:color w:val="1D71B8"/>
          <w:spacing w:val="-1"/>
          <w:sz w:val="18"/>
          <w:u w:val="single" w:color="1D71B8"/>
        </w:rPr>
        <w:t> </w:t>
      </w:r>
      <w:r>
        <w:rPr>
          <w:color w:val="1D71B8"/>
          <w:sz w:val="18"/>
          <w:u w:val="single" w:color="1D71B8"/>
        </w:rPr>
        <w:t>for</w:t>
      </w:r>
      <w:r>
        <w:rPr>
          <w:color w:val="1D71B8"/>
          <w:spacing w:val="-1"/>
          <w:sz w:val="18"/>
          <w:u w:val="single" w:color="1D71B8"/>
        </w:rPr>
        <w:t> </w:t>
      </w:r>
      <w:r>
        <w:rPr>
          <w:color w:val="1D71B8"/>
          <w:sz w:val="18"/>
          <w:u w:val="single" w:color="1D71B8"/>
        </w:rPr>
        <w:t>its</w:t>
      </w:r>
      <w:r>
        <w:rPr>
          <w:color w:val="1D71B8"/>
          <w:spacing w:val="-2"/>
          <w:sz w:val="18"/>
          <w:u w:val="single" w:color="1D71B8"/>
        </w:rPr>
        <w:t> </w:t>
      </w:r>
      <w:r>
        <w:rPr>
          <w:color w:val="1D71B8"/>
          <w:sz w:val="18"/>
          <w:u w:val="single" w:color="1D71B8"/>
        </w:rPr>
        <w:t>inquiry</w:t>
      </w:r>
      <w:r>
        <w:rPr>
          <w:color w:val="1D71B8"/>
          <w:spacing w:val="-1"/>
          <w:sz w:val="18"/>
          <w:u w:val="single" w:color="1D71B8"/>
        </w:rPr>
        <w:t> </w:t>
      </w:r>
      <w:r>
        <w:rPr>
          <w:color w:val="1D71B8"/>
          <w:sz w:val="18"/>
          <w:u w:val="single" w:color="1D71B8"/>
        </w:rPr>
        <w:t>on</w:t>
      </w:r>
      <w:r>
        <w:rPr>
          <w:color w:val="1D71B8"/>
          <w:spacing w:val="-2"/>
          <w:sz w:val="18"/>
          <w:u w:val="single" w:color="1D71B8"/>
        </w:rPr>
        <w:t> </w:t>
      </w:r>
      <w:r>
        <w:rPr>
          <w:color w:val="1D71B8"/>
          <w:sz w:val="18"/>
          <w:u w:val="single" w:color="1D71B8"/>
        </w:rPr>
        <w:t>the</w:t>
      </w:r>
      <w:r>
        <w:rPr>
          <w:color w:val="1D71B8"/>
          <w:spacing w:val="-1"/>
          <w:sz w:val="18"/>
          <w:u w:val="single" w:color="1D71B8"/>
        </w:rPr>
        <w:t> </w:t>
      </w:r>
      <w:r>
        <w:rPr>
          <w:color w:val="1D71B8"/>
          <w:sz w:val="18"/>
          <w:u w:val="single" w:color="1D71B8"/>
        </w:rPr>
        <w:t>Windsor</w:t>
      </w:r>
      <w:r>
        <w:rPr>
          <w:color w:val="1D71B8"/>
          <w:spacing w:val="-1"/>
          <w:sz w:val="18"/>
          <w:u w:val="single" w:color="1D71B8"/>
        </w:rPr>
        <w:t> </w:t>
      </w:r>
      <w:r>
        <w:rPr>
          <w:color w:val="1D71B8"/>
          <w:sz w:val="18"/>
          <w:u w:val="single" w:color="1D71B8"/>
        </w:rPr>
        <w:t>Framework</w:t>
      </w:r>
      <w:r>
        <w:rPr>
          <w:color w:val="1D71B8"/>
          <w:spacing w:val="-4"/>
          <w:sz w:val="18"/>
          <w:u w:val="none"/>
        </w:rPr>
        <w:t> </w:t>
      </w:r>
      <w:r>
        <w:rPr>
          <w:sz w:val="18"/>
          <w:u w:val="none"/>
        </w:rPr>
        <w:t>(2023)</w:t>
      </w:r>
      <w:r>
        <w:rPr>
          <w:spacing w:val="-2"/>
          <w:sz w:val="18"/>
          <w:u w:val="none"/>
        </w:rPr>
        <w:t> </w:t>
      </w:r>
      <w:r>
        <w:rPr>
          <w:sz w:val="18"/>
          <w:u w:val="none"/>
        </w:rPr>
        <w:t>ECNI</w:t>
      </w:r>
      <w:r>
        <w:rPr>
          <w:spacing w:val="-1"/>
          <w:sz w:val="18"/>
          <w:u w:val="none"/>
        </w:rPr>
        <w:t> </w:t>
      </w:r>
      <w:r>
        <w:rPr>
          <w:sz w:val="18"/>
          <w:u w:val="none"/>
        </w:rPr>
        <w:t>and</w:t>
      </w:r>
      <w:r>
        <w:rPr>
          <w:spacing w:val="-2"/>
          <w:sz w:val="18"/>
          <w:u w:val="none"/>
        </w:rPr>
        <w:t> </w:t>
      </w:r>
      <w:r>
        <w:rPr>
          <w:sz w:val="18"/>
          <w:u w:val="none"/>
        </w:rPr>
        <w:t>NIHRC,</w:t>
      </w:r>
      <w:r>
        <w:rPr>
          <w:spacing w:val="-1"/>
          <w:sz w:val="18"/>
          <w:u w:val="none"/>
        </w:rPr>
        <w:t> </w:t>
      </w:r>
      <w:r>
        <w:rPr>
          <w:color w:val="1D71B8"/>
          <w:sz w:val="18"/>
          <w:u w:val="single" w:color="1D71B8"/>
        </w:rPr>
        <w:t>Submission</w:t>
      </w:r>
      <w:r>
        <w:rPr>
          <w:color w:val="1D71B8"/>
          <w:spacing w:val="-2"/>
          <w:sz w:val="18"/>
          <w:u w:val="single" w:color="1D71B8"/>
        </w:rPr>
        <w:t> </w:t>
      </w:r>
      <w:r>
        <w:rPr>
          <w:color w:val="1D71B8"/>
          <w:sz w:val="18"/>
          <w:u w:val="single" w:color="1D71B8"/>
        </w:rPr>
        <w:t>of</w:t>
      </w:r>
      <w:r>
        <w:rPr>
          <w:color w:val="1D71B8"/>
          <w:spacing w:val="-2"/>
          <w:sz w:val="18"/>
          <w:u w:val="single" w:color="1D71B8"/>
        </w:rPr>
        <w:t> </w:t>
      </w:r>
      <w:r>
        <w:rPr>
          <w:color w:val="1D71B8"/>
          <w:sz w:val="18"/>
          <w:u w:val="single" w:color="1D71B8"/>
        </w:rPr>
        <w:t>the</w:t>
      </w:r>
      <w:r>
        <w:rPr>
          <w:color w:val="1D71B8"/>
          <w:spacing w:val="-1"/>
          <w:sz w:val="18"/>
          <w:u w:val="single" w:color="1D71B8"/>
        </w:rPr>
        <w:t> </w:t>
      </w:r>
      <w:r>
        <w:rPr>
          <w:color w:val="1D71B8"/>
          <w:sz w:val="18"/>
          <w:u w:val="single" w:color="1D71B8"/>
        </w:rPr>
        <w:t>NIHRC</w:t>
      </w:r>
      <w:r>
        <w:rPr>
          <w:color w:val="1D71B8"/>
          <w:spacing w:val="-2"/>
          <w:sz w:val="18"/>
          <w:u w:val="single" w:color="1D71B8"/>
        </w:rPr>
        <w:t> </w:t>
      </w:r>
      <w:r>
        <w:rPr>
          <w:color w:val="1D71B8"/>
          <w:sz w:val="18"/>
          <w:u w:val="single" w:color="1D71B8"/>
        </w:rPr>
        <w:t>and</w:t>
      </w:r>
      <w:r>
        <w:rPr>
          <w:color w:val="1D71B8"/>
          <w:spacing w:val="-2"/>
          <w:sz w:val="18"/>
          <w:u w:val="single" w:color="1D71B8"/>
        </w:rPr>
        <w:t> </w:t>
      </w:r>
      <w:r>
        <w:rPr>
          <w:color w:val="1D71B8"/>
          <w:sz w:val="18"/>
          <w:u w:val="single" w:color="1D71B8"/>
        </w:rPr>
        <w:t>ECNI</w:t>
      </w:r>
      <w:r>
        <w:rPr>
          <w:color w:val="1D71B8"/>
          <w:spacing w:val="-1"/>
          <w:sz w:val="18"/>
          <w:u w:val="single" w:color="1D71B8"/>
        </w:rPr>
        <w:t> </w:t>
      </w:r>
      <w:r>
        <w:rPr>
          <w:color w:val="1D71B8"/>
          <w:sz w:val="18"/>
          <w:u w:val="single" w:color="1D71B8"/>
        </w:rPr>
        <w:t>to</w:t>
      </w:r>
      <w:r>
        <w:rPr>
          <w:color w:val="1D71B8"/>
          <w:spacing w:val="-2"/>
          <w:sz w:val="18"/>
          <w:u w:val="single" w:color="1D71B8"/>
        </w:rPr>
        <w:t> </w:t>
      </w:r>
      <w:r>
        <w:rPr>
          <w:color w:val="1D71B8"/>
          <w:sz w:val="18"/>
          <w:u w:val="single" w:color="1D71B8"/>
        </w:rPr>
        <w:t>the</w:t>
      </w:r>
      <w:r>
        <w:rPr>
          <w:color w:val="1D71B8"/>
          <w:sz w:val="18"/>
          <w:u w:val="none"/>
        </w:rPr>
        <w:t> </w:t>
      </w:r>
      <w:r>
        <w:rPr>
          <w:color w:val="1D71B8"/>
          <w:sz w:val="18"/>
          <w:u w:val="single" w:color="1D71B8"/>
        </w:rPr>
        <w:t>House</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Lords</w:t>
      </w:r>
      <w:r>
        <w:rPr>
          <w:color w:val="1D71B8"/>
          <w:spacing w:val="-5"/>
          <w:sz w:val="18"/>
          <w:u w:val="single" w:color="1D71B8"/>
        </w:rPr>
        <w:t> </w:t>
      </w:r>
      <w:r>
        <w:rPr>
          <w:color w:val="1D71B8"/>
          <w:sz w:val="18"/>
          <w:u w:val="single" w:color="1D71B8"/>
        </w:rPr>
        <w:t>Subcommittee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Protocol’s</w:t>
      </w:r>
      <w:r>
        <w:rPr>
          <w:color w:val="1D71B8"/>
          <w:spacing w:val="-5"/>
          <w:sz w:val="18"/>
          <w:u w:val="single" w:color="1D71B8"/>
        </w:rPr>
        <w:t> </w:t>
      </w:r>
      <w:r>
        <w:rPr>
          <w:color w:val="1D71B8"/>
          <w:sz w:val="18"/>
          <w:u w:val="single" w:color="1D71B8"/>
        </w:rPr>
        <w:t>call</w:t>
      </w:r>
      <w:r>
        <w:rPr>
          <w:color w:val="1D71B8"/>
          <w:spacing w:val="-5"/>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evidence</w:t>
      </w:r>
      <w:r>
        <w:rPr>
          <w:color w:val="1D71B8"/>
          <w:spacing w:val="-4"/>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its</w:t>
      </w:r>
      <w:r>
        <w:rPr>
          <w:color w:val="1D71B8"/>
          <w:spacing w:val="-5"/>
          <w:sz w:val="18"/>
          <w:u w:val="single" w:color="1D71B8"/>
        </w:rPr>
        <w:t> </w:t>
      </w:r>
      <w:r>
        <w:rPr>
          <w:color w:val="1D71B8"/>
          <w:sz w:val="18"/>
          <w:u w:val="single" w:color="1D71B8"/>
        </w:rPr>
        <w:t>inquiry</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Windsor</w:t>
      </w:r>
      <w:r>
        <w:rPr>
          <w:color w:val="1D71B8"/>
          <w:spacing w:val="-4"/>
          <w:sz w:val="18"/>
          <w:u w:val="single" w:color="1D71B8"/>
        </w:rPr>
        <w:t> </w:t>
      </w:r>
      <w:r>
        <w:rPr>
          <w:color w:val="1D71B8"/>
          <w:sz w:val="18"/>
          <w:u w:val="single" w:color="1D71B8"/>
        </w:rPr>
        <w:t>Framework</w:t>
      </w:r>
      <w:r>
        <w:rPr>
          <w:color w:val="1D71B8"/>
          <w:spacing w:val="-9"/>
          <w:sz w:val="18"/>
          <w:u w:val="none"/>
        </w:rPr>
        <w:t> </w:t>
      </w:r>
      <w:r>
        <w:rPr>
          <w:sz w:val="18"/>
          <w:u w:val="none"/>
        </w:rPr>
        <w:t>(2023)</w:t>
      </w:r>
      <w:r>
        <w:rPr>
          <w:spacing w:val="-5"/>
          <w:sz w:val="18"/>
          <w:u w:val="none"/>
        </w:rPr>
        <w:t> </w:t>
      </w:r>
      <w:r>
        <w:rPr>
          <w:sz w:val="18"/>
          <w:u w:val="none"/>
        </w:rPr>
        <w:t>20.</w:t>
      </w:r>
    </w:p>
    <w:p>
      <w:pPr>
        <w:pStyle w:val="ListParagraph"/>
        <w:numPr>
          <w:ilvl w:val="0"/>
          <w:numId w:val="18"/>
        </w:numPr>
        <w:tabs>
          <w:tab w:pos="1684" w:val="left" w:leader="none"/>
        </w:tabs>
        <w:spacing w:line="240" w:lineRule="auto" w:before="1" w:after="0"/>
        <w:ind w:left="1684" w:right="0" w:hanging="567"/>
        <w:jc w:val="left"/>
        <w:rPr>
          <w:sz w:val="18"/>
        </w:rPr>
      </w:pPr>
      <w:r>
        <w:rPr>
          <w:sz w:val="18"/>
        </w:rPr>
        <w:t>Cabinet</w:t>
      </w:r>
      <w:r>
        <w:rPr>
          <w:spacing w:val="-4"/>
          <w:sz w:val="18"/>
        </w:rPr>
        <w:t> </w:t>
      </w:r>
      <w:r>
        <w:rPr>
          <w:sz w:val="18"/>
        </w:rPr>
        <w:t>Office,</w:t>
      </w:r>
      <w:r>
        <w:rPr>
          <w:spacing w:val="-4"/>
          <w:sz w:val="18"/>
        </w:rPr>
        <w:t> </w:t>
      </w:r>
      <w:hyperlink r:id="rId77">
        <w:r>
          <w:rPr>
            <w:color w:val="1D71B8"/>
            <w:sz w:val="18"/>
            <w:u w:val="single" w:color="1D71B8"/>
          </w:rPr>
          <w:t>Guide</w:t>
        </w:r>
        <w:r>
          <w:rPr>
            <w:color w:val="1D71B8"/>
            <w:spacing w:val="-4"/>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Making</w:t>
        </w:r>
        <w:r>
          <w:rPr>
            <w:color w:val="1D71B8"/>
            <w:spacing w:val="-4"/>
            <w:sz w:val="18"/>
            <w:u w:val="single" w:color="1D71B8"/>
          </w:rPr>
          <w:t> </w:t>
        </w:r>
        <w:r>
          <w:rPr>
            <w:color w:val="1D71B8"/>
            <w:sz w:val="18"/>
            <w:u w:val="single" w:color="1D71B8"/>
          </w:rPr>
          <w:t>Legislation</w:t>
        </w:r>
      </w:hyperlink>
      <w:r>
        <w:rPr>
          <w:color w:val="1D71B8"/>
          <w:spacing w:val="-4"/>
          <w:sz w:val="18"/>
          <w:u w:val="none"/>
        </w:rPr>
        <w:t> </w:t>
      </w:r>
      <w:r>
        <w:rPr>
          <w:spacing w:val="-2"/>
          <w:sz w:val="18"/>
          <w:u w:val="none"/>
        </w:rPr>
        <w:t>(2022)</w:t>
      </w:r>
    </w:p>
    <w:p>
      <w:pPr>
        <w:pStyle w:val="ListParagraph"/>
        <w:numPr>
          <w:ilvl w:val="0"/>
          <w:numId w:val="18"/>
        </w:numPr>
        <w:tabs>
          <w:tab w:pos="1684" w:val="left" w:leader="none"/>
        </w:tabs>
        <w:spacing w:line="240" w:lineRule="auto" w:before="0" w:after="0"/>
        <w:ind w:left="1684" w:right="0" w:hanging="567"/>
        <w:jc w:val="left"/>
        <w:rPr>
          <w:sz w:val="18"/>
        </w:rPr>
      </w:pPr>
      <w:r>
        <w:rPr>
          <w:sz w:val="18"/>
        </w:rPr>
        <w:t>See</w:t>
      </w:r>
      <w:r>
        <w:rPr>
          <w:spacing w:val="-5"/>
          <w:sz w:val="18"/>
        </w:rPr>
        <w:t> </w:t>
      </w:r>
      <w:r>
        <w:rPr>
          <w:sz w:val="18"/>
        </w:rPr>
        <w:t>for</w:t>
      </w:r>
      <w:r>
        <w:rPr>
          <w:spacing w:val="-4"/>
          <w:sz w:val="18"/>
        </w:rPr>
        <w:t> </w:t>
      </w:r>
      <w:r>
        <w:rPr>
          <w:sz w:val="18"/>
        </w:rPr>
        <w:t>instance</w:t>
      </w:r>
      <w:r>
        <w:rPr>
          <w:spacing w:val="-4"/>
          <w:sz w:val="18"/>
        </w:rPr>
        <w:t> </w:t>
      </w:r>
      <w:r>
        <w:rPr>
          <w:sz w:val="18"/>
        </w:rPr>
        <w:t>the</w:t>
      </w:r>
      <w:r>
        <w:rPr>
          <w:spacing w:val="-6"/>
          <w:sz w:val="18"/>
        </w:rPr>
        <w:t> </w:t>
      </w:r>
      <w:r>
        <w:rPr>
          <w:color w:val="1D71B8"/>
          <w:sz w:val="18"/>
          <w:u w:val="single" w:color="1D71B8"/>
        </w:rPr>
        <w:t>Impact</w:t>
      </w:r>
      <w:r>
        <w:rPr>
          <w:color w:val="1D71B8"/>
          <w:spacing w:val="-4"/>
          <w:sz w:val="18"/>
          <w:u w:val="single" w:color="1D71B8"/>
        </w:rPr>
        <w:t> </w:t>
      </w:r>
      <w:r>
        <w:rPr>
          <w:color w:val="1D71B8"/>
          <w:sz w:val="18"/>
          <w:u w:val="single" w:color="1D71B8"/>
        </w:rPr>
        <w:t>Assessment</w:t>
      </w:r>
      <w:r>
        <w:rPr>
          <w:color w:val="1D71B8"/>
          <w:spacing w:val="-4"/>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Draf</w:t>
      </w:r>
      <w:r>
        <w:rPr>
          <w:color w:val="1D71B8"/>
          <w:spacing w:val="-4"/>
          <w:sz w:val="18"/>
          <w:u w:val="single" w:color="1D71B8"/>
        </w:rPr>
        <w:t> </w:t>
      </w:r>
      <w:r>
        <w:rPr>
          <w:color w:val="1D71B8"/>
          <w:sz w:val="18"/>
          <w:u w:val="single" w:color="1D71B8"/>
        </w:rPr>
        <w:t>t</w:t>
      </w:r>
      <w:r>
        <w:rPr>
          <w:color w:val="1D71B8"/>
          <w:spacing w:val="-4"/>
          <w:sz w:val="18"/>
          <w:u w:val="single" w:color="1D71B8"/>
        </w:rPr>
        <w:t> </w:t>
      </w:r>
      <w:r>
        <w:rPr>
          <w:color w:val="1D71B8"/>
          <w:sz w:val="18"/>
          <w:u w:val="single" w:color="1D71B8"/>
        </w:rPr>
        <w:t>Strategic</w:t>
      </w:r>
      <w:r>
        <w:rPr>
          <w:color w:val="1D71B8"/>
          <w:spacing w:val="-5"/>
          <w:sz w:val="18"/>
          <w:u w:val="single" w:color="1D71B8"/>
        </w:rPr>
        <w:t> </w:t>
      </w:r>
      <w:r>
        <w:rPr>
          <w:color w:val="1D71B8"/>
          <w:sz w:val="18"/>
          <w:u w:val="single" w:color="1D71B8"/>
        </w:rPr>
        <w:t>Framework</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End</w:t>
      </w:r>
      <w:r>
        <w:rPr>
          <w:color w:val="1D71B8"/>
          <w:spacing w:val="-5"/>
          <w:sz w:val="18"/>
          <w:u w:val="single" w:color="1D71B8"/>
        </w:rPr>
        <w:t> </w:t>
      </w:r>
      <w:r>
        <w:rPr>
          <w:color w:val="1D71B8"/>
          <w:sz w:val="18"/>
          <w:u w:val="single" w:color="1D71B8"/>
        </w:rPr>
        <w:t>Violence</w:t>
      </w:r>
      <w:r>
        <w:rPr>
          <w:color w:val="1D71B8"/>
          <w:spacing w:val="-4"/>
          <w:sz w:val="18"/>
          <w:u w:val="single" w:color="1D71B8"/>
        </w:rPr>
        <w:t> </w:t>
      </w:r>
      <w:r>
        <w:rPr>
          <w:color w:val="1D71B8"/>
          <w:sz w:val="18"/>
          <w:u w:val="single" w:color="1D71B8"/>
        </w:rPr>
        <w:t>Against</w:t>
      </w:r>
      <w:r>
        <w:rPr>
          <w:color w:val="1D71B8"/>
          <w:spacing w:val="-5"/>
          <w:sz w:val="18"/>
          <w:u w:val="single" w:color="1D71B8"/>
        </w:rPr>
        <w:t> </w:t>
      </w:r>
      <w:r>
        <w:rPr>
          <w:color w:val="1D71B8"/>
          <w:sz w:val="18"/>
          <w:u w:val="single" w:color="1D71B8"/>
        </w:rPr>
        <w:t>Women</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pacing w:val="-2"/>
          <w:sz w:val="18"/>
          <w:u w:val="single" w:color="1D71B8"/>
        </w:rPr>
        <w:t>Girls</w:t>
      </w:r>
      <w:r>
        <w:rPr>
          <w:spacing w:val="-2"/>
          <w:sz w:val="18"/>
          <w:u w:val="none"/>
        </w:rPr>
        <w:t>.</w:t>
      </w:r>
    </w:p>
    <w:p>
      <w:pPr>
        <w:spacing w:after="0" w:line="240" w:lineRule="auto"/>
        <w:jc w:val="left"/>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818240">
                <wp:simplePos x="0" y="0"/>
                <wp:positionH relativeFrom="page">
                  <wp:posOffset>0</wp:posOffset>
                </wp:positionH>
                <wp:positionV relativeFrom="page">
                  <wp:posOffset>0</wp:posOffset>
                </wp:positionV>
                <wp:extent cx="7560309" cy="1283335"/>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7560309" cy="1283335"/>
                          <a:chExt cx="7560309" cy="1283335"/>
                        </a:xfrm>
                      </wpg:grpSpPr>
                      <wps:wsp>
                        <wps:cNvPr id="479" name="Graphic 479"/>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480" name="Graphic 480"/>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481" name="Textbox 481"/>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52</w:t>
                              </w:r>
                            </w:p>
                          </w:txbxContent>
                        </wps:txbx>
                        <wps:bodyPr wrap="square" lIns="0" tIns="0" rIns="0" bIns="0" rtlCol="0">
                          <a:noAutofit/>
                        </wps:bodyPr>
                      </wps:wsp>
                      <wps:wsp>
                        <wps:cNvPr id="482" name="Textbox 482"/>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483" name="Textbox 483"/>
                        <wps:cNvSpPr txBox="1"/>
                        <wps:spPr>
                          <a:xfrm>
                            <a:off x="647999" y="1080003"/>
                            <a:ext cx="1238885" cy="203200"/>
                          </a:xfrm>
                          <a:prstGeom prst="rect">
                            <a:avLst/>
                          </a:prstGeom>
                        </wps:spPr>
                        <wps:txbx>
                          <w:txbxContent>
                            <w:p>
                              <w:pPr>
                                <w:numPr>
                                  <w:ilvl w:val="1"/>
                                  <w:numId w:val="20"/>
                                </w:numPr>
                                <w:tabs>
                                  <w:tab w:pos="482" w:val="left" w:leader="none"/>
                                </w:tabs>
                                <w:spacing w:line="320" w:lineRule="exact" w:before="0"/>
                                <w:ind w:left="482" w:right="0" w:hanging="482"/>
                                <w:jc w:val="left"/>
                                <w:rPr>
                                  <w:b/>
                                  <w:sz w:val="32"/>
                                </w:rPr>
                              </w:pPr>
                              <w:r>
                                <w:rPr>
                                  <w:b/>
                                  <w:color w:val="004A93"/>
                                  <w:spacing w:val="-2"/>
                                  <w:sz w:val="32"/>
                                </w:rPr>
                                <w:t>Conclusion</w:t>
                              </w:r>
                            </w:p>
                          </w:txbxContent>
                        </wps:txbx>
                        <wps:bodyPr wrap="square" lIns="0" tIns="0" rIns="0" bIns="0" rtlCol="0">
                          <a:noAutofit/>
                        </wps:bodyPr>
                      </wps:wsp>
                    </wpg:wgp>
                  </a:graphicData>
                </a:graphic>
              </wp:anchor>
            </w:drawing>
          </mc:Choice>
          <mc:Fallback>
            <w:pict>
              <v:group style="position:absolute;margin-left:.0pt;margin-top:-.00002pt;width:595.3pt;height:101.05pt;mso-position-horizontal-relative:page;mso-position-vertical-relative:page;z-index:15818240" id="docshapegroup381" coordorigin="0,0" coordsize="11906,2021">
                <v:shape style="position:absolute;left:0;top:0;width:11906;height:1819" id="docshape382"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383" filled="false" stroked="false">
                  <v:textbox inset="0,0,0,0">
                    <w:txbxContent>
                      <w:p>
                        <w:pPr>
                          <w:spacing w:line="280" w:lineRule="exact" w:before="0"/>
                          <w:ind w:left="0" w:right="0" w:firstLine="0"/>
                          <w:jc w:val="left"/>
                          <w:rPr>
                            <w:b/>
                            <w:sz w:val="28"/>
                          </w:rPr>
                        </w:pPr>
                        <w:r>
                          <w:rPr>
                            <w:b/>
                            <w:color w:val="FFFFFF"/>
                            <w:spacing w:val="-5"/>
                            <w:sz w:val="28"/>
                          </w:rPr>
                          <w:t>52</w:t>
                        </w:r>
                      </w:p>
                    </w:txbxContent>
                  </v:textbox>
                  <w10:wrap type="none"/>
                </v:shape>
                <v:shape style="position:absolute;left:1303;top:645;width:6182;height:240" type="#_x0000_t202" id="docshape384"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1951;height:320" type="#_x0000_t202" id="docshape385" filled="false" stroked="false">
                  <v:textbox inset="0,0,0,0">
                    <w:txbxContent>
                      <w:p>
                        <w:pPr>
                          <w:numPr>
                            <w:ilvl w:val="1"/>
                            <w:numId w:val="20"/>
                          </w:numPr>
                          <w:tabs>
                            <w:tab w:pos="482" w:val="left" w:leader="none"/>
                          </w:tabs>
                          <w:spacing w:line="320" w:lineRule="exact" w:before="0"/>
                          <w:ind w:left="482" w:right="0" w:hanging="482"/>
                          <w:jc w:val="left"/>
                          <w:rPr>
                            <w:b/>
                            <w:sz w:val="32"/>
                          </w:rPr>
                        </w:pPr>
                        <w:r>
                          <w:rPr>
                            <w:b/>
                            <w:color w:val="004A93"/>
                            <w:spacing w:val="-2"/>
                            <w:sz w:val="32"/>
                          </w:rPr>
                          <w:t>Conclusion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after="1"/>
        <w:rPr>
          <w:sz w:val="20"/>
        </w:rPr>
      </w:pPr>
    </w:p>
    <w:p>
      <w:pPr>
        <w:pStyle w:val="BodyText"/>
        <w:spacing w:line="20" w:lineRule="exact"/>
        <w:ind w:left="720"/>
        <w:rPr>
          <w:sz w:val="2"/>
        </w:rPr>
      </w:pPr>
      <w:r>
        <w:rPr>
          <w:sz w:val="2"/>
        </w:rPr>
        <mc:AlternateContent>
          <mc:Choice Requires="wps">
            <w:drawing>
              <wp:inline distT="0" distB="0" distL="0" distR="0">
                <wp:extent cx="6012180" cy="12700"/>
                <wp:effectExtent l="9525" t="0" r="0" b="6350"/>
                <wp:docPr id="484" name="Group 484"/>
                <wp:cNvGraphicFramePr>
                  <a:graphicFrameLocks/>
                </wp:cNvGraphicFramePr>
                <a:graphic>
                  <a:graphicData uri="http://schemas.microsoft.com/office/word/2010/wordprocessingGroup">
                    <wpg:wgp>
                      <wpg:cNvPr id="484" name="Group 484"/>
                      <wpg:cNvGrpSpPr/>
                      <wpg:grpSpPr>
                        <a:xfrm>
                          <a:off x="0" y="0"/>
                          <a:ext cx="6012180" cy="12700"/>
                          <a:chExt cx="6012180" cy="12700"/>
                        </a:xfrm>
                      </wpg:grpSpPr>
                      <wps:wsp>
                        <wps:cNvPr id="485" name="Graphic 485"/>
                        <wps:cNvSpPr/>
                        <wps:spPr>
                          <a:xfrm>
                            <a:off x="0" y="635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g:wgp>
                  </a:graphicData>
                </a:graphic>
              </wp:inline>
            </w:drawing>
          </mc:Choice>
          <mc:Fallback>
            <w:pict>
              <v:group style="width:473.4pt;height:1pt;mso-position-horizontal-relative:char;mso-position-vertical-relative:line" id="docshapegroup386" coordorigin="0,0" coordsize="9468,20">
                <v:line style="position:absolute" from="0,10" to="9468,10" stroked="true" strokeweight="1pt" strokecolor="#36a9e1">
                  <v:stroke dashstyle="solid"/>
                </v:line>
              </v:group>
            </w:pict>
          </mc:Fallback>
        </mc:AlternateContent>
      </w:r>
      <w:r>
        <w:rPr>
          <w:sz w:val="2"/>
        </w:rPr>
      </w:r>
    </w:p>
    <w:p>
      <w:pPr>
        <w:pStyle w:val="BodyText"/>
        <w:spacing w:line="232" w:lineRule="auto" w:before="98"/>
        <w:ind w:left="720" w:right="1263"/>
      </w:pPr>
      <w:bookmarkStart w:name="2.4 Conclusion" w:id="73"/>
      <w:bookmarkEnd w:id="73"/>
      <w:r>
        <w:rPr/>
      </w:r>
      <w:bookmarkStart w:name="_bookmark30" w:id="74"/>
      <w:bookmarkEnd w:id="74"/>
      <w:r>
        <w:rPr/>
      </w:r>
      <w:r>
        <w:rPr/>
        <w:t>In this chapter we have reviewed legal developments in Northern Ireland and at the United Kingdom level. At the Northern Ireland level the story, as often the</w:t>
      </w:r>
      <w:r>
        <w:rPr/>
        <w:t> case</w:t>
      </w:r>
      <w:r>
        <w:rPr>
          <w:spacing w:val="-4"/>
        </w:rPr>
        <w:t> </w:t>
      </w:r>
      <w:r>
        <w:rPr/>
        <w:t>in</w:t>
      </w:r>
      <w:r>
        <w:rPr>
          <w:spacing w:val="-5"/>
        </w:rPr>
        <w:t> </w:t>
      </w:r>
      <w:r>
        <w:rPr/>
        <w:t>this</w:t>
      </w:r>
      <w:r>
        <w:rPr>
          <w:spacing w:val="-5"/>
        </w:rPr>
        <w:t> </w:t>
      </w:r>
      <w:r>
        <w:rPr/>
        <w:t>jurisdiction,</w:t>
      </w:r>
      <w:r>
        <w:rPr>
          <w:spacing w:val="-4"/>
        </w:rPr>
        <w:t> </w:t>
      </w:r>
      <w:r>
        <w:rPr/>
        <w:t>has</w:t>
      </w:r>
      <w:r>
        <w:rPr>
          <w:spacing w:val="-5"/>
        </w:rPr>
        <w:t> </w:t>
      </w:r>
      <w:r>
        <w:rPr/>
        <w:t>been</w:t>
      </w:r>
      <w:r>
        <w:rPr>
          <w:spacing w:val="-5"/>
        </w:rPr>
        <w:t> </w:t>
      </w:r>
      <w:r>
        <w:rPr/>
        <w:t>one</w:t>
      </w:r>
      <w:r>
        <w:rPr>
          <w:spacing w:val="-4"/>
        </w:rPr>
        <w:t> </w:t>
      </w:r>
      <w:r>
        <w:rPr/>
        <w:t>of</w:t>
      </w:r>
      <w:r>
        <w:rPr>
          <w:spacing w:val="-5"/>
        </w:rPr>
        <w:t> </w:t>
      </w:r>
      <w:r>
        <w:rPr/>
        <w:t>relative</w:t>
      </w:r>
      <w:r>
        <w:rPr>
          <w:spacing w:val="-4"/>
        </w:rPr>
        <w:t> </w:t>
      </w:r>
      <w:r>
        <w:rPr/>
        <w:t>limbo</w:t>
      </w:r>
      <w:r>
        <w:rPr>
          <w:spacing w:val="-5"/>
        </w:rPr>
        <w:t> </w:t>
      </w:r>
      <w:r>
        <w:rPr/>
        <w:t>as</w:t>
      </w:r>
      <w:r>
        <w:rPr>
          <w:spacing w:val="-5"/>
        </w:rPr>
        <w:t> </w:t>
      </w:r>
      <w:r>
        <w:rPr/>
        <w:t>the</w:t>
      </w:r>
      <w:r>
        <w:rPr>
          <w:spacing w:val="-4"/>
        </w:rPr>
        <w:t> </w:t>
      </w:r>
      <w:r>
        <w:rPr/>
        <w:t>institutions</w:t>
      </w:r>
      <w:r>
        <w:rPr>
          <w:spacing w:val="-5"/>
        </w:rPr>
        <w:t> </w:t>
      </w:r>
      <w:r>
        <w:rPr/>
        <w:t>were</w:t>
      </w:r>
      <w:r>
        <w:rPr>
          <w:spacing w:val="-4"/>
        </w:rPr>
        <w:t> </w:t>
      </w:r>
      <w:r>
        <w:rPr/>
        <w:t>not functional for most of the period under review. There have been some notable initiatives such as the consultation on the Race Relations Order.</w:t>
      </w:r>
    </w:p>
    <w:p>
      <w:pPr>
        <w:pStyle w:val="BodyText"/>
        <w:spacing w:line="232" w:lineRule="auto" w:before="276"/>
        <w:ind w:left="720" w:right="1404"/>
      </w:pPr>
      <w:r>
        <w:rPr/>
        <w:t>We note with extreme concern that several high-profile legislative initiatives at UK</w:t>
      </w:r>
      <w:r>
        <w:rPr>
          <w:spacing w:val="-2"/>
        </w:rPr>
        <w:t> </w:t>
      </w:r>
      <w:r>
        <w:rPr/>
        <w:t>level</w:t>
      </w:r>
      <w:r>
        <w:rPr>
          <w:spacing w:val="-3"/>
        </w:rPr>
        <w:t> </w:t>
      </w:r>
      <w:r>
        <w:rPr/>
        <w:t>diminish</w:t>
      </w:r>
      <w:r>
        <w:rPr>
          <w:spacing w:val="-3"/>
        </w:rPr>
        <w:t> </w:t>
      </w:r>
      <w:r>
        <w:rPr/>
        <w:t>European</w:t>
      </w:r>
      <w:r>
        <w:rPr>
          <w:spacing w:val="-3"/>
        </w:rPr>
        <w:t> </w:t>
      </w:r>
      <w:r>
        <w:rPr/>
        <w:t>Union</w:t>
      </w:r>
      <w:r>
        <w:rPr>
          <w:spacing w:val="-3"/>
        </w:rPr>
        <w:t> </w:t>
      </w:r>
      <w:r>
        <w:rPr/>
        <w:t>protections</w:t>
      </w:r>
      <w:r>
        <w:rPr>
          <w:spacing w:val="-3"/>
        </w:rPr>
        <w:t> </w:t>
      </w:r>
      <w:r>
        <w:rPr/>
        <w:t>for</w:t>
      </w:r>
      <w:r>
        <w:rPr>
          <w:spacing w:val="-2"/>
        </w:rPr>
        <w:t> </w:t>
      </w:r>
      <w:r>
        <w:rPr/>
        <w:t>rights;</w:t>
      </w:r>
      <w:r>
        <w:rPr>
          <w:spacing w:val="-2"/>
        </w:rPr>
        <w:t> </w:t>
      </w:r>
      <w:r>
        <w:rPr/>
        <w:t>this</w:t>
      </w:r>
      <w:r>
        <w:rPr>
          <w:spacing w:val="-3"/>
        </w:rPr>
        <w:t> </w:t>
      </w:r>
      <w:r>
        <w:rPr/>
        <w:t>is</w:t>
      </w:r>
      <w:r>
        <w:rPr>
          <w:spacing w:val="-3"/>
        </w:rPr>
        <w:t> </w:t>
      </w:r>
      <w:r>
        <w:rPr/>
        <w:t>particularly</w:t>
      </w:r>
      <w:r>
        <w:rPr>
          <w:spacing w:val="-2"/>
        </w:rPr>
        <w:t> </w:t>
      </w:r>
      <w:r>
        <w:rPr/>
        <w:t>in</w:t>
      </w:r>
      <w:r>
        <w:rPr>
          <w:spacing w:val="-3"/>
        </w:rPr>
        <w:t> </w:t>
      </w:r>
      <w:r>
        <w:rPr/>
        <w:t>the area</w:t>
      </w:r>
      <w:r>
        <w:rPr>
          <w:spacing w:val="-7"/>
        </w:rPr>
        <w:t> </w:t>
      </w:r>
      <w:r>
        <w:rPr/>
        <w:t>of</w:t>
      </w:r>
      <w:r>
        <w:rPr>
          <w:spacing w:val="-7"/>
        </w:rPr>
        <w:t> </w:t>
      </w:r>
      <w:r>
        <w:rPr/>
        <w:t>immigration</w:t>
      </w:r>
      <w:r>
        <w:rPr>
          <w:spacing w:val="-7"/>
        </w:rPr>
        <w:t> </w:t>
      </w:r>
      <w:r>
        <w:rPr/>
        <w:t>and</w:t>
      </w:r>
      <w:r>
        <w:rPr>
          <w:spacing w:val="-7"/>
        </w:rPr>
        <w:t> </w:t>
      </w:r>
      <w:r>
        <w:rPr/>
        <w:t>asylum</w:t>
      </w:r>
      <w:r>
        <w:rPr>
          <w:spacing w:val="-6"/>
        </w:rPr>
        <w:t> </w:t>
      </w:r>
      <w:r>
        <w:rPr/>
        <w:t>but</w:t>
      </w:r>
      <w:r>
        <w:rPr>
          <w:spacing w:val="-6"/>
        </w:rPr>
        <w:t> </w:t>
      </w:r>
      <w:r>
        <w:rPr/>
        <w:t>also</w:t>
      </w:r>
      <w:r>
        <w:rPr>
          <w:spacing w:val="-7"/>
        </w:rPr>
        <w:t> </w:t>
      </w:r>
      <w:r>
        <w:rPr/>
        <w:t>in</w:t>
      </w:r>
      <w:r>
        <w:rPr>
          <w:spacing w:val="-7"/>
        </w:rPr>
        <w:t> </w:t>
      </w:r>
      <w:r>
        <w:rPr/>
        <w:t>relation</w:t>
      </w:r>
      <w:r>
        <w:rPr>
          <w:spacing w:val="-7"/>
        </w:rPr>
        <w:t> </w:t>
      </w:r>
      <w:r>
        <w:rPr/>
        <w:t>to</w:t>
      </w:r>
      <w:r>
        <w:rPr>
          <w:spacing w:val="-7"/>
        </w:rPr>
        <w:t> </w:t>
      </w:r>
      <w:r>
        <w:rPr/>
        <w:t>the</w:t>
      </w:r>
      <w:r>
        <w:rPr>
          <w:spacing w:val="-6"/>
        </w:rPr>
        <w:t> </w:t>
      </w:r>
      <w:r>
        <w:rPr/>
        <w:t>investigation</w:t>
      </w:r>
      <w:r>
        <w:rPr>
          <w:spacing w:val="-7"/>
        </w:rPr>
        <w:t> </w:t>
      </w:r>
      <w:r>
        <w:rPr/>
        <w:t>of</w:t>
      </w:r>
      <w:r>
        <w:rPr>
          <w:spacing w:val="-7"/>
        </w:rPr>
        <w:t> </w:t>
      </w:r>
      <w:r>
        <w:rPr/>
        <w:t>human rights violations from the conflict in Northern Ireland. The High Court in Belfast has confirmed this with the ruling in the </w:t>
      </w:r>
      <w:r>
        <w:rPr>
          <w:i/>
        </w:rPr>
        <w:t>Legacy Act cases (Dillon and others)</w:t>
      </w:r>
      <w:r>
        <w:rPr>
          <w:i/>
        </w:rPr>
        <w:t> </w:t>
      </w:r>
      <w:r>
        <w:rPr/>
        <w:t>disapplying part of the 2023 Legacy Act.</w:t>
      </w:r>
    </w:p>
    <w:p>
      <w:pPr>
        <w:pStyle w:val="BodyText"/>
        <w:spacing w:line="232" w:lineRule="auto" w:before="274"/>
        <w:ind w:left="720" w:right="1250"/>
      </w:pPr>
      <w:r>
        <w:rPr/>
        <w:t>We</w:t>
      </w:r>
      <w:r>
        <w:rPr>
          <w:spacing w:val="-5"/>
        </w:rPr>
        <w:t> </w:t>
      </w:r>
      <w:r>
        <w:rPr/>
        <w:t>share</w:t>
      </w:r>
      <w:r>
        <w:rPr>
          <w:spacing w:val="-5"/>
        </w:rPr>
        <w:t> </w:t>
      </w:r>
      <w:r>
        <w:rPr/>
        <w:t>the</w:t>
      </w:r>
      <w:r>
        <w:rPr>
          <w:spacing w:val="-5"/>
        </w:rPr>
        <w:t> </w:t>
      </w:r>
      <w:r>
        <w:rPr/>
        <w:t>concern</w:t>
      </w:r>
      <w:r>
        <w:rPr>
          <w:spacing w:val="-6"/>
        </w:rPr>
        <w:t> </w:t>
      </w:r>
      <w:r>
        <w:rPr/>
        <w:t>of</w:t>
      </w:r>
      <w:r>
        <w:rPr>
          <w:spacing w:val="-6"/>
        </w:rPr>
        <w:t> </w:t>
      </w:r>
      <w:r>
        <w:rPr/>
        <w:t>others</w:t>
      </w:r>
      <w:r>
        <w:rPr>
          <w:spacing w:val="-6"/>
        </w:rPr>
        <w:t> </w:t>
      </w:r>
      <w:r>
        <w:rPr/>
        <w:t>at</w:t>
      </w:r>
      <w:r>
        <w:rPr>
          <w:spacing w:val="-5"/>
        </w:rPr>
        <w:t> </w:t>
      </w:r>
      <w:r>
        <w:rPr/>
        <w:t>the</w:t>
      </w:r>
      <w:r>
        <w:rPr>
          <w:spacing w:val="-5"/>
        </w:rPr>
        <w:t> </w:t>
      </w:r>
      <w:r>
        <w:rPr/>
        <w:t>increasing</w:t>
      </w:r>
      <w:r>
        <w:rPr>
          <w:spacing w:val="-5"/>
        </w:rPr>
        <w:t> </w:t>
      </w:r>
      <w:r>
        <w:rPr/>
        <w:t>tendency</w:t>
      </w:r>
      <w:r>
        <w:rPr>
          <w:spacing w:val="-5"/>
        </w:rPr>
        <w:t> </w:t>
      </w:r>
      <w:r>
        <w:rPr/>
        <w:t>of</w:t>
      </w:r>
      <w:r>
        <w:rPr>
          <w:spacing w:val="-6"/>
        </w:rPr>
        <w:t> </w:t>
      </w:r>
      <w:r>
        <w:rPr/>
        <w:t>the</w:t>
      </w:r>
      <w:r>
        <w:rPr>
          <w:spacing w:val="-5"/>
        </w:rPr>
        <w:t> </w:t>
      </w:r>
      <w:r>
        <w:rPr/>
        <w:t>UK</w:t>
      </w:r>
      <w:r>
        <w:rPr>
          <w:spacing w:val="-5"/>
        </w:rPr>
        <w:t> </w:t>
      </w:r>
      <w:r>
        <w:rPr/>
        <w:t>Government to introduce bills including provisions to disapply parts of the Human Rights Act. The 1998 Agreement makes the domestic protection of the Convention rights central</w:t>
      </w:r>
      <w:r>
        <w:rPr>
          <w:spacing w:val="-1"/>
        </w:rPr>
        <w:t> </w:t>
      </w:r>
      <w:r>
        <w:rPr/>
        <w:t>to</w:t>
      </w:r>
      <w:r>
        <w:rPr>
          <w:spacing w:val="-1"/>
        </w:rPr>
        <w:t> </w:t>
      </w:r>
      <w:r>
        <w:rPr/>
        <w:t>its</w:t>
      </w:r>
      <w:r>
        <w:rPr>
          <w:spacing w:val="-1"/>
        </w:rPr>
        <w:t> </w:t>
      </w:r>
      <w:r>
        <w:rPr/>
        <w:t>concerns</w:t>
      </w:r>
      <w:r>
        <w:rPr>
          <w:spacing w:val="-1"/>
        </w:rPr>
        <w:t> </w:t>
      </w:r>
      <w:r>
        <w:rPr/>
        <w:t>and</w:t>
      </w:r>
      <w:r>
        <w:rPr>
          <w:spacing w:val="-1"/>
        </w:rPr>
        <w:t> </w:t>
      </w:r>
      <w:r>
        <w:rPr/>
        <w:t>this</w:t>
      </w:r>
      <w:r>
        <w:rPr>
          <w:spacing w:val="-1"/>
        </w:rPr>
        <w:t> </w:t>
      </w:r>
      <w:r>
        <w:rPr/>
        <w:t>practice of</w:t>
      </w:r>
      <w:r>
        <w:rPr>
          <w:spacing w:val="-1"/>
        </w:rPr>
        <w:t> </w:t>
      </w:r>
      <w:r>
        <w:rPr/>
        <w:t>disapplying the Act without any regard to the implications for the Agreement risks unpicking a core element of the Agreement and peace process.</w:t>
      </w:r>
    </w:p>
    <w:p>
      <w:pPr>
        <w:pStyle w:val="BodyText"/>
        <w:spacing w:line="232" w:lineRule="auto" w:before="274"/>
        <w:ind w:left="720" w:right="1256"/>
      </w:pPr>
      <w:r>
        <w:rPr/>
        <w:t>We are struck by the relative inattention that legislators and policymakers in Northern Ireland and at UK level seem to give to Article 2 WF. In Northern Ireland we note that the consultation on the Race Relations Order does not show a full awareness of the significance of Article 2 WF. This problem seems if anything to</w:t>
      </w:r>
      <w:r>
        <w:rPr/>
        <w:t> be</w:t>
      </w:r>
      <w:r>
        <w:rPr>
          <w:spacing w:val="-6"/>
        </w:rPr>
        <w:t> </w:t>
      </w:r>
      <w:r>
        <w:rPr/>
        <w:t>more</w:t>
      </w:r>
      <w:r>
        <w:rPr>
          <w:spacing w:val="-6"/>
        </w:rPr>
        <w:t> </w:t>
      </w:r>
      <w:r>
        <w:rPr/>
        <w:t>serious</w:t>
      </w:r>
      <w:r>
        <w:rPr>
          <w:spacing w:val="-6"/>
        </w:rPr>
        <w:t> </w:t>
      </w:r>
      <w:r>
        <w:rPr/>
        <w:t>at</w:t>
      </w:r>
      <w:r>
        <w:rPr>
          <w:spacing w:val="-6"/>
        </w:rPr>
        <w:t> </w:t>
      </w:r>
      <w:r>
        <w:rPr/>
        <w:t>UK</w:t>
      </w:r>
      <w:r>
        <w:rPr>
          <w:spacing w:val="-6"/>
        </w:rPr>
        <w:t> </w:t>
      </w:r>
      <w:r>
        <w:rPr/>
        <w:t>level,</w:t>
      </w:r>
      <w:r>
        <w:rPr>
          <w:spacing w:val="-6"/>
        </w:rPr>
        <w:t> </w:t>
      </w:r>
      <w:r>
        <w:rPr/>
        <w:t>especially</w:t>
      </w:r>
      <w:r>
        <w:rPr>
          <w:spacing w:val="-6"/>
        </w:rPr>
        <w:t> </w:t>
      </w:r>
      <w:r>
        <w:rPr/>
        <w:t>given</w:t>
      </w:r>
      <w:r>
        <w:rPr>
          <w:spacing w:val="-6"/>
        </w:rPr>
        <w:t> </w:t>
      </w:r>
      <w:r>
        <w:rPr/>
        <w:t>more</w:t>
      </w:r>
      <w:r>
        <w:rPr>
          <w:spacing w:val="-6"/>
        </w:rPr>
        <w:t> </w:t>
      </w:r>
      <w:r>
        <w:rPr/>
        <w:t>recent</w:t>
      </w:r>
      <w:r>
        <w:rPr>
          <w:spacing w:val="-6"/>
        </w:rPr>
        <w:t> </w:t>
      </w:r>
      <w:r>
        <w:rPr/>
        <w:t>steps</w:t>
      </w:r>
      <w:r>
        <w:rPr>
          <w:spacing w:val="-6"/>
        </w:rPr>
        <w:t> </w:t>
      </w:r>
      <w:r>
        <w:rPr/>
        <w:t>by</w:t>
      </w:r>
      <w:r>
        <w:rPr>
          <w:spacing w:val="-6"/>
        </w:rPr>
        <w:t> </w:t>
      </w:r>
      <w:r>
        <w:rPr/>
        <w:t>the</w:t>
      </w:r>
      <w:r>
        <w:rPr>
          <w:spacing w:val="-6"/>
        </w:rPr>
        <w:t> </w:t>
      </w:r>
      <w:r>
        <w:rPr/>
        <w:t>Ni</w:t>
      </w:r>
      <w:r>
        <w:rPr>
          <w:spacing w:val="-6"/>
        </w:rPr>
        <w:t> </w:t>
      </w:r>
      <w:r>
        <w:rPr/>
        <w:t>Executive to conduct Article 2 Impact Assessments. There is a consistent problem that</w:t>
      </w:r>
    </w:p>
    <w:p>
      <w:pPr>
        <w:spacing w:line="232" w:lineRule="auto" w:before="0"/>
        <w:ind w:left="720" w:right="1143" w:firstLine="0"/>
        <w:jc w:val="left"/>
        <w:rPr>
          <w:sz w:val="28"/>
        </w:rPr>
      </w:pPr>
      <w:r>
        <w:rPr>
          <w:sz w:val="28"/>
        </w:rPr>
        <w:t>proposals</w:t>
      </w:r>
      <w:r>
        <w:rPr>
          <w:spacing w:val="-5"/>
          <w:sz w:val="28"/>
        </w:rPr>
        <w:t> </w:t>
      </w:r>
      <w:r>
        <w:rPr>
          <w:sz w:val="28"/>
        </w:rPr>
        <w:t>for</w:t>
      </w:r>
      <w:r>
        <w:rPr>
          <w:spacing w:val="-4"/>
          <w:sz w:val="28"/>
        </w:rPr>
        <w:t> </w:t>
      </w:r>
      <w:r>
        <w:rPr>
          <w:sz w:val="28"/>
        </w:rPr>
        <w:t>new</w:t>
      </w:r>
      <w:r>
        <w:rPr>
          <w:spacing w:val="-4"/>
          <w:sz w:val="28"/>
        </w:rPr>
        <w:t> </w:t>
      </w:r>
      <w:r>
        <w:rPr>
          <w:sz w:val="28"/>
        </w:rPr>
        <w:t>UK</w:t>
      </w:r>
      <w:r>
        <w:rPr>
          <w:spacing w:val="-4"/>
          <w:sz w:val="28"/>
        </w:rPr>
        <w:t> </w:t>
      </w:r>
      <w:r>
        <w:rPr>
          <w:sz w:val="28"/>
        </w:rPr>
        <w:t>legislation</w:t>
      </w:r>
      <w:r>
        <w:rPr>
          <w:spacing w:val="-5"/>
          <w:sz w:val="28"/>
        </w:rPr>
        <w:t> </w:t>
      </w:r>
      <w:r>
        <w:rPr>
          <w:sz w:val="28"/>
        </w:rPr>
        <w:t>do</w:t>
      </w:r>
      <w:r>
        <w:rPr>
          <w:spacing w:val="-5"/>
          <w:sz w:val="28"/>
        </w:rPr>
        <w:t> </w:t>
      </w:r>
      <w:r>
        <w:rPr>
          <w:sz w:val="28"/>
        </w:rPr>
        <w:t>not</w:t>
      </w:r>
      <w:r>
        <w:rPr>
          <w:spacing w:val="-4"/>
          <w:sz w:val="28"/>
        </w:rPr>
        <w:t> </w:t>
      </w:r>
      <w:r>
        <w:rPr>
          <w:sz w:val="28"/>
        </w:rPr>
        <w:t>discuss</w:t>
      </w:r>
      <w:r>
        <w:rPr>
          <w:spacing w:val="-5"/>
          <w:sz w:val="28"/>
        </w:rPr>
        <w:t> </w:t>
      </w:r>
      <w:r>
        <w:rPr>
          <w:sz w:val="28"/>
        </w:rPr>
        <w:t>Article</w:t>
      </w:r>
      <w:r>
        <w:rPr>
          <w:spacing w:val="-4"/>
          <w:sz w:val="28"/>
        </w:rPr>
        <w:t> </w:t>
      </w:r>
      <w:r>
        <w:rPr>
          <w:sz w:val="28"/>
        </w:rPr>
        <w:t>2</w:t>
      </w:r>
      <w:r>
        <w:rPr>
          <w:spacing w:val="-4"/>
          <w:sz w:val="28"/>
        </w:rPr>
        <w:t> </w:t>
      </w:r>
      <w:r>
        <w:rPr>
          <w:sz w:val="28"/>
        </w:rPr>
        <w:t>WF</w:t>
      </w:r>
      <w:r>
        <w:rPr>
          <w:spacing w:val="-5"/>
          <w:sz w:val="28"/>
        </w:rPr>
        <w:t> </w:t>
      </w:r>
      <w:r>
        <w:rPr>
          <w:sz w:val="28"/>
        </w:rPr>
        <w:t>and</w:t>
      </w:r>
      <w:r>
        <w:rPr>
          <w:spacing w:val="-5"/>
          <w:sz w:val="28"/>
        </w:rPr>
        <w:t> </w:t>
      </w:r>
      <w:r>
        <w:rPr>
          <w:sz w:val="28"/>
        </w:rPr>
        <w:t>even</w:t>
      </w:r>
      <w:r>
        <w:rPr>
          <w:spacing w:val="-5"/>
          <w:sz w:val="28"/>
        </w:rPr>
        <w:t> </w:t>
      </w:r>
      <w:r>
        <w:rPr>
          <w:sz w:val="28"/>
        </w:rPr>
        <w:t>human</w:t>
      </w:r>
      <w:r>
        <w:rPr>
          <w:spacing w:val="-5"/>
          <w:sz w:val="28"/>
        </w:rPr>
        <w:t> </w:t>
      </w:r>
      <w:r>
        <w:rPr>
          <w:sz w:val="28"/>
        </w:rPr>
        <w:t>rights memoranda, while they may discuss the ECHR, do not meaningfully engage with the specific requirements of Article 2 WF. Most strikingly the command paper </w:t>
      </w:r>
      <w:r>
        <w:rPr>
          <w:i/>
          <w:sz w:val="28"/>
        </w:rPr>
        <w:t>Safeguarding the Union </w:t>
      </w:r>
      <w:r>
        <w:rPr>
          <w:sz w:val="28"/>
        </w:rPr>
        <w:t>seriously misrepresents the scope of Article 2 WF, as now made evident in the </w:t>
      </w:r>
      <w:r>
        <w:rPr>
          <w:i/>
          <w:sz w:val="28"/>
        </w:rPr>
        <w:t>Legacy Act cases (Dillon and others) </w:t>
      </w:r>
      <w:r>
        <w:rPr>
          <w:sz w:val="28"/>
        </w:rPr>
        <w:t>and </w:t>
      </w:r>
      <w:r>
        <w:rPr>
          <w:i/>
          <w:sz w:val="28"/>
        </w:rPr>
        <w:t>Illegal Migration Act</w:t>
      </w:r>
      <w:r>
        <w:rPr>
          <w:i/>
          <w:sz w:val="28"/>
        </w:rPr>
        <w:t> </w:t>
      </w:r>
      <w:r>
        <w:rPr>
          <w:i/>
          <w:spacing w:val="-2"/>
          <w:sz w:val="28"/>
        </w:rPr>
        <w:t>case</w:t>
      </w:r>
      <w:r>
        <w:rPr>
          <w:spacing w:val="-2"/>
          <w:sz w:val="28"/>
        </w:rPr>
        <w:t>.</w:t>
      </w:r>
    </w:p>
    <w:p>
      <w:pPr>
        <w:spacing w:after="0" w:line="232" w:lineRule="auto"/>
        <w:jc w:val="left"/>
        <w:rPr>
          <w:sz w:val="2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95136">
                <wp:simplePos x="0" y="0"/>
                <wp:positionH relativeFrom="page">
                  <wp:posOffset>-2</wp:posOffset>
                </wp:positionH>
                <wp:positionV relativeFrom="page">
                  <wp:posOffset>0</wp:posOffset>
                </wp:positionV>
                <wp:extent cx="7560309" cy="6793230"/>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7560309" cy="6793230"/>
                          <a:chExt cx="7560309" cy="6793230"/>
                        </a:xfrm>
                      </wpg:grpSpPr>
                      <pic:pic>
                        <pic:nvPicPr>
                          <pic:cNvPr id="487" name="Image 487"/>
                          <pic:cNvPicPr/>
                        </pic:nvPicPr>
                        <pic:blipFill>
                          <a:blip r:embed="rId78" cstate="print"/>
                          <a:stretch>
                            <a:fillRect/>
                          </a:stretch>
                        </pic:blipFill>
                        <pic:spPr>
                          <a:xfrm>
                            <a:off x="2" y="0"/>
                            <a:ext cx="7559992" cy="3780002"/>
                          </a:xfrm>
                          <a:prstGeom prst="rect">
                            <a:avLst/>
                          </a:prstGeom>
                        </pic:spPr>
                      </pic:pic>
                      <wps:wsp>
                        <wps:cNvPr id="488" name="Graphic 488"/>
                        <wps:cNvSpPr/>
                        <wps:spPr>
                          <a:xfrm>
                            <a:off x="2" y="2610004"/>
                            <a:ext cx="7560309" cy="4183379"/>
                          </a:xfrm>
                          <a:custGeom>
                            <a:avLst/>
                            <a:gdLst/>
                            <a:ahLst/>
                            <a:cxnLst/>
                            <a:rect l="l" t="t" r="r" b="b"/>
                            <a:pathLst>
                              <a:path w="7560309" h="4183379">
                                <a:moveTo>
                                  <a:pt x="6840004" y="0"/>
                                </a:moveTo>
                                <a:lnTo>
                                  <a:pt x="0" y="0"/>
                                </a:lnTo>
                                <a:lnTo>
                                  <a:pt x="0" y="4182872"/>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489" name="Graphic 489"/>
                        <wps:cNvSpPr/>
                        <wps:spPr>
                          <a:xfrm>
                            <a:off x="900001" y="308470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490" name="Graphic 490"/>
                        <wps:cNvSpPr/>
                        <wps:spPr>
                          <a:xfrm>
                            <a:off x="900001" y="474435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491" name="Graphic 491"/>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492" name="Graphic 492"/>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2pt;width:595.3pt;height:534.9pt;mso-position-horizontal-relative:page;mso-position-vertical-relative:page;z-index:-19321344" id="docshapegroup387" coordorigin="0,0" coordsize="11906,10698">
                <v:shape style="position:absolute;left:0;top:0;width:11906;height:5953" type="#_x0000_t75" id="docshape388" stroked="false">
                  <v:imagedata r:id="rId78" o:title=""/>
                </v:shape>
                <v:shape style="position:absolute;left:0;top:4110;width:11906;height:6588" id="docshape389" coordorigin="0,4110" coordsize="11906,6588" path="m10772,4110l0,4110,0,10697,11906,10697,11906,4678,11846,4603,11798,4550,11749,4501,11697,4454,11642,4409,11586,4367,11527,4328,11467,4292,11404,4259,11340,4229,11274,4202,11206,4178,11137,4158,11066,4141,10994,4128,10921,4118,10847,4112,10772,4110xe" filled="true" fillcolor="#ffffff" stroked="false">
                  <v:path arrowok="t"/>
                  <v:fill type="solid"/>
                </v:shape>
                <v:line style="position:absolute" from="1417,4858" to="10885,4858" stroked="true" strokeweight="1pt" strokecolor="#36a9e1">
                  <v:stroke dashstyle="solid"/>
                </v:line>
                <v:line style="position:absolute" from="1417,7471" to="10885,7471" stroked="true" strokeweight="1pt" strokecolor="#36a9e1">
                  <v:stroke dashstyle="solid"/>
                </v:line>
                <v:shape style="position:absolute;left:0;top:0;width:11906;height:1819" id="docshape390"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Chapter 3: Human Rights and Equality Dev" w:id="75"/>
      <w:bookmarkEnd w:id="75"/>
      <w:r>
        <w:rPr/>
      </w:r>
      <w:bookmarkStart w:name="3.1 Introduction" w:id="76"/>
      <w:bookmarkEnd w:id="76"/>
      <w:r>
        <w:rPr/>
      </w:r>
      <w:bookmarkStart w:name="3.2 Background" w:id="77"/>
      <w:bookmarkEnd w:id="77"/>
      <w:r>
        <w:rPr/>
      </w:r>
      <w:bookmarkStart w:name="_bookmark31" w:id="78"/>
      <w:bookmarkEnd w:id="78"/>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53</w:t>
      </w:r>
    </w:p>
    <w:p>
      <w:pPr>
        <w:pStyle w:val="BodyText"/>
        <w:spacing w:before="40"/>
        <w:rPr>
          <w:b/>
          <w:sz w:val="52"/>
        </w:rPr>
      </w:pPr>
    </w:p>
    <w:p>
      <w:pPr>
        <w:spacing w:line="597" w:lineRule="exact" w:before="0"/>
        <w:ind w:left="1117" w:right="0" w:firstLine="0"/>
        <w:jc w:val="both"/>
        <w:rPr>
          <w:sz w:val="52"/>
        </w:rPr>
      </w:pPr>
      <w:r>
        <w:rPr>
          <w:color w:val="FFFFFF"/>
          <w:sz w:val="52"/>
        </w:rPr>
        <w:t>Chapter</w:t>
      </w:r>
      <w:r>
        <w:rPr>
          <w:color w:val="FFFFFF"/>
          <w:spacing w:val="-13"/>
          <w:sz w:val="52"/>
        </w:rPr>
        <w:t> </w:t>
      </w:r>
      <w:r>
        <w:rPr>
          <w:color w:val="FFFFFF"/>
          <w:spacing w:val="-5"/>
          <w:sz w:val="52"/>
        </w:rPr>
        <w:t>3:</w:t>
      </w:r>
    </w:p>
    <w:p>
      <w:pPr>
        <w:pStyle w:val="Heading1"/>
        <w:spacing w:line="211" w:lineRule="auto" w:before="22"/>
        <w:ind w:right="1158"/>
        <w:jc w:val="both"/>
      </w:pPr>
      <w:r>
        <w:rPr>
          <w:color w:val="FFFFFF"/>
        </w:rPr>
        <w:t>Human</w:t>
      </w:r>
      <w:r>
        <w:rPr>
          <w:color w:val="FFFFFF"/>
          <w:spacing w:val="-14"/>
        </w:rPr>
        <w:t> </w:t>
      </w:r>
      <w:r>
        <w:rPr>
          <w:color w:val="FFFFFF"/>
        </w:rPr>
        <w:t>Rights</w:t>
      </w:r>
      <w:r>
        <w:rPr>
          <w:color w:val="FFFFFF"/>
          <w:spacing w:val="-14"/>
        </w:rPr>
        <w:t> </w:t>
      </w:r>
      <w:r>
        <w:rPr>
          <w:color w:val="FFFFFF"/>
        </w:rPr>
        <w:t>and</w:t>
      </w:r>
      <w:r>
        <w:rPr>
          <w:color w:val="FFFFFF"/>
          <w:spacing w:val="-14"/>
        </w:rPr>
        <w:t> </w:t>
      </w:r>
      <w:r>
        <w:rPr>
          <w:color w:val="FFFFFF"/>
        </w:rPr>
        <w:t>Equality</w:t>
      </w:r>
      <w:r>
        <w:rPr>
          <w:color w:val="FFFFFF"/>
          <w:spacing w:val="-14"/>
        </w:rPr>
        <w:t> </w:t>
      </w:r>
      <w:r>
        <w:rPr>
          <w:color w:val="FFFFFF"/>
        </w:rPr>
        <w:t>Developments in Ireland since January 2022 and the Risk of Divergence</w:t>
      </w:r>
    </w:p>
    <w:p>
      <w:pPr>
        <w:pStyle w:val="Heading2"/>
        <w:numPr>
          <w:ilvl w:val="1"/>
          <w:numId w:val="21"/>
        </w:numPr>
        <w:tabs>
          <w:tab w:pos="1599" w:val="left" w:leader="none"/>
        </w:tabs>
        <w:spacing w:line="240" w:lineRule="auto" w:before="482" w:after="0"/>
        <w:ind w:left="1599" w:right="0" w:hanging="482"/>
        <w:jc w:val="left"/>
      </w:pPr>
      <w:r>
        <w:rPr>
          <w:color w:val="004A93"/>
          <w:spacing w:val="-2"/>
        </w:rPr>
        <w:t>Introduction</w:t>
      </w:r>
    </w:p>
    <w:p>
      <w:pPr>
        <w:pStyle w:val="BodyText"/>
        <w:spacing w:line="232" w:lineRule="auto" w:before="212"/>
        <w:ind w:left="1117" w:right="738"/>
      </w:pPr>
      <w:r>
        <w:rPr/>
        <w:t>This</w:t>
      </w:r>
      <w:r>
        <w:rPr>
          <w:spacing w:val="-6"/>
        </w:rPr>
        <w:t> </w:t>
      </w:r>
      <w:r>
        <w:rPr/>
        <w:t>chapter</w:t>
      </w:r>
      <w:r>
        <w:rPr>
          <w:spacing w:val="-5"/>
        </w:rPr>
        <w:t> </w:t>
      </w:r>
      <w:r>
        <w:rPr/>
        <w:t>examines</w:t>
      </w:r>
      <w:r>
        <w:rPr>
          <w:spacing w:val="-6"/>
        </w:rPr>
        <w:t> </w:t>
      </w:r>
      <w:r>
        <w:rPr/>
        <w:t>developments</w:t>
      </w:r>
      <w:r>
        <w:rPr>
          <w:spacing w:val="-6"/>
        </w:rPr>
        <w:t> </w:t>
      </w:r>
      <w:r>
        <w:rPr/>
        <w:t>in</w:t>
      </w:r>
      <w:r>
        <w:rPr>
          <w:spacing w:val="-6"/>
        </w:rPr>
        <w:t> </w:t>
      </w:r>
      <w:r>
        <w:rPr/>
        <w:t>human</w:t>
      </w:r>
      <w:r>
        <w:rPr>
          <w:spacing w:val="-6"/>
        </w:rPr>
        <w:t> </w:t>
      </w:r>
      <w:r>
        <w:rPr/>
        <w:t>rights</w:t>
      </w:r>
      <w:r>
        <w:rPr>
          <w:spacing w:val="-6"/>
        </w:rPr>
        <w:t> </w:t>
      </w:r>
      <w:r>
        <w:rPr/>
        <w:t>and</w:t>
      </w:r>
      <w:r>
        <w:rPr>
          <w:spacing w:val="-6"/>
        </w:rPr>
        <w:t> </w:t>
      </w:r>
      <w:r>
        <w:rPr/>
        <w:t>equality</w:t>
      </w:r>
      <w:r>
        <w:rPr>
          <w:spacing w:val="-5"/>
        </w:rPr>
        <w:t> </w:t>
      </w:r>
      <w:r>
        <w:rPr/>
        <w:t>in</w:t>
      </w:r>
      <w:r>
        <w:rPr>
          <w:spacing w:val="-6"/>
        </w:rPr>
        <w:t> </w:t>
      </w:r>
      <w:r>
        <w:rPr/>
        <w:t>Ireland</w:t>
      </w:r>
      <w:r>
        <w:rPr>
          <w:spacing w:val="-6"/>
        </w:rPr>
        <w:t> </w:t>
      </w:r>
      <w:r>
        <w:rPr/>
        <w:t>since January 2022. It examines measures relevant to the scope of Article 2 WF and in particular measures relating to equality. The chapter highlights important areas especially in relation to the reform of equality legislation where there is a risk of divergence in the protection of rights and equality.</w:t>
      </w:r>
    </w:p>
    <w:p>
      <w:pPr>
        <w:pStyle w:val="BodyText"/>
        <w:spacing w:before="12"/>
      </w:pPr>
    </w:p>
    <w:p>
      <w:pPr>
        <w:pStyle w:val="Heading2"/>
        <w:numPr>
          <w:ilvl w:val="1"/>
          <w:numId w:val="21"/>
        </w:numPr>
        <w:tabs>
          <w:tab w:pos="1599" w:val="left" w:leader="none"/>
        </w:tabs>
        <w:spacing w:line="240" w:lineRule="auto" w:before="0" w:after="0"/>
        <w:ind w:left="1599" w:right="0" w:hanging="482"/>
        <w:jc w:val="left"/>
      </w:pPr>
      <w:r>
        <w:rPr>
          <w:color w:val="004A93"/>
          <w:spacing w:val="-2"/>
        </w:rPr>
        <w:t>Background</w:t>
      </w:r>
    </w:p>
    <w:p>
      <w:pPr>
        <w:pStyle w:val="BodyText"/>
        <w:spacing w:line="232" w:lineRule="auto" w:before="212"/>
        <w:ind w:left="1117" w:right="805"/>
      </w:pPr>
      <w:r>
        <w:rPr/>
        <w:t>Ireland has introduced, is introducing or is considering the introduction of numerous</w:t>
      </w:r>
      <w:r>
        <w:rPr>
          <w:spacing w:val="-6"/>
        </w:rPr>
        <w:t> </w:t>
      </w:r>
      <w:r>
        <w:rPr/>
        <w:t>reforms</w:t>
      </w:r>
      <w:r>
        <w:rPr>
          <w:spacing w:val="-6"/>
        </w:rPr>
        <w:t> </w:t>
      </w:r>
      <w:r>
        <w:rPr/>
        <w:t>in</w:t>
      </w:r>
      <w:r>
        <w:rPr>
          <w:spacing w:val="-6"/>
        </w:rPr>
        <w:t> </w:t>
      </w:r>
      <w:r>
        <w:rPr/>
        <w:t>relation</w:t>
      </w:r>
      <w:r>
        <w:rPr>
          <w:spacing w:val="-6"/>
        </w:rPr>
        <w:t> </w:t>
      </w:r>
      <w:r>
        <w:rPr/>
        <w:t>to</w:t>
      </w:r>
      <w:r>
        <w:rPr>
          <w:spacing w:val="-6"/>
        </w:rPr>
        <w:t> </w:t>
      </w:r>
      <w:r>
        <w:rPr/>
        <w:t>human</w:t>
      </w:r>
      <w:r>
        <w:rPr>
          <w:spacing w:val="-6"/>
        </w:rPr>
        <w:t> </w:t>
      </w:r>
      <w:r>
        <w:rPr/>
        <w:t>rights</w:t>
      </w:r>
      <w:r>
        <w:rPr>
          <w:spacing w:val="-6"/>
        </w:rPr>
        <w:t> </w:t>
      </w:r>
      <w:r>
        <w:rPr/>
        <w:t>and</w:t>
      </w:r>
      <w:r>
        <w:rPr>
          <w:spacing w:val="-6"/>
        </w:rPr>
        <w:t> </w:t>
      </w:r>
      <w:r>
        <w:rPr/>
        <w:t>equality</w:t>
      </w:r>
      <w:r>
        <w:rPr>
          <w:spacing w:val="-5"/>
        </w:rPr>
        <w:t> </w:t>
      </w:r>
      <w:r>
        <w:rPr/>
        <w:t>during</w:t>
      </w:r>
      <w:r>
        <w:rPr>
          <w:spacing w:val="-5"/>
        </w:rPr>
        <w:t> </w:t>
      </w:r>
      <w:r>
        <w:rPr/>
        <w:t>the</w:t>
      </w:r>
      <w:r>
        <w:rPr>
          <w:spacing w:val="-5"/>
        </w:rPr>
        <w:t> </w:t>
      </w:r>
      <w:r>
        <w:rPr/>
        <w:t>period</w:t>
      </w:r>
      <w:r>
        <w:rPr>
          <w:spacing w:val="-6"/>
        </w:rPr>
        <w:t> </w:t>
      </w:r>
      <w:r>
        <w:rPr/>
        <w:t>since 1 January 2022.</w:t>
      </w:r>
    </w:p>
    <w:p>
      <w:pPr>
        <w:pStyle w:val="BodyText"/>
        <w:spacing w:line="232" w:lineRule="auto" w:before="279"/>
        <w:ind w:left="1117" w:right="738"/>
      </w:pPr>
      <w:r>
        <w:rPr/>
        <w:t>Some</w:t>
      </w:r>
      <w:r>
        <w:rPr>
          <w:spacing w:val="-4"/>
        </w:rPr>
        <w:t> </w:t>
      </w:r>
      <w:r>
        <w:rPr/>
        <w:t>of</w:t>
      </w:r>
      <w:r>
        <w:rPr>
          <w:spacing w:val="-5"/>
        </w:rPr>
        <w:t> </w:t>
      </w:r>
      <w:r>
        <w:rPr/>
        <w:t>these</w:t>
      </w:r>
      <w:r>
        <w:rPr>
          <w:spacing w:val="-4"/>
        </w:rPr>
        <w:t> </w:t>
      </w:r>
      <w:r>
        <w:rPr/>
        <w:t>reforms</w:t>
      </w:r>
      <w:r>
        <w:rPr>
          <w:spacing w:val="-5"/>
        </w:rPr>
        <w:t> </w:t>
      </w:r>
      <w:r>
        <w:rPr/>
        <w:t>relate</w:t>
      </w:r>
      <w:r>
        <w:rPr>
          <w:spacing w:val="-4"/>
        </w:rPr>
        <w:t> </w:t>
      </w:r>
      <w:r>
        <w:rPr/>
        <w:t>to</w:t>
      </w:r>
      <w:r>
        <w:rPr>
          <w:spacing w:val="-5"/>
        </w:rPr>
        <w:t> </w:t>
      </w:r>
      <w:r>
        <w:rPr/>
        <w:t>the</w:t>
      </w:r>
      <w:r>
        <w:rPr>
          <w:spacing w:val="-4"/>
        </w:rPr>
        <w:t> </w:t>
      </w:r>
      <w:r>
        <w:rPr/>
        <w:t>EU</w:t>
      </w:r>
      <w:r>
        <w:rPr>
          <w:spacing w:val="-4"/>
        </w:rPr>
        <w:t> </w:t>
      </w:r>
      <w:r>
        <w:rPr/>
        <w:t>laws</w:t>
      </w:r>
      <w:r>
        <w:rPr>
          <w:spacing w:val="-5"/>
        </w:rPr>
        <w:t> </w:t>
      </w:r>
      <w:r>
        <w:rPr/>
        <w:t>falling</w:t>
      </w:r>
      <w:r>
        <w:rPr>
          <w:spacing w:val="-4"/>
        </w:rPr>
        <w:t> </w:t>
      </w:r>
      <w:r>
        <w:rPr/>
        <w:t>under</w:t>
      </w:r>
      <w:r>
        <w:rPr>
          <w:spacing w:val="-4"/>
        </w:rPr>
        <w:t> </w:t>
      </w:r>
      <w:r>
        <w:rPr/>
        <w:t>the</w:t>
      </w:r>
      <w:r>
        <w:rPr>
          <w:spacing w:val="-4"/>
        </w:rPr>
        <w:t> </w:t>
      </w:r>
      <w:r>
        <w:rPr/>
        <w:t>scope</w:t>
      </w:r>
      <w:r>
        <w:rPr>
          <w:spacing w:val="-4"/>
        </w:rPr>
        <w:t> </w:t>
      </w:r>
      <w:r>
        <w:rPr/>
        <w:t>of</w:t>
      </w:r>
      <w:r>
        <w:rPr>
          <w:spacing w:val="-5"/>
        </w:rPr>
        <w:t> </w:t>
      </w:r>
      <w:r>
        <w:rPr/>
        <w:t>Article</w:t>
      </w:r>
      <w:r>
        <w:rPr>
          <w:spacing w:val="-4"/>
        </w:rPr>
        <w:t> </w:t>
      </w:r>
      <w:r>
        <w:rPr/>
        <w:t>2</w:t>
      </w:r>
      <w:r>
        <w:rPr>
          <w:spacing w:val="-4"/>
        </w:rPr>
        <w:t> </w:t>
      </w:r>
      <w:r>
        <w:rPr/>
        <w:t>WF in different ways. Some of these reforms in Ireland relate to the Annex 1 equality directives; others relate to EU laws which applied in Northern Ireland prior to</w:t>
      </w:r>
    </w:p>
    <w:p>
      <w:pPr>
        <w:pStyle w:val="BodyText"/>
        <w:spacing w:line="232" w:lineRule="auto"/>
        <w:ind w:left="1117" w:right="971"/>
      </w:pPr>
      <w:r>
        <w:rPr/>
        <w:t>the UK’s exit from the European Union. Some of the Irish reforms relate to new or proposed EU measures. Many other reforms are based on other international standards or form part of a wider reform process not tied to EU or international law.</w:t>
      </w:r>
      <w:r>
        <w:rPr>
          <w:spacing w:val="-9"/>
        </w:rPr>
        <w:t> </w:t>
      </w:r>
      <w:r>
        <w:rPr/>
        <w:t>In</w:t>
      </w:r>
      <w:r>
        <w:rPr>
          <w:spacing w:val="-9"/>
        </w:rPr>
        <w:t> </w:t>
      </w:r>
      <w:r>
        <w:rPr/>
        <w:t>many</w:t>
      </w:r>
      <w:r>
        <w:rPr>
          <w:spacing w:val="-8"/>
        </w:rPr>
        <w:t> </w:t>
      </w:r>
      <w:r>
        <w:rPr/>
        <w:t>cases</w:t>
      </w:r>
      <w:r>
        <w:rPr>
          <w:spacing w:val="-9"/>
        </w:rPr>
        <w:t> </w:t>
      </w:r>
      <w:r>
        <w:rPr/>
        <w:t>the</w:t>
      </w:r>
      <w:r>
        <w:rPr>
          <w:spacing w:val="-8"/>
        </w:rPr>
        <w:t> </w:t>
      </w:r>
      <w:r>
        <w:rPr/>
        <w:t>reforms</w:t>
      </w:r>
      <w:r>
        <w:rPr>
          <w:spacing w:val="-9"/>
        </w:rPr>
        <w:t> </w:t>
      </w:r>
      <w:r>
        <w:rPr/>
        <w:t>or</w:t>
      </w:r>
      <w:r>
        <w:rPr>
          <w:spacing w:val="-8"/>
        </w:rPr>
        <w:t> </w:t>
      </w:r>
      <w:r>
        <w:rPr/>
        <w:t>proposed</w:t>
      </w:r>
      <w:r>
        <w:rPr>
          <w:spacing w:val="-9"/>
        </w:rPr>
        <w:t> </w:t>
      </w:r>
      <w:r>
        <w:rPr/>
        <w:t>reforms</w:t>
      </w:r>
      <w:r>
        <w:rPr>
          <w:spacing w:val="-9"/>
        </w:rPr>
        <w:t> </w:t>
      </w:r>
      <w:r>
        <w:rPr/>
        <w:t>highlight</w:t>
      </w:r>
      <w:r>
        <w:rPr>
          <w:spacing w:val="-8"/>
        </w:rPr>
        <w:t> </w:t>
      </w:r>
      <w:r>
        <w:rPr/>
        <w:t>a</w:t>
      </w:r>
      <w:r>
        <w:rPr>
          <w:spacing w:val="-9"/>
        </w:rPr>
        <w:t> </w:t>
      </w:r>
      <w:r>
        <w:rPr/>
        <w:t>risk</w:t>
      </w:r>
      <w:r>
        <w:rPr>
          <w:spacing w:val="-8"/>
        </w:rPr>
        <w:t> </w:t>
      </w:r>
      <w:r>
        <w:rPr/>
        <w:t>of</w:t>
      </w:r>
      <w:r>
        <w:rPr>
          <w:spacing w:val="-9"/>
        </w:rPr>
        <w:t> </w:t>
      </w:r>
      <w:r>
        <w:rPr/>
        <w:t>divergence in how human rights and equality are protected in Ireland and Northern Ireland; they also represent opportunities to consider possible reforms to the law in Northern Ireland.</w:t>
      </w:r>
    </w:p>
    <w:p>
      <w:pPr>
        <w:pStyle w:val="BodyText"/>
        <w:spacing w:line="232" w:lineRule="auto" w:before="268"/>
        <w:ind w:left="1117" w:right="738"/>
      </w:pPr>
      <w:r>
        <w:rPr/>
        <w:t>A convenient starting place is the programme agreed by the coalition government in</w:t>
      </w:r>
      <w:r>
        <w:rPr>
          <w:spacing w:val="-2"/>
        </w:rPr>
        <w:t> </w:t>
      </w:r>
      <w:r>
        <w:rPr/>
        <w:t>Ireland</w:t>
      </w:r>
      <w:r>
        <w:rPr>
          <w:spacing w:val="-2"/>
        </w:rPr>
        <w:t> </w:t>
      </w:r>
      <w:r>
        <w:rPr/>
        <w:t>after</w:t>
      </w:r>
      <w:r>
        <w:rPr>
          <w:spacing w:val="-1"/>
        </w:rPr>
        <w:t> </w:t>
      </w:r>
      <w:r>
        <w:rPr/>
        <w:t>the</w:t>
      </w:r>
      <w:r>
        <w:rPr>
          <w:spacing w:val="-1"/>
        </w:rPr>
        <w:t> </w:t>
      </w:r>
      <w:r>
        <w:rPr/>
        <w:t>2020</w:t>
      </w:r>
      <w:r>
        <w:rPr>
          <w:spacing w:val="-1"/>
        </w:rPr>
        <w:t> </w:t>
      </w:r>
      <w:r>
        <w:rPr/>
        <w:t>general</w:t>
      </w:r>
      <w:r>
        <w:rPr>
          <w:spacing w:val="-2"/>
        </w:rPr>
        <w:t> </w:t>
      </w:r>
      <w:r>
        <w:rPr/>
        <w:t>election:</w:t>
      </w:r>
      <w:r>
        <w:rPr>
          <w:spacing w:val="-2"/>
        </w:rPr>
        <w:t> </w:t>
      </w:r>
      <w:r>
        <w:rPr>
          <w:i/>
        </w:rPr>
        <w:t>Programme</w:t>
      </w:r>
      <w:r>
        <w:rPr>
          <w:i/>
          <w:spacing w:val="-1"/>
        </w:rPr>
        <w:t> </w:t>
      </w:r>
      <w:r>
        <w:rPr>
          <w:i/>
        </w:rPr>
        <w:t>for</w:t>
      </w:r>
      <w:r>
        <w:rPr>
          <w:i/>
          <w:spacing w:val="-1"/>
        </w:rPr>
        <w:t> </w:t>
      </w:r>
      <w:r>
        <w:rPr>
          <w:i/>
        </w:rPr>
        <w:t>Government:</w:t>
      </w:r>
      <w:r>
        <w:rPr>
          <w:i/>
          <w:spacing w:val="-1"/>
        </w:rPr>
        <w:t> </w:t>
      </w:r>
      <w:r>
        <w:rPr>
          <w:i/>
        </w:rPr>
        <w:t>Our</w:t>
      </w:r>
      <w:r>
        <w:rPr>
          <w:i/>
          <w:spacing w:val="-1"/>
        </w:rPr>
        <w:t> </w:t>
      </w:r>
      <w:r>
        <w:rPr>
          <w:i/>
        </w:rPr>
        <w:t>Shared</w:t>
      </w:r>
      <w:r>
        <w:rPr>
          <w:i/>
        </w:rPr>
        <w:t> Future</w:t>
      </w:r>
      <w:r>
        <w:rPr/>
        <w:t>.</w:t>
      </w:r>
      <w:r>
        <w:rPr>
          <w:vertAlign w:val="superscript"/>
        </w:rPr>
        <w:t>274</w:t>
      </w:r>
      <w:r>
        <w:rPr>
          <w:vertAlign w:val="baseline"/>
        </w:rPr>
        <w:t> This was adopted during the COVID19 pandemic and contains numerous commitments</w:t>
      </w:r>
      <w:r>
        <w:rPr>
          <w:spacing w:val="-7"/>
          <w:vertAlign w:val="baseline"/>
        </w:rPr>
        <w:t> </w:t>
      </w:r>
      <w:r>
        <w:rPr>
          <w:vertAlign w:val="baseline"/>
        </w:rPr>
        <w:t>on</w:t>
      </w:r>
      <w:r>
        <w:rPr>
          <w:spacing w:val="-7"/>
          <w:vertAlign w:val="baseline"/>
        </w:rPr>
        <w:t> </w:t>
      </w:r>
      <w:r>
        <w:rPr>
          <w:vertAlign w:val="baseline"/>
        </w:rPr>
        <w:t>economic</w:t>
      </w:r>
      <w:r>
        <w:rPr>
          <w:spacing w:val="-6"/>
          <w:vertAlign w:val="baseline"/>
        </w:rPr>
        <w:t> </w:t>
      </w:r>
      <w:r>
        <w:rPr>
          <w:vertAlign w:val="baseline"/>
        </w:rPr>
        <w:t>and</w:t>
      </w:r>
      <w:r>
        <w:rPr>
          <w:spacing w:val="-7"/>
          <w:vertAlign w:val="baseline"/>
        </w:rPr>
        <w:t> </w:t>
      </w:r>
      <w:r>
        <w:rPr>
          <w:vertAlign w:val="baseline"/>
        </w:rPr>
        <w:t>political</w:t>
      </w:r>
      <w:r>
        <w:rPr>
          <w:spacing w:val="-7"/>
          <w:vertAlign w:val="baseline"/>
        </w:rPr>
        <w:t> </w:t>
      </w:r>
      <w:r>
        <w:rPr>
          <w:vertAlign w:val="baseline"/>
        </w:rPr>
        <w:t>reform,</w:t>
      </w:r>
      <w:r>
        <w:rPr>
          <w:spacing w:val="-6"/>
          <w:vertAlign w:val="baseline"/>
        </w:rPr>
        <w:t> </w:t>
      </w:r>
      <w:r>
        <w:rPr>
          <w:vertAlign w:val="baseline"/>
        </w:rPr>
        <w:t>including</w:t>
      </w:r>
      <w:r>
        <w:rPr>
          <w:spacing w:val="-6"/>
          <w:vertAlign w:val="baseline"/>
        </w:rPr>
        <w:t> </w:t>
      </w:r>
      <w:r>
        <w:rPr>
          <w:vertAlign w:val="baseline"/>
        </w:rPr>
        <w:t>a</w:t>
      </w:r>
      <w:r>
        <w:rPr>
          <w:spacing w:val="-7"/>
          <w:vertAlign w:val="baseline"/>
        </w:rPr>
        <w:t> </w:t>
      </w:r>
      <w:r>
        <w:rPr>
          <w:vertAlign w:val="baseline"/>
        </w:rPr>
        <w:t>commitment</w:t>
      </w:r>
      <w:r>
        <w:rPr>
          <w:spacing w:val="-6"/>
          <w:vertAlign w:val="baseline"/>
        </w:rPr>
        <w:t> </w:t>
      </w:r>
      <w:r>
        <w:rPr>
          <w:vertAlign w:val="baseline"/>
        </w:rPr>
        <w:t>to</w:t>
      </w:r>
      <w:r>
        <w:rPr>
          <w:spacing w:val="-7"/>
          <w:vertAlign w:val="baseline"/>
        </w:rPr>
        <w:t> </w:t>
      </w:r>
      <w:r>
        <w:rPr>
          <w:vertAlign w:val="baseline"/>
        </w:rPr>
        <w:t>deliver ‘equality within society’.</w:t>
      </w:r>
      <w:r>
        <w:rPr>
          <w:vertAlign w:val="superscript"/>
        </w:rPr>
        <w:t>275</w:t>
      </w:r>
    </w:p>
    <w:p>
      <w:pPr>
        <w:pStyle w:val="BodyText"/>
        <w:spacing w:line="232" w:lineRule="auto" w:before="276"/>
        <w:ind w:left="1117" w:right="1087"/>
      </w:pPr>
      <w:r>
        <w:rPr/>
        <w:t>The Programme has several sections on equality issues. On immigration, it promises</w:t>
      </w:r>
      <w:r>
        <w:rPr>
          <w:spacing w:val="-7"/>
        </w:rPr>
        <w:t> </w:t>
      </w:r>
      <w:r>
        <w:rPr/>
        <w:t>to</w:t>
      </w:r>
      <w:r>
        <w:rPr>
          <w:spacing w:val="-7"/>
        </w:rPr>
        <w:t> </w:t>
      </w:r>
      <w:r>
        <w:rPr/>
        <w:t>address</w:t>
      </w:r>
      <w:r>
        <w:rPr>
          <w:spacing w:val="-7"/>
        </w:rPr>
        <w:t> </w:t>
      </w:r>
      <w:r>
        <w:rPr/>
        <w:t>the</w:t>
      </w:r>
      <w:r>
        <w:rPr>
          <w:spacing w:val="-6"/>
        </w:rPr>
        <w:t> </w:t>
      </w:r>
      <w:r>
        <w:rPr/>
        <w:t>position</w:t>
      </w:r>
      <w:r>
        <w:rPr>
          <w:spacing w:val="-7"/>
        </w:rPr>
        <w:t> </w:t>
      </w:r>
      <w:r>
        <w:rPr/>
        <w:t>of</w:t>
      </w:r>
      <w:r>
        <w:rPr>
          <w:spacing w:val="-7"/>
        </w:rPr>
        <w:t> </w:t>
      </w:r>
      <w:r>
        <w:rPr/>
        <w:t>long-term</w:t>
      </w:r>
      <w:r>
        <w:rPr>
          <w:spacing w:val="-6"/>
        </w:rPr>
        <w:t> </w:t>
      </w:r>
      <w:r>
        <w:rPr/>
        <w:t>undocumented</w:t>
      </w:r>
      <w:r>
        <w:rPr>
          <w:spacing w:val="-7"/>
        </w:rPr>
        <w:t> </w:t>
      </w:r>
      <w:r>
        <w:rPr/>
        <w:t>persons</w:t>
      </w:r>
      <w:r>
        <w:rPr>
          <w:spacing w:val="-7"/>
        </w:rPr>
        <w:t> </w:t>
      </w:r>
      <w:r>
        <w:rPr/>
        <w:t>and</w:t>
      </w:r>
      <w:r>
        <w:rPr>
          <w:spacing w:val="-7"/>
        </w:rPr>
        <w:t> </w:t>
      </w:r>
      <w:r>
        <w:rPr/>
        <w:t>their</w:t>
      </w:r>
    </w:p>
    <w:p>
      <w:pPr>
        <w:pStyle w:val="BodyText"/>
        <w:spacing w:before="66"/>
        <w:rPr>
          <w:sz w:val="20"/>
        </w:rPr>
      </w:pPr>
      <w:r>
        <w:rPr/>
        <mc:AlternateContent>
          <mc:Choice Requires="wps">
            <w:drawing>
              <wp:anchor distT="0" distB="0" distL="0" distR="0" allowOverlap="1" layoutInCell="1" locked="0" behindDoc="1" simplePos="0" relativeHeight="487677952">
                <wp:simplePos x="0" y="0"/>
                <wp:positionH relativeFrom="page">
                  <wp:posOffset>899999</wp:posOffset>
                </wp:positionH>
                <wp:positionV relativeFrom="paragraph">
                  <wp:posOffset>212201</wp:posOffset>
                </wp:positionV>
                <wp:extent cx="6012180" cy="1270"/>
                <wp:effectExtent l="0" t="0" r="0" b="0"/>
                <wp:wrapTopAndBottom/>
                <wp:docPr id="493" name="Graphic 493"/>
                <wp:cNvGraphicFramePr>
                  <a:graphicFrameLocks/>
                </wp:cNvGraphicFramePr>
                <a:graphic>
                  <a:graphicData uri="http://schemas.microsoft.com/office/word/2010/wordprocessingShape">
                    <wps:wsp>
                      <wps:cNvPr id="493" name="Graphic 49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6.708817pt;width:473.4pt;height:.1pt;mso-position-horizontal-relative:page;mso-position-vertical-relative:paragraph;z-index:-15638528;mso-wrap-distance-left:0;mso-wrap-distance-right:0" id="docshape391" coordorigin="1417,334" coordsize="9468,0" path="m1417,334l10885,334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0" w:hanging="567"/>
        <w:jc w:val="left"/>
        <w:rPr>
          <w:sz w:val="18"/>
        </w:rPr>
      </w:pPr>
      <w:r>
        <w:rPr>
          <w:sz w:val="18"/>
        </w:rPr>
        <w:t>Government</w:t>
      </w:r>
      <w:r>
        <w:rPr>
          <w:spacing w:val="-7"/>
          <w:sz w:val="18"/>
        </w:rPr>
        <w:t> </w:t>
      </w:r>
      <w:r>
        <w:rPr>
          <w:sz w:val="18"/>
        </w:rPr>
        <w:t>of</w:t>
      </w:r>
      <w:r>
        <w:rPr>
          <w:spacing w:val="-5"/>
          <w:sz w:val="18"/>
        </w:rPr>
        <w:t> </w:t>
      </w:r>
      <w:r>
        <w:rPr>
          <w:sz w:val="18"/>
        </w:rPr>
        <w:t>Ireland,</w:t>
      </w:r>
      <w:r>
        <w:rPr>
          <w:spacing w:val="-4"/>
          <w:sz w:val="18"/>
        </w:rPr>
        <w:t> </w:t>
      </w:r>
      <w:r>
        <w:rPr>
          <w:color w:val="1D71B8"/>
          <w:sz w:val="18"/>
          <w:u w:val="single" w:color="1D71B8"/>
        </w:rPr>
        <w:t>Programme</w:t>
      </w:r>
      <w:r>
        <w:rPr>
          <w:color w:val="1D71B8"/>
          <w:spacing w:val="-5"/>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Government:</w:t>
      </w:r>
      <w:r>
        <w:rPr>
          <w:color w:val="1D71B8"/>
          <w:spacing w:val="-4"/>
          <w:sz w:val="18"/>
          <w:u w:val="single" w:color="1D71B8"/>
        </w:rPr>
        <w:t> </w:t>
      </w:r>
      <w:r>
        <w:rPr>
          <w:color w:val="1D71B8"/>
          <w:sz w:val="18"/>
          <w:u w:val="single" w:color="1D71B8"/>
        </w:rPr>
        <w:t>Our</w:t>
      </w:r>
      <w:r>
        <w:rPr>
          <w:color w:val="1D71B8"/>
          <w:spacing w:val="-4"/>
          <w:sz w:val="18"/>
          <w:u w:val="single" w:color="1D71B8"/>
        </w:rPr>
        <w:t> </w:t>
      </w:r>
      <w:r>
        <w:rPr>
          <w:color w:val="1D71B8"/>
          <w:sz w:val="18"/>
          <w:u w:val="single" w:color="1D71B8"/>
        </w:rPr>
        <w:t>Shared</w:t>
      </w:r>
      <w:r>
        <w:rPr>
          <w:color w:val="1D71B8"/>
          <w:spacing w:val="-6"/>
          <w:sz w:val="18"/>
          <w:u w:val="single" w:color="1D71B8"/>
        </w:rPr>
        <w:t> </w:t>
      </w:r>
      <w:r>
        <w:rPr>
          <w:color w:val="1D71B8"/>
          <w:sz w:val="18"/>
          <w:u w:val="single" w:color="1D71B8"/>
        </w:rPr>
        <w:t>Future</w:t>
      </w:r>
      <w:r>
        <w:rPr>
          <w:color w:val="1D71B8"/>
          <w:spacing w:val="-5"/>
          <w:sz w:val="18"/>
          <w:u w:val="none"/>
        </w:rPr>
        <w:t> </w:t>
      </w:r>
      <w:r>
        <w:rPr>
          <w:sz w:val="18"/>
          <w:u w:val="none"/>
        </w:rPr>
        <w:t>(29</w:t>
      </w:r>
      <w:r>
        <w:rPr>
          <w:spacing w:val="-4"/>
          <w:sz w:val="18"/>
          <w:u w:val="none"/>
        </w:rPr>
        <w:t> </w:t>
      </w:r>
      <w:r>
        <w:rPr>
          <w:sz w:val="18"/>
          <w:u w:val="none"/>
        </w:rPr>
        <w:t>October</w:t>
      </w:r>
      <w:r>
        <w:rPr>
          <w:spacing w:val="-4"/>
          <w:sz w:val="18"/>
          <w:u w:val="none"/>
        </w:rPr>
        <w:t> </w:t>
      </w:r>
      <w:r>
        <w:rPr>
          <w:spacing w:val="-2"/>
          <w:sz w:val="18"/>
          <w:u w:val="none"/>
        </w:rPr>
        <w:t>2020).</w:t>
      </w:r>
    </w:p>
    <w:p>
      <w:pPr>
        <w:pStyle w:val="ListParagraph"/>
        <w:numPr>
          <w:ilvl w:val="0"/>
          <w:numId w:val="18"/>
        </w:numPr>
        <w:tabs>
          <w:tab w:pos="1684" w:val="left" w:leader="none"/>
        </w:tabs>
        <w:spacing w:line="240" w:lineRule="auto" w:before="1" w:after="0"/>
        <w:ind w:left="1684" w:right="0" w:hanging="567"/>
        <w:jc w:val="left"/>
        <w:rPr>
          <w:sz w:val="18"/>
        </w:rPr>
      </w:pPr>
      <w:r>
        <w:rPr>
          <w:sz w:val="18"/>
        </w:rPr>
        <w:t>Ibid., </w:t>
      </w:r>
      <w:r>
        <w:rPr>
          <w:spacing w:val="-5"/>
          <w:sz w:val="18"/>
        </w:rPr>
        <w:t>6.</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96160">
                <wp:simplePos x="0" y="0"/>
                <wp:positionH relativeFrom="page">
                  <wp:posOffset>0</wp:posOffset>
                </wp:positionH>
                <wp:positionV relativeFrom="page">
                  <wp:posOffset>0</wp:posOffset>
                </wp:positionV>
                <wp:extent cx="7560309" cy="1155065"/>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7560309" cy="1155065"/>
                          <a:chExt cx="7560309" cy="1155065"/>
                        </a:xfrm>
                      </wpg:grpSpPr>
                      <wps:wsp>
                        <wps:cNvPr id="495" name="Graphic 49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496" name="Graphic 49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20320" id="docshapegroup392" coordorigin="0,0" coordsize="11906,1819">
                <v:shape style="position:absolute;left:0;top:0;width:11906;height:1819" id="docshape393"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54</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385"/>
      </w:pPr>
      <w:r>
        <w:rPr/>
        <w:t>dependents, to</w:t>
      </w:r>
      <w:r>
        <w:rPr>
          <w:spacing w:val="-1"/>
        </w:rPr>
        <w:t> </w:t>
      </w:r>
      <w:r>
        <w:rPr/>
        <w:t>publish</w:t>
      </w:r>
      <w:r>
        <w:rPr>
          <w:spacing w:val="-1"/>
        </w:rPr>
        <w:t> </w:t>
      </w:r>
      <w:r>
        <w:rPr/>
        <w:t>a</w:t>
      </w:r>
      <w:r>
        <w:rPr>
          <w:spacing w:val="-1"/>
        </w:rPr>
        <w:t> </w:t>
      </w:r>
      <w:r>
        <w:rPr/>
        <w:t>new Action</w:t>
      </w:r>
      <w:r>
        <w:rPr>
          <w:spacing w:val="-1"/>
        </w:rPr>
        <w:t> </w:t>
      </w:r>
      <w:r>
        <w:rPr/>
        <w:t>Plan</w:t>
      </w:r>
      <w:r>
        <w:rPr>
          <w:spacing w:val="-1"/>
        </w:rPr>
        <w:t> </w:t>
      </w:r>
      <w:r>
        <w:rPr/>
        <w:t>against Racism, to</w:t>
      </w:r>
      <w:r>
        <w:rPr>
          <w:spacing w:val="-1"/>
        </w:rPr>
        <w:t> </w:t>
      </w:r>
      <w:r>
        <w:rPr/>
        <w:t>develop</w:t>
      </w:r>
      <w:r>
        <w:rPr>
          <w:spacing w:val="-1"/>
        </w:rPr>
        <w:t> </w:t>
      </w:r>
      <w:r>
        <w:rPr/>
        <w:t>a</w:t>
      </w:r>
      <w:r>
        <w:rPr>
          <w:spacing w:val="-1"/>
        </w:rPr>
        <w:t> </w:t>
      </w:r>
      <w:r>
        <w:rPr/>
        <w:t>Migration Integration</w:t>
      </w:r>
      <w:r>
        <w:rPr>
          <w:spacing w:val="-10"/>
        </w:rPr>
        <w:t> </w:t>
      </w:r>
      <w:r>
        <w:rPr/>
        <w:t>Strategy,</w:t>
      </w:r>
      <w:r>
        <w:rPr>
          <w:spacing w:val="-10"/>
        </w:rPr>
        <w:t> </w:t>
      </w:r>
      <w:r>
        <w:rPr/>
        <w:t>to</w:t>
      </w:r>
      <w:r>
        <w:rPr>
          <w:spacing w:val="-10"/>
        </w:rPr>
        <w:t> </w:t>
      </w:r>
      <w:r>
        <w:rPr/>
        <w:t>implement</w:t>
      </w:r>
      <w:r>
        <w:rPr>
          <w:spacing w:val="-10"/>
        </w:rPr>
        <w:t> </w:t>
      </w:r>
      <w:r>
        <w:rPr/>
        <w:t>EU</w:t>
      </w:r>
      <w:r>
        <w:rPr>
          <w:spacing w:val="-10"/>
        </w:rPr>
        <w:t> </w:t>
      </w:r>
      <w:r>
        <w:rPr/>
        <w:t>and</w:t>
      </w:r>
      <w:r>
        <w:rPr>
          <w:spacing w:val="-10"/>
        </w:rPr>
        <w:t> </w:t>
      </w:r>
      <w:r>
        <w:rPr/>
        <w:t>UN</w:t>
      </w:r>
      <w:r>
        <w:rPr>
          <w:spacing w:val="-10"/>
        </w:rPr>
        <w:t> </w:t>
      </w:r>
      <w:r>
        <w:rPr/>
        <w:t>standards</w:t>
      </w:r>
      <w:r>
        <w:rPr>
          <w:spacing w:val="-10"/>
        </w:rPr>
        <w:t> </w:t>
      </w:r>
      <w:r>
        <w:rPr/>
        <w:t>on</w:t>
      </w:r>
      <w:r>
        <w:rPr>
          <w:spacing w:val="-10"/>
        </w:rPr>
        <w:t> </w:t>
      </w:r>
      <w:r>
        <w:rPr/>
        <w:t>trafficking</w:t>
      </w:r>
      <w:r>
        <w:rPr>
          <w:spacing w:val="-10"/>
        </w:rPr>
        <w:t> </w:t>
      </w:r>
      <w:r>
        <w:rPr/>
        <w:t>and</w:t>
      </w:r>
      <w:r>
        <w:rPr>
          <w:spacing w:val="-10"/>
        </w:rPr>
        <w:t> </w:t>
      </w:r>
      <w:r>
        <w:rPr/>
        <w:t>to</w:t>
      </w:r>
      <w:r>
        <w:rPr>
          <w:spacing w:val="-10"/>
        </w:rPr>
        <w:t> </w:t>
      </w:r>
      <w:r>
        <w:rPr/>
        <w:t>end Direct Provision.</w:t>
      </w:r>
      <w:r>
        <w:rPr>
          <w:vertAlign w:val="superscript"/>
        </w:rPr>
        <w:t>276</w:t>
      </w:r>
      <w:r>
        <w:rPr>
          <w:vertAlign w:val="baseline"/>
        </w:rPr>
        <w:t> LGBTI+ commitments include a ban on conversion therapy, adoptive</w:t>
      </w:r>
      <w:r>
        <w:rPr>
          <w:spacing w:val="-8"/>
          <w:vertAlign w:val="baseline"/>
        </w:rPr>
        <w:t> </w:t>
      </w:r>
      <w:r>
        <w:rPr>
          <w:vertAlign w:val="baseline"/>
        </w:rPr>
        <w:t>leave</w:t>
      </w:r>
      <w:r>
        <w:rPr>
          <w:spacing w:val="-8"/>
          <w:vertAlign w:val="baseline"/>
        </w:rPr>
        <w:t> </w:t>
      </w:r>
      <w:r>
        <w:rPr>
          <w:vertAlign w:val="baseline"/>
        </w:rPr>
        <w:t>and</w:t>
      </w:r>
      <w:r>
        <w:rPr>
          <w:spacing w:val="-9"/>
          <w:vertAlign w:val="baseline"/>
        </w:rPr>
        <w:t> </w:t>
      </w:r>
      <w:r>
        <w:rPr>
          <w:vertAlign w:val="baseline"/>
        </w:rPr>
        <w:t>benefits</w:t>
      </w:r>
      <w:r>
        <w:rPr>
          <w:spacing w:val="-9"/>
          <w:vertAlign w:val="baseline"/>
        </w:rPr>
        <w:t> </w:t>
      </w:r>
      <w:r>
        <w:rPr>
          <w:vertAlign w:val="baseline"/>
        </w:rPr>
        <w:t>for</w:t>
      </w:r>
      <w:r>
        <w:rPr>
          <w:spacing w:val="-8"/>
          <w:vertAlign w:val="baseline"/>
        </w:rPr>
        <w:t> </w:t>
      </w:r>
      <w:r>
        <w:rPr>
          <w:vertAlign w:val="baseline"/>
        </w:rPr>
        <w:t>male</w:t>
      </w:r>
      <w:r>
        <w:rPr>
          <w:spacing w:val="-8"/>
          <w:vertAlign w:val="baseline"/>
        </w:rPr>
        <w:t> </w:t>
      </w:r>
      <w:r>
        <w:rPr>
          <w:vertAlign w:val="baseline"/>
        </w:rPr>
        <w:t>same-sex</w:t>
      </w:r>
      <w:r>
        <w:rPr>
          <w:spacing w:val="-9"/>
          <w:vertAlign w:val="baseline"/>
        </w:rPr>
        <w:t> </w:t>
      </w:r>
      <w:r>
        <w:rPr>
          <w:vertAlign w:val="baseline"/>
        </w:rPr>
        <w:t>adoptive</w:t>
      </w:r>
      <w:r>
        <w:rPr>
          <w:spacing w:val="-8"/>
          <w:vertAlign w:val="baseline"/>
        </w:rPr>
        <w:t> </w:t>
      </w:r>
      <w:r>
        <w:rPr>
          <w:vertAlign w:val="baseline"/>
        </w:rPr>
        <w:t>couples,</w:t>
      </w:r>
      <w:r>
        <w:rPr>
          <w:spacing w:val="-8"/>
          <w:vertAlign w:val="baseline"/>
        </w:rPr>
        <w:t> </w:t>
      </w:r>
      <w:r>
        <w:rPr>
          <w:vertAlign w:val="baseline"/>
        </w:rPr>
        <w:t>implementation of the LGBTI+ and LGBTI+ Youth strategies, a health policy for Trans people, and amending the gender ground in equality legislation to include gender identity.</w:t>
      </w:r>
      <w:r>
        <w:rPr>
          <w:vertAlign w:val="superscript"/>
        </w:rPr>
        <w:t>277</w:t>
      </w:r>
      <w:r>
        <w:rPr>
          <w:vertAlign w:val="baseline"/>
        </w:rPr>
        <w:t> There are commitments for Travellers and Roma, including the implementation</w:t>
      </w:r>
      <w:r>
        <w:rPr>
          <w:vertAlign w:val="baseline"/>
        </w:rPr>
        <w:t> of a Health Action Plan.</w:t>
      </w:r>
      <w:r>
        <w:rPr>
          <w:vertAlign w:val="superscript"/>
        </w:rPr>
        <w:t>278</w:t>
      </w:r>
      <w:r>
        <w:rPr>
          <w:vertAlign w:val="baseline"/>
        </w:rPr>
        <w:t> Gender commitments include a new national strategy for women and girls, a referendum to amend Article 41.2 of the Constitution, legislation on gender pay gap reporting, and expanding the equality budgeting </w:t>
      </w:r>
      <w:r>
        <w:rPr>
          <w:spacing w:val="-2"/>
          <w:vertAlign w:val="baseline"/>
        </w:rPr>
        <w:t>programme.</w:t>
      </w:r>
      <w:r>
        <w:rPr>
          <w:spacing w:val="-2"/>
          <w:vertAlign w:val="superscript"/>
        </w:rPr>
        <w:t>279</w:t>
      </w:r>
    </w:p>
    <w:p>
      <w:pPr>
        <w:pStyle w:val="BodyText"/>
        <w:spacing w:line="232" w:lineRule="auto" w:before="266"/>
        <w:ind w:left="720" w:right="1087"/>
      </w:pPr>
      <w:r>
        <w:rPr/>
        <w:t>The Programme undertakes to revise the law on gender recognition for 16 and 17 year</w:t>
      </w:r>
      <w:r>
        <w:rPr>
          <w:spacing w:val="-8"/>
        </w:rPr>
        <w:t> </w:t>
      </w:r>
      <w:r>
        <w:rPr/>
        <w:t>olds,</w:t>
      </w:r>
      <w:r>
        <w:rPr>
          <w:spacing w:val="-8"/>
        </w:rPr>
        <w:t> </w:t>
      </w:r>
      <w:r>
        <w:rPr/>
        <w:t>moving</w:t>
      </w:r>
      <w:r>
        <w:rPr>
          <w:spacing w:val="-8"/>
        </w:rPr>
        <w:t> </w:t>
      </w:r>
      <w:r>
        <w:rPr/>
        <w:t>to</w:t>
      </w:r>
      <w:r>
        <w:rPr>
          <w:spacing w:val="-9"/>
        </w:rPr>
        <w:t> </w:t>
      </w:r>
      <w:r>
        <w:rPr/>
        <w:t>a</w:t>
      </w:r>
      <w:r>
        <w:rPr>
          <w:spacing w:val="-9"/>
        </w:rPr>
        <w:t> </w:t>
      </w:r>
      <w:r>
        <w:rPr/>
        <w:t>system</w:t>
      </w:r>
      <w:r>
        <w:rPr>
          <w:spacing w:val="-8"/>
        </w:rPr>
        <w:t> </w:t>
      </w:r>
      <w:r>
        <w:rPr/>
        <w:t>of</w:t>
      </w:r>
      <w:r>
        <w:rPr>
          <w:spacing w:val="-9"/>
        </w:rPr>
        <w:t> </w:t>
      </w:r>
      <w:r>
        <w:rPr/>
        <w:t>self-declaration</w:t>
      </w:r>
      <w:r>
        <w:rPr>
          <w:spacing w:val="-9"/>
        </w:rPr>
        <w:t> </w:t>
      </w:r>
      <w:r>
        <w:rPr/>
        <w:t>with</w:t>
      </w:r>
      <w:r>
        <w:rPr>
          <w:spacing w:val="-9"/>
        </w:rPr>
        <w:t> </w:t>
      </w:r>
      <w:r>
        <w:rPr/>
        <w:t>parental</w:t>
      </w:r>
      <w:r>
        <w:rPr>
          <w:spacing w:val="-9"/>
        </w:rPr>
        <w:t> </w:t>
      </w:r>
      <w:r>
        <w:rPr/>
        <w:t>consent,</w:t>
      </w:r>
      <w:r>
        <w:rPr>
          <w:spacing w:val="-8"/>
        </w:rPr>
        <w:t> </w:t>
      </w:r>
      <w:r>
        <w:rPr/>
        <w:t>to</w:t>
      </w:r>
      <w:r>
        <w:rPr>
          <w:spacing w:val="-9"/>
        </w:rPr>
        <w:t> </w:t>
      </w:r>
      <w:r>
        <w:rPr/>
        <w:t>examine the law for under-16s, and to recognise the position of non-binary persons.</w:t>
      </w:r>
      <w:r>
        <w:rPr>
          <w:vertAlign w:val="superscript"/>
        </w:rPr>
        <w:t>280</w:t>
      </w:r>
    </w:p>
    <w:p>
      <w:pPr>
        <w:pStyle w:val="BodyText"/>
        <w:spacing w:line="232" w:lineRule="auto"/>
        <w:ind w:left="720" w:right="1203"/>
      </w:pPr>
      <w:r>
        <w:rPr/>
        <w:t>The Programme promises to examine the introduction of a new ground of socio- economic disadvantaged status in equality legislation.</w:t>
      </w:r>
      <w:r>
        <w:rPr>
          <w:vertAlign w:val="superscript"/>
        </w:rPr>
        <w:t>281</w:t>
      </w:r>
      <w:r>
        <w:rPr>
          <w:vertAlign w:val="baseline"/>
        </w:rPr>
        <w:t> The Programme contains extensive commitments on disability including ratifying the Optional Protocol to the</w:t>
      </w:r>
      <w:r>
        <w:rPr>
          <w:spacing w:val="-9"/>
          <w:vertAlign w:val="baseline"/>
        </w:rPr>
        <w:t> </w:t>
      </w:r>
      <w:r>
        <w:rPr>
          <w:vertAlign w:val="baseline"/>
        </w:rPr>
        <w:t>Convention</w:t>
      </w:r>
      <w:r>
        <w:rPr>
          <w:spacing w:val="-10"/>
          <w:vertAlign w:val="baseline"/>
        </w:rPr>
        <w:t> </w:t>
      </w:r>
      <w:r>
        <w:rPr>
          <w:vertAlign w:val="baseline"/>
        </w:rPr>
        <w:t>on</w:t>
      </w:r>
      <w:r>
        <w:rPr>
          <w:spacing w:val="-10"/>
          <w:vertAlign w:val="baseline"/>
        </w:rPr>
        <w:t> </w:t>
      </w:r>
      <w:r>
        <w:rPr>
          <w:vertAlign w:val="baseline"/>
        </w:rPr>
        <w:t>the</w:t>
      </w:r>
      <w:r>
        <w:rPr>
          <w:spacing w:val="-9"/>
          <w:vertAlign w:val="baseline"/>
        </w:rPr>
        <w:t> </w:t>
      </w:r>
      <w:r>
        <w:rPr>
          <w:vertAlign w:val="baseline"/>
        </w:rPr>
        <w:t>Rights</w:t>
      </w:r>
      <w:r>
        <w:rPr>
          <w:spacing w:val="-10"/>
          <w:vertAlign w:val="baseline"/>
        </w:rPr>
        <w:t> </w:t>
      </w:r>
      <w:r>
        <w:rPr>
          <w:vertAlign w:val="baseline"/>
        </w:rPr>
        <w:t>of</w:t>
      </w:r>
      <w:r>
        <w:rPr>
          <w:spacing w:val="-10"/>
          <w:vertAlign w:val="baseline"/>
        </w:rPr>
        <w:t> </w:t>
      </w:r>
      <w:r>
        <w:rPr>
          <w:vertAlign w:val="baseline"/>
        </w:rPr>
        <w:t>Persons</w:t>
      </w:r>
      <w:r>
        <w:rPr>
          <w:spacing w:val="-10"/>
          <w:vertAlign w:val="baseline"/>
        </w:rPr>
        <w:t> </w:t>
      </w:r>
      <w:r>
        <w:rPr>
          <w:vertAlign w:val="baseline"/>
        </w:rPr>
        <w:t>with</w:t>
      </w:r>
      <w:r>
        <w:rPr>
          <w:spacing w:val="-10"/>
          <w:vertAlign w:val="baseline"/>
        </w:rPr>
        <w:t> </w:t>
      </w:r>
      <w:r>
        <w:rPr>
          <w:vertAlign w:val="baseline"/>
        </w:rPr>
        <w:t>Disabilities.</w:t>
      </w:r>
      <w:r>
        <w:rPr>
          <w:vertAlign w:val="superscript"/>
        </w:rPr>
        <w:t>282</w:t>
      </w:r>
      <w:r>
        <w:rPr>
          <w:spacing w:val="-10"/>
          <w:vertAlign w:val="baseline"/>
        </w:rPr>
        <w:t> </w:t>
      </w:r>
      <w:r>
        <w:rPr>
          <w:vertAlign w:val="baseline"/>
        </w:rPr>
        <w:t>The</w:t>
      </w:r>
      <w:r>
        <w:rPr>
          <w:spacing w:val="-9"/>
          <w:vertAlign w:val="baseline"/>
        </w:rPr>
        <w:t> </w:t>
      </w:r>
      <w:r>
        <w:rPr>
          <w:vertAlign w:val="baseline"/>
        </w:rPr>
        <w:t>Programme</w:t>
      </w:r>
      <w:r>
        <w:rPr>
          <w:spacing w:val="-9"/>
          <w:vertAlign w:val="baseline"/>
        </w:rPr>
        <w:t> </w:t>
      </w:r>
      <w:r>
        <w:rPr>
          <w:vertAlign w:val="baseline"/>
        </w:rPr>
        <w:t>makes promises about supporting the family and children, including improving parental leave and childcare.</w:t>
      </w:r>
      <w:r>
        <w:rPr>
          <w:vertAlign w:val="superscript"/>
        </w:rPr>
        <w:t>283</w:t>
      </w:r>
      <w:r>
        <w:rPr>
          <w:vertAlign w:val="baseline"/>
        </w:rPr>
        <w:t> The Government will reform hate crimes legislation,</w:t>
      </w:r>
      <w:r>
        <w:rPr>
          <w:vertAlign w:val="superscript"/>
        </w:rPr>
        <w:t>284</w:t>
      </w:r>
      <w:r>
        <w:rPr>
          <w:vertAlign w:val="baseline"/>
        </w:rPr>
        <w:t> and address the ‘epidemic of domestic, sexual and gender-based violence.’</w:t>
      </w:r>
      <w:r>
        <w:rPr>
          <w:vertAlign w:val="superscript"/>
        </w:rPr>
        <w:t>285</w:t>
      </w:r>
      <w:r>
        <w:rPr>
          <w:vertAlign w:val="baseline"/>
        </w:rPr>
        <w:t> The Programme commits to full implementation of the Victims’ Directive, to enact the Online</w:t>
      </w:r>
      <w:r>
        <w:rPr>
          <w:spacing w:val="-5"/>
          <w:vertAlign w:val="baseline"/>
        </w:rPr>
        <w:t> </w:t>
      </w:r>
      <w:r>
        <w:rPr>
          <w:vertAlign w:val="baseline"/>
        </w:rPr>
        <w:t>Safety</w:t>
      </w:r>
      <w:r>
        <w:rPr>
          <w:spacing w:val="-5"/>
          <w:vertAlign w:val="baseline"/>
        </w:rPr>
        <w:t> </w:t>
      </w:r>
      <w:r>
        <w:rPr>
          <w:vertAlign w:val="baseline"/>
        </w:rPr>
        <w:t>and</w:t>
      </w:r>
      <w:r>
        <w:rPr>
          <w:spacing w:val="-6"/>
          <w:vertAlign w:val="baseline"/>
        </w:rPr>
        <w:t> </w:t>
      </w:r>
      <w:r>
        <w:rPr>
          <w:vertAlign w:val="baseline"/>
        </w:rPr>
        <w:t>Media</w:t>
      </w:r>
      <w:r>
        <w:rPr>
          <w:spacing w:val="-6"/>
          <w:vertAlign w:val="baseline"/>
        </w:rPr>
        <w:t> </w:t>
      </w:r>
      <w:r>
        <w:rPr>
          <w:vertAlign w:val="baseline"/>
        </w:rPr>
        <w:t>Regulation</w:t>
      </w:r>
      <w:r>
        <w:rPr>
          <w:spacing w:val="-6"/>
          <w:vertAlign w:val="baseline"/>
        </w:rPr>
        <w:t> </w:t>
      </w:r>
      <w:r>
        <w:rPr>
          <w:vertAlign w:val="baseline"/>
        </w:rPr>
        <w:t>Bill</w:t>
      </w:r>
      <w:r>
        <w:rPr>
          <w:vertAlign w:val="superscript"/>
        </w:rPr>
        <w:t>286</w:t>
      </w:r>
      <w:r>
        <w:rPr>
          <w:spacing w:val="-6"/>
          <w:vertAlign w:val="baseline"/>
        </w:rPr>
        <w:t> </w:t>
      </w:r>
      <w:r>
        <w:rPr>
          <w:vertAlign w:val="baseline"/>
        </w:rPr>
        <w:t>and</w:t>
      </w:r>
      <w:r>
        <w:rPr>
          <w:spacing w:val="-5"/>
          <w:vertAlign w:val="baseline"/>
        </w:rPr>
        <w:t> </w:t>
      </w:r>
      <w:r>
        <w:rPr>
          <w:vertAlign w:val="baseline"/>
        </w:rPr>
        <w:t>to</w:t>
      </w:r>
      <w:r>
        <w:rPr>
          <w:spacing w:val="-6"/>
          <w:vertAlign w:val="baseline"/>
        </w:rPr>
        <w:t> </w:t>
      </w:r>
      <w:r>
        <w:rPr>
          <w:vertAlign w:val="baseline"/>
        </w:rPr>
        <w:t>look</w:t>
      </w:r>
      <w:r>
        <w:rPr>
          <w:spacing w:val="-5"/>
          <w:vertAlign w:val="baseline"/>
        </w:rPr>
        <w:t> </w:t>
      </w:r>
      <w:r>
        <w:rPr>
          <w:vertAlign w:val="baseline"/>
        </w:rPr>
        <w:t>at</w:t>
      </w:r>
      <w:r>
        <w:rPr>
          <w:spacing w:val="-5"/>
          <w:vertAlign w:val="baseline"/>
        </w:rPr>
        <w:t> </w:t>
      </w:r>
      <w:r>
        <w:rPr>
          <w:vertAlign w:val="baseline"/>
        </w:rPr>
        <w:t>whistleblowing</w:t>
      </w:r>
      <w:r>
        <w:rPr>
          <w:spacing w:val="-5"/>
          <w:vertAlign w:val="baseline"/>
        </w:rPr>
        <w:t> </w:t>
      </w:r>
      <w:r>
        <w:rPr>
          <w:vertAlign w:val="baseline"/>
        </w:rPr>
        <w:t>legislation in light of EU considerations.</w:t>
      </w:r>
      <w:r>
        <w:rPr>
          <w:vertAlign w:val="superscript"/>
        </w:rPr>
        <w:t>287</w:t>
      </w:r>
      <w:r>
        <w:rPr>
          <w:vertAlign w:val="baseline"/>
        </w:rPr>
        <w:t> There will be an Anti-Poverty, Social Inclusion and Community Development Plan based on the Sustainable Development Goals.</w:t>
      </w:r>
      <w:r>
        <w:rPr>
          <w:vertAlign w:val="superscript"/>
        </w:rPr>
        <w:t>288</w:t>
      </w:r>
      <w:r>
        <w:rPr>
          <w:vertAlign w:val="baseline"/>
        </w:rPr>
        <w:t> In the political sphere there are initiatives to improve gender and ethnic balance at local level, and to reform the Constitution (amending Article 41.2, introducing an amendment on housing, and amending the franchise for Presidential elections).</w:t>
      </w:r>
      <w:r>
        <w:rPr>
          <w:vertAlign w:val="superscript"/>
        </w:rPr>
        <w:t>289</w:t>
      </w:r>
    </w:p>
    <w:p>
      <w:pPr>
        <w:pStyle w:val="BodyText"/>
        <w:spacing w:line="232" w:lineRule="auto" w:before="257"/>
        <w:ind w:left="720" w:right="1404"/>
      </w:pPr>
      <w:r>
        <w:rPr/>
        <w:t>Overall,</w:t>
      </w:r>
      <w:r>
        <w:rPr>
          <w:spacing w:val="-5"/>
        </w:rPr>
        <w:t> </w:t>
      </w:r>
      <w:r>
        <w:rPr/>
        <w:t>this</w:t>
      </w:r>
      <w:r>
        <w:rPr>
          <w:spacing w:val="-6"/>
        </w:rPr>
        <w:t> </w:t>
      </w:r>
      <w:r>
        <w:rPr/>
        <w:t>is</w:t>
      </w:r>
      <w:r>
        <w:rPr>
          <w:spacing w:val="-6"/>
        </w:rPr>
        <w:t> </w:t>
      </w:r>
      <w:r>
        <w:rPr/>
        <w:t>an</w:t>
      </w:r>
      <w:r>
        <w:rPr>
          <w:spacing w:val="-6"/>
        </w:rPr>
        <w:t> </w:t>
      </w:r>
      <w:r>
        <w:rPr/>
        <w:t>ambitious</w:t>
      </w:r>
      <w:r>
        <w:rPr>
          <w:spacing w:val="-6"/>
        </w:rPr>
        <w:t> </w:t>
      </w:r>
      <w:r>
        <w:rPr/>
        <w:t>programme.</w:t>
      </w:r>
      <w:r>
        <w:rPr>
          <w:spacing w:val="-6"/>
        </w:rPr>
        <w:t> </w:t>
      </w:r>
      <w:r>
        <w:rPr/>
        <w:t>There</w:t>
      </w:r>
      <w:r>
        <w:rPr>
          <w:spacing w:val="-5"/>
        </w:rPr>
        <w:t> </w:t>
      </w:r>
      <w:r>
        <w:rPr/>
        <w:t>are</w:t>
      </w:r>
      <w:r>
        <w:rPr>
          <w:spacing w:val="-5"/>
        </w:rPr>
        <w:t> </w:t>
      </w:r>
      <w:r>
        <w:rPr/>
        <w:t>some</w:t>
      </w:r>
      <w:r>
        <w:rPr>
          <w:spacing w:val="-5"/>
        </w:rPr>
        <w:t> </w:t>
      </w:r>
      <w:r>
        <w:rPr/>
        <w:t>in</w:t>
      </w:r>
      <w:r>
        <w:rPr>
          <w:spacing w:val="-6"/>
        </w:rPr>
        <w:t> </w:t>
      </w:r>
      <w:r>
        <w:rPr/>
        <w:t>Ireland</w:t>
      </w:r>
      <w:r>
        <w:rPr>
          <w:spacing w:val="-6"/>
        </w:rPr>
        <w:t> </w:t>
      </w:r>
      <w:r>
        <w:rPr/>
        <w:t>that</w:t>
      </w:r>
      <w:r>
        <w:rPr>
          <w:spacing w:val="-5"/>
        </w:rPr>
        <w:t> </w:t>
      </w:r>
      <w:r>
        <w:rPr/>
        <w:t>would</w:t>
      </w:r>
      <w:r>
        <w:rPr>
          <w:spacing w:val="-6"/>
        </w:rPr>
        <w:t> </w:t>
      </w:r>
      <w:r>
        <w:rPr/>
        <w:t>go even further. IHREC for instance has recommended constitutional amendments to better protect economic social and cultural rights, including incorporation</w:t>
      </w:r>
    </w:p>
    <w:p>
      <w:pPr>
        <w:pStyle w:val="BodyText"/>
        <w:spacing w:before="51"/>
        <w:rPr>
          <w:sz w:val="20"/>
        </w:rPr>
      </w:pPr>
      <w:r>
        <w:rPr/>
        <mc:AlternateContent>
          <mc:Choice Requires="wps">
            <w:drawing>
              <wp:anchor distT="0" distB="0" distL="0" distR="0" allowOverlap="1" layoutInCell="1" locked="0" behindDoc="1" simplePos="0" relativeHeight="487678976">
                <wp:simplePos x="0" y="0"/>
                <wp:positionH relativeFrom="page">
                  <wp:posOffset>647999</wp:posOffset>
                </wp:positionH>
                <wp:positionV relativeFrom="paragraph">
                  <wp:posOffset>202853</wp:posOffset>
                </wp:positionV>
                <wp:extent cx="6012180" cy="1270"/>
                <wp:effectExtent l="0" t="0" r="0" b="0"/>
                <wp:wrapTopAndBottom/>
                <wp:docPr id="497" name="Graphic 497"/>
                <wp:cNvGraphicFramePr>
                  <a:graphicFrameLocks/>
                </wp:cNvGraphicFramePr>
                <a:graphic>
                  <a:graphicData uri="http://schemas.microsoft.com/office/word/2010/wordprocessingShape">
                    <wps:wsp>
                      <wps:cNvPr id="497" name="Graphic 49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5.97273pt;width:473.4pt;height:.1pt;mso-position-horizontal-relative:page;mso-position-vertical-relative:paragraph;z-index:-15637504;mso-wrap-distance-left:0;mso-wrap-distance-right:0" id="docshape394" coordorigin="1020,319" coordsize="9468,0" path="m1020,319l10488,319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295" w:hanging="567"/>
        <w:jc w:val="left"/>
        <w:rPr>
          <w:sz w:val="18"/>
        </w:rPr>
      </w:pPr>
      <w:r>
        <w:rPr>
          <w:sz w:val="18"/>
        </w:rPr>
        <w:t>Government</w:t>
      </w:r>
      <w:r>
        <w:rPr>
          <w:spacing w:val="-5"/>
          <w:sz w:val="18"/>
        </w:rPr>
        <w:t> </w:t>
      </w:r>
      <w:r>
        <w:rPr>
          <w:sz w:val="18"/>
        </w:rPr>
        <w:t>of</w:t>
      </w:r>
      <w:r>
        <w:rPr>
          <w:spacing w:val="-6"/>
          <w:sz w:val="18"/>
        </w:rPr>
        <w:t> </w:t>
      </w:r>
      <w:r>
        <w:rPr>
          <w:sz w:val="18"/>
        </w:rPr>
        <w:t>Ireland,</w:t>
      </w:r>
      <w:r>
        <w:rPr>
          <w:spacing w:val="-5"/>
          <w:sz w:val="18"/>
        </w:rPr>
        <w:t> </w:t>
      </w:r>
      <w:r>
        <w:rPr>
          <w:color w:val="1D71B8"/>
          <w:sz w:val="18"/>
          <w:u w:val="single" w:color="1D71B8"/>
        </w:rPr>
        <w:t>Programme</w:t>
      </w:r>
      <w:r>
        <w:rPr>
          <w:color w:val="1D71B8"/>
          <w:spacing w:val="-5"/>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Government:</w:t>
      </w:r>
      <w:r>
        <w:rPr>
          <w:color w:val="1D71B8"/>
          <w:spacing w:val="-5"/>
          <w:sz w:val="18"/>
          <w:u w:val="single" w:color="1D71B8"/>
        </w:rPr>
        <w:t> </w:t>
      </w:r>
      <w:r>
        <w:rPr>
          <w:color w:val="1D71B8"/>
          <w:sz w:val="18"/>
          <w:u w:val="single" w:color="1D71B8"/>
        </w:rPr>
        <w:t>Our</w:t>
      </w:r>
      <w:r>
        <w:rPr>
          <w:color w:val="1D71B8"/>
          <w:spacing w:val="-5"/>
          <w:sz w:val="18"/>
          <w:u w:val="single" w:color="1D71B8"/>
        </w:rPr>
        <w:t> </w:t>
      </w:r>
      <w:r>
        <w:rPr>
          <w:color w:val="1D71B8"/>
          <w:sz w:val="18"/>
          <w:u w:val="single" w:color="1D71B8"/>
        </w:rPr>
        <w:t>Shared</w:t>
      </w:r>
      <w:r>
        <w:rPr>
          <w:color w:val="1D71B8"/>
          <w:spacing w:val="-6"/>
          <w:sz w:val="18"/>
          <w:u w:val="single" w:color="1D71B8"/>
        </w:rPr>
        <w:t> </w:t>
      </w:r>
      <w:r>
        <w:rPr>
          <w:color w:val="1D71B8"/>
          <w:sz w:val="18"/>
          <w:u w:val="single" w:color="1D71B8"/>
        </w:rPr>
        <w:t>Future</w:t>
      </w:r>
      <w:r>
        <w:rPr>
          <w:color w:val="1D71B8"/>
          <w:spacing w:val="-6"/>
          <w:sz w:val="18"/>
          <w:u w:val="none"/>
        </w:rPr>
        <w:t> </w:t>
      </w:r>
      <w:r>
        <w:rPr>
          <w:sz w:val="18"/>
          <w:u w:val="none"/>
        </w:rPr>
        <w:t>(29</w:t>
      </w:r>
      <w:r>
        <w:rPr>
          <w:spacing w:val="-5"/>
          <w:sz w:val="18"/>
          <w:u w:val="none"/>
        </w:rPr>
        <w:t> </w:t>
      </w:r>
      <w:r>
        <w:rPr>
          <w:sz w:val="18"/>
          <w:u w:val="none"/>
        </w:rPr>
        <w:t>October</w:t>
      </w:r>
      <w:r>
        <w:rPr>
          <w:spacing w:val="-5"/>
          <w:sz w:val="18"/>
          <w:u w:val="none"/>
        </w:rPr>
        <w:t> </w:t>
      </w:r>
      <w:r>
        <w:rPr>
          <w:sz w:val="18"/>
          <w:u w:val="none"/>
        </w:rPr>
        <w:t>2020)</w:t>
      </w:r>
      <w:r>
        <w:rPr>
          <w:spacing w:val="-6"/>
          <w:sz w:val="18"/>
          <w:u w:val="none"/>
        </w:rPr>
        <w:t> </w:t>
      </w:r>
      <w:r>
        <w:rPr>
          <w:sz w:val="18"/>
          <w:u w:val="none"/>
        </w:rPr>
        <w:t>76.</w:t>
      </w:r>
      <w:r>
        <w:rPr>
          <w:spacing w:val="-6"/>
          <w:sz w:val="18"/>
          <w:u w:val="none"/>
        </w:rPr>
        <w:t> </w:t>
      </w:r>
      <w:r>
        <w:rPr>
          <w:sz w:val="18"/>
          <w:u w:val="none"/>
        </w:rPr>
        <w:t>Direct</w:t>
      </w:r>
      <w:r>
        <w:rPr>
          <w:spacing w:val="-5"/>
          <w:sz w:val="18"/>
          <w:u w:val="none"/>
        </w:rPr>
        <w:t> </w:t>
      </w:r>
      <w:r>
        <w:rPr>
          <w:sz w:val="18"/>
          <w:u w:val="none"/>
        </w:rPr>
        <w:t>provision</w:t>
      </w:r>
      <w:r>
        <w:rPr>
          <w:spacing w:val="-6"/>
          <w:sz w:val="18"/>
          <w:u w:val="none"/>
        </w:rPr>
        <w:t> </w:t>
      </w:r>
      <w:r>
        <w:rPr>
          <w:sz w:val="18"/>
          <w:u w:val="none"/>
        </w:rPr>
        <w:t>refers</w:t>
      </w:r>
      <w:r>
        <w:rPr>
          <w:spacing w:val="-6"/>
          <w:sz w:val="18"/>
          <w:u w:val="none"/>
        </w:rPr>
        <w:t> </w:t>
      </w:r>
      <w:r>
        <w:rPr>
          <w:sz w:val="18"/>
          <w:u w:val="none"/>
        </w:rPr>
        <w:t>to the system of providing asylum seekers with accommodation, meals, some financial resource and a medical card.</w:t>
      </w:r>
    </w:p>
    <w:p>
      <w:pPr>
        <w:pStyle w:val="ListParagraph"/>
        <w:numPr>
          <w:ilvl w:val="0"/>
          <w:numId w:val="18"/>
        </w:numPr>
        <w:tabs>
          <w:tab w:pos="1287" w:val="left" w:leader="none"/>
        </w:tabs>
        <w:spacing w:line="240" w:lineRule="auto" w:before="1" w:after="0"/>
        <w:ind w:left="1287" w:right="0" w:hanging="567"/>
        <w:jc w:val="left"/>
        <w:rPr>
          <w:sz w:val="18"/>
        </w:rPr>
      </w:pPr>
      <w:r>
        <w:rPr>
          <w:sz w:val="18"/>
        </w:rPr>
        <w:t>Government</w:t>
      </w:r>
      <w:r>
        <w:rPr>
          <w:spacing w:val="-7"/>
          <w:sz w:val="18"/>
        </w:rPr>
        <w:t> </w:t>
      </w:r>
      <w:r>
        <w:rPr>
          <w:sz w:val="18"/>
        </w:rPr>
        <w:t>of</w:t>
      </w:r>
      <w:r>
        <w:rPr>
          <w:spacing w:val="-5"/>
          <w:sz w:val="18"/>
        </w:rPr>
        <w:t> </w:t>
      </w:r>
      <w:r>
        <w:rPr>
          <w:sz w:val="18"/>
        </w:rPr>
        <w:t>Ireland,</w:t>
      </w:r>
      <w:r>
        <w:rPr>
          <w:spacing w:val="-4"/>
          <w:sz w:val="18"/>
        </w:rPr>
        <w:t> </w:t>
      </w:r>
      <w:r>
        <w:rPr>
          <w:color w:val="1D71B8"/>
          <w:sz w:val="18"/>
          <w:u w:val="single" w:color="1D71B8"/>
        </w:rPr>
        <w:t>Programme</w:t>
      </w:r>
      <w:r>
        <w:rPr>
          <w:color w:val="1D71B8"/>
          <w:spacing w:val="-5"/>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Government:</w:t>
      </w:r>
      <w:r>
        <w:rPr>
          <w:color w:val="1D71B8"/>
          <w:spacing w:val="-4"/>
          <w:sz w:val="18"/>
          <w:u w:val="single" w:color="1D71B8"/>
        </w:rPr>
        <w:t> </w:t>
      </w:r>
      <w:r>
        <w:rPr>
          <w:color w:val="1D71B8"/>
          <w:sz w:val="18"/>
          <w:u w:val="single" w:color="1D71B8"/>
        </w:rPr>
        <w:t>Our</w:t>
      </w:r>
      <w:r>
        <w:rPr>
          <w:color w:val="1D71B8"/>
          <w:spacing w:val="-4"/>
          <w:sz w:val="18"/>
          <w:u w:val="single" w:color="1D71B8"/>
        </w:rPr>
        <w:t> </w:t>
      </w:r>
      <w:r>
        <w:rPr>
          <w:color w:val="1D71B8"/>
          <w:sz w:val="18"/>
          <w:u w:val="single" w:color="1D71B8"/>
        </w:rPr>
        <w:t>Shared</w:t>
      </w:r>
      <w:r>
        <w:rPr>
          <w:color w:val="1D71B8"/>
          <w:spacing w:val="-6"/>
          <w:sz w:val="18"/>
          <w:u w:val="single" w:color="1D71B8"/>
        </w:rPr>
        <w:t> </w:t>
      </w:r>
      <w:r>
        <w:rPr>
          <w:color w:val="1D71B8"/>
          <w:sz w:val="18"/>
          <w:u w:val="single" w:color="1D71B8"/>
        </w:rPr>
        <w:t>Future</w:t>
      </w:r>
      <w:r>
        <w:rPr>
          <w:color w:val="1D71B8"/>
          <w:spacing w:val="-5"/>
          <w:sz w:val="18"/>
          <w:u w:val="none"/>
        </w:rPr>
        <w:t> </w:t>
      </w:r>
      <w:r>
        <w:rPr>
          <w:sz w:val="18"/>
          <w:u w:val="none"/>
        </w:rPr>
        <w:t>(29</w:t>
      </w:r>
      <w:r>
        <w:rPr>
          <w:spacing w:val="-4"/>
          <w:sz w:val="18"/>
          <w:u w:val="none"/>
        </w:rPr>
        <w:t> </w:t>
      </w:r>
      <w:r>
        <w:rPr>
          <w:sz w:val="18"/>
          <w:u w:val="none"/>
        </w:rPr>
        <w:t>October</w:t>
      </w:r>
      <w:r>
        <w:rPr>
          <w:spacing w:val="-4"/>
          <w:sz w:val="18"/>
          <w:u w:val="none"/>
        </w:rPr>
        <w:t> </w:t>
      </w:r>
      <w:r>
        <w:rPr>
          <w:sz w:val="18"/>
          <w:u w:val="none"/>
        </w:rPr>
        <w:t>2020)</w:t>
      </w:r>
      <w:r>
        <w:rPr>
          <w:spacing w:val="-5"/>
          <w:sz w:val="18"/>
          <w:u w:val="none"/>
        </w:rPr>
        <w:t> 77.</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 </w:t>
      </w:r>
      <w:r>
        <w:rPr>
          <w:spacing w:val="-5"/>
          <w:sz w:val="18"/>
        </w:rPr>
        <w:t>77.</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 </w:t>
      </w:r>
      <w:r>
        <w:rPr>
          <w:spacing w:val="-5"/>
          <w:sz w:val="18"/>
        </w:rPr>
        <w:t>77.</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Ibid., </w:t>
      </w:r>
      <w:r>
        <w:rPr>
          <w:spacing w:val="-5"/>
          <w:sz w:val="18"/>
        </w:rPr>
        <w:t>77.</w:t>
      </w:r>
    </w:p>
    <w:p>
      <w:pPr>
        <w:pStyle w:val="ListParagraph"/>
        <w:numPr>
          <w:ilvl w:val="0"/>
          <w:numId w:val="18"/>
        </w:numPr>
        <w:tabs>
          <w:tab w:pos="1287" w:val="left" w:leader="none"/>
        </w:tabs>
        <w:spacing w:line="240" w:lineRule="auto" w:before="0" w:after="0"/>
        <w:ind w:left="1287" w:right="0" w:hanging="567"/>
        <w:jc w:val="left"/>
        <w:rPr>
          <w:sz w:val="18"/>
        </w:rPr>
      </w:pPr>
      <w:r>
        <w:rPr>
          <w:spacing w:val="-2"/>
          <w:sz w:val="18"/>
        </w:rPr>
        <w:t>Ibid.,77.</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w:t>
      </w:r>
      <w:r>
        <w:rPr>
          <w:spacing w:val="-3"/>
          <w:sz w:val="18"/>
        </w:rPr>
        <w:t> </w:t>
      </w:r>
      <w:r>
        <w:rPr>
          <w:sz w:val="18"/>
        </w:rPr>
        <w:t>78-</w:t>
      </w:r>
      <w:r>
        <w:rPr>
          <w:spacing w:val="-5"/>
          <w:sz w:val="18"/>
        </w:rPr>
        <w:t>79.</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Ibid., </w:t>
      </w:r>
      <w:r>
        <w:rPr>
          <w:spacing w:val="-5"/>
          <w:sz w:val="18"/>
        </w:rPr>
        <w:t>80.</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 78, </w:t>
      </w:r>
      <w:r>
        <w:rPr>
          <w:spacing w:val="-5"/>
          <w:sz w:val="18"/>
        </w:rPr>
        <w:t>86.</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 </w:t>
      </w:r>
      <w:r>
        <w:rPr>
          <w:spacing w:val="-5"/>
          <w:sz w:val="18"/>
        </w:rPr>
        <w:t>86.</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 </w:t>
      </w:r>
      <w:r>
        <w:rPr>
          <w:spacing w:val="-5"/>
          <w:sz w:val="18"/>
        </w:rPr>
        <w:t>87.</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Ibid., </w:t>
      </w:r>
      <w:r>
        <w:rPr>
          <w:spacing w:val="-4"/>
          <w:sz w:val="18"/>
        </w:rPr>
        <w:t>121.</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 </w:t>
      </w:r>
      <w:r>
        <w:rPr>
          <w:spacing w:val="-5"/>
          <w:sz w:val="18"/>
        </w:rPr>
        <w:t>91.</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w:t>
      </w:r>
      <w:r>
        <w:rPr>
          <w:spacing w:val="-4"/>
          <w:sz w:val="18"/>
        </w:rPr>
        <w:t> </w:t>
      </w:r>
      <w:r>
        <w:rPr>
          <w:sz w:val="18"/>
        </w:rPr>
        <w:t>119-</w:t>
      </w:r>
      <w:r>
        <w:rPr>
          <w:spacing w:val="-4"/>
          <w:sz w:val="18"/>
        </w:rPr>
        <w:t>120.</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3997696">
                <wp:simplePos x="0" y="0"/>
                <wp:positionH relativeFrom="page">
                  <wp:posOffset>-2</wp:posOffset>
                </wp:positionH>
                <wp:positionV relativeFrom="page">
                  <wp:posOffset>0</wp:posOffset>
                </wp:positionV>
                <wp:extent cx="7560309" cy="1155065"/>
                <wp:effectExtent l="0" t="0" r="0" b="0"/>
                <wp:wrapNone/>
                <wp:docPr id="498" name="Group 498"/>
                <wp:cNvGraphicFramePr>
                  <a:graphicFrameLocks/>
                </wp:cNvGraphicFramePr>
                <a:graphic>
                  <a:graphicData uri="http://schemas.microsoft.com/office/word/2010/wordprocessingGroup">
                    <wpg:wgp>
                      <wpg:cNvPr id="498" name="Group 498"/>
                      <wpg:cNvGrpSpPr/>
                      <wpg:grpSpPr>
                        <a:xfrm>
                          <a:off x="0" y="0"/>
                          <a:ext cx="7560309" cy="1155065"/>
                          <a:chExt cx="7560309" cy="1155065"/>
                        </a:xfrm>
                      </wpg:grpSpPr>
                      <wps:wsp>
                        <wps:cNvPr id="499" name="Graphic 499"/>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500" name="Graphic 500"/>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18784" id="docshapegroup395" coordorigin="0,0" coordsize="11906,1819">
                <v:shape style="position:absolute;left:0;top:0;width:11906;height:1819" id="docshape396"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3.3 Review of Equality Legislation" w:id="79"/>
      <w:bookmarkEnd w:id="79"/>
      <w:r>
        <w:rPr/>
      </w:r>
      <w:bookmarkStart w:name="_bookmark32" w:id="80"/>
      <w:bookmarkEnd w:id="80"/>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55</w:t>
      </w:r>
    </w:p>
    <w:p>
      <w:pPr>
        <w:pStyle w:val="BodyText"/>
        <w:rPr>
          <w:b/>
        </w:rPr>
      </w:pPr>
    </w:p>
    <w:p>
      <w:pPr>
        <w:pStyle w:val="BodyText"/>
        <w:spacing w:before="48"/>
        <w:rPr>
          <w:b/>
        </w:rPr>
      </w:pPr>
    </w:p>
    <w:p>
      <w:pPr>
        <w:pStyle w:val="BodyText"/>
        <w:spacing w:line="232" w:lineRule="auto"/>
        <w:ind w:left="1117" w:right="1087"/>
      </w:pPr>
      <w:r>
        <w:rPr/>
        <w:t>at a sub-constitutional level of the International Covenant on Economic Social and</w:t>
      </w:r>
      <w:r>
        <w:rPr>
          <w:spacing w:val="-7"/>
        </w:rPr>
        <w:t> </w:t>
      </w:r>
      <w:r>
        <w:rPr/>
        <w:t>Cultural</w:t>
      </w:r>
      <w:r>
        <w:rPr>
          <w:spacing w:val="-7"/>
        </w:rPr>
        <w:t> </w:t>
      </w:r>
      <w:r>
        <w:rPr/>
        <w:t>Rights.</w:t>
      </w:r>
      <w:r>
        <w:rPr>
          <w:vertAlign w:val="superscript"/>
        </w:rPr>
        <w:t>290</w:t>
      </w:r>
      <w:r>
        <w:rPr>
          <w:spacing w:val="-7"/>
          <w:vertAlign w:val="baseline"/>
        </w:rPr>
        <w:t> </w:t>
      </w:r>
      <w:r>
        <w:rPr>
          <w:vertAlign w:val="baseline"/>
        </w:rPr>
        <w:t>The</w:t>
      </w:r>
      <w:r>
        <w:rPr>
          <w:spacing w:val="-6"/>
          <w:vertAlign w:val="baseline"/>
        </w:rPr>
        <w:t> </w:t>
      </w:r>
      <w:r>
        <w:rPr>
          <w:vertAlign w:val="baseline"/>
        </w:rPr>
        <w:t>programme</w:t>
      </w:r>
      <w:r>
        <w:rPr>
          <w:spacing w:val="-6"/>
          <w:vertAlign w:val="baseline"/>
        </w:rPr>
        <w:t> </w:t>
      </w:r>
      <w:r>
        <w:rPr>
          <w:vertAlign w:val="baseline"/>
        </w:rPr>
        <w:t>is</w:t>
      </w:r>
      <w:r>
        <w:rPr>
          <w:spacing w:val="-7"/>
          <w:vertAlign w:val="baseline"/>
        </w:rPr>
        <w:t> </w:t>
      </w:r>
      <w:r>
        <w:rPr>
          <w:vertAlign w:val="baseline"/>
        </w:rPr>
        <w:t>ambitious,</w:t>
      </w:r>
      <w:r>
        <w:rPr>
          <w:spacing w:val="-6"/>
          <w:vertAlign w:val="baseline"/>
        </w:rPr>
        <w:t> </w:t>
      </w:r>
      <w:r>
        <w:rPr>
          <w:vertAlign w:val="baseline"/>
        </w:rPr>
        <w:t>but</w:t>
      </w:r>
      <w:r>
        <w:rPr>
          <w:spacing w:val="-6"/>
          <w:vertAlign w:val="baseline"/>
        </w:rPr>
        <w:t> </w:t>
      </w:r>
      <w:r>
        <w:rPr>
          <w:vertAlign w:val="baseline"/>
        </w:rPr>
        <w:t>it</w:t>
      </w:r>
      <w:r>
        <w:rPr>
          <w:spacing w:val="-6"/>
          <w:vertAlign w:val="baseline"/>
        </w:rPr>
        <w:t> </w:t>
      </w:r>
      <w:r>
        <w:rPr>
          <w:vertAlign w:val="baseline"/>
        </w:rPr>
        <w:t>has</w:t>
      </w:r>
      <w:r>
        <w:rPr>
          <w:spacing w:val="-7"/>
          <w:vertAlign w:val="baseline"/>
        </w:rPr>
        <w:t> </w:t>
      </w:r>
      <w:r>
        <w:rPr>
          <w:vertAlign w:val="baseline"/>
        </w:rPr>
        <w:t>not</w:t>
      </w:r>
      <w:r>
        <w:rPr>
          <w:spacing w:val="-6"/>
          <w:vertAlign w:val="baseline"/>
        </w:rPr>
        <w:t> </w:t>
      </w:r>
      <w:r>
        <w:rPr>
          <w:vertAlign w:val="baseline"/>
        </w:rPr>
        <w:t>been</w:t>
      </w:r>
      <w:r>
        <w:rPr>
          <w:spacing w:val="-7"/>
          <w:vertAlign w:val="baseline"/>
        </w:rPr>
        <w:t> </w:t>
      </w:r>
      <w:r>
        <w:rPr>
          <w:vertAlign w:val="baseline"/>
        </w:rPr>
        <w:t>without problems. The referendum on the change to the constitutional provision about women’s work in the home was delayed</w:t>
      </w:r>
      <w:r>
        <w:rPr>
          <w:vertAlign w:val="superscript"/>
        </w:rPr>
        <w:t>291</w:t>
      </w:r>
      <w:r>
        <w:rPr>
          <w:vertAlign w:val="baseline"/>
        </w:rPr>
        <w:t> and was ultimately rejected by the people in a referendum. And as will be seen there have been delays in fully implementing some EU directives.</w:t>
      </w:r>
      <w:r>
        <w:rPr>
          <w:vertAlign w:val="superscript"/>
        </w:rPr>
        <w:t>292</w:t>
      </w:r>
    </w:p>
    <w:p>
      <w:pPr>
        <w:pStyle w:val="BodyText"/>
        <w:spacing w:line="232" w:lineRule="auto" w:before="274"/>
        <w:ind w:left="1117" w:right="738"/>
      </w:pPr>
      <w:r>
        <w:rPr/>
        <w:t>Having</w:t>
      </w:r>
      <w:r>
        <w:rPr>
          <w:spacing w:val="-7"/>
        </w:rPr>
        <w:t> </w:t>
      </w:r>
      <w:r>
        <w:rPr/>
        <w:t>set</w:t>
      </w:r>
      <w:r>
        <w:rPr>
          <w:spacing w:val="-7"/>
        </w:rPr>
        <w:t> </w:t>
      </w:r>
      <w:r>
        <w:rPr/>
        <w:t>the</w:t>
      </w:r>
      <w:r>
        <w:rPr>
          <w:spacing w:val="-7"/>
        </w:rPr>
        <w:t> </w:t>
      </w:r>
      <w:r>
        <w:rPr/>
        <w:t>context,</w:t>
      </w:r>
      <w:r>
        <w:rPr>
          <w:spacing w:val="-7"/>
        </w:rPr>
        <w:t> </w:t>
      </w:r>
      <w:r>
        <w:rPr/>
        <w:t>the</w:t>
      </w:r>
      <w:r>
        <w:rPr>
          <w:spacing w:val="-7"/>
        </w:rPr>
        <w:t> </w:t>
      </w:r>
      <w:r>
        <w:rPr/>
        <w:t>following</w:t>
      </w:r>
      <w:r>
        <w:rPr>
          <w:spacing w:val="-7"/>
        </w:rPr>
        <w:t> </w:t>
      </w:r>
      <w:r>
        <w:rPr/>
        <w:t>sections</w:t>
      </w:r>
      <w:r>
        <w:rPr>
          <w:spacing w:val="-8"/>
        </w:rPr>
        <w:t> </w:t>
      </w:r>
      <w:r>
        <w:rPr/>
        <w:t>examine</w:t>
      </w:r>
      <w:r>
        <w:rPr>
          <w:spacing w:val="-7"/>
        </w:rPr>
        <w:t> </w:t>
      </w:r>
      <w:r>
        <w:rPr/>
        <w:t>specific</w:t>
      </w:r>
      <w:r>
        <w:rPr>
          <w:spacing w:val="-7"/>
        </w:rPr>
        <w:t> </w:t>
      </w:r>
      <w:r>
        <w:rPr/>
        <w:t>areas</w:t>
      </w:r>
      <w:r>
        <w:rPr>
          <w:spacing w:val="-8"/>
        </w:rPr>
        <w:t> </w:t>
      </w:r>
      <w:r>
        <w:rPr/>
        <w:t>where</w:t>
      </w:r>
      <w:r>
        <w:rPr>
          <w:spacing w:val="-7"/>
        </w:rPr>
        <w:t> </w:t>
      </w:r>
      <w:r>
        <w:rPr/>
        <w:t>there</w:t>
      </w:r>
      <w:r>
        <w:rPr>
          <w:spacing w:val="-7"/>
        </w:rPr>
        <w:t> </w:t>
      </w:r>
      <w:r>
        <w:rPr/>
        <w:t>is a risk of divergence.</w:t>
      </w:r>
    </w:p>
    <w:p>
      <w:pPr>
        <w:pStyle w:val="BodyText"/>
        <w:spacing w:before="16"/>
      </w:pPr>
    </w:p>
    <w:p>
      <w:pPr>
        <w:pStyle w:val="Heading2"/>
        <w:numPr>
          <w:ilvl w:val="1"/>
          <w:numId w:val="21"/>
        </w:numPr>
        <w:tabs>
          <w:tab w:pos="1599" w:val="left" w:leader="none"/>
        </w:tabs>
        <w:spacing w:line="240" w:lineRule="auto" w:before="0" w:after="0"/>
        <w:ind w:left="1599" w:right="0" w:hanging="482"/>
        <w:jc w:val="left"/>
      </w:pPr>
      <w:r>
        <w:rPr>
          <w:color w:val="004A93"/>
        </w:rPr>
        <w:t>Review</w:t>
      </w:r>
      <w:r>
        <w:rPr>
          <w:color w:val="004A93"/>
          <w:spacing w:val="-9"/>
        </w:rPr>
        <w:t> </w:t>
      </w:r>
      <w:r>
        <w:rPr>
          <w:color w:val="004A93"/>
        </w:rPr>
        <w:t>of</w:t>
      </w:r>
      <w:r>
        <w:rPr>
          <w:color w:val="004A93"/>
          <w:spacing w:val="-7"/>
        </w:rPr>
        <w:t> </w:t>
      </w:r>
      <w:r>
        <w:rPr>
          <w:color w:val="004A93"/>
        </w:rPr>
        <w:t>Equality</w:t>
      </w:r>
      <w:r>
        <w:rPr>
          <w:color w:val="004A93"/>
          <w:spacing w:val="-5"/>
        </w:rPr>
        <w:t> </w:t>
      </w:r>
      <w:r>
        <w:rPr>
          <w:color w:val="004A93"/>
          <w:spacing w:val="-2"/>
        </w:rPr>
        <w:t>Legislation</w:t>
      </w:r>
    </w:p>
    <w:p>
      <w:pPr>
        <w:pStyle w:val="BodyText"/>
        <w:spacing w:before="9"/>
        <w:rPr>
          <w:b/>
          <w:sz w:val="5"/>
        </w:rPr>
      </w:pPr>
      <w:r>
        <w:rPr/>
        <mc:AlternateContent>
          <mc:Choice Requires="wps">
            <w:drawing>
              <wp:anchor distT="0" distB="0" distL="0" distR="0" allowOverlap="1" layoutInCell="1" locked="0" behindDoc="1" simplePos="0" relativeHeight="487680000">
                <wp:simplePos x="0" y="0"/>
                <wp:positionH relativeFrom="page">
                  <wp:posOffset>899999</wp:posOffset>
                </wp:positionH>
                <wp:positionV relativeFrom="paragraph">
                  <wp:posOffset>59835</wp:posOffset>
                </wp:positionV>
                <wp:extent cx="6012180" cy="1270"/>
                <wp:effectExtent l="0" t="0" r="0" b="0"/>
                <wp:wrapTopAndBottom/>
                <wp:docPr id="501" name="Graphic 501"/>
                <wp:cNvGraphicFramePr>
                  <a:graphicFrameLocks/>
                </wp:cNvGraphicFramePr>
                <a:graphic>
                  <a:graphicData uri="http://schemas.microsoft.com/office/word/2010/wordprocessingShape">
                    <wps:wsp>
                      <wps:cNvPr id="501" name="Graphic 501"/>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711487pt;width:473.4pt;height:.1pt;mso-position-horizontal-relative:page;mso-position-vertical-relative:paragraph;z-index:-15636480;mso-wrap-distance-left:0;mso-wrap-distance-right:0" id="docshape397" coordorigin="1417,94" coordsize="9468,0" path="m1417,94l10885,94e" filled="false" stroked="true" strokeweight="1pt" strokecolor="#36a9e1">
                <v:path arrowok="t"/>
                <v:stroke dashstyle="solid"/>
                <w10:wrap type="topAndBottom"/>
              </v:shape>
            </w:pict>
          </mc:Fallback>
        </mc:AlternateContent>
      </w:r>
    </w:p>
    <w:p>
      <w:pPr>
        <w:pStyle w:val="BodyText"/>
        <w:spacing w:line="232" w:lineRule="auto" w:before="108"/>
        <w:ind w:left="1117" w:right="1087"/>
      </w:pPr>
      <w:r>
        <w:rPr/>
        <w:t>The current review of equality legislation in Ireland might lead to increasing divergence</w:t>
      </w:r>
      <w:r>
        <w:rPr>
          <w:spacing w:val="-5"/>
        </w:rPr>
        <w:t> </w:t>
      </w:r>
      <w:r>
        <w:rPr/>
        <w:t>in</w:t>
      </w:r>
      <w:r>
        <w:rPr>
          <w:spacing w:val="-6"/>
        </w:rPr>
        <w:t> </w:t>
      </w:r>
      <w:r>
        <w:rPr/>
        <w:t>rights</w:t>
      </w:r>
      <w:r>
        <w:rPr>
          <w:spacing w:val="-6"/>
        </w:rPr>
        <w:t> </w:t>
      </w:r>
      <w:r>
        <w:rPr/>
        <w:t>protection</w:t>
      </w:r>
      <w:r>
        <w:rPr>
          <w:spacing w:val="-6"/>
        </w:rPr>
        <w:t> </w:t>
      </w:r>
      <w:r>
        <w:rPr/>
        <w:t>on</w:t>
      </w:r>
      <w:r>
        <w:rPr>
          <w:spacing w:val="-6"/>
        </w:rPr>
        <w:t> </w:t>
      </w:r>
      <w:r>
        <w:rPr/>
        <w:t>the</w:t>
      </w:r>
      <w:r>
        <w:rPr>
          <w:spacing w:val="-5"/>
        </w:rPr>
        <w:t> </w:t>
      </w:r>
      <w:r>
        <w:rPr/>
        <w:t>island</w:t>
      </w:r>
      <w:r>
        <w:rPr>
          <w:spacing w:val="-6"/>
        </w:rPr>
        <w:t> </w:t>
      </w:r>
      <w:r>
        <w:rPr/>
        <w:t>of</w:t>
      </w:r>
      <w:r>
        <w:rPr>
          <w:spacing w:val="-6"/>
        </w:rPr>
        <w:t> </w:t>
      </w:r>
      <w:r>
        <w:rPr/>
        <w:t>Ireland.</w:t>
      </w:r>
      <w:r>
        <w:rPr>
          <w:spacing w:val="-6"/>
        </w:rPr>
        <w:t> </w:t>
      </w:r>
      <w:r>
        <w:rPr/>
        <w:t>This</w:t>
      </w:r>
      <w:r>
        <w:rPr>
          <w:spacing w:val="-6"/>
        </w:rPr>
        <w:t> </w:t>
      </w:r>
      <w:r>
        <w:rPr/>
        <w:t>is</w:t>
      </w:r>
      <w:r>
        <w:rPr>
          <w:spacing w:val="-6"/>
        </w:rPr>
        <w:t> </w:t>
      </w:r>
      <w:r>
        <w:rPr/>
        <w:t>speculative</w:t>
      </w:r>
      <w:r>
        <w:rPr>
          <w:spacing w:val="-5"/>
        </w:rPr>
        <w:t> </w:t>
      </w:r>
      <w:r>
        <w:rPr/>
        <w:t>as</w:t>
      </w:r>
      <w:r>
        <w:rPr>
          <w:spacing w:val="-6"/>
        </w:rPr>
        <w:t> </w:t>
      </w:r>
      <w:r>
        <w:rPr/>
        <w:t>the Government has not yet announced its plans much less introduced legislation.</w:t>
      </w:r>
    </w:p>
    <w:p>
      <w:pPr>
        <w:pStyle w:val="BodyText"/>
        <w:spacing w:line="329" w:lineRule="exact"/>
        <w:ind w:left="1117"/>
      </w:pPr>
      <w:r>
        <w:rPr/>
        <w:t>It</w:t>
      </w:r>
      <w:r>
        <w:rPr>
          <w:spacing w:val="-7"/>
        </w:rPr>
        <w:t> </w:t>
      </w:r>
      <w:r>
        <w:rPr/>
        <w:t>has</w:t>
      </w:r>
      <w:r>
        <w:rPr>
          <w:spacing w:val="-8"/>
        </w:rPr>
        <w:t> </w:t>
      </w:r>
      <w:r>
        <w:rPr/>
        <w:t>carried</w:t>
      </w:r>
      <w:r>
        <w:rPr>
          <w:spacing w:val="-7"/>
        </w:rPr>
        <w:t> </w:t>
      </w:r>
      <w:r>
        <w:rPr/>
        <w:t>out</w:t>
      </w:r>
      <w:r>
        <w:rPr>
          <w:spacing w:val="-7"/>
        </w:rPr>
        <w:t> </w:t>
      </w:r>
      <w:r>
        <w:rPr/>
        <w:t>a</w:t>
      </w:r>
      <w:r>
        <w:rPr>
          <w:spacing w:val="-8"/>
        </w:rPr>
        <w:t> </w:t>
      </w:r>
      <w:r>
        <w:rPr/>
        <w:t>consultation</w:t>
      </w:r>
      <w:r>
        <w:rPr>
          <w:spacing w:val="-7"/>
        </w:rPr>
        <w:t> </w:t>
      </w:r>
      <w:r>
        <w:rPr/>
        <w:t>and</w:t>
      </w:r>
      <w:r>
        <w:rPr>
          <w:spacing w:val="-8"/>
        </w:rPr>
        <w:t> </w:t>
      </w:r>
      <w:r>
        <w:rPr/>
        <w:t>many</w:t>
      </w:r>
      <w:r>
        <w:rPr>
          <w:spacing w:val="-6"/>
        </w:rPr>
        <w:t> </w:t>
      </w:r>
      <w:r>
        <w:rPr/>
        <w:t>stakeholders</w:t>
      </w:r>
      <w:r>
        <w:rPr>
          <w:spacing w:val="-8"/>
        </w:rPr>
        <w:t> </w:t>
      </w:r>
      <w:r>
        <w:rPr/>
        <w:t>responded</w:t>
      </w:r>
      <w:r>
        <w:rPr>
          <w:spacing w:val="-7"/>
        </w:rPr>
        <w:t> </w:t>
      </w:r>
      <w:r>
        <w:rPr/>
        <w:t>to</w:t>
      </w:r>
      <w:r>
        <w:rPr>
          <w:spacing w:val="-8"/>
        </w:rPr>
        <w:t> </w:t>
      </w:r>
      <w:r>
        <w:rPr>
          <w:spacing w:val="-2"/>
        </w:rPr>
        <w:t>this.</w:t>
      </w:r>
      <w:r>
        <w:rPr>
          <w:spacing w:val="-2"/>
          <w:vertAlign w:val="superscript"/>
        </w:rPr>
        <w:t>293</w:t>
      </w:r>
    </w:p>
    <w:p>
      <w:pPr>
        <w:pStyle w:val="BodyText"/>
        <w:spacing w:line="232" w:lineRule="auto" w:before="279"/>
        <w:ind w:left="1117" w:right="1087"/>
      </w:pPr>
      <w:r>
        <w:rPr/>
        <w:t>Some of the changes being considered in Ireland would have the effect of bringing</w:t>
      </w:r>
      <w:r>
        <w:rPr>
          <w:spacing w:val="-8"/>
        </w:rPr>
        <w:t> </w:t>
      </w:r>
      <w:r>
        <w:rPr/>
        <w:t>it</w:t>
      </w:r>
      <w:r>
        <w:rPr>
          <w:spacing w:val="-8"/>
        </w:rPr>
        <w:t> </w:t>
      </w:r>
      <w:r>
        <w:rPr/>
        <w:t>more</w:t>
      </w:r>
      <w:r>
        <w:rPr>
          <w:spacing w:val="-8"/>
        </w:rPr>
        <w:t> </w:t>
      </w:r>
      <w:r>
        <w:rPr/>
        <w:t>into</w:t>
      </w:r>
      <w:r>
        <w:rPr>
          <w:spacing w:val="-9"/>
        </w:rPr>
        <w:t> </w:t>
      </w:r>
      <w:r>
        <w:rPr/>
        <w:t>line</w:t>
      </w:r>
      <w:r>
        <w:rPr>
          <w:spacing w:val="-8"/>
        </w:rPr>
        <w:t> </w:t>
      </w:r>
      <w:r>
        <w:rPr/>
        <w:t>with</w:t>
      </w:r>
      <w:r>
        <w:rPr>
          <w:spacing w:val="-9"/>
        </w:rPr>
        <w:t> </w:t>
      </w:r>
      <w:r>
        <w:rPr/>
        <w:t>EU</w:t>
      </w:r>
      <w:r>
        <w:rPr>
          <w:spacing w:val="-8"/>
        </w:rPr>
        <w:t> </w:t>
      </w:r>
      <w:r>
        <w:rPr/>
        <w:t>(and</w:t>
      </w:r>
      <w:r>
        <w:rPr>
          <w:spacing w:val="-9"/>
        </w:rPr>
        <w:t> </w:t>
      </w:r>
      <w:r>
        <w:rPr/>
        <w:t>Northern</w:t>
      </w:r>
      <w:r>
        <w:rPr>
          <w:spacing w:val="-9"/>
        </w:rPr>
        <w:t> </w:t>
      </w:r>
      <w:r>
        <w:rPr/>
        <w:t>Ireland)</w:t>
      </w:r>
      <w:r>
        <w:rPr>
          <w:spacing w:val="-9"/>
        </w:rPr>
        <w:t> </w:t>
      </w:r>
      <w:r>
        <w:rPr/>
        <w:t>law.</w:t>
      </w:r>
      <w:r>
        <w:rPr>
          <w:vertAlign w:val="superscript"/>
        </w:rPr>
        <w:t>294</w:t>
      </w:r>
      <w:r>
        <w:rPr>
          <w:spacing w:val="-9"/>
          <w:vertAlign w:val="baseline"/>
        </w:rPr>
        <w:t> </w:t>
      </w:r>
      <w:r>
        <w:rPr>
          <w:vertAlign w:val="baseline"/>
        </w:rPr>
        <w:t>Other</w:t>
      </w:r>
      <w:r>
        <w:rPr>
          <w:spacing w:val="-8"/>
          <w:vertAlign w:val="baseline"/>
        </w:rPr>
        <w:t> </w:t>
      </w:r>
      <w:r>
        <w:rPr>
          <w:vertAlign w:val="baseline"/>
        </w:rPr>
        <w:t>proposals would be more innovative. These include the possibility of including protection for carers,</w:t>
      </w:r>
      <w:r>
        <w:rPr>
          <w:vertAlign w:val="superscript"/>
        </w:rPr>
        <w:t>295</w:t>
      </w:r>
      <w:r>
        <w:rPr>
          <w:vertAlign w:val="baseline"/>
        </w:rPr>
        <w:t> introducing protections on grounds of socio-economic status</w:t>
      </w:r>
      <w:r>
        <w:rPr>
          <w:vertAlign w:val="superscript"/>
        </w:rPr>
        <w:t>296</w:t>
      </w:r>
      <w:r>
        <w:rPr>
          <w:vertAlign w:val="baseline"/>
        </w:rPr>
        <w:t>.</w:t>
      </w:r>
    </w:p>
    <w:p>
      <w:pPr>
        <w:pStyle w:val="BodyText"/>
        <w:spacing w:line="232" w:lineRule="auto"/>
        <w:ind w:left="1117" w:right="1087"/>
      </w:pPr>
      <w:r>
        <w:rPr/>
        <w:t>Furthermore,</w:t>
      </w:r>
      <w:r>
        <w:rPr>
          <w:spacing w:val="-14"/>
        </w:rPr>
        <w:t> </w:t>
      </w:r>
      <w:r>
        <w:rPr/>
        <w:t>it</w:t>
      </w:r>
      <w:r>
        <w:rPr>
          <w:spacing w:val="-10"/>
        </w:rPr>
        <w:t> </w:t>
      </w:r>
      <w:r>
        <w:rPr/>
        <w:t>looks</w:t>
      </w:r>
      <w:r>
        <w:rPr>
          <w:spacing w:val="-10"/>
        </w:rPr>
        <w:t> </w:t>
      </w:r>
      <w:r>
        <w:rPr/>
        <w:t>at</w:t>
      </w:r>
      <w:r>
        <w:rPr>
          <w:spacing w:val="-10"/>
        </w:rPr>
        <w:t> </w:t>
      </w:r>
      <w:r>
        <w:rPr/>
        <w:t>recognising</w:t>
      </w:r>
      <w:r>
        <w:rPr>
          <w:spacing w:val="-10"/>
        </w:rPr>
        <w:t> </w:t>
      </w:r>
      <w:r>
        <w:rPr/>
        <w:t>intersectional</w:t>
      </w:r>
      <w:r>
        <w:rPr>
          <w:spacing w:val="-10"/>
        </w:rPr>
        <w:t> </w:t>
      </w:r>
      <w:r>
        <w:rPr/>
        <w:t>discrimination,</w:t>
      </w:r>
      <w:r>
        <w:rPr>
          <w:spacing w:val="-30"/>
        </w:rPr>
        <w:t> </w:t>
      </w:r>
      <w:r>
        <w:rPr>
          <w:vertAlign w:val="superscript"/>
        </w:rPr>
        <w:t>297</w:t>
      </w:r>
      <w:r>
        <w:rPr>
          <w:spacing w:val="-10"/>
          <w:vertAlign w:val="baseline"/>
        </w:rPr>
        <w:t> </w:t>
      </w:r>
      <w:r>
        <w:rPr>
          <w:vertAlign w:val="baseline"/>
        </w:rPr>
        <w:t>as</w:t>
      </w:r>
      <w:r>
        <w:rPr>
          <w:spacing w:val="-10"/>
          <w:vertAlign w:val="baseline"/>
        </w:rPr>
        <w:t> </w:t>
      </w:r>
      <w:r>
        <w:rPr>
          <w:vertAlign w:val="baseline"/>
        </w:rPr>
        <w:t>well</w:t>
      </w:r>
      <w:r>
        <w:rPr>
          <w:spacing w:val="-10"/>
          <w:vertAlign w:val="baseline"/>
        </w:rPr>
        <w:t> </w:t>
      </w:r>
      <w:r>
        <w:rPr>
          <w:vertAlign w:val="baseline"/>
        </w:rPr>
        <w:t>as considering issues around gender identity</w:t>
      </w:r>
      <w:r>
        <w:rPr>
          <w:vertAlign w:val="superscript"/>
        </w:rPr>
        <w:t>298</w:t>
      </w:r>
      <w:r>
        <w:rPr>
          <w:vertAlign w:val="baseline"/>
        </w:rPr>
        <w:t> and better data on equality.</w:t>
      </w:r>
      <w:r>
        <w:rPr>
          <w:vertAlign w:val="superscript"/>
        </w:rPr>
        <w:t>299</w:t>
      </w:r>
    </w:p>
    <w:p>
      <w:pPr>
        <w:pStyle w:val="BodyText"/>
        <w:spacing w:before="11"/>
        <w:rPr>
          <w:sz w:val="7"/>
        </w:rPr>
      </w:pPr>
      <w:r>
        <w:rPr/>
        <mc:AlternateContent>
          <mc:Choice Requires="wps">
            <w:drawing>
              <wp:anchor distT="0" distB="0" distL="0" distR="0" allowOverlap="1" layoutInCell="1" locked="0" behindDoc="1" simplePos="0" relativeHeight="487680512">
                <wp:simplePos x="0" y="0"/>
                <wp:positionH relativeFrom="page">
                  <wp:posOffset>899999</wp:posOffset>
                </wp:positionH>
                <wp:positionV relativeFrom="paragraph">
                  <wp:posOffset>76951</wp:posOffset>
                </wp:positionV>
                <wp:extent cx="6012180" cy="1270"/>
                <wp:effectExtent l="0" t="0" r="0" b="0"/>
                <wp:wrapTopAndBottom/>
                <wp:docPr id="502" name="Graphic 502"/>
                <wp:cNvGraphicFramePr>
                  <a:graphicFrameLocks/>
                </wp:cNvGraphicFramePr>
                <a:graphic>
                  <a:graphicData uri="http://schemas.microsoft.com/office/word/2010/wordprocessingShape">
                    <wps:wsp>
                      <wps:cNvPr id="502" name="Graphic 50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6.059168pt;width:473.4pt;height:.1pt;mso-position-horizontal-relative:page;mso-position-vertical-relative:paragraph;z-index:-15635968;mso-wrap-distance-left:0;mso-wrap-distance-right:0" id="docshape398" coordorigin="1417,121" coordsize="9468,0" path="m1417,121l10885,121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1164" w:hanging="567"/>
        <w:jc w:val="left"/>
        <w:rPr>
          <w:sz w:val="18"/>
        </w:rPr>
      </w:pPr>
      <w:r>
        <w:rPr>
          <w:sz w:val="18"/>
        </w:rPr>
        <w:t>Irish</w:t>
      </w:r>
      <w:r>
        <w:rPr>
          <w:spacing w:val="-4"/>
          <w:sz w:val="18"/>
        </w:rPr>
        <w:t> </w:t>
      </w:r>
      <w:r>
        <w:rPr>
          <w:sz w:val="18"/>
        </w:rPr>
        <w:t>Human</w:t>
      </w:r>
      <w:r>
        <w:rPr>
          <w:spacing w:val="-4"/>
          <w:sz w:val="18"/>
        </w:rPr>
        <w:t> </w:t>
      </w:r>
      <w:r>
        <w:rPr>
          <w:sz w:val="18"/>
        </w:rPr>
        <w:t>Rights</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hyperlink r:id="rId79">
        <w:r>
          <w:rPr>
            <w:color w:val="1D71B8"/>
            <w:sz w:val="18"/>
            <w:u w:val="single" w:color="1D71B8"/>
          </w:rPr>
          <w:t>The</w:t>
        </w:r>
        <w:r>
          <w:rPr>
            <w:color w:val="1D71B8"/>
            <w:spacing w:val="-3"/>
            <w:sz w:val="18"/>
            <w:u w:val="single" w:color="1D71B8"/>
          </w:rPr>
          <w:t> </w:t>
        </w:r>
        <w:r>
          <w:rPr>
            <w:color w:val="1D71B8"/>
            <w:sz w:val="18"/>
            <w:u w:val="single" w:color="1D71B8"/>
          </w:rPr>
          <w:t>Incorporation</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Economic,</w:t>
        </w:r>
        <w:r>
          <w:rPr>
            <w:color w:val="1D71B8"/>
            <w:spacing w:val="-3"/>
            <w:sz w:val="18"/>
            <w:u w:val="single" w:color="1D71B8"/>
          </w:rPr>
          <w:t> </w:t>
        </w:r>
        <w:r>
          <w:rPr>
            <w:color w:val="1D71B8"/>
            <w:sz w:val="18"/>
            <w:u w:val="single" w:color="1D71B8"/>
          </w:rPr>
          <w:t>Social</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Cultural</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into</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Irish</w:t>
        </w:r>
      </w:hyperlink>
      <w:r>
        <w:rPr>
          <w:color w:val="1D71B8"/>
          <w:sz w:val="18"/>
          <w:u w:val="none"/>
        </w:rPr>
        <w:t> </w:t>
      </w:r>
      <w:hyperlink r:id="rId79">
        <w:r>
          <w:rPr>
            <w:color w:val="1D71B8"/>
            <w:sz w:val="18"/>
            <w:u w:val="single" w:color="1D71B8"/>
          </w:rPr>
          <w:t>Constitution</w:t>
        </w:r>
      </w:hyperlink>
      <w:r>
        <w:rPr>
          <w:color w:val="1D71B8"/>
          <w:sz w:val="18"/>
          <w:u w:val="none"/>
        </w:rPr>
        <w:t> </w:t>
      </w:r>
      <w:r>
        <w:rPr>
          <w:sz w:val="18"/>
          <w:u w:val="none"/>
        </w:rPr>
        <w:t>(14 February 2023).</w:t>
      </w:r>
    </w:p>
    <w:p>
      <w:pPr>
        <w:pStyle w:val="ListParagraph"/>
        <w:numPr>
          <w:ilvl w:val="0"/>
          <w:numId w:val="18"/>
        </w:numPr>
        <w:tabs>
          <w:tab w:pos="1684" w:val="left" w:leader="none"/>
        </w:tabs>
        <w:spacing w:line="240" w:lineRule="auto" w:before="1" w:after="0"/>
        <w:ind w:left="1684" w:right="890" w:hanging="567"/>
        <w:jc w:val="left"/>
        <w:rPr>
          <w:i/>
          <w:sz w:val="18"/>
        </w:rPr>
      </w:pPr>
      <w:r>
        <w:rPr>
          <w:sz w:val="18"/>
        </w:rPr>
        <w:t>Harry</w:t>
      </w:r>
      <w:r>
        <w:rPr>
          <w:spacing w:val="-6"/>
          <w:sz w:val="18"/>
        </w:rPr>
        <w:t> </w:t>
      </w:r>
      <w:r>
        <w:rPr>
          <w:sz w:val="18"/>
        </w:rPr>
        <w:t>McGee</w:t>
      </w:r>
      <w:r>
        <w:rPr>
          <w:spacing w:val="-7"/>
          <w:sz w:val="18"/>
        </w:rPr>
        <w:t> </w:t>
      </w:r>
      <w:r>
        <w:rPr>
          <w:color w:val="1D71B8"/>
          <w:sz w:val="18"/>
          <w:u w:val="single" w:color="1D71B8"/>
        </w:rPr>
        <w:t>‘Wording</w:t>
      </w:r>
      <w:r>
        <w:rPr>
          <w:color w:val="1D71B8"/>
          <w:spacing w:val="-6"/>
          <w:sz w:val="18"/>
          <w:u w:val="single" w:color="1D71B8"/>
        </w:rPr>
        <w:t> </w:t>
      </w:r>
      <w:r>
        <w:rPr>
          <w:color w:val="1D71B8"/>
          <w:sz w:val="18"/>
          <w:u w:val="single" w:color="1D71B8"/>
        </w:rPr>
        <w:t>for</w:t>
      </w:r>
      <w:r>
        <w:rPr>
          <w:color w:val="1D71B8"/>
          <w:spacing w:val="-6"/>
          <w:sz w:val="18"/>
          <w:u w:val="single" w:color="1D71B8"/>
        </w:rPr>
        <w:t> </w:t>
      </w:r>
      <w:r>
        <w:rPr>
          <w:color w:val="1D71B8"/>
          <w:sz w:val="18"/>
          <w:u w:val="single" w:color="1D71B8"/>
        </w:rPr>
        <w:t>Referendum</w:t>
      </w:r>
      <w:r>
        <w:rPr>
          <w:color w:val="1D71B8"/>
          <w:spacing w:val="-6"/>
          <w:sz w:val="18"/>
          <w:u w:val="single" w:color="1D71B8"/>
        </w:rPr>
        <w:t> </w:t>
      </w:r>
      <w:r>
        <w:rPr>
          <w:color w:val="1D71B8"/>
          <w:sz w:val="18"/>
          <w:u w:val="single" w:color="1D71B8"/>
        </w:rPr>
        <w:t>to</w:t>
      </w:r>
      <w:r>
        <w:rPr>
          <w:color w:val="1D71B8"/>
          <w:spacing w:val="-7"/>
          <w:sz w:val="18"/>
          <w:u w:val="single" w:color="1D71B8"/>
        </w:rPr>
        <w:t> </w:t>
      </w:r>
      <w:r>
        <w:rPr>
          <w:color w:val="1D71B8"/>
          <w:sz w:val="18"/>
          <w:u w:val="single" w:color="1D71B8"/>
        </w:rPr>
        <w:t>Replace</w:t>
      </w:r>
      <w:r>
        <w:rPr>
          <w:color w:val="1D71B8"/>
          <w:spacing w:val="-6"/>
          <w:sz w:val="18"/>
          <w:u w:val="single" w:color="1D71B8"/>
        </w:rPr>
        <w:t> </w:t>
      </w:r>
      <w:r>
        <w:rPr>
          <w:color w:val="1D71B8"/>
          <w:sz w:val="18"/>
          <w:u w:val="single" w:color="1D71B8"/>
        </w:rPr>
        <w:t>Constitutional</w:t>
      </w:r>
      <w:r>
        <w:rPr>
          <w:color w:val="1D71B8"/>
          <w:spacing w:val="-7"/>
          <w:sz w:val="18"/>
          <w:u w:val="single" w:color="1D71B8"/>
        </w:rPr>
        <w:t> </w:t>
      </w:r>
      <w:r>
        <w:rPr>
          <w:color w:val="1D71B8"/>
          <w:sz w:val="18"/>
          <w:u w:val="single" w:color="1D71B8"/>
        </w:rPr>
        <w:t>Reference</w:t>
      </w:r>
      <w:r>
        <w:rPr>
          <w:color w:val="1D71B8"/>
          <w:spacing w:val="-6"/>
          <w:sz w:val="18"/>
          <w:u w:val="single" w:color="1D71B8"/>
        </w:rPr>
        <w:t> </w:t>
      </w:r>
      <w:r>
        <w:rPr>
          <w:color w:val="1D71B8"/>
          <w:sz w:val="18"/>
          <w:u w:val="single" w:color="1D71B8"/>
        </w:rPr>
        <w:t>to</w:t>
      </w:r>
      <w:r>
        <w:rPr>
          <w:color w:val="1D71B8"/>
          <w:spacing w:val="-7"/>
          <w:sz w:val="18"/>
          <w:u w:val="single" w:color="1D71B8"/>
        </w:rPr>
        <w:t> </w:t>
      </w:r>
      <w:r>
        <w:rPr>
          <w:color w:val="1D71B8"/>
          <w:sz w:val="18"/>
          <w:u w:val="single" w:color="1D71B8"/>
        </w:rPr>
        <w:t>Women’s</w:t>
      </w:r>
      <w:r>
        <w:rPr>
          <w:color w:val="1D71B8"/>
          <w:spacing w:val="-7"/>
          <w:sz w:val="18"/>
          <w:u w:val="single" w:color="1D71B8"/>
        </w:rPr>
        <w:t> </w:t>
      </w:r>
      <w:r>
        <w:rPr>
          <w:color w:val="1D71B8"/>
          <w:sz w:val="18"/>
          <w:u w:val="single" w:color="1D71B8"/>
        </w:rPr>
        <w:t>Place</w:t>
      </w:r>
      <w:r>
        <w:rPr>
          <w:color w:val="1D71B8"/>
          <w:spacing w:val="-6"/>
          <w:sz w:val="18"/>
          <w:u w:val="single" w:color="1D71B8"/>
        </w:rPr>
        <w:t> </w:t>
      </w:r>
      <w:r>
        <w:rPr>
          <w:color w:val="1D71B8"/>
          <w:sz w:val="18"/>
          <w:u w:val="single" w:color="1D71B8"/>
        </w:rPr>
        <w:t>in</w:t>
      </w:r>
      <w:r>
        <w:rPr>
          <w:color w:val="1D71B8"/>
          <w:spacing w:val="-7"/>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Home</w:t>
      </w:r>
      <w:r>
        <w:rPr>
          <w:color w:val="1D71B8"/>
          <w:spacing w:val="-6"/>
          <w:sz w:val="18"/>
          <w:u w:val="single" w:color="1D71B8"/>
        </w:rPr>
        <w:t> </w:t>
      </w:r>
      <w:r>
        <w:rPr>
          <w:color w:val="1D71B8"/>
          <w:sz w:val="18"/>
          <w:u w:val="single" w:color="1D71B8"/>
        </w:rPr>
        <w:t>Due</w:t>
      </w:r>
      <w:r>
        <w:rPr>
          <w:color w:val="1D71B8"/>
          <w:spacing w:val="-6"/>
          <w:sz w:val="18"/>
          <w:u w:val="single" w:color="1D71B8"/>
        </w:rPr>
        <w:t> </w:t>
      </w:r>
      <w:r>
        <w:rPr>
          <w:color w:val="1D71B8"/>
          <w:sz w:val="18"/>
          <w:u w:val="single" w:color="1D71B8"/>
        </w:rPr>
        <w:t>Shortly’</w:t>
      </w:r>
      <w:r>
        <w:rPr>
          <w:color w:val="1D71B8"/>
          <w:sz w:val="18"/>
          <w:u w:val="none"/>
        </w:rPr>
        <w:t> </w:t>
      </w:r>
      <w:r>
        <w:rPr>
          <w:sz w:val="18"/>
          <w:u w:val="none"/>
        </w:rPr>
        <w:t>(24 August 2023) </w:t>
      </w:r>
      <w:r>
        <w:rPr>
          <w:i/>
          <w:sz w:val="18"/>
          <w:u w:val="none"/>
        </w:rPr>
        <w:t>Irish Times.</w:t>
      </w:r>
    </w:p>
    <w:p>
      <w:pPr>
        <w:pStyle w:val="ListParagraph"/>
        <w:numPr>
          <w:ilvl w:val="0"/>
          <w:numId w:val="18"/>
        </w:numPr>
        <w:tabs>
          <w:tab w:pos="1684" w:val="left" w:leader="none"/>
        </w:tabs>
        <w:spacing w:line="240" w:lineRule="auto" w:before="0" w:after="0"/>
        <w:ind w:left="1684" w:right="895" w:hanging="567"/>
        <w:jc w:val="left"/>
        <w:rPr>
          <w:sz w:val="18"/>
        </w:rPr>
      </w:pPr>
      <w:r>
        <w:rPr>
          <w:sz w:val="18"/>
        </w:rPr>
        <w:t>Some</w:t>
      </w:r>
      <w:r>
        <w:rPr>
          <w:spacing w:val="-4"/>
          <w:sz w:val="18"/>
        </w:rPr>
        <w:t> </w:t>
      </w:r>
      <w:r>
        <w:rPr>
          <w:sz w:val="18"/>
        </w:rPr>
        <w:t>aspects</w:t>
      </w:r>
      <w:r>
        <w:rPr>
          <w:spacing w:val="-5"/>
          <w:sz w:val="18"/>
        </w:rPr>
        <w:t> </w:t>
      </w:r>
      <w:r>
        <w:rPr>
          <w:sz w:val="18"/>
        </w:rPr>
        <w:t>of</w:t>
      </w:r>
      <w:r>
        <w:rPr>
          <w:spacing w:val="-5"/>
          <w:sz w:val="18"/>
        </w:rPr>
        <w:t> </w:t>
      </w:r>
      <w:r>
        <w:rPr>
          <w:sz w:val="18"/>
        </w:rPr>
        <w:t>equality</w:t>
      </w:r>
      <w:r>
        <w:rPr>
          <w:spacing w:val="-4"/>
          <w:sz w:val="18"/>
        </w:rPr>
        <w:t> </w:t>
      </w:r>
      <w:r>
        <w:rPr>
          <w:sz w:val="18"/>
        </w:rPr>
        <w:t>legislation</w:t>
      </w:r>
      <w:r>
        <w:rPr>
          <w:spacing w:val="-5"/>
          <w:sz w:val="18"/>
        </w:rPr>
        <w:t> </w:t>
      </w:r>
      <w:r>
        <w:rPr>
          <w:sz w:val="18"/>
        </w:rPr>
        <w:t>do</w:t>
      </w:r>
      <w:r>
        <w:rPr>
          <w:spacing w:val="-5"/>
          <w:sz w:val="18"/>
        </w:rPr>
        <w:t> </w:t>
      </w:r>
      <w:r>
        <w:rPr>
          <w:sz w:val="18"/>
        </w:rPr>
        <w:t>not</w:t>
      </w:r>
      <w:r>
        <w:rPr>
          <w:spacing w:val="-4"/>
          <w:sz w:val="18"/>
        </w:rPr>
        <w:t> </w:t>
      </w:r>
      <w:r>
        <w:rPr>
          <w:sz w:val="18"/>
        </w:rPr>
        <w:t>adequately</w:t>
      </w:r>
      <w:r>
        <w:rPr>
          <w:spacing w:val="-4"/>
          <w:sz w:val="18"/>
        </w:rPr>
        <w:t> </w:t>
      </w:r>
      <w:r>
        <w:rPr>
          <w:sz w:val="18"/>
        </w:rPr>
        <w:t>implement</w:t>
      </w:r>
      <w:r>
        <w:rPr>
          <w:spacing w:val="-4"/>
          <w:sz w:val="18"/>
        </w:rPr>
        <w:t> </w:t>
      </w:r>
      <w:r>
        <w:rPr>
          <w:sz w:val="18"/>
        </w:rPr>
        <w:t>EU</w:t>
      </w:r>
      <w:r>
        <w:rPr>
          <w:spacing w:val="-4"/>
          <w:sz w:val="18"/>
        </w:rPr>
        <w:t> </w:t>
      </w:r>
      <w:r>
        <w:rPr>
          <w:sz w:val="18"/>
        </w:rPr>
        <w:t>directives</w:t>
      </w:r>
      <w:r>
        <w:rPr>
          <w:spacing w:val="-5"/>
          <w:sz w:val="18"/>
        </w:rPr>
        <w:t> </w:t>
      </w:r>
      <w:r>
        <w:rPr>
          <w:sz w:val="18"/>
        </w:rPr>
        <w:t>while</w:t>
      </w:r>
      <w:r>
        <w:rPr>
          <w:spacing w:val="-4"/>
          <w:sz w:val="18"/>
        </w:rPr>
        <w:t> </w:t>
      </w:r>
      <w:r>
        <w:rPr>
          <w:sz w:val="18"/>
        </w:rPr>
        <w:t>the</w:t>
      </w:r>
      <w:r>
        <w:rPr>
          <w:spacing w:val="-4"/>
          <w:sz w:val="18"/>
        </w:rPr>
        <w:t> </w:t>
      </w:r>
      <w:r>
        <w:rPr>
          <w:sz w:val="18"/>
        </w:rPr>
        <w:t>transposition</w:t>
      </w:r>
      <w:r>
        <w:rPr>
          <w:spacing w:val="-5"/>
          <w:sz w:val="18"/>
        </w:rPr>
        <w:t> </w:t>
      </w:r>
      <w:r>
        <w:rPr>
          <w:sz w:val="18"/>
        </w:rPr>
        <w:t>of</w:t>
      </w:r>
      <w:r>
        <w:rPr>
          <w:spacing w:val="-5"/>
          <w:sz w:val="18"/>
        </w:rPr>
        <w:t> </w:t>
      </w:r>
      <w:r>
        <w:rPr>
          <w:sz w:val="18"/>
        </w:rPr>
        <w:t>the</w:t>
      </w:r>
      <w:r>
        <w:rPr>
          <w:spacing w:val="-4"/>
          <w:sz w:val="18"/>
        </w:rPr>
        <w:t> </w:t>
      </w:r>
      <w:r>
        <w:rPr>
          <w:sz w:val="18"/>
        </w:rPr>
        <w:t>Work-Life Balance directive has been inadequate and given rise to the possibility of European Commission enforcement action.</w:t>
      </w:r>
    </w:p>
    <w:p>
      <w:pPr>
        <w:pStyle w:val="ListParagraph"/>
        <w:numPr>
          <w:ilvl w:val="0"/>
          <w:numId w:val="18"/>
        </w:numPr>
        <w:tabs>
          <w:tab w:pos="1684" w:val="left" w:leader="none"/>
        </w:tabs>
        <w:spacing w:line="240" w:lineRule="auto" w:before="1" w:after="0"/>
        <w:ind w:left="1684" w:right="846" w:hanging="567"/>
        <w:jc w:val="left"/>
        <w:rPr>
          <w:sz w:val="18"/>
        </w:rPr>
      </w:pPr>
      <w:r>
        <w:rPr>
          <w:sz w:val="18"/>
        </w:rPr>
        <w:t>Government</w:t>
      </w:r>
      <w:r>
        <w:rPr>
          <w:spacing w:val="-4"/>
          <w:sz w:val="18"/>
        </w:rPr>
        <w:t> </w:t>
      </w:r>
      <w:r>
        <w:rPr>
          <w:sz w:val="18"/>
        </w:rPr>
        <w:t>of</w:t>
      </w:r>
      <w:r>
        <w:rPr>
          <w:spacing w:val="-5"/>
          <w:sz w:val="18"/>
        </w:rPr>
        <w:t> </w:t>
      </w:r>
      <w:r>
        <w:rPr>
          <w:sz w:val="18"/>
        </w:rPr>
        <w:t>Ireland,</w:t>
      </w:r>
      <w:r>
        <w:rPr>
          <w:spacing w:val="-4"/>
          <w:sz w:val="18"/>
        </w:rPr>
        <w:t> </w:t>
      </w:r>
      <w:r>
        <w:rPr>
          <w:color w:val="1D71B8"/>
          <w:sz w:val="18"/>
          <w:u w:val="single" w:color="1D71B8"/>
        </w:rPr>
        <w:t>The</w:t>
      </w:r>
      <w:r>
        <w:rPr>
          <w:color w:val="1D71B8"/>
          <w:spacing w:val="-4"/>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Acts</w:t>
      </w:r>
      <w:r>
        <w:rPr>
          <w:color w:val="1D71B8"/>
          <w:spacing w:val="-5"/>
          <w:sz w:val="18"/>
          <w:u w:val="single" w:color="1D71B8"/>
        </w:rPr>
        <w:t> </w:t>
      </w:r>
      <w:r>
        <w:rPr>
          <w:color w:val="1D71B8"/>
          <w:sz w:val="18"/>
          <w:u w:val="single" w:color="1D71B8"/>
        </w:rPr>
        <w:t>Review:</w:t>
      </w:r>
      <w:r>
        <w:rPr>
          <w:color w:val="1D71B8"/>
          <w:spacing w:val="-4"/>
          <w:sz w:val="18"/>
          <w:u w:val="single" w:color="1D71B8"/>
        </w:rPr>
        <w:t> </w:t>
      </w:r>
      <w:r>
        <w:rPr>
          <w:color w:val="1D71B8"/>
          <w:sz w:val="18"/>
          <w:u w:val="single" w:color="1D71B8"/>
        </w:rPr>
        <w:t>Summary</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Submissions</w:t>
      </w:r>
      <w:r>
        <w:rPr>
          <w:color w:val="1D71B8"/>
          <w:spacing w:val="-5"/>
          <w:sz w:val="18"/>
          <w:u w:val="single" w:color="1D71B8"/>
        </w:rPr>
        <w:t> </w:t>
      </w:r>
      <w:r>
        <w:rPr>
          <w:color w:val="1D71B8"/>
          <w:sz w:val="18"/>
          <w:u w:val="single" w:color="1D71B8"/>
        </w:rPr>
        <w:t>Received</w:t>
      </w:r>
      <w:r>
        <w:rPr>
          <w:color w:val="1D71B8"/>
          <w:spacing w:val="-5"/>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2021</w:t>
      </w:r>
      <w:r>
        <w:rPr>
          <w:color w:val="1D71B8"/>
          <w:spacing w:val="-4"/>
          <w:sz w:val="18"/>
          <w:u w:val="single" w:color="1D71B8"/>
        </w:rPr>
        <w:t> </w:t>
      </w:r>
      <w:r>
        <w:rPr>
          <w:color w:val="1D71B8"/>
          <w:sz w:val="18"/>
          <w:u w:val="single" w:color="1D71B8"/>
        </w:rPr>
        <w:t>Public</w:t>
      </w:r>
      <w:r>
        <w:rPr>
          <w:color w:val="1D71B8"/>
          <w:spacing w:val="-4"/>
          <w:sz w:val="18"/>
          <w:u w:val="single" w:color="1D71B8"/>
        </w:rPr>
        <w:t> </w:t>
      </w:r>
      <w:r>
        <w:rPr>
          <w:color w:val="1D71B8"/>
          <w:sz w:val="18"/>
          <w:u w:val="single" w:color="1D71B8"/>
        </w:rPr>
        <w:t>Consultation</w:t>
      </w:r>
      <w:r>
        <w:rPr>
          <w:color w:val="1D71B8"/>
          <w:sz w:val="18"/>
          <w:u w:val="none"/>
        </w:rPr>
        <w:t> </w:t>
      </w:r>
      <w:r>
        <w:rPr>
          <w:color w:val="1D71B8"/>
          <w:sz w:val="18"/>
          <w:u w:val="single" w:color="1D71B8"/>
        </w:rPr>
        <w:t>on the Review of the Equality Acts</w:t>
      </w:r>
      <w:r>
        <w:rPr>
          <w:color w:val="1D71B8"/>
          <w:sz w:val="18"/>
          <w:u w:val="none"/>
        </w:rPr>
        <w:t> </w:t>
      </w:r>
      <w:r>
        <w:rPr>
          <w:sz w:val="18"/>
          <w:u w:val="none"/>
        </w:rPr>
        <w:t>(Department of Children, Equality, Disability, Integration and Youth, Dublin 2023).</w:t>
      </w:r>
    </w:p>
    <w:p>
      <w:pPr>
        <w:pStyle w:val="ListParagraph"/>
        <w:numPr>
          <w:ilvl w:val="0"/>
          <w:numId w:val="18"/>
        </w:numPr>
        <w:tabs>
          <w:tab w:pos="1684" w:val="left" w:leader="none"/>
        </w:tabs>
        <w:spacing w:line="240" w:lineRule="auto" w:before="1" w:after="0"/>
        <w:ind w:left="1684" w:right="783" w:hanging="567"/>
        <w:jc w:val="left"/>
        <w:rPr>
          <w:sz w:val="18"/>
        </w:rPr>
      </w:pPr>
      <w:r>
        <w:rPr>
          <w:sz w:val="18"/>
        </w:rPr>
        <w:t>For instance specifying that harassment is a form of discrimination, ensuring that non-religious belief is a protected characteristic, amending the definition of racial discrimination, removing or modifying problematic exemptions: Government of</w:t>
      </w:r>
      <w:r>
        <w:rPr>
          <w:spacing w:val="-1"/>
          <w:sz w:val="18"/>
        </w:rPr>
        <w:t> </w:t>
      </w:r>
      <w:r>
        <w:rPr>
          <w:sz w:val="18"/>
        </w:rPr>
        <w:t>Ireland, </w:t>
      </w:r>
      <w:r>
        <w:rPr>
          <w:color w:val="1D71B8"/>
          <w:sz w:val="18"/>
          <w:u w:val="single" w:color="1D71B8"/>
        </w:rPr>
        <w:t>The Equality Acts</w:t>
      </w:r>
      <w:r>
        <w:rPr>
          <w:color w:val="1D71B8"/>
          <w:spacing w:val="-1"/>
          <w:sz w:val="18"/>
          <w:u w:val="single" w:color="1D71B8"/>
        </w:rPr>
        <w:t> </w:t>
      </w:r>
      <w:r>
        <w:rPr>
          <w:color w:val="1D71B8"/>
          <w:sz w:val="18"/>
          <w:u w:val="single" w:color="1D71B8"/>
        </w:rPr>
        <w:t>Review: Summary of</w:t>
      </w:r>
      <w:r>
        <w:rPr>
          <w:color w:val="1D71B8"/>
          <w:spacing w:val="-1"/>
          <w:sz w:val="18"/>
          <w:u w:val="single" w:color="1D71B8"/>
        </w:rPr>
        <w:t> </w:t>
      </w:r>
      <w:r>
        <w:rPr>
          <w:color w:val="1D71B8"/>
          <w:sz w:val="18"/>
          <w:u w:val="single" w:color="1D71B8"/>
        </w:rPr>
        <w:t>the Submissions</w:t>
      </w:r>
      <w:r>
        <w:rPr>
          <w:color w:val="1D71B8"/>
          <w:spacing w:val="-1"/>
          <w:sz w:val="18"/>
          <w:u w:val="single" w:color="1D71B8"/>
        </w:rPr>
        <w:t> </w:t>
      </w:r>
      <w:r>
        <w:rPr>
          <w:color w:val="1D71B8"/>
          <w:sz w:val="18"/>
          <w:u w:val="single" w:color="1D71B8"/>
        </w:rPr>
        <w:t>Received</w:t>
      </w:r>
      <w:r>
        <w:rPr>
          <w:color w:val="1D71B8"/>
          <w:spacing w:val="-1"/>
          <w:sz w:val="18"/>
          <w:u w:val="single" w:color="1D71B8"/>
        </w:rPr>
        <w:t> </w:t>
      </w:r>
      <w:r>
        <w:rPr>
          <w:color w:val="1D71B8"/>
          <w:sz w:val="18"/>
          <w:u w:val="single" w:color="1D71B8"/>
        </w:rPr>
        <w:t>to</w:t>
      </w:r>
      <w:r>
        <w:rPr>
          <w:color w:val="1D71B8"/>
          <w:spacing w:val="-1"/>
          <w:sz w:val="18"/>
          <w:u w:val="single" w:color="1D71B8"/>
        </w:rPr>
        <w:t> </w:t>
      </w:r>
      <w:r>
        <w:rPr>
          <w:color w:val="1D71B8"/>
          <w:sz w:val="18"/>
          <w:u w:val="single" w:color="1D71B8"/>
        </w:rPr>
        <w:t>the 2021 Public Consultation</w:t>
      </w:r>
      <w:r>
        <w:rPr>
          <w:color w:val="1D71B8"/>
          <w:sz w:val="18"/>
          <w:u w:val="none"/>
        </w:rPr>
        <w:t> </w:t>
      </w:r>
      <w:r>
        <w:rPr>
          <w:color w:val="1D71B8"/>
          <w:sz w:val="18"/>
          <w:u w:val="single" w:color="1D71B8"/>
        </w:rPr>
        <w:t>on</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Review</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Equality</w:t>
      </w:r>
      <w:r>
        <w:rPr>
          <w:color w:val="1D71B8"/>
          <w:spacing w:val="-5"/>
          <w:sz w:val="18"/>
          <w:u w:val="single" w:color="1D71B8"/>
        </w:rPr>
        <w:t> </w:t>
      </w:r>
      <w:r>
        <w:rPr>
          <w:color w:val="1D71B8"/>
          <w:sz w:val="18"/>
          <w:u w:val="single" w:color="1D71B8"/>
        </w:rPr>
        <w:t>Acts</w:t>
      </w:r>
      <w:r>
        <w:rPr>
          <w:color w:val="1D71B8"/>
          <w:spacing w:val="-7"/>
          <w:sz w:val="18"/>
          <w:u w:val="none"/>
        </w:rPr>
        <w:t> </w:t>
      </w:r>
      <w:r>
        <w:rPr>
          <w:sz w:val="18"/>
          <w:u w:val="none"/>
        </w:rPr>
        <w:t>(Department</w:t>
      </w:r>
      <w:r>
        <w:rPr>
          <w:spacing w:val="-5"/>
          <w:sz w:val="18"/>
          <w:u w:val="none"/>
        </w:rPr>
        <w:t> </w:t>
      </w:r>
      <w:r>
        <w:rPr>
          <w:sz w:val="18"/>
          <w:u w:val="none"/>
        </w:rPr>
        <w:t>of</w:t>
      </w:r>
      <w:r>
        <w:rPr>
          <w:spacing w:val="-6"/>
          <w:sz w:val="18"/>
          <w:u w:val="none"/>
        </w:rPr>
        <w:t> </w:t>
      </w:r>
      <w:r>
        <w:rPr>
          <w:sz w:val="18"/>
          <w:u w:val="none"/>
        </w:rPr>
        <w:t>Children,</w:t>
      </w:r>
      <w:r>
        <w:rPr>
          <w:spacing w:val="-5"/>
          <w:sz w:val="18"/>
          <w:u w:val="none"/>
        </w:rPr>
        <w:t> </w:t>
      </w:r>
      <w:r>
        <w:rPr>
          <w:sz w:val="18"/>
          <w:u w:val="none"/>
        </w:rPr>
        <w:t>Equality,</w:t>
      </w:r>
      <w:r>
        <w:rPr>
          <w:spacing w:val="-5"/>
          <w:sz w:val="18"/>
          <w:u w:val="none"/>
        </w:rPr>
        <w:t> </w:t>
      </w:r>
      <w:r>
        <w:rPr>
          <w:sz w:val="18"/>
          <w:u w:val="none"/>
        </w:rPr>
        <w:t>Disability,</w:t>
      </w:r>
      <w:r>
        <w:rPr>
          <w:spacing w:val="-5"/>
          <w:sz w:val="18"/>
          <w:u w:val="none"/>
        </w:rPr>
        <w:t> </w:t>
      </w:r>
      <w:r>
        <w:rPr>
          <w:sz w:val="18"/>
          <w:u w:val="none"/>
        </w:rPr>
        <w:t>Integration</w:t>
      </w:r>
      <w:r>
        <w:rPr>
          <w:spacing w:val="-6"/>
          <w:sz w:val="18"/>
          <w:u w:val="none"/>
        </w:rPr>
        <w:t> </w:t>
      </w:r>
      <w:r>
        <w:rPr>
          <w:sz w:val="18"/>
          <w:u w:val="none"/>
        </w:rPr>
        <w:t>and</w:t>
      </w:r>
      <w:r>
        <w:rPr>
          <w:spacing w:val="-6"/>
          <w:sz w:val="18"/>
          <w:u w:val="none"/>
        </w:rPr>
        <w:t> </w:t>
      </w:r>
      <w:r>
        <w:rPr>
          <w:sz w:val="18"/>
          <w:u w:val="none"/>
        </w:rPr>
        <w:t>Youth,</w:t>
      </w:r>
      <w:r>
        <w:rPr>
          <w:spacing w:val="-5"/>
          <w:sz w:val="18"/>
          <w:u w:val="none"/>
        </w:rPr>
        <w:t> </w:t>
      </w:r>
      <w:r>
        <w:rPr>
          <w:sz w:val="18"/>
          <w:u w:val="none"/>
        </w:rPr>
        <w:t>Dublin</w:t>
      </w:r>
      <w:r>
        <w:rPr>
          <w:spacing w:val="-6"/>
          <w:sz w:val="18"/>
          <w:u w:val="none"/>
        </w:rPr>
        <w:t> </w:t>
      </w:r>
      <w:r>
        <w:rPr>
          <w:sz w:val="18"/>
          <w:u w:val="none"/>
        </w:rPr>
        <w:t>2023)</w:t>
      </w:r>
      <w:r>
        <w:rPr>
          <w:spacing w:val="-6"/>
          <w:sz w:val="18"/>
          <w:u w:val="none"/>
        </w:rPr>
        <w:t> </w:t>
      </w:r>
      <w:r>
        <w:rPr>
          <w:sz w:val="18"/>
          <w:u w:val="none"/>
        </w:rPr>
        <w:t>6,</w:t>
      </w:r>
      <w:r>
        <w:rPr>
          <w:spacing w:val="-5"/>
          <w:sz w:val="18"/>
          <w:u w:val="none"/>
        </w:rPr>
        <w:t> </w:t>
      </w:r>
      <w:r>
        <w:rPr>
          <w:sz w:val="18"/>
          <w:u w:val="none"/>
        </w:rPr>
        <w:t>16, 31, 46, 48, 51, 52.</w:t>
      </w:r>
    </w:p>
    <w:p>
      <w:pPr>
        <w:pStyle w:val="ListParagraph"/>
        <w:numPr>
          <w:ilvl w:val="0"/>
          <w:numId w:val="18"/>
        </w:numPr>
        <w:tabs>
          <w:tab w:pos="1684" w:val="left" w:leader="none"/>
        </w:tabs>
        <w:spacing w:line="240" w:lineRule="auto" w:before="1" w:after="0"/>
        <w:ind w:left="1684" w:right="846" w:hanging="567"/>
        <w:jc w:val="left"/>
        <w:rPr>
          <w:sz w:val="18"/>
        </w:rPr>
      </w:pPr>
      <w:r>
        <w:rPr>
          <w:sz w:val="18"/>
        </w:rPr>
        <w:t>Government</w:t>
      </w:r>
      <w:r>
        <w:rPr>
          <w:spacing w:val="-4"/>
          <w:sz w:val="18"/>
        </w:rPr>
        <w:t> </w:t>
      </w:r>
      <w:r>
        <w:rPr>
          <w:sz w:val="18"/>
        </w:rPr>
        <w:t>of</w:t>
      </w:r>
      <w:r>
        <w:rPr>
          <w:spacing w:val="-5"/>
          <w:sz w:val="18"/>
        </w:rPr>
        <w:t> </w:t>
      </w:r>
      <w:r>
        <w:rPr>
          <w:sz w:val="18"/>
        </w:rPr>
        <w:t>Ireland,</w:t>
      </w:r>
      <w:r>
        <w:rPr>
          <w:spacing w:val="-4"/>
          <w:sz w:val="18"/>
        </w:rPr>
        <w:t> </w:t>
      </w:r>
      <w:r>
        <w:rPr>
          <w:color w:val="1D71B8"/>
          <w:sz w:val="18"/>
          <w:u w:val="single" w:color="1D71B8"/>
        </w:rPr>
        <w:t>The</w:t>
      </w:r>
      <w:r>
        <w:rPr>
          <w:color w:val="1D71B8"/>
          <w:spacing w:val="-4"/>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Acts</w:t>
      </w:r>
      <w:r>
        <w:rPr>
          <w:color w:val="1D71B8"/>
          <w:spacing w:val="-5"/>
          <w:sz w:val="18"/>
          <w:u w:val="single" w:color="1D71B8"/>
        </w:rPr>
        <w:t> </w:t>
      </w:r>
      <w:r>
        <w:rPr>
          <w:color w:val="1D71B8"/>
          <w:sz w:val="18"/>
          <w:u w:val="single" w:color="1D71B8"/>
        </w:rPr>
        <w:t>Review:</w:t>
      </w:r>
      <w:r>
        <w:rPr>
          <w:color w:val="1D71B8"/>
          <w:spacing w:val="-4"/>
          <w:sz w:val="18"/>
          <w:u w:val="single" w:color="1D71B8"/>
        </w:rPr>
        <w:t> </w:t>
      </w:r>
      <w:r>
        <w:rPr>
          <w:color w:val="1D71B8"/>
          <w:sz w:val="18"/>
          <w:u w:val="single" w:color="1D71B8"/>
        </w:rPr>
        <w:t>Summary</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Submissions</w:t>
      </w:r>
      <w:r>
        <w:rPr>
          <w:color w:val="1D71B8"/>
          <w:spacing w:val="-5"/>
          <w:sz w:val="18"/>
          <w:u w:val="single" w:color="1D71B8"/>
        </w:rPr>
        <w:t> </w:t>
      </w:r>
      <w:r>
        <w:rPr>
          <w:color w:val="1D71B8"/>
          <w:sz w:val="18"/>
          <w:u w:val="single" w:color="1D71B8"/>
        </w:rPr>
        <w:t>Received</w:t>
      </w:r>
      <w:r>
        <w:rPr>
          <w:color w:val="1D71B8"/>
          <w:spacing w:val="-5"/>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2021</w:t>
      </w:r>
      <w:r>
        <w:rPr>
          <w:color w:val="1D71B8"/>
          <w:spacing w:val="-4"/>
          <w:sz w:val="18"/>
          <w:u w:val="single" w:color="1D71B8"/>
        </w:rPr>
        <w:t> </w:t>
      </w:r>
      <w:r>
        <w:rPr>
          <w:color w:val="1D71B8"/>
          <w:sz w:val="18"/>
          <w:u w:val="single" w:color="1D71B8"/>
        </w:rPr>
        <w:t>Public</w:t>
      </w:r>
      <w:r>
        <w:rPr>
          <w:color w:val="1D71B8"/>
          <w:spacing w:val="-4"/>
          <w:sz w:val="18"/>
          <w:u w:val="single" w:color="1D71B8"/>
        </w:rPr>
        <w:t> </w:t>
      </w:r>
      <w:r>
        <w:rPr>
          <w:color w:val="1D71B8"/>
          <w:sz w:val="18"/>
          <w:u w:val="single" w:color="1D71B8"/>
        </w:rPr>
        <w:t>Consultation</w:t>
      </w:r>
      <w:r>
        <w:rPr>
          <w:color w:val="1D71B8"/>
          <w:sz w:val="18"/>
          <w:u w:val="none"/>
        </w:rPr>
        <w:t> </w:t>
      </w:r>
      <w:r>
        <w:rPr>
          <w:color w:val="1D71B8"/>
          <w:sz w:val="18"/>
          <w:u w:val="single" w:color="1D71B8"/>
        </w:rPr>
        <w:t>on the Review of the Equality Acts</w:t>
      </w:r>
      <w:r>
        <w:rPr>
          <w:color w:val="1D71B8"/>
          <w:spacing w:val="-1"/>
          <w:sz w:val="18"/>
          <w:u w:val="none"/>
        </w:rPr>
        <w:t> </w:t>
      </w:r>
      <w:r>
        <w:rPr>
          <w:sz w:val="18"/>
          <w:u w:val="none"/>
        </w:rPr>
        <w:t>(Department of Children, Equality, Disability, Integration and Youth, Dublin 2023) 10.</w:t>
      </w:r>
    </w:p>
    <w:p>
      <w:pPr>
        <w:pStyle w:val="ListParagraph"/>
        <w:numPr>
          <w:ilvl w:val="0"/>
          <w:numId w:val="18"/>
        </w:numPr>
        <w:tabs>
          <w:tab w:pos="1684" w:val="left" w:leader="none"/>
        </w:tabs>
        <w:spacing w:line="240" w:lineRule="auto" w:before="0" w:after="0"/>
        <w:ind w:left="1684" w:right="1293" w:hanging="567"/>
        <w:jc w:val="left"/>
        <w:rPr>
          <w:sz w:val="18"/>
        </w:rPr>
      </w:pPr>
      <w:r>
        <w:rPr>
          <w:sz w:val="18"/>
        </w:rPr>
        <w:t>The</w:t>
      </w:r>
      <w:r>
        <w:rPr>
          <w:spacing w:val="-4"/>
          <w:sz w:val="18"/>
        </w:rPr>
        <w:t> </w:t>
      </w:r>
      <w:r>
        <w:rPr>
          <w:sz w:val="18"/>
        </w:rPr>
        <w:t>consultation</w:t>
      </w:r>
      <w:r>
        <w:rPr>
          <w:spacing w:val="-5"/>
          <w:sz w:val="18"/>
        </w:rPr>
        <w:t> </w:t>
      </w:r>
      <w:r>
        <w:rPr>
          <w:sz w:val="18"/>
        </w:rPr>
        <w:t>resulted</w:t>
      </w:r>
      <w:r>
        <w:rPr>
          <w:spacing w:val="-5"/>
          <w:sz w:val="18"/>
        </w:rPr>
        <w:t> </w:t>
      </w:r>
      <w:r>
        <w:rPr>
          <w:sz w:val="18"/>
        </w:rPr>
        <w:t>in</w:t>
      </w:r>
      <w:r>
        <w:rPr>
          <w:spacing w:val="-4"/>
          <w:sz w:val="18"/>
        </w:rPr>
        <w:t> </w:t>
      </w:r>
      <w:r>
        <w:rPr>
          <w:sz w:val="18"/>
        </w:rPr>
        <w:t>suggestions</w:t>
      </w:r>
      <w:r>
        <w:rPr>
          <w:spacing w:val="-5"/>
          <w:sz w:val="18"/>
        </w:rPr>
        <w:t> </w:t>
      </w:r>
      <w:r>
        <w:rPr>
          <w:sz w:val="18"/>
        </w:rPr>
        <w:t>on</w:t>
      </w:r>
      <w:r>
        <w:rPr>
          <w:spacing w:val="-5"/>
          <w:sz w:val="18"/>
        </w:rPr>
        <w:t> </w:t>
      </w:r>
      <w:r>
        <w:rPr>
          <w:sz w:val="18"/>
        </w:rPr>
        <w:t>the</w:t>
      </w:r>
      <w:r>
        <w:rPr>
          <w:spacing w:val="-4"/>
          <w:sz w:val="18"/>
        </w:rPr>
        <w:t> </w:t>
      </w:r>
      <w:r>
        <w:rPr>
          <w:sz w:val="18"/>
        </w:rPr>
        <w:t>introduction</w:t>
      </w:r>
      <w:r>
        <w:rPr>
          <w:spacing w:val="-5"/>
          <w:sz w:val="18"/>
        </w:rPr>
        <w:t> </w:t>
      </w:r>
      <w:r>
        <w:rPr>
          <w:sz w:val="18"/>
        </w:rPr>
        <w:t>of</w:t>
      </w:r>
      <w:r>
        <w:rPr>
          <w:spacing w:val="-4"/>
          <w:sz w:val="18"/>
        </w:rPr>
        <w:t> </w:t>
      </w:r>
      <w:r>
        <w:rPr>
          <w:sz w:val="18"/>
        </w:rPr>
        <w:t>a</w:t>
      </w:r>
      <w:r>
        <w:rPr>
          <w:spacing w:val="-5"/>
          <w:sz w:val="18"/>
        </w:rPr>
        <w:t> </w:t>
      </w:r>
      <w:r>
        <w:rPr>
          <w:sz w:val="18"/>
        </w:rPr>
        <w:t>socio-economic</w:t>
      </w:r>
      <w:r>
        <w:rPr>
          <w:spacing w:val="-4"/>
          <w:sz w:val="18"/>
        </w:rPr>
        <w:t> </w:t>
      </w:r>
      <w:r>
        <w:rPr>
          <w:sz w:val="18"/>
        </w:rPr>
        <w:t>ground,</w:t>
      </w:r>
      <w:r>
        <w:rPr>
          <w:spacing w:val="-4"/>
          <w:sz w:val="18"/>
        </w:rPr>
        <w:t> </w:t>
      </w:r>
      <w:r>
        <w:rPr>
          <w:sz w:val="18"/>
        </w:rPr>
        <w:t>including</w:t>
      </w:r>
      <w:r>
        <w:rPr>
          <w:spacing w:val="-4"/>
          <w:sz w:val="18"/>
        </w:rPr>
        <w:t> </w:t>
      </w:r>
      <w:r>
        <w:rPr>
          <w:sz w:val="18"/>
        </w:rPr>
        <w:t>drawing</w:t>
      </w:r>
      <w:r>
        <w:rPr>
          <w:spacing w:val="-4"/>
          <w:sz w:val="18"/>
        </w:rPr>
        <w:t> </w:t>
      </w:r>
      <w:r>
        <w:rPr>
          <w:sz w:val="18"/>
        </w:rPr>
        <w:t>on</w:t>
      </w:r>
      <w:r>
        <w:rPr>
          <w:spacing w:val="-5"/>
          <w:sz w:val="18"/>
        </w:rPr>
        <w:t> </w:t>
      </w:r>
      <w:r>
        <w:rPr>
          <w:sz w:val="18"/>
        </w:rPr>
        <w:t>the definition of ‘socio-economic disadvantage’ in the </w:t>
      </w:r>
      <w:r>
        <w:rPr>
          <w:color w:val="1D71B8"/>
          <w:sz w:val="18"/>
          <w:u w:val="single" w:color="1D71B8"/>
        </w:rPr>
        <w:t>Equality (Miscellaneous Provisions) Bill 2021</w:t>
      </w:r>
      <w:r>
        <w:rPr>
          <w:sz w:val="18"/>
          <w:u w:val="none"/>
        </w:rPr>
        <w:t>.</w:t>
      </w:r>
    </w:p>
    <w:p>
      <w:pPr>
        <w:pStyle w:val="ListParagraph"/>
        <w:numPr>
          <w:ilvl w:val="0"/>
          <w:numId w:val="18"/>
        </w:numPr>
        <w:tabs>
          <w:tab w:pos="1684" w:val="left" w:leader="none"/>
        </w:tabs>
        <w:spacing w:line="240" w:lineRule="auto" w:before="1" w:after="0"/>
        <w:ind w:left="1684" w:right="846" w:hanging="567"/>
        <w:jc w:val="left"/>
        <w:rPr>
          <w:sz w:val="18"/>
        </w:rPr>
      </w:pPr>
      <w:r>
        <w:rPr>
          <w:sz w:val="18"/>
        </w:rPr>
        <w:t>Government</w:t>
      </w:r>
      <w:r>
        <w:rPr>
          <w:spacing w:val="-4"/>
          <w:sz w:val="18"/>
        </w:rPr>
        <w:t> </w:t>
      </w:r>
      <w:r>
        <w:rPr>
          <w:sz w:val="18"/>
        </w:rPr>
        <w:t>of</w:t>
      </w:r>
      <w:r>
        <w:rPr>
          <w:spacing w:val="-5"/>
          <w:sz w:val="18"/>
        </w:rPr>
        <w:t> </w:t>
      </w:r>
      <w:r>
        <w:rPr>
          <w:sz w:val="18"/>
        </w:rPr>
        <w:t>Ireland,</w:t>
      </w:r>
      <w:r>
        <w:rPr>
          <w:spacing w:val="-4"/>
          <w:sz w:val="18"/>
        </w:rPr>
        <w:t> </w:t>
      </w:r>
      <w:r>
        <w:rPr>
          <w:color w:val="1D71B8"/>
          <w:sz w:val="18"/>
          <w:u w:val="single" w:color="1D71B8"/>
        </w:rPr>
        <w:t>The</w:t>
      </w:r>
      <w:r>
        <w:rPr>
          <w:color w:val="1D71B8"/>
          <w:spacing w:val="-4"/>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Acts</w:t>
      </w:r>
      <w:r>
        <w:rPr>
          <w:color w:val="1D71B8"/>
          <w:spacing w:val="-5"/>
          <w:sz w:val="18"/>
          <w:u w:val="single" w:color="1D71B8"/>
        </w:rPr>
        <w:t> </w:t>
      </w:r>
      <w:r>
        <w:rPr>
          <w:color w:val="1D71B8"/>
          <w:sz w:val="18"/>
          <w:u w:val="single" w:color="1D71B8"/>
        </w:rPr>
        <w:t>Review:</w:t>
      </w:r>
      <w:r>
        <w:rPr>
          <w:color w:val="1D71B8"/>
          <w:spacing w:val="-4"/>
          <w:sz w:val="18"/>
          <w:u w:val="single" w:color="1D71B8"/>
        </w:rPr>
        <w:t> </w:t>
      </w:r>
      <w:r>
        <w:rPr>
          <w:color w:val="1D71B8"/>
          <w:sz w:val="18"/>
          <w:u w:val="single" w:color="1D71B8"/>
        </w:rPr>
        <w:t>Summary</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Submissions</w:t>
      </w:r>
      <w:r>
        <w:rPr>
          <w:color w:val="1D71B8"/>
          <w:spacing w:val="-5"/>
          <w:sz w:val="18"/>
          <w:u w:val="single" w:color="1D71B8"/>
        </w:rPr>
        <w:t> </w:t>
      </w:r>
      <w:r>
        <w:rPr>
          <w:color w:val="1D71B8"/>
          <w:sz w:val="18"/>
          <w:u w:val="single" w:color="1D71B8"/>
        </w:rPr>
        <w:t>Received</w:t>
      </w:r>
      <w:r>
        <w:rPr>
          <w:color w:val="1D71B8"/>
          <w:spacing w:val="-5"/>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2021</w:t>
      </w:r>
      <w:r>
        <w:rPr>
          <w:color w:val="1D71B8"/>
          <w:spacing w:val="-4"/>
          <w:sz w:val="18"/>
          <w:u w:val="single" w:color="1D71B8"/>
        </w:rPr>
        <w:t> </w:t>
      </w:r>
      <w:r>
        <w:rPr>
          <w:color w:val="1D71B8"/>
          <w:sz w:val="18"/>
          <w:u w:val="single" w:color="1D71B8"/>
        </w:rPr>
        <w:t>Public</w:t>
      </w:r>
      <w:r>
        <w:rPr>
          <w:color w:val="1D71B8"/>
          <w:spacing w:val="-4"/>
          <w:sz w:val="18"/>
          <w:u w:val="single" w:color="1D71B8"/>
        </w:rPr>
        <w:t> </w:t>
      </w:r>
      <w:r>
        <w:rPr>
          <w:color w:val="1D71B8"/>
          <w:sz w:val="18"/>
          <w:u w:val="single" w:color="1D71B8"/>
        </w:rPr>
        <w:t>Consultation</w:t>
      </w:r>
      <w:r>
        <w:rPr>
          <w:color w:val="1D71B8"/>
          <w:sz w:val="18"/>
          <w:u w:val="none"/>
        </w:rPr>
        <w:t> </w:t>
      </w:r>
      <w:r>
        <w:rPr>
          <w:color w:val="1D71B8"/>
          <w:sz w:val="18"/>
          <w:u w:val="single" w:color="1D71B8"/>
        </w:rPr>
        <w:t>on the Review of the Equality Acts</w:t>
      </w:r>
      <w:r>
        <w:rPr>
          <w:color w:val="1D71B8"/>
          <w:sz w:val="18"/>
          <w:u w:val="none"/>
        </w:rPr>
        <w:t> </w:t>
      </w:r>
      <w:r>
        <w:rPr>
          <w:sz w:val="18"/>
          <w:u w:val="none"/>
        </w:rPr>
        <w:t>(Department of Children, Equality, Disability, Integration and Youth, Dublin 2023) 65 discussing Sandra Fredman, </w:t>
      </w:r>
      <w:r>
        <w:rPr>
          <w:color w:val="1D71B8"/>
          <w:sz w:val="18"/>
          <w:u w:val="single" w:color="1D71B8"/>
        </w:rPr>
        <w:t>Intersectional discrimination in EU gender equality and non-discrimination law</w:t>
      </w:r>
      <w:r>
        <w:rPr>
          <w:color w:val="1D71B8"/>
          <w:sz w:val="18"/>
          <w:u w:val="none"/>
        </w:rPr>
        <w:t> </w:t>
      </w:r>
      <w:r>
        <w:rPr>
          <w:sz w:val="18"/>
          <w:u w:val="none"/>
        </w:rPr>
        <w:t>(European Commission, 2016). The consultation received many responses on recognising intersectionality. Several respondents provided examples of people experiencing discrimination because of intersecting identities for example young LGBTI+ people</w:t>
      </w:r>
      <w:r>
        <w:rPr>
          <w:spacing w:val="-1"/>
          <w:sz w:val="18"/>
          <w:u w:val="none"/>
        </w:rPr>
        <w:t> </w:t>
      </w:r>
      <w:r>
        <w:rPr>
          <w:sz w:val="18"/>
          <w:u w:val="none"/>
        </w:rPr>
        <w:t>with</w:t>
      </w:r>
      <w:r>
        <w:rPr>
          <w:spacing w:val="-2"/>
          <w:sz w:val="18"/>
          <w:u w:val="none"/>
        </w:rPr>
        <w:t> </w:t>
      </w:r>
      <w:r>
        <w:rPr>
          <w:sz w:val="18"/>
          <w:u w:val="none"/>
        </w:rPr>
        <w:t>disabilities,</w:t>
      </w:r>
      <w:r>
        <w:rPr>
          <w:spacing w:val="-1"/>
          <w:sz w:val="18"/>
          <w:u w:val="none"/>
        </w:rPr>
        <w:t> </w:t>
      </w:r>
      <w:r>
        <w:rPr>
          <w:sz w:val="18"/>
          <w:u w:val="none"/>
        </w:rPr>
        <w:t>gay</w:t>
      </w:r>
      <w:r>
        <w:rPr>
          <w:spacing w:val="-1"/>
          <w:sz w:val="18"/>
          <w:u w:val="none"/>
        </w:rPr>
        <w:t> </w:t>
      </w:r>
      <w:r>
        <w:rPr>
          <w:sz w:val="18"/>
          <w:u w:val="none"/>
        </w:rPr>
        <w:t>people</w:t>
      </w:r>
      <w:r>
        <w:rPr>
          <w:spacing w:val="-1"/>
          <w:sz w:val="18"/>
          <w:u w:val="none"/>
        </w:rPr>
        <w:t> </w:t>
      </w:r>
      <w:r>
        <w:rPr>
          <w:sz w:val="18"/>
          <w:u w:val="none"/>
        </w:rPr>
        <w:t>in</w:t>
      </w:r>
      <w:r>
        <w:rPr>
          <w:spacing w:val="-2"/>
          <w:sz w:val="18"/>
          <w:u w:val="none"/>
        </w:rPr>
        <w:t> </w:t>
      </w:r>
      <w:r>
        <w:rPr>
          <w:sz w:val="18"/>
          <w:u w:val="none"/>
        </w:rPr>
        <w:t>direct</w:t>
      </w:r>
      <w:r>
        <w:rPr>
          <w:spacing w:val="-1"/>
          <w:sz w:val="18"/>
          <w:u w:val="none"/>
        </w:rPr>
        <w:t> </w:t>
      </w:r>
      <w:r>
        <w:rPr>
          <w:sz w:val="18"/>
          <w:u w:val="none"/>
        </w:rPr>
        <w:t>provision,</w:t>
      </w:r>
      <w:r>
        <w:rPr>
          <w:spacing w:val="-1"/>
          <w:sz w:val="18"/>
          <w:u w:val="none"/>
        </w:rPr>
        <w:t> </w:t>
      </w:r>
      <w:r>
        <w:rPr>
          <w:sz w:val="18"/>
          <w:u w:val="none"/>
        </w:rPr>
        <w:t>women</w:t>
      </w:r>
      <w:r>
        <w:rPr>
          <w:spacing w:val="-2"/>
          <w:sz w:val="18"/>
          <w:u w:val="none"/>
        </w:rPr>
        <w:t> </w:t>
      </w:r>
      <w:r>
        <w:rPr>
          <w:sz w:val="18"/>
          <w:u w:val="none"/>
        </w:rPr>
        <w:t>from</w:t>
      </w:r>
      <w:r>
        <w:rPr>
          <w:spacing w:val="-1"/>
          <w:sz w:val="18"/>
          <w:u w:val="none"/>
        </w:rPr>
        <w:t> </w:t>
      </w:r>
      <w:r>
        <w:rPr>
          <w:sz w:val="18"/>
          <w:u w:val="none"/>
        </w:rPr>
        <w:t>minority</w:t>
      </w:r>
      <w:r>
        <w:rPr>
          <w:spacing w:val="-1"/>
          <w:sz w:val="18"/>
          <w:u w:val="none"/>
        </w:rPr>
        <w:t> </w:t>
      </w:r>
      <w:r>
        <w:rPr>
          <w:sz w:val="18"/>
          <w:u w:val="none"/>
        </w:rPr>
        <w:t>communities</w:t>
      </w:r>
      <w:r>
        <w:rPr>
          <w:spacing w:val="-2"/>
          <w:sz w:val="18"/>
          <w:u w:val="none"/>
        </w:rPr>
        <w:t> </w:t>
      </w:r>
      <w:r>
        <w:rPr>
          <w:sz w:val="18"/>
          <w:u w:val="none"/>
        </w:rPr>
        <w:t>or</w:t>
      </w:r>
      <w:r>
        <w:rPr>
          <w:spacing w:val="-1"/>
          <w:sz w:val="18"/>
          <w:u w:val="none"/>
        </w:rPr>
        <w:t> </w:t>
      </w:r>
      <w:r>
        <w:rPr>
          <w:sz w:val="18"/>
          <w:u w:val="none"/>
        </w:rPr>
        <w:t>of</w:t>
      </w:r>
      <w:r>
        <w:rPr>
          <w:spacing w:val="-2"/>
          <w:sz w:val="18"/>
          <w:u w:val="none"/>
        </w:rPr>
        <w:t> </w:t>
      </w:r>
      <w:r>
        <w:rPr>
          <w:sz w:val="18"/>
          <w:u w:val="none"/>
        </w:rPr>
        <w:t>a</w:t>
      </w:r>
      <w:r>
        <w:rPr>
          <w:spacing w:val="-2"/>
          <w:sz w:val="18"/>
          <w:u w:val="none"/>
        </w:rPr>
        <w:t> </w:t>
      </w:r>
      <w:r>
        <w:rPr>
          <w:sz w:val="18"/>
          <w:u w:val="none"/>
        </w:rPr>
        <w:t>lower</w:t>
      </w:r>
      <w:r>
        <w:rPr>
          <w:spacing w:val="-1"/>
          <w:sz w:val="18"/>
          <w:u w:val="none"/>
        </w:rPr>
        <w:t> </w:t>
      </w:r>
      <w:r>
        <w:rPr>
          <w:sz w:val="18"/>
          <w:u w:val="none"/>
        </w:rPr>
        <w:t>socio-economic class: ibid 68.</w:t>
      </w:r>
    </w:p>
    <w:p>
      <w:pPr>
        <w:pStyle w:val="ListParagraph"/>
        <w:numPr>
          <w:ilvl w:val="0"/>
          <w:numId w:val="18"/>
        </w:numPr>
        <w:tabs>
          <w:tab w:pos="1684" w:val="left" w:leader="none"/>
        </w:tabs>
        <w:spacing w:line="240" w:lineRule="auto" w:before="2" w:after="0"/>
        <w:ind w:left="1684" w:right="846" w:hanging="567"/>
        <w:jc w:val="left"/>
        <w:rPr>
          <w:sz w:val="18"/>
        </w:rPr>
      </w:pPr>
      <w:r>
        <w:rPr>
          <w:sz w:val="18"/>
        </w:rPr>
        <w:t>Government</w:t>
      </w:r>
      <w:r>
        <w:rPr>
          <w:spacing w:val="-4"/>
          <w:sz w:val="18"/>
        </w:rPr>
        <w:t> </w:t>
      </w:r>
      <w:r>
        <w:rPr>
          <w:sz w:val="18"/>
        </w:rPr>
        <w:t>of</w:t>
      </w:r>
      <w:r>
        <w:rPr>
          <w:spacing w:val="-5"/>
          <w:sz w:val="18"/>
        </w:rPr>
        <w:t> </w:t>
      </w:r>
      <w:r>
        <w:rPr>
          <w:sz w:val="18"/>
        </w:rPr>
        <w:t>Ireland,</w:t>
      </w:r>
      <w:r>
        <w:rPr>
          <w:spacing w:val="-4"/>
          <w:sz w:val="18"/>
        </w:rPr>
        <w:t> </w:t>
      </w:r>
      <w:r>
        <w:rPr>
          <w:color w:val="1D71B8"/>
          <w:sz w:val="18"/>
          <w:u w:val="single" w:color="1D71B8"/>
        </w:rPr>
        <w:t>The</w:t>
      </w:r>
      <w:r>
        <w:rPr>
          <w:color w:val="1D71B8"/>
          <w:spacing w:val="-4"/>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Acts</w:t>
      </w:r>
      <w:r>
        <w:rPr>
          <w:color w:val="1D71B8"/>
          <w:spacing w:val="-5"/>
          <w:sz w:val="18"/>
          <w:u w:val="single" w:color="1D71B8"/>
        </w:rPr>
        <w:t> </w:t>
      </w:r>
      <w:r>
        <w:rPr>
          <w:color w:val="1D71B8"/>
          <w:sz w:val="18"/>
          <w:u w:val="single" w:color="1D71B8"/>
        </w:rPr>
        <w:t>Review:</w:t>
      </w:r>
      <w:r>
        <w:rPr>
          <w:color w:val="1D71B8"/>
          <w:spacing w:val="-4"/>
          <w:sz w:val="18"/>
          <w:u w:val="single" w:color="1D71B8"/>
        </w:rPr>
        <w:t> </w:t>
      </w:r>
      <w:r>
        <w:rPr>
          <w:color w:val="1D71B8"/>
          <w:sz w:val="18"/>
          <w:u w:val="single" w:color="1D71B8"/>
        </w:rPr>
        <w:t>Summary</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Submissions</w:t>
      </w:r>
      <w:r>
        <w:rPr>
          <w:color w:val="1D71B8"/>
          <w:spacing w:val="-5"/>
          <w:sz w:val="18"/>
          <w:u w:val="single" w:color="1D71B8"/>
        </w:rPr>
        <w:t> </w:t>
      </w:r>
      <w:r>
        <w:rPr>
          <w:color w:val="1D71B8"/>
          <w:sz w:val="18"/>
          <w:u w:val="single" w:color="1D71B8"/>
        </w:rPr>
        <w:t>Received</w:t>
      </w:r>
      <w:r>
        <w:rPr>
          <w:color w:val="1D71B8"/>
          <w:spacing w:val="-5"/>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2021</w:t>
      </w:r>
      <w:r>
        <w:rPr>
          <w:color w:val="1D71B8"/>
          <w:spacing w:val="-4"/>
          <w:sz w:val="18"/>
          <w:u w:val="single" w:color="1D71B8"/>
        </w:rPr>
        <w:t> </w:t>
      </w:r>
      <w:r>
        <w:rPr>
          <w:color w:val="1D71B8"/>
          <w:sz w:val="18"/>
          <w:u w:val="single" w:color="1D71B8"/>
        </w:rPr>
        <w:t>Public</w:t>
      </w:r>
      <w:r>
        <w:rPr>
          <w:color w:val="1D71B8"/>
          <w:spacing w:val="-4"/>
          <w:sz w:val="18"/>
          <w:u w:val="single" w:color="1D71B8"/>
        </w:rPr>
        <w:t> </w:t>
      </w:r>
      <w:r>
        <w:rPr>
          <w:color w:val="1D71B8"/>
          <w:sz w:val="18"/>
          <w:u w:val="single" w:color="1D71B8"/>
        </w:rPr>
        <w:t>Consultation</w:t>
      </w:r>
      <w:r>
        <w:rPr>
          <w:color w:val="1D71B8"/>
          <w:sz w:val="18"/>
          <w:u w:val="none"/>
        </w:rPr>
        <w:t> </w:t>
      </w:r>
      <w:r>
        <w:rPr>
          <w:color w:val="1D71B8"/>
          <w:sz w:val="18"/>
          <w:u w:val="single" w:color="1D71B8"/>
        </w:rPr>
        <w:t>on the Review of the Equality Acts</w:t>
      </w:r>
      <w:r>
        <w:rPr>
          <w:color w:val="1D71B8"/>
          <w:sz w:val="18"/>
          <w:u w:val="none"/>
        </w:rPr>
        <w:t> </w:t>
      </w:r>
      <w:r>
        <w:rPr>
          <w:sz w:val="18"/>
          <w:u w:val="none"/>
        </w:rPr>
        <w:t>(Department of Children, Equality, Disability, Integration and Youth, Dublin 2023)</w:t>
      </w:r>
    </w:p>
    <w:p>
      <w:pPr>
        <w:spacing w:before="0"/>
        <w:ind w:left="1684" w:right="1120" w:firstLine="0"/>
        <w:jc w:val="both"/>
        <w:rPr>
          <w:sz w:val="18"/>
        </w:rPr>
      </w:pPr>
      <w:r>
        <w:rPr>
          <w:sz w:val="18"/>
        </w:rPr>
        <w:t>39-43.</w:t>
      </w:r>
      <w:r>
        <w:rPr>
          <w:spacing w:val="-6"/>
          <w:sz w:val="18"/>
        </w:rPr>
        <w:t> </w:t>
      </w:r>
      <w:r>
        <w:rPr>
          <w:sz w:val="18"/>
        </w:rPr>
        <w:t>On</w:t>
      </w:r>
      <w:r>
        <w:rPr>
          <w:spacing w:val="-6"/>
          <w:sz w:val="18"/>
        </w:rPr>
        <w:t> </w:t>
      </w:r>
      <w:r>
        <w:rPr>
          <w:sz w:val="18"/>
        </w:rPr>
        <w:t>gender</w:t>
      </w:r>
      <w:r>
        <w:rPr>
          <w:spacing w:val="-5"/>
          <w:sz w:val="18"/>
        </w:rPr>
        <w:t> </w:t>
      </w:r>
      <w:r>
        <w:rPr>
          <w:sz w:val="18"/>
        </w:rPr>
        <w:t>identity,</w:t>
      </w:r>
      <w:r>
        <w:rPr>
          <w:spacing w:val="-5"/>
          <w:sz w:val="18"/>
        </w:rPr>
        <w:t> </w:t>
      </w:r>
      <w:r>
        <w:rPr>
          <w:sz w:val="18"/>
        </w:rPr>
        <w:t>the</w:t>
      </w:r>
      <w:r>
        <w:rPr>
          <w:spacing w:val="-5"/>
          <w:sz w:val="18"/>
        </w:rPr>
        <w:t> </w:t>
      </w:r>
      <w:r>
        <w:rPr>
          <w:sz w:val="18"/>
        </w:rPr>
        <w:t>consultation</w:t>
      </w:r>
      <w:r>
        <w:rPr>
          <w:spacing w:val="-6"/>
          <w:sz w:val="18"/>
        </w:rPr>
        <w:t> </w:t>
      </w:r>
      <w:r>
        <w:rPr>
          <w:sz w:val="18"/>
        </w:rPr>
        <w:t>discloses</w:t>
      </w:r>
      <w:r>
        <w:rPr>
          <w:spacing w:val="-6"/>
          <w:sz w:val="18"/>
        </w:rPr>
        <w:t> </w:t>
      </w:r>
      <w:r>
        <w:rPr>
          <w:sz w:val="18"/>
        </w:rPr>
        <w:t>three</w:t>
      </w:r>
      <w:r>
        <w:rPr>
          <w:spacing w:val="-5"/>
          <w:sz w:val="18"/>
        </w:rPr>
        <w:t> </w:t>
      </w:r>
      <w:r>
        <w:rPr>
          <w:sz w:val="18"/>
        </w:rPr>
        <w:t>different</w:t>
      </w:r>
      <w:r>
        <w:rPr>
          <w:spacing w:val="-5"/>
          <w:sz w:val="18"/>
        </w:rPr>
        <w:t> </w:t>
      </w:r>
      <w:r>
        <w:rPr>
          <w:sz w:val="18"/>
        </w:rPr>
        <w:t>views:</w:t>
      </w:r>
      <w:r>
        <w:rPr>
          <w:spacing w:val="-5"/>
          <w:sz w:val="18"/>
        </w:rPr>
        <w:t> </w:t>
      </w:r>
      <w:r>
        <w:rPr>
          <w:sz w:val="18"/>
        </w:rPr>
        <w:t>one</w:t>
      </w:r>
      <w:r>
        <w:rPr>
          <w:spacing w:val="-5"/>
          <w:sz w:val="18"/>
        </w:rPr>
        <w:t> </w:t>
      </w:r>
      <w:r>
        <w:rPr>
          <w:sz w:val="18"/>
        </w:rPr>
        <w:t>group</w:t>
      </w:r>
      <w:r>
        <w:rPr>
          <w:spacing w:val="-6"/>
          <w:sz w:val="18"/>
        </w:rPr>
        <w:t> </w:t>
      </w:r>
      <w:r>
        <w:rPr>
          <w:sz w:val="18"/>
        </w:rPr>
        <w:t>arguing</w:t>
      </w:r>
      <w:r>
        <w:rPr>
          <w:spacing w:val="-5"/>
          <w:sz w:val="18"/>
        </w:rPr>
        <w:t> </w:t>
      </w:r>
      <w:r>
        <w:rPr>
          <w:sz w:val="18"/>
        </w:rPr>
        <w:t>for</w:t>
      </w:r>
      <w:r>
        <w:rPr>
          <w:spacing w:val="-5"/>
          <w:sz w:val="18"/>
        </w:rPr>
        <w:t> </w:t>
      </w:r>
      <w:r>
        <w:rPr>
          <w:sz w:val="18"/>
        </w:rPr>
        <w:t>the</w:t>
      </w:r>
      <w:r>
        <w:rPr>
          <w:spacing w:val="-5"/>
          <w:sz w:val="18"/>
        </w:rPr>
        <w:t> </w:t>
      </w:r>
      <w:r>
        <w:rPr>
          <w:sz w:val="18"/>
        </w:rPr>
        <w:t>need</w:t>
      </w:r>
      <w:r>
        <w:rPr>
          <w:spacing w:val="-6"/>
          <w:sz w:val="18"/>
        </w:rPr>
        <w:t> </w:t>
      </w:r>
      <w:r>
        <w:rPr>
          <w:sz w:val="18"/>
        </w:rPr>
        <w:t>to</w:t>
      </w:r>
      <w:r>
        <w:rPr>
          <w:spacing w:val="-6"/>
          <w:sz w:val="18"/>
        </w:rPr>
        <w:t> </w:t>
      </w:r>
      <w:r>
        <w:rPr>
          <w:sz w:val="18"/>
        </w:rPr>
        <w:t>protect transgender</w:t>
      </w:r>
      <w:r>
        <w:rPr>
          <w:spacing w:val="-3"/>
          <w:sz w:val="18"/>
        </w:rPr>
        <w:t> </w:t>
      </w:r>
      <w:r>
        <w:rPr>
          <w:sz w:val="18"/>
        </w:rPr>
        <w:t>persons</w:t>
      </w:r>
      <w:r>
        <w:rPr>
          <w:spacing w:val="-4"/>
          <w:sz w:val="18"/>
        </w:rPr>
        <w:t> </w:t>
      </w:r>
      <w:r>
        <w:rPr>
          <w:sz w:val="18"/>
        </w:rPr>
        <w:t>and</w:t>
      </w:r>
      <w:r>
        <w:rPr>
          <w:spacing w:val="-4"/>
          <w:sz w:val="18"/>
        </w:rPr>
        <w:t> </w:t>
      </w:r>
      <w:r>
        <w:rPr>
          <w:sz w:val="18"/>
        </w:rPr>
        <w:t>align</w:t>
      </w:r>
      <w:r>
        <w:rPr>
          <w:spacing w:val="-4"/>
          <w:sz w:val="18"/>
        </w:rPr>
        <w:t> </w:t>
      </w:r>
      <w:r>
        <w:rPr>
          <w:sz w:val="18"/>
        </w:rPr>
        <w:t>with</w:t>
      </w:r>
      <w:r>
        <w:rPr>
          <w:spacing w:val="-4"/>
          <w:sz w:val="18"/>
        </w:rPr>
        <w:t> </w:t>
      </w:r>
      <w:r>
        <w:rPr>
          <w:sz w:val="18"/>
        </w:rPr>
        <w:t>international</w:t>
      </w:r>
      <w:r>
        <w:rPr>
          <w:spacing w:val="-4"/>
          <w:sz w:val="18"/>
        </w:rPr>
        <w:t> </w:t>
      </w:r>
      <w:r>
        <w:rPr>
          <w:sz w:val="18"/>
        </w:rPr>
        <w:t>standards,</w:t>
      </w:r>
      <w:r>
        <w:rPr>
          <w:spacing w:val="-3"/>
          <w:sz w:val="18"/>
        </w:rPr>
        <w:t> </w:t>
      </w:r>
      <w:r>
        <w:rPr>
          <w:sz w:val="18"/>
        </w:rPr>
        <w:t>one</w:t>
      </w:r>
      <w:r>
        <w:rPr>
          <w:spacing w:val="-3"/>
          <w:sz w:val="18"/>
        </w:rPr>
        <w:t> </w:t>
      </w:r>
      <w:r>
        <w:rPr>
          <w:sz w:val="18"/>
        </w:rPr>
        <w:t>group</w:t>
      </w:r>
      <w:r>
        <w:rPr>
          <w:spacing w:val="-4"/>
          <w:sz w:val="18"/>
        </w:rPr>
        <w:t> </w:t>
      </w:r>
      <w:r>
        <w:rPr>
          <w:sz w:val="18"/>
        </w:rPr>
        <w:t>that</w:t>
      </w:r>
      <w:r>
        <w:rPr>
          <w:spacing w:val="-3"/>
          <w:sz w:val="18"/>
        </w:rPr>
        <w:t> </w:t>
      </w:r>
      <w:r>
        <w:rPr>
          <w:sz w:val="18"/>
        </w:rPr>
        <w:t>favours</w:t>
      </w:r>
      <w:r>
        <w:rPr>
          <w:spacing w:val="-4"/>
          <w:sz w:val="18"/>
        </w:rPr>
        <w:t> </w:t>
      </w:r>
      <w:r>
        <w:rPr>
          <w:sz w:val="18"/>
        </w:rPr>
        <w:t>sex-specific</w:t>
      </w:r>
      <w:r>
        <w:rPr>
          <w:spacing w:val="-3"/>
          <w:sz w:val="18"/>
        </w:rPr>
        <w:t> </w:t>
      </w:r>
      <w:r>
        <w:rPr>
          <w:sz w:val="18"/>
        </w:rPr>
        <w:t>protections,</w:t>
      </w:r>
      <w:r>
        <w:rPr>
          <w:spacing w:val="-3"/>
          <w:sz w:val="18"/>
        </w:rPr>
        <w:t> </w:t>
      </w:r>
      <w:r>
        <w:rPr>
          <w:sz w:val="18"/>
        </w:rPr>
        <w:t>and</w:t>
      </w:r>
      <w:r>
        <w:rPr>
          <w:spacing w:val="-4"/>
          <w:sz w:val="18"/>
        </w:rPr>
        <w:t> </w:t>
      </w:r>
      <w:r>
        <w:rPr>
          <w:sz w:val="18"/>
        </w:rPr>
        <w:t>one group opposed to any change that might open up single-sex spaces to discrimination challenges.</w:t>
      </w:r>
    </w:p>
    <w:p>
      <w:pPr>
        <w:pStyle w:val="ListParagraph"/>
        <w:numPr>
          <w:ilvl w:val="0"/>
          <w:numId w:val="18"/>
        </w:numPr>
        <w:tabs>
          <w:tab w:pos="1684" w:val="left" w:leader="none"/>
        </w:tabs>
        <w:spacing w:line="240" w:lineRule="auto" w:before="1" w:after="0"/>
        <w:ind w:left="1684" w:right="846" w:hanging="567"/>
        <w:jc w:val="both"/>
        <w:rPr>
          <w:sz w:val="18"/>
        </w:rPr>
      </w:pPr>
      <w:r>
        <w:rPr>
          <w:sz w:val="18"/>
        </w:rPr>
        <w:t>Government</w:t>
      </w:r>
      <w:r>
        <w:rPr>
          <w:spacing w:val="-4"/>
          <w:sz w:val="18"/>
        </w:rPr>
        <w:t> </w:t>
      </w:r>
      <w:r>
        <w:rPr>
          <w:sz w:val="18"/>
        </w:rPr>
        <w:t>of</w:t>
      </w:r>
      <w:r>
        <w:rPr>
          <w:spacing w:val="-5"/>
          <w:sz w:val="18"/>
        </w:rPr>
        <w:t> </w:t>
      </w:r>
      <w:r>
        <w:rPr>
          <w:sz w:val="18"/>
        </w:rPr>
        <w:t>Ireland,</w:t>
      </w:r>
      <w:r>
        <w:rPr>
          <w:spacing w:val="-4"/>
          <w:sz w:val="18"/>
        </w:rPr>
        <w:t> </w:t>
      </w:r>
      <w:r>
        <w:rPr>
          <w:color w:val="1D71B8"/>
          <w:sz w:val="18"/>
          <w:u w:val="single" w:color="1D71B8"/>
        </w:rPr>
        <w:t>The</w:t>
      </w:r>
      <w:r>
        <w:rPr>
          <w:color w:val="1D71B8"/>
          <w:spacing w:val="-4"/>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Acts</w:t>
      </w:r>
      <w:r>
        <w:rPr>
          <w:color w:val="1D71B8"/>
          <w:spacing w:val="-5"/>
          <w:sz w:val="18"/>
          <w:u w:val="single" w:color="1D71B8"/>
        </w:rPr>
        <w:t> </w:t>
      </w:r>
      <w:r>
        <w:rPr>
          <w:color w:val="1D71B8"/>
          <w:sz w:val="18"/>
          <w:u w:val="single" w:color="1D71B8"/>
        </w:rPr>
        <w:t>Review:</w:t>
      </w:r>
      <w:r>
        <w:rPr>
          <w:color w:val="1D71B8"/>
          <w:spacing w:val="-4"/>
          <w:sz w:val="18"/>
          <w:u w:val="single" w:color="1D71B8"/>
        </w:rPr>
        <w:t> </w:t>
      </w:r>
      <w:r>
        <w:rPr>
          <w:color w:val="1D71B8"/>
          <w:sz w:val="18"/>
          <w:u w:val="single" w:color="1D71B8"/>
        </w:rPr>
        <w:t>Summary</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Submissions</w:t>
      </w:r>
      <w:r>
        <w:rPr>
          <w:color w:val="1D71B8"/>
          <w:spacing w:val="-5"/>
          <w:sz w:val="18"/>
          <w:u w:val="single" w:color="1D71B8"/>
        </w:rPr>
        <w:t> </w:t>
      </w:r>
      <w:r>
        <w:rPr>
          <w:color w:val="1D71B8"/>
          <w:sz w:val="18"/>
          <w:u w:val="single" w:color="1D71B8"/>
        </w:rPr>
        <w:t>Received</w:t>
      </w:r>
      <w:r>
        <w:rPr>
          <w:color w:val="1D71B8"/>
          <w:spacing w:val="-5"/>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2021</w:t>
      </w:r>
      <w:r>
        <w:rPr>
          <w:color w:val="1D71B8"/>
          <w:spacing w:val="-4"/>
          <w:sz w:val="18"/>
          <w:u w:val="single" w:color="1D71B8"/>
        </w:rPr>
        <w:t> </w:t>
      </w:r>
      <w:r>
        <w:rPr>
          <w:color w:val="1D71B8"/>
          <w:sz w:val="18"/>
          <w:u w:val="single" w:color="1D71B8"/>
        </w:rPr>
        <w:t>Public</w:t>
      </w:r>
      <w:r>
        <w:rPr>
          <w:color w:val="1D71B8"/>
          <w:spacing w:val="-4"/>
          <w:sz w:val="18"/>
          <w:u w:val="single" w:color="1D71B8"/>
        </w:rPr>
        <w:t> </w:t>
      </w:r>
      <w:r>
        <w:rPr>
          <w:color w:val="1D71B8"/>
          <w:sz w:val="18"/>
          <w:u w:val="single" w:color="1D71B8"/>
        </w:rPr>
        <w:t>Consultation</w:t>
      </w:r>
      <w:r>
        <w:rPr>
          <w:color w:val="1D71B8"/>
          <w:sz w:val="18"/>
          <w:u w:val="none"/>
        </w:rPr>
        <w:t> </w:t>
      </w:r>
      <w:r>
        <w:rPr>
          <w:color w:val="1D71B8"/>
          <w:sz w:val="18"/>
          <w:u w:val="single" w:color="1D71B8"/>
        </w:rPr>
        <w:t>on the Review of the Equality Acts</w:t>
      </w:r>
      <w:r>
        <w:rPr>
          <w:color w:val="1D71B8"/>
          <w:spacing w:val="-1"/>
          <w:sz w:val="18"/>
          <w:u w:val="none"/>
        </w:rPr>
        <w:t> </w:t>
      </w:r>
      <w:r>
        <w:rPr>
          <w:sz w:val="18"/>
          <w:u w:val="none"/>
        </w:rPr>
        <w:t>(Department of Children, Equality, Disability, Integration and Youth, Dublin 2023) 73.</w:t>
      </w:r>
    </w:p>
    <w:p>
      <w:pPr>
        <w:spacing w:after="0" w:line="240" w:lineRule="auto"/>
        <w:jc w:val="both"/>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3998720">
                <wp:simplePos x="0" y="0"/>
                <wp:positionH relativeFrom="page">
                  <wp:posOffset>0</wp:posOffset>
                </wp:positionH>
                <wp:positionV relativeFrom="page">
                  <wp:posOffset>0</wp:posOffset>
                </wp:positionV>
                <wp:extent cx="7560309" cy="1155065"/>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7560309" cy="1155065"/>
                          <a:chExt cx="7560309" cy="1155065"/>
                        </a:xfrm>
                      </wpg:grpSpPr>
                      <wps:wsp>
                        <wps:cNvPr id="504" name="Graphic 504"/>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505" name="Graphic 505"/>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17760" id="docshapegroup399" coordorigin="0,0" coordsize="11906,1819">
                <v:shape style="position:absolute;left:0;top:0;width:11906;height:1819" id="docshape400"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56</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404"/>
      </w:pPr>
      <w:r>
        <w:rPr/>
        <w:t>The Irish Human Rights and Equality Commission (IHREC) has submitted two responses</w:t>
      </w:r>
      <w:r>
        <w:rPr>
          <w:spacing w:val="-11"/>
        </w:rPr>
        <w:t> </w:t>
      </w:r>
      <w:r>
        <w:rPr/>
        <w:t>to</w:t>
      </w:r>
      <w:r>
        <w:rPr>
          <w:spacing w:val="-11"/>
        </w:rPr>
        <w:t> </w:t>
      </w:r>
      <w:r>
        <w:rPr/>
        <w:t>this</w:t>
      </w:r>
      <w:r>
        <w:rPr>
          <w:spacing w:val="-11"/>
        </w:rPr>
        <w:t> </w:t>
      </w:r>
      <w:r>
        <w:rPr/>
        <w:t>consultation,</w:t>
      </w:r>
      <w:r>
        <w:rPr>
          <w:spacing w:val="-10"/>
        </w:rPr>
        <w:t> </w:t>
      </w:r>
      <w:r>
        <w:rPr/>
        <w:t>informed</w:t>
      </w:r>
      <w:r>
        <w:rPr>
          <w:spacing w:val="-11"/>
        </w:rPr>
        <w:t> </w:t>
      </w:r>
      <w:r>
        <w:rPr/>
        <w:t>by</w:t>
      </w:r>
      <w:r>
        <w:rPr>
          <w:spacing w:val="-10"/>
        </w:rPr>
        <w:t> </w:t>
      </w:r>
      <w:r>
        <w:rPr/>
        <w:t>a</w:t>
      </w:r>
      <w:r>
        <w:rPr>
          <w:spacing w:val="-11"/>
        </w:rPr>
        <w:t> </w:t>
      </w:r>
      <w:r>
        <w:rPr/>
        <w:t>specially</w:t>
      </w:r>
      <w:r>
        <w:rPr>
          <w:spacing w:val="-10"/>
        </w:rPr>
        <w:t> </w:t>
      </w:r>
      <w:r>
        <w:rPr/>
        <w:t>convened</w:t>
      </w:r>
      <w:r>
        <w:rPr>
          <w:spacing w:val="-11"/>
        </w:rPr>
        <w:t> </w:t>
      </w:r>
      <w:r>
        <w:rPr/>
        <w:t>expert</w:t>
      </w:r>
      <w:r>
        <w:rPr>
          <w:spacing w:val="-10"/>
        </w:rPr>
        <w:t> </w:t>
      </w:r>
      <w:r>
        <w:rPr/>
        <w:t>panel.</w:t>
      </w:r>
      <w:r>
        <w:rPr>
          <w:vertAlign w:val="superscript"/>
        </w:rPr>
        <w:t>300</w:t>
      </w:r>
      <w:r>
        <w:rPr>
          <w:vertAlign w:val="baseline"/>
        </w:rPr>
        <w:t> The Commission has recommended among other changes the inclusion of provisions</w:t>
      </w:r>
      <w:r>
        <w:rPr>
          <w:spacing w:val="-6"/>
          <w:vertAlign w:val="baseline"/>
        </w:rPr>
        <w:t> </w:t>
      </w:r>
      <w:r>
        <w:rPr>
          <w:vertAlign w:val="baseline"/>
        </w:rPr>
        <w:t>on</w:t>
      </w:r>
      <w:r>
        <w:rPr>
          <w:spacing w:val="-6"/>
          <w:vertAlign w:val="baseline"/>
        </w:rPr>
        <w:t> </w:t>
      </w:r>
      <w:r>
        <w:rPr>
          <w:vertAlign w:val="baseline"/>
        </w:rPr>
        <w:t>principle,</w:t>
      </w:r>
      <w:r>
        <w:rPr>
          <w:spacing w:val="-5"/>
          <w:vertAlign w:val="baseline"/>
        </w:rPr>
        <w:t> </w:t>
      </w:r>
      <w:r>
        <w:rPr>
          <w:vertAlign w:val="baseline"/>
        </w:rPr>
        <w:t>purpose</w:t>
      </w:r>
      <w:r>
        <w:rPr>
          <w:spacing w:val="-5"/>
          <w:vertAlign w:val="baseline"/>
        </w:rPr>
        <w:t> </w:t>
      </w:r>
      <w:r>
        <w:rPr>
          <w:vertAlign w:val="baseline"/>
        </w:rPr>
        <w:t>and</w:t>
      </w:r>
      <w:r>
        <w:rPr>
          <w:spacing w:val="-6"/>
          <w:vertAlign w:val="baseline"/>
        </w:rPr>
        <w:t> </w:t>
      </w:r>
      <w:r>
        <w:rPr>
          <w:vertAlign w:val="baseline"/>
        </w:rPr>
        <w:t>structural</w:t>
      </w:r>
      <w:r>
        <w:rPr>
          <w:spacing w:val="-6"/>
          <w:vertAlign w:val="baseline"/>
        </w:rPr>
        <w:t> </w:t>
      </w:r>
      <w:r>
        <w:rPr>
          <w:vertAlign w:val="baseline"/>
        </w:rPr>
        <w:t>discrimination</w:t>
      </w:r>
      <w:r>
        <w:rPr>
          <w:vertAlign w:val="superscript"/>
        </w:rPr>
        <w:t>301</w:t>
      </w:r>
      <w:r>
        <w:rPr>
          <w:spacing w:val="-6"/>
          <w:vertAlign w:val="baseline"/>
        </w:rPr>
        <w:t> </w:t>
      </w:r>
      <w:r>
        <w:rPr>
          <w:vertAlign w:val="baseline"/>
        </w:rPr>
        <w:t>and</w:t>
      </w:r>
      <w:r>
        <w:rPr>
          <w:spacing w:val="-6"/>
          <w:vertAlign w:val="baseline"/>
        </w:rPr>
        <w:t> </w:t>
      </w:r>
      <w:r>
        <w:rPr>
          <w:vertAlign w:val="baseline"/>
        </w:rPr>
        <w:t>protections on grounds of socioeconomic status, gender identity, carer status and criminal conviction</w:t>
      </w:r>
      <w:r>
        <w:rPr>
          <w:vertAlign w:val="superscript"/>
        </w:rPr>
        <w:t>302</w:t>
      </w:r>
      <w:r>
        <w:rPr>
          <w:spacing w:val="-3"/>
          <w:vertAlign w:val="baseline"/>
        </w:rPr>
        <w:t> </w:t>
      </w:r>
      <w:r>
        <w:rPr>
          <w:vertAlign w:val="baseline"/>
        </w:rPr>
        <w:t>as</w:t>
      </w:r>
      <w:r>
        <w:rPr>
          <w:spacing w:val="-3"/>
          <w:vertAlign w:val="baseline"/>
        </w:rPr>
        <w:t> </w:t>
      </w:r>
      <w:r>
        <w:rPr>
          <w:vertAlign w:val="baseline"/>
        </w:rPr>
        <w:t>well</w:t>
      </w:r>
      <w:r>
        <w:rPr>
          <w:spacing w:val="-3"/>
          <w:vertAlign w:val="baseline"/>
        </w:rPr>
        <w:t> </w:t>
      </w:r>
      <w:r>
        <w:rPr>
          <w:vertAlign w:val="baseline"/>
        </w:rPr>
        <w:t>as</w:t>
      </w:r>
      <w:r>
        <w:rPr>
          <w:spacing w:val="-3"/>
          <w:vertAlign w:val="baseline"/>
        </w:rPr>
        <w:t> </w:t>
      </w:r>
      <w:r>
        <w:rPr>
          <w:vertAlign w:val="baseline"/>
        </w:rPr>
        <w:t>the</w:t>
      </w:r>
      <w:r>
        <w:rPr>
          <w:spacing w:val="-2"/>
          <w:vertAlign w:val="baseline"/>
        </w:rPr>
        <w:t> </w:t>
      </w:r>
      <w:r>
        <w:rPr>
          <w:vertAlign w:val="baseline"/>
        </w:rPr>
        <w:t>recognition</w:t>
      </w:r>
      <w:r>
        <w:rPr>
          <w:spacing w:val="-3"/>
          <w:vertAlign w:val="baseline"/>
        </w:rPr>
        <w:t> </w:t>
      </w:r>
      <w:r>
        <w:rPr>
          <w:vertAlign w:val="baseline"/>
        </w:rPr>
        <w:t>of</w:t>
      </w:r>
      <w:r>
        <w:rPr>
          <w:spacing w:val="-3"/>
          <w:vertAlign w:val="baseline"/>
        </w:rPr>
        <w:t> </w:t>
      </w:r>
      <w:r>
        <w:rPr>
          <w:vertAlign w:val="baseline"/>
        </w:rPr>
        <w:t>intersectional</w:t>
      </w:r>
      <w:r>
        <w:rPr>
          <w:spacing w:val="-3"/>
          <w:vertAlign w:val="baseline"/>
        </w:rPr>
        <w:t> </w:t>
      </w:r>
      <w:r>
        <w:rPr>
          <w:vertAlign w:val="baseline"/>
        </w:rPr>
        <w:t>discrimination.</w:t>
      </w:r>
      <w:r>
        <w:rPr>
          <w:vertAlign w:val="superscript"/>
        </w:rPr>
        <w:t>303</w:t>
      </w:r>
      <w:r>
        <w:rPr>
          <w:spacing w:val="-3"/>
          <w:vertAlign w:val="baseline"/>
        </w:rPr>
        <w:t> </w:t>
      </w:r>
      <w:r>
        <w:rPr>
          <w:vertAlign w:val="baseline"/>
        </w:rPr>
        <w:t>IHREC notes that some issues like the digital divide, artificial intelligence, physical appearance and menopause need further consideration.</w:t>
      </w:r>
      <w:r>
        <w:rPr>
          <w:vertAlign w:val="superscript"/>
        </w:rPr>
        <w:t>304</w:t>
      </w:r>
    </w:p>
    <w:p>
      <w:pPr>
        <w:pStyle w:val="BodyText"/>
        <w:spacing w:line="232" w:lineRule="auto" w:before="271"/>
        <w:ind w:left="720" w:right="1242"/>
      </w:pPr>
      <w:r>
        <w:rPr/>
        <w:t>The divergence between Northern Ireland and Ireland (and indeed Great Britain)</w:t>
      </w:r>
      <w:r>
        <w:rPr/>
        <w:t> in respect of single equality legislation is well documented.</w:t>
      </w:r>
      <w:r>
        <w:rPr>
          <w:vertAlign w:val="superscript"/>
        </w:rPr>
        <w:t>305</w:t>
      </w:r>
      <w:r>
        <w:rPr>
          <w:vertAlign w:val="baseline"/>
        </w:rPr>
        <w:t> It is likely that Ireland’s single equality legislation will be further improved, thus increasing the risk of divergence. The exact nature of any changes to the Irish equality legislation remains uncertain but there is a risk of significant divergence if Ireland for instance</w:t>
      </w:r>
      <w:r>
        <w:rPr>
          <w:spacing w:val="-10"/>
          <w:vertAlign w:val="baseline"/>
        </w:rPr>
        <w:t> </w:t>
      </w:r>
      <w:r>
        <w:rPr>
          <w:vertAlign w:val="baseline"/>
        </w:rPr>
        <w:t>decides</w:t>
      </w:r>
      <w:r>
        <w:rPr>
          <w:spacing w:val="-11"/>
          <w:vertAlign w:val="baseline"/>
        </w:rPr>
        <w:t> </w:t>
      </w:r>
      <w:r>
        <w:rPr>
          <w:vertAlign w:val="baseline"/>
        </w:rPr>
        <w:t>to</w:t>
      </w:r>
      <w:r>
        <w:rPr>
          <w:spacing w:val="-11"/>
          <w:vertAlign w:val="baseline"/>
        </w:rPr>
        <w:t> </w:t>
      </w:r>
      <w:r>
        <w:rPr>
          <w:vertAlign w:val="baseline"/>
        </w:rPr>
        <w:t>include</w:t>
      </w:r>
      <w:r>
        <w:rPr>
          <w:spacing w:val="-10"/>
          <w:vertAlign w:val="baseline"/>
        </w:rPr>
        <w:t> </w:t>
      </w:r>
      <w:r>
        <w:rPr>
          <w:vertAlign w:val="baseline"/>
        </w:rPr>
        <w:t>socioeconomic</w:t>
      </w:r>
      <w:r>
        <w:rPr>
          <w:spacing w:val="-10"/>
          <w:vertAlign w:val="baseline"/>
        </w:rPr>
        <w:t> </w:t>
      </w:r>
      <w:r>
        <w:rPr>
          <w:vertAlign w:val="baseline"/>
        </w:rPr>
        <w:t>disadvantage,</w:t>
      </w:r>
      <w:r>
        <w:rPr>
          <w:spacing w:val="-10"/>
          <w:vertAlign w:val="baseline"/>
        </w:rPr>
        <w:t> </w:t>
      </w:r>
      <w:r>
        <w:rPr>
          <w:vertAlign w:val="baseline"/>
        </w:rPr>
        <w:t>gender</w:t>
      </w:r>
      <w:r>
        <w:rPr>
          <w:spacing w:val="-10"/>
          <w:vertAlign w:val="baseline"/>
        </w:rPr>
        <w:t> </w:t>
      </w:r>
      <w:r>
        <w:rPr>
          <w:vertAlign w:val="baseline"/>
        </w:rPr>
        <w:t>identity,</w:t>
      </w:r>
      <w:r>
        <w:rPr>
          <w:spacing w:val="-10"/>
          <w:vertAlign w:val="baseline"/>
        </w:rPr>
        <w:t> </w:t>
      </w:r>
      <w:r>
        <w:rPr>
          <w:vertAlign w:val="baseline"/>
        </w:rPr>
        <w:t>carers</w:t>
      </w:r>
      <w:r>
        <w:rPr>
          <w:spacing w:val="-11"/>
          <w:vertAlign w:val="baseline"/>
        </w:rPr>
        <w:t> </w:t>
      </w:r>
      <w:r>
        <w:rPr>
          <w:vertAlign w:val="baseline"/>
        </w:rPr>
        <w:t>or criminal convictions as a ground, or to recognise intersectional discrimination. If introduced, several</w:t>
      </w:r>
      <w:r>
        <w:rPr>
          <w:spacing w:val="-1"/>
          <w:vertAlign w:val="baseline"/>
        </w:rPr>
        <w:t> </w:t>
      </w:r>
      <w:r>
        <w:rPr>
          <w:vertAlign w:val="baseline"/>
        </w:rPr>
        <w:t>of</w:t>
      </w:r>
      <w:r>
        <w:rPr>
          <w:spacing w:val="-1"/>
          <w:vertAlign w:val="baseline"/>
        </w:rPr>
        <w:t> </w:t>
      </w:r>
      <w:r>
        <w:rPr>
          <w:vertAlign w:val="baseline"/>
        </w:rPr>
        <w:t>these changes</w:t>
      </w:r>
      <w:r>
        <w:rPr>
          <w:spacing w:val="-1"/>
          <w:vertAlign w:val="baseline"/>
        </w:rPr>
        <w:t> </w:t>
      </w:r>
      <w:r>
        <w:rPr>
          <w:vertAlign w:val="baseline"/>
        </w:rPr>
        <w:t>would</w:t>
      </w:r>
      <w:r>
        <w:rPr>
          <w:spacing w:val="-1"/>
          <w:vertAlign w:val="baseline"/>
        </w:rPr>
        <w:t> </w:t>
      </w:r>
      <w:r>
        <w:rPr>
          <w:vertAlign w:val="baseline"/>
        </w:rPr>
        <w:t>reflect international</w:t>
      </w:r>
      <w:r>
        <w:rPr>
          <w:spacing w:val="-1"/>
          <w:vertAlign w:val="baseline"/>
        </w:rPr>
        <w:t> </w:t>
      </w:r>
      <w:r>
        <w:rPr>
          <w:vertAlign w:val="baseline"/>
        </w:rPr>
        <w:t>best practice; the United</w:t>
      </w:r>
      <w:r>
        <w:rPr>
          <w:spacing w:val="-5"/>
          <w:vertAlign w:val="baseline"/>
        </w:rPr>
        <w:t> </w:t>
      </w:r>
      <w:r>
        <w:rPr>
          <w:vertAlign w:val="baseline"/>
        </w:rPr>
        <w:t>Nations</w:t>
      </w:r>
      <w:r>
        <w:rPr>
          <w:spacing w:val="-5"/>
          <w:vertAlign w:val="baseline"/>
        </w:rPr>
        <w:t> </w:t>
      </w:r>
      <w:r>
        <w:rPr>
          <w:vertAlign w:val="baseline"/>
        </w:rPr>
        <w:t>Committee</w:t>
      </w:r>
      <w:r>
        <w:rPr>
          <w:spacing w:val="-4"/>
          <w:vertAlign w:val="baseline"/>
        </w:rPr>
        <w:t> </w:t>
      </w:r>
      <w:r>
        <w:rPr>
          <w:vertAlign w:val="baseline"/>
        </w:rPr>
        <w:t>on</w:t>
      </w:r>
      <w:r>
        <w:rPr>
          <w:spacing w:val="-5"/>
          <w:vertAlign w:val="baseline"/>
        </w:rPr>
        <w:t> </w:t>
      </w:r>
      <w:r>
        <w:rPr>
          <w:vertAlign w:val="baseline"/>
        </w:rPr>
        <w:t>Economic</w:t>
      </w:r>
      <w:r>
        <w:rPr>
          <w:spacing w:val="-4"/>
          <w:vertAlign w:val="baseline"/>
        </w:rPr>
        <w:t> </w:t>
      </w:r>
      <w:r>
        <w:rPr>
          <w:vertAlign w:val="baseline"/>
        </w:rPr>
        <w:t>Social</w:t>
      </w:r>
      <w:r>
        <w:rPr>
          <w:spacing w:val="-5"/>
          <w:vertAlign w:val="baseline"/>
        </w:rPr>
        <w:t> </w:t>
      </w:r>
      <w:r>
        <w:rPr>
          <w:vertAlign w:val="baseline"/>
        </w:rPr>
        <w:t>and</w:t>
      </w:r>
      <w:r>
        <w:rPr>
          <w:spacing w:val="-5"/>
          <w:vertAlign w:val="baseline"/>
        </w:rPr>
        <w:t> </w:t>
      </w:r>
      <w:r>
        <w:rPr>
          <w:vertAlign w:val="baseline"/>
        </w:rPr>
        <w:t>Cultural</w:t>
      </w:r>
      <w:r>
        <w:rPr>
          <w:spacing w:val="-5"/>
          <w:vertAlign w:val="baseline"/>
        </w:rPr>
        <w:t> </w:t>
      </w:r>
      <w:r>
        <w:rPr>
          <w:vertAlign w:val="baseline"/>
        </w:rPr>
        <w:t>Rights</w:t>
      </w:r>
      <w:r>
        <w:rPr>
          <w:spacing w:val="-5"/>
          <w:vertAlign w:val="baseline"/>
        </w:rPr>
        <w:t> </w:t>
      </w:r>
      <w:r>
        <w:rPr>
          <w:vertAlign w:val="baseline"/>
        </w:rPr>
        <w:t>for</w:t>
      </w:r>
      <w:r>
        <w:rPr>
          <w:spacing w:val="-4"/>
          <w:vertAlign w:val="baseline"/>
        </w:rPr>
        <w:t> </w:t>
      </w:r>
      <w:r>
        <w:rPr>
          <w:vertAlign w:val="baseline"/>
        </w:rPr>
        <w:t>instance</w:t>
      </w:r>
      <w:r>
        <w:rPr>
          <w:spacing w:val="-4"/>
          <w:vertAlign w:val="baseline"/>
        </w:rPr>
        <w:t> </w:t>
      </w:r>
      <w:r>
        <w:rPr>
          <w:vertAlign w:val="baseline"/>
        </w:rPr>
        <w:t>has highlighted that effective non-discrimination protections must consider cases of</w:t>
      </w:r>
    </w:p>
    <w:p>
      <w:pPr>
        <w:pStyle w:val="BodyText"/>
        <w:spacing w:line="312" w:lineRule="exact"/>
        <w:ind w:left="720"/>
      </w:pPr>
      <w:r>
        <w:rPr/>
        <w:t>multiple</w:t>
      </w:r>
      <w:r>
        <w:rPr>
          <w:spacing w:val="-8"/>
        </w:rPr>
        <w:t> </w:t>
      </w:r>
      <w:r>
        <w:rPr/>
        <w:t>and</w:t>
      </w:r>
      <w:r>
        <w:rPr>
          <w:spacing w:val="-8"/>
        </w:rPr>
        <w:t> </w:t>
      </w:r>
      <w:r>
        <w:rPr/>
        <w:t>intersecting</w:t>
      </w:r>
      <w:r>
        <w:rPr>
          <w:spacing w:val="-8"/>
        </w:rPr>
        <w:t> </w:t>
      </w:r>
      <w:r>
        <w:rPr/>
        <w:t>discrimination;</w:t>
      </w:r>
      <w:r>
        <w:rPr>
          <w:spacing w:val="-7"/>
        </w:rPr>
        <w:t> </w:t>
      </w:r>
      <w:r>
        <w:rPr/>
        <w:t>and</w:t>
      </w:r>
      <w:r>
        <w:rPr>
          <w:spacing w:val="-9"/>
        </w:rPr>
        <w:t> </w:t>
      </w:r>
      <w:r>
        <w:rPr/>
        <w:t>that</w:t>
      </w:r>
      <w:r>
        <w:rPr>
          <w:spacing w:val="-7"/>
        </w:rPr>
        <w:t> </w:t>
      </w:r>
      <w:r>
        <w:rPr/>
        <w:t>discrimination</w:t>
      </w:r>
      <w:r>
        <w:rPr>
          <w:spacing w:val="-8"/>
        </w:rPr>
        <w:t> </w:t>
      </w:r>
      <w:r>
        <w:rPr/>
        <w:t>may</w:t>
      </w:r>
      <w:r>
        <w:rPr>
          <w:spacing w:val="-8"/>
        </w:rPr>
        <w:t> </w:t>
      </w:r>
      <w:r>
        <w:rPr/>
        <w:t>take</w:t>
      </w:r>
      <w:r>
        <w:rPr>
          <w:spacing w:val="-7"/>
        </w:rPr>
        <w:t> </w:t>
      </w:r>
      <w:r>
        <w:rPr/>
        <w:t>place</w:t>
      </w:r>
      <w:r>
        <w:rPr>
          <w:spacing w:val="-8"/>
        </w:rPr>
        <w:t> </w:t>
      </w:r>
      <w:r>
        <w:rPr>
          <w:spacing w:val="-5"/>
        </w:rPr>
        <w:t>on</w:t>
      </w:r>
    </w:p>
    <w:p>
      <w:pPr>
        <w:pStyle w:val="BodyText"/>
        <w:spacing w:line="232" w:lineRule="auto" w:before="2"/>
        <w:ind w:left="720" w:right="1250"/>
      </w:pPr>
      <w:r>
        <w:rPr/>
        <w:t>grounds</w:t>
      </w:r>
      <w:r>
        <w:rPr>
          <w:spacing w:val="-7"/>
        </w:rPr>
        <w:t> </w:t>
      </w:r>
      <w:r>
        <w:rPr/>
        <w:t>such</w:t>
      </w:r>
      <w:r>
        <w:rPr>
          <w:spacing w:val="-7"/>
        </w:rPr>
        <w:t> </w:t>
      </w:r>
      <w:r>
        <w:rPr/>
        <w:t>as</w:t>
      </w:r>
      <w:r>
        <w:rPr>
          <w:spacing w:val="-7"/>
        </w:rPr>
        <w:t> </w:t>
      </w:r>
      <w:r>
        <w:rPr/>
        <w:t>gender</w:t>
      </w:r>
      <w:r>
        <w:rPr>
          <w:spacing w:val="-6"/>
        </w:rPr>
        <w:t> </w:t>
      </w:r>
      <w:r>
        <w:rPr/>
        <w:t>identity</w:t>
      </w:r>
      <w:r>
        <w:rPr>
          <w:spacing w:val="-6"/>
        </w:rPr>
        <w:t> </w:t>
      </w:r>
      <w:r>
        <w:rPr/>
        <w:t>or</w:t>
      </w:r>
      <w:r>
        <w:rPr>
          <w:spacing w:val="-6"/>
        </w:rPr>
        <w:t> </w:t>
      </w:r>
      <w:r>
        <w:rPr/>
        <w:t>a</w:t>
      </w:r>
      <w:r>
        <w:rPr>
          <w:spacing w:val="-7"/>
        </w:rPr>
        <w:t> </w:t>
      </w:r>
      <w:r>
        <w:rPr/>
        <w:t>person’s</w:t>
      </w:r>
      <w:r>
        <w:rPr>
          <w:spacing w:val="-7"/>
        </w:rPr>
        <w:t> </w:t>
      </w:r>
      <w:r>
        <w:rPr/>
        <w:t>‘social</w:t>
      </w:r>
      <w:r>
        <w:rPr>
          <w:spacing w:val="-7"/>
        </w:rPr>
        <w:t> </w:t>
      </w:r>
      <w:r>
        <w:rPr/>
        <w:t>and</w:t>
      </w:r>
      <w:r>
        <w:rPr>
          <w:spacing w:val="-7"/>
        </w:rPr>
        <w:t> </w:t>
      </w:r>
      <w:r>
        <w:rPr/>
        <w:t>economic</w:t>
      </w:r>
      <w:r>
        <w:rPr>
          <w:spacing w:val="-6"/>
        </w:rPr>
        <w:t> </w:t>
      </w:r>
      <w:r>
        <w:rPr/>
        <w:t>situation</w:t>
      </w:r>
      <w:r>
        <w:rPr>
          <w:spacing w:val="-7"/>
        </w:rPr>
        <w:t> </w:t>
      </w:r>
      <w:r>
        <w:rPr/>
        <w:t>when living</w:t>
      </w:r>
      <w:r>
        <w:rPr>
          <w:spacing w:val="-7"/>
        </w:rPr>
        <w:t> </w:t>
      </w:r>
      <w:r>
        <w:rPr/>
        <w:t>in</w:t>
      </w:r>
      <w:r>
        <w:rPr>
          <w:spacing w:val="-8"/>
        </w:rPr>
        <w:t> </w:t>
      </w:r>
      <w:r>
        <w:rPr/>
        <w:t>poverty</w:t>
      </w:r>
      <w:r>
        <w:rPr>
          <w:spacing w:val="-7"/>
        </w:rPr>
        <w:t> </w:t>
      </w:r>
      <w:r>
        <w:rPr/>
        <w:t>or</w:t>
      </w:r>
      <w:r>
        <w:rPr>
          <w:spacing w:val="-7"/>
        </w:rPr>
        <w:t> </w:t>
      </w:r>
      <w:r>
        <w:rPr/>
        <w:t>being</w:t>
      </w:r>
      <w:r>
        <w:rPr>
          <w:spacing w:val="-7"/>
        </w:rPr>
        <w:t> </w:t>
      </w:r>
      <w:r>
        <w:rPr/>
        <w:t>homeless’.</w:t>
      </w:r>
      <w:r>
        <w:rPr>
          <w:vertAlign w:val="superscript"/>
        </w:rPr>
        <w:t>306</w:t>
      </w:r>
      <w:r>
        <w:rPr>
          <w:spacing w:val="-8"/>
          <w:vertAlign w:val="baseline"/>
        </w:rPr>
        <w:t> </w:t>
      </w:r>
      <w:r>
        <w:rPr>
          <w:vertAlign w:val="baseline"/>
        </w:rPr>
        <w:t>If</w:t>
      </w:r>
      <w:r>
        <w:rPr>
          <w:spacing w:val="-8"/>
          <w:vertAlign w:val="baseline"/>
        </w:rPr>
        <w:t> </w:t>
      </w:r>
      <w:r>
        <w:rPr>
          <w:vertAlign w:val="baseline"/>
        </w:rPr>
        <w:t>Ireland</w:t>
      </w:r>
      <w:r>
        <w:rPr>
          <w:spacing w:val="-8"/>
          <w:vertAlign w:val="baseline"/>
        </w:rPr>
        <w:t> </w:t>
      </w:r>
      <w:r>
        <w:rPr>
          <w:vertAlign w:val="baseline"/>
        </w:rPr>
        <w:t>introduces</w:t>
      </w:r>
      <w:r>
        <w:rPr>
          <w:spacing w:val="-8"/>
          <w:vertAlign w:val="baseline"/>
        </w:rPr>
        <w:t> </w:t>
      </w:r>
      <w:r>
        <w:rPr>
          <w:vertAlign w:val="baseline"/>
        </w:rPr>
        <w:t>changes</w:t>
      </w:r>
      <w:r>
        <w:rPr>
          <w:spacing w:val="-8"/>
          <w:vertAlign w:val="baseline"/>
        </w:rPr>
        <w:t> </w:t>
      </w:r>
      <w:r>
        <w:rPr>
          <w:vertAlign w:val="baseline"/>
        </w:rPr>
        <w:t>in</w:t>
      </w:r>
      <w:r>
        <w:rPr>
          <w:spacing w:val="-8"/>
          <w:vertAlign w:val="baseline"/>
        </w:rPr>
        <w:t> </w:t>
      </w:r>
      <w:r>
        <w:rPr>
          <w:vertAlign w:val="baseline"/>
        </w:rPr>
        <w:t>these</w:t>
      </w:r>
      <w:r>
        <w:rPr>
          <w:spacing w:val="-7"/>
          <w:vertAlign w:val="baseline"/>
        </w:rPr>
        <w:t> </w:t>
      </w:r>
      <w:r>
        <w:rPr>
          <w:vertAlign w:val="baseline"/>
        </w:rPr>
        <w:t>areas to strengthen rights and reflect international human rights standards and best practice</w:t>
      </w:r>
      <w:r>
        <w:rPr>
          <w:spacing w:val="-2"/>
          <w:vertAlign w:val="baseline"/>
        </w:rPr>
        <w:t> </w:t>
      </w:r>
      <w:r>
        <w:rPr>
          <w:vertAlign w:val="baseline"/>
        </w:rPr>
        <w:t>then</w:t>
      </w:r>
      <w:r>
        <w:rPr>
          <w:spacing w:val="-2"/>
          <w:vertAlign w:val="baseline"/>
        </w:rPr>
        <w:t> </w:t>
      </w:r>
      <w:r>
        <w:rPr>
          <w:vertAlign w:val="baseline"/>
        </w:rPr>
        <w:t>the</w:t>
      </w:r>
      <w:r>
        <w:rPr>
          <w:spacing w:val="-2"/>
          <w:vertAlign w:val="baseline"/>
        </w:rPr>
        <w:t> </w:t>
      </w:r>
      <w:r>
        <w:rPr>
          <w:vertAlign w:val="baseline"/>
        </w:rPr>
        <w:t>Northern</w:t>
      </w:r>
      <w:r>
        <w:rPr>
          <w:spacing w:val="-2"/>
          <w:vertAlign w:val="baseline"/>
        </w:rPr>
        <w:t> </w:t>
      </w:r>
      <w:r>
        <w:rPr>
          <w:vertAlign w:val="baseline"/>
        </w:rPr>
        <w:t>Ireland</w:t>
      </w:r>
      <w:r>
        <w:rPr>
          <w:spacing w:val="-3"/>
          <w:vertAlign w:val="baseline"/>
        </w:rPr>
        <w:t> </w:t>
      </w:r>
      <w:r>
        <w:rPr>
          <w:vertAlign w:val="baseline"/>
        </w:rPr>
        <w:t>Executive</w:t>
      </w:r>
      <w:r>
        <w:rPr>
          <w:spacing w:val="-2"/>
          <w:vertAlign w:val="baseline"/>
        </w:rPr>
        <w:t> </w:t>
      </w:r>
      <w:r>
        <w:rPr>
          <w:vertAlign w:val="baseline"/>
        </w:rPr>
        <w:t>should</w:t>
      </w:r>
      <w:r>
        <w:rPr>
          <w:spacing w:val="-2"/>
          <w:vertAlign w:val="baseline"/>
        </w:rPr>
        <w:t> </w:t>
      </w:r>
      <w:r>
        <w:rPr>
          <w:vertAlign w:val="baseline"/>
        </w:rPr>
        <w:t>consider</w:t>
      </w:r>
      <w:r>
        <w:rPr>
          <w:spacing w:val="-2"/>
          <w:vertAlign w:val="baseline"/>
        </w:rPr>
        <w:t> </w:t>
      </w:r>
      <w:r>
        <w:rPr>
          <w:vertAlign w:val="baseline"/>
        </w:rPr>
        <w:t>voluntary</w:t>
      </w:r>
      <w:r>
        <w:rPr>
          <w:spacing w:val="-2"/>
          <w:vertAlign w:val="baseline"/>
        </w:rPr>
        <w:t> </w:t>
      </w:r>
      <w:r>
        <w:rPr>
          <w:vertAlign w:val="baseline"/>
        </w:rPr>
        <w:t>alignment even</w:t>
      </w:r>
      <w:r>
        <w:rPr>
          <w:spacing w:val="-6"/>
          <w:vertAlign w:val="baseline"/>
        </w:rPr>
        <w:t> </w:t>
      </w:r>
      <w:r>
        <w:rPr>
          <w:vertAlign w:val="baseline"/>
        </w:rPr>
        <w:t>where</w:t>
      </w:r>
      <w:r>
        <w:rPr>
          <w:spacing w:val="-5"/>
          <w:vertAlign w:val="baseline"/>
        </w:rPr>
        <w:t> </w:t>
      </w:r>
      <w:r>
        <w:rPr>
          <w:vertAlign w:val="baseline"/>
        </w:rPr>
        <w:t>it</w:t>
      </w:r>
      <w:r>
        <w:rPr>
          <w:spacing w:val="-5"/>
          <w:vertAlign w:val="baseline"/>
        </w:rPr>
        <w:t> </w:t>
      </w:r>
      <w:r>
        <w:rPr>
          <w:vertAlign w:val="baseline"/>
        </w:rPr>
        <w:t>goes</w:t>
      </w:r>
      <w:r>
        <w:rPr>
          <w:spacing w:val="-5"/>
          <w:vertAlign w:val="baseline"/>
        </w:rPr>
        <w:t> </w:t>
      </w:r>
      <w:r>
        <w:rPr>
          <w:vertAlign w:val="baseline"/>
        </w:rPr>
        <w:t>beyond</w:t>
      </w:r>
      <w:r>
        <w:rPr>
          <w:spacing w:val="-6"/>
          <w:vertAlign w:val="baseline"/>
        </w:rPr>
        <w:t> </w:t>
      </w:r>
      <w:r>
        <w:rPr>
          <w:vertAlign w:val="baseline"/>
        </w:rPr>
        <w:t>the</w:t>
      </w:r>
      <w:r>
        <w:rPr>
          <w:spacing w:val="-4"/>
          <w:vertAlign w:val="baseline"/>
        </w:rPr>
        <w:t> </w:t>
      </w:r>
      <w:r>
        <w:rPr>
          <w:vertAlign w:val="baseline"/>
        </w:rPr>
        <w:t>requirements</w:t>
      </w:r>
      <w:r>
        <w:rPr>
          <w:spacing w:val="-6"/>
          <w:vertAlign w:val="baseline"/>
        </w:rPr>
        <w:t> </w:t>
      </w:r>
      <w:r>
        <w:rPr>
          <w:vertAlign w:val="baseline"/>
        </w:rPr>
        <w:t>in</w:t>
      </w:r>
      <w:r>
        <w:rPr>
          <w:spacing w:val="-6"/>
          <w:vertAlign w:val="baseline"/>
        </w:rPr>
        <w:t> </w:t>
      </w:r>
      <w:r>
        <w:rPr>
          <w:vertAlign w:val="baseline"/>
        </w:rPr>
        <w:t>relation</w:t>
      </w:r>
      <w:r>
        <w:rPr>
          <w:spacing w:val="-5"/>
          <w:vertAlign w:val="baseline"/>
        </w:rPr>
        <w:t> </w:t>
      </w:r>
      <w:r>
        <w:rPr>
          <w:vertAlign w:val="baseline"/>
        </w:rPr>
        <w:t>to</w:t>
      </w:r>
      <w:r>
        <w:rPr>
          <w:spacing w:val="-6"/>
          <w:vertAlign w:val="baseline"/>
        </w:rPr>
        <w:t> </w:t>
      </w:r>
      <w:r>
        <w:rPr>
          <w:vertAlign w:val="baseline"/>
        </w:rPr>
        <w:t>the</w:t>
      </w:r>
      <w:r>
        <w:rPr>
          <w:spacing w:val="-5"/>
          <w:vertAlign w:val="baseline"/>
        </w:rPr>
        <w:t> </w:t>
      </w:r>
      <w:r>
        <w:rPr>
          <w:vertAlign w:val="baseline"/>
        </w:rPr>
        <w:t>Annex</w:t>
      </w:r>
      <w:r>
        <w:rPr>
          <w:spacing w:val="-5"/>
          <w:vertAlign w:val="baseline"/>
        </w:rPr>
        <w:t> </w:t>
      </w:r>
      <w:r>
        <w:rPr>
          <w:vertAlign w:val="baseline"/>
        </w:rPr>
        <w:t>1</w:t>
      </w:r>
      <w:r>
        <w:rPr>
          <w:spacing w:val="-5"/>
          <w:vertAlign w:val="baseline"/>
        </w:rPr>
        <w:t> </w:t>
      </w:r>
      <w:r>
        <w:rPr>
          <w:spacing w:val="-2"/>
          <w:vertAlign w:val="baseline"/>
        </w:rPr>
        <w:t>directives.</w:t>
      </w:r>
    </w:p>
    <w:p>
      <w:pPr>
        <w:pStyle w:val="BodyText"/>
        <w:spacing w:line="232" w:lineRule="auto" w:before="276"/>
        <w:ind w:left="720" w:right="1134"/>
      </w:pPr>
      <w:r>
        <w:rPr/>
        <w:t>Whilst at the moment many of the changes being discussed in Ireland go beyond the current state of EU law, there have been discussion by different groups of reforms</w:t>
      </w:r>
      <w:r>
        <w:rPr>
          <w:spacing w:val="-13"/>
        </w:rPr>
        <w:t> </w:t>
      </w:r>
      <w:r>
        <w:rPr/>
        <w:t>to</w:t>
      </w:r>
      <w:r>
        <w:rPr>
          <w:spacing w:val="-13"/>
        </w:rPr>
        <w:t> </w:t>
      </w:r>
      <w:r>
        <w:rPr/>
        <w:t>European</w:t>
      </w:r>
      <w:r>
        <w:rPr>
          <w:spacing w:val="-13"/>
        </w:rPr>
        <w:t> </w:t>
      </w:r>
      <w:r>
        <w:rPr/>
        <w:t>equality</w:t>
      </w:r>
      <w:r>
        <w:rPr>
          <w:spacing w:val="-12"/>
        </w:rPr>
        <w:t> </w:t>
      </w:r>
      <w:r>
        <w:rPr/>
        <w:t>law.</w:t>
      </w:r>
      <w:r>
        <w:rPr>
          <w:vertAlign w:val="superscript"/>
        </w:rPr>
        <w:t>307</w:t>
      </w:r>
      <w:r>
        <w:rPr>
          <w:spacing w:val="-13"/>
          <w:vertAlign w:val="baseline"/>
        </w:rPr>
        <w:t> </w:t>
      </w:r>
      <w:r>
        <w:rPr>
          <w:vertAlign w:val="baseline"/>
        </w:rPr>
        <w:t>An</w:t>
      </w:r>
      <w:r>
        <w:rPr>
          <w:spacing w:val="-13"/>
          <w:vertAlign w:val="baseline"/>
        </w:rPr>
        <w:t> </w:t>
      </w:r>
      <w:r>
        <w:rPr>
          <w:vertAlign w:val="baseline"/>
        </w:rPr>
        <w:t>Equinet</w:t>
      </w:r>
      <w:r>
        <w:rPr>
          <w:spacing w:val="-13"/>
          <w:vertAlign w:val="baseline"/>
        </w:rPr>
        <w:t> </w:t>
      </w:r>
      <w:r>
        <w:rPr>
          <w:vertAlign w:val="baseline"/>
        </w:rPr>
        <w:t>report</w:t>
      </w:r>
      <w:r>
        <w:rPr>
          <w:spacing w:val="-13"/>
          <w:vertAlign w:val="baseline"/>
        </w:rPr>
        <w:t> </w:t>
      </w:r>
      <w:r>
        <w:rPr>
          <w:vertAlign w:val="baseline"/>
        </w:rPr>
        <w:t>highlights</w:t>
      </w:r>
      <w:r>
        <w:rPr>
          <w:spacing w:val="-13"/>
          <w:vertAlign w:val="baseline"/>
        </w:rPr>
        <w:t> </w:t>
      </w:r>
      <w:r>
        <w:rPr>
          <w:vertAlign w:val="baseline"/>
        </w:rPr>
        <w:t>particularly</w:t>
      </w:r>
      <w:r>
        <w:rPr>
          <w:spacing w:val="-13"/>
          <w:vertAlign w:val="baseline"/>
        </w:rPr>
        <w:t> </w:t>
      </w:r>
      <w:r>
        <w:rPr>
          <w:vertAlign w:val="baseline"/>
        </w:rPr>
        <w:t>strong arguments for prohibiting discrimination based on socio-economic status, as well</w:t>
      </w:r>
      <w:r>
        <w:rPr>
          <w:vertAlign w:val="baseline"/>
        </w:rPr>
        <w:t> as</w:t>
      </w:r>
      <w:r>
        <w:rPr>
          <w:spacing w:val="-7"/>
          <w:vertAlign w:val="baseline"/>
        </w:rPr>
        <w:t> </w:t>
      </w:r>
      <w:r>
        <w:rPr>
          <w:vertAlign w:val="baseline"/>
        </w:rPr>
        <w:t>health</w:t>
      </w:r>
      <w:r>
        <w:rPr>
          <w:spacing w:val="-7"/>
          <w:vertAlign w:val="baseline"/>
        </w:rPr>
        <w:t> </w:t>
      </w:r>
      <w:r>
        <w:rPr>
          <w:vertAlign w:val="baseline"/>
        </w:rPr>
        <w:t>status</w:t>
      </w:r>
      <w:r>
        <w:rPr>
          <w:spacing w:val="-7"/>
          <w:vertAlign w:val="baseline"/>
        </w:rPr>
        <w:t> </w:t>
      </w:r>
      <w:r>
        <w:rPr>
          <w:vertAlign w:val="baseline"/>
        </w:rPr>
        <w:t>and</w:t>
      </w:r>
      <w:r>
        <w:rPr>
          <w:spacing w:val="-7"/>
          <w:vertAlign w:val="baseline"/>
        </w:rPr>
        <w:t> </w:t>
      </w:r>
      <w:r>
        <w:rPr>
          <w:vertAlign w:val="baseline"/>
        </w:rPr>
        <w:t>gender</w:t>
      </w:r>
      <w:r>
        <w:rPr>
          <w:spacing w:val="-6"/>
          <w:vertAlign w:val="baseline"/>
        </w:rPr>
        <w:t> </w:t>
      </w:r>
      <w:r>
        <w:rPr>
          <w:vertAlign w:val="baseline"/>
        </w:rPr>
        <w:t>identity.</w:t>
      </w:r>
      <w:r>
        <w:rPr>
          <w:vertAlign w:val="superscript"/>
        </w:rPr>
        <w:t>308</w:t>
      </w:r>
      <w:r>
        <w:rPr>
          <w:spacing w:val="-7"/>
          <w:vertAlign w:val="baseline"/>
        </w:rPr>
        <w:t> </w:t>
      </w:r>
      <w:r>
        <w:rPr>
          <w:vertAlign w:val="baseline"/>
        </w:rPr>
        <w:t>The</w:t>
      </w:r>
      <w:r>
        <w:rPr>
          <w:spacing w:val="-6"/>
          <w:vertAlign w:val="baseline"/>
        </w:rPr>
        <w:t> </w:t>
      </w:r>
      <w:r>
        <w:rPr>
          <w:vertAlign w:val="baseline"/>
        </w:rPr>
        <w:t>European</w:t>
      </w:r>
      <w:r>
        <w:rPr>
          <w:spacing w:val="-7"/>
          <w:vertAlign w:val="baseline"/>
        </w:rPr>
        <w:t> </w:t>
      </w:r>
      <w:r>
        <w:rPr>
          <w:vertAlign w:val="baseline"/>
        </w:rPr>
        <w:t>Commission</w:t>
      </w:r>
      <w:r>
        <w:rPr>
          <w:spacing w:val="-7"/>
          <w:vertAlign w:val="baseline"/>
        </w:rPr>
        <w:t> </w:t>
      </w:r>
      <w:r>
        <w:rPr>
          <w:vertAlign w:val="baseline"/>
        </w:rPr>
        <w:t>has</w:t>
      </w:r>
      <w:r>
        <w:rPr>
          <w:spacing w:val="-7"/>
          <w:vertAlign w:val="baseline"/>
        </w:rPr>
        <w:t> </w:t>
      </w:r>
      <w:r>
        <w:rPr>
          <w:vertAlign w:val="baseline"/>
        </w:rPr>
        <w:t>consulted</w:t>
      </w:r>
      <w:r>
        <w:rPr>
          <w:spacing w:val="-7"/>
          <w:vertAlign w:val="baseline"/>
        </w:rPr>
        <w:t> </w:t>
      </w:r>
      <w:r>
        <w:rPr>
          <w:vertAlign w:val="baseline"/>
        </w:rPr>
        <w:t>on reforms to race equality law.</w:t>
      </w:r>
      <w:r>
        <w:rPr>
          <w:vertAlign w:val="superscript"/>
        </w:rPr>
        <w:t>309</w:t>
      </w:r>
      <w:r>
        <w:rPr>
          <w:vertAlign w:val="baseline"/>
        </w:rPr>
        <w:t> This raises the prospect that there will be changes</w:t>
      </w:r>
    </w:p>
    <w:p>
      <w:pPr>
        <w:pStyle w:val="BodyText"/>
        <w:spacing w:before="10"/>
        <w:rPr>
          <w:sz w:val="11"/>
        </w:rPr>
      </w:pPr>
      <w:r>
        <w:rPr/>
        <mc:AlternateContent>
          <mc:Choice Requires="wps">
            <w:drawing>
              <wp:anchor distT="0" distB="0" distL="0" distR="0" allowOverlap="1" layoutInCell="1" locked="0" behindDoc="1" simplePos="0" relativeHeight="487681536">
                <wp:simplePos x="0" y="0"/>
                <wp:positionH relativeFrom="page">
                  <wp:posOffset>647999</wp:posOffset>
                </wp:positionH>
                <wp:positionV relativeFrom="paragraph">
                  <wp:posOffset>107283</wp:posOffset>
                </wp:positionV>
                <wp:extent cx="6012180" cy="1270"/>
                <wp:effectExtent l="0" t="0" r="0" b="0"/>
                <wp:wrapTopAndBottom/>
                <wp:docPr id="506" name="Graphic 506"/>
                <wp:cNvGraphicFramePr>
                  <a:graphicFrameLocks/>
                </wp:cNvGraphicFramePr>
                <a:graphic>
                  <a:graphicData uri="http://schemas.microsoft.com/office/word/2010/wordprocessingShape">
                    <wps:wsp>
                      <wps:cNvPr id="506" name="Graphic 50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8.447492pt;width:473.4pt;height:.1pt;mso-position-horizontal-relative:page;mso-position-vertical-relative:paragraph;z-index:-15634944;mso-wrap-distance-left:0;mso-wrap-distance-right:0" id="docshape401" coordorigin="1020,169" coordsize="9468,0" path="m1020,169l10488,169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625" w:hanging="567"/>
        <w:jc w:val="left"/>
        <w:rPr>
          <w:sz w:val="18"/>
        </w:rPr>
      </w:pPr>
      <w:r>
        <w:rPr>
          <w:sz w:val="18"/>
        </w:rPr>
        <w:t>Irish</w:t>
      </w:r>
      <w:r>
        <w:rPr>
          <w:spacing w:val="-4"/>
          <w:sz w:val="18"/>
        </w:rPr>
        <w:t> </w:t>
      </w:r>
      <w:r>
        <w:rPr>
          <w:sz w:val="18"/>
        </w:rPr>
        <w:t>Human</w:t>
      </w:r>
      <w:r>
        <w:rPr>
          <w:spacing w:val="-4"/>
          <w:sz w:val="18"/>
        </w:rPr>
        <w:t> </w:t>
      </w:r>
      <w:r>
        <w:rPr>
          <w:sz w:val="18"/>
        </w:rPr>
        <w:t>Rights</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color w:val="1D71B8"/>
          <w:sz w:val="18"/>
          <w:u w:val="single" w:color="1D71B8"/>
        </w:rPr>
        <w:t>Submission</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Review</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Acts</w:t>
      </w:r>
      <w:r>
        <w:rPr>
          <w:color w:val="1D71B8"/>
          <w:spacing w:val="-4"/>
          <w:sz w:val="18"/>
          <w:u w:val="none"/>
        </w:rPr>
        <w:t> </w:t>
      </w:r>
      <w:r>
        <w:rPr>
          <w:sz w:val="18"/>
          <w:u w:val="none"/>
        </w:rPr>
        <w:t>(December</w:t>
      </w:r>
      <w:r>
        <w:rPr>
          <w:spacing w:val="-3"/>
          <w:sz w:val="18"/>
          <w:u w:val="none"/>
        </w:rPr>
        <w:t> </w:t>
      </w:r>
      <w:r>
        <w:rPr>
          <w:sz w:val="18"/>
          <w:u w:val="none"/>
        </w:rPr>
        <w:t>2021);</w:t>
      </w:r>
      <w:r>
        <w:rPr>
          <w:spacing w:val="-3"/>
          <w:sz w:val="18"/>
          <w:u w:val="none"/>
        </w:rPr>
        <w:t> </w:t>
      </w:r>
      <w:r>
        <w:rPr>
          <w:sz w:val="18"/>
          <w:u w:val="none"/>
        </w:rPr>
        <w:t>Irish Human Rights and Equality Commission, </w:t>
      </w:r>
      <w:r>
        <w:rPr>
          <w:color w:val="1D71B8"/>
          <w:sz w:val="18"/>
          <w:u w:val="single" w:color="1D71B8"/>
        </w:rPr>
        <w:t>Submission on the Review of the Equality Acts</w:t>
      </w:r>
      <w:r>
        <w:rPr>
          <w:color w:val="1D71B8"/>
          <w:sz w:val="18"/>
          <w:u w:val="none"/>
        </w:rPr>
        <w:t> </w:t>
      </w:r>
      <w:r>
        <w:rPr>
          <w:sz w:val="18"/>
          <w:u w:val="none"/>
        </w:rPr>
        <w:t>(July 2023).</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Irish</w:t>
      </w:r>
      <w:r>
        <w:rPr>
          <w:spacing w:val="-7"/>
          <w:sz w:val="18"/>
        </w:rPr>
        <w:t> </w:t>
      </w:r>
      <w:r>
        <w:rPr>
          <w:sz w:val="18"/>
        </w:rPr>
        <w:t>Human</w:t>
      </w:r>
      <w:r>
        <w:rPr>
          <w:spacing w:val="-4"/>
          <w:sz w:val="18"/>
        </w:rPr>
        <w:t> </w:t>
      </w:r>
      <w:r>
        <w:rPr>
          <w:sz w:val="18"/>
        </w:rPr>
        <w:t>Rights</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5"/>
          <w:sz w:val="18"/>
        </w:rPr>
        <w:t> </w:t>
      </w:r>
      <w:r>
        <w:rPr>
          <w:color w:val="1D71B8"/>
          <w:sz w:val="18"/>
          <w:u w:val="single" w:color="1D71B8"/>
        </w:rPr>
        <w:t>Submission</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Review</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Acts</w:t>
      </w:r>
      <w:r>
        <w:rPr>
          <w:color w:val="1D71B8"/>
          <w:spacing w:val="-4"/>
          <w:sz w:val="18"/>
          <w:u w:val="none"/>
        </w:rPr>
        <w:t> </w:t>
      </w:r>
      <w:r>
        <w:rPr>
          <w:sz w:val="18"/>
          <w:u w:val="none"/>
        </w:rPr>
        <w:t>(July</w:t>
      </w:r>
      <w:r>
        <w:rPr>
          <w:spacing w:val="-3"/>
          <w:sz w:val="18"/>
          <w:u w:val="none"/>
        </w:rPr>
        <w:t> </w:t>
      </w:r>
      <w:r>
        <w:rPr>
          <w:sz w:val="18"/>
          <w:u w:val="none"/>
        </w:rPr>
        <w:t>2023)</w:t>
      </w:r>
      <w:r>
        <w:rPr>
          <w:spacing w:val="-4"/>
          <w:sz w:val="18"/>
          <w:u w:val="none"/>
        </w:rPr>
        <w:t> </w:t>
      </w:r>
      <w:r>
        <w:rPr>
          <w:sz w:val="18"/>
          <w:u w:val="none"/>
        </w:rPr>
        <w:t>19-</w:t>
      </w:r>
      <w:r>
        <w:rPr>
          <w:spacing w:val="-5"/>
          <w:sz w:val="18"/>
          <w:u w:val="none"/>
        </w:rPr>
        <w:t>21.</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w:t>
      </w:r>
      <w:r>
        <w:rPr>
          <w:spacing w:val="-3"/>
          <w:sz w:val="18"/>
        </w:rPr>
        <w:t> </w:t>
      </w:r>
      <w:r>
        <w:rPr>
          <w:sz w:val="18"/>
        </w:rPr>
        <w:t>49-</w:t>
      </w:r>
      <w:r>
        <w:rPr>
          <w:spacing w:val="-5"/>
          <w:sz w:val="18"/>
        </w:rPr>
        <w:t>67.</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 </w:t>
      </w:r>
      <w:r>
        <w:rPr>
          <w:spacing w:val="-5"/>
          <w:sz w:val="18"/>
        </w:rPr>
        <w:t>69.</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Ibid.,</w:t>
      </w:r>
      <w:r>
        <w:rPr>
          <w:spacing w:val="-3"/>
          <w:sz w:val="18"/>
        </w:rPr>
        <w:t> </w:t>
      </w:r>
      <w:r>
        <w:rPr>
          <w:sz w:val="18"/>
        </w:rPr>
        <w:t>16-</w:t>
      </w:r>
      <w:r>
        <w:rPr>
          <w:spacing w:val="-5"/>
          <w:sz w:val="18"/>
        </w:rPr>
        <w:t>17.</w:t>
      </w:r>
    </w:p>
    <w:p>
      <w:pPr>
        <w:pStyle w:val="ListParagraph"/>
        <w:numPr>
          <w:ilvl w:val="0"/>
          <w:numId w:val="18"/>
        </w:numPr>
        <w:tabs>
          <w:tab w:pos="1287" w:val="left" w:leader="none"/>
        </w:tabs>
        <w:spacing w:line="240" w:lineRule="auto" w:before="0" w:after="0"/>
        <w:ind w:left="1287" w:right="0" w:hanging="567"/>
        <w:jc w:val="left"/>
        <w:rPr>
          <w:sz w:val="18"/>
        </w:rPr>
      </w:pPr>
      <w:r>
        <w:rPr>
          <w:sz w:val="18"/>
        </w:rPr>
        <w:t>ECNI</w:t>
      </w:r>
      <w:r>
        <w:rPr>
          <w:spacing w:val="-5"/>
          <w:sz w:val="18"/>
        </w:rPr>
        <w:t> </w:t>
      </w:r>
      <w:r>
        <w:rPr>
          <w:sz w:val="18"/>
        </w:rPr>
        <w:t>and</w:t>
      </w:r>
      <w:r>
        <w:rPr>
          <w:spacing w:val="-5"/>
          <w:sz w:val="18"/>
        </w:rPr>
        <w:t> </w:t>
      </w:r>
      <w:r>
        <w:rPr>
          <w:sz w:val="18"/>
        </w:rPr>
        <w:t>NIHRC,</w:t>
      </w:r>
      <w:r>
        <w:rPr>
          <w:spacing w:val="-4"/>
          <w:sz w:val="18"/>
        </w:rPr>
        <w:t> </w:t>
      </w:r>
      <w:r>
        <w:rPr>
          <w:color w:val="1D71B8"/>
          <w:sz w:val="18"/>
          <w:u w:val="single" w:color="1D71B8"/>
        </w:rPr>
        <w:t>Annual</w:t>
      </w:r>
      <w:r>
        <w:rPr>
          <w:color w:val="1D71B8"/>
          <w:spacing w:val="-5"/>
          <w:sz w:val="18"/>
          <w:u w:val="single" w:color="1D71B8"/>
        </w:rPr>
        <w:t> </w:t>
      </w:r>
      <w:r>
        <w:rPr>
          <w:color w:val="1D71B8"/>
          <w:sz w:val="18"/>
          <w:u w:val="single" w:color="1D71B8"/>
        </w:rPr>
        <w:t>Report</w:t>
      </w:r>
      <w:r>
        <w:rPr>
          <w:color w:val="1D71B8"/>
          <w:spacing w:val="-4"/>
          <w:sz w:val="18"/>
          <w:u w:val="single" w:color="1D71B8"/>
        </w:rPr>
        <w:t> </w:t>
      </w:r>
      <w:r>
        <w:rPr>
          <w:color w:val="1D71B8"/>
          <w:sz w:val="18"/>
          <w:u w:val="single" w:color="1D71B8"/>
        </w:rPr>
        <w:t>2022-2023:</w:t>
      </w:r>
      <w:r>
        <w:rPr>
          <w:color w:val="1D71B8"/>
          <w:spacing w:val="-5"/>
          <w:sz w:val="18"/>
          <w:u w:val="single" w:color="1D71B8"/>
        </w:rPr>
        <w:t> </w:t>
      </w:r>
      <w:r>
        <w:rPr>
          <w:color w:val="1D71B8"/>
          <w:sz w:val="18"/>
          <w:u w:val="single" w:color="1D71B8"/>
        </w:rPr>
        <w:t>Implementation</w:t>
      </w:r>
      <w:r>
        <w:rPr>
          <w:color w:val="1D71B8"/>
          <w:spacing w:val="-5"/>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Protocol</w:t>
      </w:r>
      <w:r>
        <w:rPr>
          <w:color w:val="1D71B8"/>
          <w:spacing w:val="-5"/>
          <w:sz w:val="18"/>
          <w:u w:val="single" w:color="1D71B8"/>
        </w:rPr>
        <w:t> </w:t>
      </w:r>
      <w:r>
        <w:rPr>
          <w:color w:val="1D71B8"/>
          <w:sz w:val="18"/>
          <w:u w:val="single" w:color="1D71B8"/>
        </w:rPr>
        <w:t>Article</w:t>
      </w:r>
      <w:r>
        <w:rPr>
          <w:color w:val="1D71B8"/>
          <w:spacing w:val="-4"/>
          <w:sz w:val="18"/>
          <w:u w:val="single" w:color="1D71B8"/>
        </w:rPr>
        <w:t> </w:t>
      </w:r>
      <w:r>
        <w:rPr>
          <w:color w:val="1D71B8"/>
          <w:sz w:val="18"/>
          <w:u w:val="single" w:color="1D71B8"/>
        </w:rPr>
        <w:t>2</w:t>
      </w:r>
      <w:r>
        <w:rPr>
          <w:color w:val="1D71B8"/>
          <w:spacing w:val="-6"/>
          <w:sz w:val="18"/>
          <w:u w:val="none"/>
        </w:rPr>
        <w:t> </w:t>
      </w:r>
      <w:r>
        <w:rPr>
          <w:sz w:val="18"/>
          <w:u w:val="none"/>
        </w:rPr>
        <w:t>(2023)</w:t>
      </w:r>
      <w:r>
        <w:rPr>
          <w:spacing w:val="-5"/>
          <w:sz w:val="18"/>
          <w:u w:val="none"/>
        </w:rPr>
        <w:t> </w:t>
      </w:r>
      <w:r>
        <w:rPr>
          <w:sz w:val="18"/>
          <w:u w:val="none"/>
        </w:rPr>
        <w:t>39-</w:t>
      </w:r>
      <w:r>
        <w:rPr>
          <w:spacing w:val="-5"/>
          <w:sz w:val="18"/>
          <w:u w:val="none"/>
        </w:rPr>
        <w:t>43.</w:t>
      </w:r>
    </w:p>
    <w:p>
      <w:pPr>
        <w:pStyle w:val="ListParagraph"/>
        <w:numPr>
          <w:ilvl w:val="0"/>
          <w:numId w:val="18"/>
        </w:numPr>
        <w:tabs>
          <w:tab w:pos="1287" w:val="left" w:leader="none"/>
        </w:tabs>
        <w:spacing w:line="240" w:lineRule="auto" w:before="0" w:after="0"/>
        <w:ind w:left="1287" w:right="1402" w:hanging="567"/>
        <w:jc w:val="left"/>
        <w:rPr>
          <w:sz w:val="18"/>
        </w:rPr>
      </w:pPr>
      <w:r>
        <w:rPr>
          <w:sz w:val="18"/>
        </w:rPr>
        <w:t>CESCR,</w:t>
      </w:r>
      <w:r>
        <w:rPr>
          <w:spacing w:val="-5"/>
          <w:sz w:val="18"/>
        </w:rPr>
        <w:t> </w:t>
      </w:r>
      <w:hyperlink r:id="rId80">
        <w:r>
          <w:rPr>
            <w:color w:val="1D71B8"/>
            <w:sz w:val="18"/>
            <w:u w:val="single" w:color="1D71B8"/>
          </w:rPr>
          <w:t>General</w:t>
        </w:r>
        <w:r>
          <w:rPr>
            <w:color w:val="1D71B8"/>
            <w:spacing w:val="-5"/>
            <w:sz w:val="18"/>
            <w:u w:val="single" w:color="1D71B8"/>
          </w:rPr>
          <w:t> </w:t>
        </w:r>
        <w:r>
          <w:rPr>
            <w:color w:val="1D71B8"/>
            <w:sz w:val="18"/>
            <w:u w:val="single" w:color="1D71B8"/>
          </w:rPr>
          <w:t>Comment</w:t>
        </w:r>
        <w:r>
          <w:rPr>
            <w:color w:val="1D71B8"/>
            <w:spacing w:val="-4"/>
            <w:sz w:val="18"/>
            <w:u w:val="single" w:color="1D71B8"/>
          </w:rPr>
          <w:t> </w:t>
        </w:r>
        <w:r>
          <w:rPr>
            <w:color w:val="1D71B8"/>
            <w:sz w:val="18"/>
            <w:u w:val="single" w:color="1D71B8"/>
          </w:rPr>
          <w:t>No.</w:t>
        </w:r>
        <w:r>
          <w:rPr>
            <w:color w:val="1D71B8"/>
            <w:spacing w:val="-5"/>
            <w:sz w:val="18"/>
            <w:u w:val="single" w:color="1D71B8"/>
          </w:rPr>
          <w:t> </w:t>
        </w:r>
        <w:r>
          <w:rPr>
            <w:color w:val="1D71B8"/>
            <w:sz w:val="18"/>
            <w:u w:val="single" w:color="1D71B8"/>
          </w:rPr>
          <w:t>20</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Non-Discrimination</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Economic,</w:t>
        </w:r>
        <w:r>
          <w:rPr>
            <w:color w:val="1D71B8"/>
            <w:spacing w:val="-4"/>
            <w:sz w:val="18"/>
            <w:u w:val="single" w:color="1D71B8"/>
          </w:rPr>
          <w:t> </w:t>
        </w:r>
        <w:r>
          <w:rPr>
            <w:color w:val="1D71B8"/>
            <w:sz w:val="18"/>
            <w:u w:val="single" w:color="1D71B8"/>
          </w:rPr>
          <w:t>Social</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Cultural</w:t>
        </w:r>
        <w:r>
          <w:rPr>
            <w:color w:val="1D71B8"/>
            <w:spacing w:val="-5"/>
            <w:sz w:val="18"/>
            <w:u w:val="single" w:color="1D71B8"/>
          </w:rPr>
          <w:t> </w:t>
        </w:r>
        <w:r>
          <w:rPr>
            <w:color w:val="1D71B8"/>
            <w:sz w:val="18"/>
            <w:u w:val="single" w:color="1D71B8"/>
          </w:rPr>
          <w:t>Rights</w:t>
        </w:r>
      </w:hyperlink>
      <w:r>
        <w:rPr>
          <w:color w:val="1D71B8"/>
          <w:spacing w:val="-5"/>
          <w:sz w:val="18"/>
          <w:u w:val="none"/>
        </w:rPr>
        <w:t> </w:t>
      </w:r>
      <w:r>
        <w:rPr>
          <w:sz w:val="18"/>
          <w:u w:val="none"/>
        </w:rPr>
        <w:t>(United</w:t>
      </w:r>
      <w:r>
        <w:rPr>
          <w:spacing w:val="-5"/>
          <w:sz w:val="18"/>
          <w:u w:val="none"/>
        </w:rPr>
        <w:t> </w:t>
      </w:r>
      <w:r>
        <w:rPr>
          <w:sz w:val="18"/>
          <w:u w:val="none"/>
        </w:rPr>
        <w:t>Nations,</w:t>
      </w:r>
      <w:r>
        <w:rPr>
          <w:spacing w:val="-4"/>
          <w:sz w:val="18"/>
          <w:u w:val="none"/>
        </w:rPr>
        <w:t> </w:t>
      </w:r>
      <w:r>
        <w:rPr>
          <w:sz w:val="18"/>
          <w:u w:val="none"/>
        </w:rPr>
        <w:t>2009) E/C.12/GC/20, paras 17, 27, 32, 35.</w:t>
      </w:r>
    </w:p>
    <w:p>
      <w:pPr>
        <w:pStyle w:val="ListParagraph"/>
        <w:numPr>
          <w:ilvl w:val="0"/>
          <w:numId w:val="18"/>
        </w:numPr>
        <w:tabs>
          <w:tab w:pos="1287" w:val="left" w:leader="none"/>
        </w:tabs>
        <w:spacing w:line="240" w:lineRule="auto" w:before="1" w:after="0"/>
        <w:ind w:left="1287" w:right="1236" w:hanging="567"/>
        <w:jc w:val="left"/>
        <w:rPr>
          <w:sz w:val="18"/>
        </w:rPr>
      </w:pPr>
      <w:r>
        <w:rPr>
          <w:sz w:val="18"/>
        </w:rPr>
        <w:t>See for example Sarah Ganty and Juan Carlos Benito Sánchez, </w:t>
      </w:r>
      <w:hyperlink r:id="rId81">
        <w:r>
          <w:rPr>
            <w:color w:val="1D71B8"/>
            <w:sz w:val="18"/>
            <w:u w:val="single" w:color="1D71B8"/>
          </w:rPr>
          <w:t>Expanding the List of Grounds in Non-Discrimination Law</w:t>
        </w:r>
      </w:hyperlink>
      <w:r>
        <w:rPr>
          <w:color w:val="1D71B8"/>
          <w:sz w:val="18"/>
          <w:u w:val="none"/>
        </w:rPr>
        <w:t> </w:t>
      </w:r>
      <w:r>
        <w:rPr>
          <w:sz w:val="18"/>
          <w:u w:val="none"/>
        </w:rPr>
        <w:t>(Equinet,</w:t>
      </w:r>
      <w:r>
        <w:rPr>
          <w:spacing w:val="-7"/>
          <w:sz w:val="18"/>
          <w:u w:val="none"/>
        </w:rPr>
        <w:t> </w:t>
      </w:r>
      <w:r>
        <w:rPr>
          <w:sz w:val="18"/>
          <w:u w:val="none"/>
        </w:rPr>
        <w:t>2021);</w:t>
      </w:r>
      <w:r>
        <w:rPr>
          <w:spacing w:val="-7"/>
          <w:sz w:val="18"/>
          <w:u w:val="none"/>
        </w:rPr>
        <w:t> </w:t>
      </w:r>
      <w:r>
        <w:rPr>
          <w:sz w:val="18"/>
          <w:u w:val="none"/>
        </w:rPr>
        <w:t>Equinet,</w:t>
      </w:r>
      <w:r>
        <w:rPr>
          <w:spacing w:val="-9"/>
          <w:sz w:val="18"/>
          <w:u w:val="none"/>
        </w:rPr>
        <w:t> </w:t>
      </w:r>
      <w:r>
        <w:rPr>
          <w:color w:val="1D71B8"/>
          <w:sz w:val="18"/>
          <w:u w:val="single" w:color="1D71B8"/>
        </w:rPr>
        <w:t>Legislating</w:t>
      </w:r>
      <w:r>
        <w:rPr>
          <w:color w:val="1D71B8"/>
          <w:spacing w:val="-7"/>
          <w:sz w:val="18"/>
          <w:u w:val="single" w:color="1D71B8"/>
        </w:rPr>
        <w:t> </w:t>
      </w:r>
      <w:r>
        <w:rPr>
          <w:color w:val="1D71B8"/>
          <w:sz w:val="18"/>
          <w:u w:val="single" w:color="1D71B8"/>
        </w:rPr>
        <w:t>for</w:t>
      </w:r>
      <w:r>
        <w:rPr>
          <w:color w:val="1D71B8"/>
          <w:spacing w:val="-7"/>
          <w:sz w:val="18"/>
          <w:u w:val="single" w:color="1D71B8"/>
        </w:rPr>
        <w:t> </w:t>
      </w:r>
      <w:r>
        <w:rPr>
          <w:color w:val="1D71B8"/>
          <w:sz w:val="18"/>
          <w:u w:val="single" w:color="1D71B8"/>
        </w:rPr>
        <w:t>stronger,</w:t>
      </w:r>
      <w:r>
        <w:rPr>
          <w:color w:val="1D71B8"/>
          <w:spacing w:val="-7"/>
          <w:sz w:val="18"/>
          <w:u w:val="single" w:color="1D71B8"/>
        </w:rPr>
        <w:t> </w:t>
      </w:r>
      <w:r>
        <w:rPr>
          <w:color w:val="1D71B8"/>
          <w:sz w:val="18"/>
          <w:u w:val="single" w:color="1D71B8"/>
        </w:rPr>
        <w:t>more</w:t>
      </w:r>
      <w:r>
        <w:rPr>
          <w:color w:val="1D71B8"/>
          <w:spacing w:val="-7"/>
          <w:sz w:val="18"/>
          <w:u w:val="single" w:color="1D71B8"/>
        </w:rPr>
        <w:t> </w:t>
      </w:r>
      <w:r>
        <w:rPr>
          <w:color w:val="1D71B8"/>
          <w:sz w:val="18"/>
          <w:u w:val="single" w:color="1D71B8"/>
        </w:rPr>
        <w:t>effective</w:t>
      </w:r>
      <w:r>
        <w:rPr>
          <w:color w:val="1D71B8"/>
          <w:spacing w:val="-7"/>
          <w:sz w:val="18"/>
          <w:u w:val="single" w:color="1D71B8"/>
        </w:rPr>
        <w:t> </w:t>
      </w:r>
      <w:r>
        <w:rPr>
          <w:color w:val="1D71B8"/>
          <w:sz w:val="18"/>
          <w:u w:val="single" w:color="1D71B8"/>
        </w:rPr>
        <w:t>equality</w:t>
      </w:r>
      <w:r>
        <w:rPr>
          <w:color w:val="1D71B8"/>
          <w:spacing w:val="-7"/>
          <w:sz w:val="18"/>
          <w:u w:val="single" w:color="1D71B8"/>
        </w:rPr>
        <w:t> </w:t>
      </w:r>
      <w:r>
        <w:rPr>
          <w:color w:val="1D71B8"/>
          <w:sz w:val="18"/>
          <w:u w:val="single" w:color="1D71B8"/>
        </w:rPr>
        <w:t>bodies:</w:t>
      </w:r>
      <w:r>
        <w:rPr>
          <w:color w:val="1D71B8"/>
          <w:spacing w:val="-7"/>
          <w:sz w:val="18"/>
          <w:u w:val="single" w:color="1D71B8"/>
        </w:rPr>
        <w:t> </w:t>
      </w:r>
      <w:r>
        <w:rPr>
          <w:color w:val="1D71B8"/>
          <w:sz w:val="18"/>
          <w:u w:val="single" w:color="1D71B8"/>
        </w:rPr>
        <w:t>Key</w:t>
      </w:r>
      <w:r>
        <w:rPr>
          <w:color w:val="1D71B8"/>
          <w:spacing w:val="-7"/>
          <w:sz w:val="18"/>
          <w:u w:val="single" w:color="1D71B8"/>
        </w:rPr>
        <w:t> </w:t>
      </w:r>
      <w:r>
        <w:rPr>
          <w:color w:val="1D71B8"/>
          <w:sz w:val="18"/>
          <w:u w:val="single" w:color="1D71B8"/>
        </w:rPr>
        <w:t>elements</w:t>
      </w:r>
      <w:r>
        <w:rPr>
          <w:color w:val="1D71B8"/>
          <w:spacing w:val="-8"/>
          <w:sz w:val="18"/>
          <w:u w:val="single" w:color="1D71B8"/>
        </w:rPr>
        <w:t> </w:t>
      </w:r>
      <w:r>
        <w:rPr>
          <w:color w:val="1D71B8"/>
          <w:sz w:val="18"/>
          <w:u w:val="single" w:color="1D71B8"/>
        </w:rPr>
        <w:t>for</w:t>
      </w:r>
      <w:r>
        <w:rPr>
          <w:color w:val="1D71B8"/>
          <w:spacing w:val="-7"/>
          <w:sz w:val="18"/>
          <w:u w:val="single" w:color="1D71B8"/>
        </w:rPr>
        <w:t> </w:t>
      </w:r>
      <w:r>
        <w:rPr>
          <w:color w:val="1D71B8"/>
          <w:sz w:val="18"/>
          <w:u w:val="single" w:color="1D71B8"/>
        </w:rPr>
        <w:t>and</w:t>
      </w:r>
      <w:r>
        <w:rPr>
          <w:color w:val="1D71B8"/>
          <w:spacing w:val="-8"/>
          <w:sz w:val="18"/>
          <w:u w:val="single" w:color="1D71B8"/>
        </w:rPr>
        <w:t> </w:t>
      </w:r>
      <w:r>
        <w:rPr>
          <w:color w:val="1D71B8"/>
          <w:sz w:val="18"/>
          <w:u w:val="single" w:color="1D71B8"/>
        </w:rPr>
        <w:t>expectations</w:t>
      </w:r>
      <w:r>
        <w:rPr>
          <w:color w:val="1D71B8"/>
          <w:spacing w:val="-8"/>
          <w:sz w:val="18"/>
          <w:u w:val="single" w:color="1D71B8"/>
        </w:rPr>
        <w:t> </w:t>
      </w:r>
      <w:r>
        <w:rPr>
          <w:color w:val="1D71B8"/>
          <w:sz w:val="18"/>
          <w:u w:val="single" w:color="1D71B8"/>
        </w:rPr>
        <w:t>from</w:t>
      </w:r>
      <w:r>
        <w:rPr>
          <w:color w:val="1D71B8"/>
          <w:sz w:val="18"/>
          <w:u w:val="none"/>
        </w:rPr>
        <w:t> </w:t>
      </w:r>
      <w:r>
        <w:rPr>
          <w:color w:val="1D71B8"/>
          <w:sz w:val="18"/>
          <w:u w:val="single" w:color="1D71B8"/>
        </w:rPr>
        <w:t>future EU legislation on equality bodies</w:t>
      </w:r>
      <w:r>
        <w:rPr>
          <w:color w:val="1D71B8"/>
          <w:sz w:val="18"/>
          <w:u w:val="none"/>
        </w:rPr>
        <w:t> </w:t>
      </w:r>
      <w:r>
        <w:rPr>
          <w:sz w:val="18"/>
          <w:u w:val="none"/>
        </w:rPr>
        <w:t>(2021).</w:t>
      </w:r>
    </w:p>
    <w:p>
      <w:pPr>
        <w:pStyle w:val="ListParagraph"/>
        <w:numPr>
          <w:ilvl w:val="0"/>
          <w:numId w:val="18"/>
        </w:numPr>
        <w:tabs>
          <w:tab w:pos="1287" w:val="left" w:leader="none"/>
        </w:tabs>
        <w:spacing w:line="240" w:lineRule="auto" w:before="1" w:after="0"/>
        <w:ind w:left="1287" w:right="0" w:hanging="567"/>
        <w:jc w:val="left"/>
        <w:rPr>
          <w:sz w:val="18"/>
        </w:rPr>
      </w:pPr>
      <w:r>
        <w:rPr>
          <w:sz w:val="18"/>
        </w:rPr>
        <w:t>Sarah</w:t>
      </w:r>
      <w:r>
        <w:rPr>
          <w:spacing w:val="-4"/>
          <w:sz w:val="18"/>
        </w:rPr>
        <w:t> </w:t>
      </w:r>
      <w:r>
        <w:rPr>
          <w:sz w:val="18"/>
        </w:rPr>
        <w:t>Ganty</w:t>
      </w:r>
      <w:r>
        <w:rPr>
          <w:spacing w:val="-4"/>
          <w:sz w:val="18"/>
        </w:rPr>
        <w:t> </w:t>
      </w:r>
      <w:r>
        <w:rPr>
          <w:sz w:val="18"/>
        </w:rPr>
        <w:t>and</w:t>
      </w:r>
      <w:r>
        <w:rPr>
          <w:spacing w:val="-4"/>
          <w:sz w:val="18"/>
        </w:rPr>
        <w:t> </w:t>
      </w:r>
      <w:r>
        <w:rPr>
          <w:sz w:val="18"/>
        </w:rPr>
        <w:t>Juan</w:t>
      </w:r>
      <w:r>
        <w:rPr>
          <w:spacing w:val="-3"/>
          <w:sz w:val="18"/>
        </w:rPr>
        <w:t> </w:t>
      </w:r>
      <w:r>
        <w:rPr>
          <w:sz w:val="18"/>
        </w:rPr>
        <w:t>Carlos</w:t>
      </w:r>
      <w:r>
        <w:rPr>
          <w:spacing w:val="-4"/>
          <w:sz w:val="18"/>
        </w:rPr>
        <w:t> </w:t>
      </w:r>
      <w:r>
        <w:rPr>
          <w:sz w:val="18"/>
        </w:rPr>
        <w:t>Benito</w:t>
      </w:r>
      <w:r>
        <w:rPr>
          <w:spacing w:val="-4"/>
          <w:sz w:val="18"/>
        </w:rPr>
        <w:t> </w:t>
      </w:r>
      <w:r>
        <w:rPr>
          <w:sz w:val="18"/>
        </w:rPr>
        <w:t>Sánchez,</w:t>
      </w:r>
      <w:r>
        <w:rPr>
          <w:spacing w:val="-4"/>
          <w:sz w:val="18"/>
        </w:rPr>
        <w:t> </w:t>
      </w:r>
      <w:hyperlink r:id="rId81">
        <w:r>
          <w:rPr>
            <w:color w:val="1D71B8"/>
            <w:sz w:val="18"/>
            <w:u w:val="single" w:color="1D71B8"/>
          </w:rPr>
          <w:t>Expanding</w:t>
        </w:r>
        <w:r>
          <w:rPr>
            <w:color w:val="1D71B8"/>
            <w:spacing w:val="-3"/>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List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Grounds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Non-Discrimination</w:t>
        </w:r>
        <w:r>
          <w:rPr>
            <w:color w:val="1D71B8"/>
            <w:spacing w:val="-4"/>
            <w:sz w:val="18"/>
            <w:u w:val="single" w:color="1D71B8"/>
          </w:rPr>
          <w:t> </w:t>
        </w:r>
        <w:r>
          <w:rPr>
            <w:color w:val="1D71B8"/>
            <w:sz w:val="18"/>
            <w:u w:val="single" w:color="1D71B8"/>
          </w:rPr>
          <w:t>Law</w:t>
        </w:r>
      </w:hyperlink>
      <w:r>
        <w:rPr>
          <w:color w:val="1D71B8"/>
          <w:spacing w:val="-4"/>
          <w:sz w:val="18"/>
          <w:u w:val="none"/>
        </w:rPr>
        <w:t> </w:t>
      </w:r>
      <w:r>
        <w:rPr>
          <w:sz w:val="18"/>
          <w:u w:val="none"/>
        </w:rPr>
        <w:t>(Equinet,</w:t>
      </w:r>
      <w:r>
        <w:rPr>
          <w:spacing w:val="-3"/>
          <w:sz w:val="18"/>
          <w:u w:val="none"/>
        </w:rPr>
        <w:t> </w:t>
      </w:r>
      <w:r>
        <w:rPr>
          <w:sz w:val="18"/>
          <w:u w:val="none"/>
        </w:rPr>
        <w:t>2021)</w:t>
      </w:r>
      <w:r>
        <w:rPr>
          <w:spacing w:val="-4"/>
          <w:sz w:val="18"/>
          <w:u w:val="none"/>
        </w:rPr>
        <w:t> </w:t>
      </w:r>
      <w:r>
        <w:rPr>
          <w:spacing w:val="-5"/>
          <w:sz w:val="18"/>
          <w:u w:val="none"/>
        </w:rPr>
        <w:t>iv.</w:t>
      </w:r>
    </w:p>
    <w:p>
      <w:pPr>
        <w:pStyle w:val="ListParagraph"/>
        <w:numPr>
          <w:ilvl w:val="0"/>
          <w:numId w:val="18"/>
        </w:numPr>
        <w:tabs>
          <w:tab w:pos="1287" w:val="left" w:leader="none"/>
        </w:tabs>
        <w:spacing w:line="240" w:lineRule="auto" w:before="0" w:after="0"/>
        <w:ind w:left="1287" w:right="1343" w:hanging="567"/>
        <w:jc w:val="left"/>
        <w:rPr>
          <w:sz w:val="18"/>
        </w:rPr>
      </w:pPr>
      <w:r>
        <w:rPr>
          <w:sz w:val="18"/>
        </w:rPr>
        <w:t>The</w:t>
      </w:r>
      <w:r>
        <w:rPr>
          <w:spacing w:val="-4"/>
          <w:sz w:val="18"/>
        </w:rPr>
        <w:t> </w:t>
      </w:r>
      <w:r>
        <w:rPr>
          <w:sz w:val="18"/>
        </w:rPr>
        <w:t>Northern</w:t>
      </w:r>
      <w:r>
        <w:rPr>
          <w:spacing w:val="-5"/>
          <w:sz w:val="18"/>
        </w:rPr>
        <w:t> </w:t>
      </w:r>
      <w:r>
        <w:rPr>
          <w:sz w:val="18"/>
        </w:rPr>
        <w:t>Ireland</w:t>
      </w:r>
      <w:r>
        <w:rPr>
          <w:spacing w:val="-5"/>
          <w:sz w:val="18"/>
        </w:rPr>
        <w:t> </w:t>
      </w:r>
      <w:r>
        <w:rPr>
          <w:sz w:val="18"/>
        </w:rPr>
        <w:t>commissions</w:t>
      </w:r>
      <w:r>
        <w:rPr>
          <w:spacing w:val="-5"/>
          <w:sz w:val="18"/>
        </w:rPr>
        <w:t> </w:t>
      </w:r>
      <w:r>
        <w:rPr>
          <w:sz w:val="18"/>
        </w:rPr>
        <w:t>have</w:t>
      </w:r>
      <w:r>
        <w:rPr>
          <w:spacing w:val="-4"/>
          <w:sz w:val="18"/>
        </w:rPr>
        <w:t> </w:t>
      </w:r>
      <w:r>
        <w:rPr>
          <w:sz w:val="18"/>
        </w:rPr>
        <w:t>responded</w:t>
      </w:r>
      <w:r>
        <w:rPr>
          <w:spacing w:val="-5"/>
          <w:sz w:val="18"/>
        </w:rPr>
        <w:t> </w:t>
      </w:r>
      <w:r>
        <w:rPr>
          <w:sz w:val="18"/>
        </w:rPr>
        <w:t>to</w:t>
      </w:r>
      <w:r>
        <w:rPr>
          <w:spacing w:val="-5"/>
          <w:sz w:val="18"/>
        </w:rPr>
        <w:t> </w:t>
      </w:r>
      <w:r>
        <w:rPr>
          <w:sz w:val="18"/>
        </w:rPr>
        <w:t>this:</w:t>
      </w:r>
      <w:r>
        <w:rPr>
          <w:spacing w:val="-4"/>
          <w:sz w:val="18"/>
        </w:rPr>
        <w:t> </w:t>
      </w:r>
      <w:r>
        <w:rPr>
          <w:sz w:val="18"/>
        </w:rPr>
        <w:t>NIHRC,</w:t>
      </w:r>
      <w:r>
        <w:rPr>
          <w:spacing w:val="-4"/>
          <w:sz w:val="18"/>
        </w:rPr>
        <w:t> </w:t>
      </w:r>
      <w:r>
        <w:rPr>
          <w:color w:val="1D71B8"/>
          <w:sz w:val="18"/>
          <w:u w:val="single" w:color="1D71B8"/>
        </w:rPr>
        <w:t>Response</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European</w:t>
      </w:r>
      <w:r>
        <w:rPr>
          <w:color w:val="1D71B8"/>
          <w:spacing w:val="-5"/>
          <w:sz w:val="18"/>
          <w:u w:val="single" w:color="1D71B8"/>
        </w:rPr>
        <w:t> </w:t>
      </w:r>
      <w:r>
        <w:rPr>
          <w:color w:val="1D71B8"/>
          <w:sz w:val="18"/>
          <w:u w:val="single" w:color="1D71B8"/>
        </w:rPr>
        <w:t>Commission</w:t>
      </w:r>
      <w:r>
        <w:rPr>
          <w:color w:val="1D71B8"/>
          <w:spacing w:val="-5"/>
          <w:sz w:val="18"/>
          <w:u w:val="single" w:color="1D71B8"/>
        </w:rPr>
        <w:t> </w:t>
      </w:r>
      <w:r>
        <w:rPr>
          <w:color w:val="1D71B8"/>
          <w:sz w:val="18"/>
          <w:u w:val="single" w:color="1D71B8"/>
        </w:rPr>
        <w:t>Consultation</w:t>
      </w:r>
      <w:r>
        <w:rPr>
          <w:color w:val="1D71B8"/>
          <w:sz w:val="18"/>
          <w:u w:val="none"/>
        </w:rPr>
        <w:t> </w:t>
      </w:r>
      <w:r>
        <w:rPr>
          <w:color w:val="1D71B8"/>
          <w:sz w:val="18"/>
          <w:u w:val="single" w:color="1D71B8"/>
        </w:rPr>
        <w:t>on the Racial Equality Directive</w:t>
      </w:r>
      <w:r>
        <w:rPr>
          <w:color w:val="1D71B8"/>
          <w:sz w:val="18"/>
          <w:u w:val="none"/>
        </w:rPr>
        <w:t> </w:t>
      </w:r>
      <w:r>
        <w:rPr>
          <w:sz w:val="18"/>
          <w:u w:val="none"/>
        </w:rPr>
        <w:t>(12 April 2022); ECNI, </w:t>
      </w:r>
      <w:r>
        <w:rPr>
          <w:color w:val="1D71B8"/>
          <w:sz w:val="18"/>
          <w:u w:val="single" w:color="1D71B8"/>
        </w:rPr>
        <w:t>Response to consultation: European Commission - Addressing</w:t>
      </w:r>
      <w:r>
        <w:rPr>
          <w:color w:val="1D71B8"/>
          <w:sz w:val="18"/>
          <w:u w:val="none"/>
        </w:rPr>
        <w:t> </w:t>
      </w:r>
      <w:r>
        <w:rPr>
          <w:color w:val="1D71B8"/>
          <w:sz w:val="18"/>
          <w:u w:val="single" w:color="1D71B8"/>
        </w:rPr>
        <w:t>possible gaps in the Racial Equality Directive</w:t>
      </w:r>
      <w:r>
        <w:rPr>
          <w:color w:val="1D71B8"/>
          <w:sz w:val="18"/>
          <w:u w:val="none"/>
        </w:rPr>
        <w:t> </w:t>
      </w:r>
      <w:r>
        <w:rPr>
          <w:sz w:val="18"/>
          <w:u w:val="none"/>
        </w:rPr>
        <w:t>(April 2022).</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00768">
                <wp:simplePos x="0" y="0"/>
                <wp:positionH relativeFrom="page">
                  <wp:posOffset>-2</wp:posOffset>
                </wp:positionH>
                <wp:positionV relativeFrom="page">
                  <wp:posOffset>0</wp:posOffset>
                </wp:positionV>
                <wp:extent cx="7560309" cy="1155065"/>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7560309" cy="1155065"/>
                          <a:chExt cx="7560309" cy="1155065"/>
                        </a:xfrm>
                      </wpg:grpSpPr>
                      <wps:wsp>
                        <wps:cNvPr id="508" name="Graphic 508"/>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509" name="Graphic 509"/>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15712" id="docshapegroup402" coordorigin="0,0" coordsize="11906,1819">
                <v:shape style="position:absolute;left:0;top:0;width:11906;height:1819" id="docshape403"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3.4 Gender" w:id="81"/>
      <w:bookmarkEnd w:id="81"/>
      <w:r>
        <w:rPr/>
      </w:r>
      <w:bookmarkStart w:name="3.4.1 Pay Transparency" w:id="82"/>
      <w:bookmarkEnd w:id="82"/>
      <w:r>
        <w:rPr/>
      </w:r>
      <w:bookmarkStart w:name="_bookmark33" w:id="83"/>
      <w:bookmarkEnd w:id="83"/>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57</w:t>
      </w:r>
    </w:p>
    <w:p>
      <w:pPr>
        <w:pStyle w:val="BodyText"/>
        <w:spacing w:line="232" w:lineRule="auto" w:before="731"/>
        <w:ind w:left="1117" w:right="738"/>
      </w:pPr>
      <w:r>
        <w:rPr/>
        <w:t>in European and Irish law which might represent best practice in the protection of human</w:t>
      </w:r>
      <w:r>
        <w:rPr>
          <w:spacing w:val="-6"/>
        </w:rPr>
        <w:t> </w:t>
      </w:r>
      <w:r>
        <w:rPr/>
        <w:t>rights</w:t>
      </w:r>
      <w:r>
        <w:rPr>
          <w:spacing w:val="-6"/>
        </w:rPr>
        <w:t> </w:t>
      </w:r>
      <w:r>
        <w:rPr/>
        <w:t>and</w:t>
      </w:r>
      <w:r>
        <w:rPr>
          <w:spacing w:val="-6"/>
        </w:rPr>
        <w:t> </w:t>
      </w:r>
      <w:r>
        <w:rPr/>
        <w:t>equality.</w:t>
      </w:r>
      <w:r>
        <w:rPr>
          <w:spacing w:val="-6"/>
        </w:rPr>
        <w:t> </w:t>
      </w:r>
      <w:r>
        <w:rPr/>
        <w:t>If</w:t>
      </w:r>
      <w:r>
        <w:rPr>
          <w:spacing w:val="-6"/>
        </w:rPr>
        <w:t> </w:t>
      </w:r>
      <w:r>
        <w:rPr/>
        <w:t>European</w:t>
      </w:r>
      <w:r>
        <w:rPr>
          <w:spacing w:val="-6"/>
        </w:rPr>
        <w:t> </w:t>
      </w:r>
      <w:r>
        <w:rPr/>
        <w:t>amendments</w:t>
      </w:r>
      <w:r>
        <w:rPr>
          <w:spacing w:val="-6"/>
        </w:rPr>
        <w:t> </w:t>
      </w:r>
      <w:r>
        <w:rPr/>
        <w:t>replace</w:t>
      </w:r>
      <w:r>
        <w:rPr>
          <w:spacing w:val="-6"/>
        </w:rPr>
        <w:t> </w:t>
      </w:r>
      <w:r>
        <w:rPr/>
        <w:t>or</w:t>
      </w:r>
      <w:r>
        <w:rPr>
          <w:spacing w:val="-6"/>
        </w:rPr>
        <w:t> </w:t>
      </w:r>
      <w:r>
        <w:rPr/>
        <w:t>amend</w:t>
      </w:r>
      <w:r>
        <w:rPr>
          <w:spacing w:val="-6"/>
        </w:rPr>
        <w:t> </w:t>
      </w:r>
      <w:r>
        <w:rPr/>
        <w:t>the</w:t>
      </w:r>
      <w:r>
        <w:rPr>
          <w:spacing w:val="-6"/>
        </w:rPr>
        <w:t> </w:t>
      </w:r>
      <w:r>
        <w:rPr/>
        <w:t>Annex</w:t>
      </w:r>
      <w:r>
        <w:rPr>
          <w:spacing w:val="-6"/>
        </w:rPr>
        <w:t> </w:t>
      </w:r>
      <w:r>
        <w:rPr/>
        <w:t>1 directives,</w:t>
      </w:r>
      <w:r>
        <w:rPr>
          <w:spacing w:val="-5"/>
        </w:rPr>
        <w:t> </w:t>
      </w:r>
      <w:r>
        <w:rPr/>
        <w:t>then</w:t>
      </w:r>
      <w:r>
        <w:rPr>
          <w:spacing w:val="-6"/>
        </w:rPr>
        <w:t> </w:t>
      </w:r>
      <w:r>
        <w:rPr/>
        <w:t>that</w:t>
      </w:r>
      <w:r>
        <w:rPr>
          <w:spacing w:val="-5"/>
        </w:rPr>
        <w:t> </w:t>
      </w:r>
      <w:r>
        <w:rPr/>
        <w:t>will</w:t>
      </w:r>
      <w:r>
        <w:rPr>
          <w:spacing w:val="-6"/>
        </w:rPr>
        <w:t> </w:t>
      </w:r>
      <w:r>
        <w:rPr/>
        <w:t>trigger</w:t>
      </w:r>
      <w:r>
        <w:rPr>
          <w:spacing w:val="-5"/>
        </w:rPr>
        <w:t> </w:t>
      </w:r>
      <w:r>
        <w:rPr/>
        <w:t>the</w:t>
      </w:r>
      <w:r>
        <w:rPr>
          <w:spacing w:val="-5"/>
        </w:rPr>
        <w:t> </w:t>
      </w:r>
      <w:r>
        <w:rPr/>
        <w:t>keeping</w:t>
      </w:r>
      <w:r>
        <w:rPr>
          <w:spacing w:val="-5"/>
        </w:rPr>
        <w:t> </w:t>
      </w:r>
      <w:r>
        <w:rPr/>
        <w:t>pace</w:t>
      </w:r>
      <w:r>
        <w:rPr>
          <w:spacing w:val="-5"/>
        </w:rPr>
        <w:t> </w:t>
      </w:r>
      <w:r>
        <w:rPr/>
        <w:t>obligations</w:t>
      </w:r>
      <w:r>
        <w:rPr>
          <w:spacing w:val="-6"/>
        </w:rPr>
        <w:t> </w:t>
      </w:r>
      <w:r>
        <w:rPr/>
        <w:t>in</w:t>
      </w:r>
      <w:r>
        <w:rPr>
          <w:spacing w:val="-6"/>
        </w:rPr>
        <w:t> </w:t>
      </w:r>
      <w:r>
        <w:rPr/>
        <w:t>Article</w:t>
      </w:r>
      <w:r>
        <w:rPr>
          <w:spacing w:val="-5"/>
        </w:rPr>
        <w:t> </w:t>
      </w:r>
      <w:r>
        <w:rPr/>
        <w:t>2</w:t>
      </w:r>
      <w:r>
        <w:rPr>
          <w:spacing w:val="-5"/>
        </w:rPr>
        <w:t> </w:t>
      </w:r>
      <w:r>
        <w:rPr/>
        <w:t>WF.</w:t>
      </w:r>
      <w:r>
        <w:rPr>
          <w:spacing w:val="-6"/>
        </w:rPr>
        <w:t> </w:t>
      </w:r>
      <w:r>
        <w:rPr/>
        <w:t>In</w:t>
      </w:r>
      <w:r>
        <w:rPr>
          <w:spacing w:val="-6"/>
        </w:rPr>
        <w:t> </w:t>
      </w:r>
      <w:r>
        <w:rPr/>
        <w:t>that context we reiterate our earlier recommendation:</w:t>
      </w:r>
    </w:p>
    <w:p>
      <w:pPr>
        <w:pStyle w:val="BodyText"/>
        <w:spacing w:before="1"/>
        <w:rPr>
          <w:sz w:val="20"/>
        </w:rPr>
      </w:pPr>
      <w:r>
        <w:rPr/>
        <mc:AlternateContent>
          <mc:Choice Requires="wps">
            <w:drawing>
              <wp:anchor distT="0" distB="0" distL="0" distR="0" allowOverlap="1" layoutInCell="1" locked="0" behindDoc="1" simplePos="0" relativeHeight="487682560">
                <wp:simplePos x="0" y="0"/>
                <wp:positionH relativeFrom="page">
                  <wp:posOffset>899994</wp:posOffset>
                </wp:positionH>
                <wp:positionV relativeFrom="paragraph">
                  <wp:posOffset>171319</wp:posOffset>
                </wp:positionV>
                <wp:extent cx="6012180" cy="1232535"/>
                <wp:effectExtent l="0" t="0" r="0" b="0"/>
                <wp:wrapTopAndBottom/>
                <wp:docPr id="510" name="Group 510"/>
                <wp:cNvGraphicFramePr>
                  <a:graphicFrameLocks/>
                </wp:cNvGraphicFramePr>
                <a:graphic>
                  <a:graphicData uri="http://schemas.microsoft.com/office/word/2010/wordprocessingGroup">
                    <wpg:wgp>
                      <wpg:cNvPr id="510" name="Group 510"/>
                      <wpg:cNvGrpSpPr/>
                      <wpg:grpSpPr>
                        <a:xfrm>
                          <a:off x="0" y="0"/>
                          <a:ext cx="6012180" cy="1232535"/>
                          <a:chExt cx="6012180" cy="1232535"/>
                        </a:xfrm>
                      </wpg:grpSpPr>
                      <wps:wsp>
                        <wps:cNvPr id="511" name="Graphic 511"/>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12" name="Textbox 512"/>
                        <wps:cNvSpPr txBox="1"/>
                        <wps:spPr>
                          <a:xfrm>
                            <a:off x="0" y="0"/>
                            <a:ext cx="6012180" cy="123253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9"/>
                                  <w:sz w:val="28"/>
                                </w:rPr>
                                <w:t> </w:t>
                              </w:r>
                              <w:r>
                                <w:rPr>
                                  <w:b/>
                                  <w:color w:val="164194"/>
                                  <w:sz w:val="28"/>
                                </w:rPr>
                                <w:t>that</w:t>
                              </w:r>
                              <w:r>
                                <w:rPr>
                                  <w:b/>
                                  <w:color w:val="164194"/>
                                  <w:spacing w:val="-9"/>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and</w:t>
                              </w:r>
                              <w:r>
                                <w:rPr>
                                  <w:b/>
                                  <w:color w:val="164194"/>
                                  <w:spacing w:val="-9"/>
                                  <w:sz w:val="28"/>
                                </w:rPr>
                                <w:t> </w:t>
                              </w:r>
                              <w:r>
                                <w:rPr>
                                  <w:b/>
                                  <w:color w:val="164194"/>
                                  <w:sz w:val="28"/>
                                </w:rPr>
                                <w:t>other</w:t>
                              </w:r>
                              <w:r>
                                <w:rPr>
                                  <w:b/>
                                  <w:color w:val="164194"/>
                                  <w:spacing w:val="-10"/>
                                  <w:sz w:val="28"/>
                                </w:rPr>
                                <w:t> </w:t>
                              </w:r>
                              <w:r>
                                <w:rPr>
                                  <w:b/>
                                  <w:color w:val="164194"/>
                                  <w:sz w:val="28"/>
                                </w:rPr>
                                <w:t>relevant</w:t>
                              </w:r>
                              <w:r>
                                <w:rPr>
                                  <w:b/>
                                  <w:color w:val="164194"/>
                                  <w:spacing w:val="-9"/>
                                  <w:sz w:val="28"/>
                                </w:rPr>
                                <w:t> </w:t>
                              </w:r>
                              <w:r>
                                <w:rPr>
                                  <w:b/>
                                  <w:color w:val="164194"/>
                                  <w:sz w:val="28"/>
                                </w:rPr>
                                <w:t>NI</w:t>
                              </w:r>
                              <w:r>
                                <w:rPr>
                                  <w:b/>
                                  <w:color w:val="164194"/>
                                  <w:spacing w:val="-9"/>
                                  <w:sz w:val="28"/>
                                </w:rPr>
                                <w:t> </w:t>
                              </w:r>
                              <w:r>
                                <w:rPr>
                                  <w:b/>
                                  <w:color w:val="164194"/>
                                  <w:sz w:val="28"/>
                                </w:rPr>
                                <w:t>Departments consider any proposals for amendments to the Irish equality legislation where they highlight a risk of divergence of rights or an opportunity for voluntary alignment with international human rights standards and best </w:t>
                              </w:r>
                              <w:r>
                                <w:rPr>
                                  <w:b/>
                                  <w:color w:val="164194"/>
                                  <w:spacing w:val="-2"/>
                                  <w:sz w:val="28"/>
                                </w:rPr>
                                <w:t>practice.</w:t>
                              </w:r>
                            </w:p>
                          </w:txbxContent>
                        </wps:txbx>
                        <wps:bodyPr wrap="square" lIns="0" tIns="0" rIns="0" bIns="0" rtlCol="0">
                          <a:noAutofit/>
                        </wps:bodyPr>
                      </wps:wsp>
                    </wpg:wgp>
                  </a:graphicData>
                </a:graphic>
              </wp:anchor>
            </w:drawing>
          </mc:Choice>
          <mc:Fallback>
            <w:pict>
              <v:group style="position:absolute;margin-left:70.8657pt;margin-top:13.489762pt;width:473.4pt;height:97.05pt;mso-position-horizontal-relative:page;mso-position-vertical-relative:paragraph;z-index:-15633920;mso-wrap-distance-left:0;mso-wrap-distance-right:0" id="docshapegroup404" coordorigin="1417,270" coordsize="9468,1941">
                <v:shape style="position:absolute;left:1417;top:269;width:9468;height:1941" id="docshape405" coordorigin="1417,270" coordsize="9468,1941" path="m10658,270l1644,270,1572,281,1510,314,1461,363,1429,425,1417,497,1417,1983,1429,2055,1461,2117,1510,2166,1572,2198,1644,2210,10658,2210,10730,2198,10792,2166,10841,2117,10873,2055,10885,1983,10885,497,10873,425,10841,363,10792,314,10730,281,10658,270xe" filled="true" fillcolor="#e9f3fc" stroked="false">
                  <v:path arrowok="t"/>
                  <v:fill type="solid"/>
                </v:shape>
                <v:shape style="position:absolute;left:1417;top:269;width:9468;height:1941" type="#_x0000_t202" id="docshape406"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9"/>
                            <w:sz w:val="28"/>
                          </w:rPr>
                          <w:t> </w:t>
                        </w:r>
                        <w:r>
                          <w:rPr>
                            <w:b/>
                            <w:color w:val="164194"/>
                            <w:sz w:val="28"/>
                          </w:rPr>
                          <w:t>that</w:t>
                        </w:r>
                        <w:r>
                          <w:rPr>
                            <w:b/>
                            <w:color w:val="164194"/>
                            <w:spacing w:val="-9"/>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and</w:t>
                        </w:r>
                        <w:r>
                          <w:rPr>
                            <w:b/>
                            <w:color w:val="164194"/>
                            <w:spacing w:val="-9"/>
                            <w:sz w:val="28"/>
                          </w:rPr>
                          <w:t> </w:t>
                        </w:r>
                        <w:r>
                          <w:rPr>
                            <w:b/>
                            <w:color w:val="164194"/>
                            <w:sz w:val="28"/>
                          </w:rPr>
                          <w:t>other</w:t>
                        </w:r>
                        <w:r>
                          <w:rPr>
                            <w:b/>
                            <w:color w:val="164194"/>
                            <w:spacing w:val="-10"/>
                            <w:sz w:val="28"/>
                          </w:rPr>
                          <w:t> </w:t>
                        </w:r>
                        <w:r>
                          <w:rPr>
                            <w:b/>
                            <w:color w:val="164194"/>
                            <w:sz w:val="28"/>
                          </w:rPr>
                          <w:t>relevant</w:t>
                        </w:r>
                        <w:r>
                          <w:rPr>
                            <w:b/>
                            <w:color w:val="164194"/>
                            <w:spacing w:val="-9"/>
                            <w:sz w:val="28"/>
                          </w:rPr>
                          <w:t> </w:t>
                        </w:r>
                        <w:r>
                          <w:rPr>
                            <w:b/>
                            <w:color w:val="164194"/>
                            <w:sz w:val="28"/>
                          </w:rPr>
                          <w:t>NI</w:t>
                        </w:r>
                        <w:r>
                          <w:rPr>
                            <w:b/>
                            <w:color w:val="164194"/>
                            <w:spacing w:val="-9"/>
                            <w:sz w:val="28"/>
                          </w:rPr>
                          <w:t> </w:t>
                        </w:r>
                        <w:r>
                          <w:rPr>
                            <w:b/>
                            <w:color w:val="164194"/>
                            <w:sz w:val="28"/>
                          </w:rPr>
                          <w:t>Departments consider any proposals for amendments to the Irish equality legislation where they highlight a risk of divergence of rights or an opportunity for voluntary alignment with international human rights standards and best </w:t>
                        </w:r>
                        <w:r>
                          <w:rPr>
                            <w:b/>
                            <w:color w:val="164194"/>
                            <w:spacing w:val="-2"/>
                            <w:sz w:val="28"/>
                          </w:rPr>
                          <w:t>practice.</w:t>
                        </w:r>
                      </w:p>
                    </w:txbxContent>
                  </v:textbox>
                  <w10:wrap type="none"/>
                </v:shape>
                <w10:wrap type="topAndBottom"/>
              </v:group>
            </w:pict>
          </mc:Fallback>
        </mc:AlternateContent>
      </w:r>
    </w:p>
    <w:p>
      <w:pPr>
        <w:pStyle w:val="Heading2"/>
        <w:numPr>
          <w:ilvl w:val="1"/>
          <w:numId w:val="21"/>
        </w:numPr>
        <w:tabs>
          <w:tab w:pos="1599" w:val="left" w:leader="none"/>
        </w:tabs>
        <w:spacing w:line="240" w:lineRule="auto" w:before="305" w:after="0"/>
        <w:ind w:left="1599" w:right="0" w:hanging="482"/>
        <w:jc w:val="left"/>
      </w:pPr>
      <w:r>
        <w:rPr>
          <w:color w:val="004A93"/>
          <w:spacing w:val="-2"/>
        </w:rPr>
        <w:t>Gender</w:t>
      </w:r>
    </w:p>
    <w:p>
      <w:pPr>
        <w:pStyle w:val="BodyText"/>
        <w:spacing w:before="9"/>
        <w:rPr>
          <w:b/>
          <w:sz w:val="5"/>
        </w:rPr>
      </w:pPr>
      <w:r>
        <w:rPr/>
        <mc:AlternateContent>
          <mc:Choice Requires="wps">
            <w:drawing>
              <wp:anchor distT="0" distB="0" distL="0" distR="0" allowOverlap="1" layoutInCell="1" locked="0" behindDoc="1" simplePos="0" relativeHeight="487683072">
                <wp:simplePos x="0" y="0"/>
                <wp:positionH relativeFrom="page">
                  <wp:posOffset>899999</wp:posOffset>
                </wp:positionH>
                <wp:positionV relativeFrom="paragraph">
                  <wp:posOffset>60075</wp:posOffset>
                </wp:positionV>
                <wp:extent cx="6012180" cy="1270"/>
                <wp:effectExtent l="0" t="0" r="0" b="0"/>
                <wp:wrapTopAndBottom/>
                <wp:docPr id="513" name="Graphic 513"/>
                <wp:cNvGraphicFramePr>
                  <a:graphicFrameLocks/>
                </wp:cNvGraphicFramePr>
                <a:graphic>
                  <a:graphicData uri="http://schemas.microsoft.com/office/word/2010/wordprocessingShape">
                    <wps:wsp>
                      <wps:cNvPr id="513" name="Graphic 513"/>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730350pt;width:473.4pt;height:.1pt;mso-position-horizontal-relative:page;mso-position-vertical-relative:paragraph;z-index:-15633408;mso-wrap-distance-left:0;mso-wrap-distance-right:0" id="docshape407" coordorigin="1417,95" coordsize="9468,0" path="m1417,95l10885,95e" filled="false" stroked="true" strokeweight="1pt" strokecolor="#36a9e1">
                <v:path arrowok="t"/>
                <v:stroke dashstyle="solid"/>
                <w10:wrap type="topAndBottom"/>
              </v:shape>
            </w:pict>
          </mc:Fallback>
        </mc:AlternateContent>
      </w:r>
    </w:p>
    <w:p>
      <w:pPr>
        <w:pStyle w:val="BodyText"/>
        <w:spacing w:line="232" w:lineRule="auto" w:before="108"/>
        <w:ind w:left="1117" w:right="978"/>
      </w:pPr>
      <w:r>
        <w:rPr/>
        <w:t>Ireland has undertaken some initiatives in respect of gender equality which risk creating some divergence in rights and equality on the island of Ireland. Several of these have an EU law basis while others are based on Irish constitutional law or international law. With regards to international law, Ireland has ratified the Convention</w:t>
      </w:r>
      <w:r>
        <w:rPr>
          <w:spacing w:val="-10"/>
        </w:rPr>
        <w:t> </w:t>
      </w:r>
      <w:r>
        <w:rPr/>
        <w:t>on</w:t>
      </w:r>
      <w:r>
        <w:rPr>
          <w:spacing w:val="-10"/>
        </w:rPr>
        <w:t> </w:t>
      </w:r>
      <w:r>
        <w:rPr/>
        <w:t>Preventing</w:t>
      </w:r>
      <w:r>
        <w:rPr>
          <w:spacing w:val="-10"/>
        </w:rPr>
        <w:t> </w:t>
      </w:r>
      <w:r>
        <w:rPr/>
        <w:t>and</w:t>
      </w:r>
      <w:r>
        <w:rPr>
          <w:spacing w:val="-10"/>
        </w:rPr>
        <w:t> </w:t>
      </w:r>
      <w:r>
        <w:rPr/>
        <w:t>Combating</w:t>
      </w:r>
      <w:r>
        <w:rPr>
          <w:spacing w:val="-10"/>
        </w:rPr>
        <w:t> </w:t>
      </w:r>
      <w:r>
        <w:rPr/>
        <w:t>Violence</w:t>
      </w:r>
      <w:r>
        <w:rPr>
          <w:spacing w:val="-10"/>
        </w:rPr>
        <w:t> </w:t>
      </w:r>
      <w:r>
        <w:rPr/>
        <w:t>against</w:t>
      </w:r>
      <w:r>
        <w:rPr>
          <w:spacing w:val="-10"/>
        </w:rPr>
        <w:t> </w:t>
      </w:r>
      <w:r>
        <w:rPr/>
        <w:t>Women</w:t>
      </w:r>
      <w:r>
        <w:rPr>
          <w:spacing w:val="-10"/>
        </w:rPr>
        <w:t> </w:t>
      </w:r>
      <w:r>
        <w:rPr/>
        <w:t>and</w:t>
      </w:r>
      <w:r>
        <w:rPr>
          <w:spacing w:val="-10"/>
        </w:rPr>
        <w:t> </w:t>
      </w:r>
      <w:r>
        <w:rPr/>
        <w:t>Domestic Violence</w:t>
      </w:r>
      <w:r>
        <w:rPr>
          <w:spacing w:val="-4"/>
        </w:rPr>
        <w:t> </w:t>
      </w:r>
      <w:r>
        <w:rPr/>
        <w:t>(the</w:t>
      </w:r>
      <w:r>
        <w:rPr>
          <w:spacing w:val="-4"/>
        </w:rPr>
        <w:t> </w:t>
      </w:r>
      <w:r>
        <w:rPr/>
        <w:t>Istanbul</w:t>
      </w:r>
      <w:r>
        <w:rPr>
          <w:spacing w:val="-5"/>
        </w:rPr>
        <w:t> </w:t>
      </w:r>
      <w:r>
        <w:rPr/>
        <w:t>Convention)</w:t>
      </w:r>
      <w:r>
        <w:rPr>
          <w:spacing w:val="-5"/>
        </w:rPr>
        <w:t> </w:t>
      </w:r>
      <w:r>
        <w:rPr/>
        <w:t>in</w:t>
      </w:r>
      <w:r>
        <w:rPr>
          <w:spacing w:val="-5"/>
        </w:rPr>
        <w:t> </w:t>
      </w:r>
      <w:r>
        <w:rPr/>
        <w:t>2019;</w:t>
      </w:r>
      <w:r>
        <w:rPr>
          <w:spacing w:val="-4"/>
        </w:rPr>
        <w:t> </w:t>
      </w:r>
      <w:r>
        <w:rPr/>
        <w:t>the</w:t>
      </w:r>
      <w:r>
        <w:rPr>
          <w:spacing w:val="-4"/>
        </w:rPr>
        <w:t> </w:t>
      </w:r>
      <w:r>
        <w:rPr/>
        <w:t>UK</w:t>
      </w:r>
      <w:r>
        <w:rPr>
          <w:spacing w:val="-4"/>
        </w:rPr>
        <w:t> </w:t>
      </w:r>
      <w:r>
        <w:rPr/>
        <w:t>has</w:t>
      </w:r>
      <w:r>
        <w:rPr>
          <w:spacing w:val="-5"/>
        </w:rPr>
        <w:t> </w:t>
      </w:r>
      <w:r>
        <w:rPr/>
        <w:t>ratified</w:t>
      </w:r>
      <w:r>
        <w:rPr>
          <w:spacing w:val="-5"/>
        </w:rPr>
        <w:t> </w:t>
      </w:r>
      <w:r>
        <w:rPr/>
        <w:t>this</w:t>
      </w:r>
      <w:r>
        <w:rPr>
          <w:spacing w:val="-5"/>
        </w:rPr>
        <w:t> </w:t>
      </w:r>
      <w:r>
        <w:rPr/>
        <w:t>more</w:t>
      </w:r>
      <w:r>
        <w:rPr>
          <w:spacing w:val="-4"/>
        </w:rPr>
        <w:t> </w:t>
      </w:r>
      <w:r>
        <w:rPr/>
        <w:t>recently in 2022.</w:t>
      </w:r>
      <w:r>
        <w:rPr>
          <w:vertAlign w:val="superscript"/>
        </w:rPr>
        <w:t>310</w:t>
      </w:r>
      <w:r>
        <w:rPr>
          <w:vertAlign w:val="baseline"/>
        </w:rPr>
        <w:t> Ireland’s National Strategy for Women and Girls 2017-2020 set out</w:t>
      </w:r>
    </w:p>
    <w:p>
      <w:pPr>
        <w:pStyle w:val="BodyText"/>
        <w:spacing w:line="232" w:lineRule="auto"/>
        <w:ind w:left="1117" w:right="738"/>
      </w:pPr>
      <w:r>
        <w:rPr/>
        <w:t>key</w:t>
      </w:r>
      <w:r>
        <w:rPr>
          <w:spacing w:val="-7"/>
        </w:rPr>
        <w:t> </w:t>
      </w:r>
      <w:r>
        <w:rPr/>
        <w:t>objectives</w:t>
      </w:r>
      <w:r>
        <w:rPr>
          <w:spacing w:val="-8"/>
        </w:rPr>
        <w:t> </w:t>
      </w:r>
      <w:r>
        <w:rPr/>
        <w:t>to</w:t>
      </w:r>
      <w:r>
        <w:rPr>
          <w:spacing w:val="-8"/>
        </w:rPr>
        <w:t> </w:t>
      </w:r>
      <w:r>
        <w:rPr/>
        <w:t>advance</w:t>
      </w:r>
      <w:r>
        <w:rPr>
          <w:spacing w:val="-7"/>
        </w:rPr>
        <w:t> </w:t>
      </w:r>
      <w:r>
        <w:rPr/>
        <w:t>socio-economic</w:t>
      </w:r>
      <w:r>
        <w:rPr>
          <w:spacing w:val="-7"/>
        </w:rPr>
        <w:t> </w:t>
      </w:r>
      <w:r>
        <w:rPr/>
        <w:t>equality</w:t>
      </w:r>
      <w:r>
        <w:rPr>
          <w:spacing w:val="-7"/>
        </w:rPr>
        <w:t> </w:t>
      </w:r>
      <w:r>
        <w:rPr/>
        <w:t>for</w:t>
      </w:r>
      <w:r>
        <w:rPr>
          <w:spacing w:val="-7"/>
        </w:rPr>
        <w:t> </w:t>
      </w:r>
      <w:r>
        <w:rPr/>
        <w:t>women</w:t>
      </w:r>
      <w:r>
        <w:rPr>
          <w:spacing w:val="-8"/>
        </w:rPr>
        <w:t> </w:t>
      </w:r>
      <w:r>
        <w:rPr/>
        <w:t>and</w:t>
      </w:r>
      <w:r>
        <w:rPr>
          <w:spacing w:val="-8"/>
        </w:rPr>
        <w:t> </w:t>
      </w:r>
      <w:r>
        <w:rPr/>
        <w:t>girls,</w:t>
      </w:r>
      <w:r>
        <w:rPr>
          <w:spacing w:val="-7"/>
        </w:rPr>
        <w:t> </w:t>
      </w:r>
      <w:r>
        <w:rPr/>
        <w:t>advance physical and mental health and wellbeing, ensure visibility, advance women in leadership, combat violence and embed gender equality in decision-making.</w:t>
      </w:r>
      <w:r>
        <w:rPr>
          <w:vertAlign w:val="superscript"/>
        </w:rPr>
        <w:t>311</w:t>
      </w:r>
    </w:p>
    <w:p>
      <w:pPr>
        <w:pStyle w:val="BodyText"/>
        <w:spacing w:before="41"/>
      </w:pPr>
    </w:p>
    <w:p>
      <w:pPr>
        <w:pStyle w:val="Heading3"/>
        <w:numPr>
          <w:ilvl w:val="2"/>
          <w:numId w:val="21"/>
        </w:numPr>
        <w:tabs>
          <w:tab w:pos="1755" w:val="left" w:leader="none"/>
        </w:tabs>
        <w:spacing w:line="336" w:lineRule="exact" w:before="0" w:after="0"/>
        <w:ind w:left="1755" w:right="0" w:hanging="638"/>
        <w:jc w:val="left"/>
      </w:pPr>
      <w:r>
        <w:rPr>
          <w:color w:val="004A93"/>
        </w:rPr>
        <w:t>Pay</w:t>
      </w:r>
      <w:r>
        <w:rPr>
          <w:color w:val="004A93"/>
          <w:spacing w:val="-12"/>
        </w:rPr>
        <w:t> </w:t>
      </w:r>
      <w:r>
        <w:rPr>
          <w:color w:val="004A93"/>
          <w:spacing w:val="-2"/>
        </w:rPr>
        <w:t>Transparency</w:t>
      </w:r>
    </w:p>
    <w:p>
      <w:pPr>
        <w:pStyle w:val="BodyText"/>
        <w:spacing w:line="232" w:lineRule="auto" w:before="3"/>
        <w:ind w:left="1117" w:right="950"/>
      </w:pPr>
      <w:r>
        <w:rPr/>
        <w:t>The European Union has adopted the </w:t>
      </w:r>
      <w:r>
        <w:rPr>
          <w:b/>
        </w:rPr>
        <w:t>Pay Transparency Directive</w:t>
      </w:r>
      <w:r>
        <w:rPr/>
        <w:t>, the deadline for</w:t>
      </w:r>
      <w:r>
        <w:rPr>
          <w:spacing w:val="-4"/>
        </w:rPr>
        <w:t> </w:t>
      </w:r>
      <w:r>
        <w:rPr/>
        <w:t>transposition</w:t>
      </w:r>
      <w:r>
        <w:rPr>
          <w:spacing w:val="-5"/>
        </w:rPr>
        <w:t> </w:t>
      </w:r>
      <w:r>
        <w:rPr/>
        <w:t>of</w:t>
      </w:r>
      <w:r>
        <w:rPr>
          <w:spacing w:val="-5"/>
        </w:rPr>
        <w:t> </w:t>
      </w:r>
      <w:r>
        <w:rPr/>
        <w:t>which</w:t>
      </w:r>
      <w:r>
        <w:rPr>
          <w:spacing w:val="-5"/>
        </w:rPr>
        <w:t> </w:t>
      </w:r>
      <w:r>
        <w:rPr/>
        <w:t>is</w:t>
      </w:r>
      <w:r>
        <w:rPr>
          <w:spacing w:val="-5"/>
        </w:rPr>
        <w:t> </w:t>
      </w:r>
      <w:r>
        <w:rPr/>
        <w:t>7</w:t>
      </w:r>
      <w:r>
        <w:rPr>
          <w:spacing w:val="-4"/>
        </w:rPr>
        <w:t> </w:t>
      </w:r>
      <w:r>
        <w:rPr/>
        <w:t>June</w:t>
      </w:r>
      <w:r>
        <w:rPr>
          <w:spacing w:val="-4"/>
        </w:rPr>
        <w:t> </w:t>
      </w:r>
      <w:r>
        <w:rPr/>
        <w:t>2026</w:t>
      </w:r>
      <w:r>
        <w:rPr>
          <w:spacing w:val="-4"/>
        </w:rPr>
        <w:t> </w:t>
      </w:r>
      <w:r>
        <w:rPr/>
        <w:t>(see</w:t>
      </w:r>
      <w:r>
        <w:rPr>
          <w:spacing w:val="-4"/>
        </w:rPr>
        <w:t> </w:t>
      </w:r>
      <w:r>
        <w:rPr/>
        <w:t>further</w:t>
      </w:r>
      <w:r>
        <w:rPr>
          <w:spacing w:val="-4"/>
        </w:rPr>
        <w:t> </w:t>
      </w:r>
      <w:r>
        <w:rPr/>
        <w:t>details</w:t>
      </w:r>
      <w:r>
        <w:rPr>
          <w:spacing w:val="-5"/>
        </w:rPr>
        <w:t> </w:t>
      </w:r>
      <w:r>
        <w:rPr/>
        <w:t>in</w:t>
      </w:r>
      <w:r>
        <w:rPr>
          <w:spacing w:val="-5"/>
        </w:rPr>
        <w:t> </w:t>
      </w:r>
      <w:r>
        <w:rPr/>
        <w:t>Chapter</w:t>
      </w:r>
      <w:r>
        <w:rPr>
          <w:spacing w:val="-4"/>
        </w:rPr>
        <w:t> </w:t>
      </w:r>
      <w:r>
        <w:rPr/>
        <w:t>4,</w:t>
      </w:r>
      <w:r>
        <w:rPr>
          <w:spacing w:val="-4"/>
        </w:rPr>
        <w:t> </w:t>
      </w:r>
      <w:r>
        <w:rPr/>
        <w:t>section 4.3.1.1).</w:t>
      </w:r>
      <w:r>
        <w:rPr>
          <w:vertAlign w:val="superscript"/>
        </w:rPr>
        <w:t>312</w:t>
      </w:r>
      <w:r>
        <w:rPr>
          <w:vertAlign w:val="baseline"/>
        </w:rPr>
        <w:t> This directive is a significant EU measure on equality and is discussed in more detail later in chapter four. The ECNI and NIHRC have concluded that it triggers</w:t>
      </w:r>
      <w:r>
        <w:rPr>
          <w:spacing w:val="-5"/>
          <w:vertAlign w:val="baseline"/>
        </w:rPr>
        <w:t> </w:t>
      </w:r>
      <w:r>
        <w:rPr>
          <w:vertAlign w:val="baseline"/>
        </w:rPr>
        <w:t>the</w:t>
      </w:r>
      <w:r>
        <w:rPr>
          <w:spacing w:val="-3"/>
          <w:vertAlign w:val="baseline"/>
        </w:rPr>
        <w:t> </w:t>
      </w:r>
      <w:r>
        <w:rPr>
          <w:vertAlign w:val="baseline"/>
        </w:rPr>
        <w:t>keeping</w:t>
      </w:r>
      <w:r>
        <w:rPr>
          <w:spacing w:val="-4"/>
          <w:vertAlign w:val="baseline"/>
        </w:rPr>
        <w:t> </w:t>
      </w:r>
      <w:r>
        <w:rPr>
          <w:vertAlign w:val="baseline"/>
        </w:rPr>
        <w:t>pace</w:t>
      </w:r>
      <w:r>
        <w:rPr>
          <w:spacing w:val="-3"/>
          <w:vertAlign w:val="baseline"/>
        </w:rPr>
        <w:t> </w:t>
      </w:r>
      <w:r>
        <w:rPr>
          <w:vertAlign w:val="baseline"/>
        </w:rPr>
        <w:t>obligation</w:t>
      </w:r>
      <w:r>
        <w:rPr>
          <w:spacing w:val="-4"/>
          <w:vertAlign w:val="baseline"/>
        </w:rPr>
        <w:t> </w:t>
      </w:r>
      <w:r>
        <w:rPr>
          <w:vertAlign w:val="baseline"/>
        </w:rPr>
        <w:t>in</w:t>
      </w:r>
      <w:r>
        <w:rPr>
          <w:spacing w:val="-5"/>
          <w:vertAlign w:val="baseline"/>
        </w:rPr>
        <w:t> </w:t>
      </w:r>
      <w:r>
        <w:rPr>
          <w:vertAlign w:val="baseline"/>
        </w:rPr>
        <w:t>Article</w:t>
      </w:r>
      <w:r>
        <w:rPr>
          <w:spacing w:val="-3"/>
          <w:vertAlign w:val="baseline"/>
        </w:rPr>
        <w:t> </w:t>
      </w:r>
      <w:r>
        <w:rPr>
          <w:vertAlign w:val="baseline"/>
        </w:rPr>
        <w:t>2</w:t>
      </w:r>
      <w:r>
        <w:rPr>
          <w:spacing w:val="-4"/>
          <w:vertAlign w:val="baseline"/>
        </w:rPr>
        <w:t> </w:t>
      </w:r>
      <w:r>
        <w:rPr>
          <w:vertAlign w:val="baseline"/>
        </w:rPr>
        <w:t>WF</w:t>
      </w:r>
      <w:r>
        <w:rPr>
          <w:spacing w:val="-4"/>
          <w:vertAlign w:val="baseline"/>
        </w:rPr>
        <w:t> </w:t>
      </w:r>
      <w:r>
        <w:rPr>
          <w:vertAlign w:val="baseline"/>
        </w:rPr>
        <w:t>and</w:t>
      </w:r>
      <w:r>
        <w:rPr>
          <w:spacing w:val="-4"/>
          <w:vertAlign w:val="baseline"/>
        </w:rPr>
        <w:t> </w:t>
      </w:r>
      <w:r>
        <w:rPr>
          <w:vertAlign w:val="baseline"/>
        </w:rPr>
        <w:t>that</w:t>
      </w:r>
      <w:r>
        <w:rPr>
          <w:spacing w:val="-4"/>
          <w:vertAlign w:val="baseline"/>
        </w:rPr>
        <w:t> </w:t>
      </w:r>
      <w:r>
        <w:rPr>
          <w:vertAlign w:val="baseline"/>
        </w:rPr>
        <w:t>the</w:t>
      </w:r>
      <w:r>
        <w:rPr>
          <w:spacing w:val="-3"/>
          <w:vertAlign w:val="baseline"/>
        </w:rPr>
        <w:t> </w:t>
      </w:r>
      <w:r>
        <w:rPr>
          <w:vertAlign w:val="baseline"/>
        </w:rPr>
        <w:t>UK</w:t>
      </w:r>
      <w:r>
        <w:rPr>
          <w:spacing w:val="-3"/>
          <w:vertAlign w:val="baseline"/>
        </w:rPr>
        <w:t> </w:t>
      </w:r>
      <w:r>
        <w:rPr>
          <w:spacing w:val="-2"/>
          <w:vertAlign w:val="baseline"/>
        </w:rPr>
        <w:t>Government,</w:t>
      </w:r>
    </w:p>
    <w:p>
      <w:pPr>
        <w:pStyle w:val="BodyText"/>
        <w:spacing w:line="232" w:lineRule="auto"/>
        <w:ind w:left="1117"/>
      </w:pPr>
      <w:r>
        <w:rPr/>
        <w:t>NI Executive and Department for the Communities ensure that, with some minor exceptions,</w:t>
      </w:r>
      <w:r>
        <w:rPr>
          <w:spacing w:val="-14"/>
        </w:rPr>
        <w:t> </w:t>
      </w:r>
      <w:r>
        <w:rPr/>
        <w:t>all</w:t>
      </w:r>
      <w:r>
        <w:rPr>
          <w:spacing w:val="-10"/>
        </w:rPr>
        <w:t> </w:t>
      </w:r>
      <w:r>
        <w:rPr/>
        <w:t>other</w:t>
      </w:r>
      <w:r>
        <w:rPr>
          <w:spacing w:val="-9"/>
        </w:rPr>
        <w:t> </w:t>
      </w:r>
      <w:r>
        <w:rPr/>
        <w:t>provisions</w:t>
      </w:r>
      <w:r>
        <w:rPr>
          <w:spacing w:val="-10"/>
        </w:rPr>
        <w:t> </w:t>
      </w:r>
      <w:r>
        <w:rPr/>
        <w:t>of</w:t>
      </w:r>
      <w:r>
        <w:rPr>
          <w:spacing w:val="-10"/>
        </w:rPr>
        <w:t> </w:t>
      </w:r>
      <w:r>
        <w:rPr/>
        <w:t>the</w:t>
      </w:r>
      <w:r>
        <w:rPr>
          <w:spacing w:val="-9"/>
        </w:rPr>
        <w:t> </w:t>
      </w:r>
      <w:r>
        <w:rPr/>
        <w:t>Directive</w:t>
      </w:r>
      <w:r>
        <w:rPr>
          <w:spacing w:val="-9"/>
        </w:rPr>
        <w:t> </w:t>
      </w:r>
      <w:r>
        <w:rPr/>
        <w:t>should</w:t>
      </w:r>
      <w:r>
        <w:rPr>
          <w:spacing w:val="-10"/>
        </w:rPr>
        <w:t> </w:t>
      </w:r>
      <w:r>
        <w:rPr/>
        <w:t>be</w:t>
      </w:r>
      <w:r>
        <w:rPr>
          <w:spacing w:val="-9"/>
        </w:rPr>
        <w:t> </w:t>
      </w:r>
      <w:r>
        <w:rPr/>
        <w:t>transposed</w:t>
      </w:r>
      <w:r>
        <w:rPr>
          <w:spacing w:val="-10"/>
        </w:rPr>
        <w:t> </w:t>
      </w:r>
      <w:r>
        <w:rPr/>
        <w:t>into</w:t>
      </w:r>
      <w:r>
        <w:rPr>
          <w:spacing w:val="-10"/>
        </w:rPr>
        <w:t> </w:t>
      </w:r>
      <w:r>
        <w:rPr/>
        <w:t>NI</w:t>
      </w:r>
      <w:r>
        <w:rPr>
          <w:spacing w:val="-9"/>
        </w:rPr>
        <w:t> </w:t>
      </w:r>
      <w:r>
        <w:rPr/>
        <w:t>law.</w:t>
      </w:r>
      <w:r>
        <w:rPr>
          <w:spacing w:val="-29"/>
        </w:rPr>
        <w:t> </w:t>
      </w:r>
      <w:r>
        <w:rPr>
          <w:vertAlign w:val="superscript"/>
        </w:rPr>
        <w:t>313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8"/>
        <w:rPr>
          <w:sz w:val="20"/>
        </w:rPr>
      </w:pPr>
      <w:r>
        <w:rPr/>
        <mc:AlternateContent>
          <mc:Choice Requires="wps">
            <w:drawing>
              <wp:anchor distT="0" distB="0" distL="0" distR="0" allowOverlap="1" layoutInCell="1" locked="0" behindDoc="1" simplePos="0" relativeHeight="487683584">
                <wp:simplePos x="0" y="0"/>
                <wp:positionH relativeFrom="page">
                  <wp:posOffset>899999</wp:posOffset>
                </wp:positionH>
                <wp:positionV relativeFrom="paragraph">
                  <wp:posOffset>258366</wp:posOffset>
                </wp:positionV>
                <wp:extent cx="6012180" cy="1270"/>
                <wp:effectExtent l="0" t="0" r="0" b="0"/>
                <wp:wrapTopAndBottom/>
                <wp:docPr id="514" name="Graphic 514"/>
                <wp:cNvGraphicFramePr>
                  <a:graphicFrameLocks/>
                </wp:cNvGraphicFramePr>
                <a:graphic>
                  <a:graphicData uri="http://schemas.microsoft.com/office/word/2010/wordprocessingShape">
                    <wps:wsp>
                      <wps:cNvPr id="514" name="Graphic 51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0.343786pt;width:473.4pt;height:.1pt;mso-position-horizontal-relative:page;mso-position-vertical-relative:paragraph;z-index:-15632896;mso-wrap-distance-left:0;mso-wrap-distance-right:0" id="docshape408" coordorigin="1417,407" coordsize="9468,0" path="m1417,407l10885,407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0" w:hanging="567"/>
        <w:jc w:val="left"/>
        <w:rPr>
          <w:sz w:val="18"/>
        </w:rPr>
      </w:pPr>
      <w:hyperlink r:id="rId82">
        <w:r>
          <w:rPr>
            <w:color w:val="1D71B8"/>
            <w:sz w:val="18"/>
            <w:u w:val="single" w:color="1D71B8"/>
          </w:rPr>
          <w:t>Chart</w:t>
        </w:r>
        <w:r>
          <w:rPr>
            <w:color w:val="1D71B8"/>
            <w:spacing w:val="-7"/>
            <w:sz w:val="18"/>
            <w:u w:val="single" w:color="1D71B8"/>
          </w:rPr>
          <w:t> </w:t>
        </w:r>
        <w:r>
          <w:rPr>
            <w:color w:val="1D71B8"/>
            <w:sz w:val="18"/>
            <w:u w:val="single" w:color="1D71B8"/>
          </w:rPr>
          <w:t>of</w:t>
        </w:r>
        <w:r>
          <w:rPr>
            <w:color w:val="1D71B8"/>
            <w:spacing w:val="-8"/>
            <w:sz w:val="18"/>
            <w:u w:val="single" w:color="1D71B8"/>
          </w:rPr>
          <w:t> </w:t>
        </w:r>
        <w:r>
          <w:rPr>
            <w:color w:val="1D71B8"/>
            <w:sz w:val="18"/>
            <w:u w:val="single" w:color="1D71B8"/>
          </w:rPr>
          <w:t>signatures</w:t>
        </w:r>
        <w:r>
          <w:rPr>
            <w:color w:val="1D71B8"/>
            <w:spacing w:val="-7"/>
            <w:sz w:val="18"/>
            <w:u w:val="single" w:color="1D71B8"/>
          </w:rPr>
          <w:t> </w:t>
        </w:r>
        <w:r>
          <w:rPr>
            <w:color w:val="1D71B8"/>
            <w:sz w:val="18"/>
            <w:u w:val="single" w:color="1D71B8"/>
          </w:rPr>
          <w:t>and</w:t>
        </w:r>
        <w:r>
          <w:rPr>
            <w:color w:val="1D71B8"/>
            <w:spacing w:val="-8"/>
            <w:sz w:val="18"/>
            <w:u w:val="single" w:color="1D71B8"/>
          </w:rPr>
          <w:t> </w:t>
        </w:r>
        <w:r>
          <w:rPr>
            <w:color w:val="1D71B8"/>
            <w:sz w:val="18"/>
            <w:u w:val="single" w:color="1D71B8"/>
          </w:rPr>
          <w:t>ratifications</w:t>
        </w:r>
        <w:r>
          <w:rPr>
            <w:color w:val="1D71B8"/>
            <w:spacing w:val="-7"/>
            <w:sz w:val="18"/>
            <w:u w:val="single" w:color="1D71B8"/>
          </w:rPr>
          <w:t> </w:t>
        </w:r>
        <w:r>
          <w:rPr>
            <w:color w:val="1D71B8"/>
            <w:sz w:val="18"/>
            <w:u w:val="single" w:color="1D71B8"/>
          </w:rPr>
          <w:t>of</w:t>
        </w:r>
        <w:r>
          <w:rPr>
            <w:color w:val="1D71B8"/>
            <w:spacing w:val="-7"/>
            <w:sz w:val="18"/>
            <w:u w:val="single" w:color="1D71B8"/>
          </w:rPr>
          <w:t> </w:t>
        </w:r>
        <w:r>
          <w:rPr>
            <w:color w:val="1D71B8"/>
            <w:sz w:val="18"/>
            <w:u w:val="single" w:color="1D71B8"/>
          </w:rPr>
          <w:t>Treaty</w:t>
        </w:r>
        <w:r>
          <w:rPr>
            <w:color w:val="1D71B8"/>
            <w:spacing w:val="-7"/>
            <w:sz w:val="18"/>
            <w:u w:val="single" w:color="1D71B8"/>
          </w:rPr>
          <w:t> </w:t>
        </w:r>
        <w:r>
          <w:rPr>
            <w:color w:val="1D71B8"/>
            <w:spacing w:val="-4"/>
            <w:sz w:val="18"/>
            <w:u w:val="single" w:color="1D71B8"/>
          </w:rPr>
          <w:t>210</w:t>
        </w:r>
      </w:hyperlink>
      <w:r>
        <w:rPr>
          <w:spacing w:val="-4"/>
          <w:sz w:val="18"/>
          <w:u w:val="none"/>
        </w:rPr>
        <w:t>.</w:t>
      </w:r>
    </w:p>
    <w:p>
      <w:pPr>
        <w:pStyle w:val="ListParagraph"/>
        <w:numPr>
          <w:ilvl w:val="0"/>
          <w:numId w:val="18"/>
        </w:numPr>
        <w:tabs>
          <w:tab w:pos="1684" w:val="left" w:leader="none"/>
        </w:tabs>
        <w:spacing w:line="240" w:lineRule="auto" w:before="1" w:after="0"/>
        <w:ind w:left="1684" w:right="1071" w:hanging="567"/>
        <w:jc w:val="left"/>
        <w:rPr>
          <w:sz w:val="18"/>
        </w:rPr>
      </w:pPr>
      <w:r>
        <w:rPr>
          <w:sz w:val="18"/>
        </w:rPr>
        <w:t>Department</w:t>
      </w:r>
      <w:r>
        <w:rPr>
          <w:spacing w:val="-6"/>
          <w:sz w:val="18"/>
        </w:rPr>
        <w:t> </w:t>
      </w:r>
      <w:r>
        <w:rPr>
          <w:sz w:val="18"/>
        </w:rPr>
        <w:t>of</w:t>
      </w:r>
      <w:r>
        <w:rPr>
          <w:spacing w:val="-6"/>
          <w:sz w:val="18"/>
        </w:rPr>
        <w:t> </w:t>
      </w:r>
      <w:r>
        <w:rPr>
          <w:sz w:val="18"/>
        </w:rPr>
        <w:t>Justice</w:t>
      </w:r>
      <w:r>
        <w:rPr>
          <w:spacing w:val="-6"/>
          <w:sz w:val="18"/>
        </w:rPr>
        <w:t> </w:t>
      </w:r>
      <w:r>
        <w:rPr>
          <w:sz w:val="18"/>
        </w:rPr>
        <w:t>and</w:t>
      </w:r>
      <w:r>
        <w:rPr>
          <w:spacing w:val="-6"/>
          <w:sz w:val="18"/>
        </w:rPr>
        <w:t> </w:t>
      </w:r>
      <w:r>
        <w:rPr>
          <w:sz w:val="18"/>
        </w:rPr>
        <w:t>Equality,</w:t>
      </w:r>
      <w:r>
        <w:rPr>
          <w:spacing w:val="-6"/>
          <w:sz w:val="18"/>
        </w:rPr>
        <w:t> </w:t>
      </w:r>
      <w:r>
        <w:rPr>
          <w:color w:val="1D71B8"/>
          <w:sz w:val="18"/>
          <w:u w:val="single" w:color="1D71B8"/>
        </w:rPr>
        <w:t>National</w:t>
      </w:r>
      <w:r>
        <w:rPr>
          <w:color w:val="1D71B8"/>
          <w:spacing w:val="-6"/>
          <w:sz w:val="18"/>
          <w:u w:val="single" w:color="1D71B8"/>
        </w:rPr>
        <w:t> </w:t>
      </w:r>
      <w:r>
        <w:rPr>
          <w:color w:val="1D71B8"/>
          <w:sz w:val="18"/>
          <w:u w:val="single" w:color="1D71B8"/>
        </w:rPr>
        <w:t>Strategy</w:t>
      </w:r>
      <w:r>
        <w:rPr>
          <w:color w:val="1D71B8"/>
          <w:spacing w:val="-6"/>
          <w:sz w:val="18"/>
          <w:u w:val="single" w:color="1D71B8"/>
        </w:rPr>
        <w:t> </w:t>
      </w:r>
      <w:r>
        <w:rPr>
          <w:color w:val="1D71B8"/>
          <w:sz w:val="18"/>
          <w:u w:val="single" w:color="1D71B8"/>
        </w:rPr>
        <w:t>for</w:t>
      </w:r>
      <w:r>
        <w:rPr>
          <w:color w:val="1D71B8"/>
          <w:spacing w:val="-6"/>
          <w:sz w:val="18"/>
          <w:u w:val="single" w:color="1D71B8"/>
        </w:rPr>
        <w:t> </w:t>
      </w:r>
      <w:r>
        <w:rPr>
          <w:color w:val="1D71B8"/>
          <w:sz w:val="18"/>
          <w:u w:val="single" w:color="1D71B8"/>
        </w:rPr>
        <w:t>Women</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Girls</w:t>
      </w:r>
      <w:r>
        <w:rPr>
          <w:color w:val="1D71B8"/>
          <w:spacing w:val="-6"/>
          <w:sz w:val="18"/>
          <w:u w:val="single" w:color="1D71B8"/>
        </w:rPr>
        <w:t> </w:t>
      </w:r>
      <w:r>
        <w:rPr>
          <w:color w:val="1D71B8"/>
          <w:sz w:val="18"/>
          <w:u w:val="single" w:color="1D71B8"/>
        </w:rPr>
        <w:t>2017-2020:</w:t>
      </w:r>
      <w:r>
        <w:rPr>
          <w:color w:val="1D71B8"/>
          <w:spacing w:val="-6"/>
          <w:sz w:val="18"/>
          <w:u w:val="single" w:color="1D71B8"/>
        </w:rPr>
        <w:t> </w:t>
      </w:r>
      <w:r>
        <w:rPr>
          <w:color w:val="1D71B8"/>
          <w:sz w:val="18"/>
          <w:u w:val="single" w:color="1D71B8"/>
        </w:rPr>
        <w:t>creating</w:t>
      </w:r>
      <w:r>
        <w:rPr>
          <w:color w:val="1D71B8"/>
          <w:spacing w:val="-6"/>
          <w:sz w:val="18"/>
          <w:u w:val="single" w:color="1D71B8"/>
        </w:rPr>
        <w:t> </w:t>
      </w:r>
      <w:r>
        <w:rPr>
          <w:color w:val="1D71B8"/>
          <w:sz w:val="18"/>
          <w:u w:val="single" w:color="1D71B8"/>
        </w:rPr>
        <w:t>a</w:t>
      </w:r>
      <w:r>
        <w:rPr>
          <w:color w:val="1D71B8"/>
          <w:spacing w:val="-6"/>
          <w:sz w:val="18"/>
          <w:u w:val="single" w:color="1D71B8"/>
        </w:rPr>
        <w:t> </w:t>
      </w:r>
      <w:r>
        <w:rPr>
          <w:color w:val="1D71B8"/>
          <w:sz w:val="18"/>
          <w:u w:val="single" w:color="1D71B8"/>
        </w:rPr>
        <w:t>better</w:t>
      </w:r>
      <w:r>
        <w:rPr>
          <w:color w:val="1D71B8"/>
          <w:spacing w:val="-6"/>
          <w:sz w:val="18"/>
          <w:u w:val="single" w:color="1D71B8"/>
        </w:rPr>
        <w:t> </w:t>
      </w:r>
      <w:r>
        <w:rPr>
          <w:color w:val="1D71B8"/>
          <w:sz w:val="18"/>
          <w:u w:val="single" w:color="1D71B8"/>
        </w:rPr>
        <w:t>society</w:t>
      </w:r>
      <w:r>
        <w:rPr>
          <w:color w:val="1D71B8"/>
          <w:spacing w:val="-6"/>
          <w:sz w:val="18"/>
          <w:u w:val="single" w:color="1D71B8"/>
        </w:rPr>
        <w:t> </w:t>
      </w:r>
      <w:r>
        <w:rPr>
          <w:color w:val="1D71B8"/>
          <w:sz w:val="18"/>
          <w:u w:val="single" w:color="1D71B8"/>
        </w:rPr>
        <w:t>for</w:t>
      </w:r>
      <w:r>
        <w:rPr>
          <w:color w:val="1D71B8"/>
          <w:spacing w:val="-6"/>
          <w:sz w:val="18"/>
          <w:u w:val="single" w:color="1D71B8"/>
        </w:rPr>
        <w:t> </w:t>
      </w:r>
      <w:r>
        <w:rPr>
          <w:color w:val="1D71B8"/>
          <w:sz w:val="18"/>
          <w:u w:val="single" w:color="1D71B8"/>
        </w:rPr>
        <w:t>all</w:t>
      </w:r>
      <w:r>
        <w:rPr>
          <w:color w:val="1D71B8"/>
          <w:sz w:val="18"/>
          <w:u w:val="none"/>
        </w:rPr>
        <w:t> </w:t>
      </w:r>
      <w:r>
        <w:rPr>
          <w:sz w:val="18"/>
          <w:u w:val="none"/>
        </w:rPr>
        <w:t>(April</w:t>
      </w:r>
      <w:r>
        <w:rPr>
          <w:spacing w:val="-2"/>
          <w:sz w:val="18"/>
          <w:u w:val="none"/>
        </w:rPr>
        <w:t> </w:t>
      </w:r>
      <w:r>
        <w:rPr>
          <w:sz w:val="18"/>
          <w:u w:val="none"/>
        </w:rPr>
        <w:t>2017).</w:t>
      </w:r>
    </w:p>
    <w:p>
      <w:pPr>
        <w:pStyle w:val="ListParagraph"/>
        <w:numPr>
          <w:ilvl w:val="0"/>
          <w:numId w:val="18"/>
        </w:numPr>
        <w:tabs>
          <w:tab w:pos="1684" w:val="left" w:leader="none"/>
        </w:tabs>
        <w:spacing w:line="240" w:lineRule="auto" w:before="0" w:after="0"/>
        <w:ind w:left="1684" w:right="807" w:hanging="567"/>
        <w:jc w:val="left"/>
        <w:rPr>
          <w:sz w:val="18"/>
        </w:rPr>
      </w:pPr>
      <w:hyperlink r:id="rId83">
        <w:r>
          <w:rPr>
            <w:color w:val="1D71B8"/>
            <w:sz w:val="18"/>
            <w:u w:val="single" w:color="1D71B8"/>
          </w:rPr>
          <w:t>Directive (EU) 2023/970</w:t>
        </w:r>
      </w:hyperlink>
      <w:r>
        <w:rPr>
          <w:color w:val="1D71B8"/>
          <w:sz w:val="18"/>
          <w:u w:val="none"/>
        </w:rPr>
        <w:t> </w:t>
      </w:r>
      <w:r>
        <w:rPr>
          <w:sz w:val="18"/>
          <w:u w:val="none"/>
        </w:rPr>
        <w:t>of the European Parliament and of the Council of 10 May 2023 to strengthen the application of the</w:t>
      </w:r>
      <w:r>
        <w:rPr>
          <w:spacing w:val="-3"/>
          <w:sz w:val="18"/>
          <w:u w:val="none"/>
        </w:rPr>
        <w:t> </w:t>
      </w:r>
      <w:r>
        <w:rPr>
          <w:sz w:val="18"/>
          <w:u w:val="none"/>
        </w:rPr>
        <w:t>principle</w:t>
      </w:r>
      <w:r>
        <w:rPr>
          <w:spacing w:val="-3"/>
          <w:sz w:val="18"/>
          <w:u w:val="none"/>
        </w:rPr>
        <w:t> </w:t>
      </w:r>
      <w:r>
        <w:rPr>
          <w:sz w:val="18"/>
          <w:u w:val="none"/>
        </w:rPr>
        <w:t>of</w:t>
      </w:r>
      <w:r>
        <w:rPr>
          <w:spacing w:val="-4"/>
          <w:sz w:val="18"/>
          <w:u w:val="none"/>
        </w:rPr>
        <w:t> </w:t>
      </w:r>
      <w:r>
        <w:rPr>
          <w:sz w:val="18"/>
          <w:u w:val="none"/>
        </w:rPr>
        <w:t>equal</w:t>
      </w:r>
      <w:r>
        <w:rPr>
          <w:spacing w:val="-4"/>
          <w:sz w:val="18"/>
          <w:u w:val="none"/>
        </w:rPr>
        <w:t> </w:t>
      </w:r>
      <w:r>
        <w:rPr>
          <w:sz w:val="18"/>
          <w:u w:val="none"/>
        </w:rPr>
        <w:t>pay</w:t>
      </w:r>
      <w:r>
        <w:rPr>
          <w:spacing w:val="-3"/>
          <w:sz w:val="18"/>
          <w:u w:val="none"/>
        </w:rPr>
        <w:t> </w:t>
      </w:r>
      <w:r>
        <w:rPr>
          <w:sz w:val="18"/>
          <w:u w:val="none"/>
        </w:rPr>
        <w:t>for</w:t>
      </w:r>
      <w:r>
        <w:rPr>
          <w:spacing w:val="-3"/>
          <w:sz w:val="18"/>
          <w:u w:val="none"/>
        </w:rPr>
        <w:t> </w:t>
      </w:r>
      <w:r>
        <w:rPr>
          <w:sz w:val="18"/>
          <w:u w:val="none"/>
        </w:rPr>
        <w:t>equal</w:t>
      </w:r>
      <w:r>
        <w:rPr>
          <w:spacing w:val="-4"/>
          <w:sz w:val="18"/>
          <w:u w:val="none"/>
        </w:rPr>
        <w:t> </w:t>
      </w:r>
      <w:r>
        <w:rPr>
          <w:sz w:val="18"/>
          <w:u w:val="none"/>
        </w:rPr>
        <w:t>work</w:t>
      </w:r>
      <w:r>
        <w:rPr>
          <w:spacing w:val="-3"/>
          <w:sz w:val="18"/>
          <w:u w:val="none"/>
        </w:rPr>
        <w:t> </w:t>
      </w:r>
      <w:r>
        <w:rPr>
          <w:sz w:val="18"/>
          <w:u w:val="none"/>
        </w:rPr>
        <w:t>or</w:t>
      </w:r>
      <w:r>
        <w:rPr>
          <w:spacing w:val="-3"/>
          <w:sz w:val="18"/>
          <w:u w:val="none"/>
        </w:rPr>
        <w:t> </w:t>
      </w:r>
      <w:r>
        <w:rPr>
          <w:sz w:val="18"/>
          <w:u w:val="none"/>
        </w:rPr>
        <w:t>work</w:t>
      </w:r>
      <w:r>
        <w:rPr>
          <w:spacing w:val="-3"/>
          <w:sz w:val="18"/>
          <w:u w:val="none"/>
        </w:rPr>
        <w:t> </w:t>
      </w:r>
      <w:r>
        <w:rPr>
          <w:sz w:val="18"/>
          <w:u w:val="none"/>
        </w:rPr>
        <w:t>of</w:t>
      </w:r>
      <w:r>
        <w:rPr>
          <w:spacing w:val="-4"/>
          <w:sz w:val="18"/>
          <w:u w:val="none"/>
        </w:rPr>
        <w:t> </w:t>
      </w:r>
      <w:r>
        <w:rPr>
          <w:sz w:val="18"/>
          <w:u w:val="none"/>
        </w:rPr>
        <w:t>equal</w:t>
      </w:r>
      <w:r>
        <w:rPr>
          <w:spacing w:val="-4"/>
          <w:sz w:val="18"/>
          <w:u w:val="none"/>
        </w:rPr>
        <w:t> </w:t>
      </w:r>
      <w:r>
        <w:rPr>
          <w:sz w:val="18"/>
          <w:u w:val="none"/>
        </w:rPr>
        <w:t>value</w:t>
      </w:r>
      <w:r>
        <w:rPr>
          <w:spacing w:val="-3"/>
          <w:sz w:val="18"/>
          <w:u w:val="none"/>
        </w:rPr>
        <w:t> </w:t>
      </w:r>
      <w:r>
        <w:rPr>
          <w:sz w:val="18"/>
          <w:u w:val="none"/>
        </w:rPr>
        <w:t>between</w:t>
      </w:r>
      <w:r>
        <w:rPr>
          <w:spacing w:val="-4"/>
          <w:sz w:val="18"/>
          <w:u w:val="none"/>
        </w:rPr>
        <w:t> </w:t>
      </w:r>
      <w:r>
        <w:rPr>
          <w:sz w:val="18"/>
          <w:u w:val="none"/>
        </w:rPr>
        <w:t>men</w:t>
      </w:r>
      <w:r>
        <w:rPr>
          <w:spacing w:val="-4"/>
          <w:sz w:val="18"/>
          <w:u w:val="none"/>
        </w:rPr>
        <w:t> </w:t>
      </w:r>
      <w:r>
        <w:rPr>
          <w:sz w:val="18"/>
          <w:u w:val="none"/>
        </w:rPr>
        <w:t>and</w:t>
      </w:r>
      <w:r>
        <w:rPr>
          <w:spacing w:val="-4"/>
          <w:sz w:val="18"/>
          <w:u w:val="none"/>
        </w:rPr>
        <w:t> </w:t>
      </w:r>
      <w:r>
        <w:rPr>
          <w:sz w:val="18"/>
          <w:u w:val="none"/>
        </w:rPr>
        <w:t>women</w:t>
      </w:r>
      <w:r>
        <w:rPr>
          <w:spacing w:val="-4"/>
          <w:sz w:val="18"/>
          <w:u w:val="none"/>
        </w:rPr>
        <w:t> </w:t>
      </w:r>
      <w:r>
        <w:rPr>
          <w:sz w:val="18"/>
          <w:u w:val="none"/>
        </w:rPr>
        <w:t>through</w:t>
      </w:r>
      <w:r>
        <w:rPr>
          <w:spacing w:val="-4"/>
          <w:sz w:val="18"/>
          <w:u w:val="none"/>
        </w:rPr>
        <w:t> </w:t>
      </w:r>
      <w:r>
        <w:rPr>
          <w:sz w:val="18"/>
          <w:u w:val="none"/>
        </w:rPr>
        <w:t>pay</w:t>
      </w:r>
      <w:r>
        <w:rPr>
          <w:spacing w:val="-3"/>
          <w:sz w:val="18"/>
          <w:u w:val="none"/>
        </w:rPr>
        <w:t> </w:t>
      </w:r>
      <w:r>
        <w:rPr>
          <w:sz w:val="18"/>
          <w:u w:val="none"/>
        </w:rPr>
        <w:t>transparency</w:t>
      </w:r>
      <w:r>
        <w:rPr>
          <w:spacing w:val="-3"/>
          <w:sz w:val="18"/>
          <w:u w:val="none"/>
        </w:rPr>
        <w:t> </w:t>
      </w:r>
      <w:r>
        <w:rPr>
          <w:sz w:val="18"/>
          <w:u w:val="none"/>
        </w:rPr>
        <w:t>and enforcement mechanisms.</w:t>
      </w:r>
    </w:p>
    <w:p>
      <w:pPr>
        <w:pStyle w:val="ListParagraph"/>
        <w:numPr>
          <w:ilvl w:val="0"/>
          <w:numId w:val="18"/>
        </w:numPr>
        <w:tabs>
          <w:tab w:pos="1684" w:val="left" w:leader="none"/>
        </w:tabs>
        <w:spacing w:line="240" w:lineRule="auto" w:before="1" w:after="0"/>
        <w:ind w:left="1684" w:right="767" w:hanging="567"/>
        <w:jc w:val="left"/>
        <w:rPr>
          <w:sz w:val="18"/>
        </w:rPr>
      </w:pPr>
      <w:r>
        <w:rPr>
          <w:sz w:val="18"/>
        </w:rPr>
        <w:t>Equality Commission for Northern Ireland and Northern Ireland Human Rights Commission, </w:t>
      </w:r>
      <w:r>
        <w:rPr>
          <w:color w:val="1D71B8"/>
          <w:sz w:val="18"/>
          <w:u w:val="single" w:color="1D71B8"/>
        </w:rPr>
        <w:t>The EU Pay Transparency </w:t>
      </w:r>
      <w:r>
        <w:rPr>
          <w:color w:val="1D71B8"/>
          <w:sz w:val="18"/>
          <w:u w:val="none"/>
        </w:rPr>
        <w:t> </w:t>
      </w:r>
      <w:r>
        <w:rPr>
          <w:color w:val="1D71B8"/>
          <w:sz w:val="18"/>
          <w:u w:val="single" w:color="1D71B8"/>
        </w:rPr>
        <w:t>Directive:</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UK</w:t>
      </w:r>
      <w:r>
        <w:rPr>
          <w:color w:val="1D71B8"/>
          <w:spacing w:val="-5"/>
          <w:sz w:val="18"/>
          <w:u w:val="single" w:color="1D71B8"/>
        </w:rPr>
        <w:t> </w:t>
      </w:r>
      <w:r>
        <w:rPr>
          <w:color w:val="1D71B8"/>
          <w:sz w:val="18"/>
          <w:u w:val="single" w:color="1D71B8"/>
        </w:rPr>
        <w:t>Government’s</w:t>
      </w:r>
      <w:r>
        <w:rPr>
          <w:color w:val="1D71B8"/>
          <w:spacing w:val="-6"/>
          <w:sz w:val="18"/>
          <w:u w:val="single" w:color="1D71B8"/>
        </w:rPr>
        <w:t> </w:t>
      </w:r>
      <w:r>
        <w:rPr>
          <w:color w:val="1D71B8"/>
          <w:sz w:val="18"/>
          <w:u w:val="single" w:color="1D71B8"/>
        </w:rPr>
        <w:t>dynamic</w:t>
      </w:r>
      <w:r>
        <w:rPr>
          <w:color w:val="1D71B8"/>
          <w:spacing w:val="-5"/>
          <w:sz w:val="18"/>
          <w:u w:val="single" w:color="1D71B8"/>
        </w:rPr>
        <w:t> </w:t>
      </w:r>
      <w:r>
        <w:rPr>
          <w:color w:val="1D71B8"/>
          <w:sz w:val="18"/>
          <w:u w:val="single" w:color="1D71B8"/>
        </w:rPr>
        <w:t>alignment</w:t>
      </w:r>
      <w:r>
        <w:rPr>
          <w:color w:val="1D71B8"/>
          <w:spacing w:val="-5"/>
          <w:sz w:val="18"/>
          <w:u w:val="single" w:color="1D71B8"/>
        </w:rPr>
        <w:t> </w:t>
      </w:r>
      <w:r>
        <w:rPr>
          <w:color w:val="1D71B8"/>
          <w:sz w:val="18"/>
          <w:u w:val="single" w:color="1D71B8"/>
        </w:rPr>
        <w:t>obligations</w:t>
      </w:r>
      <w:r>
        <w:rPr>
          <w:color w:val="1D71B8"/>
          <w:spacing w:val="-6"/>
          <w:sz w:val="18"/>
          <w:u w:val="single" w:color="1D71B8"/>
        </w:rPr>
        <w:t> </w:t>
      </w:r>
      <w:r>
        <w:rPr>
          <w:color w:val="1D71B8"/>
          <w:sz w:val="18"/>
          <w:u w:val="single" w:color="1D71B8"/>
        </w:rPr>
        <w:t>relating</w:t>
      </w:r>
      <w:r>
        <w:rPr>
          <w:color w:val="1D71B8"/>
          <w:spacing w:val="-5"/>
          <w:sz w:val="18"/>
          <w:u w:val="single" w:color="1D71B8"/>
        </w:rPr>
        <w:t> </w:t>
      </w:r>
      <w:r>
        <w:rPr>
          <w:color w:val="1D71B8"/>
          <w:sz w:val="18"/>
          <w:u w:val="single" w:color="1D71B8"/>
        </w:rPr>
        <w:t>to</w:t>
      </w:r>
      <w:r>
        <w:rPr>
          <w:color w:val="1D71B8"/>
          <w:spacing w:val="-6"/>
          <w:sz w:val="18"/>
          <w:u w:val="single" w:color="1D71B8"/>
        </w:rPr>
        <w:t> </w:t>
      </w:r>
      <w:r>
        <w:rPr>
          <w:color w:val="1D71B8"/>
          <w:sz w:val="18"/>
          <w:u w:val="single" w:color="1D71B8"/>
        </w:rPr>
        <w:t>Windsor</w:t>
      </w:r>
      <w:r>
        <w:rPr>
          <w:color w:val="1D71B8"/>
          <w:spacing w:val="-5"/>
          <w:sz w:val="18"/>
          <w:u w:val="single" w:color="1D71B8"/>
        </w:rPr>
        <w:t> </w:t>
      </w:r>
      <w:r>
        <w:rPr>
          <w:color w:val="1D71B8"/>
          <w:sz w:val="18"/>
          <w:u w:val="single" w:color="1D71B8"/>
        </w:rPr>
        <w:t>Framework</w:t>
      </w:r>
      <w:r>
        <w:rPr>
          <w:color w:val="1D71B8"/>
          <w:spacing w:val="-5"/>
          <w:sz w:val="18"/>
          <w:u w:val="single" w:color="1D71B8"/>
        </w:rPr>
        <w:t> </w:t>
      </w:r>
      <w:r>
        <w:rPr>
          <w:color w:val="1D71B8"/>
          <w:sz w:val="18"/>
          <w:u w:val="single" w:color="1D71B8"/>
        </w:rPr>
        <w:t>Article</w:t>
      </w:r>
      <w:r>
        <w:rPr>
          <w:color w:val="1D71B8"/>
          <w:spacing w:val="-5"/>
          <w:sz w:val="18"/>
          <w:u w:val="single" w:color="1D71B8"/>
        </w:rPr>
        <w:t> </w:t>
      </w:r>
      <w:r>
        <w:rPr>
          <w:color w:val="1D71B8"/>
          <w:sz w:val="18"/>
          <w:u w:val="single" w:color="1D71B8"/>
        </w:rPr>
        <w:t>2</w:t>
      </w:r>
      <w:r>
        <w:rPr>
          <w:color w:val="1D71B8"/>
          <w:spacing w:val="-8"/>
          <w:sz w:val="18"/>
          <w:u w:val="none"/>
        </w:rPr>
        <w:t> </w:t>
      </w:r>
      <w:r>
        <w:rPr>
          <w:sz w:val="18"/>
          <w:u w:val="none"/>
        </w:rPr>
        <w:t>(ECNI</w:t>
      </w:r>
      <w:r>
        <w:rPr>
          <w:spacing w:val="-5"/>
          <w:sz w:val="18"/>
          <w:u w:val="none"/>
        </w:rPr>
        <w:t> </w:t>
      </w:r>
      <w:r>
        <w:rPr>
          <w:sz w:val="18"/>
          <w:u w:val="none"/>
        </w:rPr>
        <w:t>and</w:t>
      </w:r>
      <w:r>
        <w:rPr>
          <w:spacing w:val="-6"/>
          <w:sz w:val="18"/>
          <w:u w:val="none"/>
        </w:rPr>
        <w:t> </w:t>
      </w:r>
      <w:r>
        <w:rPr>
          <w:sz w:val="18"/>
          <w:u w:val="none"/>
        </w:rPr>
        <w:t>NIHRC, 2024)</w:t>
      </w:r>
      <w:r>
        <w:rPr>
          <w:spacing w:val="-2"/>
          <w:sz w:val="18"/>
          <w:u w:val="none"/>
        </w:rPr>
        <w:t> </w:t>
      </w:r>
      <w:r>
        <w:rPr>
          <w:sz w:val="18"/>
          <w:u w:val="none"/>
        </w:rPr>
        <w:t>4.</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26944">
                <wp:simplePos x="0" y="0"/>
                <wp:positionH relativeFrom="page">
                  <wp:posOffset>0</wp:posOffset>
                </wp:positionH>
                <wp:positionV relativeFrom="page">
                  <wp:posOffset>0</wp:posOffset>
                </wp:positionV>
                <wp:extent cx="7560309" cy="125793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7560309" cy="1257935"/>
                          <a:chExt cx="7560309" cy="1257935"/>
                        </a:xfrm>
                      </wpg:grpSpPr>
                      <wps:wsp>
                        <wps:cNvPr id="516" name="Graphic 516"/>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517" name="Graphic 517"/>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518" name="Textbox 518"/>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58</w:t>
                              </w:r>
                            </w:p>
                          </w:txbxContent>
                        </wps:txbx>
                        <wps:bodyPr wrap="square" lIns="0" tIns="0" rIns="0" bIns="0" rtlCol="0">
                          <a:noAutofit/>
                        </wps:bodyPr>
                      </wps:wsp>
                      <wps:wsp>
                        <wps:cNvPr id="519" name="Textbox 519"/>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520" name="Textbox 520"/>
                        <wps:cNvSpPr txBox="1"/>
                        <wps:spPr>
                          <a:xfrm>
                            <a:off x="647999" y="1080003"/>
                            <a:ext cx="5655945" cy="177800"/>
                          </a:xfrm>
                          <a:prstGeom prst="rect">
                            <a:avLst/>
                          </a:prstGeom>
                        </wps:spPr>
                        <wps:txbx>
                          <w:txbxContent>
                            <w:p>
                              <w:pPr>
                                <w:spacing w:line="280" w:lineRule="exact" w:before="0"/>
                                <w:ind w:left="0" w:right="0" w:firstLine="0"/>
                                <w:jc w:val="left"/>
                                <w:rPr>
                                  <w:sz w:val="28"/>
                                </w:rPr>
                              </w:pPr>
                              <w:r>
                                <w:rPr>
                                  <w:sz w:val="28"/>
                                </w:rPr>
                                <w:t>Even</w:t>
                              </w:r>
                              <w:r>
                                <w:rPr>
                                  <w:spacing w:val="-6"/>
                                  <w:sz w:val="28"/>
                                </w:rPr>
                                <w:t> </w:t>
                              </w:r>
                              <w:r>
                                <w:rPr>
                                  <w:sz w:val="28"/>
                                </w:rPr>
                                <w:t>prior</w:t>
                              </w:r>
                              <w:r>
                                <w:rPr>
                                  <w:spacing w:val="-4"/>
                                  <w:sz w:val="28"/>
                                </w:rPr>
                                <w:t> </w:t>
                              </w:r>
                              <w:r>
                                <w:rPr>
                                  <w:sz w:val="28"/>
                                </w:rPr>
                                <w:t>to</w:t>
                              </w:r>
                              <w:r>
                                <w:rPr>
                                  <w:spacing w:val="-5"/>
                                  <w:sz w:val="28"/>
                                </w:rPr>
                                <w:t> </w:t>
                              </w:r>
                              <w:r>
                                <w:rPr>
                                  <w:sz w:val="28"/>
                                </w:rPr>
                                <w:t>the</w:t>
                              </w:r>
                              <w:r>
                                <w:rPr>
                                  <w:spacing w:val="-4"/>
                                  <w:sz w:val="28"/>
                                </w:rPr>
                                <w:t> </w:t>
                              </w:r>
                              <w:r>
                                <w:rPr>
                                  <w:sz w:val="28"/>
                                </w:rPr>
                                <w:t>adoption</w:t>
                              </w:r>
                              <w:r>
                                <w:rPr>
                                  <w:spacing w:val="-5"/>
                                  <w:sz w:val="28"/>
                                </w:rPr>
                                <w:t> </w:t>
                              </w:r>
                              <w:r>
                                <w:rPr>
                                  <w:sz w:val="28"/>
                                </w:rPr>
                                <w:t>of</w:t>
                              </w:r>
                              <w:r>
                                <w:rPr>
                                  <w:spacing w:val="-5"/>
                                  <w:sz w:val="28"/>
                                </w:rPr>
                                <w:t> </w:t>
                              </w:r>
                              <w:r>
                                <w:rPr>
                                  <w:sz w:val="28"/>
                                </w:rPr>
                                <w:t>the</w:t>
                              </w:r>
                              <w:r>
                                <w:rPr>
                                  <w:spacing w:val="-5"/>
                                  <w:sz w:val="28"/>
                                </w:rPr>
                                <w:t> </w:t>
                              </w:r>
                              <w:r>
                                <w:rPr>
                                  <w:sz w:val="28"/>
                                </w:rPr>
                                <w:t>Directive,</w:t>
                              </w:r>
                              <w:r>
                                <w:rPr>
                                  <w:spacing w:val="-4"/>
                                  <w:sz w:val="28"/>
                                </w:rPr>
                                <w:t> </w:t>
                              </w:r>
                              <w:r>
                                <w:rPr>
                                  <w:sz w:val="28"/>
                                </w:rPr>
                                <w:t>Ireland</w:t>
                              </w:r>
                              <w:r>
                                <w:rPr>
                                  <w:spacing w:val="-5"/>
                                  <w:sz w:val="28"/>
                                </w:rPr>
                                <w:t> </w:t>
                              </w:r>
                              <w:r>
                                <w:rPr>
                                  <w:sz w:val="28"/>
                                </w:rPr>
                                <w:t>had</w:t>
                              </w:r>
                              <w:r>
                                <w:rPr>
                                  <w:spacing w:val="-5"/>
                                  <w:sz w:val="28"/>
                                </w:rPr>
                                <w:t> </w:t>
                              </w:r>
                              <w:r>
                                <w:rPr>
                                  <w:sz w:val="28"/>
                                </w:rPr>
                                <w:t>passed</w:t>
                              </w:r>
                              <w:r>
                                <w:rPr>
                                  <w:spacing w:val="-5"/>
                                  <w:sz w:val="28"/>
                                </w:rPr>
                                <w:t> </w:t>
                              </w:r>
                              <w:r>
                                <w:rPr>
                                  <w:sz w:val="28"/>
                                </w:rPr>
                                <w:t>the</w:t>
                              </w:r>
                              <w:r>
                                <w:rPr>
                                  <w:spacing w:val="-4"/>
                                  <w:sz w:val="28"/>
                                </w:rPr>
                                <w:t> </w:t>
                              </w:r>
                              <w:r>
                                <w:rPr>
                                  <w:sz w:val="28"/>
                                </w:rPr>
                                <w:t>Gender</w:t>
                              </w:r>
                              <w:r>
                                <w:rPr>
                                  <w:spacing w:val="-4"/>
                                  <w:sz w:val="28"/>
                                </w:rPr>
                                <w:t> </w:t>
                              </w:r>
                              <w:r>
                                <w:rPr>
                                  <w:spacing w:val="-5"/>
                                  <w:sz w:val="28"/>
                                </w:rPr>
                                <w:t>Pay</w:t>
                              </w:r>
                            </w:p>
                          </w:txbxContent>
                        </wps:txbx>
                        <wps:bodyPr wrap="square" lIns="0" tIns="0" rIns="0" bIns="0" rtlCol="0">
                          <a:noAutofit/>
                        </wps:bodyPr>
                      </wps:wsp>
                    </wpg:wgp>
                  </a:graphicData>
                </a:graphic>
              </wp:anchor>
            </w:drawing>
          </mc:Choice>
          <mc:Fallback>
            <w:pict>
              <v:group style="position:absolute;margin-left:.0pt;margin-top:-.00002pt;width:595.3pt;height:99.05pt;mso-position-horizontal-relative:page;mso-position-vertical-relative:page;z-index:15826944" id="docshapegroup409" coordorigin="0,0" coordsize="11906,1981">
                <v:shape style="position:absolute;left:0;top:0;width:11906;height:1819" id="docshape410"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411" filled="false" stroked="false">
                  <v:textbox inset="0,0,0,0">
                    <w:txbxContent>
                      <w:p>
                        <w:pPr>
                          <w:spacing w:line="280" w:lineRule="exact" w:before="0"/>
                          <w:ind w:left="0" w:right="0" w:firstLine="0"/>
                          <w:jc w:val="left"/>
                          <w:rPr>
                            <w:b/>
                            <w:sz w:val="28"/>
                          </w:rPr>
                        </w:pPr>
                        <w:r>
                          <w:rPr>
                            <w:b/>
                            <w:color w:val="FFFFFF"/>
                            <w:spacing w:val="-5"/>
                            <w:sz w:val="28"/>
                          </w:rPr>
                          <w:t>58</w:t>
                        </w:r>
                      </w:p>
                    </w:txbxContent>
                  </v:textbox>
                  <w10:wrap type="none"/>
                </v:shape>
                <v:shape style="position:absolute;left:1303;top:645;width:6182;height:240" type="#_x0000_t202" id="docshape412"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8907;height:280" type="#_x0000_t202" id="docshape413" filled="false" stroked="false">
                  <v:textbox inset="0,0,0,0">
                    <w:txbxContent>
                      <w:p>
                        <w:pPr>
                          <w:spacing w:line="280" w:lineRule="exact" w:before="0"/>
                          <w:ind w:left="0" w:right="0" w:firstLine="0"/>
                          <w:jc w:val="left"/>
                          <w:rPr>
                            <w:sz w:val="28"/>
                          </w:rPr>
                        </w:pPr>
                        <w:r>
                          <w:rPr>
                            <w:sz w:val="28"/>
                          </w:rPr>
                          <w:t>Even</w:t>
                        </w:r>
                        <w:r>
                          <w:rPr>
                            <w:spacing w:val="-6"/>
                            <w:sz w:val="28"/>
                          </w:rPr>
                          <w:t> </w:t>
                        </w:r>
                        <w:r>
                          <w:rPr>
                            <w:sz w:val="28"/>
                          </w:rPr>
                          <w:t>prior</w:t>
                        </w:r>
                        <w:r>
                          <w:rPr>
                            <w:spacing w:val="-4"/>
                            <w:sz w:val="28"/>
                          </w:rPr>
                          <w:t> </w:t>
                        </w:r>
                        <w:r>
                          <w:rPr>
                            <w:sz w:val="28"/>
                          </w:rPr>
                          <w:t>to</w:t>
                        </w:r>
                        <w:r>
                          <w:rPr>
                            <w:spacing w:val="-5"/>
                            <w:sz w:val="28"/>
                          </w:rPr>
                          <w:t> </w:t>
                        </w:r>
                        <w:r>
                          <w:rPr>
                            <w:sz w:val="28"/>
                          </w:rPr>
                          <w:t>the</w:t>
                        </w:r>
                        <w:r>
                          <w:rPr>
                            <w:spacing w:val="-4"/>
                            <w:sz w:val="28"/>
                          </w:rPr>
                          <w:t> </w:t>
                        </w:r>
                        <w:r>
                          <w:rPr>
                            <w:sz w:val="28"/>
                          </w:rPr>
                          <w:t>adoption</w:t>
                        </w:r>
                        <w:r>
                          <w:rPr>
                            <w:spacing w:val="-5"/>
                            <w:sz w:val="28"/>
                          </w:rPr>
                          <w:t> </w:t>
                        </w:r>
                        <w:r>
                          <w:rPr>
                            <w:sz w:val="28"/>
                          </w:rPr>
                          <w:t>of</w:t>
                        </w:r>
                        <w:r>
                          <w:rPr>
                            <w:spacing w:val="-5"/>
                            <w:sz w:val="28"/>
                          </w:rPr>
                          <w:t> </w:t>
                        </w:r>
                        <w:r>
                          <w:rPr>
                            <w:sz w:val="28"/>
                          </w:rPr>
                          <w:t>the</w:t>
                        </w:r>
                        <w:r>
                          <w:rPr>
                            <w:spacing w:val="-5"/>
                            <w:sz w:val="28"/>
                          </w:rPr>
                          <w:t> </w:t>
                        </w:r>
                        <w:r>
                          <w:rPr>
                            <w:sz w:val="28"/>
                          </w:rPr>
                          <w:t>Directive,</w:t>
                        </w:r>
                        <w:r>
                          <w:rPr>
                            <w:spacing w:val="-4"/>
                            <w:sz w:val="28"/>
                          </w:rPr>
                          <w:t> </w:t>
                        </w:r>
                        <w:r>
                          <w:rPr>
                            <w:sz w:val="28"/>
                          </w:rPr>
                          <w:t>Ireland</w:t>
                        </w:r>
                        <w:r>
                          <w:rPr>
                            <w:spacing w:val="-5"/>
                            <w:sz w:val="28"/>
                          </w:rPr>
                          <w:t> </w:t>
                        </w:r>
                        <w:r>
                          <w:rPr>
                            <w:sz w:val="28"/>
                          </w:rPr>
                          <w:t>had</w:t>
                        </w:r>
                        <w:r>
                          <w:rPr>
                            <w:spacing w:val="-5"/>
                            <w:sz w:val="28"/>
                          </w:rPr>
                          <w:t> </w:t>
                        </w:r>
                        <w:r>
                          <w:rPr>
                            <w:sz w:val="28"/>
                          </w:rPr>
                          <w:t>passed</w:t>
                        </w:r>
                        <w:r>
                          <w:rPr>
                            <w:spacing w:val="-5"/>
                            <w:sz w:val="28"/>
                          </w:rPr>
                          <w:t> </w:t>
                        </w:r>
                        <w:r>
                          <w:rPr>
                            <w:sz w:val="28"/>
                          </w:rPr>
                          <w:t>the</w:t>
                        </w:r>
                        <w:r>
                          <w:rPr>
                            <w:spacing w:val="-4"/>
                            <w:sz w:val="28"/>
                          </w:rPr>
                          <w:t> </w:t>
                        </w:r>
                        <w:r>
                          <w:rPr>
                            <w:sz w:val="28"/>
                          </w:rPr>
                          <w:t>Gender</w:t>
                        </w:r>
                        <w:r>
                          <w:rPr>
                            <w:spacing w:val="-4"/>
                            <w:sz w:val="28"/>
                          </w:rPr>
                          <w:t> </w:t>
                        </w:r>
                        <w:r>
                          <w:rPr>
                            <w:spacing w:val="-5"/>
                            <w:sz w:val="28"/>
                          </w:rPr>
                          <w:t>Pay</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720" w:right="1143"/>
      </w:pPr>
      <w:bookmarkStart w:name="3.4.2 Work-Life Balance" w:id="84"/>
      <w:bookmarkEnd w:id="84"/>
      <w:r>
        <w:rPr/>
      </w:r>
      <w:bookmarkStart w:name="_bookmark34" w:id="85"/>
      <w:bookmarkEnd w:id="85"/>
      <w:r>
        <w:rPr/>
      </w:r>
      <w:r>
        <w:rPr/>
        <w:t>Gap</w:t>
      </w:r>
      <w:r>
        <w:rPr>
          <w:spacing w:val="-11"/>
        </w:rPr>
        <w:t> </w:t>
      </w:r>
      <w:r>
        <w:rPr/>
        <w:t>Information</w:t>
      </w:r>
      <w:r>
        <w:rPr>
          <w:spacing w:val="-11"/>
        </w:rPr>
        <w:t> </w:t>
      </w:r>
      <w:r>
        <w:rPr/>
        <w:t>Act</w:t>
      </w:r>
      <w:r>
        <w:rPr>
          <w:spacing w:val="-11"/>
        </w:rPr>
        <w:t> </w:t>
      </w:r>
      <w:r>
        <w:rPr/>
        <w:t>2021.</w:t>
      </w:r>
      <w:r>
        <w:rPr>
          <w:vertAlign w:val="superscript"/>
        </w:rPr>
        <w:t>314</w:t>
      </w:r>
      <w:r>
        <w:rPr>
          <w:spacing w:val="-11"/>
          <w:vertAlign w:val="baseline"/>
        </w:rPr>
        <w:t> </w:t>
      </w:r>
      <w:r>
        <w:rPr>
          <w:vertAlign w:val="baseline"/>
        </w:rPr>
        <w:t>The</w:t>
      </w:r>
      <w:r>
        <w:rPr>
          <w:spacing w:val="-11"/>
          <w:vertAlign w:val="baseline"/>
        </w:rPr>
        <w:t> </w:t>
      </w:r>
      <w:r>
        <w:rPr>
          <w:vertAlign w:val="baseline"/>
        </w:rPr>
        <w:t>Act</w:t>
      </w:r>
      <w:r>
        <w:rPr>
          <w:spacing w:val="-11"/>
          <w:vertAlign w:val="baseline"/>
        </w:rPr>
        <w:t> </w:t>
      </w:r>
      <w:r>
        <w:rPr>
          <w:vertAlign w:val="baseline"/>
        </w:rPr>
        <w:t>empowers</w:t>
      </w:r>
      <w:r>
        <w:rPr>
          <w:spacing w:val="-11"/>
          <w:vertAlign w:val="baseline"/>
        </w:rPr>
        <w:t> </w:t>
      </w:r>
      <w:r>
        <w:rPr>
          <w:vertAlign w:val="baseline"/>
        </w:rPr>
        <w:t>the</w:t>
      </w:r>
      <w:r>
        <w:rPr>
          <w:spacing w:val="-11"/>
          <w:vertAlign w:val="baseline"/>
        </w:rPr>
        <w:t> </w:t>
      </w:r>
      <w:r>
        <w:rPr>
          <w:vertAlign w:val="baseline"/>
        </w:rPr>
        <w:t>Minister</w:t>
      </w:r>
      <w:r>
        <w:rPr>
          <w:spacing w:val="-11"/>
          <w:vertAlign w:val="baseline"/>
        </w:rPr>
        <w:t> </w:t>
      </w:r>
      <w:r>
        <w:rPr>
          <w:vertAlign w:val="baseline"/>
        </w:rPr>
        <w:t>for</w:t>
      </w:r>
      <w:r>
        <w:rPr>
          <w:spacing w:val="-11"/>
          <w:vertAlign w:val="baseline"/>
        </w:rPr>
        <w:t> </w:t>
      </w:r>
      <w:r>
        <w:rPr>
          <w:vertAlign w:val="baseline"/>
        </w:rPr>
        <w:t>Children,</w:t>
      </w:r>
      <w:r>
        <w:rPr>
          <w:spacing w:val="-11"/>
          <w:vertAlign w:val="baseline"/>
        </w:rPr>
        <w:t> </w:t>
      </w:r>
      <w:r>
        <w:rPr>
          <w:vertAlign w:val="baseline"/>
        </w:rPr>
        <w:t>Equality, Disability, Integration and Youth to make regulations requiring employers with more than 50 employees to report on gender pay gaps, the reasons for such gaps and any measures to address the gaps. The regulations will be introduced in a graduated manner, applying first to employers with more than 250 employees, then it will apply to employers with more than 150 employees.</w:t>
      </w:r>
    </w:p>
    <w:p>
      <w:pPr>
        <w:pStyle w:val="BodyText"/>
        <w:spacing w:line="232" w:lineRule="auto" w:before="274"/>
        <w:ind w:left="720" w:right="1087"/>
      </w:pPr>
      <w:r>
        <w:rPr/>
        <w:t>There is a risk for divergence here in that while Northern Ireland has legislation on gender pay gap reporting, the legislation has not been brought into force. The first divergence</w:t>
      </w:r>
      <w:r>
        <w:rPr>
          <w:spacing w:val="-8"/>
        </w:rPr>
        <w:t> </w:t>
      </w:r>
      <w:r>
        <w:rPr/>
        <w:t>report</w:t>
      </w:r>
      <w:r>
        <w:rPr>
          <w:spacing w:val="-8"/>
        </w:rPr>
        <w:t> </w:t>
      </w:r>
      <w:r>
        <w:rPr/>
        <w:t>has</w:t>
      </w:r>
      <w:r>
        <w:rPr>
          <w:spacing w:val="-9"/>
        </w:rPr>
        <w:t> </w:t>
      </w:r>
      <w:r>
        <w:rPr/>
        <w:t>recommended</w:t>
      </w:r>
      <w:r>
        <w:rPr>
          <w:spacing w:val="-9"/>
        </w:rPr>
        <w:t> </w:t>
      </w:r>
      <w:r>
        <w:rPr/>
        <w:t>that</w:t>
      </w:r>
      <w:r>
        <w:rPr>
          <w:spacing w:val="-8"/>
        </w:rPr>
        <w:t> </w:t>
      </w:r>
      <w:r>
        <w:rPr/>
        <w:t>the</w:t>
      </w:r>
      <w:r>
        <w:rPr>
          <w:spacing w:val="-8"/>
        </w:rPr>
        <w:t> </w:t>
      </w:r>
      <w:r>
        <w:rPr/>
        <w:t>relevant</w:t>
      </w:r>
      <w:r>
        <w:rPr>
          <w:spacing w:val="-8"/>
        </w:rPr>
        <w:t> </w:t>
      </w:r>
      <w:r>
        <w:rPr/>
        <w:t>Northern</w:t>
      </w:r>
      <w:r>
        <w:rPr>
          <w:spacing w:val="-9"/>
        </w:rPr>
        <w:t> </w:t>
      </w:r>
      <w:r>
        <w:rPr/>
        <w:t>Ireland</w:t>
      </w:r>
      <w:r>
        <w:rPr>
          <w:spacing w:val="-9"/>
        </w:rPr>
        <w:t> </w:t>
      </w:r>
      <w:r>
        <w:rPr/>
        <w:t>legislation, the Employment Act (Northern Ireland) 2016, section 19 be bought into force.</w:t>
      </w:r>
      <w:r>
        <w:rPr>
          <w:vertAlign w:val="superscript"/>
        </w:rPr>
        <w:t>315</w:t>
      </w:r>
    </w:p>
    <w:p>
      <w:pPr>
        <w:pStyle w:val="BodyText"/>
        <w:spacing w:line="232" w:lineRule="auto" w:before="278"/>
        <w:ind w:left="720" w:right="1225"/>
      </w:pPr>
      <w:r>
        <w:rPr/>
        <w:t>Regulations have been made under the Gender Pay Gap Information Act 2021 which have enabled reporting from 2022 by employers with over 250 employees. The Regulations also require employers to publish a statement setting out, in the employers’</w:t>
      </w:r>
      <w:r>
        <w:rPr>
          <w:spacing w:val="-6"/>
        </w:rPr>
        <w:t> </w:t>
      </w:r>
      <w:r>
        <w:rPr/>
        <w:t>opinion,</w:t>
      </w:r>
      <w:r>
        <w:rPr>
          <w:spacing w:val="-6"/>
        </w:rPr>
        <w:t> </w:t>
      </w:r>
      <w:r>
        <w:rPr/>
        <w:t>the</w:t>
      </w:r>
      <w:r>
        <w:rPr>
          <w:spacing w:val="-6"/>
        </w:rPr>
        <w:t> </w:t>
      </w:r>
      <w:r>
        <w:rPr/>
        <w:t>reasons</w:t>
      </w:r>
      <w:r>
        <w:rPr>
          <w:spacing w:val="-7"/>
        </w:rPr>
        <w:t> </w:t>
      </w:r>
      <w:r>
        <w:rPr/>
        <w:t>for</w:t>
      </w:r>
      <w:r>
        <w:rPr>
          <w:spacing w:val="-6"/>
        </w:rPr>
        <w:t> </w:t>
      </w:r>
      <w:r>
        <w:rPr/>
        <w:t>the</w:t>
      </w:r>
      <w:r>
        <w:rPr>
          <w:spacing w:val="-6"/>
        </w:rPr>
        <w:t> </w:t>
      </w:r>
      <w:r>
        <w:rPr/>
        <w:t>gender</w:t>
      </w:r>
      <w:r>
        <w:rPr>
          <w:spacing w:val="-6"/>
        </w:rPr>
        <w:t> </w:t>
      </w:r>
      <w:r>
        <w:rPr/>
        <w:t>pay</w:t>
      </w:r>
      <w:r>
        <w:rPr>
          <w:spacing w:val="-6"/>
        </w:rPr>
        <w:t> </w:t>
      </w:r>
      <w:r>
        <w:rPr/>
        <w:t>gap</w:t>
      </w:r>
      <w:r>
        <w:rPr>
          <w:spacing w:val="-7"/>
        </w:rPr>
        <w:t> </w:t>
      </w:r>
      <w:r>
        <w:rPr/>
        <w:t>in</w:t>
      </w:r>
      <w:r>
        <w:rPr>
          <w:spacing w:val="-7"/>
        </w:rPr>
        <w:t> </w:t>
      </w:r>
      <w:r>
        <w:rPr/>
        <w:t>their</w:t>
      </w:r>
      <w:r>
        <w:rPr>
          <w:spacing w:val="-6"/>
        </w:rPr>
        <w:t> </w:t>
      </w:r>
      <w:r>
        <w:rPr/>
        <w:t>company</w:t>
      </w:r>
      <w:r>
        <w:rPr>
          <w:spacing w:val="-6"/>
        </w:rPr>
        <w:t> </w:t>
      </w:r>
      <w:r>
        <w:rPr/>
        <w:t>and</w:t>
      </w:r>
      <w:r>
        <w:rPr>
          <w:spacing w:val="-7"/>
        </w:rPr>
        <w:t> </w:t>
      </w:r>
      <w:r>
        <w:rPr/>
        <w:t>what measures are being taken or proposed by the employer to eliminate or reduce</w:t>
      </w:r>
      <w:r>
        <w:rPr/>
        <w:t> that pay gap. Employers are required to publish their report and statement in a manner easily accessible to the public, such as on their website. The Government may in the future introduce regulations to provide for a central website to hold such information.</w:t>
      </w:r>
      <w:r>
        <w:rPr>
          <w:vertAlign w:val="superscript"/>
        </w:rPr>
        <w:t>316</w:t>
      </w:r>
    </w:p>
    <w:p>
      <w:pPr>
        <w:pStyle w:val="BodyText"/>
        <w:spacing w:before="5"/>
        <w:rPr>
          <w:sz w:val="19"/>
        </w:rPr>
      </w:pPr>
      <w:r>
        <w:rPr/>
        <mc:AlternateContent>
          <mc:Choice Requires="wps">
            <w:drawing>
              <wp:anchor distT="0" distB="0" distL="0" distR="0" allowOverlap="1" layoutInCell="1" locked="0" behindDoc="1" simplePos="0" relativeHeight="487684608">
                <wp:simplePos x="0" y="0"/>
                <wp:positionH relativeFrom="page">
                  <wp:posOffset>647994</wp:posOffset>
                </wp:positionH>
                <wp:positionV relativeFrom="paragraph">
                  <wp:posOffset>165983</wp:posOffset>
                </wp:positionV>
                <wp:extent cx="6012180" cy="813435"/>
                <wp:effectExtent l="0" t="0" r="0" b="0"/>
                <wp:wrapTopAndBottom/>
                <wp:docPr id="521" name="Group 521"/>
                <wp:cNvGraphicFramePr>
                  <a:graphicFrameLocks/>
                </wp:cNvGraphicFramePr>
                <a:graphic>
                  <a:graphicData uri="http://schemas.microsoft.com/office/word/2010/wordprocessingGroup">
                    <wpg:wgp>
                      <wpg:cNvPr id="521" name="Group 521"/>
                      <wpg:cNvGrpSpPr/>
                      <wpg:grpSpPr>
                        <a:xfrm>
                          <a:off x="0" y="0"/>
                          <a:ext cx="6012180" cy="813435"/>
                          <a:chExt cx="6012180" cy="813435"/>
                        </a:xfrm>
                      </wpg:grpSpPr>
                      <wps:wsp>
                        <wps:cNvPr id="522" name="Graphic 522"/>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23" name="Textbox 523"/>
                        <wps:cNvSpPr txBox="1"/>
                        <wps:spPr>
                          <a:xfrm>
                            <a:off x="0" y="0"/>
                            <a:ext cx="6012180" cy="813435"/>
                          </a:xfrm>
                          <a:prstGeom prst="rect">
                            <a:avLst/>
                          </a:prstGeom>
                        </wps:spPr>
                        <wps:txbx>
                          <w:txbxContent>
                            <w:p>
                              <w:pPr>
                                <w:spacing w:line="232" w:lineRule="auto" w:before="121"/>
                                <w:ind w:left="340" w:right="129" w:firstLine="0"/>
                                <w:jc w:val="both"/>
                                <w:rPr>
                                  <w:b/>
                                  <w:sz w:val="28"/>
                                </w:rPr>
                              </w:pPr>
                              <w:r>
                                <w:rPr>
                                  <w:b/>
                                  <w:color w:val="164194"/>
                                  <w:sz w:val="28"/>
                                </w:rPr>
                                <w:t>We</w:t>
                              </w:r>
                              <w:r>
                                <w:rPr>
                                  <w:b/>
                                  <w:color w:val="164194"/>
                                  <w:spacing w:val="-5"/>
                                  <w:sz w:val="28"/>
                                </w:rPr>
                                <w:t> </w:t>
                              </w:r>
                              <w:r>
                                <w:rPr>
                                  <w:b/>
                                  <w:color w:val="164194"/>
                                  <w:sz w:val="28"/>
                                </w:rPr>
                                <w:t>recommend</w:t>
                              </w:r>
                              <w:r>
                                <w:rPr>
                                  <w:b/>
                                  <w:color w:val="164194"/>
                                  <w:spacing w:val="-4"/>
                                  <w:sz w:val="28"/>
                                </w:rPr>
                                <w:t> </w:t>
                              </w:r>
                              <w:r>
                                <w:rPr>
                                  <w:b/>
                                  <w:color w:val="164194"/>
                                  <w:sz w:val="28"/>
                                </w:rPr>
                                <w:t>that</w:t>
                              </w:r>
                              <w:r>
                                <w:rPr>
                                  <w:b/>
                                  <w:color w:val="164194"/>
                                  <w:spacing w:val="-4"/>
                                  <w:sz w:val="28"/>
                                </w:rPr>
                                <w:t> </w:t>
                              </w:r>
                              <w:r>
                                <w:rPr>
                                  <w:b/>
                                  <w:color w:val="164194"/>
                                  <w:sz w:val="28"/>
                                </w:rPr>
                                <w:t>the</w:t>
                              </w:r>
                              <w:r>
                                <w:rPr>
                                  <w:b/>
                                  <w:color w:val="164194"/>
                                  <w:spacing w:val="-5"/>
                                  <w:sz w:val="28"/>
                                </w:rPr>
                                <w:t> </w:t>
                              </w:r>
                              <w:r>
                                <w:rPr>
                                  <w:b/>
                                  <w:color w:val="164194"/>
                                  <w:sz w:val="28"/>
                                </w:rPr>
                                <w:t>NI</w:t>
                              </w:r>
                              <w:r>
                                <w:rPr>
                                  <w:b/>
                                  <w:color w:val="164194"/>
                                  <w:spacing w:val="-4"/>
                                  <w:sz w:val="28"/>
                                </w:rPr>
                                <w:t> </w:t>
                              </w:r>
                              <w:r>
                                <w:rPr>
                                  <w:b/>
                                  <w:color w:val="164194"/>
                                  <w:sz w:val="28"/>
                                </w:rPr>
                                <w:t>Executive</w:t>
                              </w:r>
                              <w:r>
                                <w:rPr>
                                  <w:b/>
                                  <w:color w:val="164194"/>
                                  <w:spacing w:val="-5"/>
                                  <w:sz w:val="28"/>
                                </w:rPr>
                                <w:t> </w:t>
                              </w:r>
                              <w:r>
                                <w:rPr>
                                  <w:b/>
                                  <w:color w:val="164194"/>
                                  <w:sz w:val="28"/>
                                </w:rPr>
                                <w:t>and</w:t>
                              </w:r>
                              <w:r>
                                <w:rPr>
                                  <w:b/>
                                  <w:color w:val="164194"/>
                                  <w:spacing w:val="-4"/>
                                  <w:sz w:val="28"/>
                                </w:rPr>
                                <w:t> </w:t>
                              </w:r>
                              <w:r>
                                <w:rPr>
                                  <w:b/>
                                  <w:color w:val="164194"/>
                                  <w:sz w:val="28"/>
                                </w:rPr>
                                <w:t>relevant</w:t>
                              </w:r>
                              <w:r>
                                <w:rPr>
                                  <w:b/>
                                  <w:color w:val="164194"/>
                                  <w:spacing w:val="-4"/>
                                  <w:sz w:val="28"/>
                                </w:rPr>
                                <w:t> </w:t>
                              </w:r>
                              <w:r>
                                <w:rPr>
                                  <w:b/>
                                  <w:color w:val="164194"/>
                                  <w:sz w:val="28"/>
                                </w:rPr>
                                <w:t>NI</w:t>
                              </w:r>
                              <w:r>
                                <w:rPr>
                                  <w:b/>
                                  <w:color w:val="164194"/>
                                  <w:spacing w:val="-4"/>
                                  <w:sz w:val="28"/>
                                </w:rPr>
                                <w:t> </w:t>
                              </w:r>
                              <w:r>
                                <w:rPr>
                                  <w:b/>
                                  <w:color w:val="164194"/>
                                  <w:sz w:val="28"/>
                                </w:rPr>
                                <w:t>Departments</w:t>
                              </w:r>
                              <w:r>
                                <w:rPr>
                                  <w:b/>
                                  <w:color w:val="164194"/>
                                  <w:spacing w:val="-4"/>
                                  <w:sz w:val="28"/>
                                </w:rPr>
                                <w:t> </w:t>
                              </w:r>
                              <w:r>
                                <w:rPr>
                                  <w:b/>
                                  <w:color w:val="164194"/>
                                  <w:sz w:val="28"/>
                                </w:rPr>
                                <w:t>bring</w:t>
                              </w:r>
                              <w:r>
                                <w:rPr>
                                  <w:b/>
                                  <w:color w:val="164194"/>
                                  <w:spacing w:val="-5"/>
                                  <w:sz w:val="28"/>
                                </w:rPr>
                                <w:t> </w:t>
                              </w:r>
                              <w:r>
                                <w:rPr>
                                  <w:b/>
                                  <w:color w:val="164194"/>
                                  <w:sz w:val="28"/>
                                </w:rPr>
                                <w:t>into force</w:t>
                              </w:r>
                              <w:r>
                                <w:rPr>
                                  <w:b/>
                                  <w:color w:val="164194"/>
                                  <w:spacing w:val="-7"/>
                                  <w:sz w:val="28"/>
                                </w:rPr>
                                <w:t> </w:t>
                              </w:r>
                              <w:r>
                                <w:rPr>
                                  <w:b/>
                                  <w:color w:val="164194"/>
                                  <w:sz w:val="28"/>
                                </w:rPr>
                                <w:t>the</w:t>
                              </w:r>
                              <w:r>
                                <w:rPr>
                                  <w:b/>
                                  <w:color w:val="164194"/>
                                  <w:spacing w:val="-7"/>
                                  <w:sz w:val="28"/>
                                </w:rPr>
                                <w:t> </w:t>
                              </w:r>
                              <w:r>
                                <w:rPr>
                                  <w:b/>
                                  <w:color w:val="164194"/>
                                  <w:sz w:val="28"/>
                                </w:rPr>
                                <w:t>necessary</w:t>
                              </w:r>
                              <w:r>
                                <w:rPr>
                                  <w:b/>
                                  <w:color w:val="164194"/>
                                  <w:spacing w:val="-7"/>
                                  <w:sz w:val="28"/>
                                </w:rPr>
                                <w:t> </w:t>
                              </w:r>
                              <w:r>
                                <w:rPr>
                                  <w:b/>
                                  <w:color w:val="164194"/>
                                  <w:sz w:val="28"/>
                                </w:rPr>
                                <w:t>measures</w:t>
                              </w:r>
                              <w:r>
                                <w:rPr>
                                  <w:b/>
                                  <w:color w:val="164194"/>
                                  <w:spacing w:val="-7"/>
                                  <w:sz w:val="28"/>
                                </w:rPr>
                                <w:t> </w:t>
                              </w:r>
                              <w:r>
                                <w:rPr>
                                  <w:b/>
                                  <w:color w:val="164194"/>
                                  <w:sz w:val="28"/>
                                </w:rPr>
                                <w:t>to</w:t>
                              </w:r>
                              <w:r>
                                <w:rPr>
                                  <w:b/>
                                  <w:color w:val="164194"/>
                                  <w:spacing w:val="-7"/>
                                  <w:sz w:val="28"/>
                                </w:rPr>
                                <w:t> </w:t>
                              </w:r>
                              <w:r>
                                <w:rPr>
                                  <w:b/>
                                  <w:color w:val="164194"/>
                                  <w:sz w:val="28"/>
                                </w:rPr>
                                <w:t>comply</w:t>
                              </w:r>
                              <w:r>
                                <w:rPr>
                                  <w:b/>
                                  <w:color w:val="164194"/>
                                  <w:spacing w:val="-7"/>
                                  <w:sz w:val="28"/>
                                </w:rPr>
                                <w:t> </w:t>
                              </w:r>
                              <w:r>
                                <w:rPr>
                                  <w:b/>
                                  <w:color w:val="164194"/>
                                  <w:sz w:val="28"/>
                                </w:rPr>
                                <w:t>with</w:t>
                              </w:r>
                              <w:r>
                                <w:rPr>
                                  <w:b/>
                                  <w:color w:val="164194"/>
                                  <w:spacing w:val="-7"/>
                                  <w:sz w:val="28"/>
                                </w:rPr>
                                <w:t> </w:t>
                              </w:r>
                              <w:r>
                                <w:rPr>
                                  <w:b/>
                                  <w:color w:val="164194"/>
                                  <w:sz w:val="28"/>
                                </w:rPr>
                                <w:t>the</w:t>
                              </w:r>
                              <w:r>
                                <w:rPr>
                                  <w:b/>
                                  <w:color w:val="164194"/>
                                  <w:spacing w:val="-7"/>
                                  <w:sz w:val="28"/>
                                </w:rPr>
                                <w:t> </w:t>
                              </w:r>
                              <w:r>
                                <w:rPr>
                                  <w:b/>
                                  <w:color w:val="164194"/>
                                  <w:sz w:val="28"/>
                                </w:rPr>
                                <w:t>requirements</w:t>
                              </w:r>
                              <w:r>
                                <w:rPr>
                                  <w:b/>
                                  <w:color w:val="164194"/>
                                  <w:spacing w:val="-7"/>
                                  <w:sz w:val="28"/>
                                </w:rPr>
                                <w:t> </w:t>
                              </w:r>
                              <w:r>
                                <w:rPr>
                                  <w:b/>
                                  <w:color w:val="164194"/>
                                  <w:sz w:val="28"/>
                                </w:rPr>
                                <w:t>set</w:t>
                              </w:r>
                              <w:r>
                                <w:rPr>
                                  <w:b/>
                                  <w:color w:val="164194"/>
                                  <w:spacing w:val="-7"/>
                                  <w:sz w:val="28"/>
                                </w:rPr>
                                <w:t> </w:t>
                              </w:r>
                              <w:r>
                                <w:rPr>
                                  <w:b/>
                                  <w:color w:val="164194"/>
                                  <w:sz w:val="28"/>
                                </w:rPr>
                                <w:t>by</w:t>
                              </w:r>
                              <w:r>
                                <w:rPr>
                                  <w:b/>
                                  <w:color w:val="164194"/>
                                  <w:spacing w:val="-7"/>
                                  <w:sz w:val="28"/>
                                </w:rPr>
                                <w:t> </w:t>
                              </w:r>
                              <w:r>
                                <w:rPr>
                                  <w:b/>
                                  <w:color w:val="164194"/>
                                  <w:sz w:val="28"/>
                                </w:rPr>
                                <w:t>the</w:t>
                              </w:r>
                              <w:r>
                                <w:rPr>
                                  <w:b/>
                                  <w:color w:val="164194"/>
                                  <w:spacing w:val="-7"/>
                                  <w:sz w:val="28"/>
                                </w:rPr>
                                <w:t> </w:t>
                              </w:r>
                              <w:r>
                                <w:rPr>
                                  <w:b/>
                                  <w:color w:val="164194"/>
                                  <w:sz w:val="28"/>
                                </w:rPr>
                                <w:t>Pay Transparency Directive EU Directive 2023/970 by June 2026.</w:t>
                              </w:r>
                            </w:p>
                          </w:txbxContent>
                        </wps:txbx>
                        <wps:bodyPr wrap="square" lIns="0" tIns="0" rIns="0" bIns="0" rtlCol="0">
                          <a:noAutofit/>
                        </wps:bodyPr>
                      </wps:wsp>
                    </wpg:wgp>
                  </a:graphicData>
                </a:graphic>
              </wp:anchor>
            </w:drawing>
          </mc:Choice>
          <mc:Fallback>
            <w:pict>
              <v:group style="position:absolute;margin-left:51.023201pt;margin-top:13.069561pt;width:473.4pt;height:64.05pt;mso-position-horizontal-relative:page;mso-position-vertical-relative:paragraph;z-index:-15631872;mso-wrap-distance-left:0;mso-wrap-distance-right:0" id="docshapegroup414" coordorigin="1020,261" coordsize="9468,1281">
                <v:shape style="position:absolute;left:1020;top:261;width:9468;height:1281" id="docshape415" coordorigin="1020,261" coordsize="9468,1281" path="m10261,261l1247,261,1176,273,1113,305,1064,354,1032,416,1020,488,1020,1315,1032,1386,1064,1449,1113,1498,1176,1530,1247,1542,10261,1542,10333,1530,10395,1498,10444,1449,10477,1386,10488,1315,10488,488,10477,416,10444,354,10395,305,10333,273,10261,261xe" filled="true" fillcolor="#e9f3fc" stroked="false">
                  <v:path arrowok="t"/>
                  <v:fill type="solid"/>
                </v:shape>
                <v:shape style="position:absolute;left:1020;top:261;width:9468;height:1281" type="#_x0000_t202" id="docshape416" filled="false" stroked="false">
                  <v:textbox inset="0,0,0,0">
                    <w:txbxContent>
                      <w:p>
                        <w:pPr>
                          <w:spacing w:line="232" w:lineRule="auto" w:before="121"/>
                          <w:ind w:left="340" w:right="129" w:firstLine="0"/>
                          <w:jc w:val="both"/>
                          <w:rPr>
                            <w:b/>
                            <w:sz w:val="28"/>
                          </w:rPr>
                        </w:pPr>
                        <w:r>
                          <w:rPr>
                            <w:b/>
                            <w:color w:val="164194"/>
                            <w:sz w:val="28"/>
                          </w:rPr>
                          <w:t>We</w:t>
                        </w:r>
                        <w:r>
                          <w:rPr>
                            <w:b/>
                            <w:color w:val="164194"/>
                            <w:spacing w:val="-5"/>
                            <w:sz w:val="28"/>
                          </w:rPr>
                          <w:t> </w:t>
                        </w:r>
                        <w:r>
                          <w:rPr>
                            <w:b/>
                            <w:color w:val="164194"/>
                            <w:sz w:val="28"/>
                          </w:rPr>
                          <w:t>recommend</w:t>
                        </w:r>
                        <w:r>
                          <w:rPr>
                            <w:b/>
                            <w:color w:val="164194"/>
                            <w:spacing w:val="-4"/>
                            <w:sz w:val="28"/>
                          </w:rPr>
                          <w:t> </w:t>
                        </w:r>
                        <w:r>
                          <w:rPr>
                            <w:b/>
                            <w:color w:val="164194"/>
                            <w:sz w:val="28"/>
                          </w:rPr>
                          <w:t>that</w:t>
                        </w:r>
                        <w:r>
                          <w:rPr>
                            <w:b/>
                            <w:color w:val="164194"/>
                            <w:spacing w:val="-4"/>
                            <w:sz w:val="28"/>
                          </w:rPr>
                          <w:t> </w:t>
                        </w:r>
                        <w:r>
                          <w:rPr>
                            <w:b/>
                            <w:color w:val="164194"/>
                            <w:sz w:val="28"/>
                          </w:rPr>
                          <w:t>the</w:t>
                        </w:r>
                        <w:r>
                          <w:rPr>
                            <w:b/>
                            <w:color w:val="164194"/>
                            <w:spacing w:val="-5"/>
                            <w:sz w:val="28"/>
                          </w:rPr>
                          <w:t> </w:t>
                        </w:r>
                        <w:r>
                          <w:rPr>
                            <w:b/>
                            <w:color w:val="164194"/>
                            <w:sz w:val="28"/>
                          </w:rPr>
                          <w:t>NI</w:t>
                        </w:r>
                        <w:r>
                          <w:rPr>
                            <w:b/>
                            <w:color w:val="164194"/>
                            <w:spacing w:val="-4"/>
                            <w:sz w:val="28"/>
                          </w:rPr>
                          <w:t> </w:t>
                        </w:r>
                        <w:r>
                          <w:rPr>
                            <w:b/>
                            <w:color w:val="164194"/>
                            <w:sz w:val="28"/>
                          </w:rPr>
                          <w:t>Executive</w:t>
                        </w:r>
                        <w:r>
                          <w:rPr>
                            <w:b/>
                            <w:color w:val="164194"/>
                            <w:spacing w:val="-5"/>
                            <w:sz w:val="28"/>
                          </w:rPr>
                          <w:t> </w:t>
                        </w:r>
                        <w:r>
                          <w:rPr>
                            <w:b/>
                            <w:color w:val="164194"/>
                            <w:sz w:val="28"/>
                          </w:rPr>
                          <w:t>and</w:t>
                        </w:r>
                        <w:r>
                          <w:rPr>
                            <w:b/>
                            <w:color w:val="164194"/>
                            <w:spacing w:val="-4"/>
                            <w:sz w:val="28"/>
                          </w:rPr>
                          <w:t> </w:t>
                        </w:r>
                        <w:r>
                          <w:rPr>
                            <w:b/>
                            <w:color w:val="164194"/>
                            <w:sz w:val="28"/>
                          </w:rPr>
                          <w:t>relevant</w:t>
                        </w:r>
                        <w:r>
                          <w:rPr>
                            <w:b/>
                            <w:color w:val="164194"/>
                            <w:spacing w:val="-4"/>
                            <w:sz w:val="28"/>
                          </w:rPr>
                          <w:t> </w:t>
                        </w:r>
                        <w:r>
                          <w:rPr>
                            <w:b/>
                            <w:color w:val="164194"/>
                            <w:sz w:val="28"/>
                          </w:rPr>
                          <w:t>NI</w:t>
                        </w:r>
                        <w:r>
                          <w:rPr>
                            <w:b/>
                            <w:color w:val="164194"/>
                            <w:spacing w:val="-4"/>
                            <w:sz w:val="28"/>
                          </w:rPr>
                          <w:t> </w:t>
                        </w:r>
                        <w:r>
                          <w:rPr>
                            <w:b/>
                            <w:color w:val="164194"/>
                            <w:sz w:val="28"/>
                          </w:rPr>
                          <w:t>Departments</w:t>
                        </w:r>
                        <w:r>
                          <w:rPr>
                            <w:b/>
                            <w:color w:val="164194"/>
                            <w:spacing w:val="-4"/>
                            <w:sz w:val="28"/>
                          </w:rPr>
                          <w:t> </w:t>
                        </w:r>
                        <w:r>
                          <w:rPr>
                            <w:b/>
                            <w:color w:val="164194"/>
                            <w:sz w:val="28"/>
                          </w:rPr>
                          <w:t>bring</w:t>
                        </w:r>
                        <w:r>
                          <w:rPr>
                            <w:b/>
                            <w:color w:val="164194"/>
                            <w:spacing w:val="-5"/>
                            <w:sz w:val="28"/>
                          </w:rPr>
                          <w:t> </w:t>
                        </w:r>
                        <w:r>
                          <w:rPr>
                            <w:b/>
                            <w:color w:val="164194"/>
                            <w:sz w:val="28"/>
                          </w:rPr>
                          <w:t>into force</w:t>
                        </w:r>
                        <w:r>
                          <w:rPr>
                            <w:b/>
                            <w:color w:val="164194"/>
                            <w:spacing w:val="-7"/>
                            <w:sz w:val="28"/>
                          </w:rPr>
                          <w:t> </w:t>
                        </w:r>
                        <w:r>
                          <w:rPr>
                            <w:b/>
                            <w:color w:val="164194"/>
                            <w:sz w:val="28"/>
                          </w:rPr>
                          <w:t>the</w:t>
                        </w:r>
                        <w:r>
                          <w:rPr>
                            <w:b/>
                            <w:color w:val="164194"/>
                            <w:spacing w:val="-7"/>
                            <w:sz w:val="28"/>
                          </w:rPr>
                          <w:t> </w:t>
                        </w:r>
                        <w:r>
                          <w:rPr>
                            <w:b/>
                            <w:color w:val="164194"/>
                            <w:sz w:val="28"/>
                          </w:rPr>
                          <w:t>necessary</w:t>
                        </w:r>
                        <w:r>
                          <w:rPr>
                            <w:b/>
                            <w:color w:val="164194"/>
                            <w:spacing w:val="-7"/>
                            <w:sz w:val="28"/>
                          </w:rPr>
                          <w:t> </w:t>
                        </w:r>
                        <w:r>
                          <w:rPr>
                            <w:b/>
                            <w:color w:val="164194"/>
                            <w:sz w:val="28"/>
                          </w:rPr>
                          <w:t>measures</w:t>
                        </w:r>
                        <w:r>
                          <w:rPr>
                            <w:b/>
                            <w:color w:val="164194"/>
                            <w:spacing w:val="-7"/>
                            <w:sz w:val="28"/>
                          </w:rPr>
                          <w:t> </w:t>
                        </w:r>
                        <w:r>
                          <w:rPr>
                            <w:b/>
                            <w:color w:val="164194"/>
                            <w:sz w:val="28"/>
                          </w:rPr>
                          <w:t>to</w:t>
                        </w:r>
                        <w:r>
                          <w:rPr>
                            <w:b/>
                            <w:color w:val="164194"/>
                            <w:spacing w:val="-7"/>
                            <w:sz w:val="28"/>
                          </w:rPr>
                          <w:t> </w:t>
                        </w:r>
                        <w:r>
                          <w:rPr>
                            <w:b/>
                            <w:color w:val="164194"/>
                            <w:sz w:val="28"/>
                          </w:rPr>
                          <w:t>comply</w:t>
                        </w:r>
                        <w:r>
                          <w:rPr>
                            <w:b/>
                            <w:color w:val="164194"/>
                            <w:spacing w:val="-7"/>
                            <w:sz w:val="28"/>
                          </w:rPr>
                          <w:t> </w:t>
                        </w:r>
                        <w:r>
                          <w:rPr>
                            <w:b/>
                            <w:color w:val="164194"/>
                            <w:sz w:val="28"/>
                          </w:rPr>
                          <w:t>with</w:t>
                        </w:r>
                        <w:r>
                          <w:rPr>
                            <w:b/>
                            <w:color w:val="164194"/>
                            <w:spacing w:val="-7"/>
                            <w:sz w:val="28"/>
                          </w:rPr>
                          <w:t> </w:t>
                        </w:r>
                        <w:r>
                          <w:rPr>
                            <w:b/>
                            <w:color w:val="164194"/>
                            <w:sz w:val="28"/>
                          </w:rPr>
                          <w:t>the</w:t>
                        </w:r>
                        <w:r>
                          <w:rPr>
                            <w:b/>
                            <w:color w:val="164194"/>
                            <w:spacing w:val="-7"/>
                            <w:sz w:val="28"/>
                          </w:rPr>
                          <w:t> </w:t>
                        </w:r>
                        <w:r>
                          <w:rPr>
                            <w:b/>
                            <w:color w:val="164194"/>
                            <w:sz w:val="28"/>
                          </w:rPr>
                          <w:t>requirements</w:t>
                        </w:r>
                        <w:r>
                          <w:rPr>
                            <w:b/>
                            <w:color w:val="164194"/>
                            <w:spacing w:val="-7"/>
                            <w:sz w:val="28"/>
                          </w:rPr>
                          <w:t> </w:t>
                        </w:r>
                        <w:r>
                          <w:rPr>
                            <w:b/>
                            <w:color w:val="164194"/>
                            <w:sz w:val="28"/>
                          </w:rPr>
                          <w:t>set</w:t>
                        </w:r>
                        <w:r>
                          <w:rPr>
                            <w:b/>
                            <w:color w:val="164194"/>
                            <w:spacing w:val="-7"/>
                            <w:sz w:val="28"/>
                          </w:rPr>
                          <w:t> </w:t>
                        </w:r>
                        <w:r>
                          <w:rPr>
                            <w:b/>
                            <w:color w:val="164194"/>
                            <w:sz w:val="28"/>
                          </w:rPr>
                          <w:t>by</w:t>
                        </w:r>
                        <w:r>
                          <w:rPr>
                            <w:b/>
                            <w:color w:val="164194"/>
                            <w:spacing w:val="-7"/>
                            <w:sz w:val="28"/>
                          </w:rPr>
                          <w:t> </w:t>
                        </w:r>
                        <w:r>
                          <w:rPr>
                            <w:b/>
                            <w:color w:val="164194"/>
                            <w:sz w:val="28"/>
                          </w:rPr>
                          <w:t>the</w:t>
                        </w:r>
                        <w:r>
                          <w:rPr>
                            <w:b/>
                            <w:color w:val="164194"/>
                            <w:spacing w:val="-7"/>
                            <w:sz w:val="28"/>
                          </w:rPr>
                          <w:t> </w:t>
                        </w:r>
                        <w:r>
                          <w:rPr>
                            <w:b/>
                            <w:color w:val="164194"/>
                            <w:sz w:val="28"/>
                          </w:rPr>
                          <w:t>Pay Transparency Directive EU Directive 2023/970 by June 2026.</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85120">
                <wp:simplePos x="0" y="0"/>
                <wp:positionH relativeFrom="page">
                  <wp:posOffset>647994</wp:posOffset>
                </wp:positionH>
                <wp:positionV relativeFrom="paragraph">
                  <wp:posOffset>1118633</wp:posOffset>
                </wp:positionV>
                <wp:extent cx="6012180" cy="813435"/>
                <wp:effectExtent l="0" t="0" r="0" b="0"/>
                <wp:wrapTopAndBottom/>
                <wp:docPr id="524" name="Group 524"/>
                <wp:cNvGraphicFramePr>
                  <a:graphicFrameLocks/>
                </wp:cNvGraphicFramePr>
                <a:graphic>
                  <a:graphicData uri="http://schemas.microsoft.com/office/word/2010/wordprocessingGroup">
                    <wpg:wgp>
                      <wpg:cNvPr id="524" name="Group 524"/>
                      <wpg:cNvGrpSpPr/>
                      <wpg:grpSpPr>
                        <a:xfrm>
                          <a:off x="0" y="0"/>
                          <a:ext cx="6012180" cy="813435"/>
                          <a:chExt cx="6012180" cy="813435"/>
                        </a:xfrm>
                      </wpg:grpSpPr>
                      <wps:wsp>
                        <wps:cNvPr id="525" name="Graphic 525"/>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26" name="Textbox 526"/>
                        <wps:cNvSpPr txBox="1"/>
                        <wps:spPr>
                          <a:xfrm>
                            <a:off x="0" y="0"/>
                            <a:ext cx="6012180" cy="813435"/>
                          </a:xfrm>
                          <a:prstGeom prst="rect">
                            <a:avLst/>
                          </a:prstGeom>
                        </wps:spPr>
                        <wps:txbx>
                          <w:txbxContent>
                            <w:p>
                              <w:pPr>
                                <w:spacing w:line="232" w:lineRule="auto" w:before="121"/>
                                <w:ind w:left="340" w:right="1113" w:firstLine="0"/>
                                <w:jc w:val="both"/>
                                <w:rPr>
                                  <w:b/>
                                  <w:sz w:val="28"/>
                                </w:rPr>
                              </w:pPr>
                              <w:r>
                                <w:rPr>
                                  <w:b/>
                                  <w:color w:val="164194"/>
                                  <w:sz w:val="28"/>
                                </w:rPr>
                                <w:t>We</w:t>
                              </w:r>
                              <w:r>
                                <w:rPr>
                                  <w:b/>
                                  <w:color w:val="164194"/>
                                  <w:spacing w:val="-9"/>
                                  <w:sz w:val="28"/>
                                </w:rPr>
                                <w:t> </w:t>
                              </w:r>
                              <w:r>
                                <w:rPr>
                                  <w:b/>
                                  <w:color w:val="164194"/>
                                  <w:sz w:val="28"/>
                                </w:rPr>
                                <w:t>agree</w:t>
                              </w:r>
                              <w:r>
                                <w:rPr>
                                  <w:b/>
                                  <w:color w:val="164194"/>
                                  <w:spacing w:val="-9"/>
                                  <w:sz w:val="28"/>
                                </w:rPr>
                                <w:t> </w:t>
                              </w:r>
                              <w:r>
                                <w:rPr>
                                  <w:b/>
                                  <w:color w:val="164194"/>
                                  <w:sz w:val="28"/>
                                </w:rPr>
                                <w:t>with</w:t>
                              </w:r>
                              <w:r>
                                <w:rPr>
                                  <w:b/>
                                  <w:color w:val="164194"/>
                                  <w:spacing w:val="-8"/>
                                  <w:sz w:val="28"/>
                                </w:rPr>
                                <w:t> </w:t>
                              </w:r>
                              <w:r>
                                <w:rPr>
                                  <w:b/>
                                  <w:color w:val="164194"/>
                                  <w:sz w:val="28"/>
                                </w:rPr>
                                <w:t>the</w:t>
                              </w:r>
                              <w:r>
                                <w:rPr>
                                  <w:b/>
                                  <w:color w:val="164194"/>
                                  <w:spacing w:val="-9"/>
                                  <w:sz w:val="28"/>
                                </w:rPr>
                                <w:t> </w:t>
                              </w:r>
                              <w:r>
                                <w:rPr>
                                  <w:b/>
                                  <w:color w:val="164194"/>
                                  <w:sz w:val="28"/>
                                </w:rPr>
                                <w:t>ECNI</w:t>
                              </w:r>
                              <w:r>
                                <w:rPr>
                                  <w:b/>
                                  <w:color w:val="164194"/>
                                  <w:spacing w:val="-8"/>
                                  <w:sz w:val="28"/>
                                </w:rPr>
                                <w:t> </w:t>
                              </w:r>
                              <w:r>
                                <w:rPr>
                                  <w:b/>
                                  <w:color w:val="164194"/>
                                  <w:sz w:val="28"/>
                                </w:rPr>
                                <w:t>and</w:t>
                              </w:r>
                              <w:r>
                                <w:rPr>
                                  <w:b/>
                                  <w:color w:val="164194"/>
                                  <w:spacing w:val="-8"/>
                                  <w:sz w:val="28"/>
                                </w:rPr>
                                <w:t> </w:t>
                              </w:r>
                              <w:r>
                                <w:rPr>
                                  <w:b/>
                                  <w:color w:val="164194"/>
                                  <w:sz w:val="28"/>
                                </w:rPr>
                                <w:t>NIHRC</w:t>
                              </w:r>
                              <w:r>
                                <w:rPr>
                                  <w:b/>
                                  <w:color w:val="164194"/>
                                  <w:spacing w:val="-9"/>
                                  <w:sz w:val="28"/>
                                </w:rPr>
                                <w:t> </w:t>
                              </w:r>
                              <w:r>
                                <w:rPr>
                                  <w:b/>
                                  <w:color w:val="164194"/>
                                  <w:sz w:val="28"/>
                                </w:rPr>
                                <w:t>recommendation</w:t>
                              </w:r>
                              <w:r>
                                <w:rPr>
                                  <w:b/>
                                  <w:color w:val="164194"/>
                                  <w:spacing w:val="-8"/>
                                  <w:sz w:val="28"/>
                                </w:rPr>
                                <w:t> </w:t>
                              </w:r>
                              <w:r>
                                <w:rPr>
                                  <w:b/>
                                  <w:color w:val="164194"/>
                                  <w:sz w:val="28"/>
                                </w:rPr>
                                <w:t>that</w:t>
                              </w:r>
                              <w:r>
                                <w:rPr>
                                  <w:b/>
                                  <w:color w:val="164194"/>
                                  <w:spacing w:val="-8"/>
                                  <w:sz w:val="28"/>
                                </w:rPr>
                                <w:t> </w:t>
                              </w:r>
                              <w:r>
                                <w:rPr>
                                  <w:b/>
                                  <w:color w:val="164194"/>
                                  <w:sz w:val="28"/>
                                </w:rPr>
                                <w:t>all</w:t>
                              </w:r>
                              <w:r>
                                <w:rPr>
                                  <w:b/>
                                  <w:color w:val="164194"/>
                                  <w:spacing w:val="-8"/>
                                  <w:sz w:val="28"/>
                                </w:rPr>
                                <w:t> </w:t>
                              </w:r>
                              <w:r>
                                <w:rPr>
                                  <w:b/>
                                  <w:color w:val="164194"/>
                                  <w:sz w:val="28"/>
                                </w:rPr>
                                <w:t>relevant portions</w:t>
                              </w:r>
                              <w:r>
                                <w:rPr>
                                  <w:b/>
                                  <w:color w:val="164194"/>
                                  <w:spacing w:val="-8"/>
                                  <w:sz w:val="28"/>
                                </w:rPr>
                                <w:t> </w:t>
                              </w:r>
                              <w:r>
                                <w:rPr>
                                  <w:b/>
                                  <w:color w:val="164194"/>
                                  <w:sz w:val="28"/>
                                </w:rPr>
                                <w:t>of</w:t>
                              </w:r>
                              <w:r>
                                <w:rPr>
                                  <w:b/>
                                  <w:color w:val="164194"/>
                                  <w:spacing w:val="-9"/>
                                  <w:sz w:val="28"/>
                                </w:rPr>
                                <w:t> </w:t>
                              </w:r>
                              <w:r>
                                <w:rPr>
                                  <w:b/>
                                  <w:color w:val="164194"/>
                                  <w:sz w:val="28"/>
                                </w:rPr>
                                <w:t>the</w:t>
                              </w:r>
                              <w:r>
                                <w:rPr>
                                  <w:b/>
                                  <w:color w:val="164194"/>
                                  <w:spacing w:val="-9"/>
                                  <w:sz w:val="28"/>
                                </w:rPr>
                                <w:t> </w:t>
                              </w:r>
                              <w:r>
                                <w:rPr>
                                  <w:b/>
                                  <w:color w:val="164194"/>
                                  <w:sz w:val="28"/>
                                </w:rPr>
                                <w:t>Pay</w:t>
                              </w:r>
                              <w:r>
                                <w:rPr>
                                  <w:b/>
                                  <w:color w:val="164194"/>
                                  <w:spacing w:val="-8"/>
                                  <w:sz w:val="28"/>
                                </w:rPr>
                                <w:t> </w:t>
                              </w:r>
                              <w:r>
                                <w:rPr>
                                  <w:b/>
                                  <w:color w:val="164194"/>
                                  <w:sz w:val="28"/>
                                </w:rPr>
                                <w:t>Transparency</w:t>
                              </w:r>
                              <w:r>
                                <w:rPr>
                                  <w:b/>
                                  <w:color w:val="164194"/>
                                  <w:spacing w:val="-8"/>
                                  <w:sz w:val="28"/>
                                </w:rPr>
                                <w:t> </w:t>
                              </w:r>
                              <w:r>
                                <w:rPr>
                                  <w:b/>
                                  <w:color w:val="164194"/>
                                  <w:sz w:val="28"/>
                                </w:rPr>
                                <w:t>Directive</w:t>
                              </w:r>
                              <w:r>
                                <w:rPr>
                                  <w:b/>
                                  <w:color w:val="164194"/>
                                  <w:spacing w:val="-9"/>
                                  <w:sz w:val="28"/>
                                </w:rPr>
                                <w:t> </w:t>
                              </w:r>
                              <w:r>
                                <w:rPr>
                                  <w:b/>
                                  <w:color w:val="164194"/>
                                  <w:sz w:val="28"/>
                                </w:rPr>
                                <w:t>should</w:t>
                              </w:r>
                              <w:r>
                                <w:rPr>
                                  <w:b/>
                                  <w:color w:val="164194"/>
                                  <w:spacing w:val="-8"/>
                                  <w:sz w:val="28"/>
                                </w:rPr>
                                <w:t> </w:t>
                              </w:r>
                              <w:r>
                                <w:rPr>
                                  <w:b/>
                                  <w:color w:val="164194"/>
                                  <w:sz w:val="28"/>
                                </w:rPr>
                                <w:t>be</w:t>
                              </w:r>
                              <w:r>
                                <w:rPr>
                                  <w:b/>
                                  <w:color w:val="164194"/>
                                  <w:spacing w:val="-9"/>
                                  <w:sz w:val="28"/>
                                </w:rPr>
                                <w:t> </w:t>
                              </w:r>
                              <w:r>
                                <w:rPr>
                                  <w:b/>
                                  <w:color w:val="164194"/>
                                  <w:sz w:val="28"/>
                                </w:rPr>
                                <w:t>transposed</w:t>
                              </w:r>
                              <w:r>
                                <w:rPr>
                                  <w:b/>
                                  <w:color w:val="164194"/>
                                  <w:spacing w:val="-8"/>
                                  <w:sz w:val="28"/>
                                </w:rPr>
                                <w:t> </w:t>
                              </w:r>
                              <w:r>
                                <w:rPr>
                                  <w:b/>
                                  <w:color w:val="164194"/>
                                  <w:sz w:val="28"/>
                                </w:rPr>
                                <w:t>into Northern Ireland law, further to obligations in the WF.</w:t>
                              </w:r>
                            </w:p>
                          </w:txbxContent>
                        </wps:txbx>
                        <wps:bodyPr wrap="square" lIns="0" tIns="0" rIns="0" bIns="0" rtlCol="0">
                          <a:noAutofit/>
                        </wps:bodyPr>
                      </wps:wsp>
                    </wpg:wgp>
                  </a:graphicData>
                </a:graphic>
              </wp:anchor>
            </w:drawing>
          </mc:Choice>
          <mc:Fallback>
            <w:pict>
              <v:group style="position:absolute;margin-left:51.023201pt;margin-top:88.08136pt;width:473.4pt;height:64.05pt;mso-position-horizontal-relative:page;mso-position-vertical-relative:paragraph;z-index:-15631360;mso-wrap-distance-left:0;mso-wrap-distance-right:0" id="docshapegroup417" coordorigin="1020,1762" coordsize="9468,1281">
                <v:shape style="position:absolute;left:1020;top:1761;width:9468;height:1281" id="docshape418" coordorigin="1020,1762" coordsize="9468,1281" path="m10261,1762l1247,1762,1176,1773,1113,1805,1064,1854,1032,1917,1020,1988,1020,2815,1032,2887,1064,2949,1113,2998,1176,3030,1247,3042,10261,3042,10333,3030,10395,2998,10444,2949,10477,2887,10488,2815,10488,1988,10477,1917,10444,1854,10395,1805,10333,1773,10261,1762xe" filled="true" fillcolor="#e9f3fc" stroked="false">
                  <v:path arrowok="t"/>
                  <v:fill type="solid"/>
                </v:shape>
                <v:shape style="position:absolute;left:1020;top:1761;width:9468;height:1281" type="#_x0000_t202" id="docshape419" filled="false" stroked="false">
                  <v:textbox inset="0,0,0,0">
                    <w:txbxContent>
                      <w:p>
                        <w:pPr>
                          <w:spacing w:line="232" w:lineRule="auto" w:before="121"/>
                          <w:ind w:left="340" w:right="1113" w:firstLine="0"/>
                          <w:jc w:val="both"/>
                          <w:rPr>
                            <w:b/>
                            <w:sz w:val="28"/>
                          </w:rPr>
                        </w:pPr>
                        <w:r>
                          <w:rPr>
                            <w:b/>
                            <w:color w:val="164194"/>
                            <w:sz w:val="28"/>
                          </w:rPr>
                          <w:t>We</w:t>
                        </w:r>
                        <w:r>
                          <w:rPr>
                            <w:b/>
                            <w:color w:val="164194"/>
                            <w:spacing w:val="-9"/>
                            <w:sz w:val="28"/>
                          </w:rPr>
                          <w:t> </w:t>
                        </w:r>
                        <w:r>
                          <w:rPr>
                            <w:b/>
                            <w:color w:val="164194"/>
                            <w:sz w:val="28"/>
                          </w:rPr>
                          <w:t>agree</w:t>
                        </w:r>
                        <w:r>
                          <w:rPr>
                            <w:b/>
                            <w:color w:val="164194"/>
                            <w:spacing w:val="-9"/>
                            <w:sz w:val="28"/>
                          </w:rPr>
                          <w:t> </w:t>
                        </w:r>
                        <w:r>
                          <w:rPr>
                            <w:b/>
                            <w:color w:val="164194"/>
                            <w:sz w:val="28"/>
                          </w:rPr>
                          <w:t>with</w:t>
                        </w:r>
                        <w:r>
                          <w:rPr>
                            <w:b/>
                            <w:color w:val="164194"/>
                            <w:spacing w:val="-8"/>
                            <w:sz w:val="28"/>
                          </w:rPr>
                          <w:t> </w:t>
                        </w:r>
                        <w:r>
                          <w:rPr>
                            <w:b/>
                            <w:color w:val="164194"/>
                            <w:sz w:val="28"/>
                          </w:rPr>
                          <w:t>the</w:t>
                        </w:r>
                        <w:r>
                          <w:rPr>
                            <w:b/>
                            <w:color w:val="164194"/>
                            <w:spacing w:val="-9"/>
                            <w:sz w:val="28"/>
                          </w:rPr>
                          <w:t> </w:t>
                        </w:r>
                        <w:r>
                          <w:rPr>
                            <w:b/>
                            <w:color w:val="164194"/>
                            <w:sz w:val="28"/>
                          </w:rPr>
                          <w:t>ECNI</w:t>
                        </w:r>
                        <w:r>
                          <w:rPr>
                            <w:b/>
                            <w:color w:val="164194"/>
                            <w:spacing w:val="-8"/>
                            <w:sz w:val="28"/>
                          </w:rPr>
                          <w:t> </w:t>
                        </w:r>
                        <w:r>
                          <w:rPr>
                            <w:b/>
                            <w:color w:val="164194"/>
                            <w:sz w:val="28"/>
                          </w:rPr>
                          <w:t>and</w:t>
                        </w:r>
                        <w:r>
                          <w:rPr>
                            <w:b/>
                            <w:color w:val="164194"/>
                            <w:spacing w:val="-8"/>
                            <w:sz w:val="28"/>
                          </w:rPr>
                          <w:t> </w:t>
                        </w:r>
                        <w:r>
                          <w:rPr>
                            <w:b/>
                            <w:color w:val="164194"/>
                            <w:sz w:val="28"/>
                          </w:rPr>
                          <w:t>NIHRC</w:t>
                        </w:r>
                        <w:r>
                          <w:rPr>
                            <w:b/>
                            <w:color w:val="164194"/>
                            <w:spacing w:val="-9"/>
                            <w:sz w:val="28"/>
                          </w:rPr>
                          <w:t> </w:t>
                        </w:r>
                        <w:r>
                          <w:rPr>
                            <w:b/>
                            <w:color w:val="164194"/>
                            <w:sz w:val="28"/>
                          </w:rPr>
                          <w:t>recommendation</w:t>
                        </w:r>
                        <w:r>
                          <w:rPr>
                            <w:b/>
                            <w:color w:val="164194"/>
                            <w:spacing w:val="-8"/>
                            <w:sz w:val="28"/>
                          </w:rPr>
                          <w:t> </w:t>
                        </w:r>
                        <w:r>
                          <w:rPr>
                            <w:b/>
                            <w:color w:val="164194"/>
                            <w:sz w:val="28"/>
                          </w:rPr>
                          <w:t>that</w:t>
                        </w:r>
                        <w:r>
                          <w:rPr>
                            <w:b/>
                            <w:color w:val="164194"/>
                            <w:spacing w:val="-8"/>
                            <w:sz w:val="28"/>
                          </w:rPr>
                          <w:t> </w:t>
                        </w:r>
                        <w:r>
                          <w:rPr>
                            <w:b/>
                            <w:color w:val="164194"/>
                            <w:sz w:val="28"/>
                          </w:rPr>
                          <w:t>all</w:t>
                        </w:r>
                        <w:r>
                          <w:rPr>
                            <w:b/>
                            <w:color w:val="164194"/>
                            <w:spacing w:val="-8"/>
                            <w:sz w:val="28"/>
                          </w:rPr>
                          <w:t> </w:t>
                        </w:r>
                        <w:r>
                          <w:rPr>
                            <w:b/>
                            <w:color w:val="164194"/>
                            <w:sz w:val="28"/>
                          </w:rPr>
                          <w:t>relevant portions</w:t>
                        </w:r>
                        <w:r>
                          <w:rPr>
                            <w:b/>
                            <w:color w:val="164194"/>
                            <w:spacing w:val="-8"/>
                            <w:sz w:val="28"/>
                          </w:rPr>
                          <w:t> </w:t>
                        </w:r>
                        <w:r>
                          <w:rPr>
                            <w:b/>
                            <w:color w:val="164194"/>
                            <w:sz w:val="28"/>
                          </w:rPr>
                          <w:t>of</w:t>
                        </w:r>
                        <w:r>
                          <w:rPr>
                            <w:b/>
                            <w:color w:val="164194"/>
                            <w:spacing w:val="-9"/>
                            <w:sz w:val="28"/>
                          </w:rPr>
                          <w:t> </w:t>
                        </w:r>
                        <w:r>
                          <w:rPr>
                            <w:b/>
                            <w:color w:val="164194"/>
                            <w:sz w:val="28"/>
                          </w:rPr>
                          <w:t>the</w:t>
                        </w:r>
                        <w:r>
                          <w:rPr>
                            <w:b/>
                            <w:color w:val="164194"/>
                            <w:spacing w:val="-9"/>
                            <w:sz w:val="28"/>
                          </w:rPr>
                          <w:t> </w:t>
                        </w:r>
                        <w:r>
                          <w:rPr>
                            <w:b/>
                            <w:color w:val="164194"/>
                            <w:sz w:val="28"/>
                          </w:rPr>
                          <w:t>Pay</w:t>
                        </w:r>
                        <w:r>
                          <w:rPr>
                            <w:b/>
                            <w:color w:val="164194"/>
                            <w:spacing w:val="-8"/>
                            <w:sz w:val="28"/>
                          </w:rPr>
                          <w:t> </w:t>
                        </w:r>
                        <w:r>
                          <w:rPr>
                            <w:b/>
                            <w:color w:val="164194"/>
                            <w:sz w:val="28"/>
                          </w:rPr>
                          <w:t>Transparency</w:t>
                        </w:r>
                        <w:r>
                          <w:rPr>
                            <w:b/>
                            <w:color w:val="164194"/>
                            <w:spacing w:val="-8"/>
                            <w:sz w:val="28"/>
                          </w:rPr>
                          <w:t> </w:t>
                        </w:r>
                        <w:r>
                          <w:rPr>
                            <w:b/>
                            <w:color w:val="164194"/>
                            <w:sz w:val="28"/>
                          </w:rPr>
                          <w:t>Directive</w:t>
                        </w:r>
                        <w:r>
                          <w:rPr>
                            <w:b/>
                            <w:color w:val="164194"/>
                            <w:spacing w:val="-9"/>
                            <w:sz w:val="28"/>
                          </w:rPr>
                          <w:t> </w:t>
                        </w:r>
                        <w:r>
                          <w:rPr>
                            <w:b/>
                            <w:color w:val="164194"/>
                            <w:sz w:val="28"/>
                          </w:rPr>
                          <w:t>should</w:t>
                        </w:r>
                        <w:r>
                          <w:rPr>
                            <w:b/>
                            <w:color w:val="164194"/>
                            <w:spacing w:val="-8"/>
                            <w:sz w:val="28"/>
                          </w:rPr>
                          <w:t> </w:t>
                        </w:r>
                        <w:r>
                          <w:rPr>
                            <w:b/>
                            <w:color w:val="164194"/>
                            <w:sz w:val="28"/>
                          </w:rPr>
                          <w:t>be</w:t>
                        </w:r>
                        <w:r>
                          <w:rPr>
                            <w:b/>
                            <w:color w:val="164194"/>
                            <w:spacing w:val="-9"/>
                            <w:sz w:val="28"/>
                          </w:rPr>
                          <w:t> </w:t>
                        </w:r>
                        <w:r>
                          <w:rPr>
                            <w:b/>
                            <w:color w:val="164194"/>
                            <w:sz w:val="28"/>
                          </w:rPr>
                          <w:t>transposed</w:t>
                        </w:r>
                        <w:r>
                          <w:rPr>
                            <w:b/>
                            <w:color w:val="164194"/>
                            <w:spacing w:val="-8"/>
                            <w:sz w:val="28"/>
                          </w:rPr>
                          <w:t> </w:t>
                        </w:r>
                        <w:r>
                          <w:rPr>
                            <w:b/>
                            <w:color w:val="164194"/>
                            <w:sz w:val="28"/>
                          </w:rPr>
                          <w:t>into Northern Ireland law, further to obligations in the WF.</w:t>
                        </w:r>
                      </w:p>
                    </w:txbxContent>
                  </v:textbox>
                  <w10:wrap type="none"/>
                </v:shape>
                <w10:wrap type="topAndBottom"/>
              </v:group>
            </w:pict>
          </mc:Fallback>
        </mc:AlternateContent>
      </w:r>
    </w:p>
    <w:p>
      <w:pPr>
        <w:pStyle w:val="BodyText"/>
        <w:rPr>
          <w:sz w:val="16"/>
        </w:rPr>
      </w:pPr>
    </w:p>
    <w:p>
      <w:pPr>
        <w:pStyle w:val="BodyText"/>
        <w:spacing w:before="1"/>
      </w:pPr>
    </w:p>
    <w:p>
      <w:pPr>
        <w:pStyle w:val="Heading3"/>
        <w:numPr>
          <w:ilvl w:val="2"/>
          <w:numId w:val="21"/>
        </w:numPr>
        <w:tabs>
          <w:tab w:pos="1358" w:val="left" w:leader="none"/>
        </w:tabs>
        <w:spacing w:line="336" w:lineRule="exact" w:before="0" w:after="0"/>
        <w:ind w:left="1358" w:right="0" w:hanging="638"/>
        <w:jc w:val="left"/>
      </w:pPr>
      <w:r>
        <w:rPr>
          <w:color w:val="004A93"/>
          <w:spacing w:val="-4"/>
        </w:rPr>
        <w:t>Work-Life</w:t>
      </w:r>
      <w:r>
        <w:rPr>
          <w:color w:val="004A93"/>
          <w:spacing w:val="4"/>
        </w:rPr>
        <w:t> </w:t>
      </w:r>
      <w:r>
        <w:rPr>
          <w:color w:val="004A93"/>
          <w:spacing w:val="-4"/>
        </w:rPr>
        <w:t>Balance</w:t>
      </w:r>
    </w:p>
    <w:p>
      <w:pPr>
        <w:pStyle w:val="BodyText"/>
        <w:spacing w:line="232" w:lineRule="auto" w:before="3"/>
        <w:ind w:left="720" w:right="1250"/>
      </w:pPr>
      <w:r>
        <w:rPr/>
        <w:t>The</w:t>
      </w:r>
      <w:r>
        <w:rPr>
          <w:spacing w:val="-7"/>
        </w:rPr>
        <w:t> </w:t>
      </w:r>
      <w:r>
        <w:rPr/>
        <w:t>European</w:t>
      </w:r>
      <w:r>
        <w:rPr>
          <w:spacing w:val="-8"/>
        </w:rPr>
        <w:t> </w:t>
      </w:r>
      <w:r>
        <w:rPr/>
        <w:t>Union</w:t>
      </w:r>
      <w:r>
        <w:rPr>
          <w:spacing w:val="-8"/>
        </w:rPr>
        <w:t> </w:t>
      </w:r>
      <w:r>
        <w:rPr/>
        <w:t>has</w:t>
      </w:r>
      <w:r>
        <w:rPr>
          <w:spacing w:val="-8"/>
        </w:rPr>
        <w:t> </w:t>
      </w:r>
      <w:r>
        <w:rPr/>
        <w:t>adopted</w:t>
      </w:r>
      <w:r>
        <w:rPr>
          <w:spacing w:val="-8"/>
        </w:rPr>
        <w:t> </w:t>
      </w:r>
      <w:r>
        <w:rPr/>
        <w:t>a</w:t>
      </w:r>
      <w:r>
        <w:rPr>
          <w:spacing w:val="-8"/>
        </w:rPr>
        <w:t> </w:t>
      </w:r>
      <w:r>
        <w:rPr/>
        <w:t>directive</w:t>
      </w:r>
      <w:r>
        <w:rPr>
          <w:spacing w:val="-7"/>
        </w:rPr>
        <w:t> </w:t>
      </w:r>
      <w:r>
        <w:rPr/>
        <w:t>on</w:t>
      </w:r>
      <w:r>
        <w:rPr>
          <w:spacing w:val="-8"/>
        </w:rPr>
        <w:t> </w:t>
      </w:r>
      <w:r>
        <w:rPr>
          <w:b/>
        </w:rPr>
        <w:t>Work-Life</w:t>
      </w:r>
      <w:r>
        <w:rPr>
          <w:b/>
          <w:spacing w:val="-8"/>
        </w:rPr>
        <w:t> </w:t>
      </w:r>
      <w:r>
        <w:rPr>
          <w:b/>
        </w:rPr>
        <w:t>Balance</w:t>
      </w:r>
      <w:r>
        <w:rPr>
          <w:b/>
          <w:spacing w:val="-6"/>
        </w:rPr>
        <w:t> </w:t>
      </w:r>
      <w:r>
        <w:rPr/>
        <w:t>for</w:t>
      </w:r>
      <w:r>
        <w:rPr>
          <w:spacing w:val="-7"/>
        </w:rPr>
        <w:t> </w:t>
      </w:r>
      <w:r>
        <w:rPr/>
        <w:t>parents</w:t>
      </w:r>
      <w:r>
        <w:rPr>
          <w:spacing w:val="-8"/>
        </w:rPr>
        <w:t> </w:t>
      </w:r>
      <w:r>
        <w:rPr/>
        <w:t>and carers.</w:t>
      </w:r>
      <w:r>
        <w:rPr>
          <w:vertAlign w:val="superscript"/>
        </w:rPr>
        <w:t>317</w:t>
      </w:r>
      <w:r>
        <w:rPr>
          <w:vertAlign w:val="baseline"/>
        </w:rPr>
        <w:t> The Directive explicitly provides for two-month non-transferable period of leave for parents so as to encourage fathers to take up their leave (rather than</w:t>
      </w:r>
    </w:p>
    <w:p>
      <w:pPr>
        <w:pStyle w:val="BodyText"/>
        <w:rPr>
          <w:sz w:val="20"/>
        </w:rPr>
      </w:pPr>
    </w:p>
    <w:p>
      <w:pPr>
        <w:pStyle w:val="BodyText"/>
        <w:rPr>
          <w:sz w:val="20"/>
        </w:rPr>
      </w:pPr>
    </w:p>
    <w:p>
      <w:pPr>
        <w:pStyle w:val="BodyText"/>
        <w:spacing w:before="83"/>
        <w:rPr>
          <w:sz w:val="20"/>
        </w:rPr>
      </w:pPr>
      <w:r>
        <w:rPr/>
        <mc:AlternateContent>
          <mc:Choice Requires="wps">
            <w:drawing>
              <wp:anchor distT="0" distB="0" distL="0" distR="0" allowOverlap="1" layoutInCell="1" locked="0" behindDoc="1" simplePos="0" relativeHeight="487685632">
                <wp:simplePos x="0" y="0"/>
                <wp:positionH relativeFrom="page">
                  <wp:posOffset>647999</wp:posOffset>
                </wp:positionH>
                <wp:positionV relativeFrom="paragraph">
                  <wp:posOffset>223018</wp:posOffset>
                </wp:positionV>
                <wp:extent cx="6012180" cy="1270"/>
                <wp:effectExtent l="0" t="0" r="0" b="0"/>
                <wp:wrapTopAndBottom/>
                <wp:docPr id="527" name="Graphic 527"/>
                <wp:cNvGraphicFramePr>
                  <a:graphicFrameLocks/>
                </wp:cNvGraphicFramePr>
                <a:graphic>
                  <a:graphicData uri="http://schemas.microsoft.com/office/word/2010/wordprocessingShape">
                    <wps:wsp>
                      <wps:cNvPr id="527" name="Graphic 52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7.560526pt;width:473.4pt;height:.1pt;mso-position-horizontal-relative:page;mso-position-vertical-relative:paragraph;z-index:-15630848;mso-wrap-distance-left:0;mso-wrap-distance-right:0" id="docshape420" coordorigin="1020,351" coordsize="9468,0" path="m1020,351l10488,351e" filled="false" stroked="true" strokeweight=".5pt" strokecolor="#36a9e1">
                <v:path arrowok="t"/>
                <v:stroke dashstyle="solid"/>
                <w10:wrap type="topAndBottom"/>
              </v:shape>
            </w:pict>
          </mc:Fallback>
        </mc:AlternateContent>
      </w:r>
    </w:p>
    <w:p>
      <w:pPr>
        <w:pStyle w:val="ListParagraph"/>
        <w:numPr>
          <w:ilvl w:val="0"/>
          <w:numId w:val="18"/>
        </w:numPr>
        <w:tabs>
          <w:tab w:pos="1286" w:val="left" w:leader="none"/>
        </w:tabs>
        <w:spacing w:line="240" w:lineRule="auto" w:before="43" w:after="0"/>
        <w:ind w:left="1286" w:right="0" w:hanging="566"/>
        <w:jc w:val="both"/>
        <w:rPr>
          <w:sz w:val="18"/>
        </w:rPr>
      </w:pPr>
      <w:r>
        <w:rPr>
          <w:color w:val="1D71B8"/>
          <w:sz w:val="18"/>
          <w:u w:val="single" w:color="1D71B8"/>
        </w:rPr>
        <w:t>Gender</w:t>
      </w:r>
      <w:r>
        <w:rPr>
          <w:color w:val="1D71B8"/>
          <w:spacing w:val="-5"/>
          <w:sz w:val="18"/>
          <w:u w:val="single" w:color="1D71B8"/>
        </w:rPr>
        <w:t> </w:t>
      </w:r>
      <w:r>
        <w:rPr>
          <w:color w:val="1D71B8"/>
          <w:sz w:val="18"/>
          <w:u w:val="single" w:color="1D71B8"/>
        </w:rPr>
        <w:t>Pay</w:t>
      </w:r>
      <w:r>
        <w:rPr>
          <w:color w:val="1D71B8"/>
          <w:spacing w:val="-5"/>
          <w:sz w:val="18"/>
          <w:u w:val="single" w:color="1D71B8"/>
        </w:rPr>
        <w:t> </w:t>
      </w:r>
      <w:r>
        <w:rPr>
          <w:color w:val="1D71B8"/>
          <w:sz w:val="18"/>
          <w:u w:val="single" w:color="1D71B8"/>
        </w:rPr>
        <w:t>Gap</w:t>
      </w:r>
      <w:r>
        <w:rPr>
          <w:color w:val="1D71B8"/>
          <w:spacing w:val="-6"/>
          <w:sz w:val="18"/>
          <w:u w:val="single" w:color="1D71B8"/>
        </w:rPr>
        <w:t> </w:t>
      </w:r>
      <w:r>
        <w:rPr>
          <w:color w:val="1D71B8"/>
          <w:sz w:val="18"/>
          <w:u w:val="single" w:color="1D71B8"/>
        </w:rPr>
        <w:t>Information</w:t>
      </w:r>
      <w:r>
        <w:rPr>
          <w:color w:val="1D71B8"/>
          <w:spacing w:val="-5"/>
          <w:sz w:val="18"/>
          <w:u w:val="single" w:color="1D71B8"/>
        </w:rPr>
        <w:t> </w:t>
      </w:r>
      <w:r>
        <w:rPr>
          <w:color w:val="1D71B8"/>
          <w:sz w:val="18"/>
          <w:u w:val="single" w:color="1D71B8"/>
        </w:rPr>
        <w:t>Act</w:t>
      </w:r>
      <w:r>
        <w:rPr>
          <w:color w:val="1D71B8"/>
          <w:spacing w:val="-4"/>
          <w:sz w:val="18"/>
          <w:u w:val="single" w:color="1D71B8"/>
        </w:rPr>
        <w:t> </w:t>
      </w:r>
      <w:r>
        <w:rPr>
          <w:color w:val="1D71B8"/>
          <w:spacing w:val="-2"/>
          <w:sz w:val="18"/>
          <w:u w:val="single" w:color="1D71B8"/>
        </w:rPr>
        <w:t>2021</w:t>
      </w:r>
      <w:r>
        <w:rPr>
          <w:spacing w:val="-2"/>
          <w:sz w:val="18"/>
          <w:u w:val="none"/>
        </w:rPr>
        <w:t>.</w:t>
      </w:r>
    </w:p>
    <w:p>
      <w:pPr>
        <w:pStyle w:val="ListParagraph"/>
        <w:numPr>
          <w:ilvl w:val="0"/>
          <w:numId w:val="18"/>
        </w:numPr>
        <w:tabs>
          <w:tab w:pos="1287" w:val="left" w:leader="none"/>
        </w:tabs>
        <w:spacing w:line="240" w:lineRule="auto" w:before="1" w:after="0"/>
        <w:ind w:left="1287" w:right="1378"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 47.</w:t>
      </w:r>
    </w:p>
    <w:p>
      <w:pPr>
        <w:pStyle w:val="ListParagraph"/>
        <w:numPr>
          <w:ilvl w:val="0"/>
          <w:numId w:val="18"/>
        </w:numPr>
        <w:tabs>
          <w:tab w:pos="1286" w:val="left" w:leader="none"/>
        </w:tabs>
        <w:spacing w:line="240" w:lineRule="auto" w:before="0" w:after="0"/>
        <w:ind w:left="1286" w:right="0" w:hanging="566"/>
        <w:jc w:val="both"/>
        <w:rPr>
          <w:sz w:val="18"/>
        </w:rPr>
      </w:pPr>
      <w:r>
        <w:rPr>
          <w:color w:val="1D71B8"/>
          <w:sz w:val="18"/>
          <w:u w:val="single" w:color="1D71B8"/>
        </w:rPr>
        <w:t>Written</w:t>
      </w:r>
      <w:r>
        <w:rPr>
          <w:color w:val="1D71B8"/>
          <w:spacing w:val="-8"/>
          <w:sz w:val="18"/>
          <w:u w:val="single" w:color="1D71B8"/>
        </w:rPr>
        <w:t> </w:t>
      </w:r>
      <w:r>
        <w:rPr>
          <w:color w:val="1D71B8"/>
          <w:sz w:val="18"/>
          <w:u w:val="single" w:color="1D71B8"/>
        </w:rPr>
        <w:t>answer</w:t>
      </w:r>
      <w:r>
        <w:rPr>
          <w:color w:val="1D71B8"/>
          <w:spacing w:val="-6"/>
          <w:sz w:val="18"/>
          <w:u w:val="single" w:color="1D71B8"/>
        </w:rPr>
        <w:t> </w:t>
      </w:r>
      <w:r>
        <w:rPr>
          <w:color w:val="1D71B8"/>
          <w:sz w:val="18"/>
          <w:u w:val="single" w:color="1D71B8"/>
        </w:rPr>
        <w:t>to</w:t>
      </w:r>
      <w:r>
        <w:rPr>
          <w:color w:val="1D71B8"/>
          <w:spacing w:val="-7"/>
          <w:sz w:val="18"/>
          <w:u w:val="single" w:color="1D71B8"/>
        </w:rPr>
        <w:t> </w:t>
      </w:r>
      <w:r>
        <w:rPr>
          <w:color w:val="1D71B8"/>
          <w:sz w:val="18"/>
          <w:u w:val="single" w:color="1D71B8"/>
        </w:rPr>
        <w:t>question</w:t>
      </w:r>
      <w:r>
        <w:rPr>
          <w:color w:val="1D71B8"/>
          <w:spacing w:val="-7"/>
          <w:sz w:val="18"/>
          <w:u w:val="single" w:color="1D71B8"/>
        </w:rPr>
        <w:t> </w:t>
      </w:r>
      <w:r>
        <w:rPr>
          <w:color w:val="1D71B8"/>
          <w:sz w:val="18"/>
          <w:u w:val="single" w:color="1D71B8"/>
        </w:rPr>
        <w:t>in</w:t>
      </w:r>
      <w:r>
        <w:rPr>
          <w:color w:val="1D71B8"/>
          <w:spacing w:val="-7"/>
          <w:sz w:val="18"/>
          <w:u w:val="single" w:color="1D71B8"/>
        </w:rPr>
        <w:t> </w:t>
      </w:r>
      <w:r>
        <w:rPr>
          <w:color w:val="1D71B8"/>
          <w:sz w:val="18"/>
          <w:u w:val="single" w:color="1D71B8"/>
        </w:rPr>
        <w:t>gender</w:t>
      </w:r>
      <w:r>
        <w:rPr>
          <w:color w:val="1D71B8"/>
          <w:spacing w:val="-6"/>
          <w:sz w:val="18"/>
          <w:u w:val="single" w:color="1D71B8"/>
        </w:rPr>
        <w:t> </w:t>
      </w:r>
      <w:r>
        <w:rPr>
          <w:color w:val="1D71B8"/>
          <w:sz w:val="18"/>
          <w:u w:val="single" w:color="1D71B8"/>
        </w:rPr>
        <w:t>equality,</w:t>
      </w:r>
      <w:r>
        <w:rPr>
          <w:color w:val="1D71B8"/>
          <w:spacing w:val="-6"/>
          <w:sz w:val="18"/>
          <w:u w:val="single" w:color="1D71B8"/>
        </w:rPr>
        <w:t> </w:t>
      </w:r>
      <w:r>
        <w:rPr>
          <w:color w:val="1D71B8"/>
          <w:sz w:val="18"/>
          <w:u w:val="single" w:color="1D71B8"/>
        </w:rPr>
        <w:t>14</w:t>
      </w:r>
      <w:r>
        <w:rPr>
          <w:color w:val="1D71B8"/>
          <w:spacing w:val="-7"/>
          <w:sz w:val="18"/>
          <w:u w:val="single" w:color="1D71B8"/>
        </w:rPr>
        <w:t> </w:t>
      </w:r>
      <w:r>
        <w:rPr>
          <w:color w:val="1D71B8"/>
          <w:sz w:val="18"/>
          <w:u w:val="single" w:color="1D71B8"/>
        </w:rPr>
        <w:t>November</w:t>
      </w:r>
      <w:r>
        <w:rPr>
          <w:color w:val="1D71B8"/>
          <w:spacing w:val="-6"/>
          <w:sz w:val="18"/>
          <w:u w:val="single" w:color="1D71B8"/>
        </w:rPr>
        <w:t> </w:t>
      </w:r>
      <w:r>
        <w:rPr>
          <w:color w:val="1D71B8"/>
          <w:spacing w:val="-2"/>
          <w:sz w:val="18"/>
          <w:u w:val="single" w:color="1D71B8"/>
        </w:rPr>
        <w:t>2023</w:t>
      </w:r>
      <w:r>
        <w:rPr>
          <w:spacing w:val="-2"/>
          <w:sz w:val="18"/>
          <w:u w:val="none"/>
        </w:rPr>
        <w:t>.</w:t>
      </w:r>
    </w:p>
    <w:p>
      <w:pPr>
        <w:pStyle w:val="ListParagraph"/>
        <w:numPr>
          <w:ilvl w:val="0"/>
          <w:numId w:val="18"/>
        </w:numPr>
        <w:tabs>
          <w:tab w:pos="1287" w:val="left" w:leader="none"/>
        </w:tabs>
        <w:spacing w:line="240" w:lineRule="auto" w:before="1" w:after="0"/>
        <w:ind w:left="1287" w:right="1206" w:hanging="567"/>
        <w:jc w:val="both"/>
        <w:rPr>
          <w:sz w:val="18"/>
        </w:rPr>
      </w:pPr>
      <w:r>
        <w:rPr>
          <w:color w:val="1D71B8"/>
          <w:sz w:val="18"/>
          <w:u w:val="single" w:color="1D71B8"/>
        </w:rPr>
        <w:t>Directive</w:t>
      </w:r>
      <w:r>
        <w:rPr>
          <w:color w:val="1D71B8"/>
          <w:spacing w:val="-4"/>
          <w:sz w:val="18"/>
          <w:u w:val="single" w:color="1D71B8"/>
        </w:rPr>
        <w:t> </w:t>
      </w:r>
      <w:r>
        <w:rPr>
          <w:color w:val="1D71B8"/>
          <w:sz w:val="18"/>
          <w:u w:val="single" w:color="1D71B8"/>
        </w:rPr>
        <w:t>2019/1158/EU</w:t>
      </w:r>
      <w:r>
        <w:rPr>
          <w:color w:val="1D71B8"/>
          <w:spacing w:val="-6"/>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w:t>
      </w:r>
      <w:r>
        <w:rPr>
          <w:spacing w:val="-4"/>
          <w:sz w:val="18"/>
          <w:u w:val="none"/>
        </w:rPr>
        <w:t> </w:t>
      </w:r>
      <w:r>
        <w:rPr>
          <w:sz w:val="18"/>
          <w:u w:val="none"/>
        </w:rPr>
        <w:t>and</w:t>
      </w:r>
      <w:r>
        <w:rPr>
          <w:spacing w:val="-5"/>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Council</w:t>
      </w:r>
      <w:r>
        <w:rPr>
          <w:spacing w:val="-5"/>
          <w:sz w:val="18"/>
          <w:u w:val="none"/>
        </w:rPr>
        <w:t> </w:t>
      </w:r>
      <w:r>
        <w:rPr>
          <w:sz w:val="18"/>
          <w:u w:val="none"/>
        </w:rPr>
        <w:t>of</w:t>
      </w:r>
      <w:r>
        <w:rPr>
          <w:spacing w:val="-5"/>
          <w:sz w:val="18"/>
          <w:u w:val="none"/>
        </w:rPr>
        <w:t> </w:t>
      </w:r>
      <w:r>
        <w:rPr>
          <w:sz w:val="18"/>
          <w:u w:val="none"/>
        </w:rPr>
        <w:t>20</w:t>
      </w:r>
      <w:r>
        <w:rPr>
          <w:spacing w:val="-4"/>
          <w:sz w:val="18"/>
          <w:u w:val="none"/>
        </w:rPr>
        <w:t> </w:t>
      </w:r>
      <w:r>
        <w:rPr>
          <w:sz w:val="18"/>
          <w:u w:val="none"/>
        </w:rPr>
        <w:t>June</w:t>
      </w:r>
      <w:r>
        <w:rPr>
          <w:spacing w:val="-4"/>
          <w:sz w:val="18"/>
          <w:u w:val="none"/>
        </w:rPr>
        <w:t> </w:t>
      </w:r>
      <w:r>
        <w:rPr>
          <w:sz w:val="18"/>
          <w:u w:val="none"/>
        </w:rPr>
        <w:t>2019</w:t>
      </w:r>
      <w:r>
        <w:rPr>
          <w:spacing w:val="-4"/>
          <w:sz w:val="18"/>
          <w:u w:val="none"/>
        </w:rPr>
        <w:t> </w:t>
      </w:r>
      <w:r>
        <w:rPr>
          <w:sz w:val="18"/>
          <w:u w:val="none"/>
        </w:rPr>
        <w:t>work-life</w:t>
      </w:r>
      <w:r>
        <w:rPr>
          <w:spacing w:val="-4"/>
          <w:sz w:val="18"/>
          <w:u w:val="none"/>
        </w:rPr>
        <w:t> </w:t>
      </w:r>
      <w:r>
        <w:rPr>
          <w:sz w:val="18"/>
          <w:u w:val="none"/>
        </w:rPr>
        <w:t>balance</w:t>
      </w:r>
      <w:r>
        <w:rPr>
          <w:spacing w:val="-4"/>
          <w:sz w:val="18"/>
          <w:u w:val="none"/>
        </w:rPr>
        <w:t> </w:t>
      </w:r>
      <w:r>
        <w:rPr>
          <w:sz w:val="18"/>
          <w:u w:val="none"/>
        </w:rPr>
        <w:t>for</w:t>
      </w:r>
      <w:r>
        <w:rPr>
          <w:spacing w:val="-4"/>
          <w:sz w:val="18"/>
          <w:u w:val="none"/>
        </w:rPr>
        <w:t> </w:t>
      </w:r>
      <w:r>
        <w:rPr>
          <w:sz w:val="18"/>
          <w:u w:val="none"/>
        </w:rPr>
        <w:t>parents</w:t>
      </w:r>
      <w:r>
        <w:rPr>
          <w:spacing w:val="-5"/>
          <w:sz w:val="18"/>
          <w:u w:val="none"/>
        </w:rPr>
        <w:t> </w:t>
      </w:r>
      <w:r>
        <w:rPr>
          <w:sz w:val="18"/>
          <w:u w:val="none"/>
        </w:rPr>
        <w:t>and carers</w:t>
      </w:r>
      <w:r>
        <w:rPr>
          <w:spacing w:val="-2"/>
          <w:sz w:val="18"/>
          <w:u w:val="none"/>
        </w:rPr>
        <w:t> </w:t>
      </w:r>
      <w:r>
        <w:rPr>
          <w:sz w:val="18"/>
          <w:u w:val="none"/>
        </w:rPr>
        <w:t>2019.</w:t>
      </w:r>
    </w:p>
    <w:p>
      <w:pPr>
        <w:spacing w:after="0" w:line="240" w:lineRule="auto"/>
        <w:jc w:val="both"/>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03840">
                <wp:simplePos x="0" y="0"/>
                <wp:positionH relativeFrom="page">
                  <wp:posOffset>-2</wp:posOffset>
                </wp:positionH>
                <wp:positionV relativeFrom="page">
                  <wp:posOffset>0</wp:posOffset>
                </wp:positionV>
                <wp:extent cx="7560309" cy="1155065"/>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7560309" cy="1155065"/>
                          <a:chExt cx="7560309" cy="1155065"/>
                        </a:xfrm>
                      </wpg:grpSpPr>
                      <wps:wsp>
                        <wps:cNvPr id="529" name="Graphic 529"/>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530" name="Graphic 530"/>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12640" id="docshapegroup421" coordorigin="0,0" coordsize="11906,1819">
                <v:shape style="position:absolute;left:0;top:0;width:11906;height:1819" id="docshape422"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59</w:t>
      </w:r>
    </w:p>
    <w:p>
      <w:pPr>
        <w:pStyle w:val="BodyText"/>
        <w:rPr>
          <w:b/>
        </w:rPr>
      </w:pPr>
    </w:p>
    <w:p>
      <w:pPr>
        <w:pStyle w:val="BodyText"/>
        <w:spacing w:before="48"/>
        <w:rPr>
          <w:b/>
        </w:rPr>
      </w:pPr>
    </w:p>
    <w:p>
      <w:pPr>
        <w:pStyle w:val="BodyText"/>
        <w:spacing w:line="232" w:lineRule="auto"/>
        <w:ind w:left="1117" w:right="738"/>
      </w:pPr>
      <w:r>
        <w:rPr/>
        <w:t>transferring</w:t>
      </w:r>
      <w:r>
        <w:rPr>
          <w:spacing w:val="-15"/>
        </w:rPr>
        <w:t> </w:t>
      </w:r>
      <w:r>
        <w:rPr/>
        <w:t>it</w:t>
      </w:r>
      <w:r>
        <w:rPr>
          <w:spacing w:val="-15"/>
        </w:rPr>
        <w:t> </w:t>
      </w:r>
      <w:r>
        <w:rPr/>
        <w:t>to</w:t>
      </w:r>
      <w:r>
        <w:rPr>
          <w:spacing w:val="-16"/>
        </w:rPr>
        <w:t> </w:t>
      </w:r>
      <w:r>
        <w:rPr/>
        <w:t>mothers).</w:t>
      </w:r>
      <w:r>
        <w:rPr>
          <w:vertAlign w:val="superscript"/>
        </w:rPr>
        <w:t>318</w:t>
      </w:r>
      <w:r>
        <w:rPr>
          <w:spacing w:val="-16"/>
          <w:vertAlign w:val="baseline"/>
        </w:rPr>
        <w:t> </w:t>
      </w:r>
      <w:r>
        <w:rPr>
          <w:vertAlign w:val="baseline"/>
        </w:rPr>
        <w:t>The</w:t>
      </w:r>
      <w:r>
        <w:rPr>
          <w:spacing w:val="-15"/>
          <w:vertAlign w:val="baseline"/>
        </w:rPr>
        <w:t> </w:t>
      </w:r>
      <w:r>
        <w:rPr>
          <w:vertAlign w:val="baseline"/>
        </w:rPr>
        <w:t>Directive</w:t>
      </w:r>
      <w:r>
        <w:rPr>
          <w:spacing w:val="-15"/>
          <w:vertAlign w:val="baseline"/>
        </w:rPr>
        <w:t> </w:t>
      </w:r>
      <w:r>
        <w:rPr>
          <w:vertAlign w:val="baseline"/>
        </w:rPr>
        <w:t>repeals</w:t>
      </w:r>
      <w:r>
        <w:rPr>
          <w:spacing w:val="-16"/>
          <w:vertAlign w:val="baseline"/>
        </w:rPr>
        <w:t> </w:t>
      </w:r>
      <w:r>
        <w:rPr>
          <w:vertAlign w:val="baseline"/>
        </w:rPr>
        <w:t>the</w:t>
      </w:r>
      <w:r>
        <w:rPr>
          <w:spacing w:val="-15"/>
          <w:vertAlign w:val="baseline"/>
        </w:rPr>
        <w:t> </w:t>
      </w:r>
      <w:r>
        <w:rPr>
          <w:vertAlign w:val="baseline"/>
        </w:rPr>
        <w:t>Parental</w:t>
      </w:r>
      <w:r>
        <w:rPr>
          <w:spacing w:val="-16"/>
          <w:vertAlign w:val="baseline"/>
        </w:rPr>
        <w:t> </w:t>
      </w:r>
      <w:r>
        <w:rPr>
          <w:vertAlign w:val="baseline"/>
        </w:rPr>
        <w:t>Leave</w:t>
      </w:r>
      <w:r>
        <w:rPr>
          <w:spacing w:val="-15"/>
          <w:vertAlign w:val="baseline"/>
        </w:rPr>
        <w:t> </w:t>
      </w:r>
      <w:r>
        <w:rPr>
          <w:vertAlign w:val="baseline"/>
        </w:rPr>
        <w:t>Directive;</w:t>
      </w:r>
      <w:r>
        <w:rPr>
          <w:vertAlign w:val="superscript"/>
        </w:rPr>
        <w:t>319</w:t>
      </w:r>
      <w:r>
        <w:rPr>
          <w:vertAlign w:val="baseline"/>
        </w:rPr>
        <w:t> this leaves Northern Ireland in the incongruous position that the non-diminution requirements in Article 2 WF require it to keep aligned with the standards in the repealed Parental Leave Directive.</w:t>
      </w:r>
    </w:p>
    <w:p>
      <w:pPr>
        <w:pStyle w:val="BodyText"/>
        <w:spacing w:line="232" w:lineRule="auto" w:before="277"/>
        <w:ind w:left="1117" w:right="1087"/>
      </w:pPr>
      <w:r>
        <w:rPr/>
        <w:t>Ireland</w:t>
      </w:r>
      <w:r>
        <w:rPr>
          <w:spacing w:val="-6"/>
        </w:rPr>
        <w:t> </w:t>
      </w:r>
      <w:r>
        <w:rPr/>
        <w:t>has</w:t>
      </w:r>
      <w:r>
        <w:rPr>
          <w:spacing w:val="-6"/>
        </w:rPr>
        <w:t> </w:t>
      </w:r>
      <w:r>
        <w:rPr/>
        <w:t>passed</w:t>
      </w:r>
      <w:r>
        <w:rPr>
          <w:spacing w:val="-6"/>
        </w:rPr>
        <w:t> </w:t>
      </w:r>
      <w:r>
        <w:rPr/>
        <w:t>the</w:t>
      </w:r>
      <w:r>
        <w:rPr>
          <w:spacing w:val="-5"/>
        </w:rPr>
        <w:t> </w:t>
      </w:r>
      <w:r>
        <w:rPr/>
        <w:t>Work</w:t>
      </w:r>
      <w:r>
        <w:rPr>
          <w:spacing w:val="-5"/>
        </w:rPr>
        <w:t> </w:t>
      </w:r>
      <w:r>
        <w:rPr/>
        <w:t>Life</w:t>
      </w:r>
      <w:r>
        <w:rPr>
          <w:spacing w:val="-5"/>
        </w:rPr>
        <w:t> </w:t>
      </w:r>
      <w:r>
        <w:rPr/>
        <w:t>Balance</w:t>
      </w:r>
      <w:r>
        <w:rPr>
          <w:spacing w:val="-5"/>
        </w:rPr>
        <w:t> </w:t>
      </w:r>
      <w:r>
        <w:rPr/>
        <w:t>and</w:t>
      </w:r>
      <w:r>
        <w:rPr>
          <w:spacing w:val="-6"/>
        </w:rPr>
        <w:t> </w:t>
      </w:r>
      <w:r>
        <w:rPr/>
        <w:t>Miscellaneous</w:t>
      </w:r>
      <w:r>
        <w:rPr>
          <w:spacing w:val="-6"/>
        </w:rPr>
        <w:t> </w:t>
      </w:r>
      <w:r>
        <w:rPr/>
        <w:t>Provisions</w:t>
      </w:r>
      <w:r>
        <w:rPr>
          <w:spacing w:val="-6"/>
        </w:rPr>
        <w:t> </w:t>
      </w:r>
      <w:r>
        <w:rPr/>
        <w:t>Act</w:t>
      </w:r>
      <w:r>
        <w:rPr>
          <w:spacing w:val="-5"/>
        </w:rPr>
        <w:t> </w:t>
      </w:r>
      <w:r>
        <w:rPr/>
        <w:t>2023 to give effect to this Directive.</w:t>
      </w:r>
      <w:r>
        <w:rPr>
          <w:vertAlign w:val="superscript"/>
        </w:rPr>
        <w:t>320</w:t>
      </w:r>
      <w:r>
        <w:rPr>
          <w:vertAlign w:val="baseline"/>
        </w:rPr>
        <w:t> The Act makes important changes to Irish law, providing for leave for medical care purposes (5 days) </w:t>
      </w:r>
      <w:r>
        <w:rPr>
          <w:vertAlign w:val="superscript"/>
        </w:rPr>
        <w:t>321</w:t>
      </w:r>
      <w:r>
        <w:rPr>
          <w:vertAlign w:val="baseline"/>
        </w:rPr>
        <w:t> and domestic violence leave (5 days);</w:t>
      </w:r>
      <w:r>
        <w:rPr>
          <w:vertAlign w:val="superscript"/>
        </w:rPr>
        <w:t>322</w:t>
      </w:r>
      <w:r>
        <w:rPr>
          <w:vertAlign w:val="baseline"/>
        </w:rPr>
        <w:t> providing for a right to request flexible working for caring purposes,</w:t>
      </w:r>
      <w:r>
        <w:rPr>
          <w:vertAlign w:val="superscript"/>
        </w:rPr>
        <w:t>323</w:t>
      </w:r>
      <w:r>
        <w:rPr>
          <w:vertAlign w:val="baseline"/>
        </w:rPr>
        <w:t> and a right to request remote working.</w:t>
      </w:r>
      <w:r>
        <w:rPr>
          <w:vertAlign w:val="superscript"/>
        </w:rPr>
        <w:t>324</w:t>
      </w:r>
      <w:r>
        <w:rPr>
          <w:vertAlign w:val="baseline"/>
        </w:rPr>
        <w:t> The Act also enhances protections for breastfeeding mothers and other persons.</w:t>
      </w:r>
      <w:r>
        <w:rPr>
          <w:vertAlign w:val="superscript"/>
        </w:rPr>
        <w:t>325</w:t>
      </w:r>
    </w:p>
    <w:p>
      <w:pPr>
        <w:pStyle w:val="BodyText"/>
        <w:spacing w:line="232" w:lineRule="auto" w:before="274"/>
        <w:ind w:left="1117" w:right="1156"/>
      </w:pPr>
      <w:r>
        <w:rPr/>
        <w:t>Ireland has adopted a wider strategy on remote working.</w:t>
      </w:r>
      <w:r>
        <w:rPr>
          <w:vertAlign w:val="superscript"/>
        </w:rPr>
        <w:t>326</w:t>
      </w:r>
      <w:r>
        <w:rPr>
          <w:vertAlign w:val="baseline"/>
        </w:rPr>
        <w:t> The strategy sees remote-working</w:t>
      </w:r>
      <w:r>
        <w:rPr>
          <w:spacing w:val="-7"/>
          <w:vertAlign w:val="baseline"/>
        </w:rPr>
        <w:t> </w:t>
      </w:r>
      <w:r>
        <w:rPr>
          <w:vertAlign w:val="baseline"/>
        </w:rPr>
        <w:t>as</w:t>
      </w:r>
      <w:r>
        <w:rPr>
          <w:spacing w:val="-8"/>
          <w:vertAlign w:val="baseline"/>
        </w:rPr>
        <w:t> </w:t>
      </w:r>
      <w:r>
        <w:rPr>
          <w:vertAlign w:val="baseline"/>
        </w:rPr>
        <w:t>potentially</w:t>
      </w:r>
      <w:r>
        <w:rPr>
          <w:spacing w:val="-7"/>
          <w:vertAlign w:val="baseline"/>
        </w:rPr>
        <w:t> </w:t>
      </w:r>
      <w:r>
        <w:rPr>
          <w:vertAlign w:val="baseline"/>
        </w:rPr>
        <w:t>contributing</w:t>
      </w:r>
      <w:r>
        <w:rPr>
          <w:spacing w:val="-7"/>
          <w:vertAlign w:val="baseline"/>
        </w:rPr>
        <w:t> </w:t>
      </w:r>
      <w:r>
        <w:rPr>
          <w:vertAlign w:val="baseline"/>
        </w:rPr>
        <w:t>to</w:t>
      </w:r>
      <w:r>
        <w:rPr>
          <w:spacing w:val="-8"/>
          <w:vertAlign w:val="baseline"/>
        </w:rPr>
        <w:t> </w:t>
      </w:r>
      <w:r>
        <w:rPr>
          <w:vertAlign w:val="baseline"/>
        </w:rPr>
        <w:t>gender</w:t>
      </w:r>
      <w:r>
        <w:rPr>
          <w:spacing w:val="-7"/>
          <w:vertAlign w:val="baseline"/>
        </w:rPr>
        <w:t> </w:t>
      </w:r>
      <w:r>
        <w:rPr>
          <w:vertAlign w:val="baseline"/>
        </w:rPr>
        <w:t>equality</w:t>
      </w:r>
      <w:r>
        <w:rPr>
          <w:spacing w:val="-7"/>
          <w:vertAlign w:val="baseline"/>
        </w:rPr>
        <w:t> </w:t>
      </w:r>
      <w:r>
        <w:rPr>
          <w:vertAlign w:val="baseline"/>
        </w:rPr>
        <w:t>in</w:t>
      </w:r>
      <w:r>
        <w:rPr>
          <w:spacing w:val="-8"/>
          <w:vertAlign w:val="baseline"/>
        </w:rPr>
        <w:t> </w:t>
      </w:r>
      <w:r>
        <w:rPr>
          <w:vertAlign w:val="baseline"/>
        </w:rPr>
        <w:t>the</w:t>
      </w:r>
      <w:r>
        <w:rPr>
          <w:spacing w:val="-7"/>
          <w:vertAlign w:val="baseline"/>
        </w:rPr>
        <w:t> </w:t>
      </w:r>
      <w:r>
        <w:rPr>
          <w:vertAlign w:val="baseline"/>
        </w:rPr>
        <w:t>workplace, though there are also risks.</w:t>
      </w:r>
      <w:r>
        <w:rPr>
          <w:vertAlign w:val="superscript"/>
        </w:rPr>
        <w:t>327</w:t>
      </w:r>
      <w:r>
        <w:rPr>
          <w:vertAlign w:val="baseline"/>
        </w:rPr>
        <w:t> The strategy notes that the Work-Life Balance directive covers remote working but also that other EU directives such as the Workplace Directive</w:t>
      </w:r>
      <w:r>
        <w:rPr>
          <w:vertAlign w:val="superscript"/>
        </w:rPr>
        <w:t>328</w:t>
      </w:r>
      <w:r>
        <w:rPr>
          <w:vertAlign w:val="baseline"/>
        </w:rPr>
        <w:t> and the Display Screen Equipment Directive</w:t>
      </w:r>
      <w:r>
        <w:rPr>
          <w:vertAlign w:val="superscript"/>
        </w:rPr>
        <w:t>329</w:t>
      </w:r>
      <w:r>
        <w:rPr>
          <w:vertAlign w:val="baseline"/>
        </w:rPr>
        <w:t> may be amended to address the realities of remote working. In Northern Ireland there is</w:t>
      </w:r>
      <w:r>
        <w:rPr>
          <w:spacing w:val="-5"/>
          <w:vertAlign w:val="baseline"/>
        </w:rPr>
        <w:t> </w:t>
      </w:r>
      <w:r>
        <w:rPr>
          <w:vertAlign w:val="baseline"/>
        </w:rPr>
        <w:t>some</w:t>
      </w:r>
      <w:r>
        <w:rPr>
          <w:spacing w:val="-4"/>
          <w:vertAlign w:val="baseline"/>
        </w:rPr>
        <w:t> </w:t>
      </w:r>
      <w:r>
        <w:rPr>
          <w:vertAlign w:val="baseline"/>
        </w:rPr>
        <w:t>suggestion</w:t>
      </w:r>
      <w:r>
        <w:rPr>
          <w:spacing w:val="-5"/>
          <w:vertAlign w:val="baseline"/>
        </w:rPr>
        <w:t> </w:t>
      </w:r>
      <w:r>
        <w:rPr>
          <w:vertAlign w:val="baseline"/>
        </w:rPr>
        <w:t>a</w:t>
      </w:r>
      <w:r>
        <w:rPr>
          <w:spacing w:val="-5"/>
          <w:vertAlign w:val="baseline"/>
        </w:rPr>
        <w:t> </w:t>
      </w:r>
      <w:r>
        <w:rPr>
          <w:vertAlign w:val="baseline"/>
        </w:rPr>
        <w:t>similar</w:t>
      </w:r>
      <w:r>
        <w:rPr>
          <w:spacing w:val="-4"/>
          <w:vertAlign w:val="baseline"/>
        </w:rPr>
        <w:t> </w:t>
      </w:r>
      <w:r>
        <w:rPr>
          <w:vertAlign w:val="baseline"/>
        </w:rPr>
        <w:t>strategy</w:t>
      </w:r>
      <w:r>
        <w:rPr>
          <w:spacing w:val="-4"/>
          <w:vertAlign w:val="baseline"/>
        </w:rPr>
        <w:t> </w:t>
      </w:r>
      <w:r>
        <w:rPr>
          <w:vertAlign w:val="baseline"/>
        </w:rPr>
        <w:t>might</w:t>
      </w:r>
      <w:r>
        <w:rPr>
          <w:spacing w:val="-4"/>
          <w:vertAlign w:val="baseline"/>
        </w:rPr>
        <w:t> </w:t>
      </w:r>
      <w:r>
        <w:rPr>
          <w:vertAlign w:val="baseline"/>
        </w:rPr>
        <w:t>be</w:t>
      </w:r>
      <w:r>
        <w:rPr>
          <w:spacing w:val="-4"/>
          <w:vertAlign w:val="baseline"/>
        </w:rPr>
        <w:t> </w:t>
      </w:r>
      <w:r>
        <w:rPr>
          <w:vertAlign w:val="baseline"/>
        </w:rPr>
        <w:t>welcome.</w:t>
      </w:r>
      <w:r>
        <w:rPr>
          <w:vertAlign w:val="superscript"/>
        </w:rPr>
        <w:t>330</w:t>
      </w:r>
      <w:r>
        <w:rPr>
          <w:spacing w:val="-5"/>
          <w:vertAlign w:val="baseline"/>
        </w:rPr>
        <w:t> </w:t>
      </w:r>
      <w:r>
        <w:rPr>
          <w:vertAlign w:val="baseline"/>
        </w:rPr>
        <w:t>This</w:t>
      </w:r>
      <w:r>
        <w:rPr>
          <w:spacing w:val="-5"/>
          <w:vertAlign w:val="baseline"/>
        </w:rPr>
        <w:t> </w:t>
      </w:r>
      <w:r>
        <w:rPr>
          <w:vertAlign w:val="baseline"/>
        </w:rPr>
        <w:t>has</w:t>
      </w:r>
      <w:r>
        <w:rPr>
          <w:spacing w:val="-5"/>
          <w:vertAlign w:val="baseline"/>
        </w:rPr>
        <w:t> </w:t>
      </w:r>
      <w:r>
        <w:rPr>
          <w:vertAlign w:val="baseline"/>
        </w:rPr>
        <w:t>an</w:t>
      </w:r>
      <w:r>
        <w:rPr>
          <w:spacing w:val="-5"/>
          <w:vertAlign w:val="baseline"/>
        </w:rPr>
        <w:t> </w:t>
      </w:r>
      <w:r>
        <w:rPr>
          <w:vertAlign w:val="baseline"/>
        </w:rPr>
        <w:t>all-island dimension as it affects cross-border workers; a recent report finds that cross-</w:t>
      </w:r>
    </w:p>
    <w:p>
      <w:pPr>
        <w:pStyle w:val="BodyText"/>
        <w:spacing w:line="232" w:lineRule="auto"/>
        <w:ind w:left="1117" w:right="738"/>
      </w:pPr>
      <w:r>
        <w:rPr/>
        <w:t>border</w:t>
      </w:r>
      <w:r>
        <w:rPr>
          <w:spacing w:val="-7"/>
        </w:rPr>
        <w:t> </w:t>
      </w:r>
      <w:r>
        <w:rPr/>
        <w:t>workers</w:t>
      </w:r>
      <w:r>
        <w:rPr>
          <w:spacing w:val="-8"/>
        </w:rPr>
        <w:t> </w:t>
      </w:r>
      <w:r>
        <w:rPr/>
        <w:t>who</w:t>
      </w:r>
      <w:r>
        <w:rPr>
          <w:spacing w:val="-8"/>
        </w:rPr>
        <w:t> </w:t>
      </w:r>
      <w:r>
        <w:rPr/>
        <w:t>move</w:t>
      </w:r>
      <w:r>
        <w:rPr>
          <w:spacing w:val="-7"/>
        </w:rPr>
        <w:t> </w:t>
      </w:r>
      <w:r>
        <w:rPr/>
        <w:t>from</w:t>
      </w:r>
      <w:r>
        <w:rPr>
          <w:spacing w:val="-7"/>
        </w:rPr>
        <w:t> </w:t>
      </w:r>
      <w:r>
        <w:rPr/>
        <w:t>Ireland</w:t>
      </w:r>
      <w:r>
        <w:rPr>
          <w:spacing w:val="-8"/>
        </w:rPr>
        <w:t> </w:t>
      </w:r>
      <w:r>
        <w:rPr/>
        <w:t>to</w:t>
      </w:r>
      <w:r>
        <w:rPr>
          <w:spacing w:val="-8"/>
        </w:rPr>
        <w:t> </w:t>
      </w:r>
      <w:r>
        <w:rPr/>
        <w:t>Northern</w:t>
      </w:r>
      <w:r>
        <w:rPr>
          <w:spacing w:val="-8"/>
        </w:rPr>
        <w:t> </w:t>
      </w:r>
      <w:r>
        <w:rPr/>
        <w:t>Ireland</w:t>
      </w:r>
      <w:r>
        <w:rPr>
          <w:spacing w:val="-8"/>
        </w:rPr>
        <w:t> </w:t>
      </w:r>
      <w:r>
        <w:rPr/>
        <w:t>feel</w:t>
      </w:r>
      <w:r>
        <w:rPr>
          <w:spacing w:val="-8"/>
        </w:rPr>
        <w:t> </w:t>
      </w:r>
      <w:r>
        <w:rPr/>
        <w:t>remote</w:t>
      </w:r>
      <w:r>
        <w:rPr>
          <w:spacing w:val="-7"/>
        </w:rPr>
        <w:t> </w:t>
      </w:r>
      <w:r>
        <w:rPr/>
        <w:t>working</w:t>
      </w:r>
      <w:r>
        <w:rPr>
          <w:spacing w:val="-7"/>
        </w:rPr>
        <w:t> </w:t>
      </w:r>
      <w:r>
        <w:rPr/>
        <w:t>is more difficult for them.</w:t>
      </w:r>
      <w:r>
        <w:rPr>
          <w:vertAlign w:val="superscript"/>
        </w:rPr>
        <w:t>331</w:t>
      </w:r>
    </w:p>
    <w:p>
      <w:pPr>
        <w:pStyle w:val="BodyText"/>
        <w:spacing w:line="232" w:lineRule="auto" w:before="268"/>
        <w:ind w:left="1117" w:right="888"/>
      </w:pPr>
      <w:r>
        <w:rPr/>
        <w:t>Whilst the Work Life Balance and Miscellaneous Provisions Act 2023 implements important provisions of the Directive, it does not do so perfectly. Most notably</w:t>
      </w:r>
      <w:r>
        <w:rPr/>
        <w:t> the Act does not make provision for non-transferable parental leave periods. In November 2023 the European Commission decided to refer Ireland and some other</w:t>
      </w:r>
      <w:r>
        <w:rPr>
          <w:spacing w:val="-4"/>
        </w:rPr>
        <w:t> </w:t>
      </w:r>
      <w:r>
        <w:rPr/>
        <w:t>countries</w:t>
      </w:r>
      <w:r>
        <w:rPr>
          <w:spacing w:val="-5"/>
        </w:rPr>
        <w:t> </w:t>
      </w:r>
      <w:r>
        <w:rPr/>
        <w:t>to</w:t>
      </w:r>
      <w:r>
        <w:rPr>
          <w:spacing w:val="-4"/>
        </w:rPr>
        <w:t> </w:t>
      </w:r>
      <w:r>
        <w:rPr/>
        <w:t>the</w:t>
      </w:r>
      <w:r>
        <w:rPr>
          <w:spacing w:val="-4"/>
        </w:rPr>
        <w:t> </w:t>
      </w:r>
      <w:r>
        <w:rPr/>
        <w:t>Court</w:t>
      </w:r>
      <w:r>
        <w:rPr>
          <w:spacing w:val="-3"/>
        </w:rPr>
        <w:t> </w:t>
      </w:r>
      <w:r>
        <w:rPr/>
        <w:t>of</w:t>
      </w:r>
      <w:r>
        <w:rPr>
          <w:spacing w:val="-5"/>
        </w:rPr>
        <w:t> </w:t>
      </w:r>
      <w:r>
        <w:rPr/>
        <w:t>Justice</w:t>
      </w:r>
      <w:r>
        <w:rPr>
          <w:spacing w:val="-3"/>
        </w:rPr>
        <w:t> </w:t>
      </w:r>
      <w:r>
        <w:rPr/>
        <w:t>for</w:t>
      </w:r>
      <w:r>
        <w:rPr>
          <w:spacing w:val="-4"/>
        </w:rPr>
        <w:t> </w:t>
      </w:r>
      <w:r>
        <w:rPr/>
        <w:t>failing</w:t>
      </w:r>
      <w:r>
        <w:rPr>
          <w:spacing w:val="-3"/>
        </w:rPr>
        <w:t> </w:t>
      </w:r>
      <w:r>
        <w:rPr/>
        <w:t>to</w:t>
      </w:r>
      <w:r>
        <w:rPr>
          <w:spacing w:val="-5"/>
        </w:rPr>
        <w:t> </w:t>
      </w:r>
      <w:r>
        <w:rPr/>
        <w:t>transpose</w:t>
      </w:r>
      <w:r>
        <w:rPr>
          <w:spacing w:val="-4"/>
        </w:rPr>
        <w:t> </w:t>
      </w:r>
      <w:r>
        <w:rPr/>
        <w:t>fully</w:t>
      </w:r>
      <w:r>
        <w:rPr>
          <w:spacing w:val="-3"/>
        </w:rPr>
        <w:t> </w:t>
      </w:r>
      <w:r>
        <w:rPr/>
        <w:t>the</w:t>
      </w:r>
      <w:r>
        <w:rPr>
          <w:spacing w:val="-4"/>
        </w:rPr>
        <w:t> </w:t>
      </w:r>
      <w:r>
        <w:rPr>
          <w:spacing w:val="-2"/>
        </w:rPr>
        <w:t>Directive.</w:t>
      </w:r>
      <w:r>
        <w:rPr>
          <w:spacing w:val="-2"/>
          <w:vertAlign w:val="superscript"/>
        </w:rPr>
        <w:t>332</w:t>
      </w:r>
    </w:p>
    <w:p>
      <w:pPr>
        <w:pStyle w:val="BodyText"/>
        <w:spacing w:before="1"/>
        <w:rPr>
          <w:sz w:val="7"/>
        </w:rPr>
      </w:pPr>
      <w:r>
        <w:rPr/>
        <mc:AlternateContent>
          <mc:Choice Requires="wps">
            <w:drawing>
              <wp:anchor distT="0" distB="0" distL="0" distR="0" allowOverlap="1" layoutInCell="1" locked="0" behindDoc="1" simplePos="0" relativeHeight="487686656">
                <wp:simplePos x="0" y="0"/>
                <wp:positionH relativeFrom="page">
                  <wp:posOffset>899999</wp:posOffset>
                </wp:positionH>
                <wp:positionV relativeFrom="paragraph">
                  <wp:posOffset>70433</wp:posOffset>
                </wp:positionV>
                <wp:extent cx="6012180" cy="1270"/>
                <wp:effectExtent l="0" t="0" r="0" b="0"/>
                <wp:wrapTopAndBottom/>
                <wp:docPr id="531" name="Graphic 531"/>
                <wp:cNvGraphicFramePr>
                  <a:graphicFrameLocks/>
                </wp:cNvGraphicFramePr>
                <a:graphic>
                  <a:graphicData uri="http://schemas.microsoft.com/office/word/2010/wordprocessingShape">
                    <wps:wsp>
                      <wps:cNvPr id="531" name="Graphic 53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5.545958pt;width:473.4pt;height:.1pt;mso-position-horizontal-relative:page;mso-position-vertical-relative:paragraph;z-index:-15629824;mso-wrap-distance-left:0;mso-wrap-distance-right:0" id="docshape423" coordorigin="1417,111" coordsize="9468,0" path="m1417,111l10885,111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810" w:hanging="567"/>
        <w:jc w:val="left"/>
        <w:rPr>
          <w:sz w:val="18"/>
        </w:rPr>
      </w:pPr>
      <w:r>
        <w:rPr>
          <w:color w:val="1D71B8"/>
          <w:sz w:val="18"/>
          <w:u w:val="single" w:color="1D71B8"/>
        </w:rPr>
        <w:t>Directive</w:t>
      </w:r>
      <w:r>
        <w:rPr>
          <w:color w:val="1D71B8"/>
          <w:spacing w:val="-4"/>
          <w:sz w:val="18"/>
          <w:u w:val="single" w:color="1D71B8"/>
        </w:rPr>
        <w:t> </w:t>
      </w:r>
      <w:r>
        <w:rPr>
          <w:color w:val="1D71B8"/>
          <w:sz w:val="18"/>
          <w:u w:val="single" w:color="1D71B8"/>
        </w:rPr>
        <w:t>2019/1158/EU</w:t>
      </w:r>
      <w:r>
        <w:rPr>
          <w:color w:val="1D71B8"/>
          <w:spacing w:val="-6"/>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w:t>
      </w:r>
      <w:r>
        <w:rPr>
          <w:spacing w:val="-4"/>
          <w:sz w:val="18"/>
          <w:u w:val="none"/>
        </w:rPr>
        <w:t> </w:t>
      </w:r>
      <w:r>
        <w:rPr>
          <w:sz w:val="18"/>
          <w:u w:val="none"/>
        </w:rPr>
        <w:t>and</w:t>
      </w:r>
      <w:r>
        <w:rPr>
          <w:spacing w:val="-5"/>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Council</w:t>
      </w:r>
      <w:r>
        <w:rPr>
          <w:spacing w:val="-5"/>
          <w:sz w:val="18"/>
          <w:u w:val="none"/>
        </w:rPr>
        <w:t> </w:t>
      </w:r>
      <w:r>
        <w:rPr>
          <w:sz w:val="18"/>
          <w:u w:val="none"/>
        </w:rPr>
        <w:t>of</w:t>
      </w:r>
      <w:r>
        <w:rPr>
          <w:spacing w:val="-5"/>
          <w:sz w:val="18"/>
          <w:u w:val="none"/>
        </w:rPr>
        <w:t> </w:t>
      </w:r>
      <w:r>
        <w:rPr>
          <w:sz w:val="18"/>
          <w:u w:val="none"/>
        </w:rPr>
        <w:t>20</w:t>
      </w:r>
      <w:r>
        <w:rPr>
          <w:spacing w:val="-4"/>
          <w:sz w:val="18"/>
          <w:u w:val="none"/>
        </w:rPr>
        <w:t> </w:t>
      </w:r>
      <w:r>
        <w:rPr>
          <w:sz w:val="18"/>
          <w:u w:val="none"/>
        </w:rPr>
        <w:t>June</w:t>
      </w:r>
      <w:r>
        <w:rPr>
          <w:spacing w:val="-4"/>
          <w:sz w:val="18"/>
          <w:u w:val="none"/>
        </w:rPr>
        <w:t> </w:t>
      </w:r>
      <w:r>
        <w:rPr>
          <w:sz w:val="18"/>
          <w:u w:val="none"/>
        </w:rPr>
        <w:t>2019</w:t>
      </w:r>
      <w:r>
        <w:rPr>
          <w:spacing w:val="-4"/>
          <w:sz w:val="18"/>
          <w:u w:val="none"/>
        </w:rPr>
        <w:t> </w:t>
      </w:r>
      <w:r>
        <w:rPr>
          <w:sz w:val="18"/>
          <w:u w:val="none"/>
        </w:rPr>
        <w:t>work-life</w:t>
      </w:r>
      <w:r>
        <w:rPr>
          <w:spacing w:val="-4"/>
          <w:sz w:val="18"/>
          <w:u w:val="none"/>
        </w:rPr>
        <w:t> </w:t>
      </w:r>
      <w:r>
        <w:rPr>
          <w:sz w:val="18"/>
          <w:u w:val="none"/>
        </w:rPr>
        <w:t>balance</w:t>
      </w:r>
      <w:r>
        <w:rPr>
          <w:spacing w:val="-4"/>
          <w:sz w:val="18"/>
          <w:u w:val="none"/>
        </w:rPr>
        <w:t> </w:t>
      </w:r>
      <w:r>
        <w:rPr>
          <w:sz w:val="18"/>
          <w:u w:val="none"/>
        </w:rPr>
        <w:t>for</w:t>
      </w:r>
      <w:r>
        <w:rPr>
          <w:spacing w:val="-4"/>
          <w:sz w:val="18"/>
          <w:u w:val="none"/>
        </w:rPr>
        <w:t> </w:t>
      </w:r>
      <w:r>
        <w:rPr>
          <w:sz w:val="18"/>
          <w:u w:val="none"/>
        </w:rPr>
        <w:t>parents</w:t>
      </w:r>
      <w:r>
        <w:rPr>
          <w:spacing w:val="-5"/>
          <w:sz w:val="18"/>
          <w:u w:val="none"/>
        </w:rPr>
        <w:t> </w:t>
      </w:r>
      <w:r>
        <w:rPr>
          <w:sz w:val="18"/>
          <w:u w:val="none"/>
        </w:rPr>
        <w:t>and carers 2019 recital 20 of the preamble and article 5(2).</w:t>
      </w:r>
    </w:p>
    <w:p>
      <w:pPr>
        <w:pStyle w:val="ListParagraph"/>
        <w:numPr>
          <w:ilvl w:val="0"/>
          <w:numId w:val="18"/>
        </w:numPr>
        <w:tabs>
          <w:tab w:pos="1684" w:val="left" w:leader="none"/>
        </w:tabs>
        <w:spacing w:line="240" w:lineRule="auto" w:before="1" w:after="0"/>
        <w:ind w:left="1684" w:right="874" w:hanging="567"/>
        <w:jc w:val="left"/>
        <w:rPr>
          <w:sz w:val="18"/>
        </w:rPr>
      </w:pPr>
      <w:r>
        <w:rPr>
          <w:color w:val="1D71B8"/>
          <w:sz w:val="18"/>
          <w:u w:val="single" w:color="1D71B8"/>
        </w:rPr>
        <w:t>Directive</w:t>
      </w:r>
      <w:r>
        <w:rPr>
          <w:color w:val="1D71B8"/>
          <w:spacing w:val="-5"/>
          <w:sz w:val="18"/>
          <w:u w:val="single" w:color="1D71B8"/>
        </w:rPr>
        <w:t> </w:t>
      </w:r>
      <w:r>
        <w:rPr>
          <w:color w:val="1D71B8"/>
          <w:sz w:val="18"/>
          <w:u w:val="single" w:color="1D71B8"/>
        </w:rPr>
        <w:t>2010/18/EU</w:t>
      </w:r>
      <w:r>
        <w:rPr>
          <w:color w:val="1D71B8"/>
          <w:spacing w:val="-7"/>
          <w:sz w:val="18"/>
          <w:u w:val="none"/>
        </w:rPr>
        <w:t> </w:t>
      </w:r>
      <w:r>
        <w:rPr>
          <w:sz w:val="18"/>
          <w:u w:val="none"/>
        </w:rPr>
        <w:t>of</w:t>
      </w:r>
      <w:r>
        <w:rPr>
          <w:spacing w:val="-6"/>
          <w:sz w:val="18"/>
          <w:u w:val="none"/>
        </w:rPr>
        <w:t> </w:t>
      </w:r>
      <w:r>
        <w:rPr>
          <w:sz w:val="18"/>
          <w:u w:val="none"/>
        </w:rPr>
        <w:t>8</w:t>
      </w:r>
      <w:r>
        <w:rPr>
          <w:spacing w:val="-5"/>
          <w:sz w:val="18"/>
          <w:u w:val="none"/>
        </w:rPr>
        <w:t> </w:t>
      </w:r>
      <w:r>
        <w:rPr>
          <w:sz w:val="18"/>
          <w:u w:val="none"/>
        </w:rPr>
        <w:t>March</w:t>
      </w:r>
      <w:r>
        <w:rPr>
          <w:spacing w:val="-6"/>
          <w:sz w:val="18"/>
          <w:u w:val="none"/>
        </w:rPr>
        <w:t> </w:t>
      </w:r>
      <w:r>
        <w:rPr>
          <w:sz w:val="18"/>
          <w:u w:val="none"/>
        </w:rPr>
        <w:t>2010</w:t>
      </w:r>
      <w:r>
        <w:rPr>
          <w:spacing w:val="-5"/>
          <w:sz w:val="18"/>
          <w:u w:val="none"/>
        </w:rPr>
        <w:t> </w:t>
      </w:r>
      <w:r>
        <w:rPr>
          <w:sz w:val="18"/>
          <w:u w:val="none"/>
        </w:rPr>
        <w:t>implementing</w:t>
      </w:r>
      <w:r>
        <w:rPr>
          <w:spacing w:val="-5"/>
          <w:sz w:val="18"/>
          <w:u w:val="none"/>
        </w:rPr>
        <w:t> </w:t>
      </w:r>
      <w:r>
        <w:rPr>
          <w:sz w:val="18"/>
          <w:u w:val="none"/>
        </w:rPr>
        <w:t>the</w:t>
      </w:r>
      <w:r>
        <w:rPr>
          <w:spacing w:val="-5"/>
          <w:sz w:val="18"/>
          <w:u w:val="none"/>
        </w:rPr>
        <w:t> </w:t>
      </w:r>
      <w:r>
        <w:rPr>
          <w:sz w:val="18"/>
          <w:u w:val="none"/>
        </w:rPr>
        <w:t>revised</w:t>
      </w:r>
      <w:r>
        <w:rPr>
          <w:spacing w:val="-6"/>
          <w:sz w:val="18"/>
          <w:u w:val="none"/>
        </w:rPr>
        <w:t> </w:t>
      </w:r>
      <w:r>
        <w:rPr>
          <w:sz w:val="18"/>
          <w:u w:val="none"/>
        </w:rPr>
        <w:t>Framework</w:t>
      </w:r>
      <w:r>
        <w:rPr>
          <w:spacing w:val="-5"/>
          <w:sz w:val="18"/>
          <w:u w:val="none"/>
        </w:rPr>
        <w:t> </w:t>
      </w:r>
      <w:r>
        <w:rPr>
          <w:sz w:val="18"/>
          <w:u w:val="none"/>
        </w:rPr>
        <w:t>Agreement</w:t>
      </w:r>
      <w:r>
        <w:rPr>
          <w:spacing w:val="-5"/>
          <w:sz w:val="18"/>
          <w:u w:val="none"/>
        </w:rPr>
        <w:t> </w:t>
      </w:r>
      <w:r>
        <w:rPr>
          <w:sz w:val="18"/>
          <w:u w:val="none"/>
        </w:rPr>
        <w:t>on</w:t>
      </w:r>
      <w:r>
        <w:rPr>
          <w:spacing w:val="-5"/>
          <w:sz w:val="18"/>
          <w:u w:val="none"/>
        </w:rPr>
        <w:t> </w:t>
      </w:r>
      <w:r>
        <w:rPr>
          <w:sz w:val="18"/>
          <w:u w:val="none"/>
        </w:rPr>
        <w:t>parental</w:t>
      </w:r>
      <w:r>
        <w:rPr>
          <w:spacing w:val="-6"/>
          <w:sz w:val="18"/>
          <w:u w:val="none"/>
        </w:rPr>
        <w:t> </w:t>
      </w:r>
      <w:r>
        <w:rPr>
          <w:sz w:val="18"/>
          <w:u w:val="none"/>
        </w:rPr>
        <w:t>leave</w:t>
      </w:r>
      <w:r>
        <w:rPr>
          <w:spacing w:val="-5"/>
          <w:sz w:val="18"/>
          <w:u w:val="none"/>
        </w:rPr>
        <w:t> </w:t>
      </w:r>
      <w:r>
        <w:rPr>
          <w:sz w:val="18"/>
          <w:u w:val="none"/>
        </w:rPr>
        <w:t>concluded</w:t>
      </w:r>
      <w:r>
        <w:rPr>
          <w:spacing w:val="-6"/>
          <w:sz w:val="18"/>
          <w:u w:val="none"/>
        </w:rPr>
        <w:t> </w:t>
      </w:r>
      <w:r>
        <w:rPr>
          <w:sz w:val="18"/>
          <w:u w:val="none"/>
        </w:rPr>
        <w:t>by BUSINESSEUROPE, UEAPME, CEEP and ETUC and repealing Directive 96/34/EC (Parental Leave Directive).</w:t>
      </w:r>
    </w:p>
    <w:p>
      <w:pPr>
        <w:pStyle w:val="ListParagraph"/>
        <w:numPr>
          <w:ilvl w:val="0"/>
          <w:numId w:val="18"/>
        </w:numPr>
        <w:tabs>
          <w:tab w:pos="1684" w:val="left" w:leader="none"/>
        </w:tabs>
        <w:spacing w:line="240" w:lineRule="auto" w:before="0" w:after="0"/>
        <w:ind w:left="1684" w:right="0" w:hanging="567"/>
        <w:jc w:val="left"/>
        <w:rPr>
          <w:sz w:val="18"/>
        </w:rPr>
      </w:pPr>
      <w:r>
        <w:rPr>
          <w:color w:val="1D71B8"/>
          <w:sz w:val="18"/>
          <w:u w:val="single" w:color="1D71B8"/>
        </w:rPr>
        <w:t>Work</w:t>
      </w:r>
      <w:r>
        <w:rPr>
          <w:color w:val="1D71B8"/>
          <w:spacing w:val="-5"/>
          <w:sz w:val="18"/>
          <w:u w:val="single" w:color="1D71B8"/>
        </w:rPr>
        <w:t> </w:t>
      </w:r>
      <w:r>
        <w:rPr>
          <w:color w:val="1D71B8"/>
          <w:sz w:val="18"/>
          <w:u w:val="single" w:color="1D71B8"/>
        </w:rPr>
        <w:t>Life</w:t>
      </w:r>
      <w:r>
        <w:rPr>
          <w:color w:val="1D71B8"/>
          <w:spacing w:val="-6"/>
          <w:sz w:val="18"/>
          <w:u w:val="single" w:color="1D71B8"/>
        </w:rPr>
        <w:t> </w:t>
      </w:r>
      <w:r>
        <w:rPr>
          <w:color w:val="1D71B8"/>
          <w:sz w:val="18"/>
          <w:u w:val="single" w:color="1D71B8"/>
        </w:rPr>
        <w:t>Balance</w:t>
      </w:r>
      <w:r>
        <w:rPr>
          <w:color w:val="1D71B8"/>
          <w:spacing w:val="-5"/>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Miscellaneous</w:t>
      </w:r>
      <w:r>
        <w:rPr>
          <w:color w:val="1D71B8"/>
          <w:spacing w:val="-6"/>
          <w:sz w:val="18"/>
          <w:u w:val="single" w:color="1D71B8"/>
        </w:rPr>
        <w:t> </w:t>
      </w:r>
      <w:r>
        <w:rPr>
          <w:color w:val="1D71B8"/>
          <w:sz w:val="18"/>
          <w:u w:val="single" w:color="1D71B8"/>
        </w:rPr>
        <w:t>Provisions</w:t>
      </w:r>
      <w:r>
        <w:rPr>
          <w:color w:val="1D71B8"/>
          <w:spacing w:val="-6"/>
          <w:sz w:val="18"/>
          <w:u w:val="single" w:color="1D71B8"/>
        </w:rPr>
        <w:t> </w:t>
      </w:r>
      <w:r>
        <w:rPr>
          <w:color w:val="1D71B8"/>
          <w:sz w:val="18"/>
          <w:u w:val="single" w:color="1D71B8"/>
        </w:rPr>
        <w:t>Act</w:t>
      </w:r>
      <w:r>
        <w:rPr>
          <w:color w:val="1D71B8"/>
          <w:spacing w:val="-4"/>
          <w:sz w:val="18"/>
          <w:u w:val="single" w:color="1D71B8"/>
        </w:rPr>
        <w:t> </w:t>
      </w:r>
      <w:r>
        <w:rPr>
          <w:color w:val="1D71B8"/>
          <w:spacing w:val="-2"/>
          <w:sz w:val="18"/>
          <w:u w:val="single" w:color="1D71B8"/>
        </w:rPr>
        <w:t>2023</w:t>
      </w:r>
      <w:r>
        <w:rPr>
          <w:spacing w:val="-2"/>
          <w:sz w:val="18"/>
          <w:u w:val="none"/>
        </w:rPr>
        <w:t>.</w:t>
      </w:r>
    </w:p>
    <w:p>
      <w:pPr>
        <w:pStyle w:val="ListParagraph"/>
        <w:numPr>
          <w:ilvl w:val="0"/>
          <w:numId w:val="18"/>
        </w:numPr>
        <w:tabs>
          <w:tab w:pos="1684" w:val="left" w:leader="none"/>
        </w:tabs>
        <w:spacing w:line="240" w:lineRule="auto" w:before="1" w:after="0"/>
        <w:ind w:left="1684"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6</w:t>
      </w:r>
      <w:r>
        <w:rPr>
          <w:spacing w:val="-5"/>
          <w:sz w:val="18"/>
          <w:u w:val="none"/>
        </w:rPr>
        <w:t>.</w:t>
      </w:r>
    </w:p>
    <w:p>
      <w:pPr>
        <w:pStyle w:val="ListParagraph"/>
        <w:numPr>
          <w:ilvl w:val="0"/>
          <w:numId w:val="18"/>
        </w:numPr>
        <w:tabs>
          <w:tab w:pos="1684" w:val="left" w:leader="none"/>
        </w:tabs>
        <w:spacing w:line="240" w:lineRule="auto" w:before="0" w:after="0"/>
        <w:ind w:left="1684" w:right="805" w:hanging="567"/>
        <w:jc w:val="left"/>
        <w:rPr>
          <w:sz w:val="18"/>
        </w:rPr>
      </w:pPr>
      <w:r>
        <w:rPr>
          <w:sz w:val="18"/>
        </w:rPr>
        <w:t>Ibid.,</w:t>
      </w:r>
      <w:r>
        <w:rPr>
          <w:spacing w:val="-5"/>
          <w:sz w:val="18"/>
        </w:rPr>
        <w:t> </w:t>
      </w:r>
      <w:r>
        <w:rPr>
          <w:color w:val="1D71B8"/>
          <w:sz w:val="18"/>
          <w:u w:val="single" w:color="1D71B8"/>
        </w:rPr>
        <w:t>section</w:t>
      </w:r>
      <w:r>
        <w:rPr>
          <w:color w:val="1D71B8"/>
          <w:spacing w:val="-5"/>
          <w:sz w:val="18"/>
          <w:u w:val="single" w:color="1D71B8"/>
        </w:rPr>
        <w:t> </w:t>
      </w:r>
      <w:r>
        <w:rPr>
          <w:color w:val="1D71B8"/>
          <w:sz w:val="18"/>
          <w:u w:val="single" w:color="1D71B8"/>
        </w:rPr>
        <w:t>7</w:t>
      </w:r>
      <w:r>
        <w:rPr>
          <w:sz w:val="18"/>
          <w:u w:val="none"/>
        </w:rPr>
        <w:t>.</w:t>
      </w:r>
      <w:r>
        <w:rPr>
          <w:spacing w:val="-5"/>
          <w:sz w:val="18"/>
          <w:u w:val="none"/>
        </w:rPr>
        <w:t> </w:t>
      </w:r>
      <w:r>
        <w:rPr>
          <w:sz w:val="18"/>
          <w:u w:val="none"/>
        </w:rPr>
        <w:t>This</w:t>
      </w:r>
      <w:r>
        <w:rPr>
          <w:spacing w:val="-5"/>
          <w:sz w:val="18"/>
          <w:u w:val="none"/>
        </w:rPr>
        <w:t> </w:t>
      </w:r>
      <w:r>
        <w:rPr>
          <w:sz w:val="18"/>
          <w:u w:val="none"/>
        </w:rPr>
        <w:t>provision</w:t>
      </w:r>
      <w:r>
        <w:rPr>
          <w:spacing w:val="-5"/>
          <w:sz w:val="18"/>
          <w:u w:val="none"/>
        </w:rPr>
        <w:t> </w:t>
      </w:r>
      <w:r>
        <w:rPr>
          <w:sz w:val="18"/>
          <w:u w:val="none"/>
        </w:rPr>
        <w:t>came</w:t>
      </w:r>
      <w:r>
        <w:rPr>
          <w:spacing w:val="-4"/>
          <w:sz w:val="18"/>
          <w:u w:val="none"/>
        </w:rPr>
        <w:t> </w:t>
      </w:r>
      <w:r>
        <w:rPr>
          <w:sz w:val="18"/>
          <w:u w:val="none"/>
        </w:rPr>
        <w:t>into</w:t>
      </w:r>
      <w:r>
        <w:rPr>
          <w:spacing w:val="-5"/>
          <w:sz w:val="18"/>
          <w:u w:val="none"/>
        </w:rPr>
        <w:t> </w:t>
      </w:r>
      <w:r>
        <w:rPr>
          <w:sz w:val="18"/>
          <w:u w:val="none"/>
        </w:rPr>
        <w:t>force</w:t>
      </w:r>
      <w:r>
        <w:rPr>
          <w:spacing w:val="-4"/>
          <w:sz w:val="18"/>
          <w:u w:val="none"/>
        </w:rPr>
        <w:t> </w:t>
      </w:r>
      <w:r>
        <w:rPr>
          <w:sz w:val="18"/>
          <w:u w:val="none"/>
        </w:rPr>
        <w:t>in</w:t>
      </w:r>
      <w:r>
        <w:rPr>
          <w:spacing w:val="-5"/>
          <w:sz w:val="18"/>
          <w:u w:val="none"/>
        </w:rPr>
        <w:t> </w:t>
      </w:r>
      <w:r>
        <w:rPr>
          <w:sz w:val="18"/>
          <w:u w:val="none"/>
        </w:rPr>
        <w:t>November</w:t>
      </w:r>
      <w:r>
        <w:rPr>
          <w:spacing w:val="-4"/>
          <w:sz w:val="18"/>
          <w:u w:val="none"/>
        </w:rPr>
        <w:t> </w:t>
      </w:r>
      <w:r>
        <w:rPr>
          <w:sz w:val="18"/>
          <w:u w:val="none"/>
        </w:rPr>
        <w:t>2023:</w:t>
      </w:r>
      <w:r>
        <w:rPr>
          <w:spacing w:val="-4"/>
          <w:sz w:val="18"/>
          <w:u w:val="none"/>
        </w:rPr>
        <w:t> </w:t>
      </w:r>
      <w:r>
        <w:rPr>
          <w:sz w:val="18"/>
          <w:u w:val="none"/>
        </w:rPr>
        <w:t>Government</w:t>
      </w:r>
      <w:r>
        <w:rPr>
          <w:spacing w:val="-4"/>
          <w:sz w:val="18"/>
          <w:u w:val="none"/>
        </w:rPr>
        <w:t> </w:t>
      </w:r>
      <w:r>
        <w:rPr>
          <w:sz w:val="18"/>
          <w:u w:val="none"/>
        </w:rPr>
        <w:t>of</w:t>
      </w:r>
      <w:r>
        <w:rPr>
          <w:spacing w:val="-5"/>
          <w:sz w:val="18"/>
          <w:u w:val="none"/>
        </w:rPr>
        <w:t> </w:t>
      </w:r>
      <w:r>
        <w:rPr>
          <w:sz w:val="18"/>
          <w:u w:val="none"/>
        </w:rPr>
        <w:t>Ireland,</w:t>
      </w:r>
      <w:r>
        <w:rPr>
          <w:spacing w:val="-5"/>
          <w:sz w:val="18"/>
          <w:u w:val="none"/>
        </w:rPr>
        <w:t> </w:t>
      </w:r>
      <w:r>
        <w:rPr>
          <w:color w:val="1D71B8"/>
          <w:sz w:val="18"/>
          <w:u w:val="single" w:color="1D71B8"/>
        </w:rPr>
        <w:t>New</w:t>
      </w:r>
      <w:r>
        <w:rPr>
          <w:color w:val="1D71B8"/>
          <w:spacing w:val="-4"/>
          <w:sz w:val="18"/>
          <w:u w:val="single" w:color="1D71B8"/>
        </w:rPr>
        <w:t> </w:t>
      </w:r>
      <w:r>
        <w:rPr>
          <w:color w:val="1D71B8"/>
          <w:sz w:val="18"/>
          <w:u w:val="single" w:color="1D71B8"/>
        </w:rPr>
        <w:t>right</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domestic</w:t>
      </w:r>
      <w:r>
        <w:rPr>
          <w:color w:val="1D71B8"/>
          <w:spacing w:val="-4"/>
          <w:sz w:val="18"/>
          <w:u w:val="single" w:color="1D71B8"/>
        </w:rPr>
        <w:t> </w:t>
      </w:r>
      <w:r>
        <w:rPr>
          <w:color w:val="1D71B8"/>
          <w:sz w:val="18"/>
          <w:u w:val="single" w:color="1D71B8"/>
        </w:rPr>
        <w:t>violence</w:t>
      </w:r>
      <w:r>
        <w:rPr>
          <w:color w:val="1D71B8"/>
          <w:sz w:val="18"/>
          <w:u w:val="none"/>
        </w:rPr>
        <w:t> </w:t>
      </w:r>
      <w:r>
        <w:rPr>
          <w:color w:val="1D71B8"/>
          <w:sz w:val="18"/>
          <w:u w:val="single" w:color="1D71B8"/>
        </w:rPr>
        <w:t>leave comes into force</w:t>
      </w:r>
      <w:r>
        <w:rPr>
          <w:color w:val="1D71B8"/>
          <w:sz w:val="18"/>
          <w:u w:val="none"/>
        </w:rPr>
        <w:t> </w:t>
      </w:r>
      <w:r>
        <w:rPr>
          <w:sz w:val="18"/>
          <w:u w:val="none"/>
        </w:rPr>
        <w:t>(27 November 2023).</w:t>
      </w:r>
    </w:p>
    <w:p>
      <w:pPr>
        <w:pStyle w:val="ListParagraph"/>
        <w:numPr>
          <w:ilvl w:val="0"/>
          <w:numId w:val="18"/>
        </w:numPr>
        <w:tabs>
          <w:tab w:pos="1684" w:val="left" w:leader="none"/>
        </w:tabs>
        <w:spacing w:line="240" w:lineRule="auto" w:before="1" w:after="0"/>
        <w:ind w:left="1684" w:right="0" w:hanging="567"/>
        <w:jc w:val="left"/>
        <w:rPr>
          <w:sz w:val="18"/>
        </w:rPr>
      </w:pPr>
      <w:r>
        <w:rPr>
          <w:sz w:val="18"/>
        </w:rPr>
        <w:t>Work</w:t>
      </w:r>
      <w:r>
        <w:rPr>
          <w:spacing w:val="-6"/>
          <w:sz w:val="18"/>
        </w:rPr>
        <w:t> </w:t>
      </w:r>
      <w:r>
        <w:rPr>
          <w:sz w:val="18"/>
        </w:rPr>
        <w:t>Life</w:t>
      </w:r>
      <w:r>
        <w:rPr>
          <w:spacing w:val="-5"/>
          <w:sz w:val="18"/>
        </w:rPr>
        <w:t> </w:t>
      </w:r>
      <w:r>
        <w:rPr>
          <w:sz w:val="18"/>
        </w:rPr>
        <w:t>Balance</w:t>
      </w:r>
      <w:r>
        <w:rPr>
          <w:spacing w:val="-5"/>
          <w:sz w:val="18"/>
        </w:rPr>
        <w:t> </w:t>
      </w:r>
      <w:r>
        <w:rPr>
          <w:sz w:val="18"/>
        </w:rPr>
        <w:t>and</w:t>
      </w:r>
      <w:r>
        <w:rPr>
          <w:spacing w:val="-6"/>
          <w:sz w:val="18"/>
        </w:rPr>
        <w:t> </w:t>
      </w:r>
      <w:r>
        <w:rPr>
          <w:sz w:val="18"/>
        </w:rPr>
        <w:t>Miscellaneous</w:t>
      </w:r>
      <w:r>
        <w:rPr>
          <w:spacing w:val="-6"/>
          <w:sz w:val="18"/>
        </w:rPr>
        <w:t> </w:t>
      </w:r>
      <w:r>
        <w:rPr>
          <w:sz w:val="18"/>
        </w:rPr>
        <w:t>Provisions</w:t>
      </w:r>
      <w:r>
        <w:rPr>
          <w:spacing w:val="-6"/>
          <w:sz w:val="18"/>
        </w:rPr>
        <w:t> </w:t>
      </w:r>
      <w:r>
        <w:rPr>
          <w:sz w:val="18"/>
        </w:rPr>
        <w:t>Act</w:t>
      </w:r>
      <w:r>
        <w:rPr>
          <w:spacing w:val="-5"/>
          <w:sz w:val="18"/>
        </w:rPr>
        <w:t> </w:t>
      </w:r>
      <w:r>
        <w:rPr>
          <w:sz w:val="18"/>
        </w:rPr>
        <w:t>2023,</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8</w:t>
      </w:r>
      <w:r>
        <w:rPr>
          <w:spacing w:val="-5"/>
          <w:sz w:val="18"/>
          <w:u w:val="none"/>
        </w:rPr>
        <w:t>.</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20</w:t>
      </w:r>
      <w:r>
        <w:rPr>
          <w:spacing w:val="-5"/>
          <w:sz w:val="18"/>
          <w:u w:val="none"/>
        </w:rPr>
        <w:t>.</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34</w:t>
      </w:r>
      <w:r>
        <w:rPr>
          <w:spacing w:val="-5"/>
          <w:sz w:val="18"/>
          <w:u w:val="none"/>
        </w:rPr>
        <w:t>.</w:t>
      </w:r>
    </w:p>
    <w:p>
      <w:pPr>
        <w:pStyle w:val="ListParagraph"/>
        <w:numPr>
          <w:ilvl w:val="0"/>
          <w:numId w:val="18"/>
        </w:numPr>
        <w:tabs>
          <w:tab w:pos="1684" w:val="left" w:leader="none"/>
        </w:tabs>
        <w:spacing w:line="240" w:lineRule="auto" w:before="0" w:after="0"/>
        <w:ind w:left="1684" w:right="0" w:hanging="567"/>
        <w:jc w:val="left"/>
        <w:rPr>
          <w:sz w:val="18"/>
        </w:rPr>
      </w:pPr>
      <w:r>
        <w:rPr>
          <w:sz w:val="18"/>
        </w:rPr>
        <w:t>Government</w:t>
      </w:r>
      <w:r>
        <w:rPr>
          <w:spacing w:val="-7"/>
          <w:sz w:val="18"/>
        </w:rPr>
        <w:t> </w:t>
      </w:r>
      <w:r>
        <w:rPr>
          <w:sz w:val="18"/>
        </w:rPr>
        <w:t>of</w:t>
      </w:r>
      <w:r>
        <w:rPr>
          <w:spacing w:val="-7"/>
          <w:sz w:val="18"/>
        </w:rPr>
        <w:t> </w:t>
      </w:r>
      <w:r>
        <w:rPr>
          <w:sz w:val="18"/>
        </w:rPr>
        <w:t>Ireland,</w:t>
      </w:r>
      <w:r>
        <w:rPr>
          <w:spacing w:val="-6"/>
          <w:sz w:val="18"/>
        </w:rPr>
        <w:t> </w:t>
      </w:r>
      <w:r>
        <w:rPr>
          <w:color w:val="1D71B8"/>
          <w:sz w:val="18"/>
          <w:u w:val="single" w:color="1D71B8"/>
        </w:rPr>
        <w:t>Making</w:t>
      </w:r>
      <w:r>
        <w:rPr>
          <w:color w:val="1D71B8"/>
          <w:spacing w:val="-6"/>
          <w:sz w:val="18"/>
          <w:u w:val="single" w:color="1D71B8"/>
        </w:rPr>
        <w:t> </w:t>
      </w:r>
      <w:r>
        <w:rPr>
          <w:color w:val="1D71B8"/>
          <w:sz w:val="18"/>
          <w:u w:val="single" w:color="1D71B8"/>
        </w:rPr>
        <w:t>Remote</w:t>
      </w:r>
      <w:r>
        <w:rPr>
          <w:color w:val="1D71B8"/>
          <w:spacing w:val="-6"/>
          <w:sz w:val="18"/>
          <w:u w:val="single" w:color="1D71B8"/>
        </w:rPr>
        <w:t> </w:t>
      </w:r>
      <w:r>
        <w:rPr>
          <w:color w:val="1D71B8"/>
          <w:sz w:val="18"/>
          <w:u w:val="single" w:color="1D71B8"/>
        </w:rPr>
        <w:t>Work:</w:t>
      </w:r>
      <w:r>
        <w:rPr>
          <w:color w:val="1D71B8"/>
          <w:spacing w:val="-7"/>
          <w:sz w:val="18"/>
          <w:u w:val="single" w:color="1D71B8"/>
        </w:rPr>
        <w:t> </w:t>
      </w:r>
      <w:r>
        <w:rPr>
          <w:color w:val="1D71B8"/>
          <w:sz w:val="18"/>
          <w:u w:val="single" w:color="1D71B8"/>
        </w:rPr>
        <w:t>National</w:t>
      </w:r>
      <w:r>
        <w:rPr>
          <w:color w:val="1D71B8"/>
          <w:spacing w:val="-7"/>
          <w:sz w:val="18"/>
          <w:u w:val="single" w:color="1D71B8"/>
        </w:rPr>
        <w:t> </w:t>
      </w:r>
      <w:r>
        <w:rPr>
          <w:color w:val="1D71B8"/>
          <w:sz w:val="18"/>
          <w:u w:val="single" w:color="1D71B8"/>
        </w:rPr>
        <w:t>Remote</w:t>
      </w:r>
      <w:r>
        <w:rPr>
          <w:color w:val="1D71B8"/>
          <w:spacing w:val="-6"/>
          <w:sz w:val="18"/>
          <w:u w:val="single" w:color="1D71B8"/>
        </w:rPr>
        <w:t> </w:t>
      </w:r>
      <w:r>
        <w:rPr>
          <w:color w:val="1D71B8"/>
          <w:sz w:val="18"/>
          <w:u w:val="single" w:color="1D71B8"/>
        </w:rPr>
        <w:t>Work</w:t>
      </w:r>
      <w:r>
        <w:rPr>
          <w:color w:val="1D71B8"/>
          <w:spacing w:val="-6"/>
          <w:sz w:val="18"/>
          <w:u w:val="single" w:color="1D71B8"/>
        </w:rPr>
        <w:t> </w:t>
      </w:r>
      <w:r>
        <w:rPr>
          <w:color w:val="1D71B8"/>
          <w:sz w:val="18"/>
          <w:u w:val="single" w:color="1D71B8"/>
        </w:rPr>
        <w:t>Strategy</w:t>
      </w:r>
      <w:r>
        <w:rPr>
          <w:color w:val="1D71B8"/>
          <w:spacing w:val="-7"/>
          <w:sz w:val="18"/>
          <w:u w:val="none"/>
        </w:rPr>
        <w:t> </w:t>
      </w:r>
      <w:r>
        <w:rPr>
          <w:spacing w:val="-2"/>
          <w:sz w:val="18"/>
          <w:u w:val="none"/>
        </w:rPr>
        <w:t>(2021).</w:t>
      </w:r>
    </w:p>
    <w:p>
      <w:pPr>
        <w:pStyle w:val="ListParagraph"/>
        <w:numPr>
          <w:ilvl w:val="0"/>
          <w:numId w:val="18"/>
        </w:numPr>
        <w:tabs>
          <w:tab w:pos="1684" w:val="left" w:leader="none"/>
        </w:tabs>
        <w:spacing w:line="240" w:lineRule="auto" w:before="1" w:after="0"/>
        <w:ind w:left="1684" w:right="0" w:hanging="567"/>
        <w:jc w:val="left"/>
        <w:rPr>
          <w:sz w:val="18"/>
        </w:rPr>
      </w:pPr>
      <w:r>
        <w:rPr>
          <w:sz w:val="18"/>
        </w:rPr>
        <w:t>Ibid., </w:t>
      </w:r>
      <w:r>
        <w:rPr>
          <w:spacing w:val="-5"/>
          <w:sz w:val="18"/>
        </w:rPr>
        <w:t>24.</w:t>
      </w:r>
    </w:p>
    <w:p>
      <w:pPr>
        <w:pStyle w:val="ListParagraph"/>
        <w:numPr>
          <w:ilvl w:val="0"/>
          <w:numId w:val="18"/>
        </w:numPr>
        <w:tabs>
          <w:tab w:pos="1684" w:val="left" w:leader="none"/>
        </w:tabs>
        <w:spacing w:line="240" w:lineRule="auto" w:before="0" w:after="0"/>
        <w:ind w:left="1684" w:right="886" w:hanging="567"/>
        <w:jc w:val="left"/>
        <w:rPr>
          <w:sz w:val="18"/>
        </w:rPr>
      </w:pPr>
      <w:r>
        <w:rPr>
          <w:sz w:val="18"/>
        </w:rPr>
        <w:t>Consolidated</w:t>
      </w:r>
      <w:r>
        <w:rPr>
          <w:spacing w:val="-5"/>
          <w:sz w:val="18"/>
        </w:rPr>
        <w:t> </w:t>
      </w:r>
      <w:r>
        <w:rPr>
          <w:sz w:val="18"/>
        </w:rPr>
        <w:t>text:</w:t>
      </w:r>
      <w:r>
        <w:rPr>
          <w:spacing w:val="-4"/>
          <w:sz w:val="18"/>
        </w:rPr>
        <w:t> </w:t>
      </w:r>
      <w:r>
        <w:rPr>
          <w:sz w:val="18"/>
        </w:rPr>
        <w:t>Council</w:t>
      </w:r>
      <w:r>
        <w:rPr>
          <w:spacing w:val="-5"/>
          <w:sz w:val="18"/>
        </w:rPr>
        <w:t> </w:t>
      </w:r>
      <w:r>
        <w:rPr>
          <w:sz w:val="18"/>
        </w:rPr>
        <w:t>Directive</w:t>
      </w:r>
      <w:r>
        <w:rPr>
          <w:spacing w:val="-4"/>
          <w:sz w:val="18"/>
        </w:rPr>
        <w:t> </w:t>
      </w:r>
      <w:r>
        <w:rPr>
          <w:sz w:val="18"/>
        </w:rPr>
        <w:t>of</w:t>
      </w:r>
      <w:r>
        <w:rPr>
          <w:spacing w:val="-5"/>
          <w:sz w:val="18"/>
        </w:rPr>
        <w:t> </w:t>
      </w:r>
      <w:r>
        <w:rPr>
          <w:sz w:val="18"/>
        </w:rPr>
        <w:t>12</w:t>
      </w:r>
      <w:r>
        <w:rPr>
          <w:spacing w:val="-4"/>
          <w:sz w:val="18"/>
        </w:rPr>
        <w:t> </w:t>
      </w:r>
      <w:r>
        <w:rPr>
          <w:sz w:val="18"/>
        </w:rPr>
        <w:t>June</w:t>
      </w:r>
      <w:r>
        <w:rPr>
          <w:spacing w:val="-4"/>
          <w:sz w:val="18"/>
        </w:rPr>
        <w:t> </w:t>
      </w:r>
      <w:r>
        <w:rPr>
          <w:sz w:val="18"/>
        </w:rPr>
        <w:t>1989</w:t>
      </w:r>
      <w:r>
        <w:rPr>
          <w:spacing w:val="-4"/>
          <w:sz w:val="18"/>
        </w:rPr>
        <w:t> </w:t>
      </w:r>
      <w:r>
        <w:rPr>
          <w:sz w:val="18"/>
        </w:rPr>
        <w:t>on</w:t>
      </w:r>
      <w:r>
        <w:rPr>
          <w:spacing w:val="-5"/>
          <w:sz w:val="18"/>
        </w:rPr>
        <w:t> </w:t>
      </w:r>
      <w:r>
        <w:rPr>
          <w:sz w:val="18"/>
        </w:rPr>
        <w:t>the</w:t>
      </w:r>
      <w:r>
        <w:rPr>
          <w:spacing w:val="-4"/>
          <w:sz w:val="18"/>
        </w:rPr>
        <w:t> </w:t>
      </w:r>
      <w:r>
        <w:rPr>
          <w:sz w:val="18"/>
        </w:rPr>
        <w:t>introduction</w:t>
      </w:r>
      <w:r>
        <w:rPr>
          <w:spacing w:val="-5"/>
          <w:sz w:val="18"/>
        </w:rPr>
        <w:t> </w:t>
      </w:r>
      <w:r>
        <w:rPr>
          <w:sz w:val="18"/>
        </w:rPr>
        <w:t>of</w:t>
      </w:r>
      <w:r>
        <w:rPr>
          <w:spacing w:val="-5"/>
          <w:sz w:val="18"/>
        </w:rPr>
        <w:t> </w:t>
      </w:r>
      <w:r>
        <w:rPr>
          <w:sz w:val="18"/>
        </w:rPr>
        <w:t>measures</w:t>
      </w:r>
      <w:r>
        <w:rPr>
          <w:spacing w:val="-5"/>
          <w:sz w:val="18"/>
        </w:rPr>
        <w:t> </w:t>
      </w:r>
      <w:r>
        <w:rPr>
          <w:sz w:val="18"/>
        </w:rPr>
        <w:t>to</w:t>
      </w:r>
      <w:r>
        <w:rPr>
          <w:spacing w:val="-5"/>
          <w:sz w:val="18"/>
        </w:rPr>
        <w:t> </w:t>
      </w:r>
      <w:r>
        <w:rPr>
          <w:sz w:val="18"/>
        </w:rPr>
        <w:t>encourage</w:t>
      </w:r>
      <w:r>
        <w:rPr>
          <w:spacing w:val="-4"/>
          <w:sz w:val="18"/>
        </w:rPr>
        <w:t> </w:t>
      </w:r>
      <w:r>
        <w:rPr>
          <w:sz w:val="18"/>
        </w:rPr>
        <w:t>improvements</w:t>
      </w:r>
      <w:r>
        <w:rPr>
          <w:spacing w:val="-5"/>
          <w:sz w:val="18"/>
        </w:rPr>
        <w:t> </w:t>
      </w:r>
      <w:r>
        <w:rPr>
          <w:sz w:val="18"/>
        </w:rPr>
        <w:t>in</w:t>
      </w:r>
      <w:r>
        <w:rPr>
          <w:spacing w:val="-5"/>
          <w:sz w:val="18"/>
        </w:rPr>
        <w:t> </w:t>
      </w:r>
      <w:r>
        <w:rPr>
          <w:sz w:val="18"/>
        </w:rPr>
        <w:t>the safety and health of workers at work (</w:t>
      </w:r>
      <w:r>
        <w:rPr>
          <w:color w:val="1D71B8"/>
          <w:sz w:val="18"/>
          <w:u w:val="single" w:color="1D71B8"/>
        </w:rPr>
        <w:t>89/391/EEC</w:t>
      </w:r>
      <w:r>
        <w:rPr>
          <w:sz w:val="18"/>
          <w:u w:val="none"/>
        </w:rPr>
        <w:t>) 1989.</w:t>
      </w:r>
    </w:p>
    <w:p>
      <w:pPr>
        <w:pStyle w:val="ListParagraph"/>
        <w:numPr>
          <w:ilvl w:val="0"/>
          <w:numId w:val="18"/>
        </w:numPr>
        <w:tabs>
          <w:tab w:pos="1684" w:val="left" w:leader="none"/>
        </w:tabs>
        <w:spacing w:line="240" w:lineRule="auto" w:before="0" w:after="0"/>
        <w:ind w:left="1684" w:right="1170" w:hanging="567"/>
        <w:jc w:val="left"/>
        <w:rPr>
          <w:sz w:val="18"/>
        </w:rPr>
      </w:pPr>
      <w:r>
        <w:rPr>
          <w:color w:val="1D71B8"/>
          <w:sz w:val="18"/>
          <w:u w:val="single" w:color="1D71B8"/>
        </w:rPr>
        <w:t>Council</w:t>
      </w:r>
      <w:r>
        <w:rPr>
          <w:color w:val="1D71B8"/>
          <w:spacing w:val="-5"/>
          <w:sz w:val="18"/>
          <w:u w:val="single" w:color="1D71B8"/>
        </w:rPr>
        <w:t> </w:t>
      </w:r>
      <w:r>
        <w:rPr>
          <w:color w:val="1D71B8"/>
          <w:sz w:val="18"/>
          <w:u w:val="single" w:color="1D71B8"/>
        </w:rPr>
        <w:t>Directive</w:t>
      </w:r>
      <w:r>
        <w:rPr>
          <w:color w:val="1D71B8"/>
          <w:spacing w:val="-4"/>
          <w:sz w:val="18"/>
          <w:u w:val="single" w:color="1D71B8"/>
        </w:rPr>
        <w:t> </w:t>
      </w:r>
      <w:r>
        <w:rPr>
          <w:color w:val="1D71B8"/>
          <w:sz w:val="18"/>
          <w:u w:val="single" w:color="1D71B8"/>
        </w:rPr>
        <w:t>90/270/EEC</w:t>
      </w:r>
      <w:r>
        <w:rPr>
          <w:color w:val="1D71B8"/>
          <w:spacing w:val="-4"/>
          <w:sz w:val="18"/>
          <w:u w:val="none"/>
        </w:rPr>
        <w:t> </w:t>
      </w:r>
      <w:r>
        <w:rPr>
          <w:sz w:val="18"/>
          <w:u w:val="none"/>
        </w:rPr>
        <w:t>of</w:t>
      </w:r>
      <w:r>
        <w:rPr>
          <w:spacing w:val="-5"/>
          <w:sz w:val="18"/>
          <w:u w:val="none"/>
        </w:rPr>
        <w:t> </w:t>
      </w:r>
      <w:r>
        <w:rPr>
          <w:sz w:val="18"/>
          <w:u w:val="none"/>
        </w:rPr>
        <w:t>29</w:t>
      </w:r>
      <w:r>
        <w:rPr>
          <w:spacing w:val="-4"/>
          <w:sz w:val="18"/>
          <w:u w:val="none"/>
        </w:rPr>
        <w:t> </w:t>
      </w:r>
      <w:r>
        <w:rPr>
          <w:sz w:val="18"/>
          <w:u w:val="none"/>
        </w:rPr>
        <w:t>May</w:t>
      </w:r>
      <w:r>
        <w:rPr>
          <w:spacing w:val="-4"/>
          <w:sz w:val="18"/>
          <w:u w:val="none"/>
        </w:rPr>
        <w:t> </w:t>
      </w:r>
      <w:r>
        <w:rPr>
          <w:sz w:val="18"/>
          <w:u w:val="none"/>
        </w:rPr>
        <w:t>1990</w:t>
      </w:r>
      <w:r>
        <w:rPr>
          <w:spacing w:val="-4"/>
          <w:sz w:val="18"/>
          <w:u w:val="none"/>
        </w:rPr>
        <w:t> </w:t>
      </w:r>
      <w:r>
        <w:rPr>
          <w:sz w:val="18"/>
          <w:u w:val="none"/>
        </w:rPr>
        <w:t>on</w:t>
      </w:r>
      <w:r>
        <w:rPr>
          <w:spacing w:val="-5"/>
          <w:sz w:val="18"/>
          <w:u w:val="none"/>
        </w:rPr>
        <w:t> </w:t>
      </w:r>
      <w:r>
        <w:rPr>
          <w:sz w:val="18"/>
          <w:u w:val="none"/>
        </w:rPr>
        <w:t>the</w:t>
      </w:r>
      <w:r>
        <w:rPr>
          <w:spacing w:val="-4"/>
          <w:sz w:val="18"/>
          <w:u w:val="none"/>
        </w:rPr>
        <w:t> </w:t>
      </w:r>
      <w:r>
        <w:rPr>
          <w:sz w:val="18"/>
          <w:u w:val="none"/>
        </w:rPr>
        <w:t>minimum</w:t>
      </w:r>
      <w:r>
        <w:rPr>
          <w:spacing w:val="-4"/>
          <w:sz w:val="18"/>
          <w:u w:val="none"/>
        </w:rPr>
        <w:t> </w:t>
      </w:r>
      <w:r>
        <w:rPr>
          <w:sz w:val="18"/>
          <w:u w:val="none"/>
        </w:rPr>
        <w:t>safety</w:t>
      </w:r>
      <w:r>
        <w:rPr>
          <w:spacing w:val="-4"/>
          <w:sz w:val="18"/>
          <w:u w:val="none"/>
        </w:rPr>
        <w:t> </w:t>
      </w:r>
      <w:r>
        <w:rPr>
          <w:sz w:val="18"/>
          <w:u w:val="none"/>
        </w:rPr>
        <w:t>and</w:t>
      </w:r>
      <w:r>
        <w:rPr>
          <w:spacing w:val="-5"/>
          <w:sz w:val="18"/>
          <w:u w:val="none"/>
        </w:rPr>
        <w:t> </w:t>
      </w:r>
      <w:r>
        <w:rPr>
          <w:sz w:val="18"/>
          <w:u w:val="none"/>
        </w:rPr>
        <w:t>health</w:t>
      </w:r>
      <w:r>
        <w:rPr>
          <w:spacing w:val="-5"/>
          <w:sz w:val="18"/>
          <w:u w:val="none"/>
        </w:rPr>
        <w:t> </w:t>
      </w:r>
      <w:r>
        <w:rPr>
          <w:sz w:val="18"/>
          <w:u w:val="none"/>
        </w:rPr>
        <w:t>requirements</w:t>
      </w:r>
      <w:r>
        <w:rPr>
          <w:spacing w:val="-5"/>
          <w:sz w:val="18"/>
          <w:u w:val="none"/>
        </w:rPr>
        <w:t> </w:t>
      </w:r>
      <w:r>
        <w:rPr>
          <w:sz w:val="18"/>
          <w:u w:val="none"/>
        </w:rPr>
        <w:t>for</w:t>
      </w:r>
      <w:r>
        <w:rPr>
          <w:spacing w:val="-4"/>
          <w:sz w:val="18"/>
          <w:u w:val="none"/>
        </w:rPr>
        <w:t> </w:t>
      </w:r>
      <w:r>
        <w:rPr>
          <w:sz w:val="18"/>
          <w:u w:val="none"/>
        </w:rPr>
        <w:t>work</w:t>
      </w:r>
      <w:r>
        <w:rPr>
          <w:spacing w:val="-4"/>
          <w:sz w:val="18"/>
          <w:u w:val="none"/>
        </w:rPr>
        <w:t> </w:t>
      </w:r>
      <w:r>
        <w:rPr>
          <w:sz w:val="18"/>
          <w:u w:val="none"/>
        </w:rPr>
        <w:t>with</w:t>
      </w:r>
      <w:r>
        <w:rPr>
          <w:spacing w:val="-5"/>
          <w:sz w:val="18"/>
          <w:u w:val="none"/>
        </w:rPr>
        <w:t> </w:t>
      </w:r>
      <w:r>
        <w:rPr>
          <w:sz w:val="18"/>
          <w:u w:val="none"/>
        </w:rPr>
        <w:t>display screen equipment (fifth individual Directive within the meaning of Article 16 (1) of Directive 89/391/EEC).</w:t>
      </w:r>
    </w:p>
    <w:p>
      <w:pPr>
        <w:pStyle w:val="ListParagraph"/>
        <w:numPr>
          <w:ilvl w:val="0"/>
          <w:numId w:val="18"/>
        </w:numPr>
        <w:tabs>
          <w:tab w:pos="1684" w:val="left" w:leader="none"/>
        </w:tabs>
        <w:spacing w:line="240" w:lineRule="auto" w:before="1" w:after="0"/>
        <w:ind w:left="1684" w:right="861" w:hanging="567"/>
        <w:jc w:val="left"/>
        <w:rPr>
          <w:sz w:val="18"/>
        </w:rPr>
      </w:pPr>
      <w:r>
        <w:rPr>
          <w:sz w:val="18"/>
        </w:rPr>
        <w:t>Eoin</w:t>
      </w:r>
      <w:r>
        <w:rPr>
          <w:spacing w:val="-6"/>
          <w:sz w:val="18"/>
        </w:rPr>
        <w:t> </w:t>
      </w:r>
      <w:r>
        <w:rPr>
          <w:sz w:val="18"/>
        </w:rPr>
        <w:t>Magennis,</w:t>
      </w:r>
      <w:r>
        <w:rPr>
          <w:spacing w:val="-5"/>
          <w:sz w:val="18"/>
        </w:rPr>
        <w:t> </w:t>
      </w:r>
      <w:r>
        <w:rPr>
          <w:sz w:val="18"/>
        </w:rPr>
        <w:t>Anastasia</w:t>
      </w:r>
      <w:r>
        <w:rPr>
          <w:spacing w:val="-6"/>
          <w:sz w:val="18"/>
        </w:rPr>
        <w:t> </w:t>
      </w:r>
      <w:r>
        <w:rPr>
          <w:sz w:val="18"/>
        </w:rPr>
        <w:t>Desmond</w:t>
      </w:r>
      <w:r>
        <w:rPr>
          <w:spacing w:val="-6"/>
          <w:sz w:val="18"/>
        </w:rPr>
        <w:t> </w:t>
      </w:r>
      <w:r>
        <w:rPr>
          <w:sz w:val="18"/>
        </w:rPr>
        <w:t>and</w:t>
      </w:r>
      <w:r>
        <w:rPr>
          <w:spacing w:val="-6"/>
          <w:sz w:val="18"/>
        </w:rPr>
        <w:t> </w:t>
      </w:r>
      <w:r>
        <w:rPr>
          <w:sz w:val="18"/>
        </w:rPr>
        <w:t>Gareth</w:t>
      </w:r>
      <w:r>
        <w:rPr>
          <w:spacing w:val="-6"/>
          <w:sz w:val="18"/>
        </w:rPr>
        <w:t> </w:t>
      </w:r>
      <w:r>
        <w:rPr>
          <w:sz w:val="18"/>
        </w:rPr>
        <w:t>Hetherington,</w:t>
      </w:r>
      <w:r>
        <w:rPr>
          <w:spacing w:val="-6"/>
          <w:sz w:val="18"/>
        </w:rPr>
        <w:t> </w:t>
      </w:r>
      <w:hyperlink r:id="rId84">
        <w:r>
          <w:rPr>
            <w:color w:val="1D71B8"/>
            <w:sz w:val="18"/>
            <w:u w:val="single" w:color="1D71B8"/>
          </w:rPr>
          <w:t>The</w:t>
        </w:r>
        <w:r>
          <w:rPr>
            <w:color w:val="1D71B8"/>
            <w:spacing w:val="-5"/>
            <w:sz w:val="18"/>
            <w:u w:val="single" w:color="1D71B8"/>
          </w:rPr>
          <w:t> </w:t>
        </w:r>
        <w:r>
          <w:rPr>
            <w:color w:val="1D71B8"/>
            <w:sz w:val="18"/>
            <w:u w:val="single" w:color="1D71B8"/>
          </w:rPr>
          <w:t>Future</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Remote</w:t>
        </w:r>
        <w:r>
          <w:rPr>
            <w:color w:val="1D71B8"/>
            <w:spacing w:val="-5"/>
            <w:sz w:val="18"/>
            <w:u w:val="single" w:color="1D71B8"/>
          </w:rPr>
          <w:t> </w:t>
        </w:r>
        <w:r>
          <w:rPr>
            <w:color w:val="1D71B8"/>
            <w:sz w:val="18"/>
            <w:u w:val="single" w:color="1D71B8"/>
          </w:rPr>
          <w:t>Working</w:t>
        </w:r>
        <w:r>
          <w:rPr>
            <w:color w:val="1D71B8"/>
            <w:spacing w:val="-5"/>
            <w:sz w:val="18"/>
            <w:u w:val="single" w:color="1D71B8"/>
          </w:rPr>
          <w:t> </w:t>
        </w:r>
        <w:r>
          <w:rPr>
            <w:color w:val="1D71B8"/>
            <w:sz w:val="18"/>
            <w:u w:val="single" w:color="1D71B8"/>
          </w:rPr>
          <w:t>in</w:t>
        </w:r>
        <w:r>
          <w:rPr>
            <w:color w:val="1D71B8"/>
            <w:spacing w:val="-6"/>
            <w:sz w:val="18"/>
            <w:u w:val="single" w:color="1D71B8"/>
          </w:rPr>
          <w:t> </w:t>
        </w:r>
        <w:r>
          <w:rPr>
            <w:color w:val="1D71B8"/>
            <w:sz w:val="18"/>
            <w:u w:val="single" w:color="1D71B8"/>
          </w:rPr>
          <w:t>Northern</w:t>
        </w:r>
        <w:r>
          <w:rPr>
            <w:color w:val="1D71B8"/>
            <w:spacing w:val="-6"/>
            <w:sz w:val="18"/>
            <w:u w:val="single" w:color="1D71B8"/>
          </w:rPr>
          <w:t> </w:t>
        </w:r>
        <w:r>
          <w:rPr>
            <w:color w:val="1D71B8"/>
            <w:sz w:val="18"/>
            <w:u w:val="single" w:color="1D71B8"/>
          </w:rPr>
          <w:t>Ireland</w:t>
        </w:r>
      </w:hyperlink>
      <w:r>
        <w:rPr>
          <w:color w:val="1D71B8"/>
          <w:spacing w:val="-6"/>
          <w:sz w:val="18"/>
          <w:u w:val="none"/>
        </w:rPr>
        <w:t> </w:t>
      </w:r>
      <w:r>
        <w:rPr>
          <w:sz w:val="18"/>
          <w:u w:val="none"/>
        </w:rPr>
        <w:t>(Ulster University EPC, 2022) 22.</w:t>
      </w:r>
    </w:p>
    <w:p>
      <w:pPr>
        <w:pStyle w:val="ListParagraph"/>
        <w:numPr>
          <w:ilvl w:val="0"/>
          <w:numId w:val="18"/>
        </w:numPr>
        <w:tabs>
          <w:tab w:pos="1684" w:val="left" w:leader="none"/>
        </w:tabs>
        <w:spacing w:line="240" w:lineRule="auto" w:before="1" w:after="0"/>
        <w:ind w:left="1684" w:right="1134" w:hanging="567"/>
        <w:jc w:val="left"/>
        <w:rPr>
          <w:sz w:val="18"/>
        </w:rPr>
      </w:pPr>
      <w:r>
        <w:rPr>
          <w:sz w:val="18"/>
        </w:rPr>
        <w:t>Seamus</w:t>
      </w:r>
      <w:r>
        <w:rPr>
          <w:spacing w:val="-4"/>
          <w:sz w:val="18"/>
        </w:rPr>
        <w:t> </w:t>
      </w:r>
      <w:r>
        <w:rPr>
          <w:sz w:val="18"/>
        </w:rPr>
        <w:t>McGuinness,</w:t>
      </w:r>
      <w:r>
        <w:rPr>
          <w:spacing w:val="-3"/>
          <w:sz w:val="18"/>
        </w:rPr>
        <w:t> </w:t>
      </w:r>
      <w:r>
        <w:rPr>
          <w:sz w:val="18"/>
        </w:rPr>
        <w:t>Adele</w:t>
      </w:r>
      <w:r>
        <w:rPr>
          <w:spacing w:val="-3"/>
          <w:sz w:val="18"/>
        </w:rPr>
        <w:t> </w:t>
      </w:r>
      <w:r>
        <w:rPr>
          <w:sz w:val="18"/>
        </w:rPr>
        <w:t>Bergina</w:t>
      </w:r>
      <w:r>
        <w:rPr>
          <w:spacing w:val="-4"/>
          <w:sz w:val="18"/>
        </w:rPr>
        <w:t> </w:t>
      </w:r>
      <w:r>
        <w:rPr>
          <w:sz w:val="18"/>
        </w:rPr>
        <w:t>and</w:t>
      </w:r>
      <w:r>
        <w:rPr>
          <w:spacing w:val="-4"/>
          <w:sz w:val="18"/>
        </w:rPr>
        <w:t> </w:t>
      </w:r>
      <w:r>
        <w:rPr>
          <w:sz w:val="18"/>
        </w:rPr>
        <w:t>Anne</w:t>
      </w:r>
      <w:r>
        <w:rPr>
          <w:spacing w:val="-3"/>
          <w:sz w:val="18"/>
        </w:rPr>
        <w:t> </w:t>
      </w:r>
      <w:r>
        <w:rPr>
          <w:sz w:val="18"/>
        </w:rPr>
        <w:t>Devlin,</w:t>
      </w:r>
      <w:r>
        <w:rPr>
          <w:spacing w:val="-6"/>
          <w:sz w:val="18"/>
        </w:rPr>
        <w:t> </w:t>
      </w:r>
      <w:r>
        <w:rPr>
          <w:color w:val="1D71B8"/>
          <w:sz w:val="18"/>
          <w:u w:val="single" w:color="1D71B8"/>
        </w:rPr>
        <w:t>A</w:t>
      </w:r>
      <w:r>
        <w:rPr>
          <w:color w:val="1D71B8"/>
          <w:spacing w:val="-3"/>
          <w:sz w:val="18"/>
          <w:u w:val="single" w:color="1D71B8"/>
        </w:rPr>
        <w:t> </w:t>
      </w:r>
      <w:r>
        <w:rPr>
          <w:color w:val="1D71B8"/>
          <w:sz w:val="18"/>
          <w:u w:val="single" w:color="1D71B8"/>
        </w:rPr>
        <w:t>Study</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Cross-Border</w:t>
      </w:r>
      <w:r>
        <w:rPr>
          <w:color w:val="1D71B8"/>
          <w:spacing w:val="-3"/>
          <w:sz w:val="18"/>
          <w:u w:val="single" w:color="1D71B8"/>
        </w:rPr>
        <w:t> </w:t>
      </w:r>
      <w:r>
        <w:rPr>
          <w:color w:val="1D71B8"/>
          <w:sz w:val="18"/>
          <w:u w:val="single" w:color="1D71B8"/>
        </w:rPr>
        <w:t>Working</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Island</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Ireland</w:t>
      </w:r>
      <w:r>
        <w:rPr>
          <w:color w:val="1D71B8"/>
          <w:spacing w:val="-5"/>
          <w:sz w:val="18"/>
          <w:u w:val="none"/>
        </w:rPr>
        <w:t> </w:t>
      </w:r>
      <w:r>
        <w:rPr>
          <w:sz w:val="18"/>
          <w:u w:val="none"/>
        </w:rPr>
        <w:t>(ESRI, </w:t>
      </w:r>
      <w:r>
        <w:rPr>
          <w:spacing w:val="-2"/>
          <w:sz w:val="18"/>
          <w:u w:val="none"/>
        </w:rPr>
        <w:t>2024).</w:t>
      </w:r>
    </w:p>
    <w:p>
      <w:pPr>
        <w:pStyle w:val="ListParagraph"/>
        <w:numPr>
          <w:ilvl w:val="0"/>
          <w:numId w:val="18"/>
        </w:numPr>
        <w:tabs>
          <w:tab w:pos="1684" w:val="left" w:leader="none"/>
        </w:tabs>
        <w:spacing w:line="240" w:lineRule="auto" w:before="0" w:after="0"/>
        <w:ind w:left="1684" w:right="1074" w:hanging="567"/>
        <w:jc w:val="left"/>
        <w:rPr>
          <w:sz w:val="18"/>
        </w:rPr>
      </w:pPr>
      <w:r>
        <w:rPr>
          <w:sz w:val="18"/>
        </w:rPr>
        <w:t>European</w:t>
      </w:r>
      <w:r>
        <w:rPr>
          <w:spacing w:val="-6"/>
          <w:sz w:val="18"/>
        </w:rPr>
        <w:t> </w:t>
      </w:r>
      <w:r>
        <w:rPr>
          <w:sz w:val="18"/>
        </w:rPr>
        <w:t>Commission,</w:t>
      </w:r>
      <w:r>
        <w:rPr>
          <w:spacing w:val="-6"/>
          <w:sz w:val="18"/>
        </w:rPr>
        <w:t> </w:t>
      </w:r>
      <w:hyperlink r:id="rId85">
        <w:r>
          <w:rPr>
            <w:color w:val="1D71B8"/>
            <w:sz w:val="18"/>
            <w:u w:val="single" w:color="1D71B8"/>
          </w:rPr>
          <w:t>Work-life</w:t>
        </w:r>
        <w:r>
          <w:rPr>
            <w:color w:val="1D71B8"/>
            <w:spacing w:val="-6"/>
            <w:sz w:val="18"/>
            <w:u w:val="single" w:color="1D71B8"/>
          </w:rPr>
          <w:t> </w:t>
        </w:r>
        <w:r>
          <w:rPr>
            <w:color w:val="1D71B8"/>
            <w:sz w:val="18"/>
            <w:u w:val="single" w:color="1D71B8"/>
          </w:rPr>
          <w:t>balance:</w:t>
        </w:r>
        <w:r>
          <w:rPr>
            <w:color w:val="1D71B8"/>
            <w:spacing w:val="-6"/>
            <w:sz w:val="18"/>
            <w:u w:val="single" w:color="1D71B8"/>
          </w:rPr>
          <w:t> </w:t>
        </w:r>
        <w:r>
          <w:rPr>
            <w:color w:val="1D71B8"/>
            <w:sz w:val="18"/>
            <w:u w:val="single" w:color="1D71B8"/>
          </w:rPr>
          <w:t>Commission</w:t>
        </w:r>
        <w:r>
          <w:rPr>
            <w:color w:val="1D71B8"/>
            <w:spacing w:val="-6"/>
            <w:sz w:val="18"/>
            <w:u w:val="single" w:color="1D71B8"/>
          </w:rPr>
          <w:t> </w:t>
        </w:r>
        <w:r>
          <w:rPr>
            <w:color w:val="1D71B8"/>
            <w:sz w:val="18"/>
            <w:u w:val="single" w:color="1D71B8"/>
          </w:rPr>
          <w:t>decides</w:t>
        </w:r>
        <w:r>
          <w:rPr>
            <w:color w:val="1D71B8"/>
            <w:spacing w:val="-6"/>
            <w:sz w:val="18"/>
            <w:u w:val="single" w:color="1D71B8"/>
          </w:rPr>
          <w:t> </w:t>
        </w:r>
        <w:r>
          <w:rPr>
            <w:color w:val="1D71B8"/>
            <w:sz w:val="18"/>
            <w:u w:val="single" w:color="1D71B8"/>
          </w:rPr>
          <w:t>to</w:t>
        </w:r>
        <w:r>
          <w:rPr>
            <w:color w:val="1D71B8"/>
            <w:spacing w:val="-6"/>
            <w:sz w:val="18"/>
            <w:u w:val="single" w:color="1D71B8"/>
          </w:rPr>
          <w:t> </w:t>
        </w:r>
        <w:r>
          <w:rPr>
            <w:color w:val="1D71B8"/>
            <w:sz w:val="18"/>
            <w:u w:val="single" w:color="1D71B8"/>
          </w:rPr>
          <w:t>refer</w:t>
        </w:r>
        <w:r>
          <w:rPr>
            <w:color w:val="1D71B8"/>
            <w:spacing w:val="-6"/>
            <w:sz w:val="18"/>
            <w:u w:val="single" w:color="1D71B8"/>
          </w:rPr>
          <w:t> </w:t>
        </w:r>
        <w:r>
          <w:rPr>
            <w:color w:val="1D71B8"/>
            <w:sz w:val="18"/>
            <w:u w:val="single" w:color="1D71B8"/>
          </w:rPr>
          <w:t>BELGIUM,</w:t>
        </w:r>
        <w:r>
          <w:rPr>
            <w:color w:val="1D71B8"/>
            <w:spacing w:val="-6"/>
            <w:sz w:val="18"/>
            <w:u w:val="single" w:color="1D71B8"/>
          </w:rPr>
          <w:t> </w:t>
        </w:r>
        <w:r>
          <w:rPr>
            <w:color w:val="1D71B8"/>
            <w:sz w:val="18"/>
            <w:u w:val="single" w:color="1D71B8"/>
          </w:rPr>
          <w:t>IRELAND</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SPAIN</w:t>
        </w:r>
        <w:r>
          <w:rPr>
            <w:color w:val="1D71B8"/>
            <w:spacing w:val="-6"/>
            <w:sz w:val="18"/>
            <w:u w:val="single" w:color="1D71B8"/>
          </w:rPr>
          <w:t> </w:t>
        </w:r>
        <w:r>
          <w:rPr>
            <w:color w:val="1D71B8"/>
            <w:sz w:val="18"/>
            <w:u w:val="single" w:color="1D71B8"/>
          </w:rPr>
          <w:t>to</w:t>
        </w:r>
        <w:r>
          <w:rPr>
            <w:color w:val="1D71B8"/>
            <w:spacing w:val="-6"/>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Court</w:t>
        </w:r>
        <w:r>
          <w:rPr>
            <w:color w:val="1D71B8"/>
            <w:spacing w:val="-6"/>
            <w:sz w:val="18"/>
            <w:u w:val="single" w:color="1D71B8"/>
          </w:rPr>
          <w:t> </w:t>
        </w:r>
        <w:r>
          <w:rPr>
            <w:color w:val="1D71B8"/>
            <w:sz w:val="18"/>
            <w:u w:val="single" w:color="1D71B8"/>
          </w:rPr>
          <w:t>of</w:t>
        </w:r>
      </w:hyperlink>
      <w:r>
        <w:rPr>
          <w:color w:val="1D71B8"/>
          <w:sz w:val="18"/>
          <w:u w:val="none"/>
        </w:rPr>
        <w:t> </w:t>
      </w:r>
      <w:hyperlink r:id="rId85">
        <w:r>
          <w:rPr>
            <w:color w:val="1D71B8"/>
            <w:sz w:val="18"/>
            <w:u w:val="single" w:color="1D71B8"/>
          </w:rPr>
          <w:t>Justice of the European Union for failing to fully transpose the Work-Life Balance Directive</w:t>
        </w:r>
      </w:hyperlink>
      <w:r>
        <w:rPr>
          <w:color w:val="1D71B8"/>
          <w:sz w:val="18"/>
          <w:u w:val="none"/>
        </w:rPr>
        <w:t> </w:t>
      </w:r>
      <w:r>
        <w:rPr>
          <w:sz w:val="18"/>
          <w:u w:val="none"/>
        </w:rPr>
        <w:t>(16 November 2023)</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06400">
                <wp:simplePos x="0" y="0"/>
                <wp:positionH relativeFrom="page">
                  <wp:posOffset>0</wp:posOffset>
                </wp:positionH>
                <wp:positionV relativeFrom="page">
                  <wp:posOffset>0</wp:posOffset>
                </wp:positionV>
                <wp:extent cx="7560309" cy="1155065"/>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7560309" cy="1155065"/>
                          <a:chExt cx="7560309" cy="1155065"/>
                        </a:xfrm>
                      </wpg:grpSpPr>
                      <wps:wsp>
                        <wps:cNvPr id="533" name="Graphic 533"/>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534" name="Graphic 534"/>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10080" id="docshapegroup424" coordorigin="0,0" coordsize="11906,1819">
                <v:shape style="position:absolute;left:0;top:0;width:11906;height:1819" id="docshape425"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60</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327"/>
      </w:pPr>
      <w:r>
        <w:rPr/>
        <w:t>Northern Ireland legislation does not provide for non-transferable parental leave and</w:t>
      </w:r>
      <w:r>
        <w:rPr>
          <w:spacing w:val="-1"/>
        </w:rPr>
        <w:t> </w:t>
      </w:r>
      <w:r>
        <w:rPr/>
        <w:t>the first divergence report recommended</w:t>
      </w:r>
      <w:r>
        <w:rPr>
          <w:spacing w:val="-1"/>
        </w:rPr>
        <w:t> </w:t>
      </w:r>
      <w:r>
        <w:rPr/>
        <w:t>that this</w:t>
      </w:r>
      <w:r>
        <w:rPr>
          <w:spacing w:val="-1"/>
        </w:rPr>
        <w:t> </w:t>
      </w:r>
      <w:r>
        <w:rPr/>
        <w:t>be introduced</w:t>
      </w:r>
      <w:r>
        <w:rPr>
          <w:spacing w:val="-1"/>
        </w:rPr>
        <w:t> </w:t>
      </w:r>
      <w:r>
        <w:rPr/>
        <w:t>as</w:t>
      </w:r>
      <w:r>
        <w:rPr>
          <w:spacing w:val="-1"/>
        </w:rPr>
        <w:t> </w:t>
      </w:r>
      <w:r>
        <w:rPr/>
        <w:t>a</w:t>
      </w:r>
      <w:r>
        <w:rPr>
          <w:spacing w:val="-1"/>
        </w:rPr>
        <w:t> </w:t>
      </w:r>
      <w:r>
        <w:rPr/>
        <w:t>matter of</w:t>
      </w:r>
      <w:r>
        <w:rPr>
          <w:spacing w:val="-9"/>
        </w:rPr>
        <w:t> </w:t>
      </w:r>
      <w:r>
        <w:rPr/>
        <w:t>good</w:t>
      </w:r>
      <w:r>
        <w:rPr>
          <w:spacing w:val="-9"/>
        </w:rPr>
        <w:t> </w:t>
      </w:r>
      <w:r>
        <w:rPr/>
        <w:t>practice.</w:t>
      </w:r>
      <w:r>
        <w:rPr>
          <w:vertAlign w:val="superscript"/>
        </w:rPr>
        <w:t>333</w:t>
      </w:r>
      <w:r>
        <w:rPr>
          <w:spacing w:val="-9"/>
          <w:vertAlign w:val="baseline"/>
        </w:rPr>
        <w:t> </w:t>
      </w:r>
      <w:r>
        <w:rPr>
          <w:vertAlign w:val="baseline"/>
        </w:rPr>
        <w:t>The</w:t>
      </w:r>
      <w:r>
        <w:rPr>
          <w:spacing w:val="-8"/>
          <w:vertAlign w:val="baseline"/>
        </w:rPr>
        <w:t> </w:t>
      </w:r>
      <w:r>
        <w:rPr>
          <w:vertAlign w:val="baseline"/>
        </w:rPr>
        <w:t>ECNI</w:t>
      </w:r>
      <w:r>
        <w:rPr>
          <w:spacing w:val="-9"/>
          <w:vertAlign w:val="baseline"/>
        </w:rPr>
        <w:t> </w:t>
      </w:r>
      <w:r>
        <w:rPr>
          <w:vertAlign w:val="baseline"/>
        </w:rPr>
        <w:t>and</w:t>
      </w:r>
      <w:r>
        <w:rPr>
          <w:spacing w:val="-9"/>
          <w:vertAlign w:val="baseline"/>
        </w:rPr>
        <w:t> </w:t>
      </w:r>
      <w:r>
        <w:rPr>
          <w:vertAlign w:val="baseline"/>
        </w:rPr>
        <w:t>NIHRC</w:t>
      </w:r>
      <w:r>
        <w:rPr>
          <w:spacing w:val="-9"/>
          <w:vertAlign w:val="baseline"/>
        </w:rPr>
        <w:t> </w:t>
      </w:r>
      <w:r>
        <w:rPr>
          <w:vertAlign w:val="baseline"/>
        </w:rPr>
        <w:t>have</w:t>
      </w:r>
      <w:r>
        <w:rPr>
          <w:spacing w:val="-8"/>
          <w:vertAlign w:val="baseline"/>
        </w:rPr>
        <w:t> </w:t>
      </w:r>
      <w:r>
        <w:rPr>
          <w:vertAlign w:val="baseline"/>
        </w:rPr>
        <w:t>recommended</w:t>
      </w:r>
      <w:r>
        <w:rPr>
          <w:spacing w:val="-9"/>
          <w:vertAlign w:val="baseline"/>
        </w:rPr>
        <w:t> </w:t>
      </w:r>
      <w:r>
        <w:rPr>
          <w:vertAlign w:val="baseline"/>
        </w:rPr>
        <w:t>that</w:t>
      </w:r>
      <w:r>
        <w:rPr>
          <w:spacing w:val="-8"/>
          <w:vertAlign w:val="baseline"/>
        </w:rPr>
        <w:t> </w:t>
      </w:r>
      <w:r>
        <w:rPr>
          <w:vertAlign w:val="baseline"/>
        </w:rPr>
        <w:t>the</w:t>
      </w:r>
      <w:r>
        <w:rPr>
          <w:spacing w:val="-9"/>
          <w:vertAlign w:val="baseline"/>
        </w:rPr>
        <w:t> </w:t>
      </w:r>
      <w:r>
        <w:rPr>
          <w:vertAlign w:val="baseline"/>
        </w:rPr>
        <w:t>NI</w:t>
      </w:r>
      <w:r>
        <w:rPr>
          <w:spacing w:val="-8"/>
          <w:vertAlign w:val="baseline"/>
        </w:rPr>
        <w:t> </w:t>
      </w:r>
      <w:r>
        <w:rPr>
          <w:vertAlign w:val="baseline"/>
        </w:rPr>
        <w:t>Executive and</w:t>
      </w:r>
      <w:r>
        <w:rPr>
          <w:spacing w:val="-6"/>
          <w:vertAlign w:val="baseline"/>
        </w:rPr>
        <w:t> </w:t>
      </w:r>
      <w:r>
        <w:rPr>
          <w:vertAlign w:val="baseline"/>
        </w:rPr>
        <w:t>relative</w:t>
      </w:r>
      <w:r>
        <w:rPr>
          <w:spacing w:val="-5"/>
          <w:vertAlign w:val="baseline"/>
        </w:rPr>
        <w:t> </w:t>
      </w:r>
      <w:r>
        <w:rPr>
          <w:vertAlign w:val="baseline"/>
        </w:rPr>
        <w:t>NI</w:t>
      </w:r>
      <w:r>
        <w:rPr>
          <w:spacing w:val="-5"/>
          <w:vertAlign w:val="baseline"/>
        </w:rPr>
        <w:t> </w:t>
      </w:r>
      <w:r>
        <w:rPr>
          <w:vertAlign w:val="baseline"/>
        </w:rPr>
        <w:t>Departments</w:t>
      </w:r>
      <w:r>
        <w:rPr>
          <w:spacing w:val="-6"/>
          <w:vertAlign w:val="baseline"/>
        </w:rPr>
        <w:t> </w:t>
      </w:r>
      <w:r>
        <w:rPr>
          <w:vertAlign w:val="baseline"/>
        </w:rPr>
        <w:t>‘should</w:t>
      </w:r>
      <w:r>
        <w:rPr>
          <w:spacing w:val="-6"/>
          <w:vertAlign w:val="baseline"/>
        </w:rPr>
        <w:t> </w:t>
      </w:r>
      <w:r>
        <w:rPr>
          <w:vertAlign w:val="baseline"/>
        </w:rPr>
        <w:t>ensure</w:t>
      </w:r>
      <w:r>
        <w:rPr>
          <w:spacing w:val="-5"/>
          <w:vertAlign w:val="baseline"/>
        </w:rPr>
        <w:t> </w:t>
      </w:r>
      <w:r>
        <w:rPr>
          <w:vertAlign w:val="baseline"/>
        </w:rPr>
        <w:t>that</w:t>
      </w:r>
      <w:r>
        <w:rPr>
          <w:spacing w:val="-5"/>
          <w:vertAlign w:val="baseline"/>
        </w:rPr>
        <w:t> </w:t>
      </w:r>
      <w:r>
        <w:rPr>
          <w:vertAlign w:val="baseline"/>
        </w:rPr>
        <w:t>NI</w:t>
      </w:r>
      <w:r>
        <w:rPr>
          <w:spacing w:val="-5"/>
          <w:vertAlign w:val="baseline"/>
        </w:rPr>
        <w:t> </w:t>
      </w:r>
      <w:r>
        <w:rPr>
          <w:vertAlign w:val="baseline"/>
        </w:rPr>
        <w:t>law</w:t>
      </w:r>
      <w:r>
        <w:rPr>
          <w:spacing w:val="-5"/>
          <w:vertAlign w:val="baseline"/>
        </w:rPr>
        <w:t> </w:t>
      </w:r>
      <w:r>
        <w:rPr>
          <w:vertAlign w:val="baseline"/>
        </w:rPr>
        <w:t>voluntarily</w:t>
      </w:r>
      <w:r>
        <w:rPr>
          <w:spacing w:val="-5"/>
          <w:vertAlign w:val="baseline"/>
        </w:rPr>
        <w:t> </w:t>
      </w:r>
      <w:r>
        <w:rPr>
          <w:vertAlign w:val="baseline"/>
        </w:rPr>
        <w:t>aligns</w:t>
      </w:r>
      <w:r>
        <w:rPr>
          <w:spacing w:val="-6"/>
          <w:vertAlign w:val="baseline"/>
        </w:rPr>
        <w:t> </w:t>
      </w:r>
      <w:r>
        <w:rPr>
          <w:vertAlign w:val="baseline"/>
        </w:rPr>
        <w:t>with</w:t>
      </w:r>
      <w:r>
        <w:rPr>
          <w:spacing w:val="-6"/>
          <w:vertAlign w:val="baseline"/>
        </w:rPr>
        <w:t> </w:t>
      </w:r>
      <w:r>
        <w:rPr>
          <w:vertAlign w:val="baseline"/>
        </w:rPr>
        <w:t>any changes that enhance equality and human rights protections further to the EU Work-Life Balance Directive’.</w:t>
      </w:r>
      <w:r>
        <w:rPr>
          <w:vertAlign w:val="superscript"/>
        </w:rPr>
        <w:t>334</w:t>
      </w:r>
    </w:p>
    <w:p>
      <w:pPr>
        <w:pStyle w:val="BodyText"/>
        <w:spacing w:line="232" w:lineRule="auto" w:before="274"/>
        <w:ind w:left="720" w:right="1087"/>
      </w:pPr>
      <w:r>
        <w:rPr/>
        <w:t>Issues</w:t>
      </w:r>
      <w:r>
        <w:rPr>
          <w:spacing w:val="-7"/>
        </w:rPr>
        <w:t> </w:t>
      </w:r>
      <w:r>
        <w:rPr/>
        <w:t>of</w:t>
      </w:r>
      <w:r>
        <w:rPr>
          <w:spacing w:val="-7"/>
        </w:rPr>
        <w:t> </w:t>
      </w:r>
      <w:r>
        <w:rPr/>
        <w:t>work-life</w:t>
      </w:r>
      <w:r>
        <w:rPr>
          <w:spacing w:val="-6"/>
        </w:rPr>
        <w:t> </w:t>
      </w:r>
      <w:r>
        <w:rPr/>
        <w:t>balance</w:t>
      </w:r>
      <w:r>
        <w:rPr>
          <w:spacing w:val="-6"/>
        </w:rPr>
        <w:t> </w:t>
      </w:r>
      <w:r>
        <w:rPr/>
        <w:t>and</w:t>
      </w:r>
      <w:r>
        <w:rPr>
          <w:spacing w:val="-7"/>
        </w:rPr>
        <w:t> </w:t>
      </w:r>
      <w:r>
        <w:rPr/>
        <w:t>especially</w:t>
      </w:r>
      <w:r>
        <w:rPr>
          <w:spacing w:val="-6"/>
        </w:rPr>
        <w:t> </w:t>
      </w:r>
      <w:r>
        <w:rPr/>
        <w:t>the</w:t>
      </w:r>
      <w:r>
        <w:rPr>
          <w:spacing w:val="-6"/>
        </w:rPr>
        <w:t> </w:t>
      </w:r>
      <w:r>
        <w:rPr/>
        <w:t>fair</w:t>
      </w:r>
      <w:r>
        <w:rPr>
          <w:spacing w:val="-6"/>
        </w:rPr>
        <w:t> </w:t>
      </w:r>
      <w:r>
        <w:rPr/>
        <w:t>division</w:t>
      </w:r>
      <w:r>
        <w:rPr>
          <w:spacing w:val="-7"/>
        </w:rPr>
        <w:t> </w:t>
      </w:r>
      <w:r>
        <w:rPr/>
        <w:t>of</w:t>
      </w:r>
      <w:r>
        <w:rPr>
          <w:spacing w:val="-7"/>
        </w:rPr>
        <w:t> </w:t>
      </w:r>
      <w:r>
        <w:rPr/>
        <w:t>caring</w:t>
      </w:r>
      <w:r>
        <w:rPr>
          <w:spacing w:val="-6"/>
        </w:rPr>
        <w:t> </w:t>
      </w:r>
      <w:r>
        <w:rPr/>
        <w:t>responsibilities are central to achieving gender equality. Legal provisions on non-discrimination</w:t>
      </w:r>
    </w:p>
    <w:p>
      <w:pPr>
        <w:pStyle w:val="BodyText"/>
        <w:spacing w:line="232" w:lineRule="auto"/>
        <w:ind w:left="720" w:right="1485"/>
      </w:pPr>
      <w:r>
        <w:rPr/>
        <w:t>in relation to pay and conditions are important for gender equality but cannot achieve</w:t>
      </w:r>
      <w:r>
        <w:rPr>
          <w:spacing w:val="-3"/>
        </w:rPr>
        <w:t> </w:t>
      </w:r>
      <w:r>
        <w:rPr/>
        <w:t>this</w:t>
      </w:r>
      <w:r>
        <w:rPr>
          <w:spacing w:val="-4"/>
        </w:rPr>
        <w:t> </w:t>
      </w:r>
      <w:r>
        <w:rPr/>
        <w:t>goal</w:t>
      </w:r>
      <w:r>
        <w:rPr>
          <w:spacing w:val="-4"/>
        </w:rPr>
        <w:t> </w:t>
      </w:r>
      <w:r>
        <w:rPr/>
        <w:t>without</w:t>
      </w:r>
      <w:r>
        <w:rPr>
          <w:spacing w:val="-3"/>
        </w:rPr>
        <w:t> </w:t>
      </w:r>
      <w:r>
        <w:rPr/>
        <w:t>wider</w:t>
      </w:r>
      <w:r>
        <w:rPr>
          <w:spacing w:val="-3"/>
        </w:rPr>
        <w:t> </w:t>
      </w:r>
      <w:r>
        <w:rPr/>
        <w:t>structural</w:t>
      </w:r>
      <w:r>
        <w:rPr>
          <w:spacing w:val="-4"/>
        </w:rPr>
        <w:t> </w:t>
      </w:r>
      <w:r>
        <w:rPr/>
        <w:t>changes</w:t>
      </w:r>
      <w:r>
        <w:rPr>
          <w:spacing w:val="-4"/>
        </w:rPr>
        <w:t> </w:t>
      </w:r>
      <w:r>
        <w:rPr/>
        <w:t>outside</w:t>
      </w:r>
      <w:r>
        <w:rPr>
          <w:spacing w:val="-3"/>
        </w:rPr>
        <w:t> </w:t>
      </w:r>
      <w:r>
        <w:rPr/>
        <w:t>the</w:t>
      </w:r>
      <w:r>
        <w:rPr>
          <w:spacing w:val="-3"/>
        </w:rPr>
        <w:t> </w:t>
      </w:r>
      <w:r>
        <w:rPr/>
        <w:t>workplace.</w:t>
      </w:r>
      <w:r>
        <w:rPr>
          <w:spacing w:val="-4"/>
        </w:rPr>
        <w:t> </w:t>
      </w:r>
      <w:r>
        <w:rPr/>
        <w:t>These include changes in how the responsibility for care is handled in the home. It is valuable</w:t>
      </w:r>
      <w:r>
        <w:rPr>
          <w:spacing w:val="-6"/>
        </w:rPr>
        <w:t> </w:t>
      </w:r>
      <w:r>
        <w:rPr/>
        <w:t>that</w:t>
      </w:r>
      <w:r>
        <w:rPr>
          <w:spacing w:val="-6"/>
        </w:rPr>
        <w:t> </w:t>
      </w:r>
      <w:r>
        <w:rPr/>
        <w:t>the</w:t>
      </w:r>
      <w:r>
        <w:rPr>
          <w:spacing w:val="-6"/>
        </w:rPr>
        <w:t> </w:t>
      </w:r>
      <w:r>
        <w:rPr/>
        <w:t>Annex</w:t>
      </w:r>
      <w:r>
        <w:rPr>
          <w:spacing w:val="-7"/>
        </w:rPr>
        <w:t> </w:t>
      </w:r>
      <w:r>
        <w:rPr/>
        <w:t>1</w:t>
      </w:r>
      <w:r>
        <w:rPr>
          <w:spacing w:val="-6"/>
        </w:rPr>
        <w:t> </w:t>
      </w:r>
      <w:r>
        <w:rPr/>
        <w:t>directives</w:t>
      </w:r>
      <w:r>
        <w:rPr>
          <w:spacing w:val="-7"/>
        </w:rPr>
        <w:t> </w:t>
      </w:r>
      <w:r>
        <w:rPr/>
        <w:t>include</w:t>
      </w:r>
      <w:r>
        <w:rPr>
          <w:spacing w:val="-6"/>
        </w:rPr>
        <w:t> </w:t>
      </w:r>
      <w:r>
        <w:rPr/>
        <w:t>four</w:t>
      </w:r>
      <w:r>
        <w:rPr>
          <w:spacing w:val="-6"/>
        </w:rPr>
        <w:t> </w:t>
      </w:r>
      <w:r>
        <w:rPr/>
        <w:t>directives</w:t>
      </w:r>
      <w:r>
        <w:rPr>
          <w:spacing w:val="-7"/>
        </w:rPr>
        <w:t> </w:t>
      </w:r>
      <w:r>
        <w:rPr/>
        <w:t>on</w:t>
      </w:r>
      <w:r>
        <w:rPr>
          <w:spacing w:val="-7"/>
        </w:rPr>
        <w:t> </w:t>
      </w:r>
      <w:r>
        <w:rPr/>
        <w:t>sex</w:t>
      </w:r>
      <w:r>
        <w:rPr>
          <w:spacing w:val="-7"/>
        </w:rPr>
        <w:t> </w:t>
      </w:r>
      <w:r>
        <w:rPr/>
        <w:t>discrimination but given the centrality of care to gender equality and the cross-border nature of economic activity on the island of Ireland, the EU norms on parental leave also need to be considered part of the gender equality agenda. Therefore, we</w:t>
      </w:r>
    </w:p>
    <w:p>
      <w:pPr>
        <w:pStyle w:val="BodyText"/>
        <w:spacing w:line="232" w:lineRule="auto"/>
        <w:ind w:left="720" w:right="1250"/>
      </w:pPr>
      <w:r>
        <w:rPr/>
        <w:t>recommend</w:t>
      </w:r>
      <w:r>
        <w:rPr>
          <w:spacing w:val="-7"/>
        </w:rPr>
        <w:t> </w:t>
      </w:r>
      <w:r>
        <w:rPr/>
        <w:t>that</w:t>
      </w:r>
      <w:r>
        <w:rPr>
          <w:spacing w:val="-6"/>
        </w:rPr>
        <w:t> </w:t>
      </w:r>
      <w:r>
        <w:rPr/>
        <w:t>the</w:t>
      </w:r>
      <w:r>
        <w:rPr>
          <w:spacing w:val="-6"/>
        </w:rPr>
        <w:t> </w:t>
      </w:r>
      <w:r>
        <w:rPr/>
        <w:t>Work</w:t>
      </w:r>
      <w:r>
        <w:rPr>
          <w:spacing w:val="-6"/>
        </w:rPr>
        <w:t> </w:t>
      </w:r>
      <w:r>
        <w:rPr/>
        <w:t>Life</w:t>
      </w:r>
      <w:r>
        <w:rPr>
          <w:spacing w:val="-6"/>
        </w:rPr>
        <w:t> </w:t>
      </w:r>
      <w:r>
        <w:rPr/>
        <w:t>Balance</w:t>
      </w:r>
      <w:r>
        <w:rPr>
          <w:spacing w:val="-6"/>
        </w:rPr>
        <w:t> </w:t>
      </w:r>
      <w:r>
        <w:rPr/>
        <w:t>directive</w:t>
      </w:r>
      <w:r>
        <w:rPr>
          <w:spacing w:val="-6"/>
        </w:rPr>
        <w:t> </w:t>
      </w:r>
      <w:r>
        <w:rPr/>
        <w:t>be</w:t>
      </w:r>
      <w:r>
        <w:rPr>
          <w:spacing w:val="-6"/>
        </w:rPr>
        <w:t> </w:t>
      </w:r>
      <w:r>
        <w:rPr/>
        <w:t>added</w:t>
      </w:r>
      <w:r>
        <w:rPr>
          <w:spacing w:val="-7"/>
        </w:rPr>
        <w:t> </w:t>
      </w:r>
      <w:r>
        <w:rPr/>
        <w:t>to</w:t>
      </w:r>
      <w:r>
        <w:rPr>
          <w:spacing w:val="-7"/>
        </w:rPr>
        <w:t> </w:t>
      </w:r>
      <w:r>
        <w:rPr/>
        <w:t>Annex</w:t>
      </w:r>
      <w:r>
        <w:rPr>
          <w:spacing w:val="-7"/>
        </w:rPr>
        <w:t> </w:t>
      </w:r>
      <w:r>
        <w:rPr/>
        <w:t>1;</w:t>
      </w:r>
      <w:r>
        <w:rPr>
          <w:spacing w:val="-6"/>
        </w:rPr>
        <w:t> </w:t>
      </w:r>
      <w:r>
        <w:rPr/>
        <w:t>this</w:t>
      </w:r>
      <w:r>
        <w:rPr>
          <w:spacing w:val="-7"/>
        </w:rPr>
        <w:t> </w:t>
      </w:r>
      <w:r>
        <w:rPr/>
        <w:t>would also address the anomaly of Northern Ireland having to maintain alignment with the standards in the repealed Parental Leave Directive.</w:t>
      </w:r>
    </w:p>
    <w:p>
      <w:pPr>
        <w:pStyle w:val="BodyText"/>
        <w:spacing w:before="1"/>
        <w:rPr>
          <w:sz w:val="19"/>
        </w:rPr>
      </w:pPr>
      <w:r>
        <w:rPr/>
        <mc:AlternateContent>
          <mc:Choice Requires="wps">
            <w:drawing>
              <wp:anchor distT="0" distB="0" distL="0" distR="0" allowOverlap="1" layoutInCell="1" locked="0" behindDoc="1" simplePos="0" relativeHeight="487687680">
                <wp:simplePos x="0" y="0"/>
                <wp:positionH relativeFrom="page">
                  <wp:posOffset>647994</wp:posOffset>
                </wp:positionH>
                <wp:positionV relativeFrom="paragraph">
                  <wp:posOffset>163255</wp:posOffset>
                </wp:positionV>
                <wp:extent cx="6012180" cy="603885"/>
                <wp:effectExtent l="0" t="0" r="0" b="0"/>
                <wp:wrapTopAndBottom/>
                <wp:docPr id="535" name="Group 535"/>
                <wp:cNvGraphicFramePr>
                  <a:graphicFrameLocks/>
                </wp:cNvGraphicFramePr>
                <a:graphic>
                  <a:graphicData uri="http://schemas.microsoft.com/office/word/2010/wordprocessingGroup">
                    <wpg:wgp>
                      <wpg:cNvPr id="535" name="Group 535"/>
                      <wpg:cNvGrpSpPr/>
                      <wpg:grpSpPr>
                        <a:xfrm>
                          <a:off x="0" y="0"/>
                          <a:ext cx="6012180" cy="603885"/>
                          <a:chExt cx="6012180" cy="603885"/>
                        </a:xfrm>
                      </wpg:grpSpPr>
                      <wps:wsp>
                        <wps:cNvPr id="536" name="Graphic 536"/>
                        <wps:cNvSpPr/>
                        <wps:spPr>
                          <a:xfrm>
                            <a:off x="0" y="0"/>
                            <a:ext cx="6012180" cy="603885"/>
                          </a:xfrm>
                          <a:custGeom>
                            <a:avLst/>
                            <a:gdLst/>
                            <a:ahLst/>
                            <a:cxnLst/>
                            <a:rect l="l" t="t" r="r" b="b"/>
                            <a:pathLst>
                              <a:path w="6012180" h="603885">
                                <a:moveTo>
                                  <a:pt x="5868009" y="0"/>
                                </a:moveTo>
                                <a:lnTo>
                                  <a:pt x="144005" y="0"/>
                                </a:lnTo>
                                <a:lnTo>
                                  <a:pt x="98490" y="7340"/>
                                </a:lnTo>
                                <a:lnTo>
                                  <a:pt x="58959" y="27782"/>
                                </a:lnTo>
                                <a:lnTo>
                                  <a:pt x="27785" y="58954"/>
                                </a:lnTo>
                                <a:lnTo>
                                  <a:pt x="7341" y="98485"/>
                                </a:lnTo>
                                <a:lnTo>
                                  <a:pt x="0" y="144005"/>
                                </a:lnTo>
                                <a:lnTo>
                                  <a:pt x="0" y="459346"/>
                                </a:lnTo>
                                <a:lnTo>
                                  <a:pt x="7341" y="504861"/>
                                </a:lnTo>
                                <a:lnTo>
                                  <a:pt x="27785" y="544392"/>
                                </a:lnTo>
                                <a:lnTo>
                                  <a:pt x="58959" y="575565"/>
                                </a:lnTo>
                                <a:lnTo>
                                  <a:pt x="98490" y="596009"/>
                                </a:lnTo>
                                <a:lnTo>
                                  <a:pt x="144005" y="603351"/>
                                </a:lnTo>
                                <a:lnTo>
                                  <a:pt x="5868009" y="603351"/>
                                </a:lnTo>
                                <a:lnTo>
                                  <a:pt x="5913523" y="596009"/>
                                </a:lnTo>
                                <a:lnTo>
                                  <a:pt x="5953050" y="575565"/>
                                </a:lnTo>
                                <a:lnTo>
                                  <a:pt x="5984220" y="544392"/>
                                </a:lnTo>
                                <a:lnTo>
                                  <a:pt x="6004661" y="504861"/>
                                </a:lnTo>
                                <a:lnTo>
                                  <a:pt x="6012002" y="4593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37" name="Textbox 537"/>
                        <wps:cNvSpPr txBox="1"/>
                        <wps:spPr>
                          <a:xfrm>
                            <a:off x="0" y="0"/>
                            <a:ext cx="6012180" cy="603885"/>
                          </a:xfrm>
                          <a:prstGeom prst="rect">
                            <a:avLst/>
                          </a:prstGeom>
                        </wps:spPr>
                        <wps:txbx>
                          <w:txbxContent>
                            <w:p>
                              <w:pPr>
                                <w:spacing w:line="232" w:lineRule="auto" w:before="121"/>
                                <w:ind w:left="340" w:right="106" w:firstLine="0"/>
                                <w:jc w:val="left"/>
                                <w:rPr>
                                  <w:b/>
                                  <w:sz w:val="28"/>
                                </w:rPr>
                              </w:pPr>
                              <w:r>
                                <w:rPr>
                                  <w:b/>
                                  <w:color w:val="164194"/>
                                  <w:sz w:val="28"/>
                                </w:rPr>
                                <w:t>We</w:t>
                              </w:r>
                              <w:r>
                                <w:rPr>
                                  <w:b/>
                                  <w:color w:val="164194"/>
                                  <w:spacing w:val="-3"/>
                                  <w:sz w:val="28"/>
                                </w:rPr>
                                <w:t> </w:t>
                              </w:r>
                              <w:r>
                                <w:rPr>
                                  <w:b/>
                                  <w:color w:val="164194"/>
                                  <w:sz w:val="28"/>
                                </w:rPr>
                                <w:t>recommend</w:t>
                              </w:r>
                              <w:r>
                                <w:rPr>
                                  <w:b/>
                                  <w:color w:val="164194"/>
                                  <w:spacing w:val="-2"/>
                                  <w:sz w:val="28"/>
                                </w:rPr>
                                <w:t> </w:t>
                              </w:r>
                              <w:r>
                                <w:rPr>
                                  <w:b/>
                                  <w:color w:val="164194"/>
                                  <w:sz w:val="28"/>
                                </w:rPr>
                                <w:t>that</w:t>
                              </w:r>
                              <w:r>
                                <w:rPr>
                                  <w:b/>
                                  <w:color w:val="164194"/>
                                  <w:spacing w:val="-2"/>
                                  <w:sz w:val="28"/>
                                </w:rPr>
                                <w:t> </w:t>
                              </w:r>
                              <w:r>
                                <w:rPr>
                                  <w:b/>
                                  <w:color w:val="164194"/>
                                  <w:sz w:val="28"/>
                                </w:rPr>
                                <w:t>the</w:t>
                              </w:r>
                              <w:r>
                                <w:rPr>
                                  <w:b/>
                                  <w:color w:val="164194"/>
                                  <w:spacing w:val="-3"/>
                                  <w:sz w:val="28"/>
                                </w:rPr>
                                <w:t> </w:t>
                              </w:r>
                              <w:r>
                                <w:rPr>
                                  <w:b/>
                                  <w:color w:val="164194"/>
                                  <w:sz w:val="28"/>
                                </w:rPr>
                                <w:t>Government</w:t>
                              </w:r>
                              <w:r>
                                <w:rPr>
                                  <w:b/>
                                  <w:color w:val="164194"/>
                                  <w:spacing w:val="-2"/>
                                  <w:sz w:val="28"/>
                                </w:rPr>
                                <w:t> </w:t>
                              </w:r>
                              <w:r>
                                <w:rPr>
                                  <w:b/>
                                  <w:color w:val="164194"/>
                                  <w:sz w:val="28"/>
                                </w:rPr>
                                <w:t>of</w:t>
                              </w:r>
                              <w:r>
                                <w:rPr>
                                  <w:b/>
                                  <w:color w:val="164194"/>
                                  <w:spacing w:val="-3"/>
                                  <w:sz w:val="28"/>
                                </w:rPr>
                                <w:t> </w:t>
                              </w:r>
                              <w:r>
                                <w:rPr>
                                  <w:b/>
                                  <w:color w:val="164194"/>
                                  <w:sz w:val="28"/>
                                </w:rPr>
                                <w:t>Ireland</w:t>
                              </w:r>
                              <w:r>
                                <w:rPr>
                                  <w:b/>
                                  <w:color w:val="164194"/>
                                  <w:spacing w:val="-2"/>
                                  <w:sz w:val="28"/>
                                </w:rPr>
                                <w:t> </w:t>
                              </w:r>
                              <w:r>
                                <w:rPr>
                                  <w:b/>
                                  <w:color w:val="164194"/>
                                  <w:sz w:val="28"/>
                                </w:rPr>
                                <w:t>legislates</w:t>
                              </w:r>
                              <w:r>
                                <w:rPr>
                                  <w:b/>
                                  <w:color w:val="164194"/>
                                  <w:spacing w:val="-2"/>
                                  <w:sz w:val="28"/>
                                </w:rPr>
                                <w:t> </w:t>
                              </w:r>
                              <w:r>
                                <w:rPr>
                                  <w:b/>
                                  <w:color w:val="164194"/>
                                  <w:sz w:val="28"/>
                                </w:rPr>
                                <w:t>to</w:t>
                              </w:r>
                              <w:r>
                                <w:rPr>
                                  <w:b/>
                                  <w:color w:val="164194"/>
                                  <w:spacing w:val="-2"/>
                                  <w:sz w:val="28"/>
                                </w:rPr>
                                <w:t> </w:t>
                              </w:r>
                              <w:r>
                                <w:rPr>
                                  <w:b/>
                                  <w:color w:val="164194"/>
                                  <w:sz w:val="28"/>
                                </w:rPr>
                                <w:t>provide</w:t>
                              </w:r>
                              <w:r>
                                <w:rPr>
                                  <w:b/>
                                  <w:color w:val="164194"/>
                                  <w:spacing w:val="-3"/>
                                  <w:sz w:val="28"/>
                                </w:rPr>
                                <w:t> </w:t>
                              </w:r>
                              <w:r>
                                <w:rPr>
                                  <w:b/>
                                  <w:color w:val="164194"/>
                                  <w:sz w:val="28"/>
                                </w:rPr>
                                <w:t>for</w:t>
                              </w:r>
                              <w:r>
                                <w:rPr>
                                  <w:b/>
                                  <w:color w:val="164194"/>
                                  <w:spacing w:val="-3"/>
                                  <w:sz w:val="28"/>
                                </w:rPr>
                                <w:t> </w:t>
                              </w:r>
                              <w:r>
                                <w:rPr>
                                  <w:b/>
                                  <w:color w:val="164194"/>
                                  <w:sz w:val="28"/>
                                </w:rPr>
                                <w:t>non- transferable</w:t>
                              </w:r>
                              <w:r>
                                <w:rPr>
                                  <w:b/>
                                  <w:color w:val="164194"/>
                                  <w:spacing w:val="-15"/>
                                  <w:sz w:val="28"/>
                                </w:rPr>
                                <w:t> </w:t>
                              </w:r>
                              <w:r>
                                <w:rPr>
                                  <w:b/>
                                  <w:color w:val="164194"/>
                                  <w:sz w:val="28"/>
                                </w:rPr>
                                <w:t>parental</w:t>
                              </w:r>
                              <w:r>
                                <w:rPr>
                                  <w:b/>
                                  <w:color w:val="164194"/>
                                  <w:spacing w:val="-15"/>
                                  <w:sz w:val="28"/>
                                </w:rPr>
                                <w:t> </w:t>
                              </w:r>
                              <w:r>
                                <w:rPr>
                                  <w:b/>
                                  <w:color w:val="164194"/>
                                  <w:sz w:val="28"/>
                                </w:rPr>
                                <w:t>leave</w:t>
                              </w:r>
                              <w:r>
                                <w:rPr>
                                  <w:b/>
                                  <w:color w:val="164194"/>
                                  <w:spacing w:val="-14"/>
                                  <w:sz w:val="28"/>
                                </w:rPr>
                                <w:t> </w:t>
                              </w:r>
                              <w:r>
                                <w:rPr>
                                  <w:b/>
                                  <w:color w:val="164194"/>
                                  <w:sz w:val="28"/>
                                </w:rPr>
                                <w:t>as</w:t>
                              </w:r>
                              <w:r>
                                <w:rPr>
                                  <w:b/>
                                  <w:color w:val="164194"/>
                                  <w:spacing w:val="-15"/>
                                  <w:sz w:val="28"/>
                                </w:rPr>
                                <w:t> </w:t>
                              </w:r>
                              <w:r>
                                <w:rPr>
                                  <w:b/>
                                  <w:color w:val="164194"/>
                                  <w:sz w:val="28"/>
                                </w:rPr>
                                <w:t>required</w:t>
                              </w:r>
                              <w:r>
                                <w:rPr>
                                  <w:b/>
                                  <w:color w:val="164194"/>
                                  <w:spacing w:val="-14"/>
                                  <w:sz w:val="28"/>
                                </w:rPr>
                                <w:t> </w:t>
                              </w:r>
                              <w:r>
                                <w:rPr>
                                  <w:b/>
                                  <w:color w:val="164194"/>
                                  <w:sz w:val="28"/>
                                </w:rPr>
                                <w:t>under</w:t>
                              </w:r>
                              <w:r>
                                <w:rPr>
                                  <w:b/>
                                  <w:color w:val="164194"/>
                                  <w:spacing w:val="-15"/>
                                  <w:sz w:val="28"/>
                                </w:rPr>
                                <w:t> </w:t>
                              </w:r>
                              <w:r>
                                <w:rPr>
                                  <w:b/>
                                  <w:color w:val="164194"/>
                                  <w:sz w:val="28"/>
                                </w:rPr>
                                <w:t>the</w:t>
                              </w:r>
                              <w:r>
                                <w:rPr>
                                  <w:b/>
                                  <w:color w:val="164194"/>
                                  <w:spacing w:val="-15"/>
                                  <w:sz w:val="28"/>
                                </w:rPr>
                                <w:t> </w:t>
                              </w:r>
                              <w:r>
                                <w:rPr>
                                  <w:b/>
                                  <w:color w:val="164194"/>
                                  <w:sz w:val="28"/>
                                </w:rPr>
                                <w:t>Work-Life</w:t>
                              </w:r>
                              <w:r>
                                <w:rPr>
                                  <w:b/>
                                  <w:color w:val="164194"/>
                                  <w:spacing w:val="-14"/>
                                  <w:sz w:val="28"/>
                                </w:rPr>
                                <w:t> </w:t>
                              </w:r>
                              <w:r>
                                <w:rPr>
                                  <w:b/>
                                  <w:color w:val="164194"/>
                                  <w:sz w:val="28"/>
                                </w:rPr>
                                <w:t>Balance</w:t>
                              </w:r>
                              <w:r>
                                <w:rPr>
                                  <w:b/>
                                  <w:color w:val="164194"/>
                                  <w:spacing w:val="-15"/>
                                  <w:sz w:val="28"/>
                                </w:rPr>
                                <w:t> </w:t>
                              </w:r>
                              <w:r>
                                <w:rPr>
                                  <w:b/>
                                  <w:color w:val="164194"/>
                                  <w:sz w:val="28"/>
                                </w:rPr>
                                <w:t>Directive.</w:t>
                              </w:r>
                            </w:p>
                          </w:txbxContent>
                        </wps:txbx>
                        <wps:bodyPr wrap="square" lIns="0" tIns="0" rIns="0" bIns="0" rtlCol="0">
                          <a:noAutofit/>
                        </wps:bodyPr>
                      </wps:wsp>
                    </wpg:wgp>
                  </a:graphicData>
                </a:graphic>
              </wp:anchor>
            </w:drawing>
          </mc:Choice>
          <mc:Fallback>
            <w:pict>
              <v:group style="position:absolute;margin-left:51.023201pt;margin-top:12.854759pt;width:473.4pt;height:47.55pt;mso-position-horizontal-relative:page;mso-position-vertical-relative:paragraph;z-index:-15628800;mso-wrap-distance-left:0;mso-wrap-distance-right:0" id="docshapegroup426" coordorigin="1020,257" coordsize="9468,951">
                <v:shape style="position:absolute;left:1020;top:257;width:9468;height:951" id="docshape427" coordorigin="1020,257" coordsize="9468,951" path="m10261,257l1247,257,1176,269,1113,301,1064,350,1032,412,1020,484,1020,980,1032,1052,1064,1114,1113,1163,1176,1196,1247,1207,10261,1207,10333,1196,10395,1163,10444,1114,10477,1052,10488,980,10488,484,10477,412,10444,350,10395,301,10333,269,10261,257xe" filled="true" fillcolor="#e9f3fc" stroked="false">
                  <v:path arrowok="t"/>
                  <v:fill type="solid"/>
                </v:shape>
                <v:shape style="position:absolute;left:1020;top:257;width:9468;height:951" type="#_x0000_t202" id="docshape428" filled="false" stroked="false">
                  <v:textbox inset="0,0,0,0">
                    <w:txbxContent>
                      <w:p>
                        <w:pPr>
                          <w:spacing w:line="232" w:lineRule="auto" w:before="121"/>
                          <w:ind w:left="340" w:right="106" w:firstLine="0"/>
                          <w:jc w:val="left"/>
                          <w:rPr>
                            <w:b/>
                            <w:sz w:val="28"/>
                          </w:rPr>
                        </w:pPr>
                        <w:r>
                          <w:rPr>
                            <w:b/>
                            <w:color w:val="164194"/>
                            <w:sz w:val="28"/>
                          </w:rPr>
                          <w:t>We</w:t>
                        </w:r>
                        <w:r>
                          <w:rPr>
                            <w:b/>
                            <w:color w:val="164194"/>
                            <w:spacing w:val="-3"/>
                            <w:sz w:val="28"/>
                          </w:rPr>
                          <w:t> </w:t>
                        </w:r>
                        <w:r>
                          <w:rPr>
                            <w:b/>
                            <w:color w:val="164194"/>
                            <w:sz w:val="28"/>
                          </w:rPr>
                          <w:t>recommend</w:t>
                        </w:r>
                        <w:r>
                          <w:rPr>
                            <w:b/>
                            <w:color w:val="164194"/>
                            <w:spacing w:val="-2"/>
                            <w:sz w:val="28"/>
                          </w:rPr>
                          <w:t> </w:t>
                        </w:r>
                        <w:r>
                          <w:rPr>
                            <w:b/>
                            <w:color w:val="164194"/>
                            <w:sz w:val="28"/>
                          </w:rPr>
                          <w:t>that</w:t>
                        </w:r>
                        <w:r>
                          <w:rPr>
                            <w:b/>
                            <w:color w:val="164194"/>
                            <w:spacing w:val="-2"/>
                            <w:sz w:val="28"/>
                          </w:rPr>
                          <w:t> </w:t>
                        </w:r>
                        <w:r>
                          <w:rPr>
                            <w:b/>
                            <w:color w:val="164194"/>
                            <w:sz w:val="28"/>
                          </w:rPr>
                          <w:t>the</w:t>
                        </w:r>
                        <w:r>
                          <w:rPr>
                            <w:b/>
                            <w:color w:val="164194"/>
                            <w:spacing w:val="-3"/>
                            <w:sz w:val="28"/>
                          </w:rPr>
                          <w:t> </w:t>
                        </w:r>
                        <w:r>
                          <w:rPr>
                            <w:b/>
                            <w:color w:val="164194"/>
                            <w:sz w:val="28"/>
                          </w:rPr>
                          <w:t>Government</w:t>
                        </w:r>
                        <w:r>
                          <w:rPr>
                            <w:b/>
                            <w:color w:val="164194"/>
                            <w:spacing w:val="-2"/>
                            <w:sz w:val="28"/>
                          </w:rPr>
                          <w:t> </w:t>
                        </w:r>
                        <w:r>
                          <w:rPr>
                            <w:b/>
                            <w:color w:val="164194"/>
                            <w:sz w:val="28"/>
                          </w:rPr>
                          <w:t>of</w:t>
                        </w:r>
                        <w:r>
                          <w:rPr>
                            <w:b/>
                            <w:color w:val="164194"/>
                            <w:spacing w:val="-3"/>
                            <w:sz w:val="28"/>
                          </w:rPr>
                          <w:t> </w:t>
                        </w:r>
                        <w:r>
                          <w:rPr>
                            <w:b/>
                            <w:color w:val="164194"/>
                            <w:sz w:val="28"/>
                          </w:rPr>
                          <w:t>Ireland</w:t>
                        </w:r>
                        <w:r>
                          <w:rPr>
                            <w:b/>
                            <w:color w:val="164194"/>
                            <w:spacing w:val="-2"/>
                            <w:sz w:val="28"/>
                          </w:rPr>
                          <w:t> </w:t>
                        </w:r>
                        <w:r>
                          <w:rPr>
                            <w:b/>
                            <w:color w:val="164194"/>
                            <w:sz w:val="28"/>
                          </w:rPr>
                          <w:t>legislates</w:t>
                        </w:r>
                        <w:r>
                          <w:rPr>
                            <w:b/>
                            <w:color w:val="164194"/>
                            <w:spacing w:val="-2"/>
                            <w:sz w:val="28"/>
                          </w:rPr>
                          <w:t> </w:t>
                        </w:r>
                        <w:r>
                          <w:rPr>
                            <w:b/>
                            <w:color w:val="164194"/>
                            <w:sz w:val="28"/>
                          </w:rPr>
                          <w:t>to</w:t>
                        </w:r>
                        <w:r>
                          <w:rPr>
                            <w:b/>
                            <w:color w:val="164194"/>
                            <w:spacing w:val="-2"/>
                            <w:sz w:val="28"/>
                          </w:rPr>
                          <w:t> </w:t>
                        </w:r>
                        <w:r>
                          <w:rPr>
                            <w:b/>
                            <w:color w:val="164194"/>
                            <w:sz w:val="28"/>
                          </w:rPr>
                          <w:t>provide</w:t>
                        </w:r>
                        <w:r>
                          <w:rPr>
                            <w:b/>
                            <w:color w:val="164194"/>
                            <w:spacing w:val="-3"/>
                            <w:sz w:val="28"/>
                          </w:rPr>
                          <w:t> </w:t>
                        </w:r>
                        <w:r>
                          <w:rPr>
                            <w:b/>
                            <w:color w:val="164194"/>
                            <w:sz w:val="28"/>
                          </w:rPr>
                          <w:t>for</w:t>
                        </w:r>
                        <w:r>
                          <w:rPr>
                            <w:b/>
                            <w:color w:val="164194"/>
                            <w:spacing w:val="-3"/>
                            <w:sz w:val="28"/>
                          </w:rPr>
                          <w:t> </w:t>
                        </w:r>
                        <w:r>
                          <w:rPr>
                            <w:b/>
                            <w:color w:val="164194"/>
                            <w:sz w:val="28"/>
                          </w:rPr>
                          <w:t>non- transferable</w:t>
                        </w:r>
                        <w:r>
                          <w:rPr>
                            <w:b/>
                            <w:color w:val="164194"/>
                            <w:spacing w:val="-15"/>
                            <w:sz w:val="28"/>
                          </w:rPr>
                          <w:t> </w:t>
                        </w:r>
                        <w:r>
                          <w:rPr>
                            <w:b/>
                            <w:color w:val="164194"/>
                            <w:sz w:val="28"/>
                          </w:rPr>
                          <w:t>parental</w:t>
                        </w:r>
                        <w:r>
                          <w:rPr>
                            <w:b/>
                            <w:color w:val="164194"/>
                            <w:spacing w:val="-15"/>
                            <w:sz w:val="28"/>
                          </w:rPr>
                          <w:t> </w:t>
                        </w:r>
                        <w:r>
                          <w:rPr>
                            <w:b/>
                            <w:color w:val="164194"/>
                            <w:sz w:val="28"/>
                          </w:rPr>
                          <w:t>leave</w:t>
                        </w:r>
                        <w:r>
                          <w:rPr>
                            <w:b/>
                            <w:color w:val="164194"/>
                            <w:spacing w:val="-14"/>
                            <w:sz w:val="28"/>
                          </w:rPr>
                          <w:t> </w:t>
                        </w:r>
                        <w:r>
                          <w:rPr>
                            <w:b/>
                            <w:color w:val="164194"/>
                            <w:sz w:val="28"/>
                          </w:rPr>
                          <w:t>as</w:t>
                        </w:r>
                        <w:r>
                          <w:rPr>
                            <w:b/>
                            <w:color w:val="164194"/>
                            <w:spacing w:val="-15"/>
                            <w:sz w:val="28"/>
                          </w:rPr>
                          <w:t> </w:t>
                        </w:r>
                        <w:r>
                          <w:rPr>
                            <w:b/>
                            <w:color w:val="164194"/>
                            <w:sz w:val="28"/>
                          </w:rPr>
                          <w:t>required</w:t>
                        </w:r>
                        <w:r>
                          <w:rPr>
                            <w:b/>
                            <w:color w:val="164194"/>
                            <w:spacing w:val="-14"/>
                            <w:sz w:val="28"/>
                          </w:rPr>
                          <w:t> </w:t>
                        </w:r>
                        <w:r>
                          <w:rPr>
                            <w:b/>
                            <w:color w:val="164194"/>
                            <w:sz w:val="28"/>
                          </w:rPr>
                          <w:t>under</w:t>
                        </w:r>
                        <w:r>
                          <w:rPr>
                            <w:b/>
                            <w:color w:val="164194"/>
                            <w:spacing w:val="-15"/>
                            <w:sz w:val="28"/>
                          </w:rPr>
                          <w:t> </w:t>
                        </w:r>
                        <w:r>
                          <w:rPr>
                            <w:b/>
                            <w:color w:val="164194"/>
                            <w:sz w:val="28"/>
                          </w:rPr>
                          <w:t>the</w:t>
                        </w:r>
                        <w:r>
                          <w:rPr>
                            <w:b/>
                            <w:color w:val="164194"/>
                            <w:spacing w:val="-15"/>
                            <w:sz w:val="28"/>
                          </w:rPr>
                          <w:t> </w:t>
                        </w:r>
                        <w:r>
                          <w:rPr>
                            <w:b/>
                            <w:color w:val="164194"/>
                            <w:sz w:val="28"/>
                          </w:rPr>
                          <w:t>Work-Life</w:t>
                        </w:r>
                        <w:r>
                          <w:rPr>
                            <w:b/>
                            <w:color w:val="164194"/>
                            <w:spacing w:val="-14"/>
                            <w:sz w:val="28"/>
                          </w:rPr>
                          <w:t> </w:t>
                        </w:r>
                        <w:r>
                          <w:rPr>
                            <w:b/>
                            <w:color w:val="164194"/>
                            <w:sz w:val="28"/>
                          </w:rPr>
                          <w:t>Balance</w:t>
                        </w:r>
                        <w:r>
                          <w:rPr>
                            <w:b/>
                            <w:color w:val="164194"/>
                            <w:spacing w:val="-15"/>
                            <w:sz w:val="28"/>
                          </w:rPr>
                          <w:t> </w:t>
                        </w:r>
                        <w:r>
                          <w:rPr>
                            <w:b/>
                            <w:color w:val="164194"/>
                            <w:sz w:val="28"/>
                          </w:rPr>
                          <w:t>Directive.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88192">
                <wp:simplePos x="0" y="0"/>
                <wp:positionH relativeFrom="page">
                  <wp:posOffset>647994</wp:posOffset>
                </wp:positionH>
                <wp:positionV relativeFrom="paragraph">
                  <wp:posOffset>906355</wp:posOffset>
                </wp:positionV>
                <wp:extent cx="6012180" cy="1232535"/>
                <wp:effectExtent l="0" t="0" r="0" b="0"/>
                <wp:wrapTopAndBottom/>
                <wp:docPr id="538" name="Group 538"/>
                <wp:cNvGraphicFramePr>
                  <a:graphicFrameLocks/>
                </wp:cNvGraphicFramePr>
                <a:graphic>
                  <a:graphicData uri="http://schemas.microsoft.com/office/word/2010/wordprocessingGroup">
                    <wpg:wgp>
                      <wpg:cNvPr id="538" name="Group 538"/>
                      <wpg:cNvGrpSpPr/>
                      <wpg:grpSpPr>
                        <a:xfrm>
                          <a:off x="0" y="0"/>
                          <a:ext cx="6012180" cy="1232535"/>
                          <a:chExt cx="6012180" cy="1232535"/>
                        </a:xfrm>
                      </wpg:grpSpPr>
                      <wps:wsp>
                        <wps:cNvPr id="539" name="Graphic 539"/>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40" name="Textbox 540"/>
                        <wps:cNvSpPr txBox="1"/>
                        <wps:spPr>
                          <a:xfrm>
                            <a:off x="0" y="0"/>
                            <a:ext cx="6012180" cy="1232535"/>
                          </a:xfrm>
                          <a:prstGeom prst="rect">
                            <a:avLst/>
                          </a:prstGeom>
                        </wps:spPr>
                        <wps:txbx>
                          <w:txbxContent>
                            <w:p>
                              <w:pPr>
                                <w:spacing w:line="232" w:lineRule="auto" w:before="121"/>
                                <w:ind w:left="340" w:right="167" w:firstLine="0"/>
                                <w:jc w:val="left"/>
                                <w:rPr>
                                  <w:b/>
                                  <w:sz w:val="28"/>
                                </w:rPr>
                              </w:pPr>
                              <w:r>
                                <w:rPr>
                                  <w:b/>
                                  <w:color w:val="164194"/>
                                  <w:sz w:val="28"/>
                                </w:rPr>
                                <w:t>We recommend that the Department for the Economy, as a matter of voluntary alignment, introduce legislation mirroring the provisions of the Work-Life Balance Directive where these strengthen rights and reflect international</w:t>
                              </w:r>
                              <w:r>
                                <w:rPr>
                                  <w:b/>
                                  <w:color w:val="164194"/>
                                  <w:spacing w:val="-7"/>
                                  <w:sz w:val="28"/>
                                </w:rPr>
                                <w:t> </w:t>
                              </w:r>
                              <w:r>
                                <w:rPr>
                                  <w:b/>
                                  <w:color w:val="164194"/>
                                  <w:sz w:val="28"/>
                                </w:rPr>
                                <w:t>human</w:t>
                              </w:r>
                              <w:r>
                                <w:rPr>
                                  <w:b/>
                                  <w:color w:val="164194"/>
                                  <w:spacing w:val="-7"/>
                                  <w:sz w:val="28"/>
                                </w:rPr>
                                <w:t> </w:t>
                              </w:r>
                              <w:r>
                                <w:rPr>
                                  <w:b/>
                                  <w:color w:val="164194"/>
                                  <w:sz w:val="28"/>
                                </w:rPr>
                                <w:t>rights</w:t>
                              </w:r>
                              <w:r>
                                <w:rPr>
                                  <w:b/>
                                  <w:color w:val="164194"/>
                                  <w:spacing w:val="-7"/>
                                  <w:sz w:val="28"/>
                                </w:rPr>
                                <w:t> </w:t>
                              </w:r>
                              <w:r>
                                <w:rPr>
                                  <w:b/>
                                  <w:color w:val="164194"/>
                                  <w:sz w:val="28"/>
                                </w:rPr>
                                <w:t>standards</w:t>
                              </w:r>
                              <w:r>
                                <w:rPr>
                                  <w:b/>
                                  <w:color w:val="164194"/>
                                  <w:spacing w:val="-7"/>
                                  <w:sz w:val="28"/>
                                </w:rPr>
                                <w:t> </w:t>
                              </w:r>
                              <w:r>
                                <w:rPr>
                                  <w:b/>
                                  <w:color w:val="164194"/>
                                  <w:sz w:val="28"/>
                                </w:rPr>
                                <w:t>insofar</w:t>
                              </w:r>
                              <w:r>
                                <w:rPr>
                                  <w:b/>
                                  <w:color w:val="164194"/>
                                  <w:spacing w:val="-8"/>
                                  <w:sz w:val="28"/>
                                </w:rPr>
                                <w:t> </w:t>
                              </w:r>
                              <w:r>
                                <w:rPr>
                                  <w:b/>
                                  <w:color w:val="164194"/>
                                  <w:sz w:val="28"/>
                                </w:rPr>
                                <w:t>as</w:t>
                              </w:r>
                              <w:r>
                                <w:rPr>
                                  <w:b/>
                                  <w:color w:val="164194"/>
                                  <w:spacing w:val="-7"/>
                                  <w:sz w:val="28"/>
                                </w:rPr>
                                <w:t> </w:t>
                              </w:r>
                              <w:r>
                                <w:rPr>
                                  <w:b/>
                                  <w:color w:val="164194"/>
                                  <w:sz w:val="28"/>
                                </w:rPr>
                                <w:t>they</w:t>
                              </w:r>
                              <w:r>
                                <w:rPr>
                                  <w:b/>
                                  <w:color w:val="164194"/>
                                  <w:spacing w:val="-7"/>
                                  <w:sz w:val="28"/>
                                </w:rPr>
                                <w:t> </w:t>
                              </w:r>
                              <w:r>
                                <w:rPr>
                                  <w:b/>
                                  <w:color w:val="164194"/>
                                  <w:sz w:val="28"/>
                                </w:rPr>
                                <w:t>are</w:t>
                              </w:r>
                              <w:r>
                                <w:rPr>
                                  <w:b/>
                                  <w:color w:val="164194"/>
                                  <w:spacing w:val="-8"/>
                                  <w:sz w:val="28"/>
                                </w:rPr>
                                <w:t> </w:t>
                              </w:r>
                              <w:r>
                                <w:rPr>
                                  <w:b/>
                                  <w:color w:val="164194"/>
                                  <w:sz w:val="28"/>
                                </w:rPr>
                                <w:t>not</w:t>
                              </w:r>
                              <w:r>
                                <w:rPr>
                                  <w:b/>
                                  <w:color w:val="164194"/>
                                  <w:spacing w:val="-7"/>
                                  <w:sz w:val="28"/>
                                </w:rPr>
                                <w:t> </w:t>
                              </w:r>
                              <w:r>
                                <w:rPr>
                                  <w:b/>
                                  <w:color w:val="164194"/>
                                  <w:sz w:val="28"/>
                                </w:rPr>
                                <w:t>part</w:t>
                              </w:r>
                              <w:r>
                                <w:rPr>
                                  <w:b/>
                                  <w:color w:val="164194"/>
                                  <w:spacing w:val="-7"/>
                                  <w:sz w:val="28"/>
                                </w:rPr>
                                <w:t> </w:t>
                              </w:r>
                              <w:r>
                                <w:rPr>
                                  <w:b/>
                                  <w:color w:val="164194"/>
                                  <w:sz w:val="28"/>
                                </w:rPr>
                                <w:t>of</w:t>
                              </w:r>
                              <w:r>
                                <w:rPr>
                                  <w:b/>
                                  <w:color w:val="164194"/>
                                  <w:spacing w:val="-8"/>
                                  <w:sz w:val="28"/>
                                </w:rPr>
                                <w:t> </w:t>
                              </w:r>
                              <w:r>
                                <w:rPr>
                                  <w:b/>
                                  <w:color w:val="164194"/>
                                  <w:sz w:val="28"/>
                                </w:rPr>
                                <w:t>Northern Ireland law.</w:t>
                              </w:r>
                            </w:p>
                          </w:txbxContent>
                        </wps:txbx>
                        <wps:bodyPr wrap="square" lIns="0" tIns="0" rIns="0" bIns="0" rtlCol="0">
                          <a:noAutofit/>
                        </wps:bodyPr>
                      </wps:wsp>
                    </wpg:wgp>
                  </a:graphicData>
                </a:graphic>
              </wp:anchor>
            </w:drawing>
          </mc:Choice>
          <mc:Fallback>
            <w:pict>
              <v:group style="position:absolute;margin-left:51.023201pt;margin-top:71.366562pt;width:473.4pt;height:97.05pt;mso-position-horizontal-relative:page;mso-position-vertical-relative:paragraph;z-index:-15628288;mso-wrap-distance-left:0;mso-wrap-distance-right:0" id="docshapegroup429" coordorigin="1020,1427" coordsize="9468,1941">
                <v:shape style="position:absolute;left:1020;top:1427;width:9468;height:1941" id="docshape430" coordorigin="1020,1427" coordsize="9468,1941" path="m10261,1427l1247,1427,1176,1439,1113,1471,1064,1520,1032,1582,1020,1654,1020,3141,1032,3212,1064,3275,1113,3324,1176,3356,1247,3367,10261,3367,10333,3356,10395,3324,10444,3275,10477,3212,10488,3141,10488,1654,10477,1582,10444,1520,10395,1471,10333,1439,10261,1427xe" filled="true" fillcolor="#e9f3fc" stroked="false">
                  <v:path arrowok="t"/>
                  <v:fill type="solid"/>
                </v:shape>
                <v:shape style="position:absolute;left:1020;top:1427;width:9468;height:1941" type="#_x0000_t202" id="docshape431" filled="false" stroked="false">
                  <v:textbox inset="0,0,0,0">
                    <w:txbxContent>
                      <w:p>
                        <w:pPr>
                          <w:spacing w:line="232" w:lineRule="auto" w:before="121"/>
                          <w:ind w:left="340" w:right="167" w:firstLine="0"/>
                          <w:jc w:val="left"/>
                          <w:rPr>
                            <w:b/>
                            <w:sz w:val="28"/>
                          </w:rPr>
                        </w:pPr>
                        <w:r>
                          <w:rPr>
                            <w:b/>
                            <w:color w:val="164194"/>
                            <w:sz w:val="28"/>
                          </w:rPr>
                          <w:t>We recommend that the Department for the Economy, as a matter of voluntary alignment, introduce legislation mirroring the provisions of the Work-Life Balance Directive where these strengthen rights and reflect international</w:t>
                        </w:r>
                        <w:r>
                          <w:rPr>
                            <w:b/>
                            <w:color w:val="164194"/>
                            <w:spacing w:val="-7"/>
                            <w:sz w:val="28"/>
                          </w:rPr>
                          <w:t> </w:t>
                        </w:r>
                        <w:r>
                          <w:rPr>
                            <w:b/>
                            <w:color w:val="164194"/>
                            <w:sz w:val="28"/>
                          </w:rPr>
                          <w:t>human</w:t>
                        </w:r>
                        <w:r>
                          <w:rPr>
                            <w:b/>
                            <w:color w:val="164194"/>
                            <w:spacing w:val="-7"/>
                            <w:sz w:val="28"/>
                          </w:rPr>
                          <w:t> </w:t>
                        </w:r>
                        <w:r>
                          <w:rPr>
                            <w:b/>
                            <w:color w:val="164194"/>
                            <w:sz w:val="28"/>
                          </w:rPr>
                          <w:t>rights</w:t>
                        </w:r>
                        <w:r>
                          <w:rPr>
                            <w:b/>
                            <w:color w:val="164194"/>
                            <w:spacing w:val="-7"/>
                            <w:sz w:val="28"/>
                          </w:rPr>
                          <w:t> </w:t>
                        </w:r>
                        <w:r>
                          <w:rPr>
                            <w:b/>
                            <w:color w:val="164194"/>
                            <w:sz w:val="28"/>
                          </w:rPr>
                          <w:t>standards</w:t>
                        </w:r>
                        <w:r>
                          <w:rPr>
                            <w:b/>
                            <w:color w:val="164194"/>
                            <w:spacing w:val="-7"/>
                            <w:sz w:val="28"/>
                          </w:rPr>
                          <w:t> </w:t>
                        </w:r>
                        <w:r>
                          <w:rPr>
                            <w:b/>
                            <w:color w:val="164194"/>
                            <w:sz w:val="28"/>
                          </w:rPr>
                          <w:t>insofar</w:t>
                        </w:r>
                        <w:r>
                          <w:rPr>
                            <w:b/>
                            <w:color w:val="164194"/>
                            <w:spacing w:val="-8"/>
                            <w:sz w:val="28"/>
                          </w:rPr>
                          <w:t> </w:t>
                        </w:r>
                        <w:r>
                          <w:rPr>
                            <w:b/>
                            <w:color w:val="164194"/>
                            <w:sz w:val="28"/>
                          </w:rPr>
                          <w:t>as</w:t>
                        </w:r>
                        <w:r>
                          <w:rPr>
                            <w:b/>
                            <w:color w:val="164194"/>
                            <w:spacing w:val="-7"/>
                            <w:sz w:val="28"/>
                          </w:rPr>
                          <w:t> </w:t>
                        </w:r>
                        <w:r>
                          <w:rPr>
                            <w:b/>
                            <w:color w:val="164194"/>
                            <w:sz w:val="28"/>
                          </w:rPr>
                          <w:t>they</w:t>
                        </w:r>
                        <w:r>
                          <w:rPr>
                            <w:b/>
                            <w:color w:val="164194"/>
                            <w:spacing w:val="-7"/>
                            <w:sz w:val="28"/>
                          </w:rPr>
                          <w:t> </w:t>
                        </w:r>
                        <w:r>
                          <w:rPr>
                            <w:b/>
                            <w:color w:val="164194"/>
                            <w:sz w:val="28"/>
                          </w:rPr>
                          <w:t>are</w:t>
                        </w:r>
                        <w:r>
                          <w:rPr>
                            <w:b/>
                            <w:color w:val="164194"/>
                            <w:spacing w:val="-8"/>
                            <w:sz w:val="28"/>
                          </w:rPr>
                          <w:t> </w:t>
                        </w:r>
                        <w:r>
                          <w:rPr>
                            <w:b/>
                            <w:color w:val="164194"/>
                            <w:sz w:val="28"/>
                          </w:rPr>
                          <w:t>not</w:t>
                        </w:r>
                        <w:r>
                          <w:rPr>
                            <w:b/>
                            <w:color w:val="164194"/>
                            <w:spacing w:val="-7"/>
                            <w:sz w:val="28"/>
                          </w:rPr>
                          <w:t> </w:t>
                        </w:r>
                        <w:r>
                          <w:rPr>
                            <w:b/>
                            <w:color w:val="164194"/>
                            <w:sz w:val="28"/>
                          </w:rPr>
                          <w:t>part</w:t>
                        </w:r>
                        <w:r>
                          <w:rPr>
                            <w:b/>
                            <w:color w:val="164194"/>
                            <w:spacing w:val="-7"/>
                            <w:sz w:val="28"/>
                          </w:rPr>
                          <w:t> </w:t>
                        </w:r>
                        <w:r>
                          <w:rPr>
                            <w:b/>
                            <w:color w:val="164194"/>
                            <w:sz w:val="28"/>
                          </w:rPr>
                          <w:t>of</w:t>
                        </w:r>
                        <w:r>
                          <w:rPr>
                            <w:b/>
                            <w:color w:val="164194"/>
                            <w:spacing w:val="-8"/>
                            <w:sz w:val="28"/>
                          </w:rPr>
                          <w:t> </w:t>
                        </w:r>
                        <w:r>
                          <w:rPr>
                            <w:b/>
                            <w:color w:val="164194"/>
                            <w:sz w:val="28"/>
                          </w:rPr>
                          <w:t>Northern Ireland law.</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88704">
                <wp:simplePos x="0" y="0"/>
                <wp:positionH relativeFrom="page">
                  <wp:posOffset>647994</wp:posOffset>
                </wp:positionH>
                <wp:positionV relativeFrom="paragraph">
                  <wp:posOffset>2278105</wp:posOffset>
                </wp:positionV>
                <wp:extent cx="6012180" cy="1442085"/>
                <wp:effectExtent l="0" t="0" r="0" b="0"/>
                <wp:wrapTopAndBottom/>
                <wp:docPr id="541" name="Group 541"/>
                <wp:cNvGraphicFramePr>
                  <a:graphicFrameLocks/>
                </wp:cNvGraphicFramePr>
                <a:graphic>
                  <a:graphicData uri="http://schemas.microsoft.com/office/word/2010/wordprocessingGroup">
                    <wpg:wgp>
                      <wpg:cNvPr id="541" name="Group 541"/>
                      <wpg:cNvGrpSpPr/>
                      <wpg:grpSpPr>
                        <a:xfrm>
                          <a:off x="0" y="0"/>
                          <a:ext cx="6012180" cy="1442085"/>
                          <a:chExt cx="6012180" cy="1442085"/>
                        </a:xfrm>
                      </wpg:grpSpPr>
                      <wps:wsp>
                        <wps:cNvPr id="542" name="Graphic 542"/>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43" name="Textbox 543"/>
                        <wps:cNvSpPr txBox="1"/>
                        <wps:spPr>
                          <a:xfrm>
                            <a:off x="0" y="0"/>
                            <a:ext cx="6012180" cy="1442085"/>
                          </a:xfrm>
                          <a:prstGeom prst="rect">
                            <a:avLst/>
                          </a:prstGeom>
                        </wps:spPr>
                        <wps:txbx>
                          <w:txbxContent>
                            <w:p>
                              <w:pPr>
                                <w:spacing w:line="232" w:lineRule="auto" w:before="121"/>
                                <w:ind w:left="340" w:right="315" w:firstLine="0"/>
                                <w:jc w:val="left"/>
                                <w:rPr>
                                  <w:b/>
                                  <w:sz w:val="28"/>
                                </w:rPr>
                              </w:pPr>
                              <w:r>
                                <w:rPr>
                                  <w:b/>
                                  <w:color w:val="164194"/>
                                  <w:sz w:val="28"/>
                                </w:rPr>
                                <w:t>We recommend the Department for the Economy consider the possible need</w:t>
                              </w:r>
                              <w:r>
                                <w:rPr>
                                  <w:b/>
                                  <w:color w:val="164194"/>
                                  <w:spacing w:val="-2"/>
                                  <w:sz w:val="28"/>
                                </w:rPr>
                                <w:t> </w:t>
                              </w:r>
                              <w:r>
                                <w:rPr>
                                  <w:b/>
                                  <w:color w:val="164194"/>
                                  <w:sz w:val="28"/>
                                </w:rPr>
                                <w:t>for</w:t>
                              </w:r>
                              <w:r>
                                <w:rPr>
                                  <w:b/>
                                  <w:color w:val="164194"/>
                                  <w:spacing w:val="-3"/>
                                  <w:sz w:val="28"/>
                                </w:rPr>
                                <w:t> </w:t>
                              </w:r>
                              <w:r>
                                <w:rPr>
                                  <w:b/>
                                  <w:color w:val="164194"/>
                                  <w:sz w:val="28"/>
                                </w:rPr>
                                <w:t>a</w:t>
                              </w:r>
                              <w:r>
                                <w:rPr>
                                  <w:b/>
                                  <w:color w:val="164194"/>
                                  <w:spacing w:val="-2"/>
                                  <w:sz w:val="28"/>
                                </w:rPr>
                                <w:t> </w:t>
                              </w:r>
                              <w:r>
                                <w:rPr>
                                  <w:b/>
                                  <w:color w:val="164194"/>
                                  <w:sz w:val="28"/>
                                </w:rPr>
                                <w:t>remote</w:t>
                              </w:r>
                              <w:r>
                                <w:rPr>
                                  <w:b/>
                                  <w:color w:val="164194"/>
                                  <w:spacing w:val="-3"/>
                                  <w:sz w:val="28"/>
                                </w:rPr>
                                <w:t> </w:t>
                              </w:r>
                              <w:r>
                                <w:rPr>
                                  <w:b/>
                                  <w:color w:val="164194"/>
                                  <w:sz w:val="28"/>
                                </w:rPr>
                                <w:t>working</w:t>
                              </w:r>
                              <w:r>
                                <w:rPr>
                                  <w:b/>
                                  <w:color w:val="164194"/>
                                  <w:spacing w:val="-3"/>
                                  <w:sz w:val="28"/>
                                </w:rPr>
                                <w:t> </w:t>
                              </w:r>
                              <w:r>
                                <w:rPr>
                                  <w:b/>
                                  <w:color w:val="164194"/>
                                  <w:sz w:val="28"/>
                                </w:rPr>
                                <w:t>strategy</w:t>
                              </w:r>
                              <w:r>
                                <w:rPr>
                                  <w:b/>
                                  <w:color w:val="164194"/>
                                  <w:spacing w:val="-2"/>
                                  <w:sz w:val="28"/>
                                </w:rPr>
                                <w:t> </w:t>
                              </w:r>
                              <w:r>
                                <w:rPr>
                                  <w:b/>
                                  <w:color w:val="164194"/>
                                  <w:sz w:val="28"/>
                                </w:rPr>
                                <w:t>in</w:t>
                              </w:r>
                              <w:r>
                                <w:rPr>
                                  <w:b/>
                                  <w:color w:val="164194"/>
                                  <w:spacing w:val="-2"/>
                                  <w:sz w:val="28"/>
                                </w:rPr>
                                <w:t> </w:t>
                              </w:r>
                              <w:r>
                                <w:rPr>
                                  <w:b/>
                                  <w:color w:val="164194"/>
                                  <w:sz w:val="28"/>
                                </w:rPr>
                                <w:t>Northern</w:t>
                              </w:r>
                              <w:r>
                                <w:rPr>
                                  <w:b/>
                                  <w:color w:val="164194"/>
                                  <w:spacing w:val="-2"/>
                                  <w:sz w:val="28"/>
                                </w:rPr>
                                <w:t> </w:t>
                              </w:r>
                              <w:r>
                                <w:rPr>
                                  <w:b/>
                                  <w:color w:val="164194"/>
                                  <w:sz w:val="28"/>
                                </w:rPr>
                                <w:t>Ireland</w:t>
                              </w:r>
                              <w:r>
                                <w:rPr>
                                  <w:b/>
                                  <w:color w:val="164194"/>
                                  <w:spacing w:val="-2"/>
                                  <w:sz w:val="28"/>
                                </w:rPr>
                                <w:t> </w:t>
                              </w:r>
                              <w:r>
                                <w:rPr>
                                  <w:b/>
                                  <w:color w:val="164194"/>
                                  <w:sz w:val="28"/>
                                </w:rPr>
                                <w:t>to</w:t>
                              </w:r>
                              <w:r>
                                <w:rPr>
                                  <w:b/>
                                  <w:color w:val="164194"/>
                                  <w:spacing w:val="-2"/>
                                  <w:sz w:val="28"/>
                                </w:rPr>
                                <w:t> </w:t>
                              </w:r>
                              <w:r>
                                <w:rPr>
                                  <w:b/>
                                  <w:color w:val="164194"/>
                                  <w:sz w:val="28"/>
                                </w:rPr>
                                <w:t>avoid</w:t>
                              </w:r>
                              <w:r>
                                <w:rPr>
                                  <w:b/>
                                  <w:color w:val="164194"/>
                                  <w:spacing w:val="-2"/>
                                  <w:sz w:val="28"/>
                                </w:rPr>
                                <w:t> </w:t>
                              </w:r>
                              <w:r>
                                <w:rPr>
                                  <w:b/>
                                  <w:color w:val="164194"/>
                                  <w:sz w:val="28"/>
                                </w:rPr>
                                <w:t>divergence of rights on the island of Ireland where this strengthens rights and reflects international</w:t>
                              </w:r>
                              <w:r>
                                <w:rPr>
                                  <w:b/>
                                  <w:color w:val="164194"/>
                                  <w:spacing w:val="-9"/>
                                  <w:sz w:val="28"/>
                                </w:rPr>
                                <w:t> </w:t>
                              </w:r>
                              <w:r>
                                <w:rPr>
                                  <w:b/>
                                  <w:color w:val="164194"/>
                                  <w:sz w:val="28"/>
                                </w:rPr>
                                <w:t>human</w:t>
                              </w:r>
                              <w:r>
                                <w:rPr>
                                  <w:b/>
                                  <w:color w:val="164194"/>
                                  <w:spacing w:val="-9"/>
                                  <w:sz w:val="28"/>
                                </w:rPr>
                                <w:t> </w:t>
                              </w:r>
                              <w:r>
                                <w:rPr>
                                  <w:b/>
                                  <w:color w:val="164194"/>
                                  <w:sz w:val="28"/>
                                </w:rPr>
                                <w:t>rights</w:t>
                              </w:r>
                              <w:r>
                                <w:rPr>
                                  <w:b/>
                                  <w:color w:val="164194"/>
                                  <w:spacing w:val="-9"/>
                                  <w:sz w:val="28"/>
                                </w:rPr>
                                <w:t> </w:t>
                              </w:r>
                              <w:r>
                                <w:rPr>
                                  <w:b/>
                                  <w:color w:val="164194"/>
                                  <w:sz w:val="28"/>
                                </w:rPr>
                                <w:t>standards</w:t>
                              </w:r>
                              <w:r>
                                <w:rPr>
                                  <w:b/>
                                  <w:color w:val="164194"/>
                                  <w:spacing w:val="-9"/>
                                  <w:sz w:val="28"/>
                                </w:rPr>
                                <w:t> </w:t>
                              </w:r>
                              <w:r>
                                <w:rPr>
                                  <w:b/>
                                  <w:color w:val="164194"/>
                                  <w:sz w:val="28"/>
                                </w:rPr>
                                <w:t>and</w:t>
                              </w:r>
                              <w:r>
                                <w:rPr>
                                  <w:b/>
                                  <w:color w:val="164194"/>
                                  <w:spacing w:val="-9"/>
                                  <w:sz w:val="28"/>
                                </w:rPr>
                                <w:t> </w:t>
                              </w:r>
                              <w:r>
                                <w:rPr>
                                  <w:b/>
                                  <w:color w:val="164194"/>
                                  <w:sz w:val="28"/>
                                </w:rPr>
                                <w:t>best</w:t>
                              </w:r>
                              <w:r>
                                <w:rPr>
                                  <w:b/>
                                  <w:color w:val="164194"/>
                                  <w:spacing w:val="-9"/>
                                  <w:sz w:val="28"/>
                                </w:rPr>
                                <w:t> </w:t>
                              </w:r>
                              <w:r>
                                <w:rPr>
                                  <w:b/>
                                  <w:color w:val="164194"/>
                                  <w:sz w:val="28"/>
                                </w:rPr>
                                <w:t>practice.</w:t>
                              </w:r>
                              <w:r>
                                <w:rPr>
                                  <w:b/>
                                  <w:color w:val="164194"/>
                                  <w:spacing w:val="-10"/>
                                  <w:sz w:val="28"/>
                                </w:rPr>
                                <w:t> </w:t>
                              </w:r>
                              <w:r>
                                <w:rPr>
                                  <w:b/>
                                  <w:color w:val="164194"/>
                                  <w:sz w:val="28"/>
                                </w:rPr>
                                <w:t>The</w:t>
                              </w:r>
                              <w:r>
                                <w:rPr>
                                  <w:b/>
                                  <w:color w:val="164194"/>
                                  <w:spacing w:val="-10"/>
                                  <w:sz w:val="28"/>
                                </w:rPr>
                                <w:t> </w:t>
                              </w:r>
                              <w:r>
                                <w:rPr>
                                  <w:b/>
                                  <w:color w:val="164194"/>
                                  <w:sz w:val="28"/>
                                </w:rPr>
                                <w:t>Department</w:t>
                              </w:r>
                              <w:r>
                                <w:rPr>
                                  <w:b/>
                                  <w:color w:val="164194"/>
                                  <w:spacing w:val="-9"/>
                                  <w:sz w:val="28"/>
                                </w:rPr>
                                <w:t> </w:t>
                              </w:r>
                              <w:r>
                                <w:rPr>
                                  <w:b/>
                                  <w:color w:val="164194"/>
                                  <w:sz w:val="28"/>
                                </w:rPr>
                                <w:t>for the Economy in considering the need for this strategy should consider any relevant EU law developments in this area.</w:t>
                              </w:r>
                            </w:p>
                          </w:txbxContent>
                        </wps:txbx>
                        <wps:bodyPr wrap="square" lIns="0" tIns="0" rIns="0" bIns="0" rtlCol="0">
                          <a:noAutofit/>
                        </wps:bodyPr>
                      </wps:wsp>
                    </wpg:wgp>
                  </a:graphicData>
                </a:graphic>
              </wp:anchor>
            </w:drawing>
          </mc:Choice>
          <mc:Fallback>
            <w:pict>
              <v:group style="position:absolute;margin-left:51.023201pt;margin-top:179.378357pt;width:473.4pt;height:113.55pt;mso-position-horizontal-relative:page;mso-position-vertical-relative:paragraph;z-index:-15627776;mso-wrap-distance-left:0;mso-wrap-distance-right:0" id="docshapegroup432" coordorigin="1020,3588" coordsize="9468,2271">
                <v:shape style="position:absolute;left:1020;top:3587;width:9468;height:2271" id="docshape433" coordorigin="1020,3588" coordsize="9468,2271" path="m10261,3588l1247,3588,1176,3599,1113,3631,1064,3680,1032,3743,1020,3814,1020,5631,1032,5703,1064,5765,1113,5814,1176,5846,1247,5858,10261,5858,10333,5846,10395,5814,10444,5765,10477,5703,10488,5631,10488,3814,10477,3743,10444,3680,10395,3631,10333,3599,10261,3588xe" filled="true" fillcolor="#e9f3fc" stroked="false">
                  <v:path arrowok="t"/>
                  <v:fill type="solid"/>
                </v:shape>
                <v:shape style="position:absolute;left:1020;top:3587;width:9468;height:2271" type="#_x0000_t202" id="docshape434" filled="false" stroked="false">
                  <v:textbox inset="0,0,0,0">
                    <w:txbxContent>
                      <w:p>
                        <w:pPr>
                          <w:spacing w:line="232" w:lineRule="auto" w:before="121"/>
                          <w:ind w:left="340" w:right="315" w:firstLine="0"/>
                          <w:jc w:val="left"/>
                          <w:rPr>
                            <w:b/>
                            <w:sz w:val="28"/>
                          </w:rPr>
                        </w:pPr>
                        <w:r>
                          <w:rPr>
                            <w:b/>
                            <w:color w:val="164194"/>
                            <w:sz w:val="28"/>
                          </w:rPr>
                          <w:t>We recommend the Department for the Economy consider the possible need</w:t>
                        </w:r>
                        <w:r>
                          <w:rPr>
                            <w:b/>
                            <w:color w:val="164194"/>
                            <w:spacing w:val="-2"/>
                            <w:sz w:val="28"/>
                          </w:rPr>
                          <w:t> </w:t>
                        </w:r>
                        <w:r>
                          <w:rPr>
                            <w:b/>
                            <w:color w:val="164194"/>
                            <w:sz w:val="28"/>
                          </w:rPr>
                          <w:t>for</w:t>
                        </w:r>
                        <w:r>
                          <w:rPr>
                            <w:b/>
                            <w:color w:val="164194"/>
                            <w:spacing w:val="-3"/>
                            <w:sz w:val="28"/>
                          </w:rPr>
                          <w:t> </w:t>
                        </w:r>
                        <w:r>
                          <w:rPr>
                            <w:b/>
                            <w:color w:val="164194"/>
                            <w:sz w:val="28"/>
                          </w:rPr>
                          <w:t>a</w:t>
                        </w:r>
                        <w:r>
                          <w:rPr>
                            <w:b/>
                            <w:color w:val="164194"/>
                            <w:spacing w:val="-2"/>
                            <w:sz w:val="28"/>
                          </w:rPr>
                          <w:t> </w:t>
                        </w:r>
                        <w:r>
                          <w:rPr>
                            <w:b/>
                            <w:color w:val="164194"/>
                            <w:sz w:val="28"/>
                          </w:rPr>
                          <w:t>remote</w:t>
                        </w:r>
                        <w:r>
                          <w:rPr>
                            <w:b/>
                            <w:color w:val="164194"/>
                            <w:spacing w:val="-3"/>
                            <w:sz w:val="28"/>
                          </w:rPr>
                          <w:t> </w:t>
                        </w:r>
                        <w:r>
                          <w:rPr>
                            <w:b/>
                            <w:color w:val="164194"/>
                            <w:sz w:val="28"/>
                          </w:rPr>
                          <w:t>working</w:t>
                        </w:r>
                        <w:r>
                          <w:rPr>
                            <w:b/>
                            <w:color w:val="164194"/>
                            <w:spacing w:val="-3"/>
                            <w:sz w:val="28"/>
                          </w:rPr>
                          <w:t> </w:t>
                        </w:r>
                        <w:r>
                          <w:rPr>
                            <w:b/>
                            <w:color w:val="164194"/>
                            <w:sz w:val="28"/>
                          </w:rPr>
                          <w:t>strategy</w:t>
                        </w:r>
                        <w:r>
                          <w:rPr>
                            <w:b/>
                            <w:color w:val="164194"/>
                            <w:spacing w:val="-2"/>
                            <w:sz w:val="28"/>
                          </w:rPr>
                          <w:t> </w:t>
                        </w:r>
                        <w:r>
                          <w:rPr>
                            <w:b/>
                            <w:color w:val="164194"/>
                            <w:sz w:val="28"/>
                          </w:rPr>
                          <w:t>in</w:t>
                        </w:r>
                        <w:r>
                          <w:rPr>
                            <w:b/>
                            <w:color w:val="164194"/>
                            <w:spacing w:val="-2"/>
                            <w:sz w:val="28"/>
                          </w:rPr>
                          <w:t> </w:t>
                        </w:r>
                        <w:r>
                          <w:rPr>
                            <w:b/>
                            <w:color w:val="164194"/>
                            <w:sz w:val="28"/>
                          </w:rPr>
                          <w:t>Northern</w:t>
                        </w:r>
                        <w:r>
                          <w:rPr>
                            <w:b/>
                            <w:color w:val="164194"/>
                            <w:spacing w:val="-2"/>
                            <w:sz w:val="28"/>
                          </w:rPr>
                          <w:t> </w:t>
                        </w:r>
                        <w:r>
                          <w:rPr>
                            <w:b/>
                            <w:color w:val="164194"/>
                            <w:sz w:val="28"/>
                          </w:rPr>
                          <w:t>Ireland</w:t>
                        </w:r>
                        <w:r>
                          <w:rPr>
                            <w:b/>
                            <w:color w:val="164194"/>
                            <w:spacing w:val="-2"/>
                            <w:sz w:val="28"/>
                          </w:rPr>
                          <w:t> </w:t>
                        </w:r>
                        <w:r>
                          <w:rPr>
                            <w:b/>
                            <w:color w:val="164194"/>
                            <w:sz w:val="28"/>
                          </w:rPr>
                          <w:t>to</w:t>
                        </w:r>
                        <w:r>
                          <w:rPr>
                            <w:b/>
                            <w:color w:val="164194"/>
                            <w:spacing w:val="-2"/>
                            <w:sz w:val="28"/>
                          </w:rPr>
                          <w:t> </w:t>
                        </w:r>
                        <w:r>
                          <w:rPr>
                            <w:b/>
                            <w:color w:val="164194"/>
                            <w:sz w:val="28"/>
                          </w:rPr>
                          <w:t>avoid</w:t>
                        </w:r>
                        <w:r>
                          <w:rPr>
                            <w:b/>
                            <w:color w:val="164194"/>
                            <w:spacing w:val="-2"/>
                            <w:sz w:val="28"/>
                          </w:rPr>
                          <w:t> </w:t>
                        </w:r>
                        <w:r>
                          <w:rPr>
                            <w:b/>
                            <w:color w:val="164194"/>
                            <w:sz w:val="28"/>
                          </w:rPr>
                          <w:t>divergence of rights on the island of Ireland where this strengthens rights and reflects international</w:t>
                        </w:r>
                        <w:r>
                          <w:rPr>
                            <w:b/>
                            <w:color w:val="164194"/>
                            <w:spacing w:val="-9"/>
                            <w:sz w:val="28"/>
                          </w:rPr>
                          <w:t> </w:t>
                        </w:r>
                        <w:r>
                          <w:rPr>
                            <w:b/>
                            <w:color w:val="164194"/>
                            <w:sz w:val="28"/>
                          </w:rPr>
                          <w:t>human</w:t>
                        </w:r>
                        <w:r>
                          <w:rPr>
                            <w:b/>
                            <w:color w:val="164194"/>
                            <w:spacing w:val="-9"/>
                            <w:sz w:val="28"/>
                          </w:rPr>
                          <w:t> </w:t>
                        </w:r>
                        <w:r>
                          <w:rPr>
                            <w:b/>
                            <w:color w:val="164194"/>
                            <w:sz w:val="28"/>
                          </w:rPr>
                          <w:t>rights</w:t>
                        </w:r>
                        <w:r>
                          <w:rPr>
                            <w:b/>
                            <w:color w:val="164194"/>
                            <w:spacing w:val="-9"/>
                            <w:sz w:val="28"/>
                          </w:rPr>
                          <w:t> </w:t>
                        </w:r>
                        <w:r>
                          <w:rPr>
                            <w:b/>
                            <w:color w:val="164194"/>
                            <w:sz w:val="28"/>
                          </w:rPr>
                          <w:t>standards</w:t>
                        </w:r>
                        <w:r>
                          <w:rPr>
                            <w:b/>
                            <w:color w:val="164194"/>
                            <w:spacing w:val="-9"/>
                            <w:sz w:val="28"/>
                          </w:rPr>
                          <w:t> </w:t>
                        </w:r>
                        <w:r>
                          <w:rPr>
                            <w:b/>
                            <w:color w:val="164194"/>
                            <w:sz w:val="28"/>
                          </w:rPr>
                          <w:t>and</w:t>
                        </w:r>
                        <w:r>
                          <w:rPr>
                            <w:b/>
                            <w:color w:val="164194"/>
                            <w:spacing w:val="-9"/>
                            <w:sz w:val="28"/>
                          </w:rPr>
                          <w:t> </w:t>
                        </w:r>
                        <w:r>
                          <w:rPr>
                            <w:b/>
                            <w:color w:val="164194"/>
                            <w:sz w:val="28"/>
                          </w:rPr>
                          <w:t>best</w:t>
                        </w:r>
                        <w:r>
                          <w:rPr>
                            <w:b/>
                            <w:color w:val="164194"/>
                            <w:spacing w:val="-9"/>
                            <w:sz w:val="28"/>
                          </w:rPr>
                          <w:t> </w:t>
                        </w:r>
                        <w:r>
                          <w:rPr>
                            <w:b/>
                            <w:color w:val="164194"/>
                            <w:sz w:val="28"/>
                          </w:rPr>
                          <w:t>practice.</w:t>
                        </w:r>
                        <w:r>
                          <w:rPr>
                            <w:b/>
                            <w:color w:val="164194"/>
                            <w:spacing w:val="-10"/>
                            <w:sz w:val="28"/>
                          </w:rPr>
                          <w:t> </w:t>
                        </w:r>
                        <w:r>
                          <w:rPr>
                            <w:b/>
                            <w:color w:val="164194"/>
                            <w:sz w:val="28"/>
                          </w:rPr>
                          <w:t>The</w:t>
                        </w:r>
                        <w:r>
                          <w:rPr>
                            <w:b/>
                            <w:color w:val="164194"/>
                            <w:spacing w:val="-10"/>
                            <w:sz w:val="28"/>
                          </w:rPr>
                          <w:t> </w:t>
                        </w:r>
                        <w:r>
                          <w:rPr>
                            <w:b/>
                            <w:color w:val="164194"/>
                            <w:sz w:val="28"/>
                          </w:rPr>
                          <w:t>Department</w:t>
                        </w:r>
                        <w:r>
                          <w:rPr>
                            <w:b/>
                            <w:color w:val="164194"/>
                            <w:spacing w:val="-9"/>
                            <w:sz w:val="28"/>
                          </w:rPr>
                          <w:t> </w:t>
                        </w:r>
                        <w:r>
                          <w:rPr>
                            <w:b/>
                            <w:color w:val="164194"/>
                            <w:sz w:val="28"/>
                          </w:rPr>
                          <w:t>for the Economy in considering the need for this strategy should consider any relevant EU law developments in this area.</w:t>
                        </w:r>
                      </w:p>
                    </w:txbxContent>
                  </v:textbox>
                  <w10:wrap type="none"/>
                </v:shape>
                <w10:wrap type="topAndBottom"/>
              </v:group>
            </w:pict>
          </mc:Fallback>
        </mc:AlternateContent>
      </w:r>
    </w:p>
    <w:p>
      <w:pPr>
        <w:pStyle w:val="BodyText"/>
        <w:rPr>
          <w:sz w:val="16"/>
        </w:rPr>
      </w:pPr>
    </w:p>
    <w:p>
      <w:pPr>
        <w:pStyle w:val="BodyText"/>
        <w:rPr>
          <w:sz w:val="16"/>
        </w:rPr>
      </w:pPr>
    </w:p>
    <w:p>
      <w:pPr>
        <w:pStyle w:val="BodyText"/>
        <w:rPr>
          <w:sz w:val="20"/>
        </w:rPr>
      </w:pPr>
    </w:p>
    <w:p>
      <w:pPr>
        <w:pStyle w:val="BodyText"/>
        <w:rPr>
          <w:sz w:val="20"/>
        </w:rPr>
      </w:pPr>
    </w:p>
    <w:p>
      <w:pPr>
        <w:pStyle w:val="BodyText"/>
        <w:spacing w:before="209"/>
        <w:rPr>
          <w:sz w:val="20"/>
        </w:rPr>
      </w:pPr>
      <w:r>
        <w:rPr/>
        <mc:AlternateContent>
          <mc:Choice Requires="wps">
            <w:drawing>
              <wp:anchor distT="0" distB="0" distL="0" distR="0" allowOverlap="1" layoutInCell="1" locked="0" behindDoc="1" simplePos="0" relativeHeight="487689216">
                <wp:simplePos x="0" y="0"/>
                <wp:positionH relativeFrom="page">
                  <wp:posOffset>647999</wp:posOffset>
                </wp:positionH>
                <wp:positionV relativeFrom="paragraph">
                  <wp:posOffset>303138</wp:posOffset>
                </wp:positionV>
                <wp:extent cx="6012180" cy="1270"/>
                <wp:effectExtent l="0" t="0" r="0" b="0"/>
                <wp:wrapTopAndBottom/>
                <wp:docPr id="544" name="Graphic 544"/>
                <wp:cNvGraphicFramePr>
                  <a:graphicFrameLocks/>
                </wp:cNvGraphicFramePr>
                <a:graphic>
                  <a:graphicData uri="http://schemas.microsoft.com/office/word/2010/wordprocessingShape">
                    <wps:wsp>
                      <wps:cNvPr id="544" name="Graphic 54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3.869137pt;width:473.4pt;height:.1pt;mso-position-horizontal-relative:page;mso-position-vertical-relative:paragraph;z-index:-15627264;mso-wrap-distance-left:0;mso-wrap-distance-right:0" id="docshape435" coordorigin="1020,477" coordsize="9468,0" path="m1020,477l10488,477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378"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 77.</w:t>
      </w:r>
    </w:p>
    <w:p>
      <w:pPr>
        <w:pStyle w:val="ListParagraph"/>
        <w:numPr>
          <w:ilvl w:val="0"/>
          <w:numId w:val="18"/>
        </w:numPr>
        <w:tabs>
          <w:tab w:pos="1287" w:val="left" w:leader="none"/>
        </w:tabs>
        <w:spacing w:line="240" w:lineRule="auto" w:before="1" w:after="0"/>
        <w:ind w:left="1287" w:right="1308" w:hanging="567"/>
        <w:jc w:val="both"/>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color w:val="1D71B8"/>
          <w:sz w:val="18"/>
          <w:u w:val="single" w:color="1D71B8"/>
        </w:rPr>
        <w:t>Policy</w:t>
      </w:r>
      <w:r>
        <w:rPr>
          <w:color w:val="1D71B8"/>
          <w:spacing w:val="-4"/>
          <w:sz w:val="18"/>
          <w:u w:val="single" w:color="1D71B8"/>
        </w:rPr>
        <w:t> </w:t>
      </w:r>
      <w:r>
        <w:rPr>
          <w:color w:val="1D71B8"/>
          <w:sz w:val="18"/>
          <w:u w:val="single" w:color="1D71B8"/>
        </w:rPr>
        <w:t>Recommendations:</w:t>
      </w:r>
      <w:r>
        <w:rPr>
          <w:color w:val="1D71B8"/>
          <w:spacing w:val="-4"/>
          <w:sz w:val="18"/>
          <w:u w:val="single" w:color="1D71B8"/>
        </w:rPr>
        <w:t> </w:t>
      </w:r>
      <w:r>
        <w:rPr>
          <w:color w:val="1D71B8"/>
          <w:sz w:val="18"/>
          <w:u w:val="single" w:color="1D71B8"/>
        </w:rPr>
        <w:t>European</w:t>
      </w:r>
      <w:r>
        <w:rPr>
          <w:color w:val="1D71B8"/>
          <w:spacing w:val="-4"/>
          <w:sz w:val="18"/>
          <w:u w:val="single" w:color="1D71B8"/>
        </w:rPr>
        <w:t> </w:t>
      </w:r>
      <w:r>
        <w:rPr>
          <w:color w:val="1D71B8"/>
          <w:sz w:val="18"/>
          <w:u w:val="single" w:color="1D71B8"/>
        </w:rPr>
        <w:t>Union</w:t>
      </w:r>
      <w:r>
        <w:rPr>
          <w:color w:val="1D71B8"/>
          <w:spacing w:val="-5"/>
          <w:sz w:val="18"/>
          <w:u w:val="single" w:color="1D71B8"/>
        </w:rPr>
        <w:t> </w:t>
      </w:r>
      <w:r>
        <w:rPr>
          <w:color w:val="1D71B8"/>
          <w:sz w:val="18"/>
          <w:u w:val="single" w:color="1D71B8"/>
        </w:rPr>
        <w:t>Developments</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Impact</w:t>
      </w:r>
      <w:r>
        <w:rPr>
          <w:color w:val="1D71B8"/>
          <w:spacing w:val="-4"/>
          <w:sz w:val="18"/>
          <w:u w:val="single" w:color="1D71B8"/>
        </w:rPr>
        <w:t> </w:t>
      </w:r>
      <w:r>
        <w:rPr>
          <w:color w:val="1D71B8"/>
          <w:sz w:val="18"/>
          <w:u w:val="single" w:color="1D71B8"/>
        </w:rPr>
        <w:t>of</w:t>
      </w:r>
      <w:r>
        <w:rPr>
          <w:color w:val="1D71B8"/>
          <w:sz w:val="18"/>
          <w:u w:val="none"/>
        </w:rPr>
        <w:t> </w:t>
      </w:r>
      <w:r>
        <w:rPr>
          <w:color w:val="1D71B8"/>
          <w:sz w:val="18"/>
          <w:u w:val="single" w:color="1D71B8"/>
        </w:rPr>
        <w:t>Brexit on the Divergence of Rights and Best Practice on the Island of Ireland</w:t>
      </w:r>
      <w:r>
        <w:rPr>
          <w:color w:val="1D71B8"/>
          <w:sz w:val="18"/>
          <w:u w:val="none"/>
        </w:rPr>
        <w:t> </w:t>
      </w:r>
      <w:r>
        <w:rPr>
          <w:sz w:val="18"/>
          <w:u w:val="none"/>
        </w:rPr>
        <w:t>(2023) 40.</w:t>
      </w:r>
    </w:p>
    <w:p>
      <w:pPr>
        <w:spacing w:after="0" w:line="240" w:lineRule="auto"/>
        <w:jc w:val="both"/>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31552">
                <wp:simplePos x="0" y="0"/>
                <wp:positionH relativeFrom="page">
                  <wp:posOffset>-2</wp:posOffset>
                </wp:positionH>
                <wp:positionV relativeFrom="page">
                  <wp:posOffset>0</wp:posOffset>
                </wp:positionV>
                <wp:extent cx="7560309" cy="1257935"/>
                <wp:effectExtent l="0" t="0" r="0" b="0"/>
                <wp:wrapNone/>
                <wp:docPr id="545" name="Group 545"/>
                <wp:cNvGraphicFramePr>
                  <a:graphicFrameLocks/>
                </wp:cNvGraphicFramePr>
                <a:graphic>
                  <a:graphicData uri="http://schemas.microsoft.com/office/word/2010/wordprocessingGroup">
                    <wpg:wgp>
                      <wpg:cNvPr id="545" name="Group 545"/>
                      <wpg:cNvGrpSpPr/>
                      <wpg:grpSpPr>
                        <a:xfrm>
                          <a:off x="0" y="0"/>
                          <a:ext cx="7560309" cy="1257935"/>
                          <a:chExt cx="7560309" cy="1257935"/>
                        </a:xfrm>
                      </wpg:grpSpPr>
                      <wps:wsp>
                        <wps:cNvPr id="546" name="Graphic 546"/>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547" name="Graphic 547"/>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548" name="Textbox 548"/>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549" name="Textbox 549"/>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61</w:t>
                              </w:r>
                            </w:p>
                          </w:txbxContent>
                        </wps:txbx>
                        <wps:bodyPr wrap="square" lIns="0" tIns="0" rIns="0" bIns="0" rtlCol="0">
                          <a:noAutofit/>
                        </wps:bodyPr>
                      </wps:wsp>
                      <wps:wsp>
                        <wps:cNvPr id="550" name="Textbox 550"/>
                        <wps:cNvSpPr txBox="1"/>
                        <wps:spPr>
                          <a:xfrm>
                            <a:off x="900001" y="1080003"/>
                            <a:ext cx="2363470" cy="177800"/>
                          </a:xfrm>
                          <a:prstGeom prst="rect">
                            <a:avLst/>
                          </a:prstGeom>
                        </wps:spPr>
                        <wps:txbx>
                          <w:txbxContent>
                            <w:p>
                              <w:pPr>
                                <w:numPr>
                                  <w:ilvl w:val="2"/>
                                  <w:numId w:val="22"/>
                                </w:numPr>
                                <w:tabs>
                                  <w:tab w:pos="638" w:val="left" w:leader="none"/>
                                </w:tabs>
                                <w:spacing w:line="280" w:lineRule="exact" w:before="0"/>
                                <w:ind w:left="638" w:right="0" w:hanging="638"/>
                                <w:jc w:val="left"/>
                                <w:rPr>
                                  <w:b/>
                                  <w:sz w:val="28"/>
                                </w:rPr>
                              </w:pPr>
                              <w:r>
                                <w:rPr>
                                  <w:b/>
                                  <w:color w:val="004A93"/>
                                  <w:sz w:val="28"/>
                                </w:rPr>
                                <w:t>Gender</w:t>
                              </w:r>
                              <w:r>
                                <w:rPr>
                                  <w:b/>
                                  <w:color w:val="004A93"/>
                                  <w:spacing w:val="-5"/>
                                  <w:sz w:val="28"/>
                                </w:rPr>
                                <w:t> </w:t>
                              </w:r>
                              <w:r>
                                <w:rPr>
                                  <w:b/>
                                  <w:color w:val="004A93"/>
                                  <w:sz w:val="28"/>
                                </w:rPr>
                                <w:t>Balance</w:t>
                              </w:r>
                              <w:r>
                                <w:rPr>
                                  <w:b/>
                                  <w:color w:val="004A93"/>
                                  <w:spacing w:val="-5"/>
                                  <w:sz w:val="28"/>
                                </w:rPr>
                                <w:t> </w:t>
                              </w:r>
                              <w:r>
                                <w:rPr>
                                  <w:b/>
                                  <w:color w:val="004A93"/>
                                  <w:sz w:val="28"/>
                                </w:rPr>
                                <w:t>on</w:t>
                              </w:r>
                              <w:r>
                                <w:rPr>
                                  <w:b/>
                                  <w:color w:val="004A93"/>
                                  <w:spacing w:val="-3"/>
                                  <w:sz w:val="28"/>
                                </w:rPr>
                                <w:t> </w:t>
                              </w:r>
                              <w:r>
                                <w:rPr>
                                  <w:b/>
                                  <w:color w:val="004A93"/>
                                  <w:spacing w:val="-2"/>
                                  <w:sz w:val="28"/>
                                </w:rPr>
                                <w:t>Boards</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831552" id="docshapegroup436" coordorigin="0,0" coordsize="11906,1981">
                <v:shape style="position:absolute;left:0;top:0;width:11906;height:1819" id="docshape437"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438"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439" filled="false" stroked="false">
                  <v:textbox inset="0,0,0,0">
                    <w:txbxContent>
                      <w:p>
                        <w:pPr>
                          <w:spacing w:line="280" w:lineRule="exact" w:before="0"/>
                          <w:ind w:left="0" w:right="0" w:firstLine="0"/>
                          <w:jc w:val="left"/>
                          <w:rPr>
                            <w:b/>
                            <w:sz w:val="28"/>
                          </w:rPr>
                        </w:pPr>
                        <w:r>
                          <w:rPr>
                            <w:b/>
                            <w:color w:val="FFFFFF"/>
                            <w:spacing w:val="-5"/>
                            <w:sz w:val="28"/>
                          </w:rPr>
                          <w:t>61</w:t>
                        </w:r>
                      </w:p>
                    </w:txbxContent>
                  </v:textbox>
                  <w10:wrap type="none"/>
                </v:shape>
                <v:shape style="position:absolute;left:1417;top:1700;width:3722;height:280" type="#_x0000_t202" id="docshape440" filled="false" stroked="false">
                  <v:textbox inset="0,0,0,0">
                    <w:txbxContent>
                      <w:p>
                        <w:pPr>
                          <w:numPr>
                            <w:ilvl w:val="2"/>
                            <w:numId w:val="22"/>
                          </w:numPr>
                          <w:tabs>
                            <w:tab w:pos="638" w:val="left" w:leader="none"/>
                          </w:tabs>
                          <w:spacing w:line="280" w:lineRule="exact" w:before="0"/>
                          <w:ind w:left="638" w:right="0" w:hanging="638"/>
                          <w:jc w:val="left"/>
                          <w:rPr>
                            <w:b/>
                            <w:sz w:val="28"/>
                          </w:rPr>
                        </w:pPr>
                        <w:r>
                          <w:rPr>
                            <w:b/>
                            <w:color w:val="004A93"/>
                            <w:sz w:val="28"/>
                          </w:rPr>
                          <w:t>Gender</w:t>
                        </w:r>
                        <w:r>
                          <w:rPr>
                            <w:b/>
                            <w:color w:val="004A93"/>
                            <w:spacing w:val="-5"/>
                            <w:sz w:val="28"/>
                          </w:rPr>
                          <w:t> </w:t>
                        </w:r>
                        <w:r>
                          <w:rPr>
                            <w:b/>
                            <w:color w:val="004A93"/>
                            <w:sz w:val="28"/>
                          </w:rPr>
                          <w:t>Balance</w:t>
                        </w:r>
                        <w:r>
                          <w:rPr>
                            <w:b/>
                            <w:color w:val="004A93"/>
                            <w:spacing w:val="-5"/>
                            <w:sz w:val="28"/>
                          </w:rPr>
                          <w:t> </w:t>
                        </w:r>
                        <w:r>
                          <w:rPr>
                            <w:b/>
                            <w:color w:val="004A93"/>
                            <w:sz w:val="28"/>
                          </w:rPr>
                          <w:t>on</w:t>
                        </w:r>
                        <w:r>
                          <w:rPr>
                            <w:b/>
                            <w:color w:val="004A93"/>
                            <w:spacing w:val="-3"/>
                            <w:sz w:val="28"/>
                          </w:rPr>
                          <w:t> </w:t>
                        </w:r>
                        <w:r>
                          <w:rPr>
                            <w:b/>
                            <w:color w:val="004A93"/>
                            <w:spacing w:val="-2"/>
                            <w:sz w:val="28"/>
                          </w:rPr>
                          <w:t>Boards</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right="750"/>
      </w:pPr>
      <w:bookmarkStart w:name="3.4.3 Gender Balance on Boards" w:id="86"/>
      <w:bookmarkEnd w:id="86"/>
      <w:r>
        <w:rPr/>
      </w:r>
      <w:bookmarkStart w:name="_bookmark35" w:id="87"/>
      <w:bookmarkEnd w:id="87"/>
      <w:r>
        <w:rPr/>
      </w:r>
      <w:r>
        <w:rPr/>
        <w:t>The European Union has passed legislation dealing with gender balance on boards (see</w:t>
      </w:r>
      <w:r>
        <w:rPr>
          <w:spacing w:val="-6"/>
        </w:rPr>
        <w:t> </w:t>
      </w:r>
      <w:r>
        <w:rPr/>
        <w:t>further</w:t>
      </w:r>
      <w:r>
        <w:rPr>
          <w:spacing w:val="-6"/>
        </w:rPr>
        <w:t> </w:t>
      </w:r>
      <w:r>
        <w:rPr/>
        <w:t>details</w:t>
      </w:r>
      <w:r>
        <w:rPr>
          <w:spacing w:val="-7"/>
        </w:rPr>
        <w:t> </w:t>
      </w:r>
      <w:r>
        <w:rPr/>
        <w:t>in</w:t>
      </w:r>
      <w:r>
        <w:rPr>
          <w:spacing w:val="-7"/>
        </w:rPr>
        <w:t> </w:t>
      </w:r>
      <w:r>
        <w:rPr/>
        <w:t>Chapter</w:t>
      </w:r>
      <w:r>
        <w:rPr>
          <w:spacing w:val="-6"/>
        </w:rPr>
        <w:t> </w:t>
      </w:r>
      <w:r>
        <w:rPr/>
        <w:t>4,</w:t>
      </w:r>
      <w:r>
        <w:rPr>
          <w:spacing w:val="-6"/>
        </w:rPr>
        <w:t> </w:t>
      </w:r>
      <w:r>
        <w:rPr/>
        <w:t>section</w:t>
      </w:r>
      <w:r>
        <w:rPr>
          <w:spacing w:val="-7"/>
        </w:rPr>
        <w:t> </w:t>
      </w:r>
      <w:r>
        <w:rPr/>
        <w:t>4.3.1.2).</w:t>
      </w:r>
      <w:r>
        <w:rPr>
          <w:vertAlign w:val="superscript"/>
        </w:rPr>
        <w:t>335</w:t>
      </w:r>
      <w:r>
        <w:rPr>
          <w:spacing w:val="-7"/>
          <w:vertAlign w:val="baseline"/>
        </w:rPr>
        <w:t> </w:t>
      </w:r>
      <w:r>
        <w:rPr>
          <w:vertAlign w:val="baseline"/>
        </w:rPr>
        <w:t>The</w:t>
      </w:r>
      <w:r>
        <w:rPr>
          <w:spacing w:val="-7"/>
          <w:vertAlign w:val="baseline"/>
        </w:rPr>
        <w:t> </w:t>
      </w:r>
      <w:r>
        <w:rPr>
          <w:b/>
          <w:vertAlign w:val="baseline"/>
        </w:rPr>
        <w:t>Gender</w:t>
      </w:r>
      <w:r>
        <w:rPr>
          <w:b/>
          <w:spacing w:val="-7"/>
          <w:vertAlign w:val="baseline"/>
        </w:rPr>
        <w:t> </w:t>
      </w:r>
      <w:r>
        <w:rPr>
          <w:b/>
          <w:vertAlign w:val="baseline"/>
        </w:rPr>
        <w:t>Balance</w:t>
      </w:r>
      <w:r>
        <w:rPr>
          <w:b/>
          <w:spacing w:val="-7"/>
          <w:vertAlign w:val="baseline"/>
        </w:rPr>
        <w:t> </w:t>
      </w:r>
      <w:r>
        <w:rPr>
          <w:b/>
          <w:vertAlign w:val="baseline"/>
        </w:rPr>
        <w:t>on</w:t>
      </w:r>
      <w:r>
        <w:rPr>
          <w:b/>
          <w:spacing w:val="-6"/>
          <w:vertAlign w:val="baseline"/>
        </w:rPr>
        <w:t> </w:t>
      </w:r>
      <w:r>
        <w:rPr>
          <w:b/>
          <w:vertAlign w:val="baseline"/>
        </w:rPr>
        <w:t>Boards Directive </w:t>
      </w:r>
      <w:r>
        <w:rPr>
          <w:vertAlign w:val="baseline"/>
        </w:rPr>
        <w:t>requires member states to ensure by 2026 that listed companies have at least 40% of non-executive directors or 33% of all director positions to be of the underrepresented sex.</w:t>
      </w:r>
      <w:r>
        <w:rPr>
          <w:vertAlign w:val="superscript"/>
        </w:rPr>
        <w:t>336</w:t>
      </w:r>
      <w:r>
        <w:rPr>
          <w:vertAlign w:val="baseline"/>
        </w:rPr>
        <w:t> States must adopt rules to require companies to report on gender balance annually.</w:t>
      </w:r>
      <w:r>
        <w:rPr>
          <w:vertAlign w:val="superscript"/>
        </w:rPr>
        <w:t>337</w:t>
      </w:r>
      <w:r>
        <w:rPr>
          <w:vertAlign w:val="baseline"/>
        </w:rPr>
        <w:t> States must adopt effective, proportionate and dissuasive penalties for any breach of the requirements and have to designate</w:t>
      </w:r>
    </w:p>
    <w:p>
      <w:pPr>
        <w:pStyle w:val="BodyText"/>
        <w:spacing w:line="232" w:lineRule="auto"/>
        <w:ind w:left="1117" w:right="1091"/>
      </w:pPr>
      <w:r>
        <w:rPr/>
        <w:t>a body or bodies to promote or monitor the gender balance requirements; these</w:t>
      </w:r>
      <w:r>
        <w:rPr>
          <w:spacing w:val="-8"/>
        </w:rPr>
        <w:t> </w:t>
      </w:r>
      <w:r>
        <w:rPr/>
        <w:t>may</w:t>
      </w:r>
      <w:r>
        <w:rPr>
          <w:spacing w:val="-8"/>
        </w:rPr>
        <w:t> </w:t>
      </w:r>
      <w:r>
        <w:rPr/>
        <w:t>be</w:t>
      </w:r>
      <w:r>
        <w:rPr>
          <w:spacing w:val="-8"/>
        </w:rPr>
        <w:t> </w:t>
      </w:r>
      <w:r>
        <w:rPr/>
        <w:t>equality</w:t>
      </w:r>
      <w:r>
        <w:rPr>
          <w:spacing w:val="-8"/>
        </w:rPr>
        <w:t> </w:t>
      </w:r>
      <w:r>
        <w:rPr/>
        <w:t>bodies.</w:t>
      </w:r>
      <w:r>
        <w:rPr>
          <w:vertAlign w:val="superscript"/>
        </w:rPr>
        <w:t>338</w:t>
      </w:r>
      <w:r>
        <w:rPr>
          <w:spacing w:val="-9"/>
          <w:vertAlign w:val="baseline"/>
        </w:rPr>
        <w:t> </w:t>
      </w:r>
      <w:r>
        <w:rPr>
          <w:vertAlign w:val="baseline"/>
        </w:rPr>
        <w:t>Member</w:t>
      </w:r>
      <w:r>
        <w:rPr>
          <w:spacing w:val="-8"/>
          <w:vertAlign w:val="baseline"/>
        </w:rPr>
        <w:t> </w:t>
      </w:r>
      <w:r>
        <w:rPr>
          <w:vertAlign w:val="baseline"/>
        </w:rPr>
        <w:t>states</w:t>
      </w:r>
      <w:r>
        <w:rPr>
          <w:spacing w:val="-9"/>
          <w:vertAlign w:val="baseline"/>
        </w:rPr>
        <w:t> </w:t>
      </w:r>
      <w:r>
        <w:rPr>
          <w:vertAlign w:val="baseline"/>
        </w:rPr>
        <w:t>have</w:t>
      </w:r>
      <w:r>
        <w:rPr>
          <w:spacing w:val="-8"/>
          <w:vertAlign w:val="baseline"/>
        </w:rPr>
        <w:t> </w:t>
      </w:r>
      <w:r>
        <w:rPr>
          <w:vertAlign w:val="baseline"/>
        </w:rPr>
        <w:t>until</w:t>
      </w:r>
      <w:r>
        <w:rPr>
          <w:spacing w:val="-9"/>
          <w:vertAlign w:val="baseline"/>
        </w:rPr>
        <w:t> </w:t>
      </w:r>
      <w:r>
        <w:rPr>
          <w:vertAlign w:val="baseline"/>
        </w:rPr>
        <w:t>28</w:t>
      </w:r>
      <w:r>
        <w:rPr>
          <w:spacing w:val="-8"/>
          <w:vertAlign w:val="baseline"/>
        </w:rPr>
        <w:t> </w:t>
      </w:r>
      <w:r>
        <w:rPr>
          <w:vertAlign w:val="baseline"/>
        </w:rPr>
        <w:t>December</w:t>
      </w:r>
      <w:r>
        <w:rPr>
          <w:spacing w:val="-8"/>
          <w:vertAlign w:val="baseline"/>
        </w:rPr>
        <w:t> </w:t>
      </w:r>
      <w:r>
        <w:rPr>
          <w:vertAlign w:val="baseline"/>
        </w:rPr>
        <w:t>2024</w:t>
      </w:r>
      <w:r>
        <w:rPr>
          <w:spacing w:val="-9"/>
          <w:vertAlign w:val="baseline"/>
        </w:rPr>
        <w:t> </w:t>
      </w:r>
      <w:r>
        <w:rPr>
          <w:vertAlign w:val="baseline"/>
        </w:rPr>
        <w:t>to transpose the Directive.</w:t>
      </w:r>
    </w:p>
    <w:p>
      <w:pPr>
        <w:pStyle w:val="BodyText"/>
        <w:spacing w:line="232" w:lineRule="auto" w:before="268"/>
        <w:ind w:left="1117" w:right="1087"/>
      </w:pPr>
      <w:r>
        <w:rPr/>
        <w:t>Ireland has been making some progress in terms of female representation on boards, though not so much in terms of senior leadership roles. Ireland has reported</w:t>
      </w:r>
      <w:r>
        <w:rPr>
          <w:spacing w:val="-5"/>
        </w:rPr>
        <w:t> </w:t>
      </w:r>
      <w:r>
        <w:rPr/>
        <w:t>figures</w:t>
      </w:r>
      <w:r>
        <w:rPr>
          <w:spacing w:val="-5"/>
        </w:rPr>
        <w:t> </w:t>
      </w:r>
      <w:r>
        <w:rPr/>
        <w:t>of</w:t>
      </w:r>
      <w:r>
        <w:rPr>
          <w:spacing w:val="-5"/>
        </w:rPr>
        <w:t> </w:t>
      </w:r>
      <w:r>
        <w:rPr/>
        <w:t>35%</w:t>
      </w:r>
      <w:r>
        <w:rPr>
          <w:spacing w:val="-4"/>
        </w:rPr>
        <w:t> </w:t>
      </w:r>
      <w:r>
        <w:rPr/>
        <w:t>of</w:t>
      </w:r>
      <w:r>
        <w:rPr>
          <w:spacing w:val="-5"/>
        </w:rPr>
        <w:t> </w:t>
      </w:r>
      <w:r>
        <w:rPr/>
        <w:t>women</w:t>
      </w:r>
      <w:r>
        <w:rPr>
          <w:spacing w:val="-5"/>
        </w:rPr>
        <w:t> </w:t>
      </w:r>
      <w:r>
        <w:rPr/>
        <w:t>on</w:t>
      </w:r>
      <w:r>
        <w:rPr>
          <w:spacing w:val="-5"/>
        </w:rPr>
        <w:t> </w:t>
      </w:r>
      <w:r>
        <w:rPr/>
        <w:t>boards</w:t>
      </w:r>
      <w:r>
        <w:rPr>
          <w:spacing w:val="-5"/>
        </w:rPr>
        <w:t> </w:t>
      </w:r>
      <w:r>
        <w:rPr/>
        <w:t>of</w:t>
      </w:r>
      <w:r>
        <w:rPr>
          <w:spacing w:val="-5"/>
        </w:rPr>
        <w:t> </w:t>
      </w:r>
      <w:r>
        <w:rPr/>
        <w:t>ISEQ20</w:t>
      </w:r>
      <w:r>
        <w:rPr>
          <w:spacing w:val="-4"/>
        </w:rPr>
        <w:t> </w:t>
      </w:r>
      <w:r>
        <w:rPr/>
        <w:t>companies,</w:t>
      </w:r>
      <w:r>
        <w:rPr>
          <w:spacing w:val="-4"/>
        </w:rPr>
        <w:t> </w:t>
      </w:r>
      <w:r>
        <w:rPr/>
        <w:t>and</w:t>
      </w:r>
      <w:r>
        <w:rPr>
          <w:spacing w:val="-5"/>
        </w:rPr>
        <w:t> </w:t>
      </w:r>
      <w:r>
        <w:rPr/>
        <w:t>32%</w:t>
      </w:r>
      <w:r>
        <w:rPr>
          <w:spacing w:val="-4"/>
        </w:rPr>
        <w:t> </w:t>
      </w:r>
      <w:r>
        <w:rPr/>
        <w:t>on all listed companies; however figures for CEO, chair and chief financial officer</w:t>
      </w:r>
    </w:p>
    <w:p>
      <w:pPr>
        <w:pStyle w:val="BodyText"/>
        <w:spacing w:line="232" w:lineRule="auto"/>
        <w:ind w:left="1117" w:right="738"/>
      </w:pPr>
      <w:r>
        <w:rPr/>
        <w:t>positions</w:t>
      </w:r>
      <w:r>
        <w:rPr>
          <w:spacing w:val="-10"/>
        </w:rPr>
        <w:t> </w:t>
      </w:r>
      <w:r>
        <w:rPr/>
        <w:t>are</w:t>
      </w:r>
      <w:r>
        <w:rPr>
          <w:spacing w:val="-11"/>
        </w:rPr>
        <w:t> </w:t>
      </w:r>
      <w:r>
        <w:rPr/>
        <w:t>much</w:t>
      </w:r>
      <w:r>
        <w:rPr>
          <w:spacing w:val="-11"/>
        </w:rPr>
        <w:t> </w:t>
      </w:r>
      <w:r>
        <w:rPr/>
        <w:t>lower.</w:t>
      </w:r>
      <w:r>
        <w:rPr>
          <w:vertAlign w:val="superscript"/>
        </w:rPr>
        <w:t>339</w:t>
      </w:r>
      <w:r>
        <w:rPr>
          <w:spacing w:val="-11"/>
          <w:vertAlign w:val="baseline"/>
        </w:rPr>
        <w:t> </w:t>
      </w:r>
      <w:r>
        <w:rPr>
          <w:vertAlign w:val="baseline"/>
        </w:rPr>
        <w:t>When</w:t>
      </w:r>
      <w:r>
        <w:rPr>
          <w:spacing w:val="-11"/>
          <w:vertAlign w:val="baseline"/>
        </w:rPr>
        <w:t> </w:t>
      </w:r>
      <w:r>
        <w:rPr>
          <w:vertAlign w:val="baseline"/>
        </w:rPr>
        <w:t>it</w:t>
      </w:r>
      <w:r>
        <w:rPr>
          <w:spacing w:val="-11"/>
          <w:vertAlign w:val="baseline"/>
        </w:rPr>
        <w:t> </w:t>
      </w:r>
      <w:r>
        <w:rPr>
          <w:vertAlign w:val="baseline"/>
        </w:rPr>
        <w:t>comes</w:t>
      </w:r>
      <w:r>
        <w:rPr>
          <w:spacing w:val="-11"/>
          <w:vertAlign w:val="baseline"/>
        </w:rPr>
        <w:t> </w:t>
      </w:r>
      <w:r>
        <w:rPr>
          <w:vertAlign w:val="baseline"/>
        </w:rPr>
        <w:t>to</w:t>
      </w:r>
      <w:r>
        <w:rPr>
          <w:spacing w:val="-11"/>
          <w:vertAlign w:val="baseline"/>
        </w:rPr>
        <w:t> </w:t>
      </w:r>
      <w:r>
        <w:rPr>
          <w:vertAlign w:val="baseline"/>
        </w:rPr>
        <w:t>State</w:t>
      </w:r>
      <w:r>
        <w:rPr>
          <w:spacing w:val="-11"/>
          <w:vertAlign w:val="baseline"/>
        </w:rPr>
        <w:t> </w:t>
      </w:r>
      <w:r>
        <w:rPr>
          <w:vertAlign w:val="baseline"/>
        </w:rPr>
        <w:t>Boards,</w:t>
      </w:r>
      <w:r>
        <w:rPr>
          <w:spacing w:val="-11"/>
          <w:vertAlign w:val="baseline"/>
        </w:rPr>
        <w:t> </w:t>
      </w:r>
      <w:r>
        <w:rPr>
          <w:vertAlign w:val="baseline"/>
        </w:rPr>
        <w:t>a</w:t>
      </w:r>
      <w:r>
        <w:rPr>
          <w:spacing w:val="-11"/>
          <w:vertAlign w:val="baseline"/>
        </w:rPr>
        <w:t> </w:t>
      </w:r>
      <w:r>
        <w:rPr>
          <w:vertAlign w:val="baseline"/>
        </w:rPr>
        <w:t>2022</w:t>
      </w:r>
      <w:r>
        <w:rPr>
          <w:spacing w:val="-11"/>
          <w:vertAlign w:val="baseline"/>
        </w:rPr>
        <w:t> </w:t>
      </w:r>
      <w:r>
        <w:rPr>
          <w:vertAlign w:val="baseline"/>
        </w:rPr>
        <w:t>report</w:t>
      </w:r>
      <w:r>
        <w:rPr>
          <w:spacing w:val="-11"/>
          <w:vertAlign w:val="baseline"/>
        </w:rPr>
        <w:t> </w:t>
      </w:r>
      <w:r>
        <w:rPr>
          <w:vertAlign w:val="baseline"/>
        </w:rPr>
        <w:t>indicates that 46.1% of board members are female, though only 59.3% of boards meet the target of having 40% male and female members.</w:t>
      </w:r>
      <w:r>
        <w:rPr>
          <w:vertAlign w:val="superscript"/>
        </w:rPr>
        <w:t>340</w:t>
      </w:r>
      <w:r>
        <w:rPr>
          <w:vertAlign w:val="baseline"/>
        </w:rPr>
        <w:t> Ireland has not yet announced its specific plans to transpose the Directive.</w:t>
      </w:r>
      <w:r>
        <w:rPr>
          <w:vertAlign w:val="superscript"/>
        </w:rPr>
        <w:t>341</w:t>
      </w:r>
    </w:p>
    <w:p>
      <w:pPr>
        <w:pStyle w:val="BodyText"/>
        <w:spacing w:line="232" w:lineRule="auto" w:before="271"/>
        <w:ind w:left="1117" w:right="888"/>
      </w:pPr>
      <w:r>
        <w:rPr/>
        <w:t>Up-to-date</w:t>
      </w:r>
      <w:r>
        <w:rPr>
          <w:spacing w:val="-10"/>
        </w:rPr>
        <w:t> </w:t>
      </w:r>
      <w:r>
        <w:rPr/>
        <w:t>figures</w:t>
      </w:r>
      <w:r>
        <w:rPr>
          <w:spacing w:val="-10"/>
        </w:rPr>
        <w:t> </w:t>
      </w:r>
      <w:r>
        <w:rPr/>
        <w:t>on</w:t>
      </w:r>
      <w:r>
        <w:rPr>
          <w:spacing w:val="-10"/>
        </w:rPr>
        <w:t> </w:t>
      </w:r>
      <w:r>
        <w:rPr/>
        <w:t>female</w:t>
      </w:r>
      <w:r>
        <w:rPr>
          <w:spacing w:val="-10"/>
        </w:rPr>
        <w:t> </w:t>
      </w:r>
      <w:r>
        <w:rPr/>
        <w:t>representation</w:t>
      </w:r>
      <w:r>
        <w:rPr>
          <w:spacing w:val="-10"/>
        </w:rPr>
        <w:t> </w:t>
      </w:r>
      <w:r>
        <w:rPr/>
        <w:t>on</w:t>
      </w:r>
      <w:r>
        <w:rPr>
          <w:spacing w:val="-10"/>
        </w:rPr>
        <w:t> </w:t>
      </w:r>
      <w:r>
        <w:rPr/>
        <w:t>Northern</w:t>
      </w:r>
      <w:r>
        <w:rPr>
          <w:spacing w:val="-10"/>
        </w:rPr>
        <w:t> </w:t>
      </w:r>
      <w:r>
        <w:rPr/>
        <w:t>Ireland</w:t>
      </w:r>
      <w:r>
        <w:rPr>
          <w:spacing w:val="-10"/>
        </w:rPr>
        <w:t> </w:t>
      </w:r>
      <w:r>
        <w:rPr/>
        <w:t>company</w:t>
      </w:r>
      <w:r>
        <w:rPr>
          <w:spacing w:val="-10"/>
        </w:rPr>
        <w:t> </w:t>
      </w:r>
      <w:r>
        <w:rPr/>
        <w:t>boards are not easily accessible. A survey by the Northern Ireland Assembly in 2015 suggested that 15.4% of Board members of the top 100 companies in Northern Ireland were women; 42 Boards had no women at all.</w:t>
      </w:r>
      <w:r>
        <w:rPr>
          <w:vertAlign w:val="superscript"/>
        </w:rPr>
        <w:t>342</w:t>
      </w:r>
      <w:r>
        <w:rPr>
          <w:vertAlign w:val="baseline"/>
        </w:rPr>
        <w:t> In terms of public appointments, the Northern Ireland Executive has set targets for gender equality in</w:t>
      </w:r>
      <w:r>
        <w:rPr>
          <w:spacing w:val="-3"/>
          <w:vertAlign w:val="baseline"/>
        </w:rPr>
        <w:t> </w:t>
      </w:r>
      <w:r>
        <w:rPr>
          <w:vertAlign w:val="baseline"/>
        </w:rPr>
        <w:t>public</w:t>
      </w:r>
      <w:r>
        <w:rPr>
          <w:spacing w:val="-2"/>
          <w:vertAlign w:val="baseline"/>
        </w:rPr>
        <w:t> </w:t>
      </w:r>
      <w:r>
        <w:rPr>
          <w:vertAlign w:val="baseline"/>
        </w:rPr>
        <w:t>appointments</w:t>
      </w:r>
      <w:r>
        <w:rPr>
          <w:spacing w:val="-3"/>
          <w:vertAlign w:val="baseline"/>
        </w:rPr>
        <w:t> </w:t>
      </w:r>
      <w:r>
        <w:rPr>
          <w:vertAlign w:val="baseline"/>
        </w:rPr>
        <w:t>but</w:t>
      </w:r>
      <w:r>
        <w:rPr>
          <w:spacing w:val="-2"/>
          <w:vertAlign w:val="baseline"/>
        </w:rPr>
        <w:t> </w:t>
      </w:r>
      <w:r>
        <w:rPr>
          <w:vertAlign w:val="baseline"/>
        </w:rPr>
        <w:t>the</w:t>
      </w:r>
      <w:r>
        <w:rPr>
          <w:spacing w:val="-2"/>
          <w:vertAlign w:val="baseline"/>
        </w:rPr>
        <w:t> </w:t>
      </w:r>
      <w:r>
        <w:rPr>
          <w:vertAlign w:val="baseline"/>
        </w:rPr>
        <w:t>Commissioner</w:t>
      </w:r>
      <w:r>
        <w:rPr>
          <w:spacing w:val="-2"/>
          <w:vertAlign w:val="baseline"/>
        </w:rPr>
        <w:t> </w:t>
      </w:r>
      <w:r>
        <w:rPr>
          <w:vertAlign w:val="baseline"/>
        </w:rPr>
        <w:t>for</w:t>
      </w:r>
      <w:r>
        <w:rPr>
          <w:spacing w:val="-2"/>
          <w:vertAlign w:val="baseline"/>
        </w:rPr>
        <w:t> </w:t>
      </w:r>
      <w:r>
        <w:rPr>
          <w:vertAlign w:val="baseline"/>
        </w:rPr>
        <w:t>Public</w:t>
      </w:r>
      <w:r>
        <w:rPr>
          <w:spacing w:val="-2"/>
          <w:vertAlign w:val="baseline"/>
        </w:rPr>
        <w:t> </w:t>
      </w:r>
      <w:r>
        <w:rPr>
          <w:vertAlign w:val="baseline"/>
        </w:rPr>
        <w:t>Appointments</w:t>
      </w:r>
      <w:r>
        <w:rPr>
          <w:spacing w:val="-3"/>
          <w:vertAlign w:val="baseline"/>
        </w:rPr>
        <w:t> </w:t>
      </w:r>
      <w:r>
        <w:rPr>
          <w:vertAlign w:val="baseline"/>
        </w:rPr>
        <w:t>and</w:t>
      </w:r>
      <w:r>
        <w:rPr>
          <w:spacing w:val="-3"/>
          <w:vertAlign w:val="baseline"/>
        </w:rPr>
        <w:t> </w:t>
      </w:r>
      <w:r>
        <w:rPr>
          <w:vertAlign w:val="baseline"/>
        </w:rPr>
        <w:t>NISRA report that the absence of a functioning Executive impacted on the possibility to meet this target.</w:t>
      </w:r>
      <w:r>
        <w:rPr>
          <w:vertAlign w:val="superscript"/>
        </w:rPr>
        <w:t>343</w:t>
      </w:r>
      <w:r>
        <w:rPr>
          <w:vertAlign w:val="baseline"/>
        </w:rPr>
        <w:t> Overall on 31 March 2022 42% of public appointments were female, 58% male.</w:t>
      </w:r>
      <w:r>
        <w:rPr>
          <w:vertAlign w:val="superscript"/>
        </w:rPr>
        <w:t>344</w:t>
      </w:r>
      <w:r>
        <w:rPr>
          <w:vertAlign w:val="baseline"/>
        </w:rPr>
        <w:t> The ECNI has published research and recommendations</w:t>
      </w:r>
    </w:p>
    <w:p>
      <w:pPr>
        <w:pStyle w:val="BodyText"/>
        <w:spacing w:line="320" w:lineRule="exact"/>
        <w:ind w:left="1117"/>
      </w:pPr>
      <w:r>
        <w:rPr/>
        <w:t>that</w:t>
      </w:r>
      <w:r>
        <w:rPr>
          <w:spacing w:val="-9"/>
        </w:rPr>
        <w:t> </w:t>
      </w:r>
      <w:r>
        <w:rPr/>
        <w:t>highlight</w:t>
      </w:r>
      <w:r>
        <w:rPr>
          <w:spacing w:val="-9"/>
        </w:rPr>
        <w:t> </w:t>
      </w:r>
      <w:r>
        <w:rPr/>
        <w:t>key</w:t>
      </w:r>
      <w:r>
        <w:rPr>
          <w:spacing w:val="-9"/>
        </w:rPr>
        <w:t> </w:t>
      </w:r>
      <w:r>
        <w:rPr/>
        <w:t>inequalities</w:t>
      </w:r>
      <w:r>
        <w:rPr>
          <w:spacing w:val="-10"/>
        </w:rPr>
        <w:t> </w:t>
      </w:r>
      <w:r>
        <w:rPr/>
        <w:t>in</w:t>
      </w:r>
      <w:r>
        <w:rPr>
          <w:spacing w:val="-9"/>
        </w:rPr>
        <w:t> </w:t>
      </w:r>
      <w:r>
        <w:rPr/>
        <w:t>participation</w:t>
      </w:r>
      <w:r>
        <w:rPr>
          <w:spacing w:val="-10"/>
        </w:rPr>
        <w:t> </w:t>
      </w:r>
      <w:r>
        <w:rPr/>
        <w:t>in</w:t>
      </w:r>
      <w:r>
        <w:rPr>
          <w:spacing w:val="-10"/>
        </w:rPr>
        <w:t> </w:t>
      </w:r>
      <w:r>
        <w:rPr/>
        <w:t>public</w:t>
      </w:r>
      <w:r>
        <w:rPr>
          <w:spacing w:val="-8"/>
        </w:rPr>
        <w:t> </w:t>
      </w:r>
      <w:r>
        <w:rPr/>
        <w:t>life,</w:t>
      </w:r>
      <w:r>
        <w:rPr>
          <w:spacing w:val="-9"/>
        </w:rPr>
        <w:t> </w:t>
      </w:r>
      <w:r>
        <w:rPr>
          <w:spacing w:val="-2"/>
        </w:rPr>
        <w:t>including</w:t>
      </w:r>
    </w:p>
    <w:p>
      <w:pPr>
        <w:pStyle w:val="BodyText"/>
        <w:spacing w:before="16"/>
        <w:rPr>
          <w:sz w:val="20"/>
        </w:rPr>
      </w:pPr>
      <w:r>
        <w:rPr/>
        <mc:AlternateContent>
          <mc:Choice Requires="wps">
            <w:drawing>
              <wp:anchor distT="0" distB="0" distL="0" distR="0" allowOverlap="1" layoutInCell="1" locked="0" behindDoc="1" simplePos="0" relativeHeight="487690240">
                <wp:simplePos x="0" y="0"/>
                <wp:positionH relativeFrom="page">
                  <wp:posOffset>899999</wp:posOffset>
                </wp:positionH>
                <wp:positionV relativeFrom="paragraph">
                  <wp:posOffset>180944</wp:posOffset>
                </wp:positionV>
                <wp:extent cx="6012180" cy="1270"/>
                <wp:effectExtent l="0" t="0" r="0" b="0"/>
                <wp:wrapTopAndBottom/>
                <wp:docPr id="551" name="Graphic 551"/>
                <wp:cNvGraphicFramePr>
                  <a:graphicFrameLocks/>
                </wp:cNvGraphicFramePr>
                <a:graphic>
                  <a:graphicData uri="http://schemas.microsoft.com/office/word/2010/wordprocessingShape">
                    <wps:wsp>
                      <wps:cNvPr id="551" name="Graphic 55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4.247568pt;width:473.4pt;height:.1pt;mso-position-horizontal-relative:page;mso-position-vertical-relative:paragraph;z-index:-15626240;mso-wrap-distance-left:0;mso-wrap-distance-right:0" id="docshape441" coordorigin="1417,285" coordsize="9468,0" path="m1417,285l10885,285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897" w:hanging="567"/>
        <w:jc w:val="left"/>
        <w:rPr>
          <w:sz w:val="18"/>
        </w:rPr>
      </w:pPr>
      <w:r>
        <w:rPr>
          <w:color w:val="1D71B8"/>
          <w:sz w:val="18"/>
          <w:u w:val="single" w:color="1D71B8"/>
        </w:rPr>
        <w:t>Directive</w:t>
      </w:r>
      <w:r>
        <w:rPr>
          <w:color w:val="1D71B8"/>
          <w:spacing w:val="-3"/>
          <w:sz w:val="18"/>
          <w:u w:val="single" w:color="1D71B8"/>
        </w:rPr>
        <w:t> </w:t>
      </w:r>
      <w:r>
        <w:rPr>
          <w:color w:val="1D71B8"/>
          <w:sz w:val="18"/>
          <w:u w:val="single" w:color="1D71B8"/>
        </w:rPr>
        <w:t>(EU)</w:t>
      </w:r>
      <w:r>
        <w:rPr>
          <w:color w:val="1D71B8"/>
          <w:spacing w:val="-4"/>
          <w:sz w:val="18"/>
          <w:u w:val="single" w:color="1D71B8"/>
        </w:rPr>
        <w:t> </w:t>
      </w:r>
      <w:r>
        <w:rPr>
          <w:color w:val="1D71B8"/>
          <w:sz w:val="18"/>
          <w:u w:val="single" w:color="1D71B8"/>
        </w:rPr>
        <w:t>2022/2381</w:t>
      </w:r>
      <w:r>
        <w:rPr>
          <w:color w:val="1D71B8"/>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23</w:t>
      </w:r>
      <w:r>
        <w:rPr>
          <w:spacing w:val="-3"/>
          <w:sz w:val="18"/>
          <w:u w:val="none"/>
        </w:rPr>
        <w:t> </w:t>
      </w:r>
      <w:r>
        <w:rPr>
          <w:sz w:val="18"/>
          <w:u w:val="none"/>
        </w:rPr>
        <w:t>November</w:t>
      </w:r>
      <w:r>
        <w:rPr>
          <w:spacing w:val="-3"/>
          <w:sz w:val="18"/>
          <w:u w:val="none"/>
        </w:rPr>
        <w:t> </w:t>
      </w:r>
      <w:r>
        <w:rPr>
          <w:sz w:val="18"/>
          <w:u w:val="none"/>
        </w:rPr>
        <w:t>2022</w:t>
      </w:r>
      <w:r>
        <w:rPr>
          <w:spacing w:val="-3"/>
          <w:sz w:val="18"/>
          <w:u w:val="none"/>
        </w:rPr>
        <w:t> </w:t>
      </w:r>
      <w:r>
        <w:rPr>
          <w:sz w:val="18"/>
          <w:u w:val="none"/>
        </w:rPr>
        <w:t>on</w:t>
      </w:r>
      <w:r>
        <w:rPr>
          <w:spacing w:val="-4"/>
          <w:sz w:val="18"/>
          <w:u w:val="none"/>
        </w:rPr>
        <w:t> </w:t>
      </w:r>
      <w:r>
        <w:rPr>
          <w:sz w:val="18"/>
          <w:u w:val="none"/>
        </w:rPr>
        <w:t>improving</w:t>
      </w:r>
      <w:r>
        <w:rPr>
          <w:spacing w:val="-3"/>
          <w:sz w:val="18"/>
          <w:u w:val="none"/>
        </w:rPr>
        <w:t> </w:t>
      </w:r>
      <w:r>
        <w:rPr>
          <w:sz w:val="18"/>
          <w:u w:val="none"/>
        </w:rPr>
        <w:t>the</w:t>
      </w:r>
      <w:r>
        <w:rPr>
          <w:spacing w:val="-3"/>
          <w:sz w:val="18"/>
          <w:u w:val="none"/>
        </w:rPr>
        <w:t> </w:t>
      </w:r>
      <w:r>
        <w:rPr>
          <w:sz w:val="18"/>
          <w:u w:val="none"/>
        </w:rPr>
        <w:t>gender balance among directors of listed companies and related measures 2022.</w:t>
      </w:r>
    </w:p>
    <w:p>
      <w:pPr>
        <w:pStyle w:val="ListParagraph"/>
        <w:numPr>
          <w:ilvl w:val="0"/>
          <w:numId w:val="18"/>
        </w:numPr>
        <w:tabs>
          <w:tab w:pos="1684" w:val="left" w:leader="none"/>
        </w:tabs>
        <w:spacing w:line="240" w:lineRule="auto" w:before="1" w:after="0"/>
        <w:ind w:left="1684" w:right="0" w:hanging="567"/>
        <w:jc w:val="left"/>
        <w:rPr>
          <w:sz w:val="18"/>
        </w:rPr>
      </w:pPr>
      <w:r>
        <w:rPr>
          <w:sz w:val="18"/>
        </w:rPr>
        <w:t>Ibid.,</w:t>
      </w:r>
      <w:r>
        <w:rPr>
          <w:spacing w:val="-3"/>
          <w:sz w:val="18"/>
        </w:rPr>
        <w:t> </w:t>
      </w:r>
      <w:r>
        <w:rPr>
          <w:sz w:val="18"/>
        </w:rPr>
        <w:t>Article</w:t>
      </w:r>
      <w:r>
        <w:rPr>
          <w:spacing w:val="-2"/>
          <w:sz w:val="18"/>
        </w:rPr>
        <w:t> </w:t>
      </w:r>
      <w:r>
        <w:rPr>
          <w:spacing w:val="-5"/>
          <w:sz w:val="18"/>
        </w:rPr>
        <w:t>5.</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3"/>
          <w:sz w:val="18"/>
        </w:rPr>
        <w:t> </w:t>
      </w:r>
      <w:r>
        <w:rPr>
          <w:sz w:val="18"/>
        </w:rPr>
        <w:t>Article</w:t>
      </w:r>
      <w:r>
        <w:rPr>
          <w:spacing w:val="-2"/>
          <w:sz w:val="18"/>
        </w:rPr>
        <w:t> </w:t>
      </w:r>
      <w:r>
        <w:rPr>
          <w:spacing w:val="-5"/>
          <w:sz w:val="18"/>
        </w:rPr>
        <w:t>7.</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4"/>
          <w:sz w:val="18"/>
        </w:rPr>
        <w:t> </w:t>
      </w:r>
      <w:r>
        <w:rPr>
          <w:sz w:val="18"/>
        </w:rPr>
        <w:t>Articles</w:t>
      </w:r>
      <w:r>
        <w:rPr>
          <w:spacing w:val="-5"/>
          <w:sz w:val="18"/>
        </w:rPr>
        <w:t> </w:t>
      </w:r>
      <w:r>
        <w:rPr>
          <w:sz w:val="18"/>
        </w:rPr>
        <w:t>8</w:t>
      </w:r>
      <w:r>
        <w:rPr>
          <w:spacing w:val="-3"/>
          <w:sz w:val="18"/>
        </w:rPr>
        <w:t> </w:t>
      </w:r>
      <w:r>
        <w:rPr>
          <w:sz w:val="18"/>
        </w:rPr>
        <w:t>and</w:t>
      </w:r>
      <w:r>
        <w:rPr>
          <w:spacing w:val="-5"/>
          <w:sz w:val="18"/>
        </w:rPr>
        <w:t> 10.</w:t>
      </w:r>
    </w:p>
    <w:p>
      <w:pPr>
        <w:pStyle w:val="ListParagraph"/>
        <w:numPr>
          <w:ilvl w:val="0"/>
          <w:numId w:val="18"/>
        </w:numPr>
        <w:tabs>
          <w:tab w:pos="1684" w:val="left" w:leader="none"/>
        </w:tabs>
        <w:spacing w:line="240" w:lineRule="auto" w:before="1" w:after="0"/>
        <w:ind w:left="1684" w:right="1105" w:hanging="567"/>
        <w:jc w:val="left"/>
        <w:rPr>
          <w:sz w:val="18"/>
        </w:rPr>
      </w:pPr>
      <w:r>
        <w:rPr>
          <w:sz w:val="18"/>
        </w:rPr>
        <w:t>Government</w:t>
      </w:r>
      <w:r>
        <w:rPr>
          <w:spacing w:val="-4"/>
          <w:sz w:val="18"/>
        </w:rPr>
        <w:t> </w:t>
      </w:r>
      <w:r>
        <w:rPr>
          <w:sz w:val="18"/>
        </w:rPr>
        <w:t>of</w:t>
      </w:r>
      <w:r>
        <w:rPr>
          <w:spacing w:val="-5"/>
          <w:sz w:val="18"/>
        </w:rPr>
        <w:t> </w:t>
      </w:r>
      <w:r>
        <w:rPr>
          <w:sz w:val="18"/>
        </w:rPr>
        <w:t>Ireland,</w:t>
      </w:r>
      <w:r>
        <w:rPr>
          <w:spacing w:val="-4"/>
          <w:sz w:val="18"/>
        </w:rPr>
        <w:t> </w:t>
      </w:r>
      <w:r>
        <w:rPr>
          <w:color w:val="1D71B8"/>
          <w:sz w:val="18"/>
          <w:u w:val="single" w:color="1D71B8"/>
        </w:rPr>
        <w:t>‘Progress</w:t>
      </w:r>
      <w:r>
        <w:rPr>
          <w:color w:val="1D71B8"/>
          <w:spacing w:val="-5"/>
          <w:sz w:val="18"/>
          <w:u w:val="single" w:color="1D71B8"/>
        </w:rPr>
        <w:t> </w:t>
      </w:r>
      <w:r>
        <w:rPr>
          <w:color w:val="1D71B8"/>
          <w:sz w:val="18"/>
          <w:u w:val="single" w:color="1D71B8"/>
        </w:rPr>
        <w:t>continues</w:t>
      </w:r>
      <w:r>
        <w:rPr>
          <w:color w:val="1D71B8"/>
          <w:spacing w:val="-5"/>
          <w:sz w:val="18"/>
          <w:u w:val="single" w:color="1D71B8"/>
        </w:rPr>
        <w:t> </w:t>
      </w:r>
      <w:r>
        <w:rPr>
          <w:color w:val="1D71B8"/>
          <w:sz w:val="18"/>
          <w:u w:val="single" w:color="1D71B8"/>
        </w:rPr>
        <w:t>towards</w:t>
      </w:r>
      <w:r>
        <w:rPr>
          <w:color w:val="1D71B8"/>
          <w:spacing w:val="-5"/>
          <w:sz w:val="18"/>
          <w:u w:val="single" w:color="1D71B8"/>
        </w:rPr>
        <w:t> </w:t>
      </w:r>
      <w:r>
        <w:rPr>
          <w:color w:val="1D71B8"/>
          <w:sz w:val="18"/>
          <w:u w:val="single" w:color="1D71B8"/>
        </w:rPr>
        <w:t>gender</w:t>
      </w:r>
      <w:r>
        <w:rPr>
          <w:color w:val="1D71B8"/>
          <w:spacing w:val="-4"/>
          <w:sz w:val="18"/>
          <w:u w:val="single" w:color="1D71B8"/>
        </w:rPr>
        <w:t> </w:t>
      </w:r>
      <w:r>
        <w:rPr>
          <w:color w:val="1D71B8"/>
          <w:sz w:val="18"/>
          <w:u w:val="single" w:color="1D71B8"/>
        </w:rPr>
        <w:t>balance</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boards</w:t>
      </w:r>
      <w:r>
        <w:rPr>
          <w:color w:val="1D71B8"/>
          <w:spacing w:val="-5"/>
          <w:sz w:val="18"/>
          <w:u w:val="single" w:color="1D71B8"/>
        </w:rPr>
        <w:t> </w:t>
      </w:r>
      <w:r>
        <w:rPr>
          <w:color w:val="1D71B8"/>
          <w:sz w:val="18"/>
          <w:u w:val="single" w:color="1D71B8"/>
        </w:rPr>
        <w:t>but</w:t>
      </w:r>
      <w:r>
        <w:rPr>
          <w:color w:val="1D71B8"/>
          <w:spacing w:val="-4"/>
          <w:sz w:val="18"/>
          <w:u w:val="single" w:color="1D71B8"/>
        </w:rPr>
        <w:t> </w:t>
      </w:r>
      <w:r>
        <w:rPr>
          <w:color w:val="1D71B8"/>
          <w:sz w:val="18"/>
          <w:u w:val="single" w:color="1D71B8"/>
        </w:rPr>
        <w:t>more</w:t>
      </w:r>
      <w:r>
        <w:rPr>
          <w:color w:val="1D71B8"/>
          <w:spacing w:val="-4"/>
          <w:sz w:val="18"/>
          <w:u w:val="single" w:color="1D71B8"/>
        </w:rPr>
        <w:t> </w:t>
      </w:r>
      <w:r>
        <w:rPr>
          <w:color w:val="1D71B8"/>
          <w:sz w:val="18"/>
          <w:u w:val="single" w:color="1D71B8"/>
        </w:rPr>
        <w:t>work</w:t>
      </w:r>
      <w:r>
        <w:rPr>
          <w:color w:val="1D71B8"/>
          <w:spacing w:val="-4"/>
          <w:sz w:val="18"/>
          <w:u w:val="single" w:color="1D71B8"/>
        </w:rPr>
        <w:t> </w:t>
      </w:r>
      <w:r>
        <w:rPr>
          <w:color w:val="1D71B8"/>
          <w:sz w:val="18"/>
          <w:u w:val="single" w:color="1D71B8"/>
        </w:rPr>
        <w:t>needed</w:t>
      </w:r>
      <w:r>
        <w:rPr>
          <w:color w:val="1D71B8"/>
          <w:spacing w:val="-5"/>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see</w:t>
      </w:r>
      <w:r>
        <w:rPr>
          <w:color w:val="1D71B8"/>
          <w:spacing w:val="-4"/>
          <w:sz w:val="18"/>
          <w:u w:val="single" w:color="1D71B8"/>
        </w:rPr>
        <w:t> </w:t>
      </w:r>
      <w:r>
        <w:rPr>
          <w:color w:val="1D71B8"/>
          <w:sz w:val="18"/>
          <w:u w:val="single" w:color="1D71B8"/>
        </w:rPr>
        <w:t>women</w:t>
      </w:r>
      <w:r>
        <w:rPr>
          <w:color w:val="1D71B8"/>
          <w:sz w:val="18"/>
          <w:u w:val="none"/>
        </w:rPr>
        <w:t> </w:t>
      </w:r>
      <w:r>
        <w:rPr>
          <w:color w:val="1D71B8"/>
          <w:sz w:val="18"/>
          <w:u w:val="single" w:color="1D71B8"/>
        </w:rPr>
        <w:t>advance into senior leadership roles’</w:t>
      </w:r>
      <w:r>
        <w:rPr>
          <w:color w:val="1D71B8"/>
          <w:sz w:val="18"/>
          <w:u w:val="none"/>
        </w:rPr>
        <w:t> </w:t>
      </w:r>
      <w:r>
        <w:rPr>
          <w:sz w:val="18"/>
          <w:u w:val="none"/>
        </w:rPr>
        <w:t>(7 March 2023).</w:t>
      </w:r>
    </w:p>
    <w:p>
      <w:pPr>
        <w:pStyle w:val="ListParagraph"/>
        <w:numPr>
          <w:ilvl w:val="0"/>
          <w:numId w:val="18"/>
        </w:numPr>
        <w:tabs>
          <w:tab w:pos="1684" w:val="left" w:leader="none"/>
        </w:tabs>
        <w:spacing w:line="240" w:lineRule="auto" w:before="0" w:after="0"/>
        <w:ind w:left="1684" w:right="760" w:hanging="567"/>
        <w:jc w:val="left"/>
        <w:rPr>
          <w:sz w:val="18"/>
        </w:rPr>
      </w:pPr>
      <w:r>
        <w:rPr>
          <w:sz w:val="18"/>
        </w:rPr>
        <w:t>NDP</w:t>
      </w:r>
      <w:r>
        <w:rPr>
          <w:spacing w:val="-4"/>
          <w:sz w:val="18"/>
        </w:rPr>
        <w:t> </w:t>
      </w:r>
      <w:r>
        <w:rPr>
          <w:sz w:val="18"/>
        </w:rPr>
        <w:t>Delivery</w:t>
      </w:r>
      <w:r>
        <w:rPr>
          <w:spacing w:val="-4"/>
          <w:sz w:val="18"/>
        </w:rPr>
        <w:t> </w:t>
      </w:r>
      <w:r>
        <w:rPr>
          <w:sz w:val="18"/>
        </w:rPr>
        <w:t>and</w:t>
      </w:r>
      <w:r>
        <w:rPr>
          <w:spacing w:val="-5"/>
          <w:sz w:val="18"/>
        </w:rPr>
        <w:t> </w:t>
      </w:r>
      <w:r>
        <w:rPr>
          <w:sz w:val="18"/>
        </w:rPr>
        <w:t>Reform</w:t>
      </w:r>
      <w:r>
        <w:rPr>
          <w:spacing w:val="-4"/>
          <w:sz w:val="18"/>
        </w:rPr>
        <w:t> </w:t>
      </w:r>
      <w:r>
        <w:rPr>
          <w:sz w:val="18"/>
        </w:rPr>
        <w:t>Department</w:t>
      </w:r>
      <w:r>
        <w:rPr>
          <w:spacing w:val="-4"/>
          <w:sz w:val="18"/>
        </w:rPr>
        <w:t> </w:t>
      </w:r>
      <w:r>
        <w:rPr>
          <w:sz w:val="18"/>
        </w:rPr>
        <w:t>of</w:t>
      </w:r>
      <w:r>
        <w:rPr>
          <w:spacing w:val="-5"/>
          <w:sz w:val="18"/>
        </w:rPr>
        <w:t> </w:t>
      </w:r>
      <w:r>
        <w:rPr>
          <w:sz w:val="18"/>
        </w:rPr>
        <w:t>Public</w:t>
      </w:r>
      <w:r>
        <w:rPr>
          <w:spacing w:val="-4"/>
          <w:sz w:val="18"/>
        </w:rPr>
        <w:t> </w:t>
      </w:r>
      <w:r>
        <w:rPr>
          <w:sz w:val="18"/>
        </w:rPr>
        <w:t>Expenditure,</w:t>
      </w:r>
      <w:r>
        <w:rPr>
          <w:spacing w:val="-6"/>
          <w:sz w:val="18"/>
        </w:rPr>
        <w:t> </w:t>
      </w:r>
      <w:r>
        <w:rPr>
          <w:color w:val="1D71B8"/>
          <w:sz w:val="18"/>
          <w:u w:val="single" w:color="1D71B8"/>
        </w:rPr>
        <w:t>Gender</w:t>
      </w:r>
      <w:r>
        <w:rPr>
          <w:color w:val="1D71B8"/>
          <w:spacing w:val="-4"/>
          <w:sz w:val="18"/>
          <w:u w:val="single" w:color="1D71B8"/>
        </w:rPr>
        <w:t> </w:t>
      </w:r>
      <w:r>
        <w:rPr>
          <w:color w:val="1D71B8"/>
          <w:sz w:val="18"/>
          <w:u w:val="single" w:color="1D71B8"/>
        </w:rPr>
        <w:t>Balance</w:t>
      </w:r>
      <w:r>
        <w:rPr>
          <w:color w:val="1D71B8"/>
          <w:spacing w:val="-4"/>
          <w:sz w:val="18"/>
          <w:u w:val="single" w:color="1D71B8"/>
        </w:rPr>
        <w:t> </w:t>
      </w:r>
      <w:r>
        <w:rPr>
          <w:color w:val="1D71B8"/>
          <w:sz w:val="18"/>
          <w:u w:val="single" w:color="1D71B8"/>
        </w:rPr>
        <w:t>Diversity</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State</w:t>
      </w:r>
      <w:r>
        <w:rPr>
          <w:color w:val="1D71B8"/>
          <w:spacing w:val="-4"/>
          <w:sz w:val="18"/>
          <w:u w:val="single" w:color="1D71B8"/>
        </w:rPr>
        <w:t> </w:t>
      </w:r>
      <w:r>
        <w:rPr>
          <w:color w:val="1D71B8"/>
          <w:sz w:val="18"/>
          <w:u w:val="single" w:color="1D71B8"/>
        </w:rPr>
        <w:t>Boards:</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next</w:t>
      </w:r>
      <w:r>
        <w:rPr>
          <w:color w:val="1D71B8"/>
          <w:spacing w:val="-4"/>
          <w:sz w:val="18"/>
          <w:u w:val="single" w:color="1D71B8"/>
        </w:rPr>
        <w:t> </w:t>
      </w:r>
      <w:r>
        <w:rPr>
          <w:color w:val="1D71B8"/>
          <w:sz w:val="18"/>
          <w:u w:val="single" w:color="1D71B8"/>
        </w:rPr>
        <w:t>steps</w:t>
      </w:r>
      <w:r>
        <w:rPr>
          <w:color w:val="1D71B8"/>
          <w:spacing w:val="-7"/>
          <w:sz w:val="18"/>
          <w:u w:val="none"/>
        </w:rPr>
        <w:t> </w:t>
      </w:r>
      <w:r>
        <w:rPr>
          <w:sz w:val="18"/>
          <w:u w:val="none"/>
        </w:rPr>
        <w:t>(17 December 2022) 8.</w:t>
      </w:r>
    </w:p>
    <w:p>
      <w:pPr>
        <w:pStyle w:val="ListParagraph"/>
        <w:numPr>
          <w:ilvl w:val="0"/>
          <w:numId w:val="18"/>
        </w:numPr>
        <w:tabs>
          <w:tab w:pos="1684" w:val="left" w:leader="none"/>
        </w:tabs>
        <w:spacing w:line="240" w:lineRule="auto" w:before="1" w:after="0"/>
        <w:ind w:left="1684" w:right="1324" w:hanging="567"/>
        <w:jc w:val="left"/>
        <w:rPr>
          <w:sz w:val="18"/>
        </w:rPr>
      </w:pPr>
      <w:r>
        <w:rPr>
          <w:sz w:val="18"/>
        </w:rPr>
        <w:t>Fine</w:t>
      </w:r>
      <w:r>
        <w:rPr>
          <w:spacing w:val="-3"/>
          <w:sz w:val="18"/>
        </w:rPr>
        <w:t> </w:t>
      </w:r>
      <w:r>
        <w:rPr>
          <w:sz w:val="18"/>
        </w:rPr>
        <w:t>Gael</w:t>
      </w:r>
      <w:r>
        <w:rPr>
          <w:spacing w:val="-4"/>
          <w:sz w:val="18"/>
        </w:rPr>
        <w:t> </w:t>
      </w:r>
      <w:r>
        <w:rPr>
          <w:color w:val="1D71B8"/>
          <w:sz w:val="18"/>
          <w:u w:val="single" w:color="1D71B8"/>
        </w:rPr>
        <w:t>‘New</w:t>
      </w:r>
      <w:r>
        <w:rPr>
          <w:color w:val="1D71B8"/>
          <w:spacing w:val="-3"/>
          <w:sz w:val="18"/>
          <w:u w:val="single" w:color="1D71B8"/>
        </w:rPr>
        <w:t> </w:t>
      </w:r>
      <w:r>
        <w:rPr>
          <w:color w:val="1D71B8"/>
          <w:sz w:val="18"/>
          <w:u w:val="single" w:color="1D71B8"/>
        </w:rPr>
        <w:t>legislation</w:t>
      </w:r>
      <w:r>
        <w:rPr>
          <w:color w:val="1D71B8"/>
          <w:spacing w:val="-4"/>
          <w:sz w:val="18"/>
          <w:u w:val="single" w:color="1D71B8"/>
        </w:rPr>
        <w:t> </w:t>
      </w:r>
      <w:r>
        <w:rPr>
          <w:color w:val="1D71B8"/>
          <w:sz w:val="18"/>
          <w:u w:val="single" w:color="1D71B8"/>
        </w:rPr>
        <w:t>will</w:t>
      </w:r>
      <w:r>
        <w:rPr>
          <w:color w:val="1D71B8"/>
          <w:spacing w:val="-4"/>
          <w:sz w:val="18"/>
          <w:u w:val="single" w:color="1D71B8"/>
        </w:rPr>
        <w:t> </w:t>
      </w:r>
      <w:r>
        <w:rPr>
          <w:color w:val="1D71B8"/>
          <w:sz w:val="18"/>
          <w:u w:val="single" w:color="1D71B8"/>
        </w:rPr>
        <w:t>ensure</w:t>
      </w:r>
      <w:r>
        <w:rPr>
          <w:color w:val="1D71B8"/>
          <w:spacing w:val="-3"/>
          <w:sz w:val="18"/>
          <w:u w:val="single" w:color="1D71B8"/>
        </w:rPr>
        <w:t> </w:t>
      </w:r>
      <w:r>
        <w:rPr>
          <w:color w:val="1D71B8"/>
          <w:sz w:val="18"/>
          <w:u w:val="single" w:color="1D71B8"/>
        </w:rPr>
        <w:t>companies</w:t>
      </w:r>
      <w:r>
        <w:rPr>
          <w:color w:val="1D71B8"/>
          <w:spacing w:val="-4"/>
          <w:sz w:val="18"/>
          <w:u w:val="single" w:color="1D71B8"/>
        </w:rPr>
        <w:t> </w:t>
      </w:r>
      <w:r>
        <w:rPr>
          <w:color w:val="1D71B8"/>
          <w:sz w:val="18"/>
          <w:u w:val="single" w:color="1D71B8"/>
        </w:rPr>
        <w:t>achieve</w:t>
      </w:r>
      <w:r>
        <w:rPr>
          <w:color w:val="1D71B8"/>
          <w:spacing w:val="-3"/>
          <w:sz w:val="18"/>
          <w:u w:val="single" w:color="1D71B8"/>
        </w:rPr>
        <w:t> </w:t>
      </w:r>
      <w:r>
        <w:rPr>
          <w:color w:val="1D71B8"/>
          <w:sz w:val="18"/>
          <w:u w:val="single" w:color="1D71B8"/>
        </w:rPr>
        <w:t>gender</w:t>
      </w:r>
      <w:r>
        <w:rPr>
          <w:color w:val="1D71B8"/>
          <w:spacing w:val="-3"/>
          <w:sz w:val="18"/>
          <w:u w:val="single" w:color="1D71B8"/>
        </w:rPr>
        <w:t> </w:t>
      </w:r>
      <w:r>
        <w:rPr>
          <w:color w:val="1D71B8"/>
          <w:sz w:val="18"/>
          <w:u w:val="single" w:color="1D71B8"/>
        </w:rPr>
        <w:t>balance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boards</w:t>
      </w:r>
      <w:r>
        <w:rPr>
          <w:color w:val="1D71B8"/>
          <w:spacing w:val="-4"/>
          <w:sz w:val="18"/>
          <w:u w:val="single" w:color="1D71B8"/>
        </w:rPr>
        <w:t> </w:t>
      </w:r>
      <w:r>
        <w:rPr>
          <w:color w:val="1D71B8"/>
          <w:sz w:val="18"/>
          <w:u w:val="single" w:color="1D71B8"/>
        </w:rPr>
        <w:t>–</w:t>
      </w:r>
      <w:r>
        <w:rPr>
          <w:color w:val="1D71B8"/>
          <w:spacing w:val="-4"/>
          <w:sz w:val="18"/>
          <w:u w:val="single" w:color="1D71B8"/>
        </w:rPr>
        <w:t> </w:t>
      </w:r>
      <w:r>
        <w:rPr>
          <w:color w:val="1D71B8"/>
          <w:sz w:val="18"/>
          <w:u w:val="single" w:color="1D71B8"/>
        </w:rPr>
        <w:t>Higgins’</w:t>
      </w:r>
      <w:r>
        <w:rPr>
          <w:color w:val="1D71B8"/>
          <w:spacing w:val="-6"/>
          <w:sz w:val="18"/>
          <w:u w:val="none"/>
        </w:rPr>
        <w:t> </w:t>
      </w:r>
      <w:r>
        <w:rPr>
          <w:sz w:val="18"/>
          <w:u w:val="none"/>
        </w:rPr>
        <w:t>(8</w:t>
      </w:r>
      <w:r>
        <w:rPr>
          <w:spacing w:val="-3"/>
          <w:sz w:val="18"/>
          <w:u w:val="none"/>
        </w:rPr>
        <w:t> </w:t>
      </w:r>
      <w:r>
        <w:rPr>
          <w:sz w:val="18"/>
          <w:u w:val="none"/>
        </w:rPr>
        <w:t>March</w:t>
      </w:r>
      <w:r>
        <w:rPr>
          <w:spacing w:val="-4"/>
          <w:sz w:val="18"/>
          <w:u w:val="none"/>
        </w:rPr>
        <w:t> </w:t>
      </w:r>
      <w:r>
        <w:rPr>
          <w:sz w:val="18"/>
          <w:u w:val="none"/>
        </w:rPr>
        <w:t>2023)</w:t>
      </w:r>
      <w:r>
        <w:rPr>
          <w:spacing w:val="-4"/>
          <w:sz w:val="18"/>
          <w:u w:val="none"/>
        </w:rPr>
        <w:t> </w:t>
      </w:r>
      <w:r>
        <w:rPr>
          <w:sz w:val="18"/>
          <w:u w:val="none"/>
        </w:rPr>
        <w:t>Last Accessed 1 March 2024.</w:t>
      </w:r>
    </w:p>
    <w:p>
      <w:pPr>
        <w:pStyle w:val="ListParagraph"/>
        <w:numPr>
          <w:ilvl w:val="0"/>
          <w:numId w:val="18"/>
        </w:numPr>
        <w:tabs>
          <w:tab w:pos="1684" w:val="left" w:leader="none"/>
        </w:tabs>
        <w:spacing w:line="240" w:lineRule="auto" w:before="0" w:after="0"/>
        <w:ind w:left="1684" w:right="995" w:hanging="567"/>
        <w:jc w:val="left"/>
        <w:rPr>
          <w:sz w:val="18"/>
        </w:rPr>
      </w:pPr>
      <w:r>
        <w:rPr>
          <w:sz w:val="18"/>
        </w:rPr>
        <w:t>Michael</w:t>
      </w:r>
      <w:r>
        <w:rPr>
          <w:spacing w:val="-7"/>
          <w:sz w:val="18"/>
        </w:rPr>
        <w:t> </w:t>
      </w:r>
      <w:r>
        <w:rPr>
          <w:sz w:val="18"/>
        </w:rPr>
        <w:t>Potter,</w:t>
      </w:r>
      <w:r>
        <w:rPr>
          <w:spacing w:val="-6"/>
          <w:sz w:val="18"/>
        </w:rPr>
        <w:t> </w:t>
      </w:r>
      <w:r>
        <w:rPr>
          <w:color w:val="1D71B8"/>
          <w:sz w:val="18"/>
          <w:u w:val="single" w:color="1D71B8"/>
        </w:rPr>
        <w:t>Women</w:t>
      </w:r>
      <w:r>
        <w:rPr>
          <w:color w:val="1D71B8"/>
          <w:spacing w:val="-7"/>
          <w:sz w:val="18"/>
          <w:u w:val="single" w:color="1D71B8"/>
        </w:rPr>
        <w:t> </w:t>
      </w:r>
      <w:r>
        <w:rPr>
          <w:color w:val="1D71B8"/>
          <w:sz w:val="18"/>
          <w:u w:val="single" w:color="1D71B8"/>
        </w:rPr>
        <w:t>on</w:t>
      </w:r>
      <w:r>
        <w:rPr>
          <w:color w:val="1D71B8"/>
          <w:spacing w:val="-7"/>
          <w:sz w:val="18"/>
          <w:u w:val="single" w:color="1D71B8"/>
        </w:rPr>
        <w:t> </w:t>
      </w:r>
      <w:r>
        <w:rPr>
          <w:color w:val="1D71B8"/>
          <w:sz w:val="18"/>
          <w:u w:val="single" w:color="1D71B8"/>
        </w:rPr>
        <w:t>Boards</w:t>
      </w:r>
      <w:r>
        <w:rPr>
          <w:color w:val="1D71B8"/>
          <w:spacing w:val="-7"/>
          <w:sz w:val="18"/>
          <w:u w:val="single" w:color="1D71B8"/>
        </w:rPr>
        <w:t> </w:t>
      </w:r>
      <w:r>
        <w:rPr>
          <w:color w:val="1D71B8"/>
          <w:sz w:val="18"/>
          <w:u w:val="single" w:color="1D71B8"/>
        </w:rPr>
        <w:t>of</w:t>
      </w:r>
      <w:r>
        <w:rPr>
          <w:color w:val="1D71B8"/>
          <w:spacing w:val="-7"/>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Top</w:t>
      </w:r>
      <w:r>
        <w:rPr>
          <w:color w:val="1D71B8"/>
          <w:spacing w:val="-7"/>
          <w:sz w:val="18"/>
          <w:u w:val="single" w:color="1D71B8"/>
        </w:rPr>
        <w:t> </w:t>
      </w:r>
      <w:r>
        <w:rPr>
          <w:color w:val="1D71B8"/>
          <w:sz w:val="18"/>
          <w:u w:val="single" w:color="1D71B8"/>
        </w:rPr>
        <w:t>100</w:t>
      </w:r>
      <w:r>
        <w:rPr>
          <w:color w:val="1D71B8"/>
          <w:spacing w:val="-6"/>
          <w:sz w:val="18"/>
          <w:u w:val="single" w:color="1D71B8"/>
        </w:rPr>
        <w:t> </w:t>
      </w:r>
      <w:r>
        <w:rPr>
          <w:color w:val="1D71B8"/>
          <w:sz w:val="18"/>
          <w:u w:val="single" w:color="1D71B8"/>
        </w:rPr>
        <w:t>Companies</w:t>
      </w:r>
      <w:r>
        <w:rPr>
          <w:color w:val="1D71B8"/>
          <w:spacing w:val="-7"/>
          <w:sz w:val="18"/>
          <w:u w:val="single" w:color="1D71B8"/>
        </w:rPr>
        <w:t> </w:t>
      </w:r>
      <w:r>
        <w:rPr>
          <w:color w:val="1D71B8"/>
          <w:sz w:val="18"/>
          <w:u w:val="single" w:color="1D71B8"/>
        </w:rPr>
        <w:t>in</w:t>
      </w:r>
      <w:r>
        <w:rPr>
          <w:color w:val="1D71B8"/>
          <w:spacing w:val="-6"/>
          <w:sz w:val="18"/>
          <w:u w:val="single" w:color="1D71B8"/>
        </w:rPr>
        <w:t> </w:t>
      </w:r>
      <w:r>
        <w:rPr>
          <w:color w:val="1D71B8"/>
          <w:sz w:val="18"/>
          <w:u w:val="single" w:color="1D71B8"/>
        </w:rPr>
        <w:t>Northern</w:t>
      </w:r>
      <w:r>
        <w:rPr>
          <w:color w:val="1D71B8"/>
          <w:spacing w:val="-7"/>
          <w:sz w:val="18"/>
          <w:u w:val="single" w:color="1D71B8"/>
        </w:rPr>
        <w:t> </w:t>
      </w:r>
      <w:r>
        <w:rPr>
          <w:color w:val="1D71B8"/>
          <w:sz w:val="18"/>
          <w:u w:val="single" w:color="1D71B8"/>
        </w:rPr>
        <w:t>Ireland</w:t>
      </w:r>
      <w:r>
        <w:rPr>
          <w:color w:val="1D71B8"/>
          <w:spacing w:val="-6"/>
          <w:sz w:val="18"/>
          <w:u w:val="none"/>
        </w:rPr>
        <w:t> </w:t>
      </w:r>
      <w:r>
        <w:rPr>
          <w:sz w:val="18"/>
          <w:u w:val="none"/>
        </w:rPr>
        <w:t>(Northern</w:t>
      </w:r>
      <w:r>
        <w:rPr>
          <w:spacing w:val="-7"/>
          <w:sz w:val="18"/>
          <w:u w:val="none"/>
        </w:rPr>
        <w:t> </w:t>
      </w:r>
      <w:r>
        <w:rPr>
          <w:sz w:val="18"/>
          <w:u w:val="none"/>
        </w:rPr>
        <w:t>Ireland</w:t>
      </w:r>
      <w:r>
        <w:rPr>
          <w:spacing w:val="-7"/>
          <w:sz w:val="18"/>
          <w:u w:val="none"/>
        </w:rPr>
        <w:t> </w:t>
      </w:r>
      <w:r>
        <w:rPr>
          <w:sz w:val="18"/>
          <w:u w:val="none"/>
        </w:rPr>
        <w:t>Assembly</w:t>
      </w:r>
      <w:r>
        <w:rPr>
          <w:spacing w:val="-6"/>
          <w:sz w:val="18"/>
          <w:u w:val="none"/>
        </w:rPr>
        <w:t> </w:t>
      </w:r>
      <w:r>
        <w:rPr>
          <w:sz w:val="18"/>
          <w:u w:val="none"/>
        </w:rPr>
        <w:t>Research and Information Service Briefing Note 2015) 3.</w:t>
      </w:r>
    </w:p>
    <w:p>
      <w:pPr>
        <w:pStyle w:val="ListParagraph"/>
        <w:numPr>
          <w:ilvl w:val="0"/>
          <w:numId w:val="18"/>
        </w:numPr>
        <w:tabs>
          <w:tab w:pos="1684" w:val="left" w:leader="none"/>
        </w:tabs>
        <w:spacing w:line="240" w:lineRule="auto" w:before="1" w:after="0"/>
        <w:ind w:left="1684" w:right="1164" w:hanging="567"/>
        <w:jc w:val="left"/>
        <w:rPr>
          <w:sz w:val="18"/>
        </w:rPr>
      </w:pPr>
      <w:r>
        <w:rPr>
          <w:sz w:val="18"/>
        </w:rPr>
        <w:t>Commission</w:t>
      </w:r>
      <w:r>
        <w:rPr>
          <w:spacing w:val="-6"/>
          <w:sz w:val="18"/>
        </w:rPr>
        <w:t> </w:t>
      </w:r>
      <w:r>
        <w:rPr>
          <w:sz w:val="18"/>
        </w:rPr>
        <w:t>for</w:t>
      </w:r>
      <w:r>
        <w:rPr>
          <w:spacing w:val="-5"/>
          <w:sz w:val="18"/>
        </w:rPr>
        <w:t> </w:t>
      </w:r>
      <w:r>
        <w:rPr>
          <w:sz w:val="18"/>
        </w:rPr>
        <w:t>Public</w:t>
      </w:r>
      <w:r>
        <w:rPr>
          <w:spacing w:val="-5"/>
          <w:sz w:val="18"/>
        </w:rPr>
        <w:t> </w:t>
      </w:r>
      <w:r>
        <w:rPr>
          <w:sz w:val="18"/>
        </w:rPr>
        <w:t>Appointments,</w:t>
      </w:r>
      <w:r>
        <w:rPr>
          <w:spacing w:val="31"/>
          <w:sz w:val="18"/>
        </w:rPr>
        <w:t> </w:t>
      </w:r>
      <w:r>
        <w:rPr>
          <w:sz w:val="18"/>
        </w:rPr>
        <w:t>6;</w:t>
      </w:r>
      <w:r>
        <w:rPr>
          <w:spacing w:val="-5"/>
          <w:sz w:val="18"/>
        </w:rPr>
        <w:t> </w:t>
      </w:r>
      <w:r>
        <w:rPr>
          <w:sz w:val="18"/>
        </w:rPr>
        <w:t>also</w:t>
      </w:r>
      <w:r>
        <w:rPr>
          <w:spacing w:val="-6"/>
          <w:sz w:val="18"/>
        </w:rPr>
        <w:t> </w:t>
      </w:r>
      <w:r>
        <w:rPr>
          <w:sz w:val="18"/>
        </w:rPr>
        <w:t>Northern</w:t>
      </w:r>
      <w:r>
        <w:rPr>
          <w:spacing w:val="-6"/>
          <w:sz w:val="18"/>
        </w:rPr>
        <w:t> </w:t>
      </w:r>
      <w:r>
        <w:rPr>
          <w:sz w:val="18"/>
        </w:rPr>
        <w:t>Ireland</w:t>
      </w:r>
      <w:r>
        <w:rPr>
          <w:spacing w:val="-5"/>
          <w:sz w:val="18"/>
        </w:rPr>
        <w:t> </w:t>
      </w:r>
      <w:r>
        <w:rPr>
          <w:sz w:val="18"/>
        </w:rPr>
        <w:t>Statistics</w:t>
      </w:r>
      <w:r>
        <w:rPr>
          <w:spacing w:val="-6"/>
          <w:sz w:val="18"/>
        </w:rPr>
        <w:t> </w:t>
      </w:r>
      <w:r>
        <w:rPr>
          <w:sz w:val="18"/>
        </w:rPr>
        <w:t>and</w:t>
      </w:r>
      <w:r>
        <w:rPr>
          <w:spacing w:val="-6"/>
          <w:sz w:val="18"/>
        </w:rPr>
        <w:t> </w:t>
      </w:r>
      <w:r>
        <w:rPr>
          <w:sz w:val="18"/>
        </w:rPr>
        <w:t>Research</w:t>
      </w:r>
      <w:r>
        <w:rPr>
          <w:spacing w:val="-6"/>
          <w:sz w:val="18"/>
        </w:rPr>
        <w:t> </w:t>
      </w:r>
      <w:r>
        <w:rPr>
          <w:sz w:val="18"/>
        </w:rPr>
        <w:t>Agency,</w:t>
      </w:r>
      <w:r>
        <w:rPr>
          <w:spacing w:val="-5"/>
          <w:sz w:val="18"/>
        </w:rPr>
        <w:t> </w:t>
      </w:r>
      <w:r>
        <w:rPr>
          <w:color w:val="1D71B8"/>
          <w:sz w:val="18"/>
          <w:u w:val="single" w:color="1D71B8"/>
        </w:rPr>
        <w:t>Public</w:t>
      </w:r>
      <w:r>
        <w:rPr>
          <w:color w:val="1D71B8"/>
          <w:spacing w:val="-5"/>
          <w:sz w:val="18"/>
          <w:u w:val="single" w:color="1D71B8"/>
        </w:rPr>
        <w:t> </w:t>
      </w:r>
      <w:r>
        <w:rPr>
          <w:color w:val="1D71B8"/>
          <w:sz w:val="18"/>
          <w:u w:val="single" w:color="1D71B8"/>
        </w:rPr>
        <w:t>Appointments</w:t>
      </w:r>
      <w:r>
        <w:rPr>
          <w:color w:val="1D71B8"/>
          <w:spacing w:val="-5"/>
          <w:sz w:val="18"/>
          <w:u w:val="single" w:color="1D71B8"/>
        </w:rPr>
        <w:t> </w:t>
      </w:r>
      <w:r>
        <w:rPr>
          <w:color w:val="1D71B8"/>
          <w:sz w:val="18"/>
          <w:u w:val="none"/>
        </w:rPr>
        <w:t> </w:t>
      </w:r>
      <w:r>
        <w:rPr>
          <w:color w:val="1D71B8"/>
          <w:sz w:val="18"/>
          <w:u w:val="single" w:color="1D71B8"/>
        </w:rPr>
        <w:t>Report for Northern Ireland: 2019/20; 2020/21; 2021/22</w:t>
      </w:r>
      <w:r>
        <w:rPr>
          <w:color w:val="1D71B8"/>
          <w:sz w:val="18"/>
          <w:u w:val="none"/>
        </w:rPr>
        <w:t> </w:t>
      </w:r>
      <w:r>
        <w:rPr>
          <w:sz w:val="18"/>
          <w:u w:val="none"/>
        </w:rPr>
        <w:t>(2023) 6.</w:t>
      </w:r>
    </w:p>
    <w:p>
      <w:pPr>
        <w:pStyle w:val="ListParagraph"/>
        <w:numPr>
          <w:ilvl w:val="0"/>
          <w:numId w:val="18"/>
        </w:numPr>
        <w:tabs>
          <w:tab w:pos="1684" w:val="left" w:leader="none"/>
        </w:tabs>
        <w:spacing w:line="240" w:lineRule="auto" w:before="0" w:after="0"/>
        <w:ind w:left="1684" w:right="1031" w:hanging="567"/>
        <w:jc w:val="left"/>
        <w:rPr>
          <w:sz w:val="18"/>
        </w:rPr>
      </w:pPr>
      <w:r>
        <w:rPr>
          <w:sz w:val="18"/>
        </w:rPr>
        <w:t>Northern</w:t>
      </w:r>
      <w:r>
        <w:rPr>
          <w:spacing w:val="-7"/>
          <w:sz w:val="18"/>
        </w:rPr>
        <w:t> </w:t>
      </w:r>
      <w:r>
        <w:rPr>
          <w:sz w:val="18"/>
        </w:rPr>
        <w:t>Ireland</w:t>
      </w:r>
      <w:r>
        <w:rPr>
          <w:spacing w:val="-7"/>
          <w:sz w:val="18"/>
        </w:rPr>
        <w:t> </w:t>
      </w:r>
      <w:r>
        <w:rPr>
          <w:sz w:val="18"/>
        </w:rPr>
        <w:t>Statistics</w:t>
      </w:r>
      <w:r>
        <w:rPr>
          <w:spacing w:val="-7"/>
          <w:sz w:val="18"/>
        </w:rPr>
        <w:t> </w:t>
      </w:r>
      <w:r>
        <w:rPr>
          <w:sz w:val="18"/>
        </w:rPr>
        <w:t>and</w:t>
      </w:r>
      <w:r>
        <w:rPr>
          <w:spacing w:val="-7"/>
          <w:sz w:val="18"/>
        </w:rPr>
        <w:t> </w:t>
      </w:r>
      <w:r>
        <w:rPr>
          <w:sz w:val="18"/>
        </w:rPr>
        <w:t>Research</w:t>
      </w:r>
      <w:r>
        <w:rPr>
          <w:spacing w:val="-7"/>
          <w:sz w:val="18"/>
        </w:rPr>
        <w:t> </w:t>
      </w:r>
      <w:r>
        <w:rPr>
          <w:sz w:val="18"/>
        </w:rPr>
        <w:t>Agency,</w:t>
      </w:r>
      <w:r>
        <w:rPr>
          <w:spacing w:val="-6"/>
          <w:sz w:val="18"/>
        </w:rPr>
        <w:t> </w:t>
      </w:r>
      <w:r>
        <w:rPr>
          <w:color w:val="1D71B8"/>
          <w:sz w:val="18"/>
          <w:u w:val="single" w:color="1D71B8"/>
        </w:rPr>
        <w:t>Public</w:t>
      </w:r>
      <w:r>
        <w:rPr>
          <w:color w:val="1D71B8"/>
          <w:spacing w:val="-6"/>
          <w:sz w:val="18"/>
          <w:u w:val="single" w:color="1D71B8"/>
        </w:rPr>
        <w:t> </w:t>
      </w:r>
      <w:r>
        <w:rPr>
          <w:color w:val="1D71B8"/>
          <w:sz w:val="18"/>
          <w:u w:val="single" w:color="1D71B8"/>
        </w:rPr>
        <w:t>Appointments</w:t>
      </w:r>
      <w:r>
        <w:rPr>
          <w:color w:val="1D71B8"/>
          <w:spacing w:val="-7"/>
          <w:sz w:val="18"/>
          <w:u w:val="single" w:color="1D71B8"/>
        </w:rPr>
        <w:t> </w:t>
      </w:r>
      <w:r>
        <w:rPr>
          <w:color w:val="1D71B8"/>
          <w:sz w:val="18"/>
          <w:u w:val="single" w:color="1D71B8"/>
        </w:rPr>
        <w:t>Report</w:t>
      </w:r>
      <w:r>
        <w:rPr>
          <w:color w:val="1D71B8"/>
          <w:spacing w:val="-6"/>
          <w:sz w:val="18"/>
          <w:u w:val="single" w:color="1D71B8"/>
        </w:rPr>
        <w:t> </w:t>
      </w:r>
      <w:r>
        <w:rPr>
          <w:color w:val="1D71B8"/>
          <w:sz w:val="18"/>
          <w:u w:val="single" w:color="1D71B8"/>
        </w:rPr>
        <w:t>for</w:t>
      </w:r>
      <w:r>
        <w:rPr>
          <w:color w:val="1D71B8"/>
          <w:spacing w:val="-6"/>
          <w:sz w:val="18"/>
          <w:u w:val="single" w:color="1D71B8"/>
        </w:rPr>
        <w:t> </w:t>
      </w:r>
      <w:r>
        <w:rPr>
          <w:color w:val="1D71B8"/>
          <w:sz w:val="18"/>
          <w:u w:val="single" w:color="1D71B8"/>
        </w:rPr>
        <w:t>Northern</w:t>
      </w:r>
      <w:r>
        <w:rPr>
          <w:color w:val="1D71B8"/>
          <w:spacing w:val="-7"/>
          <w:sz w:val="18"/>
          <w:u w:val="single" w:color="1D71B8"/>
        </w:rPr>
        <w:t> </w:t>
      </w:r>
      <w:r>
        <w:rPr>
          <w:color w:val="1D71B8"/>
          <w:sz w:val="18"/>
          <w:u w:val="single" w:color="1D71B8"/>
        </w:rPr>
        <w:t>Ireland:</w:t>
      </w:r>
      <w:r>
        <w:rPr>
          <w:color w:val="1D71B8"/>
          <w:spacing w:val="-6"/>
          <w:sz w:val="18"/>
          <w:u w:val="single" w:color="1D71B8"/>
        </w:rPr>
        <w:t> </w:t>
      </w:r>
      <w:r>
        <w:rPr>
          <w:color w:val="1D71B8"/>
          <w:sz w:val="18"/>
          <w:u w:val="single" w:color="1D71B8"/>
        </w:rPr>
        <w:t>2019/20;</w:t>
      </w:r>
      <w:r>
        <w:rPr>
          <w:color w:val="1D71B8"/>
          <w:spacing w:val="-6"/>
          <w:sz w:val="18"/>
          <w:u w:val="single" w:color="1D71B8"/>
        </w:rPr>
        <w:t> </w:t>
      </w:r>
      <w:r>
        <w:rPr>
          <w:color w:val="1D71B8"/>
          <w:sz w:val="18"/>
          <w:u w:val="single" w:color="1D71B8"/>
        </w:rPr>
        <w:t>2020/21;</w:t>
      </w:r>
      <w:r>
        <w:rPr>
          <w:color w:val="1D71B8"/>
          <w:sz w:val="18"/>
          <w:u w:val="none"/>
        </w:rPr>
        <w:t> </w:t>
      </w:r>
      <w:r>
        <w:rPr>
          <w:color w:val="1D71B8"/>
          <w:sz w:val="18"/>
          <w:u w:val="single" w:color="1D71B8"/>
        </w:rPr>
        <w:t>2021/22</w:t>
      </w:r>
      <w:r>
        <w:rPr>
          <w:color w:val="1D71B8"/>
          <w:sz w:val="18"/>
          <w:u w:val="none"/>
        </w:rPr>
        <w:t> </w:t>
      </w:r>
      <w:r>
        <w:rPr>
          <w:sz w:val="18"/>
          <w:u w:val="none"/>
        </w:rPr>
        <w:t>(2023) 21.</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09984">
                <wp:simplePos x="0" y="0"/>
                <wp:positionH relativeFrom="page">
                  <wp:posOffset>0</wp:posOffset>
                </wp:positionH>
                <wp:positionV relativeFrom="page">
                  <wp:posOffset>0</wp:posOffset>
                </wp:positionV>
                <wp:extent cx="7560309" cy="1155065"/>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7560309" cy="1155065"/>
                          <a:chExt cx="7560309" cy="1155065"/>
                        </a:xfrm>
                      </wpg:grpSpPr>
                      <wps:wsp>
                        <wps:cNvPr id="553" name="Graphic 553"/>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554" name="Graphic 554"/>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06496" id="docshapegroup442" coordorigin="0,0" coordsize="11906,1819">
                <v:shape style="position:absolute;left:0;top:0;width:11906;height:1819" id="docshape443"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3.4.4 Domestic violence" w:id="88"/>
      <w:bookmarkEnd w:id="88"/>
      <w:r>
        <w:rPr/>
      </w:r>
      <w:bookmarkStart w:name="_bookmark36" w:id="89"/>
      <w:bookmarkEnd w:id="89"/>
      <w:r>
        <w:rPr/>
      </w:r>
      <w:r>
        <w:rPr>
          <w:b/>
          <w:color w:val="FFFFFF"/>
          <w:spacing w:val="-5"/>
          <w:position w:val="-1"/>
          <w:sz w:val="28"/>
        </w:rPr>
        <w:t>62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underrepresentation</w:t>
      </w:r>
      <w:r>
        <w:rPr>
          <w:spacing w:val="-8"/>
        </w:rPr>
        <w:t> </w:t>
      </w:r>
      <w:r>
        <w:rPr/>
        <w:t>of</w:t>
      </w:r>
      <w:r>
        <w:rPr>
          <w:spacing w:val="-8"/>
        </w:rPr>
        <w:t> </w:t>
      </w:r>
      <w:r>
        <w:rPr/>
        <w:t>women</w:t>
      </w:r>
      <w:r>
        <w:rPr>
          <w:spacing w:val="-8"/>
        </w:rPr>
        <w:t> </w:t>
      </w:r>
      <w:r>
        <w:rPr/>
        <w:t>and</w:t>
      </w:r>
      <w:r>
        <w:rPr>
          <w:spacing w:val="-8"/>
        </w:rPr>
        <w:t> </w:t>
      </w:r>
      <w:r>
        <w:rPr/>
        <w:t>people</w:t>
      </w:r>
      <w:r>
        <w:rPr>
          <w:spacing w:val="-7"/>
        </w:rPr>
        <w:t> </w:t>
      </w:r>
      <w:r>
        <w:rPr/>
        <w:t>with</w:t>
      </w:r>
      <w:r>
        <w:rPr>
          <w:spacing w:val="-8"/>
        </w:rPr>
        <w:t> </w:t>
      </w:r>
      <w:r>
        <w:rPr/>
        <w:t>disabilities</w:t>
      </w:r>
      <w:r>
        <w:rPr>
          <w:spacing w:val="-8"/>
        </w:rPr>
        <w:t> </w:t>
      </w:r>
      <w:r>
        <w:rPr/>
        <w:t>in</w:t>
      </w:r>
      <w:r>
        <w:rPr>
          <w:spacing w:val="-8"/>
        </w:rPr>
        <w:t> </w:t>
      </w:r>
      <w:r>
        <w:rPr/>
        <w:t>government</w:t>
      </w:r>
      <w:r>
        <w:rPr>
          <w:spacing w:val="-7"/>
        </w:rPr>
        <w:t> </w:t>
      </w:r>
      <w:r>
        <w:rPr/>
        <w:t>public appointments, underrepresentation of women and people of minority ethnic background</w:t>
      </w:r>
      <w:r>
        <w:rPr>
          <w:spacing w:val="-8"/>
        </w:rPr>
        <w:t> </w:t>
      </w:r>
      <w:r>
        <w:rPr/>
        <w:t>in</w:t>
      </w:r>
      <w:r>
        <w:rPr>
          <w:spacing w:val="-8"/>
        </w:rPr>
        <w:t> </w:t>
      </w:r>
      <w:r>
        <w:rPr/>
        <w:t>elected</w:t>
      </w:r>
      <w:r>
        <w:rPr>
          <w:spacing w:val="-8"/>
        </w:rPr>
        <w:t> </w:t>
      </w:r>
      <w:r>
        <w:rPr/>
        <w:t>positions</w:t>
      </w:r>
      <w:r>
        <w:rPr>
          <w:spacing w:val="-8"/>
        </w:rPr>
        <w:t> </w:t>
      </w:r>
      <w:r>
        <w:rPr/>
        <w:t>and</w:t>
      </w:r>
      <w:r>
        <w:rPr>
          <w:spacing w:val="-8"/>
        </w:rPr>
        <w:t> </w:t>
      </w:r>
      <w:r>
        <w:rPr/>
        <w:t>significant</w:t>
      </w:r>
      <w:r>
        <w:rPr>
          <w:spacing w:val="-7"/>
        </w:rPr>
        <w:t> </w:t>
      </w:r>
      <w:r>
        <w:rPr/>
        <w:t>data</w:t>
      </w:r>
      <w:r>
        <w:rPr>
          <w:spacing w:val="-8"/>
        </w:rPr>
        <w:t> </w:t>
      </w:r>
      <w:r>
        <w:rPr/>
        <w:t>gaps.</w:t>
      </w:r>
      <w:r>
        <w:rPr>
          <w:vertAlign w:val="superscript"/>
        </w:rPr>
        <w:t>345</w:t>
      </w:r>
      <w:r>
        <w:rPr>
          <w:spacing w:val="-8"/>
          <w:vertAlign w:val="baseline"/>
        </w:rPr>
        <w:t> </w:t>
      </w:r>
      <w:r>
        <w:rPr>
          <w:vertAlign w:val="baseline"/>
        </w:rPr>
        <w:t>There</w:t>
      </w:r>
      <w:r>
        <w:rPr>
          <w:spacing w:val="-7"/>
          <w:vertAlign w:val="baseline"/>
        </w:rPr>
        <w:t> </w:t>
      </w:r>
      <w:r>
        <w:rPr>
          <w:vertAlign w:val="baseline"/>
        </w:rPr>
        <w:t>is</w:t>
      </w:r>
      <w:r>
        <w:rPr>
          <w:spacing w:val="-8"/>
          <w:vertAlign w:val="baseline"/>
        </w:rPr>
        <w:t> </w:t>
      </w:r>
      <w:r>
        <w:rPr>
          <w:vertAlign w:val="baseline"/>
        </w:rPr>
        <w:t>no</w:t>
      </w:r>
      <w:r>
        <w:rPr>
          <w:spacing w:val="-8"/>
          <w:vertAlign w:val="baseline"/>
        </w:rPr>
        <w:t> </w:t>
      </w:r>
      <w:r>
        <w:rPr>
          <w:vertAlign w:val="baseline"/>
        </w:rPr>
        <w:t>Northern Ireland legislation comparable to the Gender Balance on Boards Directive.</w:t>
      </w:r>
    </w:p>
    <w:p>
      <w:pPr>
        <w:pStyle w:val="BodyText"/>
        <w:spacing w:before="1"/>
        <w:rPr>
          <w:sz w:val="20"/>
        </w:rPr>
      </w:pPr>
      <w:r>
        <w:rPr/>
        <mc:AlternateContent>
          <mc:Choice Requires="wps">
            <w:drawing>
              <wp:anchor distT="0" distB="0" distL="0" distR="0" allowOverlap="1" layoutInCell="1" locked="0" behindDoc="1" simplePos="0" relativeHeight="487691264">
                <wp:simplePos x="0" y="0"/>
                <wp:positionH relativeFrom="page">
                  <wp:posOffset>647994</wp:posOffset>
                </wp:positionH>
                <wp:positionV relativeFrom="paragraph">
                  <wp:posOffset>170962</wp:posOffset>
                </wp:positionV>
                <wp:extent cx="6012180" cy="1022985"/>
                <wp:effectExtent l="0" t="0" r="0" b="0"/>
                <wp:wrapTopAndBottom/>
                <wp:docPr id="555" name="Group 555"/>
                <wp:cNvGraphicFramePr>
                  <a:graphicFrameLocks/>
                </wp:cNvGraphicFramePr>
                <a:graphic>
                  <a:graphicData uri="http://schemas.microsoft.com/office/word/2010/wordprocessingGroup">
                    <wpg:wgp>
                      <wpg:cNvPr id="555" name="Group 555"/>
                      <wpg:cNvGrpSpPr/>
                      <wpg:grpSpPr>
                        <a:xfrm>
                          <a:off x="0" y="0"/>
                          <a:ext cx="6012180" cy="1022985"/>
                          <a:chExt cx="6012180" cy="1022985"/>
                        </a:xfrm>
                      </wpg:grpSpPr>
                      <wps:wsp>
                        <wps:cNvPr id="556" name="Graphic 556"/>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57" name="Textbox 557"/>
                        <wps:cNvSpPr txBox="1"/>
                        <wps:spPr>
                          <a:xfrm>
                            <a:off x="0" y="0"/>
                            <a:ext cx="6012180" cy="1022985"/>
                          </a:xfrm>
                          <a:prstGeom prst="rect">
                            <a:avLst/>
                          </a:prstGeom>
                        </wps:spPr>
                        <wps:txbx>
                          <w:txbxContent>
                            <w:p>
                              <w:pPr>
                                <w:spacing w:line="232" w:lineRule="auto" w:before="121"/>
                                <w:ind w:left="340" w:right="106" w:firstLine="0"/>
                                <w:jc w:val="left"/>
                                <w:rPr>
                                  <w:b/>
                                  <w:sz w:val="28"/>
                                </w:rPr>
                              </w:pPr>
                              <w:r>
                                <w:rPr>
                                  <w:b/>
                                  <w:color w:val="164194"/>
                                  <w:sz w:val="28"/>
                                </w:rPr>
                                <w:t>We recommend that the Department for the Economy should ensure that NI law</w:t>
                              </w:r>
                              <w:r>
                                <w:rPr>
                                  <w:b/>
                                  <w:color w:val="164194"/>
                                  <w:spacing w:val="-6"/>
                                  <w:sz w:val="28"/>
                                </w:rPr>
                                <w:t> </w:t>
                              </w:r>
                              <w:r>
                                <w:rPr>
                                  <w:b/>
                                  <w:color w:val="164194"/>
                                  <w:sz w:val="28"/>
                                </w:rPr>
                                <w:t>voluntarily</w:t>
                              </w:r>
                              <w:r>
                                <w:rPr>
                                  <w:b/>
                                  <w:color w:val="164194"/>
                                  <w:spacing w:val="-6"/>
                                  <w:sz w:val="28"/>
                                </w:rPr>
                                <w:t> </w:t>
                              </w:r>
                              <w:r>
                                <w:rPr>
                                  <w:b/>
                                  <w:color w:val="164194"/>
                                  <w:sz w:val="28"/>
                                </w:rPr>
                                <w:t>aligns</w:t>
                              </w:r>
                              <w:r>
                                <w:rPr>
                                  <w:b/>
                                  <w:color w:val="164194"/>
                                  <w:spacing w:val="-6"/>
                                  <w:sz w:val="28"/>
                                </w:rPr>
                                <w:t> </w:t>
                              </w:r>
                              <w:r>
                                <w:rPr>
                                  <w:b/>
                                  <w:color w:val="164194"/>
                                  <w:sz w:val="28"/>
                                </w:rPr>
                                <w:t>with</w:t>
                              </w:r>
                              <w:r>
                                <w:rPr>
                                  <w:b/>
                                  <w:color w:val="164194"/>
                                  <w:spacing w:val="-6"/>
                                  <w:sz w:val="28"/>
                                </w:rPr>
                                <w:t> </w:t>
                              </w:r>
                              <w:r>
                                <w:rPr>
                                  <w:b/>
                                  <w:color w:val="164194"/>
                                  <w:sz w:val="28"/>
                                </w:rPr>
                                <w:t>the</w:t>
                              </w:r>
                              <w:r>
                                <w:rPr>
                                  <w:b/>
                                  <w:color w:val="164194"/>
                                  <w:spacing w:val="-6"/>
                                  <w:sz w:val="28"/>
                                </w:rPr>
                                <w:t> </w:t>
                              </w:r>
                              <w:r>
                                <w:rPr>
                                  <w:b/>
                                  <w:color w:val="164194"/>
                                  <w:sz w:val="28"/>
                                </w:rPr>
                                <w:t>requirements</w:t>
                              </w:r>
                              <w:r>
                                <w:rPr>
                                  <w:b/>
                                  <w:color w:val="164194"/>
                                  <w:spacing w:val="-5"/>
                                  <w:sz w:val="28"/>
                                </w:rPr>
                                <w:t> </w:t>
                              </w:r>
                              <w:r>
                                <w:rPr>
                                  <w:b/>
                                  <w:color w:val="164194"/>
                                  <w:sz w:val="28"/>
                                </w:rPr>
                                <w:t>of</w:t>
                              </w:r>
                              <w:r>
                                <w:rPr>
                                  <w:b/>
                                  <w:color w:val="164194"/>
                                  <w:spacing w:val="-6"/>
                                  <w:sz w:val="28"/>
                                </w:rPr>
                                <w:t> </w:t>
                              </w:r>
                              <w:r>
                                <w:rPr>
                                  <w:b/>
                                  <w:color w:val="164194"/>
                                  <w:sz w:val="28"/>
                                </w:rPr>
                                <w:t>the</w:t>
                              </w:r>
                              <w:r>
                                <w:rPr>
                                  <w:b/>
                                  <w:color w:val="164194"/>
                                  <w:spacing w:val="-6"/>
                                  <w:sz w:val="28"/>
                                </w:rPr>
                                <w:t> </w:t>
                              </w:r>
                              <w:r>
                                <w:rPr>
                                  <w:b/>
                                  <w:color w:val="164194"/>
                                  <w:sz w:val="28"/>
                                </w:rPr>
                                <w:t>Gender</w:t>
                              </w:r>
                              <w:r>
                                <w:rPr>
                                  <w:b/>
                                  <w:color w:val="164194"/>
                                  <w:spacing w:val="-5"/>
                                  <w:sz w:val="28"/>
                                </w:rPr>
                                <w:t> </w:t>
                              </w:r>
                              <w:r>
                                <w:rPr>
                                  <w:b/>
                                  <w:color w:val="164194"/>
                                  <w:sz w:val="28"/>
                                </w:rPr>
                                <w:t>Balance</w:t>
                              </w:r>
                              <w:r>
                                <w:rPr>
                                  <w:b/>
                                  <w:color w:val="164194"/>
                                  <w:spacing w:val="-6"/>
                                  <w:sz w:val="28"/>
                                </w:rPr>
                                <w:t> </w:t>
                              </w:r>
                              <w:r>
                                <w:rPr>
                                  <w:b/>
                                  <w:color w:val="164194"/>
                                  <w:sz w:val="28"/>
                                </w:rPr>
                                <w:t>on</w:t>
                              </w:r>
                              <w:r>
                                <w:rPr>
                                  <w:b/>
                                  <w:color w:val="164194"/>
                                  <w:spacing w:val="-6"/>
                                  <w:sz w:val="28"/>
                                </w:rPr>
                                <w:t> </w:t>
                              </w:r>
                              <w:r>
                                <w:rPr>
                                  <w:b/>
                                  <w:color w:val="164194"/>
                                  <w:sz w:val="28"/>
                                </w:rPr>
                                <w:t>Boards Directive where these strengthen 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3.461637pt;width:473.4pt;height:80.55pt;mso-position-horizontal-relative:page;mso-position-vertical-relative:paragraph;z-index:-15625216;mso-wrap-distance-left:0;mso-wrap-distance-right:0" id="docshapegroup444" coordorigin="1020,269" coordsize="9468,1611">
                <v:shape style="position:absolute;left:1020;top:269;width:9468;height:1611" id="docshape445" coordorigin="1020,269" coordsize="9468,1611" path="m10261,269l1247,269,1176,281,1113,313,1064,362,1032,424,1020,496,1020,1653,1032,1724,1064,1787,1113,1836,1176,1868,1247,1879,10261,1879,10333,1868,10395,1836,10444,1787,10477,1724,10488,1653,10488,496,10477,424,10444,362,10395,313,10333,281,10261,269xe" filled="true" fillcolor="#e9f3fc" stroked="false">
                  <v:path arrowok="t"/>
                  <v:fill type="solid"/>
                </v:shape>
                <v:shape style="position:absolute;left:1020;top:269;width:9468;height:1611" type="#_x0000_t202" id="docshape446" filled="false" stroked="false">
                  <v:textbox inset="0,0,0,0">
                    <w:txbxContent>
                      <w:p>
                        <w:pPr>
                          <w:spacing w:line="232" w:lineRule="auto" w:before="121"/>
                          <w:ind w:left="340" w:right="106" w:firstLine="0"/>
                          <w:jc w:val="left"/>
                          <w:rPr>
                            <w:b/>
                            <w:sz w:val="28"/>
                          </w:rPr>
                        </w:pPr>
                        <w:r>
                          <w:rPr>
                            <w:b/>
                            <w:color w:val="164194"/>
                            <w:sz w:val="28"/>
                          </w:rPr>
                          <w:t>We recommend that the Department for the Economy should ensure that NI law</w:t>
                        </w:r>
                        <w:r>
                          <w:rPr>
                            <w:b/>
                            <w:color w:val="164194"/>
                            <w:spacing w:val="-6"/>
                            <w:sz w:val="28"/>
                          </w:rPr>
                          <w:t> </w:t>
                        </w:r>
                        <w:r>
                          <w:rPr>
                            <w:b/>
                            <w:color w:val="164194"/>
                            <w:sz w:val="28"/>
                          </w:rPr>
                          <w:t>voluntarily</w:t>
                        </w:r>
                        <w:r>
                          <w:rPr>
                            <w:b/>
                            <w:color w:val="164194"/>
                            <w:spacing w:val="-6"/>
                            <w:sz w:val="28"/>
                          </w:rPr>
                          <w:t> </w:t>
                        </w:r>
                        <w:r>
                          <w:rPr>
                            <w:b/>
                            <w:color w:val="164194"/>
                            <w:sz w:val="28"/>
                          </w:rPr>
                          <w:t>aligns</w:t>
                        </w:r>
                        <w:r>
                          <w:rPr>
                            <w:b/>
                            <w:color w:val="164194"/>
                            <w:spacing w:val="-6"/>
                            <w:sz w:val="28"/>
                          </w:rPr>
                          <w:t> </w:t>
                        </w:r>
                        <w:r>
                          <w:rPr>
                            <w:b/>
                            <w:color w:val="164194"/>
                            <w:sz w:val="28"/>
                          </w:rPr>
                          <w:t>with</w:t>
                        </w:r>
                        <w:r>
                          <w:rPr>
                            <w:b/>
                            <w:color w:val="164194"/>
                            <w:spacing w:val="-6"/>
                            <w:sz w:val="28"/>
                          </w:rPr>
                          <w:t> </w:t>
                        </w:r>
                        <w:r>
                          <w:rPr>
                            <w:b/>
                            <w:color w:val="164194"/>
                            <w:sz w:val="28"/>
                          </w:rPr>
                          <w:t>the</w:t>
                        </w:r>
                        <w:r>
                          <w:rPr>
                            <w:b/>
                            <w:color w:val="164194"/>
                            <w:spacing w:val="-6"/>
                            <w:sz w:val="28"/>
                          </w:rPr>
                          <w:t> </w:t>
                        </w:r>
                        <w:r>
                          <w:rPr>
                            <w:b/>
                            <w:color w:val="164194"/>
                            <w:sz w:val="28"/>
                          </w:rPr>
                          <w:t>requirements</w:t>
                        </w:r>
                        <w:r>
                          <w:rPr>
                            <w:b/>
                            <w:color w:val="164194"/>
                            <w:spacing w:val="-5"/>
                            <w:sz w:val="28"/>
                          </w:rPr>
                          <w:t> </w:t>
                        </w:r>
                        <w:r>
                          <w:rPr>
                            <w:b/>
                            <w:color w:val="164194"/>
                            <w:sz w:val="28"/>
                          </w:rPr>
                          <w:t>of</w:t>
                        </w:r>
                        <w:r>
                          <w:rPr>
                            <w:b/>
                            <w:color w:val="164194"/>
                            <w:spacing w:val="-6"/>
                            <w:sz w:val="28"/>
                          </w:rPr>
                          <w:t> </w:t>
                        </w:r>
                        <w:r>
                          <w:rPr>
                            <w:b/>
                            <w:color w:val="164194"/>
                            <w:sz w:val="28"/>
                          </w:rPr>
                          <w:t>the</w:t>
                        </w:r>
                        <w:r>
                          <w:rPr>
                            <w:b/>
                            <w:color w:val="164194"/>
                            <w:spacing w:val="-6"/>
                            <w:sz w:val="28"/>
                          </w:rPr>
                          <w:t> </w:t>
                        </w:r>
                        <w:r>
                          <w:rPr>
                            <w:b/>
                            <w:color w:val="164194"/>
                            <w:sz w:val="28"/>
                          </w:rPr>
                          <w:t>Gender</w:t>
                        </w:r>
                        <w:r>
                          <w:rPr>
                            <w:b/>
                            <w:color w:val="164194"/>
                            <w:spacing w:val="-5"/>
                            <w:sz w:val="28"/>
                          </w:rPr>
                          <w:t> </w:t>
                        </w:r>
                        <w:r>
                          <w:rPr>
                            <w:b/>
                            <w:color w:val="164194"/>
                            <w:sz w:val="28"/>
                          </w:rPr>
                          <w:t>Balance</w:t>
                        </w:r>
                        <w:r>
                          <w:rPr>
                            <w:b/>
                            <w:color w:val="164194"/>
                            <w:spacing w:val="-6"/>
                            <w:sz w:val="28"/>
                          </w:rPr>
                          <w:t> </w:t>
                        </w:r>
                        <w:r>
                          <w:rPr>
                            <w:b/>
                            <w:color w:val="164194"/>
                            <w:sz w:val="28"/>
                          </w:rPr>
                          <w:t>on</w:t>
                        </w:r>
                        <w:r>
                          <w:rPr>
                            <w:b/>
                            <w:color w:val="164194"/>
                            <w:spacing w:val="-6"/>
                            <w:sz w:val="28"/>
                          </w:rPr>
                          <w:t> </w:t>
                        </w:r>
                        <w:r>
                          <w:rPr>
                            <w:b/>
                            <w:color w:val="164194"/>
                            <w:sz w:val="28"/>
                          </w:rPr>
                          <w:t>Boards Directive where these strengthen rights and reflect international human rights standards and best practice.</w:t>
                        </w:r>
                      </w:p>
                    </w:txbxContent>
                  </v:textbox>
                  <w10:wrap type="none"/>
                </v:shape>
                <w10:wrap type="topAndBottom"/>
              </v:group>
            </w:pict>
          </mc:Fallback>
        </mc:AlternateContent>
      </w:r>
    </w:p>
    <w:p>
      <w:pPr>
        <w:pStyle w:val="BodyText"/>
        <w:spacing w:before="1"/>
      </w:pPr>
    </w:p>
    <w:p>
      <w:pPr>
        <w:pStyle w:val="Heading3"/>
        <w:numPr>
          <w:ilvl w:val="2"/>
          <w:numId w:val="23"/>
        </w:numPr>
        <w:tabs>
          <w:tab w:pos="1358" w:val="left" w:leader="none"/>
        </w:tabs>
        <w:spacing w:line="336" w:lineRule="exact" w:before="0" w:after="0"/>
        <w:ind w:left="1358" w:right="0" w:hanging="638"/>
        <w:jc w:val="left"/>
      </w:pPr>
      <w:r>
        <w:rPr>
          <w:color w:val="004A93"/>
        </w:rPr>
        <w:t>Domestic</w:t>
      </w:r>
      <w:r>
        <w:rPr>
          <w:color w:val="004A93"/>
          <w:spacing w:val="-9"/>
        </w:rPr>
        <w:t> </w:t>
      </w:r>
      <w:r>
        <w:rPr>
          <w:color w:val="004A93"/>
          <w:spacing w:val="-2"/>
        </w:rPr>
        <w:t>violence</w:t>
      </w:r>
    </w:p>
    <w:p>
      <w:pPr>
        <w:pStyle w:val="BodyText"/>
        <w:spacing w:line="232" w:lineRule="auto" w:before="3"/>
        <w:ind w:left="720" w:right="1140"/>
      </w:pPr>
      <w:r>
        <w:rPr/>
        <w:t>As noted above Ireland’s Work Life Balance and Miscellaneous Provisions Act 2023 provides for domestic violence leave (5 days).</w:t>
      </w:r>
      <w:r>
        <w:rPr>
          <w:vertAlign w:val="superscript"/>
        </w:rPr>
        <w:t>346</w:t>
      </w:r>
      <w:r>
        <w:rPr>
          <w:vertAlign w:val="baseline"/>
        </w:rPr>
        <w:t> This is an additional measure not required in the Work-Life Balance Directive. This is an area where Northern Ireland has legislation. One of the acts passed by the Assembly in 2022 was indeed the Domestic Abuse (Safe Leave)</w:t>
      </w:r>
      <w:r>
        <w:rPr>
          <w:spacing w:val="-1"/>
          <w:vertAlign w:val="baseline"/>
        </w:rPr>
        <w:t> </w:t>
      </w:r>
      <w:r>
        <w:rPr>
          <w:vertAlign w:val="baseline"/>
        </w:rPr>
        <w:t>Act 2022, providing for ten</w:t>
      </w:r>
      <w:r>
        <w:rPr>
          <w:spacing w:val="-1"/>
          <w:vertAlign w:val="baseline"/>
        </w:rPr>
        <w:t> </w:t>
      </w:r>
      <w:r>
        <w:rPr>
          <w:vertAlign w:val="baseline"/>
        </w:rPr>
        <w:t>days’ paid</w:t>
      </w:r>
      <w:r>
        <w:rPr>
          <w:spacing w:val="-1"/>
          <w:vertAlign w:val="baseline"/>
        </w:rPr>
        <w:t> </w:t>
      </w:r>
      <w:r>
        <w:rPr>
          <w:vertAlign w:val="baseline"/>
        </w:rPr>
        <w:t>leave each</w:t>
      </w:r>
      <w:r>
        <w:rPr>
          <w:spacing w:val="-1"/>
          <w:vertAlign w:val="baseline"/>
        </w:rPr>
        <w:t> </w:t>
      </w:r>
      <w:r>
        <w:rPr>
          <w:vertAlign w:val="baseline"/>
        </w:rPr>
        <w:t>year to</w:t>
      </w:r>
      <w:r>
        <w:rPr>
          <w:spacing w:val="-6"/>
          <w:vertAlign w:val="baseline"/>
        </w:rPr>
        <w:t> </w:t>
      </w:r>
      <w:r>
        <w:rPr>
          <w:vertAlign w:val="baseline"/>
        </w:rPr>
        <w:t>address</w:t>
      </w:r>
      <w:r>
        <w:rPr>
          <w:spacing w:val="-6"/>
          <w:vertAlign w:val="baseline"/>
        </w:rPr>
        <w:t> </w:t>
      </w:r>
      <w:r>
        <w:rPr>
          <w:vertAlign w:val="baseline"/>
        </w:rPr>
        <w:t>domestic</w:t>
      </w:r>
      <w:r>
        <w:rPr>
          <w:spacing w:val="-5"/>
          <w:vertAlign w:val="baseline"/>
        </w:rPr>
        <w:t> </w:t>
      </w:r>
      <w:r>
        <w:rPr>
          <w:vertAlign w:val="baseline"/>
        </w:rPr>
        <w:t>violence.</w:t>
      </w:r>
      <w:r>
        <w:rPr>
          <w:spacing w:val="-6"/>
          <w:vertAlign w:val="baseline"/>
        </w:rPr>
        <w:t> </w:t>
      </w:r>
      <w:r>
        <w:rPr>
          <w:vertAlign w:val="baseline"/>
        </w:rPr>
        <w:t>This</w:t>
      </w:r>
      <w:r>
        <w:rPr>
          <w:spacing w:val="-5"/>
          <w:vertAlign w:val="baseline"/>
        </w:rPr>
        <w:t> </w:t>
      </w:r>
      <w:r>
        <w:rPr>
          <w:vertAlign w:val="baseline"/>
        </w:rPr>
        <w:t>protection</w:t>
      </w:r>
      <w:r>
        <w:rPr>
          <w:spacing w:val="-6"/>
          <w:vertAlign w:val="baseline"/>
        </w:rPr>
        <w:t> </w:t>
      </w:r>
      <w:r>
        <w:rPr>
          <w:vertAlign w:val="baseline"/>
        </w:rPr>
        <w:t>is</w:t>
      </w:r>
      <w:r>
        <w:rPr>
          <w:spacing w:val="-6"/>
          <w:vertAlign w:val="baseline"/>
        </w:rPr>
        <w:t> </w:t>
      </w:r>
      <w:r>
        <w:rPr>
          <w:vertAlign w:val="baseline"/>
        </w:rPr>
        <w:t>more</w:t>
      </w:r>
      <w:r>
        <w:rPr>
          <w:spacing w:val="-6"/>
          <w:vertAlign w:val="baseline"/>
        </w:rPr>
        <w:t> </w:t>
      </w:r>
      <w:r>
        <w:rPr>
          <w:vertAlign w:val="baseline"/>
        </w:rPr>
        <w:t>extensive</w:t>
      </w:r>
      <w:r>
        <w:rPr>
          <w:spacing w:val="-6"/>
          <w:vertAlign w:val="baseline"/>
        </w:rPr>
        <w:t> </w:t>
      </w:r>
      <w:r>
        <w:rPr>
          <w:vertAlign w:val="baseline"/>
        </w:rPr>
        <w:t>than</w:t>
      </w:r>
      <w:r>
        <w:rPr>
          <w:spacing w:val="-6"/>
          <w:vertAlign w:val="baseline"/>
        </w:rPr>
        <w:t> </w:t>
      </w:r>
      <w:r>
        <w:rPr>
          <w:vertAlign w:val="baseline"/>
        </w:rPr>
        <w:t>in</w:t>
      </w:r>
      <w:r>
        <w:rPr>
          <w:spacing w:val="-5"/>
          <w:vertAlign w:val="baseline"/>
        </w:rPr>
        <w:t> </w:t>
      </w:r>
      <w:r>
        <w:rPr>
          <w:vertAlign w:val="baseline"/>
        </w:rPr>
        <w:t>the</w:t>
      </w:r>
      <w:r>
        <w:rPr>
          <w:spacing w:val="-5"/>
          <w:vertAlign w:val="baseline"/>
        </w:rPr>
        <w:t> </w:t>
      </w:r>
      <w:r>
        <w:rPr>
          <w:vertAlign w:val="baseline"/>
        </w:rPr>
        <w:t>Irish</w:t>
      </w:r>
      <w:r>
        <w:rPr>
          <w:spacing w:val="-6"/>
          <w:vertAlign w:val="baseline"/>
        </w:rPr>
        <w:t> </w:t>
      </w:r>
      <w:r>
        <w:rPr>
          <w:vertAlign w:val="baseline"/>
        </w:rPr>
        <w:t>Act (5 days). This Northern Ireland Act does not appear to have been commenced (as</w:t>
      </w:r>
      <w:r>
        <w:rPr>
          <w:vertAlign w:val="baseline"/>
        </w:rPr>
        <w:t> of</w:t>
      </w:r>
      <w:r>
        <w:rPr>
          <w:spacing w:val="-5"/>
          <w:vertAlign w:val="baseline"/>
        </w:rPr>
        <w:t> </w:t>
      </w:r>
      <w:r>
        <w:rPr>
          <w:vertAlign w:val="baseline"/>
        </w:rPr>
        <w:t>29</w:t>
      </w:r>
      <w:r>
        <w:rPr>
          <w:spacing w:val="-4"/>
          <w:vertAlign w:val="baseline"/>
        </w:rPr>
        <w:t> </w:t>
      </w:r>
      <w:r>
        <w:rPr>
          <w:vertAlign w:val="baseline"/>
        </w:rPr>
        <w:t>June</w:t>
      </w:r>
      <w:r>
        <w:rPr>
          <w:spacing w:val="-4"/>
          <w:vertAlign w:val="baseline"/>
        </w:rPr>
        <w:t> </w:t>
      </w:r>
      <w:r>
        <w:rPr>
          <w:vertAlign w:val="baseline"/>
        </w:rPr>
        <w:t>2024).</w:t>
      </w:r>
      <w:r>
        <w:rPr>
          <w:spacing w:val="-5"/>
          <w:vertAlign w:val="baseline"/>
        </w:rPr>
        <w:t> </w:t>
      </w:r>
      <w:r>
        <w:rPr>
          <w:vertAlign w:val="baseline"/>
        </w:rPr>
        <w:t>When</w:t>
      </w:r>
      <w:r>
        <w:rPr>
          <w:spacing w:val="-5"/>
          <w:vertAlign w:val="baseline"/>
        </w:rPr>
        <w:t> </w:t>
      </w:r>
      <w:r>
        <w:rPr>
          <w:vertAlign w:val="baseline"/>
        </w:rPr>
        <w:t>implementing</w:t>
      </w:r>
      <w:r>
        <w:rPr>
          <w:spacing w:val="-4"/>
          <w:vertAlign w:val="baseline"/>
        </w:rPr>
        <w:t> </w:t>
      </w:r>
      <w:r>
        <w:rPr>
          <w:vertAlign w:val="baseline"/>
        </w:rPr>
        <w:t>measures</w:t>
      </w:r>
      <w:r>
        <w:rPr>
          <w:spacing w:val="-5"/>
          <w:vertAlign w:val="baseline"/>
        </w:rPr>
        <w:t> </w:t>
      </w:r>
      <w:r>
        <w:rPr>
          <w:vertAlign w:val="baseline"/>
        </w:rPr>
        <w:t>to</w:t>
      </w:r>
      <w:r>
        <w:rPr>
          <w:spacing w:val="-5"/>
          <w:vertAlign w:val="baseline"/>
        </w:rPr>
        <w:t> </w:t>
      </w:r>
      <w:r>
        <w:rPr>
          <w:vertAlign w:val="baseline"/>
        </w:rPr>
        <w:t>voluntarily</w:t>
      </w:r>
      <w:r>
        <w:rPr>
          <w:spacing w:val="-4"/>
          <w:vertAlign w:val="baseline"/>
        </w:rPr>
        <w:t> </w:t>
      </w:r>
      <w:r>
        <w:rPr>
          <w:vertAlign w:val="baseline"/>
        </w:rPr>
        <w:t>align</w:t>
      </w:r>
      <w:r>
        <w:rPr>
          <w:spacing w:val="-5"/>
          <w:vertAlign w:val="baseline"/>
        </w:rPr>
        <w:t> </w:t>
      </w:r>
      <w:r>
        <w:rPr>
          <w:vertAlign w:val="baseline"/>
        </w:rPr>
        <w:t>with</w:t>
      </w:r>
      <w:r>
        <w:rPr>
          <w:spacing w:val="-5"/>
          <w:vertAlign w:val="baseline"/>
        </w:rPr>
        <w:t> </w:t>
      </w:r>
      <w:r>
        <w:rPr>
          <w:vertAlign w:val="baseline"/>
        </w:rPr>
        <w:t>the</w:t>
      </w:r>
      <w:r>
        <w:rPr>
          <w:spacing w:val="-4"/>
          <w:vertAlign w:val="baseline"/>
        </w:rPr>
        <w:t> </w:t>
      </w:r>
      <w:r>
        <w:rPr>
          <w:vertAlign w:val="baseline"/>
        </w:rPr>
        <w:t>Work- Life Balance Directive, as set above, we would encourage the Department for the Economy to</w:t>
      </w:r>
      <w:r>
        <w:rPr>
          <w:spacing w:val="-1"/>
          <w:vertAlign w:val="baseline"/>
        </w:rPr>
        <w:t> </w:t>
      </w:r>
      <w:r>
        <w:rPr>
          <w:vertAlign w:val="baseline"/>
        </w:rPr>
        <w:t>go</w:t>
      </w:r>
      <w:r>
        <w:rPr>
          <w:spacing w:val="-1"/>
          <w:vertAlign w:val="baseline"/>
        </w:rPr>
        <w:t> </w:t>
      </w:r>
      <w:r>
        <w:rPr>
          <w:vertAlign w:val="baseline"/>
        </w:rPr>
        <w:t>beyond</w:t>
      </w:r>
      <w:r>
        <w:rPr>
          <w:spacing w:val="-1"/>
          <w:vertAlign w:val="baseline"/>
        </w:rPr>
        <w:t> </w:t>
      </w:r>
      <w:r>
        <w:rPr>
          <w:vertAlign w:val="baseline"/>
        </w:rPr>
        <w:t>the minimum requirements</w:t>
      </w:r>
      <w:r>
        <w:rPr>
          <w:spacing w:val="-1"/>
          <w:vertAlign w:val="baseline"/>
        </w:rPr>
        <w:t> </w:t>
      </w:r>
      <w:r>
        <w:rPr>
          <w:vertAlign w:val="baseline"/>
        </w:rPr>
        <w:t>in</w:t>
      </w:r>
      <w:r>
        <w:rPr>
          <w:spacing w:val="-1"/>
          <w:vertAlign w:val="baseline"/>
        </w:rPr>
        <w:t> </w:t>
      </w:r>
      <w:r>
        <w:rPr>
          <w:vertAlign w:val="baseline"/>
        </w:rPr>
        <w:t>the Directive and</w:t>
      </w:r>
      <w:r>
        <w:rPr>
          <w:spacing w:val="-1"/>
          <w:vertAlign w:val="baseline"/>
        </w:rPr>
        <w:t> </w:t>
      </w:r>
      <w:r>
        <w:rPr>
          <w:vertAlign w:val="baseline"/>
        </w:rPr>
        <w:t>commence the relevant provisions in the Domestic Violence (Safe Leave) Act 2022 relating to paid leave for domestic violence. To promote an equivalent protection for rights and to avoid divergence in the protection of rights on the island of Ireland post- Brexit we would encourage the Government of Ireland to harmonise its provisions upwards in line with the Northern Ireland legislation.</w:t>
      </w:r>
    </w:p>
    <w:p>
      <w:pPr>
        <w:pStyle w:val="BodyText"/>
        <w:spacing w:before="8"/>
        <w:rPr>
          <w:sz w:val="18"/>
        </w:rPr>
      </w:pPr>
      <w:r>
        <w:rPr/>
        <mc:AlternateContent>
          <mc:Choice Requires="wps">
            <w:drawing>
              <wp:anchor distT="0" distB="0" distL="0" distR="0" allowOverlap="1" layoutInCell="1" locked="0" behindDoc="1" simplePos="0" relativeHeight="487691776">
                <wp:simplePos x="0" y="0"/>
                <wp:positionH relativeFrom="page">
                  <wp:posOffset>647994</wp:posOffset>
                </wp:positionH>
                <wp:positionV relativeFrom="paragraph">
                  <wp:posOffset>160074</wp:posOffset>
                </wp:positionV>
                <wp:extent cx="6012180" cy="603885"/>
                <wp:effectExtent l="0" t="0" r="0" b="0"/>
                <wp:wrapTopAndBottom/>
                <wp:docPr id="558" name="Group 558"/>
                <wp:cNvGraphicFramePr>
                  <a:graphicFrameLocks/>
                </wp:cNvGraphicFramePr>
                <a:graphic>
                  <a:graphicData uri="http://schemas.microsoft.com/office/word/2010/wordprocessingGroup">
                    <wpg:wgp>
                      <wpg:cNvPr id="558" name="Group 558"/>
                      <wpg:cNvGrpSpPr/>
                      <wpg:grpSpPr>
                        <a:xfrm>
                          <a:off x="0" y="0"/>
                          <a:ext cx="6012180" cy="603885"/>
                          <a:chExt cx="6012180" cy="603885"/>
                        </a:xfrm>
                      </wpg:grpSpPr>
                      <wps:wsp>
                        <wps:cNvPr id="559" name="Graphic 559"/>
                        <wps:cNvSpPr/>
                        <wps:spPr>
                          <a:xfrm>
                            <a:off x="0" y="0"/>
                            <a:ext cx="6012180" cy="603885"/>
                          </a:xfrm>
                          <a:custGeom>
                            <a:avLst/>
                            <a:gdLst/>
                            <a:ahLst/>
                            <a:cxnLst/>
                            <a:rect l="l" t="t" r="r" b="b"/>
                            <a:pathLst>
                              <a:path w="6012180" h="603885">
                                <a:moveTo>
                                  <a:pt x="5868009" y="0"/>
                                </a:moveTo>
                                <a:lnTo>
                                  <a:pt x="144005" y="0"/>
                                </a:lnTo>
                                <a:lnTo>
                                  <a:pt x="98490" y="7340"/>
                                </a:lnTo>
                                <a:lnTo>
                                  <a:pt x="58959" y="27782"/>
                                </a:lnTo>
                                <a:lnTo>
                                  <a:pt x="27785" y="58954"/>
                                </a:lnTo>
                                <a:lnTo>
                                  <a:pt x="7341" y="98485"/>
                                </a:lnTo>
                                <a:lnTo>
                                  <a:pt x="0" y="144005"/>
                                </a:lnTo>
                                <a:lnTo>
                                  <a:pt x="0" y="459346"/>
                                </a:lnTo>
                                <a:lnTo>
                                  <a:pt x="7341" y="504861"/>
                                </a:lnTo>
                                <a:lnTo>
                                  <a:pt x="27785" y="544392"/>
                                </a:lnTo>
                                <a:lnTo>
                                  <a:pt x="58959" y="575565"/>
                                </a:lnTo>
                                <a:lnTo>
                                  <a:pt x="98490" y="596009"/>
                                </a:lnTo>
                                <a:lnTo>
                                  <a:pt x="144005" y="603351"/>
                                </a:lnTo>
                                <a:lnTo>
                                  <a:pt x="5868009" y="603351"/>
                                </a:lnTo>
                                <a:lnTo>
                                  <a:pt x="5913523" y="596009"/>
                                </a:lnTo>
                                <a:lnTo>
                                  <a:pt x="5953050" y="575565"/>
                                </a:lnTo>
                                <a:lnTo>
                                  <a:pt x="5984220" y="544392"/>
                                </a:lnTo>
                                <a:lnTo>
                                  <a:pt x="6004661" y="504861"/>
                                </a:lnTo>
                                <a:lnTo>
                                  <a:pt x="6012002" y="4593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60" name="Textbox 560"/>
                        <wps:cNvSpPr txBox="1"/>
                        <wps:spPr>
                          <a:xfrm>
                            <a:off x="0" y="0"/>
                            <a:ext cx="6012180" cy="60388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the</w:t>
                              </w:r>
                              <w:r>
                                <w:rPr>
                                  <w:b/>
                                  <w:color w:val="164194"/>
                                  <w:spacing w:val="-8"/>
                                  <w:sz w:val="28"/>
                                </w:rPr>
                                <w:t> </w:t>
                              </w:r>
                              <w:r>
                                <w:rPr>
                                  <w:b/>
                                  <w:color w:val="164194"/>
                                  <w:sz w:val="28"/>
                                </w:rPr>
                                <w:t>Department</w:t>
                              </w:r>
                              <w:r>
                                <w:rPr>
                                  <w:b/>
                                  <w:color w:val="164194"/>
                                  <w:spacing w:val="-7"/>
                                  <w:sz w:val="28"/>
                                </w:rPr>
                                <w:t> </w:t>
                              </w:r>
                              <w:r>
                                <w:rPr>
                                  <w:b/>
                                  <w:color w:val="164194"/>
                                  <w:sz w:val="28"/>
                                </w:rPr>
                                <w:t>for</w:t>
                              </w:r>
                              <w:r>
                                <w:rPr>
                                  <w:b/>
                                  <w:color w:val="164194"/>
                                  <w:spacing w:val="-8"/>
                                  <w:sz w:val="28"/>
                                </w:rPr>
                                <w:t> </w:t>
                              </w:r>
                              <w:r>
                                <w:rPr>
                                  <w:b/>
                                  <w:color w:val="164194"/>
                                  <w:sz w:val="28"/>
                                </w:rPr>
                                <w:t>the</w:t>
                              </w:r>
                              <w:r>
                                <w:rPr>
                                  <w:b/>
                                  <w:color w:val="164194"/>
                                  <w:spacing w:val="-8"/>
                                  <w:sz w:val="28"/>
                                </w:rPr>
                                <w:t> </w:t>
                              </w:r>
                              <w:r>
                                <w:rPr>
                                  <w:b/>
                                  <w:color w:val="164194"/>
                                  <w:sz w:val="28"/>
                                </w:rPr>
                                <w:t>Economy</w:t>
                              </w:r>
                              <w:r>
                                <w:rPr>
                                  <w:b/>
                                  <w:color w:val="164194"/>
                                  <w:spacing w:val="-7"/>
                                  <w:sz w:val="28"/>
                                </w:rPr>
                                <w:t> </w:t>
                              </w:r>
                              <w:r>
                                <w:rPr>
                                  <w:b/>
                                  <w:color w:val="164194"/>
                                  <w:sz w:val="28"/>
                                </w:rPr>
                                <w:t>commence</w:t>
                              </w:r>
                              <w:r>
                                <w:rPr>
                                  <w:b/>
                                  <w:color w:val="164194"/>
                                  <w:spacing w:val="-8"/>
                                  <w:sz w:val="28"/>
                                </w:rPr>
                                <w:t> </w:t>
                              </w:r>
                              <w:r>
                                <w:rPr>
                                  <w:b/>
                                  <w:color w:val="164194"/>
                                  <w:sz w:val="28"/>
                                </w:rPr>
                                <w:t>sections</w:t>
                              </w:r>
                              <w:r>
                                <w:rPr>
                                  <w:b/>
                                  <w:color w:val="164194"/>
                                  <w:spacing w:val="-7"/>
                                  <w:sz w:val="28"/>
                                </w:rPr>
                                <w:t> </w:t>
                              </w:r>
                              <w:r>
                                <w:rPr>
                                  <w:b/>
                                  <w:color w:val="164194"/>
                                  <w:sz w:val="28"/>
                                </w:rPr>
                                <w:t>1-3</w:t>
                              </w:r>
                              <w:r>
                                <w:rPr>
                                  <w:b/>
                                  <w:color w:val="164194"/>
                                  <w:spacing w:val="-7"/>
                                  <w:sz w:val="28"/>
                                </w:rPr>
                                <w:t> </w:t>
                              </w:r>
                              <w:r>
                                <w:rPr>
                                  <w:b/>
                                  <w:color w:val="164194"/>
                                  <w:sz w:val="28"/>
                                </w:rPr>
                                <w:t>of the Domestic Violence (Safe Leave) Act 2022.</w:t>
                              </w:r>
                            </w:p>
                          </w:txbxContent>
                        </wps:txbx>
                        <wps:bodyPr wrap="square" lIns="0" tIns="0" rIns="0" bIns="0" rtlCol="0">
                          <a:noAutofit/>
                        </wps:bodyPr>
                      </wps:wsp>
                    </wpg:wgp>
                  </a:graphicData>
                </a:graphic>
              </wp:anchor>
            </w:drawing>
          </mc:Choice>
          <mc:Fallback>
            <w:pict>
              <v:group style="position:absolute;margin-left:51.023201pt;margin-top:12.604308pt;width:473.4pt;height:47.55pt;mso-position-horizontal-relative:page;mso-position-vertical-relative:paragraph;z-index:-15624704;mso-wrap-distance-left:0;mso-wrap-distance-right:0" id="docshapegroup447" coordorigin="1020,252" coordsize="9468,951">
                <v:shape style="position:absolute;left:1020;top:252;width:9468;height:951" id="docshape448" coordorigin="1020,252" coordsize="9468,951" path="m10261,252l1247,252,1176,264,1113,296,1064,345,1032,407,1020,479,1020,975,1032,1047,1064,1109,1113,1158,1176,1191,1247,1202,10261,1202,10333,1191,10395,1158,10444,1109,10477,1047,10488,975,10488,479,10477,407,10444,345,10395,296,10333,264,10261,252xe" filled="true" fillcolor="#e9f3fc" stroked="false">
                  <v:path arrowok="t"/>
                  <v:fill type="solid"/>
                </v:shape>
                <v:shape style="position:absolute;left:1020;top:252;width:9468;height:951" type="#_x0000_t202" id="docshape449"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the</w:t>
                        </w:r>
                        <w:r>
                          <w:rPr>
                            <w:b/>
                            <w:color w:val="164194"/>
                            <w:spacing w:val="-8"/>
                            <w:sz w:val="28"/>
                          </w:rPr>
                          <w:t> </w:t>
                        </w:r>
                        <w:r>
                          <w:rPr>
                            <w:b/>
                            <w:color w:val="164194"/>
                            <w:sz w:val="28"/>
                          </w:rPr>
                          <w:t>Department</w:t>
                        </w:r>
                        <w:r>
                          <w:rPr>
                            <w:b/>
                            <w:color w:val="164194"/>
                            <w:spacing w:val="-7"/>
                            <w:sz w:val="28"/>
                          </w:rPr>
                          <w:t> </w:t>
                        </w:r>
                        <w:r>
                          <w:rPr>
                            <w:b/>
                            <w:color w:val="164194"/>
                            <w:sz w:val="28"/>
                          </w:rPr>
                          <w:t>for</w:t>
                        </w:r>
                        <w:r>
                          <w:rPr>
                            <w:b/>
                            <w:color w:val="164194"/>
                            <w:spacing w:val="-8"/>
                            <w:sz w:val="28"/>
                          </w:rPr>
                          <w:t> </w:t>
                        </w:r>
                        <w:r>
                          <w:rPr>
                            <w:b/>
                            <w:color w:val="164194"/>
                            <w:sz w:val="28"/>
                          </w:rPr>
                          <w:t>the</w:t>
                        </w:r>
                        <w:r>
                          <w:rPr>
                            <w:b/>
                            <w:color w:val="164194"/>
                            <w:spacing w:val="-8"/>
                            <w:sz w:val="28"/>
                          </w:rPr>
                          <w:t> </w:t>
                        </w:r>
                        <w:r>
                          <w:rPr>
                            <w:b/>
                            <w:color w:val="164194"/>
                            <w:sz w:val="28"/>
                          </w:rPr>
                          <w:t>Economy</w:t>
                        </w:r>
                        <w:r>
                          <w:rPr>
                            <w:b/>
                            <w:color w:val="164194"/>
                            <w:spacing w:val="-7"/>
                            <w:sz w:val="28"/>
                          </w:rPr>
                          <w:t> </w:t>
                        </w:r>
                        <w:r>
                          <w:rPr>
                            <w:b/>
                            <w:color w:val="164194"/>
                            <w:sz w:val="28"/>
                          </w:rPr>
                          <w:t>commence</w:t>
                        </w:r>
                        <w:r>
                          <w:rPr>
                            <w:b/>
                            <w:color w:val="164194"/>
                            <w:spacing w:val="-8"/>
                            <w:sz w:val="28"/>
                          </w:rPr>
                          <w:t> </w:t>
                        </w:r>
                        <w:r>
                          <w:rPr>
                            <w:b/>
                            <w:color w:val="164194"/>
                            <w:sz w:val="28"/>
                          </w:rPr>
                          <w:t>sections</w:t>
                        </w:r>
                        <w:r>
                          <w:rPr>
                            <w:b/>
                            <w:color w:val="164194"/>
                            <w:spacing w:val="-7"/>
                            <w:sz w:val="28"/>
                          </w:rPr>
                          <w:t> </w:t>
                        </w:r>
                        <w:r>
                          <w:rPr>
                            <w:b/>
                            <w:color w:val="164194"/>
                            <w:sz w:val="28"/>
                          </w:rPr>
                          <w:t>1-3</w:t>
                        </w:r>
                        <w:r>
                          <w:rPr>
                            <w:b/>
                            <w:color w:val="164194"/>
                            <w:spacing w:val="-7"/>
                            <w:sz w:val="28"/>
                          </w:rPr>
                          <w:t> </w:t>
                        </w:r>
                        <w:r>
                          <w:rPr>
                            <w:b/>
                            <w:color w:val="164194"/>
                            <w:sz w:val="28"/>
                          </w:rPr>
                          <w:t>of the Domestic Violence (Safe Leave) Act 2022.</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92288">
                <wp:simplePos x="0" y="0"/>
                <wp:positionH relativeFrom="page">
                  <wp:posOffset>647994</wp:posOffset>
                </wp:positionH>
                <wp:positionV relativeFrom="paragraph">
                  <wp:posOffset>903174</wp:posOffset>
                </wp:positionV>
                <wp:extent cx="6012180" cy="813435"/>
                <wp:effectExtent l="0" t="0" r="0" b="0"/>
                <wp:wrapTopAndBottom/>
                <wp:docPr id="561" name="Group 561"/>
                <wp:cNvGraphicFramePr>
                  <a:graphicFrameLocks/>
                </wp:cNvGraphicFramePr>
                <a:graphic>
                  <a:graphicData uri="http://schemas.microsoft.com/office/word/2010/wordprocessingGroup">
                    <wpg:wgp>
                      <wpg:cNvPr id="561" name="Group 561"/>
                      <wpg:cNvGrpSpPr/>
                      <wpg:grpSpPr>
                        <a:xfrm>
                          <a:off x="0" y="0"/>
                          <a:ext cx="6012180" cy="813435"/>
                          <a:chExt cx="6012180" cy="813435"/>
                        </a:xfrm>
                      </wpg:grpSpPr>
                      <wps:wsp>
                        <wps:cNvPr id="562" name="Graphic 562"/>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63" name="Textbox 563"/>
                        <wps:cNvSpPr txBox="1"/>
                        <wps:spPr>
                          <a:xfrm>
                            <a:off x="0" y="0"/>
                            <a:ext cx="6012180" cy="813435"/>
                          </a:xfrm>
                          <a:prstGeom prst="rect">
                            <a:avLst/>
                          </a:prstGeom>
                        </wps:spPr>
                        <wps:txbx>
                          <w:txbxContent>
                            <w:p>
                              <w:pPr>
                                <w:spacing w:line="232" w:lineRule="auto" w:before="121"/>
                                <w:ind w:left="340" w:right="196" w:firstLine="0"/>
                                <w:jc w:val="left"/>
                                <w:rPr>
                                  <w:b/>
                                  <w:sz w:val="28"/>
                                </w:rPr>
                              </w:pPr>
                              <w:r>
                                <w:rPr>
                                  <w:b/>
                                  <w:color w:val="164194"/>
                                  <w:sz w:val="28"/>
                                </w:rPr>
                                <w:t>We recommend the Government of Ireland amend the Work Life Balance and</w:t>
                              </w:r>
                              <w:r>
                                <w:rPr>
                                  <w:b/>
                                  <w:color w:val="164194"/>
                                  <w:spacing w:val="-7"/>
                                  <w:sz w:val="28"/>
                                </w:rPr>
                                <w:t> </w:t>
                              </w:r>
                              <w:r>
                                <w:rPr>
                                  <w:b/>
                                  <w:color w:val="164194"/>
                                  <w:sz w:val="28"/>
                                </w:rPr>
                                <w:t>Miscellaneous</w:t>
                              </w:r>
                              <w:r>
                                <w:rPr>
                                  <w:b/>
                                  <w:color w:val="164194"/>
                                  <w:spacing w:val="-7"/>
                                  <w:sz w:val="28"/>
                                </w:rPr>
                                <w:t> </w:t>
                              </w:r>
                              <w:r>
                                <w:rPr>
                                  <w:b/>
                                  <w:color w:val="164194"/>
                                  <w:sz w:val="28"/>
                                </w:rPr>
                                <w:t>Provisions</w:t>
                              </w:r>
                              <w:r>
                                <w:rPr>
                                  <w:b/>
                                  <w:color w:val="164194"/>
                                  <w:spacing w:val="-7"/>
                                  <w:sz w:val="28"/>
                                </w:rPr>
                                <w:t> </w:t>
                              </w:r>
                              <w:r>
                                <w:rPr>
                                  <w:b/>
                                  <w:color w:val="164194"/>
                                  <w:sz w:val="28"/>
                                </w:rPr>
                                <w:t>Act</w:t>
                              </w:r>
                              <w:r>
                                <w:rPr>
                                  <w:b/>
                                  <w:color w:val="164194"/>
                                  <w:spacing w:val="-7"/>
                                  <w:sz w:val="28"/>
                                </w:rPr>
                                <w:t> </w:t>
                              </w:r>
                              <w:r>
                                <w:rPr>
                                  <w:b/>
                                  <w:color w:val="164194"/>
                                  <w:sz w:val="28"/>
                                </w:rPr>
                                <w:t>2023</w:t>
                              </w:r>
                              <w:r>
                                <w:rPr>
                                  <w:b/>
                                  <w:color w:val="164194"/>
                                  <w:spacing w:val="-7"/>
                                  <w:sz w:val="28"/>
                                </w:rPr>
                                <w:t> </w:t>
                              </w:r>
                              <w:r>
                                <w:rPr>
                                  <w:b/>
                                  <w:color w:val="164194"/>
                                  <w:sz w:val="28"/>
                                </w:rPr>
                                <w:t>to</w:t>
                              </w:r>
                              <w:r>
                                <w:rPr>
                                  <w:b/>
                                  <w:color w:val="164194"/>
                                  <w:spacing w:val="-7"/>
                                  <w:sz w:val="28"/>
                                </w:rPr>
                                <w:t> </w:t>
                              </w:r>
                              <w:r>
                                <w:rPr>
                                  <w:b/>
                                  <w:color w:val="164194"/>
                                  <w:sz w:val="28"/>
                                </w:rPr>
                                <w:t>provide</w:t>
                              </w:r>
                              <w:r>
                                <w:rPr>
                                  <w:b/>
                                  <w:color w:val="164194"/>
                                  <w:spacing w:val="-8"/>
                                  <w:sz w:val="28"/>
                                </w:rPr>
                                <w:t> </w:t>
                              </w:r>
                              <w:r>
                                <w:rPr>
                                  <w:b/>
                                  <w:color w:val="164194"/>
                                  <w:sz w:val="28"/>
                                </w:rPr>
                                <w:t>for</w:t>
                              </w:r>
                              <w:r>
                                <w:rPr>
                                  <w:b/>
                                  <w:color w:val="164194"/>
                                  <w:spacing w:val="-8"/>
                                  <w:sz w:val="28"/>
                                </w:rPr>
                                <w:t> </w:t>
                              </w:r>
                              <w:r>
                                <w:rPr>
                                  <w:b/>
                                  <w:color w:val="164194"/>
                                  <w:sz w:val="28"/>
                                </w:rPr>
                                <w:t>ten</w:t>
                              </w:r>
                              <w:r>
                                <w:rPr>
                                  <w:b/>
                                  <w:color w:val="164194"/>
                                  <w:spacing w:val="-7"/>
                                  <w:sz w:val="28"/>
                                </w:rPr>
                                <w:t> </w:t>
                              </w:r>
                              <w:r>
                                <w:rPr>
                                  <w:b/>
                                  <w:color w:val="164194"/>
                                  <w:sz w:val="28"/>
                                </w:rPr>
                                <w:t>days</w:t>
                              </w:r>
                              <w:r>
                                <w:rPr>
                                  <w:b/>
                                  <w:color w:val="164194"/>
                                  <w:spacing w:val="-7"/>
                                  <w:sz w:val="28"/>
                                </w:rPr>
                                <w:t> </w:t>
                              </w:r>
                              <w:r>
                                <w:rPr>
                                  <w:b/>
                                  <w:color w:val="164194"/>
                                  <w:sz w:val="28"/>
                                </w:rPr>
                                <w:t>paid</w:t>
                              </w:r>
                              <w:r>
                                <w:rPr>
                                  <w:b/>
                                  <w:color w:val="164194"/>
                                  <w:spacing w:val="-7"/>
                                  <w:sz w:val="28"/>
                                </w:rPr>
                                <w:t> </w:t>
                              </w:r>
                              <w:r>
                                <w:rPr>
                                  <w:b/>
                                  <w:color w:val="164194"/>
                                  <w:sz w:val="28"/>
                                </w:rPr>
                                <w:t>domestic violence leave as to be provided for under the Northern Ireland legislation.</w:t>
                              </w:r>
                            </w:p>
                          </w:txbxContent>
                        </wps:txbx>
                        <wps:bodyPr wrap="square" lIns="0" tIns="0" rIns="0" bIns="0" rtlCol="0">
                          <a:noAutofit/>
                        </wps:bodyPr>
                      </wps:wsp>
                    </wpg:wgp>
                  </a:graphicData>
                </a:graphic>
              </wp:anchor>
            </w:drawing>
          </mc:Choice>
          <mc:Fallback>
            <w:pict>
              <v:group style="position:absolute;margin-left:51.023201pt;margin-top:71.116104pt;width:473.4pt;height:64.05pt;mso-position-horizontal-relative:page;mso-position-vertical-relative:paragraph;z-index:-15624192;mso-wrap-distance-left:0;mso-wrap-distance-right:0" id="docshapegroup450" coordorigin="1020,1422" coordsize="9468,1281">
                <v:shape style="position:absolute;left:1020;top:1422;width:9468;height:1281" id="docshape451" coordorigin="1020,1422" coordsize="9468,1281" path="m10261,1422l1247,1422,1176,1434,1113,1466,1064,1515,1032,1577,1020,1649,1020,2476,1032,2547,1064,2610,1113,2659,1176,2691,1247,2702,10261,2702,10333,2691,10395,2659,10444,2610,10477,2547,10488,2476,10488,1649,10477,1577,10444,1515,10395,1466,10333,1434,10261,1422xe" filled="true" fillcolor="#e9f3fc" stroked="false">
                  <v:path arrowok="t"/>
                  <v:fill type="solid"/>
                </v:shape>
                <v:shape style="position:absolute;left:1020;top:1422;width:9468;height:1281" type="#_x0000_t202" id="docshape452" filled="false" stroked="false">
                  <v:textbox inset="0,0,0,0">
                    <w:txbxContent>
                      <w:p>
                        <w:pPr>
                          <w:spacing w:line="232" w:lineRule="auto" w:before="121"/>
                          <w:ind w:left="340" w:right="196" w:firstLine="0"/>
                          <w:jc w:val="left"/>
                          <w:rPr>
                            <w:b/>
                            <w:sz w:val="28"/>
                          </w:rPr>
                        </w:pPr>
                        <w:r>
                          <w:rPr>
                            <w:b/>
                            <w:color w:val="164194"/>
                            <w:sz w:val="28"/>
                          </w:rPr>
                          <w:t>We recommend the Government of Ireland amend the Work Life Balance and</w:t>
                        </w:r>
                        <w:r>
                          <w:rPr>
                            <w:b/>
                            <w:color w:val="164194"/>
                            <w:spacing w:val="-7"/>
                            <w:sz w:val="28"/>
                          </w:rPr>
                          <w:t> </w:t>
                        </w:r>
                        <w:r>
                          <w:rPr>
                            <w:b/>
                            <w:color w:val="164194"/>
                            <w:sz w:val="28"/>
                          </w:rPr>
                          <w:t>Miscellaneous</w:t>
                        </w:r>
                        <w:r>
                          <w:rPr>
                            <w:b/>
                            <w:color w:val="164194"/>
                            <w:spacing w:val="-7"/>
                            <w:sz w:val="28"/>
                          </w:rPr>
                          <w:t> </w:t>
                        </w:r>
                        <w:r>
                          <w:rPr>
                            <w:b/>
                            <w:color w:val="164194"/>
                            <w:sz w:val="28"/>
                          </w:rPr>
                          <w:t>Provisions</w:t>
                        </w:r>
                        <w:r>
                          <w:rPr>
                            <w:b/>
                            <w:color w:val="164194"/>
                            <w:spacing w:val="-7"/>
                            <w:sz w:val="28"/>
                          </w:rPr>
                          <w:t> </w:t>
                        </w:r>
                        <w:r>
                          <w:rPr>
                            <w:b/>
                            <w:color w:val="164194"/>
                            <w:sz w:val="28"/>
                          </w:rPr>
                          <w:t>Act</w:t>
                        </w:r>
                        <w:r>
                          <w:rPr>
                            <w:b/>
                            <w:color w:val="164194"/>
                            <w:spacing w:val="-7"/>
                            <w:sz w:val="28"/>
                          </w:rPr>
                          <w:t> </w:t>
                        </w:r>
                        <w:r>
                          <w:rPr>
                            <w:b/>
                            <w:color w:val="164194"/>
                            <w:sz w:val="28"/>
                          </w:rPr>
                          <w:t>2023</w:t>
                        </w:r>
                        <w:r>
                          <w:rPr>
                            <w:b/>
                            <w:color w:val="164194"/>
                            <w:spacing w:val="-7"/>
                            <w:sz w:val="28"/>
                          </w:rPr>
                          <w:t> </w:t>
                        </w:r>
                        <w:r>
                          <w:rPr>
                            <w:b/>
                            <w:color w:val="164194"/>
                            <w:sz w:val="28"/>
                          </w:rPr>
                          <w:t>to</w:t>
                        </w:r>
                        <w:r>
                          <w:rPr>
                            <w:b/>
                            <w:color w:val="164194"/>
                            <w:spacing w:val="-7"/>
                            <w:sz w:val="28"/>
                          </w:rPr>
                          <w:t> </w:t>
                        </w:r>
                        <w:r>
                          <w:rPr>
                            <w:b/>
                            <w:color w:val="164194"/>
                            <w:sz w:val="28"/>
                          </w:rPr>
                          <w:t>provide</w:t>
                        </w:r>
                        <w:r>
                          <w:rPr>
                            <w:b/>
                            <w:color w:val="164194"/>
                            <w:spacing w:val="-8"/>
                            <w:sz w:val="28"/>
                          </w:rPr>
                          <w:t> </w:t>
                        </w:r>
                        <w:r>
                          <w:rPr>
                            <w:b/>
                            <w:color w:val="164194"/>
                            <w:sz w:val="28"/>
                          </w:rPr>
                          <w:t>for</w:t>
                        </w:r>
                        <w:r>
                          <w:rPr>
                            <w:b/>
                            <w:color w:val="164194"/>
                            <w:spacing w:val="-8"/>
                            <w:sz w:val="28"/>
                          </w:rPr>
                          <w:t> </w:t>
                        </w:r>
                        <w:r>
                          <w:rPr>
                            <w:b/>
                            <w:color w:val="164194"/>
                            <w:sz w:val="28"/>
                          </w:rPr>
                          <w:t>ten</w:t>
                        </w:r>
                        <w:r>
                          <w:rPr>
                            <w:b/>
                            <w:color w:val="164194"/>
                            <w:spacing w:val="-7"/>
                            <w:sz w:val="28"/>
                          </w:rPr>
                          <w:t> </w:t>
                        </w:r>
                        <w:r>
                          <w:rPr>
                            <w:b/>
                            <w:color w:val="164194"/>
                            <w:sz w:val="28"/>
                          </w:rPr>
                          <w:t>days</w:t>
                        </w:r>
                        <w:r>
                          <w:rPr>
                            <w:b/>
                            <w:color w:val="164194"/>
                            <w:spacing w:val="-7"/>
                            <w:sz w:val="28"/>
                          </w:rPr>
                          <w:t> </w:t>
                        </w:r>
                        <w:r>
                          <w:rPr>
                            <w:b/>
                            <w:color w:val="164194"/>
                            <w:sz w:val="28"/>
                          </w:rPr>
                          <w:t>paid</w:t>
                        </w:r>
                        <w:r>
                          <w:rPr>
                            <w:b/>
                            <w:color w:val="164194"/>
                            <w:spacing w:val="-7"/>
                            <w:sz w:val="28"/>
                          </w:rPr>
                          <w:t> </w:t>
                        </w:r>
                        <w:r>
                          <w:rPr>
                            <w:b/>
                            <w:color w:val="164194"/>
                            <w:sz w:val="28"/>
                          </w:rPr>
                          <w:t>domestic violence leave as to be provided for under the Northern Ireland legislation.</w:t>
                        </w:r>
                      </w:p>
                    </w:txbxContent>
                  </v:textbox>
                  <w10:wrap type="none"/>
                </v:shape>
                <w10:wrap type="topAndBottom"/>
              </v:group>
            </w:pict>
          </mc:Fallback>
        </mc:AlternateContent>
      </w:r>
    </w:p>
    <w:p>
      <w:pPr>
        <w:pStyle w:val="BodyText"/>
        <w:rPr>
          <w:sz w:val="16"/>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0"/>
        </w:rPr>
      </w:pPr>
      <w:r>
        <w:rPr/>
        <mc:AlternateContent>
          <mc:Choice Requires="wps">
            <w:drawing>
              <wp:anchor distT="0" distB="0" distL="0" distR="0" allowOverlap="1" layoutInCell="1" locked="0" behindDoc="1" simplePos="0" relativeHeight="487692800">
                <wp:simplePos x="0" y="0"/>
                <wp:positionH relativeFrom="page">
                  <wp:posOffset>647999</wp:posOffset>
                </wp:positionH>
                <wp:positionV relativeFrom="paragraph">
                  <wp:posOffset>178800</wp:posOffset>
                </wp:positionV>
                <wp:extent cx="6012180" cy="1270"/>
                <wp:effectExtent l="0" t="0" r="0" b="0"/>
                <wp:wrapTopAndBottom/>
                <wp:docPr id="564" name="Graphic 564"/>
                <wp:cNvGraphicFramePr>
                  <a:graphicFrameLocks/>
                </wp:cNvGraphicFramePr>
                <a:graphic>
                  <a:graphicData uri="http://schemas.microsoft.com/office/word/2010/wordprocessingShape">
                    <wps:wsp>
                      <wps:cNvPr id="564" name="Graphic 56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4.078744pt;width:473.4pt;height:.1pt;mso-position-horizontal-relative:page;mso-position-vertical-relative:paragraph;z-index:-15623680;mso-wrap-distance-left:0;mso-wrap-distance-right:0" id="docshape453" coordorigin="1020,282" coordsize="9468,0" path="m1020,282l10488,282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558" w:hanging="567"/>
        <w:jc w:val="left"/>
        <w:rPr>
          <w:sz w:val="18"/>
        </w:rPr>
      </w:pPr>
      <w:r>
        <w:rPr>
          <w:sz w:val="18"/>
        </w:rPr>
        <w:t>ECNI, </w:t>
      </w:r>
      <w:hyperlink r:id="rId86">
        <w:r>
          <w:rPr>
            <w:color w:val="1D71B8"/>
            <w:sz w:val="18"/>
            <w:u w:val="single" w:color="1D71B8"/>
          </w:rPr>
          <w:t>Equality in Public Particip</w:t>
        </w:r>
        <w:r>
          <w:rPr>
            <w:color w:val="1D71B8"/>
            <w:sz w:val="18"/>
            <w:u w:val="none"/>
          </w:rPr>
          <w:t>a</w:t>
        </w:r>
        <w:r>
          <w:rPr>
            <w:color w:val="1D71B8"/>
            <w:sz w:val="18"/>
            <w:u w:val="single" w:color="1D71B8"/>
          </w:rPr>
          <w:t>ti</w:t>
        </w:r>
        <w:r>
          <w:rPr>
            <w:color w:val="1D71B8"/>
            <w:sz w:val="18"/>
            <w:u w:val="none"/>
          </w:rPr>
          <w:t>o</w:t>
        </w:r>
        <w:r>
          <w:rPr>
            <w:color w:val="1D71B8"/>
            <w:sz w:val="18"/>
            <w:u w:val="single" w:color="1D71B8"/>
          </w:rPr>
          <w:t>n in Public Life: Full Report: Policy Recommendations</w:t>
        </w:r>
      </w:hyperlink>
      <w:r>
        <w:rPr>
          <w:color w:val="1D71B8"/>
          <w:sz w:val="18"/>
          <w:u w:val="none"/>
        </w:rPr>
        <w:t> </w:t>
      </w:r>
      <w:r>
        <w:rPr>
          <w:sz w:val="18"/>
          <w:u w:val="none"/>
        </w:rPr>
        <w:t>(May 2019); ECNI, </w:t>
      </w:r>
      <w:r>
        <w:rPr>
          <w:color w:val="1D71B8"/>
          <w:sz w:val="18"/>
          <w:u w:val="single" w:color="1D71B8"/>
        </w:rPr>
        <w:t>Key </w:t>
      </w:r>
      <w:r>
        <w:rPr>
          <w:color w:val="1D71B8"/>
          <w:sz w:val="18"/>
          <w:u w:val="none"/>
        </w:rPr>
        <w:t> </w:t>
      </w:r>
      <w:r>
        <w:rPr>
          <w:color w:val="1D71B8"/>
          <w:sz w:val="18"/>
          <w:u w:val="single" w:color="1D71B8"/>
        </w:rPr>
        <w:t>Inequalities</w:t>
      </w:r>
      <w:r>
        <w:rPr>
          <w:color w:val="1D71B8"/>
          <w:spacing w:val="-2"/>
          <w:sz w:val="18"/>
          <w:u w:val="single" w:color="1D71B8"/>
        </w:rPr>
        <w:t> </w:t>
      </w:r>
      <w:r>
        <w:rPr>
          <w:color w:val="1D71B8"/>
          <w:sz w:val="18"/>
          <w:u w:val="single" w:color="1D71B8"/>
        </w:rPr>
        <w:t>in</w:t>
      </w:r>
      <w:r>
        <w:rPr>
          <w:color w:val="1D71B8"/>
          <w:spacing w:val="-2"/>
          <w:sz w:val="18"/>
          <w:u w:val="single" w:color="1D71B8"/>
        </w:rPr>
        <w:t> </w:t>
      </w:r>
      <w:r>
        <w:rPr>
          <w:color w:val="1D71B8"/>
          <w:sz w:val="18"/>
          <w:u w:val="single" w:color="1D71B8"/>
        </w:rPr>
        <w:t>Public</w:t>
      </w:r>
      <w:r>
        <w:rPr>
          <w:color w:val="1D71B8"/>
          <w:spacing w:val="-1"/>
          <w:sz w:val="18"/>
          <w:u w:val="single" w:color="1D71B8"/>
        </w:rPr>
        <w:t> </w:t>
      </w:r>
      <w:r>
        <w:rPr>
          <w:color w:val="1D71B8"/>
          <w:sz w:val="18"/>
          <w:u w:val="single" w:color="1D71B8"/>
        </w:rPr>
        <w:t>Participation</w:t>
      </w:r>
      <w:r>
        <w:rPr>
          <w:color w:val="1D71B8"/>
          <w:spacing w:val="-2"/>
          <w:sz w:val="18"/>
          <w:u w:val="single" w:color="1D71B8"/>
        </w:rPr>
        <w:t> </w:t>
      </w:r>
      <w:r>
        <w:rPr>
          <w:color w:val="1D71B8"/>
          <w:sz w:val="18"/>
          <w:u w:val="single" w:color="1D71B8"/>
        </w:rPr>
        <w:t>in</w:t>
      </w:r>
      <w:r>
        <w:rPr>
          <w:color w:val="1D71B8"/>
          <w:spacing w:val="-2"/>
          <w:sz w:val="18"/>
          <w:u w:val="single" w:color="1D71B8"/>
        </w:rPr>
        <w:t> </w:t>
      </w:r>
      <w:r>
        <w:rPr>
          <w:color w:val="1D71B8"/>
          <w:sz w:val="18"/>
          <w:u w:val="single" w:color="1D71B8"/>
        </w:rPr>
        <w:t>Public</w:t>
      </w:r>
      <w:r>
        <w:rPr>
          <w:color w:val="1D71B8"/>
          <w:spacing w:val="-1"/>
          <w:sz w:val="18"/>
          <w:u w:val="single" w:color="1D71B8"/>
        </w:rPr>
        <w:t> </w:t>
      </w:r>
      <w:r>
        <w:rPr>
          <w:color w:val="1D71B8"/>
          <w:sz w:val="18"/>
          <w:u w:val="single" w:color="1D71B8"/>
        </w:rPr>
        <w:t>Life</w:t>
      </w:r>
      <w:r>
        <w:rPr>
          <w:color w:val="1D71B8"/>
          <w:spacing w:val="-2"/>
          <w:sz w:val="18"/>
          <w:u w:val="none"/>
        </w:rPr>
        <w:t> </w:t>
      </w:r>
      <w:r>
        <w:rPr>
          <w:sz w:val="18"/>
          <w:u w:val="none"/>
        </w:rPr>
        <w:t>(September</w:t>
      </w:r>
      <w:r>
        <w:rPr>
          <w:spacing w:val="-1"/>
          <w:sz w:val="18"/>
          <w:u w:val="none"/>
        </w:rPr>
        <w:t> </w:t>
      </w:r>
      <w:r>
        <w:rPr>
          <w:sz w:val="18"/>
          <w:u w:val="none"/>
        </w:rPr>
        <w:t>2018);</w:t>
      </w:r>
      <w:r>
        <w:rPr>
          <w:spacing w:val="-1"/>
          <w:sz w:val="18"/>
          <w:u w:val="none"/>
        </w:rPr>
        <w:t> </w:t>
      </w:r>
      <w:r>
        <w:rPr>
          <w:sz w:val="18"/>
          <w:u w:val="none"/>
        </w:rPr>
        <w:t>Graeme</w:t>
      </w:r>
      <w:r>
        <w:rPr>
          <w:spacing w:val="-1"/>
          <w:sz w:val="18"/>
          <w:u w:val="none"/>
        </w:rPr>
        <w:t> </w:t>
      </w:r>
      <w:r>
        <w:rPr>
          <w:sz w:val="18"/>
          <w:u w:val="none"/>
        </w:rPr>
        <w:t>Banks,</w:t>
      </w:r>
      <w:r>
        <w:rPr>
          <w:spacing w:val="-1"/>
          <w:sz w:val="18"/>
          <w:u w:val="none"/>
        </w:rPr>
        <w:t> </w:t>
      </w:r>
      <w:r>
        <w:rPr>
          <w:sz w:val="18"/>
          <w:u w:val="none"/>
        </w:rPr>
        <w:t>Eoin</w:t>
      </w:r>
      <w:r>
        <w:rPr>
          <w:spacing w:val="-2"/>
          <w:sz w:val="18"/>
          <w:u w:val="none"/>
        </w:rPr>
        <w:t> </w:t>
      </w:r>
      <w:r>
        <w:rPr>
          <w:sz w:val="18"/>
          <w:u w:val="none"/>
        </w:rPr>
        <w:t>Hamilton</w:t>
      </w:r>
      <w:r>
        <w:rPr>
          <w:spacing w:val="-2"/>
          <w:sz w:val="18"/>
          <w:u w:val="none"/>
        </w:rPr>
        <w:t> </w:t>
      </w:r>
      <w:r>
        <w:rPr>
          <w:sz w:val="18"/>
          <w:u w:val="none"/>
        </w:rPr>
        <w:t>and</w:t>
      </w:r>
      <w:r>
        <w:rPr>
          <w:spacing w:val="-2"/>
          <w:sz w:val="18"/>
          <w:u w:val="none"/>
        </w:rPr>
        <w:t> </w:t>
      </w:r>
      <w:r>
        <w:rPr>
          <w:sz w:val="18"/>
          <w:u w:val="none"/>
        </w:rPr>
        <w:t>Fiona</w:t>
      </w:r>
      <w:r>
        <w:rPr>
          <w:spacing w:val="-2"/>
          <w:sz w:val="18"/>
          <w:u w:val="none"/>
        </w:rPr>
        <w:t> </w:t>
      </w:r>
      <w:r>
        <w:rPr>
          <w:sz w:val="18"/>
          <w:u w:val="none"/>
        </w:rPr>
        <w:t>Rooney, </w:t>
      </w:r>
      <w:r>
        <w:rPr>
          <w:color w:val="1D71B8"/>
          <w:sz w:val="18"/>
          <w:u w:val="single" w:color="1D71B8"/>
        </w:rPr>
        <w:t>Inequalities</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Participation</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Public</w:t>
      </w:r>
      <w:r>
        <w:rPr>
          <w:color w:val="1D71B8"/>
          <w:spacing w:val="-4"/>
          <w:sz w:val="18"/>
          <w:u w:val="single" w:color="1D71B8"/>
        </w:rPr>
        <w:t> </w:t>
      </w:r>
      <w:r>
        <w:rPr>
          <w:color w:val="1D71B8"/>
          <w:sz w:val="18"/>
          <w:u w:val="single" w:color="1D71B8"/>
        </w:rPr>
        <w:t>Life</w:t>
      </w:r>
      <w:r>
        <w:rPr>
          <w:color w:val="1D71B8"/>
          <w:spacing w:val="-4"/>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Northern</w:t>
      </w:r>
      <w:r>
        <w:rPr>
          <w:color w:val="1D71B8"/>
          <w:spacing w:val="-5"/>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An</w:t>
      </w:r>
      <w:r>
        <w:rPr>
          <w:color w:val="1D71B8"/>
          <w:spacing w:val="-5"/>
          <w:sz w:val="18"/>
          <w:u w:val="single" w:color="1D71B8"/>
        </w:rPr>
        <w:t> </w:t>
      </w:r>
      <w:r>
        <w:rPr>
          <w:color w:val="1D71B8"/>
          <w:sz w:val="18"/>
          <w:u w:val="single" w:color="1D71B8"/>
        </w:rPr>
        <w:t>investigation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nine</w:t>
      </w:r>
      <w:r>
        <w:rPr>
          <w:color w:val="1D71B8"/>
          <w:spacing w:val="-4"/>
          <w:sz w:val="18"/>
          <w:u w:val="single" w:color="1D71B8"/>
        </w:rPr>
        <w:t> </w:t>
      </w:r>
      <w:r>
        <w:rPr>
          <w:color w:val="1D71B8"/>
          <w:sz w:val="18"/>
          <w:u w:val="single" w:color="1D71B8"/>
        </w:rPr>
        <w:t>Section</w:t>
      </w:r>
      <w:r>
        <w:rPr>
          <w:color w:val="1D71B8"/>
          <w:spacing w:val="-5"/>
          <w:sz w:val="18"/>
          <w:u w:val="single" w:color="1D71B8"/>
        </w:rPr>
        <w:t> </w:t>
      </w:r>
      <w:r>
        <w:rPr>
          <w:color w:val="1D71B8"/>
          <w:sz w:val="18"/>
          <w:u w:val="single" w:color="1D71B8"/>
        </w:rPr>
        <w:t>75</w:t>
      </w:r>
      <w:r>
        <w:rPr>
          <w:color w:val="1D71B8"/>
          <w:spacing w:val="-4"/>
          <w:sz w:val="18"/>
          <w:u w:val="single" w:color="1D71B8"/>
        </w:rPr>
        <w:t> </w:t>
      </w:r>
      <w:r>
        <w:rPr>
          <w:color w:val="1D71B8"/>
          <w:sz w:val="18"/>
          <w:u w:val="single" w:color="1D71B8"/>
        </w:rPr>
        <w:t>grounds</w:t>
      </w:r>
      <w:r>
        <w:rPr>
          <w:color w:val="1D71B8"/>
          <w:spacing w:val="-5"/>
          <w:sz w:val="18"/>
          <w:u w:val="none"/>
        </w:rPr>
        <w:t> </w:t>
      </w:r>
      <w:r>
        <w:rPr>
          <w:sz w:val="18"/>
          <w:u w:val="none"/>
        </w:rPr>
        <w:t>(2015).</w:t>
      </w:r>
    </w:p>
    <w:p>
      <w:pPr>
        <w:pStyle w:val="ListParagraph"/>
        <w:numPr>
          <w:ilvl w:val="0"/>
          <w:numId w:val="18"/>
        </w:numPr>
        <w:tabs>
          <w:tab w:pos="1287" w:val="left" w:leader="none"/>
        </w:tabs>
        <w:spacing w:line="240" w:lineRule="auto" w:before="1" w:after="0"/>
        <w:ind w:left="1287" w:right="1409" w:hanging="567"/>
        <w:jc w:val="left"/>
        <w:rPr>
          <w:sz w:val="18"/>
        </w:rPr>
      </w:pPr>
      <w:r>
        <w:rPr>
          <w:sz w:val="18"/>
        </w:rPr>
        <w:t>Work</w:t>
      </w:r>
      <w:r>
        <w:rPr>
          <w:spacing w:val="-4"/>
          <w:sz w:val="18"/>
        </w:rPr>
        <w:t> </w:t>
      </w:r>
      <w:r>
        <w:rPr>
          <w:sz w:val="18"/>
        </w:rPr>
        <w:t>Life</w:t>
      </w:r>
      <w:r>
        <w:rPr>
          <w:spacing w:val="-4"/>
          <w:sz w:val="18"/>
        </w:rPr>
        <w:t> </w:t>
      </w:r>
      <w:r>
        <w:rPr>
          <w:sz w:val="18"/>
        </w:rPr>
        <w:t>Balance</w:t>
      </w:r>
      <w:r>
        <w:rPr>
          <w:spacing w:val="-4"/>
          <w:sz w:val="18"/>
        </w:rPr>
        <w:t> </w:t>
      </w:r>
      <w:r>
        <w:rPr>
          <w:sz w:val="18"/>
        </w:rPr>
        <w:t>and</w:t>
      </w:r>
      <w:r>
        <w:rPr>
          <w:spacing w:val="-5"/>
          <w:sz w:val="18"/>
        </w:rPr>
        <w:t> </w:t>
      </w:r>
      <w:r>
        <w:rPr>
          <w:sz w:val="18"/>
        </w:rPr>
        <w:t>Miscellaneous</w:t>
      </w:r>
      <w:r>
        <w:rPr>
          <w:spacing w:val="-5"/>
          <w:sz w:val="18"/>
        </w:rPr>
        <w:t> </w:t>
      </w:r>
      <w:r>
        <w:rPr>
          <w:sz w:val="18"/>
        </w:rPr>
        <w:t>Provisions</w:t>
      </w:r>
      <w:r>
        <w:rPr>
          <w:spacing w:val="-5"/>
          <w:sz w:val="18"/>
        </w:rPr>
        <w:t> </w:t>
      </w:r>
      <w:r>
        <w:rPr>
          <w:sz w:val="18"/>
        </w:rPr>
        <w:t>Act</w:t>
      </w:r>
      <w:r>
        <w:rPr>
          <w:spacing w:val="-4"/>
          <w:sz w:val="18"/>
        </w:rPr>
        <w:t> </w:t>
      </w:r>
      <w:r>
        <w:rPr>
          <w:sz w:val="18"/>
        </w:rPr>
        <w:t>2023,</w:t>
      </w:r>
      <w:r>
        <w:rPr>
          <w:spacing w:val="-6"/>
          <w:sz w:val="18"/>
        </w:rPr>
        <w:t> </w:t>
      </w:r>
      <w:r>
        <w:rPr>
          <w:color w:val="1D71B8"/>
          <w:sz w:val="18"/>
          <w:u w:val="single" w:color="1D71B8"/>
        </w:rPr>
        <w:t>section</w:t>
      </w:r>
      <w:r>
        <w:rPr>
          <w:color w:val="1D71B8"/>
          <w:spacing w:val="-5"/>
          <w:sz w:val="18"/>
          <w:u w:val="single" w:color="1D71B8"/>
        </w:rPr>
        <w:t> </w:t>
      </w:r>
      <w:r>
        <w:rPr>
          <w:color w:val="1D71B8"/>
          <w:sz w:val="18"/>
          <w:u w:val="single" w:color="1D71B8"/>
        </w:rPr>
        <w:t>7</w:t>
      </w:r>
      <w:r>
        <w:rPr>
          <w:sz w:val="18"/>
          <w:u w:val="none"/>
        </w:rPr>
        <w:t>.</w:t>
      </w:r>
      <w:r>
        <w:rPr>
          <w:spacing w:val="-5"/>
          <w:sz w:val="18"/>
          <w:u w:val="none"/>
        </w:rPr>
        <w:t> </w:t>
      </w:r>
      <w:r>
        <w:rPr>
          <w:sz w:val="18"/>
          <w:u w:val="none"/>
        </w:rPr>
        <w:t>This</w:t>
      </w:r>
      <w:r>
        <w:rPr>
          <w:spacing w:val="-5"/>
          <w:sz w:val="18"/>
          <w:u w:val="none"/>
        </w:rPr>
        <w:t> </w:t>
      </w:r>
      <w:r>
        <w:rPr>
          <w:sz w:val="18"/>
          <w:u w:val="none"/>
        </w:rPr>
        <w:t>provision</w:t>
      </w:r>
      <w:r>
        <w:rPr>
          <w:spacing w:val="-5"/>
          <w:sz w:val="18"/>
          <w:u w:val="none"/>
        </w:rPr>
        <w:t> </w:t>
      </w:r>
      <w:r>
        <w:rPr>
          <w:sz w:val="18"/>
          <w:u w:val="none"/>
        </w:rPr>
        <w:t>came</w:t>
      </w:r>
      <w:r>
        <w:rPr>
          <w:spacing w:val="-4"/>
          <w:sz w:val="18"/>
          <w:u w:val="none"/>
        </w:rPr>
        <w:t> </w:t>
      </w:r>
      <w:r>
        <w:rPr>
          <w:sz w:val="18"/>
          <w:u w:val="none"/>
        </w:rPr>
        <w:t>into</w:t>
      </w:r>
      <w:r>
        <w:rPr>
          <w:spacing w:val="-5"/>
          <w:sz w:val="18"/>
          <w:u w:val="none"/>
        </w:rPr>
        <w:t> </w:t>
      </w:r>
      <w:r>
        <w:rPr>
          <w:sz w:val="18"/>
          <w:u w:val="none"/>
        </w:rPr>
        <w:t>force</w:t>
      </w:r>
      <w:r>
        <w:rPr>
          <w:spacing w:val="-4"/>
          <w:sz w:val="18"/>
          <w:u w:val="none"/>
        </w:rPr>
        <w:t> </w:t>
      </w:r>
      <w:r>
        <w:rPr>
          <w:sz w:val="18"/>
          <w:u w:val="none"/>
        </w:rPr>
        <w:t>in</w:t>
      </w:r>
      <w:r>
        <w:rPr>
          <w:spacing w:val="-5"/>
          <w:sz w:val="18"/>
          <w:u w:val="none"/>
        </w:rPr>
        <w:t> </w:t>
      </w:r>
      <w:r>
        <w:rPr>
          <w:sz w:val="18"/>
          <w:u w:val="none"/>
        </w:rPr>
        <w:t>November</w:t>
      </w:r>
      <w:r>
        <w:rPr>
          <w:spacing w:val="-4"/>
          <w:sz w:val="18"/>
          <w:u w:val="none"/>
        </w:rPr>
        <w:t> </w:t>
      </w:r>
      <w:r>
        <w:rPr>
          <w:sz w:val="18"/>
          <w:u w:val="none"/>
        </w:rPr>
        <w:t>2023: Government of Ireland, </w:t>
      </w:r>
      <w:r>
        <w:rPr>
          <w:color w:val="1D71B8"/>
          <w:sz w:val="18"/>
          <w:u w:val="single" w:color="1D71B8"/>
        </w:rPr>
        <w:t>New right to domestic violence leave comes into force</w:t>
      </w:r>
      <w:r>
        <w:rPr>
          <w:color w:val="1D71B8"/>
          <w:sz w:val="18"/>
          <w:u w:val="none"/>
        </w:rPr>
        <w:t> </w:t>
      </w:r>
      <w:r>
        <w:rPr>
          <w:sz w:val="18"/>
          <w:u w:val="none"/>
        </w:rPr>
        <w:t>(27 November 2023).</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11008">
                <wp:simplePos x="0" y="0"/>
                <wp:positionH relativeFrom="page">
                  <wp:posOffset>-2</wp:posOffset>
                </wp:positionH>
                <wp:positionV relativeFrom="page">
                  <wp:posOffset>0</wp:posOffset>
                </wp:positionV>
                <wp:extent cx="7560309" cy="1155065"/>
                <wp:effectExtent l="0" t="0" r="0" b="0"/>
                <wp:wrapNone/>
                <wp:docPr id="565" name="Group 565"/>
                <wp:cNvGraphicFramePr>
                  <a:graphicFrameLocks/>
                </wp:cNvGraphicFramePr>
                <a:graphic>
                  <a:graphicData uri="http://schemas.microsoft.com/office/word/2010/wordprocessingGroup">
                    <wpg:wgp>
                      <wpg:cNvPr id="565" name="Group 565"/>
                      <wpg:cNvGrpSpPr/>
                      <wpg:grpSpPr>
                        <a:xfrm>
                          <a:off x="0" y="0"/>
                          <a:ext cx="7560309" cy="1155065"/>
                          <a:chExt cx="7560309" cy="1155065"/>
                        </a:xfrm>
                      </wpg:grpSpPr>
                      <wps:wsp>
                        <wps:cNvPr id="566" name="Graphic 566"/>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567" name="Graphic 567"/>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305472" id="docshapegroup454" coordorigin="0,0" coordsize="11906,1819">
                <v:shape style="position:absolute;left:0;top:0;width:11906;height:1819" id="docshape45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63</w:t>
      </w:r>
    </w:p>
    <w:p>
      <w:pPr>
        <w:pStyle w:val="BodyText"/>
        <w:rPr>
          <w:b/>
        </w:rPr>
      </w:pPr>
    </w:p>
    <w:p>
      <w:pPr>
        <w:pStyle w:val="BodyText"/>
        <w:spacing w:before="48"/>
        <w:rPr>
          <w:b/>
        </w:rPr>
      </w:pPr>
    </w:p>
    <w:p>
      <w:pPr>
        <w:pStyle w:val="BodyText"/>
        <w:spacing w:line="232" w:lineRule="auto"/>
        <w:ind w:left="1117" w:right="823"/>
      </w:pPr>
      <w:r>
        <w:rPr/>
        <w:t>Ireland has now passed the Domestic, Sexual and Gender-Based Violence Agency Act 2023.</w:t>
      </w:r>
      <w:r>
        <w:rPr>
          <w:vertAlign w:val="superscript"/>
        </w:rPr>
        <w:t>347</w:t>
      </w:r>
      <w:r>
        <w:rPr>
          <w:vertAlign w:val="baseline"/>
        </w:rPr>
        <w:t> The Act creates a new agency, the Domestic, Sexual and Gender- Based Violence Agency, to support and oversee refuge provision for victims of</w:t>
      </w:r>
      <w:r>
        <w:rPr>
          <w:vertAlign w:val="baseline"/>
        </w:rPr>
        <w:t> such violence, to fund the provisions of services for victims and people at risk of such</w:t>
      </w:r>
      <w:r>
        <w:rPr>
          <w:spacing w:val="-8"/>
          <w:vertAlign w:val="baseline"/>
        </w:rPr>
        <w:t> </w:t>
      </w:r>
      <w:r>
        <w:rPr>
          <w:vertAlign w:val="baseline"/>
        </w:rPr>
        <w:t>violence,</w:t>
      </w:r>
      <w:r>
        <w:rPr>
          <w:spacing w:val="-7"/>
          <w:vertAlign w:val="baseline"/>
        </w:rPr>
        <w:t> </w:t>
      </w:r>
      <w:r>
        <w:rPr>
          <w:vertAlign w:val="baseline"/>
        </w:rPr>
        <w:t>to</w:t>
      </w:r>
      <w:r>
        <w:rPr>
          <w:spacing w:val="-8"/>
          <w:vertAlign w:val="baseline"/>
        </w:rPr>
        <w:t> </w:t>
      </w:r>
      <w:r>
        <w:rPr>
          <w:vertAlign w:val="baseline"/>
        </w:rPr>
        <w:t>coordinate</w:t>
      </w:r>
      <w:r>
        <w:rPr>
          <w:spacing w:val="-7"/>
          <w:vertAlign w:val="baseline"/>
        </w:rPr>
        <w:t> </w:t>
      </w:r>
      <w:r>
        <w:rPr>
          <w:vertAlign w:val="baseline"/>
        </w:rPr>
        <w:t>strategies</w:t>
      </w:r>
      <w:r>
        <w:rPr>
          <w:spacing w:val="-8"/>
          <w:vertAlign w:val="baseline"/>
        </w:rPr>
        <w:t> </w:t>
      </w:r>
      <w:r>
        <w:rPr>
          <w:vertAlign w:val="baseline"/>
        </w:rPr>
        <w:t>in</w:t>
      </w:r>
      <w:r>
        <w:rPr>
          <w:spacing w:val="-8"/>
          <w:vertAlign w:val="baseline"/>
        </w:rPr>
        <w:t> </w:t>
      </w:r>
      <w:r>
        <w:rPr>
          <w:vertAlign w:val="baseline"/>
        </w:rPr>
        <w:t>this</w:t>
      </w:r>
      <w:r>
        <w:rPr>
          <w:spacing w:val="-8"/>
          <w:vertAlign w:val="baseline"/>
        </w:rPr>
        <w:t> </w:t>
      </w:r>
      <w:r>
        <w:rPr>
          <w:vertAlign w:val="baseline"/>
        </w:rPr>
        <w:t>area,</w:t>
      </w:r>
      <w:r>
        <w:rPr>
          <w:spacing w:val="-7"/>
          <w:vertAlign w:val="baseline"/>
        </w:rPr>
        <w:t> </w:t>
      </w:r>
      <w:r>
        <w:rPr>
          <w:vertAlign w:val="baseline"/>
        </w:rPr>
        <w:t>to</w:t>
      </w:r>
      <w:r>
        <w:rPr>
          <w:spacing w:val="-8"/>
          <w:vertAlign w:val="baseline"/>
        </w:rPr>
        <w:t> </w:t>
      </w:r>
      <w:r>
        <w:rPr>
          <w:vertAlign w:val="baseline"/>
        </w:rPr>
        <w:t>raise</w:t>
      </w:r>
      <w:r>
        <w:rPr>
          <w:spacing w:val="-7"/>
          <w:vertAlign w:val="baseline"/>
        </w:rPr>
        <w:t> </w:t>
      </w:r>
      <w:r>
        <w:rPr>
          <w:vertAlign w:val="baseline"/>
        </w:rPr>
        <w:t>awareness</w:t>
      </w:r>
      <w:r>
        <w:rPr>
          <w:spacing w:val="-8"/>
          <w:vertAlign w:val="baseline"/>
        </w:rPr>
        <w:t> </w:t>
      </w:r>
      <w:r>
        <w:rPr>
          <w:vertAlign w:val="baseline"/>
        </w:rPr>
        <w:t>of</w:t>
      </w:r>
      <w:r>
        <w:rPr>
          <w:spacing w:val="-8"/>
          <w:vertAlign w:val="baseline"/>
        </w:rPr>
        <w:t> </w:t>
      </w:r>
      <w:r>
        <w:rPr>
          <w:vertAlign w:val="baseline"/>
        </w:rPr>
        <w:t>domestic, sexual and gender-based violence and carry out research in this area.</w:t>
      </w:r>
    </w:p>
    <w:p>
      <w:pPr>
        <w:pStyle w:val="BodyText"/>
        <w:spacing w:line="232" w:lineRule="auto" w:before="274"/>
        <w:ind w:left="1117" w:right="750"/>
      </w:pPr>
      <w:r>
        <w:rPr/>
        <w:t>This measure is not required by any EU legislation however its adoption does reflect concerns about these issues in EU policies (see further details in Chapter 8, section</w:t>
      </w:r>
      <w:r>
        <w:rPr>
          <w:spacing w:val="-8"/>
        </w:rPr>
        <w:t> </w:t>
      </w:r>
      <w:r>
        <w:rPr/>
        <w:t>8.3).</w:t>
      </w:r>
      <w:r>
        <w:rPr>
          <w:spacing w:val="-8"/>
        </w:rPr>
        <w:t> </w:t>
      </w:r>
      <w:r>
        <w:rPr/>
        <w:t>A</w:t>
      </w:r>
      <w:r>
        <w:rPr>
          <w:spacing w:val="-7"/>
        </w:rPr>
        <w:t> </w:t>
      </w:r>
      <w:r>
        <w:rPr/>
        <w:t>report</w:t>
      </w:r>
      <w:r>
        <w:rPr>
          <w:spacing w:val="-7"/>
        </w:rPr>
        <w:t> </w:t>
      </w:r>
      <w:r>
        <w:rPr/>
        <w:t>by</w:t>
      </w:r>
      <w:r>
        <w:rPr>
          <w:spacing w:val="-7"/>
        </w:rPr>
        <w:t> </w:t>
      </w:r>
      <w:r>
        <w:rPr/>
        <w:t>the</w:t>
      </w:r>
      <w:r>
        <w:rPr>
          <w:spacing w:val="-7"/>
        </w:rPr>
        <w:t> </w:t>
      </w:r>
      <w:r>
        <w:rPr/>
        <w:t>Oireachtas</w:t>
      </w:r>
      <w:r>
        <w:rPr>
          <w:spacing w:val="-8"/>
        </w:rPr>
        <w:t> </w:t>
      </w:r>
      <w:r>
        <w:rPr/>
        <w:t>Library</w:t>
      </w:r>
      <w:r>
        <w:rPr>
          <w:spacing w:val="-7"/>
        </w:rPr>
        <w:t> </w:t>
      </w:r>
      <w:r>
        <w:rPr/>
        <w:t>and</w:t>
      </w:r>
      <w:r>
        <w:rPr>
          <w:spacing w:val="-8"/>
        </w:rPr>
        <w:t> </w:t>
      </w:r>
      <w:r>
        <w:rPr/>
        <w:t>Research</w:t>
      </w:r>
      <w:r>
        <w:rPr>
          <w:spacing w:val="-8"/>
        </w:rPr>
        <w:t> </w:t>
      </w:r>
      <w:r>
        <w:rPr/>
        <w:t>Service</w:t>
      </w:r>
      <w:r>
        <w:rPr>
          <w:spacing w:val="-7"/>
        </w:rPr>
        <w:t> </w:t>
      </w:r>
      <w:r>
        <w:rPr/>
        <w:t>contextualises the Bill in relation to EU concerns from the Commission and the Fundamental Rights Agency about the problems of gender-based violence.</w:t>
      </w:r>
      <w:r>
        <w:rPr>
          <w:vertAlign w:val="superscript"/>
        </w:rPr>
        <w:t>348</w:t>
      </w:r>
      <w:r>
        <w:rPr>
          <w:vertAlign w:val="baseline"/>
        </w:rPr>
        <w:t> The Irish Human Rights and Equality Commission has advised that the Government should consider its human rights and equality obligations in respect of this initiative and in particular highlights the Victims’ Rights Directive,</w:t>
      </w:r>
      <w:r>
        <w:rPr>
          <w:vertAlign w:val="superscript"/>
        </w:rPr>
        <w:t>349</w:t>
      </w:r>
      <w:r>
        <w:rPr>
          <w:vertAlign w:val="baseline"/>
        </w:rPr>
        <w:t> Trafficking Directive</w:t>
      </w:r>
      <w:r>
        <w:rPr>
          <w:vertAlign w:val="superscript"/>
        </w:rPr>
        <w:t>350</w:t>
      </w:r>
      <w:r>
        <w:rPr>
          <w:vertAlign w:val="baseline"/>
        </w:rPr>
        <w:t> (and proposed changes</w:t>
      </w:r>
      <w:r>
        <w:rPr>
          <w:vertAlign w:val="superscript"/>
        </w:rPr>
        <w:t>351</w:t>
      </w:r>
      <w:r>
        <w:rPr>
          <w:vertAlign w:val="baseline"/>
        </w:rPr>
        <w:t>) and the new EU-wide proposal for a directive</w:t>
      </w:r>
      <w:r>
        <w:rPr>
          <w:vertAlign w:val="superscript"/>
        </w:rPr>
        <w:t>352</w:t>
      </w:r>
      <w:r>
        <w:rPr>
          <w:vertAlign w:val="baseline"/>
        </w:rPr>
        <w:t> to combat violence against women and domestic violence.</w:t>
      </w:r>
      <w:r>
        <w:rPr>
          <w:vertAlign w:val="superscript"/>
        </w:rPr>
        <w:t>353</w:t>
      </w:r>
    </w:p>
    <w:p>
      <w:pPr>
        <w:pStyle w:val="BodyText"/>
        <w:spacing w:line="232" w:lineRule="auto" w:before="268"/>
        <w:ind w:left="1117" w:right="738"/>
      </w:pPr>
      <w:r>
        <w:rPr/>
        <w:t>While the Irish Act is not directly based on the implementation of EU law, it is an initiative</w:t>
      </w:r>
      <w:r>
        <w:rPr>
          <w:spacing w:val="-4"/>
        </w:rPr>
        <w:t> </w:t>
      </w:r>
      <w:r>
        <w:rPr/>
        <w:t>in</w:t>
      </w:r>
      <w:r>
        <w:rPr>
          <w:spacing w:val="-5"/>
        </w:rPr>
        <w:t> </w:t>
      </w:r>
      <w:r>
        <w:rPr/>
        <w:t>the</w:t>
      </w:r>
      <w:r>
        <w:rPr>
          <w:spacing w:val="-4"/>
        </w:rPr>
        <w:t> </w:t>
      </w:r>
      <w:r>
        <w:rPr/>
        <w:t>area</w:t>
      </w:r>
      <w:r>
        <w:rPr>
          <w:spacing w:val="-5"/>
        </w:rPr>
        <w:t> </w:t>
      </w:r>
      <w:r>
        <w:rPr/>
        <w:t>of</w:t>
      </w:r>
      <w:r>
        <w:rPr>
          <w:spacing w:val="-5"/>
        </w:rPr>
        <w:t> </w:t>
      </w:r>
      <w:r>
        <w:rPr/>
        <w:t>human</w:t>
      </w:r>
      <w:r>
        <w:rPr>
          <w:spacing w:val="-5"/>
        </w:rPr>
        <w:t> </w:t>
      </w:r>
      <w:r>
        <w:rPr/>
        <w:t>rights</w:t>
      </w:r>
      <w:r>
        <w:rPr>
          <w:spacing w:val="-5"/>
        </w:rPr>
        <w:t> </w:t>
      </w:r>
      <w:r>
        <w:rPr/>
        <w:t>and</w:t>
      </w:r>
      <w:r>
        <w:rPr>
          <w:spacing w:val="-5"/>
        </w:rPr>
        <w:t> </w:t>
      </w:r>
      <w:r>
        <w:rPr/>
        <w:t>equality</w:t>
      </w:r>
      <w:r>
        <w:rPr>
          <w:spacing w:val="-4"/>
        </w:rPr>
        <w:t> </w:t>
      </w:r>
      <w:r>
        <w:rPr/>
        <w:t>and</w:t>
      </w:r>
      <w:r>
        <w:rPr>
          <w:spacing w:val="-5"/>
        </w:rPr>
        <w:t> </w:t>
      </w:r>
      <w:r>
        <w:rPr/>
        <w:t>one</w:t>
      </w:r>
      <w:r>
        <w:rPr>
          <w:spacing w:val="-4"/>
        </w:rPr>
        <w:t> </w:t>
      </w:r>
      <w:r>
        <w:rPr/>
        <w:t>where</w:t>
      </w:r>
      <w:r>
        <w:rPr>
          <w:spacing w:val="-4"/>
        </w:rPr>
        <w:t> </w:t>
      </w:r>
      <w:r>
        <w:rPr/>
        <w:t>EU</w:t>
      </w:r>
      <w:r>
        <w:rPr>
          <w:spacing w:val="-4"/>
        </w:rPr>
        <w:t> </w:t>
      </w:r>
      <w:r>
        <w:rPr/>
        <w:t>law</w:t>
      </w:r>
      <w:r>
        <w:rPr>
          <w:spacing w:val="-4"/>
        </w:rPr>
        <w:t> </w:t>
      </w:r>
      <w:r>
        <w:rPr/>
        <w:t>is</w:t>
      </w:r>
      <w:r>
        <w:rPr>
          <w:spacing w:val="-5"/>
        </w:rPr>
        <w:t> </w:t>
      </w:r>
      <w:r>
        <w:rPr/>
        <w:t>relevant and where there are now further EU legal developments: the EU has now adopted the</w:t>
      </w:r>
      <w:r>
        <w:rPr>
          <w:spacing w:val="-4"/>
        </w:rPr>
        <w:t> </w:t>
      </w:r>
      <w:r>
        <w:rPr>
          <w:b/>
        </w:rPr>
        <w:t>Violence</w:t>
      </w:r>
      <w:r>
        <w:rPr>
          <w:b/>
          <w:spacing w:val="-4"/>
        </w:rPr>
        <w:t> </w:t>
      </w:r>
      <w:r>
        <w:rPr>
          <w:b/>
        </w:rPr>
        <w:t>against</w:t>
      </w:r>
      <w:r>
        <w:rPr>
          <w:b/>
          <w:spacing w:val="-3"/>
        </w:rPr>
        <w:t> </w:t>
      </w:r>
      <w:r>
        <w:rPr>
          <w:b/>
        </w:rPr>
        <w:t>Women</w:t>
      </w:r>
      <w:r>
        <w:rPr>
          <w:b/>
          <w:spacing w:val="-3"/>
        </w:rPr>
        <w:t> </w:t>
      </w:r>
      <w:r>
        <w:rPr>
          <w:b/>
        </w:rPr>
        <w:t>and</w:t>
      </w:r>
      <w:r>
        <w:rPr>
          <w:b/>
          <w:spacing w:val="-3"/>
        </w:rPr>
        <w:t> </w:t>
      </w:r>
      <w:r>
        <w:rPr>
          <w:b/>
        </w:rPr>
        <w:t>Domestic</w:t>
      </w:r>
      <w:r>
        <w:rPr>
          <w:b/>
          <w:spacing w:val="-4"/>
        </w:rPr>
        <w:t> </w:t>
      </w:r>
      <w:r>
        <w:rPr>
          <w:b/>
        </w:rPr>
        <w:t>Violence</w:t>
      </w:r>
      <w:r>
        <w:rPr>
          <w:b/>
          <w:spacing w:val="-4"/>
        </w:rPr>
        <w:t> </w:t>
      </w:r>
      <w:r>
        <w:rPr>
          <w:b/>
        </w:rPr>
        <w:t>Directive</w:t>
      </w:r>
      <w:r>
        <w:rPr>
          <w:b/>
          <w:spacing w:val="-3"/>
        </w:rPr>
        <w:t> </w:t>
      </w:r>
      <w:r>
        <w:rPr/>
        <w:t>in</w:t>
      </w:r>
      <w:r>
        <w:rPr>
          <w:spacing w:val="-4"/>
        </w:rPr>
        <w:t> </w:t>
      </w:r>
      <w:r>
        <w:rPr/>
        <w:t>May</w:t>
      </w:r>
      <w:r>
        <w:rPr>
          <w:spacing w:val="-3"/>
        </w:rPr>
        <w:t> </w:t>
      </w:r>
      <w:r>
        <w:rPr/>
        <w:t>2024;</w:t>
      </w:r>
      <w:r>
        <w:rPr>
          <w:spacing w:val="-3"/>
        </w:rPr>
        <w:t> </w:t>
      </w:r>
      <w:r>
        <w:rPr/>
        <w:t>states have until 14 June 2027 to transpose the Directive into domestic law.</w:t>
      </w:r>
      <w:r>
        <w:rPr>
          <w:vertAlign w:val="superscript"/>
        </w:rPr>
        <w:t>354</w:t>
      </w:r>
    </w:p>
    <w:p>
      <w:pPr>
        <w:pStyle w:val="BodyText"/>
        <w:spacing w:line="232" w:lineRule="auto" w:before="276"/>
        <w:ind w:left="1117" w:right="738"/>
      </w:pPr>
      <w:r>
        <w:rPr/>
        <w:t>In Northern Ireland work is being done on a new Domestic and Sexual Abuse Strategy</w:t>
      </w:r>
      <w:r>
        <w:rPr>
          <w:spacing w:val="-4"/>
        </w:rPr>
        <w:t> </w:t>
      </w:r>
      <w:r>
        <w:rPr/>
        <w:t>being</w:t>
      </w:r>
      <w:r>
        <w:rPr>
          <w:spacing w:val="-4"/>
        </w:rPr>
        <w:t> </w:t>
      </w:r>
      <w:r>
        <w:rPr/>
        <w:t>led</w:t>
      </w:r>
      <w:r>
        <w:rPr>
          <w:spacing w:val="-5"/>
        </w:rPr>
        <w:t> </w:t>
      </w:r>
      <w:r>
        <w:rPr/>
        <w:t>by</w:t>
      </w:r>
      <w:r>
        <w:rPr>
          <w:spacing w:val="-4"/>
        </w:rPr>
        <w:t> </w:t>
      </w:r>
      <w:r>
        <w:rPr/>
        <w:t>the</w:t>
      </w:r>
      <w:r>
        <w:rPr>
          <w:spacing w:val="-4"/>
        </w:rPr>
        <w:t> </w:t>
      </w:r>
      <w:r>
        <w:rPr/>
        <w:t>Department</w:t>
      </w:r>
      <w:r>
        <w:rPr>
          <w:spacing w:val="-4"/>
        </w:rPr>
        <w:t> </w:t>
      </w:r>
      <w:r>
        <w:rPr/>
        <w:t>of</w:t>
      </w:r>
      <w:r>
        <w:rPr>
          <w:spacing w:val="-5"/>
        </w:rPr>
        <w:t> </w:t>
      </w:r>
      <w:r>
        <w:rPr/>
        <w:t>Health</w:t>
      </w:r>
      <w:r>
        <w:rPr>
          <w:spacing w:val="-5"/>
        </w:rPr>
        <w:t> </w:t>
      </w:r>
      <w:r>
        <w:rPr/>
        <w:t>and</w:t>
      </w:r>
      <w:r>
        <w:rPr>
          <w:spacing w:val="-5"/>
        </w:rPr>
        <w:t> </w:t>
      </w:r>
      <w:r>
        <w:rPr/>
        <w:t>Department</w:t>
      </w:r>
      <w:r>
        <w:rPr>
          <w:spacing w:val="-4"/>
        </w:rPr>
        <w:t> </w:t>
      </w:r>
      <w:r>
        <w:rPr/>
        <w:t>of</w:t>
      </w:r>
      <w:r>
        <w:rPr>
          <w:spacing w:val="-5"/>
        </w:rPr>
        <w:t> </w:t>
      </w:r>
      <w:r>
        <w:rPr/>
        <w:t>Justice,</w:t>
      </w:r>
      <w:r>
        <w:rPr>
          <w:spacing w:val="-4"/>
        </w:rPr>
        <w:t> </w:t>
      </w:r>
      <w:r>
        <w:rPr/>
        <w:t>and</w:t>
      </w:r>
      <w:r>
        <w:rPr>
          <w:spacing w:val="-5"/>
        </w:rPr>
        <w:t> </w:t>
      </w:r>
      <w:r>
        <w:rPr/>
        <w:t>the departments have already consulted in a call for views on such a strategy.</w:t>
      </w:r>
      <w:r>
        <w:rPr>
          <w:vertAlign w:val="superscript"/>
        </w:rPr>
        <w:t>355</w:t>
      </w:r>
    </w:p>
    <w:p>
      <w:pPr>
        <w:pStyle w:val="BodyText"/>
        <w:rPr>
          <w:sz w:val="20"/>
        </w:rPr>
      </w:pPr>
    </w:p>
    <w:p>
      <w:pPr>
        <w:pStyle w:val="BodyText"/>
        <w:rPr>
          <w:sz w:val="20"/>
        </w:rPr>
      </w:pPr>
    </w:p>
    <w:p>
      <w:pPr>
        <w:pStyle w:val="BodyText"/>
        <w:spacing w:before="13"/>
        <w:rPr>
          <w:sz w:val="20"/>
        </w:rPr>
      </w:pPr>
      <w:r>
        <w:rPr/>
        <mc:AlternateContent>
          <mc:Choice Requires="wps">
            <w:drawing>
              <wp:anchor distT="0" distB="0" distL="0" distR="0" allowOverlap="1" layoutInCell="1" locked="0" behindDoc="1" simplePos="0" relativeHeight="487693824">
                <wp:simplePos x="0" y="0"/>
                <wp:positionH relativeFrom="page">
                  <wp:posOffset>899999</wp:posOffset>
                </wp:positionH>
                <wp:positionV relativeFrom="paragraph">
                  <wp:posOffset>178947</wp:posOffset>
                </wp:positionV>
                <wp:extent cx="6012180" cy="1270"/>
                <wp:effectExtent l="0" t="0" r="0" b="0"/>
                <wp:wrapTopAndBottom/>
                <wp:docPr id="568" name="Graphic 568"/>
                <wp:cNvGraphicFramePr>
                  <a:graphicFrameLocks/>
                </wp:cNvGraphicFramePr>
                <a:graphic>
                  <a:graphicData uri="http://schemas.microsoft.com/office/word/2010/wordprocessingShape">
                    <wps:wsp>
                      <wps:cNvPr id="568" name="Graphic 56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4.090343pt;width:473.4pt;height:.1pt;mso-position-horizontal-relative:page;mso-position-vertical-relative:paragraph;z-index:-15622656;mso-wrap-distance-left:0;mso-wrap-distance-right:0" id="docshape456" coordorigin="1417,282" coordsize="9468,0" path="m1417,282l10885,282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0" w:hanging="567"/>
        <w:jc w:val="left"/>
        <w:rPr>
          <w:sz w:val="18"/>
        </w:rPr>
      </w:pPr>
      <w:r>
        <w:rPr>
          <w:color w:val="1D71B8"/>
          <w:sz w:val="18"/>
          <w:u w:val="single" w:color="1D71B8"/>
        </w:rPr>
        <w:t>Domestic,</w:t>
      </w:r>
      <w:r>
        <w:rPr>
          <w:color w:val="1D71B8"/>
          <w:spacing w:val="-5"/>
          <w:sz w:val="18"/>
          <w:u w:val="single" w:color="1D71B8"/>
        </w:rPr>
        <w:t> </w:t>
      </w:r>
      <w:r>
        <w:rPr>
          <w:color w:val="1D71B8"/>
          <w:sz w:val="18"/>
          <w:u w:val="single" w:color="1D71B8"/>
        </w:rPr>
        <w:t>Sexual</w:t>
      </w:r>
      <w:r>
        <w:rPr>
          <w:color w:val="1D71B8"/>
          <w:spacing w:val="-5"/>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Gender-Based</w:t>
      </w:r>
      <w:r>
        <w:rPr>
          <w:color w:val="1D71B8"/>
          <w:spacing w:val="-5"/>
          <w:sz w:val="18"/>
          <w:u w:val="single" w:color="1D71B8"/>
        </w:rPr>
        <w:t> </w:t>
      </w:r>
      <w:r>
        <w:rPr>
          <w:color w:val="1D71B8"/>
          <w:sz w:val="18"/>
          <w:u w:val="single" w:color="1D71B8"/>
        </w:rPr>
        <w:t>Violence</w:t>
      </w:r>
      <w:r>
        <w:rPr>
          <w:color w:val="1D71B8"/>
          <w:spacing w:val="-4"/>
          <w:sz w:val="18"/>
          <w:u w:val="single" w:color="1D71B8"/>
        </w:rPr>
        <w:t> </w:t>
      </w:r>
      <w:r>
        <w:rPr>
          <w:color w:val="1D71B8"/>
          <w:sz w:val="18"/>
          <w:u w:val="single" w:color="1D71B8"/>
        </w:rPr>
        <w:t>Agency</w:t>
      </w:r>
      <w:r>
        <w:rPr>
          <w:color w:val="1D71B8"/>
          <w:spacing w:val="-5"/>
          <w:sz w:val="18"/>
          <w:u w:val="single" w:color="1D71B8"/>
        </w:rPr>
        <w:t> </w:t>
      </w:r>
      <w:r>
        <w:rPr>
          <w:color w:val="1D71B8"/>
          <w:sz w:val="18"/>
          <w:u w:val="single" w:color="1D71B8"/>
        </w:rPr>
        <w:t>Act</w:t>
      </w:r>
      <w:r>
        <w:rPr>
          <w:color w:val="1D71B8"/>
          <w:spacing w:val="-4"/>
          <w:sz w:val="18"/>
          <w:u w:val="single" w:color="1D71B8"/>
        </w:rPr>
        <w:t> </w:t>
      </w:r>
      <w:r>
        <w:rPr>
          <w:color w:val="1D71B8"/>
          <w:spacing w:val="-2"/>
          <w:sz w:val="18"/>
          <w:u w:val="single" w:color="1D71B8"/>
        </w:rPr>
        <w:t>2023</w:t>
      </w:r>
      <w:r>
        <w:rPr>
          <w:spacing w:val="-2"/>
          <w:sz w:val="18"/>
          <w:u w:val="none"/>
        </w:rPr>
        <w:t>.</w:t>
      </w:r>
    </w:p>
    <w:p>
      <w:pPr>
        <w:pStyle w:val="ListParagraph"/>
        <w:numPr>
          <w:ilvl w:val="0"/>
          <w:numId w:val="18"/>
        </w:numPr>
        <w:tabs>
          <w:tab w:pos="1684" w:val="left" w:leader="none"/>
        </w:tabs>
        <w:spacing w:line="240" w:lineRule="auto" w:before="1" w:after="0"/>
        <w:ind w:left="1684" w:right="820" w:hanging="567"/>
        <w:jc w:val="left"/>
        <w:rPr>
          <w:sz w:val="18"/>
        </w:rPr>
      </w:pPr>
      <w:r>
        <w:rPr>
          <w:sz w:val="18"/>
        </w:rPr>
        <w:t>Jessica</w:t>
      </w:r>
      <w:r>
        <w:rPr>
          <w:spacing w:val="-5"/>
          <w:sz w:val="18"/>
        </w:rPr>
        <w:t> </w:t>
      </w:r>
      <w:r>
        <w:rPr>
          <w:sz w:val="18"/>
        </w:rPr>
        <w:t>Doyle,</w:t>
      </w:r>
      <w:r>
        <w:rPr>
          <w:spacing w:val="-4"/>
          <w:sz w:val="18"/>
        </w:rPr>
        <w:t> </w:t>
      </w:r>
      <w:r>
        <w:rPr>
          <w:sz w:val="18"/>
        </w:rPr>
        <w:t>Cliona</w:t>
      </w:r>
      <w:r>
        <w:rPr>
          <w:spacing w:val="-5"/>
          <w:sz w:val="18"/>
        </w:rPr>
        <w:t> </w:t>
      </w:r>
      <w:r>
        <w:rPr>
          <w:sz w:val="18"/>
        </w:rPr>
        <w:t>Loughnane</w:t>
      </w:r>
      <w:r>
        <w:rPr>
          <w:spacing w:val="-4"/>
          <w:sz w:val="18"/>
        </w:rPr>
        <w:t> </w:t>
      </w:r>
      <w:r>
        <w:rPr>
          <w:sz w:val="18"/>
        </w:rPr>
        <w:t>and</w:t>
      </w:r>
      <w:r>
        <w:rPr>
          <w:spacing w:val="-5"/>
          <w:sz w:val="18"/>
        </w:rPr>
        <w:t> </w:t>
      </w:r>
      <w:r>
        <w:rPr>
          <w:sz w:val="18"/>
        </w:rPr>
        <w:t>Anne</w:t>
      </w:r>
      <w:r>
        <w:rPr>
          <w:spacing w:val="-4"/>
          <w:sz w:val="18"/>
        </w:rPr>
        <w:t> </w:t>
      </w:r>
      <w:r>
        <w:rPr>
          <w:sz w:val="18"/>
        </w:rPr>
        <w:t>Timoney,</w:t>
      </w:r>
      <w:r>
        <w:rPr>
          <w:spacing w:val="-6"/>
          <w:sz w:val="18"/>
        </w:rPr>
        <w:t> </w:t>
      </w:r>
      <w:r>
        <w:rPr>
          <w:color w:val="1D71B8"/>
          <w:sz w:val="18"/>
          <w:u w:val="single" w:color="1D71B8"/>
        </w:rPr>
        <w:t>Domestic,</w:t>
      </w:r>
      <w:r>
        <w:rPr>
          <w:color w:val="1D71B8"/>
          <w:spacing w:val="-4"/>
          <w:sz w:val="18"/>
          <w:u w:val="single" w:color="1D71B8"/>
        </w:rPr>
        <w:t> </w:t>
      </w:r>
      <w:r>
        <w:rPr>
          <w:color w:val="1D71B8"/>
          <w:sz w:val="18"/>
          <w:u w:val="single" w:color="1D71B8"/>
        </w:rPr>
        <w:t>Sexual</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Gender</w:t>
      </w:r>
      <w:r>
        <w:rPr>
          <w:color w:val="1D71B8"/>
          <w:spacing w:val="-4"/>
          <w:sz w:val="18"/>
          <w:u w:val="single" w:color="1D71B8"/>
        </w:rPr>
        <w:t> </w:t>
      </w:r>
      <w:r>
        <w:rPr>
          <w:color w:val="1D71B8"/>
          <w:sz w:val="18"/>
          <w:u w:val="single" w:color="1D71B8"/>
        </w:rPr>
        <w:t>Based</w:t>
      </w:r>
      <w:r>
        <w:rPr>
          <w:color w:val="1D71B8"/>
          <w:spacing w:val="-5"/>
          <w:sz w:val="18"/>
          <w:u w:val="single" w:color="1D71B8"/>
        </w:rPr>
        <w:t> </w:t>
      </w:r>
      <w:r>
        <w:rPr>
          <w:color w:val="1D71B8"/>
          <w:sz w:val="18"/>
          <w:u w:val="single" w:color="1D71B8"/>
        </w:rPr>
        <w:t>Violence</w:t>
      </w:r>
      <w:r>
        <w:rPr>
          <w:color w:val="1D71B8"/>
          <w:spacing w:val="-4"/>
          <w:sz w:val="18"/>
          <w:u w:val="single" w:color="1D71B8"/>
        </w:rPr>
        <w:t> </w:t>
      </w:r>
      <w:r>
        <w:rPr>
          <w:color w:val="1D71B8"/>
          <w:sz w:val="18"/>
          <w:u w:val="single" w:color="1D71B8"/>
        </w:rPr>
        <w:t>Agency</w:t>
      </w:r>
      <w:r>
        <w:rPr>
          <w:color w:val="1D71B8"/>
          <w:spacing w:val="-4"/>
          <w:sz w:val="18"/>
          <w:u w:val="single" w:color="1D71B8"/>
        </w:rPr>
        <w:t> </w:t>
      </w:r>
      <w:r>
        <w:rPr>
          <w:color w:val="1D71B8"/>
          <w:sz w:val="18"/>
          <w:u w:val="single" w:color="1D71B8"/>
        </w:rPr>
        <w:t>Bill</w:t>
      </w:r>
      <w:r>
        <w:rPr>
          <w:color w:val="1D71B8"/>
          <w:spacing w:val="-5"/>
          <w:sz w:val="18"/>
          <w:u w:val="none"/>
        </w:rPr>
        <w:t> </w:t>
      </w:r>
      <w:r>
        <w:rPr>
          <w:sz w:val="18"/>
          <w:u w:val="none"/>
        </w:rPr>
        <w:t>(Oireachtas Library and Research Service, 2023) 6.</w:t>
      </w:r>
    </w:p>
    <w:p>
      <w:pPr>
        <w:pStyle w:val="ListParagraph"/>
        <w:numPr>
          <w:ilvl w:val="0"/>
          <w:numId w:val="18"/>
        </w:numPr>
        <w:tabs>
          <w:tab w:pos="1684" w:val="left" w:leader="none"/>
        </w:tabs>
        <w:spacing w:line="240" w:lineRule="auto" w:before="0" w:after="0"/>
        <w:ind w:left="1684" w:right="776" w:hanging="567"/>
        <w:jc w:val="left"/>
        <w:rPr>
          <w:sz w:val="18"/>
        </w:rPr>
      </w:pPr>
      <w:r>
        <w:rPr>
          <w:color w:val="1D71B8"/>
          <w:sz w:val="18"/>
          <w:u w:val="single" w:color="1D71B8"/>
        </w:rPr>
        <w:t>Directive</w:t>
      </w:r>
      <w:r>
        <w:rPr>
          <w:color w:val="1D71B8"/>
          <w:spacing w:val="-4"/>
          <w:sz w:val="18"/>
          <w:u w:val="single" w:color="1D71B8"/>
        </w:rPr>
        <w:t> </w:t>
      </w:r>
      <w:r>
        <w:rPr>
          <w:color w:val="1D71B8"/>
          <w:sz w:val="18"/>
          <w:u w:val="single" w:color="1D71B8"/>
        </w:rPr>
        <w:t>2012/29/EU</w:t>
      </w:r>
      <w:r>
        <w:rPr>
          <w:color w:val="1D71B8"/>
          <w:spacing w:val="-6"/>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w:t>
      </w:r>
      <w:r>
        <w:rPr>
          <w:spacing w:val="-4"/>
          <w:sz w:val="18"/>
          <w:u w:val="none"/>
        </w:rPr>
        <w:t> </w:t>
      </w:r>
      <w:r>
        <w:rPr>
          <w:sz w:val="18"/>
          <w:u w:val="none"/>
        </w:rPr>
        <w:t>and</w:t>
      </w:r>
      <w:r>
        <w:rPr>
          <w:spacing w:val="-5"/>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Council</w:t>
      </w:r>
      <w:r>
        <w:rPr>
          <w:spacing w:val="-5"/>
          <w:sz w:val="18"/>
          <w:u w:val="none"/>
        </w:rPr>
        <w:t> </w:t>
      </w:r>
      <w:r>
        <w:rPr>
          <w:sz w:val="18"/>
          <w:u w:val="none"/>
        </w:rPr>
        <w:t>of</w:t>
      </w:r>
      <w:r>
        <w:rPr>
          <w:spacing w:val="-5"/>
          <w:sz w:val="18"/>
          <w:u w:val="none"/>
        </w:rPr>
        <w:t> </w:t>
      </w:r>
      <w:r>
        <w:rPr>
          <w:sz w:val="18"/>
          <w:u w:val="none"/>
        </w:rPr>
        <w:t>25</w:t>
      </w:r>
      <w:r>
        <w:rPr>
          <w:spacing w:val="-4"/>
          <w:sz w:val="18"/>
          <w:u w:val="none"/>
        </w:rPr>
        <w:t> </w:t>
      </w:r>
      <w:r>
        <w:rPr>
          <w:sz w:val="18"/>
          <w:u w:val="none"/>
        </w:rPr>
        <w:t>October</w:t>
      </w:r>
      <w:r>
        <w:rPr>
          <w:spacing w:val="-4"/>
          <w:sz w:val="18"/>
          <w:u w:val="none"/>
        </w:rPr>
        <w:t> </w:t>
      </w:r>
      <w:r>
        <w:rPr>
          <w:sz w:val="18"/>
          <w:u w:val="none"/>
        </w:rPr>
        <w:t>2012</w:t>
      </w:r>
      <w:r>
        <w:rPr>
          <w:spacing w:val="-4"/>
          <w:sz w:val="18"/>
          <w:u w:val="none"/>
        </w:rPr>
        <w:t> </w:t>
      </w:r>
      <w:r>
        <w:rPr>
          <w:sz w:val="18"/>
          <w:u w:val="none"/>
        </w:rPr>
        <w:t>establishing</w:t>
      </w:r>
      <w:r>
        <w:rPr>
          <w:spacing w:val="-4"/>
          <w:sz w:val="18"/>
          <w:u w:val="none"/>
        </w:rPr>
        <w:t> </w:t>
      </w:r>
      <w:r>
        <w:rPr>
          <w:sz w:val="18"/>
          <w:u w:val="none"/>
        </w:rPr>
        <w:t>minimum</w:t>
      </w:r>
      <w:r>
        <w:rPr>
          <w:spacing w:val="-4"/>
          <w:sz w:val="18"/>
          <w:u w:val="none"/>
        </w:rPr>
        <w:t> </w:t>
      </w:r>
      <w:r>
        <w:rPr>
          <w:sz w:val="18"/>
          <w:u w:val="none"/>
        </w:rPr>
        <w:t>standards on</w:t>
      </w:r>
      <w:r>
        <w:rPr>
          <w:spacing w:val="-1"/>
          <w:sz w:val="18"/>
          <w:u w:val="none"/>
        </w:rPr>
        <w:t> </w:t>
      </w:r>
      <w:r>
        <w:rPr>
          <w:sz w:val="18"/>
          <w:u w:val="none"/>
        </w:rPr>
        <w:t>the rights, support and</w:t>
      </w:r>
      <w:r>
        <w:rPr>
          <w:spacing w:val="-1"/>
          <w:sz w:val="18"/>
          <w:u w:val="none"/>
        </w:rPr>
        <w:t> </w:t>
      </w:r>
      <w:r>
        <w:rPr>
          <w:sz w:val="18"/>
          <w:u w:val="none"/>
        </w:rPr>
        <w:t>protection</w:t>
      </w:r>
      <w:r>
        <w:rPr>
          <w:spacing w:val="-1"/>
          <w:sz w:val="18"/>
          <w:u w:val="none"/>
        </w:rPr>
        <w:t> </w:t>
      </w:r>
      <w:r>
        <w:rPr>
          <w:sz w:val="18"/>
          <w:u w:val="none"/>
        </w:rPr>
        <w:t>of</w:t>
      </w:r>
      <w:r>
        <w:rPr>
          <w:spacing w:val="-1"/>
          <w:sz w:val="18"/>
          <w:u w:val="none"/>
        </w:rPr>
        <w:t> </w:t>
      </w:r>
      <w:r>
        <w:rPr>
          <w:sz w:val="18"/>
          <w:u w:val="none"/>
        </w:rPr>
        <w:t>victims</w:t>
      </w:r>
      <w:r>
        <w:rPr>
          <w:spacing w:val="-1"/>
          <w:sz w:val="18"/>
          <w:u w:val="none"/>
        </w:rPr>
        <w:t> </w:t>
      </w:r>
      <w:r>
        <w:rPr>
          <w:sz w:val="18"/>
          <w:u w:val="none"/>
        </w:rPr>
        <w:t>of</w:t>
      </w:r>
      <w:r>
        <w:rPr>
          <w:spacing w:val="-1"/>
          <w:sz w:val="18"/>
          <w:u w:val="none"/>
        </w:rPr>
        <w:t> </w:t>
      </w:r>
      <w:r>
        <w:rPr>
          <w:sz w:val="18"/>
          <w:u w:val="none"/>
        </w:rPr>
        <w:t>crime, and</w:t>
      </w:r>
      <w:r>
        <w:rPr>
          <w:spacing w:val="-1"/>
          <w:sz w:val="18"/>
          <w:u w:val="none"/>
        </w:rPr>
        <w:t> </w:t>
      </w:r>
      <w:r>
        <w:rPr>
          <w:sz w:val="18"/>
          <w:u w:val="none"/>
        </w:rPr>
        <w:t>replacing Council</w:t>
      </w:r>
      <w:r>
        <w:rPr>
          <w:spacing w:val="-1"/>
          <w:sz w:val="18"/>
          <w:u w:val="none"/>
        </w:rPr>
        <w:t> </w:t>
      </w:r>
      <w:r>
        <w:rPr>
          <w:sz w:val="18"/>
          <w:u w:val="none"/>
        </w:rPr>
        <w:t>Framework Decision</w:t>
      </w:r>
      <w:r>
        <w:rPr>
          <w:spacing w:val="-1"/>
          <w:sz w:val="18"/>
          <w:u w:val="none"/>
        </w:rPr>
        <w:t> </w:t>
      </w:r>
      <w:r>
        <w:rPr>
          <w:sz w:val="18"/>
          <w:u w:val="none"/>
        </w:rPr>
        <w:t>2001/220/JHA 2012.</w:t>
      </w:r>
    </w:p>
    <w:p>
      <w:pPr>
        <w:pStyle w:val="ListParagraph"/>
        <w:numPr>
          <w:ilvl w:val="0"/>
          <w:numId w:val="18"/>
        </w:numPr>
        <w:tabs>
          <w:tab w:pos="1684" w:val="left" w:leader="none"/>
        </w:tabs>
        <w:spacing w:line="240" w:lineRule="auto" w:before="1" w:after="0"/>
        <w:ind w:left="1684" w:right="869" w:hanging="567"/>
        <w:jc w:val="left"/>
        <w:rPr>
          <w:sz w:val="18"/>
        </w:rPr>
      </w:pPr>
      <w:r>
        <w:rPr>
          <w:color w:val="1D71B8"/>
          <w:sz w:val="18"/>
          <w:u w:val="single" w:color="1D71B8"/>
        </w:rPr>
        <w:t>Directive</w:t>
      </w:r>
      <w:r>
        <w:rPr>
          <w:color w:val="1D71B8"/>
          <w:spacing w:val="-4"/>
          <w:sz w:val="18"/>
          <w:u w:val="single" w:color="1D71B8"/>
        </w:rPr>
        <w:t> </w:t>
      </w:r>
      <w:r>
        <w:rPr>
          <w:color w:val="1D71B8"/>
          <w:sz w:val="18"/>
          <w:u w:val="single" w:color="1D71B8"/>
        </w:rPr>
        <w:t>2011/36/EU</w:t>
      </w:r>
      <w:r>
        <w:rPr>
          <w:color w:val="1D71B8"/>
          <w:spacing w:val="-6"/>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w:t>
      </w:r>
      <w:r>
        <w:rPr>
          <w:spacing w:val="-4"/>
          <w:sz w:val="18"/>
          <w:u w:val="none"/>
        </w:rPr>
        <w:t> </w:t>
      </w:r>
      <w:r>
        <w:rPr>
          <w:sz w:val="18"/>
          <w:u w:val="none"/>
        </w:rPr>
        <w:t>and</w:t>
      </w:r>
      <w:r>
        <w:rPr>
          <w:spacing w:val="-5"/>
          <w:sz w:val="18"/>
          <w:u w:val="none"/>
        </w:rPr>
        <w:t> </w:t>
      </w:r>
      <w:r>
        <w:rPr>
          <w:sz w:val="18"/>
          <w:u w:val="none"/>
        </w:rPr>
        <w:t>Council</w:t>
      </w:r>
      <w:r>
        <w:rPr>
          <w:spacing w:val="-4"/>
          <w:sz w:val="18"/>
          <w:u w:val="none"/>
        </w:rPr>
        <w:t> </w:t>
      </w:r>
      <w:r>
        <w:rPr>
          <w:sz w:val="18"/>
          <w:u w:val="none"/>
        </w:rPr>
        <w:t>of</w:t>
      </w:r>
      <w:r>
        <w:rPr>
          <w:spacing w:val="-5"/>
          <w:sz w:val="18"/>
          <w:u w:val="none"/>
        </w:rPr>
        <w:t> </w:t>
      </w:r>
      <w:r>
        <w:rPr>
          <w:sz w:val="18"/>
          <w:u w:val="none"/>
        </w:rPr>
        <w:t>5</w:t>
      </w:r>
      <w:r>
        <w:rPr>
          <w:spacing w:val="-4"/>
          <w:sz w:val="18"/>
          <w:u w:val="none"/>
        </w:rPr>
        <w:t> </w:t>
      </w:r>
      <w:r>
        <w:rPr>
          <w:sz w:val="18"/>
          <w:u w:val="none"/>
        </w:rPr>
        <w:t>April</w:t>
      </w:r>
      <w:r>
        <w:rPr>
          <w:spacing w:val="-5"/>
          <w:sz w:val="18"/>
          <w:u w:val="none"/>
        </w:rPr>
        <w:t> </w:t>
      </w:r>
      <w:r>
        <w:rPr>
          <w:sz w:val="18"/>
          <w:u w:val="none"/>
        </w:rPr>
        <w:t>2011</w:t>
      </w:r>
      <w:r>
        <w:rPr>
          <w:spacing w:val="-4"/>
          <w:sz w:val="18"/>
          <w:u w:val="none"/>
        </w:rPr>
        <w:t> </w:t>
      </w:r>
      <w:r>
        <w:rPr>
          <w:sz w:val="18"/>
          <w:u w:val="none"/>
        </w:rPr>
        <w:t>on</w:t>
      </w:r>
      <w:r>
        <w:rPr>
          <w:spacing w:val="-5"/>
          <w:sz w:val="18"/>
          <w:u w:val="none"/>
        </w:rPr>
        <w:t> </w:t>
      </w:r>
      <w:r>
        <w:rPr>
          <w:sz w:val="18"/>
          <w:u w:val="none"/>
        </w:rPr>
        <w:t>preventing</w:t>
      </w:r>
      <w:r>
        <w:rPr>
          <w:spacing w:val="-4"/>
          <w:sz w:val="18"/>
          <w:u w:val="none"/>
        </w:rPr>
        <w:t> </w:t>
      </w:r>
      <w:r>
        <w:rPr>
          <w:sz w:val="18"/>
          <w:u w:val="none"/>
        </w:rPr>
        <w:t>and</w:t>
      </w:r>
      <w:r>
        <w:rPr>
          <w:spacing w:val="-5"/>
          <w:sz w:val="18"/>
          <w:u w:val="none"/>
        </w:rPr>
        <w:t> </w:t>
      </w:r>
      <w:r>
        <w:rPr>
          <w:sz w:val="18"/>
          <w:u w:val="none"/>
        </w:rPr>
        <w:t>combating</w:t>
      </w:r>
      <w:r>
        <w:rPr>
          <w:spacing w:val="-4"/>
          <w:sz w:val="18"/>
          <w:u w:val="none"/>
        </w:rPr>
        <w:t> </w:t>
      </w:r>
      <w:r>
        <w:rPr>
          <w:sz w:val="18"/>
          <w:u w:val="none"/>
        </w:rPr>
        <w:t>trafficking</w:t>
      </w:r>
      <w:r>
        <w:rPr>
          <w:spacing w:val="-4"/>
          <w:sz w:val="18"/>
          <w:u w:val="none"/>
        </w:rPr>
        <w:t> </w:t>
      </w:r>
      <w:r>
        <w:rPr>
          <w:sz w:val="18"/>
          <w:u w:val="none"/>
        </w:rPr>
        <w:t>in human beings and protecting its victims, and replacing Council Framework Decision 2002/629/JHA 2011.</w:t>
      </w:r>
    </w:p>
    <w:p>
      <w:pPr>
        <w:pStyle w:val="ListParagraph"/>
        <w:numPr>
          <w:ilvl w:val="0"/>
          <w:numId w:val="18"/>
        </w:numPr>
        <w:tabs>
          <w:tab w:pos="1684" w:val="left" w:leader="none"/>
        </w:tabs>
        <w:spacing w:line="240" w:lineRule="auto" w:before="0" w:after="0"/>
        <w:ind w:left="1684" w:right="755" w:hanging="567"/>
        <w:jc w:val="left"/>
        <w:rPr>
          <w:sz w:val="18"/>
        </w:rPr>
      </w:pPr>
      <w:r>
        <w:rPr>
          <w:color w:val="1D71B8"/>
          <w:sz w:val="18"/>
          <w:u w:val="single" w:color="1D71B8"/>
        </w:rPr>
        <w:t>Proposal</w:t>
      </w:r>
      <w:r>
        <w:rPr>
          <w:color w:val="1D71B8"/>
          <w:spacing w:val="-4"/>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a</w:t>
      </w:r>
      <w:r>
        <w:rPr>
          <w:color w:val="1D71B8"/>
          <w:spacing w:val="-5"/>
          <w:sz w:val="18"/>
          <w:u w:val="single" w:color="1D71B8"/>
        </w:rPr>
        <w:t> </w:t>
      </w:r>
      <w:r>
        <w:rPr>
          <w:color w:val="1D71B8"/>
          <w:sz w:val="18"/>
          <w:u w:val="single" w:color="1D71B8"/>
        </w:rPr>
        <w:t>Directive</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European</w:t>
      </w:r>
      <w:r>
        <w:rPr>
          <w:color w:val="1D71B8"/>
          <w:spacing w:val="-5"/>
          <w:sz w:val="18"/>
          <w:u w:val="single" w:color="1D71B8"/>
        </w:rPr>
        <w:t> </w:t>
      </w:r>
      <w:r>
        <w:rPr>
          <w:color w:val="1D71B8"/>
          <w:sz w:val="18"/>
          <w:u w:val="single" w:color="1D71B8"/>
        </w:rPr>
        <w:t>Parliament</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Council</w:t>
      </w:r>
      <w:r>
        <w:rPr>
          <w:color w:val="1D71B8"/>
          <w:spacing w:val="-4"/>
          <w:sz w:val="18"/>
          <w:u w:val="single" w:color="1D71B8"/>
        </w:rPr>
        <w:t> </w:t>
      </w:r>
      <w:r>
        <w:rPr>
          <w:color w:val="1D71B8"/>
          <w:sz w:val="18"/>
          <w:u w:val="single" w:color="1D71B8"/>
        </w:rPr>
        <w:t>amending</w:t>
      </w:r>
      <w:r>
        <w:rPr>
          <w:color w:val="1D71B8"/>
          <w:spacing w:val="-4"/>
          <w:sz w:val="18"/>
          <w:u w:val="single" w:color="1D71B8"/>
        </w:rPr>
        <w:t> </w:t>
      </w:r>
      <w:r>
        <w:rPr>
          <w:color w:val="1D71B8"/>
          <w:sz w:val="18"/>
          <w:u w:val="single" w:color="1D71B8"/>
        </w:rPr>
        <w:t>Directive</w:t>
      </w:r>
      <w:r>
        <w:rPr>
          <w:color w:val="1D71B8"/>
          <w:spacing w:val="-4"/>
          <w:sz w:val="18"/>
          <w:u w:val="single" w:color="1D71B8"/>
        </w:rPr>
        <w:t> </w:t>
      </w:r>
      <w:r>
        <w:rPr>
          <w:color w:val="1D71B8"/>
          <w:sz w:val="18"/>
          <w:u w:val="single" w:color="1D71B8"/>
        </w:rPr>
        <w:t>2011/36/EU</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Preventing</w:t>
      </w:r>
      <w:r>
        <w:rPr>
          <w:color w:val="1D71B8"/>
          <w:spacing w:val="-4"/>
          <w:sz w:val="18"/>
          <w:u w:val="single" w:color="1D71B8"/>
        </w:rPr>
        <w:t> </w:t>
      </w:r>
      <w:r>
        <w:rPr>
          <w:color w:val="1D71B8"/>
          <w:sz w:val="18"/>
          <w:u w:val="single" w:color="1D71B8"/>
        </w:rPr>
        <w:t>and</w:t>
      </w:r>
      <w:r>
        <w:rPr>
          <w:color w:val="1D71B8"/>
          <w:sz w:val="18"/>
          <w:u w:val="none"/>
        </w:rPr>
        <w:t> </w:t>
      </w:r>
      <w:r>
        <w:rPr>
          <w:color w:val="1D71B8"/>
          <w:sz w:val="18"/>
          <w:u w:val="single" w:color="1D71B8"/>
        </w:rPr>
        <w:t>Combating Trafficking in Human Beings and Protecting its Victims 2022</w:t>
      </w:r>
      <w:r>
        <w:rPr>
          <w:sz w:val="18"/>
          <w:u w:val="none"/>
        </w:rPr>
        <w:t>.</w:t>
      </w:r>
    </w:p>
    <w:p>
      <w:pPr>
        <w:pStyle w:val="ListParagraph"/>
        <w:numPr>
          <w:ilvl w:val="0"/>
          <w:numId w:val="18"/>
        </w:numPr>
        <w:tabs>
          <w:tab w:pos="1684" w:val="left" w:leader="none"/>
        </w:tabs>
        <w:spacing w:line="240" w:lineRule="auto" w:before="1" w:after="0"/>
        <w:ind w:left="1684" w:right="842" w:hanging="567"/>
        <w:jc w:val="left"/>
        <w:rPr>
          <w:sz w:val="18"/>
        </w:rPr>
      </w:pPr>
      <w:r>
        <w:rPr>
          <w:sz w:val="18"/>
        </w:rPr>
        <w:t>European Commission, </w:t>
      </w:r>
      <w:hyperlink r:id="rId87">
        <w:r>
          <w:rPr>
            <w:color w:val="1D71B8"/>
            <w:sz w:val="18"/>
            <w:u w:val="single" w:color="1D71B8"/>
          </w:rPr>
          <w:t>Commission Proposal for a Directive on Combating Violence against Women and Domestic</w:t>
        </w:r>
      </w:hyperlink>
      <w:r>
        <w:rPr>
          <w:color w:val="1D71B8"/>
          <w:sz w:val="18"/>
          <w:u w:val="none"/>
        </w:rPr>
        <w:t> </w:t>
      </w:r>
      <w:hyperlink r:id="rId87">
        <w:r>
          <w:rPr>
            <w:color w:val="1D71B8"/>
            <w:sz w:val="18"/>
            <w:u w:val="single" w:color="1D71B8"/>
          </w:rPr>
          <w:t>Violence</w:t>
        </w:r>
      </w:hyperlink>
      <w:r>
        <w:rPr>
          <w:color w:val="1D71B8"/>
          <w:sz w:val="18"/>
          <w:u w:val="none"/>
        </w:rPr>
        <w:t> </w:t>
      </w:r>
      <w:r>
        <w:rPr>
          <w:sz w:val="18"/>
          <w:u w:val="none"/>
        </w:rPr>
        <w:t>(European Commission, Brussels 2022). The ECNI has responded to this consultation: Equality Commission for Northern</w:t>
      </w:r>
      <w:r>
        <w:rPr>
          <w:spacing w:val="-7"/>
          <w:sz w:val="18"/>
          <w:u w:val="none"/>
        </w:rPr>
        <w:t> </w:t>
      </w:r>
      <w:r>
        <w:rPr>
          <w:sz w:val="18"/>
          <w:u w:val="none"/>
        </w:rPr>
        <w:t>Ireland,</w:t>
      </w:r>
      <w:r>
        <w:rPr>
          <w:spacing w:val="-6"/>
          <w:sz w:val="18"/>
          <w:u w:val="none"/>
        </w:rPr>
        <w:t> </w:t>
      </w:r>
      <w:hyperlink r:id="rId88">
        <w:r>
          <w:rPr>
            <w:color w:val="1D71B8"/>
            <w:sz w:val="18"/>
            <w:u w:val="single" w:color="1D71B8"/>
          </w:rPr>
          <w:t>Response</w:t>
        </w:r>
        <w:r>
          <w:rPr>
            <w:color w:val="1D71B8"/>
            <w:spacing w:val="-6"/>
            <w:sz w:val="18"/>
            <w:u w:val="single" w:color="1D71B8"/>
          </w:rPr>
          <w:t> </w:t>
        </w:r>
        <w:r>
          <w:rPr>
            <w:color w:val="1D71B8"/>
            <w:sz w:val="18"/>
            <w:u w:val="single" w:color="1D71B8"/>
          </w:rPr>
          <w:t>to</w:t>
        </w:r>
        <w:r>
          <w:rPr>
            <w:color w:val="1D71B8"/>
            <w:spacing w:val="-7"/>
            <w:sz w:val="18"/>
            <w:u w:val="single" w:color="1D71B8"/>
          </w:rPr>
          <w:t> </w:t>
        </w:r>
        <w:r>
          <w:rPr>
            <w:color w:val="1D71B8"/>
            <w:sz w:val="18"/>
            <w:u w:val="single" w:color="1D71B8"/>
          </w:rPr>
          <w:t>consultation:</w:t>
        </w:r>
        <w:r>
          <w:rPr>
            <w:color w:val="1D71B8"/>
            <w:spacing w:val="-6"/>
            <w:sz w:val="18"/>
            <w:u w:val="single" w:color="1D71B8"/>
          </w:rPr>
          <w:t> </w:t>
        </w:r>
        <w:r>
          <w:rPr>
            <w:color w:val="1D71B8"/>
            <w:sz w:val="18"/>
            <w:u w:val="single" w:color="1D71B8"/>
          </w:rPr>
          <w:t>European</w:t>
        </w:r>
        <w:r>
          <w:rPr>
            <w:color w:val="1D71B8"/>
            <w:spacing w:val="-7"/>
            <w:sz w:val="18"/>
            <w:u w:val="single" w:color="1D71B8"/>
          </w:rPr>
          <w:t> </w:t>
        </w:r>
        <w:r>
          <w:rPr>
            <w:color w:val="1D71B8"/>
            <w:sz w:val="18"/>
            <w:u w:val="single" w:color="1D71B8"/>
          </w:rPr>
          <w:t>Commission</w:t>
        </w:r>
        <w:r>
          <w:rPr>
            <w:color w:val="1D71B8"/>
            <w:spacing w:val="-7"/>
            <w:sz w:val="18"/>
            <w:u w:val="single" w:color="1D71B8"/>
          </w:rPr>
          <w:t> </w:t>
        </w:r>
        <w:r>
          <w:rPr>
            <w:color w:val="1D71B8"/>
            <w:sz w:val="18"/>
            <w:u w:val="single" w:color="1D71B8"/>
          </w:rPr>
          <w:t>–</w:t>
        </w:r>
        <w:r>
          <w:rPr>
            <w:color w:val="1D71B8"/>
            <w:spacing w:val="-7"/>
            <w:sz w:val="18"/>
            <w:u w:val="single" w:color="1D71B8"/>
          </w:rPr>
          <w:t> </w:t>
        </w:r>
        <w:r>
          <w:rPr>
            <w:color w:val="1D71B8"/>
            <w:sz w:val="18"/>
            <w:u w:val="single" w:color="1D71B8"/>
          </w:rPr>
          <w:t>Combatting</w:t>
        </w:r>
        <w:r>
          <w:rPr>
            <w:color w:val="1D71B8"/>
            <w:spacing w:val="-6"/>
            <w:sz w:val="18"/>
            <w:u w:val="single" w:color="1D71B8"/>
          </w:rPr>
          <w:t> </w:t>
        </w:r>
        <w:r>
          <w:rPr>
            <w:color w:val="1D71B8"/>
            <w:sz w:val="18"/>
            <w:u w:val="single" w:color="1D71B8"/>
          </w:rPr>
          <w:t>Violence</w:t>
        </w:r>
        <w:r>
          <w:rPr>
            <w:color w:val="1D71B8"/>
            <w:spacing w:val="-6"/>
            <w:sz w:val="18"/>
            <w:u w:val="single" w:color="1D71B8"/>
          </w:rPr>
          <w:t> </w:t>
        </w:r>
        <w:r>
          <w:rPr>
            <w:color w:val="1D71B8"/>
            <w:sz w:val="18"/>
            <w:u w:val="single" w:color="1D71B8"/>
          </w:rPr>
          <w:t>Against</w:t>
        </w:r>
        <w:r>
          <w:rPr>
            <w:color w:val="1D71B8"/>
            <w:spacing w:val="-6"/>
            <w:sz w:val="18"/>
            <w:u w:val="single" w:color="1D71B8"/>
          </w:rPr>
          <w:t> </w:t>
        </w:r>
        <w:r>
          <w:rPr>
            <w:color w:val="1D71B8"/>
            <w:sz w:val="18"/>
            <w:u w:val="single" w:color="1D71B8"/>
          </w:rPr>
          <w:t>Women</w:t>
        </w:r>
        <w:r>
          <w:rPr>
            <w:color w:val="1D71B8"/>
            <w:spacing w:val="-7"/>
            <w:sz w:val="18"/>
            <w:u w:val="single" w:color="1D71B8"/>
          </w:rPr>
          <w:t> </w:t>
        </w:r>
        <w:r>
          <w:rPr>
            <w:color w:val="1D71B8"/>
            <w:sz w:val="18"/>
            <w:u w:val="single" w:color="1D71B8"/>
          </w:rPr>
          <w:t>and</w:t>
        </w:r>
        <w:r>
          <w:rPr>
            <w:color w:val="1D71B8"/>
            <w:spacing w:val="-7"/>
            <w:sz w:val="18"/>
            <w:u w:val="single" w:color="1D71B8"/>
          </w:rPr>
          <w:t> </w:t>
        </w:r>
        <w:r>
          <w:rPr>
            <w:color w:val="1D71B8"/>
            <w:sz w:val="18"/>
            <w:u w:val="single" w:color="1D71B8"/>
          </w:rPr>
          <w:t>Domestic</w:t>
        </w:r>
      </w:hyperlink>
      <w:r>
        <w:rPr>
          <w:color w:val="1D71B8"/>
          <w:sz w:val="18"/>
          <w:u w:val="none"/>
        </w:rPr>
        <w:t> </w:t>
      </w:r>
      <w:hyperlink r:id="rId88">
        <w:r>
          <w:rPr>
            <w:color w:val="1D71B8"/>
            <w:sz w:val="18"/>
            <w:u w:val="single" w:color="1D71B8"/>
          </w:rPr>
          <w:t>Violence Directive</w:t>
        </w:r>
      </w:hyperlink>
      <w:r>
        <w:rPr>
          <w:color w:val="1D71B8"/>
          <w:sz w:val="18"/>
          <w:u w:val="none"/>
        </w:rPr>
        <w:t> </w:t>
      </w:r>
      <w:r>
        <w:rPr>
          <w:sz w:val="18"/>
          <w:u w:val="none"/>
        </w:rPr>
        <w:t>(May 2022)</w:t>
      </w:r>
    </w:p>
    <w:p>
      <w:pPr>
        <w:pStyle w:val="ListParagraph"/>
        <w:numPr>
          <w:ilvl w:val="0"/>
          <w:numId w:val="18"/>
        </w:numPr>
        <w:tabs>
          <w:tab w:pos="1684" w:val="left" w:leader="none"/>
        </w:tabs>
        <w:spacing w:line="240" w:lineRule="auto" w:before="1" w:after="0"/>
        <w:ind w:left="1684" w:right="1024" w:hanging="567"/>
        <w:jc w:val="left"/>
        <w:rPr>
          <w:sz w:val="18"/>
        </w:rPr>
      </w:pPr>
      <w:r>
        <w:rPr>
          <w:sz w:val="18"/>
        </w:rPr>
        <w:t>Irish</w:t>
      </w:r>
      <w:r>
        <w:rPr>
          <w:spacing w:val="-4"/>
          <w:sz w:val="18"/>
        </w:rPr>
        <w:t> </w:t>
      </w:r>
      <w:r>
        <w:rPr>
          <w:sz w:val="18"/>
        </w:rPr>
        <w:t>Human</w:t>
      </w:r>
      <w:r>
        <w:rPr>
          <w:spacing w:val="-4"/>
          <w:sz w:val="18"/>
        </w:rPr>
        <w:t> </w:t>
      </w:r>
      <w:r>
        <w:rPr>
          <w:sz w:val="18"/>
        </w:rPr>
        <w:t>Rights</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hyperlink r:id="rId89">
        <w:r>
          <w:rPr>
            <w:color w:val="1D71B8"/>
            <w:sz w:val="18"/>
            <w:u w:val="single" w:color="1D71B8"/>
          </w:rPr>
          <w:t>Submission</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General</w:t>
        </w:r>
        <w:r>
          <w:rPr>
            <w:color w:val="1D71B8"/>
            <w:spacing w:val="-4"/>
            <w:sz w:val="18"/>
            <w:u w:val="single" w:color="1D71B8"/>
          </w:rPr>
          <w:t> </w:t>
        </w:r>
        <w:r>
          <w:rPr>
            <w:color w:val="1D71B8"/>
            <w:sz w:val="18"/>
            <w:u w:val="single" w:color="1D71B8"/>
          </w:rPr>
          <w:t>Scheme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Domestic,</w:t>
        </w:r>
        <w:r>
          <w:rPr>
            <w:color w:val="1D71B8"/>
            <w:spacing w:val="-3"/>
            <w:sz w:val="18"/>
            <w:u w:val="single" w:color="1D71B8"/>
          </w:rPr>
          <w:t> </w:t>
        </w:r>
        <w:r>
          <w:rPr>
            <w:color w:val="1D71B8"/>
            <w:sz w:val="18"/>
            <w:u w:val="single" w:color="1D71B8"/>
          </w:rPr>
          <w:t>Sexual</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Gender-</w:t>
        </w:r>
      </w:hyperlink>
      <w:r>
        <w:rPr>
          <w:color w:val="1D71B8"/>
          <w:sz w:val="18"/>
          <w:u w:val="none"/>
        </w:rPr>
        <w:t> </w:t>
      </w:r>
      <w:hyperlink r:id="rId89">
        <w:r>
          <w:rPr>
            <w:color w:val="1D71B8"/>
            <w:sz w:val="18"/>
            <w:u w:val="single" w:color="1D71B8"/>
          </w:rPr>
          <w:t>Based Violence Agency Bill</w:t>
        </w:r>
      </w:hyperlink>
      <w:r>
        <w:rPr>
          <w:color w:val="1D71B8"/>
          <w:sz w:val="18"/>
          <w:u w:val="none"/>
        </w:rPr>
        <w:t> </w:t>
      </w:r>
      <w:r>
        <w:rPr>
          <w:sz w:val="18"/>
          <w:u w:val="none"/>
        </w:rPr>
        <w:t>(12 July 2023) 10.</w:t>
      </w:r>
    </w:p>
    <w:p>
      <w:pPr>
        <w:pStyle w:val="ListParagraph"/>
        <w:numPr>
          <w:ilvl w:val="0"/>
          <w:numId w:val="18"/>
        </w:numPr>
        <w:tabs>
          <w:tab w:pos="1684" w:val="left" w:leader="none"/>
        </w:tabs>
        <w:spacing w:line="240" w:lineRule="auto" w:before="0" w:after="0"/>
        <w:ind w:left="1684" w:right="944" w:hanging="567"/>
        <w:jc w:val="left"/>
        <w:rPr>
          <w:sz w:val="18"/>
        </w:rPr>
      </w:pPr>
      <w:hyperlink r:id="rId90">
        <w:r>
          <w:rPr>
            <w:color w:val="1D71B8"/>
            <w:sz w:val="18"/>
            <w:u w:val="single" w:color="1D71B8"/>
          </w:rPr>
          <w:t>Directive</w:t>
        </w:r>
        <w:r>
          <w:rPr>
            <w:color w:val="1D71B8"/>
            <w:spacing w:val="-3"/>
            <w:sz w:val="18"/>
            <w:u w:val="single" w:color="1D71B8"/>
          </w:rPr>
          <w:t> </w:t>
        </w:r>
        <w:r>
          <w:rPr>
            <w:color w:val="1D71B8"/>
            <w:sz w:val="18"/>
            <w:u w:val="single" w:color="1D71B8"/>
          </w:rPr>
          <w:t>(EU)</w:t>
        </w:r>
        <w:r>
          <w:rPr>
            <w:color w:val="1D71B8"/>
            <w:spacing w:val="-4"/>
            <w:sz w:val="18"/>
            <w:u w:val="single" w:color="1D71B8"/>
          </w:rPr>
          <w:t> </w:t>
        </w:r>
        <w:r>
          <w:rPr>
            <w:color w:val="1D71B8"/>
            <w:sz w:val="18"/>
            <w:u w:val="single" w:color="1D71B8"/>
          </w:rPr>
          <w:t>2024/1385</w:t>
        </w:r>
      </w:hyperlink>
      <w:r>
        <w:rPr>
          <w:color w:val="1D71B8"/>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14</w:t>
      </w:r>
      <w:r>
        <w:rPr>
          <w:spacing w:val="-3"/>
          <w:sz w:val="18"/>
          <w:u w:val="none"/>
        </w:rPr>
        <w:t> </w:t>
      </w:r>
      <w:r>
        <w:rPr>
          <w:sz w:val="18"/>
          <w:u w:val="none"/>
        </w:rPr>
        <w:t>May</w:t>
      </w:r>
      <w:r>
        <w:rPr>
          <w:spacing w:val="-3"/>
          <w:sz w:val="18"/>
          <w:u w:val="none"/>
        </w:rPr>
        <w:t> </w:t>
      </w:r>
      <w:r>
        <w:rPr>
          <w:sz w:val="18"/>
          <w:u w:val="none"/>
        </w:rPr>
        <w:t>2024</w:t>
      </w:r>
      <w:r>
        <w:rPr>
          <w:spacing w:val="-3"/>
          <w:sz w:val="18"/>
          <w:u w:val="none"/>
        </w:rPr>
        <w:t> </w:t>
      </w:r>
      <w:r>
        <w:rPr>
          <w:sz w:val="18"/>
          <w:u w:val="none"/>
        </w:rPr>
        <w:t>on</w:t>
      </w:r>
      <w:r>
        <w:rPr>
          <w:spacing w:val="-4"/>
          <w:sz w:val="18"/>
          <w:u w:val="none"/>
        </w:rPr>
        <w:t> </w:t>
      </w:r>
      <w:r>
        <w:rPr>
          <w:sz w:val="18"/>
          <w:u w:val="none"/>
        </w:rPr>
        <w:t>combating</w:t>
      </w:r>
      <w:r>
        <w:rPr>
          <w:spacing w:val="-3"/>
          <w:sz w:val="18"/>
          <w:u w:val="none"/>
        </w:rPr>
        <w:t> </w:t>
      </w:r>
      <w:r>
        <w:rPr>
          <w:sz w:val="18"/>
          <w:u w:val="none"/>
        </w:rPr>
        <w:t>violence</w:t>
      </w:r>
      <w:r>
        <w:rPr>
          <w:spacing w:val="-3"/>
          <w:sz w:val="18"/>
          <w:u w:val="none"/>
        </w:rPr>
        <w:t> </w:t>
      </w:r>
      <w:r>
        <w:rPr>
          <w:sz w:val="18"/>
          <w:u w:val="none"/>
        </w:rPr>
        <w:t>against women and domestic violence (Violence against Women and Domestic Violence Directive) 2024. For commentary on this new legislation see Ronagh McQuigg </w:t>
      </w:r>
      <w:hyperlink r:id="rId91">
        <w:r>
          <w:rPr>
            <w:color w:val="1D71B8"/>
            <w:sz w:val="18"/>
            <w:u w:val="single" w:color="1D71B8"/>
          </w:rPr>
          <w:t>‘The New EU Directive on Combating Violence Against Women and Domestic</w:t>
        </w:r>
      </w:hyperlink>
      <w:r>
        <w:rPr>
          <w:color w:val="1D71B8"/>
          <w:sz w:val="18"/>
          <w:u w:val="none"/>
        </w:rPr>
        <w:t> </w:t>
      </w:r>
      <w:hyperlink r:id="rId91">
        <w:r>
          <w:rPr>
            <w:color w:val="1D71B8"/>
            <w:sz w:val="18"/>
            <w:u w:val="single" w:color="1D71B8"/>
          </w:rPr>
          <w:t>Violence’</w:t>
        </w:r>
      </w:hyperlink>
      <w:r>
        <w:rPr>
          <w:color w:val="1D71B8"/>
          <w:sz w:val="18"/>
          <w:u w:val="none"/>
        </w:rPr>
        <w:t> </w:t>
      </w:r>
      <w:r>
        <w:rPr>
          <w:sz w:val="18"/>
          <w:u w:val="none"/>
        </w:rPr>
        <w:t>QPOL (2024) Last Accessed on 3 July 2024.</w:t>
      </w:r>
    </w:p>
    <w:p>
      <w:pPr>
        <w:pStyle w:val="ListParagraph"/>
        <w:numPr>
          <w:ilvl w:val="0"/>
          <w:numId w:val="18"/>
        </w:numPr>
        <w:tabs>
          <w:tab w:pos="1684" w:val="left" w:leader="none"/>
        </w:tabs>
        <w:spacing w:line="240" w:lineRule="auto" w:before="2" w:after="0"/>
        <w:ind w:left="1684" w:right="916" w:hanging="567"/>
        <w:jc w:val="left"/>
        <w:rPr>
          <w:sz w:val="18"/>
        </w:rPr>
      </w:pPr>
      <w:r>
        <w:rPr>
          <w:sz w:val="18"/>
        </w:rPr>
        <w:t>Department</w:t>
      </w:r>
      <w:r>
        <w:rPr>
          <w:spacing w:val="-4"/>
          <w:sz w:val="18"/>
        </w:rPr>
        <w:t> </w:t>
      </w:r>
      <w:r>
        <w:rPr>
          <w:sz w:val="18"/>
        </w:rPr>
        <w:t>of</w:t>
      </w:r>
      <w:r>
        <w:rPr>
          <w:spacing w:val="-5"/>
          <w:sz w:val="18"/>
        </w:rPr>
        <w:t> </w:t>
      </w:r>
      <w:r>
        <w:rPr>
          <w:sz w:val="18"/>
        </w:rPr>
        <w:t>Health</w:t>
      </w:r>
      <w:r>
        <w:rPr>
          <w:spacing w:val="-5"/>
          <w:sz w:val="18"/>
        </w:rPr>
        <w:t> </w:t>
      </w:r>
      <w:r>
        <w:rPr>
          <w:sz w:val="18"/>
        </w:rPr>
        <w:t>and</w:t>
      </w:r>
      <w:r>
        <w:rPr>
          <w:spacing w:val="-5"/>
          <w:sz w:val="18"/>
        </w:rPr>
        <w:t> </w:t>
      </w:r>
      <w:r>
        <w:rPr>
          <w:sz w:val="18"/>
        </w:rPr>
        <w:t>Department</w:t>
      </w:r>
      <w:r>
        <w:rPr>
          <w:spacing w:val="-4"/>
          <w:sz w:val="18"/>
        </w:rPr>
        <w:t> </w:t>
      </w:r>
      <w:r>
        <w:rPr>
          <w:sz w:val="18"/>
        </w:rPr>
        <w:t>of</w:t>
      </w:r>
      <w:r>
        <w:rPr>
          <w:spacing w:val="-5"/>
          <w:sz w:val="18"/>
        </w:rPr>
        <w:t> </w:t>
      </w:r>
      <w:r>
        <w:rPr>
          <w:sz w:val="18"/>
        </w:rPr>
        <w:t>Justice</w:t>
      </w:r>
      <w:r>
        <w:rPr>
          <w:spacing w:val="-3"/>
          <w:sz w:val="18"/>
        </w:rPr>
        <w:t> </w:t>
      </w:r>
      <w:r>
        <w:rPr>
          <w:color w:val="1D71B8"/>
          <w:sz w:val="18"/>
          <w:u w:val="single" w:color="1D71B8"/>
        </w:rPr>
        <w:t>‘Consultation</w:t>
      </w:r>
      <w:r>
        <w:rPr>
          <w:color w:val="1D71B8"/>
          <w:spacing w:val="-4"/>
          <w:sz w:val="18"/>
          <w:u w:val="single" w:color="1D71B8"/>
        </w:rPr>
        <w:t> </w:t>
      </w:r>
      <w:r>
        <w:rPr>
          <w:color w:val="1D71B8"/>
          <w:sz w:val="18"/>
          <w:u w:val="single" w:color="1D71B8"/>
        </w:rPr>
        <w:t>-</w:t>
      </w:r>
      <w:r>
        <w:rPr>
          <w:color w:val="1D71B8"/>
          <w:spacing w:val="-5"/>
          <w:sz w:val="18"/>
          <w:u w:val="single" w:color="1D71B8"/>
        </w:rPr>
        <w:t> </w:t>
      </w:r>
      <w:r>
        <w:rPr>
          <w:color w:val="1D71B8"/>
          <w:sz w:val="18"/>
          <w:u w:val="single" w:color="1D71B8"/>
        </w:rPr>
        <w:t>New</w:t>
      </w:r>
      <w:r>
        <w:rPr>
          <w:color w:val="1D71B8"/>
          <w:spacing w:val="-4"/>
          <w:sz w:val="18"/>
          <w:u w:val="single" w:color="1D71B8"/>
        </w:rPr>
        <w:t> </w:t>
      </w:r>
      <w:r>
        <w:rPr>
          <w:color w:val="1D71B8"/>
          <w:sz w:val="18"/>
          <w:u w:val="single" w:color="1D71B8"/>
        </w:rPr>
        <w:t>Domestic</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Sexual</w:t>
      </w:r>
      <w:r>
        <w:rPr>
          <w:color w:val="1D71B8"/>
          <w:spacing w:val="-5"/>
          <w:sz w:val="18"/>
          <w:u w:val="single" w:color="1D71B8"/>
        </w:rPr>
        <w:t> </w:t>
      </w:r>
      <w:r>
        <w:rPr>
          <w:color w:val="1D71B8"/>
          <w:sz w:val="18"/>
          <w:u w:val="single" w:color="1D71B8"/>
        </w:rPr>
        <w:t>Abuse</w:t>
      </w:r>
      <w:r>
        <w:rPr>
          <w:color w:val="1D71B8"/>
          <w:spacing w:val="-4"/>
          <w:sz w:val="18"/>
          <w:u w:val="single" w:color="1D71B8"/>
        </w:rPr>
        <w:t> </w:t>
      </w:r>
      <w:r>
        <w:rPr>
          <w:color w:val="1D71B8"/>
          <w:sz w:val="18"/>
          <w:u w:val="single" w:color="1D71B8"/>
        </w:rPr>
        <w:t>Strategy</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Violence</w:t>
      </w:r>
      <w:r>
        <w:rPr>
          <w:color w:val="1D71B8"/>
          <w:sz w:val="18"/>
          <w:u w:val="none"/>
        </w:rPr>
        <w:t> </w:t>
      </w:r>
      <w:r>
        <w:rPr>
          <w:color w:val="1D71B8"/>
          <w:sz w:val="18"/>
          <w:u w:val="single" w:color="1D71B8"/>
        </w:rPr>
        <w:t>Against Women and Girls Strategy’</w:t>
      </w:r>
      <w:r>
        <w:rPr>
          <w:color w:val="1D71B8"/>
          <w:sz w:val="18"/>
          <w:u w:val="none"/>
        </w:rPr>
        <w:t> </w:t>
      </w:r>
      <w:r>
        <w:rPr>
          <w:sz w:val="18"/>
          <w:u w:val="none"/>
        </w:rPr>
        <w:t>(January 2022) Last Accessed 1 March 2024.</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13568">
                <wp:simplePos x="0" y="0"/>
                <wp:positionH relativeFrom="page">
                  <wp:posOffset>0</wp:posOffset>
                </wp:positionH>
                <wp:positionV relativeFrom="page">
                  <wp:posOffset>0</wp:posOffset>
                </wp:positionV>
                <wp:extent cx="7560309" cy="1155065"/>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7560309" cy="1155065"/>
                          <a:chExt cx="7560309" cy="1155065"/>
                        </a:xfrm>
                      </wpg:grpSpPr>
                      <wps:wsp>
                        <wps:cNvPr id="570" name="Graphic 570"/>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571" name="Graphic 571"/>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302912" id="docshapegroup457" coordorigin="0,0" coordsize="11906,1819">
                <v:shape style="position:absolute;left:0;top:0;width:11906;height:1819" id="docshape45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3.5 Race" w:id="90"/>
      <w:bookmarkEnd w:id="90"/>
      <w:r>
        <w:rPr/>
      </w:r>
      <w:bookmarkStart w:name="_bookmark37" w:id="91"/>
      <w:bookmarkEnd w:id="91"/>
      <w:r>
        <w:rPr/>
      </w:r>
      <w:r>
        <w:rPr>
          <w:b/>
          <w:color w:val="FFFFFF"/>
          <w:spacing w:val="-5"/>
          <w:position w:val="-1"/>
          <w:sz w:val="28"/>
        </w:rPr>
        <w:t>64</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The</w:t>
      </w:r>
      <w:r>
        <w:rPr>
          <w:spacing w:val="-7"/>
        </w:rPr>
        <w:t> </w:t>
      </w:r>
      <w:r>
        <w:rPr/>
        <w:t>Executive</w:t>
      </w:r>
      <w:r>
        <w:rPr>
          <w:spacing w:val="-7"/>
        </w:rPr>
        <w:t> </w:t>
      </w:r>
      <w:r>
        <w:rPr/>
        <w:t>Office</w:t>
      </w:r>
      <w:r>
        <w:rPr>
          <w:spacing w:val="-7"/>
        </w:rPr>
        <w:t> </w:t>
      </w:r>
      <w:r>
        <w:rPr/>
        <w:t>has</w:t>
      </w:r>
      <w:r>
        <w:rPr>
          <w:spacing w:val="-7"/>
        </w:rPr>
        <w:t> </w:t>
      </w:r>
      <w:r>
        <w:rPr/>
        <w:t>also</w:t>
      </w:r>
      <w:r>
        <w:rPr>
          <w:spacing w:val="-7"/>
        </w:rPr>
        <w:t> </w:t>
      </w:r>
      <w:r>
        <w:rPr/>
        <w:t>published</w:t>
      </w:r>
      <w:r>
        <w:rPr>
          <w:spacing w:val="-7"/>
        </w:rPr>
        <w:t> </w:t>
      </w:r>
      <w:r>
        <w:rPr/>
        <w:t>a</w:t>
      </w:r>
      <w:r>
        <w:rPr>
          <w:spacing w:val="-7"/>
        </w:rPr>
        <w:t> </w:t>
      </w:r>
      <w:r>
        <w:rPr/>
        <w:t>Strategic</w:t>
      </w:r>
      <w:r>
        <w:rPr>
          <w:spacing w:val="-7"/>
        </w:rPr>
        <w:t> </w:t>
      </w:r>
      <w:r>
        <w:rPr/>
        <w:t>Framework</w:t>
      </w:r>
      <w:r>
        <w:rPr>
          <w:spacing w:val="-7"/>
        </w:rPr>
        <w:t> </w:t>
      </w:r>
      <w:r>
        <w:rPr/>
        <w:t>on</w:t>
      </w:r>
      <w:r>
        <w:rPr>
          <w:spacing w:val="-7"/>
        </w:rPr>
        <w:t> </w:t>
      </w:r>
      <w:r>
        <w:rPr/>
        <w:t>Ending</w:t>
      </w:r>
      <w:r>
        <w:rPr>
          <w:spacing w:val="-7"/>
        </w:rPr>
        <w:t> </w:t>
      </w:r>
      <w:r>
        <w:rPr/>
        <w:t>Violence Against Women and Girls.</w:t>
      </w:r>
      <w:r>
        <w:rPr>
          <w:vertAlign w:val="superscript"/>
        </w:rPr>
        <w:t>356</w:t>
      </w:r>
    </w:p>
    <w:p>
      <w:pPr>
        <w:pStyle w:val="BodyText"/>
        <w:spacing w:before="4"/>
        <w:rPr>
          <w:sz w:val="20"/>
        </w:rPr>
      </w:pPr>
      <w:r>
        <w:rPr/>
        <mc:AlternateContent>
          <mc:Choice Requires="wps">
            <w:drawing>
              <wp:anchor distT="0" distB="0" distL="0" distR="0" allowOverlap="1" layoutInCell="1" locked="0" behindDoc="1" simplePos="0" relativeHeight="487694848">
                <wp:simplePos x="0" y="0"/>
                <wp:positionH relativeFrom="page">
                  <wp:posOffset>647994</wp:posOffset>
                </wp:positionH>
                <wp:positionV relativeFrom="paragraph">
                  <wp:posOffset>172922</wp:posOffset>
                </wp:positionV>
                <wp:extent cx="6012180" cy="1232535"/>
                <wp:effectExtent l="0" t="0" r="0" b="0"/>
                <wp:wrapTopAndBottom/>
                <wp:docPr id="572" name="Group 572"/>
                <wp:cNvGraphicFramePr>
                  <a:graphicFrameLocks/>
                </wp:cNvGraphicFramePr>
                <a:graphic>
                  <a:graphicData uri="http://schemas.microsoft.com/office/word/2010/wordprocessingGroup">
                    <wpg:wgp>
                      <wpg:cNvPr id="572" name="Group 572"/>
                      <wpg:cNvGrpSpPr/>
                      <wpg:grpSpPr>
                        <a:xfrm>
                          <a:off x="0" y="0"/>
                          <a:ext cx="6012180" cy="1232535"/>
                          <a:chExt cx="6012180" cy="1232535"/>
                        </a:xfrm>
                      </wpg:grpSpPr>
                      <wps:wsp>
                        <wps:cNvPr id="573" name="Graphic 573"/>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74" name="Textbox 574"/>
                        <wps:cNvSpPr txBox="1"/>
                        <wps:spPr>
                          <a:xfrm>
                            <a:off x="0" y="0"/>
                            <a:ext cx="6012180" cy="1232535"/>
                          </a:xfrm>
                          <a:prstGeom prst="rect">
                            <a:avLst/>
                          </a:prstGeom>
                        </wps:spPr>
                        <wps:txbx>
                          <w:txbxContent>
                            <w:p>
                              <w:pPr>
                                <w:spacing w:line="232" w:lineRule="auto" w:before="121"/>
                                <w:ind w:left="340" w:right="140" w:firstLine="0"/>
                                <w:jc w:val="left"/>
                                <w:rPr>
                                  <w:b/>
                                  <w:sz w:val="28"/>
                                </w:rPr>
                              </w:pPr>
                              <w:r>
                                <w:rPr>
                                  <w:b/>
                                  <w:color w:val="164194"/>
                                  <w:sz w:val="28"/>
                                </w:rPr>
                                <w:t>We recommend that the NI Department of Health and NI Department of Justice consider any lessons learnt from the Irish experience under the Domestic, Sexual and Gender-Based Violence Agency Act 2023 to determine if</w:t>
                              </w:r>
                              <w:r>
                                <w:rPr>
                                  <w:b/>
                                  <w:color w:val="164194"/>
                                  <w:spacing w:val="-10"/>
                                  <w:sz w:val="28"/>
                                </w:rPr>
                                <w:t> </w:t>
                              </w:r>
                              <w:r>
                                <w:rPr>
                                  <w:b/>
                                  <w:color w:val="164194"/>
                                  <w:sz w:val="28"/>
                                </w:rPr>
                                <w:t>it</w:t>
                              </w:r>
                              <w:r>
                                <w:rPr>
                                  <w:b/>
                                  <w:color w:val="164194"/>
                                  <w:spacing w:val="-10"/>
                                  <w:sz w:val="28"/>
                                </w:rPr>
                                <w:t> </w:t>
                              </w:r>
                              <w:r>
                                <w:rPr>
                                  <w:b/>
                                  <w:color w:val="164194"/>
                                  <w:sz w:val="28"/>
                                </w:rPr>
                                <w:t>demonstrates</w:t>
                              </w:r>
                              <w:r>
                                <w:rPr>
                                  <w:b/>
                                  <w:color w:val="164194"/>
                                  <w:spacing w:val="-10"/>
                                  <w:sz w:val="28"/>
                                </w:rPr>
                                <w:t> </w:t>
                              </w:r>
                              <w:r>
                                <w:rPr>
                                  <w:b/>
                                  <w:color w:val="164194"/>
                                  <w:sz w:val="28"/>
                                </w:rPr>
                                <w:t>strengthened</w:t>
                              </w:r>
                              <w:r>
                                <w:rPr>
                                  <w:b/>
                                  <w:color w:val="164194"/>
                                  <w:spacing w:val="-10"/>
                                  <w:sz w:val="28"/>
                                </w:rPr>
                                <w:t> </w:t>
                              </w:r>
                              <w:r>
                                <w:rPr>
                                  <w:b/>
                                  <w:color w:val="164194"/>
                                  <w:sz w:val="28"/>
                                </w:rPr>
                                <w:t>rights</w:t>
                              </w:r>
                              <w:r>
                                <w:rPr>
                                  <w:b/>
                                  <w:color w:val="164194"/>
                                  <w:spacing w:val="-10"/>
                                  <w:sz w:val="28"/>
                                </w:rPr>
                                <w:t> </w:t>
                              </w:r>
                              <w:r>
                                <w:rPr>
                                  <w:b/>
                                  <w:color w:val="164194"/>
                                  <w:sz w:val="28"/>
                                </w:rPr>
                                <w:t>and</w:t>
                              </w:r>
                              <w:r>
                                <w:rPr>
                                  <w:b/>
                                  <w:color w:val="164194"/>
                                  <w:spacing w:val="-10"/>
                                  <w:sz w:val="28"/>
                                </w:rPr>
                                <w:t> </w:t>
                              </w:r>
                              <w:r>
                                <w:rPr>
                                  <w:b/>
                                  <w:color w:val="164194"/>
                                  <w:sz w:val="28"/>
                                </w:rPr>
                                <w:t>reflects</w:t>
                              </w:r>
                              <w:r>
                                <w:rPr>
                                  <w:b/>
                                  <w:color w:val="164194"/>
                                  <w:spacing w:val="-10"/>
                                  <w:sz w:val="28"/>
                                </w:rPr>
                                <w:t> </w:t>
                              </w:r>
                              <w:r>
                                <w:rPr>
                                  <w:b/>
                                  <w:color w:val="164194"/>
                                  <w:sz w:val="28"/>
                                </w:rPr>
                                <w:t>international</w:t>
                              </w:r>
                              <w:r>
                                <w:rPr>
                                  <w:b/>
                                  <w:color w:val="164194"/>
                                  <w:spacing w:val="-10"/>
                                  <w:sz w:val="28"/>
                                </w:rPr>
                                <w:t> </w:t>
                              </w:r>
                              <w:r>
                                <w:rPr>
                                  <w:b/>
                                  <w:color w:val="164194"/>
                                  <w:sz w:val="28"/>
                                </w:rPr>
                                <w:t>human</w:t>
                              </w:r>
                              <w:r>
                                <w:rPr>
                                  <w:b/>
                                  <w:color w:val="164194"/>
                                  <w:spacing w:val="-10"/>
                                  <w:sz w:val="28"/>
                                </w:rPr>
                                <w:t> </w:t>
                              </w:r>
                              <w:r>
                                <w:rPr>
                                  <w:b/>
                                  <w:color w:val="164194"/>
                                  <w:sz w:val="28"/>
                                </w:rPr>
                                <w:t>rights standards and best practice.</w:t>
                              </w:r>
                            </w:p>
                          </w:txbxContent>
                        </wps:txbx>
                        <wps:bodyPr wrap="square" lIns="0" tIns="0" rIns="0" bIns="0" rtlCol="0">
                          <a:noAutofit/>
                        </wps:bodyPr>
                      </wps:wsp>
                    </wpg:wgp>
                  </a:graphicData>
                </a:graphic>
              </wp:anchor>
            </w:drawing>
          </mc:Choice>
          <mc:Fallback>
            <w:pict>
              <v:group style="position:absolute;margin-left:51.023201pt;margin-top:13.615934pt;width:473.4pt;height:97.05pt;mso-position-horizontal-relative:page;mso-position-vertical-relative:paragraph;z-index:-15621632;mso-wrap-distance-left:0;mso-wrap-distance-right:0" id="docshapegroup459" coordorigin="1020,272" coordsize="9468,1941">
                <v:shape style="position:absolute;left:1020;top:272;width:9468;height:1941" id="docshape460" coordorigin="1020,272" coordsize="9468,1941" path="m10261,272l1247,272,1176,284,1113,316,1064,365,1032,427,1020,499,1020,1986,1032,2057,1064,2120,1113,2169,1176,2201,1247,2212,10261,2212,10333,2201,10395,2169,10444,2120,10477,2057,10488,1986,10488,499,10477,427,10444,365,10395,316,10333,284,10261,272xe" filled="true" fillcolor="#e9f3fc" stroked="false">
                  <v:path arrowok="t"/>
                  <v:fill type="solid"/>
                </v:shape>
                <v:shape style="position:absolute;left:1020;top:272;width:9468;height:1941" type="#_x0000_t202" id="docshape461" filled="false" stroked="false">
                  <v:textbox inset="0,0,0,0">
                    <w:txbxContent>
                      <w:p>
                        <w:pPr>
                          <w:spacing w:line="232" w:lineRule="auto" w:before="121"/>
                          <w:ind w:left="340" w:right="140" w:firstLine="0"/>
                          <w:jc w:val="left"/>
                          <w:rPr>
                            <w:b/>
                            <w:sz w:val="28"/>
                          </w:rPr>
                        </w:pPr>
                        <w:r>
                          <w:rPr>
                            <w:b/>
                            <w:color w:val="164194"/>
                            <w:sz w:val="28"/>
                          </w:rPr>
                          <w:t>We recommend that the NI Department of Health and NI Department of Justice consider any lessons learnt from the Irish experience under the Domestic, Sexual and Gender-Based Violence Agency Act 2023 to determine if</w:t>
                        </w:r>
                        <w:r>
                          <w:rPr>
                            <w:b/>
                            <w:color w:val="164194"/>
                            <w:spacing w:val="-10"/>
                            <w:sz w:val="28"/>
                          </w:rPr>
                          <w:t> </w:t>
                        </w:r>
                        <w:r>
                          <w:rPr>
                            <w:b/>
                            <w:color w:val="164194"/>
                            <w:sz w:val="28"/>
                          </w:rPr>
                          <w:t>it</w:t>
                        </w:r>
                        <w:r>
                          <w:rPr>
                            <w:b/>
                            <w:color w:val="164194"/>
                            <w:spacing w:val="-10"/>
                            <w:sz w:val="28"/>
                          </w:rPr>
                          <w:t> </w:t>
                        </w:r>
                        <w:r>
                          <w:rPr>
                            <w:b/>
                            <w:color w:val="164194"/>
                            <w:sz w:val="28"/>
                          </w:rPr>
                          <w:t>demonstrates</w:t>
                        </w:r>
                        <w:r>
                          <w:rPr>
                            <w:b/>
                            <w:color w:val="164194"/>
                            <w:spacing w:val="-10"/>
                            <w:sz w:val="28"/>
                          </w:rPr>
                          <w:t> </w:t>
                        </w:r>
                        <w:r>
                          <w:rPr>
                            <w:b/>
                            <w:color w:val="164194"/>
                            <w:sz w:val="28"/>
                          </w:rPr>
                          <w:t>strengthened</w:t>
                        </w:r>
                        <w:r>
                          <w:rPr>
                            <w:b/>
                            <w:color w:val="164194"/>
                            <w:spacing w:val="-10"/>
                            <w:sz w:val="28"/>
                          </w:rPr>
                          <w:t> </w:t>
                        </w:r>
                        <w:r>
                          <w:rPr>
                            <w:b/>
                            <w:color w:val="164194"/>
                            <w:sz w:val="28"/>
                          </w:rPr>
                          <w:t>rights</w:t>
                        </w:r>
                        <w:r>
                          <w:rPr>
                            <w:b/>
                            <w:color w:val="164194"/>
                            <w:spacing w:val="-10"/>
                            <w:sz w:val="28"/>
                          </w:rPr>
                          <w:t> </w:t>
                        </w:r>
                        <w:r>
                          <w:rPr>
                            <w:b/>
                            <w:color w:val="164194"/>
                            <w:sz w:val="28"/>
                          </w:rPr>
                          <w:t>and</w:t>
                        </w:r>
                        <w:r>
                          <w:rPr>
                            <w:b/>
                            <w:color w:val="164194"/>
                            <w:spacing w:val="-10"/>
                            <w:sz w:val="28"/>
                          </w:rPr>
                          <w:t> </w:t>
                        </w:r>
                        <w:r>
                          <w:rPr>
                            <w:b/>
                            <w:color w:val="164194"/>
                            <w:sz w:val="28"/>
                          </w:rPr>
                          <w:t>reflects</w:t>
                        </w:r>
                        <w:r>
                          <w:rPr>
                            <w:b/>
                            <w:color w:val="164194"/>
                            <w:spacing w:val="-10"/>
                            <w:sz w:val="28"/>
                          </w:rPr>
                          <w:t> </w:t>
                        </w:r>
                        <w:r>
                          <w:rPr>
                            <w:b/>
                            <w:color w:val="164194"/>
                            <w:sz w:val="28"/>
                          </w:rPr>
                          <w:t>international</w:t>
                        </w:r>
                        <w:r>
                          <w:rPr>
                            <w:b/>
                            <w:color w:val="164194"/>
                            <w:spacing w:val="-10"/>
                            <w:sz w:val="28"/>
                          </w:rPr>
                          <w:t> </w:t>
                        </w:r>
                        <w:r>
                          <w:rPr>
                            <w:b/>
                            <w:color w:val="164194"/>
                            <w:sz w:val="28"/>
                          </w:rPr>
                          <w:t>human</w:t>
                        </w:r>
                        <w:r>
                          <w:rPr>
                            <w:b/>
                            <w:color w:val="164194"/>
                            <w:spacing w:val="-10"/>
                            <w:sz w:val="28"/>
                          </w:rPr>
                          <w:t> </w:t>
                        </w:r>
                        <w:r>
                          <w:rPr>
                            <w:b/>
                            <w:color w:val="164194"/>
                            <w:sz w:val="28"/>
                          </w:rPr>
                          <w:t>rights standards and best practice.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95360">
                <wp:simplePos x="0" y="0"/>
                <wp:positionH relativeFrom="page">
                  <wp:posOffset>647994</wp:posOffset>
                </wp:positionH>
                <wp:positionV relativeFrom="paragraph">
                  <wp:posOffset>1544672</wp:posOffset>
                </wp:positionV>
                <wp:extent cx="6012180" cy="1022985"/>
                <wp:effectExtent l="0" t="0" r="0" b="0"/>
                <wp:wrapTopAndBottom/>
                <wp:docPr id="575" name="Group 575"/>
                <wp:cNvGraphicFramePr>
                  <a:graphicFrameLocks/>
                </wp:cNvGraphicFramePr>
                <a:graphic>
                  <a:graphicData uri="http://schemas.microsoft.com/office/word/2010/wordprocessingGroup">
                    <wpg:wgp>
                      <wpg:cNvPr id="575" name="Group 575"/>
                      <wpg:cNvGrpSpPr/>
                      <wpg:grpSpPr>
                        <a:xfrm>
                          <a:off x="0" y="0"/>
                          <a:ext cx="6012180" cy="1022985"/>
                          <a:chExt cx="6012180" cy="1022985"/>
                        </a:xfrm>
                      </wpg:grpSpPr>
                      <wps:wsp>
                        <wps:cNvPr id="576" name="Graphic 576"/>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77" name="Textbox 577"/>
                        <wps:cNvSpPr txBox="1"/>
                        <wps:spPr>
                          <a:xfrm>
                            <a:off x="0" y="0"/>
                            <a:ext cx="6012180" cy="1022985"/>
                          </a:xfrm>
                          <a:prstGeom prst="rect">
                            <a:avLst/>
                          </a:prstGeom>
                        </wps:spPr>
                        <wps:txbx>
                          <w:txbxContent>
                            <w:p>
                              <w:pPr>
                                <w:spacing w:line="232" w:lineRule="auto" w:before="121"/>
                                <w:ind w:left="340" w:right="196" w:firstLine="0"/>
                                <w:jc w:val="left"/>
                                <w:rPr>
                                  <w:b/>
                                  <w:sz w:val="28"/>
                                </w:rPr>
                              </w:pPr>
                              <w:r>
                                <w:rPr>
                                  <w:b/>
                                  <w:color w:val="164194"/>
                                  <w:sz w:val="28"/>
                                </w:rPr>
                                <w:t>We recommend that the NI Department of Justice monitor possible new EU initiatives in the areas of anti-trafficking and violence against women which may</w:t>
                              </w:r>
                              <w:r>
                                <w:rPr>
                                  <w:b/>
                                  <w:color w:val="164194"/>
                                  <w:spacing w:val="-8"/>
                                  <w:sz w:val="28"/>
                                </w:rPr>
                                <w:t> </w:t>
                              </w:r>
                              <w:r>
                                <w:rPr>
                                  <w:b/>
                                  <w:color w:val="164194"/>
                                  <w:sz w:val="28"/>
                                </w:rPr>
                                <w:t>offer</w:t>
                              </w:r>
                              <w:r>
                                <w:rPr>
                                  <w:b/>
                                  <w:color w:val="164194"/>
                                  <w:spacing w:val="-9"/>
                                  <w:sz w:val="28"/>
                                </w:rPr>
                                <w:t> </w:t>
                              </w:r>
                              <w:r>
                                <w:rPr>
                                  <w:b/>
                                  <w:color w:val="164194"/>
                                  <w:sz w:val="28"/>
                                </w:rPr>
                                <w:t>opportunities</w:t>
                              </w:r>
                              <w:r>
                                <w:rPr>
                                  <w:b/>
                                  <w:color w:val="164194"/>
                                  <w:spacing w:val="-8"/>
                                  <w:sz w:val="28"/>
                                </w:rPr>
                                <w:t> </w:t>
                              </w:r>
                              <w:r>
                                <w:rPr>
                                  <w:b/>
                                  <w:color w:val="164194"/>
                                  <w:sz w:val="28"/>
                                </w:rPr>
                                <w:t>to</w:t>
                              </w:r>
                              <w:r>
                                <w:rPr>
                                  <w:b/>
                                  <w:color w:val="164194"/>
                                  <w:spacing w:val="-8"/>
                                  <w:sz w:val="28"/>
                                </w:rPr>
                                <w:t> </w:t>
                              </w:r>
                              <w:r>
                                <w:rPr>
                                  <w:b/>
                                  <w:color w:val="164194"/>
                                  <w:sz w:val="28"/>
                                </w:rPr>
                                <w:t>adopt</w:t>
                              </w:r>
                              <w:r>
                                <w:rPr>
                                  <w:b/>
                                  <w:color w:val="164194"/>
                                  <w:spacing w:val="-8"/>
                                  <w:sz w:val="28"/>
                                </w:rPr>
                                <w:t> </w:t>
                              </w:r>
                              <w:r>
                                <w:rPr>
                                  <w:b/>
                                  <w:color w:val="164194"/>
                                  <w:sz w:val="28"/>
                                </w:rPr>
                                <w:t>policies</w:t>
                              </w:r>
                              <w:r>
                                <w:rPr>
                                  <w:b/>
                                  <w:color w:val="164194"/>
                                  <w:spacing w:val="-8"/>
                                  <w:sz w:val="28"/>
                                </w:rPr>
                                <w:t> </w:t>
                              </w:r>
                              <w:r>
                                <w:rPr>
                                  <w:b/>
                                  <w:color w:val="164194"/>
                                  <w:sz w:val="28"/>
                                </w:rPr>
                                <w:t>which</w:t>
                              </w:r>
                              <w:r>
                                <w:rPr>
                                  <w:b/>
                                  <w:color w:val="164194"/>
                                  <w:spacing w:val="-8"/>
                                  <w:sz w:val="28"/>
                                </w:rPr>
                                <w:t> </w:t>
                              </w:r>
                              <w:r>
                                <w:rPr>
                                  <w:b/>
                                  <w:color w:val="164194"/>
                                  <w:sz w:val="28"/>
                                </w:rPr>
                                <w:t>strengthen</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21.627731pt;width:473.4pt;height:80.55pt;mso-position-horizontal-relative:page;mso-position-vertical-relative:paragraph;z-index:-15621120;mso-wrap-distance-left:0;mso-wrap-distance-right:0" id="docshapegroup462" coordorigin="1020,2433" coordsize="9468,1611">
                <v:shape style="position:absolute;left:1020;top:2432;width:9468;height:1611" id="docshape463" coordorigin="1020,2433" coordsize="9468,1611" path="m10261,2433l1247,2433,1176,2444,1113,2476,1064,2525,1032,2588,1020,2659,1020,3816,1032,3888,1064,3950,1113,3999,1176,4031,1247,4043,10261,4043,10333,4031,10395,3999,10444,3950,10477,3888,10488,3816,10488,2659,10477,2588,10444,2525,10395,2476,10333,2444,10261,2433xe" filled="true" fillcolor="#e9f3fc" stroked="false">
                  <v:path arrowok="t"/>
                  <v:fill type="solid"/>
                </v:shape>
                <v:shape style="position:absolute;left:1020;top:2432;width:9468;height:1611" type="#_x0000_t202" id="docshape464" filled="false" stroked="false">
                  <v:textbox inset="0,0,0,0">
                    <w:txbxContent>
                      <w:p>
                        <w:pPr>
                          <w:spacing w:line="232" w:lineRule="auto" w:before="121"/>
                          <w:ind w:left="340" w:right="196" w:firstLine="0"/>
                          <w:jc w:val="left"/>
                          <w:rPr>
                            <w:b/>
                            <w:sz w:val="28"/>
                          </w:rPr>
                        </w:pPr>
                        <w:r>
                          <w:rPr>
                            <w:b/>
                            <w:color w:val="164194"/>
                            <w:sz w:val="28"/>
                          </w:rPr>
                          <w:t>We recommend that the NI Department of Justice monitor possible new EU initiatives in the areas of anti-trafficking and violence against women which may</w:t>
                        </w:r>
                        <w:r>
                          <w:rPr>
                            <w:b/>
                            <w:color w:val="164194"/>
                            <w:spacing w:val="-8"/>
                            <w:sz w:val="28"/>
                          </w:rPr>
                          <w:t> </w:t>
                        </w:r>
                        <w:r>
                          <w:rPr>
                            <w:b/>
                            <w:color w:val="164194"/>
                            <w:sz w:val="28"/>
                          </w:rPr>
                          <w:t>offer</w:t>
                        </w:r>
                        <w:r>
                          <w:rPr>
                            <w:b/>
                            <w:color w:val="164194"/>
                            <w:spacing w:val="-9"/>
                            <w:sz w:val="28"/>
                          </w:rPr>
                          <w:t> </w:t>
                        </w:r>
                        <w:r>
                          <w:rPr>
                            <w:b/>
                            <w:color w:val="164194"/>
                            <w:sz w:val="28"/>
                          </w:rPr>
                          <w:t>opportunities</w:t>
                        </w:r>
                        <w:r>
                          <w:rPr>
                            <w:b/>
                            <w:color w:val="164194"/>
                            <w:spacing w:val="-8"/>
                            <w:sz w:val="28"/>
                          </w:rPr>
                          <w:t> </w:t>
                        </w:r>
                        <w:r>
                          <w:rPr>
                            <w:b/>
                            <w:color w:val="164194"/>
                            <w:sz w:val="28"/>
                          </w:rPr>
                          <w:t>to</w:t>
                        </w:r>
                        <w:r>
                          <w:rPr>
                            <w:b/>
                            <w:color w:val="164194"/>
                            <w:spacing w:val="-8"/>
                            <w:sz w:val="28"/>
                          </w:rPr>
                          <w:t> </w:t>
                        </w:r>
                        <w:r>
                          <w:rPr>
                            <w:b/>
                            <w:color w:val="164194"/>
                            <w:sz w:val="28"/>
                          </w:rPr>
                          <w:t>adopt</w:t>
                        </w:r>
                        <w:r>
                          <w:rPr>
                            <w:b/>
                            <w:color w:val="164194"/>
                            <w:spacing w:val="-8"/>
                            <w:sz w:val="28"/>
                          </w:rPr>
                          <w:t> </w:t>
                        </w:r>
                        <w:r>
                          <w:rPr>
                            <w:b/>
                            <w:color w:val="164194"/>
                            <w:sz w:val="28"/>
                          </w:rPr>
                          <w:t>policies</w:t>
                        </w:r>
                        <w:r>
                          <w:rPr>
                            <w:b/>
                            <w:color w:val="164194"/>
                            <w:spacing w:val="-8"/>
                            <w:sz w:val="28"/>
                          </w:rPr>
                          <w:t> </w:t>
                        </w:r>
                        <w:r>
                          <w:rPr>
                            <w:b/>
                            <w:color w:val="164194"/>
                            <w:sz w:val="28"/>
                          </w:rPr>
                          <w:t>which</w:t>
                        </w:r>
                        <w:r>
                          <w:rPr>
                            <w:b/>
                            <w:color w:val="164194"/>
                            <w:spacing w:val="-8"/>
                            <w:sz w:val="28"/>
                          </w:rPr>
                          <w:t> </w:t>
                        </w:r>
                        <w:r>
                          <w:rPr>
                            <w:b/>
                            <w:color w:val="164194"/>
                            <w:sz w:val="28"/>
                          </w:rPr>
                          <w:t>strengthen</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 international human rights standards and best practice.</w:t>
                        </w:r>
                      </w:p>
                    </w:txbxContent>
                  </v:textbox>
                  <w10:wrap type="none"/>
                </v:shape>
                <w10:wrap type="topAndBottom"/>
              </v:group>
            </w:pict>
          </mc:Fallback>
        </mc:AlternateContent>
      </w:r>
    </w:p>
    <w:p>
      <w:pPr>
        <w:pStyle w:val="BodyText"/>
        <w:rPr>
          <w:sz w:val="16"/>
        </w:rPr>
      </w:pPr>
    </w:p>
    <w:p>
      <w:pPr>
        <w:pStyle w:val="Heading2"/>
        <w:numPr>
          <w:ilvl w:val="1"/>
          <w:numId w:val="21"/>
        </w:numPr>
        <w:tabs>
          <w:tab w:pos="1202" w:val="left" w:leader="none"/>
        </w:tabs>
        <w:spacing w:line="240" w:lineRule="auto" w:before="305" w:after="0"/>
        <w:ind w:left="1202" w:right="0" w:hanging="482"/>
        <w:jc w:val="left"/>
      </w:pPr>
      <w:r>
        <w:rPr>
          <w:color w:val="004A93"/>
          <w:spacing w:val="-4"/>
        </w:rPr>
        <w:t>Race</w:t>
      </w:r>
    </w:p>
    <w:p>
      <w:pPr>
        <w:pStyle w:val="BodyText"/>
        <w:spacing w:before="9"/>
        <w:rPr>
          <w:b/>
          <w:sz w:val="5"/>
        </w:rPr>
      </w:pPr>
      <w:r>
        <w:rPr/>
        <mc:AlternateContent>
          <mc:Choice Requires="wps">
            <w:drawing>
              <wp:anchor distT="0" distB="0" distL="0" distR="0" allowOverlap="1" layoutInCell="1" locked="0" behindDoc="1" simplePos="0" relativeHeight="487695872">
                <wp:simplePos x="0" y="0"/>
                <wp:positionH relativeFrom="page">
                  <wp:posOffset>647999</wp:posOffset>
                </wp:positionH>
                <wp:positionV relativeFrom="paragraph">
                  <wp:posOffset>60076</wp:posOffset>
                </wp:positionV>
                <wp:extent cx="6012180" cy="1270"/>
                <wp:effectExtent l="0" t="0" r="0" b="0"/>
                <wp:wrapTopAndBottom/>
                <wp:docPr id="578" name="Graphic 578"/>
                <wp:cNvGraphicFramePr>
                  <a:graphicFrameLocks/>
                </wp:cNvGraphicFramePr>
                <a:graphic>
                  <a:graphicData uri="http://schemas.microsoft.com/office/word/2010/wordprocessingShape">
                    <wps:wsp>
                      <wps:cNvPr id="578" name="Graphic 578"/>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73045pt;width:473.4pt;height:.1pt;mso-position-horizontal-relative:page;mso-position-vertical-relative:paragraph;z-index:-15620608;mso-wrap-distance-left:0;mso-wrap-distance-right:0" id="docshape465" coordorigin="1020,95" coordsize="9468,0" path="m1020,95l10488,95e" filled="false" stroked="true" strokeweight="1pt" strokecolor="#36a9e1">
                <v:path arrowok="t"/>
                <v:stroke dashstyle="solid"/>
                <w10:wrap type="topAndBottom"/>
              </v:shape>
            </w:pict>
          </mc:Fallback>
        </mc:AlternateContent>
      </w:r>
    </w:p>
    <w:p>
      <w:pPr>
        <w:pStyle w:val="BodyText"/>
        <w:spacing w:line="232" w:lineRule="auto" w:before="108"/>
        <w:ind w:left="720" w:right="1385"/>
      </w:pPr>
      <w:r>
        <w:rPr/>
        <w:t>As noted above, the Executive Office has held a consultation on plans to reform the Race Relations (NI) Order 1997</w:t>
      </w:r>
      <w:r>
        <w:rPr>
          <w:vertAlign w:val="superscript"/>
        </w:rPr>
        <w:t>357</w:t>
      </w:r>
      <w:r>
        <w:rPr>
          <w:vertAlign w:val="baseline"/>
        </w:rPr>
        <w:t> and at the same time Ireland is reviewing its equality legislation. Whilst there has been some effort to look at cross-border lessons</w:t>
      </w:r>
      <w:r>
        <w:rPr>
          <w:spacing w:val="-3"/>
          <w:vertAlign w:val="baseline"/>
        </w:rPr>
        <w:t> </w:t>
      </w:r>
      <w:r>
        <w:rPr>
          <w:vertAlign w:val="baseline"/>
        </w:rPr>
        <w:t>in</w:t>
      </w:r>
      <w:r>
        <w:rPr>
          <w:spacing w:val="-3"/>
          <w:vertAlign w:val="baseline"/>
        </w:rPr>
        <w:t> </w:t>
      </w:r>
      <w:r>
        <w:rPr>
          <w:vertAlign w:val="baseline"/>
        </w:rPr>
        <w:t>this</w:t>
      </w:r>
      <w:r>
        <w:rPr>
          <w:spacing w:val="-3"/>
          <w:vertAlign w:val="baseline"/>
        </w:rPr>
        <w:t> </w:t>
      </w:r>
      <w:r>
        <w:rPr>
          <w:vertAlign w:val="baseline"/>
        </w:rPr>
        <w:t>area</w:t>
      </w:r>
      <w:r>
        <w:rPr>
          <w:spacing w:val="-3"/>
          <w:vertAlign w:val="baseline"/>
        </w:rPr>
        <w:t> </w:t>
      </w:r>
      <w:r>
        <w:rPr>
          <w:vertAlign w:val="baseline"/>
        </w:rPr>
        <w:t>it</w:t>
      </w:r>
      <w:r>
        <w:rPr>
          <w:spacing w:val="-2"/>
          <w:vertAlign w:val="baseline"/>
        </w:rPr>
        <w:t> </w:t>
      </w:r>
      <w:r>
        <w:rPr>
          <w:vertAlign w:val="baseline"/>
        </w:rPr>
        <w:t>has</w:t>
      </w:r>
      <w:r>
        <w:rPr>
          <w:spacing w:val="-3"/>
          <w:vertAlign w:val="baseline"/>
        </w:rPr>
        <w:t> </w:t>
      </w:r>
      <w:r>
        <w:rPr>
          <w:vertAlign w:val="baseline"/>
        </w:rPr>
        <w:t>not</w:t>
      </w:r>
      <w:r>
        <w:rPr>
          <w:spacing w:val="-2"/>
          <w:vertAlign w:val="baseline"/>
        </w:rPr>
        <w:t> </w:t>
      </w:r>
      <w:r>
        <w:rPr>
          <w:vertAlign w:val="baseline"/>
        </w:rPr>
        <w:t>been</w:t>
      </w:r>
      <w:r>
        <w:rPr>
          <w:spacing w:val="-3"/>
          <w:vertAlign w:val="baseline"/>
        </w:rPr>
        <w:t> </w:t>
      </w:r>
      <w:r>
        <w:rPr>
          <w:vertAlign w:val="baseline"/>
        </w:rPr>
        <w:t>systematic.</w:t>
      </w:r>
      <w:r>
        <w:rPr>
          <w:spacing w:val="-3"/>
          <w:vertAlign w:val="baseline"/>
        </w:rPr>
        <w:t> </w:t>
      </w:r>
      <w:r>
        <w:rPr>
          <w:vertAlign w:val="baseline"/>
        </w:rPr>
        <w:t>The</w:t>
      </w:r>
      <w:r>
        <w:rPr>
          <w:spacing w:val="-2"/>
          <w:vertAlign w:val="baseline"/>
        </w:rPr>
        <w:t> </w:t>
      </w:r>
      <w:r>
        <w:rPr>
          <w:vertAlign w:val="baseline"/>
        </w:rPr>
        <w:t>Northern</w:t>
      </w:r>
      <w:r>
        <w:rPr>
          <w:spacing w:val="-3"/>
          <w:vertAlign w:val="baseline"/>
        </w:rPr>
        <w:t> </w:t>
      </w:r>
      <w:r>
        <w:rPr>
          <w:vertAlign w:val="baseline"/>
        </w:rPr>
        <w:t>Ireland</w:t>
      </w:r>
      <w:r>
        <w:rPr>
          <w:spacing w:val="-3"/>
          <w:vertAlign w:val="baseline"/>
        </w:rPr>
        <w:t> </w:t>
      </w:r>
      <w:r>
        <w:rPr>
          <w:vertAlign w:val="baseline"/>
        </w:rPr>
        <w:t>consultation refers to the Irish legislation but does not refer to the review in Ireland; the Irish review does not refer to any lessons or initiatives from Northern Ireland. This seems</w:t>
      </w:r>
      <w:r>
        <w:rPr>
          <w:spacing w:val="-2"/>
          <w:vertAlign w:val="baseline"/>
        </w:rPr>
        <w:t> </w:t>
      </w:r>
      <w:r>
        <w:rPr>
          <w:vertAlign w:val="baseline"/>
        </w:rPr>
        <w:t>unfortunate,</w:t>
      </w:r>
      <w:r>
        <w:rPr>
          <w:spacing w:val="-1"/>
          <w:vertAlign w:val="baseline"/>
        </w:rPr>
        <w:t> </w:t>
      </w:r>
      <w:r>
        <w:rPr>
          <w:vertAlign w:val="baseline"/>
        </w:rPr>
        <w:t>especially</w:t>
      </w:r>
      <w:r>
        <w:rPr>
          <w:spacing w:val="-1"/>
          <w:vertAlign w:val="baseline"/>
        </w:rPr>
        <w:t> </w:t>
      </w:r>
      <w:r>
        <w:rPr>
          <w:vertAlign w:val="baseline"/>
        </w:rPr>
        <w:t>as</w:t>
      </w:r>
      <w:r>
        <w:rPr>
          <w:spacing w:val="-2"/>
          <w:vertAlign w:val="baseline"/>
        </w:rPr>
        <w:t> </w:t>
      </w:r>
      <w:r>
        <w:rPr>
          <w:vertAlign w:val="baseline"/>
        </w:rPr>
        <w:t>both</w:t>
      </w:r>
      <w:r>
        <w:rPr>
          <w:spacing w:val="-2"/>
          <w:vertAlign w:val="baseline"/>
        </w:rPr>
        <w:t> </w:t>
      </w:r>
      <w:r>
        <w:rPr>
          <w:vertAlign w:val="baseline"/>
        </w:rPr>
        <w:t>Irish</w:t>
      </w:r>
      <w:r>
        <w:rPr>
          <w:spacing w:val="-2"/>
          <w:vertAlign w:val="baseline"/>
        </w:rPr>
        <w:t> </w:t>
      </w:r>
      <w:r>
        <w:rPr>
          <w:vertAlign w:val="baseline"/>
        </w:rPr>
        <w:t>and</w:t>
      </w:r>
      <w:r>
        <w:rPr>
          <w:spacing w:val="-2"/>
          <w:vertAlign w:val="baseline"/>
        </w:rPr>
        <w:t> </w:t>
      </w:r>
      <w:r>
        <w:rPr>
          <w:vertAlign w:val="baseline"/>
        </w:rPr>
        <w:t>NI</w:t>
      </w:r>
      <w:r>
        <w:rPr>
          <w:spacing w:val="-1"/>
          <w:vertAlign w:val="baseline"/>
        </w:rPr>
        <w:t> </w:t>
      </w:r>
      <w:r>
        <w:rPr>
          <w:vertAlign w:val="baseline"/>
        </w:rPr>
        <w:t>legal</w:t>
      </w:r>
      <w:r>
        <w:rPr>
          <w:spacing w:val="-2"/>
          <w:vertAlign w:val="baseline"/>
        </w:rPr>
        <w:t> </w:t>
      </w:r>
      <w:r>
        <w:rPr>
          <w:vertAlign w:val="baseline"/>
        </w:rPr>
        <w:t>systems</w:t>
      </w:r>
      <w:r>
        <w:rPr>
          <w:spacing w:val="-2"/>
          <w:vertAlign w:val="baseline"/>
        </w:rPr>
        <w:t> </w:t>
      </w:r>
      <w:r>
        <w:rPr>
          <w:vertAlign w:val="baseline"/>
        </w:rPr>
        <w:t>must</w:t>
      </w:r>
      <w:r>
        <w:rPr>
          <w:spacing w:val="-1"/>
          <w:vertAlign w:val="baseline"/>
        </w:rPr>
        <w:t> </w:t>
      </w:r>
      <w:r>
        <w:rPr>
          <w:vertAlign w:val="baseline"/>
        </w:rPr>
        <w:t>implement the</w:t>
      </w:r>
      <w:r>
        <w:rPr>
          <w:spacing w:val="-6"/>
          <w:vertAlign w:val="baseline"/>
        </w:rPr>
        <w:t> </w:t>
      </w:r>
      <w:r>
        <w:rPr>
          <w:vertAlign w:val="baseline"/>
        </w:rPr>
        <w:t>Race</w:t>
      </w:r>
      <w:r>
        <w:rPr>
          <w:spacing w:val="-6"/>
          <w:vertAlign w:val="baseline"/>
        </w:rPr>
        <w:t> </w:t>
      </w:r>
      <w:r>
        <w:rPr>
          <w:vertAlign w:val="baseline"/>
        </w:rPr>
        <w:t>Equality</w:t>
      </w:r>
      <w:r>
        <w:rPr>
          <w:spacing w:val="-6"/>
          <w:vertAlign w:val="baseline"/>
        </w:rPr>
        <w:t> </w:t>
      </w:r>
      <w:r>
        <w:rPr>
          <w:vertAlign w:val="baseline"/>
        </w:rPr>
        <w:t>Directive</w:t>
      </w:r>
      <w:r>
        <w:rPr>
          <w:spacing w:val="-6"/>
          <w:vertAlign w:val="baseline"/>
        </w:rPr>
        <w:t> </w:t>
      </w:r>
      <w:r>
        <w:rPr>
          <w:vertAlign w:val="baseline"/>
        </w:rPr>
        <w:t>and</w:t>
      </w:r>
      <w:r>
        <w:rPr>
          <w:spacing w:val="-7"/>
          <w:vertAlign w:val="baseline"/>
        </w:rPr>
        <w:t> </w:t>
      </w:r>
      <w:r>
        <w:rPr>
          <w:vertAlign w:val="baseline"/>
        </w:rPr>
        <w:t>implement/keep</w:t>
      </w:r>
      <w:r>
        <w:rPr>
          <w:spacing w:val="-7"/>
          <w:vertAlign w:val="baseline"/>
        </w:rPr>
        <w:t> </w:t>
      </w:r>
      <w:r>
        <w:rPr>
          <w:vertAlign w:val="baseline"/>
        </w:rPr>
        <w:t>pace</w:t>
      </w:r>
      <w:r>
        <w:rPr>
          <w:spacing w:val="-6"/>
          <w:vertAlign w:val="baseline"/>
        </w:rPr>
        <w:t> </w:t>
      </w:r>
      <w:r>
        <w:rPr>
          <w:vertAlign w:val="baseline"/>
        </w:rPr>
        <w:t>with</w:t>
      </w:r>
      <w:r>
        <w:rPr>
          <w:spacing w:val="-7"/>
          <w:vertAlign w:val="baseline"/>
        </w:rPr>
        <w:t> </w:t>
      </w:r>
      <w:r>
        <w:rPr>
          <w:vertAlign w:val="baseline"/>
        </w:rPr>
        <w:t>any</w:t>
      </w:r>
      <w:r>
        <w:rPr>
          <w:spacing w:val="-6"/>
          <w:vertAlign w:val="baseline"/>
        </w:rPr>
        <w:t> </w:t>
      </w:r>
      <w:r>
        <w:rPr>
          <w:vertAlign w:val="baseline"/>
        </w:rPr>
        <w:t>amendments</w:t>
      </w:r>
      <w:r>
        <w:rPr>
          <w:spacing w:val="-7"/>
          <w:vertAlign w:val="baseline"/>
        </w:rPr>
        <w:t> </w:t>
      </w:r>
      <w:r>
        <w:rPr>
          <w:vertAlign w:val="baseline"/>
        </w:rPr>
        <w:t>to</w:t>
      </w:r>
      <w:r>
        <w:rPr>
          <w:spacing w:val="-7"/>
          <w:vertAlign w:val="baseline"/>
        </w:rPr>
        <w:t> </w:t>
      </w:r>
      <w:r>
        <w:rPr>
          <w:vertAlign w:val="baseline"/>
        </w:rPr>
        <w:t>it </w:t>
      </w:r>
      <w:r>
        <w:rPr>
          <w:spacing w:val="-2"/>
          <w:vertAlign w:val="baseline"/>
        </w:rPr>
        <w:t>respectively.</w:t>
      </w:r>
      <w:r>
        <w:rPr>
          <w:spacing w:val="-2"/>
          <w:vertAlign w:val="superscript"/>
        </w:rPr>
        <w:t>358</w:t>
      </w:r>
    </w:p>
    <w:p>
      <w:pPr>
        <w:pStyle w:val="BodyText"/>
        <w:spacing w:line="232" w:lineRule="auto" w:before="269"/>
        <w:ind w:left="720" w:right="1087"/>
      </w:pPr>
      <w:r>
        <w:rPr/>
        <w:t>The European Commission has adopted multiple strategies to promote equality as part of the ‘Union of Equality’ agenda. In its Anti-racism Action Plan 2020-2025 it has committed to undertake a comprehensive review of anti-racism legislation, to determine</w:t>
      </w:r>
      <w:r>
        <w:rPr>
          <w:spacing w:val="-7"/>
        </w:rPr>
        <w:t> </w:t>
      </w:r>
      <w:r>
        <w:rPr/>
        <w:t>how</w:t>
      </w:r>
      <w:r>
        <w:rPr>
          <w:spacing w:val="-7"/>
        </w:rPr>
        <w:t> </w:t>
      </w:r>
      <w:r>
        <w:rPr/>
        <w:t>to</w:t>
      </w:r>
      <w:r>
        <w:rPr>
          <w:spacing w:val="-8"/>
        </w:rPr>
        <w:t> </w:t>
      </w:r>
      <w:r>
        <w:rPr/>
        <w:t>improve</w:t>
      </w:r>
      <w:r>
        <w:rPr>
          <w:spacing w:val="-7"/>
        </w:rPr>
        <w:t> </w:t>
      </w:r>
      <w:r>
        <w:rPr/>
        <w:t>implementation,</w:t>
      </w:r>
      <w:r>
        <w:rPr>
          <w:spacing w:val="-7"/>
        </w:rPr>
        <w:t> </w:t>
      </w:r>
      <w:r>
        <w:rPr/>
        <w:t>whether</w:t>
      </w:r>
      <w:r>
        <w:rPr>
          <w:spacing w:val="-7"/>
        </w:rPr>
        <w:t> </w:t>
      </w:r>
      <w:r>
        <w:rPr/>
        <w:t>it</w:t>
      </w:r>
      <w:r>
        <w:rPr>
          <w:spacing w:val="-7"/>
        </w:rPr>
        <w:t> </w:t>
      </w:r>
      <w:r>
        <w:rPr/>
        <w:t>remains</w:t>
      </w:r>
      <w:r>
        <w:rPr>
          <w:spacing w:val="-8"/>
        </w:rPr>
        <w:t> </w:t>
      </w:r>
      <w:r>
        <w:rPr/>
        <w:t>fit</w:t>
      </w:r>
      <w:r>
        <w:rPr>
          <w:spacing w:val="-7"/>
        </w:rPr>
        <w:t> </w:t>
      </w:r>
      <w:r>
        <w:rPr/>
        <w:t>for</w:t>
      </w:r>
      <w:r>
        <w:rPr>
          <w:spacing w:val="-7"/>
        </w:rPr>
        <w:t> </w:t>
      </w:r>
      <w:r>
        <w:rPr/>
        <w:t>purpose</w:t>
      </w:r>
      <w:r>
        <w:rPr>
          <w:spacing w:val="-7"/>
        </w:rPr>
        <w:t> </w:t>
      </w:r>
      <w:r>
        <w:rPr/>
        <w:t>and how to</w:t>
      </w:r>
      <w:r>
        <w:rPr>
          <w:spacing w:val="-1"/>
        </w:rPr>
        <w:t> </w:t>
      </w:r>
      <w:r>
        <w:rPr/>
        <w:t>address</w:t>
      </w:r>
      <w:r>
        <w:rPr>
          <w:spacing w:val="-1"/>
        </w:rPr>
        <w:t> </w:t>
      </w:r>
      <w:r>
        <w:rPr/>
        <w:t>gaps.</w:t>
      </w:r>
      <w:r>
        <w:rPr>
          <w:vertAlign w:val="superscript"/>
        </w:rPr>
        <w:t>359</w:t>
      </w:r>
      <w:r>
        <w:rPr>
          <w:spacing w:val="-1"/>
          <w:vertAlign w:val="baseline"/>
        </w:rPr>
        <w:t> </w:t>
      </w:r>
      <w:r>
        <w:rPr>
          <w:vertAlign w:val="baseline"/>
        </w:rPr>
        <w:t>The Northern</w:t>
      </w:r>
      <w:r>
        <w:rPr>
          <w:spacing w:val="-1"/>
          <w:vertAlign w:val="baseline"/>
        </w:rPr>
        <w:t> </w:t>
      </w:r>
      <w:r>
        <w:rPr>
          <w:vertAlign w:val="baseline"/>
        </w:rPr>
        <w:t>Ireland Commissions</w:t>
      </w:r>
      <w:r>
        <w:rPr>
          <w:spacing w:val="-1"/>
          <w:vertAlign w:val="baseline"/>
        </w:rPr>
        <w:t> </w:t>
      </w:r>
      <w:r>
        <w:rPr>
          <w:vertAlign w:val="baseline"/>
        </w:rPr>
        <w:t>have responded</w:t>
      </w:r>
      <w:r>
        <w:rPr>
          <w:spacing w:val="-1"/>
          <w:vertAlign w:val="baseline"/>
        </w:rPr>
        <w:t> </w:t>
      </w:r>
      <w:r>
        <w:rPr>
          <w:vertAlign w:val="baseline"/>
        </w:rPr>
        <w:t>to</w:t>
      </w:r>
      <w:r>
        <w:rPr>
          <w:spacing w:val="-1"/>
          <w:vertAlign w:val="baseline"/>
        </w:rPr>
        <w:t> </w:t>
      </w:r>
      <w:r>
        <w:rPr>
          <w:vertAlign w:val="baseline"/>
        </w:rPr>
        <w:t>this </w:t>
      </w:r>
      <w:r>
        <w:rPr>
          <w:spacing w:val="-2"/>
          <w:vertAlign w:val="baseline"/>
        </w:rPr>
        <w:t>consultation.</w:t>
      </w:r>
      <w:r>
        <w:rPr>
          <w:spacing w:val="-2"/>
          <w:vertAlign w:val="superscript"/>
        </w:rPr>
        <w:t>360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6"/>
        <w:rPr>
          <w:sz w:val="20"/>
        </w:rPr>
      </w:pPr>
      <w:r>
        <w:rPr/>
        <mc:AlternateContent>
          <mc:Choice Requires="wps">
            <w:drawing>
              <wp:anchor distT="0" distB="0" distL="0" distR="0" allowOverlap="1" layoutInCell="1" locked="0" behindDoc="1" simplePos="0" relativeHeight="487696384">
                <wp:simplePos x="0" y="0"/>
                <wp:positionH relativeFrom="page">
                  <wp:posOffset>647999</wp:posOffset>
                </wp:positionH>
                <wp:positionV relativeFrom="paragraph">
                  <wp:posOffset>193126</wp:posOffset>
                </wp:positionV>
                <wp:extent cx="6012180" cy="1270"/>
                <wp:effectExtent l="0" t="0" r="0" b="0"/>
                <wp:wrapTopAndBottom/>
                <wp:docPr id="579" name="Graphic 579"/>
                <wp:cNvGraphicFramePr>
                  <a:graphicFrameLocks/>
                </wp:cNvGraphicFramePr>
                <a:graphic>
                  <a:graphicData uri="http://schemas.microsoft.com/office/word/2010/wordprocessingShape">
                    <wps:wsp>
                      <wps:cNvPr id="579" name="Graphic 57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5.206786pt;width:473.4pt;height:.1pt;mso-position-horizontal-relative:page;mso-position-vertical-relative:paragraph;z-index:-15620096;mso-wrap-distance-left:0;mso-wrap-distance-right:0" id="docshape466" coordorigin="1020,304" coordsize="9468,0" path="m1020,304l10488,304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0" w:hanging="567"/>
        <w:jc w:val="left"/>
        <w:rPr>
          <w:sz w:val="18"/>
        </w:rPr>
      </w:pPr>
      <w:r>
        <w:rPr>
          <w:sz w:val="18"/>
        </w:rPr>
        <w:t>The</w:t>
      </w:r>
      <w:r>
        <w:rPr>
          <w:spacing w:val="-6"/>
          <w:sz w:val="18"/>
        </w:rPr>
        <w:t> </w:t>
      </w:r>
      <w:r>
        <w:rPr>
          <w:sz w:val="18"/>
        </w:rPr>
        <w:t>Executive</w:t>
      </w:r>
      <w:r>
        <w:rPr>
          <w:spacing w:val="-6"/>
          <w:sz w:val="18"/>
        </w:rPr>
        <w:t> </w:t>
      </w:r>
      <w:r>
        <w:rPr>
          <w:sz w:val="18"/>
        </w:rPr>
        <w:t>Office,</w:t>
      </w:r>
      <w:r>
        <w:rPr>
          <w:spacing w:val="-6"/>
          <w:sz w:val="18"/>
        </w:rPr>
        <w:t> </w:t>
      </w:r>
      <w:hyperlink r:id="rId92">
        <w:r>
          <w:rPr>
            <w:color w:val="1D71B8"/>
            <w:sz w:val="18"/>
            <w:u w:val="single" w:color="1D71B8"/>
          </w:rPr>
          <w:t>Strategic</w:t>
        </w:r>
        <w:r>
          <w:rPr>
            <w:color w:val="1D71B8"/>
            <w:spacing w:val="-6"/>
            <w:sz w:val="18"/>
            <w:u w:val="single" w:color="1D71B8"/>
          </w:rPr>
          <w:t> </w:t>
        </w:r>
        <w:r>
          <w:rPr>
            <w:color w:val="1D71B8"/>
            <w:sz w:val="18"/>
            <w:u w:val="single" w:color="1D71B8"/>
          </w:rPr>
          <w:t>Framework</w:t>
        </w:r>
        <w:r>
          <w:rPr>
            <w:color w:val="1D71B8"/>
            <w:spacing w:val="-5"/>
            <w:sz w:val="18"/>
            <w:u w:val="single" w:color="1D71B8"/>
          </w:rPr>
          <w:t> </w:t>
        </w:r>
        <w:r>
          <w:rPr>
            <w:color w:val="1D71B8"/>
            <w:sz w:val="18"/>
            <w:u w:val="single" w:color="1D71B8"/>
          </w:rPr>
          <w:t>to</w:t>
        </w:r>
        <w:r>
          <w:rPr>
            <w:color w:val="1D71B8"/>
            <w:spacing w:val="-7"/>
            <w:sz w:val="18"/>
            <w:u w:val="single" w:color="1D71B8"/>
          </w:rPr>
          <w:t> </w:t>
        </w:r>
        <w:r>
          <w:rPr>
            <w:color w:val="1D71B8"/>
            <w:sz w:val="18"/>
            <w:u w:val="single" w:color="1D71B8"/>
          </w:rPr>
          <w:t>Ending</w:t>
        </w:r>
        <w:r>
          <w:rPr>
            <w:color w:val="1D71B8"/>
            <w:spacing w:val="-5"/>
            <w:sz w:val="18"/>
            <w:u w:val="single" w:color="1D71B8"/>
          </w:rPr>
          <w:t> </w:t>
        </w:r>
        <w:r>
          <w:rPr>
            <w:color w:val="1D71B8"/>
            <w:sz w:val="18"/>
            <w:u w:val="single" w:color="1D71B8"/>
          </w:rPr>
          <w:t>Violence</w:t>
        </w:r>
        <w:r>
          <w:rPr>
            <w:color w:val="1D71B8"/>
            <w:spacing w:val="-6"/>
            <w:sz w:val="18"/>
            <w:u w:val="single" w:color="1D71B8"/>
          </w:rPr>
          <w:t> </w:t>
        </w:r>
        <w:r>
          <w:rPr>
            <w:color w:val="1D71B8"/>
            <w:sz w:val="18"/>
            <w:u w:val="single" w:color="1D71B8"/>
          </w:rPr>
          <w:t>Against</w:t>
        </w:r>
        <w:r>
          <w:rPr>
            <w:color w:val="1D71B8"/>
            <w:spacing w:val="-5"/>
            <w:sz w:val="18"/>
            <w:u w:val="single" w:color="1D71B8"/>
          </w:rPr>
          <w:t> </w:t>
        </w:r>
        <w:r>
          <w:rPr>
            <w:color w:val="1D71B8"/>
            <w:sz w:val="18"/>
            <w:u w:val="single" w:color="1D71B8"/>
          </w:rPr>
          <w:t>Women</w:t>
        </w:r>
        <w:r>
          <w:rPr>
            <w:color w:val="1D71B8"/>
            <w:spacing w:val="-7"/>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Girls</w:t>
        </w:r>
      </w:hyperlink>
      <w:r>
        <w:rPr>
          <w:color w:val="1D71B8"/>
          <w:spacing w:val="-8"/>
          <w:sz w:val="18"/>
          <w:u w:val="none"/>
        </w:rPr>
        <w:t> </w:t>
      </w:r>
      <w:r>
        <w:rPr>
          <w:spacing w:val="-2"/>
          <w:sz w:val="18"/>
          <w:u w:val="none"/>
        </w:rPr>
        <w:t>(2023).</w:t>
      </w:r>
    </w:p>
    <w:p>
      <w:pPr>
        <w:pStyle w:val="ListParagraph"/>
        <w:numPr>
          <w:ilvl w:val="0"/>
          <w:numId w:val="18"/>
        </w:numPr>
        <w:tabs>
          <w:tab w:pos="1287" w:val="left" w:leader="none"/>
        </w:tabs>
        <w:spacing w:line="240" w:lineRule="auto" w:before="1" w:after="0"/>
        <w:ind w:left="1287" w:right="0" w:hanging="567"/>
        <w:jc w:val="left"/>
        <w:rPr>
          <w:sz w:val="18"/>
        </w:rPr>
      </w:pPr>
      <w:r>
        <w:rPr>
          <w:color w:val="1D71B8"/>
          <w:sz w:val="18"/>
          <w:u w:val="single" w:color="1D71B8"/>
        </w:rPr>
        <w:t>Consultation</w:t>
      </w:r>
      <w:r>
        <w:rPr>
          <w:color w:val="1D71B8"/>
          <w:spacing w:val="-5"/>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Review</w:t>
      </w:r>
      <w:r>
        <w:rPr>
          <w:color w:val="1D71B8"/>
          <w:spacing w:val="-3"/>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Race</w:t>
      </w:r>
      <w:r>
        <w:rPr>
          <w:color w:val="1D71B8"/>
          <w:spacing w:val="-4"/>
          <w:sz w:val="18"/>
          <w:u w:val="single" w:color="1D71B8"/>
        </w:rPr>
        <w:t> </w:t>
      </w:r>
      <w:r>
        <w:rPr>
          <w:color w:val="1D71B8"/>
          <w:sz w:val="18"/>
          <w:u w:val="single" w:color="1D71B8"/>
        </w:rPr>
        <w:t>Relations</w:t>
      </w:r>
      <w:r>
        <w:rPr>
          <w:color w:val="1D71B8"/>
          <w:spacing w:val="-4"/>
          <w:sz w:val="18"/>
          <w:u w:val="single" w:color="1D71B8"/>
        </w:rPr>
        <w:t> </w:t>
      </w:r>
      <w:r>
        <w:rPr>
          <w:color w:val="1D71B8"/>
          <w:sz w:val="18"/>
          <w:u w:val="single" w:color="1D71B8"/>
        </w:rPr>
        <w:t>(NI)</w:t>
      </w:r>
      <w:r>
        <w:rPr>
          <w:color w:val="1D71B8"/>
          <w:spacing w:val="-5"/>
          <w:sz w:val="18"/>
          <w:u w:val="single" w:color="1D71B8"/>
        </w:rPr>
        <w:t> </w:t>
      </w:r>
      <w:r>
        <w:rPr>
          <w:color w:val="1D71B8"/>
          <w:sz w:val="18"/>
          <w:u w:val="single" w:color="1D71B8"/>
        </w:rPr>
        <w:t>Order</w:t>
      </w:r>
      <w:r>
        <w:rPr>
          <w:color w:val="1D71B8"/>
          <w:spacing w:val="-3"/>
          <w:sz w:val="18"/>
          <w:u w:val="single" w:color="1D71B8"/>
        </w:rPr>
        <w:t> </w:t>
      </w:r>
      <w:r>
        <w:rPr>
          <w:color w:val="1D71B8"/>
          <w:spacing w:val="-4"/>
          <w:sz w:val="18"/>
          <w:u w:val="single" w:color="1D71B8"/>
        </w:rPr>
        <w:t>1997</w:t>
      </w:r>
      <w:r>
        <w:rPr>
          <w:spacing w:val="-4"/>
          <w:sz w:val="18"/>
          <w:u w:val="none"/>
        </w:rPr>
        <w:t>.</w:t>
      </w:r>
    </w:p>
    <w:p>
      <w:pPr>
        <w:pStyle w:val="ListParagraph"/>
        <w:numPr>
          <w:ilvl w:val="0"/>
          <w:numId w:val="18"/>
        </w:numPr>
        <w:tabs>
          <w:tab w:pos="1287" w:val="left" w:leader="none"/>
        </w:tabs>
        <w:spacing w:line="240" w:lineRule="auto" w:before="0" w:after="0"/>
        <w:ind w:left="1287" w:right="1956" w:hanging="567"/>
        <w:jc w:val="left"/>
        <w:rPr>
          <w:sz w:val="18"/>
        </w:rPr>
      </w:pPr>
      <w:r>
        <w:rPr>
          <w:color w:val="1D71B8"/>
          <w:sz w:val="18"/>
          <w:u w:val="single" w:color="1D71B8"/>
        </w:rPr>
        <w:t>Council</w:t>
      </w:r>
      <w:r>
        <w:rPr>
          <w:color w:val="1D71B8"/>
          <w:spacing w:val="-6"/>
          <w:sz w:val="18"/>
          <w:u w:val="single" w:color="1D71B8"/>
        </w:rPr>
        <w:t> </w:t>
      </w:r>
      <w:r>
        <w:rPr>
          <w:color w:val="1D71B8"/>
          <w:sz w:val="18"/>
          <w:u w:val="single" w:color="1D71B8"/>
        </w:rPr>
        <w:t>Directive</w:t>
      </w:r>
      <w:r>
        <w:rPr>
          <w:color w:val="1D71B8"/>
          <w:spacing w:val="-5"/>
          <w:sz w:val="18"/>
          <w:u w:val="single" w:color="1D71B8"/>
        </w:rPr>
        <w:t> </w:t>
      </w:r>
      <w:r>
        <w:rPr>
          <w:color w:val="1D71B8"/>
          <w:sz w:val="18"/>
          <w:u w:val="single" w:color="1D71B8"/>
        </w:rPr>
        <w:t>2000/43/EC</w:t>
      </w:r>
      <w:r>
        <w:rPr>
          <w:color w:val="1D71B8"/>
          <w:spacing w:val="-5"/>
          <w:sz w:val="18"/>
          <w:u w:val="none"/>
        </w:rPr>
        <w:t> </w:t>
      </w:r>
      <w:r>
        <w:rPr>
          <w:sz w:val="18"/>
          <w:u w:val="none"/>
        </w:rPr>
        <w:t>of</w:t>
      </w:r>
      <w:r>
        <w:rPr>
          <w:spacing w:val="-6"/>
          <w:sz w:val="18"/>
          <w:u w:val="none"/>
        </w:rPr>
        <w:t> </w:t>
      </w:r>
      <w:r>
        <w:rPr>
          <w:sz w:val="18"/>
          <w:u w:val="none"/>
        </w:rPr>
        <w:t>29</w:t>
      </w:r>
      <w:r>
        <w:rPr>
          <w:spacing w:val="-5"/>
          <w:sz w:val="18"/>
          <w:u w:val="none"/>
        </w:rPr>
        <w:t> </w:t>
      </w:r>
      <w:r>
        <w:rPr>
          <w:sz w:val="18"/>
          <w:u w:val="none"/>
        </w:rPr>
        <w:t>June</w:t>
      </w:r>
      <w:r>
        <w:rPr>
          <w:spacing w:val="-5"/>
          <w:sz w:val="18"/>
          <w:u w:val="none"/>
        </w:rPr>
        <w:t> </w:t>
      </w:r>
      <w:r>
        <w:rPr>
          <w:sz w:val="18"/>
          <w:u w:val="none"/>
        </w:rPr>
        <w:t>2000</w:t>
      </w:r>
      <w:r>
        <w:rPr>
          <w:spacing w:val="-5"/>
          <w:sz w:val="18"/>
          <w:u w:val="none"/>
        </w:rPr>
        <w:t> </w:t>
      </w:r>
      <w:r>
        <w:rPr>
          <w:sz w:val="18"/>
          <w:u w:val="none"/>
        </w:rPr>
        <w:t>Implementing</w:t>
      </w:r>
      <w:r>
        <w:rPr>
          <w:spacing w:val="-5"/>
          <w:sz w:val="18"/>
          <w:u w:val="none"/>
        </w:rPr>
        <w:t> </w:t>
      </w:r>
      <w:r>
        <w:rPr>
          <w:sz w:val="18"/>
          <w:u w:val="none"/>
        </w:rPr>
        <w:t>the</w:t>
      </w:r>
      <w:r>
        <w:rPr>
          <w:spacing w:val="-5"/>
          <w:sz w:val="18"/>
          <w:u w:val="none"/>
        </w:rPr>
        <w:t> </w:t>
      </w:r>
      <w:r>
        <w:rPr>
          <w:sz w:val="18"/>
          <w:u w:val="none"/>
        </w:rPr>
        <w:t>Principle</w:t>
      </w:r>
      <w:r>
        <w:rPr>
          <w:spacing w:val="-5"/>
          <w:sz w:val="18"/>
          <w:u w:val="none"/>
        </w:rPr>
        <w:t> </w:t>
      </w:r>
      <w:r>
        <w:rPr>
          <w:sz w:val="18"/>
          <w:u w:val="none"/>
        </w:rPr>
        <w:t>of</w:t>
      </w:r>
      <w:r>
        <w:rPr>
          <w:spacing w:val="-6"/>
          <w:sz w:val="18"/>
          <w:u w:val="none"/>
        </w:rPr>
        <w:t> </w:t>
      </w:r>
      <w:r>
        <w:rPr>
          <w:sz w:val="18"/>
          <w:u w:val="none"/>
        </w:rPr>
        <w:t>Equal</w:t>
      </w:r>
      <w:r>
        <w:rPr>
          <w:spacing w:val="-6"/>
          <w:sz w:val="18"/>
          <w:u w:val="none"/>
        </w:rPr>
        <w:t> </w:t>
      </w:r>
      <w:r>
        <w:rPr>
          <w:sz w:val="18"/>
          <w:u w:val="none"/>
        </w:rPr>
        <w:t>Treatment</w:t>
      </w:r>
      <w:r>
        <w:rPr>
          <w:spacing w:val="-5"/>
          <w:sz w:val="18"/>
          <w:u w:val="none"/>
        </w:rPr>
        <w:t> </w:t>
      </w:r>
      <w:r>
        <w:rPr>
          <w:sz w:val="18"/>
          <w:u w:val="none"/>
        </w:rPr>
        <w:t>between</w:t>
      </w:r>
      <w:r>
        <w:rPr>
          <w:spacing w:val="-6"/>
          <w:sz w:val="18"/>
          <w:u w:val="none"/>
        </w:rPr>
        <w:t> </w:t>
      </w:r>
      <w:r>
        <w:rPr>
          <w:sz w:val="18"/>
          <w:u w:val="none"/>
        </w:rPr>
        <w:t>Persons Irrespective of Racial or Ethnic Origin 2000.</w:t>
      </w:r>
    </w:p>
    <w:p>
      <w:pPr>
        <w:pStyle w:val="ListParagraph"/>
        <w:numPr>
          <w:ilvl w:val="0"/>
          <w:numId w:val="18"/>
        </w:numPr>
        <w:tabs>
          <w:tab w:pos="1287" w:val="left" w:leader="none"/>
        </w:tabs>
        <w:spacing w:line="240" w:lineRule="auto" w:before="0" w:after="0"/>
        <w:ind w:left="1287" w:right="0" w:hanging="567"/>
        <w:jc w:val="left"/>
        <w:rPr>
          <w:sz w:val="18"/>
        </w:rPr>
      </w:pPr>
      <w:r>
        <w:rPr>
          <w:sz w:val="18"/>
        </w:rPr>
        <w:t>European</w:t>
      </w:r>
      <w:r>
        <w:rPr>
          <w:spacing w:val="-5"/>
          <w:sz w:val="18"/>
        </w:rPr>
        <w:t> </w:t>
      </w:r>
      <w:r>
        <w:rPr>
          <w:sz w:val="18"/>
        </w:rPr>
        <w:t>Commission,</w:t>
      </w:r>
      <w:r>
        <w:rPr>
          <w:spacing w:val="-4"/>
          <w:sz w:val="18"/>
        </w:rPr>
        <w:t> </w:t>
      </w:r>
      <w:r>
        <w:rPr>
          <w:color w:val="1D71B8"/>
          <w:sz w:val="18"/>
          <w:u w:val="single" w:color="1D71B8"/>
        </w:rPr>
        <w:t>A</w:t>
      </w:r>
      <w:r>
        <w:rPr>
          <w:color w:val="1D71B8"/>
          <w:spacing w:val="-4"/>
          <w:sz w:val="18"/>
          <w:u w:val="single" w:color="1D71B8"/>
        </w:rPr>
        <w:t> </w:t>
      </w:r>
      <w:r>
        <w:rPr>
          <w:color w:val="1D71B8"/>
          <w:sz w:val="18"/>
          <w:u w:val="single" w:color="1D71B8"/>
        </w:rPr>
        <w:t>Union</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EU</w:t>
      </w:r>
      <w:r>
        <w:rPr>
          <w:color w:val="1D71B8"/>
          <w:spacing w:val="-3"/>
          <w:sz w:val="18"/>
          <w:u w:val="single" w:color="1D71B8"/>
        </w:rPr>
        <w:t> </w:t>
      </w:r>
      <w:r>
        <w:rPr>
          <w:color w:val="1D71B8"/>
          <w:sz w:val="18"/>
          <w:u w:val="single" w:color="1D71B8"/>
        </w:rPr>
        <w:t>Anti-racism</w:t>
      </w:r>
      <w:r>
        <w:rPr>
          <w:color w:val="1D71B8"/>
          <w:spacing w:val="-4"/>
          <w:sz w:val="18"/>
          <w:u w:val="single" w:color="1D71B8"/>
        </w:rPr>
        <w:t> </w:t>
      </w:r>
      <w:r>
        <w:rPr>
          <w:color w:val="1D71B8"/>
          <w:sz w:val="18"/>
          <w:u w:val="single" w:color="1D71B8"/>
        </w:rPr>
        <w:t>Action</w:t>
      </w:r>
      <w:r>
        <w:rPr>
          <w:color w:val="1D71B8"/>
          <w:spacing w:val="-4"/>
          <w:sz w:val="18"/>
          <w:u w:val="single" w:color="1D71B8"/>
        </w:rPr>
        <w:t> </w:t>
      </w:r>
      <w:r>
        <w:rPr>
          <w:color w:val="1D71B8"/>
          <w:sz w:val="18"/>
          <w:u w:val="single" w:color="1D71B8"/>
        </w:rPr>
        <w:t>Plan</w:t>
      </w:r>
      <w:r>
        <w:rPr>
          <w:color w:val="1D71B8"/>
          <w:spacing w:val="-5"/>
          <w:sz w:val="18"/>
          <w:u w:val="single" w:color="1D71B8"/>
        </w:rPr>
        <w:t> </w:t>
      </w:r>
      <w:r>
        <w:rPr>
          <w:color w:val="1D71B8"/>
          <w:sz w:val="18"/>
          <w:u w:val="single" w:color="1D71B8"/>
        </w:rPr>
        <w:t>2020-2025</w:t>
      </w:r>
      <w:r>
        <w:rPr>
          <w:color w:val="1D71B8"/>
          <w:spacing w:val="-4"/>
          <w:sz w:val="18"/>
          <w:u w:val="none"/>
        </w:rPr>
        <w:t> </w:t>
      </w:r>
      <w:r>
        <w:rPr>
          <w:sz w:val="18"/>
          <w:u w:val="none"/>
        </w:rPr>
        <w:t>(2020)</w:t>
      </w:r>
      <w:r>
        <w:rPr>
          <w:spacing w:val="-4"/>
          <w:sz w:val="18"/>
          <w:u w:val="none"/>
        </w:rPr>
        <w:t> </w:t>
      </w:r>
      <w:r>
        <w:rPr>
          <w:spacing w:val="-5"/>
          <w:sz w:val="18"/>
          <w:u w:val="none"/>
        </w:rPr>
        <w:t>4.</w:t>
      </w:r>
    </w:p>
    <w:p>
      <w:pPr>
        <w:pStyle w:val="ListParagraph"/>
        <w:numPr>
          <w:ilvl w:val="0"/>
          <w:numId w:val="18"/>
        </w:numPr>
        <w:tabs>
          <w:tab w:pos="1287" w:val="left" w:leader="none"/>
        </w:tabs>
        <w:spacing w:line="240" w:lineRule="auto" w:before="1" w:after="0"/>
        <w:ind w:left="1287" w:right="1336" w:hanging="567"/>
        <w:jc w:val="left"/>
        <w:rPr>
          <w:sz w:val="18"/>
        </w:rPr>
      </w:pPr>
      <w:r>
        <w:rPr>
          <w:sz w:val="18"/>
        </w:rPr>
        <w:t>NIHRC, </w:t>
      </w:r>
      <w:r>
        <w:rPr>
          <w:color w:val="1D71B8"/>
          <w:sz w:val="18"/>
          <w:u w:val="single" w:color="1D71B8"/>
        </w:rPr>
        <w:t>Response to the European Commission Consultation on the Racial Equality Directive</w:t>
      </w:r>
      <w:r>
        <w:rPr>
          <w:color w:val="1D71B8"/>
          <w:sz w:val="18"/>
          <w:u w:val="none"/>
        </w:rPr>
        <w:t> </w:t>
      </w:r>
      <w:r>
        <w:rPr>
          <w:sz w:val="18"/>
          <w:u w:val="none"/>
        </w:rPr>
        <w:t>(12 April 2022); ECNI, </w:t>
      </w:r>
      <w:r>
        <w:rPr>
          <w:color w:val="1D71B8"/>
          <w:sz w:val="18"/>
          <w:u w:val="single" w:color="1D71B8"/>
        </w:rPr>
        <w:t>Response</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consultation:</w:t>
      </w:r>
      <w:r>
        <w:rPr>
          <w:color w:val="1D71B8"/>
          <w:spacing w:val="-4"/>
          <w:sz w:val="18"/>
          <w:u w:val="single" w:color="1D71B8"/>
        </w:rPr>
        <w:t> </w:t>
      </w:r>
      <w:r>
        <w:rPr>
          <w:color w:val="1D71B8"/>
          <w:sz w:val="18"/>
          <w:u w:val="single" w:color="1D71B8"/>
        </w:rPr>
        <w:t>European</w:t>
      </w:r>
      <w:r>
        <w:rPr>
          <w:color w:val="1D71B8"/>
          <w:spacing w:val="-5"/>
          <w:sz w:val="18"/>
          <w:u w:val="single" w:color="1D71B8"/>
        </w:rPr>
        <w:t> </w:t>
      </w:r>
      <w:r>
        <w:rPr>
          <w:color w:val="1D71B8"/>
          <w:sz w:val="18"/>
          <w:u w:val="single" w:color="1D71B8"/>
        </w:rPr>
        <w:t>Commission</w:t>
      </w:r>
      <w:r>
        <w:rPr>
          <w:color w:val="1D71B8"/>
          <w:spacing w:val="-5"/>
          <w:sz w:val="18"/>
          <w:u w:val="single" w:color="1D71B8"/>
        </w:rPr>
        <w:t> </w:t>
      </w:r>
      <w:r>
        <w:rPr>
          <w:color w:val="1D71B8"/>
          <w:sz w:val="18"/>
          <w:u w:val="single" w:color="1D71B8"/>
        </w:rPr>
        <w:t>-</w:t>
      </w:r>
      <w:r>
        <w:rPr>
          <w:color w:val="1D71B8"/>
          <w:spacing w:val="-5"/>
          <w:sz w:val="18"/>
          <w:u w:val="single" w:color="1D71B8"/>
        </w:rPr>
        <w:t> </w:t>
      </w:r>
      <w:r>
        <w:rPr>
          <w:color w:val="1D71B8"/>
          <w:sz w:val="18"/>
          <w:u w:val="single" w:color="1D71B8"/>
        </w:rPr>
        <w:t>Addressing</w:t>
      </w:r>
      <w:r>
        <w:rPr>
          <w:color w:val="1D71B8"/>
          <w:spacing w:val="-4"/>
          <w:sz w:val="18"/>
          <w:u w:val="single" w:color="1D71B8"/>
        </w:rPr>
        <w:t> </w:t>
      </w:r>
      <w:r>
        <w:rPr>
          <w:color w:val="1D71B8"/>
          <w:sz w:val="18"/>
          <w:u w:val="single" w:color="1D71B8"/>
        </w:rPr>
        <w:t>possible</w:t>
      </w:r>
      <w:r>
        <w:rPr>
          <w:color w:val="1D71B8"/>
          <w:spacing w:val="-4"/>
          <w:sz w:val="18"/>
          <w:u w:val="single" w:color="1D71B8"/>
        </w:rPr>
        <w:t> </w:t>
      </w:r>
      <w:r>
        <w:rPr>
          <w:color w:val="1D71B8"/>
          <w:sz w:val="18"/>
          <w:u w:val="single" w:color="1D71B8"/>
        </w:rPr>
        <w:t>gaps</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Racial</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Directive</w:t>
      </w:r>
      <w:r>
        <w:rPr>
          <w:color w:val="1D71B8"/>
          <w:spacing w:val="-8"/>
          <w:sz w:val="18"/>
          <w:u w:val="none"/>
        </w:rPr>
        <w:t> </w:t>
      </w:r>
      <w:r>
        <w:rPr>
          <w:sz w:val="18"/>
          <w:u w:val="none"/>
        </w:rPr>
        <w:t>(April</w:t>
      </w:r>
      <w:r>
        <w:rPr>
          <w:spacing w:val="-5"/>
          <w:sz w:val="18"/>
          <w:u w:val="none"/>
        </w:rPr>
        <w:t> </w:t>
      </w:r>
      <w:r>
        <w:rPr>
          <w:sz w:val="18"/>
          <w:u w:val="none"/>
        </w:rPr>
        <w:t>2022).</w:t>
      </w:r>
    </w:p>
    <w:p>
      <w:pPr>
        <w:spacing w:after="0" w:line="240" w:lineRule="auto"/>
        <w:jc w:val="left"/>
        <w:rPr>
          <w:sz w:val="18"/>
        </w:rPr>
        <w:sectPr>
          <w:pgSz w:w="11910" w:h="16840"/>
          <w:pgMar w:top="0" w:bottom="280" w:left="300" w:right="280"/>
        </w:sectPr>
      </w:pPr>
    </w:p>
    <w:p>
      <w:pPr>
        <w:pStyle w:val="BodyText"/>
        <w:rPr>
          <w:sz w:val="32"/>
        </w:rPr>
      </w:pPr>
      <w:r>
        <w:rPr/>
        <mc:AlternateContent>
          <mc:Choice Requires="wps">
            <w:drawing>
              <wp:anchor distT="0" distB="0" distL="0" distR="0" allowOverlap="1" layoutInCell="1" locked="0" behindDoc="0" simplePos="0" relativeHeight="15840256">
                <wp:simplePos x="0" y="0"/>
                <wp:positionH relativeFrom="page">
                  <wp:posOffset>-2</wp:posOffset>
                </wp:positionH>
                <wp:positionV relativeFrom="page">
                  <wp:posOffset>0</wp:posOffset>
                </wp:positionV>
                <wp:extent cx="7560309" cy="2413635"/>
                <wp:effectExtent l="0" t="0" r="0" b="0"/>
                <wp:wrapNone/>
                <wp:docPr id="580" name="Group 580"/>
                <wp:cNvGraphicFramePr>
                  <a:graphicFrameLocks/>
                </wp:cNvGraphicFramePr>
                <a:graphic>
                  <a:graphicData uri="http://schemas.microsoft.com/office/word/2010/wordprocessingGroup">
                    <wpg:wgp>
                      <wpg:cNvPr id="580" name="Group 580"/>
                      <wpg:cNvGrpSpPr/>
                      <wpg:grpSpPr>
                        <a:xfrm>
                          <a:off x="0" y="0"/>
                          <a:ext cx="7560309" cy="2413635"/>
                          <a:chExt cx="7560309" cy="2413635"/>
                        </a:xfrm>
                      </wpg:grpSpPr>
                      <wps:wsp>
                        <wps:cNvPr id="581" name="Graphic 581"/>
                        <wps:cNvSpPr/>
                        <wps:spPr>
                          <a:xfrm>
                            <a:off x="899996" y="972002"/>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82" name="Graphic 582"/>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583" name="Graphic 583"/>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584" name="Textbox 584"/>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585" name="Textbox 585"/>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65</w:t>
                              </w:r>
                            </w:p>
                          </w:txbxContent>
                        </wps:txbx>
                        <wps:bodyPr wrap="square" lIns="0" tIns="0" rIns="0" bIns="0" rtlCol="0">
                          <a:noAutofit/>
                        </wps:bodyPr>
                      </wps:wsp>
                      <wps:wsp>
                        <wps:cNvPr id="586" name="Textbox 586"/>
                        <wps:cNvSpPr txBox="1"/>
                        <wps:spPr>
                          <a:xfrm>
                            <a:off x="1116002" y="1080003"/>
                            <a:ext cx="5725160" cy="122555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the</w:t>
                              </w:r>
                              <w:r>
                                <w:rPr>
                                  <w:b/>
                                  <w:color w:val="164194"/>
                                  <w:spacing w:val="-7"/>
                                  <w:sz w:val="28"/>
                                </w:rPr>
                                <w:t> </w:t>
                              </w:r>
                              <w:r>
                                <w:rPr>
                                  <w:b/>
                                  <w:color w:val="164194"/>
                                  <w:sz w:val="28"/>
                                </w:rPr>
                                <w:t>Northern</w:t>
                              </w:r>
                              <w:r>
                                <w:rPr>
                                  <w:b/>
                                  <w:color w:val="164194"/>
                                  <w:spacing w:val="-6"/>
                                  <w:sz w:val="28"/>
                                </w:rPr>
                                <w:t> </w:t>
                              </w:r>
                              <w:r>
                                <w:rPr>
                                  <w:b/>
                                  <w:color w:val="164194"/>
                                  <w:sz w:val="28"/>
                                </w:rPr>
                                <w:t>Ireland</w:t>
                              </w:r>
                              <w:r>
                                <w:rPr>
                                  <w:b/>
                                  <w:color w:val="164194"/>
                                  <w:spacing w:val="-6"/>
                                  <w:sz w:val="28"/>
                                </w:rPr>
                                <w:t> </w:t>
                              </w:r>
                              <w:r>
                                <w:rPr>
                                  <w:b/>
                                  <w:color w:val="164194"/>
                                  <w:sz w:val="28"/>
                                </w:rPr>
                                <w:t>Executive</w:t>
                              </w:r>
                              <w:r>
                                <w:rPr>
                                  <w:b/>
                                  <w:color w:val="164194"/>
                                  <w:spacing w:val="-7"/>
                                  <w:sz w:val="28"/>
                                </w:rPr>
                                <w:t> </w:t>
                              </w:r>
                              <w:r>
                                <w:rPr>
                                  <w:b/>
                                  <w:color w:val="164194"/>
                                  <w:sz w:val="28"/>
                                </w:rPr>
                                <w:t>and</w:t>
                              </w:r>
                              <w:r>
                                <w:rPr>
                                  <w:b/>
                                  <w:color w:val="164194"/>
                                  <w:spacing w:val="-6"/>
                                  <w:sz w:val="28"/>
                                </w:rPr>
                                <w:t> </w:t>
                              </w:r>
                              <w:r>
                                <w:rPr>
                                  <w:b/>
                                  <w:color w:val="164194"/>
                                  <w:sz w:val="28"/>
                                </w:rPr>
                                <w:t>the</w:t>
                              </w:r>
                              <w:r>
                                <w:rPr>
                                  <w:b/>
                                  <w:color w:val="164194"/>
                                  <w:spacing w:val="-7"/>
                                  <w:sz w:val="28"/>
                                </w:rPr>
                                <w:t> </w:t>
                              </w:r>
                              <w:r>
                                <w:rPr>
                                  <w:b/>
                                  <w:color w:val="164194"/>
                                  <w:spacing w:val="-2"/>
                                  <w:sz w:val="28"/>
                                </w:rPr>
                                <w:t>Government</w:t>
                              </w:r>
                            </w:p>
                            <w:p>
                              <w:pPr>
                                <w:spacing w:line="232" w:lineRule="auto" w:before="0"/>
                                <w:ind w:left="0" w:right="0" w:firstLine="0"/>
                                <w:jc w:val="left"/>
                                <w:rPr>
                                  <w:b/>
                                  <w:sz w:val="28"/>
                                </w:rPr>
                              </w:pPr>
                              <w:r>
                                <w:rPr>
                                  <w:b/>
                                  <w:color w:val="164194"/>
                                  <w:sz w:val="28"/>
                                </w:rPr>
                                <w:t>of Ireland consider how to ensure more systematic mutual consideration of legal developments in both jurisdictions to avoid divergence of rights on the island</w:t>
                              </w:r>
                              <w:r>
                                <w:rPr>
                                  <w:b/>
                                  <w:color w:val="164194"/>
                                  <w:spacing w:val="-11"/>
                                  <w:sz w:val="28"/>
                                </w:rPr>
                                <w:t> </w:t>
                              </w:r>
                              <w:r>
                                <w:rPr>
                                  <w:b/>
                                  <w:color w:val="164194"/>
                                  <w:sz w:val="28"/>
                                </w:rPr>
                                <w:t>of</w:t>
                              </w:r>
                              <w:r>
                                <w:rPr>
                                  <w:b/>
                                  <w:color w:val="164194"/>
                                  <w:spacing w:val="-12"/>
                                  <w:sz w:val="28"/>
                                </w:rPr>
                                <w:t> </w:t>
                              </w:r>
                              <w:r>
                                <w:rPr>
                                  <w:b/>
                                  <w:color w:val="164194"/>
                                  <w:sz w:val="28"/>
                                </w:rPr>
                                <w:t>Ireland</w:t>
                              </w:r>
                              <w:r>
                                <w:rPr>
                                  <w:b/>
                                  <w:color w:val="164194"/>
                                  <w:spacing w:val="-11"/>
                                  <w:sz w:val="28"/>
                                </w:rPr>
                                <w:t> </w:t>
                              </w:r>
                              <w:r>
                                <w:rPr>
                                  <w:b/>
                                  <w:color w:val="164194"/>
                                  <w:sz w:val="28"/>
                                </w:rPr>
                                <w:t>post-Brexit,</w:t>
                              </w:r>
                              <w:r>
                                <w:rPr>
                                  <w:b/>
                                  <w:color w:val="164194"/>
                                  <w:spacing w:val="-11"/>
                                  <w:sz w:val="28"/>
                                </w:rPr>
                                <w:t> </w:t>
                              </w:r>
                              <w:r>
                                <w:rPr>
                                  <w:b/>
                                  <w:color w:val="164194"/>
                                  <w:sz w:val="28"/>
                                </w:rPr>
                                <w:t>to</w:t>
                              </w:r>
                              <w:r>
                                <w:rPr>
                                  <w:b/>
                                  <w:color w:val="164194"/>
                                  <w:spacing w:val="-11"/>
                                  <w:sz w:val="28"/>
                                </w:rPr>
                                <w:t> </w:t>
                              </w:r>
                              <w:r>
                                <w:rPr>
                                  <w:b/>
                                  <w:color w:val="164194"/>
                                  <w:sz w:val="28"/>
                                </w:rPr>
                                <w:t>facilitate</w:t>
                              </w:r>
                              <w:r>
                                <w:rPr>
                                  <w:b/>
                                  <w:color w:val="164194"/>
                                  <w:spacing w:val="-12"/>
                                  <w:sz w:val="28"/>
                                </w:rPr>
                                <w:t> </w:t>
                              </w:r>
                              <w:r>
                                <w:rPr>
                                  <w:b/>
                                  <w:color w:val="164194"/>
                                  <w:sz w:val="28"/>
                                </w:rPr>
                                <w:t>equivalence,</w:t>
                              </w:r>
                              <w:r>
                                <w:rPr>
                                  <w:b/>
                                  <w:color w:val="164194"/>
                                  <w:spacing w:val="-11"/>
                                  <w:sz w:val="28"/>
                                </w:rPr>
                                <w:t> </w:t>
                              </w:r>
                              <w:r>
                                <w:rPr>
                                  <w:b/>
                                  <w:color w:val="164194"/>
                                  <w:sz w:val="28"/>
                                </w:rPr>
                                <w:t>to</w:t>
                              </w:r>
                              <w:r>
                                <w:rPr>
                                  <w:b/>
                                  <w:color w:val="164194"/>
                                  <w:spacing w:val="-11"/>
                                  <w:sz w:val="28"/>
                                </w:rPr>
                                <w:t> </w:t>
                              </w:r>
                              <w:r>
                                <w:rPr>
                                  <w:b/>
                                  <w:color w:val="164194"/>
                                  <w:sz w:val="28"/>
                                </w:rPr>
                                <w:t>ensure</w:t>
                              </w:r>
                              <w:r>
                                <w:rPr>
                                  <w:b/>
                                  <w:color w:val="164194"/>
                                  <w:spacing w:val="-12"/>
                                  <w:sz w:val="28"/>
                                </w:rPr>
                                <w:t> </w:t>
                              </w:r>
                              <w:r>
                                <w:rPr>
                                  <w:b/>
                                  <w:color w:val="164194"/>
                                  <w:sz w:val="28"/>
                                </w:rPr>
                                <w:t>consideration of international human rights standards and best practice and to strengthen rights and equality.</w:t>
                              </w:r>
                            </w:p>
                          </w:txbxContent>
                        </wps:txbx>
                        <wps:bodyPr wrap="square" lIns="0" tIns="0" rIns="0" bIns="0" rtlCol="0">
                          <a:noAutofit/>
                        </wps:bodyPr>
                      </wps:wsp>
                    </wpg:wgp>
                  </a:graphicData>
                </a:graphic>
              </wp:anchor>
            </w:drawing>
          </mc:Choice>
          <mc:Fallback>
            <w:pict>
              <v:group style="position:absolute;margin-left:-.000192pt;margin-top:-.00002pt;width:595.3pt;height:190.05pt;mso-position-horizontal-relative:page;mso-position-vertical-relative:page;z-index:15840256" id="docshapegroup467" coordorigin="0,0" coordsize="11906,3801">
                <v:shape style="position:absolute;left:1417;top:1530;width:9468;height:2271" id="docshape468" coordorigin="1417,1531" coordsize="9468,2271" path="m10658,1531l1644,1531,1572,1542,1510,1574,1461,1624,1429,1686,1417,1757,1417,3574,1429,3646,1461,3708,1510,3757,1572,3789,1644,3801,10658,3801,10730,3789,10792,3757,10841,3708,10873,3646,10885,3574,10885,1757,10873,1686,10841,1624,10792,1574,10730,1542,10658,1531xe" filled="true" fillcolor="#e9f3fc" stroked="false">
                  <v:path arrowok="t"/>
                  <v:fill type="solid"/>
                </v:shape>
                <v:shape style="position:absolute;left:0;top:0;width:11906;height:1819" id="docshape469"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470"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471" filled="false" stroked="false">
                  <v:textbox inset="0,0,0,0">
                    <w:txbxContent>
                      <w:p>
                        <w:pPr>
                          <w:spacing w:line="280" w:lineRule="exact" w:before="0"/>
                          <w:ind w:left="0" w:right="0" w:firstLine="0"/>
                          <w:jc w:val="left"/>
                          <w:rPr>
                            <w:b/>
                            <w:sz w:val="28"/>
                          </w:rPr>
                        </w:pPr>
                        <w:r>
                          <w:rPr>
                            <w:b/>
                            <w:color w:val="FFFFFF"/>
                            <w:spacing w:val="-5"/>
                            <w:sz w:val="28"/>
                          </w:rPr>
                          <w:t>65</w:t>
                        </w:r>
                      </w:p>
                    </w:txbxContent>
                  </v:textbox>
                  <w10:wrap type="none"/>
                </v:shape>
                <v:shape style="position:absolute;left:1757;top:1700;width:9016;height:1930" type="#_x0000_t202" id="docshape472" filled="false" stroked="false">
                  <v:textbox inset="0,0,0,0">
                    <w:txbxContent>
                      <w:p>
                        <w:pPr>
                          <w:spacing w:line="279" w:lineRule="exact" w:before="0"/>
                          <w:ind w:left="0" w:right="0"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the</w:t>
                        </w:r>
                        <w:r>
                          <w:rPr>
                            <w:b/>
                            <w:color w:val="164194"/>
                            <w:spacing w:val="-7"/>
                            <w:sz w:val="28"/>
                          </w:rPr>
                          <w:t> </w:t>
                        </w:r>
                        <w:r>
                          <w:rPr>
                            <w:b/>
                            <w:color w:val="164194"/>
                            <w:sz w:val="28"/>
                          </w:rPr>
                          <w:t>Northern</w:t>
                        </w:r>
                        <w:r>
                          <w:rPr>
                            <w:b/>
                            <w:color w:val="164194"/>
                            <w:spacing w:val="-6"/>
                            <w:sz w:val="28"/>
                          </w:rPr>
                          <w:t> </w:t>
                        </w:r>
                        <w:r>
                          <w:rPr>
                            <w:b/>
                            <w:color w:val="164194"/>
                            <w:sz w:val="28"/>
                          </w:rPr>
                          <w:t>Ireland</w:t>
                        </w:r>
                        <w:r>
                          <w:rPr>
                            <w:b/>
                            <w:color w:val="164194"/>
                            <w:spacing w:val="-6"/>
                            <w:sz w:val="28"/>
                          </w:rPr>
                          <w:t> </w:t>
                        </w:r>
                        <w:r>
                          <w:rPr>
                            <w:b/>
                            <w:color w:val="164194"/>
                            <w:sz w:val="28"/>
                          </w:rPr>
                          <w:t>Executive</w:t>
                        </w:r>
                        <w:r>
                          <w:rPr>
                            <w:b/>
                            <w:color w:val="164194"/>
                            <w:spacing w:val="-7"/>
                            <w:sz w:val="28"/>
                          </w:rPr>
                          <w:t> </w:t>
                        </w:r>
                        <w:r>
                          <w:rPr>
                            <w:b/>
                            <w:color w:val="164194"/>
                            <w:sz w:val="28"/>
                          </w:rPr>
                          <w:t>and</w:t>
                        </w:r>
                        <w:r>
                          <w:rPr>
                            <w:b/>
                            <w:color w:val="164194"/>
                            <w:spacing w:val="-6"/>
                            <w:sz w:val="28"/>
                          </w:rPr>
                          <w:t> </w:t>
                        </w:r>
                        <w:r>
                          <w:rPr>
                            <w:b/>
                            <w:color w:val="164194"/>
                            <w:sz w:val="28"/>
                          </w:rPr>
                          <w:t>the</w:t>
                        </w:r>
                        <w:r>
                          <w:rPr>
                            <w:b/>
                            <w:color w:val="164194"/>
                            <w:spacing w:val="-7"/>
                            <w:sz w:val="28"/>
                          </w:rPr>
                          <w:t> </w:t>
                        </w:r>
                        <w:r>
                          <w:rPr>
                            <w:b/>
                            <w:color w:val="164194"/>
                            <w:spacing w:val="-2"/>
                            <w:sz w:val="28"/>
                          </w:rPr>
                          <w:t>Government</w:t>
                        </w:r>
                      </w:p>
                      <w:p>
                        <w:pPr>
                          <w:spacing w:line="232" w:lineRule="auto" w:before="0"/>
                          <w:ind w:left="0" w:right="0" w:firstLine="0"/>
                          <w:jc w:val="left"/>
                          <w:rPr>
                            <w:b/>
                            <w:sz w:val="28"/>
                          </w:rPr>
                        </w:pPr>
                        <w:r>
                          <w:rPr>
                            <w:b/>
                            <w:color w:val="164194"/>
                            <w:sz w:val="28"/>
                          </w:rPr>
                          <w:t>of Ireland consider how to ensure more systematic mutual consideration of legal developments in both jurisdictions to avoid divergence of rights on the island</w:t>
                        </w:r>
                        <w:r>
                          <w:rPr>
                            <w:b/>
                            <w:color w:val="164194"/>
                            <w:spacing w:val="-11"/>
                            <w:sz w:val="28"/>
                          </w:rPr>
                          <w:t> </w:t>
                        </w:r>
                        <w:r>
                          <w:rPr>
                            <w:b/>
                            <w:color w:val="164194"/>
                            <w:sz w:val="28"/>
                          </w:rPr>
                          <w:t>of</w:t>
                        </w:r>
                        <w:r>
                          <w:rPr>
                            <w:b/>
                            <w:color w:val="164194"/>
                            <w:spacing w:val="-12"/>
                            <w:sz w:val="28"/>
                          </w:rPr>
                          <w:t> </w:t>
                        </w:r>
                        <w:r>
                          <w:rPr>
                            <w:b/>
                            <w:color w:val="164194"/>
                            <w:sz w:val="28"/>
                          </w:rPr>
                          <w:t>Ireland</w:t>
                        </w:r>
                        <w:r>
                          <w:rPr>
                            <w:b/>
                            <w:color w:val="164194"/>
                            <w:spacing w:val="-11"/>
                            <w:sz w:val="28"/>
                          </w:rPr>
                          <w:t> </w:t>
                        </w:r>
                        <w:r>
                          <w:rPr>
                            <w:b/>
                            <w:color w:val="164194"/>
                            <w:sz w:val="28"/>
                          </w:rPr>
                          <w:t>post-Brexit,</w:t>
                        </w:r>
                        <w:r>
                          <w:rPr>
                            <w:b/>
                            <w:color w:val="164194"/>
                            <w:spacing w:val="-11"/>
                            <w:sz w:val="28"/>
                          </w:rPr>
                          <w:t> </w:t>
                        </w:r>
                        <w:r>
                          <w:rPr>
                            <w:b/>
                            <w:color w:val="164194"/>
                            <w:sz w:val="28"/>
                          </w:rPr>
                          <w:t>to</w:t>
                        </w:r>
                        <w:r>
                          <w:rPr>
                            <w:b/>
                            <w:color w:val="164194"/>
                            <w:spacing w:val="-11"/>
                            <w:sz w:val="28"/>
                          </w:rPr>
                          <w:t> </w:t>
                        </w:r>
                        <w:r>
                          <w:rPr>
                            <w:b/>
                            <w:color w:val="164194"/>
                            <w:sz w:val="28"/>
                          </w:rPr>
                          <w:t>facilitate</w:t>
                        </w:r>
                        <w:r>
                          <w:rPr>
                            <w:b/>
                            <w:color w:val="164194"/>
                            <w:spacing w:val="-12"/>
                            <w:sz w:val="28"/>
                          </w:rPr>
                          <w:t> </w:t>
                        </w:r>
                        <w:r>
                          <w:rPr>
                            <w:b/>
                            <w:color w:val="164194"/>
                            <w:sz w:val="28"/>
                          </w:rPr>
                          <w:t>equivalence,</w:t>
                        </w:r>
                        <w:r>
                          <w:rPr>
                            <w:b/>
                            <w:color w:val="164194"/>
                            <w:spacing w:val="-11"/>
                            <w:sz w:val="28"/>
                          </w:rPr>
                          <w:t> </w:t>
                        </w:r>
                        <w:r>
                          <w:rPr>
                            <w:b/>
                            <w:color w:val="164194"/>
                            <w:sz w:val="28"/>
                          </w:rPr>
                          <w:t>to</w:t>
                        </w:r>
                        <w:r>
                          <w:rPr>
                            <w:b/>
                            <w:color w:val="164194"/>
                            <w:spacing w:val="-11"/>
                            <w:sz w:val="28"/>
                          </w:rPr>
                          <w:t> </w:t>
                        </w:r>
                        <w:r>
                          <w:rPr>
                            <w:b/>
                            <w:color w:val="164194"/>
                            <w:sz w:val="28"/>
                          </w:rPr>
                          <w:t>ensure</w:t>
                        </w:r>
                        <w:r>
                          <w:rPr>
                            <w:b/>
                            <w:color w:val="164194"/>
                            <w:spacing w:val="-12"/>
                            <w:sz w:val="28"/>
                          </w:rPr>
                          <w:t> </w:t>
                        </w:r>
                        <w:r>
                          <w:rPr>
                            <w:b/>
                            <w:color w:val="164194"/>
                            <w:sz w:val="28"/>
                          </w:rPr>
                          <w:t>consideration of international human rights standards and best practice and to strengthen rights and equality.</w:t>
                        </w:r>
                      </w:p>
                    </w:txbxContent>
                  </v:textbox>
                  <w10:wrap type="none"/>
                </v:shape>
                <w10:wrap type="none"/>
              </v:group>
            </w:pict>
          </mc:Fallback>
        </mc:AlternateConten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82"/>
        <w:rPr>
          <w:sz w:val="32"/>
        </w:rPr>
      </w:pPr>
    </w:p>
    <w:p>
      <w:pPr>
        <w:pStyle w:val="Heading2"/>
        <w:numPr>
          <w:ilvl w:val="1"/>
          <w:numId w:val="21"/>
        </w:numPr>
        <w:tabs>
          <w:tab w:pos="1599" w:val="left" w:leader="none"/>
        </w:tabs>
        <w:spacing w:line="240" w:lineRule="auto" w:before="0" w:after="0"/>
        <w:ind w:left="1599" w:right="0" w:hanging="482"/>
        <w:jc w:val="left"/>
      </w:pPr>
      <w:bookmarkStart w:name="3.6 Religion or Belief" w:id="92"/>
      <w:bookmarkEnd w:id="92"/>
      <w:r>
        <w:rPr>
          <w:b w:val="0"/>
        </w:rPr>
      </w:r>
      <w:bookmarkStart w:name="3.7 Sexual Orientation" w:id="93"/>
      <w:bookmarkEnd w:id="93"/>
      <w:r>
        <w:rPr>
          <w:b w:val="0"/>
        </w:rPr>
      </w:r>
      <w:bookmarkStart w:name="_bookmark38" w:id="94"/>
      <w:bookmarkEnd w:id="94"/>
      <w:r>
        <w:rPr>
          <w:b w:val="0"/>
        </w:rPr>
      </w:r>
      <w:r>
        <w:rPr>
          <w:color w:val="004A93"/>
        </w:rPr>
        <w:t>Religion</w:t>
      </w:r>
      <w:r>
        <w:rPr>
          <w:color w:val="004A93"/>
          <w:spacing w:val="-4"/>
        </w:rPr>
        <w:t> </w:t>
      </w:r>
      <w:r>
        <w:rPr>
          <w:color w:val="004A93"/>
        </w:rPr>
        <w:t>or</w:t>
      </w:r>
      <w:r>
        <w:rPr>
          <w:color w:val="004A93"/>
          <w:spacing w:val="-3"/>
        </w:rPr>
        <w:t> </w:t>
      </w:r>
      <w:r>
        <w:rPr>
          <w:color w:val="004A93"/>
          <w:spacing w:val="-2"/>
        </w:rPr>
        <w:t>Belief</w:t>
      </w:r>
    </w:p>
    <w:p>
      <w:pPr>
        <w:pStyle w:val="BodyText"/>
        <w:spacing w:before="9"/>
        <w:rPr>
          <w:b/>
          <w:sz w:val="5"/>
        </w:rPr>
      </w:pPr>
      <w:r>
        <w:rPr/>
        <mc:AlternateContent>
          <mc:Choice Requires="wps">
            <w:drawing>
              <wp:anchor distT="0" distB="0" distL="0" distR="0" allowOverlap="1" layoutInCell="1" locked="0" behindDoc="1" simplePos="0" relativeHeight="487697408">
                <wp:simplePos x="0" y="0"/>
                <wp:positionH relativeFrom="page">
                  <wp:posOffset>899999</wp:posOffset>
                </wp:positionH>
                <wp:positionV relativeFrom="paragraph">
                  <wp:posOffset>59963</wp:posOffset>
                </wp:positionV>
                <wp:extent cx="6012180" cy="1270"/>
                <wp:effectExtent l="0" t="0" r="0" b="0"/>
                <wp:wrapTopAndBottom/>
                <wp:docPr id="587" name="Graphic 587"/>
                <wp:cNvGraphicFramePr>
                  <a:graphicFrameLocks/>
                </wp:cNvGraphicFramePr>
                <a:graphic>
                  <a:graphicData uri="http://schemas.microsoft.com/office/word/2010/wordprocessingShape">
                    <wps:wsp>
                      <wps:cNvPr id="587" name="Graphic 587"/>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721550pt;width:473.4pt;height:.1pt;mso-position-horizontal-relative:page;mso-position-vertical-relative:paragraph;z-index:-15619072;mso-wrap-distance-left:0;mso-wrap-distance-right:0" id="docshape473" coordorigin="1417,94" coordsize="9468,0" path="m1417,94l10885,94e" filled="false" stroked="true" strokeweight="1pt" strokecolor="#36a9e1">
                <v:path arrowok="t"/>
                <v:stroke dashstyle="solid"/>
                <w10:wrap type="topAndBottom"/>
              </v:shape>
            </w:pict>
          </mc:Fallback>
        </mc:AlternateContent>
      </w:r>
    </w:p>
    <w:p>
      <w:pPr>
        <w:pStyle w:val="BodyText"/>
        <w:spacing w:line="232" w:lineRule="auto" w:before="108"/>
        <w:ind w:left="1117" w:right="1087"/>
        <w:rPr>
          <w:b/>
        </w:rPr>
      </w:pPr>
      <w:r>
        <w:rPr/>
        <w:t>In</w:t>
      </w:r>
      <w:r>
        <w:rPr>
          <w:spacing w:val="-5"/>
        </w:rPr>
        <w:t> </w:t>
      </w:r>
      <w:r>
        <w:rPr/>
        <w:t>some</w:t>
      </w:r>
      <w:r>
        <w:rPr>
          <w:spacing w:val="-5"/>
        </w:rPr>
        <w:t> </w:t>
      </w:r>
      <w:r>
        <w:rPr/>
        <w:t>respects,</w:t>
      </w:r>
      <w:r>
        <w:rPr>
          <w:spacing w:val="-5"/>
        </w:rPr>
        <w:t> </w:t>
      </w:r>
      <w:r>
        <w:rPr/>
        <w:t>the</w:t>
      </w:r>
      <w:r>
        <w:rPr>
          <w:spacing w:val="-5"/>
        </w:rPr>
        <w:t> </w:t>
      </w:r>
      <w:r>
        <w:rPr/>
        <w:t>protections</w:t>
      </w:r>
      <w:r>
        <w:rPr>
          <w:spacing w:val="-5"/>
        </w:rPr>
        <w:t> </w:t>
      </w:r>
      <w:r>
        <w:rPr/>
        <w:t>against</w:t>
      </w:r>
      <w:r>
        <w:rPr>
          <w:spacing w:val="-5"/>
        </w:rPr>
        <w:t> </w:t>
      </w:r>
      <w:r>
        <w:rPr/>
        <w:t>discrimination</w:t>
      </w:r>
      <w:r>
        <w:rPr>
          <w:spacing w:val="-5"/>
        </w:rPr>
        <w:t> </w:t>
      </w:r>
      <w:r>
        <w:rPr/>
        <w:t>on</w:t>
      </w:r>
      <w:r>
        <w:rPr>
          <w:spacing w:val="-5"/>
        </w:rPr>
        <w:t> </w:t>
      </w:r>
      <w:r>
        <w:rPr/>
        <w:t>ground</w:t>
      </w:r>
      <w:r>
        <w:rPr>
          <w:spacing w:val="-5"/>
        </w:rPr>
        <w:t> </w:t>
      </w:r>
      <w:r>
        <w:rPr/>
        <w:t>of</w:t>
      </w:r>
      <w:r>
        <w:rPr>
          <w:spacing w:val="-5"/>
        </w:rPr>
        <w:t> </w:t>
      </w:r>
      <w:r>
        <w:rPr/>
        <w:t>religion</w:t>
      </w:r>
      <w:r>
        <w:rPr>
          <w:spacing w:val="-5"/>
        </w:rPr>
        <w:t> </w:t>
      </w:r>
      <w:r>
        <w:rPr/>
        <w:t>or belief</w:t>
      </w:r>
      <w:r>
        <w:rPr>
          <w:spacing w:val="-7"/>
        </w:rPr>
        <w:t> </w:t>
      </w:r>
      <w:r>
        <w:rPr/>
        <w:t>are</w:t>
      </w:r>
      <w:r>
        <w:rPr>
          <w:spacing w:val="-6"/>
        </w:rPr>
        <w:t> </w:t>
      </w:r>
      <w:r>
        <w:rPr/>
        <w:t>broader</w:t>
      </w:r>
      <w:r>
        <w:rPr>
          <w:spacing w:val="-6"/>
        </w:rPr>
        <w:t> </w:t>
      </w:r>
      <w:r>
        <w:rPr/>
        <w:t>in</w:t>
      </w:r>
      <w:r>
        <w:rPr>
          <w:spacing w:val="-7"/>
        </w:rPr>
        <w:t> </w:t>
      </w:r>
      <w:r>
        <w:rPr/>
        <w:t>Northern</w:t>
      </w:r>
      <w:r>
        <w:rPr>
          <w:spacing w:val="-7"/>
        </w:rPr>
        <w:t> </w:t>
      </w:r>
      <w:r>
        <w:rPr/>
        <w:t>Ireland.</w:t>
      </w:r>
      <w:r>
        <w:rPr>
          <w:spacing w:val="-7"/>
        </w:rPr>
        <w:t> </w:t>
      </w:r>
      <w:r>
        <w:rPr/>
        <w:t>The</w:t>
      </w:r>
      <w:r>
        <w:rPr>
          <w:spacing w:val="-6"/>
        </w:rPr>
        <w:t> </w:t>
      </w:r>
      <w:r>
        <w:rPr/>
        <w:t>Northern</w:t>
      </w:r>
      <w:r>
        <w:rPr>
          <w:spacing w:val="-7"/>
        </w:rPr>
        <w:t> </w:t>
      </w:r>
      <w:r>
        <w:rPr/>
        <w:t>Ireland</w:t>
      </w:r>
      <w:r>
        <w:rPr>
          <w:spacing w:val="-7"/>
        </w:rPr>
        <w:t> </w:t>
      </w:r>
      <w:r>
        <w:rPr/>
        <w:t>legislation</w:t>
      </w:r>
      <w:r>
        <w:rPr>
          <w:spacing w:val="-7"/>
        </w:rPr>
        <w:t> </w:t>
      </w:r>
      <w:r>
        <w:rPr/>
        <w:t>prohibits discrimination</w:t>
      </w:r>
      <w:r>
        <w:rPr>
          <w:spacing w:val="-5"/>
        </w:rPr>
        <w:t> </w:t>
      </w:r>
      <w:r>
        <w:rPr/>
        <w:t>on</w:t>
      </w:r>
      <w:r>
        <w:rPr>
          <w:spacing w:val="-5"/>
        </w:rPr>
        <w:t> </w:t>
      </w:r>
      <w:r>
        <w:rPr/>
        <w:t>grounds</w:t>
      </w:r>
      <w:r>
        <w:rPr>
          <w:spacing w:val="-5"/>
        </w:rPr>
        <w:t> </w:t>
      </w:r>
      <w:r>
        <w:rPr/>
        <w:t>of</w:t>
      </w:r>
      <w:r>
        <w:rPr>
          <w:spacing w:val="-5"/>
        </w:rPr>
        <w:t> </w:t>
      </w:r>
      <w:r>
        <w:rPr/>
        <w:t>religion</w:t>
      </w:r>
      <w:r>
        <w:rPr>
          <w:spacing w:val="-5"/>
        </w:rPr>
        <w:t> </w:t>
      </w:r>
      <w:r>
        <w:rPr/>
        <w:t>and</w:t>
      </w:r>
      <w:r>
        <w:rPr>
          <w:spacing w:val="-5"/>
        </w:rPr>
        <w:t> </w:t>
      </w:r>
      <w:r>
        <w:rPr/>
        <w:t>political</w:t>
      </w:r>
      <w:r>
        <w:rPr>
          <w:spacing w:val="-5"/>
        </w:rPr>
        <w:t> </w:t>
      </w:r>
      <w:r>
        <w:rPr/>
        <w:t>opinion</w:t>
      </w:r>
      <w:r>
        <w:rPr>
          <w:vertAlign w:val="superscript"/>
        </w:rPr>
        <w:t>361</w:t>
      </w:r>
      <w:r>
        <w:rPr>
          <w:spacing w:val="-5"/>
          <w:vertAlign w:val="baseline"/>
        </w:rPr>
        <w:t> </w:t>
      </w:r>
      <w:r>
        <w:rPr>
          <w:vertAlign w:val="baseline"/>
        </w:rPr>
        <w:t>and</w:t>
      </w:r>
      <w:r>
        <w:rPr>
          <w:spacing w:val="-5"/>
          <w:vertAlign w:val="baseline"/>
        </w:rPr>
        <w:t> </w:t>
      </w:r>
      <w:r>
        <w:rPr>
          <w:vertAlign w:val="baseline"/>
        </w:rPr>
        <w:t>also</w:t>
      </w:r>
      <w:r>
        <w:rPr>
          <w:spacing w:val="-5"/>
          <w:vertAlign w:val="baseline"/>
        </w:rPr>
        <w:t> </w:t>
      </w:r>
      <w:r>
        <w:rPr>
          <w:vertAlign w:val="baseline"/>
        </w:rPr>
        <w:t>recognises that religious belief includes any religion or ‘similar philosophical belief’.</w:t>
      </w:r>
      <w:r>
        <w:rPr>
          <w:vertAlign w:val="superscript"/>
        </w:rPr>
        <w:t>362</w:t>
      </w:r>
      <w:r>
        <w:rPr>
          <w:vertAlign w:val="baseline"/>
        </w:rPr>
        <w:t> The Irish legislation seems to only prohibit discrimination on grounds of religious belief.</w:t>
      </w:r>
      <w:r>
        <w:rPr>
          <w:vertAlign w:val="superscript"/>
        </w:rPr>
        <w:t>363</w:t>
      </w:r>
      <w:r>
        <w:rPr>
          <w:vertAlign w:val="baseline"/>
        </w:rPr>
        <w:t> This is narrower than the requirements of the </w:t>
      </w:r>
      <w:r>
        <w:rPr>
          <w:b/>
          <w:vertAlign w:val="baseline"/>
        </w:rPr>
        <w:t>EU General Framework</w:t>
      </w:r>
    </w:p>
    <w:p>
      <w:pPr>
        <w:pStyle w:val="BodyText"/>
        <w:spacing w:line="232" w:lineRule="auto"/>
        <w:ind w:left="1117" w:right="738"/>
      </w:pPr>
      <w:r>
        <w:rPr>
          <w:b/>
        </w:rPr>
        <w:t>Directive</w:t>
      </w:r>
      <w:r>
        <w:rPr>
          <w:b/>
          <w:spacing w:val="-9"/>
        </w:rPr>
        <w:t> </w:t>
      </w:r>
      <w:r>
        <w:rPr/>
        <w:t>which</w:t>
      </w:r>
      <w:r>
        <w:rPr>
          <w:spacing w:val="-10"/>
        </w:rPr>
        <w:t> </w:t>
      </w:r>
      <w:r>
        <w:rPr/>
        <w:t>refers</w:t>
      </w:r>
      <w:r>
        <w:rPr>
          <w:spacing w:val="-10"/>
        </w:rPr>
        <w:t> </w:t>
      </w:r>
      <w:r>
        <w:rPr/>
        <w:t>to</w:t>
      </w:r>
      <w:r>
        <w:rPr>
          <w:spacing w:val="-10"/>
        </w:rPr>
        <w:t> </w:t>
      </w:r>
      <w:r>
        <w:rPr/>
        <w:t>‘religion</w:t>
      </w:r>
      <w:r>
        <w:rPr>
          <w:spacing w:val="-10"/>
        </w:rPr>
        <w:t> </w:t>
      </w:r>
      <w:r>
        <w:rPr/>
        <w:t>or</w:t>
      </w:r>
      <w:r>
        <w:rPr>
          <w:spacing w:val="-9"/>
        </w:rPr>
        <w:t> </w:t>
      </w:r>
      <w:r>
        <w:rPr/>
        <w:t>belief’.</w:t>
      </w:r>
      <w:r>
        <w:rPr>
          <w:vertAlign w:val="superscript"/>
        </w:rPr>
        <w:t>364</w:t>
      </w:r>
      <w:r>
        <w:rPr>
          <w:spacing w:val="-10"/>
          <w:vertAlign w:val="baseline"/>
        </w:rPr>
        <w:t> </w:t>
      </w:r>
      <w:r>
        <w:rPr>
          <w:vertAlign w:val="baseline"/>
        </w:rPr>
        <w:t>The</w:t>
      </w:r>
      <w:r>
        <w:rPr>
          <w:spacing w:val="-9"/>
          <w:vertAlign w:val="baseline"/>
        </w:rPr>
        <w:t> </w:t>
      </w:r>
      <w:r>
        <w:rPr>
          <w:vertAlign w:val="baseline"/>
        </w:rPr>
        <w:t>consultation</w:t>
      </w:r>
      <w:r>
        <w:rPr>
          <w:spacing w:val="-10"/>
          <w:vertAlign w:val="baseline"/>
        </w:rPr>
        <w:t> </w:t>
      </w:r>
      <w:r>
        <w:rPr>
          <w:vertAlign w:val="baseline"/>
        </w:rPr>
        <w:t>on</w:t>
      </w:r>
      <w:r>
        <w:rPr>
          <w:spacing w:val="-10"/>
          <w:vertAlign w:val="baseline"/>
        </w:rPr>
        <w:t> </w:t>
      </w:r>
      <w:r>
        <w:rPr>
          <w:vertAlign w:val="baseline"/>
        </w:rPr>
        <w:t>the</w:t>
      </w:r>
      <w:r>
        <w:rPr>
          <w:spacing w:val="-9"/>
          <w:vertAlign w:val="baseline"/>
        </w:rPr>
        <w:t> </w:t>
      </w:r>
      <w:r>
        <w:rPr>
          <w:vertAlign w:val="baseline"/>
        </w:rPr>
        <w:t>Irish</w:t>
      </w:r>
      <w:r>
        <w:rPr>
          <w:spacing w:val="-10"/>
          <w:vertAlign w:val="baseline"/>
        </w:rPr>
        <w:t> </w:t>
      </w:r>
      <w:r>
        <w:rPr>
          <w:vertAlign w:val="baseline"/>
        </w:rPr>
        <w:t>equality legislation has noted this already</w:t>
      </w:r>
      <w:r>
        <w:rPr>
          <w:vertAlign w:val="superscript"/>
        </w:rPr>
        <w:t>365</w:t>
      </w:r>
      <w:r>
        <w:rPr>
          <w:vertAlign w:val="baseline"/>
        </w:rPr>
        <w:t> and in this context the Irish Human Rights and Equality Commission has recommended that the religion ground be amended to the</w:t>
      </w:r>
      <w:r>
        <w:rPr>
          <w:spacing w:val="-3"/>
          <w:vertAlign w:val="baseline"/>
        </w:rPr>
        <w:t> </w:t>
      </w:r>
      <w:r>
        <w:rPr>
          <w:vertAlign w:val="baseline"/>
        </w:rPr>
        <w:t>‘religion</w:t>
      </w:r>
      <w:r>
        <w:rPr>
          <w:spacing w:val="-4"/>
          <w:vertAlign w:val="baseline"/>
        </w:rPr>
        <w:t> </w:t>
      </w:r>
      <w:r>
        <w:rPr>
          <w:vertAlign w:val="baseline"/>
        </w:rPr>
        <w:t>or</w:t>
      </w:r>
      <w:r>
        <w:rPr>
          <w:spacing w:val="-3"/>
          <w:vertAlign w:val="baseline"/>
        </w:rPr>
        <w:t> </w:t>
      </w:r>
      <w:r>
        <w:rPr>
          <w:vertAlign w:val="baseline"/>
        </w:rPr>
        <w:t>belief’</w:t>
      </w:r>
      <w:r>
        <w:rPr>
          <w:spacing w:val="-3"/>
          <w:vertAlign w:val="baseline"/>
        </w:rPr>
        <w:t> </w:t>
      </w:r>
      <w:r>
        <w:rPr>
          <w:vertAlign w:val="baseline"/>
        </w:rPr>
        <w:t>ground</w:t>
      </w:r>
      <w:r>
        <w:rPr>
          <w:spacing w:val="-4"/>
          <w:vertAlign w:val="baseline"/>
        </w:rPr>
        <w:t> </w:t>
      </w:r>
      <w:r>
        <w:rPr>
          <w:vertAlign w:val="baseline"/>
        </w:rPr>
        <w:t>to</w:t>
      </w:r>
      <w:r>
        <w:rPr>
          <w:spacing w:val="-4"/>
          <w:vertAlign w:val="baseline"/>
        </w:rPr>
        <w:t> </w:t>
      </w:r>
      <w:r>
        <w:rPr>
          <w:vertAlign w:val="baseline"/>
        </w:rPr>
        <w:t>comply</w:t>
      </w:r>
      <w:r>
        <w:rPr>
          <w:spacing w:val="-3"/>
          <w:vertAlign w:val="baseline"/>
        </w:rPr>
        <w:t> </w:t>
      </w:r>
      <w:r>
        <w:rPr>
          <w:vertAlign w:val="baseline"/>
        </w:rPr>
        <w:t>with</w:t>
      </w:r>
      <w:r>
        <w:rPr>
          <w:spacing w:val="-4"/>
          <w:vertAlign w:val="baseline"/>
        </w:rPr>
        <w:t> </w:t>
      </w:r>
      <w:r>
        <w:rPr>
          <w:vertAlign w:val="baseline"/>
        </w:rPr>
        <w:t>EU</w:t>
      </w:r>
      <w:r>
        <w:rPr>
          <w:spacing w:val="-3"/>
          <w:vertAlign w:val="baseline"/>
        </w:rPr>
        <w:t> </w:t>
      </w:r>
      <w:r>
        <w:rPr>
          <w:vertAlign w:val="baseline"/>
        </w:rPr>
        <w:t>law.</w:t>
      </w:r>
      <w:r>
        <w:rPr>
          <w:vertAlign w:val="superscript"/>
        </w:rPr>
        <w:t>366</w:t>
      </w:r>
      <w:r>
        <w:rPr>
          <w:spacing w:val="-4"/>
          <w:vertAlign w:val="baseline"/>
        </w:rPr>
        <w:t> </w:t>
      </w:r>
      <w:r>
        <w:rPr>
          <w:vertAlign w:val="baseline"/>
        </w:rPr>
        <w:t>The</w:t>
      </w:r>
      <w:r>
        <w:rPr>
          <w:spacing w:val="-3"/>
          <w:vertAlign w:val="baseline"/>
        </w:rPr>
        <w:t> </w:t>
      </w:r>
      <w:r>
        <w:rPr>
          <w:vertAlign w:val="baseline"/>
        </w:rPr>
        <w:t>narrowness</w:t>
      </w:r>
      <w:r>
        <w:rPr>
          <w:spacing w:val="-4"/>
          <w:vertAlign w:val="baseline"/>
        </w:rPr>
        <w:t> </w:t>
      </w:r>
      <w:r>
        <w:rPr>
          <w:vertAlign w:val="baseline"/>
        </w:rPr>
        <w:t>of</w:t>
      </w:r>
      <w:r>
        <w:rPr>
          <w:spacing w:val="-4"/>
          <w:vertAlign w:val="baseline"/>
        </w:rPr>
        <w:t> </w:t>
      </w:r>
      <w:r>
        <w:rPr>
          <w:vertAlign w:val="baseline"/>
        </w:rPr>
        <w:t>the</w:t>
      </w:r>
      <w:r>
        <w:rPr>
          <w:spacing w:val="-3"/>
          <w:vertAlign w:val="baseline"/>
        </w:rPr>
        <w:t> </w:t>
      </w:r>
      <w:r>
        <w:rPr>
          <w:vertAlign w:val="baseline"/>
        </w:rPr>
        <w:t>Irish legislation also means that Ireland is not respecting the principle of equivalence in the 1998 Agreement as well as not fully implementing EU law.</w:t>
      </w:r>
    </w:p>
    <w:p>
      <w:pPr>
        <w:pStyle w:val="BodyText"/>
        <w:spacing w:before="1"/>
        <w:rPr>
          <w:sz w:val="19"/>
        </w:rPr>
      </w:pPr>
      <w:r>
        <w:rPr/>
        <mc:AlternateContent>
          <mc:Choice Requires="wps">
            <w:drawing>
              <wp:anchor distT="0" distB="0" distL="0" distR="0" allowOverlap="1" layoutInCell="1" locked="0" behindDoc="1" simplePos="0" relativeHeight="487697920">
                <wp:simplePos x="0" y="0"/>
                <wp:positionH relativeFrom="page">
                  <wp:posOffset>899994</wp:posOffset>
                </wp:positionH>
                <wp:positionV relativeFrom="paragraph">
                  <wp:posOffset>163162</wp:posOffset>
                </wp:positionV>
                <wp:extent cx="6012180" cy="813435"/>
                <wp:effectExtent l="0" t="0" r="0" b="0"/>
                <wp:wrapTopAndBottom/>
                <wp:docPr id="588" name="Group 588"/>
                <wp:cNvGraphicFramePr>
                  <a:graphicFrameLocks/>
                </wp:cNvGraphicFramePr>
                <a:graphic>
                  <a:graphicData uri="http://schemas.microsoft.com/office/word/2010/wordprocessingGroup">
                    <wpg:wgp>
                      <wpg:cNvPr id="588" name="Group 588"/>
                      <wpg:cNvGrpSpPr/>
                      <wpg:grpSpPr>
                        <a:xfrm>
                          <a:off x="0" y="0"/>
                          <a:ext cx="6012180" cy="813435"/>
                          <a:chExt cx="6012180" cy="813435"/>
                        </a:xfrm>
                      </wpg:grpSpPr>
                      <wps:wsp>
                        <wps:cNvPr id="589" name="Graphic 589"/>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590" name="Textbox 590"/>
                        <wps:cNvSpPr txBox="1"/>
                        <wps:spPr>
                          <a:xfrm>
                            <a:off x="0" y="0"/>
                            <a:ext cx="6012180" cy="81343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12"/>
                                  <w:sz w:val="28"/>
                                </w:rPr>
                                <w:t> </w:t>
                              </w:r>
                              <w:r>
                                <w:rPr>
                                  <w:b/>
                                  <w:color w:val="164194"/>
                                  <w:sz w:val="28"/>
                                </w:rPr>
                                <w:t>recommend</w:t>
                              </w:r>
                              <w:r>
                                <w:rPr>
                                  <w:b/>
                                  <w:color w:val="164194"/>
                                  <w:spacing w:val="-11"/>
                                  <w:sz w:val="28"/>
                                </w:rPr>
                                <w:t> </w:t>
                              </w:r>
                              <w:r>
                                <w:rPr>
                                  <w:b/>
                                  <w:color w:val="164194"/>
                                  <w:sz w:val="28"/>
                                </w:rPr>
                                <w:t>that</w:t>
                              </w:r>
                              <w:r>
                                <w:rPr>
                                  <w:b/>
                                  <w:color w:val="164194"/>
                                  <w:spacing w:val="-11"/>
                                  <w:sz w:val="28"/>
                                </w:rPr>
                                <w:t> </w:t>
                              </w:r>
                              <w:r>
                                <w:rPr>
                                  <w:b/>
                                  <w:color w:val="164194"/>
                                  <w:sz w:val="28"/>
                                </w:rPr>
                                <w:t>the</w:t>
                              </w:r>
                              <w:r>
                                <w:rPr>
                                  <w:b/>
                                  <w:color w:val="164194"/>
                                  <w:spacing w:val="-12"/>
                                  <w:sz w:val="28"/>
                                </w:rPr>
                                <w:t> </w:t>
                              </w:r>
                              <w:r>
                                <w:rPr>
                                  <w:b/>
                                  <w:color w:val="164194"/>
                                  <w:sz w:val="28"/>
                                </w:rPr>
                                <w:t>Irish</w:t>
                              </w:r>
                              <w:r>
                                <w:rPr>
                                  <w:b/>
                                  <w:color w:val="164194"/>
                                  <w:spacing w:val="-11"/>
                                  <w:sz w:val="28"/>
                                </w:rPr>
                                <w:t> </w:t>
                              </w:r>
                              <w:r>
                                <w:rPr>
                                  <w:b/>
                                  <w:color w:val="164194"/>
                                  <w:sz w:val="28"/>
                                </w:rPr>
                                <w:t>Department</w:t>
                              </w:r>
                              <w:r>
                                <w:rPr>
                                  <w:b/>
                                  <w:color w:val="164194"/>
                                  <w:spacing w:val="-11"/>
                                  <w:sz w:val="28"/>
                                </w:rPr>
                                <w:t> </w:t>
                              </w:r>
                              <w:r>
                                <w:rPr>
                                  <w:b/>
                                  <w:color w:val="164194"/>
                                  <w:sz w:val="28"/>
                                </w:rPr>
                                <w:t>for</w:t>
                              </w:r>
                              <w:r>
                                <w:rPr>
                                  <w:b/>
                                  <w:color w:val="164194"/>
                                  <w:spacing w:val="-12"/>
                                  <w:sz w:val="28"/>
                                </w:rPr>
                                <w:t> </w:t>
                              </w:r>
                              <w:r>
                                <w:rPr>
                                  <w:b/>
                                  <w:color w:val="164194"/>
                                  <w:sz w:val="28"/>
                                </w:rPr>
                                <w:t>Children,</w:t>
                              </w:r>
                              <w:r>
                                <w:rPr>
                                  <w:b/>
                                  <w:color w:val="164194"/>
                                  <w:spacing w:val="-11"/>
                                  <w:sz w:val="28"/>
                                </w:rPr>
                                <w:t> </w:t>
                              </w:r>
                              <w:r>
                                <w:rPr>
                                  <w:b/>
                                  <w:color w:val="164194"/>
                                  <w:sz w:val="28"/>
                                </w:rPr>
                                <w:t>Equality,</w:t>
                              </w:r>
                              <w:r>
                                <w:rPr>
                                  <w:b/>
                                  <w:color w:val="164194"/>
                                  <w:spacing w:val="-11"/>
                                  <w:sz w:val="28"/>
                                </w:rPr>
                                <w:t> </w:t>
                              </w:r>
                              <w:r>
                                <w:rPr>
                                  <w:b/>
                                  <w:color w:val="164194"/>
                                  <w:sz w:val="28"/>
                                </w:rPr>
                                <w:t>Disability, Integration and Youth include proposals to amend Irish law on ‘religious belief’ to include ‘religion or belief’ to bring it into line with EU law.</w:t>
                              </w:r>
                            </w:p>
                          </w:txbxContent>
                        </wps:txbx>
                        <wps:bodyPr wrap="square" lIns="0" tIns="0" rIns="0" bIns="0" rtlCol="0">
                          <a:noAutofit/>
                        </wps:bodyPr>
                      </wps:wsp>
                    </wpg:wgp>
                  </a:graphicData>
                </a:graphic>
              </wp:anchor>
            </w:drawing>
          </mc:Choice>
          <mc:Fallback>
            <w:pict>
              <v:group style="position:absolute;margin-left:70.8657pt;margin-top:12.847419pt;width:473.4pt;height:64.05pt;mso-position-horizontal-relative:page;mso-position-vertical-relative:paragraph;z-index:-15618560;mso-wrap-distance-left:0;mso-wrap-distance-right:0" id="docshapegroup474" coordorigin="1417,257" coordsize="9468,1281">
                <v:shape style="position:absolute;left:1417;top:256;width:9468;height:1281" id="docshape475" coordorigin="1417,257" coordsize="9468,1281" path="m10658,257l1644,257,1572,269,1510,301,1461,350,1429,412,1417,484,1417,1310,1429,1382,1461,1444,1510,1493,1572,1526,1644,1537,10658,1537,10730,1526,10792,1493,10841,1444,10873,1382,10885,1310,10885,484,10873,412,10841,350,10792,301,10730,269,10658,257xe" filled="true" fillcolor="#e9f3fc" stroked="false">
                  <v:path arrowok="t"/>
                  <v:fill type="solid"/>
                </v:shape>
                <v:shape style="position:absolute;left:1417;top:256;width:9468;height:1281" type="#_x0000_t202" id="docshape476"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12"/>
                            <w:sz w:val="28"/>
                          </w:rPr>
                          <w:t> </w:t>
                        </w:r>
                        <w:r>
                          <w:rPr>
                            <w:b/>
                            <w:color w:val="164194"/>
                            <w:sz w:val="28"/>
                          </w:rPr>
                          <w:t>recommend</w:t>
                        </w:r>
                        <w:r>
                          <w:rPr>
                            <w:b/>
                            <w:color w:val="164194"/>
                            <w:spacing w:val="-11"/>
                            <w:sz w:val="28"/>
                          </w:rPr>
                          <w:t> </w:t>
                        </w:r>
                        <w:r>
                          <w:rPr>
                            <w:b/>
                            <w:color w:val="164194"/>
                            <w:sz w:val="28"/>
                          </w:rPr>
                          <w:t>that</w:t>
                        </w:r>
                        <w:r>
                          <w:rPr>
                            <w:b/>
                            <w:color w:val="164194"/>
                            <w:spacing w:val="-11"/>
                            <w:sz w:val="28"/>
                          </w:rPr>
                          <w:t> </w:t>
                        </w:r>
                        <w:r>
                          <w:rPr>
                            <w:b/>
                            <w:color w:val="164194"/>
                            <w:sz w:val="28"/>
                          </w:rPr>
                          <w:t>the</w:t>
                        </w:r>
                        <w:r>
                          <w:rPr>
                            <w:b/>
                            <w:color w:val="164194"/>
                            <w:spacing w:val="-12"/>
                            <w:sz w:val="28"/>
                          </w:rPr>
                          <w:t> </w:t>
                        </w:r>
                        <w:r>
                          <w:rPr>
                            <w:b/>
                            <w:color w:val="164194"/>
                            <w:sz w:val="28"/>
                          </w:rPr>
                          <w:t>Irish</w:t>
                        </w:r>
                        <w:r>
                          <w:rPr>
                            <w:b/>
                            <w:color w:val="164194"/>
                            <w:spacing w:val="-11"/>
                            <w:sz w:val="28"/>
                          </w:rPr>
                          <w:t> </w:t>
                        </w:r>
                        <w:r>
                          <w:rPr>
                            <w:b/>
                            <w:color w:val="164194"/>
                            <w:sz w:val="28"/>
                          </w:rPr>
                          <w:t>Department</w:t>
                        </w:r>
                        <w:r>
                          <w:rPr>
                            <w:b/>
                            <w:color w:val="164194"/>
                            <w:spacing w:val="-11"/>
                            <w:sz w:val="28"/>
                          </w:rPr>
                          <w:t> </w:t>
                        </w:r>
                        <w:r>
                          <w:rPr>
                            <w:b/>
                            <w:color w:val="164194"/>
                            <w:sz w:val="28"/>
                          </w:rPr>
                          <w:t>for</w:t>
                        </w:r>
                        <w:r>
                          <w:rPr>
                            <w:b/>
                            <w:color w:val="164194"/>
                            <w:spacing w:val="-12"/>
                            <w:sz w:val="28"/>
                          </w:rPr>
                          <w:t> </w:t>
                        </w:r>
                        <w:r>
                          <w:rPr>
                            <w:b/>
                            <w:color w:val="164194"/>
                            <w:sz w:val="28"/>
                          </w:rPr>
                          <w:t>Children,</w:t>
                        </w:r>
                        <w:r>
                          <w:rPr>
                            <w:b/>
                            <w:color w:val="164194"/>
                            <w:spacing w:val="-11"/>
                            <w:sz w:val="28"/>
                          </w:rPr>
                          <w:t> </w:t>
                        </w:r>
                        <w:r>
                          <w:rPr>
                            <w:b/>
                            <w:color w:val="164194"/>
                            <w:sz w:val="28"/>
                          </w:rPr>
                          <w:t>Equality,</w:t>
                        </w:r>
                        <w:r>
                          <w:rPr>
                            <w:b/>
                            <w:color w:val="164194"/>
                            <w:spacing w:val="-11"/>
                            <w:sz w:val="28"/>
                          </w:rPr>
                          <w:t> </w:t>
                        </w:r>
                        <w:r>
                          <w:rPr>
                            <w:b/>
                            <w:color w:val="164194"/>
                            <w:sz w:val="28"/>
                          </w:rPr>
                          <w:t>Disability, Integration and Youth include proposals to amend Irish law on ‘religious belief’ to include ‘religion or belief’ to bring it into line with EU law.</w:t>
                        </w:r>
                      </w:p>
                    </w:txbxContent>
                  </v:textbox>
                  <w10:wrap type="none"/>
                </v:shape>
                <w10:wrap type="topAndBottom"/>
              </v:group>
            </w:pict>
          </mc:Fallback>
        </mc:AlternateContent>
      </w:r>
    </w:p>
    <w:p>
      <w:pPr>
        <w:pStyle w:val="Heading2"/>
        <w:numPr>
          <w:ilvl w:val="1"/>
          <w:numId w:val="21"/>
        </w:numPr>
        <w:tabs>
          <w:tab w:pos="1599" w:val="left" w:leader="none"/>
        </w:tabs>
        <w:spacing w:line="240" w:lineRule="auto" w:before="305" w:after="0"/>
        <w:ind w:left="1599" w:right="0" w:hanging="482"/>
        <w:jc w:val="left"/>
      </w:pPr>
      <w:r>
        <w:rPr>
          <w:color w:val="004A93"/>
        </w:rPr>
        <w:t>Sexual</w:t>
      </w:r>
      <w:r>
        <w:rPr>
          <w:color w:val="004A93"/>
          <w:spacing w:val="-11"/>
        </w:rPr>
        <w:t> </w:t>
      </w:r>
      <w:r>
        <w:rPr>
          <w:color w:val="004A93"/>
          <w:spacing w:val="-2"/>
        </w:rPr>
        <w:t>Orientation</w:t>
      </w:r>
    </w:p>
    <w:p>
      <w:pPr>
        <w:pStyle w:val="BodyText"/>
        <w:spacing w:before="9"/>
        <w:rPr>
          <w:b/>
          <w:sz w:val="5"/>
        </w:rPr>
      </w:pPr>
      <w:r>
        <w:rPr/>
        <mc:AlternateContent>
          <mc:Choice Requires="wps">
            <w:drawing>
              <wp:anchor distT="0" distB="0" distL="0" distR="0" allowOverlap="1" layoutInCell="1" locked="0" behindDoc="1" simplePos="0" relativeHeight="487698432">
                <wp:simplePos x="0" y="0"/>
                <wp:positionH relativeFrom="page">
                  <wp:posOffset>899999</wp:posOffset>
                </wp:positionH>
                <wp:positionV relativeFrom="paragraph">
                  <wp:posOffset>60076</wp:posOffset>
                </wp:positionV>
                <wp:extent cx="6012180" cy="1270"/>
                <wp:effectExtent l="0" t="0" r="0" b="0"/>
                <wp:wrapTopAndBottom/>
                <wp:docPr id="591" name="Graphic 591"/>
                <wp:cNvGraphicFramePr>
                  <a:graphicFrameLocks/>
                </wp:cNvGraphicFramePr>
                <a:graphic>
                  <a:graphicData uri="http://schemas.microsoft.com/office/word/2010/wordprocessingShape">
                    <wps:wsp>
                      <wps:cNvPr id="591" name="Graphic 591"/>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73045pt;width:473.4pt;height:.1pt;mso-position-horizontal-relative:page;mso-position-vertical-relative:paragraph;z-index:-15618048;mso-wrap-distance-left:0;mso-wrap-distance-right:0" id="docshape477" coordorigin="1417,95" coordsize="9468,0" path="m1417,95l10885,95e" filled="false" stroked="true" strokeweight="1pt" strokecolor="#36a9e1">
                <v:path arrowok="t"/>
                <v:stroke dashstyle="solid"/>
                <w10:wrap type="topAndBottom"/>
              </v:shape>
            </w:pict>
          </mc:Fallback>
        </mc:AlternateContent>
      </w:r>
    </w:p>
    <w:p>
      <w:pPr>
        <w:pStyle w:val="BodyText"/>
        <w:spacing w:line="232" w:lineRule="auto" w:before="108"/>
        <w:ind w:left="1117" w:right="888"/>
      </w:pPr>
      <w:r>
        <w:rPr/>
        <w:t>Ireland has committed in its Programme for Government to banning conversion therapy (practices intended to change a person’s sexual orientation or gender identity).</w:t>
      </w:r>
      <w:r>
        <w:rPr>
          <w:spacing w:val="-15"/>
        </w:rPr>
        <w:t> </w:t>
      </w:r>
      <w:r>
        <w:rPr/>
        <w:t>The</w:t>
      </w:r>
      <w:r>
        <w:rPr>
          <w:spacing w:val="-15"/>
        </w:rPr>
        <w:t> </w:t>
      </w:r>
      <w:r>
        <w:rPr/>
        <w:t>Department</w:t>
      </w:r>
      <w:r>
        <w:rPr>
          <w:spacing w:val="-15"/>
        </w:rPr>
        <w:t> </w:t>
      </w:r>
      <w:r>
        <w:rPr/>
        <w:t>for</w:t>
      </w:r>
      <w:r>
        <w:rPr>
          <w:spacing w:val="-15"/>
        </w:rPr>
        <w:t> </w:t>
      </w:r>
      <w:r>
        <w:rPr/>
        <w:t>Children,</w:t>
      </w:r>
      <w:r>
        <w:rPr>
          <w:spacing w:val="-15"/>
        </w:rPr>
        <w:t> </w:t>
      </w:r>
      <w:r>
        <w:rPr/>
        <w:t>Equality,</w:t>
      </w:r>
      <w:r>
        <w:rPr>
          <w:spacing w:val="-15"/>
        </w:rPr>
        <w:t> </w:t>
      </w:r>
      <w:r>
        <w:rPr/>
        <w:t>Disability,</w:t>
      </w:r>
      <w:r>
        <w:rPr>
          <w:spacing w:val="-15"/>
        </w:rPr>
        <w:t> </w:t>
      </w:r>
      <w:r>
        <w:rPr/>
        <w:t>Integration</w:t>
      </w:r>
      <w:r>
        <w:rPr>
          <w:spacing w:val="-15"/>
        </w:rPr>
        <w:t> </w:t>
      </w:r>
      <w:r>
        <w:rPr/>
        <w:t>and</w:t>
      </w:r>
      <w:r>
        <w:rPr>
          <w:spacing w:val="-15"/>
        </w:rPr>
        <w:t> </w:t>
      </w:r>
      <w:r>
        <w:rPr/>
        <w:t>Youth has commissioned a report on the practice</w:t>
      </w:r>
      <w:r>
        <w:rPr>
          <w:vertAlign w:val="superscript"/>
        </w:rPr>
        <w:t>367</w:t>
      </w:r>
      <w:r>
        <w:rPr>
          <w:vertAlign w:val="baseline"/>
        </w:rPr>
        <w:t> and reiterated the promise to legislate for a ban but to date does not seem to have published legislation.</w:t>
      </w:r>
      <w:r>
        <w:rPr>
          <w:vertAlign w:val="superscript"/>
        </w:rPr>
        <w:t>368</w:t>
      </w:r>
    </w:p>
    <w:p>
      <w:pPr>
        <w:pStyle w:val="BodyText"/>
        <w:spacing w:before="118"/>
        <w:rPr>
          <w:sz w:val="20"/>
        </w:rPr>
      </w:pPr>
      <w:r>
        <w:rPr/>
        <mc:AlternateContent>
          <mc:Choice Requires="wps">
            <w:drawing>
              <wp:anchor distT="0" distB="0" distL="0" distR="0" allowOverlap="1" layoutInCell="1" locked="0" behindDoc="1" simplePos="0" relativeHeight="487698944">
                <wp:simplePos x="0" y="0"/>
                <wp:positionH relativeFrom="page">
                  <wp:posOffset>899999</wp:posOffset>
                </wp:positionH>
                <wp:positionV relativeFrom="paragraph">
                  <wp:posOffset>245510</wp:posOffset>
                </wp:positionV>
                <wp:extent cx="6012180" cy="1270"/>
                <wp:effectExtent l="0" t="0" r="0" b="0"/>
                <wp:wrapTopAndBottom/>
                <wp:docPr id="592" name="Graphic 592"/>
                <wp:cNvGraphicFramePr>
                  <a:graphicFrameLocks/>
                </wp:cNvGraphicFramePr>
                <a:graphic>
                  <a:graphicData uri="http://schemas.microsoft.com/office/word/2010/wordprocessingShape">
                    <wps:wsp>
                      <wps:cNvPr id="592" name="Graphic 59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9.331558pt;width:473.4pt;height:.1pt;mso-position-horizontal-relative:page;mso-position-vertical-relative:paragraph;z-index:-15617536;mso-wrap-distance-left:0;mso-wrap-distance-right:0" id="docshape478" coordorigin="1417,387" coordsize="9468,0" path="m1417,387l10885,387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0" w:hanging="567"/>
        <w:jc w:val="left"/>
        <w:rPr>
          <w:sz w:val="18"/>
        </w:rPr>
      </w:pPr>
      <w:r>
        <w:rPr>
          <w:sz w:val="18"/>
        </w:rPr>
        <w:t>Fair</w:t>
      </w:r>
      <w:r>
        <w:rPr>
          <w:spacing w:val="-7"/>
          <w:sz w:val="18"/>
        </w:rPr>
        <w:t> </w:t>
      </w:r>
      <w:r>
        <w:rPr>
          <w:sz w:val="18"/>
        </w:rPr>
        <w:t>Employment</w:t>
      </w:r>
      <w:r>
        <w:rPr>
          <w:spacing w:val="-6"/>
          <w:sz w:val="18"/>
        </w:rPr>
        <w:t> </w:t>
      </w:r>
      <w:r>
        <w:rPr>
          <w:sz w:val="18"/>
        </w:rPr>
        <w:t>and</w:t>
      </w:r>
      <w:r>
        <w:rPr>
          <w:spacing w:val="-8"/>
          <w:sz w:val="18"/>
        </w:rPr>
        <w:t> </w:t>
      </w:r>
      <w:r>
        <w:rPr>
          <w:sz w:val="18"/>
        </w:rPr>
        <w:t>Treatment</w:t>
      </w:r>
      <w:r>
        <w:rPr>
          <w:spacing w:val="-6"/>
          <w:sz w:val="18"/>
        </w:rPr>
        <w:t> </w:t>
      </w:r>
      <w:r>
        <w:rPr>
          <w:sz w:val="18"/>
        </w:rPr>
        <w:t>Order</w:t>
      </w:r>
      <w:r>
        <w:rPr>
          <w:spacing w:val="-6"/>
          <w:sz w:val="18"/>
        </w:rPr>
        <w:t> </w:t>
      </w:r>
      <w:r>
        <w:rPr>
          <w:sz w:val="18"/>
        </w:rPr>
        <w:t>1998,</w:t>
      </w:r>
      <w:r>
        <w:rPr>
          <w:spacing w:val="-7"/>
          <w:sz w:val="18"/>
        </w:rPr>
        <w:t> </w:t>
      </w:r>
      <w:hyperlink r:id="rId93">
        <w:r>
          <w:rPr>
            <w:color w:val="1D71B8"/>
            <w:sz w:val="18"/>
            <w:u w:val="single" w:color="1D71B8"/>
          </w:rPr>
          <w:t>article</w:t>
        </w:r>
        <w:r>
          <w:rPr>
            <w:color w:val="1D71B8"/>
            <w:spacing w:val="-6"/>
            <w:sz w:val="18"/>
            <w:u w:val="single" w:color="1D71B8"/>
          </w:rPr>
          <w:t> </w:t>
        </w:r>
        <w:r>
          <w:rPr>
            <w:color w:val="1D71B8"/>
            <w:spacing w:val="-5"/>
            <w:sz w:val="18"/>
            <w:u w:val="single" w:color="1D71B8"/>
          </w:rPr>
          <w:t>3</w:t>
        </w:r>
      </w:hyperlink>
      <w:r>
        <w:rPr>
          <w:spacing w:val="-5"/>
          <w:sz w:val="18"/>
          <w:u w:val="none"/>
        </w:rPr>
        <w:t>.</w:t>
      </w:r>
    </w:p>
    <w:p>
      <w:pPr>
        <w:pStyle w:val="ListParagraph"/>
        <w:numPr>
          <w:ilvl w:val="0"/>
          <w:numId w:val="18"/>
        </w:numPr>
        <w:tabs>
          <w:tab w:pos="1684" w:val="left" w:leader="none"/>
        </w:tabs>
        <w:spacing w:line="240" w:lineRule="auto" w:before="1" w:after="0"/>
        <w:ind w:left="1684" w:right="0" w:hanging="567"/>
        <w:jc w:val="left"/>
        <w:rPr>
          <w:sz w:val="18"/>
        </w:rPr>
      </w:pPr>
      <w:r>
        <w:rPr>
          <w:sz w:val="18"/>
        </w:rPr>
        <w:t>Ibid.,</w:t>
      </w:r>
      <w:r>
        <w:rPr>
          <w:spacing w:val="-3"/>
          <w:sz w:val="18"/>
        </w:rPr>
        <w:t> </w:t>
      </w:r>
      <w:r>
        <w:rPr>
          <w:color w:val="1D71B8"/>
          <w:sz w:val="18"/>
          <w:u w:val="single" w:color="1D71B8"/>
        </w:rPr>
        <w:t>article</w:t>
      </w:r>
      <w:r>
        <w:rPr>
          <w:color w:val="1D71B8"/>
          <w:spacing w:val="-2"/>
          <w:sz w:val="18"/>
          <w:u w:val="single" w:color="1D71B8"/>
        </w:rPr>
        <w:t> </w:t>
      </w:r>
      <w:r>
        <w:rPr>
          <w:color w:val="1D71B8"/>
          <w:spacing w:val="-5"/>
          <w:sz w:val="18"/>
          <w:u w:val="single" w:color="1D71B8"/>
        </w:rPr>
        <w:t>2</w:t>
      </w:r>
      <w:r>
        <w:rPr>
          <w:spacing w:val="-5"/>
          <w:sz w:val="18"/>
          <w:u w:val="none"/>
        </w:rPr>
        <w:t>.</w:t>
      </w:r>
    </w:p>
    <w:p>
      <w:pPr>
        <w:pStyle w:val="ListParagraph"/>
        <w:numPr>
          <w:ilvl w:val="0"/>
          <w:numId w:val="18"/>
        </w:numPr>
        <w:tabs>
          <w:tab w:pos="1684" w:val="left" w:leader="none"/>
        </w:tabs>
        <w:spacing w:line="240" w:lineRule="auto" w:before="0" w:after="0"/>
        <w:ind w:left="1684" w:right="0" w:hanging="567"/>
        <w:jc w:val="left"/>
        <w:rPr>
          <w:sz w:val="18"/>
        </w:rPr>
      </w:pPr>
      <w:r>
        <w:rPr>
          <w:sz w:val="18"/>
        </w:rPr>
        <w:t>Equal</w:t>
      </w:r>
      <w:r>
        <w:rPr>
          <w:spacing w:val="-6"/>
          <w:sz w:val="18"/>
        </w:rPr>
        <w:t> </w:t>
      </w:r>
      <w:r>
        <w:rPr>
          <w:sz w:val="18"/>
        </w:rPr>
        <w:t>Status</w:t>
      </w:r>
      <w:r>
        <w:rPr>
          <w:spacing w:val="-5"/>
          <w:sz w:val="18"/>
        </w:rPr>
        <w:t> </w:t>
      </w:r>
      <w:r>
        <w:rPr>
          <w:sz w:val="18"/>
        </w:rPr>
        <w:t>Act</w:t>
      </w:r>
      <w:r>
        <w:rPr>
          <w:spacing w:val="-4"/>
          <w:sz w:val="18"/>
        </w:rPr>
        <w:t> </w:t>
      </w:r>
      <w:r>
        <w:rPr>
          <w:sz w:val="18"/>
        </w:rPr>
        <w:t>2000,</w:t>
      </w:r>
      <w:r>
        <w:rPr>
          <w:spacing w:val="-5"/>
          <w:sz w:val="18"/>
        </w:rPr>
        <w:t> </w:t>
      </w:r>
      <w:r>
        <w:rPr>
          <w:color w:val="1D71B8"/>
          <w:sz w:val="18"/>
          <w:u w:val="single" w:color="1D71B8"/>
        </w:rPr>
        <w:t>section</w:t>
      </w:r>
      <w:r>
        <w:rPr>
          <w:color w:val="1D71B8"/>
          <w:spacing w:val="-5"/>
          <w:sz w:val="18"/>
          <w:u w:val="single" w:color="1D71B8"/>
        </w:rPr>
        <w:t> </w:t>
      </w:r>
      <w:r>
        <w:rPr>
          <w:color w:val="1D71B8"/>
          <w:sz w:val="18"/>
          <w:u w:val="single" w:color="1D71B8"/>
        </w:rPr>
        <w:t>2</w:t>
      </w:r>
      <w:r>
        <w:rPr>
          <w:sz w:val="18"/>
          <w:u w:val="none"/>
        </w:rPr>
        <w:t>;</w:t>
      </w:r>
      <w:r>
        <w:rPr>
          <w:spacing w:val="-4"/>
          <w:sz w:val="18"/>
          <w:u w:val="none"/>
        </w:rPr>
        <w:t> </w:t>
      </w:r>
      <w:r>
        <w:rPr>
          <w:sz w:val="18"/>
          <w:u w:val="none"/>
        </w:rPr>
        <w:t>Employment</w:t>
      </w:r>
      <w:r>
        <w:rPr>
          <w:spacing w:val="-5"/>
          <w:sz w:val="18"/>
          <w:u w:val="none"/>
        </w:rPr>
        <w:t> </w:t>
      </w:r>
      <w:r>
        <w:rPr>
          <w:sz w:val="18"/>
          <w:u w:val="none"/>
        </w:rPr>
        <w:t>Equality</w:t>
      </w:r>
      <w:r>
        <w:rPr>
          <w:spacing w:val="-4"/>
          <w:sz w:val="18"/>
          <w:u w:val="none"/>
        </w:rPr>
        <w:t> </w:t>
      </w:r>
      <w:r>
        <w:rPr>
          <w:sz w:val="18"/>
          <w:u w:val="none"/>
        </w:rPr>
        <w:t>Act</w:t>
      </w:r>
      <w:r>
        <w:rPr>
          <w:spacing w:val="-4"/>
          <w:sz w:val="18"/>
          <w:u w:val="none"/>
        </w:rPr>
        <w:t> </w:t>
      </w:r>
      <w:r>
        <w:rPr>
          <w:sz w:val="18"/>
          <w:u w:val="none"/>
        </w:rPr>
        <w:t>1998,</w:t>
      </w:r>
      <w:r>
        <w:rPr>
          <w:spacing w:val="-5"/>
          <w:sz w:val="18"/>
          <w:u w:val="none"/>
        </w:rPr>
        <w:t> </w:t>
      </w:r>
      <w:r>
        <w:rPr>
          <w:color w:val="1D71B8"/>
          <w:sz w:val="18"/>
          <w:u w:val="single" w:color="1D71B8"/>
        </w:rPr>
        <w:t>section</w:t>
      </w:r>
      <w:r>
        <w:rPr>
          <w:color w:val="1D71B8"/>
          <w:spacing w:val="-5"/>
          <w:sz w:val="18"/>
          <w:u w:val="single" w:color="1D71B8"/>
        </w:rPr>
        <w:t> 2</w:t>
      </w:r>
      <w:r>
        <w:rPr>
          <w:spacing w:val="-5"/>
          <w:sz w:val="18"/>
          <w:u w:val="none"/>
        </w:rPr>
        <w:t>.</w:t>
      </w:r>
    </w:p>
    <w:p>
      <w:pPr>
        <w:pStyle w:val="ListParagraph"/>
        <w:numPr>
          <w:ilvl w:val="0"/>
          <w:numId w:val="18"/>
        </w:numPr>
        <w:tabs>
          <w:tab w:pos="1684" w:val="left" w:leader="none"/>
        </w:tabs>
        <w:spacing w:line="240" w:lineRule="auto" w:before="0" w:after="0"/>
        <w:ind w:left="1684" w:right="1691" w:hanging="567"/>
        <w:jc w:val="left"/>
        <w:rPr>
          <w:sz w:val="18"/>
        </w:rPr>
      </w:pPr>
      <w:r>
        <w:rPr>
          <w:color w:val="1D71B8"/>
          <w:sz w:val="18"/>
          <w:u w:val="single" w:color="1D71B8"/>
        </w:rPr>
        <w:t>Council</w:t>
      </w:r>
      <w:r>
        <w:rPr>
          <w:color w:val="1D71B8"/>
          <w:spacing w:val="-7"/>
          <w:sz w:val="18"/>
          <w:u w:val="single" w:color="1D71B8"/>
        </w:rPr>
        <w:t> </w:t>
      </w:r>
      <w:r>
        <w:rPr>
          <w:color w:val="1D71B8"/>
          <w:sz w:val="18"/>
          <w:u w:val="single" w:color="1D71B8"/>
        </w:rPr>
        <w:t>Directive</w:t>
      </w:r>
      <w:r>
        <w:rPr>
          <w:color w:val="1D71B8"/>
          <w:spacing w:val="-6"/>
          <w:sz w:val="18"/>
          <w:u w:val="single" w:color="1D71B8"/>
        </w:rPr>
        <w:t> </w:t>
      </w:r>
      <w:r>
        <w:rPr>
          <w:color w:val="1D71B8"/>
          <w:sz w:val="18"/>
          <w:u w:val="single" w:color="1D71B8"/>
        </w:rPr>
        <w:t>2000/78/EC</w:t>
      </w:r>
      <w:r>
        <w:rPr>
          <w:color w:val="1D71B8"/>
          <w:spacing w:val="-6"/>
          <w:sz w:val="18"/>
          <w:u w:val="none"/>
        </w:rPr>
        <w:t> </w:t>
      </w:r>
      <w:r>
        <w:rPr>
          <w:sz w:val="18"/>
          <w:u w:val="none"/>
        </w:rPr>
        <w:t>of</w:t>
      </w:r>
      <w:r>
        <w:rPr>
          <w:spacing w:val="-7"/>
          <w:sz w:val="18"/>
          <w:u w:val="none"/>
        </w:rPr>
        <w:t> </w:t>
      </w:r>
      <w:r>
        <w:rPr>
          <w:sz w:val="18"/>
          <w:u w:val="none"/>
        </w:rPr>
        <w:t>27</w:t>
      </w:r>
      <w:r>
        <w:rPr>
          <w:spacing w:val="-6"/>
          <w:sz w:val="18"/>
          <w:u w:val="none"/>
        </w:rPr>
        <w:t> </w:t>
      </w:r>
      <w:r>
        <w:rPr>
          <w:sz w:val="18"/>
          <w:u w:val="none"/>
        </w:rPr>
        <w:t>November</w:t>
      </w:r>
      <w:r>
        <w:rPr>
          <w:spacing w:val="-6"/>
          <w:sz w:val="18"/>
          <w:u w:val="none"/>
        </w:rPr>
        <w:t> </w:t>
      </w:r>
      <w:r>
        <w:rPr>
          <w:sz w:val="18"/>
          <w:u w:val="none"/>
        </w:rPr>
        <w:t>2000</w:t>
      </w:r>
      <w:r>
        <w:rPr>
          <w:spacing w:val="-6"/>
          <w:sz w:val="18"/>
          <w:u w:val="none"/>
        </w:rPr>
        <w:t> </w:t>
      </w:r>
      <w:r>
        <w:rPr>
          <w:sz w:val="18"/>
          <w:u w:val="none"/>
        </w:rPr>
        <w:t>establishing</w:t>
      </w:r>
      <w:r>
        <w:rPr>
          <w:spacing w:val="-6"/>
          <w:sz w:val="18"/>
          <w:u w:val="none"/>
        </w:rPr>
        <w:t> </w:t>
      </w:r>
      <w:r>
        <w:rPr>
          <w:sz w:val="18"/>
          <w:u w:val="none"/>
        </w:rPr>
        <w:t>a</w:t>
      </w:r>
      <w:r>
        <w:rPr>
          <w:spacing w:val="-7"/>
          <w:sz w:val="18"/>
          <w:u w:val="none"/>
        </w:rPr>
        <w:t> </w:t>
      </w:r>
      <w:r>
        <w:rPr>
          <w:sz w:val="18"/>
          <w:u w:val="none"/>
        </w:rPr>
        <w:t>General</w:t>
      </w:r>
      <w:r>
        <w:rPr>
          <w:spacing w:val="-7"/>
          <w:sz w:val="18"/>
          <w:u w:val="none"/>
        </w:rPr>
        <w:t> </w:t>
      </w:r>
      <w:r>
        <w:rPr>
          <w:sz w:val="18"/>
          <w:u w:val="none"/>
        </w:rPr>
        <w:t>Framework</w:t>
      </w:r>
      <w:r>
        <w:rPr>
          <w:spacing w:val="-6"/>
          <w:sz w:val="18"/>
          <w:u w:val="none"/>
        </w:rPr>
        <w:t> </w:t>
      </w:r>
      <w:r>
        <w:rPr>
          <w:sz w:val="18"/>
          <w:u w:val="none"/>
        </w:rPr>
        <w:t>for</w:t>
      </w:r>
      <w:r>
        <w:rPr>
          <w:spacing w:val="-6"/>
          <w:sz w:val="18"/>
          <w:u w:val="none"/>
        </w:rPr>
        <w:t> </w:t>
      </w:r>
      <w:r>
        <w:rPr>
          <w:sz w:val="18"/>
          <w:u w:val="none"/>
        </w:rPr>
        <w:t>Equal</w:t>
      </w:r>
      <w:r>
        <w:rPr>
          <w:spacing w:val="-7"/>
          <w:sz w:val="18"/>
          <w:u w:val="none"/>
        </w:rPr>
        <w:t> </w:t>
      </w:r>
      <w:r>
        <w:rPr>
          <w:sz w:val="18"/>
          <w:u w:val="none"/>
        </w:rPr>
        <w:t>Treatment</w:t>
      </w:r>
      <w:r>
        <w:rPr>
          <w:spacing w:val="-6"/>
          <w:sz w:val="18"/>
          <w:u w:val="none"/>
        </w:rPr>
        <w:t> </w:t>
      </w:r>
      <w:r>
        <w:rPr>
          <w:sz w:val="18"/>
          <w:u w:val="none"/>
        </w:rPr>
        <w:t>in Employment and Occupation 2000.</w:t>
      </w:r>
    </w:p>
    <w:p>
      <w:pPr>
        <w:pStyle w:val="ListParagraph"/>
        <w:numPr>
          <w:ilvl w:val="0"/>
          <w:numId w:val="18"/>
        </w:numPr>
        <w:tabs>
          <w:tab w:pos="1684" w:val="left" w:leader="none"/>
        </w:tabs>
        <w:spacing w:line="240" w:lineRule="auto" w:before="1" w:after="0"/>
        <w:ind w:left="1684" w:right="846" w:hanging="567"/>
        <w:jc w:val="left"/>
        <w:rPr>
          <w:sz w:val="18"/>
        </w:rPr>
      </w:pPr>
      <w:r>
        <w:rPr>
          <w:sz w:val="18"/>
        </w:rPr>
        <w:t>Government</w:t>
      </w:r>
      <w:r>
        <w:rPr>
          <w:spacing w:val="-4"/>
          <w:sz w:val="18"/>
        </w:rPr>
        <w:t> </w:t>
      </w:r>
      <w:r>
        <w:rPr>
          <w:sz w:val="18"/>
        </w:rPr>
        <w:t>of</w:t>
      </w:r>
      <w:r>
        <w:rPr>
          <w:spacing w:val="-5"/>
          <w:sz w:val="18"/>
        </w:rPr>
        <w:t> </w:t>
      </w:r>
      <w:r>
        <w:rPr>
          <w:sz w:val="18"/>
        </w:rPr>
        <w:t>Ireland,</w:t>
      </w:r>
      <w:r>
        <w:rPr>
          <w:spacing w:val="-4"/>
          <w:sz w:val="18"/>
        </w:rPr>
        <w:t> </w:t>
      </w:r>
      <w:r>
        <w:rPr>
          <w:color w:val="1D71B8"/>
          <w:sz w:val="18"/>
          <w:u w:val="single" w:color="1D71B8"/>
        </w:rPr>
        <w:t>The</w:t>
      </w:r>
      <w:r>
        <w:rPr>
          <w:color w:val="1D71B8"/>
          <w:spacing w:val="-4"/>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Acts</w:t>
      </w:r>
      <w:r>
        <w:rPr>
          <w:color w:val="1D71B8"/>
          <w:spacing w:val="-5"/>
          <w:sz w:val="18"/>
          <w:u w:val="single" w:color="1D71B8"/>
        </w:rPr>
        <w:t> </w:t>
      </w:r>
      <w:r>
        <w:rPr>
          <w:color w:val="1D71B8"/>
          <w:sz w:val="18"/>
          <w:u w:val="single" w:color="1D71B8"/>
        </w:rPr>
        <w:t>Review:</w:t>
      </w:r>
      <w:r>
        <w:rPr>
          <w:color w:val="1D71B8"/>
          <w:spacing w:val="-4"/>
          <w:sz w:val="18"/>
          <w:u w:val="single" w:color="1D71B8"/>
        </w:rPr>
        <w:t> </w:t>
      </w:r>
      <w:r>
        <w:rPr>
          <w:color w:val="1D71B8"/>
          <w:sz w:val="18"/>
          <w:u w:val="single" w:color="1D71B8"/>
        </w:rPr>
        <w:t>Summary</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Submissions</w:t>
      </w:r>
      <w:r>
        <w:rPr>
          <w:color w:val="1D71B8"/>
          <w:spacing w:val="-5"/>
          <w:sz w:val="18"/>
          <w:u w:val="single" w:color="1D71B8"/>
        </w:rPr>
        <w:t> </w:t>
      </w:r>
      <w:r>
        <w:rPr>
          <w:color w:val="1D71B8"/>
          <w:sz w:val="18"/>
          <w:u w:val="single" w:color="1D71B8"/>
        </w:rPr>
        <w:t>Received</w:t>
      </w:r>
      <w:r>
        <w:rPr>
          <w:color w:val="1D71B8"/>
          <w:spacing w:val="-5"/>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2021</w:t>
      </w:r>
      <w:r>
        <w:rPr>
          <w:color w:val="1D71B8"/>
          <w:spacing w:val="-4"/>
          <w:sz w:val="18"/>
          <w:u w:val="single" w:color="1D71B8"/>
        </w:rPr>
        <w:t> </w:t>
      </w:r>
      <w:r>
        <w:rPr>
          <w:color w:val="1D71B8"/>
          <w:sz w:val="18"/>
          <w:u w:val="single" w:color="1D71B8"/>
        </w:rPr>
        <w:t>Public</w:t>
      </w:r>
      <w:r>
        <w:rPr>
          <w:color w:val="1D71B8"/>
          <w:spacing w:val="-4"/>
          <w:sz w:val="18"/>
          <w:u w:val="single" w:color="1D71B8"/>
        </w:rPr>
        <w:t> </w:t>
      </w:r>
      <w:r>
        <w:rPr>
          <w:color w:val="1D71B8"/>
          <w:sz w:val="18"/>
          <w:u w:val="single" w:color="1D71B8"/>
        </w:rPr>
        <w:t>Consultation</w:t>
      </w:r>
      <w:r>
        <w:rPr>
          <w:color w:val="1D71B8"/>
          <w:sz w:val="18"/>
          <w:u w:val="none"/>
        </w:rPr>
        <w:t> </w:t>
      </w:r>
      <w:r>
        <w:rPr>
          <w:color w:val="1D71B8"/>
          <w:sz w:val="18"/>
          <w:u w:val="single" w:color="1D71B8"/>
        </w:rPr>
        <w:t>on the Review of the Equality Acts</w:t>
      </w:r>
      <w:r>
        <w:rPr>
          <w:color w:val="1D71B8"/>
          <w:spacing w:val="-1"/>
          <w:sz w:val="18"/>
          <w:u w:val="none"/>
        </w:rPr>
        <w:t> </w:t>
      </w:r>
      <w:r>
        <w:rPr>
          <w:sz w:val="18"/>
          <w:u w:val="none"/>
        </w:rPr>
        <w:t>(Department of Children, Equality, Disability, Integration and Youth, Dublin 2023) 16.</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IHREC,</w:t>
      </w:r>
      <w:r>
        <w:rPr>
          <w:spacing w:val="-6"/>
          <w:sz w:val="18"/>
        </w:rPr>
        <w:t> </w:t>
      </w:r>
      <w:r>
        <w:rPr>
          <w:color w:val="1D71B8"/>
          <w:sz w:val="18"/>
          <w:u w:val="single" w:color="1D71B8"/>
        </w:rPr>
        <w:t>Submission</w:t>
      </w:r>
      <w:r>
        <w:rPr>
          <w:color w:val="1D71B8"/>
          <w:spacing w:val="-5"/>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Review</w:t>
      </w:r>
      <w:r>
        <w:rPr>
          <w:color w:val="1D71B8"/>
          <w:spacing w:val="-3"/>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Acts</w:t>
      </w:r>
      <w:r>
        <w:rPr>
          <w:sz w:val="18"/>
          <w:u w:val="none"/>
        </w:rPr>
        <w:t>,</w:t>
      </w:r>
      <w:r>
        <w:rPr>
          <w:spacing w:val="-4"/>
          <w:sz w:val="18"/>
          <w:u w:val="none"/>
        </w:rPr>
        <w:t> </w:t>
      </w:r>
      <w:r>
        <w:rPr>
          <w:sz w:val="18"/>
          <w:u w:val="none"/>
        </w:rPr>
        <w:t>December</w:t>
      </w:r>
      <w:r>
        <w:rPr>
          <w:spacing w:val="-3"/>
          <w:sz w:val="18"/>
          <w:u w:val="none"/>
        </w:rPr>
        <w:t> </w:t>
      </w:r>
      <w:r>
        <w:rPr>
          <w:spacing w:val="-2"/>
          <w:sz w:val="18"/>
          <w:u w:val="none"/>
        </w:rPr>
        <w:t>2021.</w:t>
      </w:r>
    </w:p>
    <w:p>
      <w:pPr>
        <w:pStyle w:val="ListParagraph"/>
        <w:numPr>
          <w:ilvl w:val="0"/>
          <w:numId w:val="18"/>
        </w:numPr>
        <w:tabs>
          <w:tab w:pos="1684" w:val="left" w:leader="none"/>
        </w:tabs>
        <w:spacing w:line="240" w:lineRule="auto" w:before="1" w:after="0"/>
        <w:ind w:left="1684" w:right="827" w:hanging="567"/>
        <w:jc w:val="left"/>
        <w:rPr>
          <w:sz w:val="18"/>
        </w:rPr>
      </w:pPr>
      <w:r>
        <w:rPr>
          <w:sz w:val="18"/>
        </w:rPr>
        <w:t>B.</w:t>
      </w:r>
      <w:r>
        <w:rPr>
          <w:spacing w:val="-6"/>
          <w:sz w:val="18"/>
        </w:rPr>
        <w:t> </w:t>
      </w:r>
      <w:r>
        <w:rPr>
          <w:sz w:val="18"/>
        </w:rPr>
        <w:t>Keogh,</w:t>
      </w:r>
      <w:r>
        <w:rPr>
          <w:spacing w:val="-5"/>
          <w:sz w:val="18"/>
        </w:rPr>
        <w:t> </w:t>
      </w:r>
      <w:r>
        <w:rPr>
          <w:sz w:val="18"/>
        </w:rPr>
        <w:t>C.</w:t>
      </w:r>
      <w:r>
        <w:rPr>
          <w:spacing w:val="-6"/>
          <w:sz w:val="18"/>
        </w:rPr>
        <w:t> </w:t>
      </w:r>
      <w:r>
        <w:rPr>
          <w:sz w:val="18"/>
        </w:rPr>
        <w:t>Carr,</w:t>
      </w:r>
      <w:r>
        <w:rPr>
          <w:spacing w:val="-5"/>
          <w:sz w:val="18"/>
        </w:rPr>
        <w:t> </w:t>
      </w:r>
      <w:r>
        <w:rPr>
          <w:sz w:val="18"/>
        </w:rPr>
        <w:t>L.</w:t>
      </w:r>
      <w:r>
        <w:rPr>
          <w:spacing w:val="-6"/>
          <w:sz w:val="18"/>
        </w:rPr>
        <w:t> </w:t>
      </w:r>
      <w:r>
        <w:rPr>
          <w:sz w:val="18"/>
        </w:rPr>
        <w:t>Doyle,</w:t>
      </w:r>
      <w:r>
        <w:rPr>
          <w:spacing w:val="-5"/>
          <w:sz w:val="18"/>
        </w:rPr>
        <w:t> </w:t>
      </w:r>
      <w:r>
        <w:rPr>
          <w:sz w:val="18"/>
        </w:rPr>
        <w:t>A.</w:t>
      </w:r>
      <w:r>
        <w:rPr>
          <w:spacing w:val="-6"/>
          <w:sz w:val="18"/>
        </w:rPr>
        <w:t> </w:t>
      </w:r>
      <w:r>
        <w:rPr>
          <w:sz w:val="18"/>
        </w:rPr>
        <w:t>Higgins,</w:t>
      </w:r>
      <w:r>
        <w:rPr>
          <w:spacing w:val="-5"/>
          <w:sz w:val="18"/>
        </w:rPr>
        <w:t> </w:t>
      </w:r>
      <w:r>
        <w:rPr>
          <w:sz w:val="18"/>
        </w:rPr>
        <w:t>J.</w:t>
      </w:r>
      <w:r>
        <w:rPr>
          <w:spacing w:val="-6"/>
          <w:sz w:val="18"/>
        </w:rPr>
        <w:t> </w:t>
      </w:r>
      <w:r>
        <w:rPr>
          <w:sz w:val="18"/>
        </w:rPr>
        <w:t>Morrissey,</w:t>
      </w:r>
      <w:r>
        <w:rPr>
          <w:spacing w:val="-5"/>
          <w:sz w:val="18"/>
        </w:rPr>
        <w:t> </w:t>
      </w:r>
      <w:r>
        <w:rPr>
          <w:sz w:val="18"/>
        </w:rPr>
        <w:t>G.</w:t>
      </w:r>
      <w:r>
        <w:rPr>
          <w:spacing w:val="-6"/>
          <w:sz w:val="18"/>
        </w:rPr>
        <w:t> </w:t>
      </w:r>
      <w:r>
        <w:rPr>
          <w:sz w:val="18"/>
        </w:rPr>
        <w:t>Sheaf</w:t>
      </w:r>
      <w:r>
        <w:rPr>
          <w:spacing w:val="-6"/>
          <w:sz w:val="18"/>
        </w:rPr>
        <w:t> </w:t>
      </w:r>
      <w:r>
        <w:rPr>
          <w:sz w:val="18"/>
        </w:rPr>
        <w:t>and</w:t>
      </w:r>
      <w:r>
        <w:rPr>
          <w:spacing w:val="-5"/>
          <w:sz w:val="18"/>
        </w:rPr>
        <w:t> </w:t>
      </w:r>
      <w:r>
        <w:rPr>
          <w:sz w:val="18"/>
        </w:rPr>
        <w:t>Jowett</w:t>
      </w:r>
      <w:r>
        <w:rPr>
          <w:spacing w:val="-6"/>
          <w:sz w:val="18"/>
        </w:rPr>
        <w:t> </w:t>
      </w:r>
      <w:r>
        <w:rPr>
          <w:sz w:val="18"/>
        </w:rPr>
        <w:t>A,</w:t>
      </w:r>
      <w:r>
        <w:rPr>
          <w:spacing w:val="-7"/>
          <w:sz w:val="18"/>
        </w:rPr>
        <w:t> </w:t>
      </w:r>
      <w:r>
        <w:rPr>
          <w:color w:val="1D71B8"/>
          <w:sz w:val="18"/>
          <w:u w:val="single" w:color="1D71B8"/>
        </w:rPr>
        <w:t>An</w:t>
      </w:r>
      <w:r>
        <w:rPr>
          <w:color w:val="1D71B8"/>
          <w:spacing w:val="-6"/>
          <w:sz w:val="18"/>
          <w:u w:val="single" w:color="1D71B8"/>
        </w:rPr>
        <w:t> </w:t>
      </w:r>
      <w:r>
        <w:rPr>
          <w:color w:val="1D71B8"/>
          <w:sz w:val="18"/>
          <w:u w:val="single" w:color="1D71B8"/>
        </w:rPr>
        <w:t>Exploration</w:t>
      </w:r>
      <w:r>
        <w:rPr>
          <w:color w:val="1D71B8"/>
          <w:spacing w:val="-6"/>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Conversion</w:t>
      </w:r>
      <w:r>
        <w:rPr>
          <w:color w:val="1D71B8"/>
          <w:spacing w:val="-6"/>
          <w:sz w:val="18"/>
          <w:u w:val="single" w:color="1D71B8"/>
        </w:rPr>
        <w:t> </w:t>
      </w:r>
      <w:r>
        <w:rPr>
          <w:color w:val="1D71B8"/>
          <w:sz w:val="18"/>
          <w:u w:val="single" w:color="1D71B8"/>
        </w:rPr>
        <w:t>Therapy</w:t>
      </w:r>
      <w:r>
        <w:rPr>
          <w:color w:val="1D71B8"/>
          <w:spacing w:val="-5"/>
          <w:sz w:val="18"/>
          <w:u w:val="single" w:color="1D71B8"/>
        </w:rPr>
        <w:t> </w:t>
      </w:r>
      <w:r>
        <w:rPr>
          <w:color w:val="1D71B8"/>
          <w:sz w:val="18"/>
          <w:u w:val="single" w:color="1D71B8"/>
        </w:rPr>
        <w:t>Practices</w:t>
      </w:r>
      <w:r>
        <w:rPr>
          <w:color w:val="1D71B8"/>
          <w:sz w:val="18"/>
          <w:u w:val="none"/>
        </w:rPr>
        <w:t> </w:t>
      </w:r>
      <w:r>
        <w:rPr>
          <w:color w:val="1D71B8"/>
          <w:sz w:val="18"/>
          <w:u w:val="single" w:color="1D71B8"/>
        </w:rPr>
        <w:t>in Ireland</w:t>
      </w:r>
      <w:r>
        <w:rPr>
          <w:color w:val="1D71B8"/>
          <w:sz w:val="18"/>
          <w:u w:val="none"/>
        </w:rPr>
        <w:t> </w:t>
      </w:r>
      <w:r>
        <w:rPr>
          <w:sz w:val="18"/>
          <w:u w:val="none"/>
        </w:rPr>
        <w:t>(School of Nursing and Midwifery, Trinity College Dublin, 2023).</w:t>
      </w:r>
    </w:p>
    <w:p>
      <w:pPr>
        <w:pStyle w:val="ListParagraph"/>
        <w:numPr>
          <w:ilvl w:val="0"/>
          <w:numId w:val="18"/>
        </w:numPr>
        <w:tabs>
          <w:tab w:pos="1684" w:val="left" w:leader="none"/>
        </w:tabs>
        <w:spacing w:line="240" w:lineRule="auto" w:before="0" w:after="0"/>
        <w:ind w:left="1684" w:right="928" w:hanging="567"/>
        <w:jc w:val="left"/>
        <w:rPr>
          <w:sz w:val="18"/>
        </w:rPr>
      </w:pPr>
      <w:r>
        <w:rPr>
          <w:sz w:val="18"/>
        </w:rPr>
        <w:t>Equality</w:t>
      </w:r>
      <w:r>
        <w:rPr>
          <w:spacing w:val="-6"/>
          <w:sz w:val="18"/>
        </w:rPr>
        <w:t> </w:t>
      </w:r>
      <w:r>
        <w:rPr>
          <w:sz w:val="18"/>
        </w:rPr>
        <w:t>Department</w:t>
      </w:r>
      <w:r>
        <w:rPr>
          <w:spacing w:val="-6"/>
          <w:sz w:val="18"/>
        </w:rPr>
        <w:t> </w:t>
      </w:r>
      <w:r>
        <w:rPr>
          <w:sz w:val="18"/>
        </w:rPr>
        <w:t>of</w:t>
      </w:r>
      <w:r>
        <w:rPr>
          <w:spacing w:val="-7"/>
          <w:sz w:val="18"/>
        </w:rPr>
        <w:t> </w:t>
      </w:r>
      <w:r>
        <w:rPr>
          <w:sz w:val="18"/>
        </w:rPr>
        <w:t>Children,</w:t>
      </w:r>
      <w:r>
        <w:rPr>
          <w:spacing w:val="-6"/>
          <w:sz w:val="18"/>
        </w:rPr>
        <w:t> </w:t>
      </w:r>
      <w:r>
        <w:rPr>
          <w:sz w:val="18"/>
        </w:rPr>
        <w:t>Disability,</w:t>
      </w:r>
      <w:r>
        <w:rPr>
          <w:spacing w:val="-6"/>
          <w:sz w:val="18"/>
        </w:rPr>
        <w:t> </w:t>
      </w:r>
      <w:r>
        <w:rPr>
          <w:sz w:val="18"/>
        </w:rPr>
        <w:t>Integration</w:t>
      </w:r>
      <w:r>
        <w:rPr>
          <w:spacing w:val="-7"/>
          <w:sz w:val="18"/>
        </w:rPr>
        <w:t> </w:t>
      </w:r>
      <w:r>
        <w:rPr>
          <w:sz w:val="18"/>
        </w:rPr>
        <w:t>and</w:t>
      </w:r>
      <w:r>
        <w:rPr>
          <w:spacing w:val="-7"/>
          <w:sz w:val="18"/>
        </w:rPr>
        <w:t> </w:t>
      </w:r>
      <w:r>
        <w:rPr>
          <w:sz w:val="18"/>
        </w:rPr>
        <w:t>Youth</w:t>
      </w:r>
      <w:r>
        <w:rPr>
          <w:spacing w:val="-8"/>
          <w:sz w:val="18"/>
        </w:rPr>
        <w:t> </w:t>
      </w:r>
      <w:r>
        <w:rPr>
          <w:color w:val="1D71B8"/>
          <w:sz w:val="18"/>
          <w:u w:val="single" w:color="1D71B8"/>
        </w:rPr>
        <w:t>‘Minister</w:t>
      </w:r>
      <w:r>
        <w:rPr>
          <w:color w:val="1D71B8"/>
          <w:spacing w:val="-6"/>
          <w:sz w:val="18"/>
          <w:u w:val="single" w:color="1D71B8"/>
        </w:rPr>
        <w:t> </w:t>
      </w:r>
      <w:r>
        <w:rPr>
          <w:color w:val="1D71B8"/>
          <w:sz w:val="18"/>
          <w:u w:val="single" w:color="1D71B8"/>
        </w:rPr>
        <w:t>O’Gorman</w:t>
      </w:r>
      <w:r>
        <w:rPr>
          <w:color w:val="1D71B8"/>
          <w:spacing w:val="-7"/>
          <w:sz w:val="18"/>
          <w:u w:val="single" w:color="1D71B8"/>
        </w:rPr>
        <w:t> </w:t>
      </w:r>
      <w:r>
        <w:rPr>
          <w:color w:val="1D71B8"/>
          <w:sz w:val="18"/>
          <w:u w:val="single" w:color="1D71B8"/>
        </w:rPr>
        <w:t>announces</w:t>
      </w:r>
      <w:r>
        <w:rPr>
          <w:color w:val="1D71B8"/>
          <w:spacing w:val="-7"/>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publication</w:t>
      </w:r>
      <w:r>
        <w:rPr>
          <w:color w:val="1D71B8"/>
          <w:spacing w:val="-7"/>
          <w:sz w:val="18"/>
          <w:u w:val="single" w:color="1D71B8"/>
        </w:rPr>
        <w:t> </w:t>
      </w:r>
      <w:r>
        <w:rPr>
          <w:color w:val="1D71B8"/>
          <w:sz w:val="18"/>
          <w:u w:val="single" w:color="1D71B8"/>
        </w:rPr>
        <w:t>of</w:t>
      </w:r>
      <w:r>
        <w:rPr>
          <w:color w:val="1D71B8"/>
          <w:spacing w:val="-7"/>
          <w:sz w:val="18"/>
          <w:u w:val="single" w:color="1D71B8"/>
        </w:rPr>
        <w:t> </w:t>
      </w:r>
      <w:r>
        <w:rPr>
          <w:color w:val="1D71B8"/>
          <w:sz w:val="18"/>
          <w:u w:val="single" w:color="1D71B8"/>
        </w:rPr>
        <w:t>the</w:t>
      </w:r>
      <w:r>
        <w:rPr>
          <w:color w:val="1D71B8"/>
          <w:sz w:val="18"/>
          <w:u w:val="none"/>
        </w:rPr>
        <w:t> </w:t>
      </w:r>
      <w:r>
        <w:rPr>
          <w:color w:val="1D71B8"/>
          <w:sz w:val="18"/>
          <w:u w:val="single" w:color="1D71B8"/>
        </w:rPr>
        <w:t>report ‘An Exploration of Conversion Therapy Practices in Ireland’’</w:t>
      </w:r>
      <w:r>
        <w:rPr>
          <w:color w:val="1D71B8"/>
          <w:sz w:val="18"/>
          <w:u w:val="none"/>
        </w:rPr>
        <w:t> </w:t>
      </w:r>
      <w:r>
        <w:rPr>
          <w:sz w:val="18"/>
          <w:u w:val="none"/>
        </w:rPr>
        <w:t>(17 February 2023) Last Accessed on 1 March 2024.</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43840">
                <wp:simplePos x="0" y="0"/>
                <wp:positionH relativeFrom="page">
                  <wp:posOffset>0</wp:posOffset>
                </wp:positionH>
                <wp:positionV relativeFrom="page">
                  <wp:posOffset>0</wp:posOffset>
                </wp:positionV>
                <wp:extent cx="7560309" cy="1257935"/>
                <wp:effectExtent l="0" t="0" r="0" b="0"/>
                <wp:wrapNone/>
                <wp:docPr id="593" name="Group 593"/>
                <wp:cNvGraphicFramePr>
                  <a:graphicFrameLocks/>
                </wp:cNvGraphicFramePr>
                <a:graphic>
                  <a:graphicData uri="http://schemas.microsoft.com/office/word/2010/wordprocessingGroup">
                    <wpg:wgp>
                      <wpg:cNvPr id="593" name="Group 593"/>
                      <wpg:cNvGrpSpPr/>
                      <wpg:grpSpPr>
                        <a:xfrm>
                          <a:off x="0" y="0"/>
                          <a:ext cx="7560309" cy="1257935"/>
                          <a:chExt cx="7560309" cy="1257935"/>
                        </a:xfrm>
                      </wpg:grpSpPr>
                      <wps:wsp>
                        <wps:cNvPr id="594" name="Graphic 594"/>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595" name="Graphic 595"/>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596" name="Textbox 596"/>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66</w:t>
                              </w:r>
                            </w:p>
                          </w:txbxContent>
                        </wps:txbx>
                        <wps:bodyPr wrap="square" lIns="0" tIns="0" rIns="0" bIns="0" rtlCol="0">
                          <a:noAutofit/>
                        </wps:bodyPr>
                      </wps:wsp>
                      <wps:wsp>
                        <wps:cNvPr id="597" name="Textbox 597"/>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598" name="Textbox 598"/>
                        <wps:cNvSpPr txBox="1"/>
                        <wps:spPr>
                          <a:xfrm>
                            <a:off x="647999" y="1080003"/>
                            <a:ext cx="5217160" cy="177800"/>
                          </a:xfrm>
                          <a:prstGeom prst="rect">
                            <a:avLst/>
                          </a:prstGeom>
                        </wps:spPr>
                        <wps:txbx>
                          <w:txbxContent>
                            <w:p>
                              <w:pPr>
                                <w:spacing w:line="280" w:lineRule="exact" w:before="0"/>
                                <w:ind w:left="0" w:right="0" w:firstLine="0"/>
                                <w:jc w:val="left"/>
                                <w:rPr>
                                  <w:sz w:val="28"/>
                                </w:rPr>
                              </w:pPr>
                              <w:r>
                                <w:rPr>
                                  <w:sz w:val="28"/>
                                </w:rPr>
                                <w:t>We</w:t>
                              </w:r>
                              <w:r>
                                <w:rPr>
                                  <w:spacing w:val="-6"/>
                                  <w:sz w:val="28"/>
                                </w:rPr>
                                <w:t> </w:t>
                              </w:r>
                              <w:r>
                                <w:rPr>
                                  <w:sz w:val="28"/>
                                </w:rPr>
                                <w:t>note</w:t>
                              </w:r>
                              <w:r>
                                <w:rPr>
                                  <w:spacing w:val="-5"/>
                                  <w:sz w:val="28"/>
                                </w:rPr>
                                <w:t> </w:t>
                              </w:r>
                              <w:r>
                                <w:rPr>
                                  <w:sz w:val="28"/>
                                </w:rPr>
                                <w:t>that</w:t>
                              </w:r>
                              <w:r>
                                <w:rPr>
                                  <w:spacing w:val="-6"/>
                                  <w:sz w:val="28"/>
                                </w:rPr>
                                <w:t> </w:t>
                              </w:r>
                              <w:r>
                                <w:rPr>
                                  <w:sz w:val="28"/>
                                </w:rPr>
                                <w:t>research</w:t>
                              </w:r>
                              <w:r>
                                <w:rPr>
                                  <w:spacing w:val="-6"/>
                                  <w:sz w:val="28"/>
                                </w:rPr>
                                <w:t> </w:t>
                              </w:r>
                              <w:r>
                                <w:rPr>
                                  <w:sz w:val="28"/>
                                </w:rPr>
                                <w:t>on</w:t>
                              </w:r>
                              <w:r>
                                <w:rPr>
                                  <w:spacing w:val="-7"/>
                                  <w:sz w:val="28"/>
                                </w:rPr>
                                <w:t> </w:t>
                              </w:r>
                              <w:r>
                                <w:rPr>
                                  <w:sz w:val="28"/>
                                </w:rPr>
                                <w:t>this</w:t>
                              </w:r>
                              <w:r>
                                <w:rPr>
                                  <w:spacing w:val="-6"/>
                                  <w:sz w:val="28"/>
                                </w:rPr>
                                <w:t> </w:t>
                              </w:r>
                              <w:r>
                                <w:rPr>
                                  <w:sz w:val="28"/>
                                </w:rPr>
                                <w:t>practice</w:t>
                              </w:r>
                              <w:r>
                                <w:rPr>
                                  <w:spacing w:val="-5"/>
                                  <w:sz w:val="28"/>
                                </w:rPr>
                                <w:t> </w:t>
                              </w:r>
                              <w:r>
                                <w:rPr>
                                  <w:sz w:val="28"/>
                                </w:rPr>
                                <w:t>in</w:t>
                              </w:r>
                              <w:r>
                                <w:rPr>
                                  <w:spacing w:val="-7"/>
                                  <w:sz w:val="28"/>
                                </w:rPr>
                                <w:t> </w:t>
                              </w:r>
                              <w:r>
                                <w:rPr>
                                  <w:sz w:val="28"/>
                                </w:rPr>
                                <w:t>Northern</w:t>
                              </w:r>
                              <w:r>
                                <w:rPr>
                                  <w:spacing w:val="-6"/>
                                  <w:sz w:val="28"/>
                                </w:rPr>
                                <w:t> </w:t>
                              </w:r>
                              <w:r>
                                <w:rPr>
                                  <w:sz w:val="28"/>
                                </w:rPr>
                                <w:t>Ireland</w:t>
                              </w:r>
                              <w:r>
                                <w:rPr>
                                  <w:spacing w:val="-6"/>
                                  <w:sz w:val="28"/>
                                </w:rPr>
                                <w:t> </w:t>
                              </w:r>
                              <w:r>
                                <w:rPr>
                                  <w:sz w:val="28"/>
                                </w:rPr>
                                <w:t>has</w:t>
                              </w:r>
                              <w:r>
                                <w:rPr>
                                  <w:spacing w:val="-7"/>
                                  <w:sz w:val="28"/>
                                </w:rPr>
                                <w:t> </w:t>
                              </w:r>
                              <w:r>
                                <w:rPr>
                                  <w:sz w:val="28"/>
                                </w:rPr>
                                <w:t>also</w:t>
                              </w:r>
                              <w:r>
                                <w:rPr>
                                  <w:spacing w:val="-6"/>
                                  <w:sz w:val="28"/>
                                </w:rPr>
                                <w:t> </w:t>
                              </w:r>
                              <w:r>
                                <w:rPr>
                                  <w:spacing w:val="-4"/>
                                  <w:sz w:val="28"/>
                                </w:rPr>
                                <w:t>been</w:t>
                              </w:r>
                            </w:p>
                          </w:txbxContent>
                        </wps:txbx>
                        <wps:bodyPr wrap="square" lIns="0" tIns="0" rIns="0" bIns="0" rtlCol="0">
                          <a:noAutofit/>
                        </wps:bodyPr>
                      </wps:wsp>
                    </wpg:wgp>
                  </a:graphicData>
                </a:graphic>
              </wp:anchor>
            </w:drawing>
          </mc:Choice>
          <mc:Fallback>
            <w:pict>
              <v:group style="position:absolute;margin-left:.0pt;margin-top:-.00002pt;width:595.3pt;height:99.05pt;mso-position-horizontal-relative:page;mso-position-vertical-relative:page;z-index:15843840" id="docshapegroup479" coordorigin="0,0" coordsize="11906,1981">
                <v:shape style="position:absolute;left:0;top:0;width:11906;height:1819" id="docshape480"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481" filled="false" stroked="false">
                  <v:textbox inset="0,0,0,0">
                    <w:txbxContent>
                      <w:p>
                        <w:pPr>
                          <w:spacing w:line="280" w:lineRule="exact" w:before="0"/>
                          <w:ind w:left="0" w:right="0" w:firstLine="0"/>
                          <w:jc w:val="left"/>
                          <w:rPr>
                            <w:b/>
                            <w:sz w:val="28"/>
                          </w:rPr>
                        </w:pPr>
                        <w:r>
                          <w:rPr>
                            <w:b/>
                            <w:color w:val="FFFFFF"/>
                            <w:spacing w:val="-5"/>
                            <w:sz w:val="28"/>
                          </w:rPr>
                          <w:t>66</w:t>
                        </w:r>
                      </w:p>
                    </w:txbxContent>
                  </v:textbox>
                  <w10:wrap type="none"/>
                </v:shape>
                <v:shape style="position:absolute;left:1303;top:645;width:6182;height:240" type="#_x0000_t202" id="docshape482"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8216;height:280" type="#_x0000_t202" id="docshape483" filled="false" stroked="false">
                  <v:textbox inset="0,0,0,0">
                    <w:txbxContent>
                      <w:p>
                        <w:pPr>
                          <w:spacing w:line="280" w:lineRule="exact" w:before="0"/>
                          <w:ind w:left="0" w:right="0" w:firstLine="0"/>
                          <w:jc w:val="left"/>
                          <w:rPr>
                            <w:sz w:val="28"/>
                          </w:rPr>
                        </w:pPr>
                        <w:r>
                          <w:rPr>
                            <w:sz w:val="28"/>
                          </w:rPr>
                          <w:t>We</w:t>
                        </w:r>
                        <w:r>
                          <w:rPr>
                            <w:spacing w:val="-6"/>
                            <w:sz w:val="28"/>
                          </w:rPr>
                          <w:t> </w:t>
                        </w:r>
                        <w:r>
                          <w:rPr>
                            <w:sz w:val="28"/>
                          </w:rPr>
                          <w:t>note</w:t>
                        </w:r>
                        <w:r>
                          <w:rPr>
                            <w:spacing w:val="-5"/>
                            <w:sz w:val="28"/>
                          </w:rPr>
                          <w:t> </w:t>
                        </w:r>
                        <w:r>
                          <w:rPr>
                            <w:sz w:val="28"/>
                          </w:rPr>
                          <w:t>that</w:t>
                        </w:r>
                        <w:r>
                          <w:rPr>
                            <w:spacing w:val="-6"/>
                            <w:sz w:val="28"/>
                          </w:rPr>
                          <w:t> </w:t>
                        </w:r>
                        <w:r>
                          <w:rPr>
                            <w:sz w:val="28"/>
                          </w:rPr>
                          <w:t>research</w:t>
                        </w:r>
                        <w:r>
                          <w:rPr>
                            <w:spacing w:val="-6"/>
                            <w:sz w:val="28"/>
                          </w:rPr>
                          <w:t> </w:t>
                        </w:r>
                        <w:r>
                          <w:rPr>
                            <w:sz w:val="28"/>
                          </w:rPr>
                          <w:t>on</w:t>
                        </w:r>
                        <w:r>
                          <w:rPr>
                            <w:spacing w:val="-7"/>
                            <w:sz w:val="28"/>
                          </w:rPr>
                          <w:t> </w:t>
                        </w:r>
                        <w:r>
                          <w:rPr>
                            <w:sz w:val="28"/>
                          </w:rPr>
                          <w:t>this</w:t>
                        </w:r>
                        <w:r>
                          <w:rPr>
                            <w:spacing w:val="-6"/>
                            <w:sz w:val="28"/>
                          </w:rPr>
                          <w:t> </w:t>
                        </w:r>
                        <w:r>
                          <w:rPr>
                            <w:sz w:val="28"/>
                          </w:rPr>
                          <w:t>practice</w:t>
                        </w:r>
                        <w:r>
                          <w:rPr>
                            <w:spacing w:val="-5"/>
                            <w:sz w:val="28"/>
                          </w:rPr>
                          <w:t> </w:t>
                        </w:r>
                        <w:r>
                          <w:rPr>
                            <w:sz w:val="28"/>
                          </w:rPr>
                          <w:t>in</w:t>
                        </w:r>
                        <w:r>
                          <w:rPr>
                            <w:spacing w:val="-7"/>
                            <w:sz w:val="28"/>
                          </w:rPr>
                          <w:t> </w:t>
                        </w:r>
                        <w:r>
                          <w:rPr>
                            <w:sz w:val="28"/>
                          </w:rPr>
                          <w:t>Northern</w:t>
                        </w:r>
                        <w:r>
                          <w:rPr>
                            <w:spacing w:val="-6"/>
                            <w:sz w:val="28"/>
                          </w:rPr>
                          <w:t> </w:t>
                        </w:r>
                        <w:r>
                          <w:rPr>
                            <w:sz w:val="28"/>
                          </w:rPr>
                          <w:t>Ireland</w:t>
                        </w:r>
                        <w:r>
                          <w:rPr>
                            <w:spacing w:val="-6"/>
                            <w:sz w:val="28"/>
                          </w:rPr>
                          <w:t> </w:t>
                        </w:r>
                        <w:r>
                          <w:rPr>
                            <w:sz w:val="28"/>
                          </w:rPr>
                          <w:t>has</w:t>
                        </w:r>
                        <w:r>
                          <w:rPr>
                            <w:spacing w:val="-7"/>
                            <w:sz w:val="28"/>
                          </w:rPr>
                          <w:t> </w:t>
                        </w:r>
                        <w:r>
                          <w:rPr>
                            <w:sz w:val="28"/>
                          </w:rPr>
                          <w:t>also</w:t>
                        </w:r>
                        <w:r>
                          <w:rPr>
                            <w:spacing w:val="-6"/>
                            <w:sz w:val="28"/>
                          </w:rPr>
                          <w:t> </w:t>
                        </w:r>
                        <w:r>
                          <w:rPr>
                            <w:spacing w:val="-4"/>
                            <w:sz w:val="28"/>
                          </w:rPr>
                          <w:t>been</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720" w:right="1143"/>
      </w:pPr>
      <w:bookmarkStart w:name="3.8 Gender Identity" w:id="95"/>
      <w:bookmarkEnd w:id="95"/>
      <w:r>
        <w:rPr/>
      </w:r>
      <w:bookmarkStart w:name="_bookmark39" w:id="96"/>
      <w:bookmarkEnd w:id="96"/>
      <w:r>
        <w:rPr/>
      </w:r>
      <w:r>
        <w:rPr/>
        <w:t>published.</w:t>
      </w:r>
      <w:r>
        <w:rPr>
          <w:vertAlign w:val="superscript"/>
        </w:rPr>
        <w:t>369</w:t>
      </w:r>
      <w:r>
        <w:rPr>
          <w:vertAlign w:val="baseline"/>
        </w:rPr>
        <w:t> A UN independent expert, and the Council of Europe Commissioner for</w:t>
      </w:r>
      <w:r>
        <w:rPr>
          <w:spacing w:val="-8"/>
          <w:vertAlign w:val="baseline"/>
        </w:rPr>
        <w:t> </w:t>
      </w:r>
      <w:r>
        <w:rPr>
          <w:vertAlign w:val="baseline"/>
        </w:rPr>
        <w:t>Human</w:t>
      </w:r>
      <w:r>
        <w:rPr>
          <w:spacing w:val="-8"/>
          <w:vertAlign w:val="baseline"/>
        </w:rPr>
        <w:t> </w:t>
      </w:r>
      <w:r>
        <w:rPr>
          <w:vertAlign w:val="baseline"/>
        </w:rPr>
        <w:t>Rights</w:t>
      </w:r>
      <w:r>
        <w:rPr>
          <w:spacing w:val="-8"/>
          <w:vertAlign w:val="baseline"/>
        </w:rPr>
        <w:t> </w:t>
      </w:r>
      <w:r>
        <w:rPr>
          <w:vertAlign w:val="baseline"/>
        </w:rPr>
        <w:t>have</w:t>
      </w:r>
      <w:r>
        <w:rPr>
          <w:spacing w:val="-8"/>
          <w:vertAlign w:val="baseline"/>
        </w:rPr>
        <w:t> </w:t>
      </w:r>
      <w:r>
        <w:rPr>
          <w:vertAlign w:val="baseline"/>
        </w:rPr>
        <w:t>called</w:t>
      </w:r>
      <w:r>
        <w:rPr>
          <w:spacing w:val="-8"/>
          <w:vertAlign w:val="baseline"/>
        </w:rPr>
        <w:t> </w:t>
      </w:r>
      <w:r>
        <w:rPr>
          <w:vertAlign w:val="baseline"/>
        </w:rPr>
        <w:t>for</w:t>
      </w:r>
      <w:r>
        <w:rPr>
          <w:spacing w:val="-8"/>
          <w:vertAlign w:val="baseline"/>
        </w:rPr>
        <w:t> </w:t>
      </w:r>
      <w:r>
        <w:rPr>
          <w:vertAlign w:val="baseline"/>
        </w:rPr>
        <w:t>the</w:t>
      </w:r>
      <w:r>
        <w:rPr>
          <w:spacing w:val="-8"/>
          <w:vertAlign w:val="baseline"/>
        </w:rPr>
        <w:t> </w:t>
      </w:r>
      <w:r>
        <w:rPr>
          <w:vertAlign w:val="baseline"/>
        </w:rPr>
        <w:t>practice</w:t>
      </w:r>
      <w:r>
        <w:rPr>
          <w:spacing w:val="-8"/>
          <w:vertAlign w:val="baseline"/>
        </w:rPr>
        <w:t> </w:t>
      </w:r>
      <w:r>
        <w:rPr>
          <w:vertAlign w:val="baseline"/>
        </w:rPr>
        <w:t>to</w:t>
      </w:r>
      <w:r>
        <w:rPr>
          <w:spacing w:val="-8"/>
          <w:vertAlign w:val="baseline"/>
        </w:rPr>
        <w:t> </w:t>
      </w:r>
      <w:r>
        <w:rPr>
          <w:vertAlign w:val="baseline"/>
        </w:rPr>
        <w:t>be</w:t>
      </w:r>
      <w:r>
        <w:rPr>
          <w:spacing w:val="-8"/>
          <w:vertAlign w:val="baseline"/>
        </w:rPr>
        <w:t> </w:t>
      </w:r>
      <w:r>
        <w:rPr>
          <w:vertAlign w:val="baseline"/>
        </w:rPr>
        <w:t>banned.</w:t>
      </w:r>
      <w:r>
        <w:rPr>
          <w:vertAlign w:val="superscript"/>
        </w:rPr>
        <w:t>370</w:t>
      </w:r>
      <w:r>
        <w:rPr>
          <w:spacing w:val="-8"/>
          <w:vertAlign w:val="baseline"/>
        </w:rPr>
        <w:t> </w:t>
      </w:r>
      <w:r>
        <w:rPr>
          <w:vertAlign w:val="baseline"/>
        </w:rPr>
        <w:t>The</w:t>
      </w:r>
      <w:r>
        <w:rPr>
          <w:spacing w:val="-8"/>
          <w:vertAlign w:val="baseline"/>
        </w:rPr>
        <w:t> </w:t>
      </w:r>
      <w:r>
        <w:rPr>
          <w:vertAlign w:val="baseline"/>
        </w:rPr>
        <w:t>European</w:t>
      </w:r>
      <w:r>
        <w:rPr>
          <w:spacing w:val="-8"/>
          <w:vertAlign w:val="baseline"/>
        </w:rPr>
        <w:t> </w:t>
      </w:r>
      <w:r>
        <w:rPr>
          <w:vertAlign w:val="baseline"/>
        </w:rPr>
        <w:t>Union does not have legislation on conversion therapy but the European Parliament has criticised the practice and called on national authorities to ban it.</w:t>
      </w:r>
      <w:r>
        <w:rPr>
          <w:vertAlign w:val="superscript"/>
        </w:rPr>
        <w:t>371</w:t>
      </w:r>
    </w:p>
    <w:p>
      <w:pPr>
        <w:pStyle w:val="BodyText"/>
        <w:spacing w:line="232" w:lineRule="auto" w:before="277"/>
        <w:ind w:left="720" w:right="1250"/>
      </w:pPr>
      <w:r>
        <w:rPr/>
        <w:t>The</w:t>
      </w:r>
      <w:r>
        <w:rPr>
          <w:spacing w:val="-7"/>
        </w:rPr>
        <w:t> </w:t>
      </w:r>
      <w:r>
        <w:rPr/>
        <w:t>consultation</w:t>
      </w:r>
      <w:r>
        <w:rPr>
          <w:spacing w:val="-8"/>
        </w:rPr>
        <w:t> </w:t>
      </w:r>
      <w:r>
        <w:rPr/>
        <w:t>on</w:t>
      </w:r>
      <w:r>
        <w:rPr>
          <w:spacing w:val="-8"/>
        </w:rPr>
        <w:t> </w:t>
      </w:r>
      <w:r>
        <w:rPr/>
        <w:t>the</w:t>
      </w:r>
      <w:r>
        <w:rPr>
          <w:spacing w:val="-7"/>
        </w:rPr>
        <w:t> </w:t>
      </w:r>
      <w:r>
        <w:rPr/>
        <w:t>Irish</w:t>
      </w:r>
      <w:r>
        <w:rPr>
          <w:spacing w:val="-8"/>
        </w:rPr>
        <w:t> </w:t>
      </w:r>
      <w:r>
        <w:rPr/>
        <w:t>equality</w:t>
      </w:r>
      <w:r>
        <w:rPr>
          <w:spacing w:val="-7"/>
        </w:rPr>
        <w:t> </w:t>
      </w:r>
      <w:r>
        <w:rPr/>
        <w:t>legislation</w:t>
      </w:r>
      <w:r>
        <w:rPr>
          <w:spacing w:val="-8"/>
        </w:rPr>
        <w:t> </w:t>
      </w:r>
      <w:r>
        <w:rPr/>
        <w:t>also</w:t>
      </w:r>
      <w:r>
        <w:rPr>
          <w:spacing w:val="-8"/>
        </w:rPr>
        <w:t> </w:t>
      </w:r>
      <w:r>
        <w:rPr/>
        <w:t>highlighted</w:t>
      </w:r>
      <w:r>
        <w:rPr>
          <w:spacing w:val="-8"/>
        </w:rPr>
        <w:t> </w:t>
      </w:r>
      <w:r>
        <w:rPr/>
        <w:t>that</w:t>
      </w:r>
      <w:r>
        <w:rPr>
          <w:spacing w:val="-7"/>
        </w:rPr>
        <w:t> </w:t>
      </w:r>
      <w:r>
        <w:rPr/>
        <w:t>exemptions in the equality legislation to protect the religious ethos of institutions was</w:t>
      </w:r>
    </w:p>
    <w:p>
      <w:pPr>
        <w:pStyle w:val="BodyText"/>
        <w:spacing w:line="232" w:lineRule="auto"/>
        <w:ind w:left="720" w:right="1087"/>
      </w:pPr>
      <w:r>
        <w:rPr/>
        <w:t>too broad and likely in breach of the requirements of the Framework Equality Directive.</w:t>
      </w:r>
      <w:r>
        <w:rPr>
          <w:vertAlign w:val="superscript"/>
        </w:rPr>
        <w:t>372</w:t>
      </w:r>
      <w:r>
        <w:rPr>
          <w:vertAlign w:val="baseline"/>
        </w:rPr>
        <w:t> Consultation responses indicated the exemptions were used to harm the</w:t>
      </w:r>
      <w:r>
        <w:rPr>
          <w:spacing w:val="-9"/>
          <w:vertAlign w:val="baseline"/>
        </w:rPr>
        <w:t> </w:t>
      </w:r>
      <w:r>
        <w:rPr>
          <w:vertAlign w:val="baseline"/>
        </w:rPr>
        <w:t>interests</w:t>
      </w:r>
      <w:r>
        <w:rPr>
          <w:spacing w:val="-9"/>
          <w:vertAlign w:val="baseline"/>
        </w:rPr>
        <w:t> </w:t>
      </w:r>
      <w:r>
        <w:rPr>
          <w:vertAlign w:val="baseline"/>
        </w:rPr>
        <w:t>of</w:t>
      </w:r>
      <w:r>
        <w:rPr>
          <w:spacing w:val="-9"/>
          <w:vertAlign w:val="baseline"/>
        </w:rPr>
        <w:t> </w:t>
      </w:r>
      <w:r>
        <w:rPr>
          <w:vertAlign w:val="baseline"/>
        </w:rPr>
        <w:t>LGBTI+</w:t>
      </w:r>
      <w:r>
        <w:rPr>
          <w:spacing w:val="-9"/>
          <w:vertAlign w:val="baseline"/>
        </w:rPr>
        <w:t> </w:t>
      </w:r>
      <w:r>
        <w:rPr>
          <w:vertAlign w:val="baseline"/>
        </w:rPr>
        <w:t>persons.</w:t>
      </w:r>
      <w:r>
        <w:rPr>
          <w:vertAlign w:val="superscript"/>
        </w:rPr>
        <w:t>373</w:t>
      </w:r>
      <w:r>
        <w:rPr>
          <w:spacing w:val="-9"/>
          <w:vertAlign w:val="baseline"/>
        </w:rPr>
        <w:t> </w:t>
      </w:r>
      <w:r>
        <w:rPr>
          <w:vertAlign w:val="baseline"/>
        </w:rPr>
        <w:t>The</w:t>
      </w:r>
      <w:r>
        <w:rPr>
          <w:spacing w:val="-9"/>
          <w:vertAlign w:val="baseline"/>
        </w:rPr>
        <w:t> </w:t>
      </w:r>
      <w:r>
        <w:rPr>
          <w:vertAlign w:val="baseline"/>
        </w:rPr>
        <w:t>Irish</w:t>
      </w:r>
      <w:r>
        <w:rPr>
          <w:spacing w:val="-9"/>
          <w:vertAlign w:val="baseline"/>
        </w:rPr>
        <w:t> </w:t>
      </w:r>
      <w:r>
        <w:rPr>
          <w:vertAlign w:val="baseline"/>
        </w:rPr>
        <w:t>Human</w:t>
      </w:r>
      <w:r>
        <w:rPr>
          <w:spacing w:val="-9"/>
          <w:vertAlign w:val="baseline"/>
        </w:rPr>
        <w:t> </w:t>
      </w:r>
      <w:r>
        <w:rPr>
          <w:vertAlign w:val="baseline"/>
        </w:rPr>
        <w:t>Rights</w:t>
      </w:r>
      <w:r>
        <w:rPr>
          <w:spacing w:val="-9"/>
          <w:vertAlign w:val="baseline"/>
        </w:rPr>
        <w:t> </w:t>
      </w:r>
      <w:r>
        <w:rPr>
          <w:vertAlign w:val="baseline"/>
        </w:rPr>
        <w:t>and</w:t>
      </w:r>
      <w:r>
        <w:rPr>
          <w:spacing w:val="-9"/>
          <w:vertAlign w:val="baseline"/>
        </w:rPr>
        <w:t> </w:t>
      </w:r>
      <w:r>
        <w:rPr>
          <w:vertAlign w:val="baseline"/>
        </w:rPr>
        <w:t>Equality</w:t>
      </w:r>
      <w:r>
        <w:rPr>
          <w:spacing w:val="-9"/>
          <w:vertAlign w:val="baseline"/>
        </w:rPr>
        <w:t> </w:t>
      </w:r>
      <w:r>
        <w:rPr>
          <w:vertAlign w:val="baseline"/>
        </w:rPr>
        <w:t>Commission has recommended that the provisions be tightened.</w:t>
      </w:r>
      <w:r>
        <w:rPr>
          <w:vertAlign w:val="superscript"/>
        </w:rPr>
        <w:t>374</w:t>
      </w:r>
    </w:p>
    <w:p>
      <w:pPr>
        <w:pStyle w:val="BodyText"/>
        <w:spacing w:before="10"/>
        <w:rPr>
          <w:sz w:val="19"/>
        </w:rPr>
      </w:pPr>
      <w:r>
        <w:rPr/>
        <mc:AlternateContent>
          <mc:Choice Requires="wps">
            <w:drawing>
              <wp:anchor distT="0" distB="0" distL="0" distR="0" allowOverlap="1" layoutInCell="1" locked="0" behindDoc="1" simplePos="0" relativeHeight="487699968">
                <wp:simplePos x="0" y="0"/>
                <wp:positionH relativeFrom="page">
                  <wp:posOffset>647994</wp:posOffset>
                </wp:positionH>
                <wp:positionV relativeFrom="paragraph">
                  <wp:posOffset>169426</wp:posOffset>
                </wp:positionV>
                <wp:extent cx="6012180" cy="1232535"/>
                <wp:effectExtent l="0" t="0" r="0" b="0"/>
                <wp:wrapTopAndBottom/>
                <wp:docPr id="599" name="Group 599"/>
                <wp:cNvGraphicFramePr>
                  <a:graphicFrameLocks/>
                </wp:cNvGraphicFramePr>
                <a:graphic>
                  <a:graphicData uri="http://schemas.microsoft.com/office/word/2010/wordprocessingGroup">
                    <wpg:wgp>
                      <wpg:cNvPr id="599" name="Group 599"/>
                      <wpg:cNvGrpSpPr/>
                      <wpg:grpSpPr>
                        <a:xfrm>
                          <a:off x="0" y="0"/>
                          <a:ext cx="6012180" cy="1232535"/>
                          <a:chExt cx="6012180" cy="1232535"/>
                        </a:xfrm>
                      </wpg:grpSpPr>
                      <wps:wsp>
                        <wps:cNvPr id="600" name="Graphic 600"/>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601" name="Textbox 601"/>
                        <wps:cNvSpPr txBox="1"/>
                        <wps:spPr>
                          <a:xfrm>
                            <a:off x="0" y="0"/>
                            <a:ext cx="6012180" cy="1232535"/>
                          </a:xfrm>
                          <a:prstGeom prst="rect">
                            <a:avLst/>
                          </a:prstGeom>
                        </wps:spPr>
                        <wps:txbx>
                          <w:txbxContent>
                            <w:p>
                              <w:pPr>
                                <w:spacing w:line="232" w:lineRule="auto" w:before="121"/>
                                <w:ind w:left="340" w:right="475"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Government</w:t>
                              </w:r>
                              <w:r>
                                <w:rPr>
                                  <w:b/>
                                  <w:color w:val="164194"/>
                                  <w:spacing w:val="-8"/>
                                  <w:sz w:val="28"/>
                                </w:rPr>
                                <w:t> </w:t>
                              </w:r>
                              <w:r>
                                <w:rPr>
                                  <w:b/>
                                  <w:color w:val="164194"/>
                                  <w:sz w:val="28"/>
                                </w:rPr>
                                <w:t>of</w:t>
                              </w:r>
                              <w:r>
                                <w:rPr>
                                  <w:b/>
                                  <w:color w:val="164194"/>
                                  <w:spacing w:val="-9"/>
                                  <w:sz w:val="28"/>
                                </w:rPr>
                                <w:t> </w:t>
                              </w:r>
                              <w:r>
                                <w:rPr>
                                  <w:b/>
                                  <w:color w:val="164194"/>
                                  <w:sz w:val="28"/>
                                </w:rPr>
                                <w:t>Ireland</w:t>
                              </w:r>
                              <w:r>
                                <w:rPr>
                                  <w:b/>
                                  <w:color w:val="164194"/>
                                  <w:spacing w:val="-8"/>
                                  <w:sz w:val="28"/>
                                </w:rPr>
                                <w:t> </w:t>
                              </w:r>
                              <w:r>
                                <w:rPr>
                                  <w:b/>
                                  <w:color w:val="164194"/>
                                  <w:sz w:val="28"/>
                                </w:rPr>
                                <w:t>and</w:t>
                              </w:r>
                              <w:r>
                                <w:rPr>
                                  <w:b/>
                                  <w:color w:val="164194"/>
                                  <w:spacing w:val="-8"/>
                                  <w:sz w:val="28"/>
                                </w:rPr>
                                <w:t> </w:t>
                              </w:r>
                              <w:r>
                                <w:rPr>
                                  <w:b/>
                                  <w:color w:val="164194"/>
                                  <w:sz w:val="28"/>
                                </w:rPr>
                                <w:t>NI</w:t>
                              </w:r>
                              <w:r>
                                <w:rPr>
                                  <w:b/>
                                  <w:color w:val="164194"/>
                                  <w:spacing w:val="-8"/>
                                  <w:sz w:val="28"/>
                                </w:rPr>
                                <w:t> </w:t>
                              </w:r>
                              <w:r>
                                <w:rPr>
                                  <w:b/>
                                  <w:color w:val="164194"/>
                                  <w:sz w:val="28"/>
                                </w:rPr>
                                <w:t>Executive</w:t>
                              </w:r>
                              <w:r>
                                <w:rPr>
                                  <w:b/>
                                  <w:color w:val="164194"/>
                                  <w:spacing w:val="-9"/>
                                  <w:sz w:val="28"/>
                                </w:rPr>
                                <w:t> </w:t>
                              </w:r>
                              <w:r>
                                <w:rPr>
                                  <w:b/>
                                  <w:color w:val="164194"/>
                                  <w:sz w:val="28"/>
                                </w:rPr>
                                <w:t>consider legislative proposals as regards a ban on conversion therapy that takes into</w:t>
                              </w:r>
                              <w:r>
                                <w:rPr>
                                  <w:b/>
                                  <w:color w:val="164194"/>
                                  <w:spacing w:val="-2"/>
                                  <w:sz w:val="28"/>
                                </w:rPr>
                                <w:t> </w:t>
                              </w:r>
                              <w:r>
                                <w:rPr>
                                  <w:b/>
                                  <w:color w:val="164194"/>
                                  <w:sz w:val="28"/>
                                </w:rPr>
                                <w:t>consideration</w:t>
                              </w:r>
                              <w:r>
                                <w:rPr>
                                  <w:b/>
                                  <w:color w:val="164194"/>
                                  <w:spacing w:val="-2"/>
                                  <w:sz w:val="28"/>
                                </w:rPr>
                                <w:t> </w:t>
                              </w:r>
                              <w:r>
                                <w:rPr>
                                  <w:b/>
                                  <w:color w:val="164194"/>
                                  <w:sz w:val="28"/>
                                </w:rPr>
                                <w:t>any</w:t>
                              </w:r>
                              <w:r>
                                <w:rPr>
                                  <w:b/>
                                  <w:color w:val="164194"/>
                                  <w:spacing w:val="-2"/>
                                  <w:sz w:val="28"/>
                                </w:rPr>
                                <w:t> </w:t>
                              </w:r>
                              <w:r>
                                <w:rPr>
                                  <w:b/>
                                  <w:color w:val="164194"/>
                                  <w:sz w:val="28"/>
                                </w:rPr>
                                <w:t>EU</w:t>
                              </w:r>
                              <w:r>
                                <w:rPr>
                                  <w:b/>
                                  <w:color w:val="164194"/>
                                  <w:spacing w:val="-2"/>
                                  <w:sz w:val="28"/>
                                </w:rPr>
                                <w:t> </w:t>
                              </w:r>
                              <w:r>
                                <w:rPr>
                                  <w:b/>
                                  <w:color w:val="164194"/>
                                  <w:sz w:val="28"/>
                                </w:rPr>
                                <w:t>developments</w:t>
                              </w:r>
                              <w:r>
                                <w:rPr>
                                  <w:b/>
                                  <w:color w:val="164194"/>
                                  <w:spacing w:val="-2"/>
                                  <w:sz w:val="28"/>
                                </w:rPr>
                                <w:t> </w:t>
                              </w:r>
                              <w:r>
                                <w:rPr>
                                  <w:b/>
                                  <w:color w:val="164194"/>
                                  <w:sz w:val="28"/>
                                </w:rPr>
                                <w:t>in</w:t>
                              </w:r>
                              <w:r>
                                <w:rPr>
                                  <w:b/>
                                  <w:color w:val="164194"/>
                                  <w:spacing w:val="-2"/>
                                  <w:sz w:val="28"/>
                                </w:rPr>
                                <w:t> </w:t>
                              </w:r>
                              <w:r>
                                <w:rPr>
                                  <w:b/>
                                  <w:color w:val="164194"/>
                                  <w:sz w:val="28"/>
                                </w:rPr>
                                <w:t>this</w:t>
                              </w:r>
                              <w:r>
                                <w:rPr>
                                  <w:b/>
                                  <w:color w:val="164194"/>
                                  <w:spacing w:val="-2"/>
                                  <w:sz w:val="28"/>
                                </w:rPr>
                                <w:t> </w:t>
                              </w:r>
                              <w:r>
                                <w:rPr>
                                  <w:b/>
                                  <w:color w:val="164194"/>
                                  <w:sz w:val="28"/>
                                </w:rPr>
                                <w:t>area</w:t>
                              </w:r>
                              <w:r>
                                <w:rPr>
                                  <w:b/>
                                  <w:color w:val="164194"/>
                                  <w:spacing w:val="-2"/>
                                  <w:sz w:val="28"/>
                                </w:rPr>
                                <w:t> </w:t>
                              </w:r>
                              <w:r>
                                <w:rPr>
                                  <w:b/>
                                  <w:color w:val="164194"/>
                                  <w:sz w:val="28"/>
                                </w:rPr>
                                <w:t>and</w:t>
                              </w:r>
                              <w:r>
                                <w:rPr>
                                  <w:b/>
                                  <w:color w:val="164194"/>
                                  <w:spacing w:val="-2"/>
                                  <w:sz w:val="28"/>
                                </w:rPr>
                                <w:t> </w:t>
                              </w:r>
                              <w:r>
                                <w:rPr>
                                  <w:b/>
                                  <w:color w:val="164194"/>
                                  <w:sz w:val="28"/>
                                </w:rPr>
                                <w:t>ensures</w:t>
                              </w:r>
                              <w:r>
                                <w:rPr>
                                  <w:b/>
                                  <w:color w:val="164194"/>
                                  <w:spacing w:val="-2"/>
                                  <w:sz w:val="28"/>
                                </w:rPr>
                                <w:t> </w:t>
                              </w:r>
                              <w:r>
                                <w:rPr>
                                  <w:b/>
                                  <w:color w:val="164194"/>
                                  <w:sz w:val="28"/>
                                </w:rPr>
                                <w:t>that</w:t>
                              </w:r>
                              <w:r>
                                <w:rPr>
                                  <w:b/>
                                  <w:color w:val="164194"/>
                                  <w:spacing w:val="-2"/>
                                  <w:sz w:val="28"/>
                                </w:rPr>
                                <w:t> </w:t>
                              </w:r>
                              <w:r>
                                <w:rPr>
                                  <w:b/>
                                  <w:color w:val="164194"/>
                                  <w:sz w:val="28"/>
                                </w:rPr>
                                <w:t>any published legislative proposals strengthen 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3.340697pt;width:473.4pt;height:97.05pt;mso-position-horizontal-relative:page;mso-position-vertical-relative:paragraph;z-index:-15616512;mso-wrap-distance-left:0;mso-wrap-distance-right:0" id="docshapegroup484" coordorigin="1020,267" coordsize="9468,1941">
                <v:shape style="position:absolute;left:1020;top:266;width:9468;height:1941" id="docshape485" coordorigin="1020,267" coordsize="9468,1941" path="m10261,267l1247,267,1176,278,1113,311,1064,360,1032,422,1020,494,1020,1980,1032,2052,1064,2114,1113,2163,1176,2195,1247,2207,10261,2207,10333,2195,10395,2163,10444,2114,10477,2052,10488,1980,10488,494,10477,422,10444,360,10395,311,10333,278,10261,267xe" filled="true" fillcolor="#e9f3fc" stroked="false">
                  <v:path arrowok="t"/>
                  <v:fill type="solid"/>
                </v:shape>
                <v:shape style="position:absolute;left:1020;top:266;width:9468;height:1941" type="#_x0000_t202" id="docshape486" filled="false" stroked="false">
                  <v:textbox inset="0,0,0,0">
                    <w:txbxContent>
                      <w:p>
                        <w:pPr>
                          <w:spacing w:line="232" w:lineRule="auto" w:before="121"/>
                          <w:ind w:left="340" w:right="475"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Government</w:t>
                        </w:r>
                        <w:r>
                          <w:rPr>
                            <w:b/>
                            <w:color w:val="164194"/>
                            <w:spacing w:val="-8"/>
                            <w:sz w:val="28"/>
                          </w:rPr>
                          <w:t> </w:t>
                        </w:r>
                        <w:r>
                          <w:rPr>
                            <w:b/>
                            <w:color w:val="164194"/>
                            <w:sz w:val="28"/>
                          </w:rPr>
                          <w:t>of</w:t>
                        </w:r>
                        <w:r>
                          <w:rPr>
                            <w:b/>
                            <w:color w:val="164194"/>
                            <w:spacing w:val="-9"/>
                            <w:sz w:val="28"/>
                          </w:rPr>
                          <w:t> </w:t>
                        </w:r>
                        <w:r>
                          <w:rPr>
                            <w:b/>
                            <w:color w:val="164194"/>
                            <w:sz w:val="28"/>
                          </w:rPr>
                          <w:t>Ireland</w:t>
                        </w:r>
                        <w:r>
                          <w:rPr>
                            <w:b/>
                            <w:color w:val="164194"/>
                            <w:spacing w:val="-8"/>
                            <w:sz w:val="28"/>
                          </w:rPr>
                          <w:t> </w:t>
                        </w:r>
                        <w:r>
                          <w:rPr>
                            <w:b/>
                            <w:color w:val="164194"/>
                            <w:sz w:val="28"/>
                          </w:rPr>
                          <w:t>and</w:t>
                        </w:r>
                        <w:r>
                          <w:rPr>
                            <w:b/>
                            <w:color w:val="164194"/>
                            <w:spacing w:val="-8"/>
                            <w:sz w:val="28"/>
                          </w:rPr>
                          <w:t> </w:t>
                        </w:r>
                        <w:r>
                          <w:rPr>
                            <w:b/>
                            <w:color w:val="164194"/>
                            <w:sz w:val="28"/>
                          </w:rPr>
                          <w:t>NI</w:t>
                        </w:r>
                        <w:r>
                          <w:rPr>
                            <w:b/>
                            <w:color w:val="164194"/>
                            <w:spacing w:val="-8"/>
                            <w:sz w:val="28"/>
                          </w:rPr>
                          <w:t> </w:t>
                        </w:r>
                        <w:r>
                          <w:rPr>
                            <w:b/>
                            <w:color w:val="164194"/>
                            <w:sz w:val="28"/>
                          </w:rPr>
                          <w:t>Executive</w:t>
                        </w:r>
                        <w:r>
                          <w:rPr>
                            <w:b/>
                            <w:color w:val="164194"/>
                            <w:spacing w:val="-9"/>
                            <w:sz w:val="28"/>
                          </w:rPr>
                          <w:t> </w:t>
                        </w:r>
                        <w:r>
                          <w:rPr>
                            <w:b/>
                            <w:color w:val="164194"/>
                            <w:sz w:val="28"/>
                          </w:rPr>
                          <w:t>consider legislative proposals as regards a ban on conversion therapy that takes into</w:t>
                        </w:r>
                        <w:r>
                          <w:rPr>
                            <w:b/>
                            <w:color w:val="164194"/>
                            <w:spacing w:val="-2"/>
                            <w:sz w:val="28"/>
                          </w:rPr>
                          <w:t> </w:t>
                        </w:r>
                        <w:r>
                          <w:rPr>
                            <w:b/>
                            <w:color w:val="164194"/>
                            <w:sz w:val="28"/>
                          </w:rPr>
                          <w:t>consideration</w:t>
                        </w:r>
                        <w:r>
                          <w:rPr>
                            <w:b/>
                            <w:color w:val="164194"/>
                            <w:spacing w:val="-2"/>
                            <w:sz w:val="28"/>
                          </w:rPr>
                          <w:t> </w:t>
                        </w:r>
                        <w:r>
                          <w:rPr>
                            <w:b/>
                            <w:color w:val="164194"/>
                            <w:sz w:val="28"/>
                          </w:rPr>
                          <w:t>any</w:t>
                        </w:r>
                        <w:r>
                          <w:rPr>
                            <w:b/>
                            <w:color w:val="164194"/>
                            <w:spacing w:val="-2"/>
                            <w:sz w:val="28"/>
                          </w:rPr>
                          <w:t> </w:t>
                        </w:r>
                        <w:r>
                          <w:rPr>
                            <w:b/>
                            <w:color w:val="164194"/>
                            <w:sz w:val="28"/>
                          </w:rPr>
                          <w:t>EU</w:t>
                        </w:r>
                        <w:r>
                          <w:rPr>
                            <w:b/>
                            <w:color w:val="164194"/>
                            <w:spacing w:val="-2"/>
                            <w:sz w:val="28"/>
                          </w:rPr>
                          <w:t> </w:t>
                        </w:r>
                        <w:r>
                          <w:rPr>
                            <w:b/>
                            <w:color w:val="164194"/>
                            <w:sz w:val="28"/>
                          </w:rPr>
                          <w:t>developments</w:t>
                        </w:r>
                        <w:r>
                          <w:rPr>
                            <w:b/>
                            <w:color w:val="164194"/>
                            <w:spacing w:val="-2"/>
                            <w:sz w:val="28"/>
                          </w:rPr>
                          <w:t> </w:t>
                        </w:r>
                        <w:r>
                          <w:rPr>
                            <w:b/>
                            <w:color w:val="164194"/>
                            <w:sz w:val="28"/>
                          </w:rPr>
                          <w:t>in</w:t>
                        </w:r>
                        <w:r>
                          <w:rPr>
                            <w:b/>
                            <w:color w:val="164194"/>
                            <w:spacing w:val="-2"/>
                            <w:sz w:val="28"/>
                          </w:rPr>
                          <w:t> </w:t>
                        </w:r>
                        <w:r>
                          <w:rPr>
                            <w:b/>
                            <w:color w:val="164194"/>
                            <w:sz w:val="28"/>
                          </w:rPr>
                          <w:t>this</w:t>
                        </w:r>
                        <w:r>
                          <w:rPr>
                            <w:b/>
                            <w:color w:val="164194"/>
                            <w:spacing w:val="-2"/>
                            <w:sz w:val="28"/>
                          </w:rPr>
                          <w:t> </w:t>
                        </w:r>
                        <w:r>
                          <w:rPr>
                            <w:b/>
                            <w:color w:val="164194"/>
                            <w:sz w:val="28"/>
                          </w:rPr>
                          <w:t>area</w:t>
                        </w:r>
                        <w:r>
                          <w:rPr>
                            <w:b/>
                            <w:color w:val="164194"/>
                            <w:spacing w:val="-2"/>
                            <w:sz w:val="28"/>
                          </w:rPr>
                          <w:t> </w:t>
                        </w:r>
                        <w:r>
                          <w:rPr>
                            <w:b/>
                            <w:color w:val="164194"/>
                            <w:sz w:val="28"/>
                          </w:rPr>
                          <w:t>and</w:t>
                        </w:r>
                        <w:r>
                          <w:rPr>
                            <w:b/>
                            <w:color w:val="164194"/>
                            <w:spacing w:val="-2"/>
                            <w:sz w:val="28"/>
                          </w:rPr>
                          <w:t> </w:t>
                        </w:r>
                        <w:r>
                          <w:rPr>
                            <w:b/>
                            <w:color w:val="164194"/>
                            <w:sz w:val="28"/>
                          </w:rPr>
                          <w:t>ensures</w:t>
                        </w:r>
                        <w:r>
                          <w:rPr>
                            <w:b/>
                            <w:color w:val="164194"/>
                            <w:spacing w:val="-2"/>
                            <w:sz w:val="28"/>
                          </w:rPr>
                          <w:t> </w:t>
                        </w:r>
                        <w:r>
                          <w:rPr>
                            <w:b/>
                            <w:color w:val="164194"/>
                            <w:sz w:val="28"/>
                          </w:rPr>
                          <w:t>that</w:t>
                        </w:r>
                        <w:r>
                          <w:rPr>
                            <w:b/>
                            <w:color w:val="164194"/>
                            <w:spacing w:val="-2"/>
                            <w:sz w:val="28"/>
                          </w:rPr>
                          <w:t> </w:t>
                        </w:r>
                        <w:r>
                          <w:rPr>
                            <w:b/>
                            <w:color w:val="164194"/>
                            <w:sz w:val="28"/>
                          </w:rPr>
                          <w:t>any published legislative proposals strengthen rights and reflect international human rights standards and best practice.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00480">
                <wp:simplePos x="0" y="0"/>
                <wp:positionH relativeFrom="page">
                  <wp:posOffset>647994</wp:posOffset>
                </wp:positionH>
                <wp:positionV relativeFrom="paragraph">
                  <wp:posOffset>1541176</wp:posOffset>
                </wp:positionV>
                <wp:extent cx="6012180" cy="813435"/>
                <wp:effectExtent l="0" t="0" r="0" b="0"/>
                <wp:wrapTopAndBottom/>
                <wp:docPr id="602" name="Group 602"/>
                <wp:cNvGraphicFramePr>
                  <a:graphicFrameLocks/>
                </wp:cNvGraphicFramePr>
                <a:graphic>
                  <a:graphicData uri="http://schemas.microsoft.com/office/word/2010/wordprocessingGroup">
                    <wpg:wgp>
                      <wpg:cNvPr id="602" name="Group 602"/>
                      <wpg:cNvGrpSpPr/>
                      <wpg:grpSpPr>
                        <a:xfrm>
                          <a:off x="0" y="0"/>
                          <a:ext cx="6012180" cy="813435"/>
                          <a:chExt cx="6012180" cy="813435"/>
                        </a:xfrm>
                      </wpg:grpSpPr>
                      <wps:wsp>
                        <wps:cNvPr id="603" name="Graphic 603"/>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604" name="Textbox 604"/>
                        <wps:cNvSpPr txBox="1"/>
                        <wps:spPr>
                          <a:xfrm>
                            <a:off x="0" y="0"/>
                            <a:ext cx="6012180" cy="81343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w:t>
                              </w:r>
                              <w:r>
                                <w:rPr>
                                  <w:b/>
                                  <w:color w:val="164194"/>
                                  <w:spacing w:val="-8"/>
                                  <w:sz w:val="28"/>
                                </w:rPr>
                                <w:t> </w:t>
                              </w:r>
                              <w:r>
                                <w:rPr>
                                  <w:b/>
                                  <w:color w:val="164194"/>
                                  <w:sz w:val="28"/>
                                </w:rPr>
                                <w:t>Government</w:t>
                              </w:r>
                              <w:r>
                                <w:rPr>
                                  <w:b/>
                                  <w:color w:val="164194"/>
                                  <w:spacing w:val="-7"/>
                                  <w:sz w:val="28"/>
                                </w:rPr>
                                <w:t> </w:t>
                              </w:r>
                              <w:r>
                                <w:rPr>
                                  <w:b/>
                                  <w:color w:val="164194"/>
                                  <w:sz w:val="28"/>
                                </w:rPr>
                                <w:t>of</w:t>
                              </w:r>
                              <w:r>
                                <w:rPr>
                                  <w:b/>
                                  <w:color w:val="164194"/>
                                  <w:spacing w:val="-8"/>
                                  <w:sz w:val="28"/>
                                </w:rPr>
                                <w:t> </w:t>
                              </w:r>
                              <w:r>
                                <w:rPr>
                                  <w:b/>
                                  <w:color w:val="164194"/>
                                  <w:sz w:val="28"/>
                                </w:rPr>
                                <w:t>Ireland</w:t>
                              </w:r>
                              <w:r>
                                <w:rPr>
                                  <w:b/>
                                  <w:color w:val="164194"/>
                                  <w:spacing w:val="-7"/>
                                  <w:sz w:val="28"/>
                                </w:rPr>
                                <w:t> </w:t>
                              </w:r>
                              <w:r>
                                <w:rPr>
                                  <w:b/>
                                  <w:color w:val="164194"/>
                                  <w:sz w:val="28"/>
                                </w:rPr>
                                <w:t>include</w:t>
                              </w:r>
                              <w:r>
                                <w:rPr>
                                  <w:b/>
                                  <w:color w:val="164194"/>
                                  <w:spacing w:val="-8"/>
                                  <w:sz w:val="28"/>
                                </w:rPr>
                                <w:t> </w:t>
                              </w:r>
                              <w:r>
                                <w:rPr>
                                  <w:b/>
                                  <w:color w:val="164194"/>
                                  <w:sz w:val="28"/>
                                </w:rPr>
                                <w:t>proposals</w:t>
                              </w:r>
                              <w:r>
                                <w:rPr>
                                  <w:b/>
                                  <w:color w:val="164194"/>
                                  <w:spacing w:val="-7"/>
                                  <w:sz w:val="28"/>
                                </w:rPr>
                                <w:t> </w:t>
                              </w:r>
                              <w:r>
                                <w:rPr>
                                  <w:b/>
                                  <w:color w:val="164194"/>
                                  <w:sz w:val="28"/>
                                </w:rPr>
                                <w:t>to</w:t>
                              </w:r>
                              <w:r>
                                <w:rPr>
                                  <w:b/>
                                  <w:color w:val="164194"/>
                                  <w:spacing w:val="-7"/>
                                  <w:sz w:val="28"/>
                                </w:rPr>
                                <w:t> </w:t>
                              </w:r>
                              <w:r>
                                <w:rPr>
                                  <w:b/>
                                  <w:color w:val="164194"/>
                                  <w:sz w:val="28"/>
                                </w:rPr>
                                <w:t>amend the equality acts provisions on the religious ethos exemption to bring them into line with EU standards.</w:t>
                              </w:r>
                            </w:p>
                          </w:txbxContent>
                        </wps:txbx>
                        <wps:bodyPr wrap="square" lIns="0" tIns="0" rIns="0" bIns="0" rtlCol="0">
                          <a:noAutofit/>
                        </wps:bodyPr>
                      </wps:wsp>
                    </wpg:wgp>
                  </a:graphicData>
                </a:graphic>
              </wp:anchor>
            </w:drawing>
          </mc:Choice>
          <mc:Fallback>
            <w:pict>
              <v:group style="position:absolute;margin-left:51.023201pt;margin-top:121.352493pt;width:473.4pt;height:64.05pt;mso-position-horizontal-relative:page;mso-position-vertical-relative:paragraph;z-index:-15616000;mso-wrap-distance-left:0;mso-wrap-distance-right:0" id="docshapegroup487" coordorigin="1020,2427" coordsize="9468,1281">
                <v:shape style="position:absolute;left:1020;top:2427;width:9468;height:1281" id="docshape488" coordorigin="1020,2427" coordsize="9468,1281" path="m10261,2427l1247,2427,1176,2439,1113,2471,1064,2520,1032,2582,1020,2654,1020,3480,1032,3552,1064,3614,1113,3663,1176,3696,1247,3707,10261,3707,10333,3696,10395,3663,10444,3614,10477,3552,10488,3480,10488,2654,10477,2582,10444,2520,10395,2471,10333,2439,10261,2427xe" filled="true" fillcolor="#e9f3fc" stroked="false">
                  <v:path arrowok="t"/>
                  <v:fill type="solid"/>
                </v:shape>
                <v:shape style="position:absolute;left:1020;top:2427;width:9468;height:1281" type="#_x0000_t202" id="docshape489"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w:t>
                        </w:r>
                        <w:r>
                          <w:rPr>
                            <w:b/>
                            <w:color w:val="164194"/>
                            <w:spacing w:val="-8"/>
                            <w:sz w:val="28"/>
                          </w:rPr>
                          <w:t> </w:t>
                        </w:r>
                        <w:r>
                          <w:rPr>
                            <w:b/>
                            <w:color w:val="164194"/>
                            <w:sz w:val="28"/>
                          </w:rPr>
                          <w:t>Government</w:t>
                        </w:r>
                        <w:r>
                          <w:rPr>
                            <w:b/>
                            <w:color w:val="164194"/>
                            <w:spacing w:val="-7"/>
                            <w:sz w:val="28"/>
                          </w:rPr>
                          <w:t> </w:t>
                        </w:r>
                        <w:r>
                          <w:rPr>
                            <w:b/>
                            <w:color w:val="164194"/>
                            <w:sz w:val="28"/>
                          </w:rPr>
                          <w:t>of</w:t>
                        </w:r>
                        <w:r>
                          <w:rPr>
                            <w:b/>
                            <w:color w:val="164194"/>
                            <w:spacing w:val="-8"/>
                            <w:sz w:val="28"/>
                          </w:rPr>
                          <w:t> </w:t>
                        </w:r>
                        <w:r>
                          <w:rPr>
                            <w:b/>
                            <w:color w:val="164194"/>
                            <w:sz w:val="28"/>
                          </w:rPr>
                          <w:t>Ireland</w:t>
                        </w:r>
                        <w:r>
                          <w:rPr>
                            <w:b/>
                            <w:color w:val="164194"/>
                            <w:spacing w:val="-7"/>
                            <w:sz w:val="28"/>
                          </w:rPr>
                          <w:t> </w:t>
                        </w:r>
                        <w:r>
                          <w:rPr>
                            <w:b/>
                            <w:color w:val="164194"/>
                            <w:sz w:val="28"/>
                          </w:rPr>
                          <w:t>include</w:t>
                        </w:r>
                        <w:r>
                          <w:rPr>
                            <w:b/>
                            <w:color w:val="164194"/>
                            <w:spacing w:val="-8"/>
                            <w:sz w:val="28"/>
                          </w:rPr>
                          <w:t> </w:t>
                        </w:r>
                        <w:r>
                          <w:rPr>
                            <w:b/>
                            <w:color w:val="164194"/>
                            <w:sz w:val="28"/>
                          </w:rPr>
                          <w:t>proposals</w:t>
                        </w:r>
                        <w:r>
                          <w:rPr>
                            <w:b/>
                            <w:color w:val="164194"/>
                            <w:spacing w:val="-7"/>
                            <w:sz w:val="28"/>
                          </w:rPr>
                          <w:t> </w:t>
                        </w:r>
                        <w:r>
                          <w:rPr>
                            <w:b/>
                            <w:color w:val="164194"/>
                            <w:sz w:val="28"/>
                          </w:rPr>
                          <w:t>to</w:t>
                        </w:r>
                        <w:r>
                          <w:rPr>
                            <w:b/>
                            <w:color w:val="164194"/>
                            <w:spacing w:val="-7"/>
                            <w:sz w:val="28"/>
                          </w:rPr>
                          <w:t> </w:t>
                        </w:r>
                        <w:r>
                          <w:rPr>
                            <w:b/>
                            <w:color w:val="164194"/>
                            <w:sz w:val="28"/>
                          </w:rPr>
                          <w:t>amend the equality acts provisions on the religious ethos exemption to bring them into line with EU standards.</w:t>
                        </w:r>
                      </w:p>
                    </w:txbxContent>
                  </v:textbox>
                  <w10:wrap type="none"/>
                </v:shape>
                <w10:wrap type="topAndBottom"/>
              </v:group>
            </w:pict>
          </mc:Fallback>
        </mc:AlternateContent>
      </w:r>
    </w:p>
    <w:p>
      <w:pPr>
        <w:pStyle w:val="BodyText"/>
        <w:rPr>
          <w:sz w:val="16"/>
        </w:rPr>
      </w:pPr>
    </w:p>
    <w:p>
      <w:pPr>
        <w:pStyle w:val="Heading2"/>
        <w:numPr>
          <w:ilvl w:val="1"/>
          <w:numId w:val="21"/>
        </w:numPr>
        <w:tabs>
          <w:tab w:pos="1202" w:val="left" w:leader="none"/>
        </w:tabs>
        <w:spacing w:line="240" w:lineRule="auto" w:before="305" w:after="0"/>
        <w:ind w:left="1202" w:right="0" w:hanging="482"/>
        <w:jc w:val="left"/>
      </w:pPr>
      <w:r>
        <w:rPr>
          <w:color w:val="004A93"/>
        </w:rPr>
        <w:t>Gender</w:t>
      </w:r>
      <w:r>
        <w:rPr>
          <w:color w:val="004A93"/>
          <w:spacing w:val="-6"/>
        </w:rPr>
        <w:t> </w:t>
      </w:r>
      <w:r>
        <w:rPr>
          <w:color w:val="004A93"/>
          <w:spacing w:val="-2"/>
        </w:rPr>
        <w:t>Identity</w:t>
      </w:r>
    </w:p>
    <w:p>
      <w:pPr>
        <w:pStyle w:val="BodyText"/>
        <w:spacing w:before="9"/>
        <w:rPr>
          <w:b/>
          <w:sz w:val="5"/>
        </w:rPr>
      </w:pPr>
      <w:r>
        <w:rPr/>
        <mc:AlternateContent>
          <mc:Choice Requires="wps">
            <w:drawing>
              <wp:anchor distT="0" distB="0" distL="0" distR="0" allowOverlap="1" layoutInCell="1" locked="0" behindDoc="1" simplePos="0" relativeHeight="487700992">
                <wp:simplePos x="0" y="0"/>
                <wp:positionH relativeFrom="page">
                  <wp:posOffset>647999</wp:posOffset>
                </wp:positionH>
                <wp:positionV relativeFrom="paragraph">
                  <wp:posOffset>60076</wp:posOffset>
                </wp:positionV>
                <wp:extent cx="6012180" cy="1270"/>
                <wp:effectExtent l="0" t="0" r="0" b="0"/>
                <wp:wrapTopAndBottom/>
                <wp:docPr id="605" name="Graphic 605"/>
                <wp:cNvGraphicFramePr>
                  <a:graphicFrameLocks/>
                </wp:cNvGraphicFramePr>
                <a:graphic>
                  <a:graphicData uri="http://schemas.microsoft.com/office/word/2010/wordprocessingShape">
                    <wps:wsp>
                      <wps:cNvPr id="605" name="Graphic 605"/>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73045pt;width:473.4pt;height:.1pt;mso-position-horizontal-relative:page;mso-position-vertical-relative:paragraph;z-index:-15615488;mso-wrap-distance-left:0;mso-wrap-distance-right:0" id="docshape490" coordorigin="1020,95" coordsize="9468,0" path="m1020,95l10488,95e" filled="false" stroked="true" strokeweight="1pt" strokecolor="#36a9e1">
                <v:path arrowok="t"/>
                <v:stroke dashstyle="solid"/>
                <w10:wrap type="topAndBottom"/>
              </v:shape>
            </w:pict>
          </mc:Fallback>
        </mc:AlternateContent>
      </w:r>
    </w:p>
    <w:p>
      <w:pPr>
        <w:pStyle w:val="BodyText"/>
        <w:spacing w:line="232" w:lineRule="auto" w:before="108"/>
        <w:ind w:left="720" w:right="1557"/>
      </w:pPr>
      <w:r>
        <w:rPr/>
        <w:t>The Irish Gender Recognition Act 2015 provides a mechanism for an individual to</w:t>
      </w:r>
      <w:r>
        <w:rPr>
          <w:spacing w:val="-7"/>
        </w:rPr>
        <w:t> </w:t>
      </w:r>
      <w:r>
        <w:rPr/>
        <w:t>change</w:t>
      </w:r>
      <w:r>
        <w:rPr>
          <w:spacing w:val="-6"/>
        </w:rPr>
        <w:t> </w:t>
      </w:r>
      <w:r>
        <w:rPr/>
        <w:t>their</w:t>
      </w:r>
      <w:r>
        <w:rPr>
          <w:spacing w:val="-6"/>
        </w:rPr>
        <w:t> </w:t>
      </w:r>
      <w:r>
        <w:rPr/>
        <w:t>gender</w:t>
      </w:r>
      <w:r>
        <w:rPr>
          <w:spacing w:val="-6"/>
        </w:rPr>
        <w:t> </w:t>
      </w:r>
      <w:r>
        <w:rPr/>
        <w:t>officially.</w:t>
      </w:r>
      <w:r>
        <w:rPr>
          <w:spacing w:val="-7"/>
        </w:rPr>
        <w:t> </w:t>
      </w:r>
      <w:r>
        <w:rPr/>
        <w:t>Anyone</w:t>
      </w:r>
      <w:r>
        <w:rPr>
          <w:spacing w:val="-6"/>
        </w:rPr>
        <w:t> </w:t>
      </w:r>
      <w:r>
        <w:rPr/>
        <w:t>over</w:t>
      </w:r>
      <w:r>
        <w:rPr>
          <w:spacing w:val="-6"/>
        </w:rPr>
        <w:t> </w:t>
      </w:r>
      <w:r>
        <w:rPr/>
        <w:t>the</w:t>
      </w:r>
      <w:r>
        <w:rPr>
          <w:spacing w:val="-6"/>
        </w:rPr>
        <w:t> </w:t>
      </w:r>
      <w:r>
        <w:rPr/>
        <w:t>age</w:t>
      </w:r>
      <w:r>
        <w:rPr>
          <w:spacing w:val="-6"/>
        </w:rPr>
        <w:t> </w:t>
      </w:r>
      <w:r>
        <w:rPr/>
        <w:t>of</w:t>
      </w:r>
      <w:r>
        <w:rPr>
          <w:spacing w:val="-7"/>
        </w:rPr>
        <w:t> </w:t>
      </w:r>
      <w:r>
        <w:rPr/>
        <w:t>18</w:t>
      </w:r>
      <w:r>
        <w:rPr>
          <w:spacing w:val="-6"/>
        </w:rPr>
        <w:t> </w:t>
      </w:r>
      <w:r>
        <w:rPr/>
        <w:t>can</w:t>
      </w:r>
      <w:r>
        <w:rPr>
          <w:spacing w:val="-7"/>
        </w:rPr>
        <w:t> </w:t>
      </w:r>
      <w:r>
        <w:rPr/>
        <w:t>apply</w:t>
      </w:r>
      <w:r>
        <w:rPr>
          <w:spacing w:val="-6"/>
        </w:rPr>
        <w:t> </w:t>
      </w:r>
      <w:r>
        <w:rPr/>
        <w:t>to</w:t>
      </w:r>
      <w:r>
        <w:rPr>
          <w:spacing w:val="-7"/>
        </w:rPr>
        <w:t> </w:t>
      </w:r>
      <w:r>
        <w:rPr/>
        <w:t>change their gender. There is no requirement of any medical diagnosis or process</w:t>
      </w:r>
    </w:p>
    <w:p>
      <w:pPr>
        <w:pStyle w:val="BodyText"/>
        <w:spacing w:line="232" w:lineRule="auto"/>
        <w:ind w:left="720" w:right="1831"/>
      </w:pPr>
      <w:r>
        <w:rPr/>
        <w:t>for this recognition; the applicant has to provide certain details including a statutory declaration that he or she is not married or in a civil partnership and has a settled intention of remaining permanently in the new gender.</w:t>
      </w:r>
      <w:r>
        <w:rPr>
          <w:vertAlign w:val="superscript"/>
        </w:rPr>
        <w:t>375</w:t>
      </w:r>
      <w:r>
        <w:rPr>
          <w:vertAlign w:val="baseline"/>
        </w:rPr>
        <w:t> There is a more involved process for someone who is 16 or 17 and in that situation</w:t>
      </w:r>
      <w:r>
        <w:rPr>
          <w:spacing w:val="-13"/>
          <w:vertAlign w:val="baseline"/>
        </w:rPr>
        <w:t> </w:t>
      </w:r>
      <w:r>
        <w:rPr>
          <w:vertAlign w:val="baseline"/>
        </w:rPr>
        <w:t>there</w:t>
      </w:r>
      <w:r>
        <w:rPr>
          <w:spacing w:val="-12"/>
          <w:vertAlign w:val="baseline"/>
        </w:rPr>
        <w:t> </w:t>
      </w:r>
      <w:r>
        <w:rPr>
          <w:vertAlign w:val="baseline"/>
        </w:rPr>
        <w:t>is</w:t>
      </w:r>
      <w:r>
        <w:rPr>
          <w:spacing w:val="-13"/>
          <w:vertAlign w:val="baseline"/>
        </w:rPr>
        <w:t> </w:t>
      </w:r>
      <w:r>
        <w:rPr>
          <w:vertAlign w:val="baseline"/>
        </w:rPr>
        <w:t>a</w:t>
      </w:r>
      <w:r>
        <w:rPr>
          <w:spacing w:val="-13"/>
          <w:vertAlign w:val="baseline"/>
        </w:rPr>
        <w:t> </w:t>
      </w:r>
      <w:r>
        <w:rPr>
          <w:vertAlign w:val="baseline"/>
        </w:rPr>
        <w:t>requirement</w:t>
      </w:r>
      <w:r>
        <w:rPr>
          <w:spacing w:val="-12"/>
          <w:vertAlign w:val="baseline"/>
        </w:rPr>
        <w:t> </w:t>
      </w:r>
      <w:r>
        <w:rPr>
          <w:vertAlign w:val="baseline"/>
        </w:rPr>
        <w:t>for</w:t>
      </w:r>
      <w:r>
        <w:rPr>
          <w:spacing w:val="-12"/>
          <w:vertAlign w:val="baseline"/>
        </w:rPr>
        <w:t> </w:t>
      </w:r>
      <w:r>
        <w:rPr>
          <w:vertAlign w:val="baseline"/>
        </w:rPr>
        <w:t>certificates</w:t>
      </w:r>
      <w:r>
        <w:rPr>
          <w:spacing w:val="-13"/>
          <w:vertAlign w:val="baseline"/>
        </w:rPr>
        <w:t> </w:t>
      </w:r>
      <w:r>
        <w:rPr>
          <w:vertAlign w:val="baseline"/>
        </w:rPr>
        <w:t>from</w:t>
      </w:r>
      <w:r>
        <w:rPr>
          <w:spacing w:val="-12"/>
          <w:vertAlign w:val="baseline"/>
        </w:rPr>
        <w:t> </w:t>
      </w:r>
      <w:r>
        <w:rPr>
          <w:vertAlign w:val="baseline"/>
        </w:rPr>
        <w:t>medical</w:t>
      </w:r>
      <w:r>
        <w:rPr>
          <w:spacing w:val="-13"/>
          <w:vertAlign w:val="baseline"/>
        </w:rPr>
        <w:t> </w:t>
      </w:r>
      <w:r>
        <w:rPr>
          <w:vertAlign w:val="baseline"/>
        </w:rPr>
        <w:t>professionals.</w:t>
      </w:r>
      <w:r>
        <w:rPr>
          <w:vertAlign w:val="superscript"/>
        </w:rPr>
        <w:t>376</w:t>
      </w:r>
    </w:p>
    <w:p>
      <w:pPr>
        <w:pStyle w:val="BodyText"/>
        <w:spacing w:before="67"/>
        <w:rPr>
          <w:sz w:val="20"/>
        </w:rPr>
      </w:pPr>
      <w:r>
        <w:rPr/>
        <mc:AlternateContent>
          <mc:Choice Requires="wps">
            <w:drawing>
              <wp:anchor distT="0" distB="0" distL="0" distR="0" allowOverlap="1" layoutInCell="1" locked="0" behindDoc="1" simplePos="0" relativeHeight="487701504">
                <wp:simplePos x="0" y="0"/>
                <wp:positionH relativeFrom="page">
                  <wp:posOffset>647999</wp:posOffset>
                </wp:positionH>
                <wp:positionV relativeFrom="paragraph">
                  <wp:posOffset>212922</wp:posOffset>
                </wp:positionV>
                <wp:extent cx="6012180" cy="1270"/>
                <wp:effectExtent l="0" t="0" r="0" b="0"/>
                <wp:wrapTopAndBottom/>
                <wp:docPr id="606" name="Graphic 606"/>
                <wp:cNvGraphicFramePr>
                  <a:graphicFrameLocks/>
                </wp:cNvGraphicFramePr>
                <a:graphic>
                  <a:graphicData uri="http://schemas.microsoft.com/office/word/2010/wordprocessingShape">
                    <wps:wsp>
                      <wps:cNvPr id="606" name="Graphic 60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6.765512pt;width:473.4pt;height:.1pt;mso-position-horizontal-relative:page;mso-position-vertical-relative:paragraph;z-index:-15614976;mso-wrap-distance-left:0;mso-wrap-distance-right:0" id="docshape491" coordorigin="1020,335" coordsize="9468,0" path="m1020,335l10488,335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0" w:hanging="567"/>
        <w:jc w:val="left"/>
        <w:rPr>
          <w:sz w:val="18"/>
        </w:rPr>
      </w:pPr>
      <w:r>
        <w:rPr>
          <w:sz w:val="18"/>
        </w:rPr>
        <w:t>Fidelma</w:t>
      </w:r>
      <w:r>
        <w:rPr>
          <w:spacing w:val="-5"/>
          <w:sz w:val="18"/>
        </w:rPr>
        <w:t> </w:t>
      </w:r>
      <w:r>
        <w:rPr>
          <w:sz w:val="18"/>
        </w:rPr>
        <w:t>Ashe</w:t>
      </w:r>
      <w:r>
        <w:rPr>
          <w:spacing w:val="-4"/>
          <w:sz w:val="18"/>
        </w:rPr>
        <w:t> </w:t>
      </w:r>
      <w:r>
        <w:rPr>
          <w:sz w:val="18"/>
        </w:rPr>
        <w:t>and</w:t>
      </w:r>
      <w:r>
        <w:rPr>
          <w:spacing w:val="-4"/>
          <w:sz w:val="18"/>
        </w:rPr>
        <w:t> </w:t>
      </w:r>
      <w:r>
        <w:rPr>
          <w:sz w:val="18"/>
        </w:rPr>
        <w:t>Danielle</w:t>
      </w:r>
      <w:r>
        <w:rPr>
          <w:spacing w:val="-4"/>
          <w:sz w:val="18"/>
        </w:rPr>
        <w:t> </w:t>
      </w:r>
      <w:r>
        <w:rPr>
          <w:sz w:val="18"/>
        </w:rPr>
        <w:t>Mackle,</w:t>
      </w:r>
      <w:r>
        <w:rPr>
          <w:spacing w:val="-5"/>
          <w:sz w:val="18"/>
        </w:rPr>
        <w:t> </w:t>
      </w:r>
      <w:hyperlink r:id="rId94">
        <w:r>
          <w:rPr>
            <w:color w:val="1D71B8"/>
            <w:sz w:val="18"/>
            <w:u w:val="single" w:color="1D71B8"/>
          </w:rPr>
          <w:t>A</w:t>
        </w:r>
        <w:r>
          <w:rPr>
            <w:color w:val="1D71B8"/>
            <w:spacing w:val="-4"/>
            <w:sz w:val="18"/>
            <w:u w:val="single" w:color="1D71B8"/>
          </w:rPr>
          <w:t> </w:t>
        </w:r>
        <w:r>
          <w:rPr>
            <w:color w:val="1D71B8"/>
            <w:sz w:val="18"/>
            <w:u w:val="single" w:color="1D71B8"/>
          </w:rPr>
          <w:t>Study</w:t>
        </w:r>
        <w:r>
          <w:rPr>
            <w:color w:val="1D71B8"/>
            <w:spacing w:val="-3"/>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Conversion</w:t>
        </w:r>
        <w:r>
          <w:rPr>
            <w:color w:val="1D71B8"/>
            <w:spacing w:val="-5"/>
            <w:sz w:val="18"/>
            <w:u w:val="single" w:color="1D71B8"/>
          </w:rPr>
          <w:t> </w:t>
        </w:r>
        <w:r>
          <w:rPr>
            <w:color w:val="1D71B8"/>
            <w:sz w:val="18"/>
            <w:u w:val="single" w:color="1D71B8"/>
          </w:rPr>
          <w:t>Practices</w:t>
        </w:r>
        <w:r>
          <w:rPr>
            <w:color w:val="1D71B8"/>
            <w:spacing w:val="-4"/>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Northern</w:t>
        </w:r>
        <w:r>
          <w:rPr>
            <w:color w:val="1D71B8"/>
            <w:spacing w:val="-4"/>
            <w:sz w:val="18"/>
            <w:u w:val="single" w:color="1D71B8"/>
          </w:rPr>
          <w:t> </w:t>
        </w:r>
        <w:r>
          <w:rPr>
            <w:color w:val="1D71B8"/>
            <w:sz w:val="18"/>
            <w:u w:val="single" w:color="1D71B8"/>
          </w:rPr>
          <w:t>Ireland</w:t>
        </w:r>
      </w:hyperlink>
      <w:r>
        <w:rPr>
          <w:color w:val="1D71B8"/>
          <w:spacing w:val="-4"/>
          <w:sz w:val="18"/>
          <w:u w:val="none"/>
        </w:rPr>
        <w:t> </w:t>
      </w:r>
      <w:r>
        <w:rPr>
          <w:spacing w:val="-2"/>
          <w:sz w:val="18"/>
          <w:u w:val="none"/>
        </w:rPr>
        <w:t>(2024).</w:t>
      </w:r>
    </w:p>
    <w:p>
      <w:pPr>
        <w:pStyle w:val="ListParagraph"/>
        <w:numPr>
          <w:ilvl w:val="0"/>
          <w:numId w:val="18"/>
        </w:numPr>
        <w:tabs>
          <w:tab w:pos="1287" w:val="left" w:leader="none"/>
        </w:tabs>
        <w:spacing w:line="240" w:lineRule="auto" w:before="1" w:after="0"/>
        <w:ind w:left="1287" w:right="1381" w:hanging="567"/>
        <w:jc w:val="left"/>
        <w:rPr>
          <w:sz w:val="18"/>
        </w:rPr>
      </w:pPr>
      <w:r>
        <w:rPr/>
        <mc:AlternateContent>
          <mc:Choice Requires="wps">
            <w:drawing>
              <wp:anchor distT="0" distB="0" distL="0" distR="0" allowOverlap="1" layoutInCell="1" locked="0" behindDoc="0" simplePos="0" relativeHeight="15842816">
                <wp:simplePos x="0" y="0"/>
                <wp:positionH relativeFrom="page">
                  <wp:posOffset>1008000</wp:posOffset>
                </wp:positionH>
                <wp:positionV relativeFrom="paragraph">
                  <wp:posOffset>262042</wp:posOffset>
                </wp:positionV>
                <wp:extent cx="1978660" cy="1270"/>
                <wp:effectExtent l="0" t="0" r="0" b="0"/>
                <wp:wrapNone/>
                <wp:docPr id="607" name="Graphic 607"/>
                <wp:cNvGraphicFramePr>
                  <a:graphicFrameLocks/>
                </wp:cNvGraphicFramePr>
                <a:graphic>
                  <a:graphicData uri="http://schemas.microsoft.com/office/word/2010/wordprocessingShape">
                    <wps:wsp>
                      <wps:cNvPr id="607" name="Graphic 607"/>
                      <wps:cNvSpPr/>
                      <wps:spPr>
                        <a:xfrm>
                          <a:off x="0" y="0"/>
                          <a:ext cx="1978660" cy="1270"/>
                        </a:xfrm>
                        <a:custGeom>
                          <a:avLst/>
                          <a:gdLst/>
                          <a:ahLst/>
                          <a:cxnLst/>
                          <a:rect l="l" t="t" r="r" b="b"/>
                          <a:pathLst>
                            <a:path w="1978660" h="0">
                              <a:moveTo>
                                <a:pt x="0" y="0"/>
                              </a:moveTo>
                              <a:lnTo>
                                <a:pt x="1978088" y="0"/>
                              </a:lnTo>
                            </a:path>
                          </a:pathLst>
                        </a:custGeom>
                        <a:ln w="7480">
                          <a:solidFill>
                            <a:srgbClr val="1D71B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2816" from="79.370102pt,20.633272pt" to="235.125102pt,20.633272pt" stroked="true" strokeweight=".589pt" strokecolor="#1d71b8">
                <v:stroke dashstyle="solid"/>
                <w10:wrap type="none"/>
              </v:line>
            </w:pict>
          </mc:Fallback>
        </mc:AlternateContent>
      </w:r>
      <w:r>
        <w:rPr>
          <w:sz w:val="18"/>
        </w:rPr>
        <w:t>Independent</w:t>
      </w:r>
      <w:r>
        <w:rPr>
          <w:spacing w:val="-5"/>
          <w:sz w:val="18"/>
        </w:rPr>
        <w:t> </w:t>
      </w:r>
      <w:r>
        <w:rPr>
          <w:sz w:val="18"/>
        </w:rPr>
        <w:t>Expert</w:t>
      </w:r>
      <w:r>
        <w:rPr>
          <w:spacing w:val="-5"/>
          <w:sz w:val="18"/>
        </w:rPr>
        <w:t> </w:t>
      </w:r>
      <w:r>
        <w:rPr>
          <w:sz w:val="18"/>
        </w:rPr>
        <w:t>on</w:t>
      </w:r>
      <w:r>
        <w:rPr>
          <w:spacing w:val="-6"/>
          <w:sz w:val="18"/>
        </w:rPr>
        <w:t> </w:t>
      </w:r>
      <w:r>
        <w:rPr>
          <w:sz w:val="18"/>
        </w:rPr>
        <w:t>protection</w:t>
      </w:r>
      <w:r>
        <w:rPr>
          <w:spacing w:val="-6"/>
          <w:sz w:val="18"/>
        </w:rPr>
        <w:t> </w:t>
      </w:r>
      <w:r>
        <w:rPr>
          <w:sz w:val="18"/>
        </w:rPr>
        <w:t>against</w:t>
      </w:r>
      <w:r>
        <w:rPr>
          <w:spacing w:val="-5"/>
          <w:sz w:val="18"/>
        </w:rPr>
        <w:t> </w:t>
      </w:r>
      <w:r>
        <w:rPr>
          <w:sz w:val="18"/>
        </w:rPr>
        <w:t>violence</w:t>
      </w:r>
      <w:r>
        <w:rPr>
          <w:spacing w:val="-5"/>
          <w:sz w:val="18"/>
        </w:rPr>
        <w:t> </w:t>
      </w:r>
      <w:r>
        <w:rPr>
          <w:sz w:val="18"/>
        </w:rPr>
        <w:t>and</w:t>
      </w:r>
      <w:r>
        <w:rPr>
          <w:spacing w:val="-6"/>
          <w:sz w:val="18"/>
        </w:rPr>
        <w:t> </w:t>
      </w:r>
      <w:r>
        <w:rPr>
          <w:sz w:val="18"/>
        </w:rPr>
        <w:t>discrimination</w:t>
      </w:r>
      <w:r>
        <w:rPr>
          <w:spacing w:val="-6"/>
          <w:sz w:val="18"/>
        </w:rPr>
        <w:t> </w:t>
      </w:r>
      <w:r>
        <w:rPr>
          <w:sz w:val="18"/>
        </w:rPr>
        <w:t>based</w:t>
      </w:r>
      <w:r>
        <w:rPr>
          <w:spacing w:val="-6"/>
          <w:sz w:val="18"/>
        </w:rPr>
        <w:t> </w:t>
      </w:r>
      <w:r>
        <w:rPr>
          <w:sz w:val="18"/>
        </w:rPr>
        <w:t>on</w:t>
      </w:r>
      <w:r>
        <w:rPr>
          <w:spacing w:val="-6"/>
          <w:sz w:val="18"/>
        </w:rPr>
        <w:t> </w:t>
      </w:r>
      <w:r>
        <w:rPr>
          <w:sz w:val="18"/>
        </w:rPr>
        <w:t>sexual</w:t>
      </w:r>
      <w:r>
        <w:rPr>
          <w:spacing w:val="-6"/>
          <w:sz w:val="18"/>
        </w:rPr>
        <w:t> </w:t>
      </w:r>
      <w:r>
        <w:rPr>
          <w:sz w:val="18"/>
        </w:rPr>
        <w:t>orientation</w:t>
      </w:r>
      <w:r>
        <w:rPr>
          <w:spacing w:val="-6"/>
          <w:sz w:val="18"/>
        </w:rPr>
        <w:t> </w:t>
      </w:r>
      <w:r>
        <w:rPr>
          <w:sz w:val="18"/>
        </w:rPr>
        <w:t>and</w:t>
      </w:r>
      <w:r>
        <w:rPr>
          <w:spacing w:val="-6"/>
          <w:sz w:val="18"/>
        </w:rPr>
        <w:t> </w:t>
      </w:r>
      <w:r>
        <w:rPr>
          <w:sz w:val="18"/>
        </w:rPr>
        <w:t>gender</w:t>
      </w:r>
      <w:r>
        <w:rPr>
          <w:spacing w:val="-5"/>
          <w:sz w:val="18"/>
        </w:rPr>
        <w:t> </w:t>
      </w:r>
      <w:r>
        <w:rPr>
          <w:sz w:val="18"/>
        </w:rPr>
        <w:t>identity, </w:t>
      </w:r>
      <w:hyperlink r:id="rId95">
        <w:r>
          <w:rPr>
            <w:color w:val="1D71B8"/>
            <w:sz w:val="18"/>
          </w:rPr>
          <w:t>Practices of so-called “conversion therapy”</w:t>
        </w:r>
      </w:hyperlink>
      <w:r>
        <w:rPr>
          <w:color w:val="1D71B8"/>
          <w:sz w:val="18"/>
        </w:rPr>
        <w:t> </w:t>
      </w:r>
      <w:r>
        <w:rPr>
          <w:sz w:val="18"/>
        </w:rPr>
        <w:t>(2020) A/HRC/44/53;</w:t>
      </w:r>
    </w:p>
    <w:p>
      <w:pPr>
        <w:pStyle w:val="ListParagraph"/>
        <w:numPr>
          <w:ilvl w:val="0"/>
          <w:numId w:val="18"/>
        </w:numPr>
        <w:tabs>
          <w:tab w:pos="1287" w:val="left" w:leader="none"/>
        </w:tabs>
        <w:spacing w:line="240" w:lineRule="auto" w:before="0" w:after="0"/>
        <w:ind w:left="1287" w:right="1417" w:hanging="567"/>
        <w:jc w:val="left"/>
        <w:rPr>
          <w:sz w:val="18"/>
        </w:rPr>
      </w:pPr>
      <w:r>
        <w:rPr/>
        <mc:AlternateContent>
          <mc:Choice Requires="wps">
            <w:drawing>
              <wp:anchor distT="0" distB="0" distL="0" distR="0" allowOverlap="1" layoutInCell="1" locked="0" behindDoc="0" simplePos="0" relativeHeight="15843328">
                <wp:simplePos x="0" y="0"/>
                <wp:positionH relativeFrom="page">
                  <wp:posOffset>2988269</wp:posOffset>
                </wp:positionH>
                <wp:positionV relativeFrom="paragraph">
                  <wp:posOffset>122056</wp:posOffset>
                </wp:positionV>
                <wp:extent cx="3492500" cy="1270"/>
                <wp:effectExtent l="0" t="0" r="0" b="0"/>
                <wp:wrapNone/>
                <wp:docPr id="608" name="Graphic 608"/>
                <wp:cNvGraphicFramePr>
                  <a:graphicFrameLocks/>
                </wp:cNvGraphicFramePr>
                <a:graphic>
                  <a:graphicData uri="http://schemas.microsoft.com/office/word/2010/wordprocessingShape">
                    <wps:wsp>
                      <wps:cNvPr id="608" name="Graphic 608"/>
                      <wps:cNvSpPr/>
                      <wps:spPr>
                        <a:xfrm>
                          <a:off x="0" y="0"/>
                          <a:ext cx="3492500" cy="1270"/>
                        </a:xfrm>
                        <a:custGeom>
                          <a:avLst/>
                          <a:gdLst/>
                          <a:ahLst/>
                          <a:cxnLst/>
                          <a:rect l="l" t="t" r="r" b="b"/>
                          <a:pathLst>
                            <a:path w="3492500" h="0">
                              <a:moveTo>
                                <a:pt x="0" y="0"/>
                              </a:moveTo>
                              <a:lnTo>
                                <a:pt x="3492119" y="0"/>
                              </a:lnTo>
                            </a:path>
                          </a:pathLst>
                        </a:custGeom>
                        <a:ln w="7480">
                          <a:solidFill>
                            <a:srgbClr val="1D71B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3328" from="235.296799pt,9.610716pt" to="510.266799pt,9.610716pt" stroked="true" strokeweight=".589pt" strokecolor="#1d71b8">
                <v:stroke dashstyle="solid"/>
                <w10:wrap type="none"/>
              </v:line>
            </w:pict>
          </mc:Fallback>
        </mc:AlternateContent>
      </w:r>
      <w:r>
        <w:rPr>
          <w:sz w:val="18"/>
        </w:rPr>
        <w:t>European</w:t>
      </w:r>
      <w:r>
        <w:rPr>
          <w:spacing w:val="-6"/>
          <w:sz w:val="18"/>
        </w:rPr>
        <w:t> </w:t>
      </w:r>
      <w:r>
        <w:rPr>
          <w:sz w:val="18"/>
        </w:rPr>
        <w:t>Parliamentary</w:t>
      </w:r>
      <w:r>
        <w:rPr>
          <w:spacing w:val="-5"/>
          <w:sz w:val="18"/>
        </w:rPr>
        <w:t> </w:t>
      </w:r>
      <w:r>
        <w:rPr>
          <w:sz w:val="18"/>
        </w:rPr>
        <w:t>Research</w:t>
      </w:r>
      <w:r>
        <w:rPr>
          <w:spacing w:val="-6"/>
          <w:sz w:val="18"/>
        </w:rPr>
        <w:t> </w:t>
      </w:r>
      <w:r>
        <w:rPr>
          <w:sz w:val="18"/>
        </w:rPr>
        <w:t>Service,</w:t>
      </w:r>
      <w:r>
        <w:rPr>
          <w:spacing w:val="-6"/>
          <w:sz w:val="18"/>
        </w:rPr>
        <w:t> </w:t>
      </w:r>
      <w:hyperlink r:id="rId96">
        <w:r>
          <w:rPr>
            <w:color w:val="1D71B8"/>
            <w:sz w:val="18"/>
          </w:rPr>
          <w:t>Bans</w:t>
        </w:r>
        <w:r>
          <w:rPr>
            <w:color w:val="1D71B8"/>
            <w:spacing w:val="-6"/>
            <w:sz w:val="18"/>
          </w:rPr>
          <w:t> </w:t>
        </w:r>
        <w:r>
          <w:rPr>
            <w:color w:val="1D71B8"/>
            <w:sz w:val="18"/>
          </w:rPr>
          <w:t>on</w:t>
        </w:r>
        <w:r>
          <w:rPr>
            <w:color w:val="1D71B8"/>
            <w:spacing w:val="-6"/>
            <w:sz w:val="18"/>
          </w:rPr>
          <w:t> </w:t>
        </w:r>
        <w:r>
          <w:rPr>
            <w:color w:val="1D71B8"/>
            <w:sz w:val="18"/>
          </w:rPr>
          <w:t>conversion</w:t>
        </w:r>
        <w:r>
          <w:rPr>
            <w:color w:val="1D71B8"/>
            <w:spacing w:val="-5"/>
            <w:sz w:val="18"/>
          </w:rPr>
          <w:t> </w:t>
        </w:r>
        <w:r>
          <w:rPr>
            <w:color w:val="1D71B8"/>
            <w:sz w:val="18"/>
          </w:rPr>
          <w:t>‘therapies’:</w:t>
        </w:r>
        <w:r>
          <w:rPr>
            <w:color w:val="1D71B8"/>
            <w:spacing w:val="-5"/>
            <w:sz w:val="18"/>
          </w:rPr>
          <w:t> </w:t>
        </w:r>
        <w:r>
          <w:rPr>
            <w:color w:val="1D71B8"/>
            <w:sz w:val="18"/>
          </w:rPr>
          <w:t>The</w:t>
        </w:r>
        <w:r>
          <w:rPr>
            <w:color w:val="1D71B8"/>
            <w:spacing w:val="-5"/>
            <w:sz w:val="18"/>
          </w:rPr>
          <w:t> </w:t>
        </w:r>
        <w:r>
          <w:rPr>
            <w:color w:val="1D71B8"/>
            <w:sz w:val="18"/>
          </w:rPr>
          <w:t>situation</w:t>
        </w:r>
        <w:r>
          <w:rPr>
            <w:color w:val="1D71B8"/>
            <w:spacing w:val="-6"/>
            <w:sz w:val="18"/>
          </w:rPr>
          <w:t> </w:t>
        </w:r>
        <w:r>
          <w:rPr>
            <w:color w:val="1D71B8"/>
            <w:sz w:val="18"/>
          </w:rPr>
          <w:t>in</w:t>
        </w:r>
        <w:r>
          <w:rPr>
            <w:color w:val="1D71B8"/>
            <w:spacing w:val="-6"/>
            <w:sz w:val="18"/>
          </w:rPr>
          <w:t> </w:t>
        </w:r>
        <w:r>
          <w:rPr>
            <w:color w:val="1D71B8"/>
            <w:sz w:val="18"/>
          </w:rPr>
          <w:t>selected</w:t>
        </w:r>
        <w:r>
          <w:rPr>
            <w:color w:val="1D71B8"/>
            <w:spacing w:val="-6"/>
            <w:sz w:val="18"/>
          </w:rPr>
          <w:t> </w:t>
        </w:r>
        <w:r>
          <w:rPr>
            <w:color w:val="1D71B8"/>
            <w:sz w:val="18"/>
          </w:rPr>
          <w:t>EU</w:t>
        </w:r>
        <w:r>
          <w:rPr>
            <w:color w:val="1D71B8"/>
            <w:spacing w:val="-5"/>
            <w:sz w:val="18"/>
          </w:rPr>
          <w:t> </w:t>
        </w:r>
        <w:r>
          <w:rPr>
            <w:color w:val="1D71B8"/>
            <w:sz w:val="18"/>
          </w:rPr>
          <w:t>Member</w:t>
        </w:r>
        <w:r>
          <w:rPr>
            <w:color w:val="1D71B8"/>
            <w:spacing w:val="-5"/>
            <w:sz w:val="18"/>
          </w:rPr>
          <w:t> </w:t>
        </w:r>
        <w:r>
          <w:rPr>
            <w:color w:val="1D71B8"/>
            <w:sz w:val="18"/>
          </w:rPr>
          <w:t>States</w:t>
        </w:r>
      </w:hyperlink>
      <w:r>
        <w:rPr>
          <w:color w:val="1D71B8"/>
          <w:sz w:val="18"/>
        </w:rPr>
        <w:t> </w:t>
      </w:r>
      <w:r>
        <w:rPr>
          <w:spacing w:val="-2"/>
          <w:sz w:val="18"/>
        </w:rPr>
        <w:t>(2022).</w:t>
      </w:r>
    </w:p>
    <w:p>
      <w:pPr>
        <w:pStyle w:val="ListParagraph"/>
        <w:numPr>
          <w:ilvl w:val="0"/>
          <w:numId w:val="18"/>
        </w:numPr>
        <w:tabs>
          <w:tab w:pos="1287" w:val="left" w:leader="none"/>
        </w:tabs>
        <w:spacing w:line="240" w:lineRule="auto" w:before="1" w:after="0"/>
        <w:ind w:left="1287" w:right="1187" w:hanging="567"/>
        <w:jc w:val="left"/>
        <w:rPr>
          <w:sz w:val="18"/>
        </w:rPr>
      </w:pPr>
      <w:r>
        <w:rPr>
          <w:color w:val="1D71B8"/>
          <w:sz w:val="18"/>
          <w:u w:val="single" w:color="1D71B8"/>
        </w:rPr>
        <w:t>Council</w:t>
      </w:r>
      <w:r>
        <w:rPr>
          <w:color w:val="1D71B8"/>
          <w:spacing w:val="-6"/>
          <w:sz w:val="18"/>
          <w:u w:val="single" w:color="1D71B8"/>
        </w:rPr>
        <w:t> </w:t>
      </w:r>
      <w:r>
        <w:rPr>
          <w:color w:val="1D71B8"/>
          <w:sz w:val="18"/>
          <w:u w:val="single" w:color="1D71B8"/>
        </w:rPr>
        <w:t>Directive</w:t>
      </w:r>
      <w:r>
        <w:rPr>
          <w:color w:val="1D71B8"/>
          <w:spacing w:val="-5"/>
          <w:sz w:val="18"/>
          <w:u w:val="single" w:color="1D71B8"/>
        </w:rPr>
        <w:t> </w:t>
      </w:r>
      <w:r>
        <w:rPr>
          <w:color w:val="1D71B8"/>
          <w:sz w:val="18"/>
          <w:u w:val="single" w:color="1D71B8"/>
        </w:rPr>
        <w:t>2000/78/EC</w:t>
      </w:r>
      <w:r>
        <w:rPr>
          <w:color w:val="1D71B8"/>
          <w:spacing w:val="-5"/>
          <w:sz w:val="18"/>
          <w:u w:val="none"/>
        </w:rPr>
        <w:t> </w:t>
      </w:r>
      <w:r>
        <w:rPr>
          <w:sz w:val="18"/>
          <w:u w:val="none"/>
        </w:rPr>
        <w:t>of</w:t>
      </w:r>
      <w:r>
        <w:rPr>
          <w:spacing w:val="-6"/>
          <w:sz w:val="18"/>
          <w:u w:val="none"/>
        </w:rPr>
        <w:t> </w:t>
      </w:r>
      <w:r>
        <w:rPr>
          <w:sz w:val="18"/>
          <w:u w:val="none"/>
        </w:rPr>
        <w:t>27</w:t>
      </w:r>
      <w:r>
        <w:rPr>
          <w:spacing w:val="-5"/>
          <w:sz w:val="18"/>
          <w:u w:val="none"/>
        </w:rPr>
        <w:t> </w:t>
      </w:r>
      <w:r>
        <w:rPr>
          <w:sz w:val="18"/>
          <w:u w:val="none"/>
        </w:rPr>
        <w:t>November</w:t>
      </w:r>
      <w:r>
        <w:rPr>
          <w:spacing w:val="-5"/>
          <w:sz w:val="18"/>
          <w:u w:val="none"/>
        </w:rPr>
        <w:t> </w:t>
      </w:r>
      <w:r>
        <w:rPr>
          <w:sz w:val="18"/>
          <w:u w:val="none"/>
        </w:rPr>
        <w:t>2000</w:t>
      </w:r>
      <w:r>
        <w:rPr>
          <w:spacing w:val="-5"/>
          <w:sz w:val="18"/>
          <w:u w:val="none"/>
        </w:rPr>
        <w:t> </w:t>
      </w:r>
      <w:r>
        <w:rPr>
          <w:sz w:val="18"/>
          <w:u w:val="none"/>
        </w:rPr>
        <w:t>establishing</w:t>
      </w:r>
      <w:r>
        <w:rPr>
          <w:spacing w:val="-5"/>
          <w:sz w:val="18"/>
          <w:u w:val="none"/>
        </w:rPr>
        <w:t> </w:t>
      </w:r>
      <w:r>
        <w:rPr>
          <w:sz w:val="18"/>
          <w:u w:val="none"/>
        </w:rPr>
        <w:t>a</w:t>
      </w:r>
      <w:r>
        <w:rPr>
          <w:spacing w:val="-6"/>
          <w:sz w:val="18"/>
          <w:u w:val="none"/>
        </w:rPr>
        <w:t> </w:t>
      </w:r>
      <w:r>
        <w:rPr>
          <w:sz w:val="18"/>
          <w:u w:val="none"/>
        </w:rPr>
        <w:t>general</w:t>
      </w:r>
      <w:r>
        <w:rPr>
          <w:spacing w:val="-6"/>
          <w:sz w:val="18"/>
          <w:u w:val="none"/>
        </w:rPr>
        <w:t> </w:t>
      </w:r>
      <w:r>
        <w:rPr>
          <w:sz w:val="18"/>
          <w:u w:val="none"/>
        </w:rPr>
        <w:t>framework</w:t>
      </w:r>
      <w:r>
        <w:rPr>
          <w:spacing w:val="-5"/>
          <w:sz w:val="18"/>
          <w:u w:val="none"/>
        </w:rPr>
        <w:t> </w:t>
      </w:r>
      <w:r>
        <w:rPr>
          <w:sz w:val="18"/>
          <w:u w:val="none"/>
        </w:rPr>
        <w:t>for</w:t>
      </w:r>
      <w:r>
        <w:rPr>
          <w:spacing w:val="-5"/>
          <w:sz w:val="18"/>
          <w:u w:val="none"/>
        </w:rPr>
        <w:t> </w:t>
      </w:r>
      <w:r>
        <w:rPr>
          <w:sz w:val="18"/>
          <w:u w:val="none"/>
        </w:rPr>
        <w:t>equal</w:t>
      </w:r>
      <w:r>
        <w:rPr>
          <w:spacing w:val="-6"/>
          <w:sz w:val="18"/>
          <w:u w:val="none"/>
        </w:rPr>
        <w:t> </w:t>
      </w:r>
      <w:r>
        <w:rPr>
          <w:sz w:val="18"/>
          <w:u w:val="none"/>
        </w:rPr>
        <w:t>treatment</w:t>
      </w:r>
      <w:r>
        <w:rPr>
          <w:spacing w:val="-5"/>
          <w:sz w:val="18"/>
          <w:u w:val="none"/>
        </w:rPr>
        <w:t> </w:t>
      </w:r>
      <w:r>
        <w:rPr>
          <w:sz w:val="18"/>
          <w:u w:val="none"/>
        </w:rPr>
        <w:t>in</w:t>
      </w:r>
      <w:r>
        <w:rPr>
          <w:spacing w:val="-6"/>
          <w:sz w:val="18"/>
          <w:u w:val="none"/>
        </w:rPr>
        <w:t> </w:t>
      </w:r>
      <w:r>
        <w:rPr>
          <w:sz w:val="18"/>
          <w:u w:val="none"/>
        </w:rPr>
        <w:t>employment and</w:t>
      </w:r>
      <w:r>
        <w:rPr>
          <w:spacing w:val="-2"/>
          <w:sz w:val="18"/>
          <w:u w:val="none"/>
        </w:rPr>
        <w:t> </w:t>
      </w:r>
      <w:r>
        <w:rPr>
          <w:sz w:val="18"/>
          <w:u w:val="none"/>
        </w:rPr>
        <w:t>occupation.</w:t>
      </w:r>
    </w:p>
    <w:p>
      <w:pPr>
        <w:pStyle w:val="ListParagraph"/>
        <w:numPr>
          <w:ilvl w:val="0"/>
          <w:numId w:val="18"/>
        </w:numPr>
        <w:tabs>
          <w:tab w:pos="1287" w:val="left" w:leader="none"/>
        </w:tabs>
        <w:spacing w:line="240" w:lineRule="auto" w:before="0" w:after="0"/>
        <w:ind w:left="1287" w:right="1243" w:hanging="567"/>
        <w:jc w:val="left"/>
        <w:rPr>
          <w:sz w:val="18"/>
        </w:rPr>
      </w:pPr>
      <w:r>
        <w:rPr>
          <w:sz w:val="18"/>
        </w:rPr>
        <w:t>Government</w:t>
      </w:r>
      <w:r>
        <w:rPr>
          <w:spacing w:val="-4"/>
          <w:sz w:val="18"/>
        </w:rPr>
        <w:t> </w:t>
      </w:r>
      <w:r>
        <w:rPr>
          <w:sz w:val="18"/>
        </w:rPr>
        <w:t>of</w:t>
      </w:r>
      <w:r>
        <w:rPr>
          <w:spacing w:val="-5"/>
          <w:sz w:val="18"/>
        </w:rPr>
        <w:t> </w:t>
      </w:r>
      <w:r>
        <w:rPr>
          <w:sz w:val="18"/>
        </w:rPr>
        <w:t>Ireland,</w:t>
      </w:r>
      <w:r>
        <w:rPr>
          <w:spacing w:val="-4"/>
          <w:sz w:val="18"/>
        </w:rPr>
        <w:t> </w:t>
      </w:r>
      <w:r>
        <w:rPr>
          <w:color w:val="1D71B8"/>
          <w:sz w:val="18"/>
          <w:u w:val="single" w:color="1D71B8"/>
        </w:rPr>
        <w:t>The</w:t>
      </w:r>
      <w:r>
        <w:rPr>
          <w:color w:val="1D71B8"/>
          <w:spacing w:val="-4"/>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Acts</w:t>
      </w:r>
      <w:r>
        <w:rPr>
          <w:color w:val="1D71B8"/>
          <w:spacing w:val="-5"/>
          <w:sz w:val="18"/>
          <w:u w:val="single" w:color="1D71B8"/>
        </w:rPr>
        <w:t> </w:t>
      </w:r>
      <w:r>
        <w:rPr>
          <w:color w:val="1D71B8"/>
          <w:sz w:val="18"/>
          <w:u w:val="single" w:color="1D71B8"/>
        </w:rPr>
        <w:t>Review:</w:t>
      </w:r>
      <w:r>
        <w:rPr>
          <w:color w:val="1D71B8"/>
          <w:spacing w:val="-4"/>
          <w:sz w:val="18"/>
          <w:u w:val="single" w:color="1D71B8"/>
        </w:rPr>
        <w:t> </w:t>
      </w:r>
      <w:r>
        <w:rPr>
          <w:color w:val="1D71B8"/>
          <w:sz w:val="18"/>
          <w:u w:val="single" w:color="1D71B8"/>
        </w:rPr>
        <w:t>Summary</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Submissions</w:t>
      </w:r>
      <w:r>
        <w:rPr>
          <w:color w:val="1D71B8"/>
          <w:spacing w:val="-5"/>
          <w:sz w:val="18"/>
          <w:u w:val="single" w:color="1D71B8"/>
        </w:rPr>
        <w:t> </w:t>
      </w:r>
      <w:r>
        <w:rPr>
          <w:color w:val="1D71B8"/>
          <w:sz w:val="18"/>
          <w:u w:val="single" w:color="1D71B8"/>
        </w:rPr>
        <w:t>Received</w:t>
      </w:r>
      <w:r>
        <w:rPr>
          <w:color w:val="1D71B8"/>
          <w:spacing w:val="-5"/>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2021</w:t>
      </w:r>
      <w:r>
        <w:rPr>
          <w:color w:val="1D71B8"/>
          <w:spacing w:val="-4"/>
          <w:sz w:val="18"/>
          <w:u w:val="single" w:color="1D71B8"/>
        </w:rPr>
        <w:t> </w:t>
      </w:r>
      <w:r>
        <w:rPr>
          <w:color w:val="1D71B8"/>
          <w:sz w:val="18"/>
          <w:u w:val="single" w:color="1D71B8"/>
        </w:rPr>
        <w:t>Public</w:t>
      </w:r>
      <w:r>
        <w:rPr>
          <w:color w:val="1D71B8"/>
          <w:spacing w:val="-4"/>
          <w:sz w:val="18"/>
          <w:u w:val="single" w:color="1D71B8"/>
        </w:rPr>
        <w:t> </w:t>
      </w:r>
      <w:r>
        <w:rPr>
          <w:color w:val="1D71B8"/>
          <w:sz w:val="18"/>
          <w:u w:val="single" w:color="1D71B8"/>
        </w:rPr>
        <w:t>Consultation</w:t>
      </w:r>
      <w:r>
        <w:rPr>
          <w:color w:val="1D71B8"/>
          <w:sz w:val="18"/>
          <w:u w:val="none"/>
        </w:rPr>
        <w:t> </w:t>
      </w:r>
      <w:r>
        <w:rPr>
          <w:color w:val="1D71B8"/>
          <w:sz w:val="18"/>
          <w:u w:val="single" w:color="1D71B8"/>
        </w:rPr>
        <w:t>on the Review of the Equality Acts</w:t>
      </w:r>
      <w:r>
        <w:rPr>
          <w:color w:val="1D71B8"/>
          <w:spacing w:val="-1"/>
          <w:sz w:val="18"/>
          <w:u w:val="none"/>
        </w:rPr>
        <w:t> </w:t>
      </w:r>
      <w:r>
        <w:rPr>
          <w:sz w:val="18"/>
          <w:u w:val="none"/>
        </w:rPr>
        <w:t>(Department of Children, Equality, Disability, Integration and Youth, Dublin 2023) 52.</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Irish</w:t>
      </w:r>
      <w:r>
        <w:rPr>
          <w:spacing w:val="-7"/>
          <w:sz w:val="18"/>
        </w:rPr>
        <w:t> </w:t>
      </w:r>
      <w:r>
        <w:rPr>
          <w:sz w:val="18"/>
        </w:rPr>
        <w:t>Human</w:t>
      </w:r>
      <w:r>
        <w:rPr>
          <w:spacing w:val="-4"/>
          <w:sz w:val="18"/>
        </w:rPr>
        <w:t> </w:t>
      </w:r>
      <w:r>
        <w:rPr>
          <w:sz w:val="18"/>
        </w:rPr>
        <w:t>Rights</w:t>
      </w:r>
      <w:r>
        <w:rPr>
          <w:spacing w:val="-4"/>
          <w:sz w:val="18"/>
        </w:rPr>
        <w:t> </w:t>
      </w:r>
      <w:r>
        <w:rPr>
          <w:sz w:val="18"/>
        </w:rPr>
        <w:t>and</w:t>
      </w:r>
      <w:r>
        <w:rPr>
          <w:spacing w:val="-5"/>
          <w:sz w:val="18"/>
        </w:rPr>
        <w:t> </w:t>
      </w:r>
      <w:r>
        <w:rPr>
          <w:sz w:val="18"/>
        </w:rPr>
        <w:t>Equality</w:t>
      </w:r>
      <w:r>
        <w:rPr>
          <w:spacing w:val="-3"/>
          <w:sz w:val="18"/>
        </w:rPr>
        <w:t> </w:t>
      </w:r>
      <w:r>
        <w:rPr>
          <w:sz w:val="18"/>
        </w:rPr>
        <w:t>Commission,</w:t>
      </w:r>
      <w:r>
        <w:rPr>
          <w:spacing w:val="-4"/>
          <w:sz w:val="18"/>
        </w:rPr>
        <w:t> </w:t>
      </w:r>
      <w:r>
        <w:rPr>
          <w:i/>
          <w:sz w:val="18"/>
        </w:rPr>
        <w:t>Submission</w:t>
      </w:r>
      <w:r>
        <w:rPr>
          <w:i/>
          <w:spacing w:val="-4"/>
          <w:sz w:val="18"/>
        </w:rPr>
        <w:t> </w:t>
      </w:r>
      <w:r>
        <w:rPr>
          <w:i/>
          <w:sz w:val="18"/>
        </w:rPr>
        <w:t>on</w:t>
      </w:r>
      <w:r>
        <w:rPr>
          <w:i/>
          <w:spacing w:val="-5"/>
          <w:sz w:val="18"/>
        </w:rPr>
        <w:t> </w:t>
      </w:r>
      <w:r>
        <w:rPr>
          <w:i/>
          <w:sz w:val="18"/>
        </w:rPr>
        <w:t>the</w:t>
      </w:r>
      <w:r>
        <w:rPr>
          <w:i/>
          <w:spacing w:val="-3"/>
          <w:sz w:val="18"/>
        </w:rPr>
        <w:t> </w:t>
      </w:r>
      <w:r>
        <w:rPr>
          <w:i/>
          <w:sz w:val="18"/>
        </w:rPr>
        <w:t>Review</w:t>
      </w:r>
      <w:r>
        <w:rPr>
          <w:i/>
          <w:spacing w:val="-3"/>
          <w:sz w:val="18"/>
        </w:rPr>
        <w:t> </w:t>
      </w:r>
      <w:r>
        <w:rPr>
          <w:i/>
          <w:sz w:val="18"/>
        </w:rPr>
        <w:t>of</w:t>
      </w:r>
      <w:r>
        <w:rPr>
          <w:i/>
          <w:spacing w:val="-5"/>
          <w:sz w:val="18"/>
        </w:rPr>
        <w:t> </w:t>
      </w:r>
      <w:r>
        <w:rPr>
          <w:i/>
          <w:sz w:val="18"/>
        </w:rPr>
        <w:t>the</w:t>
      </w:r>
      <w:r>
        <w:rPr>
          <w:i/>
          <w:spacing w:val="-3"/>
          <w:sz w:val="18"/>
        </w:rPr>
        <w:t> </w:t>
      </w:r>
      <w:r>
        <w:rPr>
          <w:i/>
          <w:sz w:val="18"/>
        </w:rPr>
        <w:t>Equality</w:t>
      </w:r>
      <w:r>
        <w:rPr>
          <w:i/>
          <w:spacing w:val="-4"/>
          <w:sz w:val="18"/>
        </w:rPr>
        <w:t> </w:t>
      </w:r>
      <w:r>
        <w:rPr>
          <w:i/>
          <w:sz w:val="18"/>
        </w:rPr>
        <w:t>Acts</w:t>
      </w:r>
      <w:r>
        <w:rPr>
          <w:i/>
          <w:spacing w:val="-5"/>
          <w:sz w:val="18"/>
        </w:rPr>
        <w:t> </w:t>
      </w:r>
      <w:r>
        <w:rPr>
          <w:sz w:val="18"/>
        </w:rPr>
        <w:t>(December</w:t>
      </w:r>
      <w:r>
        <w:rPr>
          <w:spacing w:val="-3"/>
          <w:sz w:val="18"/>
        </w:rPr>
        <w:t> </w:t>
      </w:r>
      <w:r>
        <w:rPr>
          <w:sz w:val="18"/>
        </w:rPr>
        <w:t>2021)</w:t>
      </w:r>
      <w:r>
        <w:rPr>
          <w:spacing w:val="-4"/>
          <w:sz w:val="18"/>
        </w:rPr>
        <w:t> </w:t>
      </w:r>
      <w:r>
        <w:rPr>
          <w:sz w:val="18"/>
        </w:rPr>
        <w:t>36,</w:t>
      </w:r>
      <w:r>
        <w:rPr>
          <w:spacing w:val="-3"/>
          <w:sz w:val="18"/>
        </w:rPr>
        <w:t> </w:t>
      </w:r>
      <w:r>
        <w:rPr>
          <w:spacing w:val="-5"/>
          <w:sz w:val="18"/>
        </w:rPr>
        <w:t>40.</w:t>
      </w:r>
    </w:p>
    <w:p>
      <w:pPr>
        <w:pStyle w:val="ListParagraph"/>
        <w:numPr>
          <w:ilvl w:val="0"/>
          <w:numId w:val="18"/>
        </w:numPr>
        <w:tabs>
          <w:tab w:pos="1287" w:val="left" w:leader="none"/>
        </w:tabs>
        <w:spacing w:line="240" w:lineRule="auto" w:before="0" w:after="0"/>
        <w:ind w:left="1287" w:right="0" w:hanging="567"/>
        <w:jc w:val="left"/>
        <w:rPr>
          <w:sz w:val="18"/>
        </w:rPr>
      </w:pPr>
      <w:r>
        <w:rPr>
          <w:sz w:val="18"/>
        </w:rPr>
        <w:t>Gender</w:t>
      </w:r>
      <w:r>
        <w:rPr>
          <w:spacing w:val="-6"/>
          <w:sz w:val="18"/>
        </w:rPr>
        <w:t> </w:t>
      </w:r>
      <w:r>
        <w:rPr>
          <w:sz w:val="18"/>
        </w:rPr>
        <w:t>Recognition</w:t>
      </w:r>
      <w:r>
        <w:rPr>
          <w:spacing w:val="-7"/>
          <w:sz w:val="18"/>
        </w:rPr>
        <w:t> </w:t>
      </w:r>
      <w:r>
        <w:rPr>
          <w:sz w:val="18"/>
        </w:rPr>
        <w:t>Act</w:t>
      </w:r>
      <w:r>
        <w:rPr>
          <w:spacing w:val="-6"/>
          <w:sz w:val="18"/>
        </w:rPr>
        <w:t> </w:t>
      </w:r>
      <w:r>
        <w:rPr>
          <w:sz w:val="18"/>
        </w:rPr>
        <w:t>2015,</w:t>
      </w:r>
      <w:r>
        <w:rPr>
          <w:spacing w:val="-7"/>
          <w:sz w:val="18"/>
        </w:rPr>
        <w:t> </w:t>
      </w:r>
      <w:r>
        <w:rPr>
          <w:color w:val="1D71B8"/>
          <w:sz w:val="18"/>
          <w:u w:val="single" w:color="1D71B8"/>
        </w:rPr>
        <w:t>section</w:t>
      </w:r>
      <w:r>
        <w:rPr>
          <w:color w:val="1D71B8"/>
          <w:spacing w:val="-7"/>
          <w:sz w:val="18"/>
          <w:u w:val="single" w:color="1D71B8"/>
        </w:rPr>
        <w:t> </w:t>
      </w:r>
      <w:r>
        <w:rPr>
          <w:color w:val="1D71B8"/>
          <w:spacing w:val="-5"/>
          <w:sz w:val="18"/>
          <w:u w:val="single" w:color="1D71B8"/>
        </w:rPr>
        <w:t>10</w:t>
      </w:r>
      <w:r>
        <w:rPr>
          <w:spacing w:val="-5"/>
          <w:sz w:val="18"/>
          <w:u w:val="none"/>
        </w:rPr>
        <w:t>.</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12</w:t>
      </w:r>
      <w:r>
        <w:rPr>
          <w:spacing w:val="-5"/>
          <w:sz w:val="18"/>
          <w:u w:val="none"/>
        </w:rPr>
        <w:t>.</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44864">
                <wp:simplePos x="0" y="0"/>
                <wp:positionH relativeFrom="page">
                  <wp:posOffset>-2</wp:posOffset>
                </wp:positionH>
                <wp:positionV relativeFrom="page">
                  <wp:posOffset>0</wp:posOffset>
                </wp:positionV>
                <wp:extent cx="7560309" cy="1257935"/>
                <wp:effectExtent l="0" t="0" r="0" b="0"/>
                <wp:wrapNone/>
                <wp:docPr id="609" name="Group 609"/>
                <wp:cNvGraphicFramePr>
                  <a:graphicFrameLocks/>
                </wp:cNvGraphicFramePr>
                <a:graphic>
                  <a:graphicData uri="http://schemas.microsoft.com/office/word/2010/wordprocessingGroup">
                    <wpg:wgp>
                      <wpg:cNvPr id="609" name="Group 609"/>
                      <wpg:cNvGrpSpPr/>
                      <wpg:grpSpPr>
                        <a:xfrm>
                          <a:off x="0" y="0"/>
                          <a:ext cx="7560309" cy="1257935"/>
                          <a:chExt cx="7560309" cy="1257935"/>
                        </a:xfrm>
                      </wpg:grpSpPr>
                      <wps:wsp>
                        <wps:cNvPr id="610" name="Graphic 61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611" name="Graphic 61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612" name="Textbox 612"/>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613" name="Textbox 613"/>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67</w:t>
                              </w:r>
                            </w:p>
                          </w:txbxContent>
                        </wps:txbx>
                        <wps:bodyPr wrap="square" lIns="0" tIns="0" rIns="0" bIns="0" rtlCol="0">
                          <a:noAutofit/>
                        </wps:bodyPr>
                      </wps:wsp>
                      <wps:wsp>
                        <wps:cNvPr id="614" name="Textbox 614"/>
                        <wps:cNvSpPr txBox="1"/>
                        <wps:spPr>
                          <a:xfrm>
                            <a:off x="900001" y="1080003"/>
                            <a:ext cx="5704840" cy="177800"/>
                          </a:xfrm>
                          <a:prstGeom prst="rect">
                            <a:avLst/>
                          </a:prstGeom>
                        </wps:spPr>
                        <wps:txbx>
                          <w:txbxContent>
                            <w:p>
                              <w:pPr>
                                <w:spacing w:line="280" w:lineRule="exact" w:before="0"/>
                                <w:ind w:left="0" w:right="0" w:firstLine="0"/>
                                <w:jc w:val="left"/>
                                <w:rPr>
                                  <w:sz w:val="28"/>
                                </w:rPr>
                              </w:pPr>
                              <w:r>
                                <w:rPr>
                                  <w:sz w:val="28"/>
                                </w:rPr>
                                <w:t>It</w:t>
                              </w:r>
                              <w:r>
                                <w:rPr>
                                  <w:spacing w:val="-5"/>
                                  <w:sz w:val="28"/>
                                </w:rPr>
                                <w:t> </w:t>
                              </w:r>
                              <w:r>
                                <w:rPr>
                                  <w:sz w:val="28"/>
                                </w:rPr>
                                <w:t>is</w:t>
                              </w:r>
                              <w:r>
                                <w:rPr>
                                  <w:spacing w:val="-6"/>
                                  <w:sz w:val="28"/>
                                </w:rPr>
                                <w:t> </w:t>
                              </w:r>
                              <w:r>
                                <w:rPr>
                                  <w:sz w:val="28"/>
                                </w:rPr>
                                <w:t>possible</w:t>
                              </w:r>
                              <w:r>
                                <w:rPr>
                                  <w:spacing w:val="-5"/>
                                  <w:sz w:val="28"/>
                                </w:rPr>
                                <w:t> </w:t>
                              </w:r>
                              <w:r>
                                <w:rPr>
                                  <w:sz w:val="28"/>
                                </w:rPr>
                                <w:t>for</w:t>
                              </w:r>
                              <w:r>
                                <w:rPr>
                                  <w:spacing w:val="-5"/>
                                  <w:sz w:val="28"/>
                                </w:rPr>
                                <w:t> </w:t>
                              </w:r>
                              <w:r>
                                <w:rPr>
                                  <w:sz w:val="28"/>
                                </w:rPr>
                                <w:t>a</w:t>
                              </w:r>
                              <w:r>
                                <w:rPr>
                                  <w:spacing w:val="-6"/>
                                  <w:sz w:val="28"/>
                                </w:rPr>
                                <w:t> </w:t>
                              </w:r>
                              <w:r>
                                <w:rPr>
                                  <w:sz w:val="28"/>
                                </w:rPr>
                                <w:t>person</w:t>
                              </w:r>
                              <w:r>
                                <w:rPr>
                                  <w:spacing w:val="-6"/>
                                  <w:sz w:val="28"/>
                                </w:rPr>
                                <w:t> </w:t>
                              </w:r>
                              <w:r>
                                <w:rPr>
                                  <w:sz w:val="28"/>
                                </w:rPr>
                                <w:t>to</w:t>
                              </w:r>
                              <w:r>
                                <w:rPr>
                                  <w:spacing w:val="-6"/>
                                  <w:sz w:val="28"/>
                                </w:rPr>
                                <w:t> </w:t>
                              </w:r>
                              <w:r>
                                <w:rPr>
                                  <w:sz w:val="28"/>
                                </w:rPr>
                                <w:t>apply</w:t>
                              </w:r>
                              <w:r>
                                <w:rPr>
                                  <w:spacing w:val="-5"/>
                                  <w:sz w:val="28"/>
                                </w:rPr>
                                <w:t> </w:t>
                              </w:r>
                              <w:r>
                                <w:rPr>
                                  <w:sz w:val="28"/>
                                </w:rPr>
                                <w:t>to</w:t>
                              </w:r>
                              <w:r>
                                <w:rPr>
                                  <w:spacing w:val="-6"/>
                                  <w:sz w:val="28"/>
                                </w:rPr>
                                <w:t> </w:t>
                              </w:r>
                              <w:r>
                                <w:rPr>
                                  <w:sz w:val="28"/>
                                </w:rPr>
                                <w:t>revoke</w:t>
                              </w:r>
                              <w:r>
                                <w:rPr>
                                  <w:spacing w:val="-5"/>
                                  <w:sz w:val="28"/>
                                </w:rPr>
                                <w:t> </w:t>
                              </w:r>
                              <w:r>
                                <w:rPr>
                                  <w:sz w:val="28"/>
                                </w:rPr>
                                <w:t>their</w:t>
                              </w:r>
                              <w:r>
                                <w:rPr>
                                  <w:spacing w:val="-5"/>
                                  <w:sz w:val="28"/>
                                </w:rPr>
                                <w:t> </w:t>
                              </w:r>
                              <w:r>
                                <w:rPr>
                                  <w:sz w:val="28"/>
                                </w:rPr>
                                <w:t>gender</w:t>
                              </w:r>
                              <w:r>
                                <w:rPr>
                                  <w:spacing w:val="-5"/>
                                  <w:sz w:val="28"/>
                                </w:rPr>
                                <w:t> </w:t>
                              </w:r>
                              <w:r>
                                <w:rPr>
                                  <w:sz w:val="28"/>
                                </w:rPr>
                                <w:t>recognition</w:t>
                              </w:r>
                              <w:r>
                                <w:rPr>
                                  <w:spacing w:val="-6"/>
                                  <w:sz w:val="28"/>
                                </w:rPr>
                                <w:t> </w:t>
                              </w:r>
                              <w:r>
                                <w:rPr>
                                  <w:spacing w:val="-2"/>
                                  <w:sz w:val="28"/>
                                </w:rPr>
                                <w:t>certificate</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844864" id="docshapegroup492" coordorigin="0,0" coordsize="11906,1981">
                <v:shape style="position:absolute;left:0;top:0;width:11906;height:1819" id="docshape493"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494"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495" filled="false" stroked="false">
                  <v:textbox inset="0,0,0,0">
                    <w:txbxContent>
                      <w:p>
                        <w:pPr>
                          <w:spacing w:line="280" w:lineRule="exact" w:before="0"/>
                          <w:ind w:left="0" w:right="0" w:firstLine="0"/>
                          <w:jc w:val="left"/>
                          <w:rPr>
                            <w:b/>
                            <w:sz w:val="28"/>
                          </w:rPr>
                        </w:pPr>
                        <w:r>
                          <w:rPr>
                            <w:b/>
                            <w:color w:val="FFFFFF"/>
                            <w:spacing w:val="-5"/>
                            <w:sz w:val="28"/>
                          </w:rPr>
                          <w:t>67</w:t>
                        </w:r>
                      </w:p>
                    </w:txbxContent>
                  </v:textbox>
                  <w10:wrap type="none"/>
                </v:shape>
                <v:shape style="position:absolute;left:1417;top:1700;width:8984;height:280" type="#_x0000_t202" id="docshape496" filled="false" stroked="false">
                  <v:textbox inset="0,0,0,0">
                    <w:txbxContent>
                      <w:p>
                        <w:pPr>
                          <w:spacing w:line="280" w:lineRule="exact" w:before="0"/>
                          <w:ind w:left="0" w:right="0" w:firstLine="0"/>
                          <w:jc w:val="left"/>
                          <w:rPr>
                            <w:sz w:val="28"/>
                          </w:rPr>
                        </w:pPr>
                        <w:r>
                          <w:rPr>
                            <w:sz w:val="28"/>
                          </w:rPr>
                          <w:t>It</w:t>
                        </w:r>
                        <w:r>
                          <w:rPr>
                            <w:spacing w:val="-5"/>
                            <w:sz w:val="28"/>
                          </w:rPr>
                          <w:t> </w:t>
                        </w:r>
                        <w:r>
                          <w:rPr>
                            <w:sz w:val="28"/>
                          </w:rPr>
                          <w:t>is</w:t>
                        </w:r>
                        <w:r>
                          <w:rPr>
                            <w:spacing w:val="-6"/>
                            <w:sz w:val="28"/>
                          </w:rPr>
                          <w:t> </w:t>
                        </w:r>
                        <w:r>
                          <w:rPr>
                            <w:sz w:val="28"/>
                          </w:rPr>
                          <w:t>possible</w:t>
                        </w:r>
                        <w:r>
                          <w:rPr>
                            <w:spacing w:val="-5"/>
                            <w:sz w:val="28"/>
                          </w:rPr>
                          <w:t> </w:t>
                        </w:r>
                        <w:r>
                          <w:rPr>
                            <w:sz w:val="28"/>
                          </w:rPr>
                          <w:t>for</w:t>
                        </w:r>
                        <w:r>
                          <w:rPr>
                            <w:spacing w:val="-5"/>
                            <w:sz w:val="28"/>
                          </w:rPr>
                          <w:t> </w:t>
                        </w:r>
                        <w:r>
                          <w:rPr>
                            <w:sz w:val="28"/>
                          </w:rPr>
                          <w:t>a</w:t>
                        </w:r>
                        <w:r>
                          <w:rPr>
                            <w:spacing w:val="-6"/>
                            <w:sz w:val="28"/>
                          </w:rPr>
                          <w:t> </w:t>
                        </w:r>
                        <w:r>
                          <w:rPr>
                            <w:sz w:val="28"/>
                          </w:rPr>
                          <w:t>person</w:t>
                        </w:r>
                        <w:r>
                          <w:rPr>
                            <w:spacing w:val="-6"/>
                            <w:sz w:val="28"/>
                          </w:rPr>
                          <w:t> </w:t>
                        </w:r>
                        <w:r>
                          <w:rPr>
                            <w:sz w:val="28"/>
                          </w:rPr>
                          <w:t>to</w:t>
                        </w:r>
                        <w:r>
                          <w:rPr>
                            <w:spacing w:val="-6"/>
                            <w:sz w:val="28"/>
                          </w:rPr>
                          <w:t> </w:t>
                        </w:r>
                        <w:r>
                          <w:rPr>
                            <w:sz w:val="28"/>
                          </w:rPr>
                          <w:t>apply</w:t>
                        </w:r>
                        <w:r>
                          <w:rPr>
                            <w:spacing w:val="-5"/>
                            <w:sz w:val="28"/>
                          </w:rPr>
                          <w:t> </w:t>
                        </w:r>
                        <w:r>
                          <w:rPr>
                            <w:sz w:val="28"/>
                          </w:rPr>
                          <w:t>to</w:t>
                        </w:r>
                        <w:r>
                          <w:rPr>
                            <w:spacing w:val="-6"/>
                            <w:sz w:val="28"/>
                          </w:rPr>
                          <w:t> </w:t>
                        </w:r>
                        <w:r>
                          <w:rPr>
                            <w:sz w:val="28"/>
                          </w:rPr>
                          <w:t>revoke</w:t>
                        </w:r>
                        <w:r>
                          <w:rPr>
                            <w:spacing w:val="-5"/>
                            <w:sz w:val="28"/>
                          </w:rPr>
                          <w:t> </w:t>
                        </w:r>
                        <w:r>
                          <w:rPr>
                            <w:sz w:val="28"/>
                          </w:rPr>
                          <w:t>their</w:t>
                        </w:r>
                        <w:r>
                          <w:rPr>
                            <w:spacing w:val="-5"/>
                            <w:sz w:val="28"/>
                          </w:rPr>
                          <w:t> </w:t>
                        </w:r>
                        <w:r>
                          <w:rPr>
                            <w:sz w:val="28"/>
                          </w:rPr>
                          <w:t>gender</w:t>
                        </w:r>
                        <w:r>
                          <w:rPr>
                            <w:spacing w:val="-5"/>
                            <w:sz w:val="28"/>
                          </w:rPr>
                          <w:t> </w:t>
                        </w:r>
                        <w:r>
                          <w:rPr>
                            <w:sz w:val="28"/>
                          </w:rPr>
                          <w:t>recognition</w:t>
                        </w:r>
                        <w:r>
                          <w:rPr>
                            <w:spacing w:val="-6"/>
                            <w:sz w:val="28"/>
                          </w:rPr>
                          <w:t> </w:t>
                        </w:r>
                        <w:r>
                          <w:rPr>
                            <w:spacing w:val="-2"/>
                            <w:sz w:val="28"/>
                          </w:rPr>
                          <w:t>certificate</w:t>
                        </w:r>
                      </w:p>
                    </w:txbxContent>
                  </v:textbox>
                  <w10:wrap type="none"/>
                </v:shape>
                <w10:wrap type="none"/>
              </v:group>
            </w:pict>
          </mc:Fallback>
        </mc:AlternateContent>
      </w:r>
    </w:p>
    <w:p>
      <w:pPr>
        <w:pStyle w:val="BodyText"/>
      </w:pPr>
    </w:p>
    <w:p>
      <w:pPr>
        <w:pStyle w:val="BodyText"/>
      </w:pPr>
    </w:p>
    <w:p>
      <w:pPr>
        <w:pStyle w:val="BodyText"/>
      </w:pPr>
    </w:p>
    <w:p>
      <w:pPr>
        <w:pStyle w:val="BodyText"/>
        <w:spacing w:before="247"/>
      </w:pPr>
    </w:p>
    <w:p>
      <w:pPr>
        <w:pStyle w:val="BodyText"/>
        <w:ind w:left="1117"/>
      </w:pPr>
      <w:r>
        <w:rPr/>
        <w:t>it</w:t>
      </w:r>
      <w:r>
        <w:rPr>
          <w:spacing w:val="-6"/>
        </w:rPr>
        <w:t> </w:t>
      </w:r>
      <w:r>
        <w:rPr/>
        <w:t>they</w:t>
      </w:r>
      <w:r>
        <w:rPr>
          <w:spacing w:val="-4"/>
        </w:rPr>
        <w:t> </w:t>
      </w:r>
      <w:r>
        <w:rPr/>
        <w:t>wish</w:t>
      </w:r>
      <w:r>
        <w:rPr>
          <w:spacing w:val="-5"/>
        </w:rPr>
        <w:t> </w:t>
      </w:r>
      <w:r>
        <w:rPr/>
        <w:t>to</w:t>
      </w:r>
      <w:r>
        <w:rPr>
          <w:spacing w:val="-4"/>
        </w:rPr>
        <w:t> </w:t>
      </w:r>
      <w:r>
        <w:rPr/>
        <w:t>revert</w:t>
      </w:r>
      <w:r>
        <w:rPr>
          <w:spacing w:val="-4"/>
        </w:rPr>
        <w:t> </w:t>
      </w:r>
      <w:r>
        <w:rPr/>
        <w:t>to</w:t>
      </w:r>
      <w:r>
        <w:rPr>
          <w:spacing w:val="-5"/>
        </w:rPr>
        <w:t> </w:t>
      </w:r>
      <w:r>
        <w:rPr/>
        <w:t>their</w:t>
      </w:r>
      <w:r>
        <w:rPr>
          <w:spacing w:val="-4"/>
        </w:rPr>
        <w:t> </w:t>
      </w:r>
      <w:r>
        <w:rPr/>
        <w:t>previous</w:t>
      </w:r>
      <w:r>
        <w:rPr>
          <w:spacing w:val="-4"/>
        </w:rPr>
        <w:t> </w:t>
      </w:r>
      <w:r>
        <w:rPr>
          <w:spacing w:val="-2"/>
        </w:rPr>
        <w:t>gender.</w:t>
      </w:r>
      <w:r>
        <w:rPr>
          <w:spacing w:val="-2"/>
          <w:vertAlign w:val="superscript"/>
        </w:rPr>
        <w:t>377</w:t>
      </w:r>
    </w:p>
    <w:p>
      <w:pPr>
        <w:pStyle w:val="BodyText"/>
        <w:spacing w:line="232" w:lineRule="auto" w:before="280"/>
        <w:ind w:left="1117" w:right="888"/>
      </w:pPr>
      <w:r>
        <w:rPr/>
        <w:t>The Irish approach is in line with a recommendation of the Parliamentary Assembly of the Council of Europe that states should adopt ‘quick, transparent and accessible procedures, based on self-determination for changing the name and registered sex of transgender people’ and abolish a ‘mental health diagnosis’ as</w:t>
      </w:r>
      <w:r>
        <w:rPr>
          <w:spacing w:val="-3"/>
        </w:rPr>
        <w:t> </w:t>
      </w:r>
      <w:r>
        <w:rPr/>
        <w:t>a</w:t>
      </w:r>
      <w:r>
        <w:rPr>
          <w:spacing w:val="-3"/>
        </w:rPr>
        <w:t> </w:t>
      </w:r>
      <w:r>
        <w:rPr/>
        <w:t>requirement</w:t>
      </w:r>
      <w:r>
        <w:rPr>
          <w:spacing w:val="-2"/>
        </w:rPr>
        <w:t> </w:t>
      </w:r>
      <w:r>
        <w:rPr/>
        <w:t>for</w:t>
      </w:r>
      <w:r>
        <w:rPr>
          <w:spacing w:val="-2"/>
        </w:rPr>
        <w:t> </w:t>
      </w:r>
      <w:r>
        <w:rPr/>
        <w:t>such</w:t>
      </w:r>
      <w:r>
        <w:rPr>
          <w:spacing w:val="-3"/>
        </w:rPr>
        <w:t> </w:t>
      </w:r>
      <w:r>
        <w:rPr/>
        <w:t>a</w:t>
      </w:r>
      <w:r>
        <w:rPr>
          <w:spacing w:val="-3"/>
        </w:rPr>
        <w:t> </w:t>
      </w:r>
      <w:r>
        <w:rPr/>
        <w:t>process.</w:t>
      </w:r>
      <w:r>
        <w:rPr>
          <w:vertAlign w:val="superscript"/>
        </w:rPr>
        <w:t>378</w:t>
      </w:r>
      <w:r>
        <w:rPr>
          <w:spacing w:val="-3"/>
          <w:vertAlign w:val="baseline"/>
        </w:rPr>
        <w:t> </w:t>
      </w:r>
      <w:r>
        <w:rPr>
          <w:vertAlign w:val="baseline"/>
        </w:rPr>
        <w:t>A</w:t>
      </w:r>
      <w:r>
        <w:rPr>
          <w:spacing w:val="-2"/>
          <w:vertAlign w:val="baseline"/>
        </w:rPr>
        <w:t> </w:t>
      </w:r>
      <w:r>
        <w:rPr>
          <w:vertAlign w:val="baseline"/>
        </w:rPr>
        <w:t>Council</w:t>
      </w:r>
      <w:r>
        <w:rPr>
          <w:spacing w:val="-3"/>
          <w:vertAlign w:val="baseline"/>
        </w:rPr>
        <w:t> </w:t>
      </w:r>
      <w:r>
        <w:rPr>
          <w:vertAlign w:val="baseline"/>
        </w:rPr>
        <w:t>of</w:t>
      </w:r>
      <w:r>
        <w:rPr>
          <w:spacing w:val="-3"/>
          <w:vertAlign w:val="baseline"/>
        </w:rPr>
        <w:t> </w:t>
      </w:r>
      <w:r>
        <w:rPr>
          <w:vertAlign w:val="baseline"/>
        </w:rPr>
        <w:t>Europe</w:t>
      </w:r>
      <w:r>
        <w:rPr>
          <w:spacing w:val="-2"/>
          <w:vertAlign w:val="baseline"/>
        </w:rPr>
        <w:t> </w:t>
      </w:r>
      <w:r>
        <w:rPr>
          <w:vertAlign w:val="baseline"/>
        </w:rPr>
        <w:t>report</w:t>
      </w:r>
      <w:r>
        <w:rPr>
          <w:spacing w:val="-2"/>
          <w:vertAlign w:val="baseline"/>
        </w:rPr>
        <w:t> </w:t>
      </w:r>
      <w:r>
        <w:rPr>
          <w:vertAlign w:val="baseline"/>
        </w:rPr>
        <w:t>has</w:t>
      </w:r>
      <w:r>
        <w:rPr>
          <w:spacing w:val="-3"/>
          <w:vertAlign w:val="baseline"/>
        </w:rPr>
        <w:t> </w:t>
      </w:r>
      <w:r>
        <w:rPr>
          <w:vertAlign w:val="baseline"/>
        </w:rPr>
        <w:t>highlighted the Irish legislation as an example of good practice in several respects, for example</w:t>
      </w:r>
      <w:r>
        <w:rPr>
          <w:spacing w:val="-9"/>
          <w:vertAlign w:val="baseline"/>
        </w:rPr>
        <w:t> </w:t>
      </w:r>
      <w:r>
        <w:rPr>
          <w:vertAlign w:val="baseline"/>
        </w:rPr>
        <w:t>the</w:t>
      </w:r>
      <w:r>
        <w:rPr>
          <w:spacing w:val="-9"/>
          <w:vertAlign w:val="baseline"/>
        </w:rPr>
        <w:t> </w:t>
      </w:r>
      <w:r>
        <w:rPr>
          <w:vertAlign w:val="baseline"/>
        </w:rPr>
        <w:t>focus</w:t>
      </w:r>
      <w:r>
        <w:rPr>
          <w:spacing w:val="-10"/>
          <w:vertAlign w:val="baseline"/>
        </w:rPr>
        <w:t> </w:t>
      </w:r>
      <w:r>
        <w:rPr>
          <w:vertAlign w:val="baseline"/>
        </w:rPr>
        <w:t>on</w:t>
      </w:r>
      <w:r>
        <w:rPr>
          <w:spacing w:val="-10"/>
          <w:vertAlign w:val="baseline"/>
        </w:rPr>
        <w:t> </w:t>
      </w:r>
      <w:r>
        <w:rPr>
          <w:vertAlign w:val="baseline"/>
        </w:rPr>
        <w:t>self-identification</w:t>
      </w:r>
      <w:r>
        <w:rPr>
          <w:spacing w:val="-10"/>
          <w:vertAlign w:val="baseline"/>
        </w:rPr>
        <w:t> </w:t>
      </w:r>
      <w:r>
        <w:rPr>
          <w:vertAlign w:val="baseline"/>
        </w:rPr>
        <w:t>and</w:t>
      </w:r>
      <w:r>
        <w:rPr>
          <w:spacing w:val="-10"/>
          <w:vertAlign w:val="baseline"/>
        </w:rPr>
        <w:t> </w:t>
      </w:r>
      <w:r>
        <w:rPr>
          <w:vertAlign w:val="baseline"/>
        </w:rPr>
        <w:t>the</w:t>
      </w:r>
      <w:r>
        <w:rPr>
          <w:spacing w:val="-9"/>
          <w:vertAlign w:val="baseline"/>
        </w:rPr>
        <w:t> </w:t>
      </w:r>
      <w:r>
        <w:rPr>
          <w:vertAlign w:val="baseline"/>
        </w:rPr>
        <w:t>no</w:t>
      </w:r>
      <w:r>
        <w:rPr>
          <w:spacing w:val="-10"/>
          <w:vertAlign w:val="baseline"/>
        </w:rPr>
        <w:t> </w:t>
      </w:r>
      <w:r>
        <w:rPr>
          <w:vertAlign w:val="baseline"/>
        </w:rPr>
        <w:t>cost</w:t>
      </w:r>
      <w:r>
        <w:rPr>
          <w:spacing w:val="-9"/>
          <w:vertAlign w:val="baseline"/>
        </w:rPr>
        <w:t> </w:t>
      </w:r>
      <w:r>
        <w:rPr>
          <w:vertAlign w:val="baseline"/>
        </w:rPr>
        <w:t>element</w:t>
      </w:r>
      <w:r>
        <w:rPr>
          <w:spacing w:val="-9"/>
          <w:vertAlign w:val="baseline"/>
        </w:rPr>
        <w:t> </w:t>
      </w:r>
      <w:r>
        <w:rPr>
          <w:vertAlign w:val="baseline"/>
        </w:rPr>
        <w:t>of</w:t>
      </w:r>
      <w:r>
        <w:rPr>
          <w:spacing w:val="-10"/>
          <w:vertAlign w:val="baseline"/>
        </w:rPr>
        <w:t> </w:t>
      </w:r>
      <w:r>
        <w:rPr>
          <w:vertAlign w:val="baseline"/>
        </w:rPr>
        <w:t>the</w:t>
      </w:r>
      <w:r>
        <w:rPr>
          <w:spacing w:val="-9"/>
          <w:vertAlign w:val="baseline"/>
        </w:rPr>
        <w:t> </w:t>
      </w:r>
      <w:r>
        <w:rPr>
          <w:vertAlign w:val="baseline"/>
        </w:rPr>
        <w:t>process.</w:t>
      </w:r>
      <w:r>
        <w:rPr>
          <w:vertAlign w:val="superscript"/>
        </w:rPr>
        <w:t>379</w:t>
      </w:r>
      <w:r>
        <w:rPr>
          <w:vertAlign w:val="baseline"/>
        </w:rPr>
        <w:t> A Fundamental Rights Agency report also makes clear that the current trend is</w:t>
      </w:r>
    </w:p>
    <w:p>
      <w:pPr>
        <w:pStyle w:val="BodyText"/>
        <w:spacing w:line="232" w:lineRule="auto"/>
        <w:ind w:left="1117" w:right="1087"/>
      </w:pPr>
      <w:r>
        <w:rPr/>
        <w:t>to</w:t>
      </w:r>
      <w:r>
        <w:rPr>
          <w:spacing w:val="-12"/>
        </w:rPr>
        <w:t> </w:t>
      </w:r>
      <w:r>
        <w:rPr/>
        <w:t>de-pathologise</w:t>
      </w:r>
      <w:r>
        <w:rPr>
          <w:spacing w:val="-11"/>
        </w:rPr>
        <w:t> </w:t>
      </w:r>
      <w:r>
        <w:rPr/>
        <w:t>gender</w:t>
      </w:r>
      <w:r>
        <w:rPr>
          <w:spacing w:val="-11"/>
        </w:rPr>
        <w:t> </w:t>
      </w:r>
      <w:r>
        <w:rPr/>
        <w:t>recognition.</w:t>
      </w:r>
      <w:r>
        <w:rPr>
          <w:vertAlign w:val="superscript"/>
        </w:rPr>
        <w:t>380</w:t>
      </w:r>
      <w:r>
        <w:rPr>
          <w:spacing w:val="-12"/>
          <w:vertAlign w:val="baseline"/>
        </w:rPr>
        <w:t> </w:t>
      </w:r>
      <w:r>
        <w:rPr>
          <w:vertAlign w:val="baseline"/>
        </w:rPr>
        <w:t>This</w:t>
      </w:r>
      <w:r>
        <w:rPr>
          <w:spacing w:val="-12"/>
          <w:vertAlign w:val="baseline"/>
        </w:rPr>
        <w:t> </w:t>
      </w:r>
      <w:r>
        <w:rPr>
          <w:vertAlign w:val="baseline"/>
        </w:rPr>
        <w:t>is</w:t>
      </w:r>
      <w:r>
        <w:rPr>
          <w:spacing w:val="-12"/>
          <w:vertAlign w:val="baseline"/>
        </w:rPr>
        <w:t> </w:t>
      </w:r>
      <w:r>
        <w:rPr>
          <w:vertAlign w:val="baseline"/>
        </w:rPr>
        <w:t>supported</w:t>
      </w:r>
      <w:r>
        <w:rPr>
          <w:spacing w:val="-12"/>
          <w:vertAlign w:val="baseline"/>
        </w:rPr>
        <w:t> </w:t>
      </w:r>
      <w:r>
        <w:rPr>
          <w:vertAlign w:val="baseline"/>
        </w:rPr>
        <w:t>by</w:t>
      </w:r>
      <w:r>
        <w:rPr>
          <w:spacing w:val="-11"/>
          <w:vertAlign w:val="baseline"/>
        </w:rPr>
        <w:t> </w:t>
      </w:r>
      <w:r>
        <w:rPr>
          <w:vertAlign w:val="baseline"/>
        </w:rPr>
        <w:t>recommendations from the UN Office of the High Commissioner for Human Rights,</w:t>
      </w:r>
      <w:r>
        <w:rPr>
          <w:vertAlign w:val="superscript"/>
        </w:rPr>
        <w:t>381</w:t>
      </w:r>
      <w:r>
        <w:rPr>
          <w:vertAlign w:val="baseline"/>
        </w:rPr>
        <w:t> and a UN Independent Expert.</w:t>
      </w:r>
      <w:r>
        <w:rPr>
          <w:vertAlign w:val="superscript"/>
        </w:rPr>
        <w:t>382</w:t>
      </w:r>
    </w:p>
    <w:p>
      <w:pPr>
        <w:pStyle w:val="BodyText"/>
        <w:spacing w:line="232" w:lineRule="auto" w:before="266"/>
        <w:ind w:left="1117" w:right="1003"/>
      </w:pPr>
      <w:r>
        <w:rPr/>
        <w:t>An Irish review on the Act has recommended further changes including allowing children</w:t>
      </w:r>
      <w:r>
        <w:rPr>
          <w:spacing w:val="-2"/>
        </w:rPr>
        <w:t> </w:t>
      </w:r>
      <w:r>
        <w:rPr/>
        <w:t>an</w:t>
      </w:r>
      <w:r>
        <w:rPr>
          <w:spacing w:val="-2"/>
        </w:rPr>
        <w:t> </w:t>
      </w:r>
      <w:r>
        <w:rPr/>
        <w:t>easier</w:t>
      </w:r>
      <w:r>
        <w:rPr>
          <w:spacing w:val="-1"/>
        </w:rPr>
        <w:t> </w:t>
      </w:r>
      <w:r>
        <w:rPr/>
        <w:t>route</w:t>
      </w:r>
      <w:r>
        <w:rPr>
          <w:spacing w:val="-1"/>
        </w:rPr>
        <w:t> </w:t>
      </w:r>
      <w:r>
        <w:rPr/>
        <w:t>to</w:t>
      </w:r>
      <w:r>
        <w:rPr>
          <w:spacing w:val="-2"/>
        </w:rPr>
        <w:t> </w:t>
      </w:r>
      <w:r>
        <w:rPr/>
        <w:t>changing</w:t>
      </w:r>
      <w:r>
        <w:rPr>
          <w:spacing w:val="-1"/>
        </w:rPr>
        <w:t> </w:t>
      </w:r>
      <w:r>
        <w:rPr/>
        <w:t>their</w:t>
      </w:r>
      <w:r>
        <w:rPr>
          <w:spacing w:val="-1"/>
        </w:rPr>
        <w:t> </w:t>
      </w:r>
      <w:r>
        <w:rPr/>
        <w:t>gender</w:t>
      </w:r>
      <w:r>
        <w:rPr>
          <w:spacing w:val="-1"/>
        </w:rPr>
        <w:t> </w:t>
      </w:r>
      <w:r>
        <w:rPr/>
        <w:t>and</w:t>
      </w:r>
      <w:r>
        <w:rPr>
          <w:spacing w:val="-2"/>
        </w:rPr>
        <w:t> </w:t>
      </w:r>
      <w:r>
        <w:rPr/>
        <w:t>introducing</w:t>
      </w:r>
      <w:r>
        <w:rPr>
          <w:spacing w:val="-1"/>
        </w:rPr>
        <w:t> </w:t>
      </w:r>
      <w:r>
        <w:rPr/>
        <w:t>recognition</w:t>
      </w:r>
      <w:r>
        <w:rPr>
          <w:spacing w:val="-2"/>
        </w:rPr>
        <w:t> </w:t>
      </w:r>
      <w:r>
        <w:rPr/>
        <w:t>for non-binary individuals.</w:t>
      </w:r>
      <w:r>
        <w:rPr>
          <w:vertAlign w:val="superscript"/>
        </w:rPr>
        <w:t>383</w:t>
      </w:r>
      <w:r>
        <w:rPr>
          <w:vertAlign w:val="baseline"/>
        </w:rPr>
        <w:t> The Government has indicated its intention to make it easier</w:t>
      </w:r>
      <w:r>
        <w:rPr>
          <w:spacing w:val="-9"/>
          <w:vertAlign w:val="baseline"/>
        </w:rPr>
        <w:t> </w:t>
      </w:r>
      <w:r>
        <w:rPr>
          <w:vertAlign w:val="baseline"/>
        </w:rPr>
        <w:t>for</w:t>
      </w:r>
      <w:r>
        <w:rPr>
          <w:spacing w:val="-9"/>
          <w:vertAlign w:val="baseline"/>
        </w:rPr>
        <w:t> </w:t>
      </w:r>
      <w:r>
        <w:rPr>
          <w:vertAlign w:val="baseline"/>
        </w:rPr>
        <w:t>16-</w:t>
      </w:r>
      <w:r>
        <w:rPr>
          <w:spacing w:val="-10"/>
          <w:vertAlign w:val="baseline"/>
        </w:rPr>
        <w:t> </w:t>
      </w:r>
      <w:r>
        <w:rPr>
          <w:vertAlign w:val="baseline"/>
        </w:rPr>
        <w:t>and</w:t>
      </w:r>
      <w:r>
        <w:rPr>
          <w:spacing w:val="-10"/>
          <w:vertAlign w:val="baseline"/>
        </w:rPr>
        <w:t> </w:t>
      </w:r>
      <w:r>
        <w:rPr>
          <w:vertAlign w:val="baseline"/>
        </w:rPr>
        <w:t>17-year-olds</w:t>
      </w:r>
      <w:r>
        <w:rPr>
          <w:spacing w:val="-10"/>
          <w:vertAlign w:val="baseline"/>
        </w:rPr>
        <w:t> </w:t>
      </w:r>
      <w:r>
        <w:rPr>
          <w:vertAlign w:val="baseline"/>
        </w:rPr>
        <w:t>to</w:t>
      </w:r>
      <w:r>
        <w:rPr>
          <w:spacing w:val="-10"/>
          <w:vertAlign w:val="baseline"/>
        </w:rPr>
        <w:t> </w:t>
      </w:r>
      <w:r>
        <w:rPr>
          <w:vertAlign w:val="baseline"/>
        </w:rPr>
        <w:t>change</w:t>
      </w:r>
      <w:r>
        <w:rPr>
          <w:spacing w:val="-9"/>
          <w:vertAlign w:val="baseline"/>
        </w:rPr>
        <w:t> </w:t>
      </w:r>
      <w:r>
        <w:rPr>
          <w:vertAlign w:val="baseline"/>
        </w:rPr>
        <w:t>their</w:t>
      </w:r>
      <w:r>
        <w:rPr>
          <w:spacing w:val="-9"/>
          <w:vertAlign w:val="baseline"/>
        </w:rPr>
        <w:t> </w:t>
      </w:r>
      <w:r>
        <w:rPr>
          <w:vertAlign w:val="baseline"/>
        </w:rPr>
        <w:t>gender,</w:t>
      </w:r>
      <w:r>
        <w:rPr>
          <w:vertAlign w:val="superscript"/>
        </w:rPr>
        <w:t>384</w:t>
      </w:r>
      <w:r>
        <w:rPr>
          <w:spacing w:val="-10"/>
          <w:vertAlign w:val="baseline"/>
        </w:rPr>
        <w:t> </w:t>
      </w:r>
      <w:r>
        <w:rPr>
          <w:vertAlign w:val="baseline"/>
        </w:rPr>
        <w:t>but</w:t>
      </w:r>
      <w:r>
        <w:rPr>
          <w:spacing w:val="-9"/>
          <w:vertAlign w:val="baseline"/>
        </w:rPr>
        <w:t> </w:t>
      </w:r>
      <w:r>
        <w:rPr>
          <w:vertAlign w:val="baseline"/>
        </w:rPr>
        <w:t>does</w:t>
      </w:r>
      <w:r>
        <w:rPr>
          <w:spacing w:val="-10"/>
          <w:vertAlign w:val="baseline"/>
        </w:rPr>
        <w:t> </w:t>
      </w:r>
      <w:r>
        <w:rPr>
          <w:vertAlign w:val="baseline"/>
        </w:rPr>
        <w:t>not</w:t>
      </w:r>
      <w:r>
        <w:rPr>
          <w:spacing w:val="-9"/>
          <w:vertAlign w:val="baseline"/>
        </w:rPr>
        <w:t> </w:t>
      </w:r>
      <w:r>
        <w:rPr>
          <w:vertAlign w:val="baseline"/>
        </w:rPr>
        <w:t>yet</w:t>
      </w:r>
      <w:r>
        <w:rPr>
          <w:spacing w:val="-9"/>
          <w:vertAlign w:val="baseline"/>
        </w:rPr>
        <w:t> </w:t>
      </w:r>
      <w:r>
        <w:rPr>
          <w:vertAlign w:val="baseline"/>
        </w:rPr>
        <w:t>appear to have introduced legislation to this effect.</w:t>
      </w:r>
    </w:p>
    <w:p>
      <w:pPr>
        <w:pStyle w:val="BodyText"/>
        <w:spacing w:line="232" w:lineRule="auto" w:before="276"/>
        <w:ind w:left="1117" w:right="1017"/>
      </w:pPr>
      <w:r>
        <w:rPr/>
        <w:t>There</w:t>
      </w:r>
      <w:r>
        <w:rPr>
          <w:spacing w:val="-5"/>
        </w:rPr>
        <w:t> </w:t>
      </w:r>
      <w:r>
        <w:rPr/>
        <w:t>is</w:t>
      </w:r>
      <w:r>
        <w:rPr>
          <w:spacing w:val="-6"/>
        </w:rPr>
        <w:t> </w:t>
      </w:r>
      <w:r>
        <w:rPr/>
        <w:t>disagreement</w:t>
      </w:r>
      <w:r>
        <w:rPr>
          <w:spacing w:val="-5"/>
        </w:rPr>
        <w:t> </w:t>
      </w:r>
      <w:r>
        <w:rPr/>
        <w:t>on</w:t>
      </w:r>
      <w:r>
        <w:rPr>
          <w:spacing w:val="-6"/>
        </w:rPr>
        <w:t> </w:t>
      </w:r>
      <w:r>
        <w:rPr/>
        <w:t>some</w:t>
      </w:r>
      <w:r>
        <w:rPr>
          <w:spacing w:val="-5"/>
        </w:rPr>
        <w:t> </w:t>
      </w:r>
      <w:r>
        <w:rPr/>
        <w:t>of</w:t>
      </w:r>
      <w:r>
        <w:rPr>
          <w:spacing w:val="-6"/>
        </w:rPr>
        <w:t> </w:t>
      </w:r>
      <w:r>
        <w:rPr/>
        <w:t>these</w:t>
      </w:r>
      <w:r>
        <w:rPr>
          <w:spacing w:val="-5"/>
        </w:rPr>
        <w:t> </w:t>
      </w:r>
      <w:r>
        <w:rPr/>
        <w:t>policies</w:t>
      </w:r>
      <w:r>
        <w:rPr>
          <w:spacing w:val="-6"/>
        </w:rPr>
        <w:t> </w:t>
      </w:r>
      <w:r>
        <w:rPr/>
        <w:t>in</w:t>
      </w:r>
      <w:r>
        <w:rPr>
          <w:spacing w:val="-6"/>
        </w:rPr>
        <w:t> </w:t>
      </w:r>
      <w:r>
        <w:rPr/>
        <w:t>Ireland.</w:t>
      </w:r>
      <w:r>
        <w:rPr>
          <w:spacing w:val="-6"/>
        </w:rPr>
        <w:t> </w:t>
      </w:r>
      <w:r>
        <w:rPr/>
        <w:t>Currently</w:t>
      </w:r>
      <w:r>
        <w:rPr>
          <w:spacing w:val="-5"/>
        </w:rPr>
        <w:t> </w:t>
      </w:r>
      <w:r>
        <w:rPr/>
        <w:t>for</w:t>
      </w:r>
      <w:r>
        <w:rPr>
          <w:spacing w:val="-5"/>
        </w:rPr>
        <w:t> </w:t>
      </w:r>
      <w:r>
        <w:rPr/>
        <w:t>instance there is a private member’s bill in the Oireachtas on single-sex accommodation</w:t>
      </w:r>
      <w:r>
        <w:rPr/>
        <w:t> in prison to ensure that persons born male are not put in a women’s prison following a change in their gender.</w:t>
      </w:r>
      <w:r>
        <w:rPr>
          <w:vertAlign w:val="superscript"/>
        </w:rPr>
        <w:t>385</w:t>
      </w:r>
      <w:r>
        <w:rPr>
          <w:vertAlign w:val="baseline"/>
        </w:rPr>
        <w:t> And, as was noted above, the consultation on the Irish equality legislation resulted in a lack of consensus on how to deal with gender identity.</w:t>
      </w:r>
    </w:p>
    <w:p>
      <w:pPr>
        <w:pStyle w:val="BodyText"/>
        <w:rPr>
          <w:sz w:val="20"/>
        </w:rPr>
      </w:pPr>
    </w:p>
    <w:p>
      <w:pPr>
        <w:pStyle w:val="BodyText"/>
        <w:rPr>
          <w:sz w:val="20"/>
        </w:rPr>
      </w:pPr>
    </w:p>
    <w:p>
      <w:pPr>
        <w:pStyle w:val="BodyText"/>
        <w:spacing w:before="229"/>
        <w:rPr>
          <w:sz w:val="20"/>
        </w:rPr>
      </w:pPr>
      <w:r>
        <w:rPr/>
        <mc:AlternateContent>
          <mc:Choice Requires="wps">
            <w:drawing>
              <wp:anchor distT="0" distB="0" distL="0" distR="0" allowOverlap="1" layoutInCell="1" locked="0" behindDoc="1" simplePos="0" relativeHeight="487703552">
                <wp:simplePos x="0" y="0"/>
                <wp:positionH relativeFrom="page">
                  <wp:posOffset>900000</wp:posOffset>
                </wp:positionH>
                <wp:positionV relativeFrom="paragraph">
                  <wp:posOffset>315925</wp:posOffset>
                </wp:positionV>
                <wp:extent cx="6012180" cy="1270"/>
                <wp:effectExtent l="0" t="0" r="0" b="0"/>
                <wp:wrapTopAndBottom/>
                <wp:docPr id="615" name="Graphic 615"/>
                <wp:cNvGraphicFramePr>
                  <a:graphicFrameLocks/>
                </wp:cNvGraphicFramePr>
                <a:graphic>
                  <a:graphicData uri="http://schemas.microsoft.com/office/word/2010/wordprocessingShape">
                    <wps:wsp>
                      <wps:cNvPr id="615" name="Graphic 615"/>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24.876009pt;width:473.4pt;height:.1pt;mso-position-horizontal-relative:page;mso-position-vertical-relative:paragraph;z-index:-15612928;mso-wrap-distance-left:0;mso-wrap-distance-right:0" id="docshape497" coordorigin="1417,498" coordsize="9468,0" path="m1417,498l10885,498e" filled="false" stroked="true" strokeweight=".5pt" strokecolor="#36a9e1">
                <v:path arrowok="t"/>
                <v:stroke dashstyle="solid"/>
                <w10:wrap type="topAndBottom"/>
              </v:shape>
            </w:pict>
          </mc:Fallback>
        </mc:AlternateContent>
      </w:r>
    </w:p>
    <w:p>
      <w:pPr>
        <w:pStyle w:val="ListParagraph"/>
        <w:numPr>
          <w:ilvl w:val="0"/>
          <w:numId w:val="18"/>
        </w:numPr>
        <w:tabs>
          <w:tab w:pos="1683" w:val="left" w:leader="none"/>
        </w:tabs>
        <w:spacing w:line="240" w:lineRule="auto" w:before="43" w:after="0"/>
        <w:ind w:left="1683" w:right="0" w:hanging="566"/>
        <w:jc w:val="both"/>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15</w:t>
      </w:r>
      <w:r>
        <w:rPr>
          <w:spacing w:val="-5"/>
          <w:sz w:val="18"/>
          <w:u w:val="none"/>
        </w:rPr>
        <w:t>.</w:t>
      </w:r>
    </w:p>
    <w:p>
      <w:pPr>
        <w:pStyle w:val="ListParagraph"/>
        <w:numPr>
          <w:ilvl w:val="0"/>
          <w:numId w:val="18"/>
        </w:numPr>
        <w:tabs>
          <w:tab w:pos="1684" w:val="left" w:leader="none"/>
        </w:tabs>
        <w:spacing w:line="240" w:lineRule="auto" w:before="1" w:after="0"/>
        <w:ind w:left="1684" w:right="773" w:hanging="567"/>
        <w:jc w:val="both"/>
        <w:rPr>
          <w:sz w:val="18"/>
        </w:rPr>
      </w:pPr>
      <w:r>
        <w:rPr>
          <w:sz w:val="18"/>
        </w:rPr>
        <w:t>Parliamentary</w:t>
      </w:r>
      <w:r>
        <w:rPr>
          <w:spacing w:val="-4"/>
          <w:sz w:val="18"/>
        </w:rPr>
        <w:t> </w:t>
      </w:r>
      <w:r>
        <w:rPr>
          <w:sz w:val="18"/>
        </w:rPr>
        <w:t>Assembly</w:t>
      </w:r>
      <w:r>
        <w:rPr>
          <w:spacing w:val="-4"/>
          <w:sz w:val="18"/>
        </w:rPr>
        <w:t> </w:t>
      </w:r>
      <w:r>
        <w:rPr>
          <w:sz w:val="18"/>
        </w:rPr>
        <w:t>of</w:t>
      </w:r>
      <w:r>
        <w:rPr>
          <w:spacing w:val="-5"/>
          <w:sz w:val="18"/>
        </w:rPr>
        <w:t> </w:t>
      </w:r>
      <w:r>
        <w:rPr>
          <w:sz w:val="18"/>
        </w:rPr>
        <w:t>the</w:t>
      </w:r>
      <w:r>
        <w:rPr>
          <w:spacing w:val="-4"/>
          <w:sz w:val="18"/>
        </w:rPr>
        <w:t> </w:t>
      </w:r>
      <w:r>
        <w:rPr>
          <w:sz w:val="18"/>
        </w:rPr>
        <w:t>Council</w:t>
      </w:r>
      <w:r>
        <w:rPr>
          <w:spacing w:val="-5"/>
          <w:sz w:val="18"/>
        </w:rPr>
        <w:t> </w:t>
      </w:r>
      <w:r>
        <w:rPr>
          <w:sz w:val="18"/>
        </w:rPr>
        <w:t>of</w:t>
      </w:r>
      <w:r>
        <w:rPr>
          <w:spacing w:val="-5"/>
          <w:sz w:val="18"/>
        </w:rPr>
        <w:t> </w:t>
      </w:r>
      <w:r>
        <w:rPr>
          <w:sz w:val="18"/>
        </w:rPr>
        <w:t>Europe,</w:t>
      </w:r>
      <w:r>
        <w:rPr>
          <w:spacing w:val="-5"/>
          <w:sz w:val="18"/>
        </w:rPr>
        <w:t> </w:t>
      </w:r>
      <w:hyperlink r:id="rId97">
        <w:r>
          <w:rPr>
            <w:color w:val="1D71B8"/>
            <w:sz w:val="18"/>
            <w:u w:val="single" w:color="1D71B8"/>
          </w:rPr>
          <w:t>Resolution</w:t>
        </w:r>
        <w:r>
          <w:rPr>
            <w:color w:val="1D71B8"/>
            <w:spacing w:val="-5"/>
            <w:sz w:val="18"/>
            <w:u w:val="single" w:color="1D71B8"/>
          </w:rPr>
          <w:t> </w:t>
        </w:r>
        <w:r>
          <w:rPr>
            <w:color w:val="1D71B8"/>
            <w:sz w:val="18"/>
            <w:u w:val="single" w:color="1D71B8"/>
          </w:rPr>
          <w:t>2048</w:t>
        </w:r>
        <w:r>
          <w:rPr>
            <w:color w:val="1D71B8"/>
            <w:spacing w:val="-4"/>
            <w:sz w:val="18"/>
            <w:u w:val="single" w:color="1D71B8"/>
          </w:rPr>
          <w:t> </w:t>
        </w:r>
        <w:r>
          <w:rPr>
            <w:color w:val="1D71B8"/>
            <w:sz w:val="18"/>
            <w:u w:val="single" w:color="1D71B8"/>
          </w:rPr>
          <w:t>(2015)</w:t>
        </w:r>
        <w:r>
          <w:rPr>
            <w:color w:val="1D71B8"/>
            <w:spacing w:val="-5"/>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discrimination</w:t>
        </w:r>
        <w:r>
          <w:rPr>
            <w:color w:val="1D71B8"/>
            <w:spacing w:val="-5"/>
            <w:sz w:val="18"/>
            <w:u w:val="single" w:color="1D71B8"/>
          </w:rPr>
          <w:t> </w:t>
        </w:r>
        <w:r>
          <w:rPr>
            <w:color w:val="1D71B8"/>
            <w:sz w:val="18"/>
            <w:u w:val="single" w:color="1D71B8"/>
          </w:rPr>
          <w:t>against</w:t>
        </w:r>
        <w:r>
          <w:rPr>
            <w:color w:val="1D71B8"/>
            <w:spacing w:val="-4"/>
            <w:sz w:val="18"/>
            <w:u w:val="single" w:color="1D71B8"/>
          </w:rPr>
          <w:t> </w:t>
        </w:r>
        <w:r>
          <w:rPr>
            <w:color w:val="1D71B8"/>
            <w:sz w:val="18"/>
            <w:u w:val="single" w:color="1D71B8"/>
          </w:rPr>
          <w:t>transgender</w:t>
        </w:r>
        <w:r>
          <w:rPr>
            <w:color w:val="1D71B8"/>
            <w:spacing w:val="-4"/>
            <w:sz w:val="18"/>
            <w:u w:val="single" w:color="1D71B8"/>
          </w:rPr>
          <w:t> </w:t>
        </w:r>
        <w:r>
          <w:rPr>
            <w:color w:val="1D71B8"/>
            <w:sz w:val="18"/>
            <w:u w:val="single" w:color="1D71B8"/>
          </w:rPr>
          <w:t>people</w:t>
        </w:r>
        <w:r>
          <w:rPr>
            <w:color w:val="1D71B8"/>
            <w:spacing w:val="-4"/>
            <w:sz w:val="18"/>
            <w:u w:val="single" w:color="1D71B8"/>
          </w:rPr>
          <w:t> </w:t>
        </w:r>
        <w:r>
          <w:rPr>
            <w:color w:val="1D71B8"/>
            <w:sz w:val="18"/>
            <w:u w:val="single" w:color="1D71B8"/>
          </w:rPr>
          <w:t>in</w:t>
        </w:r>
      </w:hyperlink>
      <w:r>
        <w:rPr>
          <w:color w:val="1D71B8"/>
          <w:sz w:val="18"/>
          <w:u w:val="none"/>
        </w:rPr>
        <w:t> </w:t>
      </w:r>
      <w:hyperlink r:id="rId97">
        <w:r>
          <w:rPr>
            <w:color w:val="1D71B8"/>
            <w:sz w:val="18"/>
            <w:u w:val="single" w:color="1D71B8"/>
          </w:rPr>
          <w:t>Europe 2015</w:t>
        </w:r>
      </w:hyperlink>
      <w:r>
        <w:rPr>
          <w:color w:val="1D71B8"/>
          <w:sz w:val="18"/>
          <w:u w:val="none"/>
        </w:rPr>
        <w:t> </w:t>
      </w:r>
      <w:r>
        <w:rPr>
          <w:sz w:val="18"/>
          <w:u w:val="none"/>
        </w:rPr>
        <w:t>para 6.2.1 and 6.2.2.</w:t>
      </w:r>
    </w:p>
    <w:p>
      <w:pPr>
        <w:pStyle w:val="ListParagraph"/>
        <w:numPr>
          <w:ilvl w:val="0"/>
          <w:numId w:val="18"/>
        </w:numPr>
        <w:tabs>
          <w:tab w:pos="1684" w:val="left" w:leader="none"/>
        </w:tabs>
        <w:spacing w:line="240" w:lineRule="auto" w:before="0" w:after="0"/>
        <w:ind w:left="1684" w:right="741" w:hanging="567"/>
        <w:jc w:val="both"/>
        <w:rPr>
          <w:sz w:val="18"/>
        </w:rPr>
      </w:pPr>
      <w:r>
        <w:rPr>
          <w:sz w:val="18"/>
        </w:rPr>
        <w:t>Steering</w:t>
      </w:r>
      <w:r>
        <w:rPr>
          <w:spacing w:val="-6"/>
          <w:sz w:val="18"/>
        </w:rPr>
        <w:t> </w:t>
      </w:r>
      <w:r>
        <w:rPr>
          <w:sz w:val="18"/>
        </w:rPr>
        <w:t>Committee</w:t>
      </w:r>
      <w:r>
        <w:rPr>
          <w:spacing w:val="-6"/>
          <w:sz w:val="18"/>
        </w:rPr>
        <w:t> </w:t>
      </w:r>
      <w:r>
        <w:rPr>
          <w:sz w:val="18"/>
        </w:rPr>
        <w:t>on</w:t>
      </w:r>
      <w:r>
        <w:rPr>
          <w:spacing w:val="-6"/>
          <w:sz w:val="18"/>
        </w:rPr>
        <w:t> </w:t>
      </w:r>
      <w:r>
        <w:rPr>
          <w:sz w:val="18"/>
        </w:rPr>
        <w:t>Anti-discrimination,</w:t>
      </w:r>
      <w:r>
        <w:rPr>
          <w:spacing w:val="-6"/>
          <w:sz w:val="18"/>
        </w:rPr>
        <w:t> </w:t>
      </w:r>
      <w:r>
        <w:rPr>
          <w:sz w:val="18"/>
        </w:rPr>
        <w:t>Diversity</w:t>
      </w:r>
      <w:r>
        <w:rPr>
          <w:spacing w:val="-6"/>
          <w:sz w:val="18"/>
        </w:rPr>
        <w:t> </w:t>
      </w:r>
      <w:r>
        <w:rPr>
          <w:sz w:val="18"/>
        </w:rPr>
        <w:t>and</w:t>
      </w:r>
      <w:r>
        <w:rPr>
          <w:spacing w:val="-6"/>
          <w:sz w:val="18"/>
        </w:rPr>
        <w:t> </w:t>
      </w:r>
      <w:r>
        <w:rPr>
          <w:sz w:val="18"/>
        </w:rPr>
        <w:t>Inclusion</w:t>
      </w:r>
      <w:r>
        <w:rPr>
          <w:spacing w:val="-6"/>
          <w:sz w:val="18"/>
        </w:rPr>
        <w:t> </w:t>
      </w:r>
      <w:r>
        <w:rPr>
          <w:sz w:val="18"/>
        </w:rPr>
        <w:t>(CDADI),</w:t>
      </w:r>
      <w:r>
        <w:rPr>
          <w:spacing w:val="-7"/>
          <w:sz w:val="18"/>
        </w:rPr>
        <w:t> </w:t>
      </w:r>
      <w:r>
        <w:rPr>
          <w:color w:val="1D71B8"/>
          <w:sz w:val="18"/>
          <w:u w:val="single" w:color="1D71B8"/>
        </w:rPr>
        <w:t>Thema</w:t>
      </w:r>
      <w:r>
        <w:rPr>
          <w:color w:val="1D71B8"/>
          <w:sz w:val="18"/>
          <w:u w:val="none"/>
        </w:rPr>
        <w:t>ti</w:t>
      </w:r>
      <w:r>
        <w:rPr>
          <w:color w:val="1D71B8"/>
          <w:sz w:val="18"/>
          <w:u w:val="single" w:color="1D71B8"/>
        </w:rPr>
        <w:t>c</w:t>
      </w:r>
      <w:r>
        <w:rPr>
          <w:color w:val="1D71B8"/>
          <w:spacing w:val="-6"/>
          <w:sz w:val="18"/>
          <w:u w:val="single" w:color="1D71B8"/>
        </w:rPr>
        <w:t> </w:t>
      </w:r>
      <w:r>
        <w:rPr>
          <w:color w:val="1D71B8"/>
          <w:sz w:val="18"/>
          <w:u w:val="single" w:color="1D71B8"/>
        </w:rPr>
        <w:t>Report</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Legal</w:t>
      </w:r>
      <w:r>
        <w:rPr>
          <w:color w:val="1D71B8"/>
          <w:spacing w:val="-6"/>
          <w:sz w:val="18"/>
          <w:u w:val="single" w:color="1D71B8"/>
        </w:rPr>
        <w:t> </w:t>
      </w:r>
      <w:r>
        <w:rPr>
          <w:color w:val="1D71B8"/>
          <w:sz w:val="18"/>
          <w:u w:val="single" w:color="1D71B8"/>
        </w:rPr>
        <w:t>Gender</w:t>
      </w:r>
      <w:r>
        <w:rPr>
          <w:color w:val="1D71B8"/>
          <w:spacing w:val="-6"/>
          <w:sz w:val="18"/>
          <w:u w:val="single" w:color="1D71B8"/>
        </w:rPr>
        <w:t> </w:t>
      </w:r>
      <w:r>
        <w:rPr>
          <w:color w:val="1D71B8"/>
          <w:sz w:val="18"/>
          <w:u w:val="single" w:color="1D71B8"/>
        </w:rPr>
        <w:t>Recognition</w:t>
      </w:r>
      <w:r>
        <w:rPr>
          <w:color w:val="1D71B8"/>
          <w:sz w:val="18"/>
          <w:u w:val="none"/>
        </w:rPr>
        <w:t> </w:t>
      </w:r>
      <w:r>
        <w:rPr>
          <w:color w:val="1D71B8"/>
          <w:sz w:val="18"/>
          <w:u w:val="single" w:color="1D71B8"/>
        </w:rPr>
        <w:t>in Europe</w:t>
      </w:r>
      <w:r>
        <w:rPr>
          <w:color w:val="1D71B8"/>
          <w:sz w:val="18"/>
          <w:u w:val="none"/>
        </w:rPr>
        <w:t> </w:t>
      </w:r>
      <w:r>
        <w:rPr>
          <w:sz w:val="18"/>
          <w:u w:val="none"/>
        </w:rPr>
        <w:t>(2022)</w:t>
      </w:r>
    </w:p>
    <w:p>
      <w:pPr>
        <w:pStyle w:val="ListParagraph"/>
        <w:numPr>
          <w:ilvl w:val="0"/>
          <w:numId w:val="18"/>
        </w:numPr>
        <w:tabs>
          <w:tab w:pos="1684" w:val="left" w:leader="none"/>
        </w:tabs>
        <w:spacing w:line="240" w:lineRule="auto" w:before="1" w:after="0"/>
        <w:ind w:left="1684" w:right="777" w:hanging="567"/>
        <w:jc w:val="both"/>
        <w:rPr>
          <w:sz w:val="18"/>
        </w:rPr>
      </w:pPr>
      <w:r>
        <w:rPr>
          <w:sz w:val="18"/>
        </w:rPr>
        <w:t>Fundamental</w:t>
      </w:r>
      <w:r>
        <w:rPr>
          <w:spacing w:val="-5"/>
          <w:sz w:val="18"/>
        </w:rPr>
        <w:t> </w:t>
      </w:r>
      <w:r>
        <w:rPr>
          <w:sz w:val="18"/>
        </w:rPr>
        <w:t>Rights</w:t>
      </w:r>
      <w:r>
        <w:rPr>
          <w:spacing w:val="-5"/>
          <w:sz w:val="18"/>
        </w:rPr>
        <w:t> </w:t>
      </w:r>
      <w:r>
        <w:rPr>
          <w:sz w:val="18"/>
        </w:rPr>
        <w:t>Agency</w:t>
      </w:r>
      <w:r>
        <w:rPr>
          <w:spacing w:val="-5"/>
          <w:sz w:val="18"/>
        </w:rPr>
        <w:t> </w:t>
      </w:r>
      <w:r>
        <w:rPr>
          <w:sz w:val="18"/>
        </w:rPr>
        <w:t>(European</w:t>
      </w:r>
      <w:r>
        <w:rPr>
          <w:spacing w:val="-5"/>
          <w:sz w:val="18"/>
        </w:rPr>
        <w:t> </w:t>
      </w:r>
      <w:r>
        <w:rPr>
          <w:sz w:val="18"/>
        </w:rPr>
        <w:t>Union),</w:t>
      </w:r>
      <w:r>
        <w:rPr>
          <w:spacing w:val="-4"/>
          <w:sz w:val="18"/>
        </w:rPr>
        <w:t> </w:t>
      </w:r>
      <w:r>
        <w:rPr>
          <w:color w:val="1D71B8"/>
          <w:sz w:val="18"/>
          <w:u w:val="single" w:color="1D71B8"/>
        </w:rPr>
        <w:t>Protection</w:t>
      </w:r>
      <w:r>
        <w:rPr>
          <w:color w:val="1D71B8"/>
          <w:spacing w:val="-5"/>
          <w:sz w:val="18"/>
          <w:u w:val="single" w:color="1D71B8"/>
        </w:rPr>
        <w:t> </w:t>
      </w:r>
      <w:r>
        <w:rPr>
          <w:color w:val="1D71B8"/>
          <w:sz w:val="18"/>
          <w:u w:val="single" w:color="1D71B8"/>
        </w:rPr>
        <w:t>against</w:t>
      </w:r>
      <w:r>
        <w:rPr>
          <w:color w:val="1D71B8"/>
          <w:spacing w:val="-4"/>
          <w:sz w:val="18"/>
          <w:u w:val="single" w:color="1D71B8"/>
        </w:rPr>
        <w:t> </w:t>
      </w:r>
      <w:r>
        <w:rPr>
          <w:color w:val="1D71B8"/>
          <w:sz w:val="18"/>
          <w:u w:val="single" w:color="1D71B8"/>
        </w:rPr>
        <w:t>discrimination</w:t>
      </w:r>
      <w:r>
        <w:rPr>
          <w:color w:val="1D71B8"/>
          <w:spacing w:val="-5"/>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grounds</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sexual</w:t>
      </w:r>
      <w:r>
        <w:rPr>
          <w:color w:val="1D71B8"/>
          <w:spacing w:val="-5"/>
          <w:sz w:val="18"/>
          <w:u w:val="single" w:color="1D71B8"/>
        </w:rPr>
        <w:t> </w:t>
      </w:r>
      <w:r>
        <w:rPr>
          <w:color w:val="1D71B8"/>
          <w:sz w:val="18"/>
          <w:u w:val="single" w:color="1D71B8"/>
        </w:rPr>
        <w:t>orientation,</w:t>
      </w:r>
      <w:r>
        <w:rPr>
          <w:color w:val="1D71B8"/>
          <w:spacing w:val="-4"/>
          <w:sz w:val="18"/>
          <w:u w:val="single" w:color="1D71B8"/>
        </w:rPr>
        <w:t> </w:t>
      </w:r>
      <w:r>
        <w:rPr>
          <w:color w:val="1D71B8"/>
          <w:sz w:val="18"/>
          <w:u w:val="single" w:color="1D71B8"/>
        </w:rPr>
        <w:t>gender</w:t>
      </w:r>
      <w:r>
        <w:rPr>
          <w:color w:val="1D71B8"/>
          <w:sz w:val="18"/>
          <w:u w:val="none"/>
        </w:rPr>
        <w:t> </w:t>
      </w:r>
      <w:r>
        <w:rPr>
          <w:color w:val="1D71B8"/>
          <w:sz w:val="18"/>
          <w:u w:val="single" w:color="1D71B8"/>
        </w:rPr>
        <w:t>identity</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sex</w:t>
      </w:r>
      <w:r>
        <w:rPr>
          <w:color w:val="1D71B8"/>
          <w:spacing w:val="-5"/>
          <w:sz w:val="18"/>
          <w:u w:val="single" w:color="1D71B8"/>
        </w:rPr>
        <w:t> </w:t>
      </w:r>
      <w:r>
        <w:rPr>
          <w:color w:val="1D71B8"/>
          <w:sz w:val="18"/>
          <w:u w:val="single" w:color="1D71B8"/>
        </w:rPr>
        <w:t>characteristics</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EU:</w:t>
      </w:r>
      <w:r>
        <w:rPr>
          <w:color w:val="1D71B8"/>
          <w:spacing w:val="-5"/>
          <w:sz w:val="18"/>
          <w:u w:val="single" w:color="1D71B8"/>
        </w:rPr>
        <w:t> </w:t>
      </w:r>
      <w:r>
        <w:rPr>
          <w:color w:val="1D71B8"/>
          <w:sz w:val="18"/>
          <w:u w:val="single" w:color="1D71B8"/>
        </w:rPr>
        <w:t>Comparative</w:t>
      </w:r>
      <w:r>
        <w:rPr>
          <w:color w:val="1D71B8"/>
          <w:spacing w:val="-5"/>
          <w:sz w:val="18"/>
          <w:u w:val="single" w:color="1D71B8"/>
        </w:rPr>
        <w:t> </w:t>
      </w:r>
      <w:r>
        <w:rPr>
          <w:color w:val="1D71B8"/>
          <w:sz w:val="18"/>
          <w:u w:val="single" w:color="1D71B8"/>
        </w:rPr>
        <w:t>legal</w:t>
      </w:r>
      <w:r>
        <w:rPr>
          <w:color w:val="1D71B8"/>
          <w:spacing w:val="-5"/>
          <w:sz w:val="18"/>
          <w:u w:val="single" w:color="1D71B8"/>
        </w:rPr>
        <w:t> </w:t>
      </w:r>
      <w:r>
        <w:rPr>
          <w:color w:val="1D71B8"/>
          <w:sz w:val="18"/>
          <w:u w:val="single" w:color="1D71B8"/>
        </w:rPr>
        <w:t>analysis,</w:t>
      </w:r>
      <w:r>
        <w:rPr>
          <w:color w:val="1D71B8"/>
          <w:spacing w:val="-5"/>
          <w:sz w:val="18"/>
          <w:u w:val="single" w:color="1D71B8"/>
        </w:rPr>
        <w:t> </w:t>
      </w:r>
      <w:r>
        <w:rPr>
          <w:color w:val="1D71B8"/>
          <w:sz w:val="18"/>
          <w:u w:val="single" w:color="1D71B8"/>
        </w:rPr>
        <w:t>Update</w:t>
      </w:r>
      <w:r>
        <w:rPr>
          <w:color w:val="1D71B8"/>
          <w:spacing w:val="-5"/>
          <w:sz w:val="18"/>
          <w:u w:val="single" w:color="1D71B8"/>
        </w:rPr>
        <w:t> </w:t>
      </w:r>
      <w:r>
        <w:rPr>
          <w:color w:val="1D71B8"/>
          <w:sz w:val="18"/>
          <w:u w:val="single" w:color="1D71B8"/>
        </w:rPr>
        <w:t>2015</w:t>
      </w:r>
      <w:r>
        <w:rPr>
          <w:color w:val="1D71B8"/>
          <w:spacing w:val="-7"/>
          <w:sz w:val="18"/>
          <w:u w:val="none"/>
        </w:rPr>
        <w:t> </w:t>
      </w:r>
      <w:r>
        <w:rPr>
          <w:sz w:val="18"/>
          <w:u w:val="none"/>
        </w:rPr>
        <w:t>(2015)</w:t>
      </w:r>
      <w:r>
        <w:rPr>
          <w:spacing w:val="-5"/>
          <w:sz w:val="18"/>
          <w:u w:val="none"/>
        </w:rPr>
        <w:t> </w:t>
      </w:r>
      <w:r>
        <w:rPr>
          <w:sz w:val="18"/>
          <w:u w:val="none"/>
        </w:rPr>
        <w:t>18-19,</w:t>
      </w:r>
      <w:r>
        <w:rPr>
          <w:spacing w:val="-5"/>
          <w:sz w:val="18"/>
          <w:u w:val="none"/>
        </w:rPr>
        <w:t> </w:t>
      </w:r>
      <w:r>
        <w:rPr>
          <w:sz w:val="18"/>
          <w:u w:val="none"/>
        </w:rPr>
        <w:t>again</w:t>
      </w:r>
      <w:r>
        <w:rPr>
          <w:spacing w:val="-5"/>
          <w:sz w:val="18"/>
          <w:u w:val="none"/>
        </w:rPr>
        <w:t> </w:t>
      </w:r>
      <w:r>
        <w:rPr>
          <w:sz w:val="18"/>
          <w:u w:val="none"/>
        </w:rPr>
        <w:t>mentioning</w:t>
      </w:r>
      <w:r>
        <w:rPr>
          <w:spacing w:val="-5"/>
          <w:sz w:val="18"/>
          <w:u w:val="none"/>
        </w:rPr>
        <w:t> </w:t>
      </w:r>
      <w:r>
        <w:rPr>
          <w:sz w:val="18"/>
          <w:u w:val="none"/>
        </w:rPr>
        <w:t>Ireland as an example.</w:t>
      </w:r>
    </w:p>
    <w:p>
      <w:pPr>
        <w:pStyle w:val="ListParagraph"/>
        <w:numPr>
          <w:ilvl w:val="0"/>
          <w:numId w:val="18"/>
        </w:numPr>
        <w:tabs>
          <w:tab w:pos="1684" w:val="left" w:leader="none"/>
        </w:tabs>
        <w:spacing w:line="240" w:lineRule="auto" w:before="1" w:after="0"/>
        <w:ind w:left="1684" w:right="1083" w:hanging="567"/>
        <w:jc w:val="left"/>
        <w:rPr>
          <w:sz w:val="18"/>
        </w:rPr>
      </w:pPr>
      <w:r>
        <w:rPr>
          <w:sz w:val="18"/>
        </w:rPr>
        <w:t>Office</w:t>
      </w:r>
      <w:r>
        <w:rPr>
          <w:spacing w:val="-3"/>
          <w:sz w:val="18"/>
        </w:rPr>
        <w:t> </w:t>
      </w:r>
      <w:r>
        <w:rPr>
          <w:sz w:val="18"/>
        </w:rPr>
        <w:t>of</w:t>
      </w:r>
      <w:r>
        <w:rPr>
          <w:spacing w:val="-4"/>
          <w:sz w:val="18"/>
        </w:rPr>
        <w:t> </w:t>
      </w:r>
      <w:r>
        <w:rPr>
          <w:sz w:val="18"/>
        </w:rPr>
        <w:t>the</w:t>
      </w:r>
      <w:r>
        <w:rPr>
          <w:spacing w:val="-3"/>
          <w:sz w:val="18"/>
        </w:rPr>
        <w:t> </w:t>
      </w:r>
      <w:r>
        <w:rPr>
          <w:sz w:val="18"/>
        </w:rPr>
        <w:t>High</w:t>
      </w:r>
      <w:r>
        <w:rPr>
          <w:spacing w:val="-4"/>
          <w:sz w:val="18"/>
        </w:rPr>
        <w:t> </w:t>
      </w:r>
      <w:r>
        <w:rPr>
          <w:sz w:val="18"/>
        </w:rPr>
        <w:t>Commissioner</w:t>
      </w:r>
      <w:r>
        <w:rPr>
          <w:spacing w:val="-3"/>
          <w:sz w:val="18"/>
        </w:rPr>
        <w:t> </w:t>
      </w:r>
      <w:r>
        <w:rPr>
          <w:sz w:val="18"/>
        </w:rPr>
        <w:t>for</w:t>
      </w:r>
      <w:r>
        <w:rPr>
          <w:spacing w:val="-3"/>
          <w:sz w:val="18"/>
        </w:rPr>
        <w:t> </w:t>
      </w:r>
      <w:r>
        <w:rPr>
          <w:sz w:val="18"/>
        </w:rPr>
        <w:t>Human</w:t>
      </w:r>
      <w:r>
        <w:rPr>
          <w:spacing w:val="-4"/>
          <w:sz w:val="18"/>
        </w:rPr>
        <w:t> </w:t>
      </w:r>
      <w:r>
        <w:rPr>
          <w:sz w:val="18"/>
        </w:rPr>
        <w:t>Rights</w:t>
      </w:r>
      <w:r>
        <w:rPr>
          <w:spacing w:val="-4"/>
          <w:sz w:val="18"/>
        </w:rPr>
        <w:t> </w:t>
      </w:r>
      <w:r>
        <w:rPr>
          <w:sz w:val="18"/>
        </w:rPr>
        <w:t>(OHCHR),</w:t>
      </w:r>
      <w:r>
        <w:rPr>
          <w:spacing w:val="-4"/>
          <w:sz w:val="18"/>
        </w:rPr>
        <w:t> </w:t>
      </w:r>
      <w:hyperlink r:id="rId98">
        <w:r>
          <w:rPr>
            <w:color w:val="1D71B8"/>
            <w:sz w:val="18"/>
            <w:u w:val="single" w:color="1D71B8"/>
          </w:rPr>
          <w:t>Discrimination</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violence</w:t>
        </w:r>
        <w:r>
          <w:rPr>
            <w:color w:val="1D71B8"/>
            <w:spacing w:val="-3"/>
            <w:sz w:val="18"/>
            <w:u w:val="single" w:color="1D71B8"/>
          </w:rPr>
          <w:t> </w:t>
        </w:r>
        <w:r>
          <w:rPr>
            <w:color w:val="1D71B8"/>
            <w:sz w:val="18"/>
            <w:u w:val="single" w:color="1D71B8"/>
          </w:rPr>
          <w:t>against</w:t>
        </w:r>
        <w:r>
          <w:rPr>
            <w:color w:val="1D71B8"/>
            <w:spacing w:val="-3"/>
            <w:sz w:val="18"/>
            <w:u w:val="single" w:color="1D71B8"/>
          </w:rPr>
          <w:t> </w:t>
        </w:r>
        <w:r>
          <w:rPr>
            <w:color w:val="1D71B8"/>
            <w:sz w:val="18"/>
            <w:u w:val="single" w:color="1D71B8"/>
          </w:rPr>
          <w:t>individuals</w:t>
        </w:r>
        <w:r>
          <w:rPr>
            <w:color w:val="1D71B8"/>
            <w:spacing w:val="-4"/>
            <w:sz w:val="18"/>
            <w:u w:val="single" w:color="1D71B8"/>
          </w:rPr>
          <w:t> </w:t>
        </w:r>
        <w:r>
          <w:rPr>
            <w:color w:val="1D71B8"/>
            <w:sz w:val="18"/>
            <w:u w:val="single" w:color="1D71B8"/>
          </w:rPr>
          <w:t>based</w:t>
        </w:r>
        <w:r>
          <w:rPr>
            <w:color w:val="1D71B8"/>
            <w:spacing w:val="-4"/>
            <w:sz w:val="18"/>
            <w:u w:val="single" w:color="1D71B8"/>
          </w:rPr>
          <w:t> </w:t>
        </w:r>
        <w:r>
          <w:rPr>
            <w:color w:val="1D71B8"/>
            <w:sz w:val="18"/>
            <w:u w:val="single" w:color="1D71B8"/>
          </w:rPr>
          <w:t>on</w:t>
        </w:r>
      </w:hyperlink>
      <w:r>
        <w:rPr>
          <w:color w:val="1D71B8"/>
          <w:sz w:val="18"/>
          <w:u w:val="none"/>
        </w:rPr>
        <w:t> </w:t>
      </w:r>
      <w:hyperlink r:id="rId98">
        <w:r>
          <w:rPr>
            <w:color w:val="1D71B8"/>
            <w:sz w:val="18"/>
            <w:u w:val="single" w:color="1D71B8"/>
          </w:rPr>
          <w:t>their sexual orientati</w:t>
        </w:r>
        <w:r>
          <w:rPr>
            <w:color w:val="1D71B8"/>
            <w:sz w:val="18"/>
            <w:u w:val="none"/>
          </w:rPr>
          <w:t>o</w:t>
        </w:r>
        <w:r>
          <w:rPr>
            <w:color w:val="1D71B8"/>
            <w:sz w:val="18"/>
            <w:u w:val="single" w:color="1D71B8"/>
          </w:rPr>
          <w:t>n and gender identity</w:t>
        </w:r>
      </w:hyperlink>
      <w:r>
        <w:rPr>
          <w:color w:val="1D71B8"/>
          <w:sz w:val="18"/>
          <w:u w:val="none"/>
        </w:rPr>
        <w:t> </w:t>
      </w:r>
      <w:r>
        <w:rPr>
          <w:sz w:val="18"/>
          <w:u w:val="none"/>
        </w:rPr>
        <w:t>(2015) A/HRC/29/23 para 79(i).</w:t>
      </w:r>
    </w:p>
    <w:p>
      <w:pPr>
        <w:pStyle w:val="ListParagraph"/>
        <w:numPr>
          <w:ilvl w:val="0"/>
          <w:numId w:val="18"/>
        </w:numPr>
        <w:tabs>
          <w:tab w:pos="1684" w:val="left" w:leader="none"/>
        </w:tabs>
        <w:spacing w:line="240" w:lineRule="auto" w:before="0" w:after="0"/>
        <w:ind w:left="1684" w:right="771" w:hanging="567"/>
        <w:jc w:val="left"/>
        <w:rPr>
          <w:sz w:val="18"/>
        </w:rPr>
      </w:pPr>
      <w:r>
        <w:rPr>
          <w:sz w:val="18"/>
        </w:rPr>
        <w:t>Independent Expert on protection against violence and discrimination based on sexual orientation and gender identity, </w:t>
      </w:r>
      <w:hyperlink r:id="rId99">
        <w:r>
          <w:rPr>
            <w:color w:val="1D71B8"/>
            <w:sz w:val="18"/>
            <w:u w:val="single" w:color="1D71B8"/>
          </w:rPr>
          <w:t>Report of the Independent Expert on protection against violence and discrimination based on sexual orientation and</w:t>
        </w:r>
      </w:hyperlink>
      <w:r>
        <w:rPr>
          <w:color w:val="1D71B8"/>
          <w:sz w:val="18"/>
          <w:u w:val="none"/>
        </w:rPr>
        <w:t> </w:t>
      </w:r>
      <w:hyperlink r:id="rId99">
        <w:r>
          <w:rPr>
            <w:color w:val="1D71B8"/>
            <w:sz w:val="18"/>
            <w:u w:val="single" w:color="1D71B8"/>
          </w:rPr>
          <w:t>gender</w:t>
        </w:r>
        <w:r>
          <w:rPr>
            <w:color w:val="1D71B8"/>
            <w:spacing w:val="-4"/>
            <w:sz w:val="18"/>
            <w:u w:val="single" w:color="1D71B8"/>
          </w:rPr>
          <w:t> </w:t>
        </w:r>
        <w:r>
          <w:rPr>
            <w:color w:val="1D71B8"/>
            <w:sz w:val="18"/>
            <w:u w:val="single" w:color="1D71B8"/>
          </w:rPr>
          <w:t>identity</w:t>
        </w:r>
      </w:hyperlink>
      <w:r>
        <w:rPr>
          <w:color w:val="1D71B8"/>
          <w:spacing w:val="-5"/>
          <w:sz w:val="18"/>
          <w:u w:val="none"/>
        </w:rPr>
        <w:t> </w:t>
      </w:r>
      <w:r>
        <w:rPr>
          <w:sz w:val="18"/>
          <w:u w:val="none"/>
        </w:rPr>
        <w:t>(2018)</w:t>
      </w:r>
      <w:r>
        <w:rPr>
          <w:spacing w:val="-5"/>
          <w:sz w:val="18"/>
          <w:u w:val="none"/>
        </w:rPr>
        <w:t> </w:t>
      </w:r>
      <w:r>
        <w:rPr>
          <w:sz w:val="18"/>
          <w:u w:val="none"/>
        </w:rPr>
        <w:t>A/73/152,</w:t>
      </w:r>
      <w:r>
        <w:rPr>
          <w:spacing w:val="-4"/>
          <w:sz w:val="18"/>
          <w:u w:val="none"/>
        </w:rPr>
        <w:t> </w:t>
      </w:r>
      <w:r>
        <w:rPr>
          <w:sz w:val="18"/>
          <w:u w:val="none"/>
        </w:rPr>
        <w:t>para</w:t>
      </w:r>
      <w:r>
        <w:rPr>
          <w:spacing w:val="-5"/>
          <w:sz w:val="18"/>
          <w:u w:val="none"/>
        </w:rPr>
        <w:t> </w:t>
      </w:r>
      <w:r>
        <w:rPr>
          <w:sz w:val="18"/>
          <w:u w:val="none"/>
        </w:rPr>
        <w:t>81(d);</w:t>
      </w:r>
      <w:r>
        <w:rPr>
          <w:spacing w:val="-4"/>
          <w:sz w:val="18"/>
          <w:u w:val="none"/>
        </w:rPr>
        <w:t> </w:t>
      </w:r>
      <w:r>
        <w:rPr>
          <w:sz w:val="18"/>
          <w:u w:val="none"/>
        </w:rPr>
        <w:t>Independent</w:t>
      </w:r>
      <w:r>
        <w:rPr>
          <w:spacing w:val="-4"/>
          <w:sz w:val="18"/>
          <w:u w:val="none"/>
        </w:rPr>
        <w:t> </w:t>
      </w:r>
      <w:r>
        <w:rPr>
          <w:sz w:val="18"/>
          <w:u w:val="none"/>
        </w:rPr>
        <w:t>Expert</w:t>
      </w:r>
      <w:r>
        <w:rPr>
          <w:spacing w:val="-4"/>
          <w:sz w:val="18"/>
          <w:u w:val="none"/>
        </w:rPr>
        <w:t> </w:t>
      </w:r>
      <w:r>
        <w:rPr>
          <w:sz w:val="18"/>
          <w:u w:val="none"/>
        </w:rPr>
        <w:t>on</w:t>
      </w:r>
      <w:r>
        <w:rPr>
          <w:spacing w:val="-5"/>
          <w:sz w:val="18"/>
          <w:u w:val="none"/>
        </w:rPr>
        <w:t> </w:t>
      </w:r>
      <w:r>
        <w:rPr>
          <w:sz w:val="18"/>
          <w:u w:val="none"/>
        </w:rPr>
        <w:t>protection</w:t>
      </w:r>
      <w:r>
        <w:rPr>
          <w:spacing w:val="-5"/>
          <w:sz w:val="18"/>
          <w:u w:val="none"/>
        </w:rPr>
        <w:t> </w:t>
      </w:r>
      <w:r>
        <w:rPr>
          <w:sz w:val="18"/>
          <w:u w:val="none"/>
        </w:rPr>
        <w:t>against</w:t>
      </w:r>
      <w:r>
        <w:rPr>
          <w:spacing w:val="-4"/>
          <w:sz w:val="18"/>
          <w:u w:val="none"/>
        </w:rPr>
        <w:t> </w:t>
      </w:r>
      <w:r>
        <w:rPr>
          <w:sz w:val="18"/>
          <w:u w:val="none"/>
        </w:rPr>
        <w:t>violence</w:t>
      </w:r>
      <w:r>
        <w:rPr>
          <w:spacing w:val="-4"/>
          <w:sz w:val="18"/>
          <w:u w:val="none"/>
        </w:rPr>
        <w:t> </w:t>
      </w:r>
      <w:r>
        <w:rPr>
          <w:sz w:val="18"/>
          <w:u w:val="none"/>
        </w:rPr>
        <w:t>and</w:t>
      </w:r>
      <w:r>
        <w:rPr>
          <w:spacing w:val="-5"/>
          <w:sz w:val="18"/>
          <w:u w:val="none"/>
        </w:rPr>
        <w:t> </w:t>
      </w:r>
      <w:r>
        <w:rPr>
          <w:sz w:val="18"/>
          <w:u w:val="none"/>
        </w:rPr>
        <w:t>discrimination</w:t>
      </w:r>
      <w:r>
        <w:rPr>
          <w:spacing w:val="-5"/>
          <w:sz w:val="18"/>
          <w:u w:val="none"/>
        </w:rPr>
        <w:t> </w:t>
      </w:r>
      <w:r>
        <w:rPr>
          <w:sz w:val="18"/>
          <w:u w:val="none"/>
        </w:rPr>
        <w:t>based on sexual orientation and gender identity, </w:t>
      </w:r>
      <w:r>
        <w:rPr>
          <w:color w:val="1D71B8"/>
          <w:sz w:val="18"/>
          <w:u w:val="single" w:color="1D71B8"/>
        </w:rPr>
        <w:t>The law of inclusion - Report of the Independent Expert on sexual orientation</w:t>
      </w:r>
      <w:r>
        <w:rPr>
          <w:color w:val="1D71B8"/>
          <w:sz w:val="18"/>
          <w:u w:val="none"/>
        </w:rPr>
        <w:t> </w:t>
      </w:r>
      <w:r>
        <w:rPr>
          <w:color w:val="1D71B8"/>
          <w:sz w:val="18"/>
          <w:u w:val="single" w:color="1D71B8"/>
        </w:rPr>
        <w:t>and gender identity</w:t>
      </w:r>
      <w:r>
        <w:rPr>
          <w:color w:val="1D71B8"/>
          <w:sz w:val="18"/>
          <w:u w:val="none"/>
        </w:rPr>
        <w:t> </w:t>
      </w:r>
      <w:r>
        <w:rPr>
          <w:sz w:val="18"/>
          <w:u w:val="none"/>
        </w:rPr>
        <w:t>(2021) A/HRC/47/27 paras 36-47, 91.</w:t>
      </w:r>
    </w:p>
    <w:p>
      <w:pPr>
        <w:pStyle w:val="ListParagraph"/>
        <w:numPr>
          <w:ilvl w:val="0"/>
          <w:numId w:val="18"/>
        </w:numPr>
        <w:tabs>
          <w:tab w:pos="1684" w:val="left" w:leader="none"/>
        </w:tabs>
        <w:spacing w:line="240" w:lineRule="auto" w:before="1" w:after="0"/>
        <w:ind w:left="1684" w:right="1141" w:hanging="567"/>
        <w:jc w:val="left"/>
        <w:rPr>
          <w:sz w:val="18"/>
        </w:rPr>
      </w:pPr>
      <w:r>
        <w:rPr>
          <w:sz w:val="18"/>
        </w:rPr>
        <w:t>Review</w:t>
      </w:r>
      <w:r>
        <w:rPr>
          <w:spacing w:val="-5"/>
          <w:sz w:val="18"/>
        </w:rPr>
        <w:t> </w:t>
      </w:r>
      <w:r>
        <w:rPr>
          <w:sz w:val="18"/>
        </w:rPr>
        <w:t>Group,</w:t>
      </w:r>
      <w:r>
        <w:rPr>
          <w:spacing w:val="-6"/>
          <w:sz w:val="18"/>
        </w:rPr>
        <w:t> </w:t>
      </w:r>
      <w:r>
        <w:rPr>
          <w:color w:val="1D71B8"/>
          <w:sz w:val="18"/>
          <w:u w:val="single" w:color="1D71B8"/>
        </w:rPr>
        <w:t>Review</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Gender</w:t>
      </w:r>
      <w:r>
        <w:rPr>
          <w:color w:val="1D71B8"/>
          <w:spacing w:val="-5"/>
          <w:sz w:val="18"/>
          <w:u w:val="single" w:color="1D71B8"/>
        </w:rPr>
        <w:t> </w:t>
      </w:r>
      <w:r>
        <w:rPr>
          <w:color w:val="1D71B8"/>
          <w:sz w:val="18"/>
          <w:u w:val="single" w:color="1D71B8"/>
        </w:rPr>
        <w:t>Recognition</w:t>
      </w:r>
      <w:r>
        <w:rPr>
          <w:color w:val="1D71B8"/>
          <w:spacing w:val="-6"/>
          <w:sz w:val="18"/>
          <w:u w:val="single" w:color="1D71B8"/>
        </w:rPr>
        <w:t> </w:t>
      </w:r>
      <w:r>
        <w:rPr>
          <w:color w:val="1D71B8"/>
          <w:sz w:val="18"/>
          <w:u w:val="single" w:color="1D71B8"/>
        </w:rPr>
        <w:t>Act</w:t>
      </w:r>
      <w:r>
        <w:rPr>
          <w:color w:val="1D71B8"/>
          <w:spacing w:val="-5"/>
          <w:sz w:val="18"/>
          <w:u w:val="single" w:color="1D71B8"/>
        </w:rPr>
        <w:t> </w:t>
      </w:r>
      <w:r>
        <w:rPr>
          <w:color w:val="1D71B8"/>
          <w:sz w:val="18"/>
          <w:u w:val="single" w:color="1D71B8"/>
        </w:rPr>
        <w:t>2015,</w:t>
      </w:r>
      <w:r>
        <w:rPr>
          <w:color w:val="1D71B8"/>
          <w:spacing w:val="-5"/>
          <w:sz w:val="18"/>
          <w:u w:val="single" w:color="1D71B8"/>
        </w:rPr>
        <w:t> </w:t>
      </w:r>
      <w:r>
        <w:rPr>
          <w:color w:val="1D71B8"/>
          <w:sz w:val="18"/>
          <w:u w:val="single" w:color="1D71B8"/>
        </w:rPr>
        <w:t>Report</w:t>
      </w:r>
      <w:r>
        <w:rPr>
          <w:color w:val="1D71B8"/>
          <w:spacing w:val="-5"/>
          <w:sz w:val="18"/>
          <w:u w:val="single" w:color="1D71B8"/>
        </w:rPr>
        <w:t> </w:t>
      </w:r>
      <w:r>
        <w:rPr>
          <w:color w:val="1D71B8"/>
          <w:sz w:val="18"/>
          <w:u w:val="single" w:color="1D71B8"/>
        </w:rPr>
        <w:t>to</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Minister</w:t>
      </w:r>
      <w:r>
        <w:rPr>
          <w:color w:val="1D71B8"/>
          <w:spacing w:val="-5"/>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Employment</w:t>
      </w:r>
      <w:r>
        <w:rPr>
          <w:color w:val="1D71B8"/>
          <w:spacing w:val="-5"/>
          <w:sz w:val="18"/>
          <w:u w:val="single" w:color="1D71B8"/>
        </w:rPr>
        <w:t> </w:t>
      </w:r>
      <w:r>
        <w:rPr>
          <w:color w:val="1D71B8"/>
          <w:sz w:val="18"/>
          <w:u w:val="single" w:color="1D71B8"/>
        </w:rPr>
        <w:t>Affairs</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Social</w:t>
      </w:r>
      <w:r>
        <w:rPr>
          <w:color w:val="1D71B8"/>
          <w:sz w:val="18"/>
          <w:u w:val="none"/>
        </w:rPr>
        <w:t> </w:t>
      </w:r>
      <w:r>
        <w:rPr>
          <w:color w:val="1D71B8"/>
          <w:sz w:val="18"/>
          <w:u w:val="single" w:color="1D71B8"/>
        </w:rPr>
        <w:t>Protection</w:t>
      </w:r>
      <w:r>
        <w:rPr>
          <w:color w:val="1D71B8"/>
          <w:sz w:val="18"/>
          <w:u w:val="none"/>
        </w:rPr>
        <w:t> </w:t>
      </w:r>
      <w:r>
        <w:rPr>
          <w:sz w:val="18"/>
          <w:u w:val="none"/>
        </w:rPr>
        <w:t>(2018).</w:t>
      </w:r>
    </w:p>
    <w:p>
      <w:pPr>
        <w:pStyle w:val="ListParagraph"/>
        <w:numPr>
          <w:ilvl w:val="0"/>
          <w:numId w:val="18"/>
        </w:numPr>
        <w:tabs>
          <w:tab w:pos="1684" w:val="left" w:leader="none"/>
        </w:tabs>
        <w:spacing w:line="240" w:lineRule="auto" w:before="1" w:after="0"/>
        <w:ind w:left="1684" w:right="983" w:hanging="567"/>
        <w:jc w:val="left"/>
        <w:rPr>
          <w:sz w:val="18"/>
        </w:rPr>
      </w:pPr>
      <w:r>
        <w:rPr>
          <w:sz w:val="18"/>
        </w:rPr>
        <w:t>Department</w:t>
      </w:r>
      <w:r>
        <w:rPr>
          <w:spacing w:val="-3"/>
          <w:sz w:val="18"/>
        </w:rPr>
        <w:t> </w:t>
      </w:r>
      <w:r>
        <w:rPr>
          <w:sz w:val="18"/>
        </w:rPr>
        <w:t>of</w:t>
      </w:r>
      <w:r>
        <w:rPr>
          <w:spacing w:val="-4"/>
          <w:sz w:val="18"/>
        </w:rPr>
        <w:t> </w:t>
      </w:r>
      <w:r>
        <w:rPr>
          <w:sz w:val="18"/>
        </w:rPr>
        <w:t>Social</w:t>
      </w:r>
      <w:r>
        <w:rPr>
          <w:spacing w:val="-4"/>
          <w:sz w:val="18"/>
        </w:rPr>
        <w:t> </w:t>
      </w:r>
      <w:r>
        <w:rPr>
          <w:sz w:val="18"/>
        </w:rPr>
        <w:t>Protection,</w:t>
      </w:r>
      <w:r>
        <w:rPr>
          <w:spacing w:val="-3"/>
          <w:sz w:val="18"/>
        </w:rPr>
        <w:t> </w:t>
      </w:r>
      <w:r>
        <w:rPr>
          <w:color w:val="1D71B8"/>
          <w:sz w:val="18"/>
          <w:u w:val="single" w:color="1D71B8"/>
        </w:rPr>
        <w:t>‘Minister</w:t>
      </w:r>
      <w:r>
        <w:rPr>
          <w:color w:val="1D71B8"/>
          <w:spacing w:val="-3"/>
          <w:sz w:val="18"/>
          <w:u w:val="single" w:color="1D71B8"/>
        </w:rPr>
        <w:t> </w:t>
      </w:r>
      <w:r>
        <w:rPr>
          <w:color w:val="1D71B8"/>
          <w:sz w:val="18"/>
          <w:u w:val="single" w:color="1D71B8"/>
        </w:rPr>
        <w:t>Doherty</w:t>
      </w:r>
      <w:r>
        <w:rPr>
          <w:color w:val="1D71B8"/>
          <w:spacing w:val="-3"/>
          <w:sz w:val="18"/>
          <w:u w:val="single" w:color="1D71B8"/>
        </w:rPr>
        <w:t> </w:t>
      </w:r>
      <w:r>
        <w:rPr>
          <w:color w:val="1D71B8"/>
          <w:sz w:val="18"/>
          <w:u w:val="single" w:color="1D71B8"/>
        </w:rPr>
        <w:t>Publishes</w:t>
      </w:r>
      <w:r>
        <w:rPr>
          <w:color w:val="1D71B8"/>
          <w:spacing w:val="-4"/>
          <w:sz w:val="18"/>
          <w:u w:val="single" w:color="1D71B8"/>
        </w:rPr>
        <w:t> </w:t>
      </w:r>
      <w:r>
        <w:rPr>
          <w:color w:val="1D71B8"/>
          <w:sz w:val="18"/>
          <w:u w:val="single" w:color="1D71B8"/>
        </w:rPr>
        <w:t>her</w:t>
      </w:r>
      <w:r>
        <w:rPr>
          <w:color w:val="1D71B8"/>
          <w:spacing w:val="-3"/>
          <w:sz w:val="18"/>
          <w:u w:val="single" w:color="1D71B8"/>
        </w:rPr>
        <w:t> </w:t>
      </w:r>
      <w:r>
        <w:rPr>
          <w:color w:val="1D71B8"/>
          <w:sz w:val="18"/>
          <w:u w:val="single" w:color="1D71B8"/>
        </w:rPr>
        <w:t>Report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Review</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Gender</w:t>
      </w:r>
      <w:r>
        <w:rPr>
          <w:color w:val="1D71B8"/>
          <w:spacing w:val="-3"/>
          <w:sz w:val="18"/>
          <w:u w:val="single" w:color="1D71B8"/>
        </w:rPr>
        <w:t> </w:t>
      </w:r>
      <w:r>
        <w:rPr>
          <w:color w:val="1D71B8"/>
          <w:sz w:val="18"/>
          <w:u w:val="single" w:color="1D71B8"/>
        </w:rPr>
        <w:t>Recognition</w:t>
      </w:r>
      <w:r>
        <w:rPr>
          <w:color w:val="1D71B8"/>
          <w:spacing w:val="-4"/>
          <w:sz w:val="18"/>
          <w:u w:val="single" w:color="1D71B8"/>
        </w:rPr>
        <w:t> </w:t>
      </w:r>
      <w:r>
        <w:rPr>
          <w:color w:val="1D71B8"/>
          <w:sz w:val="18"/>
          <w:u w:val="single" w:color="1D71B8"/>
        </w:rPr>
        <w:t>Act’</w:t>
      </w:r>
      <w:r>
        <w:rPr>
          <w:color w:val="1D71B8"/>
          <w:sz w:val="18"/>
          <w:u w:val="none"/>
        </w:rPr>
        <w:t> </w:t>
      </w:r>
      <w:r>
        <w:rPr>
          <w:sz w:val="18"/>
          <w:u w:val="none"/>
        </w:rPr>
        <w:t>(2019), Last Accessed 1 March 2024.</w:t>
      </w:r>
    </w:p>
    <w:p>
      <w:pPr>
        <w:pStyle w:val="ListParagraph"/>
        <w:numPr>
          <w:ilvl w:val="0"/>
          <w:numId w:val="18"/>
        </w:numPr>
        <w:tabs>
          <w:tab w:pos="1684" w:val="left" w:leader="none"/>
        </w:tabs>
        <w:spacing w:line="240" w:lineRule="auto" w:before="1" w:after="0"/>
        <w:ind w:left="1684" w:right="0" w:hanging="567"/>
        <w:jc w:val="left"/>
        <w:rPr>
          <w:sz w:val="18"/>
        </w:rPr>
      </w:pPr>
      <w:r>
        <w:rPr>
          <w:color w:val="1D71B8"/>
          <w:sz w:val="18"/>
          <w:u w:val="single" w:color="1D71B8"/>
        </w:rPr>
        <w:t>Gender</w:t>
      </w:r>
      <w:r>
        <w:rPr>
          <w:color w:val="1D71B8"/>
          <w:spacing w:val="-8"/>
          <w:sz w:val="18"/>
          <w:u w:val="single" w:color="1D71B8"/>
        </w:rPr>
        <w:t> </w:t>
      </w:r>
      <w:r>
        <w:rPr>
          <w:color w:val="1D71B8"/>
          <w:sz w:val="18"/>
          <w:u w:val="single" w:color="1D71B8"/>
        </w:rPr>
        <w:t>Recognition</w:t>
      </w:r>
      <w:r>
        <w:rPr>
          <w:color w:val="1D71B8"/>
          <w:spacing w:val="-9"/>
          <w:sz w:val="18"/>
          <w:u w:val="single" w:color="1D71B8"/>
        </w:rPr>
        <w:t> </w:t>
      </w:r>
      <w:r>
        <w:rPr>
          <w:color w:val="1D71B8"/>
          <w:sz w:val="18"/>
          <w:u w:val="single" w:color="1D71B8"/>
        </w:rPr>
        <w:t>(Amendment)</w:t>
      </w:r>
      <w:r>
        <w:rPr>
          <w:color w:val="1D71B8"/>
          <w:spacing w:val="-9"/>
          <w:sz w:val="18"/>
          <w:u w:val="single" w:color="1D71B8"/>
        </w:rPr>
        <w:t> </w:t>
      </w:r>
      <w:r>
        <w:rPr>
          <w:color w:val="1D71B8"/>
          <w:sz w:val="18"/>
          <w:u w:val="single" w:color="1D71B8"/>
        </w:rPr>
        <w:t>(Prisons)</w:t>
      </w:r>
      <w:r>
        <w:rPr>
          <w:color w:val="1D71B8"/>
          <w:spacing w:val="-9"/>
          <w:sz w:val="18"/>
          <w:u w:val="single" w:color="1D71B8"/>
        </w:rPr>
        <w:t> </w:t>
      </w:r>
      <w:r>
        <w:rPr>
          <w:color w:val="1D71B8"/>
          <w:sz w:val="18"/>
          <w:u w:val="single" w:color="1D71B8"/>
        </w:rPr>
        <w:t>Bill</w:t>
      </w:r>
      <w:r>
        <w:rPr>
          <w:color w:val="1D71B8"/>
          <w:spacing w:val="-9"/>
          <w:sz w:val="18"/>
          <w:u w:val="single" w:color="1D71B8"/>
        </w:rPr>
        <w:t> </w:t>
      </w:r>
      <w:r>
        <w:rPr>
          <w:color w:val="1D71B8"/>
          <w:spacing w:val="-2"/>
          <w:sz w:val="18"/>
          <w:u w:val="single" w:color="1D71B8"/>
        </w:rPr>
        <w:t>2023</w:t>
      </w:r>
      <w:r>
        <w:rPr>
          <w:spacing w:val="-2"/>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21760">
                <wp:simplePos x="0" y="0"/>
                <wp:positionH relativeFrom="page">
                  <wp:posOffset>0</wp:posOffset>
                </wp:positionH>
                <wp:positionV relativeFrom="page">
                  <wp:posOffset>0</wp:posOffset>
                </wp:positionV>
                <wp:extent cx="7560309" cy="1155065"/>
                <wp:effectExtent l="0" t="0" r="0" b="0"/>
                <wp:wrapNone/>
                <wp:docPr id="616" name="Group 616"/>
                <wp:cNvGraphicFramePr>
                  <a:graphicFrameLocks/>
                </wp:cNvGraphicFramePr>
                <a:graphic>
                  <a:graphicData uri="http://schemas.microsoft.com/office/word/2010/wordprocessingGroup">
                    <wpg:wgp>
                      <wpg:cNvPr id="616" name="Group 616"/>
                      <wpg:cNvGrpSpPr/>
                      <wpg:grpSpPr>
                        <a:xfrm>
                          <a:off x="0" y="0"/>
                          <a:ext cx="7560309" cy="1155065"/>
                          <a:chExt cx="7560309" cy="1155065"/>
                        </a:xfrm>
                      </wpg:grpSpPr>
                      <wps:wsp>
                        <wps:cNvPr id="617" name="Graphic 617"/>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618" name="Graphic 618"/>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94720" id="docshapegroup498" coordorigin="0,0" coordsize="11906,1819">
                <v:shape style="position:absolute;left:0;top:0;width:11906;height:1819" id="docshape499"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68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824"/>
        <w:jc w:val="both"/>
      </w:pPr>
      <w:r>
        <w:rPr/>
        <w:t>While Ireland has adopted a policy based on self-identification, the situation is different in the UK including Northern Ireland. The Gender Recognition Act 2004</w:t>
      </w:r>
      <w:r>
        <w:rPr>
          <w:spacing w:val="-6"/>
        </w:rPr>
        <w:t> </w:t>
      </w:r>
      <w:r>
        <w:rPr/>
        <w:t>(UK)</w:t>
      </w:r>
      <w:r>
        <w:rPr>
          <w:spacing w:val="-4"/>
        </w:rPr>
        <w:t> </w:t>
      </w:r>
      <w:r>
        <w:rPr/>
        <w:t>adopts</w:t>
      </w:r>
      <w:r>
        <w:rPr>
          <w:spacing w:val="-5"/>
        </w:rPr>
        <w:t> </w:t>
      </w:r>
      <w:r>
        <w:rPr/>
        <w:t>a</w:t>
      </w:r>
      <w:r>
        <w:rPr>
          <w:spacing w:val="-4"/>
        </w:rPr>
        <w:t> </w:t>
      </w:r>
      <w:r>
        <w:rPr/>
        <w:t>medical</w:t>
      </w:r>
      <w:r>
        <w:rPr>
          <w:spacing w:val="-5"/>
        </w:rPr>
        <w:t> </w:t>
      </w:r>
      <w:r>
        <w:rPr/>
        <w:t>approach</w:t>
      </w:r>
      <w:r>
        <w:rPr>
          <w:spacing w:val="-4"/>
        </w:rPr>
        <w:t> </w:t>
      </w:r>
      <w:r>
        <w:rPr/>
        <w:t>requiring</w:t>
      </w:r>
      <w:r>
        <w:rPr>
          <w:spacing w:val="-3"/>
        </w:rPr>
        <w:t> </w:t>
      </w:r>
      <w:r>
        <w:rPr/>
        <w:t>that</w:t>
      </w:r>
      <w:r>
        <w:rPr>
          <w:spacing w:val="-4"/>
        </w:rPr>
        <w:t> </w:t>
      </w:r>
      <w:r>
        <w:rPr/>
        <w:t>an</w:t>
      </w:r>
      <w:r>
        <w:rPr>
          <w:spacing w:val="-4"/>
        </w:rPr>
        <w:t> </w:t>
      </w:r>
      <w:r>
        <w:rPr/>
        <w:t>applicant</w:t>
      </w:r>
      <w:r>
        <w:rPr>
          <w:spacing w:val="-4"/>
        </w:rPr>
        <w:t> </w:t>
      </w:r>
      <w:r>
        <w:rPr/>
        <w:t>for</w:t>
      </w:r>
      <w:r>
        <w:rPr>
          <w:spacing w:val="-3"/>
        </w:rPr>
        <w:t> </w:t>
      </w:r>
      <w:r>
        <w:rPr/>
        <w:t>a</w:t>
      </w:r>
      <w:r>
        <w:rPr>
          <w:spacing w:val="-4"/>
        </w:rPr>
        <w:t> </w:t>
      </w:r>
      <w:r>
        <w:rPr>
          <w:spacing w:val="-2"/>
        </w:rPr>
        <w:t>gender</w:t>
      </w:r>
    </w:p>
    <w:p>
      <w:pPr>
        <w:pStyle w:val="BodyText"/>
        <w:spacing w:line="232" w:lineRule="auto"/>
        <w:ind w:left="720" w:right="1547"/>
        <w:jc w:val="both"/>
      </w:pPr>
      <w:r>
        <w:rPr/>
        <w:t>recognition</w:t>
      </w:r>
      <w:r>
        <w:rPr>
          <w:spacing w:val="-10"/>
        </w:rPr>
        <w:t> </w:t>
      </w:r>
      <w:r>
        <w:rPr/>
        <w:t>certificate</w:t>
      </w:r>
      <w:r>
        <w:rPr>
          <w:spacing w:val="-9"/>
        </w:rPr>
        <w:t> </w:t>
      </w:r>
      <w:r>
        <w:rPr/>
        <w:t>be</w:t>
      </w:r>
      <w:r>
        <w:rPr>
          <w:spacing w:val="-9"/>
        </w:rPr>
        <w:t> </w:t>
      </w:r>
      <w:r>
        <w:rPr/>
        <w:t>found</w:t>
      </w:r>
      <w:r>
        <w:rPr>
          <w:spacing w:val="-10"/>
        </w:rPr>
        <w:t> </w:t>
      </w:r>
      <w:r>
        <w:rPr/>
        <w:t>to</w:t>
      </w:r>
      <w:r>
        <w:rPr>
          <w:spacing w:val="-10"/>
        </w:rPr>
        <w:t> </w:t>
      </w:r>
      <w:r>
        <w:rPr/>
        <w:t>have</w:t>
      </w:r>
      <w:r>
        <w:rPr>
          <w:spacing w:val="-9"/>
        </w:rPr>
        <w:t> </w:t>
      </w:r>
      <w:r>
        <w:rPr/>
        <w:t>gender</w:t>
      </w:r>
      <w:r>
        <w:rPr>
          <w:spacing w:val="-9"/>
        </w:rPr>
        <w:t> </w:t>
      </w:r>
      <w:r>
        <w:rPr/>
        <w:t>dysphoria,</w:t>
      </w:r>
      <w:r>
        <w:rPr>
          <w:vertAlign w:val="superscript"/>
        </w:rPr>
        <w:t>386</w:t>
      </w:r>
      <w:r>
        <w:rPr>
          <w:spacing w:val="-10"/>
          <w:vertAlign w:val="baseline"/>
        </w:rPr>
        <w:t> </w:t>
      </w:r>
      <w:r>
        <w:rPr>
          <w:vertAlign w:val="baseline"/>
        </w:rPr>
        <w:t>a</w:t>
      </w:r>
      <w:r>
        <w:rPr>
          <w:spacing w:val="-10"/>
          <w:vertAlign w:val="baseline"/>
        </w:rPr>
        <w:t> </w:t>
      </w:r>
      <w:r>
        <w:rPr>
          <w:vertAlign w:val="baseline"/>
        </w:rPr>
        <w:t>condition</w:t>
      </w:r>
      <w:r>
        <w:rPr>
          <w:spacing w:val="-10"/>
          <w:vertAlign w:val="baseline"/>
        </w:rPr>
        <w:t> </w:t>
      </w:r>
      <w:r>
        <w:rPr>
          <w:vertAlign w:val="baseline"/>
        </w:rPr>
        <w:t>the</w:t>
      </w:r>
      <w:r>
        <w:rPr>
          <w:spacing w:val="-9"/>
          <w:vertAlign w:val="baseline"/>
        </w:rPr>
        <w:t> </w:t>
      </w:r>
      <w:r>
        <w:rPr>
          <w:vertAlign w:val="baseline"/>
        </w:rPr>
        <w:t>Act labels a ‘disorder’.</w:t>
      </w:r>
      <w:r>
        <w:rPr>
          <w:vertAlign w:val="superscript"/>
        </w:rPr>
        <w:t>387</w:t>
      </w:r>
    </w:p>
    <w:p>
      <w:pPr>
        <w:pStyle w:val="BodyText"/>
        <w:spacing w:line="232" w:lineRule="auto" w:before="275"/>
        <w:ind w:left="720" w:right="1413"/>
      </w:pPr>
      <w:r>
        <w:rPr/>
        <w:t>The High Court in Belfast considered a Human Rights Act challenge to the Act</w:t>
      </w:r>
      <w:r>
        <w:rPr/>
        <w:t> and while it found that the requirement that an applicant provide evidence of a diagnosis</w:t>
      </w:r>
      <w:r>
        <w:rPr>
          <w:spacing w:val="-4"/>
        </w:rPr>
        <w:t> </w:t>
      </w:r>
      <w:r>
        <w:rPr/>
        <w:t>was</w:t>
      </w:r>
      <w:r>
        <w:rPr>
          <w:spacing w:val="-4"/>
        </w:rPr>
        <w:t> </w:t>
      </w:r>
      <w:r>
        <w:rPr/>
        <w:t>lawful,</w:t>
      </w:r>
      <w:r>
        <w:rPr>
          <w:spacing w:val="-3"/>
        </w:rPr>
        <w:t> </w:t>
      </w:r>
      <w:r>
        <w:rPr/>
        <w:t>there</w:t>
      </w:r>
      <w:r>
        <w:rPr>
          <w:spacing w:val="-3"/>
        </w:rPr>
        <w:t> </w:t>
      </w:r>
      <w:r>
        <w:rPr/>
        <w:t>was</w:t>
      </w:r>
      <w:r>
        <w:rPr>
          <w:spacing w:val="-4"/>
        </w:rPr>
        <w:t> </w:t>
      </w:r>
      <w:r>
        <w:rPr/>
        <w:t>no</w:t>
      </w:r>
      <w:r>
        <w:rPr>
          <w:spacing w:val="-4"/>
        </w:rPr>
        <w:t> </w:t>
      </w:r>
      <w:r>
        <w:rPr/>
        <w:t>necessity</w:t>
      </w:r>
      <w:r>
        <w:rPr>
          <w:spacing w:val="-3"/>
        </w:rPr>
        <w:t> </w:t>
      </w:r>
      <w:r>
        <w:rPr/>
        <w:t>for</w:t>
      </w:r>
      <w:r>
        <w:rPr>
          <w:spacing w:val="-3"/>
        </w:rPr>
        <w:t> </w:t>
      </w:r>
      <w:r>
        <w:rPr/>
        <w:t>this</w:t>
      </w:r>
      <w:r>
        <w:rPr>
          <w:spacing w:val="-4"/>
        </w:rPr>
        <w:t> </w:t>
      </w:r>
      <w:r>
        <w:rPr/>
        <w:t>to</w:t>
      </w:r>
      <w:r>
        <w:rPr>
          <w:spacing w:val="-4"/>
        </w:rPr>
        <w:t> </w:t>
      </w:r>
      <w:r>
        <w:rPr/>
        <w:t>be</w:t>
      </w:r>
      <w:r>
        <w:rPr>
          <w:spacing w:val="-3"/>
        </w:rPr>
        <w:t> </w:t>
      </w:r>
      <w:r>
        <w:rPr/>
        <w:t>described</w:t>
      </w:r>
      <w:r>
        <w:rPr>
          <w:spacing w:val="-4"/>
        </w:rPr>
        <w:t> </w:t>
      </w:r>
      <w:r>
        <w:rPr/>
        <w:t>in</w:t>
      </w:r>
      <w:r>
        <w:rPr>
          <w:spacing w:val="-4"/>
        </w:rPr>
        <w:t> </w:t>
      </w:r>
      <w:r>
        <w:rPr/>
        <w:t>the</w:t>
      </w:r>
      <w:r>
        <w:rPr>
          <w:spacing w:val="-3"/>
        </w:rPr>
        <w:t> </w:t>
      </w:r>
      <w:r>
        <w:rPr/>
        <w:t>Act</w:t>
      </w:r>
      <w:r>
        <w:rPr>
          <w:spacing w:val="-3"/>
        </w:rPr>
        <w:t> </w:t>
      </w:r>
      <w:r>
        <w:rPr/>
        <w:t>as a ‘disorder’ and this breached Article 8 ECHR.</w:t>
      </w:r>
      <w:r>
        <w:rPr>
          <w:vertAlign w:val="superscript"/>
        </w:rPr>
        <w:t>388</w:t>
      </w:r>
      <w:r>
        <w:rPr>
          <w:vertAlign w:val="baseline"/>
        </w:rPr>
        <w:t> The Court subsequently issued</w:t>
      </w:r>
    </w:p>
    <w:p>
      <w:pPr>
        <w:pStyle w:val="BodyText"/>
        <w:spacing w:line="232" w:lineRule="auto"/>
        <w:ind w:left="720" w:right="1404"/>
      </w:pPr>
      <w:r>
        <w:rPr/>
        <w:t>a declaration of incompatibility in respect of sections 2(1)a and 25(1) of the Act.</w:t>
      </w:r>
      <w:r>
        <w:rPr>
          <w:vertAlign w:val="superscript"/>
        </w:rPr>
        <w:t>389</w:t>
      </w:r>
      <w:r>
        <w:rPr>
          <w:spacing w:val="-7"/>
          <w:vertAlign w:val="baseline"/>
        </w:rPr>
        <w:t> </w:t>
      </w:r>
      <w:r>
        <w:rPr>
          <w:vertAlign w:val="baseline"/>
        </w:rPr>
        <w:t>The</w:t>
      </w:r>
      <w:r>
        <w:rPr>
          <w:spacing w:val="-6"/>
          <w:vertAlign w:val="baseline"/>
        </w:rPr>
        <w:t> </w:t>
      </w:r>
      <w:r>
        <w:rPr>
          <w:vertAlign w:val="baseline"/>
        </w:rPr>
        <w:t>Government</w:t>
      </w:r>
      <w:r>
        <w:rPr>
          <w:spacing w:val="-6"/>
          <w:vertAlign w:val="baseline"/>
        </w:rPr>
        <w:t> </w:t>
      </w:r>
      <w:r>
        <w:rPr>
          <w:vertAlign w:val="baseline"/>
        </w:rPr>
        <w:t>has</w:t>
      </w:r>
      <w:r>
        <w:rPr>
          <w:spacing w:val="-7"/>
          <w:vertAlign w:val="baseline"/>
        </w:rPr>
        <w:t> </w:t>
      </w:r>
      <w:r>
        <w:rPr>
          <w:vertAlign w:val="baseline"/>
        </w:rPr>
        <w:t>said</w:t>
      </w:r>
      <w:r>
        <w:rPr>
          <w:spacing w:val="-7"/>
          <w:vertAlign w:val="baseline"/>
        </w:rPr>
        <w:t> </w:t>
      </w:r>
      <w:r>
        <w:rPr>
          <w:vertAlign w:val="baseline"/>
        </w:rPr>
        <w:t>it</w:t>
      </w:r>
      <w:r>
        <w:rPr>
          <w:spacing w:val="-6"/>
          <w:vertAlign w:val="baseline"/>
        </w:rPr>
        <w:t> </w:t>
      </w:r>
      <w:r>
        <w:rPr>
          <w:vertAlign w:val="baseline"/>
        </w:rPr>
        <w:t>would</w:t>
      </w:r>
      <w:r>
        <w:rPr>
          <w:spacing w:val="-7"/>
          <w:vertAlign w:val="baseline"/>
        </w:rPr>
        <w:t> </w:t>
      </w:r>
      <w:r>
        <w:rPr>
          <w:vertAlign w:val="baseline"/>
        </w:rPr>
        <w:t>remove</w:t>
      </w:r>
      <w:r>
        <w:rPr>
          <w:spacing w:val="-6"/>
          <w:vertAlign w:val="baseline"/>
        </w:rPr>
        <w:t> </w:t>
      </w:r>
      <w:r>
        <w:rPr>
          <w:vertAlign w:val="baseline"/>
        </w:rPr>
        <w:t>the</w:t>
      </w:r>
      <w:r>
        <w:rPr>
          <w:spacing w:val="-6"/>
          <w:vertAlign w:val="baseline"/>
        </w:rPr>
        <w:t> </w:t>
      </w:r>
      <w:r>
        <w:rPr>
          <w:vertAlign w:val="baseline"/>
        </w:rPr>
        <w:t>language</w:t>
      </w:r>
      <w:r>
        <w:rPr>
          <w:spacing w:val="-6"/>
          <w:vertAlign w:val="baseline"/>
        </w:rPr>
        <w:t> </w:t>
      </w:r>
      <w:r>
        <w:rPr>
          <w:vertAlign w:val="baseline"/>
        </w:rPr>
        <w:t>of</w:t>
      </w:r>
      <w:r>
        <w:rPr>
          <w:spacing w:val="-7"/>
          <w:vertAlign w:val="baseline"/>
        </w:rPr>
        <w:t> </w:t>
      </w:r>
      <w:r>
        <w:rPr>
          <w:vertAlign w:val="baseline"/>
        </w:rPr>
        <w:t>‘disorder’</w:t>
      </w:r>
      <w:r>
        <w:rPr>
          <w:spacing w:val="-6"/>
          <w:vertAlign w:val="baseline"/>
        </w:rPr>
        <w:t> </w:t>
      </w:r>
      <w:r>
        <w:rPr>
          <w:vertAlign w:val="baseline"/>
        </w:rPr>
        <w:t>via</w:t>
      </w:r>
      <w:r>
        <w:rPr>
          <w:spacing w:val="-7"/>
          <w:vertAlign w:val="baseline"/>
        </w:rPr>
        <w:t> </w:t>
      </w:r>
      <w:r>
        <w:rPr>
          <w:vertAlign w:val="baseline"/>
        </w:rPr>
        <w:t>a remedial order.</w:t>
      </w:r>
      <w:r>
        <w:rPr>
          <w:vertAlign w:val="superscript"/>
        </w:rPr>
        <w:t>390</w:t>
      </w:r>
    </w:p>
    <w:p>
      <w:pPr>
        <w:pStyle w:val="BodyText"/>
        <w:spacing w:line="232" w:lineRule="auto" w:before="273"/>
        <w:ind w:left="720" w:right="1203"/>
      </w:pPr>
      <w:r>
        <w:rPr/>
        <w:t>An effort by the Scottish Parliament to adopt legislation similar to Ireland’s</w:t>
      </w:r>
      <w:r>
        <w:rPr/>
        <w:t> position</w:t>
      </w:r>
      <w:r>
        <w:rPr>
          <w:spacing w:val="-8"/>
        </w:rPr>
        <w:t> </w:t>
      </w:r>
      <w:r>
        <w:rPr/>
        <w:t>was</w:t>
      </w:r>
      <w:r>
        <w:rPr>
          <w:spacing w:val="-8"/>
        </w:rPr>
        <w:t> </w:t>
      </w:r>
      <w:r>
        <w:rPr/>
        <w:t>vetoed</w:t>
      </w:r>
      <w:r>
        <w:rPr>
          <w:spacing w:val="-8"/>
        </w:rPr>
        <w:t> </w:t>
      </w:r>
      <w:r>
        <w:rPr/>
        <w:t>by</w:t>
      </w:r>
      <w:r>
        <w:rPr>
          <w:spacing w:val="-7"/>
        </w:rPr>
        <w:t> </w:t>
      </w:r>
      <w:r>
        <w:rPr/>
        <w:t>the</w:t>
      </w:r>
      <w:r>
        <w:rPr>
          <w:spacing w:val="-7"/>
        </w:rPr>
        <w:t> </w:t>
      </w:r>
      <w:r>
        <w:rPr/>
        <w:t>UK</w:t>
      </w:r>
      <w:r>
        <w:rPr>
          <w:spacing w:val="-7"/>
        </w:rPr>
        <w:t> </w:t>
      </w:r>
      <w:r>
        <w:rPr/>
        <w:t>Government;</w:t>
      </w:r>
      <w:r>
        <w:rPr>
          <w:vertAlign w:val="superscript"/>
        </w:rPr>
        <w:t>391</w:t>
      </w:r>
      <w:r>
        <w:rPr>
          <w:spacing w:val="-8"/>
          <w:vertAlign w:val="baseline"/>
        </w:rPr>
        <w:t> </w:t>
      </w:r>
      <w:r>
        <w:rPr>
          <w:vertAlign w:val="baseline"/>
        </w:rPr>
        <w:t>the</w:t>
      </w:r>
      <w:r>
        <w:rPr>
          <w:spacing w:val="-7"/>
          <w:vertAlign w:val="baseline"/>
        </w:rPr>
        <w:t> </w:t>
      </w:r>
      <w:r>
        <w:rPr>
          <w:vertAlign w:val="baseline"/>
        </w:rPr>
        <w:t>Court</w:t>
      </w:r>
      <w:r>
        <w:rPr>
          <w:spacing w:val="-7"/>
          <w:vertAlign w:val="baseline"/>
        </w:rPr>
        <w:t> </w:t>
      </w:r>
      <w:r>
        <w:rPr>
          <w:vertAlign w:val="baseline"/>
        </w:rPr>
        <w:t>of</w:t>
      </w:r>
      <w:r>
        <w:rPr>
          <w:spacing w:val="-8"/>
          <w:vertAlign w:val="baseline"/>
        </w:rPr>
        <w:t> </w:t>
      </w:r>
      <w:r>
        <w:rPr>
          <w:vertAlign w:val="baseline"/>
        </w:rPr>
        <w:t>Session</w:t>
      </w:r>
      <w:r>
        <w:rPr>
          <w:spacing w:val="-8"/>
          <w:vertAlign w:val="baseline"/>
        </w:rPr>
        <w:t> </w:t>
      </w:r>
      <w:r>
        <w:rPr>
          <w:vertAlign w:val="baseline"/>
        </w:rPr>
        <w:t>rejected</w:t>
      </w:r>
      <w:r>
        <w:rPr>
          <w:spacing w:val="-8"/>
          <w:vertAlign w:val="baseline"/>
        </w:rPr>
        <w:t> </w:t>
      </w:r>
      <w:r>
        <w:rPr>
          <w:vertAlign w:val="baseline"/>
        </w:rPr>
        <w:t>a</w:t>
      </w:r>
      <w:r>
        <w:rPr>
          <w:spacing w:val="-8"/>
          <w:vertAlign w:val="baseline"/>
        </w:rPr>
        <w:t> </w:t>
      </w:r>
      <w:r>
        <w:rPr>
          <w:vertAlign w:val="baseline"/>
        </w:rPr>
        <w:t>legal challenge to the veto.</w:t>
      </w:r>
      <w:r>
        <w:rPr>
          <w:vertAlign w:val="superscript"/>
        </w:rPr>
        <w:t>392</w:t>
      </w:r>
    </w:p>
    <w:p>
      <w:pPr>
        <w:pStyle w:val="BodyText"/>
        <w:spacing w:line="232" w:lineRule="auto" w:before="279"/>
        <w:ind w:left="720" w:right="1087"/>
      </w:pPr>
      <w:r>
        <w:rPr/>
        <w:t>The position in European Union law is unclear. The Gender Directive refers to ‘gender</w:t>
      </w:r>
      <w:r>
        <w:rPr>
          <w:spacing w:val="-6"/>
        </w:rPr>
        <w:t> </w:t>
      </w:r>
      <w:r>
        <w:rPr/>
        <w:t>reassignment’</w:t>
      </w:r>
      <w:r>
        <w:rPr>
          <w:spacing w:val="-6"/>
        </w:rPr>
        <w:t> </w:t>
      </w:r>
      <w:r>
        <w:rPr/>
        <w:t>but</w:t>
      </w:r>
      <w:r>
        <w:rPr>
          <w:spacing w:val="-6"/>
        </w:rPr>
        <w:t> </w:t>
      </w:r>
      <w:r>
        <w:rPr/>
        <w:t>does</w:t>
      </w:r>
      <w:r>
        <w:rPr>
          <w:spacing w:val="-7"/>
        </w:rPr>
        <w:t> </w:t>
      </w:r>
      <w:r>
        <w:rPr/>
        <w:t>not</w:t>
      </w:r>
      <w:r>
        <w:rPr>
          <w:spacing w:val="-6"/>
        </w:rPr>
        <w:t> </w:t>
      </w:r>
      <w:r>
        <w:rPr/>
        <w:t>define</w:t>
      </w:r>
      <w:r>
        <w:rPr>
          <w:spacing w:val="-6"/>
        </w:rPr>
        <w:t> </w:t>
      </w:r>
      <w:r>
        <w:rPr/>
        <w:t>this.</w:t>
      </w:r>
      <w:r>
        <w:rPr>
          <w:vertAlign w:val="superscript"/>
        </w:rPr>
        <w:t>393</w:t>
      </w:r>
      <w:r>
        <w:rPr>
          <w:spacing w:val="-7"/>
          <w:vertAlign w:val="baseline"/>
        </w:rPr>
        <w:t> </w:t>
      </w:r>
      <w:r>
        <w:rPr>
          <w:vertAlign w:val="baseline"/>
        </w:rPr>
        <w:t>Some</w:t>
      </w:r>
      <w:r>
        <w:rPr>
          <w:spacing w:val="-6"/>
          <w:vertAlign w:val="baseline"/>
        </w:rPr>
        <w:t> </w:t>
      </w:r>
      <w:r>
        <w:rPr>
          <w:vertAlign w:val="baseline"/>
        </w:rPr>
        <w:t>EU</w:t>
      </w:r>
      <w:r>
        <w:rPr>
          <w:spacing w:val="-6"/>
          <w:vertAlign w:val="baseline"/>
        </w:rPr>
        <w:t> </w:t>
      </w:r>
      <w:r>
        <w:rPr>
          <w:vertAlign w:val="baseline"/>
        </w:rPr>
        <w:t>measures</w:t>
      </w:r>
      <w:r>
        <w:rPr>
          <w:spacing w:val="-7"/>
          <w:vertAlign w:val="baseline"/>
        </w:rPr>
        <w:t> </w:t>
      </w:r>
      <w:r>
        <w:rPr>
          <w:vertAlign w:val="baseline"/>
        </w:rPr>
        <w:t>in</w:t>
      </w:r>
      <w:r>
        <w:rPr>
          <w:spacing w:val="-7"/>
          <w:vertAlign w:val="baseline"/>
        </w:rPr>
        <w:t> </w:t>
      </w:r>
      <w:r>
        <w:rPr>
          <w:vertAlign w:val="baseline"/>
        </w:rPr>
        <w:t>the</w:t>
      </w:r>
      <w:r>
        <w:rPr>
          <w:spacing w:val="-6"/>
          <w:vertAlign w:val="baseline"/>
        </w:rPr>
        <w:t> </w:t>
      </w:r>
      <w:r>
        <w:rPr>
          <w:vertAlign w:val="baseline"/>
        </w:rPr>
        <w:t>area</w:t>
      </w:r>
      <w:r>
        <w:rPr>
          <w:spacing w:val="-7"/>
          <w:vertAlign w:val="baseline"/>
        </w:rPr>
        <w:t> </w:t>
      </w:r>
      <w:r>
        <w:rPr>
          <w:vertAlign w:val="baseline"/>
        </w:rPr>
        <w:t>of asylum and immigration refer to ‘gender identity’, again without defining it.</w:t>
      </w:r>
      <w:r>
        <w:rPr>
          <w:vertAlign w:val="superscript"/>
        </w:rPr>
        <w:t>394</w:t>
      </w:r>
    </w:p>
    <w:p>
      <w:pPr>
        <w:pStyle w:val="BodyText"/>
        <w:spacing w:line="232" w:lineRule="auto" w:before="279"/>
        <w:ind w:left="720" w:right="1087"/>
      </w:pPr>
      <w:r>
        <w:rPr/>
        <w:t>The</w:t>
      </w:r>
      <w:r>
        <w:rPr>
          <w:spacing w:val="-6"/>
        </w:rPr>
        <w:t> </w:t>
      </w:r>
      <w:r>
        <w:rPr/>
        <w:t>initial</w:t>
      </w:r>
      <w:r>
        <w:rPr>
          <w:spacing w:val="-7"/>
        </w:rPr>
        <w:t> </w:t>
      </w:r>
      <w:r>
        <w:rPr/>
        <w:t>divergence</w:t>
      </w:r>
      <w:r>
        <w:rPr>
          <w:spacing w:val="-6"/>
        </w:rPr>
        <w:t> </w:t>
      </w:r>
      <w:r>
        <w:rPr/>
        <w:t>report</w:t>
      </w:r>
      <w:r>
        <w:rPr>
          <w:spacing w:val="-6"/>
        </w:rPr>
        <w:t> </w:t>
      </w:r>
      <w:r>
        <w:rPr/>
        <w:t>recommended</w:t>
      </w:r>
      <w:r>
        <w:rPr>
          <w:spacing w:val="-7"/>
        </w:rPr>
        <w:t> </w:t>
      </w:r>
      <w:r>
        <w:rPr/>
        <w:t>that</w:t>
      </w:r>
      <w:r>
        <w:rPr>
          <w:spacing w:val="-6"/>
        </w:rPr>
        <w:t> </w:t>
      </w:r>
      <w:r>
        <w:rPr/>
        <w:t>this</w:t>
      </w:r>
      <w:r>
        <w:rPr>
          <w:spacing w:val="-7"/>
        </w:rPr>
        <w:t> </w:t>
      </w:r>
      <w:r>
        <w:rPr/>
        <w:t>divergence</w:t>
      </w:r>
      <w:r>
        <w:rPr>
          <w:spacing w:val="-6"/>
        </w:rPr>
        <w:t> </w:t>
      </w:r>
      <w:r>
        <w:rPr/>
        <w:t>in</w:t>
      </w:r>
      <w:r>
        <w:rPr>
          <w:spacing w:val="-7"/>
        </w:rPr>
        <w:t> </w:t>
      </w:r>
      <w:r>
        <w:rPr/>
        <w:t>terms</w:t>
      </w:r>
      <w:r>
        <w:rPr>
          <w:spacing w:val="-7"/>
        </w:rPr>
        <w:t> </w:t>
      </w:r>
      <w:r>
        <w:rPr/>
        <w:t>of</w:t>
      </w:r>
      <w:r>
        <w:rPr>
          <w:spacing w:val="-7"/>
        </w:rPr>
        <w:t> </w:t>
      </w:r>
      <w:r>
        <w:rPr/>
        <w:t>gender recognition receive urgent consideration.</w:t>
      </w:r>
      <w:r>
        <w:rPr>
          <w:vertAlign w:val="superscript"/>
        </w:rPr>
        <w:t>395</w:t>
      </w:r>
      <w:r>
        <w:rPr>
          <w:vertAlign w:val="baseline"/>
        </w:rPr>
        <w:t> We echo that recommendation. The matter is particularly urgent given the reality of people being able to cross the border and live cross-border lives.</w:t>
      </w:r>
    </w:p>
    <w:p>
      <w:pPr>
        <w:pStyle w:val="BodyText"/>
        <w:rPr>
          <w:sz w:val="20"/>
        </w:rPr>
      </w:pPr>
    </w:p>
    <w:p>
      <w:pPr>
        <w:pStyle w:val="BodyText"/>
        <w:rPr>
          <w:sz w:val="20"/>
        </w:rPr>
      </w:pPr>
    </w:p>
    <w:p>
      <w:pPr>
        <w:pStyle w:val="BodyText"/>
        <w:rPr>
          <w:sz w:val="20"/>
        </w:rPr>
      </w:pPr>
    </w:p>
    <w:p>
      <w:pPr>
        <w:pStyle w:val="BodyText"/>
        <w:spacing w:before="144"/>
        <w:rPr>
          <w:sz w:val="20"/>
        </w:rPr>
      </w:pPr>
      <w:r>
        <w:rPr/>
        <mc:AlternateContent>
          <mc:Choice Requires="wps">
            <w:drawing>
              <wp:anchor distT="0" distB="0" distL="0" distR="0" allowOverlap="1" layoutInCell="1" locked="0" behindDoc="1" simplePos="0" relativeHeight="487704576">
                <wp:simplePos x="0" y="0"/>
                <wp:positionH relativeFrom="page">
                  <wp:posOffset>647999</wp:posOffset>
                </wp:positionH>
                <wp:positionV relativeFrom="paragraph">
                  <wp:posOffset>262116</wp:posOffset>
                </wp:positionV>
                <wp:extent cx="6012180" cy="1270"/>
                <wp:effectExtent l="0" t="0" r="0" b="0"/>
                <wp:wrapTopAndBottom/>
                <wp:docPr id="619" name="Graphic 619"/>
                <wp:cNvGraphicFramePr>
                  <a:graphicFrameLocks/>
                </wp:cNvGraphicFramePr>
                <a:graphic>
                  <a:graphicData uri="http://schemas.microsoft.com/office/word/2010/wordprocessingShape">
                    <wps:wsp>
                      <wps:cNvPr id="619" name="Graphic 61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0.639072pt;width:473.4pt;height:.1pt;mso-position-horizontal-relative:page;mso-position-vertical-relative:paragraph;z-index:-15611904;mso-wrap-distance-left:0;mso-wrap-distance-right:0" id="docshape500" coordorigin="1020,413" coordsize="9468,0" path="m1020,413l10488,413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0" w:hanging="567"/>
        <w:jc w:val="left"/>
        <w:rPr>
          <w:sz w:val="18"/>
        </w:rPr>
      </w:pPr>
      <w:r>
        <w:rPr>
          <w:sz w:val="18"/>
        </w:rPr>
        <w:t>Gender</w:t>
      </w:r>
      <w:r>
        <w:rPr>
          <w:spacing w:val="-6"/>
          <w:sz w:val="18"/>
        </w:rPr>
        <w:t> </w:t>
      </w:r>
      <w:r>
        <w:rPr>
          <w:sz w:val="18"/>
        </w:rPr>
        <w:t>Recognition</w:t>
      </w:r>
      <w:r>
        <w:rPr>
          <w:spacing w:val="-7"/>
          <w:sz w:val="18"/>
        </w:rPr>
        <w:t> </w:t>
      </w:r>
      <w:r>
        <w:rPr>
          <w:sz w:val="18"/>
        </w:rPr>
        <w:t>Act</w:t>
      </w:r>
      <w:r>
        <w:rPr>
          <w:spacing w:val="-6"/>
          <w:sz w:val="18"/>
        </w:rPr>
        <w:t> </w:t>
      </w:r>
      <w:r>
        <w:rPr>
          <w:sz w:val="18"/>
        </w:rPr>
        <w:t>2004,</w:t>
      </w:r>
      <w:r>
        <w:rPr>
          <w:spacing w:val="-7"/>
          <w:sz w:val="18"/>
        </w:rPr>
        <w:t> </w:t>
      </w:r>
      <w:r>
        <w:rPr>
          <w:color w:val="1D71B8"/>
          <w:sz w:val="18"/>
          <w:u w:val="single" w:color="1D71B8"/>
        </w:rPr>
        <w:t>section</w:t>
      </w:r>
      <w:r>
        <w:rPr>
          <w:color w:val="1D71B8"/>
          <w:spacing w:val="-7"/>
          <w:sz w:val="18"/>
          <w:u w:val="single" w:color="1D71B8"/>
        </w:rPr>
        <w:t> </w:t>
      </w:r>
      <w:r>
        <w:rPr>
          <w:color w:val="1D71B8"/>
          <w:spacing w:val="-5"/>
          <w:sz w:val="18"/>
          <w:u w:val="single" w:color="1D71B8"/>
        </w:rPr>
        <w:t>2</w:t>
      </w:r>
      <w:r>
        <w:rPr>
          <w:spacing w:val="-5"/>
          <w:sz w:val="18"/>
          <w:u w:val="none"/>
        </w:rPr>
        <w:t>.</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25</w:t>
      </w:r>
      <w:r>
        <w:rPr>
          <w:spacing w:val="-5"/>
          <w:sz w:val="18"/>
          <w:u w:val="none"/>
        </w:rPr>
        <w:t>.</w:t>
      </w:r>
    </w:p>
    <w:p>
      <w:pPr>
        <w:pStyle w:val="ListParagraph"/>
        <w:numPr>
          <w:ilvl w:val="0"/>
          <w:numId w:val="18"/>
        </w:numPr>
        <w:tabs>
          <w:tab w:pos="1287" w:val="left" w:leader="none"/>
        </w:tabs>
        <w:spacing w:line="240" w:lineRule="auto" w:before="0" w:after="0"/>
        <w:ind w:left="1287" w:right="0" w:hanging="567"/>
        <w:jc w:val="left"/>
        <w:rPr>
          <w:sz w:val="18"/>
        </w:rPr>
      </w:pPr>
      <w:hyperlink r:id="rId100">
        <w:r>
          <w:rPr>
            <w:color w:val="1D71B8"/>
            <w:sz w:val="18"/>
            <w:u w:val="single" w:color="1D71B8"/>
          </w:rPr>
          <w:t>JR111</w:t>
        </w:r>
        <w:r>
          <w:rPr>
            <w:color w:val="1D71B8"/>
            <w:spacing w:val="-3"/>
            <w:sz w:val="18"/>
            <w:u w:val="single" w:color="1D71B8"/>
          </w:rPr>
          <w:t> </w:t>
        </w:r>
        <w:r>
          <w:rPr>
            <w:color w:val="1D71B8"/>
            <w:sz w:val="18"/>
            <w:u w:val="single" w:color="1D71B8"/>
          </w:rPr>
          <w:t>Application</w:t>
        </w:r>
        <w:r>
          <w:rPr>
            <w:color w:val="1D71B8"/>
            <w:spacing w:val="-3"/>
            <w:sz w:val="18"/>
            <w:u w:val="single" w:color="1D71B8"/>
          </w:rPr>
          <w:t> </w:t>
        </w:r>
        <w:r>
          <w:rPr>
            <w:color w:val="1D71B8"/>
            <w:sz w:val="18"/>
            <w:u w:val="single" w:color="1D71B8"/>
          </w:rPr>
          <w:t>for</w:t>
        </w:r>
        <w:r>
          <w:rPr>
            <w:color w:val="1D71B8"/>
            <w:spacing w:val="-2"/>
            <w:sz w:val="18"/>
            <w:u w:val="single" w:color="1D71B8"/>
          </w:rPr>
          <w:t> </w:t>
        </w:r>
        <w:r>
          <w:rPr>
            <w:color w:val="1D71B8"/>
            <w:sz w:val="18"/>
            <w:u w:val="single" w:color="1D71B8"/>
          </w:rPr>
          <w:t>Judicial</w:t>
        </w:r>
        <w:r>
          <w:rPr>
            <w:color w:val="1D71B8"/>
            <w:spacing w:val="-4"/>
            <w:sz w:val="18"/>
            <w:u w:val="single" w:color="1D71B8"/>
          </w:rPr>
          <w:t> </w:t>
        </w:r>
        <w:r>
          <w:rPr>
            <w:color w:val="1D71B8"/>
            <w:sz w:val="18"/>
            <w:u w:val="single" w:color="1D71B8"/>
          </w:rPr>
          <w:t>Review</w:t>
        </w:r>
      </w:hyperlink>
      <w:r>
        <w:rPr>
          <w:color w:val="1D71B8"/>
          <w:spacing w:val="-4"/>
          <w:sz w:val="18"/>
          <w:u w:val="none"/>
        </w:rPr>
        <w:t> </w:t>
      </w:r>
      <w:r>
        <w:rPr>
          <w:sz w:val="18"/>
          <w:u w:val="none"/>
        </w:rPr>
        <w:t>[2021]</w:t>
      </w:r>
      <w:r>
        <w:rPr>
          <w:spacing w:val="-2"/>
          <w:sz w:val="18"/>
          <w:u w:val="none"/>
        </w:rPr>
        <w:t> </w:t>
      </w:r>
      <w:r>
        <w:rPr>
          <w:sz w:val="18"/>
          <w:u w:val="none"/>
        </w:rPr>
        <w:t>NIQB</w:t>
      </w:r>
      <w:r>
        <w:rPr>
          <w:spacing w:val="-2"/>
          <w:sz w:val="18"/>
          <w:u w:val="none"/>
        </w:rPr>
        <w:t> </w:t>
      </w:r>
      <w:r>
        <w:rPr>
          <w:sz w:val="18"/>
          <w:u w:val="none"/>
        </w:rPr>
        <w:t>48,</w:t>
      </w:r>
      <w:r>
        <w:rPr>
          <w:spacing w:val="-3"/>
          <w:sz w:val="18"/>
          <w:u w:val="none"/>
        </w:rPr>
        <w:t> </w:t>
      </w:r>
      <w:r>
        <w:rPr>
          <w:sz w:val="18"/>
          <w:u w:val="none"/>
        </w:rPr>
        <w:t>(13</w:t>
      </w:r>
      <w:r>
        <w:rPr>
          <w:spacing w:val="-2"/>
          <w:sz w:val="18"/>
          <w:u w:val="none"/>
        </w:rPr>
        <w:t> </w:t>
      </w:r>
      <w:r>
        <w:rPr>
          <w:sz w:val="18"/>
          <w:u w:val="none"/>
        </w:rPr>
        <w:t>May</w:t>
      </w:r>
      <w:r>
        <w:rPr>
          <w:spacing w:val="-2"/>
          <w:sz w:val="18"/>
          <w:u w:val="none"/>
        </w:rPr>
        <w:t> 2021)</w:t>
      </w:r>
    </w:p>
    <w:p>
      <w:pPr>
        <w:pStyle w:val="ListParagraph"/>
        <w:numPr>
          <w:ilvl w:val="0"/>
          <w:numId w:val="18"/>
        </w:numPr>
        <w:tabs>
          <w:tab w:pos="1287" w:val="left" w:leader="none"/>
        </w:tabs>
        <w:spacing w:line="240" w:lineRule="auto" w:before="0" w:after="0"/>
        <w:ind w:left="1287" w:right="0" w:hanging="567"/>
        <w:jc w:val="left"/>
        <w:rPr>
          <w:sz w:val="18"/>
        </w:rPr>
      </w:pPr>
      <w:hyperlink r:id="rId101">
        <w:r>
          <w:rPr>
            <w:color w:val="1D71B8"/>
            <w:sz w:val="18"/>
            <w:u w:val="single" w:color="1D71B8"/>
          </w:rPr>
          <w:t>JR111</w:t>
        </w:r>
        <w:r>
          <w:rPr>
            <w:color w:val="1D71B8"/>
            <w:spacing w:val="-3"/>
            <w:sz w:val="18"/>
            <w:u w:val="single" w:color="1D71B8"/>
          </w:rPr>
          <w:t> </w:t>
        </w:r>
        <w:r>
          <w:rPr>
            <w:color w:val="1D71B8"/>
            <w:sz w:val="18"/>
            <w:u w:val="single" w:color="1D71B8"/>
          </w:rPr>
          <w:t>Application</w:t>
        </w:r>
        <w:r>
          <w:rPr>
            <w:color w:val="1D71B8"/>
            <w:spacing w:val="-3"/>
            <w:sz w:val="18"/>
            <w:u w:val="single" w:color="1D71B8"/>
          </w:rPr>
          <w:t> </w:t>
        </w:r>
        <w:r>
          <w:rPr>
            <w:color w:val="1D71B8"/>
            <w:sz w:val="18"/>
            <w:u w:val="single" w:color="1D71B8"/>
          </w:rPr>
          <w:t>for</w:t>
        </w:r>
        <w:r>
          <w:rPr>
            <w:color w:val="1D71B8"/>
            <w:spacing w:val="-2"/>
            <w:sz w:val="18"/>
            <w:u w:val="single" w:color="1D71B8"/>
          </w:rPr>
          <w:t> </w:t>
        </w:r>
        <w:r>
          <w:rPr>
            <w:color w:val="1D71B8"/>
            <w:sz w:val="18"/>
            <w:u w:val="single" w:color="1D71B8"/>
          </w:rPr>
          <w:t>Judicial</w:t>
        </w:r>
        <w:r>
          <w:rPr>
            <w:color w:val="1D71B8"/>
            <w:spacing w:val="-4"/>
            <w:sz w:val="18"/>
            <w:u w:val="single" w:color="1D71B8"/>
          </w:rPr>
          <w:t> </w:t>
        </w:r>
        <w:r>
          <w:rPr>
            <w:color w:val="1D71B8"/>
            <w:sz w:val="18"/>
            <w:u w:val="single" w:color="1D71B8"/>
          </w:rPr>
          <w:t>Review</w:t>
        </w:r>
      </w:hyperlink>
      <w:r>
        <w:rPr>
          <w:color w:val="1D71B8"/>
          <w:spacing w:val="-4"/>
          <w:sz w:val="18"/>
          <w:u w:val="none"/>
        </w:rPr>
        <w:t> </w:t>
      </w:r>
      <w:r>
        <w:rPr>
          <w:sz w:val="18"/>
          <w:u w:val="none"/>
        </w:rPr>
        <w:t>[2021]</w:t>
      </w:r>
      <w:r>
        <w:rPr>
          <w:spacing w:val="-2"/>
          <w:sz w:val="18"/>
          <w:u w:val="none"/>
        </w:rPr>
        <w:t> </w:t>
      </w:r>
      <w:r>
        <w:rPr>
          <w:sz w:val="18"/>
          <w:u w:val="none"/>
        </w:rPr>
        <w:t>NIQB</w:t>
      </w:r>
      <w:r>
        <w:rPr>
          <w:spacing w:val="-2"/>
          <w:sz w:val="18"/>
          <w:u w:val="none"/>
        </w:rPr>
        <w:t> </w:t>
      </w:r>
      <w:r>
        <w:rPr>
          <w:sz w:val="18"/>
          <w:u w:val="none"/>
        </w:rPr>
        <w:t>130,</w:t>
      </w:r>
      <w:r>
        <w:rPr>
          <w:spacing w:val="-3"/>
          <w:sz w:val="18"/>
          <w:u w:val="none"/>
        </w:rPr>
        <w:t> </w:t>
      </w:r>
      <w:r>
        <w:rPr>
          <w:sz w:val="18"/>
          <w:u w:val="none"/>
        </w:rPr>
        <w:t>(21</w:t>
      </w:r>
      <w:r>
        <w:rPr>
          <w:spacing w:val="-2"/>
          <w:sz w:val="18"/>
          <w:u w:val="none"/>
        </w:rPr>
        <w:t> </w:t>
      </w:r>
      <w:r>
        <w:rPr>
          <w:sz w:val="18"/>
          <w:u w:val="none"/>
        </w:rPr>
        <w:t>May</w:t>
      </w:r>
      <w:r>
        <w:rPr>
          <w:spacing w:val="-2"/>
          <w:sz w:val="18"/>
          <w:u w:val="none"/>
        </w:rPr>
        <w:t> 2021).</w:t>
      </w:r>
    </w:p>
    <w:p>
      <w:pPr>
        <w:pStyle w:val="ListParagraph"/>
        <w:numPr>
          <w:ilvl w:val="0"/>
          <w:numId w:val="18"/>
        </w:numPr>
        <w:tabs>
          <w:tab w:pos="1287" w:val="left" w:leader="none"/>
        </w:tabs>
        <w:spacing w:line="240" w:lineRule="auto" w:before="0" w:after="0"/>
        <w:ind w:left="1287" w:right="1530" w:hanging="567"/>
        <w:jc w:val="left"/>
        <w:rPr>
          <w:sz w:val="18"/>
        </w:rPr>
      </w:pPr>
      <w:r>
        <w:rPr>
          <w:sz w:val="18"/>
        </w:rPr>
        <w:t>Women</w:t>
      </w:r>
      <w:r>
        <w:rPr>
          <w:spacing w:val="-8"/>
          <w:sz w:val="18"/>
        </w:rPr>
        <w:t> </w:t>
      </w:r>
      <w:r>
        <w:rPr>
          <w:sz w:val="18"/>
        </w:rPr>
        <w:t>and</w:t>
      </w:r>
      <w:r>
        <w:rPr>
          <w:spacing w:val="-8"/>
          <w:sz w:val="18"/>
        </w:rPr>
        <w:t> </w:t>
      </w:r>
      <w:r>
        <w:rPr>
          <w:sz w:val="18"/>
        </w:rPr>
        <w:t>Equalities</w:t>
      </w:r>
      <w:r>
        <w:rPr>
          <w:spacing w:val="-8"/>
          <w:sz w:val="18"/>
        </w:rPr>
        <w:t> </w:t>
      </w:r>
      <w:r>
        <w:rPr>
          <w:sz w:val="18"/>
        </w:rPr>
        <w:t>Committee,</w:t>
      </w:r>
      <w:r>
        <w:rPr>
          <w:spacing w:val="-8"/>
          <w:sz w:val="18"/>
        </w:rPr>
        <w:t> </w:t>
      </w:r>
      <w:hyperlink r:id="rId102">
        <w:r>
          <w:rPr>
            <w:color w:val="1D71B8"/>
            <w:sz w:val="18"/>
            <w:u w:val="single" w:color="1D71B8"/>
          </w:rPr>
          <w:t>Reform</w:t>
        </w:r>
        <w:r>
          <w:rPr>
            <w:color w:val="1D71B8"/>
            <w:spacing w:val="-7"/>
            <w:sz w:val="18"/>
            <w:u w:val="single" w:color="1D71B8"/>
          </w:rPr>
          <w:t> </w:t>
        </w:r>
        <w:r>
          <w:rPr>
            <w:color w:val="1D71B8"/>
            <w:sz w:val="18"/>
            <w:u w:val="single" w:color="1D71B8"/>
          </w:rPr>
          <w:t>of</w:t>
        </w:r>
        <w:r>
          <w:rPr>
            <w:color w:val="1D71B8"/>
            <w:spacing w:val="-8"/>
            <w:sz w:val="18"/>
            <w:u w:val="single" w:color="1D71B8"/>
          </w:rPr>
          <w:t> </w:t>
        </w:r>
        <w:r>
          <w:rPr>
            <w:color w:val="1D71B8"/>
            <w:sz w:val="18"/>
            <w:u w:val="single" w:color="1D71B8"/>
          </w:rPr>
          <w:t>the</w:t>
        </w:r>
        <w:r>
          <w:rPr>
            <w:color w:val="1D71B8"/>
            <w:spacing w:val="-7"/>
            <w:sz w:val="18"/>
            <w:u w:val="single" w:color="1D71B8"/>
          </w:rPr>
          <w:t> </w:t>
        </w:r>
        <w:r>
          <w:rPr>
            <w:color w:val="1D71B8"/>
            <w:sz w:val="18"/>
            <w:u w:val="single" w:color="1D71B8"/>
          </w:rPr>
          <w:t>Gender</w:t>
        </w:r>
        <w:r>
          <w:rPr>
            <w:color w:val="1D71B8"/>
            <w:spacing w:val="-7"/>
            <w:sz w:val="18"/>
            <w:u w:val="single" w:color="1D71B8"/>
          </w:rPr>
          <w:t> </w:t>
        </w:r>
        <w:r>
          <w:rPr>
            <w:color w:val="1D71B8"/>
            <w:sz w:val="18"/>
            <w:u w:val="single" w:color="1D71B8"/>
          </w:rPr>
          <w:t>Recognition</w:t>
        </w:r>
        <w:r>
          <w:rPr>
            <w:color w:val="1D71B8"/>
            <w:spacing w:val="-8"/>
            <w:sz w:val="18"/>
            <w:u w:val="single" w:color="1D71B8"/>
          </w:rPr>
          <w:t> </w:t>
        </w:r>
        <w:r>
          <w:rPr>
            <w:color w:val="1D71B8"/>
            <w:sz w:val="18"/>
            <w:u w:val="single" w:color="1D71B8"/>
          </w:rPr>
          <w:t>Act:</w:t>
        </w:r>
        <w:r>
          <w:rPr>
            <w:color w:val="1D71B8"/>
            <w:spacing w:val="-7"/>
            <w:sz w:val="18"/>
            <w:u w:val="single" w:color="1D71B8"/>
          </w:rPr>
          <w:t> </w:t>
        </w:r>
        <w:r>
          <w:rPr>
            <w:color w:val="1D71B8"/>
            <w:sz w:val="18"/>
            <w:u w:val="single" w:color="1D71B8"/>
          </w:rPr>
          <w:t>Government</w:t>
        </w:r>
        <w:r>
          <w:rPr>
            <w:color w:val="1D71B8"/>
            <w:spacing w:val="-7"/>
            <w:sz w:val="18"/>
            <w:u w:val="single" w:color="1D71B8"/>
          </w:rPr>
          <w:t> </w:t>
        </w:r>
        <w:r>
          <w:rPr>
            <w:color w:val="1D71B8"/>
            <w:sz w:val="18"/>
            <w:u w:val="single" w:color="1D71B8"/>
          </w:rPr>
          <w:t>response</w:t>
        </w:r>
        <w:r>
          <w:rPr>
            <w:color w:val="1D71B8"/>
            <w:spacing w:val="-7"/>
            <w:sz w:val="18"/>
            <w:u w:val="single" w:color="1D71B8"/>
          </w:rPr>
          <w:t> </w:t>
        </w:r>
        <w:r>
          <w:rPr>
            <w:color w:val="1D71B8"/>
            <w:sz w:val="18"/>
            <w:u w:val="single" w:color="1D71B8"/>
          </w:rPr>
          <w:t>to</w:t>
        </w:r>
        <w:r>
          <w:rPr>
            <w:color w:val="1D71B8"/>
            <w:spacing w:val="-8"/>
            <w:sz w:val="18"/>
            <w:u w:val="single" w:color="1D71B8"/>
          </w:rPr>
          <w:t> </w:t>
        </w:r>
        <w:r>
          <w:rPr>
            <w:color w:val="1D71B8"/>
            <w:sz w:val="18"/>
            <w:u w:val="single" w:color="1D71B8"/>
          </w:rPr>
          <w:t>the</w:t>
        </w:r>
        <w:r>
          <w:rPr>
            <w:color w:val="1D71B8"/>
            <w:spacing w:val="-7"/>
            <w:sz w:val="18"/>
            <w:u w:val="single" w:color="1D71B8"/>
          </w:rPr>
          <w:t> </w:t>
        </w:r>
        <w:r>
          <w:rPr>
            <w:color w:val="1D71B8"/>
            <w:sz w:val="18"/>
            <w:u w:val="single" w:color="1D71B8"/>
          </w:rPr>
          <w:t>Committee’s</w:t>
        </w:r>
      </w:hyperlink>
      <w:r>
        <w:rPr>
          <w:color w:val="1D71B8"/>
          <w:sz w:val="18"/>
          <w:u w:val="none"/>
        </w:rPr>
        <w:t> </w:t>
      </w:r>
      <w:hyperlink r:id="rId102">
        <w:r>
          <w:rPr>
            <w:color w:val="1D71B8"/>
            <w:sz w:val="18"/>
            <w:u w:val="single" w:color="1D71B8"/>
          </w:rPr>
          <w:t>Third Report Fifth Special Report of Session 2021–22</w:t>
        </w:r>
      </w:hyperlink>
      <w:r>
        <w:rPr>
          <w:color w:val="1D71B8"/>
          <w:sz w:val="18"/>
          <w:u w:val="none"/>
        </w:rPr>
        <w:t> </w:t>
      </w:r>
      <w:r>
        <w:rPr>
          <w:sz w:val="18"/>
          <w:u w:val="none"/>
        </w:rPr>
        <w:t>(2021-2022) HC 129 para 20.</w:t>
      </w:r>
    </w:p>
    <w:p>
      <w:pPr>
        <w:pStyle w:val="ListParagraph"/>
        <w:numPr>
          <w:ilvl w:val="0"/>
          <w:numId w:val="18"/>
        </w:numPr>
        <w:tabs>
          <w:tab w:pos="1287" w:val="left" w:leader="none"/>
        </w:tabs>
        <w:spacing w:line="240" w:lineRule="auto" w:before="1" w:after="0"/>
        <w:ind w:left="1287" w:right="1147" w:hanging="567"/>
        <w:jc w:val="left"/>
        <w:rPr>
          <w:sz w:val="18"/>
        </w:rPr>
      </w:pPr>
      <w:r>
        <w:rPr>
          <w:sz w:val="18"/>
        </w:rPr>
        <w:t>David</w:t>
      </w:r>
      <w:r>
        <w:rPr>
          <w:spacing w:val="-7"/>
          <w:sz w:val="18"/>
        </w:rPr>
        <w:t> </w:t>
      </w:r>
      <w:r>
        <w:rPr>
          <w:sz w:val="18"/>
        </w:rPr>
        <w:t>Torrance</w:t>
      </w:r>
      <w:r>
        <w:rPr>
          <w:spacing w:val="-6"/>
          <w:sz w:val="18"/>
        </w:rPr>
        <w:t> </w:t>
      </w:r>
      <w:r>
        <w:rPr>
          <w:sz w:val="18"/>
        </w:rPr>
        <w:t>and</w:t>
      </w:r>
      <w:r>
        <w:rPr>
          <w:spacing w:val="-7"/>
          <w:sz w:val="18"/>
        </w:rPr>
        <w:t> </w:t>
      </w:r>
      <w:r>
        <w:rPr>
          <w:sz w:val="18"/>
        </w:rPr>
        <w:t>Doug</w:t>
      </w:r>
      <w:r>
        <w:rPr>
          <w:spacing w:val="-6"/>
          <w:sz w:val="18"/>
        </w:rPr>
        <w:t> </w:t>
      </w:r>
      <w:r>
        <w:rPr>
          <w:sz w:val="18"/>
        </w:rPr>
        <w:t>Pyper,</w:t>
      </w:r>
      <w:r>
        <w:rPr>
          <w:spacing w:val="-7"/>
          <w:sz w:val="18"/>
        </w:rPr>
        <w:t> </w:t>
      </w:r>
      <w:r>
        <w:rPr>
          <w:color w:val="1D71B8"/>
          <w:sz w:val="18"/>
          <w:u w:val="single" w:color="1D71B8"/>
        </w:rPr>
        <w:t>The</w:t>
      </w:r>
      <w:r>
        <w:rPr>
          <w:color w:val="1D71B8"/>
          <w:spacing w:val="-6"/>
          <w:sz w:val="18"/>
          <w:u w:val="single" w:color="1D71B8"/>
        </w:rPr>
        <w:t> </w:t>
      </w:r>
      <w:r>
        <w:rPr>
          <w:color w:val="1D71B8"/>
          <w:sz w:val="18"/>
          <w:u w:val="single" w:color="1D71B8"/>
        </w:rPr>
        <w:t>Secretary</w:t>
      </w:r>
      <w:r>
        <w:rPr>
          <w:color w:val="1D71B8"/>
          <w:spacing w:val="-6"/>
          <w:sz w:val="18"/>
          <w:u w:val="single" w:color="1D71B8"/>
        </w:rPr>
        <w:t> </w:t>
      </w:r>
      <w:r>
        <w:rPr>
          <w:color w:val="1D71B8"/>
          <w:sz w:val="18"/>
          <w:u w:val="single" w:color="1D71B8"/>
        </w:rPr>
        <w:t>of</w:t>
      </w:r>
      <w:r>
        <w:rPr>
          <w:color w:val="1D71B8"/>
          <w:spacing w:val="-7"/>
          <w:sz w:val="18"/>
          <w:u w:val="single" w:color="1D71B8"/>
        </w:rPr>
        <w:t> </w:t>
      </w:r>
      <w:r>
        <w:rPr>
          <w:color w:val="1D71B8"/>
          <w:sz w:val="18"/>
          <w:u w:val="single" w:color="1D71B8"/>
        </w:rPr>
        <w:t>State’s</w:t>
      </w:r>
      <w:r>
        <w:rPr>
          <w:color w:val="1D71B8"/>
          <w:spacing w:val="-7"/>
          <w:sz w:val="18"/>
          <w:u w:val="single" w:color="1D71B8"/>
        </w:rPr>
        <w:t> </w:t>
      </w:r>
      <w:r>
        <w:rPr>
          <w:color w:val="1D71B8"/>
          <w:sz w:val="18"/>
          <w:u w:val="single" w:color="1D71B8"/>
        </w:rPr>
        <w:t>veto</w:t>
      </w:r>
      <w:r>
        <w:rPr>
          <w:color w:val="1D71B8"/>
          <w:spacing w:val="-7"/>
          <w:sz w:val="18"/>
          <w:u w:val="single" w:color="1D71B8"/>
        </w:rPr>
        <w:t> </w:t>
      </w:r>
      <w:r>
        <w:rPr>
          <w:color w:val="1D71B8"/>
          <w:sz w:val="18"/>
          <w:u w:val="single" w:color="1D71B8"/>
        </w:rPr>
        <w:t>and</w:t>
      </w:r>
      <w:r>
        <w:rPr>
          <w:color w:val="1D71B8"/>
          <w:spacing w:val="-7"/>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Gender</w:t>
      </w:r>
      <w:r>
        <w:rPr>
          <w:color w:val="1D71B8"/>
          <w:spacing w:val="-6"/>
          <w:sz w:val="18"/>
          <w:u w:val="single" w:color="1D71B8"/>
        </w:rPr>
        <w:t> </w:t>
      </w:r>
      <w:r>
        <w:rPr>
          <w:color w:val="1D71B8"/>
          <w:sz w:val="18"/>
          <w:u w:val="single" w:color="1D71B8"/>
        </w:rPr>
        <w:t>Recognition</w:t>
      </w:r>
      <w:r>
        <w:rPr>
          <w:color w:val="1D71B8"/>
          <w:spacing w:val="-7"/>
          <w:sz w:val="18"/>
          <w:u w:val="single" w:color="1D71B8"/>
        </w:rPr>
        <w:t> </w:t>
      </w:r>
      <w:r>
        <w:rPr>
          <w:color w:val="1D71B8"/>
          <w:sz w:val="18"/>
          <w:u w:val="single" w:color="1D71B8"/>
        </w:rPr>
        <w:t>Reform</w:t>
      </w:r>
      <w:r>
        <w:rPr>
          <w:color w:val="1D71B8"/>
          <w:spacing w:val="-6"/>
          <w:sz w:val="18"/>
          <w:u w:val="single" w:color="1D71B8"/>
        </w:rPr>
        <w:t> </w:t>
      </w:r>
      <w:r>
        <w:rPr>
          <w:color w:val="1D71B8"/>
          <w:sz w:val="18"/>
          <w:u w:val="single" w:color="1D71B8"/>
        </w:rPr>
        <w:t>(Scotland)</w:t>
      </w:r>
      <w:r>
        <w:rPr>
          <w:color w:val="1D71B8"/>
          <w:spacing w:val="-7"/>
          <w:sz w:val="18"/>
          <w:u w:val="single" w:color="1D71B8"/>
        </w:rPr>
        <w:t> </w:t>
      </w:r>
      <w:r>
        <w:rPr>
          <w:color w:val="1D71B8"/>
          <w:sz w:val="18"/>
          <w:u w:val="single" w:color="1D71B8"/>
        </w:rPr>
        <w:t>Bill</w:t>
      </w:r>
      <w:r>
        <w:rPr>
          <w:color w:val="1D71B8"/>
          <w:spacing w:val="-7"/>
          <w:sz w:val="18"/>
          <w:u w:val="none"/>
        </w:rPr>
        <w:t> </w:t>
      </w:r>
      <w:r>
        <w:rPr>
          <w:sz w:val="18"/>
          <w:u w:val="none"/>
        </w:rPr>
        <w:t>(House</w:t>
      </w:r>
      <w:r>
        <w:rPr>
          <w:spacing w:val="-6"/>
          <w:sz w:val="18"/>
          <w:u w:val="none"/>
        </w:rPr>
        <w:t> </w:t>
      </w:r>
      <w:r>
        <w:rPr>
          <w:sz w:val="18"/>
          <w:u w:val="none"/>
        </w:rPr>
        <w:t>of Commons Library, 2023).</w:t>
      </w:r>
    </w:p>
    <w:p>
      <w:pPr>
        <w:pStyle w:val="ListParagraph"/>
        <w:numPr>
          <w:ilvl w:val="0"/>
          <w:numId w:val="18"/>
        </w:numPr>
        <w:tabs>
          <w:tab w:pos="1287" w:val="left" w:leader="none"/>
        </w:tabs>
        <w:spacing w:line="240" w:lineRule="auto" w:before="1" w:after="0"/>
        <w:ind w:left="1287" w:right="1304" w:hanging="567"/>
        <w:jc w:val="left"/>
        <w:rPr>
          <w:sz w:val="18"/>
        </w:rPr>
      </w:pPr>
      <w:r>
        <w:rPr>
          <w:color w:val="1D71B8"/>
          <w:sz w:val="18"/>
          <w:u w:val="single" w:color="1D71B8"/>
        </w:rPr>
        <w:t>Petition of the Scottish Ministers for Judicial Review of the Gender Recognition Reform (Scotland) Bill (Prohibition on</w:t>
      </w:r>
      <w:r>
        <w:rPr>
          <w:color w:val="1D71B8"/>
          <w:sz w:val="18"/>
          <w:u w:val="none"/>
        </w:rPr>
        <w:t> </w:t>
      </w:r>
      <w:r>
        <w:rPr>
          <w:color w:val="1D71B8"/>
          <w:sz w:val="18"/>
          <w:u w:val="single" w:color="1D71B8"/>
        </w:rPr>
        <w:t>Submission</w:t>
      </w:r>
      <w:r>
        <w:rPr>
          <w:color w:val="1D71B8"/>
          <w:spacing w:val="-5"/>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Royal</w:t>
      </w:r>
      <w:r>
        <w:rPr>
          <w:color w:val="1D71B8"/>
          <w:spacing w:val="-5"/>
          <w:sz w:val="18"/>
          <w:u w:val="single" w:color="1D71B8"/>
        </w:rPr>
        <w:t> </w:t>
      </w:r>
      <w:r>
        <w:rPr>
          <w:color w:val="1D71B8"/>
          <w:sz w:val="18"/>
          <w:u w:val="single" w:color="1D71B8"/>
        </w:rPr>
        <w:t>Assent)</w:t>
      </w:r>
      <w:r>
        <w:rPr>
          <w:color w:val="1D71B8"/>
          <w:spacing w:val="-5"/>
          <w:sz w:val="18"/>
          <w:u w:val="single" w:color="1D71B8"/>
        </w:rPr>
        <w:t> </w:t>
      </w:r>
      <w:r>
        <w:rPr>
          <w:color w:val="1D71B8"/>
          <w:sz w:val="18"/>
          <w:u w:val="single" w:color="1D71B8"/>
        </w:rPr>
        <w:t>Order</w:t>
      </w:r>
      <w:r>
        <w:rPr>
          <w:color w:val="1D71B8"/>
          <w:spacing w:val="-4"/>
          <w:sz w:val="18"/>
          <w:u w:val="single" w:color="1D71B8"/>
        </w:rPr>
        <w:t> </w:t>
      </w:r>
      <w:r>
        <w:rPr>
          <w:color w:val="1D71B8"/>
          <w:sz w:val="18"/>
          <w:u w:val="single" w:color="1D71B8"/>
        </w:rPr>
        <w:t>2023</w:t>
      </w:r>
      <w:r>
        <w:rPr>
          <w:color w:val="1D71B8"/>
          <w:spacing w:val="-4"/>
          <w:sz w:val="18"/>
          <w:u w:val="single" w:color="1D71B8"/>
        </w:rPr>
        <w:t> </w:t>
      </w:r>
      <w:r>
        <w:rPr>
          <w:color w:val="1D71B8"/>
          <w:sz w:val="18"/>
          <w:u w:val="single" w:color="1D71B8"/>
        </w:rPr>
        <w:t>made</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laid</w:t>
      </w:r>
      <w:r>
        <w:rPr>
          <w:color w:val="1D71B8"/>
          <w:spacing w:val="-5"/>
          <w:sz w:val="18"/>
          <w:u w:val="single" w:color="1D71B8"/>
        </w:rPr>
        <w:t> </w:t>
      </w:r>
      <w:r>
        <w:rPr>
          <w:color w:val="1D71B8"/>
          <w:sz w:val="18"/>
          <w:u w:val="single" w:color="1D71B8"/>
        </w:rPr>
        <w:t>before</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UK</w:t>
      </w:r>
      <w:r>
        <w:rPr>
          <w:color w:val="1D71B8"/>
          <w:spacing w:val="-4"/>
          <w:sz w:val="18"/>
          <w:u w:val="single" w:color="1D71B8"/>
        </w:rPr>
        <w:t> </w:t>
      </w:r>
      <w:r>
        <w:rPr>
          <w:color w:val="1D71B8"/>
          <w:sz w:val="18"/>
          <w:u w:val="single" w:color="1D71B8"/>
        </w:rPr>
        <w:t>Parliament</w:t>
      </w:r>
      <w:r>
        <w:rPr>
          <w:color w:val="1D71B8"/>
          <w:spacing w:val="-4"/>
          <w:sz w:val="18"/>
          <w:u w:val="single" w:color="1D71B8"/>
        </w:rPr>
        <w:t> </w:t>
      </w:r>
      <w:r>
        <w:rPr>
          <w:color w:val="1D71B8"/>
          <w:sz w:val="18"/>
          <w:u w:val="single" w:color="1D71B8"/>
        </w:rPr>
        <w:t>by</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Secretary</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State</w:t>
      </w:r>
      <w:r>
        <w:rPr>
          <w:color w:val="1D71B8"/>
          <w:spacing w:val="-5"/>
          <w:sz w:val="18"/>
          <w:u w:val="none"/>
        </w:rPr>
        <w:t> </w:t>
      </w:r>
      <w:r>
        <w:rPr>
          <w:sz w:val="18"/>
          <w:u w:val="none"/>
        </w:rPr>
        <w:t>[2023]</w:t>
      </w:r>
      <w:r>
        <w:rPr>
          <w:spacing w:val="-4"/>
          <w:sz w:val="18"/>
          <w:u w:val="none"/>
        </w:rPr>
        <w:t> </w:t>
      </w:r>
      <w:r>
        <w:rPr>
          <w:sz w:val="18"/>
          <w:u w:val="none"/>
        </w:rPr>
        <w:t>CSOH 89, (8 December 2023).</w:t>
      </w:r>
    </w:p>
    <w:p>
      <w:pPr>
        <w:pStyle w:val="ListParagraph"/>
        <w:numPr>
          <w:ilvl w:val="0"/>
          <w:numId w:val="18"/>
        </w:numPr>
        <w:tabs>
          <w:tab w:pos="1287" w:val="left" w:leader="none"/>
        </w:tabs>
        <w:spacing w:line="240" w:lineRule="auto" w:before="0" w:after="0"/>
        <w:ind w:left="1287" w:right="1134" w:hanging="567"/>
        <w:jc w:val="left"/>
        <w:rPr>
          <w:sz w:val="18"/>
        </w:rPr>
      </w:pPr>
      <w:r>
        <w:rPr>
          <w:color w:val="1D71B8"/>
          <w:sz w:val="18"/>
          <w:u w:val="single" w:color="1D71B8"/>
        </w:rPr>
        <w:t>Directive</w:t>
      </w:r>
      <w:r>
        <w:rPr>
          <w:color w:val="1D71B8"/>
          <w:spacing w:val="-3"/>
          <w:sz w:val="18"/>
          <w:u w:val="single" w:color="1D71B8"/>
        </w:rPr>
        <w:t> </w:t>
      </w:r>
      <w:r>
        <w:rPr>
          <w:color w:val="1D71B8"/>
          <w:sz w:val="18"/>
          <w:u w:val="single" w:color="1D71B8"/>
        </w:rPr>
        <w:t>2006/54/EC</w:t>
      </w:r>
      <w:r>
        <w:rPr>
          <w:color w:val="1D71B8"/>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3"/>
          <w:sz w:val="18"/>
          <w:u w:val="none"/>
        </w:rPr>
        <w:t> </w:t>
      </w:r>
      <w:r>
        <w:rPr>
          <w:sz w:val="18"/>
          <w:u w:val="none"/>
        </w:rPr>
        <w:t>Parliament</w:t>
      </w:r>
      <w:r>
        <w:rPr>
          <w:spacing w:val="-3"/>
          <w:sz w:val="18"/>
          <w:u w:val="none"/>
        </w:rPr>
        <w:t> </w:t>
      </w:r>
      <w:r>
        <w:rPr>
          <w:sz w:val="18"/>
          <w:u w:val="none"/>
        </w:rPr>
        <w:t>and</w:t>
      </w:r>
      <w:r>
        <w:rPr>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Council</w:t>
      </w:r>
      <w:r>
        <w:rPr>
          <w:spacing w:val="-3"/>
          <w:sz w:val="18"/>
          <w:u w:val="none"/>
        </w:rPr>
        <w:t> </w:t>
      </w:r>
      <w:r>
        <w:rPr>
          <w:sz w:val="18"/>
          <w:u w:val="none"/>
        </w:rPr>
        <w:t>of</w:t>
      </w:r>
      <w:r>
        <w:rPr>
          <w:spacing w:val="-4"/>
          <w:sz w:val="18"/>
          <w:u w:val="none"/>
        </w:rPr>
        <w:t> </w:t>
      </w:r>
      <w:r>
        <w:rPr>
          <w:sz w:val="18"/>
          <w:u w:val="none"/>
        </w:rPr>
        <w:t>5</w:t>
      </w:r>
      <w:r>
        <w:rPr>
          <w:spacing w:val="-3"/>
          <w:sz w:val="18"/>
          <w:u w:val="none"/>
        </w:rPr>
        <w:t> </w:t>
      </w:r>
      <w:r>
        <w:rPr>
          <w:sz w:val="18"/>
          <w:u w:val="none"/>
        </w:rPr>
        <w:t>July</w:t>
      </w:r>
      <w:r>
        <w:rPr>
          <w:spacing w:val="-3"/>
          <w:sz w:val="18"/>
          <w:u w:val="none"/>
        </w:rPr>
        <w:t> </w:t>
      </w:r>
      <w:r>
        <w:rPr>
          <w:sz w:val="18"/>
          <w:u w:val="none"/>
        </w:rPr>
        <w:t>2006</w:t>
      </w:r>
      <w:r>
        <w:rPr>
          <w:spacing w:val="-4"/>
          <w:sz w:val="18"/>
          <w:u w:val="none"/>
        </w:rPr>
        <w:t> </w:t>
      </w:r>
      <w:r>
        <w:rPr>
          <w:sz w:val="18"/>
          <w:u w:val="none"/>
        </w:rPr>
        <w:t>on</w:t>
      </w:r>
      <w:r>
        <w:rPr>
          <w:spacing w:val="-3"/>
          <w:sz w:val="18"/>
          <w:u w:val="none"/>
        </w:rPr>
        <w:t> </w:t>
      </w:r>
      <w:r>
        <w:rPr>
          <w:sz w:val="18"/>
          <w:u w:val="none"/>
        </w:rPr>
        <w:t>the</w:t>
      </w:r>
      <w:r>
        <w:rPr>
          <w:spacing w:val="-3"/>
          <w:sz w:val="18"/>
          <w:u w:val="none"/>
        </w:rPr>
        <w:t> </w:t>
      </w:r>
      <w:r>
        <w:rPr>
          <w:sz w:val="18"/>
          <w:u w:val="none"/>
        </w:rPr>
        <w:t>implementation</w:t>
      </w:r>
      <w:r>
        <w:rPr>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principle of equal opportunities and equal treatment of men and women in matters of employment and occupation (recast).</w:t>
      </w:r>
    </w:p>
    <w:p>
      <w:pPr>
        <w:pStyle w:val="ListParagraph"/>
        <w:numPr>
          <w:ilvl w:val="0"/>
          <w:numId w:val="18"/>
        </w:numPr>
        <w:tabs>
          <w:tab w:pos="1287" w:val="left" w:leader="none"/>
        </w:tabs>
        <w:spacing w:line="240" w:lineRule="auto" w:before="1" w:after="0"/>
        <w:ind w:left="1287" w:right="1194" w:hanging="567"/>
        <w:jc w:val="left"/>
        <w:rPr>
          <w:sz w:val="18"/>
        </w:rPr>
      </w:pPr>
      <w:hyperlink r:id="rId103">
        <w:r>
          <w:rPr>
            <w:color w:val="1D71B8"/>
            <w:sz w:val="18"/>
            <w:u w:val="single" w:color="1D71B8"/>
          </w:rPr>
          <w:t>Directive 2011/95/EU</w:t>
        </w:r>
      </w:hyperlink>
      <w:r>
        <w:rPr>
          <w:color w:val="1D71B8"/>
          <w:sz w:val="18"/>
          <w:u w:val="none"/>
        </w:rPr>
        <w:t> </w:t>
      </w:r>
      <w:r>
        <w:rPr>
          <w:sz w:val="18"/>
          <w:u w:val="none"/>
        </w:rPr>
        <w:t>of the European Parliament and of the Council of 13 December 2011 on standards for the qualification of third-country nationals or stateless persons as beneficiaries of international protection, for a uniform status</w:t>
      </w:r>
      <w:r>
        <w:rPr>
          <w:spacing w:val="-6"/>
          <w:sz w:val="18"/>
          <w:u w:val="none"/>
        </w:rPr>
        <w:t> </w:t>
      </w:r>
      <w:r>
        <w:rPr>
          <w:sz w:val="18"/>
          <w:u w:val="none"/>
        </w:rPr>
        <w:t>for</w:t>
      </w:r>
      <w:r>
        <w:rPr>
          <w:spacing w:val="-5"/>
          <w:sz w:val="18"/>
          <w:u w:val="none"/>
        </w:rPr>
        <w:t> </w:t>
      </w:r>
      <w:r>
        <w:rPr>
          <w:sz w:val="18"/>
          <w:u w:val="none"/>
        </w:rPr>
        <w:t>refugees</w:t>
      </w:r>
      <w:r>
        <w:rPr>
          <w:spacing w:val="-6"/>
          <w:sz w:val="18"/>
          <w:u w:val="none"/>
        </w:rPr>
        <w:t> </w:t>
      </w:r>
      <w:r>
        <w:rPr>
          <w:sz w:val="18"/>
          <w:u w:val="none"/>
        </w:rPr>
        <w:t>or</w:t>
      </w:r>
      <w:r>
        <w:rPr>
          <w:spacing w:val="-5"/>
          <w:sz w:val="18"/>
          <w:u w:val="none"/>
        </w:rPr>
        <w:t> </w:t>
      </w:r>
      <w:r>
        <w:rPr>
          <w:sz w:val="18"/>
          <w:u w:val="none"/>
        </w:rPr>
        <w:t>for</w:t>
      </w:r>
      <w:r>
        <w:rPr>
          <w:spacing w:val="-5"/>
          <w:sz w:val="18"/>
          <w:u w:val="none"/>
        </w:rPr>
        <w:t> </w:t>
      </w:r>
      <w:r>
        <w:rPr>
          <w:sz w:val="18"/>
          <w:u w:val="none"/>
        </w:rPr>
        <w:t>persons</w:t>
      </w:r>
      <w:r>
        <w:rPr>
          <w:spacing w:val="-6"/>
          <w:sz w:val="18"/>
          <w:u w:val="none"/>
        </w:rPr>
        <w:t> </w:t>
      </w:r>
      <w:r>
        <w:rPr>
          <w:sz w:val="18"/>
          <w:u w:val="none"/>
        </w:rPr>
        <w:t>eligible</w:t>
      </w:r>
      <w:r>
        <w:rPr>
          <w:spacing w:val="-5"/>
          <w:sz w:val="18"/>
          <w:u w:val="none"/>
        </w:rPr>
        <w:t> </w:t>
      </w:r>
      <w:r>
        <w:rPr>
          <w:sz w:val="18"/>
          <w:u w:val="none"/>
        </w:rPr>
        <w:t>for</w:t>
      </w:r>
      <w:r>
        <w:rPr>
          <w:spacing w:val="-5"/>
          <w:sz w:val="18"/>
          <w:u w:val="none"/>
        </w:rPr>
        <w:t> </w:t>
      </w:r>
      <w:r>
        <w:rPr>
          <w:sz w:val="18"/>
          <w:u w:val="none"/>
        </w:rPr>
        <w:t>subsidiary</w:t>
      </w:r>
      <w:r>
        <w:rPr>
          <w:spacing w:val="-5"/>
          <w:sz w:val="18"/>
          <w:u w:val="none"/>
        </w:rPr>
        <w:t> </w:t>
      </w:r>
      <w:r>
        <w:rPr>
          <w:sz w:val="18"/>
          <w:u w:val="none"/>
        </w:rPr>
        <w:t>protection,</w:t>
      </w:r>
      <w:r>
        <w:rPr>
          <w:spacing w:val="-5"/>
          <w:sz w:val="18"/>
          <w:u w:val="none"/>
        </w:rPr>
        <w:t> </w:t>
      </w:r>
      <w:r>
        <w:rPr>
          <w:sz w:val="18"/>
          <w:u w:val="none"/>
        </w:rPr>
        <w:t>and</w:t>
      </w:r>
      <w:r>
        <w:rPr>
          <w:spacing w:val="-6"/>
          <w:sz w:val="18"/>
          <w:u w:val="none"/>
        </w:rPr>
        <w:t> </w:t>
      </w:r>
      <w:r>
        <w:rPr>
          <w:sz w:val="18"/>
          <w:u w:val="none"/>
        </w:rPr>
        <w:t>for</w:t>
      </w:r>
      <w:r>
        <w:rPr>
          <w:spacing w:val="-5"/>
          <w:sz w:val="18"/>
          <w:u w:val="none"/>
        </w:rPr>
        <w:t> </w:t>
      </w:r>
      <w:r>
        <w:rPr>
          <w:sz w:val="18"/>
          <w:u w:val="none"/>
        </w:rPr>
        <w:t>the</w:t>
      </w:r>
      <w:r>
        <w:rPr>
          <w:spacing w:val="-5"/>
          <w:sz w:val="18"/>
          <w:u w:val="none"/>
        </w:rPr>
        <w:t> </w:t>
      </w:r>
      <w:r>
        <w:rPr>
          <w:sz w:val="18"/>
          <w:u w:val="none"/>
        </w:rPr>
        <w:t>content</w:t>
      </w:r>
      <w:r>
        <w:rPr>
          <w:spacing w:val="-5"/>
          <w:sz w:val="18"/>
          <w:u w:val="none"/>
        </w:rPr>
        <w:t> </w:t>
      </w:r>
      <w:r>
        <w:rPr>
          <w:sz w:val="18"/>
          <w:u w:val="none"/>
        </w:rPr>
        <w:t>of</w:t>
      </w:r>
      <w:r>
        <w:rPr>
          <w:spacing w:val="-6"/>
          <w:sz w:val="18"/>
          <w:u w:val="none"/>
        </w:rPr>
        <w:t> </w:t>
      </w:r>
      <w:r>
        <w:rPr>
          <w:sz w:val="18"/>
          <w:u w:val="none"/>
        </w:rPr>
        <w:t>the</w:t>
      </w:r>
      <w:r>
        <w:rPr>
          <w:spacing w:val="-5"/>
          <w:sz w:val="18"/>
          <w:u w:val="none"/>
        </w:rPr>
        <w:t> </w:t>
      </w:r>
      <w:r>
        <w:rPr>
          <w:sz w:val="18"/>
          <w:u w:val="none"/>
        </w:rPr>
        <w:t>protection</w:t>
      </w:r>
      <w:r>
        <w:rPr>
          <w:spacing w:val="-6"/>
          <w:sz w:val="18"/>
          <w:u w:val="none"/>
        </w:rPr>
        <w:t> </w:t>
      </w:r>
      <w:r>
        <w:rPr>
          <w:sz w:val="18"/>
          <w:u w:val="none"/>
        </w:rPr>
        <w:t>granted</w:t>
      </w:r>
      <w:r>
        <w:rPr>
          <w:spacing w:val="-6"/>
          <w:sz w:val="18"/>
          <w:u w:val="none"/>
        </w:rPr>
        <w:t> </w:t>
      </w:r>
      <w:r>
        <w:rPr>
          <w:sz w:val="18"/>
          <w:u w:val="none"/>
        </w:rPr>
        <w:t>(recast); </w:t>
      </w:r>
      <w:r>
        <w:rPr>
          <w:color w:val="1D71B8"/>
          <w:sz w:val="18"/>
          <w:u w:val="single" w:color="1D71B8"/>
        </w:rPr>
        <w:t>Directive 2013/33/EU</w:t>
      </w:r>
      <w:r>
        <w:rPr>
          <w:color w:val="1D71B8"/>
          <w:sz w:val="18"/>
          <w:u w:val="none"/>
        </w:rPr>
        <w:t> </w:t>
      </w:r>
      <w:r>
        <w:rPr>
          <w:sz w:val="18"/>
          <w:u w:val="none"/>
        </w:rPr>
        <w:t>of the European Parliament and of the Council of 26 June 2013 laying down standards for the reception of applicants for international protection (recast). The UK did not opt in to either of these directives.</w:t>
      </w:r>
    </w:p>
    <w:p>
      <w:pPr>
        <w:pStyle w:val="ListParagraph"/>
        <w:numPr>
          <w:ilvl w:val="0"/>
          <w:numId w:val="18"/>
        </w:numPr>
        <w:tabs>
          <w:tab w:pos="1287" w:val="left" w:leader="none"/>
        </w:tabs>
        <w:spacing w:line="240" w:lineRule="auto" w:before="1" w:after="0"/>
        <w:ind w:left="1287" w:right="1378"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 47.</w:t>
      </w:r>
    </w:p>
    <w:p>
      <w:pPr>
        <w:spacing w:after="0" w:line="240" w:lineRule="auto"/>
        <w:jc w:val="both"/>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847936">
                <wp:simplePos x="0" y="0"/>
                <wp:positionH relativeFrom="page">
                  <wp:posOffset>-2</wp:posOffset>
                </wp:positionH>
                <wp:positionV relativeFrom="page">
                  <wp:posOffset>0</wp:posOffset>
                </wp:positionV>
                <wp:extent cx="7560309" cy="1283335"/>
                <wp:effectExtent l="0" t="0" r="0" b="0"/>
                <wp:wrapNone/>
                <wp:docPr id="620" name="Group 620"/>
                <wp:cNvGraphicFramePr>
                  <a:graphicFrameLocks/>
                </wp:cNvGraphicFramePr>
                <a:graphic>
                  <a:graphicData uri="http://schemas.microsoft.com/office/word/2010/wordprocessingGroup">
                    <wpg:wgp>
                      <wpg:cNvPr id="620" name="Group 620"/>
                      <wpg:cNvGrpSpPr/>
                      <wpg:grpSpPr>
                        <a:xfrm>
                          <a:off x="0" y="0"/>
                          <a:ext cx="7560309" cy="1283335"/>
                          <a:chExt cx="7560309" cy="1283335"/>
                        </a:xfrm>
                      </wpg:grpSpPr>
                      <wps:wsp>
                        <wps:cNvPr id="621" name="Graphic 621"/>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622" name="Graphic 622"/>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623" name="Textbox 623"/>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624" name="Textbox 624"/>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69</w:t>
                              </w:r>
                            </w:p>
                          </w:txbxContent>
                        </wps:txbx>
                        <wps:bodyPr wrap="square" lIns="0" tIns="0" rIns="0" bIns="0" rtlCol="0">
                          <a:noAutofit/>
                        </wps:bodyPr>
                      </wps:wsp>
                      <wps:wsp>
                        <wps:cNvPr id="625" name="Textbox 625"/>
                        <wps:cNvSpPr txBox="1"/>
                        <wps:spPr>
                          <a:xfrm>
                            <a:off x="900001" y="1080003"/>
                            <a:ext cx="1104900" cy="203200"/>
                          </a:xfrm>
                          <a:prstGeom prst="rect">
                            <a:avLst/>
                          </a:prstGeom>
                        </wps:spPr>
                        <wps:txbx>
                          <w:txbxContent>
                            <w:p>
                              <w:pPr>
                                <w:spacing w:line="320" w:lineRule="exact" w:before="0"/>
                                <w:ind w:left="0" w:right="0" w:firstLine="0"/>
                                <w:jc w:val="left"/>
                                <w:rPr>
                                  <w:b/>
                                  <w:sz w:val="32"/>
                                </w:rPr>
                              </w:pPr>
                              <w:r>
                                <w:rPr>
                                  <w:b/>
                                  <w:color w:val="004A93"/>
                                  <w:sz w:val="32"/>
                                </w:rPr>
                                <w:t>3.9 </w:t>
                              </w:r>
                              <w:r>
                                <w:rPr>
                                  <w:b/>
                                  <w:color w:val="004A93"/>
                                  <w:spacing w:val="-2"/>
                                  <w:sz w:val="32"/>
                                </w:rPr>
                                <w:t>Disability</w:t>
                              </w:r>
                            </w:p>
                          </w:txbxContent>
                        </wps:txbx>
                        <wps:bodyPr wrap="square" lIns="0" tIns="0" rIns="0" bIns="0" rtlCol="0">
                          <a:noAutofit/>
                        </wps:bodyPr>
                      </wps:wsp>
                    </wpg:wgp>
                  </a:graphicData>
                </a:graphic>
              </wp:anchor>
            </w:drawing>
          </mc:Choice>
          <mc:Fallback>
            <w:pict>
              <v:group style="position:absolute;margin-left:-.000192pt;margin-top:-.00002pt;width:595.3pt;height:101.05pt;mso-position-horizontal-relative:page;mso-position-vertical-relative:page;z-index:15847936" id="docshapegroup501" coordorigin="0,0" coordsize="11906,2021">
                <v:shape style="position:absolute;left:0;top:0;width:11906;height:1819" id="docshape502"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503"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504" filled="false" stroked="false">
                  <v:textbox inset="0,0,0,0">
                    <w:txbxContent>
                      <w:p>
                        <w:pPr>
                          <w:spacing w:line="280" w:lineRule="exact" w:before="0"/>
                          <w:ind w:left="0" w:right="0" w:firstLine="0"/>
                          <w:jc w:val="left"/>
                          <w:rPr>
                            <w:b/>
                            <w:sz w:val="28"/>
                          </w:rPr>
                        </w:pPr>
                        <w:r>
                          <w:rPr>
                            <w:b/>
                            <w:color w:val="FFFFFF"/>
                            <w:spacing w:val="-5"/>
                            <w:sz w:val="28"/>
                          </w:rPr>
                          <w:t>69</w:t>
                        </w:r>
                      </w:p>
                    </w:txbxContent>
                  </v:textbox>
                  <w10:wrap type="none"/>
                </v:shape>
                <v:shape style="position:absolute;left:1417;top:1700;width:1740;height:320" type="#_x0000_t202" id="docshape505" filled="false" stroked="false">
                  <v:textbox inset="0,0,0,0">
                    <w:txbxContent>
                      <w:p>
                        <w:pPr>
                          <w:spacing w:line="320" w:lineRule="exact" w:before="0"/>
                          <w:ind w:left="0" w:right="0" w:firstLine="0"/>
                          <w:jc w:val="left"/>
                          <w:rPr>
                            <w:b/>
                            <w:sz w:val="32"/>
                          </w:rPr>
                        </w:pPr>
                        <w:r>
                          <w:rPr>
                            <w:b/>
                            <w:color w:val="004A93"/>
                            <w:sz w:val="32"/>
                          </w:rPr>
                          <w:t>3.9 </w:t>
                        </w:r>
                        <w:r>
                          <w:rPr>
                            <w:b/>
                            <w:color w:val="004A93"/>
                            <w:spacing w:val="-2"/>
                            <w:sz w:val="32"/>
                          </w:rPr>
                          <w:t>Disability</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after="1"/>
        <w:rPr>
          <w:sz w:val="20"/>
        </w:rPr>
      </w:pPr>
    </w:p>
    <w:p>
      <w:pPr>
        <w:pStyle w:val="BodyText"/>
        <w:spacing w:line="20" w:lineRule="exact"/>
        <w:ind w:left="1117"/>
        <w:rPr>
          <w:sz w:val="2"/>
        </w:rPr>
      </w:pPr>
      <w:r>
        <w:rPr>
          <w:sz w:val="2"/>
        </w:rPr>
        <mc:AlternateContent>
          <mc:Choice Requires="wps">
            <w:drawing>
              <wp:inline distT="0" distB="0" distL="0" distR="0">
                <wp:extent cx="6012180" cy="12700"/>
                <wp:effectExtent l="9525" t="0" r="0" b="6350"/>
                <wp:docPr id="626" name="Group 626"/>
                <wp:cNvGraphicFramePr>
                  <a:graphicFrameLocks/>
                </wp:cNvGraphicFramePr>
                <a:graphic>
                  <a:graphicData uri="http://schemas.microsoft.com/office/word/2010/wordprocessingGroup">
                    <wpg:wgp>
                      <wpg:cNvPr id="626" name="Group 626"/>
                      <wpg:cNvGrpSpPr/>
                      <wpg:grpSpPr>
                        <a:xfrm>
                          <a:off x="0" y="0"/>
                          <a:ext cx="6012180" cy="12700"/>
                          <a:chExt cx="6012180" cy="12700"/>
                        </a:xfrm>
                      </wpg:grpSpPr>
                      <wps:wsp>
                        <wps:cNvPr id="627" name="Graphic 627"/>
                        <wps:cNvSpPr/>
                        <wps:spPr>
                          <a:xfrm>
                            <a:off x="0" y="635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g:wgp>
                  </a:graphicData>
                </a:graphic>
              </wp:inline>
            </w:drawing>
          </mc:Choice>
          <mc:Fallback>
            <w:pict>
              <v:group style="width:473.4pt;height:1pt;mso-position-horizontal-relative:char;mso-position-vertical-relative:line" id="docshapegroup506" coordorigin="0,0" coordsize="9468,20">
                <v:line style="position:absolute" from="0,10" to="9468,10" stroked="true" strokeweight="1pt" strokecolor="#36a9e1">
                  <v:stroke dashstyle="solid"/>
                </v:line>
              </v:group>
            </w:pict>
          </mc:Fallback>
        </mc:AlternateContent>
      </w:r>
      <w:r>
        <w:rPr>
          <w:sz w:val="2"/>
        </w:rPr>
      </w:r>
    </w:p>
    <w:p>
      <w:pPr>
        <w:pStyle w:val="BodyText"/>
        <w:spacing w:line="232" w:lineRule="auto" w:before="98"/>
        <w:ind w:left="1117" w:right="1087"/>
      </w:pPr>
      <w:bookmarkStart w:name="3.9 Disability" w:id="97"/>
      <w:bookmarkEnd w:id="97"/>
      <w:r>
        <w:rPr/>
      </w:r>
      <w:bookmarkStart w:name="_bookmark40" w:id="98"/>
      <w:bookmarkEnd w:id="98"/>
      <w:r>
        <w:rPr/>
      </w:r>
      <w:r>
        <w:rPr/>
        <w:t>The </w:t>
      </w:r>
      <w:r>
        <w:rPr>
          <w:b/>
        </w:rPr>
        <w:t>European Accessibility Act </w:t>
      </w:r>
      <w:r>
        <w:rPr/>
        <w:t>provides new standards on accessibility for a range</w:t>
      </w:r>
      <w:r>
        <w:rPr>
          <w:spacing w:val="-6"/>
        </w:rPr>
        <w:t> </w:t>
      </w:r>
      <w:r>
        <w:rPr/>
        <w:t>of</w:t>
      </w:r>
      <w:r>
        <w:rPr>
          <w:spacing w:val="-7"/>
        </w:rPr>
        <w:t> </w:t>
      </w:r>
      <w:r>
        <w:rPr/>
        <w:t>products</w:t>
      </w:r>
      <w:r>
        <w:rPr>
          <w:spacing w:val="-7"/>
        </w:rPr>
        <w:t> </w:t>
      </w:r>
      <w:r>
        <w:rPr/>
        <w:t>and</w:t>
      </w:r>
      <w:r>
        <w:rPr>
          <w:spacing w:val="-7"/>
        </w:rPr>
        <w:t> </w:t>
      </w:r>
      <w:r>
        <w:rPr/>
        <w:t>services;</w:t>
      </w:r>
      <w:r>
        <w:rPr>
          <w:spacing w:val="-6"/>
        </w:rPr>
        <w:t> </w:t>
      </w:r>
      <w:r>
        <w:rPr/>
        <w:t>products</w:t>
      </w:r>
      <w:r>
        <w:rPr>
          <w:spacing w:val="-7"/>
        </w:rPr>
        <w:t> </w:t>
      </w:r>
      <w:r>
        <w:rPr/>
        <w:t>include</w:t>
      </w:r>
      <w:r>
        <w:rPr>
          <w:spacing w:val="-6"/>
        </w:rPr>
        <w:t> </w:t>
      </w:r>
      <w:r>
        <w:rPr/>
        <w:t>computers,</w:t>
      </w:r>
      <w:r>
        <w:rPr>
          <w:spacing w:val="-6"/>
        </w:rPr>
        <w:t> </w:t>
      </w:r>
      <w:r>
        <w:rPr/>
        <w:t>smartphones,</w:t>
      </w:r>
      <w:r>
        <w:rPr>
          <w:spacing w:val="-6"/>
        </w:rPr>
        <w:t> </w:t>
      </w:r>
      <w:r>
        <w:rPr/>
        <w:t>TV equipment, e-readers and other products. Services include phone, banking,</w:t>
      </w:r>
    </w:p>
    <w:p>
      <w:pPr>
        <w:pStyle w:val="BodyText"/>
        <w:spacing w:line="232" w:lineRule="auto"/>
        <w:ind w:left="1117" w:right="738"/>
      </w:pPr>
      <w:r>
        <w:rPr/>
        <w:t>e-commerce,</w:t>
      </w:r>
      <w:r>
        <w:rPr>
          <w:spacing w:val="-7"/>
        </w:rPr>
        <w:t> </w:t>
      </w:r>
      <w:r>
        <w:rPr/>
        <w:t>websites</w:t>
      </w:r>
      <w:r>
        <w:rPr>
          <w:spacing w:val="-8"/>
        </w:rPr>
        <w:t> </w:t>
      </w:r>
      <w:r>
        <w:rPr/>
        <w:t>and</w:t>
      </w:r>
      <w:r>
        <w:rPr>
          <w:spacing w:val="-8"/>
        </w:rPr>
        <w:t> </w:t>
      </w:r>
      <w:r>
        <w:rPr/>
        <w:t>others.</w:t>
      </w:r>
      <w:r>
        <w:rPr>
          <w:spacing w:val="-8"/>
        </w:rPr>
        <w:t> </w:t>
      </w:r>
      <w:r>
        <w:rPr/>
        <w:t>The</w:t>
      </w:r>
      <w:r>
        <w:rPr>
          <w:spacing w:val="-7"/>
        </w:rPr>
        <w:t> </w:t>
      </w:r>
      <w:r>
        <w:rPr/>
        <w:t>Accessibility</w:t>
      </w:r>
      <w:r>
        <w:rPr>
          <w:spacing w:val="-7"/>
        </w:rPr>
        <w:t> </w:t>
      </w:r>
      <w:r>
        <w:rPr/>
        <w:t>Act</w:t>
      </w:r>
      <w:r>
        <w:rPr>
          <w:spacing w:val="-7"/>
        </w:rPr>
        <w:t> </w:t>
      </w:r>
      <w:r>
        <w:rPr/>
        <w:t>requires</w:t>
      </w:r>
      <w:r>
        <w:rPr>
          <w:spacing w:val="-8"/>
        </w:rPr>
        <w:t> </w:t>
      </w:r>
      <w:r>
        <w:rPr/>
        <w:t>member</w:t>
      </w:r>
      <w:r>
        <w:rPr>
          <w:spacing w:val="-7"/>
        </w:rPr>
        <w:t> </w:t>
      </w:r>
      <w:r>
        <w:rPr/>
        <w:t>states</w:t>
      </w:r>
      <w:r>
        <w:rPr>
          <w:spacing w:val="-8"/>
        </w:rPr>
        <w:t> </w:t>
      </w:r>
      <w:r>
        <w:rPr/>
        <w:t>to adopt measures by June 2022 and to apply those measures from June 2025.</w:t>
      </w:r>
      <w:r>
        <w:rPr>
          <w:vertAlign w:val="superscript"/>
        </w:rPr>
        <w:t>396</w:t>
      </w:r>
    </w:p>
    <w:p>
      <w:pPr>
        <w:pStyle w:val="BodyText"/>
        <w:spacing w:line="232" w:lineRule="auto" w:before="276"/>
        <w:ind w:left="1117" w:right="738"/>
      </w:pPr>
      <w:r>
        <w:rPr/>
        <w:t>Ireland</w:t>
      </w:r>
      <w:r>
        <w:rPr>
          <w:spacing w:val="-6"/>
        </w:rPr>
        <w:t> </w:t>
      </w:r>
      <w:r>
        <w:rPr/>
        <w:t>has</w:t>
      </w:r>
      <w:r>
        <w:rPr>
          <w:spacing w:val="-6"/>
        </w:rPr>
        <w:t> </w:t>
      </w:r>
      <w:r>
        <w:rPr/>
        <w:t>somewhat</w:t>
      </w:r>
      <w:r>
        <w:rPr>
          <w:spacing w:val="-6"/>
        </w:rPr>
        <w:t> </w:t>
      </w:r>
      <w:r>
        <w:rPr/>
        <w:t>belatedly</w:t>
      </w:r>
      <w:r>
        <w:rPr>
          <w:spacing w:val="-6"/>
        </w:rPr>
        <w:t> </w:t>
      </w:r>
      <w:r>
        <w:rPr/>
        <w:t>(the</w:t>
      </w:r>
      <w:r>
        <w:rPr>
          <w:spacing w:val="-6"/>
        </w:rPr>
        <w:t> </w:t>
      </w:r>
      <w:r>
        <w:rPr/>
        <w:t>Commission</w:t>
      </w:r>
      <w:r>
        <w:rPr>
          <w:spacing w:val="-6"/>
        </w:rPr>
        <w:t> </w:t>
      </w:r>
      <w:r>
        <w:rPr/>
        <w:t>had</w:t>
      </w:r>
      <w:r>
        <w:rPr>
          <w:spacing w:val="-6"/>
        </w:rPr>
        <w:t> </w:t>
      </w:r>
      <w:r>
        <w:rPr/>
        <w:t>warned</w:t>
      </w:r>
      <w:r>
        <w:rPr>
          <w:spacing w:val="-6"/>
        </w:rPr>
        <w:t> </w:t>
      </w:r>
      <w:r>
        <w:rPr/>
        <w:t>Ireland</w:t>
      </w:r>
      <w:r>
        <w:rPr>
          <w:spacing w:val="-6"/>
        </w:rPr>
        <w:t> </w:t>
      </w:r>
      <w:r>
        <w:rPr/>
        <w:t>it</w:t>
      </w:r>
      <w:r>
        <w:rPr>
          <w:spacing w:val="-6"/>
        </w:rPr>
        <w:t> </w:t>
      </w:r>
      <w:r>
        <w:rPr/>
        <w:t>might</w:t>
      </w:r>
      <w:r>
        <w:rPr>
          <w:spacing w:val="-6"/>
        </w:rPr>
        <w:t> </w:t>
      </w:r>
      <w:r>
        <w:rPr/>
        <w:t>face action before the Court of Justice)</w:t>
      </w:r>
      <w:r>
        <w:rPr>
          <w:vertAlign w:val="superscript"/>
        </w:rPr>
        <w:t>397</w:t>
      </w:r>
      <w:r>
        <w:rPr>
          <w:vertAlign w:val="baseline"/>
        </w:rPr>
        <w:t> adopted measures to implement this.</w:t>
      </w:r>
      <w:r>
        <w:rPr>
          <w:vertAlign w:val="superscript"/>
        </w:rPr>
        <w:t>398</w:t>
      </w:r>
    </w:p>
    <w:p>
      <w:pPr>
        <w:pStyle w:val="BodyText"/>
        <w:spacing w:line="232" w:lineRule="auto" w:before="280"/>
        <w:ind w:left="1117" w:right="1404"/>
      </w:pPr>
      <w:r>
        <w:rPr/>
        <w:t>The Irish implementation of this raises issues of divergence in the enjoyment of</w:t>
      </w:r>
      <w:r>
        <w:rPr>
          <w:spacing w:val="-10"/>
        </w:rPr>
        <w:t> </w:t>
      </w:r>
      <w:r>
        <w:rPr/>
        <w:t>rights</w:t>
      </w:r>
      <w:r>
        <w:rPr>
          <w:spacing w:val="-10"/>
        </w:rPr>
        <w:t> </w:t>
      </w:r>
      <w:r>
        <w:rPr/>
        <w:t>and</w:t>
      </w:r>
      <w:r>
        <w:rPr>
          <w:spacing w:val="-10"/>
        </w:rPr>
        <w:t> </w:t>
      </w:r>
      <w:r>
        <w:rPr/>
        <w:t>equality</w:t>
      </w:r>
      <w:r>
        <w:rPr>
          <w:spacing w:val="-10"/>
        </w:rPr>
        <w:t> </w:t>
      </w:r>
      <w:r>
        <w:rPr/>
        <w:t>on</w:t>
      </w:r>
      <w:r>
        <w:rPr>
          <w:spacing w:val="-10"/>
        </w:rPr>
        <w:t> </w:t>
      </w:r>
      <w:r>
        <w:rPr/>
        <w:t>the</w:t>
      </w:r>
      <w:r>
        <w:rPr>
          <w:spacing w:val="-10"/>
        </w:rPr>
        <w:t> </w:t>
      </w:r>
      <w:r>
        <w:rPr/>
        <w:t>island</w:t>
      </w:r>
      <w:r>
        <w:rPr>
          <w:spacing w:val="-10"/>
        </w:rPr>
        <w:t> </w:t>
      </w:r>
      <w:r>
        <w:rPr/>
        <w:t>of</w:t>
      </w:r>
      <w:r>
        <w:rPr>
          <w:spacing w:val="-10"/>
        </w:rPr>
        <w:t> </w:t>
      </w:r>
      <w:r>
        <w:rPr/>
        <w:t>Ireland.</w:t>
      </w:r>
      <w:r>
        <w:rPr>
          <w:spacing w:val="-10"/>
        </w:rPr>
        <w:t> </w:t>
      </w:r>
      <w:r>
        <w:rPr/>
        <w:t>While</w:t>
      </w:r>
      <w:r>
        <w:rPr>
          <w:spacing w:val="-10"/>
        </w:rPr>
        <w:t> </w:t>
      </w:r>
      <w:r>
        <w:rPr/>
        <w:t>not</w:t>
      </w:r>
      <w:r>
        <w:rPr>
          <w:spacing w:val="-10"/>
        </w:rPr>
        <w:t> </w:t>
      </w:r>
      <w:r>
        <w:rPr/>
        <w:t>amending</w:t>
      </w:r>
      <w:r>
        <w:rPr>
          <w:spacing w:val="-10"/>
        </w:rPr>
        <w:t> </w:t>
      </w:r>
      <w:r>
        <w:rPr/>
        <w:t>an</w:t>
      </w:r>
      <w:r>
        <w:rPr>
          <w:spacing w:val="-10"/>
        </w:rPr>
        <w:t> </w:t>
      </w:r>
      <w:r>
        <w:rPr/>
        <w:t>Annex</w:t>
      </w:r>
      <w:r>
        <w:rPr>
          <w:spacing w:val="-10"/>
        </w:rPr>
        <w:t> </w:t>
      </w:r>
      <w:r>
        <w:rPr/>
        <w:t>1</w:t>
      </w:r>
    </w:p>
    <w:p>
      <w:pPr>
        <w:pStyle w:val="BodyText"/>
        <w:spacing w:line="232" w:lineRule="auto"/>
        <w:ind w:left="1117" w:right="738"/>
      </w:pPr>
      <w:r>
        <w:rPr/>
        <w:t>Directive, the substance of the Accessibility Act relates to age discrimination and </w:t>
      </w:r>
      <w:r>
        <w:rPr>
          <w:spacing w:val="-2"/>
        </w:rPr>
        <w:t>disability discrimination. The Accessibility Act specifically references the Convention </w:t>
      </w:r>
      <w:r>
        <w:rPr/>
        <w:t>on the Rights of Persons with Disabilities which is also a treaty binding on the UK (and</w:t>
      </w:r>
      <w:r>
        <w:rPr>
          <w:spacing w:val="-2"/>
        </w:rPr>
        <w:t> </w:t>
      </w:r>
      <w:r>
        <w:rPr/>
        <w:t>insofar</w:t>
      </w:r>
      <w:r>
        <w:rPr>
          <w:spacing w:val="-2"/>
        </w:rPr>
        <w:t> </w:t>
      </w:r>
      <w:r>
        <w:rPr/>
        <w:t>as</w:t>
      </w:r>
      <w:r>
        <w:rPr>
          <w:spacing w:val="-2"/>
        </w:rPr>
        <w:t> </w:t>
      </w:r>
      <w:r>
        <w:rPr/>
        <w:t>it</w:t>
      </w:r>
      <w:r>
        <w:rPr>
          <w:spacing w:val="-2"/>
        </w:rPr>
        <w:t> </w:t>
      </w:r>
      <w:r>
        <w:rPr/>
        <w:t>was</w:t>
      </w:r>
      <w:r>
        <w:rPr>
          <w:spacing w:val="-2"/>
        </w:rPr>
        <w:t> </w:t>
      </w:r>
      <w:r>
        <w:rPr/>
        <w:t>within</w:t>
      </w:r>
      <w:r>
        <w:rPr>
          <w:spacing w:val="-2"/>
        </w:rPr>
        <w:t> </w:t>
      </w:r>
      <w:r>
        <w:rPr/>
        <w:t>EU</w:t>
      </w:r>
      <w:r>
        <w:rPr>
          <w:spacing w:val="-2"/>
        </w:rPr>
        <w:t> </w:t>
      </w:r>
      <w:r>
        <w:rPr/>
        <w:t>law</w:t>
      </w:r>
      <w:r>
        <w:rPr>
          <w:spacing w:val="-2"/>
        </w:rPr>
        <w:t> </w:t>
      </w:r>
      <w:r>
        <w:rPr/>
        <w:t>competence</w:t>
      </w:r>
      <w:r>
        <w:rPr>
          <w:spacing w:val="-2"/>
        </w:rPr>
        <w:t> </w:t>
      </w:r>
      <w:r>
        <w:rPr/>
        <w:t>part</w:t>
      </w:r>
      <w:r>
        <w:rPr>
          <w:spacing w:val="-2"/>
        </w:rPr>
        <w:t> </w:t>
      </w:r>
      <w:r>
        <w:rPr/>
        <w:t>of</w:t>
      </w:r>
      <w:r>
        <w:rPr>
          <w:spacing w:val="-2"/>
        </w:rPr>
        <w:t> </w:t>
      </w:r>
      <w:r>
        <w:rPr/>
        <w:t>Northern</w:t>
      </w:r>
      <w:r>
        <w:rPr>
          <w:spacing w:val="-2"/>
        </w:rPr>
        <w:t> </w:t>
      </w:r>
      <w:r>
        <w:rPr/>
        <w:t>Ireland</w:t>
      </w:r>
      <w:r>
        <w:rPr>
          <w:spacing w:val="-2"/>
        </w:rPr>
        <w:t> </w:t>
      </w:r>
      <w:r>
        <w:rPr/>
        <w:t>law</w:t>
      </w:r>
      <w:r>
        <w:rPr>
          <w:spacing w:val="-2"/>
        </w:rPr>
        <w:t> </w:t>
      </w:r>
      <w:r>
        <w:rPr/>
        <w:t>prior to 31 December 2020). Enhancing the ability of people with disabilities to make</w:t>
      </w:r>
    </w:p>
    <w:p>
      <w:pPr>
        <w:pStyle w:val="BodyText"/>
        <w:spacing w:line="232" w:lineRule="auto"/>
        <w:ind w:left="1117" w:right="738"/>
      </w:pPr>
      <w:r>
        <w:rPr/>
        <w:t>use</w:t>
      </w:r>
      <w:r>
        <w:rPr>
          <w:spacing w:val="-8"/>
        </w:rPr>
        <w:t> </w:t>
      </w:r>
      <w:r>
        <w:rPr/>
        <w:t>of</w:t>
      </w:r>
      <w:r>
        <w:rPr>
          <w:spacing w:val="-8"/>
        </w:rPr>
        <w:t> </w:t>
      </w:r>
      <w:r>
        <w:rPr/>
        <w:t>quite</w:t>
      </w:r>
      <w:r>
        <w:rPr>
          <w:spacing w:val="-8"/>
        </w:rPr>
        <w:t> </w:t>
      </w:r>
      <w:r>
        <w:rPr/>
        <w:t>basic</w:t>
      </w:r>
      <w:r>
        <w:rPr>
          <w:spacing w:val="-8"/>
        </w:rPr>
        <w:t> </w:t>
      </w:r>
      <w:r>
        <w:rPr/>
        <w:t>services</w:t>
      </w:r>
      <w:r>
        <w:rPr>
          <w:spacing w:val="-8"/>
        </w:rPr>
        <w:t> </w:t>
      </w:r>
      <w:r>
        <w:rPr/>
        <w:t>must</w:t>
      </w:r>
      <w:r>
        <w:rPr>
          <w:spacing w:val="-8"/>
        </w:rPr>
        <w:t> </w:t>
      </w:r>
      <w:r>
        <w:rPr/>
        <w:t>be</w:t>
      </w:r>
      <w:r>
        <w:rPr>
          <w:spacing w:val="-8"/>
        </w:rPr>
        <w:t> </w:t>
      </w:r>
      <w:r>
        <w:rPr/>
        <w:t>considered</w:t>
      </w:r>
      <w:r>
        <w:rPr>
          <w:spacing w:val="-8"/>
        </w:rPr>
        <w:t> </w:t>
      </w:r>
      <w:r>
        <w:rPr/>
        <w:t>best</w:t>
      </w:r>
      <w:r>
        <w:rPr>
          <w:spacing w:val="-8"/>
        </w:rPr>
        <w:t> </w:t>
      </w:r>
      <w:r>
        <w:rPr/>
        <w:t>practice.</w:t>
      </w:r>
      <w:r>
        <w:rPr>
          <w:spacing w:val="-8"/>
        </w:rPr>
        <w:t> </w:t>
      </w:r>
      <w:r>
        <w:rPr/>
        <w:t>Again,</w:t>
      </w:r>
      <w:r>
        <w:rPr>
          <w:spacing w:val="-8"/>
        </w:rPr>
        <w:t> </w:t>
      </w:r>
      <w:r>
        <w:rPr/>
        <w:t>bearing</w:t>
      </w:r>
      <w:r>
        <w:rPr>
          <w:spacing w:val="-8"/>
        </w:rPr>
        <w:t> </w:t>
      </w:r>
      <w:r>
        <w:rPr/>
        <w:t>in</w:t>
      </w:r>
      <w:r>
        <w:rPr>
          <w:spacing w:val="-8"/>
        </w:rPr>
        <w:t> </w:t>
      </w:r>
      <w:r>
        <w:rPr/>
        <w:t>mind the reality of people crossing the border and living cross-border lives, it would be problematic</w:t>
      </w:r>
      <w:r>
        <w:rPr>
          <w:spacing w:val="-3"/>
        </w:rPr>
        <w:t> </w:t>
      </w:r>
      <w:r>
        <w:rPr/>
        <w:t>for</w:t>
      </w:r>
      <w:r>
        <w:rPr>
          <w:spacing w:val="-3"/>
        </w:rPr>
        <w:t> </w:t>
      </w:r>
      <w:r>
        <w:rPr/>
        <w:t>them</w:t>
      </w:r>
      <w:r>
        <w:rPr>
          <w:spacing w:val="-3"/>
        </w:rPr>
        <w:t> </w:t>
      </w:r>
      <w:r>
        <w:rPr/>
        <w:t>to</w:t>
      </w:r>
      <w:r>
        <w:rPr>
          <w:spacing w:val="-3"/>
        </w:rPr>
        <w:t> </w:t>
      </w:r>
      <w:r>
        <w:rPr/>
        <w:t>experience</w:t>
      </w:r>
      <w:r>
        <w:rPr>
          <w:spacing w:val="-3"/>
        </w:rPr>
        <w:t> </w:t>
      </w:r>
      <w:r>
        <w:rPr/>
        <w:t>different</w:t>
      </w:r>
      <w:r>
        <w:rPr>
          <w:spacing w:val="-3"/>
        </w:rPr>
        <w:t> </w:t>
      </w:r>
      <w:r>
        <w:rPr/>
        <w:t>standards</w:t>
      </w:r>
      <w:r>
        <w:rPr>
          <w:spacing w:val="-3"/>
        </w:rPr>
        <w:t> </w:t>
      </w:r>
      <w:r>
        <w:rPr/>
        <w:t>of</w:t>
      </w:r>
      <w:r>
        <w:rPr>
          <w:spacing w:val="-3"/>
        </w:rPr>
        <w:t> </w:t>
      </w:r>
      <w:r>
        <w:rPr/>
        <w:t>accessibility;</w:t>
      </w:r>
      <w:r>
        <w:rPr>
          <w:spacing w:val="-3"/>
        </w:rPr>
        <w:t> </w:t>
      </w:r>
      <w:r>
        <w:rPr/>
        <w:t>divergence may</w:t>
      </w:r>
      <w:r>
        <w:rPr>
          <w:spacing w:val="-10"/>
        </w:rPr>
        <w:t> </w:t>
      </w:r>
      <w:r>
        <w:rPr/>
        <w:t>also</w:t>
      </w:r>
      <w:r>
        <w:rPr>
          <w:spacing w:val="-10"/>
        </w:rPr>
        <w:t> </w:t>
      </w:r>
      <w:r>
        <w:rPr/>
        <w:t>undermine</w:t>
      </w:r>
      <w:r>
        <w:rPr>
          <w:spacing w:val="-10"/>
        </w:rPr>
        <w:t> </w:t>
      </w:r>
      <w:r>
        <w:rPr/>
        <w:t>the</w:t>
      </w:r>
      <w:r>
        <w:rPr>
          <w:spacing w:val="-10"/>
        </w:rPr>
        <w:t> </w:t>
      </w:r>
      <w:r>
        <w:rPr/>
        <w:t>ability</w:t>
      </w:r>
      <w:r>
        <w:rPr>
          <w:spacing w:val="-10"/>
        </w:rPr>
        <w:t> </w:t>
      </w:r>
      <w:r>
        <w:rPr/>
        <w:t>of</w:t>
      </w:r>
      <w:r>
        <w:rPr>
          <w:spacing w:val="-10"/>
        </w:rPr>
        <w:t> </w:t>
      </w:r>
      <w:r>
        <w:rPr/>
        <w:t>NI</w:t>
      </w:r>
      <w:r>
        <w:rPr>
          <w:spacing w:val="-10"/>
        </w:rPr>
        <w:t> </w:t>
      </w:r>
      <w:r>
        <w:rPr/>
        <w:t>business</w:t>
      </w:r>
      <w:r>
        <w:rPr>
          <w:spacing w:val="-10"/>
        </w:rPr>
        <w:t> </w:t>
      </w:r>
      <w:r>
        <w:rPr/>
        <w:t>to</w:t>
      </w:r>
      <w:r>
        <w:rPr>
          <w:spacing w:val="-10"/>
        </w:rPr>
        <w:t> </w:t>
      </w:r>
      <w:r>
        <w:rPr/>
        <w:t>trade.</w:t>
      </w:r>
      <w:r>
        <w:rPr>
          <w:spacing w:val="-10"/>
        </w:rPr>
        <w:t> </w:t>
      </w:r>
      <w:r>
        <w:rPr/>
        <w:t>The</w:t>
      </w:r>
      <w:r>
        <w:rPr>
          <w:spacing w:val="-10"/>
        </w:rPr>
        <w:t> </w:t>
      </w:r>
      <w:r>
        <w:rPr/>
        <w:t>initial</w:t>
      </w:r>
      <w:r>
        <w:rPr>
          <w:spacing w:val="-10"/>
        </w:rPr>
        <w:t> </w:t>
      </w:r>
      <w:r>
        <w:rPr/>
        <w:t>divergence</w:t>
      </w:r>
      <w:r>
        <w:rPr>
          <w:spacing w:val="-10"/>
        </w:rPr>
        <w:t> </w:t>
      </w:r>
      <w:r>
        <w:rPr/>
        <w:t>report recommended that Northern Ireland should consider alignment in this field given</w:t>
      </w:r>
      <w:r>
        <w:rPr/>
        <w:t> its</w:t>
      </w:r>
      <w:r>
        <w:rPr>
          <w:spacing w:val="-10"/>
        </w:rPr>
        <w:t> </w:t>
      </w:r>
      <w:r>
        <w:rPr/>
        <w:t>relevance</w:t>
      </w:r>
      <w:r>
        <w:rPr>
          <w:spacing w:val="-10"/>
        </w:rPr>
        <w:t> </w:t>
      </w:r>
      <w:r>
        <w:rPr/>
        <w:t>to</w:t>
      </w:r>
      <w:r>
        <w:rPr>
          <w:spacing w:val="-10"/>
        </w:rPr>
        <w:t> </w:t>
      </w:r>
      <w:r>
        <w:rPr/>
        <w:t>Article</w:t>
      </w:r>
      <w:r>
        <w:rPr>
          <w:spacing w:val="-10"/>
        </w:rPr>
        <w:t> </w:t>
      </w:r>
      <w:r>
        <w:rPr/>
        <w:t>2</w:t>
      </w:r>
      <w:r>
        <w:rPr>
          <w:spacing w:val="-10"/>
        </w:rPr>
        <w:t> </w:t>
      </w:r>
      <w:r>
        <w:rPr/>
        <w:t>WF</w:t>
      </w:r>
      <w:r>
        <w:rPr>
          <w:spacing w:val="-10"/>
        </w:rPr>
        <w:t> </w:t>
      </w:r>
      <w:r>
        <w:rPr/>
        <w:t>and</w:t>
      </w:r>
      <w:r>
        <w:rPr>
          <w:spacing w:val="-10"/>
        </w:rPr>
        <w:t> </w:t>
      </w:r>
      <w:r>
        <w:rPr/>
        <w:t>the</w:t>
      </w:r>
      <w:r>
        <w:rPr>
          <w:spacing w:val="-10"/>
        </w:rPr>
        <w:t> </w:t>
      </w:r>
      <w:r>
        <w:rPr/>
        <w:t>equality</w:t>
      </w:r>
      <w:r>
        <w:rPr>
          <w:spacing w:val="-10"/>
        </w:rPr>
        <w:t> </w:t>
      </w:r>
      <w:r>
        <w:rPr/>
        <w:t>rights</w:t>
      </w:r>
      <w:r>
        <w:rPr>
          <w:spacing w:val="-10"/>
        </w:rPr>
        <w:t> </w:t>
      </w:r>
      <w:r>
        <w:rPr/>
        <w:t>of</w:t>
      </w:r>
      <w:r>
        <w:rPr>
          <w:spacing w:val="-10"/>
        </w:rPr>
        <w:t> </w:t>
      </w:r>
      <w:r>
        <w:rPr/>
        <w:t>older</w:t>
      </w:r>
      <w:r>
        <w:rPr>
          <w:spacing w:val="-10"/>
        </w:rPr>
        <w:t> </w:t>
      </w:r>
      <w:r>
        <w:rPr/>
        <w:t>people</w:t>
      </w:r>
      <w:r>
        <w:rPr>
          <w:spacing w:val="-10"/>
        </w:rPr>
        <w:t> </w:t>
      </w:r>
      <w:r>
        <w:rPr/>
        <w:t>and</w:t>
      </w:r>
      <w:r>
        <w:rPr>
          <w:spacing w:val="-10"/>
        </w:rPr>
        <w:t> </w:t>
      </w:r>
      <w:r>
        <w:rPr/>
        <w:t>people</w:t>
      </w:r>
      <w:r>
        <w:rPr>
          <w:spacing w:val="-10"/>
        </w:rPr>
        <w:t> </w:t>
      </w:r>
      <w:r>
        <w:rPr/>
        <w:t>with a</w:t>
      </w:r>
      <w:r>
        <w:rPr>
          <w:spacing w:val="-2"/>
        </w:rPr>
        <w:t> </w:t>
      </w:r>
      <w:r>
        <w:rPr/>
        <w:t>disability.</w:t>
      </w:r>
      <w:r>
        <w:rPr>
          <w:vertAlign w:val="superscript"/>
        </w:rPr>
        <w:t>399</w:t>
      </w:r>
      <w:r>
        <w:rPr>
          <w:spacing w:val="-2"/>
          <w:vertAlign w:val="baseline"/>
        </w:rPr>
        <w:t> </w:t>
      </w:r>
      <w:r>
        <w:rPr>
          <w:vertAlign w:val="baseline"/>
        </w:rPr>
        <w:t>The</w:t>
      </w:r>
      <w:r>
        <w:rPr>
          <w:spacing w:val="-2"/>
          <w:vertAlign w:val="baseline"/>
        </w:rPr>
        <w:t> </w:t>
      </w:r>
      <w:r>
        <w:rPr>
          <w:vertAlign w:val="baseline"/>
        </w:rPr>
        <w:t>NIHRC</w:t>
      </w:r>
      <w:r>
        <w:rPr>
          <w:spacing w:val="-2"/>
          <w:vertAlign w:val="baseline"/>
        </w:rPr>
        <w:t> </w:t>
      </w:r>
      <w:r>
        <w:rPr>
          <w:vertAlign w:val="baseline"/>
        </w:rPr>
        <w:t>and</w:t>
      </w:r>
      <w:r>
        <w:rPr>
          <w:spacing w:val="-2"/>
          <w:vertAlign w:val="baseline"/>
        </w:rPr>
        <w:t> </w:t>
      </w:r>
      <w:r>
        <w:rPr>
          <w:vertAlign w:val="baseline"/>
        </w:rPr>
        <w:t>ECNI</w:t>
      </w:r>
      <w:r>
        <w:rPr>
          <w:spacing w:val="-2"/>
          <w:vertAlign w:val="baseline"/>
        </w:rPr>
        <w:t> </w:t>
      </w:r>
      <w:r>
        <w:rPr>
          <w:vertAlign w:val="baseline"/>
        </w:rPr>
        <w:t>also</w:t>
      </w:r>
      <w:r>
        <w:rPr>
          <w:spacing w:val="-2"/>
          <w:vertAlign w:val="baseline"/>
        </w:rPr>
        <w:t> </w:t>
      </w:r>
      <w:r>
        <w:rPr>
          <w:vertAlign w:val="baseline"/>
        </w:rPr>
        <w:t>recommended</w:t>
      </w:r>
      <w:r>
        <w:rPr>
          <w:spacing w:val="-2"/>
          <w:vertAlign w:val="baseline"/>
        </w:rPr>
        <w:t> </w:t>
      </w:r>
      <w:r>
        <w:rPr>
          <w:vertAlign w:val="baseline"/>
        </w:rPr>
        <w:t>that</w:t>
      </w:r>
      <w:r>
        <w:rPr>
          <w:spacing w:val="-2"/>
          <w:vertAlign w:val="baseline"/>
        </w:rPr>
        <w:t> </w:t>
      </w:r>
      <w:r>
        <w:rPr>
          <w:vertAlign w:val="baseline"/>
        </w:rPr>
        <w:t>the</w:t>
      </w:r>
      <w:r>
        <w:rPr>
          <w:spacing w:val="-2"/>
          <w:vertAlign w:val="baseline"/>
        </w:rPr>
        <w:t> </w:t>
      </w:r>
      <w:r>
        <w:rPr>
          <w:vertAlign w:val="baseline"/>
        </w:rPr>
        <w:t>NI</w:t>
      </w:r>
      <w:r>
        <w:rPr>
          <w:spacing w:val="-2"/>
          <w:vertAlign w:val="baseline"/>
        </w:rPr>
        <w:t> </w:t>
      </w:r>
      <w:r>
        <w:rPr>
          <w:vertAlign w:val="baseline"/>
        </w:rPr>
        <w:t>Executive</w:t>
      </w:r>
      <w:r>
        <w:rPr>
          <w:spacing w:val="-2"/>
          <w:vertAlign w:val="baseline"/>
        </w:rPr>
        <w:t> </w:t>
      </w:r>
      <w:r>
        <w:rPr>
          <w:vertAlign w:val="baseline"/>
        </w:rPr>
        <w:t>and relevant departments voluntarily align with the provisions of the Accessibility Act which enhance rights for older persons and persons with disabilities.</w:t>
      </w:r>
      <w:r>
        <w:rPr>
          <w:vertAlign w:val="superscript"/>
        </w:rPr>
        <w:t>400</w:t>
      </w:r>
    </w:p>
    <w:p>
      <w:pPr>
        <w:pStyle w:val="BodyText"/>
        <w:spacing w:before="7"/>
        <w:rPr>
          <w:sz w:val="18"/>
        </w:rPr>
      </w:pPr>
      <w:r>
        <w:rPr/>
        <mc:AlternateContent>
          <mc:Choice Requires="wps">
            <w:drawing>
              <wp:anchor distT="0" distB="0" distL="0" distR="0" allowOverlap="1" layoutInCell="1" locked="0" behindDoc="1" simplePos="0" relativeHeight="487706112">
                <wp:simplePos x="0" y="0"/>
                <wp:positionH relativeFrom="page">
                  <wp:posOffset>899994</wp:posOffset>
                </wp:positionH>
                <wp:positionV relativeFrom="paragraph">
                  <wp:posOffset>159323</wp:posOffset>
                </wp:positionV>
                <wp:extent cx="6012180" cy="1232535"/>
                <wp:effectExtent l="0" t="0" r="0" b="0"/>
                <wp:wrapTopAndBottom/>
                <wp:docPr id="628" name="Group 628"/>
                <wp:cNvGraphicFramePr>
                  <a:graphicFrameLocks/>
                </wp:cNvGraphicFramePr>
                <a:graphic>
                  <a:graphicData uri="http://schemas.microsoft.com/office/word/2010/wordprocessingGroup">
                    <wpg:wgp>
                      <wpg:cNvPr id="628" name="Group 628"/>
                      <wpg:cNvGrpSpPr/>
                      <wpg:grpSpPr>
                        <a:xfrm>
                          <a:off x="0" y="0"/>
                          <a:ext cx="6012180" cy="1232535"/>
                          <a:chExt cx="6012180" cy="1232535"/>
                        </a:xfrm>
                      </wpg:grpSpPr>
                      <wps:wsp>
                        <wps:cNvPr id="629" name="Graphic 629"/>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630" name="Textbox 630"/>
                        <wps:cNvSpPr txBox="1"/>
                        <wps:spPr>
                          <a:xfrm>
                            <a:off x="0" y="0"/>
                            <a:ext cx="6012180" cy="1232535"/>
                          </a:xfrm>
                          <a:prstGeom prst="rect">
                            <a:avLst/>
                          </a:prstGeom>
                        </wps:spPr>
                        <wps:txbx>
                          <w:txbxContent>
                            <w:p>
                              <w:pPr>
                                <w:spacing w:line="232" w:lineRule="auto" w:before="121"/>
                                <w:ind w:left="340" w:right="196" w:firstLine="0"/>
                                <w:jc w:val="left"/>
                                <w:rPr>
                                  <w:b/>
                                  <w:sz w:val="28"/>
                                </w:rPr>
                              </w:pPr>
                              <w:r>
                                <w:rPr>
                                  <w:b/>
                                  <w:color w:val="164194"/>
                                  <w:sz w:val="28"/>
                                </w:rPr>
                                <w:t>We recommend the NI Executive draft legislation to give effect to the standards as are provided for in Ireland in its implementation of the European Accessibility Act as a matter of voluntary alignment where these strengthen</w:t>
                              </w:r>
                              <w:r>
                                <w:rPr>
                                  <w:b/>
                                  <w:color w:val="164194"/>
                                  <w:spacing w:val="-9"/>
                                  <w:sz w:val="28"/>
                                </w:rPr>
                                <w:t>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reflect</w:t>
                              </w:r>
                              <w:r>
                                <w:rPr>
                                  <w:b/>
                                  <w:color w:val="164194"/>
                                  <w:spacing w:val="-9"/>
                                  <w:sz w:val="28"/>
                                </w:rPr>
                                <w:t> </w:t>
                              </w:r>
                              <w:r>
                                <w:rPr>
                                  <w:b/>
                                  <w:color w:val="164194"/>
                                  <w:sz w:val="28"/>
                                </w:rPr>
                                <w:t>international</w:t>
                              </w:r>
                              <w:r>
                                <w:rPr>
                                  <w:b/>
                                  <w:color w:val="164194"/>
                                  <w:spacing w:val="-9"/>
                                  <w:sz w:val="28"/>
                                </w:rPr>
                                <w:t> </w:t>
                              </w:r>
                              <w:r>
                                <w:rPr>
                                  <w:b/>
                                  <w:color w:val="164194"/>
                                  <w:sz w:val="28"/>
                                </w:rPr>
                                <w:t>human</w:t>
                              </w:r>
                              <w:r>
                                <w:rPr>
                                  <w:b/>
                                  <w:color w:val="164194"/>
                                  <w:spacing w:val="-9"/>
                                  <w:sz w:val="28"/>
                                </w:rPr>
                                <w:t> </w:t>
                              </w:r>
                              <w:r>
                                <w:rPr>
                                  <w:b/>
                                  <w:color w:val="164194"/>
                                  <w:sz w:val="28"/>
                                </w:rPr>
                                <w:t>rights</w:t>
                              </w:r>
                              <w:r>
                                <w:rPr>
                                  <w:b/>
                                  <w:color w:val="164194"/>
                                  <w:spacing w:val="-9"/>
                                  <w:sz w:val="28"/>
                                </w:rPr>
                                <w:t> </w:t>
                              </w:r>
                              <w:r>
                                <w:rPr>
                                  <w:b/>
                                  <w:color w:val="164194"/>
                                  <w:sz w:val="28"/>
                                </w:rPr>
                                <w:t>standards</w:t>
                              </w:r>
                              <w:r>
                                <w:rPr>
                                  <w:b/>
                                  <w:color w:val="164194"/>
                                  <w:spacing w:val="-9"/>
                                  <w:sz w:val="28"/>
                                </w:rPr>
                                <w:t> </w:t>
                              </w:r>
                              <w:r>
                                <w:rPr>
                                  <w:b/>
                                  <w:color w:val="164194"/>
                                  <w:sz w:val="28"/>
                                </w:rPr>
                                <w:t>and</w:t>
                              </w:r>
                              <w:r>
                                <w:rPr>
                                  <w:b/>
                                  <w:color w:val="164194"/>
                                  <w:spacing w:val="-9"/>
                                  <w:sz w:val="28"/>
                                </w:rPr>
                                <w:t> </w:t>
                              </w:r>
                              <w:r>
                                <w:rPr>
                                  <w:b/>
                                  <w:color w:val="164194"/>
                                  <w:sz w:val="28"/>
                                </w:rPr>
                                <w:t>best </w:t>
                              </w:r>
                              <w:r>
                                <w:rPr>
                                  <w:b/>
                                  <w:color w:val="164194"/>
                                  <w:spacing w:val="-2"/>
                                  <w:sz w:val="28"/>
                                </w:rPr>
                                <w:t>practice.</w:t>
                              </w:r>
                            </w:p>
                          </w:txbxContent>
                        </wps:txbx>
                        <wps:bodyPr wrap="square" lIns="0" tIns="0" rIns="0" bIns="0" rtlCol="0">
                          <a:noAutofit/>
                        </wps:bodyPr>
                      </wps:wsp>
                    </wpg:wgp>
                  </a:graphicData>
                </a:graphic>
              </wp:anchor>
            </w:drawing>
          </mc:Choice>
          <mc:Fallback>
            <w:pict>
              <v:group style="position:absolute;margin-left:70.8657pt;margin-top:12.545186pt;width:473.4pt;height:97.05pt;mso-position-horizontal-relative:page;mso-position-vertical-relative:paragraph;z-index:-15610368;mso-wrap-distance-left:0;mso-wrap-distance-right:0" id="docshapegroup507" coordorigin="1417,251" coordsize="9468,1941">
                <v:shape style="position:absolute;left:1417;top:250;width:9468;height:1941" id="docshape508" coordorigin="1417,251" coordsize="9468,1941" path="m10658,251l1644,251,1572,262,1510,295,1461,344,1429,406,1417,478,1417,1964,1429,2036,1461,2098,1510,2147,1572,2180,1644,2191,10658,2191,10730,2180,10792,2147,10841,2098,10873,2036,10885,1964,10885,478,10873,406,10841,344,10792,295,10730,262,10658,251xe" filled="true" fillcolor="#e9f3fc" stroked="false">
                  <v:path arrowok="t"/>
                  <v:fill type="solid"/>
                </v:shape>
                <v:shape style="position:absolute;left:1417;top:250;width:9468;height:1941" type="#_x0000_t202" id="docshape509" filled="false" stroked="false">
                  <v:textbox inset="0,0,0,0">
                    <w:txbxContent>
                      <w:p>
                        <w:pPr>
                          <w:spacing w:line="232" w:lineRule="auto" w:before="121"/>
                          <w:ind w:left="340" w:right="196" w:firstLine="0"/>
                          <w:jc w:val="left"/>
                          <w:rPr>
                            <w:b/>
                            <w:sz w:val="28"/>
                          </w:rPr>
                        </w:pPr>
                        <w:r>
                          <w:rPr>
                            <w:b/>
                            <w:color w:val="164194"/>
                            <w:sz w:val="28"/>
                          </w:rPr>
                          <w:t>We recommend the NI Executive draft legislation to give effect to the standards as are provided for in Ireland in its implementation of the European Accessibility Act as a matter of voluntary alignment where these strengthen</w:t>
                        </w:r>
                        <w:r>
                          <w:rPr>
                            <w:b/>
                            <w:color w:val="164194"/>
                            <w:spacing w:val="-9"/>
                            <w:sz w:val="28"/>
                          </w:rPr>
                          <w:t>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reflect</w:t>
                        </w:r>
                        <w:r>
                          <w:rPr>
                            <w:b/>
                            <w:color w:val="164194"/>
                            <w:spacing w:val="-9"/>
                            <w:sz w:val="28"/>
                          </w:rPr>
                          <w:t> </w:t>
                        </w:r>
                        <w:r>
                          <w:rPr>
                            <w:b/>
                            <w:color w:val="164194"/>
                            <w:sz w:val="28"/>
                          </w:rPr>
                          <w:t>international</w:t>
                        </w:r>
                        <w:r>
                          <w:rPr>
                            <w:b/>
                            <w:color w:val="164194"/>
                            <w:spacing w:val="-9"/>
                            <w:sz w:val="28"/>
                          </w:rPr>
                          <w:t> </w:t>
                        </w:r>
                        <w:r>
                          <w:rPr>
                            <w:b/>
                            <w:color w:val="164194"/>
                            <w:sz w:val="28"/>
                          </w:rPr>
                          <w:t>human</w:t>
                        </w:r>
                        <w:r>
                          <w:rPr>
                            <w:b/>
                            <w:color w:val="164194"/>
                            <w:spacing w:val="-9"/>
                            <w:sz w:val="28"/>
                          </w:rPr>
                          <w:t> </w:t>
                        </w:r>
                        <w:r>
                          <w:rPr>
                            <w:b/>
                            <w:color w:val="164194"/>
                            <w:sz w:val="28"/>
                          </w:rPr>
                          <w:t>rights</w:t>
                        </w:r>
                        <w:r>
                          <w:rPr>
                            <w:b/>
                            <w:color w:val="164194"/>
                            <w:spacing w:val="-9"/>
                            <w:sz w:val="28"/>
                          </w:rPr>
                          <w:t> </w:t>
                        </w:r>
                        <w:r>
                          <w:rPr>
                            <w:b/>
                            <w:color w:val="164194"/>
                            <w:sz w:val="28"/>
                          </w:rPr>
                          <w:t>standards</w:t>
                        </w:r>
                        <w:r>
                          <w:rPr>
                            <w:b/>
                            <w:color w:val="164194"/>
                            <w:spacing w:val="-9"/>
                            <w:sz w:val="28"/>
                          </w:rPr>
                          <w:t> </w:t>
                        </w:r>
                        <w:r>
                          <w:rPr>
                            <w:b/>
                            <w:color w:val="164194"/>
                            <w:sz w:val="28"/>
                          </w:rPr>
                          <w:t>and</w:t>
                        </w:r>
                        <w:r>
                          <w:rPr>
                            <w:b/>
                            <w:color w:val="164194"/>
                            <w:spacing w:val="-9"/>
                            <w:sz w:val="28"/>
                          </w:rPr>
                          <w:t> </w:t>
                        </w:r>
                        <w:r>
                          <w:rPr>
                            <w:b/>
                            <w:color w:val="164194"/>
                            <w:sz w:val="28"/>
                          </w:rPr>
                          <w:t>best </w:t>
                        </w:r>
                        <w:r>
                          <w:rPr>
                            <w:b/>
                            <w:color w:val="164194"/>
                            <w:spacing w:val="-2"/>
                            <w:sz w:val="28"/>
                          </w:rPr>
                          <w:t>practice.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06624">
                <wp:simplePos x="0" y="0"/>
                <wp:positionH relativeFrom="page">
                  <wp:posOffset>899999</wp:posOffset>
                </wp:positionH>
                <wp:positionV relativeFrom="paragraph">
                  <wp:posOffset>1610966</wp:posOffset>
                </wp:positionV>
                <wp:extent cx="6012180" cy="1270"/>
                <wp:effectExtent l="0" t="0" r="0" b="0"/>
                <wp:wrapTopAndBottom/>
                <wp:docPr id="631" name="Graphic 631"/>
                <wp:cNvGraphicFramePr>
                  <a:graphicFrameLocks/>
                </wp:cNvGraphicFramePr>
                <a:graphic>
                  <a:graphicData uri="http://schemas.microsoft.com/office/word/2010/wordprocessingShape">
                    <wps:wsp>
                      <wps:cNvPr id="631" name="Graphic 63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26.847786pt;width:473.4pt;height:.1pt;mso-position-horizontal-relative:page;mso-position-vertical-relative:paragraph;z-index:-15609856;mso-wrap-distance-left:0;mso-wrap-distance-right:0" id="docshape510" coordorigin="1417,2537" coordsize="9468,0" path="m1417,2537l10885,2537e" filled="false" stroked="true" strokeweight=".5pt" strokecolor="#36a9e1">
                <v:path arrowok="t"/>
                <v:stroke dashstyle="solid"/>
                <w10:wrap type="topAndBottom"/>
              </v:shape>
            </w:pict>
          </mc:Fallback>
        </mc:AlternateContent>
      </w:r>
    </w:p>
    <w:p>
      <w:pPr>
        <w:pStyle w:val="BodyText"/>
        <w:spacing w:before="77"/>
        <w:rPr>
          <w:sz w:val="20"/>
        </w:rPr>
      </w:pPr>
    </w:p>
    <w:p>
      <w:pPr>
        <w:pStyle w:val="ListParagraph"/>
        <w:numPr>
          <w:ilvl w:val="0"/>
          <w:numId w:val="18"/>
        </w:numPr>
        <w:tabs>
          <w:tab w:pos="1684" w:val="left" w:leader="none"/>
        </w:tabs>
        <w:spacing w:line="240" w:lineRule="auto" w:before="43" w:after="0"/>
        <w:ind w:left="1684" w:right="806" w:hanging="567"/>
        <w:jc w:val="left"/>
        <w:rPr>
          <w:sz w:val="18"/>
        </w:rPr>
      </w:pPr>
      <w:hyperlink r:id="rId104">
        <w:r>
          <w:rPr>
            <w:color w:val="1D71B8"/>
            <w:sz w:val="18"/>
            <w:u w:val="single" w:color="1D71B8"/>
          </w:rPr>
          <w:t>Directive</w:t>
        </w:r>
        <w:r>
          <w:rPr>
            <w:color w:val="1D71B8"/>
            <w:spacing w:val="-3"/>
            <w:sz w:val="18"/>
            <w:u w:val="single" w:color="1D71B8"/>
          </w:rPr>
          <w:t> </w:t>
        </w:r>
        <w:r>
          <w:rPr>
            <w:color w:val="1D71B8"/>
            <w:sz w:val="18"/>
            <w:u w:val="single" w:color="1D71B8"/>
          </w:rPr>
          <w:t>(EU)</w:t>
        </w:r>
        <w:r>
          <w:rPr>
            <w:color w:val="1D71B8"/>
            <w:spacing w:val="-4"/>
            <w:sz w:val="18"/>
            <w:u w:val="single" w:color="1D71B8"/>
          </w:rPr>
          <w:t> </w:t>
        </w:r>
        <w:r>
          <w:rPr>
            <w:color w:val="1D71B8"/>
            <w:sz w:val="18"/>
            <w:u w:val="single" w:color="1D71B8"/>
          </w:rPr>
          <w:t>2019/882</w:t>
        </w:r>
      </w:hyperlink>
      <w:r>
        <w:rPr>
          <w:color w:val="1D71B8"/>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17</w:t>
      </w:r>
      <w:r>
        <w:rPr>
          <w:spacing w:val="-3"/>
          <w:sz w:val="18"/>
          <w:u w:val="none"/>
        </w:rPr>
        <w:t> </w:t>
      </w:r>
      <w:r>
        <w:rPr>
          <w:sz w:val="18"/>
          <w:u w:val="none"/>
        </w:rPr>
        <w:t>April</w:t>
      </w:r>
      <w:r>
        <w:rPr>
          <w:spacing w:val="-4"/>
          <w:sz w:val="18"/>
          <w:u w:val="none"/>
        </w:rPr>
        <w:t> </w:t>
      </w:r>
      <w:r>
        <w:rPr>
          <w:sz w:val="18"/>
          <w:u w:val="none"/>
        </w:rPr>
        <w:t>2019</w:t>
      </w:r>
      <w:r>
        <w:rPr>
          <w:spacing w:val="-3"/>
          <w:sz w:val="18"/>
          <w:u w:val="none"/>
        </w:rPr>
        <w:t> </w:t>
      </w:r>
      <w:r>
        <w:rPr>
          <w:sz w:val="18"/>
          <w:u w:val="none"/>
        </w:rPr>
        <w:t>on</w:t>
      </w:r>
      <w:r>
        <w:rPr>
          <w:spacing w:val="-4"/>
          <w:sz w:val="18"/>
          <w:u w:val="none"/>
        </w:rPr>
        <w:t> </w:t>
      </w:r>
      <w:r>
        <w:rPr>
          <w:sz w:val="18"/>
          <w:u w:val="none"/>
        </w:rPr>
        <w:t>the</w:t>
      </w:r>
      <w:r>
        <w:rPr>
          <w:spacing w:val="-3"/>
          <w:sz w:val="18"/>
          <w:u w:val="none"/>
        </w:rPr>
        <w:t> </w:t>
      </w:r>
      <w:r>
        <w:rPr>
          <w:sz w:val="18"/>
          <w:u w:val="none"/>
        </w:rPr>
        <w:t>accessibility</w:t>
      </w:r>
      <w:r>
        <w:rPr>
          <w:spacing w:val="-3"/>
          <w:sz w:val="18"/>
          <w:u w:val="none"/>
        </w:rPr>
        <w:t> </w:t>
      </w:r>
      <w:r>
        <w:rPr>
          <w:sz w:val="18"/>
          <w:u w:val="none"/>
        </w:rPr>
        <w:t>requirements for products and services (Text with EEA relevance) (European Accessibility Act) 2019, Article 31.</w:t>
      </w:r>
    </w:p>
    <w:p>
      <w:pPr>
        <w:pStyle w:val="ListParagraph"/>
        <w:numPr>
          <w:ilvl w:val="0"/>
          <w:numId w:val="18"/>
        </w:numPr>
        <w:tabs>
          <w:tab w:pos="1684" w:val="left" w:leader="none"/>
        </w:tabs>
        <w:spacing w:line="240" w:lineRule="auto" w:before="1" w:after="0"/>
        <w:ind w:left="1684" w:right="1289" w:hanging="567"/>
        <w:jc w:val="left"/>
        <w:rPr>
          <w:i/>
          <w:sz w:val="18"/>
        </w:rPr>
      </w:pPr>
      <w:r>
        <w:rPr>
          <w:sz w:val="18"/>
        </w:rPr>
        <w:t>Naomi</w:t>
      </w:r>
      <w:r>
        <w:rPr>
          <w:spacing w:val="-4"/>
          <w:sz w:val="18"/>
        </w:rPr>
        <w:t> </w:t>
      </w:r>
      <w:r>
        <w:rPr>
          <w:sz w:val="18"/>
        </w:rPr>
        <w:t>O’Leary</w:t>
      </w:r>
      <w:r>
        <w:rPr>
          <w:spacing w:val="-4"/>
          <w:sz w:val="18"/>
        </w:rPr>
        <w:t> </w:t>
      </w:r>
      <w:hyperlink r:id="rId105">
        <w:r>
          <w:rPr>
            <w:color w:val="1D71B8"/>
            <w:sz w:val="18"/>
            <w:u w:val="single" w:color="1D71B8"/>
          </w:rPr>
          <w:t>‘European</w:t>
        </w:r>
        <w:r>
          <w:rPr>
            <w:color w:val="1D71B8"/>
            <w:spacing w:val="-4"/>
            <w:sz w:val="18"/>
            <w:u w:val="single" w:color="1D71B8"/>
          </w:rPr>
          <w:t> </w:t>
        </w:r>
        <w:r>
          <w:rPr>
            <w:color w:val="1D71B8"/>
            <w:sz w:val="18"/>
            <w:u w:val="single" w:color="1D71B8"/>
          </w:rPr>
          <w:t>Commission</w:t>
        </w:r>
        <w:r>
          <w:rPr>
            <w:color w:val="1D71B8"/>
            <w:spacing w:val="-4"/>
            <w:sz w:val="18"/>
            <w:u w:val="single" w:color="1D71B8"/>
          </w:rPr>
          <w:t> </w:t>
        </w:r>
        <w:r>
          <w:rPr>
            <w:color w:val="1D71B8"/>
            <w:sz w:val="18"/>
            <w:u w:val="single" w:color="1D71B8"/>
          </w:rPr>
          <w:t>gives</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deadline</w:t>
        </w:r>
        <w:r>
          <w:rPr>
            <w:color w:val="1D71B8"/>
            <w:spacing w:val="-4"/>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act</w:t>
        </w:r>
        <w:r>
          <w:rPr>
            <w:color w:val="1D71B8"/>
            <w:spacing w:val="-4"/>
            <w:sz w:val="18"/>
            <w:u w:val="single" w:color="1D71B8"/>
          </w:rPr>
          <w:t> </w:t>
        </w:r>
        <w:r>
          <w:rPr>
            <w:color w:val="1D71B8"/>
            <w:sz w:val="18"/>
            <w:u w:val="single" w:color="1D71B8"/>
          </w:rPr>
          <w:t>over</w:t>
        </w:r>
        <w:r>
          <w:rPr>
            <w:color w:val="1D71B8"/>
            <w:spacing w:val="-4"/>
            <w:sz w:val="18"/>
            <w:u w:val="single" w:color="1D71B8"/>
          </w:rPr>
          <w:t> </w:t>
        </w:r>
        <w:r>
          <w:rPr>
            <w:color w:val="1D71B8"/>
            <w:sz w:val="18"/>
            <w:u w:val="single" w:color="1D71B8"/>
          </w:rPr>
          <w:t>consumer</w:t>
        </w:r>
        <w:r>
          <w:rPr>
            <w:color w:val="1D71B8"/>
            <w:spacing w:val="-4"/>
            <w:sz w:val="18"/>
            <w:u w:val="single" w:color="1D71B8"/>
          </w:rPr>
          <w:t> </w:t>
        </w:r>
        <w:r>
          <w:rPr>
            <w:color w:val="1D71B8"/>
            <w:sz w:val="18"/>
            <w:u w:val="single" w:color="1D71B8"/>
          </w:rPr>
          <w:t>protection</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disability</w:t>
        </w:r>
        <w:r>
          <w:rPr>
            <w:color w:val="1D71B8"/>
            <w:spacing w:val="-4"/>
            <w:sz w:val="18"/>
            <w:u w:val="single" w:color="1D71B8"/>
          </w:rPr>
          <w:t> </w:t>
        </w:r>
        <w:r>
          <w:rPr>
            <w:color w:val="1D71B8"/>
            <w:sz w:val="18"/>
            <w:u w:val="single" w:color="1D71B8"/>
          </w:rPr>
          <w:t>access</w:t>
        </w:r>
      </w:hyperlink>
      <w:r>
        <w:rPr>
          <w:color w:val="1D71B8"/>
          <w:sz w:val="18"/>
          <w:u w:val="none"/>
        </w:rPr>
        <w:t> </w:t>
      </w:r>
      <w:hyperlink r:id="rId105">
        <w:r>
          <w:rPr>
            <w:color w:val="1D71B8"/>
            <w:sz w:val="18"/>
            <w:u w:val="single" w:color="1D71B8"/>
          </w:rPr>
          <w:t>failures’</w:t>
        </w:r>
      </w:hyperlink>
      <w:r>
        <w:rPr>
          <w:color w:val="1D71B8"/>
          <w:sz w:val="18"/>
          <w:u w:val="none"/>
        </w:rPr>
        <w:t> </w:t>
      </w:r>
      <w:r>
        <w:rPr>
          <w:sz w:val="18"/>
          <w:u w:val="none"/>
        </w:rPr>
        <w:t>(14 July 2023) </w:t>
      </w:r>
      <w:r>
        <w:rPr>
          <w:i/>
          <w:sz w:val="18"/>
          <w:u w:val="none"/>
        </w:rPr>
        <w:t>Irish Times.</w:t>
      </w:r>
    </w:p>
    <w:p>
      <w:pPr>
        <w:pStyle w:val="ListParagraph"/>
        <w:numPr>
          <w:ilvl w:val="0"/>
          <w:numId w:val="18"/>
        </w:numPr>
        <w:tabs>
          <w:tab w:pos="1684" w:val="left" w:leader="none"/>
        </w:tabs>
        <w:spacing w:line="240" w:lineRule="auto" w:before="0" w:after="0"/>
        <w:ind w:left="1684" w:right="816" w:hanging="567"/>
        <w:jc w:val="left"/>
        <w:rPr>
          <w:sz w:val="18"/>
        </w:rPr>
      </w:pPr>
      <w:hyperlink r:id="rId106">
        <w:r>
          <w:rPr>
            <w:color w:val="1D71B8"/>
            <w:sz w:val="18"/>
            <w:u w:val="single" w:color="1D71B8"/>
          </w:rPr>
          <w:t>S.I. No. 636/2023 - European Union (Accessibility Requirements of Products and Services) Regulations 2023</w:t>
        </w:r>
      </w:hyperlink>
      <w:r>
        <w:rPr>
          <w:sz w:val="18"/>
          <w:u w:val="none"/>
        </w:rPr>
        <w:t>. Ireland had adopted a more limited measure on accessibility of public sector websites implementing earlier EU directives: </w:t>
      </w:r>
      <w:r>
        <w:rPr>
          <w:color w:val="1D71B8"/>
          <w:sz w:val="18"/>
          <w:u w:val="single" w:color="1D71B8"/>
        </w:rPr>
        <w:t>S.I. No.</w:t>
      </w:r>
      <w:r>
        <w:rPr>
          <w:color w:val="1D71B8"/>
          <w:sz w:val="18"/>
          <w:u w:val="none"/>
        </w:rPr>
        <w:t> </w:t>
      </w:r>
      <w:r>
        <w:rPr>
          <w:color w:val="1D71B8"/>
          <w:sz w:val="18"/>
          <w:u w:val="single" w:color="1D71B8"/>
        </w:rPr>
        <w:t>358/2020</w:t>
      </w:r>
      <w:r>
        <w:rPr>
          <w:color w:val="1D71B8"/>
          <w:spacing w:val="-4"/>
          <w:sz w:val="18"/>
          <w:u w:val="none"/>
        </w:rPr>
        <w:t> </w:t>
      </w:r>
      <w:r>
        <w:rPr>
          <w:sz w:val="18"/>
          <w:u w:val="none"/>
        </w:rPr>
        <w:t>-</w:t>
      </w:r>
      <w:r>
        <w:rPr>
          <w:spacing w:val="-4"/>
          <w:sz w:val="18"/>
          <w:u w:val="none"/>
        </w:rPr>
        <w:t> </w:t>
      </w:r>
      <w:r>
        <w:rPr>
          <w:sz w:val="18"/>
          <w:u w:val="none"/>
        </w:rPr>
        <w:t>European</w:t>
      </w:r>
      <w:r>
        <w:rPr>
          <w:spacing w:val="-4"/>
          <w:sz w:val="18"/>
          <w:u w:val="none"/>
        </w:rPr>
        <w:t> </w:t>
      </w:r>
      <w:r>
        <w:rPr>
          <w:sz w:val="18"/>
          <w:u w:val="none"/>
        </w:rPr>
        <w:t>Union</w:t>
      </w:r>
      <w:r>
        <w:rPr>
          <w:spacing w:val="-4"/>
          <w:sz w:val="18"/>
          <w:u w:val="none"/>
        </w:rPr>
        <w:t> </w:t>
      </w:r>
      <w:r>
        <w:rPr>
          <w:sz w:val="18"/>
          <w:u w:val="none"/>
        </w:rPr>
        <w:t>(Accessibility</w:t>
      </w:r>
      <w:r>
        <w:rPr>
          <w:spacing w:val="-3"/>
          <w:sz w:val="18"/>
          <w:u w:val="none"/>
        </w:rPr>
        <w:t> </w:t>
      </w:r>
      <w:r>
        <w:rPr>
          <w:sz w:val="18"/>
          <w:u w:val="none"/>
        </w:rPr>
        <w:t>of</w:t>
      </w:r>
      <w:r>
        <w:rPr>
          <w:spacing w:val="-4"/>
          <w:sz w:val="18"/>
          <w:u w:val="none"/>
        </w:rPr>
        <w:t> </w:t>
      </w:r>
      <w:r>
        <w:rPr>
          <w:sz w:val="18"/>
          <w:u w:val="none"/>
        </w:rPr>
        <w:t>Websites</w:t>
      </w:r>
      <w:r>
        <w:rPr>
          <w:spacing w:val="-4"/>
          <w:sz w:val="18"/>
          <w:u w:val="none"/>
        </w:rPr>
        <w:t> </w:t>
      </w:r>
      <w:r>
        <w:rPr>
          <w:sz w:val="18"/>
          <w:u w:val="none"/>
        </w:rPr>
        <w:t>and</w:t>
      </w:r>
      <w:r>
        <w:rPr>
          <w:spacing w:val="-4"/>
          <w:sz w:val="18"/>
          <w:u w:val="none"/>
        </w:rPr>
        <w:t> </w:t>
      </w:r>
      <w:r>
        <w:rPr>
          <w:sz w:val="18"/>
          <w:u w:val="none"/>
        </w:rPr>
        <w:t>Mobile</w:t>
      </w:r>
      <w:r>
        <w:rPr>
          <w:spacing w:val="-3"/>
          <w:sz w:val="18"/>
          <w:u w:val="none"/>
        </w:rPr>
        <w:t> </w:t>
      </w:r>
      <w:r>
        <w:rPr>
          <w:sz w:val="18"/>
          <w:u w:val="none"/>
        </w:rPr>
        <w:t>Applications</w:t>
      </w:r>
      <w:r>
        <w:rPr>
          <w:spacing w:val="-4"/>
          <w:sz w:val="18"/>
          <w:u w:val="none"/>
        </w:rPr>
        <w:t> </w:t>
      </w:r>
      <w:r>
        <w:rPr>
          <w:sz w:val="18"/>
          <w:u w:val="none"/>
        </w:rPr>
        <w:t>of</w:t>
      </w:r>
      <w:r>
        <w:rPr>
          <w:spacing w:val="-4"/>
          <w:sz w:val="18"/>
          <w:u w:val="none"/>
        </w:rPr>
        <w:t> </w:t>
      </w:r>
      <w:r>
        <w:rPr>
          <w:sz w:val="18"/>
          <w:u w:val="none"/>
        </w:rPr>
        <w:t>Public</w:t>
      </w:r>
      <w:r>
        <w:rPr>
          <w:spacing w:val="-3"/>
          <w:sz w:val="18"/>
          <w:u w:val="none"/>
        </w:rPr>
        <w:t> </w:t>
      </w:r>
      <w:r>
        <w:rPr>
          <w:sz w:val="18"/>
          <w:u w:val="none"/>
        </w:rPr>
        <w:t>Sector</w:t>
      </w:r>
      <w:r>
        <w:rPr>
          <w:spacing w:val="-3"/>
          <w:sz w:val="18"/>
          <w:u w:val="none"/>
        </w:rPr>
        <w:t> </w:t>
      </w:r>
      <w:r>
        <w:rPr>
          <w:sz w:val="18"/>
          <w:u w:val="none"/>
        </w:rPr>
        <w:t>Bodies)</w:t>
      </w:r>
      <w:r>
        <w:rPr>
          <w:spacing w:val="-4"/>
          <w:sz w:val="18"/>
          <w:u w:val="none"/>
        </w:rPr>
        <w:t> </w:t>
      </w:r>
      <w:r>
        <w:rPr>
          <w:sz w:val="18"/>
          <w:u w:val="none"/>
        </w:rPr>
        <w:t>Regulations</w:t>
      </w:r>
      <w:r>
        <w:rPr>
          <w:spacing w:val="-4"/>
          <w:sz w:val="18"/>
          <w:u w:val="none"/>
        </w:rPr>
        <w:t> </w:t>
      </w:r>
      <w:r>
        <w:rPr>
          <w:sz w:val="18"/>
          <w:u w:val="none"/>
        </w:rPr>
        <w:t>2020, as had the UK: </w:t>
      </w:r>
      <w:hyperlink r:id="rId107">
        <w:r>
          <w:rPr>
            <w:color w:val="1D71B8"/>
            <w:sz w:val="18"/>
            <w:u w:val="single" w:color="1D71B8"/>
          </w:rPr>
          <w:t>Public Sector Bodies (Websites and Mobile Applications) (No. 2) Accessibility Regulations 2018</w:t>
        </w:r>
      </w:hyperlink>
      <w:r>
        <w:rPr>
          <w:sz w:val="18"/>
          <w:u w:val="none"/>
        </w:rPr>
        <w:t>.</w:t>
      </w:r>
    </w:p>
    <w:p>
      <w:pPr>
        <w:pStyle w:val="ListParagraph"/>
        <w:numPr>
          <w:ilvl w:val="0"/>
          <w:numId w:val="18"/>
        </w:numPr>
        <w:tabs>
          <w:tab w:pos="1684" w:val="left" w:leader="none"/>
        </w:tabs>
        <w:spacing w:line="240" w:lineRule="auto" w:before="2" w:after="0"/>
        <w:ind w:left="1684" w:right="981"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 104.</w:t>
      </w:r>
    </w:p>
    <w:p>
      <w:pPr>
        <w:pStyle w:val="ListParagraph"/>
        <w:numPr>
          <w:ilvl w:val="0"/>
          <w:numId w:val="18"/>
        </w:numPr>
        <w:tabs>
          <w:tab w:pos="1684" w:val="left" w:leader="none"/>
        </w:tabs>
        <w:spacing w:line="240" w:lineRule="auto" w:before="0" w:after="0"/>
        <w:ind w:left="1684" w:right="959" w:hanging="567"/>
        <w:jc w:val="both"/>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color w:val="1D71B8"/>
          <w:sz w:val="18"/>
          <w:u w:val="single" w:color="1D71B8"/>
        </w:rPr>
        <w:t>Policy</w:t>
      </w:r>
      <w:r>
        <w:rPr>
          <w:color w:val="1D71B8"/>
          <w:spacing w:val="-4"/>
          <w:sz w:val="18"/>
          <w:u w:val="single" w:color="1D71B8"/>
        </w:rPr>
        <w:t> </w:t>
      </w:r>
      <w:r>
        <w:rPr>
          <w:color w:val="1D71B8"/>
          <w:sz w:val="18"/>
          <w:u w:val="single" w:color="1D71B8"/>
        </w:rPr>
        <w:t>Recommendations:</w:t>
      </w:r>
      <w:r>
        <w:rPr>
          <w:color w:val="1D71B8"/>
          <w:spacing w:val="-4"/>
          <w:sz w:val="18"/>
          <w:u w:val="single" w:color="1D71B8"/>
        </w:rPr>
        <w:t> </w:t>
      </w:r>
      <w:r>
        <w:rPr>
          <w:color w:val="1D71B8"/>
          <w:sz w:val="18"/>
          <w:u w:val="single" w:color="1D71B8"/>
        </w:rPr>
        <w:t>European</w:t>
      </w:r>
      <w:r>
        <w:rPr>
          <w:color w:val="1D71B8"/>
          <w:spacing w:val="-4"/>
          <w:sz w:val="18"/>
          <w:u w:val="single" w:color="1D71B8"/>
        </w:rPr>
        <w:t> </w:t>
      </w:r>
      <w:r>
        <w:rPr>
          <w:color w:val="1D71B8"/>
          <w:sz w:val="18"/>
          <w:u w:val="single" w:color="1D71B8"/>
        </w:rPr>
        <w:t>Union</w:t>
      </w:r>
      <w:r>
        <w:rPr>
          <w:color w:val="1D71B8"/>
          <w:spacing w:val="-5"/>
          <w:sz w:val="18"/>
          <w:u w:val="single" w:color="1D71B8"/>
        </w:rPr>
        <w:t> </w:t>
      </w:r>
      <w:r>
        <w:rPr>
          <w:color w:val="1D71B8"/>
          <w:sz w:val="18"/>
          <w:u w:val="single" w:color="1D71B8"/>
        </w:rPr>
        <w:t>Developments</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Impact</w:t>
      </w:r>
      <w:r>
        <w:rPr>
          <w:color w:val="1D71B8"/>
          <w:spacing w:val="-4"/>
          <w:sz w:val="18"/>
          <w:u w:val="single" w:color="1D71B8"/>
        </w:rPr>
        <w:t> </w:t>
      </w:r>
      <w:r>
        <w:rPr>
          <w:color w:val="1D71B8"/>
          <w:sz w:val="18"/>
          <w:u w:val="single" w:color="1D71B8"/>
        </w:rPr>
        <w:t>of</w:t>
      </w:r>
      <w:r>
        <w:rPr>
          <w:color w:val="1D71B8"/>
          <w:sz w:val="18"/>
          <w:u w:val="none"/>
        </w:rPr>
        <w:t> </w:t>
      </w:r>
      <w:r>
        <w:rPr>
          <w:color w:val="1D71B8"/>
          <w:sz w:val="18"/>
          <w:u w:val="single" w:color="1D71B8"/>
        </w:rPr>
        <w:t>Brexit on the Divergence of Rights and Best Practice on the Island of Ireland</w:t>
      </w:r>
      <w:r>
        <w:rPr>
          <w:color w:val="1D71B8"/>
          <w:sz w:val="18"/>
          <w:u w:val="none"/>
        </w:rPr>
        <w:t> </w:t>
      </w:r>
      <w:r>
        <w:rPr>
          <w:sz w:val="18"/>
          <w:u w:val="none"/>
        </w:rPr>
        <w:t>(2023) (February 2023) 12.</w:t>
      </w:r>
    </w:p>
    <w:p>
      <w:pPr>
        <w:spacing w:after="0" w:line="240" w:lineRule="auto"/>
        <w:jc w:val="both"/>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849984">
                <wp:simplePos x="0" y="0"/>
                <wp:positionH relativeFrom="page">
                  <wp:posOffset>0</wp:posOffset>
                </wp:positionH>
                <wp:positionV relativeFrom="page">
                  <wp:posOffset>0</wp:posOffset>
                </wp:positionV>
                <wp:extent cx="7560309" cy="1283335"/>
                <wp:effectExtent l="0" t="0" r="0" b="0"/>
                <wp:wrapNone/>
                <wp:docPr id="632" name="Group 632"/>
                <wp:cNvGraphicFramePr>
                  <a:graphicFrameLocks/>
                </wp:cNvGraphicFramePr>
                <a:graphic>
                  <a:graphicData uri="http://schemas.microsoft.com/office/word/2010/wordprocessingGroup">
                    <wpg:wgp>
                      <wpg:cNvPr id="632" name="Group 632"/>
                      <wpg:cNvGrpSpPr/>
                      <wpg:grpSpPr>
                        <a:xfrm>
                          <a:off x="0" y="0"/>
                          <a:ext cx="7560309" cy="1283335"/>
                          <a:chExt cx="7560309" cy="1283335"/>
                        </a:xfrm>
                      </wpg:grpSpPr>
                      <wps:wsp>
                        <wps:cNvPr id="633" name="Graphic 633"/>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634" name="Graphic 634"/>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635" name="Textbox 635"/>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70</w:t>
                              </w:r>
                            </w:p>
                          </w:txbxContent>
                        </wps:txbx>
                        <wps:bodyPr wrap="square" lIns="0" tIns="0" rIns="0" bIns="0" rtlCol="0">
                          <a:noAutofit/>
                        </wps:bodyPr>
                      </wps:wsp>
                      <wps:wsp>
                        <wps:cNvPr id="636" name="Textbox 636"/>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637" name="Textbox 637"/>
                        <wps:cNvSpPr txBox="1"/>
                        <wps:spPr>
                          <a:xfrm>
                            <a:off x="647999" y="1080003"/>
                            <a:ext cx="741680" cy="203200"/>
                          </a:xfrm>
                          <a:prstGeom prst="rect">
                            <a:avLst/>
                          </a:prstGeom>
                        </wps:spPr>
                        <wps:txbx>
                          <w:txbxContent>
                            <w:p>
                              <w:pPr>
                                <w:spacing w:line="320" w:lineRule="exact" w:before="0"/>
                                <w:ind w:left="0" w:right="0" w:firstLine="0"/>
                                <w:jc w:val="left"/>
                                <w:rPr>
                                  <w:b/>
                                  <w:sz w:val="32"/>
                                </w:rPr>
                              </w:pPr>
                              <w:r>
                                <w:rPr>
                                  <w:b/>
                                  <w:color w:val="004A93"/>
                                  <w:sz w:val="32"/>
                                </w:rPr>
                                <w:t>3.10 </w:t>
                              </w:r>
                              <w:r>
                                <w:rPr>
                                  <w:b/>
                                  <w:color w:val="004A93"/>
                                  <w:spacing w:val="-5"/>
                                  <w:sz w:val="32"/>
                                </w:rPr>
                                <w:t>Age</w:t>
                              </w:r>
                            </w:p>
                          </w:txbxContent>
                        </wps:txbx>
                        <wps:bodyPr wrap="square" lIns="0" tIns="0" rIns="0" bIns="0" rtlCol="0">
                          <a:noAutofit/>
                        </wps:bodyPr>
                      </wps:wsp>
                    </wpg:wgp>
                  </a:graphicData>
                </a:graphic>
              </wp:anchor>
            </w:drawing>
          </mc:Choice>
          <mc:Fallback>
            <w:pict>
              <v:group style="position:absolute;margin-left:.0pt;margin-top:-.00002pt;width:595.3pt;height:101.05pt;mso-position-horizontal-relative:page;mso-position-vertical-relative:page;z-index:15849984" id="docshapegroup511" coordorigin="0,0" coordsize="11906,2021">
                <v:shape style="position:absolute;left:0;top:0;width:11906;height:1819" id="docshape512"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513" filled="false" stroked="false">
                  <v:textbox inset="0,0,0,0">
                    <w:txbxContent>
                      <w:p>
                        <w:pPr>
                          <w:spacing w:line="280" w:lineRule="exact" w:before="0"/>
                          <w:ind w:left="0" w:right="0" w:firstLine="0"/>
                          <w:jc w:val="left"/>
                          <w:rPr>
                            <w:b/>
                            <w:sz w:val="28"/>
                          </w:rPr>
                        </w:pPr>
                        <w:r>
                          <w:rPr>
                            <w:b/>
                            <w:color w:val="FFFFFF"/>
                            <w:spacing w:val="-5"/>
                            <w:sz w:val="28"/>
                          </w:rPr>
                          <w:t>70</w:t>
                        </w:r>
                      </w:p>
                    </w:txbxContent>
                  </v:textbox>
                  <w10:wrap type="none"/>
                </v:shape>
                <v:shape style="position:absolute;left:1303;top:645;width:6182;height:240" type="#_x0000_t202" id="docshape514"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1168;height:320" type="#_x0000_t202" id="docshape515" filled="false" stroked="false">
                  <v:textbox inset="0,0,0,0">
                    <w:txbxContent>
                      <w:p>
                        <w:pPr>
                          <w:spacing w:line="320" w:lineRule="exact" w:before="0"/>
                          <w:ind w:left="0" w:right="0" w:firstLine="0"/>
                          <w:jc w:val="left"/>
                          <w:rPr>
                            <w:b/>
                            <w:sz w:val="32"/>
                          </w:rPr>
                        </w:pPr>
                        <w:r>
                          <w:rPr>
                            <w:b/>
                            <w:color w:val="004A93"/>
                            <w:sz w:val="32"/>
                          </w:rPr>
                          <w:t>3.10 </w:t>
                        </w:r>
                        <w:r>
                          <w:rPr>
                            <w:b/>
                            <w:color w:val="004A93"/>
                            <w:spacing w:val="-5"/>
                            <w:sz w:val="32"/>
                          </w:rPr>
                          <w:t>Age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after="1"/>
        <w:rPr>
          <w:sz w:val="20"/>
        </w:rPr>
      </w:pPr>
    </w:p>
    <w:p>
      <w:pPr>
        <w:pStyle w:val="BodyText"/>
        <w:spacing w:line="20" w:lineRule="exact"/>
        <w:ind w:left="720"/>
        <w:rPr>
          <w:sz w:val="2"/>
        </w:rPr>
      </w:pPr>
      <w:r>
        <w:rPr>
          <w:sz w:val="2"/>
        </w:rPr>
        <mc:AlternateContent>
          <mc:Choice Requires="wps">
            <w:drawing>
              <wp:inline distT="0" distB="0" distL="0" distR="0">
                <wp:extent cx="6012180" cy="12700"/>
                <wp:effectExtent l="9525" t="0" r="0" b="6350"/>
                <wp:docPr id="638" name="Group 638"/>
                <wp:cNvGraphicFramePr>
                  <a:graphicFrameLocks/>
                </wp:cNvGraphicFramePr>
                <a:graphic>
                  <a:graphicData uri="http://schemas.microsoft.com/office/word/2010/wordprocessingGroup">
                    <wpg:wgp>
                      <wpg:cNvPr id="638" name="Group 638"/>
                      <wpg:cNvGrpSpPr/>
                      <wpg:grpSpPr>
                        <a:xfrm>
                          <a:off x="0" y="0"/>
                          <a:ext cx="6012180" cy="12700"/>
                          <a:chExt cx="6012180" cy="12700"/>
                        </a:xfrm>
                      </wpg:grpSpPr>
                      <wps:wsp>
                        <wps:cNvPr id="639" name="Graphic 639"/>
                        <wps:cNvSpPr/>
                        <wps:spPr>
                          <a:xfrm>
                            <a:off x="0" y="635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g:wgp>
                  </a:graphicData>
                </a:graphic>
              </wp:inline>
            </w:drawing>
          </mc:Choice>
          <mc:Fallback>
            <w:pict>
              <v:group style="width:473.4pt;height:1pt;mso-position-horizontal-relative:char;mso-position-vertical-relative:line" id="docshapegroup516" coordorigin="0,0" coordsize="9468,20">
                <v:line style="position:absolute" from="0,10" to="9468,10" stroked="true" strokeweight="1pt" strokecolor="#36a9e1">
                  <v:stroke dashstyle="solid"/>
                </v:line>
              </v:group>
            </w:pict>
          </mc:Fallback>
        </mc:AlternateContent>
      </w:r>
      <w:r>
        <w:rPr>
          <w:sz w:val="2"/>
        </w:rPr>
      </w:r>
    </w:p>
    <w:p>
      <w:pPr>
        <w:pStyle w:val="BodyText"/>
        <w:spacing w:line="232" w:lineRule="auto" w:before="98"/>
        <w:ind w:left="720" w:right="1143"/>
      </w:pPr>
      <w:bookmarkStart w:name="3.10 Age" w:id="99"/>
      <w:bookmarkEnd w:id="99"/>
      <w:r>
        <w:rPr/>
      </w:r>
      <w:bookmarkStart w:name="3.11 Other Measures" w:id="100"/>
      <w:bookmarkEnd w:id="100"/>
      <w:r>
        <w:rPr/>
      </w:r>
      <w:bookmarkStart w:name="_bookmark41" w:id="101"/>
      <w:bookmarkEnd w:id="101"/>
      <w:r>
        <w:rPr/>
      </w:r>
      <w:r>
        <w:rPr/>
        <w:t>The initial divergence report examined the disparity in age discrimination regulations</w:t>
      </w:r>
      <w:r>
        <w:rPr>
          <w:spacing w:val="-7"/>
        </w:rPr>
        <w:t> </w:t>
      </w:r>
      <w:r>
        <w:rPr/>
        <w:t>on</w:t>
      </w:r>
      <w:r>
        <w:rPr>
          <w:spacing w:val="-7"/>
        </w:rPr>
        <w:t> </w:t>
      </w:r>
      <w:r>
        <w:rPr/>
        <w:t>the</w:t>
      </w:r>
      <w:r>
        <w:rPr>
          <w:spacing w:val="-6"/>
        </w:rPr>
        <w:t> </w:t>
      </w:r>
      <w:r>
        <w:rPr/>
        <w:t>island,</w:t>
      </w:r>
      <w:r>
        <w:rPr>
          <w:spacing w:val="-6"/>
        </w:rPr>
        <w:t> </w:t>
      </w:r>
      <w:r>
        <w:rPr/>
        <w:t>noting</w:t>
      </w:r>
      <w:r>
        <w:rPr>
          <w:spacing w:val="-6"/>
        </w:rPr>
        <w:t> </w:t>
      </w:r>
      <w:r>
        <w:rPr/>
        <w:t>that</w:t>
      </w:r>
      <w:r>
        <w:rPr>
          <w:spacing w:val="-6"/>
        </w:rPr>
        <w:t> </w:t>
      </w:r>
      <w:r>
        <w:rPr/>
        <w:t>Irish</w:t>
      </w:r>
      <w:r>
        <w:rPr>
          <w:spacing w:val="-7"/>
        </w:rPr>
        <w:t> </w:t>
      </w:r>
      <w:r>
        <w:rPr/>
        <w:t>legislation</w:t>
      </w:r>
      <w:r>
        <w:rPr>
          <w:spacing w:val="-7"/>
        </w:rPr>
        <w:t> </w:t>
      </w:r>
      <w:r>
        <w:rPr/>
        <w:t>prohibited</w:t>
      </w:r>
      <w:r>
        <w:rPr>
          <w:spacing w:val="-7"/>
        </w:rPr>
        <w:t> </w:t>
      </w:r>
      <w:r>
        <w:rPr/>
        <w:t>age</w:t>
      </w:r>
      <w:r>
        <w:rPr>
          <w:spacing w:val="-6"/>
        </w:rPr>
        <w:t> </w:t>
      </w:r>
      <w:r>
        <w:rPr/>
        <w:t>discrimination in goods facilities and services while Northern Ireland does not. This disparity remains and still requires urgent consideration by the Northern Ireland </w:t>
      </w:r>
      <w:r>
        <w:rPr>
          <w:spacing w:val="-2"/>
        </w:rPr>
        <w:t>authorities.</w:t>
      </w:r>
      <w:r>
        <w:rPr>
          <w:spacing w:val="-2"/>
          <w:vertAlign w:val="superscript"/>
        </w:rPr>
        <w:t>401</w:t>
      </w:r>
    </w:p>
    <w:p>
      <w:pPr>
        <w:pStyle w:val="BodyText"/>
        <w:spacing w:before="11"/>
      </w:pPr>
    </w:p>
    <w:p>
      <w:pPr>
        <w:pStyle w:val="Heading2"/>
        <w:numPr>
          <w:ilvl w:val="1"/>
          <w:numId w:val="24"/>
        </w:numPr>
        <w:tabs>
          <w:tab w:pos="1364" w:val="left" w:leader="none"/>
        </w:tabs>
        <w:spacing w:line="240" w:lineRule="auto" w:before="0" w:after="0"/>
        <w:ind w:left="1364" w:right="0" w:hanging="644"/>
        <w:jc w:val="left"/>
      </w:pPr>
      <w:r>
        <w:rPr>
          <w:color w:val="004A93"/>
        </w:rPr>
        <w:t>Other</w:t>
      </w:r>
      <w:r>
        <w:rPr>
          <w:color w:val="004A93"/>
          <w:spacing w:val="-5"/>
        </w:rPr>
        <w:t> </w:t>
      </w:r>
      <w:r>
        <w:rPr>
          <w:color w:val="004A93"/>
          <w:spacing w:val="-2"/>
        </w:rPr>
        <w:t>Measures</w:t>
      </w:r>
    </w:p>
    <w:p>
      <w:pPr>
        <w:pStyle w:val="BodyText"/>
        <w:spacing w:before="9"/>
        <w:rPr>
          <w:b/>
          <w:sz w:val="5"/>
        </w:rPr>
      </w:pPr>
      <w:r>
        <w:rPr/>
        <mc:AlternateContent>
          <mc:Choice Requires="wps">
            <w:drawing>
              <wp:anchor distT="0" distB="0" distL="0" distR="0" allowOverlap="1" layoutInCell="1" locked="0" behindDoc="1" simplePos="0" relativeHeight="487708160">
                <wp:simplePos x="0" y="0"/>
                <wp:positionH relativeFrom="page">
                  <wp:posOffset>647999</wp:posOffset>
                </wp:positionH>
                <wp:positionV relativeFrom="paragraph">
                  <wp:posOffset>59996</wp:posOffset>
                </wp:positionV>
                <wp:extent cx="6012180" cy="1270"/>
                <wp:effectExtent l="0" t="0" r="0" b="0"/>
                <wp:wrapTopAndBottom/>
                <wp:docPr id="640" name="Graphic 640"/>
                <wp:cNvGraphicFramePr>
                  <a:graphicFrameLocks/>
                </wp:cNvGraphicFramePr>
                <a:graphic>
                  <a:graphicData uri="http://schemas.microsoft.com/office/word/2010/wordprocessingShape">
                    <wps:wsp>
                      <wps:cNvPr id="640" name="Graphic 640"/>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724164pt;width:473.4pt;height:.1pt;mso-position-horizontal-relative:page;mso-position-vertical-relative:paragraph;z-index:-15608320;mso-wrap-distance-left:0;mso-wrap-distance-right:0" id="docshape517" coordorigin="1020,94" coordsize="9468,0" path="m1020,94l10488,94e" filled="false" stroked="true" strokeweight="1pt" strokecolor="#36a9e1">
                <v:path arrowok="t"/>
                <v:stroke dashstyle="solid"/>
                <w10:wrap type="topAndBottom"/>
              </v:shape>
            </w:pict>
          </mc:Fallback>
        </mc:AlternateContent>
      </w:r>
    </w:p>
    <w:p>
      <w:pPr>
        <w:spacing w:line="232" w:lineRule="auto" w:before="108"/>
        <w:ind w:left="720" w:right="1404" w:firstLine="0"/>
        <w:jc w:val="left"/>
        <w:rPr>
          <w:sz w:val="28"/>
        </w:rPr>
      </w:pPr>
      <w:r>
        <w:rPr>
          <w:sz w:val="28"/>
        </w:rPr>
        <w:t>Finally, we outline some measures in areas more broadly related to rights and equality.</w:t>
      </w:r>
      <w:r>
        <w:rPr>
          <w:sz w:val="28"/>
          <w:vertAlign w:val="superscript"/>
        </w:rPr>
        <w:t>402</w:t>
      </w:r>
      <w:r>
        <w:rPr>
          <w:sz w:val="28"/>
          <w:vertAlign w:val="baseline"/>
        </w:rPr>
        <w:t> The Irish Human Rights and Equality Commission has noted the adoption</w:t>
      </w:r>
      <w:r>
        <w:rPr>
          <w:spacing w:val="-7"/>
          <w:sz w:val="28"/>
          <w:vertAlign w:val="baseline"/>
        </w:rPr>
        <w:t> </w:t>
      </w:r>
      <w:r>
        <w:rPr>
          <w:sz w:val="28"/>
          <w:vertAlign w:val="baseline"/>
        </w:rPr>
        <w:t>of</w:t>
      </w:r>
      <w:r>
        <w:rPr>
          <w:spacing w:val="-7"/>
          <w:sz w:val="28"/>
          <w:vertAlign w:val="baseline"/>
        </w:rPr>
        <w:t> </w:t>
      </w:r>
      <w:r>
        <w:rPr>
          <w:sz w:val="28"/>
          <w:vertAlign w:val="baseline"/>
        </w:rPr>
        <w:t>important</w:t>
      </w:r>
      <w:r>
        <w:rPr>
          <w:spacing w:val="-6"/>
          <w:sz w:val="28"/>
          <w:vertAlign w:val="baseline"/>
        </w:rPr>
        <w:t> </w:t>
      </w:r>
      <w:r>
        <w:rPr>
          <w:sz w:val="28"/>
          <w:vertAlign w:val="baseline"/>
        </w:rPr>
        <w:t>EU</w:t>
      </w:r>
      <w:r>
        <w:rPr>
          <w:spacing w:val="-6"/>
          <w:sz w:val="28"/>
          <w:vertAlign w:val="baseline"/>
        </w:rPr>
        <w:t> </w:t>
      </w:r>
      <w:r>
        <w:rPr>
          <w:sz w:val="28"/>
          <w:vertAlign w:val="baseline"/>
        </w:rPr>
        <w:t>legislation</w:t>
      </w:r>
      <w:r>
        <w:rPr>
          <w:spacing w:val="-7"/>
          <w:sz w:val="28"/>
          <w:vertAlign w:val="baseline"/>
        </w:rPr>
        <w:t> </w:t>
      </w:r>
      <w:r>
        <w:rPr>
          <w:sz w:val="28"/>
          <w:vertAlign w:val="baseline"/>
        </w:rPr>
        <w:t>such</w:t>
      </w:r>
      <w:r>
        <w:rPr>
          <w:spacing w:val="-7"/>
          <w:sz w:val="28"/>
          <w:vertAlign w:val="baseline"/>
        </w:rPr>
        <w:t> </w:t>
      </w:r>
      <w:r>
        <w:rPr>
          <w:sz w:val="28"/>
          <w:vertAlign w:val="baseline"/>
        </w:rPr>
        <w:t>as</w:t>
      </w:r>
      <w:r>
        <w:rPr>
          <w:spacing w:val="-7"/>
          <w:sz w:val="28"/>
          <w:vertAlign w:val="baseline"/>
        </w:rPr>
        <w:t> </w:t>
      </w:r>
      <w:r>
        <w:rPr>
          <w:sz w:val="28"/>
          <w:vertAlign w:val="baseline"/>
        </w:rPr>
        <w:t>the</w:t>
      </w:r>
      <w:r>
        <w:rPr>
          <w:spacing w:val="-6"/>
          <w:sz w:val="28"/>
          <w:vertAlign w:val="baseline"/>
        </w:rPr>
        <w:t> </w:t>
      </w:r>
      <w:r>
        <w:rPr>
          <w:b/>
          <w:sz w:val="28"/>
          <w:vertAlign w:val="baseline"/>
        </w:rPr>
        <w:t>EU</w:t>
      </w:r>
      <w:r>
        <w:rPr>
          <w:b/>
          <w:spacing w:val="-6"/>
          <w:sz w:val="28"/>
          <w:vertAlign w:val="baseline"/>
        </w:rPr>
        <w:t> </w:t>
      </w:r>
      <w:r>
        <w:rPr>
          <w:b/>
          <w:sz w:val="28"/>
          <w:vertAlign w:val="baseline"/>
        </w:rPr>
        <w:t>Adequate</w:t>
      </w:r>
      <w:r>
        <w:rPr>
          <w:b/>
          <w:spacing w:val="-7"/>
          <w:sz w:val="28"/>
          <w:vertAlign w:val="baseline"/>
        </w:rPr>
        <w:t> </w:t>
      </w:r>
      <w:r>
        <w:rPr>
          <w:b/>
          <w:sz w:val="28"/>
          <w:vertAlign w:val="baseline"/>
        </w:rPr>
        <w:t>Minimum</w:t>
      </w:r>
      <w:r>
        <w:rPr>
          <w:b/>
          <w:spacing w:val="-7"/>
          <w:sz w:val="28"/>
          <w:vertAlign w:val="baseline"/>
        </w:rPr>
        <w:t> </w:t>
      </w:r>
      <w:r>
        <w:rPr>
          <w:b/>
          <w:sz w:val="28"/>
          <w:vertAlign w:val="baseline"/>
        </w:rPr>
        <w:t>Wages Directive </w:t>
      </w:r>
      <w:r>
        <w:rPr>
          <w:sz w:val="28"/>
          <w:vertAlign w:val="baseline"/>
        </w:rPr>
        <w:t>and the </w:t>
      </w:r>
      <w:r>
        <w:rPr>
          <w:b/>
          <w:sz w:val="28"/>
          <w:vertAlign w:val="baseline"/>
        </w:rPr>
        <w:t>EU Corporate Sustainability Reporting Directive</w:t>
      </w:r>
      <w:r>
        <w:rPr>
          <w:sz w:val="28"/>
          <w:vertAlign w:val="baseline"/>
        </w:rPr>
        <w:t>.</w:t>
      </w:r>
      <w:r>
        <w:rPr>
          <w:sz w:val="28"/>
          <w:vertAlign w:val="superscript"/>
        </w:rPr>
        <w:t>403</w:t>
      </w:r>
    </w:p>
    <w:p>
      <w:pPr>
        <w:pStyle w:val="BodyText"/>
        <w:spacing w:line="232" w:lineRule="auto" w:before="277"/>
        <w:ind w:left="720" w:right="1337"/>
      </w:pPr>
      <w:r>
        <w:rPr/>
        <w:t>The</w:t>
      </w:r>
      <w:r>
        <w:rPr>
          <w:spacing w:val="-10"/>
        </w:rPr>
        <w:t> </w:t>
      </w:r>
      <w:r>
        <w:rPr>
          <w:b/>
        </w:rPr>
        <w:t>EU</w:t>
      </w:r>
      <w:r>
        <w:rPr>
          <w:b/>
          <w:spacing w:val="-9"/>
        </w:rPr>
        <w:t> </w:t>
      </w:r>
      <w:r>
        <w:rPr>
          <w:b/>
        </w:rPr>
        <w:t>Adequate</w:t>
      </w:r>
      <w:r>
        <w:rPr>
          <w:b/>
          <w:spacing w:val="-10"/>
        </w:rPr>
        <w:t> </w:t>
      </w:r>
      <w:r>
        <w:rPr>
          <w:b/>
        </w:rPr>
        <w:t>Minimum</w:t>
      </w:r>
      <w:r>
        <w:rPr>
          <w:b/>
          <w:spacing w:val="-10"/>
        </w:rPr>
        <w:t> </w:t>
      </w:r>
      <w:r>
        <w:rPr>
          <w:b/>
        </w:rPr>
        <w:t>Wages</w:t>
      </w:r>
      <w:r>
        <w:rPr>
          <w:b/>
          <w:spacing w:val="-9"/>
        </w:rPr>
        <w:t> </w:t>
      </w:r>
      <w:r>
        <w:rPr>
          <w:b/>
        </w:rPr>
        <w:t>Directive</w:t>
      </w:r>
      <w:r>
        <w:rPr>
          <w:b/>
          <w:spacing w:val="-9"/>
        </w:rPr>
        <w:t> </w:t>
      </w:r>
      <w:r>
        <w:rPr/>
        <w:t>requires</w:t>
      </w:r>
      <w:r>
        <w:rPr>
          <w:spacing w:val="-10"/>
        </w:rPr>
        <w:t> </w:t>
      </w:r>
      <w:r>
        <w:rPr/>
        <w:t>Member</w:t>
      </w:r>
      <w:r>
        <w:rPr>
          <w:spacing w:val="-9"/>
        </w:rPr>
        <w:t> </w:t>
      </w:r>
      <w:r>
        <w:rPr/>
        <w:t>states</w:t>
      </w:r>
      <w:r>
        <w:rPr>
          <w:spacing w:val="-10"/>
        </w:rPr>
        <w:t> </w:t>
      </w:r>
      <w:r>
        <w:rPr/>
        <w:t>to</w:t>
      </w:r>
      <w:r>
        <w:rPr>
          <w:spacing w:val="-10"/>
        </w:rPr>
        <w:t> </w:t>
      </w:r>
      <w:r>
        <w:rPr/>
        <w:t>promote collective bargaining (see also section 4.3.4.1 below). States with a coverage of less than 80% of collective bargaining will be required to develop an action plan to promote collective bargaining.</w:t>
      </w:r>
      <w:r>
        <w:rPr>
          <w:vertAlign w:val="superscript"/>
        </w:rPr>
        <w:t>404</w:t>
      </w:r>
      <w:r>
        <w:rPr>
          <w:vertAlign w:val="baseline"/>
        </w:rPr>
        <w:t> The Directive also gives guidance on setting</w:t>
      </w:r>
    </w:p>
    <w:p>
      <w:pPr>
        <w:pStyle w:val="BodyText"/>
        <w:spacing w:line="232" w:lineRule="auto"/>
        <w:ind w:left="720" w:right="1087"/>
      </w:pPr>
      <w:r>
        <w:rPr/>
        <w:t>minimum</w:t>
      </w:r>
      <w:r>
        <w:rPr>
          <w:spacing w:val="-8"/>
        </w:rPr>
        <w:t> </w:t>
      </w:r>
      <w:r>
        <w:rPr/>
        <w:t>wages</w:t>
      </w:r>
      <w:r>
        <w:rPr>
          <w:spacing w:val="-9"/>
        </w:rPr>
        <w:t> </w:t>
      </w:r>
      <w:r>
        <w:rPr/>
        <w:t>to</w:t>
      </w:r>
      <w:r>
        <w:rPr>
          <w:spacing w:val="-9"/>
        </w:rPr>
        <w:t> </w:t>
      </w:r>
      <w:r>
        <w:rPr/>
        <w:t>promote</w:t>
      </w:r>
      <w:r>
        <w:rPr>
          <w:spacing w:val="-8"/>
        </w:rPr>
        <w:t> </w:t>
      </w:r>
      <w:r>
        <w:rPr/>
        <w:t>a</w:t>
      </w:r>
      <w:r>
        <w:rPr>
          <w:spacing w:val="-9"/>
        </w:rPr>
        <w:t> </w:t>
      </w:r>
      <w:r>
        <w:rPr/>
        <w:t>decent</w:t>
      </w:r>
      <w:r>
        <w:rPr>
          <w:spacing w:val="-8"/>
        </w:rPr>
        <w:t> </w:t>
      </w:r>
      <w:r>
        <w:rPr/>
        <w:t>standard</w:t>
      </w:r>
      <w:r>
        <w:rPr>
          <w:spacing w:val="-9"/>
        </w:rPr>
        <w:t> </w:t>
      </w:r>
      <w:r>
        <w:rPr/>
        <w:t>of</w:t>
      </w:r>
      <w:r>
        <w:rPr>
          <w:spacing w:val="-9"/>
        </w:rPr>
        <w:t> </w:t>
      </w:r>
      <w:r>
        <w:rPr/>
        <w:t>living,</w:t>
      </w:r>
      <w:r>
        <w:rPr>
          <w:spacing w:val="-8"/>
        </w:rPr>
        <w:t> </w:t>
      </w:r>
      <w:r>
        <w:rPr/>
        <w:t>reducing</w:t>
      </w:r>
      <w:r>
        <w:rPr>
          <w:spacing w:val="-8"/>
        </w:rPr>
        <w:t> </w:t>
      </w:r>
      <w:r>
        <w:rPr/>
        <w:t>in-work</w:t>
      </w:r>
      <w:r>
        <w:rPr>
          <w:spacing w:val="-8"/>
        </w:rPr>
        <w:t> </w:t>
      </w:r>
      <w:r>
        <w:rPr/>
        <w:t>poverty, promote social cohesion and reduce the gender pay gap. The Directive does</w:t>
      </w:r>
    </w:p>
    <w:p>
      <w:pPr>
        <w:pStyle w:val="BodyText"/>
        <w:spacing w:line="232" w:lineRule="auto"/>
        <w:ind w:left="720" w:right="1493"/>
      </w:pPr>
      <w:r>
        <w:rPr/>
        <w:t>not require Member states</w:t>
      </w:r>
      <w:r>
        <w:rPr>
          <w:spacing w:val="-1"/>
        </w:rPr>
        <w:t> </w:t>
      </w:r>
      <w:r>
        <w:rPr/>
        <w:t>to</w:t>
      </w:r>
      <w:r>
        <w:rPr>
          <w:spacing w:val="-1"/>
        </w:rPr>
        <w:t> </w:t>
      </w:r>
      <w:r>
        <w:rPr/>
        <w:t>introduce minimum wages</w:t>
      </w:r>
      <w:r>
        <w:rPr>
          <w:spacing w:val="-1"/>
        </w:rPr>
        <w:t> </w:t>
      </w:r>
      <w:r>
        <w:rPr/>
        <w:t>if</w:t>
      </w:r>
      <w:r>
        <w:rPr>
          <w:spacing w:val="-1"/>
        </w:rPr>
        <w:t> </w:t>
      </w:r>
      <w:r>
        <w:rPr/>
        <w:t>they do</w:t>
      </w:r>
      <w:r>
        <w:rPr>
          <w:spacing w:val="-1"/>
        </w:rPr>
        <w:t> </w:t>
      </w:r>
      <w:r>
        <w:rPr/>
        <w:t>not already have these but does give guidance on what they should consider.</w:t>
      </w:r>
      <w:r>
        <w:rPr>
          <w:vertAlign w:val="superscript"/>
        </w:rPr>
        <w:t>405</w:t>
      </w:r>
      <w:r>
        <w:rPr>
          <w:vertAlign w:val="baseline"/>
        </w:rPr>
        <w:t> Ireland is one</w:t>
      </w:r>
      <w:r>
        <w:rPr>
          <w:spacing w:val="-7"/>
          <w:vertAlign w:val="baseline"/>
        </w:rPr>
        <w:t> </w:t>
      </w:r>
      <w:r>
        <w:rPr>
          <w:vertAlign w:val="baseline"/>
        </w:rPr>
        <w:t>of</w:t>
      </w:r>
      <w:r>
        <w:rPr>
          <w:spacing w:val="-8"/>
          <w:vertAlign w:val="baseline"/>
        </w:rPr>
        <w:t> </w:t>
      </w:r>
      <w:r>
        <w:rPr>
          <w:vertAlign w:val="baseline"/>
        </w:rPr>
        <w:t>the</w:t>
      </w:r>
      <w:r>
        <w:rPr>
          <w:spacing w:val="-7"/>
          <w:vertAlign w:val="baseline"/>
        </w:rPr>
        <w:t> </w:t>
      </w:r>
      <w:r>
        <w:rPr>
          <w:vertAlign w:val="baseline"/>
        </w:rPr>
        <w:t>states</w:t>
      </w:r>
      <w:r>
        <w:rPr>
          <w:spacing w:val="-8"/>
          <w:vertAlign w:val="baseline"/>
        </w:rPr>
        <w:t> </w:t>
      </w:r>
      <w:r>
        <w:rPr>
          <w:vertAlign w:val="baseline"/>
        </w:rPr>
        <w:t>with</w:t>
      </w:r>
      <w:r>
        <w:rPr>
          <w:spacing w:val="-8"/>
          <w:vertAlign w:val="baseline"/>
        </w:rPr>
        <w:t> </w:t>
      </w:r>
      <w:r>
        <w:rPr>
          <w:vertAlign w:val="baseline"/>
        </w:rPr>
        <w:t>inadequate</w:t>
      </w:r>
      <w:r>
        <w:rPr>
          <w:spacing w:val="-7"/>
          <w:vertAlign w:val="baseline"/>
        </w:rPr>
        <w:t> </w:t>
      </w:r>
      <w:r>
        <w:rPr>
          <w:vertAlign w:val="baseline"/>
        </w:rPr>
        <w:t>collective</w:t>
      </w:r>
      <w:r>
        <w:rPr>
          <w:spacing w:val="-7"/>
          <w:vertAlign w:val="baseline"/>
        </w:rPr>
        <w:t> </w:t>
      </w:r>
      <w:r>
        <w:rPr>
          <w:vertAlign w:val="baseline"/>
        </w:rPr>
        <w:t>bargaining</w:t>
      </w:r>
      <w:r>
        <w:rPr>
          <w:spacing w:val="-7"/>
          <w:vertAlign w:val="baseline"/>
        </w:rPr>
        <w:t> </w:t>
      </w:r>
      <w:r>
        <w:rPr>
          <w:vertAlign w:val="baseline"/>
        </w:rPr>
        <w:t>coverage</w:t>
      </w:r>
      <w:r>
        <w:rPr>
          <w:spacing w:val="-7"/>
          <w:vertAlign w:val="baseline"/>
        </w:rPr>
        <w:t> </w:t>
      </w:r>
      <w:r>
        <w:rPr>
          <w:vertAlign w:val="baseline"/>
        </w:rPr>
        <w:t>so</w:t>
      </w:r>
      <w:r>
        <w:rPr>
          <w:spacing w:val="-8"/>
          <w:vertAlign w:val="baseline"/>
        </w:rPr>
        <w:t> </w:t>
      </w:r>
      <w:r>
        <w:rPr>
          <w:vertAlign w:val="baseline"/>
        </w:rPr>
        <w:t>will</w:t>
      </w:r>
      <w:r>
        <w:rPr>
          <w:spacing w:val="-8"/>
          <w:vertAlign w:val="baseline"/>
        </w:rPr>
        <w:t> </w:t>
      </w:r>
      <w:r>
        <w:rPr>
          <w:vertAlign w:val="baseline"/>
        </w:rPr>
        <w:t>need</w:t>
      </w:r>
      <w:r>
        <w:rPr>
          <w:spacing w:val="-8"/>
          <w:vertAlign w:val="baseline"/>
        </w:rPr>
        <w:t> </w:t>
      </w:r>
      <w:r>
        <w:rPr>
          <w:vertAlign w:val="baseline"/>
        </w:rPr>
        <w:t>to</w:t>
      </w:r>
    </w:p>
    <w:p>
      <w:pPr>
        <w:pStyle w:val="BodyText"/>
        <w:spacing w:line="232" w:lineRule="auto"/>
        <w:ind w:left="720"/>
      </w:pPr>
      <w:r>
        <w:rPr/>
        <w:t>develop</w:t>
      </w:r>
      <w:r>
        <w:rPr>
          <w:spacing w:val="-5"/>
        </w:rPr>
        <w:t> </w:t>
      </w:r>
      <w:r>
        <w:rPr/>
        <w:t>an</w:t>
      </w:r>
      <w:r>
        <w:rPr>
          <w:spacing w:val="-5"/>
        </w:rPr>
        <w:t> </w:t>
      </w:r>
      <w:r>
        <w:rPr/>
        <w:t>action</w:t>
      </w:r>
      <w:r>
        <w:rPr>
          <w:spacing w:val="-5"/>
        </w:rPr>
        <w:t> </w:t>
      </w:r>
      <w:r>
        <w:rPr/>
        <w:t>plan.</w:t>
      </w:r>
      <w:r>
        <w:rPr>
          <w:spacing w:val="-5"/>
        </w:rPr>
        <w:t> </w:t>
      </w:r>
      <w:r>
        <w:rPr/>
        <w:t>Research</w:t>
      </w:r>
      <w:r>
        <w:rPr>
          <w:spacing w:val="-5"/>
        </w:rPr>
        <w:t> </w:t>
      </w:r>
      <w:r>
        <w:rPr/>
        <w:t>published</w:t>
      </w:r>
      <w:r>
        <w:rPr>
          <w:spacing w:val="-5"/>
        </w:rPr>
        <w:t> </w:t>
      </w:r>
      <w:r>
        <w:rPr/>
        <w:t>by</w:t>
      </w:r>
      <w:r>
        <w:rPr>
          <w:spacing w:val="-4"/>
        </w:rPr>
        <w:t> </w:t>
      </w:r>
      <w:r>
        <w:rPr/>
        <w:t>the</w:t>
      </w:r>
      <w:r>
        <w:rPr>
          <w:spacing w:val="-4"/>
        </w:rPr>
        <w:t> </w:t>
      </w:r>
      <w:r>
        <w:rPr/>
        <w:t>Irish</w:t>
      </w:r>
      <w:r>
        <w:rPr>
          <w:spacing w:val="-5"/>
        </w:rPr>
        <w:t> </w:t>
      </w:r>
      <w:r>
        <w:rPr/>
        <w:t>Human</w:t>
      </w:r>
      <w:r>
        <w:rPr>
          <w:spacing w:val="-5"/>
        </w:rPr>
        <w:t> </w:t>
      </w:r>
      <w:r>
        <w:rPr/>
        <w:t>Rights</w:t>
      </w:r>
      <w:r>
        <w:rPr>
          <w:spacing w:val="-5"/>
        </w:rPr>
        <w:t> </w:t>
      </w:r>
      <w:r>
        <w:rPr/>
        <w:t>and</w:t>
      </w:r>
      <w:r>
        <w:rPr>
          <w:spacing w:val="-5"/>
        </w:rPr>
        <w:t> </w:t>
      </w:r>
      <w:r>
        <w:rPr/>
        <w:t>Equality Commission found that there are no conflicting rights in the Irish Constitution</w:t>
      </w:r>
    </w:p>
    <w:p>
      <w:pPr>
        <w:pStyle w:val="BodyText"/>
        <w:spacing w:line="232" w:lineRule="auto"/>
        <w:ind w:left="720" w:right="1087"/>
      </w:pPr>
      <w:r>
        <w:rPr/>
        <w:t>that</w:t>
      </w:r>
      <w:r>
        <w:rPr>
          <w:spacing w:val="-9"/>
        </w:rPr>
        <w:t> </w:t>
      </w:r>
      <w:r>
        <w:rPr/>
        <w:t>would</w:t>
      </w:r>
      <w:r>
        <w:rPr>
          <w:spacing w:val="-10"/>
        </w:rPr>
        <w:t> </w:t>
      </w:r>
      <w:r>
        <w:rPr/>
        <w:t>prevent</w:t>
      </w:r>
      <w:r>
        <w:rPr>
          <w:spacing w:val="-9"/>
        </w:rPr>
        <w:t> </w:t>
      </w:r>
      <w:r>
        <w:rPr/>
        <w:t>the</w:t>
      </w:r>
      <w:r>
        <w:rPr>
          <w:spacing w:val="-9"/>
        </w:rPr>
        <w:t> </w:t>
      </w:r>
      <w:r>
        <w:rPr/>
        <w:t>Government</w:t>
      </w:r>
      <w:r>
        <w:rPr>
          <w:spacing w:val="-9"/>
        </w:rPr>
        <w:t> </w:t>
      </w:r>
      <w:r>
        <w:rPr/>
        <w:t>from</w:t>
      </w:r>
      <w:r>
        <w:rPr>
          <w:spacing w:val="-9"/>
        </w:rPr>
        <w:t> </w:t>
      </w:r>
      <w:r>
        <w:rPr/>
        <w:t>introducing</w:t>
      </w:r>
      <w:r>
        <w:rPr>
          <w:spacing w:val="-9"/>
        </w:rPr>
        <w:t> </w:t>
      </w:r>
      <w:r>
        <w:rPr/>
        <w:t>a</w:t>
      </w:r>
      <w:r>
        <w:rPr>
          <w:spacing w:val="-10"/>
        </w:rPr>
        <w:t> </w:t>
      </w:r>
      <w:r>
        <w:rPr/>
        <w:t>statutory</w:t>
      </w:r>
      <w:r>
        <w:rPr>
          <w:spacing w:val="-9"/>
        </w:rPr>
        <w:t> </w:t>
      </w:r>
      <w:r>
        <w:rPr/>
        <w:t>framework</w:t>
      </w:r>
      <w:r>
        <w:rPr>
          <w:spacing w:val="-9"/>
        </w:rPr>
        <w:t> </w:t>
      </w:r>
      <w:r>
        <w:rPr/>
        <w:t>and protections for collective bargaining.</w:t>
      </w:r>
      <w:r>
        <w:rPr>
          <w:vertAlign w:val="superscript"/>
        </w:rPr>
        <w:t>406</w:t>
      </w:r>
      <w:r>
        <w:rPr>
          <w:vertAlign w:val="baseline"/>
        </w:rPr>
        <w:t> The Directive must be transposed into national law by November 2024.</w:t>
      </w:r>
    </w:p>
    <w:p>
      <w:pPr>
        <w:pStyle w:val="BodyText"/>
        <w:rPr>
          <w:sz w:val="20"/>
        </w:rPr>
      </w:pPr>
    </w:p>
    <w:p>
      <w:pPr>
        <w:pStyle w:val="BodyText"/>
        <w:spacing w:before="27"/>
        <w:rPr>
          <w:sz w:val="20"/>
        </w:rPr>
      </w:pPr>
      <w:r>
        <w:rPr/>
        <mc:AlternateContent>
          <mc:Choice Requires="wps">
            <w:drawing>
              <wp:anchor distT="0" distB="0" distL="0" distR="0" allowOverlap="1" layoutInCell="1" locked="0" behindDoc="1" simplePos="0" relativeHeight="487708672">
                <wp:simplePos x="0" y="0"/>
                <wp:positionH relativeFrom="page">
                  <wp:posOffset>647999</wp:posOffset>
                </wp:positionH>
                <wp:positionV relativeFrom="paragraph">
                  <wp:posOffset>187902</wp:posOffset>
                </wp:positionV>
                <wp:extent cx="6012180" cy="1270"/>
                <wp:effectExtent l="0" t="0" r="0" b="0"/>
                <wp:wrapTopAndBottom/>
                <wp:docPr id="641" name="Graphic 641"/>
                <wp:cNvGraphicFramePr>
                  <a:graphicFrameLocks/>
                </wp:cNvGraphicFramePr>
                <a:graphic>
                  <a:graphicData uri="http://schemas.microsoft.com/office/word/2010/wordprocessingShape">
                    <wps:wsp>
                      <wps:cNvPr id="641" name="Graphic 64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4.795497pt;width:473.4pt;height:.1pt;mso-position-horizontal-relative:page;mso-position-vertical-relative:paragraph;z-index:-15607808;mso-wrap-distance-left:0;mso-wrap-distance-right:0" id="docshape518" coordorigin="1020,296" coordsize="9468,0" path="m1020,296l10488,296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0" w:hanging="567"/>
        <w:jc w:val="left"/>
        <w:rPr>
          <w:sz w:val="18"/>
        </w:rPr>
      </w:pPr>
      <w:r>
        <w:rPr>
          <w:sz w:val="18"/>
        </w:rPr>
        <w:t>ECNI,</w:t>
      </w:r>
      <w:r>
        <w:rPr>
          <w:spacing w:val="-5"/>
          <w:sz w:val="18"/>
        </w:rPr>
        <w:t> </w:t>
      </w:r>
      <w:r>
        <w:rPr>
          <w:color w:val="1D71B8"/>
          <w:sz w:val="18"/>
          <w:u w:val="single" w:color="1D71B8"/>
        </w:rPr>
        <w:t>Age</w:t>
      </w:r>
      <w:r>
        <w:rPr>
          <w:color w:val="1D71B8"/>
          <w:spacing w:val="-4"/>
          <w:sz w:val="18"/>
          <w:u w:val="single" w:color="1D71B8"/>
        </w:rPr>
        <w:t> </w:t>
      </w:r>
      <w:r>
        <w:rPr>
          <w:color w:val="1D71B8"/>
          <w:sz w:val="18"/>
          <w:u w:val="single" w:color="1D71B8"/>
        </w:rPr>
        <w:t>Discrimination</w:t>
      </w:r>
      <w:r>
        <w:rPr>
          <w:color w:val="1D71B8"/>
          <w:spacing w:val="-5"/>
          <w:sz w:val="18"/>
          <w:u w:val="single" w:color="1D71B8"/>
        </w:rPr>
        <w:t> </w:t>
      </w:r>
      <w:r>
        <w:rPr>
          <w:color w:val="1D71B8"/>
          <w:sz w:val="18"/>
          <w:u w:val="single" w:color="1D71B8"/>
        </w:rPr>
        <w:t>Law</w:t>
      </w:r>
      <w:r>
        <w:rPr>
          <w:color w:val="1D71B8"/>
          <w:spacing w:val="-4"/>
          <w:sz w:val="18"/>
          <w:u w:val="single" w:color="1D71B8"/>
        </w:rPr>
        <w:t> </w:t>
      </w:r>
      <w:r>
        <w:rPr>
          <w:color w:val="1D71B8"/>
          <w:sz w:val="18"/>
          <w:u w:val="single" w:color="1D71B8"/>
        </w:rPr>
        <w:t>Needs</w:t>
      </w:r>
      <w:r>
        <w:rPr>
          <w:color w:val="1D71B8"/>
          <w:spacing w:val="-4"/>
          <w:sz w:val="18"/>
          <w:u w:val="single" w:color="1D71B8"/>
        </w:rPr>
        <w:t> </w:t>
      </w:r>
      <w:r>
        <w:rPr>
          <w:color w:val="1D71B8"/>
          <w:sz w:val="18"/>
          <w:u w:val="single" w:color="1D71B8"/>
        </w:rPr>
        <w:t>Strengthened</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Northern</w:t>
      </w:r>
      <w:r>
        <w:rPr>
          <w:color w:val="1D71B8"/>
          <w:spacing w:val="-4"/>
          <w:sz w:val="18"/>
          <w:u w:val="single" w:color="1D71B8"/>
        </w:rPr>
        <w:t> </w:t>
      </w:r>
      <w:r>
        <w:rPr>
          <w:color w:val="1D71B8"/>
          <w:sz w:val="18"/>
          <w:u w:val="single" w:color="1D71B8"/>
        </w:rPr>
        <w:t>Ireland,</w:t>
      </w:r>
      <w:r>
        <w:rPr>
          <w:color w:val="1D71B8"/>
          <w:spacing w:val="-4"/>
          <w:sz w:val="18"/>
          <w:u w:val="none"/>
        </w:rPr>
        <w:t> </w:t>
      </w:r>
      <w:r>
        <w:rPr>
          <w:sz w:val="18"/>
          <w:u w:val="none"/>
        </w:rPr>
        <w:t>(3</w:t>
      </w:r>
      <w:r>
        <w:rPr>
          <w:spacing w:val="-4"/>
          <w:sz w:val="18"/>
          <w:u w:val="none"/>
        </w:rPr>
        <w:t> </w:t>
      </w:r>
      <w:r>
        <w:rPr>
          <w:sz w:val="18"/>
          <w:u w:val="none"/>
        </w:rPr>
        <w:t>February</w:t>
      </w:r>
      <w:r>
        <w:rPr>
          <w:spacing w:val="-3"/>
          <w:sz w:val="18"/>
          <w:u w:val="none"/>
        </w:rPr>
        <w:t> </w:t>
      </w:r>
      <w:r>
        <w:rPr>
          <w:spacing w:val="-2"/>
          <w:sz w:val="18"/>
          <w:u w:val="none"/>
        </w:rPr>
        <w:t>2023).</w:t>
      </w:r>
    </w:p>
    <w:p>
      <w:pPr>
        <w:pStyle w:val="ListParagraph"/>
        <w:numPr>
          <w:ilvl w:val="0"/>
          <w:numId w:val="18"/>
        </w:numPr>
        <w:tabs>
          <w:tab w:pos="1287" w:val="left" w:leader="none"/>
        </w:tabs>
        <w:spacing w:line="240" w:lineRule="auto" w:before="1" w:after="0"/>
        <w:ind w:left="1287" w:right="1365" w:hanging="567"/>
        <w:jc w:val="left"/>
        <w:rPr>
          <w:sz w:val="18"/>
        </w:rPr>
      </w:pPr>
      <w:r>
        <w:rPr>
          <w:sz w:val="18"/>
        </w:rPr>
        <w:t>We leave out discussion of some of the many other important initiatives related to equality in Ireland such as the</w:t>
      </w:r>
      <w:r>
        <w:rPr>
          <w:spacing w:val="40"/>
          <w:sz w:val="18"/>
        </w:rPr>
        <w:t> </w:t>
      </w:r>
      <w:r>
        <w:rPr>
          <w:sz w:val="18"/>
        </w:rPr>
        <w:t>Equal</w:t>
      </w:r>
      <w:r>
        <w:rPr>
          <w:spacing w:val="-4"/>
          <w:sz w:val="18"/>
        </w:rPr>
        <w:t> </w:t>
      </w:r>
      <w:r>
        <w:rPr>
          <w:sz w:val="18"/>
        </w:rPr>
        <w:t>Budgeting</w:t>
      </w:r>
      <w:r>
        <w:rPr>
          <w:spacing w:val="-4"/>
          <w:sz w:val="18"/>
        </w:rPr>
        <w:t> </w:t>
      </w:r>
      <w:r>
        <w:rPr>
          <w:sz w:val="18"/>
        </w:rPr>
        <w:t>initiative</w:t>
      </w:r>
      <w:r>
        <w:rPr>
          <w:spacing w:val="-4"/>
          <w:sz w:val="18"/>
        </w:rPr>
        <w:t> </w:t>
      </w:r>
      <w:r>
        <w:rPr>
          <w:sz w:val="18"/>
        </w:rPr>
        <w:t>as</w:t>
      </w:r>
      <w:r>
        <w:rPr>
          <w:spacing w:val="-4"/>
          <w:sz w:val="18"/>
        </w:rPr>
        <w:t> </w:t>
      </w:r>
      <w:r>
        <w:rPr>
          <w:sz w:val="18"/>
        </w:rPr>
        <w:t>meriting</w:t>
      </w:r>
      <w:r>
        <w:rPr>
          <w:spacing w:val="-4"/>
          <w:sz w:val="18"/>
        </w:rPr>
        <w:t> </w:t>
      </w:r>
      <w:r>
        <w:rPr>
          <w:sz w:val="18"/>
        </w:rPr>
        <w:t>more</w:t>
      </w:r>
      <w:r>
        <w:rPr>
          <w:spacing w:val="-4"/>
          <w:sz w:val="18"/>
        </w:rPr>
        <w:t> </w:t>
      </w:r>
      <w:r>
        <w:rPr>
          <w:sz w:val="18"/>
        </w:rPr>
        <w:t>detailed</w:t>
      </w:r>
      <w:r>
        <w:rPr>
          <w:spacing w:val="-4"/>
          <w:sz w:val="18"/>
        </w:rPr>
        <w:t> </w:t>
      </w:r>
      <w:r>
        <w:rPr>
          <w:sz w:val="18"/>
        </w:rPr>
        <w:t>study</w:t>
      </w:r>
      <w:r>
        <w:rPr>
          <w:spacing w:val="-4"/>
          <w:sz w:val="18"/>
        </w:rPr>
        <w:t> </w:t>
      </w:r>
      <w:r>
        <w:rPr>
          <w:sz w:val="18"/>
        </w:rPr>
        <w:t>than</w:t>
      </w:r>
      <w:r>
        <w:rPr>
          <w:spacing w:val="-4"/>
          <w:sz w:val="18"/>
        </w:rPr>
        <w:t> </w:t>
      </w:r>
      <w:r>
        <w:rPr>
          <w:sz w:val="18"/>
        </w:rPr>
        <w:t>as</w:t>
      </w:r>
      <w:r>
        <w:rPr>
          <w:spacing w:val="-4"/>
          <w:sz w:val="18"/>
        </w:rPr>
        <w:t> </w:t>
      </w:r>
      <w:r>
        <w:rPr>
          <w:sz w:val="18"/>
        </w:rPr>
        <w:t>an</w:t>
      </w:r>
      <w:r>
        <w:rPr>
          <w:spacing w:val="-4"/>
          <w:sz w:val="18"/>
        </w:rPr>
        <w:t> </w:t>
      </w:r>
      <w:r>
        <w:rPr>
          <w:sz w:val="18"/>
        </w:rPr>
        <w:t>aspect</w:t>
      </w:r>
      <w:r>
        <w:rPr>
          <w:spacing w:val="-4"/>
          <w:sz w:val="18"/>
        </w:rPr>
        <w:t> </w:t>
      </w:r>
      <w:r>
        <w:rPr>
          <w:sz w:val="18"/>
        </w:rPr>
        <w:t>of</w:t>
      </w:r>
      <w:r>
        <w:rPr>
          <w:spacing w:val="-4"/>
          <w:sz w:val="18"/>
        </w:rPr>
        <w:t> </w:t>
      </w:r>
      <w:r>
        <w:rPr>
          <w:sz w:val="18"/>
        </w:rPr>
        <w:t>divergence.</w:t>
      </w:r>
      <w:r>
        <w:rPr>
          <w:spacing w:val="-4"/>
          <w:sz w:val="18"/>
        </w:rPr>
        <w:t> </w:t>
      </w:r>
      <w:r>
        <w:rPr>
          <w:sz w:val="18"/>
        </w:rPr>
        <w:t>We</w:t>
      </w:r>
      <w:r>
        <w:rPr>
          <w:spacing w:val="-4"/>
          <w:sz w:val="18"/>
        </w:rPr>
        <w:t> </w:t>
      </w:r>
      <w:r>
        <w:rPr>
          <w:sz w:val="18"/>
        </w:rPr>
        <w:t>note</w:t>
      </w:r>
      <w:r>
        <w:rPr>
          <w:spacing w:val="-4"/>
          <w:sz w:val="18"/>
        </w:rPr>
        <w:t> </w:t>
      </w:r>
      <w:r>
        <w:rPr>
          <w:sz w:val="18"/>
        </w:rPr>
        <w:t>though</w:t>
      </w:r>
      <w:r>
        <w:rPr>
          <w:spacing w:val="-4"/>
          <w:sz w:val="18"/>
        </w:rPr>
        <w:t> </w:t>
      </w:r>
      <w:r>
        <w:rPr>
          <w:sz w:val="18"/>
        </w:rPr>
        <w:t>it</w:t>
      </w:r>
      <w:r>
        <w:rPr>
          <w:spacing w:val="-4"/>
          <w:sz w:val="18"/>
        </w:rPr>
        <w:t> </w:t>
      </w:r>
      <w:r>
        <w:rPr>
          <w:sz w:val="18"/>
        </w:rPr>
        <w:t>has</w:t>
      </w:r>
      <w:r>
        <w:rPr>
          <w:spacing w:val="-4"/>
          <w:sz w:val="18"/>
        </w:rPr>
        <w:t> </w:t>
      </w:r>
      <w:r>
        <w:rPr>
          <w:sz w:val="18"/>
        </w:rPr>
        <w:t>been discussed by the OECD: OECD, </w:t>
      </w:r>
      <w:hyperlink r:id="rId108">
        <w:r>
          <w:rPr>
            <w:color w:val="1D71B8"/>
            <w:sz w:val="18"/>
            <w:u w:val="single" w:color="1D71B8"/>
          </w:rPr>
          <w:t>OECD Scan: Equality Budgeting in Ireland</w:t>
        </w:r>
      </w:hyperlink>
      <w:r>
        <w:rPr>
          <w:sz w:val="18"/>
          <w:u w:val="none"/>
        </w:rPr>
        <w:t>. We also leave out discussion on the recent </w:t>
      </w:r>
      <w:hyperlink r:id="rId109">
        <w:r>
          <w:rPr>
            <w:color w:val="1D71B8"/>
            <w:sz w:val="18"/>
            <w:u w:val="single" w:color="1D71B8"/>
          </w:rPr>
          <w:t>Online</w:t>
        </w:r>
        <w:r>
          <w:rPr>
            <w:color w:val="1D71B8"/>
            <w:spacing w:val="-4"/>
            <w:sz w:val="18"/>
            <w:u w:val="single" w:color="1D71B8"/>
          </w:rPr>
          <w:t> </w:t>
        </w:r>
        <w:r>
          <w:rPr>
            <w:color w:val="1D71B8"/>
            <w:sz w:val="18"/>
            <w:u w:val="single" w:color="1D71B8"/>
          </w:rPr>
          <w:t>Safety</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Media</w:t>
        </w:r>
        <w:r>
          <w:rPr>
            <w:color w:val="1D71B8"/>
            <w:spacing w:val="-5"/>
            <w:sz w:val="18"/>
            <w:u w:val="single" w:color="1D71B8"/>
          </w:rPr>
          <w:t> </w:t>
        </w:r>
        <w:r>
          <w:rPr>
            <w:color w:val="1D71B8"/>
            <w:sz w:val="18"/>
            <w:u w:val="single" w:color="1D71B8"/>
          </w:rPr>
          <w:t>Regulation</w:t>
        </w:r>
        <w:r>
          <w:rPr>
            <w:color w:val="1D71B8"/>
            <w:spacing w:val="-5"/>
            <w:sz w:val="18"/>
            <w:u w:val="single" w:color="1D71B8"/>
          </w:rPr>
          <w:t> </w:t>
        </w:r>
        <w:r>
          <w:rPr>
            <w:color w:val="1D71B8"/>
            <w:sz w:val="18"/>
            <w:u w:val="single" w:color="1D71B8"/>
          </w:rPr>
          <w:t>Act</w:t>
        </w:r>
        <w:r>
          <w:rPr>
            <w:color w:val="1D71B8"/>
            <w:spacing w:val="-4"/>
            <w:sz w:val="18"/>
            <w:u w:val="single" w:color="1D71B8"/>
          </w:rPr>
          <w:t> </w:t>
        </w:r>
        <w:r>
          <w:rPr>
            <w:color w:val="1D71B8"/>
            <w:sz w:val="18"/>
            <w:u w:val="single" w:color="1D71B8"/>
          </w:rPr>
          <w:t>2022</w:t>
        </w:r>
      </w:hyperlink>
      <w:r>
        <w:rPr>
          <w:sz w:val="18"/>
          <w:u w:val="none"/>
        </w:rPr>
        <w:t>.</w:t>
      </w:r>
      <w:r>
        <w:rPr>
          <w:spacing w:val="-5"/>
          <w:sz w:val="18"/>
          <w:u w:val="none"/>
        </w:rPr>
        <w:t> </w:t>
      </w:r>
      <w:r>
        <w:rPr>
          <w:sz w:val="18"/>
          <w:u w:val="none"/>
        </w:rPr>
        <w:t>This</w:t>
      </w:r>
      <w:r>
        <w:rPr>
          <w:spacing w:val="-5"/>
          <w:sz w:val="18"/>
          <w:u w:val="none"/>
        </w:rPr>
        <w:t> </w:t>
      </w:r>
      <w:r>
        <w:rPr>
          <w:sz w:val="18"/>
          <w:u w:val="none"/>
        </w:rPr>
        <w:t>gives</w:t>
      </w:r>
      <w:r>
        <w:rPr>
          <w:spacing w:val="-5"/>
          <w:sz w:val="18"/>
          <w:u w:val="none"/>
        </w:rPr>
        <w:t> </w:t>
      </w:r>
      <w:r>
        <w:rPr>
          <w:sz w:val="18"/>
          <w:u w:val="none"/>
        </w:rPr>
        <w:t>effect</w:t>
      </w:r>
      <w:r>
        <w:rPr>
          <w:spacing w:val="-4"/>
          <w:sz w:val="18"/>
          <w:u w:val="none"/>
        </w:rPr>
        <w:t> </w:t>
      </w:r>
      <w:r>
        <w:rPr>
          <w:sz w:val="18"/>
          <w:u w:val="none"/>
        </w:rPr>
        <w:t>to</w:t>
      </w:r>
      <w:r>
        <w:rPr>
          <w:spacing w:val="-5"/>
          <w:sz w:val="18"/>
          <w:u w:val="none"/>
        </w:rPr>
        <w:t> </w:t>
      </w:r>
      <w:r>
        <w:rPr>
          <w:color w:val="1D71B8"/>
          <w:sz w:val="18"/>
          <w:u w:val="single" w:color="1D71B8"/>
        </w:rPr>
        <w:t>Directive</w:t>
      </w:r>
      <w:r>
        <w:rPr>
          <w:color w:val="1D71B8"/>
          <w:spacing w:val="-4"/>
          <w:sz w:val="18"/>
          <w:u w:val="single" w:color="1D71B8"/>
        </w:rPr>
        <w:t> </w:t>
      </w:r>
      <w:r>
        <w:rPr>
          <w:color w:val="1D71B8"/>
          <w:sz w:val="18"/>
          <w:u w:val="single" w:color="1D71B8"/>
        </w:rPr>
        <w:t>(EU)</w:t>
      </w:r>
      <w:r>
        <w:rPr>
          <w:color w:val="1D71B8"/>
          <w:spacing w:val="-5"/>
          <w:sz w:val="18"/>
          <w:u w:val="single" w:color="1D71B8"/>
        </w:rPr>
        <w:t> </w:t>
      </w:r>
      <w:r>
        <w:rPr>
          <w:color w:val="1D71B8"/>
          <w:sz w:val="18"/>
          <w:u w:val="single" w:color="1D71B8"/>
        </w:rPr>
        <w:t>2018/1808</w:t>
      </w:r>
      <w:r>
        <w:rPr>
          <w:color w:val="1D71B8"/>
          <w:spacing w:val="-5"/>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 and</w:t>
      </w:r>
      <w:r>
        <w:rPr>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14</w:t>
      </w:r>
      <w:r>
        <w:rPr>
          <w:spacing w:val="-3"/>
          <w:sz w:val="18"/>
          <w:u w:val="none"/>
        </w:rPr>
        <w:t> </w:t>
      </w:r>
      <w:r>
        <w:rPr>
          <w:sz w:val="18"/>
          <w:u w:val="none"/>
        </w:rPr>
        <w:t>November</w:t>
      </w:r>
      <w:r>
        <w:rPr>
          <w:spacing w:val="-3"/>
          <w:sz w:val="18"/>
          <w:u w:val="none"/>
        </w:rPr>
        <w:t> </w:t>
      </w:r>
      <w:r>
        <w:rPr>
          <w:sz w:val="18"/>
          <w:u w:val="none"/>
        </w:rPr>
        <w:t>2018</w:t>
      </w:r>
      <w:r>
        <w:rPr>
          <w:spacing w:val="-3"/>
          <w:sz w:val="18"/>
          <w:u w:val="none"/>
        </w:rPr>
        <w:t> </w:t>
      </w:r>
      <w:r>
        <w:rPr>
          <w:sz w:val="18"/>
          <w:u w:val="none"/>
        </w:rPr>
        <w:t>amending</w:t>
      </w:r>
      <w:r>
        <w:rPr>
          <w:spacing w:val="-3"/>
          <w:sz w:val="18"/>
          <w:u w:val="none"/>
        </w:rPr>
        <w:t> </w:t>
      </w:r>
      <w:r>
        <w:rPr>
          <w:sz w:val="18"/>
          <w:u w:val="none"/>
        </w:rPr>
        <w:t>Directive</w:t>
      </w:r>
      <w:r>
        <w:rPr>
          <w:spacing w:val="-3"/>
          <w:sz w:val="18"/>
          <w:u w:val="none"/>
        </w:rPr>
        <w:t> </w:t>
      </w:r>
      <w:r>
        <w:rPr>
          <w:sz w:val="18"/>
          <w:u w:val="none"/>
        </w:rPr>
        <w:t>2010/13/EU</w:t>
      </w:r>
      <w:r>
        <w:rPr>
          <w:spacing w:val="-3"/>
          <w:sz w:val="18"/>
          <w:u w:val="none"/>
        </w:rPr>
        <w:t> </w:t>
      </w:r>
      <w:r>
        <w:rPr>
          <w:sz w:val="18"/>
          <w:u w:val="none"/>
        </w:rPr>
        <w:t>on</w:t>
      </w:r>
      <w:r>
        <w:rPr>
          <w:spacing w:val="-4"/>
          <w:sz w:val="18"/>
          <w:u w:val="none"/>
        </w:rPr>
        <w:t> </w:t>
      </w:r>
      <w:r>
        <w:rPr>
          <w:sz w:val="18"/>
          <w:u w:val="none"/>
        </w:rPr>
        <w:t>the</w:t>
      </w:r>
      <w:r>
        <w:rPr>
          <w:spacing w:val="-3"/>
          <w:sz w:val="18"/>
          <w:u w:val="none"/>
        </w:rPr>
        <w:t> </w:t>
      </w:r>
      <w:r>
        <w:rPr>
          <w:sz w:val="18"/>
          <w:u w:val="none"/>
        </w:rPr>
        <w:t>coordination</w:t>
      </w:r>
      <w:r>
        <w:rPr>
          <w:spacing w:val="-4"/>
          <w:sz w:val="18"/>
          <w:u w:val="none"/>
        </w:rPr>
        <w:t> </w:t>
      </w:r>
      <w:r>
        <w:rPr>
          <w:sz w:val="18"/>
          <w:u w:val="none"/>
        </w:rPr>
        <w:t>of</w:t>
      </w:r>
      <w:r>
        <w:rPr>
          <w:spacing w:val="-4"/>
          <w:sz w:val="18"/>
          <w:u w:val="none"/>
        </w:rPr>
        <w:t> </w:t>
      </w:r>
      <w:r>
        <w:rPr>
          <w:sz w:val="18"/>
          <w:u w:val="none"/>
        </w:rPr>
        <w:t>certain</w:t>
      </w:r>
      <w:r>
        <w:rPr>
          <w:spacing w:val="-4"/>
          <w:sz w:val="18"/>
          <w:u w:val="none"/>
        </w:rPr>
        <w:t> </w:t>
      </w:r>
      <w:r>
        <w:rPr>
          <w:sz w:val="18"/>
          <w:u w:val="none"/>
        </w:rPr>
        <w:t>provisions</w:t>
      </w:r>
      <w:r>
        <w:rPr>
          <w:spacing w:val="-4"/>
          <w:sz w:val="18"/>
          <w:u w:val="none"/>
        </w:rPr>
        <w:t> </w:t>
      </w:r>
      <w:r>
        <w:rPr>
          <w:sz w:val="18"/>
          <w:u w:val="none"/>
        </w:rPr>
        <w:t>laid</w:t>
      </w:r>
    </w:p>
    <w:p>
      <w:pPr>
        <w:spacing w:before="1"/>
        <w:ind w:left="1287" w:right="1087" w:firstLine="0"/>
        <w:jc w:val="left"/>
        <w:rPr>
          <w:sz w:val="18"/>
        </w:rPr>
      </w:pPr>
      <w:r>
        <w:rPr>
          <w:sz w:val="18"/>
        </w:rPr>
        <w:t>down</w:t>
      </w:r>
      <w:r>
        <w:rPr>
          <w:spacing w:val="-6"/>
          <w:sz w:val="18"/>
        </w:rPr>
        <w:t> </w:t>
      </w:r>
      <w:r>
        <w:rPr>
          <w:sz w:val="18"/>
        </w:rPr>
        <w:t>by</w:t>
      </w:r>
      <w:r>
        <w:rPr>
          <w:spacing w:val="-5"/>
          <w:sz w:val="18"/>
        </w:rPr>
        <w:t> </w:t>
      </w:r>
      <w:r>
        <w:rPr>
          <w:sz w:val="18"/>
        </w:rPr>
        <w:t>law,</w:t>
      </w:r>
      <w:r>
        <w:rPr>
          <w:spacing w:val="-5"/>
          <w:sz w:val="18"/>
        </w:rPr>
        <w:t> </w:t>
      </w:r>
      <w:r>
        <w:rPr>
          <w:sz w:val="18"/>
        </w:rPr>
        <w:t>regulation</w:t>
      </w:r>
      <w:r>
        <w:rPr>
          <w:spacing w:val="-6"/>
          <w:sz w:val="18"/>
        </w:rPr>
        <w:t> </w:t>
      </w:r>
      <w:r>
        <w:rPr>
          <w:sz w:val="18"/>
        </w:rPr>
        <w:t>or</w:t>
      </w:r>
      <w:r>
        <w:rPr>
          <w:spacing w:val="-5"/>
          <w:sz w:val="18"/>
        </w:rPr>
        <w:t> </w:t>
      </w:r>
      <w:r>
        <w:rPr>
          <w:sz w:val="18"/>
        </w:rPr>
        <w:t>administrative</w:t>
      </w:r>
      <w:r>
        <w:rPr>
          <w:spacing w:val="-5"/>
          <w:sz w:val="18"/>
        </w:rPr>
        <w:t> </w:t>
      </w:r>
      <w:r>
        <w:rPr>
          <w:sz w:val="18"/>
        </w:rPr>
        <w:t>action</w:t>
      </w:r>
      <w:r>
        <w:rPr>
          <w:spacing w:val="-6"/>
          <w:sz w:val="18"/>
        </w:rPr>
        <w:t> </w:t>
      </w:r>
      <w:r>
        <w:rPr>
          <w:sz w:val="18"/>
        </w:rPr>
        <w:t>in</w:t>
      </w:r>
      <w:r>
        <w:rPr>
          <w:spacing w:val="-6"/>
          <w:sz w:val="18"/>
        </w:rPr>
        <w:t> </w:t>
      </w:r>
      <w:r>
        <w:rPr>
          <w:sz w:val="18"/>
        </w:rPr>
        <w:t>Member</w:t>
      </w:r>
      <w:r>
        <w:rPr>
          <w:spacing w:val="-5"/>
          <w:sz w:val="18"/>
        </w:rPr>
        <w:t> </w:t>
      </w:r>
      <w:r>
        <w:rPr>
          <w:sz w:val="18"/>
        </w:rPr>
        <w:t>States</w:t>
      </w:r>
      <w:r>
        <w:rPr>
          <w:spacing w:val="-6"/>
          <w:sz w:val="18"/>
        </w:rPr>
        <w:t> </w:t>
      </w:r>
      <w:r>
        <w:rPr>
          <w:sz w:val="18"/>
        </w:rPr>
        <w:t>concerning</w:t>
      </w:r>
      <w:r>
        <w:rPr>
          <w:spacing w:val="-5"/>
          <w:sz w:val="18"/>
        </w:rPr>
        <w:t> </w:t>
      </w:r>
      <w:r>
        <w:rPr>
          <w:sz w:val="18"/>
        </w:rPr>
        <w:t>the</w:t>
      </w:r>
      <w:r>
        <w:rPr>
          <w:spacing w:val="-5"/>
          <w:sz w:val="18"/>
        </w:rPr>
        <w:t> </w:t>
      </w:r>
      <w:r>
        <w:rPr>
          <w:sz w:val="18"/>
        </w:rPr>
        <w:t>provision</w:t>
      </w:r>
      <w:r>
        <w:rPr>
          <w:spacing w:val="-6"/>
          <w:sz w:val="18"/>
        </w:rPr>
        <w:t> </w:t>
      </w:r>
      <w:r>
        <w:rPr>
          <w:sz w:val="18"/>
        </w:rPr>
        <w:t>of</w:t>
      </w:r>
      <w:r>
        <w:rPr>
          <w:spacing w:val="-6"/>
          <w:sz w:val="18"/>
        </w:rPr>
        <w:t> </w:t>
      </w:r>
      <w:r>
        <w:rPr>
          <w:sz w:val="18"/>
        </w:rPr>
        <w:t>audiovisual</w:t>
      </w:r>
      <w:r>
        <w:rPr>
          <w:spacing w:val="-6"/>
          <w:sz w:val="18"/>
        </w:rPr>
        <w:t> </w:t>
      </w:r>
      <w:r>
        <w:rPr>
          <w:sz w:val="18"/>
        </w:rPr>
        <w:t>media</w:t>
      </w:r>
      <w:r>
        <w:rPr>
          <w:spacing w:val="-6"/>
          <w:sz w:val="18"/>
        </w:rPr>
        <w:t> </w:t>
      </w:r>
      <w:r>
        <w:rPr>
          <w:sz w:val="18"/>
        </w:rPr>
        <w:t>services (Audiovisual Media Services Directive) in view of changing market realities. The UK has implemented this Directive in </w:t>
      </w:r>
      <w:hyperlink r:id="rId110">
        <w:r>
          <w:rPr>
            <w:color w:val="1D71B8"/>
            <w:sz w:val="18"/>
            <w:u w:val="single" w:color="1D71B8"/>
          </w:rPr>
          <w:t>UK </w:t>
        </w:r>
      </w:hyperlink>
      <w:r>
        <w:rPr>
          <w:color w:val="1D71B8"/>
          <w:sz w:val="18"/>
          <w:u w:val="none"/>
        </w:rPr>
        <w:t> </w:t>
      </w:r>
      <w:hyperlink r:id="rId110">
        <w:r>
          <w:rPr>
            <w:color w:val="1D71B8"/>
            <w:sz w:val="18"/>
            <w:u w:val="single" w:color="1D71B8"/>
          </w:rPr>
          <w:t>Audiovisual Media Services Regulations 2020</w:t>
        </w:r>
      </w:hyperlink>
      <w:r>
        <w:rPr>
          <w:sz w:val="18"/>
          <w:u w:val="none"/>
        </w:rPr>
        <w:t>. The Directive requires states to ensure that media service providers do</w:t>
      </w:r>
    </w:p>
    <w:p>
      <w:pPr>
        <w:spacing w:before="1"/>
        <w:ind w:left="1287" w:right="1427" w:firstLine="0"/>
        <w:jc w:val="both"/>
        <w:rPr>
          <w:sz w:val="18"/>
        </w:rPr>
      </w:pPr>
      <w:r>
        <w:rPr>
          <w:sz w:val="18"/>
        </w:rPr>
        <w:t>not</w:t>
      </w:r>
      <w:r>
        <w:rPr>
          <w:spacing w:val="-3"/>
          <w:sz w:val="18"/>
        </w:rPr>
        <w:t> </w:t>
      </w:r>
      <w:r>
        <w:rPr>
          <w:sz w:val="18"/>
        </w:rPr>
        <w:t>share</w:t>
      </w:r>
      <w:r>
        <w:rPr>
          <w:spacing w:val="-3"/>
          <w:sz w:val="18"/>
        </w:rPr>
        <w:t> </w:t>
      </w:r>
      <w:r>
        <w:rPr>
          <w:sz w:val="18"/>
        </w:rPr>
        <w:t>anything</w:t>
      </w:r>
      <w:r>
        <w:rPr>
          <w:spacing w:val="-3"/>
          <w:sz w:val="18"/>
        </w:rPr>
        <w:t> </w:t>
      </w:r>
      <w:r>
        <w:rPr>
          <w:sz w:val="18"/>
        </w:rPr>
        <w:t>that</w:t>
      </w:r>
      <w:r>
        <w:rPr>
          <w:spacing w:val="-3"/>
          <w:sz w:val="18"/>
        </w:rPr>
        <w:t> </w:t>
      </w:r>
      <w:r>
        <w:rPr>
          <w:sz w:val="18"/>
        </w:rPr>
        <w:t>incites</w:t>
      </w:r>
      <w:r>
        <w:rPr>
          <w:spacing w:val="-4"/>
          <w:sz w:val="18"/>
        </w:rPr>
        <w:t> </w:t>
      </w:r>
      <w:r>
        <w:rPr>
          <w:sz w:val="18"/>
        </w:rPr>
        <w:t>violence</w:t>
      </w:r>
      <w:r>
        <w:rPr>
          <w:spacing w:val="-3"/>
          <w:sz w:val="18"/>
        </w:rPr>
        <w:t> </w:t>
      </w:r>
      <w:r>
        <w:rPr>
          <w:sz w:val="18"/>
        </w:rPr>
        <w:t>or</w:t>
      </w:r>
      <w:r>
        <w:rPr>
          <w:spacing w:val="-3"/>
          <w:sz w:val="18"/>
        </w:rPr>
        <w:t> </w:t>
      </w:r>
      <w:r>
        <w:rPr>
          <w:sz w:val="18"/>
        </w:rPr>
        <w:t>hate</w:t>
      </w:r>
      <w:r>
        <w:rPr>
          <w:spacing w:val="-3"/>
          <w:sz w:val="18"/>
        </w:rPr>
        <w:t> </w:t>
      </w:r>
      <w:r>
        <w:rPr>
          <w:sz w:val="18"/>
        </w:rPr>
        <w:t>directed</w:t>
      </w:r>
      <w:r>
        <w:rPr>
          <w:spacing w:val="-4"/>
          <w:sz w:val="18"/>
        </w:rPr>
        <w:t> </w:t>
      </w:r>
      <w:r>
        <w:rPr>
          <w:sz w:val="18"/>
        </w:rPr>
        <w:t>at</w:t>
      </w:r>
      <w:r>
        <w:rPr>
          <w:spacing w:val="-3"/>
          <w:sz w:val="18"/>
        </w:rPr>
        <w:t> </w:t>
      </w:r>
      <w:r>
        <w:rPr>
          <w:sz w:val="18"/>
        </w:rPr>
        <w:t>one</w:t>
      </w:r>
      <w:r>
        <w:rPr>
          <w:spacing w:val="-3"/>
          <w:sz w:val="18"/>
        </w:rPr>
        <w:t> </w:t>
      </w:r>
      <w:r>
        <w:rPr>
          <w:sz w:val="18"/>
        </w:rPr>
        <w:t>of</w:t>
      </w:r>
      <w:r>
        <w:rPr>
          <w:spacing w:val="-4"/>
          <w:sz w:val="18"/>
        </w:rPr>
        <w:t> </w:t>
      </w:r>
      <w:r>
        <w:rPr>
          <w:sz w:val="18"/>
        </w:rPr>
        <w:t>the</w:t>
      </w:r>
      <w:r>
        <w:rPr>
          <w:spacing w:val="-3"/>
          <w:sz w:val="18"/>
        </w:rPr>
        <w:t> </w:t>
      </w:r>
      <w:r>
        <w:rPr>
          <w:sz w:val="18"/>
        </w:rPr>
        <w:t>groups</w:t>
      </w:r>
      <w:r>
        <w:rPr>
          <w:spacing w:val="-4"/>
          <w:sz w:val="18"/>
        </w:rPr>
        <w:t> </w:t>
      </w:r>
      <w:r>
        <w:rPr>
          <w:sz w:val="18"/>
        </w:rPr>
        <w:t>referenced</w:t>
      </w:r>
      <w:r>
        <w:rPr>
          <w:spacing w:val="-4"/>
          <w:sz w:val="18"/>
        </w:rPr>
        <w:t> </w:t>
      </w:r>
      <w:r>
        <w:rPr>
          <w:sz w:val="18"/>
        </w:rPr>
        <w:t>in</w:t>
      </w:r>
      <w:r>
        <w:rPr>
          <w:spacing w:val="-4"/>
          <w:sz w:val="18"/>
        </w:rPr>
        <w:t> </w:t>
      </w:r>
      <w:r>
        <w:rPr>
          <w:sz w:val="18"/>
        </w:rPr>
        <w:t>Article</w:t>
      </w:r>
      <w:r>
        <w:rPr>
          <w:spacing w:val="-3"/>
          <w:sz w:val="18"/>
        </w:rPr>
        <w:t> </w:t>
      </w:r>
      <w:r>
        <w:rPr>
          <w:sz w:val="18"/>
        </w:rPr>
        <w:t>21</w:t>
      </w:r>
      <w:r>
        <w:rPr>
          <w:spacing w:val="-3"/>
          <w:sz w:val="18"/>
        </w:rPr>
        <w:t> </w:t>
      </w:r>
      <w:r>
        <w:rPr>
          <w:sz w:val="18"/>
        </w:rPr>
        <w:t>of</w:t>
      </w:r>
      <w:r>
        <w:rPr>
          <w:spacing w:val="-4"/>
          <w:sz w:val="18"/>
        </w:rPr>
        <w:t> </w:t>
      </w:r>
      <w:r>
        <w:rPr>
          <w:sz w:val="18"/>
        </w:rPr>
        <w:t>the</w:t>
      </w:r>
      <w:r>
        <w:rPr>
          <w:spacing w:val="-3"/>
          <w:sz w:val="18"/>
        </w:rPr>
        <w:t> </w:t>
      </w:r>
      <w:r>
        <w:rPr>
          <w:sz w:val="18"/>
        </w:rPr>
        <w:t>Charter</w:t>
      </w:r>
      <w:r>
        <w:rPr>
          <w:spacing w:val="-3"/>
          <w:sz w:val="18"/>
        </w:rPr>
        <w:t> </w:t>
      </w:r>
      <w:r>
        <w:rPr>
          <w:sz w:val="18"/>
        </w:rPr>
        <w:t>of Fundamental</w:t>
      </w:r>
      <w:r>
        <w:rPr>
          <w:spacing w:val="-6"/>
          <w:sz w:val="18"/>
        </w:rPr>
        <w:t> </w:t>
      </w:r>
      <w:r>
        <w:rPr>
          <w:sz w:val="18"/>
        </w:rPr>
        <w:t>Rights</w:t>
      </w:r>
      <w:r>
        <w:rPr>
          <w:spacing w:val="-6"/>
          <w:sz w:val="18"/>
        </w:rPr>
        <w:t> </w:t>
      </w:r>
      <w:r>
        <w:rPr>
          <w:sz w:val="18"/>
        </w:rPr>
        <w:t>or</w:t>
      </w:r>
      <w:r>
        <w:rPr>
          <w:spacing w:val="-5"/>
          <w:sz w:val="18"/>
        </w:rPr>
        <w:t> </w:t>
      </w:r>
      <w:r>
        <w:rPr>
          <w:sz w:val="18"/>
        </w:rPr>
        <w:t>that</w:t>
      </w:r>
      <w:r>
        <w:rPr>
          <w:spacing w:val="-5"/>
          <w:sz w:val="18"/>
        </w:rPr>
        <w:t> </w:t>
      </w:r>
      <w:r>
        <w:rPr>
          <w:sz w:val="18"/>
        </w:rPr>
        <w:t>constitutes</w:t>
      </w:r>
      <w:r>
        <w:rPr>
          <w:spacing w:val="-6"/>
          <w:sz w:val="18"/>
        </w:rPr>
        <w:t> </w:t>
      </w:r>
      <w:r>
        <w:rPr>
          <w:sz w:val="18"/>
        </w:rPr>
        <w:t>provocation</w:t>
      </w:r>
      <w:r>
        <w:rPr>
          <w:spacing w:val="-6"/>
          <w:sz w:val="18"/>
        </w:rPr>
        <w:t> </w:t>
      </w:r>
      <w:r>
        <w:rPr>
          <w:sz w:val="18"/>
        </w:rPr>
        <w:t>to</w:t>
      </w:r>
      <w:r>
        <w:rPr>
          <w:spacing w:val="-6"/>
          <w:sz w:val="18"/>
        </w:rPr>
        <w:t> </w:t>
      </w:r>
      <w:r>
        <w:rPr>
          <w:sz w:val="18"/>
        </w:rPr>
        <w:t>commit</w:t>
      </w:r>
      <w:r>
        <w:rPr>
          <w:spacing w:val="-5"/>
          <w:sz w:val="18"/>
        </w:rPr>
        <w:t> </w:t>
      </w:r>
      <w:r>
        <w:rPr>
          <w:sz w:val="18"/>
        </w:rPr>
        <w:t>terrorism,</w:t>
      </w:r>
      <w:r>
        <w:rPr>
          <w:spacing w:val="-5"/>
          <w:sz w:val="18"/>
        </w:rPr>
        <w:t> </w:t>
      </w:r>
      <w:r>
        <w:rPr>
          <w:sz w:val="18"/>
        </w:rPr>
        <w:t>and</w:t>
      </w:r>
      <w:r>
        <w:rPr>
          <w:spacing w:val="-6"/>
          <w:sz w:val="18"/>
        </w:rPr>
        <w:t> </w:t>
      </w:r>
      <w:r>
        <w:rPr>
          <w:sz w:val="18"/>
        </w:rPr>
        <w:t>to</w:t>
      </w:r>
      <w:r>
        <w:rPr>
          <w:spacing w:val="-6"/>
          <w:sz w:val="18"/>
        </w:rPr>
        <w:t> </w:t>
      </w:r>
      <w:r>
        <w:rPr>
          <w:sz w:val="18"/>
        </w:rPr>
        <w:t>take</w:t>
      </w:r>
      <w:r>
        <w:rPr>
          <w:spacing w:val="-5"/>
          <w:sz w:val="18"/>
        </w:rPr>
        <w:t> </w:t>
      </w:r>
      <w:r>
        <w:rPr>
          <w:sz w:val="18"/>
        </w:rPr>
        <w:t>appropriate</w:t>
      </w:r>
      <w:r>
        <w:rPr>
          <w:spacing w:val="-5"/>
          <w:sz w:val="18"/>
        </w:rPr>
        <w:t> </w:t>
      </w:r>
      <w:r>
        <w:rPr>
          <w:sz w:val="18"/>
        </w:rPr>
        <w:t>measures</w:t>
      </w:r>
      <w:r>
        <w:rPr>
          <w:spacing w:val="-6"/>
          <w:sz w:val="18"/>
        </w:rPr>
        <w:t> </w:t>
      </w:r>
      <w:r>
        <w:rPr>
          <w:sz w:val="18"/>
        </w:rPr>
        <w:t>to</w:t>
      </w:r>
      <w:r>
        <w:rPr>
          <w:spacing w:val="-6"/>
          <w:sz w:val="18"/>
        </w:rPr>
        <w:t> </w:t>
      </w:r>
      <w:r>
        <w:rPr>
          <w:sz w:val="18"/>
        </w:rPr>
        <w:t>protect minors from material that might impair their physical, mental or moral development.</w:t>
      </w:r>
    </w:p>
    <w:p>
      <w:pPr>
        <w:pStyle w:val="ListParagraph"/>
        <w:numPr>
          <w:ilvl w:val="0"/>
          <w:numId w:val="18"/>
        </w:numPr>
        <w:tabs>
          <w:tab w:pos="1287" w:val="left" w:leader="none"/>
        </w:tabs>
        <w:spacing w:line="240" w:lineRule="auto" w:before="1" w:after="0"/>
        <w:ind w:left="1287" w:right="1209" w:hanging="567"/>
        <w:jc w:val="left"/>
        <w:rPr>
          <w:sz w:val="18"/>
        </w:rPr>
      </w:pPr>
      <w:r>
        <w:rPr>
          <w:sz w:val="18"/>
        </w:rPr>
        <w:t>Irish</w:t>
      </w:r>
      <w:r>
        <w:rPr>
          <w:spacing w:val="-4"/>
          <w:sz w:val="18"/>
        </w:rPr>
        <w:t> </w:t>
      </w:r>
      <w:r>
        <w:rPr>
          <w:sz w:val="18"/>
        </w:rPr>
        <w:t>Human</w:t>
      </w:r>
      <w:r>
        <w:rPr>
          <w:spacing w:val="-4"/>
          <w:sz w:val="18"/>
        </w:rPr>
        <w:t> </w:t>
      </w:r>
      <w:r>
        <w:rPr>
          <w:sz w:val="18"/>
        </w:rPr>
        <w:t>Rights</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hyperlink r:id="rId111">
        <w:r>
          <w:rPr>
            <w:color w:val="1D71B8"/>
            <w:sz w:val="18"/>
            <w:u w:val="single" w:color="1D71B8"/>
          </w:rPr>
          <w:t>Ireland</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Sustainable</w:t>
        </w:r>
        <w:r>
          <w:rPr>
            <w:color w:val="1D71B8"/>
            <w:spacing w:val="-3"/>
            <w:sz w:val="18"/>
            <w:u w:val="single" w:color="1D71B8"/>
          </w:rPr>
          <w:t> </w:t>
        </w:r>
        <w:r>
          <w:rPr>
            <w:color w:val="1D71B8"/>
            <w:sz w:val="18"/>
            <w:u w:val="single" w:color="1D71B8"/>
          </w:rPr>
          <w:t>Development</w:t>
        </w:r>
        <w:r>
          <w:rPr>
            <w:color w:val="1D71B8"/>
            <w:spacing w:val="-3"/>
            <w:sz w:val="18"/>
            <w:u w:val="single" w:color="1D71B8"/>
          </w:rPr>
          <w:t> </w:t>
        </w:r>
        <w:r>
          <w:rPr>
            <w:color w:val="1D71B8"/>
            <w:sz w:val="18"/>
            <w:u w:val="single" w:color="1D71B8"/>
          </w:rPr>
          <w:t>Goals</w:t>
        </w:r>
        <w:r>
          <w:rPr>
            <w:color w:val="1D71B8"/>
            <w:spacing w:val="-4"/>
            <w:sz w:val="18"/>
            <w:u w:val="single" w:color="1D71B8"/>
          </w:rPr>
          <w:t> </w:t>
        </w:r>
        <w:r>
          <w:rPr>
            <w:color w:val="1D71B8"/>
            <w:sz w:val="18"/>
            <w:u w:val="single" w:color="1D71B8"/>
          </w:rPr>
          <w:t>Submission</w:t>
        </w:r>
        <w:r>
          <w:rPr>
            <w:color w:val="1D71B8"/>
            <w:spacing w:val="-4"/>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2023</w:t>
        </w:r>
        <w:r>
          <w:rPr>
            <w:color w:val="1D71B8"/>
            <w:spacing w:val="-3"/>
            <w:sz w:val="18"/>
            <w:u w:val="single" w:color="1D71B8"/>
          </w:rPr>
          <w:t> </w:t>
        </w:r>
        <w:r>
          <w:rPr>
            <w:color w:val="1D71B8"/>
            <w:sz w:val="18"/>
            <w:u w:val="single" w:color="1D71B8"/>
          </w:rPr>
          <w:t>UN</w:t>
        </w:r>
      </w:hyperlink>
      <w:r>
        <w:rPr>
          <w:color w:val="1D71B8"/>
          <w:sz w:val="18"/>
          <w:u w:val="none"/>
        </w:rPr>
        <w:t> </w:t>
      </w:r>
      <w:hyperlink r:id="rId111">
        <w:r>
          <w:rPr>
            <w:color w:val="1D71B8"/>
            <w:sz w:val="18"/>
            <w:u w:val="single" w:color="1D71B8"/>
          </w:rPr>
          <w:t>High-Level Political Forum on the second Voluntary National Review of Ireland</w:t>
        </w:r>
      </w:hyperlink>
      <w:r>
        <w:rPr>
          <w:color w:val="1D71B8"/>
          <w:sz w:val="18"/>
          <w:u w:val="none"/>
        </w:rPr>
        <w:t> </w:t>
      </w:r>
      <w:r>
        <w:rPr>
          <w:sz w:val="18"/>
          <w:u w:val="none"/>
        </w:rPr>
        <w:t>(May 2023).</w:t>
      </w:r>
    </w:p>
    <w:p>
      <w:pPr>
        <w:pStyle w:val="ListParagraph"/>
        <w:numPr>
          <w:ilvl w:val="0"/>
          <w:numId w:val="18"/>
        </w:numPr>
        <w:tabs>
          <w:tab w:pos="1287" w:val="left" w:leader="none"/>
        </w:tabs>
        <w:spacing w:line="240" w:lineRule="auto" w:before="0" w:after="0"/>
        <w:ind w:left="1287" w:right="1608" w:hanging="567"/>
        <w:jc w:val="left"/>
        <w:rPr>
          <w:sz w:val="18"/>
        </w:rPr>
      </w:pPr>
      <w:r>
        <w:rPr>
          <w:color w:val="1D71B8"/>
          <w:sz w:val="18"/>
          <w:u w:val="single" w:color="1D71B8"/>
        </w:rPr>
        <w:t>Directive</w:t>
      </w:r>
      <w:r>
        <w:rPr>
          <w:color w:val="1D71B8"/>
          <w:spacing w:val="-3"/>
          <w:sz w:val="18"/>
          <w:u w:val="single" w:color="1D71B8"/>
        </w:rPr>
        <w:t> </w:t>
      </w:r>
      <w:r>
        <w:rPr>
          <w:color w:val="1D71B8"/>
          <w:sz w:val="18"/>
          <w:u w:val="single" w:color="1D71B8"/>
        </w:rPr>
        <w:t>(EU)</w:t>
      </w:r>
      <w:r>
        <w:rPr>
          <w:color w:val="1D71B8"/>
          <w:spacing w:val="-4"/>
          <w:sz w:val="18"/>
          <w:u w:val="single" w:color="1D71B8"/>
        </w:rPr>
        <w:t> </w:t>
      </w:r>
      <w:r>
        <w:rPr>
          <w:color w:val="1D71B8"/>
          <w:sz w:val="18"/>
          <w:u w:val="single" w:color="1D71B8"/>
        </w:rPr>
        <w:t>2022/2041</w:t>
      </w:r>
      <w:r>
        <w:rPr>
          <w:color w:val="1D71B8"/>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19</w:t>
      </w:r>
      <w:r>
        <w:rPr>
          <w:spacing w:val="-3"/>
          <w:sz w:val="18"/>
          <w:u w:val="none"/>
        </w:rPr>
        <w:t> </w:t>
      </w:r>
      <w:r>
        <w:rPr>
          <w:sz w:val="18"/>
          <w:u w:val="none"/>
        </w:rPr>
        <w:t>October</w:t>
      </w:r>
      <w:r>
        <w:rPr>
          <w:spacing w:val="-3"/>
          <w:sz w:val="18"/>
          <w:u w:val="none"/>
        </w:rPr>
        <w:t> </w:t>
      </w:r>
      <w:r>
        <w:rPr>
          <w:sz w:val="18"/>
          <w:u w:val="none"/>
        </w:rPr>
        <w:t>2022</w:t>
      </w:r>
      <w:r>
        <w:rPr>
          <w:spacing w:val="-3"/>
          <w:sz w:val="18"/>
          <w:u w:val="none"/>
        </w:rPr>
        <w:t> </w:t>
      </w:r>
      <w:r>
        <w:rPr>
          <w:sz w:val="18"/>
          <w:u w:val="none"/>
        </w:rPr>
        <w:t>on</w:t>
      </w:r>
      <w:r>
        <w:rPr>
          <w:spacing w:val="-4"/>
          <w:sz w:val="18"/>
          <w:u w:val="none"/>
        </w:rPr>
        <w:t> </w:t>
      </w:r>
      <w:r>
        <w:rPr>
          <w:sz w:val="18"/>
          <w:u w:val="none"/>
        </w:rPr>
        <w:t>adequate</w:t>
      </w:r>
      <w:r>
        <w:rPr>
          <w:spacing w:val="-3"/>
          <w:sz w:val="18"/>
          <w:u w:val="none"/>
        </w:rPr>
        <w:t> </w:t>
      </w:r>
      <w:r>
        <w:rPr>
          <w:sz w:val="18"/>
          <w:u w:val="none"/>
        </w:rPr>
        <w:t>minimum wages in the European Union 2022, Article 4.</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Ibid.,</w:t>
      </w:r>
      <w:r>
        <w:rPr>
          <w:spacing w:val="-3"/>
          <w:sz w:val="18"/>
        </w:rPr>
        <w:t> </w:t>
      </w:r>
      <w:r>
        <w:rPr>
          <w:sz w:val="18"/>
        </w:rPr>
        <w:t>Article</w:t>
      </w:r>
      <w:r>
        <w:rPr>
          <w:spacing w:val="-2"/>
          <w:sz w:val="18"/>
        </w:rPr>
        <w:t> </w:t>
      </w:r>
      <w:r>
        <w:rPr>
          <w:spacing w:val="-5"/>
          <w:sz w:val="18"/>
        </w:rPr>
        <w:t>5.</w:t>
      </w:r>
    </w:p>
    <w:p>
      <w:pPr>
        <w:pStyle w:val="ListParagraph"/>
        <w:numPr>
          <w:ilvl w:val="0"/>
          <w:numId w:val="18"/>
        </w:numPr>
        <w:tabs>
          <w:tab w:pos="1287" w:val="left" w:leader="none"/>
        </w:tabs>
        <w:spacing w:line="240" w:lineRule="auto" w:before="0" w:after="0"/>
        <w:ind w:left="1287" w:right="1158" w:hanging="567"/>
        <w:jc w:val="left"/>
        <w:rPr>
          <w:sz w:val="18"/>
        </w:rPr>
      </w:pPr>
      <w:r>
        <w:rPr>
          <w:sz w:val="18"/>
        </w:rPr>
        <w:t>Alan</w:t>
      </w:r>
      <w:r>
        <w:rPr>
          <w:spacing w:val="-7"/>
          <w:sz w:val="18"/>
        </w:rPr>
        <w:t> </w:t>
      </w:r>
      <w:r>
        <w:rPr>
          <w:sz w:val="18"/>
        </w:rPr>
        <w:t>Eustace</w:t>
      </w:r>
      <w:r>
        <w:rPr>
          <w:spacing w:val="-6"/>
          <w:sz w:val="18"/>
        </w:rPr>
        <w:t> </w:t>
      </w:r>
      <w:r>
        <w:rPr>
          <w:sz w:val="18"/>
        </w:rPr>
        <w:t>and</w:t>
      </w:r>
      <w:r>
        <w:rPr>
          <w:spacing w:val="-7"/>
          <w:sz w:val="18"/>
        </w:rPr>
        <w:t> </w:t>
      </w:r>
      <w:r>
        <w:rPr>
          <w:sz w:val="18"/>
        </w:rPr>
        <w:t>David</w:t>
      </w:r>
      <w:r>
        <w:rPr>
          <w:spacing w:val="-7"/>
          <w:sz w:val="18"/>
        </w:rPr>
        <w:t> </w:t>
      </w:r>
      <w:r>
        <w:rPr>
          <w:sz w:val="18"/>
        </w:rPr>
        <w:t>Kenny,</w:t>
      </w:r>
      <w:r>
        <w:rPr>
          <w:spacing w:val="-6"/>
          <w:sz w:val="18"/>
        </w:rPr>
        <w:t> </w:t>
      </w:r>
      <w:hyperlink r:id="rId112">
        <w:r>
          <w:rPr>
            <w:color w:val="1D71B8"/>
            <w:sz w:val="18"/>
            <w:u w:val="single" w:color="1D71B8"/>
          </w:rPr>
          <w:t>Collective</w:t>
        </w:r>
        <w:r>
          <w:rPr>
            <w:color w:val="1D71B8"/>
            <w:spacing w:val="-6"/>
            <w:sz w:val="18"/>
            <w:u w:val="single" w:color="1D71B8"/>
          </w:rPr>
          <w:t> </w:t>
        </w:r>
        <w:r>
          <w:rPr>
            <w:color w:val="1D71B8"/>
            <w:sz w:val="18"/>
            <w:u w:val="single" w:color="1D71B8"/>
          </w:rPr>
          <w:t>Bargaining</w:t>
        </w:r>
        <w:r>
          <w:rPr>
            <w:color w:val="1D71B8"/>
            <w:spacing w:val="-6"/>
            <w:sz w:val="18"/>
            <w:u w:val="single" w:color="1D71B8"/>
          </w:rPr>
          <w:t> </w:t>
        </w:r>
        <w:r>
          <w:rPr>
            <w:color w:val="1D71B8"/>
            <w:sz w:val="18"/>
            <w:u w:val="single" w:color="1D71B8"/>
          </w:rPr>
          <w:t>and</w:t>
        </w:r>
        <w:r>
          <w:rPr>
            <w:color w:val="1D71B8"/>
            <w:spacing w:val="-7"/>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Irish</w:t>
        </w:r>
        <w:r>
          <w:rPr>
            <w:color w:val="1D71B8"/>
            <w:spacing w:val="-7"/>
            <w:sz w:val="18"/>
            <w:u w:val="single" w:color="1D71B8"/>
          </w:rPr>
          <w:t> </w:t>
        </w:r>
        <w:r>
          <w:rPr>
            <w:color w:val="1D71B8"/>
            <w:sz w:val="18"/>
            <w:u w:val="single" w:color="1D71B8"/>
          </w:rPr>
          <w:t>Constitution—Barrier</w:t>
        </w:r>
        <w:r>
          <w:rPr>
            <w:color w:val="1D71B8"/>
            <w:spacing w:val="-6"/>
            <w:sz w:val="18"/>
            <w:u w:val="single" w:color="1D71B8"/>
          </w:rPr>
          <w:t> </w:t>
        </w:r>
        <w:r>
          <w:rPr>
            <w:color w:val="1D71B8"/>
            <w:sz w:val="18"/>
            <w:u w:val="single" w:color="1D71B8"/>
          </w:rPr>
          <w:t>or</w:t>
        </w:r>
        <w:r>
          <w:rPr>
            <w:color w:val="1D71B8"/>
            <w:spacing w:val="-6"/>
            <w:sz w:val="18"/>
            <w:u w:val="single" w:color="1D71B8"/>
          </w:rPr>
          <w:t> </w:t>
        </w:r>
        <w:r>
          <w:rPr>
            <w:color w:val="1D71B8"/>
            <w:sz w:val="18"/>
            <w:u w:val="single" w:color="1D71B8"/>
          </w:rPr>
          <w:t>Facilitator?</w:t>
        </w:r>
      </w:hyperlink>
      <w:r>
        <w:rPr>
          <w:color w:val="1D71B8"/>
          <w:spacing w:val="-8"/>
          <w:sz w:val="18"/>
          <w:u w:val="none"/>
        </w:rPr>
        <w:t> </w:t>
      </w:r>
      <w:r>
        <w:rPr>
          <w:sz w:val="18"/>
          <w:u w:val="none"/>
        </w:rPr>
        <w:t>(Irish</w:t>
      </w:r>
      <w:r>
        <w:rPr>
          <w:spacing w:val="-7"/>
          <w:sz w:val="18"/>
          <w:u w:val="none"/>
        </w:rPr>
        <w:t> </w:t>
      </w:r>
      <w:r>
        <w:rPr>
          <w:sz w:val="18"/>
          <w:u w:val="none"/>
        </w:rPr>
        <w:t>Human</w:t>
      </w:r>
      <w:r>
        <w:rPr>
          <w:spacing w:val="-7"/>
          <w:sz w:val="18"/>
          <w:u w:val="none"/>
        </w:rPr>
        <w:t> </w:t>
      </w:r>
      <w:r>
        <w:rPr>
          <w:sz w:val="18"/>
          <w:u w:val="none"/>
        </w:rPr>
        <w:t>Rights and Equality Commission, 2023) 24-27.</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27904">
                <wp:simplePos x="0" y="0"/>
                <wp:positionH relativeFrom="page">
                  <wp:posOffset>-2</wp:posOffset>
                </wp:positionH>
                <wp:positionV relativeFrom="page">
                  <wp:posOffset>0</wp:posOffset>
                </wp:positionV>
                <wp:extent cx="7560309" cy="1155065"/>
                <wp:effectExtent l="0" t="0" r="0" b="0"/>
                <wp:wrapNone/>
                <wp:docPr id="642" name="Group 642"/>
                <wp:cNvGraphicFramePr>
                  <a:graphicFrameLocks/>
                </wp:cNvGraphicFramePr>
                <a:graphic>
                  <a:graphicData uri="http://schemas.microsoft.com/office/word/2010/wordprocessingGroup">
                    <wpg:wgp>
                      <wpg:cNvPr id="642" name="Group 642"/>
                      <wpg:cNvGrpSpPr/>
                      <wpg:grpSpPr>
                        <a:xfrm>
                          <a:off x="0" y="0"/>
                          <a:ext cx="7560309" cy="1155065"/>
                          <a:chExt cx="7560309" cy="1155065"/>
                        </a:xfrm>
                      </wpg:grpSpPr>
                      <wps:wsp>
                        <wps:cNvPr id="643" name="Graphic 643"/>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644" name="Graphic 644"/>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88576" id="docshapegroup519" coordorigin="0,0" coordsize="11906,1819">
                <v:shape style="position:absolute;left:0;top:0;width:11906;height:1819" id="docshape520"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71</w:t>
      </w:r>
    </w:p>
    <w:p>
      <w:pPr>
        <w:pStyle w:val="BodyText"/>
        <w:spacing w:line="232" w:lineRule="auto" w:before="731"/>
        <w:ind w:left="1117" w:right="738"/>
      </w:pPr>
      <w:r>
        <w:rPr/>
        <w:t>Northern Ireland differs from Ireland in having legislation providing for the statutory recognition of trade unions.</w:t>
      </w:r>
      <w:r>
        <w:rPr>
          <w:vertAlign w:val="superscript"/>
        </w:rPr>
        <w:t>407</w:t>
      </w:r>
      <w:r>
        <w:rPr>
          <w:vertAlign w:val="baseline"/>
        </w:rPr>
        <w:t> According to one research report, union coverage in Northern Ireland is 53%</w:t>
      </w:r>
      <w:r>
        <w:rPr>
          <w:vertAlign w:val="superscript"/>
        </w:rPr>
        <w:t>408</w:t>
      </w:r>
      <w:r>
        <w:rPr>
          <w:vertAlign w:val="baseline"/>
        </w:rPr>
        <w:t> and so Northern Ireland would have to develop</w:t>
      </w:r>
      <w:r>
        <w:rPr>
          <w:spacing w:val="-10"/>
          <w:vertAlign w:val="baseline"/>
        </w:rPr>
        <w:t> </w:t>
      </w:r>
      <w:r>
        <w:rPr>
          <w:vertAlign w:val="baseline"/>
        </w:rPr>
        <w:t>a</w:t>
      </w:r>
      <w:r>
        <w:rPr>
          <w:spacing w:val="-10"/>
          <w:vertAlign w:val="baseline"/>
        </w:rPr>
        <w:t> </w:t>
      </w:r>
      <w:r>
        <w:rPr>
          <w:vertAlign w:val="baseline"/>
        </w:rPr>
        <w:t>strategy</w:t>
      </w:r>
      <w:r>
        <w:rPr>
          <w:spacing w:val="-9"/>
          <w:vertAlign w:val="baseline"/>
        </w:rPr>
        <w:t> </w:t>
      </w:r>
      <w:r>
        <w:rPr>
          <w:vertAlign w:val="baseline"/>
        </w:rPr>
        <w:t>to</w:t>
      </w:r>
      <w:r>
        <w:rPr>
          <w:spacing w:val="-10"/>
          <w:vertAlign w:val="baseline"/>
        </w:rPr>
        <w:t> </w:t>
      </w:r>
      <w:r>
        <w:rPr>
          <w:vertAlign w:val="baseline"/>
        </w:rPr>
        <w:t>promote</w:t>
      </w:r>
      <w:r>
        <w:rPr>
          <w:spacing w:val="-9"/>
          <w:vertAlign w:val="baseline"/>
        </w:rPr>
        <w:t> </w:t>
      </w:r>
      <w:r>
        <w:rPr>
          <w:vertAlign w:val="baseline"/>
        </w:rPr>
        <w:t>collective</w:t>
      </w:r>
      <w:r>
        <w:rPr>
          <w:spacing w:val="-9"/>
          <w:vertAlign w:val="baseline"/>
        </w:rPr>
        <w:t> </w:t>
      </w:r>
      <w:r>
        <w:rPr>
          <w:vertAlign w:val="baseline"/>
        </w:rPr>
        <w:t>bargaining</w:t>
      </w:r>
      <w:r>
        <w:rPr>
          <w:spacing w:val="-9"/>
          <w:vertAlign w:val="baseline"/>
        </w:rPr>
        <w:t> </w:t>
      </w:r>
      <w:r>
        <w:rPr>
          <w:vertAlign w:val="baseline"/>
        </w:rPr>
        <w:t>if</w:t>
      </w:r>
      <w:r>
        <w:rPr>
          <w:spacing w:val="-10"/>
          <w:vertAlign w:val="baseline"/>
        </w:rPr>
        <w:t> </w:t>
      </w:r>
      <w:r>
        <w:rPr>
          <w:vertAlign w:val="baseline"/>
        </w:rPr>
        <w:t>the</w:t>
      </w:r>
      <w:r>
        <w:rPr>
          <w:spacing w:val="-9"/>
          <w:vertAlign w:val="baseline"/>
        </w:rPr>
        <w:t> </w:t>
      </w:r>
      <w:r>
        <w:rPr>
          <w:vertAlign w:val="baseline"/>
        </w:rPr>
        <w:t>Directive</w:t>
      </w:r>
      <w:r>
        <w:rPr>
          <w:spacing w:val="-9"/>
          <w:vertAlign w:val="baseline"/>
        </w:rPr>
        <w:t> </w:t>
      </w:r>
      <w:r>
        <w:rPr>
          <w:vertAlign w:val="baseline"/>
        </w:rPr>
        <w:t>were</w:t>
      </w:r>
      <w:r>
        <w:rPr>
          <w:spacing w:val="-9"/>
          <w:vertAlign w:val="baseline"/>
        </w:rPr>
        <w:t> </w:t>
      </w:r>
      <w:r>
        <w:rPr>
          <w:vertAlign w:val="baseline"/>
        </w:rPr>
        <w:t>to</w:t>
      </w:r>
      <w:r>
        <w:rPr>
          <w:spacing w:val="-10"/>
          <w:vertAlign w:val="baseline"/>
        </w:rPr>
        <w:t> </w:t>
      </w:r>
      <w:r>
        <w:rPr>
          <w:vertAlign w:val="baseline"/>
        </w:rPr>
        <w:t>apply. The research report also highlights that increased collective bargaining could address</w:t>
      </w:r>
      <w:r>
        <w:rPr>
          <w:spacing w:val="-6"/>
          <w:vertAlign w:val="baseline"/>
        </w:rPr>
        <w:t> </w:t>
      </w:r>
      <w:r>
        <w:rPr>
          <w:vertAlign w:val="baseline"/>
        </w:rPr>
        <w:t>several</w:t>
      </w:r>
      <w:r>
        <w:rPr>
          <w:spacing w:val="-6"/>
          <w:vertAlign w:val="baseline"/>
        </w:rPr>
        <w:t> </w:t>
      </w:r>
      <w:r>
        <w:rPr>
          <w:vertAlign w:val="baseline"/>
        </w:rPr>
        <w:t>economic</w:t>
      </w:r>
      <w:r>
        <w:rPr>
          <w:spacing w:val="-5"/>
          <w:vertAlign w:val="baseline"/>
        </w:rPr>
        <w:t> </w:t>
      </w:r>
      <w:r>
        <w:rPr>
          <w:vertAlign w:val="baseline"/>
        </w:rPr>
        <w:t>challenges</w:t>
      </w:r>
      <w:r>
        <w:rPr>
          <w:spacing w:val="-6"/>
          <w:vertAlign w:val="baseline"/>
        </w:rPr>
        <w:t> </w:t>
      </w:r>
      <w:r>
        <w:rPr>
          <w:vertAlign w:val="baseline"/>
        </w:rPr>
        <w:t>in</w:t>
      </w:r>
      <w:r>
        <w:rPr>
          <w:spacing w:val="-6"/>
          <w:vertAlign w:val="baseline"/>
        </w:rPr>
        <w:t> </w:t>
      </w:r>
      <w:r>
        <w:rPr>
          <w:vertAlign w:val="baseline"/>
        </w:rPr>
        <w:t>Northern</w:t>
      </w:r>
      <w:r>
        <w:rPr>
          <w:spacing w:val="-6"/>
          <w:vertAlign w:val="baseline"/>
        </w:rPr>
        <w:t> </w:t>
      </w:r>
      <w:r>
        <w:rPr>
          <w:vertAlign w:val="baseline"/>
        </w:rPr>
        <w:t>Ireland</w:t>
      </w:r>
      <w:r>
        <w:rPr>
          <w:spacing w:val="-6"/>
          <w:vertAlign w:val="baseline"/>
        </w:rPr>
        <w:t> </w:t>
      </w:r>
      <w:r>
        <w:rPr>
          <w:vertAlign w:val="baseline"/>
        </w:rPr>
        <w:t>around</w:t>
      </w:r>
      <w:r>
        <w:rPr>
          <w:spacing w:val="-6"/>
          <w:vertAlign w:val="baseline"/>
        </w:rPr>
        <w:t> </w:t>
      </w:r>
      <w:r>
        <w:rPr>
          <w:vertAlign w:val="baseline"/>
        </w:rPr>
        <w:t>low</w:t>
      </w:r>
      <w:r>
        <w:rPr>
          <w:spacing w:val="-5"/>
          <w:vertAlign w:val="baseline"/>
        </w:rPr>
        <w:t> </w:t>
      </w:r>
      <w:r>
        <w:rPr>
          <w:vertAlign w:val="baseline"/>
        </w:rPr>
        <w:t>productivity and skills underutilisation.</w:t>
      </w:r>
      <w:r>
        <w:rPr>
          <w:vertAlign w:val="superscript"/>
        </w:rPr>
        <w:t>409</w:t>
      </w:r>
    </w:p>
    <w:p>
      <w:pPr>
        <w:pStyle w:val="BodyText"/>
        <w:spacing w:before="9"/>
        <w:rPr>
          <w:sz w:val="19"/>
        </w:rPr>
      </w:pPr>
      <w:r>
        <w:rPr/>
        <mc:AlternateContent>
          <mc:Choice Requires="wps">
            <w:drawing>
              <wp:anchor distT="0" distB="0" distL="0" distR="0" allowOverlap="1" layoutInCell="1" locked="0" behindDoc="1" simplePos="0" relativeHeight="487709696">
                <wp:simplePos x="0" y="0"/>
                <wp:positionH relativeFrom="page">
                  <wp:posOffset>899994</wp:posOffset>
                </wp:positionH>
                <wp:positionV relativeFrom="paragraph">
                  <wp:posOffset>168380</wp:posOffset>
                </wp:positionV>
                <wp:extent cx="6012180" cy="813435"/>
                <wp:effectExtent l="0" t="0" r="0" b="0"/>
                <wp:wrapTopAndBottom/>
                <wp:docPr id="645" name="Group 645"/>
                <wp:cNvGraphicFramePr>
                  <a:graphicFrameLocks/>
                </wp:cNvGraphicFramePr>
                <a:graphic>
                  <a:graphicData uri="http://schemas.microsoft.com/office/word/2010/wordprocessingGroup">
                    <wpg:wgp>
                      <wpg:cNvPr id="645" name="Group 645"/>
                      <wpg:cNvGrpSpPr/>
                      <wpg:grpSpPr>
                        <a:xfrm>
                          <a:off x="0" y="0"/>
                          <a:ext cx="6012180" cy="813435"/>
                          <a:chExt cx="6012180" cy="813435"/>
                        </a:xfrm>
                      </wpg:grpSpPr>
                      <wps:wsp>
                        <wps:cNvPr id="646" name="Graphic 646"/>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647" name="Textbox 647"/>
                        <wps:cNvSpPr txBox="1"/>
                        <wps:spPr>
                          <a:xfrm>
                            <a:off x="0" y="0"/>
                            <a:ext cx="6012180" cy="813435"/>
                          </a:xfrm>
                          <a:prstGeom prst="rect">
                            <a:avLst/>
                          </a:prstGeom>
                        </wps:spPr>
                        <wps:txbx>
                          <w:txbxContent>
                            <w:p>
                              <w:pPr>
                                <w:spacing w:line="232" w:lineRule="auto" w:before="121"/>
                                <w:ind w:left="340" w:right="196" w:firstLine="0"/>
                                <w:jc w:val="left"/>
                                <w:rPr>
                                  <w:b/>
                                  <w:sz w:val="28"/>
                                </w:rPr>
                              </w:pPr>
                              <w:r>
                                <w:rPr>
                                  <w:b/>
                                  <w:color w:val="164194"/>
                                  <w:sz w:val="28"/>
                                </w:rPr>
                                <w:t>We recommend the Government of Ireland consider as part of its EU Adequate</w:t>
                              </w:r>
                              <w:r>
                                <w:rPr>
                                  <w:b/>
                                  <w:color w:val="164194"/>
                                  <w:spacing w:val="-10"/>
                                  <w:sz w:val="28"/>
                                </w:rPr>
                                <w:t> </w:t>
                              </w:r>
                              <w:r>
                                <w:rPr>
                                  <w:b/>
                                  <w:color w:val="164194"/>
                                  <w:sz w:val="28"/>
                                </w:rPr>
                                <w:t>Minimum</w:t>
                              </w:r>
                              <w:r>
                                <w:rPr>
                                  <w:b/>
                                  <w:color w:val="164194"/>
                                  <w:spacing w:val="-10"/>
                                  <w:sz w:val="28"/>
                                </w:rPr>
                                <w:t> </w:t>
                              </w:r>
                              <w:r>
                                <w:rPr>
                                  <w:b/>
                                  <w:color w:val="164194"/>
                                  <w:sz w:val="28"/>
                                </w:rPr>
                                <w:t>Wage</w:t>
                              </w:r>
                              <w:r>
                                <w:rPr>
                                  <w:b/>
                                  <w:color w:val="164194"/>
                                  <w:spacing w:val="-10"/>
                                  <w:sz w:val="28"/>
                                </w:rPr>
                                <w:t> </w:t>
                              </w:r>
                              <w:r>
                                <w:rPr>
                                  <w:b/>
                                  <w:color w:val="164194"/>
                                  <w:sz w:val="28"/>
                                </w:rPr>
                                <w:t>Directive</w:t>
                              </w:r>
                              <w:r>
                                <w:rPr>
                                  <w:b/>
                                  <w:color w:val="164194"/>
                                  <w:spacing w:val="-10"/>
                                  <w:sz w:val="28"/>
                                </w:rPr>
                                <w:t> </w:t>
                              </w:r>
                              <w:r>
                                <w:rPr>
                                  <w:b/>
                                  <w:color w:val="164194"/>
                                  <w:sz w:val="28"/>
                                </w:rPr>
                                <w:t>Action</w:t>
                              </w:r>
                              <w:r>
                                <w:rPr>
                                  <w:b/>
                                  <w:color w:val="164194"/>
                                  <w:spacing w:val="-9"/>
                                  <w:sz w:val="28"/>
                                </w:rPr>
                                <w:t> </w:t>
                              </w:r>
                              <w:r>
                                <w:rPr>
                                  <w:b/>
                                  <w:color w:val="164194"/>
                                  <w:sz w:val="28"/>
                                </w:rPr>
                                <w:t>Plan,</w:t>
                              </w:r>
                              <w:r>
                                <w:rPr>
                                  <w:b/>
                                  <w:color w:val="164194"/>
                                  <w:spacing w:val="-9"/>
                                  <w:sz w:val="28"/>
                                </w:rPr>
                                <w:t> </w:t>
                              </w:r>
                              <w:r>
                                <w:rPr>
                                  <w:b/>
                                  <w:color w:val="164194"/>
                                  <w:sz w:val="28"/>
                                </w:rPr>
                                <w:t>legislation</w:t>
                              </w:r>
                              <w:r>
                                <w:rPr>
                                  <w:b/>
                                  <w:color w:val="164194"/>
                                  <w:spacing w:val="-9"/>
                                  <w:sz w:val="28"/>
                                </w:rPr>
                                <w:t> </w:t>
                              </w:r>
                              <w:r>
                                <w:rPr>
                                  <w:b/>
                                  <w:color w:val="164194"/>
                                  <w:sz w:val="28"/>
                                </w:rPr>
                                <w:t>on</w:t>
                              </w:r>
                              <w:r>
                                <w:rPr>
                                  <w:b/>
                                  <w:color w:val="164194"/>
                                  <w:spacing w:val="-9"/>
                                  <w:sz w:val="28"/>
                                </w:rPr>
                                <w:t> </w:t>
                              </w:r>
                              <w:r>
                                <w:rPr>
                                  <w:b/>
                                  <w:color w:val="164194"/>
                                  <w:sz w:val="28"/>
                                </w:rPr>
                                <w:t>the</w:t>
                              </w:r>
                              <w:r>
                                <w:rPr>
                                  <w:b/>
                                  <w:color w:val="164194"/>
                                  <w:spacing w:val="-10"/>
                                  <w:sz w:val="28"/>
                                </w:rPr>
                                <w:t> </w:t>
                              </w:r>
                              <w:r>
                                <w:rPr>
                                  <w:b/>
                                  <w:color w:val="164194"/>
                                  <w:sz w:val="28"/>
                                </w:rPr>
                                <w:t>statutory recognition of trade unions, bearing in mind the Northern Ireland model.</w:t>
                              </w:r>
                            </w:p>
                          </w:txbxContent>
                        </wps:txbx>
                        <wps:bodyPr wrap="square" lIns="0" tIns="0" rIns="0" bIns="0" rtlCol="0">
                          <a:noAutofit/>
                        </wps:bodyPr>
                      </wps:wsp>
                    </wpg:wgp>
                  </a:graphicData>
                </a:graphic>
              </wp:anchor>
            </w:drawing>
          </mc:Choice>
          <mc:Fallback>
            <w:pict>
              <v:group style="position:absolute;margin-left:70.8657pt;margin-top:13.258317pt;width:473.4pt;height:64.05pt;mso-position-horizontal-relative:page;mso-position-vertical-relative:paragraph;z-index:-15606784;mso-wrap-distance-left:0;mso-wrap-distance-right:0" id="docshapegroup521" coordorigin="1417,265" coordsize="9468,1281">
                <v:shape style="position:absolute;left:1417;top:265;width:9468;height:1281" id="docshape522" coordorigin="1417,265" coordsize="9468,1281" path="m10658,265l1644,265,1572,277,1510,309,1461,358,1429,420,1417,492,1417,1319,1429,1390,1461,1452,1510,1502,1572,1534,1644,1545,10658,1545,10730,1534,10792,1502,10841,1452,10873,1390,10885,1319,10885,492,10873,420,10841,358,10792,309,10730,277,10658,265xe" filled="true" fillcolor="#e9f3fc" stroked="false">
                  <v:path arrowok="t"/>
                  <v:fill type="solid"/>
                </v:shape>
                <v:shape style="position:absolute;left:1417;top:265;width:9468;height:1281" type="#_x0000_t202" id="docshape523" filled="false" stroked="false">
                  <v:textbox inset="0,0,0,0">
                    <w:txbxContent>
                      <w:p>
                        <w:pPr>
                          <w:spacing w:line="232" w:lineRule="auto" w:before="121"/>
                          <w:ind w:left="340" w:right="196" w:firstLine="0"/>
                          <w:jc w:val="left"/>
                          <w:rPr>
                            <w:b/>
                            <w:sz w:val="28"/>
                          </w:rPr>
                        </w:pPr>
                        <w:r>
                          <w:rPr>
                            <w:b/>
                            <w:color w:val="164194"/>
                            <w:sz w:val="28"/>
                          </w:rPr>
                          <w:t>We recommend the Government of Ireland consider as part of its EU Adequate</w:t>
                        </w:r>
                        <w:r>
                          <w:rPr>
                            <w:b/>
                            <w:color w:val="164194"/>
                            <w:spacing w:val="-10"/>
                            <w:sz w:val="28"/>
                          </w:rPr>
                          <w:t> </w:t>
                        </w:r>
                        <w:r>
                          <w:rPr>
                            <w:b/>
                            <w:color w:val="164194"/>
                            <w:sz w:val="28"/>
                          </w:rPr>
                          <w:t>Minimum</w:t>
                        </w:r>
                        <w:r>
                          <w:rPr>
                            <w:b/>
                            <w:color w:val="164194"/>
                            <w:spacing w:val="-10"/>
                            <w:sz w:val="28"/>
                          </w:rPr>
                          <w:t> </w:t>
                        </w:r>
                        <w:r>
                          <w:rPr>
                            <w:b/>
                            <w:color w:val="164194"/>
                            <w:sz w:val="28"/>
                          </w:rPr>
                          <w:t>Wage</w:t>
                        </w:r>
                        <w:r>
                          <w:rPr>
                            <w:b/>
                            <w:color w:val="164194"/>
                            <w:spacing w:val="-10"/>
                            <w:sz w:val="28"/>
                          </w:rPr>
                          <w:t> </w:t>
                        </w:r>
                        <w:r>
                          <w:rPr>
                            <w:b/>
                            <w:color w:val="164194"/>
                            <w:sz w:val="28"/>
                          </w:rPr>
                          <w:t>Directive</w:t>
                        </w:r>
                        <w:r>
                          <w:rPr>
                            <w:b/>
                            <w:color w:val="164194"/>
                            <w:spacing w:val="-10"/>
                            <w:sz w:val="28"/>
                          </w:rPr>
                          <w:t> </w:t>
                        </w:r>
                        <w:r>
                          <w:rPr>
                            <w:b/>
                            <w:color w:val="164194"/>
                            <w:sz w:val="28"/>
                          </w:rPr>
                          <w:t>Action</w:t>
                        </w:r>
                        <w:r>
                          <w:rPr>
                            <w:b/>
                            <w:color w:val="164194"/>
                            <w:spacing w:val="-9"/>
                            <w:sz w:val="28"/>
                          </w:rPr>
                          <w:t> </w:t>
                        </w:r>
                        <w:r>
                          <w:rPr>
                            <w:b/>
                            <w:color w:val="164194"/>
                            <w:sz w:val="28"/>
                          </w:rPr>
                          <w:t>Plan,</w:t>
                        </w:r>
                        <w:r>
                          <w:rPr>
                            <w:b/>
                            <w:color w:val="164194"/>
                            <w:spacing w:val="-9"/>
                            <w:sz w:val="28"/>
                          </w:rPr>
                          <w:t> </w:t>
                        </w:r>
                        <w:r>
                          <w:rPr>
                            <w:b/>
                            <w:color w:val="164194"/>
                            <w:sz w:val="28"/>
                          </w:rPr>
                          <w:t>legislation</w:t>
                        </w:r>
                        <w:r>
                          <w:rPr>
                            <w:b/>
                            <w:color w:val="164194"/>
                            <w:spacing w:val="-9"/>
                            <w:sz w:val="28"/>
                          </w:rPr>
                          <w:t> </w:t>
                        </w:r>
                        <w:r>
                          <w:rPr>
                            <w:b/>
                            <w:color w:val="164194"/>
                            <w:sz w:val="28"/>
                          </w:rPr>
                          <w:t>on</w:t>
                        </w:r>
                        <w:r>
                          <w:rPr>
                            <w:b/>
                            <w:color w:val="164194"/>
                            <w:spacing w:val="-9"/>
                            <w:sz w:val="28"/>
                          </w:rPr>
                          <w:t> </w:t>
                        </w:r>
                        <w:r>
                          <w:rPr>
                            <w:b/>
                            <w:color w:val="164194"/>
                            <w:sz w:val="28"/>
                          </w:rPr>
                          <w:t>the</w:t>
                        </w:r>
                        <w:r>
                          <w:rPr>
                            <w:b/>
                            <w:color w:val="164194"/>
                            <w:spacing w:val="-10"/>
                            <w:sz w:val="28"/>
                          </w:rPr>
                          <w:t> </w:t>
                        </w:r>
                        <w:r>
                          <w:rPr>
                            <w:b/>
                            <w:color w:val="164194"/>
                            <w:sz w:val="28"/>
                          </w:rPr>
                          <w:t>statutory recognition of trade unions, bearing in mind the Northern Ireland model.</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10208">
                <wp:simplePos x="0" y="0"/>
                <wp:positionH relativeFrom="page">
                  <wp:posOffset>899994</wp:posOffset>
                </wp:positionH>
                <wp:positionV relativeFrom="paragraph">
                  <wp:posOffset>1121030</wp:posOffset>
                </wp:positionV>
                <wp:extent cx="6012180" cy="603885"/>
                <wp:effectExtent l="0" t="0" r="0" b="0"/>
                <wp:wrapTopAndBottom/>
                <wp:docPr id="648" name="Group 648"/>
                <wp:cNvGraphicFramePr>
                  <a:graphicFrameLocks/>
                </wp:cNvGraphicFramePr>
                <a:graphic>
                  <a:graphicData uri="http://schemas.microsoft.com/office/word/2010/wordprocessingGroup">
                    <wpg:wgp>
                      <wpg:cNvPr id="648" name="Group 648"/>
                      <wpg:cNvGrpSpPr/>
                      <wpg:grpSpPr>
                        <a:xfrm>
                          <a:off x="0" y="0"/>
                          <a:ext cx="6012180" cy="603885"/>
                          <a:chExt cx="6012180" cy="603885"/>
                        </a:xfrm>
                      </wpg:grpSpPr>
                      <wps:wsp>
                        <wps:cNvPr id="649" name="Graphic 649"/>
                        <wps:cNvSpPr/>
                        <wps:spPr>
                          <a:xfrm>
                            <a:off x="0" y="0"/>
                            <a:ext cx="6012180" cy="603885"/>
                          </a:xfrm>
                          <a:custGeom>
                            <a:avLst/>
                            <a:gdLst/>
                            <a:ahLst/>
                            <a:cxnLst/>
                            <a:rect l="l" t="t" r="r" b="b"/>
                            <a:pathLst>
                              <a:path w="6012180" h="603885">
                                <a:moveTo>
                                  <a:pt x="5868009" y="0"/>
                                </a:moveTo>
                                <a:lnTo>
                                  <a:pt x="144005" y="0"/>
                                </a:lnTo>
                                <a:lnTo>
                                  <a:pt x="98490" y="7340"/>
                                </a:lnTo>
                                <a:lnTo>
                                  <a:pt x="58959" y="27782"/>
                                </a:lnTo>
                                <a:lnTo>
                                  <a:pt x="27785" y="58954"/>
                                </a:lnTo>
                                <a:lnTo>
                                  <a:pt x="7341" y="98485"/>
                                </a:lnTo>
                                <a:lnTo>
                                  <a:pt x="0" y="144005"/>
                                </a:lnTo>
                                <a:lnTo>
                                  <a:pt x="0" y="459346"/>
                                </a:lnTo>
                                <a:lnTo>
                                  <a:pt x="7341" y="504861"/>
                                </a:lnTo>
                                <a:lnTo>
                                  <a:pt x="27785" y="544392"/>
                                </a:lnTo>
                                <a:lnTo>
                                  <a:pt x="58959" y="575565"/>
                                </a:lnTo>
                                <a:lnTo>
                                  <a:pt x="98490" y="596009"/>
                                </a:lnTo>
                                <a:lnTo>
                                  <a:pt x="144005" y="603351"/>
                                </a:lnTo>
                                <a:lnTo>
                                  <a:pt x="5868009" y="603351"/>
                                </a:lnTo>
                                <a:lnTo>
                                  <a:pt x="5913523" y="596009"/>
                                </a:lnTo>
                                <a:lnTo>
                                  <a:pt x="5953050" y="575565"/>
                                </a:lnTo>
                                <a:lnTo>
                                  <a:pt x="5984220" y="544392"/>
                                </a:lnTo>
                                <a:lnTo>
                                  <a:pt x="6004661" y="504861"/>
                                </a:lnTo>
                                <a:lnTo>
                                  <a:pt x="6012002" y="4593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650" name="Textbox 650"/>
                        <wps:cNvSpPr txBox="1"/>
                        <wps:spPr>
                          <a:xfrm>
                            <a:off x="0" y="0"/>
                            <a:ext cx="6012180" cy="60388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9"/>
                                  <w:sz w:val="28"/>
                                </w:rPr>
                                <w:t> </w:t>
                              </w:r>
                              <w:r>
                                <w:rPr>
                                  <w:b/>
                                  <w:color w:val="164194"/>
                                  <w:sz w:val="28"/>
                                </w:rPr>
                                <w:t>the</w:t>
                              </w:r>
                              <w:r>
                                <w:rPr>
                                  <w:b/>
                                  <w:color w:val="164194"/>
                                  <w:spacing w:val="-9"/>
                                  <w:sz w:val="28"/>
                                </w:rPr>
                                <w:t> </w:t>
                              </w:r>
                              <w:r>
                                <w:rPr>
                                  <w:b/>
                                  <w:color w:val="164194"/>
                                  <w:sz w:val="28"/>
                                </w:rPr>
                                <w:t>NI</w:t>
                              </w:r>
                              <w:r>
                                <w:rPr>
                                  <w:b/>
                                  <w:color w:val="164194"/>
                                  <w:spacing w:val="-9"/>
                                  <w:sz w:val="28"/>
                                </w:rPr>
                                <w:t> </w:t>
                              </w:r>
                              <w:r>
                                <w:rPr>
                                  <w:b/>
                                  <w:color w:val="164194"/>
                                  <w:sz w:val="28"/>
                                </w:rPr>
                                <w:t>Executive</w:t>
                              </w:r>
                              <w:r>
                                <w:rPr>
                                  <w:b/>
                                  <w:color w:val="164194"/>
                                  <w:spacing w:val="-9"/>
                                  <w:sz w:val="28"/>
                                </w:rPr>
                                <w:t> </w:t>
                              </w:r>
                              <w:r>
                                <w:rPr>
                                  <w:b/>
                                  <w:color w:val="164194"/>
                                  <w:sz w:val="28"/>
                                </w:rPr>
                                <w:t>and</w:t>
                              </w:r>
                              <w:r>
                                <w:rPr>
                                  <w:b/>
                                  <w:color w:val="164194"/>
                                  <w:spacing w:val="-9"/>
                                  <w:sz w:val="28"/>
                                </w:rPr>
                                <w:t> </w:t>
                              </w:r>
                              <w:r>
                                <w:rPr>
                                  <w:b/>
                                  <w:color w:val="164194"/>
                                  <w:sz w:val="28"/>
                                </w:rPr>
                                <w:t>relevant</w:t>
                              </w:r>
                              <w:r>
                                <w:rPr>
                                  <w:b/>
                                  <w:color w:val="164194"/>
                                  <w:spacing w:val="-9"/>
                                  <w:sz w:val="28"/>
                                </w:rPr>
                                <w:t> </w:t>
                              </w:r>
                              <w:r>
                                <w:rPr>
                                  <w:b/>
                                  <w:color w:val="164194"/>
                                  <w:sz w:val="28"/>
                                </w:rPr>
                                <w:t>departments</w:t>
                              </w:r>
                              <w:r>
                                <w:rPr>
                                  <w:b/>
                                  <w:color w:val="164194"/>
                                  <w:spacing w:val="-9"/>
                                  <w:sz w:val="28"/>
                                </w:rPr>
                                <w:t> </w:t>
                              </w:r>
                              <w:r>
                                <w:rPr>
                                  <w:b/>
                                  <w:color w:val="164194"/>
                                  <w:sz w:val="28"/>
                                </w:rPr>
                                <w:t>conduct</w:t>
                              </w:r>
                              <w:r>
                                <w:rPr>
                                  <w:b/>
                                  <w:color w:val="164194"/>
                                  <w:spacing w:val="-9"/>
                                  <w:sz w:val="28"/>
                                </w:rPr>
                                <w:t> </w:t>
                              </w:r>
                              <w:r>
                                <w:rPr>
                                  <w:b/>
                                  <w:color w:val="164194"/>
                                  <w:sz w:val="28"/>
                                </w:rPr>
                                <w:t>a</w:t>
                              </w:r>
                              <w:r>
                                <w:rPr>
                                  <w:b/>
                                  <w:color w:val="164194"/>
                                  <w:spacing w:val="-9"/>
                                  <w:sz w:val="28"/>
                                </w:rPr>
                                <w:t> </w:t>
                              </w:r>
                              <w:r>
                                <w:rPr>
                                  <w:b/>
                                  <w:color w:val="164194"/>
                                  <w:sz w:val="28"/>
                                </w:rPr>
                                <w:t>review on why collective bargaining coverage remains so low in Northern Ireland.</w:t>
                              </w:r>
                            </w:p>
                          </w:txbxContent>
                        </wps:txbx>
                        <wps:bodyPr wrap="square" lIns="0" tIns="0" rIns="0" bIns="0" rtlCol="0">
                          <a:noAutofit/>
                        </wps:bodyPr>
                      </wps:wsp>
                    </wpg:wgp>
                  </a:graphicData>
                </a:graphic>
              </wp:anchor>
            </w:drawing>
          </mc:Choice>
          <mc:Fallback>
            <w:pict>
              <v:group style="position:absolute;margin-left:70.8657pt;margin-top:88.270119pt;width:473.4pt;height:47.55pt;mso-position-horizontal-relative:page;mso-position-vertical-relative:paragraph;z-index:-15606272;mso-wrap-distance-left:0;mso-wrap-distance-right:0" id="docshapegroup524" coordorigin="1417,1765" coordsize="9468,951">
                <v:shape style="position:absolute;left:1417;top:1765;width:9468;height:951" id="docshape525" coordorigin="1417,1765" coordsize="9468,951" path="m10658,1765l1644,1765,1572,1777,1510,1809,1461,1858,1429,1920,1417,1992,1417,2489,1429,2560,1461,2623,1510,2672,1572,2704,1644,2716,10658,2716,10730,2704,10792,2672,10841,2623,10873,2560,10885,2489,10885,1992,10873,1920,10841,1858,10792,1809,10730,1777,10658,1765xe" filled="true" fillcolor="#e9f3fc" stroked="false">
                  <v:path arrowok="t"/>
                  <v:fill type="solid"/>
                </v:shape>
                <v:shape style="position:absolute;left:1417;top:1765;width:9468;height:951" type="#_x0000_t202" id="docshape526"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9"/>
                            <w:sz w:val="28"/>
                          </w:rPr>
                          <w:t> </w:t>
                        </w:r>
                        <w:r>
                          <w:rPr>
                            <w:b/>
                            <w:color w:val="164194"/>
                            <w:sz w:val="28"/>
                          </w:rPr>
                          <w:t>the</w:t>
                        </w:r>
                        <w:r>
                          <w:rPr>
                            <w:b/>
                            <w:color w:val="164194"/>
                            <w:spacing w:val="-9"/>
                            <w:sz w:val="28"/>
                          </w:rPr>
                          <w:t> </w:t>
                        </w:r>
                        <w:r>
                          <w:rPr>
                            <w:b/>
                            <w:color w:val="164194"/>
                            <w:sz w:val="28"/>
                          </w:rPr>
                          <w:t>NI</w:t>
                        </w:r>
                        <w:r>
                          <w:rPr>
                            <w:b/>
                            <w:color w:val="164194"/>
                            <w:spacing w:val="-9"/>
                            <w:sz w:val="28"/>
                          </w:rPr>
                          <w:t> </w:t>
                        </w:r>
                        <w:r>
                          <w:rPr>
                            <w:b/>
                            <w:color w:val="164194"/>
                            <w:sz w:val="28"/>
                          </w:rPr>
                          <w:t>Executive</w:t>
                        </w:r>
                        <w:r>
                          <w:rPr>
                            <w:b/>
                            <w:color w:val="164194"/>
                            <w:spacing w:val="-9"/>
                            <w:sz w:val="28"/>
                          </w:rPr>
                          <w:t> </w:t>
                        </w:r>
                        <w:r>
                          <w:rPr>
                            <w:b/>
                            <w:color w:val="164194"/>
                            <w:sz w:val="28"/>
                          </w:rPr>
                          <w:t>and</w:t>
                        </w:r>
                        <w:r>
                          <w:rPr>
                            <w:b/>
                            <w:color w:val="164194"/>
                            <w:spacing w:val="-9"/>
                            <w:sz w:val="28"/>
                          </w:rPr>
                          <w:t> </w:t>
                        </w:r>
                        <w:r>
                          <w:rPr>
                            <w:b/>
                            <w:color w:val="164194"/>
                            <w:sz w:val="28"/>
                          </w:rPr>
                          <w:t>relevant</w:t>
                        </w:r>
                        <w:r>
                          <w:rPr>
                            <w:b/>
                            <w:color w:val="164194"/>
                            <w:spacing w:val="-9"/>
                            <w:sz w:val="28"/>
                          </w:rPr>
                          <w:t> </w:t>
                        </w:r>
                        <w:r>
                          <w:rPr>
                            <w:b/>
                            <w:color w:val="164194"/>
                            <w:sz w:val="28"/>
                          </w:rPr>
                          <w:t>departments</w:t>
                        </w:r>
                        <w:r>
                          <w:rPr>
                            <w:b/>
                            <w:color w:val="164194"/>
                            <w:spacing w:val="-9"/>
                            <w:sz w:val="28"/>
                          </w:rPr>
                          <w:t> </w:t>
                        </w:r>
                        <w:r>
                          <w:rPr>
                            <w:b/>
                            <w:color w:val="164194"/>
                            <w:sz w:val="28"/>
                          </w:rPr>
                          <w:t>conduct</w:t>
                        </w:r>
                        <w:r>
                          <w:rPr>
                            <w:b/>
                            <w:color w:val="164194"/>
                            <w:spacing w:val="-9"/>
                            <w:sz w:val="28"/>
                          </w:rPr>
                          <w:t> </w:t>
                        </w:r>
                        <w:r>
                          <w:rPr>
                            <w:b/>
                            <w:color w:val="164194"/>
                            <w:sz w:val="28"/>
                          </w:rPr>
                          <w:t>a</w:t>
                        </w:r>
                        <w:r>
                          <w:rPr>
                            <w:b/>
                            <w:color w:val="164194"/>
                            <w:spacing w:val="-9"/>
                            <w:sz w:val="28"/>
                          </w:rPr>
                          <w:t> </w:t>
                        </w:r>
                        <w:r>
                          <w:rPr>
                            <w:b/>
                            <w:color w:val="164194"/>
                            <w:sz w:val="28"/>
                          </w:rPr>
                          <w:t>review on why collective bargaining coverage remains so low in Northern Ireland.</w:t>
                        </w:r>
                      </w:p>
                    </w:txbxContent>
                  </v:textbox>
                  <w10:wrap type="none"/>
                </v:shape>
                <w10:wrap type="topAndBottom"/>
              </v:group>
            </w:pict>
          </mc:Fallback>
        </mc:AlternateContent>
      </w:r>
    </w:p>
    <w:p>
      <w:pPr>
        <w:pStyle w:val="BodyText"/>
        <w:rPr>
          <w:sz w:val="16"/>
        </w:rPr>
      </w:pPr>
    </w:p>
    <w:p>
      <w:pPr>
        <w:pStyle w:val="BodyText"/>
        <w:spacing w:line="232" w:lineRule="auto" w:before="228"/>
        <w:ind w:left="1117" w:right="971"/>
      </w:pPr>
      <w:r>
        <w:rPr/>
        <w:t>The</w:t>
      </w:r>
      <w:r>
        <w:rPr>
          <w:spacing w:val="-7"/>
        </w:rPr>
        <w:t> </w:t>
      </w:r>
      <w:r>
        <w:rPr>
          <w:b/>
        </w:rPr>
        <w:t>EU</w:t>
      </w:r>
      <w:r>
        <w:rPr>
          <w:b/>
          <w:spacing w:val="-6"/>
        </w:rPr>
        <w:t> </w:t>
      </w:r>
      <w:r>
        <w:rPr>
          <w:b/>
        </w:rPr>
        <w:t>Corporate</w:t>
      </w:r>
      <w:r>
        <w:rPr>
          <w:b/>
          <w:spacing w:val="-7"/>
        </w:rPr>
        <w:t> </w:t>
      </w:r>
      <w:r>
        <w:rPr>
          <w:b/>
        </w:rPr>
        <w:t>Sustainability</w:t>
      </w:r>
      <w:r>
        <w:rPr>
          <w:b/>
          <w:spacing w:val="-6"/>
        </w:rPr>
        <w:t> </w:t>
      </w:r>
      <w:r>
        <w:rPr>
          <w:b/>
        </w:rPr>
        <w:t>Reporting</w:t>
      </w:r>
      <w:r>
        <w:rPr>
          <w:b/>
          <w:spacing w:val="-7"/>
        </w:rPr>
        <w:t> </w:t>
      </w:r>
      <w:r>
        <w:rPr>
          <w:b/>
        </w:rPr>
        <w:t>Directive</w:t>
      </w:r>
      <w:r>
        <w:rPr>
          <w:b/>
          <w:spacing w:val="-5"/>
        </w:rPr>
        <w:t> </w:t>
      </w:r>
      <w:r>
        <w:rPr/>
        <w:t>requires</w:t>
      </w:r>
      <w:r>
        <w:rPr>
          <w:spacing w:val="-7"/>
        </w:rPr>
        <w:t> </w:t>
      </w:r>
      <w:r>
        <w:rPr/>
        <w:t>large</w:t>
      </w:r>
      <w:r>
        <w:rPr>
          <w:spacing w:val="-6"/>
        </w:rPr>
        <w:t> </w:t>
      </w:r>
      <w:r>
        <w:rPr/>
        <w:t>companies</w:t>
      </w:r>
      <w:r>
        <w:rPr>
          <w:spacing w:val="-7"/>
        </w:rPr>
        <w:t> </w:t>
      </w:r>
      <w:r>
        <w:rPr/>
        <w:t>to report</w:t>
      </w:r>
      <w:r>
        <w:rPr>
          <w:spacing w:val="-9"/>
        </w:rPr>
        <w:t> </w:t>
      </w:r>
      <w:r>
        <w:rPr/>
        <w:t>in</w:t>
      </w:r>
      <w:r>
        <w:rPr>
          <w:spacing w:val="-9"/>
        </w:rPr>
        <w:t> </w:t>
      </w:r>
      <w:r>
        <w:rPr/>
        <w:t>their</w:t>
      </w:r>
      <w:r>
        <w:rPr>
          <w:spacing w:val="-9"/>
        </w:rPr>
        <w:t> </w:t>
      </w:r>
      <w:r>
        <w:rPr/>
        <w:t>management</w:t>
      </w:r>
      <w:r>
        <w:rPr>
          <w:spacing w:val="-9"/>
        </w:rPr>
        <w:t> </w:t>
      </w:r>
      <w:r>
        <w:rPr/>
        <w:t>reports</w:t>
      </w:r>
      <w:r>
        <w:rPr>
          <w:spacing w:val="-9"/>
        </w:rPr>
        <w:t> </w:t>
      </w:r>
      <w:r>
        <w:rPr/>
        <w:t>on</w:t>
      </w:r>
      <w:r>
        <w:rPr>
          <w:spacing w:val="-9"/>
        </w:rPr>
        <w:t> </w:t>
      </w:r>
      <w:r>
        <w:rPr/>
        <w:t>their</w:t>
      </w:r>
      <w:r>
        <w:rPr>
          <w:spacing w:val="-9"/>
        </w:rPr>
        <w:t> </w:t>
      </w:r>
      <w:r>
        <w:rPr/>
        <w:t>social</w:t>
      </w:r>
      <w:r>
        <w:rPr>
          <w:spacing w:val="-9"/>
        </w:rPr>
        <w:t> </w:t>
      </w:r>
      <w:r>
        <w:rPr/>
        <w:t>and</w:t>
      </w:r>
      <w:r>
        <w:rPr>
          <w:spacing w:val="-9"/>
        </w:rPr>
        <w:t> </w:t>
      </w:r>
      <w:r>
        <w:rPr/>
        <w:t>environmental</w:t>
      </w:r>
      <w:r>
        <w:rPr>
          <w:spacing w:val="-9"/>
        </w:rPr>
        <w:t> </w:t>
      </w:r>
      <w:r>
        <w:rPr/>
        <w:t>impacts.</w:t>
      </w:r>
      <w:r>
        <w:rPr>
          <w:vertAlign w:val="superscript"/>
        </w:rPr>
        <w:t>410</w:t>
      </w:r>
      <w:r>
        <w:rPr>
          <w:vertAlign w:val="baseline"/>
        </w:rPr>
        <w:t> Member states are required to implement this by 6 July 2024. The Directive will require</w:t>
      </w:r>
      <w:r>
        <w:rPr>
          <w:spacing w:val="-6"/>
          <w:vertAlign w:val="baseline"/>
        </w:rPr>
        <w:t> </w:t>
      </w:r>
      <w:r>
        <w:rPr>
          <w:vertAlign w:val="baseline"/>
        </w:rPr>
        <w:t>companies</w:t>
      </w:r>
      <w:r>
        <w:rPr>
          <w:spacing w:val="-7"/>
          <w:vertAlign w:val="baseline"/>
        </w:rPr>
        <w:t> </w:t>
      </w:r>
      <w:r>
        <w:rPr>
          <w:vertAlign w:val="baseline"/>
        </w:rPr>
        <w:t>to</w:t>
      </w:r>
      <w:r>
        <w:rPr>
          <w:spacing w:val="-7"/>
          <w:vertAlign w:val="baseline"/>
        </w:rPr>
        <w:t> </w:t>
      </w:r>
      <w:r>
        <w:rPr>
          <w:vertAlign w:val="baseline"/>
        </w:rPr>
        <w:t>report</w:t>
      </w:r>
      <w:r>
        <w:rPr>
          <w:spacing w:val="-6"/>
          <w:vertAlign w:val="baseline"/>
        </w:rPr>
        <w:t> </w:t>
      </w:r>
      <w:r>
        <w:rPr>
          <w:vertAlign w:val="baseline"/>
        </w:rPr>
        <w:t>on</w:t>
      </w:r>
      <w:r>
        <w:rPr>
          <w:spacing w:val="-7"/>
          <w:vertAlign w:val="baseline"/>
        </w:rPr>
        <w:t> </w:t>
      </w:r>
      <w:r>
        <w:rPr>
          <w:vertAlign w:val="baseline"/>
        </w:rPr>
        <w:t>the</w:t>
      </w:r>
      <w:r>
        <w:rPr>
          <w:spacing w:val="-6"/>
          <w:vertAlign w:val="baseline"/>
        </w:rPr>
        <w:t> </w:t>
      </w:r>
      <w:r>
        <w:rPr>
          <w:vertAlign w:val="baseline"/>
        </w:rPr>
        <w:t>risks</w:t>
      </w:r>
      <w:r>
        <w:rPr>
          <w:spacing w:val="-7"/>
          <w:vertAlign w:val="baseline"/>
        </w:rPr>
        <w:t> </w:t>
      </w:r>
      <w:r>
        <w:rPr>
          <w:vertAlign w:val="baseline"/>
        </w:rPr>
        <w:t>they</w:t>
      </w:r>
      <w:r>
        <w:rPr>
          <w:spacing w:val="-6"/>
          <w:vertAlign w:val="baseline"/>
        </w:rPr>
        <w:t> </w:t>
      </w:r>
      <w:r>
        <w:rPr>
          <w:vertAlign w:val="baseline"/>
        </w:rPr>
        <w:t>face</w:t>
      </w:r>
      <w:r>
        <w:rPr>
          <w:spacing w:val="-6"/>
          <w:vertAlign w:val="baseline"/>
        </w:rPr>
        <w:t> </w:t>
      </w:r>
      <w:r>
        <w:rPr>
          <w:vertAlign w:val="baseline"/>
        </w:rPr>
        <w:t>from</w:t>
      </w:r>
      <w:r>
        <w:rPr>
          <w:spacing w:val="-6"/>
          <w:vertAlign w:val="baseline"/>
        </w:rPr>
        <w:t> </w:t>
      </w:r>
      <w:r>
        <w:rPr>
          <w:vertAlign w:val="baseline"/>
        </w:rPr>
        <w:t>social</w:t>
      </w:r>
      <w:r>
        <w:rPr>
          <w:spacing w:val="-7"/>
          <w:vertAlign w:val="baseline"/>
        </w:rPr>
        <w:t> </w:t>
      </w:r>
      <w:r>
        <w:rPr>
          <w:vertAlign w:val="baseline"/>
        </w:rPr>
        <w:t>and</w:t>
      </w:r>
      <w:r>
        <w:rPr>
          <w:spacing w:val="-7"/>
          <w:vertAlign w:val="baseline"/>
        </w:rPr>
        <w:t> </w:t>
      </w:r>
      <w:r>
        <w:rPr>
          <w:vertAlign w:val="baseline"/>
        </w:rPr>
        <w:t>environmental issues and their impact on people and the environment.</w:t>
      </w:r>
      <w:r>
        <w:rPr>
          <w:vertAlign w:val="superscript"/>
        </w:rPr>
        <w:t>411</w:t>
      </w:r>
      <w:r>
        <w:rPr>
          <w:vertAlign w:val="baseline"/>
        </w:rPr>
        <w:t> Companies will have to report on matters like climate change, pollution, water and marine resources,</w:t>
      </w:r>
    </w:p>
    <w:p>
      <w:pPr>
        <w:pStyle w:val="BodyText"/>
        <w:spacing w:line="232" w:lineRule="auto"/>
        <w:ind w:left="1117" w:right="900"/>
      </w:pPr>
      <w:r>
        <w:rPr/>
        <w:t>biodiversity</w:t>
      </w:r>
      <w:r>
        <w:rPr>
          <w:spacing w:val="-11"/>
        </w:rPr>
        <w:t> </w:t>
      </w:r>
      <w:r>
        <w:rPr/>
        <w:t>and</w:t>
      </w:r>
      <w:r>
        <w:rPr>
          <w:spacing w:val="-12"/>
        </w:rPr>
        <w:t> </w:t>
      </w:r>
      <w:r>
        <w:rPr/>
        <w:t>ecosystems,</w:t>
      </w:r>
      <w:r>
        <w:rPr>
          <w:spacing w:val="-11"/>
        </w:rPr>
        <w:t> </w:t>
      </w:r>
      <w:r>
        <w:rPr/>
        <w:t>the</w:t>
      </w:r>
      <w:r>
        <w:rPr>
          <w:spacing w:val="-11"/>
        </w:rPr>
        <w:t> </w:t>
      </w:r>
      <w:r>
        <w:rPr/>
        <w:t>circular</w:t>
      </w:r>
      <w:r>
        <w:rPr>
          <w:spacing w:val="-11"/>
        </w:rPr>
        <w:t> </w:t>
      </w:r>
      <w:r>
        <w:rPr/>
        <w:t>economy,</w:t>
      </w:r>
      <w:r>
        <w:rPr>
          <w:spacing w:val="-11"/>
        </w:rPr>
        <w:t> </w:t>
      </w:r>
      <w:r>
        <w:rPr/>
        <w:t>their</w:t>
      </w:r>
      <w:r>
        <w:rPr>
          <w:spacing w:val="-11"/>
        </w:rPr>
        <w:t> </w:t>
      </w:r>
      <w:r>
        <w:rPr/>
        <w:t>own</w:t>
      </w:r>
      <w:r>
        <w:rPr>
          <w:spacing w:val="-12"/>
        </w:rPr>
        <w:t> </w:t>
      </w:r>
      <w:r>
        <w:rPr/>
        <w:t>workforce</w:t>
      </w:r>
      <w:r>
        <w:rPr>
          <w:spacing w:val="-11"/>
        </w:rPr>
        <w:t> </w:t>
      </w:r>
      <w:r>
        <w:rPr/>
        <w:t>(including working conditions, equal treatment and other work-related rights), workers in the value chain (again including working conditions, equal treatment and other work-related rights), affected communities and their rights, consumers and end- users and business conduct.</w:t>
      </w:r>
      <w:r>
        <w:rPr>
          <w:vertAlign w:val="superscript"/>
        </w:rPr>
        <w:t>412</w:t>
      </w:r>
      <w:r>
        <w:rPr>
          <w:vertAlign w:val="baseline"/>
        </w:rPr>
        <w:t> The Directive requirements will apply to different companies at different times depending on factors such as their size.</w:t>
      </w:r>
    </w:p>
    <w:p>
      <w:pPr>
        <w:pStyle w:val="BodyText"/>
        <w:spacing w:line="232" w:lineRule="auto" w:before="265"/>
        <w:ind w:left="1117" w:right="1087"/>
      </w:pPr>
      <w:r>
        <w:rPr/>
        <w:t>The</w:t>
      </w:r>
      <w:r>
        <w:rPr>
          <w:spacing w:val="-6"/>
        </w:rPr>
        <w:t> </w:t>
      </w:r>
      <w:r>
        <w:rPr/>
        <w:t>Government</w:t>
      </w:r>
      <w:r>
        <w:rPr>
          <w:spacing w:val="-6"/>
        </w:rPr>
        <w:t> </w:t>
      </w:r>
      <w:r>
        <w:rPr/>
        <w:t>of</w:t>
      </w:r>
      <w:r>
        <w:rPr>
          <w:spacing w:val="-7"/>
        </w:rPr>
        <w:t> </w:t>
      </w:r>
      <w:r>
        <w:rPr/>
        <w:t>Ireland</w:t>
      </w:r>
      <w:r>
        <w:rPr>
          <w:spacing w:val="-7"/>
        </w:rPr>
        <w:t> </w:t>
      </w:r>
      <w:r>
        <w:rPr/>
        <w:t>does</w:t>
      </w:r>
      <w:r>
        <w:rPr>
          <w:spacing w:val="-7"/>
        </w:rPr>
        <w:t> </w:t>
      </w:r>
      <w:r>
        <w:rPr/>
        <w:t>not</w:t>
      </w:r>
      <w:r>
        <w:rPr>
          <w:spacing w:val="-6"/>
        </w:rPr>
        <w:t> </w:t>
      </w:r>
      <w:r>
        <w:rPr/>
        <w:t>seem</w:t>
      </w:r>
      <w:r>
        <w:rPr>
          <w:spacing w:val="-6"/>
        </w:rPr>
        <w:t> </w:t>
      </w:r>
      <w:r>
        <w:rPr/>
        <w:t>to</w:t>
      </w:r>
      <w:r>
        <w:rPr>
          <w:spacing w:val="-7"/>
        </w:rPr>
        <w:t> </w:t>
      </w:r>
      <w:r>
        <w:rPr/>
        <w:t>have</w:t>
      </w:r>
      <w:r>
        <w:rPr>
          <w:spacing w:val="-6"/>
        </w:rPr>
        <w:t> </w:t>
      </w:r>
      <w:r>
        <w:rPr/>
        <w:t>published</w:t>
      </w:r>
      <w:r>
        <w:rPr>
          <w:spacing w:val="-7"/>
        </w:rPr>
        <w:t> </w:t>
      </w:r>
      <w:r>
        <w:rPr/>
        <w:t>legislation</w:t>
      </w:r>
      <w:r>
        <w:rPr>
          <w:spacing w:val="-7"/>
        </w:rPr>
        <w:t> </w:t>
      </w:r>
      <w:r>
        <w:rPr/>
        <w:t>yet implementing this Directive but has published some guidance.</w:t>
      </w:r>
      <w:r>
        <w:rPr>
          <w:vertAlign w:val="superscript"/>
        </w:rPr>
        <w:t>413</w:t>
      </w:r>
      <w:r>
        <w:rPr>
          <w:vertAlign w:val="baseline"/>
        </w:rPr>
        <w:t> We note</w:t>
      </w:r>
    </w:p>
    <w:p>
      <w:pPr>
        <w:pStyle w:val="BodyText"/>
        <w:spacing w:line="232" w:lineRule="auto"/>
        <w:ind w:left="1117" w:right="1327"/>
      </w:pPr>
      <w:r>
        <w:rPr/>
        <w:t>that</w:t>
      </w:r>
      <w:r>
        <w:rPr>
          <w:spacing w:val="-7"/>
        </w:rPr>
        <w:t> </w:t>
      </w:r>
      <w:r>
        <w:rPr/>
        <w:t>the</w:t>
      </w:r>
      <w:r>
        <w:rPr>
          <w:spacing w:val="-7"/>
        </w:rPr>
        <w:t> </w:t>
      </w:r>
      <w:r>
        <w:rPr/>
        <w:t>reporting</w:t>
      </w:r>
      <w:r>
        <w:rPr>
          <w:spacing w:val="-7"/>
        </w:rPr>
        <w:t> </w:t>
      </w:r>
      <w:r>
        <w:rPr/>
        <w:t>requirements</w:t>
      </w:r>
      <w:r>
        <w:rPr>
          <w:spacing w:val="-8"/>
        </w:rPr>
        <w:t> </w:t>
      </w:r>
      <w:r>
        <w:rPr/>
        <w:t>concern</w:t>
      </w:r>
      <w:r>
        <w:rPr>
          <w:spacing w:val="-8"/>
        </w:rPr>
        <w:t> </w:t>
      </w:r>
      <w:r>
        <w:rPr/>
        <w:t>significant</w:t>
      </w:r>
      <w:r>
        <w:rPr>
          <w:spacing w:val="-7"/>
        </w:rPr>
        <w:t> </w:t>
      </w:r>
      <w:r>
        <w:rPr/>
        <w:t>human</w:t>
      </w:r>
      <w:r>
        <w:rPr>
          <w:spacing w:val="-8"/>
        </w:rPr>
        <w:t> </w:t>
      </w:r>
      <w:r>
        <w:rPr/>
        <w:t>rights</w:t>
      </w:r>
      <w:r>
        <w:rPr>
          <w:spacing w:val="-8"/>
        </w:rPr>
        <w:t> </w:t>
      </w:r>
      <w:r>
        <w:rPr/>
        <w:t>and</w:t>
      </w:r>
      <w:r>
        <w:rPr>
          <w:spacing w:val="-8"/>
        </w:rPr>
        <w:t> </w:t>
      </w:r>
      <w:r>
        <w:rPr/>
        <w:t>equality issues most notably equality rights in the workplace but also rights and equality issues more broadly as well as matters of environmental reporting.</w:t>
      </w:r>
    </w:p>
    <w:p>
      <w:pPr>
        <w:pStyle w:val="BodyText"/>
        <w:spacing w:before="6"/>
        <w:rPr>
          <w:sz w:val="9"/>
        </w:rPr>
      </w:pPr>
      <w:r>
        <w:rPr/>
        <mc:AlternateContent>
          <mc:Choice Requires="wps">
            <w:drawing>
              <wp:anchor distT="0" distB="0" distL="0" distR="0" allowOverlap="1" layoutInCell="1" locked="0" behindDoc="1" simplePos="0" relativeHeight="487710720">
                <wp:simplePos x="0" y="0"/>
                <wp:positionH relativeFrom="page">
                  <wp:posOffset>899999</wp:posOffset>
                </wp:positionH>
                <wp:positionV relativeFrom="paragraph">
                  <wp:posOffset>88978</wp:posOffset>
                </wp:positionV>
                <wp:extent cx="6012180" cy="1270"/>
                <wp:effectExtent l="0" t="0" r="0" b="0"/>
                <wp:wrapTopAndBottom/>
                <wp:docPr id="651" name="Graphic 651"/>
                <wp:cNvGraphicFramePr>
                  <a:graphicFrameLocks/>
                </wp:cNvGraphicFramePr>
                <a:graphic>
                  <a:graphicData uri="http://schemas.microsoft.com/office/word/2010/wordprocessingShape">
                    <wps:wsp>
                      <wps:cNvPr id="651" name="Graphic 65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7.006176pt;width:473.4pt;height:.1pt;mso-position-horizontal-relative:page;mso-position-vertical-relative:paragraph;z-index:-15605760;mso-wrap-distance-left:0;mso-wrap-distance-right:0" id="docshape527" coordorigin="1417,140" coordsize="9468,0" path="m1417,140l10885,140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0" w:hanging="567"/>
        <w:jc w:val="left"/>
        <w:rPr>
          <w:sz w:val="18"/>
        </w:rPr>
      </w:pPr>
      <w:r>
        <w:rPr>
          <w:color w:val="1D71B8"/>
          <w:sz w:val="18"/>
          <w:u w:val="single" w:color="1D71B8"/>
        </w:rPr>
        <w:t>The</w:t>
      </w:r>
      <w:r>
        <w:rPr>
          <w:color w:val="1D71B8"/>
          <w:spacing w:val="-5"/>
          <w:sz w:val="18"/>
          <w:u w:val="single" w:color="1D71B8"/>
        </w:rPr>
        <w:t> </w:t>
      </w:r>
      <w:r>
        <w:rPr>
          <w:color w:val="1D71B8"/>
          <w:sz w:val="18"/>
          <w:u w:val="single" w:color="1D71B8"/>
        </w:rPr>
        <w:t>Trade</w:t>
      </w:r>
      <w:r>
        <w:rPr>
          <w:color w:val="1D71B8"/>
          <w:spacing w:val="-5"/>
          <w:sz w:val="18"/>
          <w:u w:val="single" w:color="1D71B8"/>
        </w:rPr>
        <w:t> </w:t>
      </w:r>
      <w:r>
        <w:rPr>
          <w:color w:val="1D71B8"/>
          <w:sz w:val="18"/>
          <w:u w:val="single" w:color="1D71B8"/>
        </w:rPr>
        <w:t>Union</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Labour</w:t>
      </w:r>
      <w:r>
        <w:rPr>
          <w:color w:val="1D71B8"/>
          <w:spacing w:val="-5"/>
          <w:sz w:val="18"/>
          <w:u w:val="single" w:color="1D71B8"/>
        </w:rPr>
        <w:t> </w:t>
      </w:r>
      <w:r>
        <w:rPr>
          <w:color w:val="1D71B8"/>
          <w:sz w:val="18"/>
          <w:u w:val="single" w:color="1D71B8"/>
        </w:rPr>
        <w:t>Relations</w:t>
      </w:r>
      <w:r>
        <w:rPr>
          <w:color w:val="1D71B8"/>
          <w:spacing w:val="-6"/>
          <w:sz w:val="18"/>
          <w:u w:val="single" w:color="1D71B8"/>
        </w:rPr>
        <w:t> </w:t>
      </w:r>
      <w:r>
        <w:rPr>
          <w:color w:val="1D71B8"/>
          <w:sz w:val="18"/>
          <w:u w:val="single" w:color="1D71B8"/>
        </w:rPr>
        <w:t>(Northern</w:t>
      </w:r>
      <w:r>
        <w:rPr>
          <w:color w:val="1D71B8"/>
          <w:spacing w:val="-6"/>
          <w:sz w:val="18"/>
          <w:u w:val="single" w:color="1D71B8"/>
        </w:rPr>
        <w:t> </w:t>
      </w:r>
      <w:r>
        <w:rPr>
          <w:color w:val="1D71B8"/>
          <w:sz w:val="18"/>
          <w:u w:val="single" w:color="1D71B8"/>
        </w:rPr>
        <w:t>Ireland)</w:t>
      </w:r>
      <w:r>
        <w:rPr>
          <w:color w:val="1D71B8"/>
          <w:spacing w:val="-6"/>
          <w:sz w:val="18"/>
          <w:u w:val="single" w:color="1D71B8"/>
        </w:rPr>
        <w:t> </w:t>
      </w:r>
      <w:r>
        <w:rPr>
          <w:color w:val="1D71B8"/>
          <w:sz w:val="18"/>
          <w:u w:val="single" w:color="1D71B8"/>
        </w:rPr>
        <w:t>Order</w:t>
      </w:r>
      <w:r>
        <w:rPr>
          <w:color w:val="1D71B8"/>
          <w:spacing w:val="-5"/>
          <w:sz w:val="18"/>
          <w:u w:val="single" w:color="1D71B8"/>
        </w:rPr>
        <w:t> </w:t>
      </w:r>
      <w:r>
        <w:rPr>
          <w:color w:val="1D71B8"/>
          <w:sz w:val="18"/>
          <w:u w:val="single" w:color="1D71B8"/>
        </w:rPr>
        <w:t>1995</w:t>
      </w:r>
      <w:r>
        <w:rPr>
          <w:color w:val="1D71B8"/>
          <w:spacing w:val="-5"/>
          <w:sz w:val="18"/>
          <w:u w:val="single" w:color="1D71B8"/>
        </w:rPr>
        <w:t> </w:t>
      </w:r>
      <w:r>
        <w:rPr>
          <w:color w:val="1D71B8"/>
          <w:sz w:val="18"/>
          <w:u w:val="single" w:color="1D71B8"/>
        </w:rPr>
        <w:t>No.</w:t>
      </w:r>
      <w:r>
        <w:rPr>
          <w:color w:val="1D71B8"/>
          <w:spacing w:val="-6"/>
          <w:sz w:val="18"/>
          <w:u w:val="single" w:color="1D71B8"/>
        </w:rPr>
        <w:t> </w:t>
      </w:r>
      <w:r>
        <w:rPr>
          <w:color w:val="1D71B8"/>
          <w:sz w:val="18"/>
          <w:u w:val="single" w:color="1D71B8"/>
        </w:rPr>
        <w:t>1980</w:t>
      </w:r>
      <w:r>
        <w:rPr>
          <w:color w:val="1D71B8"/>
          <w:spacing w:val="-5"/>
          <w:sz w:val="18"/>
          <w:u w:val="single" w:color="1D71B8"/>
        </w:rPr>
        <w:t> </w:t>
      </w:r>
      <w:r>
        <w:rPr>
          <w:color w:val="1D71B8"/>
          <w:sz w:val="18"/>
          <w:u w:val="single" w:color="1D71B8"/>
        </w:rPr>
        <w:t>(N.I.</w:t>
      </w:r>
      <w:r>
        <w:rPr>
          <w:color w:val="1D71B8"/>
          <w:spacing w:val="-5"/>
          <w:sz w:val="18"/>
          <w:u w:val="single" w:color="1D71B8"/>
        </w:rPr>
        <w:t> </w:t>
      </w:r>
      <w:r>
        <w:rPr>
          <w:color w:val="1D71B8"/>
          <w:spacing w:val="-4"/>
          <w:sz w:val="18"/>
          <w:u w:val="single" w:color="1D71B8"/>
        </w:rPr>
        <w:t>12).</w:t>
      </w:r>
    </w:p>
    <w:p>
      <w:pPr>
        <w:pStyle w:val="ListParagraph"/>
        <w:numPr>
          <w:ilvl w:val="0"/>
          <w:numId w:val="18"/>
        </w:numPr>
        <w:tabs>
          <w:tab w:pos="1684" w:val="left" w:leader="none"/>
        </w:tabs>
        <w:spacing w:line="240" w:lineRule="auto" w:before="1" w:after="0"/>
        <w:ind w:left="1684" w:right="886" w:hanging="567"/>
        <w:jc w:val="left"/>
        <w:rPr>
          <w:sz w:val="18"/>
        </w:rPr>
      </w:pPr>
      <w:r>
        <w:rPr>
          <w:sz w:val="18"/>
        </w:rPr>
        <w:t>Paul</w:t>
      </w:r>
      <w:r>
        <w:rPr>
          <w:spacing w:val="-4"/>
          <w:sz w:val="18"/>
        </w:rPr>
        <w:t> </w:t>
      </w:r>
      <w:r>
        <w:rPr>
          <w:sz w:val="18"/>
        </w:rPr>
        <w:t>MacFlynn,</w:t>
      </w:r>
      <w:r>
        <w:rPr>
          <w:spacing w:val="-4"/>
          <w:sz w:val="1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Collective</w:t>
      </w:r>
      <w:r>
        <w:rPr>
          <w:color w:val="1D71B8"/>
          <w:spacing w:val="-3"/>
          <w:sz w:val="18"/>
          <w:u w:val="single" w:color="1D71B8"/>
        </w:rPr>
        <w:t> </w:t>
      </w:r>
      <w:r>
        <w:rPr>
          <w:color w:val="1D71B8"/>
          <w:sz w:val="18"/>
          <w:u w:val="single" w:color="1D71B8"/>
        </w:rPr>
        <w:t>Bargaining</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pay</w:t>
      </w:r>
      <w:r>
        <w:rPr>
          <w:color w:val="1D71B8"/>
          <w:spacing w:val="-3"/>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Northern</w:t>
      </w:r>
      <w:r>
        <w:rPr>
          <w:color w:val="1D71B8"/>
          <w:spacing w:val="-4"/>
          <w:sz w:val="18"/>
          <w:u w:val="single" w:color="1D71B8"/>
        </w:rPr>
        <w:t> </w:t>
      </w:r>
      <w:r>
        <w:rPr>
          <w:color w:val="1D71B8"/>
          <w:sz w:val="18"/>
          <w:u w:val="single" w:color="1D71B8"/>
        </w:rPr>
        <w:t>Ireland</w:t>
      </w:r>
      <w:r>
        <w:rPr>
          <w:color w:val="1D71B8"/>
          <w:spacing w:val="-4"/>
          <w:sz w:val="18"/>
          <w:u w:val="none"/>
        </w:rPr>
        <w:t> </w:t>
      </w:r>
      <w:r>
        <w:rPr>
          <w:sz w:val="18"/>
          <w:u w:val="none"/>
        </w:rPr>
        <w:t>(2020)</w:t>
      </w:r>
      <w:r>
        <w:rPr>
          <w:spacing w:val="-4"/>
          <w:sz w:val="18"/>
          <w:u w:val="none"/>
        </w:rPr>
        <w:t> </w:t>
      </w:r>
      <w:r>
        <w:rPr>
          <w:sz w:val="18"/>
          <w:u w:val="none"/>
        </w:rPr>
        <w:t>NERI</w:t>
      </w:r>
      <w:r>
        <w:rPr>
          <w:spacing w:val="-3"/>
          <w:sz w:val="18"/>
          <w:u w:val="none"/>
        </w:rPr>
        <w:t> </w:t>
      </w:r>
      <w:r>
        <w:rPr>
          <w:sz w:val="18"/>
          <w:u w:val="none"/>
        </w:rPr>
        <w:t>Working</w:t>
      </w:r>
      <w:r>
        <w:rPr>
          <w:spacing w:val="-3"/>
          <w:sz w:val="18"/>
          <w:u w:val="none"/>
        </w:rPr>
        <w:t> </w:t>
      </w:r>
      <w:r>
        <w:rPr>
          <w:sz w:val="18"/>
          <w:u w:val="none"/>
        </w:rPr>
        <w:t>Paper</w:t>
      </w:r>
      <w:r>
        <w:rPr>
          <w:spacing w:val="-3"/>
          <w:sz w:val="18"/>
          <w:u w:val="none"/>
        </w:rPr>
        <w:t> </w:t>
      </w:r>
      <w:r>
        <w:rPr>
          <w:sz w:val="18"/>
          <w:u w:val="none"/>
        </w:rPr>
        <w:t>Series</w:t>
      </w:r>
      <w:r>
        <w:rPr>
          <w:spacing w:val="-4"/>
          <w:sz w:val="18"/>
          <w:u w:val="none"/>
        </w:rPr>
        <w:t> </w:t>
      </w:r>
      <w:r>
        <w:rPr>
          <w:sz w:val="18"/>
          <w:u w:val="none"/>
        </w:rPr>
        <w:t>No.</w:t>
      </w:r>
      <w:r>
        <w:rPr>
          <w:spacing w:val="-4"/>
          <w:sz w:val="18"/>
          <w:u w:val="none"/>
        </w:rPr>
        <w:t> </w:t>
      </w:r>
      <w:r>
        <w:rPr>
          <w:sz w:val="18"/>
          <w:u w:val="none"/>
        </w:rPr>
        <w:t>66, </w:t>
      </w:r>
      <w:r>
        <w:rPr>
          <w:spacing w:val="-6"/>
          <w:sz w:val="18"/>
          <w:u w:val="none"/>
        </w:rPr>
        <w:t>9.</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3"/>
          <w:sz w:val="18"/>
        </w:rPr>
        <w:t> </w:t>
      </w:r>
      <w:r>
        <w:rPr>
          <w:sz w:val="18"/>
        </w:rPr>
        <w:t>21-</w:t>
      </w:r>
      <w:r>
        <w:rPr>
          <w:spacing w:val="-5"/>
          <w:sz w:val="18"/>
        </w:rPr>
        <w:t>22.</w:t>
      </w:r>
    </w:p>
    <w:p>
      <w:pPr>
        <w:pStyle w:val="ListParagraph"/>
        <w:numPr>
          <w:ilvl w:val="0"/>
          <w:numId w:val="18"/>
        </w:numPr>
        <w:tabs>
          <w:tab w:pos="1684" w:val="left" w:leader="none"/>
        </w:tabs>
        <w:spacing w:line="240" w:lineRule="auto" w:before="0" w:after="0"/>
        <w:ind w:left="1684" w:right="790" w:hanging="567"/>
        <w:jc w:val="both"/>
        <w:rPr>
          <w:sz w:val="18"/>
        </w:rPr>
      </w:pPr>
      <w:r>
        <w:rPr>
          <w:color w:val="1D71B8"/>
          <w:sz w:val="18"/>
          <w:u w:val="single" w:color="1D71B8"/>
        </w:rPr>
        <w:t>Directive</w:t>
      </w:r>
      <w:r>
        <w:rPr>
          <w:color w:val="1D71B8"/>
          <w:spacing w:val="-2"/>
          <w:sz w:val="18"/>
          <w:u w:val="single" w:color="1D71B8"/>
        </w:rPr>
        <w:t> </w:t>
      </w:r>
      <w:r>
        <w:rPr>
          <w:color w:val="1D71B8"/>
          <w:sz w:val="18"/>
          <w:u w:val="single" w:color="1D71B8"/>
        </w:rPr>
        <w:t>(EU)</w:t>
      </w:r>
      <w:r>
        <w:rPr>
          <w:color w:val="1D71B8"/>
          <w:spacing w:val="-3"/>
          <w:sz w:val="18"/>
          <w:u w:val="single" w:color="1D71B8"/>
        </w:rPr>
        <w:t> </w:t>
      </w:r>
      <w:r>
        <w:rPr>
          <w:color w:val="1D71B8"/>
          <w:sz w:val="18"/>
          <w:u w:val="single" w:color="1D71B8"/>
        </w:rPr>
        <w:t>2022/2464</w:t>
      </w:r>
      <w:r>
        <w:rPr>
          <w:color w:val="1D71B8"/>
          <w:spacing w:val="-3"/>
          <w:sz w:val="18"/>
          <w:u w:val="none"/>
        </w:rPr>
        <w:t> </w:t>
      </w:r>
      <w:r>
        <w:rPr>
          <w:sz w:val="18"/>
          <w:u w:val="none"/>
        </w:rPr>
        <w:t>of</w:t>
      </w:r>
      <w:r>
        <w:rPr>
          <w:spacing w:val="-2"/>
          <w:sz w:val="18"/>
          <w:u w:val="none"/>
        </w:rPr>
        <w:t> </w:t>
      </w:r>
      <w:r>
        <w:rPr>
          <w:sz w:val="18"/>
          <w:u w:val="none"/>
        </w:rPr>
        <w:t>the</w:t>
      </w:r>
      <w:r>
        <w:rPr>
          <w:spacing w:val="-2"/>
          <w:sz w:val="18"/>
          <w:u w:val="none"/>
        </w:rPr>
        <w:t> </w:t>
      </w:r>
      <w:r>
        <w:rPr>
          <w:sz w:val="18"/>
          <w:u w:val="none"/>
        </w:rPr>
        <w:t>European</w:t>
      </w:r>
      <w:r>
        <w:rPr>
          <w:spacing w:val="-3"/>
          <w:sz w:val="18"/>
          <w:u w:val="none"/>
        </w:rPr>
        <w:t> </w:t>
      </w:r>
      <w:r>
        <w:rPr>
          <w:sz w:val="18"/>
          <w:u w:val="none"/>
        </w:rPr>
        <w:t>Parliament</w:t>
      </w:r>
      <w:r>
        <w:rPr>
          <w:spacing w:val="-2"/>
          <w:sz w:val="18"/>
          <w:u w:val="none"/>
        </w:rPr>
        <w:t> </w:t>
      </w:r>
      <w:r>
        <w:rPr>
          <w:sz w:val="18"/>
          <w:u w:val="none"/>
        </w:rPr>
        <w:t>and</w:t>
      </w:r>
      <w:r>
        <w:rPr>
          <w:spacing w:val="-3"/>
          <w:sz w:val="18"/>
          <w:u w:val="none"/>
        </w:rPr>
        <w:t> </w:t>
      </w:r>
      <w:r>
        <w:rPr>
          <w:sz w:val="18"/>
          <w:u w:val="none"/>
        </w:rPr>
        <w:t>of</w:t>
      </w:r>
      <w:r>
        <w:rPr>
          <w:spacing w:val="-2"/>
          <w:sz w:val="18"/>
          <w:u w:val="none"/>
        </w:rPr>
        <w:t> </w:t>
      </w:r>
      <w:r>
        <w:rPr>
          <w:sz w:val="18"/>
          <w:u w:val="none"/>
        </w:rPr>
        <w:t>the</w:t>
      </w:r>
      <w:r>
        <w:rPr>
          <w:spacing w:val="-2"/>
          <w:sz w:val="18"/>
          <w:u w:val="none"/>
        </w:rPr>
        <w:t> </w:t>
      </w:r>
      <w:r>
        <w:rPr>
          <w:sz w:val="18"/>
          <w:u w:val="none"/>
        </w:rPr>
        <w:t>Council</w:t>
      </w:r>
      <w:r>
        <w:rPr>
          <w:spacing w:val="-3"/>
          <w:sz w:val="18"/>
          <w:u w:val="none"/>
        </w:rPr>
        <w:t> </w:t>
      </w:r>
      <w:r>
        <w:rPr>
          <w:sz w:val="18"/>
          <w:u w:val="none"/>
        </w:rPr>
        <w:t>of</w:t>
      </w:r>
      <w:r>
        <w:rPr>
          <w:spacing w:val="-3"/>
          <w:sz w:val="18"/>
          <w:u w:val="none"/>
        </w:rPr>
        <w:t> </w:t>
      </w:r>
      <w:r>
        <w:rPr>
          <w:sz w:val="18"/>
          <w:u w:val="none"/>
        </w:rPr>
        <w:t>14</w:t>
      </w:r>
      <w:r>
        <w:rPr>
          <w:spacing w:val="-2"/>
          <w:sz w:val="18"/>
          <w:u w:val="none"/>
        </w:rPr>
        <w:t> </w:t>
      </w:r>
      <w:r>
        <w:rPr>
          <w:sz w:val="18"/>
          <w:u w:val="none"/>
        </w:rPr>
        <w:t>December</w:t>
      </w:r>
      <w:r>
        <w:rPr>
          <w:spacing w:val="-2"/>
          <w:sz w:val="18"/>
          <w:u w:val="none"/>
        </w:rPr>
        <w:t> </w:t>
      </w:r>
      <w:r>
        <w:rPr>
          <w:sz w:val="18"/>
          <w:u w:val="none"/>
        </w:rPr>
        <w:t>2022</w:t>
      </w:r>
      <w:r>
        <w:rPr>
          <w:spacing w:val="-2"/>
          <w:sz w:val="18"/>
          <w:u w:val="none"/>
        </w:rPr>
        <w:t> </w:t>
      </w:r>
      <w:r>
        <w:rPr>
          <w:sz w:val="18"/>
          <w:u w:val="none"/>
        </w:rPr>
        <w:t>amending</w:t>
      </w:r>
      <w:r>
        <w:rPr>
          <w:spacing w:val="-2"/>
          <w:sz w:val="18"/>
          <w:u w:val="none"/>
        </w:rPr>
        <w:t> </w:t>
      </w:r>
      <w:r>
        <w:rPr>
          <w:sz w:val="18"/>
          <w:u w:val="none"/>
        </w:rPr>
        <w:t>Regulation</w:t>
      </w:r>
      <w:r>
        <w:rPr>
          <w:spacing w:val="-3"/>
          <w:sz w:val="18"/>
          <w:u w:val="none"/>
        </w:rPr>
        <w:t> </w:t>
      </w:r>
      <w:r>
        <w:rPr>
          <w:sz w:val="18"/>
          <w:u w:val="none"/>
        </w:rPr>
        <w:t>(EU) No</w:t>
      </w:r>
      <w:r>
        <w:rPr>
          <w:spacing w:val="-7"/>
          <w:sz w:val="18"/>
          <w:u w:val="none"/>
        </w:rPr>
        <w:t> </w:t>
      </w:r>
      <w:r>
        <w:rPr>
          <w:sz w:val="18"/>
          <w:u w:val="none"/>
        </w:rPr>
        <w:t>537/2014,</w:t>
      </w:r>
      <w:r>
        <w:rPr>
          <w:spacing w:val="-6"/>
          <w:sz w:val="18"/>
          <w:u w:val="none"/>
        </w:rPr>
        <w:t> </w:t>
      </w:r>
      <w:r>
        <w:rPr>
          <w:sz w:val="18"/>
          <w:u w:val="none"/>
        </w:rPr>
        <w:t>Directive</w:t>
      </w:r>
      <w:r>
        <w:rPr>
          <w:spacing w:val="-6"/>
          <w:sz w:val="18"/>
          <w:u w:val="none"/>
        </w:rPr>
        <w:t> </w:t>
      </w:r>
      <w:r>
        <w:rPr>
          <w:sz w:val="18"/>
          <w:u w:val="none"/>
        </w:rPr>
        <w:t>2004/109/EC,</w:t>
      </w:r>
      <w:r>
        <w:rPr>
          <w:spacing w:val="-6"/>
          <w:sz w:val="18"/>
          <w:u w:val="none"/>
        </w:rPr>
        <w:t> </w:t>
      </w:r>
      <w:r>
        <w:rPr>
          <w:sz w:val="18"/>
          <w:u w:val="none"/>
        </w:rPr>
        <w:t>Directive</w:t>
      </w:r>
      <w:r>
        <w:rPr>
          <w:spacing w:val="-6"/>
          <w:sz w:val="18"/>
          <w:u w:val="none"/>
        </w:rPr>
        <w:t> </w:t>
      </w:r>
      <w:r>
        <w:rPr>
          <w:sz w:val="18"/>
          <w:u w:val="none"/>
        </w:rPr>
        <w:t>2006/43/EC</w:t>
      </w:r>
      <w:r>
        <w:rPr>
          <w:spacing w:val="-7"/>
          <w:sz w:val="18"/>
          <w:u w:val="none"/>
        </w:rPr>
        <w:t> </w:t>
      </w:r>
      <w:r>
        <w:rPr>
          <w:sz w:val="18"/>
          <w:u w:val="none"/>
        </w:rPr>
        <w:t>and</w:t>
      </w:r>
      <w:r>
        <w:rPr>
          <w:spacing w:val="-7"/>
          <w:sz w:val="18"/>
          <w:u w:val="none"/>
        </w:rPr>
        <w:t> </w:t>
      </w:r>
      <w:r>
        <w:rPr>
          <w:sz w:val="18"/>
          <w:u w:val="none"/>
        </w:rPr>
        <w:t>Directive</w:t>
      </w:r>
      <w:r>
        <w:rPr>
          <w:spacing w:val="-6"/>
          <w:sz w:val="18"/>
          <w:u w:val="none"/>
        </w:rPr>
        <w:t> </w:t>
      </w:r>
      <w:r>
        <w:rPr>
          <w:sz w:val="18"/>
          <w:u w:val="none"/>
        </w:rPr>
        <w:t>2013/34/EU,</w:t>
      </w:r>
      <w:r>
        <w:rPr>
          <w:spacing w:val="-6"/>
          <w:sz w:val="18"/>
          <w:u w:val="none"/>
        </w:rPr>
        <w:t> </w:t>
      </w:r>
      <w:r>
        <w:rPr>
          <w:sz w:val="18"/>
          <w:u w:val="none"/>
        </w:rPr>
        <w:t>as</w:t>
      </w:r>
      <w:r>
        <w:rPr>
          <w:spacing w:val="-7"/>
          <w:sz w:val="18"/>
          <w:u w:val="none"/>
        </w:rPr>
        <w:t> </w:t>
      </w:r>
      <w:r>
        <w:rPr>
          <w:sz w:val="18"/>
          <w:u w:val="none"/>
        </w:rPr>
        <w:t>regards</w:t>
      </w:r>
      <w:r>
        <w:rPr>
          <w:spacing w:val="-7"/>
          <w:sz w:val="18"/>
          <w:u w:val="none"/>
        </w:rPr>
        <w:t> </w:t>
      </w:r>
      <w:r>
        <w:rPr>
          <w:sz w:val="18"/>
          <w:u w:val="none"/>
        </w:rPr>
        <w:t>corporate</w:t>
      </w:r>
      <w:r>
        <w:rPr>
          <w:spacing w:val="-6"/>
          <w:sz w:val="18"/>
          <w:u w:val="none"/>
        </w:rPr>
        <w:t> </w:t>
      </w:r>
      <w:r>
        <w:rPr>
          <w:sz w:val="18"/>
          <w:u w:val="none"/>
        </w:rPr>
        <w:t>sustainability reporting (Text with EEA relevance) 2022</w:t>
      </w:r>
    </w:p>
    <w:p>
      <w:pPr>
        <w:pStyle w:val="ListParagraph"/>
        <w:numPr>
          <w:ilvl w:val="0"/>
          <w:numId w:val="18"/>
        </w:numPr>
        <w:tabs>
          <w:tab w:pos="1684" w:val="left" w:leader="none"/>
        </w:tabs>
        <w:spacing w:line="240" w:lineRule="auto" w:before="1" w:after="0"/>
        <w:ind w:left="1684" w:right="915" w:hanging="567"/>
        <w:jc w:val="left"/>
        <w:rPr>
          <w:sz w:val="18"/>
        </w:rPr>
      </w:pPr>
      <w:r>
        <w:rPr>
          <w:sz w:val="18"/>
        </w:rPr>
        <w:t>European</w:t>
      </w:r>
      <w:r>
        <w:rPr>
          <w:spacing w:val="-5"/>
          <w:sz w:val="18"/>
        </w:rPr>
        <w:t> </w:t>
      </w:r>
      <w:r>
        <w:rPr>
          <w:sz w:val="18"/>
        </w:rPr>
        <w:t>Commission,</w:t>
      </w:r>
      <w:r>
        <w:rPr>
          <w:spacing w:val="-5"/>
          <w:sz w:val="18"/>
        </w:rPr>
        <w:t> </w:t>
      </w:r>
      <w:r>
        <w:rPr>
          <w:color w:val="1D71B8"/>
          <w:sz w:val="18"/>
          <w:u w:val="single" w:color="1D71B8"/>
        </w:rPr>
        <w:t>Questions</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Answers</w:t>
      </w:r>
      <w:r>
        <w:rPr>
          <w:color w:val="1D71B8"/>
          <w:spacing w:val="-5"/>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Adoption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European</w:t>
      </w:r>
      <w:r>
        <w:rPr>
          <w:color w:val="1D71B8"/>
          <w:spacing w:val="-5"/>
          <w:sz w:val="18"/>
          <w:u w:val="single" w:color="1D71B8"/>
        </w:rPr>
        <w:t> </w:t>
      </w:r>
      <w:r>
        <w:rPr>
          <w:color w:val="1D71B8"/>
          <w:sz w:val="18"/>
          <w:u w:val="single" w:color="1D71B8"/>
        </w:rPr>
        <w:t>Sustainability</w:t>
      </w:r>
      <w:r>
        <w:rPr>
          <w:color w:val="1D71B8"/>
          <w:spacing w:val="-4"/>
          <w:sz w:val="18"/>
          <w:u w:val="single" w:color="1D71B8"/>
        </w:rPr>
        <w:t> </w:t>
      </w:r>
      <w:r>
        <w:rPr>
          <w:color w:val="1D71B8"/>
          <w:sz w:val="18"/>
          <w:u w:val="single" w:color="1D71B8"/>
        </w:rPr>
        <w:t>Reporting</w:t>
      </w:r>
      <w:r>
        <w:rPr>
          <w:color w:val="1D71B8"/>
          <w:spacing w:val="-4"/>
          <w:sz w:val="18"/>
          <w:u w:val="single" w:color="1D71B8"/>
        </w:rPr>
        <w:t> </w:t>
      </w:r>
      <w:r>
        <w:rPr>
          <w:color w:val="1D71B8"/>
          <w:sz w:val="18"/>
          <w:u w:val="single" w:color="1D71B8"/>
        </w:rPr>
        <w:t>Standards</w:t>
      </w:r>
      <w:r>
        <w:rPr>
          <w:color w:val="1D71B8"/>
          <w:spacing w:val="-6"/>
          <w:sz w:val="18"/>
          <w:u w:val="none"/>
        </w:rPr>
        <w:t> </w:t>
      </w:r>
      <w:r>
        <w:rPr>
          <w:sz w:val="18"/>
          <w:u w:val="none"/>
        </w:rPr>
        <w:t>(31</w:t>
      </w:r>
      <w:r>
        <w:rPr>
          <w:spacing w:val="-4"/>
          <w:sz w:val="18"/>
          <w:u w:val="none"/>
        </w:rPr>
        <w:t> </w:t>
      </w:r>
      <w:r>
        <w:rPr>
          <w:sz w:val="18"/>
          <w:u w:val="none"/>
        </w:rPr>
        <w:t>July </w:t>
      </w:r>
      <w:r>
        <w:rPr>
          <w:spacing w:val="-2"/>
          <w:sz w:val="18"/>
          <w:u w:val="none"/>
        </w:rPr>
        <w:t>2023).</w:t>
      </w:r>
    </w:p>
    <w:p>
      <w:pPr>
        <w:pStyle w:val="ListParagraph"/>
        <w:numPr>
          <w:ilvl w:val="0"/>
          <w:numId w:val="18"/>
        </w:numPr>
        <w:tabs>
          <w:tab w:pos="1684" w:val="left" w:leader="none"/>
        </w:tabs>
        <w:spacing w:line="240" w:lineRule="auto" w:before="1" w:after="0"/>
        <w:ind w:left="1684" w:right="849" w:hanging="567"/>
        <w:jc w:val="left"/>
        <w:rPr>
          <w:sz w:val="18"/>
        </w:rPr>
      </w:pPr>
      <w:r>
        <w:rPr>
          <w:color w:val="1D71B8"/>
          <w:sz w:val="18"/>
          <w:u w:val="single" w:color="1D71B8"/>
        </w:rPr>
        <w:t>Commission</w:t>
      </w:r>
      <w:r>
        <w:rPr>
          <w:color w:val="1D71B8"/>
          <w:spacing w:val="-5"/>
          <w:sz w:val="18"/>
          <w:u w:val="single" w:color="1D71B8"/>
        </w:rPr>
        <w:t> </w:t>
      </w:r>
      <w:r>
        <w:rPr>
          <w:color w:val="1D71B8"/>
          <w:sz w:val="18"/>
          <w:u w:val="single" w:color="1D71B8"/>
        </w:rPr>
        <w:t>Delegated</w:t>
      </w:r>
      <w:r>
        <w:rPr>
          <w:color w:val="1D71B8"/>
          <w:spacing w:val="-5"/>
          <w:sz w:val="18"/>
          <w:u w:val="single" w:color="1D71B8"/>
        </w:rPr>
        <w:t> </w:t>
      </w:r>
      <w:r>
        <w:rPr>
          <w:color w:val="1D71B8"/>
          <w:sz w:val="18"/>
          <w:u w:val="single" w:color="1D71B8"/>
        </w:rPr>
        <w:t>Regulation</w:t>
      </w:r>
      <w:r>
        <w:rPr>
          <w:color w:val="1D71B8"/>
          <w:spacing w:val="-5"/>
          <w:sz w:val="18"/>
          <w:u w:val="single" w:color="1D71B8"/>
        </w:rPr>
        <w:t> </w:t>
      </w:r>
      <w:r>
        <w:rPr>
          <w:color w:val="1D71B8"/>
          <w:sz w:val="18"/>
          <w:u w:val="single" w:color="1D71B8"/>
        </w:rPr>
        <w:t>(EU)</w:t>
      </w:r>
      <w:r>
        <w:rPr>
          <w:color w:val="1D71B8"/>
          <w:spacing w:val="-5"/>
          <w:sz w:val="18"/>
          <w:u w:val="single" w:color="1D71B8"/>
        </w:rPr>
        <w:t> </w:t>
      </w:r>
      <w:r>
        <w:rPr>
          <w:color w:val="1D71B8"/>
          <w:sz w:val="18"/>
          <w:u w:val="single" w:color="1D71B8"/>
        </w:rPr>
        <w:t>2023/2772</w:t>
      </w:r>
      <w:r>
        <w:rPr>
          <w:color w:val="1D71B8"/>
          <w:spacing w:val="-5"/>
          <w:sz w:val="18"/>
          <w:u w:val="none"/>
        </w:rPr>
        <w:t> </w:t>
      </w:r>
      <w:r>
        <w:rPr>
          <w:sz w:val="18"/>
          <w:u w:val="none"/>
        </w:rPr>
        <w:t>of</w:t>
      </w:r>
      <w:r>
        <w:rPr>
          <w:spacing w:val="-5"/>
          <w:sz w:val="18"/>
          <w:u w:val="none"/>
        </w:rPr>
        <w:t> </w:t>
      </w:r>
      <w:r>
        <w:rPr>
          <w:sz w:val="18"/>
          <w:u w:val="none"/>
        </w:rPr>
        <w:t>31</w:t>
      </w:r>
      <w:r>
        <w:rPr>
          <w:spacing w:val="-4"/>
          <w:sz w:val="18"/>
          <w:u w:val="none"/>
        </w:rPr>
        <w:t> </w:t>
      </w:r>
      <w:r>
        <w:rPr>
          <w:sz w:val="18"/>
          <w:u w:val="none"/>
        </w:rPr>
        <w:t>July</w:t>
      </w:r>
      <w:r>
        <w:rPr>
          <w:spacing w:val="-4"/>
          <w:sz w:val="18"/>
          <w:u w:val="none"/>
        </w:rPr>
        <w:t> </w:t>
      </w:r>
      <w:r>
        <w:rPr>
          <w:sz w:val="18"/>
          <w:u w:val="none"/>
        </w:rPr>
        <w:t>2023</w:t>
      </w:r>
      <w:r>
        <w:rPr>
          <w:spacing w:val="-4"/>
          <w:sz w:val="18"/>
          <w:u w:val="none"/>
        </w:rPr>
        <w:t> </w:t>
      </w:r>
      <w:r>
        <w:rPr>
          <w:sz w:val="18"/>
          <w:u w:val="none"/>
        </w:rPr>
        <w:t>supplementing</w:t>
      </w:r>
      <w:r>
        <w:rPr>
          <w:spacing w:val="-4"/>
          <w:sz w:val="18"/>
          <w:u w:val="none"/>
        </w:rPr>
        <w:t> </w:t>
      </w:r>
      <w:r>
        <w:rPr>
          <w:sz w:val="18"/>
          <w:u w:val="none"/>
        </w:rPr>
        <w:t>Directive</w:t>
      </w:r>
      <w:r>
        <w:rPr>
          <w:spacing w:val="-4"/>
          <w:sz w:val="18"/>
          <w:u w:val="none"/>
        </w:rPr>
        <w:t> </w:t>
      </w:r>
      <w:r>
        <w:rPr>
          <w:sz w:val="18"/>
          <w:u w:val="none"/>
        </w:rPr>
        <w:t>2013/34/EU</w:t>
      </w:r>
      <w:r>
        <w:rPr>
          <w:spacing w:val="-4"/>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 Parliament and of the Council as regards sustainability reporting standards.</w:t>
      </w:r>
    </w:p>
    <w:p>
      <w:pPr>
        <w:pStyle w:val="ListParagraph"/>
        <w:numPr>
          <w:ilvl w:val="0"/>
          <w:numId w:val="18"/>
        </w:numPr>
        <w:tabs>
          <w:tab w:pos="1684" w:val="left" w:leader="none"/>
        </w:tabs>
        <w:spacing w:line="240" w:lineRule="auto" w:before="0" w:after="0"/>
        <w:ind w:left="1684" w:right="1121" w:hanging="567"/>
        <w:jc w:val="left"/>
        <w:rPr>
          <w:sz w:val="18"/>
        </w:rPr>
      </w:pPr>
      <w:r>
        <w:rPr>
          <w:sz w:val="18"/>
        </w:rPr>
        <w:t>Department</w:t>
      </w:r>
      <w:r>
        <w:rPr>
          <w:spacing w:val="-7"/>
          <w:sz w:val="18"/>
        </w:rPr>
        <w:t> </w:t>
      </w:r>
      <w:r>
        <w:rPr>
          <w:sz w:val="18"/>
        </w:rPr>
        <w:t>of</w:t>
      </w:r>
      <w:r>
        <w:rPr>
          <w:spacing w:val="-8"/>
          <w:sz w:val="18"/>
        </w:rPr>
        <w:t> </w:t>
      </w:r>
      <w:r>
        <w:rPr>
          <w:sz w:val="18"/>
        </w:rPr>
        <w:t>Enterprise</w:t>
      </w:r>
      <w:r>
        <w:rPr>
          <w:spacing w:val="-7"/>
          <w:sz w:val="18"/>
        </w:rPr>
        <w:t> </w:t>
      </w:r>
      <w:r>
        <w:rPr>
          <w:sz w:val="18"/>
        </w:rPr>
        <w:t>Trade</w:t>
      </w:r>
      <w:r>
        <w:rPr>
          <w:spacing w:val="-7"/>
          <w:sz w:val="18"/>
        </w:rPr>
        <w:t> </w:t>
      </w:r>
      <w:r>
        <w:rPr>
          <w:sz w:val="18"/>
        </w:rPr>
        <w:t>and</w:t>
      </w:r>
      <w:r>
        <w:rPr>
          <w:spacing w:val="-8"/>
          <w:sz w:val="18"/>
        </w:rPr>
        <w:t> </w:t>
      </w:r>
      <w:r>
        <w:rPr>
          <w:sz w:val="18"/>
        </w:rPr>
        <w:t>Employment,</w:t>
      </w:r>
      <w:r>
        <w:rPr>
          <w:spacing w:val="-7"/>
          <w:sz w:val="18"/>
        </w:rPr>
        <w:t> </w:t>
      </w:r>
      <w:r>
        <w:rPr>
          <w:color w:val="1D71B8"/>
          <w:sz w:val="18"/>
          <w:u w:val="single" w:color="1D71B8"/>
        </w:rPr>
        <w:t>Preparing</w:t>
      </w:r>
      <w:r>
        <w:rPr>
          <w:color w:val="1D71B8"/>
          <w:spacing w:val="-7"/>
          <w:sz w:val="18"/>
          <w:u w:val="single" w:color="1D71B8"/>
        </w:rPr>
        <w:t> </w:t>
      </w:r>
      <w:r>
        <w:rPr>
          <w:color w:val="1D71B8"/>
          <w:sz w:val="18"/>
          <w:u w:val="single" w:color="1D71B8"/>
        </w:rPr>
        <w:t>Your</w:t>
      </w:r>
      <w:r>
        <w:rPr>
          <w:color w:val="1D71B8"/>
          <w:spacing w:val="-7"/>
          <w:sz w:val="18"/>
          <w:u w:val="single" w:color="1D71B8"/>
        </w:rPr>
        <w:t> </w:t>
      </w:r>
      <w:r>
        <w:rPr>
          <w:color w:val="1D71B8"/>
          <w:sz w:val="18"/>
          <w:u w:val="single" w:color="1D71B8"/>
        </w:rPr>
        <w:t>Business</w:t>
      </w:r>
      <w:r>
        <w:rPr>
          <w:color w:val="1D71B8"/>
          <w:spacing w:val="-8"/>
          <w:sz w:val="18"/>
          <w:u w:val="single" w:color="1D71B8"/>
        </w:rPr>
        <w:t> </w:t>
      </w:r>
      <w:r>
        <w:rPr>
          <w:color w:val="1D71B8"/>
          <w:sz w:val="18"/>
          <w:u w:val="single" w:color="1D71B8"/>
        </w:rPr>
        <w:t>for</w:t>
      </w:r>
      <w:r>
        <w:rPr>
          <w:color w:val="1D71B8"/>
          <w:spacing w:val="-7"/>
          <w:sz w:val="18"/>
          <w:u w:val="single" w:color="1D71B8"/>
        </w:rPr>
        <w:t> </w:t>
      </w:r>
      <w:r>
        <w:rPr>
          <w:color w:val="1D71B8"/>
          <w:sz w:val="18"/>
          <w:u w:val="single" w:color="1D71B8"/>
        </w:rPr>
        <w:t>the</w:t>
      </w:r>
      <w:r>
        <w:rPr>
          <w:color w:val="1D71B8"/>
          <w:spacing w:val="-7"/>
          <w:sz w:val="18"/>
          <w:u w:val="single" w:color="1D71B8"/>
        </w:rPr>
        <w:t> </w:t>
      </w:r>
      <w:r>
        <w:rPr>
          <w:color w:val="1D71B8"/>
          <w:sz w:val="18"/>
          <w:u w:val="single" w:color="1D71B8"/>
        </w:rPr>
        <w:t>Corporate</w:t>
      </w:r>
      <w:r>
        <w:rPr>
          <w:color w:val="1D71B8"/>
          <w:spacing w:val="-7"/>
          <w:sz w:val="18"/>
          <w:u w:val="single" w:color="1D71B8"/>
        </w:rPr>
        <w:t> </w:t>
      </w:r>
      <w:r>
        <w:rPr>
          <w:color w:val="1D71B8"/>
          <w:sz w:val="18"/>
          <w:u w:val="single" w:color="1D71B8"/>
        </w:rPr>
        <w:t>Sustainability</w:t>
      </w:r>
      <w:r>
        <w:rPr>
          <w:color w:val="1D71B8"/>
          <w:spacing w:val="-7"/>
          <w:sz w:val="18"/>
          <w:u w:val="single" w:color="1D71B8"/>
        </w:rPr>
        <w:t> </w:t>
      </w:r>
      <w:r>
        <w:rPr>
          <w:color w:val="1D71B8"/>
          <w:sz w:val="18"/>
          <w:u w:val="single" w:color="1D71B8"/>
        </w:rPr>
        <w:t>Reporting</w:t>
      </w:r>
      <w:r>
        <w:rPr>
          <w:color w:val="1D71B8"/>
          <w:sz w:val="18"/>
          <w:u w:val="none"/>
        </w:rPr>
        <w:t> </w:t>
      </w:r>
      <w:r>
        <w:rPr>
          <w:color w:val="1D71B8"/>
          <w:spacing w:val="-2"/>
          <w:sz w:val="18"/>
          <w:u w:val="single" w:color="1D71B8"/>
        </w:rPr>
        <w:t>Directive</w:t>
      </w:r>
      <w:r>
        <w:rPr>
          <w:spacing w:val="-2"/>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29952">
                <wp:simplePos x="0" y="0"/>
                <wp:positionH relativeFrom="page">
                  <wp:posOffset>0</wp:posOffset>
                </wp:positionH>
                <wp:positionV relativeFrom="page">
                  <wp:posOffset>0</wp:posOffset>
                </wp:positionV>
                <wp:extent cx="7560309" cy="1155065"/>
                <wp:effectExtent l="0" t="0" r="0" b="0"/>
                <wp:wrapNone/>
                <wp:docPr id="652" name="Group 652"/>
                <wp:cNvGraphicFramePr>
                  <a:graphicFrameLocks/>
                </wp:cNvGraphicFramePr>
                <a:graphic>
                  <a:graphicData uri="http://schemas.microsoft.com/office/word/2010/wordprocessingGroup">
                    <wpg:wgp>
                      <wpg:cNvPr id="652" name="Group 652"/>
                      <wpg:cNvGrpSpPr/>
                      <wpg:grpSpPr>
                        <a:xfrm>
                          <a:off x="0" y="0"/>
                          <a:ext cx="7560309" cy="1155065"/>
                          <a:chExt cx="7560309" cy="1155065"/>
                        </a:xfrm>
                      </wpg:grpSpPr>
                      <wps:wsp>
                        <wps:cNvPr id="653" name="Graphic 653"/>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654" name="Graphic 654"/>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86528" id="docshapegroup528" coordorigin="0,0" coordsize="11906,1819">
                <v:shape style="position:absolute;left:0;top:0;width:11906;height:1819" id="docshape529"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r>
        <w:rPr>
          <w:b/>
          <w:color w:val="FFFFFF"/>
          <w:spacing w:val="-5"/>
          <w:position w:val="-1"/>
          <w:sz w:val="28"/>
        </w:rPr>
        <w:t>72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Given</w:t>
      </w:r>
      <w:r>
        <w:rPr>
          <w:spacing w:val="-5"/>
        </w:rPr>
        <w:t> </w:t>
      </w:r>
      <w:r>
        <w:rPr/>
        <w:t>the</w:t>
      </w:r>
      <w:r>
        <w:rPr>
          <w:spacing w:val="-4"/>
        </w:rPr>
        <w:t> </w:t>
      </w:r>
      <w:r>
        <w:rPr/>
        <w:t>role</w:t>
      </w:r>
      <w:r>
        <w:rPr>
          <w:spacing w:val="-4"/>
        </w:rPr>
        <w:t> </w:t>
      </w:r>
      <w:r>
        <w:rPr/>
        <w:t>of</w:t>
      </w:r>
      <w:r>
        <w:rPr>
          <w:spacing w:val="-5"/>
        </w:rPr>
        <w:t> </w:t>
      </w:r>
      <w:r>
        <w:rPr/>
        <w:t>cross-border</w:t>
      </w:r>
      <w:r>
        <w:rPr>
          <w:spacing w:val="-4"/>
        </w:rPr>
        <w:t> </w:t>
      </w:r>
      <w:r>
        <w:rPr/>
        <w:t>companies</w:t>
      </w:r>
      <w:r>
        <w:rPr>
          <w:spacing w:val="-5"/>
        </w:rPr>
        <w:t> </w:t>
      </w:r>
      <w:r>
        <w:rPr/>
        <w:t>it</w:t>
      </w:r>
      <w:r>
        <w:rPr>
          <w:spacing w:val="-4"/>
        </w:rPr>
        <w:t> </w:t>
      </w:r>
      <w:r>
        <w:rPr/>
        <w:t>is</w:t>
      </w:r>
      <w:r>
        <w:rPr>
          <w:spacing w:val="-5"/>
        </w:rPr>
        <w:t> </w:t>
      </w:r>
      <w:r>
        <w:rPr/>
        <w:t>possible</w:t>
      </w:r>
      <w:r>
        <w:rPr>
          <w:spacing w:val="-4"/>
        </w:rPr>
        <w:t> </w:t>
      </w:r>
      <w:r>
        <w:rPr/>
        <w:t>that</w:t>
      </w:r>
      <w:r>
        <w:rPr>
          <w:spacing w:val="-4"/>
        </w:rPr>
        <w:t> </w:t>
      </w:r>
      <w:r>
        <w:rPr/>
        <w:t>some</w:t>
      </w:r>
      <w:r>
        <w:rPr>
          <w:spacing w:val="-4"/>
        </w:rPr>
        <w:t> </w:t>
      </w:r>
      <w:r>
        <w:rPr/>
        <w:t>Irish</w:t>
      </w:r>
      <w:r>
        <w:rPr>
          <w:spacing w:val="-5"/>
        </w:rPr>
        <w:t> </w:t>
      </w:r>
      <w:r>
        <w:rPr/>
        <w:t>based- companies may have to report on activities related to Northern Ireland.</w:t>
      </w:r>
    </w:p>
    <w:p>
      <w:pPr>
        <w:pStyle w:val="BodyText"/>
        <w:spacing w:before="4"/>
        <w:rPr>
          <w:sz w:val="20"/>
        </w:rPr>
      </w:pPr>
      <w:r>
        <w:rPr/>
        <mc:AlternateContent>
          <mc:Choice Requires="wps">
            <w:drawing>
              <wp:anchor distT="0" distB="0" distL="0" distR="0" allowOverlap="1" layoutInCell="1" locked="0" behindDoc="1" simplePos="0" relativeHeight="487711744">
                <wp:simplePos x="0" y="0"/>
                <wp:positionH relativeFrom="page">
                  <wp:posOffset>647994</wp:posOffset>
                </wp:positionH>
                <wp:positionV relativeFrom="paragraph">
                  <wp:posOffset>172922</wp:posOffset>
                </wp:positionV>
                <wp:extent cx="6012180" cy="1232535"/>
                <wp:effectExtent l="0" t="0" r="0" b="0"/>
                <wp:wrapTopAndBottom/>
                <wp:docPr id="655" name="Group 655"/>
                <wp:cNvGraphicFramePr>
                  <a:graphicFrameLocks/>
                </wp:cNvGraphicFramePr>
                <a:graphic>
                  <a:graphicData uri="http://schemas.microsoft.com/office/word/2010/wordprocessingGroup">
                    <wpg:wgp>
                      <wpg:cNvPr id="655" name="Group 655"/>
                      <wpg:cNvGrpSpPr/>
                      <wpg:grpSpPr>
                        <a:xfrm>
                          <a:off x="0" y="0"/>
                          <a:ext cx="6012180" cy="1232535"/>
                          <a:chExt cx="6012180" cy="1232535"/>
                        </a:xfrm>
                      </wpg:grpSpPr>
                      <wps:wsp>
                        <wps:cNvPr id="656" name="Graphic 656"/>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657" name="Textbox 657"/>
                        <wps:cNvSpPr txBox="1"/>
                        <wps:spPr>
                          <a:xfrm>
                            <a:off x="0" y="0"/>
                            <a:ext cx="6012180" cy="123253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as</w:t>
                              </w:r>
                              <w:r>
                                <w:rPr>
                                  <w:b/>
                                  <w:color w:val="164194"/>
                                  <w:spacing w:val="-8"/>
                                  <w:sz w:val="28"/>
                                </w:rPr>
                                <w:t> </w:t>
                              </w:r>
                              <w:r>
                                <w:rPr>
                                  <w:b/>
                                  <w:color w:val="164194"/>
                                  <w:sz w:val="28"/>
                                </w:rPr>
                                <w:t>a</w:t>
                              </w:r>
                              <w:r>
                                <w:rPr>
                                  <w:b/>
                                  <w:color w:val="164194"/>
                                  <w:spacing w:val="-8"/>
                                  <w:sz w:val="28"/>
                                </w:rPr>
                                <w:t> </w:t>
                              </w:r>
                              <w:r>
                                <w:rPr>
                                  <w:b/>
                                  <w:color w:val="164194"/>
                                  <w:sz w:val="28"/>
                                </w:rPr>
                                <w:t>matter</w:t>
                              </w:r>
                              <w:r>
                                <w:rPr>
                                  <w:b/>
                                  <w:color w:val="164194"/>
                                  <w:spacing w:val="-9"/>
                                  <w:sz w:val="28"/>
                                </w:rPr>
                                <w:t> </w:t>
                              </w:r>
                              <w:r>
                                <w:rPr>
                                  <w:b/>
                                  <w:color w:val="164194"/>
                                  <w:sz w:val="28"/>
                                </w:rPr>
                                <w:t>of</w:t>
                              </w:r>
                              <w:r>
                                <w:rPr>
                                  <w:b/>
                                  <w:color w:val="164194"/>
                                  <w:spacing w:val="-9"/>
                                  <w:sz w:val="28"/>
                                </w:rPr>
                                <w:t> </w:t>
                              </w:r>
                              <w:r>
                                <w:rPr>
                                  <w:b/>
                                  <w:color w:val="164194"/>
                                  <w:sz w:val="28"/>
                                </w:rPr>
                                <w:t>voluntary</w:t>
                              </w:r>
                              <w:r>
                                <w:rPr>
                                  <w:b/>
                                  <w:color w:val="164194"/>
                                  <w:spacing w:val="-8"/>
                                  <w:sz w:val="28"/>
                                </w:rPr>
                                <w:t> </w:t>
                              </w:r>
                              <w:r>
                                <w:rPr>
                                  <w:b/>
                                  <w:color w:val="164194"/>
                                  <w:sz w:val="28"/>
                                </w:rPr>
                                <w:t>alignment</w:t>
                              </w:r>
                              <w:r>
                                <w:rPr>
                                  <w:b/>
                                  <w:color w:val="164194"/>
                                  <w:spacing w:val="-8"/>
                                  <w:sz w:val="28"/>
                                </w:rPr>
                                <w:t> </w:t>
                              </w:r>
                              <w:r>
                                <w:rPr>
                                  <w:b/>
                                  <w:color w:val="164194"/>
                                  <w:sz w:val="28"/>
                                </w:rPr>
                                <w:t>with</w:t>
                              </w:r>
                              <w:r>
                                <w:rPr>
                                  <w:b/>
                                  <w:color w:val="164194"/>
                                  <w:spacing w:val="-8"/>
                                  <w:sz w:val="28"/>
                                </w:rPr>
                                <w:t> </w:t>
                              </w:r>
                              <w:r>
                                <w:rPr>
                                  <w:b/>
                                  <w:color w:val="164194"/>
                                  <w:sz w:val="28"/>
                                </w:rPr>
                                <w:t>good</w:t>
                              </w:r>
                              <w:r>
                                <w:rPr>
                                  <w:b/>
                                  <w:color w:val="164194"/>
                                  <w:spacing w:val="-8"/>
                                  <w:sz w:val="28"/>
                                </w:rPr>
                                <w:t> </w:t>
                              </w:r>
                              <w:r>
                                <w:rPr>
                                  <w:b/>
                                  <w:color w:val="164194"/>
                                  <w:sz w:val="28"/>
                                </w:rPr>
                                <w:t>practice, the Northern Ireland Executive and UK Government consider the need</w:t>
                              </w:r>
                            </w:p>
                            <w:p>
                              <w:pPr>
                                <w:spacing w:line="232" w:lineRule="auto" w:before="0"/>
                                <w:ind w:left="340" w:right="196" w:firstLine="0"/>
                                <w:jc w:val="left"/>
                                <w:rPr>
                                  <w:b/>
                                  <w:sz w:val="28"/>
                                </w:rPr>
                              </w:pPr>
                              <w:r>
                                <w:rPr>
                                  <w:b/>
                                  <w:color w:val="164194"/>
                                  <w:sz w:val="28"/>
                                </w:rPr>
                                <w:t>to introduce reporting requirements mirroring those in the EU Corporate Sustainability</w:t>
                              </w:r>
                              <w:r>
                                <w:rPr>
                                  <w:b/>
                                  <w:color w:val="164194"/>
                                  <w:spacing w:val="-10"/>
                                  <w:sz w:val="28"/>
                                </w:rPr>
                                <w:t> </w:t>
                              </w:r>
                              <w:r>
                                <w:rPr>
                                  <w:b/>
                                  <w:color w:val="164194"/>
                                  <w:sz w:val="28"/>
                                </w:rPr>
                                <w:t>Reporting</w:t>
                              </w:r>
                              <w:r>
                                <w:rPr>
                                  <w:b/>
                                  <w:color w:val="164194"/>
                                  <w:spacing w:val="-11"/>
                                  <w:sz w:val="28"/>
                                </w:rPr>
                                <w:t> </w:t>
                              </w:r>
                              <w:r>
                                <w:rPr>
                                  <w:b/>
                                  <w:color w:val="164194"/>
                                  <w:sz w:val="28"/>
                                </w:rPr>
                                <w:t>Directive,</w:t>
                              </w:r>
                              <w:r>
                                <w:rPr>
                                  <w:b/>
                                  <w:color w:val="164194"/>
                                  <w:spacing w:val="-10"/>
                                  <w:sz w:val="28"/>
                                </w:rPr>
                                <w:t> </w:t>
                              </w:r>
                              <w:r>
                                <w:rPr>
                                  <w:b/>
                                  <w:color w:val="164194"/>
                                  <w:sz w:val="28"/>
                                </w:rPr>
                                <w:t>where</w:t>
                              </w:r>
                              <w:r>
                                <w:rPr>
                                  <w:b/>
                                  <w:color w:val="164194"/>
                                  <w:spacing w:val="-11"/>
                                  <w:sz w:val="28"/>
                                </w:rPr>
                                <w:t> </w:t>
                              </w:r>
                              <w:r>
                                <w:rPr>
                                  <w:b/>
                                  <w:color w:val="164194"/>
                                  <w:sz w:val="28"/>
                                </w:rPr>
                                <w:t>these</w:t>
                              </w:r>
                              <w:r>
                                <w:rPr>
                                  <w:b/>
                                  <w:color w:val="164194"/>
                                  <w:spacing w:val="-11"/>
                                  <w:sz w:val="28"/>
                                </w:rPr>
                                <w:t> </w:t>
                              </w:r>
                              <w:r>
                                <w:rPr>
                                  <w:b/>
                                  <w:color w:val="164194"/>
                                  <w:sz w:val="28"/>
                                </w:rPr>
                                <w:t>strengthen</w:t>
                              </w:r>
                              <w:r>
                                <w:rPr>
                                  <w:b/>
                                  <w:color w:val="164194"/>
                                  <w:spacing w:val="-10"/>
                                  <w:sz w:val="28"/>
                                </w:rPr>
                                <w:t> </w:t>
                              </w:r>
                              <w:r>
                                <w:rPr>
                                  <w:b/>
                                  <w:color w:val="164194"/>
                                  <w:sz w:val="28"/>
                                </w:rPr>
                                <w:t>rights</w:t>
                              </w:r>
                              <w:r>
                                <w:rPr>
                                  <w:b/>
                                  <w:color w:val="164194"/>
                                  <w:spacing w:val="-10"/>
                                  <w:sz w:val="28"/>
                                </w:rPr>
                                <w:t> </w:t>
                              </w:r>
                              <w:r>
                                <w:rPr>
                                  <w:b/>
                                  <w:color w:val="164194"/>
                                  <w:sz w:val="28"/>
                                </w:rPr>
                                <w:t>and</w:t>
                              </w:r>
                              <w:r>
                                <w:rPr>
                                  <w:b/>
                                  <w:color w:val="164194"/>
                                  <w:spacing w:val="-10"/>
                                  <w:sz w:val="28"/>
                                </w:rPr>
                                <w:t> </w:t>
                              </w:r>
                              <w:r>
                                <w:rPr>
                                  <w:b/>
                                  <w:color w:val="164194"/>
                                  <w:sz w:val="28"/>
                                </w:rPr>
                                <w:t>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3.615934pt;width:473.4pt;height:97.05pt;mso-position-horizontal-relative:page;mso-position-vertical-relative:paragraph;z-index:-15604736;mso-wrap-distance-left:0;mso-wrap-distance-right:0" id="docshapegroup530" coordorigin="1020,272" coordsize="9468,1941">
                <v:shape style="position:absolute;left:1020;top:272;width:9468;height:1941" id="docshape531" coordorigin="1020,272" coordsize="9468,1941" path="m10261,272l1247,272,1176,284,1113,316,1064,365,1032,427,1020,499,1020,1986,1032,2057,1064,2120,1113,2169,1176,2201,1247,2212,10261,2212,10333,2201,10395,2169,10444,2120,10477,2057,10488,1986,10488,499,10477,427,10444,365,10395,316,10333,284,10261,272xe" filled="true" fillcolor="#e9f3fc" stroked="false">
                  <v:path arrowok="t"/>
                  <v:fill type="solid"/>
                </v:shape>
                <v:shape style="position:absolute;left:1020;top:272;width:9468;height:1941" type="#_x0000_t202" id="docshape532"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as</w:t>
                        </w:r>
                        <w:r>
                          <w:rPr>
                            <w:b/>
                            <w:color w:val="164194"/>
                            <w:spacing w:val="-8"/>
                            <w:sz w:val="28"/>
                          </w:rPr>
                          <w:t> </w:t>
                        </w:r>
                        <w:r>
                          <w:rPr>
                            <w:b/>
                            <w:color w:val="164194"/>
                            <w:sz w:val="28"/>
                          </w:rPr>
                          <w:t>a</w:t>
                        </w:r>
                        <w:r>
                          <w:rPr>
                            <w:b/>
                            <w:color w:val="164194"/>
                            <w:spacing w:val="-8"/>
                            <w:sz w:val="28"/>
                          </w:rPr>
                          <w:t> </w:t>
                        </w:r>
                        <w:r>
                          <w:rPr>
                            <w:b/>
                            <w:color w:val="164194"/>
                            <w:sz w:val="28"/>
                          </w:rPr>
                          <w:t>matter</w:t>
                        </w:r>
                        <w:r>
                          <w:rPr>
                            <w:b/>
                            <w:color w:val="164194"/>
                            <w:spacing w:val="-9"/>
                            <w:sz w:val="28"/>
                          </w:rPr>
                          <w:t> </w:t>
                        </w:r>
                        <w:r>
                          <w:rPr>
                            <w:b/>
                            <w:color w:val="164194"/>
                            <w:sz w:val="28"/>
                          </w:rPr>
                          <w:t>of</w:t>
                        </w:r>
                        <w:r>
                          <w:rPr>
                            <w:b/>
                            <w:color w:val="164194"/>
                            <w:spacing w:val="-9"/>
                            <w:sz w:val="28"/>
                          </w:rPr>
                          <w:t> </w:t>
                        </w:r>
                        <w:r>
                          <w:rPr>
                            <w:b/>
                            <w:color w:val="164194"/>
                            <w:sz w:val="28"/>
                          </w:rPr>
                          <w:t>voluntary</w:t>
                        </w:r>
                        <w:r>
                          <w:rPr>
                            <w:b/>
                            <w:color w:val="164194"/>
                            <w:spacing w:val="-8"/>
                            <w:sz w:val="28"/>
                          </w:rPr>
                          <w:t> </w:t>
                        </w:r>
                        <w:r>
                          <w:rPr>
                            <w:b/>
                            <w:color w:val="164194"/>
                            <w:sz w:val="28"/>
                          </w:rPr>
                          <w:t>alignment</w:t>
                        </w:r>
                        <w:r>
                          <w:rPr>
                            <w:b/>
                            <w:color w:val="164194"/>
                            <w:spacing w:val="-8"/>
                            <w:sz w:val="28"/>
                          </w:rPr>
                          <w:t> </w:t>
                        </w:r>
                        <w:r>
                          <w:rPr>
                            <w:b/>
                            <w:color w:val="164194"/>
                            <w:sz w:val="28"/>
                          </w:rPr>
                          <w:t>with</w:t>
                        </w:r>
                        <w:r>
                          <w:rPr>
                            <w:b/>
                            <w:color w:val="164194"/>
                            <w:spacing w:val="-8"/>
                            <w:sz w:val="28"/>
                          </w:rPr>
                          <w:t> </w:t>
                        </w:r>
                        <w:r>
                          <w:rPr>
                            <w:b/>
                            <w:color w:val="164194"/>
                            <w:sz w:val="28"/>
                          </w:rPr>
                          <w:t>good</w:t>
                        </w:r>
                        <w:r>
                          <w:rPr>
                            <w:b/>
                            <w:color w:val="164194"/>
                            <w:spacing w:val="-8"/>
                            <w:sz w:val="28"/>
                          </w:rPr>
                          <w:t> </w:t>
                        </w:r>
                        <w:r>
                          <w:rPr>
                            <w:b/>
                            <w:color w:val="164194"/>
                            <w:sz w:val="28"/>
                          </w:rPr>
                          <w:t>practice, the Northern Ireland Executive and UK Government consider the need</w:t>
                        </w:r>
                      </w:p>
                      <w:p>
                        <w:pPr>
                          <w:spacing w:line="232" w:lineRule="auto" w:before="0"/>
                          <w:ind w:left="340" w:right="196" w:firstLine="0"/>
                          <w:jc w:val="left"/>
                          <w:rPr>
                            <w:b/>
                            <w:sz w:val="28"/>
                          </w:rPr>
                        </w:pPr>
                        <w:r>
                          <w:rPr>
                            <w:b/>
                            <w:color w:val="164194"/>
                            <w:sz w:val="28"/>
                          </w:rPr>
                          <w:t>to introduce reporting requirements mirroring those in the EU Corporate Sustainability</w:t>
                        </w:r>
                        <w:r>
                          <w:rPr>
                            <w:b/>
                            <w:color w:val="164194"/>
                            <w:spacing w:val="-10"/>
                            <w:sz w:val="28"/>
                          </w:rPr>
                          <w:t> </w:t>
                        </w:r>
                        <w:r>
                          <w:rPr>
                            <w:b/>
                            <w:color w:val="164194"/>
                            <w:sz w:val="28"/>
                          </w:rPr>
                          <w:t>Reporting</w:t>
                        </w:r>
                        <w:r>
                          <w:rPr>
                            <w:b/>
                            <w:color w:val="164194"/>
                            <w:spacing w:val="-11"/>
                            <w:sz w:val="28"/>
                          </w:rPr>
                          <w:t> </w:t>
                        </w:r>
                        <w:r>
                          <w:rPr>
                            <w:b/>
                            <w:color w:val="164194"/>
                            <w:sz w:val="28"/>
                          </w:rPr>
                          <w:t>Directive,</w:t>
                        </w:r>
                        <w:r>
                          <w:rPr>
                            <w:b/>
                            <w:color w:val="164194"/>
                            <w:spacing w:val="-10"/>
                            <w:sz w:val="28"/>
                          </w:rPr>
                          <w:t> </w:t>
                        </w:r>
                        <w:r>
                          <w:rPr>
                            <w:b/>
                            <w:color w:val="164194"/>
                            <w:sz w:val="28"/>
                          </w:rPr>
                          <w:t>where</w:t>
                        </w:r>
                        <w:r>
                          <w:rPr>
                            <w:b/>
                            <w:color w:val="164194"/>
                            <w:spacing w:val="-11"/>
                            <w:sz w:val="28"/>
                          </w:rPr>
                          <w:t> </w:t>
                        </w:r>
                        <w:r>
                          <w:rPr>
                            <w:b/>
                            <w:color w:val="164194"/>
                            <w:sz w:val="28"/>
                          </w:rPr>
                          <w:t>these</w:t>
                        </w:r>
                        <w:r>
                          <w:rPr>
                            <w:b/>
                            <w:color w:val="164194"/>
                            <w:spacing w:val="-11"/>
                            <w:sz w:val="28"/>
                          </w:rPr>
                          <w:t> </w:t>
                        </w:r>
                        <w:r>
                          <w:rPr>
                            <w:b/>
                            <w:color w:val="164194"/>
                            <w:sz w:val="28"/>
                          </w:rPr>
                          <w:t>strengthen</w:t>
                        </w:r>
                        <w:r>
                          <w:rPr>
                            <w:b/>
                            <w:color w:val="164194"/>
                            <w:spacing w:val="-10"/>
                            <w:sz w:val="28"/>
                          </w:rPr>
                          <w:t> </w:t>
                        </w:r>
                        <w:r>
                          <w:rPr>
                            <w:b/>
                            <w:color w:val="164194"/>
                            <w:sz w:val="28"/>
                          </w:rPr>
                          <w:t>rights</w:t>
                        </w:r>
                        <w:r>
                          <w:rPr>
                            <w:b/>
                            <w:color w:val="164194"/>
                            <w:spacing w:val="-10"/>
                            <w:sz w:val="28"/>
                          </w:rPr>
                          <w:t> </w:t>
                        </w:r>
                        <w:r>
                          <w:rPr>
                            <w:b/>
                            <w:color w:val="164194"/>
                            <w:sz w:val="28"/>
                          </w:rPr>
                          <w:t>and</w:t>
                        </w:r>
                        <w:r>
                          <w:rPr>
                            <w:b/>
                            <w:color w:val="164194"/>
                            <w:spacing w:val="-10"/>
                            <w:sz w:val="28"/>
                          </w:rPr>
                          <w:t> </w:t>
                        </w:r>
                        <w:r>
                          <w:rPr>
                            <w:b/>
                            <w:color w:val="164194"/>
                            <w:sz w:val="28"/>
                          </w:rPr>
                          <w:t>reflect international human rights standards and best practice.</w:t>
                        </w:r>
                      </w:p>
                    </w:txbxContent>
                  </v:textbox>
                  <w10:wrap type="none"/>
                </v:shape>
                <w10:wrap type="topAndBottom"/>
              </v:group>
            </w:pict>
          </mc:Fallback>
        </mc:AlternateContent>
      </w:r>
    </w:p>
    <w:p>
      <w:pPr>
        <w:pStyle w:val="BodyText"/>
        <w:spacing w:before="220"/>
        <w:ind w:left="720"/>
      </w:pPr>
      <w:r>
        <w:rPr/>
        <w:t>(See</w:t>
      </w:r>
      <w:r>
        <w:rPr>
          <w:spacing w:val="-6"/>
        </w:rPr>
        <w:t> </w:t>
      </w:r>
      <w:r>
        <w:rPr/>
        <w:t>also</w:t>
      </w:r>
      <w:r>
        <w:rPr>
          <w:spacing w:val="-7"/>
        </w:rPr>
        <w:t> </w:t>
      </w:r>
      <w:r>
        <w:rPr/>
        <w:t>section</w:t>
      </w:r>
      <w:r>
        <w:rPr>
          <w:spacing w:val="-7"/>
        </w:rPr>
        <w:t> </w:t>
      </w:r>
      <w:r>
        <w:rPr/>
        <w:t>4.3.4.4</w:t>
      </w:r>
      <w:r>
        <w:rPr>
          <w:spacing w:val="-6"/>
        </w:rPr>
        <w:t> </w:t>
      </w:r>
      <w:r>
        <w:rPr/>
        <w:t>below</w:t>
      </w:r>
      <w:r>
        <w:rPr>
          <w:spacing w:val="-5"/>
        </w:rPr>
        <w:t> </w:t>
      </w:r>
      <w:r>
        <w:rPr/>
        <w:t>for</w:t>
      </w:r>
      <w:r>
        <w:rPr>
          <w:spacing w:val="-6"/>
        </w:rPr>
        <w:t> </w:t>
      </w:r>
      <w:r>
        <w:rPr/>
        <w:t>corporate</w:t>
      </w:r>
      <w:r>
        <w:rPr>
          <w:spacing w:val="-6"/>
        </w:rPr>
        <w:t> </w:t>
      </w:r>
      <w:r>
        <w:rPr/>
        <w:t>social</w:t>
      </w:r>
      <w:r>
        <w:rPr>
          <w:spacing w:val="-7"/>
        </w:rPr>
        <w:t> </w:t>
      </w:r>
      <w:r>
        <w:rPr/>
        <w:t>responsibility</w:t>
      </w:r>
      <w:r>
        <w:rPr>
          <w:spacing w:val="-6"/>
        </w:rPr>
        <w:t> </w:t>
      </w:r>
      <w:r>
        <w:rPr>
          <w:spacing w:val="-2"/>
        </w:rPr>
        <w:t>developments.)</w:t>
      </w:r>
    </w:p>
    <w:p>
      <w:pPr>
        <w:pStyle w:val="BodyText"/>
        <w:spacing w:line="232" w:lineRule="auto" w:before="280"/>
        <w:ind w:left="720"/>
      </w:pPr>
      <w:r>
        <w:rPr/>
        <w:t>The</w:t>
      </w:r>
      <w:r>
        <w:rPr>
          <w:spacing w:val="-5"/>
        </w:rPr>
        <w:t> </w:t>
      </w:r>
      <w:r>
        <w:rPr/>
        <w:t>Government</w:t>
      </w:r>
      <w:r>
        <w:rPr>
          <w:spacing w:val="-5"/>
        </w:rPr>
        <w:t> </w:t>
      </w:r>
      <w:r>
        <w:rPr/>
        <w:t>of</w:t>
      </w:r>
      <w:r>
        <w:rPr>
          <w:spacing w:val="-6"/>
        </w:rPr>
        <w:t> </w:t>
      </w:r>
      <w:r>
        <w:rPr/>
        <w:t>Ireland</w:t>
      </w:r>
      <w:r>
        <w:rPr>
          <w:spacing w:val="-6"/>
        </w:rPr>
        <w:t> </w:t>
      </w:r>
      <w:r>
        <w:rPr/>
        <w:t>has</w:t>
      </w:r>
      <w:r>
        <w:rPr>
          <w:spacing w:val="-6"/>
        </w:rPr>
        <w:t> </w:t>
      </w:r>
      <w:r>
        <w:rPr/>
        <w:t>announced</w:t>
      </w:r>
      <w:r>
        <w:rPr>
          <w:spacing w:val="-6"/>
        </w:rPr>
        <w:t> </w:t>
      </w:r>
      <w:r>
        <w:rPr/>
        <w:t>plans</w:t>
      </w:r>
      <w:r>
        <w:rPr>
          <w:spacing w:val="-6"/>
        </w:rPr>
        <w:t> </w:t>
      </w:r>
      <w:r>
        <w:rPr/>
        <w:t>to</w:t>
      </w:r>
      <w:r>
        <w:rPr>
          <w:spacing w:val="-6"/>
        </w:rPr>
        <w:t> </w:t>
      </w:r>
      <w:r>
        <w:rPr/>
        <w:t>adopt</w:t>
      </w:r>
      <w:r>
        <w:rPr>
          <w:spacing w:val="-5"/>
        </w:rPr>
        <w:t> </w:t>
      </w:r>
      <w:r>
        <w:rPr/>
        <w:t>a</w:t>
      </w:r>
      <w:r>
        <w:rPr>
          <w:spacing w:val="-4"/>
        </w:rPr>
        <w:t> </w:t>
      </w:r>
      <w:r>
        <w:rPr>
          <w:b/>
        </w:rPr>
        <w:t>National</w:t>
      </w:r>
      <w:r>
        <w:rPr>
          <w:b/>
          <w:spacing w:val="-5"/>
        </w:rPr>
        <w:t> </w:t>
      </w:r>
      <w:r>
        <w:rPr>
          <w:b/>
        </w:rPr>
        <w:t>Equality</w:t>
      </w:r>
      <w:r>
        <w:rPr>
          <w:b/>
          <w:spacing w:val="-5"/>
        </w:rPr>
        <w:t> </w:t>
      </w:r>
      <w:r>
        <w:rPr>
          <w:b/>
        </w:rPr>
        <w:t>Data Strategy</w:t>
      </w:r>
      <w:r>
        <w:rPr/>
        <w:t>.</w:t>
      </w:r>
      <w:r>
        <w:rPr>
          <w:vertAlign w:val="superscript"/>
        </w:rPr>
        <w:t>414</w:t>
      </w:r>
      <w:r>
        <w:rPr>
          <w:vertAlign w:val="baseline"/>
        </w:rPr>
        <w:t> An audit by the Central Statistics Office had revealed significant gaps</w:t>
      </w:r>
    </w:p>
    <w:p>
      <w:pPr>
        <w:pStyle w:val="BodyText"/>
        <w:spacing w:line="232" w:lineRule="auto"/>
        <w:ind w:left="720" w:right="1372"/>
      </w:pPr>
      <w:r>
        <w:rPr/>
        <w:t>in equality data on grounds such as race, members of the Traveller community, sexual orientation and religion.</w:t>
      </w:r>
      <w:r>
        <w:rPr>
          <w:vertAlign w:val="superscript"/>
        </w:rPr>
        <w:t>415</w:t>
      </w:r>
      <w:r>
        <w:rPr>
          <w:vertAlign w:val="baseline"/>
        </w:rPr>
        <w:t> While there were plans to publish and adopt the</w:t>
      </w:r>
      <w:r>
        <w:rPr>
          <w:spacing w:val="-5"/>
          <w:vertAlign w:val="baseline"/>
        </w:rPr>
        <w:t> </w:t>
      </w:r>
      <w:r>
        <w:rPr>
          <w:vertAlign w:val="baseline"/>
        </w:rPr>
        <w:t>strategy</w:t>
      </w:r>
      <w:r>
        <w:rPr>
          <w:spacing w:val="-5"/>
          <w:vertAlign w:val="baseline"/>
        </w:rPr>
        <w:t> </w:t>
      </w:r>
      <w:r>
        <w:rPr>
          <w:vertAlign w:val="baseline"/>
        </w:rPr>
        <w:t>during</w:t>
      </w:r>
      <w:r>
        <w:rPr>
          <w:spacing w:val="-5"/>
          <w:vertAlign w:val="baseline"/>
        </w:rPr>
        <w:t> </w:t>
      </w:r>
      <w:r>
        <w:rPr>
          <w:vertAlign w:val="baseline"/>
        </w:rPr>
        <w:t>2023</w:t>
      </w:r>
      <w:r>
        <w:rPr>
          <w:spacing w:val="-5"/>
          <w:vertAlign w:val="baseline"/>
        </w:rPr>
        <w:t> </w:t>
      </w:r>
      <w:r>
        <w:rPr>
          <w:vertAlign w:val="baseline"/>
        </w:rPr>
        <w:t>the</w:t>
      </w:r>
      <w:r>
        <w:rPr>
          <w:spacing w:val="-5"/>
          <w:vertAlign w:val="baseline"/>
        </w:rPr>
        <w:t> </w:t>
      </w:r>
      <w:r>
        <w:rPr>
          <w:vertAlign w:val="baseline"/>
        </w:rPr>
        <w:t>timeline</w:t>
      </w:r>
      <w:r>
        <w:rPr>
          <w:spacing w:val="-5"/>
          <w:vertAlign w:val="baseline"/>
        </w:rPr>
        <w:t> </w:t>
      </w:r>
      <w:r>
        <w:rPr>
          <w:vertAlign w:val="baseline"/>
        </w:rPr>
        <w:t>appears</w:t>
      </w:r>
      <w:r>
        <w:rPr>
          <w:spacing w:val="-6"/>
          <w:vertAlign w:val="baseline"/>
        </w:rPr>
        <w:t> </w:t>
      </w:r>
      <w:r>
        <w:rPr>
          <w:vertAlign w:val="baseline"/>
        </w:rPr>
        <w:t>to</w:t>
      </w:r>
      <w:r>
        <w:rPr>
          <w:spacing w:val="-6"/>
          <w:vertAlign w:val="baseline"/>
        </w:rPr>
        <w:t> </w:t>
      </w:r>
      <w:r>
        <w:rPr>
          <w:vertAlign w:val="baseline"/>
        </w:rPr>
        <w:t>have</w:t>
      </w:r>
      <w:r>
        <w:rPr>
          <w:spacing w:val="-5"/>
          <w:vertAlign w:val="baseline"/>
        </w:rPr>
        <w:t> </w:t>
      </w:r>
      <w:r>
        <w:rPr>
          <w:vertAlign w:val="baseline"/>
        </w:rPr>
        <w:t>slipped</w:t>
      </w:r>
      <w:r>
        <w:rPr>
          <w:spacing w:val="-6"/>
          <w:vertAlign w:val="baseline"/>
        </w:rPr>
        <w:t> </w:t>
      </w:r>
      <w:r>
        <w:rPr>
          <w:vertAlign w:val="baseline"/>
        </w:rPr>
        <w:t>and</w:t>
      </w:r>
      <w:r>
        <w:rPr>
          <w:spacing w:val="-6"/>
          <w:vertAlign w:val="baseline"/>
        </w:rPr>
        <w:t> </w:t>
      </w:r>
      <w:r>
        <w:rPr>
          <w:vertAlign w:val="baseline"/>
        </w:rPr>
        <w:t>it</w:t>
      </w:r>
      <w:r>
        <w:rPr>
          <w:spacing w:val="-5"/>
          <w:vertAlign w:val="baseline"/>
        </w:rPr>
        <w:t> </w:t>
      </w:r>
      <w:r>
        <w:rPr>
          <w:vertAlign w:val="baseline"/>
        </w:rPr>
        <w:t>has</w:t>
      </w:r>
      <w:r>
        <w:rPr>
          <w:spacing w:val="-6"/>
          <w:vertAlign w:val="baseline"/>
        </w:rPr>
        <w:t> </w:t>
      </w:r>
      <w:r>
        <w:rPr>
          <w:vertAlign w:val="baseline"/>
        </w:rPr>
        <w:t>not</w:t>
      </w:r>
      <w:r>
        <w:rPr>
          <w:spacing w:val="-5"/>
          <w:vertAlign w:val="baseline"/>
        </w:rPr>
        <w:t> </w:t>
      </w:r>
      <w:r>
        <w:rPr>
          <w:vertAlign w:val="baseline"/>
        </w:rPr>
        <w:t>been published. The Irish Human Rights and Equality Commission has recommended priority publication, promotion and implementation of the forthcoming strategy, and that Government Departments and public bodies be adequately resourced</w:t>
      </w:r>
      <w:r>
        <w:rPr>
          <w:spacing w:val="40"/>
          <w:vertAlign w:val="baseline"/>
        </w:rPr>
        <w:t> </w:t>
      </w:r>
      <w:r>
        <w:rPr>
          <w:vertAlign w:val="baseline"/>
        </w:rPr>
        <w:t>to</w:t>
      </w:r>
      <w:r>
        <w:rPr>
          <w:spacing w:val="-5"/>
          <w:vertAlign w:val="baseline"/>
        </w:rPr>
        <w:t> </w:t>
      </w:r>
      <w:r>
        <w:rPr>
          <w:vertAlign w:val="baseline"/>
        </w:rPr>
        <w:t>deliver</w:t>
      </w:r>
      <w:r>
        <w:rPr>
          <w:spacing w:val="-4"/>
          <w:vertAlign w:val="baseline"/>
        </w:rPr>
        <w:t> </w:t>
      </w:r>
      <w:r>
        <w:rPr>
          <w:vertAlign w:val="baseline"/>
        </w:rPr>
        <w:t>on</w:t>
      </w:r>
      <w:r>
        <w:rPr>
          <w:spacing w:val="-5"/>
          <w:vertAlign w:val="baseline"/>
        </w:rPr>
        <w:t> </w:t>
      </w:r>
      <w:r>
        <w:rPr>
          <w:vertAlign w:val="baseline"/>
        </w:rPr>
        <w:t>it.</w:t>
      </w:r>
      <w:r>
        <w:rPr>
          <w:vertAlign w:val="superscript"/>
        </w:rPr>
        <w:t>416</w:t>
      </w:r>
      <w:r>
        <w:rPr>
          <w:spacing w:val="-5"/>
          <w:vertAlign w:val="baseline"/>
        </w:rPr>
        <w:t> </w:t>
      </w:r>
      <w:r>
        <w:rPr>
          <w:vertAlign w:val="baseline"/>
        </w:rPr>
        <w:t>The</w:t>
      </w:r>
      <w:r>
        <w:rPr>
          <w:spacing w:val="-4"/>
          <w:vertAlign w:val="baseline"/>
        </w:rPr>
        <w:t> </w:t>
      </w:r>
      <w:r>
        <w:rPr>
          <w:vertAlign w:val="baseline"/>
        </w:rPr>
        <w:t>IHREC</w:t>
      </w:r>
      <w:r>
        <w:rPr>
          <w:spacing w:val="-5"/>
          <w:vertAlign w:val="baseline"/>
        </w:rPr>
        <w:t> </w:t>
      </w:r>
      <w:r>
        <w:rPr>
          <w:vertAlign w:val="baseline"/>
        </w:rPr>
        <w:t>has</w:t>
      </w:r>
      <w:r>
        <w:rPr>
          <w:spacing w:val="-5"/>
          <w:vertAlign w:val="baseline"/>
        </w:rPr>
        <w:t> </w:t>
      </w:r>
      <w:r>
        <w:rPr>
          <w:vertAlign w:val="baseline"/>
        </w:rPr>
        <w:t>also</w:t>
      </w:r>
      <w:r>
        <w:rPr>
          <w:spacing w:val="-5"/>
          <w:vertAlign w:val="baseline"/>
        </w:rPr>
        <w:t> </w:t>
      </w:r>
      <w:r>
        <w:rPr>
          <w:vertAlign w:val="baseline"/>
        </w:rPr>
        <w:t>noted</w:t>
      </w:r>
      <w:r>
        <w:rPr>
          <w:spacing w:val="-5"/>
          <w:vertAlign w:val="baseline"/>
        </w:rPr>
        <w:t> </w:t>
      </w:r>
      <w:r>
        <w:rPr>
          <w:vertAlign w:val="baseline"/>
        </w:rPr>
        <w:t>the</w:t>
      </w:r>
      <w:r>
        <w:rPr>
          <w:spacing w:val="-4"/>
          <w:vertAlign w:val="baseline"/>
        </w:rPr>
        <w:t> </w:t>
      </w:r>
      <w:r>
        <w:rPr>
          <w:vertAlign w:val="baseline"/>
        </w:rPr>
        <w:t>guidance</w:t>
      </w:r>
      <w:r>
        <w:rPr>
          <w:spacing w:val="-4"/>
          <w:vertAlign w:val="baseline"/>
        </w:rPr>
        <w:t> </w:t>
      </w:r>
      <w:r>
        <w:rPr>
          <w:vertAlign w:val="baseline"/>
        </w:rPr>
        <w:t>from</w:t>
      </w:r>
      <w:r>
        <w:rPr>
          <w:spacing w:val="-4"/>
          <w:vertAlign w:val="baseline"/>
        </w:rPr>
        <w:t> </w:t>
      </w:r>
      <w:r>
        <w:rPr>
          <w:vertAlign w:val="baseline"/>
        </w:rPr>
        <w:t>the</w:t>
      </w:r>
      <w:r>
        <w:rPr>
          <w:spacing w:val="-4"/>
          <w:vertAlign w:val="baseline"/>
        </w:rPr>
        <w:t> </w:t>
      </w:r>
      <w:r>
        <w:rPr>
          <w:vertAlign w:val="baseline"/>
        </w:rPr>
        <w:t>EU</w:t>
      </w:r>
      <w:r>
        <w:rPr>
          <w:spacing w:val="-4"/>
          <w:vertAlign w:val="baseline"/>
        </w:rPr>
        <w:t> </w:t>
      </w:r>
      <w:r>
        <w:rPr>
          <w:vertAlign w:val="baseline"/>
        </w:rPr>
        <w:t>on</w:t>
      </w:r>
      <w:r>
        <w:rPr>
          <w:spacing w:val="-5"/>
          <w:vertAlign w:val="baseline"/>
        </w:rPr>
        <w:t> </w:t>
      </w:r>
      <w:r>
        <w:rPr>
          <w:vertAlign w:val="baseline"/>
        </w:rPr>
        <w:t>equality</w:t>
      </w:r>
    </w:p>
    <w:p>
      <w:pPr>
        <w:pStyle w:val="BodyText"/>
        <w:spacing w:line="232" w:lineRule="auto"/>
        <w:ind w:left="720" w:right="1170"/>
      </w:pPr>
      <w:r>
        <w:rPr/>
        <w:t>data</w:t>
      </w:r>
      <w:r>
        <w:rPr>
          <w:spacing w:val="-8"/>
        </w:rPr>
        <w:t> </w:t>
      </w:r>
      <w:r>
        <w:rPr/>
        <w:t>collection</w:t>
      </w:r>
      <w:r>
        <w:rPr>
          <w:spacing w:val="-8"/>
        </w:rPr>
        <w:t> </w:t>
      </w:r>
      <w:r>
        <w:rPr/>
        <w:t>and</w:t>
      </w:r>
      <w:r>
        <w:rPr>
          <w:spacing w:val="-8"/>
        </w:rPr>
        <w:t> </w:t>
      </w:r>
      <w:r>
        <w:rPr/>
        <w:t>the</w:t>
      </w:r>
      <w:r>
        <w:rPr>
          <w:spacing w:val="-7"/>
        </w:rPr>
        <w:t> </w:t>
      </w:r>
      <w:r>
        <w:rPr/>
        <w:t>work</w:t>
      </w:r>
      <w:r>
        <w:rPr>
          <w:spacing w:val="-7"/>
        </w:rPr>
        <w:t> </w:t>
      </w:r>
      <w:r>
        <w:rPr/>
        <w:t>of</w:t>
      </w:r>
      <w:r>
        <w:rPr>
          <w:spacing w:val="-8"/>
        </w:rPr>
        <w:t> </w:t>
      </w:r>
      <w:r>
        <w:rPr/>
        <w:t>the</w:t>
      </w:r>
      <w:r>
        <w:rPr>
          <w:spacing w:val="-7"/>
        </w:rPr>
        <w:t> </w:t>
      </w:r>
      <w:r>
        <w:rPr/>
        <w:t>EU</w:t>
      </w:r>
      <w:r>
        <w:rPr>
          <w:spacing w:val="-7"/>
        </w:rPr>
        <w:t> </w:t>
      </w:r>
      <w:r>
        <w:rPr/>
        <w:t>Subgroup</w:t>
      </w:r>
      <w:r>
        <w:rPr>
          <w:spacing w:val="-8"/>
        </w:rPr>
        <w:t> </w:t>
      </w:r>
      <w:r>
        <w:rPr/>
        <w:t>on</w:t>
      </w:r>
      <w:r>
        <w:rPr>
          <w:spacing w:val="-8"/>
        </w:rPr>
        <w:t> </w:t>
      </w:r>
      <w:r>
        <w:rPr/>
        <w:t>Equality</w:t>
      </w:r>
      <w:r>
        <w:rPr>
          <w:spacing w:val="-7"/>
        </w:rPr>
        <w:t> </w:t>
      </w:r>
      <w:r>
        <w:rPr/>
        <w:t>Data.</w:t>
      </w:r>
      <w:r>
        <w:rPr>
          <w:vertAlign w:val="superscript"/>
        </w:rPr>
        <w:t>417</w:t>
      </w:r>
      <w:r>
        <w:rPr>
          <w:spacing w:val="-8"/>
          <w:vertAlign w:val="baseline"/>
        </w:rPr>
        <w:t> </w:t>
      </w:r>
      <w:r>
        <w:rPr>
          <w:vertAlign w:val="baseline"/>
        </w:rPr>
        <w:t>This</w:t>
      </w:r>
      <w:r>
        <w:rPr>
          <w:spacing w:val="-8"/>
          <w:vertAlign w:val="baseline"/>
        </w:rPr>
        <w:t> </w:t>
      </w:r>
      <w:r>
        <w:rPr>
          <w:vertAlign w:val="baseline"/>
        </w:rPr>
        <w:t>Subgroup does have representation from Norway which is not an EU member state. Given the centrality of the Annex 1 Directives to Northern Ireland we find there is an opportunity here for more cooperation were the Subgroup also to include a Northern Ireland representative. The ECNI has frequently commented on the lack of adequate equality data in Northern Ireland</w:t>
      </w:r>
      <w:r>
        <w:rPr>
          <w:vertAlign w:val="superscript"/>
        </w:rPr>
        <w:t>418</w:t>
      </w:r>
      <w:r>
        <w:rPr>
          <w:vertAlign w:val="baseline"/>
        </w:rPr>
        <w:t> and so it is recommended that</w:t>
      </w:r>
    </w:p>
    <w:p>
      <w:pPr>
        <w:pStyle w:val="BodyText"/>
        <w:spacing w:line="232" w:lineRule="auto"/>
        <w:ind w:left="720" w:right="1250"/>
      </w:pPr>
      <w:r>
        <w:rPr/>
        <w:t>the</w:t>
      </w:r>
      <w:r>
        <w:rPr>
          <w:spacing w:val="-6"/>
        </w:rPr>
        <w:t> </w:t>
      </w:r>
      <w:r>
        <w:rPr/>
        <w:t>Northern</w:t>
      </w:r>
      <w:r>
        <w:rPr>
          <w:spacing w:val="-7"/>
        </w:rPr>
        <w:t> </w:t>
      </w:r>
      <w:r>
        <w:rPr/>
        <w:t>Ireland</w:t>
      </w:r>
      <w:r>
        <w:rPr>
          <w:spacing w:val="-7"/>
        </w:rPr>
        <w:t> </w:t>
      </w:r>
      <w:r>
        <w:rPr/>
        <w:t>authorities</w:t>
      </w:r>
      <w:r>
        <w:rPr>
          <w:spacing w:val="-7"/>
        </w:rPr>
        <w:t> </w:t>
      </w:r>
      <w:r>
        <w:rPr/>
        <w:t>should</w:t>
      </w:r>
      <w:r>
        <w:rPr>
          <w:spacing w:val="-7"/>
        </w:rPr>
        <w:t> </w:t>
      </w:r>
      <w:r>
        <w:rPr/>
        <w:t>monitor</w:t>
      </w:r>
      <w:r>
        <w:rPr>
          <w:spacing w:val="-6"/>
        </w:rPr>
        <w:t> </w:t>
      </w:r>
      <w:r>
        <w:rPr/>
        <w:t>the</w:t>
      </w:r>
      <w:r>
        <w:rPr>
          <w:spacing w:val="-6"/>
        </w:rPr>
        <w:t> </w:t>
      </w:r>
      <w:r>
        <w:rPr/>
        <w:t>development</w:t>
      </w:r>
      <w:r>
        <w:rPr>
          <w:spacing w:val="-6"/>
        </w:rPr>
        <w:t> </w:t>
      </w:r>
      <w:r>
        <w:rPr/>
        <w:t>of</w:t>
      </w:r>
      <w:r>
        <w:rPr>
          <w:spacing w:val="-7"/>
        </w:rPr>
        <w:t> </w:t>
      </w:r>
      <w:r>
        <w:rPr/>
        <w:t>the</w:t>
      </w:r>
      <w:r>
        <w:rPr>
          <w:spacing w:val="-6"/>
        </w:rPr>
        <w:t> </w:t>
      </w:r>
      <w:r>
        <w:rPr/>
        <w:t>Strategy in Ireland to see if it provides a model for improving equality data collection in Northern Ireland.</w:t>
      </w:r>
    </w:p>
    <w:p>
      <w:pPr>
        <w:pStyle w:val="BodyText"/>
        <w:spacing w:before="3"/>
        <w:rPr>
          <w:sz w:val="18"/>
        </w:rPr>
      </w:pPr>
      <w:r>
        <w:rPr/>
        <mc:AlternateContent>
          <mc:Choice Requires="wps">
            <w:drawing>
              <wp:anchor distT="0" distB="0" distL="0" distR="0" allowOverlap="1" layoutInCell="1" locked="0" behindDoc="1" simplePos="0" relativeHeight="487712256">
                <wp:simplePos x="0" y="0"/>
                <wp:positionH relativeFrom="page">
                  <wp:posOffset>647994</wp:posOffset>
                </wp:positionH>
                <wp:positionV relativeFrom="paragraph">
                  <wp:posOffset>157121</wp:posOffset>
                </wp:positionV>
                <wp:extent cx="6012180" cy="1232535"/>
                <wp:effectExtent l="0" t="0" r="0" b="0"/>
                <wp:wrapTopAndBottom/>
                <wp:docPr id="658" name="Group 658"/>
                <wp:cNvGraphicFramePr>
                  <a:graphicFrameLocks/>
                </wp:cNvGraphicFramePr>
                <a:graphic>
                  <a:graphicData uri="http://schemas.microsoft.com/office/word/2010/wordprocessingGroup">
                    <wpg:wgp>
                      <wpg:cNvPr id="658" name="Group 658"/>
                      <wpg:cNvGrpSpPr/>
                      <wpg:grpSpPr>
                        <a:xfrm>
                          <a:off x="0" y="0"/>
                          <a:ext cx="6012180" cy="1232535"/>
                          <a:chExt cx="6012180" cy="1232535"/>
                        </a:xfrm>
                      </wpg:grpSpPr>
                      <wps:wsp>
                        <wps:cNvPr id="659" name="Graphic 659"/>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660" name="Textbox 660"/>
                        <wps:cNvSpPr txBox="1"/>
                        <wps:spPr>
                          <a:xfrm>
                            <a:off x="0" y="0"/>
                            <a:ext cx="6012180" cy="1232535"/>
                          </a:xfrm>
                          <a:prstGeom prst="rect">
                            <a:avLst/>
                          </a:prstGeom>
                        </wps:spPr>
                        <wps:txbx>
                          <w:txbxContent>
                            <w:p>
                              <w:pPr>
                                <w:spacing w:line="232" w:lineRule="auto" w:before="121"/>
                                <w:ind w:left="340" w:right="106" w:firstLine="0"/>
                                <w:jc w:val="left"/>
                                <w:rPr>
                                  <w:b/>
                                  <w:sz w:val="28"/>
                                </w:rPr>
                              </w:pPr>
                              <w:r>
                                <w:rPr>
                                  <w:b/>
                                  <w:color w:val="164194"/>
                                  <w:sz w:val="28"/>
                                </w:rPr>
                                <w:t>We recommend that the NI Executive, relevant NI departments and others, address gaps in equality data, ensure where possible that equality data is comparable</w:t>
                              </w:r>
                              <w:r>
                                <w:rPr>
                                  <w:b/>
                                  <w:color w:val="164194"/>
                                  <w:spacing w:val="-10"/>
                                  <w:sz w:val="28"/>
                                </w:rPr>
                                <w:t> </w:t>
                              </w:r>
                              <w:r>
                                <w:rPr>
                                  <w:b/>
                                  <w:color w:val="164194"/>
                                  <w:sz w:val="28"/>
                                </w:rPr>
                                <w:t>with</w:t>
                              </w:r>
                              <w:r>
                                <w:rPr>
                                  <w:b/>
                                  <w:color w:val="164194"/>
                                  <w:spacing w:val="-10"/>
                                  <w:sz w:val="28"/>
                                </w:rPr>
                                <w:t> </w:t>
                              </w:r>
                              <w:r>
                                <w:rPr>
                                  <w:b/>
                                  <w:color w:val="164194"/>
                                  <w:sz w:val="28"/>
                                </w:rPr>
                                <w:t>international</w:t>
                              </w:r>
                              <w:r>
                                <w:rPr>
                                  <w:b/>
                                  <w:color w:val="164194"/>
                                  <w:spacing w:val="-10"/>
                                  <w:sz w:val="28"/>
                                </w:rPr>
                                <w:t> </w:t>
                              </w:r>
                              <w:r>
                                <w:rPr>
                                  <w:b/>
                                  <w:color w:val="164194"/>
                                  <w:sz w:val="28"/>
                                </w:rPr>
                                <w:t>frameworks</w:t>
                              </w:r>
                              <w:r>
                                <w:rPr>
                                  <w:b/>
                                  <w:color w:val="164194"/>
                                  <w:spacing w:val="-10"/>
                                  <w:sz w:val="28"/>
                                </w:rPr>
                                <w:t> </w:t>
                              </w:r>
                              <w:r>
                                <w:rPr>
                                  <w:b/>
                                  <w:color w:val="164194"/>
                                  <w:sz w:val="28"/>
                                </w:rPr>
                                <w:t>including</w:t>
                              </w:r>
                              <w:r>
                                <w:rPr>
                                  <w:b/>
                                  <w:color w:val="164194"/>
                                  <w:spacing w:val="-11"/>
                                  <w:sz w:val="28"/>
                                </w:rPr>
                                <w:t> </w:t>
                              </w:r>
                              <w:r>
                                <w:rPr>
                                  <w:b/>
                                  <w:color w:val="164194"/>
                                  <w:sz w:val="28"/>
                                </w:rPr>
                                <w:t>at</w:t>
                              </w:r>
                              <w:r>
                                <w:rPr>
                                  <w:b/>
                                  <w:color w:val="164194"/>
                                  <w:spacing w:val="-10"/>
                                  <w:sz w:val="28"/>
                                </w:rPr>
                                <w:t> </w:t>
                              </w:r>
                              <w:r>
                                <w:rPr>
                                  <w:b/>
                                  <w:color w:val="164194"/>
                                  <w:sz w:val="28"/>
                                </w:rPr>
                                <w:t>EU</w:t>
                              </w:r>
                              <w:r>
                                <w:rPr>
                                  <w:b/>
                                  <w:color w:val="164194"/>
                                  <w:spacing w:val="-10"/>
                                  <w:sz w:val="28"/>
                                </w:rPr>
                                <w:t> </w:t>
                              </w:r>
                              <w:r>
                                <w:rPr>
                                  <w:b/>
                                  <w:color w:val="164194"/>
                                  <w:sz w:val="28"/>
                                </w:rPr>
                                <w:t>level,</w:t>
                              </w:r>
                              <w:r>
                                <w:rPr>
                                  <w:b/>
                                  <w:color w:val="164194"/>
                                  <w:spacing w:val="-10"/>
                                  <w:sz w:val="28"/>
                                </w:rPr>
                                <w:t> </w:t>
                              </w:r>
                              <w:r>
                                <w:rPr>
                                  <w:b/>
                                  <w:color w:val="164194"/>
                                  <w:sz w:val="28"/>
                                </w:rPr>
                                <w:t>and</w:t>
                              </w:r>
                              <w:r>
                                <w:rPr>
                                  <w:b/>
                                  <w:color w:val="164194"/>
                                  <w:spacing w:val="-10"/>
                                  <w:sz w:val="28"/>
                                </w:rPr>
                                <w:t> </w:t>
                              </w:r>
                              <w:r>
                                <w:rPr>
                                  <w:b/>
                                  <w:color w:val="164194"/>
                                  <w:sz w:val="28"/>
                                </w:rPr>
                                <w:t>consider any examples of best practice from the EU Equality Data Collection guidance and from any developments on a National Equality Data Strategy in Ireland.</w:t>
                              </w:r>
                            </w:p>
                          </w:txbxContent>
                        </wps:txbx>
                        <wps:bodyPr wrap="square" lIns="0" tIns="0" rIns="0" bIns="0" rtlCol="0">
                          <a:noAutofit/>
                        </wps:bodyPr>
                      </wps:wsp>
                    </wpg:wgp>
                  </a:graphicData>
                </a:graphic>
              </wp:anchor>
            </w:drawing>
          </mc:Choice>
          <mc:Fallback>
            <w:pict>
              <v:group style="position:absolute;margin-left:51.023201pt;margin-top:12.371784pt;width:473.4pt;height:97.05pt;mso-position-horizontal-relative:page;mso-position-vertical-relative:paragraph;z-index:-15604224;mso-wrap-distance-left:0;mso-wrap-distance-right:0" id="docshapegroup533" coordorigin="1020,247" coordsize="9468,1941">
                <v:shape style="position:absolute;left:1020;top:247;width:9468;height:1941" id="docshape534" coordorigin="1020,247" coordsize="9468,1941" path="m10261,247l1247,247,1176,259,1113,291,1064,340,1032,403,1020,474,1020,1961,1032,2032,1064,2095,1113,2144,1176,2176,1247,2188,10261,2188,10333,2176,10395,2144,10444,2095,10477,2032,10488,1961,10488,474,10477,403,10444,340,10395,291,10333,259,10261,247xe" filled="true" fillcolor="#e9f3fc" stroked="false">
                  <v:path arrowok="t"/>
                  <v:fill type="solid"/>
                </v:shape>
                <v:shape style="position:absolute;left:1020;top:247;width:9468;height:1941" type="#_x0000_t202" id="docshape535" filled="false" stroked="false">
                  <v:textbox inset="0,0,0,0">
                    <w:txbxContent>
                      <w:p>
                        <w:pPr>
                          <w:spacing w:line="232" w:lineRule="auto" w:before="121"/>
                          <w:ind w:left="340" w:right="106" w:firstLine="0"/>
                          <w:jc w:val="left"/>
                          <w:rPr>
                            <w:b/>
                            <w:sz w:val="28"/>
                          </w:rPr>
                        </w:pPr>
                        <w:r>
                          <w:rPr>
                            <w:b/>
                            <w:color w:val="164194"/>
                            <w:sz w:val="28"/>
                          </w:rPr>
                          <w:t>We recommend that the NI Executive, relevant NI departments and others, address gaps in equality data, ensure where possible that equality data is comparable</w:t>
                        </w:r>
                        <w:r>
                          <w:rPr>
                            <w:b/>
                            <w:color w:val="164194"/>
                            <w:spacing w:val="-10"/>
                            <w:sz w:val="28"/>
                          </w:rPr>
                          <w:t> </w:t>
                        </w:r>
                        <w:r>
                          <w:rPr>
                            <w:b/>
                            <w:color w:val="164194"/>
                            <w:sz w:val="28"/>
                          </w:rPr>
                          <w:t>with</w:t>
                        </w:r>
                        <w:r>
                          <w:rPr>
                            <w:b/>
                            <w:color w:val="164194"/>
                            <w:spacing w:val="-10"/>
                            <w:sz w:val="28"/>
                          </w:rPr>
                          <w:t> </w:t>
                        </w:r>
                        <w:r>
                          <w:rPr>
                            <w:b/>
                            <w:color w:val="164194"/>
                            <w:sz w:val="28"/>
                          </w:rPr>
                          <w:t>international</w:t>
                        </w:r>
                        <w:r>
                          <w:rPr>
                            <w:b/>
                            <w:color w:val="164194"/>
                            <w:spacing w:val="-10"/>
                            <w:sz w:val="28"/>
                          </w:rPr>
                          <w:t> </w:t>
                        </w:r>
                        <w:r>
                          <w:rPr>
                            <w:b/>
                            <w:color w:val="164194"/>
                            <w:sz w:val="28"/>
                          </w:rPr>
                          <w:t>frameworks</w:t>
                        </w:r>
                        <w:r>
                          <w:rPr>
                            <w:b/>
                            <w:color w:val="164194"/>
                            <w:spacing w:val="-10"/>
                            <w:sz w:val="28"/>
                          </w:rPr>
                          <w:t> </w:t>
                        </w:r>
                        <w:r>
                          <w:rPr>
                            <w:b/>
                            <w:color w:val="164194"/>
                            <w:sz w:val="28"/>
                          </w:rPr>
                          <w:t>including</w:t>
                        </w:r>
                        <w:r>
                          <w:rPr>
                            <w:b/>
                            <w:color w:val="164194"/>
                            <w:spacing w:val="-11"/>
                            <w:sz w:val="28"/>
                          </w:rPr>
                          <w:t> </w:t>
                        </w:r>
                        <w:r>
                          <w:rPr>
                            <w:b/>
                            <w:color w:val="164194"/>
                            <w:sz w:val="28"/>
                          </w:rPr>
                          <w:t>at</w:t>
                        </w:r>
                        <w:r>
                          <w:rPr>
                            <w:b/>
                            <w:color w:val="164194"/>
                            <w:spacing w:val="-10"/>
                            <w:sz w:val="28"/>
                          </w:rPr>
                          <w:t> </w:t>
                        </w:r>
                        <w:r>
                          <w:rPr>
                            <w:b/>
                            <w:color w:val="164194"/>
                            <w:sz w:val="28"/>
                          </w:rPr>
                          <w:t>EU</w:t>
                        </w:r>
                        <w:r>
                          <w:rPr>
                            <w:b/>
                            <w:color w:val="164194"/>
                            <w:spacing w:val="-10"/>
                            <w:sz w:val="28"/>
                          </w:rPr>
                          <w:t> </w:t>
                        </w:r>
                        <w:r>
                          <w:rPr>
                            <w:b/>
                            <w:color w:val="164194"/>
                            <w:sz w:val="28"/>
                          </w:rPr>
                          <w:t>level,</w:t>
                        </w:r>
                        <w:r>
                          <w:rPr>
                            <w:b/>
                            <w:color w:val="164194"/>
                            <w:spacing w:val="-10"/>
                            <w:sz w:val="28"/>
                          </w:rPr>
                          <w:t> </w:t>
                        </w:r>
                        <w:r>
                          <w:rPr>
                            <w:b/>
                            <w:color w:val="164194"/>
                            <w:sz w:val="28"/>
                          </w:rPr>
                          <w:t>and</w:t>
                        </w:r>
                        <w:r>
                          <w:rPr>
                            <w:b/>
                            <w:color w:val="164194"/>
                            <w:spacing w:val="-10"/>
                            <w:sz w:val="28"/>
                          </w:rPr>
                          <w:t> </w:t>
                        </w:r>
                        <w:r>
                          <w:rPr>
                            <w:b/>
                            <w:color w:val="164194"/>
                            <w:sz w:val="28"/>
                          </w:rPr>
                          <w:t>consider any examples of best practice from the EU Equality Data Collection guidance and from any developments on a National Equality Data Strategy in Ireland.</w:t>
                        </w:r>
                      </w:p>
                    </w:txbxContent>
                  </v:textbox>
                  <w10:wrap type="none"/>
                </v:shape>
                <w10:wrap type="topAndBottom"/>
              </v:group>
            </w:pict>
          </mc:Fallback>
        </mc:AlternateContent>
      </w:r>
    </w:p>
    <w:p>
      <w:pPr>
        <w:pStyle w:val="BodyText"/>
        <w:rPr>
          <w:sz w:val="20"/>
        </w:rPr>
      </w:pPr>
    </w:p>
    <w:p>
      <w:pPr>
        <w:pStyle w:val="BodyText"/>
        <w:rPr>
          <w:sz w:val="20"/>
        </w:rPr>
      </w:pPr>
    </w:p>
    <w:p>
      <w:pPr>
        <w:pStyle w:val="BodyText"/>
        <w:spacing w:before="59"/>
        <w:rPr>
          <w:sz w:val="20"/>
        </w:rPr>
      </w:pPr>
      <w:r>
        <w:rPr/>
        <mc:AlternateContent>
          <mc:Choice Requires="wps">
            <w:drawing>
              <wp:anchor distT="0" distB="0" distL="0" distR="0" allowOverlap="1" layoutInCell="1" locked="0" behindDoc="1" simplePos="0" relativeHeight="487712768">
                <wp:simplePos x="0" y="0"/>
                <wp:positionH relativeFrom="page">
                  <wp:posOffset>647999</wp:posOffset>
                </wp:positionH>
                <wp:positionV relativeFrom="paragraph">
                  <wp:posOffset>208039</wp:posOffset>
                </wp:positionV>
                <wp:extent cx="6012180" cy="1270"/>
                <wp:effectExtent l="0" t="0" r="0" b="0"/>
                <wp:wrapTopAndBottom/>
                <wp:docPr id="661" name="Graphic 661"/>
                <wp:cNvGraphicFramePr>
                  <a:graphicFrameLocks/>
                </wp:cNvGraphicFramePr>
                <a:graphic>
                  <a:graphicData uri="http://schemas.microsoft.com/office/word/2010/wordprocessingShape">
                    <wps:wsp>
                      <wps:cNvPr id="661" name="Graphic 66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6.381037pt;width:473.4pt;height:.1pt;mso-position-horizontal-relative:page;mso-position-vertical-relative:paragraph;z-index:-15603712;mso-wrap-distance-left:0;mso-wrap-distance-right:0" id="docshape536" coordorigin="1020,328" coordsize="9468,0" path="m1020,328l10488,328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241" w:hanging="567"/>
        <w:jc w:val="left"/>
        <w:rPr>
          <w:sz w:val="18"/>
        </w:rPr>
      </w:pPr>
      <w:r>
        <w:rPr>
          <w:sz w:val="18"/>
        </w:rPr>
        <w:t>Government</w:t>
      </w:r>
      <w:r>
        <w:rPr>
          <w:spacing w:val="-4"/>
          <w:sz w:val="18"/>
        </w:rPr>
        <w:t> </w:t>
      </w:r>
      <w:r>
        <w:rPr>
          <w:sz w:val="18"/>
        </w:rPr>
        <w:t>of</w:t>
      </w:r>
      <w:r>
        <w:rPr>
          <w:spacing w:val="-5"/>
          <w:sz w:val="18"/>
        </w:rPr>
        <w:t> </w:t>
      </w:r>
      <w:r>
        <w:rPr>
          <w:sz w:val="18"/>
        </w:rPr>
        <w:t>Ireland,</w:t>
      </w:r>
      <w:r>
        <w:rPr>
          <w:spacing w:val="-4"/>
          <w:sz w:val="18"/>
        </w:rPr>
        <w:t> </w:t>
      </w:r>
      <w:hyperlink r:id="rId113">
        <w:r>
          <w:rPr>
            <w:color w:val="1D71B8"/>
            <w:sz w:val="18"/>
            <w:u w:val="single" w:color="1D71B8"/>
          </w:rPr>
          <w:t>‘Minister</w:t>
        </w:r>
        <w:r>
          <w:rPr>
            <w:color w:val="1D71B8"/>
            <w:spacing w:val="-4"/>
            <w:sz w:val="18"/>
            <w:u w:val="single" w:color="1D71B8"/>
          </w:rPr>
          <w:t> </w:t>
        </w:r>
        <w:r>
          <w:rPr>
            <w:color w:val="1D71B8"/>
            <w:sz w:val="18"/>
            <w:u w:val="single" w:color="1D71B8"/>
          </w:rPr>
          <w:t>O’Gorman</w:t>
        </w:r>
        <w:r>
          <w:rPr>
            <w:color w:val="1D71B8"/>
            <w:spacing w:val="-5"/>
            <w:sz w:val="18"/>
            <w:u w:val="single" w:color="1D71B8"/>
          </w:rPr>
          <w:t> </w:t>
        </w:r>
        <w:r>
          <w:rPr>
            <w:color w:val="1D71B8"/>
            <w:sz w:val="18"/>
            <w:u w:val="single" w:color="1D71B8"/>
          </w:rPr>
          <w:t>announces</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development</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a</w:t>
        </w:r>
        <w:r>
          <w:rPr>
            <w:color w:val="1D71B8"/>
            <w:spacing w:val="-5"/>
            <w:sz w:val="18"/>
            <w:u w:val="single" w:color="1D71B8"/>
          </w:rPr>
          <w:t> </w:t>
        </w:r>
        <w:r>
          <w:rPr>
            <w:color w:val="1D71B8"/>
            <w:sz w:val="18"/>
            <w:u w:val="single" w:color="1D71B8"/>
          </w:rPr>
          <w:t>National</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Data</w:t>
        </w:r>
        <w:r>
          <w:rPr>
            <w:color w:val="1D71B8"/>
            <w:spacing w:val="-5"/>
            <w:sz w:val="18"/>
            <w:u w:val="single" w:color="1D71B8"/>
          </w:rPr>
          <w:t> </w:t>
        </w:r>
        <w:r>
          <w:rPr>
            <w:color w:val="1D71B8"/>
            <w:sz w:val="18"/>
            <w:u w:val="single" w:color="1D71B8"/>
          </w:rPr>
          <w:t>Strategy’</w:t>
        </w:r>
      </w:hyperlink>
      <w:r>
        <w:rPr>
          <w:color w:val="1D71B8"/>
          <w:spacing w:val="-5"/>
          <w:sz w:val="18"/>
          <w:u w:val="none"/>
        </w:rPr>
        <w:t> </w:t>
      </w:r>
      <w:r>
        <w:rPr>
          <w:sz w:val="18"/>
          <w:u w:val="none"/>
        </w:rPr>
        <w:t>(21</w:t>
      </w:r>
      <w:r>
        <w:rPr>
          <w:spacing w:val="-4"/>
          <w:sz w:val="18"/>
          <w:u w:val="none"/>
        </w:rPr>
        <w:t> </w:t>
      </w:r>
      <w:r>
        <w:rPr>
          <w:sz w:val="18"/>
          <w:u w:val="none"/>
        </w:rPr>
        <w:t>March </w:t>
      </w:r>
      <w:r>
        <w:rPr>
          <w:spacing w:val="-2"/>
          <w:sz w:val="18"/>
          <w:u w:val="none"/>
        </w:rPr>
        <w:t>2022).</w:t>
      </w:r>
    </w:p>
    <w:p>
      <w:pPr>
        <w:pStyle w:val="ListParagraph"/>
        <w:numPr>
          <w:ilvl w:val="0"/>
          <w:numId w:val="18"/>
        </w:numPr>
        <w:tabs>
          <w:tab w:pos="1287" w:val="left" w:leader="none"/>
        </w:tabs>
        <w:spacing w:line="240" w:lineRule="auto" w:before="1" w:after="0"/>
        <w:ind w:left="1287" w:right="0" w:hanging="567"/>
        <w:jc w:val="left"/>
        <w:rPr>
          <w:sz w:val="18"/>
        </w:rPr>
      </w:pPr>
      <w:r>
        <w:rPr>
          <w:sz w:val="18"/>
        </w:rPr>
        <w:t>Council</w:t>
      </w:r>
      <w:r>
        <w:rPr>
          <w:spacing w:val="-6"/>
          <w:sz w:val="18"/>
        </w:rPr>
        <w:t> </w:t>
      </w:r>
      <w:r>
        <w:rPr>
          <w:sz w:val="18"/>
        </w:rPr>
        <w:t>of</w:t>
      </w:r>
      <w:r>
        <w:rPr>
          <w:spacing w:val="-6"/>
          <w:sz w:val="18"/>
        </w:rPr>
        <w:t> </w:t>
      </w:r>
      <w:r>
        <w:rPr>
          <w:sz w:val="18"/>
        </w:rPr>
        <w:t>Europe</w:t>
      </w:r>
      <w:r>
        <w:rPr>
          <w:spacing w:val="-5"/>
          <w:sz w:val="18"/>
        </w:rPr>
        <w:t> </w:t>
      </w:r>
      <w:r>
        <w:rPr>
          <w:color w:val="1D71B8"/>
          <w:sz w:val="18"/>
          <w:u w:val="single" w:color="1D71B8"/>
        </w:rPr>
        <w:t>‘Creating</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conditions</w:t>
      </w:r>
      <w:r>
        <w:rPr>
          <w:color w:val="1D71B8"/>
          <w:spacing w:val="-6"/>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an</w:t>
      </w:r>
      <w:r>
        <w:rPr>
          <w:color w:val="1D71B8"/>
          <w:spacing w:val="-5"/>
          <w:sz w:val="18"/>
          <w:u w:val="single" w:color="1D71B8"/>
        </w:rPr>
        <w:t> </w:t>
      </w:r>
      <w:r>
        <w:rPr>
          <w:color w:val="1D71B8"/>
          <w:sz w:val="18"/>
          <w:u w:val="single" w:color="1D71B8"/>
        </w:rPr>
        <w:t>equality</w:t>
      </w:r>
      <w:r>
        <w:rPr>
          <w:color w:val="1D71B8"/>
          <w:spacing w:val="-5"/>
          <w:sz w:val="18"/>
          <w:u w:val="single" w:color="1D71B8"/>
        </w:rPr>
        <w:t> </w:t>
      </w:r>
      <w:r>
        <w:rPr>
          <w:color w:val="1D71B8"/>
          <w:sz w:val="18"/>
          <w:u w:val="single" w:color="1D71B8"/>
        </w:rPr>
        <w:t>data</w:t>
      </w:r>
      <w:r>
        <w:rPr>
          <w:color w:val="1D71B8"/>
          <w:spacing w:val="-5"/>
          <w:sz w:val="18"/>
          <w:u w:val="single" w:color="1D71B8"/>
        </w:rPr>
        <w:t> </w:t>
      </w:r>
      <w:r>
        <w:rPr>
          <w:color w:val="1D71B8"/>
          <w:sz w:val="18"/>
          <w:u w:val="single" w:color="1D71B8"/>
        </w:rPr>
        <w:t>strategy</w:t>
      </w:r>
      <w:r>
        <w:rPr>
          <w:color w:val="1D71B8"/>
          <w:spacing w:val="-5"/>
          <w:sz w:val="18"/>
          <w:u w:val="single" w:color="1D71B8"/>
        </w:rPr>
        <w:t> </w:t>
      </w:r>
      <w:r>
        <w:rPr>
          <w:color w:val="1D71B8"/>
          <w:sz w:val="18"/>
          <w:u w:val="single" w:color="1D71B8"/>
        </w:rPr>
        <w:t>in</w:t>
      </w:r>
      <w:r>
        <w:rPr>
          <w:color w:val="1D71B8"/>
          <w:spacing w:val="-6"/>
          <w:sz w:val="18"/>
          <w:u w:val="single" w:color="1D71B8"/>
        </w:rPr>
        <w:t> </w:t>
      </w:r>
      <w:r>
        <w:rPr>
          <w:color w:val="1D71B8"/>
          <w:spacing w:val="-2"/>
          <w:sz w:val="18"/>
          <w:u w:val="single" w:color="1D71B8"/>
        </w:rPr>
        <w:t>Ireland’</w:t>
      </w:r>
      <w:r>
        <w:rPr>
          <w:spacing w:val="-2"/>
          <w:sz w:val="18"/>
          <w:u w:val="none"/>
        </w:rPr>
        <w:t>.</w:t>
      </w:r>
    </w:p>
    <w:p>
      <w:pPr>
        <w:pStyle w:val="ListParagraph"/>
        <w:numPr>
          <w:ilvl w:val="0"/>
          <w:numId w:val="18"/>
        </w:numPr>
        <w:tabs>
          <w:tab w:pos="1287" w:val="left" w:leader="none"/>
        </w:tabs>
        <w:spacing w:line="240" w:lineRule="auto" w:before="0" w:after="0"/>
        <w:ind w:left="1287" w:right="1454" w:hanging="567"/>
        <w:jc w:val="left"/>
        <w:rPr>
          <w:sz w:val="18"/>
        </w:rPr>
      </w:pPr>
      <w:r>
        <w:rPr>
          <w:sz w:val="18"/>
        </w:rPr>
        <w:t>Irish</w:t>
      </w:r>
      <w:r>
        <w:rPr>
          <w:spacing w:val="-5"/>
          <w:sz w:val="18"/>
        </w:rPr>
        <w:t> </w:t>
      </w:r>
      <w:r>
        <w:rPr>
          <w:sz w:val="18"/>
        </w:rPr>
        <w:t>Human</w:t>
      </w:r>
      <w:r>
        <w:rPr>
          <w:spacing w:val="-5"/>
          <w:sz w:val="18"/>
        </w:rPr>
        <w:t> </w:t>
      </w:r>
      <w:r>
        <w:rPr>
          <w:sz w:val="18"/>
        </w:rPr>
        <w:t>Rights</w:t>
      </w:r>
      <w:r>
        <w:rPr>
          <w:spacing w:val="-5"/>
          <w:sz w:val="18"/>
        </w:rPr>
        <w:t> </w:t>
      </w:r>
      <w:r>
        <w:rPr>
          <w:sz w:val="18"/>
        </w:rPr>
        <w:t>and</w:t>
      </w:r>
      <w:r>
        <w:rPr>
          <w:spacing w:val="-5"/>
          <w:sz w:val="18"/>
        </w:rPr>
        <w:t> </w:t>
      </w:r>
      <w:r>
        <w:rPr>
          <w:sz w:val="18"/>
        </w:rPr>
        <w:t>Equality</w:t>
      </w:r>
      <w:r>
        <w:rPr>
          <w:spacing w:val="-4"/>
          <w:sz w:val="18"/>
        </w:rPr>
        <w:t> </w:t>
      </w:r>
      <w:r>
        <w:rPr>
          <w:sz w:val="18"/>
        </w:rPr>
        <w:t>Commission,</w:t>
      </w:r>
      <w:r>
        <w:rPr>
          <w:spacing w:val="-5"/>
          <w:sz w:val="18"/>
        </w:rPr>
        <w:t> </w:t>
      </w:r>
      <w:hyperlink r:id="rId114">
        <w:r>
          <w:rPr>
            <w:color w:val="1D71B8"/>
            <w:sz w:val="18"/>
            <w:u w:val="single" w:color="1D71B8"/>
          </w:rPr>
          <w:t>Ireland</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International</w:t>
        </w:r>
        <w:r>
          <w:rPr>
            <w:color w:val="1D71B8"/>
            <w:spacing w:val="-5"/>
            <w:sz w:val="18"/>
            <w:u w:val="single" w:color="1D71B8"/>
          </w:rPr>
          <w:t> </w:t>
        </w:r>
        <w:r>
          <w:rPr>
            <w:color w:val="1D71B8"/>
            <w:sz w:val="18"/>
            <w:u w:val="single" w:color="1D71B8"/>
          </w:rPr>
          <w:t>Covenant</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Economic,</w:t>
        </w:r>
        <w:r>
          <w:rPr>
            <w:color w:val="1D71B8"/>
            <w:spacing w:val="-4"/>
            <w:sz w:val="18"/>
            <w:u w:val="single" w:color="1D71B8"/>
          </w:rPr>
          <w:t> </w:t>
        </w:r>
        <w:r>
          <w:rPr>
            <w:color w:val="1D71B8"/>
            <w:sz w:val="18"/>
            <w:u w:val="single" w:color="1D71B8"/>
          </w:rPr>
          <w:t>Social</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Cultural</w:t>
        </w:r>
      </w:hyperlink>
      <w:r>
        <w:rPr>
          <w:color w:val="1D71B8"/>
          <w:sz w:val="18"/>
          <w:u w:val="none"/>
        </w:rPr>
        <w:t> </w:t>
      </w:r>
      <w:hyperlink r:id="rId114">
        <w:r>
          <w:rPr>
            <w:color w:val="1D71B8"/>
            <w:sz w:val="18"/>
            <w:u w:val="single" w:color="1D71B8"/>
          </w:rPr>
          <w:t>Rights</w:t>
        </w:r>
      </w:hyperlink>
      <w:r>
        <w:rPr>
          <w:color w:val="1D71B8"/>
          <w:sz w:val="18"/>
          <w:u w:val="none"/>
        </w:rPr>
        <w:t> </w:t>
      </w:r>
      <w:r>
        <w:rPr>
          <w:sz w:val="18"/>
          <w:u w:val="none"/>
        </w:rPr>
        <w:t>(2024) 51-52.</w:t>
      </w:r>
    </w:p>
    <w:p>
      <w:pPr>
        <w:pStyle w:val="ListParagraph"/>
        <w:numPr>
          <w:ilvl w:val="0"/>
          <w:numId w:val="18"/>
        </w:numPr>
        <w:tabs>
          <w:tab w:pos="1287" w:val="left" w:leader="none"/>
        </w:tabs>
        <w:spacing w:line="240" w:lineRule="auto" w:before="1" w:after="0"/>
        <w:ind w:left="1287" w:right="0" w:hanging="567"/>
        <w:jc w:val="left"/>
        <w:rPr>
          <w:sz w:val="18"/>
        </w:rPr>
      </w:pPr>
      <w:hyperlink r:id="rId115">
        <w:r>
          <w:rPr>
            <w:color w:val="1D71B8"/>
            <w:sz w:val="18"/>
            <w:u w:val="single" w:color="1D71B8"/>
          </w:rPr>
          <w:t>Equality</w:t>
        </w:r>
        <w:r>
          <w:rPr>
            <w:color w:val="1D71B8"/>
            <w:spacing w:val="-5"/>
            <w:sz w:val="18"/>
            <w:u w:val="single" w:color="1D71B8"/>
          </w:rPr>
          <w:t> </w:t>
        </w:r>
        <w:r>
          <w:rPr>
            <w:color w:val="1D71B8"/>
            <w:sz w:val="18"/>
            <w:u w:val="single" w:color="1D71B8"/>
          </w:rPr>
          <w:t>Data</w:t>
        </w:r>
        <w:r>
          <w:rPr>
            <w:color w:val="1D71B8"/>
            <w:spacing w:val="-4"/>
            <w:sz w:val="18"/>
            <w:u w:val="single" w:color="1D71B8"/>
          </w:rPr>
          <w:t> </w:t>
        </w:r>
        <w:r>
          <w:rPr>
            <w:color w:val="1D71B8"/>
            <w:spacing w:val="-2"/>
            <w:sz w:val="18"/>
            <w:u w:val="single" w:color="1D71B8"/>
          </w:rPr>
          <w:t>Collection.</w:t>
        </w:r>
      </w:hyperlink>
    </w:p>
    <w:p>
      <w:pPr>
        <w:pStyle w:val="ListParagraph"/>
        <w:numPr>
          <w:ilvl w:val="0"/>
          <w:numId w:val="18"/>
        </w:numPr>
        <w:tabs>
          <w:tab w:pos="1287" w:val="left" w:leader="none"/>
        </w:tabs>
        <w:spacing w:line="240" w:lineRule="auto" w:before="0" w:after="0"/>
        <w:ind w:left="1287" w:right="1514" w:hanging="567"/>
        <w:jc w:val="left"/>
        <w:rPr>
          <w:sz w:val="18"/>
        </w:rPr>
      </w:pPr>
      <w:r>
        <w:rPr>
          <w:sz w:val="18"/>
        </w:rPr>
        <w:t>See</w:t>
      </w:r>
      <w:r>
        <w:rPr>
          <w:spacing w:val="-5"/>
          <w:sz w:val="18"/>
        </w:rPr>
        <w:t> </w:t>
      </w:r>
      <w:r>
        <w:rPr>
          <w:sz w:val="18"/>
        </w:rPr>
        <w:t>for</w:t>
      </w:r>
      <w:r>
        <w:rPr>
          <w:spacing w:val="-5"/>
          <w:sz w:val="18"/>
        </w:rPr>
        <w:t> </w:t>
      </w:r>
      <w:r>
        <w:rPr>
          <w:sz w:val="18"/>
        </w:rPr>
        <w:t>instance</w:t>
      </w:r>
      <w:r>
        <w:rPr>
          <w:spacing w:val="-5"/>
          <w:sz w:val="18"/>
        </w:rPr>
        <w:t> </w:t>
      </w:r>
      <w:r>
        <w:rPr>
          <w:sz w:val="18"/>
        </w:rPr>
        <w:t>ECNI,</w:t>
      </w:r>
      <w:r>
        <w:rPr>
          <w:spacing w:val="-6"/>
          <w:sz w:val="18"/>
        </w:rPr>
        <w:t> </w:t>
      </w:r>
      <w:hyperlink r:id="rId86">
        <w:r>
          <w:rPr>
            <w:color w:val="1D71B8"/>
            <w:sz w:val="18"/>
            <w:u w:val="single" w:color="1D71B8"/>
          </w:rPr>
          <w:t>Equality</w:t>
        </w:r>
        <w:r>
          <w:rPr>
            <w:color w:val="1D71B8"/>
            <w:spacing w:val="-5"/>
            <w:sz w:val="18"/>
            <w:u w:val="single" w:color="1D71B8"/>
          </w:rPr>
          <w:t> </w:t>
        </w:r>
        <w:r>
          <w:rPr>
            <w:color w:val="1D71B8"/>
            <w:sz w:val="18"/>
            <w:u w:val="single" w:color="1D71B8"/>
          </w:rPr>
          <w:t>in</w:t>
        </w:r>
        <w:r>
          <w:rPr>
            <w:color w:val="1D71B8"/>
            <w:spacing w:val="-6"/>
            <w:sz w:val="18"/>
            <w:u w:val="single" w:color="1D71B8"/>
          </w:rPr>
          <w:t> </w:t>
        </w:r>
        <w:r>
          <w:rPr>
            <w:color w:val="1D71B8"/>
            <w:sz w:val="18"/>
            <w:u w:val="single" w:color="1D71B8"/>
          </w:rPr>
          <w:t>Public</w:t>
        </w:r>
        <w:r>
          <w:rPr>
            <w:color w:val="1D71B8"/>
            <w:spacing w:val="-5"/>
            <w:sz w:val="18"/>
            <w:u w:val="single" w:color="1D71B8"/>
          </w:rPr>
          <w:t> </w:t>
        </w:r>
        <w:r>
          <w:rPr>
            <w:color w:val="1D71B8"/>
            <w:sz w:val="18"/>
            <w:u w:val="single" w:color="1D71B8"/>
          </w:rPr>
          <w:t>Particip</w:t>
        </w:r>
        <w:r>
          <w:rPr>
            <w:color w:val="1D71B8"/>
            <w:sz w:val="18"/>
            <w:u w:val="none"/>
          </w:rPr>
          <w:t>a</w:t>
        </w:r>
        <w:r>
          <w:rPr>
            <w:color w:val="1D71B8"/>
            <w:sz w:val="18"/>
            <w:u w:val="single" w:color="1D71B8"/>
          </w:rPr>
          <w:t>ti</w:t>
        </w:r>
        <w:r>
          <w:rPr>
            <w:color w:val="1D71B8"/>
            <w:sz w:val="18"/>
            <w:u w:val="none"/>
          </w:rPr>
          <w:t>o</w:t>
        </w:r>
        <w:r>
          <w:rPr>
            <w:color w:val="1D71B8"/>
            <w:sz w:val="18"/>
            <w:u w:val="single" w:color="1D71B8"/>
          </w:rPr>
          <w:t>n</w:t>
        </w:r>
        <w:r>
          <w:rPr>
            <w:color w:val="1D71B8"/>
            <w:spacing w:val="-6"/>
            <w:sz w:val="18"/>
            <w:u w:val="single" w:color="1D71B8"/>
          </w:rPr>
          <w:t> </w:t>
        </w:r>
        <w:r>
          <w:rPr>
            <w:color w:val="1D71B8"/>
            <w:sz w:val="18"/>
            <w:u w:val="single" w:color="1D71B8"/>
          </w:rPr>
          <w:t>in</w:t>
        </w:r>
        <w:r>
          <w:rPr>
            <w:color w:val="1D71B8"/>
            <w:spacing w:val="-6"/>
            <w:sz w:val="18"/>
            <w:u w:val="single" w:color="1D71B8"/>
          </w:rPr>
          <w:t> </w:t>
        </w:r>
        <w:r>
          <w:rPr>
            <w:color w:val="1D71B8"/>
            <w:sz w:val="18"/>
            <w:u w:val="single" w:color="1D71B8"/>
          </w:rPr>
          <w:t>Public</w:t>
        </w:r>
        <w:r>
          <w:rPr>
            <w:color w:val="1D71B8"/>
            <w:spacing w:val="-5"/>
            <w:sz w:val="18"/>
            <w:u w:val="single" w:color="1D71B8"/>
          </w:rPr>
          <w:t> </w:t>
        </w:r>
        <w:r>
          <w:rPr>
            <w:color w:val="1D71B8"/>
            <w:sz w:val="18"/>
            <w:u w:val="single" w:color="1D71B8"/>
          </w:rPr>
          <w:t>Life:</w:t>
        </w:r>
        <w:r>
          <w:rPr>
            <w:color w:val="1D71B8"/>
            <w:spacing w:val="-5"/>
            <w:sz w:val="18"/>
            <w:u w:val="single" w:color="1D71B8"/>
          </w:rPr>
          <w:t> </w:t>
        </w:r>
        <w:r>
          <w:rPr>
            <w:color w:val="1D71B8"/>
            <w:sz w:val="18"/>
            <w:u w:val="single" w:color="1D71B8"/>
          </w:rPr>
          <w:t>Full</w:t>
        </w:r>
        <w:r>
          <w:rPr>
            <w:color w:val="1D71B8"/>
            <w:spacing w:val="-6"/>
            <w:sz w:val="18"/>
            <w:u w:val="single" w:color="1D71B8"/>
          </w:rPr>
          <w:t> </w:t>
        </w:r>
        <w:r>
          <w:rPr>
            <w:color w:val="1D71B8"/>
            <w:sz w:val="18"/>
            <w:u w:val="single" w:color="1D71B8"/>
          </w:rPr>
          <w:t>Report:</w:t>
        </w:r>
        <w:r>
          <w:rPr>
            <w:color w:val="1D71B8"/>
            <w:spacing w:val="-5"/>
            <w:sz w:val="18"/>
            <w:u w:val="single" w:color="1D71B8"/>
          </w:rPr>
          <w:t> </w:t>
        </w:r>
        <w:r>
          <w:rPr>
            <w:color w:val="1D71B8"/>
            <w:sz w:val="18"/>
            <w:u w:val="single" w:color="1D71B8"/>
          </w:rPr>
          <w:t>Policy</w:t>
        </w:r>
        <w:r>
          <w:rPr>
            <w:color w:val="1D71B8"/>
            <w:spacing w:val="-5"/>
            <w:sz w:val="18"/>
            <w:u w:val="single" w:color="1D71B8"/>
          </w:rPr>
          <w:t> </w:t>
        </w:r>
        <w:r>
          <w:rPr>
            <w:color w:val="1D71B8"/>
            <w:sz w:val="18"/>
            <w:u w:val="single" w:color="1D71B8"/>
          </w:rPr>
          <w:t>Recommendations</w:t>
        </w:r>
      </w:hyperlink>
      <w:r>
        <w:rPr>
          <w:color w:val="1D71B8"/>
          <w:spacing w:val="-7"/>
          <w:sz w:val="18"/>
          <w:u w:val="none"/>
        </w:rPr>
        <w:t> </w:t>
      </w:r>
      <w:r>
        <w:rPr>
          <w:sz w:val="18"/>
          <w:u w:val="none"/>
        </w:rPr>
        <w:t>(May</w:t>
      </w:r>
      <w:r>
        <w:rPr>
          <w:spacing w:val="-5"/>
          <w:sz w:val="18"/>
          <w:u w:val="none"/>
        </w:rPr>
        <w:t> </w:t>
      </w:r>
      <w:r>
        <w:rPr>
          <w:sz w:val="18"/>
          <w:u w:val="none"/>
        </w:rPr>
        <w:t>2019); ECNI, </w:t>
      </w:r>
      <w:r>
        <w:rPr>
          <w:color w:val="1D71B8"/>
          <w:sz w:val="18"/>
          <w:u w:val="single" w:color="1D71B8"/>
        </w:rPr>
        <w:t>Key Inequalities in Public Participation in Public Life</w:t>
      </w:r>
      <w:r>
        <w:rPr>
          <w:color w:val="1D71B8"/>
          <w:sz w:val="18"/>
          <w:u w:val="none"/>
        </w:rPr>
        <w:t> </w:t>
      </w:r>
      <w:r>
        <w:rPr>
          <w:sz w:val="18"/>
          <w:u w:val="none"/>
        </w:rPr>
        <w:t>(September 2018).</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56128">
                <wp:simplePos x="0" y="0"/>
                <wp:positionH relativeFrom="page">
                  <wp:posOffset>-2</wp:posOffset>
                </wp:positionH>
                <wp:positionV relativeFrom="page">
                  <wp:posOffset>0</wp:posOffset>
                </wp:positionV>
                <wp:extent cx="7560309" cy="1575435"/>
                <wp:effectExtent l="0" t="0" r="0" b="0"/>
                <wp:wrapNone/>
                <wp:docPr id="662" name="Group 662"/>
                <wp:cNvGraphicFramePr>
                  <a:graphicFrameLocks/>
                </wp:cNvGraphicFramePr>
                <a:graphic>
                  <a:graphicData uri="http://schemas.microsoft.com/office/word/2010/wordprocessingGroup">
                    <wpg:wgp>
                      <wpg:cNvPr id="662" name="Group 662"/>
                      <wpg:cNvGrpSpPr/>
                      <wpg:grpSpPr>
                        <a:xfrm>
                          <a:off x="0" y="0"/>
                          <a:ext cx="7560309" cy="1575435"/>
                          <a:chExt cx="7560309" cy="1575435"/>
                        </a:xfrm>
                      </wpg:grpSpPr>
                      <wps:wsp>
                        <wps:cNvPr id="663" name="Graphic 663"/>
                        <wps:cNvSpPr/>
                        <wps:spPr>
                          <a:xfrm>
                            <a:off x="899996" y="972002"/>
                            <a:ext cx="6012180" cy="603885"/>
                          </a:xfrm>
                          <a:custGeom>
                            <a:avLst/>
                            <a:gdLst/>
                            <a:ahLst/>
                            <a:cxnLst/>
                            <a:rect l="l" t="t" r="r" b="b"/>
                            <a:pathLst>
                              <a:path w="6012180" h="603885">
                                <a:moveTo>
                                  <a:pt x="5868009" y="0"/>
                                </a:moveTo>
                                <a:lnTo>
                                  <a:pt x="144005" y="0"/>
                                </a:lnTo>
                                <a:lnTo>
                                  <a:pt x="98490" y="7340"/>
                                </a:lnTo>
                                <a:lnTo>
                                  <a:pt x="58959" y="27782"/>
                                </a:lnTo>
                                <a:lnTo>
                                  <a:pt x="27785" y="58954"/>
                                </a:lnTo>
                                <a:lnTo>
                                  <a:pt x="7341" y="98485"/>
                                </a:lnTo>
                                <a:lnTo>
                                  <a:pt x="0" y="144005"/>
                                </a:lnTo>
                                <a:lnTo>
                                  <a:pt x="0" y="459346"/>
                                </a:lnTo>
                                <a:lnTo>
                                  <a:pt x="7341" y="504861"/>
                                </a:lnTo>
                                <a:lnTo>
                                  <a:pt x="27785" y="544392"/>
                                </a:lnTo>
                                <a:lnTo>
                                  <a:pt x="58959" y="575565"/>
                                </a:lnTo>
                                <a:lnTo>
                                  <a:pt x="98490" y="596009"/>
                                </a:lnTo>
                                <a:lnTo>
                                  <a:pt x="144005" y="603351"/>
                                </a:lnTo>
                                <a:lnTo>
                                  <a:pt x="5868009" y="603351"/>
                                </a:lnTo>
                                <a:lnTo>
                                  <a:pt x="5913523" y="596009"/>
                                </a:lnTo>
                                <a:lnTo>
                                  <a:pt x="5953050" y="575565"/>
                                </a:lnTo>
                                <a:lnTo>
                                  <a:pt x="5984220" y="544392"/>
                                </a:lnTo>
                                <a:lnTo>
                                  <a:pt x="6004661" y="504861"/>
                                </a:lnTo>
                                <a:lnTo>
                                  <a:pt x="6012002" y="4593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664" name="Graphic 664"/>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665" name="Graphic 665"/>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666" name="Textbox 666"/>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667" name="Textbox 667"/>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73</w:t>
                              </w:r>
                            </w:p>
                          </w:txbxContent>
                        </wps:txbx>
                        <wps:bodyPr wrap="square" lIns="0" tIns="0" rIns="0" bIns="0" rtlCol="0">
                          <a:noAutofit/>
                        </wps:bodyPr>
                      </wps:wsp>
                      <wps:wsp>
                        <wps:cNvPr id="668" name="Textbox 668"/>
                        <wps:cNvSpPr txBox="1"/>
                        <wps:spPr>
                          <a:xfrm>
                            <a:off x="1116002" y="1080003"/>
                            <a:ext cx="5309870" cy="38735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4"/>
                                  <w:sz w:val="28"/>
                                </w:rPr>
                                <w:t> </w:t>
                              </w:r>
                              <w:r>
                                <w:rPr>
                                  <w:b/>
                                  <w:color w:val="164194"/>
                                  <w:sz w:val="28"/>
                                </w:rPr>
                                <w:t>that</w:t>
                              </w:r>
                              <w:r>
                                <w:rPr>
                                  <w:b/>
                                  <w:color w:val="164194"/>
                                  <w:spacing w:val="-4"/>
                                  <w:sz w:val="28"/>
                                </w:rPr>
                                <w:t> </w:t>
                              </w:r>
                              <w:r>
                                <w:rPr>
                                  <w:b/>
                                  <w:color w:val="164194"/>
                                  <w:sz w:val="28"/>
                                </w:rPr>
                                <w:t>the</w:t>
                              </w:r>
                              <w:r>
                                <w:rPr>
                                  <w:b/>
                                  <w:color w:val="164194"/>
                                  <w:spacing w:val="-5"/>
                                  <w:sz w:val="28"/>
                                </w:rPr>
                                <w:t> </w:t>
                              </w:r>
                              <w:r>
                                <w:rPr>
                                  <w:b/>
                                  <w:color w:val="164194"/>
                                  <w:sz w:val="28"/>
                                </w:rPr>
                                <w:t>EU</w:t>
                              </w:r>
                              <w:r>
                                <w:rPr>
                                  <w:b/>
                                  <w:color w:val="164194"/>
                                  <w:spacing w:val="-4"/>
                                  <w:sz w:val="28"/>
                                </w:rPr>
                                <w:t> </w:t>
                              </w:r>
                              <w:r>
                                <w:rPr>
                                  <w:b/>
                                  <w:color w:val="164194"/>
                                  <w:sz w:val="28"/>
                                </w:rPr>
                                <w:t>and</w:t>
                              </w:r>
                              <w:r>
                                <w:rPr>
                                  <w:b/>
                                  <w:color w:val="164194"/>
                                  <w:spacing w:val="-4"/>
                                  <w:sz w:val="28"/>
                                </w:rPr>
                                <w:t> </w:t>
                              </w:r>
                              <w:r>
                                <w:rPr>
                                  <w:b/>
                                  <w:color w:val="164194"/>
                                  <w:sz w:val="28"/>
                                </w:rPr>
                                <w:t>UK</w:t>
                              </w:r>
                              <w:r>
                                <w:rPr>
                                  <w:b/>
                                  <w:color w:val="164194"/>
                                  <w:spacing w:val="-4"/>
                                  <w:sz w:val="28"/>
                                </w:rPr>
                                <w:t> </w:t>
                              </w:r>
                              <w:r>
                                <w:rPr>
                                  <w:b/>
                                  <w:color w:val="164194"/>
                                  <w:sz w:val="28"/>
                                </w:rPr>
                                <w:t>Government</w:t>
                              </w:r>
                              <w:r>
                                <w:rPr>
                                  <w:b/>
                                  <w:color w:val="164194"/>
                                  <w:spacing w:val="-4"/>
                                  <w:sz w:val="28"/>
                                </w:rPr>
                                <w:t> </w:t>
                              </w:r>
                              <w:r>
                                <w:rPr>
                                  <w:b/>
                                  <w:color w:val="164194"/>
                                  <w:sz w:val="28"/>
                                </w:rPr>
                                <w:t>provide</w:t>
                              </w:r>
                              <w:r>
                                <w:rPr>
                                  <w:b/>
                                  <w:color w:val="164194"/>
                                  <w:spacing w:val="-5"/>
                                  <w:sz w:val="28"/>
                                </w:rPr>
                                <w:t> </w:t>
                              </w:r>
                              <w:r>
                                <w:rPr>
                                  <w:b/>
                                  <w:color w:val="164194"/>
                                  <w:sz w:val="28"/>
                                </w:rPr>
                                <w:t>for</w:t>
                              </w:r>
                              <w:r>
                                <w:rPr>
                                  <w:b/>
                                  <w:color w:val="164194"/>
                                  <w:spacing w:val="-5"/>
                                  <w:sz w:val="28"/>
                                </w:rPr>
                                <w:t> </w:t>
                              </w:r>
                              <w:r>
                                <w:rPr>
                                  <w:b/>
                                  <w:color w:val="164194"/>
                                  <w:sz w:val="28"/>
                                </w:rPr>
                                <w:t>a</w:t>
                              </w:r>
                              <w:r>
                                <w:rPr>
                                  <w:b/>
                                  <w:color w:val="164194"/>
                                  <w:spacing w:val="-4"/>
                                  <w:sz w:val="28"/>
                                </w:rPr>
                                <w:t> </w:t>
                              </w:r>
                              <w:r>
                                <w:rPr>
                                  <w:b/>
                                  <w:color w:val="164194"/>
                                  <w:spacing w:val="-2"/>
                                  <w:sz w:val="28"/>
                                </w:rPr>
                                <w:t>Northern</w:t>
                              </w:r>
                            </w:p>
                            <w:p>
                              <w:pPr>
                                <w:spacing w:line="331" w:lineRule="exact" w:before="0"/>
                                <w:ind w:left="0" w:right="0" w:firstLine="0"/>
                                <w:jc w:val="left"/>
                                <w:rPr>
                                  <w:b/>
                                  <w:sz w:val="28"/>
                                </w:rPr>
                              </w:pPr>
                              <w:r>
                                <w:rPr>
                                  <w:b/>
                                  <w:color w:val="164194"/>
                                  <w:sz w:val="28"/>
                                </w:rPr>
                                <w:t>Ireland</w:t>
                              </w:r>
                              <w:r>
                                <w:rPr>
                                  <w:b/>
                                  <w:color w:val="164194"/>
                                  <w:spacing w:val="-7"/>
                                  <w:sz w:val="28"/>
                                </w:rPr>
                                <w:t> </w:t>
                              </w:r>
                              <w:r>
                                <w:rPr>
                                  <w:b/>
                                  <w:color w:val="164194"/>
                                  <w:sz w:val="28"/>
                                </w:rPr>
                                <w:t>representative</w:t>
                              </w:r>
                              <w:r>
                                <w:rPr>
                                  <w:b/>
                                  <w:color w:val="164194"/>
                                  <w:spacing w:val="-8"/>
                                  <w:sz w:val="28"/>
                                </w:rPr>
                                <w:t> </w:t>
                              </w:r>
                              <w:r>
                                <w:rPr>
                                  <w:b/>
                                  <w:color w:val="164194"/>
                                  <w:sz w:val="28"/>
                                </w:rPr>
                                <w:t>on</w:t>
                              </w:r>
                              <w:r>
                                <w:rPr>
                                  <w:b/>
                                  <w:color w:val="164194"/>
                                  <w:spacing w:val="-6"/>
                                  <w:sz w:val="28"/>
                                </w:rPr>
                                <w:t> </w:t>
                              </w:r>
                              <w:r>
                                <w:rPr>
                                  <w:b/>
                                  <w:color w:val="164194"/>
                                  <w:sz w:val="28"/>
                                </w:rPr>
                                <w:t>the</w:t>
                              </w:r>
                              <w:r>
                                <w:rPr>
                                  <w:b/>
                                  <w:color w:val="164194"/>
                                  <w:spacing w:val="-8"/>
                                  <w:sz w:val="28"/>
                                </w:rPr>
                                <w:t> </w:t>
                              </w:r>
                              <w:r>
                                <w:rPr>
                                  <w:b/>
                                  <w:color w:val="164194"/>
                                  <w:sz w:val="28"/>
                                </w:rPr>
                                <w:t>EU</w:t>
                              </w:r>
                              <w:r>
                                <w:rPr>
                                  <w:b/>
                                  <w:color w:val="164194"/>
                                  <w:spacing w:val="-6"/>
                                  <w:sz w:val="28"/>
                                </w:rPr>
                                <w:t> </w:t>
                              </w:r>
                              <w:r>
                                <w:rPr>
                                  <w:b/>
                                  <w:color w:val="164194"/>
                                  <w:sz w:val="28"/>
                                </w:rPr>
                                <w:t>Equality</w:t>
                              </w:r>
                              <w:r>
                                <w:rPr>
                                  <w:b/>
                                  <w:color w:val="164194"/>
                                  <w:spacing w:val="-7"/>
                                  <w:sz w:val="28"/>
                                </w:rPr>
                                <w:t> </w:t>
                              </w:r>
                              <w:r>
                                <w:rPr>
                                  <w:b/>
                                  <w:color w:val="164194"/>
                                  <w:sz w:val="28"/>
                                </w:rPr>
                                <w:t>Data</w:t>
                              </w:r>
                              <w:r>
                                <w:rPr>
                                  <w:b/>
                                  <w:color w:val="164194"/>
                                  <w:spacing w:val="-6"/>
                                  <w:sz w:val="28"/>
                                </w:rPr>
                                <w:t> </w:t>
                              </w:r>
                              <w:r>
                                <w:rPr>
                                  <w:b/>
                                  <w:color w:val="164194"/>
                                  <w:spacing w:val="-2"/>
                                  <w:sz w:val="28"/>
                                </w:rPr>
                                <w:t>Subgroup.</w:t>
                              </w:r>
                            </w:p>
                          </w:txbxContent>
                        </wps:txbx>
                        <wps:bodyPr wrap="square" lIns="0" tIns="0" rIns="0" bIns="0" rtlCol="0">
                          <a:noAutofit/>
                        </wps:bodyPr>
                      </wps:wsp>
                    </wpg:wgp>
                  </a:graphicData>
                </a:graphic>
              </wp:anchor>
            </w:drawing>
          </mc:Choice>
          <mc:Fallback>
            <w:pict>
              <v:group style="position:absolute;margin-left:-.000192pt;margin-top:-.00002pt;width:595.3pt;height:124.05pt;mso-position-horizontal-relative:page;mso-position-vertical-relative:page;z-index:15856128" id="docshapegroup537" coordorigin="0,0" coordsize="11906,2481">
                <v:shape style="position:absolute;left:1417;top:1530;width:9468;height:951" id="docshape538" coordorigin="1417,1531" coordsize="9468,951" path="m10658,1531l1644,1531,1572,1542,1510,1574,1461,1624,1429,1686,1417,1757,1417,2254,1429,2326,1461,2388,1510,2437,1572,2469,1644,2481,10658,2481,10730,2469,10792,2437,10841,2388,10873,2326,10885,2254,10885,1757,10873,1686,10841,1624,10792,1574,10730,1542,10658,1531xe" filled="true" fillcolor="#e9f3fc" stroked="false">
                  <v:path arrowok="t"/>
                  <v:fill type="solid"/>
                </v:shape>
                <v:shape style="position:absolute;left:0;top:0;width:11906;height:1819" id="docshape539"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540"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541" filled="false" stroked="false">
                  <v:textbox inset="0,0,0,0">
                    <w:txbxContent>
                      <w:p>
                        <w:pPr>
                          <w:spacing w:line="280" w:lineRule="exact" w:before="0"/>
                          <w:ind w:left="0" w:right="0" w:firstLine="0"/>
                          <w:jc w:val="left"/>
                          <w:rPr>
                            <w:b/>
                            <w:sz w:val="28"/>
                          </w:rPr>
                        </w:pPr>
                        <w:r>
                          <w:rPr>
                            <w:b/>
                            <w:color w:val="FFFFFF"/>
                            <w:spacing w:val="-5"/>
                            <w:sz w:val="28"/>
                          </w:rPr>
                          <w:t>73</w:t>
                        </w:r>
                      </w:p>
                    </w:txbxContent>
                  </v:textbox>
                  <w10:wrap type="none"/>
                </v:shape>
                <v:shape style="position:absolute;left:1757;top:1700;width:8362;height:610" type="#_x0000_t202" id="docshape542" filled="false" stroked="false">
                  <v:textbox inset="0,0,0,0">
                    <w:txbxContent>
                      <w:p>
                        <w:pPr>
                          <w:spacing w:line="279" w:lineRule="exact" w:before="0"/>
                          <w:ind w:left="0" w:right="0"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4"/>
                            <w:sz w:val="28"/>
                          </w:rPr>
                          <w:t> </w:t>
                        </w:r>
                        <w:r>
                          <w:rPr>
                            <w:b/>
                            <w:color w:val="164194"/>
                            <w:sz w:val="28"/>
                          </w:rPr>
                          <w:t>that</w:t>
                        </w:r>
                        <w:r>
                          <w:rPr>
                            <w:b/>
                            <w:color w:val="164194"/>
                            <w:spacing w:val="-4"/>
                            <w:sz w:val="28"/>
                          </w:rPr>
                          <w:t> </w:t>
                        </w:r>
                        <w:r>
                          <w:rPr>
                            <w:b/>
                            <w:color w:val="164194"/>
                            <w:sz w:val="28"/>
                          </w:rPr>
                          <w:t>the</w:t>
                        </w:r>
                        <w:r>
                          <w:rPr>
                            <w:b/>
                            <w:color w:val="164194"/>
                            <w:spacing w:val="-5"/>
                            <w:sz w:val="28"/>
                          </w:rPr>
                          <w:t> </w:t>
                        </w:r>
                        <w:r>
                          <w:rPr>
                            <w:b/>
                            <w:color w:val="164194"/>
                            <w:sz w:val="28"/>
                          </w:rPr>
                          <w:t>EU</w:t>
                        </w:r>
                        <w:r>
                          <w:rPr>
                            <w:b/>
                            <w:color w:val="164194"/>
                            <w:spacing w:val="-4"/>
                            <w:sz w:val="28"/>
                          </w:rPr>
                          <w:t> </w:t>
                        </w:r>
                        <w:r>
                          <w:rPr>
                            <w:b/>
                            <w:color w:val="164194"/>
                            <w:sz w:val="28"/>
                          </w:rPr>
                          <w:t>and</w:t>
                        </w:r>
                        <w:r>
                          <w:rPr>
                            <w:b/>
                            <w:color w:val="164194"/>
                            <w:spacing w:val="-4"/>
                            <w:sz w:val="28"/>
                          </w:rPr>
                          <w:t> </w:t>
                        </w:r>
                        <w:r>
                          <w:rPr>
                            <w:b/>
                            <w:color w:val="164194"/>
                            <w:sz w:val="28"/>
                          </w:rPr>
                          <w:t>UK</w:t>
                        </w:r>
                        <w:r>
                          <w:rPr>
                            <w:b/>
                            <w:color w:val="164194"/>
                            <w:spacing w:val="-4"/>
                            <w:sz w:val="28"/>
                          </w:rPr>
                          <w:t> </w:t>
                        </w:r>
                        <w:r>
                          <w:rPr>
                            <w:b/>
                            <w:color w:val="164194"/>
                            <w:sz w:val="28"/>
                          </w:rPr>
                          <w:t>Government</w:t>
                        </w:r>
                        <w:r>
                          <w:rPr>
                            <w:b/>
                            <w:color w:val="164194"/>
                            <w:spacing w:val="-4"/>
                            <w:sz w:val="28"/>
                          </w:rPr>
                          <w:t> </w:t>
                        </w:r>
                        <w:r>
                          <w:rPr>
                            <w:b/>
                            <w:color w:val="164194"/>
                            <w:sz w:val="28"/>
                          </w:rPr>
                          <w:t>provide</w:t>
                        </w:r>
                        <w:r>
                          <w:rPr>
                            <w:b/>
                            <w:color w:val="164194"/>
                            <w:spacing w:val="-5"/>
                            <w:sz w:val="28"/>
                          </w:rPr>
                          <w:t> </w:t>
                        </w:r>
                        <w:r>
                          <w:rPr>
                            <w:b/>
                            <w:color w:val="164194"/>
                            <w:sz w:val="28"/>
                          </w:rPr>
                          <w:t>for</w:t>
                        </w:r>
                        <w:r>
                          <w:rPr>
                            <w:b/>
                            <w:color w:val="164194"/>
                            <w:spacing w:val="-5"/>
                            <w:sz w:val="28"/>
                          </w:rPr>
                          <w:t> </w:t>
                        </w:r>
                        <w:r>
                          <w:rPr>
                            <w:b/>
                            <w:color w:val="164194"/>
                            <w:sz w:val="28"/>
                          </w:rPr>
                          <w:t>a</w:t>
                        </w:r>
                        <w:r>
                          <w:rPr>
                            <w:b/>
                            <w:color w:val="164194"/>
                            <w:spacing w:val="-4"/>
                            <w:sz w:val="28"/>
                          </w:rPr>
                          <w:t> </w:t>
                        </w:r>
                        <w:r>
                          <w:rPr>
                            <w:b/>
                            <w:color w:val="164194"/>
                            <w:spacing w:val="-2"/>
                            <w:sz w:val="28"/>
                          </w:rPr>
                          <w:t>Northern</w:t>
                        </w:r>
                      </w:p>
                      <w:p>
                        <w:pPr>
                          <w:spacing w:line="331" w:lineRule="exact" w:before="0"/>
                          <w:ind w:left="0" w:right="0" w:firstLine="0"/>
                          <w:jc w:val="left"/>
                          <w:rPr>
                            <w:b/>
                            <w:sz w:val="28"/>
                          </w:rPr>
                        </w:pPr>
                        <w:r>
                          <w:rPr>
                            <w:b/>
                            <w:color w:val="164194"/>
                            <w:sz w:val="28"/>
                          </w:rPr>
                          <w:t>Ireland</w:t>
                        </w:r>
                        <w:r>
                          <w:rPr>
                            <w:b/>
                            <w:color w:val="164194"/>
                            <w:spacing w:val="-7"/>
                            <w:sz w:val="28"/>
                          </w:rPr>
                          <w:t> </w:t>
                        </w:r>
                        <w:r>
                          <w:rPr>
                            <w:b/>
                            <w:color w:val="164194"/>
                            <w:sz w:val="28"/>
                          </w:rPr>
                          <w:t>representative</w:t>
                        </w:r>
                        <w:r>
                          <w:rPr>
                            <w:b/>
                            <w:color w:val="164194"/>
                            <w:spacing w:val="-8"/>
                            <w:sz w:val="28"/>
                          </w:rPr>
                          <w:t> </w:t>
                        </w:r>
                        <w:r>
                          <w:rPr>
                            <w:b/>
                            <w:color w:val="164194"/>
                            <w:sz w:val="28"/>
                          </w:rPr>
                          <w:t>on</w:t>
                        </w:r>
                        <w:r>
                          <w:rPr>
                            <w:b/>
                            <w:color w:val="164194"/>
                            <w:spacing w:val="-6"/>
                            <w:sz w:val="28"/>
                          </w:rPr>
                          <w:t> </w:t>
                        </w:r>
                        <w:r>
                          <w:rPr>
                            <w:b/>
                            <w:color w:val="164194"/>
                            <w:sz w:val="28"/>
                          </w:rPr>
                          <w:t>the</w:t>
                        </w:r>
                        <w:r>
                          <w:rPr>
                            <w:b/>
                            <w:color w:val="164194"/>
                            <w:spacing w:val="-8"/>
                            <w:sz w:val="28"/>
                          </w:rPr>
                          <w:t> </w:t>
                        </w:r>
                        <w:r>
                          <w:rPr>
                            <w:b/>
                            <w:color w:val="164194"/>
                            <w:sz w:val="28"/>
                          </w:rPr>
                          <w:t>EU</w:t>
                        </w:r>
                        <w:r>
                          <w:rPr>
                            <w:b/>
                            <w:color w:val="164194"/>
                            <w:spacing w:val="-6"/>
                            <w:sz w:val="28"/>
                          </w:rPr>
                          <w:t> </w:t>
                        </w:r>
                        <w:r>
                          <w:rPr>
                            <w:b/>
                            <w:color w:val="164194"/>
                            <w:sz w:val="28"/>
                          </w:rPr>
                          <w:t>Equality</w:t>
                        </w:r>
                        <w:r>
                          <w:rPr>
                            <w:b/>
                            <w:color w:val="164194"/>
                            <w:spacing w:val="-7"/>
                            <w:sz w:val="28"/>
                          </w:rPr>
                          <w:t> </w:t>
                        </w:r>
                        <w:r>
                          <w:rPr>
                            <w:b/>
                            <w:color w:val="164194"/>
                            <w:sz w:val="28"/>
                          </w:rPr>
                          <w:t>Data</w:t>
                        </w:r>
                        <w:r>
                          <w:rPr>
                            <w:b/>
                            <w:color w:val="164194"/>
                            <w:spacing w:val="-6"/>
                            <w:sz w:val="28"/>
                          </w:rPr>
                          <w:t> </w:t>
                        </w:r>
                        <w:r>
                          <w:rPr>
                            <w:b/>
                            <w:color w:val="164194"/>
                            <w:spacing w:val="-2"/>
                            <w:sz w:val="28"/>
                          </w:rPr>
                          <w:t>Subgroup.</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298"/>
      </w:pPr>
    </w:p>
    <w:p>
      <w:pPr>
        <w:pStyle w:val="BodyText"/>
        <w:spacing w:line="232" w:lineRule="auto"/>
        <w:ind w:left="1117" w:right="738"/>
      </w:pPr>
      <w:bookmarkStart w:name="3.12 Conclusion " w:id="102"/>
      <w:bookmarkEnd w:id="102"/>
      <w:r>
        <w:rPr/>
      </w:r>
      <w:bookmarkStart w:name="_bookmark42" w:id="103"/>
      <w:bookmarkEnd w:id="103"/>
      <w:r>
        <w:rPr/>
      </w:r>
      <w:r>
        <w:rPr/>
        <w:t>Ireland has now passed legislation</w:t>
      </w:r>
      <w:r>
        <w:rPr>
          <w:vertAlign w:val="superscript"/>
        </w:rPr>
        <w:t>419</w:t>
      </w:r>
      <w:r>
        <w:rPr>
          <w:vertAlign w:val="baseline"/>
        </w:rPr>
        <w:t> to implement the </w:t>
      </w:r>
      <w:r>
        <w:rPr>
          <w:b/>
          <w:vertAlign w:val="baseline"/>
        </w:rPr>
        <w:t>EU Whistleblowing Directive</w:t>
      </w:r>
      <w:r>
        <w:rPr>
          <w:vertAlign w:val="baseline"/>
        </w:rPr>
        <w:t>.</w:t>
      </w:r>
      <w:r>
        <w:rPr>
          <w:vertAlign w:val="superscript"/>
        </w:rPr>
        <w:t>420</w:t>
      </w:r>
      <w:r>
        <w:rPr>
          <w:vertAlign w:val="baseline"/>
        </w:rPr>
        <w:t> The deadline for transposition of this Directive was 17 December 2021.</w:t>
      </w:r>
      <w:r>
        <w:rPr>
          <w:vertAlign w:val="superscript"/>
        </w:rPr>
        <w:t>421</w:t>
      </w:r>
      <w:r>
        <w:rPr>
          <w:vertAlign w:val="baseline"/>
        </w:rPr>
        <w:t> The Whistleblowing Directive aims to harmonise a level of protection for whistleblowers</w:t>
      </w:r>
      <w:r>
        <w:rPr>
          <w:spacing w:val="-9"/>
          <w:vertAlign w:val="baseline"/>
        </w:rPr>
        <w:t> </w:t>
      </w:r>
      <w:r>
        <w:rPr>
          <w:vertAlign w:val="baseline"/>
        </w:rPr>
        <w:t>across</w:t>
      </w:r>
      <w:r>
        <w:rPr>
          <w:spacing w:val="-9"/>
          <w:vertAlign w:val="baseline"/>
        </w:rPr>
        <w:t> </w:t>
      </w:r>
      <w:r>
        <w:rPr>
          <w:vertAlign w:val="baseline"/>
        </w:rPr>
        <w:t>the</w:t>
      </w:r>
      <w:r>
        <w:rPr>
          <w:spacing w:val="-8"/>
          <w:vertAlign w:val="baseline"/>
        </w:rPr>
        <w:t> </w:t>
      </w:r>
      <w:r>
        <w:rPr>
          <w:vertAlign w:val="baseline"/>
        </w:rPr>
        <w:t>EU</w:t>
      </w:r>
      <w:r>
        <w:rPr>
          <w:spacing w:val="-8"/>
          <w:vertAlign w:val="baseline"/>
        </w:rPr>
        <w:t> </w:t>
      </w:r>
      <w:r>
        <w:rPr>
          <w:vertAlign w:val="baseline"/>
        </w:rPr>
        <w:t>and,</w:t>
      </w:r>
      <w:r>
        <w:rPr>
          <w:spacing w:val="-8"/>
          <w:vertAlign w:val="baseline"/>
        </w:rPr>
        <w:t> </w:t>
      </w:r>
      <w:r>
        <w:rPr>
          <w:vertAlign w:val="baseline"/>
        </w:rPr>
        <w:t>for</w:t>
      </w:r>
      <w:r>
        <w:rPr>
          <w:spacing w:val="-8"/>
          <w:vertAlign w:val="baseline"/>
        </w:rPr>
        <w:t> </w:t>
      </w:r>
      <w:r>
        <w:rPr>
          <w:vertAlign w:val="baseline"/>
        </w:rPr>
        <w:t>instance,</w:t>
      </w:r>
      <w:r>
        <w:rPr>
          <w:spacing w:val="-8"/>
          <w:vertAlign w:val="baseline"/>
        </w:rPr>
        <w:t> </w:t>
      </w:r>
      <w:r>
        <w:rPr>
          <w:vertAlign w:val="baseline"/>
        </w:rPr>
        <w:t>requires</w:t>
      </w:r>
      <w:r>
        <w:rPr>
          <w:spacing w:val="-9"/>
          <w:vertAlign w:val="baseline"/>
        </w:rPr>
        <w:t> </w:t>
      </w:r>
      <w:r>
        <w:rPr>
          <w:vertAlign w:val="baseline"/>
        </w:rPr>
        <w:t>employers</w:t>
      </w:r>
      <w:r>
        <w:rPr>
          <w:spacing w:val="-9"/>
          <w:vertAlign w:val="baseline"/>
        </w:rPr>
        <w:t> </w:t>
      </w:r>
      <w:r>
        <w:rPr>
          <w:vertAlign w:val="baseline"/>
        </w:rPr>
        <w:t>above</w:t>
      </w:r>
      <w:r>
        <w:rPr>
          <w:spacing w:val="-8"/>
          <w:vertAlign w:val="baseline"/>
        </w:rPr>
        <w:t> </w:t>
      </w:r>
      <w:r>
        <w:rPr>
          <w:vertAlign w:val="baseline"/>
        </w:rPr>
        <w:t>a</w:t>
      </w:r>
      <w:r>
        <w:rPr>
          <w:spacing w:val="-9"/>
          <w:vertAlign w:val="baseline"/>
        </w:rPr>
        <w:t> </w:t>
      </w:r>
      <w:r>
        <w:rPr>
          <w:vertAlign w:val="baseline"/>
        </w:rPr>
        <w:t>certain size to adopt a channel for reporting disclosures.</w:t>
      </w:r>
      <w:r>
        <w:rPr>
          <w:vertAlign w:val="superscript"/>
        </w:rPr>
        <w:t>422</w:t>
      </w:r>
      <w:r>
        <w:rPr>
          <w:vertAlign w:val="baseline"/>
        </w:rPr>
        <w:t> There is some divergence as regards</w:t>
      </w:r>
      <w:r>
        <w:rPr>
          <w:spacing w:val="-4"/>
          <w:vertAlign w:val="baseline"/>
        </w:rPr>
        <w:t> </w:t>
      </w:r>
      <w:r>
        <w:rPr>
          <w:vertAlign w:val="baseline"/>
        </w:rPr>
        <w:t>protections</w:t>
      </w:r>
      <w:r>
        <w:rPr>
          <w:spacing w:val="-4"/>
          <w:vertAlign w:val="baseline"/>
        </w:rPr>
        <w:t> </w:t>
      </w:r>
      <w:r>
        <w:rPr>
          <w:vertAlign w:val="baseline"/>
        </w:rPr>
        <w:t>under</w:t>
      </w:r>
      <w:r>
        <w:rPr>
          <w:spacing w:val="-3"/>
          <w:vertAlign w:val="baseline"/>
        </w:rPr>
        <w:t> </w:t>
      </w:r>
      <w:r>
        <w:rPr>
          <w:vertAlign w:val="baseline"/>
        </w:rPr>
        <w:t>the</w:t>
      </w:r>
      <w:r>
        <w:rPr>
          <w:spacing w:val="-3"/>
          <w:vertAlign w:val="baseline"/>
        </w:rPr>
        <w:t> </w:t>
      </w:r>
      <w:r>
        <w:rPr>
          <w:vertAlign w:val="baseline"/>
        </w:rPr>
        <w:t>Directive</w:t>
      </w:r>
      <w:r>
        <w:rPr>
          <w:spacing w:val="-3"/>
          <w:vertAlign w:val="baseline"/>
        </w:rPr>
        <w:t> </w:t>
      </w:r>
      <w:r>
        <w:rPr>
          <w:vertAlign w:val="baseline"/>
        </w:rPr>
        <w:t>and</w:t>
      </w:r>
      <w:r>
        <w:rPr>
          <w:spacing w:val="-4"/>
          <w:vertAlign w:val="baseline"/>
        </w:rPr>
        <w:t> </w:t>
      </w:r>
      <w:r>
        <w:rPr>
          <w:vertAlign w:val="baseline"/>
        </w:rPr>
        <w:t>protections</w:t>
      </w:r>
      <w:r>
        <w:rPr>
          <w:spacing w:val="-4"/>
          <w:vertAlign w:val="baseline"/>
        </w:rPr>
        <w:t> </w:t>
      </w:r>
      <w:r>
        <w:rPr>
          <w:vertAlign w:val="baseline"/>
        </w:rPr>
        <w:t>in</w:t>
      </w:r>
      <w:r>
        <w:rPr>
          <w:spacing w:val="-4"/>
          <w:vertAlign w:val="baseline"/>
        </w:rPr>
        <w:t> </w:t>
      </w:r>
      <w:r>
        <w:rPr>
          <w:vertAlign w:val="baseline"/>
        </w:rPr>
        <w:t>the</w:t>
      </w:r>
      <w:r>
        <w:rPr>
          <w:spacing w:val="-3"/>
          <w:vertAlign w:val="baseline"/>
        </w:rPr>
        <w:t> </w:t>
      </w:r>
      <w:r>
        <w:rPr>
          <w:vertAlign w:val="baseline"/>
        </w:rPr>
        <w:t>UK</w:t>
      </w:r>
      <w:r>
        <w:rPr>
          <w:spacing w:val="-3"/>
          <w:vertAlign w:val="baseline"/>
        </w:rPr>
        <w:t> </w:t>
      </w:r>
      <w:r>
        <w:rPr>
          <w:vertAlign w:val="baseline"/>
        </w:rPr>
        <w:t>under</w:t>
      </w:r>
      <w:r>
        <w:rPr>
          <w:spacing w:val="-3"/>
          <w:vertAlign w:val="baseline"/>
        </w:rPr>
        <w:t> </w:t>
      </w:r>
      <w:r>
        <w:rPr>
          <w:vertAlign w:val="baseline"/>
        </w:rPr>
        <w:t>the</w:t>
      </w:r>
      <w:r>
        <w:rPr>
          <w:spacing w:val="-3"/>
          <w:vertAlign w:val="baseline"/>
        </w:rPr>
        <w:t> </w:t>
      </w:r>
      <w:r>
        <w:rPr>
          <w:vertAlign w:val="baseline"/>
        </w:rPr>
        <w:t>public interest disclosure rules.</w:t>
      </w:r>
      <w:r>
        <w:rPr>
          <w:vertAlign w:val="superscript"/>
        </w:rPr>
        <w:t>423</w:t>
      </w:r>
      <w:r>
        <w:rPr>
          <w:vertAlign w:val="baseline"/>
        </w:rPr>
        <w:t> This is the case for the duty on employers to adopt internal reporting channels but also the Directive has a wider definition of the protected workers who can make disclosures.</w:t>
      </w:r>
      <w:r>
        <w:rPr>
          <w:vertAlign w:val="superscript"/>
        </w:rPr>
        <w:t>424</w:t>
      </w:r>
      <w:r>
        <w:rPr>
          <w:vertAlign w:val="baseline"/>
        </w:rPr>
        <w:t> In Great Britain, the Department for Business and Trade is carrying out a review of the public interest disclosure framework.</w:t>
      </w:r>
      <w:r>
        <w:rPr>
          <w:vertAlign w:val="superscript"/>
        </w:rPr>
        <w:t>425</w:t>
      </w:r>
      <w:r>
        <w:rPr>
          <w:vertAlign w:val="baseline"/>
        </w:rPr>
        <w:t> Given the nature of cross-border business it may well be desirable for there to be similar rules North and South for employers and employees and</w:t>
      </w:r>
    </w:p>
    <w:p>
      <w:pPr>
        <w:pStyle w:val="BodyText"/>
        <w:spacing w:line="309" w:lineRule="exact"/>
        <w:ind w:left="1117"/>
      </w:pPr>
      <w:r>
        <w:rPr/>
        <w:t>so</w:t>
      </w:r>
      <w:r>
        <w:rPr>
          <w:spacing w:val="-9"/>
        </w:rPr>
        <w:t> </w:t>
      </w:r>
      <w:r>
        <w:rPr/>
        <w:t>as</w:t>
      </w:r>
      <w:r>
        <w:rPr>
          <w:spacing w:val="-8"/>
        </w:rPr>
        <w:t> </w:t>
      </w:r>
      <w:r>
        <w:rPr/>
        <w:t>a</w:t>
      </w:r>
      <w:r>
        <w:rPr>
          <w:spacing w:val="-8"/>
        </w:rPr>
        <w:t> </w:t>
      </w:r>
      <w:r>
        <w:rPr/>
        <w:t>matter</w:t>
      </w:r>
      <w:r>
        <w:rPr>
          <w:spacing w:val="-8"/>
        </w:rPr>
        <w:t> </w:t>
      </w:r>
      <w:r>
        <w:rPr/>
        <w:t>of</w:t>
      </w:r>
      <w:r>
        <w:rPr>
          <w:spacing w:val="-8"/>
        </w:rPr>
        <w:t> </w:t>
      </w:r>
      <w:r>
        <w:rPr/>
        <w:t>voluntary</w:t>
      </w:r>
      <w:r>
        <w:rPr>
          <w:spacing w:val="-7"/>
        </w:rPr>
        <w:t> </w:t>
      </w:r>
      <w:r>
        <w:rPr/>
        <w:t>alignment</w:t>
      </w:r>
      <w:r>
        <w:rPr>
          <w:spacing w:val="-8"/>
        </w:rPr>
        <w:t> </w:t>
      </w:r>
      <w:r>
        <w:rPr/>
        <w:t>the</w:t>
      </w:r>
      <w:r>
        <w:rPr>
          <w:spacing w:val="-7"/>
        </w:rPr>
        <w:t> </w:t>
      </w:r>
      <w:r>
        <w:rPr/>
        <w:t>Northern</w:t>
      </w:r>
      <w:r>
        <w:rPr>
          <w:spacing w:val="-9"/>
        </w:rPr>
        <w:t> </w:t>
      </w:r>
      <w:r>
        <w:rPr/>
        <w:t>Ireland</w:t>
      </w:r>
      <w:r>
        <w:rPr>
          <w:spacing w:val="-8"/>
        </w:rPr>
        <w:t> </w:t>
      </w:r>
      <w:r>
        <w:rPr/>
        <w:t>authorities</w:t>
      </w:r>
      <w:r>
        <w:rPr>
          <w:spacing w:val="-8"/>
        </w:rPr>
        <w:t> </w:t>
      </w:r>
      <w:r>
        <w:rPr>
          <w:spacing w:val="-2"/>
        </w:rPr>
        <w:t>should</w:t>
      </w:r>
    </w:p>
    <w:p>
      <w:pPr>
        <w:pStyle w:val="BodyText"/>
        <w:spacing w:line="336" w:lineRule="exact"/>
        <w:ind w:left="1117"/>
      </w:pPr>
      <w:r>
        <w:rPr/>
        <w:t>considering</w:t>
      </w:r>
      <w:r>
        <w:rPr>
          <w:spacing w:val="-6"/>
        </w:rPr>
        <w:t> </w:t>
      </w:r>
      <w:r>
        <w:rPr/>
        <w:t>adopting</w:t>
      </w:r>
      <w:r>
        <w:rPr>
          <w:spacing w:val="-6"/>
        </w:rPr>
        <w:t> </w:t>
      </w:r>
      <w:r>
        <w:rPr/>
        <w:t>examples</w:t>
      </w:r>
      <w:r>
        <w:rPr>
          <w:spacing w:val="-7"/>
        </w:rPr>
        <w:t> </w:t>
      </w:r>
      <w:r>
        <w:rPr/>
        <w:t>of</w:t>
      </w:r>
      <w:r>
        <w:rPr>
          <w:spacing w:val="-7"/>
        </w:rPr>
        <w:t> </w:t>
      </w:r>
      <w:r>
        <w:rPr/>
        <w:t>best</w:t>
      </w:r>
      <w:r>
        <w:rPr>
          <w:spacing w:val="-6"/>
        </w:rPr>
        <w:t> </w:t>
      </w:r>
      <w:r>
        <w:rPr/>
        <w:t>practice</w:t>
      </w:r>
      <w:r>
        <w:rPr>
          <w:spacing w:val="-6"/>
        </w:rPr>
        <w:t> </w:t>
      </w:r>
      <w:r>
        <w:rPr/>
        <w:t>in</w:t>
      </w:r>
      <w:r>
        <w:rPr>
          <w:spacing w:val="-7"/>
        </w:rPr>
        <w:t> </w:t>
      </w:r>
      <w:r>
        <w:rPr/>
        <w:t>the</w:t>
      </w:r>
      <w:r>
        <w:rPr>
          <w:spacing w:val="-6"/>
        </w:rPr>
        <w:t> </w:t>
      </w:r>
      <w:r>
        <w:rPr>
          <w:spacing w:val="-2"/>
        </w:rPr>
        <w:t>Directive.</w:t>
      </w:r>
    </w:p>
    <w:p>
      <w:pPr>
        <w:pStyle w:val="BodyText"/>
        <w:spacing w:before="4"/>
        <w:rPr>
          <w:sz w:val="20"/>
        </w:rPr>
      </w:pPr>
      <w:r>
        <w:rPr/>
        <mc:AlternateContent>
          <mc:Choice Requires="wps">
            <w:drawing>
              <wp:anchor distT="0" distB="0" distL="0" distR="0" allowOverlap="1" layoutInCell="1" locked="0" behindDoc="1" simplePos="0" relativeHeight="487713792">
                <wp:simplePos x="0" y="0"/>
                <wp:positionH relativeFrom="page">
                  <wp:posOffset>899994</wp:posOffset>
                </wp:positionH>
                <wp:positionV relativeFrom="paragraph">
                  <wp:posOffset>172870</wp:posOffset>
                </wp:positionV>
                <wp:extent cx="6012180" cy="1651635"/>
                <wp:effectExtent l="0" t="0" r="0" b="0"/>
                <wp:wrapTopAndBottom/>
                <wp:docPr id="669" name="Group 669"/>
                <wp:cNvGraphicFramePr>
                  <a:graphicFrameLocks/>
                </wp:cNvGraphicFramePr>
                <a:graphic>
                  <a:graphicData uri="http://schemas.microsoft.com/office/word/2010/wordprocessingGroup">
                    <wpg:wgp>
                      <wpg:cNvPr id="669" name="Group 669"/>
                      <wpg:cNvGrpSpPr/>
                      <wpg:grpSpPr>
                        <a:xfrm>
                          <a:off x="0" y="0"/>
                          <a:ext cx="6012180" cy="1651635"/>
                          <a:chExt cx="6012180" cy="1651635"/>
                        </a:xfrm>
                      </wpg:grpSpPr>
                      <wps:wsp>
                        <wps:cNvPr id="670" name="Graphic 670"/>
                        <wps:cNvSpPr/>
                        <wps:spPr>
                          <a:xfrm>
                            <a:off x="0" y="0"/>
                            <a:ext cx="6012180" cy="1651635"/>
                          </a:xfrm>
                          <a:custGeom>
                            <a:avLst/>
                            <a:gdLst/>
                            <a:ahLst/>
                            <a:cxnLst/>
                            <a:rect l="l" t="t" r="r" b="b"/>
                            <a:pathLst>
                              <a:path w="6012180" h="1651635">
                                <a:moveTo>
                                  <a:pt x="5868009" y="0"/>
                                </a:moveTo>
                                <a:lnTo>
                                  <a:pt x="144005" y="0"/>
                                </a:lnTo>
                                <a:lnTo>
                                  <a:pt x="98490" y="7340"/>
                                </a:lnTo>
                                <a:lnTo>
                                  <a:pt x="58959" y="27782"/>
                                </a:lnTo>
                                <a:lnTo>
                                  <a:pt x="27785" y="58954"/>
                                </a:lnTo>
                                <a:lnTo>
                                  <a:pt x="7341" y="98485"/>
                                </a:lnTo>
                                <a:lnTo>
                                  <a:pt x="0" y="144005"/>
                                </a:lnTo>
                                <a:lnTo>
                                  <a:pt x="0" y="1507096"/>
                                </a:lnTo>
                                <a:lnTo>
                                  <a:pt x="7341" y="1552611"/>
                                </a:lnTo>
                                <a:lnTo>
                                  <a:pt x="27785" y="1592142"/>
                                </a:lnTo>
                                <a:lnTo>
                                  <a:pt x="58959" y="1623315"/>
                                </a:lnTo>
                                <a:lnTo>
                                  <a:pt x="98490" y="1643759"/>
                                </a:lnTo>
                                <a:lnTo>
                                  <a:pt x="144005" y="1651101"/>
                                </a:lnTo>
                                <a:lnTo>
                                  <a:pt x="5868009" y="1651101"/>
                                </a:lnTo>
                                <a:lnTo>
                                  <a:pt x="5913523" y="1643759"/>
                                </a:lnTo>
                                <a:lnTo>
                                  <a:pt x="5953050" y="1623315"/>
                                </a:lnTo>
                                <a:lnTo>
                                  <a:pt x="5984220" y="1592142"/>
                                </a:lnTo>
                                <a:lnTo>
                                  <a:pt x="6004661" y="1552611"/>
                                </a:lnTo>
                                <a:lnTo>
                                  <a:pt x="6012002" y="15070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671" name="Textbox 671"/>
                        <wps:cNvSpPr txBox="1"/>
                        <wps:spPr>
                          <a:xfrm>
                            <a:off x="0" y="0"/>
                            <a:ext cx="6012180" cy="1651635"/>
                          </a:xfrm>
                          <a:prstGeom prst="rect">
                            <a:avLst/>
                          </a:prstGeom>
                        </wps:spPr>
                        <wps:txbx>
                          <w:txbxContent>
                            <w:p>
                              <w:pPr>
                                <w:spacing w:line="232" w:lineRule="auto" w:before="121"/>
                                <w:ind w:left="340" w:right="315" w:firstLine="0"/>
                                <w:jc w:val="left"/>
                                <w:rPr>
                                  <w:b/>
                                  <w:sz w:val="28"/>
                                </w:rPr>
                              </w:pPr>
                              <w:r>
                                <w:rPr>
                                  <w:b/>
                                  <w:color w:val="164194"/>
                                  <w:sz w:val="28"/>
                                </w:rPr>
                                <w:t>We recommend the NI Executive review Northern Ireland public interest disclosure legislation in light of the review in Great Britain and the changes in</w:t>
                              </w:r>
                              <w:r>
                                <w:rPr>
                                  <w:b/>
                                  <w:color w:val="164194"/>
                                  <w:spacing w:val="-6"/>
                                  <w:sz w:val="28"/>
                                </w:rPr>
                                <w:t> </w:t>
                              </w:r>
                              <w:r>
                                <w:rPr>
                                  <w:b/>
                                  <w:color w:val="164194"/>
                                  <w:sz w:val="28"/>
                                </w:rPr>
                                <w:t>Ireland</w:t>
                              </w:r>
                              <w:r>
                                <w:rPr>
                                  <w:b/>
                                  <w:color w:val="164194"/>
                                  <w:spacing w:val="-6"/>
                                  <w:sz w:val="28"/>
                                </w:rPr>
                                <w:t> </w:t>
                              </w:r>
                              <w:r>
                                <w:rPr>
                                  <w:b/>
                                  <w:color w:val="164194"/>
                                  <w:sz w:val="28"/>
                                </w:rPr>
                                <w:t>as</w:t>
                              </w:r>
                              <w:r>
                                <w:rPr>
                                  <w:b/>
                                  <w:color w:val="164194"/>
                                  <w:spacing w:val="-6"/>
                                  <w:sz w:val="28"/>
                                </w:rPr>
                                <w:t> </w:t>
                              </w:r>
                              <w:r>
                                <w:rPr>
                                  <w:b/>
                                  <w:color w:val="164194"/>
                                  <w:sz w:val="28"/>
                                </w:rPr>
                                <w:t>a</w:t>
                              </w:r>
                              <w:r>
                                <w:rPr>
                                  <w:b/>
                                  <w:color w:val="164194"/>
                                  <w:spacing w:val="-6"/>
                                  <w:sz w:val="28"/>
                                </w:rPr>
                                <w:t> </w:t>
                              </w:r>
                              <w:r>
                                <w:rPr>
                                  <w:b/>
                                  <w:color w:val="164194"/>
                                  <w:sz w:val="28"/>
                                </w:rPr>
                                <w:t>result</w:t>
                              </w:r>
                              <w:r>
                                <w:rPr>
                                  <w:b/>
                                  <w:color w:val="164194"/>
                                  <w:spacing w:val="-6"/>
                                  <w:sz w:val="28"/>
                                </w:rPr>
                                <w:t> </w:t>
                              </w:r>
                              <w:r>
                                <w:rPr>
                                  <w:b/>
                                  <w:color w:val="164194"/>
                                  <w:sz w:val="28"/>
                                </w:rPr>
                                <w:t>of</w:t>
                              </w:r>
                              <w:r>
                                <w:rPr>
                                  <w:b/>
                                  <w:color w:val="164194"/>
                                  <w:spacing w:val="-6"/>
                                  <w:sz w:val="28"/>
                                </w:rPr>
                                <w:t> </w:t>
                              </w:r>
                              <w:r>
                                <w:rPr>
                                  <w:b/>
                                  <w:color w:val="164194"/>
                                  <w:sz w:val="28"/>
                                </w:rPr>
                                <w:t>implementing</w:t>
                              </w:r>
                              <w:r>
                                <w:rPr>
                                  <w:b/>
                                  <w:color w:val="164194"/>
                                  <w:spacing w:val="-6"/>
                                  <w:sz w:val="28"/>
                                </w:rPr>
                                <w:t> </w:t>
                              </w:r>
                              <w:r>
                                <w:rPr>
                                  <w:b/>
                                  <w:color w:val="164194"/>
                                  <w:sz w:val="28"/>
                                </w:rPr>
                                <w:t>the</w:t>
                              </w:r>
                              <w:r>
                                <w:rPr>
                                  <w:b/>
                                  <w:color w:val="164194"/>
                                  <w:spacing w:val="-6"/>
                                  <w:sz w:val="28"/>
                                </w:rPr>
                                <w:t> </w:t>
                              </w:r>
                              <w:r>
                                <w:rPr>
                                  <w:b/>
                                  <w:color w:val="164194"/>
                                  <w:sz w:val="28"/>
                                </w:rPr>
                                <w:t>EU</w:t>
                              </w:r>
                              <w:r>
                                <w:rPr>
                                  <w:b/>
                                  <w:color w:val="164194"/>
                                  <w:spacing w:val="-6"/>
                                  <w:sz w:val="28"/>
                                </w:rPr>
                                <w:t> </w:t>
                              </w:r>
                              <w:r>
                                <w:rPr>
                                  <w:b/>
                                  <w:color w:val="164194"/>
                                  <w:sz w:val="28"/>
                                </w:rPr>
                                <w:t>Whistleblowing</w:t>
                              </w:r>
                              <w:r>
                                <w:rPr>
                                  <w:b/>
                                  <w:color w:val="164194"/>
                                  <w:spacing w:val="-6"/>
                                  <w:sz w:val="28"/>
                                </w:rPr>
                                <w:t> </w:t>
                              </w:r>
                              <w:r>
                                <w:rPr>
                                  <w:b/>
                                  <w:color w:val="164194"/>
                                  <w:sz w:val="28"/>
                                </w:rPr>
                                <w:t>Directive,</w:t>
                              </w:r>
                              <w:r>
                                <w:rPr>
                                  <w:b/>
                                  <w:color w:val="164194"/>
                                  <w:spacing w:val="-6"/>
                                  <w:sz w:val="28"/>
                                </w:rPr>
                                <w:t> </w:t>
                              </w:r>
                              <w:r>
                                <w:rPr>
                                  <w:b/>
                                  <w:color w:val="164194"/>
                                  <w:sz w:val="28"/>
                                </w:rPr>
                                <w:t>with a</w:t>
                              </w:r>
                              <w:r>
                                <w:rPr>
                                  <w:b/>
                                  <w:color w:val="164194"/>
                                  <w:spacing w:val="-5"/>
                                  <w:sz w:val="28"/>
                                </w:rPr>
                                <w:t> </w:t>
                              </w:r>
                              <w:r>
                                <w:rPr>
                                  <w:b/>
                                  <w:color w:val="164194"/>
                                  <w:sz w:val="28"/>
                                </w:rPr>
                                <w:t>view</w:t>
                              </w:r>
                              <w:r>
                                <w:rPr>
                                  <w:b/>
                                  <w:color w:val="164194"/>
                                  <w:spacing w:val="-6"/>
                                  <w:sz w:val="28"/>
                                </w:rPr>
                                <w:t> </w:t>
                              </w:r>
                              <w:r>
                                <w:rPr>
                                  <w:b/>
                                  <w:color w:val="164194"/>
                                  <w:sz w:val="28"/>
                                </w:rPr>
                                <w:t>to</w:t>
                              </w:r>
                              <w:r>
                                <w:rPr>
                                  <w:b/>
                                  <w:color w:val="164194"/>
                                  <w:spacing w:val="-5"/>
                                  <w:sz w:val="28"/>
                                </w:rPr>
                                <w:t> </w:t>
                              </w:r>
                              <w:r>
                                <w:rPr>
                                  <w:b/>
                                  <w:color w:val="164194"/>
                                  <w:sz w:val="28"/>
                                </w:rPr>
                                <w:t>amending</w:t>
                              </w:r>
                              <w:r>
                                <w:rPr>
                                  <w:b/>
                                  <w:color w:val="164194"/>
                                  <w:spacing w:val="-6"/>
                                  <w:sz w:val="28"/>
                                </w:rPr>
                                <w:t> </w:t>
                              </w:r>
                              <w:r>
                                <w:rPr>
                                  <w:b/>
                                  <w:color w:val="164194"/>
                                  <w:sz w:val="28"/>
                                </w:rPr>
                                <w:t>legislation</w:t>
                              </w:r>
                              <w:r>
                                <w:rPr>
                                  <w:b/>
                                  <w:color w:val="164194"/>
                                  <w:spacing w:val="-5"/>
                                  <w:sz w:val="28"/>
                                </w:rPr>
                                <w:t> </w:t>
                              </w:r>
                              <w:r>
                                <w:rPr>
                                  <w:b/>
                                  <w:color w:val="164194"/>
                                  <w:sz w:val="28"/>
                                </w:rPr>
                                <w:t>to</w:t>
                              </w:r>
                              <w:r>
                                <w:rPr>
                                  <w:b/>
                                  <w:color w:val="164194"/>
                                  <w:spacing w:val="-5"/>
                                  <w:sz w:val="28"/>
                                </w:rPr>
                                <w:t> </w:t>
                              </w:r>
                              <w:r>
                                <w:rPr>
                                  <w:b/>
                                  <w:color w:val="164194"/>
                                  <w:sz w:val="28"/>
                                </w:rPr>
                                <w:t>strengthen</w:t>
                              </w:r>
                              <w:r>
                                <w:rPr>
                                  <w:b/>
                                  <w:color w:val="164194"/>
                                  <w:spacing w:val="-5"/>
                                  <w:sz w:val="28"/>
                                </w:rPr>
                                <w:t> </w:t>
                              </w:r>
                              <w:r>
                                <w:rPr>
                                  <w:b/>
                                  <w:color w:val="164194"/>
                                  <w:sz w:val="28"/>
                                </w:rPr>
                                <w:t>rights</w:t>
                              </w:r>
                              <w:r>
                                <w:rPr>
                                  <w:b/>
                                  <w:color w:val="164194"/>
                                  <w:spacing w:val="-5"/>
                                  <w:sz w:val="28"/>
                                </w:rPr>
                                <w:t> </w:t>
                              </w:r>
                              <w:r>
                                <w:rPr>
                                  <w:b/>
                                  <w:color w:val="164194"/>
                                  <w:sz w:val="28"/>
                                </w:rPr>
                                <w:t>and</w:t>
                              </w:r>
                              <w:r>
                                <w:rPr>
                                  <w:b/>
                                  <w:color w:val="164194"/>
                                  <w:spacing w:val="-5"/>
                                  <w:sz w:val="28"/>
                                </w:rPr>
                                <w:t> </w:t>
                              </w:r>
                              <w:r>
                                <w:rPr>
                                  <w:b/>
                                  <w:color w:val="164194"/>
                                  <w:sz w:val="28"/>
                                </w:rPr>
                                <w:t>reflect</w:t>
                              </w:r>
                              <w:r>
                                <w:rPr>
                                  <w:b/>
                                  <w:color w:val="164194"/>
                                  <w:spacing w:val="-5"/>
                                  <w:sz w:val="28"/>
                                </w:rPr>
                                <w:t> </w:t>
                              </w:r>
                              <w:r>
                                <w:rPr>
                                  <w:b/>
                                  <w:color w:val="164194"/>
                                  <w:sz w:val="28"/>
                                </w:rPr>
                                <w:t>international human</w:t>
                              </w:r>
                              <w:r>
                                <w:rPr>
                                  <w:b/>
                                  <w:color w:val="164194"/>
                                  <w:spacing w:val="-1"/>
                                  <w:sz w:val="28"/>
                                </w:rPr>
                                <w:t> </w:t>
                              </w:r>
                              <w:r>
                                <w:rPr>
                                  <w:b/>
                                  <w:color w:val="164194"/>
                                  <w:sz w:val="28"/>
                                </w:rPr>
                                <w:t>rights</w:t>
                              </w:r>
                              <w:r>
                                <w:rPr>
                                  <w:b/>
                                  <w:color w:val="164194"/>
                                  <w:spacing w:val="-1"/>
                                  <w:sz w:val="28"/>
                                </w:rPr>
                                <w:t> </w:t>
                              </w:r>
                              <w:r>
                                <w:rPr>
                                  <w:b/>
                                  <w:color w:val="164194"/>
                                  <w:sz w:val="28"/>
                                </w:rPr>
                                <w:t>standards</w:t>
                              </w:r>
                              <w:r>
                                <w:rPr>
                                  <w:b/>
                                  <w:color w:val="164194"/>
                                  <w:spacing w:val="-1"/>
                                  <w:sz w:val="28"/>
                                </w:rPr>
                                <w:t> </w:t>
                              </w:r>
                              <w:r>
                                <w:rPr>
                                  <w:b/>
                                  <w:color w:val="164194"/>
                                  <w:sz w:val="28"/>
                                </w:rPr>
                                <w:t>and</w:t>
                              </w:r>
                              <w:r>
                                <w:rPr>
                                  <w:b/>
                                  <w:color w:val="164194"/>
                                  <w:spacing w:val="-1"/>
                                  <w:sz w:val="28"/>
                                </w:rPr>
                                <w:t> </w:t>
                              </w:r>
                              <w:r>
                                <w:rPr>
                                  <w:b/>
                                  <w:color w:val="164194"/>
                                  <w:sz w:val="28"/>
                                </w:rPr>
                                <w:t>best</w:t>
                              </w:r>
                              <w:r>
                                <w:rPr>
                                  <w:b/>
                                  <w:color w:val="164194"/>
                                  <w:spacing w:val="-1"/>
                                  <w:sz w:val="28"/>
                                </w:rPr>
                                <w:t> </w:t>
                              </w:r>
                              <w:r>
                                <w:rPr>
                                  <w:b/>
                                  <w:color w:val="164194"/>
                                  <w:sz w:val="28"/>
                                </w:rPr>
                                <w:t>practice,</w:t>
                              </w:r>
                              <w:r>
                                <w:rPr>
                                  <w:b/>
                                  <w:color w:val="164194"/>
                                  <w:spacing w:val="-1"/>
                                  <w:sz w:val="28"/>
                                </w:rPr>
                                <w:t> </w:t>
                              </w:r>
                              <w:r>
                                <w:rPr>
                                  <w:b/>
                                  <w:color w:val="164194"/>
                                  <w:sz w:val="28"/>
                                </w:rPr>
                                <w:t>in</w:t>
                              </w:r>
                              <w:r>
                                <w:rPr>
                                  <w:b/>
                                  <w:color w:val="164194"/>
                                  <w:spacing w:val="-1"/>
                                  <w:sz w:val="28"/>
                                </w:rPr>
                                <w:t> </w:t>
                              </w:r>
                              <w:r>
                                <w:rPr>
                                  <w:b/>
                                  <w:color w:val="164194"/>
                                  <w:sz w:val="28"/>
                                </w:rPr>
                                <w:t>particular</w:t>
                              </w:r>
                              <w:r>
                                <w:rPr>
                                  <w:b/>
                                  <w:color w:val="164194"/>
                                  <w:spacing w:val="-2"/>
                                  <w:sz w:val="28"/>
                                </w:rPr>
                                <w:t> </w:t>
                              </w:r>
                              <w:r>
                                <w:rPr>
                                  <w:b/>
                                  <w:color w:val="164194"/>
                                  <w:sz w:val="28"/>
                                </w:rPr>
                                <w:t>to</w:t>
                              </w:r>
                              <w:r>
                                <w:rPr>
                                  <w:b/>
                                  <w:color w:val="164194"/>
                                  <w:spacing w:val="-1"/>
                                  <w:sz w:val="28"/>
                                </w:rPr>
                                <w:t> </w:t>
                              </w:r>
                              <w:r>
                                <w:rPr>
                                  <w:b/>
                                  <w:color w:val="164194"/>
                                  <w:sz w:val="28"/>
                                </w:rPr>
                                <w:t>expand</w:t>
                              </w:r>
                              <w:r>
                                <w:rPr>
                                  <w:b/>
                                  <w:color w:val="164194"/>
                                  <w:spacing w:val="-1"/>
                                  <w:sz w:val="28"/>
                                </w:rPr>
                                <w:t> </w:t>
                              </w:r>
                              <w:r>
                                <w:rPr>
                                  <w:b/>
                                  <w:color w:val="164194"/>
                                  <w:sz w:val="28"/>
                                </w:rPr>
                                <w:t>the</w:t>
                              </w:r>
                              <w:r>
                                <w:rPr>
                                  <w:b/>
                                  <w:color w:val="164194"/>
                                  <w:spacing w:val="-2"/>
                                  <w:sz w:val="28"/>
                                </w:rPr>
                                <w:t> </w:t>
                              </w:r>
                              <w:r>
                                <w:rPr>
                                  <w:b/>
                                  <w:color w:val="164194"/>
                                  <w:sz w:val="28"/>
                                </w:rPr>
                                <w:t>scope of people protected and to require companies to adopt internal reporting </w:t>
                              </w:r>
                              <w:r>
                                <w:rPr>
                                  <w:b/>
                                  <w:color w:val="164194"/>
                                  <w:spacing w:val="-2"/>
                                  <w:sz w:val="28"/>
                                </w:rPr>
                                <w:t>channels.</w:t>
                              </w:r>
                            </w:p>
                          </w:txbxContent>
                        </wps:txbx>
                        <wps:bodyPr wrap="square" lIns="0" tIns="0" rIns="0" bIns="0" rtlCol="0">
                          <a:noAutofit/>
                        </wps:bodyPr>
                      </wps:wsp>
                    </wpg:wgp>
                  </a:graphicData>
                </a:graphic>
              </wp:anchor>
            </w:drawing>
          </mc:Choice>
          <mc:Fallback>
            <w:pict>
              <v:group style="position:absolute;margin-left:70.8657pt;margin-top:13.611883pt;width:473.4pt;height:130.0500pt;mso-position-horizontal-relative:page;mso-position-vertical-relative:paragraph;z-index:-15602688;mso-wrap-distance-left:0;mso-wrap-distance-right:0" id="docshapegroup543" coordorigin="1417,272" coordsize="9468,2601">
                <v:shape style="position:absolute;left:1417;top:272;width:9468;height:2601" id="docshape544" coordorigin="1417,272" coordsize="9468,2601" path="m10658,272l1644,272,1572,284,1510,316,1461,365,1429,427,1417,499,1417,2646,1429,2717,1461,2780,1510,2829,1572,2861,1644,2872,10658,2872,10730,2861,10792,2829,10841,2780,10873,2717,10885,2646,10885,499,10873,427,10841,365,10792,316,10730,284,10658,272xe" filled="true" fillcolor="#e9f3fc" stroked="false">
                  <v:path arrowok="t"/>
                  <v:fill type="solid"/>
                </v:shape>
                <v:shape style="position:absolute;left:1417;top:272;width:9468;height:2601" type="#_x0000_t202" id="docshape545" filled="false" stroked="false">
                  <v:textbox inset="0,0,0,0">
                    <w:txbxContent>
                      <w:p>
                        <w:pPr>
                          <w:spacing w:line="232" w:lineRule="auto" w:before="121"/>
                          <w:ind w:left="340" w:right="315" w:firstLine="0"/>
                          <w:jc w:val="left"/>
                          <w:rPr>
                            <w:b/>
                            <w:sz w:val="28"/>
                          </w:rPr>
                        </w:pPr>
                        <w:r>
                          <w:rPr>
                            <w:b/>
                            <w:color w:val="164194"/>
                            <w:sz w:val="28"/>
                          </w:rPr>
                          <w:t>We recommend the NI Executive review Northern Ireland public interest disclosure legislation in light of the review in Great Britain and the changes in</w:t>
                        </w:r>
                        <w:r>
                          <w:rPr>
                            <w:b/>
                            <w:color w:val="164194"/>
                            <w:spacing w:val="-6"/>
                            <w:sz w:val="28"/>
                          </w:rPr>
                          <w:t> </w:t>
                        </w:r>
                        <w:r>
                          <w:rPr>
                            <w:b/>
                            <w:color w:val="164194"/>
                            <w:sz w:val="28"/>
                          </w:rPr>
                          <w:t>Ireland</w:t>
                        </w:r>
                        <w:r>
                          <w:rPr>
                            <w:b/>
                            <w:color w:val="164194"/>
                            <w:spacing w:val="-6"/>
                            <w:sz w:val="28"/>
                          </w:rPr>
                          <w:t> </w:t>
                        </w:r>
                        <w:r>
                          <w:rPr>
                            <w:b/>
                            <w:color w:val="164194"/>
                            <w:sz w:val="28"/>
                          </w:rPr>
                          <w:t>as</w:t>
                        </w:r>
                        <w:r>
                          <w:rPr>
                            <w:b/>
                            <w:color w:val="164194"/>
                            <w:spacing w:val="-6"/>
                            <w:sz w:val="28"/>
                          </w:rPr>
                          <w:t> </w:t>
                        </w:r>
                        <w:r>
                          <w:rPr>
                            <w:b/>
                            <w:color w:val="164194"/>
                            <w:sz w:val="28"/>
                          </w:rPr>
                          <w:t>a</w:t>
                        </w:r>
                        <w:r>
                          <w:rPr>
                            <w:b/>
                            <w:color w:val="164194"/>
                            <w:spacing w:val="-6"/>
                            <w:sz w:val="28"/>
                          </w:rPr>
                          <w:t> </w:t>
                        </w:r>
                        <w:r>
                          <w:rPr>
                            <w:b/>
                            <w:color w:val="164194"/>
                            <w:sz w:val="28"/>
                          </w:rPr>
                          <w:t>result</w:t>
                        </w:r>
                        <w:r>
                          <w:rPr>
                            <w:b/>
                            <w:color w:val="164194"/>
                            <w:spacing w:val="-6"/>
                            <w:sz w:val="28"/>
                          </w:rPr>
                          <w:t> </w:t>
                        </w:r>
                        <w:r>
                          <w:rPr>
                            <w:b/>
                            <w:color w:val="164194"/>
                            <w:sz w:val="28"/>
                          </w:rPr>
                          <w:t>of</w:t>
                        </w:r>
                        <w:r>
                          <w:rPr>
                            <w:b/>
                            <w:color w:val="164194"/>
                            <w:spacing w:val="-6"/>
                            <w:sz w:val="28"/>
                          </w:rPr>
                          <w:t> </w:t>
                        </w:r>
                        <w:r>
                          <w:rPr>
                            <w:b/>
                            <w:color w:val="164194"/>
                            <w:sz w:val="28"/>
                          </w:rPr>
                          <w:t>implementing</w:t>
                        </w:r>
                        <w:r>
                          <w:rPr>
                            <w:b/>
                            <w:color w:val="164194"/>
                            <w:spacing w:val="-6"/>
                            <w:sz w:val="28"/>
                          </w:rPr>
                          <w:t> </w:t>
                        </w:r>
                        <w:r>
                          <w:rPr>
                            <w:b/>
                            <w:color w:val="164194"/>
                            <w:sz w:val="28"/>
                          </w:rPr>
                          <w:t>the</w:t>
                        </w:r>
                        <w:r>
                          <w:rPr>
                            <w:b/>
                            <w:color w:val="164194"/>
                            <w:spacing w:val="-6"/>
                            <w:sz w:val="28"/>
                          </w:rPr>
                          <w:t> </w:t>
                        </w:r>
                        <w:r>
                          <w:rPr>
                            <w:b/>
                            <w:color w:val="164194"/>
                            <w:sz w:val="28"/>
                          </w:rPr>
                          <w:t>EU</w:t>
                        </w:r>
                        <w:r>
                          <w:rPr>
                            <w:b/>
                            <w:color w:val="164194"/>
                            <w:spacing w:val="-6"/>
                            <w:sz w:val="28"/>
                          </w:rPr>
                          <w:t> </w:t>
                        </w:r>
                        <w:r>
                          <w:rPr>
                            <w:b/>
                            <w:color w:val="164194"/>
                            <w:sz w:val="28"/>
                          </w:rPr>
                          <w:t>Whistleblowing</w:t>
                        </w:r>
                        <w:r>
                          <w:rPr>
                            <w:b/>
                            <w:color w:val="164194"/>
                            <w:spacing w:val="-6"/>
                            <w:sz w:val="28"/>
                          </w:rPr>
                          <w:t> </w:t>
                        </w:r>
                        <w:r>
                          <w:rPr>
                            <w:b/>
                            <w:color w:val="164194"/>
                            <w:sz w:val="28"/>
                          </w:rPr>
                          <w:t>Directive,</w:t>
                        </w:r>
                        <w:r>
                          <w:rPr>
                            <w:b/>
                            <w:color w:val="164194"/>
                            <w:spacing w:val="-6"/>
                            <w:sz w:val="28"/>
                          </w:rPr>
                          <w:t> </w:t>
                        </w:r>
                        <w:r>
                          <w:rPr>
                            <w:b/>
                            <w:color w:val="164194"/>
                            <w:sz w:val="28"/>
                          </w:rPr>
                          <w:t>with a</w:t>
                        </w:r>
                        <w:r>
                          <w:rPr>
                            <w:b/>
                            <w:color w:val="164194"/>
                            <w:spacing w:val="-5"/>
                            <w:sz w:val="28"/>
                          </w:rPr>
                          <w:t> </w:t>
                        </w:r>
                        <w:r>
                          <w:rPr>
                            <w:b/>
                            <w:color w:val="164194"/>
                            <w:sz w:val="28"/>
                          </w:rPr>
                          <w:t>view</w:t>
                        </w:r>
                        <w:r>
                          <w:rPr>
                            <w:b/>
                            <w:color w:val="164194"/>
                            <w:spacing w:val="-6"/>
                            <w:sz w:val="28"/>
                          </w:rPr>
                          <w:t> </w:t>
                        </w:r>
                        <w:r>
                          <w:rPr>
                            <w:b/>
                            <w:color w:val="164194"/>
                            <w:sz w:val="28"/>
                          </w:rPr>
                          <w:t>to</w:t>
                        </w:r>
                        <w:r>
                          <w:rPr>
                            <w:b/>
                            <w:color w:val="164194"/>
                            <w:spacing w:val="-5"/>
                            <w:sz w:val="28"/>
                          </w:rPr>
                          <w:t> </w:t>
                        </w:r>
                        <w:r>
                          <w:rPr>
                            <w:b/>
                            <w:color w:val="164194"/>
                            <w:sz w:val="28"/>
                          </w:rPr>
                          <w:t>amending</w:t>
                        </w:r>
                        <w:r>
                          <w:rPr>
                            <w:b/>
                            <w:color w:val="164194"/>
                            <w:spacing w:val="-6"/>
                            <w:sz w:val="28"/>
                          </w:rPr>
                          <w:t> </w:t>
                        </w:r>
                        <w:r>
                          <w:rPr>
                            <w:b/>
                            <w:color w:val="164194"/>
                            <w:sz w:val="28"/>
                          </w:rPr>
                          <w:t>legislation</w:t>
                        </w:r>
                        <w:r>
                          <w:rPr>
                            <w:b/>
                            <w:color w:val="164194"/>
                            <w:spacing w:val="-5"/>
                            <w:sz w:val="28"/>
                          </w:rPr>
                          <w:t> </w:t>
                        </w:r>
                        <w:r>
                          <w:rPr>
                            <w:b/>
                            <w:color w:val="164194"/>
                            <w:sz w:val="28"/>
                          </w:rPr>
                          <w:t>to</w:t>
                        </w:r>
                        <w:r>
                          <w:rPr>
                            <w:b/>
                            <w:color w:val="164194"/>
                            <w:spacing w:val="-5"/>
                            <w:sz w:val="28"/>
                          </w:rPr>
                          <w:t> </w:t>
                        </w:r>
                        <w:r>
                          <w:rPr>
                            <w:b/>
                            <w:color w:val="164194"/>
                            <w:sz w:val="28"/>
                          </w:rPr>
                          <w:t>strengthen</w:t>
                        </w:r>
                        <w:r>
                          <w:rPr>
                            <w:b/>
                            <w:color w:val="164194"/>
                            <w:spacing w:val="-5"/>
                            <w:sz w:val="28"/>
                          </w:rPr>
                          <w:t> </w:t>
                        </w:r>
                        <w:r>
                          <w:rPr>
                            <w:b/>
                            <w:color w:val="164194"/>
                            <w:sz w:val="28"/>
                          </w:rPr>
                          <w:t>rights</w:t>
                        </w:r>
                        <w:r>
                          <w:rPr>
                            <w:b/>
                            <w:color w:val="164194"/>
                            <w:spacing w:val="-5"/>
                            <w:sz w:val="28"/>
                          </w:rPr>
                          <w:t> </w:t>
                        </w:r>
                        <w:r>
                          <w:rPr>
                            <w:b/>
                            <w:color w:val="164194"/>
                            <w:sz w:val="28"/>
                          </w:rPr>
                          <w:t>and</w:t>
                        </w:r>
                        <w:r>
                          <w:rPr>
                            <w:b/>
                            <w:color w:val="164194"/>
                            <w:spacing w:val="-5"/>
                            <w:sz w:val="28"/>
                          </w:rPr>
                          <w:t> </w:t>
                        </w:r>
                        <w:r>
                          <w:rPr>
                            <w:b/>
                            <w:color w:val="164194"/>
                            <w:sz w:val="28"/>
                          </w:rPr>
                          <w:t>reflect</w:t>
                        </w:r>
                        <w:r>
                          <w:rPr>
                            <w:b/>
                            <w:color w:val="164194"/>
                            <w:spacing w:val="-5"/>
                            <w:sz w:val="28"/>
                          </w:rPr>
                          <w:t> </w:t>
                        </w:r>
                        <w:r>
                          <w:rPr>
                            <w:b/>
                            <w:color w:val="164194"/>
                            <w:sz w:val="28"/>
                          </w:rPr>
                          <w:t>international human</w:t>
                        </w:r>
                        <w:r>
                          <w:rPr>
                            <w:b/>
                            <w:color w:val="164194"/>
                            <w:spacing w:val="-1"/>
                            <w:sz w:val="28"/>
                          </w:rPr>
                          <w:t> </w:t>
                        </w:r>
                        <w:r>
                          <w:rPr>
                            <w:b/>
                            <w:color w:val="164194"/>
                            <w:sz w:val="28"/>
                          </w:rPr>
                          <w:t>rights</w:t>
                        </w:r>
                        <w:r>
                          <w:rPr>
                            <w:b/>
                            <w:color w:val="164194"/>
                            <w:spacing w:val="-1"/>
                            <w:sz w:val="28"/>
                          </w:rPr>
                          <w:t> </w:t>
                        </w:r>
                        <w:r>
                          <w:rPr>
                            <w:b/>
                            <w:color w:val="164194"/>
                            <w:sz w:val="28"/>
                          </w:rPr>
                          <w:t>standards</w:t>
                        </w:r>
                        <w:r>
                          <w:rPr>
                            <w:b/>
                            <w:color w:val="164194"/>
                            <w:spacing w:val="-1"/>
                            <w:sz w:val="28"/>
                          </w:rPr>
                          <w:t> </w:t>
                        </w:r>
                        <w:r>
                          <w:rPr>
                            <w:b/>
                            <w:color w:val="164194"/>
                            <w:sz w:val="28"/>
                          </w:rPr>
                          <w:t>and</w:t>
                        </w:r>
                        <w:r>
                          <w:rPr>
                            <w:b/>
                            <w:color w:val="164194"/>
                            <w:spacing w:val="-1"/>
                            <w:sz w:val="28"/>
                          </w:rPr>
                          <w:t> </w:t>
                        </w:r>
                        <w:r>
                          <w:rPr>
                            <w:b/>
                            <w:color w:val="164194"/>
                            <w:sz w:val="28"/>
                          </w:rPr>
                          <w:t>best</w:t>
                        </w:r>
                        <w:r>
                          <w:rPr>
                            <w:b/>
                            <w:color w:val="164194"/>
                            <w:spacing w:val="-1"/>
                            <w:sz w:val="28"/>
                          </w:rPr>
                          <w:t> </w:t>
                        </w:r>
                        <w:r>
                          <w:rPr>
                            <w:b/>
                            <w:color w:val="164194"/>
                            <w:sz w:val="28"/>
                          </w:rPr>
                          <w:t>practice,</w:t>
                        </w:r>
                        <w:r>
                          <w:rPr>
                            <w:b/>
                            <w:color w:val="164194"/>
                            <w:spacing w:val="-1"/>
                            <w:sz w:val="28"/>
                          </w:rPr>
                          <w:t> </w:t>
                        </w:r>
                        <w:r>
                          <w:rPr>
                            <w:b/>
                            <w:color w:val="164194"/>
                            <w:sz w:val="28"/>
                          </w:rPr>
                          <w:t>in</w:t>
                        </w:r>
                        <w:r>
                          <w:rPr>
                            <w:b/>
                            <w:color w:val="164194"/>
                            <w:spacing w:val="-1"/>
                            <w:sz w:val="28"/>
                          </w:rPr>
                          <w:t> </w:t>
                        </w:r>
                        <w:r>
                          <w:rPr>
                            <w:b/>
                            <w:color w:val="164194"/>
                            <w:sz w:val="28"/>
                          </w:rPr>
                          <w:t>particular</w:t>
                        </w:r>
                        <w:r>
                          <w:rPr>
                            <w:b/>
                            <w:color w:val="164194"/>
                            <w:spacing w:val="-2"/>
                            <w:sz w:val="28"/>
                          </w:rPr>
                          <w:t> </w:t>
                        </w:r>
                        <w:r>
                          <w:rPr>
                            <w:b/>
                            <w:color w:val="164194"/>
                            <w:sz w:val="28"/>
                          </w:rPr>
                          <w:t>to</w:t>
                        </w:r>
                        <w:r>
                          <w:rPr>
                            <w:b/>
                            <w:color w:val="164194"/>
                            <w:spacing w:val="-1"/>
                            <w:sz w:val="28"/>
                          </w:rPr>
                          <w:t> </w:t>
                        </w:r>
                        <w:r>
                          <w:rPr>
                            <w:b/>
                            <w:color w:val="164194"/>
                            <w:sz w:val="28"/>
                          </w:rPr>
                          <w:t>expand</w:t>
                        </w:r>
                        <w:r>
                          <w:rPr>
                            <w:b/>
                            <w:color w:val="164194"/>
                            <w:spacing w:val="-1"/>
                            <w:sz w:val="28"/>
                          </w:rPr>
                          <w:t> </w:t>
                        </w:r>
                        <w:r>
                          <w:rPr>
                            <w:b/>
                            <w:color w:val="164194"/>
                            <w:sz w:val="28"/>
                          </w:rPr>
                          <w:t>the</w:t>
                        </w:r>
                        <w:r>
                          <w:rPr>
                            <w:b/>
                            <w:color w:val="164194"/>
                            <w:spacing w:val="-2"/>
                            <w:sz w:val="28"/>
                          </w:rPr>
                          <w:t> </w:t>
                        </w:r>
                        <w:r>
                          <w:rPr>
                            <w:b/>
                            <w:color w:val="164194"/>
                            <w:sz w:val="28"/>
                          </w:rPr>
                          <w:t>scope of people protected and to require companies to adopt internal reporting </w:t>
                        </w:r>
                        <w:r>
                          <w:rPr>
                            <w:b/>
                            <w:color w:val="164194"/>
                            <w:spacing w:val="-2"/>
                            <w:sz w:val="28"/>
                          </w:rPr>
                          <w:t>channels.</w:t>
                        </w:r>
                      </w:p>
                    </w:txbxContent>
                  </v:textbox>
                  <w10:wrap type="none"/>
                </v:shape>
                <w10:wrap type="topAndBottom"/>
              </v:group>
            </w:pict>
          </mc:Fallback>
        </mc:AlternateContent>
      </w:r>
    </w:p>
    <w:p>
      <w:pPr>
        <w:pStyle w:val="Heading2"/>
        <w:numPr>
          <w:ilvl w:val="1"/>
          <w:numId w:val="24"/>
        </w:numPr>
        <w:tabs>
          <w:tab w:pos="1761" w:val="left" w:leader="none"/>
        </w:tabs>
        <w:spacing w:line="240" w:lineRule="auto" w:before="305" w:after="0"/>
        <w:ind w:left="1761" w:right="0" w:hanging="644"/>
        <w:jc w:val="left"/>
      </w:pPr>
      <w:r>
        <w:rPr>
          <w:color w:val="004A93"/>
          <w:spacing w:val="-2"/>
        </w:rPr>
        <w:t>Conclusion</w:t>
      </w:r>
    </w:p>
    <w:p>
      <w:pPr>
        <w:pStyle w:val="BodyText"/>
        <w:spacing w:before="9"/>
        <w:rPr>
          <w:b/>
          <w:sz w:val="5"/>
        </w:rPr>
      </w:pPr>
      <w:r>
        <w:rPr/>
        <mc:AlternateContent>
          <mc:Choice Requires="wps">
            <w:drawing>
              <wp:anchor distT="0" distB="0" distL="0" distR="0" allowOverlap="1" layoutInCell="1" locked="0" behindDoc="1" simplePos="0" relativeHeight="487714304">
                <wp:simplePos x="0" y="0"/>
                <wp:positionH relativeFrom="page">
                  <wp:posOffset>899999</wp:posOffset>
                </wp:positionH>
                <wp:positionV relativeFrom="paragraph">
                  <wp:posOffset>60076</wp:posOffset>
                </wp:positionV>
                <wp:extent cx="6012180" cy="1270"/>
                <wp:effectExtent l="0" t="0" r="0" b="0"/>
                <wp:wrapTopAndBottom/>
                <wp:docPr id="672" name="Graphic 672"/>
                <wp:cNvGraphicFramePr>
                  <a:graphicFrameLocks/>
                </wp:cNvGraphicFramePr>
                <a:graphic>
                  <a:graphicData uri="http://schemas.microsoft.com/office/word/2010/wordprocessingShape">
                    <wps:wsp>
                      <wps:cNvPr id="672" name="Graphic 672"/>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73045pt;width:473.4pt;height:.1pt;mso-position-horizontal-relative:page;mso-position-vertical-relative:paragraph;z-index:-15602176;mso-wrap-distance-left:0;mso-wrap-distance-right:0" id="docshape546" coordorigin="1417,95" coordsize="9468,0" path="m1417,95l10885,95e" filled="false" stroked="true" strokeweight="1pt" strokecolor="#36a9e1">
                <v:path arrowok="t"/>
                <v:stroke dashstyle="solid"/>
                <w10:wrap type="topAndBottom"/>
              </v:shape>
            </w:pict>
          </mc:Fallback>
        </mc:AlternateContent>
      </w:r>
    </w:p>
    <w:p>
      <w:pPr>
        <w:pStyle w:val="BodyText"/>
        <w:spacing w:line="232" w:lineRule="auto" w:before="108"/>
        <w:ind w:left="1117" w:right="805"/>
      </w:pPr>
      <w:r>
        <w:rPr/>
        <w:t>We</w:t>
      </w:r>
      <w:r>
        <w:rPr>
          <w:spacing w:val="-4"/>
        </w:rPr>
        <w:t> </w:t>
      </w:r>
      <w:r>
        <w:rPr/>
        <w:t>have</w:t>
      </w:r>
      <w:r>
        <w:rPr>
          <w:spacing w:val="-4"/>
        </w:rPr>
        <w:t> </w:t>
      </w:r>
      <w:r>
        <w:rPr/>
        <w:t>highlighted</w:t>
      </w:r>
      <w:r>
        <w:rPr>
          <w:spacing w:val="-5"/>
        </w:rPr>
        <w:t> </w:t>
      </w:r>
      <w:r>
        <w:rPr/>
        <w:t>some</w:t>
      </w:r>
      <w:r>
        <w:rPr>
          <w:spacing w:val="-4"/>
        </w:rPr>
        <w:t> </w:t>
      </w:r>
      <w:r>
        <w:rPr/>
        <w:t>important</w:t>
      </w:r>
      <w:r>
        <w:rPr>
          <w:spacing w:val="-4"/>
        </w:rPr>
        <w:t> </w:t>
      </w:r>
      <w:r>
        <w:rPr/>
        <w:t>developments</w:t>
      </w:r>
      <w:r>
        <w:rPr>
          <w:spacing w:val="-4"/>
        </w:rPr>
        <w:t> </w:t>
      </w:r>
      <w:r>
        <w:rPr/>
        <w:t>on</w:t>
      </w:r>
      <w:r>
        <w:rPr>
          <w:spacing w:val="-5"/>
        </w:rPr>
        <w:t> </w:t>
      </w:r>
      <w:r>
        <w:rPr/>
        <w:t>rights</w:t>
      </w:r>
      <w:r>
        <w:rPr>
          <w:spacing w:val="-4"/>
        </w:rPr>
        <w:t> </w:t>
      </w:r>
      <w:r>
        <w:rPr/>
        <w:t>and</w:t>
      </w:r>
      <w:r>
        <w:rPr>
          <w:spacing w:val="-5"/>
        </w:rPr>
        <w:t> </w:t>
      </w:r>
      <w:r>
        <w:rPr/>
        <w:t>equality</w:t>
      </w:r>
      <w:r>
        <w:rPr>
          <w:spacing w:val="-4"/>
        </w:rPr>
        <w:t> </w:t>
      </w:r>
      <w:r>
        <w:rPr/>
        <w:t>in</w:t>
      </w:r>
      <w:r>
        <w:rPr/>
        <w:t> Ireland</w:t>
      </w:r>
      <w:r>
        <w:rPr>
          <w:spacing w:val="-4"/>
        </w:rPr>
        <w:t> </w:t>
      </w:r>
      <w:r>
        <w:rPr/>
        <w:t>during</w:t>
      </w:r>
      <w:r>
        <w:rPr>
          <w:spacing w:val="-3"/>
        </w:rPr>
        <w:t> </w:t>
      </w:r>
      <w:r>
        <w:rPr/>
        <w:t>the</w:t>
      </w:r>
      <w:r>
        <w:rPr>
          <w:spacing w:val="-3"/>
        </w:rPr>
        <w:t> </w:t>
      </w:r>
      <w:r>
        <w:rPr/>
        <w:t>relevant</w:t>
      </w:r>
      <w:r>
        <w:rPr>
          <w:spacing w:val="-3"/>
        </w:rPr>
        <w:t> </w:t>
      </w:r>
      <w:r>
        <w:rPr/>
        <w:t>period.</w:t>
      </w:r>
      <w:r>
        <w:rPr>
          <w:spacing w:val="-4"/>
        </w:rPr>
        <w:t> </w:t>
      </w:r>
      <w:r>
        <w:rPr/>
        <w:t>It</w:t>
      </w:r>
      <w:r>
        <w:rPr>
          <w:spacing w:val="-3"/>
        </w:rPr>
        <w:t> </w:t>
      </w:r>
      <w:r>
        <w:rPr/>
        <w:t>is</w:t>
      </w:r>
      <w:r>
        <w:rPr>
          <w:spacing w:val="-3"/>
        </w:rPr>
        <w:t> </w:t>
      </w:r>
      <w:r>
        <w:rPr/>
        <w:t>striking</w:t>
      </w:r>
      <w:r>
        <w:rPr>
          <w:spacing w:val="-3"/>
        </w:rPr>
        <w:t> </w:t>
      </w:r>
      <w:r>
        <w:rPr/>
        <w:t>that,</w:t>
      </w:r>
      <w:r>
        <w:rPr>
          <w:spacing w:val="-3"/>
        </w:rPr>
        <w:t> </w:t>
      </w:r>
      <w:r>
        <w:rPr/>
        <w:t>in</w:t>
      </w:r>
      <w:r>
        <w:rPr>
          <w:spacing w:val="-4"/>
        </w:rPr>
        <w:t> </w:t>
      </w:r>
      <w:r>
        <w:rPr/>
        <w:t>the</w:t>
      </w:r>
      <w:r>
        <w:rPr>
          <w:spacing w:val="-3"/>
        </w:rPr>
        <w:t> </w:t>
      </w:r>
      <w:r>
        <w:rPr/>
        <w:t>wake</w:t>
      </w:r>
      <w:r>
        <w:rPr>
          <w:spacing w:val="-3"/>
        </w:rPr>
        <w:t> </w:t>
      </w:r>
      <w:r>
        <w:rPr/>
        <w:t>of</w:t>
      </w:r>
      <w:r>
        <w:rPr>
          <w:spacing w:val="-4"/>
        </w:rPr>
        <w:t> </w:t>
      </w:r>
      <w:r>
        <w:rPr/>
        <w:t>the</w:t>
      </w:r>
      <w:r>
        <w:rPr>
          <w:spacing w:val="-3"/>
        </w:rPr>
        <w:t> </w:t>
      </w:r>
      <w:r>
        <w:rPr/>
        <w:t>pandemic, </w:t>
      </w:r>
      <w:r>
        <w:rPr>
          <w:spacing w:val="-2"/>
        </w:rPr>
        <w:t>Ireland</w:t>
      </w:r>
      <w:r>
        <w:rPr>
          <w:spacing w:val="-8"/>
        </w:rPr>
        <w:t> </w:t>
      </w:r>
      <w:r>
        <w:rPr>
          <w:spacing w:val="-2"/>
        </w:rPr>
        <w:t>has</w:t>
      </w:r>
      <w:r>
        <w:rPr>
          <w:spacing w:val="-7"/>
        </w:rPr>
        <w:t> </w:t>
      </w:r>
      <w:r>
        <w:rPr>
          <w:spacing w:val="-2"/>
        </w:rPr>
        <w:t>announced</w:t>
      </w:r>
      <w:r>
        <w:rPr>
          <w:spacing w:val="-8"/>
        </w:rPr>
        <w:t> </w:t>
      </w:r>
      <w:r>
        <w:rPr>
          <w:spacing w:val="-2"/>
        </w:rPr>
        <w:t>many</w:t>
      </w:r>
      <w:r>
        <w:rPr>
          <w:spacing w:val="-7"/>
        </w:rPr>
        <w:t> </w:t>
      </w:r>
      <w:r>
        <w:rPr>
          <w:spacing w:val="-2"/>
        </w:rPr>
        <w:t>important</w:t>
      </w:r>
      <w:r>
        <w:rPr>
          <w:spacing w:val="-7"/>
        </w:rPr>
        <w:t> </w:t>
      </w:r>
      <w:r>
        <w:rPr>
          <w:spacing w:val="-2"/>
        </w:rPr>
        <w:t>commitments</w:t>
      </w:r>
      <w:r>
        <w:rPr>
          <w:spacing w:val="-7"/>
        </w:rPr>
        <w:t> </w:t>
      </w:r>
      <w:r>
        <w:rPr>
          <w:spacing w:val="-2"/>
        </w:rPr>
        <w:t>to</w:t>
      </w:r>
      <w:r>
        <w:rPr>
          <w:spacing w:val="-8"/>
        </w:rPr>
        <w:t> </w:t>
      </w:r>
      <w:r>
        <w:rPr>
          <w:spacing w:val="-2"/>
        </w:rPr>
        <w:t>enhance</w:t>
      </w:r>
      <w:r>
        <w:rPr>
          <w:spacing w:val="-7"/>
        </w:rPr>
        <w:t> </w:t>
      </w:r>
      <w:r>
        <w:rPr>
          <w:spacing w:val="-2"/>
        </w:rPr>
        <w:t>human</w:t>
      </w:r>
      <w:r>
        <w:rPr>
          <w:spacing w:val="-8"/>
        </w:rPr>
        <w:t> </w:t>
      </w:r>
      <w:r>
        <w:rPr>
          <w:spacing w:val="-2"/>
        </w:rPr>
        <w:t>rights</w:t>
      </w:r>
      <w:r>
        <w:rPr>
          <w:spacing w:val="-7"/>
        </w:rPr>
        <w:t> </w:t>
      </w:r>
      <w:r>
        <w:rPr>
          <w:spacing w:val="-2"/>
        </w:rPr>
        <w:t>and </w:t>
      </w:r>
      <w:r>
        <w:rPr/>
        <w:t>equality</w:t>
      </w:r>
      <w:r>
        <w:rPr>
          <w:spacing w:val="-5"/>
        </w:rPr>
        <w:t> </w:t>
      </w:r>
      <w:r>
        <w:rPr/>
        <w:t>protections.</w:t>
      </w:r>
      <w:r>
        <w:rPr>
          <w:spacing w:val="-6"/>
        </w:rPr>
        <w:t> </w:t>
      </w:r>
      <w:r>
        <w:rPr/>
        <w:t>Often,</w:t>
      </w:r>
      <w:r>
        <w:rPr>
          <w:spacing w:val="-5"/>
        </w:rPr>
        <w:t> </w:t>
      </w:r>
      <w:r>
        <w:rPr/>
        <w:t>these</w:t>
      </w:r>
      <w:r>
        <w:rPr>
          <w:spacing w:val="-5"/>
        </w:rPr>
        <w:t> </w:t>
      </w:r>
      <w:r>
        <w:rPr/>
        <w:t>relate</w:t>
      </w:r>
      <w:r>
        <w:rPr>
          <w:spacing w:val="-5"/>
        </w:rPr>
        <w:t> </w:t>
      </w:r>
      <w:r>
        <w:rPr/>
        <w:t>to</w:t>
      </w:r>
      <w:r>
        <w:rPr>
          <w:spacing w:val="-6"/>
        </w:rPr>
        <w:t> </w:t>
      </w:r>
      <w:r>
        <w:rPr/>
        <w:t>European</w:t>
      </w:r>
      <w:r>
        <w:rPr>
          <w:spacing w:val="-6"/>
        </w:rPr>
        <w:t> </w:t>
      </w:r>
      <w:r>
        <w:rPr/>
        <w:t>Union</w:t>
      </w:r>
      <w:r>
        <w:rPr>
          <w:spacing w:val="-6"/>
        </w:rPr>
        <w:t> </w:t>
      </w:r>
      <w:r>
        <w:rPr/>
        <w:t>law</w:t>
      </w:r>
      <w:r>
        <w:rPr>
          <w:spacing w:val="-5"/>
        </w:rPr>
        <w:t> </w:t>
      </w:r>
      <w:r>
        <w:rPr/>
        <w:t>initiatives</w:t>
      </w:r>
      <w:r>
        <w:rPr>
          <w:spacing w:val="-5"/>
        </w:rPr>
        <w:t> </w:t>
      </w:r>
      <w:r>
        <w:rPr/>
        <w:t>such</w:t>
      </w:r>
      <w:r>
        <w:rPr>
          <w:spacing w:val="-6"/>
        </w:rPr>
        <w:t> </w:t>
      </w:r>
      <w:r>
        <w:rPr/>
        <w:t>as</w:t>
      </w:r>
    </w:p>
    <w:p>
      <w:pPr>
        <w:spacing w:line="232" w:lineRule="auto" w:before="0"/>
        <w:ind w:left="1117" w:right="738" w:firstLine="0"/>
        <w:jc w:val="left"/>
        <w:rPr>
          <w:sz w:val="28"/>
        </w:rPr>
      </w:pPr>
      <w:r>
        <w:rPr>
          <w:spacing w:val="-2"/>
          <w:sz w:val="28"/>
        </w:rPr>
        <w:t>the</w:t>
      </w:r>
      <w:r>
        <w:rPr>
          <w:spacing w:val="-14"/>
          <w:sz w:val="28"/>
        </w:rPr>
        <w:t> </w:t>
      </w:r>
      <w:r>
        <w:rPr>
          <w:b/>
          <w:spacing w:val="-2"/>
          <w:sz w:val="28"/>
        </w:rPr>
        <w:t>Pay</w:t>
      </w:r>
      <w:r>
        <w:rPr>
          <w:b/>
          <w:spacing w:val="-14"/>
          <w:sz w:val="28"/>
        </w:rPr>
        <w:t> </w:t>
      </w:r>
      <w:r>
        <w:rPr>
          <w:b/>
          <w:spacing w:val="-2"/>
          <w:sz w:val="28"/>
        </w:rPr>
        <w:t>Transparency</w:t>
      </w:r>
      <w:r>
        <w:rPr>
          <w:b/>
          <w:spacing w:val="-14"/>
          <w:sz w:val="28"/>
        </w:rPr>
        <w:t> </w:t>
      </w:r>
      <w:r>
        <w:rPr>
          <w:b/>
          <w:spacing w:val="-2"/>
          <w:sz w:val="28"/>
        </w:rPr>
        <w:t>Directive,</w:t>
      </w:r>
      <w:r>
        <w:rPr>
          <w:b/>
          <w:spacing w:val="-13"/>
          <w:sz w:val="28"/>
        </w:rPr>
        <w:t> </w:t>
      </w:r>
      <w:r>
        <w:rPr>
          <w:b/>
          <w:spacing w:val="-2"/>
          <w:sz w:val="28"/>
        </w:rPr>
        <w:t>Work-Life</w:t>
      </w:r>
      <w:r>
        <w:rPr>
          <w:b/>
          <w:spacing w:val="-14"/>
          <w:sz w:val="28"/>
        </w:rPr>
        <w:t> </w:t>
      </w:r>
      <w:r>
        <w:rPr>
          <w:b/>
          <w:spacing w:val="-2"/>
          <w:sz w:val="28"/>
        </w:rPr>
        <w:t>Balance</w:t>
      </w:r>
      <w:r>
        <w:rPr>
          <w:b/>
          <w:spacing w:val="-14"/>
          <w:sz w:val="28"/>
        </w:rPr>
        <w:t> </w:t>
      </w:r>
      <w:r>
        <w:rPr>
          <w:b/>
          <w:spacing w:val="-2"/>
          <w:sz w:val="28"/>
        </w:rPr>
        <w:t>Directive,</w:t>
      </w:r>
      <w:r>
        <w:rPr>
          <w:b/>
          <w:spacing w:val="-13"/>
          <w:sz w:val="28"/>
        </w:rPr>
        <w:t> </w:t>
      </w:r>
      <w:r>
        <w:rPr>
          <w:b/>
          <w:spacing w:val="-2"/>
          <w:sz w:val="28"/>
        </w:rPr>
        <w:t>European</w:t>
      </w:r>
      <w:r>
        <w:rPr>
          <w:b/>
          <w:spacing w:val="-14"/>
          <w:sz w:val="28"/>
        </w:rPr>
        <w:t> </w:t>
      </w:r>
      <w:r>
        <w:rPr>
          <w:b/>
          <w:spacing w:val="-2"/>
          <w:sz w:val="28"/>
        </w:rPr>
        <w:t>Accessibility </w:t>
      </w:r>
      <w:r>
        <w:rPr>
          <w:b/>
          <w:sz w:val="28"/>
        </w:rPr>
        <w:t>Act,</w:t>
      </w:r>
      <w:r>
        <w:rPr>
          <w:b/>
          <w:spacing w:val="-5"/>
          <w:sz w:val="28"/>
        </w:rPr>
        <w:t> </w:t>
      </w:r>
      <w:r>
        <w:rPr>
          <w:b/>
          <w:sz w:val="28"/>
        </w:rPr>
        <w:t>Whistleblowing</w:t>
      </w:r>
      <w:r>
        <w:rPr>
          <w:b/>
          <w:spacing w:val="-4"/>
          <w:sz w:val="28"/>
        </w:rPr>
        <w:t> </w:t>
      </w:r>
      <w:r>
        <w:rPr>
          <w:b/>
          <w:sz w:val="28"/>
        </w:rPr>
        <w:t>Directive</w:t>
      </w:r>
      <w:r>
        <w:rPr>
          <w:sz w:val="28"/>
        </w:rPr>
        <w:t>.</w:t>
      </w:r>
      <w:r>
        <w:rPr>
          <w:spacing w:val="-5"/>
          <w:sz w:val="28"/>
        </w:rPr>
        <w:t> </w:t>
      </w:r>
      <w:r>
        <w:rPr>
          <w:sz w:val="28"/>
        </w:rPr>
        <w:t>Many</w:t>
      </w:r>
      <w:r>
        <w:rPr>
          <w:spacing w:val="-4"/>
          <w:sz w:val="28"/>
        </w:rPr>
        <w:t> </w:t>
      </w:r>
      <w:r>
        <w:rPr>
          <w:sz w:val="28"/>
        </w:rPr>
        <w:t>of</w:t>
      </w:r>
      <w:r>
        <w:rPr>
          <w:spacing w:val="-5"/>
          <w:sz w:val="28"/>
        </w:rPr>
        <w:t> </w:t>
      </w:r>
      <w:r>
        <w:rPr>
          <w:sz w:val="28"/>
        </w:rPr>
        <w:t>them</w:t>
      </w:r>
      <w:r>
        <w:rPr>
          <w:spacing w:val="-4"/>
          <w:sz w:val="28"/>
        </w:rPr>
        <w:t> </w:t>
      </w:r>
      <w:r>
        <w:rPr>
          <w:sz w:val="28"/>
        </w:rPr>
        <w:t>raise</w:t>
      </w:r>
      <w:r>
        <w:rPr>
          <w:spacing w:val="-4"/>
          <w:sz w:val="28"/>
        </w:rPr>
        <w:t> </w:t>
      </w:r>
      <w:r>
        <w:rPr>
          <w:sz w:val="28"/>
        </w:rPr>
        <w:t>issues</w:t>
      </w:r>
      <w:r>
        <w:rPr>
          <w:spacing w:val="-4"/>
          <w:sz w:val="28"/>
        </w:rPr>
        <w:t> </w:t>
      </w:r>
      <w:r>
        <w:rPr>
          <w:sz w:val="28"/>
        </w:rPr>
        <w:t>of</w:t>
      </w:r>
      <w:r>
        <w:rPr>
          <w:spacing w:val="-5"/>
          <w:sz w:val="28"/>
        </w:rPr>
        <w:t> </w:t>
      </w:r>
      <w:r>
        <w:rPr>
          <w:sz w:val="28"/>
        </w:rPr>
        <w:t>the</w:t>
      </w:r>
      <w:r>
        <w:rPr>
          <w:spacing w:val="-4"/>
          <w:sz w:val="28"/>
        </w:rPr>
        <w:t> </w:t>
      </w:r>
      <w:r>
        <w:rPr>
          <w:sz w:val="28"/>
        </w:rPr>
        <w:t>risk</w:t>
      </w:r>
      <w:r>
        <w:rPr>
          <w:spacing w:val="-4"/>
          <w:sz w:val="28"/>
        </w:rPr>
        <w:t> </w:t>
      </w:r>
      <w:r>
        <w:rPr>
          <w:sz w:val="28"/>
        </w:rPr>
        <w:t>of</w:t>
      </w:r>
      <w:r>
        <w:rPr>
          <w:spacing w:val="-5"/>
          <w:sz w:val="28"/>
        </w:rPr>
        <w:t> </w:t>
      </w:r>
      <w:r>
        <w:rPr>
          <w:sz w:val="28"/>
        </w:rPr>
        <w:t>divergence</w:t>
      </w:r>
    </w:p>
    <w:p>
      <w:pPr>
        <w:pStyle w:val="BodyText"/>
        <w:spacing w:line="232" w:lineRule="auto"/>
        <w:ind w:left="1117" w:right="1087"/>
      </w:pPr>
      <w:r>
        <w:rPr/>
        <w:t>in</w:t>
      </w:r>
      <w:r>
        <w:rPr>
          <w:spacing w:val="-16"/>
        </w:rPr>
        <w:t> </w:t>
      </w:r>
      <w:r>
        <w:rPr/>
        <w:t>rights</w:t>
      </w:r>
      <w:r>
        <w:rPr>
          <w:spacing w:val="-16"/>
        </w:rPr>
        <w:t> </w:t>
      </w:r>
      <w:r>
        <w:rPr/>
        <w:t>protection</w:t>
      </w:r>
      <w:r>
        <w:rPr>
          <w:spacing w:val="-16"/>
        </w:rPr>
        <w:t> </w:t>
      </w:r>
      <w:r>
        <w:rPr/>
        <w:t>on</w:t>
      </w:r>
      <w:r>
        <w:rPr>
          <w:spacing w:val="-16"/>
        </w:rPr>
        <w:t> </w:t>
      </w:r>
      <w:r>
        <w:rPr/>
        <w:t>the</w:t>
      </w:r>
      <w:r>
        <w:rPr>
          <w:spacing w:val="-16"/>
        </w:rPr>
        <w:t> </w:t>
      </w:r>
      <w:r>
        <w:rPr/>
        <w:t>island</w:t>
      </w:r>
      <w:r>
        <w:rPr>
          <w:spacing w:val="-15"/>
        </w:rPr>
        <w:t> </w:t>
      </w:r>
      <w:r>
        <w:rPr/>
        <w:t>of</w:t>
      </w:r>
      <w:r>
        <w:rPr>
          <w:spacing w:val="-16"/>
        </w:rPr>
        <w:t> </w:t>
      </w:r>
      <w:r>
        <w:rPr/>
        <w:t>Ireland</w:t>
      </w:r>
      <w:r>
        <w:rPr>
          <w:spacing w:val="-16"/>
        </w:rPr>
        <w:t> </w:t>
      </w:r>
      <w:r>
        <w:rPr/>
        <w:t>and</w:t>
      </w:r>
      <w:r>
        <w:rPr>
          <w:spacing w:val="-16"/>
        </w:rPr>
        <w:t> </w:t>
      </w:r>
      <w:r>
        <w:rPr/>
        <w:t>so</w:t>
      </w:r>
      <w:r>
        <w:rPr>
          <w:spacing w:val="-16"/>
        </w:rPr>
        <w:t> </w:t>
      </w:r>
      <w:r>
        <w:rPr/>
        <w:t>we</w:t>
      </w:r>
      <w:r>
        <w:rPr>
          <w:spacing w:val="-16"/>
        </w:rPr>
        <w:t> </w:t>
      </w:r>
      <w:r>
        <w:rPr/>
        <w:t>have</w:t>
      </w:r>
      <w:r>
        <w:rPr>
          <w:spacing w:val="-15"/>
        </w:rPr>
        <w:t> </w:t>
      </w:r>
      <w:r>
        <w:rPr/>
        <w:t>highlighted</w:t>
      </w:r>
      <w:r>
        <w:rPr>
          <w:spacing w:val="-16"/>
        </w:rPr>
        <w:t> </w:t>
      </w:r>
      <w:r>
        <w:rPr/>
        <w:t>instances where the Northern</w:t>
      </w:r>
      <w:r>
        <w:rPr>
          <w:spacing w:val="-1"/>
        </w:rPr>
        <w:t> </w:t>
      </w:r>
      <w:r>
        <w:rPr/>
        <w:t>Ireland</w:t>
      </w:r>
      <w:r>
        <w:rPr>
          <w:spacing w:val="-1"/>
        </w:rPr>
        <w:t> </w:t>
      </w:r>
      <w:r>
        <w:rPr/>
        <w:t>(or UK)</w:t>
      </w:r>
      <w:r>
        <w:rPr>
          <w:spacing w:val="-1"/>
        </w:rPr>
        <w:t> </w:t>
      </w:r>
      <w:r>
        <w:rPr/>
        <w:t>authorities need</w:t>
      </w:r>
      <w:r>
        <w:rPr>
          <w:spacing w:val="-1"/>
        </w:rPr>
        <w:t> </w:t>
      </w:r>
      <w:r>
        <w:rPr/>
        <w:t>to</w:t>
      </w:r>
      <w:r>
        <w:rPr>
          <w:spacing w:val="-1"/>
        </w:rPr>
        <w:t> </w:t>
      </w:r>
      <w:r>
        <w:rPr/>
        <w:t>consider amending Northern</w:t>
      </w:r>
      <w:r>
        <w:rPr>
          <w:spacing w:val="-12"/>
        </w:rPr>
        <w:t> </w:t>
      </w:r>
      <w:r>
        <w:rPr/>
        <w:t>Ireland</w:t>
      </w:r>
      <w:r>
        <w:rPr>
          <w:spacing w:val="-12"/>
        </w:rPr>
        <w:t> </w:t>
      </w:r>
      <w:r>
        <w:rPr/>
        <w:t>law</w:t>
      </w:r>
      <w:r>
        <w:rPr>
          <w:spacing w:val="-11"/>
        </w:rPr>
        <w:t> </w:t>
      </w:r>
      <w:r>
        <w:rPr/>
        <w:t>to</w:t>
      </w:r>
      <w:r>
        <w:rPr>
          <w:spacing w:val="-12"/>
        </w:rPr>
        <w:t> </w:t>
      </w:r>
      <w:r>
        <w:rPr/>
        <w:t>reflect</w:t>
      </w:r>
      <w:r>
        <w:rPr>
          <w:spacing w:val="-11"/>
        </w:rPr>
        <w:t> </w:t>
      </w:r>
      <w:r>
        <w:rPr/>
        <w:t>best</w:t>
      </w:r>
      <w:r>
        <w:rPr>
          <w:spacing w:val="-11"/>
        </w:rPr>
        <w:t> </w:t>
      </w:r>
      <w:r>
        <w:rPr/>
        <w:t>practice</w:t>
      </w:r>
      <w:r>
        <w:rPr>
          <w:spacing w:val="-11"/>
        </w:rPr>
        <w:t> </w:t>
      </w:r>
      <w:r>
        <w:rPr/>
        <w:t>as</w:t>
      </w:r>
      <w:r>
        <w:rPr>
          <w:spacing w:val="-11"/>
        </w:rPr>
        <w:t> </w:t>
      </w:r>
      <w:r>
        <w:rPr/>
        <w:t>a</w:t>
      </w:r>
      <w:r>
        <w:rPr>
          <w:spacing w:val="-11"/>
        </w:rPr>
        <w:t> </w:t>
      </w:r>
      <w:r>
        <w:rPr/>
        <w:t>matter</w:t>
      </w:r>
      <w:r>
        <w:rPr>
          <w:spacing w:val="-11"/>
        </w:rPr>
        <w:t> </w:t>
      </w:r>
      <w:r>
        <w:rPr/>
        <w:t>of</w:t>
      </w:r>
      <w:r>
        <w:rPr>
          <w:spacing w:val="-12"/>
        </w:rPr>
        <w:t> </w:t>
      </w:r>
      <w:r>
        <w:rPr/>
        <w:t>voluntary</w:t>
      </w:r>
      <w:r>
        <w:rPr>
          <w:spacing w:val="-11"/>
        </w:rPr>
        <w:t> </w:t>
      </w:r>
      <w:r>
        <w:rPr/>
        <w:t>alignment.</w:t>
      </w:r>
    </w:p>
    <w:p>
      <w:pPr>
        <w:pStyle w:val="BodyText"/>
        <w:rPr>
          <w:sz w:val="18"/>
        </w:rPr>
      </w:pPr>
      <w:r>
        <w:rPr/>
        <mc:AlternateContent>
          <mc:Choice Requires="wps">
            <w:drawing>
              <wp:anchor distT="0" distB="0" distL="0" distR="0" allowOverlap="1" layoutInCell="1" locked="0" behindDoc="1" simplePos="0" relativeHeight="487714816">
                <wp:simplePos x="0" y="0"/>
                <wp:positionH relativeFrom="page">
                  <wp:posOffset>899999</wp:posOffset>
                </wp:positionH>
                <wp:positionV relativeFrom="paragraph">
                  <wp:posOffset>155001</wp:posOffset>
                </wp:positionV>
                <wp:extent cx="6012180" cy="1270"/>
                <wp:effectExtent l="0" t="0" r="0" b="0"/>
                <wp:wrapTopAndBottom/>
                <wp:docPr id="673" name="Graphic 673"/>
                <wp:cNvGraphicFramePr>
                  <a:graphicFrameLocks/>
                </wp:cNvGraphicFramePr>
                <a:graphic>
                  <a:graphicData uri="http://schemas.microsoft.com/office/word/2010/wordprocessingShape">
                    <wps:wsp>
                      <wps:cNvPr id="673" name="Graphic 67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2.204865pt;width:473.4pt;height:.1pt;mso-position-horizontal-relative:page;mso-position-vertical-relative:paragraph;z-index:-15601664;mso-wrap-distance-left:0;mso-wrap-distance-right:0" id="docshape547" coordorigin="1417,244" coordsize="9468,0" path="m1417,244l10885,244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0" w:hanging="567"/>
        <w:jc w:val="left"/>
        <w:rPr>
          <w:sz w:val="18"/>
        </w:rPr>
      </w:pPr>
      <w:r>
        <w:rPr>
          <w:color w:val="1D71B8"/>
          <w:sz w:val="18"/>
          <w:u w:val="single" w:color="1D71B8"/>
        </w:rPr>
        <w:t>Protected</w:t>
      </w:r>
      <w:r>
        <w:rPr>
          <w:color w:val="1D71B8"/>
          <w:spacing w:val="-6"/>
          <w:sz w:val="18"/>
          <w:u w:val="single" w:color="1D71B8"/>
        </w:rPr>
        <w:t> </w:t>
      </w:r>
      <w:r>
        <w:rPr>
          <w:color w:val="1D71B8"/>
          <w:sz w:val="18"/>
          <w:u w:val="single" w:color="1D71B8"/>
        </w:rPr>
        <w:t>Disclosures</w:t>
      </w:r>
      <w:r>
        <w:rPr>
          <w:color w:val="1D71B8"/>
          <w:spacing w:val="-6"/>
          <w:sz w:val="18"/>
          <w:u w:val="single" w:color="1D71B8"/>
        </w:rPr>
        <w:t> </w:t>
      </w:r>
      <w:r>
        <w:rPr>
          <w:color w:val="1D71B8"/>
          <w:sz w:val="18"/>
          <w:u w:val="single" w:color="1D71B8"/>
        </w:rPr>
        <w:t>(Amendment)</w:t>
      </w:r>
      <w:r>
        <w:rPr>
          <w:color w:val="1D71B8"/>
          <w:spacing w:val="-6"/>
          <w:sz w:val="18"/>
          <w:u w:val="single" w:color="1D71B8"/>
        </w:rPr>
        <w:t> </w:t>
      </w:r>
      <w:r>
        <w:rPr>
          <w:color w:val="1D71B8"/>
          <w:sz w:val="18"/>
          <w:u w:val="single" w:color="1D71B8"/>
        </w:rPr>
        <w:t>Act</w:t>
      </w:r>
      <w:r>
        <w:rPr>
          <w:color w:val="1D71B8"/>
          <w:spacing w:val="-5"/>
          <w:sz w:val="18"/>
          <w:u w:val="single" w:color="1D71B8"/>
        </w:rPr>
        <w:t> </w:t>
      </w:r>
      <w:r>
        <w:rPr>
          <w:color w:val="1D71B8"/>
          <w:spacing w:val="-2"/>
          <w:sz w:val="18"/>
          <w:u w:val="single" w:color="1D71B8"/>
        </w:rPr>
        <w:t>2022</w:t>
      </w:r>
      <w:r>
        <w:rPr>
          <w:spacing w:val="-2"/>
          <w:sz w:val="18"/>
          <w:u w:val="none"/>
        </w:rPr>
        <w:t>.</w:t>
      </w:r>
    </w:p>
    <w:p>
      <w:pPr>
        <w:pStyle w:val="ListParagraph"/>
        <w:numPr>
          <w:ilvl w:val="0"/>
          <w:numId w:val="18"/>
        </w:numPr>
        <w:tabs>
          <w:tab w:pos="1684" w:val="left" w:leader="none"/>
        </w:tabs>
        <w:spacing w:line="240" w:lineRule="auto" w:before="1" w:after="0"/>
        <w:ind w:left="1684" w:right="794" w:hanging="567"/>
        <w:jc w:val="left"/>
        <w:rPr>
          <w:sz w:val="18"/>
        </w:rPr>
      </w:pPr>
      <w:r>
        <w:rPr>
          <w:color w:val="1D71B8"/>
          <w:sz w:val="18"/>
          <w:u w:val="single" w:color="1D71B8"/>
        </w:rPr>
        <w:t>Directive</w:t>
      </w:r>
      <w:r>
        <w:rPr>
          <w:color w:val="1D71B8"/>
          <w:spacing w:val="-3"/>
          <w:sz w:val="18"/>
          <w:u w:val="single" w:color="1D71B8"/>
        </w:rPr>
        <w:t> </w:t>
      </w:r>
      <w:r>
        <w:rPr>
          <w:color w:val="1D71B8"/>
          <w:sz w:val="18"/>
          <w:u w:val="single" w:color="1D71B8"/>
        </w:rPr>
        <w:t>(EU)</w:t>
      </w:r>
      <w:r>
        <w:rPr>
          <w:color w:val="1D71B8"/>
          <w:spacing w:val="-4"/>
          <w:sz w:val="18"/>
          <w:u w:val="single" w:color="1D71B8"/>
        </w:rPr>
        <w:t> </w:t>
      </w:r>
      <w:r>
        <w:rPr>
          <w:color w:val="1D71B8"/>
          <w:sz w:val="18"/>
          <w:u w:val="single" w:color="1D71B8"/>
        </w:rPr>
        <w:t>2019/1937</w:t>
      </w:r>
      <w:r>
        <w:rPr>
          <w:color w:val="1D71B8"/>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23</w:t>
      </w:r>
      <w:r>
        <w:rPr>
          <w:spacing w:val="-3"/>
          <w:sz w:val="18"/>
          <w:u w:val="none"/>
        </w:rPr>
        <w:t> </w:t>
      </w:r>
      <w:r>
        <w:rPr>
          <w:sz w:val="18"/>
          <w:u w:val="none"/>
        </w:rPr>
        <w:t>October</w:t>
      </w:r>
      <w:r>
        <w:rPr>
          <w:spacing w:val="-3"/>
          <w:sz w:val="18"/>
          <w:u w:val="none"/>
        </w:rPr>
        <w:t> </w:t>
      </w:r>
      <w:r>
        <w:rPr>
          <w:sz w:val="18"/>
          <w:u w:val="none"/>
        </w:rPr>
        <w:t>2019</w:t>
      </w:r>
      <w:r>
        <w:rPr>
          <w:spacing w:val="-3"/>
          <w:sz w:val="18"/>
          <w:u w:val="none"/>
        </w:rPr>
        <w:t> </w:t>
      </w:r>
      <w:r>
        <w:rPr>
          <w:sz w:val="18"/>
          <w:u w:val="none"/>
        </w:rPr>
        <w:t>on</w:t>
      </w:r>
      <w:r>
        <w:rPr>
          <w:spacing w:val="-4"/>
          <w:sz w:val="18"/>
          <w:u w:val="none"/>
        </w:rPr>
        <w:t> </w:t>
      </w:r>
      <w:r>
        <w:rPr>
          <w:sz w:val="18"/>
          <w:u w:val="none"/>
        </w:rPr>
        <w:t>the</w:t>
      </w:r>
      <w:r>
        <w:rPr>
          <w:spacing w:val="-3"/>
          <w:sz w:val="18"/>
          <w:u w:val="none"/>
        </w:rPr>
        <w:t> </w:t>
      </w:r>
      <w:r>
        <w:rPr>
          <w:sz w:val="18"/>
          <w:u w:val="none"/>
        </w:rPr>
        <w:t>protection</w:t>
      </w:r>
      <w:r>
        <w:rPr>
          <w:spacing w:val="-4"/>
          <w:sz w:val="18"/>
          <w:u w:val="none"/>
        </w:rPr>
        <w:t> </w:t>
      </w:r>
      <w:r>
        <w:rPr>
          <w:sz w:val="18"/>
          <w:u w:val="none"/>
        </w:rPr>
        <w:t>of</w:t>
      </w:r>
      <w:r>
        <w:rPr>
          <w:spacing w:val="-4"/>
          <w:sz w:val="18"/>
          <w:u w:val="none"/>
        </w:rPr>
        <w:t> </w:t>
      </w:r>
      <w:r>
        <w:rPr>
          <w:sz w:val="18"/>
          <w:u w:val="none"/>
        </w:rPr>
        <w:t>persons who report breaches of Union law (Whistleblowing Directive).</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3"/>
          <w:sz w:val="18"/>
        </w:rPr>
        <w:t> </w:t>
      </w:r>
      <w:r>
        <w:rPr>
          <w:sz w:val="18"/>
        </w:rPr>
        <w:t>Article</w:t>
      </w:r>
      <w:r>
        <w:rPr>
          <w:spacing w:val="-2"/>
          <w:sz w:val="18"/>
        </w:rPr>
        <w:t> </w:t>
      </w:r>
      <w:r>
        <w:rPr>
          <w:spacing w:val="-5"/>
          <w:sz w:val="18"/>
        </w:rPr>
        <w:t>26.</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5"/>
          <w:sz w:val="18"/>
        </w:rPr>
        <w:t> </w:t>
      </w:r>
      <w:r>
        <w:rPr>
          <w:sz w:val="18"/>
        </w:rPr>
        <w:t>chapter</w:t>
      </w:r>
      <w:r>
        <w:rPr>
          <w:spacing w:val="-3"/>
          <w:sz w:val="18"/>
        </w:rPr>
        <w:t> </w:t>
      </w:r>
      <w:r>
        <w:rPr>
          <w:spacing w:val="-5"/>
          <w:sz w:val="18"/>
        </w:rPr>
        <w:t>2.</w:t>
      </w:r>
    </w:p>
    <w:p>
      <w:pPr>
        <w:pStyle w:val="ListParagraph"/>
        <w:numPr>
          <w:ilvl w:val="0"/>
          <w:numId w:val="18"/>
        </w:numPr>
        <w:tabs>
          <w:tab w:pos="1684" w:val="left" w:leader="none"/>
        </w:tabs>
        <w:spacing w:line="240" w:lineRule="auto" w:before="1" w:after="0"/>
        <w:ind w:left="1684" w:right="0" w:hanging="567"/>
        <w:jc w:val="left"/>
        <w:rPr>
          <w:sz w:val="18"/>
        </w:rPr>
      </w:pPr>
      <w:hyperlink r:id="rId116">
        <w:r>
          <w:rPr>
            <w:color w:val="1D71B8"/>
            <w:sz w:val="18"/>
            <w:u w:val="single" w:color="1D71B8"/>
          </w:rPr>
          <w:t>Public</w:t>
        </w:r>
        <w:r>
          <w:rPr>
            <w:color w:val="1D71B8"/>
            <w:spacing w:val="-7"/>
            <w:sz w:val="18"/>
            <w:u w:val="single" w:color="1D71B8"/>
          </w:rPr>
          <w:t> </w:t>
        </w:r>
        <w:r>
          <w:rPr>
            <w:color w:val="1D71B8"/>
            <w:sz w:val="18"/>
            <w:u w:val="single" w:color="1D71B8"/>
          </w:rPr>
          <w:t>Interest</w:t>
        </w:r>
        <w:r>
          <w:rPr>
            <w:color w:val="1D71B8"/>
            <w:spacing w:val="-5"/>
            <w:sz w:val="18"/>
            <w:u w:val="single" w:color="1D71B8"/>
          </w:rPr>
          <w:t> </w:t>
        </w:r>
        <w:r>
          <w:rPr>
            <w:color w:val="1D71B8"/>
            <w:sz w:val="18"/>
            <w:u w:val="single" w:color="1D71B8"/>
          </w:rPr>
          <w:t>Disclosure</w:t>
        </w:r>
        <w:r>
          <w:rPr>
            <w:color w:val="1D71B8"/>
            <w:spacing w:val="-4"/>
            <w:sz w:val="18"/>
            <w:u w:val="single" w:color="1D71B8"/>
          </w:rPr>
          <w:t> </w:t>
        </w:r>
        <w:r>
          <w:rPr>
            <w:color w:val="1D71B8"/>
            <w:sz w:val="18"/>
            <w:u w:val="single" w:color="1D71B8"/>
          </w:rPr>
          <w:t>(Northern</w:t>
        </w:r>
        <w:r>
          <w:rPr>
            <w:color w:val="1D71B8"/>
            <w:spacing w:val="-6"/>
            <w:sz w:val="18"/>
            <w:u w:val="single" w:color="1D71B8"/>
          </w:rPr>
          <w:t> </w:t>
        </w:r>
        <w:r>
          <w:rPr>
            <w:color w:val="1D71B8"/>
            <w:sz w:val="18"/>
            <w:u w:val="single" w:color="1D71B8"/>
          </w:rPr>
          <w:t>Ireland)</w:t>
        </w:r>
        <w:r>
          <w:rPr>
            <w:color w:val="1D71B8"/>
            <w:spacing w:val="-5"/>
            <w:sz w:val="18"/>
            <w:u w:val="single" w:color="1D71B8"/>
          </w:rPr>
          <w:t> </w:t>
        </w:r>
        <w:r>
          <w:rPr>
            <w:color w:val="1D71B8"/>
            <w:sz w:val="18"/>
            <w:u w:val="single" w:color="1D71B8"/>
          </w:rPr>
          <w:t>Order,</w:t>
        </w:r>
        <w:r>
          <w:rPr>
            <w:color w:val="1D71B8"/>
            <w:spacing w:val="-4"/>
            <w:sz w:val="18"/>
            <w:u w:val="single" w:color="1D71B8"/>
          </w:rPr>
          <w:t> </w:t>
        </w:r>
        <w:r>
          <w:rPr>
            <w:color w:val="1D71B8"/>
            <w:sz w:val="18"/>
            <w:u w:val="single" w:color="1D71B8"/>
          </w:rPr>
          <w:t>1998</w:t>
        </w:r>
        <w:r>
          <w:rPr>
            <w:color w:val="1D71B8"/>
            <w:spacing w:val="-5"/>
            <w:sz w:val="18"/>
            <w:u w:val="single" w:color="1D71B8"/>
          </w:rPr>
          <w:t> </w:t>
        </w:r>
        <w:r>
          <w:rPr>
            <w:color w:val="1D71B8"/>
            <w:sz w:val="18"/>
            <w:u w:val="single" w:color="1D71B8"/>
          </w:rPr>
          <w:t>No.</w:t>
        </w:r>
        <w:r>
          <w:rPr>
            <w:color w:val="1D71B8"/>
            <w:spacing w:val="-5"/>
            <w:sz w:val="18"/>
            <w:u w:val="single" w:color="1D71B8"/>
          </w:rPr>
          <w:t> </w:t>
        </w:r>
        <w:r>
          <w:rPr>
            <w:color w:val="1D71B8"/>
            <w:sz w:val="18"/>
            <w:u w:val="single" w:color="1D71B8"/>
          </w:rPr>
          <w:t>1763</w:t>
        </w:r>
        <w:r>
          <w:rPr>
            <w:color w:val="1D71B8"/>
            <w:spacing w:val="-5"/>
            <w:sz w:val="18"/>
            <w:u w:val="single" w:color="1D71B8"/>
          </w:rPr>
          <w:t> </w:t>
        </w:r>
        <w:r>
          <w:rPr>
            <w:color w:val="1D71B8"/>
            <w:sz w:val="18"/>
            <w:u w:val="single" w:color="1D71B8"/>
          </w:rPr>
          <w:t>(N.I.</w:t>
        </w:r>
        <w:r>
          <w:rPr>
            <w:color w:val="1D71B8"/>
            <w:spacing w:val="-5"/>
            <w:sz w:val="18"/>
            <w:u w:val="single" w:color="1D71B8"/>
          </w:rPr>
          <w:t> </w:t>
        </w:r>
        <w:r>
          <w:rPr>
            <w:color w:val="1D71B8"/>
            <w:sz w:val="18"/>
            <w:u w:val="single" w:color="1D71B8"/>
          </w:rPr>
          <w:t>17)</w:t>
        </w:r>
        <w:r>
          <w:rPr>
            <w:color w:val="1D71B8"/>
            <w:spacing w:val="-6"/>
            <w:sz w:val="18"/>
            <w:u w:val="single" w:color="1D71B8"/>
          </w:rPr>
          <w:t> </w:t>
        </w:r>
        <w:r>
          <w:rPr>
            <w:color w:val="1D71B8"/>
            <w:sz w:val="18"/>
            <w:u w:val="single" w:color="1D71B8"/>
          </w:rPr>
          <w:t>1998</w:t>
        </w:r>
      </w:hyperlink>
      <w:r>
        <w:rPr>
          <w:sz w:val="18"/>
          <w:u w:val="none"/>
        </w:rPr>
        <w:t>;</w:t>
      </w:r>
      <w:r>
        <w:rPr>
          <w:spacing w:val="-4"/>
          <w:sz w:val="18"/>
          <w:u w:val="none"/>
        </w:rPr>
        <w:t> </w:t>
      </w:r>
      <w:r>
        <w:rPr>
          <w:color w:val="1D71B8"/>
          <w:sz w:val="18"/>
          <w:u w:val="single" w:color="1D71B8"/>
        </w:rPr>
        <w:t>Public</w:t>
      </w:r>
      <w:r>
        <w:rPr>
          <w:color w:val="1D71B8"/>
          <w:spacing w:val="-5"/>
          <w:sz w:val="18"/>
          <w:u w:val="single" w:color="1D71B8"/>
        </w:rPr>
        <w:t> </w:t>
      </w:r>
      <w:r>
        <w:rPr>
          <w:color w:val="1D71B8"/>
          <w:sz w:val="18"/>
          <w:u w:val="single" w:color="1D71B8"/>
        </w:rPr>
        <w:t>Interest</w:t>
      </w:r>
      <w:r>
        <w:rPr>
          <w:color w:val="1D71B8"/>
          <w:spacing w:val="-4"/>
          <w:sz w:val="18"/>
          <w:u w:val="single" w:color="1D71B8"/>
        </w:rPr>
        <w:t> </w:t>
      </w:r>
      <w:r>
        <w:rPr>
          <w:color w:val="1D71B8"/>
          <w:sz w:val="18"/>
          <w:u w:val="single" w:color="1D71B8"/>
        </w:rPr>
        <w:t>Disclosure</w:t>
      </w:r>
      <w:r>
        <w:rPr>
          <w:color w:val="1D71B8"/>
          <w:spacing w:val="-5"/>
          <w:sz w:val="18"/>
          <w:u w:val="single" w:color="1D71B8"/>
        </w:rPr>
        <w:t> </w:t>
      </w:r>
      <w:r>
        <w:rPr>
          <w:color w:val="1D71B8"/>
          <w:sz w:val="18"/>
          <w:u w:val="single" w:color="1D71B8"/>
        </w:rPr>
        <w:t>Act</w:t>
      </w:r>
      <w:r>
        <w:rPr>
          <w:color w:val="1D71B8"/>
          <w:spacing w:val="-4"/>
          <w:sz w:val="18"/>
          <w:u w:val="single" w:color="1D71B8"/>
        </w:rPr>
        <w:t> </w:t>
      </w:r>
      <w:r>
        <w:rPr>
          <w:color w:val="1D71B8"/>
          <w:spacing w:val="-2"/>
          <w:sz w:val="18"/>
          <w:u w:val="single" w:color="1D71B8"/>
        </w:rPr>
        <w:t>1998</w:t>
      </w:r>
      <w:r>
        <w:rPr>
          <w:spacing w:val="-2"/>
          <w:sz w:val="18"/>
          <w:u w:val="none"/>
        </w:rPr>
        <w:t>.</w:t>
      </w:r>
    </w:p>
    <w:p>
      <w:pPr>
        <w:pStyle w:val="ListParagraph"/>
        <w:numPr>
          <w:ilvl w:val="0"/>
          <w:numId w:val="18"/>
        </w:numPr>
        <w:tabs>
          <w:tab w:pos="1684" w:val="left" w:leader="none"/>
        </w:tabs>
        <w:spacing w:line="240" w:lineRule="auto" w:before="0" w:after="0"/>
        <w:ind w:left="1684" w:right="0" w:hanging="567"/>
        <w:jc w:val="left"/>
        <w:rPr>
          <w:sz w:val="18"/>
        </w:rPr>
      </w:pPr>
      <w:r>
        <w:rPr>
          <w:sz w:val="18"/>
        </w:rPr>
        <w:t>Protect</w:t>
      </w:r>
      <w:r>
        <w:rPr>
          <w:spacing w:val="-8"/>
          <w:sz w:val="18"/>
        </w:rPr>
        <w:t> </w:t>
      </w:r>
      <w:hyperlink r:id="rId117">
        <w:r>
          <w:rPr>
            <w:color w:val="1D71B8"/>
            <w:sz w:val="18"/>
            <w:u w:val="single" w:color="1D71B8"/>
          </w:rPr>
          <w:t>‘Protect’s</w:t>
        </w:r>
        <w:r>
          <w:rPr>
            <w:color w:val="1D71B8"/>
            <w:spacing w:val="-5"/>
            <w:sz w:val="18"/>
            <w:u w:val="single" w:color="1D71B8"/>
          </w:rPr>
          <w:t> </w:t>
        </w:r>
        <w:r>
          <w:rPr>
            <w:color w:val="1D71B8"/>
            <w:sz w:val="18"/>
            <w:u w:val="single" w:color="1D71B8"/>
          </w:rPr>
          <w:t>View</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Whistleblowing</w:t>
        </w:r>
        <w:r>
          <w:rPr>
            <w:color w:val="1D71B8"/>
            <w:spacing w:val="-4"/>
            <w:sz w:val="18"/>
            <w:u w:val="single" w:color="1D71B8"/>
          </w:rPr>
          <w:t> </w:t>
        </w:r>
        <w:r>
          <w:rPr>
            <w:color w:val="1D71B8"/>
            <w:sz w:val="18"/>
            <w:u w:val="single" w:color="1D71B8"/>
          </w:rPr>
          <w:t>Review’</w:t>
        </w:r>
      </w:hyperlink>
      <w:r>
        <w:rPr>
          <w:color w:val="1D71B8"/>
          <w:spacing w:val="-5"/>
          <w:sz w:val="18"/>
          <w:u w:val="none"/>
        </w:rPr>
        <w:t> </w:t>
      </w:r>
      <w:r>
        <w:rPr>
          <w:spacing w:val="-2"/>
          <w:sz w:val="18"/>
          <w:u w:val="none"/>
        </w:rPr>
        <w:t>(2023).</w:t>
      </w:r>
    </w:p>
    <w:p>
      <w:pPr>
        <w:pStyle w:val="ListParagraph"/>
        <w:numPr>
          <w:ilvl w:val="0"/>
          <w:numId w:val="18"/>
        </w:numPr>
        <w:tabs>
          <w:tab w:pos="1684" w:val="left" w:leader="none"/>
        </w:tabs>
        <w:spacing w:line="240" w:lineRule="auto" w:before="0" w:after="0"/>
        <w:ind w:left="1684" w:right="0" w:hanging="567"/>
        <w:jc w:val="left"/>
        <w:rPr>
          <w:sz w:val="18"/>
        </w:rPr>
      </w:pPr>
      <w:r>
        <w:rPr>
          <w:sz w:val="18"/>
        </w:rPr>
        <w:t>Department</w:t>
      </w:r>
      <w:r>
        <w:rPr>
          <w:spacing w:val="-10"/>
          <w:sz w:val="18"/>
        </w:rPr>
        <w:t> </w:t>
      </w:r>
      <w:r>
        <w:rPr>
          <w:sz w:val="18"/>
        </w:rPr>
        <w:t>for</w:t>
      </w:r>
      <w:r>
        <w:rPr>
          <w:spacing w:val="-7"/>
          <w:sz w:val="18"/>
        </w:rPr>
        <w:t> </w:t>
      </w:r>
      <w:r>
        <w:rPr>
          <w:sz w:val="18"/>
        </w:rPr>
        <w:t>Business</w:t>
      </w:r>
      <w:r>
        <w:rPr>
          <w:spacing w:val="-8"/>
          <w:sz w:val="18"/>
        </w:rPr>
        <w:t> </w:t>
      </w:r>
      <w:r>
        <w:rPr>
          <w:sz w:val="18"/>
        </w:rPr>
        <w:t>and</w:t>
      </w:r>
      <w:r>
        <w:rPr>
          <w:spacing w:val="-7"/>
          <w:sz w:val="18"/>
        </w:rPr>
        <w:t> </w:t>
      </w:r>
      <w:r>
        <w:rPr>
          <w:sz w:val="18"/>
        </w:rPr>
        <w:t>Trade,</w:t>
      </w:r>
      <w:r>
        <w:rPr>
          <w:spacing w:val="-8"/>
          <w:sz w:val="18"/>
        </w:rPr>
        <w:t> </w:t>
      </w:r>
      <w:r>
        <w:rPr>
          <w:color w:val="1D71B8"/>
          <w:sz w:val="18"/>
          <w:u w:val="single" w:color="1D71B8"/>
        </w:rPr>
        <w:t>Review</w:t>
      </w:r>
      <w:r>
        <w:rPr>
          <w:color w:val="1D71B8"/>
          <w:spacing w:val="-7"/>
          <w:sz w:val="18"/>
          <w:u w:val="single" w:color="1D71B8"/>
        </w:rPr>
        <w:t> </w:t>
      </w:r>
      <w:r>
        <w:rPr>
          <w:color w:val="1D71B8"/>
          <w:sz w:val="18"/>
          <w:u w:val="single" w:color="1D71B8"/>
        </w:rPr>
        <w:t>of</w:t>
      </w:r>
      <w:r>
        <w:rPr>
          <w:color w:val="1D71B8"/>
          <w:spacing w:val="-7"/>
          <w:sz w:val="18"/>
          <w:u w:val="single" w:color="1D71B8"/>
        </w:rPr>
        <w:t> </w:t>
      </w:r>
      <w:r>
        <w:rPr>
          <w:color w:val="1D71B8"/>
          <w:sz w:val="18"/>
          <w:u w:val="single" w:color="1D71B8"/>
        </w:rPr>
        <w:t>the</w:t>
      </w:r>
      <w:r>
        <w:rPr>
          <w:color w:val="1D71B8"/>
          <w:spacing w:val="-8"/>
          <w:sz w:val="18"/>
          <w:u w:val="single" w:color="1D71B8"/>
        </w:rPr>
        <w:t> </w:t>
      </w:r>
      <w:r>
        <w:rPr>
          <w:color w:val="1D71B8"/>
          <w:sz w:val="18"/>
          <w:u w:val="single" w:color="1D71B8"/>
        </w:rPr>
        <w:t>Whistleblowing</w:t>
      </w:r>
      <w:r>
        <w:rPr>
          <w:color w:val="1D71B8"/>
          <w:spacing w:val="-7"/>
          <w:sz w:val="18"/>
          <w:u w:val="single" w:color="1D71B8"/>
        </w:rPr>
        <w:t> </w:t>
      </w:r>
      <w:r>
        <w:rPr>
          <w:color w:val="1D71B8"/>
          <w:sz w:val="18"/>
          <w:u w:val="single" w:color="1D71B8"/>
        </w:rPr>
        <w:t>Framework:</w:t>
      </w:r>
      <w:r>
        <w:rPr>
          <w:color w:val="1D71B8"/>
          <w:spacing w:val="-7"/>
          <w:sz w:val="18"/>
          <w:u w:val="single" w:color="1D71B8"/>
        </w:rPr>
        <w:t> </w:t>
      </w:r>
      <w:r>
        <w:rPr>
          <w:color w:val="1D71B8"/>
          <w:sz w:val="18"/>
          <w:u w:val="single" w:color="1D71B8"/>
        </w:rPr>
        <w:t>Terms</w:t>
      </w:r>
      <w:r>
        <w:rPr>
          <w:color w:val="1D71B8"/>
          <w:spacing w:val="-8"/>
          <w:sz w:val="18"/>
          <w:u w:val="single" w:color="1D71B8"/>
        </w:rPr>
        <w:t> </w:t>
      </w:r>
      <w:r>
        <w:rPr>
          <w:color w:val="1D71B8"/>
          <w:sz w:val="18"/>
          <w:u w:val="single" w:color="1D71B8"/>
        </w:rPr>
        <w:t>of</w:t>
      </w:r>
      <w:r>
        <w:rPr>
          <w:color w:val="1D71B8"/>
          <w:spacing w:val="-7"/>
          <w:sz w:val="18"/>
          <w:u w:val="single" w:color="1D71B8"/>
        </w:rPr>
        <w:t> </w:t>
      </w:r>
      <w:r>
        <w:rPr>
          <w:color w:val="1D71B8"/>
          <w:spacing w:val="-2"/>
          <w:sz w:val="18"/>
          <w:u w:val="single" w:color="1D71B8"/>
        </w:rPr>
        <w:t>Reference.</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56640">
                <wp:simplePos x="0" y="0"/>
                <wp:positionH relativeFrom="page">
                  <wp:posOffset>0</wp:posOffset>
                </wp:positionH>
                <wp:positionV relativeFrom="page">
                  <wp:posOffset>0</wp:posOffset>
                </wp:positionV>
                <wp:extent cx="7560309" cy="1257935"/>
                <wp:effectExtent l="0" t="0" r="0" b="0"/>
                <wp:wrapNone/>
                <wp:docPr id="674" name="Group 674"/>
                <wp:cNvGraphicFramePr>
                  <a:graphicFrameLocks/>
                </wp:cNvGraphicFramePr>
                <a:graphic>
                  <a:graphicData uri="http://schemas.microsoft.com/office/word/2010/wordprocessingGroup">
                    <wpg:wgp>
                      <wpg:cNvPr id="674" name="Group 674"/>
                      <wpg:cNvGrpSpPr/>
                      <wpg:grpSpPr>
                        <a:xfrm>
                          <a:off x="0" y="0"/>
                          <a:ext cx="7560309" cy="1257935"/>
                          <a:chExt cx="7560309" cy="1257935"/>
                        </a:xfrm>
                      </wpg:grpSpPr>
                      <wps:wsp>
                        <wps:cNvPr id="675" name="Graphic 67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676" name="Graphic 67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677" name="Textbox 677"/>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74</w:t>
                              </w:r>
                            </w:p>
                          </w:txbxContent>
                        </wps:txbx>
                        <wps:bodyPr wrap="square" lIns="0" tIns="0" rIns="0" bIns="0" rtlCol="0">
                          <a:noAutofit/>
                        </wps:bodyPr>
                      </wps:wsp>
                      <wps:wsp>
                        <wps:cNvPr id="678" name="Textbox 678"/>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679" name="Textbox 679"/>
                        <wps:cNvSpPr txBox="1"/>
                        <wps:spPr>
                          <a:xfrm>
                            <a:off x="647999" y="1080003"/>
                            <a:ext cx="5484495" cy="177800"/>
                          </a:xfrm>
                          <a:prstGeom prst="rect">
                            <a:avLst/>
                          </a:prstGeom>
                        </wps:spPr>
                        <wps:txbx>
                          <w:txbxContent>
                            <w:p>
                              <w:pPr>
                                <w:spacing w:line="280" w:lineRule="exact" w:before="0"/>
                                <w:ind w:left="0" w:right="0" w:firstLine="0"/>
                                <w:jc w:val="left"/>
                                <w:rPr>
                                  <w:sz w:val="28"/>
                                </w:rPr>
                              </w:pPr>
                              <w:r>
                                <w:rPr>
                                  <w:spacing w:val="-2"/>
                                  <w:sz w:val="28"/>
                                </w:rPr>
                                <w:t>We</w:t>
                              </w:r>
                              <w:r>
                                <w:rPr>
                                  <w:spacing w:val="-10"/>
                                  <w:sz w:val="28"/>
                                </w:rPr>
                                <w:t> </w:t>
                              </w:r>
                              <w:r>
                                <w:rPr>
                                  <w:spacing w:val="-2"/>
                                  <w:sz w:val="28"/>
                                </w:rPr>
                                <w:t>have</w:t>
                              </w:r>
                              <w:r>
                                <w:rPr>
                                  <w:spacing w:val="-10"/>
                                  <w:sz w:val="28"/>
                                </w:rPr>
                                <w:t> </w:t>
                              </w:r>
                              <w:r>
                                <w:rPr>
                                  <w:spacing w:val="-2"/>
                                  <w:sz w:val="28"/>
                                </w:rPr>
                                <w:t>also</w:t>
                              </w:r>
                              <w:r>
                                <w:rPr>
                                  <w:spacing w:val="-11"/>
                                  <w:sz w:val="28"/>
                                </w:rPr>
                                <w:t> </w:t>
                              </w:r>
                              <w:r>
                                <w:rPr>
                                  <w:spacing w:val="-2"/>
                                  <w:sz w:val="28"/>
                                </w:rPr>
                                <w:t>noted</w:t>
                              </w:r>
                              <w:r>
                                <w:rPr>
                                  <w:spacing w:val="-11"/>
                                  <w:sz w:val="28"/>
                                </w:rPr>
                                <w:t> </w:t>
                              </w:r>
                              <w:r>
                                <w:rPr>
                                  <w:spacing w:val="-2"/>
                                  <w:sz w:val="28"/>
                                </w:rPr>
                                <w:t>instances</w:t>
                              </w:r>
                              <w:r>
                                <w:rPr>
                                  <w:spacing w:val="-10"/>
                                  <w:sz w:val="28"/>
                                </w:rPr>
                                <w:t> </w:t>
                              </w:r>
                              <w:r>
                                <w:rPr>
                                  <w:spacing w:val="-2"/>
                                  <w:sz w:val="28"/>
                                </w:rPr>
                                <w:t>where</w:t>
                              </w:r>
                              <w:r>
                                <w:rPr>
                                  <w:spacing w:val="-9"/>
                                  <w:sz w:val="28"/>
                                </w:rPr>
                                <w:t> </w:t>
                              </w:r>
                              <w:r>
                                <w:rPr>
                                  <w:spacing w:val="-2"/>
                                  <w:sz w:val="28"/>
                                </w:rPr>
                                <w:t>Ireland</w:t>
                              </w:r>
                              <w:r>
                                <w:rPr>
                                  <w:spacing w:val="-11"/>
                                  <w:sz w:val="28"/>
                                </w:rPr>
                                <w:t> </w:t>
                              </w:r>
                              <w:r>
                                <w:rPr>
                                  <w:spacing w:val="-2"/>
                                  <w:sz w:val="28"/>
                                </w:rPr>
                                <w:t>has</w:t>
                              </w:r>
                              <w:r>
                                <w:rPr>
                                  <w:spacing w:val="-10"/>
                                  <w:sz w:val="28"/>
                                </w:rPr>
                                <w:t> </w:t>
                              </w:r>
                              <w:r>
                                <w:rPr>
                                  <w:spacing w:val="-2"/>
                                  <w:sz w:val="28"/>
                                </w:rPr>
                                <w:t>not</w:t>
                              </w:r>
                              <w:r>
                                <w:rPr>
                                  <w:spacing w:val="-10"/>
                                  <w:sz w:val="28"/>
                                </w:rPr>
                                <w:t> </w:t>
                              </w:r>
                              <w:r>
                                <w:rPr>
                                  <w:spacing w:val="-2"/>
                                  <w:sz w:val="28"/>
                                </w:rPr>
                                <w:t>yet</w:t>
                              </w:r>
                              <w:r>
                                <w:rPr>
                                  <w:spacing w:val="-10"/>
                                  <w:sz w:val="28"/>
                                </w:rPr>
                                <w:t> </w:t>
                              </w:r>
                              <w:r>
                                <w:rPr>
                                  <w:spacing w:val="-2"/>
                                  <w:sz w:val="28"/>
                                </w:rPr>
                                <w:t>implemented</w:t>
                              </w:r>
                              <w:r>
                                <w:rPr>
                                  <w:spacing w:val="-10"/>
                                  <w:sz w:val="28"/>
                                </w:rPr>
                                <w:t> </w:t>
                              </w:r>
                              <w:r>
                                <w:rPr>
                                  <w:spacing w:val="-2"/>
                                  <w:sz w:val="28"/>
                                </w:rPr>
                                <w:t>EU</w:t>
                              </w:r>
                              <w:r>
                                <w:rPr>
                                  <w:spacing w:val="-10"/>
                                  <w:sz w:val="28"/>
                                </w:rPr>
                                <w:t> </w:t>
                              </w:r>
                              <w:r>
                                <w:rPr>
                                  <w:spacing w:val="-5"/>
                                  <w:sz w:val="28"/>
                                </w:rPr>
                                <w:t>law</w:t>
                              </w:r>
                            </w:p>
                          </w:txbxContent>
                        </wps:txbx>
                        <wps:bodyPr wrap="square" lIns="0" tIns="0" rIns="0" bIns="0" rtlCol="0">
                          <a:noAutofit/>
                        </wps:bodyPr>
                      </wps:wsp>
                    </wpg:wgp>
                  </a:graphicData>
                </a:graphic>
              </wp:anchor>
            </w:drawing>
          </mc:Choice>
          <mc:Fallback>
            <w:pict>
              <v:group style="position:absolute;margin-left:.0pt;margin-top:-.00002pt;width:595.3pt;height:99.05pt;mso-position-horizontal-relative:page;mso-position-vertical-relative:page;z-index:15856640" id="docshapegroup548" coordorigin="0,0" coordsize="11906,1981">
                <v:shape style="position:absolute;left:0;top:0;width:11906;height:1819" id="docshape549"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550" filled="false" stroked="false">
                  <v:textbox inset="0,0,0,0">
                    <w:txbxContent>
                      <w:p>
                        <w:pPr>
                          <w:spacing w:line="280" w:lineRule="exact" w:before="0"/>
                          <w:ind w:left="0" w:right="0" w:firstLine="0"/>
                          <w:jc w:val="left"/>
                          <w:rPr>
                            <w:b/>
                            <w:sz w:val="28"/>
                          </w:rPr>
                        </w:pPr>
                        <w:r>
                          <w:rPr>
                            <w:b/>
                            <w:color w:val="FFFFFF"/>
                            <w:spacing w:val="-5"/>
                            <w:sz w:val="28"/>
                          </w:rPr>
                          <w:t>74</w:t>
                        </w:r>
                      </w:p>
                    </w:txbxContent>
                  </v:textbox>
                  <w10:wrap type="none"/>
                </v:shape>
                <v:shape style="position:absolute;left:1303;top:645;width:6182;height:240" type="#_x0000_t202" id="docshape551"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8637;height:280" type="#_x0000_t202" id="docshape552" filled="false" stroked="false">
                  <v:textbox inset="0,0,0,0">
                    <w:txbxContent>
                      <w:p>
                        <w:pPr>
                          <w:spacing w:line="280" w:lineRule="exact" w:before="0"/>
                          <w:ind w:left="0" w:right="0" w:firstLine="0"/>
                          <w:jc w:val="left"/>
                          <w:rPr>
                            <w:sz w:val="28"/>
                          </w:rPr>
                        </w:pPr>
                        <w:r>
                          <w:rPr>
                            <w:spacing w:val="-2"/>
                            <w:sz w:val="28"/>
                          </w:rPr>
                          <w:t>We</w:t>
                        </w:r>
                        <w:r>
                          <w:rPr>
                            <w:spacing w:val="-10"/>
                            <w:sz w:val="28"/>
                          </w:rPr>
                          <w:t> </w:t>
                        </w:r>
                        <w:r>
                          <w:rPr>
                            <w:spacing w:val="-2"/>
                            <w:sz w:val="28"/>
                          </w:rPr>
                          <w:t>have</w:t>
                        </w:r>
                        <w:r>
                          <w:rPr>
                            <w:spacing w:val="-10"/>
                            <w:sz w:val="28"/>
                          </w:rPr>
                          <w:t> </w:t>
                        </w:r>
                        <w:r>
                          <w:rPr>
                            <w:spacing w:val="-2"/>
                            <w:sz w:val="28"/>
                          </w:rPr>
                          <w:t>also</w:t>
                        </w:r>
                        <w:r>
                          <w:rPr>
                            <w:spacing w:val="-11"/>
                            <w:sz w:val="28"/>
                          </w:rPr>
                          <w:t> </w:t>
                        </w:r>
                        <w:r>
                          <w:rPr>
                            <w:spacing w:val="-2"/>
                            <w:sz w:val="28"/>
                          </w:rPr>
                          <w:t>noted</w:t>
                        </w:r>
                        <w:r>
                          <w:rPr>
                            <w:spacing w:val="-11"/>
                            <w:sz w:val="28"/>
                          </w:rPr>
                          <w:t> </w:t>
                        </w:r>
                        <w:r>
                          <w:rPr>
                            <w:spacing w:val="-2"/>
                            <w:sz w:val="28"/>
                          </w:rPr>
                          <w:t>instances</w:t>
                        </w:r>
                        <w:r>
                          <w:rPr>
                            <w:spacing w:val="-10"/>
                            <w:sz w:val="28"/>
                          </w:rPr>
                          <w:t> </w:t>
                        </w:r>
                        <w:r>
                          <w:rPr>
                            <w:spacing w:val="-2"/>
                            <w:sz w:val="28"/>
                          </w:rPr>
                          <w:t>where</w:t>
                        </w:r>
                        <w:r>
                          <w:rPr>
                            <w:spacing w:val="-9"/>
                            <w:sz w:val="28"/>
                          </w:rPr>
                          <w:t> </w:t>
                        </w:r>
                        <w:r>
                          <w:rPr>
                            <w:spacing w:val="-2"/>
                            <w:sz w:val="28"/>
                          </w:rPr>
                          <w:t>Ireland</w:t>
                        </w:r>
                        <w:r>
                          <w:rPr>
                            <w:spacing w:val="-11"/>
                            <w:sz w:val="28"/>
                          </w:rPr>
                          <w:t> </w:t>
                        </w:r>
                        <w:r>
                          <w:rPr>
                            <w:spacing w:val="-2"/>
                            <w:sz w:val="28"/>
                          </w:rPr>
                          <w:t>has</w:t>
                        </w:r>
                        <w:r>
                          <w:rPr>
                            <w:spacing w:val="-10"/>
                            <w:sz w:val="28"/>
                          </w:rPr>
                          <w:t> </w:t>
                        </w:r>
                        <w:r>
                          <w:rPr>
                            <w:spacing w:val="-2"/>
                            <w:sz w:val="28"/>
                          </w:rPr>
                          <w:t>not</w:t>
                        </w:r>
                        <w:r>
                          <w:rPr>
                            <w:spacing w:val="-10"/>
                            <w:sz w:val="28"/>
                          </w:rPr>
                          <w:t> </w:t>
                        </w:r>
                        <w:r>
                          <w:rPr>
                            <w:spacing w:val="-2"/>
                            <w:sz w:val="28"/>
                          </w:rPr>
                          <w:t>yet</w:t>
                        </w:r>
                        <w:r>
                          <w:rPr>
                            <w:spacing w:val="-10"/>
                            <w:sz w:val="28"/>
                          </w:rPr>
                          <w:t> </w:t>
                        </w:r>
                        <w:r>
                          <w:rPr>
                            <w:spacing w:val="-2"/>
                            <w:sz w:val="28"/>
                          </w:rPr>
                          <w:t>implemented</w:t>
                        </w:r>
                        <w:r>
                          <w:rPr>
                            <w:spacing w:val="-10"/>
                            <w:sz w:val="28"/>
                          </w:rPr>
                          <w:t> </w:t>
                        </w:r>
                        <w:r>
                          <w:rPr>
                            <w:spacing w:val="-2"/>
                            <w:sz w:val="28"/>
                          </w:rPr>
                          <w:t>EU</w:t>
                        </w:r>
                        <w:r>
                          <w:rPr>
                            <w:spacing w:val="-10"/>
                            <w:sz w:val="28"/>
                          </w:rPr>
                          <w:t> </w:t>
                        </w:r>
                        <w:r>
                          <w:rPr>
                            <w:spacing w:val="-5"/>
                            <w:sz w:val="28"/>
                          </w:rPr>
                          <w:t>law</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spacing w:line="232" w:lineRule="auto" w:before="0"/>
        <w:ind w:left="720" w:right="1967" w:firstLine="0"/>
        <w:jc w:val="left"/>
        <w:rPr>
          <w:b/>
          <w:sz w:val="28"/>
        </w:rPr>
      </w:pPr>
      <w:r>
        <w:rPr>
          <w:sz w:val="28"/>
        </w:rPr>
        <w:t>(</w:t>
      </w:r>
      <w:r>
        <w:rPr>
          <w:b/>
          <w:sz w:val="28"/>
        </w:rPr>
        <w:t>Gender</w:t>
      </w:r>
      <w:r>
        <w:rPr>
          <w:b/>
          <w:spacing w:val="-16"/>
          <w:sz w:val="28"/>
        </w:rPr>
        <w:t> </w:t>
      </w:r>
      <w:r>
        <w:rPr>
          <w:b/>
          <w:sz w:val="28"/>
        </w:rPr>
        <w:t>Balance</w:t>
      </w:r>
      <w:r>
        <w:rPr>
          <w:b/>
          <w:spacing w:val="-16"/>
          <w:sz w:val="28"/>
        </w:rPr>
        <w:t> </w:t>
      </w:r>
      <w:r>
        <w:rPr>
          <w:b/>
          <w:sz w:val="28"/>
        </w:rPr>
        <w:t>on</w:t>
      </w:r>
      <w:r>
        <w:rPr>
          <w:b/>
          <w:spacing w:val="-16"/>
          <w:sz w:val="28"/>
        </w:rPr>
        <w:t> </w:t>
      </w:r>
      <w:r>
        <w:rPr>
          <w:b/>
          <w:sz w:val="28"/>
        </w:rPr>
        <w:t>Boards</w:t>
      </w:r>
      <w:r>
        <w:rPr>
          <w:b/>
          <w:spacing w:val="-16"/>
          <w:sz w:val="28"/>
        </w:rPr>
        <w:t> </w:t>
      </w:r>
      <w:r>
        <w:rPr>
          <w:b/>
          <w:sz w:val="28"/>
        </w:rPr>
        <w:t>Directive,</w:t>
      </w:r>
      <w:r>
        <w:rPr>
          <w:b/>
          <w:spacing w:val="-16"/>
          <w:sz w:val="28"/>
        </w:rPr>
        <w:t> </w:t>
      </w:r>
      <w:r>
        <w:rPr>
          <w:b/>
          <w:sz w:val="28"/>
        </w:rPr>
        <w:t>Adequate</w:t>
      </w:r>
      <w:r>
        <w:rPr>
          <w:b/>
          <w:spacing w:val="-15"/>
          <w:sz w:val="28"/>
        </w:rPr>
        <w:t> </w:t>
      </w:r>
      <w:r>
        <w:rPr>
          <w:b/>
          <w:sz w:val="28"/>
        </w:rPr>
        <w:t>Minimum</w:t>
      </w:r>
      <w:r>
        <w:rPr>
          <w:b/>
          <w:spacing w:val="-16"/>
          <w:sz w:val="28"/>
        </w:rPr>
        <w:t> </w:t>
      </w:r>
      <w:r>
        <w:rPr>
          <w:b/>
          <w:sz w:val="28"/>
        </w:rPr>
        <w:t>Wages</w:t>
      </w:r>
      <w:r>
        <w:rPr>
          <w:b/>
          <w:spacing w:val="-16"/>
          <w:sz w:val="28"/>
        </w:rPr>
        <w:t> </w:t>
      </w:r>
      <w:r>
        <w:rPr>
          <w:b/>
          <w:sz w:val="28"/>
        </w:rPr>
        <w:t>Directive, Corporate</w:t>
      </w:r>
      <w:r>
        <w:rPr>
          <w:b/>
          <w:spacing w:val="-5"/>
          <w:sz w:val="28"/>
        </w:rPr>
        <w:t> </w:t>
      </w:r>
      <w:r>
        <w:rPr>
          <w:b/>
          <w:sz w:val="28"/>
        </w:rPr>
        <w:t>Sustainability</w:t>
      </w:r>
      <w:r>
        <w:rPr>
          <w:b/>
          <w:spacing w:val="-5"/>
          <w:sz w:val="28"/>
        </w:rPr>
        <w:t> </w:t>
      </w:r>
      <w:r>
        <w:rPr>
          <w:b/>
          <w:sz w:val="28"/>
        </w:rPr>
        <w:t>Reporting</w:t>
      </w:r>
      <w:r>
        <w:rPr>
          <w:b/>
          <w:spacing w:val="-5"/>
          <w:sz w:val="28"/>
        </w:rPr>
        <w:t> </w:t>
      </w:r>
      <w:r>
        <w:rPr>
          <w:b/>
          <w:sz w:val="28"/>
        </w:rPr>
        <w:t>Directive</w:t>
      </w:r>
      <w:r>
        <w:rPr>
          <w:sz w:val="28"/>
        </w:rPr>
        <w:t>)</w:t>
      </w:r>
      <w:r>
        <w:rPr>
          <w:spacing w:val="-5"/>
          <w:sz w:val="28"/>
        </w:rPr>
        <w:t> </w:t>
      </w:r>
      <w:r>
        <w:rPr>
          <w:sz w:val="28"/>
        </w:rPr>
        <w:t>or</w:t>
      </w:r>
      <w:r>
        <w:rPr>
          <w:spacing w:val="-5"/>
          <w:sz w:val="28"/>
        </w:rPr>
        <w:t> </w:t>
      </w:r>
      <w:r>
        <w:rPr>
          <w:sz w:val="28"/>
        </w:rPr>
        <w:t>has</w:t>
      </w:r>
      <w:r>
        <w:rPr>
          <w:spacing w:val="-5"/>
          <w:sz w:val="28"/>
        </w:rPr>
        <w:t> </w:t>
      </w:r>
      <w:r>
        <w:rPr>
          <w:sz w:val="28"/>
        </w:rPr>
        <w:t>not</w:t>
      </w:r>
      <w:r>
        <w:rPr>
          <w:spacing w:val="-5"/>
          <w:sz w:val="28"/>
        </w:rPr>
        <w:t> </w:t>
      </w:r>
      <w:r>
        <w:rPr>
          <w:sz w:val="28"/>
        </w:rPr>
        <w:t>yet</w:t>
      </w:r>
      <w:r>
        <w:rPr>
          <w:spacing w:val="-5"/>
          <w:sz w:val="28"/>
        </w:rPr>
        <w:t> </w:t>
      </w:r>
      <w:r>
        <w:rPr>
          <w:sz w:val="28"/>
        </w:rPr>
        <w:t>adequately </w:t>
      </w:r>
      <w:r>
        <w:rPr>
          <w:spacing w:val="-2"/>
          <w:sz w:val="28"/>
        </w:rPr>
        <w:t>implemented</w:t>
      </w:r>
      <w:r>
        <w:rPr>
          <w:spacing w:val="-12"/>
          <w:sz w:val="28"/>
        </w:rPr>
        <w:t> </w:t>
      </w:r>
      <w:r>
        <w:rPr>
          <w:spacing w:val="-2"/>
          <w:sz w:val="28"/>
        </w:rPr>
        <w:t>EU</w:t>
      </w:r>
      <w:r>
        <w:rPr>
          <w:spacing w:val="-11"/>
          <w:sz w:val="28"/>
        </w:rPr>
        <w:t> </w:t>
      </w:r>
      <w:r>
        <w:rPr>
          <w:spacing w:val="-2"/>
          <w:sz w:val="28"/>
        </w:rPr>
        <w:t>law</w:t>
      </w:r>
      <w:r>
        <w:rPr>
          <w:spacing w:val="-11"/>
          <w:sz w:val="28"/>
        </w:rPr>
        <w:t> </w:t>
      </w:r>
      <w:r>
        <w:rPr>
          <w:spacing w:val="-2"/>
          <w:sz w:val="28"/>
        </w:rPr>
        <w:t>(for</w:t>
      </w:r>
      <w:r>
        <w:rPr>
          <w:spacing w:val="-11"/>
          <w:sz w:val="28"/>
        </w:rPr>
        <w:t> </w:t>
      </w:r>
      <w:r>
        <w:rPr>
          <w:spacing w:val="-2"/>
          <w:sz w:val="28"/>
        </w:rPr>
        <w:t>example</w:t>
      </w:r>
      <w:r>
        <w:rPr>
          <w:spacing w:val="-11"/>
          <w:sz w:val="28"/>
        </w:rPr>
        <w:t> </w:t>
      </w:r>
      <w:r>
        <w:rPr>
          <w:spacing w:val="-2"/>
          <w:sz w:val="28"/>
        </w:rPr>
        <w:t>the</w:t>
      </w:r>
      <w:r>
        <w:rPr>
          <w:spacing w:val="-12"/>
          <w:sz w:val="28"/>
        </w:rPr>
        <w:t> </w:t>
      </w:r>
      <w:r>
        <w:rPr>
          <w:b/>
          <w:spacing w:val="-2"/>
          <w:sz w:val="28"/>
        </w:rPr>
        <w:t>Work-Life</w:t>
      </w:r>
      <w:r>
        <w:rPr>
          <w:b/>
          <w:spacing w:val="-12"/>
          <w:sz w:val="28"/>
        </w:rPr>
        <w:t> </w:t>
      </w:r>
      <w:r>
        <w:rPr>
          <w:b/>
          <w:spacing w:val="-2"/>
          <w:sz w:val="28"/>
        </w:rPr>
        <w:t>Balance</w:t>
      </w:r>
      <w:r>
        <w:rPr>
          <w:b/>
          <w:spacing w:val="-12"/>
          <w:sz w:val="28"/>
        </w:rPr>
        <w:t> </w:t>
      </w:r>
      <w:r>
        <w:rPr>
          <w:b/>
          <w:spacing w:val="-2"/>
          <w:sz w:val="28"/>
        </w:rPr>
        <w:t>Directive</w:t>
      </w:r>
      <w:r>
        <w:rPr>
          <w:b/>
          <w:spacing w:val="-10"/>
          <w:sz w:val="28"/>
        </w:rPr>
        <w:t> </w:t>
      </w:r>
      <w:r>
        <w:rPr>
          <w:spacing w:val="-2"/>
          <w:sz w:val="28"/>
        </w:rPr>
        <w:t>as</w:t>
      </w:r>
      <w:r>
        <w:rPr>
          <w:spacing w:val="-11"/>
          <w:sz w:val="28"/>
        </w:rPr>
        <w:t> </w:t>
      </w:r>
      <w:r>
        <w:rPr>
          <w:spacing w:val="-2"/>
          <w:sz w:val="28"/>
        </w:rPr>
        <w:t>regards non-transferable</w:t>
      </w:r>
      <w:r>
        <w:rPr>
          <w:spacing w:val="-12"/>
          <w:sz w:val="28"/>
        </w:rPr>
        <w:t> </w:t>
      </w:r>
      <w:r>
        <w:rPr>
          <w:spacing w:val="-2"/>
          <w:sz w:val="28"/>
        </w:rPr>
        <w:t>leave,</w:t>
      </w:r>
      <w:r>
        <w:rPr>
          <w:spacing w:val="-12"/>
          <w:sz w:val="28"/>
        </w:rPr>
        <w:t> </w:t>
      </w:r>
      <w:r>
        <w:rPr>
          <w:spacing w:val="-2"/>
          <w:sz w:val="28"/>
        </w:rPr>
        <w:t>the</w:t>
      </w:r>
      <w:r>
        <w:rPr>
          <w:spacing w:val="-14"/>
          <w:sz w:val="28"/>
        </w:rPr>
        <w:t> </w:t>
      </w:r>
      <w:r>
        <w:rPr>
          <w:b/>
          <w:spacing w:val="-2"/>
          <w:sz w:val="28"/>
        </w:rPr>
        <w:t>General</w:t>
      </w:r>
      <w:r>
        <w:rPr>
          <w:b/>
          <w:spacing w:val="-12"/>
          <w:sz w:val="28"/>
        </w:rPr>
        <w:t> </w:t>
      </w:r>
      <w:r>
        <w:rPr>
          <w:b/>
          <w:spacing w:val="-2"/>
          <w:sz w:val="28"/>
        </w:rPr>
        <w:t>Framework</w:t>
      </w:r>
      <w:r>
        <w:rPr>
          <w:b/>
          <w:spacing w:val="-12"/>
          <w:sz w:val="28"/>
        </w:rPr>
        <w:t> </w:t>
      </w:r>
      <w:r>
        <w:rPr>
          <w:b/>
          <w:spacing w:val="-2"/>
          <w:sz w:val="28"/>
        </w:rPr>
        <w:t>Directive</w:t>
      </w:r>
      <w:r>
        <w:rPr>
          <w:b/>
          <w:spacing w:val="-11"/>
          <w:sz w:val="28"/>
        </w:rPr>
        <w:t> </w:t>
      </w:r>
      <w:r>
        <w:rPr>
          <w:spacing w:val="-2"/>
          <w:sz w:val="28"/>
        </w:rPr>
        <w:t>as</w:t>
      </w:r>
      <w:r>
        <w:rPr>
          <w:spacing w:val="-12"/>
          <w:sz w:val="28"/>
        </w:rPr>
        <w:t> </w:t>
      </w:r>
      <w:r>
        <w:rPr>
          <w:spacing w:val="-2"/>
          <w:sz w:val="28"/>
        </w:rPr>
        <w:t>regards</w:t>
      </w:r>
      <w:r>
        <w:rPr>
          <w:spacing w:val="-12"/>
          <w:sz w:val="28"/>
        </w:rPr>
        <w:t> </w:t>
      </w:r>
      <w:r>
        <w:rPr>
          <w:spacing w:val="-2"/>
          <w:sz w:val="28"/>
        </w:rPr>
        <w:t>religious </w:t>
      </w:r>
      <w:r>
        <w:rPr>
          <w:sz w:val="28"/>
        </w:rPr>
        <w:t>ethos exemption and the definition of religion or belief)</w:t>
      </w:r>
      <w:r>
        <w:rPr>
          <w:b/>
          <w:sz w:val="28"/>
        </w:rPr>
        <w:t>.</w:t>
      </w:r>
    </w:p>
    <w:p>
      <w:pPr>
        <w:pStyle w:val="BodyText"/>
        <w:spacing w:line="232" w:lineRule="auto" w:before="276"/>
        <w:ind w:left="720" w:right="1087"/>
      </w:pPr>
      <w:r>
        <w:rPr/>
        <w:t>Some</w:t>
      </w:r>
      <w:r>
        <w:rPr>
          <w:spacing w:val="-6"/>
        </w:rPr>
        <w:t> </w:t>
      </w:r>
      <w:r>
        <w:rPr/>
        <w:t>of</w:t>
      </w:r>
      <w:r>
        <w:rPr>
          <w:spacing w:val="-7"/>
        </w:rPr>
        <w:t> </w:t>
      </w:r>
      <w:r>
        <w:rPr/>
        <w:t>these</w:t>
      </w:r>
      <w:r>
        <w:rPr>
          <w:spacing w:val="-6"/>
        </w:rPr>
        <w:t> </w:t>
      </w:r>
      <w:r>
        <w:rPr/>
        <w:t>developments</w:t>
      </w:r>
      <w:r>
        <w:rPr>
          <w:spacing w:val="-7"/>
        </w:rPr>
        <w:t> </w:t>
      </w:r>
      <w:r>
        <w:rPr/>
        <w:t>relate</w:t>
      </w:r>
      <w:r>
        <w:rPr>
          <w:spacing w:val="-6"/>
        </w:rPr>
        <w:t> </w:t>
      </w:r>
      <w:r>
        <w:rPr/>
        <w:t>to</w:t>
      </w:r>
      <w:r>
        <w:rPr>
          <w:spacing w:val="-7"/>
        </w:rPr>
        <w:t> </w:t>
      </w:r>
      <w:r>
        <w:rPr/>
        <w:t>EU</w:t>
      </w:r>
      <w:r>
        <w:rPr>
          <w:spacing w:val="-6"/>
        </w:rPr>
        <w:t> </w:t>
      </w:r>
      <w:r>
        <w:rPr/>
        <w:t>law</w:t>
      </w:r>
      <w:r>
        <w:rPr>
          <w:spacing w:val="-6"/>
        </w:rPr>
        <w:t> </w:t>
      </w:r>
      <w:r>
        <w:rPr/>
        <w:t>initiatives</w:t>
      </w:r>
      <w:r>
        <w:rPr>
          <w:spacing w:val="-7"/>
        </w:rPr>
        <w:t> </w:t>
      </w:r>
      <w:r>
        <w:rPr/>
        <w:t>which</w:t>
      </w:r>
      <w:r>
        <w:rPr>
          <w:spacing w:val="-7"/>
        </w:rPr>
        <w:t> </w:t>
      </w:r>
      <w:r>
        <w:rPr/>
        <w:t>are</w:t>
      </w:r>
      <w:r>
        <w:rPr>
          <w:spacing w:val="-6"/>
        </w:rPr>
        <w:t> </w:t>
      </w:r>
      <w:r>
        <w:rPr/>
        <w:t>central</w:t>
      </w:r>
      <w:r>
        <w:rPr>
          <w:spacing w:val="-7"/>
        </w:rPr>
        <w:t> </w:t>
      </w:r>
      <w:r>
        <w:rPr/>
        <w:t>to</w:t>
      </w:r>
      <w:r>
        <w:rPr>
          <w:spacing w:val="-7"/>
        </w:rPr>
        <w:t> </w:t>
      </w:r>
      <w:r>
        <w:rPr/>
        <w:t>the promotion of rights and equality and to the objectives of the existing Annex 1 Directives.</w:t>
      </w:r>
      <w:r>
        <w:rPr>
          <w:spacing w:val="-8"/>
        </w:rPr>
        <w:t> </w:t>
      </w:r>
      <w:r>
        <w:rPr/>
        <w:t>We</w:t>
      </w:r>
      <w:r>
        <w:rPr>
          <w:spacing w:val="-8"/>
        </w:rPr>
        <w:t> </w:t>
      </w:r>
      <w:r>
        <w:rPr/>
        <w:t>agree</w:t>
      </w:r>
      <w:r>
        <w:rPr>
          <w:spacing w:val="-8"/>
        </w:rPr>
        <w:t> </w:t>
      </w:r>
      <w:r>
        <w:rPr/>
        <w:t>with</w:t>
      </w:r>
      <w:r>
        <w:rPr>
          <w:spacing w:val="-8"/>
        </w:rPr>
        <w:t> </w:t>
      </w:r>
      <w:r>
        <w:rPr/>
        <w:t>the</w:t>
      </w:r>
      <w:r>
        <w:rPr>
          <w:spacing w:val="-8"/>
        </w:rPr>
        <w:t> </w:t>
      </w:r>
      <w:r>
        <w:rPr/>
        <w:t>ECNI</w:t>
      </w:r>
      <w:r>
        <w:rPr>
          <w:spacing w:val="-8"/>
        </w:rPr>
        <w:t> </w:t>
      </w:r>
      <w:r>
        <w:rPr/>
        <w:t>and</w:t>
      </w:r>
      <w:r>
        <w:rPr>
          <w:spacing w:val="-8"/>
        </w:rPr>
        <w:t> </w:t>
      </w:r>
      <w:r>
        <w:rPr/>
        <w:t>NIHRC</w:t>
      </w:r>
      <w:r>
        <w:rPr>
          <w:spacing w:val="-8"/>
        </w:rPr>
        <w:t> </w:t>
      </w:r>
      <w:r>
        <w:rPr/>
        <w:t>recommendation</w:t>
      </w:r>
      <w:r>
        <w:rPr>
          <w:spacing w:val="-8"/>
        </w:rPr>
        <w:t> </w:t>
      </w:r>
      <w:r>
        <w:rPr/>
        <w:t>that</w:t>
      </w:r>
      <w:r>
        <w:rPr>
          <w:spacing w:val="-8"/>
        </w:rPr>
        <w:t> </w:t>
      </w:r>
      <w:r>
        <w:rPr/>
        <w:t>all</w:t>
      </w:r>
      <w:r>
        <w:rPr>
          <w:spacing w:val="-8"/>
        </w:rPr>
        <w:t> </w:t>
      </w:r>
      <w:r>
        <w:rPr/>
        <w:t>relevant portions of the Pay Transparency Directive should be transposed into Northern Ireland law.</w:t>
      </w:r>
    </w:p>
    <w:p>
      <w:pPr>
        <w:spacing w:line="232" w:lineRule="auto" w:before="276"/>
        <w:ind w:left="720" w:right="1087" w:firstLine="0"/>
        <w:jc w:val="left"/>
        <w:rPr>
          <w:b/>
          <w:sz w:val="28"/>
        </w:rPr>
      </w:pPr>
      <w:r>
        <w:rPr>
          <w:sz w:val="28"/>
        </w:rPr>
        <w:t>We</w:t>
      </w:r>
      <w:r>
        <w:rPr>
          <w:spacing w:val="-16"/>
          <w:sz w:val="28"/>
        </w:rPr>
        <w:t> </w:t>
      </w:r>
      <w:r>
        <w:rPr>
          <w:sz w:val="28"/>
        </w:rPr>
        <w:t>also</w:t>
      </w:r>
      <w:r>
        <w:rPr>
          <w:spacing w:val="-16"/>
          <w:sz w:val="28"/>
        </w:rPr>
        <w:t> </w:t>
      </w:r>
      <w:r>
        <w:rPr>
          <w:sz w:val="28"/>
        </w:rPr>
        <w:t>recommend</w:t>
      </w:r>
      <w:r>
        <w:rPr>
          <w:spacing w:val="-16"/>
          <w:sz w:val="28"/>
        </w:rPr>
        <w:t> </w:t>
      </w:r>
      <w:r>
        <w:rPr>
          <w:sz w:val="28"/>
        </w:rPr>
        <w:t>the</w:t>
      </w:r>
      <w:r>
        <w:rPr>
          <w:spacing w:val="-16"/>
          <w:sz w:val="28"/>
        </w:rPr>
        <w:t> </w:t>
      </w:r>
      <w:r>
        <w:rPr>
          <w:sz w:val="28"/>
        </w:rPr>
        <w:t>Northern</w:t>
      </w:r>
      <w:r>
        <w:rPr>
          <w:spacing w:val="-16"/>
          <w:sz w:val="28"/>
        </w:rPr>
        <w:t> </w:t>
      </w:r>
      <w:r>
        <w:rPr>
          <w:sz w:val="28"/>
        </w:rPr>
        <w:t>Ireland</w:t>
      </w:r>
      <w:r>
        <w:rPr>
          <w:spacing w:val="-15"/>
          <w:sz w:val="28"/>
        </w:rPr>
        <w:t> </w:t>
      </w:r>
      <w:r>
        <w:rPr>
          <w:sz w:val="28"/>
        </w:rPr>
        <w:t>authorities</w:t>
      </w:r>
      <w:r>
        <w:rPr>
          <w:spacing w:val="-16"/>
          <w:sz w:val="28"/>
        </w:rPr>
        <w:t> </w:t>
      </w:r>
      <w:r>
        <w:rPr>
          <w:sz w:val="28"/>
        </w:rPr>
        <w:t>take</w:t>
      </w:r>
      <w:r>
        <w:rPr>
          <w:spacing w:val="-16"/>
          <w:sz w:val="28"/>
        </w:rPr>
        <w:t> </w:t>
      </w:r>
      <w:r>
        <w:rPr>
          <w:sz w:val="28"/>
        </w:rPr>
        <w:t>steps</w:t>
      </w:r>
      <w:r>
        <w:rPr>
          <w:spacing w:val="-16"/>
          <w:sz w:val="28"/>
        </w:rPr>
        <w:t> </w:t>
      </w:r>
      <w:r>
        <w:rPr>
          <w:sz w:val="28"/>
        </w:rPr>
        <w:t>to</w:t>
      </w:r>
      <w:r>
        <w:rPr>
          <w:spacing w:val="-16"/>
          <w:sz w:val="28"/>
        </w:rPr>
        <w:t> </w:t>
      </w:r>
      <w:r>
        <w:rPr>
          <w:sz w:val="28"/>
        </w:rPr>
        <w:t>ensure</w:t>
      </w:r>
      <w:r>
        <w:rPr>
          <w:spacing w:val="-16"/>
          <w:sz w:val="28"/>
        </w:rPr>
        <w:t> </w:t>
      </w:r>
      <w:r>
        <w:rPr>
          <w:sz w:val="28"/>
        </w:rPr>
        <w:t>voluntary alignment</w:t>
      </w:r>
      <w:r>
        <w:rPr>
          <w:spacing w:val="-1"/>
          <w:sz w:val="28"/>
        </w:rPr>
        <w:t> </w:t>
      </w:r>
      <w:r>
        <w:rPr>
          <w:sz w:val="28"/>
        </w:rPr>
        <w:t>where</w:t>
      </w:r>
      <w:r>
        <w:rPr>
          <w:spacing w:val="-1"/>
          <w:sz w:val="28"/>
        </w:rPr>
        <w:t> </w:t>
      </w:r>
      <w:r>
        <w:rPr>
          <w:sz w:val="28"/>
        </w:rPr>
        <w:t>this</w:t>
      </w:r>
      <w:r>
        <w:rPr>
          <w:spacing w:val="-1"/>
          <w:sz w:val="28"/>
        </w:rPr>
        <w:t> </w:t>
      </w:r>
      <w:r>
        <w:rPr>
          <w:sz w:val="28"/>
        </w:rPr>
        <w:t>reflects</w:t>
      </w:r>
      <w:r>
        <w:rPr>
          <w:spacing w:val="-1"/>
          <w:sz w:val="28"/>
        </w:rPr>
        <w:t> </w:t>
      </w:r>
      <w:r>
        <w:rPr>
          <w:sz w:val="28"/>
        </w:rPr>
        <w:t>best</w:t>
      </w:r>
      <w:r>
        <w:rPr>
          <w:spacing w:val="-1"/>
          <w:sz w:val="28"/>
        </w:rPr>
        <w:t> </w:t>
      </w:r>
      <w:r>
        <w:rPr>
          <w:sz w:val="28"/>
        </w:rPr>
        <w:t>practice</w:t>
      </w:r>
      <w:r>
        <w:rPr>
          <w:spacing w:val="-1"/>
          <w:sz w:val="28"/>
        </w:rPr>
        <w:t> </w:t>
      </w:r>
      <w:r>
        <w:rPr>
          <w:sz w:val="28"/>
        </w:rPr>
        <w:t>and</w:t>
      </w:r>
      <w:r>
        <w:rPr>
          <w:spacing w:val="-1"/>
          <w:sz w:val="28"/>
        </w:rPr>
        <w:t> </w:t>
      </w:r>
      <w:r>
        <w:rPr>
          <w:sz w:val="28"/>
        </w:rPr>
        <w:t>promotes</w:t>
      </w:r>
      <w:r>
        <w:rPr>
          <w:spacing w:val="-1"/>
          <w:sz w:val="28"/>
        </w:rPr>
        <w:t> </w:t>
      </w:r>
      <w:r>
        <w:rPr>
          <w:sz w:val="28"/>
        </w:rPr>
        <w:t>rights</w:t>
      </w:r>
      <w:r>
        <w:rPr>
          <w:spacing w:val="-1"/>
          <w:sz w:val="28"/>
        </w:rPr>
        <w:t> </w:t>
      </w:r>
      <w:r>
        <w:rPr>
          <w:sz w:val="28"/>
        </w:rPr>
        <w:t>and</w:t>
      </w:r>
      <w:r>
        <w:rPr>
          <w:spacing w:val="-1"/>
          <w:sz w:val="28"/>
        </w:rPr>
        <w:t> </w:t>
      </w:r>
      <w:r>
        <w:rPr>
          <w:sz w:val="28"/>
        </w:rPr>
        <w:t>equality</w:t>
      </w:r>
      <w:r>
        <w:rPr>
          <w:spacing w:val="-1"/>
          <w:sz w:val="28"/>
        </w:rPr>
        <w:t> </w:t>
      </w:r>
      <w:r>
        <w:rPr>
          <w:sz w:val="28"/>
        </w:rPr>
        <w:t>in respect</w:t>
      </w:r>
      <w:r>
        <w:rPr>
          <w:spacing w:val="-3"/>
          <w:sz w:val="28"/>
        </w:rPr>
        <w:t> </w:t>
      </w:r>
      <w:r>
        <w:rPr>
          <w:sz w:val="28"/>
        </w:rPr>
        <w:t>of</w:t>
      </w:r>
      <w:r>
        <w:rPr>
          <w:spacing w:val="-3"/>
          <w:sz w:val="28"/>
        </w:rPr>
        <w:t> </w:t>
      </w:r>
      <w:r>
        <w:rPr>
          <w:sz w:val="28"/>
        </w:rPr>
        <w:t>the</w:t>
      </w:r>
      <w:r>
        <w:rPr>
          <w:spacing w:val="-3"/>
          <w:sz w:val="28"/>
        </w:rPr>
        <w:t> </w:t>
      </w:r>
      <w:r>
        <w:rPr>
          <w:b/>
          <w:sz w:val="28"/>
        </w:rPr>
        <w:t>Work-Life</w:t>
      </w:r>
      <w:r>
        <w:rPr>
          <w:b/>
          <w:spacing w:val="-3"/>
          <w:sz w:val="28"/>
        </w:rPr>
        <w:t> </w:t>
      </w:r>
      <w:r>
        <w:rPr>
          <w:b/>
          <w:sz w:val="28"/>
        </w:rPr>
        <w:t>Balance</w:t>
      </w:r>
      <w:r>
        <w:rPr>
          <w:b/>
          <w:spacing w:val="-3"/>
          <w:sz w:val="28"/>
        </w:rPr>
        <w:t> </w:t>
      </w:r>
      <w:r>
        <w:rPr>
          <w:b/>
          <w:sz w:val="28"/>
        </w:rPr>
        <w:t>Directive,</w:t>
      </w:r>
      <w:r>
        <w:rPr>
          <w:b/>
          <w:spacing w:val="-3"/>
          <w:sz w:val="28"/>
        </w:rPr>
        <w:t> </w:t>
      </w:r>
      <w:r>
        <w:rPr>
          <w:b/>
          <w:sz w:val="28"/>
        </w:rPr>
        <w:t>Gender</w:t>
      </w:r>
      <w:r>
        <w:rPr>
          <w:b/>
          <w:spacing w:val="-3"/>
          <w:sz w:val="28"/>
        </w:rPr>
        <w:t> </w:t>
      </w:r>
      <w:r>
        <w:rPr>
          <w:b/>
          <w:sz w:val="28"/>
        </w:rPr>
        <w:t>Balance</w:t>
      </w:r>
      <w:r>
        <w:rPr>
          <w:b/>
          <w:spacing w:val="-3"/>
          <w:sz w:val="28"/>
        </w:rPr>
        <w:t> </w:t>
      </w:r>
      <w:r>
        <w:rPr>
          <w:b/>
          <w:sz w:val="28"/>
        </w:rPr>
        <w:t>on</w:t>
      </w:r>
      <w:r>
        <w:rPr>
          <w:b/>
          <w:spacing w:val="-3"/>
          <w:sz w:val="28"/>
        </w:rPr>
        <w:t> </w:t>
      </w:r>
      <w:r>
        <w:rPr>
          <w:b/>
          <w:sz w:val="28"/>
        </w:rPr>
        <w:t>Boards</w:t>
      </w:r>
      <w:r>
        <w:rPr>
          <w:b/>
          <w:spacing w:val="-3"/>
          <w:sz w:val="28"/>
        </w:rPr>
        <w:t> </w:t>
      </w:r>
      <w:r>
        <w:rPr>
          <w:b/>
          <w:sz w:val="28"/>
        </w:rPr>
        <w:t>Directive, European Accessibility Act, EU Corporate Sustainability Reporting Directive.</w:t>
      </w:r>
    </w:p>
    <w:p>
      <w:pPr>
        <w:pStyle w:val="BodyText"/>
        <w:spacing w:line="232" w:lineRule="auto" w:before="277"/>
        <w:ind w:left="720" w:right="1143"/>
        <w:rPr>
          <w:b/>
        </w:rPr>
      </w:pPr>
      <w:r>
        <w:rPr/>
        <w:t>We especially highlight the importance of the ongoing review of the Irish equality legislation. The protection of equality is core to the 1998 Agreement and to Article 2</w:t>
      </w:r>
      <w:r>
        <w:rPr>
          <w:spacing w:val="-5"/>
        </w:rPr>
        <w:t> </w:t>
      </w:r>
      <w:r>
        <w:rPr/>
        <w:t>WF.</w:t>
      </w:r>
      <w:r>
        <w:rPr>
          <w:spacing w:val="-6"/>
        </w:rPr>
        <w:t> </w:t>
      </w:r>
      <w:r>
        <w:rPr/>
        <w:t>The</w:t>
      </w:r>
      <w:r>
        <w:rPr>
          <w:spacing w:val="-5"/>
        </w:rPr>
        <w:t> </w:t>
      </w:r>
      <w:r>
        <w:rPr/>
        <w:t>problems</w:t>
      </w:r>
      <w:r>
        <w:rPr>
          <w:spacing w:val="-6"/>
        </w:rPr>
        <w:t> </w:t>
      </w:r>
      <w:r>
        <w:rPr/>
        <w:t>with</w:t>
      </w:r>
      <w:r>
        <w:rPr>
          <w:spacing w:val="-6"/>
        </w:rPr>
        <w:t> </w:t>
      </w:r>
      <w:r>
        <w:rPr/>
        <w:t>Northern</w:t>
      </w:r>
      <w:r>
        <w:rPr>
          <w:spacing w:val="-6"/>
        </w:rPr>
        <w:t> </w:t>
      </w:r>
      <w:r>
        <w:rPr/>
        <w:t>Ireland</w:t>
      </w:r>
      <w:r>
        <w:rPr>
          <w:spacing w:val="-6"/>
        </w:rPr>
        <w:t> </w:t>
      </w:r>
      <w:r>
        <w:rPr/>
        <w:t>equality</w:t>
      </w:r>
      <w:r>
        <w:rPr>
          <w:spacing w:val="-5"/>
        </w:rPr>
        <w:t> </w:t>
      </w:r>
      <w:r>
        <w:rPr/>
        <w:t>law</w:t>
      </w:r>
      <w:r>
        <w:rPr>
          <w:spacing w:val="-5"/>
        </w:rPr>
        <w:t> </w:t>
      </w:r>
      <w:r>
        <w:rPr/>
        <w:t>-</w:t>
      </w:r>
      <w:r>
        <w:rPr>
          <w:spacing w:val="-6"/>
        </w:rPr>
        <w:t> </w:t>
      </w:r>
      <w:r>
        <w:rPr/>
        <w:t>notably</w:t>
      </w:r>
      <w:r>
        <w:rPr>
          <w:spacing w:val="-5"/>
        </w:rPr>
        <w:t> </w:t>
      </w:r>
      <w:r>
        <w:rPr/>
        <w:t>the</w:t>
      </w:r>
      <w:r>
        <w:rPr>
          <w:spacing w:val="-5"/>
        </w:rPr>
        <w:t> </w:t>
      </w:r>
      <w:r>
        <w:rPr/>
        <w:t>lack</w:t>
      </w:r>
      <w:r>
        <w:rPr>
          <w:spacing w:val="-5"/>
        </w:rPr>
        <w:t> </w:t>
      </w:r>
      <w:r>
        <w:rPr/>
        <w:t>of</w:t>
      </w:r>
      <w:r>
        <w:rPr>
          <w:spacing w:val="-6"/>
        </w:rPr>
        <w:t> </w:t>
      </w:r>
      <w:r>
        <w:rPr/>
        <w:t>a</w:t>
      </w:r>
      <w:r>
        <w:rPr>
          <w:spacing w:val="-6"/>
        </w:rPr>
        <w:t> </w:t>
      </w:r>
      <w:r>
        <w:rPr/>
        <w:t>single equality</w:t>
      </w:r>
      <w:r>
        <w:rPr>
          <w:spacing w:val="-6"/>
        </w:rPr>
        <w:t> </w:t>
      </w:r>
      <w:r>
        <w:rPr/>
        <w:t>act</w:t>
      </w:r>
      <w:r>
        <w:rPr>
          <w:spacing w:val="-6"/>
        </w:rPr>
        <w:t> </w:t>
      </w:r>
      <w:r>
        <w:rPr/>
        <w:t>–</w:t>
      </w:r>
      <w:r>
        <w:rPr>
          <w:spacing w:val="-7"/>
        </w:rPr>
        <w:t> </w:t>
      </w:r>
      <w:r>
        <w:rPr/>
        <w:t>have</w:t>
      </w:r>
      <w:r>
        <w:rPr>
          <w:spacing w:val="-6"/>
        </w:rPr>
        <w:t> </w:t>
      </w:r>
      <w:r>
        <w:rPr/>
        <w:t>often</w:t>
      </w:r>
      <w:r>
        <w:rPr>
          <w:spacing w:val="-7"/>
        </w:rPr>
        <w:t> </w:t>
      </w:r>
      <w:r>
        <w:rPr/>
        <w:t>been</w:t>
      </w:r>
      <w:r>
        <w:rPr>
          <w:spacing w:val="-7"/>
        </w:rPr>
        <w:t> </w:t>
      </w:r>
      <w:r>
        <w:rPr/>
        <w:t>commented</w:t>
      </w:r>
      <w:r>
        <w:rPr>
          <w:spacing w:val="-7"/>
        </w:rPr>
        <w:t> </w:t>
      </w:r>
      <w:r>
        <w:rPr/>
        <w:t>upon.</w:t>
      </w:r>
      <w:r>
        <w:rPr>
          <w:spacing w:val="-7"/>
        </w:rPr>
        <w:t> </w:t>
      </w:r>
      <w:r>
        <w:rPr/>
        <w:t>Those</w:t>
      </w:r>
      <w:r>
        <w:rPr>
          <w:spacing w:val="-6"/>
        </w:rPr>
        <w:t> </w:t>
      </w:r>
      <w:r>
        <w:rPr/>
        <w:t>problems</w:t>
      </w:r>
      <w:r>
        <w:rPr>
          <w:spacing w:val="-7"/>
        </w:rPr>
        <w:t> </w:t>
      </w:r>
      <w:r>
        <w:rPr/>
        <w:t>remain</w:t>
      </w:r>
      <w:r>
        <w:rPr>
          <w:spacing w:val="-7"/>
        </w:rPr>
        <w:t> </w:t>
      </w:r>
      <w:r>
        <w:rPr/>
        <w:t>but</w:t>
      </w:r>
      <w:r>
        <w:rPr>
          <w:spacing w:val="-6"/>
        </w:rPr>
        <w:t> </w:t>
      </w:r>
      <w:r>
        <w:rPr/>
        <w:t>there is a risk that the divergence will become more significant if Ireland legislates for many of the suggestions that have been made in its consultation on the equality legislation, for instance around </w:t>
      </w:r>
      <w:r>
        <w:rPr>
          <w:b/>
        </w:rPr>
        <w:t>intersectional discrimination</w:t>
      </w:r>
      <w:r>
        <w:rPr/>
        <w:t>, or the </w:t>
      </w:r>
      <w:r>
        <w:rPr>
          <w:b/>
        </w:rPr>
        <w:t>recognition</w:t>
      </w:r>
    </w:p>
    <w:p>
      <w:pPr>
        <w:pStyle w:val="Heading3"/>
        <w:spacing w:line="232" w:lineRule="auto"/>
        <w:ind w:left="720" w:right="1087" w:firstLine="0"/>
        <w:rPr>
          <w:b w:val="0"/>
        </w:rPr>
      </w:pPr>
      <w:r>
        <w:rPr/>
        <w:t>of</w:t>
      </w:r>
      <w:r>
        <w:rPr>
          <w:spacing w:val="-9"/>
        </w:rPr>
        <w:t> </w:t>
      </w:r>
      <w:r>
        <w:rPr/>
        <w:t>new</w:t>
      </w:r>
      <w:r>
        <w:rPr>
          <w:spacing w:val="-9"/>
        </w:rPr>
        <w:t> </w:t>
      </w:r>
      <w:r>
        <w:rPr/>
        <w:t>grounds</w:t>
      </w:r>
      <w:r>
        <w:rPr>
          <w:spacing w:val="-8"/>
        </w:rPr>
        <w:t> </w:t>
      </w:r>
      <w:r>
        <w:rPr/>
        <w:t>such</w:t>
      </w:r>
      <w:r>
        <w:rPr>
          <w:spacing w:val="-8"/>
        </w:rPr>
        <w:t> </w:t>
      </w:r>
      <w:r>
        <w:rPr/>
        <w:t>as</w:t>
      </w:r>
      <w:r>
        <w:rPr>
          <w:spacing w:val="-8"/>
        </w:rPr>
        <w:t> </w:t>
      </w:r>
      <w:r>
        <w:rPr/>
        <w:t>socioeconomic</w:t>
      </w:r>
      <w:r>
        <w:rPr>
          <w:spacing w:val="-9"/>
        </w:rPr>
        <w:t> </w:t>
      </w:r>
      <w:r>
        <w:rPr/>
        <w:t>disadvantage,</w:t>
      </w:r>
      <w:r>
        <w:rPr>
          <w:spacing w:val="-8"/>
        </w:rPr>
        <w:t> </w:t>
      </w:r>
      <w:r>
        <w:rPr/>
        <w:t>criminal</w:t>
      </w:r>
      <w:r>
        <w:rPr>
          <w:spacing w:val="-8"/>
        </w:rPr>
        <w:t> </w:t>
      </w:r>
      <w:r>
        <w:rPr/>
        <w:t>conviction,</w:t>
      </w:r>
      <w:r>
        <w:rPr>
          <w:spacing w:val="-8"/>
        </w:rPr>
        <w:t> </w:t>
      </w:r>
      <w:r>
        <w:rPr/>
        <w:t>carers, and gender identity</w:t>
      </w:r>
      <w:r>
        <w:rPr>
          <w:b w:val="0"/>
        </w:rPr>
        <w:t>.</w:t>
      </w:r>
    </w:p>
    <w:p>
      <w:pPr>
        <w:pStyle w:val="BodyText"/>
        <w:spacing w:line="232" w:lineRule="auto" w:before="269"/>
        <w:ind w:left="720" w:right="1087"/>
      </w:pPr>
      <w:r>
        <w:rPr>
          <w:spacing w:val="-2"/>
        </w:rPr>
        <w:t>While</w:t>
      </w:r>
      <w:r>
        <w:rPr>
          <w:spacing w:val="-7"/>
        </w:rPr>
        <w:t> </w:t>
      </w:r>
      <w:r>
        <w:rPr>
          <w:spacing w:val="-2"/>
        </w:rPr>
        <w:t>most</w:t>
      </w:r>
      <w:r>
        <w:rPr>
          <w:spacing w:val="-7"/>
        </w:rPr>
        <w:t> </w:t>
      </w:r>
      <w:r>
        <w:rPr>
          <w:spacing w:val="-2"/>
        </w:rPr>
        <w:t>of</w:t>
      </w:r>
      <w:r>
        <w:rPr>
          <w:spacing w:val="-7"/>
        </w:rPr>
        <w:t> </w:t>
      </w:r>
      <w:r>
        <w:rPr>
          <w:spacing w:val="-2"/>
        </w:rPr>
        <w:t>our</w:t>
      </w:r>
      <w:r>
        <w:rPr>
          <w:spacing w:val="-7"/>
        </w:rPr>
        <w:t> </w:t>
      </w:r>
      <w:r>
        <w:rPr>
          <w:spacing w:val="-2"/>
        </w:rPr>
        <w:t>recommendations</w:t>
      </w:r>
      <w:r>
        <w:rPr>
          <w:spacing w:val="-7"/>
        </w:rPr>
        <w:t> </w:t>
      </w:r>
      <w:r>
        <w:rPr>
          <w:spacing w:val="-2"/>
        </w:rPr>
        <w:t>have</w:t>
      </w:r>
      <w:r>
        <w:rPr>
          <w:spacing w:val="-7"/>
        </w:rPr>
        <w:t> </w:t>
      </w:r>
      <w:r>
        <w:rPr>
          <w:spacing w:val="-2"/>
        </w:rPr>
        <w:t>been</w:t>
      </w:r>
      <w:r>
        <w:rPr>
          <w:spacing w:val="-7"/>
        </w:rPr>
        <w:t> </w:t>
      </w:r>
      <w:r>
        <w:rPr>
          <w:spacing w:val="-2"/>
        </w:rPr>
        <w:t>for</w:t>
      </w:r>
      <w:r>
        <w:rPr>
          <w:spacing w:val="-7"/>
        </w:rPr>
        <w:t> </w:t>
      </w:r>
      <w:r>
        <w:rPr>
          <w:spacing w:val="-2"/>
        </w:rPr>
        <w:t>the</w:t>
      </w:r>
      <w:r>
        <w:rPr>
          <w:spacing w:val="-7"/>
        </w:rPr>
        <w:t> </w:t>
      </w:r>
      <w:r>
        <w:rPr>
          <w:spacing w:val="-2"/>
        </w:rPr>
        <w:t>Northern</w:t>
      </w:r>
      <w:r>
        <w:rPr>
          <w:spacing w:val="-7"/>
        </w:rPr>
        <w:t> </w:t>
      </w:r>
      <w:r>
        <w:rPr>
          <w:spacing w:val="-2"/>
        </w:rPr>
        <w:t>Ireland</w:t>
      </w:r>
      <w:r>
        <w:rPr>
          <w:spacing w:val="-7"/>
        </w:rPr>
        <w:t> </w:t>
      </w:r>
      <w:r>
        <w:rPr>
          <w:spacing w:val="-2"/>
        </w:rPr>
        <w:t>authorities, </w:t>
      </w:r>
      <w:r>
        <w:rPr/>
        <w:t>we</w:t>
      </w:r>
      <w:r>
        <w:rPr>
          <w:spacing w:val="-7"/>
        </w:rPr>
        <w:t> </w:t>
      </w:r>
      <w:r>
        <w:rPr/>
        <w:t>are</w:t>
      </w:r>
      <w:r>
        <w:rPr>
          <w:spacing w:val="-7"/>
        </w:rPr>
        <w:t> </w:t>
      </w:r>
      <w:r>
        <w:rPr/>
        <w:t>concerned</w:t>
      </w:r>
      <w:r>
        <w:rPr>
          <w:spacing w:val="-7"/>
        </w:rPr>
        <w:t> </w:t>
      </w:r>
      <w:r>
        <w:rPr/>
        <w:t>also</w:t>
      </w:r>
      <w:r>
        <w:rPr>
          <w:spacing w:val="-7"/>
        </w:rPr>
        <w:t> </w:t>
      </w:r>
      <w:r>
        <w:rPr/>
        <w:t>that</w:t>
      </w:r>
      <w:r>
        <w:rPr>
          <w:spacing w:val="-7"/>
        </w:rPr>
        <w:t> </w:t>
      </w:r>
      <w:r>
        <w:rPr/>
        <w:t>in</w:t>
      </w:r>
      <w:r>
        <w:rPr>
          <w:spacing w:val="-7"/>
        </w:rPr>
        <w:t> </w:t>
      </w:r>
      <w:r>
        <w:rPr/>
        <w:t>several</w:t>
      </w:r>
      <w:r>
        <w:rPr>
          <w:spacing w:val="-7"/>
        </w:rPr>
        <w:t> </w:t>
      </w:r>
      <w:r>
        <w:rPr/>
        <w:t>respects</w:t>
      </w:r>
      <w:r>
        <w:rPr>
          <w:spacing w:val="-7"/>
        </w:rPr>
        <w:t> </w:t>
      </w:r>
      <w:r>
        <w:rPr/>
        <w:t>Irish</w:t>
      </w:r>
      <w:r>
        <w:rPr>
          <w:spacing w:val="-7"/>
        </w:rPr>
        <w:t> </w:t>
      </w:r>
      <w:r>
        <w:rPr/>
        <w:t>legislation</w:t>
      </w:r>
      <w:r>
        <w:rPr>
          <w:spacing w:val="-7"/>
        </w:rPr>
        <w:t> </w:t>
      </w:r>
      <w:r>
        <w:rPr/>
        <w:t>seems</w:t>
      </w:r>
      <w:r>
        <w:rPr>
          <w:spacing w:val="-7"/>
        </w:rPr>
        <w:t> </w:t>
      </w:r>
      <w:r>
        <w:rPr/>
        <w:t>to</w:t>
      </w:r>
      <w:r>
        <w:rPr>
          <w:spacing w:val="-7"/>
        </w:rPr>
        <w:t> </w:t>
      </w:r>
      <w:r>
        <w:rPr/>
        <w:t>lack protections</w:t>
      </w:r>
      <w:r>
        <w:rPr>
          <w:spacing w:val="-12"/>
        </w:rPr>
        <w:t> </w:t>
      </w:r>
      <w:r>
        <w:rPr/>
        <w:t>existing</w:t>
      </w:r>
      <w:r>
        <w:rPr>
          <w:spacing w:val="-12"/>
        </w:rPr>
        <w:t> </w:t>
      </w:r>
      <w:r>
        <w:rPr/>
        <w:t>in</w:t>
      </w:r>
      <w:r>
        <w:rPr>
          <w:spacing w:val="-12"/>
        </w:rPr>
        <w:t> </w:t>
      </w:r>
      <w:r>
        <w:rPr/>
        <w:t>Northern</w:t>
      </w:r>
      <w:r>
        <w:rPr>
          <w:spacing w:val="-12"/>
        </w:rPr>
        <w:t> </w:t>
      </w:r>
      <w:r>
        <w:rPr/>
        <w:t>Ireland,</w:t>
      </w:r>
      <w:r>
        <w:rPr>
          <w:spacing w:val="-12"/>
        </w:rPr>
        <w:t> </w:t>
      </w:r>
      <w:r>
        <w:rPr/>
        <w:t>including</w:t>
      </w:r>
      <w:r>
        <w:rPr>
          <w:spacing w:val="-12"/>
        </w:rPr>
        <w:t> </w:t>
      </w:r>
      <w:r>
        <w:rPr/>
        <w:t>protections</w:t>
      </w:r>
      <w:r>
        <w:rPr>
          <w:spacing w:val="-12"/>
        </w:rPr>
        <w:t> </w:t>
      </w:r>
      <w:r>
        <w:rPr/>
        <w:t>that</w:t>
      </w:r>
      <w:r>
        <w:rPr>
          <w:spacing w:val="-12"/>
        </w:rPr>
        <w:t> </w:t>
      </w:r>
      <w:r>
        <w:rPr/>
        <w:t>should</w:t>
      </w:r>
      <w:r>
        <w:rPr>
          <w:spacing w:val="-12"/>
        </w:rPr>
        <w:t> </w:t>
      </w:r>
      <w:r>
        <w:rPr/>
        <w:t>exist because</w:t>
      </w:r>
      <w:r>
        <w:rPr>
          <w:spacing w:val="-6"/>
        </w:rPr>
        <w:t> </w:t>
      </w:r>
      <w:r>
        <w:rPr/>
        <w:t>of</w:t>
      </w:r>
      <w:r>
        <w:rPr>
          <w:spacing w:val="-6"/>
        </w:rPr>
        <w:t> </w:t>
      </w:r>
      <w:r>
        <w:rPr/>
        <w:t>underpinning</w:t>
      </w:r>
      <w:r>
        <w:rPr>
          <w:spacing w:val="-6"/>
        </w:rPr>
        <w:t> </w:t>
      </w:r>
      <w:r>
        <w:rPr/>
        <w:t>EU</w:t>
      </w:r>
      <w:r>
        <w:rPr>
          <w:spacing w:val="-6"/>
        </w:rPr>
        <w:t> </w:t>
      </w:r>
      <w:r>
        <w:rPr/>
        <w:t>legislation.</w:t>
      </w:r>
      <w:r>
        <w:rPr>
          <w:spacing w:val="-6"/>
        </w:rPr>
        <w:t> </w:t>
      </w:r>
      <w:r>
        <w:rPr/>
        <w:t>This</w:t>
      </w:r>
      <w:r>
        <w:rPr>
          <w:spacing w:val="-6"/>
        </w:rPr>
        <w:t> </w:t>
      </w:r>
      <w:r>
        <w:rPr/>
        <w:t>goes</w:t>
      </w:r>
      <w:r>
        <w:rPr>
          <w:spacing w:val="-6"/>
        </w:rPr>
        <w:t> </w:t>
      </w:r>
      <w:r>
        <w:rPr/>
        <w:t>to</w:t>
      </w:r>
      <w:r>
        <w:rPr>
          <w:spacing w:val="-6"/>
        </w:rPr>
        <w:t> </w:t>
      </w:r>
      <w:r>
        <w:rPr/>
        <w:t>the</w:t>
      </w:r>
      <w:r>
        <w:rPr>
          <w:spacing w:val="-6"/>
        </w:rPr>
        <w:t> </w:t>
      </w:r>
      <w:r>
        <w:rPr/>
        <w:t>heart</w:t>
      </w:r>
      <w:r>
        <w:rPr>
          <w:spacing w:val="-6"/>
        </w:rPr>
        <w:t> </w:t>
      </w:r>
      <w:r>
        <w:rPr/>
        <w:t>of</w:t>
      </w:r>
      <w:r>
        <w:rPr>
          <w:spacing w:val="-6"/>
        </w:rPr>
        <w:t> </w:t>
      </w:r>
      <w:r>
        <w:rPr/>
        <w:t>the</w:t>
      </w:r>
      <w:r>
        <w:rPr>
          <w:spacing w:val="-6"/>
        </w:rPr>
        <w:t> </w:t>
      </w:r>
      <w:r>
        <w:rPr/>
        <w:t>equivalence understanding</w:t>
      </w:r>
      <w:r>
        <w:rPr>
          <w:spacing w:val="-10"/>
        </w:rPr>
        <w:t> </w:t>
      </w:r>
      <w:r>
        <w:rPr/>
        <w:t>in</w:t>
      </w:r>
      <w:r>
        <w:rPr>
          <w:spacing w:val="-10"/>
        </w:rPr>
        <w:t> </w:t>
      </w:r>
      <w:r>
        <w:rPr/>
        <w:t>the</w:t>
      </w:r>
      <w:r>
        <w:rPr>
          <w:spacing w:val="-10"/>
        </w:rPr>
        <w:t> </w:t>
      </w:r>
      <w:r>
        <w:rPr/>
        <w:t>1998</w:t>
      </w:r>
      <w:r>
        <w:rPr>
          <w:spacing w:val="-10"/>
        </w:rPr>
        <w:t> </w:t>
      </w:r>
      <w:r>
        <w:rPr/>
        <w:t>Agreement.</w:t>
      </w:r>
      <w:r>
        <w:rPr>
          <w:spacing w:val="-10"/>
        </w:rPr>
        <w:t> </w:t>
      </w:r>
      <w:r>
        <w:rPr/>
        <w:t>So,</w:t>
      </w:r>
      <w:r>
        <w:rPr>
          <w:spacing w:val="-10"/>
        </w:rPr>
        <w:t> </w:t>
      </w:r>
      <w:r>
        <w:rPr/>
        <w:t>we</w:t>
      </w:r>
      <w:r>
        <w:rPr>
          <w:spacing w:val="-10"/>
        </w:rPr>
        <w:t> </w:t>
      </w:r>
      <w:r>
        <w:rPr/>
        <w:t>have</w:t>
      </w:r>
      <w:r>
        <w:rPr>
          <w:spacing w:val="-10"/>
        </w:rPr>
        <w:t> </w:t>
      </w:r>
      <w:r>
        <w:rPr/>
        <w:t>also</w:t>
      </w:r>
      <w:r>
        <w:rPr>
          <w:spacing w:val="-10"/>
        </w:rPr>
        <w:t> </w:t>
      </w:r>
      <w:r>
        <w:rPr/>
        <w:t>made</w:t>
      </w:r>
      <w:r>
        <w:rPr>
          <w:spacing w:val="-10"/>
        </w:rPr>
        <w:t> </w:t>
      </w:r>
      <w:r>
        <w:rPr/>
        <w:t>recommendations where</w:t>
      </w:r>
      <w:r>
        <w:rPr>
          <w:spacing w:val="-9"/>
        </w:rPr>
        <w:t> </w:t>
      </w:r>
      <w:r>
        <w:rPr/>
        <w:t>Irish</w:t>
      </w:r>
      <w:r>
        <w:rPr>
          <w:spacing w:val="-9"/>
        </w:rPr>
        <w:t> </w:t>
      </w:r>
      <w:r>
        <w:rPr/>
        <w:t>law</w:t>
      </w:r>
      <w:r>
        <w:rPr>
          <w:spacing w:val="-9"/>
        </w:rPr>
        <w:t> </w:t>
      </w:r>
      <w:r>
        <w:rPr/>
        <w:t>could</w:t>
      </w:r>
      <w:r>
        <w:rPr>
          <w:spacing w:val="-9"/>
        </w:rPr>
        <w:t> </w:t>
      </w:r>
      <w:r>
        <w:rPr/>
        <w:t>benefit</w:t>
      </w:r>
      <w:r>
        <w:rPr>
          <w:spacing w:val="-9"/>
        </w:rPr>
        <w:t> </w:t>
      </w:r>
      <w:r>
        <w:rPr/>
        <w:t>from</w:t>
      </w:r>
      <w:r>
        <w:rPr>
          <w:spacing w:val="-9"/>
        </w:rPr>
        <w:t> </w:t>
      </w:r>
      <w:r>
        <w:rPr/>
        <w:t>adopting</w:t>
      </w:r>
      <w:r>
        <w:rPr>
          <w:spacing w:val="-9"/>
        </w:rPr>
        <w:t> </w:t>
      </w:r>
      <w:r>
        <w:rPr/>
        <w:t>measures</w:t>
      </w:r>
      <w:r>
        <w:rPr>
          <w:spacing w:val="-9"/>
        </w:rPr>
        <w:t> </w:t>
      </w:r>
      <w:r>
        <w:rPr/>
        <w:t>equivalent</w:t>
      </w:r>
      <w:r>
        <w:rPr>
          <w:spacing w:val="-9"/>
        </w:rPr>
        <w:t> </w:t>
      </w:r>
      <w:r>
        <w:rPr/>
        <w:t>to</w:t>
      </w:r>
      <w:r>
        <w:rPr>
          <w:spacing w:val="-9"/>
        </w:rPr>
        <w:t> </w:t>
      </w:r>
      <w:r>
        <w:rPr/>
        <w:t>Northern</w:t>
      </w:r>
      <w:r>
        <w:rPr/>
        <w:t> </w:t>
      </w:r>
      <w:r>
        <w:rPr>
          <w:spacing w:val="-2"/>
        </w:rPr>
        <w:t>Ireland</w:t>
      </w:r>
      <w:r>
        <w:rPr>
          <w:spacing w:val="-11"/>
        </w:rPr>
        <w:t> </w:t>
      </w:r>
      <w:r>
        <w:rPr>
          <w:spacing w:val="-2"/>
        </w:rPr>
        <w:t>provisions</w:t>
      </w:r>
      <w:r>
        <w:rPr>
          <w:spacing w:val="-11"/>
        </w:rPr>
        <w:t> </w:t>
      </w:r>
      <w:r>
        <w:rPr>
          <w:spacing w:val="-2"/>
        </w:rPr>
        <w:t>on</w:t>
      </w:r>
      <w:r>
        <w:rPr>
          <w:spacing w:val="-11"/>
        </w:rPr>
        <w:t> </w:t>
      </w:r>
      <w:r>
        <w:rPr>
          <w:spacing w:val="-2"/>
        </w:rPr>
        <w:t>length</w:t>
      </w:r>
      <w:r>
        <w:rPr>
          <w:spacing w:val="-11"/>
        </w:rPr>
        <w:t> </w:t>
      </w:r>
      <w:r>
        <w:rPr>
          <w:spacing w:val="-2"/>
        </w:rPr>
        <w:t>of</w:t>
      </w:r>
      <w:r>
        <w:rPr>
          <w:spacing w:val="-10"/>
        </w:rPr>
        <w:t> </w:t>
      </w:r>
      <w:r>
        <w:rPr>
          <w:b/>
          <w:spacing w:val="-2"/>
        </w:rPr>
        <w:t>domestic</w:t>
      </w:r>
      <w:r>
        <w:rPr>
          <w:b/>
          <w:spacing w:val="-11"/>
        </w:rPr>
        <w:t> </w:t>
      </w:r>
      <w:r>
        <w:rPr>
          <w:b/>
          <w:spacing w:val="-2"/>
        </w:rPr>
        <w:t>violence</w:t>
      </w:r>
      <w:r>
        <w:rPr>
          <w:b/>
          <w:spacing w:val="-11"/>
        </w:rPr>
        <w:t> </w:t>
      </w:r>
      <w:r>
        <w:rPr>
          <w:b/>
          <w:spacing w:val="-2"/>
        </w:rPr>
        <w:t>leave</w:t>
      </w:r>
      <w:r>
        <w:rPr>
          <w:b/>
          <w:spacing w:val="-10"/>
        </w:rPr>
        <w:t> </w:t>
      </w:r>
      <w:r>
        <w:rPr>
          <w:spacing w:val="-2"/>
        </w:rPr>
        <w:t>and</w:t>
      </w:r>
      <w:r>
        <w:rPr>
          <w:spacing w:val="-11"/>
        </w:rPr>
        <w:t> </w:t>
      </w:r>
      <w:r>
        <w:rPr>
          <w:b/>
          <w:spacing w:val="-2"/>
        </w:rPr>
        <w:t>trade</w:t>
      </w:r>
      <w:r>
        <w:rPr>
          <w:b/>
          <w:spacing w:val="-11"/>
        </w:rPr>
        <w:t> </w:t>
      </w:r>
      <w:r>
        <w:rPr>
          <w:b/>
          <w:spacing w:val="-2"/>
        </w:rPr>
        <w:t>union</w:t>
      </w:r>
      <w:r>
        <w:rPr>
          <w:b/>
          <w:spacing w:val="-11"/>
        </w:rPr>
        <w:t> </w:t>
      </w:r>
      <w:r>
        <w:rPr>
          <w:b/>
          <w:spacing w:val="-2"/>
        </w:rPr>
        <w:t>recognition</w:t>
      </w:r>
      <w:r>
        <w:rPr>
          <w:spacing w:val="-2"/>
        </w:rPr>
        <w:t>.</w:t>
      </w:r>
    </w:p>
    <w:p>
      <w:pPr>
        <w:pStyle w:val="BodyText"/>
        <w:spacing w:line="232" w:lineRule="auto" w:before="273"/>
        <w:ind w:left="720" w:right="1365"/>
      </w:pPr>
      <w:r>
        <w:rPr/>
        <w:t>A more procedural concern we have is that, looking at developments in both Northern</w:t>
      </w:r>
      <w:r>
        <w:rPr>
          <w:spacing w:val="-6"/>
        </w:rPr>
        <w:t> </w:t>
      </w:r>
      <w:r>
        <w:rPr/>
        <w:t>Ireland</w:t>
      </w:r>
      <w:r>
        <w:rPr>
          <w:spacing w:val="-6"/>
        </w:rPr>
        <w:t> </w:t>
      </w:r>
      <w:r>
        <w:rPr/>
        <w:t>and</w:t>
      </w:r>
      <w:r>
        <w:rPr>
          <w:spacing w:val="-6"/>
        </w:rPr>
        <w:t> </w:t>
      </w:r>
      <w:r>
        <w:rPr/>
        <w:t>Ireland,</w:t>
      </w:r>
      <w:r>
        <w:rPr>
          <w:spacing w:val="-5"/>
        </w:rPr>
        <w:t> </w:t>
      </w:r>
      <w:r>
        <w:rPr/>
        <w:t>it</w:t>
      </w:r>
      <w:r>
        <w:rPr>
          <w:spacing w:val="-5"/>
        </w:rPr>
        <w:t> </w:t>
      </w:r>
      <w:r>
        <w:rPr/>
        <w:t>often</w:t>
      </w:r>
      <w:r>
        <w:rPr>
          <w:spacing w:val="-6"/>
        </w:rPr>
        <w:t> </w:t>
      </w:r>
      <w:r>
        <w:rPr/>
        <w:t>appears</w:t>
      </w:r>
      <w:r>
        <w:rPr>
          <w:spacing w:val="-6"/>
        </w:rPr>
        <w:t> </w:t>
      </w:r>
      <w:r>
        <w:rPr/>
        <w:t>that</w:t>
      </w:r>
      <w:r>
        <w:rPr>
          <w:spacing w:val="-5"/>
        </w:rPr>
        <w:t> </w:t>
      </w:r>
      <w:r>
        <w:rPr/>
        <w:t>there</w:t>
      </w:r>
      <w:r>
        <w:rPr>
          <w:spacing w:val="-5"/>
        </w:rPr>
        <w:t> </w:t>
      </w:r>
      <w:r>
        <w:rPr/>
        <w:t>is</w:t>
      </w:r>
      <w:r>
        <w:rPr>
          <w:spacing w:val="-6"/>
        </w:rPr>
        <w:t> </w:t>
      </w:r>
      <w:r>
        <w:rPr/>
        <w:t>minimal</w:t>
      </w:r>
      <w:r>
        <w:rPr>
          <w:spacing w:val="-6"/>
        </w:rPr>
        <w:t> </w:t>
      </w:r>
      <w:r>
        <w:rPr/>
        <w:t>consideration of the legal developments in the other jurisdiction. This is problematic. Given the proximity of the jurisdictions and multiple close ties, a good awareness of legal developments across the border is advisable. This is true as a matter of good practice</w:t>
      </w:r>
      <w:r>
        <w:rPr>
          <w:spacing w:val="-4"/>
        </w:rPr>
        <w:t> </w:t>
      </w:r>
      <w:r>
        <w:rPr/>
        <w:t>but</w:t>
      </w:r>
      <w:r>
        <w:rPr>
          <w:spacing w:val="-4"/>
        </w:rPr>
        <w:t> </w:t>
      </w:r>
      <w:r>
        <w:rPr/>
        <w:t>is</w:t>
      </w:r>
      <w:r>
        <w:rPr>
          <w:spacing w:val="-5"/>
        </w:rPr>
        <w:t> </w:t>
      </w:r>
      <w:r>
        <w:rPr/>
        <w:t>also</w:t>
      </w:r>
      <w:r>
        <w:rPr>
          <w:spacing w:val="-5"/>
        </w:rPr>
        <w:t> </w:t>
      </w:r>
      <w:r>
        <w:rPr/>
        <w:t>crucial</w:t>
      </w:r>
      <w:r>
        <w:rPr>
          <w:spacing w:val="-5"/>
        </w:rPr>
        <w:t> </w:t>
      </w:r>
      <w:r>
        <w:rPr/>
        <w:t>to</w:t>
      </w:r>
      <w:r>
        <w:rPr>
          <w:spacing w:val="-5"/>
        </w:rPr>
        <w:t> </w:t>
      </w:r>
      <w:r>
        <w:rPr/>
        <w:t>avoiding</w:t>
      </w:r>
      <w:r>
        <w:rPr>
          <w:spacing w:val="-4"/>
        </w:rPr>
        <w:t> </w:t>
      </w:r>
      <w:r>
        <w:rPr/>
        <w:t>divergence</w:t>
      </w:r>
      <w:r>
        <w:rPr>
          <w:spacing w:val="-4"/>
        </w:rPr>
        <w:t> </w:t>
      </w:r>
      <w:r>
        <w:rPr/>
        <w:t>of</w:t>
      </w:r>
      <w:r>
        <w:rPr>
          <w:spacing w:val="-5"/>
        </w:rPr>
        <w:t> </w:t>
      </w:r>
      <w:r>
        <w:rPr/>
        <w:t>rights</w:t>
      </w:r>
      <w:r>
        <w:rPr>
          <w:spacing w:val="-5"/>
        </w:rPr>
        <w:t> </w:t>
      </w:r>
      <w:r>
        <w:rPr/>
        <w:t>on</w:t>
      </w:r>
      <w:r>
        <w:rPr>
          <w:spacing w:val="-5"/>
        </w:rPr>
        <w:t> </w:t>
      </w:r>
      <w:r>
        <w:rPr/>
        <w:t>the</w:t>
      </w:r>
      <w:r>
        <w:rPr>
          <w:spacing w:val="-4"/>
        </w:rPr>
        <w:t> </w:t>
      </w:r>
      <w:r>
        <w:rPr/>
        <w:t>island</w:t>
      </w:r>
      <w:r>
        <w:rPr>
          <w:spacing w:val="-5"/>
        </w:rPr>
        <w:t> </w:t>
      </w:r>
      <w:r>
        <w:rPr/>
        <w:t>of</w:t>
      </w:r>
      <w:r>
        <w:rPr>
          <w:spacing w:val="-5"/>
        </w:rPr>
        <w:t> </w:t>
      </w:r>
      <w:r>
        <w:rPr/>
        <w:t>Ireland post-Brexit</w:t>
      </w:r>
      <w:r>
        <w:rPr>
          <w:spacing w:val="-8"/>
        </w:rPr>
        <w:t> </w:t>
      </w:r>
      <w:r>
        <w:rPr/>
        <w:t>and</w:t>
      </w:r>
      <w:r>
        <w:rPr>
          <w:spacing w:val="-9"/>
        </w:rPr>
        <w:t> </w:t>
      </w:r>
      <w:r>
        <w:rPr/>
        <w:t>ensuring</w:t>
      </w:r>
      <w:r>
        <w:rPr>
          <w:spacing w:val="-8"/>
        </w:rPr>
        <w:t> </w:t>
      </w:r>
      <w:r>
        <w:rPr/>
        <w:t>equivalent</w:t>
      </w:r>
      <w:r>
        <w:rPr>
          <w:spacing w:val="-8"/>
        </w:rPr>
        <w:t> </w:t>
      </w:r>
      <w:r>
        <w:rPr/>
        <w:t>protections</w:t>
      </w:r>
      <w:r>
        <w:rPr>
          <w:spacing w:val="-9"/>
        </w:rPr>
        <w:t> </w:t>
      </w:r>
      <w:r>
        <w:rPr/>
        <w:t>of</w:t>
      </w:r>
      <w:r>
        <w:rPr>
          <w:spacing w:val="-9"/>
        </w:rPr>
        <w:t> </w:t>
      </w:r>
      <w:r>
        <w:rPr/>
        <w:t>rights</w:t>
      </w:r>
      <w:r>
        <w:rPr>
          <w:spacing w:val="-9"/>
        </w:rPr>
        <w:t> </w:t>
      </w:r>
      <w:r>
        <w:rPr/>
        <w:t>and</w:t>
      </w:r>
      <w:r>
        <w:rPr>
          <w:spacing w:val="-9"/>
        </w:rPr>
        <w:t> </w:t>
      </w:r>
      <w:r>
        <w:rPr/>
        <w:t>equality,</w:t>
      </w:r>
      <w:r>
        <w:rPr>
          <w:spacing w:val="-8"/>
        </w:rPr>
        <w:t> </w:t>
      </w:r>
      <w:r>
        <w:rPr/>
        <w:t>in</w:t>
      </w:r>
      <w:r>
        <w:rPr>
          <w:spacing w:val="-9"/>
        </w:rPr>
        <w:t> </w:t>
      </w:r>
      <w:r>
        <w:rPr/>
        <w:t>line</w:t>
      </w:r>
      <w:r>
        <w:rPr>
          <w:spacing w:val="-8"/>
        </w:rPr>
        <w:t> </w:t>
      </w:r>
      <w:r>
        <w:rPr/>
        <w:t>with international best practice.</w:t>
      </w:r>
    </w:p>
    <w:p>
      <w:pPr>
        <w:spacing w:after="0" w:line="232" w:lineRule="auto"/>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33536">
                <wp:simplePos x="0" y="0"/>
                <wp:positionH relativeFrom="page">
                  <wp:posOffset>-2</wp:posOffset>
                </wp:positionH>
                <wp:positionV relativeFrom="page">
                  <wp:posOffset>0</wp:posOffset>
                </wp:positionV>
                <wp:extent cx="7560309" cy="6793230"/>
                <wp:effectExtent l="0" t="0" r="0" b="0"/>
                <wp:wrapNone/>
                <wp:docPr id="680" name="Group 680"/>
                <wp:cNvGraphicFramePr>
                  <a:graphicFrameLocks/>
                </wp:cNvGraphicFramePr>
                <a:graphic>
                  <a:graphicData uri="http://schemas.microsoft.com/office/word/2010/wordprocessingGroup">
                    <wpg:wgp>
                      <wpg:cNvPr id="680" name="Group 680"/>
                      <wpg:cNvGrpSpPr/>
                      <wpg:grpSpPr>
                        <a:xfrm>
                          <a:off x="0" y="0"/>
                          <a:ext cx="7560309" cy="6793230"/>
                          <a:chExt cx="7560309" cy="6793230"/>
                        </a:xfrm>
                      </wpg:grpSpPr>
                      <pic:pic>
                        <pic:nvPicPr>
                          <pic:cNvPr id="681" name="Image 681"/>
                          <pic:cNvPicPr/>
                        </pic:nvPicPr>
                        <pic:blipFill>
                          <a:blip r:embed="rId78" cstate="print"/>
                          <a:stretch>
                            <a:fillRect/>
                          </a:stretch>
                        </pic:blipFill>
                        <pic:spPr>
                          <a:xfrm>
                            <a:off x="2" y="0"/>
                            <a:ext cx="7559992" cy="3780002"/>
                          </a:xfrm>
                          <a:prstGeom prst="rect">
                            <a:avLst/>
                          </a:prstGeom>
                        </pic:spPr>
                      </pic:pic>
                      <wps:wsp>
                        <wps:cNvPr id="682" name="Graphic 682"/>
                        <wps:cNvSpPr/>
                        <wps:spPr>
                          <a:xfrm>
                            <a:off x="2" y="2610004"/>
                            <a:ext cx="7560309" cy="4183379"/>
                          </a:xfrm>
                          <a:custGeom>
                            <a:avLst/>
                            <a:gdLst/>
                            <a:ahLst/>
                            <a:cxnLst/>
                            <a:rect l="l" t="t" r="r" b="b"/>
                            <a:pathLst>
                              <a:path w="7560309" h="4183379">
                                <a:moveTo>
                                  <a:pt x="6840004" y="0"/>
                                </a:moveTo>
                                <a:lnTo>
                                  <a:pt x="0" y="0"/>
                                </a:lnTo>
                                <a:lnTo>
                                  <a:pt x="0" y="4182872"/>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683" name="Graphic 683"/>
                        <wps:cNvSpPr/>
                        <wps:spPr>
                          <a:xfrm>
                            <a:off x="900001" y="308470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684" name="Graphic 684"/>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685" name="Graphic 685"/>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2pt;width:595.3pt;height:534.9pt;mso-position-horizontal-relative:page;mso-position-vertical-relative:page;z-index:-19282944" id="docshapegroup553" coordorigin="0,0" coordsize="11906,10698">
                <v:shape style="position:absolute;left:0;top:0;width:11906;height:5953" type="#_x0000_t75" id="docshape554" stroked="false">
                  <v:imagedata r:id="rId78" o:title=""/>
                </v:shape>
                <v:shape style="position:absolute;left:0;top:4110;width:11906;height:6588" id="docshape555" coordorigin="0,4110" coordsize="11906,6588" path="m10772,4110l0,4110,0,10697,11906,10697,11906,4678,11846,4603,11798,4550,11749,4501,11697,4454,11642,4409,11586,4367,11527,4328,11467,4292,11404,4259,11340,4229,11274,4202,11206,4178,11137,4158,11066,4141,10994,4128,10921,4118,10847,4112,10772,4110xe" filled="true" fillcolor="#ffffff" stroked="false">
                  <v:path arrowok="t"/>
                  <v:fill type="solid"/>
                </v:shape>
                <v:line style="position:absolute" from="1417,4858" to="10885,4858" stroked="true" strokeweight="1pt" strokecolor="#36a9e1">
                  <v:stroke dashstyle="solid"/>
                </v:line>
                <v:shape style="position:absolute;left:0;top:0;width:11906;height:1819" id="docshape556"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Chapter 4: Tracking EU Legal Development" w:id="104"/>
      <w:bookmarkEnd w:id="104"/>
      <w:r>
        <w:rPr/>
      </w:r>
      <w:bookmarkStart w:name="4.1 Introduction " w:id="105"/>
      <w:bookmarkEnd w:id="105"/>
      <w:r>
        <w:rPr/>
      </w:r>
      <w:bookmarkStart w:name="_bookmark43" w:id="106"/>
      <w:bookmarkEnd w:id="106"/>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75</w:t>
      </w:r>
    </w:p>
    <w:p>
      <w:pPr>
        <w:pStyle w:val="BodyText"/>
        <w:spacing w:before="40"/>
        <w:rPr>
          <w:b/>
          <w:sz w:val="52"/>
        </w:rPr>
      </w:pPr>
    </w:p>
    <w:p>
      <w:pPr>
        <w:spacing w:line="597" w:lineRule="exact" w:before="0"/>
        <w:ind w:left="1117" w:right="0" w:firstLine="0"/>
        <w:jc w:val="both"/>
        <w:rPr>
          <w:sz w:val="52"/>
        </w:rPr>
      </w:pPr>
      <w:r>
        <w:rPr>
          <w:color w:val="FFFFFF"/>
          <w:sz w:val="52"/>
        </w:rPr>
        <w:t>Chapter</w:t>
      </w:r>
      <w:r>
        <w:rPr>
          <w:color w:val="FFFFFF"/>
          <w:spacing w:val="-13"/>
          <w:sz w:val="52"/>
        </w:rPr>
        <w:t> </w:t>
      </w:r>
      <w:r>
        <w:rPr>
          <w:color w:val="FFFFFF"/>
          <w:spacing w:val="-5"/>
          <w:sz w:val="52"/>
        </w:rPr>
        <w:t>4:</w:t>
      </w:r>
    </w:p>
    <w:p>
      <w:pPr>
        <w:pStyle w:val="Heading1"/>
        <w:spacing w:line="211" w:lineRule="auto" w:before="22"/>
        <w:ind w:right="2041"/>
        <w:jc w:val="both"/>
      </w:pPr>
      <w:r>
        <w:rPr>
          <w:color w:val="FFFFFF"/>
        </w:rPr>
        <w:t>Tracking</w:t>
      </w:r>
      <w:r>
        <w:rPr>
          <w:color w:val="FFFFFF"/>
          <w:spacing w:val="-24"/>
        </w:rPr>
        <w:t> </w:t>
      </w:r>
      <w:r>
        <w:rPr>
          <w:color w:val="FFFFFF"/>
        </w:rPr>
        <w:t>EU</w:t>
      </w:r>
      <w:r>
        <w:rPr>
          <w:color w:val="FFFFFF"/>
          <w:spacing w:val="-23"/>
        </w:rPr>
        <w:t> </w:t>
      </w:r>
      <w:r>
        <w:rPr>
          <w:color w:val="FFFFFF"/>
        </w:rPr>
        <w:t>Legal</w:t>
      </w:r>
      <w:r>
        <w:rPr>
          <w:color w:val="FFFFFF"/>
          <w:spacing w:val="-23"/>
        </w:rPr>
        <w:t> </w:t>
      </w:r>
      <w:r>
        <w:rPr>
          <w:color w:val="FFFFFF"/>
        </w:rPr>
        <w:t>Developments</w:t>
      </w:r>
      <w:r>
        <w:rPr>
          <w:color w:val="FFFFFF"/>
          <w:spacing w:val="-23"/>
        </w:rPr>
        <w:t> </w:t>
      </w:r>
      <w:r>
        <w:rPr>
          <w:color w:val="FFFFFF"/>
        </w:rPr>
        <w:t>since January 2022: Adopted and Proposed Directives and Regulations</w:t>
      </w:r>
    </w:p>
    <w:p>
      <w:pPr>
        <w:pStyle w:val="Heading2"/>
        <w:numPr>
          <w:ilvl w:val="1"/>
          <w:numId w:val="25"/>
        </w:numPr>
        <w:tabs>
          <w:tab w:pos="1599" w:val="left" w:leader="none"/>
        </w:tabs>
        <w:spacing w:line="240" w:lineRule="auto" w:before="482" w:after="0"/>
        <w:ind w:left="1599" w:right="0" w:hanging="482"/>
        <w:jc w:val="left"/>
      </w:pPr>
      <w:r>
        <w:rPr>
          <w:color w:val="004A93"/>
          <w:spacing w:val="-2"/>
        </w:rPr>
        <w:t>Introduction</w:t>
      </w:r>
    </w:p>
    <w:p>
      <w:pPr>
        <w:pStyle w:val="BodyText"/>
        <w:spacing w:line="232" w:lineRule="auto" w:before="212"/>
        <w:ind w:left="1117" w:right="738"/>
      </w:pPr>
      <w:r>
        <w:rPr/>
        <w:t>This chapter provides an update on and identifies EU legal developments since January 2022 regarding adopted or proposed EU law (directives and regulations) that</w:t>
      </w:r>
      <w:r>
        <w:rPr>
          <w:spacing w:val="-7"/>
        </w:rPr>
        <w:t> </w:t>
      </w:r>
      <w:r>
        <w:rPr/>
        <w:t>relate</w:t>
      </w:r>
      <w:r>
        <w:rPr>
          <w:spacing w:val="-7"/>
        </w:rPr>
        <w:t> </w:t>
      </w:r>
      <w:r>
        <w:rPr/>
        <w:t>to</w:t>
      </w:r>
      <w:r>
        <w:rPr>
          <w:spacing w:val="-8"/>
        </w:rPr>
        <w:t> </w:t>
      </w:r>
      <w:r>
        <w:rPr/>
        <w:t>human</w:t>
      </w:r>
      <w:r>
        <w:rPr>
          <w:spacing w:val="-8"/>
        </w:rPr>
        <w:t> </w:t>
      </w:r>
      <w:r>
        <w:rPr/>
        <w:t>rights</w:t>
      </w:r>
      <w:r>
        <w:rPr>
          <w:spacing w:val="-8"/>
        </w:rPr>
        <w:t> </w:t>
      </w:r>
      <w:r>
        <w:rPr/>
        <w:t>and</w:t>
      </w:r>
      <w:r>
        <w:rPr>
          <w:spacing w:val="-8"/>
        </w:rPr>
        <w:t> </w:t>
      </w:r>
      <w:r>
        <w:rPr/>
        <w:t>equality.</w:t>
      </w:r>
      <w:r>
        <w:rPr>
          <w:spacing w:val="-8"/>
        </w:rPr>
        <w:t> </w:t>
      </w:r>
      <w:r>
        <w:rPr/>
        <w:t>It</w:t>
      </w:r>
      <w:r>
        <w:rPr>
          <w:spacing w:val="-7"/>
        </w:rPr>
        <w:t> </w:t>
      </w:r>
      <w:r>
        <w:rPr/>
        <w:t>discusses</w:t>
      </w:r>
      <w:r>
        <w:rPr>
          <w:spacing w:val="-8"/>
        </w:rPr>
        <w:t> </w:t>
      </w:r>
      <w:r>
        <w:rPr/>
        <w:t>EU</w:t>
      </w:r>
      <w:r>
        <w:rPr>
          <w:spacing w:val="-7"/>
        </w:rPr>
        <w:t> </w:t>
      </w:r>
      <w:r>
        <w:rPr/>
        <w:t>legal</w:t>
      </w:r>
      <w:r>
        <w:rPr>
          <w:spacing w:val="-8"/>
        </w:rPr>
        <w:t> </w:t>
      </w:r>
      <w:r>
        <w:rPr/>
        <w:t>developments</w:t>
      </w:r>
      <w:r>
        <w:rPr>
          <w:spacing w:val="-8"/>
        </w:rPr>
        <w:t> </w:t>
      </w:r>
      <w:r>
        <w:rPr/>
        <w:t>which did</w:t>
      </w:r>
      <w:r>
        <w:rPr>
          <w:spacing w:val="-1"/>
        </w:rPr>
        <w:t> </w:t>
      </w:r>
      <w:r>
        <w:rPr/>
        <w:t>not apply in</w:t>
      </w:r>
      <w:r>
        <w:rPr>
          <w:spacing w:val="-1"/>
        </w:rPr>
        <w:t> </w:t>
      </w:r>
      <w:r>
        <w:rPr/>
        <w:t>NI domestic law before the end</w:t>
      </w:r>
      <w:r>
        <w:rPr>
          <w:spacing w:val="-1"/>
        </w:rPr>
        <w:t> </w:t>
      </w:r>
      <w:r>
        <w:rPr/>
        <w:t>of</w:t>
      </w:r>
      <w:r>
        <w:rPr>
          <w:spacing w:val="-1"/>
        </w:rPr>
        <w:t> </w:t>
      </w:r>
      <w:r>
        <w:rPr/>
        <w:t>the Brexit transition</w:t>
      </w:r>
      <w:r>
        <w:rPr>
          <w:spacing w:val="-1"/>
        </w:rPr>
        <w:t> </w:t>
      </w:r>
      <w:r>
        <w:rPr/>
        <w:t>period</w:t>
      </w:r>
      <w:r>
        <w:rPr>
          <w:spacing w:val="-1"/>
        </w:rPr>
        <w:t> </w:t>
      </w:r>
      <w:r>
        <w:rPr/>
        <w:t>(31 December 2021), and which:</w:t>
      </w:r>
    </w:p>
    <w:p>
      <w:pPr>
        <w:pStyle w:val="ListParagraph"/>
        <w:numPr>
          <w:ilvl w:val="0"/>
          <w:numId w:val="26"/>
        </w:numPr>
        <w:tabs>
          <w:tab w:pos="1457" w:val="left" w:leader="none"/>
        </w:tabs>
        <w:spacing w:line="343" w:lineRule="exact" w:before="255" w:after="0"/>
        <w:ind w:left="1457" w:right="0" w:hanging="340"/>
        <w:jc w:val="left"/>
        <w:rPr>
          <w:sz w:val="28"/>
        </w:rPr>
      </w:pPr>
      <w:r>
        <w:rPr>
          <w:sz w:val="28"/>
        </w:rPr>
        <w:t>could</w:t>
      </w:r>
      <w:r>
        <w:rPr>
          <w:spacing w:val="-7"/>
          <w:sz w:val="28"/>
        </w:rPr>
        <w:t> </w:t>
      </w:r>
      <w:r>
        <w:rPr>
          <w:sz w:val="28"/>
        </w:rPr>
        <w:t>potentially</w:t>
      </w:r>
      <w:r>
        <w:rPr>
          <w:spacing w:val="-5"/>
          <w:sz w:val="28"/>
        </w:rPr>
        <w:t> </w:t>
      </w:r>
      <w:r>
        <w:rPr>
          <w:sz w:val="28"/>
        </w:rPr>
        <w:t>amend</w:t>
      </w:r>
      <w:r>
        <w:rPr>
          <w:spacing w:val="-7"/>
          <w:sz w:val="28"/>
        </w:rPr>
        <w:t> </w:t>
      </w:r>
      <w:r>
        <w:rPr>
          <w:sz w:val="28"/>
        </w:rPr>
        <w:t>and/or</w:t>
      </w:r>
      <w:r>
        <w:rPr>
          <w:spacing w:val="-5"/>
          <w:sz w:val="28"/>
        </w:rPr>
        <w:t> </w:t>
      </w:r>
      <w:r>
        <w:rPr>
          <w:sz w:val="28"/>
        </w:rPr>
        <w:t>update</w:t>
      </w:r>
      <w:r>
        <w:rPr>
          <w:spacing w:val="-6"/>
          <w:sz w:val="28"/>
        </w:rPr>
        <w:t> </w:t>
      </w:r>
      <w:r>
        <w:rPr>
          <w:sz w:val="28"/>
        </w:rPr>
        <w:t>an</w:t>
      </w:r>
      <w:r>
        <w:rPr>
          <w:spacing w:val="-6"/>
          <w:sz w:val="28"/>
        </w:rPr>
        <w:t> </w:t>
      </w:r>
      <w:r>
        <w:rPr>
          <w:sz w:val="28"/>
        </w:rPr>
        <w:t>Annex</w:t>
      </w:r>
      <w:r>
        <w:rPr>
          <w:spacing w:val="-6"/>
          <w:sz w:val="28"/>
        </w:rPr>
        <w:t> </w:t>
      </w:r>
      <w:r>
        <w:rPr>
          <w:sz w:val="28"/>
        </w:rPr>
        <w:t>1</w:t>
      </w:r>
      <w:r>
        <w:rPr>
          <w:spacing w:val="-6"/>
          <w:sz w:val="28"/>
        </w:rPr>
        <w:t> </w:t>
      </w:r>
      <w:r>
        <w:rPr>
          <w:spacing w:val="-2"/>
          <w:sz w:val="28"/>
        </w:rPr>
        <w:t>directive;</w:t>
      </w:r>
    </w:p>
    <w:p>
      <w:pPr>
        <w:pStyle w:val="ListParagraph"/>
        <w:numPr>
          <w:ilvl w:val="0"/>
          <w:numId w:val="26"/>
        </w:numPr>
        <w:tabs>
          <w:tab w:pos="1457" w:val="left" w:leader="none"/>
        </w:tabs>
        <w:spacing w:line="232" w:lineRule="auto" w:before="0" w:after="0"/>
        <w:ind w:left="1457" w:right="771" w:hanging="341"/>
        <w:jc w:val="left"/>
        <w:rPr>
          <w:sz w:val="28"/>
        </w:rPr>
      </w:pPr>
      <w:r>
        <w:rPr>
          <w:sz w:val="28"/>
        </w:rPr>
        <w:t>do</w:t>
      </w:r>
      <w:r>
        <w:rPr>
          <w:spacing w:val="-6"/>
          <w:sz w:val="28"/>
        </w:rPr>
        <w:t> </w:t>
      </w:r>
      <w:r>
        <w:rPr>
          <w:sz w:val="28"/>
        </w:rPr>
        <w:t>not</w:t>
      </w:r>
      <w:r>
        <w:rPr>
          <w:spacing w:val="-5"/>
          <w:sz w:val="28"/>
        </w:rPr>
        <w:t> </w:t>
      </w:r>
      <w:r>
        <w:rPr>
          <w:sz w:val="28"/>
        </w:rPr>
        <w:t>amend</w:t>
      </w:r>
      <w:r>
        <w:rPr>
          <w:spacing w:val="-6"/>
          <w:sz w:val="28"/>
        </w:rPr>
        <w:t> </w:t>
      </w:r>
      <w:r>
        <w:rPr>
          <w:sz w:val="28"/>
        </w:rPr>
        <w:t>and/or</w:t>
      </w:r>
      <w:r>
        <w:rPr>
          <w:spacing w:val="-5"/>
          <w:sz w:val="28"/>
        </w:rPr>
        <w:t> </w:t>
      </w:r>
      <w:r>
        <w:rPr>
          <w:sz w:val="28"/>
        </w:rPr>
        <w:t>update</w:t>
      </w:r>
      <w:r>
        <w:rPr>
          <w:spacing w:val="-5"/>
          <w:sz w:val="28"/>
        </w:rPr>
        <w:t> </w:t>
      </w:r>
      <w:r>
        <w:rPr>
          <w:sz w:val="28"/>
        </w:rPr>
        <w:t>an</w:t>
      </w:r>
      <w:r>
        <w:rPr>
          <w:spacing w:val="-6"/>
          <w:sz w:val="28"/>
        </w:rPr>
        <w:t> </w:t>
      </w:r>
      <w:r>
        <w:rPr>
          <w:sz w:val="28"/>
        </w:rPr>
        <w:t>Annex</w:t>
      </w:r>
      <w:r>
        <w:rPr>
          <w:spacing w:val="-6"/>
          <w:sz w:val="28"/>
        </w:rPr>
        <w:t> </w:t>
      </w:r>
      <w:r>
        <w:rPr>
          <w:sz w:val="28"/>
        </w:rPr>
        <w:t>1</w:t>
      </w:r>
      <w:r>
        <w:rPr>
          <w:spacing w:val="-5"/>
          <w:sz w:val="28"/>
        </w:rPr>
        <w:t> </w:t>
      </w:r>
      <w:r>
        <w:rPr>
          <w:sz w:val="28"/>
        </w:rPr>
        <w:t>directive</w:t>
      </w:r>
      <w:r>
        <w:rPr>
          <w:spacing w:val="-5"/>
          <w:sz w:val="28"/>
        </w:rPr>
        <w:t> </w:t>
      </w:r>
      <w:r>
        <w:rPr>
          <w:sz w:val="28"/>
        </w:rPr>
        <w:t>but</w:t>
      </w:r>
      <w:r>
        <w:rPr>
          <w:spacing w:val="-5"/>
          <w:sz w:val="28"/>
        </w:rPr>
        <w:t> </w:t>
      </w:r>
      <w:r>
        <w:rPr>
          <w:sz w:val="28"/>
        </w:rPr>
        <w:t>would</w:t>
      </w:r>
      <w:r>
        <w:rPr>
          <w:spacing w:val="-6"/>
          <w:sz w:val="28"/>
        </w:rPr>
        <w:t> </w:t>
      </w:r>
      <w:r>
        <w:rPr>
          <w:sz w:val="28"/>
        </w:rPr>
        <w:t>have</w:t>
      </w:r>
      <w:r>
        <w:rPr>
          <w:spacing w:val="-5"/>
          <w:sz w:val="28"/>
        </w:rPr>
        <w:t> </w:t>
      </w:r>
      <w:r>
        <w:rPr>
          <w:sz w:val="28"/>
        </w:rPr>
        <w:t>applied</w:t>
      </w:r>
      <w:r>
        <w:rPr>
          <w:spacing w:val="-6"/>
          <w:sz w:val="28"/>
        </w:rPr>
        <w:t> </w:t>
      </w:r>
      <w:r>
        <w:rPr>
          <w:sz w:val="28"/>
        </w:rPr>
        <w:t>to</w:t>
      </w:r>
      <w:r>
        <w:rPr>
          <w:spacing w:val="-6"/>
          <w:sz w:val="28"/>
        </w:rPr>
        <w:t> </w:t>
      </w:r>
      <w:r>
        <w:rPr>
          <w:sz w:val="28"/>
        </w:rPr>
        <w:t>NI, had the UK remained in the EU.</w:t>
      </w:r>
    </w:p>
    <w:p>
      <w:pPr>
        <w:pStyle w:val="BodyText"/>
        <w:spacing w:line="232" w:lineRule="auto" w:before="275"/>
        <w:ind w:left="1117" w:right="738"/>
      </w:pPr>
      <w:r>
        <w:rPr/>
        <w:t>Pursuant</w:t>
      </w:r>
      <w:r>
        <w:rPr>
          <w:spacing w:val="-5"/>
        </w:rPr>
        <w:t> </w:t>
      </w:r>
      <w:r>
        <w:rPr/>
        <w:t>to</w:t>
      </w:r>
      <w:r>
        <w:rPr>
          <w:spacing w:val="-6"/>
        </w:rPr>
        <w:t> </w:t>
      </w:r>
      <w:r>
        <w:rPr/>
        <w:t>our</w:t>
      </w:r>
      <w:r>
        <w:rPr>
          <w:spacing w:val="-5"/>
        </w:rPr>
        <w:t> </w:t>
      </w:r>
      <w:r>
        <w:rPr/>
        <w:t>methodology</w:t>
      </w:r>
      <w:r>
        <w:rPr>
          <w:spacing w:val="-5"/>
        </w:rPr>
        <w:t> </w:t>
      </w:r>
      <w:r>
        <w:rPr/>
        <w:t>and</w:t>
      </w:r>
      <w:r>
        <w:rPr>
          <w:spacing w:val="-6"/>
        </w:rPr>
        <w:t> </w:t>
      </w:r>
      <w:r>
        <w:rPr/>
        <w:t>through</w:t>
      </w:r>
      <w:r>
        <w:rPr>
          <w:spacing w:val="-6"/>
        </w:rPr>
        <w:t> </w:t>
      </w:r>
      <w:r>
        <w:rPr/>
        <w:t>the</w:t>
      </w:r>
      <w:r>
        <w:rPr>
          <w:spacing w:val="-5"/>
        </w:rPr>
        <w:t> </w:t>
      </w:r>
      <w:r>
        <w:rPr/>
        <w:t>use</w:t>
      </w:r>
      <w:r>
        <w:rPr>
          <w:spacing w:val="-5"/>
        </w:rPr>
        <w:t> </w:t>
      </w:r>
      <w:r>
        <w:rPr/>
        <w:t>of</w:t>
      </w:r>
      <w:r>
        <w:rPr>
          <w:spacing w:val="-6"/>
        </w:rPr>
        <w:t> </w:t>
      </w:r>
      <w:r>
        <w:rPr/>
        <w:t>relevant</w:t>
      </w:r>
      <w:r>
        <w:rPr>
          <w:spacing w:val="-5"/>
        </w:rPr>
        <w:t> </w:t>
      </w:r>
      <w:r>
        <w:rPr/>
        <w:t>websites</w:t>
      </w:r>
      <w:r>
        <w:rPr>
          <w:spacing w:val="-6"/>
        </w:rPr>
        <w:t> </w:t>
      </w:r>
      <w:r>
        <w:rPr/>
        <w:t>such</w:t>
      </w:r>
      <w:r>
        <w:rPr>
          <w:spacing w:val="-6"/>
        </w:rPr>
        <w:t> </w:t>
      </w:r>
      <w:r>
        <w:rPr/>
        <w:t>as</w:t>
      </w:r>
      <w:r>
        <w:rPr>
          <w:spacing w:val="-6"/>
        </w:rPr>
        <w:t> </w:t>
      </w:r>
      <w:r>
        <w:rPr/>
        <w:t>the official EU legal database EUR-lex, the European Commission and the European Parliamentary Research Service (see Appendix 2),</w:t>
      </w:r>
      <w:r>
        <w:rPr>
          <w:vertAlign w:val="superscript"/>
        </w:rPr>
        <w:t>426</w:t>
      </w:r>
      <w:r>
        <w:rPr>
          <w:vertAlign w:val="baseline"/>
        </w:rPr>
        <w:t> we identified:</w:t>
      </w:r>
    </w:p>
    <w:p>
      <w:pPr>
        <w:pStyle w:val="ListParagraph"/>
        <w:numPr>
          <w:ilvl w:val="0"/>
          <w:numId w:val="26"/>
        </w:numPr>
        <w:tabs>
          <w:tab w:pos="1457" w:val="left" w:leader="none"/>
        </w:tabs>
        <w:spacing w:line="349" w:lineRule="exact" w:before="258" w:after="0"/>
        <w:ind w:left="1457" w:right="0" w:hanging="340"/>
        <w:jc w:val="left"/>
        <w:rPr>
          <w:sz w:val="28"/>
        </w:rPr>
      </w:pPr>
      <w:r>
        <w:rPr>
          <w:sz w:val="28"/>
        </w:rPr>
        <w:t>52</w:t>
      </w:r>
      <w:r>
        <w:rPr>
          <w:spacing w:val="-4"/>
          <w:sz w:val="28"/>
        </w:rPr>
        <w:t> </w:t>
      </w:r>
      <w:r>
        <w:rPr>
          <w:sz w:val="28"/>
        </w:rPr>
        <w:t>EU</w:t>
      </w:r>
      <w:r>
        <w:rPr>
          <w:spacing w:val="-3"/>
          <w:sz w:val="28"/>
        </w:rPr>
        <w:t> </w:t>
      </w:r>
      <w:r>
        <w:rPr>
          <w:sz w:val="28"/>
        </w:rPr>
        <w:t>directives</w:t>
      </w:r>
      <w:r>
        <w:rPr>
          <w:spacing w:val="-4"/>
          <w:sz w:val="28"/>
        </w:rPr>
        <w:t> </w:t>
      </w:r>
      <w:r>
        <w:rPr>
          <w:sz w:val="28"/>
        </w:rPr>
        <w:t>adopted</w:t>
      </w:r>
      <w:r>
        <w:rPr>
          <w:spacing w:val="-4"/>
          <w:sz w:val="28"/>
        </w:rPr>
        <w:t> </w:t>
      </w:r>
      <w:r>
        <w:rPr>
          <w:sz w:val="28"/>
        </w:rPr>
        <w:t>between</w:t>
      </w:r>
      <w:r>
        <w:rPr>
          <w:spacing w:val="-4"/>
          <w:sz w:val="28"/>
        </w:rPr>
        <w:t> </w:t>
      </w:r>
      <w:r>
        <w:rPr>
          <w:sz w:val="28"/>
        </w:rPr>
        <w:t>1</w:t>
      </w:r>
      <w:r>
        <w:rPr>
          <w:spacing w:val="-4"/>
          <w:sz w:val="28"/>
        </w:rPr>
        <w:t> </w:t>
      </w:r>
      <w:r>
        <w:rPr>
          <w:sz w:val="28"/>
        </w:rPr>
        <w:t>January</w:t>
      </w:r>
      <w:r>
        <w:rPr>
          <w:spacing w:val="-3"/>
          <w:sz w:val="28"/>
        </w:rPr>
        <w:t> </w:t>
      </w:r>
      <w:r>
        <w:rPr>
          <w:sz w:val="28"/>
        </w:rPr>
        <w:t>2022</w:t>
      </w:r>
      <w:r>
        <w:rPr>
          <w:spacing w:val="-3"/>
          <w:sz w:val="28"/>
        </w:rPr>
        <w:t> </w:t>
      </w:r>
      <w:r>
        <w:rPr>
          <w:sz w:val="28"/>
        </w:rPr>
        <w:t>and</w:t>
      </w:r>
      <w:r>
        <w:rPr>
          <w:spacing w:val="-4"/>
          <w:sz w:val="28"/>
        </w:rPr>
        <w:t> </w:t>
      </w:r>
      <w:r>
        <w:rPr>
          <w:sz w:val="28"/>
        </w:rPr>
        <w:t>31</w:t>
      </w:r>
      <w:r>
        <w:rPr>
          <w:spacing w:val="-3"/>
          <w:sz w:val="28"/>
        </w:rPr>
        <w:t> </w:t>
      </w:r>
      <w:r>
        <w:rPr>
          <w:sz w:val="28"/>
        </w:rPr>
        <w:t>August</w:t>
      </w:r>
      <w:r>
        <w:rPr>
          <w:spacing w:val="-4"/>
          <w:sz w:val="28"/>
        </w:rPr>
        <w:t> </w:t>
      </w:r>
      <w:r>
        <w:rPr>
          <w:sz w:val="28"/>
        </w:rPr>
        <w:t>2023</w:t>
      </w:r>
      <w:r>
        <w:rPr>
          <w:spacing w:val="-3"/>
          <w:sz w:val="28"/>
        </w:rPr>
        <w:t> </w:t>
      </w:r>
      <w:r>
        <w:rPr>
          <w:spacing w:val="-5"/>
          <w:sz w:val="28"/>
        </w:rPr>
        <w:t>(37</w:t>
      </w:r>
    </w:p>
    <w:p>
      <w:pPr>
        <w:pStyle w:val="BodyText"/>
        <w:spacing w:line="323" w:lineRule="exact"/>
        <w:ind w:left="1457"/>
      </w:pPr>
      <w:r>
        <w:rPr/>
        <w:t>directives</w:t>
      </w:r>
      <w:r>
        <w:rPr>
          <w:spacing w:val="-6"/>
        </w:rPr>
        <w:t> </w:t>
      </w:r>
      <w:r>
        <w:rPr/>
        <w:t>in</w:t>
      </w:r>
      <w:r>
        <w:rPr>
          <w:spacing w:val="-5"/>
        </w:rPr>
        <w:t> </w:t>
      </w:r>
      <w:r>
        <w:rPr/>
        <w:t>2022</w:t>
      </w:r>
      <w:r>
        <w:rPr>
          <w:spacing w:val="-5"/>
        </w:rPr>
        <w:t> </w:t>
      </w:r>
      <w:r>
        <w:rPr/>
        <w:t>and</w:t>
      </w:r>
      <w:r>
        <w:rPr>
          <w:spacing w:val="-5"/>
        </w:rPr>
        <w:t> </w:t>
      </w:r>
      <w:r>
        <w:rPr/>
        <w:t>15</w:t>
      </w:r>
      <w:r>
        <w:rPr>
          <w:spacing w:val="-5"/>
        </w:rPr>
        <w:t> </w:t>
      </w:r>
      <w:r>
        <w:rPr/>
        <w:t>directives</w:t>
      </w:r>
      <w:r>
        <w:rPr>
          <w:spacing w:val="-5"/>
        </w:rPr>
        <w:t> </w:t>
      </w:r>
      <w:r>
        <w:rPr/>
        <w:t>in</w:t>
      </w:r>
      <w:r>
        <w:rPr>
          <w:spacing w:val="-5"/>
        </w:rPr>
        <w:t> </w:t>
      </w:r>
      <w:r>
        <w:rPr>
          <w:spacing w:val="-4"/>
        </w:rPr>
        <w:t>2023)</w:t>
      </w:r>
    </w:p>
    <w:p>
      <w:pPr>
        <w:pStyle w:val="ListParagraph"/>
        <w:numPr>
          <w:ilvl w:val="0"/>
          <w:numId w:val="26"/>
        </w:numPr>
        <w:tabs>
          <w:tab w:pos="1457" w:val="left" w:leader="none"/>
        </w:tabs>
        <w:spacing w:line="232" w:lineRule="auto" w:before="0" w:after="0"/>
        <w:ind w:left="1457" w:right="1479" w:hanging="341"/>
        <w:jc w:val="left"/>
        <w:rPr>
          <w:sz w:val="28"/>
        </w:rPr>
      </w:pPr>
      <w:r>
        <w:rPr>
          <w:sz w:val="28"/>
        </w:rPr>
        <w:t>138</w:t>
      </w:r>
      <w:r>
        <w:rPr>
          <w:spacing w:val="-5"/>
          <w:sz w:val="28"/>
        </w:rPr>
        <w:t> </w:t>
      </w:r>
      <w:r>
        <w:rPr>
          <w:sz w:val="28"/>
        </w:rPr>
        <w:t>EU</w:t>
      </w:r>
      <w:r>
        <w:rPr>
          <w:spacing w:val="-5"/>
          <w:sz w:val="28"/>
        </w:rPr>
        <w:t> </w:t>
      </w:r>
      <w:r>
        <w:rPr>
          <w:sz w:val="28"/>
        </w:rPr>
        <w:t>regulations</w:t>
      </w:r>
      <w:r>
        <w:rPr>
          <w:spacing w:val="-6"/>
          <w:sz w:val="28"/>
        </w:rPr>
        <w:t> </w:t>
      </w:r>
      <w:r>
        <w:rPr>
          <w:sz w:val="28"/>
        </w:rPr>
        <w:t>adopted</w:t>
      </w:r>
      <w:r>
        <w:rPr>
          <w:spacing w:val="-6"/>
          <w:sz w:val="28"/>
        </w:rPr>
        <w:t> </w:t>
      </w:r>
      <w:r>
        <w:rPr>
          <w:sz w:val="28"/>
        </w:rPr>
        <w:t>between</w:t>
      </w:r>
      <w:r>
        <w:rPr>
          <w:spacing w:val="-6"/>
          <w:sz w:val="28"/>
        </w:rPr>
        <w:t> </w:t>
      </w:r>
      <w:r>
        <w:rPr>
          <w:sz w:val="28"/>
        </w:rPr>
        <w:t>1</w:t>
      </w:r>
      <w:r>
        <w:rPr>
          <w:spacing w:val="-5"/>
          <w:sz w:val="28"/>
        </w:rPr>
        <w:t> </w:t>
      </w:r>
      <w:r>
        <w:rPr>
          <w:sz w:val="28"/>
        </w:rPr>
        <w:t>January</w:t>
      </w:r>
      <w:r>
        <w:rPr>
          <w:spacing w:val="-5"/>
          <w:sz w:val="28"/>
        </w:rPr>
        <w:t> </w:t>
      </w:r>
      <w:r>
        <w:rPr>
          <w:sz w:val="28"/>
        </w:rPr>
        <w:t>2022</w:t>
      </w:r>
      <w:r>
        <w:rPr>
          <w:spacing w:val="-5"/>
          <w:sz w:val="28"/>
        </w:rPr>
        <w:t> </w:t>
      </w:r>
      <w:r>
        <w:rPr>
          <w:sz w:val="28"/>
        </w:rPr>
        <w:t>and</w:t>
      </w:r>
      <w:r>
        <w:rPr>
          <w:spacing w:val="-6"/>
          <w:sz w:val="28"/>
        </w:rPr>
        <w:t> </w:t>
      </w:r>
      <w:r>
        <w:rPr>
          <w:sz w:val="28"/>
        </w:rPr>
        <w:t>31</w:t>
      </w:r>
      <w:r>
        <w:rPr>
          <w:spacing w:val="-5"/>
          <w:sz w:val="28"/>
        </w:rPr>
        <w:t> </w:t>
      </w:r>
      <w:r>
        <w:rPr>
          <w:sz w:val="28"/>
        </w:rPr>
        <w:t>August</w:t>
      </w:r>
      <w:r>
        <w:rPr>
          <w:spacing w:val="-5"/>
          <w:sz w:val="28"/>
        </w:rPr>
        <w:t> </w:t>
      </w:r>
      <w:r>
        <w:rPr>
          <w:sz w:val="28"/>
        </w:rPr>
        <w:t>2023, regarding topics potentially relevant to human rights and equality (86 Regulations in 2022 and 52 regulations in 2023)</w:t>
      </w:r>
    </w:p>
    <w:p>
      <w:pPr>
        <w:pStyle w:val="ListParagraph"/>
        <w:numPr>
          <w:ilvl w:val="0"/>
          <w:numId w:val="26"/>
        </w:numPr>
        <w:tabs>
          <w:tab w:pos="1457" w:val="left" w:leader="none"/>
        </w:tabs>
        <w:spacing w:line="323" w:lineRule="exact" w:before="0" w:after="0"/>
        <w:ind w:left="1457" w:right="0" w:hanging="340"/>
        <w:jc w:val="left"/>
        <w:rPr>
          <w:sz w:val="28"/>
        </w:rPr>
      </w:pPr>
      <w:r>
        <w:rPr>
          <w:sz w:val="28"/>
        </w:rPr>
        <w:t>17</w:t>
      </w:r>
      <w:r>
        <w:rPr>
          <w:spacing w:val="-5"/>
          <w:sz w:val="28"/>
        </w:rPr>
        <w:t> </w:t>
      </w:r>
      <w:r>
        <w:rPr>
          <w:sz w:val="28"/>
        </w:rPr>
        <w:t>EU</w:t>
      </w:r>
      <w:r>
        <w:rPr>
          <w:spacing w:val="-5"/>
          <w:sz w:val="28"/>
        </w:rPr>
        <w:t> </w:t>
      </w:r>
      <w:r>
        <w:rPr>
          <w:sz w:val="28"/>
        </w:rPr>
        <w:t>directives</w:t>
      </w:r>
      <w:r>
        <w:rPr>
          <w:spacing w:val="-6"/>
          <w:sz w:val="28"/>
        </w:rPr>
        <w:t> </w:t>
      </w:r>
      <w:r>
        <w:rPr>
          <w:sz w:val="28"/>
        </w:rPr>
        <w:t>and</w:t>
      </w:r>
      <w:r>
        <w:rPr>
          <w:spacing w:val="-6"/>
          <w:sz w:val="28"/>
        </w:rPr>
        <w:t> </w:t>
      </w:r>
      <w:r>
        <w:rPr>
          <w:sz w:val="28"/>
        </w:rPr>
        <w:t>regulations</w:t>
      </w:r>
      <w:r>
        <w:rPr>
          <w:spacing w:val="-5"/>
          <w:sz w:val="28"/>
        </w:rPr>
        <w:t> </w:t>
      </w:r>
      <w:r>
        <w:rPr>
          <w:sz w:val="28"/>
        </w:rPr>
        <w:t>proposed</w:t>
      </w:r>
      <w:r>
        <w:rPr>
          <w:spacing w:val="-6"/>
          <w:sz w:val="28"/>
        </w:rPr>
        <w:t> </w:t>
      </w:r>
      <w:r>
        <w:rPr>
          <w:sz w:val="28"/>
        </w:rPr>
        <w:t>between</w:t>
      </w:r>
      <w:r>
        <w:rPr>
          <w:spacing w:val="-6"/>
          <w:sz w:val="28"/>
        </w:rPr>
        <w:t> </w:t>
      </w:r>
      <w:r>
        <w:rPr>
          <w:sz w:val="28"/>
        </w:rPr>
        <w:t>1</w:t>
      </w:r>
      <w:r>
        <w:rPr>
          <w:spacing w:val="-5"/>
          <w:sz w:val="28"/>
        </w:rPr>
        <w:t> </w:t>
      </w:r>
      <w:r>
        <w:rPr>
          <w:sz w:val="28"/>
        </w:rPr>
        <w:t>January</w:t>
      </w:r>
      <w:r>
        <w:rPr>
          <w:spacing w:val="-5"/>
          <w:sz w:val="28"/>
        </w:rPr>
        <w:t> </w:t>
      </w:r>
      <w:r>
        <w:rPr>
          <w:sz w:val="28"/>
        </w:rPr>
        <w:t>2022</w:t>
      </w:r>
      <w:r>
        <w:rPr>
          <w:spacing w:val="-5"/>
          <w:sz w:val="28"/>
        </w:rPr>
        <w:t> and</w:t>
      </w:r>
    </w:p>
    <w:p>
      <w:pPr>
        <w:pStyle w:val="BodyText"/>
        <w:spacing w:line="232" w:lineRule="auto"/>
        <w:ind w:left="1457" w:right="1087"/>
      </w:pPr>
      <w:r>
        <w:rPr/>
        <w:t>31 August 2023 (focusing on those that have already been adopted by the Commission</w:t>
      </w:r>
      <w:r>
        <w:rPr>
          <w:spacing w:val="-7"/>
        </w:rPr>
        <w:t> </w:t>
      </w:r>
      <w:r>
        <w:rPr/>
        <w:t>and</w:t>
      </w:r>
      <w:r>
        <w:rPr>
          <w:spacing w:val="-7"/>
        </w:rPr>
        <w:t> </w:t>
      </w:r>
      <w:r>
        <w:rPr/>
        <w:t>on</w:t>
      </w:r>
      <w:r>
        <w:rPr>
          <w:spacing w:val="-7"/>
        </w:rPr>
        <w:t> </w:t>
      </w:r>
      <w:r>
        <w:rPr/>
        <w:t>topics</w:t>
      </w:r>
      <w:r>
        <w:rPr>
          <w:spacing w:val="-7"/>
        </w:rPr>
        <w:t> </w:t>
      </w:r>
      <w:r>
        <w:rPr/>
        <w:t>sufficiently</w:t>
      </w:r>
      <w:r>
        <w:rPr>
          <w:spacing w:val="-7"/>
        </w:rPr>
        <w:t> </w:t>
      </w:r>
      <w:r>
        <w:rPr/>
        <w:t>relevant</w:t>
      </w:r>
      <w:r>
        <w:rPr>
          <w:spacing w:val="-7"/>
        </w:rPr>
        <w:t> </w:t>
      </w:r>
      <w:r>
        <w:rPr/>
        <w:t>to</w:t>
      </w:r>
      <w:r>
        <w:rPr>
          <w:spacing w:val="-7"/>
        </w:rPr>
        <w:t> </w:t>
      </w:r>
      <w:r>
        <w:rPr/>
        <w:t>human</w:t>
      </w:r>
      <w:r>
        <w:rPr>
          <w:spacing w:val="-7"/>
        </w:rPr>
        <w:t> </w:t>
      </w:r>
      <w:r>
        <w:rPr/>
        <w:t>rights</w:t>
      </w:r>
      <w:r>
        <w:rPr>
          <w:spacing w:val="-7"/>
        </w:rPr>
        <w:t> </w:t>
      </w:r>
      <w:r>
        <w:rPr/>
        <w:t>and</w:t>
      </w:r>
      <w:r>
        <w:rPr>
          <w:spacing w:val="-7"/>
        </w:rPr>
        <w:t> </w:t>
      </w:r>
      <w:r>
        <w:rPr/>
        <w:t>equality).</w:t>
      </w:r>
    </w:p>
    <w:p>
      <w:pPr>
        <w:pStyle w:val="BodyText"/>
        <w:spacing w:line="232" w:lineRule="auto" w:before="277"/>
        <w:ind w:left="1117" w:right="888"/>
      </w:pPr>
      <w:r>
        <w:rPr/>
        <w:t>It is worth noting that a number of the directives and regulations referred to primarily</w:t>
      </w:r>
      <w:r>
        <w:rPr>
          <w:spacing w:val="-7"/>
        </w:rPr>
        <w:t> </w:t>
      </w:r>
      <w:r>
        <w:rPr/>
        <w:t>relate</w:t>
      </w:r>
      <w:r>
        <w:rPr>
          <w:spacing w:val="-7"/>
        </w:rPr>
        <w:t> </w:t>
      </w:r>
      <w:r>
        <w:rPr/>
        <w:t>to</w:t>
      </w:r>
      <w:r>
        <w:rPr>
          <w:spacing w:val="-8"/>
        </w:rPr>
        <w:t> </w:t>
      </w:r>
      <w:r>
        <w:rPr/>
        <w:t>the</w:t>
      </w:r>
      <w:r>
        <w:rPr>
          <w:spacing w:val="-7"/>
        </w:rPr>
        <w:t> </w:t>
      </w:r>
      <w:r>
        <w:rPr/>
        <w:t>promotion</w:t>
      </w:r>
      <w:r>
        <w:rPr>
          <w:spacing w:val="-8"/>
        </w:rPr>
        <w:t> </w:t>
      </w:r>
      <w:r>
        <w:rPr/>
        <w:t>of</w:t>
      </w:r>
      <w:r>
        <w:rPr>
          <w:spacing w:val="-8"/>
        </w:rPr>
        <w:t> </w:t>
      </w:r>
      <w:r>
        <w:rPr/>
        <w:t>equality</w:t>
      </w:r>
      <w:r>
        <w:rPr>
          <w:spacing w:val="-7"/>
        </w:rPr>
        <w:t> </w:t>
      </w:r>
      <w:r>
        <w:rPr/>
        <w:t>and</w:t>
      </w:r>
      <w:r>
        <w:rPr>
          <w:spacing w:val="-8"/>
        </w:rPr>
        <w:t> </w:t>
      </w:r>
      <w:r>
        <w:rPr/>
        <w:t>human</w:t>
      </w:r>
      <w:r>
        <w:rPr>
          <w:spacing w:val="-8"/>
        </w:rPr>
        <w:t> </w:t>
      </w:r>
      <w:r>
        <w:rPr/>
        <w:t>rights,</w:t>
      </w:r>
      <w:r>
        <w:rPr>
          <w:spacing w:val="-7"/>
        </w:rPr>
        <w:t> </w:t>
      </w:r>
      <w:r>
        <w:rPr/>
        <w:t>however,</w:t>
      </w:r>
      <w:r>
        <w:rPr>
          <w:spacing w:val="-7"/>
        </w:rPr>
        <w:t> </w:t>
      </w:r>
      <w:r>
        <w:rPr/>
        <w:t>it</w:t>
      </w:r>
      <w:r>
        <w:rPr>
          <w:spacing w:val="-7"/>
        </w:rPr>
        <w:t> </w:t>
      </w:r>
      <w:r>
        <w:rPr/>
        <w:t>should be noted that in some instances not </w:t>
      </w:r>
      <w:r>
        <w:rPr>
          <w:u w:val="single"/>
        </w:rPr>
        <w:t>all</w:t>
      </w:r>
      <w:r>
        <w:rPr>
          <w:u w:val="none"/>
        </w:rPr>
        <w:t> of the provisions of the noted directives and regulations do. The recommendations set out below relate only to those provisions which relate to equality and human rights. The recommendations relating to voluntary alignment relate to where the provisions of the directive/ regulation (proposed directive/regulation) will strengthen equality and human rights and align with international human rights standards and best practice.</w:t>
      </w:r>
    </w:p>
    <w:p>
      <w:pPr>
        <w:pStyle w:val="BodyText"/>
        <w:spacing w:before="77"/>
        <w:rPr>
          <w:sz w:val="20"/>
        </w:rPr>
      </w:pPr>
      <w:r>
        <w:rPr/>
        <mc:AlternateContent>
          <mc:Choice Requires="wps">
            <w:drawing>
              <wp:anchor distT="0" distB="0" distL="0" distR="0" allowOverlap="1" layoutInCell="1" locked="0" behindDoc="1" simplePos="0" relativeHeight="487716352">
                <wp:simplePos x="0" y="0"/>
                <wp:positionH relativeFrom="page">
                  <wp:posOffset>899999</wp:posOffset>
                </wp:positionH>
                <wp:positionV relativeFrom="paragraph">
                  <wp:posOffset>219717</wp:posOffset>
                </wp:positionV>
                <wp:extent cx="6012180" cy="1270"/>
                <wp:effectExtent l="0" t="0" r="0" b="0"/>
                <wp:wrapTopAndBottom/>
                <wp:docPr id="686" name="Graphic 686"/>
                <wp:cNvGraphicFramePr>
                  <a:graphicFrameLocks/>
                </wp:cNvGraphicFramePr>
                <a:graphic>
                  <a:graphicData uri="http://schemas.microsoft.com/office/word/2010/wordprocessingShape">
                    <wps:wsp>
                      <wps:cNvPr id="686" name="Graphic 68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7.300617pt;width:473.4pt;height:.1pt;mso-position-horizontal-relative:page;mso-position-vertical-relative:paragraph;z-index:-15600128;mso-wrap-distance-left:0;mso-wrap-distance-right:0" id="docshape557" coordorigin="1417,346" coordsize="9468,0" path="m1417,346l10885,346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865" w:hanging="567"/>
        <w:jc w:val="left"/>
        <w:rPr>
          <w:sz w:val="18"/>
        </w:rPr>
      </w:pPr>
      <w:r>
        <w:rPr>
          <w:sz w:val="18"/>
        </w:rPr>
        <w:t>For adopted EU legislation, we used EUR-lex which can be </w:t>
      </w:r>
      <w:hyperlink r:id="rId118">
        <w:r>
          <w:rPr>
            <w:color w:val="1D71B8"/>
            <w:sz w:val="18"/>
            <w:u w:val="single" w:color="1D71B8"/>
          </w:rPr>
          <w:t>accessed online</w:t>
        </w:r>
      </w:hyperlink>
      <w:r>
        <w:rPr>
          <w:sz w:val="18"/>
          <w:u w:val="none"/>
        </w:rPr>
        <w:t>. For proposed EU legislation, we used: European</w:t>
      </w:r>
      <w:r>
        <w:rPr>
          <w:spacing w:val="-8"/>
          <w:sz w:val="18"/>
          <w:u w:val="none"/>
        </w:rPr>
        <w:t> </w:t>
      </w:r>
      <w:r>
        <w:rPr>
          <w:sz w:val="18"/>
          <w:u w:val="none"/>
        </w:rPr>
        <w:t>Commission,</w:t>
      </w:r>
      <w:r>
        <w:rPr>
          <w:spacing w:val="-7"/>
          <w:sz w:val="18"/>
          <w:u w:val="none"/>
        </w:rPr>
        <w:t> </w:t>
      </w:r>
      <w:r>
        <w:rPr>
          <w:sz w:val="18"/>
          <w:u w:val="none"/>
        </w:rPr>
        <w:t>‘</w:t>
      </w:r>
      <w:hyperlink r:id="rId119">
        <w:r>
          <w:rPr>
            <w:color w:val="1D71B8"/>
            <w:sz w:val="18"/>
            <w:u w:val="single" w:color="1D71B8"/>
          </w:rPr>
          <w:t>Published</w:t>
        </w:r>
        <w:r>
          <w:rPr>
            <w:color w:val="1D71B8"/>
            <w:spacing w:val="-8"/>
            <w:sz w:val="18"/>
            <w:u w:val="single" w:color="1D71B8"/>
          </w:rPr>
          <w:t> </w:t>
        </w:r>
        <w:r>
          <w:rPr>
            <w:color w:val="1D71B8"/>
            <w:sz w:val="18"/>
            <w:u w:val="single" w:color="1D71B8"/>
          </w:rPr>
          <w:t>Initiatives</w:t>
        </w:r>
      </w:hyperlink>
      <w:r>
        <w:rPr>
          <w:sz w:val="18"/>
          <w:u w:val="none"/>
        </w:rPr>
        <w:t>’;</w:t>
      </w:r>
      <w:r>
        <w:rPr>
          <w:spacing w:val="-7"/>
          <w:sz w:val="18"/>
          <w:u w:val="none"/>
        </w:rPr>
        <w:t> </w:t>
      </w:r>
      <w:r>
        <w:rPr>
          <w:sz w:val="18"/>
          <w:u w:val="none"/>
        </w:rPr>
        <w:t>and</w:t>
      </w:r>
      <w:r>
        <w:rPr>
          <w:spacing w:val="-8"/>
          <w:sz w:val="18"/>
          <w:u w:val="none"/>
        </w:rPr>
        <w:t> </w:t>
      </w:r>
      <w:r>
        <w:rPr>
          <w:sz w:val="18"/>
          <w:u w:val="none"/>
        </w:rPr>
        <w:t>European</w:t>
      </w:r>
      <w:r>
        <w:rPr>
          <w:spacing w:val="-8"/>
          <w:sz w:val="18"/>
          <w:u w:val="none"/>
        </w:rPr>
        <w:t> </w:t>
      </w:r>
      <w:r>
        <w:rPr>
          <w:sz w:val="18"/>
          <w:u w:val="none"/>
        </w:rPr>
        <w:t>Parliamentary</w:t>
      </w:r>
      <w:r>
        <w:rPr>
          <w:spacing w:val="-7"/>
          <w:sz w:val="18"/>
          <w:u w:val="none"/>
        </w:rPr>
        <w:t> </w:t>
      </w:r>
      <w:r>
        <w:rPr>
          <w:sz w:val="18"/>
          <w:u w:val="none"/>
        </w:rPr>
        <w:t>Research</w:t>
      </w:r>
      <w:r>
        <w:rPr>
          <w:spacing w:val="-8"/>
          <w:sz w:val="18"/>
          <w:u w:val="none"/>
        </w:rPr>
        <w:t> </w:t>
      </w:r>
      <w:r>
        <w:rPr>
          <w:sz w:val="18"/>
          <w:u w:val="none"/>
        </w:rPr>
        <w:t>Service,</w:t>
      </w:r>
      <w:r>
        <w:rPr>
          <w:spacing w:val="-7"/>
          <w:sz w:val="18"/>
          <w:u w:val="none"/>
        </w:rPr>
        <w:t> </w:t>
      </w:r>
      <w:r>
        <w:rPr>
          <w:sz w:val="18"/>
          <w:u w:val="none"/>
        </w:rPr>
        <w:t>‘</w:t>
      </w:r>
      <w:hyperlink r:id="rId120">
        <w:r>
          <w:rPr>
            <w:color w:val="1D71B8"/>
            <w:sz w:val="18"/>
            <w:u w:val="single" w:color="1D71B8"/>
          </w:rPr>
          <w:t>EU</w:t>
        </w:r>
        <w:r>
          <w:rPr>
            <w:color w:val="1D71B8"/>
            <w:spacing w:val="-7"/>
            <w:sz w:val="18"/>
            <w:u w:val="single" w:color="1D71B8"/>
          </w:rPr>
          <w:t> </w:t>
        </w:r>
        <w:r>
          <w:rPr>
            <w:color w:val="1D71B8"/>
            <w:sz w:val="18"/>
            <w:u w:val="single" w:color="1D71B8"/>
          </w:rPr>
          <w:t>Legislation</w:t>
        </w:r>
        <w:r>
          <w:rPr>
            <w:color w:val="1D71B8"/>
            <w:spacing w:val="-8"/>
            <w:sz w:val="18"/>
            <w:u w:val="single" w:color="1D71B8"/>
          </w:rPr>
          <w:t> </w:t>
        </w:r>
        <w:r>
          <w:rPr>
            <w:color w:val="1D71B8"/>
            <w:sz w:val="18"/>
            <w:u w:val="single" w:color="1D71B8"/>
          </w:rPr>
          <w:t>in</w:t>
        </w:r>
        <w:r>
          <w:rPr>
            <w:color w:val="1D71B8"/>
            <w:spacing w:val="-8"/>
            <w:sz w:val="18"/>
            <w:u w:val="single" w:color="1D71B8"/>
          </w:rPr>
          <w:t> </w:t>
        </w:r>
        <w:r>
          <w:rPr>
            <w:color w:val="1D71B8"/>
            <w:sz w:val="18"/>
            <w:u w:val="single" w:color="1D71B8"/>
          </w:rPr>
          <w:t>Progress</w:t>
        </w:r>
      </w:hyperlink>
      <w:r>
        <w:rPr>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35072">
                <wp:simplePos x="0" y="0"/>
                <wp:positionH relativeFrom="page">
                  <wp:posOffset>0</wp:posOffset>
                </wp:positionH>
                <wp:positionV relativeFrom="page">
                  <wp:posOffset>0</wp:posOffset>
                </wp:positionV>
                <wp:extent cx="7560309" cy="1155065"/>
                <wp:effectExtent l="0" t="0" r="0" b="0"/>
                <wp:wrapNone/>
                <wp:docPr id="687" name="Group 687"/>
                <wp:cNvGraphicFramePr>
                  <a:graphicFrameLocks/>
                </wp:cNvGraphicFramePr>
                <a:graphic>
                  <a:graphicData uri="http://schemas.microsoft.com/office/word/2010/wordprocessingGroup">
                    <wpg:wgp>
                      <wpg:cNvPr id="687" name="Group 687"/>
                      <wpg:cNvGrpSpPr/>
                      <wpg:grpSpPr>
                        <a:xfrm>
                          <a:off x="0" y="0"/>
                          <a:ext cx="7560309" cy="1155065"/>
                          <a:chExt cx="7560309" cy="1155065"/>
                        </a:xfrm>
                      </wpg:grpSpPr>
                      <wps:wsp>
                        <wps:cNvPr id="688" name="Graphic 688"/>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689" name="Graphic 689"/>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81408" id="docshapegroup558" coordorigin="0,0" coordsize="11906,1819">
                <v:shape style="position:absolute;left:0;top:0;width:11906;height:1819" id="docshape559"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4.2 EU legislation: overview" w:id="107"/>
      <w:bookmarkEnd w:id="107"/>
      <w:r>
        <w:rPr/>
      </w:r>
      <w:bookmarkStart w:name="4.2.1 Adopted EU Directives" w:id="108"/>
      <w:bookmarkEnd w:id="108"/>
      <w:r>
        <w:rPr/>
      </w:r>
      <w:bookmarkStart w:name="_bookmark44" w:id="109"/>
      <w:bookmarkEnd w:id="109"/>
      <w:r>
        <w:rPr/>
      </w:r>
      <w:r>
        <w:rPr>
          <w:b/>
          <w:color w:val="FFFFFF"/>
          <w:spacing w:val="-5"/>
          <w:position w:val="-1"/>
          <w:sz w:val="28"/>
        </w:rPr>
        <w:t>76</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404"/>
      </w:pPr>
      <w:r>
        <w:rPr/>
        <w:t>Section 4.2 presents an overview of the research findings from the mapping exercise.</w:t>
      </w:r>
      <w:r>
        <w:rPr>
          <w:spacing w:val="-12"/>
        </w:rPr>
        <w:t> </w:t>
      </w:r>
      <w:r>
        <w:rPr/>
        <w:t>Section</w:t>
      </w:r>
      <w:r>
        <w:rPr>
          <w:spacing w:val="-12"/>
        </w:rPr>
        <w:t> </w:t>
      </w:r>
      <w:r>
        <w:rPr/>
        <w:t>4.3</w:t>
      </w:r>
      <w:r>
        <w:rPr>
          <w:spacing w:val="-11"/>
        </w:rPr>
        <w:t> </w:t>
      </w:r>
      <w:r>
        <w:rPr/>
        <w:t>examines</w:t>
      </w:r>
      <w:r>
        <w:rPr>
          <w:spacing w:val="-12"/>
        </w:rPr>
        <w:t> </w:t>
      </w:r>
      <w:r>
        <w:rPr/>
        <w:t>specific</w:t>
      </w:r>
      <w:r>
        <w:rPr>
          <w:spacing w:val="-11"/>
        </w:rPr>
        <w:t> </w:t>
      </w:r>
      <w:r>
        <w:rPr/>
        <w:t>areas</w:t>
      </w:r>
      <w:r>
        <w:rPr>
          <w:spacing w:val="-12"/>
        </w:rPr>
        <w:t> </w:t>
      </w:r>
      <w:r>
        <w:rPr/>
        <w:t>(discrimination,</w:t>
      </w:r>
      <w:r>
        <w:rPr>
          <w:spacing w:val="-11"/>
        </w:rPr>
        <w:t> </w:t>
      </w:r>
      <w:r>
        <w:rPr/>
        <w:t>privacy,</w:t>
      </w:r>
      <w:r>
        <w:rPr>
          <w:spacing w:val="-11"/>
        </w:rPr>
        <w:t> </w:t>
      </w:r>
      <w:r>
        <w:rPr/>
        <w:t>health,</w:t>
      </w:r>
      <w:r>
        <w:rPr>
          <w:spacing w:val="-11"/>
        </w:rPr>
        <w:t> </w:t>
      </w:r>
      <w:r>
        <w:rPr/>
        <w:t>etc) and their implications for Northern Ireland.</w:t>
      </w:r>
    </w:p>
    <w:p>
      <w:pPr>
        <w:pStyle w:val="BodyText"/>
        <w:spacing w:before="14"/>
      </w:pPr>
    </w:p>
    <w:p>
      <w:pPr>
        <w:pStyle w:val="Heading2"/>
        <w:numPr>
          <w:ilvl w:val="1"/>
          <w:numId w:val="25"/>
        </w:numPr>
        <w:tabs>
          <w:tab w:pos="1202" w:val="left" w:leader="none"/>
        </w:tabs>
        <w:spacing w:line="240" w:lineRule="auto" w:before="0" w:after="0"/>
        <w:ind w:left="1202" w:right="0" w:hanging="482"/>
        <w:jc w:val="left"/>
      </w:pPr>
      <w:r>
        <w:rPr>
          <w:color w:val="004A93"/>
        </w:rPr>
        <w:t>EU</w:t>
      </w:r>
      <w:r>
        <w:rPr>
          <w:color w:val="004A93"/>
          <w:spacing w:val="-6"/>
        </w:rPr>
        <w:t> </w:t>
      </w:r>
      <w:r>
        <w:rPr>
          <w:color w:val="004A93"/>
        </w:rPr>
        <w:t>legislation:</w:t>
      </w:r>
      <w:r>
        <w:rPr>
          <w:color w:val="004A93"/>
          <w:spacing w:val="-5"/>
        </w:rPr>
        <w:t> </w:t>
      </w:r>
      <w:r>
        <w:rPr>
          <w:color w:val="004A93"/>
          <w:spacing w:val="-2"/>
        </w:rPr>
        <w:t>overview</w:t>
      </w:r>
    </w:p>
    <w:p>
      <w:pPr>
        <w:pStyle w:val="BodyText"/>
        <w:spacing w:before="9"/>
        <w:rPr>
          <w:b/>
          <w:sz w:val="5"/>
        </w:rPr>
      </w:pPr>
      <w:r>
        <w:rPr/>
        <mc:AlternateContent>
          <mc:Choice Requires="wps">
            <w:drawing>
              <wp:anchor distT="0" distB="0" distL="0" distR="0" allowOverlap="1" layoutInCell="1" locked="0" behindDoc="1" simplePos="0" relativeHeight="487717376">
                <wp:simplePos x="0" y="0"/>
                <wp:positionH relativeFrom="page">
                  <wp:posOffset>647999</wp:posOffset>
                </wp:positionH>
                <wp:positionV relativeFrom="paragraph">
                  <wp:posOffset>60015</wp:posOffset>
                </wp:positionV>
                <wp:extent cx="6012180" cy="1270"/>
                <wp:effectExtent l="0" t="0" r="0" b="0"/>
                <wp:wrapTopAndBottom/>
                <wp:docPr id="690" name="Graphic 690"/>
                <wp:cNvGraphicFramePr>
                  <a:graphicFrameLocks/>
                </wp:cNvGraphicFramePr>
                <a:graphic>
                  <a:graphicData uri="http://schemas.microsoft.com/office/word/2010/wordprocessingShape">
                    <wps:wsp>
                      <wps:cNvPr id="690" name="Graphic 690"/>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725592pt;width:473.4pt;height:.1pt;mso-position-horizontal-relative:page;mso-position-vertical-relative:paragraph;z-index:-15599104;mso-wrap-distance-left:0;mso-wrap-distance-right:0" id="docshape560" coordorigin="1020,95" coordsize="9468,0" path="m1020,95l10488,95e" filled="false" stroked="true" strokeweight="1pt" strokecolor="#36a9e1">
                <v:path arrowok="t"/>
                <v:stroke dashstyle="solid"/>
                <w10:wrap type="topAndBottom"/>
              </v:shape>
            </w:pict>
          </mc:Fallback>
        </mc:AlternateContent>
      </w:r>
    </w:p>
    <w:p>
      <w:pPr>
        <w:pStyle w:val="Heading3"/>
        <w:numPr>
          <w:ilvl w:val="2"/>
          <w:numId w:val="25"/>
        </w:numPr>
        <w:tabs>
          <w:tab w:pos="1358" w:val="left" w:leader="none"/>
        </w:tabs>
        <w:spacing w:line="336" w:lineRule="exact" w:before="223" w:after="0"/>
        <w:ind w:left="1358" w:right="0" w:hanging="638"/>
        <w:jc w:val="left"/>
      </w:pPr>
      <w:r>
        <w:rPr>
          <w:color w:val="004A93"/>
        </w:rPr>
        <w:t>Adopted</w:t>
      </w:r>
      <w:r>
        <w:rPr>
          <w:color w:val="004A93"/>
          <w:spacing w:val="-3"/>
        </w:rPr>
        <w:t> </w:t>
      </w:r>
      <w:r>
        <w:rPr>
          <w:color w:val="004A93"/>
        </w:rPr>
        <w:t>EU</w:t>
      </w:r>
      <w:r>
        <w:rPr>
          <w:color w:val="004A93"/>
          <w:spacing w:val="-3"/>
        </w:rPr>
        <w:t> </w:t>
      </w:r>
      <w:r>
        <w:rPr>
          <w:color w:val="004A93"/>
          <w:spacing w:val="-2"/>
        </w:rPr>
        <w:t>Directives</w:t>
      </w:r>
    </w:p>
    <w:p>
      <w:pPr>
        <w:pStyle w:val="BodyText"/>
        <w:spacing w:line="336" w:lineRule="exact"/>
        <w:ind w:left="720"/>
      </w:pPr>
      <w:r>
        <w:rPr/>
        <w:t>Out</w:t>
      </w:r>
      <w:r>
        <w:rPr>
          <w:spacing w:val="-3"/>
        </w:rPr>
        <w:t> </w:t>
      </w:r>
      <w:r>
        <w:rPr/>
        <w:t>of</w:t>
      </w:r>
      <w:r>
        <w:rPr>
          <w:spacing w:val="-4"/>
        </w:rPr>
        <w:t> </w:t>
      </w:r>
      <w:r>
        <w:rPr/>
        <w:t>the</w:t>
      </w:r>
      <w:r>
        <w:rPr>
          <w:spacing w:val="-3"/>
        </w:rPr>
        <w:t> </w:t>
      </w:r>
      <w:r>
        <w:rPr/>
        <w:t>52</w:t>
      </w:r>
      <w:r>
        <w:rPr>
          <w:spacing w:val="-3"/>
        </w:rPr>
        <w:t> </w:t>
      </w:r>
      <w:r>
        <w:rPr/>
        <w:t>EU</w:t>
      </w:r>
      <w:r>
        <w:rPr>
          <w:spacing w:val="-3"/>
        </w:rPr>
        <w:t> </w:t>
      </w:r>
      <w:r>
        <w:rPr/>
        <w:t>directives</w:t>
      </w:r>
      <w:r>
        <w:rPr>
          <w:spacing w:val="-4"/>
        </w:rPr>
        <w:t> </w:t>
      </w:r>
      <w:r>
        <w:rPr/>
        <w:t>adopted</w:t>
      </w:r>
      <w:r>
        <w:rPr>
          <w:spacing w:val="-4"/>
        </w:rPr>
        <w:t> </w:t>
      </w:r>
      <w:r>
        <w:rPr/>
        <w:t>between</w:t>
      </w:r>
      <w:r>
        <w:rPr>
          <w:spacing w:val="-4"/>
        </w:rPr>
        <w:t> </w:t>
      </w:r>
      <w:r>
        <w:rPr/>
        <w:t>1</w:t>
      </w:r>
      <w:r>
        <w:rPr>
          <w:spacing w:val="-2"/>
        </w:rPr>
        <w:t> </w:t>
      </w:r>
      <w:r>
        <w:rPr/>
        <w:t>January</w:t>
      </w:r>
      <w:r>
        <w:rPr>
          <w:spacing w:val="-3"/>
        </w:rPr>
        <w:t> </w:t>
      </w:r>
      <w:r>
        <w:rPr/>
        <w:t>2022</w:t>
      </w:r>
      <w:r>
        <w:rPr>
          <w:spacing w:val="-3"/>
        </w:rPr>
        <w:t> </w:t>
      </w:r>
      <w:r>
        <w:rPr/>
        <w:t>and</w:t>
      </w:r>
      <w:r>
        <w:rPr>
          <w:spacing w:val="-4"/>
        </w:rPr>
        <w:t> </w:t>
      </w:r>
      <w:r>
        <w:rPr/>
        <w:t>31</w:t>
      </w:r>
      <w:r>
        <w:rPr>
          <w:spacing w:val="-3"/>
        </w:rPr>
        <w:t> </w:t>
      </w:r>
      <w:r>
        <w:rPr/>
        <w:t>August</w:t>
      </w:r>
      <w:r>
        <w:rPr>
          <w:spacing w:val="-3"/>
        </w:rPr>
        <w:t> </w:t>
      </w:r>
      <w:r>
        <w:rPr>
          <w:spacing w:val="-2"/>
        </w:rPr>
        <w:t>2023:</w:t>
      </w:r>
    </w:p>
    <w:p>
      <w:pPr>
        <w:pStyle w:val="ListParagraph"/>
        <w:numPr>
          <w:ilvl w:val="3"/>
          <w:numId w:val="25"/>
        </w:numPr>
        <w:tabs>
          <w:tab w:pos="1060" w:val="left" w:leader="none"/>
        </w:tabs>
        <w:spacing w:line="232" w:lineRule="auto" w:before="266" w:after="0"/>
        <w:ind w:left="1060" w:right="1902" w:hanging="341"/>
        <w:jc w:val="left"/>
        <w:rPr>
          <w:sz w:val="28"/>
        </w:rPr>
      </w:pPr>
      <w:r>
        <w:rPr>
          <w:sz w:val="28"/>
        </w:rPr>
        <w:t>36</w:t>
      </w:r>
      <w:r>
        <w:rPr>
          <w:spacing w:val="-4"/>
          <w:sz w:val="28"/>
        </w:rPr>
        <w:t> </w:t>
      </w:r>
      <w:r>
        <w:rPr>
          <w:sz w:val="28"/>
        </w:rPr>
        <w:t>EU</w:t>
      </w:r>
      <w:r>
        <w:rPr>
          <w:spacing w:val="-4"/>
          <w:sz w:val="28"/>
        </w:rPr>
        <w:t> </w:t>
      </w:r>
      <w:r>
        <w:rPr>
          <w:sz w:val="28"/>
        </w:rPr>
        <w:t>directives</w:t>
      </w:r>
      <w:r>
        <w:rPr>
          <w:spacing w:val="-5"/>
          <w:sz w:val="28"/>
        </w:rPr>
        <w:t> </w:t>
      </w:r>
      <w:r>
        <w:rPr>
          <w:sz w:val="28"/>
        </w:rPr>
        <w:t>do</w:t>
      </w:r>
      <w:r>
        <w:rPr>
          <w:spacing w:val="-5"/>
          <w:sz w:val="28"/>
        </w:rPr>
        <w:t> </w:t>
      </w:r>
      <w:r>
        <w:rPr>
          <w:sz w:val="28"/>
        </w:rPr>
        <w:t>not</w:t>
      </w:r>
      <w:r>
        <w:rPr>
          <w:spacing w:val="-4"/>
          <w:sz w:val="28"/>
        </w:rPr>
        <w:t> </w:t>
      </w:r>
      <w:r>
        <w:rPr>
          <w:sz w:val="28"/>
        </w:rPr>
        <w:t>relate</w:t>
      </w:r>
      <w:r>
        <w:rPr>
          <w:spacing w:val="-4"/>
          <w:sz w:val="28"/>
        </w:rPr>
        <w:t> </w:t>
      </w:r>
      <w:r>
        <w:rPr>
          <w:sz w:val="28"/>
        </w:rPr>
        <w:t>to</w:t>
      </w:r>
      <w:r>
        <w:rPr>
          <w:spacing w:val="-5"/>
          <w:sz w:val="28"/>
        </w:rPr>
        <w:t> </w:t>
      </w:r>
      <w:r>
        <w:rPr>
          <w:sz w:val="28"/>
        </w:rPr>
        <w:t>human</w:t>
      </w:r>
      <w:r>
        <w:rPr>
          <w:spacing w:val="-5"/>
          <w:sz w:val="28"/>
        </w:rPr>
        <w:t> </w:t>
      </w:r>
      <w:r>
        <w:rPr>
          <w:sz w:val="28"/>
        </w:rPr>
        <w:t>rights</w:t>
      </w:r>
      <w:r>
        <w:rPr>
          <w:spacing w:val="-5"/>
          <w:sz w:val="28"/>
        </w:rPr>
        <w:t> </w:t>
      </w:r>
      <w:r>
        <w:rPr>
          <w:sz w:val="28"/>
        </w:rPr>
        <w:t>and</w:t>
      </w:r>
      <w:r>
        <w:rPr>
          <w:spacing w:val="-5"/>
          <w:sz w:val="28"/>
        </w:rPr>
        <w:t> </w:t>
      </w:r>
      <w:r>
        <w:rPr>
          <w:sz w:val="28"/>
        </w:rPr>
        <w:t>equality</w:t>
      </w:r>
      <w:r>
        <w:rPr>
          <w:spacing w:val="-4"/>
          <w:sz w:val="28"/>
        </w:rPr>
        <w:t> </w:t>
      </w:r>
      <w:r>
        <w:rPr>
          <w:sz w:val="28"/>
        </w:rPr>
        <w:t>(that</w:t>
      </w:r>
      <w:r>
        <w:rPr>
          <w:spacing w:val="-4"/>
          <w:sz w:val="28"/>
        </w:rPr>
        <w:t> </w:t>
      </w:r>
      <w:r>
        <w:rPr>
          <w:sz w:val="28"/>
        </w:rPr>
        <w:t>is,</w:t>
      </w:r>
      <w:r>
        <w:rPr>
          <w:spacing w:val="-4"/>
          <w:sz w:val="28"/>
        </w:rPr>
        <w:t> </w:t>
      </w:r>
      <w:r>
        <w:rPr>
          <w:sz w:val="28"/>
        </w:rPr>
        <w:t>either completely irrelevant or too peripheral); and</w:t>
      </w:r>
    </w:p>
    <w:p>
      <w:pPr>
        <w:pStyle w:val="ListParagraph"/>
        <w:numPr>
          <w:ilvl w:val="3"/>
          <w:numId w:val="25"/>
        </w:numPr>
        <w:tabs>
          <w:tab w:pos="1060" w:val="left" w:leader="none"/>
        </w:tabs>
        <w:spacing w:line="325" w:lineRule="exact" w:before="0" w:after="0"/>
        <w:ind w:left="1060" w:right="0" w:hanging="340"/>
        <w:jc w:val="left"/>
        <w:rPr>
          <w:sz w:val="28"/>
        </w:rPr>
      </w:pPr>
      <w:r>
        <w:rPr>
          <w:sz w:val="28"/>
        </w:rPr>
        <w:t>1</w:t>
      </w:r>
      <w:r>
        <w:rPr>
          <w:spacing w:val="-4"/>
          <w:sz w:val="28"/>
        </w:rPr>
        <w:t> </w:t>
      </w:r>
      <w:r>
        <w:rPr>
          <w:sz w:val="28"/>
        </w:rPr>
        <w:t>EU</w:t>
      </w:r>
      <w:r>
        <w:rPr>
          <w:spacing w:val="-3"/>
          <w:sz w:val="28"/>
        </w:rPr>
        <w:t> </w:t>
      </w:r>
      <w:r>
        <w:rPr>
          <w:sz w:val="28"/>
        </w:rPr>
        <w:t>directive</w:t>
      </w:r>
      <w:r>
        <w:rPr>
          <w:spacing w:val="-3"/>
          <w:sz w:val="28"/>
        </w:rPr>
        <w:t> </w:t>
      </w:r>
      <w:r>
        <w:rPr>
          <w:sz w:val="28"/>
        </w:rPr>
        <w:t>does</w:t>
      </w:r>
      <w:r>
        <w:rPr>
          <w:spacing w:val="-5"/>
          <w:sz w:val="28"/>
        </w:rPr>
        <w:t> </w:t>
      </w:r>
      <w:r>
        <w:rPr>
          <w:sz w:val="28"/>
        </w:rPr>
        <w:t>relate</w:t>
      </w:r>
      <w:r>
        <w:rPr>
          <w:spacing w:val="-3"/>
          <w:sz w:val="28"/>
        </w:rPr>
        <w:t> </w:t>
      </w:r>
      <w:r>
        <w:rPr>
          <w:sz w:val="28"/>
        </w:rPr>
        <w:t>to</w:t>
      </w:r>
      <w:r>
        <w:rPr>
          <w:spacing w:val="-4"/>
          <w:sz w:val="28"/>
        </w:rPr>
        <w:t> </w:t>
      </w:r>
      <w:r>
        <w:rPr>
          <w:sz w:val="28"/>
        </w:rPr>
        <w:t>human</w:t>
      </w:r>
      <w:r>
        <w:rPr>
          <w:spacing w:val="-4"/>
          <w:sz w:val="28"/>
        </w:rPr>
        <w:t> </w:t>
      </w:r>
      <w:r>
        <w:rPr>
          <w:sz w:val="28"/>
        </w:rPr>
        <w:t>rights</w:t>
      </w:r>
      <w:r>
        <w:rPr>
          <w:spacing w:val="-4"/>
          <w:sz w:val="28"/>
        </w:rPr>
        <w:t> </w:t>
      </w:r>
      <w:r>
        <w:rPr>
          <w:sz w:val="28"/>
        </w:rPr>
        <w:t>and</w:t>
      </w:r>
      <w:r>
        <w:rPr>
          <w:spacing w:val="-5"/>
          <w:sz w:val="28"/>
        </w:rPr>
        <w:t> </w:t>
      </w:r>
      <w:r>
        <w:rPr>
          <w:sz w:val="28"/>
        </w:rPr>
        <w:t>equality</w:t>
      </w:r>
      <w:r>
        <w:rPr>
          <w:spacing w:val="-3"/>
          <w:sz w:val="28"/>
        </w:rPr>
        <w:t> </w:t>
      </w:r>
      <w:r>
        <w:rPr>
          <w:sz w:val="28"/>
        </w:rPr>
        <w:t>but</w:t>
      </w:r>
      <w:r>
        <w:rPr>
          <w:spacing w:val="-3"/>
          <w:sz w:val="28"/>
        </w:rPr>
        <w:t> </w:t>
      </w:r>
      <w:r>
        <w:rPr>
          <w:sz w:val="28"/>
        </w:rPr>
        <w:t>does</w:t>
      </w:r>
      <w:r>
        <w:rPr>
          <w:spacing w:val="-4"/>
          <w:sz w:val="28"/>
        </w:rPr>
        <w:t> </w:t>
      </w:r>
      <w:r>
        <w:rPr>
          <w:sz w:val="28"/>
        </w:rPr>
        <w:t>not</w:t>
      </w:r>
      <w:r>
        <w:rPr>
          <w:spacing w:val="-4"/>
          <w:sz w:val="28"/>
        </w:rPr>
        <w:t> </w:t>
      </w:r>
      <w:r>
        <w:rPr>
          <w:sz w:val="28"/>
        </w:rPr>
        <w:t>apply</w:t>
      </w:r>
      <w:r>
        <w:rPr>
          <w:spacing w:val="-3"/>
          <w:sz w:val="28"/>
        </w:rPr>
        <w:t> </w:t>
      </w:r>
      <w:r>
        <w:rPr>
          <w:spacing w:val="-5"/>
          <w:sz w:val="28"/>
        </w:rPr>
        <w:t>to</w:t>
      </w:r>
    </w:p>
    <w:p>
      <w:pPr>
        <w:pStyle w:val="BodyText"/>
        <w:spacing w:line="336" w:lineRule="exact"/>
        <w:ind w:left="1060"/>
      </w:pPr>
      <w:r>
        <w:rPr/>
        <w:t>Ireland</w:t>
      </w:r>
      <w:r>
        <w:rPr>
          <w:spacing w:val="-4"/>
        </w:rPr>
        <w:t> </w:t>
      </w:r>
      <w:r>
        <w:rPr/>
        <w:t>due</w:t>
      </w:r>
      <w:r>
        <w:rPr>
          <w:spacing w:val="-2"/>
        </w:rPr>
        <w:t> </w:t>
      </w:r>
      <w:r>
        <w:rPr/>
        <w:t>to</w:t>
      </w:r>
      <w:r>
        <w:rPr>
          <w:spacing w:val="-3"/>
        </w:rPr>
        <w:t> </w:t>
      </w:r>
      <w:r>
        <w:rPr/>
        <w:t>its</w:t>
      </w:r>
      <w:r>
        <w:rPr>
          <w:spacing w:val="-3"/>
        </w:rPr>
        <w:t> </w:t>
      </w:r>
      <w:r>
        <w:rPr/>
        <w:t>opt</w:t>
      </w:r>
      <w:r>
        <w:rPr>
          <w:spacing w:val="-2"/>
        </w:rPr>
        <w:t> </w:t>
      </w:r>
      <w:r>
        <w:rPr/>
        <w:t>out</w:t>
      </w:r>
      <w:r>
        <w:rPr>
          <w:spacing w:val="-2"/>
        </w:rPr>
        <w:t> </w:t>
      </w:r>
      <w:r>
        <w:rPr/>
        <w:t>in</w:t>
      </w:r>
      <w:r>
        <w:rPr>
          <w:spacing w:val="-3"/>
        </w:rPr>
        <w:t> </w:t>
      </w:r>
      <w:r>
        <w:rPr/>
        <w:t>the</w:t>
      </w:r>
      <w:r>
        <w:rPr>
          <w:spacing w:val="-2"/>
        </w:rPr>
        <w:t> </w:t>
      </w:r>
      <w:r>
        <w:rPr/>
        <w:t>area</w:t>
      </w:r>
      <w:r>
        <w:rPr>
          <w:spacing w:val="-3"/>
        </w:rPr>
        <w:t> </w:t>
      </w:r>
      <w:r>
        <w:rPr/>
        <w:t>of</w:t>
      </w:r>
      <w:r>
        <w:rPr>
          <w:spacing w:val="-3"/>
        </w:rPr>
        <w:t> </w:t>
      </w:r>
      <w:r>
        <w:rPr/>
        <w:t>freedom,</w:t>
      </w:r>
      <w:r>
        <w:rPr>
          <w:spacing w:val="-2"/>
        </w:rPr>
        <w:t> </w:t>
      </w:r>
      <w:r>
        <w:rPr/>
        <w:t>security</w:t>
      </w:r>
      <w:r>
        <w:rPr>
          <w:spacing w:val="-2"/>
        </w:rPr>
        <w:t> </w:t>
      </w:r>
      <w:r>
        <w:rPr/>
        <w:t>and</w:t>
      </w:r>
      <w:r>
        <w:rPr>
          <w:spacing w:val="-3"/>
        </w:rPr>
        <w:t> </w:t>
      </w:r>
      <w:r>
        <w:rPr>
          <w:spacing w:val="-2"/>
        </w:rPr>
        <w:t>justice.</w:t>
      </w:r>
      <w:r>
        <w:rPr>
          <w:spacing w:val="-2"/>
          <w:vertAlign w:val="superscript"/>
        </w:rPr>
        <w:t>427</w:t>
      </w:r>
    </w:p>
    <w:p>
      <w:pPr>
        <w:pStyle w:val="BodyText"/>
        <w:spacing w:line="232" w:lineRule="auto" w:before="280"/>
        <w:ind w:left="720" w:right="1087"/>
      </w:pPr>
      <w:r>
        <w:rPr/>
        <w:t>These</w:t>
      </w:r>
      <w:r>
        <w:rPr>
          <w:spacing w:val="-4"/>
        </w:rPr>
        <w:t> </w:t>
      </w:r>
      <w:r>
        <w:rPr/>
        <w:t>directives</w:t>
      </w:r>
      <w:r>
        <w:rPr>
          <w:spacing w:val="-5"/>
        </w:rPr>
        <w:t> </w:t>
      </w:r>
      <w:r>
        <w:rPr/>
        <w:t>will</w:t>
      </w:r>
      <w:r>
        <w:rPr>
          <w:spacing w:val="-5"/>
        </w:rPr>
        <w:t> </w:t>
      </w:r>
      <w:r>
        <w:rPr/>
        <w:t>not</w:t>
      </w:r>
      <w:r>
        <w:rPr>
          <w:spacing w:val="-4"/>
        </w:rPr>
        <w:t> </w:t>
      </w:r>
      <w:r>
        <w:rPr/>
        <w:t>be</w:t>
      </w:r>
      <w:r>
        <w:rPr>
          <w:spacing w:val="-4"/>
        </w:rPr>
        <w:t> </w:t>
      </w:r>
      <w:r>
        <w:rPr/>
        <w:t>discussed</w:t>
      </w:r>
      <w:r>
        <w:rPr>
          <w:spacing w:val="-5"/>
        </w:rPr>
        <w:t> </w:t>
      </w:r>
      <w:r>
        <w:rPr/>
        <w:t>in</w:t>
      </w:r>
      <w:r>
        <w:rPr>
          <w:spacing w:val="-5"/>
        </w:rPr>
        <w:t> </w:t>
      </w:r>
      <w:r>
        <w:rPr/>
        <w:t>the</w:t>
      </w:r>
      <w:r>
        <w:rPr>
          <w:spacing w:val="-4"/>
        </w:rPr>
        <w:t> </w:t>
      </w:r>
      <w:r>
        <w:rPr/>
        <w:t>report</w:t>
      </w:r>
      <w:r>
        <w:rPr>
          <w:spacing w:val="-4"/>
        </w:rPr>
        <w:t> </w:t>
      </w:r>
      <w:r>
        <w:rPr/>
        <w:t>but</w:t>
      </w:r>
      <w:r>
        <w:rPr>
          <w:spacing w:val="-4"/>
        </w:rPr>
        <w:t> </w:t>
      </w:r>
      <w:r>
        <w:rPr/>
        <w:t>can</w:t>
      </w:r>
      <w:r>
        <w:rPr>
          <w:spacing w:val="-5"/>
        </w:rPr>
        <w:t> </w:t>
      </w:r>
      <w:r>
        <w:rPr/>
        <w:t>be</w:t>
      </w:r>
      <w:r>
        <w:rPr>
          <w:spacing w:val="-4"/>
        </w:rPr>
        <w:t> </w:t>
      </w:r>
      <w:r>
        <w:rPr/>
        <w:t>identified</w:t>
      </w:r>
      <w:r>
        <w:rPr>
          <w:spacing w:val="-5"/>
        </w:rPr>
        <w:t> </w:t>
      </w:r>
      <w:r>
        <w:rPr/>
        <w:t>in</w:t>
      </w:r>
      <w:r>
        <w:rPr>
          <w:spacing w:val="-5"/>
        </w:rPr>
        <w:t> </w:t>
      </w:r>
      <w:r>
        <w:rPr/>
        <w:t>the mapping data in Appendix 2.</w:t>
      </w:r>
    </w:p>
    <w:p>
      <w:pPr>
        <w:pStyle w:val="BodyText"/>
        <w:spacing w:line="232" w:lineRule="auto" w:before="280"/>
        <w:ind w:left="720" w:right="1203"/>
      </w:pPr>
      <w:r>
        <w:rPr/>
        <w:t>Amongst the 52 EU directives adopted between 1 January 2022 and 31 August 2023, 15 EU Directives sufficiently relate to human rights and equality (and therefore potentially fall under the scope of the 1998 Agreement), justifying further discussion in this report. The themes most commonly touched upon are: the right to health, including the right to a healthy environment (6 EU directives); the right to privacy, including the right to data protection (4 EU directives – although one of them does not apply to Ireland); and the prohibition of gender discrimination</w:t>
      </w:r>
      <w:r>
        <w:rPr>
          <w:spacing w:val="-6"/>
        </w:rPr>
        <w:t> </w:t>
      </w:r>
      <w:r>
        <w:rPr/>
        <w:t>(2</w:t>
      </w:r>
      <w:r>
        <w:rPr>
          <w:spacing w:val="-5"/>
        </w:rPr>
        <w:t> </w:t>
      </w:r>
      <w:r>
        <w:rPr/>
        <w:t>EU</w:t>
      </w:r>
      <w:r>
        <w:rPr>
          <w:spacing w:val="-5"/>
        </w:rPr>
        <w:t> </w:t>
      </w:r>
      <w:r>
        <w:rPr/>
        <w:t>directives).</w:t>
      </w:r>
      <w:r>
        <w:rPr>
          <w:spacing w:val="-6"/>
        </w:rPr>
        <w:t> </w:t>
      </w:r>
      <w:r>
        <w:rPr/>
        <w:t>Other</w:t>
      </w:r>
      <w:r>
        <w:rPr>
          <w:spacing w:val="-5"/>
        </w:rPr>
        <w:t> </w:t>
      </w:r>
      <w:r>
        <w:rPr/>
        <w:t>themes</w:t>
      </w:r>
      <w:r>
        <w:rPr>
          <w:spacing w:val="-6"/>
        </w:rPr>
        <w:t> </w:t>
      </w:r>
      <w:r>
        <w:rPr/>
        <w:t>discussed</w:t>
      </w:r>
      <w:r>
        <w:rPr>
          <w:spacing w:val="-6"/>
        </w:rPr>
        <w:t> </w:t>
      </w:r>
      <w:r>
        <w:rPr/>
        <w:t>to</w:t>
      </w:r>
      <w:r>
        <w:rPr>
          <w:spacing w:val="-6"/>
        </w:rPr>
        <w:t> </w:t>
      </w:r>
      <w:r>
        <w:rPr/>
        <w:t>a</w:t>
      </w:r>
      <w:r>
        <w:rPr>
          <w:spacing w:val="-6"/>
        </w:rPr>
        <w:t> </w:t>
      </w:r>
      <w:r>
        <w:rPr/>
        <w:t>lesser</w:t>
      </w:r>
      <w:r>
        <w:rPr>
          <w:spacing w:val="-5"/>
        </w:rPr>
        <w:t> </w:t>
      </w:r>
      <w:r>
        <w:rPr/>
        <w:t>extent</w:t>
      </w:r>
      <w:r>
        <w:rPr>
          <w:spacing w:val="-5"/>
        </w:rPr>
        <w:t> </w:t>
      </w:r>
      <w:r>
        <w:rPr/>
        <w:t>include: general human rights protection (1 EU directive); human rights at work (1 EU directive)</w:t>
      </w:r>
      <w:r>
        <w:rPr>
          <w:spacing w:val="-5"/>
        </w:rPr>
        <w:t> </w:t>
      </w:r>
      <w:r>
        <w:rPr/>
        <w:t>and</w:t>
      </w:r>
      <w:r>
        <w:rPr>
          <w:spacing w:val="-5"/>
        </w:rPr>
        <w:t> </w:t>
      </w:r>
      <w:r>
        <w:rPr/>
        <w:t>the</w:t>
      </w:r>
      <w:r>
        <w:rPr>
          <w:spacing w:val="-4"/>
        </w:rPr>
        <w:t> </w:t>
      </w:r>
      <w:r>
        <w:rPr/>
        <w:t>right</w:t>
      </w:r>
      <w:r>
        <w:rPr>
          <w:spacing w:val="-4"/>
        </w:rPr>
        <w:t> </w:t>
      </w:r>
      <w:r>
        <w:rPr/>
        <w:t>to</w:t>
      </w:r>
      <w:r>
        <w:rPr>
          <w:spacing w:val="-5"/>
        </w:rPr>
        <w:t> </w:t>
      </w:r>
      <w:r>
        <w:rPr/>
        <w:t>an</w:t>
      </w:r>
      <w:r>
        <w:rPr>
          <w:spacing w:val="-5"/>
        </w:rPr>
        <w:t> </w:t>
      </w:r>
      <w:r>
        <w:rPr/>
        <w:t>adequate</w:t>
      </w:r>
      <w:r>
        <w:rPr>
          <w:spacing w:val="-4"/>
        </w:rPr>
        <w:t> </w:t>
      </w:r>
      <w:r>
        <w:rPr/>
        <w:t>standard</w:t>
      </w:r>
      <w:r>
        <w:rPr>
          <w:spacing w:val="-5"/>
        </w:rPr>
        <w:t> </w:t>
      </w:r>
      <w:r>
        <w:rPr/>
        <w:t>of</w:t>
      </w:r>
      <w:r>
        <w:rPr>
          <w:spacing w:val="-5"/>
        </w:rPr>
        <w:t> </w:t>
      </w:r>
      <w:r>
        <w:rPr/>
        <w:t>living</w:t>
      </w:r>
      <w:r>
        <w:rPr>
          <w:spacing w:val="-4"/>
        </w:rPr>
        <w:t> </w:t>
      </w:r>
      <w:r>
        <w:rPr/>
        <w:t>(1</w:t>
      </w:r>
      <w:r>
        <w:rPr>
          <w:spacing w:val="-4"/>
        </w:rPr>
        <w:t> </w:t>
      </w:r>
      <w:r>
        <w:rPr/>
        <w:t>EU</w:t>
      </w:r>
      <w:r>
        <w:rPr>
          <w:spacing w:val="-4"/>
        </w:rPr>
        <w:t> </w:t>
      </w:r>
      <w:r>
        <w:rPr/>
        <w:t>directive).</w:t>
      </w:r>
      <w:r>
        <w:rPr>
          <w:spacing w:val="-5"/>
        </w:rPr>
        <w:t> </w:t>
      </w:r>
      <w:r>
        <w:rPr/>
        <w:t>Some</w:t>
      </w:r>
      <w:r>
        <w:rPr>
          <w:spacing w:val="-4"/>
        </w:rPr>
        <w:t> </w:t>
      </w:r>
      <w:r>
        <w:rPr/>
        <w:t>EU directives are more technical than others and, therefore, will not be discussed at length in this report, although more details can be found in the mapping data in Appendix 2. Others, however, set more substantial requirements worth noting in this chapter.</w:t>
      </w:r>
    </w:p>
    <w:p>
      <w:pPr>
        <w:pStyle w:val="BodyText"/>
        <w:spacing w:line="232" w:lineRule="auto" w:before="262"/>
        <w:ind w:left="720" w:right="1819"/>
      </w:pPr>
      <w:r>
        <w:rPr/>
        <w:t>Furthermore,</w:t>
      </w:r>
      <w:r>
        <w:rPr>
          <w:spacing w:val="-5"/>
        </w:rPr>
        <w:t> </w:t>
      </w:r>
      <w:r>
        <w:rPr/>
        <w:t>amongst</w:t>
      </w:r>
      <w:r>
        <w:rPr>
          <w:spacing w:val="-5"/>
        </w:rPr>
        <w:t> </w:t>
      </w:r>
      <w:r>
        <w:rPr/>
        <w:t>the</w:t>
      </w:r>
      <w:r>
        <w:rPr>
          <w:spacing w:val="-5"/>
        </w:rPr>
        <w:t> </w:t>
      </w:r>
      <w:r>
        <w:rPr/>
        <w:t>15</w:t>
      </w:r>
      <w:r>
        <w:rPr>
          <w:spacing w:val="-5"/>
        </w:rPr>
        <w:t> </w:t>
      </w:r>
      <w:r>
        <w:rPr/>
        <w:t>EU</w:t>
      </w:r>
      <w:r>
        <w:rPr>
          <w:spacing w:val="-5"/>
        </w:rPr>
        <w:t> </w:t>
      </w:r>
      <w:r>
        <w:rPr/>
        <w:t>directives</w:t>
      </w:r>
      <w:r>
        <w:rPr>
          <w:spacing w:val="-6"/>
        </w:rPr>
        <w:t> </w:t>
      </w:r>
      <w:r>
        <w:rPr/>
        <w:t>adopted</w:t>
      </w:r>
      <w:r>
        <w:rPr>
          <w:spacing w:val="-6"/>
        </w:rPr>
        <w:t> </w:t>
      </w:r>
      <w:r>
        <w:rPr/>
        <w:t>between</w:t>
      </w:r>
      <w:r>
        <w:rPr>
          <w:spacing w:val="-6"/>
        </w:rPr>
        <w:t> </w:t>
      </w:r>
      <w:r>
        <w:rPr/>
        <w:t>1</w:t>
      </w:r>
      <w:r>
        <w:rPr>
          <w:spacing w:val="-5"/>
        </w:rPr>
        <w:t> </w:t>
      </w:r>
      <w:r>
        <w:rPr/>
        <w:t>January</w:t>
      </w:r>
      <w:r>
        <w:rPr>
          <w:spacing w:val="-5"/>
        </w:rPr>
        <w:t> </w:t>
      </w:r>
      <w:r>
        <w:rPr/>
        <w:t>2022 and 31 August 2023 that sufficiently relate to human rights and equality, three are especially relevant for issues of rights and equality.</w:t>
      </w:r>
      <w:r>
        <w:rPr>
          <w:spacing w:val="-25"/>
        </w:rPr>
        <w:t> </w:t>
      </w:r>
      <w:r>
        <w:rPr>
          <w:vertAlign w:val="superscript"/>
        </w:rPr>
        <w:t>428</w:t>
      </w:r>
    </w:p>
    <w:p>
      <w:pPr>
        <w:pStyle w:val="BodyText"/>
        <w:spacing w:before="7"/>
        <w:rPr>
          <w:sz w:val="7"/>
        </w:rPr>
      </w:pPr>
      <w:r>
        <w:rPr/>
        <mc:AlternateContent>
          <mc:Choice Requires="wps">
            <w:drawing>
              <wp:anchor distT="0" distB="0" distL="0" distR="0" allowOverlap="1" layoutInCell="1" locked="0" behindDoc="1" simplePos="0" relativeHeight="487717888">
                <wp:simplePos x="0" y="0"/>
                <wp:positionH relativeFrom="page">
                  <wp:posOffset>647999</wp:posOffset>
                </wp:positionH>
                <wp:positionV relativeFrom="paragraph">
                  <wp:posOffset>74197</wp:posOffset>
                </wp:positionV>
                <wp:extent cx="6012180" cy="1270"/>
                <wp:effectExtent l="0" t="0" r="0" b="0"/>
                <wp:wrapTopAndBottom/>
                <wp:docPr id="691" name="Graphic 691"/>
                <wp:cNvGraphicFramePr>
                  <a:graphicFrameLocks/>
                </wp:cNvGraphicFramePr>
                <a:graphic>
                  <a:graphicData uri="http://schemas.microsoft.com/office/word/2010/wordprocessingShape">
                    <wps:wsp>
                      <wps:cNvPr id="691" name="Graphic 69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5.842337pt;width:473.4pt;height:.1pt;mso-position-horizontal-relative:page;mso-position-vertical-relative:paragraph;z-index:-15598592;mso-wrap-distance-left:0;mso-wrap-distance-right:0" id="docshape561" coordorigin="1020,117" coordsize="9468,0" path="m1020,117l10488,117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438" w:hanging="567"/>
        <w:jc w:val="left"/>
        <w:rPr>
          <w:sz w:val="18"/>
        </w:rPr>
      </w:pPr>
      <w:r>
        <w:rPr>
          <w:color w:val="1D71B8"/>
          <w:sz w:val="18"/>
          <w:u w:val="single" w:color="1D71B8"/>
        </w:rPr>
        <w:t>EU</w:t>
      </w:r>
      <w:r>
        <w:rPr>
          <w:color w:val="1D71B8"/>
          <w:spacing w:val="-4"/>
          <w:sz w:val="18"/>
          <w:u w:val="single" w:color="1D71B8"/>
        </w:rPr>
        <w:t> </w:t>
      </w:r>
      <w:r>
        <w:rPr>
          <w:color w:val="1D71B8"/>
          <w:sz w:val="18"/>
          <w:u w:val="single" w:color="1D71B8"/>
        </w:rPr>
        <w:t>Directive</w:t>
      </w:r>
      <w:r>
        <w:rPr>
          <w:color w:val="1D71B8"/>
          <w:spacing w:val="-4"/>
          <w:sz w:val="18"/>
          <w:u w:val="single" w:color="1D71B8"/>
        </w:rPr>
        <w:t> </w:t>
      </w:r>
      <w:r>
        <w:rPr>
          <w:color w:val="1D71B8"/>
          <w:sz w:val="18"/>
          <w:u w:val="single" w:color="1D71B8"/>
        </w:rPr>
        <w:t>2022/228</w:t>
      </w:r>
      <w:r>
        <w:rPr>
          <w:color w:val="1D71B8"/>
          <w:spacing w:val="-5"/>
          <w:sz w:val="18"/>
          <w:u w:val="none"/>
        </w:rPr>
        <w:t> </w:t>
      </w:r>
      <w:r>
        <w:rPr>
          <w:sz w:val="18"/>
          <w:u w:val="none"/>
        </w:rPr>
        <w:t>amending</w:t>
      </w:r>
      <w:r>
        <w:rPr>
          <w:spacing w:val="-4"/>
          <w:sz w:val="18"/>
          <w:u w:val="none"/>
        </w:rPr>
        <w:t> </w:t>
      </w:r>
      <w:r>
        <w:rPr>
          <w:sz w:val="18"/>
          <w:u w:val="none"/>
        </w:rPr>
        <w:t>Directive</w:t>
      </w:r>
      <w:r>
        <w:rPr>
          <w:spacing w:val="-4"/>
          <w:sz w:val="18"/>
          <w:u w:val="none"/>
        </w:rPr>
        <w:t> </w:t>
      </w:r>
      <w:r>
        <w:rPr>
          <w:sz w:val="18"/>
          <w:u w:val="none"/>
        </w:rPr>
        <w:t>2014/41/EU,</w:t>
      </w:r>
      <w:r>
        <w:rPr>
          <w:spacing w:val="-4"/>
          <w:sz w:val="18"/>
          <w:u w:val="none"/>
        </w:rPr>
        <w:t> </w:t>
      </w:r>
      <w:r>
        <w:rPr>
          <w:sz w:val="18"/>
          <w:u w:val="none"/>
        </w:rPr>
        <w:t>as</w:t>
      </w:r>
      <w:r>
        <w:rPr>
          <w:spacing w:val="-5"/>
          <w:sz w:val="18"/>
          <w:u w:val="none"/>
        </w:rPr>
        <w:t> </w:t>
      </w:r>
      <w:r>
        <w:rPr>
          <w:sz w:val="18"/>
          <w:u w:val="none"/>
        </w:rPr>
        <w:t>regards</w:t>
      </w:r>
      <w:r>
        <w:rPr>
          <w:spacing w:val="-5"/>
          <w:sz w:val="18"/>
          <w:u w:val="none"/>
        </w:rPr>
        <w:t> </w:t>
      </w:r>
      <w:r>
        <w:rPr>
          <w:sz w:val="18"/>
          <w:u w:val="none"/>
        </w:rPr>
        <w:t>its</w:t>
      </w:r>
      <w:r>
        <w:rPr>
          <w:spacing w:val="-5"/>
          <w:sz w:val="18"/>
          <w:u w:val="none"/>
        </w:rPr>
        <w:t> </w:t>
      </w:r>
      <w:r>
        <w:rPr>
          <w:sz w:val="18"/>
          <w:u w:val="none"/>
        </w:rPr>
        <w:t>alignment</w:t>
      </w:r>
      <w:r>
        <w:rPr>
          <w:spacing w:val="-4"/>
          <w:sz w:val="18"/>
          <w:u w:val="none"/>
        </w:rPr>
        <w:t> </w:t>
      </w:r>
      <w:r>
        <w:rPr>
          <w:sz w:val="18"/>
          <w:u w:val="none"/>
        </w:rPr>
        <w:t>with</w:t>
      </w:r>
      <w:r>
        <w:rPr>
          <w:spacing w:val="-5"/>
          <w:sz w:val="18"/>
          <w:u w:val="none"/>
        </w:rPr>
        <w:t> </w:t>
      </w:r>
      <w:r>
        <w:rPr>
          <w:sz w:val="18"/>
          <w:u w:val="none"/>
        </w:rPr>
        <w:t>Union</w:t>
      </w:r>
      <w:r>
        <w:rPr>
          <w:spacing w:val="-5"/>
          <w:sz w:val="18"/>
          <w:u w:val="none"/>
        </w:rPr>
        <w:t> </w:t>
      </w:r>
      <w:r>
        <w:rPr>
          <w:sz w:val="18"/>
          <w:u w:val="none"/>
        </w:rPr>
        <w:t>rules</w:t>
      </w:r>
      <w:r>
        <w:rPr>
          <w:spacing w:val="-5"/>
          <w:sz w:val="18"/>
          <w:u w:val="none"/>
        </w:rPr>
        <w:t> </w:t>
      </w:r>
      <w:r>
        <w:rPr>
          <w:sz w:val="18"/>
          <w:u w:val="none"/>
        </w:rPr>
        <w:t>on</w:t>
      </w:r>
      <w:r>
        <w:rPr>
          <w:spacing w:val="-5"/>
          <w:sz w:val="18"/>
          <w:u w:val="none"/>
        </w:rPr>
        <w:t> </w:t>
      </w:r>
      <w:r>
        <w:rPr>
          <w:sz w:val="18"/>
          <w:u w:val="none"/>
        </w:rPr>
        <w:t>the</w:t>
      </w:r>
      <w:r>
        <w:rPr>
          <w:spacing w:val="-4"/>
          <w:sz w:val="18"/>
          <w:u w:val="none"/>
        </w:rPr>
        <w:t> </w:t>
      </w:r>
      <w:r>
        <w:rPr>
          <w:sz w:val="18"/>
          <w:u w:val="none"/>
        </w:rPr>
        <w:t>protection</w:t>
      </w:r>
      <w:r>
        <w:rPr>
          <w:spacing w:val="-5"/>
          <w:sz w:val="18"/>
          <w:u w:val="none"/>
        </w:rPr>
        <w:t> </w:t>
      </w:r>
      <w:r>
        <w:rPr>
          <w:sz w:val="18"/>
          <w:u w:val="none"/>
        </w:rPr>
        <w:t>of personal</w:t>
      </w:r>
      <w:r>
        <w:rPr>
          <w:spacing w:val="-2"/>
          <w:sz w:val="18"/>
          <w:u w:val="none"/>
        </w:rPr>
        <w:t> </w:t>
      </w:r>
      <w:r>
        <w:rPr>
          <w:sz w:val="18"/>
          <w:u w:val="none"/>
        </w:rPr>
        <w:t>data</w:t>
      </w:r>
    </w:p>
    <w:p>
      <w:pPr>
        <w:pStyle w:val="ListParagraph"/>
        <w:numPr>
          <w:ilvl w:val="0"/>
          <w:numId w:val="18"/>
        </w:numPr>
        <w:tabs>
          <w:tab w:pos="1287" w:val="left" w:leader="none"/>
        </w:tabs>
        <w:spacing w:line="240" w:lineRule="auto" w:before="1" w:after="0"/>
        <w:ind w:left="1287" w:right="1145" w:hanging="567"/>
        <w:jc w:val="left"/>
        <w:rPr>
          <w:sz w:val="18"/>
        </w:rPr>
      </w:pPr>
      <w:r>
        <w:rPr>
          <w:color w:val="1D71B8"/>
          <w:sz w:val="18"/>
          <w:u w:val="single" w:color="1D71B8"/>
        </w:rPr>
        <w:t>Council Directive 2004/113/EC</w:t>
      </w:r>
      <w:r>
        <w:rPr>
          <w:color w:val="1D71B8"/>
          <w:sz w:val="18"/>
          <w:u w:val="none"/>
        </w:rPr>
        <w:t> </w:t>
      </w:r>
      <w:r>
        <w:rPr>
          <w:sz w:val="18"/>
          <w:u w:val="none"/>
        </w:rPr>
        <w:t>of 13 December 2004 implementing the principle of equal treatment between men and women in the access to and supply of goods and services; </w:t>
      </w:r>
      <w:hyperlink r:id="rId121">
        <w:r>
          <w:rPr>
            <w:color w:val="1D71B8"/>
            <w:sz w:val="18"/>
            <w:u w:val="single" w:color="1D71B8"/>
          </w:rPr>
          <w:t>Directive 2006/54/EC</w:t>
        </w:r>
      </w:hyperlink>
      <w:r>
        <w:rPr>
          <w:color w:val="1D71B8"/>
          <w:sz w:val="18"/>
          <w:u w:val="none"/>
        </w:rPr>
        <w:t> </w:t>
      </w:r>
      <w:r>
        <w:rPr>
          <w:sz w:val="18"/>
          <w:u w:val="none"/>
        </w:rPr>
        <w:t>of the European Parliament and of the Council of 5 July 2006 on the implementation of the principle of equal opportunities and equal treatment of men and women in matters of employment and occupation; </w:t>
      </w:r>
      <w:r>
        <w:rPr>
          <w:color w:val="1D71B8"/>
          <w:sz w:val="18"/>
          <w:u w:val="single" w:color="1D71B8"/>
        </w:rPr>
        <w:t>Council Directive 2000/43/EC</w:t>
      </w:r>
      <w:r>
        <w:rPr>
          <w:color w:val="1D71B8"/>
          <w:sz w:val="18"/>
          <w:u w:val="none"/>
        </w:rPr>
        <w:t> </w:t>
      </w:r>
      <w:r>
        <w:rPr>
          <w:sz w:val="18"/>
          <w:u w:val="none"/>
        </w:rPr>
        <w:t>of 29 June 2000 implementing the principle of equal treatment between persons irrespective of racial or ethnic origin; </w:t>
      </w:r>
      <w:r>
        <w:rPr>
          <w:color w:val="1D71B8"/>
          <w:sz w:val="18"/>
          <w:u w:val="single" w:color="1D71B8"/>
        </w:rPr>
        <w:t>Council Directive 2000/78/EC</w:t>
      </w:r>
      <w:r>
        <w:rPr>
          <w:color w:val="1D71B8"/>
          <w:sz w:val="18"/>
          <w:u w:val="none"/>
        </w:rPr>
        <w:t> </w:t>
      </w:r>
      <w:r>
        <w:rPr>
          <w:sz w:val="18"/>
          <w:u w:val="none"/>
        </w:rPr>
        <w:t>of 27 November</w:t>
      </w:r>
      <w:r>
        <w:rPr>
          <w:spacing w:val="-5"/>
          <w:sz w:val="18"/>
          <w:u w:val="none"/>
        </w:rPr>
        <w:t> </w:t>
      </w:r>
      <w:r>
        <w:rPr>
          <w:sz w:val="18"/>
          <w:u w:val="none"/>
        </w:rPr>
        <w:t>2000</w:t>
      </w:r>
      <w:r>
        <w:rPr>
          <w:spacing w:val="-5"/>
          <w:sz w:val="18"/>
          <w:u w:val="none"/>
        </w:rPr>
        <w:t> </w:t>
      </w:r>
      <w:r>
        <w:rPr>
          <w:sz w:val="18"/>
          <w:u w:val="none"/>
        </w:rPr>
        <w:t>establishing</w:t>
      </w:r>
      <w:r>
        <w:rPr>
          <w:spacing w:val="-5"/>
          <w:sz w:val="18"/>
          <w:u w:val="none"/>
        </w:rPr>
        <w:t> </w:t>
      </w:r>
      <w:r>
        <w:rPr>
          <w:sz w:val="18"/>
          <w:u w:val="none"/>
        </w:rPr>
        <w:t>a</w:t>
      </w:r>
      <w:r>
        <w:rPr>
          <w:spacing w:val="-6"/>
          <w:sz w:val="18"/>
          <w:u w:val="none"/>
        </w:rPr>
        <w:t> </w:t>
      </w:r>
      <w:r>
        <w:rPr>
          <w:sz w:val="18"/>
          <w:u w:val="none"/>
        </w:rPr>
        <w:t>general</w:t>
      </w:r>
      <w:r>
        <w:rPr>
          <w:spacing w:val="-6"/>
          <w:sz w:val="18"/>
          <w:u w:val="none"/>
        </w:rPr>
        <w:t> </w:t>
      </w:r>
      <w:r>
        <w:rPr>
          <w:sz w:val="18"/>
          <w:u w:val="none"/>
        </w:rPr>
        <w:t>framework</w:t>
      </w:r>
      <w:r>
        <w:rPr>
          <w:spacing w:val="-5"/>
          <w:sz w:val="18"/>
          <w:u w:val="none"/>
        </w:rPr>
        <w:t> </w:t>
      </w:r>
      <w:r>
        <w:rPr>
          <w:sz w:val="18"/>
          <w:u w:val="none"/>
        </w:rPr>
        <w:t>for</w:t>
      </w:r>
      <w:r>
        <w:rPr>
          <w:spacing w:val="-5"/>
          <w:sz w:val="18"/>
          <w:u w:val="none"/>
        </w:rPr>
        <w:t> </w:t>
      </w:r>
      <w:r>
        <w:rPr>
          <w:sz w:val="18"/>
          <w:u w:val="none"/>
        </w:rPr>
        <w:t>equal</w:t>
      </w:r>
      <w:r>
        <w:rPr>
          <w:spacing w:val="-6"/>
          <w:sz w:val="18"/>
          <w:u w:val="none"/>
        </w:rPr>
        <w:t> </w:t>
      </w:r>
      <w:r>
        <w:rPr>
          <w:sz w:val="18"/>
          <w:u w:val="none"/>
        </w:rPr>
        <w:t>treatment</w:t>
      </w:r>
      <w:r>
        <w:rPr>
          <w:spacing w:val="-5"/>
          <w:sz w:val="18"/>
          <w:u w:val="none"/>
        </w:rPr>
        <w:t> </w:t>
      </w:r>
      <w:r>
        <w:rPr>
          <w:sz w:val="18"/>
          <w:u w:val="none"/>
        </w:rPr>
        <w:t>in</w:t>
      </w:r>
      <w:r>
        <w:rPr>
          <w:spacing w:val="-6"/>
          <w:sz w:val="18"/>
          <w:u w:val="none"/>
        </w:rPr>
        <w:t> </w:t>
      </w:r>
      <w:r>
        <w:rPr>
          <w:sz w:val="18"/>
          <w:u w:val="none"/>
        </w:rPr>
        <w:t>employment</w:t>
      </w:r>
      <w:r>
        <w:rPr>
          <w:spacing w:val="-5"/>
          <w:sz w:val="18"/>
          <w:u w:val="none"/>
        </w:rPr>
        <w:t> </w:t>
      </w:r>
      <w:r>
        <w:rPr>
          <w:sz w:val="18"/>
          <w:u w:val="none"/>
        </w:rPr>
        <w:t>and</w:t>
      </w:r>
      <w:r>
        <w:rPr>
          <w:spacing w:val="-6"/>
          <w:sz w:val="18"/>
          <w:u w:val="none"/>
        </w:rPr>
        <w:t> </w:t>
      </w:r>
      <w:r>
        <w:rPr>
          <w:sz w:val="18"/>
          <w:u w:val="none"/>
        </w:rPr>
        <w:t>occupation;</w:t>
      </w:r>
      <w:r>
        <w:rPr>
          <w:spacing w:val="-6"/>
          <w:sz w:val="18"/>
          <w:u w:val="none"/>
        </w:rPr>
        <w:t> </w:t>
      </w:r>
      <w:hyperlink r:id="rId122">
        <w:r>
          <w:rPr>
            <w:color w:val="1D71B8"/>
            <w:sz w:val="18"/>
            <w:u w:val="single" w:color="1D71B8"/>
          </w:rPr>
          <w:t>Directive</w:t>
        </w:r>
        <w:r>
          <w:rPr>
            <w:color w:val="1D71B8"/>
            <w:spacing w:val="-5"/>
            <w:sz w:val="18"/>
            <w:u w:val="single" w:color="1D71B8"/>
          </w:rPr>
          <w:t> </w:t>
        </w:r>
        <w:r>
          <w:rPr>
            <w:color w:val="1D71B8"/>
            <w:sz w:val="18"/>
            <w:u w:val="single" w:color="1D71B8"/>
          </w:rPr>
          <w:t>2010/41/</w:t>
        </w:r>
      </w:hyperlink>
      <w:r>
        <w:rPr>
          <w:color w:val="1D71B8"/>
          <w:sz w:val="18"/>
          <w:u w:val="none"/>
        </w:rPr>
        <w:t> </w:t>
      </w:r>
      <w:hyperlink r:id="rId122">
        <w:r>
          <w:rPr>
            <w:color w:val="1D71B8"/>
            <w:sz w:val="18"/>
            <w:u w:val="single" w:color="1D71B8"/>
          </w:rPr>
          <w:t>EU</w:t>
        </w:r>
      </w:hyperlink>
      <w:r>
        <w:rPr>
          <w:color w:val="1D71B8"/>
          <w:sz w:val="18"/>
          <w:u w:val="none"/>
        </w:rPr>
        <w:t> </w:t>
      </w:r>
      <w:r>
        <w:rPr>
          <w:sz w:val="18"/>
          <w:u w:val="none"/>
        </w:rPr>
        <w:t>of the European Parliament and of the Council of 7 July 2010 on the application of the principle of equal treatment between men and women engaged in an activity in a self-employed capacity and repealing Council Directive 86/613/</w:t>
      </w:r>
      <w:r>
        <w:rPr>
          <w:sz w:val="18"/>
          <w:u w:val="none"/>
        </w:rPr>
        <w:t> EEC5; </w:t>
      </w:r>
      <w:r>
        <w:rPr>
          <w:color w:val="1D71B8"/>
          <w:sz w:val="18"/>
          <w:u w:val="single" w:color="1D71B8"/>
        </w:rPr>
        <w:t>Council Directive 79/7/EEC</w:t>
      </w:r>
      <w:r>
        <w:rPr>
          <w:color w:val="1D71B8"/>
          <w:sz w:val="18"/>
          <w:u w:val="none"/>
        </w:rPr>
        <w:t> </w:t>
      </w:r>
      <w:r>
        <w:rPr>
          <w:sz w:val="18"/>
          <w:u w:val="none"/>
        </w:rPr>
        <w:t>of 19 December 1978 on the progressive implementation of the principle of equal treatment for men and women in matters of social security.</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36096">
                <wp:simplePos x="0" y="0"/>
                <wp:positionH relativeFrom="page">
                  <wp:posOffset>-2</wp:posOffset>
                </wp:positionH>
                <wp:positionV relativeFrom="page">
                  <wp:posOffset>0</wp:posOffset>
                </wp:positionV>
                <wp:extent cx="7560309" cy="1155065"/>
                <wp:effectExtent l="0" t="0" r="0" b="0"/>
                <wp:wrapNone/>
                <wp:docPr id="692" name="Group 692"/>
                <wp:cNvGraphicFramePr>
                  <a:graphicFrameLocks/>
                </wp:cNvGraphicFramePr>
                <a:graphic>
                  <a:graphicData uri="http://schemas.microsoft.com/office/word/2010/wordprocessingGroup">
                    <wpg:wgp>
                      <wpg:cNvPr id="692" name="Group 692"/>
                      <wpg:cNvGrpSpPr/>
                      <wpg:grpSpPr>
                        <a:xfrm>
                          <a:off x="0" y="0"/>
                          <a:ext cx="7560309" cy="1155065"/>
                          <a:chExt cx="7560309" cy="1155065"/>
                        </a:xfrm>
                      </wpg:grpSpPr>
                      <wps:wsp>
                        <wps:cNvPr id="693" name="Graphic 693"/>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694" name="Graphic 694"/>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80384" id="docshapegroup562" coordorigin="0,0" coordsize="11906,1819">
                <v:shape style="position:absolute;left:0;top:0;width:11906;height:1819" id="docshape563"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77</w:t>
      </w:r>
    </w:p>
    <w:p>
      <w:pPr>
        <w:pStyle w:val="BodyText"/>
        <w:rPr>
          <w:b/>
        </w:rPr>
      </w:pPr>
    </w:p>
    <w:p>
      <w:pPr>
        <w:pStyle w:val="BodyText"/>
        <w:spacing w:before="48"/>
        <w:rPr>
          <w:b/>
        </w:rPr>
      </w:pPr>
    </w:p>
    <w:p>
      <w:pPr>
        <w:pStyle w:val="BodyText"/>
        <w:spacing w:line="232" w:lineRule="auto"/>
        <w:ind w:left="1117" w:right="1087"/>
      </w:pPr>
      <w:r>
        <w:rPr/>
        <w:t>One of these amends an Annex 1 Directive and so triggers the keeping pace obligations;</w:t>
      </w:r>
      <w:r>
        <w:rPr>
          <w:spacing w:val="-7"/>
        </w:rPr>
        <w:t> </w:t>
      </w:r>
      <w:r>
        <w:rPr/>
        <w:t>the</w:t>
      </w:r>
      <w:r>
        <w:rPr>
          <w:spacing w:val="-7"/>
        </w:rPr>
        <w:t> </w:t>
      </w:r>
      <w:r>
        <w:rPr/>
        <w:t>other</w:t>
      </w:r>
      <w:r>
        <w:rPr>
          <w:spacing w:val="-7"/>
        </w:rPr>
        <w:t> </w:t>
      </w:r>
      <w:r>
        <w:rPr/>
        <w:t>two</w:t>
      </w:r>
      <w:r>
        <w:rPr>
          <w:spacing w:val="-8"/>
        </w:rPr>
        <w:t> </w:t>
      </w:r>
      <w:r>
        <w:rPr/>
        <w:t>have</w:t>
      </w:r>
      <w:r>
        <w:rPr>
          <w:spacing w:val="-7"/>
        </w:rPr>
        <w:t> </w:t>
      </w:r>
      <w:r>
        <w:rPr/>
        <w:t>significant</w:t>
      </w:r>
      <w:r>
        <w:rPr>
          <w:spacing w:val="-7"/>
        </w:rPr>
        <w:t> </w:t>
      </w:r>
      <w:r>
        <w:rPr/>
        <w:t>implications</w:t>
      </w:r>
      <w:r>
        <w:rPr>
          <w:spacing w:val="-8"/>
        </w:rPr>
        <w:t> </w:t>
      </w:r>
      <w:r>
        <w:rPr/>
        <w:t>for</w:t>
      </w:r>
      <w:r>
        <w:rPr>
          <w:spacing w:val="-7"/>
        </w:rPr>
        <w:t> </w:t>
      </w:r>
      <w:r>
        <w:rPr/>
        <w:t>human</w:t>
      </w:r>
      <w:r>
        <w:rPr>
          <w:spacing w:val="-8"/>
        </w:rPr>
        <w:t> </w:t>
      </w:r>
      <w:r>
        <w:rPr/>
        <w:t>rights</w:t>
      </w:r>
      <w:r>
        <w:rPr>
          <w:spacing w:val="-8"/>
        </w:rPr>
        <w:t> </w:t>
      </w:r>
      <w:r>
        <w:rPr/>
        <w:t>and equality issues. These three are:</w:t>
      </w:r>
    </w:p>
    <w:p>
      <w:pPr>
        <w:pStyle w:val="ListParagraph"/>
        <w:numPr>
          <w:ilvl w:val="4"/>
          <w:numId w:val="25"/>
        </w:numPr>
        <w:tabs>
          <w:tab w:pos="1457" w:val="left" w:leader="none"/>
        </w:tabs>
        <w:spacing w:line="232" w:lineRule="auto" w:before="265" w:after="0"/>
        <w:ind w:left="1457" w:right="1206" w:hanging="341"/>
        <w:jc w:val="left"/>
        <w:rPr>
          <w:sz w:val="28"/>
        </w:rPr>
      </w:pPr>
      <w:r>
        <w:rPr>
          <w:b/>
          <w:sz w:val="28"/>
        </w:rPr>
        <w:t>Pay Transparency Directive</w:t>
      </w:r>
      <w:r>
        <w:rPr>
          <w:sz w:val="28"/>
        </w:rPr>
        <w:t>: EU Directive 2023/970 to strengthen the application of the principle of equal pay for equal work or work of equal value</w:t>
      </w:r>
      <w:r>
        <w:rPr>
          <w:spacing w:val="-8"/>
          <w:sz w:val="28"/>
        </w:rPr>
        <w:t> </w:t>
      </w:r>
      <w:r>
        <w:rPr>
          <w:sz w:val="28"/>
        </w:rPr>
        <w:t>between</w:t>
      </w:r>
      <w:r>
        <w:rPr>
          <w:spacing w:val="-9"/>
          <w:sz w:val="28"/>
        </w:rPr>
        <w:t> </w:t>
      </w:r>
      <w:r>
        <w:rPr>
          <w:sz w:val="28"/>
        </w:rPr>
        <w:t>men</w:t>
      </w:r>
      <w:r>
        <w:rPr>
          <w:spacing w:val="-9"/>
          <w:sz w:val="28"/>
        </w:rPr>
        <w:t> </w:t>
      </w:r>
      <w:r>
        <w:rPr>
          <w:sz w:val="28"/>
        </w:rPr>
        <w:t>and</w:t>
      </w:r>
      <w:r>
        <w:rPr>
          <w:spacing w:val="-9"/>
          <w:sz w:val="28"/>
        </w:rPr>
        <w:t> </w:t>
      </w:r>
      <w:r>
        <w:rPr>
          <w:sz w:val="28"/>
        </w:rPr>
        <w:t>women</w:t>
      </w:r>
      <w:r>
        <w:rPr>
          <w:spacing w:val="-9"/>
          <w:sz w:val="28"/>
        </w:rPr>
        <w:t> </w:t>
      </w:r>
      <w:r>
        <w:rPr>
          <w:sz w:val="28"/>
        </w:rPr>
        <w:t>through</w:t>
      </w:r>
      <w:r>
        <w:rPr>
          <w:spacing w:val="-9"/>
          <w:sz w:val="28"/>
        </w:rPr>
        <w:t> </w:t>
      </w:r>
      <w:r>
        <w:rPr>
          <w:sz w:val="28"/>
        </w:rPr>
        <w:t>pay</w:t>
      </w:r>
      <w:r>
        <w:rPr>
          <w:spacing w:val="-8"/>
          <w:sz w:val="28"/>
        </w:rPr>
        <w:t> </w:t>
      </w:r>
      <w:r>
        <w:rPr>
          <w:sz w:val="28"/>
        </w:rPr>
        <w:t>transparency</w:t>
      </w:r>
      <w:r>
        <w:rPr>
          <w:spacing w:val="-8"/>
          <w:sz w:val="28"/>
        </w:rPr>
        <w:t> </w:t>
      </w:r>
      <w:r>
        <w:rPr>
          <w:sz w:val="28"/>
        </w:rPr>
        <w:t>and</w:t>
      </w:r>
      <w:r>
        <w:rPr>
          <w:spacing w:val="-9"/>
          <w:sz w:val="28"/>
        </w:rPr>
        <w:t> </w:t>
      </w:r>
      <w:r>
        <w:rPr>
          <w:sz w:val="28"/>
        </w:rPr>
        <w:t>enforcement</w:t>
      </w:r>
    </w:p>
    <w:p>
      <w:pPr>
        <w:pStyle w:val="BodyText"/>
        <w:spacing w:line="232" w:lineRule="auto"/>
        <w:ind w:left="1457" w:right="738"/>
      </w:pPr>
      <w:r>
        <w:rPr/>
        <w:t>mechanisms;</w:t>
      </w:r>
      <w:r>
        <w:rPr>
          <w:vertAlign w:val="superscript"/>
        </w:rPr>
        <w:t>429</w:t>
      </w:r>
      <w:r>
        <w:rPr>
          <w:spacing w:val="-7"/>
          <w:vertAlign w:val="baseline"/>
        </w:rPr>
        <w:t> </w:t>
      </w:r>
      <w:r>
        <w:rPr>
          <w:vertAlign w:val="baseline"/>
        </w:rPr>
        <w:t>The</w:t>
      </w:r>
      <w:r>
        <w:rPr>
          <w:spacing w:val="-6"/>
          <w:vertAlign w:val="baseline"/>
        </w:rPr>
        <w:t> </w:t>
      </w:r>
      <w:r>
        <w:rPr>
          <w:vertAlign w:val="baseline"/>
        </w:rPr>
        <w:t>Commissions</w:t>
      </w:r>
      <w:r>
        <w:rPr>
          <w:spacing w:val="-7"/>
          <w:vertAlign w:val="baseline"/>
        </w:rPr>
        <w:t> </w:t>
      </w:r>
      <w:r>
        <w:rPr>
          <w:vertAlign w:val="baseline"/>
        </w:rPr>
        <w:t>and</w:t>
      </w:r>
      <w:r>
        <w:rPr>
          <w:spacing w:val="-7"/>
          <w:vertAlign w:val="baseline"/>
        </w:rPr>
        <w:t> </w:t>
      </w:r>
      <w:r>
        <w:rPr>
          <w:vertAlign w:val="baseline"/>
        </w:rPr>
        <w:t>the</w:t>
      </w:r>
      <w:r>
        <w:rPr>
          <w:spacing w:val="-6"/>
          <w:vertAlign w:val="baseline"/>
        </w:rPr>
        <w:t> </w:t>
      </w:r>
      <w:r>
        <w:rPr>
          <w:vertAlign w:val="baseline"/>
        </w:rPr>
        <w:t>authors</w:t>
      </w:r>
      <w:r>
        <w:rPr>
          <w:spacing w:val="-7"/>
          <w:vertAlign w:val="baseline"/>
        </w:rPr>
        <w:t> </w:t>
      </w:r>
      <w:r>
        <w:rPr>
          <w:vertAlign w:val="baseline"/>
        </w:rPr>
        <w:t>of</w:t>
      </w:r>
      <w:r>
        <w:rPr>
          <w:spacing w:val="-7"/>
          <w:vertAlign w:val="baseline"/>
        </w:rPr>
        <w:t> </w:t>
      </w:r>
      <w:r>
        <w:rPr>
          <w:vertAlign w:val="baseline"/>
        </w:rPr>
        <w:t>this</w:t>
      </w:r>
      <w:r>
        <w:rPr>
          <w:spacing w:val="-7"/>
          <w:vertAlign w:val="baseline"/>
        </w:rPr>
        <w:t> </w:t>
      </w:r>
      <w:r>
        <w:rPr>
          <w:vertAlign w:val="baseline"/>
        </w:rPr>
        <w:t>paper</w:t>
      </w:r>
      <w:r>
        <w:rPr>
          <w:spacing w:val="-6"/>
          <w:vertAlign w:val="baseline"/>
        </w:rPr>
        <w:t> </w:t>
      </w:r>
      <w:r>
        <w:rPr>
          <w:vertAlign w:val="baseline"/>
        </w:rPr>
        <w:t>agree</w:t>
      </w:r>
      <w:r>
        <w:rPr>
          <w:spacing w:val="-6"/>
          <w:vertAlign w:val="baseline"/>
        </w:rPr>
        <w:t> </w:t>
      </w:r>
      <w:r>
        <w:rPr>
          <w:vertAlign w:val="baseline"/>
        </w:rPr>
        <w:t>that</w:t>
      </w:r>
      <w:r>
        <w:rPr>
          <w:spacing w:val="-6"/>
          <w:vertAlign w:val="baseline"/>
        </w:rPr>
        <w:t> </w:t>
      </w:r>
      <w:r>
        <w:rPr>
          <w:vertAlign w:val="baseline"/>
        </w:rPr>
        <w:t>the Pay Transparency Directive </w:t>
      </w:r>
      <w:r>
        <w:rPr>
          <w:u w:val="single"/>
          <w:vertAlign w:val="baseline"/>
        </w:rPr>
        <w:t>does </w:t>
      </w:r>
      <w:r>
        <w:rPr>
          <w:u w:val="none"/>
          <w:vertAlign w:val="baseline"/>
        </w:rPr>
        <w:t>amend Annex 1.</w:t>
      </w:r>
    </w:p>
    <w:p>
      <w:pPr>
        <w:pStyle w:val="ListParagraph"/>
        <w:numPr>
          <w:ilvl w:val="4"/>
          <w:numId w:val="25"/>
        </w:numPr>
        <w:tabs>
          <w:tab w:pos="1457" w:val="left" w:leader="none"/>
        </w:tabs>
        <w:spacing w:line="325" w:lineRule="exact" w:before="0" w:after="0"/>
        <w:ind w:left="1457" w:right="0" w:hanging="340"/>
        <w:jc w:val="left"/>
        <w:rPr>
          <w:sz w:val="28"/>
        </w:rPr>
      </w:pPr>
      <w:r>
        <w:rPr>
          <w:b/>
          <w:sz w:val="28"/>
        </w:rPr>
        <w:t>Gender</w:t>
      </w:r>
      <w:r>
        <w:rPr>
          <w:b/>
          <w:spacing w:val="-7"/>
          <w:sz w:val="28"/>
        </w:rPr>
        <w:t> </w:t>
      </w:r>
      <w:r>
        <w:rPr>
          <w:b/>
          <w:sz w:val="28"/>
        </w:rPr>
        <w:t>Balance</w:t>
      </w:r>
      <w:r>
        <w:rPr>
          <w:b/>
          <w:spacing w:val="-6"/>
          <w:sz w:val="28"/>
        </w:rPr>
        <w:t> </w:t>
      </w:r>
      <w:r>
        <w:rPr>
          <w:b/>
          <w:sz w:val="28"/>
        </w:rPr>
        <w:t>on</w:t>
      </w:r>
      <w:r>
        <w:rPr>
          <w:b/>
          <w:spacing w:val="-6"/>
          <w:sz w:val="28"/>
        </w:rPr>
        <w:t> </w:t>
      </w:r>
      <w:r>
        <w:rPr>
          <w:b/>
          <w:sz w:val="28"/>
        </w:rPr>
        <w:t>Boards</w:t>
      </w:r>
      <w:r>
        <w:rPr>
          <w:b/>
          <w:spacing w:val="-5"/>
          <w:sz w:val="28"/>
        </w:rPr>
        <w:t> </w:t>
      </w:r>
      <w:r>
        <w:rPr>
          <w:b/>
          <w:sz w:val="28"/>
        </w:rPr>
        <w:t>Directive</w:t>
      </w:r>
      <w:r>
        <w:rPr>
          <w:sz w:val="28"/>
        </w:rPr>
        <w:t>:</w:t>
      </w:r>
      <w:r>
        <w:rPr>
          <w:spacing w:val="-6"/>
          <w:sz w:val="28"/>
        </w:rPr>
        <w:t> </w:t>
      </w:r>
      <w:r>
        <w:rPr>
          <w:sz w:val="28"/>
        </w:rPr>
        <w:t>EU</w:t>
      </w:r>
      <w:r>
        <w:rPr>
          <w:spacing w:val="-5"/>
          <w:sz w:val="28"/>
        </w:rPr>
        <w:t> </w:t>
      </w:r>
      <w:r>
        <w:rPr>
          <w:sz w:val="28"/>
        </w:rPr>
        <w:t>Directive</w:t>
      </w:r>
      <w:r>
        <w:rPr>
          <w:spacing w:val="-6"/>
          <w:sz w:val="28"/>
        </w:rPr>
        <w:t> </w:t>
      </w:r>
      <w:r>
        <w:rPr>
          <w:sz w:val="28"/>
        </w:rPr>
        <w:t>2022/2381</w:t>
      </w:r>
      <w:r>
        <w:rPr>
          <w:spacing w:val="-6"/>
          <w:sz w:val="28"/>
        </w:rPr>
        <w:t> </w:t>
      </w:r>
      <w:r>
        <w:rPr>
          <w:sz w:val="28"/>
        </w:rPr>
        <w:t>on</w:t>
      </w:r>
      <w:r>
        <w:rPr>
          <w:spacing w:val="-6"/>
          <w:sz w:val="28"/>
        </w:rPr>
        <w:t> </w:t>
      </w:r>
      <w:r>
        <w:rPr>
          <w:sz w:val="28"/>
        </w:rPr>
        <w:t>improving</w:t>
      </w:r>
      <w:r>
        <w:rPr>
          <w:spacing w:val="-5"/>
          <w:sz w:val="28"/>
        </w:rPr>
        <w:t> the</w:t>
      </w:r>
    </w:p>
    <w:p>
      <w:pPr>
        <w:pStyle w:val="BodyText"/>
        <w:spacing w:line="323" w:lineRule="exact"/>
        <w:ind w:left="1457"/>
      </w:pPr>
      <w:r>
        <w:rPr/>
        <w:t>gender</w:t>
      </w:r>
      <w:r>
        <w:rPr>
          <w:spacing w:val="-8"/>
        </w:rPr>
        <w:t> </w:t>
      </w:r>
      <w:r>
        <w:rPr/>
        <w:t>balance</w:t>
      </w:r>
      <w:r>
        <w:rPr>
          <w:spacing w:val="-6"/>
        </w:rPr>
        <w:t> </w:t>
      </w:r>
      <w:r>
        <w:rPr/>
        <w:t>among</w:t>
      </w:r>
      <w:r>
        <w:rPr>
          <w:spacing w:val="-5"/>
        </w:rPr>
        <w:t> </w:t>
      </w:r>
      <w:r>
        <w:rPr/>
        <w:t>directors</w:t>
      </w:r>
      <w:r>
        <w:rPr>
          <w:spacing w:val="-7"/>
        </w:rPr>
        <w:t> </w:t>
      </w:r>
      <w:r>
        <w:rPr/>
        <w:t>of</w:t>
      </w:r>
      <w:r>
        <w:rPr>
          <w:spacing w:val="-6"/>
        </w:rPr>
        <w:t> </w:t>
      </w:r>
      <w:r>
        <w:rPr/>
        <w:t>listed</w:t>
      </w:r>
      <w:r>
        <w:rPr>
          <w:spacing w:val="-7"/>
        </w:rPr>
        <w:t> </w:t>
      </w:r>
      <w:r>
        <w:rPr/>
        <w:t>companies</w:t>
      </w:r>
      <w:r>
        <w:rPr>
          <w:spacing w:val="-6"/>
        </w:rPr>
        <w:t> </w:t>
      </w:r>
      <w:r>
        <w:rPr/>
        <w:t>and</w:t>
      </w:r>
      <w:r>
        <w:rPr>
          <w:spacing w:val="-7"/>
        </w:rPr>
        <w:t> </w:t>
      </w:r>
      <w:r>
        <w:rPr/>
        <w:t>related</w:t>
      </w:r>
      <w:r>
        <w:rPr>
          <w:spacing w:val="-6"/>
        </w:rPr>
        <w:t> </w:t>
      </w:r>
      <w:r>
        <w:rPr>
          <w:spacing w:val="-2"/>
        </w:rPr>
        <w:t>measures;</w:t>
      </w:r>
      <w:r>
        <w:rPr>
          <w:spacing w:val="-2"/>
          <w:vertAlign w:val="superscript"/>
        </w:rPr>
        <w:t>430</w:t>
      </w:r>
    </w:p>
    <w:p>
      <w:pPr>
        <w:pStyle w:val="ListParagraph"/>
        <w:numPr>
          <w:ilvl w:val="4"/>
          <w:numId w:val="25"/>
        </w:numPr>
        <w:tabs>
          <w:tab w:pos="1457" w:val="left" w:leader="none"/>
        </w:tabs>
        <w:spacing w:line="232" w:lineRule="auto" w:before="0" w:after="0"/>
        <w:ind w:left="1457" w:right="1274" w:hanging="341"/>
        <w:jc w:val="left"/>
        <w:rPr>
          <w:sz w:val="28"/>
        </w:rPr>
      </w:pPr>
      <w:r>
        <w:rPr>
          <w:b/>
          <w:sz w:val="28"/>
        </w:rPr>
        <w:t>Adequate</w:t>
      </w:r>
      <w:r>
        <w:rPr>
          <w:b/>
          <w:spacing w:val="-10"/>
          <w:sz w:val="28"/>
        </w:rPr>
        <w:t> </w:t>
      </w:r>
      <w:r>
        <w:rPr>
          <w:b/>
          <w:sz w:val="28"/>
        </w:rPr>
        <w:t>Minimum</w:t>
      </w:r>
      <w:r>
        <w:rPr>
          <w:b/>
          <w:spacing w:val="-10"/>
          <w:sz w:val="28"/>
        </w:rPr>
        <w:t> </w:t>
      </w:r>
      <w:r>
        <w:rPr>
          <w:b/>
          <w:sz w:val="28"/>
        </w:rPr>
        <w:t>Wages</w:t>
      </w:r>
      <w:r>
        <w:rPr>
          <w:b/>
          <w:spacing w:val="-9"/>
          <w:sz w:val="28"/>
        </w:rPr>
        <w:t> </w:t>
      </w:r>
      <w:r>
        <w:rPr>
          <w:b/>
          <w:sz w:val="28"/>
        </w:rPr>
        <w:t>Directive:</w:t>
      </w:r>
      <w:r>
        <w:rPr>
          <w:b/>
          <w:spacing w:val="-9"/>
          <w:sz w:val="28"/>
        </w:rPr>
        <w:t> </w:t>
      </w:r>
      <w:r>
        <w:rPr>
          <w:sz w:val="28"/>
        </w:rPr>
        <w:t>EU</w:t>
      </w:r>
      <w:r>
        <w:rPr>
          <w:spacing w:val="-9"/>
          <w:sz w:val="28"/>
        </w:rPr>
        <w:t> </w:t>
      </w:r>
      <w:r>
        <w:rPr>
          <w:sz w:val="28"/>
        </w:rPr>
        <w:t>Directive</w:t>
      </w:r>
      <w:r>
        <w:rPr>
          <w:spacing w:val="-9"/>
          <w:sz w:val="28"/>
        </w:rPr>
        <w:t> </w:t>
      </w:r>
      <w:r>
        <w:rPr>
          <w:sz w:val="28"/>
        </w:rPr>
        <w:t>2022/2041</w:t>
      </w:r>
      <w:r>
        <w:rPr>
          <w:spacing w:val="-9"/>
          <w:sz w:val="28"/>
        </w:rPr>
        <w:t> </w:t>
      </w:r>
      <w:r>
        <w:rPr>
          <w:sz w:val="28"/>
        </w:rPr>
        <w:t>on</w:t>
      </w:r>
      <w:r>
        <w:rPr>
          <w:spacing w:val="-10"/>
          <w:sz w:val="28"/>
        </w:rPr>
        <w:t> </w:t>
      </w:r>
      <w:r>
        <w:rPr>
          <w:sz w:val="28"/>
        </w:rPr>
        <w:t>adequate minimum wages in the European Union.</w:t>
      </w:r>
      <w:r>
        <w:rPr>
          <w:sz w:val="28"/>
          <w:vertAlign w:val="superscript"/>
        </w:rPr>
        <w:t>431</w:t>
      </w:r>
    </w:p>
    <w:p>
      <w:pPr>
        <w:pStyle w:val="BodyText"/>
        <w:spacing w:line="232" w:lineRule="auto" w:before="271"/>
        <w:ind w:left="1117" w:right="888"/>
      </w:pPr>
      <w:r>
        <w:rPr/>
        <w:t>Outside of the period of the mapping exercise, but prior to the finalisation of this report, two further key directives which amend or replace Annex 1 directives became law. These are the directives on equality bodies that relate to human rights</w:t>
      </w:r>
      <w:r>
        <w:rPr>
          <w:spacing w:val="-6"/>
        </w:rPr>
        <w:t> </w:t>
      </w:r>
      <w:r>
        <w:rPr/>
        <w:t>and</w:t>
      </w:r>
      <w:r>
        <w:rPr>
          <w:spacing w:val="-6"/>
        </w:rPr>
        <w:t> </w:t>
      </w:r>
      <w:r>
        <w:rPr/>
        <w:t>equality</w:t>
      </w:r>
      <w:r>
        <w:rPr>
          <w:spacing w:val="-5"/>
        </w:rPr>
        <w:t> </w:t>
      </w:r>
      <w:r>
        <w:rPr/>
        <w:t>amend</w:t>
      </w:r>
      <w:r>
        <w:rPr>
          <w:spacing w:val="-6"/>
        </w:rPr>
        <w:t> </w:t>
      </w:r>
      <w:r>
        <w:rPr/>
        <w:t>and/or</w:t>
      </w:r>
      <w:r>
        <w:rPr>
          <w:spacing w:val="-5"/>
        </w:rPr>
        <w:t> </w:t>
      </w:r>
      <w:r>
        <w:rPr/>
        <w:t>update</w:t>
      </w:r>
      <w:r>
        <w:rPr>
          <w:spacing w:val="-5"/>
        </w:rPr>
        <w:t> </w:t>
      </w:r>
      <w:r>
        <w:rPr/>
        <w:t>an</w:t>
      </w:r>
      <w:r>
        <w:rPr>
          <w:spacing w:val="-6"/>
        </w:rPr>
        <w:t> </w:t>
      </w:r>
      <w:r>
        <w:rPr/>
        <w:t>Annex</w:t>
      </w:r>
      <w:r>
        <w:rPr>
          <w:spacing w:val="-6"/>
        </w:rPr>
        <w:t> </w:t>
      </w:r>
      <w:r>
        <w:rPr/>
        <w:t>1</w:t>
      </w:r>
      <w:r>
        <w:rPr>
          <w:spacing w:val="-5"/>
        </w:rPr>
        <w:t> </w:t>
      </w:r>
      <w:r>
        <w:rPr/>
        <w:t>directive;</w:t>
      </w:r>
      <w:r>
        <w:rPr>
          <w:spacing w:val="-5"/>
        </w:rPr>
        <w:t> </w:t>
      </w:r>
      <w:r>
        <w:rPr/>
        <w:t>in</w:t>
      </w:r>
      <w:r>
        <w:rPr>
          <w:spacing w:val="-6"/>
        </w:rPr>
        <w:t> </w:t>
      </w:r>
      <w:r>
        <w:rPr/>
        <w:t>May</w:t>
      </w:r>
      <w:r>
        <w:rPr>
          <w:spacing w:val="-5"/>
        </w:rPr>
        <w:t> </w:t>
      </w:r>
      <w:r>
        <w:rPr/>
        <w:t>2024</w:t>
      </w:r>
      <w:r>
        <w:rPr>
          <w:spacing w:val="-5"/>
        </w:rPr>
        <w:t> </w:t>
      </w:r>
      <w:r>
        <w:rPr/>
        <w:t>these proposals became law:</w:t>
      </w:r>
    </w:p>
    <w:p>
      <w:pPr>
        <w:pStyle w:val="ListParagraph"/>
        <w:numPr>
          <w:ilvl w:val="4"/>
          <w:numId w:val="25"/>
        </w:numPr>
        <w:tabs>
          <w:tab w:pos="1457" w:val="left" w:leader="none"/>
        </w:tabs>
        <w:spacing w:line="232" w:lineRule="auto" w:before="262" w:after="0"/>
        <w:ind w:left="1457" w:right="1013" w:hanging="341"/>
        <w:jc w:val="left"/>
        <w:rPr>
          <w:sz w:val="28"/>
        </w:rPr>
      </w:pPr>
      <w:r>
        <w:rPr>
          <w:sz w:val="28"/>
        </w:rPr>
        <w:t>Directive</w:t>
      </w:r>
      <w:r>
        <w:rPr>
          <w:spacing w:val="-5"/>
          <w:sz w:val="28"/>
        </w:rPr>
        <w:t> </w:t>
      </w:r>
      <w:r>
        <w:rPr>
          <w:sz w:val="28"/>
        </w:rPr>
        <w:t>(EU)</w:t>
      </w:r>
      <w:r>
        <w:rPr>
          <w:spacing w:val="-6"/>
          <w:sz w:val="28"/>
        </w:rPr>
        <w:t> </w:t>
      </w:r>
      <w:r>
        <w:rPr>
          <w:sz w:val="28"/>
        </w:rPr>
        <w:t>2024/1500</w:t>
      </w:r>
      <w:r>
        <w:rPr>
          <w:spacing w:val="-5"/>
          <w:sz w:val="28"/>
        </w:rPr>
        <w:t> </w:t>
      </w:r>
      <w:r>
        <w:rPr>
          <w:sz w:val="28"/>
        </w:rPr>
        <w:t>on</w:t>
      </w:r>
      <w:r>
        <w:rPr>
          <w:spacing w:val="-6"/>
          <w:sz w:val="28"/>
        </w:rPr>
        <w:t> </w:t>
      </w:r>
      <w:r>
        <w:rPr>
          <w:sz w:val="28"/>
        </w:rPr>
        <w:t>standards</w:t>
      </w:r>
      <w:r>
        <w:rPr>
          <w:spacing w:val="-6"/>
          <w:sz w:val="28"/>
        </w:rPr>
        <w:t> </w:t>
      </w:r>
      <w:r>
        <w:rPr>
          <w:sz w:val="28"/>
        </w:rPr>
        <w:t>for</w:t>
      </w:r>
      <w:r>
        <w:rPr>
          <w:spacing w:val="-5"/>
          <w:sz w:val="28"/>
        </w:rPr>
        <w:t> </w:t>
      </w:r>
      <w:r>
        <w:rPr>
          <w:sz w:val="28"/>
        </w:rPr>
        <w:t>Equality</w:t>
      </w:r>
      <w:r>
        <w:rPr>
          <w:spacing w:val="-5"/>
          <w:sz w:val="28"/>
        </w:rPr>
        <w:t> </w:t>
      </w:r>
      <w:r>
        <w:rPr>
          <w:sz w:val="28"/>
        </w:rPr>
        <w:t>Bodies</w:t>
      </w:r>
      <w:r>
        <w:rPr>
          <w:spacing w:val="-6"/>
          <w:sz w:val="28"/>
        </w:rPr>
        <w:t> </w:t>
      </w:r>
      <w:r>
        <w:rPr>
          <w:sz w:val="28"/>
        </w:rPr>
        <w:t>in</w:t>
      </w:r>
      <w:r>
        <w:rPr>
          <w:spacing w:val="-6"/>
          <w:sz w:val="28"/>
        </w:rPr>
        <w:t> </w:t>
      </w:r>
      <w:r>
        <w:rPr>
          <w:sz w:val="28"/>
        </w:rPr>
        <w:t>the</w:t>
      </w:r>
      <w:r>
        <w:rPr>
          <w:spacing w:val="-5"/>
          <w:sz w:val="28"/>
        </w:rPr>
        <w:t> </w:t>
      </w:r>
      <w:r>
        <w:rPr>
          <w:sz w:val="28"/>
        </w:rPr>
        <w:t>field</w:t>
      </w:r>
      <w:r>
        <w:rPr>
          <w:spacing w:val="-6"/>
          <w:sz w:val="28"/>
        </w:rPr>
        <w:t> </w:t>
      </w:r>
      <w:r>
        <w:rPr>
          <w:sz w:val="28"/>
        </w:rPr>
        <w:t>of</w:t>
      </w:r>
      <w:r>
        <w:rPr>
          <w:spacing w:val="-6"/>
          <w:sz w:val="28"/>
        </w:rPr>
        <w:t> </w:t>
      </w:r>
      <w:r>
        <w:rPr>
          <w:sz w:val="28"/>
        </w:rPr>
        <w:t>equal treatment and equal opportunities between women and men in matters</w:t>
      </w:r>
    </w:p>
    <w:p>
      <w:pPr>
        <w:pStyle w:val="BodyText"/>
        <w:spacing w:line="232" w:lineRule="auto"/>
        <w:ind w:left="1457"/>
      </w:pPr>
      <w:r>
        <w:rPr/>
        <w:t>of</w:t>
      </w:r>
      <w:r>
        <w:rPr>
          <w:spacing w:val="-7"/>
        </w:rPr>
        <w:t> </w:t>
      </w:r>
      <w:r>
        <w:rPr/>
        <w:t>employment</w:t>
      </w:r>
      <w:r>
        <w:rPr>
          <w:spacing w:val="-7"/>
        </w:rPr>
        <w:t> </w:t>
      </w:r>
      <w:r>
        <w:rPr/>
        <w:t>and</w:t>
      </w:r>
      <w:r>
        <w:rPr>
          <w:spacing w:val="-7"/>
        </w:rPr>
        <w:t> </w:t>
      </w:r>
      <w:r>
        <w:rPr/>
        <w:t>occupation,</w:t>
      </w:r>
      <w:r>
        <w:rPr>
          <w:spacing w:val="-7"/>
        </w:rPr>
        <w:t> </w:t>
      </w:r>
      <w:r>
        <w:rPr/>
        <w:t>and</w:t>
      </w:r>
      <w:r>
        <w:rPr>
          <w:spacing w:val="-7"/>
        </w:rPr>
        <w:t> </w:t>
      </w:r>
      <w:r>
        <w:rPr/>
        <w:t>amending</w:t>
      </w:r>
      <w:r>
        <w:rPr>
          <w:spacing w:val="-7"/>
        </w:rPr>
        <w:t> </w:t>
      </w:r>
      <w:r>
        <w:rPr/>
        <w:t>Directives</w:t>
      </w:r>
      <w:r>
        <w:rPr>
          <w:spacing w:val="-7"/>
        </w:rPr>
        <w:t> </w:t>
      </w:r>
      <w:r>
        <w:rPr/>
        <w:t>2006/54/EC</w:t>
      </w:r>
      <w:r>
        <w:rPr>
          <w:spacing w:val="-7"/>
        </w:rPr>
        <w:t> </w:t>
      </w:r>
      <w:r>
        <w:rPr/>
        <w:t>and </w:t>
      </w:r>
      <w:r>
        <w:rPr>
          <w:spacing w:val="-2"/>
        </w:rPr>
        <w:t>2010/41/EU.</w:t>
      </w:r>
      <w:r>
        <w:rPr>
          <w:spacing w:val="-2"/>
          <w:vertAlign w:val="superscript"/>
        </w:rPr>
        <w:t>432</w:t>
      </w:r>
    </w:p>
    <w:p>
      <w:pPr>
        <w:pStyle w:val="ListParagraph"/>
        <w:numPr>
          <w:ilvl w:val="4"/>
          <w:numId w:val="25"/>
        </w:numPr>
        <w:tabs>
          <w:tab w:pos="1457" w:val="left" w:leader="none"/>
        </w:tabs>
        <w:spacing w:line="325" w:lineRule="exact" w:before="0" w:after="0"/>
        <w:ind w:left="1457" w:right="0" w:hanging="340"/>
        <w:jc w:val="left"/>
        <w:rPr>
          <w:sz w:val="28"/>
        </w:rPr>
      </w:pPr>
      <w:r>
        <w:rPr>
          <w:sz w:val="28"/>
        </w:rPr>
        <w:t>Directive</w:t>
      </w:r>
      <w:r>
        <w:rPr>
          <w:spacing w:val="-6"/>
          <w:sz w:val="28"/>
        </w:rPr>
        <w:t> </w:t>
      </w:r>
      <w:r>
        <w:rPr>
          <w:sz w:val="28"/>
        </w:rPr>
        <w:t>(EU)</w:t>
      </w:r>
      <w:r>
        <w:rPr>
          <w:spacing w:val="-6"/>
          <w:sz w:val="28"/>
        </w:rPr>
        <w:t> </w:t>
      </w:r>
      <w:r>
        <w:rPr>
          <w:sz w:val="28"/>
        </w:rPr>
        <w:t>2024/1499</w:t>
      </w:r>
      <w:r>
        <w:rPr>
          <w:spacing w:val="-5"/>
          <w:sz w:val="28"/>
        </w:rPr>
        <w:t> </w:t>
      </w:r>
      <w:r>
        <w:rPr>
          <w:sz w:val="28"/>
        </w:rPr>
        <w:t>on</w:t>
      </w:r>
      <w:r>
        <w:rPr>
          <w:spacing w:val="-6"/>
          <w:sz w:val="28"/>
        </w:rPr>
        <w:t> </w:t>
      </w:r>
      <w:r>
        <w:rPr>
          <w:sz w:val="28"/>
        </w:rPr>
        <w:t>standards</w:t>
      </w:r>
      <w:r>
        <w:rPr>
          <w:spacing w:val="-6"/>
          <w:sz w:val="28"/>
        </w:rPr>
        <w:t> </w:t>
      </w:r>
      <w:r>
        <w:rPr>
          <w:sz w:val="28"/>
        </w:rPr>
        <w:t>for</w:t>
      </w:r>
      <w:r>
        <w:rPr>
          <w:spacing w:val="-5"/>
          <w:sz w:val="28"/>
        </w:rPr>
        <w:t> </w:t>
      </w:r>
      <w:r>
        <w:rPr>
          <w:sz w:val="28"/>
        </w:rPr>
        <w:t>Equality</w:t>
      </w:r>
      <w:r>
        <w:rPr>
          <w:spacing w:val="-5"/>
          <w:sz w:val="28"/>
        </w:rPr>
        <w:t> </w:t>
      </w:r>
      <w:r>
        <w:rPr>
          <w:sz w:val="28"/>
        </w:rPr>
        <w:t>Bodies</w:t>
      </w:r>
      <w:r>
        <w:rPr>
          <w:spacing w:val="-6"/>
          <w:sz w:val="28"/>
        </w:rPr>
        <w:t> </w:t>
      </w:r>
      <w:r>
        <w:rPr>
          <w:sz w:val="28"/>
        </w:rPr>
        <w:t>in</w:t>
      </w:r>
      <w:r>
        <w:rPr>
          <w:spacing w:val="-6"/>
          <w:sz w:val="28"/>
        </w:rPr>
        <w:t> </w:t>
      </w:r>
      <w:r>
        <w:rPr>
          <w:sz w:val="28"/>
        </w:rPr>
        <w:t>the</w:t>
      </w:r>
      <w:r>
        <w:rPr>
          <w:spacing w:val="-5"/>
          <w:sz w:val="28"/>
        </w:rPr>
        <w:t> </w:t>
      </w:r>
      <w:r>
        <w:rPr>
          <w:sz w:val="28"/>
        </w:rPr>
        <w:t>field</w:t>
      </w:r>
      <w:r>
        <w:rPr>
          <w:spacing w:val="-6"/>
          <w:sz w:val="28"/>
        </w:rPr>
        <w:t> </w:t>
      </w:r>
      <w:r>
        <w:rPr>
          <w:spacing w:val="-5"/>
          <w:sz w:val="28"/>
        </w:rPr>
        <w:t>of</w:t>
      </w:r>
    </w:p>
    <w:p>
      <w:pPr>
        <w:pStyle w:val="BodyText"/>
        <w:spacing w:line="232" w:lineRule="auto"/>
        <w:ind w:left="1457" w:right="738"/>
      </w:pPr>
      <w:r>
        <w:rPr/>
        <w:t>equal treatment between persons irrespective of their racial or ethnic origin, equal treatment in the field of employment and occupation between persons irrespective</w:t>
      </w:r>
      <w:r>
        <w:rPr>
          <w:spacing w:val="-9"/>
        </w:rPr>
        <w:t> </w:t>
      </w:r>
      <w:r>
        <w:rPr/>
        <w:t>of</w:t>
      </w:r>
      <w:r>
        <w:rPr>
          <w:spacing w:val="-10"/>
        </w:rPr>
        <w:t> </w:t>
      </w:r>
      <w:r>
        <w:rPr/>
        <w:t>their</w:t>
      </w:r>
      <w:r>
        <w:rPr>
          <w:spacing w:val="-9"/>
        </w:rPr>
        <w:t> </w:t>
      </w:r>
      <w:r>
        <w:rPr/>
        <w:t>religion</w:t>
      </w:r>
      <w:r>
        <w:rPr>
          <w:spacing w:val="-10"/>
        </w:rPr>
        <w:t> </w:t>
      </w:r>
      <w:r>
        <w:rPr/>
        <w:t>or</w:t>
      </w:r>
      <w:r>
        <w:rPr>
          <w:spacing w:val="-9"/>
        </w:rPr>
        <w:t> </w:t>
      </w:r>
      <w:r>
        <w:rPr/>
        <w:t>belief,</w:t>
      </w:r>
      <w:r>
        <w:rPr>
          <w:spacing w:val="-9"/>
        </w:rPr>
        <w:t> </w:t>
      </w:r>
      <w:r>
        <w:rPr/>
        <w:t>disability,</w:t>
      </w:r>
      <w:r>
        <w:rPr>
          <w:spacing w:val="-10"/>
        </w:rPr>
        <w:t> </w:t>
      </w:r>
      <w:r>
        <w:rPr/>
        <w:t>age</w:t>
      </w:r>
      <w:r>
        <w:rPr>
          <w:spacing w:val="-9"/>
        </w:rPr>
        <w:t> </w:t>
      </w:r>
      <w:r>
        <w:rPr/>
        <w:t>or</w:t>
      </w:r>
      <w:r>
        <w:rPr>
          <w:spacing w:val="-9"/>
        </w:rPr>
        <w:t> </w:t>
      </w:r>
      <w:r>
        <w:rPr/>
        <w:t>sexual</w:t>
      </w:r>
      <w:r>
        <w:rPr>
          <w:spacing w:val="-10"/>
        </w:rPr>
        <w:t> </w:t>
      </w:r>
      <w:r>
        <w:rPr/>
        <w:t>orientation,</w:t>
      </w:r>
      <w:r>
        <w:rPr>
          <w:spacing w:val="-9"/>
        </w:rPr>
        <w:t> </w:t>
      </w:r>
      <w:r>
        <w:rPr/>
        <w:t>equal treatment between women and men in matters of social security and in the access to and supply of goods and services, and amending Directives 2000/43/ EC and 2004/113/EC.</w:t>
      </w:r>
      <w:r>
        <w:rPr>
          <w:vertAlign w:val="superscript"/>
        </w:rPr>
        <w:t>433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8"/>
        <w:rPr>
          <w:sz w:val="20"/>
        </w:rPr>
      </w:pPr>
      <w:r>
        <w:rPr/>
        <mc:AlternateContent>
          <mc:Choice Requires="wps">
            <w:drawing>
              <wp:anchor distT="0" distB="0" distL="0" distR="0" allowOverlap="1" layoutInCell="1" locked="0" behindDoc="1" simplePos="0" relativeHeight="487718912">
                <wp:simplePos x="0" y="0"/>
                <wp:positionH relativeFrom="page">
                  <wp:posOffset>899999</wp:posOffset>
                </wp:positionH>
                <wp:positionV relativeFrom="paragraph">
                  <wp:posOffset>290153</wp:posOffset>
                </wp:positionV>
                <wp:extent cx="6012180" cy="1270"/>
                <wp:effectExtent l="0" t="0" r="0" b="0"/>
                <wp:wrapTopAndBottom/>
                <wp:docPr id="695" name="Graphic 695"/>
                <wp:cNvGraphicFramePr>
                  <a:graphicFrameLocks/>
                </wp:cNvGraphicFramePr>
                <a:graphic>
                  <a:graphicData uri="http://schemas.microsoft.com/office/word/2010/wordprocessingShape">
                    <wps:wsp>
                      <wps:cNvPr id="695" name="Graphic 695"/>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2.846731pt;width:473.4pt;height:.1pt;mso-position-horizontal-relative:page;mso-position-vertical-relative:paragraph;z-index:-15597568;mso-wrap-distance-left:0;mso-wrap-distance-right:0" id="docshape564" coordorigin="1417,457" coordsize="9468,0" path="m1417,457l10885,457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968" w:hanging="567"/>
        <w:jc w:val="left"/>
        <w:rPr>
          <w:sz w:val="18"/>
        </w:rPr>
      </w:pPr>
      <w:hyperlink r:id="rId123">
        <w:r>
          <w:rPr>
            <w:color w:val="1D71B8"/>
            <w:sz w:val="18"/>
            <w:u w:val="single" w:color="1D71B8"/>
          </w:rPr>
          <w:t>EU</w:t>
        </w:r>
        <w:r>
          <w:rPr>
            <w:color w:val="1D71B8"/>
            <w:spacing w:val="-3"/>
            <w:sz w:val="18"/>
            <w:u w:val="single" w:color="1D71B8"/>
          </w:rPr>
          <w:t> </w:t>
        </w:r>
        <w:r>
          <w:rPr>
            <w:color w:val="1D71B8"/>
            <w:sz w:val="18"/>
            <w:u w:val="single" w:color="1D71B8"/>
          </w:rPr>
          <w:t>Directive</w:t>
        </w:r>
        <w:r>
          <w:rPr>
            <w:color w:val="1D71B8"/>
            <w:spacing w:val="-3"/>
            <w:sz w:val="18"/>
            <w:u w:val="single" w:color="1D71B8"/>
          </w:rPr>
          <w:t> </w:t>
        </w:r>
        <w:r>
          <w:rPr>
            <w:color w:val="1D71B8"/>
            <w:sz w:val="18"/>
            <w:u w:val="single" w:color="1D71B8"/>
          </w:rPr>
          <w:t>2023/970</w:t>
        </w:r>
      </w:hyperlink>
      <w:r>
        <w:rPr>
          <w:color w:val="1D71B8"/>
          <w:spacing w:val="-4"/>
          <w:sz w:val="18"/>
          <w:u w:val="none"/>
        </w:rPr>
        <w:t> </w:t>
      </w:r>
      <w:r>
        <w:rPr>
          <w:sz w:val="18"/>
          <w:u w:val="none"/>
        </w:rPr>
        <w:t>to</w:t>
      </w:r>
      <w:r>
        <w:rPr>
          <w:spacing w:val="-4"/>
          <w:sz w:val="18"/>
          <w:u w:val="none"/>
        </w:rPr>
        <w:t> </w:t>
      </w:r>
      <w:r>
        <w:rPr>
          <w:sz w:val="18"/>
          <w:u w:val="none"/>
        </w:rPr>
        <w:t>strengthen</w:t>
      </w:r>
      <w:r>
        <w:rPr>
          <w:spacing w:val="-4"/>
          <w:sz w:val="18"/>
          <w:u w:val="none"/>
        </w:rPr>
        <w:t> </w:t>
      </w:r>
      <w:r>
        <w:rPr>
          <w:sz w:val="18"/>
          <w:u w:val="none"/>
        </w:rPr>
        <w:t>the</w:t>
      </w:r>
      <w:r>
        <w:rPr>
          <w:spacing w:val="-3"/>
          <w:sz w:val="18"/>
          <w:u w:val="none"/>
        </w:rPr>
        <w:t> </w:t>
      </w:r>
      <w:r>
        <w:rPr>
          <w:sz w:val="18"/>
          <w:u w:val="none"/>
        </w:rPr>
        <w:t>application</w:t>
      </w:r>
      <w:r>
        <w:rPr>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principle</w:t>
      </w:r>
      <w:r>
        <w:rPr>
          <w:spacing w:val="-3"/>
          <w:sz w:val="18"/>
          <w:u w:val="none"/>
        </w:rPr>
        <w:t> </w:t>
      </w:r>
      <w:r>
        <w:rPr>
          <w:sz w:val="18"/>
          <w:u w:val="none"/>
        </w:rPr>
        <w:t>of</w:t>
      </w:r>
      <w:r>
        <w:rPr>
          <w:spacing w:val="-4"/>
          <w:sz w:val="18"/>
          <w:u w:val="none"/>
        </w:rPr>
        <w:t> </w:t>
      </w:r>
      <w:r>
        <w:rPr>
          <w:sz w:val="18"/>
          <w:u w:val="none"/>
        </w:rPr>
        <w:t>equal</w:t>
      </w:r>
      <w:r>
        <w:rPr>
          <w:spacing w:val="-4"/>
          <w:sz w:val="18"/>
          <w:u w:val="none"/>
        </w:rPr>
        <w:t> </w:t>
      </w:r>
      <w:r>
        <w:rPr>
          <w:sz w:val="18"/>
          <w:u w:val="none"/>
        </w:rPr>
        <w:t>pay</w:t>
      </w:r>
      <w:r>
        <w:rPr>
          <w:spacing w:val="-3"/>
          <w:sz w:val="18"/>
          <w:u w:val="none"/>
        </w:rPr>
        <w:t> </w:t>
      </w:r>
      <w:r>
        <w:rPr>
          <w:sz w:val="18"/>
          <w:u w:val="none"/>
        </w:rPr>
        <w:t>for</w:t>
      </w:r>
      <w:r>
        <w:rPr>
          <w:spacing w:val="-3"/>
          <w:sz w:val="18"/>
          <w:u w:val="none"/>
        </w:rPr>
        <w:t> </w:t>
      </w:r>
      <w:r>
        <w:rPr>
          <w:sz w:val="18"/>
          <w:u w:val="none"/>
        </w:rPr>
        <w:t>equal</w:t>
      </w:r>
      <w:r>
        <w:rPr>
          <w:spacing w:val="-4"/>
          <w:sz w:val="18"/>
          <w:u w:val="none"/>
        </w:rPr>
        <w:t> </w:t>
      </w:r>
      <w:r>
        <w:rPr>
          <w:sz w:val="18"/>
          <w:u w:val="none"/>
        </w:rPr>
        <w:t>work</w:t>
      </w:r>
      <w:r>
        <w:rPr>
          <w:spacing w:val="-3"/>
          <w:sz w:val="18"/>
          <w:u w:val="none"/>
        </w:rPr>
        <w:t> </w:t>
      </w:r>
      <w:r>
        <w:rPr>
          <w:sz w:val="18"/>
          <w:u w:val="none"/>
        </w:rPr>
        <w:t>or</w:t>
      </w:r>
      <w:r>
        <w:rPr>
          <w:spacing w:val="-3"/>
          <w:sz w:val="18"/>
          <w:u w:val="none"/>
        </w:rPr>
        <w:t> </w:t>
      </w:r>
      <w:r>
        <w:rPr>
          <w:sz w:val="18"/>
          <w:u w:val="none"/>
        </w:rPr>
        <w:t>work</w:t>
      </w:r>
      <w:r>
        <w:rPr>
          <w:spacing w:val="-3"/>
          <w:sz w:val="18"/>
          <w:u w:val="none"/>
        </w:rPr>
        <w:t> </w:t>
      </w:r>
      <w:r>
        <w:rPr>
          <w:sz w:val="18"/>
          <w:u w:val="none"/>
        </w:rPr>
        <w:t>of</w:t>
      </w:r>
      <w:r>
        <w:rPr>
          <w:spacing w:val="-4"/>
          <w:sz w:val="18"/>
          <w:u w:val="none"/>
        </w:rPr>
        <w:t> </w:t>
      </w:r>
      <w:r>
        <w:rPr>
          <w:sz w:val="18"/>
          <w:u w:val="none"/>
        </w:rPr>
        <w:t>equal</w:t>
      </w:r>
      <w:r>
        <w:rPr>
          <w:spacing w:val="-4"/>
          <w:sz w:val="18"/>
          <w:u w:val="none"/>
        </w:rPr>
        <w:t> </w:t>
      </w:r>
      <w:r>
        <w:rPr>
          <w:sz w:val="18"/>
          <w:u w:val="none"/>
        </w:rPr>
        <w:t>value between men and women through pay transparency and enforcement mechanisms.</w:t>
      </w:r>
    </w:p>
    <w:p>
      <w:pPr>
        <w:pStyle w:val="ListParagraph"/>
        <w:numPr>
          <w:ilvl w:val="0"/>
          <w:numId w:val="18"/>
        </w:numPr>
        <w:tabs>
          <w:tab w:pos="1684" w:val="left" w:leader="none"/>
        </w:tabs>
        <w:spacing w:line="240" w:lineRule="auto" w:before="1" w:after="0"/>
        <w:ind w:left="1684" w:right="0" w:hanging="567"/>
        <w:jc w:val="left"/>
        <w:rPr>
          <w:sz w:val="18"/>
        </w:rPr>
      </w:pPr>
      <w:hyperlink r:id="rId124">
        <w:r>
          <w:rPr>
            <w:color w:val="1D71B8"/>
            <w:sz w:val="18"/>
            <w:u w:val="single" w:color="1D71B8"/>
          </w:rPr>
          <w:t>EU</w:t>
        </w:r>
        <w:r>
          <w:rPr>
            <w:color w:val="1D71B8"/>
            <w:spacing w:val="-4"/>
            <w:sz w:val="18"/>
            <w:u w:val="single" w:color="1D71B8"/>
          </w:rPr>
          <w:t> </w:t>
        </w:r>
        <w:r>
          <w:rPr>
            <w:color w:val="1D71B8"/>
            <w:sz w:val="18"/>
            <w:u w:val="single" w:color="1D71B8"/>
          </w:rPr>
          <w:t>Directive</w:t>
        </w:r>
        <w:r>
          <w:rPr>
            <w:color w:val="1D71B8"/>
            <w:spacing w:val="-4"/>
            <w:sz w:val="18"/>
            <w:u w:val="single" w:color="1D71B8"/>
          </w:rPr>
          <w:t> </w:t>
        </w:r>
        <w:r>
          <w:rPr>
            <w:color w:val="1D71B8"/>
            <w:sz w:val="18"/>
            <w:u w:val="single" w:color="1D71B8"/>
          </w:rPr>
          <w:t>2022/2381</w:t>
        </w:r>
      </w:hyperlink>
      <w:r>
        <w:rPr>
          <w:color w:val="1D71B8"/>
          <w:spacing w:val="-4"/>
          <w:sz w:val="18"/>
          <w:u w:val="none"/>
        </w:rPr>
        <w:t> </w:t>
      </w:r>
      <w:r>
        <w:rPr>
          <w:sz w:val="18"/>
          <w:u w:val="none"/>
        </w:rPr>
        <w:t>on</w:t>
      </w:r>
      <w:r>
        <w:rPr>
          <w:spacing w:val="-4"/>
          <w:sz w:val="18"/>
          <w:u w:val="none"/>
        </w:rPr>
        <w:t> </w:t>
      </w:r>
      <w:r>
        <w:rPr>
          <w:sz w:val="18"/>
          <w:u w:val="none"/>
        </w:rPr>
        <w:t>improving</w:t>
      </w:r>
      <w:r>
        <w:rPr>
          <w:spacing w:val="-4"/>
          <w:sz w:val="18"/>
          <w:u w:val="none"/>
        </w:rPr>
        <w:t> </w:t>
      </w:r>
      <w:r>
        <w:rPr>
          <w:sz w:val="18"/>
          <w:u w:val="none"/>
        </w:rPr>
        <w:t>the</w:t>
      </w:r>
      <w:r>
        <w:rPr>
          <w:spacing w:val="-3"/>
          <w:sz w:val="18"/>
          <w:u w:val="none"/>
        </w:rPr>
        <w:t> </w:t>
      </w:r>
      <w:r>
        <w:rPr>
          <w:sz w:val="18"/>
          <w:u w:val="none"/>
        </w:rPr>
        <w:t>gender</w:t>
      </w:r>
      <w:r>
        <w:rPr>
          <w:spacing w:val="-4"/>
          <w:sz w:val="18"/>
          <w:u w:val="none"/>
        </w:rPr>
        <w:t> </w:t>
      </w:r>
      <w:r>
        <w:rPr>
          <w:sz w:val="18"/>
          <w:u w:val="none"/>
        </w:rPr>
        <w:t>balance</w:t>
      </w:r>
      <w:r>
        <w:rPr>
          <w:spacing w:val="-4"/>
          <w:sz w:val="18"/>
          <w:u w:val="none"/>
        </w:rPr>
        <w:t> </w:t>
      </w:r>
      <w:r>
        <w:rPr>
          <w:sz w:val="18"/>
          <w:u w:val="none"/>
        </w:rPr>
        <w:t>among</w:t>
      </w:r>
      <w:r>
        <w:rPr>
          <w:spacing w:val="-3"/>
          <w:sz w:val="18"/>
          <w:u w:val="none"/>
        </w:rPr>
        <w:t> </w:t>
      </w:r>
      <w:r>
        <w:rPr>
          <w:sz w:val="18"/>
          <w:u w:val="none"/>
        </w:rPr>
        <w:t>directors</w:t>
      </w:r>
      <w:r>
        <w:rPr>
          <w:spacing w:val="-5"/>
          <w:sz w:val="18"/>
          <w:u w:val="none"/>
        </w:rPr>
        <w:t> </w:t>
      </w:r>
      <w:r>
        <w:rPr>
          <w:sz w:val="18"/>
          <w:u w:val="none"/>
        </w:rPr>
        <w:t>of</w:t>
      </w:r>
      <w:r>
        <w:rPr>
          <w:spacing w:val="-5"/>
          <w:sz w:val="18"/>
          <w:u w:val="none"/>
        </w:rPr>
        <w:t> </w:t>
      </w:r>
      <w:r>
        <w:rPr>
          <w:sz w:val="18"/>
          <w:u w:val="none"/>
        </w:rPr>
        <w:t>listed</w:t>
      </w:r>
      <w:r>
        <w:rPr>
          <w:spacing w:val="-4"/>
          <w:sz w:val="18"/>
          <w:u w:val="none"/>
        </w:rPr>
        <w:t> </w:t>
      </w:r>
      <w:r>
        <w:rPr>
          <w:sz w:val="18"/>
          <w:u w:val="none"/>
        </w:rPr>
        <w:t>companies</w:t>
      </w:r>
      <w:r>
        <w:rPr>
          <w:spacing w:val="-4"/>
          <w:sz w:val="18"/>
          <w:u w:val="none"/>
        </w:rPr>
        <w:t> </w:t>
      </w:r>
      <w:r>
        <w:rPr>
          <w:sz w:val="18"/>
          <w:u w:val="none"/>
        </w:rPr>
        <w:t>and</w:t>
      </w:r>
      <w:r>
        <w:rPr>
          <w:spacing w:val="-4"/>
          <w:sz w:val="18"/>
          <w:u w:val="none"/>
        </w:rPr>
        <w:t> </w:t>
      </w:r>
      <w:r>
        <w:rPr>
          <w:sz w:val="18"/>
          <w:u w:val="none"/>
        </w:rPr>
        <w:t>related</w:t>
      </w:r>
      <w:r>
        <w:rPr>
          <w:spacing w:val="-5"/>
          <w:sz w:val="18"/>
          <w:u w:val="none"/>
        </w:rPr>
        <w:t> </w:t>
      </w:r>
      <w:r>
        <w:rPr>
          <w:spacing w:val="-2"/>
          <w:sz w:val="18"/>
          <w:u w:val="none"/>
        </w:rPr>
        <w:t>measures.</w:t>
      </w:r>
    </w:p>
    <w:p>
      <w:pPr>
        <w:pStyle w:val="ListParagraph"/>
        <w:numPr>
          <w:ilvl w:val="0"/>
          <w:numId w:val="18"/>
        </w:numPr>
        <w:tabs>
          <w:tab w:pos="1684" w:val="left" w:leader="none"/>
        </w:tabs>
        <w:spacing w:line="240" w:lineRule="auto" w:before="0" w:after="0"/>
        <w:ind w:left="1684" w:right="0" w:hanging="567"/>
        <w:jc w:val="left"/>
        <w:rPr>
          <w:sz w:val="18"/>
        </w:rPr>
      </w:pPr>
      <w:hyperlink r:id="rId125">
        <w:r>
          <w:rPr>
            <w:color w:val="1D71B8"/>
            <w:sz w:val="18"/>
            <w:u w:val="single" w:color="1D71B8"/>
          </w:rPr>
          <w:t>EU</w:t>
        </w:r>
        <w:r>
          <w:rPr>
            <w:color w:val="1D71B8"/>
            <w:spacing w:val="-3"/>
            <w:sz w:val="18"/>
            <w:u w:val="single" w:color="1D71B8"/>
          </w:rPr>
          <w:t> </w:t>
        </w:r>
        <w:r>
          <w:rPr>
            <w:color w:val="1D71B8"/>
            <w:sz w:val="18"/>
            <w:u w:val="single" w:color="1D71B8"/>
          </w:rPr>
          <w:t>Directive</w:t>
        </w:r>
        <w:r>
          <w:rPr>
            <w:color w:val="1D71B8"/>
            <w:spacing w:val="-3"/>
            <w:sz w:val="18"/>
            <w:u w:val="single" w:color="1D71B8"/>
          </w:rPr>
          <w:t> </w:t>
        </w:r>
        <w:r>
          <w:rPr>
            <w:color w:val="1D71B8"/>
            <w:sz w:val="18"/>
            <w:u w:val="single" w:color="1D71B8"/>
          </w:rPr>
          <w:t>2022/2041</w:t>
        </w:r>
      </w:hyperlink>
      <w:r>
        <w:rPr>
          <w:color w:val="1D71B8"/>
          <w:spacing w:val="-4"/>
          <w:sz w:val="18"/>
          <w:u w:val="none"/>
        </w:rPr>
        <w:t> </w:t>
      </w:r>
      <w:r>
        <w:rPr>
          <w:sz w:val="18"/>
          <w:u w:val="none"/>
        </w:rPr>
        <w:t>on</w:t>
      </w:r>
      <w:r>
        <w:rPr>
          <w:spacing w:val="-3"/>
          <w:sz w:val="18"/>
          <w:u w:val="none"/>
        </w:rPr>
        <w:t> </w:t>
      </w:r>
      <w:r>
        <w:rPr>
          <w:sz w:val="18"/>
          <w:u w:val="none"/>
        </w:rPr>
        <w:t>adequate</w:t>
      </w:r>
      <w:r>
        <w:rPr>
          <w:spacing w:val="-2"/>
          <w:sz w:val="18"/>
          <w:u w:val="none"/>
        </w:rPr>
        <w:t> </w:t>
      </w:r>
      <w:r>
        <w:rPr>
          <w:sz w:val="18"/>
          <w:u w:val="none"/>
        </w:rPr>
        <w:t>minimum</w:t>
      </w:r>
      <w:r>
        <w:rPr>
          <w:spacing w:val="-3"/>
          <w:sz w:val="18"/>
          <w:u w:val="none"/>
        </w:rPr>
        <w:t> </w:t>
      </w:r>
      <w:r>
        <w:rPr>
          <w:sz w:val="18"/>
          <w:u w:val="none"/>
        </w:rPr>
        <w:t>wages</w:t>
      </w:r>
      <w:r>
        <w:rPr>
          <w:spacing w:val="-4"/>
          <w:sz w:val="18"/>
          <w:u w:val="none"/>
        </w:rPr>
        <w:t> </w:t>
      </w:r>
      <w:r>
        <w:rPr>
          <w:sz w:val="18"/>
          <w:u w:val="none"/>
        </w:rPr>
        <w:t>in</w:t>
      </w:r>
      <w:r>
        <w:rPr>
          <w:spacing w:val="-3"/>
          <w:sz w:val="18"/>
          <w:u w:val="none"/>
        </w:rPr>
        <w:t> </w:t>
      </w:r>
      <w:r>
        <w:rPr>
          <w:sz w:val="18"/>
          <w:u w:val="none"/>
        </w:rPr>
        <w:t>the</w:t>
      </w:r>
      <w:r>
        <w:rPr>
          <w:spacing w:val="-3"/>
          <w:sz w:val="18"/>
          <w:u w:val="none"/>
        </w:rPr>
        <w:t> </w:t>
      </w:r>
      <w:r>
        <w:rPr>
          <w:sz w:val="18"/>
          <w:u w:val="none"/>
        </w:rPr>
        <w:t>European</w:t>
      </w:r>
      <w:r>
        <w:rPr>
          <w:spacing w:val="-4"/>
          <w:sz w:val="18"/>
          <w:u w:val="none"/>
        </w:rPr>
        <w:t> </w:t>
      </w:r>
      <w:r>
        <w:rPr>
          <w:spacing w:val="-2"/>
          <w:sz w:val="18"/>
          <w:u w:val="none"/>
        </w:rPr>
        <w:t>Union.</w:t>
      </w:r>
    </w:p>
    <w:p>
      <w:pPr>
        <w:pStyle w:val="ListParagraph"/>
        <w:numPr>
          <w:ilvl w:val="0"/>
          <w:numId w:val="18"/>
        </w:numPr>
        <w:tabs>
          <w:tab w:pos="1684" w:val="left" w:leader="none"/>
        </w:tabs>
        <w:spacing w:line="240" w:lineRule="auto" w:before="0" w:after="0"/>
        <w:ind w:left="1684" w:right="775" w:hanging="567"/>
        <w:jc w:val="left"/>
        <w:rPr>
          <w:sz w:val="18"/>
        </w:rPr>
      </w:pPr>
      <w:r>
        <w:rPr>
          <w:color w:val="1D71B8"/>
          <w:sz w:val="18"/>
          <w:u w:val="single" w:color="1D71B8"/>
        </w:rPr>
        <w:t>Directive</w:t>
      </w:r>
      <w:r>
        <w:rPr>
          <w:color w:val="1D71B8"/>
          <w:spacing w:val="-9"/>
          <w:sz w:val="18"/>
          <w:u w:val="single" w:color="1D71B8"/>
        </w:rPr>
        <w:t> </w:t>
      </w:r>
      <w:r>
        <w:rPr>
          <w:color w:val="1D71B8"/>
          <w:sz w:val="18"/>
          <w:u w:val="single" w:color="1D71B8"/>
        </w:rPr>
        <w:t>(EU)</w:t>
      </w:r>
      <w:r>
        <w:rPr>
          <w:color w:val="1D71B8"/>
          <w:spacing w:val="-9"/>
          <w:sz w:val="18"/>
          <w:u w:val="single" w:color="1D71B8"/>
        </w:rPr>
        <w:t> </w:t>
      </w:r>
      <w:r>
        <w:rPr>
          <w:color w:val="1D71B8"/>
          <w:sz w:val="18"/>
          <w:u w:val="single" w:color="1D71B8"/>
        </w:rPr>
        <w:t>2024/1500</w:t>
      </w:r>
      <w:r>
        <w:rPr>
          <w:color w:val="1D71B8"/>
          <w:spacing w:val="-9"/>
          <w:sz w:val="18"/>
          <w:u w:val="none"/>
        </w:rPr>
        <w:t> </w:t>
      </w:r>
      <w:r>
        <w:rPr>
          <w:sz w:val="18"/>
          <w:u w:val="none"/>
        </w:rPr>
        <w:t>on</w:t>
      </w:r>
      <w:r>
        <w:rPr>
          <w:spacing w:val="-9"/>
          <w:sz w:val="18"/>
          <w:u w:val="none"/>
        </w:rPr>
        <w:t> </w:t>
      </w:r>
      <w:r>
        <w:rPr>
          <w:sz w:val="18"/>
          <w:u w:val="none"/>
        </w:rPr>
        <w:t>standards</w:t>
      </w:r>
      <w:r>
        <w:rPr>
          <w:spacing w:val="-9"/>
          <w:sz w:val="18"/>
          <w:u w:val="none"/>
        </w:rPr>
        <w:t> </w:t>
      </w:r>
      <w:r>
        <w:rPr>
          <w:sz w:val="18"/>
          <w:u w:val="none"/>
        </w:rPr>
        <w:t>for</w:t>
      </w:r>
      <w:r>
        <w:rPr>
          <w:spacing w:val="-9"/>
          <w:sz w:val="18"/>
          <w:u w:val="none"/>
        </w:rPr>
        <w:t> </w:t>
      </w:r>
      <w:r>
        <w:rPr>
          <w:sz w:val="18"/>
          <w:u w:val="none"/>
        </w:rPr>
        <w:t>Equality</w:t>
      </w:r>
      <w:r>
        <w:rPr>
          <w:spacing w:val="-9"/>
          <w:sz w:val="18"/>
          <w:u w:val="none"/>
        </w:rPr>
        <w:t> </w:t>
      </w:r>
      <w:r>
        <w:rPr>
          <w:sz w:val="18"/>
          <w:u w:val="none"/>
        </w:rPr>
        <w:t>Bodies</w:t>
      </w:r>
      <w:r>
        <w:rPr>
          <w:spacing w:val="-9"/>
          <w:sz w:val="18"/>
          <w:u w:val="none"/>
        </w:rPr>
        <w:t> </w:t>
      </w:r>
      <w:r>
        <w:rPr>
          <w:sz w:val="18"/>
          <w:u w:val="none"/>
        </w:rPr>
        <w:t>in</w:t>
      </w:r>
      <w:r>
        <w:rPr>
          <w:spacing w:val="-9"/>
          <w:sz w:val="18"/>
          <w:u w:val="none"/>
        </w:rPr>
        <w:t> </w:t>
      </w:r>
      <w:r>
        <w:rPr>
          <w:sz w:val="18"/>
          <w:u w:val="none"/>
        </w:rPr>
        <w:t>the</w:t>
      </w:r>
      <w:r>
        <w:rPr>
          <w:spacing w:val="-9"/>
          <w:sz w:val="18"/>
          <w:u w:val="none"/>
        </w:rPr>
        <w:t> </w:t>
      </w:r>
      <w:r>
        <w:rPr>
          <w:sz w:val="18"/>
          <w:u w:val="none"/>
        </w:rPr>
        <w:t>field</w:t>
      </w:r>
      <w:r>
        <w:rPr>
          <w:spacing w:val="-9"/>
          <w:sz w:val="18"/>
          <w:u w:val="none"/>
        </w:rPr>
        <w:t> </w:t>
      </w:r>
      <w:r>
        <w:rPr>
          <w:sz w:val="18"/>
          <w:u w:val="none"/>
        </w:rPr>
        <w:t>of</w:t>
      </w:r>
      <w:r>
        <w:rPr>
          <w:spacing w:val="-9"/>
          <w:sz w:val="18"/>
          <w:u w:val="none"/>
        </w:rPr>
        <w:t> </w:t>
      </w:r>
      <w:r>
        <w:rPr>
          <w:sz w:val="18"/>
          <w:u w:val="none"/>
        </w:rPr>
        <w:t>equal</w:t>
      </w:r>
      <w:r>
        <w:rPr>
          <w:spacing w:val="-9"/>
          <w:sz w:val="18"/>
          <w:u w:val="none"/>
        </w:rPr>
        <w:t> </w:t>
      </w:r>
      <w:r>
        <w:rPr>
          <w:sz w:val="18"/>
          <w:u w:val="none"/>
        </w:rPr>
        <w:t>treatment</w:t>
      </w:r>
      <w:r>
        <w:rPr>
          <w:spacing w:val="-9"/>
          <w:sz w:val="18"/>
          <w:u w:val="none"/>
        </w:rPr>
        <w:t> </w:t>
      </w:r>
      <w:r>
        <w:rPr>
          <w:sz w:val="18"/>
          <w:u w:val="none"/>
        </w:rPr>
        <w:t>and</w:t>
      </w:r>
      <w:r>
        <w:rPr>
          <w:spacing w:val="-9"/>
          <w:sz w:val="18"/>
          <w:u w:val="none"/>
        </w:rPr>
        <w:t> </w:t>
      </w:r>
      <w:r>
        <w:rPr>
          <w:sz w:val="18"/>
          <w:u w:val="none"/>
        </w:rPr>
        <w:t>equal</w:t>
      </w:r>
      <w:r>
        <w:rPr>
          <w:spacing w:val="-9"/>
          <w:sz w:val="18"/>
          <w:u w:val="none"/>
        </w:rPr>
        <w:t> </w:t>
      </w:r>
      <w:r>
        <w:rPr>
          <w:sz w:val="18"/>
          <w:u w:val="none"/>
        </w:rPr>
        <w:t>opportunities</w:t>
      </w:r>
      <w:r>
        <w:rPr>
          <w:spacing w:val="-9"/>
          <w:sz w:val="18"/>
          <w:u w:val="none"/>
        </w:rPr>
        <w:t> </w:t>
      </w:r>
      <w:r>
        <w:rPr>
          <w:sz w:val="18"/>
          <w:u w:val="none"/>
        </w:rPr>
        <w:t>between women and men in matters of employment and occupation, and amending Directives 2006/54/EC and 2010/41/EU.</w:t>
      </w:r>
    </w:p>
    <w:p>
      <w:pPr>
        <w:pStyle w:val="ListParagraph"/>
        <w:numPr>
          <w:ilvl w:val="0"/>
          <w:numId w:val="18"/>
        </w:numPr>
        <w:tabs>
          <w:tab w:pos="1684" w:val="left" w:leader="none"/>
        </w:tabs>
        <w:spacing w:line="240" w:lineRule="auto" w:before="1" w:after="0"/>
        <w:ind w:left="1684" w:right="780" w:hanging="567"/>
        <w:jc w:val="left"/>
        <w:rPr>
          <w:sz w:val="18"/>
        </w:rPr>
      </w:pPr>
      <w:r>
        <w:rPr>
          <w:color w:val="1D71B8"/>
          <w:sz w:val="18"/>
          <w:u w:val="single" w:color="1D71B8"/>
        </w:rPr>
        <w:t>Directive</w:t>
      </w:r>
      <w:r>
        <w:rPr>
          <w:color w:val="1D71B8"/>
          <w:spacing w:val="-4"/>
          <w:sz w:val="18"/>
          <w:u w:val="single" w:color="1D71B8"/>
        </w:rPr>
        <w:t> </w:t>
      </w:r>
      <w:r>
        <w:rPr>
          <w:color w:val="1D71B8"/>
          <w:sz w:val="18"/>
          <w:u w:val="single" w:color="1D71B8"/>
        </w:rPr>
        <w:t>(EU)</w:t>
      </w:r>
      <w:r>
        <w:rPr>
          <w:color w:val="1D71B8"/>
          <w:spacing w:val="-5"/>
          <w:sz w:val="18"/>
          <w:u w:val="single" w:color="1D71B8"/>
        </w:rPr>
        <w:t> </w:t>
      </w:r>
      <w:r>
        <w:rPr>
          <w:color w:val="1D71B8"/>
          <w:sz w:val="18"/>
          <w:u w:val="single" w:color="1D71B8"/>
        </w:rPr>
        <w:t>2024/1499</w:t>
      </w:r>
      <w:r>
        <w:rPr>
          <w:color w:val="1D71B8"/>
          <w:spacing w:val="-5"/>
          <w:sz w:val="18"/>
          <w:u w:val="none"/>
        </w:rPr>
        <w:t> </w:t>
      </w:r>
      <w:r>
        <w:rPr>
          <w:sz w:val="18"/>
          <w:u w:val="none"/>
        </w:rPr>
        <w:t>on</w:t>
      </w:r>
      <w:r>
        <w:rPr>
          <w:spacing w:val="-4"/>
          <w:sz w:val="18"/>
          <w:u w:val="none"/>
        </w:rPr>
        <w:t> </w:t>
      </w:r>
      <w:r>
        <w:rPr>
          <w:sz w:val="18"/>
          <w:u w:val="none"/>
        </w:rPr>
        <w:t>standards</w:t>
      </w:r>
      <w:r>
        <w:rPr>
          <w:spacing w:val="-5"/>
          <w:sz w:val="18"/>
          <w:u w:val="none"/>
        </w:rPr>
        <w:t> </w:t>
      </w:r>
      <w:r>
        <w:rPr>
          <w:sz w:val="18"/>
          <w:u w:val="none"/>
        </w:rPr>
        <w:t>for</w:t>
      </w:r>
      <w:r>
        <w:rPr>
          <w:spacing w:val="-4"/>
          <w:sz w:val="18"/>
          <w:u w:val="none"/>
        </w:rPr>
        <w:t> </w:t>
      </w:r>
      <w:r>
        <w:rPr>
          <w:sz w:val="18"/>
          <w:u w:val="none"/>
        </w:rPr>
        <w:t>Equality</w:t>
      </w:r>
      <w:r>
        <w:rPr>
          <w:spacing w:val="-4"/>
          <w:sz w:val="18"/>
          <w:u w:val="none"/>
        </w:rPr>
        <w:t> </w:t>
      </w:r>
      <w:r>
        <w:rPr>
          <w:sz w:val="18"/>
          <w:u w:val="none"/>
        </w:rPr>
        <w:t>Bodies</w:t>
      </w:r>
      <w:r>
        <w:rPr>
          <w:spacing w:val="-5"/>
          <w:sz w:val="18"/>
          <w:u w:val="none"/>
        </w:rPr>
        <w:t> </w:t>
      </w:r>
      <w:r>
        <w:rPr>
          <w:sz w:val="18"/>
          <w:u w:val="none"/>
        </w:rPr>
        <w:t>in</w:t>
      </w:r>
      <w:r>
        <w:rPr>
          <w:spacing w:val="-4"/>
          <w:sz w:val="18"/>
          <w:u w:val="none"/>
        </w:rPr>
        <w:t> </w:t>
      </w:r>
      <w:r>
        <w:rPr>
          <w:sz w:val="18"/>
          <w:u w:val="none"/>
        </w:rPr>
        <w:t>the</w:t>
      </w:r>
      <w:r>
        <w:rPr>
          <w:spacing w:val="-4"/>
          <w:sz w:val="18"/>
          <w:u w:val="none"/>
        </w:rPr>
        <w:t> </w:t>
      </w:r>
      <w:r>
        <w:rPr>
          <w:sz w:val="18"/>
          <w:u w:val="none"/>
        </w:rPr>
        <w:t>field</w:t>
      </w:r>
      <w:r>
        <w:rPr>
          <w:spacing w:val="-5"/>
          <w:sz w:val="18"/>
          <w:u w:val="none"/>
        </w:rPr>
        <w:t> </w:t>
      </w:r>
      <w:r>
        <w:rPr>
          <w:sz w:val="18"/>
          <w:u w:val="none"/>
        </w:rPr>
        <w:t>of</w:t>
      </w:r>
      <w:r>
        <w:rPr>
          <w:spacing w:val="-5"/>
          <w:sz w:val="18"/>
          <w:u w:val="none"/>
        </w:rPr>
        <w:t> </w:t>
      </w:r>
      <w:r>
        <w:rPr>
          <w:sz w:val="18"/>
          <w:u w:val="none"/>
        </w:rPr>
        <w:t>equal</w:t>
      </w:r>
      <w:r>
        <w:rPr>
          <w:spacing w:val="-5"/>
          <w:sz w:val="18"/>
          <w:u w:val="none"/>
        </w:rPr>
        <w:t> </w:t>
      </w:r>
      <w:r>
        <w:rPr>
          <w:sz w:val="18"/>
          <w:u w:val="none"/>
        </w:rPr>
        <w:t>treatment</w:t>
      </w:r>
      <w:r>
        <w:rPr>
          <w:spacing w:val="-4"/>
          <w:sz w:val="18"/>
          <w:u w:val="none"/>
        </w:rPr>
        <w:t> </w:t>
      </w:r>
      <w:r>
        <w:rPr>
          <w:sz w:val="18"/>
          <w:u w:val="none"/>
        </w:rPr>
        <w:t>between</w:t>
      </w:r>
      <w:r>
        <w:rPr>
          <w:spacing w:val="-5"/>
          <w:sz w:val="18"/>
          <w:u w:val="none"/>
        </w:rPr>
        <w:t> </w:t>
      </w:r>
      <w:r>
        <w:rPr>
          <w:sz w:val="18"/>
          <w:u w:val="none"/>
        </w:rPr>
        <w:t>persons</w:t>
      </w:r>
      <w:r>
        <w:rPr>
          <w:spacing w:val="-5"/>
          <w:sz w:val="18"/>
          <w:u w:val="none"/>
        </w:rPr>
        <w:t> </w:t>
      </w:r>
      <w:r>
        <w:rPr>
          <w:sz w:val="18"/>
          <w:u w:val="none"/>
        </w:rPr>
        <w:t>irrespective</w:t>
      </w:r>
      <w:r>
        <w:rPr>
          <w:spacing w:val="-4"/>
          <w:sz w:val="18"/>
          <w:u w:val="none"/>
        </w:rPr>
        <w:t> </w:t>
      </w:r>
      <w:r>
        <w:rPr>
          <w:sz w:val="18"/>
          <w:u w:val="none"/>
        </w:rPr>
        <w:t>of their racial or ethnic origin, equal treatment in the field of employment and occupation between persons irrespective of their</w:t>
      </w:r>
      <w:r>
        <w:rPr>
          <w:spacing w:val="-5"/>
          <w:sz w:val="18"/>
          <w:u w:val="none"/>
        </w:rPr>
        <w:t> </w:t>
      </w:r>
      <w:r>
        <w:rPr>
          <w:sz w:val="18"/>
          <w:u w:val="none"/>
        </w:rPr>
        <w:t>religion</w:t>
      </w:r>
      <w:r>
        <w:rPr>
          <w:spacing w:val="-6"/>
          <w:sz w:val="18"/>
          <w:u w:val="none"/>
        </w:rPr>
        <w:t> </w:t>
      </w:r>
      <w:r>
        <w:rPr>
          <w:sz w:val="18"/>
          <w:u w:val="none"/>
        </w:rPr>
        <w:t>or</w:t>
      </w:r>
      <w:r>
        <w:rPr>
          <w:spacing w:val="-5"/>
          <w:sz w:val="18"/>
          <w:u w:val="none"/>
        </w:rPr>
        <w:t> </w:t>
      </w:r>
      <w:r>
        <w:rPr>
          <w:sz w:val="18"/>
          <w:u w:val="none"/>
        </w:rPr>
        <w:t>belief,</w:t>
      </w:r>
      <w:r>
        <w:rPr>
          <w:spacing w:val="-5"/>
          <w:sz w:val="18"/>
          <w:u w:val="none"/>
        </w:rPr>
        <w:t> </w:t>
      </w:r>
      <w:r>
        <w:rPr>
          <w:sz w:val="18"/>
          <w:u w:val="none"/>
        </w:rPr>
        <w:t>disability,</w:t>
      </w:r>
      <w:r>
        <w:rPr>
          <w:spacing w:val="-5"/>
          <w:sz w:val="18"/>
          <w:u w:val="none"/>
        </w:rPr>
        <w:t> </w:t>
      </w:r>
      <w:r>
        <w:rPr>
          <w:sz w:val="18"/>
          <w:u w:val="none"/>
        </w:rPr>
        <w:t>age</w:t>
      </w:r>
      <w:r>
        <w:rPr>
          <w:spacing w:val="-5"/>
          <w:sz w:val="18"/>
          <w:u w:val="none"/>
        </w:rPr>
        <w:t> </w:t>
      </w:r>
      <w:r>
        <w:rPr>
          <w:sz w:val="18"/>
          <w:u w:val="none"/>
        </w:rPr>
        <w:t>or</w:t>
      </w:r>
      <w:r>
        <w:rPr>
          <w:spacing w:val="-5"/>
          <w:sz w:val="18"/>
          <w:u w:val="none"/>
        </w:rPr>
        <w:t> </w:t>
      </w:r>
      <w:r>
        <w:rPr>
          <w:sz w:val="18"/>
          <w:u w:val="none"/>
        </w:rPr>
        <w:t>sexual</w:t>
      </w:r>
      <w:r>
        <w:rPr>
          <w:spacing w:val="-6"/>
          <w:sz w:val="18"/>
          <w:u w:val="none"/>
        </w:rPr>
        <w:t> </w:t>
      </w:r>
      <w:r>
        <w:rPr>
          <w:sz w:val="18"/>
          <w:u w:val="none"/>
        </w:rPr>
        <w:t>orientation,</w:t>
      </w:r>
      <w:r>
        <w:rPr>
          <w:spacing w:val="-5"/>
          <w:sz w:val="18"/>
          <w:u w:val="none"/>
        </w:rPr>
        <w:t> </w:t>
      </w:r>
      <w:r>
        <w:rPr>
          <w:sz w:val="18"/>
          <w:u w:val="none"/>
        </w:rPr>
        <w:t>equal</w:t>
      </w:r>
      <w:r>
        <w:rPr>
          <w:spacing w:val="-6"/>
          <w:sz w:val="18"/>
          <w:u w:val="none"/>
        </w:rPr>
        <w:t> </w:t>
      </w:r>
      <w:r>
        <w:rPr>
          <w:sz w:val="18"/>
          <w:u w:val="none"/>
        </w:rPr>
        <w:t>treatment</w:t>
      </w:r>
      <w:r>
        <w:rPr>
          <w:spacing w:val="-5"/>
          <w:sz w:val="18"/>
          <w:u w:val="none"/>
        </w:rPr>
        <w:t> </w:t>
      </w:r>
      <w:r>
        <w:rPr>
          <w:sz w:val="18"/>
          <w:u w:val="none"/>
        </w:rPr>
        <w:t>between</w:t>
      </w:r>
      <w:r>
        <w:rPr>
          <w:spacing w:val="-6"/>
          <w:sz w:val="18"/>
          <w:u w:val="none"/>
        </w:rPr>
        <w:t> </w:t>
      </w:r>
      <w:r>
        <w:rPr>
          <w:sz w:val="18"/>
          <w:u w:val="none"/>
        </w:rPr>
        <w:t>women</w:t>
      </w:r>
      <w:r>
        <w:rPr>
          <w:spacing w:val="-6"/>
          <w:sz w:val="18"/>
          <w:u w:val="none"/>
        </w:rPr>
        <w:t> </w:t>
      </w:r>
      <w:r>
        <w:rPr>
          <w:sz w:val="18"/>
          <w:u w:val="none"/>
        </w:rPr>
        <w:t>and</w:t>
      </w:r>
      <w:r>
        <w:rPr>
          <w:spacing w:val="-6"/>
          <w:sz w:val="18"/>
          <w:u w:val="none"/>
        </w:rPr>
        <w:t> </w:t>
      </w:r>
      <w:r>
        <w:rPr>
          <w:sz w:val="18"/>
          <w:u w:val="none"/>
        </w:rPr>
        <w:t>men</w:t>
      </w:r>
      <w:r>
        <w:rPr>
          <w:spacing w:val="-6"/>
          <w:sz w:val="18"/>
          <w:u w:val="none"/>
        </w:rPr>
        <w:t> </w:t>
      </w:r>
      <w:r>
        <w:rPr>
          <w:sz w:val="18"/>
          <w:u w:val="none"/>
        </w:rPr>
        <w:t>in</w:t>
      </w:r>
      <w:r>
        <w:rPr>
          <w:spacing w:val="-6"/>
          <w:sz w:val="18"/>
          <w:u w:val="none"/>
        </w:rPr>
        <w:t> </w:t>
      </w:r>
      <w:r>
        <w:rPr>
          <w:sz w:val="18"/>
          <w:u w:val="none"/>
        </w:rPr>
        <w:t>matters</w:t>
      </w:r>
      <w:r>
        <w:rPr>
          <w:spacing w:val="-6"/>
          <w:sz w:val="18"/>
          <w:u w:val="none"/>
        </w:rPr>
        <w:t> </w:t>
      </w:r>
      <w:r>
        <w:rPr>
          <w:sz w:val="18"/>
          <w:u w:val="none"/>
        </w:rPr>
        <w:t>of</w:t>
      </w:r>
      <w:r>
        <w:rPr>
          <w:spacing w:val="-6"/>
          <w:sz w:val="18"/>
          <w:u w:val="none"/>
        </w:rPr>
        <w:t> </w:t>
      </w:r>
      <w:r>
        <w:rPr>
          <w:sz w:val="18"/>
          <w:u w:val="none"/>
        </w:rPr>
        <w:t>social security and in the access to and supply of goods and services, and amending Directives 2000/43/EC and 2004/113/EC.</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61248">
                <wp:simplePos x="0" y="0"/>
                <wp:positionH relativeFrom="page">
                  <wp:posOffset>0</wp:posOffset>
                </wp:positionH>
                <wp:positionV relativeFrom="page">
                  <wp:posOffset>0</wp:posOffset>
                </wp:positionV>
                <wp:extent cx="7560309" cy="1257935"/>
                <wp:effectExtent l="0" t="0" r="0" b="0"/>
                <wp:wrapNone/>
                <wp:docPr id="696" name="Group 696"/>
                <wp:cNvGraphicFramePr>
                  <a:graphicFrameLocks/>
                </wp:cNvGraphicFramePr>
                <a:graphic>
                  <a:graphicData uri="http://schemas.microsoft.com/office/word/2010/wordprocessingGroup">
                    <wpg:wgp>
                      <wpg:cNvPr id="696" name="Group 696"/>
                      <wpg:cNvGrpSpPr/>
                      <wpg:grpSpPr>
                        <a:xfrm>
                          <a:off x="0" y="0"/>
                          <a:ext cx="7560309" cy="1257935"/>
                          <a:chExt cx="7560309" cy="1257935"/>
                        </a:xfrm>
                      </wpg:grpSpPr>
                      <wps:wsp>
                        <wps:cNvPr id="697" name="Graphic 697"/>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698" name="Graphic 698"/>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699" name="Textbox 699"/>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78</w:t>
                              </w:r>
                            </w:p>
                          </w:txbxContent>
                        </wps:txbx>
                        <wps:bodyPr wrap="square" lIns="0" tIns="0" rIns="0" bIns="0" rtlCol="0">
                          <a:noAutofit/>
                        </wps:bodyPr>
                      </wps:wsp>
                      <wps:wsp>
                        <wps:cNvPr id="700" name="Textbox 700"/>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701" name="Textbox 701"/>
                        <wps:cNvSpPr txBox="1"/>
                        <wps:spPr>
                          <a:xfrm>
                            <a:off x="647999" y="1080003"/>
                            <a:ext cx="2202815" cy="177800"/>
                          </a:xfrm>
                          <a:prstGeom prst="rect">
                            <a:avLst/>
                          </a:prstGeom>
                        </wps:spPr>
                        <wps:txbx>
                          <w:txbxContent>
                            <w:p>
                              <w:pPr>
                                <w:numPr>
                                  <w:ilvl w:val="2"/>
                                  <w:numId w:val="27"/>
                                </w:numPr>
                                <w:tabs>
                                  <w:tab w:pos="638" w:val="left" w:leader="none"/>
                                </w:tabs>
                                <w:spacing w:line="280" w:lineRule="exact" w:before="0"/>
                                <w:ind w:left="638" w:right="0" w:hanging="638"/>
                                <w:jc w:val="left"/>
                                <w:rPr>
                                  <w:b/>
                                  <w:sz w:val="28"/>
                                </w:rPr>
                              </w:pPr>
                              <w:r>
                                <w:rPr>
                                  <w:b/>
                                  <w:color w:val="004A93"/>
                                  <w:sz w:val="28"/>
                                </w:rPr>
                                <w:t>Adopted</w:t>
                              </w:r>
                              <w:r>
                                <w:rPr>
                                  <w:b/>
                                  <w:color w:val="004A93"/>
                                  <w:spacing w:val="-3"/>
                                  <w:sz w:val="28"/>
                                </w:rPr>
                                <w:t> </w:t>
                              </w:r>
                              <w:r>
                                <w:rPr>
                                  <w:b/>
                                  <w:color w:val="004A93"/>
                                  <w:sz w:val="28"/>
                                </w:rPr>
                                <w:t>EU</w:t>
                              </w:r>
                              <w:r>
                                <w:rPr>
                                  <w:b/>
                                  <w:color w:val="004A93"/>
                                  <w:spacing w:val="-3"/>
                                  <w:sz w:val="28"/>
                                </w:rPr>
                                <w:t> </w:t>
                              </w:r>
                              <w:r>
                                <w:rPr>
                                  <w:b/>
                                  <w:color w:val="004A93"/>
                                  <w:spacing w:val="-2"/>
                                  <w:sz w:val="28"/>
                                </w:rPr>
                                <w:t>Regulations</w:t>
                              </w:r>
                            </w:p>
                          </w:txbxContent>
                        </wps:txbx>
                        <wps:bodyPr wrap="square" lIns="0" tIns="0" rIns="0" bIns="0" rtlCol="0">
                          <a:noAutofit/>
                        </wps:bodyPr>
                      </wps:wsp>
                    </wpg:wgp>
                  </a:graphicData>
                </a:graphic>
              </wp:anchor>
            </w:drawing>
          </mc:Choice>
          <mc:Fallback>
            <w:pict>
              <v:group style="position:absolute;margin-left:.0pt;margin-top:-.00002pt;width:595.3pt;height:99.05pt;mso-position-horizontal-relative:page;mso-position-vertical-relative:page;z-index:15861248" id="docshapegroup565" coordorigin="0,0" coordsize="11906,1981">
                <v:shape style="position:absolute;left:0;top:0;width:11906;height:1819" id="docshape566"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567" filled="false" stroked="false">
                  <v:textbox inset="0,0,0,0">
                    <w:txbxContent>
                      <w:p>
                        <w:pPr>
                          <w:spacing w:line="280" w:lineRule="exact" w:before="0"/>
                          <w:ind w:left="0" w:right="0" w:firstLine="0"/>
                          <w:jc w:val="left"/>
                          <w:rPr>
                            <w:b/>
                            <w:sz w:val="28"/>
                          </w:rPr>
                        </w:pPr>
                        <w:r>
                          <w:rPr>
                            <w:b/>
                            <w:color w:val="FFFFFF"/>
                            <w:spacing w:val="-5"/>
                            <w:sz w:val="28"/>
                          </w:rPr>
                          <w:t>78</w:t>
                        </w:r>
                      </w:p>
                    </w:txbxContent>
                  </v:textbox>
                  <w10:wrap type="none"/>
                </v:shape>
                <v:shape style="position:absolute;left:1303;top:645;width:6182;height:240" type="#_x0000_t202" id="docshape568"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3469;height:280" type="#_x0000_t202" id="docshape569" filled="false" stroked="false">
                  <v:textbox inset="0,0,0,0">
                    <w:txbxContent>
                      <w:p>
                        <w:pPr>
                          <w:numPr>
                            <w:ilvl w:val="2"/>
                            <w:numId w:val="27"/>
                          </w:numPr>
                          <w:tabs>
                            <w:tab w:pos="638" w:val="left" w:leader="none"/>
                          </w:tabs>
                          <w:spacing w:line="280" w:lineRule="exact" w:before="0"/>
                          <w:ind w:left="638" w:right="0" w:hanging="638"/>
                          <w:jc w:val="left"/>
                          <w:rPr>
                            <w:b/>
                            <w:sz w:val="28"/>
                          </w:rPr>
                        </w:pPr>
                        <w:r>
                          <w:rPr>
                            <w:b/>
                            <w:color w:val="004A93"/>
                            <w:sz w:val="28"/>
                          </w:rPr>
                          <w:t>Adopted</w:t>
                        </w:r>
                        <w:r>
                          <w:rPr>
                            <w:b/>
                            <w:color w:val="004A93"/>
                            <w:spacing w:val="-3"/>
                            <w:sz w:val="28"/>
                          </w:rPr>
                          <w:t> </w:t>
                        </w:r>
                        <w:r>
                          <w:rPr>
                            <w:b/>
                            <w:color w:val="004A93"/>
                            <w:sz w:val="28"/>
                          </w:rPr>
                          <w:t>EU</w:t>
                        </w:r>
                        <w:r>
                          <w:rPr>
                            <w:b/>
                            <w:color w:val="004A93"/>
                            <w:spacing w:val="-3"/>
                            <w:sz w:val="28"/>
                          </w:rPr>
                          <w:t> </w:t>
                        </w:r>
                        <w:r>
                          <w:rPr>
                            <w:b/>
                            <w:color w:val="004A93"/>
                            <w:spacing w:val="-2"/>
                            <w:sz w:val="28"/>
                          </w:rPr>
                          <w:t>Regulations</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720" w:right="1404"/>
      </w:pPr>
      <w:bookmarkStart w:name="4.2.2 Adopted EU Regulations" w:id="110"/>
      <w:bookmarkEnd w:id="110"/>
      <w:r>
        <w:rPr/>
      </w:r>
      <w:bookmarkStart w:name="_bookmark45" w:id="111"/>
      <w:bookmarkEnd w:id="111"/>
      <w:r>
        <w:rPr/>
      </w:r>
      <w:r>
        <w:rPr/>
        <w:t>Out</w:t>
      </w:r>
      <w:r>
        <w:rPr>
          <w:spacing w:val="-4"/>
        </w:rPr>
        <w:t> </w:t>
      </w:r>
      <w:r>
        <w:rPr/>
        <w:t>of</w:t>
      </w:r>
      <w:r>
        <w:rPr>
          <w:spacing w:val="-5"/>
        </w:rPr>
        <w:t> </w:t>
      </w:r>
      <w:r>
        <w:rPr/>
        <w:t>the</w:t>
      </w:r>
      <w:r>
        <w:rPr>
          <w:spacing w:val="-4"/>
        </w:rPr>
        <w:t> </w:t>
      </w:r>
      <w:r>
        <w:rPr/>
        <w:t>138</w:t>
      </w:r>
      <w:r>
        <w:rPr>
          <w:spacing w:val="-4"/>
        </w:rPr>
        <w:t> </w:t>
      </w:r>
      <w:r>
        <w:rPr/>
        <w:t>EU</w:t>
      </w:r>
      <w:r>
        <w:rPr>
          <w:spacing w:val="-4"/>
        </w:rPr>
        <w:t> </w:t>
      </w:r>
      <w:r>
        <w:rPr/>
        <w:t>regulations</w:t>
      </w:r>
      <w:r>
        <w:rPr>
          <w:spacing w:val="-5"/>
        </w:rPr>
        <w:t> </w:t>
      </w:r>
      <w:r>
        <w:rPr/>
        <w:t>adopted</w:t>
      </w:r>
      <w:r>
        <w:rPr>
          <w:spacing w:val="-5"/>
        </w:rPr>
        <w:t> </w:t>
      </w:r>
      <w:r>
        <w:rPr/>
        <w:t>between</w:t>
      </w:r>
      <w:r>
        <w:rPr>
          <w:spacing w:val="-5"/>
        </w:rPr>
        <w:t> </w:t>
      </w:r>
      <w:r>
        <w:rPr/>
        <w:t>1</w:t>
      </w:r>
      <w:r>
        <w:rPr>
          <w:spacing w:val="-4"/>
        </w:rPr>
        <w:t> </w:t>
      </w:r>
      <w:r>
        <w:rPr/>
        <w:t>January</w:t>
      </w:r>
      <w:r>
        <w:rPr>
          <w:spacing w:val="-4"/>
        </w:rPr>
        <w:t> </w:t>
      </w:r>
      <w:r>
        <w:rPr/>
        <w:t>2022</w:t>
      </w:r>
      <w:r>
        <w:rPr>
          <w:spacing w:val="-4"/>
        </w:rPr>
        <w:t> </w:t>
      </w:r>
      <w:r>
        <w:rPr/>
        <w:t>and</w:t>
      </w:r>
      <w:r>
        <w:rPr>
          <w:spacing w:val="-5"/>
        </w:rPr>
        <w:t> </w:t>
      </w:r>
      <w:r>
        <w:rPr/>
        <w:t>31</w:t>
      </w:r>
      <w:r>
        <w:rPr>
          <w:spacing w:val="-4"/>
        </w:rPr>
        <w:t> </w:t>
      </w:r>
      <w:r>
        <w:rPr/>
        <w:t>August 2023, in relation to topics potentially relevant to human rights and equality:</w:t>
      </w:r>
    </w:p>
    <w:p>
      <w:pPr>
        <w:pStyle w:val="ListParagraph"/>
        <w:numPr>
          <w:ilvl w:val="3"/>
          <w:numId w:val="25"/>
        </w:numPr>
        <w:tabs>
          <w:tab w:pos="1060" w:val="left" w:leader="none"/>
        </w:tabs>
        <w:spacing w:line="232" w:lineRule="auto" w:before="267" w:after="0"/>
        <w:ind w:left="1060" w:right="2097" w:hanging="341"/>
        <w:jc w:val="left"/>
        <w:rPr>
          <w:sz w:val="28"/>
        </w:rPr>
      </w:pPr>
      <w:r>
        <w:rPr>
          <w:sz w:val="28"/>
        </w:rPr>
        <w:t>67</w:t>
      </w:r>
      <w:r>
        <w:rPr>
          <w:spacing w:val="-6"/>
          <w:sz w:val="28"/>
        </w:rPr>
        <w:t> </w:t>
      </w:r>
      <w:r>
        <w:rPr>
          <w:sz w:val="28"/>
        </w:rPr>
        <w:t>EU</w:t>
      </w:r>
      <w:r>
        <w:rPr>
          <w:spacing w:val="-6"/>
          <w:sz w:val="28"/>
        </w:rPr>
        <w:t> </w:t>
      </w:r>
      <w:r>
        <w:rPr>
          <w:sz w:val="28"/>
        </w:rPr>
        <w:t>regulations</w:t>
      </w:r>
      <w:r>
        <w:rPr>
          <w:spacing w:val="-7"/>
          <w:sz w:val="28"/>
        </w:rPr>
        <w:t> </w:t>
      </w:r>
      <w:r>
        <w:rPr>
          <w:sz w:val="28"/>
        </w:rPr>
        <w:t>do</w:t>
      </w:r>
      <w:r>
        <w:rPr>
          <w:spacing w:val="-7"/>
          <w:sz w:val="28"/>
        </w:rPr>
        <w:t> </w:t>
      </w:r>
      <w:r>
        <w:rPr>
          <w:sz w:val="28"/>
        </w:rPr>
        <w:t>not</w:t>
      </w:r>
      <w:r>
        <w:rPr>
          <w:spacing w:val="-6"/>
          <w:sz w:val="28"/>
        </w:rPr>
        <w:t> </w:t>
      </w:r>
      <w:r>
        <w:rPr>
          <w:sz w:val="28"/>
        </w:rPr>
        <w:t>sufficiently</w:t>
      </w:r>
      <w:r>
        <w:rPr>
          <w:spacing w:val="-6"/>
          <w:sz w:val="28"/>
        </w:rPr>
        <w:t> </w:t>
      </w:r>
      <w:r>
        <w:rPr>
          <w:sz w:val="28"/>
        </w:rPr>
        <w:t>relate</w:t>
      </w:r>
      <w:r>
        <w:rPr>
          <w:spacing w:val="-6"/>
          <w:sz w:val="28"/>
        </w:rPr>
        <w:t> </w:t>
      </w:r>
      <w:r>
        <w:rPr>
          <w:sz w:val="28"/>
        </w:rPr>
        <w:t>to</w:t>
      </w:r>
      <w:r>
        <w:rPr>
          <w:spacing w:val="-7"/>
          <w:sz w:val="28"/>
        </w:rPr>
        <w:t> </w:t>
      </w:r>
      <w:r>
        <w:rPr>
          <w:sz w:val="28"/>
        </w:rPr>
        <w:t>human</w:t>
      </w:r>
      <w:r>
        <w:rPr>
          <w:spacing w:val="-7"/>
          <w:sz w:val="28"/>
        </w:rPr>
        <w:t> </w:t>
      </w:r>
      <w:r>
        <w:rPr>
          <w:sz w:val="28"/>
        </w:rPr>
        <w:t>rights</w:t>
      </w:r>
      <w:r>
        <w:rPr>
          <w:spacing w:val="-7"/>
          <w:sz w:val="28"/>
        </w:rPr>
        <w:t> </w:t>
      </w:r>
      <w:r>
        <w:rPr>
          <w:sz w:val="28"/>
        </w:rPr>
        <w:t>and</w:t>
      </w:r>
      <w:r>
        <w:rPr>
          <w:spacing w:val="-7"/>
          <w:sz w:val="28"/>
        </w:rPr>
        <w:t> </w:t>
      </w:r>
      <w:r>
        <w:rPr>
          <w:sz w:val="28"/>
        </w:rPr>
        <w:t>equality (that is, too peripheral);</w:t>
      </w:r>
      <w:r>
        <w:rPr>
          <w:sz w:val="28"/>
          <w:vertAlign w:val="superscript"/>
        </w:rPr>
        <w:t>434</w:t>
      </w:r>
      <w:r>
        <w:rPr>
          <w:sz w:val="28"/>
          <w:vertAlign w:val="baseline"/>
        </w:rPr>
        <w:t> and</w:t>
      </w:r>
    </w:p>
    <w:p>
      <w:pPr>
        <w:pStyle w:val="ListParagraph"/>
        <w:numPr>
          <w:ilvl w:val="3"/>
          <w:numId w:val="25"/>
        </w:numPr>
        <w:tabs>
          <w:tab w:pos="1060" w:val="left" w:leader="none"/>
        </w:tabs>
        <w:spacing w:line="325" w:lineRule="exact" w:before="0" w:after="0"/>
        <w:ind w:left="1060" w:right="0" w:hanging="340"/>
        <w:jc w:val="left"/>
        <w:rPr>
          <w:sz w:val="28"/>
        </w:rPr>
      </w:pPr>
      <w:r>
        <w:rPr>
          <w:sz w:val="28"/>
        </w:rPr>
        <w:t>2</w:t>
      </w:r>
      <w:r>
        <w:rPr>
          <w:spacing w:val="-6"/>
          <w:sz w:val="28"/>
        </w:rPr>
        <w:t> </w:t>
      </w:r>
      <w:r>
        <w:rPr>
          <w:sz w:val="28"/>
        </w:rPr>
        <w:t>EU</w:t>
      </w:r>
      <w:r>
        <w:rPr>
          <w:spacing w:val="-5"/>
          <w:sz w:val="28"/>
        </w:rPr>
        <w:t> </w:t>
      </w:r>
      <w:r>
        <w:rPr>
          <w:sz w:val="28"/>
        </w:rPr>
        <w:t>regulations</w:t>
      </w:r>
      <w:r>
        <w:rPr>
          <w:spacing w:val="-6"/>
          <w:sz w:val="28"/>
        </w:rPr>
        <w:t> </w:t>
      </w:r>
      <w:r>
        <w:rPr>
          <w:sz w:val="28"/>
        </w:rPr>
        <w:t>do</w:t>
      </w:r>
      <w:r>
        <w:rPr>
          <w:spacing w:val="-6"/>
          <w:sz w:val="28"/>
        </w:rPr>
        <w:t> </w:t>
      </w:r>
      <w:r>
        <w:rPr>
          <w:sz w:val="28"/>
        </w:rPr>
        <w:t>sufficiently</w:t>
      </w:r>
      <w:r>
        <w:rPr>
          <w:spacing w:val="-5"/>
          <w:sz w:val="28"/>
        </w:rPr>
        <w:t> </w:t>
      </w:r>
      <w:r>
        <w:rPr>
          <w:sz w:val="28"/>
        </w:rPr>
        <w:t>relate</w:t>
      </w:r>
      <w:r>
        <w:rPr>
          <w:spacing w:val="-5"/>
          <w:sz w:val="28"/>
        </w:rPr>
        <w:t> </w:t>
      </w:r>
      <w:r>
        <w:rPr>
          <w:sz w:val="28"/>
        </w:rPr>
        <w:t>to</w:t>
      </w:r>
      <w:r>
        <w:rPr>
          <w:spacing w:val="-6"/>
          <w:sz w:val="28"/>
        </w:rPr>
        <w:t> </w:t>
      </w:r>
      <w:r>
        <w:rPr>
          <w:sz w:val="28"/>
        </w:rPr>
        <w:t>human</w:t>
      </w:r>
      <w:r>
        <w:rPr>
          <w:spacing w:val="-6"/>
          <w:sz w:val="28"/>
        </w:rPr>
        <w:t> </w:t>
      </w:r>
      <w:r>
        <w:rPr>
          <w:sz w:val="28"/>
        </w:rPr>
        <w:t>rights</w:t>
      </w:r>
      <w:r>
        <w:rPr>
          <w:spacing w:val="-6"/>
          <w:sz w:val="28"/>
        </w:rPr>
        <w:t> </w:t>
      </w:r>
      <w:r>
        <w:rPr>
          <w:sz w:val="28"/>
        </w:rPr>
        <w:t>and</w:t>
      </w:r>
      <w:r>
        <w:rPr>
          <w:spacing w:val="-6"/>
          <w:sz w:val="28"/>
        </w:rPr>
        <w:t> </w:t>
      </w:r>
      <w:r>
        <w:rPr>
          <w:sz w:val="28"/>
        </w:rPr>
        <w:t>equality</w:t>
      </w:r>
      <w:r>
        <w:rPr>
          <w:spacing w:val="-6"/>
          <w:sz w:val="28"/>
        </w:rPr>
        <w:t> </w:t>
      </w:r>
      <w:r>
        <w:rPr>
          <w:sz w:val="28"/>
        </w:rPr>
        <w:t>but</w:t>
      </w:r>
      <w:r>
        <w:rPr>
          <w:spacing w:val="-5"/>
          <w:sz w:val="28"/>
        </w:rPr>
        <w:t> </w:t>
      </w:r>
      <w:r>
        <w:rPr>
          <w:sz w:val="28"/>
        </w:rPr>
        <w:t>do</w:t>
      </w:r>
      <w:r>
        <w:rPr>
          <w:spacing w:val="-6"/>
          <w:sz w:val="28"/>
        </w:rPr>
        <w:t> </w:t>
      </w:r>
      <w:r>
        <w:rPr>
          <w:spacing w:val="-5"/>
          <w:sz w:val="28"/>
        </w:rPr>
        <w:t>not</w:t>
      </w:r>
    </w:p>
    <w:p>
      <w:pPr>
        <w:pStyle w:val="BodyText"/>
        <w:spacing w:line="336" w:lineRule="exact"/>
        <w:ind w:left="1060"/>
      </w:pPr>
      <w:r>
        <w:rPr/>
        <w:t>apply</w:t>
      </w:r>
      <w:r>
        <w:rPr>
          <w:spacing w:val="-5"/>
        </w:rPr>
        <w:t> </w:t>
      </w:r>
      <w:r>
        <w:rPr/>
        <w:t>to</w:t>
      </w:r>
      <w:r>
        <w:rPr>
          <w:spacing w:val="-2"/>
        </w:rPr>
        <w:t> </w:t>
      </w:r>
      <w:r>
        <w:rPr/>
        <w:t>Ireland</w:t>
      </w:r>
      <w:r>
        <w:rPr>
          <w:spacing w:val="-3"/>
        </w:rPr>
        <w:t> </w:t>
      </w:r>
      <w:r>
        <w:rPr/>
        <w:t>due</w:t>
      </w:r>
      <w:r>
        <w:rPr>
          <w:spacing w:val="-2"/>
        </w:rPr>
        <w:t> </w:t>
      </w:r>
      <w:r>
        <w:rPr/>
        <w:t>to</w:t>
      </w:r>
      <w:r>
        <w:rPr>
          <w:spacing w:val="-3"/>
        </w:rPr>
        <w:t> </w:t>
      </w:r>
      <w:r>
        <w:rPr/>
        <w:t>its</w:t>
      </w:r>
      <w:r>
        <w:rPr>
          <w:spacing w:val="-3"/>
        </w:rPr>
        <w:t> </w:t>
      </w:r>
      <w:r>
        <w:rPr/>
        <w:t>opt</w:t>
      </w:r>
      <w:r>
        <w:rPr>
          <w:spacing w:val="-2"/>
        </w:rPr>
        <w:t> </w:t>
      </w:r>
      <w:r>
        <w:rPr/>
        <w:t>out</w:t>
      </w:r>
      <w:r>
        <w:rPr>
          <w:spacing w:val="-2"/>
        </w:rPr>
        <w:t> </w:t>
      </w:r>
      <w:r>
        <w:rPr/>
        <w:t>in</w:t>
      </w:r>
      <w:r>
        <w:rPr>
          <w:spacing w:val="-3"/>
        </w:rPr>
        <w:t> </w:t>
      </w:r>
      <w:r>
        <w:rPr/>
        <w:t>the</w:t>
      </w:r>
      <w:r>
        <w:rPr>
          <w:spacing w:val="-3"/>
        </w:rPr>
        <w:t> </w:t>
      </w:r>
      <w:r>
        <w:rPr/>
        <w:t>area</w:t>
      </w:r>
      <w:r>
        <w:rPr>
          <w:spacing w:val="-2"/>
        </w:rPr>
        <w:t> </w:t>
      </w:r>
      <w:r>
        <w:rPr/>
        <w:t>of</w:t>
      </w:r>
      <w:r>
        <w:rPr>
          <w:spacing w:val="-3"/>
        </w:rPr>
        <w:t> </w:t>
      </w:r>
      <w:r>
        <w:rPr/>
        <w:t>freedom,</w:t>
      </w:r>
      <w:r>
        <w:rPr>
          <w:spacing w:val="-2"/>
        </w:rPr>
        <w:t> </w:t>
      </w:r>
      <w:r>
        <w:rPr/>
        <w:t>security</w:t>
      </w:r>
      <w:r>
        <w:rPr>
          <w:spacing w:val="-3"/>
        </w:rPr>
        <w:t> </w:t>
      </w:r>
      <w:r>
        <w:rPr/>
        <w:t>and</w:t>
      </w:r>
      <w:r>
        <w:rPr>
          <w:spacing w:val="-2"/>
        </w:rPr>
        <w:t> justice.</w:t>
      </w:r>
      <w:r>
        <w:rPr>
          <w:spacing w:val="-2"/>
          <w:vertAlign w:val="superscript"/>
        </w:rPr>
        <w:t>435</w:t>
      </w:r>
    </w:p>
    <w:p>
      <w:pPr>
        <w:pStyle w:val="BodyText"/>
        <w:spacing w:line="232" w:lineRule="auto" w:before="280"/>
        <w:ind w:left="720" w:right="1087"/>
      </w:pPr>
      <w:r>
        <w:rPr/>
        <w:t>These regulations will not be discussed in the report but can be identified in the mapping</w:t>
      </w:r>
      <w:r>
        <w:rPr>
          <w:spacing w:val="-5"/>
        </w:rPr>
        <w:t> </w:t>
      </w:r>
      <w:r>
        <w:rPr/>
        <w:t>data</w:t>
      </w:r>
      <w:r>
        <w:rPr>
          <w:spacing w:val="-6"/>
        </w:rPr>
        <w:t> </w:t>
      </w:r>
      <w:r>
        <w:rPr/>
        <w:t>in</w:t>
      </w:r>
      <w:r>
        <w:rPr>
          <w:spacing w:val="-6"/>
        </w:rPr>
        <w:t> </w:t>
      </w:r>
      <w:r>
        <w:rPr/>
        <w:t>Appendix</w:t>
      </w:r>
      <w:r>
        <w:rPr>
          <w:spacing w:val="-6"/>
        </w:rPr>
        <w:t> </w:t>
      </w:r>
      <w:r>
        <w:rPr/>
        <w:t>2.</w:t>
      </w:r>
      <w:r>
        <w:rPr>
          <w:spacing w:val="-6"/>
        </w:rPr>
        <w:t> </w:t>
      </w:r>
      <w:r>
        <w:rPr/>
        <w:t>However,</w:t>
      </w:r>
      <w:r>
        <w:rPr>
          <w:spacing w:val="-5"/>
        </w:rPr>
        <w:t> </w:t>
      </w:r>
      <w:r>
        <w:rPr/>
        <w:t>it</w:t>
      </w:r>
      <w:r>
        <w:rPr>
          <w:spacing w:val="-5"/>
        </w:rPr>
        <w:t> </w:t>
      </w:r>
      <w:r>
        <w:rPr/>
        <w:t>is</w:t>
      </w:r>
      <w:r>
        <w:rPr>
          <w:spacing w:val="-6"/>
        </w:rPr>
        <w:t> </w:t>
      </w:r>
      <w:r>
        <w:rPr/>
        <w:t>worth</w:t>
      </w:r>
      <w:r>
        <w:rPr>
          <w:spacing w:val="-6"/>
        </w:rPr>
        <w:t> </w:t>
      </w:r>
      <w:r>
        <w:rPr/>
        <w:t>noting</w:t>
      </w:r>
      <w:r>
        <w:rPr>
          <w:spacing w:val="-5"/>
        </w:rPr>
        <w:t> </w:t>
      </w:r>
      <w:r>
        <w:rPr/>
        <w:t>that</w:t>
      </w:r>
      <w:r>
        <w:rPr>
          <w:spacing w:val="-5"/>
        </w:rPr>
        <w:t> </w:t>
      </w:r>
      <w:r>
        <w:rPr/>
        <w:t>a</w:t>
      </w:r>
      <w:r>
        <w:rPr>
          <w:spacing w:val="-6"/>
        </w:rPr>
        <w:t> </w:t>
      </w:r>
      <w:r>
        <w:rPr/>
        <w:t>high</w:t>
      </w:r>
      <w:r>
        <w:rPr>
          <w:spacing w:val="-6"/>
        </w:rPr>
        <w:t> </w:t>
      </w:r>
      <w:r>
        <w:rPr/>
        <w:t>number</w:t>
      </w:r>
      <w:r>
        <w:rPr>
          <w:spacing w:val="-5"/>
        </w:rPr>
        <w:t> </w:t>
      </w:r>
      <w:r>
        <w:rPr/>
        <w:t>of</w:t>
      </w:r>
      <w:r>
        <w:rPr>
          <w:spacing w:val="-6"/>
        </w:rPr>
        <w:t> </w:t>
      </w:r>
      <w:r>
        <w:rPr/>
        <w:t>EU regulations deemed not sufficiently related to human rights and equality (due to being too peripheral or too technical), have indirect implications for the right to health, including the right to a healthy environment.</w:t>
      </w:r>
    </w:p>
    <w:p>
      <w:pPr>
        <w:spacing w:line="232" w:lineRule="auto" w:before="275"/>
        <w:ind w:left="720" w:right="1327" w:firstLine="0"/>
        <w:jc w:val="left"/>
        <w:rPr>
          <w:sz w:val="28"/>
        </w:rPr>
      </w:pPr>
      <w:r>
        <w:rPr>
          <w:sz w:val="28"/>
        </w:rPr>
        <w:t>Amongst</w:t>
      </w:r>
      <w:r>
        <w:rPr>
          <w:spacing w:val="-5"/>
          <w:sz w:val="28"/>
        </w:rPr>
        <w:t> </w:t>
      </w:r>
      <w:r>
        <w:rPr>
          <w:sz w:val="28"/>
        </w:rPr>
        <w:t>the</w:t>
      </w:r>
      <w:r>
        <w:rPr>
          <w:spacing w:val="-5"/>
          <w:sz w:val="28"/>
        </w:rPr>
        <w:t> </w:t>
      </w:r>
      <w:r>
        <w:rPr>
          <w:sz w:val="28"/>
        </w:rPr>
        <w:t>138</w:t>
      </w:r>
      <w:r>
        <w:rPr>
          <w:spacing w:val="-5"/>
          <w:sz w:val="28"/>
        </w:rPr>
        <w:t> </w:t>
      </w:r>
      <w:r>
        <w:rPr>
          <w:sz w:val="28"/>
        </w:rPr>
        <w:t>EU</w:t>
      </w:r>
      <w:r>
        <w:rPr>
          <w:spacing w:val="-5"/>
          <w:sz w:val="28"/>
        </w:rPr>
        <w:t> </w:t>
      </w:r>
      <w:r>
        <w:rPr>
          <w:sz w:val="28"/>
        </w:rPr>
        <w:t>Regulations</w:t>
      </w:r>
      <w:r>
        <w:rPr>
          <w:spacing w:val="-6"/>
          <w:sz w:val="28"/>
        </w:rPr>
        <w:t> </w:t>
      </w:r>
      <w:r>
        <w:rPr>
          <w:sz w:val="28"/>
        </w:rPr>
        <w:t>adopted</w:t>
      </w:r>
      <w:r>
        <w:rPr>
          <w:spacing w:val="-6"/>
          <w:sz w:val="28"/>
        </w:rPr>
        <w:t> </w:t>
      </w:r>
      <w:r>
        <w:rPr>
          <w:sz w:val="28"/>
        </w:rPr>
        <w:t>between</w:t>
      </w:r>
      <w:r>
        <w:rPr>
          <w:spacing w:val="-6"/>
          <w:sz w:val="28"/>
        </w:rPr>
        <w:t> </w:t>
      </w:r>
      <w:r>
        <w:rPr>
          <w:sz w:val="28"/>
        </w:rPr>
        <w:t>1</w:t>
      </w:r>
      <w:r>
        <w:rPr>
          <w:spacing w:val="-5"/>
          <w:sz w:val="28"/>
        </w:rPr>
        <w:t> </w:t>
      </w:r>
      <w:r>
        <w:rPr>
          <w:sz w:val="28"/>
        </w:rPr>
        <w:t>January</w:t>
      </w:r>
      <w:r>
        <w:rPr>
          <w:spacing w:val="-5"/>
          <w:sz w:val="28"/>
        </w:rPr>
        <w:t> </w:t>
      </w:r>
      <w:r>
        <w:rPr>
          <w:sz w:val="28"/>
        </w:rPr>
        <w:t>2022</w:t>
      </w:r>
      <w:r>
        <w:rPr>
          <w:spacing w:val="-5"/>
          <w:sz w:val="28"/>
        </w:rPr>
        <w:t> </w:t>
      </w:r>
      <w:r>
        <w:rPr>
          <w:sz w:val="28"/>
        </w:rPr>
        <w:t>and</w:t>
      </w:r>
      <w:r>
        <w:rPr>
          <w:spacing w:val="-6"/>
          <w:sz w:val="28"/>
        </w:rPr>
        <w:t> </w:t>
      </w:r>
      <w:r>
        <w:rPr>
          <w:sz w:val="28"/>
        </w:rPr>
        <w:t>31</w:t>
      </w:r>
      <w:r>
        <w:rPr>
          <w:spacing w:val="-5"/>
          <w:sz w:val="28"/>
        </w:rPr>
        <w:t> </w:t>
      </w:r>
      <w:r>
        <w:rPr>
          <w:sz w:val="28"/>
        </w:rPr>
        <w:t>August 2023</w:t>
      </w:r>
      <w:r>
        <w:rPr>
          <w:spacing w:val="-4"/>
          <w:sz w:val="28"/>
        </w:rPr>
        <w:t> </w:t>
      </w:r>
      <w:r>
        <w:rPr>
          <w:sz w:val="28"/>
        </w:rPr>
        <w:t>in</w:t>
      </w:r>
      <w:r>
        <w:rPr>
          <w:spacing w:val="-5"/>
          <w:sz w:val="28"/>
        </w:rPr>
        <w:t> </w:t>
      </w:r>
      <w:r>
        <w:rPr>
          <w:sz w:val="28"/>
        </w:rPr>
        <w:t>relation</w:t>
      </w:r>
      <w:r>
        <w:rPr>
          <w:spacing w:val="-5"/>
          <w:sz w:val="28"/>
        </w:rPr>
        <w:t> </w:t>
      </w:r>
      <w:r>
        <w:rPr>
          <w:sz w:val="28"/>
        </w:rPr>
        <w:t>to</w:t>
      </w:r>
      <w:r>
        <w:rPr>
          <w:spacing w:val="-5"/>
          <w:sz w:val="28"/>
        </w:rPr>
        <w:t> </w:t>
      </w:r>
      <w:r>
        <w:rPr>
          <w:sz w:val="28"/>
        </w:rPr>
        <w:t>topics</w:t>
      </w:r>
      <w:r>
        <w:rPr>
          <w:spacing w:val="-5"/>
          <w:sz w:val="28"/>
        </w:rPr>
        <w:t> </w:t>
      </w:r>
      <w:r>
        <w:rPr>
          <w:sz w:val="28"/>
        </w:rPr>
        <w:t>potentially</w:t>
      </w:r>
      <w:r>
        <w:rPr>
          <w:spacing w:val="-4"/>
          <w:sz w:val="28"/>
        </w:rPr>
        <w:t> </w:t>
      </w:r>
      <w:r>
        <w:rPr>
          <w:sz w:val="28"/>
        </w:rPr>
        <w:t>relevant</w:t>
      </w:r>
      <w:r>
        <w:rPr>
          <w:spacing w:val="-4"/>
          <w:sz w:val="28"/>
        </w:rPr>
        <w:t> </w:t>
      </w:r>
      <w:r>
        <w:rPr>
          <w:sz w:val="28"/>
        </w:rPr>
        <w:t>to</w:t>
      </w:r>
      <w:r>
        <w:rPr>
          <w:spacing w:val="-5"/>
          <w:sz w:val="28"/>
        </w:rPr>
        <w:t> </w:t>
      </w:r>
      <w:r>
        <w:rPr>
          <w:sz w:val="28"/>
        </w:rPr>
        <w:t>human</w:t>
      </w:r>
      <w:r>
        <w:rPr>
          <w:spacing w:val="-5"/>
          <w:sz w:val="28"/>
        </w:rPr>
        <w:t> </w:t>
      </w:r>
      <w:r>
        <w:rPr>
          <w:sz w:val="28"/>
        </w:rPr>
        <w:t>rights</w:t>
      </w:r>
      <w:r>
        <w:rPr>
          <w:spacing w:val="-5"/>
          <w:sz w:val="28"/>
        </w:rPr>
        <w:t> </w:t>
      </w:r>
      <w:r>
        <w:rPr>
          <w:sz w:val="28"/>
        </w:rPr>
        <w:t>and</w:t>
      </w:r>
      <w:r>
        <w:rPr>
          <w:spacing w:val="-5"/>
          <w:sz w:val="28"/>
        </w:rPr>
        <w:t> </w:t>
      </w:r>
      <w:r>
        <w:rPr>
          <w:sz w:val="28"/>
        </w:rPr>
        <w:t>equality,</w:t>
      </w:r>
      <w:r>
        <w:rPr>
          <w:spacing w:val="-6"/>
          <w:sz w:val="28"/>
        </w:rPr>
        <w:t> </w:t>
      </w:r>
      <w:r>
        <w:rPr>
          <w:b/>
          <w:sz w:val="28"/>
        </w:rPr>
        <w:t>69</w:t>
      </w:r>
      <w:r>
        <w:rPr>
          <w:b/>
          <w:spacing w:val="-4"/>
          <w:sz w:val="28"/>
        </w:rPr>
        <w:t> </w:t>
      </w:r>
      <w:r>
        <w:rPr>
          <w:b/>
          <w:sz w:val="28"/>
        </w:rPr>
        <w:t>EU Regulations sufficiently relate</w:t>
      </w:r>
      <w:r>
        <w:rPr>
          <w:b/>
          <w:spacing w:val="-1"/>
          <w:sz w:val="28"/>
        </w:rPr>
        <w:t> </w:t>
      </w:r>
      <w:r>
        <w:rPr>
          <w:b/>
          <w:sz w:val="28"/>
        </w:rPr>
        <w:t>to human rights and equality (and, therefore, fall under the scope of the 1998 Agreement), justifying further discussions in this report</w:t>
      </w:r>
      <w:r>
        <w:rPr>
          <w:sz w:val="28"/>
        </w:rPr>
        <w:t>.</w:t>
      </w:r>
      <w:r>
        <w:rPr>
          <w:spacing w:val="-2"/>
          <w:sz w:val="28"/>
        </w:rPr>
        <w:t> </w:t>
      </w:r>
      <w:r>
        <w:rPr>
          <w:sz w:val="28"/>
        </w:rPr>
        <w:t>The</w:t>
      </w:r>
      <w:r>
        <w:rPr>
          <w:spacing w:val="-1"/>
          <w:sz w:val="28"/>
        </w:rPr>
        <w:t> </w:t>
      </w:r>
      <w:r>
        <w:rPr>
          <w:sz w:val="28"/>
        </w:rPr>
        <w:t>theme</w:t>
      </w:r>
      <w:r>
        <w:rPr>
          <w:spacing w:val="-1"/>
          <w:sz w:val="28"/>
        </w:rPr>
        <w:t> </w:t>
      </w:r>
      <w:r>
        <w:rPr>
          <w:sz w:val="28"/>
        </w:rPr>
        <w:t>most</w:t>
      </w:r>
      <w:r>
        <w:rPr>
          <w:spacing w:val="-1"/>
          <w:sz w:val="28"/>
        </w:rPr>
        <w:t> </w:t>
      </w:r>
      <w:r>
        <w:rPr>
          <w:sz w:val="28"/>
        </w:rPr>
        <w:t>touched</w:t>
      </w:r>
      <w:r>
        <w:rPr>
          <w:spacing w:val="-2"/>
          <w:sz w:val="28"/>
        </w:rPr>
        <w:t> </w:t>
      </w:r>
      <w:r>
        <w:rPr>
          <w:sz w:val="28"/>
        </w:rPr>
        <w:t>upon,</w:t>
      </w:r>
      <w:r>
        <w:rPr>
          <w:spacing w:val="-1"/>
          <w:sz w:val="28"/>
        </w:rPr>
        <w:t> </w:t>
      </w:r>
      <w:r>
        <w:rPr>
          <w:sz w:val="28"/>
        </w:rPr>
        <w:t>by</w:t>
      </w:r>
      <w:r>
        <w:rPr>
          <w:spacing w:val="-1"/>
          <w:sz w:val="28"/>
        </w:rPr>
        <w:t> </w:t>
      </w:r>
      <w:r>
        <w:rPr>
          <w:sz w:val="28"/>
        </w:rPr>
        <w:t>far,</w:t>
      </w:r>
      <w:r>
        <w:rPr>
          <w:spacing w:val="-1"/>
          <w:sz w:val="28"/>
        </w:rPr>
        <w:t> </w:t>
      </w:r>
      <w:r>
        <w:rPr>
          <w:sz w:val="28"/>
        </w:rPr>
        <w:t>is</w:t>
      </w:r>
      <w:r>
        <w:rPr>
          <w:spacing w:val="-2"/>
          <w:sz w:val="28"/>
        </w:rPr>
        <w:t> </w:t>
      </w:r>
      <w:r>
        <w:rPr>
          <w:sz w:val="28"/>
        </w:rPr>
        <w:t>the</w:t>
      </w:r>
      <w:r>
        <w:rPr>
          <w:spacing w:val="-1"/>
          <w:sz w:val="28"/>
        </w:rPr>
        <w:t> </w:t>
      </w:r>
      <w:r>
        <w:rPr>
          <w:sz w:val="28"/>
        </w:rPr>
        <w:t>right</w:t>
      </w:r>
      <w:r>
        <w:rPr>
          <w:spacing w:val="-1"/>
          <w:sz w:val="28"/>
        </w:rPr>
        <w:t> </w:t>
      </w:r>
      <w:r>
        <w:rPr>
          <w:sz w:val="28"/>
        </w:rPr>
        <w:t>to</w:t>
      </w:r>
      <w:r>
        <w:rPr>
          <w:spacing w:val="-2"/>
          <w:sz w:val="28"/>
        </w:rPr>
        <w:t> </w:t>
      </w:r>
      <w:r>
        <w:rPr>
          <w:sz w:val="28"/>
        </w:rPr>
        <w:t>health,</w:t>
      </w:r>
      <w:r>
        <w:rPr>
          <w:spacing w:val="-1"/>
          <w:sz w:val="28"/>
        </w:rPr>
        <w:t> </w:t>
      </w:r>
      <w:r>
        <w:rPr>
          <w:sz w:val="28"/>
        </w:rPr>
        <w:t>including</w:t>
      </w:r>
      <w:r>
        <w:rPr>
          <w:spacing w:val="-1"/>
          <w:sz w:val="28"/>
        </w:rPr>
        <w:t> </w:t>
      </w:r>
      <w:r>
        <w:rPr>
          <w:sz w:val="28"/>
        </w:rPr>
        <w:t>the right to a healthy environment (46 EU regulations); followed by: general human rights protection (6 EU regulations); the right to privacy, including the right to data protection (5 EU regulations); asylum-seekers and refugees’ protection (4</w:t>
      </w:r>
    </w:p>
    <w:p>
      <w:pPr>
        <w:pStyle w:val="BodyText"/>
        <w:spacing w:line="232" w:lineRule="auto"/>
        <w:ind w:left="720" w:right="1852"/>
        <w:jc w:val="both"/>
      </w:pPr>
      <w:r>
        <w:rPr/>
        <w:t>EU regulations). Other themes discussed to a lesser extent (in one or two EU regulations)</w:t>
      </w:r>
      <w:r>
        <w:rPr>
          <w:spacing w:val="-2"/>
        </w:rPr>
        <w:t> </w:t>
      </w:r>
      <w:r>
        <w:rPr/>
        <w:t>include:</w:t>
      </w:r>
      <w:r>
        <w:rPr>
          <w:spacing w:val="-1"/>
        </w:rPr>
        <w:t> </w:t>
      </w:r>
      <w:r>
        <w:rPr/>
        <w:t>freedom</w:t>
      </w:r>
      <w:r>
        <w:rPr>
          <w:spacing w:val="-1"/>
        </w:rPr>
        <w:t> </w:t>
      </w:r>
      <w:r>
        <w:rPr/>
        <w:t>of</w:t>
      </w:r>
      <w:r>
        <w:rPr>
          <w:spacing w:val="-2"/>
        </w:rPr>
        <w:t> </w:t>
      </w:r>
      <w:r>
        <w:rPr/>
        <w:t>expression;</w:t>
      </w:r>
      <w:r>
        <w:rPr>
          <w:spacing w:val="-1"/>
        </w:rPr>
        <w:t> </w:t>
      </w:r>
      <w:r>
        <w:rPr/>
        <w:t>right</w:t>
      </w:r>
      <w:r>
        <w:rPr>
          <w:spacing w:val="-1"/>
        </w:rPr>
        <w:t> </w:t>
      </w:r>
      <w:r>
        <w:rPr/>
        <w:t>to</w:t>
      </w:r>
      <w:r>
        <w:rPr>
          <w:spacing w:val="-2"/>
        </w:rPr>
        <w:t> </w:t>
      </w:r>
      <w:r>
        <w:rPr/>
        <w:t>a</w:t>
      </w:r>
      <w:r>
        <w:rPr>
          <w:spacing w:val="-2"/>
        </w:rPr>
        <w:t> </w:t>
      </w:r>
      <w:r>
        <w:rPr/>
        <w:t>fair</w:t>
      </w:r>
      <w:r>
        <w:rPr>
          <w:spacing w:val="-1"/>
        </w:rPr>
        <w:t> </w:t>
      </w:r>
      <w:r>
        <w:rPr/>
        <w:t>trial;</w:t>
      </w:r>
      <w:r>
        <w:rPr>
          <w:spacing w:val="-1"/>
        </w:rPr>
        <w:t> </w:t>
      </w:r>
      <w:r>
        <w:rPr/>
        <w:t>right</w:t>
      </w:r>
      <w:r>
        <w:rPr>
          <w:spacing w:val="-1"/>
        </w:rPr>
        <w:t> </w:t>
      </w:r>
      <w:r>
        <w:rPr/>
        <w:t>to</w:t>
      </w:r>
      <w:r>
        <w:rPr>
          <w:spacing w:val="-2"/>
        </w:rPr>
        <w:t> </w:t>
      </w:r>
      <w:r>
        <w:rPr/>
        <w:t>food; right</w:t>
      </w:r>
      <w:r>
        <w:rPr>
          <w:spacing w:val="-6"/>
        </w:rPr>
        <w:t> </w:t>
      </w:r>
      <w:r>
        <w:rPr/>
        <w:t>to</w:t>
      </w:r>
      <w:r>
        <w:rPr>
          <w:spacing w:val="-3"/>
        </w:rPr>
        <w:t> </w:t>
      </w:r>
      <w:r>
        <w:rPr/>
        <w:t>a</w:t>
      </w:r>
      <w:r>
        <w:rPr>
          <w:spacing w:val="-4"/>
        </w:rPr>
        <w:t> </w:t>
      </w:r>
      <w:r>
        <w:rPr/>
        <w:t>minimum</w:t>
      </w:r>
      <w:r>
        <w:rPr>
          <w:spacing w:val="-3"/>
        </w:rPr>
        <w:t> </w:t>
      </w:r>
      <w:r>
        <w:rPr/>
        <w:t>standard</w:t>
      </w:r>
      <w:r>
        <w:rPr>
          <w:spacing w:val="-4"/>
        </w:rPr>
        <w:t> </w:t>
      </w:r>
      <w:r>
        <w:rPr/>
        <w:t>of</w:t>
      </w:r>
      <w:r>
        <w:rPr>
          <w:spacing w:val="-4"/>
        </w:rPr>
        <w:t> </w:t>
      </w:r>
      <w:r>
        <w:rPr/>
        <w:t>living</w:t>
      </w:r>
      <w:r>
        <w:rPr>
          <w:spacing w:val="-3"/>
        </w:rPr>
        <w:t> </w:t>
      </w:r>
      <w:r>
        <w:rPr/>
        <w:t>and</w:t>
      </w:r>
      <w:r>
        <w:rPr>
          <w:spacing w:val="-4"/>
        </w:rPr>
        <w:t> </w:t>
      </w:r>
      <w:r>
        <w:rPr/>
        <w:t>right</w:t>
      </w:r>
      <w:r>
        <w:rPr>
          <w:spacing w:val="-3"/>
        </w:rPr>
        <w:t> </w:t>
      </w:r>
      <w:r>
        <w:rPr/>
        <w:t>to</w:t>
      </w:r>
      <w:r>
        <w:rPr>
          <w:spacing w:val="-4"/>
        </w:rPr>
        <w:t> </w:t>
      </w:r>
      <w:r>
        <w:rPr/>
        <w:t>social</w:t>
      </w:r>
      <w:r>
        <w:rPr>
          <w:spacing w:val="-4"/>
        </w:rPr>
        <w:t> </w:t>
      </w:r>
      <w:r>
        <w:rPr/>
        <w:t>security;</w:t>
      </w:r>
      <w:r>
        <w:rPr>
          <w:spacing w:val="-3"/>
        </w:rPr>
        <w:t> </w:t>
      </w:r>
      <w:r>
        <w:rPr/>
        <w:t>work</w:t>
      </w:r>
      <w:r>
        <w:rPr>
          <w:spacing w:val="-3"/>
        </w:rPr>
        <w:t> </w:t>
      </w:r>
      <w:r>
        <w:rPr>
          <w:spacing w:val="-2"/>
        </w:rPr>
        <w:t>rights;</w:t>
      </w:r>
    </w:p>
    <w:p>
      <w:pPr>
        <w:pStyle w:val="BodyText"/>
        <w:spacing w:line="232" w:lineRule="auto"/>
        <w:ind w:left="720" w:right="1087"/>
      </w:pPr>
      <w:r>
        <w:rPr/>
        <w:t>prohibition</w:t>
      </w:r>
      <w:r>
        <w:rPr>
          <w:spacing w:val="-5"/>
        </w:rPr>
        <w:t> </w:t>
      </w:r>
      <w:r>
        <w:rPr/>
        <w:t>of</w:t>
      </w:r>
      <w:r>
        <w:rPr>
          <w:spacing w:val="-5"/>
        </w:rPr>
        <w:t> </w:t>
      </w:r>
      <w:r>
        <w:rPr/>
        <w:t>gender</w:t>
      </w:r>
      <w:r>
        <w:rPr>
          <w:spacing w:val="-4"/>
        </w:rPr>
        <w:t> </w:t>
      </w:r>
      <w:r>
        <w:rPr/>
        <w:t>discrimination.</w:t>
      </w:r>
      <w:r>
        <w:rPr>
          <w:spacing w:val="-5"/>
        </w:rPr>
        <w:t> </w:t>
      </w:r>
      <w:r>
        <w:rPr/>
        <w:t>Some</w:t>
      </w:r>
      <w:r>
        <w:rPr>
          <w:spacing w:val="-4"/>
        </w:rPr>
        <w:t> </w:t>
      </w:r>
      <w:r>
        <w:rPr/>
        <w:t>EU</w:t>
      </w:r>
      <w:r>
        <w:rPr>
          <w:spacing w:val="-4"/>
        </w:rPr>
        <w:t> </w:t>
      </w:r>
      <w:r>
        <w:rPr/>
        <w:t>regulations</w:t>
      </w:r>
      <w:r>
        <w:rPr>
          <w:spacing w:val="-5"/>
        </w:rPr>
        <w:t> </w:t>
      </w:r>
      <w:r>
        <w:rPr/>
        <w:t>are</w:t>
      </w:r>
      <w:r>
        <w:rPr>
          <w:spacing w:val="-4"/>
        </w:rPr>
        <w:t> </w:t>
      </w:r>
      <w:r>
        <w:rPr/>
        <w:t>more</w:t>
      </w:r>
      <w:r>
        <w:rPr>
          <w:spacing w:val="-4"/>
        </w:rPr>
        <w:t> </w:t>
      </w:r>
      <w:r>
        <w:rPr/>
        <w:t>technical</w:t>
      </w:r>
      <w:r>
        <w:rPr>
          <w:spacing w:val="-5"/>
        </w:rPr>
        <w:t> </w:t>
      </w:r>
      <w:r>
        <w:rPr/>
        <w:t>than others</w:t>
      </w:r>
      <w:r>
        <w:rPr>
          <w:spacing w:val="-3"/>
        </w:rPr>
        <w:t> </w:t>
      </w:r>
      <w:r>
        <w:rPr/>
        <w:t>(or</w:t>
      </w:r>
      <w:r>
        <w:rPr>
          <w:spacing w:val="-2"/>
        </w:rPr>
        <w:t> </w:t>
      </w:r>
      <w:r>
        <w:rPr/>
        <w:t>involve</w:t>
      </w:r>
      <w:r>
        <w:rPr>
          <w:spacing w:val="-2"/>
        </w:rPr>
        <w:t> </w:t>
      </w:r>
      <w:r>
        <w:rPr/>
        <w:t>minor</w:t>
      </w:r>
      <w:r>
        <w:rPr>
          <w:spacing w:val="-2"/>
        </w:rPr>
        <w:t> </w:t>
      </w:r>
      <w:r>
        <w:rPr/>
        <w:t>amendments</w:t>
      </w:r>
      <w:r>
        <w:rPr>
          <w:spacing w:val="-3"/>
        </w:rPr>
        <w:t> </w:t>
      </w:r>
      <w:r>
        <w:rPr/>
        <w:t>of</w:t>
      </w:r>
      <w:r>
        <w:rPr>
          <w:spacing w:val="-3"/>
        </w:rPr>
        <w:t> </w:t>
      </w:r>
      <w:r>
        <w:rPr/>
        <w:t>previous</w:t>
      </w:r>
      <w:r>
        <w:rPr>
          <w:spacing w:val="-3"/>
        </w:rPr>
        <w:t> </w:t>
      </w:r>
      <w:r>
        <w:rPr/>
        <w:t>Regulations)</w:t>
      </w:r>
      <w:r>
        <w:rPr>
          <w:spacing w:val="-3"/>
        </w:rPr>
        <w:t> </w:t>
      </w:r>
      <w:r>
        <w:rPr/>
        <w:t>and,</w:t>
      </w:r>
      <w:r>
        <w:rPr>
          <w:spacing w:val="-2"/>
        </w:rPr>
        <w:t> </w:t>
      </w:r>
      <w:r>
        <w:rPr/>
        <w:t>therefore,</w:t>
      </w:r>
      <w:r>
        <w:rPr>
          <w:spacing w:val="-2"/>
        </w:rPr>
        <w:t> </w:t>
      </w:r>
      <w:r>
        <w:rPr/>
        <w:t>will not</w:t>
      </w:r>
      <w:r>
        <w:rPr>
          <w:spacing w:val="-4"/>
        </w:rPr>
        <w:t> </w:t>
      </w:r>
      <w:r>
        <w:rPr/>
        <w:t>be</w:t>
      </w:r>
      <w:r>
        <w:rPr>
          <w:spacing w:val="-4"/>
        </w:rPr>
        <w:t> </w:t>
      </w:r>
      <w:r>
        <w:rPr/>
        <w:t>discussed</w:t>
      </w:r>
      <w:r>
        <w:rPr>
          <w:spacing w:val="-5"/>
        </w:rPr>
        <w:t> </w:t>
      </w:r>
      <w:r>
        <w:rPr/>
        <w:t>at</w:t>
      </w:r>
      <w:r>
        <w:rPr>
          <w:spacing w:val="-4"/>
        </w:rPr>
        <w:t> </w:t>
      </w:r>
      <w:r>
        <w:rPr/>
        <w:t>length</w:t>
      </w:r>
      <w:r>
        <w:rPr>
          <w:spacing w:val="-5"/>
        </w:rPr>
        <w:t> </w:t>
      </w:r>
      <w:r>
        <w:rPr/>
        <w:t>in</w:t>
      </w:r>
      <w:r>
        <w:rPr>
          <w:spacing w:val="-5"/>
        </w:rPr>
        <w:t> </w:t>
      </w:r>
      <w:r>
        <w:rPr/>
        <w:t>this</w:t>
      </w:r>
      <w:r>
        <w:rPr>
          <w:spacing w:val="-5"/>
        </w:rPr>
        <w:t> </w:t>
      </w:r>
      <w:r>
        <w:rPr/>
        <w:t>report,</w:t>
      </w:r>
      <w:r>
        <w:rPr>
          <w:spacing w:val="-4"/>
        </w:rPr>
        <w:t> </w:t>
      </w:r>
      <w:r>
        <w:rPr/>
        <w:t>although</w:t>
      </w:r>
      <w:r>
        <w:rPr>
          <w:spacing w:val="-5"/>
        </w:rPr>
        <w:t> </w:t>
      </w:r>
      <w:r>
        <w:rPr/>
        <w:t>more</w:t>
      </w:r>
      <w:r>
        <w:rPr>
          <w:spacing w:val="-4"/>
        </w:rPr>
        <w:t> </w:t>
      </w:r>
      <w:r>
        <w:rPr/>
        <w:t>details</w:t>
      </w:r>
      <w:r>
        <w:rPr>
          <w:spacing w:val="-5"/>
        </w:rPr>
        <w:t> </w:t>
      </w:r>
      <w:r>
        <w:rPr/>
        <w:t>can</w:t>
      </w:r>
      <w:r>
        <w:rPr>
          <w:spacing w:val="-5"/>
        </w:rPr>
        <w:t> </w:t>
      </w:r>
      <w:r>
        <w:rPr/>
        <w:t>be</w:t>
      </w:r>
      <w:r>
        <w:rPr>
          <w:spacing w:val="-4"/>
        </w:rPr>
        <w:t> </w:t>
      </w:r>
      <w:r>
        <w:rPr/>
        <w:t>found</w:t>
      </w:r>
      <w:r>
        <w:rPr>
          <w:spacing w:val="-5"/>
        </w:rPr>
        <w:t> </w:t>
      </w:r>
      <w:r>
        <w:rPr/>
        <w:t>in</w:t>
      </w:r>
      <w:r>
        <w:rPr>
          <w:spacing w:val="-5"/>
        </w:rPr>
        <w:t> </w:t>
      </w:r>
      <w:r>
        <w:rPr/>
        <w:t>the mapping data in Appendix 2. Others, however, set more substantial requirements worth noting in this chapter.</w:t>
      </w:r>
    </w:p>
    <w:p>
      <w:pPr>
        <w:pStyle w:val="BodyText"/>
        <w:spacing w:line="232" w:lineRule="auto" w:before="259"/>
        <w:ind w:left="720" w:right="1250"/>
      </w:pPr>
      <w:r>
        <w:rPr/>
        <w:t>Furthermore, amongst those 69 EU regulations adopted between 1 January 2022 and 31 August 2023 that sufficiently relate to human rights and equality, no EU regulation</w:t>
      </w:r>
      <w:r>
        <w:rPr>
          <w:spacing w:val="-11"/>
        </w:rPr>
        <w:t> </w:t>
      </w:r>
      <w:r>
        <w:rPr/>
        <w:t>could</w:t>
      </w:r>
      <w:r>
        <w:rPr>
          <w:spacing w:val="-11"/>
        </w:rPr>
        <w:t> </w:t>
      </w:r>
      <w:r>
        <w:rPr/>
        <w:t>potentially</w:t>
      </w:r>
      <w:r>
        <w:rPr>
          <w:spacing w:val="-10"/>
        </w:rPr>
        <w:t> </w:t>
      </w:r>
      <w:r>
        <w:rPr/>
        <w:t>amend</w:t>
      </w:r>
      <w:r>
        <w:rPr>
          <w:spacing w:val="-11"/>
        </w:rPr>
        <w:t> </w:t>
      </w:r>
      <w:r>
        <w:rPr/>
        <w:t>and/or</w:t>
      </w:r>
      <w:r>
        <w:rPr>
          <w:spacing w:val="-10"/>
        </w:rPr>
        <w:t> </w:t>
      </w:r>
      <w:r>
        <w:rPr/>
        <w:t>update</w:t>
      </w:r>
      <w:r>
        <w:rPr>
          <w:spacing w:val="-10"/>
        </w:rPr>
        <w:t> </w:t>
      </w:r>
      <w:r>
        <w:rPr/>
        <w:t>an</w:t>
      </w:r>
      <w:r>
        <w:rPr>
          <w:spacing w:val="-11"/>
        </w:rPr>
        <w:t> </w:t>
      </w:r>
      <w:r>
        <w:rPr/>
        <w:t>Annex</w:t>
      </w:r>
      <w:r>
        <w:rPr>
          <w:spacing w:val="-11"/>
        </w:rPr>
        <w:t> </w:t>
      </w:r>
      <w:r>
        <w:rPr/>
        <w:t>1</w:t>
      </w:r>
      <w:r>
        <w:rPr>
          <w:spacing w:val="-10"/>
        </w:rPr>
        <w:t> </w:t>
      </w:r>
      <w:r>
        <w:rPr/>
        <w:t>directive.</w:t>
      </w:r>
      <w:r>
        <w:rPr>
          <w:spacing w:val="-11"/>
        </w:rPr>
        <w:t> </w:t>
      </w:r>
      <w:r>
        <w:rPr/>
        <w:t>However, all would have applied to NI, had the UK remained in the EU.</w:t>
      </w:r>
    </w:p>
    <w:p>
      <w:pPr>
        <w:pStyle w:val="BodyText"/>
        <w:spacing w:before="9"/>
        <w:rPr>
          <w:sz w:val="19"/>
        </w:rPr>
      </w:pPr>
      <w:r>
        <w:rPr/>
        <mc:AlternateContent>
          <mc:Choice Requires="wps">
            <w:drawing>
              <wp:anchor distT="0" distB="0" distL="0" distR="0" allowOverlap="1" layoutInCell="1" locked="0" behindDoc="1" simplePos="0" relativeHeight="487719936">
                <wp:simplePos x="0" y="0"/>
                <wp:positionH relativeFrom="page">
                  <wp:posOffset>647999</wp:posOffset>
                </wp:positionH>
                <wp:positionV relativeFrom="paragraph">
                  <wp:posOffset>168621</wp:posOffset>
                </wp:positionV>
                <wp:extent cx="6012180" cy="1270"/>
                <wp:effectExtent l="0" t="0" r="0" b="0"/>
                <wp:wrapTopAndBottom/>
                <wp:docPr id="702" name="Graphic 702"/>
                <wp:cNvGraphicFramePr>
                  <a:graphicFrameLocks/>
                </wp:cNvGraphicFramePr>
                <a:graphic>
                  <a:graphicData uri="http://schemas.microsoft.com/office/word/2010/wordprocessingShape">
                    <wps:wsp>
                      <wps:cNvPr id="702" name="Graphic 70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3.277274pt;width:473.4pt;height:.1pt;mso-position-horizontal-relative:page;mso-position-vertical-relative:paragraph;z-index:-15596544;mso-wrap-distance-left:0;mso-wrap-distance-right:0" id="docshape570" coordorigin="1020,266" coordsize="9468,0" path="m1020,266l10488,266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541" w:hanging="567"/>
        <w:jc w:val="both"/>
        <w:rPr>
          <w:sz w:val="18"/>
        </w:rPr>
      </w:pPr>
      <w:r>
        <w:rPr>
          <w:sz w:val="18"/>
        </w:rPr>
        <w:t>These</w:t>
      </w:r>
      <w:r>
        <w:rPr>
          <w:spacing w:val="-1"/>
          <w:sz w:val="18"/>
        </w:rPr>
        <w:t> </w:t>
      </w:r>
      <w:r>
        <w:rPr>
          <w:sz w:val="18"/>
        </w:rPr>
        <w:t>include,</w:t>
      </w:r>
      <w:r>
        <w:rPr>
          <w:spacing w:val="-1"/>
          <w:sz w:val="18"/>
        </w:rPr>
        <w:t> </w:t>
      </w:r>
      <w:r>
        <w:rPr>
          <w:sz w:val="18"/>
        </w:rPr>
        <w:t>for</w:t>
      </w:r>
      <w:r>
        <w:rPr>
          <w:spacing w:val="-1"/>
          <w:sz w:val="18"/>
        </w:rPr>
        <w:t> </w:t>
      </w:r>
      <w:r>
        <w:rPr>
          <w:sz w:val="18"/>
        </w:rPr>
        <w:t>instance,</w:t>
      </w:r>
      <w:r>
        <w:rPr>
          <w:spacing w:val="-2"/>
          <w:sz w:val="18"/>
        </w:rPr>
        <w:t> </w:t>
      </w:r>
      <w:r>
        <w:rPr>
          <w:sz w:val="18"/>
        </w:rPr>
        <w:t>regulations</w:t>
      </w:r>
      <w:r>
        <w:rPr>
          <w:spacing w:val="-2"/>
          <w:sz w:val="18"/>
        </w:rPr>
        <w:t> </w:t>
      </w:r>
      <w:r>
        <w:rPr>
          <w:sz w:val="18"/>
        </w:rPr>
        <w:t>listing</w:t>
      </w:r>
      <w:r>
        <w:rPr>
          <w:spacing w:val="-1"/>
          <w:sz w:val="18"/>
        </w:rPr>
        <w:t> </w:t>
      </w:r>
      <w:r>
        <w:rPr>
          <w:sz w:val="18"/>
        </w:rPr>
        <w:t>particular</w:t>
      </w:r>
      <w:r>
        <w:rPr>
          <w:spacing w:val="-1"/>
          <w:sz w:val="18"/>
        </w:rPr>
        <w:t> </w:t>
      </w:r>
      <w:r>
        <w:rPr>
          <w:sz w:val="18"/>
        </w:rPr>
        <w:t>products</w:t>
      </w:r>
      <w:r>
        <w:rPr>
          <w:spacing w:val="-2"/>
          <w:sz w:val="18"/>
        </w:rPr>
        <w:t> </w:t>
      </w:r>
      <w:r>
        <w:rPr>
          <w:sz w:val="18"/>
        </w:rPr>
        <w:t>as</w:t>
      </w:r>
      <w:r>
        <w:rPr>
          <w:spacing w:val="-2"/>
          <w:sz w:val="18"/>
        </w:rPr>
        <w:t> </w:t>
      </w:r>
      <w:r>
        <w:rPr>
          <w:sz w:val="18"/>
        </w:rPr>
        <w:t>harmful</w:t>
      </w:r>
      <w:r>
        <w:rPr>
          <w:spacing w:val="-2"/>
          <w:sz w:val="18"/>
        </w:rPr>
        <w:t> </w:t>
      </w:r>
      <w:r>
        <w:rPr>
          <w:sz w:val="18"/>
        </w:rPr>
        <w:t>or</w:t>
      </w:r>
      <w:r>
        <w:rPr>
          <w:spacing w:val="-1"/>
          <w:sz w:val="18"/>
        </w:rPr>
        <w:t> </w:t>
      </w:r>
      <w:r>
        <w:rPr>
          <w:sz w:val="18"/>
        </w:rPr>
        <w:t>hazardous</w:t>
      </w:r>
      <w:r>
        <w:rPr>
          <w:spacing w:val="-2"/>
          <w:sz w:val="18"/>
        </w:rPr>
        <w:t> </w:t>
      </w:r>
      <w:r>
        <w:rPr>
          <w:sz w:val="18"/>
        </w:rPr>
        <w:t>substances</w:t>
      </w:r>
      <w:r>
        <w:rPr>
          <w:spacing w:val="-2"/>
          <w:sz w:val="18"/>
        </w:rPr>
        <w:t> </w:t>
      </w:r>
      <w:r>
        <w:rPr>
          <w:sz w:val="18"/>
        </w:rPr>
        <w:t>(mostly</w:t>
      </w:r>
      <w:r>
        <w:rPr>
          <w:spacing w:val="-1"/>
          <w:sz w:val="18"/>
        </w:rPr>
        <w:t> </w:t>
      </w:r>
      <w:r>
        <w:rPr>
          <w:sz w:val="18"/>
        </w:rPr>
        <w:t>in</w:t>
      </w:r>
      <w:r>
        <w:rPr>
          <w:spacing w:val="-2"/>
          <w:sz w:val="18"/>
        </w:rPr>
        <w:t> </w:t>
      </w:r>
      <w:r>
        <w:rPr>
          <w:sz w:val="18"/>
        </w:rPr>
        <w:t>the context</w:t>
      </w:r>
      <w:r>
        <w:rPr>
          <w:spacing w:val="-4"/>
          <w:sz w:val="18"/>
        </w:rPr>
        <w:t> </w:t>
      </w:r>
      <w:r>
        <w:rPr>
          <w:sz w:val="18"/>
        </w:rPr>
        <w:t>of</w:t>
      </w:r>
      <w:r>
        <w:rPr>
          <w:spacing w:val="-5"/>
          <w:sz w:val="18"/>
        </w:rPr>
        <w:t> </w:t>
      </w:r>
      <w:r>
        <w:rPr>
          <w:sz w:val="18"/>
        </w:rPr>
        <w:t>the</w:t>
      </w:r>
      <w:r>
        <w:rPr>
          <w:spacing w:val="-4"/>
          <w:sz w:val="18"/>
        </w:rPr>
        <w:t> </w:t>
      </w:r>
      <w:r>
        <w:rPr>
          <w:sz w:val="18"/>
        </w:rPr>
        <w:t>right</w:t>
      </w:r>
      <w:r>
        <w:rPr>
          <w:spacing w:val="-4"/>
          <w:sz w:val="18"/>
        </w:rPr>
        <w:t> </w:t>
      </w:r>
      <w:r>
        <w:rPr>
          <w:sz w:val="18"/>
        </w:rPr>
        <w:t>to</w:t>
      </w:r>
      <w:r>
        <w:rPr>
          <w:spacing w:val="-5"/>
          <w:sz w:val="18"/>
        </w:rPr>
        <w:t> </w:t>
      </w:r>
      <w:r>
        <w:rPr>
          <w:sz w:val="18"/>
        </w:rPr>
        <w:t>a</w:t>
      </w:r>
      <w:r>
        <w:rPr>
          <w:spacing w:val="-5"/>
          <w:sz w:val="18"/>
        </w:rPr>
        <w:t> </w:t>
      </w:r>
      <w:r>
        <w:rPr>
          <w:sz w:val="18"/>
        </w:rPr>
        <w:t>healthy</w:t>
      </w:r>
      <w:r>
        <w:rPr>
          <w:spacing w:val="-4"/>
          <w:sz w:val="18"/>
        </w:rPr>
        <w:t> </w:t>
      </w:r>
      <w:r>
        <w:rPr>
          <w:sz w:val="18"/>
        </w:rPr>
        <w:t>environment</w:t>
      </w:r>
      <w:r>
        <w:rPr>
          <w:spacing w:val="-4"/>
          <w:sz w:val="18"/>
        </w:rPr>
        <w:t> </w:t>
      </w:r>
      <w:r>
        <w:rPr>
          <w:sz w:val="18"/>
        </w:rPr>
        <w:t>and</w:t>
      </w:r>
      <w:r>
        <w:rPr>
          <w:spacing w:val="-5"/>
          <w:sz w:val="18"/>
        </w:rPr>
        <w:t> </w:t>
      </w:r>
      <w:r>
        <w:rPr>
          <w:sz w:val="18"/>
        </w:rPr>
        <w:t>-to</w:t>
      </w:r>
      <w:r>
        <w:rPr>
          <w:spacing w:val="-5"/>
          <w:sz w:val="18"/>
        </w:rPr>
        <w:t> </w:t>
      </w:r>
      <w:r>
        <w:rPr>
          <w:sz w:val="18"/>
        </w:rPr>
        <w:t>a</w:t>
      </w:r>
      <w:r>
        <w:rPr>
          <w:spacing w:val="-5"/>
          <w:sz w:val="18"/>
        </w:rPr>
        <w:t> </w:t>
      </w:r>
      <w:r>
        <w:rPr>
          <w:sz w:val="18"/>
        </w:rPr>
        <w:t>lesser</w:t>
      </w:r>
      <w:r>
        <w:rPr>
          <w:spacing w:val="-4"/>
          <w:sz w:val="18"/>
        </w:rPr>
        <w:t> </w:t>
      </w:r>
      <w:r>
        <w:rPr>
          <w:sz w:val="18"/>
        </w:rPr>
        <w:t>extent,</w:t>
      </w:r>
      <w:r>
        <w:rPr>
          <w:spacing w:val="-4"/>
          <w:sz w:val="18"/>
        </w:rPr>
        <w:t> </w:t>
      </w:r>
      <w:r>
        <w:rPr>
          <w:sz w:val="18"/>
        </w:rPr>
        <w:t>in</w:t>
      </w:r>
      <w:r>
        <w:rPr>
          <w:spacing w:val="-5"/>
          <w:sz w:val="18"/>
        </w:rPr>
        <w:t> </w:t>
      </w:r>
      <w:r>
        <w:rPr>
          <w:sz w:val="18"/>
        </w:rPr>
        <w:t>the</w:t>
      </w:r>
      <w:r>
        <w:rPr>
          <w:spacing w:val="-4"/>
          <w:sz w:val="18"/>
        </w:rPr>
        <w:t> </w:t>
      </w:r>
      <w:r>
        <w:rPr>
          <w:sz w:val="18"/>
        </w:rPr>
        <w:t>context</w:t>
      </w:r>
      <w:r>
        <w:rPr>
          <w:spacing w:val="-4"/>
          <w:sz w:val="18"/>
        </w:rPr>
        <w:t> </w:t>
      </w:r>
      <w:r>
        <w:rPr>
          <w:sz w:val="18"/>
        </w:rPr>
        <w:t>of</w:t>
      </w:r>
      <w:r>
        <w:rPr>
          <w:spacing w:val="-5"/>
          <w:sz w:val="18"/>
        </w:rPr>
        <w:t> </w:t>
      </w:r>
      <w:r>
        <w:rPr>
          <w:sz w:val="18"/>
        </w:rPr>
        <w:t>food</w:t>
      </w:r>
      <w:r>
        <w:rPr>
          <w:spacing w:val="-5"/>
          <w:sz w:val="18"/>
        </w:rPr>
        <w:t> </w:t>
      </w:r>
      <w:r>
        <w:rPr>
          <w:sz w:val="18"/>
        </w:rPr>
        <w:t>safety).</w:t>
      </w:r>
      <w:r>
        <w:rPr>
          <w:spacing w:val="-5"/>
          <w:sz w:val="18"/>
        </w:rPr>
        <w:t> </w:t>
      </w:r>
      <w:r>
        <w:rPr>
          <w:sz w:val="18"/>
        </w:rPr>
        <w:t>We</w:t>
      </w:r>
      <w:r>
        <w:rPr>
          <w:spacing w:val="-4"/>
          <w:sz w:val="18"/>
        </w:rPr>
        <w:t> </w:t>
      </w:r>
      <w:r>
        <w:rPr>
          <w:sz w:val="18"/>
        </w:rPr>
        <w:t>deemed</w:t>
      </w:r>
      <w:r>
        <w:rPr>
          <w:spacing w:val="-5"/>
          <w:sz w:val="18"/>
        </w:rPr>
        <w:t> </w:t>
      </w:r>
      <w:r>
        <w:rPr>
          <w:sz w:val="18"/>
        </w:rPr>
        <w:t>such regulations as not sufficiently relevant to human rights and equality due to their highly technical nature.</w:t>
      </w:r>
    </w:p>
    <w:p>
      <w:pPr>
        <w:pStyle w:val="ListParagraph"/>
        <w:numPr>
          <w:ilvl w:val="0"/>
          <w:numId w:val="18"/>
        </w:numPr>
        <w:tabs>
          <w:tab w:pos="1287" w:val="left" w:leader="none"/>
        </w:tabs>
        <w:spacing w:line="240" w:lineRule="auto" w:before="1" w:after="0"/>
        <w:ind w:left="1287" w:right="1194" w:hanging="567"/>
        <w:jc w:val="left"/>
        <w:rPr>
          <w:sz w:val="18"/>
        </w:rPr>
      </w:pPr>
      <w:r>
        <w:rPr>
          <w:color w:val="1D71B8"/>
          <w:sz w:val="18"/>
          <w:u w:val="single" w:color="1D71B8"/>
        </w:rPr>
        <w:t>EU Regulation 2022/850</w:t>
      </w:r>
      <w:r>
        <w:rPr>
          <w:color w:val="1D71B8"/>
          <w:sz w:val="18"/>
          <w:u w:val="none"/>
        </w:rPr>
        <w:t> </w:t>
      </w:r>
      <w:r>
        <w:rPr>
          <w:sz w:val="18"/>
          <w:u w:val="none"/>
        </w:rPr>
        <w:t>of the European Parliament and of the Council of 30 May 2022 on a computerised system for</w:t>
      </w:r>
      <w:r>
        <w:rPr>
          <w:sz w:val="18"/>
          <w:u w:val="none"/>
        </w:rPr>
        <w:t> the cross-border electronic exchange of data in the area of judicial cooperation in civil and criminal matters (e-CODEX system), and amending Regulation (EU) 2018/1726. </w:t>
      </w:r>
      <w:hyperlink r:id="rId126">
        <w:r>
          <w:rPr>
            <w:color w:val="1D71B8"/>
            <w:sz w:val="18"/>
            <w:u w:val="single" w:color="1D71B8"/>
          </w:rPr>
          <w:t>Regulation (EU) 2022/585</w:t>
        </w:r>
      </w:hyperlink>
      <w:r>
        <w:rPr>
          <w:color w:val="1D71B8"/>
          <w:sz w:val="18"/>
          <w:u w:val="none"/>
        </w:rPr>
        <w:t> </w:t>
      </w:r>
      <w:r>
        <w:rPr>
          <w:sz w:val="18"/>
          <w:u w:val="none"/>
        </w:rPr>
        <w:t>of the European Parliament and of the Council</w:t>
      </w:r>
      <w:r>
        <w:rPr>
          <w:spacing w:val="-4"/>
          <w:sz w:val="18"/>
          <w:u w:val="none"/>
        </w:rPr>
        <w:t> </w:t>
      </w:r>
      <w:r>
        <w:rPr>
          <w:sz w:val="18"/>
          <w:u w:val="none"/>
        </w:rPr>
        <w:t>of</w:t>
      </w:r>
      <w:r>
        <w:rPr>
          <w:spacing w:val="-4"/>
          <w:sz w:val="18"/>
          <w:u w:val="none"/>
        </w:rPr>
        <w:t> </w:t>
      </w:r>
      <w:r>
        <w:rPr>
          <w:sz w:val="18"/>
          <w:u w:val="none"/>
        </w:rPr>
        <w:t>6</w:t>
      </w:r>
      <w:r>
        <w:rPr>
          <w:spacing w:val="-4"/>
          <w:sz w:val="18"/>
          <w:u w:val="none"/>
        </w:rPr>
        <w:t> </w:t>
      </w:r>
      <w:r>
        <w:rPr>
          <w:sz w:val="18"/>
          <w:u w:val="none"/>
        </w:rPr>
        <w:t>April</w:t>
      </w:r>
      <w:r>
        <w:rPr>
          <w:spacing w:val="-4"/>
          <w:sz w:val="18"/>
          <w:u w:val="none"/>
        </w:rPr>
        <w:t> </w:t>
      </w:r>
      <w:r>
        <w:rPr>
          <w:sz w:val="18"/>
          <w:u w:val="none"/>
        </w:rPr>
        <w:t>2022</w:t>
      </w:r>
      <w:r>
        <w:rPr>
          <w:spacing w:val="-4"/>
          <w:sz w:val="18"/>
          <w:u w:val="none"/>
        </w:rPr>
        <w:t> </w:t>
      </w:r>
      <w:r>
        <w:rPr>
          <w:sz w:val="18"/>
          <w:u w:val="none"/>
        </w:rPr>
        <w:t>amending</w:t>
      </w:r>
      <w:r>
        <w:rPr>
          <w:spacing w:val="-4"/>
          <w:sz w:val="18"/>
          <w:u w:val="none"/>
        </w:rPr>
        <w:t> </w:t>
      </w:r>
      <w:r>
        <w:rPr>
          <w:sz w:val="18"/>
          <w:u w:val="none"/>
        </w:rPr>
        <w:t>Regulations</w:t>
      </w:r>
      <w:r>
        <w:rPr>
          <w:spacing w:val="-4"/>
          <w:sz w:val="18"/>
          <w:u w:val="none"/>
        </w:rPr>
        <w:t> </w:t>
      </w:r>
      <w:r>
        <w:rPr>
          <w:sz w:val="18"/>
          <w:u w:val="none"/>
        </w:rPr>
        <w:t>(EU)</w:t>
      </w:r>
      <w:r>
        <w:rPr>
          <w:spacing w:val="-4"/>
          <w:sz w:val="18"/>
          <w:u w:val="none"/>
        </w:rPr>
        <w:t> </w:t>
      </w:r>
      <w:r>
        <w:rPr>
          <w:sz w:val="18"/>
          <w:u w:val="none"/>
        </w:rPr>
        <w:t>No</w:t>
      </w:r>
      <w:r>
        <w:rPr>
          <w:spacing w:val="-4"/>
          <w:sz w:val="18"/>
          <w:u w:val="none"/>
        </w:rPr>
        <w:t> </w:t>
      </w:r>
      <w:r>
        <w:rPr>
          <w:sz w:val="18"/>
          <w:u w:val="none"/>
        </w:rPr>
        <w:t>514/2014</w:t>
      </w:r>
      <w:r>
        <w:rPr>
          <w:spacing w:val="-4"/>
          <w:sz w:val="18"/>
          <w:u w:val="none"/>
        </w:rPr>
        <w:t> </w:t>
      </w:r>
      <w:r>
        <w:rPr>
          <w:sz w:val="18"/>
          <w:u w:val="none"/>
        </w:rPr>
        <w:t>laying</w:t>
      </w:r>
      <w:r>
        <w:rPr>
          <w:spacing w:val="-4"/>
          <w:sz w:val="18"/>
          <w:u w:val="none"/>
        </w:rPr>
        <w:t> </w:t>
      </w:r>
      <w:r>
        <w:rPr>
          <w:sz w:val="18"/>
          <w:u w:val="none"/>
        </w:rPr>
        <w:t>down</w:t>
      </w:r>
      <w:r>
        <w:rPr>
          <w:spacing w:val="-4"/>
          <w:sz w:val="18"/>
          <w:u w:val="none"/>
        </w:rPr>
        <w:t> </w:t>
      </w:r>
      <w:r>
        <w:rPr>
          <w:sz w:val="18"/>
          <w:u w:val="none"/>
        </w:rPr>
        <w:t>general</w:t>
      </w:r>
      <w:r>
        <w:rPr>
          <w:spacing w:val="-4"/>
          <w:sz w:val="18"/>
          <w:u w:val="none"/>
        </w:rPr>
        <w:t> </w:t>
      </w:r>
      <w:r>
        <w:rPr>
          <w:sz w:val="18"/>
          <w:u w:val="none"/>
        </w:rPr>
        <w:t>provisions</w:t>
      </w:r>
      <w:r>
        <w:rPr>
          <w:spacing w:val="-4"/>
          <w:sz w:val="18"/>
          <w:u w:val="none"/>
        </w:rPr>
        <w:t> </w:t>
      </w:r>
      <w:r>
        <w:rPr>
          <w:sz w:val="18"/>
          <w:u w:val="none"/>
        </w:rPr>
        <w:t>on</w:t>
      </w:r>
      <w:r>
        <w:rPr>
          <w:spacing w:val="-4"/>
          <w:sz w:val="18"/>
          <w:u w:val="none"/>
        </w:rPr>
        <w:t> </w:t>
      </w:r>
      <w:r>
        <w:rPr>
          <w:sz w:val="18"/>
          <w:u w:val="none"/>
        </w:rPr>
        <w:t>the</w:t>
      </w:r>
      <w:r>
        <w:rPr>
          <w:spacing w:val="-4"/>
          <w:sz w:val="18"/>
          <w:u w:val="none"/>
        </w:rPr>
        <w:t> </w:t>
      </w:r>
      <w:r>
        <w:rPr>
          <w:sz w:val="18"/>
          <w:u w:val="none"/>
        </w:rPr>
        <w:t>Asylum,</w:t>
      </w:r>
      <w:r>
        <w:rPr>
          <w:spacing w:val="-4"/>
          <w:sz w:val="18"/>
          <w:u w:val="none"/>
        </w:rPr>
        <w:t> </w:t>
      </w:r>
      <w:r>
        <w:rPr>
          <w:sz w:val="18"/>
          <w:u w:val="none"/>
        </w:rPr>
        <w:t>Migration</w:t>
      </w:r>
    </w:p>
    <w:p>
      <w:pPr>
        <w:spacing w:before="1"/>
        <w:ind w:left="1287" w:right="1087" w:firstLine="0"/>
        <w:jc w:val="left"/>
        <w:rPr>
          <w:sz w:val="18"/>
        </w:rPr>
      </w:pPr>
      <w:r>
        <w:rPr>
          <w:sz w:val="18"/>
        </w:rPr>
        <w:t>and</w:t>
      </w:r>
      <w:r>
        <w:rPr>
          <w:spacing w:val="-6"/>
          <w:sz w:val="18"/>
        </w:rPr>
        <w:t> </w:t>
      </w:r>
      <w:r>
        <w:rPr>
          <w:sz w:val="18"/>
        </w:rPr>
        <w:t>Integration</w:t>
      </w:r>
      <w:r>
        <w:rPr>
          <w:spacing w:val="-6"/>
          <w:sz w:val="18"/>
        </w:rPr>
        <w:t> </w:t>
      </w:r>
      <w:r>
        <w:rPr>
          <w:sz w:val="18"/>
        </w:rPr>
        <w:t>Fund</w:t>
      </w:r>
      <w:r>
        <w:rPr>
          <w:spacing w:val="-6"/>
          <w:sz w:val="18"/>
        </w:rPr>
        <w:t> </w:t>
      </w:r>
      <w:r>
        <w:rPr>
          <w:sz w:val="18"/>
        </w:rPr>
        <w:t>and</w:t>
      </w:r>
      <w:r>
        <w:rPr>
          <w:spacing w:val="-6"/>
          <w:sz w:val="18"/>
        </w:rPr>
        <w:t> </w:t>
      </w:r>
      <w:r>
        <w:rPr>
          <w:sz w:val="18"/>
        </w:rPr>
        <w:t>on</w:t>
      </w:r>
      <w:r>
        <w:rPr>
          <w:spacing w:val="-6"/>
          <w:sz w:val="18"/>
        </w:rPr>
        <w:t> </w:t>
      </w:r>
      <w:r>
        <w:rPr>
          <w:sz w:val="18"/>
        </w:rPr>
        <w:t>the</w:t>
      </w:r>
      <w:r>
        <w:rPr>
          <w:spacing w:val="-5"/>
          <w:sz w:val="18"/>
        </w:rPr>
        <w:t> </w:t>
      </w:r>
      <w:r>
        <w:rPr>
          <w:sz w:val="18"/>
        </w:rPr>
        <w:t>instrument</w:t>
      </w:r>
      <w:r>
        <w:rPr>
          <w:spacing w:val="-5"/>
          <w:sz w:val="18"/>
        </w:rPr>
        <w:t> </w:t>
      </w:r>
      <w:r>
        <w:rPr>
          <w:sz w:val="18"/>
        </w:rPr>
        <w:t>for</w:t>
      </w:r>
      <w:r>
        <w:rPr>
          <w:spacing w:val="-5"/>
          <w:sz w:val="18"/>
        </w:rPr>
        <w:t> </w:t>
      </w:r>
      <w:r>
        <w:rPr>
          <w:sz w:val="18"/>
        </w:rPr>
        <w:t>financial</w:t>
      </w:r>
      <w:r>
        <w:rPr>
          <w:spacing w:val="-6"/>
          <w:sz w:val="18"/>
        </w:rPr>
        <w:t> </w:t>
      </w:r>
      <w:r>
        <w:rPr>
          <w:sz w:val="18"/>
        </w:rPr>
        <w:t>support</w:t>
      </w:r>
      <w:r>
        <w:rPr>
          <w:spacing w:val="-5"/>
          <w:sz w:val="18"/>
        </w:rPr>
        <w:t> </w:t>
      </w:r>
      <w:r>
        <w:rPr>
          <w:sz w:val="18"/>
        </w:rPr>
        <w:t>for</w:t>
      </w:r>
      <w:r>
        <w:rPr>
          <w:spacing w:val="-5"/>
          <w:sz w:val="18"/>
        </w:rPr>
        <w:t> </w:t>
      </w:r>
      <w:r>
        <w:rPr>
          <w:sz w:val="18"/>
        </w:rPr>
        <w:t>police</w:t>
      </w:r>
      <w:r>
        <w:rPr>
          <w:spacing w:val="-5"/>
          <w:sz w:val="18"/>
        </w:rPr>
        <w:t> </w:t>
      </w:r>
      <w:r>
        <w:rPr>
          <w:sz w:val="18"/>
        </w:rPr>
        <w:t>cooperation,</w:t>
      </w:r>
      <w:r>
        <w:rPr>
          <w:spacing w:val="-5"/>
          <w:sz w:val="18"/>
        </w:rPr>
        <w:t> </w:t>
      </w:r>
      <w:r>
        <w:rPr>
          <w:sz w:val="18"/>
        </w:rPr>
        <w:t>preventing</w:t>
      </w:r>
      <w:r>
        <w:rPr>
          <w:spacing w:val="-5"/>
          <w:sz w:val="18"/>
        </w:rPr>
        <w:t> </w:t>
      </w:r>
      <w:r>
        <w:rPr>
          <w:sz w:val="18"/>
        </w:rPr>
        <w:t>and</w:t>
      </w:r>
      <w:r>
        <w:rPr>
          <w:spacing w:val="-6"/>
          <w:sz w:val="18"/>
        </w:rPr>
        <w:t> </w:t>
      </w:r>
      <w:r>
        <w:rPr>
          <w:sz w:val="18"/>
        </w:rPr>
        <w:t>combating</w:t>
      </w:r>
      <w:r>
        <w:rPr>
          <w:spacing w:val="-5"/>
          <w:sz w:val="18"/>
        </w:rPr>
        <w:t> </w:t>
      </w:r>
      <w:r>
        <w:rPr>
          <w:sz w:val="18"/>
        </w:rPr>
        <w:t>crime, and crisis management, (EU) No 516/2014 establishing the Asylum, Migration and Integration Fund and (EU) 2021/1147 establishing the Asylum, Migration and Integration Fund).</w:t>
      </w:r>
    </w:p>
    <w:p>
      <w:pPr>
        <w:spacing w:after="0"/>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38144">
                <wp:simplePos x="0" y="0"/>
                <wp:positionH relativeFrom="page">
                  <wp:posOffset>-2</wp:posOffset>
                </wp:positionH>
                <wp:positionV relativeFrom="page">
                  <wp:posOffset>0</wp:posOffset>
                </wp:positionV>
                <wp:extent cx="7560309" cy="1155065"/>
                <wp:effectExtent l="0" t="0" r="0" b="0"/>
                <wp:wrapNone/>
                <wp:docPr id="703" name="Group 703"/>
                <wp:cNvGraphicFramePr>
                  <a:graphicFrameLocks/>
                </wp:cNvGraphicFramePr>
                <a:graphic>
                  <a:graphicData uri="http://schemas.microsoft.com/office/word/2010/wordprocessingGroup">
                    <wpg:wgp>
                      <wpg:cNvPr id="703" name="Group 703"/>
                      <wpg:cNvGrpSpPr/>
                      <wpg:grpSpPr>
                        <a:xfrm>
                          <a:off x="0" y="0"/>
                          <a:ext cx="7560309" cy="1155065"/>
                          <a:chExt cx="7560309" cy="1155065"/>
                        </a:xfrm>
                      </wpg:grpSpPr>
                      <wps:wsp>
                        <wps:cNvPr id="704" name="Graphic 704"/>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705" name="Graphic 705"/>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78336" id="docshapegroup571" coordorigin="0,0" coordsize="11906,1819">
                <v:shape style="position:absolute;left:0;top:0;width:11906;height:1819" id="docshape572"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4.2.3 Themes most legislated upon in our" w:id="112"/>
      <w:bookmarkEnd w:id="112"/>
      <w:r>
        <w:rPr/>
      </w:r>
      <w:bookmarkStart w:name="_bookmark46" w:id="113"/>
      <w:bookmarkEnd w:id="113"/>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79</w:t>
      </w:r>
    </w:p>
    <w:p>
      <w:pPr>
        <w:pStyle w:val="BodyText"/>
        <w:rPr>
          <w:b/>
        </w:rPr>
      </w:pPr>
    </w:p>
    <w:p>
      <w:pPr>
        <w:pStyle w:val="BodyText"/>
        <w:spacing w:before="48"/>
        <w:rPr>
          <w:b/>
        </w:rPr>
      </w:pPr>
    </w:p>
    <w:p>
      <w:pPr>
        <w:pStyle w:val="BodyText"/>
        <w:spacing w:line="232" w:lineRule="auto"/>
        <w:ind w:left="1117" w:right="738"/>
      </w:pPr>
      <w:r>
        <w:rPr/>
        <w:t>While Ireland is bound to respect all the 69 EU regulations mentioned above, note that</w:t>
      </w:r>
      <w:r>
        <w:rPr>
          <w:spacing w:val="-6"/>
        </w:rPr>
        <w:t> </w:t>
      </w:r>
      <w:r>
        <w:rPr/>
        <w:t>19</w:t>
      </w:r>
      <w:r>
        <w:rPr>
          <w:spacing w:val="-6"/>
        </w:rPr>
        <w:t> </w:t>
      </w:r>
      <w:r>
        <w:rPr/>
        <w:t>of</w:t>
      </w:r>
      <w:r>
        <w:rPr>
          <w:spacing w:val="-7"/>
        </w:rPr>
        <w:t> </w:t>
      </w:r>
      <w:r>
        <w:rPr/>
        <w:t>them</w:t>
      </w:r>
      <w:r>
        <w:rPr>
          <w:spacing w:val="-6"/>
        </w:rPr>
        <w:t> </w:t>
      </w:r>
      <w:r>
        <w:rPr/>
        <w:t>explicitly</w:t>
      </w:r>
      <w:r>
        <w:rPr>
          <w:spacing w:val="-6"/>
        </w:rPr>
        <w:t> </w:t>
      </w:r>
      <w:r>
        <w:rPr/>
        <w:t>mention</w:t>
      </w:r>
      <w:r>
        <w:rPr>
          <w:spacing w:val="-7"/>
        </w:rPr>
        <w:t> </w:t>
      </w:r>
      <w:r>
        <w:rPr/>
        <w:t>Ireland.</w:t>
      </w:r>
      <w:r>
        <w:rPr>
          <w:spacing w:val="-7"/>
        </w:rPr>
        <w:t> </w:t>
      </w:r>
      <w:r>
        <w:rPr/>
        <w:t>Specific</w:t>
      </w:r>
      <w:r>
        <w:rPr>
          <w:spacing w:val="-6"/>
        </w:rPr>
        <w:t> </w:t>
      </w:r>
      <w:r>
        <w:rPr/>
        <w:t>mentions</w:t>
      </w:r>
      <w:r>
        <w:rPr>
          <w:spacing w:val="-7"/>
        </w:rPr>
        <w:t> </w:t>
      </w:r>
      <w:r>
        <w:rPr/>
        <w:t>were</w:t>
      </w:r>
      <w:r>
        <w:rPr>
          <w:spacing w:val="-6"/>
        </w:rPr>
        <w:t> </w:t>
      </w:r>
      <w:r>
        <w:rPr/>
        <w:t>made</w:t>
      </w:r>
      <w:r>
        <w:rPr>
          <w:spacing w:val="-6"/>
        </w:rPr>
        <w:t> </w:t>
      </w:r>
      <w:r>
        <w:rPr/>
        <w:t>in</w:t>
      </w:r>
      <w:r>
        <w:rPr>
          <w:spacing w:val="-7"/>
        </w:rPr>
        <w:t> </w:t>
      </w:r>
      <w:r>
        <w:rPr/>
        <w:t>relation to: Protocol No 21 on the position of the United Kingdom and Ireland in respect</w:t>
      </w:r>
    </w:p>
    <w:p>
      <w:pPr>
        <w:pStyle w:val="BodyText"/>
        <w:spacing w:line="232" w:lineRule="auto"/>
        <w:ind w:left="1117" w:right="738"/>
      </w:pPr>
      <w:r>
        <w:rPr/>
        <w:t>of the area of freedom, security and justice;</w:t>
      </w:r>
      <w:r>
        <w:rPr>
          <w:vertAlign w:val="superscript"/>
        </w:rPr>
        <w:t>436</w:t>
      </w:r>
      <w:r>
        <w:rPr>
          <w:vertAlign w:val="baseline"/>
        </w:rPr>
        <w:t> Protocol No 19 on the Schengen acquis integrated into the framework of the European Union;</w:t>
      </w:r>
      <w:r>
        <w:rPr>
          <w:vertAlign w:val="superscript"/>
        </w:rPr>
        <w:t>437</w:t>
      </w:r>
      <w:r>
        <w:rPr>
          <w:vertAlign w:val="baseline"/>
        </w:rPr>
        <w:t> the Withdrawal Agreement;</w:t>
      </w:r>
      <w:r>
        <w:rPr>
          <w:spacing w:val="-6"/>
          <w:vertAlign w:val="baseline"/>
        </w:rPr>
        <w:t> </w:t>
      </w:r>
      <w:r>
        <w:rPr>
          <w:vertAlign w:val="baseline"/>
        </w:rPr>
        <w:t>or</w:t>
      </w:r>
      <w:r>
        <w:rPr>
          <w:spacing w:val="-6"/>
          <w:vertAlign w:val="baseline"/>
        </w:rPr>
        <w:t> </w:t>
      </w:r>
      <w:r>
        <w:rPr>
          <w:vertAlign w:val="baseline"/>
        </w:rPr>
        <w:t>when</w:t>
      </w:r>
      <w:r>
        <w:rPr>
          <w:spacing w:val="-7"/>
          <w:vertAlign w:val="baseline"/>
        </w:rPr>
        <w:t> </w:t>
      </w:r>
      <w:r>
        <w:rPr>
          <w:vertAlign w:val="baseline"/>
        </w:rPr>
        <w:t>listing</w:t>
      </w:r>
      <w:r>
        <w:rPr>
          <w:spacing w:val="-6"/>
          <w:vertAlign w:val="baseline"/>
        </w:rPr>
        <w:t> </w:t>
      </w:r>
      <w:r>
        <w:rPr>
          <w:vertAlign w:val="baseline"/>
        </w:rPr>
        <w:t>Ireland</w:t>
      </w:r>
      <w:r>
        <w:rPr>
          <w:spacing w:val="-7"/>
          <w:vertAlign w:val="baseline"/>
        </w:rPr>
        <w:t> </w:t>
      </w:r>
      <w:r>
        <w:rPr>
          <w:vertAlign w:val="baseline"/>
        </w:rPr>
        <w:t>amongst</w:t>
      </w:r>
      <w:r>
        <w:rPr>
          <w:spacing w:val="-6"/>
          <w:vertAlign w:val="baseline"/>
        </w:rPr>
        <w:t> </w:t>
      </w:r>
      <w:r>
        <w:rPr>
          <w:vertAlign w:val="baseline"/>
        </w:rPr>
        <w:t>the</w:t>
      </w:r>
      <w:r>
        <w:rPr>
          <w:spacing w:val="-6"/>
          <w:vertAlign w:val="baseline"/>
        </w:rPr>
        <w:t> </w:t>
      </w:r>
      <w:r>
        <w:rPr>
          <w:vertAlign w:val="baseline"/>
        </w:rPr>
        <w:t>countries</w:t>
      </w:r>
      <w:r>
        <w:rPr>
          <w:spacing w:val="-7"/>
          <w:vertAlign w:val="baseline"/>
        </w:rPr>
        <w:t> </w:t>
      </w:r>
      <w:r>
        <w:rPr>
          <w:vertAlign w:val="baseline"/>
        </w:rPr>
        <w:t>specified</w:t>
      </w:r>
      <w:r>
        <w:rPr>
          <w:spacing w:val="-7"/>
          <w:vertAlign w:val="baseline"/>
        </w:rPr>
        <w:t> </w:t>
      </w:r>
      <w:r>
        <w:rPr>
          <w:vertAlign w:val="baseline"/>
        </w:rPr>
        <w:t>in</w:t>
      </w:r>
      <w:r>
        <w:rPr>
          <w:spacing w:val="-7"/>
          <w:vertAlign w:val="baseline"/>
        </w:rPr>
        <w:t> </w:t>
      </w:r>
      <w:r>
        <w:rPr>
          <w:vertAlign w:val="baseline"/>
        </w:rPr>
        <w:t>the</w:t>
      </w:r>
      <w:r>
        <w:rPr>
          <w:spacing w:val="-6"/>
          <w:vertAlign w:val="baseline"/>
        </w:rPr>
        <w:t> </w:t>
      </w:r>
      <w:r>
        <w:rPr>
          <w:vertAlign w:val="baseline"/>
        </w:rPr>
        <w:t>Annexes of the regulations.</w:t>
      </w:r>
    </w:p>
    <w:p>
      <w:pPr>
        <w:pStyle w:val="BodyText"/>
        <w:spacing w:before="54"/>
      </w:pPr>
    </w:p>
    <w:p>
      <w:pPr>
        <w:pStyle w:val="ListParagraph"/>
        <w:numPr>
          <w:ilvl w:val="2"/>
          <w:numId w:val="28"/>
        </w:numPr>
        <w:tabs>
          <w:tab w:pos="1755" w:val="left" w:leader="none"/>
        </w:tabs>
        <w:spacing w:line="232" w:lineRule="auto" w:before="0" w:after="0"/>
        <w:ind w:left="1117" w:right="928" w:firstLine="0"/>
        <w:jc w:val="left"/>
        <w:rPr>
          <w:sz w:val="28"/>
        </w:rPr>
      </w:pPr>
      <w:r>
        <w:rPr>
          <w:b/>
          <w:color w:val="004A93"/>
          <w:sz w:val="28"/>
        </w:rPr>
        <w:t>Themes most legislated upon in our sample of adopted EU legislation </w:t>
      </w:r>
      <w:r>
        <w:rPr>
          <w:sz w:val="28"/>
        </w:rPr>
        <w:t>Most EU directives and regulations adopted between 1 January 2022 and 31 August</w:t>
      </w:r>
      <w:r>
        <w:rPr>
          <w:spacing w:val="-6"/>
          <w:sz w:val="28"/>
        </w:rPr>
        <w:t> </w:t>
      </w:r>
      <w:r>
        <w:rPr>
          <w:sz w:val="28"/>
        </w:rPr>
        <w:t>2023</w:t>
      </w:r>
      <w:r>
        <w:rPr>
          <w:spacing w:val="-6"/>
          <w:sz w:val="28"/>
        </w:rPr>
        <w:t> </w:t>
      </w:r>
      <w:r>
        <w:rPr>
          <w:sz w:val="28"/>
        </w:rPr>
        <w:t>that</w:t>
      </w:r>
      <w:r>
        <w:rPr>
          <w:spacing w:val="-6"/>
          <w:sz w:val="28"/>
        </w:rPr>
        <w:t> </w:t>
      </w:r>
      <w:r>
        <w:rPr>
          <w:sz w:val="28"/>
        </w:rPr>
        <w:t>relate</w:t>
      </w:r>
      <w:r>
        <w:rPr>
          <w:spacing w:val="-6"/>
          <w:sz w:val="28"/>
        </w:rPr>
        <w:t> </w:t>
      </w:r>
      <w:r>
        <w:rPr>
          <w:sz w:val="28"/>
        </w:rPr>
        <w:t>to</w:t>
      </w:r>
      <w:r>
        <w:rPr>
          <w:spacing w:val="-7"/>
          <w:sz w:val="28"/>
        </w:rPr>
        <w:t> </w:t>
      </w:r>
      <w:r>
        <w:rPr>
          <w:sz w:val="28"/>
        </w:rPr>
        <w:t>human</w:t>
      </w:r>
      <w:r>
        <w:rPr>
          <w:spacing w:val="-7"/>
          <w:sz w:val="28"/>
        </w:rPr>
        <w:t> </w:t>
      </w:r>
      <w:r>
        <w:rPr>
          <w:sz w:val="28"/>
        </w:rPr>
        <w:t>rights</w:t>
      </w:r>
      <w:r>
        <w:rPr>
          <w:spacing w:val="-7"/>
          <w:sz w:val="28"/>
        </w:rPr>
        <w:t> </w:t>
      </w:r>
      <w:r>
        <w:rPr>
          <w:sz w:val="28"/>
        </w:rPr>
        <w:t>and</w:t>
      </w:r>
      <w:r>
        <w:rPr>
          <w:spacing w:val="-7"/>
          <w:sz w:val="28"/>
        </w:rPr>
        <w:t> </w:t>
      </w:r>
      <w:r>
        <w:rPr>
          <w:sz w:val="28"/>
        </w:rPr>
        <w:t>equality,</w:t>
      </w:r>
      <w:r>
        <w:rPr>
          <w:spacing w:val="-6"/>
          <w:sz w:val="28"/>
        </w:rPr>
        <w:t> </w:t>
      </w:r>
      <w:r>
        <w:rPr>
          <w:sz w:val="28"/>
        </w:rPr>
        <w:t>concern</w:t>
      </w:r>
      <w:r>
        <w:rPr>
          <w:spacing w:val="-7"/>
          <w:sz w:val="28"/>
        </w:rPr>
        <w:t> </w:t>
      </w:r>
      <w:r>
        <w:rPr>
          <w:sz w:val="28"/>
        </w:rPr>
        <w:t>the</w:t>
      </w:r>
      <w:r>
        <w:rPr>
          <w:spacing w:val="-6"/>
          <w:sz w:val="28"/>
        </w:rPr>
        <w:t> </w:t>
      </w:r>
      <w:r>
        <w:rPr>
          <w:b/>
          <w:sz w:val="28"/>
        </w:rPr>
        <w:t>right</w:t>
      </w:r>
      <w:r>
        <w:rPr>
          <w:b/>
          <w:spacing w:val="-6"/>
          <w:sz w:val="28"/>
        </w:rPr>
        <w:t> </w:t>
      </w:r>
      <w:r>
        <w:rPr>
          <w:b/>
          <w:sz w:val="28"/>
        </w:rPr>
        <w:t>to</w:t>
      </w:r>
      <w:r>
        <w:rPr>
          <w:b/>
          <w:spacing w:val="-6"/>
          <w:sz w:val="28"/>
        </w:rPr>
        <w:t> </w:t>
      </w:r>
      <w:r>
        <w:rPr>
          <w:b/>
          <w:sz w:val="28"/>
        </w:rPr>
        <w:t>health</w:t>
      </w:r>
      <w:r>
        <w:rPr>
          <w:sz w:val="28"/>
        </w:rPr>
        <w:t>, </w:t>
      </w:r>
      <w:r>
        <w:rPr>
          <w:b/>
          <w:sz w:val="28"/>
        </w:rPr>
        <w:t>including the right to a healthy environment</w:t>
      </w:r>
      <w:r>
        <w:rPr>
          <w:sz w:val="28"/>
        </w:rPr>
        <w:t>. Two factors may explain this.</w:t>
      </w:r>
    </w:p>
    <w:p>
      <w:pPr>
        <w:pStyle w:val="BodyText"/>
        <w:spacing w:line="232" w:lineRule="auto" w:before="277"/>
        <w:ind w:left="1117" w:right="888"/>
      </w:pPr>
      <w:r>
        <w:rPr/>
        <w:t>Firstly, in the context of EU regulations, we had to select thematic filters to identify</w:t>
      </w:r>
      <w:r>
        <w:rPr>
          <w:spacing w:val="-6"/>
        </w:rPr>
        <w:t> </w:t>
      </w:r>
      <w:r>
        <w:rPr/>
        <w:t>documents</w:t>
      </w:r>
      <w:r>
        <w:rPr>
          <w:spacing w:val="-7"/>
        </w:rPr>
        <w:t> </w:t>
      </w:r>
      <w:r>
        <w:rPr/>
        <w:t>that</w:t>
      </w:r>
      <w:r>
        <w:rPr>
          <w:spacing w:val="-6"/>
        </w:rPr>
        <w:t> </w:t>
      </w:r>
      <w:r>
        <w:rPr/>
        <w:t>sufficiently</w:t>
      </w:r>
      <w:r>
        <w:rPr>
          <w:spacing w:val="-6"/>
        </w:rPr>
        <w:t> </w:t>
      </w:r>
      <w:r>
        <w:rPr/>
        <w:t>related</w:t>
      </w:r>
      <w:r>
        <w:rPr>
          <w:spacing w:val="-7"/>
        </w:rPr>
        <w:t> </w:t>
      </w:r>
      <w:r>
        <w:rPr/>
        <w:t>to</w:t>
      </w:r>
      <w:r>
        <w:rPr>
          <w:spacing w:val="-7"/>
        </w:rPr>
        <w:t> </w:t>
      </w:r>
      <w:r>
        <w:rPr/>
        <w:t>human</w:t>
      </w:r>
      <w:r>
        <w:rPr>
          <w:spacing w:val="-7"/>
        </w:rPr>
        <w:t> </w:t>
      </w:r>
      <w:r>
        <w:rPr/>
        <w:t>rights</w:t>
      </w:r>
      <w:r>
        <w:rPr>
          <w:spacing w:val="-7"/>
        </w:rPr>
        <w:t> </w:t>
      </w:r>
      <w:r>
        <w:rPr/>
        <w:t>and</w:t>
      </w:r>
      <w:r>
        <w:rPr>
          <w:spacing w:val="-7"/>
        </w:rPr>
        <w:t> </w:t>
      </w:r>
      <w:r>
        <w:rPr/>
        <w:t>equality;</w:t>
      </w:r>
      <w:r>
        <w:rPr>
          <w:spacing w:val="-6"/>
        </w:rPr>
        <w:t> </w:t>
      </w:r>
      <w:r>
        <w:rPr/>
        <w:t>and</w:t>
      </w:r>
      <w:r>
        <w:rPr>
          <w:spacing w:val="-7"/>
        </w:rPr>
        <w:t> </w:t>
      </w:r>
      <w:r>
        <w:rPr/>
        <w:t>the number of filters relevant to the right to health (including the right to a healthy</w:t>
      </w:r>
    </w:p>
    <w:p>
      <w:pPr>
        <w:pStyle w:val="BodyText"/>
        <w:spacing w:line="232" w:lineRule="auto"/>
        <w:ind w:left="1117" w:right="738"/>
      </w:pPr>
      <w:r>
        <w:rPr/>
        <w:t>environment)</w:t>
      </w:r>
      <w:r>
        <w:rPr>
          <w:spacing w:val="-7"/>
        </w:rPr>
        <w:t> </w:t>
      </w:r>
      <w:r>
        <w:rPr/>
        <w:t>was</w:t>
      </w:r>
      <w:r>
        <w:rPr>
          <w:spacing w:val="-7"/>
        </w:rPr>
        <w:t> </w:t>
      </w:r>
      <w:r>
        <w:rPr/>
        <w:t>higher</w:t>
      </w:r>
      <w:r>
        <w:rPr>
          <w:spacing w:val="-6"/>
        </w:rPr>
        <w:t> </w:t>
      </w:r>
      <w:r>
        <w:rPr/>
        <w:t>than</w:t>
      </w:r>
      <w:r>
        <w:rPr>
          <w:spacing w:val="-7"/>
        </w:rPr>
        <w:t> </w:t>
      </w:r>
      <w:r>
        <w:rPr/>
        <w:t>the</w:t>
      </w:r>
      <w:r>
        <w:rPr>
          <w:spacing w:val="-6"/>
        </w:rPr>
        <w:t> </w:t>
      </w:r>
      <w:r>
        <w:rPr/>
        <w:t>number</w:t>
      </w:r>
      <w:r>
        <w:rPr>
          <w:spacing w:val="-6"/>
        </w:rPr>
        <w:t> </w:t>
      </w:r>
      <w:r>
        <w:rPr/>
        <w:t>of</w:t>
      </w:r>
      <w:r>
        <w:rPr>
          <w:spacing w:val="-7"/>
        </w:rPr>
        <w:t> </w:t>
      </w:r>
      <w:r>
        <w:rPr/>
        <w:t>filters</w:t>
      </w:r>
      <w:r>
        <w:rPr>
          <w:spacing w:val="-7"/>
        </w:rPr>
        <w:t> </w:t>
      </w:r>
      <w:r>
        <w:rPr/>
        <w:t>relevant</w:t>
      </w:r>
      <w:r>
        <w:rPr>
          <w:spacing w:val="-6"/>
        </w:rPr>
        <w:t> </w:t>
      </w:r>
      <w:r>
        <w:rPr/>
        <w:t>to</w:t>
      </w:r>
      <w:r>
        <w:rPr>
          <w:spacing w:val="-7"/>
        </w:rPr>
        <w:t> </w:t>
      </w:r>
      <w:r>
        <w:rPr/>
        <w:t>other</w:t>
      </w:r>
      <w:r>
        <w:rPr>
          <w:spacing w:val="-6"/>
        </w:rPr>
        <w:t> </w:t>
      </w:r>
      <w:r>
        <w:rPr/>
        <w:t>rights</w:t>
      </w:r>
      <w:r>
        <w:rPr>
          <w:spacing w:val="-7"/>
        </w:rPr>
        <w:t> </w:t>
      </w:r>
      <w:r>
        <w:rPr/>
        <w:t>(that</w:t>
      </w:r>
      <w:r>
        <w:rPr>
          <w:spacing w:val="-6"/>
        </w:rPr>
        <w:t> </w:t>
      </w:r>
      <w:r>
        <w:rPr/>
        <w:t>is, a total of four thematic filters: ‘environment’; ‘health and safety’; ‘pollution’; and ‘public health’).</w:t>
      </w:r>
    </w:p>
    <w:p>
      <w:pPr>
        <w:pStyle w:val="BodyText"/>
        <w:spacing w:line="232" w:lineRule="auto" w:before="274"/>
        <w:ind w:left="1117" w:right="738"/>
      </w:pPr>
      <w:r>
        <w:rPr/>
        <w:t>Secondly, this focus on the right to health (including the right to a healthy environment) is not surprising given the significant amount of work the EU has historically</w:t>
      </w:r>
      <w:r>
        <w:rPr>
          <w:spacing w:val="-8"/>
        </w:rPr>
        <w:t> </w:t>
      </w:r>
      <w:r>
        <w:rPr/>
        <w:t>dedicated</w:t>
      </w:r>
      <w:r>
        <w:rPr>
          <w:spacing w:val="-9"/>
        </w:rPr>
        <w:t> </w:t>
      </w:r>
      <w:r>
        <w:rPr/>
        <w:t>towards</w:t>
      </w:r>
      <w:r>
        <w:rPr>
          <w:spacing w:val="-9"/>
        </w:rPr>
        <w:t> </w:t>
      </w:r>
      <w:r>
        <w:rPr/>
        <w:t>protecting</w:t>
      </w:r>
      <w:r>
        <w:rPr>
          <w:spacing w:val="-8"/>
        </w:rPr>
        <w:t> </w:t>
      </w:r>
      <w:r>
        <w:rPr/>
        <w:t>consumers’</w:t>
      </w:r>
      <w:r>
        <w:rPr>
          <w:spacing w:val="-8"/>
        </w:rPr>
        <w:t> </w:t>
      </w:r>
      <w:r>
        <w:rPr/>
        <w:t>rights</w:t>
      </w:r>
      <w:r>
        <w:rPr>
          <w:spacing w:val="-9"/>
        </w:rPr>
        <w:t> </w:t>
      </w:r>
      <w:r>
        <w:rPr/>
        <w:t>when</w:t>
      </w:r>
      <w:r>
        <w:rPr>
          <w:spacing w:val="-9"/>
        </w:rPr>
        <w:t> </w:t>
      </w:r>
      <w:r>
        <w:rPr/>
        <w:t>it</w:t>
      </w:r>
      <w:r>
        <w:rPr>
          <w:spacing w:val="-8"/>
        </w:rPr>
        <w:t> </w:t>
      </w:r>
      <w:r>
        <w:rPr/>
        <w:t>comes</w:t>
      </w:r>
      <w:r>
        <w:rPr>
          <w:spacing w:val="-9"/>
        </w:rPr>
        <w:t> </w:t>
      </w:r>
      <w:r>
        <w:rPr/>
        <w:t>to</w:t>
      </w:r>
      <w:r>
        <w:rPr>
          <w:spacing w:val="-9"/>
        </w:rPr>
        <w:t> </w:t>
      </w:r>
      <w:r>
        <w:rPr/>
        <w:t>the health and safety of food and other products circulating in the Union (perhaps heightened by the COVID-19 pandemic). It is not surprising either given the</w:t>
      </w:r>
    </w:p>
    <w:p>
      <w:pPr>
        <w:pStyle w:val="BodyText"/>
        <w:spacing w:line="232" w:lineRule="auto"/>
        <w:ind w:left="1117" w:right="1250"/>
      </w:pPr>
      <w:r>
        <w:rPr/>
        <w:t>EU’s</w:t>
      </w:r>
      <w:r>
        <w:rPr>
          <w:spacing w:val="-12"/>
        </w:rPr>
        <w:t> </w:t>
      </w:r>
      <w:r>
        <w:rPr/>
        <w:t>global</w:t>
      </w:r>
      <w:r>
        <w:rPr>
          <w:spacing w:val="-12"/>
        </w:rPr>
        <w:t> </w:t>
      </w:r>
      <w:r>
        <w:rPr/>
        <w:t>leading</w:t>
      </w:r>
      <w:r>
        <w:rPr>
          <w:spacing w:val="-11"/>
        </w:rPr>
        <w:t> </w:t>
      </w:r>
      <w:r>
        <w:rPr/>
        <w:t>role</w:t>
      </w:r>
      <w:r>
        <w:rPr>
          <w:spacing w:val="-11"/>
        </w:rPr>
        <w:t> </w:t>
      </w:r>
      <w:r>
        <w:rPr/>
        <w:t>in</w:t>
      </w:r>
      <w:r>
        <w:rPr>
          <w:spacing w:val="-12"/>
        </w:rPr>
        <w:t> </w:t>
      </w:r>
      <w:r>
        <w:rPr/>
        <w:t>environmental</w:t>
      </w:r>
      <w:r>
        <w:rPr>
          <w:spacing w:val="-12"/>
        </w:rPr>
        <w:t> </w:t>
      </w:r>
      <w:r>
        <w:rPr/>
        <w:t>protection,</w:t>
      </w:r>
      <w:r>
        <w:rPr>
          <w:spacing w:val="-11"/>
        </w:rPr>
        <w:t> </w:t>
      </w:r>
      <w:r>
        <w:rPr/>
        <w:t>with</w:t>
      </w:r>
      <w:r>
        <w:rPr>
          <w:spacing w:val="-12"/>
        </w:rPr>
        <w:t> </w:t>
      </w:r>
      <w:r>
        <w:rPr/>
        <w:t>continuous</w:t>
      </w:r>
      <w:r>
        <w:rPr>
          <w:spacing w:val="-12"/>
        </w:rPr>
        <w:t> </w:t>
      </w:r>
      <w:r>
        <w:rPr/>
        <w:t>attempts at setting high standards across the Union (especially as the climate crisis</w:t>
      </w:r>
    </w:p>
    <w:p>
      <w:pPr>
        <w:pStyle w:val="BodyText"/>
        <w:spacing w:line="232" w:lineRule="auto"/>
        <w:ind w:left="1117" w:right="887"/>
      </w:pPr>
      <w:r>
        <w:rPr/>
        <w:t>escalates).</w:t>
      </w:r>
      <w:r>
        <w:rPr>
          <w:spacing w:val="-6"/>
        </w:rPr>
        <w:t> </w:t>
      </w:r>
      <w:r>
        <w:rPr/>
        <w:t>Following</w:t>
      </w:r>
      <w:r>
        <w:rPr>
          <w:spacing w:val="-5"/>
        </w:rPr>
        <w:t> </w:t>
      </w:r>
      <w:r>
        <w:rPr/>
        <w:t>Brexit,</w:t>
      </w:r>
      <w:r>
        <w:rPr>
          <w:spacing w:val="-5"/>
        </w:rPr>
        <w:t> </w:t>
      </w:r>
      <w:r>
        <w:rPr/>
        <w:t>the</w:t>
      </w:r>
      <w:r>
        <w:rPr>
          <w:spacing w:val="-5"/>
        </w:rPr>
        <w:t> </w:t>
      </w:r>
      <w:r>
        <w:rPr/>
        <w:t>UK</w:t>
      </w:r>
      <w:r>
        <w:rPr>
          <w:spacing w:val="-5"/>
        </w:rPr>
        <w:t> </w:t>
      </w:r>
      <w:r>
        <w:rPr/>
        <w:t>(including</w:t>
      </w:r>
      <w:r>
        <w:rPr>
          <w:spacing w:val="-5"/>
        </w:rPr>
        <w:t> </w:t>
      </w:r>
      <w:r>
        <w:rPr/>
        <w:t>NI)</w:t>
      </w:r>
      <w:r>
        <w:rPr>
          <w:spacing w:val="-6"/>
        </w:rPr>
        <w:t> </w:t>
      </w:r>
      <w:r>
        <w:rPr/>
        <w:t>is</w:t>
      </w:r>
      <w:r>
        <w:rPr>
          <w:spacing w:val="-6"/>
        </w:rPr>
        <w:t> </w:t>
      </w:r>
      <w:r>
        <w:rPr/>
        <w:t>no</w:t>
      </w:r>
      <w:r>
        <w:rPr>
          <w:spacing w:val="-6"/>
        </w:rPr>
        <w:t> </w:t>
      </w:r>
      <w:r>
        <w:rPr/>
        <w:t>longer</w:t>
      </w:r>
      <w:r>
        <w:rPr>
          <w:spacing w:val="-5"/>
        </w:rPr>
        <w:t> </w:t>
      </w:r>
      <w:r>
        <w:rPr/>
        <w:t>under</w:t>
      </w:r>
      <w:r>
        <w:rPr>
          <w:spacing w:val="-5"/>
        </w:rPr>
        <w:t> </w:t>
      </w:r>
      <w:r>
        <w:rPr/>
        <w:t>the</w:t>
      </w:r>
      <w:r>
        <w:rPr>
          <w:spacing w:val="-5"/>
        </w:rPr>
        <w:t> </w:t>
      </w:r>
      <w:r>
        <w:rPr/>
        <w:t>obligation to follow high EU standards regarding the quality of goods and services that can impact negatively on human health and the environment. This is particularly problematic for the island of Ireland, which represents a ‘single biogeographic</w:t>
      </w:r>
      <w:r>
        <w:rPr/>
        <w:t> unit</w:t>
      </w:r>
      <w:r>
        <w:rPr>
          <w:spacing w:val="-5"/>
        </w:rPr>
        <w:t> </w:t>
      </w:r>
      <w:r>
        <w:rPr/>
        <w:t>with</w:t>
      </w:r>
      <w:r>
        <w:rPr>
          <w:spacing w:val="-6"/>
        </w:rPr>
        <w:t> </w:t>
      </w:r>
      <w:r>
        <w:rPr/>
        <w:t>shared</w:t>
      </w:r>
      <w:r>
        <w:rPr>
          <w:spacing w:val="-6"/>
        </w:rPr>
        <w:t> </w:t>
      </w:r>
      <w:r>
        <w:rPr/>
        <w:t>land</w:t>
      </w:r>
      <w:r>
        <w:rPr>
          <w:spacing w:val="-6"/>
        </w:rPr>
        <w:t> </w:t>
      </w:r>
      <w:r>
        <w:rPr/>
        <w:t>and</w:t>
      </w:r>
      <w:r>
        <w:rPr>
          <w:spacing w:val="-6"/>
        </w:rPr>
        <w:t> </w:t>
      </w:r>
      <w:r>
        <w:rPr/>
        <w:t>sea</w:t>
      </w:r>
      <w:r>
        <w:rPr>
          <w:spacing w:val="-6"/>
        </w:rPr>
        <w:t> </w:t>
      </w:r>
      <w:r>
        <w:rPr/>
        <w:t>borders</w:t>
      </w:r>
      <w:r>
        <w:rPr>
          <w:spacing w:val="-6"/>
        </w:rPr>
        <w:t> </w:t>
      </w:r>
      <w:r>
        <w:rPr/>
        <w:t>[…and]</w:t>
      </w:r>
      <w:r>
        <w:rPr>
          <w:spacing w:val="-5"/>
        </w:rPr>
        <w:t> </w:t>
      </w:r>
      <w:r>
        <w:rPr/>
        <w:t>environmental</w:t>
      </w:r>
      <w:r>
        <w:rPr>
          <w:spacing w:val="-6"/>
        </w:rPr>
        <w:t> </w:t>
      </w:r>
      <w:r>
        <w:rPr/>
        <w:t>issues</w:t>
      </w:r>
      <w:r>
        <w:rPr>
          <w:spacing w:val="-6"/>
        </w:rPr>
        <w:t> </w:t>
      </w:r>
      <w:r>
        <w:rPr/>
        <w:t>do</w:t>
      </w:r>
      <w:r>
        <w:rPr>
          <w:spacing w:val="-6"/>
        </w:rPr>
        <w:t> </w:t>
      </w:r>
      <w:r>
        <w:rPr/>
        <w:t>not</w:t>
      </w:r>
      <w:r>
        <w:rPr>
          <w:spacing w:val="-5"/>
        </w:rPr>
        <w:t> </w:t>
      </w:r>
      <w:r>
        <w:rPr/>
        <w:t>respect borders, […thereby requiring] close cross-border cooperation’, including for instance</w:t>
      </w:r>
      <w:r>
        <w:rPr>
          <w:spacing w:val="-3"/>
        </w:rPr>
        <w:t> </w:t>
      </w:r>
      <w:r>
        <w:rPr/>
        <w:t>to</w:t>
      </w:r>
      <w:r>
        <w:rPr>
          <w:spacing w:val="-4"/>
        </w:rPr>
        <w:t> </w:t>
      </w:r>
      <w:r>
        <w:rPr/>
        <w:t>conserve</w:t>
      </w:r>
      <w:r>
        <w:rPr>
          <w:spacing w:val="-3"/>
        </w:rPr>
        <w:t> </w:t>
      </w:r>
      <w:r>
        <w:rPr/>
        <w:t>species</w:t>
      </w:r>
      <w:r>
        <w:rPr>
          <w:spacing w:val="-4"/>
        </w:rPr>
        <w:t> </w:t>
      </w:r>
      <w:r>
        <w:rPr/>
        <w:t>and</w:t>
      </w:r>
      <w:r>
        <w:rPr>
          <w:spacing w:val="-4"/>
        </w:rPr>
        <w:t> </w:t>
      </w:r>
      <w:r>
        <w:rPr/>
        <w:t>habitats,</w:t>
      </w:r>
      <w:r>
        <w:rPr>
          <w:spacing w:val="-3"/>
        </w:rPr>
        <w:t> </w:t>
      </w:r>
      <w:r>
        <w:rPr/>
        <w:t>protect</w:t>
      </w:r>
      <w:r>
        <w:rPr>
          <w:spacing w:val="-3"/>
        </w:rPr>
        <w:t> </w:t>
      </w:r>
      <w:r>
        <w:rPr/>
        <w:t>shared</w:t>
      </w:r>
      <w:r>
        <w:rPr>
          <w:spacing w:val="-4"/>
        </w:rPr>
        <w:t> </w:t>
      </w:r>
      <w:r>
        <w:rPr/>
        <w:t>waters</w:t>
      </w:r>
      <w:r>
        <w:rPr>
          <w:spacing w:val="-4"/>
        </w:rPr>
        <w:t> </w:t>
      </w:r>
      <w:r>
        <w:rPr/>
        <w:t>and</w:t>
      </w:r>
      <w:r>
        <w:rPr>
          <w:spacing w:val="-4"/>
        </w:rPr>
        <w:t> </w:t>
      </w:r>
      <w:r>
        <w:rPr/>
        <w:t>tackle</w:t>
      </w:r>
      <w:r>
        <w:rPr>
          <w:spacing w:val="-3"/>
        </w:rPr>
        <w:t> </w:t>
      </w:r>
      <w:r>
        <w:rPr/>
        <w:t>illegal</w:t>
      </w:r>
    </w:p>
    <w:p>
      <w:pPr>
        <w:pStyle w:val="BodyText"/>
        <w:spacing w:line="232" w:lineRule="auto"/>
        <w:ind w:left="1117" w:right="738"/>
      </w:pPr>
      <w:r>
        <w:rPr/>
        <w:t>waste.</w:t>
      </w:r>
      <w:r>
        <w:rPr>
          <w:vertAlign w:val="superscript"/>
        </w:rPr>
        <w:t>438</w:t>
      </w:r>
      <w:r>
        <w:rPr>
          <w:spacing w:val="-10"/>
          <w:vertAlign w:val="baseline"/>
        </w:rPr>
        <w:t> </w:t>
      </w:r>
      <w:r>
        <w:rPr>
          <w:vertAlign w:val="baseline"/>
        </w:rPr>
        <w:t>Divergence</w:t>
      </w:r>
      <w:r>
        <w:rPr>
          <w:spacing w:val="-9"/>
          <w:vertAlign w:val="baseline"/>
        </w:rPr>
        <w:t> </w:t>
      </w:r>
      <w:r>
        <w:rPr>
          <w:vertAlign w:val="baseline"/>
        </w:rPr>
        <w:t>of</w:t>
      </w:r>
      <w:r>
        <w:rPr>
          <w:spacing w:val="-10"/>
          <w:vertAlign w:val="baseline"/>
        </w:rPr>
        <w:t> </w:t>
      </w:r>
      <w:r>
        <w:rPr>
          <w:vertAlign w:val="baseline"/>
        </w:rPr>
        <w:t>laws</w:t>
      </w:r>
      <w:r>
        <w:rPr>
          <w:spacing w:val="-10"/>
          <w:vertAlign w:val="baseline"/>
        </w:rPr>
        <w:t> </w:t>
      </w:r>
      <w:r>
        <w:rPr>
          <w:vertAlign w:val="baseline"/>
        </w:rPr>
        <w:t>and</w:t>
      </w:r>
      <w:r>
        <w:rPr>
          <w:spacing w:val="-10"/>
          <w:vertAlign w:val="baseline"/>
        </w:rPr>
        <w:t> </w:t>
      </w:r>
      <w:r>
        <w:rPr>
          <w:vertAlign w:val="baseline"/>
        </w:rPr>
        <w:t>practices</w:t>
      </w:r>
      <w:r>
        <w:rPr>
          <w:spacing w:val="-10"/>
          <w:vertAlign w:val="baseline"/>
        </w:rPr>
        <w:t> </w:t>
      </w:r>
      <w:r>
        <w:rPr>
          <w:vertAlign w:val="baseline"/>
        </w:rPr>
        <w:t>regarding</w:t>
      </w:r>
      <w:r>
        <w:rPr>
          <w:spacing w:val="-9"/>
          <w:vertAlign w:val="baseline"/>
        </w:rPr>
        <w:t> </w:t>
      </w:r>
      <w:r>
        <w:rPr>
          <w:vertAlign w:val="baseline"/>
        </w:rPr>
        <w:t>the</w:t>
      </w:r>
      <w:r>
        <w:rPr>
          <w:spacing w:val="-9"/>
          <w:vertAlign w:val="baseline"/>
        </w:rPr>
        <w:t> </w:t>
      </w:r>
      <w:r>
        <w:rPr>
          <w:vertAlign w:val="baseline"/>
        </w:rPr>
        <w:t>protection</w:t>
      </w:r>
      <w:r>
        <w:rPr>
          <w:spacing w:val="-10"/>
          <w:vertAlign w:val="baseline"/>
        </w:rPr>
        <w:t> </w:t>
      </w:r>
      <w:r>
        <w:rPr>
          <w:vertAlign w:val="baseline"/>
        </w:rPr>
        <w:t>of</w:t>
      </w:r>
      <w:r>
        <w:rPr>
          <w:spacing w:val="-10"/>
          <w:vertAlign w:val="baseline"/>
        </w:rPr>
        <w:t> </w:t>
      </w:r>
      <w:r>
        <w:rPr>
          <w:vertAlign w:val="baseline"/>
        </w:rPr>
        <w:t>the</w:t>
      </w:r>
      <w:r>
        <w:rPr>
          <w:spacing w:val="-9"/>
          <w:vertAlign w:val="baseline"/>
        </w:rPr>
        <w:t> </w:t>
      </w:r>
      <w:r>
        <w:rPr>
          <w:vertAlign w:val="baseline"/>
        </w:rPr>
        <w:t>right</w:t>
      </w:r>
      <w:r>
        <w:rPr>
          <w:spacing w:val="-9"/>
          <w:vertAlign w:val="baseline"/>
        </w:rPr>
        <w:t> </w:t>
      </w:r>
      <w:r>
        <w:rPr>
          <w:vertAlign w:val="baseline"/>
        </w:rPr>
        <w:t>to</w:t>
      </w:r>
      <w:r>
        <w:rPr>
          <w:spacing w:val="-10"/>
          <w:vertAlign w:val="baseline"/>
        </w:rPr>
        <w:t> </w:t>
      </w:r>
      <w:r>
        <w:rPr>
          <w:vertAlign w:val="baseline"/>
        </w:rPr>
        <w:t>a healthy environment could, therefore, trigger a diminution of rights for individuals in NI, and affect the rights of individuals in Ireland.</w:t>
      </w:r>
    </w:p>
    <w:p>
      <w:pPr>
        <w:pStyle w:val="BodyText"/>
        <w:rPr>
          <w:sz w:val="20"/>
        </w:rPr>
      </w:pPr>
    </w:p>
    <w:p>
      <w:pPr>
        <w:pStyle w:val="BodyText"/>
        <w:rPr>
          <w:sz w:val="20"/>
        </w:rPr>
      </w:pPr>
    </w:p>
    <w:p>
      <w:pPr>
        <w:pStyle w:val="BodyText"/>
        <w:rPr>
          <w:sz w:val="20"/>
        </w:rPr>
      </w:pPr>
    </w:p>
    <w:p>
      <w:pPr>
        <w:pStyle w:val="BodyText"/>
        <w:spacing w:before="65"/>
        <w:rPr>
          <w:sz w:val="20"/>
        </w:rPr>
      </w:pPr>
      <w:r>
        <w:rPr/>
        <mc:AlternateContent>
          <mc:Choice Requires="wps">
            <w:drawing>
              <wp:anchor distT="0" distB="0" distL="0" distR="0" allowOverlap="1" layoutInCell="1" locked="0" behindDoc="1" simplePos="0" relativeHeight="487720960">
                <wp:simplePos x="0" y="0"/>
                <wp:positionH relativeFrom="page">
                  <wp:posOffset>899999</wp:posOffset>
                </wp:positionH>
                <wp:positionV relativeFrom="paragraph">
                  <wp:posOffset>211740</wp:posOffset>
                </wp:positionV>
                <wp:extent cx="6012180" cy="1270"/>
                <wp:effectExtent l="0" t="0" r="0" b="0"/>
                <wp:wrapTopAndBottom/>
                <wp:docPr id="706" name="Graphic 706"/>
                <wp:cNvGraphicFramePr>
                  <a:graphicFrameLocks/>
                </wp:cNvGraphicFramePr>
                <a:graphic>
                  <a:graphicData uri="http://schemas.microsoft.com/office/word/2010/wordprocessingShape">
                    <wps:wsp>
                      <wps:cNvPr id="706" name="Graphic 70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6.672483pt;width:473.4pt;height:.1pt;mso-position-horizontal-relative:page;mso-position-vertical-relative:paragraph;z-index:-15595520;mso-wrap-distance-left:0;mso-wrap-distance-right:0" id="docshape573" coordorigin="1417,333" coordsize="9468,0" path="m1417,333l10885,333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0" w:hanging="567"/>
        <w:jc w:val="left"/>
        <w:rPr>
          <w:sz w:val="18"/>
        </w:rPr>
      </w:pPr>
      <w:hyperlink r:id="rId127">
        <w:r>
          <w:rPr>
            <w:color w:val="1D71B8"/>
            <w:sz w:val="18"/>
            <w:u w:val="single" w:color="1D71B8"/>
          </w:rPr>
          <w:t>Protocol</w:t>
        </w:r>
        <w:r>
          <w:rPr>
            <w:color w:val="1D71B8"/>
            <w:spacing w:val="-3"/>
            <w:sz w:val="18"/>
            <w:u w:val="single" w:color="1D71B8"/>
          </w:rPr>
          <w:t> </w:t>
        </w:r>
        <w:r>
          <w:rPr>
            <w:color w:val="1D71B8"/>
            <w:sz w:val="18"/>
            <w:u w:val="single" w:color="1D71B8"/>
          </w:rPr>
          <w:t>No</w:t>
        </w:r>
        <w:r>
          <w:rPr>
            <w:color w:val="1D71B8"/>
            <w:spacing w:val="-3"/>
            <w:sz w:val="18"/>
            <w:u w:val="single" w:color="1D71B8"/>
          </w:rPr>
          <w:t> </w:t>
        </w:r>
        <w:r>
          <w:rPr>
            <w:color w:val="1D71B8"/>
            <w:sz w:val="18"/>
            <w:u w:val="single" w:color="1D71B8"/>
          </w:rPr>
          <w:t>21</w:t>
        </w:r>
        <w:r>
          <w:rPr>
            <w:color w:val="1D71B8"/>
            <w:spacing w:val="-3"/>
            <w:sz w:val="18"/>
            <w:u w:val="single" w:color="1D71B8"/>
          </w:rPr>
          <w:t> </w:t>
        </w:r>
        <w:r>
          <w:rPr>
            <w:color w:val="1D71B8"/>
            <w:sz w:val="18"/>
            <w:u w:val="single" w:color="1D71B8"/>
          </w:rPr>
          <w:t>on</w:t>
        </w:r>
        <w:r>
          <w:rPr>
            <w:color w:val="1D71B8"/>
            <w:spacing w:val="-3"/>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posi</w:t>
        </w:r>
        <w:r>
          <w:rPr>
            <w:color w:val="1D71B8"/>
            <w:sz w:val="18"/>
            <w:u w:val="none"/>
          </w:rPr>
          <w:t>ti</w:t>
        </w:r>
        <w:r>
          <w:rPr>
            <w:color w:val="1D71B8"/>
            <w:sz w:val="18"/>
            <w:u w:val="single" w:color="1D71B8"/>
          </w:rPr>
          <w:t>on</w:t>
        </w:r>
        <w:r>
          <w:rPr>
            <w:color w:val="1D71B8"/>
            <w:spacing w:val="-4"/>
            <w:sz w:val="18"/>
            <w:u w:val="single" w:color="1D71B8"/>
          </w:rPr>
          <w:t> </w:t>
        </w:r>
        <w:r>
          <w:rPr>
            <w:color w:val="1D71B8"/>
            <w:sz w:val="18"/>
            <w:u w:val="single" w:color="1D71B8"/>
          </w:rPr>
          <w:t>of</w:t>
        </w:r>
        <w:r>
          <w:rPr>
            <w:color w:val="1D71B8"/>
            <w:spacing w:val="-3"/>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United</w:t>
        </w:r>
        <w:r>
          <w:rPr>
            <w:color w:val="1D71B8"/>
            <w:spacing w:val="-4"/>
            <w:sz w:val="18"/>
            <w:u w:val="single" w:color="1D71B8"/>
          </w:rPr>
          <w:t> </w:t>
        </w:r>
        <w:r>
          <w:rPr>
            <w:color w:val="1D71B8"/>
            <w:sz w:val="18"/>
            <w:u w:val="single" w:color="1D71B8"/>
          </w:rPr>
          <w:t>Kingdom</w:t>
        </w:r>
        <w:r>
          <w:rPr>
            <w:color w:val="1D71B8"/>
            <w:spacing w:val="-2"/>
            <w:sz w:val="18"/>
            <w:u w:val="single" w:color="1D71B8"/>
          </w:rPr>
          <w:t> </w:t>
        </w:r>
        <w:r>
          <w:rPr>
            <w:color w:val="1D71B8"/>
            <w:sz w:val="18"/>
            <w:u w:val="single" w:color="1D71B8"/>
          </w:rPr>
          <w:t>and</w:t>
        </w:r>
        <w:r>
          <w:rPr>
            <w:color w:val="1D71B8"/>
            <w:spacing w:val="-3"/>
            <w:sz w:val="18"/>
            <w:u w:val="single" w:color="1D71B8"/>
          </w:rPr>
          <w:t> </w:t>
        </w:r>
        <w:r>
          <w:rPr>
            <w:color w:val="1D71B8"/>
            <w:sz w:val="18"/>
            <w:u w:val="single" w:color="1D71B8"/>
          </w:rPr>
          <w:t>Ireland</w:t>
        </w:r>
        <w:r>
          <w:rPr>
            <w:color w:val="1D71B8"/>
            <w:spacing w:val="-3"/>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respect</w:t>
        </w:r>
        <w:r>
          <w:rPr>
            <w:color w:val="1D71B8"/>
            <w:spacing w:val="-2"/>
            <w:sz w:val="18"/>
            <w:u w:val="single" w:color="1D71B8"/>
          </w:rPr>
          <w:t> </w:t>
        </w:r>
        <w:r>
          <w:rPr>
            <w:color w:val="1D71B8"/>
            <w:sz w:val="18"/>
            <w:u w:val="single" w:color="1D71B8"/>
          </w:rPr>
          <w:t>of</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area</w:t>
        </w:r>
        <w:r>
          <w:rPr>
            <w:color w:val="1D71B8"/>
            <w:spacing w:val="-3"/>
            <w:sz w:val="18"/>
            <w:u w:val="single" w:color="1D71B8"/>
          </w:rPr>
          <w:t> </w:t>
        </w:r>
        <w:r>
          <w:rPr>
            <w:color w:val="1D71B8"/>
            <w:sz w:val="18"/>
            <w:u w:val="single" w:color="1D71B8"/>
          </w:rPr>
          <w:t>of</w:t>
        </w:r>
        <w:r>
          <w:rPr>
            <w:color w:val="1D71B8"/>
            <w:spacing w:val="-3"/>
            <w:sz w:val="18"/>
            <w:u w:val="single" w:color="1D71B8"/>
          </w:rPr>
          <w:t> </w:t>
        </w:r>
        <w:r>
          <w:rPr>
            <w:color w:val="1D71B8"/>
            <w:sz w:val="18"/>
            <w:u w:val="single" w:color="1D71B8"/>
          </w:rPr>
          <w:t>freedom,</w:t>
        </w:r>
        <w:r>
          <w:rPr>
            <w:color w:val="1D71B8"/>
            <w:spacing w:val="-3"/>
            <w:sz w:val="18"/>
            <w:u w:val="single" w:color="1D71B8"/>
          </w:rPr>
          <w:t> </w:t>
        </w:r>
        <w:r>
          <w:rPr>
            <w:color w:val="1D71B8"/>
            <w:sz w:val="18"/>
            <w:u w:val="single" w:color="1D71B8"/>
          </w:rPr>
          <w:t>security</w:t>
        </w:r>
        <w:r>
          <w:rPr>
            <w:color w:val="1D71B8"/>
            <w:spacing w:val="-2"/>
            <w:sz w:val="18"/>
            <w:u w:val="single" w:color="1D71B8"/>
          </w:rPr>
          <w:t> </w:t>
        </w:r>
        <w:r>
          <w:rPr>
            <w:color w:val="1D71B8"/>
            <w:sz w:val="18"/>
            <w:u w:val="single" w:color="1D71B8"/>
          </w:rPr>
          <w:t>and</w:t>
        </w:r>
        <w:r>
          <w:rPr>
            <w:color w:val="1D71B8"/>
            <w:spacing w:val="-4"/>
            <w:sz w:val="18"/>
            <w:u w:val="single" w:color="1D71B8"/>
          </w:rPr>
          <w:t> </w:t>
        </w:r>
        <w:r>
          <w:rPr>
            <w:color w:val="1D71B8"/>
            <w:spacing w:val="-2"/>
            <w:sz w:val="18"/>
            <w:u w:val="single" w:color="1D71B8"/>
          </w:rPr>
          <w:t>justice.</w:t>
        </w:r>
      </w:hyperlink>
    </w:p>
    <w:p>
      <w:pPr>
        <w:pStyle w:val="ListParagraph"/>
        <w:numPr>
          <w:ilvl w:val="0"/>
          <w:numId w:val="18"/>
        </w:numPr>
        <w:tabs>
          <w:tab w:pos="1684" w:val="left" w:leader="none"/>
        </w:tabs>
        <w:spacing w:line="240" w:lineRule="auto" w:before="1" w:after="0"/>
        <w:ind w:left="1684" w:right="0" w:hanging="567"/>
        <w:jc w:val="left"/>
        <w:rPr>
          <w:sz w:val="18"/>
        </w:rPr>
      </w:pPr>
      <w:hyperlink r:id="rId128">
        <w:r>
          <w:rPr>
            <w:color w:val="1D71B8"/>
            <w:sz w:val="18"/>
            <w:u w:val="single" w:color="1D71B8"/>
          </w:rPr>
          <w:t>Protocol</w:t>
        </w:r>
        <w:r>
          <w:rPr>
            <w:color w:val="1D71B8"/>
            <w:spacing w:val="-7"/>
            <w:sz w:val="18"/>
            <w:u w:val="single" w:color="1D71B8"/>
          </w:rPr>
          <w:t> </w:t>
        </w:r>
        <w:r>
          <w:rPr>
            <w:color w:val="1D71B8"/>
            <w:sz w:val="18"/>
            <w:u w:val="single" w:color="1D71B8"/>
          </w:rPr>
          <w:t>No</w:t>
        </w:r>
        <w:r>
          <w:rPr>
            <w:color w:val="1D71B8"/>
            <w:spacing w:val="-5"/>
            <w:sz w:val="18"/>
            <w:u w:val="single" w:color="1D71B8"/>
          </w:rPr>
          <w:t> </w:t>
        </w:r>
        <w:r>
          <w:rPr>
            <w:color w:val="1D71B8"/>
            <w:sz w:val="18"/>
            <w:u w:val="single" w:color="1D71B8"/>
          </w:rPr>
          <w:t>19</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Schengen</w:t>
        </w:r>
        <w:r>
          <w:rPr>
            <w:color w:val="1D71B8"/>
            <w:spacing w:val="-5"/>
            <w:sz w:val="18"/>
            <w:u w:val="single" w:color="1D71B8"/>
          </w:rPr>
          <w:t> </w:t>
        </w:r>
        <w:r>
          <w:rPr>
            <w:color w:val="1D71B8"/>
            <w:sz w:val="18"/>
            <w:u w:val="single" w:color="1D71B8"/>
          </w:rPr>
          <w:t>acquis</w:t>
        </w:r>
        <w:r>
          <w:rPr>
            <w:color w:val="1D71B8"/>
            <w:spacing w:val="-4"/>
            <w:sz w:val="18"/>
            <w:u w:val="single" w:color="1D71B8"/>
          </w:rPr>
          <w:t> </w:t>
        </w:r>
        <w:r>
          <w:rPr>
            <w:color w:val="1D71B8"/>
            <w:sz w:val="18"/>
            <w:u w:val="single" w:color="1D71B8"/>
          </w:rPr>
          <w:t>integrated</w:t>
        </w:r>
        <w:r>
          <w:rPr>
            <w:color w:val="1D71B8"/>
            <w:spacing w:val="-5"/>
            <w:sz w:val="18"/>
            <w:u w:val="single" w:color="1D71B8"/>
          </w:rPr>
          <w:t> </w:t>
        </w:r>
        <w:r>
          <w:rPr>
            <w:color w:val="1D71B8"/>
            <w:sz w:val="18"/>
            <w:u w:val="single" w:color="1D71B8"/>
          </w:rPr>
          <w:t>into</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framework</w:t>
        </w:r>
        <w:r>
          <w:rPr>
            <w:color w:val="1D71B8"/>
            <w:spacing w:val="-5"/>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European</w:t>
        </w:r>
        <w:r>
          <w:rPr>
            <w:color w:val="1D71B8"/>
            <w:spacing w:val="-4"/>
            <w:sz w:val="18"/>
            <w:u w:val="single" w:color="1D71B8"/>
          </w:rPr>
          <w:t> </w:t>
        </w:r>
        <w:r>
          <w:rPr>
            <w:color w:val="1D71B8"/>
            <w:spacing w:val="-2"/>
            <w:sz w:val="18"/>
            <w:u w:val="single" w:color="1D71B8"/>
          </w:rPr>
          <w:t>Union.</w:t>
        </w:r>
      </w:hyperlink>
    </w:p>
    <w:p>
      <w:pPr>
        <w:pStyle w:val="ListParagraph"/>
        <w:numPr>
          <w:ilvl w:val="0"/>
          <w:numId w:val="18"/>
        </w:numPr>
        <w:tabs>
          <w:tab w:pos="1684" w:val="left" w:leader="none"/>
        </w:tabs>
        <w:spacing w:line="240" w:lineRule="auto" w:before="0" w:after="0"/>
        <w:ind w:left="1684" w:right="1349" w:hanging="567"/>
        <w:jc w:val="left"/>
        <w:rPr>
          <w:sz w:val="18"/>
        </w:rPr>
      </w:pPr>
      <w:r>
        <w:rPr>
          <w:sz w:val="18"/>
        </w:rPr>
        <w:t>Northern</w:t>
      </w:r>
      <w:r>
        <w:rPr>
          <w:spacing w:val="-9"/>
          <w:sz w:val="18"/>
        </w:rPr>
        <w:t> </w:t>
      </w:r>
      <w:r>
        <w:rPr>
          <w:sz w:val="18"/>
        </w:rPr>
        <w:t>Ireland</w:t>
      </w:r>
      <w:r>
        <w:rPr>
          <w:spacing w:val="-9"/>
          <w:sz w:val="18"/>
        </w:rPr>
        <w:t> </w:t>
      </w:r>
      <w:r>
        <w:rPr>
          <w:sz w:val="18"/>
        </w:rPr>
        <w:t>Environment</w:t>
      </w:r>
      <w:r>
        <w:rPr>
          <w:spacing w:val="-8"/>
          <w:sz w:val="18"/>
        </w:rPr>
        <w:t> </w:t>
      </w:r>
      <w:r>
        <w:rPr>
          <w:sz w:val="18"/>
        </w:rPr>
        <w:t>Link</w:t>
      </w:r>
      <w:r>
        <w:rPr>
          <w:spacing w:val="-8"/>
          <w:sz w:val="18"/>
        </w:rPr>
        <w:t> </w:t>
      </w:r>
      <w:r>
        <w:rPr>
          <w:sz w:val="18"/>
        </w:rPr>
        <w:t>and</w:t>
      </w:r>
      <w:r>
        <w:rPr>
          <w:spacing w:val="-9"/>
          <w:sz w:val="18"/>
        </w:rPr>
        <w:t> </w:t>
      </w:r>
      <w:r>
        <w:rPr>
          <w:sz w:val="18"/>
        </w:rPr>
        <w:t>Environmental</w:t>
      </w:r>
      <w:r>
        <w:rPr>
          <w:spacing w:val="-9"/>
          <w:sz w:val="18"/>
        </w:rPr>
        <w:t> </w:t>
      </w:r>
      <w:r>
        <w:rPr>
          <w:sz w:val="18"/>
        </w:rPr>
        <w:t>Pillar,</w:t>
      </w:r>
      <w:r>
        <w:rPr>
          <w:spacing w:val="-8"/>
          <w:sz w:val="18"/>
        </w:rPr>
        <w:t> </w:t>
      </w:r>
      <w:hyperlink r:id="rId129">
        <w:r>
          <w:rPr>
            <w:color w:val="1D71B8"/>
            <w:sz w:val="18"/>
            <w:u w:val="single" w:color="1D71B8"/>
          </w:rPr>
          <w:t>Joint</w:t>
        </w:r>
        <w:r>
          <w:rPr>
            <w:color w:val="1D71B8"/>
            <w:spacing w:val="-8"/>
            <w:sz w:val="18"/>
            <w:u w:val="single" w:color="1D71B8"/>
          </w:rPr>
          <w:t> </w:t>
        </w:r>
        <w:r>
          <w:rPr>
            <w:color w:val="1D71B8"/>
            <w:sz w:val="18"/>
            <w:u w:val="single" w:color="1D71B8"/>
          </w:rPr>
          <w:t>Briefing:</w:t>
        </w:r>
        <w:r>
          <w:rPr>
            <w:color w:val="1D71B8"/>
            <w:spacing w:val="-8"/>
            <w:sz w:val="18"/>
            <w:u w:val="single" w:color="1D71B8"/>
          </w:rPr>
          <w:t> </w:t>
        </w:r>
        <w:r>
          <w:rPr>
            <w:color w:val="1D71B8"/>
            <w:sz w:val="18"/>
            <w:u w:val="single" w:color="1D71B8"/>
          </w:rPr>
          <w:t>Brexit</w:t>
        </w:r>
        <w:r>
          <w:rPr>
            <w:color w:val="1D71B8"/>
            <w:spacing w:val="-8"/>
            <w:sz w:val="18"/>
            <w:u w:val="single" w:color="1D71B8"/>
          </w:rPr>
          <w:t> </w:t>
        </w:r>
        <w:r>
          <w:rPr>
            <w:color w:val="1D71B8"/>
            <w:sz w:val="18"/>
            <w:u w:val="single" w:color="1D71B8"/>
          </w:rPr>
          <w:t>and</w:t>
        </w:r>
        <w:r>
          <w:rPr>
            <w:color w:val="1D71B8"/>
            <w:spacing w:val="-9"/>
            <w:sz w:val="18"/>
            <w:u w:val="single" w:color="1D71B8"/>
          </w:rPr>
          <w:t> </w:t>
        </w:r>
        <w:r>
          <w:rPr>
            <w:color w:val="1D71B8"/>
            <w:sz w:val="18"/>
            <w:u w:val="single" w:color="1D71B8"/>
          </w:rPr>
          <w:t>cross-border</w:t>
        </w:r>
        <w:r>
          <w:rPr>
            <w:color w:val="1D71B8"/>
            <w:spacing w:val="-8"/>
            <w:sz w:val="18"/>
            <w:u w:val="single" w:color="1D71B8"/>
          </w:rPr>
          <w:t> </w:t>
        </w:r>
        <w:r>
          <w:rPr>
            <w:color w:val="1D71B8"/>
            <w:sz w:val="18"/>
            <w:u w:val="single" w:color="1D71B8"/>
          </w:rPr>
          <w:t>environmental</w:t>
        </w:r>
      </w:hyperlink>
      <w:r>
        <w:rPr>
          <w:color w:val="1D71B8"/>
          <w:sz w:val="18"/>
          <w:u w:val="none"/>
        </w:rPr>
        <w:t> </w:t>
      </w:r>
      <w:hyperlink r:id="rId129">
        <w:r>
          <w:rPr>
            <w:color w:val="1D71B8"/>
            <w:sz w:val="18"/>
            <w:u w:val="single" w:color="1D71B8"/>
          </w:rPr>
          <w:t>cooperation on the island of Ireland.</w:t>
        </w:r>
      </w:hyperlink>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39168">
                <wp:simplePos x="0" y="0"/>
                <wp:positionH relativeFrom="page">
                  <wp:posOffset>0</wp:posOffset>
                </wp:positionH>
                <wp:positionV relativeFrom="page">
                  <wp:posOffset>0</wp:posOffset>
                </wp:positionV>
                <wp:extent cx="7560309" cy="1155065"/>
                <wp:effectExtent l="0" t="0" r="0" b="0"/>
                <wp:wrapNone/>
                <wp:docPr id="707" name="Group 707"/>
                <wp:cNvGraphicFramePr>
                  <a:graphicFrameLocks/>
                </wp:cNvGraphicFramePr>
                <a:graphic>
                  <a:graphicData uri="http://schemas.microsoft.com/office/word/2010/wordprocessingGroup">
                    <wpg:wgp>
                      <wpg:cNvPr id="707" name="Group 707"/>
                      <wpg:cNvGrpSpPr/>
                      <wpg:grpSpPr>
                        <a:xfrm>
                          <a:off x="0" y="0"/>
                          <a:ext cx="7560309" cy="1155065"/>
                          <a:chExt cx="7560309" cy="1155065"/>
                        </a:xfrm>
                      </wpg:grpSpPr>
                      <wps:wsp>
                        <wps:cNvPr id="708" name="Graphic 708"/>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709" name="Graphic 709"/>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77312" id="docshapegroup574" coordorigin="0,0" coordsize="11906,1819">
                <v:shape style="position:absolute;left:0;top:0;width:11906;height:1819" id="docshape575"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4.2.4 Proposed EU legislation (Directive" w:id="114"/>
      <w:bookmarkEnd w:id="114"/>
      <w:r>
        <w:rPr/>
      </w:r>
      <w:bookmarkStart w:name="_bookmark47" w:id="115"/>
      <w:bookmarkEnd w:id="115"/>
      <w:r>
        <w:rPr/>
      </w:r>
      <w:r>
        <w:rPr>
          <w:b/>
          <w:color w:val="FFFFFF"/>
          <w:spacing w:val="-5"/>
          <w:position w:val="-1"/>
          <w:sz w:val="28"/>
        </w:rPr>
        <w:t>80</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250"/>
      </w:pPr>
      <w:r>
        <w:rPr/>
        <w:t>Various EU directives and regulations adopted between 1 January 2022 and 31 August</w:t>
      </w:r>
      <w:r>
        <w:rPr>
          <w:spacing w:val="-8"/>
        </w:rPr>
        <w:t> </w:t>
      </w:r>
      <w:r>
        <w:rPr/>
        <w:t>2023</w:t>
      </w:r>
      <w:r>
        <w:rPr>
          <w:spacing w:val="-8"/>
        </w:rPr>
        <w:t> </w:t>
      </w:r>
      <w:r>
        <w:rPr/>
        <w:t>that</w:t>
      </w:r>
      <w:r>
        <w:rPr>
          <w:spacing w:val="-8"/>
        </w:rPr>
        <w:t> </w:t>
      </w:r>
      <w:r>
        <w:rPr/>
        <w:t>relate</w:t>
      </w:r>
      <w:r>
        <w:rPr>
          <w:spacing w:val="-8"/>
        </w:rPr>
        <w:t> </w:t>
      </w:r>
      <w:r>
        <w:rPr/>
        <w:t>to</w:t>
      </w:r>
      <w:r>
        <w:rPr>
          <w:spacing w:val="-9"/>
        </w:rPr>
        <w:t> </w:t>
      </w:r>
      <w:r>
        <w:rPr/>
        <w:t>human</w:t>
      </w:r>
      <w:r>
        <w:rPr>
          <w:spacing w:val="-9"/>
        </w:rPr>
        <w:t> </w:t>
      </w:r>
      <w:r>
        <w:rPr/>
        <w:t>rights</w:t>
      </w:r>
      <w:r>
        <w:rPr>
          <w:spacing w:val="-9"/>
        </w:rPr>
        <w:t> </w:t>
      </w:r>
      <w:r>
        <w:rPr/>
        <w:t>and</w:t>
      </w:r>
      <w:r>
        <w:rPr>
          <w:spacing w:val="-9"/>
        </w:rPr>
        <w:t> </w:t>
      </w:r>
      <w:r>
        <w:rPr/>
        <w:t>equality,</w:t>
      </w:r>
      <w:r>
        <w:rPr>
          <w:spacing w:val="-8"/>
        </w:rPr>
        <w:t> </w:t>
      </w:r>
      <w:r>
        <w:rPr/>
        <w:t>concern</w:t>
      </w:r>
      <w:r>
        <w:rPr>
          <w:spacing w:val="-9"/>
        </w:rPr>
        <w:t> </w:t>
      </w:r>
      <w:r>
        <w:rPr/>
        <w:t>the</w:t>
      </w:r>
      <w:r>
        <w:rPr>
          <w:spacing w:val="-8"/>
        </w:rPr>
        <w:t> </w:t>
      </w:r>
      <w:r>
        <w:rPr>
          <w:b/>
        </w:rPr>
        <w:t>right</w:t>
      </w:r>
      <w:r>
        <w:rPr>
          <w:b/>
          <w:spacing w:val="-8"/>
        </w:rPr>
        <w:t> </w:t>
      </w:r>
      <w:r>
        <w:rPr>
          <w:b/>
        </w:rPr>
        <w:t>to</w:t>
      </w:r>
      <w:r>
        <w:rPr>
          <w:b/>
          <w:spacing w:val="-8"/>
        </w:rPr>
        <w:t> </w:t>
      </w:r>
      <w:r>
        <w:rPr>
          <w:b/>
        </w:rPr>
        <w:t>privacy, including the right to data protection</w:t>
      </w:r>
      <w:r>
        <w:rPr/>
        <w:t>. These instruments, primarily aimed at facilitating the sharing of information and evidence across EU Member States in the context of criminal proceedings and anti-terrorism activities, also consider</w:t>
      </w:r>
    </w:p>
    <w:p>
      <w:pPr>
        <w:pStyle w:val="BodyText"/>
        <w:spacing w:line="232" w:lineRule="auto"/>
        <w:ind w:left="720" w:right="1087"/>
      </w:pPr>
      <w:r>
        <w:rPr/>
        <w:t>the rights to data protection of both suspects and victims of such crimes. This development</w:t>
      </w:r>
      <w:r>
        <w:rPr>
          <w:spacing w:val="-6"/>
        </w:rPr>
        <w:t> </w:t>
      </w:r>
      <w:r>
        <w:rPr/>
        <w:t>is</w:t>
      </w:r>
      <w:r>
        <w:rPr>
          <w:spacing w:val="-7"/>
        </w:rPr>
        <w:t> </w:t>
      </w:r>
      <w:r>
        <w:rPr/>
        <w:t>not</w:t>
      </w:r>
      <w:r>
        <w:rPr>
          <w:spacing w:val="-6"/>
        </w:rPr>
        <w:t> </w:t>
      </w:r>
      <w:r>
        <w:rPr/>
        <w:t>surprising,</w:t>
      </w:r>
      <w:r>
        <w:rPr>
          <w:spacing w:val="-6"/>
        </w:rPr>
        <w:t> </w:t>
      </w:r>
      <w:r>
        <w:rPr/>
        <w:t>given</w:t>
      </w:r>
      <w:r>
        <w:rPr>
          <w:spacing w:val="-7"/>
        </w:rPr>
        <w:t> </w:t>
      </w:r>
      <w:r>
        <w:rPr/>
        <w:t>the</w:t>
      </w:r>
      <w:r>
        <w:rPr>
          <w:spacing w:val="-6"/>
        </w:rPr>
        <w:t> </w:t>
      </w:r>
      <w:r>
        <w:rPr/>
        <w:t>relatively</w:t>
      </w:r>
      <w:r>
        <w:rPr>
          <w:spacing w:val="-6"/>
        </w:rPr>
        <w:t> </w:t>
      </w:r>
      <w:r>
        <w:rPr/>
        <w:t>recent</w:t>
      </w:r>
      <w:r>
        <w:rPr>
          <w:spacing w:val="-6"/>
        </w:rPr>
        <w:t> </w:t>
      </w:r>
      <w:r>
        <w:rPr/>
        <w:t>adoption</w:t>
      </w:r>
      <w:r>
        <w:rPr>
          <w:spacing w:val="-7"/>
        </w:rPr>
        <w:t> </w:t>
      </w:r>
      <w:r>
        <w:rPr/>
        <w:t>of</w:t>
      </w:r>
      <w:r>
        <w:rPr>
          <w:spacing w:val="-7"/>
        </w:rPr>
        <w:t> </w:t>
      </w:r>
      <w:r>
        <w:rPr/>
        <w:t>the</w:t>
      </w:r>
      <w:r>
        <w:rPr>
          <w:spacing w:val="-6"/>
        </w:rPr>
        <w:t> </w:t>
      </w:r>
      <w:r>
        <w:rPr/>
        <w:t>General Data</w:t>
      </w:r>
      <w:r>
        <w:rPr>
          <w:spacing w:val="-13"/>
        </w:rPr>
        <w:t> </w:t>
      </w:r>
      <w:r>
        <w:rPr/>
        <w:t>Protection</w:t>
      </w:r>
      <w:r>
        <w:rPr>
          <w:spacing w:val="-13"/>
        </w:rPr>
        <w:t> </w:t>
      </w:r>
      <w:r>
        <w:rPr/>
        <w:t>Regulation</w:t>
      </w:r>
      <w:r>
        <w:rPr>
          <w:spacing w:val="-13"/>
        </w:rPr>
        <w:t> </w:t>
      </w:r>
      <w:r>
        <w:rPr/>
        <w:t>(GDPR),</w:t>
      </w:r>
      <w:r>
        <w:rPr>
          <w:vertAlign w:val="superscript"/>
        </w:rPr>
        <w:t>439</w:t>
      </w:r>
      <w:r>
        <w:rPr>
          <w:spacing w:val="-13"/>
          <w:vertAlign w:val="baseline"/>
        </w:rPr>
        <w:t> </w:t>
      </w:r>
      <w:r>
        <w:rPr>
          <w:vertAlign w:val="baseline"/>
        </w:rPr>
        <w:t>which</w:t>
      </w:r>
      <w:r>
        <w:rPr>
          <w:spacing w:val="-13"/>
          <w:vertAlign w:val="baseline"/>
        </w:rPr>
        <w:t> </w:t>
      </w:r>
      <w:r>
        <w:rPr>
          <w:vertAlign w:val="baseline"/>
        </w:rPr>
        <w:t>imposes</w:t>
      </w:r>
      <w:r>
        <w:rPr>
          <w:spacing w:val="-13"/>
          <w:vertAlign w:val="baseline"/>
        </w:rPr>
        <w:t> </w:t>
      </w:r>
      <w:r>
        <w:rPr>
          <w:vertAlign w:val="baseline"/>
        </w:rPr>
        <w:t>obligations</w:t>
      </w:r>
      <w:r>
        <w:rPr>
          <w:spacing w:val="-13"/>
          <w:vertAlign w:val="baseline"/>
        </w:rPr>
        <w:t> </w:t>
      </w:r>
      <w:r>
        <w:rPr>
          <w:vertAlign w:val="baseline"/>
        </w:rPr>
        <w:t>on</w:t>
      </w:r>
      <w:r>
        <w:rPr>
          <w:spacing w:val="-13"/>
          <w:vertAlign w:val="baseline"/>
        </w:rPr>
        <w:t> </w:t>
      </w:r>
      <w:r>
        <w:rPr>
          <w:vertAlign w:val="baseline"/>
        </w:rPr>
        <w:t>organisations targeting or collecting personal data, to protect individuals’ data privacy and security. The GDPR has had a widespread impact across the Union, including</w:t>
      </w:r>
    </w:p>
    <w:p>
      <w:pPr>
        <w:pStyle w:val="BodyText"/>
        <w:spacing w:line="232" w:lineRule="auto"/>
        <w:ind w:left="720" w:right="1404"/>
      </w:pPr>
      <w:r>
        <w:rPr/>
        <w:t>in</w:t>
      </w:r>
      <w:r>
        <w:rPr>
          <w:spacing w:val="-3"/>
        </w:rPr>
        <w:t> </w:t>
      </w:r>
      <w:r>
        <w:rPr/>
        <w:t>areas</w:t>
      </w:r>
      <w:r>
        <w:rPr>
          <w:spacing w:val="-3"/>
        </w:rPr>
        <w:t> </w:t>
      </w:r>
      <w:r>
        <w:rPr/>
        <w:t>that</w:t>
      </w:r>
      <w:r>
        <w:rPr>
          <w:spacing w:val="-2"/>
        </w:rPr>
        <w:t> </w:t>
      </w:r>
      <w:r>
        <w:rPr/>
        <w:t>strongly</w:t>
      </w:r>
      <w:r>
        <w:rPr>
          <w:spacing w:val="-2"/>
        </w:rPr>
        <w:t> </w:t>
      </w:r>
      <w:r>
        <w:rPr/>
        <w:t>relate</w:t>
      </w:r>
      <w:r>
        <w:rPr>
          <w:spacing w:val="-2"/>
        </w:rPr>
        <w:t> </w:t>
      </w:r>
      <w:r>
        <w:rPr/>
        <w:t>to</w:t>
      </w:r>
      <w:r>
        <w:rPr>
          <w:spacing w:val="-3"/>
        </w:rPr>
        <w:t> </w:t>
      </w:r>
      <w:r>
        <w:rPr/>
        <w:t>human</w:t>
      </w:r>
      <w:r>
        <w:rPr>
          <w:spacing w:val="-3"/>
        </w:rPr>
        <w:t> </w:t>
      </w:r>
      <w:r>
        <w:rPr/>
        <w:t>rights</w:t>
      </w:r>
      <w:r>
        <w:rPr>
          <w:spacing w:val="-3"/>
        </w:rPr>
        <w:t> </w:t>
      </w:r>
      <w:r>
        <w:rPr/>
        <w:t>and</w:t>
      </w:r>
      <w:r>
        <w:rPr>
          <w:spacing w:val="-3"/>
        </w:rPr>
        <w:t> </w:t>
      </w:r>
      <w:r>
        <w:rPr/>
        <w:t>equality</w:t>
      </w:r>
      <w:r>
        <w:rPr>
          <w:spacing w:val="-2"/>
        </w:rPr>
        <w:t> </w:t>
      </w:r>
      <w:r>
        <w:rPr/>
        <w:t>such</w:t>
      </w:r>
      <w:r>
        <w:rPr>
          <w:spacing w:val="-3"/>
        </w:rPr>
        <w:t> </w:t>
      </w:r>
      <w:r>
        <w:rPr/>
        <w:t>as</w:t>
      </w:r>
      <w:r>
        <w:rPr>
          <w:spacing w:val="-3"/>
        </w:rPr>
        <w:t> </w:t>
      </w:r>
      <w:r>
        <w:rPr/>
        <w:t>cross-border criminal</w:t>
      </w:r>
      <w:r>
        <w:rPr>
          <w:spacing w:val="-8"/>
        </w:rPr>
        <w:t> </w:t>
      </w:r>
      <w:r>
        <w:rPr/>
        <w:t>proceedings.</w:t>
      </w:r>
      <w:r>
        <w:rPr>
          <w:spacing w:val="-8"/>
        </w:rPr>
        <w:t> </w:t>
      </w:r>
      <w:r>
        <w:rPr/>
        <w:t>Furthermore,</w:t>
      </w:r>
      <w:r>
        <w:rPr>
          <w:spacing w:val="-7"/>
        </w:rPr>
        <w:t> </w:t>
      </w:r>
      <w:r>
        <w:rPr/>
        <w:t>this</w:t>
      </w:r>
      <w:r>
        <w:rPr>
          <w:spacing w:val="-8"/>
        </w:rPr>
        <w:t> </w:t>
      </w:r>
      <w:r>
        <w:rPr/>
        <w:t>focus</w:t>
      </w:r>
      <w:r>
        <w:rPr>
          <w:spacing w:val="-8"/>
        </w:rPr>
        <w:t> </w:t>
      </w:r>
      <w:r>
        <w:rPr/>
        <w:t>on</w:t>
      </w:r>
      <w:r>
        <w:rPr>
          <w:spacing w:val="-8"/>
        </w:rPr>
        <w:t> </w:t>
      </w:r>
      <w:r>
        <w:rPr/>
        <w:t>the</w:t>
      </w:r>
      <w:r>
        <w:rPr>
          <w:spacing w:val="-7"/>
        </w:rPr>
        <w:t> </w:t>
      </w:r>
      <w:r>
        <w:rPr/>
        <w:t>right</w:t>
      </w:r>
      <w:r>
        <w:rPr>
          <w:spacing w:val="-7"/>
        </w:rPr>
        <w:t> </w:t>
      </w:r>
      <w:r>
        <w:rPr/>
        <w:t>to</w:t>
      </w:r>
      <w:r>
        <w:rPr>
          <w:spacing w:val="-8"/>
        </w:rPr>
        <w:t> </w:t>
      </w:r>
      <w:r>
        <w:rPr/>
        <w:t>privacy,</w:t>
      </w:r>
      <w:r>
        <w:rPr>
          <w:spacing w:val="-7"/>
        </w:rPr>
        <w:t> </w:t>
      </w:r>
      <w:r>
        <w:rPr/>
        <w:t>including the right to data protection, is not surprising given the increasing use of new technologies by criminal and terrorist groups, mentioned across different EU</w:t>
      </w:r>
    </w:p>
    <w:p>
      <w:pPr>
        <w:pStyle w:val="BodyText"/>
        <w:spacing w:line="232" w:lineRule="auto"/>
        <w:ind w:left="720" w:right="1121"/>
      </w:pPr>
      <w:r>
        <w:rPr/>
        <w:t>directives</w:t>
      </w:r>
      <w:r>
        <w:rPr>
          <w:spacing w:val="-6"/>
        </w:rPr>
        <w:t> </w:t>
      </w:r>
      <w:r>
        <w:rPr/>
        <w:t>and</w:t>
      </w:r>
      <w:r>
        <w:rPr>
          <w:spacing w:val="-6"/>
        </w:rPr>
        <w:t> </w:t>
      </w:r>
      <w:r>
        <w:rPr/>
        <w:t>regulations</w:t>
      </w:r>
      <w:r>
        <w:rPr>
          <w:spacing w:val="-6"/>
        </w:rPr>
        <w:t> </w:t>
      </w:r>
      <w:r>
        <w:rPr/>
        <w:t>in</w:t>
      </w:r>
      <w:r>
        <w:rPr>
          <w:spacing w:val="-6"/>
        </w:rPr>
        <w:t> </w:t>
      </w:r>
      <w:r>
        <w:rPr/>
        <w:t>our</w:t>
      </w:r>
      <w:r>
        <w:rPr>
          <w:spacing w:val="-6"/>
        </w:rPr>
        <w:t> </w:t>
      </w:r>
      <w:r>
        <w:rPr/>
        <w:t>sample.</w:t>
      </w:r>
      <w:r>
        <w:rPr>
          <w:spacing w:val="-6"/>
        </w:rPr>
        <w:t> </w:t>
      </w:r>
      <w:r>
        <w:rPr/>
        <w:t>This</w:t>
      </w:r>
      <w:r>
        <w:rPr>
          <w:spacing w:val="-6"/>
        </w:rPr>
        <w:t> </w:t>
      </w:r>
      <w:r>
        <w:rPr/>
        <w:t>is</w:t>
      </w:r>
      <w:r>
        <w:rPr>
          <w:spacing w:val="-6"/>
        </w:rPr>
        <w:t> </w:t>
      </w:r>
      <w:r>
        <w:rPr/>
        <w:t>particularly</w:t>
      </w:r>
      <w:r>
        <w:rPr>
          <w:spacing w:val="-6"/>
        </w:rPr>
        <w:t> </w:t>
      </w:r>
      <w:r>
        <w:rPr/>
        <w:t>important</w:t>
      </w:r>
      <w:r>
        <w:rPr>
          <w:spacing w:val="-6"/>
        </w:rPr>
        <w:t> </w:t>
      </w:r>
      <w:r>
        <w:rPr/>
        <w:t>for</w:t>
      </w:r>
      <w:r>
        <w:rPr>
          <w:spacing w:val="-6"/>
        </w:rPr>
        <w:t> </w:t>
      </w:r>
      <w:r>
        <w:rPr/>
        <w:t>the</w:t>
      </w:r>
      <w:r>
        <w:rPr>
          <w:spacing w:val="-6"/>
        </w:rPr>
        <w:t> </w:t>
      </w:r>
      <w:r>
        <w:rPr/>
        <w:t>island of Ireland, given ‘(m)uch of the cooperation on criminal justice matters between the United Kingdom and the Republic of Ireland is based on EU level instruments’, including in migration control, smuggling of commodities and resurgence of domestic terrorism.</w:t>
      </w:r>
      <w:r>
        <w:rPr>
          <w:vertAlign w:val="superscript"/>
        </w:rPr>
        <w:t>440</w:t>
      </w:r>
      <w:r>
        <w:rPr>
          <w:vertAlign w:val="baseline"/>
        </w:rPr>
        <w:t> Divergence of laws and practices regarding the protection</w:t>
      </w:r>
    </w:p>
    <w:p>
      <w:pPr>
        <w:pStyle w:val="BodyText"/>
        <w:spacing w:line="232" w:lineRule="auto"/>
        <w:ind w:left="720" w:right="1087"/>
      </w:pPr>
      <w:r>
        <w:rPr/>
        <w:t>of</w:t>
      </w:r>
      <w:r>
        <w:rPr>
          <w:spacing w:val="-7"/>
        </w:rPr>
        <w:t> </w:t>
      </w:r>
      <w:r>
        <w:rPr/>
        <w:t>the</w:t>
      </w:r>
      <w:r>
        <w:rPr>
          <w:spacing w:val="-6"/>
        </w:rPr>
        <w:t> </w:t>
      </w:r>
      <w:r>
        <w:rPr/>
        <w:t>right</w:t>
      </w:r>
      <w:r>
        <w:rPr>
          <w:spacing w:val="-6"/>
        </w:rPr>
        <w:t> </w:t>
      </w:r>
      <w:r>
        <w:rPr/>
        <w:t>to</w:t>
      </w:r>
      <w:r>
        <w:rPr>
          <w:spacing w:val="-7"/>
        </w:rPr>
        <w:t> </w:t>
      </w:r>
      <w:r>
        <w:rPr/>
        <w:t>data</w:t>
      </w:r>
      <w:r>
        <w:rPr>
          <w:spacing w:val="-7"/>
        </w:rPr>
        <w:t> </w:t>
      </w:r>
      <w:r>
        <w:rPr/>
        <w:t>protection</w:t>
      </w:r>
      <w:r>
        <w:rPr>
          <w:spacing w:val="-7"/>
        </w:rPr>
        <w:t> </w:t>
      </w:r>
      <w:r>
        <w:rPr/>
        <w:t>could,</w:t>
      </w:r>
      <w:r>
        <w:rPr>
          <w:spacing w:val="-6"/>
        </w:rPr>
        <w:t> </w:t>
      </w:r>
      <w:r>
        <w:rPr/>
        <w:t>therefore,</w:t>
      </w:r>
      <w:r>
        <w:rPr>
          <w:spacing w:val="-6"/>
        </w:rPr>
        <w:t> </w:t>
      </w:r>
      <w:r>
        <w:rPr/>
        <w:t>trigger</w:t>
      </w:r>
      <w:r>
        <w:rPr>
          <w:spacing w:val="-6"/>
        </w:rPr>
        <w:t> </w:t>
      </w:r>
      <w:r>
        <w:rPr/>
        <w:t>a</w:t>
      </w:r>
      <w:r>
        <w:rPr>
          <w:spacing w:val="-7"/>
        </w:rPr>
        <w:t> </w:t>
      </w:r>
      <w:r>
        <w:rPr/>
        <w:t>diminution</w:t>
      </w:r>
      <w:r>
        <w:rPr>
          <w:spacing w:val="-7"/>
        </w:rPr>
        <w:t> </w:t>
      </w:r>
      <w:r>
        <w:rPr/>
        <w:t>of</w:t>
      </w:r>
      <w:r>
        <w:rPr>
          <w:spacing w:val="-7"/>
        </w:rPr>
        <w:t> </w:t>
      </w:r>
      <w:r>
        <w:rPr/>
        <w:t>rights</w:t>
      </w:r>
      <w:r>
        <w:rPr>
          <w:spacing w:val="-7"/>
        </w:rPr>
        <w:t> </w:t>
      </w:r>
      <w:r>
        <w:rPr/>
        <w:t>for crimes’ victims and suspects in Northern Ireland.</w:t>
      </w:r>
    </w:p>
    <w:p>
      <w:pPr>
        <w:pStyle w:val="BodyText"/>
        <w:spacing w:line="232" w:lineRule="auto" w:before="222"/>
        <w:ind w:left="720" w:right="1087"/>
      </w:pPr>
      <w:r>
        <w:rPr/>
        <w:t>To</w:t>
      </w:r>
      <w:r>
        <w:rPr>
          <w:spacing w:val="-11"/>
        </w:rPr>
        <w:t> </w:t>
      </w:r>
      <w:r>
        <w:rPr/>
        <w:t>be</w:t>
      </w:r>
      <w:r>
        <w:rPr>
          <w:spacing w:val="-11"/>
        </w:rPr>
        <w:t> </w:t>
      </w:r>
      <w:r>
        <w:rPr/>
        <w:t>sure</w:t>
      </w:r>
      <w:r>
        <w:rPr>
          <w:spacing w:val="-11"/>
        </w:rPr>
        <w:t> </w:t>
      </w:r>
      <w:r>
        <w:rPr/>
        <w:t>this</w:t>
      </w:r>
      <w:r>
        <w:rPr>
          <w:spacing w:val="-11"/>
        </w:rPr>
        <w:t> </w:t>
      </w:r>
      <w:r>
        <w:rPr/>
        <w:t>report</w:t>
      </w:r>
      <w:r>
        <w:rPr>
          <w:spacing w:val="-11"/>
        </w:rPr>
        <w:t> </w:t>
      </w:r>
      <w:r>
        <w:rPr/>
        <w:t>includes</w:t>
      </w:r>
      <w:r>
        <w:rPr>
          <w:spacing w:val="-11"/>
        </w:rPr>
        <w:t> </w:t>
      </w:r>
      <w:r>
        <w:rPr/>
        <w:t>EU</w:t>
      </w:r>
      <w:r>
        <w:rPr>
          <w:spacing w:val="-11"/>
        </w:rPr>
        <w:t> </w:t>
      </w:r>
      <w:r>
        <w:rPr/>
        <w:t>legislation</w:t>
      </w:r>
      <w:r>
        <w:rPr>
          <w:spacing w:val="-11"/>
        </w:rPr>
        <w:t> </w:t>
      </w:r>
      <w:r>
        <w:rPr/>
        <w:t>on</w:t>
      </w:r>
      <w:r>
        <w:rPr>
          <w:spacing w:val="-11"/>
        </w:rPr>
        <w:t> </w:t>
      </w:r>
      <w:r>
        <w:rPr/>
        <w:t>refugees’</w:t>
      </w:r>
      <w:r>
        <w:rPr>
          <w:spacing w:val="-11"/>
        </w:rPr>
        <w:t> </w:t>
      </w:r>
      <w:r>
        <w:rPr/>
        <w:t>rights,</w:t>
      </w:r>
      <w:r>
        <w:rPr>
          <w:spacing w:val="-11"/>
        </w:rPr>
        <w:t> </w:t>
      </w:r>
      <w:r>
        <w:rPr/>
        <w:t>human</w:t>
      </w:r>
      <w:r>
        <w:rPr>
          <w:spacing w:val="-11"/>
        </w:rPr>
        <w:t> </w:t>
      </w:r>
      <w:r>
        <w:rPr/>
        <w:t>trafficking, child</w:t>
      </w:r>
      <w:r>
        <w:rPr>
          <w:spacing w:val="-16"/>
        </w:rPr>
        <w:t> </w:t>
      </w:r>
      <w:r>
        <w:rPr/>
        <w:t>exploitation</w:t>
      </w:r>
      <w:r>
        <w:rPr>
          <w:spacing w:val="-16"/>
        </w:rPr>
        <w:t> </w:t>
      </w:r>
      <w:r>
        <w:rPr/>
        <w:t>and</w:t>
      </w:r>
      <w:r>
        <w:rPr>
          <w:spacing w:val="-16"/>
        </w:rPr>
        <w:t> </w:t>
      </w:r>
      <w:r>
        <w:rPr/>
        <w:t>gender</w:t>
      </w:r>
      <w:r>
        <w:rPr>
          <w:spacing w:val="-15"/>
        </w:rPr>
        <w:t> </w:t>
      </w:r>
      <w:r>
        <w:rPr/>
        <w:t>discrimination,</w:t>
      </w:r>
      <w:r>
        <w:rPr>
          <w:spacing w:val="-16"/>
        </w:rPr>
        <w:t> </w:t>
      </w:r>
      <w:r>
        <w:rPr/>
        <w:t>focal</w:t>
      </w:r>
      <w:r>
        <w:rPr>
          <w:spacing w:val="-16"/>
        </w:rPr>
        <w:t> </w:t>
      </w:r>
      <w:r>
        <w:rPr/>
        <w:t>points</w:t>
      </w:r>
      <w:r>
        <w:rPr>
          <w:spacing w:val="-16"/>
        </w:rPr>
        <w:t> </w:t>
      </w:r>
      <w:r>
        <w:rPr/>
        <w:t>of</w:t>
      </w:r>
      <w:r>
        <w:rPr>
          <w:spacing w:val="-15"/>
        </w:rPr>
        <w:t> </w:t>
      </w:r>
      <w:r>
        <w:rPr/>
        <w:t>the</w:t>
      </w:r>
      <w:r>
        <w:rPr>
          <w:spacing w:val="-16"/>
        </w:rPr>
        <w:t> </w:t>
      </w:r>
      <w:r>
        <w:rPr/>
        <w:t>Commissions’</w:t>
      </w:r>
      <w:r>
        <w:rPr>
          <w:spacing w:val="-16"/>
        </w:rPr>
        <w:t> </w:t>
      </w:r>
      <w:r>
        <w:rPr/>
        <w:t>work, </w:t>
      </w:r>
      <w:r>
        <w:rPr>
          <w:spacing w:val="-2"/>
        </w:rPr>
        <w:t>we</w:t>
      </w:r>
      <w:r>
        <w:rPr>
          <w:spacing w:val="-11"/>
        </w:rPr>
        <w:t> </w:t>
      </w:r>
      <w:r>
        <w:rPr>
          <w:spacing w:val="-2"/>
        </w:rPr>
        <w:t>ran</w:t>
      </w:r>
      <w:r>
        <w:rPr>
          <w:spacing w:val="-11"/>
        </w:rPr>
        <w:t> </w:t>
      </w:r>
      <w:r>
        <w:rPr>
          <w:spacing w:val="-2"/>
        </w:rPr>
        <w:t>an</w:t>
      </w:r>
      <w:r>
        <w:rPr>
          <w:spacing w:val="-11"/>
        </w:rPr>
        <w:t> </w:t>
      </w:r>
      <w:r>
        <w:rPr>
          <w:spacing w:val="-2"/>
        </w:rPr>
        <w:t>additional</w:t>
      </w:r>
      <w:r>
        <w:rPr>
          <w:spacing w:val="-11"/>
        </w:rPr>
        <w:t> </w:t>
      </w:r>
      <w:r>
        <w:rPr>
          <w:spacing w:val="-2"/>
        </w:rPr>
        <w:t>search</w:t>
      </w:r>
      <w:r>
        <w:rPr>
          <w:spacing w:val="-11"/>
        </w:rPr>
        <w:t> </w:t>
      </w:r>
      <w:r>
        <w:rPr>
          <w:spacing w:val="-2"/>
        </w:rPr>
        <w:t>looking</w:t>
      </w:r>
      <w:r>
        <w:rPr>
          <w:spacing w:val="-11"/>
        </w:rPr>
        <w:t> </w:t>
      </w:r>
      <w:r>
        <w:rPr>
          <w:spacing w:val="-2"/>
        </w:rPr>
        <w:t>for</w:t>
      </w:r>
      <w:r>
        <w:rPr>
          <w:spacing w:val="-11"/>
        </w:rPr>
        <w:t> </w:t>
      </w:r>
      <w:r>
        <w:rPr>
          <w:spacing w:val="-2"/>
        </w:rPr>
        <w:t>EU</w:t>
      </w:r>
      <w:r>
        <w:rPr>
          <w:spacing w:val="-11"/>
        </w:rPr>
        <w:t> </w:t>
      </w:r>
      <w:r>
        <w:rPr>
          <w:spacing w:val="-2"/>
        </w:rPr>
        <w:t>adopted</w:t>
      </w:r>
      <w:r>
        <w:rPr>
          <w:spacing w:val="-11"/>
        </w:rPr>
        <w:t> </w:t>
      </w:r>
      <w:r>
        <w:rPr>
          <w:spacing w:val="-2"/>
        </w:rPr>
        <w:t>directives</w:t>
      </w:r>
      <w:r>
        <w:rPr>
          <w:spacing w:val="-11"/>
        </w:rPr>
        <w:t> </w:t>
      </w:r>
      <w:r>
        <w:rPr>
          <w:spacing w:val="-2"/>
        </w:rPr>
        <w:t>or</w:t>
      </w:r>
      <w:r>
        <w:rPr>
          <w:spacing w:val="-11"/>
        </w:rPr>
        <w:t> </w:t>
      </w:r>
      <w:r>
        <w:rPr>
          <w:spacing w:val="-2"/>
        </w:rPr>
        <w:t>regulations</w:t>
      </w:r>
      <w:r>
        <w:rPr>
          <w:spacing w:val="-11"/>
        </w:rPr>
        <w:t> </w:t>
      </w:r>
      <w:r>
        <w:rPr>
          <w:spacing w:val="-2"/>
        </w:rPr>
        <w:t>adopted </w:t>
      </w:r>
      <w:r>
        <w:rPr/>
        <w:t>between</w:t>
      </w:r>
      <w:r>
        <w:rPr>
          <w:spacing w:val="-6"/>
        </w:rPr>
        <w:t> </w:t>
      </w:r>
      <w:r>
        <w:rPr/>
        <w:t>1</w:t>
      </w:r>
      <w:r>
        <w:rPr>
          <w:spacing w:val="-6"/>
        </w:rPr>
        <w:t> </w:t>
      </w:r>
      <w:r>
        <w:rPr/>
        <w:t>January</w:t>
      </w:r>
      <w:r>
        <w:rPr>
          <w:spacing w:val="-6"/>
        </w:rPr>
        <w:t> </w:t>
      </w:r>
      <w:r>
        <w:rPr/>
        <w:t>2022</w:t>
      </w:r>
      <w:r>
        <w:rPr>
          <w:spacing w:val="-6"/>
        </w:rPr>
        <w:t> </w:t>
      </w:r>
      <w:r>
        <w:rPr/>
        <w:t>and</w:t>
      </w:r>
      <w:r>
        <w:rPr>
          <w:spacing w:val="-6"/>
        </w:rPr>
        <w:t> </w:t>
      </w:r>
      <w:r>
        <w:rPr/>
        <w:t>31</w:t>
      </w:r>
      <w:r>
        <w:rPr>
          <w:spacing w:val="-6"/>
        </w:rPr>
        <w:t> </w:t>
      </w:r>
      <w:r>
        <w:rPr/>
        <w:t>August</w:t>
      </w:r>
      <w:r>
        <w:rPr>
          <w:spacing w:val="-6"/>
        </w:rPr>
        <w:t> </w:t>
      </w:r>
      <w:r>
        <w:rPr/>
        <w:t>2023,</w:t>
      </w:r>
      <w:r>
        <w:rPr>
          <w:spacing w:val="-6"/>
        </w:rPr>
        <w:t> </w:t>
      </w:r>
      <w:r>
        <w:rPr/>
        <w:t>which</w:t>
      </w:r>
      <w:r>
        <w:rPr>
          <w:spacing w:val="-6"/>
        </w:rPr>
        <w:t> </w:t>
      </w:r>
      <w:r>
        <w:rPr/>
        <w:t>title</w:t>
      </w:r>
      <w:r>
        <w:rPr>
          <w:spacing w:val="-6"/>
        </w:rPr>
        <w:t> </w:t>
      </w:r>
      <w:r>
        <w:rPr/>
        <w:t>may</w:t>
      </w:r>
      <w:r>
        <w:rPr>
          <w:spacing w:val="-6"/>
        </w:rPr>
        <w:t> </w:t>
      </w:r>
      <w:r>
        <w:rPr/>
        <w:t>include</w:t>
      </w:r>
      <w:r>
        <w:rPr>
          <w:spacing w:val="-6"/>
        </w:rPr>
        <w:t> </w:t>
      </w:r>
      <w:r>
        <w:rPr/>
        <w:t>the</w:t>
      </w:r>
      <w:r>
        <w:rPr>
          <w:spacing w:val="-6"/>
        </w:rPr>
        <w:t> </w:t>
      </w:r>
      <w:r>
        <w:rPr/>
        <w:t>words ‘refugee’</w:t>
      </w:r>
      <w:r>
        <w:rPr>
          <w:spacing w:val="-13"/>
        </w:rPr>
        <w:t> </w:t>
      </w:r>
      <w:r>
        <w:rPr/>
        <w:t>or</w:t>
      </w:r>
      <w:r>
        <w:rPr>
          <w:spacing w:val="-13"/>
        </w:rPr>
        <w:t> </w:t>
      </w:r>
      <w:r>
        <w:rPr/>
        <w:t>‘trafficking’</w:t>
      </w:r>
      <w:r>
        <w:rPr>
          <w:spacing w:val="-13"/>
        </w:rPr>
        <w:t> </w:t>
      </w:r>
      <w:r>
        <w:rPr/>
        <w:t>or</w:t>
      </w:r>
      <w:r>
        <w:rPr>
          <w:spacing w:val="-13"/>
        </w:rPr>
        <w:t> </w:t>
      </w:r>
      <w:r>
        <w:rPr/>
        <w:t>‘exploitation’</w:t>
      </w:r>
      <w:r>
        <w:rPr>
          <w:spacing w:val="-13"/>
        </w:rPr>
        <w:t> </w:t>
      </w:r>
      <w:r>
        <w:rPr/>
        <w:t>or</w:t>
      </w:r>
      <w:r>
        <w:rPr>
          <w:spacing w:val="-13"/>
        </w:rPr>
        <w:t> </w:t>
      </w:r>
      <w:r>
        <w:rPr/>
        <w:t>‘child’</w:t>
      </w:r>
      <w:r>
        <w:rPr>
          <w:spacing w:val="-13"/>
        </w:rPr>
        <w:t> </w:t>
      </w:r>
      <w:r>
        <w:rPr/>
        <w:t>or</w:t>
      </w:r>
      <w:r>
        <w:rPr>
          <w:spacing w:val="-13"/>
        </w:rPr>
        <w:t> </w:t>
      </w:r>
      <w:r>
        <w:rPr/>
        <w:t>‘gender’.</w:t>
      </w:r>
      <w:r>
        <w:rPr>
          <w:spacing w:val="-13"/>
        </w:rPr>
        <w:t> </w:t>
      </w:r>
      <w:r>
        <w:rPr/>
        <w:t>No</w:t>
      </w:r>
      <w:r>
        <w:rPr>
          <w:spacing w:val="-13"/>
        </w:rPr>
        <w:t> </w:t>
      </w:r>
      <w:r>
        <w:rPr/>
        <w:t>further</w:t>
      </w:r>
      <w:r>
        <w:rPr>
          <w:spacing w:val="-13"/>
        </w:rPr>
        <w:t> </w:t>
      </w:r>
      <w:r>
        <w:rPr/>
        <w:t>document than</w:t>
      </w:r>
      <w:r>
        <w:rPr>
          <w:spacing w:val="-10"/>
        </w:rPr>
        <w:t> </w:t>
      </w:r>
      <w:r>
        <w:rPr/>
        <w:t>what</w:t>
      </w:r>
      <w:r>
        <w:rPr>
          <w:spacing w:val="-10"/>
        </w:rPr>
        <w:t> </w:t>
      </w:r>
      <w:r>
        <w:rPr/>
        <w:t>was</w:t>
      </w:r>
      <w:r>
        <w:rPr>
          <w:spacing w:val="-10"/>
        </w:rPr>
        <w:t> </w:t>
      </w:r>
      <w:r>
        <w:rPr/>
        <w:t>already</w:t>
      </w:r>
      <w:r>
        <w:rPr>
          <w:spacing w:val="-10"/>
        </w:rPr>
        <w:t> </w:t>
      </w:r>
      <w:r>
        <w:rPr/>
        <w:t>included</w:t>
      </w:r>
      <w:r>
        <w:rPr>
          <w:spacing w:val="-10"/>
        </w:rPr>
        <w:t> </w:t>
      </w:r>
      <w:r>
        <w:rPr/>
        <w:t>in</w:t>
      </w:r>
      <w:r>
        <w:rPr>
          <w:spacing w:val="-10"/>
        </w:rPr>
        <w:t> </w:t>
      </w:r>
      <w:r>
        <w:rPr/>
        <w:t>the</w:t>
      </w:r>
      <w:r>
        <w:rPr>
          <w:spacing w:val="-10"/>
        </w:rPr>
        <w:t> </w:t>
      </w:r>
      <w:r>
        <w:rPr/>
        <w:t>mapping</w:t>
      </w:r>
      <w:r>
        <w:rPr>
          <w:spacing w:val="-10"/>
        </w:rPr>
        <w:t> </w:t>
      </w:r>
      <w:r>
        <w:rPr/>
        <w:t>data</w:t>
      </w:r>
      <w:r>
        <w:rPr>
          <w:spacing w:val="-10"/>
        </w:rPr>
        <w:t> </w:t>
      </w:r>
      <w:r>
        <w:rPr/>
        <w:t>was</w:t>
      </w:r>
      <w:r>
        <w:rPr>
          <w:spacing w:val="-10"/>
        </w:rPr>
        <w:t> </w:t>
      </w:r>
      <w:r>
        <w:rPr/>
        <w:t>found</w:t>
      </w:r>
      <w:r>
        <w:rPr>
          <w:spacing w:val="-10"/>
        </w:rPr>
        <w:t> </w:t>
      </w:r>
      <w:r>
        <w:rPr/>
        <w:t>(see</w:t>
      </w:r>
      <w:r>
        <w:rPr>
          <w:spacing w:val="-10"/>
        </w:rPr>
        <w:t> </w:t>
      </w:r>
      <w:r>
        <w:rPr/>
        <w:t>Appendix</w:t>
      </w:r>
      <w:r>
        <w:rPr>
          <w:spacing w:val="-10"/>
        </w:rPr>
        <w:t> </w:t>
      </w:r>
      <w:r>
        <w:rPr/>
        <w:t>2).</w:t>
      </w:r>
      <w:r>
        <w:rPr>
          <w:vertAlign w:val="superscript"/>
        </w:rPr>
        <w:t>441</w:t>
      </w:r>
    </w:p>
    <w:p>
      <w:pPr>
        <w:pStyle w:val="BodyText"/>
        <w:spacing w:before="20"/>
      </w:pPr>
    </w:p>
    <w:p>
      <w:pPr>
        <w:pStyle w:val="Heading3"/>
        <w:numPr>
          <w:ilvl w:val="2"/>
          <w:numId w:val="28"/>
        </w:numPr>
        <w:tabs>
          <w:tab w:pos="1358" w:val="left" w:leader="none"/>
        </w:tabs>
        <w:spacing w:line="336" w:lineRule="exact" w:before="0" w:after="0"/>
        <w:ind w:left="1358" w:right="0" w:hanging="638"/>
        <w:jc w:val="left"/>
      </w:pPr>
      <w:r>
        <w:rPr>
          <w:color w:val="004A93"/>
        </w:rPr>
        <w:t>Proposed</w:t>
      </w:r>
      <w:r>
        <w:rPr>
          <w:color w:val="004A93"/>
          <w:spacing w:val="-7"/>
        </w:rPr>
        <w:t> </w:t>
      </w:r>
      <w:r>
        <w:rPr>
          <w:color w:val="004A93"/>
        </w:rPr>
        <w:t>EU</w:t>
      </w:r>
      <w:r>
        <w:rPr>
          <w:color w:val="004A93"/>
          <w:spacing w:val="-7"/>
        </w:rPr>
        <w:t> </w:t>
      </w:r>
      <w:r>
        <w:rPr>
          <w:color w:val="004A93"/>
        </w:rPr>
        <w:t>legislation</w:t>
      </w:r>
      <w:r>
        <w:rPr>
          <w:color w:val="004A93"/>
          <w:spacing w:val="-6"/>
        </w:rPr>
        <w:t> </w:t>
      </w:r>
      <w:r>
        <w:rPr>
          <w:color w:val="004A93"/>
        </w:rPr>
        <w:t>(Directives</w:t>
      </w:r>
      <w:r>
        <w:rPr>
          <w:color w:val="004A93"/>
          <w:spacing w:val="-7"/>
        </w:rPr>
        <w:t> </w:t>
      </w:r>
      <w:r>
        <w:rPr>
          <w:color w:val="004A93"/>
        </w:rPr>
        <w:t>and</w:t>
      </w:r>
      <w:r>
        <w:rPr>
          <w:color w:val="004A93"/>
          <w:spacing w:val="-7"/>
        </w:rPr>
        <w:t> </w:t>
      </w:r>
      <w:r>
        <w:rPr>
          <w:color w:val="004A93"/>
          <w:spacing w:val="-2"/>
        </w:rPr>
        <w:t>Regulations)</w:t>
      </w:r>
    </w:p>
    <w:p>
      <w:pPr>
        <w:pStyle w:val="BodyText"/>
        <w:spacing w:line="232" w:lineRule="auto" w:before="2"/>
        <w:ind w:left="720" w:right="1713"/>
      </w:pPr>
      <w:r>
        <w:rPr/>
        <w:t>Amongst the 17 EU directives and regulations proposed between 1 January 2022</w:t>
      </w:r>
      <w:r>
        <w:rPr>
          <w:spacing w:val="-5"/>
        </w:rPr>
        <w:t> </w:t>
      </w:r>
      <w:r>
        <w:rPr/>
        <w:t>and</w:t>
      </w:r>
      <w:r>
        <w:rPr>
          <w:spacing w:val="-6"/>
        </w:rPr>
        <w:t> </w:t>
      </w:r>
      <w:r>
        <w:rPr/>
        <w:t>31</w:t>
      </w:r>
      <w:r>
        <w:rPr>
          <w:spacing w:val="-5"/>
        </w:rPr>
        <w:t> </w:t>
      </w:r>
      <w:r>
        <w:rPr/>
        <w:t>August</w:t>
      </w:r>
      <w:r>
        <w:rPr>
          <w:spacing w:val="-5"/>
        </w:rPr>
        <w:t> </w:t>
      </w:r>
      <w:r>
        <w:rPr/>
        <w:t>2023</w:t>
      </w:r>
      <w:r>
        <w:rPr>
          <w:spacing w:val="-5"/>
        </w:rPr>
        <w:t> </w:t>
      </w:r>
      <w:r>
        <w:rPr/>
        <w:t>(focusing</w:t>
      </w:r>
      <w:r>
        <w:rPr>
          <w:spacing w:val="-5"/>
        </w:rPr>
        <w:t> </w:t>
      </w:r>
      <w:r>
        <w:rPr/>
        <w:t>on</w:t>
      </w:r>
      <w:r>
        <w:rPr>
          <w:spacing w:val="-6"/>
        </w:rPr>
        <w:t> </w:t>
      </w:r>
      <w:r>
        <w:rPr/>
        <w:t>those</w:t>
      </w:r>
      <w:r>
        <w:rPr>
          <w:spacing w:val="-5"/>
        </w:rPr>
        <w:t> </w:t>
      </w:r>
      <w:r>
        <w:rPr/>
        <w:t>that</w:t>
      </w:r>
      <w:r>
        <w:rPr>
          <w:spacing w:val="-5"/>
        </w:rPr>
        <w:t> </w:t>
      </w:r>
      <w:r>
        <w:rPr/>
        <w:t>have</w:t>
      </w:r>
      <w:r>
        <w:rPr>
          <w:spacing w:val="-5"/>
        </w:rPr>
        <w:t> </w:t>
      </w:r>
      <w:r>
        <w:rPr/>
        <w:t>already</w:t>
      </w:r>
      <w:r>
        <w:rPr>
          <w:spacing w:val="-5"/>
        </w:rPr>
        <w:t> </w:t>
      </w:r>
      <w:r>
        <w:rPr/>
        <w:t>been</w:t>
      </w:r>
      <w:r>
        <w:rPr>
          <w:spacing w:val="-6"/>
        </w:rPr>
        <w:t> </w:t>
      </w:r>
      <w:r>
        <w:rPr/>
        <w:t>adopted by the European Commission and on topics sufficiently relevant to human rights and equality), most concerned the justice system. Several pieces of</w:t>
      </w:r>
    </w:p>
    <w:p>
      <w:pPr>
        <w:pStyle w:val="BodyText"/>
        <w:spacing w:line="232" w:lineRule="auto"/>
        <w:ind w:left="720" w:right="1886"/>
      </w:pPr>
      <w:r>
        <w:rPr/>
        <w:t>EU law that were proposed between 1 January 2022 and 31 August 2023 concerned</w:t>
      </w:r>
      <w:r>
        <w:rPr>
          <w:spacing w:val="-11"/>
        </w:rPr>
        <w:t> </w:t>
      </w:r>
      <w:r>
        <w:rPr/>
        <w:t>public</w:t>
      </w:r>
      <w:r>
        <w:rPr>
          <w:spacing w:val="-10"/>
        </w:rPr>
        <w:t> </w:t>
      </w:r>
      <w:r>
        <w:rPr/>
        <w:t>health,</w:t>
      </w:r>
      <w:r>
        <w:rPr>
          <w:spacing w:val="-10"/>
        </w:rPr>
        <w:t> </w:t>
      </w:r>
      <w:r>
        <w:rPr/>
        <w:t>employment</w:t>
      </w:r>
      <w:r>
        <w:rPr>
          <w:spacing w:val="-10"/>
        </w:rPr>
        <w:t> </w:t>
      </w:r>
      <w:r>
        <w:rPr/>
        <w:t>rights</w:t>
      </w:r>
      <w:r>
        <w:rPr>
          <w:spacing w:val="-11"/>
        </w:rPr>
        <w:t> </w:t>
      </w:r>
      <w:r>
        <w:rPr/>
        <w:t>/</w:t>
      </w:r>
      <w:r>
        <w:rPr>
          <w:spacing w:val="-11"/>
        </w:rPr>
        <w:t> </w:t>
      </w:r>
      <w:r>
        <w:rPr/>
        <w:t>corporate</w:t>
      </w:r>
      <w:r>
        <w:rPr>
          <w:spacing w:val="-10"/>
        </w:rPr>
        <w:t> </w:t>
      </w:r>
      <w:r>
        <w:rPr/>
        <w:t>social</w:t>
      </w:r>
      <w:r>
        <w:rPr>
          <w:spacing w:val="-11"/>
        </w:rPr>
        <w:t> </w:t>
      </w:r>
      <w:r>
        <w:rPr/>
        <w:t>responsibility, and general human rights matters focusing on the protection of vulnerable groups (women, victims of human rights trafficking, children).</w:t>
      </w:r>
    </w:p>
    <w:p>
      <w:pPr>
        <w:pStyle w:val="BodyText"/>
        <w:spacing w:before="51"/>
        <w:rPr>
          <w:sz w:val="20"/>
        </w:rPr>
      </w:pPr>
      <w:r>
        <w:rPr/>
        <mc:AlternateContent>
          <mc:Choice Requires="wps">
            <w:drawing>
              <wp:anchor distT="0" distB="0" distL="0" distR="0" allowOverlap="1" layoutInCell="1" locked="0" behindDoc="1" simplePos="0" relativeHeight="487721984">
                <wp:simplePos x="0" y="0"/>
                <wp:positionH relativeFrom="page">
                  <wp:posOffset>647999</wp:posOffset>
                </wp:positionH>
                <wp:positionV relativeFrom="paragraph">
                  <wp:posOffset>202857</wp:posOffset>
                </wp:positionV>
                <wp:extent cx="6012180" cy="1270"/>
                <wp:effectExtent l="0" t="0" r="0" b="0"/>
                <wp:wrapTopAndBottom/>
                <wp:docPr id="710" name="Graphic 710"/>
                <wp:cNvGraphicFramePr>
                  <a:graphicFrameLocks/>
                </wp:cNvGraphicFramePr>
                <a:graphic>
                  <a:graphicData uri="http://schemas.microsoft.com/office/word/2010/wordprocessingShape">
                    <wps:wsp>
                      <wps:cNvPr id="710" name="Graphic 71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5.973063pt;width:473.4pt;height:.1pt;mso-position-horizontal-relative:page;mso-position-vertical-relative:paragraph;z-index:-15594496;mso-wrap-distance-left:0;mso-wrap-distance-right:0" id="docshape576" coordorigin="1020,319" coordsize="9468,0" path="m1020,319l10488,319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223" w:hanging="567"/>
        <w:jc w:val="both"/>
        <w:rPr>
          <w:sz w:val="18"/>
        </w:rPr>
      </w:pPr>
      <w:hyperlink r:id="rId130">
        <w:r>
          <w:rPr>
            <w:color w:val="1D71B8"/>
            <w:sz w:val="18"/>
            <w:u w:val="single" w:color="1D71B8"/>
          </w:rPr>
          <w:t>EU</w:t>
        </w:r>
        <w:r>
          <w:rPr>
            <w:color w:val="1D71B8"/>
            <w:spacing w:val="-3"/>
            <w:sz w:val="18"/>
            <w:u w:val="single" w:color="1D71B8"/>
          </w:rPr>
          <w:t> </w:t>
        </w:r>
        <w:r>
          <w:rPr>
            <w:color w:val="1D71B8"/>
            <w:sz w:val="18"/>
            <w:u w:val="single" w:color="1D71B8"/>
          </w:rPr>
          <w:t>Regulation</w:t>
        </w:r>
        <w:r>
          <w:rPr>
            <w:color w:val="1D71B8"/>
            <w:spacing w:val="-4"/>
            <w:sz w:val="18"/>
            <w:u w:val="single" w:color="1D71B8"/>
          </w:rPr>
          <w:t> </w:t>
        </w:r>
        <w:r>
          <w:rPr>
            <w:color w:val="1D71B8"/>
            <w:sz w:val="18"/>
            <w:u w:val="single" w:color="1D71B8"/>
          </w:rPr>
          <w:t>2016/679</w:t>
        </w:r>
      </w:hyperlink>
      <w:r>
        <w:rPr>
          <w:color w:val="1D71B8"/>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(27</w:t>
      </w:r>
      <w:r>
        <w:rPr>
          <w:spacing w:val="-3"/>
          <w:sz w:val="18"/>
          <w:u w:val="none"/>
        </w:rPr>
        <w:t> </w:t>
      </w:r>
      <w:r>
        <w:rPr>
          <w:sz w:val="18"/>
          <w:u w:val="none"/>
        </w:rPr>
        <w:t>April</w:t>
      </w:r>
      <w:r>
        <w:rPr>
          <w:spacing w:val="-4"/>
          <w:sz w:val="18"/>
          <w:u w:val="none"/>
        </w:rPr>
        <w:t> </w:t>
      </w:r>
      <w:r>
        <w:rPr>
          <w:sz w:val="18"/>
          <w:u w:val="none"/>
        </w:rPr>
        <w:t>2016)</w:t>
      </w:r>
      <w:r>
        <w:rPr>
          <w:spacing w:val="-4"/>
          <w:sz w:val="18"/>
          <w:u w:val="none"/>
        </w:rPr>
        <w:t> </w:t>
      </w:r>
      <w:r>
        <w:rPr>
          <w:sz w:val="18"/>
          <w:u w:val="none"/>
        </w:rPr>
        <w:t>on</w:t>
      </w:r>
      <w:r>
        <w:rPr>
          <w:spacing w:val="-4"/>
          <w:sz w:val="18"/>
          <w:u w:val="none"/>
        </w:rPr>
        <w:t> </w:t>
      </w:r>
      <w:r>
        <w:rPr>
          <w:sz w:val="18"/>
          <w:u w:val="none"/>
        </w:rPr>
        <w:t>the</w:t>
      </w:r>
      <w:r>
        <w:rPr>
          <w:spacing w:val="-3"/>
          <w:sz w:val="18"/>
          <w:u w:val="none"/>
        </w:rPr>
        <w:t> </w:t>
      </w:r>
      <w:r>
        <w:rPr>
          <w:sz w:val="18"/>
          <w:u w:val="none"/>
        </w:rPr>
        <w:t>protection</w:t>
      </w:r>
      <w:r>
        <w:rPr>
          <w:spacing w:val="-4"/>
          <w:sz w:val="18"/>
          <w:u w:val="none"/>
        </w:rPr>
        <w:t> </w:t>
      </w:r>
      <w:r>
        <w:rPr>
          <w:sz w:val="18"/>
          <w:u w:val="none"/>
        </w:rPr>
        <w:t>of</w:t>
      </w:r>
      <w:r>
        <w:rPr>
          <w:spacing w:val="-4"/>
          <w:sz w:val="18"/>
          <w:u w:val="none"/>
        </w:rPr>
        <w:t> </w:t>
      </w:r>
      <w:r>
        <w:rPr>
          <w:sz w:val="18"/>
          <w:u w:val="none"/>
        </w:rPr>
        <w:t>natural</w:t>
      </w:r>
      <w:r>
        <w:rPr>
          <w:spacing w:val="-4"/>
          <w:sz w:val="18"/>
          <w:u w:val="none"/>
        </w:rPr>
        <w:t> </w:t>
      </w:r>
      <w:r>
        <w:rPr>
          <w:sz w:val="18"/>
          <w:u w:val="none"/>
        </w:rPr>
        <w:t>persons with</w:t>
      </w:r>
      <w:r>
        <w:rPr>
          <w:spacing w:val="-4"/>
          <w:sz w:val="18"/>
          <w:u w:val="none"/>
        </w:rPr>
        <w:t> </w:t>
      </w:r>
      <w:r>
        <w:rPr>
          <w:sz w:val="18"/>
          <w:u w:val="none"/>
        </w:rPr>
        <w:t>regard</w:t>
      </w:r>
      <w:r>
        <w:rPr>
          <w:spacing w:val="-4"/>
          <w:sz w:val="18"/>
          <w:u w:val="none"/>
        </w:rPr>
        <w:t> </w:t>
      </w:r>
      <w:r>
        <w:rPr>
          <w:sz w:val="18"/>
          <w:u w:val="none"/>
        </w:rPr>
        <w:t>to</w:t>
      </w:r>
      <w:r>
        <w:rPr>
          <w:spacing w:val="-4"/>
          <w:sz w:val="18"/>
          <w:u w:val="none"/>
        </w:rPr>
        <w:t> </w:t>
      </w:r>
      <w:r>
        <w:rPr>
          <w:sz w:val="18"/>
          <w:u w:val="none"/>
        </w:rPr>
        <w:t>the</w:t>
      </w:r>
      <w:r>
        <w:rPr>
          <w:spacing w:val="-3"/>
          <w:sz w:val="18"/>
          <w:u w:val="none"/>
        </w:rPr>
        <w:t> </w:t>
      </w:r>
      <w:r>
        <w:rPr>
          <w:sz w:val="18"/>
          <w:u w:val="none"/>
        </w:rPr>
        <w:t>processing</w:t>
      </w:r>
      <w:r>
        <w:rPr>
          <w:spacing w:val="-3"/>
          <w:sz w:val="18"/>
          <w:u w:val="none"/>
        </w:rPr>
        <w:t> </w:t>
      </w:r>
      <w:r>
        <w:rPr>
          <w:sz w:val="18"/>
          <w:u w:val="none"/>
        </w:rPr>
        <w:t>of</w:t>
      </w:r>
      <w:r>
        <w:rPr>
          <w:spacing w:val="-4"/>
          <w:sz w:val="18"/>
          <w:u w:val="none"/>
        </w:rPr>
        <w:t> </w:t>
      </w:r>
      <w:r>
        <w:rPr>
          <w:sz w:val="18"/>
          <w:u w:val="none"/>
        </w:rPr>
        <w:t>personal</w:t>
      </w:r>
      <w:r>
        <w:rPr>
          <w:spacing w:val="-4"/>
          <w:sz w:val="18"/>
          <w:u w:val="none"/>
        </w:rPr>
        <w:t> </w:t>
      </w:r>
      <w:r>
        <w:rPr>
          <w:sz w:val="18"/>
          <w:u w:val="none"/>
        </w:rPr>
        <w:t>data</w:t>
      </w:r>
      <w:r>
        <w:rPr>
          <w:spacing w:val="-4"/>
          <w:sz w:val="18"/>
          <w:u w:val="none"/>
        </w:rPr>
        <w:t> </w:t>
      </w:r>
      <w:r>
        <w:rPr>
          <w:sz w:val="18"/>
          <w:u w:val="none"/>
        </w:rPr>
        <w:t>and</w:t>
      </w:r>
      <w:r>
        <w:rPr>
          <w:spacing w:val="-4"/>
          <w:sz w:val="18"/>
          <w:u w:val="none"/>
        </w:rPr>
        <w:t> </w:t>
      </w:r>
      <w:r>
        <w:rPr>
          <w:sz w:val="18"/>
          <w:u w:val="none"/>
        </w:rPr>
        <w:t>on</w:t>
      </w:r>
      <w:r>
        <w:rPr>
          <w:spacing w:val="-4"/>
          <w:sz w:val="18"/>
          <w:u w:val="none"/>
        </w:rPr>
        <w:t> </w:t>
      </w:r>
      <w:r>
        <w:rPr>
          <w:sz w:val="18"/>
          <w:u w:val="none"/>
        </w:rPr>
        <w:t>the</w:t>
      </w:r>
      <w:r>
        <w:rPr>
          <w:spacing w:val="-3"/>
          <w:sz w:val="18"/>
          <w:u w:val="none"/>
        </w:rPr>
        <w:t> </w:t>
      </w:r>
      <w:r>
        <w:rPr>
          <w:sz w:val="18"/>
          <w:u w:val="none"/>
        </w:rPr>
        <w:t>free</w:t>
      </w:r>
      <w:r>
        <w:rPr>
          <w:spacing w:val="-3"/>
          <w:sz w:val="18"/>
          <w:u w:val="none"/>
        </w:rPr>
        <w:t> </w:t>
      </w:r>
      <w:r>
        <w:rPr>
          <w:sz w:val="18"/>
          <w:u w:val="none"/>
        </w:rPr>
        <w:t>movement</w:t>
      </w:r>
      <w:r>
        <w:rPr>
          <w:spacing w:val="-3"/>
          <w:sz w:val="18"/>
          <w:u w:val="none"/>
        </w:rPr>
        <w:t> </w:t>
      </w:r>
      <w:r>
        <w:rPr>
          <w:sz w:val="18"/>
          <w:u w:val="none"/>
        </w:rPr>
        <w:t>of</w:t>
      </w:r>
      <w:r>
        <w:rPr>
          <w:spacing w:val="-4"/>
          <w:sz w:val="18"/>
          <w:u w:val="none"/>
        </w:rPr>
        <w:t> </w:t>
      </w:r>
      <w:r>
        <w:rPr>
          <w:sz w:val="18"/>
          <w:u w:val="none"/>
        </w:rPr>
        <w:t>such</w:t>
      </w:r>
      <w:r>
        <w:rPr>
          <w:spacing w:val="-4"/>
          <w:sz w:val="18"/>
          <w:u w:val="none"/>
        </w:rPr>
        <w:t> </w:t>
      </w:r>
      <w:r>
        <w:rPr>
          <w:sz w:val="18"/>
          <w:u w:val="none"/>
        </w:rPr>
        <w:t>data,</w:t>
      </w:r>
      <w:r>
        <w:rPr>
          <w:spacing w:val="-3"/>
          <w:sz w:val="18"/>
          <w:u w:val="none"/>
        </w:rPr>
        <w:t> </w:t>
      </w:r>
      <w:r>
        <w:rPr>
          <w:sz w:val="18"/>
          <w:u w:val="none"/>
        </w:rPr>
        <w:t>and</w:t>
      </w:r>
      <w:r>
        <w:rPr>
          <w:spacing w:val="-4"/>
          <w:sz w:val="18"/>
          <w:u w:val="none"/>
        </w:rPr>
        <w:t> </w:t>
      </w:r>
      <w:r>
        <w:rPr>
          <w:sz w:val="18"/>
          <w:u w:val="none"/>
        </w:rPr>
        <w:t>repealing</w:t>
      </w:r>
      <w:r>
        <w:rPr>
          <w:spacing w:val="-3"/>
          <w:sz w:val="18"/>
          <w:u w:val="none"/>
        </w:rPr>
        <w:t> </w:t>
      </w:r>
      <w:r>
        <w:rPr>
          <w:sz w:val="18"/>
          <w:u w:val="none"/>
        </w:rPr>
        <w:t>Directive</w:t>
      </w:r>
      <w:r>
        <w:rPr>
          <w:spacing w:val="-3"/>
          <w:sz w:val="18"/>
          <w:u w:val="none"/>
        </w:rPr>
        <w:t> </w:t>
      </w:r>
      <w:r>
        <w:rPr>
          <w:sz w:val="18"/>
          <w:u w:val="none"/>
        </w:rPr>
        <w:t>95/46/EC (General Data Protection Regulation).</w:t>
      </w:r>
    </w:p>
    <w:p>
      <w:pPr>
        <w:pStyle w:val="ListParagraph"/>
        <w:numPr>
          <w:ilvl w:val="0"/>
          <w:numId w:val="18"/>
        </w:numPr>
        <w:tabs>
          <w:tab w:pos="1287" w:val="left" w:leader="none"/>
        </w:tabs>
        <w:spacing w:line="240" w:lineRule="auto" w:before="1" w:after="0"/>
        <w:ind w:left="1287" w:right="1368" w:hanging="567"/>
        <w:jc w:val="both"/>
        <w:rPr>
          <w:sz w:val="18"/>
        </w:rPr>
      </w:pPr>
      <w:r>
        <w:rPr>
          <w:sz w:val="18"/>
        </w:rPr>
        <w:t>G.</w:t>
      </w:r>
      <w:r>
        <w:rPr>
          <w:spacing w:val="-6"/>
          <w:sz w:val="18"/>
        </w:rPr>
        <w:t> </w:t>
      </w:r>
      <w:r>
        <w:rPr>
          <w:sz w:val="18"/>
        </w:rPr>
        <w:t>Davies,</w:t>
      </w:r>
      <w:r>
        <w:rPr>
          <w:spacing w:val="-5"/>
          <w:sz w:val="18"/>
        </w:rPr>
        <w:t> </w:t>
      </w:r>
      <w:r>
        <w:rPr>
          <w:sz w:val="18"/>
        </w:rPr>
        <w:t>‘</w:t>
      </w:r>
      <w:hyperlink r:id="rId131">
        <w:r>
          <w:rPr>
            <w:color w:val="1D71B8"/>
            <w:sz w:val="18"/>
            <w:u w:val="single" w:color="1D71B8"/>
          </w:rPr>
          <w:t>Facilitating</w:t>
        </w:r>
        <w:r>
          <w:rPr>
            <w:color w:val="1D71B8"/>
            <w:spacing w:val="-5"/>
            <w:sz w:val="18"/>
            <w:u w:val="single" w:color="1D71B8"/>
          </w:rPr>
          <w:t> </w:t>
        </w:r>
        <w:r>
          <w:rPr>
            <w:color w:val="1D71B8"/>
            <w:sz w:val="18"/>
            <w:u w:val="single" w:color="1D71B8"/>
          </w:rPr>
          <w:t>Cross-Border</w:t>
        </w:r>
        <w:r>
          <w:rPr>
            <w:color w:val="1D71B8"/>
            <w:spacing w:val="-5"/>
            <w:sz w:val="18"/>
            <w:u w:val="single" w:color="1D71B8"/>
          </w:rPr>
          <w:t> </w:t>
        </w:r>
        <w:r>
          <w:rPr>
            <w:color w:val="1D71B8"/>
            <w:sz w:val="18"/>
            <w:u w:val="single" w:color="1D71B8"/>
          </w:rPr>
          <w:t>Criminal</w:t>
        </w:r>
        <w:r>
          <w:rPr>
            <w:color w:val="1D71B8"/>
            <w:spacing w:val="-6"/>
            <w:sz w:val="18"/>
            <w:u w:val="single" w:color="1D71B8"/>
          </w:rPr>
          <w:t> </w:t>
        </w:r>
        <w:r>
          <w:rPr>
            <w:color w:val="1D71B8"/>
            <w:sz w:val="18"/>
            <w:u w:val="single" w:color="1D71B8"/>
          </w:rPr>
          <w:t>Justice</w:t>
        </w:r>
        <w:r>
          <w:rPr>
            <w:color w:val="1D71B8"/>
            <w:spacing w:val="-5"/>
            <w:sz w:val="18"/>
            <w:u w:val="single" w:color="1D71B8"/>
          </w:rPr>
          <w:t> </w:t>
        </w:r>
        <w:r>
          <w:rPr>
            <w:color w:val="1D71B8"/>
            <w:sz w:val="18"/>
            <w:u w:val="single" w:color="1D71B8"/>
          </w:rPr>
          <w:t>Cooperation</w:t>
        </w:r>
        <w:r>
          <w:rPr>
            <w:color w:val="1D71B8"/>
            <w:spacing w:val="-6"/>
            <w:sz w:val="18"/>
            <w:u w:val="single" w:color="1D71B8"/>
          </w:rPr>
          <w:t> </w:t>
        </w:r>
        <w:r>
          <w:rPr>
            <w:color w:val="1D71B8"/>
            <w:sz w:val="18"/>
            <w:u w:val="single" w:color="1D71B8"/>
          </w:rPr>
          <w:t>Between</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UK</w:t>
        </w:r>
        <w:r>
          <w:rPr>
            <w:color w:val="1D71B8"/>
            <w:spacing w:val="-6"/>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Ireland</w:t>
        </w:r>
        <w:r>
          <w:rPr>
            <w:color w:val="1D71B8"/>
            <w:spacing w:val="-6"/>
            <w:sz w:val="18"/>
            <w:u w:val="single" w:color="1D71B8"/>
          </w:rPr>
          <w:t> </w:t>
        </w:r>
        <w:r>
          <w:rPr>
            <w:color w:val="1D71B8"/>
            <w:sz w:val="18"/>
            <w:u w:val="single" w:color="1D71B8"/>
          </w:rPr>
          <w:t>After</w:t>
        </w:r>
        <w:r>
          <w:rPr>
            <w:color w:val="1D71B8"/>
            <w:spacing w:val="-5"/>
            <w:sz w:val="18"/>
            <w:u w:val="single" w:color="1D71B8"/>
          </w:rPr>
          <w:t> </w:t>
        </w:r>
        <w:r>
          <w:rPr>
            <w:color w:val="1D71B8"/>
            <w:sz w:val="18"/>
            <w:u w:val="single" w:color="1D71B8"/>
          </w:rPr>
          <w:t>Brexit:</w:t>
        </w:r>
        <w:r>
          <w:rPr>
            <w:color w:val="1D71B8"/>
            <w:spacing w:val="-5"/>
            <w:sz w:val="18"/>
            <w:u w:val="single" w:color="1D71B8"/>
          </w:rPr>
          <w:t> </w:t>
        </w:r>
        <w:r>
          <w:rPr>
            <w:color w:val="1D71B8"/>
            <w:sz w:val="18"/>
            <w:u w:val="single" w:color="1D71B8"/>
          </w:rPr>
          <w:t>‘Keeping</w:t>
        </w:r>
        <w:r>
          <w:rPr>
            <w:color w:val="1D71B8"/>
            <w:spacing w:val="-5"/>
            <w:sz w:val="18"/>
            <w:u w:val="single" w:color="1D71B8"/>
          </w:rPr>
          <w:t> </w:t>
        </w:r>
        <w:r>
          <w:rPr>
            <w:color w:val="1D71B8"/>
            <w:sz w:val="18"/>
            <w:u w:val="single" w:color="1D71B8"/>
          </w:rPr>
          <w:t>the</w:t>
        </w:r>
      </w:hyperlink>
      <w:r>
        <w:rPr>
          <w:color w:val="1D71B8"/>
          <w:sz w:val="18"/>
          <w:u w:val="none"/>
        </w:rPr>
        <w:t> </w:t>
      </w:r>
      <w:hyperlink r:id="rId131">
        <w:r>
          <w:rPr>
            <w:color w:val="1D71B8"/>
            <w:sz w:val="18"/>
            <w:u w:val="single" w:color="1D71B8"/>
          </w:rPr>
          <w:t>Lights On’ to Ensure the Safety of the Common Travel Area</w:t>
        </w:r>
      </w:hyperlink>
      <w:r>
        <w:rPr>
          <w:sz w:val="18"/>
          <w:u w:val="none"/>
        </w:rPr>
        <w:t>’ (2021) 85(2) The Journal of Criminal Law 77-97.</w:t>
      </w:r>
    </w:p>
    <w:p>
      <w:pPr>
        <w:pStyle w:val="ListParagraph"/>
        <w:numPr>
          <w:ilvl w:val="0"/>
          <w:numId w:val="18"/>
        </w:numPr>
        <w:tabs>
          <w:tab w:pos="1286" w:val="left" w:leader="none"/>
        </w:tabs>
        <w:spacing w:line="240" w:lineRule="auto" w:before="1" w:after="0"/>
        <w:ind w:left="1286" w:right="0" w:hanging="566"/>
        <w:jc w:val="both"/>
        <w:rPr>
          <w:sz w:val="18"/>
        </w:rPr>
      </w:pPr>
      <w:r>
        <w:rPr>
          <w:sz w:val="18"/>
        </w:rPr>
        <w:t>See</w:t>
      </w:r>
      <w:r>
        <w:rPr>
          <w:spacing w:val="-7"/>
          <w:sz w:val="18"/>
        </w:rPr>
        <w:t> </w:t>
      </w:r>
      <w:r>
        <w:rPr>
          <w:sz w:val="18"/>
        </w:rPr>
        <w:t>the</w:t>
      </w:r>
      <w:r>
        <w:rPr>
          <w:spacing w:val="-7"/>
          <w:sz w:val="18"/>
        </w:rPr>
        <w:t> </w:t>
      </w:r>
      <w:r>
        <w:rPr>
          <w:sz w:val="18"/>
        </w:rPr>
        <w:t>EUR</w:t>
      </w:r>
      <w:r>
        <w:rPr>
          <w:spacing w:val="-6"/>
          <w:sz w:val="18"/>
        </w:rPr>
        <w:t> </w:t>
      </w:r>
      <w:r>
        <w:rPr>
          <w:sz w:val="18"/>
        </w:rPr>
        <w:t>lex</w:t>
      </w:r>
      <w:r>
        <w:rPr>
          <w:spacing w:val="-8"/>
          <w:sz w:val="18"/>
        </w:rPr>
        <w:t> </w:t>
      </w:r>
      <w:r>
        <w:rPr>
          <w:sz w:val="18"/>
        </w:rPr>
        <w:t>database</w:t>
      </w:r>
      <w:r>
        <w:rPr>
          <w:spacing w:val="-7"/>
          <w:sz w:val="18"/>
        </w:rPr>
        <w:t> </w:t>
      </w:r>
      <w:hyperlink r:id="rId118">
        <w:r>
          <w:rPr>
            <w:color w:val="1D71B8"/>
            <w:sz w:val="18"/>
            <w:u w:val="single" w:color="1D71B8"/>
          </w:rPr>
          <w:t>’Advanced</w:t>
        </w:r>
        <w:r>
          <w:rPr>
            <w:color w:val="1D71B8"/>
            <w:spacing w:val="-7"/>
            <w:sz w:val="18"/>
            <w:u w:val="single" w:color="1D71B8"/>
          </w:rPr>
          <w:t> </w:t>
        </w:r>
        <w:r>
          <w:rPr>
            <w:color w:val="1D71B8"/>
            <w:spacing w:val="-2"/>
            <w:sz w:val="18"/>
            <w:u w:val="single" w:color="1D71B8"/>
          </w:rPr>
          <w:t>search</w:t>
        </w:r>
      </w:hyperlink>
      <w:r>
        <w:rPr>
          <w:spacing w:val="-2"/>
          <w:sz w:val="18"/>
          <w:u w:val="none"/>
        </w:rPr>
        <w:t>’.</w:t>
      </w:r>
    </w:p>
    <w:p>
      <w:pPr>
        <w:spacing w:after="0" w:line="240" w:lineRule="auto"/>
        <w:jc w:val="both"/>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40192">
                <wp:simplePos x="0" y="0"/>
                <wp:positionH relativeFrom="page">
                  <wp:posOffset>-2</wp:posOffset>
                </wp:positionH>
                <wp:positionV relativeFrom="page">
                  <wp:posOffset>0</wp:posOffset>
                </wp:positionV>
                <wp:extent cx="7560309" cy="1155065"/>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7560309" cy="1155065"/>
                          <a:chExt cx="7560309" cy="1155065"/>
                        </a:xfrm>
                      </wpg:grpSpPr>
                      <wps:wsp>
                        <wps:cNvPr id="712" name="Graphic 712"/>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713" name="Graphic 713"/>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76288" id="docshapegroup577" coordorigin="0,0" coordsize="11906,1819">
                <v:shape style="position:absolute;left:0;top:0;width:11906;height:1819" id="docshape578"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4.2.5 Relevance to Northern Ireland " w:id="116"/>
      <w:bookmarkEnd w:id="116"/>
      <w:r>
        <w:rPr/>
      </w:r>
      <w:bookmarkStart w:name="_bookmark48" w:id="117"/>
      <w:bookmarkEnd w:id="117"/>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81</w:t>
      </w:r>
    </w:p>
    <w:p>
      <w:pPr>
        <w:pStyle w:val="BodyText"/>
        <w:rPr>
          <w:b/>
        </w:rPr>
      </w:pPr>
    </w:p>
    <w:p>
      <w:pPr>
        <w:pStyle w:val="BodyText"/>
        <w:spacing w:before="48"/>
        <w:rPr>
          <w:b/>
        </w:rPr>
      </w:pPr>
    </w:p>
    <w:p>
      <w:pPr>
        <w:pStyle w:val="BodyText"/>
        <w:spacing w:line="232" w:lineRule="auto"/>
        <w:ind w:left="1117" w:right="738"/>
      </w:pPr>
      <w:r>
        <w:rPr/>
        <w:t>Finally, some pieces of EU law that were proposed between 1 January 2022 and 31 August</w:t>
      </w:r>
      <w:r>
        <w:rPr>
          <w:spacing w:val="-7"/>
        </w:rPr>
        <w:t> </w:t>
      </w:r>
      <w:r>
        <w:rPr/>
        <w:t>2023</w:t>
      </w:r>
      <w:r>
        <w:rPr>
          <w:spacing w:val="-7"/>
        </w:rPr>
        <w:t> </w:t>
      </w:r>
      <w:r>
        <w:rPr/>
        <w:t>concerned</w:t>
      </w:r>
      <w:r>
        <w:rPr>
          <w:spacing w:val="-8"/>
        </w:rPr>
        <w:t> </w:t>
      </w:r>
      <w:r>
        <w:rPr/>
        <w:t>the</w:t>
      </w:r>
      <w:r>
        <w:rPr>
          <w:spacing w:val="-7"/>
        </w:rPr>
        <w:t> </w:t>
      </w:r>
      <w:r>
        <w:rPr/>
        <w:t>right</w:t>
      </w:r>
      <w:r>
        <w:rPr>
          <w:spacing w:val="-7"/>
        </w:rPr>
        <w:t> </w:t>
      </w:r>
      <w:r>
        <w:rPr/>
        <w:t>to</w:t>
      </w:r>
      <w:r>
        <w:rPr>
          <w:spacing w:val="-8"/>
        </w:rPr>
        <w:t> </w:t>
      </w:r>
      <w:r>
        <w:rPr/>
        <w:t>privacy,</w:t>
      </w:r>
      <w:r>
        <w:rPr>
          <w:spacing w:val="-7"/>
        </w:rPr>
        <w:t> </w:t>
      </w:r>
      <w:r>
        <w:rPr/>
        <w:t>including</w:t>
      </w:r>
      <w:r>
        <w:rPr>
          <w:spacing w:val="-7"/>
        </w:rPr>
        <w:t> </w:t>
      </w:r>
      <w:r>
        <w:rPr/>
        <w:t>data</w:t>
      </w:r>
      <w:r>
        <w:rPr>
          <w:spacing w:val="-8"/>
        </w:rPr>
        <w:t> </w:t>
      </w:r>
      <w:r>
        <w:rPr/>
        <w:t>protection,</w:t>
      </w:r>
      <w:r>
        <w:rPr>
          <w:spacing w:val="-7"/>
        </w:rPr>
        <w:t> </w:t>
      </w:r>
      <w:r>
        <w:rPr/>
        <w:t>and</w:t>
      </w:r>
      <w:r>
        <w:rPr>
          <w:spacing w:val="-8"/>
        </w:rPr>
        <w:t> </w:t>
      </w:r>
      <w:r>
        <w:rPr/>
        <w:t>the</w:t>
      </w:r>
      <w:r>
        <w:rPr>
          <w:spacing w:val="-7"/>
        </w:rPr>
        <w:t> </w:t>
      </w:r>
      <w:r>
        <w:rPr/>
        <w:t>right to a minimum standard of living.</w:t>
      </w:r>
    </w:p>
    <w:p>
      <w:pPr>
        <w:pStyle w:val="BodyText"/>
        <w:spacing w:before="52"/>
      </w:pPr>
    </w:p>
    <w:p>
      <w:pPr>
        <w:pStyle w:val="Heading3"/>
        <w:numPr>
          <w:ilvl w:val="2"/>
          <w:numId w:val="28"/>
        </w:numPr>
        <w:tabs>
          <w:tab w:pos="1755" w:val="left" w:leader="none"/>
        </w:tabs>
        <w:spacing w:line="336" w:lineRule="exact" w:before="0" w:after="0"/>
        <w:ind w:left="1755" w:right="0" w:hanging="638"/>
        <w:jc w:val="left"/>
      </w:pPr>
      <w:r>
        <w:rPr>
          <w:color w:val="004A93"/>
        </w:rPr>
        <w:t>Relevance</w:t>
      </w:r>
      <w:r>
        <w:rPr>
          <w:color w:val="004A93"/>
          <w:spacing w:val="-8"/>
        </w:rPr>
        <w:t> </w:t>
      </w:r>
      <w:r>
        <w:rPr>
          <w:color w:val="004A93"/>
        </w:rPr>
        <w:t>to</w:t>
      </w:r>
      <w:r>
        <w:rPr>
          <w:color w:val="004A93"/>
          <w:spacing w:val="-7"/>
        </w:rPr>
        <w:t> </w:t>
      </w:r>
      <w:r>
        <w:rPr>
          <w:color w:val="004A93"/>
        </w:rPr>
        <w:t>Northern</w:t>
      </w:r>
      <w:r>
        <w:rPr>
          <w:color w:val="004A93"/>
          <w:spacing w:val="-6"/>
        </w:rPr>
        <w:t> </w:t>
      </w:r>
      <w:r>
        <w:rPr>
          <w:color w:val="004A93"/>
          <w:spacing w:val="-2"/>
        </w:rPr>
        <w:t>Ireland</w:t>
      </w:r>
    </w:p>
    <w:p>
      <w:pPr>
        <w:pStyle w:val="BodyText"/>
        <w:spacing w:line="232" w:lineRule="auto" w:before="2"/>
        <w:ind w:left="1117" w:right="1051"/>
      </w:pPr>
      <w:r>
        <w:rPr/>
        <w:t>The themes relevant to human rights and equality on which the EU has most legislated upon from 1 January 2022 until 31 August 2023 (that is, adopted and proposed EU directives and regulations) are all relevant to Northern Ireland, in the context of Brexit. Those which amend Annex 1 directives represent matters of </w:t>
      </w:r>
      <w:r>
        <w:rPr>
          <w:b/>
        </w:rPr>
        <w:t>dynamic alignment</w:t>
      </w:r>
      <w:r>
        <w:rPr/>
        <w:t>; while others are examples where </w:t>
      </w:r>
      <w:r>
        <w:rPr>
          <w:b/>
        </w:rPr>
        <w:t>voluntary alignment </w:t>
      </w:r>
      <w:r>
        <w:rPr/>
        <w:t>might be appropriate where they align with international human rights standards</w:t>
      </w:r>
      <w:r>
        <w:rPr>
          <w:spacing w:val="-9"/>
        </w:rPr>
        <w:t> </w:t>
      </w:r>
      <w:r>
        <w:rPr/>
        <w:t>and</w:t>
      </w:r>
      <w:r>
        <w:rPr>
          <w:spacing w:val="-9"/>
        </w:rPr>
        <w:t> </w:t>
      </w:r>
      <w:r>
        <w:rPr/>
        <w:t>best</w:t>
      </w:r>
      <w:r>
        <w:rPr>
          <w:spacing w:val="-8"/>
        </w:rPr>
        <w:t> </w:t>
      </w:r>
      <w:r>
        <w:rPr/>
        <w:t>practice</w:t>
      </w:r>
      <w:r>
        <w:rPr>
          <w:spacing w:val="-9"/>
        </w:rPr>
        <w:t> </w:t>
      </w:r>
      <w:r>
        <w:rPr/>
        <w:t>and</w:t>
      </w:r>
      <w:r>
        <w:rPr>
          <w:spacing w:val="-9"/>
        </w:rPr>
        <w:t> </w:t>
      </w:r>
      <w:r>
        <w:rPr/>
        <w:t>strengthen</w:t>
      </w:r>
      <w:r>
        <w:rPr>
          <w:spacing w:val="-9"/>
        </w:rPr>
        <w:t> </w:t>
      </w:r>
      <w:r>
        <w:rPr/>
        <w:t>the</w:t>
      </w:r>
      <w:r>
        <w:rPr>
          <w:spacing w:val="-8"/>
        </w:rPr>
        <w:t> </w:t>
      </w:r>
      <w:r>
        <w:rPr/>
        <w:t>protection</w:t>
      </w:r>
      <w:r>
        <w:rPr>
          <w:spacing w:val="-9"/>
        </w:rPr>
        <w:t> </w:t>
      </w:r>
      <w:r>
        <w:rPr/>
        <w:t>of</w:t>
      </w:r>
      <w:r>
        <w:rPr>
          <w:spacing w:val="-9"/>
        </w:rPr>
        <w:t> </w:t>
      </w:r>
      <w:r>
        <w:rPr/>
        <w:t>rights</w:t>
      </w:r>
      <w:r>
        <w:rPr>
          <w:spacing w:val="-9"/>
        </w:rPr>
        <w:t> </w:t>
      </w:r>
      <w:r>
        <w:rPr/>
        <w:t>and</w:t>
      </w:r>
      <w:r>
        <w:rPr>
          <w:spacing w:val="-9"/>
        </w:rPr>
        <w:t> </w:t>
      </w:r>
      <w:r>
        <w:rPr/>
        <w:t>equality.</w:t>
      </w:r>
    </w:p>
    <w:p>
      <w:pPr>
        <w:pStyle w:val="BodyText"/>
        <w:spacing w:line="232" w:lineRule="auto" w:before="273"/>
        <w:ind w:left="1117" w:right="738"/>
      </w:pPr>
      <w:r>
        <w:rPr/>
        <w:t>Some pieces of EU legislation discussed below are relevant to Northern Ireland as matters</w:t>
      </w:r>
      <w:r>
        <w:rPr>
          <w:spacing w:val="-7"/>
        </w:rPr>
        <w:t> </w:t>
      </w:r>
      <w:r>
        <w:rPr/>
        <w:t>of</w:t>
      </w:r>
      <w:r>
        <w:rPr>
          <w:spacing w:val="-6"/>
        </w:rPr>
        <w:t> </w:t>
      </w:r>
      <w:r>
        <w:rPr>
          <w:b/>
        </w:rPr>
        <w:t>dynamic</w:t>
      </w:r>
      <w:r>
        <w:rPr>
          <w:b/>
          <w:spacing w:val="-7"/>
        </w:rPr>
        <w:t> </w:t>
      </w:r>
      <w:r>
        <w:rPr>
          <w:b/>
        </w:rPr>
        <w:t>alignment</w:t>
      </w:r>
      <w:r>
        <w:rPr/>
        <w:t>,</w:t>
      </w:r>
      <w:r>
        <w:rPr>
          <w:spacing w:val="-6"/>
        </w:rPr>
        <w:t> </w:t>
      </w:r>
      <w:r>
        <w:rPr/>
        <w:t>since</w:t>
      </w:r>
      <w:r>
        <w:rPr>
          <w:spacing w:val="-6"/>
        </w:rPr>
        <w:t> </w:t>
      </w:r>
      <w:r>
        <w:rPr/>
        <w:t>they</w:t>
      </w:r>
      <w:r>
        <w:rPr>
          <w:spacing w:val="-6"/>
        </w:rPr>
        <w:t> </w:t>
      </w:r>
      <w:r>
        <w:rPr/>
        <w:t>amend</w:t>
      </w:r>
      <w:r>
        <w:rPr>
          <w:spacing w:val="-7"/>
        </w:rPr>
        <w:t> </w:t>
      </w:r>
      <w:r>
        <w:rPr/>
        <w:t>or</w:t>
      </w:r>
      <w:r>
        <w:rPr>
          <w:spacing w:val="-6"/>
        </w:rPr>
        <w:t> </w:t>
      </w:r>
      <w:r>
        <w:rPr/>
        <w:t>replace</w:t>
      </w:r>
      <w:r>
        <w:rPr>
          <w:spacing w:val="-6"/>
        </w:rPr>
        <w:t> </w:t>
      </w:r>
      <w:r>
        <w:rPr/>
        <w:t>(or</w:t>
      </w:r>
      <w:r>
        <w:rPr>
          <w:spacing w:val="-6"/>
        </w:rPr>
        <w:t> </w:t>
      </w:r>
      <w:r>
        <w:rPr/>
        <w:t>potentially</w:t>
      </w:r>
      <w:r>
        <w:rPr>
          <w:spacing w:val="-6"/>
        </w:rPr>
        <w:t> </w:t>
      </w:r>
      <w:r>
        <w:rPr/>
        <w:t>amend) the Annex 1 directives. As explained by the initial divergence report, ‘(t)his means that, if these measures are amended or replaced (…) the law in force in Northern Ireland will have to reflect these changes.’</w:t>
      </w:r>
      <w:r>
        <w:rPr>
          <w:vertAlign w:val="superscript"/>
        </w:rPr>
        <w:t>442</w:t>
      </w:r>
      <w:r>
        <w:rPr>
          <w:vertAlign w:val="baseline"/>
        </w:rPr>
        <w:t> Please note that Annex 1 directives regulate the following topics:</w:t>
      </w:r>
    </w:p>
    <w:p>
      <w:pPr>
        <w:pStyle w:val="ListParagraph"/>
        <w:numPr>
          <w:ilvl w:val="3"/>
          <w:numId w:val="28"/>
        </w:numPr>
        <w:tabs>
          <w:tab w:pos="1457" w:val="left" w:leader="none"/>
        </w:tabs>
        <w:spacing w:line="232" w:lineRule="auto" w:before="261" w:after="0"/>
        <w:ind w:left="1457" w:right="1121" w:hanging="341"/>
        <w:jc w:val="left"/>
        <w:rPr>
          <w:sz w:val="28"/>
        </w:rPr>
      </w:pPr>
      <w:r>
        <w:rPr>
          <w:sz w:val="28"/>
        </w:rPr>
        <w:t>Prohibition</w:t>
      </w:r>
      <w:r>
        <w:rPr>
          <w:spacing w:val="-5"/>
          <w:sz w:val="28"/>
        </w:rPr>
        <w:t> </w:t>
      </w:r>
      <w:r>
        <w:rPr>
          <w:sz w:val="28"/>
        </w:rPr>
        <w:t>of</w:t>
      </w:r>
      <w:r>
        <w:rPr>
          <w:spacing w:val="-5"/>
          <w:sz w:val="28"/>
        </w:rPr>
        <w:t> </w:t>
      </w:r>
      <w:r>
        <w:rPr>
          <w:sz w:val="28"/>
        </w:rPr>
        <w:t>gender</w:t>
      </w:r>
      <w:r>
        <w:rPr>
          <w:spacing w:val="-4"/>
          <w:sz w:val="28"/>
        </w:rPr>
        <w:t> </w:t>
      </w:r>
      <w:r>
        <w:rPr>
          <w:sz w:val="28"/>
        </w:rPr>
        <w:t>discrimination</w:t>
      </w:r>
      <w:r>
        <w:rPr>
          <w:spacing w:val="-5"/>
          <w:sz w:val="28"/>
        </w:rPr>
        <w:t> </w:t>
      </w:r>
      <w:r>
        <w:rPr>
          <w:sz w:val="28"/>
        </w:rPr>
        <w:t>in</w:t>
      </w:r>
      <w:r>
        <w:rPr>
          <w:spacing w:val="-5"/>
          <w:sz w:val="28"/>
        </w:rPr>
        <w:t> </w:t>
      </w:r>
      <w:r>
        <w:rPr>
          <w:sz w:val="28"/>
        </w:rPr>
        <w:t>the</w:t>
      </w:r>
      <w:r>
        <w:rPr>
          <w:spacing w:val="-4"/>
          <w:sz w:val="28"/>
        </w:rPr>
        <w:t> </w:t>
      </w:r>
      <w:r>
        <w:rPr>
          <w:sz w:val="28"/>
        </w:rPr>
        <w:t>access</w:t>
      </w:r>
      <w:r>
        <w:rPr>
          <w:spacing w:val="-5"/>
          <w:sz w:val="28"/>
        </w:rPr>
        <w:t> </w:t>
      </w:r>
      <w:r>
        <w:rPr>
          <w:sz w:val="28"/>
        </w:rPr>
        <w:t>to</w:t>
      </w:r>
      <w:r>
        <w:rPr>
          <w:spacing w:val="-5"/>
          <w:sz w:val="28"/>
        </w:rPr>
        <w:t> </w:t>
      </w:r>
      <w:r>
        <w:rPr>
          <w:sz w:val="28"/>
        </w:rPr>
        <w:t>and</w:t>
      </w:r>
      <w:r>
        <w:rPr>
          <w:spacing w:val="-5"/>
          <w:sz w:val="28"/>
        </w:rPr>
        <w:t> </w:t>
      </w:r>
      <w:r>
        <w:rPr>
          <w:sz w:val="28"/>
        </w:rPr>
        <w:t>supply</w:t>
      </w:r>
      <w:r>
        <w:rPr>
          <w:spacing w:val="-4"/>
          <w:sz w:val="28"/>
        </w:rPr>
        <w:t> </w:t>
      </w:r>
      <w:r>
        <w:rPr>
          <w:sz w:val="28"/>
        </w:rPr>
        <w:t>of</w:t>
      </w:r>
      <w:r>
        <w:rPr>
          <w:spacing w:val="-5"/>
          <w:sz w:val="28"/>
        </w:rPr>
        <w:t> </w:t>
      </w:r>
      <w:r>
        <w:rPr>
          <w:sz w:val="28"/>
        </w:rPr>
        <w:t>goods</w:t>
      </w:r>
      <w:r>
        <w:rPr>
          <w:spacing w:val="-5"/>
          <w:sz w:val="28"/>
        </w:rPr>
        <w:t> </w:t>
      </w:r>
      <w:r>
        <w:rPr>
          <w:sz w:val="28"/>
        </w:rPr>
        <w:t>and </w:t>
      </w:r>
      <w:r>
        <w:rPr>
          <w:spacing w:val="-2"/>
          <w:sz w:val="28"/>
        </w:rPr>
        <w:t>services.</w:t>
      </w:r>
    </w:p>
    <w:p>
      <w:pPr>
        <w:pStyle w:val="ListParagraph"/>
        <w:numPr>
          <w:ilvl w:val="3"/>
          <w:numId w:val="28"/>
        </w:numPr>
        <w:tabs>
          <w:tab w:pos="1457" w:val="left" w:leader="none"/>
        </w:tabs>
        <w:spacing w:line="325" w:lineRule="exact" w:before="0" w:after="0"/>
        <w:ind w:left="1457" w:right="0" w:hanging="340"/>
        <w:jc w:val="left"/>
        <w:rPr>
          <w:sz w:val="28"/>
        </w:rPr>
      </w:pPr>
      <w:r>
        <w:rPr>
          <w:sz w:val="28"/>
        </w:rPr>
        <w:t>Prohibition</w:t>
      </w:r>
      <w:r>
        <w:rPr>
          <w:spacing w:val="-10"/>
          <w:sz w:val="28"/>
        </w:rPr>
        <w:t> </w:t>
      </w:r>
      <w:r>
        <w:rPr>
          <w:sz w:val="28"/>
        </w:rPr>
        <w:t>of</w:t>
      </w:r>
      <w:r>
        <w:rPr>
          <w:spacing w:val="-9"/>
          <w:sz w:val="28"/>
        </w:rPr>
        <w:t> </w:t>
      </w:r>
      <w:r>
        <w:rPr>
          <w:sz w:val="28"/>
        </w:rPr>
        <w:t>gender</w:t>
      </w:r>
      <w:r>
        <w:rPr>
          <w:spacing w:val="-9"/>
          <w:sz w:val="28"/>
        </w:rPr>
        <w:t> </w:t>
      </w:r>
      <w:r>
        <w:rPr>
          <w:sz w:val="28"/>
        </w:rPr>
        <w:t>discrimination</w:t>
      </w:r>
      <w:r>
        <w:rPr>
          <w:spacing w:val="-9"/>
          <w:sz w:val="28"/>
        </w:rPr>
        <w:t> </w:t>
      </w:r>
      <w:r>
        <w:rPr>
          <w:sz w:val="28"/>
        </w:rPr>
        <w:t>in</w:t>
      </w:r>
      <w:r>
        <w:rPr>
          <w:spacing w:val="-9"/>
          <w:sz w:val="28"/>
        </w:rPr>
        <w:t> </w:t>
      </w:r>
      <w:r>
        <w:rPr>
          <w:sz w:val="28"/>
        </w:rPr>
        <w:t>matters</w:t>
      </w:r>
      <w:r>
        <w:rPr>
          <w:spacing w:val="-9"/>
          <w:sz w:val="28"/>
        </w:rPr>
        <w:t> </w:t>
      </w:r>
      <w:r>
        <w:rPr>
          <w:sz w:val="28"/>
        </w:rPr>
        <w:t>of</w:t>
      </w:r>
      <w:r>
        <w:rPr>
          <w:spacing w:val="-10"/>
          <w:sz w:val="28"/>
        </w:rPr>
        <w:t> </w:t>
      </w:r>
      <w:r>
        <w:rPr>
          <w:sz w:val="28"/>
        </w:rPr>
        <w:t>employment</w:t>
      </w:r>
      <w:r>
        <w:rPr>
          <w:spacing w:val="-8"/>
          <w:sz w:val="28"/>
        </w:rPr>
        <w:t> </w:t>
      </w:r>
      <w:r>
        <w:rPr>
          <w:sz w:val="28"/>
        </w:rPr>
        <w:t>and</w:t>
      </w:r>
      <w:r>
        <w:rPr>
          <w:spacing w:val="-10"/>
          <w:sz w:val="28"/>
        </w:rPr>
        <w:t> </w:t>
      </w:r>
      <w:r>
        <w:rPr>
          <w:spacing w:val="-2"/>
          <w:sz w:val="28"/>
        </w:rPr>
        <w:t>occupation,</w:t>
      </w:r>
    </w:p>
    <w:p>
      <w:pPr>
        <w:pStyle w:val="BodyText"/>
        <w:spacing w:line="323" w:lineRule="exact"/>
        <w:ind w:left="1457"/>
      </w:pPr>
      <w:r>
        <w:rPr/>
        <w:t>including</w:t>
      </w:r>
      <w:r>
        <w:rPr>
          <w:spacing w:val="-11"/>
        </w:rPr>
        <w:t> </w:t>
      </w:r>
      <w:r>
        <w:rPr/>
        <w:t>self-</w:t>
      </w:r>
      <w:r>
        <w:rPr>
          <w:spacing w:val="-2"/>
        </w:rPr>
        <w:t>employment.</w:t>
      </w:r>
    </w:p>
    <w:p>
      <w:pPr>
        <w:pStyle w:val="ListParagraph"/>
        <w:numPr>
          <w:ilvl w:val="3"/>
          <w:numId w:val="28"/>
        </w:numPr>
        <w:tabs>
          <w:tab w:pos="1457" w:val="left" w:leader="none"/>
        </w:tabs>
        <w:spacing w:line="330" w:lineRule="exact" w:before="0" w:after="0"/>
        <w:ind w:left="1457" w:right="0" w:hanging="340"/>
        <w:jc w:val="left"/>
        <w:rPr>
          <w:sz w:val="28"/>
        </w:rPr>
      </w:pPr>
      <w:r>
        <w:rPr>
          <w:sz w:val="28"/>
        </w:rPr>
        <w:t>Prohibition</w:t>
      </w:r>
      <w:r>
        <w:rPr>
          <w:spacing w:val="-10"/>
          <w:sz w:val="28"/>
        </w:rPr>
        <w:t> </w:t>
      </w:r>
      <w:r>
        <w:rPr>
          <w:sz w:val="28"/>
        </w:rPr>
        <w:t>of</w:t>
      </w:r>
      <w:r>
        <w:rPr>
          <w:spacing w:val="-9"/>
          <w:sz w:val="28"/>
        </w:rPr>
        <w:t> </w:t>
      </w:r>
      <w:r>
        <w:rPr>
          <w:sz w:val="28"/>
        </w:rPr>
        <w:t>gender</w:t>
      </w:r>
      <w:r>
        <w:rPr>
          <w:spacing w:val="-8"/>
          <w:sz w:val="28"/>
        </w:rPr>
        <w:t> </w:t>
      </w:r>
      <w:r>
        <w:rPr>
          <w:sz w:val="28"/>
        </w:rPr>
        <w:t>discrimination</w:t>
      </w:r>
      <w:r>
        <w:rPr>
          <w:spacing w:val="-10"/>
          <w:sz w:val="28"/>
        </w:rPr>
        <w:t> </w:t>
      </w:r>
      <w:r>
        <w:rPr>
          <w:sz w:val="28"/>
        </w:rPr>
        <w:t>in</w:t>
      </w:r>
      <w:r>
        <w:rPr>
          <w:spacing w:val="-9"/>
          <w:sz w:val="28"/>
        </w:rPr>
        <w:t> </w:t>
      </w:r>
      <w:r>
        <w:rPr>
          <w:sz w:val="28"/>
        </w:rPr>
        <w:t>matters</w:t>
      </w:r>
      <w:r>
        <w:rPr>
          <w:spacing w:val="-9"/>
          <w:sz w:val="28"/>
        </w:rPr>
        <w:t> </w:t>
      </w:r>
      <w:r>
        <w:rPr>
          <w:sz w:val="28"/>
        </w:rPr>
        <w:t>of</w:t>
      </w:r>
      <w:r>
        <w:rPr>
          <w:spacing w:val="-9"/>
          <w:sz w:val="28"/>
        </w:rPr>
        <w:t> </w:t>
      </w:r>
      <w:r>
        <w:rPr>
          <w:sz w:val="28"/>
        </w:rPr>
        <w:t>social</w:t>
      </w:r>
      <w:r>
        <w:rPr>
          <w:spacing w:val="-10"/>
          <w:sz w:val="28"/>
        </w:rPr>
        <w:t> </w:t>
      </w:r>
      <w:r>
        <w:rPr>
          <w:spacing w:val="-2"/>
          <w:sz w:val="28"/>
        </w:rPr>
        <w:t>security.</w:t>
      </w:r>
    </w:p>
    <w:p>
      <w:pPr>
        <w:pStyle w:val="ListParagraph"/>
        <w:numPr>
          <w:ilvl w:val="3"/>
          <w:numId w:val="28"/>
        </w:numPr>
        <w:tabs>
          <w:tab w:pos="1457" w:val="left" w:leader="none"/>
        </w:tabs>
        <w:spacing w:line="232" w:lineRule="auto" w:before="0" w:after="0"/>
        <w:ind w:left="1457" w:right="1239" w:hanging="341"/>
        <w:jc w:val="left"/>
        <w:rPr>
          <w:sz w:val="28"/>
        </w:rPr>
      </w:pPr>
      <w:r>
        <w:rPr>
          <w:sz w:val="28"/>
        </w:rPr>
        <w:t>Prohibition</w:t>
      </w:r>
      <w:r>
        <w:rPr>
          <w:spacing w:val="-6"/>
          <w:sz w:val="28"/>
        </w:rPr>
        <w:t> </w:t>
      </w:r>
      <w:r>
        <w:rPr>
          <w:sz w:val="28"/>
        </w:rPr>
        <w:t>of</w:t>
      </w:r>
      <w:r>
        <w:rPr>
          <w:spacing w:val="-6"/>
          <w:sz w:val="28"/>
        </w:rPr>
        <w:t> </w:t>
      </w:r>
      <w:r>
        <w:rPr>
          <w:sz w:val="28"/>
        </w:rPr>
        <w:t>discrimination</w:t>
      </w:r>
      <w:r>
        <w:rPr>
          <w:spacing w:val="-6"/>
          <w:sz w:val="28"/>
        </w:rPr>
        <w:t> </w:t>
      </w:r>
      <w:r>
        <w:rPr>
          <w:sz w:val="28"/>
        </w:rPr>
        <w:t>based</w:t>
      </w:r>
      <w:r>
        <w:rPr>
          <w:spacing w:val="-6"/>
          <w:sz w:val="28"/>
        </w:rPr>
        <w:t> </w:t>
      </w:r>
      <w:r>
        <w:rPr>
          <w:sz w:val="28"/>
        </w:rPr>
        <w:t>on</w:t>
      </w:r>
      <w:r>
        <w:rPr>
          <w:spacing w:val="-6"/>
          <w:sz w:val="28"/>
        </w:rPr>
        <w:t> </w:t>
      </w:r>
      <w:r>
        <w:rPr>
          <w:sz w:val="28"/>
        </w:rPr>
        <w:t>racial</w:t>
      </w:r>
      <w:r>
        <w:rPr>
          <w:spacing w:val="-6"/>
          <w:sz w:val="28"/>
        </w:rPr>
        <w:t> </w:t>
      </w:r>
      <w:r>
        <w:rPr>
          <w:sz w:val="28"/>
        </w:rPr>
        <w:t>or</w:t>
      </w:r>
      <w:r>
        <w:rPr>
          <w:spacing w:val="-5"/>
          <w:sz w:val="28"/>
        </w:rPr>
        <w:t> </w:t>
      </w:r>
      <w:r>
        <w:rPr>
          <w:sz w:val="28"/>
        </w:rPr>
        <w:t>ethnic</w:t>
      </w:r>
      <w:r>
        <w:rPr>
          <w:spacing w:val="-5"/>
          <w:sz w:val="28"/>
        </w:rPr>
        <w:t> </w:t>
      </w:r>
      <w:r>
        <w:rPr>
          <w:sz w:val="28"/>
        </w:rPr>
        <w:t>origin</w:t>
      </w:r>
      <w:r>
        <w:rPr>
          <w:spacing w:val="-6"/>
          <w:sz w:val="28"/>
        </w:rPr>
        <w:t> </w:t>
      </w:r>
      <w:r>
        <w:rPr>
          <w:sz w:val="28"/>
        </w:rPr>
        <w:t>both</w:t>
      </w:r>
      <w:r>
        <w:rPr>
          <w:spacing w:val="-6"/>
          <w:sz w:val="28"/>
        </w:rPr>
        <w:t> </w:t>
      </w:r>
      <w:r>
        <w:rPr>
          <w:sz w:val="28"/>
        </w:rPr>
        <w:t>inside</w:t>
      </w:r>
      <w:r>
        <w:rPr>
          <w:spacing w:val="-5"/>
          <w:sz w:val="28"/>
        </w:rPr>
        <w:t> </w:t>
      </w:r>
      <w:r>
        <w:rPr>
          <w:sz w:val="28"/>
        </w:rPr>
        <w:t>and outside the workplace.</w:t>
      </w:r>
    </w:p>
    <w:p>
      <w:pPr>
        <w:pStyle w:val="ListParagraph"/>
        <w:numPr>
          <w:ilvl w:val="3"/>
          <w:numId w:val="28"/>
        </w:numPr>
        <w:tabs>
          <w:tab w:pos="1457" w:val="left" w:leader="none"/>
        </w:tabs>
        <w:spacing w:line="325" w:lineRule="exact" w:before="0" w:after="0"/>
        <w:ind w:left="1457" w:right="0" w:hanging="340"/>
        <w:jc w:val="left"/>
        <w:rPr>
          <w:sz w:val="28"/>
        </w:rPr>
      </w:pPr>
      <w:r>
        <w:rPr>
          <w:sz w:val="28"/>
        </w:rPr>
        <w:t>Prohibition</w:t>
      </w:r>
      <w:r>
        <w:rPr>
          <w:spacing w:val="-8"/>
          <w:sz w:val="28"/>
        </w:rPr>
        <w:t> </w:t>
      </w:r>
      <w:r>
        <w:rPr>
          <w:sz w:val="28"/>
        </w:rPr>
        <w:t>of</w:t>
      </w:r>
      <w:r>
        <w:rPr>
          <w:spacing w:val="-8"/>
          <w:sz w:val="28"/>
        </w:rPr>
        <w:t> </w:t>
      </w:r>
      <w:r>
        <w:rPr>
          <w:sz w:val="28"/>
        </w:rPr>
        <w:t>discrimination</w:t>
      </w:r>
      <w:r>
        <w:rPr>
          <w:spacing w:val="-8"/>
          <w:sz w:val="28"/>
        </w:rPr>
        <w:t> </w:t>
      </w:r>
      <w:r>
        <w:rPr>
          <w:sz w:val="28"/>
        </w:rPr>
        <w:t>in</w:t>
      </w:r>
      <w:r>
        <w:rPr>
          <w:spacing w:val="-8"/>
          <w:sz w:val="28"/>
        </w:rPr>
        <w:t> </w:t>
      </w:r>
      <w:r>
        <w:rPr>
          <w:sz w:val="28"/>
        </w:rPr>
        <w:t>employment</w:t>
      </w:r>
      <w:r>
        <w:rPr>
          <w:spacing w:val="-7"/>
          <w:sz w:val="28"/>
        </w:rPr>
        <w:t> </w:t>
      </w:r>
      <w:r>
        <w:rPr>
          <w:sz w:val="28"/>
        </w:rPr>
        <w:t>and</w:t>
      </w:r>
      <w:r>
        <w:rPr>
          <w:spacing w:val="-7"/>
          <w:sz w:val="28"/>
        </w:rPr>
        <w:t> </w:t>
      </w:r>
      <w:r>
        <w:rPr>
          <w:sz w:val="28"/>
        </w:rPr>
        <w:t>occupation</w:t>
      </w:r>
      <w:r>
        <w:rPr>
          <w:spacing w:val="-8"/>
          <w:sz w:val="28"/>
        </w:rPr>
        <w:t> </w:t>
      </w:r>
      <w:r>
        <w:rPr>
          <w:sz w:val="28"/>
        </w:rPr>
        <w:t>on</w:t>
      </w:r>
      <w:r>
        <w:rPr>
          <w:spacing w:val="-8"/>
          <w:sz w:val="28"/>
        </w:rPr>
        <w:t> </w:t>
      </w:r>
      <w:r>
        <w:rPr>
          <w:sz w:val="28"/>
        </w:rPr>
        <w:t>a</w:t>
      </w:r>
      <w:r>
        <w:rPr>
          <w:spacing w:val="-8"/>
          <w:sz w:val="28"/>
        </w:rPr>
        <w:t> </w:t>
      </w:r>
      <w:r>
        <w:rPr>
          <w:sz w:val="28"/>
        </w:rPr>
        <w:t>range</w:t>
      </w:r>
      <w:r>
        <w:rPr>
          <w:spacing w:val="-7"/>
          <w:sz w:val="28"/>
        </w:rPr>
        <w:t> </w:t>
      </w:r>
      <w:r>
        <w:rPr>
          <w:spacing w:val="-5"/>
          <w:sz w:val="28"/>
        </w:rPr>
        <w:t>of</w:t>
      </w:r>
    </w:p>
    <w:p>
      <w:pPr>
        <w:pStyle w:val="BodyText"/>
        <w:spacing w:line="336" w:lineRule="exact"/>
        <w:ind w:left="1457"/>
      </w:pPr>
      <w:r>
        <w:rPr/>
        <w:t>equality</w:t>
      </w:r>
      <w:r>
        <w:rPr>
          <w:spacing w:val="-2"/>
        </w:rPr>
        <w:t> grounds.</w:t>
      </w:r>
    </w:p>
    <w:p>
      <w:pPr>
        <w:pStyle w:val="BodyText"/>
        <w:spacing w:line="232" w:lineRule="auto" w:before="275"/>
        <w:ind w:left="1117" w:right="872"/>
      </w:pPr>
      <w:r>
        <w:rPr/>
        <w:t>In addition to those measures that are relevant to the dynamic alignment obligation, the other EU legislative acts discussed below are relevant to Northern Ireland</w:t>
      </w:r>
      <w:r>
        <w:rPr>
          <w:spacing w:val="-4"/>
        </w:rPr>
        <w:t> </w:t>
      </w:r>
      <w:r>
        <w:rPr/>
        <w:t>as</w:t>
      </w:r>
      <w:r>
        <w:rPr>
          <w:spacing w:val="-4"/>
        </w:rPr>
        <w:t> </w:t>
      </w:r>
      <w:r>
        <w:rPr/>
        <w:t>matters</w:t>
      </w:r>
      <w:r>
        <w:rPr>
          <w:spacing w:val="-4"/>
        </w:rPr>
        <w:t> </w:t>
      </w:r>
      <w:r>
        <w:rPr/>
        <w:t>of</w:t>
      </w:r>
      <w:r>
        <w:rPr>
          <w:spacing w:val="-3"/>
        </w:rPr>
        <w:t> </w:t>
      </w:r>
      <w:r>
        <w:rPr>
          <w:b/>
        </w:rPr>
        <w:t>voluntary</w:t>
      </w:r>
      <w:r>
        <w:rPr>
          <w:b/>
          <w:spacing w:val="-3"/>
        </w:rPr>
        <w:t> </w:t>
      </w:r>
      <w:r>
        <w:rPr>
          <w:b/>
        </w:rPr>
        <w:t>alignment</w:t>
      </w:r>
      <w:r>
        <w:rPr/>
        <w:t>,</w:t>
      </w:r>
      <w:r>
        <w:rPr>
          <w:spacing w:val="-3"/>
        </w:rPr>
        <w:t> </w:t>
      </w:r>
      <w:r>
        <w:rPr/>
        <w:t>since</w:t>
      </w:r>
      <w:r>
        <w:rPr>
          <w:spacing w:val="-3"/>
        </w:rPr>
        <w:t> </w:t>
      </w:r>
      <w:r>
        <w:rPr/>
        <w:t>they</w:t>
      </w:r>
      <w:r>
        <w:rPr>
          <w:spacing w:val="-3"/>
        </w:rPr>
        <w:t> </w:t>
      </w:r>
      <w:r>
        <w:rPr/>
        <w:t>are</w:t>
      </w:r>
      <w:r>
        <w:rPr>
          <w:spacing w:val="-3"/>
        </w:rPr>
        <w:t> </w:t>
      </w:r>
      <w:r>
        <w:rPr/>
        <w:t>connected</w:t>
      </w:r>
      <w:r>
        <w:rPr>
          <w:spacing w:val="-4"/>
        </w:rPr>
        <w:t> </w:t>
      </w:r>
      <w:r>
        <w:rPr/>
        <w:t>to</w:t>
      </w:r>
      <w:r>
        <w:rPr>
          <w:spacing w:val="-4"/>
        </w:rPr>
        <w:t> </w:t>
      </w:r>
      <w:r>
        <w:rPr/>
        <w:t>the</w:t>
      </w:r>
      <w:r>
        <w:rPr>
          <w:spacing w:val="-3"/>
        </w:rPr>
        <w:t> </w:t>
      </w:r>
      <w:r>
        <w:rPr/>
        <w:t>Rights, Safeguards and Equality of Opportunity section of the 1998 Agreement. Indeed, under Article 2 WF: ‘(t)he United Kingdom shall ensure that no diminution of rights, safeguards or equality of opportunity, as set out in that part of the 1998 Agreement</w:t>
      </w:r>
      <w:r>
        <w:rPr>
          <w:spacing w:val="-7"/>
        </w:rPr>
        <w:t> </w:t>
      </w:r>
      <w:r>
        <w:rPr/>
        <w:t>entitled</w:t>
      </w:r>
      <w:r>
        <w:rPr>
          <w:spacing w:val="-8"/>
        </w:rPr>
        <w:t> </w:t>
      </w:r>
      <w:r>
        <w:rPr/>
        <w:t>Rights,</w:t>
      </w:r>
      <w:r>
        <w:rPr>
          <w:spacing w:val="-7"/>
        </w:rPr>
        <w:t> </w:t>
      </w:r>
      <w:r>
        <w:rPr/>
        <w:t>Safeguards</w:t>
      </w:r>
      <w:r>
        <w:rPr>
          <w:spacing w:val="-8"/>
        </w:rPr>
        <w:t> </w:t>
      </w:r>
      <w:r>
        <w:rPr/>
        <w:t>and</w:t>
      </w:r>
      <w:r>
        <w:rPr>
          <w:spacing w:val="-8"/>
        </w:rPr>
        <w:t> </w:t>
      </w:r>
      <w:r>
        <w:rPr/>
        <w:t>Equality</w:t>
      </w:r>
      <w:r>
        <w:rPr>
          <w:spacing w:val="-7"/>
        </w:rPr>
        <w:t> </w:t>
      </w:r>
      <w:r>
        <w:rPr/>
        <w:t>of</w:t>
      </w:r>
      <w:r>
        <w:rPr>
          <w:spacing w:val="-8"/>
        </w:rPr>
        <w:t> </w:t>
      </w:r>
      <w:r>
        <w:rPr/>
        <w:t>Opportunity</w:t>
      </w:r>
      <w:r>
        <w:rPr>
          <w:spacing w:val="-7"/>
        </w:rPr>
        <w:t> </w:t>
      </w:r>
      <w:r>
        <w:rPr/>
        <w:t>results</w:t>
      </w:r>
      <w:r>
        <w:rPr>
          <w:spacing w:val="-8"/>
        </w:rPr>
        <w:t> </w:t>
      </w:r>
      <w:r>
        <w:rPr/>
        <w:t>from</w:t>
      </w:r>
      <w:r>
        <w:rPr>
          <w:spacing w:val="-7"/>
        </w:rPr>
        <w:t> </w:t>
      </w:r>
      <w:r>
        <w:rPr/>
        <w:t>its withdrawal from the Union’.</w:t>
      </w:r>
    </w:p>
    <w:p>
      <w:pPr>
        <w:pStyle w:val="BodyText"/>
        <w:rPr>
          <w:sz w:val="20"/>
        </w:rPr>
      </w:pPr>
    </w:p>
    <w:p>
      <w:pPr>
        <w:pStyle w:val="BodyText"/>
        <w:rPr>
          <w:sz w:val="20"/>
        </w:rPr>
      </w:pPr>
    </w:p>
    <w:p>
      <w:pPr>
        <w:pStyle w:val="BodyText"/>
        <w:rPr>
          <w:sz w:val="20"/>
        </w:rPr>
      </w:pPr>
    </w:p>
    <w:p>
      <w:pPr>
        <w:pStyle w:val="BodyText"/>
        <w:spacing w:before="14"/>
        <w:rPr>
          <w:sz w:val="20"/>
        </w:rPr>
      </w:pPr>
      <w:r>
        <w:rPr/>
        <mc:AlternateContent>
          <mc:Choice Requires="wps">
            <w:drawing>
              <wp:anchor distT="0" distB="0" distL="0" distR="0" allowOverlap="1" layoutInCell="1" locked="0" behindDoc="1" simplePos="0" relativeHeight="487723008">
                <wp:simplePos x="0" y="0"/>
                <wp:positionH relativeFrom="page">
                  <wp:posOffset>899999</wp:posOffset>
                </wp:positionH>
                <wp:positionV relativeFrom="paragraph">
                  <wp:posOffset>179695</wp:posOffset>
                </wp:positionV>
                <wp:extent cx="6012180" cy="1270"/>
                <wp:effectExtent l="0" t="0" r="0" b="0"/>
                <wp:wrapTopAndBottom/>
                <wp:docPr id="714" name="Graphic 714"/>
                <wp:cNvGraphicFramePr>
                  <a:graphicFrameLocks/>
                </wp:cNvGraphicFramePr>
                <a:graphic>
                  <a:graphicData uri="http://schemas.microsoft.com/office/word/2010/wordprocessingShape">
                    <wps:wsp>
                      <wps:cNvPr id="714" name="Graphic 71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4.149249pt;width:473.4pt;height:.1pt;mso-position-horizontal-relative:page;mso-position-vertical-relative:paragraph;z-index:-15593472;mso-wrap-distance-left:0;mso-wrap-distance-right:0" id="docshape579" coordorigin="1417,283" coordsize="9468,0" path="m1417,283l10885,283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981"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 21.</w:t>
      </w:r>
    </w:p>
    <w:p>
      <w:pPr>
        <w:spacing w:after="0" w:line="240" w:lineRule="auto"/>
        <w:jc w:val="both"/>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41216">
                <wp:simplePos x="0" y="0"/>
                <wp:positionH relativeFrom="page">
                  <wp:posOffset>0</wp:posOffset>
                </wp:positionH>
                <wp:positionV relativeFrom="page">
                  <wp:posOffset>0</wp:posOffset>
                </wp:positionV>
                <wp:extent cx="7560309" cy="1155065"/>
                <wp:effectExtent l="0" t="0" r="0" b="0"/>
                <wp:wrapNone/>
                <wp:docPr id="715" name="Group 715"/>
                <wp:cNvGraphicFramePr>
                  <a:graphicFrameLocks/>
                </wp:cNvGraphicFramePr>
                <a:graphic>
                  <a:graphicData uri="http://schemas.microsoft.com/office/word/2010/wordprocessingGroup">
                    <wpg:wgp>
                      <wpg:cNvPr id="715" name="Group 715"/>
                      <wpg:cNvGrpSpPr/>
                      <wpg:grpSpPr>
                        <a:xfrm>
                          <a:off x="0" y="0"/>
                          <a:ext cx="7560309" cy="1155065"/>
                          <a:chExt cx="7560309" cy="1155065"/>
                        </a:xfrm>
                      </wpg:grpSpPr>
                      <wps:wsp>
                        <wps:cNvPr id="716" name="Graphic 716"/>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717" name="Graphic 717"/>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75264" id="docshapegroup580" coordorigin="0,0" coordsize="11906,1819">
                <v:shape style="position:absolute;left:0;top:0;width:11906;height:1819" id="docshape581"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4.2.6 Key updates from previous report" w:id="118"/>
      <w:bookmarkEnd w:id="118"/>
      <w:r>
        <w:rPr/>
      </w:r>
      <w:bookmarkStart w:name="_bookmark49" w:id="119"/>
      <w:bookmarkEnd w:id="119"/>
      <w:r>
        <w:rPr/>
      </w:r>
      <w:r>
        <w:rPr>
          <w:b/>
          <w:color w:val="FFFFFF"/>
          <w:spacing w:val="-5"/>
          <w:position w:val="-1"/>
          <w:sz w:val="28"/>
        </w:rPr>
        <w:t>82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713"/>
      </w:pPr>
      <w:r>
        <w:rPr/>
        <w:t>The initial divergence report outlines that the Agreement provisions ‘reflect the</w:t>
      </w:r>
      <w:r>
        <w:rPr>
          <w:spacing w:val="-7"/>
        </w:rPr>
        <w:t> </w:t>
      </w:r>
      <w:r>
        <w:rPr/>
        <w:t>most</w:t>
      </w:r>
      <w:r>
        <w:rPr>
          <w:spacing w:val="-7"/>
        </w:rPr>
        <w:t> </w:t>
      </w:r>
      <w:r>
        <w:rPr/>
        <w:t>prominent</w:t>
      </w:r>
      <w:r>
        <w:rPr>
          <w:spacing w:val="-7"/>
        </w:rPr>
        <w:t> </w:t>
      </w:r>
      <w:r>
        <w:rPr/>
        <w:t>aspirations</w:t>
      </w:r>
      <w:r>
        <w:rPr>
          <w:spacing w:val="-7"/>
        </w:rPr>
        <w:t> </w:t>
      </w:r>
      <w:r>
        <w:rPr/>
        <w:t>of</w:t>
      </w:r>
      <w:r>
        <w:rPr>
          <w:spacing w:val="-7"/>
        </w:rPr>
        <w:t> </w:t>
      </w:r>
      <w:r>
        <w:rPr/>
        <w:t>the</w:t>
      </w:r>
      <w:r>
        <w:rPr>
          <w:spacing w:val="-7"/>
        </w:rPr>
        <w:t> </w:t>
      </w:r>
      <w:r>
        <w:rPr/>
        <w:t>parties</w:t>
      </w:r>
      <w:r>
        <w:rPr>
          <w:spacing w:val="-7"/>
        </w:rPr>
        <w:t> </w:t>
      </w:r>
      <w:r>
        <w:rPr/>
        <w:t>to</w:t>
      </w:r>
      <w:r>
        <w:rPr>
          <w:spacing w:val="-7"/>
        </w:rPr>
        <w:t> </w:t>
      </w:r>
      <w:r>
        <w:rPr/>
        <w:t>the</w:t>
      </w:r>
      <w:r>
        <w:rPr>
          <w:spacing w:val="-7"/>
        </w:rPr>
        <w:t> </w:t>
      </w:r>
      <w:r>
        <w:rPr/>
        <w:t>Agreement</w:t>
      </w:r>
      <w:r>
        <w:rPr>
          <w:spacing w:val="-7"/>
        </w:rPr>
        <w:t> </w:t>
      </w:r>
      <w:r>
        <w:rPr/>
        <w:t>for</w:t>
      </w:r>
      <w:r>
        <w:rPr>
          <w:spacing w:val="-7"/>
        </w:rPr>
        <w:t> </w:t>
      </w:r>
      <w:r>
        <w:rPr/>
        <w:t>Northern</w:t>
      </w:r>
    </w:p>
    <w:p>
      <w:pPr>
        <w:pStyle w:val="BodyText"/>
        <w:spacing w:line="232" w:lineRule="auto"/>
        <w:ind w:left="720" w:right="1493"/>
      </w:pPr>
      <w:r>
        <w:rPr/>
        <w:t>Ireland’,</w:t>
      </w:r>
      <w:r>
        <w:rPr>
          <w:spacing w:val="-8"/>
        </w:rPr>
        <w:t> </w:t>
      </w:r>
      <w:r>
        <w:rPr/>
        <w:t>which</w:t>
      </w:r>
      <w:r>
        <w:rPr>
          <w:spacing w:val="-9"/>
        </w:rPr>
        <w:t> </w:t>
      </w:r>
      <w:r>
        <w:rPr/>
        <w:t>‘cover</w:t>
      </w:r>
      <w:r>
        <w:rPr>
          <w:spacing w:val="-8"/>
        </w:rPr>
        <w:t> </w:t>
      </w:r>
      <w:r>
        <w:rPr/>
        <w:t>a</w:t>
      </w:r>
      <w:r>
        <w:rPr>
          <w:spacing w:val="-9"/>
        </w:rPr>
        <w:t> </w:t>
      </w:r>
      <w:r>
        <w:rPr/>
        <w:t>broad</w:t>
      </w:r>
      <w:r>
        <w:rPr>
          <w:spacing w:val="-9"/>
        </w:rPr>
        <w:t> </w:t>
      </w:r>
      <w:r>
        <w:rPr/>
        <w:t>range</w:t>
      </w:r>
      <w:r>
        <w:rPr>
          <w:spacing w:val="-8"/>
        </w:rPr>
        <w:t> </w:t>
      </w:r>
      <w:r>
        <w:rPr/>
        <w:t>of</w:t>
      </w:r>
      <w:r>
        <w:rPr>
          <w:spacing w:val="-9"/>
        </w:rPr>
        <w:t> </w:t>
      </w:r>
      <w:r>
        <w:rPr/>
        <w:t>civil,</w:t>
      </w:r>
      <w:r>
        <w:rPr>
          <w:spacing w:val="-8"/>
        </w:rPr>
        <w:t> </w:t>
      </w:r>
      <w:r>
        <w:rPr/>
        <w:t>political,</w:t>
      </w:r>
      <w:r>
        <w:rPr>
          <w:spacing w:val="-8"/>
        </w:rPr>
        <w:t> </w:t>
      </w:r>
      <w:r>
        <w:rPr/>
        <w:t>economic</w:t>
      </w:r>
      <w:r>
        <w:rPr>
          <w:spacing w:val="-8"/>
        </w:rPr>
        <w:t> </w:t>
      </w:r>
      <w:r>
        <w:rPr/>
        <w:t>and</w:t>
      </w:r>
      <w:r>
        <w:rPr>
          <w:spacing w:val="-9"/>
        </w:rPr>
        <w:t> </w:t>
      </w:r>
      <w:r>
        <w:rPr/>
        <w:t>social</w:t>
      </w:r>
      <w:r>
        <w:rPr>
          <w:spacing w:val="-9"/>
        </w:rPr>
        <w:t> </w:t>
      </w:r>
      <w:r>
        <w:rPr/>
        <w:t>rights’ and</w:t>
      </w:r>
      <w:r>
        <w:rPr>
          <w:spacing w:val="-6"/>
        </w:rPr>
        <w:t> </w:t>
      </w:r>
      <w:r>
        <w:rPr/>
        <w:t>‘are</w:t>
      </w:r>
      <w:r>
        <w:rPr>
          <w:spacing w:val="-5"/>
        </w:rPr>
        <w:t> </w:t>
      </w:r>
      <w:r>
        <w:rPr/>
        <w:t>not</w:t>
      </w:r>
      <w:r>
        <w:rPr>
          <w:spacing w:val="-5"/>
        </w:rPr>
        <w:t> </w:t>
      </w:r>
      <w:r>
        <w:rPr/>
        <w:t>presented</w:t>
      </w:r>
      <w:r>
        <w:rPr>
          <w:spacing w:val="-6"/>
        </w:rPr>
        <w:t> </w:t>
      </w:r>
      <w:r>
        <w:rPr/>
        <w:t>as</w:t>
      </w:r>
      <w:r>
        <w:rPr>
          <w:spacing w:val="-6"/>
        </w:rPr>
        <w:t> </w:t>
      </w:r>
      <w:r>
        <w:rPr/>
        <w:t>an</w:t>
      </w:r>
      <w:r>
        <w:rPr>
          <w:spacing w:val="-6"/>
        </w:rPr>
        <w:t> </w:t>
      </w:r>
      <w:r>
        <w:rPr/>
        <w:t>exhaustive</w:t>
      </w:r>
      <w:r>
        <w:rPr>
          <w:spacing w:val="-5"/>
        </w:rPr>
        <w:t> </w:t>
      </w:r>
      <w:r>
        <w:rPr/>
        <w:t>list’.</w:t>
      </w:r>
      <w:r>
        <w:rPr>
          <w:vertAlign w:val="superscript"/>
        </w:rPr>
        <w:t>443</w:t>
      </w:r>
      <w:r>
        <w:rPr>
          <w:spacing w:val="-6"/>
          <w:vertAlign w:val="baseline"/>
        </w:rPr>
        <w:t> </w:t>
      </w:r>
      <w:r>
        <w:rPr>
          <w:vertAlign w:val="baseline"/>
        </w:rPr>
        <w:t>This</w:t>
      </w:r>
      <w:r>
        <w:rPr>
          <w:spacing w:val="-6"/>
          <w:vertAlign w:val="baseline"/>
        </w:rPr>
        <w:t> </w:t>
      </w:r>
      <w:r>
        <w:rPr>
          <w:vertAlign w:val="baseline"/>
        </w:rPr>
        <w:t>approach</w:t>
      </w:r>
      <w:r>
        <w:rPr>
          <w:spacing w:val="-6"/>
          <w:vertAlign w:val="baseline"/>
        </w:rPr>
        <w:t> </w:t>
      </w:r>
      <w:r>
        <w:rPr>
          <w:vertAlign w:val="baseline"/>
        </w:rPr>
        <w:t>aligns</w:t>
      </w:r>
      <w:r>
        <w:rPr>
          <w:spacing w:val="-6"/>
          <w:vertAlign w:val="baseline"/>
        </w:rPr>
        <w:t> </w:t>
      </w:r>
      <w:r>
        <w:rPr>
          <w:vertAlign w:val="baseline"/>
        </w:rPr>
        <w:t>with</w:t>
      </w:r>
      <w:r>
        <w:rPr>
          <w:spacing w:val="-6"/>
          <w:vertAlign w:val="baseline"/>
        </w:rPr>
        <w:t> </w:t>
      </w:r>
      <w:r>
        <w:rPr>
          <w:vertAlign w:val="baseline"/>
        </w:rPr>
        <w:t>recent reports</w:t>
      </w:r>
      <w:r>
        <w:rPr>
          <w:spacing w:val="-6"/>
          <w:vertAlign w:val="baseline"/>
        </w:rPr>
        <w:t> </w:t>
      </w:r>
      <w:r>
        <w:rPr>
          <w:vertAlign w:val="baseline"/>
        </w:rPr>
        <w:t>written</w:t>
      </w:r>
      <w:r>
        <w:rPr>
          <w:spacing w:val="-6"/>
          <w:vertAlign w:val="baseline"/>
        </w:rPr>
        <w:t> </w:t>
      </w:r>
      <w:r>
        <w:rPr>
          <w:vertAlign w:val="baseline"/>
        </w:rPr>
        <w:t>by</w:t>
      </w:r>
      <w:r>
        <w:rPr>
          <w:spacing w:val="-5"/>
          <w:vertAlign w:val="baseline"/>
        </w:rPr>
        <w:t> </w:t>
      </w:r>
      <w:r>
        <w:rPr>
          <w:vertAlign w:val="baseline"/>
        </w:rPr>
        <w:t>the</w:t>
      </w:r>
      <w:r>
        <w:rPr>
          <w:spacing w:val="-5"/>
          <w:vertAlign w:val="baseline"/>
        </w:rPr>
        <w:t> </w:t>
      </w:r>
      <w:r>
        <w:rPr>
          <w:vertAlign w:val="baseline"/>
        </w:rPr>
        <w:t>ECNI</w:t>
      </w:r>
      <w:r>
        <w:rPr>
          <w:spacing w:val="-5"/>
          <w:vertAlign w:val="baseline"/>
        </w:rPr>
        <w:t> </w:t>
      </w:r>
      <w:r>
        <w:rPr>
          <w:vertAlign w:val="baseline"/>
        </w:rPr>
        <w:t>and</w:t>
      </w:r>
      <w:r>
        <w:rPr>
          <w:spacing w:val="-6"/>
          <w:vertAlign w:val="baseline"/>
        </w:rPr>
        <w:t> </w:t>
      </w:r>
      <w:r>
        <w:rPr>
          <w:vertAlign w:val="baseline"/>
        </w:rPr>
        <w:t>NIHRC.</w:t>
      </w:r>
      <w:r>
        <w:rPr>
          <w:vertAlign w:val="superscript"/>
        </w:rPr>
        <w:t>444</w:t>
      </w:r>
      <w:r>
        <w:rPr>
          <w:spacing w:val="-6"/>
          <w:vertAlign w:val="baseline"/>
        </w:rPr>
        <w:t> </w:t>
      </w:r>
      <w:r>
        <w:rPr>
          <w:vertAlign w:val="baseline"/>
        </w:rPr>
        <w:t>It</w:t>
      </w:r>
      <w:r>
        <w:rPr>
          <w:spacing w:val="-5"/>
          <w:vertAlign w:val="baseline"/>
        </w:rPr>
        <w:t> </w:t>
      </w:r>
      <w:r>
        <w:rPr>
          <w:vertAlign w:val="baseline"/>
        </w:rPr>
        <w:t>also</w:t>
      </w:r>
      <w:r>
        <w:rPr>
          <w:spacing w:val="-6"/>
          <w:vertAlign w:val="baseline"/>
        </w:rPr>
        <w:t> </w:t>
      </w:r>
      <w:r>
        <w:rPr>
          <w:vertAlign w:val="baseline"/>
        </w:rPr>
        <w:t>is</w:t>
      </w:r>
      <w:r>
        <w:rPr>
          <w:spacing w:val="-6"/>
          <w:vertAlign w:val="baseline"/>
        </w:rPr>
        <w:t> </w:t>
      </w:r>
      <w:r>
        <w:rPr>
          <w:vertAlign w:val="baseline"/>
        </w:rPr>
        <w:t>in</w:t>
      </w:r>
      <w:r>
        <w:rPr>
          <w:spacing w:val="-6"/>
          <w:vertAlign w:val="baseline"/>
        </w:rPr>
        <w:t> </w:t>
      </w:r>
      <w:r>
        <w:rPr>
          <w:vertAlign w:val="baseline"/>
        </w:rPr>
        <w:t>line</w:t>
      </w:r>
      <w:r>
        <w:rPr>
          <w:spacing w:val="-5"/>
          <w:vertAlign w:val="baseline"/>
        </w:rPr>
        <w:t> </w:t>
      </w:r>
      <w:r>
        <w:rPr>
          <w:vertAlign w:val="baseline"/>
        </w:rPr>
        <w:t>with</w:t>
      </w:r>
      <w:r>
        <w:rPr>
          <w:spacing w:val="-6"/>
          <w:vertAlign w:val="baseline"/>
        </w:rPr>
        <w:t> </w:t>
      </w:r>
      <w:r>
        <w:rPr>
          <w:vertAlign w:val="baseline"/>
        </w:rPr>
        <w:t>the</w:t>
      </w:r>
      <w:r>
        <w:rPr>
          <w:spacing w:val="-5"/>
          <w:vertAlign w:val="baseline"/>
        </w:rPr>
        <w:t> </w:t>
      </w:r>
      <w:r>
        <w:rPr>
          <w:vertAlign w:val="baseline"/>
        </w:rPr>
        <w:t>generous</w:t>
      </w:r>
      <w:r>
        <w:rPr>
          <w:spacing w:val="-6"/>
          <w:vertAlign w:val="baseline"/>
        </w:rPr>
        <w:t> </w:t>
      </w:r>
      <w:r>
        <w:rPr>
          <w:vertAlign w:val="baseline"/>
        </w:rPr>
        <w:t>and purposive approach to interpretation adopted in the </w:t>
      </w:r>
      <w:r>
        <w:rPr>
          <w:i/>
          <w:vertAlign w:val="baseline"/>
        </w:rPr>
        <w:t>Legacy Act cases (Dillon</w:t>
      </w:r>
      <w:r>
        <w:rPr>
          <w:i/>
          <w:vertAlign w:val="baseline"/>
        </w:rPr>
        <w:t> and others) </w:t>
      </w:r>
      <w:r>
        <w:rPr>
          <w:vertAlign w:val="baseline"/>
        </w:rPr>
        <w:t>(see chapter five).</w:t>
      </w:r>
    </w:p>
    <w:p>
      <w:pPr>
        <w:pStyle w:val="BodyText"/>
        <w:spacing w:line="232" w:lineRule="auto" w:before="272"/>
        <w:ind w:left="720" w:right="1886"/>
      </w:pPr>
      <w:r>
        <w:rPr/>
        <w:t>In</w:t>
      </w:r>
      <w:r>
        <w:rPr>
          <w:spacing w:val="-7"/>
        </w:rPr>
        <w:t> </w:t>
      </w:r>
      <w:r>
        <w:rPr/>
        <w:t>our</w:t>
      </w:r>
      <w:r>
        <w:rPr>
          <w:spacing w:val="-6"/>
        </w:rPr>
        <w:t> </w:t>
      </w:r>
      <w:r>
        <w:rPr/>
        <w:t>sample</w:t>
      </w:r>
      <w:r>
        <w:rPr>
          <w:spacing w:val="-6"/>
        </w:rPr>
        <w:t> </w:t>
      </w:r>
      <w:r>
        <w:rPr/>
        <w:t>of</w:t>
      </w:r>
      <w:r>
        <w:rPr>
          <w:spacing w:val="-7"/>
        </w:rPr>
        <w:t> </w:t>
      </w:r>
      <w:r>
        <w:rPr/>
        <w:t>EU</w:t>
      </w:r>
      <w:r>
        <w:rPr>
          <w:spacing w:val="-6"/>
        </w:rPr>
        <w:t> </w:t>
      </w:r>
      <w:r>
        <w:rPr/>
        <w:t>legislation,</w:t>
      </w:r>
      <w:r>
        <w:rPr>
          <w:spacing w:val="-6"/>
        </w:rPr>
        <w:t> </w:t>
      </w:r>
      <w:r>
        <w:rPr/>
        <w:t>many</w:t>
      </w:r>
      <w:r>
        <w:rPr>
          <w:spacing w:val="-6"/>
        </w:rPr>
        <w:t> </w:t>
      </w:r>
      <w:r>
        <w:rPr/>
        <w:t>EU</w:t>
      </w:r>
      <w:r>
        <w:rPr>
          <w:spacing w:val="-6"/>
        </w:rPr>
        <w:t> </w:t>
      </w:r>
      <w:r>
        <w:rPr/>
        <w:t>directives</w:t>
      </w:r>
      <w:r>
        <w:rPr>
          <w:spacing w:val="-7"/>
        </w:rPr>
        <w:t> </w:t>
      </w:r>
      <w:r>
        <w:rPr/>
        <w:t>and</w:t>
      </w:r>
      <w:r>
        <w:rPr>
          <w:spacing w:val="-7"/>
        </w:rPr>
        <w:t> </w:t>
      </w:r>
      <w:r>
        <w:rPr/>
        <w:t>regulations</w:t>
      </w:r>
      <w:r>
        <w:rPr>
          <w:spacing w:val="-7"/>
        </w:rPr>
        <w:t> </w:t>
      </w:r>
      <w:r>
        <w:rPr/>
        <w:t>(adopted and proposed) concern the right to health (including the right to a healthy</w:t>
      </w:r>
    </w:p>
    <w:p>
      <w:pPr>
        <w:pStyle w:val="BodyText"/>
        <w:spacing w:line="232" w:lineRule="auto"/>
        <w:ind w:left="720" w:right="1087"/>
      </w:pPr>
      <w:r>
        <w:rPr/>
        <w:t>environment)</w:t>
      </w:r>
      <w:r>
        <w:rPr>
          <w:spacing w:val="-7"/>
        </w:rPr>
        <w:t> </w:t>
      </w:r>
      <w:r>
        <w:rPr/>
        <w:t>or</w:t>
      </w:r>
      <w:r>
        <w:rPr>
          <w:spacing w:val="-6"/>
        </w:rPr>
        <w:t> </w:t>
      </w:r>
      <w:r>
        <w:rPr/>
        <w:t>the</w:t>
      </w:r>
      <w:r>
        <w:rPr>
          <w:spacing w:val="-6"/>
        </w:rPr>
        <w:t> </w:t>
      </w:r>
      <w:r>
        <w:rPr/>
        <w:t>right</w:t>
      </w:r>
      <w:r>
        <w:rPr>
          <w:spacing w:val="-6"/>
        </w:rPr>
        <w:t> </w:t>
      </w:r>
      <w:r>
        <w:rPr/>
        <w:t>to</w:t>
      </w:r>
      <w:r>
        <w:rPr>
          <w:spacing w:val="-7"/>
        </w:rPr>
        <w:t> </w:t>
      </w:r>
      <w:r>
        <w:rPr/>
        <w:t>privacy</w:t>
      </w:r>
      <w:r>
        <w:rPr>
          <w:spacing w:val="-6"/>
        </w:rPr>
        <w:t> </w:t>
      </w:r>
      <w:r>
        <w:rPr/>
        <w:t>(including</w:t>
      </w:r>
      <w:r>
        <w:rPr>
          <w:spacing w:val="-6"/>
        </w:rPr>
        <w:t> </w:t>
      </w:r>
      <w:r>
        <w:rPr/>
        <w:t>the</w:t>
      </w:r>
      <w:r>
        <w:rPr>
          <w:spacing w:val="-6"/>
        </w:rPr>
        <w:t> </w:t>
      </w:r>
      <w:r>
        <w:rPr/>
        <w:t>right</w:t>
      </w:r>
      <w:r>
        <w:rPr>
          <w:spacing w:val="-6"/>
        </w:rPr>
        <w:t> </w:t>
      </w:r>
      <w:r>
        <w:rPr/>
        <w:t>to</w:t>
      </w:r>
      <w:r>
        <w:rPr>
          <w:spacing w:val="-7"/>
        </w:rPr>
        <w:t> </w:t>
      </w:r>
      <w:r>
        <w:rPr/>
        <w:t>data</w:t>
      </w:r>
      <w:r>
        <w:rPr>
          <w:spacing w:val="-7"/>
        </w:rPr>
        <w:t> </w:t>
      </w:r>
      <w:r>
        <w:rPr/>
        <w:t>protection);</w:t>
      </w:r>
      <w:r>
        <w:rPr>
          <w:spacing w:val="-6"/>
        </w:rPr>
        <w:t> </w:t>
      </w:r>
      <w:r>
        <w:rPr/>
        <w:t>while some concern human rights topics such as the principle of non-discrimination</w:t>
      </w:r>
    </w:p>
    <w:p>
      <w:pPr>
        <w:pStyle w:val="BodyText"/>
        <w:spacing w:line="232" w:lineRule="auto"/>
        <w:ind w:left="720" w:right="1087"/>
      </w:pPr>
      <w:r>
        <w:rPr/>
        <w:t>or rights to fair justice systems. Since all those aspects underpin the Rights, Safeguards and Equality of Opportunity part of the 1998 Agreement, we </w:t>
      </w:r>
      <w:r>
        <w:rPr>
          <w:b/>
        </w:rPr>
        <w:t>recommend </w:t>
      </w:r>
      <w:r>
        <w:rPr/>
        <w:t>the Northern Ireland Executive and relevant Northern Ireland departments</w:t>
      </w:r>
      <w:r>
        <w:rPr>
          <w:spacing w:val="-9"/>
        </w:rPr>
        <w:t> </w:t>
      </w:r>
      <w:r>
        <w:rPr/>
        <w:t>to</w:t>
      </w:r>
      <w:r>
        <w:rPr>
          <w:spacing w:val="-9"/>
        </w:rPr>
        <w:t> </w:t>
      </w:r>
      <w:r>
        <w:rPr/>
        <w:t>voluntarily</w:t>
      </w:r>
      <w:r>
        <w:rPr>
          <w:spacing w:val="-8"/>
        </w:rPr>
        <w:t> </w:t>
      </w:r>
      <w:r>
        <w:rPr/>
        <w:t>align</w:t>
      </w:r>
      <w:r>
        <w:rPr>
          <w:spacing w:val="-9"/>
        </w:rPr>
        <w:t> </w:t>
      </w:r>
      <w:r>
        <w:rPr/>
        <w:t>with</w:t>
      </w:r>
      <w:r>
        <w:rPr>
          <w:spacing w:val="-9"/>
        </w:rPr>
        <w:t> </w:t>
      </w:r>
      <w:r>
        <w:rPr/>
        <w:t>relevant</w:t>
      </w:r>
      <w:r>
        <w:rPr>
          <w:spacing w:val="-8"/>
        </w:rPr>
        <w:t> </w:t>
      </w:r>
      <w:r>
        <w:rPr/>
        <w:t>EU</w:t>
      </w:r>
      <w:r>
        <w:rPr>
          <w:spacing w:val="-8"/>
        </w:rPr>
        <w:t> </w:t>
      </w:r>
      <w:r>
        <w:rPr/>
        <w:t>legislative</w:t>
      </w:r>
      <w:r>
        <w:rPr>
          <w:spacing w:val="-8"/>
        </w:rPr>
        <w:t> </w:t>
      </w:r>
      <w:r>
        <w:rPr/>
        <w:t>developments</w:t>
      </w:r>
      <w:r>
        <w:rPr>
          <w:spacing w:val="-9"/>
        </w:rPr>
        <w:t> </w:t>
      </w:r>
      <w:r>
        <w:rPr/>
        <w:t>to</w:t>
      </w:r>
      <w:r>
        <w:rPr>
          <w:spacing w:val="-9"/>
        </w:rPr>
        <w:t> </w:t>
      </w:r>
      <w:r>
        <w:rPr/>
        <w:t>avoid divergence of human rights and equality protection across the island of Ireland to the extent that these strengthen rights and align with international human rights standards and best practice.</w:t>
      </w:r>
    </w:p>
    <w:p>
      <w:pPr>
        <w:pStyle w:val="BodyText"/>
        <w:spacing w:before="40"/>
      </w:pPr>
    </w:p>
    <w:p>
      <w:pPr>
        <w:pStyle w:val="Heading3"/>
        <w:numPr>
          <w:ilvl w:val="2"/>
          <w:numId w:val="28"/>
        </w:numPr>
        <w:tabs>
          <w:tab w:pos="1358" w:val="left" w:leader="none"/>
        </w:tabs>
        <w:spacing w:line="336" w:lineRule="exact" w:before="0" w:after="0"/>
        <w:ind w:left="1358" w:right="0" w:hanging="638"/>
        <w:jc w:val="left"/>
      </w:pPr>
      <w:r>
        <w:rPr>
          <w:color w:val="004A93"/>
        </w:rPr>
        <w:t>Key</w:t>
      </w:r>
      <w:r>
        <w:rPr>
          <w:color w:val="004A93"/>
          <w:spacing w:val="-8"/>
        </w:rPr>
        <w:t> </w:t>
      </w:r>
      <w:r>
        <w:rPr>
          <w:color w:val="004A93"/>
        </w:rPr>
        <w:t>updates</w:t>
      </w:r>
      <w:r>
        <w:rPr>
          <w:color w:val="004A93"/>
          <w:spacing w:val="-7"/>
        </w:rPr>
        <w:t> </w:t>
      </w:r>
      <w:r>
        <w:rPr>
          <w:color w:val="004A93"/>
        </w:rPr>
        <w:t>from</w:t>
      </w:r>
      <w:r>
        <w:rPr>
          <w:color w:val="004A93"/>
          <w:spacing w:val="-8"/>
        </w:rPr>
        <w:t> </w:t>
      </w:r>
      <w:r>
        <w:rPr>
          <w:color w:val="004A93"/>
        </w:rPr>
        <w:t>previous</w:t>
      </w:r>
      <w:r>
        <w:rPr>
          <w:color w:val="004A93"/>
          <w:spacing w:val="-7"/>
        </w:rPr>
        <w:t> </w:t>
      </w:r>
      <w:r>
        <w:rPr>
          <w:color w:val="004A93"/>
          <w:spacing w:val="-2"/>
        </w:rPr>
        <w:t>report</w:t>
      </w:r>
    </w:p>
    <w:p>
      <w:pPr>
        <w:pStyle w:val="BodyText"/>
        <w:spacing w:line="232" w:lineRule="auto" w:before="3"/>
        <w:ind w:left="720" w:right="1087"/>
      </w:pPr>
      <w:r>
        <w:rPr/>
        <w:t>The last report recommended that the European Union provide a user-friendly website</w:t>
      </w:r>
      <w:r>
        <w:rPr>
          <w:spacing w:val="-15"/>
        </w:rPr>
        <w:t> </w:t>
      </w:r>
      <w:r>
        <w:rPr/>
        <w:t>to</w:t>
      </w:r>
      <w:r>
        <w:rPr>
          <w:spacing w:val="-15"/>
        </w:rPr>
        <w:t> </w:t>
      </w:r>
      <w:r>
        <w:rPr/>
        <w:t>track</w:t>
      </w:r>
      <w:r>
        <w:rPr>
          <w:spacing w:val="-15"/>
        </w:rPr>
        <w:t> </w:t>
      </w:r>
      <w:r>
        <w:rPr/>
        <w:t>law</w:t>
      </w:r>
      <w:r>
        <w:rPr>
          <w:spacing w:val="-15"/>
        </w:rPr>
        <w:t> </w:t>
      </w:r>
      <w:r>
        <w:rPr/>
        <w:t>and</w:t>
      </w:r>
      <w:r>
        <w:rPr>
          <w:spacing w:val="-15"/>
        </w:rPr>
        <w:t> </w:t>
      </w:r>
      <w:r>
        <w:rPr/>
        <w:t>policy</w:t>
      </w:r>
      <w:r>
        <w:rPr>
          <w:spacing w:val="-15"/>
        </w:rPr>
        <w:t> </w:t>
      </w:r>
      <w:r>
        <w:rPr/>
        <w:t>developments</w:t>
      </w:r>
      <w:r>
        <w:rPr>
          <w:spacing w:val="-15"/>
        </w:rPr>
        <w:t> </w:t>
      </w:r>
      <w:r>
        <w:rPr/>
        <w:t>which</w:t>
      </w:r>
      <w:r>
        <w:rPr>
          <w:spacing w:val="-15"/>
        </w:rPr>
        <w:t> </w:t>
      </w:r>
      <w:r>
        <w:rPr/>
        <w:t>it</w:t>
      </w:r>
      <w:r>
        <w:rPr>
          <w:spacing w:val="-15"/>
        </w:rPr>
        <w:t> </w:t>
      </w:r>
      <w:r>
        <w:rPr/>
        <w:t>deems</w:t>
      </w:r>
      <w:r>
        <w:rPr>
          <w:spacing w:val="-15"/>
        </w:rPr>
        <w:t> </w:t>
      </w:r>
      <w:r>
        <w:rPr/>
        <w:t>relevant</w:t>
      </w:r>
      <w:r>
        <w:rPr>
          <w:spacing w:val="-15"/>
        </w:rPr>
        <w:t> </w:t>
      </w:r>
      <w:r>
        <w:rPr/>
        <w:t>to</w:t>
      </w:r>
      <w:r>
        <w:rPr>
          <w:spacing w:val="-15"/>
        </w:rPr>
        <w:t> </w:t>
      </w:r>
      <w:r>
        <w:rPr/>
        <w:t>obligations triggered</w:t>
      </w:r>
      <w:r>
        <w:rPr>
          <w:spacing w:val="-5"/>
        </w:rPr>
        <w:t> </w:t>
      </w:r>
      <w:r>
        <w:rPr/>
        <w:t>by</w:t>
      </w:r>
      <w:r>
        <w:rPr>
          <w:spacing w:val="-5"/>
        </w:rPr>
        <w:t> </w:t>
      </w:r>
      <w:r>
        <w:rPr/>
        <w:t>Article</w:t>
      </w:r>
      <w:r>
        <w:rPr>
          <w:spacing w:val="-5"/>
        </w:rPr>
        <w:t> </w:t>
      </w:r>
      <w:r>
        <w:rPr/>
        <w:t>2</w:t>
      </w:r>
      <w:r>
        <w:rPr>
          <w:spacing w:val="-5"/>
        </w:rPr>
        <w:t> </w:t>
      </w:r>
      <w:r>
        <w:rPr/>
        <w:t>WF.</w:t>
      </w:r>
      <w:r>
        <w:rPr>
          <w:vertAlign w:val="superscript"/>
        </w:rPr>
        <w:t>445</w:t>
      </w:r>
      <w:r>
        <w:rPr>
          <w:spacing w:val="-5"/>
          <w:vertAlign w:val="baseline"/>
        </w:rPr>
        <w:t> </w:t>
      </w:r>
      <w:r>
        <w:rPr>
          <w:vertAlign w:val="baseline"/>
        </w:rPr>
        <w:t>Unfortunately,</w:t>
      </w:r>
      <w:r>
        <w:rPr>
          <w:spacing w:val="-5"/>
          <w:vertAlign w:val="baseline"/>
        </w:rPr>
        <w:t> </w:t>
      </w:r>
      <w:r>
        <w:rPr>
          <w:vertAlign w:val="baseline"/>
        </w:rPr>
        <w:t>this</w:t>
      </w:r>
      <w:r>
        <w:rPr>
          <w:spacing w:val="-5"/>
          <w:vertAlign w:val="baseline"/>
        </w:rPr>
        <w:t> </w:t>
      </w:r>
      <w:r>
        <w:rPr>
          <w:vertAlign w:val="baseline"/>
        </w:rPr>
        <w:t>has</w:t>
      </w:r>
      <w:r>
        <w:rPr>
          <w:spacing w:val="-5"/>
          <w:vertAlign w:val="baseline"/>
        </w:rPr>
        <w:t> </w:t>
      </w:r>
      <w:r>
        <w:rPr>
          <w:vertAlign w:val="baseline"/>
        </w:rPr>
        <w:t>not</w:t>
      </w:r>
      <w:r>
        <w:rPr>
          <w:spacing w:val="-5"/>
          <w:vertAlign w:val="baseline"/>
        </w:rPr>
        <w:t> </w:t>
      </w:r>
      <w:r>
        <w:rPr>
          <w:vertAlign w:val="baseline"/>
        </w:rPr>
        <w:t>been</w:t>
      </w:r>
      <w:r>
        <w:rPr>
          <w:spacing w:val="-5"/>
          <w:vertAlign w:val="baseline"/>
        </w:rPr>
        <w:t> </w:t>
      </w:r>
      <w:r>
        <w:rPr>
          <w:vertAlign w:val="baseline"/>
        </w:rPr>
        <w:t>implemented.</w:t>
      </w:r>
      <w:r>
        <w:rPr>
          <w:spacing w:val="-5"/>
          <w:vertAlign w:val="baseline"/>
        </w:rPr>
        <w:t> </w:t>
      </w:r>
      <w:r>
        <w:rPr>
          <w:vertAlign w:val="baseline"/>
        </w:rPr>
        <w:t>While the official EU online legal database we used to track EU adopted legislation is relatively</w:t>
      </w:r>
      <w:r>
        <w:rPr>
          <w:spacing w:val="-2"/>
          <w:vertAlign w:val="baseline"/>
        </w:rPr>
        <w:t> </w:t>
      </w:r>
      <w:r>
        <w:rPr>
          <w:vertAlign w:val="baseline"/>
        </w:rPr>
        <w:t>user-friendly</w:t>
      </w:r>
      <w:r>
        <w:rPr>
          <w:spacing w:val="-2"/>
          <w:vertAlign w:val="baseline"/>
        </w:rPr>
        <w:t> </w:t>
      </w:r>
      <w:r>
        <w:rPr>
          <w:vertAlign w:val="baseline"/>
        </w:rPr>
        <w:t>(although</w:t>
      </w:r>
      <w:r>
        <w:rPr>
          <w:spacing w:val="-2"/>
          <w:vertAlign w:val="baseline"/>
        </w:rPr>
        <w:t> </w:t>
      </w:r>
      <w:r>
        <w:rPr>
          <w:vertAlign w:val="baseline"/>
        </w:rPr>
        <w:t>less</w:t>
      </w:r>
      <w:r>
        <w:rPr>
          <w:spacing w:val="-2"/>
          <w:vertAlign w:val="baseline"/>
        </w:rPr>
        <w:t> </w:t>
      </w:r>
      <w:r>
        <w:rPr>
          <w:vertAlign w:val="baseline"/>
        </w:rPr>
        <w:t>so</w:t>
      </w:r>
      <w:r>
        <w:rPr>
          <w:spacing w:val="-2"/>
          <w:vertAlign w:val="baseline"/>
        </w:rPr>
        <w:t> </w:t>
      </w:r>
      <w:r>
        <w:rPr>
          <w:vertAlign w:val="baseline"/>
        </w:rPr>
        <w:t>regarding</w:t>
      </w:r>
      <w:r>
        <w:rPr>
          <w:spacing w:val="-2"/>
          <w:vertAlign w:val="baseline"/>
        </w:rPr>
        <w:t> </w:t>
      </w:r>
      <w:r>
        <w:rPr>
          <w:vertAlign w:val="baseline"/>
        </w:rPr>
        <w:t>the</w:t>
      </w:r>
      <w:r>
        <w:rPr>
          <w:spacing w:val="-2"/>
          <w:vertAlign w:val="baseline"/>
        </w:rPr>
        <w:t> </w:t>
      </w:r>
      <w:r>
        <w:rPr>
          <w:vertAlign w:val="baseline"/>
        </w:rPr>
        <w:t>year</w:t>
      </w:r>
      <w:r>
        <w:rPr>
          <w:spacing w:val="-2"/>
          <w:vertAlign w:val="baseline"/>
        </w:rPr>
        <w:t> </w:t>
      </w:r>
      <w:r>
        <w:rPr>
          <w:vertAlign w:val="baseline"/>
        </w:rPr>
        <w:t>of</w:t>
      </w:r>
      <w:r>
        <w:rPr>
          <w:spacing w:val="-2"/>
          <w:vertAlign w:val="baseline"/>
        </w:rPr>
        <w:t> </w:t>
      </w:r>
      <w:r>
        <w:rPr>
          <w:vertAlign w:val="baseline"/>
        </w:rPr>
        <w:t>adopted</w:t>
      </w:r>
      <w:r>
        <w:rPr>
          <w:spacing w:val="-2"/>
          <w:vertAlign w:val="baseline"/>
        </w:rPr>
        <w:t> </w:t>
      </w:r>
      <w:r>
        <w:rPr>
          <w:vertAlign w:val="baseline"/>
        </w:rPr>
        <w:t>legislation</w:t>
      </w:r>
    </w:p>
    <w:p>
      <w:pPr>
        <w:pStyle w:val="BodyText"/>
        <w:spacing w:line="232" w:lineRule="auto"/>
        <w:ind w:left="720" w:right="1087"/>
      </w:pPr>
      <w:r>
        <w:rPr/>
        <w:t>–</w:t>
      </w:r>
      <w:r>
        <w:rPr>
          <w:spacing w:val="-11"/>
        </w:rPr>
        <w:t> </w:t>
      </w:r>
      <w:r>
        <w:rPr/>
        <w:t>see</w:t>
      </w:r>
      <w:r>
        <w:rPr>
          <w:spacing w:val="-11"/>
        </w:rPr>
        <w:t> </w:t>
      </w:r>
      <w:r>
        <w:rPr/>
        <w:t>Appendix</w:t>
      </w:r>
      <w:r>
        <w:rPr>
          <w:spacing w:val="-11"/>
        </w:rPr>
        <w:t> </w:t>
      </w:r>
      <w:r>
        <w:rPr/>
        <w:t>2);</w:t>
      </w:r>
      <w:r>
        <w:rPr>
          <w:spacing w:val="-11"/>
        </w:rPr>
        <w:t> </w:t>
      </w:r>
      <w:r>
        <w:rPr/>
        <w:t>it</w:t>
      </w:r>
      <w:r>
        <w:rPr>
          <w:spacing w:val="-11"/>
        </w:rPr>
        <w:t> </w:t>
      </w:r>
      <w:r>
        <w:rPr/>
        <w:t>does</w:t>
      </w:r>
      <w:r>
        <w:rPr>
          <w:spacing w:val="-11"/>
        </w:rPr>
        <w:t> </w:t>
      </w:r>
      <w:r>
        <w:rPr/>
        <w:t>not</w:t>
      </w:r>
      <w:r>
        <w:rPr>
          <w:spacing w:val="-11"/>
        </w:rPr>
        <w:t> </w:t>
      </w:r>
      <w:r>
        <w:rPr/>
        <w:t>always</w:t>
      </w:r>
      <w:r>
        <w:rPr>
          <w:spacing w:val="-11"/>
        </w:rPr>
        <w:t> </w:t>
      </w:r>
      <w:r>
        <w:rPr/>
        <w:t>clearly</w:t>
      </w:r>
      <w:r>
        <w:rPr>
          <w:spacing w:val="-11"/>
        </w:rPr>
        <w:t> </w:t>
      </w:r>
      <w:r>
        <w:rPr/>
        <w:t>outline</w:t>
      </w:r>
      <w:r>
        <w:rPr>
          <w:spacing w:val="-11"/>
        </w:rPr>
        <w:t> </w:t>
      </w:r>
      <w:r>
        <w:rPr/>
        <w:t>which</w:t>
      </w:r>
      <w:r>
        <w:rPr>
          <w:spacing w:val="-11"/>
        </w:rPr>
        <w:t> </w:t>
      </w:r>
      <w:r>
        <w:rPr/>
        <w:t>pieces</w:t>
      </w:r>
      <w:r>
        <w:rPr>
          <w:spacing w:val="-11"/>
        </w:rPr>
        <w:t> </w:t>
      </w:r>
      <w:r>
        <w:rPr/>
        <w:t>of</w:t>
      </w:r>
      <w:r>
        <w:rPr>
          <w:spacing w:val="-11"/>
        </w:rPr>
        <w:t> </w:t>
      </w:r>
      <w:r>
        <w:rPr/>
        <w:t>legislation</w:t>
      </w:r>
      <w:r>
        <w:rPr>
          <w:spacing w:val="-11"/>
        </w:rPr>
        <w:t> </w:t>
      </w:r>
      <w:r>
        <w:rPr/>
        <w:t>are particularly</w:t>
      </w:r>
      <w:r>
        <w:rPr>
          <w:spacing w:val="-2"/>
        </w:rPr>
        <w:t> </w:t>
      </w:r>
      <w:r>
        <w:rPr/>
        <w:t>relevant</w:t>
      </w:r>
      <w:r>
        <w:rPr>
          <w:spacing w:val="-2"/>
        </w:rPr>
        <w:t> </w:t>
      </w:r>
      <w:r>
        <w:rPr/>
        <w:t>to</w:t>
      </w:r>
      <w:r>
        <w:rPr>
          <w:spacing w:val="-2"/>
        </w:rPr>
        <w:t> </w:t>
      </w:r>
      <w:r>
        <w:rPr/>
        <w:t>obligations</w:t>
      </w:r>
      <w:r>
        <w:rPr>
          <w:spacing w:val="-2"/>
        </w:rPr>
        <w:t> </w:t>
      </w:r>
      <w:r>
        <w:rPr/>
        <w:t>triggered</w:t>
      </w:r>
      <w:r>
        <w:rPr>
          <w:spacing w:val="-2"/>
        </w:rPr>
        <w:t> </w:t>
      </w:r>
      <w:r>
        <w:rPr/>
        <w:t>by</w:t>
      </w:r>
      <w:r>
        <w:rPr>
          <w:spacing w:val="-2"/>
        </w:rPr>
        <w:t> </w:t>
      </w:r>
      <w:r>
        <w:rPr/>
        <w:t>Article</w:t>
      </w:r>
      <w:r>
        <w:rPr>
          <w:spacing w:val="-2"/>
        </w:rPr>
        <w:t> </w:t>
      </w:r>
      <w:r>
        <w:rPr/>
        <w:t>2</w:t>
      </w:r>
      <w:r>
        <w:rPr>
          <w:spacing w:val="-2"/>
        </w:rPr>
        <w:t> </w:t>
      </w:r>
      <w:r>
        <w:rPr/>
        <w:t>WF.</w:t>
      </w:r>
      <w:r>
        <w:rPr>
          <w:vertAlign w:val="superscript"/>
        </w:rPr>
        <w:t>446</w:t>
      </w:r>
    </w:p>
    <w:p>
      <w:pPr>
        <w:pStyle w:val="BodyText"/>
        <w:spacing w:line="232" w:lineRule="auto" w:before="272"/>
        <w:ind w:left="720" w:right="1681"/>
      </w:pPr>
      <w:r>
        <w:rPr/>
        <w:t>Furthermore, the EU websites listing recently proposed EU legislation are set in</w:t>
      </w:r>
      <w:r>
        <w:rPr>
          <w:spacing w:val="-9"/>
        </w:rPr>
        <w:t> </w:t>
      </w:r>
      <w:r>
        <w:rPr/>
        <w:t>different</w:t>
      </w:r>
      <w:r>
        <w:rPr>
          <w:spacing w:val="-8"/>
        </w:rPr>
        <w:t> </w:t>
      </w:r>
      <w:r>
        <w:rPr/>
        <w:t>places</w:t>
      </w:r>
      <w:r>
        <w:rPr>
          <w:spacing w:val="-9"/>
        </w:rPr>
        <w:t> </w:t>
      </w:r>
      <w:r>
        <w:rPr/>
        <w:t>(the</w:t>
      </w:r>
      <w:r>
        <w:rPr>
          <w:spacing w:val="-8"/>
        </w:rPr>
        <w:t> </w:t>
      </w:r>
      <w:r>
        <w:rPr/>
        <w:t>European</w:t>
      </w:r>
      <w:r>
        <w:rPr>
          <w:spacing w:val="-9"/>
        </w:rPr>
        <w:t> </w:t>
      </w:r>
      <w:r>
        <w:rPr/>
        <w:t>Commission</w:t>
      </w:r>
      <w:r>
        <w:rPr>
          <w:spacing w:val="-9"/>
        </w:rPr>
        <w:t> </w:t>
      </w:r>
      <w:r>
        <w:rPr/>
        <w:t>and</w:t>
      </w:r>
      <w:r>
        <w:rPr>
          <w:spacing w:val="-9"/>
        </w:rPr>
        <w:t> </w:t>
      </w:r>
      <w:r>
        <w:rPr/>
        <w:t>the</w:t>
      </w:r>
      <w:r>
        <w:rPr>
          <w:spacing w:val="-8"/>
        </w:rPr>
        <w:t> </w:t>
      </w:r>
      <w:r>
        <w:rPr/>
        <w:t>European</w:t>
      </w:r>
      <w:r>
        <w:rPr>
          <w:spacing w:val="-9"/>
        </w:rPr>
        <w:t> </w:t>
      </w:r>
      <w:r>
        <w:rPr/>
        <w:t>Parliamentary Research Service) which do not always echo each other; and neither of them</w:t>
      </w:r>
    </w:p>
    <w:p>
      <w:pPr>
        <w:pStyle w:val="BodyText"/>
        <w:spacing w:line="232" w:lineRule="auto"/>
        <w:ind w:left="720" w:right="1087"/>
      </w:pPr>
      <w:r>
        <w:rPr/>
        <w:t>clearly</w:t>
      </w:r>
      <w:r>
        <w:rPr>
          <w:spacing w:val="-6"/>
        </w:rPr>
        <w:t> </w:t>
      </w:r>
      <w:r>
        <w:rPr/>
        <w:t>outlines</w:t>
      </w:r>
      <w:r>
        <w:rPr>
          <w:spacing w:val="-7"/>
        </w:rPr>
        <w:t> </w:t>
      </w:r>
      <w:r>
        <w:rPr/>
        <w:t>which</w:t>
      </w:r>
      <w:r>
        <w:rPr>
          <w:spacing w:val="-7"/>
        </w:rPr>
        <w:t> </w:t>
      </w:r>
      <w:r>
        <w:rPr/>
        <w:t>pieces</w:t>
      </w:r>
      <w:r>
        <w:rPr>
          <w:spacing w:val="-7"/>
        </w:rPr>
        <w:t> </w:t>
      </w:r>
      <w:r>
        <w:rPr/>
        <w:t>of</w:t>
      </w:r>
      <w:r>
        <w:rPr>
          <w:spacing w:val="-7"/>
        </w:rPr>
        <w:t> </w:t>
      </w:r>
      <w:r>
        <w:rPr/>
        <w:t>legislation</w:t>
      </w:r>
      <w:r>
        <w:rPr>
          <w:spacing w:val="-7"/>
        </w:rPr>
        <w:t> </w:t>
      </w:r>
      <w:r>
        <w:rPr/>
        <w:t>are</w:t>
      </w:r>
      <w:r>
        <w:rPr>
          <w:spacing w:val="-6"/>
        </w:rPr>
        <w:t> </w:t>
      </w:r>
      <w:r>
        <w:rPr/>
        <w:t>particularly</w:t>
      </w:r>
      <w:r>
        <w:rPr>
          <w:spacing w:val="-6"/>
        </w:rPr>
        <w:t> </w:t>
      </w:r>
      <w:r>
        <w:rPr/>
        <w:t>relevant</w:t>
      </w:r>
      <w:r>
        <w:rPr>
          <w:spacing w:val="-6"/>
        </w:rPr>
        <w:t> </w:t>
      </w:r>
      <w:r>
        <w:rPr/>
        <w:t>to</w:t>
      </w:r>
      <w:r>
        <w:rPr>
          <w:spacing w:val="-7"/>
        </w:rPr>
        <w:t> </w:t>
      </w:r>
      <w:r>
        <w:rPr/>
        <w:t>obligations triggered by Article 2 WF.</w:t>
      </w:r>
      <w:r>
        <w:rPr>
          <w:vertAlign w:val="superscript"/>
        </w:rPr>
        <w:t>447</w:t>
      </w:r>
    </w:p>
    <w:p>
      <w:pPr>
        <w:pStyle w:val="BodyText"/>
        <w:rPr>
          <w:sz w:val="20"/>
        </w:rPr>
      </w:pPr>
    </w:p>
    <w:p>
      <w:pPr>
        <w:pStyle w:val="BodyText"/>
        <w:rPr>
          <w:sz w:val="20"/>
        </w:rPr>
      </w:pPr>
    </w:p>
    <w:p>
      <w:pPr>
        <w:pStyle w:val="BodyText"/>
        <w:spacing w:before="217"/>
        <w:rPr>
          <w:sz w:val="20"/>
        </w:rPr>
      </w:pPr>
      <w:r>
        <w:rPr/>
        <mc:AlternateContent>
          <mc:Choice Requires="wps">
            <w:drawing>
              <wp:anchor distT="0" distB="0" distL="0" distR="0" allowOverlap="1" layoutInCell="1" locked="0" behindDoc="1" simplePos="0" relativeHeight="487724032">
                <wp:simplePos x="0" y="0"/>
                <wp:positionH relativeFrom="page">
                  <wp:posOffset>647999</wp:posOffset>
                </wp:positionH>
                <wp:positionV relativeFrom="paragraph">
                  <wp:posOffset>308542</wp:posOffset>
                </wp:positionV>
                <wp:extent cx="6012180" cy="1270"/>
                <wp:effectExtent l="0" t="0" r="0" b="0"/>
                <wp:wrapTopAndBottom/>
                <wp:docPr id="718" name="Graphic 718"/>
                <wp:cNvGraphicFramePr>
                  <a:graphicFrameLocks/>
                </wp:cNvGraphicFramePr>
                <a:graphic>
                  <a:graphicData uri="http://schemas.microsoft.com/office/word/2010/wordprocessingShape">
                    <wps:wsp>
                      <wps:cNvPr id="718" name="Graphic 71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4.294649pt;width:473.4pt;height:.1pt;mso-position-horizontal-relative:page;mso-position-vertical-relative:paragraph;z-index:-15592448;mso-wrap-distance-left:0;mso-wrap-distance-right:0" id="docshape582" coordorigin="1020,486" coordsize="9468,0" path="m1020,486l10488,486e" filled="false" stroked="true" strokeweight=".5pt" strokecolor="#36a9e1">
                <v:path arrowok="t"/>
                <v:stroke dashstyle="solid"/>
                <w10:wrap type="topAndBottom"/>
              </v:shape>
            </w:pict>
          </mc:Fallback>
        </mc:AlternateContent>
      </w:r>
    </w:p>
    <w:p>
      <w:pPr>
        <w:pStyle w:val="ListParagraph"/>
        <w:numPr>
          <w:ilvl w:val="0"/>
          <w:numId w:val="18"/>
        </w:numPr>
        <w:tabs>
          <w:tab w:pos="1286" w:val="left" w:leader="none"/>
        </w:tabs>
        <w:spacing w:line="240" w:lineRule="auto" w:before="43" w:after="0"/>
        <w:ind w:left="1286" w:right="0" w:hanging="566"/>
        <w:jc w:val="both"/>
        <w:rPr>
          <w:sz w:val="18"/>
        </w:rPr>
      </w:pPr>
      <w:r>
        <w:rPr>
          <w:sz w:val="18"/>
        </w:rPr>
        <w:t>Ibid.</w:t>
      </w:r>
      <w:r>
        <w:rPr>
          <w:spacing w:val="-5"/>
          <w:sz w:val="18"/>
        </w:rPr>
        <w:t> 16.</w:t>
      </w:r>
    </w:p>
    <w:p>
      <w:pPr>
        <w:pStyle w:val="ListParagraph"/>
        <w:numPr>
          <w:ilvl w:val="0"/>
          <w:numId w:val="18"/>
        </w:numPr>
        <w:tabs>
          <w:tab w:pos="1287" w:val="left" w:leader="none"/>
        </w:tabs>
        <w:spacing w:line="240" w:lineRule="auto" w:before="1" w:after="0"/>
        <w:ind w:left="1287" w:right="1456" w:hanging="567"/>
        <w:jc w:val="both"/>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color w:val="1D71B8"/>
          <w:sz w:val="18"/>
          <w:u w:val="single" w:color="1D71B8"/>
        </w:rPr>
        <w:t>Working</w:t>
      </w:r>
      <w:r>
        <w:rPr>
          <w:color w:val="1D71B8"/>
          <w:spacing w:val="-4"/>
          <w:sz w:val="18"/>
          <w:u w:val="single" w:color="1D71B8"/>
        </w:rPr>
        <w:t> </w:t>
      </w:r>
      <w:r>
        <w:rPr>
          <w:color w:val="1D71B8"/>
          <w:sz w:val="18"/>
          <w:u w:val="single" w:color="1D71B8"/>
        </w:rPr>
        <w:t>Paper:</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Scope</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Article</w:t>
      </w:r>
      <w:r>
        <w:rPr>
          <w:color w:val="1D71B8"/>
          <w:spacing w:val="-4"/>
          <w:sz w:val="18"/>
          <w:u w:val="single" w:color="1D71B8"/>
        </w:rPr>
        <w:t> </w:t>
      </w:r>
      <w:r>
        <w:rPr>
          <w:color w:val="1D71B8"/>
          <w:sz w:val="18"/>
          <w:u w:val="single" w:color="1D71B8"/>
        </w:rPr>
        <w:t>2(1)</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Ireland/</w:t>
      </w:r>
      <w:r>
        <w:rPr>
          <w:color w:val="1D71B8"/>
          <w:spacing w:val="-5"/>
          <w:sz w:val="18"/>
          <w:u w:val="single" w:color="1D71B8"/>
        </w:rPr>
        <w:t> </w:t>
      </w:r>
      <w:r>
        <w:rPr>
          <w:color w:val="1D71B8"/>
          <w:sz w:val="18"/>
          <w:u w:val="single" w:color="1D71B8"/>
        </w:rPr>
        <w:t>Northern</w:t>
      </w:r>
      <w:r>
        <w:rPr>
          <w:color w:val="1D71B8"/>
          <w:spacing w:val="-5"/>
          <w:sz w:val="18"/>
          <w:u w:val="single" w:color="1D71B8"/>
        </w:rPr>
        <w:t> </w:t>
      </w:r>
      <w:r>
        <w:rPr>
          <w:color w:val="1D71B8"/>
          <w:sz w:val="18"/>
          <w:u w:val="single" w:color="1D71B8"/>
        </w:rPr>
        <w:t>Ireland</w:t>
      </w:r>
      <w:r>
        <w:rPr>
          <w:color w:val="1D71B8"/>
          <w:spacing w:val="-5"/>
          <w:sz w:val="18"/>
          <w:u w:val="single" w:color="1D71B8"/>
        </w:rPr>
        <w:t> </w:t>
      </w:r>
      <w:r>
        <w:rPr>
          <w:color w:val="1D71B8"/>
          <w:sz w:val="18"/>
          <w:u w:val="single" w:color="1D71B8"/>
        </w:rPr>
        <w:t>Protocol</w:t>
      </w:r>
      <w:r>
        <w:rPr>
          <w:color w:val="1D71B8"/>
          <w:spacing w:val="-5"/>
          <w:sz w:val="18"/>
          <w:u w:val="none"/>
        </w:rPr>
        <w:t> </w:t>
      </w:r>
      <w:r>
        <w:rPr>
          <w:sz w:val="18"/>
          <w:u w:val="none"/>
        </w:rPr>
        <w:t>(December</w:t>
      </w:r>
      <w:r>
        <w:rPr>
          <w:spacing w:val="-4"/>
          <w:sz w:val="18"/>
          <w:u w:val="none"/>
        </w:rPr>
        <w:t> </w:t>
      </w:r>
      <w:r>
        <w:rPr>
          <w:sz w:val="18"/>
          <w:u w:val="none"/>
        </w:rPr>
        <w:t>2022), Section</w:t>
      </w:r>
      <w:r>
        <w:rPr>
          <w:spacing w:val="-2"/>
          <w:sz w:val="18"/>
          <w:u w:val="none"/>
        </w:rPr>
        <w:t> </w:t>
      </w:r>
      <w:r>
        <w:rPr>
          <w:sz w:val="18"/>
          <w:u w:val="none"/>
        </w:rPr>
        <w:t>3.9.</w:t>
      </w:r>
    </w:p>
    <w:p>
      <w:pPr>
        <w:pStyle w:val="ListParagraph"/>
        <w:numPr>
          <w:ilvl w:val="0"/>
          <w:numId w:val="18"/>
        </w:numPr>
        <w:tabs>
          <w:tab w:pos="1287" w:val="left" w:leader="none"/>
        </w:tabs>
        <w:spacing w:line="240" w:lineRule="auto" w:before="0" w:after="0"/>
        <w:ind w:left="1287" w:right="1378"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 114.</w:t>
      </w:r>
    </w:p>
    <w:p>
      <w:pPr>
        <w:pStyle w:val="ListParagraph"/>
        <w:numPr>
          <w:ilvl w:val="0"/>
          <w:numId w:val="18"/>
        </w:numPr>
        <w:tabs>
          <w:tab w:pos="1287" w:val="left" w:leader="none"/>
        </w:tabs>
        <w:spacing w:line="240" w:lineRule="auto" w:before="1" w:after="0"/>
        <w:ind w:left="1287" w:right="1182" w:hanging="567"/>
        <w:jc w:val="both"/>
        <w:rPr>
          <w:sz w:val="18"/>
        </w:rPr>
      </w:pPr>
      <w:r>
        <w:rPr>
          <w:sz w:val="18"/>
        </w:rPr>
        <w:t>See</w:t>
      </w:r>
      <w:r>
        <w:rPr>
          <w:spacing w:val="-3"/>
          <w:sz w:val="18"/>
        </w:rPr>
        <w:t> </w:t>
      </w:r>
      <w:r>
        <w:rPr>
          <w:sz w:val="18"/>
        </w:rPr>
        <w:t>the</w:t>
      </w:r>
      <w:r>
        <w:rPr>
          <w:spacing w:val="-3"/>
          <w:sz w:val="18"/>
        </w:rPr>
        <w:t> </w:t>
      </w:r>
      <w:r>
        <w:rPr>
          <w:sz w:val="18"/>
        </w:rPr>
        <w:t>official</w:t>
      </w:r>
      <w:r>
        <w:rPr>
          <w:spacing w:val="-4"/>
          <w:sz w:val="18"/>
        </w:rPr>
        <w:t> </w:t>
      </w:r>
      <w:r>
        <w:rPr>
          <w:sz w:val="18"/>
        </w:rPr>
        <w:t>EU</w:t>
      </w:r>
      <w:r>
        <w:rPr>
          <w:spacing w:val="-3"/>
          <w:sz w:val="18"/>
        </w:rPr>
        <w:t> </w:t>
      </w:r>
      <w:r>
        <w:rPr>
          <w:sz w:val="18"/>
        </w:rPr>
        <w:t>legal</w:t>
      </w:r>
      <w:r>
        <w:rPr>
          <w:spacing w:val="-4"/>
          <w:sz w:val="18"/>
        </w:rPr>
        <w:t> </w:t>
      </w:r>
      <w:r>
        <w:rPr>
          <w:sz w:val="18"/>
        </w:rPr>
        <w:t>database</w:t>
      </w:r>
      <w:r>
        <w:rPr>
          <w:spacing w:val="-3"/>
          <w:sz w:val="18"/>
        </w:rPr>
        <w:t> </w:t>
      </w:r>
      <w:r>
        <w:rPr>
          <w:sz w:val="18"/>
        </w:rPr>
        <w:t>EurLex,</w:t>
      </w:r>
      <w:r>
        <w:rPr>
          <w:spacing w:val="-3"/>
          <w:sz w:val="18"/>
        </w:rPr>
        <w:t> </w:t>
      </w:r>
      <w:r>
        <w:rPr>
          <w:sz w:val="18"/>
        </w:rPr>
        <w:t>which</w:t>
      </w:r>
      <w:r>
        <w:rPr>
          <w:spacing w:val="-4"/>
          <w:sz w:val="18"/>
        </w:rPr>
        <w:t> </w:t>
      </w:r>
      <w:r>
        <w:rPr>
          <w:sz w:val="18"/>
        </w:rPr>
        <w:t>can</w:t>
      </w:r>
      <w:r>
        <w:rPr>
          <w:spacing w:val="-4"/>
          <w:sz w:val="18"/>
        </w:rPr>
        <w:t> </w:t>
      </w:r>
      <w:r>
        <w:rPr>
          <w:sz w:val="18"/>
        </w:rPr>
        <w:t>be</w:t>
      </w:r>
      <w:r>
        <w:rPr>
          <w:spacing w:val="-4"/>
          <w:sz w:val="18"/>
        </w:rPr>
        <w:t> </w:t>
      </w:r>
      <w:hyperlink r:id="rId118">
        <w:r>
          <w:rPr>
            <w:color w:val="1D71B8"/>
            <w:sz w:val="18"/>
            <w:u w:val="single" w:color="1D71B8"/>
          </w:rPr>
          <w:t>accessed</w:t>
        </w:r>
        <w:r>
          <w:rPr>
            <w:color w:val="1D71B8"/>
            <w:spacing w:val="-4"/>
            <w:sz w:val="18"/>
            <w:u w:val="single" w:color="1D71B8"/>
          </w:rPr>
          <w:t> </w:t>
        </w:r>
        <w:r>
          <w:rPr>
            <w:color w:val="1D71B8"/>
            <w:sz w:val="18"/>
            <w:u w:val="single" w:color="1D71B8"/>
          </w:rPr>
          <w:t>online</w:t>
        </w:r>
      </w:hyperlink>
      <w:r>
        <w:rPr>
          <w:sz w:val="18"/>
          <w:u w:val="none"/>
        </w:rPr>
        <w:t>.</w:t>
      </w:r>
      <w:r>
        <w:rPr>
          <w:spacing w:val="-4"/>
          <w:sz w:val="18"/>
          <w:u w:val="none"/>
        </w:rPr>
        <w:t> </w:t>
      </w:r>
      <w:r>
        <w:rPr>
          <w:sz w:val="18"/>
          <w:u w:val="none"/>
        </w:rPr>
        <w:t>It</w:t>
      </w:r>
      <w:r>
        <w:rPr>
          <w:spacing w:val="-3"/>
          <w:sz w:val="18"/>
          <w:u w:val="none"/>
        </w:rPr>
        <w:t> </w:t>
      </w:r>
      <w:r>
        <w:rPr>
          <w:sz w:val="18"/>
          <w:u w:val="none"/>
        </w:rPr>
        <w:t>is</w:t>
      </w:r>
      <w:r>
        <w:rPr>
          <w:spacing w:val="-4"/>
          <w:sz w:val="18"/>
          <w:u w:val="none"/>
        </w:rPr>
        <w:t> </w:t>
      </w:r>
      <w:r>
        <w:rPr>
          <w:sz w:val="18"/>
          <w:u w:val="none"/>
        </w:rPr>
        <w:t>possible</w:t>
      </w:r>
      <w:r>
        <w:rPr>
          <w:spacing w:val="-3"/>
          <w:sz w:val="18"/>
          <w:u w:val="none"/>
        </w:rPr>
        <w:t> </w:t>
      </w:r>
      <w:r>
        <w:rPr>
          <w:sz w:val="18"/>
          <w:u w:val="none"/>
        </w:rPr>
        <w:t>to</w:t>
      </w:r>
      <w:r>
        <w:rPr>
          <w:spacing w:val="-4"/>
          <w:sz w:val="18"/>
          <w:u w:val="none"/>
        </w:rPr>
        <w:t> </w:t>
      </w:r>
      <w:r>
        <w:rPr>
          <w:sz w:val="18"/>
          <w:u w:val="none"/>
        </w:rPr>
        <w:t>search</w:t>
      </w:r>
      <w:r>
        <w:rPr>
          <w:spacing w:val="-4"/>
          <w:sz w:val="18"/>
          <w:u w:val="none"/>
        </w:rPr>
        <w:t> </w:t>
      </w:r>
      <w:r>
        <w:rPr>
          <w:sz w:val="18"/>
          <w:u w:val="none"/>
        </w:rPr>
        <w:t>by</w:t>
      </w:r>
      <w:r>
        <w:rPr>
          <w:spacing w:val="-3"/>
          <w:sz w:val="18"/>
          <w:u w:val="none"/>
        </w:rPr>
        <w:t> </w:t>
      </w:r>
      <w:r>
        <w:rPr>
          <w:sz w:val="18"/>
          <w:u w:val="none"/>
        </w:rPr>
        <w:t>the</w:t>
      </w:r>
      <w:r>
        <w:rPr>
          <w:spacing w:val="-3"/>
          <w:sz w:val="18"/>
          <w:u w:val="none"/>
        </w:rPr>
        <w:t> </w:t>
      </w:r>
      <w:r>
        <w:rPr>
          <w:sz w:val="18"/>
          <w:u w:val="none"/>
        </w:rPr>
        <w:t>details</w:t>
      </w:r>
      <w:r>
        <w:rPr>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Annex 1 directives (or other individual legal measures) and find which subsequent measures modify them.</w:t>
      </w:r>
    </w:p>
    <w:p>
      <w:pPr>
        <w:pStyle w:val="ListParagraph"/>
        <w:numPr>
          <w:ilvl w:val="0"/>
          <w:numId w:val="18"/>
        </w:numPr>
        <w:tabs>
          <w:tab w:pos="1286" w:val="left" w:leader="none"/>
        </w:tabs>
        <w:spacing w:line="240" w:lineRule="auto" w:before="1" w:after="0"/>
        <w:ind w:left="1286" w:right="0" w:hanging="566"/>
        <w:jc w:val="both"/>
        <w:rPr>
          <w:sz w:val="18"/>
        </w:rPr>
      </w:pPr>
      <w:r>
        <w:rPr>
          <w:sz w:val="18"/>
        </w:rPr>
        <w:t>European</w:t>
      </w:r>
      <w:r>
        <w:rPr>
          <w:spacing w:val="-7"/>
          <w:sz w:val="18"/>
        </w:rPr>
        <w:t> </w:t>
      </w:r>
      <w:r>
        <w:rPr>
          <w:sz w:val="18"/>
        </w:rPr>
        <w:t>Commission,</w:t>
      </w:r>
      <w:r>
        <w:rPr>
          <w:spacing w:val="-6"/>
          <w:sz w:val="18"/>
        </w:rPr>
        <w:t> </w:t>
      </w:r>
      <w:r>
        <w:rPr>
          <w:sz w:val="18"/>
        </w:rPr>
        <w:t>‘</w:t>
      </w:r>
      <w:hyperlink r:id="rId119">
        <w:r>
          <w:rPr>
            <w:color w:val="1D71B8"/>
            <w:sz w:val="18"/>
            <w:u w:val="single" w:color="1D71B8"/>
          </w:rPr>
          <w:t>Published</w:t>
        </w:r>
        <w:r>
          <w:rPr>
            <w:color w:val="1D71B8"/>
            <w:spacing w:val="-6"/>
            <w:sz w:val="18"/>
            <w:u w:val="single" w:color="1D71B8"/>
          </w:rPr>
          <w:t> </w:t>
        </w:r>
        <w:r>
          <w:rPr>
            <w:color w:val="1D71B8"/>
            <w:sz w:val="18"/>
            <w:u w:val="single" w:color="1D71B8"/>
          </w:rPr>
          <w:t>Initiatives’</w:t>
        </w:r>
      </w:hyperlink>
      <w:r>
        <w:rPr>
          <w:sz w:val="18"/>
          <w:u w:val="none"/>
        </w:rPr>
        <w:t>;</w:t>
      </w:r>
      <w:r>
        <w:rPr>
          <w:spacing w:val="-6"/>
          <w:sz w:val="18"/>
          <w:u w:val="none"/>
        </w:rPr>
        <w:t> </w:t>
      </w:r>
      <w:r>
        <w:rPr>
          <w:sz w:val="18"/>
          <w:u w:val="none"/>
        </w:rPr>
        <w:t>and</w:t>
      </w:r>
      <w:r>
        <w:rPr>
          <w:spacing w:val="-7"/>
          <w:sz w:val="18"/>
          <w:u w:val="none"/>
        </w:rPr>
        <w:t> </w:t>
      </w:r>
      <w:r>
        <w:rPr>
          <w:sz w:val="18"/>
          <w:u w:val="none"/>
        </w:rPr>
        <w:t>European</w:t>
      </w:r>
      <w:r>
        <w:rPr>
          <w:spacing w:val="-6"/>
          <w:sz w:val="18"/>
          <w:u w:val="none"/>
        </w:rPr>
        <w:t> </w:t>
      </w:r>
      <w:r>
        <w:rPr>
          <w:sz w:val="18"/>
          <w:u w:val="none"/>
        </w:rPr>
        <w:t>Parliamentary</w:t>
      </w:r>
      <w:r>
        <w:rPr>
          <w:spacing w:val="-6"/>
          <w:sz w:val="18"/>
          <w:u w:val="none"/>
        </w:rPr>
        <w:t> </w:t>
      </w:r>
      <w:r>
        <w:rPr>
          <w:sz w:val="18"/>
          <w:u w:val="none"/>
        </w:rPr>
        <w:t>Research</w:t>
      </w:r>
      <w:r>
        <w:rPr>
          <w:spacing w:val="-6"/>
          <w:sz w:val="18"/>
          <w:u w:val="none"/>
        </w:rPr>
        <w:t> </w:t>
      </w:r>
      <w:r>
        <w:rPr>
          <w:sz w:val="18"/>
          <w:u w:val="none"/>
        </w:rPr>
        <w:t>Service,</w:t>
      </w:r>
      <w:r>
        <w:rPr>
          <w:spacing w:val="-6"/>
          <w:sz w:val="18"/>
          <w:u w:val="none"/>
        </w:rPr>
        <w:t> </w:t>
      </w:r>
      <w:r>
        <w:rPr>
          <w:sz w:val="18"/>
          <w:u w:val="none"/>
        </w:rPr>
        <w:t>‘</w:t>
      </w:r>
      <w:hyperlink r:id="rId120">
        <w:r>
          <w:rPr>
            <w:color w:val="1D71B8"/>
            <w:sz w:val="18"/>
            <w:u w:val="single" w:color="1D71B8"/>
          </w:rPr>
          <w:t>EU</w:t>
        </w:r>
        <w:r>
          <w:rPr>
            <w:color w:val="1D71B8"/>
            <w:spacing w:val="-6"/>
            <w:sz w:val="18"/>
            <w:u w:val="single" w:color="1D71B8"/>
          </w:rPr>
          <w:t> </w:t>
        </w:r>
        <w:r>
          <w:rPr>
            <w:color w:val="1D71B8"/>
            <w:sz w:val="18"/>
            <w:u w:val="single" w:color="1D71B8"/>
          </w:rPr>
          <w:t>Legislation</w:t>
        </w:r>
        <w:r>
          <w:rPr>
            <w:color w:val="1D71B8"/>
            <w:spacing w:val="-6"/>
            <w:sz w:val="18"/>
            <w:u w:val="single" w:color="1D71B8"/>
          </w:rPr>
          <w:t> </w:t>
        </w:r>
        <w:r>
          <w:rPr>
            <w:color w:val="1D71B8"/>
            <w:sz w:val="18"/>
            <w:u w:val="single" w:color="1D71B8"/>
          </w:rPr>
          <w:t>in</w:t>
        </w:r>
        <w:r>
          <w:rPr>
            <w:color w:val="1D71B8"/>
            <w:spacing w:val="-7"/>
            <w:sz w:val="18"/>
            <w:u w:val="single" w:color="1D71B8"/>
          </w:rPr>
          <w:t> </w:t>
        </w:r>
        <w:r>
          <w:rPr>
            <w:color w:val="1D71B8"/>
            <w:spacing w:val="-2"/>
            <w:sz w:val="18"/>
            <w:u w:val="single" w:color="1D71B8"/>
          </w:rPr>
          <w:t>Progress</w:t>
        </w:r>
      </w:hyperlink>
      <w:r>
        <w:rPr>
          <w:spacing w:val="-2"/>
          <w:sz w:val="18"/>
          <w:u w:val="none"/>
        </w:rPr>
        <w:t>’.</w:t>
      </w:r>
    </w:p>
    <w:p>
      <w:pPr>
        <w:spacing w:after="0" w:line="240" w:lineRule="auto"/>
        <w:jc w:val="both"/>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42752">
                <wp:simplePos x="0" y="0"/>
                <wp:positionH relativeFrom="page">
                  <wp:posOffset>-2</wp:posOffset>
                </wp:positionH>
                <wp:positionV relativeFrom="page">
                  <wp:posOffset>0</wp:posOffset>
                </wp:positionV>
                <wp:extent cx="7560309" cy="1155065"/>
                <wp:effectExtent l="0" t="0" r="0" b="0"/>
                <wp:wrapNone/>
                <wp:docPr id="719" name="Group 719"/>
                <wp:cNvGraphicFramePr>
                  <a:graphicFrameLocks/>
                </wp:cNvGraphicFramePr>
                <a:graphic>
                  <a:graphicData uri="http://schemas.microsoft.com/office/word/2010/wordprocessingGroup">
                    <wpg:wgp>
                      <wpg:cNvPr id="719" name="Group 719"/>
                      <wpg:cNvGrpSpPr/>
                      <wpg:grpSpPr>
                        <a:xfrm>
                          <a:off x="0" y="0"/>
                          <a:ext cx="7560309" cy="1155065"/>
                          <a:chExt cx="7560309" cy="1155065"/>
                        </a:xfrm>
                      </wpg:grpSpPr>
                      <wps:wsp>
                        <wps:cNvPr id="720" name="Graphic 72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721" name="Graphic 72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73728" id="docshapegroup583" coordorigin="0,0" coordsize="11906,1819">
                <v:shape style="position:absolute;left:0;top:0;width:11906;height:1819" id="docshape584"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4.3 Updates in specific areas" w:id="120"/>
      <w:bookmarkEnd w:id="120"/>
      <w:r>
        <w:rPr/>
      </w:r>
      <w:bookmarkStart w:name="4.3.1 Discrimination" w:id="121"/>
      <w:bookmarkEnd w:id="121"/>
      <w:r>
        <w:rPr/>
      </w:r>
      <w:bookmarkStart w:name="_bookmark50" w:id="122"/>
      <w:bookmarkEnd w:id="122"/>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83</w:t>
      </w:r>
    </w:p>
    <w:p>
      <w:pPr>
        <w:pStyle w:val="BodyText"/>
        <w:rPr>
          <w:b/>
        </w:rPr>
      </w:pPr>
    </w:p>
    <w:p>
      <w:pPr>
        <w:pStyle w:val="BodyText"/>
        <w:spacing w:before="48"/>
        <w:rPr>
          <w:b/>
        </w:rPr>
      </w:pPr>
    </w:p>
    <w:p>
      <w:pPr>
        <w:pStyle w:val="BodyText"/>
        <w:spacing w:line="232" w:lineRule="auto"/>
        <w:ind w:left="1117" w:right="738"/>
      </w:pPr>
      <w:r>
        <w:rPr/>
        <w:t>When</w:t>
      </w:r>
      <w:r>
        <w:rPr>
          <w:spacing w:val="-8"/>
        </w:rPr>
        <w:t> </w:t>
      </w:r>
      <w:r>
        <w:rPr/>
        <w:t>tracking</w:t>
      </w:r>
      <w:r>
        <w:rPr>
          <w:spacing w:val="-7"/>
        </w:rPr>
        <w:t> </w:t>
      </w:r>
      <w:r>
        <w:rPr/>
        <w:t>adopted</w:t>
      </w:r>
      <w:r>
        <w:rPr>
          <w:spacing w:val="-8"/>
        </w:rPr>
        <w:t> </w:t>
      </w:r>
      <w:r>
        <w:rPr/>
        <w:t>and</w:t>
      </w:r>
      <w:r>
        <w:rPr>
          <w:spacing w:val="-8"/>
        </w:rPr>
        <w:t> </w:t>
      </w:r>
      <w:r>
        <w:rPr/>
        <w:t>proposed</w:t>
      </w:r>
      <w:r>
        <w:rPr>
          <w:spacing w:val="-8"/>
        </w:rPr>
        <w:t> </w:t>
      </w:r>
      <w:r>
        <w:rPr/>
        <w:t>EU</w:t>
      </w:r>
      <w:r>
        <w:rPr>
          <w:spacing w:val="-7"/>
        </w:rPr>
        <w:t> </w:t>
      </w:r>
      <w:r>
        <w:rPr/>
        <w:t>legislation,</w:t>
      </w:r>
      <w:r>
        <w:rPr>
          <w:spacing w:val="-7"/>
        </w:rPr>
        <w:t> </w:t>
      </w:r>
      <w:r>
        <w:rPr/>
        <w:t>the</w:t>
      </w:r>
      <w:r>
        <w:rPr>
          <w:spacing w:val="-7"/>
        </w:rPr>
        <w:t> </w:t>
      </w:r>
      <w:r>
        <w:rPr/>
        <w:t>last</w:t>
      </w:r>
      <w:r>
        <w:rPr>
          <w:spacing w:val="-7"/>
        </w:rPr>
        <w:t> </w:t>
      </w:r>
      <w:r>
        <w:rPr/>
        <w:t>report</w:t>
      </w:r>
      <w:r>
        <w:rPr>
          <w:spacing w:val="-7"/>
        </w:rPr>
        <w:t> </w:t>
      </w:r>
      <w:r>
        <w:rPr/>
        <w:t>identified</w:t>
      </w:r>
      <w:r>
        <w:rPr>
          <w:spacing w:val="-8"/>
        </w:rPr>
        <w:t> </w:t>
      </w:r>
      <w:r>
        <w:rPr/>
        <w:t>key areas NI should keep pace with:</w:t>
      </w:r>
      <w:r>
        <w:rPr>
          <w:vertAlign w:val="superscript"/>
        </w:rPr>
        <w:t>448</w:t>
      </w:r>
    </w:p>
    <w:p>
      <w:pPr>
        <w:pStyle w:val="ListParagraph"/>
        <w:numPr>
          <w:ilvl w:val="0"/>
          <w:numId w:val="29"/>
        </w:numPr>
        <w:tabs>
          <w:tab w:pos="1457" w:val="left" w:leader="none"/>
        </w:tabs>
        <w:spacing w:line="343" w:lineRule="exact" w:before="259" w:after="0"/>
        <w:ind w:left="1457" w:right="0" w:hanging="340"/>
        <w:jc w:val="left"/>
        <w:rPr>
          <w:sz w:val="28"/>
        </w:rPr>
      </w:pPr>
      <w:r>
        <w:rPr>
          <w:sz w:val="28"/>
        </w:rPr>
        <w:t>Work-life</w:t>
      </w:r>
      <w:r>
        <w:rPr>
          <w:spacing w:val="-14"/>
          <w:sz w:val="28"/>
        </w:rPr>
        <w:t> </w:t>
      </w:r>
      <w:r>
        <w:rPr>
          <w:sz w:val="28"/>
        </w:rPr>
        <w:t>balance</w:t>
      </w:r>
      <w:r>
        <w:rPr>
          <w:spacing w:val="-14"/>
          <w:sz w:val="28"/>
        </w:rPr>
        <w:t> </w:t>
      </w:r>
      <w:r>
        <w:rPr>
          <w:sz w:val="28"/>
        </w:rPr>
        <w:t>(Chapter</w:t>
      </w:r>
      <w:r>
        <w:rPr>
          <w:spacing w:val="-13"/>
          <w:sz w:val="28"/>
        </w:rPr>
        <w:t> </w:t>
      </w:r>
      <w:r>
        <w:rPr>
          <w:spacing w:val="-5"/>
          <w:sz w:val="28"/>
        </w:rPr>
        <w:t>4);</w:t>
      </w:r>
    </w:p>
    <w:p>
      <w:pPr>
        <w:pStyle w:val="ListParagraph"/>
        <w:numPr>
          <w:ilvl w:val="0"/>
          <w:numId w:val="29"/>
        </w:numPr>
        <w:tabs>
          <w:tab w:pos="1457" w:val="left" w:leader="none"/>
        </w:tabs>
        <w:spacing w:line="232" w:lineRule="auto" w:before="0" w:after="0"/>
        <w:ind w:left="1457" w:right="1032" w:hanging="341"/>
        <w:jc w:val="left"/>
        <w:rPr>
          <w:sz w:val="28"/>
        </w:rPr>
      </w:pPr>
      <w:r>
        <w:rPr>
          <w:sz w:val="28"/>
        </w:rPr>
        <w:t>Integration</w:t>
      </w:r>
      <w:r>
        <w:rPr>
          <w:spacing w:val="-7"/>
          <w:sz w:val="28"/>
        </w:rPr>
        <w:t> </w:t>
      </w:r>
      <w:r>
        <w:rPr>
          <w:sz w:val="28"/>
        </w:rPr>
        <w:t>of</w:t>
      </w:r>
      <w:r>
        <w:rPr>
          <w:spacing w:val="-7"/>
          <w:sz w:val="28"/>
        </w:rPr>
        <w:t> </w:t>
      </w:r>
      <w:r>
        <w:rPr>
          <w:sz w:val="28"/>
        </w:rPr>
        <w:t>persons</w:t>
      </w:r>
      <w:r>
        <w:rPr>
          <w:spacing w:val="-7"/>
          <w:sz w:val="28"/>
        </w:rPr>
        <w:t> </w:t>
      </w:r>
      <w:r>
        <w:rPr>
          <w:sz w:val="28"/>
        </w:rPr>
        <w:t>with</w:t>
      </w:r>
      <w:r>
        <w:rPr>
          <w:spacing w:val="-7"/>
          <w:sz w:val="28"/>
        </w:rPr>
        <w:t> </w:t>
      </w:r>
      <w:r>
        <w:rPr>
          <w:sz w:val="28"/>
        </w:rPr>
        <w:t>disabilities</w:t>
      </w:r>
      <w:r>
        <w:rPr>
          <w:spacing w:val="-7"/>
          <w:sz w:val="28"/>
        </w:rPr>
        <w:t> </w:t>
      </w:r>
      <w:r>
        <w:rPr>
          <w:sz w:val="28"/>
        </w:rPr>
        <w:t>both</w:t>
      </w:r>
      <w:r>
        <w:rPr>
          <w:spacing w:val="-7"/>
          <w:sz w:val="28"/>
        </w:rPr>
        <w:t> </w:t>
      </w:r>
      <w:r>
        <w:rPr>
          <w:sz w:val="28"/>
        </w:rPr>
        <w:t>in</w:t>
      </w:r>
      <w:r>
        <w:rPr>
          <w:spacing w:val="-7"/>
          <w:sz w:val="28"/>
        </w:rPr>
        <w:t> </w:t>
      </w:r>
      <w:r>
        <w:rPr>
          <w:sz w:val="28"/>
        </w:rPr>
        <w:t>the</w:t>
      </w:r>
      <w:r>
        <w:rPr>
          <w:spacing w:val="-7"/>
          <w:sz w:val="28"/>
        </w:rPr>
        <w:t> </w:t>
      </w:r>
      <w:r>
        <w:rPr>
          <w:sz w:val="28"/>
        </w:rPr>
        <w:t>context</w:t>
      </w:r>
      <w:r>
        <w:rPr>
          <w:spacing w:val="-7"/>
          <w:sz w:val="28"/>
        </w:rPr>
        <w:t> </w:t>
      </w:r>
      <w:r>
        <w:rPr>
          <w:sz w:val="28"/>
        </w:rPr>
        <w:t>of</w:t>
      </w:r>
      <w:r>
        <w:rPr>
          <w:spacing w:val="-7"/>
          <w:sz w:val="28"/>
        </w:rPr>
        <w:t> </w:t>
      </w:r>
      <w:r>
        <w:rPr>
          <w:sz w:val="28"/>
        </w:rPr>
        <w:t>employment</w:t>
      </w:r>
      <w:r>
        <w:rPr>
          <w:spacing w:val="-7"/>
          <w:sz w:val="28"/>
        </w:rPr>
        <w:t> </w:t>
      </w:r>
      <w:r>
        <w:rPr>
          <w:sz w:val="28"/>
        </w:rPr>
        <w:t>law and beyond it (Chapter 5);</w:t>
      </w:r>
    </w:p>
    <w:p>
      <w:pPr>
        <w:pStyle w:val="ListParagraph"/>
        <w:numPr>
          <w:ilvl w:val="0"/>
          <w:numId w:val="29"/>
        </w:numPr>
        <w:tabs>
          <w:tab w:pos="1457" w:val="left" w:leader="none"/>
        </w:tabs>
        <w:spacing w:line="318" w:lineRule="exact" w:before="0" w:after="0"/>
        <w:ind w:left="1457" w:right="0" w:hanging="340"/>
        <w:jc w:val="left"/>
        <w:rPr>
          <w:sz w:val="28"/>
        </w:rPr>
      </w:pPr>
      <w:r>
        <w:rPr>
          <w:sz w:val="28"/>
        </w:rPr>
        <w:t>Human</w:t>
      </w:r>
      <w:r>
        <w:rPr>
          <w:spacing w:val="-14"/>
          <w:sz w:val="28"/>
        </w:rPr>
        <w:t> </w:t>
      </w:r>
      <w:r>
        <w:rPr>
          <w:sz w:val="28"/>
        </w:rPr>
        <w:t>trafficking</w:t>
      </w:r>
      <w:r>
        <w:rPr>
          <w:spacing w:val="-13"/>
          <w:sz w:val="28"/>
        </w:rPr>
        <w:t> </w:t>
      </w:r>
      <w:r>
        <w:rPr>
          <w:sz w:val="28"/>
        </w:rPr>
        <w:t>(Chapter</w:t>
      </w:r>
      <w:r>
        <w:rPr>
          <w:spacing w:val="-13"/>
          <w:sz w:val="28"/>
        </w:rPr>
        <w:t> </w:t>
      </w:r>
      <w:r>
        <w:rPr>
          <w:spacing w:val="-5"/>
          <w:sz w:val="28"/>
        </w:rPr>
        <w:t>5);</w:t>
      </w:r>
    </w:p>
    <w:p>
      <w:pPr>
        <w:pStyle w:val="ListParagraph"/>
        <w:numPr>
          <w:ilvl w:val="0"/>
          <w:numId w:val="29"/>
        </w:numPr>
        <w:tabs>
          <w:tab w:pos="1457" w:val="left" w:leader="none"/>
        </w:tabs>
        <w:spacing w:line="330" w:lineRule="exact" w:before="0" w:after="0"/>
        <w:ind w:left="1457" w:right="0" w:hanging="340"/>
        <w:jc w:val="left"/>
        <w:rPr>
          <w:sz w:val="28"/>
        </w:rPr>
      </w:pPr>
      <w:r>
        <w:rPr>
          <w:sz w:val="28"/>
        </w:rPr>
        <w:t>Gender</w:t>
      </w:r>
      <w:r>
        <w:rPr>
          <w:spacing w:val="-9"/>
          <w:sz w:val="28"/>
        </w:rPr>
        <w:t> </w:t>
      </w:r>
      <w:r>
        <w:rPr>
          <w:sz w:val="28"/>
        </w:rPr>
        <w:t>pay</w:t>
      </w:r>
      <w:r>
        <w:rPr>
          <w:spacing w:val="-9"/>
          <w:sz w:val="28"/>
        </w:rPr>
        <w:t> </w:t>
      </w:r>
      <w:r>
        <w:rPr>
          <w:sz w:val="28"/>
        </w:rPr>
        <w:t>transparency</w:t>
      </w:r>
      <w:r>
        <w:rPr>
          <w:spacing w:val="-9"/>
          <w:sz w:val="28"/>
        </w:rPr>
        <w:t> </w:t>
      </w:r>
      <w:r>
        <w:rPr>
          <w:sz w:val="28"/>
        </w:rPr>
        <w:t>reporting</w:t>
      </w:r>
      <w:r>
        <w:rPr>
          <w:spacing w:val="-9"/>
          <w:sz w:val="28"/>
        </w:rPr>
        <w:t> </w:t>
      </w:r>
      <w:r>
        <w:rPr>
          <w:sz w:val="28"/>
        </w:rPr>
        <w:t>requirements</w:t>
      </w:r>
      <w:r>
        <w:rPr>
          <w:spacing w:val="-10"/>
          <w:sz w:val="28"/>
        </w:rPr>
        <w:t> </w:t>
      </w:r>
      <w:r>
        <w:rPr>
          <w:sz w:val="28"/>
        </w:rPr>
        <w:t>(Chapter</w:t>
      </w:r>
      <w:r>
        <w:rPr>
          <w:spacing w:val="-9"/>
          <w:sz w:val="28"/>
        </w:rPr>
        <w:t> </w:t>
      </w:r>
      <w:r>
        <w:rPr>
          <w:spacing w:val="-5"/>
          <w:sz w:val="28"/>
        </w:rPr>
        <w:t>6);</w:t>
      </w:r>
    </w:p>
    <w:p>
      <w:pPr>
        <w:pStyle w:val="ListParagraph"/>
        <w:numPr>
          <w:ilvl w:val="0"/>
          <w:numId w:val="29"/>
        </w:numPr>
        <w:tabs>
          <w:tab w:pos="1457" w:val="left" w:leader="none"/>
        </w:tabs>
        <w:spacing w:line="232" w:lineRule="auto" w:before="0" w:after="0"/>
        <w:ind w:left="1457" w:right="1050" w:hanging="341"/>
        <w:jc w:val="left"/>
        <w:rPr>
          <w:sz w:val="28"/>
        </w:rPr>
      </w:pPr>
      <w:r>
        <w:rPr>
          <w:sz w:val="28"/>
        </w:rPr>
        <w:t>Accessibility</w:t>
      </w:r>
      <w:r>
        <w:rPr>
          <w:spacing w:val="-5"/>
          <w:sz w:val="28"/>
        </w:rPr>
        <w:t> </w:t>
      </w:r>
      <w:r>
        <w:rPr>
          <w:sz w:val="28"/>
        </w:rPr>
        <w:t>of</w:t>
      </w:r>
      <w:r>
        <w:rPr>
          <w:spacing w:val="-6"/>
          <w:sz w:val="28"/>
        </w:rPr>
        <w:t> </w:t>
      </w:r>
      <w:r>
        <w:rPr>
          <w:sz w:val="28"/>
        </w:rPr>
        <w:t>products</w:t>
      </w:r>
      <w:r>
        <w:rPr>
          <w:spacing w:val="-6"/>
          <w:sz w:val="28"/>
        </w:rPr>
        <w:t> </w:t>
      </w:r>
      <w:r>
        <w:rPr>
          <w:sz w:val="28"/>
        </w:rPr>
        <w:t>and</w:t>
      </w:r>
      <w:r>
        <w:rPr>
          <w:spacing w:val="-6"/>
          <w:sz w:val="28"/>
        </w:rPr>
        <w:t> </w:t>
      </w:r>
      <w:r>
        <w:rPr>
          <w:sz w:val="28"/>
        </w:rPr>
        <w:t>services</w:t>
      </w:r>
      <w:r>
        <w:rPr>
          <w:spacing w:val="-6"/>
          <w:sz w:val="28"/>
        </w:rPr>
        <w:t> </w:t>
      </w:r>
      <w:r>
        <w:rPr>
          <w:sz w:val="28"/>
        </w:rPr>
        <w:t>within</w:t>
      </w:r>
      <w:r>
        <w:rPr>
          <w:spacing w:val="-6"/>
          <w:sz w:val="28"/>
        </w:rPr>
        <w:t> </w:t>
      </w:r>
      <w:r>
        <w:rPr>
          <w:sz w:val="28"/>
        </w:rPr>
        <w:t>the</w:t>
      </w:r>
      <w:r>
        <w:rPr>
          <w:spacing w:val="-5"/>
          <w:sz w:val="28"/>
        </w:rPr>
        <w:t> </w:t>
      </w:r>
      <w:r>
        <w:rPr>
          <w:sz w:val="28"/>
        </w:rPr>
        <w:t>internal</w:t>
      </w:r>
      <w:r>
        <w:rPr>
          <w:spacing w:val="-6"/>
          <w:sz w:val="28"/>
        </w:rPr>
        <w:t> </w:t>
      </w:r>
      <w:r>
        <w:rPr>
          <w:sz w:val="28"/>
        </w:rPr>
        <w:t>market</w:t>
      </w:r>
      <w:r>
        <w:rPr>
          <w:spacing w:val="-5"/>
          <w:sz w:val="28"/>
        </w:rPr>
        <w:t> </w:t>
      </w:r>
      <w:r>
        <w:rPr>
          <w:sz w:val="28"/>
        </w:rPr>
        <w:t>(including</w:t>
      </w:r>
      <w:r>
        <w:rPr>
          <w:spacing w:val="-5"/>
          <w:sz w:val="28"/>
        </w:rPr>
        <w:t> </w:t>
      </w:r>
      <w:r>
        <w:rPr>
          <w:sz w:val="28"/>
        </w:rPr>
        <w:t>for consumers who are older people or people with a disability) (Chapter 6);</w:t>
      </w:r>
    </w:p>
    <w:p>
      <w:pPr>
        <w:pStyle w:val="ListParagraph"/>
        <w:numPr>
          <w:ilvl w:val="0"/>
          <w:numId w:val="29"/>
        </w:numPr>
        <w:tabs>
          <w:tab w:pos="1457" w:val="left" w:leader="none"/>
        </w:tabs>
        <w:spacing w:line="318" w:lineRule="exact" w:before="0" w:after="0"/>
        <w:ind w:left="1457" w:right="0" w:hanging="340"/>
        <w:jc w:val="left"/>
        <w:rPr>
          <w:sz w:val="28"/>
        </w:rPr>
      </w:pPr>
      <w:r>
        <w:rPr>
          <w:sz w:val="28"/>
        </w:rPr>
        <w:t>Gender</w:t>
      </w:r>
      <w:r>
        <w:rPr>
          <w:spacing w:val="-7"/>
          <w:sz w:val="28"/>
        </w:rPr>
        <w:t> </w:t>
      </w:r>
      <w:r>
        <w:rPr>
          <w:sz w:val="28"/>
        </w:rPr>
        <w:t>balance</w:t>
      </w:r>
      <w:r>
        <w:rPr>
          <w:spacing w:val="-7"/>
          <w:sz w:val="28"/>
        </w:rPr>
        <w:t> </w:t>
      </w:r>
      <w:r>
        <w:rPr>
          <w:sz w:val="28"/>
        </w:rPr>
        <w:t>in</w:t>
      </w:r>
      <w:r>
        <w:rPr>
          <w:spacing w:val="-8"/>
          <w:sz w:val="28"/>
        </w:rPr>
        <w:t> </w:t>
      </w:r>
      <w:r>
        <w:rPr>
          <w:sz w:val="28"/>
        </w:rPr>
        <w:t>non-executive</w:t>
      </w:r>
      <w:r>
        <w:rPr>
          <w:spacing w:val="-6"/>
          <w:sz w:val="28"/>
        </w:rPr>
        <w:t> </w:t>
      </w:r>
      <w:r>
        <w:rPr>
          <w:sz w:val="28"/>
        </w:rPr>
        <w:t>director</w:t>
      </w:r>
      <w:r>
        <w:rPr>
          <w:spacing w:val="-7"/>
          <w:sz w:val="28"/>
        </w:rPr>
        <w:t> </w:t>
      </w:r>
      <w:r>
        <w:rPr>
          <w:sz w:val="28"/>
        </w:rPr>
        <w:t>roles</w:t>
      </w:r>
      <w:r>
        <w:rPr>
          <w:spacing w:val="-8"/>
          <w:sz w:val="28"/>
        </w:rPr>
        <w:t> </w:t>
      </w:r>
      <w:r>
        <w:rPr>
          <w:sz w:val="28"/>
        </w:rPr>
        <w:t>(Chapter</w:t>
      </w:r>
      <w:r>
        <w:rPr>
          <w:spacing w:val="-6"/>
          <w:sz w:val="28"/>
        </w:rPr>
        <w:t> </w:t>
      </w:r>
      <w:r>
        <w:rPr>
          <w:spacing w:val="-5"/>
          <w:sz w:val="28"/>
        </w:rPr>
        <w:t>6);</w:t>
      </w:r>
    </w:p>
    <w:p>
      <w:pPr>
        <w:pStyle w:val="ListParagraph"/>
        <w:numPr>
          <w:ilvl w:val="0"/>
          <w:numId w:val="29"/>
        </w:numPr>
        <w:tabs>
          <w:tab w:pos="1457" w:val="left" w:leader="none"/>
        </w:tabs>
        <w:spacing w:line="343" w:lineRule="exact" w:before="0" w:after="0"/>
        <w:ind w:left="1457" w:right="0" w:hanging="340"/>
        <w:jc w:val="left"/>
        <w:rPr>
          <w:sz w:val="28"/>
        </w:rPr>
      </w:pPr>
      <w:r>
        <w:rPr>
          <w:sz w:val="28"/>
        </w:rPr>
        <w:t>Violence</w:t>
      </w:r>
      <w:r>
        <w:rPr>
          <w:spacing w:val="-6"/>
          <w:sz w:val="28"/>
        </w:rPr>
        <w:t> </w:t>
      </w:r>
      <w:r>
        <w:rPr>
          <w:sz w:val="28"/>
        </w:rPr>
        <w:t>against</w:t>
      </w:r>
      <w:r>
        <w:rPr>
          <w:spacing w:val="-5"/>
          <w:sz w:val="28"/>
        </w:rPr>
        <w:t> </w:t>
      </w:r>
      <w:r>
        <w:rPr>
          <w:sz w:val="28"/>
        </w:rPr>
        <w:t>women</w:t>
      </w:r>
      <w:r>
        <w:rPr>
          <w:spacing w:val="-7"/>
          <w:sz w:val="28"/>
        </w:rPr>
        <w:t> </w:t>
      </w:r>
      <w:r>
        <w:rPr>
          <w:sz w:val="28"/>
        </w:rPr>
        <w:t>and</w:t>
      </w:r>
      <w:r>
        <w:rPr>
          <w:spacing w:val="-6"/>
          <w:sz w:val="28"/>
        </w:rPr>
        <w:t> </w:t>
      </w:r>
      <w:r>
        <w:rPr>
          <w:sz w:val="28"/>
        </w:rPr>
        <w:t>domestic</w:t>
      </w:r>
      <w:r>
        <w:rPr>
          <w:spacing w:val="-5"/>
          <w:sz w:val="28"/>
        </w:rPr>
        <w:t> </w:t>
      </w:r>
      <w:r>
        <w:rPr>
          <w:sz w:val="28"/>
        </w:rPr>
        <w:t>violence</w:t>
      </w:r>
      <w:r>
        <w:rPr>
          <w:spacing w:val="-6"/>
          <w:sz w:val="28"/>
        </w:rPr>
        <w:t> </w:t>
      </w:r>
      <w:r>
        <w:rPr>
          <w:sz w:val="28"/>
        </w:rPr>
        <w:t>(Chapter</w:t>
      </w:r>
      <w:r>
        <w:rPr>
          <w:spacing w:val="-5"/>
          <w:sz w:val="28"/>
        </w:rPr>
        <w:t> 6).</w:t>
      </w:r>
    </w:p>
    <w:p>
      <w:pPr>
        <w:pStyle w:val="BodyText"/>
        <w:spacing w:line="232" w:lineRule="auto" w:before="270"/>
        <w:ind w:left="1117"/>
      </w:pPr>
      <w:r>
        <w:rPr/>
        <w:t>In</w:t>
      </w:r>
      <w:r>
        <w:rPr>
          <w:spacing w:val="-8"/>
        </w:rPr>
        <w:t> </w:t>
      </w:r>
      <w:r>
        <w:rPr/>
        <w:t>this</w:t>
      </w:r>
      <w:r>
        <w:rPr>
          <w:spacing w:val="-8"/>
        </w:rPr>
        <w:t> </w:t>
      </w:r>
      <w:r>
        <w:rPr/>
        <w:t>Chapter,</w:t>
      </w:r>
      <w:r>
        <w:rPr>
          <w:spacing w:val="-7"/>
        </w:rPr>
        <w:t> </w:t>
      </w:r>
      <w:r>
        <w:rPr/>
        <w:t>our</w:t>
      </w:r>
      <w:r>
        <w:rPr>
          <w:spacing w:val="-7"/>
        </w:rPr>
        <w:t> </w:t>
      </w:r>
      <w:r>
        <w:rPr/>
        <w:t>report</w:t>
      </w:r>
      <w:r>
        <w:rPr>
          <w:spacing w:val="-7"/>
        </w:rPr>
        <w:t> </w:t>
      </w:r>
      <w:r>
        <w:rPr/>
        <w:t>identifies</w:t>
      </w:r>
      <w:r>
        <w:rPr>
          <w:spacing w:val="-8"/>
        </w:rPr>
        <w:t> </w:t>
      </w:r>
      <w:r>
        <w:rPr/>
        <w:t>similar</w:t>
      </w:r>
      <w:r>
        <w:rPr>
          <w:spacing w:val="-7"/>
        </w:rPr>
        <w:t> </w:t>
      </w:r>
      <w:r>
        <w:rPr/>
        <w:t>themes</w:t>
      </w:r>
      <w:r>
        <w:rPr>
          <w:spacing w:val="-8"/>
        </w:rPr>
        <w:t> </w:t>
      </w:r>
      <w:r>
        <w:rPr/>
        <w:t>and</w:t>
      </w:r>
      <w:r>
        <w:rPr>
          <w:spacing w:val="-8"/>
        </w:rPr>
        <w:t> </w:t>
      </w:r>
      <w:r>
        <w:rPr/>
        <w:t>also</w:t>
      </w:r>
      <w:r>
        <w:rPr>
          <w:spacing w:val="-8"/>
        </w:rPr>
        <w:t> </w:t>
      </w:r>
      <w:r>
        <w:rPr/>
        <w:t>discusses</w:t>
      </w:r>
      <w:r>
        <w:rPr>
          <w:spacing w:val="-8"/>
        </w:rPr>
        <w:t> </w:t>
      </w:r>
      <w:r>
        <w:rPr/>
        <w:t>recent developments regarding:</w:t>
      </w:r>
    </w:p>
    <w:p>
      <w:pPr>
        <w:pStyle w:val="ListParagraph"/>
        <w:numPr>
          <w:ilvl w:val="0"/>
          <w:numId w:val="29"/>
        </w:numPr>
        <w:tabs>
          <w:tab w:pos="1457" w:val="left" w:leader="none"/>
        </w:tabs>
        <w:spacing w:line="343" w:lineRule="exact" w:before="259" w:after="0"/>
        <w:ind w:left="1457" w:right="0" w:hanging="340"/>
        <w:jc w:val="left"/>
        <w:rPr>
          <w:sz w:val="28"/>
        </w:rPr>
      </w:pPr>
      <w:r>
        <w:rPr>
          <w:sz w:val="28"/>
        </w:rPr>
        <w:t>Equality</w:t>
      </w:r>
      <w:r>
        <w:rPr>
          <w:spacing w:val="-6"/>
          <w:sz w:val="28"/>
        </w:rPr>
        <w:t> </w:t>
      </w:r>
      <w:r>
        <w:rPr>
          <w:sz w:val="28"/>
        </w:rPr>
        <w:t>bodies</w:t>
      </w:r>
      <w:r>
        <w:rPr>
          <w:spacing w:val="-7"/>
          <w:sz w:val="28"/>
        </w:rPr>
        <w:t> </w:t>
      </w:r>
      <w:r>
        <w:rPr>
          <w:sz w:val="28"/>
        </w:rPr>
        <w:t>legislation</w:t>
      </w:r>
      <w:r>
        <w:rPr>
          <w:spacing w:val="-6"/>
          <w:sz w:val="28"/>
        </w:rPr>
        <w:t> </w:t>
      </w:r>
      <w:r>
        <w:rPr>
          <w:sz w:val="28"/>
        </w:rPr>
        <w:t>(see</w:t>
      </w:r>
      <w:r>
        <w:rPr>
          <w:spacing w:val="-6"/>
          <w:sz w:val="28"/>
        </w:rPr>
        <w:t> </w:t>
      </w:r>
      <w:r>
        <w:rPr>
          <w:sz w:val="28"/>
        </w:rPr>
        <w:t>section</w:t>
      </w:r>
      <w:r>
        <w:rPr>
          <w:spacing w:val="-7"/>
          <w:sz w:val="28"/>
        </w:rPr>
        <w:t> </w:t>
      </w:r>
      <w:r>
        <w:rPr>
          <w:sz w:val="28"/>
        </w:rPr>
        <w:t>4.3.1.3</w:t>
      </w:r>
      <w:r>
        <w:rPr>
          <w:spacing w:val="-5"/>
          <w:sz w:val="28"/>
        </w:rPr>
        <w:t> </w:t>
      </w:r>
      <w:r>
        <w:rPr>
          <w:spacing w:val="-2"/>
          <w:sz w:val="28"/>
        </w:rPr>
        <w:t>below);</w:t>
      </w:r>
    </w:p>
    <w:p>
      <w:pPr>
        <w:pStyle w:val="ListParagraph"/>
        <w:numPr>
          <w:ilvl w:val="0"/>
          <w:numId w:val="29"/>
        </w:numPr>
        <w:tabs>
          <w:tab w:pos="1457" w:val="left" w:leader="none"/>
        </w:tabs>
        <w:spacing w:line="330" w:lineRule="exact" w:before="0" w:after="0"/>
        <w:ind w:left="1457" w:right="0" w:hanging="340"/>
        <w:jc w:val="left"/>
        <w:rPr>
          <w:sz w:val="28"/>
        </w:rPr>
      </w:pPr>
      <w:r>
        <w:rPr>
          <w:sz w:val="28"/>
        </w:rPr>
        <w:t>The</w:t>
      </w:r>
      <w:r>
        <w:rPr>
          <w:spacing w:val="-8"/>
          <w:sz w:val="28"/>
        </w:rPr>
        <w:t> </w:t>
      </w:r>
      <w:r>
        <w:rPr>
          <w:sz w:val="28"/>
        </w:rPr>
        <w:t>right</w:t>
      </w:r>
      <w:r>
        <w:rPr>
          <w:spacing w:val="-7"/>
          <w:sz w:val="28"/>
        </w:rPr>
        <w:t> </w:t>
      </w:r>
      <w:r>
        <w:rPr>
          <w:sz w:val="28"/>
        </w:rPr>
        <w:t>to</w:t>
      </w:r>
      <w:r>
        <w:rPr>
          <w:spacing w:val="-8"/>
          <w:sz w:val="28"/>
        </w:rPr>
        <w:t> </w:t>
      </w:r>
      <w:r>
        <w:rPr>
          <w:sz w:val="28"/>
        </w:rPr>
        <w:t>privacy,</w:t>
      </w:r>
      <w:r>
        <w:rPr>
          <w:spacing w:val="-7"/>
          <w:sz w:val="28"/>
        </w:rPr>
        <w:t> </w:t>
      </w:r>
      <w:r>
        <w:rPr>
          <w:sz w:val="28"/>
        </w:rPr>
        <w:t>including</w:t>
      </w:r>
      <w:r>
        <w:rPr>
          <w:spacing w:val="-7"/>
          <w:sz w:val="28"/>
        </w:rPr>
        <w:t> </w:t>
      </w:r>
      <w:r>
        <w:rPr>
          <w:sz w:val="28"/>
        </w:rPr>
        <w:t>the</w:t>
      </w:r>
      <w:r>
        <w:rPr>
          <w:spacing w:val="-7"/>
          <w:sz w:val="28"/>
        </w:rPr>
        <w:t> </w:t>
      </w:r>
      <w:r>
        <w:rPr>
          <w:sz w:val="28"/>
        </w:rPr>
        <w:t>right</w:t>
      </w:r>
      <w:r>
        <w:rPr>
          <w:spacing w:val="-7"/>
          <w:sz w:val="28"/>
        </w:rPr>
        <w:t> </w:t>
      </w:r>
      <w:r>
        <w:rPr>
          <w:sz w:val="28"/>
        </w:rPr>
        <w:t>to</w:t>
      </w:r>
      <w:r>
        <w:rPr>
          <w:spacing w:val="-8"/>
          <w:sz w:val="28"/>
        </w:rPr>
        <w:t> </w:t>
      </w:r>
      <w:r>
        <w:rPr>
          <w:sz w:val="28"/>
        </w:rPr>
        <w:t>data</w:t>
      </w:r>
      <w:r>
        <w:rPr>
          <w:spacing w:val="-8"/>
          <w:sz w:val="28"/>
        </w:rPr>
        <w:t> </w:t>
      </w:r>
      <w:r>
        <w:rPr>
          <w:sz w:val="28"/>
        </w:rPr>
        <w:t>protection</w:t>
      </w:r>
      <w:r>
        <w:rPr>
          <w:spacing w:val="-8"/>
          <w:sz w:val="28"/>
        </w:rPr>
        <w:t> </w:t>
      </w:r>
      <w:r>
        <w:rPr>
          <w:sz w:val="28"/>
        </w:rPr>
        <w:t>(section</w:t>
      </w:r>
      <w:r>
        <w:rPr>
          <w:spacing w:val="-9"/>
          <w:sz w:val="28"/>
        </w:rPr>
        <w:t> </w:t>
      </w:r>
      <w:r>
        <w:rPr>
          <w:sz w:val="28"/>
        </w:rPr>
        <w:t>4.3.2</w:t>
      </w:r>
      <w:r>
        <w:rPr>
          <w:spacing w:val="-7"/>
          <w:sz w:val="28"/>
        </w:rPr>
        <w:t> </w:t>
      </w:r>
      <w:r>
        <w:rPr>
          <w:spacing w:val="-2"/>
          <w:sz w:val="28"/>
        </w:rPr>
        <w:t>below);</w:t>
      </w:r>
    </w:p>
    <w:p>
      <w:pPr>
        <w:pStyle w:val="ListParagraph"/>
        <w:numPr>
          <w:ilvl w:val="0"/>
          <w:numId w:val="29"/>
        </w:numPr>
        <w:tabs>
          <w:tab w:pos="1457" w:val="left" w:leader="none"/>
        </w:tabs>
        <w:spacing w:line="232" w:lineRule="auto" w:before="0" w:after="0"/>
        <w:ind w:left="1457" w:right="1020" w:hanging="341"/>
        <w:jc w:val="left"/>
        <w:rPr>
          <w:sz w:val="28"/>
        </w:rPr>
      </w:pPr>
      <w:r>
        <w:rPr>
          <w:sz w:val="28"/>
        </w:rPr>
        <w:t>The</w:t>
      </w:r>
      <w:r>
        <w:rPr>
          <w:spacing w:val="-5"/>
          <w:sz w:val="28"/>
        </w:rPr>
        <w:t> </w:t>
      </w:r>
      <w:r>
        <w:rPr>
          <w:sz w:val="28"/>
        </w:rPr>
        <w:t>right</w:t>
      </w:r>
      <w:r>
        <w:rPr>
          <w:spacing w:val="-5"/>
          <w:sz w:val="28"/>
        </w:rPr>
        <w:t> </w:t>
      </w:r>
      <w:r>
        <w:rPr>
          <w:sz w:val="28"/>
        </w:rPr>
        <w:t>to</w:t>
      </w:r>
      <w:r>
        <w:rPr>
          <w:spacing w:val="-6"/>
          <w:sz w:val="28"/>
        </w:rPr>
        <w:t> </w:t>
      </w:r>
      <w:r>
        <w:rPr>
          <w:sz w:val="28"/>
        </w:rPr>
        <w:t>health,</w:t>
      </w:r>
      <w:r>
        <w:rPr>
          <w:spacing w:val="-5"/>
          <w:sz w:val="28"/>
        </w:rPr>
        <w:t> </w:t>
      </w:r>
      <w:r>
        <w:rPr>
          <w:sz w:val="28"/>
        </w:rPr>
        <w:t>including</w:t>
      </w:r>
      <w:r>
        <w:rPr>
          <w:spacing w:val="-5"/>
          <w:sz w:val="28"/>
        </w:rPr>
        <w:t> </w:t>
      </w:r>
      <w:r>
        <w:rPr>
          <w:sz w:val="28"/>
        </w:rPr>
        <w:t>the</w:t>
      </w:r>
      <w:r>
        <w:rPr>
          <w:spacing w:val="-5"/>
          <w:sz w:val="28"/>
        </w:rPr>
        <w:t> </w:t>
      </w:r>
      <w:r>
        <w:rPr>
          <w:sz w:val="28"/>
        </w:rPr>
        <w:t>right</w:t>
      </w:r>
      <w:r>
        <w:rPr>
          <w:spacing w:val="-5"/>
          <w:sz w:val="28"/>
        </w:rPr>
        <w:t> </w:t>
      </w:r>
      <w:r>
        <w:rPr>
          <w:sz w:val="28"/>
        </w:rPr>
        <w:t>to</w:t>
      </w:r>
      <w:r>
        <w:rPr>
          <w:spacing w:val="-6"/>
          <w:sz w:val="28"/>
        </w:rPr>
        <w:t> </w:t>
      </w:r>
      <w:r>
        <w:rPr>
          <w:sz w:val="28"/>
        </w:rPr>
        <w:t>a</w:t>
      </w:r>
      <w:r>
        <w:rPr>
          <w:spacing w:val="-6"/>
          <w:sz w:val="28"/>
        </w:rPr>
        <w:t> </w:t>
      </w:r>
      <w:r>
        <w:rPr>
          <w:sz w:val="28"/>
        </w:rPr>
        <w:t>healthy</w:t>
      </w:r>
      <w:r>
        <w:rPr>
          <w:spacing w:val="-5"/>
          <w:sz w:val="28"/>
        </w:rPr>
        <w:t> </w:t>
      </w:r>
      <w:r>
        <w:rPr>
          <w:sz w:val="28"/>
        </w:rPr>
        <w:t>environment</w:t>
      </w:r>
      <w:r>
        <w:rPr>
          <w:spacing w:val="-5"/>
          <w:sz w:val="28"/>
        </w:rPr>
        <w:t> </w:t>
      </w:r>
      <w:r>
        <w:rPr>
          <w:sz w:val="28"/>
        </w:rPr>
        <w:t>(section</w:t>
      </w:r>
      <w:r>
        <w:rPr>
          <w:spacing w:val="-6"/>
          <w:sz w:val="28"/>
        </w:rPr>
        <w:t> </w:t>
      </w:r>
      <w:r>
        <w:rPr>
          <w:sz w:val="28"/>
        </w:rPr>
        <w:t>4.3.3 </w:t>
      </w:r>
      <w:r>
        <w:rPr>
          <w:spacing w:val="-2"/>
          <w:sz w:val="28"/>
        </w:rPr>
        <w:t>below);</w:t>
      </w:r>
    </w:p>
    <w:p>
      <w:pPr>
        <w:pStyle w:val="ListParagraph"/>
        <w:numPr>
          <w:ilvl w:val="0"/>
          <w:numId w:val="29"/>
        </w:numPr>
        <w:tabs>
          <w:tab w:pos="1457" w:val="left" w:leader="none"/>
        </w:tabs>
        <w:spacing w:line="318" w:lineRule="exact" w:before="0" w:after="0"/>
        <w:ind w:left="1457" w:right="0" w:hanging="340"/>
        <w:jc w:val="left"/>
        <w:rPr>
          <w:sz w:val="28"/>
        </w:rPr>
      </w:pPr>
      <w:r>
        <w:rPr>
          <w:sz w:val="28"/>
        </w:rPr>
        <w:t>Adequate</w:t>
      </w:r>
      <w:r>
        <w:rPr>
          <w:spacing w:val="-7"/>
          <w:sz w:val="28"/>
        </w:rPr>
        <w:t> </w:t>
      </w:r>
      <w:r>
        <w:rPr>
          <w:sz w:val="28"/>
        </w:rPr>
        <w:t>minimum</w:t>
      </w:r>
      <w:r>
        <w:rPr>
          <w:spacing w:val="-6"/>
          <w:sz w:val="28"/>
        </w:rPr>
        <w:t> </w:t>
      </w:r>
      <w:r>
        <w:rPr>
          <w:sz w:val="28"/>
        </w:rPr>
        <w:t>wages</w:t>
      </w:r>
      <w:r>
        <w:rPr>
          <w:spacing w:val="-7"/>
          <w:sz w:val="28"/>
        </w:rPr>
        <w:t> </w:t>
      </w:r>
      <w:r>
        <w:rPr>
          <w:sz w:val="28"/>
        </w:rPr>
        <w:t>(section</w:t>
      </w:r>
      <w:r>
        <w:rPr>
          <w:spacing w:val="-6"/>
          <w:sz w:val="28"/>
        </w:rPr>
        <w:t> </w:t>
      </w:r>
      <w:r>
        <w:rPr>
          <w:sz w:val="28"/>
        </w:rPr>
        <w:t>4.3.4.1</w:t>
      </w:r>
      <w:r>
        <w:rPr>
          <w:spacing w:val="-7"/>
          <w:sz w:val="28"/>
        </w:rPr>
        <w:t> </w:t>
      </w:r>
      <w:r>
        <w:rPr>
          <w:spacing w:val="-2"/>
          <w:sz w:val="28"/>
        </w:rPr>
        <w:t>below);</w:t>
      </w:r>
    </w:p>
    <w:p>
      <w:pPr>
        <w:pStyle w:val="ListParagraph"/>
        <w:numPr>
          <w:ilvl w:val="0"/>
          <w:numId w:val="29"/>
        </w:numPr>
        <w:tabs>
          <w:tab w:pos="1457" w:val="left" w:leader="none"/>
        </w:tabs>
        <w:spacing w:line="330" w:lineRule="exact" w:before="0" w:after="0"/>
        <w:ind w:left="1457" w:right="0" w:hanging="340"/>
        <w:jc w:val="left"/>
        <w:rPr>
          <w:sz w:val="28"/>
        </w:rPr>
      </w:pPr>
      <w:r>
        <w:rPr>
          <w:sz w:val="28"/>
        </w:rPr>
        <w:t>Justice</w:t>
      </w:r>
      <w:r>
        <w:rPr>
          <w:spacing w:val="-7"/>
          <w:sz w:val="28"/>
        </w:rPr>
        <w:t> </w:t>
      </w:r>
      <w:r>
        <w:rPr>
          <w:sz w:val="28"/>
        </w:rPr>
        <w:t>systems</w:t>
      </w:r>
      <w:r>
        <w:rPr>
          <w:spacing w:val="-8"/>
          <w:sz w:val="28"/>
        </w:rPr>
        <w:t> </w:t>
      </w:r>
      <w:r>
        <w:rPr>
          <w:sz w:val="28"/>
        </w:rPr>
        <w:t>(see</w:t>
      </w:r>
      <w:r>
        <w:rPr>
          <w:spacing w:val="-7"/>
          <w:sz w:val="28"/>
        </w:rPr>
        <w:t> </w:t>
      </w:r>
      <w:r>
        <w:rPr>
          <w:sz w:val="28"/>
        </w:rPr>
        <w:t>proposed</w:t>
      </w:r>
      <w:r>
        <w:rPr>
          <w:spacing w:val="-8"/>
          <w:sz w:val="28"/>
        </w:rPr>
        <w:t> </w:t>
      </w:r>
      <w:r>
        <w:rPr>
          <w:sz w:val="28"/>
        </w:rPr>
        <w:t>EU</w:t>
      </w:r>
      <w:r>
        <w:rPr>
          <w:spacing w:val="-7"/>
          <w:sz w:val="28"/>
        </w:rPr>
        <w:t> </w:t>
      </w:r>
      <w:r>
        <w:rPr>
          <w:sz w:val="28"/>
        </w:rPr>
        <w:t>legislation,</w:t>
      </w:r>
      <w:r>
        <w:rPr>
          <w:spacing w:val="-7"/>
          <w:sz w:val="28"/>
        </w:rPr>
        <w:t> </w:t>
      </w:r>
      <w:r>
        <w:rPr>
          <w:sz w:val="28"/>
        </w:rPr>
        <w:t>in</w:t>
      </w:r>
      <w:r>
        <w:rPr>
          <w:spacing w:val="-8"/>
          <w:sz w:val="28"/>
        </w:rPr>
        <w:t> </w:t>
      </w:r>
      <w:r>
        <w:rPr>
          <w:sz w:val="28"/>
        </w:rPr>
        <w:t>section</w:t>
      </w:r>
      <w:r>
        <w:rPr>
          <w:spacing w:val="-8"/>
          <w:sz w:val="28"/>
        </w:rPr>
        <w:t> </w:t>
      </w:r>
      <w:r>
        <w:rPr>
          <w:sz w:val="28"/>
        </w:rPr>
        <w:t>4.3.4.3</w:t>
      </w:r>
      <w:r>
        <w:rPr>
          <w:spacing w:val="-7"/>
          <w:sz w:val="28"/>
        </w:rPr>
        <w:t> </w:t>
      </w:r>
      <w:r>
        <w:rPr>
          <w:spacing w:val="-2"/>
          <w:sz w:val="28"/>
        </w:rPr>
        <w:t>below);</w:t>
      </w:r>
    </w:p>
    <w:p>
      <w:pPr>
        <w:pStyle w:val="ListParagraph"/>
        <w:numPr>
          <w:ilvl w:val="0"/>
          <w:numId w:val="29"/>
        </w:numPr>
        <w:tabs>
          <w:tab w:pos="1457" w:val="left" w:leader="none"/>
        </w:tabs>
        <w:spacing w:line="330" w:lineRule="exact" w:before="0" w:after="0"/>
        <w:ind w:left="1457" w:right="0" w:hanging="340"/>
        <w:jc w:val="left"/>
        <w:rPr>
          <w:sz w:val="28"/>
        </w:rPr>
      </w:pPr>
      <w:r>
        <w:rPr>
          <w:sz w:val="28"/>
        </w:rPr>
        <w:t>Employment</w:t>
      </w:r>
      <w:r>
        <w:rPr>
          <w:spacing w:val="-8"/>
          <w:sz w:val="28"/>
        </w:rPr>
        <w:t> </w:t>
      </w:r>
      <w:r>
        <w:rPr>
          <w:sz w:val="28"/>
        </w:rPr>
        <w:t>rights</w:t>
      </w:r>
      <w:r>
        <w:rPr>
          <w:spacing w:val="-9"/>
          <w:sz w:val="28"/>
        </w:rPr>
        <w:t> </w:t>
      </w:r>
      <w:r>
        <w:rPr>
          <w:sz w:val="28"/>
        </w:rPr>
        <w:t>and</w:t>
      </w:r>
      <w:r>
        <w:rPr>
          <w:spacing w:val="-9"/>
          <w:sz w:val="28"/>
        </w:rPr>
        <w:t> </w:t>
      </w:r>
      <w:r>
        <w:rPr>
          <w:sz w:val="28"/>
        </w:rPr>
        <w:t>corporate</w:t>
      </w:r>
      <w:r>
        <w:rPr>
          <w:spacing w:val="-8"/>
          <w:sz w:val="28"/>
        </w:rPr>
        <w:t> </w:t>
      </w:r>
      <w:r>
        <w:rPr>
          <w:sz w:val="28"/>
        </w:rPr>
        <w:t>social</w:t>
      </w:r>
      <w:r>
        <w:rPr>
          <w:spacing w:val="-8"/>
          <w:sz w:val="28"/>
        </w:rPr>
        <w:t> </w:t>
      </w:r>
      <w:r>
        <w:rPr>
          <w:sz w:val="28"/>
        </w:rPr>
        <w:t>responsibility</w:t>
      </w:r>
      <w:r>
        <w:rPr>
          <w:spacing w:val="-8"/>
          <w:sz w:val="28"/>
        </w:rPr>
        <w:t> </w:t>
      </w:r>
      <w:r>
        <w:rPr>
          <w:sz w:val="28"/>
        </w:rPr>
        <w:t>(section</w:t>
      </w:r>
      <w:r>
        <w:rPr>
          <w:spacing w:val="-9"/>
          <w:sz w:val="28"/>
        </w:rPr>
        <w:t> </w:t>
      </w:r>
      <w:r>
        <w:rPr>
          <w:sz w:val="28"/>
        </w:rPr>
        <w:t>4.3.4.4</w:t>
      </w:r>
      <w:r>
        <w:rPr>
          <w:spacing w:val="-8"/>
          <w:sz w:val="28"/>
        </w:rPr>
        <w:t> </w:t>
      </w:r>
      <w:r>
        <w:rPr>
          <w:spacing w:val="-2"/>
          <w:sz w:val="28"/>
        </w:rPr>
        <w:t>below);</w:t>
      </w:r>
    </w:p>
    <w:p>
      <w:pPr>
        <w:pStyle w:val="ListParagraph"/>
        <w:numPr>
          <w:ilvl w:val="0"/>
          <w:numId w:val="29"/>
        </w:numPr>
        <w:tabs>
          <w:tab w:pos="1457" w:val="left" w:leader="none"/>
        </w:tabs>
        <w:spacing w:line="232" w:lineRule="auto" w:before="0" w:after="0"/>
        <w:ind w:left="1457" w:right="1070" w:hanging="341"/>
        <w:jc w:val="left"/>
        <w:rPr>
          <w:sz w:val="28"/>
        </w:rPr>
      </w:pPr>
      <w:r>
        <w:rPr>
          <w:sz w:val="28"/>
        </w:rPr>
        <w:t>Vulnerable</w:t>
      </w:r>
      <w:r>
        <w:rPr>
          <w:spacing w:val="-10"/>
          <w:sz w:val="28"/>
        </w:rPr>
        <w:t> </w:t>
      </w:r>
      <w:r>
        <w:rPr>
          <w:sz w:val="28"/>
        </w:rPr>
        <w:t>groups</w:t>
      </w:r>
      <w:r>
        <w:rPr>
          <w:spacing w:val="-11"/>
          <w:sz w:val="28"/>
        </w:rPr>
        <w:t> </w:t>
      </w:r>
      <w:r>
        <w:rPr>
          <w:sz w:val="28"/>
        </w:rPr>
        <w:t>in</w:t>
      </w:r>
      <w:r>
        <w:rPr>
          <w:spacing w:val="-11"/>
          <w:sz w:val="28"/>
        </w:rPr>
        <w:t> </w:t>
      </w:r>
      <w:r>
        <w:rPr>
          <w:sz w:val="28"/>
        </w:rPr>
        <w:t>relation</w:t>
      </w:r>
      <w:r>
        <w:rPr>
          <w:spacing w:val="-11"/>
          <w:sz w:val="28"/>
        </w:rPr>
        <w:t> </w:t>
      </w:r>
      <w:r>
        <w:rPr>
          <w:sz w:val="28"/>
        </w:rPr>
        <w:t>to</w:t>
      </w:r>
      <w:r>
        <w:rPr>
          <w:spacing w:val="-11"/>
          <w:sz w:val="28"/>
        </w:rPr>
        <w:t> </w:t>
      </w:r>
      <w:r>
        <w:rPr>
          <w:sz w:val="28"/>
        </w:rPr>
        <w:t>human</w:t>
      </w:r>
      <w:r>
        <w:rPr>
          <w:spacing w:val="-11"/>
          <w:sz w:val="28"/>
        </w:rPr>
        <w:t> </w:t>
      </w:r>
      <w:r>
        <w:rPr>
          <w:sz w:val="28"/>
        </w:rPr>
        <w:t>trafficking,</w:t>
      </w:r>
      <w:r>
        <w:rPr>
          <w:spacing w:val="-10"/>
          <w:sz w:val="28"/>
        </w:rPr>
        <w:t> </w:t>
      </w:r>
      <w:r>
        <w:rPr>
          <w:sz w:val="28"/>
        </w:rPr>
        <w:t>migrants,</w:t>
      </w:r>
      <w:r>
        <w:rPr>
          <w:spacing w:val="-10"/>
          <w:sz w:val="28"/>
        </w:rPr>
        <w:t> </w:t>
      </w:r>
      <w:r>
        <w:rPr>
          <w:sz w:val="28"/>
        </w:rPr>
        <w:t>children</w:t>
      </w:r>
      <w:r>
        <w:rPr>
          <w:spacing w:val="-11"/>
          <w:sz w:val="28"/>
        </w:rPr>
        <w:t> </w:t>
      </w:r>
      <w:r>
        <w:rPr>
          <w:sz w:val="28"/>
        </w:rPr>
        <w:t>(section 4.3.4.5 below).</w:t>
      </w:r>
    </w:p>
    <w:p>
      <w:pPr>
        <w:pStyle w:val="BodyText"/>
        <w:spacing w:before="6"/>
      </w:pPr>
    </w:p>
    <w:p>
      <w:pPr>
        <w:pStyle w:val="Heading2"/>
        <w:numPr>
          <w:ilvl w:val="1"/>
          <w:numId w:val="25"/>
        </w:numPr>
        <w:tabs>
          <w:tab w:pos="1599" w:val="left" w:leader="none"/>
        </w:tabs>
        <w:spacing w:line="240" w:lineRule="auto" w:before="0" w:after="0"/>
        <w:ind w:left="1599" w:right="0" w:hanging="482"/>
        <w:jc w:val="left"/>
      </w:pPr>
      <w:r>
        <w:rPr>
          <w:color w:val="004A93"/>
        </w:rPr>
        <w:t>Updates</w:t>
      </w:r>
      <w:r>
        <w:rPr>
          <w:color w:val="004A93"/>
          <w:spacing w:val="-9"/>
        </w:rPr>
        <w:t> </w:t>
      </w:r>
      <w:r>
        <w:rPr>
          <w:color w:val="004A93"/>
        </w:rPr>
        <w:t>in</w:t>
      </w:r>
      <w:r>
        <w:rPr>
          <w:color w:val="004A93"/>
          <w:spacing w:val="-8"/>
        </w:rPr>
        <w:t> </w:t>
      </w:r>
      <w:r>
        <w:rPr>
          <w:color w:val="004A93"/>
        </w:rPr>
        <w:t>specific</w:t>
      </w:r>
      <w:r>
        <w:rPr>
          <w:color w:val="004A93"/>
          <w:spacing w:val="-9"/>
        </w:rPr>
        <w:t> </w:t>
      </w:r>
      <w:r>
        <w:rPr>
          <w:color w:val="004A93"/>
          <w:spacing w:val="-2"/>
        </w:rPr>
        <w:t>areas</w:t>
      </w:r>
    </w:p>
    <w:p>
      <w:pPr>
        <w:pStyle w:val="BodyText"/>
        <w:spacing w:before="9"/>
        <w:rPr>
          <w:b/>
          <w:sz w:val="5"/>
        </w:rPr>
      </w:pPr>
      <w:r>
        <w:rPr/>
        <mc:AlternateContent>
          <mc:Choice Requires="wps">
            <w:drawing>
              <wp:anchor distT="0" distB="0" distL="0" distR="0" allowOverlap="1" layoutInCell="1" locked="0" behindDoc="1" simplePos="0" relativeHeight="487725056">
                <wp:simplePos x="0" y="0"/>
                <wp:positionH relativeFrom="page">
                  <wp:posOffset>899999</wp:posOffset>
                </wp:positionH>
                <wp:positionV relativeFrom="paragraph">
                  <wp:posOffset>60138</wp:posOffset>
                </wp:positionV>
                <wp:extent cx="6012180" cy="1270"/>
                <wp:effectExtent l="0" t="0" r="0" b="0"/>
                <wp:wrapTopAndBottom/>
                <wp:docPr id="722" name="Graphic 722"/>
                <wp:cNvGraphicFramePr>
                  <a:graphicFrameLocks/>
                </wp:cNvGraphicFramePr>
                <a:graphic>
                  <a:graphicData uri="http://schemas.microsoft.com/office/word/2010/wordprocessingShape">
                    <wps:wsp>
                      <wps:cNvPr id="722" name="Graphic 722"/>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735329pt;width:473.4pt;height:.1pt;mso-position-horizontal-relative:page;mso-position-vertical-relative:paragraph;z-index:-15591424;mso-wrap-distance-left:0;mso-wrap-distance-right:0" id="docshape585" coordorigin="1417,95" coordsize="9468,0" path="m1417,95l10885,95e" filled="false" stroked="true" strokeweight="1pt" strokecolor="#36a9e1">
                <v:path arrowok="t"/>
                <v:stroke dashstyle="solid"/>
                <w10:wrap type="topAndBottom"/>
              </v:shape>
            </w:pict>
          </mc:Fallback>
        </mc:AlternateContent>
      </w:r>
    </w:p>
    <w:p>
      <w:pPr>
        <w:pStyle w:val="Heading3"/>
        <w:numPr>
          <w:ilvl w:val="2"/>
          <w:numId w:val="25"/>
        </w:numPr>
        <w:tabs>
          <w:tab w:pos="1755" w:val="left" w:leader="none"/>
        </w:tabs>
        <w:spacing w:line="336" w:lineRule="exact" w:before="223" w:after="0"/>
        <w:ind w:left="1755" w:right="0" w:hanging="638"/>
        <w:jc w:val="left"/>
      </w:pPr>
      <w:r>
        <w:rPr>
          <w:color w:val="004A93"/>
          <w:spacing w:val="-2"/>
        </w:rPr>
        <w:t>Discrimination</w:t>
      </w:r>
    </w:p>
    <w:p>
      <w:pPr>
        <w:pStyle w:val="BodyText"/>
        <w:spacing w:line="232" w:lineRule="auto" w:before="2"/>
        <w:ind w:left="1117" w:right="888"/>
      </w:pPr>
      <w:r>
        <w:rPr/>
        <w:t>Out of those 15 EU directives adopted between 1 January 2022 and 31 August 2023 and that relate to human rights and equality, 2 EU directives relate to the prohibition of gender discrimination. With respect to one of these (the Pay Transparency</w:t>
      </w:r>
      <w:r>
        <w:rPr>
          <w:spacing w:val="-7"/>
        </w:rPr>
        <w:t> </w:t>
      </w:r>
      <w:r>
        <w:rPr/>
        <w:t>Directive)</w:t>
      </w:r>
      <w:r>
        <w:rPr>
          <w:spacing w:val="-8"/>
        </w:rPr>
        <w:t> </w:t>
      </w:r>
      <w:r>
        <w:rPr/>
        <w:t>it</w:t>
      </w:r>
      <w:r>
        <w:rPr>
          <w:spacing w:val="-7"/>
        </w:rPr>
        <w:t> </w:t>
      </w:r>
      <w:r>
        <w:rPr/>
        <w:t>amends</w:t>
      </w:r>
      <w:r>
        <w:rPr>
          <w:spacing w:val="-8"/>
        </w:rPr>
        <w:t> </w:t>
      </w:r>
      <w:r>
        <w:rPr/>
        <w:t>an</w:t>
      </w:r>
      <w:r>
        <w:rPr>
          <w:spacing w:val="-8"/>
        </w:rPr>
        <w:t> </w:t>
      </w:r>
      <w:r>
        <w:rPr/>
        <w:t>Annex</w:t>
      </w:r>
      <w:r>
        <w:rPr>
          <w:spacing w:val="-8"/>
        </w:rPr>
        <w:t> </w:t>
      </w:r>
      <w:r>
        <w:rPr/>
        <w:t>1</w:t>
      </w:r>
      <w:r>
        <w:rPr>
          <w:spacing w:val="-7"/>
        </w:rPr>
        <w:t> </w:t>
      </w:r>
      <w:r>
        <w:rPr/>
        <w:t>directive</w:t>
      </w:r>
      <w:r>
        <w:rPr>
          <w:spacing w:val="-7"/>
        </w:rPr>
        <w:t> </w:t>
      </w:r>
      <w:r>
        <w:rPr/>
        <w:t>and</w:t>
      </w:r>
      <w:r>
        <w:rPr>
          <w:spacing w:val="-8"/>
        </w:rPr>
        <w:t> </w:t>
      </w:r>
      <w:r>
        <w:rPr/>
        <w:t>so</w:t>
      </w:r>
      <w:r>
        <w:rPr>
          <w:spacing w:val="-8"/>
        </w:rPr>
        <w:t> </w:t>
      </w:r>
      <w:r>
        <w:rPr/>
        <w:t>dynamic</w:t>
      </w:r>
      <w:r>
        <w:rPr>
          <w:spacing w:val="-7"/>
        </w:rPr>
        <w:t> </w:t>
      </w:r>
      <w:r>
        <w:rPr/>
        <w:t>alignment is required. A second directive (Gender Balance on Boards Directive) could potentially amend an Annex 1 directive.</w:t>
      </w:r>
    </w:p>
    <w:p>
      <w:pPr>
        <w:pStyle w:val="BodyText"/>
        <w:spacing w:line="232" w:lineRule="auto" w:before="274"/>
        <w:ind w:left="1117" w:right="1087"/>
      </w:pPr>
      <w:r>
        <w:rPr/>
        <w:t>Two</w:t>
      </w:r>
      <w:r>
        <w:rPr>
          <w:spacing w:val="-8"/>
        </w:rPr>
        <w:t> </w:t>
      </w:r>
      <w:r>
        <w:rPr/>
        <w:t>Directives</w:t>
      </w:r>
      <w:r>
        <w:rPr>
          <w:spacing w:val="-8"/>
        </w:rPr>
        <w:t> </w:t>
      </w:r>
      <w:r>
        <w:rPr/>
        <w:t>on</w:t>
      </w:r>
      <w:r>
        <w:rPr>
          <w:spacing w:val="-8"/>
        </w:rPr>
        <w:t> </w:t>
      </w:r>
      <w:r>
        <w:rPr/>
        <w:t>Equality</w:t>
      </w:r>
      <w:r>
        <w:rPr>
          <w:spacing w:val="-7"/>
        </w:rPr>
        <w:t> </w:t>
      </w:r>
      <w:r>
        <w:rPr/>
        <w:t>Bodies</w:t>
      </w:r>
      <w:r>
        <w:rPr>
          <w:spacing w:val="-8"/>
        </w:rPr>
        <w:t> </w:t>
      </w:r>
      <w:r>
        <w:rPr/>
        <w:t>have</w:t>
      </w:r>
      <w:r>
        <w:rPr>
          <w:spacing w:val="-7"/>
        </w:rPr>
        <w:t> </w:t>
      </w:r>
      <w:r>
        <w:rPr/>
        <w:t>also</w:t>
      </w:r>
      <w:r>
        <w:rPr>
          <w:spacing w:val="-8"/>
        </w:rPr>
        <w:t> </w:t>
      </w:r>
      <w:r>
        <w:rPr/>
        <w:t>recently</w:t>
      </w:r>
      <w:r>
        <w:rPr>
          <w:spacing w:val="-7"/>
        </w:rPr>
        <w:t> </w:t>
      </w:r>
      <w:r>
        <w:rPr/>
        <w:t>been</w:t>
      </w:r>
      <w:r>
        <w:rPr>
          <w:spacing w:val="-8"/>
        </w:rPr>
        <w:t> </w:t>
      </w:r>
      <w:r>
        <w:rPr/>
        <w:t>adopted</w:t>
      </w:r>
      <w:r>
        <w:rPr>
          <w:spacing w:val="-8"/>
        </w:rPr>
        <w:t> </w:t>
      </w:r>
      <w:r>
        <w:rPr/>
        <w:t>outside</w:t>
      </w:r>
      <w:r>
        <w:rPr>
          <w:spacing w:val="-7"/>
        </w:rPr>
        <w:t> </w:t>
      </w:r>
      <w:r>
        <w:rPr/>
        <w:t>the mapping period of 1 January 2022 to 31 August 2023 which amend Annex 1 </w:t>
      </w:r>
      <w:r>
        <w:rPr>
          <w:spacing w:val="-2"/>
        </w:rPr>
        <w:t>Directives.</w:t>
      </w:r>
    </w:p>
    <w:p>
      <w:pPr>
        <w:pStyle w:val="BodyText"/>
        <w:rPr>
          <w:sz w:val="20"/>
        </w:rPr>
      </w:pPr>
    </w:p>
    <w:p>
      <w:pPr>
        <w:pStyle w:val="BodyText"/>
        <w:spacing w:before="208"/>
        <w:rPr>
          <w:sz w:val="20"/>
        </w:rPr>
      </w:pPr>
      <w:r>
        <w:rPr/>
        <mc:AlternateContent>
          <mc:Choice Requires="wps">
            <w:drawing>
              <wp:anchor distT="0" distB="0" distL="0" distR="0" allowOverlap="1" layoutInCell="1" locked="0" behindDoc="1" simplePos="0" relativeHeight="487725568">
                <wp:simplePos x="0" y="0"/>
                <wp:positionH relativeFrom="page">
                  <wp:posOffset>900000</wp:posOffset>
                </wp:positionH>
                <wp:positionV relativeFrom="paragraph">
                  <wp:posOffset>302441</wp:posOffset>
                </wp:positionV>
                <wp:extent cx="6012180" cy="1270"/>
                <wp:effectExtent l="0" t="0" r="0" b="0"/>
                <wp:wrapTopAndBottom/>
                <wp:docPr id="723" name="Graphic 723"/>
                <wp:cNvGraphicFramePr>
                  <a:graphicFrameLocks/>
                </wp:cNvGraphicFramePr>
                <a:graphic>
                  <a:graphicData uri="http://schemas.microsoft.com/office/word/2010/wordprocessingShape">
                    <wps:wsp>
                      <wps:cNvPr id="723" name="Graphic 72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23.81431pt;width:473.4pt;height:.1pt;mso-position-horizontal-relative:page;mso-position-vertical-relative:paragraph;z-index:-15590912;mso-wrap-distance-left:0;mso-wrap-distance-right:0" id="docshape586" coordorigin="1417,476" coordsize="9468,0" path="m1417,476l10885,476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981"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 Chapters 4-6.</w:t>
      </w:r>
    </w:p>
    <w:p>
      <w:pPr>
        <w:spacing w:after="0" w:line="240" w:lineRule="auto"/>
        <w:jc w:val="both"/>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68416">
                <wp:simplePos x="0" y="0"/>
                <wp:positionH relativeFrom="page">
                  <wp:posOffset>0</wp:posOffset>
                </wp:positionH>
                <wp:positionV relativeFrom="page">
                  <wp:posOffset>0</wp:posOffset>
                </wp:positionV>
                <wp:extent cx="7560309" cy="1257935"/>
                <wp:effectExtent l="0" t="0" r="0" b="0"/>
                <wp:wrapNone/>
                <wp:docPr id="724" name="Group 724"/>
                <wp:cNvGraphicFramePr>
                  <a:graphicFrameLocks/>
                </wp:cNvGraphicFramePr>
                <a:graphic>
                  <a:graphicData uri="http://schemas.microsoft.com/office/word/2010/wordprocessingGroup">
                    <wpg:wgp>
                      <wpg:cNvPr id="724" name="Group 724"/>
                      <wpg:cNvGrpSpPr/>
                      <wpg:grpSpPr>
                        <a:xfrm>
                          <a:off x="0" y="0"/>
                          <a:ext cx="7560309" cy="1257935"/>
                          <a:chExt cx="7560309" cy="1257935"/>
                        </a:xfrm>
                      </wpg:grpSpPr>
                      <wps:wsp>
                        <wps:cNvPr id="725" name="Graphic 72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726" name="Graphic 72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727" name="Textbox 727"/>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84</w:t>
                              </w:r>
                            </w:p>
                          </w:txbxContent>
                        </wps:txbx>
                        <wps:bodyPr wrap="square" lIns="0" tIns="0" rIns="0" bIns="0" rtlCol="0">
                          <a:noAutofit/>
                        </wps:bodyPr>
                      </wps:wsp>
                      <wps:wsp>
                        <wps:cNvPr id="728" name="Textbox 728"/>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729" name="Textbox 729"/>
                        <wps:cNvSpPr txBox="1"/>
                        <wps:spPr>
                          <a:xfrm>
                            <a:off x="647999" y="1080003"/>
                            <a:ext cx="2477770" cy="177800"/>
                          </a:xfrm>
                          <a:prstGeom prst="rect">
                            <a:avLst/>
                          </a:prstGeom>
                        </wps:spPr>
                        <wps:txbx>
                          <w:txbxContent>
                            <w:p>
                              <w:pPr>
                                <w:numPr>
                                  <w:ilvl w:val="3"/>
                                  <w:numId w:val="30"/>
                                </w:numPr>
                                <w:tabs>
                                  <w:tab w:pos="843" w:val="left" w:leader="none"/>
                                </w:tabs>
                                <w:spacing w:line="280" w:lineRule="exact" w:before="0"/>
                                <w:ind w:left="843" w:right="0" w:hanging="843"/>
                                <w:jc w:val="left"/>
                                <w:rPr>
                                  <w:sz w:val="28"/>
                                </w:rPr>
                              </w:pPr>
                              <w:r>
                                <w:rPr>
                                  <w:color w:val="004A93"/>
                                  <w:spacing w:val="-2"/>
                                  <w:sz w:val="28"/>
                                </w:rPr>
                                <w:t>Pay</w:t>
                              </w:r>
                              <w:r>
                                <w:rPr>
                                  <w:color w:val="004A93"/>
                                  <w:spacing w:val="-5"/>
                                  <w:sz w:val="28"/>
                                </w:rPr>
                                <w:t> </w:t>
                              </w:r>
                              <w:r>
                                <w:rPr>
                                  <w:color w:val="004A93"/>
                                  <w:spacing w:val="-2"/>
                                  <w:sz w:val="28"/>
                                </w:rPr>
                                <w:t>Transparency</w:t>
                              </w:r>
                              <w:r>
                                <w:rPr>
                                  <w:color w:val="004A93"/>
                                  <w:spacing w:val="-5"/>
                                  <w:sz w:val="28"/>
                                </w:rPr>
                                <w:t> </w:t>
                              </w:r>
                              <w:r>
                                <w:rPr>
                                  <w:color w:val="004A93"/>
                                  <w:spacing w:val="-2"/>
                                  <w:sz w:val="28"/>
                                </w:rPr>
                                <w:t>Directive</w:t>
                              </w:r>
                            </w:p>
                          </w:txbxContent>
                        </wps:txbx>
                        <wps:bodyPr wrap="square" lIns="0" tIns="0" rIns="0" bIns="0" rtlCol="0">
                          <a:noAutofit/>
                        </wps:bodyPr>
                      </wps:wsp>
                    </wpg:wgp>
                  </a:graphicData>
                </a:graphic>
              </wp:anchor>
            </w:drawing>
          </mc:Choice>
          <mc:Fallback>
            <w:pict>
              <v:group style="position:absolute;margin-left:.0pt;margin-top:-.00002pt;width:595.3pt;height:99.05pt;mso-position-horizontal-relative:page;mso-position-vertical-relative:page;z-index:15868416" id="docshapegroup587" coordorigin="0,0" coordsize="11906,1981">
                <v:shape style="position:absolute;left:0;top:0;width:11906;height:1819" id="docshape58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589" filled="false" stroked="false">
                  <v:textbox inset="0,0,0,0">
                    <w:txbxContent>
                      <w:p>
                        <w:pPr>
                          <w:spacing w:line="280" w:lineRule="exact" w:before="0"/>
                          <w:ind w:left="0" w:right="0" w:firstLine="0"/>
                          <w:jc w:val="left"/>
                          <w:rPr>
                            <w:b/>
                            <w:sz w:val="28"/>
                          </w:rPr>
                        </w:pPr>
                        <w:r>
                          <w:rPr>
                            <w:b/>
                            <w:color w:val="FFFFFF"/>
                            <w:spacing w:val="-5"/>
                            <w:sz w:val="28"/>
                          </w:rPr>
                          <w:t>84</w:t>
                        </w:r>
                      </w:p>
                    </w:txbxContent>
                  </v:textbox>
                  <w10:wrap type="none"/>
                </v:shape>
                <v:shape style="position:absolute;left:1303;top:645;width:6182;height:240" type="#_x0000_t202" id="docshape590"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3902;height:280" type="#_x0000_t202" id="docshape591" filled="false" stroked="false">
                  <v:textbox inset="0,0,0,0">
                    <w:txbxContent>
                      <w:p>
                        <w:pPr>
                          <w:numPr>
                            <w:ilvl w:val="3"/>
                            <w:numId w:val="30"/>
                          </w:numPr>
                          <w:tabs>
                            <w:tab w:pos="843" w:val="left" w:leader="none"/>
                          </w:tabs>
                          <w:spacing w:line="280" w:lineRule="exact" w:before="0"/>
                          <w:ind w:left="843" w:right="0" w:hanging="843"/>
                          <w:jc w:val="left"/>
                          <w:rPr>
                            <w:sz w:val="28"/>
                          </w:rPr>
                        </w:pPr>
                        <w:r>
                          <w:rPr>
                            <w:color w:val="004A93"/>
                            <w:spacing w:val="-2"/>
                            <w:sz w:val="28"/>
                          </w:rPr>
                          <w:t>Pay</w:t>
                        </w:r>
                        <w:r>
                          <w:rPr>
                            <w:color w:val="004A93"/>
                            <w:spacing w:val="-5"/>
                            <w:sz w:val="28"/>
                          </w:rPr>
                          <w:t> </w:t>
                        </w:r>
                        <w:r>
                          <w:rPr>
                            <w:color w:val="004A93"/>
                            <w:spacing w:val="-2"/>
                            <w:sz w:val="28"/>
                          </w:rPr>
                          <w:t>Transparency</w:t>
                        </w:r>
                        <w:r>
                          <w:rPr>
                            <w:color w:val="004A93"/>
                            <w:spacing w:val="-5"/>
                            <w:sz w:val="28"/>
                          </w:rPr>
                          <w:t> </w:t>
                        </w:r>
                        <w:r>
                          <w:rPr>
                            <w:color w:val="004A93"/>
                            <w:spacing w:val="-2"/>
                            <w:sz w:val="28"/>
                          </w:rPr>
                          <w:t>Directive</w:t>
                        </w:r>
                      </w:p>
                    </w:txbxContent>
                  </v:textbox>
                  <w10:wrap type="none"/>
                </v:shape>
                <w10:wrap type="none"/>
              </v:group>
            </w:pict>
          </mc:Fallback>
        </mc:AlternateContent>
      </w:r>
    </w:p>
    <w:p>
      <w:pPr>
        <w:pStyle w:val="BodyText"/>
      </w:pPr>
    </w:p>
    <w:p>
      <w:pPr>
        <w:pStyle w:val="BodyText"/>
      </w:pPr>
    </w:p>
    <w:p>
      <w:pPr>
        <w:pStyle w:val="BodyText"/>
      </w:pPr>
    </w:p>
    <w:p>
      <w:pPr>
        <w:pStyle w:val="BodyText"/>
        <w:spacing w:before="247"/>
      </w:pPr>
    </w:p>
    <w:p>
      <w:pPr>
        <w:spacing w:before="0"/>
        <w:ind w:left="720" w:right="0" w:firstLine="0"/>
        <w:jc w:val="left"/>
        <w:rPr>
          <w:sz w:val="28"/>
        </w:rPr>
      </w:pPr>
      <w:bookmarkStart w:name="4.3.1.1 Pay Transparency Directive" w:id="123"/>
      <w:bookmarkEnd w:id="123"/>
      <w:r>
        <w:rPr/>
      </w:r>
      <w:bookmarkStart w:name="_bookmark51" w:id="124"/>
      <w:bookmarkEnd w:id="124"/>
      <w:r>
        <w:rPr/>
      </w:r>
      <w:r>
        <w:rPr>
          <w:spacing w:val="-2"/>
          <w:sz w:val="28"/>
        </w:rPr>
        <w:t>The</w:t>
      </w:r>
      <w:r>
        <w:rPr>
          <w:spacing w:val="-7"/>
          <w:sz w:val="28"/>
        </w:rPr>
        <w:t> </w:t>
      </w:r>
      <w:r>
        <w:rPr>
          <w:b/>
          <w:spacing w:val="-2"/>
          <w:sz w:val="28"/>
        </w:rPr>
        <w:t>Pay</w:t>
      </w:r>
      <w:r>
        <w:rPr>
          <w:b/>
          <w:spacing w:val="-4"/>
          <w:sz w:val="28"/>
        </w:rPr>
        <w:t> </w:t>
      </w:r>
      <w:r>
        <w:rPr>
          <w:b/>
          <w:spacing w:val="-2"/>
          <w:sz w:val="28"/>
        </w:rPr>
        <w:t>Transparency</w:t>
      </w:r>
      <w:r>
        <w:rPr>
          <w:b/>
          <w:spacing w:val="-3"/>
          <w:sz w:val="28"/>
        </w:rPr>
        <w:t> </w:t>
      </w:r>
      <w:r>
        <w:rPr>
          <w:b/>
          <w:spacing w:val="-2"/>
          <w:sz w:val="28"/>
        </w:rPr>
        <w:t>Directive</w:t>
      </w:r>
      <w:r>
        <w:rPr>
          <w:spacing w:val="-2"/>
          <w:sz w:val="28"/>
          <w:vertAlign w:val="superscript"/>
        </w:rPr>
        <w:t>449</w:t>
      </w:r>
      <w:r>
        <w:rPr>
          <w:spacing w:val="-27"/>
          <w:sz w:val="28"/>
          <w:vertAlign w:val="baseline"/>
        </w:rPr>
        <w:t> </w:t>
      </w:r>
      <w:r>
        <w:rPr>
          <w:spacing w:val="-2"/>
          <w:sz w:val="28"/>
          <w:vertAlign w:val="baseline"/>
        </w:rPr>
        <w:t>requires</w:t>
      </w:r>
      <w:r>
        <w:rPr>
          <w:spacing w:val="-5"/>
          <w:sz w:val="28"/>
          <w:vertAlign w:val="baseline"/>
        </w:rPr>
        <w:t> </w:t>
      </w:r>
      <w:r>
        <w:rPr>
          <w:spacing w:val="-2"/>
          <w:sz w:val="28"/>
          <w:vertAlign w:val="baseline"/>
        </w:rPr>
        <w:t>that:</w:t>
      </w:r>
    </w:p>
    <w:p>
      <w:pPr>
        <w:pStyle w:val="ListParagraph"/>
        <w:numPr>
          <w:ilvl w:val="3"/>
          <w:numId w:val="28"/>
        </w:numPr>
        <w:tabs>
          <w:tab w:pos="1060" w:val="left" w:leader="none"/>
        </w:tabs>
        <w:spacing w:line="232" w:lineRule="auto" w:before="266" w:after="0"/>
        <w:ind w:left="1060" w:right="1218" w:hanging="341"/>
        <w:jc w:val="left"/>
        <w:rPr>
          <w:sz w:val="28"/>
        </w:rPr>
      </w:pPr>
      <w:r>
        <w:rPr>
          <w:sz w:val="28"/>
        </w:rPr>
        <w:t>Member States must eliminate direct and indirect pay discrimination, including by ensuring pay transparency prior to and during employment (for example giving</w:t>
      </w:r>
      <w:r>
        <w:rPr>
          <w:spacing w:val="-6"/>
          <w:sz w:val="28"/>
        </w:rPr>
        <w:t> </w:t>
      </w:r>
      <w:r>
        <w:rPr>
          <w:sz w:val="28"/>
        </w:rPr>
        <w:t>access</w:t>
      </w:r>
      <w:r>
        <w:rPr>
          <w:spacing w:val="-7"/>
          <w:sz w:val="28"/>
        </w:rPr>
        <w:t> </w:t>
      </w:r>
      <w:r>
        <w:rPr>
          <w:sz w:val="28"/>
        </w:rPr>
        <w:t>to</w:t>
      </w:r>
      <w:r>
        <w:rPr>
          <w:spacing w:val="-7"/>
          <w:sz w:val="28"/>
        </w:rPr>
        <w:t> </w:t>
      </w:r>
      <w:r>
        <w:rPr>
          <w:sz w:val="28"/>
        </w:rPr>
        <w:t>criteria</w:t>
      </w:r>
      <w:r>
        <w:rPr>
          <w:spacing w:val="-7"/>
          <w:sz w:val="28"/>
        </w:rPr>
        <w:t> </w:t>
      </w:r>
      <w:r>
        <w:rPr>
          <w:sz w:val="28"/>
        </w:rPr>
        <w:t>used</w:t>
      </w:r>
      <w:r>
        <w:rPr>
          <w:spacing w:val="-7"/>
          <w:sz w:val="28"/>
        </w:rPr>
        <w:t> </w:t>
      </w:r>
      <w:r>
        <w:rPr>
          <w:sz w:val="28"/>
        </w:rPr>
        <w:t>to</w:t>
      </w:r>
      <w:r>
        <w:rPr>
          <w:spacing w:val="-7"/>
          <w:sz w:val="28"/>
        </w:rPr>
        <w:t> </w:t>
      </w:r>
      <w:r>
        <w:rPr>
          <w:sz w:val="28"/>
        </w:rPr>
        <w:t>determine</w:t>
      </w:r>
      <w:r>
        <w:rPr>
          <w:spacing w:val="-6"/>
          <w:sz w:val="28"/>
        </w:rPr>
        <w:t> </w:t>
      </w:r>
      <w:r>
        <w:rPr>
          <w:sz w:val="28"/>
        </w:rPr>
        <w:t>pay</w:t>
      </w:r>
      <w:r>
        <w:rPr>
          <w:spacing w:val="-6"/>
          <w:sz w:val="28"/>
        </w:rPr>
        <w:t> </w:t>
      </w:r>
      <w:r>
        <w:rPr>
          <w:sz w:val="28"/>
        </w:rPr>
        <w:t>levels</w:t>
      </w:r>
      <w:r>
        <w:rPr>
          <w:spacing w:val="-7"/>
          <w:sz w:val="28"/>
        </w:rPr>
        <w:t> </w:t>
      </w:r>
      <w:r>
        <w:rPr>
          <w:sz w:val="28"/>
        </w:rPr>
        <w:t>and</w:t>
      </w:r>
      <w:r>
        <w:rPr>
          <w:spacing w:val="-7"/>
          <w:sz w:val="28"/>
        </w:rPr>
        <w:t> </w:t>
      </w:r>
      <w:r>
        <w:rPr>
          <w:sz w:val="28"/>
        </w:rPr>
        <w:t>progression;</w:t>
      </w:r>
      <w:r>
        <w:rPr>
          <w:spacing w:val="-6"/>
          <w:sz w:val="28"/>
        </w:rPr>
        <w:t> </w:t>
      </w:r>
      <w:r>
        <w:rPr>
          <w:sz w:val="28"/>
        </w:rPr>
        <w:t>reporting on pay gap; providing sufficient resources to equality bodies; guaranteeing access to justice for claimants);</w:t>
      </w:r>
    </w:p>
    <w:p>
      <w:pPr>
        <w:pStyle w:val="ListParagraph"/>
        <w:numPr>
          <w:ilvl w:val="3"/>
          <w:numId w:val="28"/>
        </w:numPr>
        <w:tabs>
          <w:tab w:pos="1060" w:val="left" w:leader="none"/>
        </w:tabs>
        <w:spacing w:line="320" w:lineRule="exact" w:before="0" w:after="0"/>
        <w:ind w:left="1060" w:right="0" w:hanging="340"/>
        <w:jc w:val="left"/>
        <w:rPr>
          <w:sz w:val="28"/>
        </w:rPr>
      </w:pPr>
      <w:r>
        <w:rPr>
          <w:sz w:val="28"/>
        </w:rPr>
        <w:t>Member</w:t>
      </w:r>
      <w:r>
        <w:rPr>
          <w:spacing w:val="-6"/>
          <w:sz w:val="28"/>
        </w:rPr>
        <w:t> </w:t>
      </w:r>
      <w:r>
        <w:rPr>
          <w:sz w:val="28"/>
        </w:rPr>
        <w:t>States</w:t>
      </w:r>
      <w:r>
        <w:rPr>
          <w:spacing w:val="-7"/>
          <w:sz w:val="28"/>
        </w:rPr>
        <w:t> </w:t>
      </w:r>
      <w:r>
        <w:rPr>
          <w:sz w:val="28"/>
        </w:rPr>
        <w:t>must</w:t>
      </w:r>
      <w:r>
        <w:rPr>
          <w:spacing w:val="-6"/>
          <w:sz w:val="28"/>
        </w:rPr>
        <w:t> </w:t>
      </w:r>
      <w:r>
        <w:rPr>
          <w:sz w:val="28"/>
        </w:rPr>
        <w:t>bring</w:t>
      </w:r>
      <w:r>
        <w:rPr>
          <w:spacing w:val="-6"/>
          <w:sz w:val="28"/>
        </w:rPr>
        <w:t> </w:t>
      </w:r>
      <w:r>
        <w:rPr>
          <w:sz w:val="28"/>
        </w:rPr>
        <w:t>into</w:t>
      </w:r>
      <w:r>
        <w:rPr>
          <w:spacing w:val="-7"/>
          <w:sz w:val="28"/>
        </w:rPr>
        <w:t> </w:t>
      </w:r>
      <w:r>
        <w:rPr>
          <w:sz w:val="28"/>
        </w:rPr>
        <w:t>force</w:t>
      </w:r>
      <w:r>
        <w:rPr>
          <w:spacing w:val="-6"/>
          <w:sz w:val="28"/>
        </w:rPr>
        <w:t> </w:t>
      </w:r>
      <w:r>
        <w:rPr>
          <w:sz w:val="28"/>
        </w:rPr>
        <w:t>the</w:t>
      </w:r>
      <w:r>
        <w:rPr>
          <w:spacing w:val="-6"/>
          <w:sz w:val="28"/>
        </w:rPr>
        <w:t> </w:t>
      </w:r>
      <w:r>
        <w:rPr>
          <w:sz w:val="28"/>
        </w:rPr>
        <w:t>laws,</w:t>
      </w:r>
      <w:r>
        <w:rPr>
          <w:spacing w:val="-6"/>
          <w:sz w:val="28"/>
        </w:rPr>
        <w:t> </w:t>
      </w:r>
      <w:r>
        <w:rPr>
          <w:sz w:val="28"/>
        </w:rPr>
        <w:t>regulations</w:t>
      </w:r>
      <w:r>
        <w:rPr>
          <w:spacing w:val="-7"/>
          <w:sz w:val="28"/>
        </w:rPr>
        <w:t> </w:t>
      </w:r>
      <w:r>
        <w:rPr>
          <w:sz w:val="28"/>
        </w:rPr>
        <w:t>and</w:t>
      </w:r>
      <w:r>
        <w:rPr>
          <w:spacing w:val="-7"/>
          <w:sz w:val="28"/>
        </w:rPr>
        <w:t> </w:t>
      </w:r>
      <w:r>
        <w:rPr>
          <w:spacing w:val="-2"/>
          <w:sz w:val="28"/>
        </w:rPr>
        <w:t>administrative</w:t>
      </w:r>
    </w:p>
    <w:p>
      <w:pPr>
        <w:pStyle w:val="BodyText"/>
        <w:spacing w:line="232" w:lineRule="auto" w:before="2"/>
        <w:ind w:left="1060" w:right="1250"/>
      </w:pPr>
      <w:r>
        <w:rPr/>
        <w:t>provisions necessary to comply with this Directive by 7 June 2026. States must immediately</w:t>
      </w:r>
      <w:r>
        <w:rPr>
          <w:spacing w:val="-8"/>
        </w:rPr>
        <w:t> </w:t>
      </w:r>
      <w:r>
        <w:rPr/>
        <w:t>inform</w:t>
      </w:r>
      <w:r>
        <w:rPr>
          <w:spacing w:val="-8"/>
        </w:rPr>
        <w:t> </w:t>
      </w:r>
      <w:r>
        <w:rPr/>
        <w:t>the</w:t>
      </w:r>
      <w:r>
        <w:rPr>
          <w:spacing w:val="-8"/>
        </w:rPr>
        <w:t> </w:t>
      </w:r>
      <w:r>
        <w:rPr/>
        <w:t>Commission</w:t>
      </w:r>
      <w:r>
        <w:rPr>
          <w:spacing w:val="-9"/>
        </w:rPr>
        <w:t> </w:t>
      </w:r>
      <w:r>
        <w:rPr/>
        <w:t>thereof,</w:t>
      </w:r>
      <w:r>
        <w:rPr>
          <w:spacing w:val="-8"/>
        </w:rPr>
        <w:t> </w:t>
      </w:r>
      <w:r>
        <w:rPr/>
        <w:t>including</w:t>
      </w:r>
      <w:r>
        <w:rPr>
          <w:spacing w:val="-8"/>
        </w:rPr>
        <w:t> </w:t>
      </w:r>
      <w:r>
        <w:rPr/>
        <w:t>by</w:t>
      </w:r>
      <w:r>
        <w:rPr>
          <w:spacing w:val="-8"/>
        </w:rPr>
        <w:t> </w:t>
      </w:r>
      <w:r>
        <w:rPr/>
        <w:t>providing</w:t>
      </w:r>
      <w:r>
        <w:rPr>
          <w:spacing w:val="-8"/>
        </w:rPr>
        <w:t> </w:t>
      </w:r>
      <w:r>
        <w:rPr/>
        <w:t>a</w:t>
      </w:r>
      <w:r>
        <w:rPr>
          <w:spacing w:val="-9"/>
        </w:rPr>
        <w:t> </w:t>
      </w:r>
      <w:r>
        <w:rPr/>
        <w:t>summary of the results of an assessment regarding the impact of their transposition measures on workers and employers with fewer than 250 workers and a reference to where such assessment is published (Article 34).</w:t>
      </w:r>
    </w:p>
    <w:p>
      <w:pPr>
        <w:pStyle w:val="ListParagraph"/>
        <w:numPr>
          <w:ilvl w:val="3"/>
          <w:numId w:val="28"/>
        </w:numPr>
        <w:tabs>
          <w:tab w:pos="1060" w:val="left" w:leader="none"/>
        </w:tabs>
        <w:spacing w:line="320" w:lineRule="exact" w:before="0" w:after="0"/>
        <w:ind w:left="1060" w:right="0" w:hanging="340"/>
        <w:jc w:val="left"/>
        <w:rPr>
          <w:sz w:val="28"/>
        </w:rPr>
      </w:pPr>
      <w:r>
        <w:rPr>
          <w:sz w:val="28"/>
        </w:rPr>
        <w:t>Member</w:t>
      </w:r>
      <w:r>
        <w:rPr>
          <w:spacing w:val="-6"/>
          <w:sz w:val="28"/>
        </w:rPr>
        <w:t> </w:t>
      </w:r>
      <w:r>
        <w:rPr>
          <w:sz w:val="28"/>
        </w:rPr>
        <w:t>States</w:t>
      </w:r>
      <w:r>
        <w:rPr>
          <w:spacing w:val="-7"/>
          <w:sz w:val="28"/>
        </w:rPr>
        <w:t> </w:t>
      </w:r>
      <w:r>
        <w:rPr>
          <w:sz w:val="28"/>
        </w:rPr>
        <w:t>must</w:t>
      </w:r>
      <w:r>
        <w:rPr>
          <w:spacing w:val="-6"/>
          <w:sz w:val="28"/>
        </w:rPr>
        <w:t> </w:t>
      </w:r>
      <w:r>
        <w:rPr>
          <w:sz w:val="28"/>
        </w:rPr>
        <w:t>bring</w:t>
      </w:r>
      <w:r>
        <w:rPr>
          <w:spacing w:val="-6"/>
          <w:sz w:val="28"/>
        </w:rPr>
        <w:t> </w:t>
      </w:r>
      <w:r>
        <w:rPr>
          <w:sz w:val="28"/>
        </w:rPr>
        <w:t>into</w:t>
      </w:r>
      <w:r>
        <w:rPr>
          <w:spacing w:val="-7"/>
          <w:sz w:val="28"/>
        </w:rPr>
        <w:t> </w:t>
      </w:r>
      <w:r>
        <w:rPr>
          <w:sz w:val="28"/>
        </w:rPr>
        <w:t>force</w:t>
      </w:r>
      <w:r>
        <w:rPr>
          <w:spacing w:val="-6"/>
          <w:sz w:val="28"/>
        </w:rPr>
        <w:t> </w:t>
      </w:r>
      <w:r>
        <w:rPr>
          <w:sz w:val="28"/>
        </w:rPr>
        <w:t>the</w:t>
      </w:r>
      <w:r>
        <w:rPr>
          <w:spacing w:val="-6"/>
          <w:sz w:val="28"/>
        </w:rPr>
        <w:t> </w:t>
      </w:r>
      <w:r>
        <w:rPr>
          <w:sz w:val="28"/>
        </w:rPr>
        <w:t>laws,</w:t>
      </w:r>
      <w:r>
        <w:rPr>
          <w:spacing w:val="-6"/>
          <w:sz w:val="28"/>
        </w:rPr>
        <w:t> </w:t>
      </w:r>
      <w:r>
        <w:rPr>
          <w:sz w:val="28"/>
        </w:rPr>
        <w:t>regulations</w:t>
      </w:r>
      <w:r>
        <w:rPr>
          <w:spacing w:val="-7"/>
          <w:sz w:val="28"/>
        </w:rPr>
        <w:t> </w:t>
      </w:r>
      <w:r>
        <w:rPr>
          <w:sz w:val="28"/>
        </w:rPr>
        <w:t>and</w:t>
      </w:r>
      <w:r>
        <w:rPr>
          <w:spacing w:val="-7"/>
          <w:sz w:val="28"/>
        </w:rPr>
        <w:t> </w:t>
      </w:r>
      <w:r>
        <w:rPr>
          <w:spacing w:val="-2"/>
          <w:sz w:val="28"/>
        </w:rPr>
        <w:t>administrative</w:t>
      </w:r>
    </w:p>
    <w:p>
      <w:pPr>
        <w:pStyle w:val="BodyText"/>
        <w:spacing w:line="336" w:lineRule="exact"/>
        <w:ind w:left="1060"/>
      </w:pPr>
      <w:r>
        <w:rPr/>
        <w:t>provisions</w:t>
      </w:r>
      <w:r>
        <w:rPr>
          <w:spacing w:val="-5"/>
        </w:rPr>
        <w:t> </w:t>
      </w:r>
      <w:r>
        <w:rPr/>
        <w:t>necessary</w:t>
      </w:r>
      <w:r>
        <w:rPr>
          <w:spacing w:val="-4"/>
        </w:rPr>
        <w:t> </w:t>
      </w:r>
      <w:r>
        <w:rPr/>
        <w:t>to</w:t>
      </w:r>
      <w:r>
        <w:rPr>
          <w:spacing w:val="-5"/>
        </w:rPr>
        <w:t> </w:t>
      </w:r>
      <w:r>
        <w:rPr/>
        <w:t>comply</w:t>
      </w:r>
      <w:r>
        <w:rPr>
          <w:spacing w:val="-3"/>
        </w:rPr>
        <w:t> </w:t>
      </w:r>
      <w:r>
        <w:rPr/>
        <w:t>with</w:t>
      </w:r>
      <w:r>
        <w:rPr>
          <w:spacing w:val="-5"/>
        </w:rPr>
        <w:t> </w:t>
      </w:r>
      <w:r>
        <w:rPr/>
        <w:t>this</w:t>
      </w:r>
      <w:r>
        <w:rPr>
          <w:spacing w:val="-5"/>
        </w:rPr>
        <w:t> </w:t>
      </w:r>
      <w:r>
        <w:rPr/>
        <w:t>Directive</w:t>
      </w:r>
      <w:r>
        <w:rPr>
          <w:spacing w:val="-4"/>
        </w:rPr>
        <w:t> </w:t>
      </w:r>
      <w:r>
        <w:rPr/>
        <w:t>by</w:t>
      </w:r>
      <w:r>
        <w:rPr>
          <w:spacing w:val="-3"/>
        </w:rPr>
        <w:t> </w:t>
      </w:r>
      <w:r>
        <w:rPr/>
        <w:t>7</w:t>
      </w:r>
      <w:r>
        <w:rPr>
          <w:spacing w:val="-4"/>
        </w:rPr>
        <w:t> </w:t>
      </w:r>
      <w:r>
        <w:rPr/>
        <w:t>June</w:t>
      </w:r>
      <w:r>
        <w:rPr>
          <w:spacing w:val="-4"/>
        </w:rPr>
        <w:t> </w:t>
      </w:r>
      <w:r>
        <w:rPr>
          <w:spacing w:val="-2"/>
        </w:rPr>
        <w:t>2026.</w:t>
      </w:r>
    </w:p>
    <w:p>
      <w:pPr>
        <w:pStyle w:val="BodyText"/>
        <w:spacing w:line="230" w:lineRule="auto" w:before="283"/>
        <w:ind w:left="720" w:right="1143"/>
        <w:rPr>
          <w:sz w:val="16"/>
        </w:rPr>
      </w:pPr>
      <w:r>
        <w:rPr/>
        <w:t>The application of the Pay Transparency Directive (EU Directive 2023/970) is inherently linked with an Annex 1 Directive: that is, the Gender Employment Directive.</w:t>
      </w:r>
      <w:r>
        <w:rPr>
          <w:vertAlign w:val="superscript"/>
        </w:rPr>
        <w:t>450</w:t>
      </w:r>
      <w:r>
        <w:rPr>
          <w:spacing w:val="-10"/>
          <w:vertAlign w:val="baseline"/>
        </w:rPr>
        <w:t> </w:t>
      </w:r>
      <w:r>
        <w:rPr>
          <w:vertAlign w:val="baseline"/>
        </w:rPr>
        <w:t>Indeed,</w:t>
      </w:r>
      <w:r>
        <w:rPr>
          <w:spacing w:val="-9"/>
          <w:vertAlign w:val="baseline"/>
        </w:rPr>
        <w:t> </w:t>
      </w:r>
      <w:r>
        <w:rPr>
          <w:vertAlign w:val="baseline"/>
        </w:rPr>
        <w:t>it</w:t>
      </w:r>
      <w:r>
        <w:rPr>
          <w:spacing w:val="-9"/>
          <w:vertAlign w:val="baseline"/>
        </w:rPr>
        <w:t> </w:t>
      </w:r>
      <w:r>
        <w:rPr>
          <w:vertAlign w:val="baseline"/>
        </w:rPr>
        <w:t>promotes</w:t>
      </w:r>
      <w:r>
        <w:rPr>
          <w:spacing w:val="-10"/>
          <w:vertAlign w:val="baseline"/>
        </w:rPr>
        <w:t> </w:t>
      </w:r>
      <w:r>
        <w:rPr>
          <w:vertAlign w:val="baseline"/>
        </w:rPr>
        <w:t>pay</w:t>
      </w:r>
      <w:r>
        <w:rPr>
          <w:spacing w:val="-9"/>
          <w:vertAlign w:val="baseline"/>
        </w:rPr>
        <w:t> </w:t>
      </w:r>
      <w:r>
        <w:rPr>
          <w:vertAlign w:val="baseline"/>
        </w:rPr>
        <w:t>transparency</w:t>
      </w:r>
      <w:r>
        <w:rPr>
          <w:spacing w:val="-9"/>
          <w:vertAlign w:val="baseline"/>
        </w:rPr>
        <w:t> </w:t>
      </w:r>
      <w:r>
        <w:rPr>
          <w:vertAlign w:val="baseline"/>
        </w:rPr>
        <w:t>prior</w:t>
      </w:r>
      <w:r>
        <w:rPr>
          <w:spacing w:val="-9"/>
          <w:vertAlign w:val="baseline"/>
        </w:rPr>
        <w:t> </w:t>
      </w:r>
      <w:r>
        <w:rPr>
          <w:vertAlign w:val="baseline"/>
        </w:rPr>
        <w:t>to</w:t>
      </w:r>
      <w:r>
        <w:rPr>
          <w:spacing w:val="-10"/>
          <w:vertAlign w:val="baseline"/>
        </w:rPr>
        <w:t> </w:t>
      </w:r>
      <w:r>
        <w:rPr>
          <w:vertAlign w:val="baseline"/>
        </w:rPr>
        <w:t>and</w:t>
      </w:r>
      <w:r>
        <w:rPr>
          <w:spacing w:val="-10"/>
          <w:vertAlign w:val="baseline"/>
        </w:rPr>
        <w:t> </w:t>
      </w:r>
      <w:r>
        <w:rPr>
          <w:vertAlign w:val="baseline"/>
        </w:rPr>
        <w:t>during</w:t>
      </w:r>
      <w:r>
        <w:rPr>
          <w:spacing w:val="-9"/>
          <w:vertAlign w:val="baseline"/>
        </w:rPr>
        <w:t> </w:t>
      </w:r>
      <w:r>
        <w:rPr>
          <w:vertAlign w:val="baseline"/>
        </w:rPr>
        <w:t>employment, and encourages measures to address the gender pay gap by allowing employers and women to detect and avoid discriminatory pay patterns. The ECNI and NIHRC have concluded</w:t>
      </w:r>
      <w:r>
        <w:rPr>
          <w:spacing w:val="-1"/>
          <w:vertAlign w:val="baseline"/>
        </w:rPr>
        <w:t> </w:t>
      </w:r>
      <w:r>
        <w:rPr>
          <w:vertAlign w:val="baseline"/>
        </w:rPr>
        <w:t>that this</w:t>
      </w:r>
      <w:r>
        <w:rPr>
          <w:spacing w:val="-1"/>
          <w:vertAlign w:val="baseline"/>
        </w:rPr>
        <w:t> </w:t>
      </w:r>
      <w:r>
        <w:rPr>
          <w:vertAlign w:val="baseline"/>
        </w:rPr>
        <w:t>Directive triggers</w:t>
      </w:r>
      <w:r>
        <w:rPr>
          <w:spacing w:val="-1"/>
          <w:vertAlign w:val="baseline"/>
        </w:rPr>
        <w:t> </w:t>
      </w:r>
      <w:r>
        <w:rPr>
          <w:vertAlign w:val="baseline"/>
        </w:rPr>
        <w:t>the keeping pace obligations</w:t>
      </w:r>
      <w:r>
        <w:rPr>
          <w:spacing w:val="-1"/>
          <w:vertAlign w:val="baseline"/>
        </w:rPr>
        <w:t> </w:t>
      </w:r>
      <w:r>
        <w:rPr>
          <w:vertAlign w:val="baseline"/>
        </w:rPr>
        <w:t>in</w:t>
      </w:r>
      <w:r>
        <w:rPr>
          <w:spacing w:val="-1"/>
          <w:vertAlign w:val="baseline"/>
        </w:rPr>
        <w:t> </w:t>
      </w:r>
      <w:r>
        <w:rPr>
          <w:vertAlign w:val="baseline"/>
        </w:rPr>
        <w:t>Article 2 </w:t>
      </w:r>
      <w:r>
        <w:rPr>
          <w:position w:val="-8"/>
          <w:vertAlign w:val="baseline"/>
        </w:rPr>
        <w:t>WF.</w:t>
      </w:r>
      <w:r>
        <w:rPr>
          <w:spacing w:val="-27"/>
          <w:position w:val="-8"/>
          <w:vertAlign w:val="baseline"/>
        </w:rPr>
        <w:t> </w:t>
      </w:r>
      <w:r>
        <w:rPr>
          <w:sz w:val="16"/>
          <w:vertAlign w:val="baseline"/>
        </w:rPr>
        <w:t>451</w:t>
      </w:r>
    </w:p>
    <w:p>
      <w:pPr>
        <w:pStyle w:val="BodyText"/>
        <w:spacing w:line="232" w:lineRule="auto" w:before="294"/>
        <w:ind w:left="720" w:right="1404"/>
      </w:pPr>
      <w:r>
        <w:rPr/>
        <w:t>At</w:t>
      </w:r>
      <w:r>
        <w:rPr>
          <w:spacing w:val="-6"/>
        </w:rPr>
        <w:t> </w:t>
      </w:r>
      <w:r>
        <w:rPr/>
        <w:t>present,</w:t>
      </w:r>
      <w:r>
        <w:rPr>
          <w:spacing w:val="-6"/>
        </w:rPr>
        <w:t> </w:t>
      </w:r>
      <w:r>
        <w:rPr/>
        <w:t>Section</w:t>
      </w:r>
      <w:r>
        <w:rPr>
          <w:spacing w:val="-7"/>
        </w:rPr>
        <w:t> </w:t>
      </w:r>
      <w:r>
        <w:rPr/>
        <w:t>19</w:t>
      </w:r>
      <w:r>
        <w:rPr>
          <w:spacing w:val="-6"/>
        </w:rPr>
        <w:t> </w:t>
      </w:r>
      <w:r>
        <w:rPr/>
        <w:t>of</w:t>
      </w:r>
      <w:r>
        <w:rPr>
          <w:spacing w:val="-7"/>
        </w:rPr>
        <w:t> </w:t>
      </w:r>
      <w:r>
        <w:rPr/>
        <w:t>the</w:t>
      </w:r>
      <w:r>
        <w:rPr>
          <w:spacing w:val="-6"/>
        </w:rPr>
        <w:t> </w:t>
      </w:r>
      <w:r>
        <w:rPr/>
        <w:t>Employment</w:t>
      </w:r>
      <w:r>
        <w:rPr>
          <w:spacing w:val="-6"/>
        </w:rPr>
        <w:t> </w:t>
      </w:r>
      <w:r>
        <w:rPr/>
        <w:t>Act</w:t>
      </w:r>
      <w:r>
        <w:rPr>
          <w:spacing w:val="-6"/>
        </w:rPr>
        <w:t> </w:t>
      </w:r>
      <w:r>
        <w:rPr/>
        <w:t>(Northern</w:t>
      </w:r>
      <w:r>
        <w:rPr>
          <w:spacing w:val="-7"/>
        </w:rPr>
        <w:t> </w:t>
      </w:r>
      <w:r>
        <w:rPr/>
        <w:t>Ireland)</w:t>
      </w:r>
      <w:r>
        <w:rPr>
          <w:spacing w:val="-7"/>
        </w:rPr>
        <w:t> </w:t>
      </w:r>
      <w:r>
        <w:rPr/>
        <w:t>2016</w:t>
      </w:r>
      <w:r>
        <w:rPr>
          <w:spacing w:val="-6"/>
        </w:rPr>
        <w:t> </w:t>
      </w:r>
      <w:r>
        <w:rPr/>
        <w:t>requires that employers publish information relating to the pay of employees for the purpose of showing whether by reference to factors of such description as is prescribed, there are differences in the pay of male and female employees.</w:t>
      </w:r>
    </w:p>
    <w:p>
      <w:pPr>
        <w:pStyle w:val="BodyText"/>
        <w:spacing w:line="232" w:lineRule="auto"/>
        <w:ind w:left="720" w:right="1087"/>
      </w:pPr>
      <w:r>
        <w:rPr/>
        <w:t>However</w:t>
      </w:r>
      <w:r>
        <w:rPr>
          <w:spacing w:val="-5"/>
        </w:rPr>
        <w:t> </w:t>
      </w:r>
      <w:r>
        <w:rPr/>
        <w:t>as</w:t>
      </w:r>
      <w:r>
        <w:rPr>
          <w:spacing w:val="-6"/>
        </w:rPr>
        <w:t> </w:t>
      </w:r>
      <w:r>
        <w:rPr/>
        <w:t>of</w:t>
      </w:r>
      <w:r>
        <w:rPr>
          <w:spacing w:val="-6"/>
        </w:rPr>
        <w:t> </w:t>
      </w:r>
      <w:r>
        <w:rPr/>
        <w:t>the</w:t>
      </w:r>
      <w:r>
        <w:rPr>
          <w:spacing w:val="-5"/>
        </w:rPr>
        <w:t> </w:t>
      </w:r>
      <w:r>
        <w:rPr/>
        <w:t>date</w:t>
      </w:r>
      <w:r>
        <w:rPr>
          <w:spacing w:val="-5"/>
        </w:rPr>
        <w:t> </w:t>
      </w:r>
      <w:r>
        <w:rPr/>
        <w:t>of</w:t>
      </w:r>
      <w:r>
        <w:rPr>
          <w:spacing w:val="-6"/>
        </w:rPr>
        <w:t> </w:t>
      </w:r>
      <w:r>
        <w:rPr/>
        <w:t>the</w:t>
      </w:r>
      <w:r>
        <w:rPr>
          <w:spacing w:val="-5"/>
        </w:rPr>
        <w:t> </w:t>
      </w:r>
      <w:r>
        <w:rPr/>
        <w:t>report,</w:t>
      </w:r>
      <w:r>
        <w:rPr>
          <w:spacing w:val="-5"/>
        </w:rPr>
        <w:t> </w:t>
      </w:r>
      <w:r>
        <w:rPr/>
        <w:t>Section</w:t>
      </w:r>
      <w:r>
        <w:rPr>
          <w:spacing w:val="-6"/>
        </w:rPr>
        <w:t> </w:t>
      </w:r>
      <w:r>
        <w:rPr/>
        <w:t>19</w:t>
      </w:r>
      <w:r>
        <w:rPr>
          <w:spacing w:val="-5"/>
        </w:rPr>
        <w:t> </w:t>
      </w:r>
      <w:r>
        <w:rPr/>
        <w:t>has</w:t>
      </w:r>
      <w:r>
        <w:rPr>
          <w:spacing w:val="-6"/>
        </w:rPr>
        <w:t> </w:t>
      </w:r>
      <w:r>
        <w:rPr/>
        <w:t>not</w:t>
      </w:r>
      <w:r>
        <w:rPr>
          <w:spacing w:val="-5"/>
        </w:rPr>
        <w:t> </w:t>
      </w:r>
      <w:r>
        <w:rPr/>
        <w:t>been</w:t>
      </w:r>
      <w:r>
        <w:rPr>
          <w:spacing w:val="-6"/>
        </w:rPr>
        <w:t> </w:t>
      </w:r>
      <w:r>
        <w:rPr/>
        <w:t>brought</w:t>
      </w:r>
      <w:r>
        <w:rPr>
          <w:spacing w:val="-5"/>
        </w:rPr>
        <w:t> </w:t>
      </w:r>
      <w:r>
        <w:rPr/>
        <w:t>into</w:t>
      </w:r>
      <w:r>
        <w:rPr>
          <w:spacing w:val="-6"/>
        </w:rPr>
        <w:t> </w:t>
      </w:r>
      <w:r>
        <w:rPr/>
        <w:t>force (see above section 3.4.1).</w:t>
      </w:r>
    </w:p>
    <w:p>
      <w:pPr>
        <w:pStyle w:val="BodyText"/>
        <w:spacing w:before="10"/>
        <w:rPr>
          <w:sz w:val="19"/>
        </w:rPr>
      </w:pPr>
      <w:r>
        <w:rPr/>
        <mc:AlternateContent>
          <mc:Choice Requires="wps">
            <w:drawing>
              <wp:anchor distT="0" distB="0" distL="0" distR="0" allowOverlap="1" layoutInCell="1" locked="0" behindDoc="1" simplePos="0" relativeHeight="487726592">
                <wp:simplePos x="0" y="0"/>
                <wp:positionH relativeFrom="page">
                  <wp:posOffset>647994</wp:posOffset>
                </wp:positionH>
                <wp:positionV relativeFrom="paragraph">
                  <wp:posOffset>168914</wp:posOffset>
                </wp:positionV>
                <wp:extent cx="6012180" cy="813435"/>
                <wp:effectExtent l="0" t="0" r="0" b="0"/>
                <wp:wrapTopAndBottom/>
                <wp:docPr id="730" name="Group 730"/>
                <wp:cNvGraphicFramePr>
                  <a:graphicFrameLocks/>
                </wp:cNvGraphicFramePr>
                <a:graphic>
                  <a:graphicData uri="http://schemas.microsoft.com/office/word/2010/wordprocessingGroup">
                    <wpg:wgp>
                      <wpg:cNvPr id="730" name="Group 730"/>
                      <wpg:cNvGrpSpPr/>
                      <wpg:grpSpPr>
                        <a:xfrm>
                          <a:off x="0" y="0"/>
                          <a:ext cx="6012180" cy="813435"/>
                          <a:chExt cx="6012180" cy="813435"/>
                        </a:xfrm>
                      </wpg:grpSpPr>
                      <wps:wsp>
                        <wps:cNvPr id="731" name="Graphic 731"/>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732" name="Textbox 732"/>
                        <wps:cNvSpPr txBox="1"/>
                        <wps:spPr>
                          <a:xfrm>
                            <a:off x="0" y="0"/>
                            <a:ext cx="6012180" cy="813435"/>
                          </a:xfrm>
                          <a:prstGeom prst="rect">
                            <a:avLst/>
                          </a:prstGeom>
                        </wps:spPr>
                        <wps:txbx>
                          <w:txbxContent>
                            <w:p>
                              <w:pPr>
                                <w:spacing w:line="232" w:lineRule="auto" w:before="121"/>
                                <w:ind w:left="340" w:right="1113" w:firstLine="0"/>
                                <w:jc w:val="both"/>
                                <w:rPr>
                                  <w:b/>
                                  <w:sz w:val="28"/>
                                </w:rPr>
                              </w:pPr>
                              <w:r>
                                <w:rPr>
                                  <w:b/>
                                  <w:color w:val="164194"/>
                                  <w:sz w:val="28"/>
                                </w:rPr>
                                <w:t>We</w:t>
                              </w:r>
                              <w:r>
                                <w:rPr>
                                  <w:b/>
                                  <w:color w:val="164194"/>
                                  <w:spacing w:val="-9"/>
                                  <w:sz w:val="28"/>
                                </w:rPr>
                                <w:t> </w:t>
                              </w:r>
                              <w:r>
                                <w:rPr>
                                  <w:b/>
                                  <w:color w:val="164194"/>
                                  <w:sz w:val="28"/>
                                </w:rPr>
                                <w:t>agree</w:t>
                              </w:r>
                              <w:r>
                                <w:rPr>
                                  <w:b/>
                                  <w:color w:val="164194"/>
                                  <w:spacing w:val="-9"/>
                                  <w:sz w:val="28"/>
                                </w:rPr>
                                <w:t> </w:t>
                              </w:r>
                              <w:r>
                                <w:rPr>
                                  <w:b/>
                                  <w:color w:val="164194"/>
                                  <w:sz w:val="28"/>
                                </w:rPr>
                                <w:t>with</w:t>
                              </w:r>
                              <w:r>
                                <w:rPr>
                                  <w:b/>
                                  <w:color w:val="164194"/>
                                  <w:spacing w:val="-8"/>
                                  <w:sz w:val="28"/>
                                </w:rPr>
                                <w:t> </w:t>
                              </w:r>
                              <w:r>
                                <w:rPr>
                                  <w:b/>
                                  <w:color w:val="164194"/>
                                  <w:sz w:val="28"/>
                                </w:rPr>
                                <w:t>the</w:t>
                              </w:r>
                              <w:r>
                                <w:rPr>
                                  <w:b/>
                                  <w:color w:val="164194"/>
                                  <w:spacing w:val="-9"/>
                                  <w:sz w:val="28"/>
                                </w:rPr>
                                <w:t> </w:t>
                              </w:r>
                              <w:r>
                                <w:rPr>
                                  <w:b/>
                                  <w:color w:val="164194"/>
                                  <w:sz w:val="28"/>
                                </w:rPr>
                                <w:t>ECNI</w:t>
                              </w:r>
                              <w:r>
                                <w:rPr>
                                  <w:b/>
                                  <w:color w:val="164194"/>
                                  <w:spacing w:val="-8"/>
                                  <w:sz w:val="28"/>
                                </w:rPr>
                                <w:t> </w:t>
                              </w:r>
                              <w:r>
                                <w:rPr>
                                  <w:b/>
                                  <w:color w:val="164194"/>
                                  <w:sz w:val="28"/>
                                </w:rPr>
                                <w:t>and</w:t>
                              </w:r>
                              <w:r>
                                <w:rPr>
                                  <w:b/>
                                  <w:color w:val="164194"/>
                                  <w:spacing w:val="-8"/>
                                  <w:sz w:val="28"/>
                                </w:rPr>
                                <w:t> </w:t>
                              </w:r>
                              <w:r>
                                <w:rPr>
                                  <w:b/>
                                  <w:color w:val="164194"/>
                                  <w:sz w:val="28"/>
                                </w:rPr>
                                <w:t>NIHRC</w:t>
                              </w:r>
                              <w:r>
                                <w:rPr>
                                  <w:b/>
                                  <w:color w:val="164194"/>
                                  <w:spacing w:val="-9"/>
                                  <w:sz w:val="28"/>
                                </w:rPr>
                                <w:t> </w:t>
                              </w:r>
                              <w:r>
                                <w:rPr>
                                  <w:b/>
                                  <w:color w:val="164194"/>
                                  <w:sz w:val="28"/>
                                </w:rPr>
                                <w:t>recommendation</w:t>
                              </w:r>
                              <w:r>
                                <w:rPr>
                                  <w:b/>
                                  <w:color w:val="164194"/>
                                  <w:spacing w:val="-8"/>
                                  <w:sz w:val="28"/>
                                </w:rPr>
                                <w:t> </w:t>
                              </w:r>
                              <w:r>
                                <w:rPr>
                                  <w:b/>
                                  <w:color w:val="164194"/>
                                  <w:sz w:val="28"/>
                                </w:rPr>
                                <w:t>that</w:t>
                              </w:r>
                              <w:r>
                                <w:rPr>
                                  <w:b/>
                                  <w:color w:val="164194"/>
                                  <w:spacing w:val="-8"/>
                                  <w:sz w:val="28"/>
                                </w:rPr>
                                <w:t> </w:t>
                              </w:r>
                              <w:r>
                                <w:rPr>
                                  <w:b/>
                                  <w:color w:val="164194"/>
                                  <w:sz w:val="28"/>
                                </w:rPr>
                                <w:t>all</w:t>
                              </w:r>
                              <w:r>
                                <w:rPr>
                                  <w:b/>
                                  <w:color w:val="164194"/>
                                  <w:spacing w:val="-8"/>
                                  <w:sz w:val="28"/>
                                </w:rPr>
                                <w:t> </w:t>
                              </w:r>
                              <w:r>
                                <w:rPr>
                                  <w:b/>
                                  <w:color w:val="164194"/>
                                  <w:sz w:val="28"/>
                                </w:rPr>
                                <w:t>relevant portions</w:t>
                              </w:r>
                              <w:r>
                                <w:rPr>
                                  <w:b/>
                                  <w:color w:val="164194"/>
                                  <w:spacing w:val="-8"/>
                                  <w:sz w:val="28"/>
                                </w:rPr>
                                <w:t> </w:t>
                              </w:r>
                              <w:r>
                                <w:rPr>
                                  <w:b/>
                                  <w:color w:val="164194"/>
                                  <w:sz w:val="28"/>
                                </w:rPr>
                                <w:t>of</w:t>
                              </w:r>
                              <w:r>
                                <w:rPr>
                                  <w:b/>
                                  <w:color w:val="164194"/>
                                  <w:spacing w:val="-9"/>
                                  <w:sz w:val="28"/>
                                </w:rPr>
                                <w:t> </w:t>
                              </w:r>
                              <w:r>
                                <w:rPr>
                                  <w:b/>
                                  <w:color w:val="164194"/>
                                  <w:sz w:val="28"/>
                                </w:rPr>
                                <w:t>the</w:t>
                              </w:r>
                              <w:r>
                                <w:rPr>
                                  <w:b/>
                                  <w:color w:val="164194"/>
                                  <w:spacing w:val="-9"/>
                                  <w:sz w:val="28"/>
                                </w:rPr>
                                <w:t> </w:t>
                              </w:r>
                              <w:r>
                                <w:rPr>
                                  <w:b/>
                                  <w:color w:val="164194"/>
                                  <w:sz w:val="28"/>
                                </w:rPr>
                                <w:t>Pay</w:t>
                              </w:r>
                              <w:r>
                                <w:rPr>
                                  <w:b/>
                                  <w:color w:val="164194"/>
                                  <w:spacing w:val="-8"/>
                                  <w:sz w:val="28"/>
                                </w:rPr>
                                <w:t> </w:t>
                              </w:r>
                              <w:r>
                                <w:rPr>
                                  <w:b/>
                                  <w:color w:val="164194"/>
                                  <w:sz w:val="28"/>
                                </w:rPr>
                                <w:t>Transparency</w:t>
                              </w:r>
                              <w:r>
                                <w:rPr>
                                  <w:b/>
                                  <w:color w:val="164194"/>
                                  <w:spacing w:val="-8"/>
                                  <w:sz w:val="28"/>
                                </w:rPr>
                                <w:t> </w:t>
                              </w:r>
                              <w:r>
                                <w:rPr>
                                  <w:b/>
                                  <w:color w:val="164194"/>
                                  <w:sz w:val="28"/>
                                </w:rPr>
                                <w:t>Directive</w:t>
                              </w:r>
                              <w:r>
                                <w:rPr>
                                  <w:b/>
                                  <w:color w:val="164194"/>
                                  <w:spacing w:val="-9"/>
                                  <w:sz w:val="28"/>
                                </w:rPr>
                                <w:t> </w:t>
                              </w:r>
                              <w:r>
                                <w:rPr>
                                  <w:b/>
                                  <w:color w:val="164194"/>
                                  <w:sz w:val="28"/>
                                </w:rPr>
                                <w:t>should</w:t>
                              </w:r>
                              <w:r>
                                <w:rPr>
                                  <w:b/>
                                  <w:color w:val="164194"/>
                                  <w:spacing w:val="-8"/>
                                  <w:sz w:val="28"/>
                                </w:rPr>
                                <w:t> </w:t>
                              </w:r>
                              <w:r>
                                <w:rPr>
                                  <w:b/>
                                  <w:color w:val="164194"/>
                                  <w:sz w:val="28"/>
                                </w:rPr>
                                <w:t>be</w:t>
                              </w:r>
                              <w:r>
                                <w:rPr>
                                  <w:b/>
                                  <w:color w:val="164194"/>
                                  <w:spacing w:val="-9"/>
                                  <w:sz w:val="28"/>
                                </w:rPr>
                                <w:t> </w:t>
                              </w:r>
                              <w:r>
                                <w:rPr>
                                  <w:b/>
                                  <w:color w:val="164194"/>
                                  <w:sz w:val="28"/>
                                </w:rPr>
                                <w:t>transposed</w:t>
                              </w:r>
                              <w:r>
                                <w:rPr>
                                  <w:b/>
                                  <w:color w:val="164194"/>
                                  <w:spacing w:val="-8"/>
                                  <w:sz w:val="28"/>
                                </w:rPr>
                                <w:t> </w:t>
                              </w:r>
                              <w:r>
                                <w:rPr>
                                  <w:b/>
                                  <w:color w:val="164194"/>
                                  <w:sz w:val="28"/>
                                </w:rPr>
                                <w:t>into Northern Ireland law, further to obligations in the WF.</w:t>
                              </w:r>
                            </w:p>
                          </w:txbxContent>
                        </wps:txbx>
                        <wps:bodyPr wrap="square" lIns="0" tIns="0" rIns="0" bIns="0" rtlCol="0">
                          <a:noAutofit/>
                        </wps:bodyPr>
                      </wps:wsp>
                    </wpg:wgp>
                  </a:graphicData>
                </a:graphic>
              </wp:anchor>
            </w:drawing>
          </mc:Choice>
          <mc:Fallback>
            <w:pict>
              <v:group style="position:absolute;margin-left:51.023201pt;margin-top:13.300378pt;width:473.4pt;height:64.05pt;mso-position-horizontal-relative:page;mso-position-vertical-relative:paragraph;z-index:-15589888;mso-wrap-distance-left:0;mso-wrap-distance-right:0" id="docshapegroup592" coordorigin="1020,266" coordsize="9468,1281">
                <v:shape style="position:absolute;left:1020;top:266;width:9468;height:1281" id="docshape593" coordorigin="1020,266" coordsize="9468,1281" path="m10261,266l1247,266,1176,278,1113,310,1064,359,1032,421,1020,493,1020,1319,1032,1391,1064,1453,1113,1502,1176,1535,1247,1546,10261,1546,10333,1535,10395,1502,10444,1453,10477,1391,10488,1319,10488,493,10477,421,10444,359,10395,310,10333,278,10261,266xe" filled="true" fillcolor="#e9f3fc" stroked="false">
                  <v:path arrowok="t"/>
                  <v:fill type="solid"/>
                </v:shape>
                <v:shape style="position:absolute;left:1020;top:266;width:9468;height:1281" type="#_x0000_t202" id="docshape594" filled="false" stroked="false">
                  <v:textbox inset="0,0,0,0">
                    <w:txbxContent>
                      <w:p>
                        <w:pPr>
                          <w:spacing w:line="232" w:lineRule="auto" w:before="121"/>
                          <w:ind w:left="340" w:right="1113" w:firstLine="0"/>
                          <w:jc w:val="both"/>
                          <w:rPr>
                            <w:b/>
                            <w:sz w:val="28"/>
                          </w:rPr>
                        </w:pPr>
                        <w:r>
                          <w:rPr>
                            <w:b/>
                            <w:color w:val="164194"/>
                            <w:sz w:val="28"/>
                          </w:rPr>
                          <w:t>We</w:t>
                        </w:r>
                        <w:r>
                          <w:rPr>
                            <w:b/>
                            <w:color w:val="164194"/>
                            <w:spacing w:val="-9"/>
                            <w:sz w:val="28"/>
                          </w:rPr>
                          <w:t> </w:t>
                        </w:r>
                        <w:r>
                          <w:rPr>
                            <w:b/>
                            <w:color w:val="164194"/>
                            <w:sz w:val="28"/>
                          </w:rPr>
                          <w:t>agree</w:t>
                        </w:r>
                        <w:r>
                          <w:rPr>
                            <w:b/>
                            <w:color w:val="164194"/>
                            <w:spacing w:val="-9"/>
                            <w:sz w:val="28"/>
                          </w:rPr>
                          <w:t> </w:t>
                        </w:r>
                        <w:r>
                          <w:rPr>
                            <w:b/>
                            <w:color w:val="164194"/>
                            <w:sz w:val="28"/>
                          </w:rPr>
                          <w:t>with</w:t>
                        </w:r>
                        <w:r>
                          <w:rPr>
                            <w:b/>
                            <w:color w:val="164194"/>
                            <w:spacing w:val="-8"/>
                            <w:sz w:val="28"/>
                          </w:rPr>
                          <w:t> </w:t>
                        </w:r>
                        <w:r>
                          <w:rPr>
                            <w:b/>
                            <w:color w:val="164194"/>
                            <w:sz w:val="28"/>
                          </w:rPr>
                          <w:t>the</w:t>
                        </w:r>
                        <w:r>
                          <w:rPr>
                            <w:b/>
                            <w:color w:val="164194"/>
                            <w:spacing w:val="-9"/>
                            <w:sz w:val="28"/>
                          </w:rPr>
                          <w:t> </w:t>
                        </w:r>
                        <w:r>
                          <w:rPr>
                            <w:b/>
                            <w:color w:val="164194"/>
                            <w:sz w:val="28"/>
                          </w:rPr>
                          <w:t>ECNI</w:t>
                        </w:r>
                        <w:r>
                          <w:rPr>
                            <w:b/>
                            <w:color w:val="164194"/>
                            <w:spacing w:val="-8"/>
                            <w:sz w:val="28"/>
                          </w:rPr>
                          <w:t> </w:t>
                        </w:r>
                        <w:r>
                          <w:rPr>
                            <w:b/>
                            <w:color w:val="164194"/>
                            <w:sz w:val="28"/>
                          </w:rPr>
                          <w:t>and</w:t>
                        </w:r>
                        <w:r>
                          <w:rPr>
                            <w:b/>
                            <w:color w:val="164194"/>
                            <w:spacing w:val="-8"/>
                            <w:sz w:val="28"/>
                          </w:rPr>
                          <w:t> </w:t>
                        </w:r>
                        <w:r>
                          <w:rPr>
                            <w:b/>
                            <w:color w:val="164194"/>
                            <w:sz w:val="28"/>
                          </w:rPr>
                          <w:t>NIHRC</w:t>
                        </w:r>
                        <w:r>
                          <w:rPr>
                            <w:b/>
                            <w:color w:val="164194"/>
                            <w:spacing w:val="-9"/>
                            <w:sz w:val="28"/>
                          </w:rPr>
                          <w:t> </w:t>
                        </w:r>
                        <w:r>
                          <w:rPr>
                            <w:b/>
                            <w:color w:val="164194"/>
                            <w:sz w:val="28"/>
                          </w:rPr>
                          <w:t>recommendation</w:t>
                        </w:r>
                        <w:r>
                          <w:rPr>
                            <w:b/>
                            <w:color w:val="164194"/>
                            <w:spacing w:val="-8"/>
                            <w:sz w:val="28"/>
                          </w:rPr>
                          <w:t> </w:t>
                        </w:r>
                        <w:r>
                          <w:rPr>
                            <w:b/>
                            <w:color w:val="164194"/>
                            <w:sz w:val="28"/>
                          </w:rPr>
                          <w:t>that</w:t>
                        </w:r>
                        <w:r>
                          <w:rPr>
                            <w:b/>
                            <w:color w:val="164194"/>
                            <w:spacing w:val="-8"/>
                            <w:sz w:val="28"/>
                          </w:rPr>
                          <w:t> </w:t>
                        </w:r>
                        <w:r>
                          <w:rPr>
                            <w:b/>
                            <w:color w:val="164194"/>
                            <w:sz w:val="28"/>
                          </w:rPr>
                          <w:t>all</w:t>
                        </w:r>
                        <w:r>
                          <w:rPr>
                            <w:b/>
                            <w:color w:val="164194"/>
                            <w:spacing w:val="-8"/>
                            <w:sz w:val="28"/>
                          </w:rPr>
                          <w:t> </w:t>
                        </w:r>
                        <w:r>
                          <w:rPr>
                            <w:b/>
                            <w:color w:val="164194"/>
                            <w:sz w:val="28"/>
                          </w:rPr>
                          <w:t>relevant portions</w:t>
                        </w:r>
                        <w:r>
                          <w:rPr>
                            <w:b/>
                            <w:color w:val="164194"/>
                            <w:spacing w:val="-8"/>
                            <w:sz w:val="28"/>
                          </w:rPr>
                          <w:t> </w:t>
                        </w:r>
                        <w:r>
                          <w:rPr>
                            <w:b/>
                            <w:color w:val="164194"/>
                            <w:sz w:val="28"/>
                          </w:rPr>
                          <w:t>of</w:t>
                        </w:r>
                        <w:r>
                          <w:rPr>
                            <w:b/>
                            <w:color w:val="164194"/>
                            <w:spacing w:val="-9"/>
                            <w:sz w:val="28"/>
                          </w:rPr>
                          <w:t> </w:t>
                        </w:r>
                        <w:r>
                          <w:rPr>
                            <w:b/>
                            <w:color w:val="164194"/>
                            <w:sz w:val="28"/>
                          </w:rPr>
                          <w:t>the</w:t>
                        </w:r>
                        <w:r>
                          <w:rPr>
                            <w:b/>
                            <w:color w:val="164194"/>
                            <w:spacing w:val="-9"/>
                            <w:sz w:val="28"/>
                          </w:rPr>
                          <w:t> </w:t>
                        </w:r>
                        <w:r>
                          <w:rPr>
                            <w:b/>
                            <w:color w:val="164194"/>
                            <w:sz w:val="28"/>
                          </w:rPr>
                          <w:t>Pay</w:t>
                        </w:r>
                        <w:r>
                          <w:rPr>
                            <w:b/>
                            <w:color w:val="164194"/>
                            <w:spacing w:val="-8"/>
                            <w:sz w:val="28"/>
                          </w:rPr>
                          <w:t> </w:t>
                        </w:r>
                        <w:r>
                          <w:rPr>
                            <w:b/>
                            <w:color w:val="164194"/>
                            <w:sz w:val="28"/>
                          </w:rPr>
                          <w:t>Transparency</w:t>
                        </w:r>
                        <w:r>
                          <w:rPr>
                            <w:b/>
                            <w:color w:val="164194"/>
                            <w:spacing w:val="-8"/>
                            <w:sz w:val="28"/>
                          </w:rPr>
                          <w:t> </w:t>
                        </w:r>
                        <w:r>
                          <w:rPr>
                            <w:b/>
                            <w:color w:val="164194"/>
                            <w:sz w:val="28"/>
                          </w:rPr>
                          <w:t>Directive</w:t>
                        </w:r>
                        <w:r>
                          <w:rPr>
                            <w:b/>
                            <w:color w:val="164194"/>
                            <w:spacing w:val="-9"/>
                            <w:sz w:val="28"/>
                          </w:rPr>
                          <w:t> </w:t>
                        </w:r>
                        <w:r>
                          <w:rPr>
                            <w:b/>
                            <w:color w:val="164194"/>
                            <w:sz w:val="28"/>
                          </w:rPr>
                          <w:t>should</w:t>
                        </w:r>
                        <w:r>
                          <w:rPr>
                            <w:b/>
                            <w:color w:val="164194"/>
                            <w:spacing w:val="-8"/>
                            <w:sz w:val="28"/>
                          </w:rPr>
                          <w:t> </w:t>
                        </w:r>
                        <w:r>
                          <w:rPr>
                            <w:b/>
                            <w:color w:val="164194"/>
                            <w:sz w:val="28"/>
                          </w:rPr>
                          <w:t>be</w:t>
                        </w:r>
                        <w:r>
                          <w:rPr>
                            <w:b/>
                            <w:color w:val="164194"/>
                            <w:spacing w:val="-9"/>
                            <w:sz w:val="28"/>
                          </w:rPr>
                          <w:t> </w:t>
                        </w:r>
                        <w:r>
                          <w:rPr>
                            <w:b/>
                            <w:color w:val="164194"/>
                            <w:sz w:val="28"/>
                          </w:rPr>
                          <w:t>transposed</w:t>
                        </w:r>
                        <w:r>
                          <w:rPr>
                            <w:b/>
                            <w:color w:val="164194"/>
                            <w:spacing w:val="-8"/>
                            <w:sz w:val="28"/>
                          </w:rPr>
                          <w:t> </w:t>
                        </w:r>
                        <w:r>
                          <w:rPr>
                            <w:b/>
                            <w:color w:val="164194"/>
                            <w:sz w:val="28"/>
                          </w:rPr>
                          <w:t>into Northern Ireland law, further to obligations in the WF.</w:t>
                        </w:r>
                      </w:p>
                    </w:txbxContent>
                  </v:textbox>
                  <w10:wrap type="non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spacing w:before="198"/>
        <w:rPr>
          <w:sz w:val="20"/>
        </w:rPr>
      </w:pPr>
      <w:r>
        <w:rPr/>
        <mc:AlternateContent>
          <mc:Choice Requires="wps">
            <w:drawing>
              <wp:anchor distT="0" distB="0" distL="0" distR="0" allowOverlap="1" layoutInCell="1" locked="0" behindDoc="1" simplePos="0" relativeHeight="487727104">
                <wp:simplePos x="0" y="0"/>
                <wp:positionH relativeFrom="page">
                  <wp:posOffset>647999</wp:posOffset>
                </wp:positionH>
                <wp:positionV relativeFrom="paragraph">
                  <wp:posOffset>296406</wp:posOffset>
                </wp:positionV>
                <wp:extent cx="6012180" cy="1270"/>
                <wp:effectExtent l="0" t="0" r="0" b="0"/>
                <wp:wrapTopAndBottom/>
                <wp:docPr id="733" name="Graphic 733"/>
                <wp:cNvGraphicFramePr>
                  <a:graphicFrameLocks/>
                </wp:cNvGraphicFramePr>
                <a:graphic>
                  <a:graphicData uri="http://schemas.microsoft.com/office/word/2010/wordprocessingShape">
                    <wps:wsp>
                      <wps:cNvPr id="733" name="Graphic 73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3.339106pt;width:473.4pt;height:.1pt;mso-position-horizontal-relative:page;mso-position-vertical-relative:paragraph;z-index:-15589376;mso-wrap-distance-left:0;mso-wrap-distance-right:0" id="docshape595" coordorigin="1020,467" coordsize="9468,0" path="m1020,467l10488,467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365" w:hanging="567"/>
        <w:jc w:val="left"/>
        <w:rPr>
          <w:sz w:val="18"/>
        </w:rPr>
      </w:pPr>
      <w:hyperlink r:id="rId83">
        <w:r>
          <w:rPr>
            <w:color w:val="1D71B8"/>
            <w:sz w:val="18"/>
            <w:u w:val="single" w:color="1D71B8"/>
          </w:rPr>
          <w:t>EU</w:t>
        </w:r>
        <w:r>
          <w:rPr>
            <w:color w:val="1D71B8"/>
            <w:spacing w:val="-3"/>
            <w:sz w:val="18"/>
            <w:u w:val="single" w:color="1D71B8"/>
          </w:rPr>
          <w:t> </w:t>
        </w:r>
        <w:r>
          <w:rPr>
            <w:color w:val="1D71B8"/>
            <w:sz w:val="18"/>
            <w:u w:val="single" w:color="1D71B8"/>
          </w:rPr>
          <w:t>Directive</w:t>
        </w:r>
        <w:r>
          <w:rPr>
            <w:color w:val="1D71B8"/>
            <w:spacing w:val="-3"/>
            <w:sz w:val="18"/>
            <w:u w:val="single" w:color="1D71B8"/>
          </w:rPr>
          <w:t> </w:t>
        </w:r>
        <w:r>
          <w:rPr>
            <w:color w:val="1D71B8"/>
            <w:sz w:val="18"/>
            <w:u w:val="single" w:color="1D71B8"/>
          </w:rPr>
          <w:t>2023/970</w:t>
        </w:r>
      </w:hyperlink>
      <w:r>
        <w:rPr>
          <w:color w:val="1D71B8"/>
          <w:spacing w:val="-4"/>
          <w:sz w:val="18"/>
          <w:u w:val="none"/>
        </w:rPr>
        <w:t> </w:t>
      </w:r>
      <w:r>
        <w:rPr>
          <w:sz w:val="18"/>
          <w:u w:val="none"/>
        </w:rPr>
        <w:t>to</w:t>
      </w:r>
      <w:r>
        <w:rPr>
          <w:spacing w:val="-4"/>
          <w:sz w:val="18"/>
          <w:u w:val="none"/>
        </w:rPr>
        <w:t> </w:t>
      </w:r>
      <w:r>
        <w:rPr>
          <w:sz w:val="18"/>
          <w:u w:val="none"/>
        </w:rPr>
        <w:t>strengthen</w:t>
      </w:r>
      <w:r>
        <w:rPr>
          <w:spacing w:val="-4"/>
          <w:sz w:val="18"/>
          <w:u w:val="none"/>
        </w:rPr>
        <w:t> </w:t>
      </w:r>
      <w:r>
        <w:rPr>
          <w:sz w:val="18"/>
          <w:u w:val="none"/>
        </w:rPr>
        <w:t>the</w:t>
      </w:r>
      <w:r>
        <w:rPr>
          <w:spacing w:val="-3"/>
          <w:sz w:val="18"/>
          <w:u w:val="none"/>
        </w:rPr>
        <w:t> </w:t>
      </w:r>
      <w:r>
        <w:rPr>
          <w:sz w:val="18"/>
          <w:u w:val="none"/>
        </w:rPr>
        <w:t>application</w:t>
      </w:r>
      <w:r>
        <w:rPr>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principle</w:t>
      </w:r>
      <w:r>
        <w:rPr>
          <w:spacing w:val="-3"/>
          <w:sz w:val="18"/>
          <w:u w:val="none"/>
        </w:rPr>
        <w:t> </w:t>
      </w:r>
      <w:r>
        <w:rPr>
          <w:sz w:val="18"/>
          <w:u w:val="none"/>
        </w:rPr>
        <w:t>of</w:t>
      </w:r>
      <w:r>
        <w:rPr>
          <w:spacing w:val="-4"/>
          <w:sz w:val="18"/>
          <w:u w:val="none"/>
        </w:rPr>
        <w:t> </w:t>
      </w:r>
      <w:r>
        <w:rPr>
          <w:sz w:val="18"/>
          <w:u w:val="none"/>
        </w:rPr>
        <w:t>equal</w:t>
      </w:r>
      <w:r>
        <w:rPr>
          <w:spacing w:val="-4"/>
          <w:sz w:val="18"/>
          <w:u w:val="none"/>
        </w:rPr>
        <w:t> </w:t>
      </w:r>
      <w:r>
        <w:rPr>
          <w:sz w:val="18"/>
          <w:u w:val="none"/>
        </w:rPr>
        <w:t>pay</w:t>
      </w:r>
      <w:r>
        <w:rPr>
          <w:spacing w:val="-3"/>
          <w:sz w:val="18"/>
          <w:u w:val="none"/>
        </w:rPr>
        <w:t> </w:t>
      </w:r>
      <w:r>
        <w:rPr>
          <w:sz w:val="18"/>
          <w:u w:val="none"/>
        </w:rPr>
        <w:t>for</w:t>
      </w:r>
      <w:r>
        <w:rPr>
          <w:spacing w:val="-3"/>
          <w:sz w:val="18"/>
          <w:u w:val="none"/>
        </w:rPr>
        <w:t> </w:t>
      </w:r>
      <w:r>
        <w:rPr>
          <w:sz w:val="18"/>
          <w:u w:val="none"/>
        </w:rPr>
        <w:t>equal</w:t>
      </w:r>
      <w:r>
        <w:rPr>
          <w:spacing w:val="-4"/>
          <w:sz w:val="18"/>
          <w:u w:val="none"/>
        </w:rPr>
        <w:t> </w:t>
      </w:r>
      <w:r>
        <w:rPr>
          <w:sz w:val="18"/>
          <w:u w:val="none"/>
        </w:rPr>
        <w:t>work</w:t>
      </w:r>
      <w:r>
        <w:rPr>
          <w:spacing w:val="-3"/>
          <w:sz w:val="18"/>
          <w:u w:val="none"/>
        </w:rPr>
        <w:t> </w:t>
      </w:r>
      <w:r>
        <w:rPr>
          <w:sz w:val="18"/>
          <w:u w:val="none"/>
        </w:rPr>
        <w:t>or</w:t>
      </w:r>
      <w:r>
        <w:rPr>
          <w:spacing w:val="-3"/>
          <w:sz w:val="18"/>
          <w:u w:val="none"/>
        </w:rPr>
        <w:t> </w:t>
      </w:r>
      <w:r>
        <w:rPr>
          <w:sz w:val="18"/>
          <w:u w:val="none"/>
        </w:rPr>
        <w:t>work</w:t>
      </w:r>
      <w:r>
        <w:rPr>
          <w:spacing w:val="-3"/>
          <w:sz w:val="18"/>
          <w:u w:val="none"/>
        </w:rPr>
        <w:t> </w:t>
      </w:r>
      <w:r>
        <w:rPr>
          <w:sz w:val="18"/>
          <w:u w:val="none"/>
        </w:rPr>
        <w:t>of</w:t>
      </w:r>
      <w:r>
        <w:rPr>
          <w:spacing w:val="-4"/>
          <w:sz w:val="18"/>
          <w:u w:val="none"/>
        </w:rPr>
        <w:t> </w:t>
      </w:r>
      <w:r>
        <w:rPr>
          <w:sz w:val="18"/>
          <w:u w:val="none"/>
        </w:rPr>
        <w:t>equal</w:t>
      </w:r>
      <w:r>
        <w:rPr>
          <w:spacing w:val="-4"/>
          <w:sz w:val="18"/>
          <w:u w:val="none"/>
        </w:rPr>
        <w:t> </w:t>
      </w:r>
      <w:r>
        <w:rPr>
          <w:sz w:val="18"/>
          <w:u w:val="none"/>
        </w:rPr>
        <w:t>value between men and women through pay transparency and enforcement mechanisms.</w:t>
      </w:r>
    </w:p>
    <w:p>
      <w:pPr>
        <w:pStyle w:val="ListParagraph"/>
        <w:numPr>
          <w:ilvl w:val="0"/>
          <w:numId w:val="18"/>
        </w:numPr>
        <w:tabs>
          <w:tab w:pos="1287" w:val="left" w:leader="none"/>
        </w:tabs>
        <w:spacing w:line="240" w:lineRule="auto" w:before="1" w:after="0"/>
        <w:ind w:left="1287" w:right="1134" w:hanging="567"/>
        <w:jc w:val="left"/>
        <w:rPr>
          <w:sz w:val="18"/>
        </w:rPr>
      </w:pPr>
      <w:r>
        <w:rPr>
          <w:color w:val="1D71B8"/>
          <w:sz w:val="18"/>
          <w:u w:val="single" w:color="1D71B8"/>
        </w:rPr>
        <w:t>Directive</w:t>
      </w:r>
      <w:r>
        <w:rPr>
          <w:color w:val="1D71B8"/>
          <w:spacing w:val="-3"/>
          <w:sz w:val="18"/>
          <w:u w:val="single" w:color="1D71B8"/>
        </w:rPr>
        <w:t> </w:t>
      </w:r>
      <w:r>
        <w:rPr>
          <w:color w:val="1D71B8"/>
          <w:sz w:val="18"/>
          <w:u w:val="single" w:color="1D71B8"/>
        </w:rPr>
        <w:t>2006/54/EC</w:t>
      </w:r>
      <w:r>
        <w:rPr>
          <w:color w:val="1D71B8"/>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3"/>
          <w:sz w:val="18"/>
          <w:u w:val="none"/>
        </w:rPr>
        <w:t> </w:t>
      </w:r>
      <w:r>
        <w:rPr>
          <w:sz w:val="18"/>
          <w:u w:val="none"/>
        </w:rPr>
        <w:t>Parliament</w:t>
      </w:r>
      <w:r>
        <w:rPr>
          <w:spacing w:val="-3"/>
          <w:sz w:val="18"/>
          <w:u w:val="none"/>
        </w:rPr>
        <w:t> </w:t>
      </w:r>
      <w:r>
        <w:rPr>
          <w:sz w:val="18"/>
          <w:u w:val="none"/>
        </w:rPr>
        <w:t>and</w:t>
      </w:r>
      <w:r>
        <w:rPr>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Council</w:t>
      </w:r>
      <w:r>
        <w:rPr>
          <w:spacing w:val="-3"/>
          <w:sz w:val="18"/>
          <w:u w:val="none"/>
        </w:rPr>
        <w:t> </w:t>
      </w:r>
      <w:r>
        <w:rPr>
          <w:sz w:val="18"/>
          <w:u w:val="none"/>
        </w:rPr>
        <w:t>of</w:t>
      </w:r>
      <w:r>
        <w:rPr>
          <w:spacing w:val="-4"/>
          <w:sz w:val="18"/>
          <w:u w:val="none"/>
        </w:rPr>
        <w:t> </w:t>
      </w:r>
      <w:r>
        <w:rPr>
          <w:sz w:val="18"/>
          <w:u w:val="none"/>
        </w:rPr>
        <w:t>5</w:t>
      </w:r>
      <w:r>
        <w:rPr>
          <w:spacing w:val="-3"/>
          <w:sz w:val="18"/>
          <w:u w:val="none"/>
        </w:rPr>
        <w:t> </w:t>
      </w:r>
      <w:r>
        <w:rPr>
          <w:sz w:val="18"/>
          <w:u w:val="none"/>
        </w:rPr>
        <w:t>July</w:t>
      </w:r>
      <w:r>
        <w:rPr>
          <w:spacing w:val="-3"/>
          <w:sz w:val="18"/>
          <w:u w:val="none"/>
        </w:rPr>
        <w:t> </w:t>
      </w:r>
      <w:r>
        <w:rPr>
          <w:sz w:val="18"/>
          <w:u w:val="none"/>
        </w:rPr>
        <w:t>2006</w:t>
      </w:r>
      <w:r>
        <w:rPr>
          <w:spacing w:val="-4"/>
          <w:sz w:val="18"/>
          <w:u w:val="none"/>
        </w:rPr>
        <w:t> </w:t>
      </w:r>
      <w:r>
        <w:rPr>
          <w:sz w:val="18"/>
          <w:u w:val="none"/>
        </w:rPr>
        <w:t>on</w:t>
      </w:r>
      <w:r>
        <w:rPr>
          <w:spacing w:val="-3"/>
          <w:sz w:val="18"/>
          <w:u w:val="none"/>
        </w:rPr>
        <w:t> </w:t>
      </w:r>
      <w:r>
        <w:rPr>
          <w:sz w:val="18"/>
          <w:u w:val="none"/>
        </w:rPr>
        <w:t>the</w:t>
      </w:r>
      <w:r>
        <w:rPr>
          <w:spacing w:val="-3"/>
          <w:sz w:val="18"/>
          <w:u w:val="none"/>
        </w:rPr>
        <w:t> </w:t>
      </w:r>
      <w:r>
        <w:rPr>
          <w:sz w:val="18"/>
          <w:u w:val="none"/>
        </w:rPr>
        <w:t>implementation</w:t>
      </w:r>
      <w:r>
        <w:rPr>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principle of equal opportunities and equal treatment of men and women in matters of employment and occupation.</w:t>
      </w:r>
    </w:p>
    <w:p>
      <w:pPr>
        <w:pStyle w:val="ListParagraph"/>
        <w:numPr>
          <w:ilvl w:val="0"/>
          <w:numId w:val="18"/>
        </w:numPr>
        <w:tabs>
          <w:tab w:pos="1287" w:val="left" w:leader="none"/>
        </w:tabs>
        <w:spacing w:line="240" w:lineRule="auto" w:before="0" w:after="0"/>
        <w:ind w:left="1287" w:right="1528" w:hanging="567"/>
        <w:jc w:val="left"/>
        <w:rPr>
          <w:sz w:val="18"/>
        </w:rPr>
      </w:pPr>
      <w:r>
        <w:rPr>
          <w:sz w:val="18"/>
        </w:rPr>
        <w:t>ECNI</w:t>
      </w:r>
      <w:r>
        <w:rPr>
          <w:spacing w:val="-6"/>
          <w:sz w:val="18"/>
        </w:rPr>
        <w:t> </w:t>
      </w:r>
      <w:r>
        <w:rPr>
          <w:sz w:val="18"/>
        </w:rPr>
        <w:t>and</w:t>
      </w:r>
      <w:r>
        <w:rPr>
          <w:spacing w:val="-7"/>
          <w:sz w:val="18"/>
        </w:rPr>
        <w:t> </w:t>
      </w:r>
      <w:r>
        <w:rPr>
          <w:sz w:val="18"/>
        </w:rPr>
        <w:t>NIHRC,</w:t>
      </w:r>
      <w:r>
        <w:rPr>
          <w:spacing w:val="-6"/>
          <w:sz w:val="18"/>
        </w:rPr>
        <w:t> </w:t>
      </w:r>
      <w:r>
        <w:rPr>
          <w:color w:val="1D71B8"/>
          <w:sz w:val="18"/>
          <w:u w:val="single" w:color="1D71B8"/>
        </w:rPr>
        <w:t>The</w:t>
      </w:r>
      <w:r>
        <w:rPr>
          <w:color w:val="1D71B8"/>
          <w:spacing w:val="-6"/>
          <w:sz w:val="18"/>
          <w:u w:val="single" w:color="1D71B8"/>
        </w:rPr>
        <w:t> </w:t>
      </w:r>
      <w:r>
        <w:rPr>
          <w:color w:val="1D71B8"/>
          <w:sz w:val="18"/>
          <w:u w:val="single" w:color="1D71B8"/>
        </w:rPr>
        <w:t>EU</w:t>
      </w:r>
      <w:r>
        <w:rPr>
          <w:color w:val="1D71B8"/>
          <w:spacing w:val="-6"/>
          <w:sz w:val="18"/>
          <w:u w:val="single" w:color="1D71B8"/>
        </w:rPr>
        <w:t> </w:t>
      </w:r>
      <w:r>
        <w:rPr>
          <w:color w:val="1D71B8"/>
          <w:sz w:val="18"/>
          <w:u w:val="single" w:color="1D71B8"/>
        </w:rPr>
        <w:t>Pay</w:t>
      </w:r>
      <w:r>
        <w:rPr>
          <w:color w:val="1D71B8"/>
          <w:spacing w:val="-6"/>
          <w:sz w:val="18"/>
          <w:u w:val="single" w:color="1D71B8"/>
        </w:rPr>
        <w:t> </w:t>
      </w:r>
      <w:r>
        <w:rPr>
          <w:color w:val="1D71B8"/>
          <w:sz w:val="18"/>
          <w:u w:val="single" w:color="1D71B8"/>
        </w:rPr>
        <w:t>Transparency</w:t>
      </w:r>
      <w:r>
        <w:rPr>
          <w:color w:val="1D71B8"/>
          <w:spacing w:val="-6"/>
          <w:sz w:val="18"/>
          <w:u w:val="single" w:color="1D71B8"/>
        </w:rPr>
        <w:t> </w:t>
      </w:r>
      <w:r>
        <w:rPr>
          <w:color w:val="1D71B8"/>
          <w:sz w:val="18"/>
          <w:u w:val="single" w:color="1D71B8"/>
        </w:rPr>
        <w:t>Directive:</w:t>
      </w:r>
      <w:r>
        <w:rPr>
          <w:color w:val="1D71B8"/>
          <w:spacing w:val="-7"/>
          <w:sz w:val="18"/>
          <w:u w:val="single" w:color="1D71B8"/>
        </w:rPr>
        <w:t> </w:t>
      </w:r>
      <w:r>
        <w:rPr>
          <w:color w:val="1D71B8"/>
          <w:sz w:val="18"/>
          <w:u w:val="single" w:color="1D71B8"/>
        </w:rPr>
        <w:t>The</w:t>
      </w:r>
      <w:r>
        <w:rPr>
          <w:color w:val="1D71B8"/>
          <w:spacing w:val="-6"/>
          <w:sz w:val="18"/>
          <w:u w:val="single" w:color="1D71B8"/>
        </w:rPr>
        <w:t> </w:t>
      </w:r>
      <w:r>
        <w:rPr>
          <w:color w:val="1D71B8"/>
          <w:sz w:val="18"/>
          <w:u w:val="single" w:color="1D71B8"/>
        </w:rPr>
        <w:t>UK</w:t>
      </w:r>
      <w:r>
        <w:rPr>
          <w:color w:val="1D71B8"/>
          <w:spacing w:val="-6"/>
          <w:sz w:val="18"/>
          <w:u w:val="single" w:color="1D71B8"/>
        </w:rPr>
        <w:t> </w:t>
      </w:r>
      <w:r>
        <w:rPr>
          <w:color w:val="1D71B8"/>
          <w:sz w:val="18"/>
          <w:u w:val="single" w:color="1D71B8"/>
        </w:rPr>
        <w:t>Government’s</w:t>
      </w:r>
      <w:r>
        <w:rPr>
          <w:color w:val="1D71B8"/>
          <w:spacing w:val="-7"/>
          <w:sz w:val="18"/>
          <w:u w:val="single" w:color="1D71B8"/>
        </w:rPr>
        <w:t> </w:t>
      </w:r>
      <w:r>
        <w:rPr>
          <w:color w:val="1D71B8"/>
          <w:sz w:val="18"/>
          <w:u w:val="single" w:color="1D71B8"/>
        </w:rPr>
        <w:t>dynamic</w:t>
      </w:r>
      <w:r>
        <w:rPr>
          <w:color w:val="1D71B8"/>
          <w:spacing w:val="-6"/>
          <w:sz w:val="18"/>
          <w:u w:val="single" w:color="1D71B8"/>
        </w:rPr>
        <w:t> </w:t>
      </w:r>
      <w:r>
        <w:rPr>
          <w:color w:val="1D71B8"/>
          <w:sz w:val="18"/>
          <w:u w:val="single" w:color="1D71B8"/>
        </w:rPr>
        <w:t>alignment</w:t>
      </w:r>
      <w:r>
        <w:rPr>
          <w:color w:val="1D71B8"/>
          <w:spacing w:val="-6"/>
          <w:sz w:val="18"/>
          <w:u w:val="single" w:color="1D71B8"/>
        </w:rPr>
        <w:t> </w:t>
      </w:r>
      <w:r>
        <w:rPr>
          <w:color w:val="1D71B8"/>
          <w:sz w:val="18"/>
          <w:u w:val="single" w:color="1D71B8"/>
        </w:rPr>
        <w:t>obligations</w:t>
      </w:r>
      <w:r>
        <w:rPr>
          <w:color w:val="1D71B8"/>
          <w:spacing w:val="-7"/>
          <w:sz w:val="18"/>
          <w:u w:val="single" w:color="1D71B8"/>
        </w:rPr>
        <w:t> </w:t>
      </w:r>
      <w:r>
        <w:rPr>
          <w:color w:val="1D71B8"/>
          <w:sz w:val="18"/>
          <w:u w:val="single" w:color="1D71B8"/>
        </w:rPr>
        <w:t>relating</w:t>
      </w:r>
      <w:r>
        <w:rPr>
          <w:color w:val="1D71B8"/>
          <w:spacing w:val="-6"/>
          <w:sz w:val="18"/>
          <w:u w:val="single" w:color="1D71B8"/>
        </w:rPr>
        <w:t> </w:t>
      </w:r>
      <w:r>
        <w:rPr>
          <w:color w:val="1D71B8"/>
          <w:sz w:val="18"/>
          <w:u w:val="single" w:color="1D71B8"/>
        </w:rPr>
        <w:t>to</w:t>
      </w:r>
      <w:r>
        <w:rPr>
          <w:color w:val="1D71B8"/>
          <w:sz w:val="18"/>
          <w:u w:val="none"/>
        </w:rPr>
        <w:t> </w:t>
      </w:r>
      <w:r>
        <w:rPr>
          <w:color w:val="1D71B8"/>
          <w:sz w:val="18"/>
          <w:u w:val="single" w:color="1D71B8"/>
        </w:rPr>
        <w:t>Windsor Framework Article 2</w:t>
      </w:r>
      <w:r>
        <w:rPr>
          <w:color w:val="1D71B8"/>
          <w:sz w:val="18"/>
          <w:u w:val="none"/>
        </w:rPr>
        <w:t> </w:t>
      </w:r>
      <w:r>
        <w:rPr>
          <w:sz w:val="18"/>
          <w:u w:val="none"/>
        </w:rPr>
        <w:t>(ECNI and NIHRC, 2024).</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69440">
                <wp:simplePos x="0" y="0"/>
                <wp:positionH relativeFrom="page">
                  <wp:posOffset>-2</wp:posOffset>
                </wp:positionH>
                <wp:positionV relativeFrom="page">
                  <wp:posOffset>0</wp:posOffset>
                </wp:positionV>
                <wp:extent cx="7560309" cy="1257935"/>
                <wp:effectExtent l="0" t="0" r="0" b="0"/>
                <wp:wrapNone/>
                <wp:docPr id="734" name="Group 734"/>
                <wp:cNvGraphicFramePr>
                  <a:graphicFrameLocks/>
                </wp:cNvGraphicFramePr>
                <a:graphic>
                  <a:graphicData uri="http://schemas.microsoft.com/office/word/2010/wordprocessingGroup">
                    <wpg:wgp>
                      <wpg:cNvPr id="734" name="Group 734"/>
                      <wpg:cNvGrpSpPr/>
                      <wpg:grpSpPr>
                        <a:xfrm>
                          <a:off x="0" y="0"/>
                          <a:ext cx="7560309" cy="1257935"/>
                          <a:chExt cx="7560309" cy="1257935"/>
                        </a:xfrm>
                      </wpg:grpSpPr>
                      <wps:wsp>
                        <wps:cNvPr id="735" name="Graphic 735"/>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736" name="Graphic 736"/>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737" name="Textbox 737"/>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738" name="Textbox 738"/>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85</w:t>
                              </w:r>
                            </w:p>
                          </w:txbxContent>
                        </wps:txbx>
                        <wps:bodyPr wrap="square" lIns="0" tIns="0" rIns="0" bIns="0" rtlCol="0">
                          <a:noAutofit/>
                        </wps:bodyPr>
                      </wps:wsp>
                      <wps:wsp>
                        <wps:cNvPr id="739" name="Textbox 739"/>
                        <wps:cNvSpPr txBox="1"/>
                        <wps:spPr>
                          <a:xfrm>
                            <a:off x="900001" y="1080003"/>
                            <a:ext cx="3138805" cy="177800"/>
                          </a:xfrm>
                          <a:prstGeom prst="rect">
                            <a:avLst/>
                          </a:prstGeom>
                        </wps:spPr>
                        <wps:txbx>
                          <w:txbxContent>
                            <w:p>
                              <w:pPr>
                                <w:numPr>
                                  <w:ilvl w:val="3"/>
                                  <w:numId w:val="31"/>
                                </w:numPr>
                                <w:tabs>
                                  <w:tab w:pos="843" w:val="left" w:leader="none"/>
                                </w:tabs>
                                <w:spacing w:line="280" w:lineRule="exact" w:before="0"/>
                                <w:ind w:left="843" w:right="0" w:hanging="843"/>
                                <w:jc w:val="left"/>
                                <w:rPr>
                                  <w:sz w:val="28"/>
                                </w:rPr>
                              </w:pPr>
                              <w:r>
                                <w:rPr>
                                  <w:color w:val="004A93"/>
                                  <w:sz w:val="28"/>
                                </w:rPr>
                                <w:t>Gender</w:t>
                              </w:r>
                              <w:r>
                                <w:rPr>
                                  <w:color w:val="004A93"/>
                                  <w:spacing w:val="-2"/>
                                  <w:sz w:val="28"/>
                                </w:rPr>
                                <w:t> </w:t>
                              </w:r>
                              <w:r>
                                <w:rPr>
                                  <w:color w:val="004A93"/>
                                  <w:sz w:val="28"/>
                                </w:rPr>
                                <w:t>Balance</w:t>
                              </w:r>
                              <w:r>
                                <w:rPr>
                                  <w:color w:val="004A93"/>
                                  <w:spacing w:val="-2"/>
                                  <w:sz w:val="28"/>
                                </w:rPr>
                                <w:t> </w:t>
                              </w:r>
                              <w:r>
                                <w:rPr>
                                  <w:color w:val="004A93"/>
                                  <w:sz w:val="28"/>
                                </w:rPr>
                                <w:t>on</w:t>
                              </w:r>
                              <w:r>
                                <w:rPr>
                                  <w:color w:val="004A93"/>
                                  <w:spacing w:val="-2"/>
                                  <w:sz w:val="28"/>
                                </w:rPr>
                                <w:t> </w:t>
                              </w:r>
                              <w:r>
                                <w:rPr>
                                  <w:color w:val="004A93"/>
                                  <w:sz w:val="28"/>
                                </w:rPr>
                                <w:t>Boards</w:t>
                              </w:r>
                              <w:r>
                                <w:rPr>
                                  <w:color w:val="004A93"/>
                                  <w:spacing w:val="-2"/>
                                  <w:sz w:val="28"/>
                                </w:rPr>
                                <w:t> Directive</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869440" id="docshapegroup596" coordorigin="0,0" coordsize="11906,1981">
                <v:shape style="position:absolute;left:0;top:0;width:11906;height:1819" id="docshape597"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598"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599" filled="false" stroked="false">
                  <v:textbox inset="0,0,0,0">
                    <w:txbxContent>
                      <w:p>
                        <w:pPr>
                          <w:spacing w:line="280" w:lineRule="exact" w:before="0"/>
                          <w:ind w:left="0" w:right="0" w:firstLine="0"/>
                          <w:jc w:val="left"/>
                          <w:rPr>
                            <w:b/>
                            <w:sz w:val="28"/>
                          </w:rPr>
                        </w:pPr>
                        <w:r>
                          <w:rPr>
                            <w:b/>
                            <w:color w:val="FFFFFF"/>
                            <w:spacing w:val="-5"/>
                            <w:sz w:val="28"/>
                          </w:rPr>
                          <w:t>85</w:t>
                        </w:r>
                      </w:p>
                    </w:txbxContent>
                  </v:textbox>
                  <w10:wrap type="none"/>
                </v:shape>
                <v:shape style="position:absolute;left:1417;top:1700;width:4943;height:280" type="#_x0000_t202" id="docshape600" filled="false" stroked="false">
                  <v:textbox inset="0,0,0,0">
                    <w:txbxContent>
                      <w:p>
                        <w:pPr>
                          <w:numPr>
                            <w:ilvl w:val="3"/>
                            <w:numId w:val="31"/>
                          </w:numPr>
                          <w:tabs>
                            <w:tab w:pos="843" w:val="left" w:leader="none"/>
                          </w:tabs>
                          <w:spacing w:line="280" w:lineRule="exact" w:before="0"/>
                          <w:ind w:left="843" w:right="0" w:hanging="843"/>
                          <w:jc w:val="left"/>
                          <w:rPr>
                            <w:sz w:val="28"/>
                          </w:rPr>
                        </w:pPr>
                        <w:r>
                          <w:rPr>
                            <w:color w:val="004A93"/>
                            <w:sz w:val="28"/>
                          </w:rPr>
                          <w:t>Gender</w:t>
                        </w:r>
                        <w:r>
                          <w:rPr>
                            <w:color w:val="004A93"/>
                            <w:spacing w:val="-2"/>
                            <w:sz w:val="28"/>
                          </w:rPr>
                          <w:t> </w:t>
                        </w:r>
                        <w:r>
                          <w:rPr>
                            <w:color w:val="004A93"/>
                            <w:sz w:val="28"/>
                          </w:rPr>
                          <w:t>Balance</w:t>
                        </w:r>
                        <w:r>
                          <w:rPr>
                            <w:color w:val="004A93"/>
                            <w:spacing w:val="-2"/>
                            <w:sz w:val="28"/>
                          </w:rPr>
                          <w:t> </w:t>
                        </w:r>
                        <w:r>
                          <w:rPr>
                            <w:color w:val="004A93"/>
                            <w:sz w:val="28"/>
                          </w:rPr>
                          <w:t>on</w:t>
                        </w:r>
                        <w:r>
                          <w:rPr>
                            <w:color w:val="004A93"/>
                            <w:spacing w:val="-2"/>
                            <w:sz w:val="28"/>
                          </w:rPr>
                          <w:t> </w:t>
                        </w:r>
                        <w:r>
                          <w:rPr>
                            <w:color w:val="004A93"/>
                            <w:sz w:val="28"/>
                          </w:rPr>
                          <w:t>Boards</w:t>
                        </w:r>
                        <w:r>
                          <w:rPr>
                            <w:color w:val="004A93"/>
                            <w:spacing w:val="-2"/>
                            <w:sz w:val="28"/>
                          </w:rPr>
                          <w:t> Directive</w:t>
                        </w:r>
                      </w:p>
                    </w:txbxContent>
                  </v:textbox>
                  <w10:wrap type="none"/>
                </v:shape>
                <w10:wrap type="none"/>
              </v:group>
            </w:pict>
          </mc:Fallback>
        </mc:AlternateContent>
      </w:r>
    </w:p>
    <w:p>
      <w:pPr>
        <w:pStyle w:val="BodyText"/>
      </w:pPr>
    </w:p>
    <w:p>
      <w:pPr>
        <w:pStyle w:val="BodyText"/>
      </w:pPr>
    </w:p>
    <w:p>
      <w:pPr>
        <w:pStyle w:val="BodyText"/>
      </w:pPr>
    </w:p>
    <w:p>
      <w:pPr>
        <w:pStyle w:val="BodyText"/>
        <w:spacing w:before="247"/>
      </w:pPr>
    </w:p>
    <w:p>
      <w:pPr>
        <w:spacing w:before="0"/>
        <w:ind w:left="1117" w:right="0" w:firstLine="0"/>
        <w:jc w:val="left"/>
        <w:rPr>
          <w:sz w:val="28"/>
        </w:rPr>
      </w:pPr>
      <w:bookmarkStart w:name="4.3.1.2 Gender Balance on Boards Directi" w:id="125"/>
      <w:bookmarkEnd w:id="125"/>
      <w:r>
        <w:rPr/>
      </w:r>
      <w:bookmarkStart w:name="_bookmark52" w:id="126"/>
      <w:bookmarkEnd w:id="126"/>
      <w:r>
        <w:rPr/>
      </w:r>
      <w:r>
        <w:rPr>
          <w:sz w:val="28"/>
        </w:rPr>
        <w:t>The</w:t>
      </w:r>
      <w:r>
        <w:rPr>
          <w:spacing w:val="-11"/>
          <w:sz w:val="28"/>
        </w:rPr>
        <w:t> </w:t>
      </w:r>
      <w:r>
        <w:rPr>
          <w:b/>
          <w:sz w:val="28"/>
        </w:rPr>
        <w:t>Gender</w:t>
      </w:r>
      <w:r>
        <w:rPr>
          <w:b/>
          <w:spacing w:val="-10"/>
          <w:sz w:val="28"/>
        </w:rPr>
        <w:t> </w:t>
      </w:r>
      <w:r>
        <w:rPr>
          <w:b/>
          <w:sz w:val="28"/>
        </w:rPr>
        <w:t>Balance</w:t>
      </w:r>
      <w:r>
        <w:rPr>
          <w:b/>
          <w:spacing w:val="-10"/>
          <w:sz w:val="28"/>
        </w:rPr>
        <w:t> </w:t>
      </w:r>
      <w:r>
        <w:rPr>
          <w:b/>
          <w:sz w:val="28"/>
        </w:rPr>
        <w:t>on</w:t>
      </w:r>
      <w:r>
        <w:rPr>
          <w:b/>
          <w:spacing w:val="-10"/>
          <w:sz w:val="28"/>
        </w:rPr>
        <w:t> </w:t>
      </w:r>
      <w:r>
        <w:rPr>
          <w:b/>
          <w:sz w:val="28"/>
        </w:rPr>
        <w:t>Boards</w:t>
      </w:r>
      <w:r>
        <w:rPr>
          <w:b/>
          <w:spacing w:val="-9"/>
          <w:sz w:val="28"/>
        </w:rPr>
        <w:t> </w:t>
      </w:r>
      <w:r>
        <w:rPr>
          <w:b/>
          <w:sz w:val="28"/>
        </w:rPr>
        <w:t>Directive</w:t>
      </w:r>
      <w:r>
        <w:rPr>
          <w:sz w:val="28"/>
          <w:vertAlign w:val="superscript"/>
        </w:rPr>
        <w:t>452</w:t>
      </w:r>
      <w:r>
        <w:rPr>
          <w:spacing w:val="-11"/>
          <w:sz w:val="28"/>
          <w:vertAlign w:val="baseline"/>
        </w:rPr>
        <w:t> </w:t>
      </w:r>
      <w:r>
        <w:rPr>
          <w:sz w:val="28"/>
          <w:vertAlign w:val="baseline"/>
        </w:rPr>
        <w:t>requires</w:t>
      </w:r>
      <w:r>
        <w:rPr>
          <w:spacing w:val="-10"/>
          <w:sz w:val="28"/>
          <w:vertAlign w:val="baseline"/>
        </w:rPr>
        <w:t> </w:t>
      </w:r>
      <w:r>
        <w:rPr>
          <w:spacing w:val="-2"/>
          <w:sz w:val="28"/>
          <w:vertAlign w:val="baseline"/>
        </w:rPr>
        <w:t>that:</w:t>
      </w:r>
    </w:p>
    <w:p>
      <w:pPr>
        <w:pStyle w:val="ListParagraph"/>
        <w:numPr>
          <w:ilvl w:val="4"/>
          <w:numId w:val="28"/>
        </w:numPr>
        <w:tabs>
          <w:tab w:pos="1457" w:val="left" w:leader="none"/>
        </w:tabs>
        <w:spacing w:line="232" w:lineRule="auto" w:before="266" w:after="0"/>
        <w:ind w:left="1457" w:right="1050" w:hanging="341"/>
        <w:jc w:val="both"/>
        <w:rPr>
          <w:sz w:val="28"/>
        </w:rPr>
      </w:pPr>
      <w:r>
        <w:rPr>
          <w:sz w:val="28"/>
        </w:rPr>
        <w:t>Member</w:t>
      </w:r>
      <w:r>
        <w:rPr>
          <w:spacing w:val="-5"/>
          <w:sz w:val="28"/>
        </w:rPr>
        <w:t> </w:t>
      </w:r>
      <w:r>
        <w:rPr>
          <w:sz w:val="28"/>
        </w:rPr>
        <w:t>States</w:t>
      </w:r>
      <w:r>
        <w:rPr>
          <w:spacing w:val="-6"/>
          <w:sz w:val="28"/>
        </w:rPr>
        <w:t> </w:t>
      </w:r>
      <w:r>
        <w:rPr>
          <w:sz w:val="28"/>
        </w:rPr>
        <w:t>must</w:t>
      </w:r>
      <w:r>
        <w:rPr>
          <w:spacing w:val="-5"/>
          <w:sz w:val="28"/>
        </w:rPr>
        <w:t> </w:t>
      </w:r>
      <w:r>
        <w:rPr>
          <w:sz w:val="28"/>
        </w:rPr>
        <w:t>ensure</w:t>
      </w:r>
      <w:r>
        <w:rPr>
          <w:spacing w:val="-5"/>
          <w:sz w:val="28"/>
        </w:rPr>
        <w:t> </w:t>
      </w:r>
      <w:r>
        <w:rPr>
          <w:sz w:val="28"/>
        </w:rPr>
        <w:t>that</w:t>
      </w:r>
      <w:r>
        <w:rPr>
          <w:spacing w:val="-5"/>
          <w:sz w:val="28"/>
        </w:rPr>
        <w:t> </w:t>
      </w:r>
      <w:r>
        <w:rPr>
          <w:sz w:val="28"/>
        </w:rPr>
        <w:t>listed</w:t>
      </w:r>
      <w:r>
        <w:rPr>
          <w:spacing w:val="-6"/>
          <w:sz w:val="28"/>
        </w:rPr>
        <w:t> </w:t>
      </w:r>
      <w:r>
        <w:rPr>
          <w:sz w:val="28"/>
        </w:rPr>
        <w:t>companies</w:t>
      </w:r>
      <w:r>
        <w:rPr>
          <w:spacing w:val="-6"/>
          <w:sz w:val="28"/>
        </w:rPr>
        <w:t> </w:t>
      </w:r>
      <w:r>
        <w:rPr>
          <w:sz w:val="28"/>
        </w:rPr>
        <w:t>are</w:t>
      </w:r>
      <w:r>
        <w:rPr>
          <w:spacing w:val="-5"/>
          <w:sz w:val="28"/>
        </w:rPr>
        <w:t> </w:t>
      </w:r>
      <w:r>
        <w:rPr>
          <w:sz w:val="28"/>
        </w:rPr>
        <w:t>subject</w:t>
      </w:r>
      <w:r>
        <w:rPr>
          <w:spacing w:val="-5"/>
          <w:sz w:val="28"/>
        </w:rPr>
        <w:t> </w:t>
      </w:r>
      <w:r>
        <w:rPr>
          <w:sz w:val="28"/>
        </w:rPr>
        <w:t>to</w:t>
      </w:r>
      <w:r>
        <w:rPr>
          <w:spacing w:val="-6"/>
          <w:sz w:val="28"/>
        </w:rPr>
        <w:t> </w:t>
      </w:r>
      <w:r>
        <w:rPr>
          <w:sz w:val="28"/>
        </w:rPr>
        <w:t>either</w:t>
      </w:r>
      <w:r>
        <w:rPr>
          <w:spacing w:val="-5"/>
          <w:sz w:val="28"/>
        </w:rPr>
        <w:t> </w:t>
      </w:r>
      <w:r>
        <w:rPr>
          <w:sz w:val="28"/>
        </w:rPr>
        <w:t>of</w:t>
      </w:r>
      <w:r>
        <w:rPr>
          <w:spacing w:val="-6"/>
          <w:sz w:val="28"/>
        </w:rPr>
        <w:t> </w:t>
      </w:r>
      <w:r>
        <w:rPr>
          <w:sz w:val="28"/>
        </w:rPr>
        <w:t>the following</w:t>
      </w:r>
      <w:r>
        <w:rPr>
          <w:spacing w:val="-4"/>
          <w:sz w:val="28"/>
        </w:rPr>
        <w:t> </w:t>
      </w:r>
      <w:r>
        <w:rPr>
          <w:sz w:val="28"/>
        </w:rPr>
        <w:t>objectives,</w:t>
      </w:r>
      <w:r>
        <w:rPr>
          <w:spacing w:val="-4"/>
          <w:sz w:val="28"/>
        </w:rPr>
        <w:t> </w:t>
      </w:r>
      <w:r>
        <w:rPr>
          <w:sz w:val="28"/>
        </w:rPr>
        <w:t>to</w:t>
      </w:r>
      <w:r>
        <w:rPr>
          <w:spacing w:val="-5"/>
          <w:sz w:val="28"/>
        </w:rPr>
        <w:t> </w:t>
      </w:r>
      <w:r>
        <w:rPr>
          <w:sz w:val="28"/>
        </w:rPr>
        <w:t>be</w:t>
      </w:r>
      <w:r>
        <w:rPr>
          <w:spacing w:val="-4"/>
          <w:sz w:val="28"/>
        </w:rPr>
        <w:t> </w:t>
      </w:r>
      <w:r>
        <w:rPr>
          <w:sz w:val="28"/>
        </w:rPr>
        <w:t>reached</w:t>
      </w:r>
      <w:r>
        <w:rPr>
          <w:spacing w:val="-5"/>
          <w:sz w:val="28"/>
        </w:rPr>
        <w:t> </w:t>
      </w:r>
      <w:r>
        <w:rPr>
          <w:sz w:val="28"/>
        </w:rPr>
        <w:t>by</w:t>
      </w:r>
      <w:r>
        <w:rPr>
          <w:spacing w:val="-4"/>
          <w:sz w:val="28"/>
        </w:rPr>
        <w:t> </w:t>
      </w:r>
      <w:r>
        <w:rPr>
          <w:sz w:val="28"/>
        </w:rPr>
        <w:t>30</w:t>
      </w:r>
      <w:r>
        <w:rPr>
          <w:spacing w:val="-4"/>
          <w:sz w:val="28"/>
        </w:rPr>
        <w:t> </w:t>
      </w:r>
      <w:r>
        <w:rPr>
          <w:sz w:val="28"/>
        </w:rPr>
        <w:t>June</w:t>
      </w:r>
      <w:r>
        <w:rPr>
          <w:spacing w:val="-4"/>
          <w:sz w:val="28"/>
        </w:rPr>
        <w:t> </w:t>
      </w:r>
      <w:r>
        <w:rPr>
          <w:sz w:val="28"/>
        </w:rPr>
        <w:t>2026</w:t>
      </w:r>
      <w:r>
        <w:rPr>
          <w:spacing w:val="-4"/>
          <w:sz w:val="28"/>
        </w:rPr>
        <w:t> </w:t>
      </w:r>
      <w:r>
        <w:rPr>
          <w:sz w:val="28"/>
        </w:rPr>
        <w:t>(and,</w:t>
      </w:r>
      <w:r>
        <w:rPr>
          <w:spacing w:val="-4"/>
          <w:sz w:val="28"/>
        </w:rPr>
        <w:t> </w:t>
      </w:r>
      <w:r>
        <w:rPr>
          <w:sz w:val="28"/>
        </w:rPr>
        <w:t>if</w:t>
      </w:r>
      <w:r>
        <w:rPr>
          <w:spacing w:val="-5"/>
          <w:sz w:val="28"/>
        </w:rPr>
        <w:t> </w:t>
      </w:r>
      <w:r>
        <w:rPr>
          <w:sz w:val="28"/>
        </w:rPr>
        <w:t>needed,</w:t>
      </w:r>
      <w:r>
        <w:rPr>
          <w:spacing w:val="-4"/>
          <w:sz w:val="28"/>
        </w:rPr>
        <w:t> </w:t>
      </w:r>
      <w:r>
        <w:rPr>
          <w:sz w:val="28"/>
        </w:rPr>
        <w:t>that</w:t>
      </w:r>
      <w:r>
        <w:rPr>
          <w:spacing w:val="-4"/>
          <w:sz w:val="28"/>
        </w:rPr>
        <w:t> </w:t>
      </w:r>
      <w:r>
        <w:rPr>
          <w:sz w:val="28"/>
        </w:rPr>
        <w:t>they adjust the recruitment process):</w:t>
      </w:r>
    </w:p>
    <w:p>
      <w:pPr>
        <w:pStyle w:val="ListParagraph"/>
        <w:numPr>
          <w:ilvl w:val="5"/>
          <w:numId w:val="28"/>
        </w:numPr>
        <w:tabs>
          <w:tab w:pos="1911" w:val="left" w:leader="none"/>
        </w:tabs>
        <w:spacing w:line="232" w:lineRule="auto" w:before="0" w:after="0"/>
        <w:ind w:left="1911" w:right="1073" w:hanging="454"/>
        <w:jc w:val="left"/>
        <w:rPr>
          <w:sz w:val="28"/>
        </w:rPr>
      </w:pPr>
      <w:r>
        <w:rPr>
          <w:sz w:val="28"/>
        </w:rPr>
        <w:t>members</w:t>
      </w:r>
      <w:r>
        <w:rPr>
          <w:spacing w:val="-8"/>
          <w:sz w:val="28"/>
        </w:rPr>
        <w:t> </w:t>
      </w:r>
      <w:r>
        <w:rPr>
          <w:sz w:val="28"/>
        </w:rPr>
        <w:t>of</w:t>
      </w:r>
      <w:r>
        <w:rPr>
          <w:spacing w:val="-8"/>
          <w:sz w:val="28"/>
        </w:rPr>
        <w:t> </w:t>
      </w:r>
      <w:r>
        <w:rPr>
          <w:sz w:val="28"/>
        </w:rPr>
        <w:t>the</w:t>
      </w:r>
      <w:r>
        <w:rPr>
          <w:spacing w:val="-7"/>
          <w:sz w:val="28"/>
        </w:rPr>
        <w:t> </w:t>
      </w:r>
      <w:r>
        <w:rPr>
          <w:sz w:val="28"/>
        </w:rPr>
        <w:t>underrepresented</w:t>
      </w:r>
      <w:r>
        <w:rPr>
          <w:spacing w:val="-8"/>
          <w:sz w:val="28"/>
        </w:rPr>
        <w:t> </w:t>
      </w:r>
      <w:r>
        <w:rPr>
          <w:sz w:val="28"/>
        </w:rPr>
        <w:t>sex</w:t>
      </w:r>
      <w:r>
        <w:rPr>
          <w:spacing w:val="-8"/>
          <w:sz w:val="28"/>
        </w:rPr>
        <w:t> </w:t>
      </w:r>
      <w:r>
        <w:rPr>
          <w:sz w:val="28"/>
        </w:rPr>
        <w:t>hold</w:t>
      </w:r>
      <w:r>
        <w:rPr>
          <w:spacing w:val="-8"/>
          <w:sz w:val="28"/>
        </w:rPr>
        <w:t> </w:t>
      </w:r>
      <w:r>
        <w:rPr>
          <w:sz w:val="28"/>
        </w:rPr>
        <w:t>at</w:t>
      </w:r>
      <w:r>
        <w:rPr>
          <w:spacing w:val="-7"/>
          <w:sz w:val="28"/>
        </w:rPr>
        <w:t> </w:t>
      </w:r>
      <w:r>
        <w:rPr>
          <w:sz w:val="28"/>
        </w:rPr>
        <w:t>least</w:t>
      </w:r>
      <w:r>
        <w:rPr>
          <w:spacing w:val="-7"/>
          <w:sz w:val="28"/>
        </w:rPr>
        <w:t> </w:t>
      </w:r>
      <w:r>
        <w:rPr>
          <w:sz w:val="28"/>
        </w:rPr>
        <w:t>40%</w:t>
      </w:r>
      <w:r>
        <w:rPr>
          <w:spacing w:val="-7"/>
          <w:sz w:val="28"/>
        </w:rPr>
        <w:t> </w:t>
      </w:r>
      <w:r>
        <w:rPr>
          <w:sz w:val="28"/>
        </w:rPr>
        <w:t>of</w:t>
      </w:r>
      <w:r>
        <w:rPr>
          <w:spacing w:val="-8"/>
          <w:sz w:val="28"/>
        </w:rPr>
        <w:t> </w:t>
      </w:r>
      <w:r>
        <w:rPr>
          <w:sz w:val="28"/>
        </w:rPr>
        <w:t>non-executive director positions;</w:t>
      </w:r>
    </w:p>
    <w:p>
      <w:pPr>
        <w:pStyle w:val="ListParagraph"/>
        <w:numPr>
          <w:ilvl w:val="5"/>
          <w:numId w:val="28"/>
        </w:numPr>
        <w:tabs>
          <w:tab w:pos="1911" w:val="left" w:leader="none"/>
        </w:tabs>
        <w:spacing w:line="232" w:lineRule="auto" w:before="0" w:after="0"/>
        <w:ind w:left="1911" w:right="1449" w:hanging="454"/>
        <w:jc w:val="left"/>
        <w:rPr>
          <w:sz w:val="28"/>
        </w:rPr>
      </w:pPr>
      <w:r>
        <w:rPr>
          <w:sz w:val="28"/>
        </w:rPr>
        <w:t>members</w:t>
      </w:r>
      <w:r>
        <w:rPr>
          <w:spacing w:val="-7"/>
          <w:sz w:val="28"/>
        </w:rPr>
        <w:t> </w:t>
      </w:r>
      <w:r>
        <w:rPr>
          <w:sz w:val="28"/>
        </w:rPr>
        <w:t>of</w:t>
      </w:r>
      <w:r>
        <w:rPr>
          <w:spacing w:val="-7"/>
          <w:sz w:val="28"/>
        </w:rPr>
        <w:t> </w:t>
      </w:r>
      <w:r>
        <w:rPr>
          <w:sz w:val="28"/>
        </w:rPr>
        <w:t>the</w:t>
      </w:r>
      <w:r>
        <w:rPr>
          <w:spacing w:val="-6"/>
          <w:sz w:val="28"/>
        </w:rPr>
        <w:t> </w:t>
      </w:r>
      <w:r>
        <w:rPr>
          <w:sz w:val="28"/>
        </w:rPr>
        <w:t>underrepresented</w:t>
      </w:r>
      <w:r>
        <w:rPr>
          <w:spacing w:val="-7"/>
          <w:sz w:val="28"/>
        </w:rPr>
        <w:t> </w:t>
      </w:r>
      <w:r>
        <w:rPr>
          <w:sz w:val="28"/>
        </w:rPr>
        <w:t>sex</w:t>
      </w:r>
      <w:r>
        <w:rPr>
          <w:spacing w:val="-7"/>
          <w:sz w:val="28"/>
        </w:rPr>
        <w:t> </w:t>
      </w:r>
      <w:r>
        <w:rPr>
          <w:sz w:val="28"/>
        </w:rPr>
        <w:t>hold</w:t>
      </w:r>
      <w:r>
        <w:rPr>
          <w:spacing w:val="-7"/>
          <w:sz w:val="28"/>
        </w:rPr>
        <w:t> </w:t>
      </w:r>
      <w:r>
        <w:rPr>
          <w:sz w:val="28"/>
        </w:rPr>
        <w:t>at</w:t>
      </w:r>
      <w:r>
        <w:rPr>
          <w:spacing w:val="-6"/>
          <w:sz w:val="28"/>
        </w:rPr>
        <w:t> </w:t>
      </w:r>
      <w:r>
        <w:rPr>
          <w:sz w:val="28"/>
        </w:rPr>
        <w:t>least</w:t>
      </w:r>
      <w:r>
        <w:rPr>
          <w:spacing w:val="-6"/>
          <w:sz w:val="28"/>
        </w:rPr>
        <w:t> </w:t>
      </w:r>
      <w:r>
        <w:rPr>
          <w:sz w:val="28"/>
        </w:rPr>
        <w:t>33%</w:t>
      </w:r>
      <w:r>
        <w:rPr>
          <w:spacing w:val="-6"/>
          <w:sz w:val="28"/>
        </w:rPr>
        <w:t> </w:t>
      </w:r>
      <w:r>
        <w:rPr>
          <w:sz w:val="28"/>
        </w:rPr>
        <w:t>of</w:t>
      </w:r>
      <w:r>
        <w:rPr>
          <w:spacing w:val="-7"/>
          <w:sz w:val="28"/>
        </w:rPr>
        <w:t> </w:t>
      </w:r>
      <w:r>
        <w:rPr>
          <w:sz w:val="28"/>
        </w:rPr>
        <w:t>all</w:t>
      </w:r>
      <w:r>
        <w:rPr>
          <w:spacing w:val="-7"/>
          <w:sz w:val="28"/>
        </w:rPr>
        <w:t> </w:t>
      </w:r>
      <w:r>
        <w:rPr>
          <w:sz w:val="28"/>
        </w:rPr>
        <w:t>director positions, including both executive and non-executive directors.</w:t>
      </w:r>
    </w:p>
    <w:p>
      <w:pPr>
        <w:pStyle w:val="ListParagraph"/>
        <w:numPr>
          <w:ilvl w:val="4"/>
          <w:numId w:val="28"/>
        </w:numPr>
        <w:tabs>
          <w:tab w:pos="1457" w:val="left" w:leader="none"/>
        </w:tabs>
        <w:spacing w:line="232" w:lineRule="auto" w:before="146" w:after="0"/>
        <w:ind w:left="1457" w:right="787" w:hanging="341"/>
        <w:jc w:val="left"/>
        <w:rPr>
          <w:sz w:val="28"/>
        </w:rPr>
      </w:pPr>
      <w:r>
        <w:rPr>
          <w:sz w:val="28"/>
        </w:rPr>
        <w:t>Member</w:t>
      </w:r>
      <w:r>
        <w:rPr>
          <w:spacing w:val="-7"/>
          <w:sz w:val="28"/>
        </w:rPr>
        <w:t> </w:t>
      </w:r>
      <w:r>
        <w:rPr>
          <w:sz w:val="28"/>
        </w:rPr>
        <w:t>States</w:t>
      </w:r>
      <w:r>
        <w:rPr>
          <w:spacing w:val="-8"/>
          <w:sz w:val="28"/>
        </w:rPr>
        <w:t> </w:t>
      </w:r>
      <w:r>
        <w:rPr>
          <w:sz w:val="28"/>
        </w:rPr>
        <w:t>must</w:t>
      </w:r>
      <w:r>
        <w:rPr>
          <w:spacing w:val="-7"/>
          <w:sz w:val="28"/>
        </w:rPr>
        <w:t> </w:t>
      </w:r>
      <w:r>
        <w:rPr>
          <w:sz w:val="28"/>
        </w:rPr>
        <w:t>adopt</w:t>
      </w:r>
      <w:r>
        <w:rPr>
          <w:spacing w:val="-7"/>
          <w:sz w:val="28"/>
        </w:rPr>
        <w:t> </w:t>
      </w:r>
      <w:r>
        <w:rPr>
          <w:sz w:val="28"/>
        </w:rPr>
        <w:t>and</w:t>
      </w:r>
      <w:r>
        <w:rPr>
          <w:spacing w:val="-8"/>
          <w:sz w:val="28"/>
        </w:rPr>
        <w:t> </w:t>
      </w:r>
      <w:r>
        <w:rPr>
          <w:sz w:val="28"/>
        </w:rPr>
        <w:t>publish</w:t>
      </w:r>
      <w:r>
        <w:rPr>
          <w:spacing w:val="-8"/>
          <w:sz w:val="28"/>
        </w:rPr>
        <w:t> </w:t>
      </w:r>
      <w:r>
        <w:rPr>
          <w:sz w:val="28"/>
        </w:rPr>
        <w:t>the</w:t>
      </w:r>
      <w:r>
        <w:rPr>
          <w:spacing w:val="-7"/>
          <w:sz w:val="28"/>
        </w:rPr>
        <w:t> </w:t>
      </w:r>
      <w:r>
        <w:rPr>
          <w:sz w:val="28"/>
        </w:rPr>
        <w:t>laws,</w:t>
      </w:r>
      <w:r>
        <w:rPr>
          <w:spacing w:val="-7"/>
          <w:sz w:val="28"/>
        </w:rPr>
        <w:t> </w:t>
      </w:r>
      <w:r>
        <w:rPr>
          <w:sz w:val="28"/>
        </w:rPr>
        <w:t>regulations</w:t>
      </w:r>
      <w:r>
        <w:rPr>
          <w:spacing w:val="-8"/>
          <w:sz w:val="28"/>
        </w:rPr>
        <w:t> </w:t>
      </w:r>
      <w:r>
        <w:rPr>
          <w:sz w:val="28"/>
        </w:rPr>
        <w:t>and</w:t>
      </w:r>
      <w:r>
        <w:rPr>
          <w:spacing w:val="-8"/>
          <w:sz w:val="28"/>
        </w:rPr>
        <w:t> </w:t>
      </w:r>
      <w:r>
        <w:rPr>
          <w:sz w:val="28"/>
        </w:rPr>
        <w:t>administrative provisions necessary to comply with this Directive by 28 December 2024; and must immediately inform the Commission thereof (Article 11).</w:t>
      </w:r>
    </w:p>
    <w:p>
      <w:pPr>
        <w:pStyle w:val="BodyText"/>
        <w:spacing w:line="232" w:lineRule="auto" w:before="279"/>
        <w:ind w:left="1117" w:right="738"/>
      </w:pPr>
      <w:r>
        <w:rPr/>
        <w:t>The application of the recently adopted Gender Balance on Boards Directive (EU Directive</w:t>
      </w:r>
      <w:r>
        <w:rPr>
          <w:spacing w:val="-5"/>
        </w:rPr>
        <w:t> </w:t>
      </w:r>
      <w:r>
        <w:rPr/>
        <w:t>2022/2381)</w:t>
      </w:r>
      <w:r>
        <w:rPr>
          <w:spacing w:val="-6"/>
        </w:rPr>
        <w:t> </w:t>
      </w:r>
      <w:r>
        <w:rPr/>
        <w:t>seems</w:t>
      </w:r>
      <w:r>
        <w:rPr>
          <w:spacing w:val="-6"/>
        </w:rPr>
        <w:t> </w:t>
      </w:r>
      <w:r>
        <w:rPr/>
        <w:t>inherently</w:t>
      </w:r>
      <w:r>
        <w:rPr>
          <w:spacing w:val="-5"/>
        </w:rPr>
        <w:t> </w:t>
      </w:r>
      <w:r>
        <w:rPr/>
        <w:t>linked</w:t>
      </w:r>
      <w:r>
        <w:rPr>
          <w:spacing w:val="-6"/>
        </w:rPr>
        <w:t> </w:t>
      </w:r>
      <w:r>
        <w:rPr/>
        <w:t>with</w:t>
      </w:r>
      <w:r>
        <w:rPr>
          <w:spacing w:val="-6"/>
        </w:rPr>
        <w:t> </w:t>
      </w:r>
      <w:r>
        <w:rPr/>
        <w:t>an</w:t>
      </w:r>
      <w:r>
        <w:rPr>
          <w:spacing w:val="-6"/>
        </w:rPr>
        <w:t> </w:t>
      </w:r>
      <w:r>
        <w:rPr/>
        <w:t>Annex</w:t>
      </w:r>
      <w:r>
        <w:rPr>
          <w:spacing w:val="-6"/>
        </w:rPr>
        <w:t> </w:t>
      </w:r>
      <w:r>
        <w:rPr/>
        <w:t>1</w:t>
      </w:r>
      <w:r>
        <w:rPr>
          <w:spacing w:val="-5"/>
        </w:rPr>
        <w:t> </w:t>
      </w:r>
      <w:r>
        <w:rPr/>
        <w:t>directive</w:t>
      </w:r>
      <w:r>
        <w:rPr>
          <w:spacing w:val="-5"/>
        </w:rPr>
        <w:t> </w:t>
      </w:r>
      <w:r>
        <w:rPr/>
        <w:t>that</w:t>
      </w:r>
      <w:r>
        <w:rPr>
          <w:spacing w:val="-5"/>
        </w:rPr>
        <w:t> </w:t>
      </w:r>
      <w:r>
        <w:rPr/>
        <w:t>is,</w:t>
      </w:r>
      <w:r>
        <w:rPr>
          <w:spacing w:val="-5"/>
        </w:rPr>
        <w:t> </w:t>
      </w:r>
      <w:r>
        <w:rPr/>
        <w:t>the Gender</w:t>
      </w:r>
      <w:r>
        <w:rPr>
          <w:spacing w:val="-13"/>
        </w:rPr>
        <w:t> </w:t>
      </w:r>
      <w:r>
        <w:rPr/>
        <w:t>Equality</w:t>
      </w:r>
      <w:r>
        <w:rPr>
          <w:spacing w:val="-13"/>
        </w:rPr>
        <w:t> </w:t>
      </w:r>
      <w:r>
        <w:rPr/>
        <w:t>(Employment)</w:t>
      </w:r>
      <w:r>
        <w:rPr>
          <w:spacing w:val="-13"/>
        </w:rPr>
        <w:t> </w:t>
      </w:r>
      <w:r>
        <w:rPr/>
        <w:t>Directive.</w:t>
      </w:r>
      <w:r>
        <w:rPr>
          <w:vertAlign w:val="superscript"/>
        </w:rPr>
        <w:t>453</w:t>
      </w:r>
      <w:r>
        <w:rPr>
          <w:spacing w:val="-13"/>
          <w:vertAlign w:val="baseline"/>
        </w:rPr>
        <w:t> </w:t>
      </w:r>
      <w:r>
        <w:rPr>
          <w:vertAlign w:val="baseline"/>
        </w:rPr>
        <w:t>Indeed,</w:t>
      </w:r>
      <w:r>
        <w:rPr>
          <w:spacing w:val="-13"/>
          <w:vertAlign w:val="baseline"/>
        </w:rPr>
        <w:t> </w:t>
      </w:r>
      <w:r>
        <w:rPr>
          <w:vertAlign w:val="baseline"/>
        </w:rPr>
        <w:t>it</w:t>
      </w:r>
      <w:r>
        <w:rPr>
          <w:spacing w:val="-13"/>
          <w:vertAlign w:val="baseline"/>
        </w:rPr>
        <w:t> </w:t>
      </w:r>
      <w:r>
        <w:rPr>
          <w:vertAlign w:val="baseline"/>
        </w:rPr>
        <w:t>promotes</w:t>
      </w:r>
      <w:r>
        <w:rPr>
          <w:spacing w:val="-13"/>
          <w:vertAlign w:val="baseline"/>
        </w:rPr>
        <w:t> </w:t>
      </w:r>
      <w:r>
        <w:rPr>
          <w:vertAlign w:val="baseline"/>
        </w:rPr>
        <w:t>the</w:t>
      </w:r>
      <w:r>
        <w:rPr>
          <w:spacing w:val="-13"/>
          <w:vertAlign w:val="baseline"/>
        </w:rPr>
        <w:t> </w:t>
      </w:r>
      <w:r>
        <w:rPr>
          <w:vertAlign w:val="baseline"/>
        </w:rPr>
        <w:t>representation of women in director positions, including both executive and non-executive directors) and encourages the fight against the under-representation of women</w:t>
      </w:r>
    </w:p>
    <w:p>
      <w:pPr>
        <w:pStyle w:val="BodyText"/>
        <w:spacing w:line="232" w:lineRule="auto"/>
        <w:ind w:left="1117" w:right="738"/>
      </w:pPr>
      <w:r>
        <w:rPr/>
        <w:t>at high levels of managerial positions by setting clear targets. Both directives are adopted</w:t>
      </w:r>
      <w:r>
        <w:rPr>
          <w:spacing w:val="-5"/>
        </w:rPr>
        <w:t> </w:t>
      </w:r>
      <w:r>
        <w:rPr/>
        <w:t>in</w:t>
      </w:r>
      <w:r>
        <w:rPr>
          <w:spacing w:val="-5"/>
        </w:rPr>
        <w:t> </w:t>
      </w:r>
      <w:r>
        <w:rPr/>
        <w:t>pursuance</w:t>
      </w:r>
      <w:r>
        <w:rPr>
          <w:spacing w:val="-4"/>
        </w:rPr>
        <w:t> </w:t>
      </w:r>
      <w:r>
        <w:rPr/>
        <w:t>of</w:t>
      </w:r>
      <w:r>
        <w:rPr>
          <w:spacing w:val="-5"/>
        </w:rPr>
        <w:t> </w:t>
      </w:r>
      <w:r>
        <w:rPr/>
        <w:t>the</w:t>
      </w:r>
      <w:r>
        <w:rPr>
          <w:spacing w:val="-4"/>
        </w:rPr>
        <w:t> </w:t>
      </w:r>
      <w:r>
        <w:rPr/>
        <w:t>Union</w:t>
      </w:r>
      <w:r>
        <w:rPr>
          <w:spacing w:val="-5"/>
        </w:rPr>
        <w:t> </w:t>
      </w:r>
      <w:r>
        <w:rPr/>
        <w:t>principle</w:t>
      </w:r>
      <w:r>
        <w:rPr>
          <w:spacing w:val="-4"/>
        </w:rPr>
        <w:t> </w:t>
      </w:r>
      <w:r>
        <w:rPr/>
        <w:t>of</w:t>
      </w:r>
      <w:r>
        <w:rPr>
          <w:spacing w:val="-5"/>
        </w:rPr>
        <w:t> </w:t>
      </w:r>
      <w:r>
        <w:rPr/>
        <w:t>promoting</w:t>
      </w:r>
      <w:r>
        <w:rPr>
          <w:spacing w:val="-4"/>
        </w:rPr>
        <w:t> </w:t>
      </w:r>
      <w:r>
        <w:rPr/>
        <w:t>equal</w:t>
      </w:r>
      <w:r>
        <w:rPr>
          <w:spacing w:val="-5"/>
        </w:rPr>
        <w:t> </w:t>
      </w:r>
      <w:r>
        <w:rPr/>
        <w:t>opportunities</w:t>
      </w:r>
      <w:r>
        <w:rPr>
          <w:spacing w:val="-5"/>
        </w:rPr>
        <w:t> </w:t>
      </w:r>
      <w:r>
        <w:rPr/>
        <w:t>and equal</w:t>
      </w:r>
      <w:r>
        <w:rPr>
          <w:spacing w:val="-2"/>
        </w:rPr>
        <w:t> </w:t>
      </w:r>
      <w:r>
        <w:rPr/>
        <w:t>treatment</w:t>
      </w:r>
      <w:r>
        <w:rPr>
          <w:spacing w:val="-1"/>
        </w:rPr>
        <w:t> </w:t>
      </w:r>
      <w:r>
        <w:rPr/>
        <w:t>of</w:t>
      </w:r>
      <w:r>
        <w:rPr>
          <w:spacing w:val="-2"/>
        </w:rPr>
        <w:t> </w:t>
      </w:r>
      <w:r>
        <w:rPr/>
        <w:t>men</w:t>
      </w:r>
      <w:r>
        <w:rPr>
          <w:spacing w:val="-2"/>
        </w:rPr>
        <w:t> </w:t>
      </w:r>
      <w:r>
        <w:rPr/>
        <w:t>and</w:t>
      </w:r>
      <w:r>
        <w:rPr>
          <w:spacing w:val="-2"/>
        </w:rPr>
        <w:t> </w:t>
      </w:r>
      <w:r>
        <w:rPr/>
        <w:t>women</w:t>
      </w:r>
      <w:r>
        <w:rPr>
          <w:spacing w:val="-2"/>
        </w:rPr>
        <w:t> </w:t>
      </w:r>
      <w:r>
        <w:rPr/>
        <w:t>in</w:t>
      </w:r>
      <w:r>
        <w:rPr>
          <w:spacing w:val="-2"/>
        </w:rPr>
        <w:t> </w:t>
      </w:r>
      <w:r>
        <w:rPr/>
        <w:t>matters</w:t>
      </w:r>
      <w:r>
        <w:rPr>
          <w:spacing w:val="-2"/>
        </w:rPr>
        <w:t> </w:t>
      </w:r>
      <w:r>
        <w:rPr/>
        <w:t>of</w:t>
      </w:r>
      <w:r>
        <w:rPr>
          <w:spacing w:val="-2"/>
        </w:rPr>
        <w:t> </w:t>
      </w:r>
      <w:r>
        <w:rPr/>
        <w:t>employment</w:t>
      </w:r>
      <w:r>
        <w:rPr>
          <w:spacing w:val="-1"/>
        </w:rPr>
        <w:t> </w:t>
      </w:r>
      <w:r>
        <w:rPr/>
        <w:t>and</w:t>
      </w:r>
      <w:r>
        <w:rPr>
          <w:spacing w:val="-2"/>
        </w:rPr>
        <w:t> </w:t>
      </w:r>
      <w:r>
        <w:rPr/>
        <w:t>occupation.</w:t>
      </w:r>
      <w:r>
        <w:rPr>
          <w:vertAlign w:val="superscript"/>
        </w:rPr>
        <w:t>454</w:t>
      </w:r>
      <w:r>
        <w:rPr>
          <w:vertAlign w:val="baseline"/>
        </w:rPr>
        <w:t> Both directives specifically countenance the possibility of positive action.</w:t>
      </w:r>
      <w:r>
        <w:rPr>
          <w:vertAlign w:val="superscript"/>
        </w:rPr>
        <w:t>455</w:t>
      </w:r>
    </w:p>
    <w:p>
      <w:pPr>
        <w:pStyle w:val="BodyText"/>
        <w:spacing w:line="232" w:lineRule="auto" w:before="269"/>
        <w:ind w:left="1117" w:right="1404"/>
      </w:pPr>
      <w:r>
        <w:rPr/>
        <w:t>At present, there is no NI legislation aimed at improving the gender balance on</w:t>
      </w:r>
      <w:r>
        <w:rPr>
          <w:spacing w:val="-5"/>
        </w:rPr>
        <w:t> </w:t>
      </w:r>
      <w:r>
        <w:rPr/>
        <w:t>companies’</w:t>
      </w:r>
      <w:r>
        <w:rPr>
          <w:spacing w:val="-4"/>
        </w:rPr>
        <w:t> </w:t>
      </w:r>
      <w:r>
        <w:rPr/>
        <w:t>boards.</w:t>
      </w:r>
      <w:r>
        <w:rPr>
          <w:spacing w:val="-5"/>
        </w:rPr>
        <w:t> </w:t>
      </w:r>
      <w:r>
        <w:rPr/>
        <w:t>The</w:t>
      </w:r>
      <w:r>
        <w:rPr>
          <w:spacing w:val="-4"/>
        </w:rPr>
        <w:t> </w:t>
      </w:r>
      <w:r>
        <w:rPr/>
        <w:t>UK</w:t>
      </w:r>
      <w:r>
        <w:rPr>
          <w:spacing w:val="-4"/>
        </w:rPr>
        <w:t> </w:t>
      </w:r>
      <w:r>
        <w:rPr/>
        <w:t>Financial</w:t>
      </w:r>
      <w:r>
        <w:rPr>
          <w:spacing w:val="-5"/>
        </w:rPr>
        <w:t> </w:t>
      </w:r>
      <w:r>
        <w:rPr/>
        <w:t>Conduct</w:t>
      </w:r>
      <w:r>
        <w:rPr>
          <w:spacing w:val="-4"/>
        </w:rPr>
        <w:t> </w:t>
      </w:r>
      <w:r>
        <w:rPr/>
        <w:t>Authority</w:t>
      </w:r>
      <w:r>
        <w:rPr>
          <w:spacing w:val="-4"/>
        </w:rPr>
        <w:t> </w:t>
      </w:r>
      <w:r>
        <w:rPr/>
        <w:t>published</w:t>
      </w:r>
      <w:r>
        <w:rPr>
          <w:spacing w:val="-5"/>
        </w:rPr>
        <w:t> </w:t>
      </w:r>
      <w:r>
        <w:rPr/>
        <w:t>a</w:t>
      </w:r>
      <w:r>
        <w:rPr>
          <w:spacing w:val="-5"/>
        </w:rPr>
        <w:t> </w:t>
      </w:r>
      <w:r>
        <w:rPr/>
        <w:t>Policy Statement on diversity and inclusion for company boards and executive management in April 2022. Its revised Listing Rules apply to certain listed</w:t>
      </w:r>
    </w:p>
    <w:p>
      <w:pPr>
        <w:pStyle w:val="BodyText"/>
        <w:spacing w:line="232" w:lineRule="auto"/>
        <w:ind w:left="1117" w:right="872"/>
      </w:pPr>
      <w:r>
        <w:rPr/>
        <w:t>companies and include, inter alia, a requirement that a minimum of 40% women be on their executive boards. However, failure to meet such targets does not constitute</w:t>
      </w:r>
      <w:r>
        <w:rPr>
          <w:spacing w:val="-5"/>
        </w:rPr>
        <w:t> </w:t>
      </w:r>
      <w:r>
        <w:rPr/>
        <w:t>a</w:t>
      </w:r>
      <w:r>
        <w:rPr>
          <w:spacing w:val="-6"/>
        </w:rPr>
        <w:t> </w:t>
      </w:r>
      <w:r>
        <w:rPr/>
        <w:t>breach</w:t>
      </w:r>
      <w:r>
        <w:rPr>
          <w:spacing w:val="-6"/>
        </w:rPr>
        <w:t> </w:t>
      </w:r>
      <w:r>
        <w:rPr/>
        <w:t>of</w:t>
      </w:r>
      <w:r>
        <w:rPr>
          <w:spacing w:val="-6"/>
        </w:rPr>
        <w:t> </w:t>
      </w:r>
      <w:r>
        <w:rPr/>
        <w:t>the</w:t>
      </w:r>
      <w:r>
        <w:rPr>
          <w:spacing w:val="-5"/>
        </w:rPr>
        <w:t> </w:t>
      </w:r>
      <w:r>
        <w:rPr/>
        <w:t>Listing</w:t>
      </w:r>
      <w:r>
        <w:rPr>
          <w:spacing w:val="-5"/>
        </w:rPr>
        <w:t> </w:t>
      </w:r>
      <w:r>
        <w:rPr/>
        <w:t>Rules</w:t>
      </w:r>
      <w:r>
        <w:rPr>
          <w:spacing w:val="-6"/>
        </w:rPr>
        <w:t> </w:t>
      </w:r>
      <w:r>
        <w:rPr/>
        <w:t>if</w:t>
      </w:r>
      <w:r>
        <w:rPr>
          <w:spacing w:val="-6"/>
        </w:rPr>
        <w:t> </w:t>
      </w:r>
      <w:r>
        <w:rPr/>
        <w:t>the</w:t>
      </w:r>
      <w:r>
        <w:rPr>
          <w:spacing w:val="-5"/>
        </w:rPr>
        <w:t> </w:t>
      </w:r>
      <w:r>
        <w:rPr/>
        <w:t>company</w:t>
      </w:r>
      <w:r>
        <w:rPr>
          <w:spacing w:val="-5"/>
        </w:rPr>
        <w:t> </w:t>
      </w:r>
      <w:r>
        <w:rPr/>
        <w:t>discloses</w:t>
      </w:r>
      <w:r>
        <w:rPr>
          <w:spacing w:val="-6"/>
        </w:rPr>
        <w:t> </w:t>
      </w:r>
      <w:r>
        <w:rPr/>
        <w:t>its</w:t>
      </w:r>
      <w:r>
        <w:rPr>
          <w:spacing w:val="-6"/>
        </w:rPr>
        <w:t> </w:t>
      </w:r>
      <w:r>
        <w:rPr/>
        <w:t>reasons</w:t>
      </w:r>
      <w:r>
        <w:rPr>
          <w:spacing w:val="-6"/>
        </w:rPr>
        <w:t> </w:t>
      </w:r>
      <w:r>
        <w:rPr/>
        <w:t>for</w:t>
      </w:r>
      <w:r>
        <w:rPr>
          <w:spacing w:val="-5"/>
        </w:rPr>
        <w:t> </w:t>
      </w:r>
      <w:r>
        <w:rPr/>
        <w:t>not meeting the relevant target.</w:t>
      </w:r>
    </w:p>
    <w:p>
      <w:pPr>
        <w:pStyle w:val="BodyText"/>
        <w:spacing w:line="232" w:lineRule="auto" w:before="272"/>
        <w:ind w:left="1117" w:right="738"/>
      </w:pPr>
      <w:r>
        <w:rPr/>
        <w:t>Ireland will need to comply with the terms of the Gender Balance on Boards Directive</w:t>
      </w:r>
      <w:r>
        <w:rPr>
          <w:spacing w:val="-4"/>
        </w:rPr>
        <w:t> </w:t>
      </w:r>
      <w:r>
        <w:rPr/>
        <w:t>and</w:t>
      </w:r>
      <w:r>
        <w:rPr>
          <w:spacing w:val="-5"/>
        </w:rPr>
        <w:t> </w:t>
      </w:r>
      <w:r>
        <w:rPr/>
        <w:t>so</w:t>
      </w:r>
      <w:r>
        <w:rPr>
          <w:spacing w:val="-5"/>
        </w:rPr>
        <w:t> </w:t>
      </w:r>
      <w:r>
        <w:rPr/>
        <w:t>this</w:t>
      </w:r>
      <w:r>
        <w:rPr>
          <w:spacing w:val="-5"/>
        </w:rPr>
        <w:t> </w:t>
      </w:r>
      <w:r>
        <w:rPr/>
        <w:t>represents</w:t>
      </w:r>
      <w:r>
        <w:rPr>
          <w:spacing w:val="-5"/>
        </w:rPr>
        <w:t> </w:t>
      </w:r>
      <w:r>
        <w:rPr/>
        <w:t>a</w:t>
      </w:r>
      <w:r>
        <w:rPr>
          <w:spacing w:val="-5"/>
        </w:rPr>
        <w:t> </w:t>
      </w:r>
      <w:r>
        <w:rPr/>
        <w:t>risk</w:t>
      </w:r>
      <w:r>
        <w:rPr>
          <w:spacing w:val="-4"/>
        </w:rPr>
        <w:t> </w:t>
      </w:r>
      <w:r>
        <w:rPr/>
        <w:t>of</w:t>
      </w:r>
      <w:r>
        <w:rPr>
          <w:spacing w:val="-5"/>
        </w:rPr>
        <w:t> </w:t>
      </w:r>
      <w:r>
        <w:rPr/>
        <w:t>divergence</w:t>
      </w:r>
      <w:r>
        <w:rPr>
          <w:spacing w:val="-4"/>
        </w:rPr>
        <w:t> </w:t>
      </w:r>
      <w:r>
        <w:rPr/>
        <w:t>on</w:t>
      </w:r>
      <w:r>
        <w:rPr>
          <w:spacing w:val="-5"/>
        </w:rPr>
        <w:t> </w:t>
      </w:r>
      <w:r>
        <w:rPr/>
        <w:t>the</w:t>
      </w:r>
      <w:r>
        <w:rPr>
          <w:spacing w:val="-4"/>
        </w:rPr>
        <w:t> </w:t>
      </w:r>
      <w:r>
        <w:rPr/>
        <w:t>island</w:t>
      </w:r>
      <w:r>
        <w:rPr>
          <w:spacing w:val="-5"/>
        </w:rPr>
        <w:t> </w:t>
      </w:r>
      <w:r>
        <w:rPr/>
        <w:t>of</w:t>
      </w:r>
      <w:r>
        <w:rPr>
          <w:spacing w:val="-5"/>
        </w:rPr>
        <w:t> </w:t>
      </w:r>
      <w:r>
        <w:rPr/>
        <w:t>Ireland;</w:t>
      </w:r>
      <w:r>
        <w:rPr>
          <w:spacing w:val="-4"/>
        </w:rPr>
        <w:t> </w:t>
      </w:r>
      <w:r>
        <w:rPr/>
        <w:t>it</w:t>
      </w:r>
      <w:r>
        <w:rPr>
          <w:spacing w:val="-4"/>
        </w:rPr>
        <w:t> </w:t>
      </w:r>
      <w:r>
        <w:rPr/>
        <w:t>may particularly affect companies engaged in cross-border work.</w:t>
      </w:r>
    </w:p>
    <w:p>
      <w:pPr>
        <w:pStyle w:val="BodyText"/>
        <w:spacing w:before="11"/>
        <w:rPr>
          <w:sz w:val="5"/>
        </w:rPr>
      </w:pPr>
      <w:r>
        <w:rPr/>
        <mc:AlternateContent>
          <mc:Choice Requires="wps">
            <w:drawing>
              <wp:anchor distT="0" distB="0" distL="0" distR="0" allowOverlap="1" layoutInCell="1" locked="0" behindDoc="1" simplePos="0" relativeHeight="487728128">
                <wp:simplePos x="0" y="0"/>
                <wp:positionH relativeFrom="page">
                  <wp:posOffset>899999</wp:posOffset>
                </wp:positionH>
                <wp:positionV relativeFrom="paragraph">
                  <wp:posOffset>61200</wp:posOffset>
                </wp:positionV>
                <wp:extent cx="6012180" cy="1270"/>
                <wp:effectExtent l="0" t="0" r="0" b="0"/>
                <wp:wrapTopAndBottom/>
                <wp:docPr id="740" name="Graphic 740"/>
                <wp:cNvGraphicFramePr>
                  <a:graphicFrameLocks/>
                </wp:cNvGraphicFramePr>
                <a:graphic>
                  <a:graphicData uri="http://schemas.microsoft.com/office/word/2010/wordprocessingShape">
                    <wps:wsp>
                      <wps:cNvPr id="740" name="Graphic 74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818969pt;width:473.4pt;height:.1pt;mso-position-horizontal-relative:page;mso-position-vertical-relative:paragraph;z-index:-15588352;mso-wrap-distance-left:0;mso-wrap-distance-right:0" id="docshape601" coordorigin="1417,96" coordsize="9468,0" path="m1417,96l10885,96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818" w:hanging="567"/>
        <w:jc w:val="left"/>
        <w:rPr>
          <w:sz w:val="18"/>
        </w:rPr>
      </w:pPr>
      <w:r>
        <w:rPr>
          <w:color w:val="1D71B8"/>
          <w:sz w:val="18"/>
          <w:u w:val="single" w:color="1D71B8"/>
        </w:rPr>
        <w:t>EU Directive 2022/2381</w:t>
      </w:r>
      <w:r>
        <w:rPr>
          <w:color w:val="1D71B8"/>
          <w:sz w:val="18"/>
          <w:u w:val="none"/>
        </w:rPr>
        <w:t> </w:t>
      </w:r>
      <w:r>
        <w:rPr>
          <w:sz w:val="18"/>
          <w:u w:val="none"/>
        </w:rPr>
        <w:t>on improving the gender balance among directors of listed companies and related measures. Member</w:t>
      </w:r>
      <w:r>
        <w:rPr>
          <w:spacing w:val="-4"/>
          <w:sz w:val="18"/>
          <w:u w:val="none"/>
        </w:rPr>
        <w:t> </w:t>
      </w:r>
      <w:r>
        <w:rPr>
          <w:sz w:val="18"/>
          <w:u w:val="none"/>
        </w:rPr>
        <w:t>States</w:t>
      </w:r>
      <w:r>
        <w:rPr>
          <w:spacing w:val="-5"/>
          <w:sz w:val="18"/>
          <w:u w:val="none"/>
        </w:rPr>
        <w:t> </w:t>
      </w:r>
      <w:r>
        <w:rPr>
          <w:sz w:val="18"/>
          <w:u w:val="none"/>
        </w:rPr>
        <w:t>must</w:t>
      </w:r>
      <w:r>
        <w:rPr>
          <w:spacing w:val="-4"/>
          <w:sz w:val="18"/>
          <w:u w:val="none"/>
        </w:rPr>
        <w:t> </w:t>
      </w:r>
      <w:r>
        <w:rPr>
          <w:sz w:val="18"/>
          <w:u w:val="none"/>
        </w:rPr>
        <w:t>adopt</w:t>
      </w:r>
      <w:r>
        <w:rPr>
          <w:spacing w:val="-4"/>
          <w:sz w:val="18"/>
          <w:u w:val="none"/>
        </w:rPr>
        <w:t> </w:t>
      </w:r>
      <w:r>
        <w:rPr>
          <w:sz w:val="18"/>
          <w:u w:val="none"/>
        </w:rPr>
        <w:t>and</w:t>
      </w:r>
      <w:r>
        <w:rPr>
          <w:spacing w:val="-5"/>
          <w:sz w:val="18"/>
          <w:u w:val="none"/>
        </w:rPr>
        <w:t> </w:t>
      </w:r>
      <w:r>
        <w:rPr>
          <w:sz w:val="18"/>
          <w:u w:val="none"/>
        </w:rPr>
        <w:t>publish</w:t>
      </w:r>
      <w:r>
        <w:rPr>
          <w:spacing w:val="-5"/>
          <w:sz w:val="18"/>
          <w:u w:val="none"/>
        </w:rPr>
        <w:t> </w:t>
      </w:r>
      <w:r>
        <w:rPr>
          <w:sz w:val="18"/>
          <w:u w:val="none"/>
        </w:rPr>
        <w:t>the</w:t>
      </w:r>
      <w:r>
        <w:rPr>
          <w:spacing w:val="-4"/>
          <w:sz w:val="18"/>
          <w:u w:val="none"/>
        </w:rPr>
        <w:t> </w:t>
      </w:r>
      <w:r>
        <w:rPr>
          <w:sz w:val="18"/>
          <w:u w:val="none"/>
        </w:rPr>
        <w:t>laws,</w:t>
      </w:r>
      <w:r>
        <w:rPr>
          <w:spacing w:val="-4"/>
          <w:sz w:val="18"/>
          <w:u w:val="none"/>
        </w:rPr>
        <w:t> </w:t>
      </w:r>
      <w:r>
        <w:rPr>
          <w:sz w:val="18"/>
          <w:u w:val="none"/>
        </w:rPr>
        <w:t>regulations</w:t>
      </w:r>
      <w:r>
        <w:rPr>
          <w:spacing w:val="-5"/>
          <w:sz w:val="18"/>
          <w:u w:val="none"/>
        </w:rPr>
        <w:t> </w:t>
      </w:r>
      <w:r>
        <w:rPr>
          <w:sz w:val="18"/>
          <w:u w:val="none"/>
        </w:rPr>
        <w:t>and</w:t>
      </w:r>
      <w:r>
        <w:rPr>
          <w:spacing w:val="-5"/>
          <w:sz w:val="18"/>
          <w:u w:val="none"/>
        </w:rPr>
        <w:t> </w:t>
      </w:r>
      <w:r>
        <w:rPr>
          <w:sz w:val="18"/>
          <w:u w:val="none"/>
        </w:rPr>
        <w:t>administrative</w:t>
      </w:r>
      <w:r>
        <w:rPr>
          <w:spacing w:val="-4"/>
          <w:sz w:val="18"/>
          <w:u w:val="none"/>
        </w:rPr>
        <w:t> </w:t>
      </w:r>
      <w:r>
        <w:rPr>
          <w:sz w:val="18"/>
          <w:u w:val="none"/>
        </w:rPr>
        <w:t>provisions</w:t>
      </w:r>
      <w:r>
        <w:rPr>
          <w:spacing w:val="-5"/>
          <w:sz w:val="18"/>
          <w:u w:val="none"/>
        </w:rPr>
        <w:t> </w:t>
      </w:r>
      <w:r>
        <w:rPr>
          <w:sz w:val="18"/>
          <w:u w:val="none"/>
        </w:rPr>
        <w:t>necessary</w:t>
      </w:r>
      <w:r>
        <w:rPr>
          <w:spacing w:val="-4"/>
          <w:sz w:val="18"/>
          <w:u w:val="none"/>
        </w:rPr>
        <w:t> </w:t>
      </w:r>
      <w:r>
        <w:rPr>
          <w:sz w:val="18"/>
          <w:u w:val="none"/>
        </w:rPr>
        <w:t>to</w:t>
      </w:r>
      <w:r>
        <w:rPr>
          <w:spacing w:val="-5"/>
          <w:sz w:val="18"/>
          <w:u w:val="none"/>
        </w:rPr>
        <w:t> </w:t>
      </w:r>
      <w:r>
        <w:rPr>
          <w:sz w:val="18"/>
          <w:u w:val="none"/>
        </w:rPr>
        <w:t>comply</w:t>
      </w:r>
      <w:r>
        <w:rPr>
          <w:spacing w:val="-4"/>
          <w:sz w:val="18"/>
          <w:u w:val="none"/>
        </w:rPr>
        <w:t> </w:t>
      </w:r>
      <w:r>
        <w:rPr>
          <w:sz w:val="18"/>
          <w:u w:val="none"/>
        </w:rPr>
        <w:t>with</w:t>
      </w:r>
      <w:r>
        <w:rPr>
          <w:spacing w:val="-5"/>
          <w:sz w:val="18"/>
          <w:u w:val="none"/>
        </w:rPr>
        <w:t> </w:t>
      </w:r>
      <w:r>
        <w:rPr>
          <w:sz w:val="18"/>
          <w:u w:val="none"/>
        </w:rPr>
        <w:t>this Directive by 28 December 2024.</w:t>
      </w:r>
    </w:p>
    <w:p>
      <w:pPr>
        <w:pStyle w:val="ListParagraph"/>
        <w:numPr>
          <w:ilvl w:val="0"/>
          <w:numId w:val="18"/>
        </w:numPr>
        <w:tabs>
          <w:tab w:pos="1684" w:val="left" w:leader="none"/>
        </w:tabs>
        <w:spacing w:line="240" w:lineRule="auto" w:before="1" w:after="0"/>
        <w:ind w:left="1684" w:right="737" w:hanging="567"/>
        <w:jc w:val="left"/>
        <w:rPr>
          <w:sz w:val="18"/>
        </w:rPr>
      </w:pPr>
      <w:hyperlink r:id="rId132">
        <w:r>
          <w:rPr>
            <w:color w:val="1D71B8"/>
            <w:sz w:val="18"/>
            <w:u w:val="single" w:color="1D71B8"/>
          </w:rPr>
          <w:t>Directive</w:t>
        </w:r>
        <w:r>
          <w:rPr>
            <w:color w:val="1D71B8"/>
            <w:spacing w:val="-3"/>
            <w:sz w:val="18"/>
            <w:u w:val="single" w:color="1D71B8"/>
          </w:rPr>
          <w:t> </w:t>
        </w:r>
        <w:r>
          <w:rPr>
            <w:color w:val="1D71B8"/>
            <w:sz w:val="18"/>
            <w:u w:val="single" w:color="1D71B8"/>
          </w:rPr>
          <w:t>2006/54/EC</w:t>
        </w:r>
      </w:hyperlink>
      <w:r>
        <w:rPr>
          <w:color w:val="1D71B8"/>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3"/>
          <w:sz w:val="18"/>
          <w:u w:val="none"/>
        </w:rPr>
        <w:t> </w:t>
      </w:r>
      <w:r>
        <w:rPr>
          <w:sz w:val="18"/>
          <w:u w:val="none"/>
        </w:rPr>
        <w:t>Parliament</w:t>
      </w:r>
      <w:r>
        <w:rPr>
          <w:spacing w:val="-3"/>
          <w:sz w:val="18"/>
          <w:u w:val="none"/>
        </w:rPr>
        <w:t> </w:t>
      </w:r>
      <w:r>
        <w:rPr>
          <w:sz w:val="18"/>
          <w:u w:val="none"/>
        </w:rPr>
        <w:t>and</w:t>
      </w:r>
      <w:r>
        <w:rPr>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Council</w:t>
      </w:r>
      <w:r>
        <w:rPr>
          <w:spacing w:val="-3"/>
          <w:sz w:val="18"/>
          <w:u w:val="none"/>
        </w:rPr>
        <w:t> </w:t>
      </w:r>
      <w:r>
        <w:rPr>
          <w:sz w:val="18"/>
          <w:u w:val="none"/>
        </w:rPr>
        <w:t>of</w:t>
      </w:r>
      <w:r>
        <w:rPr>
          <w:spacing w:val="-4"/>
          <w:sz w:val="18"/>
          <w:u w:val="none"/>
        </w:rPr>
        <w:t> </w:t>
      </w:r>
      <w:r>
        <w:rPr>
          <w:sz w:val="18"/>
          <w:u w:val="none"/>
        </w:rPr>
        <w:t>5</w:t>
      </w:r>
      <w:r>
        <w:rPr>
          <w:spacing w:val="-3"/>
          <w:sz w:val="18"/>
          <w:u w:val="none"/>
        </w:rPr>
        <w:t> </w:t>
      </w:r>
      <w:r>
        <w:rPr>
          <w:sz w:val="18"/>
          <w:u w:val="none"/>
        </w:rPr>
        <w:t>July</w:t>
      </w:r>
      <w:r>
        <w:rPr>
          <w:spacing w:val="-3"/>
          <w:sz w:val="18"/>
          <w:u w:val="none"/>
        </w:rPr>
        <w:t> </w:t>
      </w:r>
      <w:r>
        <w:rPr>
          <w:sz w:val="18"/>
          <w:u w:val="none"/>
        </w:rPr>
        <w:t>2006</w:t>
      </w:r>
      <w:r>
        <w:rPr>
          <w:spacing w:val="-4"/>
          <w:sz w:val="18"/>
          <w:u w:val="none"/>
        </w:rPr>
        <w:t> </w:t>
      </w:r>
      <w:r>
        <w:rPr>
          <w:sz w:val="18"/>
          <w:u w:val="none"/>
        </w:rPr>
        <w:t>on</w:t>
      </w:r>
      <w:r>
        <w:rPr>
          <w:spacing w:val="-3"/>
          <w:sz w:val="18"/>
          <w:u w:val="none"/>
        </w:rPr>
        <w:t> </w:t>
      </w:r>
      <w:r>
        <w:rPr>
          <w:sz w:val="18"/>
          <w:u w:val="none"/>
        </w:rPr>
        <w:t>the</w:t>
      </w:r>
      <w:r>
        <w:rPr>
          <w:spacing w:val="-3"/>
          <w:sz w:val="18"/>
          <w:u w:val="none"/>
        </w:rPr>
        <w:t> </w:t>
      </w:r>
      <w:r>
        <w:rPr>
          <w:sz w:val="18"/>
          <w:u w:val="none"/>
        </w:rPr>
        <w:t>implementation</w:t>
      </w:r>
      <w:r>
        <w:rPr>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principle of equal opportunities and equal treatment of men and women in matters of employment and occupation.</w:t>
      </w:r>
    </w:p>
    <w:p>
      <w:pPr>
        <w:pStyle w:val="ListParagraph"/>
        <w:numPr>
          <w:ilvl w:val="0"/>
          <w:numId w:val="18"/>
        </w:numPr>
        <w:tabs>
          <w:tab w:pos="1684" w:val="left" w:leader="none"/>
        </w:tabs>
        <w:spacing w:line="240" w:lineRule="auto" w:before="1" w:after="0"/>
        <w:ind w:left="1684" w:right="1043" w:hanging="567"/>
        <w:jc w:val="left"/>
        <w:rPr>
          <w:sz w:val="18"/>
        </w:rPr>
      </w:pPr>
      <w:r>
        <w:rPr>
          <w:sz w:val="18"/>
        </w:rPr>
        <w:t>Recital 2 of the Gender Balance on Boards Directive </w:t>
      </w:r>
      <w:r>
        <w:rPr>
          <w:color w:val="1D71B8"/>
          <w:sz w:val="18"/>
          <w:u w:val="single" w:color="1D71B8"/>
        </w:rPr>
        <w:t>EU Directive 2022/2381</w:t>
      </w:r>
      <w:r>
        <w:rPr>
          <w:sz w:val="18"/>
          <w:u w:val="none"/>
        </w:rPr>
        <w:t>, recital 4 of the Gender Equality (Employment)</w:t>
      </w:r>
      <w:r>
        <w:rPr>
          <w:spacing w:val="-6"/>
          <w:sz w:val="18"/>
          <w:u w:val="none"/>
        </w:rPr>
        <w:t> </w:t>
      </w:r>
      <w:r>
        <w:rPr>
          <w:sz w:val="18"/>
          <w:u w:val="none"/>
        </w:rPr>
        <w:t>Directive</w:t>
      </w:r>
      <w:r>
        <w:rPr>
          <w:spacing w:val="-6"/>
          <w:sz w:val="18"/>
          <w:u w:val="none"/>
        </w:rPr>
        <w:t> </w:t>
      </w:r>
      <w:hyperlink r:id="rId132">
        <w:r>
          <w:rPr>
            <w:color w:val="1D71B8"/>
            <w:sz w:val="18"/>
            <w:u w:val="single" w:color="1D71B8"/>
          </w:rPr>
          <w:t>Directive</w:t>
        </w:r>
        <w:r>
          <w:rPr>
            <w:color w:val="1D71B8"/>
            <w:spacing w:val="-6"/>
            <w:sz w:val="18"/>
            <w:u w:val="single" w:color="1D71B8"/>
          </w:rPr>
          <w:t> </w:t>
        </w:r>
        <w:r>
          <w:rPr>
            <w:color w:val="1D71B8"/>
            <w:sz w:val="18"/>
            <w:u w:val="single" w:color="1D71B8"/>
          </w:rPr>
          <w:t>2006/54/EC</w:t>
        </w:r>
      </w:hyperlink>
      <w:r>
        <w:rPr>
          <w:sz w:val="18"/>
          <w:u w:val="none"/>
        </w:rPr>
        <w:t>,</w:t>
      </w:r>
      <w:r>
        <w:rPr>
          <w:spacing w:val="-6"/>
          <w:sz w:val="18"/>
          <w:u w:val="none"/>
        </w:rPr>
        <w:t> </w:t>
      </w:r>
      <w:r>
        <w:rPr>
          <w:sz w:val="18"/>
          <w:u w:val="none"/>
        </w:rPr>
        <w:t>referring</w:t>
      </w:r>
      <w:r>
        <w:rPr>
          <w:spacing w:val="-6"/>
          <w:sz w:val="18"/>
          <w:u w:val="none"/>
        </w:rPr>
        <w:t> </w:t>
      </w:r>
      <w:r>
        <w:rPr>
          <w:sz w:val="18"/>
          <w:u w:val="none"/>
        </w:rPr>
        <w:t>to</w:t>
      </w:r>
      <w:r>
        <w:rPr>
          <w:spacing w:val="-6"/>
          <w:sz w:val="18"/>
          <w:u w:val="none"/>
        </w:rPr>
        <w:t> </w:t>
      </w:r>
      <w:r>
        <w:rPr>
          <w:sz w:val="18"/>
          <w:u w:val="none"/>
        </w:rPr>
        <w:t>Article</w:t>
      </w:r>
      <w:r>
        <w:rPr>
          <w:spacing w:val="-6"/>
          <w:sz w:val="18"/>
          <w:u w:val="none"/>
        </w:rPr>
        <w:t> </w:t>
      </w:r>
      <w:r>
        <w:rPr>
          <w:sz w:val="18"/>
          <w:u w:val="none"/>
        </w:rPr>
        <w:t>157</w:t>
      </w:r>
      <w:r>
        <w:rPr>
          <w:spacing w:val="-6"/>
          <w:sz w:val="18"/>
          <w:u w:val="none"/>
        </w:rPr>
        <w:t> </w:t>
      </w:r>
      <w:r>
        <w:rPr>
          <w:sz w:val="18"/>
          <w:u w:val="none"/>
        </w:rPr>
        <w:t>TFEU</w:t>
      </w:r>
      <w:r>
        <w:rPr>
          <w:spacing w:val="-6"/>
          <w:sz w:val="18"/>
          <w:u w:val="none"/>
        </w:rPr>
        <w:t> </w:t>
      </w:r>
      <w:r>
        <w:rPr>
          <w:sz w:val="18"/>
          <w:u w:val="none"/>
        </w:rPr>
        <w:t>(formerly</w:t>
      </w:r>
      <w:r>
        <w:rPr>
          <w:spacing w:val="-6"/>
          <w:sz w:val="18"/>
          <w:u w:val="none"/>
        </w:rPr>
        <w:t> </w:t>
      </w:r>
      <w:r>
        <w:rPr>
          <w:sz w:val="18"/>
          <w:u w:val="none"/>
        </w:rPr>
        <w:t>Article</w:t>
      </w:r>
      <w:r>
        <w:rPr>
          <w:spacing w:val="-6"/>
          <w:sz w:val="18"/>
          <w:u w:val="none"/>
        </w:rPr>
        <w:t> </w:t>
      </w:r>
      <w:r>
        <w:rPr>
          <w:sz w:val="18"/>
          <w:u w:val="none"/>
        </w:rPr>
        <w:t>141).</w:t>
      </w:r>
      <w:r>
        <w:rPr>
          <w:spacing w:val="-6"/>
          <w:sz w:val="18"/>
          <w:u w:val="none"/>
        </w:rPr>
        <w:t> </w:t>
      </w:r>
      <w:r>
        <w:rPr>
          <w:sz w:val="18"/>
          <w:u w:val="none"/>
        </w:rPr>
        <w:t>Both</w:t>
      </w:r>
      <w:r>
        <w:rPr>
          <w:spacing w:val="-6"/>
          <w:sz w:val="18"/>
          <w:u w:val="none"/>
        </w:rPr>
        <w:t> </w:t>
      </w:r>
      <w:r>
        <w:rPr>
          <w:sz w:val="18"/>
          <w:u w:val="none"/>
        </w:rPr>
        <w:t>also</w:t>
      </w:r>
      <w:r>
        <w:rPr>
          <w:spacing w:val="-6"/>
          <w:sz w:val="18"/>
          <w:u w:val="none"/>
        </w:rPr>
        <w:t> </w:t>
      </w:r>
      <w:r>
        <w:rPr>
          <w:sz w:val="18"/>
          <w:u w:val="none"/>
        </w:rPr>
        <w:t>reference Articles 2 and 3 on equality as a value and the promotion of equality of men and women.</w:t>
      </w:r>
    </w:p>
    <w:p>
      <w:pPr>
        <w:pStyle w:val="ListParagraph"/>
        <w:numPr>
          <w:ilvl w:val="0"/>
          <w:numId w:val="18"/>
        </w:numPr>
        <w:tabs>
          <w:tab w:pos="1684" w:val="left" w:leader="none"/>
        </w:tabs>
        <w:spacing w:line="240" w:lineRule="auto" w:before="1" w:after="0"/>
        <w:ind w:left="1684" w:right="1305" w:hanging="567"/>
        <w:jc w:val="left"/>
        <w:rPr>
          <w:sz w:val="18"/>
        </w:rPr>
      </w:pPr>
      <w:r>
        <w:rPr>
          <w:sz w:val="18"/>
        </w:rPr>
        <w:t>Recitals</w:t>
      </w:r>
      <w:r>
        <w:rPr>
          <w:spacing w:val="-4"/>
          <w:sz w:val="18"/>
        </w:rPr>
        <w:t> </w:t>
      </w:r>
      <w:r>
        <w:rPr>
          <w:sz w:val="18"/>
        </w:rPr>
        <w:t>3,</w:t>
      </w:r>
      <w:r>
        <w:rPr>
          <w:spacing w:val="-3"/>
          <w:sz w:val="18"/>
        </w:rPr>
        <w:t> </w:t>
      </w:r>
      <w:r>
        <w:rPr>
          <w:sz w:val="18"/>
        </w:rPr>
        <w:t>6,</w:t>
      </w:r>
      <w:r>
        <w:rPr>
          <w:spacing w:val="-3"/>
          <w:sz w:val="18"/>
        </w:rPr>
        <w:t> </w:t>
      </w:r>
      <w:r>
        <w:rPr>
          <w:sz w:val="18"/>
        </w:rPr>
        <w:t>25,</w:t>
      </w:r>
      <w:r>
        <w:rPr>
          <w:spacing w:val="-3"/>
          <w:sz w:val="18"/>
        </w:rPr>
        <w:t> </w:t>
      </w:r>
      <w:r>
        <w:rPr>
          <w:sz w:val="18"/>
        </w:rPr>
        <w:t>38,</w:t>
      </w:r>
      <w:r>
        <w:rPr>
          <w:spacing w:val="-3"/>
          <w:sz w:val="18"/>
        </w:rPr>
        <w:t> </w:t>
      </w:r>
      <w:r>
        <w:rPr>
          <w:sz w:val="18"/>
        </w:rPr>
        <w:t>40</w:t>
      </w:r>
      <w:r>
        <w:rPr>
          <w:spacing w:val="-3"/>
          <w:sz w:val="18"/>
        </w:rPr>
        <w:t> </w:t>
      </w:r>
      <w:r>
        <w:rPr>
          <w:sz w:val="18"/>
        </w:rPr>
        <w:t>of</w:t>
      </w:r>
      <w:r>
        <w:rPr>
          <w:spacing w:val="-4"/>
          <w:sz w:val="18"/>
        </w:rPr>
        <w:t> </w:t>
      </w:r>
      <w:r>
        <w:rPr>
          <w:sz w:val="18"/>
        </w:rPr>
        <w:t>the</w:t>
      </w:r>
      <w:r>
        <w:rPr>
          <w:spacing w:val="-3"/>
          <w:sz w:val="18"/>
        </w:rPr>
        <w:t> </w:t>
      </w:r>
      <w:r>
        <w:rPr>
          <w:sz w:val="18"/>
        </w:rPr>
        <w:t>Gender</w:t>
      </w:r>
      <w:r>
        <w:rPr>
          <w:spacing w:val="-3"/>
          <w:sz w:val="18"/>
        </w:rPr>
        <w:t> </w:t>
      </w:r>
      <w:r>
        <w:rPr>
          <w:sz w:val="18"/>
        </w:rPr>
        <w:t>Balance</w:t>
      </w:r>
      <w:r>
        <w:rPr>
          <w:spacing w:val="-3"/>
          <w:sz w:val="18"/>
        </w:rPr>
        <w:t> </w:t>
      </w:r>
      <w:r>
        <w:rPr>
          <w:sz w:val="18"/>
        </w:rPr>
        <w:t>on</w:t>
      </w:r>
      <w:r>
        <w:rPr>
          <w:spacing w:val="-4"/>
          <w:sz w:val="18"/>
        </w:rPr>
        <w:t> </w:t>
      </w:r>
      <w:r>
        <w:rPr>
          <w:sz w:val="18"/>
        </w:rPr>
        <w:t>Boards</w:t>
      </w:r>
      <w:r>
        <w:rPr>
          <w:spacing w:val="-4"/>
          <w:sz w:val="18"/>
        </w:rPr>
        <w:t> </w:t>
      </w:r>
      <w:r>
        <w:rPr>
          <w:sz w:val="18"/>
        </w:rPr>
        <w:t>Directive</w:t>
      </w:r>
      <w:r>
        <w:rPr>
          <w:spacing w:val="-5"/>
          <w:sz w:val="18"/>
        </w:rPr>
        <w:t> </w:t>
      </w:r>
      <w:r>
        <w:rPr>
          <w:color w:val="1D71B8"/>
          <w:sz w:val="18"/>
          <w:u w:val="single" w:color="1D71B8"/>
        </w:rPr>
        <w:t>EU</w:t>
      </w:r>
      <w:r>
        <w:rPr>
          <w:color w:val="1D71B8"/>
          <w:spacing w:val="-3"/>
          <w:sz w:val="18"/>
          <w:u w:val="single" w:color="1D71B8"/>
        </w:rPr>
        <w:t> </w:t>
      </w:r>
      <w:r>
        <w:rPr>
          <w:color w:val="1D71B8"/>
          <w:sz w:val="18"/>
          <w:u w:val="single" w:color="1D71B8"/>
        </w:rPr>
        <w:t>Directive</w:t>
      </w:r>
      <w:r>
        <w:rPr>
          <w:color w:val="1D71B8"/>
          <w:spacing w:val="-3"/>
          <w:sz w:val="18"/>
          <w:u w:val="single" w:color="1D71B8"/>
        </w:rPr>
        <w:t> </w:t>
      </w:r>
      <w:r>
        <w:rPr>
          <w:color w:val="1D71B8"/>
          <w:sz w:val="18"/>
          <w:u w:val="single" w:color="1D71B8"/>
        </w:rPr>
        <w:t>2022/2381</w:t>
      </w:r>
      <w:r>
        <w:rPr>
          <w:sz w:val="18"/>
          <w:u w:val="none"/>
        </w:rPr>
        <w:t>,</w:t>
      </w:r>
      <w:r>
        <w:rPr>
          <w:spacing w:val="-3"/>
          <w:sz w:val="18"/>
          <w:u w:val="none"/>
        </w:rPr>
        <w:t> </w:t>
      </w:r>
      <w:r>
        <w:rPr>
          <w:sz w:val="18"/>
          <w:u w:val="none"/>
        </w:rPr>
        <w:t>Article</w:t>
      </w:r>
      <w:r>
        <w:rPr>
          <w:spacing w:val="-3"/>
          <w:sz w:val="18"/>
          <w:u w:val="none"/>
        </w:rPr>
        <w:t> </w:t>
      </w:r>
      <w:r>
        <w:rPr>
          <w:sz w:val="18"/>
          <w:u w:val="none"/>
        </w:rPr>
        <w:t>3</w:t>
      </w:r>
      <w:r>
        <w:rPr>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Gender Equality (Employment) Directive, </w:t>
      </w:r>
      <w:hyperlink r:id="rId132">
        <w:r>
          <w:rPr>
            <w:color w:val="1D71B8"/>
            <w:sz w:val="18"/>
            <w:u w:val="single" w:color="1D71B8"/>
          </w:rPr>
          <w:t>Directive 2006/54/EC</w:t>
        </w:r>
      </w:hyperlink>
      <w:r>
        <w:rPr>
          <w:color w:val="1D71B8"/>
          <w:sz w:val="18"/>
          <w:u w:val="single" w:color="1D71B8"/>
        </w:rPr>
        <w:t>.</w:t>
      </w:r>
    </w:p>
    <w:p>
      <w:pPr>
        <w:spacing w:after="0" w:line="240" w:lineRule="auto"/>
        <w:jc w:val="left"/>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870976">
                <wp:simplePos x="0" y="0"/>
                <wp:positionH relativeFrom="page">
                  <wp:posOffset>0</wp:posOffset>
                </wp:positionH>
                <wp:positionV relativeFrom="page">
                  <wp:posOffset>0</wp:posOffset>
                </wp:positionV>
                <wp:extent cx="7560309" cy="1994535"/>
                <wp:effectExtent l="0" t="0" r="0" b="0"/>
                <wp:wrapNone/>
                <wp:docPr id="741" name="Group 741"/>
                <wp:cNvGraphicFramePr>
                  <a:graphicFrameLocks/>
                </wp:cNvGraphicFramePr>
                <a:graphic>
                  <a:graphicData uri="http://schemas.microsoft.com/office/word/2010/wordprocessingGroup">
                    <wpg:wgp>
                      <wpg:cNvPr id="741" name="Group 741"/>
                      <wpg:cNvGrpSpPr/>
                      <wpg:grpSpPr>
                        <a:xfrm>
                          <a:off x="0" y="0"/>
                          <a:ext cx="7560309" cy="1994535"/>
                          <a:chExt cx="7560309" cy="1994535"/>
                        </a:xfrm>
                      </wpg:grpSpPr>
                      <wps:wsp>
                        <wps:cNvPr id="742" name="Graphic 742"/>
                        <wps:cNvSpPr/>
                        <wps:spPr>
                          <a:xfrm>
                            <a:off x="647994" y="972002"/>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743" name="Graphic 743"/>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744" name="Graphic 744"/>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745" name="Textbox 745"/>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86</w:t>
                              </w:r>
                            </w:p>
                          </w:txbxContent>
                        </wps:txbx>
                        <wps:bodyPr wrap="square" lIns="0" tIns="0" rIns="0" bIns="0" rtlCol="0">
                          <a:noAutofit/>
                        </wps:bodyPr>
                      </wps:wsp>
                      <wps:wsp>
                        <wps:cNvPr id="746" name="Textbox 746"/>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747" name="Textbox 747"/>
                        <wps:cNvSpPr txBox="1"/>
                        <wps:spPr>
                          <a:xfrm>
                            <a:off x="864000" y="1080003"/>
                            <a:ext cx="5734685" cy="80645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5"/>
                                  <w:sz w:val="28"/>
                                </w:rPr>
                                <w:t> </w:t>
                              </w:r>
                              <w:r>
                                <w:rPr>
                                  <w:b/>
                                  <w:color w:val="164194"/>
                                  <w:sz w:val="28"/>
                                </w:rPr>
                                <w:t>that</w:t>
                              </w:r>
                              <w:r>
                                <w:rPr>
                                  <w:b/>
                                  <w:color w:val="164194"/>
                                  <w:spacing w:val="-6"/>
                                  <w:sz w:val="28"/>
                                </w:rPr>
                                <w:t> </w:t>
                              </w:r>
                              <w:r>
                                <w:rPr>
                                  <w:b/>
                                  <w:color w:val="164194"/>
                                  <w:sz w:val="28"/>
                                </w:rPr>
                                <w:t>the</w:t>
                              </w:r>
                              <w:r>
                                <w:rPr>
                                  <w:b/>
                                  <w:color w:val="164194"/>
                                  <w:spacing w:val="-6"/>
                                  <w:sz w:val="28"/>
                                </w:rPr>
                                <w:t> </w:t>
                              </w:r>
                              <w:r>
                                <w:rPr>
                                  <w:b/>
                                  <w:color w:val="164194"/>
                                  <w:sz w:val="28"/>
                                </w:rPr>
                                <w:t>Department</w:t>
                              </w:r>
                              <w:r>
                                <w:rPr>
                                  <w:b/>
                                  <w:color w:val="164194"/>
                                  <w:spacing w:val="-5"/>
                                  <w:sz w:val="28"/>
                                </w:rPr>
                                <w:t> </w:t>
                              </w:r>
                              <w:r>
                                <w:rPr>
                                  <w:b/>
                                  <w:color w:val="164194"/>
                                  <w:sz w:val="28"/>
                                </w:rPr>
                                <w:t>for</w:t>
                              </w:r>
                              <w:r>
                                <w:rPr>
                                  <w:b/>
                                  <w:color w:val="164194"/>
                                  <w:spacing w:val="-7"/>
                                  <w:sz w:val="28"/>
                                </w:rPr>
                                <w:t> </w:t>
                              </w:r>
                              <w:r>
                                <w:rPr>
                                  <w:b/>
                                  <w:color w:val="164194"/>
                                  <w:sz w:val="28"/>
                                </w:rPr>
                                <w:t>the</w:t>
                              </w:r>
                              <w:r>
                                <w:rPr>
                                  <w:b/>
                                  <w:color w:val="164194"/>
                                  <w:spacing w:val="-6"/>
                                  <w:sz w:val="28"/>
                                </w:rPr>
                                <w:t> </w:t>
                              </w:r>
                              <w:r>
                                <w:rPr>
                                  <w:b/>
                                  <w:color w:val="164194"/>
                                  <w:sz w:val="28"/>
                                </w:rPr>
                                <w:t>Economy</w:t>
                              </w:r>
                              <w:r>
                                <w:rPr>
                                  <w:b/>
                                  <w:color w:val="164194"/>
                                  <w:spacing w:val="-5"/>
                                  <w:sz w:val="28"/>
                                </w:rPr>
                                <w:t> </w:t>
                              </w:r>
                              <w:r>
                                <w:rPr>
                                  <w:b/>
                                  <w:color w:val="164194"/>
                                  <w:sz w:val="28"/>
                                </w:rPr>
                                <w:t>should</w:t>
                              </w:r>
                              <w:r>
                                <w:rPr>
                                  <w:b/>
                                  <w:color w:val="164194"/>
                                  <w:spacing w:val="-6"/>
                                  <w:sz w:val="28"/>
                                </w:rPr>
                                <w:t> </w:t>
                              </w:r>
                              <w:r>
                                <w:rPr>
                                  <w:b/>
                                  <w:color w:val="164194"/>
                                  <w:sz w:val="28"/>
                                </w:rPr>
                                <w:t>ensure</w:t>
                              </w:r>
                              <w:r>
                                <w:rPr>
                                  <w:b/>
                                  <w:color w:val="164194"/>
                                  <w:spacing w:val="-6"/>
                                  <w:sz w:val="28"/>
                                </w:rPr>
                                <w:t> </w:t>
                              </w:r>
                              <w:r>
                                <w:rPr>
                                  <w:b/>
                                  <w:color w:val="164194"/>
                                  <w:sz w:val="28"/>
                                </w:rPr>
                                <w:t>that</w:t>
                              </w:r>
                              <w:r>
                                <w:rPr>
                                  <w:b/>
                                  <w:color w:val="164194"/>
                                  <w:spacing w:val="-5"/>
                                  <w:sz w:val="28"/>
                                </w:rPr>
                                <w:t> NI</w:t>
                              </w:r>
                            </w:p>
                            <w:p>
                              <w:pPr>
                                <w:spacing w:line="232" w:lineRule="auto" w:before="0"/>
                                <w:ind w:left="0" w:right="2" w:firstLine="0"/>
                                <w:jc w:val="left"/>
                                <w:rPr>
                                  <w:b/>
                                  <w:sz w:val="28"/>
                                </w:rPr>
                              </w:pPr>
                              <w:r>
                                <w:rPr>
                                  <w:b/>
                                  <w:color w:val="164194"/>
                                  <w:sz w:val="28"/>
                                </w:rPr>
                                <w:t>law</w:t>
                              </w:r>
                              <w:r>
                                <w:rPr>
                                  <w:b/>
                                  <w:color w:val="164194"/>
                                  <w:spacing w:val="-6"/>
                                  <w:sz w:val="28"/>
                                </w:rPr>
                                <w:t> </w:t>
                              </w:r>
                              <w:r>
                                <w:rPr>
                                  <w:b/>
                                  <w:color w:val="164194"/>
                                  <w:sz w:val="28"/>
                                </w:rPr>
                                <w:t>voluntarily</w:t>
                              </w:r>
                              <w:r>
                                <w:rPr>
                                  <w:b/>
                                  <w:color w:val="164194"/>
                                  <w:spacing w:val="-6"/>
                                  <w:sz w:val="28"/>
                                </w:rPr>
                                <w:t> </w:t>
                              </w:r>
                              <w:r>
                                <w:rPr>
                                  <w:b/>
                                  <w:color w:val="164194"/>
                                  <w:sz w:val="28"/>
                                </w:rPr>
                                <w:t>aligns</w:t>
                              </w:r>
                              <w:r>
                                <w:rPr>
                                  <w:b/>
                                  <w:color w:val="164194"/>
                                  <w:spacing w:val="-6"/>
                                  <w:sz w:val="28"/>
                                </w:rPr>
                                <w:t> </w:t>
                              </w:r>
                              <w:r>
                                <w:rPr>
                                  <w:b/>
                                  <w:color w:val="164194"/>
                                  <w:sz w:val="28"/>
                                </w:rPr>
                                <w:t>with</w:t>
                              </w:r>
                              <w:r>
                                <w:rPr>
                                  <w:b/>
                                  <w:color w:val="164194"/>
                                  <w:spacing w:val="-6"/>
                                  <w:sz w:val="28"/>
                                </w:rPr>
                                <w:t> </w:t>
                              </w:r>
                              <w:r>
                                <w:rPr>
                                  <w:b/>
                                  <w:color w:val="164194"/>
                                  <w:sz w:val="28"/>
                                </w:rPr>
                                <w:t>the</w:t>
                              </w:r>
                              <w:r>
                                <w:rPr>
                                  <w:b/>
                                  <w:color w:val="164194"/>
                                  <w:spacing w:val="-6"/>
                                  <w:sz w:val="28"/>
                                </w:rPr>
                                <w:t> </w:t>
                              </w:r>
                              <w:r>
                                <w:rPr>
                                  <w:b/>
                                  <w:color w:val="164194"/>
                                  <w:sz w:val="28"/>
                                </w:rPr>
                                <w:t>requirements</w:t>
                              </w:r>
                              <w:r>
                                <w:rPr>
                                  <w:b/>
                                  <w:color w:val="164194"/>
                                  <w:spacing w:val="-6"/>
                                  <w:sz w:val="28"/>
                                </w:rPr>
                                <w:t> </w:t>
                              </w:r>
                              <w:r>
                                <w:rPr>
                                  <w:b/>
                                  <w:color w:val="164194"/>
                                  <w:sz w:val="28"/>
                                </w:rPr>
                                <w:t>of</w:t>
                              </w:r>
                              <w:r>
                                <w:rPr>
                                  <w:b/>
                                  <w:color w:val="164194"/>
                                  <w:spacing w:val="-6"/>
                                  <w:sz w:val="28"/>
                                </w:rPr>
                                <w:t> </w:t>
                              </w:r>
                              <w:r>
                                <w:rPr>
                                  <w:b/>
                                  <w:color w:val="164194"/>
                                  <w:sz w:val="28"/>
                                </w:rPr>
                                <w:t>the</w:t>
                              </w:r>
                              <w:r>
                                <w:rPr>
                                  <w:b/>
                                  <w:color w:val="164194"/>
                                  <w:spacing w:val="-6"/>
                                  <w:sz w:val="28"/>
                                </w:rPr>
                                <w:t> </w:t>
                              </w:r>
                              <w:r>
                                <w:rPr>
                                  <w:b/>
                                  <w:color w:val="164194"/>
                                  <w:sz w:val="28"/>
                                </w:rPr>
                                <w:t>Gender</w:t>
                              </w:r>
                              <w:r>
                                <w:rPr>
                                  <w:b/>
                                  <w:color w:val="164194"/>
                                  <w:spacing w:val="-6"/>
                                  <w:sz w:val="28"/>
                                </w:rPr>
                                <w:t> </w:t>
                              </w:r>
                              <w:r>
                                <w:rPr>
                                  <w:b/>
                                  <w:color w:val="164194"/>
                                  <w:sz w:val="28"/>
                                </w:rPr>
                                <w:t>Balance</w:t>
                              </w:r>
                              <w:r>
                                <w:rPr>
                                  <w:b/>
                                  <w:color w:val="164194"/>
                                  <w:spacing w:val="-6"/>
                                  <w:sz w:val="28"/>
                                </w:rPr>
                                <w:t> </w:t>
                              </w:r>
                              <w:r>
                                <w:rPr>
                                  <w:b/>
                                  <w:color w:val="164194"/>
                                  <w:sz w:val="28"/>
                                </w:rPr>
                                <w:t>on</w:t>
                              </w:r>
                              <w:r>
                                <w:rPr>
                                  <w:b/>
                                  <w:color w:val="164194"/>
                                  <w:spacing w:val="-6"/>
                                  <w:sz w:val="28"/>
                                </w:rPr>
                                <w:t> </w:t>
                              </w:r>
                              <w:r>
                                <w:rPr>
                                  <w:b/>
                                  <w:color w:val="164194"/>
                                  <w:sz w:val="28"/>
                                </w:rPr>
                                <w:t>Boards Directive where these strengthen 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0pt;margin-top:-.00002pt;width:595.3pt;height:157.050pt;mso-position-horizontal-relative:page;mso-position-vertical-relative:page;z-index:15870976" id="docshapegroup602" coordorigin="0,0" coordsize="11906,3141">
                <v:shape style="position:absolute;left:1020;top:1530;width:9468;height:1611" id="docshape603" coordorigin="1020,1531" coordsize="9468,1611" path="m10261,1531l1247,1531,1176,1542,1113,1574,1064,1624,1032,1686,1020,1757,1020,2914,1032,2986,1064,3048,1113,3097,1176,3129,1247,3141,10261,3141,10333,3129,10395,3097,10444,3048,10477,2986,10488,2914,10488,1757,10477,1686,10444,1624,10395,1574,10333,1542,10261,1531xe" filled="true" fillcolor="#e9f3fc" stroked="false">
                  <v:path arrowok="t"/>
                  <v:fill type="solid"/>
                </v:shape>
                <v:shape style="position:absolute;left:0;top:0;width:11906;height:1819" id="docshape604"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605" filled="false" stroked="false">
                  <v:textbox inset="0,0,0,0">
                    <w:txbxContent>
                      <w:p>
                        <w:pPr>
                          <w:spacing w:line="280" w:lineRule="exact" w:before="0"/>
                          <w:ind w:left="0" w:right="0" w:firstLine="0"/>
                          <w:jc w:val="left"/>
                          <w:rPr>
                            <w:b/>
                            <w:sz w:val="28"/>
                          </w:rPr>
                        </w:pPr>
                        <w:r>
                          <w:rPr>
                            <w:b/>
                            <w:color w:val="FFFFFF"/>
                            <w:spacing w:val="-5"/>
                            <w:sz w:val="28"/>
                          </w:rPr>
                          <w:t>86</w:t>
                        </w:r>
                      </w:p>
                    </w:txbxContent>
                  </v:textbox>
                  <w10:wrap type="none"/>
                </v:shape>
                <v:shape style="position:absolute;left:1303;top:645;width:6182;height:240" type="#_x0000_t202" id="docshape606"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360;top:1700;width:9031;height:1270" type="#_x0000_t202" id="docshape607" filled="false" stroked="false">
                  <v:textbox inset="0,0,0,0">
                    <w:txbxContent>
                      <w:p>
                        <w:pPr>
                          <w:spacing w:line="279" w:lineRule="exact" w:before="0"/>
                          <w:ind w:left="0" w:right="0"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5"/>
                            <w:sz w:val="28"/>
                          </w:rPr>
                          <w:t> </w:t>
                        </w:r>
                        <w:r>
                          <w:rPr>
                            <w:b/>
                            <w:color w:val="164194"/>
                            <w:sz w:val="28"/>
                          </w:rPr>
                          <w:t>that</w:t>
                        </w:r>
                        <w:r>
                          <w:rPr>
                            <w:b/>
                            <w:color w:val="164194"/>
                            <w:spacing w:val="-6"/>
                            <w:sz w:val="28"/>
                          </w:rPr>
                          <w:t> </w:t>
                        </w:r>
                        <w:r>
                          <w:rPr>
                            <w:b/>
                            <w:color w:val="164194"/>
                            <w:sz w:val="28"/>
                          </w:rPr>
                          <w:t>the</w:t>
                        </w:r>
                        <w:r>
                          <w:rPr>
                            <w:b/>
                            <w:color w:val="164194"/>
                            <w:spacing w:val="-6"/>
                            <w:sz w:val="28"/>
                          </w:rPr>
                          <w:t> </w:t>
                        </w:r>
                        <w:r>
                          <w:rPr>
                            <w:b/>
                            <w:color w:val="164194"/>
                            <w:sz w:val="28"/>
                          </w:rPr>
                          <w:t>Department</w:t>
                        </w:r>
                        <w:r>
                          <w:rPr>
                            <w:b/>
                            <w:color w:val="164194"/>
                            <w:spacing w:val="-5"/>
                            <w:sz w:val="28"/>
                          </w:rPr>
                          <w:t> </w:t>
                        </w:r>
                        <w:r>
                          <w:rPr>
                            <w:b/>
                            <w:color w:val="164194"/>
                            <w:sz w:val="28"/>
                          </w:rPr>
                          <w:t>for</w:t>
                        </w:r>
                        <w:r>
                          <w:rPr>
                            <w:b/>
                            <w:color w:val="164194"/>
                            <w:spacing w:val="-7"/>
                            <w:sz w:val="28"/>
                          </w:rPr>
                          <w:t> </w:t>
                        </w:r>
                        <w:r>
                          <w:rPr>
                            <w:b/>
                            <w:color w:val="164194"/>
                            <w:sz w:val="28"/>
                          </w:rPr>
                          <w:t>the</w:t>
                        </w:r>
                        <w:r>
                          <w:rPr>
                            <w:b/>
                            <w:color w:val="164194"/>
                            <w:spacing w:val="-6"/>
                            <w:sz w:val="28"/>
                          </w:rPr>
                          <w:t> </w:t>
                        </w:r>
                        <w:r>
                          <w:rPr>
                            <w:b/>
                            <w:color w:val="164194"/>
                            <w:sz w:val="28"/>
                          </w:rPr>
                          <w:t>Economy</w:t>
                        </w:r>
                        <w:r>
                          <w:rPr>
                            <w:b/>
                            <w:color w:val="164194"/>
                            <w:spacing w:val="-5"/>
                            <w:sz w:val="28"/>
                          </w:rPr>
                          <w:t> </w:t>
                        </w:r>
                        <w:r>
                          <w:rPr>
                            <w:b/>
                            <w:color w:val="164194"/>
                            <w:sz w:val="28"/>
                          </w:rPr>
                          <w:t>should</w:t>
                        </w:r>
                        <w:r>
                          <w:rPr>
                            <w:b/>
                            <w:color w:val="164194"/>
                            <w:spacing w:val="-6"/>
                            <w:sz w:val="28"/>
                          </w:rPr>
                          <w:t> </w:t>
                        </w:r>
                        <w:r>
                          <w:rPr>
                            <w:b/>
                            <w:color w:val="164194"/>
                            <w:sz w:val="28"/>
                          </w:rPr>
                          <w:t>ensure</w:t>
                        </w:r>
                        <w:r>
                          <w:rPr>
                            <w:b/>
                            <w:color w:val="164194"/>
                            <w:spacing w:val="-6"/>
                            <w:sz w:val="28"/>
                          </w:rPr>
                          <w:t> </w:t>
                        </w:r>
                        <w:r>
                          <w:rPr>
                            <w:b/>
                            <w:color w:val="164194"/>
                            <w:sz w:val="28"/>
                          </w:rPr>
                          <w:t>that</w:t>
                        </w:r>
                        <w:r>
                          <w:rPr>
                            <w:b/>
                            <w:color w:val="164194"/>
                            <w:spacing w:val="-5"/>
                            <w:sz w:val="28"/>
                          </w:rPr>
                          <w:t> NI</w:t>
                        </w:r>
                      </w:p>
                      <w:p>
                        <w:pPr>
                          <w:spacing w:line="232" w:lineRule="auto" w:before="0"/>
                          <w:ind w:left="0" w:right="2" w:firstLine="0"/>
                          <w:jc w:val="left"/>
                          <w:rPr>
                            <w:b/>
                            <w:sz w:val="28"/>
                          </w:rPr>
                        </w:pPr>
                        <w:r>
                          <w:rPr>
                            <w:b/>
                            <w:color w:val="164194"/>
                            <w:sz w:val="28"/>
                          </w:rPr>
                          <w:t>law</w:t>
                        </w:r>
                        <w:r>
                          <w:rPr>
                            <w:b/>
                            <w:color w:val="164194"/>
                            <w:spacing w:val="-6"/>
                            <w:sz w:val="28"/>
                          </w:rPr>
                          <w:t> </w:t>
                        </w:r>
                        <w:r>
                          <w:rPr>
                            <w:b/>
                            <w:color w:val="164194"/>
                            <w:sz w:val="28"/>
                          </w:rPr>
                          <w:t>voluntarily</w:t>
                        </w:r>
                        <w:r>
                          <w:rPr>
                            <w:b/>
                            <w:color w:val="164194"/>
                            <w:spacing w:val="-6"/>
                            <w:sz w:val="28"/>
                          </w:rPr>
                          <w:t> </w:t>
                        </w:r>
                        <w:r>
                          <w:rPr>
                            <w:b/>
                            <w:color w:val="164194"/>
                            <w:sz w:val="28"/>
                          </w:rPr>
                          <w:t>aligns</w:t>
                        </w:r>
                        <w:r>
                          <w:rPr>
                            <w:b/>
                            <w:color w:val="164194"/>
                            <w:spacing w:val="-6"/>
                            <w:sz w:val="28"/>
                          </w:rPr>
                          <w:t> </w:t>
                        </w:r>
                        <w:r>
                          <w:rPr>
                            <w:b/>
                            <w:color w:val="164194"/>
                            <w:sz w:val="28"/>
                          </w:rPr>
                          <w:t>with</w:t>
                        </w:r>
                        <w:r>
                          <w:rPr>
                            <w:b/>
                            <w:color w:val="164194"/>
                            <w:spacing w:val="-6"/>
                            <w:sz w:val="28"/>
                          </w:rPr>
                          <w:t> </w:t>
                        </w:r>
                        <w:r>
                          <w:rPr>
                            <w:b/>
                            <w:color w:val="164194"/>
                            <w:sz w:val="28"/>
                          </w:rPr>
                          <w:t>the</w:t>
                        </w:r>
                        <w:r>
                          <w:rPr>
                            <w:b/>
                            <w:color w:val="164194"/>
                            <w:spacing w:val="-6"/>
                            <w:sz w:val="28"/>
                          </w:rPr>
                          <w:t> </w:t>
                        </w:r>
                        <w:r>
                          <w:rPr>
                            <w:b/>
                            <w:color w:val="164194"/>
                            <w:sz w:val="28"/>
                          </w:rPr>
                          <w:t>requirements</w:t>
                        </w:r>
                        <w:r>
                          <w:rPr>
                            <w:b/>
                            <w:color w:val="164194"/>
                            <w:spacing w:val="-6"/>
                            <w:sz w:val="28"/>
                          </w:rPr>
                          <w:t> </w:t>
                        </w:r>
                        <w:r>
                          <w:rPr>
                            <w:b/>
                            <w:color w:val="164194"/>
                            <w:sz w:val="28"/>
                          </w:rPr>
                          <w:t>of</w:t>
                        </w:r>
                        <w:r>
                          <w:rPr>
                            <w:b/>
                            <w:color w:val="164194"/>
                            <w:spacing w:val="-6"/>
                            <w:sz w:val="28"/>
                          </w:rPr>
                          <w:t> </w:t>
                        </w:r>
                        <w:r>
                          <w:rPr>
                            <w:b/>
                            <w:color w:val="164194"/>
                            <w:sz w:val="28"/>
                          </w:rPr>
                          <w:t>the</w:t>
                        </w:r>
                        <w:r>
                          <w:rPr>
                            <w:b/>
                            <w:color w:val="164194"/>
                            <w:spacing w:val="-6"/>
                            <w:sz w:val="28"/>
                          </w:rPr>
                          <w:t> </w:t>
                        </w:r>
                        <w:r>
                          <w:rPr>
                            <w:b/>
                            <w:color w:val="164194"/>
                            <w:sz w:val="28"/>
                          </w:rPr>
                          <w:t>Gender</w:t>
                        </w:r>
                        <w:r>
                          <w:rPr>
                            <w:b/>
                            <w:color w:val="164194"/>
                            <w:spacing w:val="-6"/>
                            <w:sz w:val="28"/>
                          </w:rPr>
                          <w:t> </w:t>
                        </w:r>
                        <w:r>
                          <w:rPr>
                            <w:b/>
                            <w:color w:val="164194"/>
                            <w:sz w:val="28"/>
                          </w:rPr>
                          <w:t>Balance</w:t>
                        </w:r>
                        <w:r>
                          <w:rPr>
                            <w:b/>
                            <w:color w:val="164194"/>
                            <w:spacing w:val="-6"/>
                            <w:sz w:val="28"/>
                          </w:rPr>
                          <w:t> </w:t>
                        </w:r>
                        <w:r>
                          <w:rPr>
                            <w:b/>
                            <w:color w:val="164194"/>
                            <w:sz w:val="28"/>
                          </w:rPr>
                          <w:t>on</w:t>
                        </w:r>
                        <w:r>
                          <w:rPr>
                            <w:b/>
                            <w:color w:val="164194"/>
                            <w:spacing w:val="-6"/>
                            <w:sz w:val="28"/>
                          </w:rPr>
                          <w:t> </w:t>
                        </w:r>
                        <w:r>
                          <w:rPr>
                            <w:b/>
                            <w:color w:val="164194"/>
                            <w:sz w:val="28"/>
                          </w:rPr>
                          <w:t>Boards Directive where these strengthen rights and reflect international human rights standards and best practice.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9"/>
        <w:rPr>
          <w:sz w:val="20"/>
        </w:rPr>
      </w:pPr>
    </w:p>
    <w:p>
      <w:pPr>
        <w:pStyle w:val="BodyText"/>
        <w:ind w:left="720"/>
        <w:rPr>
          <w:sz w:val="20"/>
        </w:rPr>
      </w:pPr>
      <w:r>
        <w:rPr>
          <w:sz w:val="20"/>
        </w:rPr>
        <mc:AlternateContent>
          <mc:Choice Requires="wps">
            <w:drawing>
              <wp:inline distT="0" distB="0" distL="0" distR="0">
                <wp:extent cx="6012180" cy="813435"/>
                <wp:effectExtent l="0" t="0" r="0" b="5715"/>
                <wp:docPr id="748" name="Group 748"/>
                <wp:cNvGraphicFramePr>
                  <a:graphicFrameLocks/>
                </wp:cNvGraphicFramePr>
                <a:graphic>
                  <a:graphicData uri="http://schemas.microsoft.com/office/word/2010/wordprocessingGroup">
                    <wpg:wgp>
                      <wpg:cNvPr id="748" name="Group 748"/>
                      <wpg:cNvGrpSpPr/>
                      <wpg:grpSpPr>
                        <a:xfrm>
                          <a:off x="0" y="0"/>
                          <a:ext cx="6012180" cy="813435"/>
                          <a:chExt cx="6012180" cy="813435"/>
                        </a:xfrm>
                      </wpg:grpSpPr>
                      <wps:wsp>
                        <wps:cNvPr id="749" name="Graphic 749"/>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750" name="Textbox 750"/>
                        <wps:cNvSpPr txBox="1"/>
                        <wps:spPr>
                          <a:xfrm>
                            <a:off x="0" y="0"/>
                            <a:ext cx="6012180" cy="813435"/>
                          </a:xfrm>
                          <a:prstGeom prst="rect">
                            <a:avLst/>
                          </a:prstGeom>
                        </wps:spPr>
                        <wps:txbx>
                          <w:txbxContent>
                            <w:p>
                              <w:pPr>
                                <w:spacing w:line="232" w:lineRule="auto" w:before="121"/>
                                <w:ind w:left="340" w:right="373" w:firstLine="0"/>
                                <w:jc w:val="left"/>
                                <w:rPr>
                                  <w:b/>
                                  <w:sz w:val="28"/>
                                </w:rPr>
                              </w:pPr>
                              <w:bookmarkStart w:name="4.3.1.3 Equality Bodies Directives" w:id="127"/>
                              <w:bookmarkEnd w:id="127"/>
                              <w:r>
                                <w:rPr/>
                              </w:r>
                              <w:bookmarkStart w:name="_bookmark53" w:id="128"/>
                              <w:bookmarkEnd w:id="128"/>
                              <w:r>
                                <w:rPr/>
                              </w: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w:t>
                              </w:r>
                              <w:r>
                                <w:rPr>
                                  <w:b/>
                                  <w:color w:val="164194"/>
                                  <w:spacing w:val="-8"/>
                                  <w:sz w:val="28"/>
                                </w:rPr>
                                <w:t> </w:t>
                              </w:r>
                              <w:r>
                                <w:rPr>
                                  <w:b/>
                                  <w:color w:val="164194"/>
                                  <w:sz w:val="28"/>
                                </w:rPr>
                                <w:t>ECNI</w:t>
                              </w:r>
                              <w:r>
                                <w:rPr>
                                  <w:b/>
                                  <w:color w:val="164194"/>
                                  <w:spacing w:val="-7"/>
                                  <w:sz w:val="28"/>
                                </w:rPr>
                                <w:t> </w:t>
                              </w:r>
                              <w:r>
                                <w:rPr>
                                  <w:b/>
                                  <w:color w:val="164194"/>
                                  <w:sz w:val="28"/>
                                </w:rPr>
                                <w:t>and</w:t>
                              </w:r>
                              <w:r>
                                <w:rPr>
                                  <w:b/>
                                  <w:color w:val="164194"/>
                                  <w:spacing w:val="-7"/>
                                  <w:sz w:val="28"/>
                                </w:rPr>
                                <w:t> </w:t>
                              </w:r>
                              <w:r>
                                <w:rPr>
                                  <w:b/>
                                  <w:color w:val="164194"/>
                                  <w:sz w:val="28"/>
                                </w:rPr>
                                <w:t>NIHRC</w:t>
                              </w:r>
                              <w:r>
                                <w:rPr>
                                  <w:b/>
                                  <w:color w:val="164194"/>
                                  <w:spacing w:val="-8"/>
                                  <w:sz w:val="28"/>
                                </w:rPr>
                                <w:t> </w:t>
                              </w:r>
                              <w:r>
                                <w:rPr>
                                  <w:b/>
                                  <w:color w:val="164194"/>
                                  <w:sz w:val="28"/>
                                </w:rPr>
                                <w:t>conduct</w:t>
                              </w:r>
                              <w:r>
                                <w:rPr>
                                  <w:b/>
                                  <w:color w:val="164194"/>
                                  <w:spacing w:val="-7"/>
                                  <w:sz w:val="28"/>
                                </w:rPr>
                                <w:t> </w:t>
                              </w:r>
                              <w:r>
                                <w:rPr>
                                  <w:b/>
                                  <w:color w:val="164194"/>
                                  <w:sz w:val="28"/>
                                </w:rPr>
                                <w:t>an</w:t>
                              </w:r>
                              <w:r>
                                <w:rPr>
                                  <w:b/>
                                  <w:color w:val="164194"/>
                                  <w:spacing w:val="-7"/>
                                  <w:sz w:val="28"/>
                                </w:rPr>
                                <w:t> </w:t>
                              </w:r>
                              <w:r>
                                <w:rPr>
                                  <w:b/>
                                  <w:color w:val="164194"/>
                                  <w:sz w:val="28"/>
                                </w:rPr>
                                <w:t>analysis</w:t>
                              </w:r>
                              <w:r>
                                <w:rPr>
                                  <w:b/>
                                  <w:color w:val="164194"/>
                                  <w:spacing w:val="-7"/>
                                  <w:sz w:val="28"/>
                                </w:rPr>
                                <w:t> </w:t>
                              </w:r>
                              <w:r>
                                <w:rPr>
                                  <w:b/>
                                  <w:color w:val="164194"/>
                                  <w:sz w:val="28"/>
                                </w:rPr>
                                <w:t>to</w:t>
                              </w:r>
                              <w:r>
                                <w:rPr>
                                  <w:b/>
                                  <w:color w:val="164194"/>
                                  <w:spacing w:val="-7"/>
                                  <w:sz w:val="28"/>
                                </w:rPr>
                                <w:t> </w:t>
                              </w:r>
                              <w:r>
                                <w:rPr>
                                  <w:b/>
                                  <w:color w:val="164194"/>
                                  <w:sz w:val="28"/>
                                </w:rPr>
                                <w:t>determine if the Gender Balance on Boards Directive amends or replaces an Annex 1 </w:t>
                              </w:r>
                              <w:r>
                                <w:rPr>
                                  <w:b/>
                                  <w:color w:val="164194"/>
                                  <w:spacing w:val="-2"/>
                                  <w:sz w:val="28"/>
                                </w:rPr>
                                <w:t>directive.</w:t>
                              </w:r>
                            </w:p>
                          </w:txbxContent>
                        </wps:txbx>
                        <wps:bodyPr wrap="square" lIns="0" tIns="0" rIns="0" bIns="0" rtlCol="0">
                          <a:noAutofit/>
                        </wps:bodyPr>
                      </wps:wsp>
                    </wpg:wgp>
                  </a:graphicData>
                </a:graphic>
              </wp:inline>
            </w:drawing>
          </mc:Choice>
          <mc:Fallback>
            <w:pict>
              <v:group style="width:473.4pt;height:64.05pt;mso-position-horizontal-relative:char;mso-position-vertical-relative:line" id="docshapegroup608" coordorigin="0,0" coordsize="9468,1281">
                <v:shape style="position:absolute;left:0;top:0;width:9468;height:1281" id="docshape609" coordorigin="0,0" coordsize="9468,1281" path="m9241,0l227,0,155,12,93,44,44,93,12,155,0,227,0,1053,12,1125,44,1187,93,1236,155,1269,227,1280,9241,1280,9313,1269,9375,1236,9424,1187,9456,1125,9468,1053,9468,227,9456,155,9424,93,9375,44,9313,12,9241,0xe" filled="true" fillcolor="#e9f3fc" stroked="false">
                  <v:path arrowok="t"/>
                  <v:fill type="solid"/>
                </v:shape>
                <v:shape style="position:absolute;left:0;top:0;width:9468;height:1281" type="#_x0000_t202" id="docshape610" filled="false" stroked="false">
                  <v:textbox inset="0,0,0,0">
                    <w:txbxContent>
                      <w:p>
                        <w:pPr>
                          <w:spacing w:line="232" w:lineRule="auto" w:before="121"/>
                          <w:ind w:left="340" w:right="373" w:firstLine="0"/>
                          <w:jc w:val="left"/>
                          <w:rPr>
                            <w:b/>
                            <w:sz w:val="28"/>
                          </w:rPr>
                        </w:pPr>
                        <w:bookmarkStart w:name="4.3.1.3 Equality Bodies Directives" w:id="129"/>
                        <w:bookmarkEnd w:id="129"/>
                        <w:r>
                          <w:rPr/>
                        </w:r>
                        <w:bookmarkStart w:name="_bookmark53" w:id="130"/>
                        <w:bookmarkEnd w:id="130"/>
                        <w:r>
                          <w:rPr/>
                        </w: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w:t>
                        </w:r>
                        <w:r>
                          <w:rPr>
                            <w:b/>
                            <w:color w:val="164194"/>
                            <w:spacing w:val="-8"/>
                            <w:sz w:val="28"/>
                          </w:rPr>
                          <w:t> </w:t>
                        </w:r>
                        <w:r>
                          <w:rPr>
                            <w:b/>
                            <w:color w:val="164194"/>
                            <w:sz w:val="28"/>
                          </w:rPr>
                          <w:t>ECNI</w:t>
                        </w:r>
                        <w:r>
                          <w:rPr>
                            <w:b/>
                            <w:color w:val="164194"/>
                            <w:spacing w:val="-7"/>
                            <w:sz w:val="28"/>
                          </w:rPr>
                          <w:t> </w:t>
                        </w:r>
                        <w:r>
                          <w:rPr>
                            <w:b/>
                            <w:color w:val="164194"/>
                            <w:sz w:val="28"/>
                          </w:rPr>
                          <w:t>and</w:t>
                        </w:r>
                        <w:r>
                          <w:rPr>
                            <w:b/>
                            <w:color w:val="164194"/>
                            <w:spacing w:val="-7"/>
                            <w:sz w:val="28"/>
                          </w:rPr>
                          <w:t> </w:t>
                        </w:r>
                        <w:r>
                          <w:rPr>
                            <w:b/>
                            <w:color w:val="164194"/>
                            <w:sz w:val="28"/>
                          </w:rPr>
                          <w:t>NIHRC</w:t>
                        </w:r>
                        <w:r>
                          <w:rPr>
                            <w:b/>
                            <w:color w:val="164194"/>
                            <w:spacing w:val="-8"/>
                            <w:sz w:val="28"/>
                          </w:rPr>
                          <w:t> </w:t>
                        </w:r>
                        <w:r>
                          <w:rPr>
                            <w:b/>
                            <w:color w:val="164194"/>
                            <w:sz w:val="28"/>
                          </w:rPr>
                          <w:t>conduct</w:t>
                        </w:r>
                        <w:r>
                          <w:rPr>
                            <w:b/>
                            <w:color w:val="164194"/>
                            <w:spacing w:val="-7"/>
                            <w:sz w:val="28"/>
                          </w:rPr>
                          <w:t> </w:t>
                        </w:r>
                        <w:r>
                          <w:rPr>
                            <w:b/>
                            <w:color w:val="164194"/>
                            <w:sz w:val="28"/>
                          </w:rPr>
                          <w:t>an</w:t>
                        </w:r>
                        <w:r>
                          <w:rPr>
                            <w:b/>
                            <w:color w:val="164194"/>
                            <w:spacing w:val="-7"/>
                            <w:sz w:val="28"/>
                          </w:rPr>
                          <w:t> </w:t>
                        </w:r>
                        <w:r>
                          <w:rPr>
                            <w:b/>
                            <w:color w:val="164194"/>
                            <w:sz w:val="28"/>
                          </w:rPr>
                          <w:t>analysis</w:t>
                        </w:r>
                        <w:r>
                          <w:rPr>
                            <w:b/>
                            <w:color w:val="164194"/>
                            <w:spacing w:val="-7"/>
                            <w:sz w:val="28"/>
                          </w:rPr>
                          <w:t> </w:t>
                        </w:r>
                        <w:r>
                          <w:rPr>
                            <w:b/>
                            <w:color w:val="164194"/>
                            <w:sz w:val="28"/>
                          </w:rPr>
                          <w:t>to</w:t>
                        </w:r>
                        <w:r>
                          <w:rPr>
                            <w:b/>
                            <w:color w:val="164194"/>
                            <w:spacing w:val="-7"/>
                            <w:sz w:val="28"/>
                          </w:rPr>
                          <w:t> </w:t>
                        </w:r>
                        <w:r>
                          <w:rPr>
                            <w:b/>
                            <w:color w:val="164194"/>
                            <w:sz w:val="28"/>
                          </w:rPr>
                          <w:t>determine if the Gender Balance on Boards Directive amends or replaces an Annex 1 </w:t>
                        </w:r>
                        <w:r>
                          <w:rPr>
                            <w:b/>
                            <w:color w:val="164194"/>
                            <w:spacing w:val="-2"/>
                            <w:sz w:val="28"/>
                          </w:rPr>
                          <w:t>directive.</w:t>
                        </w:r>
                      </w:p>
                    </w:txbxContent>
                  </v:textbox>
                  <w10:wrap type="none"/>
                </v:shape>
              </v:group>
            </w:pict>
          </mc:Fallback>
        </mc:AlternateContent>
      </w:r>
      <w:r>
        <w:rPr>
          <w:sz w:val="20"/>
        </w:rPr>
      </w:r>
    </w:p>
    <w:p>
      <w:pPr>
        <w:pStyle w:val="ListParagraph"/>
        <w:numPr>
          <w:ilvl w:val="3"/>
          <w:numId w:val="32"/>
        </w:numPr>
        <w:tabs>
          <w:tab w:pos="1563" w:val="left" w:leader="none"/>
        </w:tabs>
        <w:spacing w:line="336" w:lineRule="exact" w:before="308" w:after="0"/>
        <w:ind w:left="1563" w:right="0" w:hanging="843"/>
        <w:jc w:val="left"/>
        <w:rPr>
          <w:sz w:val="28"/>
        </w:rPr>
      </w:pPr>
      <w:r>
        <w:rPr>
          <w:color w:val="004A93"/>
          <w:sz w:val="28"/>
        </w:rPr>
        <w:t>Equality</w:t>
      </w:r>
      <w:r>
        <w:rPr>
          <w:color w:val="004A93"/>
          <w:spacing w:val="-5"/>
          <w:sz w:val="28"/>
        </w:rPr>
        <w:t> </w:t>
      </w:r>
      <w:r>
        <w:rPr>
          <w:color w:val="004A93"/>
          <w:sz w:val="28"/>
        </w:rPr>
        <w:t>Bodies</w:t>
      </w:r>
      <w:r>
        <w:rPr>
          <w:color w:val="004A93"/>
          <w:spacing w:val="-5"/>
          <w:sz w:val="28"/>
        </w:rPr>
        <w:t> </w:t>
      </w:r>
      <w:r>
        <w:rPr>
          <w:color w:val="004A93"/>
          <w:spacing w:val="-2"/>
          <w:sz w:val="28"/>
        </w:rPr>
        <w:t>Directives</w:t>
      </w:r>
    </w:p>
    <w:p>
      <w:pPr>
        <w:pStyle w:val="BodyText"/>
        <w:spacing w:line="232" w:lineRule="auto" w:before="3"/>
        <w:ind w:left="720" w:right="1087"/>
      </w:pPr>
      <w:r>
        <w:rPr/>
        <w:t>EU</w:t>
      </w:r>
      <w:r>
        <w:rPr>
          <w:spacing w:val="-5"/>
        </w:rPr>
        <w:t> </w:t>
      </w:r>
      <w:r>
        <w:rPr/>
        <w:t>law</w:t>
      </w:r>
      <w:r>
        <w:rPr>
          <w:spacing w:val="-5"/>
        </w:rPr>
        <w:t> </w:t>
      </w:r>
      <w:r>
        <w:rPr/>
        <w:t>on</w:t>
      </w:r>
      <w:r>
        <w:rPr>
          <w:spacing w:val="-6"/>
        </w:rPr>
        <w:t> </w:t>
      </w:r>
      <w:r>
        <w:rPr/>
        <w:t>Member</w:t>
      </w:r>
      <w:r>
        <w:rPr>
          <w:spacing w:val="-5"/>
        </w:rPr>
        <w:t> </w:t>
      </w:r>
      <w:r>
        <w:rPr/>
        <w:t>States’</w:t>
      </w:r>
      <w:r>
        <w:rPr>
          <w:spacing w:val="-5"/>
        </w:rPr>
        <w:t> </w:t>
      </w:r>
      <w:r>
        <w:rPr/>
        <w:t>equality</w:t>
      </w:r>
      <w:r>
        <w:rPr>
          <w:spacing w:val="-5"/>
        </w:rPr>
        <w:t> </w:t>
      </w:r>
      <w:r>
        <w:rPr/>
        <w:t>bodies</w:t>
      </w:r>
      <w:r>
        <w:rPr>
          <w:spacing w:val="-6"/>
        </w:rPr>
        <w:t> </w:t>
      </w:r>
      <w:r>
        <w:rPr/>
        <w:t>has</w:t>
      </w:r>
      <w:r>
        <w:rPr>
          <w:spacing w:val="-6"/>
        </w:rPr>
        <w:t> </w:t>
      </w:r>
      <w:r>
        <w:rPr/>
        <w:t>recently</w:t>
      </w:r>
      <w:r>
        <w:rPr>
          <w:spacing w:val="-5"/>
        </w:rPr>
        <w:t> </w:t>
      </w:r>
      <w:r>
        <w:rPr/>
        <w:t>been</w:t>
      </w:r>
      <w:r>
        <w:rPr>
          <w:spacing w:val="-6"/>
        </w:rPr>
        <w:t> </w:t>
      </w:r>
      <w:r>
        <w:rPr/>
        <w:t>amended</w:t>
      </w:r>
      <w:r>
        <w:rPr>
          <w:spacing w:val="-6"/>
        </w:rPr>
        <w:t> </w:t>
      </w:r>
      <w:r>
        <w:rPr/>
        <w:t>in</w:t>
      </w:r>
      <w:r>
        <w:rPr>
          <w:spacing w:val="-6"/>
        </w:rPr>
        <w:t> </w:t>
      </w:r>
      <w:r>
        <w:rPr/>
        <w:t>several respects, with two substantial legal standards worth noting in this report.</w:t>
      </w:r>
    </w:p>
    <w:p>
      <w:pPr>
        <w:pStyle w:val="ListParagraph"/>
        <w:numPr>
          <w:ilvl w:val="4"/>
          <w:numId w:val="32"/>
        </w:numPr>
        <w:tabs>
          <w:tab w:pos="1060" w:val="left" w:leader="none"/>
        </w:tabs>
        <w:spacing w:line="232" w:lineRule="auto" w:before="266" w:after="0"/>
        <w:ind w:left="1060" w:right="1410" w:hanging="341"/>
        <w:jc w:val="left"/>
        <w:rPr>
          <w:sz w:val="28"/>
        </w:rPr>
      </w:pPr>
      <w:r>
        <w:rPr>
          <w:sz w:val="28"/>
        </w:rPr>
        <w:t>Directive</w:t>
      </w:r>
      <w:r>
        <w:rPr>
          <w:spacing w:val="-5"/>
          <w:sz w:val="28"/>
        </w:rPr>
        <w:t> </w:t>
      </w:r>
      <w:r>
        <w:rPr>
          <w:sz w:val="28"/>
        </w:rPr>
        <w:t>(EU)</w:t>
      </w:r>
      <w:r>
        <w:rPr>
          <w:spacing w:val="-6"/>
          <w:sz w:val="28"/>
        </w:rPr>
        <w:t> </w:t>
      </w:r>
      <w:r>
        <w:rPr>
          <w:sz w:val="28"/>
        </w:rPr>
        <w:t>2024/1500</w:t>
      </w:r>
      <w:r>
        <w:rPr>
          <w:spacing w:val="-5"/>
          <w:sz w:val="28"/>
        </w:rPr>
        <w:t> </w:t>
      </w:r>
      <w:r>
        <w:rPr>
          <w:sz w:val="28"/>
        </w:rPr>
        <w:t>on</w:t>
      </w:r>
      <w:r>
        <w:rPr>
          <w:spacing w:val="-6"/>
          <w:sz w:val="28"/>
        </w:rPr>
        <w:t> </w:t>
      </w:r>
      <w:r>
        <w:rPr>
          <w:sz w:val="28"/>
        </w:rPr>
        <w:t>standards</w:t>
      </w:r>
      <w:r>
        <w:rPr>
          <w:spacing w:val="-6"/>
          <w:sz w:val="28"/>
        </w:rPr>
        <w:t> </w:t>
      </w:r>
      <w:r>
        <w:rPr>
          <w:sz w:val="28"/>
        </w:rPr>
        <w:t>for</w:t>
      </w:r>
      <w:r>
        <w:rPr>
          <w:spacing w:val="-5"/>
          <w:sz w:val="28"/>
        </w:rPr>
        <w:t> </w:t>
      </w:r>
      <w:r>
        <w:rPr>
          <w:sz w:val="28"/>
        </w:rPr>
        <w:t>Equality</w:t>
      </w:r>
      <w:r>
        <w:rPr>
          <w:spacing w:val="-5"/>
          <w:sz w:val="28"/>
        </w:rPr>
        <w:t> </w:t>
      </w:r>
      <w:r>
        <w:rPr>
          <w:sz w:val="28"/>
        </w:rPr>
        <w:t>Bodies</w:t>
      </w:r>
      <w:r>
        <w:rPr>
          <w:spacing w:val="-6"/>
          <w:sz w:val="28"/>
        </w:rPr>
        <w:t> </w:t>
      </w:r>
      <w:r>
        <w:rPr>
          <w:sz w:val="28"/>
        </w:rPr>
        <w:t>in</w:t>
      </w:r>
      <w:r>
        <w:rPr>
          <w:spacing w:val="-6"/>
          <w:sz w:val="28"/>
        </w:rPr>
        <w:t> </w:t>
      </w:r>
      <w:r>
        <w:rPr>
          <w:sz w:val="28"/>
        </w:rPr>
        <w:t>the</w:t>
      </w:r>
      <w:r>
        <w:rPr>
          <w:spacing w:val="-5"/>
          <w:sz w:val="28"/>
        </w:rPr>
        <w:t> </w:t>
      </w:r>
      <w:r>
        <w:rPr>
          <w:sz w:val="28"/>
        </w:rPr>
        <w:t>field</w:t>
      </w:r>
      <w:r>
        <w:rPr>
          <w:spacing w:val="-6"/>
          <w:sz w:val="28"/>
        </w:rPr>
        <w:t> </w:t>
      </w:r>
      <w:r>
        <w:rPr>
          <w:sz w:val="28"/>
        </w:rPr>
        <w:t>of</w:t>
      </w:r>
      <w:r>
        <w:rPr>
          <w:spacing w:val="-6"/>
          <w:sz w:val="28"/>
        </w:rPr>
        <w:t> </w:t>
      </w:r>
      <w:r>
        <w:rPr>
          <w:sz w:val="28"/>
        </w:rPr>
        <w:t>equal treatment and equal opportunities between women and men in matters</w:t>
      </w:r>
    </w:p>
    <w:p>
      <w:pPr>
        <w:pStyle w:val="BodyText"/>
        <w:spacing w:line="232" w:lineRule="auto"/>
        <w:ind w:left="1060" w:right="1087"/>
      </w:pPr>
      <w:r>
        <w:rPr/>
        <w:t>of</w:t>
      </w:r>
      <w:r>
        <w:rPr>
          <w:spacing w:val="-7"/>
        </w:rPr>
        <w:t> </w:t>
      </w:r>
      <w:r>
        <w:rPr/>
        <w:t>employment</w:t>
      </w:r>
      <w:r>
        <w:rPr>
          <w:spacing w:val="-7"/>
        </w:rPr>
        <w:t> </w:t>
      </w:r>
      <w:r>
        <w:rPr/>
        <w:t>and</w:t>
      </w:r>
      <w:r>
        <w:rPr>
          <w:spacing w:val="-7"/>
        </w:rPr>
        <w:t> </w:t>
      </w:r>
      <w:r>
        <w:rPr/>
        <w:t>occupation,</w:t>
      </w:r>
      <w:r>
        <w:rPr>
          <w:spacing w:val="-7"/>
        </w:rPr>
        <w:t> </w:t>
      </w:r>
      <w:r>
        <w:rPr/>
        <w:t>and</w:t>
      </w:r>
      <w:r>
        <w:rPr>
          <w:spacing w:val="-7"/>
        </w:rPr>
        <w:t> </w:t>
      </w:r>
      <w:r>
        <w:rPr/>
        <w:t>amending</w:t>
      </w:r>
      <w:r>
        <w:rPr>
          <w:spacing w:val="-7"/>
        </w:rPr>
        <w:t> </w:t>
      </w:r>
      <w:r>
        <w:rPr/>
        <w:t>Directives</w:t>
      </w:r>
      <w:r>
        <w:rPr>
          <w:spacing w:val="-7"/>
        </w:rPr>
        <w:t> </w:t>
      </w:r>
      <w:r>
        <w:rPr/>
        <w:t>2006/54/EC</w:t>
      </w:r>
      <w:r>
        <w:rPr>
          <w:spacing w:val="-7"/>
        </w:rPr>
        <w:t> </w:t>
      </w:r>
      <w:r>
        <w:rPr/>
        <w:t>and </w:t>
      </w:r>
      <w:r>
        <w:rPr>
          <w:spacing w:val="-2"/>
        </w:rPr>
        <w:t>2010/41/EU.</w:t>
      </w:r>
      <w:r>
        <w:rPr>
          <w:spacing w:val="-2"/>
          <w:vertAlign w:val="superscript"/>
        </w:rPr>
        <w:t>456</w:t>
      </w:r>
    </w:p>
    <w:p>
      <w:pPr>
        <w:pStyle w:val="ListParagraph"/>
        <w:numPr>
          <w:ilvl w:val="4"/>
          <w:numId w:val="32"/>
        </w:numPr>
        <w:tabs>
          <w:tab w:pos="1060" w:val="left" w:leader="none"/>
        </w:tabs>
        <w:spacing w:line="232" w:lineRule="auto" w:before="151" w:after="0"/>
        <w:ind w:left="1060" w:right="1489" w:hanging="341"/>
        <w:jc w:val="left"/>
        <w:rPr>
          <w:sz w:val="28"/>
        </w:rPr>
      </w:pPr>
      <w:r>
        <w:rPr>
          <w:sz w:val="28"/>
        </w:rPr>
        <w:t>Directive (EU) 2024/1499 on standards for Equality Bodies in the field of equal treatment between persons irrespective of their racial or ethnic origin, equal</w:t>
      </w:r>
      <w:r>
        <w:rPr>
          <w:spacing w:val="-7"/>
          <w:sz w:val="28"/>
        </w:rPr>
        <w:t> </w:t>
      </w:r>
      <w:r>
        <w:rPr>
          <w:sz w:val="28"/>
        </w:rPr>
        <w:t>treatment</w:t>
      </w:r>
      <w:r>
        <w:rPr>
          <w:spacing w:val="-6"/>
          <w:sz w:val="28"/>
        </w:rPr>
        <w:t> </w:t>
      </w:r>
      <w:r>
        <w:rPr>
          <w:sz w:val="28"/>
        </w:rPr>
        <w:t>in</w:t>
      </w:r>
      <w:r>
        <w:rPr>
          <w:spacing w:val="-7"/>
          <w:sz w:val="28"/>
        </w:rPr>
        <w:t> </w:t>
      </w:r>
      <w:r>
        <w:rPr>
          <w:sz w:val="28"/>
        </w:rPr>
        <w:t>the</w:t>
      </w:r>
      <w:r>
        <w:rPr>
          <w:spacing w:val="-6"/>
          <w:sz w:val="28"/>
        </w:rPr>
        <w:t> </w:t>
      </w:r>
      <w:r>
        <w:rPr>
          <w:sz w:val="28"/>
        </w:rPr>
        <w:t>field</w:t>
      </w:r>
      <w:r>
        <w:rPr>
          <w:spacing w:val="-7"/>
          <w:sz w:val="28"/>
        </w:rPr>
        <w:t> </w:t>
      </w:r>
      <w:r>
        <w:rPr>
          <w:sz w:val="28"/>
        </w:rPr>
        <w:t>of</w:t>
      </w:r>
      <w:r>
        <w:rPr>
          <w:spacing w:val="-7"/>
          <w:sz w:val="28"/>
        </w:rPr>
        <w:t> </w:t>
      </w:r>
      <w:r>
        <w:rPr>
          <w:sz w:val="28"/>
        </w:rPr>
        <w:t>employment</w:t>
      </w:r>
      <w:r>
        <w:rPr>
          <w:spacing w:val="-6"/>
          <w:sz w:val="28"/>
        </w:rPr>
        <w:t> </w:t>
      </w:r>
      <w:r>
        <w:rPr>
          <w:sz w:val="28"/>
        </w:rPr>
        <w:t>and</w:t>
      </w:r>
      <w:r>
        <w:rPr>
          <w:spacing w:val="-7"/>
          <w:sz w:val="28"/>
        </w:rPr>
        <w:t> </w:t>
      </w:r>
      <w:r>
        <w:rPr>
          <w:sz w:val="28"/>
        </w:rPr>
        <w:t>occupation</w:t>
      </w:r>
      <w:r>
        <w:rPr>
          <w:spacing w:val="-7"/>
          <w:sz w:val="28"/>
        </w:rPr>
        <w:t> </w:t>
      </w:r>
      <w:r>
        <w:rPr>
          <w:sz w:val="28"/>
        </w:rPr>
        <w:t>between</w:t>
      </w:r>
      <w:r>
        <w:rPr>
          <w:spacing w:val="-7"/>
          <w:sz w:val="28"/>
        </w:rPr>
        <w:t> </w:t>
      </w:r>
      <w:r>
        <w:rPr>
          <w:sz w:val="28"/>
        </w:rPr>
        <w:t>persons</w:t>
      </w:r>
    </w:p>
    <w:p>
      <w:pPr>
        <w:pStyle w:val="BodyText"/>
        <w:spacing w:line="232" w:lineRule="auto"/>
        <w:ind w:left="1060" w:right="1250"/>
      </w:pPr>
      <w:r>
        <w:rPr/>
        <w:t>irrespective</w:t>
      </w:r>
      <w:r>
        <w:rPr>
          <w:spacing w:val="-10"/>
        </w:rPr>
        <w:t> </w:t>
      </w:r>
      <w:r>
        <w:rPr/>
        <w:t>of</w:t>
      </w:r>
      <w:r>
        <w:rPr>
          <w:spacing w:val="-10"/>
        </w:rPr>
        <w:t> </w:t>
      </w:r>
      <w:r>
        <w:rPr/>
        <w:t>their</w:t>
      </w:r>
      <w:r>
        <w:rPr>
          <w:spacing w:val="-10"/>
        </w:rPr>
        <w:t> </w:t>
      </w:r>
      <w:r>
        <w:rPr/>
        <w:t>religion</w:t>
      </w:r>
      <w:r>
        <w:rPr>
          <w:spacing w:val="-10"/>
        </w:rPr>
        <w:t> </w:t>
      </w:r>
      <w:r>
        <w:rPr/>
        <w:t>or</w:t>
      </w:r>
      <w:r>
        <w:rPr>
          <w:spacing w:val="-10"/>
        </w:rPr>
        <w:t> </w:t>
      </w:r>
      <w:r>
        <w:rPr/>
        <w:t>belief,</w:t>
      </w:r>
      <w:r>
        <w:rPr>
          <w:spacing w:val="-10"/>
        </w:rPr>
        <w:t> </w:t>
      </w:r>
      <w:r>
        <w:rPr/>
        <w:t>disability,</w:t>
      </w:r>
      <w:r>
        <w:rPr>
          <w:spacing w:val="-10"/>
        </w:rPr>
        <w:t> </w:t>
      </w:r>
      <w:r>
        <w:rPr/>
        <w:t>age</w:t>
      </w:r>
      <w:r>
        <w:rPr>
          <w:spacing w:val="-10"/>
        </w:rPr>
        <w:t> </w:t>
      </w:r>
      <w:r>
        <w:rPr/>
        <w:t>or</w:t>
      </w:r>
      <w:r>
        <w:rPr>
          <w:spacing w:val="-10"/>
        </w:rPr>
        <w:t> </w:t>
      </w:r>
      <w:r>
        <w:rPr/>
        <w:t>sexual</w:t>
      </w:r>
      <w:r>
        <w:rPr>
          <w:spacing w:val="-10"/>
        </w:rPr>
        <w:t> </w:t>
      </w:r>
      <w:r>
        <w:rPr/>
        <w:t>orientation,</w:t>
      </w:r>
      <w:r>
        <w:rPr>
          <w:spacing w:val="-10"/>
        </w:rPr>
        <w:t> </w:t>
      </w:r>
      <w:r>
        <w:rPr/>
        <w:t>equal treatment between women and men in matters of social security and in the access to and supply of goods and services, and amending Directives 2000/43/ EC and 2004/113/EC.</w:t>
      </w:r>
      <w:r>
        <w:rPr>
          <w:vertAlign w:val="superscript"/>
        </w:rPr>
        <w:t>457</w:t>
      </w:r>
    </w:p>
    <w:p>
      <w:pPr>
        <w:pStyle w:val="BodyText"/>
        <w:spacing w:line="232" w:lineRule="auto" w:before="272"/>
        <w:ind w:left="720" w:right="1143"/>
      </w:pPr>
      <w:r>
        <w:rPr/>
        <w:t>The recent </w:t>
      </w:r>
      <w:r>
        <w:rPr>
          <w:b/>
        </w:rPr>
        <w:t>Equality Bodies Directives </w:t>
      </w:r>
      <w:r>
        <w:rPr/>
        <w:t>amend various Annex 1 directives and so trigger</w:t>
      </w:r>
      <w:r>
        <w:rPr>
          <w:spacing w:val="-5"/>
        </w:rPr>
        <w:t> </w:t>
      </w:r>
      <w:r>
        <w:rPr/>
        <w:t>the</w:t>
      </w:r>
      <w:r>
        <w:rPr>
          <w:spacing w:val="-5"/>
        </w:rPr>
        <w:t> </w:t>
      </w:r>
      <w:r>
        <w:rPr/>
        <w:t>keeping</w:t>
      </w:r>
      <w:r>
        <w:rPr>
          <w:spacing w:val="-5"/>
        </w:rPr>
        <w:t> </w:t>
      </w:r>
      <w:r>
        <w:rPr/>
        <w:t>pace</w:t>
      </w:r>
      <w:r>
        <w:rPr>
          <w:spacing w:val="-5"/>
        </w:rPr>
        <w:t> </w:t>
      </w:r>
      <w:r>
        <w:rPr/>
        <w:t>obligation</w:t>
      </w:r>
      <w:r>
        <w:rPr>
          <w:spacing w:val="-6"/>
        </w:rPr>
        <w:t> </w:t>
      </w:r>
      <w:r>
        <w:rPr/>
        <w:t>in</w:t>
      </w:r>
      <w:r>
        <w:rPr>
          <w:spacing w:val="-6"/>
        </w:rPr>
        <w:t> </w:t>
      </w:r>
      <w:r>
        <w:rPr/>
        <w:t>Article</w:t>
      </w:r>
      <w:r>
        <w:rPr>
          <w:spacing w:val="-5"/>
        </w:rPr>
        <w:t> </w:t>
      </w:r>
      <w:r>
        <w:rPr/>
        <w:t>2</w:t>
      </w:r>
      <w:r>
        <w:rPr>
          <w:spacing w:val="-5"/>
        </w:rPr>
        <w:t> </w:t>
      </w:r>
      <w:r>
        <w:rPr/>
        <w:t>WF.</w:t>
      </w:r>
      <w:r>
        <w:rPr>
          <w:spacing w:val="-6"/>
        </w:rPr>
        <w:t> </w:t>
      </w:r>
      <w:r>
        <w:rPr/>
        <w:t>These</w:t>
      </w:r>
      <w:r>
        <w:rPr>
          <w:spacing w:val="-5"/>
        </w:rPr>
        <w:t> </w:t>
      </w:r>
      <w:r>
        <w:rPr/>
        <w:t>Directives</w:t>
      </w:r>
      <w:r>
        <w:rPr>
          <w:spacing w:val="-6"/>
        </w:rPr>
        <w:t> </w:t>
      </w:r>
      <w:r>
        <w:rPr/>
        <w:t>strengthen</w:t>
      </w:r>
      <w:r>
        <w:rPr>
          <w:spacing w:val="-6"/>
        </w:rPr>
        <w:t> </w:t>
      </w:r>
      <w:r>
        <w:rPr/>
        <w:t>the role and independence of equality bodies by setting out standards that address their</w:t>
      </w:r>
      <w:r>
        <w:rPr>
          <w:spacing w:val="-2"/>
        </w:rPr>
        <w:t> </w:t>
      </w:r>
      <w:r>
        <w:rPr/>
        <w:t>mandate,</w:t>
      </w:r>
      <w:r>
        <w:rPr>
          <w:spacing w:val="-2"/>
        </w:rPr>
        <w:t> </w:t>
      </w:r>
      <w:r>
        <w:rPr/>
        <w:t>tasks,</w:t>
      </w:r>
      <w:r>
        <w:rPr>
          <w:spacing w:val="-2"/>
        </w:rPr>
        <w:t> </w:t>
      </w:r>
      <w:r>
        <w:rPr/>
        <w:t>independence,</w:t>
      </w:r>
      <w:r>
        <w:rPr>
          <w:spacing w:val="-2"/>
        </w:rPr>
        <w:t> </w:t>
      </w:r>
      <w:r>
        <w:rPr/>
        <w:t>structure,</w:t>
      </w:r>
      <w:r>
        <w:rPr>
          <w:spacing w:val="-2"/>
        </w:rPr>
        <w:t> </w:t>
      </w:r>
      <w:r>
        <w:rPr/>
        <w:t>powers,</w:t>
      </w:r>
      <w:r>
        <w:rPr>
          <w:spacing w:val="-2"/>
        </w:rPr>
        <w:t> </w:t>
      </w:r>
      <w:r>
        <w:rPr/>
        <w:t>accessibility</w:t>
      </w:r>
      <w:r>
        <w:rPr>
          <w:spacing w:val="-2"/>
        </w:rPr>
        <w:t> </w:t>
      </w:r>
      <w:r>
        <w:rPr/>
        <w:t>and</w:t>
      </w:r>
      <w:r>
        <w:rPr>
          <w:spacing w:val="-3"/>
        </w:rPr>
        <w:t> </w:t>
      </w:r>
      <w:r>
        <w:rPr/>
        <w:t>resources to engage in the prevention of discrimination, promote equal treatment and awareness</w:t>
      </w:r>
      <w:r>
        <w:rPr>
          <w:spacing w:val="-9"/>
        </w:rPr>
        <w:t> </w:t>
      </w:r>
      <w:r>
        <w:rPr/>
        <w:t>raising</w:t>
      </w:r>
      <w:r>
        <w:rPr>
          <w:spacing w:val="-8"/>
        </w:rPr>
        <w:t> </w:t>
      </w:r>
      <w:r>
        <w:rPr/>
        <w:t>activities</w:t>
      </w:r>
      <w:r>
        <w:rPr>
          <w:spacing w:val="-9"/>
        </w:rPr>
        <w:t> </w:t>
      </w:r>
      <w:r>
        <w:rPr/>
        <w:t>and</w:t>
      </w:r>
      <w:r>
        <w:rPr>
          <w:spacing w:val="-9"/>
        </w:rPr>
        <w:t> </w:t>
      </w:r>
      <w:r>
        <w:rPr/>
        <w:t>effectively</w:t>
      </w:r>
      <w:r>
        <w:rPr>
          <w:spacing w:val="-8"/>
        </w:rPr>
        <w:t> </w:t>
      </w:r>
      <w:r>
        <w:rPr/>
        <w:t>assist</w:t>
      </w:r>
      <w:r>
        <w:rPr>
          <w:spacing w:val="-8"/>
        </w:rPr>
        <w:t> </w:t>
      </w:r>
      <w:r>
        <w:rPr/>
        <w:t>victims</w:t>
      </w:r>
      <w:r>
        <w:rPr>
          <w:spacing w:val="-9"/>
        </w:rPr>
        <w:t> </w:t>
      </w:r>
      <w:r>
        <w:rPr/>
        <w:t>of</w:t>
      </w:r>
      <w:r>
        <w:rPr>
          <w:spacing w:val="-9"/>
        </w:rPr>
        <w:t> </w:t>
      </w:r>
      <w:r>
        <w:rPr/>
        <w:t>discrimination</w:t>
      </w:r>
      <w:r>
        <w:rPr>
          <w:spacing w:val="-9"/>
        </w:rPr>
        <w:t> </w:t>
      </w:r>
      <w:r>
        <w:rPr/>
        <w:t>to</w:t>
      </w:r>
      <w:r>
        <w:rPr>
          <w:spacing w:val="-9"/>
        </w:rPr>
        <w:t> </w:t>
      </w:r>
      <w:r>
        <w:rPr/>
        <w:t>access justice. Therefore, they promote equality in the workplace and in other key areas by strengthening equality bodies’ capacity to fight against related discrimination.</w:t>
      </w:r>
    </w:p>
    <w:p>
      <w:pPr>
        <w:pStyle w:val="BodyText"/>
        <w:spacing w:line="232" w:lineRule="auto"/>
        <w:ind w:left="720" w:right="1250"/>
      </w:pPr>
      <w:r>
        <w:rPr/>
        <w:t>Given</w:t>
      </w:r>
      <w:r>
        <w:rPr>
          <w:spacing w:val="-7"/>
        </w:rPr>
        <w:t> </w:t>
      </w:r>
      <w:r>
        <w:rPr/>
        <w:t>these</w:t>
      </w:r>
      <w:r>
        <w:rPr>
          <w:spacing w:val="-6"/>
        </w:rPr>
        <w:t> </w:t>
      </w:r>
      <w:r>
        <w:rPr/>
        <w:t>proposals</w:t>
      </w:r>
      <w:r>
        <w:rPr>
          <w:spacing w:val="-7"/>
        </w:rPr>
        <w:t> </w:t>
      </w:r>
      <w:r>
        <w:rPr/>
        <w:t>concern</w:t>
      </w:r>
      <w:r>
        <w:rPr>
          <w:spacing w:val="-7"/>
        </w:rPr>
        <w:t> </w:t>
      </w:r>
      <w:r>
        <w:rPr/>
        <w:t>equality</w:t>
      </w:r>
      <w:r>
        <w:rPr>
          <w:spacing w:val="-6"/>
        </w:rPr>
        <w:t> </w:t>
      </w:r>
      <w:r>
        <w:rPr/>
        <w:t>bodies’</w:t>
      </w:r>
      <w:r>
        <w:rPr>
          <w:spacing w:val="-6"/>
        </w:rPr>
        <w:t> </w:t>
      </w:r>
      <w:r>
        <w:rPr/>
        <w:t>mandate,</w:t>
      </w:r>
      <w:r>
        <w:rPr>
          <w:spacing w:val="-6"/>
        </w:rPr>
        <w:t> </w:t>
      </w:r>
      <w:r>
        <w:rPr/>
        <w:t>it</w:t>
      </w:r>
      <w:r>
        <w:rPr>
          <w:spacing w:val="-6"/>
        </w:rPr>
        <w:t> </w:t>
      </w:r>
      <w:r>
        <w:rPr/>
        <w:t>is</w:t>
      </w:r>
      <w:r>
        <w:rPr>
          <w:spacing w:val="-7"/>
        </w:rPr>
        <w:t> </w:t>
      </w:r>
      <w:r>
        <w:rPr/>
        <w:t>particularly</w:t>
      </w:r>
      <w:r>
        <w:rPr>
          <w:spacing w:val="-6"/>
        </w:rPr>
        <w:t> </w:t>
      </w:r>
      <w:r>
        <w:rPr/>
        <w:t>relevant to the work of the ECNI. However, they are also of importance to individuals in NI as they benefit those who have been subjected to discrimination and are seeking or accessing the services of ECNI.</w:t>
      </w:r>
    </w:p>
    <w:p>
      <w:pPr>
        <w:pStyle w:val="BodyText"/>
        <w:spacing w:before="10"/>
        <w:rPr>
          <w:sz w:val="7"/>
        </w:rPr>
      </w:pPr>
      <w:r>
        <w:rPr/>
        <mc:AlternateContent>
          <mc:Choice Requires="wps">
            <w:drawing>
              <wp:anchor distT="0" distB="0" distL="0" distR="0" allowOverlap="1" layoutInCell="1" locked="0" behindDoc="1" simplePos="0" relativeHeight="487729664">
                <wp:simplePos x="0" y="0"/>
                <wp:positionH relativeFrom="page">
                  <wp:posOffset>647999</wp:posOffset>
                </wp:positionH>
                <wp:positionV relativeFrom="paragraph">
                  <wp:posOffset>76142</wp:posOffset>
                </wp:positionV>
                <wp:extent cx="6012180" cy="1270"/>
                <wp:effectExtent l="0" t="0" r="0" b="0"/>
                <wp:wrapTopAndBottom/>
                <wp:docPr id="751" name="Graphic 751"/>
                <wp:cNvGraphicFramePr>
                  <a:graphicFrameLocks/>
                </wp:cNvGraphicFramePr>
                <a:graphic>
                  <a:graphicData uri="http://schemas.microsoft.com/office/word/2010/wordprocessingShape">
                    <wps:wsp>
                      <wps:cNvPr id="751" name="Graphic 75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5.995451pt;width:473.4pt;height:.1pt;mso-position-horizontal-relative:page;mso-position-vertical-relative:paragraph;z-index:-15586816;mso-wrap-distance-left:0;mso-wrap-distance-right:0" id="docshape611" coordorigin="1020,120" coordsize="9468,0" path="m1020,120l10488,120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168" w:hanging="567"/>
        <w:jc w:val="left"/>
        <w:rPr>
          <w:sz w:val="18"/>
        </w:rPr>
      </w:pPr>
      <w:r>
        <w:rPr>
          <w:color w:val="1D71B8"/>
          <w:sz w:val="18"/>
          <w:u w:val="single" w:color="1D71B8"/>
        </w:rPr>
        <w:t>Directive (EU) 2024/1500</w:t>
      </w:r>
      <w:r>
        <w:rPr>
          <w:color w:val="1D71B8"/>
          <w:sz w:val="18"/>
          <w:u w:val="none"/>
        </w:rPr>
        <w:t> </w:t>
      </w:r>
      <w:r>
        <w:rPr>
          <w:sz w:val="18"/>
          <w:u w:val="none"/>
        </w:rPr>
        <w:t>on standards for Equality Bodies in the field of equal treatment and equal opportunities between</w:t>
      </w:r>
      <w:r>
        <w:rPr>
          <w:spacing w:val="-5"/>
          <w:sz w:val="18"/>
          <w:u w:val="none"/>
        </w:rPr>
        <w:t> </w:t>
      </w:r>
      <w:r>
        <w:rPr>
          <w:sz w:val="18"/>
          <w:u w:val="none"/>
        </w:rPr>
        <w:t>women</w:t>
      </w:r>
      <w:r>
        <w:rPr>
          <w:spacing w:val="-5"/>
          <w:sz w:val="18"/>
          <w:u w:val="none"/>
        </w:rPr>
        <w:t> </w:t>
      </w:r>
      <w:r>
        <w:rPr>
          <w:sz w:val="18"/>
          <w:u w:val="none"/>
        </w:rPr>
        <w:t>and</w:t>
      </w:r>
      <w:r>
        <w:rPr>
          <w:spacing w:val="-5"/>
          <w:sz w:val="18"/>
          <w:u w:val="none"/>
        </w:rPr>
        <w:t> </w:t>
      </w:r>
      <w:r>
        <w:rPr>
          <w:sz w:val="18"/>
          <w:u w:val="none"/>
        </w:rPr>
        <w:t>men</w:t>
      </w:r>
      <w:r>
        <w:rPr>
          <w:spacing w:val="-5"/>
          <w:sz w:val="18"/>
          <w:u w:val="none"/>
        </w:rPr>
        <w:t> </w:t>
      </w:r>
      <w:r>
        <w:rPr>
          <w:sz w:val="18"/>
          <w:u w:val="none"/>
        </w:rPr>
        <w:t>in</w:t>
      </w:r>
      <w:r>
        <w:rPr>
          <w:spacing w:val="-5"/>
          <w:sz w:val="18"/>
          <w:u w:val="none"/>
        </w:rPr>
        <w:t> </w:t>
      </w:r>
      <w:r>
        <w:rPr>
          <w:sz w:val="18"/>
          <w:u w:val="none"/>
        </w:rPr>
        <w:t>matters</w:t>
      </w:r>
      <w:r>
        <w:rPr>
          <w:spacing w:val="-5"/>
          <w:sz w:val="18"/>
          <w:u w:val="none"/>
        </w:rPr>
        <w:t> </w:t>
      </w:r>
      <w:r>
        <w:rPr>
          <w:sz w:val="18"/>
          <w:u w:val="none"/>
        </w:rPr>
        <w:t>of</w:t>
      </w:r>
      <w:r>
        <w:rPr>
          <w:spacing w:val="-5"/>
          <w:sz w:val="18"/>
          <w:u w:val="none"/>
        </w:rPr>
        <w:t> </w:t>
      </w:r>
      <w:r>
        <w:rPr>
          <w:sz w:val="18"/>
          <w:u w:val="none"/>
        </w:rPr>
        <w:t>employment</w:t>
      </w:r>
      <w:r>
        <w:rPr>
          <w:spacing w:val="-4"/>
          <w:sz w:val="18"/>
          <w:u w:val="none"/>
        </w:rPr>
        <w:t> </w:t>
      </w:r>
      <w:r>
        <w:rPr>
          <w:sz w:val="18"/>
          <w:u w:val="none"/>
        </w:rPr>
        <w:t>and</w:t>
      </w:r>
      <w:r>
        <w:rPr>
          <w:spacing w:val="-5"/>
          <w:sz w:val="18"/>
          <w:u w:val="none"/>
        </w:rPr>
        <w:t> </w:t>
      </w:r>
      <w:r>
        <w:rPr>
          <w:sz w:val="18"/>
          <w:u w:val="none"/>
        </w:rPr>
        <w:t>occupation,</w:t>
      </w:r>
      <w:r>
        <w:rPr>
          <w:spacing w:val="-4"/>
          <w:sz w:val="18"/>
          <w:u w:val="none"/>
        </w:rPr>
        <w:t> </w:t>
      </w:r>
      <w:r>
        <w:rPr>
          <w:sz w:val="18"/>
          <w:u w:val="none"/>
        </w:rPr>
        <w:t>and</w:t>
      </w:r>
      <w:r>
        <w:rPr>
          <w:spacing w:val="-5"/>
          <w:sz w:val="18"/>
          <w:u w:val="none"/>
        </w:rPr>
        <w:t> </w:t>
      </w:r>
      <w:r>
        <w:rPr>
          <w:sz w:val="18"/>
          <w:u w:val="none"/>
        </w:rPr>
        <w:t>amending</w:t>
      </w:r>
      <w:r>
        <w:rPr>
          <w:spacing w:val="-4"/>
          <w:sz w:val="18"/>
          <w:u w:val="none"/>
        </w:rPr>
        <w:t> </w:t>
      </w:r>
      <w:r>
        <w:rPr>
          <w:sz w:val="18"/>
          <w:u w:val="none"/>
        </w:rPr>
        <w:t>Directives</w:t>
      </w:r>
      <w:r>
        <w:rPr>
          <w:spacing w:val="-5"/>
          <w:sz w:val="18"/>
          <w:u w:val="none"/>
        </w:rPr>
        <w:t> </w:t>
      </w:r>
      <w:r>
        <w:rPr>
          <w:sz w:val="18"/>
          <w:u w:val="none"/>
        </w:rPr>
        <w:t>2006/54/EC</w:t>
      </w:r>
      <w:r>
        <w:rPr>
          <w:spacing w:val="-5"/>
          <w:sz w:val="18"/>
          <w:u w:val="none"/>
        </w:rPr>
        <w:t> </w:t>
      </w:r>
      <w:r>
        <w:rPr>
          <w:sz w:val="18"/>
          <w:u w:val="none"/>
        </w:rPr>
        <w:t>and</w:t>
      </w:r>
      <w:r>
        <w:rPr>
          <w:spacing w:val="-5"/>
          <w:sz w:val="18"/>
          <w:u w:val="none"/>
        </w:rPr>
        <w:t> </w:t>
      </w:r>
      <w:r>
        <w:rPr>
          <w:sz w:val="18"/>
          <w:u w:val="none"/>
        </w:rPr>
        <w:t>2010/41/ </w:t>
      </w:r>
      <w:r>
        <w:rPr>
          <w:spacing w:val="-4"/>
          <w:sz w:val="18"/>
          <w:u w:val="none"/>
        </w:rPr>
        <w:t>EU.</w:t>
      </w:r>
    </w:p>
    <w:p>
      <w:pPr>
        <w:pStyle w:val="ListParagraph"/>
        <w:numPr>
          <w:ilvl w:val="0"/>
          <w:numId w:val="18"/>
        </w:numPr>
        <w:tabs>
          <w:tab w:pos="1287" w:val="left" w:leader="none"/>
        </w:tabs>
        <w:spacing w:line="240" w:lineRule="auto" w:before="1" w:after="0"/>
        <w:ind w:left="1287" w:right="1177" w:hanging="567"/>
        <w:jc w:val="left"/>
        <w:rPr>
          <w:sz w:val="18"/>
        </w:rPr>
      </w:pPr>
      <w:r>
        <w:rPr>
          <w:color w:val="1D71B8"/>
          <w:sz w:val="18"/>
          <w:u w:val="single" w:color="1D71B8"/>
        </w:rPr>
        <w:t>Directive</w:t>
      </w:r>
      <w:r>
        <w:rPr>
          <w:color w:val="1D71B8"/>
          <w:spacing w:val="-4"/>
          <w:sz w:val="18"/>
          <w:u w:val="single" w:color="1D71B8"/>
        </w:rPr>
        <w:t> </w:t>
      </w:r>
      <w:r>
        <w:rPr>
          <w:color w:val="1D71B8"/>
          <w:sz w:val="18"/>
          <w:u w:val="single" w:color="1D71B8"/>
        </w:rPr>
        <w:t>(EU)</w:t>
      </w:r>
      <w:r>
        <w:rPr>
          <w:color w:val="1D71B8"/>
          <w:spacing w:val="-5"/>
          <w:sz w:val="18"/>
          <w:u w:val="single" w:color="1D71B8"/>
        </w:rPr>
        <w:t> </w:t>
      </w:r>
      <w:r>
        <w:rPr>
          <w:color w:val="1D71B8"/>
          <w:sz w:val="18"/>
          <w:u w:val="single" w:color="1D71B8"/>
        </w:rPr>
        <w:t>2024/1499</w:t>
      </w:r>
      <w:r>
        <w:rPr>
          <w:color w:val="1D71B8"/>
          <w:spacing w:val="-5"/>
          <w:sz w:val="18"/>
          <w:u w:val="none"/>
        </w:rPr>
        <w:t> </w:t>
      </w:r>
      <w:r>
        <w:rPr>
          <w:sz w:val="18"/>
          <w:u w:val="none"/>
        </w:rPr>
        <w:t>on</w:t>
      </w:r>
      <w:r>
        <w:rPr>
          <w:spacing w:val="-4"/>
          <w:sz w:val="18"/>
          <w:u w:val="none"/>
        </w:rPr>
        <w:t> </w:t>
      </w:r>
      <w:r>
        <w:rPr>
          <w:sz w:val="18"/>
          <w:u w:val="none"/>
        </w:rPr>
        <w:t>standards</w:t>
      </w:r>
      <w:r>
        <w:rPr>
          <w:spacing w:val="-5"/>
          <w:sz w:val="18"/>
          <w:u w:val="none"/>
        </w:rPr>
        <w:t> </w:t>
      </w:r>
      <w:r>
        <w:rPr>
          <w:sz w:val="18"/>
          <w:u w:val="none"/>
        </w:rPr>
        <w:t>for</w:t>
      </w:r>
      <w:r>
        <w:rPr>
          <w:spacing w:val="-4"/>
          <w:sz w:val="18"/>
          <w:u w:val="none"/>
        </w:rPr>
        <w:t> </w:t>
      </w:r>
      <w:r>
        <w:rPr>
          <w:sz w:val="18"/>
          <w:u w:val="none"/>
        </w:rPr>
        <w:t>Equality</w:t>
      </w:r>
      <w:r>
        <w:rPr>
          <w:spacing w:val="-4"/>
          <w:sz w:val="18"/>
          <w:u w:val="none"/>
        </w:rPr>
        <w:t> </w:t>
      </w:r>
      <w:r>
        <w:rPr>
          <w:sz w:val="18"/>
          <w:u w:val="none"/>
        </w:rPr>
        <w:t>Bodies</w:t>
      </w:r>
      <w:r>
        <w:rPr>
          <w:spacing w:val="-5"/>
          <w:sz w:val="18"/>
          <w:u w:val="none"/>
        </w:rPr>
        <w:t> </w:t>
      </w:r>
      <w:r>
        <w:rPr>
          <w:sz w:val="18"/>
          <w:u w:val="none"/>
        </w:rPr>
        <w:t>in</w:t>
      </w:r>
      <w:r>
        <w:rPr>
          <w:spacing w:val="-4"/>
          <w:sz w:val="18"/>
          <w:u w:val="none"/>
        </w:rPr>
        <w:t> </w:t>
      </w:r>
      <w:r>
        <w:rPr>
          <w:sz w:val="18"/>
          <w:u w:val="none"/>
        </w:rPr>
        <w:t>the</w:t>
      </w:r>
      <w:r>
        <w:rPr>
          <w:spacing w:val="-4"/>
          <w:sz w:val="18"/>
          <w:u w:val="none"/>
        </w:rPr>
        <w:t> </w:t>
      </w:r>
      <w:r>
        <w:rPr>
          <w:sz w:val="18"/>
          <w:u w:val="none"/>
        </w:rPr>
        <w:t>field</w:t>
      </w:r>
      <w:r>
        <w:rPr>
          <w:spacing w:val="-5"/>
          <w:sz w:val="18"/>
          <w:u w:val="none"/>
        </w:rPr>
        <w:t> </w:t>
      </w:r>
      <w:r>
        <w:rPr>
          <w:sz w:val="18"/>
          <w:u w:val="none"/>
        </w:rPr>
        <w:t>of</w:t>
      </w:r>
      <w:r>
        <w:rPr>
          <w:spacing w:val="-5"/>
          <w:sz w:val="18"/>
          <w:u w:val="none"/>
        </w:rPr>
        <w:t> </w:t>
      </w:r>
      <w:r>
        <w:rPr>
          <w:sz w:val="18"/>
          <w:u w:val="none"/>
        </w:rPr>
        <w:t>equal</w:t>
      </w:r>
      <w:r>
        <w:rPr>
          <w:spacing w:val="-5"/>
          <w:sz w:val="18"/>
          <w:u w:val="none"/>
        </w:rPr>
        <w:t> </w:t>
      </w:r>
      <w:r>
        <w:rPr>
          <w:sz w:val="18"/>
          <w:u w:val="none"/>
        </w:rPr>
        <w:t>treatment</w:t>
      </w:r>
      <w:r>
        <w:rPr>
          <w:spacing w:val="-4"/>
          <w:sz w:val="18"/>
          <w:u w:val="none"/>
        </w:rPr>
        <w:t> </w:t>
      </w:r>
      <w:r>
        <w:rPr>
          <w:sz w:val="18"/>
          <w:u w:val="none"/>
        </w:rPr>
        <w:t>between</w:t>
      </w:r>
      <w:r>
        <w:rPr>
          <w:spacing w:val="-5"/>
          <w:sz w:val="18"/>
          <w:u w:val="none"/>
        </w:rPr>
        <w:t> </w:t>
      </w:r>
      <w:r>
        <w:rPr>
          <w:sz w:val="18"/>
          <w:u w:val="none"/>
        </w:rPr>
        <w:t>persons</w:t>
      </w:r>
      <w:r>
        <w:rPr>
          <w:spacing w:val="-5"/>
          <w:sz w:val="18"/>
          <w:u w:val="none"/>
        </w:rPr>
        <w:t> </w:t>
      </w:r>
      <w:r>
        <w:rPr>
          <w:sz w:val="18"/>
          <w:u w:val="none"/>
        </w:rPr>
        <w:t>irrespective</w:t>
      </w:r>
      <w:r>
        <w:rPr>
          <w:spacing w:val="-4"/>
          <w:sz w:val="18"/>
          <w:u w:val="none"/>
        </w:rPr>
        <w:t> </w:t>
      </w:r>
      <w:r>
        <w:rPr>
          <w:sz w:val="18"/>
          <w:u w:val="none"/>
        </w:rPr>
        <w:t>of their racial or ethnic origin, equal treatment in the field of employment and occupation between persons irrespective of their</w:t>
      </w:r>
      <w:r>
        <w:rPr>
          <w:spacing w:val="-5"/>
          <w:sz w:val="18"/>
          <w:u w:val="none"/>
        </w:rPr>
        <w:t> </w:t>
      </w:r>
      <w:r>
        <w:rPr>
          <w:sz w:val="18"/>
          <w:u w:val="none"/>
        </w:rPr>
        <w:t>religion</w:t>
      </w:r>
      <w:r>
        <w:rPr>
          <w:spacing w:val="-6"/>
          <w:sz w:val="18"/>
          <w:u w:val="none"/>
        </w:rPr>
        <w:t> </w:t>
      </w:r>
      <w:r>
        <w:rPr>
          <w:sz w:val="18"/>
          <w:u w:val="none"/>
        </w:rPr>
        <w:t>or</w:t>
      </w:r>
      <w:r>
        <w:rPr>
          <w:spacing w:val="-5"/>
          <w:sz w:val="18"/>
          <w:u w:val="none"/>
        </w:rPr>
        <w:t> </w:t>
      </w:r>
      <w:r>
        <w:rPr>
          <w:sz w:val="18"/>
          <w:u w:val="none"/>
        </w:rPr>
        <w:t>belief,</w:t>
      </w:r>
      <w:r>
        <w:rPr>
          <w:spacing w:val="-5"/>
          <w:sz w:val="18"/>
          <w:u w:val="none"/>
        </w:rPr>
        <w:t> </w:t>
      </w:r>
      <w:r>
        <w:rPr>
          <w:sz w:val="18"/>
          <w:u w:val="none"/>
        </w:rPr>
        <w:t>disability,</w:t>
      </w:r>
      <w:r>
        <w:rPr>
          <w:spacing w:val="-5"/>
          <w:sz w:val="18"/>
          <w:u w:val="none"/>
        </w:rPr>
        <w:t> </w:t>
      </w:r>
      <w:r>
        <w:rPr>
          <w:sz w:val="18"/>
          <w:u w:val="none"/>
        </w:rPr>
        <w:t>age</w:t>
      </w:r>
      <w:r>
        <w:rPr>
          <w:spacing w:val="-5"/>
          <w:sz w:val="18"/>
          <w:u w:val="none"/>
        </w:rPr>
        <w:t> </w:t>
      </w:r>
      <w:r>
        <w:rPr>
          <w:sz w:val="18"/>
          <w:u w:val="none"/>
        </w:rPr>
        <w:t>or</w:t>
      </w:r>
      <w:r>
        <w:rPr>
          <w:spacing w:val="-5"/>
          <w:sz w:val="18"/>
          <w:u w:val="none"/>
        </w:rPr>
        <w:t> </w:t>
      </w:r>
      <w:r>
        <w:rPr>
          <w:sz w:val="18"/>
          <w:u w:val="none"/>
        </w:rPr>
        <w:t>sexual</w:t>
      </w:r>
      <w:r>
        <w:rPr>
          <w:spacing w:val="-6"/>
          <w:sz w:val="18"/>
          <w:u w:val="none"/>
        </w:rPr>
        <w:t> </w:t>
      </w:r>
      <w:r>
        <w:rPr>
          <w:sz w:val="18"/>
          <w:u w:val="none"/>
        </w:rPr>
        <w:t>orientation,</w:t>
      </w:r>
      <w:r>
        <w:rPr>
          <w:spacing w:val="-5"/>
          <w:sz w:val="18"/>
          <w:u w:val="none"/>
        </w:rPr>
        <w:t> </w:t>
      </w:r>
      <w:r>
        <w:rPr>
          <w:sz w:val="18"/>
          <w:u w:val="none"/>
        </w:rPr>
        <w:t>equal</w:t>
      </w:r>
      <w:r>
        <w:rPr>
          <w:spacing w:val="-6"/>
          <w:sz w:val="18"/>
          <w:u w:val="none"/>
        </w:rPr>
        <w:t> </w:t>
      </w:r>
      <w:r>
        <w:rPr>
          <w:sz w:val="18"/>
          <w:u w:val="none"/>
        </w:rPr>
        <w:t>treatment</w:t>
      </w:r>
      <w:r>
        <w:rPr>
          <w:spacing w:val="-5"/>
          <w:sz w:val="18"/>
          <w:u w:val="none"/>
        </w:rPr>
        <w:t> </w:t>
      </w:r>
      <w:r>
        <w:rPr>
          <w:sz w:val="18"/>
          <w:u w:val="none"/>
        </w:rPr>
        <w:t>between</w:t>
      </w:r>
      <w:r>
        <w:rPr>
          <w:spacing w:val="-6"/>
          <w:sz w:val="18"/>
          <w:u w:val="none"/>
        </w:rPr>
        <w:t> </w:t>
      </w:r>
      <w:r>
        <w:rPr>
          <w:sz w:val="18"/>
          <w:u w:val="none"/>
        </w:rPr>
        <w:t>women</w:t>
      </w:r>
      <w:r>
        <w:rPr>
          <w:spacing w:val="-6"/>
          <w:sz w:val="18"/>
          <w:u w:val="none"/>
        </w:rPr>
        <w:t> </w:t>
      </w:r>
      <w:r>
        <w:rPr>
          <w:sz w:val="18"/>
          <w:u w:val="none"/>
        </w:rPr>
        <w:t>and</w:t>
      </w:r>
      <w:r>
        <w:rPr>
          <w:spacing w:val="-6"/>
          <w:sz w:val="18"/>
          <w:u w:val="none"/>
        </w:rPr>
        <w:t> </w:t>
      </w:r>
      <w:r>
        <w:rPr>
          <w:sz w:val="18"/>
          <w:u w:val="none"/>
        </w:rPr>
        <w:t>men</w:t>
      </w:r>
      <w:r>
        <w:rPr>
          <w:spacing w:val="-6"/>
          <w:sz w:val="18"/>
          <w:u w:val="none"/>
        </w:rPr>
        <w:t> </w:t>
      </w:r>
      <w:r>
        <w:rPr>
          <w:sz w:val="18"/>
          <w:u w:val="none"/>
        </w:rPr>
        <w:t>in</w:t>
      </w:r>
      <w:r>
        <w:rPr>
          <w:spacing w:val="-6"/>
          <w:sz w:val="18"/>
          <w:u w:val="none"/>
        </w:rPr>
        <w:t> </w:t>
      </w:r>
      <w:r>
        <w:rPr>
          <w:sz w:val="18"/>
          <w:u w:val="none"/>
        </w:rPr>
        <w:t>matters</w:t>
      </w:r>
      <w:r>
        <w:rPr>
          <w:spacing w:val="-6"/>
          <w:sz w:val="18"/>
          <w:u w:val="none"/>
        </w:rPr>
        <w:t> </w:t>
      </w:r>
      <w:r>
        <w:rPr>
          <w:sz w:val="18"/>
          <w:u w:val="none"/>
        </w:rPr>
        <w:t>of</w:t>
      </w:r>
      <w:r>
        <w:rPr>
          <w:spacing w:val="-6"/>
          <w:sz w:val="18"/>
          <w:u w:val="none"/>
        </w:rPr>
        <w:t> </w:t>
      </w:r>
      <w:r>
        <w:rPr>
          <w:sz w:val="18"/>
          <w:u w:val="none"/>
        </w:rPr>
        <w:t>social security and in the access to and supply of goods and services, and amending Directives 2000/43/EC and 2004/113/EC.</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48384">
                <wp:simplePos x="0" y="0"/>
                <wp:positionH relativeFrom="page">
                  <wp:posOffset>-2</wp:posOffset>
                </wp:positionH>
                <wp:positionV relativeFrom="page">
                  <wp:posOffset>0</wp:posOffset>
                </wp:positionV>
                <wp:extent cx="7560309" cy="1155065"/>
                <wp:effectExtent l="0" t="0" r="0" b="0"/>
                <wp:wrapNone/>
                <wp:docPr id="752" name="Group 752"/>
                <wp:cNvGraphicFramePr>
                  <a:graphicFrameLocks/>
                </wp:cNvGraphicFramePr>
                <a:graphic>
                  <a:graphicData uri="http://schemas.microsoft.com/office/word/2010/wordprocessingGroup">
                    <wpg:wgp>
                      <wpg:cNvPr id="752" name="Group 752"/>
                      <wpg:cNvGrpSpPr/>
                      <wpg:grpSpPr>
                        <a:xfrm>
                          <a:off x="0" y="0"/>
                          <a:ext cx="7560309" cy="1155065"/>
                          <a:chExt cx="7560309" cy="1155065"/>
                        </a:xfrm>
                      </wpg:grpSpPr>
                      <wps:wsp>
                        <wps:cNvPr id="753" name="Graphic 753"/>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754" name="Graphic 754"/>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68096" id="docshapegroup612" coordorigin="0,0" coordsize="11906,1819">
                <v:shape style="position:absolute;left:0;top:0;width:11906;height:1819" id="docshape613"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4.3.1.4 Violence Against Women and Domes" w:id="131"/>
      <w:bookmarkEnd w:id="131"/>
      <w:r>
        <w:rPr/>
      </w:r>
      <w:bookmarkStart w:name="_bookmark54" w:id="132"/>
      <w:bookmarkEnd w:id="132"/>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87</w:t>
      </w:r>
    </w:p>
    <w:p>
      <w:pPr>
        <w:pStyle w:val="BodyText"/>
        <w:spacing w:line="232" w:lineRule="auto" w:before="731"/>
        <w:ind w:left="1117" w:right="738"/>
      </w:pPr>
      <w:r>
        <w:rPr/>
        <w:t>Furthermore, the UK Government has accepted that the principle of dynamic alignment</w:t>
      </w:r>
      <w:r>
        <w:rPr>
          <w:spacing w:val="-5"/>
        </w:rPr>
        <w:t> </w:t>
      </w:r>
      <w:r>
        <w:rPr/>
        <w:t>would</w:t>
      </w:r>
      <w:r>
        <w:rPr>
          <w:spacing w:val="-6"/>
        </w:rPr>
        <w:t> </w:t>
      </w:r>
      <w:r>
        <w:rPr/>
        <w:t>apply</w:t>
      </w:r>
      <w:r>
        <w:rPr>
          <w:spacing w:val="-5"/>
        </w:rPr>
        <w:t> </w:t>
      </w:r>
      <w:r>
        <w:rPr/>
        <w:t>in</w:t>
      </w:r>
      <w:r>
        <w:rPr>
          <w:spacing w:val="-6"/>
        </w:rPr>
        <w:t> </w:t>
      </w:r>
      <w:r>
        <w:rPr/>
        <w:t>relation</w:t>
      </w:r>
      <w:r>
        <w:rPr>
          <w:spacing w:val="-6"/>
        </w:rPr>
        <w:t> </w:t>
      </w:r>
      <w:r>
        <w:rPr/>
        <w:t>to</w:t>
      </w:r>
      <w:r>
        <w:rPr>
          <w:spacing w:val="-6"/>
        </w:rPr>
        <w:t> </w:t>
      </w:r>
      <w:r>
        <w:rPr/>
        <w:t>these</w:t>
      </w:r>
      <w:r>
        <w:rPr>
          <w:spacing w:val="-5"/>
        </w:rPr>
        <w:t> </w:t>
      </w:r>
      <w:r>
        <w:rPr/>
        <w:t>two</w:t>
      </w:r>
      <w:r>
        <w:rPr>
          <w:spacing w:val="-6"/>
        </w:rPr>
        <w:t> </w:t>
      </w:r>
      <w:r>
        <w:rPr/>
        <w:t>Directives,</w:t>
      </w:r>
      <w:r>
        <w:rPr>
          <w:spacing w:val="-5"/>
        </w:rPr>
        <w:t> </w:t>
      </w:r>
      <w:r>
        <w:rPr/>
        <w:t>as</w:t>
      </w:r>
      <w:r>
        <w:rPr>
          <w:spacing w:val="-6"/>
        </w:rPr>
        <w:t> </w:t>
      </w:r>
      <w:r>
        <w:rPr/>
        <w:t>have</w:t>
      </w:r>
      <w:r>
        <w:rPr>
          <w:spacing w:val="-5"/>
        </w:rPr>
        <w:t> </w:t>
      </w:r>
      <w:r>
        <w:rPr/>
        <w:t>the</w:t>
      </w:r>
      <w:r>
        <w:rPr>
          <w:spacing w:val="-5"/>
        </w:rPr>
        <w:t> </w:t>
      </w:r>
      <w:r>
        <w:rPr/>
        <w:t>ECNI</w:t>
      </w:r>
      <w:r>
        <w:rPr>
          <w:spacing w:val="-5"/>
        </w:rPr>
        <w:t> </w:t>
      </w:r>
      <w:r>
        <w:rPr/>
        <w:t>and</w:t>
      </w:r>
      <w:r>
        <w:rPr>
          <w:spacing w:val="-6"/>
        </w:rPr>
        <w:t> </w:t>
      </w:r>
      <w:r>
        <w:rPr/>
        <w:t>the </w:t>
      </w:r>
      <w:r>
        <w:rPr>
          <w:spacing w:val="-2"/>
        </w:rPr>
        <w:t>NIHRC.</w:t>
      </w:r>
      <w:r>
        <w:rPr>
          <w:spacing w:val="-2"/>
          <w:vertAlign w:val="superscript"/>
        </w:rPr>
        <w:t>458</w:t>
      </w:r>
    </w:p>
    <w:p>
      <w:pPr>
        <w:pStyle w:val="BodyText"/>
        <w:spacing w:before="3"/>
        <w:rPr>
          <w:sz w:val="20"/>
        </w:rPr>
      </w:pPr>
      <w:r>
        <w:rPr/>
        <mc:AlternateContent>
          <mc:Choice Requires="wps">
            <w:drawing>
              <wp:anchor distT="0" distB="0" distL="0" distR="0" allowOverlap="1" layoutInCell="1" locked="0" behindDoc="1" simplePos="0" relativeHeight="487730688">
                <wp:simplePos x="0" y="0"/>
                <wp:positionH relativeFrom="page">
                  <wp:posOffset>899994</wp:posOffset>
                </wp:positionH>
                <wp:positionV relativeFrom="paragraph">
                  <wp:posOffset>172299</wp:posOffset>
                </wp:positionV>
                <wp:extent cx="6012180" cy="1442085"/>
                <wp:effectExtent l="0" t="0" r="0" b="0"/>
                <wp:wrapTopAndBottom/>
                <wp:docPr id="755" name="Group 755"/>
                <wp:cNvGraphicFramePr>
                  <a:graphicFrameLocks/>
                </wp:cNvGraphicFramePr>
                <a:graphic>
                  <a:graphicData uri="http://schemas.microsoft.com/office/word/2010/wordprocessingGroup">
                    <wpg:wgp>
                      <wpg:cNvPr id="755" name="Group 755"/>
                      <wpg:cNvGrpSpPr/>
                      <wpg:grpSpPr>
                        <a:xfrm>
                          <a:off x="0" y="0"/>
                          <a:ext cx="6012180" cy="1442085"/>
                          <a:chExt cx="6012180" cy="1442085"/>
                        </a:xfrm>
                      </wpg:grpSpPr>
                      <wps:wsp>
                        <wps:cNvPr id="756" name="Graphic 756"/>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757" name="Textbox 757"/>
                        <wps:cNvSpPr txBox="1"/>
                        <wps:spPr>
                          <a:xfrm>
                            <a:off x="0" y="0"/>
                            <a:ext cx="6012180" cy="1442085"/>
                          </a:xfrm>
                          <a:prstGeom prst="rect">
                            <a:avLst/>
                          </a:prstGeom>
                        </wps:spPr>
                        <wps:txbx>
                          <w:txbxContent>
                            <w:p>
                              <w:pPr>
                                <w:spacing w:line="232" w:lineRule="auto" w:before="121"/>
                                <w:ind w:left="340" w:right="373" w:firstLine="0"/>
                                <w:jc w:val="left"/>
                                <w:rPr>
                                  <w:b/>
                                  <w:sz w:val="28"/>
                                </w:rPr>
                              </w:pPr>
                              <w:r>
                                <w:rPr>
                                  <w:b/>
                                  <w:color w:val="164194"/>
                                  <w:sz w:val="28"/>
                                </w:rPr>
                                <w:t>We recommend that the UK Government, NI Executive and relevant departments bring into force the necessary measures to comply with any requirements set by the Equality Bodies Directives on gender equality in the workplace and on equal treatment in respect of racial or ethnic origin, religion</w:t>
                              </w:r>
                              <w:r>
                                <w:rPr>
                                  <w:b/>
                                  <w:color w:val="164194"/>
                                  <w:spacing w:val="-9"/>
                                  <w:sz w:val="28"/>
                                </w:rPr>
                                <w:t> </w:t>
                              </w:r>
                              <w:r>
                                <w:rPr>
                                  <w:b/>
                                  <w:color w:val="164194"/>
                                  <w:sz w:val="28"/>
                                </w:rPr>
                                <w:t>or</w:t>
                              </w:r>
                              <w:r>
                                <w:rPr>
                                  <w:b/>
                                  <w:color w:val="164194"/>
                                  <w:spacing w:val="-10"/>
                                  <w:sz w:val="28"/>
                                </w:rPr>
                                <w:t> </w:t>
                              </w:r>
                              <w:r>
                                <w:rPr>
                                  <w:b/>
                                  <w:color w:val="164194"/>
                                  <w:sz w:val="28"/>
                                </w:rPr>
                                <w:t>belief,</w:t>
                              </w:r>
                              <w:r>
                                <w:rPr>
                                  <w:b/>
                                  <w:color w:val="164194"/>
                                  <w:spacing w:val="-9"/>
                                  <w:sz w:val="28"/>
                                </w:rPr>
                                <w:t> </w:t>
                              </w:r>
                              <w:r>
                                <w:rPr>
                                  <w:b/>
                                  <w:color w:val="164194"/>
                                  <w:sz w:val="28"/>
                                </w:rPr>
                                <w:t>disability,</w:t>
                              </w:r>
                              <w:r>
                                <w:rPr>
                                  <w:b/>
                                  <w:color w:val="164194"/>
                                  <w:spacing w:val="-9"/>
                                  <w:sz w:val="28"/>
                                </w:rPr>
                                <w:t> </w:t>
                              </w:r>
                              <w:r>
                                <w:rPr>
                                  <w:b/>
                                  <w:color w:val="164194"/>
                                  <w:sz w:val="28"/>
                                </w:rPr>
                                <w:t>age</w:t>
                              </w:r>
                              <w:r>
                                <w:rPr>
                                  <w:b/>
                                  <w:color w:val="164194"/>
                                  <w:spacing w:val="-10"/>
                                  <w:sz w:val="28"/>
                                </w:rPr>
                                <w:t> </w:t>
                              </w:r>
                              <w:r>
                                <w:rPr>
                                  <w:b/>
                                  <w:color w:val="164194"/>
                                  <w:sz w:val="28"/>
                                </w:rPr>
                                <w:t>or</w:t>
                              </w:r>
                              <w:r>
                                <w:rPr>
                                  <w:b/>
                                  <w:color w:val="164194"/>
                                  <w:spacing w:val="-10"/>
                                  <w:sz w:val="28"/>
                                </w:rPr>
                                <w:t> </w:t>
                              </w:r>
                              <w:r>
                                <w:rPr>
                                  <w:b/>
                                  <w:color w:val="164194"/>
                                  <w:sz w:val="28"/>
                                </w:rPr>
                                <w:t>sexual</w:t>
                              </w:r>
                              <w:r>
                                <w:rPr>
                                  <w:b/>
                                  <w:color w:val="164194"/>
                                  <w:spacing w:val="-9"/>
                                  <w:sz w:val="28"/>
                                </w:rPr>
                                <w:t> </w:t>
                              </w:r>
                              <w:r>
                                <w:rPr>
                                  <w:b/>
                                  <w:color w:val="164194"/>
                                  <w:sz w:val="28"/>
                                </w:rPr>
                                <w:t>orientation</w:t>
                              </w:r>
                              <w:r>
                                <w:rPr>
                                  <w:b/>
                                  <w:color w:val="164194"/>
                                  <w:spacing w:val="-9"/>
                                  <w:sz w:val="28"/>
                                </w:rPr>
                                <w:t> </w:t>
                              </w:r>
                              <w:r>
                                <w:rPr>
                                  <w:b/>
                                  <w:color w:val="164194"/>
                                  <w:sz w:val="28"/>
                                </w:rPr>
                                <w:t>and</w:t>
                              </w:r>
                              <w:r>
                                <w:rPr>
                                  <w:b/>
                                  <w:color w:val="164194"/>
                                  <w:spacing w:val="-9"/>
                                  <w:sz w:val="28"/>
                                </w:rPr>
                                <w:t> </w:t>
                              </w:r>
                              <w:r>
                                <w:rPr>
                                  <w:b/>
                                  <w:color w:val="164194"/>
                                  <w:sz w:val="28"/>
                                </w:rPr>
                                <w:t>gender</w:t>
                              </w:r>
                              <w:r>
                                <w:rPr>
                                  <w:b/>
                                  <w:color w:val="164194"/>
                                  <w:spacing w:val="-10"/>
                                  <w:sz w:val="28"/>
                                </w:rPr>
                                <w:t> </w:t>
                              </w:r>
                              <w:r>
                                <w:rPr>
                                  <w:b/>
                                  <w:color w:val="164194"/>
                                  <w:sz w:val="28"/>
                                </w:rPr>
                                <w:t>equality</w:t>
                              </w:r>
                              <w:r>
                                <w:rPr>
                                  <w:b/>
                                  <w:color w:val="164194"/>
                                  <w:spacing w:val="-9"/>
                                  <w:sz w:val="28"/>
                                </w:rPr>
                                <w:t> </w:t>
                              </w:r>
                              <w:r>
                                <w:rPr>
                                  <w:b/>
                                  <w:color w:val="164194"/>
                                  <w:sz w:val="28"/>
                                </w:rPr>
                                <w:t>in social security and goods and services, further to obligations in the WF.</w:t>
                              </w:r>
                            </w:p>
                          </w:txbxContent>
                        </wps:txbx>
                        <wps:bodyPr wrap="square" lIns="0" tIns="0" rIns="0" bIns="0" rtlCol="0">
                          <a:noAutofit/>
                        </wps:bodyPr>
                      </wps:wsp>
                    </wpg:wgp>
                  </a:graphicData>
                </a:graphic>
              </wp:anchor>
            </w:drawing>
          </mc:Choice>
          <mc:Fallback>
            <w:pict>
              <v:group style="position:absolute;margin-left:70.8657pt;margin-top:13.566911pt;width:473.4pt;height:113.55pt;mso-position-horizontal-relative:page;mso-position-vertical-relative:paragraph;z-index:-15585792;mso-wrap-distance-left:0;mso-wrap-distance-right:0" id="docshapegroup614" coordorigin="1417,271" coordsize="9468,2271">
                <v:shape style="position:absolute;left:1417;top:271;width:9468;height:2271" id="docshape615" coordorigin="1417,271" coordsize="9468,2271" path="m10658,271l1644,271,1572,283,1510,315,1461,364,1429,426,1417,498,1417,2315,1429,2386,1461,2449,1510,2498,1572,2530,1644,2541,10658,2541,10730,2530,10792,2498,10841,2449,10873,2386,10885,2315,10885,498,10873,426,10841,364,10792,315,10730,283,10658,271xe" filled="true" fillcolor="#e9f3fc" stroked="false">
                  <v:path arrowok="t"/>
                  <v:fill type="solid"/>
                </v:shape>
                <v:shape style="position:absolute;left:1417;top:271;width:9468;height:2271" type="#_x0000_t202" id="docshape616" filled="false" stroked="false">
                  <v:textbox inset="0,0,0,0">
                    <w:txbxContent>
                      <w:p>
                        <w:pPr>
                          <w:spacing w:line="232" w:lineRule="auto" w:before="121"/>
                          <w:ind w:left="340" w:right="373" w:firstLine="0"/>
                          <w:jc w:val="left"/>
                          <w:rPr>
                            <w:b/>
                            <w:sz w:val="28"/>
                          </w:rPr>
                        </w:pPr>
                        <w:r>
                          <w:rPr>
                            <w:b/>
                            <w:color w:val="164194"/>
                            <w:sz w:val="28"/>
                          </w:rPr>
                          <w:t>We recommend that the UK Government, NI Executive and relevant departments bring into force the necessary measures to comply with any requirements set by the Equality Bodies Directives on gender equality in the workplace and on equal treatment in respect of racial or ethnic origin, religion</w:t>
                        </w:r>
                        <w:r>
                          <w:rPr>
                            <w:b/>
                            <w:color w:val="164194"/>
                            <w:spacing w:val="-9"/>
                            <w:sz w:val="28"/>
                          </w:rPr>
                          <w:t> </w:t>
                        </w:r>
                        <w:r>
                          <w:rPr>
                            <w:b/>
                            <w:color w:val="164194"/>
                            <w:sz w:val="28"/>
                          </w:rPr>
                          <w:t>or</w:t>
                        </w:r>
                        <w:r>
                          <w:rPr>
                            <w:b/>
                            <w:color w:val="164194"/>
                            <w:spacing w:val="-10"/>
                            <w:sz w:val="28"/>
                          </w:rPr>
                          <w:t> </w:t>
                        </w:r>
                        <w:r>
                          <w:rPr>
                            <w:b/>
                            <w:color w:val="164194"/>
                            <w:sz w:val="28"/>
                          </w:rPr>
                          <w:t>belief,</w:t>
                        </w:r>
                        <w:r>
                          <w:rPr>
                            <w:b/>
                            <w:color w:val="164194"/>
                            <w:spacing w:val="-9"/>
                            <w:sz w:val="28"/>
                          </w:rPr>
                          <w:t> </w:t>
                        </w:r>
                        <w:r>
                          <w:rPr>
                            <w:b/>
                            <w:color w:val="164194"/>
                            <w:sz w:val="28"/>
                          </w:rPr>
                          <w:t>disability,</w:t>
                        </w:r>
                        <w:r>
                          <w:rPr>
                            <w:b/>
                            <w:color w:val="164194"/>
                            <w:spacing w:val="-9"/>
                            <w:sz w:val="28"/>
                          </w:rPr>
                          <w:t> </w:t>
                        </w:r>
                        <w:r>
                          <w:rPr>
                            <w:b/>
                            <w:color w:val="164194"/>
                            <w:sz w:val="28"/>
                          </w:rPr>
                          <w:t>age</w:t>
                        </w:r>
                        <w:r>
                          <w:rPr>
                            <w:b/>
                            <w:color w:val="164194"/>
                            <w:spacing w:val="-10"/>
                            <w:sz w:val="28"/>
                          </w:rPr>
                          <w:t> </w:t>
                        </w:r>
                        <w:r>
                          <w:rPr>
                            <w:b/>
                            <w:color w:val="164194"/>
                            <w:sz w:val="28"/>
                          </w:rPr>
                          <w:t>or</w:t>
                        </w:r>
                        <w:r>
                          <w:rPr>
                            <w:b/>
                            <w:color w:val="164194"/>
                            <w:spacing w:val="-10"/>
                            <w:sz w:val="28"/>
                          </w:rPr>
                          <w:t> </w:t>
                        </w:r>
                        <w:r>
                          <w:rPr>
                            <w:b/>
                            <w:color w:val="164194"/>
                            <w:sz w:val="28"/>
                          </w:rPr>
                          <w:t>sexual</w:t>
                        </w:r>
                        <w:r>
                          <w:rPr>
                            <w:b/>
                            <w:color w:val="164194"/>
                            <w:spacing w:val="-9"/>
                            <w:sz w:val="28"/>
                          </w:rPr>
                          <w:t> </w:t>
                        </w:r>
                        <w:r>
                          <w:rPr>
                            <w:b/>
                            <w:color w:val="164194"/>
                            <w:sz w:val="28"/>
                          </w:rPr>
                          <w:t>orientation</w:t>
                        </w:r>
                        <w:r>
                          <w:rPr>
                            <w:b/>
                            <w:color w:val="164194"/>
                            <w:spacing w:val="-9"/>
                            <w:sz w:val="28"/>
                          </w:rPr>
                          <w:t> </w:t>
                        </w:r>
                        <w:r>
                          <w:rPr>
                            <w:b/>
                            <w:color w:val="164194"/>
                            <w:sz w:val="28"/>
                          </w:rPr>
                          <w:t>and</w:t>
                        </w:r>
                        <w:r>
                          <w:rPr>
                            <w:b/>
                            <w:color w:val="164194"/>
                            <w:spacing w:val="-9"/>
                            <w:sz w:val="28"/>
                          </w:rPr>
                          <w:t> </w:t>
                        </w:r>
                        <w:r>
                          <w:rPr>
                            <w:b/>
                            <w:color w:val="164194"/>
                            <w:sz w:val="28"/>
                          </w:rPr>
                          <w:t>gender</w:t>
                        </w:r>
                        <w:r>
                          <w:rPr>
                            <w:b/>
                            <w:color w:val="164194"/>
                            <w:spacing w:val="-10"/>
                            <w:sz w:val="28"/>
                          </w:rPr>
                          <w:t> </w:t>
                        </w:r>
                        <w:r>
                          <w:rPr>
                            <w:b/>
                            <w:color w:val="164194"/>
                            <w:sz w:val="28"/>
                          </w:rPr>
                          <w:t>equality</w:t>
                        </w:r>
                        <w:r>
                          <w:rPr>
                            <w:b/>
                            <w:color w:val="164194"/>
                            <w:spacing w:val="-9"/>
                            <w:sz w:val="28"/>
                          </w:rPr>
                          <w:t> </w:t>
                        </w:r>
                        <w:r>
                          <w:rPr>
                            <w:b/>
                            <w:color w:val="164194"/>
                            <w:sz w:val="28"/>
                          </w:rPr>
                          <w:t>in social security and goods and services, further to obligations in the WF.</w:t>
                        </w:r>
                      </w:p>
                    </w:txbxContent>
                  </v:textbox>
                  <w10:wrap type="none"/>
                </v:shape>
                <w10:wrap type="topAndBottom"/>
              </v:group>
            </w:pict>
          </mc:Fallback>
        </mc:AlternateContent>
      </w:r>
    </w:p>
    <w:p>
      <w:pPr>
        <w:pStyle w:val="BodyText"/>
        <w:spacing w:before="1"/>
      </w:pPr>
    </w:p>
    <w:p>
      <w:pPr>
        <w:pStyle w:val="ListParagraph"/>
        <w:numPr>
          <w:ilvl w:val="3"/>
          <w:numId w:val="32"/>
        </w:numPr>
        <w:tabs>
          <w:tab w:pos="1960" w:val="left" w:leader="none"/>
        </w:tabs>
        <w:spacing w:line="336" w:lineRule="exact" w:before="0" w:after="0"/>
        <w:ind w:left="1960" w:right="0" w:hanging="843"/>
        <w:jc w:val="left"/>
        <w:rPr>
          <w:sz w:val="28"/>
        </w:rPr>
      </w:pPr>
      <w:r>
        <w:rPr>
          <w:color w:val="004A93"/>
          <w:sz w:val="28"/>
        </w:rPr>
        <w:t>Violence</w:t>
      </w:r>
      <w:r>
        <w:rPr>
          <w:color w:val="004A93"/>
          <w:spacing w:val="-7"/>
          <w:sz w:val="28"/>
        </w:rPr>
        <w:t> </w:t>
      </w:r>
      <w:r>
        <w:rPr>
          <w:color w:val="004A93"/>
          <w:sz w:val="28"/>
        </w:rPr>
        <w:t>Against</w:t>
      </w:r>
      <w:r>
        <w:rPr>
          <w:color w:val="004A93"/>
          <w:spacing w:val="-6"/>
          <w:sz w:val="28"/>
        </w:rPr>
        <w:t> </w:t>
      </w:r>
      <w:r>
        <w:rPr>
          <w:color w:val="004A93"/>
          <w:sz w:val="28"/>
        </w:rPr>
        <w:t>Women</w:t>
      </w:r>
      <w:r>
        <w:rPr>
          <w:color w:val="004A93"/>
          <w:spacing w:val="-7"/>
          <w:sz w:val="28"/>
        </w:rPr>
        <w:t> </w:t>
      </w:r>
      <w:r>
        <w:rPr>
          <w:color w:val="004A93"/>
          <w:sz w:val="28"/>
        </w:rPr>
        <w:t>and</w:t>
      </w:r>
      <w:r>
        <w:rPr>
          <w:color w:val="004A93"/>
          <w:spacing w:val="-8"/>
          <w:sz w:val="28"/>
        </w:rPr>
        <w:t> </w:t>
      </w:r>
      <w:r>
        <w:rPr>
          <w:color w:val="004A93"/>
          <w:sz w:val="28"/>
        </w:rPr>
        <w:t>Domestic</w:t>
      </w:r>
      <w:r>
        <w:rPr>
          <w:color w:val="004A93"/>
          <w:spacing w:val="-6"/>
          <w:sz w:val="28"/>
        </w:rPr>
        <w:t> </w:t>
      </w:r>
      <w:r>
        <w:rPr>
          <w:color w:val="004A93"/>
          <w:sz w:val="28"/>
        </w:rPr>
        <w:t>Violence</w:t>
      </w:r>
      <w:r>
        <w:rPr>
          <w:color w:val="004A93"/>
          <w:spacing w:val="-6"/>
          <w:sz w:val="28"/>
        </w:rPr>
        <w:t> </w:t>
      </w:r>
      <w:r>
        <w:rPr>
          <w:color w:val="004A93"/>
          <w:spacing w:val="-2"/>
          <w:sz w:val="28"/>
        </w:rPr>
        <w:t>Directive</w:t>
      </w:r>
    </w:p>
    <w:p>
      <w:pPr>
        <w:pStyle w:val="BodyText"/>
        <w:spacing w:line="232" w:lineRule="auto" w:before="3"/>
        <w:ind w:left="1117" w:right="1087"/>
      </w:pPr>
      <w:r>
        <w:rPr/>
        <w:t>Since various Annex 1 directives prohibit gender discrimination (at work, in social</w:t>
      </w:r>
      <w:r>
        <w:rPr>
          <w:spacing w:val="-3"/>
        </w:rPr>
        <w:t> </w:t>
      </w:r>
      <w:r>
        <w:rPr/>
        <w:t>security</w:t>
      </w:r>
      <w:r>
        <w:rPr>
          <w:spacing w:val="-2"/>
        </w:rPr>
        <w:t> </w:t>
      </w:r>
      <w:r>
        <w:rPr/>
        <w:t>matters</w:t>
      </w:r>
      <w:r>
        <w:rPr>
          <w:spacing w:val="-3"/>
        </w:rPr>
        <w:t> </w:t>
      </w:r>
      <w:r>
        <w:rPr/>
        <w:t>and</w:t>
      </w:r>
      <w:r>
        <w:rPr>
          <w:spacing w:val="-3"/>
        </w:rPr>
        <w:t> </w:t>
      </w:r>
      <w:r>
        <w:rPr/>
        <w:t>in</w:t>
      </w:r>
      <w:r>
        <w:rPr>
          <w:spacing w:val="-3"/>
        </w:rPr>
        <w:t> </w:t>
      </w:r>
      <w:r>
        <w:rPr/>
        <w:t>the</w:t>
      </w:r>
      <w:r>
        <w:rPr>
          <w:spacing w:val="-2"/>
        </w:rPr>
        <w:t> </w:t>
      </w:r>
      <w:r>
        <w:rPr/>
        <w:t>provision</w:t>
      </w:r>
      <w:r>
        <w:rPr>
          <w:spacing w:val="-3"/>
        </w:rPr>
        <w:t> </w:t>
      </w:r>
      <w:r>
        <w:rPr/>
        <w:t>of</w:t>
      </w:r>
      <w:r>
        <w:rPr>
          <w:spacing w:val="-3"/>
        </w:rPr>
        <w:t> </w:t>
      </w:r>
      <w:r>
        <w:rPr/>
        <w:t>goods</w:t>
      </w:r>
      <w:r>
        <w:rPr>
          <w:spacing w:val="-3"/>
        </w:rPr>
        <w:t> </w:t>
      </w:r>
      <w:r>
        <w:rPr/>
        <w:t>and</w:t>
      </w:r>
      <w:r>
        <w:rPr>
          <w:spacing w:val="-3"/>
        </w:rPr>
        <w:t> </w:t>
      </w:r>
      <w:r>
        <w:rPr/>
        <w:t>services),</w:t>
      </w:r>
      <w:r>
        <w:rPr>
          <w:spacing w:val="-2"/>
        </w:rPr>
        <w:t> </w:t>
      </w:r>
      <w:r>
        <w:rPr/>
        <w:t>EU</w:t>
      </w:r>
      <w:r>
        <w:rPr>
          <w:spacing w:val="-2"/>
        </w:rPr>
        <w:t> </w:t>
      </w:r>
      <w:r>
        <w:rPr/>
        <w:t>legislative developments on gender equality are often likely to trigger dynamic alignment requirements</w:t>
      </w:r>
      <w:r>
        <w:rPr>
          <w:spacing w:val="-11"/>
        </w:rPr>
        <w:t> </w:t>
      </w:r>
      <w:r>
        <w:rPr/>
        <w:t>for</w:t>
      </w:r>
      <w:r>
        <w:rPr>
          <w:spacing w:val="-10"/>
        </w:rPr>
        <w:t> </w:t>
      </w:r>
      <w:r>
        <w:rPr/>
        <w:t>NI.</w:t>
      </w:r>
      <w:r>
        <w:rPr>
          <w:spacing w:val="-11"/>
        </w:rPr>
        <w:t> </w:t>
      </w:r>
      <w:r>
        <w:rPr/>
        <w:t>However,</w:t>
      </w:r>
      <w:r>
        <w:rPr>
          <w:spacing w:val="-10"/>
        </w:rPr>
        <w:t> </w:t>
      </w:r>
      <w:r>
        <w:rPr/>
        <w:t>this</w:t>
      </w:r>
      <w:r>
        <w:rPr>
          <w:spacing w:val="-11"/>
        </w:rPr>
        <w:t> </w:t>
      </w:r>
      <w:r>
        <w:rPr/>
        <w:t>is</w:t>
      </w:r>
      <w:r>
        <w:rPr>
          <w:spacing w:val="-11"/>
        </w:rPr>
        <w:t> </w:t>
      </w:r>
      <w:r>
        <w:rPr/>
        <w:t>not</w:t>
      </w:r>
      <w:r>
        <w:rPr>
          <w:spacing w:val="-10"/>
        </w:rPr>
        <w:t> </w:t>
      </w:r>
      <w:r>
        <w:rPr/>
        <w:t>always</w:t>
      </w:r>
      <w:r>
        <w:rPr>
          <w:spacing w:val="-11"/>
        </w:rPr>
        <w:t> </w:t>
      </w:r>
      <w:r>
        <w:rPr/>
        <w:t>the</w:t>
      </w:r>
      <w:r>
        <w:rPr>
          <w:spacing w:val="-10"/>
        </w:rPr>
        <w:t> </w:t>
      </w:r>
      <w:r>
        <w:rPr/>
        <w:t>case.</w:t>
      </w:r>
      <w:r>
        <w:rPr>
          <w:spacing w:val="-11"/>
        </w:rPr>
        <w:t> </w:t>
      </w:r>
      <w:r>
        <w:rPr/>
        <w:t>Matters</w:t>
      </w:r>
      <w:r>
        <w:rPr>
          <w:spacing w:val="-11"/>
        </w:rPr>
        <w:t> </w:t>
      </w:r>
      <w:r>
        <w:rPr/>
        <w:t>falling</w:t>
      </w:r>
      <w:r>
        <w:rPr>
          <w:spacing w:val="-10"/>
        </w:rPr>
        <w:t> </w:t>
      </w:r>
      <w:r>
        <w:rPr/>
        <w:t>outside that scope may need to be considered as matters of good practice to avoid divergence</w:t>
      </w:r>
      <w:r>
        <w:rPr>
          <w:spacing w:val="-4"/>
        </w:rPr>
        <w:t> </w:t>
      </w:r>
      <w:r>
        <w:rPr/>
        <w:t>of</w:t>
      </w:r>
      <w:r>
        <w:rPr>
          <w:spacing w:val="-5"/>
        </w:rPr>
        <w:t> </w:t>
      </w:r>
      <w:r>
        <w:rPr/>
        <w:t>rights</w:t>
      </w:r>
      <w:r>
        <w:rPr>
          <w:spacing w:val="-5"/>
        </w:rPr>
        <w:t> </w:t>
      </w:r>
      <w:r>
        <w:rPr/>
        <w:t>in</w:t>
      </w:r>
      <w:r>
        <w:rPr>
          <w:spacing w:val="-5"/>
        </w:rPr>
        <w:t> </w:t>
      </w:r>
      <w:r>
        <w:rPr/>
        <w:t>the</w:t>
      </w:r>
      <w:r>
        <w:rPr>
          <w:spacing w:val="-4"/>
        </w:rPr>
        <w:t> </w:t>
      </w:r>
      <w:r>
        <w:rPr/>
        <w:t>realisation</w:t>
      </w:r>
      <w:r>
        <w:rPr>
          <w:spacing w:val="-5"/>
        </w:rPr>
        <w:t> </w:t>
      </w:r>
      <w:r>
        <w:rPr/>
        <w:t>of</w:t>
      </w:r>
      <w:r>
        <w:rPr>
          <w:spacing w:val="-5"/>
        </w:rPr>
        <w:t> </w:t>
      </w:r>
      <w:r>
        <w:rPr/>
        <w:t>gender</w:t>
      </w:r>
      <w:r>
        <w:rPr>
          <w:spacing w:val="-4"/>
        </w:rPr>
        <w:t> </w:t>
      </w:r>
      <w:r>
        <w:rPr/>
        <w:t>equality</w:t>
      </w:r>
      <w:r>
        <w:rPr>
          <w:spacing w:val="-4"/>
        </w:rPr>
        <w:t> </w:t>
      </w:r>
      <w:r>
        <w:rPr/>
        <w:t>on</w:t>
      </w:r>
      <w:r>
        <w:rPr>
          <w:spacing w:val="-5"/>
        </w:rPr>
        <w:t> </w:t>
      </w:r>
      <w:r>
        <w:rPr/>
        <w:t>the</w:t>
      </w:r>
      <w:r>
        <w:rPr>
          <w:spacing w:val="-4"/>
        </w:rPr>
        <w:t> </w:t>
      </w:r>
      <w:r>
        <w:rPr/>
        <w:t>island</w:t>
      </w:r>
      <w:r>
        <w:rPr>
          <w:spacing w:val="-5"/>
        </w:rPr>
        <w:t> </w:t>
      </w:r>
      <w:r>
        <w:rPr/>
        <w:t>of</w:t>
      </w:r>
      <w:r>
        <w:rPr>
          <w:spacing w:val="-5"/>
        </w:rPr>
        <w:t> </w:t>
      </w:r>
      <w:r>
        <w:rPr/>
        <w:t>Ireland. Northern Ireland authorities should consider voluntarily aligning with these EU developments where they strengthen rights and align with international human rights standards and best practice. One example of this is the </w:t>
      </w:r>
      <w:r>
        <w:rPr>
          <w:b/>
        </w:rPr>
        <w:t>Violence against Women and Domestic Violence Directive</w:t>
      </w:r>
      <w:r>
        <w:rPr/>
        <w:t>.</w:t>
      </w:r>
    </w:p>
    <w:p>
      <w:pPr>
        <w:pStyle w:val="BodyText"/>
        <w:spacing w:line="232" w:lineRule="auto" w:before="268"/>
        <w:ind w:left="1117" w:right="738"/>
      </w:pPr>
      <w:r>
        <w:rPr/>
        <w:t>EU</w:t>
      </w:r>
      <w:r>
        <w:rPr>
          <w:spacing w:val="-5"/>
        </w:rPr>
        <w:t> </w:t>
      </w:r>
      <w:r>
        <w:rPr/>
        <w:t>law</w:t>
      </w:r>
      <w:r>
        <w:rPr>
          <w:spacing w:val="-5"/>
        </w:rPr>
        <w:t> </w:t>
      </w:r>
      <w:r>
        <w:rPr/>
        <w:t>on</w:t>
      </w:r>
      <w:r>
        <w:rPr>
          <w:spacing w:val="-6"/>
        </w:rPr>
        <w:t> </w:t>
      </w:r>
      <w:r>
        <w:rPr/>
        <w:t>Member</w:t>
      </w:r>
      <w:r>
        <w:rPr>
          <w:spacing w:val="-5"/>
        </w:rPr>
        <w:t> </w:t>
      </w:r>
      <w:r>
        <w:rPr/>
        <w:t>States’</w:t>
      </w:r>
      <w:r>
        <w:rPr>
          <w:spacing w:val="-5"/>
        </w:rPr>
        <w:t> </w:t>
      </w:r>
      <w:r>
        <w:rPr/>
        <w:t>policies</w:t>
      </w:r>
      <w:r>
        <w:rPr>
          <w:spacing w:val="-6"/>
        </w:rPr>
        <w:t> </w:t>
      </w:r>
      <w:r>
        <w:rPr/>
        <w:t>on</w:t>
      </w:r>
      <w:r>
        <w:rPr>
          <w:spacing w:val="-6"/>
        </w:rPr>
        <w:t> </w:t>
      </w:r>
      <w:r>
        <w:rPr>
          <w:b/>
        </w:rPr>
        <w:t>gender-based</w:t>
      </w:r>
      <w:r>
        <w:rPr>
          <w:b/>
          <w:spacing w:val="-5"/>
        </w:rPr>
        <w:t> </w:t>
      </w:r>
      <w:r>
        <w:rPr>
          <w:b/>
        </w:rPr>
        <w:t>violence</w:t>
      </w:r>
      <w:r>
        <w:rPr>
          <w:b/>
          <w:spacing w:val="-5"/>
        </w:rPr>
        <w:t> </w:t>
      </w:r>
      <w:r>
        <w:rPr/>
        <w:t>has</w:t>
      </w:r>
      <w:r>
        <w:rPr>
          <w:spacing w:val="-6"/>
        </w:rPr>
        <w:t> </w:t>
      </w:r>
      <w:r>
        <w:rPr/>
        <w:t>been</w:t>
      </w:r>
      <w:r>
        <w:rPr>
          <w:spacing w:val="-6"/>
        </w:rPr>
        <w:t> </w:t>
      </w:r>
      <w:r>
        <w:rPr/>
        <w:t>amended, with substantial legal standards worth noting in this report as matters of good practice to avoid divergence in the realisation of gender equality on the island of </w:t>
      </w:r>
      <w:r>
        <w:rPr>
          <w:spacing w:val="-2"/>
        </w:rPr>
        <w:t>Ireland.</w:t>
      </w:r>
      <w:r>
        <w:rPr>
          <w:spacing w:val="-2"/>
          <w:vertAlign w:val="superscript"/>
        </w:rPr>
        <w:t>459</w:t>
      </w:r>
    </w:p>
    <w:p>
      <w:pPr>
        <w:pStyle w:val="ListParagraph"/>
        <w:numPr>
          <w:ilvl w:val="4"/>
          <w:numId w:val="32"/>
        </w:numPr>
        <w:tabs>
          <w:tab w:pos="1457" w:val="left" w:leader="none"/>
        </w:tabs>
        <w:spacing w:line="232" w:lineRule="auto" w:before="263" w:after="0"/>
        <w:ind w:left="1457" w:right="1258" w:hanging="341"/>
        <w:jc w:val="left"/>
        <w:rPr>
          <w:sz w:val="28"/>
        </w:rPr>
      </w:pPr>
      <w:r>
        <w:rPr>
          <w:sz w:val="28"/>
        </w:rPr>
        <w:t>Directive (EU) 2024/1385 of the European Parliament and of the Council of 14 May 2024 on combating violence against women and domestic violence (</w:t>
      </w:r>
      <w:r>
        <w:rPr>
          <w:b/>
          <w:sz w:val="28"/>
        </w:rPr>
        <w:t>Violence</w:t>
      </w:r>
      <w:r>
        <w:rPr>
          <w:b/>
          <w:spacing w:val="-11"/>
          <w:sz w:val="28"/>
        </w:rPr>
        <w:t> </w:t>
      </w:r>
      <w:r>
        <w:rPr>
          <w:b/>
          <w:sz w:val="28"/>
        </w:rPr>
        <w:t>against</w:t>
      </w:r>
      <w:r>
        <w:rPr>
          <w:b/>
          <w:spacing w:val="-10"/>
          <w:sz w:val="28"/>
        </w:rPr>
        <w:t> </w:t>
      </w:r>
      <w:r>
        <w:rPr>
          <w:b/>
          <w:sz w:val="28"/>
        </w:rPr>
        <w:t>Women</w:t>
      </w:r>
      <w:r>
        <w:rPr>
          <w:b/>
          <w:spacing w:val="-10"/>
          <w:sz w:val="28"/>
        </w:rPr>
        <w:t> </w:t>
      </w:r>
      <w:r>
        <w:rPr>
          <w:b/>
          <w:sz w:val="28"/>
        </w:rPr>
        <w:t>and</w:t>
      </w:r>
      <w:r>
        <w:rPr>
          <w:b/>
          <w:spacing w:val="-10"/>
          <w:sz w:val="28"/>
        </w:rPr>
        <w:t> </w:t>
      </w:r>
      <w:r>
        <w:rPr>
          <w:b/>
          <w:sz w:val="28"/>
        </w:rPr>
        <w:t>Domestic</w:t>
      </w:r>
      <w:r>
        <w:rPr>
          <w:b/>
          <w:spacing w:val="-11"/>
          <w:sz w:val="28"/>
        </w:rPr>
        <w:t> </w:t>
      </w:r>
      <w:r>
        <w:rPr>
          <w:b/>
          <w:sz w:val="28"/>
        </w:rPr>
        <w:t>Violence</w:t>
      </w:r>
      <w:r>
        <w:rPr>
          <w:b/>
          <w:spacing w:val="-11"/>
          <w:sz w:val="28"/>
        </w:rPr>
        <w:t> </w:t>
      </w:r>
      <w:r>
        <w:rPr>
          <w:b/>
          <w:sz w:val="28"/>
        </w:rPr>
        <w:t>Directive</w:t>
      </w:r>
      <w:r>
        <w:rPr>
          <w:sz w:val="28"/>
        </w:rPr>
        <w:t>)</w:t>
      </w:r>
      <w:r>
        <w:rPr>
          <w:spacing w:val="-11"/>
          <w:sz w:val="28"/>
        </w:rPr>
        <w:t> </w:t>
      </w:r>
      <w:r>
        <w:rPr>
          <w:sz w:val="28"/>
        </w:rPr>
        <w:t>requires</w:t>
      </w:r>
      <w:r>
        <w:rPr>
          <w:spacing w:val="-11"/>
          <w:sz w:val="28"/>
        </w:rPr>
        <w:t> </w:t>
      </w:r>
      <w:r>
        <w:rPr>
          <w:sz w:val="28"/>
        </w:rPr>
        <w:t>States to</w:t>
      </w:r>
      <w:r>
        <w:rPr>
          <w:spacing w:val="-1"/>
          <w:sz w:val="28"/>
        </w:rPr>
        <w:t> </w:t>
      </w:r>
      <w:r>
        <w:rPr>
          <w:sz w:val="28"/>
        </w:rPr>
        <w:t>combat violence against women</w:t>
      </w:r>
      <w:r>
        <w:rPr>
          <w:spacing w:val="-1"/>
          <w:sz w:val="28"/>
        </w:rPr>
        <w:t> </w:t>
      </w:r>
      <w:r>
        <w:rPr>
          <w:sz w:val="28"/>
        </w:rPr>
        <w:t>and</w:t>
      </w:r>
      <w:r>
        <w:rPr>
          <w:spacing w:val="-1"/>
          <w:sz w:val="28"/>
        </w:rPr>
        <w:t> </w:t>
      </w:r>
      <w:r>
        <w:rPr>
          <w:sz w:val="28"/>
        </w:rPr>
        <w:t>domestic violence more effectively,</w:t>
      </w:r>
    </w:p>
    <w:p>
      <w:pPr>
        <w:pStyle w:val="BodyText"/>
        <w:spacing w:line="232" w:lineRule="auto"/>
        <w:ind w:left="1457" w:right="738"/>
      </w:pPr>
      <w:r>
        <w:rPr/>
        <w:t>through</w:t>
      </w:r>
      <w:r>
        <w:rPr>
          <w:spacing w:val="-9"/>
        </w:rPr>
        <w:t> </w:t>
      </w:r>
      <w:r>
        <w:rPr/>
        <w:t>measures</w:t>
      </w:r>
      <w:r>
        <w:rPr>
          <w:spacing w:val="-9"/>
        </w:rPr>
        <w:t> </w:t>
      </w:r>
      <w:r>
        <w:rPr/>
        <w:t>such</w:t>
      </w:r>
      <w:r>
        <w:rPr>
          <w:spacing w:val="-9"/>
        </w:rPr>
        <w:t> </w:t>
      </w:r>
      <w:r>
        <w:rPr/>
        <w:t>as:</w:t>
      </w:r>
      <w:r>
        <w:rPr>
          <w:spacing w:val="-8"/>
        </w:rPr>
        <w:t> </w:t>
      </w:r>
      <w:r>
        <w:rPr/>
        <w:t>the</w:t>
      </w:r>
      <w:r>
        <w:rPr>
          <w:spacing w:val="-8"/>
        </w:rPr>
        <w:t> </w:t>
      </w:r>
      <w:r>
        <w:rPr/>
        <w:t>criminalisation</w:t>
      </w:r>
      <w:r>
        <w:rPr>
          <w:spacing w:val="-9"/>
        </w:rPr>
        <w:t> </w:t>
      </w:r>
      <w:r>
        <w:rPr/>
        <w:t>of</w:t>
      </w:r>
      <w:r>
        <w:rPr>
          <w:spacing w:val="-9"/>
        </w:rPr>
        <w:t> </w:t>
      </w:r>
      <w:r>
        <w:rPr/>
        <w:t>relevant</w:t>
      </w:r>
      <w:r>
        <w:rPr>
          <w:spacing w:val="-8"/>
        </w:rPr>
        <w:t> </w:t>
      </w:r>
      <w:r>
        <w:rPr/>
        <w:t>offences;</w:t>
      </w:r>
      <w:r>
        <w:rPr>
          <w:spacing w:val="-8"/>
        </w:rPr>
        <w:t> </w:t>
      </w:r>
      <w:r>
        <w:rPr/>
        <w:t>the</w:t>
      </w:r>
      <w:r>
        <w:rPr>
          <w:spacing w:val="-8"/>
        </w:rPr>
        <w:t> </w:t>
      </w:r>
      <w:r>
        <w:rPr/>
        <w:t>creation of sanctions for relevant offences; the protection of victims, their access to justice and their access to victim support; as well as prevention, coordination and cooperation measures.</w:t>
      </w:r>
      <w:r>
        <w:rPr>
          <w:vertAlign w:val="superscript"/>
        </w:rPr>
        <w:t>460</w:t>
      </w:r>
    </w:p>
    <w:p>
      <w:pPr>
        <w:pStyle w:val="BodyText"/>
        <w:rPr>
          <w:sz w:val="20"/>
        </w:rPr>
      </w:pPr>
    </w:p>
    <w:p>
      <w:pPr>
        <w:pStyle w:val="BodyText"/>
        <w:spacing w:before="227"/>
        <w:rPr>
          <w:sz w:val="20"/>
        </w:rPr>
      </w:pPr>
      <w:r>
        <w:rPr/>
        <mc:AlternateContent>
          <mc:Choice Requires="wps">
            <w:drawing>
              <wp:anchor distT="0" distB="0" distL="0" distR="0" allowOverlap="1" layoutInCell="1" locked="0" behindDoc="1" simplePos="0" relativeHeight="487731200">
                <wp:simplePos x="0" y="0"/>
                <wp:positionH relativeFrom="page">
                  <wp:posOffset>899999</wp:posOffset>
                </wp:positionH>
                <wp:positionV relativeFrom="paragraph">
                  <wp:posOffset>314553</wp:posOffset>
                </wp:positionV>
                <wp:extent cx="6012180" cy="1270"/>
                <wp:effectExtent l="0" t="0" r="0" b="0"/>
                <wp:wrapTopAndBottom/>
                <wp:docPr id="758" name="Graphic 758"/>
                <wp:cNvGraphicFramePr>
                  <a:graphicFrameLocks/>
                </wp:cNvGraphicFramePr>
                <a:graphic>
                  <a:graphicData uri="http://schemas.microsoft.com/office/word/2010/wordprocessingShape">
                    <wps:wsp>
                      <wps:cNvPr id="758" name="Graphic 75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4.767981pt;width:473.4pt;height:.1pt;mso-position-horizontal-relative:page;mso-position-vertical-relative:paragraph;z-index:-15585280;mso-wrap-distance-left:0;mso-wrap-distance-right:0" id="docshape617" coordorigin="1417,495" coordsize="9468,0" path="m1417,495l10885,495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783" w:hanging="567"/>
        <w:jc w:val="left"/>
        <w:rPr>
          <w:sz w:val="18"/>
        </w:rPr>
      </w:pPr>
      <w:r>
        <w:rPr>
          <w:sz w:val="18"/>
        </w:rPr>
        <w:t>ECNI</w:t>
      </w:r>
      <w:r>
        <w:rPr>
          <w:spacing w:val="-4"/>
          <w:sz w:val="18"/>
        </w:rPr>
        <w:t> </w:t>
      </w:r>
      <w:r>
        <w:rPr>
          <w:sz w:val="18"/>
        </w:rPr>
        <w:t>and</w:t>
      </w:r>
      <w:r>
        <w:rPr>
          <w:spacing w:val="-5"/>
          <w:sz w:val="18"/>
        </w:rPr>
        <w:t> </w:t>
      </w:r>
      <w:r>
        <w:rPr>
          <w:sz w:val="18"/>
        </w:rPr>
        <w:t>NIHRC,</w:t>
      </w:r>
      <w:r>
        <w:rPr>
          <w:spacing w:val="-4"/>
          <w:sz w:val="18"/>
        </w:rPr>
        <w:t> </w:t>
      </w:r>
      <w:r>
        <w:rPr>
          <w:sz w:val="18"/>
        </w:rPr>
        <w:t>‘</w:t>
      </w:r>
      <w:r>
        <w:rPr>
          <w:color w:val="1D71B8"/>
          <w:sz w:val="18"/>
          <w:u w:val="single" w:color="1D71B8"/>
        </w:rPr>
        <w:t>Annual</w:t>
      </w:r>
      <w:r>
        <w:rPr>
          <w:color w:val="1D71B8"/>
          <w:spacing w:val="-5"/>
          <w:sz w:val="18"/>
          <w:u w:val="single" w:color="1D71B8"/>
        </w:rPr>
        <w:t> </w:t>
      </w:r>
      <w:r>
        <w:rPr>
          <w:color w:val="1D71B8"/>
          <w:sz w:val="18"/>
          <w:u w:val="single" w:color="1D71B8"/>
        </w:rPr>
        <w:t>Report</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Commission</w:t>
      </w:r>
      <w:r>
        <w:rPr>
          <w:color w:val="1D71B8"/>
          <w:spacing w:val="-5"/>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Northern</w:t>
      </w:r>
      <w:r>
        <w:rPr>
          <w:color w:val="1D71B8"/>
          <w:spacing w:val="-5"/>
          <w:sz w:val="18"/>
          <w:u w:val="single" w:color="1D71B8"/>
        </w:rPr>
        <w:t> </w:t>
      </w:r>
      <w:r>
        <w:rPr>
          <w:color w:val="1D71B8"/>
          <w:sz w:val="18"/>
          <w:u w:val="single" w:color="1D71B8"/>
        </w:rPr>
        <w:t>Ireland</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Northern</w:t>
      </w:r>
      <w:r>
        <w:rPr>
          <w:color w:val="1D71B8"/>
          <w:spacing w:val="-5"/>
          <w:sz w:val="18"/>
          <w:u w:val="single" w:color="1D71B8"/>
        </w:rPr>
        <w:t> </w:t>
      </w:r>
      <w:r>
        <w:rPr>
          <w:color w:val="1D71B8"/>
          <w:sz w:val="18"/>
          <w:u w:val="single" w:color="1D71B8"/>
        </w:rPr>
        <w:t>Ireland</w:t>
      </w:r>
      <w:r>
        <w:rPr>
          <w:color w:val="1D71B8"/>
          <w:spacing w:val="-5"/>
          <w:sz w:val="18"/>
          <w:u w:val="single" w:color="1D71B8"/>
        </w:rPr>
        <w:t> </w:t>
      </w:r>
      <w:r>
        <w:rPr>
          <w:color w:val="1D71B8"/>
          <w:sz w:val="18"/>
          <w:u w:val="single" w:color="1D71B8"/>
        </w:rPr>
        <w:t>Human</w:t>
      </w:r>
      <w:r>
        <w:rPr>
          <w:color w:val="1D71B8"/>
          <w:spacing w:val="-5"/>
          <w:sz w:val="18"/>
          <w:u w:val="single" w:color="1D71B8"/>
        </w:rPr>
        <w:t> </w:t>
      </w:r>
      <w:r>
        <w:rPr>
          <w:color w:val="1D71B8"/>
          <w:sz w:val="18"/>
          <w:u w:val="single" w:color="1D71B8"/>
        </w:rPr>
        <w:t>Rights</w:t>
      </w:r>
      <w:r>
        <w:rPr>
          <w:color w:val="1D71B8"/>
          <w:spacing w:val="-3"/>
          <w:sz w:val="18"/>
          <w:u w:val="single" w:color="1D71B8"/>
        </w:rPr>
        <w:t> </w:t>
      </w:r>
      <w:r>
        <w:rPr>
          <w:color w:val="1D71B8"/>
          <w:sz w:val="18"/>
          <w:u w:val="none"/>
        </w:rPr>
        <w:t> </w:t>
      </w:r>
      <w:r>
        <w:rPr>
          <w:color w:val="1D71B8"/>
          <w:sz w:val="18"/>
          <w:u w:val="single" w:color="1D71B8"/>
        </w:rPr>
        <w:t>Commission on the Implementation of Article 2 of the Windsor Framework 2022–2023</w:t>
      </w:r>
      <w:r>
        <w:rPr>
          <w:sz w:val="18"/>
          <w:u w:val="none"/>
        </w:rPr>
        <w:t>’ (July 2023), Section 4.84 p. 44.</w:t>
      </w:r>
    </w:p>
    <w:p>
      <w:pPr>
        <w:pStyle w:val="ListParagraph"/>
        <w:numPr>
          <w:ilvl w:val="0"/>
          <w:numId w:val="18"/>
        </w:numPr>
        <w:tabs>
          <w:tab w:pos="1684" w:val="left" w:leader="none"/>
        </w:tabs>
        <w:spacing w:line="240" w:lineRule="auto" w:before="1" w:after="0"/>
        <w:ind w:left="1684" w:right="758" w:hanging="567"/>
        <w:jc w:val="left"/>
        <w:rPr>
          <w:sz w:val="18"/>
        </w:rPr>
      </w:pPr>
      <w:r>
        <w:rPr>
          <w:sz w:val="18"/>
        </w:rPr>
        <w:t>However, the NIHRC highlighted that this development </w:t>
      </w:r>
      <w:r>
        <w:rPr>
          <w:i/>
          <w:sz w:val="18"/>
        </w:rPr>
        <w:t>may </w:t>
      </w:r>
      <w:r>
        <w:rPr>
          <w:sz w:val="18"/>
        </w:rPr>
        <w:t>engage the dynamic alignment requirement, this has not</w:t>
      </w:r>
      <w:r>
        <w:rPr>
          <w:sz w:val="18"/>
        </w:rPr>
        <w:t> been</w:t>
      </w:r>
      <w:r>
        <w:rPr>
          <w:spacing w:val="-6"/>
          <w:sz w:val="18"/>
        </w:rPr>
        <w:t> </w:t>
      </w:r>
      <w:r>
        <w:rPr>
          <w:sz w:val="18"/>
        </w:rPr>
        <w:t>confirmed</w:t>
      </w:r>
      <w:r>
        <w:rPr>
          <w:spacing w:val="-6"/>
          <w:sz w:val="18"/>
        </w:rPr>
        <w:t> </w:t>
      </w:r>
      <w:r>
        <w:rPr>
          <w:sz w:val="18"/>
        </w:rPr>
        <w:t>yet:</w:t>
      </w:r>
      <w:r>
        <w:rPr>
          <w:spacing w:val="-5"/>
          <w:sz w:val="18"/>
        </w:rPr>
        <w:t> </w:t>
      </w:r>
      <w:r>
        <w:rPr>
          <w:sz w:val="18"/>
        </w:rPr>
        <w:t>NIHRC,</w:t>
      </w:r>
      <w:r>
        <w:rPr>
          <w:spacing w:val="-5"/>
          <w:sz w:val="18"/>
        </w:rPr>
        <w:t> </w:t>
      </w:r>
      <w:r>
        <w:rPr>
          <w:color w:val="1D71B8"/>
          <w:sz w:val="18"/>
          <w:u w:val="single" w:color="1D71B8"/>
        </w:rPr>
        <w:t>Submission</w:t>
      </w:r>
      <w:r>
        <w:rPr>
          <w:color w:val="1D71B8"/>
          <w:spacing w:val="-6"/>
          <w:sz w:val="18"/>
          <w:u w:val="single" w:color="1D71B8"/>
        </w:rPr>
        <w:t> </w:t>
      </w:r>
      <w:r>
        <w:rPr>
          <w:color w:val="1D71B8"/>
          <w:sz w:val="18"/>
          <w:u w:val="single" w:color="1D71B8"/>
        </w:rPr>
        <w:t>to</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Executive</w:t>
      </w:r>
      <w:r>
        <w:rPr>
          <w:color w:val="1D71B8"/>
          <w:spacing w:val="-5"/>
          <w:sz w:val="18"/>
          <w:u w:val="single" w:color="1D71B8"/>
        </w:rPr>
        <w:t> </w:t>
      </w:r>
      <w:r>
        <w:rPr>
          <w:color w:val="1D71B8"/>
          <w:sz w:val="18"/>
          <w:u w:val="single" w:color="1D71B8"/>
        </w:rPr>
        <w:t>Office’s</w:t>
      </w:r>
      <w:r>
        <w:rPr>
          <w:color w:val="1D71B8"/>
          <w:spacing w:val="-6"/>
          <w:sz w:val="18"/>
          <w:u w:val="single" w:color="1D71B8"/>
        </w:rPr>
        <w:t> </w:t>
      </w:r>
      <w:r>
        <w:rPr>
          <w:color w:val="1D71B8"/>
          <w:sz w:val="18"/>
          <w:u w:val="single" w:color="1D71B8"/>
        </w:rPr>
        <w:t>Consultation</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Ending</w:t>
      </w:r>
      <w:r>
        <w:rPr>
          <w:color w:val="1D71B8"/>
          <w:spacing w:val="-5"/>
          <w:sz w:val="18"/>
          <w:u w:val="single" w:color="1D71B8"/>
        </w:rPr>
        <w:t> </w:t>
      </w:r>
      <w:r>
        <w:rPr>
          <w:color w:val="1D71B8"/>
          <w:sz w:val="18"/>
          <w:u w:val="single" w:color="1D71B8"/>
        </w:rPr>
        <w:t>Violence</w:t>
      </w:r>
      <w:r>
        <w:rPr>
          <w:color w:val="1D71B8"/>
          <w:spacing w:val="-5"/>
          <w:sz w:val="18"/>
          <w:u w:val="single" w:color="1D71B8"/>
        </w:rPr>
        <w:t> </w:t>
      </w:r>
      <w:r>
        <w:rPr>
          <w:color w:val="1D71B8"/>
          <w:sz w:val="18"/>
          <w:u w:val="single" w:color="1D71B8"/>
        </w:rPr>
        <w:t>Against</w:t>
      </w:r>
      <w:r>
        <w:rPr>
          <w:color w:val="1D71B8"/>
          <w:spacing w:val="-5"/>
          <w:sz w:val="18"/>
          <w:u w:val="single" w:color="1D71B8"/>
        </w:rPr>
        <w:t> </w:t>
      </w:r>
      <w:r>
        <w:rPr>
          <w:color w:val="1D71B8"/>
          <w:sz w:val="18"/>
          <w:u w:val="single" w:color="1D71B8"/>
        </w:rPr>
        <w:t>Women</w:t>
      </w:r>
      <w:r>
        <w:rPr>
          <w:color w:val="1D71B8"/>
          <w:spacing w:val="-6"/>
          <w:sz w:val="18"/>
          <w:u w:val="single" w:color="1D71B8"/>
        </w:rPr>
        <w:t> </w:t>
      </w:r>
      <w:r>
        <w:rPr>
          <w:color w:val="1D71B8"/>
          <w:sz w:val="18"/>
          <w:u w:val="single" w:color="1D71B8"/>
        </w:rPr>
        <w:t>and</w:t>
      </w:r>
      <w:r>
        <w:rPr>
          <w:color w:val="1D71B8"/>
          <w:sz w:val="18"/>
          <w:u w:val="none"/>
        </w:rPr>
        <w:t> </w:t>
      </w:r>
      <w:r>
        <w:rPr>
          <w:color w:val="1D71B8"/>
          <w:sz w:val="18"/>
          <w:u w:val="single" w:color="1D71B8"/>
        </w:rPr>
        <w:t>Girls Strategic Framework</w:t>
      </w:r>
      <w:r>
        <w:rPr>
          <w:color w:val="1D71B8"/>
          <w:sz w:val="18"/>
          <w:u w:val="none"/>
        </w:rPr>
        <w:t> </w:t>
      </w:r>
      <w:r>
        <w:rPr>
          <w:sz w:val="18"/>
          <w:u w:val="none"/>
        </w:rPr>
        <w:t>(October 2023):</w:t>
      </w:r>
    </w:p>
    <w:p>
      <w:pPr>
        <w:pStyle w:val="ListParagraph"/>
        <w:numPr>
          <w:ilvl w:val="0"/>
          <w:numId w:val="18"/>
        </w:numPr>
        <w:tabs>
          <w:tab w:pos="1684" w:val="left" w:leader="none"/>
        </w:tabs>
        <w:spacing w:line="240" w:lineRule="auto" w:before="1" w:after="0"/>
        <w:ind w:left="1684" w:right="944" w:hanging="567"/>
        <w:jc w:val="left"/>
        <w:rPr>
          <w:sz w:val="18"/>
        </w:rPr>
      </w:pPr>
      <w:hyperlink r:id="rId90">
        <w:r>
          <w:rPr>
            <w:color w:val="1D71B8"/>
            <w:sz w:val="18"/>
            <w:u w:val="single" w:color="1D71B8"/>
          </w:rPr>
          <w:t>Directive</w:t>
        </w:r>
        <w:r>
          <w:rPr>
            <w:color w:val="1D71B8"/>
            <w:spacing w:val="-3"/>
            <w:sz w:val="18"/>
            <w:u w:val="single" w:color="1D71B8"/>
          </w:rPr>
          <w:t> </w:t>
        </w:r>
        <w:r>
          <w:rPr>
            <w:color w:val="1D71B8"/>
            <w:sz w:val="18"/>
            <w:u w:val="single" w:color="1D71B8"/>
          </w:rPr>
          <w:t>(EU)</w:t>
        </w:r>
        <w:r>
          <w:rPr>
            <w:color w:val="1D71B8"/>
            <w:spacing w:val="-4"/>
            <w:sz w:val="18"/>
            <w:u w:val="single" w:color="1D71B8"/>
          </w:rPr>
          <w:t> </w:t>
        </w:r>
        <w:r>
          <w:rPr>
            <w:color w:val="1D71B8"/>
            <w:sz w:val="18"/>
            <w:u w:val="single" w:color="1D71B8"/>
          </w:rPr>
          <w:t>2024/1385</w:t>
        </w:r>
      </w:hyperlink>
      <w:r>
        <w:rPr>
          <w:color w:val="1D71B8"/>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14</w:t>
      </w:r>
      <w:r>
        <w:rPr>
          <w:spacing w:val="-3"/>
          <w:sz w:val="18"/>
          <w:u w:val="none"/>
        </w:rPr>
        <w:t> </w:t>
      </w:r>
      <w:r>
        <w:rPr>
          <w:sz w:val="18"/>
          <w:u w:val="none"/>
        </w:rPr>
        <w:t>May</w:t>
      </w:r>
      <w:r>
        <w:rPr>
          <w:spacing w:val="-3"/>
          <w:sz w:val="18"/>
          <w:u w:val="none"/>
        </w:rPr>
        <w:t> </w:t>
      </w:r>
      <w:r>
        <w:rPr>
          <w:sz w:val="18"/>
          <w:u w:val="none"/>
        </w:rPr>
        <w:t>2024</w:t>
      </w:r>
      <w:r>
        <w:rPr>
          <w:spacing w:val="-3"/>
          <w:sz w:val="18"/>
          <w:u w:val="none"/>
        </w:rPr>
        <w:t> </w:t>
      </w:r>
      <w:r>
        <w:rPr>
          <w:sz w:val="18"/>
          <w:u w:val="none"/>
        </w:rPr>
        <w:t>on</w:t>
      </w:r>
      <w:r>
        <w:rPr>
          <w:spacing w:val="-4"/>
          <w:sz w:val="18"/>
          <w:u w:val="none"/>
        </w:rPr>
        <w:t> </w:t>
      </w:r>
      <w:r>
        <w:rPr>
          <w:sz w:val="18"/>
          <w:u w:val="none"/>
        </w:rPr>
        <w:t>combating</w:t>
      </w:r>
      <w:r>
        <w:rPr>
          <w:spacing w:val="-3"/>
          <w:sz w:val="18"/>
          <w:u w:val="none"/>
        </w:rPr>
        <w:t> </w:t>
      </w:r>
      <w:r>
        <w:rPr>
          <w:sz w:val="18"/>
          <w:u w:val="none"/>
        </w:rPr>
        <w:t>violence</w:t>
      </w:r>
      <w:r>
        <w:rPr>
          <w:spacing w:val="-3"/>
          <w:sz w:val="18"/>
          <w:u w:val="none"/>
        </w:rPr>
        <w:t> </w:t>
      </w:r>
      <w:r>
        <w:rPr>
          <w:sz w:val="18"/>
          <w:u w:val="none"/>
        </w:rPr>
        <w:t>against women and domestic violence (Violence against Women and Domestic Violence Directive) 2024.</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50432">
                <wp:simplePos x="0" y="0"/>
                <wp:positionH relativeFrom="page">
                  <wp:posOffset>0</wp:posOffset>
                </wp:positionH>
                <wp:positionV relativeFrom="page">
                  <wp:posOffset>0</wp:posOffset>
                </wp:positionV>
                <wp:extent cx="7560309" cy="1155065"/>
                <wp:effectExtent l="0" t="0" r="0" b="0"/>
                <wp:wrapNone/>
                <wp:docPr id="759" name="Group 759"/>
                <wp:cNvGraphicFramePr>
                  <a:graphicFrameLocks/>
                </wp:cNvGraphicFramePr>
                <a:graphic>
                  <a:graphicData uri="http://schemas.microsoft.com/office/word/2010/wordprocessingGroup">
                    <wpg:wgp>
                      <wpg:cNvPr id="759" name="Group 759"/>
                      <wpg:cNvGrpSpPr/>
                      <wpg:grpSpPr>
                        <a:xfrm>
                          <a:off x="0" y="0"/>
                          <a:ext cx="7560309" cy="1155065"/>
                          <a:chExt cx="7560309" cy="1155065"/>
                        </a:xfrm>
                      </wpg:grpSpPr>
                      <wps:wsp>
                        <wps:cNvPr id="760" name="Graphic 760"/>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761" name="Graphic 761"/>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66048" id="docshapegroup618" coordorigin="0,0" coordsize="11906,1819">
                <v:shape style="position:absolute;left:0;top:0;width:11906;height:1819" id="docshape619"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4.3.2 The right to privacy (including da" w:id="133"/>
      <w:bookmarkEnd w:id="133"/>
      <w:r>
        <w:rPr/>
      </w:r>
      <w:bookmarkStart w:name="_bookmark55" w:id="134"/>
      <w:bookmarkEnd w:id="134"/>
      <w:r>
        <w:rPr/>
      </w:r>
      <w:r>
        <w:rPr>
          <w:b/>
          <w:color w:val="FFFFFF"/>
          <w:spacing w:val="-5"/>
          <w:position w:val="-1"/>
          <w:sz w:val="28"/>
        </w:rPr>
        <w:t>88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154"/>
      </w:pPr>
      <w:r>
        <w:rPr/>
        <w:t>We note that the current legislative framework is the Domestic Abuse and Civil Proceedings</w:t>
      </w:r>
      <w:r>
        <w:rPr>
          <w:spacing w:val="-2"/>
        </w:rPr>
        <w:t> </w:t>
      </w:r>
      <w:r>
        <w:rPr/>
        <w:t>Act</w:t>
      </w:r>
      <w:r>
        <w:rPr>
          <w:spacing w:val="-1"/>
        </w:rPr>
        <w:t> </w:t>
      </w:r>
      <w:r>
        <w:rPr/>
        <w:t>(NI)</w:t>
      </w:r>
      <w:r>
        <w:rPr>
          <w:spacing w:val="-2"/>
        </w:rPr>
        <w:t> </w:t>
      </w:r>
      <w:r>
        <w:rPr/>
        <w:t>2021,</w:t>
      </w:r>
      <w:r>
        <w:rPr>
          <w:spacing w:val="-1"/>
        </w:rPr>
        <w:t> </w:t>
      </w:r>
      <w:r>
        <w:rPr/>
        <w:t>on</w:t>
      </w:r>
      <w:r>
        <w:rPr>
          <w:spacing w:val="-2"/>
        </w:rPr>
        <w:t> </w:t>
      </w:r>
      <w:r>
        <w:rPr/>
        <w:t>which</w:t>
      </w:r>
      <w:r>
        <w:rPr>
          <w:spacing w:val="-2"/>
        </w:rPr>
        <w:t> </w:t>
      </w:r>
      <w:r>
        <w:rPr/>
        <w:t>the</w:t>
      </w:r>
      <w:r>
        <w:rPr>
          <w:spacing w:val="-1"/>
        </w:rPr>
        <w:t> </w:t>
      </w:r>
      <w:r>
        <w:rPr/>
        <w:t>Department</w:t>
      </w:r>
      <w:r>
        <w:rPr>
          <w:spacing w:val="-1"/>
        </w:rPr>
        <w:t> </w:t>
      </w:r>
      <w:r>
        <w:rPr/>
        <w:t>of</w:t>
      </w:r>
      <w:r>
        <w:rPr>
          <w:spacing w:val="-2"/>
        </w:rPr>
        <w:t> </w:t>
      </w:r>
      <w:r>
        <w:rPr/>
        <w:t>Justice</w:t>
      </w:r>
      <w:r>
        <w:rPr>
          <w:spacing w:val="-1"/>
        </w:rPr>
        <w:t> </w:t>
      </w:r>
      <w:r>
        <w:rPr/>
        <w:t>published</w:t>
      </w:r>
      <w:r>
        <w:rPr>
          <w:spacing w:val="-2"/>
        </w:rPr>
        <w:t> </w:t>
      </w:r>
      <w:r>
        <w:rPr/>
        <w:t>Statutory Guidance in 2022. We also note that the NI Executive Office adopted a Strategy to End Violence Against Women and Girls in 2021. We welcome these developments. Ireland has agreement to participate in the adoption of the Violence against Women</w:t>
      </w:r>
      <w:r>
        <w:rPr>
          <w:spacing w:val="-3"/>
        </w:rPr>
        <w:t> </w:t>
      </w:r>
      <w:r>
        <w:rPr/>
        <w:t>and</w:t>
      </w:r>
      <w:r>
        <w:rPr>
          <w:spacing w:val="-3"/>
        </w:rPr>
        <w:t> </w:t>
      </w:r>
      <w:r>
        <w:rPr/>
        <w:t>Domestic</w:t>
      </w:r>
      <w:r>
        <w:rPr>
          <w:spacing w:val="-2"/>
        </w:rPr>
        <w:t> </w:t>
      </w:r>
      <w:r>
        <w:rPr/>
        <w:t>Violence</w:t>
      </w:r>
      <w:r>
        <w:rPr>
          <w:spacing w:val="-2"/>
        </w:rPr>
        <w:t> </w:t>
      </w:r>
      <w:r>
        <w:rPr/>
        <w:t>Directive</w:t>
      </w:r>
      <w:r>
        <w:rPr>
          <w:spacing w:val="-2"/>
        </w:rPr>
        <w:t> </w:t>
      </w:r>
      <w:r>
        <w:rPr/>
        <w:t>and</w:t>
      </w:r>
      <w:r>
        <w:rPr>
          <w:spacing w:val="-3"/>
        </w:rPr>
        <w:t> </w:t>
      </w:r>
      <w:r>
        <w:rPr/>
        <w:t>will</w:t>
      </w:r>
      <w:r>
        <w:rPr>
          <w:spacing w:val="-3"/>
        </w:rPr>
        <w:t> </w:t>
      </w:r>
      <w:r>
        <w:rPr/>
        <w:t>have</w:t>
      </w:r>
      <w:r>
        <w:rPr>
          <w:spacing w:val="-2"/>
        </w:rPr>
        <w:t> </w:t>
      </w:r>
      <w:r>
        <w:rPr/>
        <w:t>to</w:t>
      </w:r>
      <w:r>
        <w:rPr>
          <w:spacing w:val="-3"/>
        </w:rPr>
        <w:t> </w:t>
      </w:r>
      <w:r>
        <w:rPr/>
        <w:t>transpose</w:t>
      </w:r>
      <w:r>
        <w:rPr>
          <w:spacing w:val="-2"/>
        </w:rPr>
        <w:t> </w:t>
      </w:r>
      <w:r>
        <w:rPr/>
        <w:t>it</w:t>
      </w:r>
      <w:r>
        <w:rPr>
          <w:spacing w:val="-2"/>
        </w:rPr>
        <w:t> </w:t>
      </w:r>
      <w:r>
        <w:rPr/>
        <w:t>into</w:t>
      </w:r>
      <w:r>
        <w:rPr>
          <w:spacing w:val="-3"/>
        </w:rPr>
        <w:t> </w:t>
      </w:r>
      <w:r>
        <w:rPr/>
        <w:t>national law by 14 June 2027. Early commentary on the Directive has drawn attention to its gender-neutral</w:t>
      </w:r>
      <w:r>
        <w:rPr>
          <w:spacing w:val="-10"/>
        </w:rPr>
        <w:t> </w:t>
      </w:r>
      <w:r>
        <w:rPr/>
        <w:t>approach</w:t>
      </w:r>
      <w:r>
        <w:rPr>
          <w:spacing w:val="-10"/>
        </w:rPr>
        <w:t> </w:t>
      </w:r>
      <w:r>
        <w:rPr/>
        <w:t>to</w:t>
      </w:r>
      <w:r>
        <w:rPr>
          <w:spacing w:val="-10"/>
        </w:rPr>
        <w:t> </w:t>
      </w:r>
      <w:r>
        <w:rPr/>
        <w:t>domestic</w:t>
      </w:r>
      <w:r>
        <w:rPr>
          <w:spacing w:val="-9"/>
        </w:rPr>
        <w:t> </w:t>
      </w:r>
      <w:r>
        <w:rPr/>
        <w:t>violence</w:t>
      </w:r>
      <w:r>
        <w:rPr>
          <w:spacing w:val="-9"/>
        </w:rPr>
        <w:t> </w:t>
      </w:r>
      <w:r>
        <w:rPr/>
        <w:t>and</w:t>
      </w:r>
      <w:r>
        <w:rPr>
          <w:spacing w:val="-10"/>
        </w:rPr>
        <w:t> </w:t>
      </w:r>
      <w:r>
        <w:rPr/>
        <w:t>its</w:t>
      </w:r>
      <w:r>
        <w:rPr>
          <w:spacing w:val="-10"/>
        </w:rPr>
        <w:t> </w:t>
      </w:r>
      <w:r>
        <w:rPr/>
        <w:t>approach</w:t>
      </w:r>
      <w:r>
        <w:rPr>
          <w:spacing w:val="-10"/>
        </w:rPr>
        <w:t> </w:t>
      </w:r>
      <w:r>
        <w:rPr/>
        <w:t>to</w:t>
      </w:r>
      <w:r>
        <w:rPr>
          <w:spacing w:val="-10"/>
        </w:rPr>
        <w:t> </w:t>
      </w:r>
      <w:r>
        <w:rPr/>
        <w:t>cyber</w:t>
      </w:r>
      <w:r>
        <w:rPr>
          <w:spacing w:val="-9"/>
        </w:rPr>
        <w:t> </w:t>
      </w:r>
      <w:r>
        <w:rPr/>
        <w:t>violence</w:t>
      </w:r>
      <w:r>
        <w:rPr>
          <w:vertAlign w:val="superscript"/>
        </w:rPr>
        <w:t>461</w:t>
      </w:r>
      <w:r>
        <w:rPr>
          <w:vertAlign w:val="baseline"/>
        </w:rPr>
        <w:t> as well as its acknowledgment of intersectional discrimination.</w:t>
      </w:r>
      <w:r>
        <w:rPr>
          <w:vertAlign w:val="superscript"/>
        </w:rPr>
        <w:t>462</w:t>
      </w:r>
    </w:p>
    <w:p>
      <w:pPr>
        <w:pStyle w:val="BodyText"/>
        <w:spacing w:before="5"/>
        <w:rPr>
          <w:sz w:val="19"/>
        </w:rPr>
      </w:pPr>
      <w:r>
        <w:rPr/>
        <mc:AlternateContent>
          <mc:Choice Requires="wps">
            <w:drawing>
              <wp:anchor distT="0" distB="0" distL="0" distR="0" allowOverlap="1" layoutInCell="1" locked="0" behindDoc="1" simplePos="0" relativeHeight="487732224">
                <wp:simplePos x="0" y="0"/>
                <wp:positionH relativeFrom="page">
                  <wp:posOffset>647994</wp:posOffset>
                </wp:positionH>
                <wp:positionV relativeFrom="paragraph">
                  <wp:posOffset>166063</wp:posOffset>
                </wp:positionV>
                <wp:extent cx="6012180" cy="1022985"/>
                <wp:effectExtent l="0" t="0" r="0" b="0"/>
                <wp:wrapTopAndBottom/>
                <wp:docPr id="762" name="Group 762"/>
                <wp:cNvGraphicFramePr>
                  <a:graphicFrameLocks/>
                </wp:cNvGraphicFramePr>
                <a:graphic>
                  <a:graphicData uri="http://schemas.microsoft.com/office/word/2010/wordprocessingGroup">
                    <wpg:wgp>
                      <wpg:cNvPr id="762" name="Group 762"/>
                      <wpg:cNvGrpSpPr/>
                      <wpg:grpSpPr>
                        <a:xfrm>
                          <a:off x="0" y="0"/>
                          <a:ext cx="6012180" cy="1022985"/>
                          <a:chExt cx="6012180" cy="1022985"/>
                        </a:xfrm>
                      </wpg:grpSpPr>
                      <wps:wsp>
                        <wps:cNvPr id="763" name="Graphic 763"/>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764" name="Textbox 764"/>
                        <wps:cNvSpPr txBox="1"/>
                        <wps:spPr>
                          <a:xfrm>
                            <a:off x="0" y="0"/>
                            <a:ext cx="6012180" cy="102298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the</w:t>
                              </w:r>
                              <w:r>
                                <w:rPr>
                                  <w:b/>
                                  <w:color w:val="164194"/>
                                  <w:spacing w:val="-7"/>
                                  <w:sz w:val="28"/>
                                </w:rPr>
                                <w:t> </w:t>
                              </w:r>
                              <w:r>
                                <w:rPr>
                                  <w:b/>
                                  <w:color w:val="164194"/>
                                  <w:sz w:val="28"/>
                                </w:rPr>
                                <w:t>NI</w:t>
                              </w:r>
                              <w:r>
                                <w:rPr>
                                  <w:b/>
                                  <w:color w:val="164194"/>
                                  <w:spacing w:val="-6"/>
                                  <w:sz w:val="28"/>
                                </w:rPr>
                                <w:t> </w:t>
                              </w:r>
                              <w:r>
                                <w:rPr>
                                  <w:b/>
                                  <w:color w:val="164194"/>
                                  <w:sz w:val="28"/>
                                </w:rPr>
                                <w:t>Executive</w:t>
                              </w:r>
                              <w:r>
                                <w:rPr>
                                  <w:b/>
                                  <w:color w:val="164194"/>
                                  <w:spacing w:val="-7"/>
                                  <w:sz w:val="28"/>
                                </w:rPr>
                                <w:t> </w:t>
                              </w:r>
                              <w:r>
                                <w:rPr>
                                  <w:b/>
                                  <w:color w:val="164194"/>
                                  <w:sz w:val="28"/>
                                </w:rPr>
                                <w:t>and</w:t>
                              </w:r>
                              <w:r>
                                <w:rPr>
                                  <w:b/>
                                  <w:color w:val="164194"/>
                                  <w:spacing w:val="-6"/>
                                  <w:sz w:val="28"/>
                                </w:rPr>
                                <w:t> </w:t>
                              </w:r>
                              <w:r>
                                <w:rPr>
                                  <w:b/>
                                  <w:color w:val="164194"/>
                                  <w:sz w:val="28"/>
                                </w:rPr>
                                <w:t>relevant</w:t>
                              </w:r>
                              <w:r>
                                <w:rPr>
                                  <w:b/>
                                  <w:color w:val="164194"/>
                                  <w:spacing w:val="-6"/>
                                  <w:sz w:val="28"/>
                                </w:rPr>
                                <w:t> </w:t>
                              </w:r>
                              <w:r>
                                <w:rPr>
                                  <w:b/>
                                  <w:color w:val="164194"/>
                                  <w:sz w:val="28"/>
                                </w:rPr>
                                <w:t>departments</w:t>
                              </w:r>
                              <w:r>
                                <w:rPr>
                                  <w:b/>
                                  <w:color w:val="164194"/>
                                  <w:spacing w:val="-6"/>
                                  <w:sz w:val="28"/>
                                </w:rPr>
                                <w:t> </w:t>
                              </w:r>
                              <w:r>
                                <w:rPr>
                                  <w:b/>
                                  <w:color w:val="164194"/>
                                  <w:sz w:val="28"/>
                                </w:rPr>
                                <w:t>implement the standards in the Violence Against Women and Domestic Violence Directive</w:t>
                              </w:r>
                              <w:r>
                                <w:rPr>
                                  <w:b/>
                                  <w:color w:val="164194"/>
                                  <w:spacing w:val="-10"/>
                                  <w:sz w:val="28"/>
                                </w:rPr>
                                <w:t> </w:t>
                              </w:r>
                              <w:r>
                                <w:rPr>
                                  <w:b/>
                                  <w:color w:val="164194"/>
                                  <w:sz w:val="28"/>
                                </w:rPr>
                                <w:t>to</w:t>
                              </w:r>
                              <w:r>
                                <w:rPr>
                                  <w:b/>
                                  <w:color w:val="164194"/>
                                  <w:spacing w:val="-9"/>
                                  <w:sz w:val="28"/>
                                </w:rPr>
                                <w:t> </w:t>
                              </w:r>
                              <w:r>
                                <w:rPr>
                                  <w:b/>
                                  <w:color w:val="164194"/>
                                  <w:sz w:val="28"/>
                                </w:rPr>
                                <w:t>the</w:t>
                              </w:r>
                              <w:r>
                                <w:rPr>
                                  <w:b/>
                                  <w:color w:val="164194"/>
                                  <w:spacing w:val="-10"/>
                                  <w:sz w:val="28"/>
                                </w:rPr>
                                <w:t> </w:t>
                              </w:r>
                              <w:r>
                                <w:rPr>
                                  <w:b/>
                                  <w:color w:val="164194"/>
                                  <w:sz w:val="28"/>
                                </w:rPr>
                                <w:t>extent</w:t>
                              </w:r>
                              <w:r>
                                <w:rPr>
                                  <w:b/>
                                  <w:color w:val="164194"/>
                                  <w:spacing w:val="-9"/>
                                  <w:sz w:val="28"/>
                                </w:rPr>
                                <w:t> </w:t>
                              </w:r>
                              <w:r>
                                <w:rPr>
                                  <w:b/>
                                  <w:color w:val="164194"/>
                                  <w:sz w:val="28"/>
                                </w:rPr>
                                <w:t>that</w:t>
                              </w:r>
                              <w:r>
                                <w:rPr>
                                  <w:b/>
                                  <w:color w:val="164194"/>
                                  <w:spacing w:val="-9"/>
                                  <w:sz w:val="28"/>
                                </w:rPr>
                                <w:t> </w:t>
                              </w:r>
                              <w:r>
                                <w:rPr>
                                  <w:b/>
                                  <w:color w:val="164194"/>
                                  <w:sz w:val="28"/>
                                </w:rPr>
                                <w:t>these</w:t>
                              </w:r>
                              <w:r>
                                <w:rPr>
                                  <w:b/>
                                  <w:color w:val="164194"/>
                                  <w:spacing w:val="-10"/>
                                  <w:sz w:val="28"/>
                                </w:rPr>
                                <w:t> </w:t>
                              </w:r>
                              <w:r>
                                <w:rPr>
                                  <w:b/>
                                  <w:color w:val="164194"/>
                                  <w:sz w:val="28"/>
                                </w:rPr>
                                <w:t>strengthen</w:t>
                              </w:r>
                              <w:r>
                                <w:rPr>
                                  <w:b/>
                                  <w:color w:val="164194"/>
                                  <w:spacing w:val="-9"/>
                                  <w:sz w:val="28"/>
                                </w:rPr>
                                <w:t>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reflect</w:t>
                              </w:r>
                              <w:r>
                                <w:rPr>
                                  <w:b/>
                                  <w:color w:val="164194"/>
                                  <w:spacing w:val="-9"/>
                                  <w:sz w:val="28"/>
                                </w:rPr>
                                <w:t> </w:t>
                              </w:r>
                              <w:r>
                                <w:rPr>
                                  <w:b/>
                                  <w:color w:val="164194"/>
                                  <w:sz w:val="28"/>
                                </w:rPr>
                                <w:t>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3.075895pt;width:473.4pt;height:80.55pt;mso-position-horizontal-relative:page;mso-position-vertical-relative:paragraph;z-index:-15584256;mso-wrap-distance-left:0;mso-wrap-distance-right:0" id="docshapegroup620" coordorigin="1020,262" coordsize="9468,1611">
                <v:shape style="position:absolute;left:1020;top:261;width:9468;height:1611" id="docshape621" coordorigin="1020,262" coordsize="9468,1611" path="m10261,262l1247,262,1176,273,1113,305,1064,354,1032,417,1020,488,1020,1645,1032,1717,1064,1779,1113,1828,1176,1860,1247,1872,10261,1872,10333,1860,10395,1828,10444,1779,10477,1717,10488,1645,10488,488,10477,417,10444,354,10395,305,10333,273,10261,262xe" filled="true" fillcolor="#e9f3fc" stroked="false">
                  <v:path arrowok="t"/>
                  <v:fill type="solid"/>
                </v:shape>
                <v:shape style="position:absolute;left:1020;top:261;width:9468;height:1611" type="#_x0000_t202" id="docshape622"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the</w:t>
                        </w:r>
                        <w:r>
                          <w:rPr>
                            <w:b/>
                            <w:color w:val="164194"/>
                            <w:spacing w:val="-7"/>
                            <w:sz w:val="28"/>
                          </w:rPr>
                          <w:t> </w:t>
                        </w:r>
                        <w:r>
                          <w:rPr>
                            <w:b/>
                            <w:color w:val="164194"/>
                            <w:sz w:val="28"/>
                          </w:rPr>
                          <w:t>NI</w:t>
                        </w:r>
                        <w:r>
                          <w:rPr>
                            <w:b/>
                            <w:color w:val="164194"/>
                            <w:spacing w:val="-6"/>
                            <w:sz w:val="28"/>
                          </w:rPr>
                          <w:t> </w:t>
                        </w:r>
                        <w:r>
                          <w:rPr>
                            <w:b/>
                            <w:color w:val="164194"/>
                            <w:sz w:val="28"/>
                          </w:rPr>
                          <w:t>Executive</w:t>
                        </w:r>
                        <w:r>
                          <w:rPr>
                            <w:b/>
                            <w:color w:val="164194"/>
                            <w:spacing w:val="-7"/>
                            <w:sz w:val="28"/>
                          </w:rPr>
                          <w:t> </w:t>
                        </w:r>
                        <w:r>
                          <w:rPr>
                            <w:b/>
                            <w:color w:val="164194"/>
                            <w:sz w:val="28"/>
                          </w:rPr>
                          <w:t>and</w:t>
                        </w:r>
                        <w:r>
                          <w:rPr>
                            <w:b/>
                            <w:color w:val="164194"/>
                            <w:spacing w:val="-6"/>
                            <w:sz w:val="28"/>
                          </w:rPr>
                          <w:t> </w:t>
                        </w:r>
                        <w:r>
                          <w:rPr>
                            <w:b/>
                            <w:color w:val="164194"/>
                            <w:sz w:val="28"/>
                          </w:rPr>
                          <w:t>relevant</w:t>
                        </w:r>
                        <w:r>
                          <w:rPr>
                            <w:b/>
                            <w:color w:val="164194"/>
                            <w:spacing w:val="-6"/>
                            <w:sz w:val="28"/>
                          </w:rPr>
                          <w:t> </w:t>
                        </w:r>
                        <w:r>
                          <w:rPr>
                            <w:b/>
                            <w:color w:val="164194"/>
                            <w:sz w:val="28"/>
                          </w:rPr>
                          <w:t>departments</w:t>
                        </w:r>
                        <w:r>
                          <w:rPr>
                            <w:b/>
                            <w:color w:val="164194"/>
                            <w:spacing w:val="-6"/>
                            <w:sz w:val="28"/>
                          </w:rPr>
                          <w:t> </w:t>
                        </w:r>
                        <w:r>
                          <w:rPr>
                            <w:b/>
                            <w:color w:val="164194"/>
                            <w:sz w:val="28"/>
                          </w:rPr>
                          <w:t>implement the standards in the Violence Against Women and Domestic Violence Directive</w:t>
                        </w:r>
                        <w:r>
                          <w:rPr>
                            <w:b/>
                            <w:color w:val="164194"/>
                            <w:spacing w:val="-10"/>
                            <w:sz w:val="28"/>
                          </w:rPr>
                          <w:t> </w:t>
                        </w:r>
                        <w:r>
                          <w:rPr>
                            <w:b/>
                            <w:color w:val="164194"/>
                            <w:sz w:val="28"/>
                          </w:rPr>
                          <w:t>to</w:t>
                        </w:r>
                        <w:r>
                          <w:rPr>
                            <w:b/>
                            <w:color w:val="164194"/>
                            <w:spacing w:val="-9"/>
                            <w:sz w:val="28"/>
                          </w:rPr>
                          <w:t> </w:t>
                        </w:r>
                        <w:r>
                          <w:rPr>
                            <w:b/>
                            <w:color w:val="164194"/>
                            <w:sz w:val="28"/>
                          </w:rPr>
                          <w:t>the</w:t>
                        </w:r>
                        <w:r>
                          <w:rPr>
                            <w:b/>
                            <w:color w:val="164194"/>
                            <w:spacing w:val="-10"/>
                            <w:sz w:val="28"/>
                          </w:rPr>
                          <w:t> </w:t>
                        </w:r>
                        <w:r>
                          <w:rPr>
                            <w:b/>
                            <w:color w:val="164194"/>
                            <w:sz w:val="28"/>
                          </w:rPr>
                          <w:t>extent</w:t>
                        </w:r>
                        <w:r>
                          <w:rPr>
                            <w:b/>
                            <w:color w:val="164194"/>
                            <w:spacing w:val="-9"/>
                            <w:sz w:val="28"/>
                          </w:rPr>
                          <w:t> </w:t>
                        </w:r>
                        <w:r>
                          <w:rPr>
                            <w:b/>
                            <w:color w:val="164194"/>
                            <w:sz w:val="28"/>
                          </w:rPr>
                          <w:t>that</w:t>
                        </w:r>
                        <w:r>
                          <w:rPr>
                            <w:b/>
                            <w:color w:val="164194"/>
                            <w:spacing w:val="-9"/>
                            <w:sz w:val="28"/>
                          </w:rPr>
                          <w:t> </w:t>
                        </w:r>
                        <w:r>
                          <w:rPr>
                            <w:b/>
                            <w:color w:val="164194"/>
                            <w:sz w:val="28"/>
                          </w:rPr>
                          <w:t>these</w:t>
                        </w:r>
                        <w:r>
                          <w:rPr>
                            <w:b/>
                            <w:color w:val="164194"/>
                            <w:spacing w:val="-10"/>
                            <w:sz w:val="28"/>
                          </w:rPr>
                          <w:t> </w:t>
                        </w:r>
                        <w:r>
                          <w:rPr>
                            <w:b/>
                            <w:color w:val="164194"/>
                            <w:sz w:val="28"/>
                          </w:rPr>
                          <w:t>strengthen</w:t>
                        </w:r>
                        <w:r>
                          <w:rPr>
                            <w:b/>
                            <w:color w:val="164194"/>
                            <w:spacing w:val="-9"/>
                            <w:sz w:val="28"/>
                          </w:rPr>
                          <w:t>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reflect</w:t>
                        </w:r>
                        <w:r>
                          <w:rPr>
                            <w:b/>
                            <w:color w:val="164194"/>
                            <w:spacing w:val="-9"/>
                            <w:sz w:val="28"/>
                          </w:rPr>
                          <w:t> </w:t>
                        </w:r>
                        <w:r>
                          <w:rPr>
                            <w:b/>
                            <w:color w:val="164194"/>
                            <w:sz w:val="28"/>
                          </w:rPr>
                          <w:t>international human rights standards and best practice.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32736">
                <wp:simplePos x="0" y="0"/>
                <wp:positionH relativeFrom="page">
                  <wp:posOffset>647994</wp:posOffset>
                </wp:positionH>
                <wp:positionV relativeFrom="paragraph">
                  <wp:posOffset>1328263</wp:posOffset>
                </wp:positionV>
                <wp:extent cx="6012180" cy="813435"/>
                <wp:effectExtent l="0" t="0" r="0" b="0"/>
                <wp:wrapTopAndBottom/>
                <wp:docPr id="765" name="Group 765"/>
                <wp:cNvGraphicFramePr>
                  <a:graphicFrameLocks/>
                </wp:cNvGraphicFramePr>
                <a:graphic>
                  <a:graphicData uri="http://schemas.microsoft.com/office/word/2010/wordprocessingGroup">
                    <wpg:wgp>
                      <wpg:cNvPr id="765" name="Group 765"/>
                      <wpg:cNvGrpSpPr/>
                      <wpg:grpSpPr>
                        <a:xfrm>
                          <a:off x="0" y="0"/>
                          <a:ext cx="6012180" cy="813435"/>
                          <a:chExt cx="6012180" cy="813435"/>
                        </a:xfrm>
                      </wpg:grpSpPr>
                      <wps:wsp>
                        <wps:cNvPr id="766" name="Graphic 766"/>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767" name="Textbox 767"/>
                        <wps:cNvSpPr txBox="1"/>
                        <wps:spPr>
                          <a:xfrm>
                            <a:off x="0" y="0"/>
                            <a:ext cx="6012180" cy="813435"/>
                          </a:xfrm>
                          <a:prstGeom prst="rect">
                            <a:avLst/>
                          </a:prstGeom>
                        </wps:spPr>
                        <wps:txbx>
                          <w:txbxContent>
                            <w:p>
                              <w:pPr>
                                <w:spacing w:line="232" w:lineRule="auto" w:before="121"/>
                                <w:ind w:left="340" w:right="442" w:firstLine="0"/>
                                <w:jc w:val="both"/>
                                <w:rPr>
                                  <w:b/>
                                  <w:sz w:val="28"/>
                                </w:rPr>
                              </w:pPr>
                              <w:r>
                                <w:rPr>
                                  <w:b/>
                                  <w:color w:val="164194"/>
                                  <w:sz w:val="28"/>
                                </w:rPr>
                                <w:t>We</w:t>
                              </w:r>
                              <w:r>
                                <w:rPr>
                                  <w:b/>
                                  <w:color w:val="164194"/>
                                  <w:spacing w:val="-6"/>
                                  <w:sz w:val="28"/>
                                </w:rPr>
                                <w:t> </w:t>
                              </w:r>
                              <w:r>
                                <w:rPr>
                                  <w:b/>
                                  <w:color w:val="164194"/>
                                  <w:sz w:val="28"/>
                                </w:rPr>
                                <w:t>recommend</w:t>
                              </w:r>
                              <w:r>
                                <w:rPr>
                                  <w:b/>
                                  <w:color w:val="164194"/>
                                  <w:spacing w:val="-5"/>
                                  <w:sz w:val="28"/>
                                </w:rPr>
                                <w:t> </w:t>
                              </w:r>
                              <w:r>
                                <w:rPr>
                                  <w:b/>
                                  <w:color w:val="164194"/>
                                  <w:sz w:val="28"/>
                                </w:rPr>
                                <w:t>that</w:t>
                              </w:r>
                              <w:r>
                                <w:rPr>
                                  <w:b/>
                                  <w:color w:val="164194"/>
                                  <w:spacing w:val="-5"/>
                                  <w:sz w:val="28"/>
                                </w:rPr>
                                <w:t> </w:t>
                              </w:r>
                              <w:r>
                                <w:rPr>
                                  <w:b/>
                                  <w:color w:val="164194"/>
                                  <w:sz w:val="28"/>
                                </w:rPr>
                                <w:t>the</w:t>
                              </w:r>
                              <w:r>
                                <w:rPr>
                                  <w:b/>
                                  <w:color w:val="164194"/>
                                  <w:spacing w:val="-6"/>
                                  <w:sz w:val="28"/>
                                </w:rPr>
                                <w:t> </w:t>
                              </w:r>
                              <w:r>
                                <w:rPr>
                                  <w:b/>
                                  <w:color w:val="164194"/>
                                  <w:sz w:val="28"/>
                                </w:rPr>
                                <w:t>ECNI</w:t>
                              </w:r>
                              <w:r>
                                <w:rPr>
                                  <w:b/>
                                  <w:color w:val="164194"/>
                                  <w:spacing w:val="-5"/>
                                  <w:sz w:val="28"/>
                                </w:rPr>
                                <w:t> </w:t>
                              </w:r>
                              <w:r>
                                <w:rPr>
                                  <w:b/>
                                  <w:color w:val="164194"/>
                                  <w:sz w:val="28"/>
                                </w:rPr>
                                <w:t>and</w:t>
                              </w:r>
                              <w:r>
                                <w:rPr>
                                  <w:b/>
                                  <w:color w:val="164194"/>
                                  <w:spacing w:val="-5"/>
                                  <w:sz w:val="28"/>
                                </w:rPr>
                                <w:t> </w:t>
                              </w:r>
                              <w:r>
                                <w:rPr>
                                  <w:b/>
                                  <w:color w:val="164194"/>
                                  <w:sz w:val="28"/>
                                </w:rPr>
                                <w:t>NIHRC</w:t>
                              </w:r>
                              <w:r>
                                <w:rPr>
                                  <w:b/>
                                  <w:color w:val="164194"/>
                                  <w:spacing w:val="-6"/>
                                  <w:sz w:val="28"/>
                                </w:rPr>
                                <w:t> </w:t>
                              </w:r>
                              <w:r>
                                <w:rPr>
                                  <w:b/>
                                  <w:color w:val="164194"/>
                                  <w:sz w:val="28"/>
                                </w:rPr>
                                <w:t>conduct</w:t>
                              </w:r>
                              <w:r>
                                <w:rPr>
                                  <w:b/>
                                  <w:color w:val="164194"/>
                                  <w:spacing w:val="-5"/>
                                  <w:sz w:val="28"/>
                                </w:rPr>
                                <w:t> </w:t>
                              </w:r>
                              <w:r>
                                <w:rPr>
                                  <w:b/>
                                  <w:color w:val="164194"/>
                                  <w:sz w:val="28"/>
                                </w:rPr>
                                <w:t>an</w:t>
                              </w:r>
                              <w:r>
                                <w:rPr>
                                  <w:b/>
                                  <w:color w:val="164194"/>
                                  <w:spacing w:val="-5"/>
                                  <w:sz w:val="28"/>
                                </w:rPr>
                                <w:t> </w:t>
                              </w:r>
                              <w:r>
                                <w:rPr>
                                  <w:b/>
                                  <w:color w:val="164194"/>
                                  <w:sz w:val="28"/>
                                </w:rPr>
                                <w:t>analysis</w:t>
                              </w:r>
                              <w:r>
                                <w:rPr>
                                  <w:b/>
                                  <w:color w:val="164194"/>
                                  <w:spacing w:val="-5"/>
                                  <w:sz w:val="28"/>
                                </w:rPr>
                                <w:t> </w:t>
                              </w:r>
                              <w:r>
                                <w:rPr>
                                  <w:b/>
                                  <w:color w:val="164194"/>
                                  <w:sz w:val="28"/>
                                </w:rPr>
                                <w:t>to</w:t>
                              </w:r>
                              <w:r>
                                <w:rPr>
                                  <w:b/>
                                  <w:color w:val="164194"/>
                                  <w:spacing w:val="-5"/>
                                  <w:sz w:val="28"/>
                                </w:rPr>
                                <w:t> </w:t>
                              </w:r>
                              <w:r>
                                <w:rPr>
                                  <w:b/>
                                  <w:color w:val="164194"/>
                                  <w:sz w:val="28"/>
                                </w:rPr>
                                <w:t>determine if</w:t>
                              </w:r>
                              <w:r>
                                <w:rPr>
                                  <w:b/>
                                  <w:color w:val="164194"/>
                                  <w:spacing w:val="-8"/>
                                  <w:sz w:val="28"/>
                                </w:rPr>
                                <w:t> </w:t>
                              </w:r>
                              <w:r>
                                <w:rPr>
                                  <w:b/>
                                  <w:color w:val="164194"/>
                                  <w:sz w:val="28"/>
                                </w:rPr>
                                <w:t>the</w:t>
                              </w:r>
                              <w:r>
                                <w:rPr>
                                  <w:b/>
                                  <w:color w:val="164194"/>
                                  <w:spacing w:val="-8"/>
                                  <w:sz w:val="28"/>
                                </w:rPr>
                                <w:t> </w:t>
                              </w:r>
                              <w:r>
                                <w:rPr>
                                  <w:b/>
                                  <w:color w:val="164194"/>
                                  <w:sz w:val="28"/>
                                </w:rPr>
                                <w:t>Violence</w:t>
                              </w:r>
                              <w:r>
                                <w:rPr>
                                  <w:b/>
                                  <w:color w:val="164194"/>
                                  <w:spacing w:val="-8"/>
                                  <w:sz w:val="28"/>
                                </w:rPr>
                                <w:t> </w:t>
                              </w:r>
                              <w:r>
                                <w:rPr>
                                  <w:b/>
                                  <w:color w:val="164194"/>
                                  <w:sz w:val="28"/>
                                </w:rPr>
                                <w:t>Against</w:t>
                              </w:r>
                              <w:r>
                                <w:rPr>
                                  <w:b/>
                                  <w:color w:val="164194"/>
                                  <w:spacing w:val="-7"/>
                                  <w:sz w:val="28"/>
                                </w:rPr>
                                <w:t> </w:t>
                              </w:r>
                              <w:r>
                                <w:rPr>
                                  <w:b/>
                                  <w:color w:val="164194"/>
                                  <w:sz w:val="28"/>
                                </w:rPr>
                                <w:t>Women</w:t>
                              </w:r>
                              <w:r>
                                <w:rPr>
                                  <w:b/>
                                  <w:color w:val="164194"/>
                                  <w:spacing w:val="-7"/>
                                  <w:sz w:val="28"/>
                                </w:rPr>
                                <w:t> </w:t>
                              </w:r>
                              <w:r>
                                <w:rPr>
                                  <w:b/>
                                  <w:color w:val="164194"/>
                                  <w:sz w:val="28"/>
                                </w:rPr>
                                <w:t>and</w:t>
                              </w:r>
                              <w:r>
                                <w:rPr>
                                  <w:b/>
                                  <w:color w:val="164194"/>
                                  <w:spacing w:val="-7"/>
                                  <w:sz w:val="28"/>
                                </w:rPr>
                                <w:t> </w:t>
                              </w:r>
                              <w:r>
                                <w:rPr>
                                  <w:b/>
                                  <w:color w:val="164194"/>
                                  <w:sz w:val="28"/>
                                </w:rPr>
                                <w:t>Domestic</w:t>
                              </w:r>
                              <w:r>
                                <w:rPr>
                                  <w:b/>
                                  <w:color w:val="164194"/>
                                  <w:spacing w:val="-8"/>
                                  <w:sz w:val="28"/>
                                </w:rPr>
                                <w:t> </w:t>
                              </w:r>
                              <w:r>
                                <w:rPr>
                                  <w:b/>
                                  <w:color w:val="164194"/>
                                  <w:sz w:val="28"/>
                                </w:rPr>
                                <w:t>Violence</w:t>
                              </w:r>
                              <w:r>
                                <w:rPr>
                                  <w:b/>
                                  <w:color w:val="164194"/>
                                  <w:spacing w:val="-8"/>
                                  <w:sz w:val="28"/>
                                </w:rPr>
                                <w:t> </w:t>
                              </w:r>
                              <w:r>
                                <w:rPr>
                                  <w:b/>
                                  <w:color w:val="164194"/>
                                  <w:sz w:val="28"/>
                                </w:rPr>
                                <w:t>Directive</w:t>
                              </w:r>
                              <w:r>
                                <w:rPr>
                                  <w:b/>
                                  <w:color w:val="164194"/>
                                  <w:spacing w:val="-8"/>
                                  <w:sz w:val="28"/>
                                </w:rPr>
                                <w:t> </w:t>
                              </w:r>
                              <w:r>
                                <w:rPr>
                                  <w:b/>
                                  <w:color w:val="164194"/>
                                  <w:sz w:val="28"/>
                                </w:rPr>
                                <w:t>amends</w:t>
                              </w:r>
                              <w:r>
                                <w:rPr>
                                  <w:b/>
                                  <w:color w:val="164194"/>
                                  <w:spacing w:val="-7"/>
                                  <w:sz w:val="28"/>
                                </w:rPr>
                                <w:t> </w:t>
                              </w:r>
                              <w:r>
                                <w:rPr>
                                  <w:b/>
                                  <w:color w:val="164194"/>
                                  <w:sz w:val="28"/>
                                </w:rPr>
                                <w:t>or replaces an Annex 1 directive.</w:t>
                              </w:r>
                            </w:p>
                          </w:txbxContent>
                        </wps:txbx>
                        <wps:bodyPr wrap="square" lIns="0" tIns="0" rIns="0" bIns="0" rtlCol="0">
                          <a:noAutofit/>
                        </wps:bodyPr>
                      </wps:wsp>
                    </wpg:wgp>
                  </a:graphicData>
                </a:graphic>
              </wp:anchor>
            </w:drawing>
          </mc:Choice>
          <mc:Fallback>
            <w:pict>
              <v:group style="position:absolute;margin-left:51.023201pt;margin-top:104.587692pt;width:473.4pt;height:64.05pt;mso-position-horizontal-relative:page;mso-position-vertical-relative:paragraph;z-index:-15583744;mso-wrap-distance-left:0;mso-wrap-distance-right:0" id="docshapegroup623" coordorigin="1020,2092" coordsize="9468,1281">
                <v:shape style="position:absolute;left:1020;top:2091;width:9468;height:1281" id="docshape624" coordorigin="1020,2092" coordsize="9468,1281" path="m10261,2092l1247,2092,1176,2103,1113,2136,1064,2185,1032,2247,1020,2319,1020,3145,1032,3217,1064,3279,1113,3328,1176,3360,1247,3372,10261,3372,10333,3360,10395,3328,10444,3279,10477,3217,10488,3145,10488,2319,10477,2247,10444,2185,10395,2136,10333,2103,10261,2092xe" filled="true" fillcolor="#e9f3fc" stroked="false">
                  <v:path arrowok="t"/>
                  <v:fill type="solid"/>
                </v:shape>
                <v:shape style="position:absolute;left:1020;top:2091;width:9468;height:1281" type="#_x0000_t202" id="docshape625" filled="false" stroked="false">
                  <v:textbox inset="0,0,0,0">
                    <w:txbxContent>
                      <w:p>
                        <w:pPr>
                          <w:spacing w:line="232" w:lineRule="auto" w:before="121"/>
                          <w:ind w:left="340" w:right="442" w:firstLine="0"/>
                          <w:jc w:val="both"/>
                          <w:rPr>
                            <w:b/>
                            <w:sz w:val="28"/>
                          </w:rPr>
                        </w:pPr>
                        <w:r>
                          <w:rPr>
                            <w:b/>
                            <w:color w:val="164194"/>
                            <w:sz w:val="28"/>
                          </w:rPr>
                          <w:t>We</w:t>
                        </w:r>
                        <w:r>
                          <w:rPr>
                            <w:b/>
                            <w:color w:val="164194"/>
                            <w:spacing w:val="-6"/>
                            <w:sz w:val="28"/>
                          </w:rPr>
                          <w:t> </w:t>
                        </w:r>
                        <w:r>
                          <w:rPr>
                            <w:b/>
                            <w:color w:val="164194"/>
                            <w:sz w:val="28"/>
                          </w:rPr>
                          <w:t>recommend</w:t>
                        </w:r>
                        <w:r>
                          <w:rPr>
                            <w:b/>
                            <w:color w:val="164194"/>
                            <w:spacing w:val="-5"/>
                            <w:sz w:val="28"/>
                          </w:rPr>
                          <w:t> </w:t>
                        </w:r>
                        <w:r>
                          <w:rPr>
                            <w:b/>
                            <w:color w:val="164194"/>
                            <w:sz w:val="28"/>
                          </w:rPr>
                          <w:t>that</w:t>
                        </w:r>
                        <w:r>
                          <w:rPr>
                            <w:b/>
                            <w:color w:val="164194"/>
                            <w:spacing w:val="-5"/>
                            <w:sz w:val="28"/>
                          </w:rPr>
                          <w:t> </w:t>
                        </w:r>
                        <w:r>
                          <w:rPr>
                            <w:b/>
                            <w:color w:val="164194"/>
                            <w:sz w:val="28"/>
                          </w:rPr>
                          <w:t>the</w:t>
                        </w:r>
                        <w:r>
                          <w:rPr>
                            <w:b/>
                            <w:color w:val="164194"/>
                            <w:spacing w:val="-6"/>
                            <w:sz w:val="28"/>
                          </w:rPr>
                          <w:t> </w:t>
                        </w:r>
                        <w:r>
                          <w:rPr>
                            <w:b/>
                            <w:color w:val="164194"/>
                            <w:sz w:val="28"/>
                          </w:rPr>
                          <w:t>ECNI</w:t>
                        </w:r>
                        <w:r>
                          <w:rPr>
                            <w:b/>
                            <w:color w:val="164194"/>
                            <w:spacing w:val="-5"/>
                            <w:sz w:val="28"/>
                          </w:rPr>
                          <w:t> </w:t>
                        </w:r>
                        <w:r>
                          <w:rPr>
                            <w:b/>
                            <w:color w:val="164194"/>
                            <w:sz w:val="28"/>
                          </w:rPr>
                          <w:t>and</w:t>
                        </w:r>
                        <w:r>
                          <w:rPr>
                            <w:b/>
                            <w:color w:val="164194"/>
                            <w:spacing w:val="-5"/>
                            <w:sz w:val="28"/>
                          </w:rPr>
                          <w:t> </w:t>
                        </w:r>
                        <w:r>
                          <w:rPr>
                            <w:b/>
                            <w:color w:val="164194"/>
                            <w:sz w:val="28"/>
                          </w:rPr>
                          <w:t>NIHRC</w:t>
                        </w:r>
                        <w:r>
                          <w:rPr>
                            <w:b/>
                            <w:color w:val="164194"/>
                            <w:spacing w:val="-6"/>
                            <w:sz w:val="28"/>
                          </w:rPr>
                          <w:t> </w:t>
                        </w:r>
                        <w:r>
                          <w:rPr>
                            <w:b/>
                            <w:color w:val="164194"/>
                            <w:sz w:val="28"/>
                          </w:rPr>
                          <w:t>conduct</w:t>
                        </w:r>
                        <w:r>
                          <w:rPr>
                            <w:b/>
                            <w:color w:val="164194"/>
                            <w:spacing w:val="-5"/>
                            <w:sz w:val="28"/>
                          </w:rPr>
                          <w:t> </w:t>
                        </w:r>
                        <w:r>
                          <w:rPr>
                            <w:b/>
                            <w:color w:val="164194"/>
                            <w:sz w:val="28"/>
                          </w:rPr>
                          <w:t>an</w:t>
                        </w:r>
                        <w:r>
                          <w:rPr>
                            <w:b/>
                            <w:color w:val="164194"/>
                            <w:spacing w:val="-5"/>
                            <w:sz w:val="28"/>
                          </w:rPr>
                          <w:t> </w:t>
                        </w:r>
                        <w:r>
                          <w:rPr>
                            <w:b/>
                            <w:color w:val="164194"/>
                            <w:sz w:val="28"/>
                          </w:rPr>
                          <w:t>analysis</w:t>
                        </w:r>
                        <w:r>
                          <w:rPr>
                            <w:b/>
                            <w:color w:val="164194"/>
                            <w:spacing w:val="-5"/>
                            <w:sz w:val="28"/>
                          </w:rPr>
                          <w:t> </w:t>
                        </w:r>
                        <w:r>
                          <w:rPr>
                            <w:b/>
                            <w:color w:val="164194"/>
                            <w:sz w:val="28"/>
                          </w:rPr>
                          <w:t>to</w:t>
                        </w:r>
                        <w:r>
                          <w:rPr>
                            <w:b/>
                            <w:color w:val="164194"/>
                            <w:spacing w:val="-5"/>
                            <w:sz w:val="28"/>
                          </w:rPr>
                          <w:t> </w:t>
                        </w:r>
                        <w:r>
                          <w:rPr>
                            <w:b/>
                            <w:color w:val="164194"/>
                            <w:sz w:val="28"/>
                          </w:rPr>
                          <w:t>determine if</w:t>
                        </w:r>
                        <w:r>
                          <w:rPr>
                            <w:b/>
                            <w:color w:val="164194"/>
                            <w:spacing w:val="-8"/>
                            <w:sz w:val="28"/>
                          </w:rPr>
                          <w:t> </w:t>
                        </w:r>
                        <w:r>
                          <w:rPr>
                            <w:b/>
                            <w:color w:val="164194"/>
                            <w:sz w:val="28"/>
                          </w:rPr>
                          <w:t>the</w:t>
                        </w:r>
                        <w:r>
                          <w:rPr>
                            <w:b/>
                            <w:color w:val="164194"/>
                            <w:spacing w:val="-8"/>
                            <w:sz w:val="28"/>
                          </w:rPr>
                          <w:t> </w:t>
                        </w:r>
                        <w:r>
                          <w:rPr>
                            <w:b/>
                            <w:color w:val="164194"/>
                            <w:sz w:val="28"/>
                          </w:rPr>
                          <w:t>Violence</w:t>
                        </w:r>
                        <w:r>
                          <w:rPr>
                            <w:b/>
                            <w:color w:val="164194"/>
                            <w:spacing w:val="-8"/>
                            <w:sz w:val="28"/>
                          </w:rPr>
                          <w:t> </w:t>
                        </w:r>
                        <w:r>
                          <w:rPr>
                            <w:b/>
                            <w:color w:val="164194"/>
                            <w:sz w:val="28"/>
                          </w:rPr>
                          <w:t>Against</w:t>
                        </w:r>
                        <w:r>
                          <w:rPr>
                            <w:b/>
                            <w:color w:val="164194"/>
                            <w:spacing w:val="-7"/>
                            <w:sz w:val="28"/>
                          </w:rPr>
                          <w:t> </w:t>
                        </w:r>
                        <w:r>
                          <w:rPr>
                            <w:b/>
                            <w:color w:val="164194"/>
                            <w:sz w:val="28"/>
                          </w:rPr>
                          <w:t>Women</w:t>
                        </w:r>
                        <w:r>
                          <w:rPr>
                            <w:b/>
                            <w:color w:val="164194"/>
                            <w:spacing w:val="-7"/>
                            <w:sz w:val="28"/>
                          </w:rPr>
                          <w:t> </w:t>
                        </w:r>
                        <w:r>
                          <w:rPr>
                            <w:b/>
                            <w:color w:val="164194"/>
                            <w:sz w:val="28"/>
                          </w:rPr>
                          <w:t>and</w:t>
                        </w:r>
                        <w:r>
                          <w:rPr>
                            <w:b/>
                            <w:color w:val="164194"/>
                            <w:spacing w:val="-7"/>
                            <w:sz w:val="28"/>
                          </w:rPr>
                          <w:t> </w:t>
                        </w:r>
                        <w:r>
                          <w:rPr>
                            <w:b/>
                            <w:color w:val="164194"/>
                            <w:sz w:val="28"/>
                          </w:rPr>
                          <w:t>Domestic</w:t>
                        </w:r>
                        <w:r>
                          <w:rPr>
                            <w:b/>
                            <w:color w:val="164194"/>
                            <w:spacing w:val="-8"/>
                            <w:sz w:val="28"/>
                          </w:rPr>
                          <w:t> </w:t>
                        </w:r>
                        <w:r>
                          <w:rPr>
                            <w:b/>
                            <w:color w:val="164194"/>
                            <w:sz w:val="28"/>
                          </w:rPr>
                          <w:t>Violence</w:t>
                        </w:r>
                        <w:r>
                          <w:rPr>
                            <w:b/>
                            <w:color w:val="164194"/>
                            <w:spacing w:val="-8"/>
                            <w:sz w:val="28"/>
                          </w:rPr>
                          <w:t> </w:t>
                        </w:r>
                        <w:r>
                          <w:rPr>
                            <w:b/>
                            <w:color w:val="164194"/>
                            <w:sz w:val="28"/>
                          </w:rPr>
                          <w:t>Directive</w:t>
                        </w:r>
                        <w:r>
                          <w:rPr>
                            <w:b/>
                            <w:color w:val="164194"/>
                            <w:spacing w:val="-8"/>
                            <w:sz w:val="28"/>
                          </w:rPr>
                          <w:t> </w:t>
                        </w:r>
                        <w:r>
                          <w:rPr>
                            <w:b/>
                            <w:color w:val="164194"/>
                            <w:sz w:val="28"/>
                          </w:rPr>
                          <w:t>amends</w:t>
                        </w:r>
                        <w:r>
                          <w:rPr>
                            <w:b/>
                            <w:color w:val="164194"/>
                            <w:spacing w:val="-7"/>
                            <w:sz w:val="28"/>
                          </w:rPr>
                          <w:t> </w:t>
                        </w:r>
                        <w:r>
                          <w:rPr>
                            <w:b/>
                            <w:color w:val="164194"/>
                            <w:sz w:val="28"/>
                          </w:rPr>
                          <w:t>or replaces an Annex 1 directive.</w:t>
                        </w:r>
                      </w:p>
                    </w:txbxContent>
                  </v:textbox>
                  <w10:wrap type="none"/>
                </v:shape>
                <w10:wrap type="topAndBottom"/>
              </v:group>
            </w:pict>
          </mc:Fallback>
        </mc:AlternateContent>
      </w:r>
    </w:p>
    <w:p>
      <w:pPr>
        <w:pStyle w:val="BodyText"/>
        <w:rPr>
          <w:sz w:val="16"/>
        </w:rPr>
      </w:pPr>
    </w:p>
    <w:p>
      <w:pPr>
        <w:pStyle w:val="BodyText"/>
        <w:spacing w:before="1"/>
      </w:pPr>
    </w:p>
    <w:p>
      <w:pPr>
        <w:pStyle w:val="Heading3"/>
        <w:numPr>
          <w:ilvl w:val="2"/>
          <w:numId w:val="33"/>
        </w:numPr>
        <w:tabs>
          <w:tab w:pos="1358" w:val="left" w:leader="none"/>
        </w:tabs>
        <w:spacing w:line="336" w:lineRule="exact" w:before="0" w:after="0"/>
        <w:ind w:left="1358" w:right="0" w:hanging="638"/>
        <w:jc w:val="left"/>
      </w:pPr>
      <w:r>
        <w:rPr>
          <w:color w:val="004A93"/>
        </w:rPr>
        <w:t>The</w:t>
      </w:r>
      <w:r>
        <w:rPr>
          <w:color w:val="004A93"/>
          <w:spacing w:val="-7"/>
        </w:rPr>
        <w:t> </w:t>
      </w:r>
      <w:r>
        <w:rPr>
          <w:color w:val="004A93"/>
        </w:rPr>
        <w:t>right</w:t>
      </w:r>
      <w:r>
        <w:rPr>
          <w:color w:val="004A93"/>
          <w:spacing w:val="-5"/>
        </w:rPr>
        <w:t> </w:t>
      </w:r>
      <w:r>
        <w:rPr>
          <w:color w:val="004A93"/>
        </w:rPr>
        <w:t>to</w:t>
      </w:r>
      <w:r>
        <w:rPr>
          <w:color w:val="004A93"/>
          <w:spacing w:val="-5"/>
        </w:rPr>
        <w:t> </w:t>
      </w:r>
      <w:r>
        <w:rPr>
          <w:color w:val="004A93"/>
        </w:rPr>
        <w:t>privacy</w:t>
      </w:r>
      <w:r>
        <w:rPr>
          <w:color w:val="004A93"/>
          <w:spacing w:val="-6"/>
        </w:rPr>
        <w:t> </w:t>
      </w:r>
      <w:r>
        <w:rPr>
          <w:color w:val="004A93"/>
        </w:rPr>
        <w:t>(including</w:t>
      </w:r>
      <w:r>
        <w:rPr>
          <w:color w:val="004A93"/>
          <w:spacing w:val="-6"/>
        </w:rPr>
        <w:t> </w:t>
      </w:r>
      <w:r>
        <w:rPr>
          <w:color w:val="004A93"/>
        </w:rPr>
        <w:t>data</w:t>
      </w:r>
      <w:r>
        <w:rPr>
          <w:color w:val="004A93"/>
          <w:spacing w:val="-5"/>
        </w:rPr>
        <w:t> </w:t>
      </w:r>
      <w:r>
        <w:rPr>
          <w:color w:val="004A93"/>
          <w:spacing w:val="-2"/>
        </w:rPr>
        <w:t>protection)</w:t>
      </w:r>
    </w:p>
    <w:p>
      <w:pPr>
        <w:pStyle w:val="BodyText"/>
        <w:spacing w:line="232" w:lineRule="auto" w:before="3"/>
        <w:ind w:left="720" w:right="1681"/>
      </w:pPr>
      <w:r>
        <w:rPr/>
        <w:t>Out of the 15 EU directives and 69 EU regulations adopted between 1 January 2022 and 31 August 2023 that sufficiently relate to human rights and equality, 4 EU directives (bar one which does not apply to Ireland) and 5 EU regulations relate</w:t>
      </w:r>
      <w:r>
        <w:rPr>
          <w:spacing w:val="-1"/>
        </w:rPr>
        <w:t> </w:t>
      </w:r>
      <w:r>
        <w:rPr/>
        <w:t>to</w:t>
      </w:r>
      <w:r>
        <w:rPr>
          <w:spacing w:val="-2"/>
        </w:rPr>
        <w:t> </w:t>
      </w:r>
      <w:r>
        <w:rPr/>
        <w:t>the</w:t>
      </w:r>
      <w:r>
        <w:rPr>
          <w:spacing w:val="-1"/>
        </w:rPr>
        <w:t> </w:t>
      </w:r>
      <w:r>
        <w:rPr/>
        <w:t>right</w:t>
      </w:r>
      <w:r>
        <w:rPr>
          <w:spacing w:val="-1"/>
        </w:rPr>
        <w:t> </w:t>
      </w:r>
      <w:r>
        <w:rPr/>
        <w:t>to</w:t>
      </w:r>
      <w:r>
        <w:rPr>
          <w:spacing w:val="-2"/>
        </w:rPr>
        <w:t> </w:t>
      </w:r>
      <w:r>
        <w:rPr/>
        <w:t>privacy,</w:t>
      </w:r>
      <w:r>
        <w:rPr>
          <w:spacing w:val="-1"/>
        </w:rPr>
        <w:t> </w:t>
      </w:r>
      <w:r>
        <w:rPr/>
        <w:t>including</w:t>
      </w:r>
      <w:r>
        <w:rPr>
          <w:spacing w:val="-1"/>
        </w:rPr>
        <w:t> </w:t>
      </w:r>
      <w:r>
        <w:rPr/>
        <w:t>data</w:t>
      </w:r>
      <w:r>
        <w:rPr>
          <w:spacing w:val="-2"/>
        </w:rPr>
        <w:t> </w:t>
      </w:r>
      <w:r>
        <w:rPr/>
        <w:t>protection.</w:t>
      </w:r>
      <w:r>
        <w:rPr>
          <w:spacing w:val="-2"/>
        </w:rPr>
        <w:t> </w:t>
      </w:r>
      <w:r>
        <w:rPr/>
        <w:t>The</w:t>
      </w:r>
      <w:r>
        <w:rPr>
          <w:spacing w:val="-1"/>
        </w:rPr>
        <w:t> </w:t>
      </w:r>
      <w:r>
        <w:rPr/>
        <w:t>Rights,</w:t>
      </w:r>
      <w:r>
        <w:rPr>
          <w:spacing w:val="-1"/>
        </w:rPr>
        <w:t> </w:t>
      </w:r>
      <w:r>
        <w:rPr/>
        <w:t>Safeguards and</w:t>
      </w:r>
      <w:r>
        <w:rPr>
          <w:spacing w:val="-6"/>
        </w:rPr>
        <w:t> </w:t>
      </w:r>
      <w:r>
        <w:rPr/>
        <w:t>Equality</w:t>
      </w:r>
      <w:r>
        <w:rPr>
          <w:spacing w:val="-5"/>
        </w:rPr>
        <w:t> </w:t>
      </w:r>
      <w:r>
        <w:rPr/>
        <w:t>of</w:t>
      </w:r>
      <w:r>
        <w:rPr>
          <w:spacing w:val="-6"/>
        </w:rPr>
        <w:t> </w:t>
      </w:r>
      <w:r>
        <w:rPr/>
        <w:t>Opportunity</w:t>
      </w:r>
      <w:r>
        <w:rPr>
          <w:spacing w:val="-5"/>
        </w:rPr>
        <w:t> </w:t>
      </w:r>
      <w:r>
        <w:rPr/>
        <w:t>part</w:t>
      </w:r>
      <w:r>
        <w:rPr>
          <w:spacing w:val="-5"/>
        </w:rPr>
        <w:t> </w:t>
      </w:r>
      <w:r>
        <w:rPr/>
        <w:t>of</w:t>
      </w:r>
      <w:r>
        <w:rPr>
          <w:spacing w:val="-6"/>
        </w:rPr>
        <w:t> </w:t>
      </w:r>
      <w:r>
        <w:rPr/>
        <w:t>the</w:t>
      </w:r>
      <w:r>
        <w:rPr>
          <w:spacing w:val="-5"/>
        </w:rPr>
        <w:t> </w:t>
      </w:r>
      <w:r>
        <w:rPr/>
        <w:t>1998</w:t>
      </w:r>
      <w:r>
        <w:rPr>
          <w:spacing w:val="-5"/>
        </w:rPr>
        <w:t> </w:t>
      </w:r>
      <w:r>
        <w:rPr/>
        <w:t>Agreement</w:t>
      </w:r>
      <w:r>
        <w:rPr>
          <w:spacing w:val="-5"/>
        </w:rPr>
        <w:t> </w:t>
      </w:r>
      <w:r>
        <w:rPr/>
        <w:t>explicitly</w:t>
      </w:r>
      <w:r>
        <w:rPr>
          <w:spacing w:val="-5"/>
        </w:rPr>
        <w:t> </w:t>
      </w:r>
      <w:r>
        <w:rPr/>
        <w:t>mention</w:t>
      </w:r>
      <w:r>
        <w:rPr>
          <w:spacing w:val="-6"/>
        </w:rPr>
        <w:t> </w:t>
      </w:r>
      <w:r>
        <w:rPr/>
        <w:t>the ‘civil rights’ of everyone in the community and the right to privacy (including</w:t>
      </w:r>
    </w:p>
    <w:p>
      <w:pPr>
        <w:pStyle w:val="BodyText"/>
        <w:spacing w:line="232" w:lineRule="auto"/>
        <w:ind w:left="720" w:right="1291"/>
      </w:pPr>
      <w:r>
        <w:rPr/>
        <w:t>data protection) should be considered as included within that. This is confirmed by the Agreement’s protection for the European Convention on Human Rights. Article</w:t>
      </w:r>
      <w:r>
        <w:rPr>
          <w:spacing w:val="-2"/>
        </w:rPr>
        <w:t> </w:t>
      </w:r>
      <w:r>
        <w:rPr/>
        <w:t>8</w:t>
      </w:r>
      <w:r>
        <w:rPr>
          <w:spacing w:val="-2"/>
        </w:rPr>
        <w:t> </w:t>
      </w:r>
      <w:r>
        <w:rPr/>
        <w:t>ECHR</w:t>
      </w:r>
      <w:r>
        <w:rPr>
          <w:spacing w:val="-3"/>
        </w:rPr>
        <w:t> </w:t>
      </w:r>
      <w:r>
        <w:rPr/>
        <w:t>protects</w:t>
      </w:r>
      <w:r>
        <w:rPr>
          <w:spacing w:val="-3"/>
        </w:rPr>
        <w:t> </w:t>
      </w:r>
      <w:r>
        <w:rPr/>
        <w:t>the</w:t>
      </w:r>
      <w:r>
        <w:rPr>
          <w:spacing w:val="-2"/>
        </w:rPr>
        <w:t> </w:t>
      </w:r>
      <w:r>
        <w:rPr/>
        <w:t>right</w:t>
      </w:r>
      <w:r>
        <w:rPr>
          <w:spacing w:val="-2"/>
        </w:rPr>
        <w:t> </w:t>
      </w:r>
      <w:r>
        <w:rPr/>
        <w:t>to</w:t>
      </w:r>
      <w:r>
        <w:rPr>
          <w:spacing w:val="-3"/>
        </w:rPr>
        <w:t> </w:t>
      </w:r>
      <w:r>
        <w:rPr/>
        <w:t>respect</w:t>
      </w:r>
      <w:r>
        <w:rPr>
          <w:spacing w:val="-2"/>
        </w:rPr>
        <w:t> </w:t>
      </w:r>
      <w:r>
        <w:rPr/>
        <w:t>for</w:t>
      </w:r>
      <w:r>
        <w:rPr>
          <w:spacing w:val="-2"/>
        </w:rPr>
        <w:t> </w:t>
      </w:r>
      <w:r>
        <w:rPr/>
        <w:t>family</w:t>
      </w:r>
      <w:r>
        <w:rPr>
          <w:spacing w:val="-2"/>
        </w:rPr>
        <w:t> </w:t>
      </w:r>
      <w:r>
        <w:rPr/>
        <w:t>and</w:t>
      </w:r>
      <w:r>
        <w:rPr>
          <w:spacing w:val="-3"/>
        </w:rPr>
        <w:t> </w:t>
      </w:r>
      <w:r>
        <w:rPr/>
        <w:t>private</w:t>
      </w:r>
      <w:r>
        <w:rPr>
          <w:spacing w:val="-2"/>
        </w:rPr>
        <w:t> </w:t>
      </w:r>
      <w:r>
        <w:rPr/>
        <w:t>life</w:t>
      </w:r>
      <w:r>
        <w:rPr>
          <w:spacing w:val="-2"/>
        </w:rPr>
        <w:t> </w:t>
      </w:r>
      <w:r>
        <w:rPr/>
        <w:t>and</w:t>
      </w:r>
      <w:r>
        <w:rPr>
          <w:spacing w:val="-3"/>
        </w:rPr>
        <w:t> </w:t>
      </w:r>
      <w:r>
        <w:rPr/>
        <w:t>includes therefore</w:t>
      </w:r>
      <w:r>
        <w:rPr>
          <w:spacing w:val="-7"/>
        </w:rPr>
        <w:t> </w:t>
      </w:r>
      <w:r>
        <w:rPr/>
        <w:t>privacy</w:t>
      </w:r>
      <w:r>
        <w:rPr>
          <w:spacing w:val="-7"/>
        </w:rPr>
        <w:t> </w:t>
      </w:r>
      <w:r>
        <w:rPr/>
        <w:t>and</w:t>
      </w:r>
      <w:r>
        <w:rPr>
          <w:spacing w:val="-8"/>
        </w:rPr>
        <w:t> </w:t>
      </w:r>
      <w:r>
        <w:rPr/>
        <w:t>data</w:t>
      </w:r>
      <w:r>
        <w:rPr>
          <w:spacing w:val="-8"/>
        </w:rPr>
        <w:t> </w:t>
      </w:r>
      <w:r>
        <w:rPr/>
        <w:t>protection.</w:t>
      </w:r>
      <w:r>
        <w:rPr>
          <w:spacing w:val="-8"/>
        </w:rPr>
        <w:t> </w:t>
      </w:r>
      <w:r>
        <w:rPr/>
        <w:t>This</w:t>
      </w:r>
      <w:r>
        <w:rPr>
          <w:spacing w:val="-8"/>
        </w:rPr>
        <w:t> </w:t>
      </w:r>
      <w:r>
        <w:rPr/>
        <w:t>entails</w:t>
      </w:r>
      <w:r>
        <w:rPr>
          <w:spacing w:val="-8"/>
        </w:rPr>
        <w:t> </w:t>
      </w:r>
      <w:r>
        <w:rPr/>
        <w:t>that</w:t>
      </w:r>
      <w:r>
        <w:rPr>
          <w:spacing w:val="-7"/>
        </w:rPr>
        <w:t> </w:t>
      </w:r>
      <w:r>
        <w:rPr/>
        <w:t>EU</w:t>
      </w:r>
      <w:r>
        <w:rPr>
          <w:spacing w:val="-7"/>
        </w:rPr>
        <w:t> </w:t>
      </w:r>
      <w:r>
        <w:rPr/>
        <w:t>law</w:t>
      </w:r>
      <w:r>
        <w:rPr>
          <w:spacing w:val="-7"/>
        </w:rPr>
        <w:t> </w:t>
      </w:r>
      <w:r>
        <w:rPr/>
        <w:t>underpinning</w:t>
      </w:r>
      <w:r>
        <w:rPr>
          <w:spacing w:val="-7"/>
        </w:rPr>
        <w:t> </w:t>
      </w:r>
      <w:r>
        <w:rPr/>
        <w:t>these rights in Northern Ireland prior to 31 December 2020, such as the General Data</w:t>
      </w:r>
    </w:p>
    <w:p>
      <w:pPr>
        <w:pStyle w:val="BodyText"/>
        <w:spacing w:line="232" w:lineRule="auto"/>
        <w:ind w:left="720" w:right="1087"/>
      </w:pPr>
      <w:r>
        <w:rPr/>
        <w:t>Protection</w:t>
      </w:r>
      <w:r>
        <w:rPr>
          <w:spacing w:val="-8"/>
        </w:rPr>
        <w:t> </w:t>
      </w:r>
      <w:r>
        <w:rPr/>
        <w:t>Regulation,</w:t>
      </w:r>
      <w:r>
        <w:rPr>
          <w:spacing w:val="-7"/>
        </w:rPr>
        <w:t> </w:t>
      </w:r>
      <w:r>
        <w:rPr/>
        <w:t>must</w:t>
      </w:r>
      <w:r>
        <w:rPr>
          <w:spacing w:val="-7"/>
        </w:rPr>
        <w:t> </w:t>
      </w:r>
      <w:r>
        <w:rPr/>
        <w:t>not</w:t>
      </w:r>
      <w:r>
        <w:rPr>
          <w:spacing w:val="-7"/>
        </w:rPr>
        <w:t> </w:t>
      </w:r>
      <w:r>
        <w:rPr/>
        <w:t>be</w:t>
      </w:r>
      <w:r>
        <w:rPr>
          <w:spacing w:val="-7"/>
        </w:rPr>
        <w:t> </w:t>
      </w:r>
      <w:r>
        <w:rPr/>
        <w:t>diminished.</w:t>
      </w:r>
      <w:r>
        <w:rPr>
          <w:spacing w:val="-8"/>
        </w:rPr>
        <w:t> </w:t>
      </w:r>
      <w:r>
        <w:rPr/>
        <w:t>Furthermore,</w:t>
      </w:r>
      <w:r>
        <w:rPr>
          <w:spacing w:val="-7"/>
        </w:rPr>
        <w:t> </w:t>
      </w:r>
      <w:r>
        <w:rPr/>
        <w:t>the</w:t>
      </w:r>
      <w:r>
        <w:rPr>
          <w:spacing w:val="-7"/>
        </w:rPr>
        <w:t> </w:t>
      </w:r>
      <w:r>
        <w:rPr/>
        <w:t>EU</w:t>
      </w:r>
      <w:r>
        <w:rPr>
          <w:spacing w:val="-7"/>
        </w:rPr>
        <w:t> </w:t>
      </w:r>
      <w:r>
        <w:rPr/>
        <w:t>directives</w:t>
      </w:r>
      <w:r>
        <w:rPr>
          <w:spacing w:val="-8"/>
        </w:rPr>
        <w:t> </w:t>
      </w:r>
      <w:r>
        <w:rPr/>
        <w:t>and regulations discussed below should be considered as matters of good practice to avoid divergence in the realisation of the right to privacy on the island of Ireland.</w:t>
      </w:r>
    </w:p>
    <w:p>
      <w:pPr>
        <w:pStyle w:val="BodyText"/>
        <w:spacing w:line="232" w:lineRule="auto"/>
        <w:ind w:left="720" w:right="1087"/>
      </w:pPr>
      <w:r>
        <w:rPr/>
        <w:t>Northern</w:t>
      </w:r>
      <w:r>
        <w:rPr>
          <w:spacing w:val="-7"/>
        </w:rPr>
        <w:t> </w:t>
      </w:r>
      <w:r>
        <w:rPr/>
        <w:t>Ireland</w:t>
      </w:r>
      <w:r>
        <w:rPr>
          <w:spacing w:val="-7"/>
        </w:rPr>
        <w:t> </w:t>
      </w:r>
      <w:r>
        <w:rPr/>
        <w:t>authorities</w:t>
      </w:r>
      <w:r>
        <w:rPr>
          <w:spacing w:val="-7"/>
        </w:rPr>
        <w:t> </w:t>
      </w:r>
      <w:r>
        <w:rPr/>
        <w:t>may</w:t>
      </w:r>
      <w:r>
        <w:rPr>
          <w:spacing w:val="-6"/>
        </w:rPr>
        <w:t> </w:t>
      </w:r>
      <w:r>
        <w:rPr/>
        <w:t>wish</w:t>
      </w:r>
      <w:r>
        <w:rPr>
          <w:spacing w:val="-7"/>
        </w:rPr>
        <w:t> </w:t>
      </w:r>
      <w:r>
        <w:rPr/>
        <w:t>to</w:t>
      </w:r>
      <w:r>
        <w:rPr>
          <w:spacing w:val="-7"/>
        </w:rPr>
        <w:t> </w:t>
      </w:r>
      <w:r>
        <w:rPr/>
        <w:t>voluntarily</w:t>
      </w:r>
      <w:r>
        <w:rPr>
          <w:spacing w:val="-6"/>
        </w:rPr>
        <w:t> </w:t>
      </w:r>
      <w:r>
        <w:rPr/>
        <w:t>align</w:t>
      </w:r>
      <w:r>
        <w:rPr>
          <w:spacing w:val="-7"/>
        </w:rPr>
        <w:t> </w:t>
      </w:r>
      <w:r>
        <w:rPr/>
        <w:t>with</w:t>
      </w:r>
      <w:r>
        <w:rPr>
          <w:spacing w:val="-7"/>
        </w:rPr>
        <w:t> </w:t>
      </w:r>
      <w:r>
        <w:rPr/>
        <w:t>these</w:t>
      </w:r>
      <w:r>
        <w:rPr>
          <w:spacing w:val="-6"/>
        </w:rPr>
        <w:t> </w:t>
      </w:r>
      <w:r>
        <w:rPr/>
        <w:t>developments where they strengthen rights and reflect international human rights standards and best practice.</w:t>
      </w:r>
    </w:p>
    <w:p>
      <w:pPr>
        <w:pStyle w:val="BodyText"/>
        <w:rPr>
          <w:sz w:val="20"/>
        </w:rPr>
      </w:pPr>
    </w:p>
    <w:p>
      <w:pPr>
        <w:pStyle w:val="BodyText"/>
        <w:spacing w:before="99"/>
        <w:rPr>
          <w:sz w:val="20"/>
        </w:rPr>
      </w:pPr>
      <w:r>
        <w:rPr/>
        <mc:AlternateContent>
          <mc:Choice Requires="wps">
            <w:drawing>
              <wp:anchor distT="0" distB="0" distL="0" distR="0" allowOverlap="1" layoutInCell="1" locked="0" behindDoc="1" simplePos="0" relativeHeight="487733248">
                <wp:simplePos x="0" y="0"/>
                <wp:positionH relativeFrom="page">
                  <wp:posOffset>647999</wp:posOffset>
                </wp:positionH>
                <wp:positionV relativeFrom="paragraph">
                  <wp:posOffset>233233</wp:posOffset>
                </wp:positionV>
                <wp:extent cx="6012180" cy="1270"/>
                <wp:effectExtent l="0" t="0" r="0" b="0"/>
                <wp:wrapTopAndBottom/>
                <wp:docPr id="768" name="Graphic 768"/>
                <wp:cNvGraphicFramePr>
                  <a:graphicFrameLocks/>
                </wp:cNvGraphicFramePr>
                <a:graphic>
                  <a:graphicData uri="http://schemas.microsoft.com/office/word/2010/wordprocessingShape">
                    <wps:wsp>
                      <wps:cNvPr id="768" name="Graphic 76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8.36488pt;width:473.4pt;height:.1pt;mso-position-horizontal-relative:page;mso-position-vertical-relative:paragraph;z-index:-15583232;mso-wrap-distance-left:0;mso-wrap-distance-right:0" id="docshape626" coordorigin="1020,367" coordsize="9468,0" path="m1020,367l10488,367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139" w:hanging="567"/>
        <w:jc w:val="left"/>
        <w:rPr>
          <w:sz w:val="18"/>
        </w:rPr>
      </w:pPr>
      <w:r>
        <w:rPr>
          <w:sz w:val="18"/>
        </w:rPr>
        <w:t>Ronagh</w:t>
      </w:r>
      <w:r>
        <w:rPr>
          <w:spacing w:val="-4"/>
          <w:sz w:val="18"/>
        </w:rPr>
        <w:t> </w:t>
      </w:r>
      <w:r>
        <w:rPr>
          <w:sz w:val="18"/>
        </w:rPr>
        <w:t>McQuigg</w:t>
      </w:r>
      <w:r>
        <w:rPr>
          <w:spacing w:val="-4"/>
          <w:sz w:val="18"/>
        </w:rPr>
        <w:t> </w:t>
      </w:r>
      <w:hyperlink r:id="rId91">
        <w:r>
          <w:rPr>
            <w:color w:val="1D71B8"/>
            <w:sz w:val="18"/>
            <w:u w:val="single" w:color="1D71B8"/>
          </w:rPr>
          <w:t>‘The</w:t>
        </w:r>
        <w:r>
          <w:rPr>
            <w:color w:val="1D71B8"/>
            <w:spacing w:val="-3"/>
            <w:sz w:val="18"/>
            <w:u w:val="single" w:color="1D71B8"/>
          </w:rPr>
          <w:t> </w:t>
        </w:r>
        <w:r>
          <w:rPr>
            <w:color w:val="1D71B8"/>
            <w:sz w:val="18"/>
            <w:u w:val="single" w:color="1D71B8"/>
          </w:rPr>
          <w:t>New</w:t>
        </w:r>
        <w:r>
          <w:rPr>
            <w:color w:val="1D71B8"/>
            <w:spacing w:val="-4"/>
            <w:sz w:val="18"/>
            <w:u w:val="single" w:color="1D71B8"/>
          </w:rPr>
          <w:t> </w:t>
        </w:r>
        <w:r>
          <w:rPr>
            <w:color w:val="1D71B8"/>
            <w:sz w:val="18"/>
            <w:u w:val="single" w:color="1D71B8"/>
          </w:rPr>
          <w:t>EU</w:t>
        </w:r>
        <w:r>
          <w:rPr>
            <w:color w:val="1D71B8"/>
            <w:spacing w:val="-3"/>
            <w:sz w:val="18"/>
            <w:u w:val="single" w:color="1D71B8"/>
          </w:rPr>
          <w:t> </w:t>
        </w:r>
        <w:r>
          <w:rPr>
            <w:color w:val="1D71B8"/>
            <w:sz w:val="18"/>
            <w:u w:val="single" w:color="1D71B8"/>
          </w:rPr>
          <w:t>Directive</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Combating</w:t>
        </w:r>
        <w:r>
          <w:rPr>
            <w:color w:val="1D71B8"/>
            <w:spacing w:val="-3"/>
            <w:sz w:val="18"/>
            <w:u w:val="single" w:color="1D71B8"/>
          </w:rPr>
          <w:t> </w:t>
        </w:r>
        <w:r>
          <w:rPr>
            <w:color w:val="1D71B8"/>
            <w:sz w:val="18"/>
            <w:u w:val="single" w:color="1D71B8"/>
          </w:rPr>
          <w:t>Violence</w:t>
        </w:r>
        <w:r>
          <w:rPr>
            <w:color w:val="1D71B8"/>
            <w:spacing w:val="-4"/>
            <w:sz w:val="18"/>
            <w:u w:val="single" w:color="1D71B8"/>
          </w:rPr>
          <w:t> </w:t>
        </w:r>
        <w:r>
          <w:rPr>
            <w:color w:val="1D71B8"/>
            <w:sz w:val="18"/>
            <w:u w:val="single" w:color="1D71B8"/>
          </w:rPr>
          <w:t>Against</w:t>
        </w:r>
        <w:r>
          <w:rPr>
            <w:color w:val="1D71B8"/>
            <w:spacing w:val="-3"/>
            <w:sz w:val="18"/>
            <w:u w:val="single" w:color="1D71B8"/>
          </w:rPr>
          <w:t> </w:t>
        </w:r>
        <w:r>
          <w:rPr>
            <w:color w:val="1D71B8"/>
            <w:sz w:val="18"/>
            <w:u w:val="single" w:color="1D71B8"/>
          </w:rPr>
          <w:t>Women</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Domestic</w:t>
        </w:r>
        <w:r>
          <w:rPr>
            <w:color w:val="1D71B8"/>
            <w:spacing w:val="-3"/>
            <w:sz w:val="18"/>
            <w:u w:val="single" w:color="1D71B8"/>
          </w:rPr>
          <w:t> </w:t>
        </w:r>
        <w:r>
          <w:rPr>
            <w:color w:val="1D71B8"/>
            <w:sz w:val="18"/>
            <w:u w:val="single" w:color="1D71B8"/>
          </w:rPr>
          <w:t>Violence’</w:t>
        </w:r>
      </w:hyperlink>
      <w:r>
        <w:rPr>
          <w:color w:val="1D71B8"/>
          <w:spacing w:val="-5"/>
          <w:sz w:val="18"/>
          <w:u w:val="none"/>
        </w:rPr>
        <w:t> </w:t>
      </w:r>
      <w:r>
        <w:rPr>
          <w:sz w:val="18"/>
          <w:u w:val="none"/>
        </w:rPr>
        <w:t>QPOL</w:t>
      </w:r>
      <w:r>
        <w:rPr>
          <w:spacing w:val="-4"/>
          <w:sz w:val="18"/>
          <w:u w:val="none"/>
        </w:rPr>
        <w:t> </w:t>
      </w:r>
      <w:r>
        <w:rPr>
          <w:sz w:val="18"/>
          <w:u w:val="none"/>
        </w:rPr>
        <w:t>(2024)</w:t>
      </w:r>
      <w:r>
        <w:rPr>
          <w:spacing w:val="-4"/>
          <w:sz w:val="18"/>
          <w:u w:val="none"/>
        </w:rPr>
        <w:t> </w:t>
      </w:r>
      <w:r>
        <w:rPr>
          <w:sz w:val="18"/>
          <w:u w:val="none"/>
        </w:rPr>
        <w:t>Last Accessed on 3 July 2024.</w:t>
      </w:r>
    </w:p>
    <w:p>
      <w:pPr>
        <w:pStyle w:val="ListParagraph"/>
        <w:numPr>
          <w:ilvl w:val="0"/>
          <w:numId w:val="18"/>
        </w:numPr>
        <w:tabs>
          <w:tab w:pos="1287" w:val="left" w:leader="none"/>
        </w:tabs>
        <w:spacing w:line="240" w:lineRule="auto" w:before="1" w:after="0"/>
        <w:ind w:left="1287" w:right="1362" w:hanging="567"/>
        <w:jc w:val="left"/>
        <w:rPr>
          <w:sz w:val="18"/>
        </w:rPr>
      </w:pPr>
      <w:r>
        <w:rPr>
          <w:sz w:val="18"/>
        </w:rPr>
        <w:t>Ceren</w:t>
      </w:r>
      <w:r>
        <w:rPr>
          <w:spacing w:val="-6"/>
          <w:sz w:val="18"/>
        </w:rPr>
        <w:t> </w:t>
      </w:r>
      <w:r>
        <w:rPr>
          <w:sz w:val="18"/>
        </w:rPr>
        <w:t>Kasım</w:t>
      </w:r>
      <w:r>
        <w:rPr>
          <w:spacing w:val="-5"/>
          <w:sz w:val="18"/>
        </w:rPr>
        <w:t> </w:t>
      </w:r>
      <w:hyperlink r:id="rId133">
        <w:r>
          <w:rPr>
            <w:color w:val="1D71B8"/>
            <w:sz w:val="18"/>
            <w:u w:val="single" w:color="1D71B8"/>
          </w:rPr>
          <w:t>‘Advancing</w:t>
        </w:r>
        <w:r>
          <w:rPr>
            <w:color w:val="1D71B8"/>
            <w:spacing w:val="-5"/>
            <w:sz w:val="18"/>
            <w:u w:val="single" w:color="1D71B8"/>
          </w:rPr>
          <w:t> </w:t>
        </w:r>
        <w:r>
          <w:rPr>
            <w:color w:val="1D71B8"/>
            <w:sz w:val="18"/>
            <w:u w:val="single" w:color="1D71B8"/>
          </w:rPr>
          <w:t>Gender</w:t>
        </w:r>
        <w:r>
          <w:rPr>
            <w:color w:val="1D71B8"/>
            <w:spacing w:val="-5"/>
            <w:sz w:val="18"/>
            <w:u w:val="single" w:color="1D71B8"/>
          </w:rPr>
          <w:t> </w:t>
        </w:r>
        <w:r>
          <w:rPr>
            <w:color w:val="1D71B8"/>
            <w:sz w:val="18"/>
            <w:u w:val="single" w:color="1D71B8"/>
          </w:rPr>
          <w:t>Equality:</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EU`s</w:t>
        </w:r>
        <w:r>
          <w:rPr>
            <w:color w:val="1D71B8"/>
            <w:spacing w:val="-6"/>
            <w:sz w:val="18"/>
            <w:u w:val="single" w:color="1D71B8"/>
          </w:rPr>
          <w:t> </w:t>
        </w:r>
        <w:r>
          <w:rPr>
            <w:color w:val="1D71B8"/>
            <w:sz w:val="18"/>
            <w:u w:val="single" w:color="1D71B8"/>
          </w:rPr>
          <w:t>Landmark</w:t>
        </w:r>
        <w:r>
          <w:rPr>
            <w:color w:val="1D71B8"/>
            <w:spacing w:val="-5"/>
            <w:sz w:val="18"/>
            <w:u w:val="single" w:color="1D71B8"/>
          </w:rPr>
          <w:t> </w:t>
        </w:r>
        <w:r>
          <w:rPr>
            <w:color w:val="1D71B8"/>
            <w:sz w:val="18"/>
            <w:u w:val="single" w:color="1D71B8"/>
          </w:rPr>
          <w:t>Directive</w:t>
        </w:r>
        <w:r>
          <w:rPr>
            <w:color w:val="1D71B8"/>
            <w:spacing w:val="-5"/>
            <w:sz w:val="18"/>
            <w:u w:val="single" w:color="1D71B8"/>
          </w:rPr>
          <w:t> </w:t>
        </w:r>
        <w:r>
          <w:rPr>
            <w:color w:val="1D71B8"/>
            <w:sz w:val="18"/>
            <w:u w:val="single" w:color="1D71B8"/>
          </w:rPr>
          <w:t>2024/1385</w:t>
        </w:r>
        <w:r>
          <w:rPr>
            <w:color w:val="1D71B8"/>
            <w:spacing w:val="-5"/>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Violence</w:t>
        </w:r>
        <w:r>
          <w:rPr>
            <w:color w:val="1D71B8"/>
            <w:spacing w:val="-5"/>
            <w:sz w:val="18"/>
            <w:u w:val="single" w:color="1D71B8"/>
          </w:rPr>
          <w:t> </w:t>
        </w:r>
        <w:r>
          <w:rPr>
            <w:color w:val="1D71B8"/>
            <w:sz w:val="18"/>
            <w:u w:val="single" w:color="1D71B8"/>
          </w:rPr>
          <w:t>Against</w:t>
        </w:r>
        <w:r>
          <w:rPr>
            <w:color w:val="1D71B8"/>
            <w:spacing w:val="-5"/>
            <w:sz w:val="18"/>
            <w:u w:val="single" w:color="1D71B8"/>
          </w:rPr>
          <w:t> </w:t>
        </w:r>
        <w:r>
          <w:rPr>
            <w:color w:val="1D71B8"/>
            <w:sz w:val="18"/>
            <w:u w:val="single" w:color="1D71B8"/>
          </w:rPr>
          <w:t>Women’</w:t>
        </w:r>
      </w:hyperlink>
      <w:r>
        <w:rPr>
          <w:color w:val="1D71B8"/>
          <w:spacing w:val="-9"/>
          <w:sz w:val="18"/>
          <w:u w:val="none"/>
        </w:rPr>
        <w:t> </w:t>
      </w:r>
      <w:r>
        <w:rPr>
          <w:sz w:val="18"/>
          <w:u w:val="none"/>
        </w:rPr>
        <w:t>EU</w:t>
      </w:r>
      <w:r>
        <w:rPr>
          <w:spacing w:val="-5"/>
          <w:sz w:val="18"/>
          <w:u w:val="none"/>
        </w:rPr>
        <w:t> </w:t>
      </w:r>
      <w:r>
        <w:rPr>
          <w:sz w:val="18"/>
          <w:u w:val="none"/>
        </w:rPr>
        <w:t>Law Analysis (2024) Last Accessed 13 July 2024.</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76096">
                <wp:simplePos x="0" y="0"/>
                <wp:positionH relativeFrom="page">
                  <wp:posOffset>-2</wp:posOffset>
                </wp:positionH>
                <wp:positionV relativeFrom="page">
                  <wp:posOffset>0</wp:posOffset>
                </wp:positionV>
                <wp:extent cx="7560309" cy="1257935"/>
                <wp:effectExtent l="0" t="0" r="0" b="0"/>
                <wp:wrapNone/>
                <wp:docPr id="769" name="Group 769"/>
                <wp:cNvGraphicFramePr>
                  <a:graphicFrameLocks/>
                </wp:cNvGraphicFramePr>
                <a:graphic>
                  <a:graphicData uri="http://schemas.microsoft.com/office/word/2010/wordprocessingGroup">
                    <wpg:wgp>
                      <wpg:cNvPr id="769" name="Group 769"/>
                      <wpg:cNvGrpSpPr/>
                      <wpg:grpSpPr>
                        <a:xfrm>
                          <a:off x="0" y="0"/>
                          <a:ext cx="7560309" cy="1257935"/>
                          <a:chExt cx="7560309" cy="1257935"/>
                        </a:xfrm>
                      </wpg:grpSpPr>
                      <wps:wsp>
                        <wps:cNvPr id="770" name="Graphic 77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771" name="Graphic 77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772" name="Textbox 772"/>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773" name="Textbox 773"/>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89</w:t>
                              </w:r>
                            </w:p>
                          </w:txbxContent>
                        </wps:txbx>
                        <wps:bodyPr wrap="square" lIns="0" tIns="0" rIns="0" bIns="0" rtlCol="0">
                          <a:noAutofit/>
                        </wps:bodyPr>
                      </wps:wsp>
                      <wps:wsp>
                        <wps:cNvPr id="774" name="Textbox 774"/>
                        <wps:cNvSpPr txBox="1"/>
                        <wps:spPr>
                          <a:xfrm>
                            <a:off x="900001" y="1080003"/>
                            <a:ext cx="3584575" cy="177800"/>
                          </a:xfrm>
                          <a:prstGeom prst="rect">
                            <a:avLst/>
                          </a:prstGeom>
                        </wps:spPr>
                        <wps:txbx>
                          <w:txbxContent>
                            <w:p>
                              <w:pPr>
                                <w:numPr>
                                  <w:ilvl w:val="3"/>
                                  <w:numId w:val="34"/>
                                </w:numPr>
                                <w:tabs>
                                  <w:tab w:pos="843" w:val="left" w:leader="none"/>
                                </w:tabs>
                                <w:spacing w:line="280" w:lineRule="exact" w:before="0"/>
                                <w:ind w:left="843" w:right="0" w:hanging="843"/>
                                <w:jc w:val="left"/>
                                <w:rPr>
                                  <w:sz w:val="28"/>
                                </w:rPr>
                              </w:pPr>
                              <w:r>
                                <w:rPr>
                                  <w:color w:val="004A93"/>
                                  <w:sz w:val="28"/>
                                </w:rPr>
                                <w:t>Recently</w:t>
                              </w:r>
                              <w:r>
                                <w:rPr>
                                  <w:color w:val="004A93"/>
                                  <w:spacing w:val="-7"/>
                                  <w:sz w:val="28"/>
                                </w:rPr>
                                <w:t> </w:t>
                              </w:r>
                              <w:r>
                                <w:rPr>
                                  <w:color w:val="004A93"/>
                                  <w:sz w:val="28"/>
                                </w:rPr>
                                <w:t>adopted</w:t>
                              </w:r>
                              <w:r>
                                <w:rPr>
                                  <w:color w:val="004A93"/>
                                  <w:spacing w:val="-8"/>
                                  <w:sz w:val="28"/>
                                </w:rPr>
                                <w:t> </w:t>
                              </w:r>
                              <w:r>
                                <w:rPr>
                                  <w:color w:val="004A93"/>
                                  <w:sz w:val="28"/>
                                </w:rPr>
                                <w:t>EU</w:t>
                              </w:r>
                              <w:r>
                                <w:rPr>
                                  <w:color w:val="004A93"/>
                                  <w:spacing w:val="-7"/>
                                  <w:sz w:val="28"/>
                                </w:rPr>
                                <w:t> </w:t>
                              </w:r>
                              <w:r>
                                <w:rPr>
                                  <w:color w:val="004A93"/>
                                  <w:sz w:val="28"/>
                                </w:rPr>
                                <w:t>Directives</w:t>
                              </w:r>
                              <w:r>
                                <w:rPr>
                                  <w:color w:val="004A93"/>
                                  <w:spacing w:val="-8"/>
                                  <w:sz w:val="28"/>
                                </w:rPr>
                                <w:t> </w:t>
                              </w:r>
                              <w:r>
                                <w:rPr>
                                  <w:color w:val="004A93"/>
                                  <w:sz w:val="28"/>
                                </w:rPr>
                                <w:t>on</w:t>
                              </w:r>
                              <w:r>
                                <w:rPr>
                                  <w:color w:val="004A93"/>
                                  <w:spacing w:val="-8"/>
                                  <w:sz w:val="28"/>
                                </w:rPr>
                                <w:t> </w:t>
                              </w:r>
                              <w:r>
                                <w:rPr>
                                  <w:color w:val="004A93"/>
                                  <w:spacing w:val="-2"/>
                                  <w:sz w:val="28"/>
                                </w:rPr>
                                <w:t>privacy</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876096" id="docshapegroup627" coordorigin="0,0" coordsize="11906,1981">
                <v:shape style="position:absolute;left:0;top:0;width:11906;height:1819" id="docshape628"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629"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630" filled="false" stroked="false">
                  <v:textbox inset="0,0,0,0">
                    <w:txbxContent>
                      <w:p>
                        <w:pPr>
                          <w:spacing w:line="280" w:lineRule="exact" w:before="0"/>
                          <w:ind w:left="0" w:right="0" w:firstLine="0"/>
                          <w:jc w:val="left"/>
                          <w:rPr>
                            <w:b/>
                            <w:sz w:val="28"/>
                          </w:rPr>
                        </w:pPr>
                        <w:r>
                          <w:rPr>
                            <w:b/>
                            <w:color w:val="FFFFFF"/>
                            <w:spacing w:val="-5"/>
                            <w:sz w:val="28"/>
                          </w:rPr>
                          <w:t>89</w:t>
                        </w:r>
                      </w:p>
                    </w:txbxContent>
                  </v:textbox>
                  <w10:wrap type="none"/>
                </v:shape>
                <v:shape style="position:absolute;left:1417;top:1700;width:5645;height:280" type="#_x0000_t202" id="docshape631" filled="false" stroked="false">
                  <v:textbox inset="0,0,0,0">
                    <w:txbxContent>
                      <w:p>
                        <w:pPr>
                          <w:numPr>
                            <w:ilvl w:val="3"/>
                            <w:numId w:val="34"/>
                          </w:numPr>
                          <w:tabs>
                            <w:tab w:pos="843" w:val="left" w:leader="none"/>
                          </w:tabs>
                          <w:spacing w:line="280" w:lineRule="exact" w:before="0"/>
                          <w:ind w:left="843" w:right="0" w:hanging="843"/>
                          <w:jc w:val="left"/>
                          <w:rPr>
                            <w:sz w:val="28"/>
                          </w:rPr>
                        </w:pPr>
                        <w:r>
                          <w:rPr>
                            <w:color w:val="004A93"/>
                            <w:sz w:val="28"/>
                          </w:rPr>
                          <w:t>Recently</w:t>
                        </w:r>
                        <w:r>
                          <w:rPr>
                            <w:color w:val="004A93"/>
                            <w:spacing w:val="-7"/>
                            <w:sz w:val="28"/>
                          </w:rPr>
                          <w:t> </w:t>
                        </w:r>
                        <w:r>
                          <w:rPr>
                            <w:color w:val="004A93"/>
                            <w:sz w:val="28"/>
                          </w:rPr>
                          <w:t>adopted</w:t>
                        </w:r>
                        <w:r>
                          <w:rPr>
                            <w:color w:val="004A93"/>
                            <w:spacing w:val="-8"/>
                            <w:sz w:val="28"/>
                          </w:rPr>
                          <w:t> </w:t>
                        </w:r>
                        <w:r>
                          <w:rPr>
                            <w:color w:val="004A93"/>
                            <w:sz w:val="28"/>
                          </w:rPr>
                          <w:t>EU</w:t>
                        </w:r>
                        <w:r>
                          <w:rPr>
                            <w:color w:val="004A93"/>
                            <w:spacing w:val="-7"/>
                            <w:sz w:val="28"/>
                          </w:rPr>
                          <w:t> </w:t>
                        </w:r>
                        <w:r>
                          <w:rPr>
                            <w:color w:val="004A93"/>
                            <w:sz w:val="28"/>
                          </w:rPr>
                          <w:t>Directives</w:t>
                        </w:r>
                        <w:r>
                          <w:rPr>
                            <w:color w:val="004A93"/>
                            <w:spacing w:val="-8"/>
                            <w:sz w:val="28"/>
                          </w:rPr>
                          <w:t> </w:t>
                        </w:r>
                        <w:r>
                          <w:rPr>
                            <w:color w:val="004A93"/>
                            <w:sz w:val="28"/>
                          </w:rPr>
                          <w:t>on</w:t>
                        </w:r>
                        <w:r>
                          <w:rPr>
                            <w:color w:val="004A93"/>
                            <w:spacing w:val="-8"/>
                            <w:sz w:val="28"/>
                          </w:rPr>
                          <w:t> </w:t>
                        </w:r>
                        <w:r>
                          <w:rPr>
                            <w:color w:val="004A93"/>
                            <w:spacing w:val="-2"/>
                            <w:sz w:val="28"/>
                          </w:rPr>
                          <w:t>privacy</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right="1404"/>
      </w:pPr>
      <w:bookmarkStart w:name="4.3.2.1 Recently adopted EU Directives o" w:id="135"/>
      <w:bookmarkEnd w:id="135"/>
      <w:r>
        <w:rPr/>
      </w:r>
      <w:bookmarkStart w:name="_bookmark56" w:id="136"/>
      <w:bookmarkEnd w:id="136"/>
      <w:r>
        <w:rPr/>
      </w:r>
      <w:r>
        <w:rPr/>
        <w:t>One</w:t>
      </w:r>
      <w:r>
        <w:rPr>
          <w:spacing w:val="-4"/>
        </w:rPr>
        <w:t> </w:t>
      </w:r>
      <w:r>
        <w:rPr/>
        <w:t>of</w:t>
      </w:r>
      <w:r>
        <w:rPr>
          <w:spacing w:val="-5"/>
        </w:rPr>
        <w:t> </w:t>
      </w:r>
      <w:r>
        <w:rPr/>
        <w:t>the</w:t>
      </w:r>
      <w:r>
        <w:rPr>
          <w:spacing w:val="-4"/>
        </w:rPr>
        <w:t> </w:t>
      </w:r>
      <w:r>
        <w:rPr/>
        <w:t>3</w:t>
      </w:r>
      <w:r>
        <w:rPr>
          <w:spacing w:val="-4"/>
        </w:rPr>
        <w:t> </w:t>
      </w:r>
      <w:r>
        <w:rPr/>
        <w:t>EU</w:t>
      </w:r>
      <w:r>
        <w:rPr>
          <w:spacing w:val="-4"/>
        </w:rPr>
        <w:t> </w:t>
      </w:r>
      <w:r>
        <w:rPr/>
        <w:t>directives</w:t>
      </w:r>
      <w:r>
        <w:rPr>
          <w:spacing w:val="-5"/>
        </w:rPr>
        <w:t> </w:t>
      </w:r>
      <w:r>
        <w:rPr/>
        <w:t>adopted</w:t>
      </w:r>
      <w:r>
        <w:rPr>
          <w:spacing w:val="-5"/>
        </w:rPr>
        <w:t> </w:t>
      </w:r>
      <w:r>
        <w:rPr/>
        <w:t>between</w:t>
      </w:r>
      <w:r>
        <w:rPr>
          <w:spacing w:val="-5"/>
        </w:rPr>
        <w:t> </w:t>
      </w:r>
      <w:r>
        <w:rPr/>
        <w:t>1</w:t>
      </w:r>
      <w:r>
        <w:rPr>
          <w:spacing w:val="-4"/>
        </w:rPr>
        <w:t> </w:t>
      </w:r>
      <w:r>
        <w:rPr/>
        <w:t>January</w:t>
      </w:r>
      <w:r>
        <w:rPr>
          <w:spacing w:val="-4"/>
        </w:rPr>
        <w:t> </w:t>
      </w:r>
      <w:r>
        <w:rPr/>
        <w:t>2022</w:t>
      </w:r>
      <w:r>
        <w:rPr>
          <w:spacing w:val="-4"/>
        </w:rPr>
        <w:t> </w:t>
      </w:r>
      <w:r>
        <w:rPr/>
        <w:t>and</w:t>
      </w:r>
      <w:r>
        <w:rPr>
          <w:spacing w:val="-5"/>
        </w:rPr>
        <w:t> </w:t>
      </w:r>
      <w:r>
        <w:rPr/>
        <w:t>31</w:t>
      </w:r>
      <w:r>
        <w:rPr>
          <w:spacing w:val="-4"/>
        </w:rPr>
        <w:t> </w:t>
      </w:r>
      <w:r>
        <w:rPr/>
        <w:t>August 2023 that relate to the right to privacy (and thus, fall under the scope of</w:t>
      </w:r>
    </w:p>
    <w:p>
      <w:pPr>
        <w:pStyle w:val="BodyText"/>
        <w:spacing w:line="232" w:lineRule="auto"/>
        <w:ind w:left="1117" w:right="738"/>
      </w:pPr>
      <w:r>
        <w:rPr/>
        <w:t>the</w:t>
      </w:r>
      <w:r>
        <w:rPr>
          <w:spacing w:val="-14"/>
        </w:rPr>
        <w:t> </w:t>
      </w:r>
      <w:r>
        <w:rPr/>
        <w:t>1998</w:t>
      </w:r>
      <w:r>
        <w:rPr>
          <w:spacing w:val="-14"/>
        </w:rPr>
        <w:t> </w:t>
      </w:r>
      <w:r>
        <w:rPr/>
        <w:t>Agreement)</w:t>
      </w:r>
      <w:r>
        <w:rPr>
          <w:spacing w:val="-14"/>
        </w:rPr>
        <w:t> </w:t>
      </w:r>
      <w:r>
        <w:rPr/>
        <w:t>sets</w:t>
      </w:r>
      <w:r>
        <w:rPr>
          <w:spacing w:val="-14"/>
        </w:rPr>
        <w:t> </w:t>
      </w:r>
      <w:r>
        <w:rPr/>
        <w:t>requirements</w:t>
      </w:r>
      <w:r>
        <w:rPr>
          <w:spacing w:val="-14"/>
        </w:rPr>
        <w:t> </w:t>
      </w:r>
      <w:r>
        <w:rPr/>
        <w:t>of</w:t>
      </w:r>
      <w:r>
        <w:rPr>
          <w:spacing w:val="-14"/>
        </w:rPr>
        <w:t> </w:t>
      </w:r>
      <w:r>
        <w:rPr/>
        <w:t>rather</w:t>
      </w:r>
      <w:r>
        <w:rPr>
          <w:spacing w:val="-14"/>
        </w:rPr>
        <w:t> </w:t>
      </w:r>
      <w:r>
        <w:rPr/>
        <w:t>a</w:t>
      </w:r>
      <w:r>
        <w:rPr>
          <w:spacing w:val="-14"/>
        </w:rPr>
        <w:t> </w:t>
      </w:r>
      <w:r>
        <w:rPr/>
        <w:t>technical</w:t>
      </w:r>
      <w:r>
        <w:rPr>
          <w:spacing w:val="-14"/>
        </w:rPr>
        <w:t> </w:t>
      </w:r>
      <w:r>
        <w:rPr/>
        <w:t>nature.</w:t>
      </w:r>
      <w:r>
        <w:rPr>
          <w:vertAlign w:val="superscript"/>
        </w:rPr>
        <w:t>463</w:t>
      </w:r>
      <w:r>
        <w:rPr>
          <w:spacing w:val="36"/>
          <w:vertAlign w:val="baseline"/>
        </w:rPr>
        <w:t> </w:t>
      </w:r>
      <w:r>
        <w:rPr>
          <w:vertAlign w:val="baseline"/>
        </w:rPr>
        <w:t>However, the</w:t>
      </w:r>
      <w:r>
        <w:rPr>
          <w:spacing w:val="-9"/>
          <w:vertAlign w:val="baseline"/>
        </w:rPr>
        <w:t> </w:t>
      </w:r>
      <w:r>
        <w:rPr>
          <w:vertAlign w:val="baseline"/>
        </w:rPr>
        <w:t>other</w:t>
      </w:r>
      <w:r>
        <w:rPr>
          <w:spacing w:val="-9"/>
          <w:vertAlign w:val="baseline"/>
        </w:rPr>
        <w:t> </w:t>
      </w:r>
      <w:r>
        <w:rPr>
          <w:vertAlign w:val="baseline"/>
        </w:rPr>
        <w:t>two</w:t>
      </w:r>
      <w:r>
        <w:rPr>
          <w:spacing w:val="-9"/>
          <w:vertAlign w:val="baseline"/>
        </w:rPr>
        <w:t> </w:t>
      </w:r>
      <w:r>
        <w:rPr>
          <w:vertAlign w:val="baseline"/>
        </w:rPr>
        <w:t>(see</w:t>
      </w:r>
      <w:r>
        <w:rPr>
          <w:spacing w:val="-9"/>
          <w:vertAlign w:val="baseline"/>
        </w:rPr>
        <w:t> </w:t>
      </w:r>
      <w:r>
        <w:rPr>
          <w:vertAlign w:val="baseline"/>
        </w:rPr>
        <w:t>below)</w:t>
      </w:r>
      <w:r>
        <w:rPr>
          <w:spacing w:val="-9"/>
          <w:vertAlign w:val="baseline"/>
        </w:rPr>
        <w:t> </w:t>
      </w:r>
      <w:r>
        <w:rPr>
          <w:vertAlign w:val="baseline"/>
        </w:rPr>
        <w:t>set</w:t>
      </w:r>
      <w:r>
        <w:rPr>
          <w:spacing w:val="-9"/>
          <w:vertAlign w:val="baseline"/>
        </w:rPr>
        <w:t> </w:t>
      </w:r>
      <w:r>
        <w:rPr>
          <w:vertAlign w:val="baseline"/>
        </w:rPr>
        <w:t>more</w:t>
      </w:r>
      <w:r>
        <w:rPr>
          <w:spacing w:val="-9"/>
          <w:vertAlign w:val="baseline"/>
        </w:rPr>
        <w:t> </w:t>
      </w:r>
      <w:r>
        <w:rPr>
          <w:vertAlign w:val="baseline"/>
        </w:rPr>
        <w:t>substantial</w:t>
      </w:r>
      <w:r>
        <w:rPr>
          <w:spacing w:val="-9"/>
          <w:vertAlign w:val="baseline"/>
        </w:rPr>
        <w:t> </w:t>
      </w:r>
      <w:r>
        <w:rPr>
          <w:vertAlign w:val="baseline"/>
        </w:rPr>
        <w:t>requirements</w:t>
      </w:r>
      <w:r>
        <w:rPr>
          <w:spacing w:val="-9"/>
          <w:vertAlign w:val="baseline"/>
        </w:rPr>
        <w:t> </w:t>
      </w:r>
      <w:r>
        <w:rPr>
          <w:vertAlign w:val="baseline"/>
        </w:rPr>
        <w:t>worth</w:t>
      </w:r>
      <w:r>
        <w:rPr>
          <w:spacing w:val="-9"/>
          <w:vertAlign w:val="baseline"/>
        </w:rPr>
        <w:t> </w:t>
      </w:r>
      <w:r>
        <w:rPr>
          <w:vertAlign w:val="baseline"/>
        </w:rPr>
        <w:t>noting.</w:t>
      </w:r>
    </w:p>
    <w:p>
      <w:pPr>
        <w:pStyle w:val="ListParagraph"/>
        <w:numPr>
          <w:ilvl w:val="0"/>
          <w:numId w:val="35"/>
        </w:numPr>
        <w:tabs>
          <w:tab w:pos="1457" w:val="left" w:leader="none"/>
        </w:tabs>
        <w:spacing w:line="232" w:lineRule="auto" w:before="264" w:after="0"/>
        <w:ind w:left="1457" w:right="936" w:hanging="341"/>
        <w:jc w:val="left"/>
        <w:rPr>
          <w:sz w:val="28"/>
        </w:rPr>
      </w:pPr>
      <w:r>
        <w:rPr>
          <w:sz w:val="28"/>
        </w:rPr>
        <w:t>EU Directive 2023/977 on the exchange of information between the law enforcement authorities of Member States (which explicitly mentions that Ireland is taking part in this Directive). In the context of transnational criminal activities,</w:t>
      </w:r>
      <w:r>
        <w:rPr>
          <w:spacing w:val="-7"/>
          <w:sz w:val="28"/>
        </w:rPr>
        <w:t> </w:t>
      </w:r>
      <w:r>
        <w:rPr>
          <w:sz w:val="28"/>
        </w:rPr>
        <w:t>Member</w:t>
      </w:r>
      <w:r>
        <w:rPr>
          <w:spacing w:val="-7"/>
          <w:sz w:val="28"/>
        </w:rPr>
        <w:t> </w:t>
      </w:r>
      <w:r>
        <w:rPr>
          <w:sz w:val="28"/>
        </w:rPr>
        <w:t>States</w:t>
      </w:r>
      <w:r>
        <w:rPr>
          <w:spacing w:val="-8"/>
          <w:sz w:val="28"/>
        </w:rPr>
        <w:t> </w:t>
      </w:r>
      <w:r>
        <w:rPr>
          <w:sz w:val="28"/>
        </w:rPr>
        <w:t>must</w:t>
      </w:r>
      <w:r>
        <w:rPr>
          <w:spacing w:val="-7"/>
          <w:sz w:val="28"/>
        </w:rPr>
        <w:t> </w:t>
      </w:r>
      <w:r>
        <w:rPr>
          <w:sz w:val="28"/>
        </w:rPr>
        <w:t>exercise</w:t>
      </w:r>
      <w:r>
        <w:rPr>
          <w:spacing w:val="-7"/>
          <w:sz w:val="28"/>
        </w:rPr>
        <w:t> </w:t>
      </w:r>
      <w:r>
        <w:rPr>
          <w:sz w:val="28"/>
        </w:rPr>
        <w:t>due</w:t>
      </w:r>
      <w:r>
        <w:rPr>
          <w:spacing w:val="-7"/>
          <w:sz w:val="28"/>
        </w:rPr>
        <w:t> </w:t>
      </w:r>
      <w:r>
        <w:rPr>
          <w:sz w:val="28"/>
        </w:rPr>
        <w:t>diligence</w:t>
      </w:r>
      <w:r>
        <w:rPr>
          <w:spacing w:val="-7"/>
          <w:sz w:val="28"/>
        </w:rPr>
        <w:t> </w:t>
      </w:r>
      <w:r>
        <w:rPr>
          <w:sz w:val="28"/>
        </w:rPr>
        <w:t>in</w:t>
      </w:r>
      <w:r>
        <w:rPr>
          <w:spacing w:val="-8"/>
          <w:sz w:val="28"/>
        </w:rPr>
        <w:t> </w:t>
      </w:r>
      <w:r>
        <w:rPr>
          <w:sz w:val="28"/>
        </w:rPr>
        <w:t>assessing</w:t>
      </w:r>
      <w:r>
        <w:rPr>
          <w:spacing w:val="-7"/>
          <w:sz w:val="28"/>
        </w:rPr>
        <w:t> </w:t>
      </w:r>
      <w:r>
        <w:rPr>
          <w:sz w:val="28"/>
        </w:rPr>
        <w:t>whether</w:t>
      </w:r>
      <w:r>
        <w:rPr>
          <w:spacing w:val="-7"/>
          <w:sz w:val="28"/>
        </w:rPr>
        <w:t> </w:t>
      </w:r>
      <w:r>
        <w:rPr>
          <w:sz w:val="28"/>
        </w:rPr>
        <w:t>the request</w:t>
      </w:r>
      <w:r>
        <w:rPr>
          <w:spacing w:val="-5"/>
          <w:sz w:val="28"/>
        </w:rPr>
        <w:t> </w:t>
      </w:r>
      <w:r>
        <w:rPr>
          <w:sz w:val="28"/>
        </w:rPr>
        <w:t>for</w:t>
      </w:r>
      <w:r>
        <w:rPr>
          <w:spacing w:val="-5"/>
          <w:sz w:val="28"/>
        </w:rPr>
        <w:t> </w:t>
      </w:r>
      <w:r>
        <w:rPr>
          <w:sz w:val="28"/>
        </w:rPr>
        <w:t>information</w:t>
      </w:r>
      <w:r>
        <w:rPr>
          <w:spacing w:val="-6"/>
          <w:sz w:val="28"/>
        </w:rPr>
        <w:t> </w:t>
      </w:r>
      <w:r>
        <w:rPr>
          <w:sz w:val="28"/>
        </w:rPr>
        <w:t>submitted</w:t>
      </w:r>
      <w:r>
        <w:rPr>
          <w:spacing w:val="-6"/>
          <w:sz w:val="28"/>
        </w:rPr>
        <w:t> </w:t>
      </w:r>
      <w:r>
        <w:rPr>
          <w:sz w:val="28"/>
        </w:rPr>
        <w:t>to</w:t>
      </w:r>
      <w:r>
        <w:rPr>
          <w:spacing w:val="-6"/>
          <w:sz w:val="28"/>
        </w:rPr>
        <w:t> </w:t>
      </w:r>
      <w:r>
        <w:rPr>
          <w:sz w:val="28"/>
        </w:rPr>
        <w:t>their</w:t>
      </w:r>
      <w:r>
        <w:rPr>
          <w:spacing w:val="-5"/>
          <w:sz w:val="28"/>
        </w:rPr>
        <w:t> </w:t>
      </w:r>
      <w:r>
        <w:rPr>
          <w:sz w:val="28"/>
        </w:rPr>
        <w:t>Single</w:t>
      </w:r>
      <w:r>
        <w:rPr>
          <w:spacing w:val="-5"/>
          <w:sz w:val="28"/>
        </w:rPr>
        <w:t> </w:t>
      </w:r>
      <w:r>
        <w:rPr>
          <w:sz w:val="28"/>
        </w:rPr>
        <w:t>Point</w:t>
      </w:r>
      <w:r>
        <w:rPr>
          <w:spacing w:val="-5"/>
          <w:sz w:val="28"/>
        </w:rPr>
        <w:t> </w:t>
      </w:r>
      <w:r>
        <w:rPr>
          <w:sz w:val="28"/>
        </w:rPr>
        <w:t>of</w:t>
      </w:r>
      <w:r>
        <w:rPr>
          <w:spacing w:val="-6"/>
          <w:sz w:val="28"/>
        </w:rPr>
        <w:t> </w:t>
      </w:r>
      <w:r>
        <w:rPr>
          <w:sz w:val="28"/>
        </w:rPr>
        <w:t>Contact</w:t>
      </w:r>
      <w:r>
        <w:rPr>
          <w:spacing w:val="-5"/>
          <w:sz w:val="28"/>
        </w:rPr>
        <w:t> </w:t>
      </w:r>
      <w:r>
        <w:rPr>
          <w:sz w:val="28"/>
        </w:rPr>
        <w:t>represents</w:t>
      </w:r>
      <w:r>
        <w:rPr>
          <w:spacing w:val="-6"/>
          <w:sz w:val="28"/>
        </w:rPr>
        <w:t> </w:t>
      </w:r>
      <w:r>
        <w:rPr>
          <w:sz w:val="28"/>
        </w:rPr>
        <w:t>a manifest breach of fundamental rights. States must bring into force measures necessary to comply with this requirement by 12 December 2024.</w:t>
      </w:r>
      <w:r>
        <w:rPr>
          <w:sz w:val="28"/>
          <w:vertAlign w:val="superscript"/>
        </w:rPr>
        <w:t>464</w:t>
      </w:r>
    </w:p>
    <w:p>
      <w:pPr>
        <w:pStyle w:val="ListParagraph"/>
        <w:numPr>
          <w:ilvl w:val="0"/>
          <w:numId w:val="35"/>
        </w:numPr>
        <w:tabs>
          <w:tab w:pos="1457" w:val="left" w:leader="none"/>
        </w:tabs>
        <w:spacing w:line="232" w:lineRule="auto" w:before="146" w:after="0"/>
        <w:ind w:left="1457" w:right="806" w:hanging="341"/>
        <w:jc w:val="left"/>
        <w:rPr>
          <w:sz w:val="28"/>
        </w:rPr>
      </w:pPr>
      <w:r>
        <w:rPr>
          <w:sz w:val="28"/>
        </w:rPr>
        <w:t>EU Directive 2022/211 on the alignment with Union rules on the protection of personal data: Member States must process personal data used for criminal or related</w:t>
      </w:r>
      <w:r>
        <w:rPr>
          <w:spacing w:val="-10"/>
          <w:sz w:val="28"/>
        </w:rPr>
        <w:t> </w:t>
      </w:r>
      <w:r>
        <w:rPr>
          <w:sz w:val="28"/>
        </w:rPr>
        <w:t>administrative</w:t>
      </w:r>
      <w:r>
        <w:rPr>
          <w:spacing w:val="-9"/>
          <w:sz w:val="28"/>
        </w:rPr>
        <w:t> </w:t>
      </w:r>
      <w:r>
        <w:rPr>
          <w:sz w:val="28"/>
        </w:rPr>
        <w:t>or</w:t>
      </w:r>
      <w:r>
        <w:rPr>
          <w:spacing w:val="-9"/>
          <w:sz w:val="28"/>
        </w:rPr>
        <w:t> </w:t>
      </w:r>
      <w:r>
        <w:rPr>
          <w:sz w:val="28"/>
        </w:rPr>
        <w:t>civil</w:t>
      </w:r>
      <w:r>
        <w:rPr>
          <w:spacing w:val="-10"/>
          <w:sz w:val="28"/>
        </w:rPr>
        <w:t> </w:t>
      </w:r>
      <w:r>
        <w:rPr>
          <w:sz w:val="28"/>
        </w:rPr>
        <w:t>procedures</w:t>
      </w:r>
      <w:r>
        <w:rPr>
          <w:spacing w:val="-10"/>
          <w:sz w:val="28"/>
        </w:rPr>
        <w:t> </w:t>
      </w:r>
      <w:r>
        <w:rPr>
          <w:sz w:val="28"/>
        </w:rPr>
        <w:t>or</w:t>
      </w:r>
      <w:r>
        <w:rPr>
          <w:spacing w:val="-9"/>
          <w:sz w:val="28"/>
        </w:rPr>
        <w:t> </w:t>
      </w:r>
      <w:r>
        <w:rPr>
          <w:sz w:val="28"/>
        </w:rPr>
        <w:t>parliamentary</w:t>
      </w:r>
      <w:r>
        <w:rPr>
          <w:spacing w:val="-9"/>
          <w:sz w:val="28"/>
        </w:rPr>
        <w:t> </w:t>
      </w:r>
      <w:r>
        <w:rPr>
          <w:sz w:val="28"/>
        </w:rPr>
        <w:t>scrutiny</w:t>
      </w:r>
      <w:r>
        <w:rPr>
          <w:spacing w:val="-9"/>
          <w:sz w:val="28"/>
        </w:rPr>
        <w:t> </w:t>
      </w:r>
      <w:r>
        <w:rPr>
          <w:sz w:val="28"/>
        </w:rPr>
        <w:t>in</w:t>
      </w:r>
      <w:r>
        <w:rPr>
          <w:spacing w:val="-10"/>
          <w:sz w:val="28"/>
        </w:rPr>
        <w:t> </w:t>
      </w:r>
      <w:r>
        <w:rPr>
          <w:sz w:val="28"/>
        </w:rPr>
        <w:t>alignment with EU rules on the protection of personal data. States must bring into force measures necessary to comply with this requirement by 11 March 2023.</w:t>
      </w:r>
      <w:r>
        <w:rPr>
          <w:sz w:val="28"/>
          <w:vertAlign w:val="superscript"/>
        </w:rPr>
        <w:t>465</w:t>
      </w:r>
    </w:p>
    <w:p>
      <w:pPr>
        <w:pStyle w:val="BodyText"/>
        <w:spacing w:line="232" w:lineRule="auto" w:before="275"/>
        <w:ind w:left="1117" w:right="1087"/>
      </w:pPr>
      <w:r>
        <w:rPr/>
        <w:t>The UK Data Protection Act 2018 updates and modernises UK data protection law in line with the GDPR, but does not guarantee alignment with EU rules on the protection of personal data. We note that there is no available information regarding the continuation of Single Points of Contact in Northern Ireland, following</w:t>
      </w:r>
      <w:r>
        <w:rPr>
          <w:spacing w:val="-5"/>
        </w:rPr>
        <w:t> </w:t>
      </w:r>
      <w:r>
        <w:rPr/>
        <w:t>Brexit.</w:t>
      </w:r>
      <w:r>
        <w:rPr>
          <w:spacing w:val="-5"/>
        </w:rPr>
        <w:t> </w:t>
      </w:r>
      <w:r>
        <w:rPr/>
        <w:t>It</w:t>
      </w:r>
      <w:r>
        <w:rPr>
          <w:spacing w:val="-5"/>
        </w:rPr>
        <w:t> </w:t>
      </w:r>
      <w:r>
        <w:rPr/>
        <w:t>is</w:t>
      </w:r>
      <w:r>
        <w:rPr>
          <w:spacing w:val="-5"/>
        </w:rPr>
        <w:t> </w:t>
      </w:r>
      <w:r>
        <w:rPr/>
        <w:t>unclear</w:t>
      </w:r>
      <w:r>
        <w:rPr>
          <w:spacing w:val="-5"/>
        </w:rPr>
        <w:t> </w:t>
      </w:r>
      <w:r>
        <w:rPr/>
        <w:t>why</w:t>
      </w:r>
      <w:r>
        <w:rPr>
          <w:spacing w:val="-5"/>
        </w:rPr>
        <w:t> </w:t>
      </w:r>
      <w:r>
        <w:rPr/>
        <w:t>this</w:t>
      </w:r>
      <w:r>
        <w:rPr>
          <w:spacing w:val="-5"/>
        </w:rPr>
        <w:t> </w:t>
      </w:r>
      <w:r>
        <w:rPr/>
        <w:t>is</w:t>
      </w:r>
      <w:r>
        <w:rPr>
          <w:spacing w:val="-6"/>
        </w:rPr>
        <w:t> </w:t>
      </w:r>
      <w:r>
        <w:rPr/>
        <w:t>the</w:t>
      </w:r>
      <w:r>
        <w:rPr>
          <w:spacing w:val="-5"/>
        </w:rPr>
        <w:t> </w:t>
      </w:r>
      <w:r>
        <w:rPr/>
        <w:t>case.</w:t>
      </w:r>
      <w:r>
        <w:rPr>
          <w:spacing w:val="-5"/>
        </w:rPr>
        <w:t> </w:t>
      </w:r>
      <w:r>
        <w:rPr/>
        <w:t>Given</w:t>
      </w:r>
      <w:r>
        <w:rPr>
          <w:spacing w:val="-6"/>
        </w:rPr>
        <w:t> </w:t>
      </w:r>
      <w:r>
        <w:rPr/>
        <w:t>the</w:t>
      </w:r>
      <w:r>
        <w:rPr>
          <w:spacing w:val="-5"/>
        </w:rPr>
        <w:t> </w:t>
      </w:r>
      <w:r>
        <w:rPr/>
        <w:t>importance</w:t>
      </w:r>
      <w:r>
        <w:rPr>
          <w:spacing w:val="-5"/>
        </w:rPr>
        <w:t> </w:t>
      </w:r>
      <w:r>
        <w:rPr/>
        <w:t>of</w:t>
      </w:r>
      <w:r>
        <w:rPr>
          <w:spacing w:val="-5"/>
        </w:rPr>
        <w:t> </w:t>
      </w:r>
      <w:r>
        <w:rPr/>
        <w:t>cross- border security cooperation we recommend voluntary alignment in this area.</w:t>
      </w:r>
    </w:p>
    <w:p>
      <w:pPr>
        <w:pStyle w:val="BodyText"/>
        <w:spacing w:before="10"/>
        <w:rPr>
          <w:sz w:val="19"/>
        </w:rPr>
      </w:pPr>
      <w:r>
        <w:rPr/>
        <mc:AlternateContent>
          <mc:Choice Requires="wps">
            <w:drawing>
              <wp:anchor distT="0" distB="0" distL="0" distR="0" allowOverlap="1" layoutInCell="1" locked="0" behindDoc="1" simplePos="0" relativeHeight="487734272">
                <wp:simplePos x="0" y="0"/>
                <wp:positionH relativeFrom="page">
                  <wp:posOffset>899994</wp:posOffset>
                </wp:positionH>
                <wp:positionV relativeFrom="paragraph">
                  <wp:posOffset>169400</wp:posOffset>
                </wp:positionV>
                <wp:extent cx="6012180" cy="1442085"/>
                <wp:effectExtent l="0" t="0" r="0" b="0"/>
                <wp:wrapTopAndBottom/>
                <wp:docPr id="775" name="Group 775"/>
                <wp:cNvGraphicFramePr>
                  <a:graphicFrameLocks/>
                </wp:cNvGraphicFramePr>
                <a:graphic>
                  <a:graphicData uri="http://schemas.microsoft.com/office/word/2010/wordprocessingGroup">
                    <wpg:wgp>
                      <wpg:cNvPr id="775" name="Group 775"/>
                      <wpg:cNvGrpSpPr/>
                      <wpg:grpSpPr>
                        <a:xfrm>
                          <a:off x="0" y="0"/>
                          <a:ext cx="6012180" cy="1442085"/>
                          <a:chExt cx="6012180" cy="1442085"/>
                        </a:xfrm>
                      </wpg:grpSpPr>
                      <wps:wsp>
                        <wps:cNvPr id="776" name="Graphic 776"/>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777" name="Textbox 777"/>
                        <wps:cNvSpPr txBox="1"/>
                        <wps:spPr>
                          <a:xfrm>
                            <a:off x="0" y="0"/>
                            <a:ext cx="6012180" cy="1442085"/>
                          </a:xfrm>
                          <a:prstGeom prst="rect">
                            <a:avLst/>
                          </a:prstGeom>
                        </wps:spPr>
                        <wps:txbx>
                          <w:txbxContent>
                            <w:p>
                              <w:pPr>
                                <w:spacing w:line="232" w:lineRule="auto" w:before="121"/>
                                <w:ind w:left="340" w:right="106" w:firstLine="0"/>
                                <w:jc w:val="left"/>
                                <w:rPr>
                                  <w:b/>
                                  <w:sz w:val="28"/>
                                </w:rPr>
                              </w:pPr>
                              <w:r>
                                <w:rPr>
                                  <w:b/>
                                  <w:color w:val="164194"/>
                                  <w:spacing w:val="-2"/>
                                  <w:sz w:val="28"/>
                                </w:rPr>
                                <w:t>We</w:t>
                              </w:r>
                              <w:r>
                                <w:rPr>
                                  <w:b/>
                                  <w:color w:val="164194"/>
                                  <w:spacing w:val="-8"/>
                                  <w:sz w:val="28"/>
                                </w:rPr>
                                <w:t> </w:t>
                              </w:r>
                              <w:r>
                                <w:rPr>
                                  <w:b/>
                                  <w:color w:val="164194"/>
                                  <w:spacing w:val="-2"/>
                                  <w:sz w:val="28"/>
                                </w:rPr>
                                <w:t>recommend</w:t>
                              </w:r>
                              <w:r>
                                <w:rPr>
                                  <w:b/>
                                  <w:color w:val="164194"/>
                                  <w:spacing w:val="-8"/>
                                  <w:sz w:val="28"/>
                                </w:rPr>
                                <w:t> </w:t>
                              </w:r>
                              <w:r>
                                <w:rPr>
                                  <w:b/>
                                  <w:color w:val="164194"/>
                                  <w:spacing w:val="-2"/>
                                  <w:sz w:val="28"/>
                                </w:rPr>
                                <w:t>that,</w:t>
                              </w:r>
                              <w:r>
                                <w:rPr>
                                  <w:b/>
                                  <w:color w:val="164194"/>
                                  <w:spacing w:val="-8"/>
                                  <w:sz w:val="28"/>
                                </w:rPr>
                                <w:t> </w:t>
                              </w:r>
                              <w:r>
                                <w:rPr>
                                  <w:b/>
                                  <w:color w:val="164194"/>
                                  <w:spacing w:val="-2"/>
                                  <w:sz w:val="28"/>
                                </w:rPr>
                                <w:t>as</w:t>
                              </w:r>
                              <w:r>
                                <w:rPr>
                                  <w:b/>
                                  <w:color w:val="164194"/>
                                  <w:spacing w:val="-8"/>
                                  <w:sz w:val="28"/>
                                </w:rPr>
                                <w:t> </w:t>
                              </w:r>
                              <w:r>
                                <w:rPr>
                                  <w:b/>
                                  <w:color w:val="164194"/>
                                  <w:spacing w:val="-2"/>
                                  <w:sz w:val="28"/>
                                </w:rPr>
                                <w:t>a</w:t>
                              </w:r>
                              <w:r>
                                <w:rPr>
                                  <w:b/>
                                  <w:color w:val="164194"/>
                                  <w:spacing w:val="-8"/>
                                  <w:sz w:val="28"/>
                                </w:rPr>
                                <w:t> </w:t>
                              </w:r>
                              <w:r>
                                <w:rPr>
                                  <w:b/>
                                  <w:color w:val="164194"/>
                                  <w:spacing w:val="-2"/>
                                  <w:sz w:val="28"/>
                                </w:rPr>
                                <w:t>matter</w:t>
                              </w:r>
                              <w:r>
                                <w:rPr>
                                  <w:b/>
                                  <w:color w:val="164194"/>
                                  <w:spacing w:val="-8"/>
                                  <w:sz w:val="28"/>
                                </w:rPr>
                                <w:t> </w:t>
                              </w:r>
                              <w:r>
                                <w:rPr>
                                  <w:b/>
                                  <w:color w:val="164194"/>
                                  <w:spacing w:val="-2"/>
                                  <w:sz w:val="28"/>
                                </w:rPr>
                                <w:t>of</w:t>
                              </w:r>
                              <w:r>
                                <w:rPr>
                                  <w:b/>
                                  <w:color w:val="164194"/>
                                  <w:spacing w:val="-8"/>
                                  <w:sz w:val="28"/>
                                </w:rPr>
                                <w:t> </w:t>
                              </w:r>
                              <w:r>
                                <w:rPr>
                                  <w:b/>
                                  <w:color w:val="164194"/>
                                  <w:spacing w:val="-2"/>
                                  <w:sz w:val="28"/>
                                </w:rPr>
                                <w:t>voluntary</w:t>
                              </w:r>
                              <w:r>
                                <w:rPr>
                                  <w:b/>
                                  <w:color w:val="164194"/>
                                  <w:spacing w:val="-8"/>
                                  <w:sz w:val="28"/>
                                </w:rPr>
                                <w:t> </w:t>
                              </w:r>
                              <w:r>
                                <w:rPr>
                                  <w:b/>
                                  <w:color w:val="164194"/>
                                  <w:spacing w:val="-2"/>
                                  <w:sz w:val="28"/>
                                </w:rPr>
                                <w:t>alignment,</w:t>
                              </w:r>
                              <w:r>
                                <w:rPr>
                                  <w:b/>
                                  <w:color w:val="164194"/>
                                  <w:spacing w:val="-8"/>
                                  <w:sz w:val="28"/>
                                </w:rPr>
                                <w:t> </w:t>
                              </w:r>
                              <w:r>
                                <w:rPr>
                                  <w:b/>
                                  <w:color w:val="164194"/>
                                  <w:spacing w:val="-2"/>
                                  <w:sz w:val="28"/>
                                </w:rPr>
                                <w:t>the</w:t>
                              </w:r>
                              <w:r>
                                <w:rPr>
                                  <w:b/>
                                  <w:color w:val="164194"/>
                                  <w:spacing w:val="-8"/>
                                  <w:sz w:val="28"/>
                                </w:rPr>
                                <w:t> </w:t>
                              </w:r>
                              <w:r>
                                <w:rPr>
                                  <w:b/>
                                  <w:color w:val="164194"/>
                                  <w:spacing w:val="-2"/>
                                  <w:sz w:val="28"/>
                                </w:rPr>
                                <w:t>UK</w:t>
                              </w:r>
                              <w:r>
                                <w:rPr>
                                  <w:b/>
                                  <w:color w:val="164194"/>
                                  <w:spacing w:val="-8"/>
                                  <w:sz w:val="28"/>
                                </w:rPr>
                                <w:t> </w:t>
                              </w:r>
                              <w:r>
                                <w:rPr>
                                  <w:b/>
                                  <w:color w:val="164194"/>
                                  <w:spacing w:val="-2"/>
                                  <w:sz w:val="28"/>
                                </w:rPr>
                                <w:t>Government, </w:t>
                              </w:r>
                              <w:r>
                                <w:rPr>
                                  <w:b/>
                                  <w:color w:val="164194"/>
                                  <w:sz w:val="28"/>
                                </w:rPr>
                                <w:t>NI</w:t>
                              </w:r>
                              <w:r>
                                <w:rPr>
                                  <w:b/>
                                  <w:color w:val="164194"/>
                                  <w:spacing w:val="-8"/>
                                  <w:sz w:val="28"/>
                                </w:rPr>
                                <w:t> </w:t>
                              </w:r>
                              <w:r>
                                <w:rPr>
                                  <w:b/>
                                  <w:color w:val="164194"/>
                                  <w:sz w:val="28"/>
                                </w:rPr>
                                <w:t>Executive</w:t>
                              </w:r>
                              <w:r>
                                <w:rPr>
                                  <w:b/>
                                  <w:color w:val="164194"/>
                                  <w:spacing w:val="-8"/>
                                  <w:sz w:val="28"/>
                                </w:rPr>
                                <w:t> </w:t>
                              </w:r>
                              <w:r>
                                <w:rPr>
                                  <w:b/>
                                  <w:color w:val="164194"/>
                                  <w:sz w:val="28"/>
                                </w:rPr>
                                <w:t>ensures</w:t>
                              </w:r>
                              <w:r>
                                <w:rPr>
                                  <w:b/>
                                  <w:color w:val="164194"/>
                                  <w:spacing w:val="-8"/>
                                  <w:sz w:val="28"/>
                                </w:rPr>
                                <w:t> </w:t>
                              </w:r>
                              <w:r>
                                <w:rPr>
                                  <w:b/>
                                  <w:color w:val="164194"/>
                                  <w:sz w:val="28"/>
                                </w:rPr>
                                <w:t>that</w:t>
                              </w:r>
                              <w:r>
                                <w:rPr>
                                  <w:b/>
                                  <w:color w:val="164194"/>
                                  <w:spacing w:val="-8"/>
                                  <w:sz w:val="28"/>
                                </w:rPr>
                                <w:t> </w:t>
                              </w:r>
                              <w:r>
                                <w:rPr>
                                  <w:b/>
                                  <w:color w:val="164194"/>
                                  <w:sz w:val="28"/>
                                </w:rPr>
                                <w:t>NI</w:t>
                              </w:r>
                              <w:r>
                                <w:rPr>
                                  <w:b/>
                                  <w:color w:val="164194"/>
                                  <w:spacing w:val="-8"/>
                                  <w:sz w:val="28"/>
                                </w:rPr>
                                <w:t> </w:t>
                              </w:r>
                              <w:r>
                                <w:rPr>
                                  <w:b/>
                                  <w:color w:val="164194"/>
                                  <w:sz w:val="28"/>
                                </w:rPr>
                                <w:t>law</w:t>
                              </w:r>
                              <w:r>
                                <w:rPr>
                                  <w:b/>
                                  <w:color w:val="164194"/>
                                  <w:spacing w:val="-8"/>
                                  <w:sz w:val="28"/>
                                </w:rPr>
                                <w:t> </w:t>
                              </w:r>
                              <w:r>
                                <w:rPr>
                                  <w:b/>
                                  <w:color w:val="164194"/>
                                  <w:sz w:val="28"/>
                                </w:rPr>
                                <w:t>complies</w:t>
                              </w:r>
                              <w:r>
                                <w:rPr>
                                  <w:b/>
                                  <w:color w:val="164194"/>
                                  <w:spacing w:val="-8"/>
                                  <w:sz w:val="28"/>
                                </w:rPr>
                                <w:t> </w:t>
                              </w:r>
                              <w:r>
                                <w:rPr>
                                  <w:b/>
                                  <w:color w:val="164194"/>
                                  <w:sz w:val="28"/>
                                </w:rPr>
                                <w:t>with</w:t>
                              </w:r>
                              <w:r>
                                <w:rPr>
                                  <w:b/>
                                  <w:color w:val="164194"/>
                                  <w:spacing w:val="-8"/>
                                  <w:sz w:val="28"/>
                                </w:rPr>
                                <w:t> </w:t>
                              </w:r>
                              <w:r>
                                <w:rPr>
                                  <w:b/>
                                  <w:color w:val="164194"/>
                                  <w:sz w:val="28"/>
                                </w:rPr>
                                <w:t>the</w:t>
                              </w:r>
                              <w:r>
                                <w:rPr>
                                  <w:b/>
                                  <w:color w:val="164194"/>
                                  <w:spacing w:val="-8"/>
                                  <w:sz w:val="28"/>
                                </w:rPr>
                                <w:t> </w:t>
                              </w:r>
                              <w:r>
                                <w:rPr>
                                  <w:b/>
                                  <w:color w:val="164194"/>
                                  <w:sz w:val="28"/>
                                </w:rPr>
                                <w:t>standards</w:t>
                              </w:r>
                              <w:r>
                                <w:rPr>
                                  <w:b/>
                                  <w:color w:val="164194"/>
                                  <w:spacing w:val="-8"/>
                                  <w:sz w:val="28"/>
                                </w:rPr>
                                <w:t> </w:t>
                              </w:r>
                              <w:r>
                                <w:rPr>
                                  <w:b/>
                                  <w:color w:val="164194"/>
                                  <w:sz w:val="28"/>
                                </w:rPr>
                                <w:t>in</w:t>
                              </w:r>
                              <w:r>
                                <w:rPr>
                                  <w:b/>
                                  <w:color w:val="164194"/>
                                  <w:spacing w:val="-8"/>
                                  <w:sz w:val="28"/>
                                </w:rPr>
                                <w:t> </w:t>
                              </w:r>
                              <w:r>
                                <w:rPr>
                                  <w:b/>
                                  <w:color w:val="164194"/>
                                  <w:sz w:val="28"/>
                                </w:rPr>
                                <w:t>EU</w:t>
                              </w:r>
                              <w:r>
                                <w:rPr>
                                  <w:b/>
                                  <w:color w:val="164194"/>
                                  <w:spacing w:val="-8"/>
                                  <w:sz w:val="28"/>
                                </w:rPr>
                                <w:t> </w:t>
                              </w:r>
                              <w:r>
                                <w:rPr>
                                  <w:b/>
                                  <w:color w:val="164194"/>
                                  <w:sz w:val="28"/>
                                </w:rPr>
                                <w:t>Directive 2023/977</w:t>
                              </w:r>
                              <w:r>
                                <w:rPr>
                                  <w:b/>
                                  <w:color w:val="164194"/>
                                  <w:spacing w:val="-11"/>
                                  <w:sz w:val="28"/>
                                </w:rPr>
                                <w:t> </w:t>
                              </w:r>
                              <w:r>
                                <w:rPr>
                                  <w:b/>
                                  <w:color w:val="164194"/>
                                  <w:sz w:val="28"/>
                                </w:rPr>
                                <w:t>on</w:t>
                              </w:r>
                              <w:r>
                                <w:rPr>
                                  <w:b/>
                                  <w:color w:val="164194"/>
                                  <w:spacing w:val="-11"/>
                                  <w:sz w:val="28"/>
                                </w:rPr>
                                <w:t> </w:t>
                              </w:r>
                              <w:r>
                                <w:rPr>
                                  <w:b/>
                                  <w:color w:val="164194"/>
                                  <w:sz w:val="28"/>
                                </w:rPr>
                                <w:t>exchange</w:t>
                              </w:r>
                              <w:r>
                                <w:rPr>
                                  <w:b/>
                                  <w:color w:val="164194"/>
                                  <w:spacing w:val="-11"/>
                                  <w:sz w:val="28"/>
                                </w:rPr>
                                <w:t> </w:t>
                              </w:r>
                              <w:r>
                                <w:rPr>
                                  <w:b/>
                                  <w:color w:val="164194"/>
                                  <w:sz w:val="28"/>
                                </w:rPr>
                                <w:t>of</w:t>
                              </w:r>
                              <w:r>
                                <w:rPr>
                                  <w:b/>
                                  <w:color w:val="164194"/>
                                  <w:spacing w:val="-11"/>
                                  <w:sz w:val="28"/>
                                </w:rPr>
                                <w:t> </w:t>
                              </w:r>
                              <w:r>
                                <w:rPr>
                                  <w:b/>
                                  <w:color w:val="164194"/>
                                  <w:sz w:val="28"/>
                                </w:rPr>
                                <w:t>information</w:t>
                              </w:r>
                              <w:r>
                                <w:rPr>
                                  <w:b/>
                                  <w:color w:val="164194"/>
                                  <w:spacing w:val="-11"/>
                                  <w:sz w:val="28"/>
                                </w:rPr>
                                <w:t> </w:t>
                              </w:r>
                              <w:r>
                                <w:rPr>
                                  <w:b/>
                                  <w:color w:val="164194"/>
                                  <w:sz w:val="28"/>
                                </w:rPr>
                                <w:t>between</w:t>
                              </w:r>
                              <w:r>
                                <w:rPr>
                                  <w:b/>
                                  <w:color w:val="164194"/>
                                  <w:spacing w:val="-11"/>
                                  <w:sz w:val="28"/>
                                </w:rPr>
                                <w:t> </w:t>
                              </w:r>
                              <w:r>
                                <w:rPr>
                                  <w:b/>
                                  <w:color w:val="164194"/>
                                  <w:sz w:val="28"/>
                                </w:rPr>
                                <w:t>law</w:t>
                              </w:r>
                              <w:r>
                                <w:rPr>
                                  <w:b/>
                                  <w:color w:val="164194"/>
                                  <w:spacing w:val="-11"/>
                                  <w:sz w:val="28"/>
                                </w:rPr>
                                <w:t> </w:t>
                              </w:r>
                              <w:r>
                                <w:rPr>
                                  <w:b/>
                                  <w:color w:val="164194"/>
                                  <w:sz w:val="28"/>
                                </w:rPr>
                                <w:t>enforcement</w:t>
                              </w:r>
                              <w:r>
                                <w:rPr>
                                  <w:b/>
                                  <w:color w:val="164194"/>
                                  <w:spacing w:val="-11"/>
                                  <w:sz w:val="28"/>
                                </w:rPr>
                                <w:t> </w:t>
                              </w:r>
                              <w:r>
                                <w:rPr>
                                  <w:b/>
                                  <w:color w:val="164194"/>
                                  <w:sz w:val="28"/>
                                </w:rPr>
                                <w:t>authorities and</w:t>
                              </w:r>
                              <w:r>
                                <w:rPr>
                                  <w:b/>
                                  <w:color w:val="164194"/>
                                  <w:spacing w:val="-7"/>
                                  <w:sz w:val="28"/>
                                </w:rPr>
                                <w:t> </w:t>
                              </w:r>
                              <w:r>
                                <w:rPr>
                                  <w:b/>
                                  <w:color w:val="164194"/>
                                  <w:sz w:val="28"/>
                                </w:rPr>
                                <w:t>EU</w:t>
                              </w:r>
                              <w:r>
                                <w:rPr>
                                  <w:b/>
                                  <w:color w:val="164194"/>
                                  <w:spacing w:val="-7"/>
                                  <w:sz w:val="28"/>
                                </w:rPr>
                                <w:t> </w:t>
                              </w:r>
                              <w:r>
                                <w:rPr>
                                  <w:b/>
                                  <w:color w:val="164194"/>
                                  <w:sz w:val="28"/>
                                </w:rPr>
                                <w:t>Directive</w:t>
                              </w:r>
                              <w:r>
                                <w:rPr>
                                  <w:b/>
                                  <w:color w:val="164194"/>
                                  <w:spacing w:val="-7"/>
                                  <w:sz w:val="28"/>
                                </w:rPr>
                                <w:t> </w:t>
                              </w:r>
                              <w:r>
                                <w:rPr>
                                  <w:b/>
                                  <w:color w:val="164194"/>
                                  <w:sz w:val="28"/>
                                </w:rPr>
                                <w:t>2022/211</w:t>
                              </w:r>
                              <w:r>
                                <w:rPr>
                                  <w:b/>
                                  <w:color w:val="164194"/>
                                  <w:spacing w:val="-7"/>
                                  <w:sz w:val="28"/>
                                </w:rPr>
                                <w:t> </w:t>
                              </w:r>
                              <w:r>
                                <w:rPr>
                                  <w:b/>
                                  <w:color w:val="164194"/>
                                  <w:sz w:val="28"/>
                                </w:rPr>
                                <w:t>on</w:t>
                              </w:r>
                              <w:r>
                                <w:rPr>
                                  <w:b/>
                                  <w:color w:val="164194"/>
                                  <w:spacing w:val="-7"/>
                                  <w:sz w:val="28"/>
                                </w:rPr>
                                <w:t> </w:t>
                              </w:r>
                              <w:r>
                                <w:rPr>
                                  <w:b/>
                                  <w:color w:val="164194"/>
                                  <w:sz w:val="28"/>
                                </w:rPr>
                                <w:t>the</w:t>
                              </w:r>
                              <w:r>
                                <w:rPr>
                                  <w:b/>
                                  <w:color w:val="164194"/>
                                  <w:spacing w:val="-7"/>
                                  <w:sz w:val="28"/>
                                </w:rPr>
                                <w:t> </w:t>
                              </w:r>
                              <w:r>
                                <w:rPr>
                                  <w:b/>
                                  <w:color w:val="164194"/>
                                  <w:sz w:val="28"/>
                                </w:rPr>
                                <w:t>protection</w:t>
                              </w:r>
                              <w:r>
                                <w:rPr>
                                  <w:b/>
                                  <w:color w:val="164194"/>
                                  <w:spacing w:val="-7"/>
                                  <w:sz w:val="28"/>
                                </w:rPr>
                                <w:t> </w:t>
                              </w:r>
                              <w:r>
                                <w:rPr>
                                  <w:b/>
                                  <w:color w:val="164194"/>
                                  <w:sz w:val="28"/>
                                </w:rPr>
                                <w:t>of</w:t>
                              </w:r>
                              <w:r>
                                <w:rPr>
                                  <w:b/>
                                  <w:color w:val="164194"/>
                                  <w:spacing w:val="-7"/>
                                  <w:sz w:val="28"/>
                                </w:rPr>
                                <w:t> </w:t>
                              </w:r>
                              <w:r>
                                <w:rPr>
                                  <w:b/>
                                  <w:color w:val="164194"/>
                                  <w:sz w:val="28"/>
                                </w:rPr>
                                <w:t>personal</w:t>
                              </w:r>
                              <w:r>
                                <w:rPr>
                                  <w:b/>
                                  <w:color w:val="164194"/>
                                  <w:spacing w:val="-7"/>
                                  <w:sz w:val="28"/>
                                </w:rPr>
                                <w:t> </w:t>
                              </w:r>
                              <w:r>
                                <w:rPr>
                                  <w:b/>
                                  <w:color w:val="164194"/>
                                  <w:sz w:val="28"/>
                                </w:rPr>
                                <w:t>data,</w:t>
                              </w:r>
                              <w:r>
                                <w:rPr>
                                  <w:b/>
                                  <w:color w:val="164194"/>
                                  <w:spacing w:val="-7"/>
                                  <w:sz w:val="28"/>
                                </w:rPr>
                                <w:t> </w:t>
                              </w:r>
                              <w:r>
                                <w:rPr>
                                  <w:b/>
                                  <w:color w:val="164194"/>
                                  <w:sz w:val="28"/>
                                </w:rPr>
                                <w:t>so</w:t>
                              </w:r>
                              <w:r>
                                <w:rPr>
                                  <w:b/>
                                  <w:color w:val="164194"/>
                                  <w:spacing w:val="-7"/>
                                  <w:sz w:val="28"/>
                                </w:rPr>
                                <w:t> </w:t>
                              </w:r>
                              <w:r>
                                <w:rPr>
                                  <w:b/>
                                  <w:color w:val="164194"/>
                                  <w:sz w:val="28"/>
                                </w:rPr>
                                <w:t>as</w:t>
                              </w:r>
                              <w:r>
                                <w:rPr>
                                  <w:b/>
                                  <w:color w:val="164194"/>
                                  <w:spacing w:val="-7"/>
                                  <w:sz w:val="28"/>
                                </w:rPr>
                                <w:t> </w:t>
                              </w:r>
                              <w:r>
                                <w:rPr>
                                  <w:b/>
                                  <w:color w:val="164194"/>
                                  <w:sz w:val="28"/>
                                </w:rPr>
                                <w:t>ensure </w:t>
                              </w:r>
                              <w:r>
                                <w:rPr>
                                  <w:b/>
                                  <w:color w:val="164194"/>
                                  <w:spacing w:val="-2"/>
                                  <w:sz w:val="28"/>
                                </w:rPr>
                                <w:t>continued</w:t>
                              </w:r>
                              <w:r>
                                <w:rPr>
                                  <w:b/>
                                  <w:color w:val="164194"/>
                                  <w:spacing w:val="-14"/>
                                  <w:sz w:val="28"/>
                                </w:rPr>
                                <w:t> </w:t>
                              </w:r>
                              <w:r>
                                <w:rPr>
                                  <w:b/>
                                  <w:color w:val="164194"/>
                                  <w:spacing w:val="-2"/>
                                  <w:sz w:val="28"/>
                                </w:rPr>
                                <w:t>cross</w:t>
                              </w:r>
                              <w:r>
                                <w:rPr>
                                  <w:b/>
                                  <w:color w:val="164194"/>
                                  <w:spacing w:val="-14"/>
                                  <w:sz w:val="28"/>
                                </w:rPr>
                                <w:t> </w:t>
                              </w:r>
                              <w:r>
                                <w:rPr>
                                  <w:b/>
                                  <w:color w:val="164194"/>
                                  <w:spacing w:val="-2"/>
                                  <w:sz w:val="28"/>
                                </w:rPr>
                                <w:t>border</w:t>
                              </w:r>
                              <w:r>
                                <w:rPr>
                                  <w:b/>
                                  <w:color w:val="164194"/>
                                  <w:spacing w:val="-14"/>
                                  <w:sz w:val="28"/>
                                </w:rPr>
                                <w:t> </w:t>
                              </w:r>
                              <w:r>
                                <w:rPr>
                                  <w:b/>
                                  <w:color w:val="164194"/>
                                  <w:spacing w:val="-2"/>
                                  <w:sz w:val="28"/>
                                </w:rPr>
                                <w:t>criminal</w:t>
                              </w:r>
                              <w:r>
                                <w:rPr>
                                  <w:b/>
                                  <w:color w:val="164194"/>
                                  <w:spacing w:val="-13"/>
                                  <w:sz w:val="28"/>
                                </w:rPr>
                                <w:t> </w:t>
                              </w:r>
                              <w:r>
                                <w:rPr>
                                  <w:b/>
                                  <w:color w:val="164194"/>
                                  <w:spacing w:val="-2"/>
                                  <w:sz w:val="28"/>
                                </w:rPr>
                                <w:t>justice</w:t>
                              </w:r>
                              <w:r>
                                <w:rPr>
                                  <w:b/>
                                  <w:color w:val="164194"/>
                                  <w:spacing w:val="-14"/>
                                  <w:sz w:val="28"/>
                                </w:rPr>
                                <w:t> </w:t>
                              </w:r>
                              <w:r>
                                <w:rPr>
                                  <w:b/>
                                  <w:color w:val="164194"/>
                                  <w:spacing w:val="-2"/>
                                  <w:sz w:val="28"/>
                                </w:rPr>
                                <w:t>cooperation,</w:t>
                              </w:r>
                              <w:r>
                                <w:rPr>
                                  <w:b/>
                                  <w:color w:val="164194"/>
                                  <w:spacing w:val="-14"/>
                                  <w:sz w:val="28"/>
                                </w:rPr>
                                <w:t> </w:t>
                              </w:r>
                              <w:r>
                                <w:rPr>
                                  <w:b/>
                                  <w:color w:val="164194"/>
                                  <w:spacing w:val="-2"/>
                                  <w:sz w:val="28"/>
                                </w:rPr>
                                <w:t>where</w:t>
                              </w:r>
                              <w:r>
                                <w:rPr>
                                  <w:b/>
                                  <w:color w:val="164194"/>
                                  <w:spacing w:val="-14"/>
                                  <w:sz w:val="28"/>
                                </w:rPr>
                                <w:t> </w:t>
                              </w:r>
                              <w:r>
                                <w:rPr>
                                  <w:b/>
                                  <w:color w:val="164194"/>
                                  <w:spacing w:val="-2"/>
                                  <w:sz w:val="28"/>
                                </w:rPr>
                                <w:t>this</w:t>
                              </w:r>
                              <w:r>
                                <w:rPr>
                                  <w:b/>
                                  <w:color w:val="164194"/>
                                  <w:spacing w:val="-13"/>
                                  <w:sz w:val="28"/>
                                </w:rPr>
                                <w:t> </w:t>
                              </w:r>
                              <w:r>
                                <w:rPr>
                                  <w:b/>
                                  <w:color w:val="164194"/>
                                  <w:spacing w:val="-2"/>
                                  <w:sz w:val="28"/>
                                </w:rPr>
                                <w:t>will</w:t>
                              </w:r>
                              <w:r>
                                <w:rPr>
                                  <w:b/>
                                  <w:color w:val="164194"/>
                                  <w:spacing w:val="-14"/>
                                  <w:sz w:val="28"/>
                                </w:rPr>
                                <w:t> </w:t>
                              </w:r>
                              <w:r>
                                <w:rPr>
                                  <w:b/>
                                  <w:color w:val="164194"/>
                                  <w:spacing w:val="-2"/>
                                  <w:sz w:val="28"/>
                                </w:rPr>
                                <w:t>strengthen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reflect</w:t>
                              </w:r>
                              <w:r>
                                <w:rPr>
                                  <w:b/>
                                  <w:color w:val="164194"/>
                                  <w:spacing w:val="-9"/>
                                  <w:sz w:val="28"/>
                                </w:rPr>
                                <w:t> </w:t>
                              </w:r>
                              <w:r>
                                <w:rPr>
                                  <w:b/>
                                  <w:color w:val="164194"/>
                                  <w:sz w:val="28"/>
                                </w:rPr>
                                <w:t>international</w:t>
                              </w:r>
                              <w:r>
                                <w:rPr>
                                  <w:b/>
                                  <w:color w:val="164194"/>
                                  <w:spacing w:val="-9"/>
                                  <w:sz w:val="28"/>
                                </w:rPr>
                                <w:t> </w:t>
                              </w:r>
                              <w:r>
                                <w:rPr>
                                  <w:b/>
                                  <w:color w:val="164194"/>
                                  <w:sz w:val="28"/>
                                </w:rPr>
                                <w:t>human</w:t>
                              </w:r>
                              <w:r>
                                <w:rPr>
                                  <w:b/>
                                  <w:color w:val="164194"/>
                                  <w:spacing w:val="-9"/>
                                  <w:sz w:val="28"/>
                                </w:rPr>
                                <w:t> </w:t>
                              </w:r>
                              <w:r>
                                <w:rPr>
                                  <w:b/>
                                  <w:color w:val="164194"/>
                                  <w:sz w:val="28"/>
                                </w:rPr>
                                <w:t>rights</w:t>
                              </w:r>
                              <w:r>
                                <w:rPr>
                                  <w:b/>
                                  <w:color w:val="164194"/>
                                  <w:spacing w:val="-9"/>
                                  <w:sz w:val="28"/>
                                </w:rPr>
                                <w:t> </w:t>
                              </w:r>
                              <w:r>
                                <w:rPr>
                                  <w:b/>
                                  <w:color w:val="164194"/>
                                  <w:sz w:val="28"/>
                                </w:rPr>
                                <w:t>standards</w:t>
                              </w:r>
                              <w:r>
                                <w:rPr>
                                  <w:b/>
                                  <w:color w:val="164194"/>
                                  <w:spacing w:val="-9"/>
                                  <w:sz w:val="28"/>
                                </w:rPr>
                                <w:t> </w:t>
                              </w:r>
                              <w:r>
                                <w:rPr>
                                  <w:b/>
                                  <w:color w:val="164194"/>
                                  <w:sz w:val="28"/>
                                </w:rPr>
                                <w:t>and</w:t>
                              </w:r>
                              <w:r>
                                <w:rPr>
                                  <w:b/>
                                  <w:color w:val="164194"/>
                                  <w:spacing w:val="-9"/>
                                  <w:sz w:val="28"/>
                                </w:rPr>
                                <w:t> </w:t>
                              </w:r>
                              <w:r>
                                <w:rPr>
                                  <w:b/>
                                  <w:color w:val="164194"/>
                                  <w:sz w:val="28"/>
                                </w:rPr>
                                <w:t>best</w:t>
                              </w:r>
                              <w:r>
                                <w:rPr>
                                  <w:b/>
                                  <w:color w:val="164194"/>
                                  <w:spacing w:val="-9"/>
                                  <w:sz w:val="28"/>
                                </w:rPr>
                                <w:t> </w:t>
                              </w:r>
                              <w:r>
                                <w:rPr>
                                  <w:b/>
                                  <w:color w:val="164194"/>
                                  <w:sz w:val="28"/>
                                </w:rPr>
                                <w:t>practice.</w:t>
                              </w:r>
                            </w:p>
                          </w:txbxContent>
                        </wps:txbx>
                        <wps:bodyPr wrap="square" lIns="0" tIns="0" rIns="0" bIns="0" rtlCol="0">
                          <a:noAutofit/>
                        </wps:bodyPr>
                      </wps:wsp>
                    </wpg:wgp>
                  </a:graphicData>
                </a:graphic>
              </wp:anchor>
            </w:drawing>
          </mc:Choice>
          <mc:Fallback>
            <w:pict>
              <v:group style="position:absolute;margin-left:70.8657pt;margin-top:13.3386pt;width:473.4pt;height:113.55pt;mso-position-horizontal-relative:page;mso-position-vertical-relative:paragraph;z-index:-15582208;mso-wrap-distance-left:0;mso-wrap-distance-right:0" id="docshapegroup632" coordorigin="1417,267" coordsize="9468,2271">
                <v:shape style="position:absolute;left:1417;top:266;width:9468;height:2271" id="docshape633" coordorigin="1417,267" coordsize="9468,2271" path="m10658,267l1644,267,1572,278,1510,311,1461,360,1429,422,1417,494,1417,2310,1429,2382,1461,2444,1510,2493,1572,2525,1644,2537,10658,2537,10730,2525,10792,2493,10841,2444,10873,2382,10885,2310,10885,494,10873,422,10841,360,10792,311,10730,278,10658,267xe" filled="true" fillcolor="#e9f3fc" stroked="false">
                  <v:path arrowok="t"/>
                  <v:fill type="solid"/>
                </v:shape>
                <v:shape style="position:absolute;left:1417;top:266;width:9468;height:2271" type="#_x0000_t202" id="docshape634" filled="false" stroked="false">
                  <v:textbox inset="0,0,0,0">
                    <w:txbxContent>
                      <w:p>
                        <w:pPr>
                          <w:spacing w:line="232" w:lineRule="auto" w:before="121"/>
                          <w:ind w:left="340" w:right="106" w:firstLine="0"/>
                          <w:jc w:val="left"/>
                          <w:rPr>
                            <w:b/>
                            <w:sz w:val="28"/>
                          </w:rPr>
                        </w:pPr>
                        <w:r>
                          <w:rPr>
                            <w:b/>
                            <w:color w:val="164194"/>
                            <w:spacing w:val="-2"/>
                            <w:sz w:val="28"/>
                          </w:rPr>
                          <w:t>We</w:t>
                        </w:r>
                        <w:r>
                          <w:rPr>
                            <w:b/>
                            <w:color w:val="164194"/>
                            <w:spacing w:val="-8"/>
                            <w:sz w:val="28"/>
                          </w:rPr>
                          <w:t> </w:t>
                        </w:r>
                        <w:r>
                          <w:rPr>
                            <w:b/>
                            <w:color w:val="164194"/>
                            <w:spacing w:val="-2"/>
                            <w:sz w:val="28"/>
                          </w:rPr>
                          <w:t>recommend</w:t>
                        </w:r>
                        <w:r>
                          <w:rPr>
                            <w:b/>
                            <w:color w:val="164194"/>
                            <w:spacing w:val="-8"/>
                            <w:sz w:val="28"/>
                          </w:rPr>
                          <w:t> </w:t>
                        </w:r>
                        <w:r>
                          <w:rPr>
                            <w:b/>
                            <w:color w:val="164194"/>
                            <w:spacing w:val="-2"/>
                            <w:sz w:val="28"/>
                          </w:rPr>
                          <w:t>that,</w:t>
                        </w:r>
                        <w:r>
                          <w:rPr>
                            <w:b/>
                            <w:color w:val="164194"/>
                            <w:spacing w:val="-8"/>
                            <w:sz w:val="28"/>
                          </w:rPr>
                          <w:t> </w:t>
                        </w:r>
                        <w:r>
                          <w:rPr>
                            <w:b/>
                            <w:color w:val="164194"/>
                            <w:spacing w:val="-2"/>
                            <w:sz w:val="28"/>
                          </w:rPr>
                          <w:t>as</w:t>
                        </w:r>
                        <w:r>
                          <w:rPr>
                            <w:b/>
                            <w:color w:val="164194"/>
                            <w:spacing w:val="-8"/>
                            <w:sz w:val="28"/>
                          </w:rPr>
                          <w:t> </w:t>
                        </w:r>
                        <w:r>
                          <w:rPr>
                            <w:b/>
                            <w:color w:val="164194"/>
                            <w:spacing w:val="-2"/>
                            <w:sz w:val="28"/>
                          </w:rPr>
                          <w:t>a</w:t>
                        </w:r>
                        <w:r>
                          <w:rPr>
                            <w:b/>
                            <w:color w:val="164194"/>
                            <w:spacing w:val="-8"/>
                            <w:sz w:val="28"/>
                          </w:rPr>
                          <w:t> </w:t>
                        </w:r>
                        <w:r>
                          <w:rPr>
                            <w:b/>
                            <w:color w:val="164194"/>
                            <w:spacing w:val="-2"/>
                            <w:sz w:val="28"/>
                          </w:rPr>
                          <w:t>matter</w:t>
                        </w:r>
                        <w:r>
                          <w:rPr>
                            <w:b/>
                            <w:color w:val="164194"/>
                            <w:spacing w:val="-8"/>
                            <w:sz w:val="28"/>
                          </w:rPr>
                          <w:t> </w:t>
                        </w:r>
                        <w:r>
                          <w:rPr>
                            <w:b/>
                            <w:color w:val="164194"/>
                            <w:spacing w:val="-2"/>
                            <w:sz w:val="28"/>
                          </w:rPr>
                          <w:t>of</w:t>
                        </w:r>
                        <w:r>
                          <w:rPr>
                            <w:b/>
                            <w:color w:val="164194"/>
                            <w:spacing w:val="-8"/>
                            <w:sz w:val="28"/>
                          </w:rPr>
                          <w:t> </w:t>
                        </w:r>
                        <w:r>
                          <w:rPr>
                            <w:b/>
                            <w:color w:val="164194"/>
                            <w:spacing w:val="-2"/>
                            <w:sz w:val="28"/>
                          </w:rPr>
                          <w:t>voluntary</w:t>
                        </w:r>
                        <w:r>
                          <w:rPr>
                            <w:b/>
                            <w:color w:val="164194"/>
                            <w:spacing w:val="-8"/>
                            <w:sz w:val="28"/>
                          </w:rPr>
                          <w:t> </w:t>
                        </w:r>
                        <w:r>
                          <w:rPr>
                            <w:b/>
                            <w:color w:val="164194"/>
                            <w:spacing w:val="-2"/>
                            <w:sz w:val="28"/>
                          </w:rPr>
                          <w:t>alignment,</w:t>
                        </w:r>
                        <w:r>
                          <w:rPr>
                            <w:b/>
                            <w:color w:val="164194"/>
                            <w:spacing w:val="-8"/>
                            <w:sz w:val="28"/>
                          </w:rPr>
                          <w:t> </w:t>
                        </w:r>
                        <w:r>
                          <w:rPr>
                            <w:b/>
                            <w:color w:val="164194"/>
                            <w:spacing w:val="-2"/>
                            <w:sz w:val="28"/>
                          </w:rPr>
                          <w:t>the</w:t>
                        </w:r>
                        <w:r>
                          <w:rPr>
                            <w:b/>
                            <w:color w:val="164194"/>
                            <w:spacing w:val="-8"/>
                            <w:sz w:val="28"/>
                          </w:rPr>
                          <w:t> </w:t>
                        </w:r>
                        <w:r>
                          <w:rPr>
                            <w:b/>
                            <w:color w:val="164194"/>
                            <w:spacing w:val="-2"/>
                            <w:sz w:val="28"/>
                          </w:rPr>
                          <w:t>UK</w:t>
                        </w:r>
                        <w:r>
                          <w:rPr>
                            <w:b/>
                            <w:color w:val="164194"/>
                            <w:spacing w:val="-8"/>
                            <w:sz w:val="28"/>
                          </w:rPr>
                          <w:t> </w:t>
                        </w:r>
                        <w:r>
                          <w:rPr>
                            <w:b/>
                            <w:color w:val="164194"/>
                            <w:spacing w:val="-2"/>
                            <w:sz w:val="28"/>
                          </w:rPr>
                          <w:t>Government, </w:t>
                        </w:r>
                        <w:r>
                          <w:rPr>
                            <w:b/>
                            <w:color w:val="164194"/>
                            <w:sz w:val="28"/>
                          </w:rPr>
                          <w:t>NI</w:t>
                        </w:r>
                        <w:r>
                          <w:rPr>
                            <w:b/>
                            <w:color w:val="164194"/>
                            <w:spacing w:val="-8"/>
                            <w:sz w:val="28"/>
                          </w:rPr>
                          <w:t> </w:t>
                        </w:r>
                        <w:r>
                          <w:rPr>
                            <w:b/>
                            <w:color w:val="164194"/>
                            <w:sz w:val="28"/>
                          </w:rPr>
                          <w:t>Executive</w:t>
                        </w:r>
                        <w:r>
                          <w:rPr>
                            <w:b/>
                            <w:color w:val="164194"/>
                            <w:spacing w:val="-8"/>
                            <w:sz w:val="28"/>
                          </w:rPr>
                          <w:t> </w:t>
                        </w:r>
                        <w:r>
                          <w:rPr>
                            <w:b/>
                            <w:color w:val="164194"/>
                            <w:sz w:val="28"/>
                          </w:rPr>
                          <w:t>ensures</w:t>
                        </w:r>
                        <w:r>
                          <w:rPr>
                            <w:b/>
                            <w:color w:val="164194"/>
                            <w:spacing w:val="-8"/>
                            <w:sz w:val="28"/>
                          </w:rPr>
                          <w:t> </w:t>
                        </w:r>
                        <w:r>
                          <w:rPr>
                            <w:b/>
                            <w:color w:val="164194"/>
                            <w:sz w:val="28"/>
                          </w:rPr>
                          <w:t>that</w:t>
                        </w:r>
                        <w:r>
                          <w:rPr>
                            <w:b/>
                            <w:color w:val="164194"/>
                            <w:spacing w:val="-8"/>
                            <w:sz w:val="28"/>
                          </w:rPr>
                          <w:t> </w:t>
                        </w:r>
                        <w:r>
                          <w:rPr>
                            <w:b/>
                            <w:color w:val="164194"/>
                            <w:sz w:val="28"/>
                          </w:rPr>
                          <w:t>NI</w:t>
                        </w:r>
                        <w:r>
                          <w:rPr>
                            <w:b/>
                            <w:color w:val="164194"/>
                            <w:spacing w:val="-8"/>
                            <w:sz w:val="28"/>
                          </w:rPr>
                          <w:t> </w:t>
                        </w:r>
                        <w:r>
                          <w:rPr>
                            <w:b/>
                            <w:color w:val="164194"/>
                            <w:sz w:val="28"/>
                          </w:rPr>
                          <w:t>law</w:t>
                        </w:r>
                        <w:r>
                          <w:rPr>
                            <w:b/>
                            <w:color w:val="164194"/>
                            <w:spacing w:val="-8"/>
                            <w:sz w:val="28"/>
                          </w:rPr>
                          <w:t> </w:t>
                        </w:r>
                        <w:r>
                          <w:rPr>
                            <w:b/>
                            <w:color w:val="164194"/>
                            <w:sz w:val="28"/>
                          </w:rPr>
                          <w:t>complies</w:t>
                        </w:r>
                        <w:r>
                          <w:rPr>
                            <w:b/>
                            <w:color w:val="164194"/>
                            <w:spacing w:val="-8"/>
                            <w:sz w:val="28"/>
                          </w:rPr>
                          <w:t> </w:t>
                        </w:r>
                        <w:r>
                          <w:rPr>
                            <w:b/>
                            <w:color w:val="164194"/>
                            <w:sz w:val="28"/>
                          </w:rPr>
                          <w:t>with</w:t>
                        </w:r>
                        <w:r>
                          <w:rPr>
                            <w:b/>
                            <w:color w:val="164194"/>
                            <w:spacing w:val="-8"/>
                            <w:sz w:val="28"/>
                          </w:rPr>
                          <w:t> </w:t>
                        </w:r>
                        <w:r>
                          <w:rPr>
                            <w:b/>
                            <w:color w:val="164194"/>
                            <w:sz w:val="28"/>
                          </w:rPr>
                          <w:t>the</w:t>
                        </w:r>
                        <w:r>
                          <w:rPr>
                            <w:b/>
                            <w:color w:val="164194"/>
                            <w:spacing w:val="-8"/>
                            <w:sz w:val="28"/>
                          </w:rPr>
                          <w:t> </w:t>
                        </w:r>
                        <w:r>
                          <w:rPr>
                            <w:b/>
                            <w:color w:val="164194"/>
                            <w:sz w:val="28"/>
                          </w:rPr>
                          <w:t>standards</w:t>
                        </w:r>
                        <w:r>
                          <w:rPr>
                            <w:b/>
                            <w:color w:val="164194"/>
                            <w:spacing w:val="-8"/>
                            <w:sz w:val="28"/>
                          </w:rPr>
                          <w:t> </w:t>
                        </w:r>
                        <w:r>
                          <w:rPr>
                            <w:b/>
                            <w:color w:val="164194"/>
                            <w:sz w:val="28"/>
                          </w:rPr>
                          <w:t>in</w:t>
                        </w:r>
                        <w:r>
                          <w:rPr>
                            <w:b/>
                            <w:color w:val="164194"/>
                            <w:spacing w:val="-8"/>
                            <w:sz w:val="28"/>
                          </w:rPr>
                          <w:t> </w:t>
                        </w:r>
                        <w:r>
                          <w:rPr>
                            <w:b/>
                            <w:color w:val="164194"/>
                            <w:sz w:val="28"/>
                          </w:rPr>
                          <w:t>EU</w:t>
                        </w:r>
                        <w:r>
                          <w:rPr>
                            <w:b/>
                            <w:color w:val="164194"/>
                            <w:spacing w:val="-8"/>
                            <w:sz w:val="28"/>
                          </w:rPr>
                          <w:t> </w:t>
                        </w:r>
                        <w:r>
                          <w:rPr>
                            <w:b/>
                            <w:color w:val="164194"/>
                            <w:sz w:val="28"/>
                          </w:rPr>
                          <w:t>Directive 2023/977</w:t>
                        </w:r>
                        <w:r>
                          <w:rPr>
                            <w:b/>
                            <w:color w:val="164194"/>
                            <w:spacing w:val="-11"/>
                            <w:sz w:val="28"/>
                          </w:rPr>
                          <w:t> </w:t>
                        </w:r>
                        <w:r>
                          <w:rPr>
                            <w:b/>
                            <w:color w:val="164194"/>
                            <w:sz w:val="28"/>
                          </w:rPr>
                          <w:t>on</w:t>
                        </w:r>
                        <w:r>
                          <w:rPr>
                            <w:b/>
                            <w:color w:val="164194"/>
                            <w:spacing w:val="-11"/>
                            <w:sz w:val="28"/>
                          </w:rPr>
                          <w:t> </w:t>
                        </w:r>
                        <w:r>
                          <w:rPr>
                            <w:b/>
                            <w:color w:val="164194"/>
                            <w:sz w:val="28"/>
                          </w:rPr>
                          <w:t>exchange</w:t>
                        </w:r>
                        <w:r>
                          <w:rPr>
                            <w:b/>
                            <w:color w:val="164194"/>
                            <w:spacing w:val="-11"/>
                            <w:sz w:val="28"/>
                          </w:rPr>
                          <w:t> </w:t>
                        </w:r>
                        <w:r>
                          <w:rPr>
                            <w:b/>
                            <w:color w:val="164194"/>
                            <w:sz w:val="28"/>
                          </w:rPr>
                          <w:t>of</w:t>
                        </w:r>
                        <w:r>
                          <w:rPr>
                            <w:b/>
                            <w:color w:val="164194"/>
                            <w:spacing w:val="-11"/>
                            <w:sz w:val="28"/>
                          </w:rPr>
                          <w:t> </w:t>
                        </w:r>
                        <w:r>
                          <w:rPr>
                            <w:b/>
                            <w:color w:val="164194"/>
                            <w:sz w:val="28"/>
                          </w:rPr>
                          <w:t>information</w:t>
                        </w:r>
                        <w:r>
                          <w:rPr>
                            <w:b/>
                            <w:color w:val="164194"/>
                            <w:spacing w:val="-11"/>
                            <w:sz w:val="28"/>
                          </w:rPr>
                          <w:t> </w:t>
                        </w:r>
                        <w:r>
                          <w:rPr>
                            <w:b/>
                            <w:color w:val="164194"/>
                            <w:sz w:val="28"/>
                          </w:rPr>
                          <w:t>between</w:t>
                        </w:r>
                        <w:r>
                          <w:rPr>
                            <w:b/>
                            <w:color w:val="164194"/>
                            <w:spacing w:val="-11"/>
                            <w:sz w:val="28"/>
                          </w:rPr>
                          <w:t> </w:t>
                        </w:r>
                        <w:r>
                          <w:rPr>
                            <w:b/>
                            <w:color w:val="164194"/>
                            <w:sz w:val="28"/>
                          </w:rPr>
                          <w:t>law</w:t>
                        </w:r>
                        <w:r>
                          <w:rPr>
                            <w:b/>
                            <w:color w:val="164194"/>
                            <w:spacing w:val="-11"/>
                            <w:sz w:val="28"/>
                          </w:rPr>
                          <w:t> </w:t>
                        </w:r>
                        <w:r>
                          <w:rPr>
                            <w:b/>
                            <w:color w:val="164194"/>
                            <w:sz w:val="28"/>
                          </w:rPr>
                          <w:t>enforcement</w:t>
                        </w:r>
                        <w:r>
                          <w:rPr>
                            <w:b/>
                            <w:color w:val="164194"/>
                            <w:spacing w:val="-11"/>
                            <w:sz w:val="28"/>
                          </w:rPr>
                          <w:t> </w:t>
                        </w:r>
                        <w:r>
                          <w:rPr>
                            <w:b/>
                            <w:color w:val="164194"/>
                            <w:sz w:val="28"/>
                          </w:rPr>
                          <w:t>authorities and</w:t>
                        </w:r>
                        <w:r>
                          <w:rPr>
                            <w:b/>
                            <w:color w:val="164194"/>
                            <w:spacing w:val="-7"/>
                            <w:sz w:val="28"/>
                          </w:rPr>
                          <w:t> </w:t>
                        </w:r>
                        <w:r>
                          <w:rPr>
                            <w:b/>
                            <w:color w:val="164194"/>
                            <w:sz w:val="28"/>
                          </w:rPr>
                          <w:t>EU</w:t>
                        </w:r>
                        <w:r>
                          <w:rPr>
                            <w:b/>
                            <w:color w:val="164194"/>
                            <w:spacing w:val="-7"/>
                            <w:sz w:val="28"/>
                          </w:rPr>
                          <w:t> </w:t>
                        </w:r>
                        <w:r>
                          <w:rPr>
                            <w:b/>
                            <w:color w:val="164194"/>
                            <w:sz w:val="28"/>
                          </w:rPr>
                          <w:t>Directive</w:t>
                        </w:r>
                        <w:r>
                          <w:rPr>
                            <w:b/>
                            <w:color w:val="164194"/>
                            <w:spacing w:val="-7"/>
                            <w:sz w:val="28"/>
                          </w:rPr>
                          <w:t> </w:t>
                        </w:r>
                        <w:r>
                          <w:rPr>
                            <w:b/>
                            <w:color w:val="164194"/>
                            <w:sz w:val="28"/>
                          </w:rPr>
                          <w:t>2022/211</w:t>
                        </w:r>
                        <w:r>
                          <w:rPr>
                            <w:b/>
                            <w:color w:val="164194"/>
                            <w:spacing w:val="-7"/>
                            <w:sz w:val="28"/>
                          </w:rPr>
                          <w:t> </w:t>
                        </w:r>
                        <w:r>
                          <w:rPr>
                            <w:b/>
                            <w:color w:val="164194"/>
                            <w:sz w:val="28"/>
                          </w:rPr>
                          <w:t>on</w:t>
                        </w:r>
                        <w:r>
                          <w:rPr>
                            <w:b/>
                            <w:color w:val="164194"/>
                            <w:spacing w:val="-7"/>
                            <w:sz w:val="28"/>
                          </w:rPr>
                          <w:t> </w:t>
                        </w:r>
                        <w:r>
                          <w:rPr>
                            <w:b/>
                            <w:color w:val="164194"/>
                            <w:sz w:val="28"/>
                          </w:rPr>
                          <w:t>the</w:t>
                        </w:r>
                        <w:r>
                          <w:rPr>
                            <w:b/>
                            <w:color w:val="164194"/>
                            <w:spacing w:val="-7"/>
                            <w:sz w:val="28"/>
                          </w:rPr>
                          <w:t> </w:t>
                        </w:r>
                        <w:r>
                          <w:rPr>
                            <w:b/>
                            <w:color w:val="164194"/>
                            <w:sz w:val="28"/>
                          </w:rPr>
                          <w:t>protection</w:t>
                        </w:r>
                        <w:r>
                          <w:rPr>
                            <w:b/>
                            <w:color w:val="164194"/>
                            <w:spacing w:val="-7"/>
                            <w:sz w:val="28"/>
                          </w:rPr>
                          <w:t> </w:t>
                        </w:r>
                        <w:r>
                          <w:rPr>
                            <w:b/>
                            <w:color w:val="164194"/>
                            <w:sz w:val="28"/>
                          </w:rPr>
                          <w:t>of</w:t>
                        </w:r>
                        <w:r>
                          <w:rPr>
                            <w:b/>
                            <w:color w:val="164194"/>
                            <w:spacing w:val="-7"/>
                            <w:sz w:val="28"/>
                          </w:rPr>
                          <w:t> </w:t>
                        </w:r>
                        <w:r>
                          <w:rPr>
                            <w:b/>
                            <w:color w:val="164194"/>
                            <w:sz w:val="28"/>
                          </w:rPr>
                          <w:t>personal</w:t>
                        </w:r>
                        <w:r>
                          <w:rPr>
                            <w:b/>
                            <w:color w:val="164194"/>
                            <w:spacing w:val="-7"/>
                            <w:sz w:val="28"/>
                          </w:rPr>
                          <w:t> </w:t>
                        </w:r>
                        <w:r>
                          <w:rPr>
                            <w:b/>
                            <w:color w:val="164194"/>
                            <w:sz w:val="28"/>
                          </w:rPr>
                          <w:t>data,</w:t>
                        </w:r>
                        <w:r>
                          <w:rPr>
                            <w:b/>
                            <w:color w:val="164194"/>
                            <w:spacing w:val="-7"/>
                            <w:sz w:val="28"/>
                          </w:rPr>
                          <w:t> </w:t>
                        </w:r>
                        <w:r>
                          <w:rPr>
                            <w:b/>
                            <w:color w:val="164194"/>
                            <w:sz w:val="28"/>
                          </w:rPr>
                          <w:t>so</w:t>
                        </w:r>
                        <w:r>
                          <w:rPr>
                            <w:b/>
                            <w:color w:val="164194"/>
                            <w:spacing w:val="-7"/>
                            <w:sz w:val="28"/>
                          </w:rPr>
                          <w:t> </w:t>
                        </w:r>
                        <w:r>
                          <w:rPr>
                            <w:b/>
                            <w:color w:val="164194"/>
                            <w:sz w:val="28"/>
                          </w:rPr>
                          <w:t>as</w:t>
                        </w:r>
                        <w:r>
                          <w:rPr>
                            <w:b/>
                            <w:color w:val="164194"/>
                            <w:spacing w:val="-7"/>
                            <w:sz w:val="28"/>
                          </w:rPr>
                          <w:t> </w:t>
                        </w:r>
                        <w:r>
                          <w:rPr>
                            <w:b/>
                            <w:color w:val="164194"/>
                            <w:sz w:val="28"/>
                          </w:rPr>
                          <w:t>ensure </w:t>
                        </w:r>
                        <w:r>
                          <w:rPr>
                            <w:b/>
                            <w:color w:val="164194"/>
                            <w:spacing w:val="-2"/>
                            <w:sz w:val="28"/>
                          </w:rPr>
                          <w:t>continued</w:t>
                        </w:r>
                        <w:r>
                          <w:rPr>
                            <w:b/>
                            <w:color w:val="164194"/>
                            <w:spacing w:val="-14"/>
                            <w:sz w:val="28"/>
                          </w:rPr>
                          <w:t> </w:t>
                        </w:r>
                        <w:r>
                          <w:rPr>
                            <w:b/>
                            <w:color w:val="164194"/>
                            <w:spacing w:val="-2"/>
                            <w:sz w:val="28"/>
                          </w:rPr>
                          <w:t>cross</w:t>
                        </w:r>
                        <w:r>
                          <w:rPr>
                            <w:b/>
                            <w:color w:val="164194"/>
                            <w:spacing w:val="-14"/>
                            <w:sz w:val="28"/>
                          </w:rPr>
                          <w:t> </w:t>
                        </w:r>
                        <w:r>
                          <w:rPr>
                            <w:b/>
                            <w:color w:val="164194"/>
                            <w:spacing w:val="-2"/>
                            <w:sz w:val="28"/>
                          </w:rPr>
                          <w:t>border</w:t>
                        </w:r>
                        <w:r>
                          <w:rPr>
                            <w:b/>
                            <w:color w:val="164194"/>
                            <w:spacing w:val="-14"/>
                            <w:sz w:val="28"/>
                          </w:rPr>
                          <w:t> </w:t>
                        </w:r>
                        <w:r>
                          <w:rPr>
                            <w:b/>
                            <w:color w:val="164194"/>
                            <w:spacing w:val="-2"/>
                            <w:sz w:val="28"/>
                          </w:rPr>
                          <w:t>criminal</w:t>
                        </w:r>
                        <w:r>
                          <w:rPr>
                            <w:b/>
                            <w:color w:val="164194"/>
                            <w:spacing w:val="-13"/>
                            <w:sz w:val="28"/>
                          </w:rPr>
                          <w:t> </w:t>
                        </w:r>
                        <w:r>
                          <w:rPr>
                            <w:b/>
                            <w:color w:val="164194"/>
                            <w:spacing w:val="-2"/>
                            <w:sz w:val="28"/>
                          </w:rPr>
                          <w:t>justice</w:t>
                        </w:r>
                        <w:r>
                          <w:rPr>
                            <w:b/>
                            <w:color w:val="164194"/>
                            <w:spacing w:val="-14"/>
                            <w:sz w:val="28"/>
                          </w:rPr>
                          <w:t> </w:t>
                        </w:r>
                        <w:r>
                          <w:rPr>
                            <w:b/>
                            <w:color w:val="164194"/>
                            <w:spacing w:val="-2"/>
                            <w:sz w:val="28"/>
                          </w:rPr>
                          <w:t>cooperation,</w:t>
                        </w:r>
                        <w:r>
                          <w:rPr>
                            <w:b/>
                            <w:color w:val="164194"/>
                            <w:spacing w:val="-14"/>
                            <w:sz w:val="28"/>
                          </w:rPr>
                          <w:t> </w:t>
                        </w:r>
                        <w:r>
                          <w:rPr>
                            <w:b/>
                            <w:color w:val="164194"/>
                            <w:spacing w:val="-2"/>
                            <w:sz w:val="28"/>
                          </w:rPr>
                          <w:t>where</w:t>
                        </w:r>
                        <w:r>
                          <w:rPr>
                            <w:b/>
                            <w:color w:val="164194"/>
                            <w:spacing w:val="-14"/>
                            <w:sz w:val="28"/>
                          </w:rPr>
                          <w:t> </w:t>
                        </w:r>
                        <w:r>
                          <w:rPr>
                            <w:b/>
                            <w:color w:val="164194"/>
                            <w:spacing w:val="-2"/>
                            <w:sz w:val="28"/>
                          </w:rPr>
                          <w:t>this</w:t>
                        </w:r>
                        <w:r>
                          <w:rPr>
                            <w:b/>
                            <w:color w:val="164194"/>
                            <w:spacing w:val="-13"/>
                            <w:sz w:val="28"/>
                          </w:rPr>
                          <w:t> </w:t>
                        </w:r>
                        <w:r>
                          <w:rPr>
                            <w:b/>
                            <w:color w:val="164194"/>
                            <w:spacing w:val="-2"/>
                            <w:sz w:val="28"/>
                          </w:rPr>
                          <w:t>will</w:t>
                        </w:r>
                        <w:r>
                          <w:rPr>
                            <w:b/>
                            <w:color w:val="164194"/>
                            <w:spacing w:val="-14"/>
                            <w:sz w:val="28"/>
                          </w:rPr>
                          <w:t> </w:t>
                        </w:r>
                        <w:r>
                          <w:rPr>
                            <w:b/>
                            <w:color w:val="164194"/>
                            <w:spacing w:val="-2"/>
                            <w:sz w:val="28"/>
                          </w:rPr>
                          <w:t>strengthen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reflect</w:t>
                        </w:r>
                        <w:r>
                          <w:rPr>
                            <w:b/>
                            <w:color w:val="164194"/>
                            <w:spacing w:val="-9"/>
                            <w:sz w:val="28"/>
                          </w:rPr>
                          <w:t> </w:t>
                        </w:r>
                        <w:r>
                          <w:rPr>
                            <w:b/>
                            <w:color w:val="164194"/>
                            <w:sz w:val="28"/>
                          </w:rPr>
                          <w:t>international</w:t>
                        </w:r>
                        <w:r>
                          <w:rPr>
                            <w:b/>
                            <w:color w:val="164194"/>
                            <w:spacing w:val="-9"/>
                            <w:sz w:val="28"/>
                          </w:rPr>
                          <w:t> </w:t>
                        </w:r>
                        <w:r>
                          <w:rPr>
                            <w:b/>
                            <w:color w:val="164194"/>
                            <w:sz w:val="28"/>
                          </w:rPr>
                          <w:t>human</w:t>
                        </w:r>
                        <w:r>
                          <w:rPr>
                            <w:b/>
                            <w:color w:val="164194"/>
                            <w:spacing w:val="-9"/>
                            <w:sz w:val="28"/>
                          </w:rPr>
                          <w:t> </w:t>
                        </w:r>
                        <w:r>
                          <w:rPr>
                            <w:b/>
                            <w:color w:val="164194"/>
                            <w:sz w:val="28"/>
                          </w:rPr>
                          <w:t>rights</w:t>
                        </w:r>
                        <w:r>
                          <w:rPr>
                            <w:b/>
                            <w:color w:val="164194"/>
                            <w:spacing w:val="-9"/>
                            <w:sz w:val="28"/>
                          </w:rPr>
                          <w:t> </w:t>
                        </w:r>
                        <w:r>
                          <w:rPr>
                            <w:b/>
                            <w:color w:val="164194"/>
                            <w:sz w:val="28"/>
                          </w:rPr>
                          <w:t>standards</w:t>
                        </w:r>
                        <w:r>
                          <w:rPr>
                            <w:b/>
                            <w:color w:val="164194"/>
                            <w:spacing w:val="-9"/>
                            <w:sz w:val="28"/>
                          </w:rPr>
                          <w:t> </w:t>
                        </w:r>
                        <w:r>
                          <w:rPr>
                            <w:b/>
                            <w:color w:val="164194"/>
                            <w:sz w:val="28"/>
                          </w:rPr>
                          <w:t>and</w:t>
                        </w:r>
                        <w:r>
                          <w:rPr>
                            <w:b/>
                            <w:color w:val="164194"/>
                            <w:spacing w:val="-9"/>
                            <w:sz w:val="28"/>
                          </w:rPr>
                          <w:t> </w:t>
                        </w:r>
                        <w:r>
                          <w:rPr>
                            <w:b/>
                            <w:color w:val="164194"/>
                            <w:sz w:val="28"/>
                          </w:rPr>
                          <w:t>best</w:t>
                        </w:r>
                        <w:r>
                          <w:rPr>
                            <w:b/>
                            <w:color w:val="164194"/>
                            <w:spacing w:val="-9"/>
                            <w:sz w:val="28"/>
                          </w:rPr>
                          <w:t> </w:t>
                        </w:r>
                        <w:r>
                          <w:rPr>
                            <w:b/>
                            <w:color w:val="164194"/>
                            <w:sz w:val="28"/>
                          </w:rPr>
                          <w:t>practice.</w:t>
                        </w:r>
                      </w:p>
                    </w:txbxContent>
                  </v:textbox>
                  <w10:wrap type="non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7"/>
        <w:rPr>
          <w:sz w:val="20"/>
        </w:rPr>
      </w:pPr>
      <w:r>
        <w:rPr/>
        <mc:AlternateContent>
          <mc:Choice Requires="wps">
            <w:drawing>
              <wp:anchor distT="0" distB="0" distL="0" distR="0" allowOverlap="1" layoutInCell="1" locked="0" behindDoc="1" simplePos="0" relativeHeight="487734784">
                <wp:simplePos x="0" y="0"/>
                <wp:positionH relativeFrom="page">
                  <wp:posOffset>899999</wp:posOffset>
                </wp:positionH>
                <wp:positionV relativeFrom="paragraph">
                  <wp:posOffset>213376</wp:posOffset>
                </wp:positionV>
                <wp:extent cx="6012180" cy="1270"/>
                <wp:effectExtent l="0" t="0" r="0" b="0"/>
                <wp:wrapTopAndBottom/>
                <wp:docPr id="778" name="Graphic 778"/>
                <wp:cNvGraphicFramePr>
                  <a:graphicFrameLocks/>
                </wp:cNvGraphicFramePr>
                <a:graphic>
                  <a:graphicData uri="http://schemas.microsoft.com/office/word/2010/wordprocessingShape">
                    <wps:wsp>
                      <wps:cNvPr id="778" name="Graphic 77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6.801275pt;width:473.4pt;height:.1pt;mso-position-horizontal-relative:page;mso-position-vertical-relative:paragraph;z-index:-15581696;mso-wrap-distance-left:0;mso-wrap-distance-right:0" id="docshape635" coordorigin="1417,336" coordsize="9468,0" path="m1417,336l10885,336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749" w:hanging="567"/>
        <w:jc w:val="left"/>
        <w:rPr>
          <w:sz w:val="18"/>
        </w:rPr>
      </w:pPr>
      <w:hyperlink r:id="rId134">
        <w:r>
          <w:rPr>
            <w:color w:val="1D71B8"/>
            <w:sz w:val="18"/>
            <w:u w:val="single" w:color="1D71B8"/>
          </w:rPr>
          <w:t>EU Directive 2023/1544</w:t>
        </w:r>
      </w:hyperlink>
      <w:r>
        <w:rPr>
          <w:color w:val="1D71B8"/>
          <w:sz w:val="18"/>
          <w:u w:val="none"/>
        </w:rPr>
        <w:t> </w:t>
      </w:r>
      <w:r>
        <w:rPr>
          <w:sz w:val="18"/>
          <w:u w:val="none"/>
        </w:rPr>
        <w:t>of the European Parliament and of the Council of 12 July 2023 laying down harmonised rules on the designation of designated establishments and the appointment of legal representatives for the purpose of gathering electronic</w:t>
      </w:r>
      <w:r>
        <w:rPr>
          <w:spacing w:val="-4"/>
          <w:sz w:val="18"/>
          <w:u w:val="none"/>
        </w:rPr>
        <w:t> </w:t>
      </w:r>
      <w:r>
        <w:rPr>
          <w:sz w:val="18"/>
          <w:u w:val="none"/>
        </w:rPr>
        <w:t>evidence</w:t>
      </w:r>
      <w:r>
        <w:rPr>
          <w:spacing w:val="-4"/>
          <w:sz w:val="18"/>
          <w:u w:val="none"/>
        </w:rPr>
        <w:t> </w:t>
      </w:r>
      <w:r>
        <w:rPr>
          <w:sz w:val="18"/>
          <w:u w:val="none"/>
        </w:rPr>
        <w:t>in</w:t>
      </w:r>
      <w:r>
        <w:rPr>
          <w:spacing w:val="-5"/>
          <w:sz w:val="18"/>
          <w:u w:val="none"/>
        </w:rPr>
        <w:t> </w:t>
      </w:r>
      <w:r>
        <w:rPr>
          <w:sz w:val="18"/>
          <w:u w:val="none"/>
        </w:rPr>
        <w:t>criminal</w:t>
      </w:r>
      <w:r>
        <w:rPr>
          <w:spacing w:val="-5"/>
          <w:sz w:val="18"/>
          <w:u w:val="none"/>
        </w:rPr>
        <w:t> </w:t>
      </w:r>
      <w:r>
        <w:rPr>
          <w:sz w:val="18"/>
          <w:u w:val="none"/>
        </w:rPr>
        <w:t>proceedings.</w:t>
      </w:r>
      <w:r>
        <w:rPr>
          <w:spacing w:val="-5"/>
          <w:sz w:val="18"/>
          <w:u w:val="none"/>
        </w:rPr>
        <w:t> </w:t>
      </w:r>
      <w:r>
        <w:rPr>
          <w:sz w:val="18"/>
          <w:u w:val="none"/>
        </w:rPr>
        <w:t>It</w:t>
      </w:r>
      <w:r>
        <w:rPr>
          <w:spacing w:val="-4"/>
          <w:sz w:val="18"/>
          <w:u w:val="none"/>
        </w:rPr>
        <w:t> </w:t>
      </w:r>
      <w:r>
        <w:rPr>
          <w:sz w:val="18"/>
          <w:u w:val="none"/>
        </w:rPr>
        <w:t>requires</w:t>
      </w:r>
      <w:r>
        <w:rPr>
          <w:spacing w:val="-5"/>
          <w:sz w:val="18"/>
          <w:u w:val="none"/>
        </w:rPr>
        <w:t> </w:t>
      </w:r>
      <w:r>
        <w:rPr>
          <w:sz w:val="18"/>
          <w:u w:val="none"/>
        </w:rPr>
        <w:t>that</w:t>
      </w:r>
      <w:r>
        <w:rPr>
          <w:spacing w:val="-4"/>
          <w:sz w:val="18"/>
          <w:u w:val="none"/>
        </w:rPr>
        <w:t> </w:t>
      </w:r>
      <w:r>
        <w:rPr>
          <w:sz w:val="18"/>
          <w:u w:val="none"/>
        </w:rPr>
        <w:t>Member</w:t>
      </w:r>
      <w:r>
        <w:rPr>
          <w:spacing w:val="-4"/>
          <w:sz w:val="18"/>
          <w:u w:val="none"/>
        </w:rPr>
        <w:t> </w:t>
      </w:r>
      <w:r>
        <w:rPr>
          <w:sz w:val="18"/>
          <w:u w:val="none"/>
        </w:rPr>
        <w:t>States</w:t>
      </w:r>
      <w:r>
        <w:rPr>
          <w:spacing w:val="-5"/>
          <w:sz w:val="18"/>
          <w:u w:val="none"/>
        </w:rPr>
        <w:t> </w:t>
      </w:r>
      <w:r>
        <w:rPr>
          <w:sz w:val="18"/>
          <w:u w:val="none"/>
        </w:rPr>
        <w:t>ensure</w:t>
      </w:r>
      <w:r>
        <w:rPr>
          <w:spacing w:val="-4"/>
          <w:sz w:val="18"/>
          <w:u w:val="none"/>
        </w:rPr>
        <w:t> </w:t>
      </w:r>
      <w:r>
        <w:rPr>
          <w:sz w:val="18"/>
          <w:u w:val="none"/>
        </w:rPr>
        <w:t>that</w:t>
      </w:r>
      <w:r>
        <w:rPr>
          <w:spacing w:val="-4"/>
          <w:sz w:val="18"/>
          <w:u w:val="none"/>
        </w:rPr>
        <w:t> </w:t>
      </w:r>
      <w:r>
        <w:rPr>
          <w:sz w:val="18"/>
          <w:u w:val="none"/>
        </w:rPr>
        <w:t>service</w:t>
      </w:r>
      <w:r>
        <w:rPr>
          <w:spacing w:val="-4"/>
          <w:sz w:val="18"/>
          <w:u w:val="none"/>
        </w:rPr>
        <w:t> </w:t>
      </w:r>
      <w:r>
        <w:rPr>
          <w:sz w:val="18"/>
          <w:u w:val="none"/>
        </w:rPr>
        <w:t>providers</w:t>
      </w:r>
      <w:r>
        <w:rPr>
          <w:spacing w:val="-5"/>
          <w:sz w:val="18"/>
          <w:u w:val="none"/>
        </w:rPr>
        <w:t> </w:t>
      </w:r>
      <w:r>
        <w:rPr>
          <w:sz w:val="18"/>
          <w:u w:val="none"/>
        </w:rPr>
        <w:t>offering</w:t>
      </w:r>
      <w:r>
        <w:rPr>
          <w:spacing w:val="-4"/>
          <w:sz w:val="18"/>
          <w:u w:val="none"/>
        </w:rPr>
        <w:t> </w:t>
      </w:r>
      <w:r>
        <w:rPr>
          <w:sz w:val="18"/>
          <w:u w:val="none"/>
        </w:rPr>
        <w:t>services in</w:t>
      </w:r>
      <w:r>
        <w:rPr>
          <w:spacing w:val="-5"/>
          <w:sz w:val="18"/>
          <w:u w:val="none"/>
        </w:rPr>
        <w:t> </w:t>
      </w:r>
      <w:r>
        <w:rPr>
          <w:sz w:val="18"/>
          <w:u w:val="none"/>
        </w:rPr>
        <w:t>the</w:t>
      </w:r>
      <w:r>
        <w:rPr>
          <w:spacing w:val="-4"/>
          <w:sz w:val="18"/>
          <w:u w:val="none"/>
        </w:rPr>
        <w:t> </w:t>
      </w:r>
      <w:r>
        <w:rPr>
          <w:sz w:val="18"/>
          <w:u w:val="none"/>
        </w:rPr>
        <w:t>Union</w:t>
      </w:r>
      <w:r>
        <w:rPr>
          <w:spacing w:val="-5"/>
          <w:sz w:val="18"/>
          <w:u w:val="none"/>
        </w:rPr>
        <w:t> </w:t>
      </w:r>
      <w:r>
        <w:rPr>
          <w:sz w:val="18"/>
          <w:u w:val="none"/>
        </w:rPr>
        <w:t>designate</w:t>
      </w:r>
      <w:r>
        <w:rPr>
          <w:spacing w:val="-4"/>
          <w:sz w:val="18"/>
          <w:u w:val="none"/>
        </w:rPr>
        <w:t> </w:t>
      </w:r>
      <w:r>
        <w:rPr>
          <w:sz w:val="18"/>
          <w:u w:val="none"/>
        </w:rPr>
        <w:t>or</w:t>
      </w:r>
      <w:r>
        <w:rPr>
          <w:spacing w:val="-4"/>
          <w:sz w:val="18"/>
          <w:u w:val="none"/>
        </w:rPr>
        <w:t> </w:t>
      </w:r>
      <w:r>
        <w:rPr>
          <w:sz w:val="18"/>
          <w:u w:val="none"/>
        </w:rPr>
        <w:t>appoint</w:t>
      </w:r>
      <w:r>
        <w:rPr>
          <w:spacing w:val="-4"/>
          <w:sz w:val="18"/>
          <w:u w:val="none"/>
        </w:rPr>
        <w:t> </w:t>
      </w:r>
      <w:r>
        <w:rPr>
          <w:sz w:val="18"/>
          <w:u w:val="none"/>
        </w:rPr>
        <w:t>at</w:t>
      </w:r>
      <w:r>
        <w:rPr>
          <w:spacing w:val="-4"/>
          <w:sz w:val="18"/>
          <w:u w:val="none"/>
        </w:rPr>
        <w:t> </w:t>
      </w:r>
      <w:r>
        <w:rPr>
          <w:sz w:val="18"/>
          <w:u w:val="none"/>
        </w:rPr>
        <w:t>least</w:t>
      </w:r>
      <w:r>
        <w:rPr>
          <w:spacing w:val="-4"/>
          <w:sz w:val="18"/>
          <w:u w:val="none"/>
        </w:rPr>
        <w:t> </w:t>
      </w:r>
      <w:r>
        <w:rPr>
          <w:sz w:val="18"/>
          <w:u w:val="none"/>
        </w:rPr>
        <w:t>one</w:t>
      </w:r>
      <w:r>
        <w:rPr>
          <w:spacing w:val="-4"/>
          <w:sz w:val="18"/>
          <w:u w:val="none"/>
        </w:rPr>
        <w:t> </w:t>
      </w:r>
      <w:r>
        <w:rPr>
          <w:sz w:val="18"/>
          <w:u w:val="none"/>
        </w:rPr>
        <w:t>addressee</w:t>
      </w:r>
      <w:r>
        <w:rPr>
          <w:spacing w:val="-4"/>
          <w:sz w:val="18"/>
          <w:u w:val="none"/>
        </w:rPr>
        <w:t> </w:t>
      </w:r>
      <w:r>
        <w:rPr>
          <w:sz w:val="18"/>
          <w:u w:val="none"/>
        </w:rPr>
        <w:t>for</w:t>
      </w:r>
      <w:r>
        <w:rPr>
          <w:spacing w:val="-4"/>
          <w:sz w:val="18"/>
          <w:u w:val="none"/>
        </w:rPr>
        <w:t> </w:t>
      </w:r>
      <w:r>
        <w:rPr>
          <w:sz w:val="18"/>
          <w:u w:val="none"/>
        </w:rPr>
        <w:t>the</w:t>
      </w:r>
      <w:r>
        <w:rPr>
          <w:spacing w:val="-4"/>
          <w:sz w:val="18"/>
          <w:u w:val="none"/>
        </w:rPr>
        <w:t> </w:t>
      </w:r>
      <w:r>
        <w:rPr>
          <w:sz w:val="18"/>
          <w:u w:val="none"/>
        </w:rPr>
        <w:t>receipt</w:t>
      </w:r>
      <w:r>
        <w:rPr>
          <w:spacing w:val="-4"/>
          <w:sz w:val="18"/>
          <w:u w:val="none"/>
        </w:rPr>
        <w:t> </w:t>
      </w:r>
      <w:r>
        <w:rPr>
          <w:sz w:val="18"/>
          <w:u w:val="none"/>
        </w:rPr>
        <w:t>of,</w:t>
      </w:r>
      <w:r>
        <w:rPr>
          <w:spacing w:val="-4"/>
          <w:sz w:val="18"/>
          <w:u w:val="none"/>
        </w:rPr>
        <w:t> </w:t>
      </w:r>
      <w:r>
        <w:rPr>
          <w:sz w:val="18"/>
          <w:u w:val="none"/>
        </w:rPr>
        <w:t>compliance</w:t>
      </w:r>
      <w:r>
        <w:rPr>
          <w:spacing w:val="-4"/>
          <w:sz w:val="18"/>
          <w:u w:val="none"/>
        </w:rPr>
        <w:t> </w:t>
      </w:r>
      <w:r>
        <w:rPr>
          <w:sz w:val="18"/>
          <w:u w:val="none"/>
        </w:rPr>
        <w:t>with</w:t>
      </w:r>
      <w:r>
        <w:rPr>
          <w:spacing w:val="-5"/>
          <w:sz w:val="18"/>
          <w:u w:val="none"/>
        </w:rPr>
        <w:t> </w:t>
      </w:r>
      <w:r>
        <w:rPr>
          <w:sz w:val="18"/>
          <w:u w:val="none"/>
        </w:rPr>
        <w:t>and</w:t>
      </w:r>
      <w:r>
        <w:rPr>
          <w:spacing w:val="-5"/>
          <w:sz w:val="18"/>
          <w:u w:val="none"/>
        </w:rPr>
        <w:t> </w:t>
      </w:r>
      <w:r>
        <w:rPr>
          <w:sz w:val="18"/>
          <w:u w:val="none"/>
        </w:rPr>
        <w:t>enforcement</w:t>
      </w:r>
      <w:r>
        <w:rPr>
          <w:spacing w:val="-4"/>
          <w:sz w:val="18"/>
          <w:u w:val="none"/>
        </w:rPr>
        <w:t> </w:t>
      </w:r>
      <w:r>
        <w:rPr>
          <w:sz w:val="18"/>
          <w:u w:val="none"/>
        </w:rPr>
        <w:t>of</w:t>
      </w:r>
      <w:r>
        <w:rPr>
          <w:spacing w:val="-5"/>
          <w:sz w:val="18"/>
          <w:u w:val="none"/>
        </w:rPr>
        <w:t> </w:t>
      </w:r>
      <w:r>
        <w:rPr>
          <w:sz w:val="18"/>
          <w:u w:val="none"/>
        </w:rPr>
        <w:t>decisions and orders for the purpose of gathering electronic evidence.</w:t>
      </w:r>
    </w:p>
    <w:p>
      <w:pPr>
        <w:pStyle w:val="ListParagraph"/>
        <w:numPr>
          <w:ilvl w:val="0"/>
          <w:numId w:val="18"/>
        </w:numPr>
        <w:tabs>
          <w:tab w:pos="1684" w:val="left" w:leader="none"/>
        </w:tabs>
        <w:spacing w:line="240" w:lineRule="auto" w:before="2" w:after="0"/>
        <w:ind w:left="1684" w:right="965" w:hanging="567"/>
        <w:jc w:val="left"/>
        <w:rPr>
          <w:sz w:val="18"/>
        </w:rPr>
      </w:pPr>
      <w:r>
        <w:rPr>
          <w:color w:val="1D71B8"/>
          <w:sz w:val="18"/>
          <w:u w:val="single" w:color="1D71B8"/>
        </w:rPr>
        <w:t>EU Directive 2023/977</w:t>
      </w:r>
      <w:r>
        <w:rPr>
          <w:color w:val="1D71B8"/>
          <w:sz w:val="18"/>
          <w:u w:val="none"/>
        </w:rPr>
        <w:t> </w:t>
      </w:r>
      <w:r>
        <w:rPr>
          <w:sz w:val="18"/>
          <w:u w:val="none"/>
        </w:rPr>
        <w:t>of the European Parliament and of the Council of 10 May 2023 on the exchange of information between</w:t>
      </w:r>
      <w:r>
        <w:rPr>
          <w:spacing w:val="-6"/>
          <w:sz w:val="18"/>
          <w:u w:val="none"/>
        </w:rPr>
        <w:t> </w:t>
      </w:r>
      <w:r>
        <w:rPr>
          <w:sz w:val="18"/>
          <w:u w:val="none"/>
        </w:rPr>
        <w:t>the</w:t>
      </w:r>
      <w:r>
        <w:rPr>
          <w:spacing w:val="-5"/>
          <w:sz w:val="18"/>
          <w:u w:val="none"/>
        </w:rPr>
        <w:t> </w:t>
      </w:r>
      <w:r>
        <w:rPr>
          <w:sz w:val="18"/>
          <w:u w:val="none"/>
        </w:rPr>
        <w:t>law</w:t>
      </w:r>
      <w:r>
        <w:rPr>
          <w:spacing w:val="-5"/>
          <w:sz w:val="18"/>
          <w:u w:val="none"/>
        </w:rPr>
        <w:t> </w:t>
      </w:r>
      <w:r>
        <w:rPr>
          <w:sz w:val="18"/>
          <w:u w:val="none"/>
        </w:rPr>
        <w:t>enforcement</w:t>
      </w:r>
      <w:r>
        <w:rPr>
          <w:spacing w:val="-5"/>
          <w:sz w:val="18"/>
          <w:u w:val="none"/>
        </w:rPr>
        <w:t> </w:t>
      </w:r>
      <w:r>
        <w:rPr>
          <w:sz w:val="18"/>
          <w:u w:val="none"/>
        </w:rPr>
        <w:t>authorities</w:t>
      </w:r>
      <w:r>
        <w:rPr>
          <w:spacing w:val="-6"/>
          <w:sz w:val="18"/>
          <w:u w:val="none"/>
        </w:rPr>
        <w:t> </w:t>
      </w:r>
      <w:r>
        <w:rPr>
          <w:sz w:val="18"/>
          <w:u w:val="none"/>
        </w:rPr>
        <w:t>of</w:t>
      </w:r>
      <w:r>
        <w:rPr>
          <w:spacing w:val="-6"/>
          <w:sz w:val="18"/>
          <w:u w:val="none"/>
        </w:rPr>
        <w:t> </w:t>
      </w:r>
      <w:r>
        <w:rPr>
          <w:sz w:val="18"/>
          <w:u w:val="none"/>
        </w:rPr>
        <w:t>Member</w:t>
      </w:r>
      <w:r>
        <w:rPr>
          <w:spacing w:val="-5"/>
          <w:sz w:val="18"/>
          <w:u w:val="none"/>
        </w:rPr>
        <w:t> </w:t>
      </w:r>
      <w:r>
        <w:rPr>
          <w:sz w:val="18"/>
          <w:u w:val="none"/>
        </w:rPr>
        <w:t>States</w:t>
      </w:r>
      <w:r>
        <w:rPr>
          <w:spacing w:val="-6"/>
          <w:sz w:val="18"/>
          <w:u w:val="none"/>
        </w:rPr>
        <w:t> </w:t>
      </w:r>
      <w:r>
        <w:rPr>
          <w:sz w:val="18"/>
          <w:u w:val="none"/>
        </w:rPr>
        <w:t>and</w:t>
      </w:r>
      <w:r>
        <w:rPr>
          <w:spacing w:val="-6"/>
          <w:sz w:val="18"/>
          <w:u w:val="none"/>
        </w:rPr>
        <w:t> </w:t>
      </w:r>
      <w:r>
        <w:rPr>
          <w:sz w:val="18"/>
          <w:u w:val="none"/>
        </w:rPr>
        <w:t>repealing</w:t>
      </w:r>
      <w:r>
        <w:rPr>
          <w:spacing w:val="-5"/>
          <w:sz w:val="18"/>
          <w:u w:val="none"/>
        </w:rPr>
        <w:t> </w:t>
      </w:r>
      <w:r>
        <w:rPr>
          <w:sz w:val="18"/>
          <w:u w:val="none"/>
        </w:rPr>
        <w:t>Council</w:t>
      </w:r>
      <w:r>
        <w:rPr>
          <w:spacing w:val="-6"/>
          <w:sz w:val="18"/>
          <w:u w:val="none"/>
        </w:rPr>
        <w:t> </w:t>
      </w:r>
      <w:r>
        <w:rPr>
          <w:sz w:val="18"/>
          <w:u w:val="none"/>
        </w:rPr>
        <w:t>Framework</w:t>
      </w:r>
      <w:r>
        <w:rPr>
          <w:spacing w:val="-5"/>
          <w:sz w:val="18"/>
          <w:u w:val="none"/>
        </w:rPr>
        <w:t> </w:t>
      </w:r>
      <w:r>
        <w:rPr>
          <w:sz w:val="18"/>
          <w:u w:val="none"/>
        </w:rPr>
        <w:t>Decision</w:t>
      </w:r>
      <w:r>
        <w:rPr>
          <w:spacing w:val="-6"/>
          <w:sz w:val="18"/>
          <w:u w:val="none"/>
        </w:rPr>
        <w:t> </w:t>
      </w:r>
      <w:r>
        <w:rPr>
          <w:sz w:val="18"/>
          <w:u w:val="none"/>
        </w:rPr>
        <w:t>2006/960/JHA.</w:t>
      </w:r>
    </w:p>
    <w:p>
      <w:pPr>
        <w:pStyle w:val="ListParagraph"/>
        <w:numPr>
          <w:ilvl w:val="0"/>
          <w:numId w:val="18"/>
        </w:numPr>
        <w:tabs>
          <w:tab w:pos="1684" w:val="left" w:leader="none"/>
        </w:tabs>
        <w:spacing w:line="240" w:lineRule="auto" w:before="0" w:after="0"/>
        <w:ind w:left="1684" w:right="844" w:hanging="567"/>
        <w:jc w:val="left"/>
        <w:rPr>
          <w:sz w:val="18"/>
        </w:rPr>
      </w:pPr>
      <w:hyperlink r:id="rId135">
        <w:r>
          <w:rPr>
            <w:color w:val="1D71B8"/>
            <w:sz w:val="18"/>
            <w:u w:val="single" w:color="1D71B8"/>
          </w:rPr>
          <w:t>EU</w:t>
        </w:r>
        <w:r>
          <w:rPr>
            <w:color w:val="1D71B8"/>
            <w:spacing w:val="-3"/>
            <w:sz w:val="18"/>
            <w:u w:val="single" w:color="1D71B8"/>
          </w:rPr>
          <w:t> </w:t>
        </w:r>
        <w:r>
          <w:rPr>
            <w:color w:val="1D71B8"/>
            <w:sz w:val="18"/>
            <w:u w:val="single" w:color="1D71B8"/>
          </w:rPr>
          <w:t>Directive</w:t>
        </w:r>
        <w:r>
          <w:rPr>
            <w:color w:val="1D71B8"/>
            <w:spacing w:val="-3"/>
            <w:sz w:val="18"/>
            <w:u w:val="single" w:color="1D71B8"/>
          </w:rPr>
          <w:t> </w:t>
        </w:r>
        <w:r>
          <w:rPr>
            <w:color w:val="1D71B8"/>
            <w:sz w:val="18"/>
            <w:u w:val="single" w:color="1D71B8"/>
          </w:rPr>
          <w:t>2022/211</w:t>
        </w:r>
      </w:hyperlink>
      <w:r>
        <w:rPr>
          <w:color w:val="1D71B8"/>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16</w:t>
      </w:r>
      <w:r>
        <w:rPr>
          <w:spacing w:val="-3"/>
          <w:sz w:val="18"/>
          <w:u w:val="none"/>
        </w:rPr>
        <w:t> </w:t>
      </w:r>
      <w:r>
        <w:rPr>
          <w:sz w:val="18"/>
          <w:u w:val="none"/>
        </w:rPr>
        <w:t>February</w:t>
      </w:r>
      <w:r>
        <w:rPr>
          <w:spacing w:val="-3"/>
          <w:sz w:val="18"/>
          <w:u w:val="none"/>
        </w:rPr>
        <w:t> </w:t>
      </w:r>
      <w:r>
        <w:rPr>
          <w:sz w:val="18"/>
          <w:u w:val="none"/>
        </w:rPr>
        <w:t>2022</w:t>
      </w:r>
      <w:r>
        <w:rPr>
          <w:spacing w:val="-3"/>
          <w:sz w:val="18"/>
          <w:u w:val="none"/>
        </w:rPr>
        <w:t> </w:t>
      </w:r>
      <w:r>
        <w:rPr>
          <w:sz w:val="18"/>
          <w:u w:val="none"/>
        </w:rPr>
        <w:t>amending</w:t>
      </w:r>
      <w:r>
        <w:rPr>
          <w:spacing w:val="-3"/>
          <w:sz w:val="18"/>
          <w:u w:val="none"/>
        </w:rPr>
        <w:t> </w:t>
      </w:r>
      <w:r>
        <w:rPr>
          <w:sz w:val="18"/>
          <w:u w:val="none"/>
        </w:rPr>
        <w:t>Council</w:t>
      </w:r>
      <w:r>
        <w:rPr>
          <w:spacing w:val="-4"/>
          <w:sz w:val="18"/>
          <w:u w:val="none"/>
        </w:rPr>
        <w:t> </w:t>
      </w:r>
      <w:r>
        <w:rPr>
          <w:sz w:val="18"/>
          <w:u w:val="none"/>
        </w:rPr>
        <w:t>Framework Decision 2002/465/JHA, as regards its alignment with Union rules on the protection of personal data.</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77632">
                <wp:simplePos x="0" y="0"/>
                <wp:positionH relativeFrom="page">
                  <wp:posOffset>0</wp:posOffset>
                </wp:positionH>
                <wp:positionV relativeFrom="page">
                  <wp:posOffset>0</wp:posOffset>
                </wp:positionV>
                <wp:extent cx="7560309" cy="1257935"/>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7560309" cy="1257935"/>
                          <a:chExt cx="7560309" cy="1257935"/>
                        </a:xfrm>
                      </wpg:grpSpPr>
                      <wps:wsp>
                        <wps:cNvPr id="780" name="Graphic 780"/>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781" name="Graphic 781"/>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782" name="Textbox 782"/>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90</w:t>
                              </w:r>
                            </w:p>
                          </w:txbxContent>
                        </wps:txbx>
                        <wps:bodyPr wrap="square" lIns="0" tIns="0" rIns="0" bIns="0" rtlCol="0">
                          <a:noAutofit/>
                        </wps:bodyPr>
                      </wps:wsp>
                      <wps:wsp>
                        <wps:cNvPr id="783" name="Textbox 783"/>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784" name="Textbox 784"/>
                        <wps:cNvSpPr txBox="1"/>
                        <wps:spPr>
                          <a:xfrm>
                            <a:off x="647999" y="1080003"/>
                            <a:ext cx="3714750" cy="177800"/>
                          </a:xfrm>
                          <a:prstGeom prst="rect">
                            <a:avLst/>
                          </a:prstGeom>
                        </wps:spPr>
                        <wps:txbx>
                          <w:txbxContent>
                            <w:p>
                              <w:pPr>
                                <w:numPr>
                                  <w:ilvl w:val="3"/>
                                  <w:numId w:val="36"/>
                                </w:numPr>
                                <w:tabs>
                                  <w:tab w:pos="843" w:val="left" w:leader="none"/>
                                </w:tabs>
                                <w:spacing w:line="280" w:lineRule="exact" w:before="0"/>
                                <w:ind w:left="843" w:right="0" w:hanging="843"/>
                                <w:jc w:val="left"/>
                                <w:rPr>
                                  <w:sz w:val="28"/>
                                </w:rPr>
                              </w:pPr>
                              <w:r>
                                <w:rPr>
                                  <w:color w:val="004A93"/>
                                  <w:sz w:val="28"/>
                                </w:rPr>
                                <w:t>Recently</w:t>
                              </w:r>
                              <w:r>
                                <w:rPr>
                                  <w:color w:val="004A93"/>
                                  <w:spacing w:val="-8"/>
                                  <w:sz w:val="28"/>
                                </w:rPr>
                                <w:t> </w:t>
                              </w:r>
                              <w:r>
                                <w:rPr>
                                  <w:color w:val="004A93"/>
                                  <w:sz w:val="28"/>
                                </w:rPr>
                                <w:t>adopted</w:t>
                              </w:r>
                              <w:r>
                                <w:rPr>
                                  <w:color w:val="004A93"/>
                                  <w:spacing w:val="-9"/>
                                  <w:sz w:val="28"/>
                                </w:rPr>
                                <w:t> </w:t>
                              </w:r>
                              <w:r>
                                <w:rPr>
                                  <w:color w:val="004A93"/>
                                  <w:sz w:val="28"/>
                                </w:rPr>
                                <w:t>EU</w:t>
                              </w:r>
                              <w:r>
                                <w:rPr>
                                  <w:color w:val="004A93"/>
                                  <w:spacing w:val="-8"/>
                                  <w:sz w:val="28"/>
                                </w:rPr>
                                <w:t> </w:t>
                              </w:r>
                              <w:r>
                                <w:rPr>
                                  <w:color w:val="004A93"/>
                                  <w:sz w:val="28"/>
                                </w:rPr>
                                <w:t>Regulations</w:t>
                              </w:r>
                              <w:r>
                                <w:rPr>
                                  <w:color w:val="004A93"/>
                                  <w:spacing w:val="-8"/>
                                  <w:sz w:val="28"/>
                                </w:rPr>
                                <w:t> </w:t>
                              </w:r>
                              <w:r>
                                <w:rPr>
                                  <w:color w:val="004A93"/>
                                  <w:sz w:val="28"/>
                                </w:rPr>
                                <w:t>on</w:t>
                              </w:r>
                              <w:r>
                                <w:rPr>
                                  <w:color w:val="004A93"/>
                                  <w:spacing w:val="-9"/>
                                  <w:sz w:val="28"/>
                                </w:rPr>
                                <w:t> </w:t>
                              </w:r>
                              <w:r>
                                <w:rPr>
                                  <w:color w:val="004A93"/>
                                  <w:spacing w:val="-2"/>
                                  <w:sz w:val="28"/>
                                </w:rPr>
                                <w:t>privacy</w:t>
                              </w:r>
                            </w:p>
                          </w:txbxContent>
                        </wps:txbx>
                        <wps:bodyPr wrap="square" lIns="0" tIns="0" rIns="0" bIns="0" rtlCol="0">
                          <a:noAutofit/>
                        </wps:bodyPr>
                      </wps:wsp>
                    </wpg:wgp>
                  </a:graphicData>
                </a:graphic>
              </wp:anchor>
            </w:drawing>
          </mc:Choice>
          <mc:Fallback>
            <w:pict>
              <v:group style="position:absolute;margin-left:.0pt;margin-top:-.00002pt;width:595.3pt;height:99.05pt;mso-position-horizontal-relative:page;mso-position-vertical-relative:page;z-index:15877632" id="docshapegroup636" coordorigin="0,0" coordsize="11906,1981">
                <v:shape style="position:absolute;left:0;top:0;width:11906;height:1819" id="docshape637"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638" filled="false" stroked="false">
                  <v:textbox inset="0,0,0,0">
                    <w:txbxContent>
                      <w:p>
                        <w:pPr>
                          <w:spacing w:line="280" w:lineRule="exact" w:before="0"/>
                          <w:ind w:left="0" w:right="0" w:firstLine="0"/>
                          <w:jc w:val="left"/>
                          <w:rPr>
                            <w:b/>
                            <w:sz w:val="28"/>
                          </w:rPr>
                        </w:pPr>
                        <w:r>
                          <w:rPr>
                            <w:b/>
                            <w:color w:val="FFFFFF"/>
                            <w:spacing w:val="-5"/>
                            <w:sz w:val="28"/>
                          </w:rPr>
                          <w:t>90</w:t>
                        </w:r>
                      </w:p>
                    </w:txbxContent>
                  </v:textbox>
                  <w10:wrap type="none"/>
                </v:shape>
                <v:shape style="position:absolute;left:1303;top:645;width:6182;height:240" type="#_x0000_t202" id="docshape639"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5850;height:280" type="#_x0000_t202" id="docshape640" filled="false" stroked="false">
                  <v:textbox inset="0,0,0,0">
                    <w:txbxContent>
                      <w:p>
                        <w:pPr>
                          <w:numPr>
                            <w:ilvl w:val="3"/>
                            <w:numId w:val="36"/>
                          </w:numPr>
                          <w:tabs>
                            <w:tab w:pos="843" w:val="left" w:leader="none"/>
                          </w:tabs>
                          <w:spacing w:line="280" w:lineRule="exact" w:before="0"/>
                          <w:ind w:left="843" w:right="0" w:hanging="843"/>
                          <w:jc w:val="left"/>
                          <w:rPr>
                            <w:sz w:val="28"/>
                          </w:rPr>
                        </w:pPr>
                        <w:r>
                          <w:rPr>
                            <w:color w:val="004A93"/>
                            <w:sz w:val="28"/>
                          </w:rPr>
                          <w:t>Recently</w:t>
                        </w:r>
                        <w:r>
                          <w:rPr>
                            <w:color w:val="004A93"/>
                            <w:spacing w:val="-8"/>
                            <w:sz w:val="28"/>
                          </w:rPr>
                          <w:t> </w:t>
                        </w:r>
                        <w:r>
                          <w:rPr>
                            <w:color w:val="004A93"/>
                            <w:sz w:val="28"/>
                          </w:rPr>
                          <w:t>adopted</w:t>
                        </w:r>
                        <w:r>
                          <w:rPr>
                            <w:color w:val="004A93"/>
                            <w:spacing w:val="-9"/>
                            <w:sz w:val="28"/>
                          </w:rPr>
                          <w:t> </w:t>
                        </w:r>
                        <w:r>
                          <w:rPr>
                            <w:color w:val="004A93"/>
                            <w:sz w:val="28"/>
                          </w:rPr>
                          <w:t>EU</w:t>
                        </w:r>
                        <w:r>
                          <w:rPr>
                            <w:color w:val="004A93"/>
                            <w:spacing w:val="-8"/>
                            <w:sz w:val="28"/>
                          </w:rPr>
                          <w:t> </w:t>
                        </w:r>
                        <w:r>
                          <w:rPr>
                            <w:color w:val="004A93"/>
                            <w:sz w:val="28"/>
                          </w:rPr>
                          <w:t>Regulations</w:t>
                        </w:r>
                        <w:r>
                          <w:rPr>
                            <w:color w:val="004A93"/>
                            <w:spacing w:val="-8"/>
                            <w:sz w:val="28"/>
                          </w:rPr>
                          <w:t> </w:t>
                        </w:r>
                        <w:r>
                          <w:rPr>
                            <w:color w:val="004A93"/>
                            <w:sz w:val="28"/>
                          </w:rPr>
                          <w:t>on</w:t>
                        </w:r>
                        <w:r>
                          <w:rPr>
                            <w:color w:val="004A93"/>
                            <w:spacing w:val="-9"/>
                            <w:sz w:val="28"/>
                          </w:rPr>
                          <w:t> </w:t>
                        </w:r>
                        <w:r>
                          <w:rPr>
                            <w:color w:val="004A93"/>
                            <w:spacing w:val="-2"/>
                            <w:sz w:val="28"/>
                          </w:rPr>
                          <w:t>privacy</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720" w:right="1087"/>
      </w:pPr>
      <w:bookmarkStart w:name="4.3.2.2 Recently adopted EU Regulations " w:id="137"/>
      <w:bookmarkEnd w:id="137"/>
      <w:r>
        <w:rPr/>
      </w:r>
      <w:bookmarkStart w:name="_bookmark57" w:id="138"/>
      <w:bookmarkEnd w:id="138"/>
      <w:r>
        <w:rPr/>
      </w:r>
      <w:r>
        <w:rPr/>
        <w:t>A</w:t>
      </w:r>
      <w:r>
        <w:rPr>
          <w:spacing w:val="-4"/>
        </w:rPr>
        <w:t> </w:t>
      </w:r>
      <w:r>
        <w:rPr/>
        <w:t>number</w:t>
      </w:r>
      <w:r>
        <w:rPr>
          <w:spacing w:val="-4"/>
        </w:rPr>
        <w:t> </w:t>
      </w:r>
      <w:r>
        <w:rPr/>
        <w:t>of</w:t>
      </w:r>
      <w:r>
        <w:rPr>
          <w:spacing w:val="-5"/>
        </w:rPr>
        <w:t> </w:t>
      </w:r>
      <w:r>
        <w:rPr/>
        <w:t>EU</w:t>
      </w:r>
      <w:r>
        <w:rPr>
          <w:spacing w:val="-4"/>
        </w:rPr>
        <w:t> </w:t>
      </w:r>
      <w:r>
        <w:rPr/>
        <w:t>regulations</w:t>
      </w:r>
      <w:r>
        <w:rPr>
          <w:spacing w:val="-5"/>
        </w:rPr>
        <w:t> </w:t>
      </w:r>
      <w:r>
        <w:rPr/>
        <w:t>adopted</w:t>
      </w:r>
      <w:r>
        <w:rPr>
          <w:spacing w:val="-5"/>
        </w:rPr>
        <w:t> </w:t>
      </w:r>
      <w:r>
        <w:rPr/>
        <w:t>between</w:t>
      </w:r>
      <w:r>
        <w:rPr>
          <w:spacing w:val="-5"/>
        </w:rPr>
        <w:t> </w:t>
      </w:r>
      <w:r>
        <w:rPr/>
        <w:t>1</w:t>
      </w:r>
      <w:r>
        <w:rPr>
          <w:spacing w:val="-4"/>
        </w:rPr>
        <w:t> </w:t>
      </w:r>
      <w:r>
        <w:rPr/>
        <w:t>January</w:t>
      </w:r>
      <w:r>
        <w:rPr>
          <w:spacing w:val="-4"/>
        </w:rPr>
        <w:t> </w:t>
      </w:r>
      <w:r>
        <w:rPr/>
        <w:t>2022</w:t>
      </w:r>
      <w:r>
        <w:rPr>
          <w:spacing w:val="-4"/>
        </w:rPr>
        <w:t> </w:t>
      </w:r>
      <w:r>
        <w:rPr/>
        <w:t>and</w:t>
      </w:r>
      <w:r>
        <w:rPr>
          <w:spacing w:val="-5"/>
        </w:rPr>
        <w:t> </w:t>
      </w:r>
      <w:r>
        <w:rPr/>
        <w:t>31</w:t>
      </w:r>
      <w:r>
        <w:rPr>
          <w:spacing w:val="-4"/>
        </w:rPr>
        <w:t> </w:t>
      </w:r>
      <w:r>
        <w:rPr/>
        <w:t>August</w:t>
      </w:r>
      <w:r>
        <w:rPr>
          <w:spacing w:val="-4"/>
        </w:rPr>
        <w:t> </w:t>
      </w:r>
      <w:r>
        <w:rPr/>
        <w:t>2023 relate to the right to privacy and set substantial requirements worth noting.</w:t>
      </w:r>
    </w:p>
    <w:p>
      <w:pPr>
        <w:pStyle w:val="ListParagraph"/>
        <w:numPr>
          <w:ilvl w:val="0"/>
          <w:numId w:val="37"/>
        </w:numPr>
        <w:tabs>
          <w:tab w:pos="1060" w:val="left" w:leader="none"/>
        </w:tabs>
        <w:spacing w:line="232" w:lineRule="auto" w:before="267" w:after="0"/>
        <w:ind w:left="1060" w:right="1213" w:hanging="341"/>
        <w:jc w:val="left"/>
        <w:rPr>
          <w:sz w:val="28"/>
        </w:rPr>
      </w:pPr>
      <w:r>
        <w:rPr>
          <w:sz w:val="28"/>
        </w:rPr>
        <w:t>When requesting a European Production Order (to obtain subscriber data or user’s identity) or a European Preservation Order (to prevent the removal, deletion</w:t>
      </w:r>
      <w:r>
        <w:rPr>
          <w:spacing w:val="-5"/>
          <w:sz w:val="28"/>
        </w:rPr>
        <w:t> </w:t>
      </w:r>
      <w:r>
        <w:rPr>
          <w:sz w:val="28"/>
        </w:rPr>
        <w:t>or</w:t>
      </w:r>
      <w:r>
        <w:rPr>
          <w:spacing w:val="-4"/>
          <w:sz w:val="28"/>
        </w:rPr>
        <w:t> </w:t>
      </w:r>
      <w:r>
        <w:rPr>
          <w:sz w:val="28"/>
        </w:rPr>
        <w:t>alteration</w:t>
      </w:r>
      <w:r>
        <w:rPr>
          <w:spacing w:val="-5"/>
          <w:sz w:val="28"/>
        </w:rPr>
        <w:t> </w:t>
      </w:r>
      <w:r>
        <w:rPr>
          <w:sz w:val="28"/>
        </w:rPr>
        <w:t>of</w:t>
      </w:r>
      <w:r>
        <w:rPr>
          <w:spacing w:val="-5"/>
          <w:sz w:val="28"/>
        </w:rPr>
        <w:t> </w:t>
      </w:r>
      <w:r>
        <w:rPr>
          <w:sz w:val="28"/>
        </w:rPr>
        <w:t>data),</w:t>
      </w:r>
      <w:r>
        <w:rPr>
          <w:spacing w:val="-4"/>
          <w:sz w:val="28"/>
        </w:rPr>
        <w:t> </w:t>
      </w:r>
      <w:r>
        <w:rPr>
          <w:sz w:val="28"/>
        </w:rPr>
        <w:t>Member</w:t>
      </w:r>
      <w:r>
        <w:rPr>
          <w:spacing w:val="-4"/>
          <w:sz w:val="28"/>
        </w:rPr>
        <w:t> </w:t>
      </w:r>
      <w:r>
        <w:rPr>
          <w:sz w:val="28"/>
        </w:rPr>
        <w:t>States</w:t>
      </w:r>
      <w:r>
        <w:rPr>
          <w:spacing w:val="-5"/>
          <w:sz w:val="28"/>
        </w:rPr>
        <w:t> </w:t>
      </w:r>
      <w:r>
        <w:rPr>
          <w:sz w:val="28"/>
        </w:rPr>
        <w:t>must</w:t>
      </w:r>
      <w:r>
        <w:rPr>
          <w:spacing w:val="-4"/>
          <w:sz w:val="28"/>
        </w:rPr>
        <w:t> </w:t>
      </w:r>
      <w:r>
        <w:rPr>
          <w:sz w:val="28"/>
        </w:rPr>
        <w:t>comply</w:t>
      </w:r>
      <w:r>
        <w:rPr>
          <w:spacing w:val="-4"/>
          <w:sz w:val="28"/>
        </w:rPr>
        <w:t> </w:t>
      </w:r>
      <w:r>
        <w:rPr>
          <w:sz w:val="28"/>
        </w:rPr>
        <w:t>with</w:t>
      </w:r>
      <w:r>
        <w:rPr>
          <w:spacing w:val="-5"/>
          <w:sz w:val="28"/>
        </w:rPr>
        <w:t> </w:t>
      </w:r>
      <w:r>
        <w:rPr>
          <w:sz w:val="28"/>
        </w:rPr>
        <w:t>the</w:t>
      </w:r>
      <w:r>
        <w:rPr>
          <w:spacing w:val="-4"/>
          <w:sz w:val="28"/>
        </w:rPr>
        <w:t> </w:t>
      </w:r>
      <w:r>
        <w:rPr>
          <w:sz w:val="28"/>
        </w:rPr>
        <w:t>conditions set</w:t>
      </w:r>
      <w:r>
        <w:rPr>
          <w:spacing w:val="-10"/>
          <w:sz w:val="28"/>
        </w:rPr>
        <w:t> </w:t>
      </w:r>
      <w:r>
        <w:rPr>
          <w:sz w:val="28"/>
        </w:rPr>
        <w:t>in</w:t>
      </w:r>
      <w:r>
        <w:rPr>
          <w:spacing w:val="-11"/>
          <w:sz w:val="28"/>
        </w:rPr>
        <w:t> </w:t>
      </w:r>
      <w:r>
        <w:rPr>
          <w:sz w:val="28"/>
        </w:rPr>
        <w:t>EU</w:t>
      </w:r>
      <w:r>
        <w:rPr>
          <w:spacing w:val="-10"/>
          <w:sz w:val="28"/>
        </w:rPr>
        <w:t> </w:t>
      </w:r>
      <w:r>
        <w:rPr>
          <w:sz w:val="28"/>
        </w:rPr>
        <w:t>law,</w:t>
      </w:r>
      <w:r>
        <w:rPr>
          <w:spacing w:val="-10"/>
          <w:sz w:val="28"/>
        </w:rPr>
        <w:t> </w:t>
      </w:r>
      <w:r>
        <w:rPr>
          <w:sz w:val="28"/>
        </w:rPr>
        <w:t>including</w:t>
      </w:r>
      <w:r>
        <w:rPr>
          <w:spacing w:val="-10"/>
          <w:sz w:val="28"/>
        </w:rPr>
        <w:t> </w:t>
      </w:r>
      <w:r>
        <w:rPr>
          <w:sz w:val="28"/>
        </w:rPr>
        <w:t>about</w:t>
      </w:r>
      <w:r>
        <w:rPr>
          <w:spacing w:val="-10"/>
          <w:sz w:val="28"/>
        </w:rPr>
        <w:t> </w:t>
      </w:r>
      <w:r>
        <w:rPr>
          <w:sz w:val="28"/>
        </w:rPr>
        <w:t>handling</w:t>
      </w:r>
      <w:r>
        <w:rPr>
          <w:spacing w:val="-10"/>
          <w:sz w:val="28"/>
        </w:rPr>
        <w:t> </w:t>
      </w:r>
      <w:r>
        <w:rPr>
          <w:sz w:val="28"/>
        </w:rPr>
        <w:t>user’s</w:t>
      </w:r>
      <w:r>
        <w:rPr>
          <w:spacing w:val="-11"/>
          <w:sz w:val="28"/>
        </w:rPr>
        <w:t> </w:t>
      </w:r>
      <w:r>
        <w:rPr>
          <w:sz w:val="28"/>
        </w:rPr>
        <w:t>information</w:t>
      </w:r>
      <w:r>
        <w:rPr>
          <w:spacing w:val="-11"/>
          <w:sz w:val="28"/>
        </w:rPr>
        <w:t> </w:t>
      </w:r>
      <w:r>
        <w:rPr>
          <w:sz w:val="28"/>
        </w:rPr>
        <w:t>and</w:t>
      </w:r>
      <w:r>
        <w:rPr>
          <w:spacing w:val="-11"/>
          <w:sz w:val="28"/>
        </w:rPr>
        <w:t> </w:t>
      </w:r>
      <w:r>
        <w:rPr>
          <w:sz w:val="28"/>
        </w:rPr>
        <w:t>confidentiality,</w:t>
      </w:r>
      <w:r>
        <w:rPr>
          <w:spacing w:val="-10"/>
          <w:sz w:val="28"/>
        </w:rPr>
        <w:t> </w:t>
      </w:r>
      <w:r>
        <w:rPr>
          <w:sz w:val="28"/>
        </w:rPr>
        <w:t>to protect individuals’ right to data protection, from 18 August 2026 onwards.</w:t>
      </w:r>
      <w:r>
        <w:rPr>
          <w:sz w:val="28"/>
          <w:vertAlign w:val="superscript"/>
        </w:rPr>
        <w:t>466</w:t>
      </w:r>
    </w:p>
    <w:p>
      <w:pPr>
        <w:pStyle w:val="ListParagraph"/>
        <w:numPr>
          <w:ilvl w:val="0"/>
          <w:numId w:val="37"/>
        </w:numPr>
        <w:tabs>
          <w:tab w:pos="1060" w:val="left" w:leader="none"/>
        </w:tabs>
        <w:spacing w:line="320" w:lineRule="exact" w:before="0" w:after="0"/>
        <w:ind w:left="1060" w:right="0" w:hanging="340"/>
        <w:jc w:val="left"/>
        <w:rPr>
          <w:sz w:val="28"/>
        </w:rPr>
      </w:pPr>
      <w:r>
        <w:rPr>
          <w:sz w:val="28"/>
        </w:rPr>
        <w:t>When</w:t>
      </w:r>
      <w:r>
        <w:rPr>
          <w:spacing w:val="-12"/>
          <w:sz w:val="28"/>
        </w:rPr>
        <w:t> </w:t>
      </w:r>
      <w:r>
        <w:rPr>
          <w:sz w:val="28"/>
        </w:rPr>
        <w:t>exchanging</w:t>
      </w:r>
      <w:r>
        <w:rPr>
          <w:spacing w:val="-11"/>
          <w:sz w:val="28"/>
        </w:rPr>
        <w:t> </w:t>
      </w:r>
      <w:r>
        <w:rPr>
          <w:sz w:val="28"/>
        </w:rPr>
        <w:t>information</w:t>
      </w:r>
      <w:r>
        <w:rPr>
          <w:spacing w:val="-11"/>
          <w:sz w:val="28"/>
        </w:rPr>
        <w:t> </w:t>
      </w:r>
      <w:r>
        <w:rPr>
          <w:sz w:val="28"/>
        </w:rPr>
        <w:t>and</w:t>
      </w:r>
      <w:r>
        <w:rPr>
          <w:spacing w:val="-12"/>
          <w:sz w:val="28"/>
        </w:rPr>
        <w:t> </w:t>
      </w:r>
      <w:r>
        <w:rPr>
          <w:sz w:val="28"/>
        </w:rPr>
        <w:t>evidence</w:t>
      </w:r>
      <w:r>
        <w:rPr>
          <w:spacing w:val="-11"/>
          <w:sz w:val="28"/>
        </w:rPr>
        <w:t> </w:t>
      </w:r>
      <w:r>
        <w:rPr>
          <w:sz w:val="28"/>
        </w:rPr>
        <w:t>through</w:t>
      </w:r>
      <w:r>
        <w:rPr>
          <w:spacing w:val="-11"/>
          <w:sz w:val="28"/>
        </w:rPr>
        <w:t> </w:t>
      </w:r>
      <w:r>
        <w:rPr>
          <w:sz w:val="28"/>
        </w:rPr>
        <w:t>joint</w:t>
      </w:r>
      <w:r>
        <w:rPr>
          <w:spacing w:val="-11"/>
          <w:sz w:val="28"/>
        </w:rPr>
        <w:t> </w:t>
      </w:r>
      <w:r>
        <w:rPr>
          <w:sz w:val="28"/>
        </w:rPr>
        <w:t>investigation</w:t>
      </w:r>
      <w:r>
        <w:rPr>
          <w:spacing w:val="-11"/>
          <w:sz w:val="28"/>
        </w:rPr>
        <w:t> </w:t>
      </w:r>
      <w:r>
        <w:rPr>
          <w:spacing w:val="-2"/>
          <w:sz w:val="28"/>
        </w:rPr>
        <w:t>teams</w:t>
      </w:r>
    </w:p>
    <w:p>
      <w:pPr>
        <w:pStyle w:val="BodyText"/>
        <w:spacing w:line="232" w:lineRule="auto" w:before="2"/>
        <w:ind w:left="1060" w:right="1087"/>
      </w:pPr>
      <w:r>
        <w:rPr/>
        <w:t>in the context of cross-border crimes, Member States must ensure that these teams comply with the conditions set in EU law, including when handling personal</w:t>
      </w:r>
      <w:r>
        <w:rPr>
          <w:spacing w:val="-8"/>
        </w:rPr>
        <w:t> </w:t>
      </w:r>
      <w:r>
        <w:rPr/>
        <w:t>data,</w:t>
      </w:r>
      <w:r>
        <w:rPr>
          <w:spacing w:val="-7"/>
        </w:rPr>
        <w:t> </w:t>
      </w:r>
      <w:r>
        <w:rPr/>
        <w:t>to</w:t>
      </w:r>
      <w:r>
        <w:rPr>
          <w:spacing w:val="-8"/>
        </w:rPr>
        <w:t> </w:t>
      </w:r>
      <w:r>
        <w:rPr/>
        <w:t>protect</w:t>
      </w:r>
      <w:r>
        <w:rPr>
          <w:spacing w:val="-7"/>
        </w:rPr>
        <w:t> </w:t>
      </w:r>
      <w:r>
        <w:rPr/>
        <w:t>individuals’</w:t>
      </w:r>
      <w:r>
        <w:rPr>
          <w:spacing w:val="-7"/>
        </w:rPr>
        <w:t> </w:t>
      </w:r>
      <w:r>
        <w:rPr/>
        <w:t>right</w:t>
      </w:r>
      <w:r>
        <w:rPr>
          <w:spacing w:val="-7"/>
        </w:rPr>
        <w:t> </w:t>
      </w:r>
      <w:r>
        <w:rPr/>
        <w:t>to</w:t>
      </w:r>
      <w:r>
        <w:rPr>
          <w:spacing w:val="-8"/>
        </w:rPr>
        <w:t> </w:t>
      </w:r>
      <w:r>
        <w:rPr/>
        <w:t>data</w:t>
      </w:r>
      <w:r>
        <w:rPr>
          <w:spacing w:val="-8"/>
        </w:rPr>
        <w:t> </w:t>
      </w:r>
      <w:r>
        <w:rPr/>
        <w:t>protection,</w:t>
      </w:r>
      <w:r>
        <w:rPr>
          <w:spacing w:val="-7"/>
        </w:rPr>
        <w:t> </w:t>
      </w:r>
      <w:r>
        <w:rPr/>
        <w:t>from</w:t>
      </w:r>
      <w:r>
        <w:rPr>
          <w:spacing w:val="-7"/>
        </w:rPr>
        <w:t> </w:t>
      </w:r>
      <w:r>
        <w:rPr/>
        <w:t>13</w:t>
      </w:r>
      <w:r>
        <w:rPr>
          <w:spacing w:val="-7"/>
        </w:rPr>
        <w:t> </w:t>
      </w:r>
      <w:r>
        <w:rPr/>
        <w:t>May</w:t>
      </w:r>
      <w:r>
        <w:rPr>
          <w:spacing w:val="-7"/>
        </w:rPr>
        <w:t> </w:t>
      </w:r>
      <w:r>
        <w:rPr/>
        <w:t>2023 </w:t>
      </w:r>
      <w:r>
        <w:rPr>
          <w:spacing w:val="-2"/>
        </w:rPr>
        <w:t>onwards.</w:t>
      </w:r>
      <w:r>
        <w:rPr>
          <w:spacing w:val="-2"/>
          <w:vertAlign w:val="superscript"/>
        </w:rPr>
        <w:t>467</w:t>
      </w:r>
    </w:p>
    <w:p>
      <w:pPr>
        <w:pStyle w:val="ListParagraph"/>
        <w:numPr>
          <w:ilvl w:val="0"/>
          <w:numId w:val="37"/>
        </w:numPr>
        <w:tabs>
          <w:tab w:pos="1060" w:val="left" w:leader="none"/>
        </w:tabs>
        <w:spacing w:line="322" w:lineRule="exact" w:before="0" w:after="0"/>
        <w:ind w:left="1060" w:right="0" w:hanging="340"/>
        <w:jc w:val="left"/>
        <w:rPr>
          <w:sz w:val="28"/>
        </w:rPr>
      </w:pPr>
      <w:r>
        <w:rPr>
          <w:sz w:val="28"/>
        </w:rPr>
        <w:t>When</w:t>
      </w:r>
      <w:r>
        <w:rPr>
          <w:spacing w:val="-7"/>
          <w:sz w:val="28"/>
        </w:rPr>
        <w:t> </w:t>
      </w:r>
      <w:r>
        <w:rPr>
          <w:sz w:val="28"/>
        </w:rPr>
        <w:t>carrying</w:t>
      </w:r>
      <w:r>
        <w:rPr>
          <w:spacing w:val="-6"/>
          <w:sz w:val="28"/>
        </w:rPr>
        <w:t> </w:t>
      </w:r>
      <w:r>
        <w:rPr>
          <w:sz w:val="28"/>
        </w:rPr>
        <w:t>out</w:t>
      </w:r>
      <w:r>
        <w:rPr>
          <w:spacing w:val="-6"/>
          <w:sz w:val="28"/>
        </w:rPr>
        <w:t> </w:t>
      </w:r>
      <w:r>
        <w:rPr>
          <w:sz w:val="28"/>
        </w:rPr>
        <w:t>criminal</w:t>
      </w:r>
      <w:r>
        <w:rPr>
          <w:spacing w:val="-7"/>
          <w:sz w:val="28"/>
        </w:rPr>
        <w:t> </w:t>
      </w:r>
      <w:r>
        <w:rPr>
          <w:sz w:val="28"/>
        </w:rPr>
        <w:t>investigations</w:t>
      </w:r>
      <w:r>
        <w:rPr>
          <w:spacing w:val="-7"/>
          <w:sz w:val="28"/>
        </w:rPr>
        <w:t> </w:t>
      </w:r>
      <w:r>
        <w:rPr>
          <w:sz w:val="28"/>
        </w:rPr>
        <w:t>as</w:t>
      </w:r>
      <w:r>
        <w:rPr>
          <w:spacing w:val="-7"/>
          <w:sz w:val="28"/>
        </w:rPr>
        <w:t> </w:t>
      </w:r>
      <w:r>
        <w:rPr>
          <w:sz w:val="28"/>
        </w:rPr>
        <w:t>well</w:t>
      </w:r>
      <w:r>
        <w:rPr>
          <w:spacing w:val="-7"/>
          <w:sz w:val="28"/>
        </w:rPr>
        <w:t> </w:t>
      </w:r>
      <w:r>
        <w:rPr>
          <w:sz w:val="28"/>
        </w:rPr>
        <w:t>as</w:t>
      </w:r>
      <w:r>
        <w:rPr>
          <w:spacing w:val="-7"/>
          <w:sz w:val="28"/>
        </w:rPr>
        <w:t> </w:t>
      </w:r>
      <w:r>
        <w:rPr>
          <w:sz w:val="28"/>
        </w:rPr>
        <w:t>its</w:t>
      </w:r>
      <w:r>
        <w:rPr>
          <w:spacing w:val="-7"/>
          <w:sz w:val="28"/>
        </w:rPr>
        <w:t> </w:t>
      </w:r>
      <w:r>
        <w:rPr>
          <w:sz w:val="28"/>
        </w:rPr>
        <w:t>role</w:t>
      </w:r>
      <w:r>
        <w:rPr>
          <w:spacing w:val="-6"/>
          <w:sz w:val="28"/>
        </w:rPr>
        <w:t> </w:t>
      </w:r>
      <w:r>
        <w:rPr>
          <w:sz w:val="28"/>
        </w:rPr>
        <w:t>in</w:t>
      </w:r>
      <w:r>
        <w:rPr>
          <w:spacing w:val="-7"/>
          <w:sz w:val="28"/>
        </w:rPr>
        <w:t> </w:t>
      </w:r>
      <w:r>
        <w:rPr>
          <w:sz w:val="28"/>
        </w:rPr>
        <w:t>research</w:t>
      </w:r>
      <w:r>
        <w:rPr>
          <w:spacing w:val="-7"/>
          <w:sz w:val="28"/>
        </w:rPr>
        <w:t> </w:t>
      </w:r>
      <w:r>
        <w:rPr>
          <w:spacing w:val="-5"/>
          <w:sz w:val="28"/>
        </w:rPr>
        <w:t>and</w:t>
      </w:r>
    </w:p>
    <w:p>
      <w:pPr>
        <w:pStyle w:val="BodyText"/>
        <w:spacing w:line="232" w:lineRule="auto" w:before="2"/>
        <w:ind w:left="1060" w:right="1087"/>
      </w:pPr>
      <w:r>
        <w:rPr/>
        <w:t>innovation,</w:t>
      </w:r>
      <w:r>
        <w:rPr>
          <w:spacing w:val="-8"/>
        </w:rPr>
        <w:t> </w:t>
      </w:r>
      <w:r>
        <w:rPr/>
        <w:t>Europol</w:t>
      </w:r>
      <w:r>
        <w:rPr>
          <w:spacing w:val="-9"/>
        </w:rPr>
        <w:t> </w:t>
      </w:r>
      <w:r>
        <w:rPr/>
        <w:t>must</w:t>
      </w:r>
      <w:r>
        <w:rPr>
          <w:spacing w:val="-8"/>
        </w:rPr>
        <w:t> </w:t>
      </w:r>
      <w:r>
        <w:rPr/>
        <w:t>process</w:t>
      </w:r>
      <w:r>
        <w:rPr>
          <w:spacing w:val="-9"/>
        </w:rPr>
        <w:t> </w:t>
      </w:r>
      <w:r>
        <w:rPr/>
        <w:t>personal</w:t>
      </w:r>
      <w:r>
        <w:rPr>
          <w:spacing w:val="-9"/>
        </w:rPr>
        <w:t> </w:t>
      </w:r>
      <w:r>
        <w:rPr/>
        <w:t>data</w:t>
      </w:r>
      <w:r>
        <w:rPr>
          <w:spacing w:val="-9"/>
        </w:rPr>
        <w:t> </w:t>
      </w:r>
      <w:r>
        <w:rPr/>
        <w:t>by</w:t>
      </w:r>
      <w:r>
        <w:rPr>
          <w:spacing w:val="-8"/>
        </w:rPr>
        <w:t> </w:t>
      </w:r>
      <w:r>
        <w:rPr/>
        <w:t>considering</w:t>
      </w:r>
      <w:r>
        <w:rPr>
          <w:spacing w:val="-8"/>
        </w:rPr>
        <w:t> </w:t>
      </w:r>
      <w:r>
        <w:rPr/>
        <w:t>the</w:t>
      </w:r>
      <w:r>
        <w:rPr>
          <w:spacing w:val="-8"/>
        </w:rPr>
        <w:t> </w:t>
      </w:r>
      <w:r>
        <w:rPr/>
        <w:t>fundamental rights and freedoms of the data subject concerned, from 27 June 2022 onwards.</w:t>
      </w:r>
      <w:r>
        <w:rPr>
          <w:vertAlign w:val="superscript"/>
        </w:rPr>
        <w:t>468</w:t>
      </w:r>
      <w:r>
        <w:rPr>
          <w:vertAlign w:val="baseline"/>
        </w:rPr>
        <w:t> Eurojust must do the same when preserving, analysing and storing evidence relating to genocide, crimes against humanity, war crimes and related criminal offences, from 31 May 2022 onwards.</w:t>
      </w:r>
      <w:r>
        <w:rPr>
          <w:vertAlign w:val="superscript"/>
        </w:rPr>
        <w:t>469</w:t>
      </w:r>
    </w:p>
    <w:p>
      <w:pPr>
        <w:spacing w:line="232" w:lineRule="auto" w:before="276"/>
        <w:ind w:left="720" w:right="1250" w:firstLine="0"/>
        <w:jc w:val="left"/>
        <w:rPr>
          <w:sz w:val="28"/>
        </w:rPr>
      </w:pPr>
      <w:r>
        <w:rPr>
          <w:sz w:val="28"/>
        </w:rPr>
        <w:t>We</w:t>
      </w:r>
      <w:r>
        <w:rPr>
          <w:spacing w:val="-8"/>
          <w:sz w:val="28"/>
        </w:rPr>
        <w:t> </w:t>
      </w:r>
      <w:r>
        <w:rPr>
          <w:sz w:val="28"/>
        </w:rPr>
        <w:t>note</w:t>
      </w:r>
      <w:r>
        <w:rPr>
          <w:spacing w:val="-8"/>
          <w:sz w:val="28"/>
        </w:rPr>
        <w:t> </w:t>
      </w:r>
      <w:r>
        <w:rPr>
          <w:sz w:val="28"/>
        </w:rPr>
        <w:t>that</w:t>
      </w:r>
      <w:r>
        <w:rPr>
          <w:spacing w:val="-8"/>
          <w:sz w:val="28"/>
        </w:rPr>
        <w:t> </w:t>
      </w:r>
      <w:r>
        <w:rPr>
          <w:sz w:val="28"/>
        </w:rPr>
        <w:t>these</w:t>
      </w:r>
      <w:r>
        <w:rPr>
          <w:spacing w:val="-8"/>
          <w:sz w:val="28"/>
        </w:rPr>
        <w:t> </w:t>
      </w:r>
      <w:r>
        <w:rPr>
          <w:sz w:val="28"/>
        </w:rPr>
        <w:t>affect</w:t>
      </w:r>
      <w:r>
        <w:rPr>
          <w:spacing w:val="-9"/>
          <w:sz w:val="28"/>
        </w:rPr>
        <w:t> </w:t>
      </w:r>
      <w:r>
        <w:rPr>
          <w:b/>
          <w:sz w:val="28"/>
        </w:rPr>
        <w:t>areas</w:t>
      </w:r>
      <w:r>
        <w:rPr>
          <w:b/>
          <w:spacing w:val="-8"/>
          <w:sz w:val="28"/>
        </w:rPr>
        <w:t> </w:t>
      </w:r>
      <w:r>
        <w:rPr>
          <w:b/>
          <w:sz w:val="28"/>
        </w:rPr>
        <w:t>of</w:t>
      </w:r>
      <w:r>
        <w:rPr>
          <w:b/>
          <w:spacing w:val="-9"/>
          <w:sz w:val="28"/>
        </w:rPr>
        <w:t> </w:t>
      </w:r>
      <w:r>
        <w:rPr>
          <w:b/>
          <w:sz w:val="28"/>
        </w:rPr>
        <w:t>cross-border</w:t>
      </w:r>
      <w:r>
        <w:rPr>
          <w:b/>
          <w:spacing w:val="-9"/>
          <w:sz w:val="28"/>
        </w:rPr>
        <w:t> </w:t>
      </w:r>
      <w:r>
        <w:rPr>
          <w:b/>
          <w:sz w:val="28"/>
        </w:rPr>
        <w:t>security</w:t>
      </w:r>
      <w:r>
        <w:rPr>
          <w:b/>
          <w:spacing w:val="-8"/>
          <w:sz w:val="28"/>
        </w:rPr>
        <w:t> </w:t>
      </w:r>
      <w:r>
        <w:rPr>
          <w:b/>
          <w:sz w:val="28"/>
        </w:rPr>
        <w:t>cooperation</w:t>
      </w:r>
      <w:r>
        <w:rPr>
          <w:b/>
          <w:spacing w:val="-7"/>
          <w:sz w:val="28"/>
        </w:rPr>
        <w:t> </w:t>
      </w:r>
      <w:r>
        <w:rPr>
          <w:sz w:val="28"/>
        </w:rPr>
        <w:t>and</w:t>
      </w:r>
      <w:r>
        <w:rPr>
          <w:spacing w:val="-9"/>
          <w:sz w:val="28"/>
        </w:rPr>
        <w:t> </w:t>
      </w:r>
      <w:r>
        <w:rPr>
          <w:sz w:val="28"/>
        </w:rPr>
        <w:t>so</w:t>
      </w:r>
      <w:r>
        <w:rPr>
          <w:spacing w:val="-9"/>
          <w:sz w:val="28"/>
        </w:rPr>
        <w:t> </w:t>
      </w:r>
      <w:r>
        <w:rPr>
          <w:sz w:val="28"/>
        </w:rPr>
        <w:t>may be especially pertinent in the context of Ireland and Northern Ireland.</w:t>
      </w:r>
    </w:p>
    <w:p>
      <w:pPr>
        <w:pStyle w:val="BodyText"/>
        <w:spacing w:line="232" w:lineRule="auto" w:before="280"/>
        <w:ind w:left="720" w:right="1156"/>
      </w:pPr>
      <w:r>
        <w:rPr/>
        <w:t>Since the UK is no longer part of the EU, it does not participate in EU institutions’</w:t>
      </w:r>
      <w:r>
        <w:rPr>
          <w:spacing w:val="40"/>
        </w:rPr>
        <w:t> </w:t>
      </w:r>
      <w:r>
        <w:rPr/>
        <w:t>or agencies’ activities and cannot request European Production or Preservation Orders. However, cooperation is possible with Europol and Eurojust, as well as through</w:t>
      </w:r>
      <w:r>
        <w:rPr>
          <w:spacing w:val="-15"/>
        </w:rPr>
        <w:t> </w:t>
      </w:r>
      <w:r>
        <w:rPr/>
        <w:t>joint</w:t>
      </w:r>
      <w:r>
        <w:rPr>
          <w:spacing w:val="-15"/>
        </w:rPr>
        <w:t> </w:t>
      </w:r>
      <w:r>
        <w:rPr/>
        <w:t>investigation</w:t>
      </w:r>
      <w:r>
        <w:rPr>
          <w:spacing w:val="-15"/>
        </w:rPr>
        <w:t> </w:t>
      </w:r>
      <w:r>
        <w:rPr/>
        <w:t>teams</w:t>
      </w:r>
      <w:r>
        <w:rPr>
          <w:spacing w:val="-15"/>
        </w:rPr>
        <w:t> </w:t>
      </w:r>
      <w:r>
        <w:rPr/>
        <w:t>(see</w:t>
      </w:r>
      <w:r>
        <w:rPr>
          <w:spacing w:val="-15"/>
        </w:rPr>
        <w:t> </w:t>
      </w:r>
      <w:r>
        <w:rPr/>
        <w:t>EU-UK</w:t>
      </w:r>
      <w:r>
        <w:rPr>
          <w:spacing w:val="-15"/>
        </w:rPr>
        <w:t> </w:t>
      </w:r>
      <w:r>
        <w:rPr/>
        <w:t>Trade</w:t>
      </w:r>
      <w:r>
        <w:rPr>
          <w:spacing w:val="-15"/>
        </w:rPr>
        <w:t> </w:t>
      </w:r>
      <w:r>
        <w:rPr/>
        <w:t>and</w:t>
      </w:r>
      <w:r>
        <w:rPr>
          <w:spacing w:val="-15"/>
        </w:rPr>
        <w:t> </w:t>
      </w:r>
      <w:r>
        <w:rPr/>
        <w:t>Cooperation</w:t>
      </w:r>
      <w:r>
        <w:rPr>
          <w:spacing w:val="-15"/>
        </w:rPr>
        <w:t> </w:t>
      </w:r>
      <w:r>
        <w:rPr/>
        <w:t>Agreement).</w:t>
      </w:r>
      <w:r>
        <w:rPr>
          <w:vertAlign w:val="superscript"/>
        </w:rPr>
        <w:t>470</w:t>
      </w:r>
    </w:p>
    <w:p>
      <w:pPr>
        <w:pStyle w:val="BodyText"/>
        <w:spacing w:before="1"/>
        <w:rPr>
          <w:sz w:val="20"/>
        </w:rPr>
      </w:pPr>
      <w:r>
        <w:rPr/>
        <mc:AlternateContent>
          <mc:Choice Requires="wps">
            <w:drawing>
              <wp:anchor distT="0" distB="0" distL="0" distR="0" allowOverlap="1" layoutInCell="1" locked="0" behindDoc="1" simplePos="0" relativeHeight="487735808">
                <wp:simplePos x="0" y="0"/>
                <wp:positionH relativeFrom="page">
                  <wp:posOffset>647994</wp:posOffset>
                </wp:positionH>
                <wp:positionV relativeFrom="paragraph">
                  <wp:posOffset>171309</wp:posOffset>
                </wp:positionV>
                <wp:extent cx="6012180" cy="1022985"/>
                <wp:effectExtent l="0" t="0" r="0" b="0"/>
                <wp:wrapTopAndBottom/>
                <wp:docPr id="785" name="Group 785"/>
                <wp:cNvGraphicFramePr>
                  <a:graphicFrameLocks/>
                </wp:cNvGraphicFramePr>
                <a:graphic>
                  <a:graphicData uri="http://schemas.microsoft.com/office/word/2010/wordprocessingGroup">
                    <wpg:wgp>
                      <wpg:cNvPr id="785" name="Group 785"/>
                      <wpg:cNvGrpSpPr/>
                      <wpg:grpSpPr>
                        <a:xfrm>
                          <a:off x="0" y="0"/>
                          <a:ext cx="6012180" cy="1022985"/>
                          <a:chExt cx="6012180" cy="1022985"/>
                        </a:xfrm>
                      </wpg:grpSpPr>
                      <wps:wsp>
                        <wps:cNvPr id="786" name="Graphic 786"/>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787" name="Textbox 787"/>
                        <wps:cNvSpPr txBox="1"/>
                        <wps:spPr>
                          <a:xfrm>
                            <a:off x="0" y="0"/>
                            <a:ext cx="6012180" cy="1022985"/>
                          </a:xfrm>
                          <a:prstGeom prst="rect">
                            <a:avLst/>
                          </a:prstGeom>
                        </wps:spPr>
                        <wps:txbx>
                          <w:txbxContent>
                            <w:p>
                              <w:pPr>
                                <w:spacing w:line="232" w:lineRule="auto" w:before="121"/>
                                <w:ind w:left="340" w:right="106" w:firstLine="0"/>
                                <w:jc w:val="left"/>
                                <w:rPr>
                                  <w:b/>
                                  <w:sz w:val="28"/>
                                </w:rPr>
                              </w:pPr>
                              <w:r>
                                <w:rPr>
                                  <w:b/>
                                  <w:color w:val="164194"/>
                                  <w:sz w:val="28"/>
                                </w:rPr>
                                <w:t>We recommend that the UK Government, NI Executive and relevant departments</w:t>
                              </w:r>
                              <w:r>
                                <w:rPr>
                                  <w:b/>
                                  <w:color w:val="164194"/>
                                  <w:spacing w:val="-2"/>
                                  <w:sz w:val="28"/>
                                </w:rPr>
                                <w:t> </w:t>
                              </w:r>
                              <w:r>
                                <w:rPr>
                                  <w:b/>
                                  <w:color w:val="164194"/>
                                  <w:sz w:val="28"/>
                                </w:rPr>
                                <w:t>review</w:t>
                              </w:r>
                              <w:r>
                                <w:rPr>
                                  <w:b/>
                                  <w:color w:val="164194"/>
                                  <w:spacing w:val="-3"/>
                                  <w:sz w:val="28"/>
                                </w:rPr>
                                <w:t> </w:t>
                              </w:r>
                              <w:r>
                                <w:rPr>
                                  <w:b/>
                                  <w:color w:val="164194"/>
                                  <w:sz w:val="28"/>
                                </w:rPr>
                                <w:t>data</w:t>
                              </w:r>
                              <w:r>
                                <w:rPr>
                                  <w:b/>
                                  <w:color w:val="164194"/>
                                  <w:spacing w:val="-2"/>
                                  <w:sz w:val="28"/>
                                </w:rPr>
                                <w:t> </w:t>
                              </w:r>
                              <w:r>
                                <w:rPr>
                                  <w:b/>
                                  <w:color w:val="164194"/>
                                  <w:sz w:val="28"/>
                                </w:rPr>
                                <w:t>protection</w:t>
                              </w:r>
                              <w:r>
                                <w:rPr>
                                  <w:b/>
                                  <w:color w:val="164194"/>
                                  <w:spacing w:val="-2"/>
                                  <w:sz w:val="28"/>
                                </w:rPr>
                                <w:t> </w:t>
                              </w:r>
                              <w:r>
                                <w:rPr>
                                  <w:b/>
                                  <w:color w:val="164194"/>
                                  <w:sz w:val="28"/>
                                </w:rPr>
                                <w:t>standards</w:t>
                              </w:r>
                              <w:r>
                                <w:rPr>
                                  <w:b/>
                                  <w:color w:val="164194"/>
                                  <w:spacing w:val="-2"/>
                                  <w:sz w:val="28"/>
                                </w:rPr>
                                <w:t> </w:t>
                              </w:r>
                              <w:r>
                                <w:rPr>
                                  <w:b/>
                                  <w:color w:val="164194"/>
                                  <w:sz w:val="28"/>
                                </w:rPr>
                                <w:t>as</w:t>
                              </w:r>
                              <w:r>
                                <w:rPr>
                                  <w:b/>
                                  <w:color w:val="164194"/>
                                  <w:spacing w:val="-2"/>
                                  <w:sz w:val="28"/>
                                </w:rPr>
                                <w:t> </w:t>
                              </w:r>
                              <w:r>
                                <w:rPr>
                                  <w:b/>
                                  <w:color w:val="164194"/>
                                  <w:sz w:val="28"/>
                                </w:rPr>
                                <w:t>they</w:t>
                              </w:r>
                              <w:r>
                                <w:rPr>
                                  <w:b/>
                                  <w:color w:val="164194"/>
                                  <w:spacing w:val="-2"/>
                                  <w:sz w:val="28"/>
                                </w:rPr>
                                <w:t> </w:t>
                              </w:r>
                              <w:r>
                                <w:rPr>
                                  <w:b/>
                                  <w:color w:val="164194"/>
                                  <w:sz w:val="28"/>
                                </w:rPr>
                                <w:t>relate</w:t>
                              </w:r>
                              <w:r>
                                <w:rPr>
                                  <w:b/>
                                  <w:color w:val="164194"/>
                                  <w:spacing w:val="-3"/>
                                  <w:sz w:val="28"/>
                                </w:rPr>
                                <w:t> </w:t>
                              </w:r>
                              <w:r>
                                <w:rPr>
                                  <w:b/>
                                  <w:color w:val="164194"/>
                                  <w:sz w:val="28"/>
                                </w:rPr>
                                <w:t>to</w:t>
                              </w:r>
                              <w:r>
                                <w:rPr>
                                  <w:b/>
                                  <w:color w:val="164194"/>
                                  <w:spacing w:val="-2"/>
                                  <w:sz w:val="28"/>
                                </w:rPr>
                                <w:t> </w:t>
                              </w:r>
                              <w:r>
                                <w:rPr>
                                  <w:b/>
                                  <w:color w:val="164194"/>
                                  <w:sz w:val="28"/>
                                </w:rPr>
                                <w:t>cross-border security</w:t>
                              </w:r>
                              <w:r>
                                <w:rPr>
                                  <w:b/>
                                  <w:color w:val="164194"/>
                                  <w:spacing w:val="-8"/>
                                  <w:sz w:val="28"/>
                                </w:rPr>
                                <w:t> </w:t>
                              </w:r>
                              <w:r>
                                <w:rPr>
                                  <w:b/>
                                  <w:color w:val="164194"/>
                                  <w:sz w:val="28"/>
                                </w:rPr>
                                <w:t>and</w:t>
                              </w:r>
                              <w:r>
                                <w:rPr>
                                  <w:b/>
                                  <w:color w:val="164194"/>
                                  <w:spacing w:val="-8"/>
                                  <w:sz w:val="28"/>
                                </w:rPr>
                                <w:t> </w:t>
                              </w:r>
                              <w:r>
                                <w:rPr>
                                  <w:b/>
                                  <w:color w:val="164194"/>
                                  <w:sz w:val="28"/>
                                </w:rPr>
                                <w:t>voluntarily</w:t>
                              </w:r>
                              <w:r>
                                <w:rPr>
                                  <w:b/>
                                  <w:color w:val="164194"/>
                                  <w:spacing w:val="-8"/>
                                  <w:sz w:val="28"/>
                                </w:rPr>
                                <w:t> </w:t>
                              </w:r>
                              <w:r>
                                <w:rPr>
                                  <w:b/>
                                  <w:color w:val="164194"/>
                                  <w:sz w:val="28"/>
                                </w:rPr>
                                <w:t>align</w:t>
                              </w:r>
                              <w:r>
                                <w:rPr>
                                  <w:b/>
                                  <w:color w:val="164194"/>
                                  <w:spacing w:val="-8"/>
                                  <w:sz w:val="28"/>
                                </w:rPr>
                                <w:t> </w:t>
                              </w:r>
                              <w:r>
                                <w:rPr>
                                  <w:b/>
                                  <w:color w:val="164194"/>
                                  <w:sz w:val="28"/>
                                </w:rPr>
                                <w:t>with</w:t>
                              </w:r>
                              <w:r>
                                <w:rPr>
                                  <w:b/>
                                  <w:color w:val="164194"/>
                                  <w:spacing w:val="-8"/>
                                  <w:sz w:val="28"/>
                                </w:rPr>
                                <w:t> </w:t>
                              </w:r>
                              <w:r>
                                <w:rPr>
                                  <w:b/>
                                  <w:color w:val="164194"/>
                                  <w:sz w:val="28"/>
                                </w:rPr>
                                <w:t>EU</w:t>
                              </w:r>
                              <w:r>
                                <w:rPr>
                                  <w:b/>
                                  <w:color w:val="164194"/>
                                  <w:spacing w:val="-8"/>
                                  <w:sz w:val="28"/>
                                </w:rPr>
                                <w:t> </w:t>
                              </w:r>
                              <w:r>
                                <w:rPr>
                                  <w:b/>
                                  <w:color w:val="164194"/>
                                  <w:sz w:val="28"/>
                                </w:rPr>
                                <w:t>standards</w:t>
                              </w:r>
                              <w:r>
                                <w:rPr>
                                  <w:b/>
                                  <w:color w:val="164194"/>
                                  <w:spacing w:val="-8"/>
                                  <w:sz w:val="28"/>
                                </w:rPr>
                                <w:t> </w:t>
                              </w:r>
                              <w:r>
                                <w:rPr>
                                  <w:b/>
                                  <w:color w:val="164194"/>
                                  <w:sz w:val="28"/>
                                </w:rPr>
                                <w:t>where</w:t>
                              </w:r>
                              <w:r>
                                <w:rPr>
                                  <w:b/>
                                  <w:color w:val="164194"/>
                                  <w:spacing w:val="-8"/>
                                  <w:sz w:val="28"/>
                                </w:rPr>
                                <w:t> </w:t>
                              </w:r>
                              <w:r>
                                <w:rPr>
                                  <w:b/>
                                  <w:color w:val="164194"/>
                                  <w:sz w:val="28"/>
                                </w:rPr>
                                <w:t>they</w:t>
                              </w:r>
                              <w:r>
                                <w:rPr>
                                  <w:b/>
                                  <w:color w:val="164194"/>
                                  <w:spacing w:val="-8"/>
                                  <w:sz w:val="28"/>
                                </w:rPr>
                                <w:t> </w:t>
                              </w:r>
                              <w:r>
                                <w:rPr>
                                  <w:b/>
                                  <w:color w:val="164194"/>
                                  <w:sz w:val="28"/>
                                </w:rPr>
                                <w:t>strengthen</w:t>
                              </w:r>
                              <w:r>
                                <w:rPr>
                                  <w:b/>
                                  <w:color w:val="164194"/>
                                  <w:spacing w:val="-8"/>
                                  <w:sz w:val="28"/>
                                </w:rPr>
                                <w:t> </w:t>
                              </w:r>
                              <w:r>
                                <w:rPr>
                                  <w:b/>
                                  <w:color w:val="164194"/>
                                  <w:sz w:val="28"/>
                                </w:rPr>
                                <w:t>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3.488955pt;width:473.4pt;height:80.55pt;mso-position-horizontal-relative:page;mso-position-vertical-relative:paragraph;z-index:-15580672;mso-wrap-distance-left:0;mso-wrap-distance-right:0" id="docshapegroup641" coordorigin="1020,270" coordsize="9468,1611">
                <v:shape style="position:absolute;left:1020;top:269;width:9468;height:1611" id="docshape642" coordorigin="1020,270" coordsize="9468,1611" path="m10261,270l1247,270,1176,281,1113,314,1064,363,1032,425,1020,497,1020,1653,1032,1725,1064,1787,1113,1836,1176,1868,1247,1880,10261,1880,10333,1868,10395,1836,10444,1787,10477,1725,10488,1653,10488,497,10477,425,10444,363,10395,314,10333,281,10261,270xe" filled="true" fillcolor="#e9f3fc" stroked="false">
                  <v:path arrowok="t"/>
                  <v:fill type="solid"/>
                </v:shape>
                <v:shape style="position:absolute;left:1020;top:269;width:9468;height:1611" type="#_x0000_t202" id="docshape643" filled="false" stroked="false">
                  <v:textbox inset="0,0,0,0">
                    <w:txbxContent>
                      <w:p>
                        <w:pPr>
                          <w:spacing w:line="232" w:lineRule="auto" w:before="121"/>
                          <w:ind w:left="340" w:right="106" w:firstLine="0"/>
                          <w:jc w:val="left"/>
                          <w:rPr>
                            <w:b/>
                            <w:sz w:val="28"/>
                          </w:rPr>
                        </w:pPr>
                        <w:r>
                          <w:rPr>
                            <w:b/>
                            <w:color w:val="164194"/>
                            <w:sz w:val="28"/>
                          </w:rPr>
                          <w:t>We recommend that the UK Government, NI Executive and relevant departments</w:t>
                        </w:r>
                        <w:r>
                          <w:rPr>
                            <w:b/>
                            <w:color w:val="164194"/>
                            <w:spacing w:val="-2"/>
                            <w:sz w:val="28"/>
                          </w:rPr>
                          <w:t> </w:t>
                        </w:r>
                        <w:r>
                          <w:rPr>
                            <w:b/>
                            <w:color w:val="164194"/>
                            <w:sz w:val="28"/>
                          </w:rPr>
                          <w:t>review</w:t>
                        </w:r>
                        <w:r>
                          <w:rPr>
                            <w:b/>
                            <w:color w:val="164194"/>
                            <w:spacing w:val="-3"/>
                            <w:sz w:val="28"/>
                          </w:rPr>
                          <w:t> </w:t>
                        </w:r>
                        <w:r>
                          <w:rPr>
                            <w:b/>
                            <w:color w:val="164194"/>
                            <w:sz w:val="28"/>
                          </w:rPr>
                          <w:t>data</w:t>
                        </w:r>
                        <w:r>
                          <w:rPr>
                            <w:b/>
                            <w:color w:val="164194"/>
                            <w:spacing w:val="-2"/>
                            <w:sz w:val="28"/>
                          </w:rPr>
                          <w:t> </w:t>
                        </w:r>
                        <w:r>
                          <w:rPr>
                            <w:b/>
                            <w:color w:val="164194"/>
                            <w:sz w:val="28"/>
                          </w:rPr>
                          <w:t>protection</w:t>
                        </w:r>
                        <w:r>
                          <w:rPr>
                            <w:b/>
                            <w:color w:val="164194"/>
                            <w:spacing w:val="-2"/>
                            <w:sz w:val="28"/>
                          </w:rPr>
                          <w:t> </w:t>
                        </w:r>
                        <w:r>
                          <w:rPr>
                            <w:b/>
                            <w:color w:val="164194"/>
                            <w:sz w:val="28"/>
                          </w:rPr>
                          <w:t>standards</w:t>
                        </w:r>
                        <w:r>
                          <w:rPr>
                            <w:b/>
                            <w:color w:val="164194"/>
                            <w:spacing w:val="-2"/>
                            <w:sz w:val="28"/>
                          </w:rPr>
                          <w:t> </w:t>
                        </w:r>
                        <w:r>
                          <w:rPr>
                            <w:b/>
                            <w:color w:val="164194"/>
                            <w:sz w:val="28"/>
                          </w:rPr>
                          <w:t>as</w:t>
                        </w:r>
                        <w:r>
                          <w:rPr>
                            <w:b/>
                            <w:color w:val="164194"/>
                            <w:spacing w:val="-2"/>
                            <w:sz w:val="28"/>
                          </w:rPr>
                          <w:t> </w:t>
                        </w:r>
                        <w:r>
                          <w:rPr>
                            <w:b/>
                            <w:color w:val="164194"/>
                            <w:sz w:val="28"/>
                          </w:rPr>
                          <w:t>they</w:t>
                        </w:r>
                        <w:r>
                          <w:rPr>
                            <w:b/>
                            <w:color w:val="164194"/>
                            <w:spacing w:val="-2"/>
                            <w:sz w:val="28"/>
                          </w:rPr>
                          <w:t> </w:t>
                        </w:r>
                        <w:r>
                          <w:rPr>
                            <w:b/>
                            <w:color w:val="164194"/>
                            <w:sz w:val="28"/>
                          </w:rPr>
                          <w:t>relate</w:t>
                        </w:r>
                        <w:r>
                          <w:rPr>
                            <w:b/>
                            <w:color w:val="164194"/>
                            <w:spacing w:val="-3"/>
                            <w:sz w:val="28"/>
                          </w:rPr>
                          <w:t> </w:t>
                        </w:r>
                        <w:r>
                          <w:rPr>
                            <w:b/>
                            <w:color w:val="164194"/>
                            <w:sz w:val="28"/>
                          </w:rPr>
                          <w:t>to</w:t>
                        </w:r>
                        <w:r>
                          <w:rPr>
                            <w:b/>
                            <w:color w:val="164194"/>
                            <w:spacing w:val="-2"/>
                            <w:sz w:val="28"/>
                          </w:rPr>
                          <w:t> </w:t>
                        </w:r>
                        <w:r>
                          <w:rPr>
                            <w:b/>
                            <w:color w:val="164194"/>
                            <w:sz w:val="28"/>
                          </w:rPr>
                          <w:t>cross-border security</w:t>
                        </w:r>
                        <w:r>
                          <w:rPr>
                            <w:b/>
                            <w:color w:val="164194"/>
                            <w:spacing w:val="-8"/>
                            <w:sz w:val="28"/>
                          </w:rPr>
                          <w:t> </w:t>
                        </w:r>
                        <w:r>
                          <w:rPr>
                            <w:b/>
                            <w:color w:val="164194"/>
                            <w:sz w:val="28"/>
                          </w:rPr>
                          <w:t>and</w:t>
                        </w:r>
                        <w:r>
                          <w:rPr>
                            <w:b/>
                            <w:color w:val="164194"/>
                            <w:spacing w:val="-8"/>
                            <w:sz w:val="28"/>
                          </w:rPr>
                          <w:t> </w:t>
                        </w:r>
                        <w:r>
                          <w:rPr>
                            <w:b/>
                            <w:color w:val="164194"/>
                            <w:sz w:val="28"/>
                          </w:rPr>
                          <w:t>voluntarily</w:t>
                        </w:r>
                        <w:r>
                          <w:rPr>
                            <w:b/>
                            <w:color w:val="164194"/>
                            <w:spacing w:val="-8"/>
                            <w:sz w:val="28"/>
                          </w:rPr>
                          <w:t> </w:t>
                        </w:r>
                        <w:r>
                          <w:rPr>
                            <w:b/>
                            <w:color w:val="164194"/>
                            <w:sz w:val="28"/>
                          </w:rPr>
                          <w:t>align</w:t>
                        </w:r>
                        <w:r>
                          <w:rPr>
                            <w:b/>
                            <w:color w:val="164194"/>
                            <w:spacing w:val="-8"/>
                            <w:sz w:val="28"/>
                          </w:rPr>
                          <w:t> </w:t>
                        </w:r>
                        <w:r>
                          <w:rPr>
                            <w:b/>
                            <w:color w:val="164194"/>
                            <w:sz w:val="28"/>
                          </w:rPr>
                          <w:t>with</w:t>
                        </w:r>
                        <w:r>
                          <w:rPr>
                            <w:b/>
                            <w:color w:val="164194"/>
                            <w:spacing w:val="-8"/>
                            <w:sz w:val="28"/>
                          </w:rPr>
                          <w:t> </w:t>
                        </w:r>
                        <w:r>
                          <w:rPr>
                            <w:b/>
                            <w:color w:val="164194"/>
                            <w:sz w:val="28"/>
                          </w:rPr>
                          <w:t>EU</w:t>
                        </w:r>
                        <w:r>
                          <w:rPr>
                            <w:b/>
                            <w:color w:val="164194"/>
                            <w:spacing w:val="-8"/>
                            <w:sz w:val="28"/>
                          </w:rPr>
                          <w:t> </w:t>
                        </w:r>
                        <w:r>
                          <w:rPr>
                            <w:b/>
                            <w:color w:val="164194"/>
                            <w:sz w:val="28"/>
                          </w:rPr>
                          <w:t>standards</w:t>
                        </w:r>
                        <w:r>
                          <w:rPr>
                            <w:b/>
                            <w:color w:val="164194"/>
                            <w:spacing w:val="-8"/>
                            <w:sz w:val="28"/>
                          </w:rPr>
                          <w:t> </w:t>
                        </w:r>
                        <w:r>
                          <w:rPr>
                            <w:b/>
                            <w:color w:val="164194"/>
                            <w:sz w:val="28"/>
                          </w:rPr>
                          <w:t>where</w:t>
                        </w:r>
                        <w:r>
                          <w:rPr>
                            <w:b/>
                            <w:color w:val="164194"/>
                            <w:spacing w:val="-8"/>
                            <w:sz w:val="28"/>
                          </w:rPr>
                          <w:t> </w:t>
                        </w:r>
                        <w:r>
                          <w:rPr>
                            <w:b/>
                            <w:color w:val="164194"/>
                            <w:sz w:val="28"/>
                          </w:rPr>
                          <w:t>they</w:t>
                        </w:r>
                        <w:r>
                          <w:rPr>
                            <w:b/>
                            <w:color w:val="164194"/>
                            <w:spacing w:val="-8"/>
                            <w:sz w:val="28"/>
                          </w:rPr>
                          <w:t> </w:t>
                        </w:r>
                        <w:r>
                          <w:rPr>
                            <w:b/>
                            <w:color w:val="164194"/>
                            <w:sz w:val="28"/>
                          </w:rPr>
                          <w:t>strengthen</w:t>
                        </w:r>
                        <w:r>
                          <w:rPr>
                            <w:b/>
                            <w:color w:val="164194"/>
                            <w:spacing w:val="-8"/>
                            <w:sz w:val="28"/>
                          </w:rPr>
                          <w:t> </w:t>
                        </w:r>
                        <w:r>
                          <w:rPr>
                            <w:b/>
                            <w:color w:val="164194"/>
                            <w:sz w:val="28"/>
                          </w:rPr>
                          <w:t>rights and reflect international human rights standards and best practice.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36320">
                <wp:simplePos x="0" y="0"/>
                <wp:positionH relativeFrom="page">
                  <wp:posOffset>647999</wp:posOffset>
                </wp:positionH>
                <wp:positionV relativeFrom="paragraph">
                  <wp:posOffset>1423280</wp:posOffset>
                </wp:positionV>
                <wp:extent cx="6012180" cy="1270"/>
                <wp:effectExtent l="0" t="0" r="0" b="0"/>
                <wp:wrapTopAndBottom/>
                <wp:docPr id="788" name="Graphic 788"/>
                <wp:cNvGraphicFramePr>
                  <a:graphicFrameLocks/>
                </wp:cNvGraphicFramePr>
                <a:graphic>
                  <a:graphicData uri="http://schemas.microsoft.com/office/word/2010/wordprocessingShape">
                    <wps:wsp>
                      <wps:cNvPr id="788" name="Graphic 78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12.069351pt;width:473.4pt;height:.1pt;mso-position-horizontal-relative:page;mso-position-vertical-relative:paragraph;z-index:-15580160;mso-wrap-distance-left:0;mso-wrap-distance-right:0" id="docshape644" coordorigin="1020,2241" coordsize="9468,0" path="m1020,2241l10488,2241e" filled="false" stroked="true" strokeweight=".5pt" strokecolor="#36a9e1">
                <v:path arrowok="t"/>
                <v:stroke dashstyle="solid"/>
                <w10:wrap type="topAndBottom"/>
              </v:shape>
            </w:pict>
          </mc:Fallback>
        </mc:AlternateContent>
      </w:r>
    </w:p>
    <w:p>
      <w:pPr>
        <w:pStyle w:val="BodyText"/>
        <w:spacing w:before="93"/>
        <w:rPr>
          <w:sz w:val="20"/>
        </w:rPr>
      </w:pPr>
    </w:p>
    <w:p>
      <w:pPr>
        <w:pStyle w:val="ListParagraph"/>
        <w:numPr>
          <w:ilvl w:val="0"/>
          <w:numId w:val="18"/>
        </w:numPr>
        <w:tabs>
          <w:tab w:pos="1287" w:val="left" w:leader="none"/>
        </w:tabs>
        <w:spacing w:line="240" w:lineRule="auto" w:before="43" w:after="0"/>
        <w:ind w:left="1287" w:right="1263" w:hanging="567"/>
        <w:jc w:val="left"/>
        <w:rPr>
          <w:sz w:val="18"/>
        </w:rPr>
      </w:pPr>
      <w:hyperlink r:id="rId136">
        <w:r>
          <w:rPr>
            <w:color w:val="1D71B8"/>
            <w:sz w:val="18"/>
            <w:u w:val="single" w:color="1D71B8"/>
          </w:rPr>
          <w:t>EU</w:t>
        </w:r>
        <w:r>
          <w:rPr>
            <w:color w:val="1D71B8"/>
            <w:spacing w:val="-3"/>
            <w:sz w:val="18"/>
            <w:u w:val="single" w:color="1D71B8"/>
          </w:rPr>
          <w:t> </w:t>
        </w:r>
        <w:r>
          <w:rPr>
            <w:color w:val="1D71B8"/>
            <w:sz w:val="18"/>
            <w:u w:val="single" w:color="1D71B8"/>
          </w:rPr>
          <w:t>Regulation</w:t>
        </w:r>
        <w:r>
          <w:rPr>
            <w:color w:val="1D71B8"/>
            <w:spacing w:val="-4"/>
            <w:sz w:val="18"/>
            <w:u w:val="single" w:color="1D71B8"/>
          </w:rPr>
          <w:t> </w:t>
        </w:r>
        <w:r>
          <w:rPr>
            <w:color w:val="1D71B8"/>
            <w:sz w:val="18"/>
            <w:u w:val="single" w:color="1D71B8"/>
          </w:rPr>
          <w:t>2023/1543</w:t>
        </w:r>
      </w:hyperlink>
      <w:r>
        <w:rPr>
          <w:color w:val="1D71B8"/>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12</w:t>
      </w:r>
      <w:r>
        <w:rPr>
          <w:spacing w:val="-3"/>
          <w:sz w:val="18"/>
          <w:u w:val="none"/>
        </w:rPr>
        <w:t> </w:t>
      </w:r>
      <w:r>
        <w:rPr>
          <w:sz w:val="18"/>
          <w:u w:val="none"/>
        </w:rPr>
        <w:t>July</w:t>
      </w:r>
      <w:r>
        <w:rPr>
          <w:spacing w:val="-3"/>
          <w:sz w:val="18"/>
          <w:u w:val="none"/>
        </w:rPr>
        <w:t> </w:t>
      </w:r>
      <w:r>
        <w:rPr>
          <w:sz w:val="18"/>
          <w:u w:val="none"/>
        </w:rPr>
        <w:t>2023</w:t>
      </w:r>
      <w:r>
        <w:rPr>
          <w:spacing w:val="-3"/>
          <w:sz w:val="18"/>
          <w:u w:val="none"/>
        </w:rPr>
        <w:t> </w:t>
      </w:r>
      <w:r>
        <w:rPr>
          <w:sz w:val="18"/>
          <w:u w:val="none"/>
        </w:rPr>
        <w:t>on</w:t>
      </w:r>
      <w:r>
        <w:rPr>
          <w:spacing w:val="-4"/>
          <w:sz w:val="18"/>
          <w:u w:val="none"/>
        </w:rPr>
        <w:t> </w:t>
      </w:r>
      <w:r>
        <w:rPr>
          <w:sz w:val="18"/>
          <w:u w:val="none"/>
        </w:rPr>
        <w:t>European</w:t>
      </w:r>
      <w:r>
        <w:rPr>
          <w:spacing w:val="-4"/>
          <w:sz w:val="18"/>
          <w:u w:val="none"/>
        </w:rPr>
        <w:t> </w:t>
      </w:r>
      <w:r>
        <w:rPr>
          <w:sz w:val="18"/>
          <w:u w:val="none"/>
        </w:rPr>
        <w:t>Production</w:t>
      </w:r>
      <w:r>
        <w:rPr>
          <w:spacing w:val="-4"/>
          <w:sz w:val="18"/>
          <w:u w:val="none"/>
        </w:rPr>
        <w:t> </w:t>
      </w:r>
      <w:r>
        <w:rPr>
          <w:sz w:val="18"/>
          <w:u w:val="none"/>
        </w:rPr>
        <w:t>Orders and European Preservation Orders for electronic evidence in criminal proceedings and for the execution of custodial sentences following criminal proceedings.</w:t>
      </w:r>
    </w:p>
    <w:p>
      <w:pPr>
        <w:pStyle w:val="ListParagraph"/>
        <w:numPr>
          <w:ilvl w:val="0"/>
          <w:numId w:val="18"/>
        </w:numPr>
        <w:tabs>
          <w:tab w:pos="1287" w:val="left" w:leader="none"/>
        </w:tabs>
        <w:spacing w:line="240" w:lineRule="auto" w:before="1" w:after="0"/>
        <w:ind w:left="1287" w:right="1626" w:hanging="567"/>
        <w:jc w:val="left"/>
        <w:rPr>
          <w:sz w:val="18"/>
        </w:rPr>
      </w:pPr>
      <w:hyperlink r:id="rId137">
        <w:r>
          <w:rPr>
            <w:color w:val="1D71B8"/>
            <w:sz w:val="18"/>
            <w:u w:val="single" w:color="1D71B8"/>
          </w:rPr>
          <w:t>EU</w:t>
        </w:r>
        <w:r>
          <w:rPr>
            <w:color w:val="1D71B8"/>
            <w:spacing w:val="-4"/>
            <w:sz w:val="18"/>
            <w:u w:val="single" w:color="1D71B8"/>
          </w:rPr>
          <w:t> </w:t>
        </w:r>
        <w:r>
          <w:rPr>
            <w:color w:val="1D71B8"/>
            <w:sz w:val="18"/>
            <w:u w:val="single" w:color="1D71B8"/>
          </w:rPr>
          <w:t>Regulation</w:t>
        </w:r>
        <w:r>
          <w:rPr>
            <w:color w:val="1D71B8"/>
            <w:spacing w:val="-5"/>
            <w:sz w:val="18"/>
            <w:u w:val="single" w:color="1D71B8"/>
          </w:rPr>
          <w:t> </w:t>
        </w:r>
        <w:r>
          <w:rPr>
            <w:color w:val="1D71B8"/>
            <w:sz w:val="18"/>
            <w:u w:val="single" w:color="1D71B8"/>
          </w:rPr>
          <w:t>2023/969</w:t>
        </w:r>
      </w:hyperlink>
      <w:r>
        <w:rPr>
          <w:color w:val="1D71B8"/>
          <w:spacing w:val="-5"/>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w:t>
      </w:r>
      <w:r>
        <w:rPr>
          <w:spacing w:val="-4"/>
          <w:sz w:val="18"/>
          <w:u w:val="none"/>
        </w:rPr>
        <w:t> </w:t>
      </w:r>
      <w:r>
        <w:rPr>
          <w:sz w:val="18"/>
          <w:u w:val="none"/>
        </w:rPr>
        <w:t>and</w:t>
      </w:r>
      <w:r>
        <w:rPr>
          <w:spacing w:val="-5"/>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Council</w:t>
      </w:r>
      <w:r>
        <w:rPr>
          <w:spacing w:val="-5"/>
          <w:sz w:val="18"/>
          <w:u w:val="none"/>
        </w:rPr>
        <w:t> </w:t>
      </w:r>
      <w:r>
        <w:rPr>
          <w:sz w:val="18"/>
          <w:u w:val="none"/>
        </w:rPr>
        <w:t>of</w:t>
      </w:r>
      <w:r>
        <w:rPr>
          <w:spacing w:val="-5"/>
          <w:sz w:val="18"/>
          <w:u w:val="none"/>
        </w:rPr>
        <w:t> </w:t>
      </w:r>
      <w:r>
        <w:rPr>
          <w:sz w:val="18"/>
          <w:u w:val="none"/>
        </w:rPr>
        <w:t>10</w:t>
      </w:r>
      <w:r>
        <w:rPr>
          <w:spacing w:val="-4"/>
          <w:sz w:val="18"/>
          <w:u w:val="none"/>
        </w:rPr>
        <w:t> </w:t>
      </w:r>
      <w:r>
        <w:rPr>
          <w:sz w:val="18"/>
          <w:u w:val="none"/>
        </w:rPr>
        <w:t>May</w:t>
      </w:r>
      <w:r>
        <w:rPr>
          <w:spacing w:val="-4"/>
          <w:sz w:val="18"/>
          <w:u w:val="none"/>
        </w:rPr>
        <w:t> </w:t>
      </w:r>
      <w:r>
        <w:rPr>
          <w:sz w:val="18"/>
          <w:u w:val="none"/>
        </w:rPr>
        <w:t>2023</w:t>
      </w:r>
      <w:r>
        <w:rPr>
          <w:spacing w:val="-4"/>
          <w:sz w:val="18"/>
          <w:u w:val="none"/>
        </w:rPr>
        <w:t> </w:t>
      </w:r>
      <w:r>
        <w:rPr>
          <w:sz w:val="18"/>
          <w:u w:val="none"/>
        </w:rPr>
        <w:t>establishing</w:t>
      </w:r>
      <w:r>
        <w:rPr>
          <w:spacing w:val="-4"/>
          <w:sz w:val="18"/>
          <w:u w:val="none"/>
        </w:rPr>
        <w:t> </w:t>
      </w:r>
      <w:r>
        <w:rPr>
          <w:sz w:val="18"/>
          <w:u w:val="none"/>
        </w:rPr>
        <w:t>a</w:t>
      </w:r>
      <w:r>
        <w:rPr>
          <w:spacing w:val="-5"/>
          <w:sz w:val="18"/>
          <w:u w:val="none"/>
        </w:rPr>
        <w:t> </w:t>
      </w:r>
      <w:r>
        <w:rPr>
          <w:sz w:val="18"/>
          <w:u w:val="none"/>
        </w:rPr>
        <w:t>collaboration platform to support the functioning of joint investigation teams and amending EU Regulation 2018/1726.</w:t>
      </w:r>
    </w:p>
    <w:p>
      <w:pPr>
        <w:pStyle w:val="ListParagraph"/>
        <w:numPr>
          <w:ilvl w:val="0"/>
          <w:numId w:val="18"/>
        </w:numPr>
        <w:tabs>
          <w:tab w:pos="1287" w:val="left" w:leader="none"/>
        </w:tabs>
        <w:spacing w:line="240" w:lineRule="auto" w:before="1" w:after="0"/>
        <w:ind w:left="1287" w:right="1224" w:hanging="567"/>
        <w:jc w:val="left"/>
        <w:rPr>
          <w:sz w:val="18"/>
        </w:rPr>
      </w:pPr>
      <w:hyperlink r:id="rId138">
        <w:r>
          <w:rPr>
            <w:color w:val="1D71B8"/>
            <w:sz w:val="18"/>
            <w:u w:val="single" w:color="1D71B8"/>
          </w:rPr>
          <w:t>EU Regulation 2022/991</w:t>
        </w:r>
      </w:hyperlink>
      <w:r>
        <w:rPr>
          <w:color w:val="1D71B8"/>
          <w:sz w:val="18"/>
          <w:u w:val="none"/>
        </w:rPr>
        <w:t> </w:t>
      </w:r>
      <w:r>
        <w:rPr>
          <w:sz w:val="18"/>
          <w:u w:val="none"/>
        </w:rPr>
        <w:t>of the European Parliament and of the Council of 8 June 2022 amending EU Regulation 2016/794,</w:t>
      </w:r>
      <w:r>
        <w:rPr>
          <w:spacing w:val="-5"/>
          <w:sz w:val="18"/>
          <w:u w:val="none"/>
        </w:rPr>
        <w:t> </w:t>
      </w:r>
      <w:r>
        <w:rPr>
          <w:sz w:val="18"/>
          <w:u w:val="none"/>
        </w:rPr>
        <w:t>as</w:t>
      </w:r>
      <w:r>
        <w:rPr>
          <w:spacing w:val="-6"/>
          <w:sz w:val="18"/>
          <w:u w:val="none"/>
        </w:rPr>
        <w:t> </w:t>
      </w:r>
      <w:r>
        <w:rPr>
          <w:sz w:val="18"/>
          <w:u w:val="none"/>
        </w:rPr>
        <w:t>regards</w:t>
      </w:r>
      <w:r>
        <w:rPr>
          <w:spacing w:val="-6"/>
          <w:sz w:val="18"/>
          <w:u w:val="none"/>
        </w:rPr>
        <w:t> </w:t>
      </w:r>
      <w:r>
        <w:rPr>
          <w:sz w:val="18"/>
          <w:u w:val="none"/>
        </w:rPr>
        <w:t>Europol’s</w:t>
      </w:r>
      <w:r>
        <w:rPr>
          <w:spacing w:val="-6"/>
          <w:sz w:val="18"/>
          <w:u w:val="none"/>
        </w:rPr>
        <w:t> </w:t>
      </w:r>
      <w:r>
        <w:rPr>
          <w:sz w:val="18"/>
          <w:u w:val="none"/>
        </w:rPr>
        <w:t>cooperation</w:t>
      </w:r>
      <w:r>
        <w:rPr>
          <w:spacing w:val="-6"/>
          <w:sz w:val="18"/>
          <w:u w:val="none"/>
        </w:rPr>
        <w:t> </w:t>
      </w:r>
      <w:r>
        <w:rPr>
          <w:sz w:val="18"/>
          <w:u w:val="none"/>
        </w:rPr>
        <w:t>with</w:t>
      </w:r>
      <w:r>
        <w:rPr>
          <w:spacing w:val="-6"/>
          <w:sz w:val="18"/>
          <w:u w:val="none"/>
        </w:rPr>
        <w:t> </w:t>
      </w:r>
      <w:r>
        <w:rPr>
          <w:sz w:val="18"/>
          <w:u w:val="none"/>
        </w:rPr>
        <w:t>private</w:t>
      </w:r>
      <w:r>
        <w:rPr>
          <w:spacing w:val="-5"/>
          <w:sz w:val="18"/>
          <w:u w:val="none"/>
        </w:rPr>
        <w:t> </w:t>
      </w:r>
      <w:r>
        <w:rPr>
          <w:sz w:val="18"/>
          <w:u w:val="none"/>
        </w:rPr>
        <w:t>parties,</w:t>
      </w:r>
      <w:r>
        <w:rPr>
          <w:spacing w:val="-5"/>
          <w:sz w:val="18"/>
          <w:u w:val="none"/>
        </w:rPr>
        <w:t> </w:t>
      </w:r>
      <w:r>
        <w:rPr>
          <w:sz w:val="18"/>
          <w:u w:val="none"/>
        </w:rPr>
        <w:t>the</w:t>
      </w:r>
      <w:r>
        <w:rPr>
          <w:spacing w:val="-5"/>
          <w:sz w:val="18"/>
          <w:u w:val="none"/>
        </w:rPr>
        <w:t> </w:t>
      </w:r>
      <w:r>
        <w:rPr>
          <w:sz w:val="18"/>
          <w:u w:val="none"/>
        </w:rPr>
        <w:t>processing</w:t>
      </w:r>
      <w:r>
        <w:rPr>
          <w:spacing w:val="-5"/>
          <w:sz w:val="18"/>
          <w:u w:val="none"/>
        </w:rPr>
        <w:t> </w:t>
      </w:r>
      <w:r>
        <w:rPr>
          <w:sz w:val="18"/>
          <w:u w:val="none"/>
        </w:rPr>
        <w:t>of</w:t>
      </w:r>
      <w:r>
        <w:rPr>
          <w:spacing w:val="-6"/>
          <w:sz w:val="18"/>
          <w:u w:val="none"/>
        </w:rPr>
        <w:t> </w:t>
      </w:r>
      <w:r>
        <w:rPr>
          <w:sz w:val="18"/>
          <w:u w:val="none"/>
        </w:rPr>
        <w:t>personal</w:t>
      </w:r>
      <w:r>
        <w:rPr>
          <w:spacing w:val="-6"/>
          <w:sz w:val="18"/>
          <w:u w:val="none"/>
        </w:rPr>
        <w:t> </w:t>
      </w:r>
      <w:r>
        <w:rPr>
          <w:sz w:val="18"/>
          <w:u w:val="none"/>
        </w:rPr>
        <w:t>data</w:t>
      </w:r>
      <w:r>
        <w:rPr>
          <w:spacing w:val="-6"/>
          <w:sz w:val="18"/>
          <w:u w:val="none"/>
        </w:rPr>
        <w:t> </w:t>
      </w:r>
      <w:r>
        <w:rPr>
          <w:sz w:val="18"/>
          <w:u w:val="none"/>
        </w:rPr>
        <w:t>by</w:t>
      </w:r>
      <w:r>
        <w:rPr>
          <w:spacing w:val="-5"/>
          <w:sz w:val="18"/>
          <w:u w:val="none"/>
        </w:rPr>
        <w:t> </w:t>
      </w:r>
      <w:r>
        <w:rPr>
          <w:sz w:val="18"/>
          <w:u w:val="none"/>
        </w:rPr>
        <w:t>Europol</w:t>
      </w:r>
      <w:r>
        <w:rPr>
          <w:spacing w:val="-6"/>
          <w:sz w:val="18"/>
          <w:u w:val="none"/>
        </w:rPr>
        <w:t> </w:t>
      </w:r>
      <w:r>
        <w:rPr>
          <w:sz w:val="18"/>
          <w:u w:val="none"/>
        </w:rPr>
        <w:t>in</w:t>
      </w:r>
      <w:r>
        <w:rPr>
          <w:spacing w:val="-6"/>
          <w:sz w:val="18"/>
          <w:u w:val="none"/>
        </w:rPr>
        <w:t> </w:t>
      </w:r>
      <w:r>
        <w:rPr>
          <w:sz w:val="18"/>
          <w:u w:val="none"/>
        </w:rPr>
        <w:t>support</w:t>
      </w:r>
      <w:r>
        <w:rPr>
          <w:spacing w:val="-5"/>
          <w:sz w:val="18"/>
          <w:u w:val="none"/>
        </w:rPr>
        <w:t> </w:t>
      </w:r>
      <w:r>
        <w:rPr>
          <w:sz w:val="18"/>
          <w:u w:val="none"/>
        </w:rPr>
        <w:t>of criminal investigations, and Europol’s role in research and innovation.</w:t>
      </w:r>
    </w:p>
    <w:p>
      <w:pPr>
        <w:pStyle w:val="ListParagraph"/>
        <w:numPr>
          <w:ilvl w:val="0"/>
          <w:numId w:val="18"/>
        </w:numPr>
        <w:tabs>
          <w:tab w:pos="1287" w:val="left" w:leader="none"/>
        </w:tabs>
        <w:spacing w:line="240" w:lineRule="auto" w:before="1" w:after="0"/>
        <w:ind w:left="1287" w:right="1312" w:hanging="567"/>
        <w:jc w:val="left"/>
        <w:rPr>
          <w:sz w:val="18"/>
        </w:rPr>
      </w:pPr>
      <w:hyperlink r:id="rId139">
        <w:r>
          <w:rPr>
            <w:color w:val="1D71B8"/>
            <w:sz w:val="18"/>
            <w:u w:val="single" w:color="1D71B8"/>
          </w:rPr>
          <w:t>EU Regulation 2022/838</w:t>
        </w:r>
      </w:hyperlink>
      <w:r>
        <w:rPr>
          <w:color w:val="1D71B8"/>
          <w:sz w:val="18"/>
          <w:u w:val="none"/>
        </w:rPr>
        <w:t> </w:t>
      </w:r>
      <w:r>
        <w:rPr>
          <w:sz w:val="18"/>
          <w:u w:val="none"/>
        </w:rPr>
        <w:t>of the European Parliament and of the Council of 30 May 2022 amending EU Regulation 2018/1727</w:t>
      </w:r>
      <w:r>
        <w:rPr>
          <w:spacing w:val="-5"/>
          <w:sz w:val="18"/>
          <w:u w:val="none"/>
        </w:rPr>
        <w:t> </w:t>
      </w:r>
      <w:r>
        <w:rPr>
          <w:sz w:val="18"/>
          <w:u w:val="none"/>
        </w:rPr>
        <w:t>as</w:t>
      </w:r>
      <w:r>
        <w:rPr>
          <w:spacing w:val="-6"/>
          <w:sz w:val="18"/>
          <w:u w:val="none"/>
        </w:rPr>
        <w:t> </w:t>
      </w:r>
      <w:r>
        <w:rPr>
          <w:sz w:val="18"/>
          <w:u w:val="none"/>
        </w:rPr>
        <w:t>regards</w:t>
      </w:r>
      <w:r>
        <w:rPr>
          <w:spacing w:val="-6"/>
          <w:sz w:val="18"/>
          <w:u w:val="none"/>
        </w:rPr>
        <w:t> </w:t>
      </w:r>
      <w:r>
        <w:rPr>
          <w:sz w:val="18"/>
          <w:u w:val="none"/>
        </w:rPr>
        <w:t>the</w:t>
      </w:r>
      <w:r>
        <w:rPr>
          <w:spacing w:val="-5"/>
          <w:sz w:val="18"/>
          <w:u w:val="none"/>
        </w:rPr>
        <w:t> </w:t>
      </w:r>
      <w:r>
        <w:rPr>
          <w:sz w:val="18"/>
          <w:u w:val="none"/>
        </w:rPr>
        <w:t>preservation,</w:t>
      </w:r>
      <w:r>
        <w:rPr>
          <w:spacing w:val="-5"/>
          <w:sz w:val="18"/>
          <w:u w:val="none"/>
        </w:rPr>
        <w:t> </w:t>
      </w:r>
      <w:r>
        <w:rPr>
          <w:sz w:val="18"/>
          <w:u w:val="none"/>
        </w:rPr>
        <w:t>analysis</w:t>
      </w:r>
      <w:r>
        <w:rPr>
          <w:spacing w:val="-6"/>
          <w:sz w:val="18"/>
          <w:u w:val="none"/>
        </w:rPr>
        <w:t> </w:t>
      </w:r>
      <w:r>
        <w:rPr>
          <w:sz w:val="18"/>
          <w:u w:val="none"/>
        </w:rPr>
        <w:t>and</w:t>
      </w:r>
      <w:r>
        <w:rPr>
          <w:spacing w:val="-6"/>
          <w:sz w:val="18"/>
          <w:u w:val="none"/>
        </w:rPr>
        <w:t> </w:t>
      </w:r>
      <w:r>
        <w:rPr>
          <w:sz w:val="18"/>
          <w:u w:val="none"/>
        </w:rPr>
        <w:t>storage</w:t>
      </w:r>
      <w:r>
        <w:rPr>
          <w:spacing w:val="-5"/>
          <w:sz w:val="18"/>
          <w:u w:val="none"/>
        </w:rPr>
        <w:t> </w:t>
      </w:r>
      <w:r>
        <w:rPr>
          <w:sz w:val="18"/>
          <w:u w:val="none"/>
        </w:rPr>
        <w:t>at</w:t>
      </w:r>
      <w:r>
        <w:rPr>
          <w:spacing w:val="-5"/>
          <w:sz w:val="18"/>
          <w:u w:val="none"/>
        </w:rPr>
        <w:t> </w:t>
      </w:r>
      <w:r>
        <w:rPr>
          <w:sz w:val="18"/>
          <w:u w:val="none"/>
        </w:rPr>
        <w:t>Eurojust</w:t>
      </w:r>
      <w:r>
        <w:rPr>
          <w:spacing w:val="-5"/>
          <w:sz w:val="18"/>
          <w:u w:val="none"/>
        </w:rPr>
        <w:t> </w:t>
      </w:r>
      <w:r>
        <w:rPr>
          <w:sz w:val="18"/>
          <w:u w:val="none"/>
        </w:rPr>
        <w:t>of</w:t>
      </w:r>
      <w:r>
        <w:rPr>
          <w:spacing w:val="-6"/>
          <w:sz w:val="18"/>
          <w:u w:val="none"/>
        </w:rPr>
        <w:t> </w:t>
      </w:r>
      <w:r>
        <w:rPr>
          <w:sz w:val="18"/>
          <w:u w:val="none"/>
        </w:rPr>
        <w:t>evidence</w:t>
      </w:r>
      <w:r>
        <w:rPr>
          <w:spacing w:val="-5"/>
          <w:sz w:val="18"/>
          <w:u w:val="none"/>
        </w:rPr>
        <w:t> </w:t>
      </w:r>
      <w:r>
        <w:rPr>
          <w:sz w:val="18"/>
          <w:u w:val="none"/>
        </w:rPr>
        <w:t>relating</w:t>
      </w:r>
      <w:r>
        <w:rPr>
          <w:spacing w:val="-5"/>
          <w:sz w:val="18"/>
          <w:u w:val="none"/>
        </w:rPr>
        <w:t> </w:t>
      </w:r>
      <w:r>
        <w:rPr>
          <w:sz w:val="18"/>
          <w:u w:val="none"/>
        </w:rPr>
        <w:t>to</w:t>
      </w:r>
      <w:r>
        <w:rPr>
          <w:spacing w:val="-6"/>
          <w:sz w:val="18"/>
          <w:u w:val="none"/>
        </w:rPr>
        <w:t> </w:t>
      </w:r>
      <w:r>
        <w:rPr>
          <w:sz w:val="18"/>
          <w:u w:val="none"/>
        </w:rPr>
        <w:t>genocide,</w:t>
      </w:r>
      <w:r>
        <w:rPr>
          <w:spacing w:val="-5"/>
          <w:sz w:val="18"/>
          <w:u w:val="none"/>
        </w:rPr>
        <w:t> </w:t>
      </w:r>
      <w:r>
        <w:rPr>
          <w:sz w:val="18"/>
          <w:u w:val="none"/>
        </w:rPr>
        <w:t>crimes</w:t>
      </w:r>
      <w:r>
        <w:rPr>
          <w:spacing w:val="-6"/>
          <w:sz w:val="18"/>
          <w:u w:val="none"/>
        </w:rPr>
        <w:t> </w:t>
      </w:r>
      <w:r>
        <w:rPr>
          <w:sz w:val="18"/>
          <w:u w:val="none"/>
        </w:rPr>
        <w:t>against humanity, war crimes and related criminal offences.</w:t>
      </w:r>
    </w:p>
    <w:p>
      <w:pPr>
        <w:pStyle w:val="ListParagraph"/>
        <w:numPr>
          <w:ilvl w:val="0"/>
          <w:numId w:val="18"/>
        </w:numPr>
        <w:tabs>
          <w:tab w:pos="1287" w:val="left" w:leader="none"/>
        </w:tabs>
        <w:spacing w:line="240" w:lineRule="auto" w:before="0" w:after="0"/>
        <w:ind w:left="1287" w:right="1742" w:hanging="567"/>
        <w:jc w:val="both"/>
        <w:rPr>
          <w:sz w:val="18"/>
        </w:rPr>
      </w:pPr>
      <w:r>
        <w:rPr>
          <w:color w:val="1D71B8"/>
          <w:sz w:val="18"/>
          <w:u w:val="single" w:color="1D71B8"/>
        </w:rPr>
        <w:t>Trade</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Cooperation</w:t>
      </w:r>
      <w:r>
        <w:rPr>
          <w:color w:val="1D71B8"/>
          <w:spacing w:val="-5"/>
          <w:sz w:val="18"/>
          <w:u w:val="single" w:color="1D71B8"/>
        </w:rPr>
        <w:t> </w:t>
      </w:r>
      <w:r>
        <w:rPr>
          <w:color w:val="1D71B8"/>
          <w:sz w:val="18"/>
          <w:u w:val="single" w:color="1D71B8"/>
        </w:rPr>
        <w:t>Agreement</w:t>
      </w:r>
      <w:r>
        <w:rPr>
          <w:color w:val="1D71B8"/>
          <w:spacing w:val="-5"/>
          <w:sz w:val="18"/>
          <w:u w:val="none"/>
        </w:rPr>
        <w:t> </w:t>
      </w:r>
      <w:r>
        <w:rPr>
          <w:sz w:val="18"/>
          <w:u w:val="none"/>
        </w:rPr>
        <w:t>between</w:t>
      </w:r>
      <w:r>
        <w:rPr>
          <w:spacing w:val="-5"/>
          <w:sz w:val="18"/>
          <w:u w:val="none"/>
        </w:rPr>
        <w:t> </w:t>
      </w:r>
      <w:r>
        <w:rPr>
          <w:sz w:val="18"/>
          <w:u w:val="none"/>
        </w:rPr>
        <w:t>the</w:t>
      </w:r>
      <w:r>
        <w:rPr>
          <w:spacing w:val="-5"/>
          <w:sz w:val="18"/>
          <w:u w:val="none"/>
        </w:rPr>
        <w:t> </w:t>
      </w:r>
      <w:r>
        <w:rPr>
          <w:sz w:val="18"/>
          <w:u w:val="none"/>
        </w:rPr>
        <w:t>European</w:t>
      </w:r>
      <w:r>
        <w:rPr>
          <w:spacing w:val="-5"/>
          <w:sz w:val="18"/>
          <w:u w:val="none"/>
        </w:rPr>
        <w:t> </w:t>
      </w:r>
      <w:r>
        <w:rPr>
          <w:sz w:val="18"/>
          <w:u w:val="none"/>
        </w:rPr>
        <w:t>Union</w:t>
      </w:r>
      <w:r>
        <w:rPr>
          <w:spacing w:val="-5"/>
          <w:sz w:val="18"/>
          <w:u w:val="none"/>
        </w:rPr>
        <w:t> </w:t>
      </w:r>
      <w:r>
        <w:rPr>
          <w:sz w:val="18"/>
          <w:u w:val="none"/>
        </w:rPr>
        <w:t>and</w:t>
      </w:r>
      <w:r>
        <w:rPr>
          <w:spacing w:val="-5"/>
          <w:sz w:val="18"/>
          <w:u w:val="none"/>
        </w:rPr>
        <w:t> </w:t>
      </w:r>
      <w:r>
        <w:rPr>
          <w:sz w:val="18"/>
          <w:u w:val="none"/>
        </w:rPr>
        <w:t>the</w:t>
      </w:r>
      <w:r>
        <w:rPr>
          <w:spacing w:val="-5"/>
          <w:sz w:val="18"/>
          <w:u w:val="none"/>
        </w:rPr>
        <w:t> </w:t>
      </w:r>
      <w:r>
        <w:rPr>
          <w:sz w:val="18"/>
          <w:u w:val="none"/>
        </w:rPr>
        <w:t>European</w:t>
      </w:r>
      <w:r>
        <w:rPr>
          <w:spacing w:val="-5"/>
          <w:sz w:val="18"/>
          <w:u w:val="none"/>
        </w:rPr>
        <w:t> </w:t>
      </w:r>
      <w:r>
        <w:rPr>
          <w:sz w:val="18"/>
          <w:u w:val="none"/>
        </w:rPr>
        <w:t>Atomic</w:t>
      </w:r>
      <w:r>
        <w:rPr>
          <w:spacing w:val="-5"/>
          <w:sz w:val="18"/>
          <w:u w:val="none"/>
        </w:rPr>
        <w:t> </w:t>
      </w:r>
      <w:r>
        <w:rPr>
          <w:sz w:val="18"/>
          <w:u w:val="none"/>
        </w:rPr>
        <w:t>Energy</w:t>
      </w:r>
      <w:r>
        <w:rPr>
          <w:spacing w:val="-5"/>
          <w:sz w:val="18"/>
          <w:u w:val="none"/>
        </w:rPr>
        <w:t> </w:t>
      </w:r>
      <w:r>
        <w:rPr>
          <w:sz w:val="18"/>
          <w:u w:val="none"/>
        </w:rPr>
        <w:t>Community,</w:t>
      </w:r>
      <w:r>
        <w:rPr>
          <w:spacing w:val="-5"/>
          <w:sz w:val="18"/>
          <w:u w:val="none"/>
        </w:rPr>
        <w:t> </w:t>
      </w:r>
      <w:r>
        <w:rPr>
          <w:sz w:val="18"/>
          <w:u w:val="none"/>
        </w:rPr>
        <w:t>of the</w:t>
      </w:r>
      <w:r>
        <w:rPr>
          <w:spacing w:val="-2"/>
          <w:sz w:val="18"/>
          <w:u w:val="none"/>
        </w:rPr>
        <w:t> </w:t>
      </w:r>
      <w:r>
        <w:rPr>
          <w:sz w:val="18"/>
          <w:u w:val="none"/>
        </w:rPr>
        <w:t>one</w:t>
      </w:r>
      <w:r>
        <w:rPr>
          <w:spacing w:val="-2"/>
          <w:sz w:val="18"/>
          <w:u w:val="none"/>
        </w:rPr>
        <w:t> </w:t>
      </w:r>
      <w:r>
        <w:rPr>
          <w:sz w:val="18"/>
          <w:u w:val="none"/>
        </w:rPr>
        <w:t>part,</w:t>
      </w:r>
      <w:r>
        <w:rPr>
          <w:spacing w:val="-2"/>
          <w:sz w:val="18"/>
          <w:u w:val="none"/>
        </w:rPr>
        <w:t> </w:t>
      </w:r>
      <w:r>
        <w:rPr>
          <w:sz w:val="18"/>
          <w:u w:val="none"/>
        </w:rPr>
        <w:t>and</w:t>
      </w:r>
      <w:r>
        <w:rPr>
          <w:spacing w:val="-3"/>
          <w:sz w:val="18"/>
          <w:u w:val="none"/>
        </w:rPr>
        <w:t> </w:t>
      </w:r>
      <w:r>
        <w:rPr>
          <w:sz w:val="18"/>
          <w:u w:val="none"/>
        </w:rPr>
        <w:t>the</w:t>
      </w:r>
      <w:r>
        <w:rPr>
          <w:spacing w:val="-2"/>
          <w:sz w:val="18"/>
          <w:u w:val="none"/>
        </w:rPr>
        <w:t> </w:t>
      </w:r>
      <w:r>
        <w:rPr>
          <w:sz w:val="18"/>
          <w:u w:val="none"/>
        </w:rPr>
        <w:t>United</w:t>
      </w:r>
      <w:r>
        <w:rPr>
          <w:spacing w:val="-3"/>
          <w:sz w:val="18"/>
          <w:u w:val="none"/>
        </w:rPr>
        <w:t> </w:t>
      </w:r>
      <w:r>
        <w:rPr>
          <w:sz w:val="18"/>
          <w:u w:val="none"/>
        </w:rPr>
        <w:t>Kingdom</w:t>
      </w:r>
      <w:r>
        <w:rPr>
          <w:spacing w:val="-2"/>
          <w:sz w:val="18"/>
          <w:u w:val="none"/>
        </w:rPr>
        <w:t> </w:t>
      </w:r>
      <w:r>
        <w:rPr>
          <w:sz w:val="18"/>
          <w:u w:val="none"/>
        </w:rPr>
        <w:t>of</w:t>
      </w:r>
      <w:r>
        <w:rPr>
          <w:spacing w:val="-3"/>
          <w:sz w:val="18"/>
          <w:u w:val="none"/>
        </w:rPr>
        <w:t> </w:t>
      </w:r>
      <w:r>
        <w:rPr>
          <w:sz w:val="18"/>
          <w:u w:val="none"/>
        </w:rPr>
        <w:t>Great</w:t>
      </w:r>
      <w:r>
        <w:rPr>
          <w:spacing w:val="-2"/>
          <w:sz w:val="18"/>
          <w:u w:val="none"/>
        </w:rPr>
        <w:t> </w:t>
      </w:r>
      <w:r>
        <w:rPr>
          <w:sz w:val="18"/>
          <w:u w:val="none"/>
        </w:rPr>
        <w:t>Britain</w:t>
      </w:r>
      <w:r>
        <w:rPr>
          <w:spacing w:val="-3"/>
          <w:sz w:val="18"/>
          <w:u w:val="none"/>
        </w:rPr>
        <w:t> </w:t>
      </w:r>
      <w:r>
        <w:rPr>
          <w:sz w:val="18"/>
          <w:u w:val="none"/>
        </w:rPr>
        <w:t>and</w:t>
      </w:r>
      <w:r>
        <w:rPr>
          <w:spacing w:val="-3"/>
          <w:sz w:val="18"/>
          <w:u w:val="none"/>
        </w:rPr>
        <w:t> </w:t>
      </w:r>
      <w:r>
        <w:rPr>
          <w:sz w:val="18"/>
          <w:u w:val="none"/>
        </w:rPr>
        <w:t>Northern</w:t>
      </w:r>
      <w:r>
        <w:rPr>
          <w:spacing w:val="-3"/>
          <w:sz w:val="18"/>
          <w:u w:val="none"/>
        </w:rPr>
        <w:t> </w:t>
      </w:r>
      <w:r>
        <w:rPr>
          <w:sz w:val="18"/>
          <w:u w:val="none"/>
        </w:rPr>
        <w:t>Ireland,</w:t>
      </w:r>
      <w:r>
        <w:rPr>
          <w:spacing w:val="-2"/>
          <w:sz w:val="18"/>
          <w:u w:val="none"/>
        </w:rPr>
        <w:t> </w:t>
      </w:r>
      <w:r>
        <w:rPr>
          <w:sz w:val="18"/>
          <w:u w:val="none"/>
        </w:rPr>
        <w:t>of</w:t>
      </w:r>
      <w:r>
        <w:rPr>
          <w:spacing w:val="-3"/>
          <w:sz w:val="18"/>
          <w:u w:val="none"/>
        </w:rPr>
        <w:t> </w:t>
      </w:r>
      <w:r>
        <w:rPr>
          <w:sz w:val="18"/>
          <w:u w:val="none"/>
        </w:rPr>
        <w:t>the</w:t>
      </w:r>
      <w:r>
        <w:rPr>
          <w:spacing w:val="-2"/>
          <w:sz w:val="18"/>
          <w:u w:val="none"/>
        </w:rPr>
        <w:t> </w:t>
      </w:r>
      <w:r>
        <w:rPr>
          <w:sz w:val="18"/>
          <w:u w:val="none"/>
        </w:rPr>
        <w:t>other</w:t>
      </w:r>
      <w:r>
        <w:rPr>
          <w:spacing w:val="-2"/>
          <w:sz w:val="18"/>
          <w:u w:val="none"/>
        </w:rPr>
        <w:t> </w:t>
      </w:r>
      <w:r>
        <w:rPr>
          <w:sz w:val="18"/>
          <w:u w:val="none"/>
        </w:rPr>
        <w:t>part.</w:t>
      </w:r>
      <w:r>
        <w:rPr>
          <w:spacing w:val="-3"/>
          <w:sz w:val="18"/>
          <w:u w:val="none"/>
        </w:rPr>
        <w:t> </w:t>
      </w:r>
      <w:r>
        <w:rPr>
          <w:sz w:val="18"/>
          <w:u w:val="none"/>
        </w:rPr>
        <w:t>EU</w:t>
      </w:r>
      <w:r>
        <w:rPr>
          <w:spacing w:val="-2"/>
          <w:sz w:val="18"/>
          <w:u w:val="none"/>
        </w:rPr>
        <w:t> </w:t>
      </w:r>
      <w:r>
        <w:rPr>
          <w:sz w:val="18"/>
          <w:u w:val="none"/>
        </w:rPr>
        <w:t>Doc.</w:t>
      </w:r>
      <w:r>
        <w:rPr>
          <w:spacing w:val="-3"/>
          <w:sz w:val="18"/>
          <w:u w:val="none"/>
        </w:rPr>
        <w:t> </w:t>
      </w:r>
      <w:r>
        <w:rPr>
          <w:sz w:val="18"/>
          <w:u w:val="none"/>
        </w:rPr>
        <w:t>Document 22021A0430(01), Title V, Title VI and Article 642.</w:t>
      </w:r>
    </w:p>
    <w:p>
      <w:pPr>
        <w:spacing w:after="0" w:line="240" w:lineRule="auto"/>
        <w:jc w:val="both"/>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79168">
                <wp:simplePos x="0" y="0"/>
                <wp:positionH relativeFrom="page">
                  <wp:posOffset>-2</wp:posOffset>
                </wp:positionH>
                <wp:positionV relativeFrom="page">
                  <wp:posOffset>0</wp:posOffset>
                </wp:positionV>
                <wp:extent cx="7560309" cy="1257935"/>
                <wp:effectExtent l="0" t="0" r="0" b="0"/>
                <wp:wrapNone/>
                <wp:docPr id="789" name="Group 789"/>
                <wp:cNvGraphicFramePr>
                  <a:graphicFrameLocks/>
                </wp:cNvGraphicFramePr>
                <a:graphic>
                  <a:graphicData uri="http://schemas.microsoft.com/office/word/2010/wordprocessingGroup">
                    <wpg:wgp>
                      <wpg:cNvPr id="789" name="Group 789"/>
                      <wpg:cNvGrpSpPr/>
                      <wpg:grpSpPr>
                        <a:xfrm>
                          <a:off x="0" y="0"/>
                          <a:ext cx="7560309" cy="1257935"/>
                          <a:chExt cx="7560309" cy="1257935"/>
                        </a:xfrm>
                      </wpg:grpSpPr>
                      <wps:wsp>
                        <wps:cNvPr id="790" name="Graphic 79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791" name="Graphic 79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792" name="Textbox 792"/>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793" name="Textbox 793"/>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91</w:t>
                              </w:r>
                            </w:p>
                          </w:txbxContent>
                        </wps:txbx>
                        <wps:bodyPr wrap="square" lIns="0" tIns="0" rIns="0" bIns="0" rtlCol="0">
                          <a:noAutofit/>
                        </wps:bodyPr>
                      </wps:wsp>
                      <wps:wsp>
                        <wps:cNvPr id="794" name="Textbox 794"/>
                        <wps:cNvSpPr txBox="1"/>
                        <wps:spPr>
                          <a:xfrm>
                            <a:off x="900001" y="1080003"/>
                            <a:ext cx="3689985" cy="177800"/>
                          </a:xfrm>
                          <a:prstGeom prst="rect">
                            <a:avLst/>
                          </a:prstGeom>
                        </wps:spPr>
                        <wps:txbx>
                          <w:txbxContent>
                            <w:p>
                              <w:pPr>
                                <w:numPr>
                                  <w:ilvl w:val="3"/>
                                  <w:numId w:val="38"/>
                                </w:numPr>
                                <w:tabs>
                                  <w:tab w:pos="843" w:val="left" w:leader="none"/>
                                </w:tabs>
                                <w:spacing w:line="280" w:lineRule="exact" w:before="0"/>
                                <w:ind w:left="843" w:right="0" w:hanging="843"/>
                                <w:jc w:val="left"/>
                                <w:rPr>
                                  <w:sz w:val="28"/>
                                </w:rPr>
                              </w:pPr>
                              <w:r>
                                <w:rPr>
                                  <w:color w:val="004A93"/>
                                  <w:sz w:val="28"/>
                                </w:rPr>
                                <w:t>Recently</w:t>
                              </w:r>
                              <w:r>
                                <w:rPr>
                                  <w:color w:val="004A93"/>
                                  <w:spacing w:val="-7"/>
                                  <w:sz w:val="28"/>
                                </w:rPr>
                                <w:t> </w:t>
                              </w:r>
                              <w:r>
                                <w:rPr>
                                  <w:color w:val="004A93"/>
                                  <w:sz w:val="28"/>
                                </w:rPr>
                                <w:t>proposed</w:t>
                              </w:r>
                              <w:r>
                                <w:rPr>
                                  <w:color w:val="004A93"/>
                                  <w:spacing w:val="-8"/>
                                  <w:sz w:val="28"/>
                                </w:rPr>
                                <w:t> </w:t>
                              </w:r>
                              <w:r>
                                <w:rPr>
                                  <w:color w:val="004A93"/>
                                  <w:sz w:val="28"/>
                                </w:rPr>
                                <w:t>EU</w:t>
                              </w:r>
                              <w:r>
                                <w:rPr>
                                  <w:color w:val="004A93"/>
                                  <w:spacing w:val="-6"/>
                                  <w:sz w:val="28"/>
                                </w:rPr>
                                <w:t> </w:t>
                              </w:r>
                              <w:r>
                                <w:rPr>
                                  <w:color w:val="004A93"/>
                                  <w:sz w:val="28"/>
                                </w:rPr>
                                <w:t>legislation</w:t>
                              </w:r>
                              <w:r>
                                <w:rPr>
                                  <w:color w:val="004A93"/>
                                  <w:spacing w:val="-8"/>
                                  <w:sz w:val="28"/>
                                </w:rPr>
                                <w:t> </w:t>
                              </w:r>
                              <w:r>
                                <w:rPr>
                                  <w:color w:val="004A93"/>
                                  <w:sz w:val="28"/>
                                </w:rPr>
                                <w:t>on</w:t>
                              </w:r>
                              <w:r>
                                <w:rPr>
                                  <w:color w:val="004A93"/>
                                  <w:spacing w:val="-7"/>
                                  <w:sz w:val="28"/>
                                </w:rPr>
                                <w:t> </w:t>
                              </w:r>
                              <w:r>
                                <w:rPr>
                                  <w:color w:val="004A93"/>
                                  <w:spacing w:val="-2"/>
                                  <w:sz w:val="28"/>
                                </w:rPr>
                                <w:t>privacy</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879168" id="docshapegroup645" coordorigin="0,0" coordsize="11906,1981">
                <v:shape style="position:absolute;left:0;top:0;width:11906;height:1819" id="docshape646"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647"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648" filled="false" stroked="false">
                  <v:textbox inset="0,0,0,0">
                    <w:txbxContent>
                      <w:p>
                        <w:pPr>
                          <w:spacing w:line="280" w:lineRule="exact" w:before="0"/>
                          <w:ind w:left="0" w:right="0" w:firstLine="0"/>
                          <w:jc w:val="left"/>
                          <w:rPr>
                            <w:b/>
                            <w:sz w:val="28"/>
                          </w:rPr>
                        </w:pPr>
                        <w:r>
                          <w:rPr>
                            <w:b/>
                            <w:color w:val="FFFFFF"/>
                            <w:spacing w:val="-5"/>
                            <w:sz w:val="28"/>
                          </w:rPr>
                          <w:t>91</w:t>
                        </w:r>
                      </w:p>
                    </w:txbxContent>
                  </v:textbox>
                  <w10:wrap type="none"/>
                </v:shape>
                <v:shape style="position:absolute;left:1417;top:1700;width:5811;height:280" type="#_x0000_t202" id="docshape649" filled="false" stroked="false">
                  <v:textbox inset="0,0,0,0">
                    <w:txbxContent>
                      <w:p>
                        <w:pPr>
                          <w:numPr>
                            <w:ilvl w:val="3"/>
                            <w:numId w:val="38"/>
                          </w:numPr>
                          <w:tabs>
                            <w:tab w:pos="843" w:val="left" w:leader="none"/>
                          </w:tabs>
                          <w:spacing w:line="280" w:lineRule="exact" w:before="0"/>
                          <w:ind w:left="843" w:right="0" w:hanging="843"/>
                          <w:jc w:val="left"/>
                          <w:rPr>
                            <w:sz w:val="28"/>
                          </w:rPr>
                        </w:pPr>
                        <w:r>
                          <w:rPr>
                            <w:color w:val="004A93"/>
                            <w:sz w:val="28"/>
                          </w:rPr>
                          <w:t>Recently</w:t>
                        </w:r>
                        <w:r>
                          <w:rPr>
                            <w:color w:val="004A93"/>
                            <w:spacing w:val="-7"/>
                            <w:sz w:val="28"/>
                          </w:rPr>
                          <w:t> </w:t>
                        </w:r>
                        <w:r>
                          <w:rPr>
                            <w:color w:val="004A93"/>
                            <w:sz w:val="28"/>
                          </w:rPr>
                          <w:t>proposed</w:t>
                        </w:r>
                        <w:r>
                          <w:rPr>
                            <w:color w:val="004A93"/>
                            <w:spacing w:val="-8"/>
                            <w:sz w:val="28"/>
                          </w:rPr>
                          <w:t> </w:t>
                        </w:r>
                        <w:r>
                          <w:rPr>
                            <w:color w:val="004A93"/>
                            <w:sz w:val="28"/>
                          </w:rPr>
                          <w:t>EU</w:t>
                        </w:r>
                        <w:r>
                          <w:rPr>
                            <w:color w:val="004A93"/>
                            <w:spacing w:val="-6"/>
                            <w:sz w:val="28"/>
                          </w:rPr>
                          <w:t> </w:t>
                        </w:r>
                        <w:r>
                          <w:rPr>
                            <w:color w:val="004A93"/>
                            <w:sz w:val="28"/>
                          </w:rPr>
                          <w:t>legislation</w:t>
                        </w:r>
                        <w:r>
                          <w:rPr>
                            <w:color w:val="004A93"/>
                            <w:spacing w:val="-8"/>
                            <w:sz w:val="28"/>
                          </w:rPr>
                          <w:t> </w:t>
                        </w:r>
                        <w:r>
                          <w:rPr>
                            <w:color w:val="004A93"/>
                            <w:sz w:val="28"/>
                          </w:rPr>
                          <w:t>on</w:t>
                        </w:r>
                        <w:r>
                          <w:rPr>
                            <w:color w:val="004A93"/>
                            <w:spacing w:val="-7"/>
                            <w:sz w:val="28"/>
                          </w:rPr>
                          <w:t> </w:t>
                        </w:r>
                        <w:r>
                          <w:rPr>
                            <w:color w:val="004A93"/>
                            <w:spacing w:val="-2"/>
                            <w:sz w:val="28"/>
                          </w:rPr>
                          <w:t>privacy</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pPr>
      <w:bookmarkStart w:name="4.3.2.3 Recently proposed EU legislation" w:id="139"/>
      <w:bookmarkEnd w:id="139"/>
      <w:r>
        <w:rPr/>
      </w:r>
      <w:bookmarkStart w:name="4.3.3 The right to health, including the" w:id="140"/>
      <w:bookmarkEnd w:id="140"/>
      <w:r>
        <w:rPr/>
      </w:r>
      <w:bookmarkStart w:name="_bookmark58" w:id="141"/>
      <w:bookmarkEnd w:id="141"/>
      <w:r>
        <w:rPr/>
      </w:r>
      <w:r>
        <w:rPr/>
        <w:t>EU</w:t>
      </w:r>
      <w:r>
        <w:rPr>
          <w:spacing w:val="-5"/>
        </w:rPr>
        <w:t> </w:t>
      </w:r>
      <w:r>
        <w:rPr/>
        <w:t>law</w:t>
      </w:r>
      <w:r>
        <w:rPr>
          <w:spacing w:val="-5"/>
        </w:rPr>
        <w:t> </w:t>
      </w:r>
      <w:r>
        <w:rPr/>
        <w:t>on</w:t>
      </w:r>
      <w:r>
        <w:rPr>
          <w:spacing w:val="-6"/>
        </w:rPr>
        <w:t> </w:t>
      </w:r>
      <w:r>
        <w:rPr/>
        <w:t>Member</w:t>
      </w:r>
      <w:r>
        <w:rPr>
          <w:spacing w:val="-5"/>
        </w:rPr>
        <w:t> </w:t>
      </w:r>
      <w:r>
        <w:rPr/>
        <w:t>States’</w:t>
      </w:r>
      <w:r>
        <w:rPr>
          <w:spacing w:val="-5"/>
        </w:rPr>
        <w:t> </w:t>
      </w:r>
      <w:r>
        <w:rPr/>
        <w:t>data</w:t>
      </w:r>
      <w:r>
        <w:rPr>
          <w:spacing w:val="-6"/>
        </w:rPr>
        <w:t> </w:t>
      </w:r>
      <w:r>
        <w:rPr/>
        <w:t>protection</w:t>
      </w:r>
      <w:r>
        <w:rPr>
          <w:spacing w:val="-6"/>
        </w:rPr>
        <w:t> </w:t>
      </w:r>
      <w:r>
        <w:rPr/>
        <w:t>policies</w:t>
      </w:r>
      <w:r>
        <w:rPr>
          <w:spacing w:val="-6"/>
        </w:rPr>
        <w:t> </w:t>
      </w:r>
      <w:r>
        <w:rPr/>
        <w:t>will</w:t>
      </w:r>
      <w:r>
        <w:rPr>
          <w:spacing w:val="-6"/>
        </w:rPr>
        <w:t> </w:t>
      </w:r>
      <w:r>
        <w:rPr/>
        <w:t>soon</w:t>
      </w:r>
      <w:r>
        <w:rPr>
          <w:spacing w:val="-6"/>
        </w:rPr>
        <w:t> </w:t>
      </w:r>
      <w:r>
        <w:rPr/>
        <w:t>be</w:t>
      </w:r>
      <w:r>
        <w:rPr>
          <w:spacing w:val="-5"/>
        </w:rPr>
        <w:t> </w:t>
      </w:r>
      <w:r>
        <w:rPr/>
        <w:t>amended</w:t>
      </w:r>
      <w:r>
        <w:rPr>
          <w:spacing w:val="-6"/>
        </w:rPr>
        <w:t> </w:t>
      </w:r>
      <w:r>
        <w:rPr/>
        <w:t>in</w:t>
      </w:r>
      <w:r>
        <w:rPr>
          <w:spacing w:val="-6"/>
        </w:rPr>
        <w:t> </w:t>
      </w:r>
      <w:r>
        <w:rPr/>
        <w:t>several respects, with one substantial legal standard worth noting in this report.</w:t>
      </w:r>
    </w:p>
    <w:p>
      <w:pPr>
        <w:pStyle w:val="ListParagraph"/>
        <w:numPr>
          <w:ilvl w:val="1"/>
          <w:numId w:val="37"/>
        </w:numPr>
        <w:tabs>
          <w:tab w:pos="1457" w:val="left" w:leader="none"/>
        </w:tabs>
        <w:spacing w:line="232" w:lineRule="auto" w:before="267" w:after="0"/>
        <w:ind w:left="1457" w:right="1037" w:hanging="341"/>
        <w:jc w:val="left"/>
        <w:rPr>
          <w:sz w:val="28"/>
        </w:rPr>
      </w:pPr>
      <w:r>
        <w:rPr>
          <w:sz w:val="28"/>
        </w:rPr>
        <w:t>States may soon be bound to streamline cooperation between national data protection</w:t>
      </w:r>
      <w:r>
        <w:rPr>
          <w:spacing w:val="-12"/>
          <w:sz w:val="28"/>
        </w:rPr>
        <w:t> </w:t>
      </w:r>
      <w:r>
        <w:rPr>
          <w:sz w:val="28"/>
        </w:rPr>
        <w:t>authorities</w:t>
      </w:r>
      <w:r>
        <w:rPr>
          <w:spacing w:val="-12"/>
          <w:sz w:val="28"/>
        </w:rPr>
        <w:t> </w:t>
      </w:r>
      <w:r>
        <w:rPr>
          <w:sz w:val="28"/>
        </w:rPr>
        <w:t>when</w:t>
      </w:r>
      <w:r>
        <w:rPr>
          <w:spacing w:val="-12"/>
          <w:sz w:val="28"/>
        </w:rPr>
        <w:t> </w:t>
      </w:r>
      <w:r>
        <w:rPr>
          <w:sz w:val="28"/>
        </w:rPr>
        <w:t>enforcing</w:t>
      </w:r>
      <w:r>
        <w:rPr>
          <w:spacing w:val="-11"/>
          <w:sz w:val="28"/>
        </w:rPr>
        <w:t> </w:t>
      </w:r>
      <w:r>
        <w:rPr>
          <w:sz w:val="28"/>
        </w:rPr>
        <w:t>the</w:t>
      </w:r>
      <w:r>
        <w:rPr>
          <w:spacing w:val="-11"/>
          <w:sz w:val="28"/>
        </w:rPr>
        <w:t> </w:t>
      </w:r>
      <w:r>
        <w:rPr>
          <w:sz w:val="28"/>
        </w:rPr>
        <w:t>General</w:t>
      </w:r>
      <w:r>
        <w:rPr>
          <w:spacing w:val="-12"/>
          <w:sz w:val="28"/>
        </w:rPr>
        <w:t> </w:t>
      </w:r>
      <w:r>
        <w:rPr>
          <w:sz w:val="28"/>
        </w:rPr>
        <w:t>Data</w:t>
      </w:r>
      <w:r>
        <w:rPr>
          <w:spacing w:val="-12"/>
          <w:sz w:val="28"/>
        </w:rPr>
        <w:t> </w:t>
      </w:r>
      <w:r>
        <w:rPr>
          <w:sz w:val="28"/>
        </w:rPr>
        <w:t>Protection</w:t>
      </w:r>
      <w:r>
        <w:rPr>
          <w:spacing w:val="-12"/>
          <w:sz w:val="28"/>
        </w:rPr>
        <w:t> </w:t>
      </w:r>
      <w:r>
        <w:rPr>
          <w:sz w:val="28"/>
        </w:rPr>
        <w:t>Regulation (GDPR) in cross-border cases.</w:t>
      </w:r>
      <w:r>
        <w:rPr>
          <w:sz w:val="28"/>
          <w:vertAlign w:val="superscript"/>
        </w:rPr>
        <w:t>471</w:t>
      </w:r>
    </w:p>
    <w:p>
      <w:pPr>
        <w:pStyle w:val="BodyText"/>
        <w:spacing w:line="232" w:lineRule="auto" w:before="279"/>
        <w:ind w:left="1117" w:right="738"/>
      </w:pPr>
      <w:r>
        <w:rPr/>
        <w:t>The current UK legislative framework on this topic is the UK Data Protection Act 2018 which updates and modernises UK data protection law in line with the GDPR, but</w:t>
      </w:r>
      <w:r>
        <w:rPr>
          <w:spacing w:val="-5"/>
        </w:rPr>
        <w:t> </w:t>
      </w:r>
      <w:r>
        <w:rPr/>
        <w:t>does</w:t>
      </w:r>
      <w:r>
        <w:rPr>
          <w:spacing w:val="-6"/>
        </w:rPr>
        <w:t> </w:t>
      </w:r>
      <w:r>
        <w:rPr/>
        <w:t>not</w:t>
      </w:r>
      <w:r>
        <w:rPr>
          <w:spacing w:val="-5"/>
        </w:rPr>
        <w:t> </w:t>
      </w:r>
      <w:r>
        <w:rPr/>
        <w:t>guarantee</w:t>
      </w:r>
      <w:r>
        <w:rPr>
          <w:spacing w:val="-5"/>
        </w:rPr>
        <w:t> </w:t>
      </w:r>
      <w:r>
        <w:rPr/>
        <w:t>alignment</w:t>
      </w:r>
      <w:r>
        <w:rPr>
          <w:spacing w:val="-5"/>
        </w:rPr>
        <w:t> </w:t>
      </w:r>
      <w:r>
        <w:rPr/>
        <w:t>with</w:t>
      </w:r>
      <w:r>
        <w:rPr>
          <w:spacing w:val="-6"/>
        </w:rPr>
        <w:t> </w:t>
      </w:r>
      <w:r>
        <w:rPr/>
        <w:t>EU</w:t>
      </w:r>
      <w:r>
        <w:rPr>
          <w:spacing w:val="-5"/>
        </w:rPr>
        <w:t> </w:t>
      </w:r>
      <w:r>
        <w:rPr/>
        <w:t>rules</w:t>
      </w:r>
      <w:r>
        <w:rPr>
          <w:spacing w:val="-6"/>
        </w:rPr>
        <w:t> </w:t>
      </w:r>
      <w:r>
        <w:rPr/>
        <w:t>on</w:t>
      </w:r>
      <w:r>
        <w:rPr>
          <w:spacing w:val="-6"/>
        </w:rPr>
        <w:t> </w:t>
      </w:r>
      <w:r>
        <w:rPr/>
        <w:t>the</w:t>
      </w:r>
      <w:r>
        <w:rPr>
          <w:spacing w:val="-5"/>
        </w:rPr>
        <w:t> </w:t>
      </w:r>
      <w:r>
        <w:rPr/>
        <w:t>protection</w:t>
      </w:r>
      <w:r>
        <w:rPr>
          <w:spacing w:val="-6"/>
        </w:rPr>
        <w:t> </w:t>
      </w:r>
      <w:r>
        <w:rPr/>
        <w:t>of</w:t>
      </w:r>
      <w:r>
        <w:rPr>
          <w:spacing w:val="-6"/>
        </w:rPr>
        <w:t> </w:t>
      </w:r>
      <w:r>
        <w:rPr/>
        <w:t>personal</w:t>
      </w:r>
      <w:r>
        <w:rPr>
          <w:spacing w:val="-6"/>
        </w:rPr>
        <w:t> </w:t>
      </w:r>
      <w:r>
        <w:rPr/>
        <w:t>data. As regards Northern Ireland, we consider that Article 2 WF entails the UK must not allow any diminution of rights in the GDPR.</w:t>
      </w:r>
    </w:p>
    <w:p>
      <w:pPr>
        <w:pStyle w:val="BodyText"/>
        <w:spacing w:before="11"/>
        <w:rPr>
          <w:sz w:val="19"/>
        </w:rPr>
      </w:pPr>
      <w:r>
        <w:rPr/>
        <mc:AlternateContent>
          <mc:Choice Requires="wps">
            <w:drawing>
              <wp:anchor distT="0" distB="0" distL="0" distR="0" allowOverlap="1" layoutInCell="1" locked="0" behindDoc="1" simplePos="0" relativeHeight="487737344">
                <wp:simplePos x="0" y="0"/>
                <wp:positionH relativeFrom="page">
                  <wp:posOffset>899994</wp:posOffset>
                </wp:positionH>
                <wp:positionV relativeFrom="paragraph">
                  <wp:posOffset>170016</wp:posOffset>
                </wp:positionV>
                <wp:extent cx="6012180" cy="813435"/>
                <wp:effectExtent l="0" t="0" r="0" b="0"/>
                <wp:wrapTopAndBottom/>
                <wp:docPr id="795" name="Group 795"/>
                <wp:cNvGraphicFramePr>
                  <a:graphicFrameLocks/>
                </wp:cNvGraphicFramePr>
                <a:graphic>
                  <a:graphicData uri="http://schemas.microsoft.com/office/word/2010/wordprocessingGroup">
                    <wpg:wgp>
                      <wpg:cNvPr id="795" name="Group 795"/>
                      <wpg:cNvGrpSpPr/>
                      <wpg:grpSpPr>
                        <a:xfrm>
                          <a:off x="0" y="0"/>
                          <a:ext cx="6012180" cy="813435"/>
                          <a:chExt cx="6012180" cy="813435"/>
                        </a:xfrm>
                      </wpg:grpSpPr>
                      <wps:wsp>
                        <wps:cNvPr id="796" name="Graphic 796"/>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797" name="Textbox 797"/>
                        <wps:cNvSpPr txBox="1"/>
                        <wps:spPr>
                          <a:xfrm>
                            <a:off x="0" y="0"/>
                            <a:ext cx="6012180" cy="813435"/>
                          </a:xfrm>
                          <a:prstGeom prst="rect">
                            <a:avLst/>
                          </a:prstGeom>
                        </wps:spPr>
                        <wps:txbx>
                          <w:txbxContent>
                            <w:p>
                              <w:pPr>
                                <w:spacing w:line="232" w:lineRule="auto" w:before="121"/>
                                <w:ind w:left="340" w:right="475" w:firstLine="0"/>
                                <w:jc w:val="left"/>
                                <w:rPr>
                                  <w:b/>
                                  <w:sz w:val="28"/>
                                </w:rPr>
                              </w:pPr>
                              <w:r>
                                <w:rPr>
                                  <w:b/>
                                  <w:color w:val="164194"/>
                                  <w:sz w:val="28"/>
                                </w:rPr>
                                <w:t>We recommend the UK Government and the NI Executive ensure that EU standards</w:t>
                              </w:r>
                              <w:r>
                                <w:rPr>
                                  <w:b/>
                                  <w:color w:val="164194"/>
                                  <w:spacing w:val="-9"/>
                                  <w:sz w:val="28"/>
                                </w:rPr>
                                <w:t> </w:t>
                              </w:r>
                              <w:r>
                                <w:rPr>
                                  <w:b/>
                                  <w:color w:val="164194"/>
                                  <w:sz w:val="28"/>
                                </w:rPr>
                                <w:t>are</w:t>
                              </w:r>
                              <w:r>
                                <w:rPr>
                                  <w:b/>
                                  <w:color w:val="164194"/>
                                  <w:spacing w:val="-10"/>
                                  <w:sz w:val="28"/>
                                </w:rPr>
                                <w:t> </w:t>
                              </w:r>
                              <w:r>
                                <w:rPr>
                                  <w:b/>
                                  <w:color w:val="164194"/>
                                  <w:sz w:val="28"/>
                                </w:rPr>
                                <w:t>respected</w:t>
                              </w:r>
                              <w:r>
                                <w:rPr>
                                  <w:b/>
                                  <w:color w:val="164194"/>
                                  <w:spacing w:val="-9"/>
                                  <w:sz w:val="28"/>
                                </w:rPr>
                                <w:t> </w:t>
                              </w:r>
                              <w:r>
                                <w:rPr>
                                  <w:b/>
                                  <w:color w:val="164194"/>
                                  <w:sz w:val="28"/>
                                </w:rPr>
                                <w:t>in</w:t>
                              </w:r>
                              <w:r>
                                <w:rPr>
                                  <w:b/>
                                  <w:color w:val="164194"/>
                                  <w:spacing w:val="-9"/>
                                  <w:sz w:val="28"/>
                                </w:rPr>
                                <w:t> </w:t>
                              </w:r>
                              <w:r>
                                <w:rPr>
                                  <w:b/>
                                  <w:color w:val="164194"/>
                                  <w:sz w:val="28"/>
                                </w:rPr>
                                <w:t>cross-border</w:t>
                              </w:r>
                              <w:r>
                                <w:rPr>
                                  <w:b/>
                                  <w:color w:val="164194"/>
                                  <w:spacing w:val="-10"/>
                                  <w:sz w:val="28"/>
                                </w:rPr>
                                <w:t> </w:t>
                              </w:r>
                              <w:r>
                                <w:rPr>
                                  <w:b/>
                                  <w:color w:val="164194"/>
                                  <w:sz w:val="28"/>
                                </w:rPr>
                                <w:t>cases</w:t>
                              </w:r>
                              <w:r>
                                <w:rPr>
                                  <w:b/>
                                  <w:color w:val="164194"/>
                                  <w:spacing w:val="-9"/>
                                  <w:sz w:val="28"/>
                                </w:rPr>
                                <w:t> </w:t>
                              </w:r>
                              <w:r>
                                <w:rPr>
                                  <w:b/>
                                  <w:color w:val="164194"/>
                                  <w:sz w:val="28"/>
                                </w:rPr>
                                <w:t>in</w:t>
                              </w:r>
                              <w:r>
                                <w:rPr>
                                  <w:b/>
                                  <w:color w:val="164194"/>
                                  <w:spacing w:val="-9"/>
                                  <w:sz w:val="28"/>
                                </w:rPr>
                                <w:t> </w:t>
                              </w:r>
                              <w:r>
                                <w:rPr>
                                  <w:b/>
                                  <w:color w:val="164194"/>
                                  <w:sz w:val="28"/>
                                </w:rPr>
                                <w:t>order</w:t>
                              </w:r>
                              <w:r>
                                <w:rPr>
                                  <w:b/>
                                  <w:color w:val="164194"/>
                                  <w:spacing w:val="-10"/>
                                  <w:sz w:val="28"/>
                                </w:rPr>
                                <w:t> </w:t>
                              </w:r>
                              <w:r>
                                <w:rPr>
                                  <w:b/>
                                  <w:color w:val="164194"/>
                                  <w:sz w:val="28"/>
                                </w:rPr>
                                <w:t>to</w:t>
                              </w:r>
                              <w:r>
                                <w:rPr>
                                  <w:b/>
                                  <w:color w:val="164194"/>
                                  <w:spacing w:val="-9"/>
                                  <w:sz w:val="28"/>
                                </w:rPr>
                                <w:t> </w:t>
                              </w:r>
                              <w:r>
                                <w:rPr>
                                  <w:b/>
                                  <w:color w:val="164194"/>
                                  <w:sz w:val="28"/>
                                </w:rPr>
                                <w:t>avoid</w:t>
                              </w:r>
                              <w:r>
                                <w:rPr>
                                  <w:b/>
                                  <w:color w:val="164194"/>
                                  <w:spacing w:val="-9"/>
                                  <w:sz w:val="28"/>
                                </w:rPr>
                                <w:t> </w:t>
                              </w:r>
                              <w:r>
                                <w:rPr>
                                  <w:b/>
                                  <w:color w:val="164194"/>
                                  <w:sz w:val="28"/>
                                </w:rPr>
                                <w:t>divergence in the realisation of the right to privacy on the island of Ireland.</w:t>
                              </w:r>
                            </w:p>
                          </w:txbxContent>
                        </wps:txbx>
                        <wps:bodyPr wrap="square" lIns="0" tIns="0" rIns="0" bIns="0" rtlCol="0">
                          <a:noAutofit/>
                        </wps:bodyPr>
                      </wps:wsp>
                    </wpg:wgp>
                  </a:graphicData>
                </a:graphic>
              </wp:anchor>
            </w:drawing>
          </mc:Choice>
          <mc:Fallback>
            <w:pict>
              <v:group style="position:absolute;margin-left:70.8657pt;margin-top:13.387139pt;width:473.4pt;height:64.05pt;mso-position-horizontal-relative:page;mso-position-vertical-relative:paragraph;z-index:-15579136;mso-wrap-distance-left:0;mso-wrap-distance-right:0" id="docshapegroup650" coordorigin="1417,268" coordsize="9468,1281">
                <v:shape style="position:absolute;left:1417;top:267;width:9468;height:1281" id="docshape651" coordorigin="1417,268" coordsize="9468,1281" path="m10658,268l1644,268,1572,279,1510,311,1461,361,1429,423,1417,495,1417,1321,1429,1393,1461,1455,1510,1504,1572,1536,1644,1548,10658,1548,10730,1536,10792,1504,10841,1455,10873,1393,10885,1321,10885,495,10873,423,10841,361,10792,311,10730,279,10658,268xe" filled="true" fillcolor="#e9f3fc" stroked="false">
                  <v:path arrowok="t"/>
                  <v:fill type="solid"/>
                </v:shape>
                <v:shape style="position:absolute;left:1417;top:267;width:9468;height:1281" type="#_x0000_t202" id="docshape652" filled="false" stroked="false">
                  <v:textbox inset="0,0,0,0">
                    <w:txbxContent>
                      <w:p>
                        <w:pPr>
                          <w:spacing w:line="232" w:lineRule="auto" w:before="121"/>
                          <w:ind w:left="340" w:right="475" w:firstLine="0"/>
                          <w:jc w:val="left"/>
                          <w:rPr>
                            <w:b/>
                            <w:sz w:val="28"/>
                          </w:rPr>
                        </w:pPr>
                        <w:r>
                          <w:rPr>
                            <w:b/>
                            <w:color w:val="164194"/>
                            <w:sz w:val="28"/>
                          </w:rPr>
                          <w:t>We recommend the UK Government and the NI Executive ensure that EU standards</w:t>
                        </w:r>
                        <w:r>
                          <w:rPr>
                            <w:b/>
                            <w:color w:val="164194"/>
                            <w:spacing w:val="-9"/>
                            <w:sz w:val="28"/>
                          </w:rPr>
                          <w:t> </w:t>
                        </w:r>
                        <w:r>
                          <w:rPr>
                            <w:b/>
                            <w:color w:val="164194"/>
                            <w:sz w:val="28"/>
                          </w:rPr>
                          <w:t>are</w:t>
                        </w:r>
                        <w:r>
                          <w:rPr>
                            <w:b/>
                            <w:color w:val="164194"/>
                            <w:spacing w:val="-10"/>
                            <w:sz w:val="28"/>
                          </w:rPr>
                          <w:t> </w:t>
                        </w:r>
                        <w:r>
                          <w:rPr>
                            <w:b/>
                            <w:color w:val="164194"/>
                            <w:sz w:val="28"/>
                          </w:rPr>
                          <w:t>respected</w:t>
                        </w:r>
                        <w:r>
                          <w:rPr>
                            <w:b/>
                            <w:color w:val="164194"/>
                            <w:spacing w:val="-9"/>
                            <w:sz w:val="28"/>
                          </w:rPr>
                          <w:t> </w:t>
                        </w:r>
                        <w:r>
                          <w:rPr>
                            <w:b/>
                            <w:color w:val="164194"/>
                            <w:sz w:val="28"/>
                          </w:rPr>
                          <w:t>in</w:t>
                        </w:r>
                        <w:r>
                          <w:rPr>
                            <w:b/>
                            <w:color w:val="164194"/>
                            <w:spacing w:val="-9"/>
                            <w:sz w:val="28"/>
                          </w:rPr>
                          <w:t> </w:t>
                        </w:r>
                        <w:r>
                          <w:rPr>
                            <w:b/>
                            <w:color w:val="164194"/>
                            <w:sz w:val="28"/>
                          </w:rPr>
                          <w:t>cross-border</w:t>
                        </w:r>
                        <w:r>
                          <w:rPr>
                            <w:b/>
                            <w:color w:val="164194"/>
                            <w:spacing w:val="-10"/>
                            <w:sz w:val="28"/>
                          </w:rPr>
                          <w:t> </w:t>
                        </w:r>
                        <w:r>
                          <w:rPr>
                            <w:b/>
                            <w:color w:val="164194"/>
                            <w:sz w:val="28"/>
                          </w:rPr>
                          <w:t>cases</w:t>
                        </w:r>
                        <w:r>
                          <w:rPr>
                            <w:b/>
                            <w:color w:val="164194"/>
                            <w:spacing w:val="-9"/>
                            <w:sz w:val="28"/>
                          </w:rPr>
                          <w:t> </w:t>
                        </w:r>
                        <w:r>
                          <w:rPr>
                            <w:b/>
                            <w:color w:val="164194"/>
                            <w:sz w:val="28"/>
                          </w:rPr>
                          <w:t>in</w:t>
                        </w:r>
                        <w:r>
                          <w:rPr>
                            <w:b/>
                            <w:color w:val="164194"/>
                            <w:spacing w:val="-9"/>
                            <w:sz w:val="28"/>
                          </w:rPr>
                          <w:t> </w:t>
                        </w:r>
                        <w:r>
                          <w:rPr>
                            <w:b/>
                            <w:color w:val="164194"/>
                            <w:sz w:val="28"/>
                          </w:rPr>
                          <w:t>order</w:t>
                        </w:r>
                        <w:r>
                          <w:rPr>
                            <w:b/>
                            <w:color w:val="164194"/>
                            <w:spacing w:val="-10"/>
                            <w:sz w:val="28"/>
                          </w:rPr>
                          <w:t> </w:t>
                        </w:r>
                        <w:r>
                          <w:rPr>
                            <w:b/>
                            <w:color w:val="164194"/>
                            <w:sz w:val="28"/>
                          </w:rPr>
                          <w:t>to</w:t>
                        </w:r>
                        <w:r>
                          <w:rPr>
                            <w:b/>
                            <w:color w:val="164194"/>
                            <w:spacing w:val="-9"/>
                            <w:sz w:val="28"/>
                          </w:rPr>
                          <w:t> </w:t>
                        </w:r>
                        <w:r>
                          <w:rPr>
                            <w:b/>
                            <w:color w:val="164194"/>
                            <w:sz w:val="28"/>
                          </w:rPr>
                          <w:t>avoid</w:t>
                        </w:r>
                        <w:r>
                          <w:rPr>
                            <w:b/>
                            <w:color w:val="164194"/>
                            <w:spacing w:val="-9"/>
                            <w:sz w:val="28"/>
                          </w:rPr>
                          <w:t> </w:t>
                        </w:r>
                        <w:r>
                          <w:rPr>
                            <w:b/>
                            <w:color w:val="164194"/>
                            <w:sz w:val="28"/>
                          </w:rPr>
                          <w:t>divergence in the realisation of the right to privacy on the island of Ireland.</w:t>
                        </w:r>
                      </w:p>
                    </w:txbxContent>
                  </v:textbox>
                  <w10:wrap type="none"/>
                </v:shape>
                <w10:wrap type="topAndBottom"/>
              </v:group>
            </w:pict>
          </mc:Fallback>
        </mc:AlternateContent>
      </w:r>
    </w:p>
    <w:p>
      <w:pPr>
        <w:pStyle w:val="BodyText"/>
        <w:spacing w:before="1"/>
      </w:pPr>
    </w:p>
    <w:p>
      <w:pPr>
        <w:pStyle w:val="Heading3"/>
        <w:numPr>
          <w:ilvl w:val="2"/>
          <w:numId w:val="33"/>
        </w:numPr>
        <w:tabs>
          <w:tab w:pos="1755" w:val="left" w:leader="none"/>
        </w:tabs>
        <w:spacing w:line="336" w:lineRule="exact" w:before="0" w:after="0"/>
        <w:ind w:left="1755" w:right="0" w:hanging="638"/>
        <w:jc w:val="left"/>
      </w:pPr>
      <w:r>
        <w:rPr>
          <w:color w:val="004A93"/>
        </w:rPr>
        <w:t>The</w:t>
      </w:r>
      <w:r>
        <w:rPr>
          <w:color w:val="004A93"/>
          <w:spacing w:val="-7"/>
        </w:rPr>
        <w:t> </w:t>
      </w:r>
      <w:r>
        <w:rPr>
          <w:color w:val="004A93"/>
        </w:rPr>
        <w:t>right</w:t>
      </w:r>
      <w:r>
        <w:rPr>
          <w:color w:val="004A93"/>
          <w:spacing w:val="-3"/>
        </w:rPr>
        <w:t> </w:t>
      </w:r>
      <w:r>
        <w:rPr>
          <w:color w:val="004A93"/>
        </w:rPr>
        <w:t>to</w:t>
      </w:r>
      <w:r>
        <w:rPr>
          <w:color w:val="004A93"/>
          <w:spacing w:val="-3"/>
        </w:rPr>
        <w:t> </w:t>
      </w:r>
      <w:r>
        <w:rPr>
          <w:color w:val="004A93"/>
        </w:rPr>
        <w:t>health,</w:t>
      </w:r>
      <w:r>
        <w:rPr>
          <w:color w:val="004A93"/>
          <w:spacing w:val="-3"/>
        </w:rPr>
        <w:t> </w:t>
      </w:r>
      <w:r>
        <w:rPr>
          <w:color w:val="004A93"/>
        </w:rPr>
        <w:t>including</w:t>
      </w:r>
      <w:r>
        <w:rPr>
          <w:color w:val="004A93"/>
          <w:spacing w:val="-4"/>
        </w:rPr>
        <w:t> </w:t>
      </w:r>
      <w:r>
        <w:rPr>
          <w:color w:val="004A93"/>
        </w:rPr>
        <w:t>the</w:t>
      </w:r>
      <w:r>
        <w:rPr>
          <w:color w:val="004A93"/>
          <w:spacing w:val="-4"/>
        </w:rPr>
        <w:t> </w:t>
      </w:r>
      <w:r>
        <w:rPr>
          <w:color w:val="004A93"/>
        </w:rPr>
        <w:t>right</w:t>
      </w:r>
      <w:r>
        <w:rPr>
          <w:color w:val="004A93"/>
          <w:spacing w:val="-3"/>
        </w:rPr>
        <w:t> </w:t>
      </w:r>
      <w:r>
        <w:rPr>
          <w:color w:val="004A93"/>
        </w:rPr>
        <w:t>to</w:t>
      </w:r>
      <w:r>
        <w:rPr>
          <w:color w:val="004A93"/>
          <w:spacing w:val="-3"/>
        </w:rPr>
        <w:t> </w:t>
      </w:r>
      <w:r>
        <w:rPr>
          <w:color w:val="004A93"/>
        </w:rPr>
        <w:t>a</w:t>
      </w:r>
      <w:r>
        <w:rPr>
          <w:color w:val="004A93"/>
          <w:spacing w:val="-3"/>
        </w:rPr>
        <w:t> </w:t>
      </w:r>
      <w:r>
        <w:rPr>
          <w:color w:val="004A93"/>
        </w:rPr>
        <w:t>healthy</w:t>
      </w:r>
      <w:r>
        <w:rPr>
          <w:color w:val="004A93"/>
          <w:spacing w:val="-3"/>
        </w:rPr>
        <w:t> </w:t>
      </w:r>
      <w:r>
        <w:rPr>
          <w:color w:val="004A93"/>
          <w:spacing w:val="-2"/>
        </w:rPr>
        <w:t>environment</w:t>
      </w:r>
    </w:p>
    <w:p>
      <w:pPr>
        <w:pStyle w:val="BodyText"/>
        <w:spacing w:line="232" w:lineRule="auto" w:before="3"/>
        <w:ind w:left="1117" w:right="950"/>
      </w:pPr>
      <w:r>
        <w:rPr/>
        <w:t>Given</w:t>
      </w:r>
      <w:r>
        <w:rPr>
          <w:spacing w:val="-6"/>
        </w:rPr>
        <w:t> </w:t>
      </w:r>
      <w:r>
        <w:rPr/>
        <w:t>the</w:t>
      </w:r>
      <w:r>
        <w:rPr>
          <w:spacing w:val="-5"/>
        </w:rPr>
        <w:t> </w:t>
      </w:r>
      <w:r>
        <w:rPr/>
        <w:t>Annex</w:t>
      </w:r>
      <w:r>
        <w:rPr>
          <w:spacing w:val="-6"/>
        </w:rPr>
        <w:t> </w:t>
      </w:r>
      <w:r>
        <w:rPr/>
        <w:t>1</w:t>
      </w:r>
      <w:r>
        <w:rPr>
          <w:spacing w:val="-5"/>
        </w:rPr>
        <w:t> </w:t>
      </w:r>
      <w:r>
        <w:rPr/>
        <w:t>directives</w:t>
      </w:r>
      <w:r>
        <w:rPr>
          <w:spacing w:val="-6"/>
        </w:rPr>
        <w:t> </w:t>
      </w:r>
      <w:r>
        <w:rPr/>
        <w:t>require</w:t>
      </w:r>
      <w:r>
        <w:rPr>
          <w:spacing w:val="-5"/>
        </w:rPr>
        <w:t> </w:t>
      </w:r>
      <w:r>
        <w:rPr/>
        <w:t>that</w:t>
      </w:r>
      <w:r>
        <w:rPr>
          <w:spacing w:val="-5"/>
        </w:rPr>
        <w:t> </w:t>
      </w:r>
      <w:r>
        <w:rPr/>
        <w:t>the</w:t>
      </w:r>
      <w:r>
        <w:rPr>
          <w:spacing w:val="-5"/>
        </w:rPr>
        <w:t> </w:t>
      </w:r>
      <w:r>
        <w:rPr/>
        <w:t>law</w:t>
      </w:r>
      <w:r>
        <w:rPr>
          <w:spacing w:val="-5"/>
        </w:rPr>
        <w:t> </w:t>
      </w:r>
      <w:r>
        <w:rPr/>
        <w:t>in</w:t>
      </w:r>
      <w:r>
        <w:rPr>
          <w:spacing w:val="-6"/>
        </w:rPr>
        <w:t> </w:t>
      </w:r>
      <w:r>
        <w:rPr/>
        <w:t>Northern</w:t>
      </w:r>
      <w:r>
        <w:rPr>
          <w:spacing w:val="-6"/>
        </w:rPr>
        <w:t> </w:t>
      </w:r>
      <w:r>
        <w:rPr/>
        <w:t>Ireland</w:t>
      </w:r>
      <w:r>
        <w:rPr>
          <w:spacing w:val="-6"/>
        </w:rPr>
        <w:t> </w:t>
      </w:r>
      <w:r>
        <w:rPr/>
        <w:t>respects</w:t>
      </w:r>
      <w:r>
        <w:rPr>
          <w:spacing w:val="-6"/>
        </w:rPr>
        <w:t> </w:t>
      </w:r>
      <w:r>
        <w:rPr/>
        <w:t>EU principles of equal treatment including irrespective of sex, racial or ethnic origin (including at work, in social security matters and in the provision of goods and services)</w:t>
      </w:r>
      <w:r>
        <w:rPr>
          <w:spacing w:val="-2"/>
        </w:rPr>
        <w:t> </w:t>
      </w:r>
      <w:r>
        <w:rPr/>
        <w:t>and</w:t>
      </w:r>
      <w:r>
        <w:rPr>
          <w:spacing w:val="-2"/>
        </w:rPr>
        <w:t> </w:t>
      </w:r>
      <w:r>
        <w:rPr/>
        <w:t>keeps</w:t>
      </w:r>
      <w:r>
        <w:rPr>
          <w:spacing w:val="-2"/>
        </w:rPr>
        <w:t> </w:t>
      </w:r>
      <w:r>
        <w:rPr/>
        <w:t>pace</w:t>
      </w:r>
      <w:r>
        <w:rPr>
          <w:spacing w:val="-1"/>
        </w:rPr>
        <w:t> </w:t>
      </w:r>
      <w:r>
        <w:rPr/>
        <w:t>with</w:t>
      </w:r>
      <w:r>
        <w:rPr>
          <w:spacing w:val="-2"/>
        </w:rPr>
        <w:t> </w:t>
      </w:r>
      <w:r>
        <w:rPr/>
        <w:t>any</w:t>
      </w:r>
      <w:r>
        <w:rPr>
          <w:spacing w:val="-1"/>
        </w:rPr>
        <w:t> </w:t>
      </w:r>
      <w:r>
        <w:rPr/>
        <w:t>EU</w:t>
      </w:r>
      <w:r>
        <w:rPr>
          <w:spacing w:val="-1"/>
        </w:rPr>
        <w:t> </w:t>
      </w:r>
      <w:r>
        <w:rPr/>
        <w:t>changes</w:t>
      </w:r>
      <w:r>
        <w:rPr>
          <w:spacing w:val="-2"/>
        </w:rPr>
        <w:t> </w:t>
      </w:r>
      <w:r>
        <w:rPr/>
        <w:t>in</w:t>
      </w:r>
      <w:r>
        <w:rPr>
          <w:spacing w:val="-2"/>
        </w:rPr>
        <w:t> </w:t>
      </w:r>
      <w:r>
        <w:rPr/>
        <w:t>those</w:t>
      </w:r>
      <w:r>
        <w:rPr>
          <w:spacing w:val="-1"/>
        </w:rPr>
        <w:t> </w:t>
      </w:r>
      <w:r>
        <w:rPr/>
        <w:t>areas,</w:t>
      </w:r>
      <w:r>
        <w:rPr>
          <w:spacing w:val="-1"/>
        </w:rPr>
        <w:t> </w:t>
      </w:r>
      <w:r>
        <w:rPr/>
        <w:t>dynamic</w:t>
      </w:r>
      <w:r>
        <w:rPr>
          <w:spacing w:val="-1"/>
        </w:rPr>
        <w:t> </w:t>
      </w:r>
      <w:r>
        <w:rPr/>
        <w:t>alignment is not required for topics that fall outside that scope. None of the recent EU</w:t>
      </w:r>
    </w:p>
    <w:p>
      <w:pPr>
        <w:pStyle w:val="BodyText"/>
        <w:spacing w:line="232" w:lineRule="auto"/>
        <w:ind w:left="1117" w:right="912"/>
      </w:pPr>
      <w:r>
        <w:rPr/>
        <w:t>legal developments regarding the right to health, including the right to a healthy environment, fall within the scope of the dynamic alignment duty. However,</w:t>
      </w:r>
      <w:r>
        <w:rPr/>
        <w:t> those will be discussed (below) as sources of possible divergence and good practice</w:t>
      </w:r>
      <w:r>
        <w:rPr>
          <w:spacing w:val="-10"/>
        </w:rPr>
        <w:t> </w:t>
      </w:r>
      <w:r>
        <w:rPr/>
        <w:t>in</w:t>
      </w:r>
      <w:r>
        <w:rPr>
          <w:spacing w:val="-11"/>
        </w:rPr>
        <w:t> </w:t>
      </w:r>
      <w:r>
        <w:rPr/>
        <w:t>NI</w:t>
      </w:r>
      <w:r>
        <w:rPr>
          <w:spacing w:val="-10"/>
        </w:rPr>
        <w:t> </w:t>
      </w:r>
      <w:r>
        <w:rPr/>
        <w:t>since</w:t>
      </w:r>
      <w:r>
        <w:rPr>
          <w:spacing w:val="-10"/>
        </w:rPr>
        <w:t> </w:t>
      </w:r>
      <w:r>
        <w:rPr/>
        <w:t>they</w:t>
      </w:r>
      <w:r>
        <w:rPr>
          <w:spacing w:val="-10"/>
        </w:rPr>
        <w:t> </w:t>
      </w:r>
      <w:r>
        <w:rPr/>
        <w:t>remain</w:t>
      </w:r>
      <w:r>
        <w:rPr>
          <w:spacing w:val="-11"/>
        </w:rPr>
        <w:t> </w:t>
      </w:r>
      <w:r>
        <w:rPr/>
        <w:t>connected</w:t>
      </w:r>
      <w:r>
        <w:rPr>
          <w:spacing w:val="-11"/>
        </w:rPr>
        <w:t> </w:t>
      </w:r>
      <w:r>
        <w:rPr/>
        <w:t>to</w:t>
      </w:r>
      <w:r>
        <w:rPr>
          <w:spacing w:val="-11"/>
        </w:rPr>
        <w:t> </w:t>
      </w:r>
      <w:r>
        <w:rPr/>
        <w:t>Article</w:t>
      </w:r>
      <w:r>
        <w:rPr>
          <w:spacing w:val="-10"/>
        </w:rPr>
        <w:t> </w:t>
      </w:r>
      <w:r>
        <w:rPr/>
        <w:t>2</w:t>
      </w:r>
      <w:r>
        <w:rPr>
          <w:spacing w:val="-10"/>
        </w:rPr>
        <w:t> </w:t>
      </w:r>
      <w:r>
        <w:rPr/>
        <w:t>WF,</w:t>
      </w:r>
      <w:r>
        <w:rPr>
          <w:spacing w:val="-10"/>
        </w:rPr>
        <w:t> </w:t>
      </w:r>
      <w:r>
        <w:rPr/>
        <w:t>as</w:t>
      </w:r>
      <w:r>
        <w:rPr>
          <w:spacing w:val="-11"/>
        </w:rPr>
        <w:t> </w:t>
      </w:r>
      <w:r>
        <w:rPr/>
        <w:t>argued</w:t>
      </w:r>
      <w:r>
        <w:rPr>
          <w:spacing w:val="-11"/>
        </w:rPr>
        <w:t> </w:t>
      </w:r>
      <w:r>
        <w:rPr/>
        <w:t>by</w:t>
      </w:r>
      <w:r>
        <w:rPr>
          <w:spacing w:val="-10"/>
        </w:rPr>
        <w:t> </w:t>
      </w:r>
      <w:r>
        <w:rPr/>
        <w:t>Hervey.</w:t>
      </w:r>
      <w:r>
        <w:rPr>
          <w:vertAlign w:val="superscript"/>
        </w:rPr>
        <w:t>472</w:t>
      </w:r>
    </w:p>
    <w:p>
      <w:pPr>
        <w:pStyle w:val="BodyText"/>
        <w:spacing w:line="232" w:lineRule="auto" w:before="269"/>
        <w:ind w:left="1117" w:right="550"/>
      </w:pPr>
      <w:r>
        <w:rPr/>
        <w:t>Out</w:t>
      </w:r>
      <w:r>
        <w:rPr>
          <w:spacing w:val="-4"/>
        </w:rPr>
        <w:t> </w:t>
      </w:r>
      <w:r>
        <w:rPr/>
        <w:t>of</w:t>
      </w:r>
      <w:r>
        <w:rPr>
          <w:spacing w:val="-5"/>
        </w:rPr>
        <w:t> </w:t>
      </w:r>
      <w:r>
        <w:rPr/>
        <w:t>the</w:t>
      </w:r>
      <w:r>
        <w:rPr>
          <w:spacing w:val="-4"/>
        </w:rPr>
        <w:t> </w:t>
      </w:r>
      <w:r>
        <w:rPr/>
        <w:t>15</w:t>
      </w:r>
      <w:r>
        <w:rPr>
          <w:spacing w:val="-4"/>
        </w:rPr>
        <w:t> </w:t>
      </w:r>
      <w:r>
        <w:rPr/>
        <w:t>EU</w:t>
      </w:r>
      <w:r>
        <w:rPr>
          <w:spacing w:val="-4"/>
        </w:rPr>
        <w:t> </w:t>
      </w:r>
      <w:r>
        <w:rPr/>
        <w:t>Directives</w:t>
      </w:r>
      <w:r>
        <w:rPr>
          <w:spacing w:val="-5"/>
        </w:rPr>
        <w:t> </w:t>
      </w:r>
      <w:r>
        <w:rPr/>
        <w:t>and</w:t>
      </w:r>
      <w:r>
        <w:rPr>
          <w:spacing w:val="-5"/>
        </w:rPr>
        <w:t> </w:t>
      </w:r>
      <w:r>
        <w:rPr/>
        <w:t>69</w:t>
      </w:r>
      <w:r>
        <w:rPr>
          <w:spacing w:val="-4"/>
        </w:rPr>
        <w:t> </w:t>
      </w:r>
      <w:r>
        <w:rPr/>
        <w:t>Regulations</w:t>
      </w:r>
      <w:r>
        <w:rPr>
          <w:spacing w:val="-5"/>
        </w:rPr>
        <w:t> </w:t>
      </w:r>
      <w:r>
        <w:rPr/>
        <w:t>adopted</w:t>
      </w:r>
      <w:r>
        <w:rPr>
          <w:spacing w:val="-5"/>
        </w:rPr>
        <w:t> </w:t>
      </w:r>
      <w:r>
        <w:rPr/>
        <w:t>between</w:t>
      </w:r>
      <w:r>
        <w:rPr>
          <w:spacing w:val="-5"/>
        </w:rPr>
        <w:t> </w:t>
      </w:r>
      <w:r>
        <w:rPr/>
        <w:t>1</w:t>
      </w:r>
      <w:r>
        <w:rPr>
          <w:spacing w:val="-4"/>
        </w:rPr>
        <w:t> </w:t>
      </w:r>
      <w:r>
        <w:rPr/>
        <w:t>January</w:t>
      </w:r>
      <w:r>
        <w:rPr>
          <w:spacing w:val="-4"/>
        </w:rPr>
        <w:t> </w:t>
      </w:r>
      <w:r>
        <w:rPr/>
        <w:t>2022</w:t>
      </w:r>
      <w:r>
        <w:rPr>
          <w:spacing w:val="-4"/>
        </w:rPr>
        <w:t> </w:t>
      </w:r>
      <w:r>
        <w:rPr/>
        <w:t>and 31 August 2023 that sufficiently relate to human rights and equality, 6 EU directives and 46 EU regulations relate to the right to health (including the right to a healthy environment). These correspond to an aspect underpinning the Rights, Safeguards and Equality of Opportunity part of the 1998 Agreement. This interpretation of the Agreement, which refers to the full range of human rights standards ratified by the UK and not solely civil and political rights, aligns with recent reports written by or</w:t>
      </w:r>
    </w:p>
    <w:p>
      <w:pPr>
        <w:pStyle w:val="BodyText"/>
        <w:spacing w:line="323" w:lineRule="exact"/>
        <w:ind w:left="1117"/>
      </w:pPr>
      <w:r>
        <w:rPr/>
        <w:t>for</w:t>
      </w:r>
      <w:r>
        <w:rPr>
          <w:spacing w:val="-6"/>
        </w:rPr>
        <w:t> </w:t>
      </w:r>
      <w:r>
        <w:rPr/>
        <w:t>the</w:t>
      </w:r>
      <w:r>
        <w:rPr>
          <w:spacing w:val="-5"/>
        </w:rPr>
        <w:t> </w:t>
      </w:r>
      <w:r>
        <w:rPr/>
        <w:t>ECNI</w:t>
      </w:r>
      <w:r>
        <w:rPr>
          <w:spacing w:val="-5"/>
        </w:rPr>
        <w:t> </w:t>
      </w:r>
      <w:r>
        <w:rPr/>
        <w:t>and</w:t>
      </w:r>
      <w:r>
        <w:rPr>
          <w:spacing w:val="-6"/>
        </w:rPr>
        <w:t> </w:t>
      </w:r>
      <w:r>
        <w:rPr/>
        <w:t>NIHRC,</w:t>
      </w:r>
      <w:r>
        <w:rPr>
          <w:vertAlign w:val="superscript"/>
        </w:rPr>
        <w:t>473</w:t>
      </w:r>
      <w:r>
        <w:rPr>
          <w:spacing w:val="-6"/>
          <w:vertAlign w:val="baseline"/>
        </w:rPr>
        <w:t> </w:t>
      </w:r>
      <w:r>
        <w:rPr>
          <w:vertAlign w:val="baseline"/>
        </w:rPr>
        <w:t>including</w:t>
      </w:r>
      <w:r>
        <w:rPr>
          <w:spacing w:val="-5"/>
          <w:vertAlign w:val="baseline"/>
        </w:rPr>
        <w:t> </w:t>
      </w:r>
      <w:r>
        <w:rPr>
          <w:vertAlign w:val="baseline"/>
        </w:rPr>
        <w:t>in</w:t>
      </w:r>
      <w:r>
        <w:rPr>
          <w:spacing w:val="-6"/>
          <w:vertAlign w:val="baseline"/>
        </w:rPr>
        <w:t> </w:t>
      </w:r>
      <w:r>
        <w:rPr>
          <w:vertAlign w:val="baseline"/>
        </w:rPr>
        <w:t>the</w:t>
      </w:r>
      <w:r>
        <w:rPr>
          <w:spacing w:val="-5"/>
          <w:vertAlign w:val="baseline"/>
        </w:rPr>
        <w:t> </w:t>
      </w:r>
      <w:r>
        <w:rPr>
          <w:vertAlign w:val="baseline"/>
        </w:rPr>
        <w:t>context</w:t>
      </w:r>
      <w:r>
        <w:rPr>
          <w:spacing w:val="-5"/>
          <w:vertAlign w:val="baseline"/>
        </w:rPr>
        <w:t> </w:t>
      </w:r>
      <w:r>
        <w:rPr>
          <w:vertAlign w:val="baseline"/>
        </w:rPr>
        <w:t>of</w:t>
      </w:r>
      <w:r>
        <w:rPr>
          <w:spacing w:val="-6"/>
          <w:vertAlign w:val="baseline"/>
        </w:rPr>
        <w:t> </w:t>
      </w:r>
      <w:r>
        <w:rPr>
          <w:vertAlign w:val="baseline"/>
        </w:rPr>
        <w:t>the</w:t>
      </w:r>
      <w:r>
        <w:rPr>
          <w:spacing w:val="-5"/>
          <w:vertAlign w:val="baseline"/>
        </w:rPr>
        <w:t> </w:t>
      </w:r>
      <w:r>
        <w:rPr>
          <w:vertAlign w:val="baseline"/>
        </w:rPr>
        <w:t>right</w:t>
      </w:r>
      <w:r>
        <w:rPr>
          <w:spacing w:val="-5"/>
          <w:vertAlign w:val="baseline"/>
        </w:rPr>
        <w:t> </w:t>
      </w:r>
      <w:r>
        <w:rPr>
          <w:vertAlign w:val="baseline"/>
        </w:rPr>
        <w:t>to</w:t>
      </w:r>
      <w:r>
        <w:rPr>
          <w:spacing w:val="-6"/>
          <w:vertAlign w:val="baseline"/>
        </w:rPr>
        <w:t> </w:t>
      </w:r>
      <w:r>
        <w:rPr>
          <w:spacing w:val="-2"/>
          <w:vertAlign w:val="baseline"/>
        </w:rPr>
        <w:t>health.</w:t>
      </w:r>
      <w:r>
        <w:rPr>
          <w:spacing w:val="-2"/>
          <w:vertAlign w:val="superscript"/>
        </w:rPr>
        <w:t>474</w:t>
      </w:r>
    </w:p>
    <w:p>
      <w:pPr>
        <w:pStyle w:val="BodyText"/>
        <w:spacing w:before="7"/>
        <w:rPr>
          <w:sz w:val="7"/>
        </w:rPr>
      </w:pPr>
      <w:r>
        <w:rPr/>
        <mc:AlternateContent>
          <mc:Choice Requires="wps">
            <w:drawing>
              <wp:anchor distT="0" distB="0" distL="0" distR="0" allowOverlap="1" layoutInCell="1" locked="0" behindDoc="1" simplePos="0" relativeHeight="487737856">
                <wp:simplePos x="0" y="0"/>
                <wp:positionH relativeFrom="page">
                  <wp:posOffset>899999</wp:posOffset>
                </wp:positionH>
                <wp:positionV relativeFrom="paragraph">
                  <wp:posOffset>73998</wp:posOffset>
                </wp:positionV>
                <wp:extent cx="6012180" cy="1270"/>
                <wp:effectExtent l="0" t="0" r="0" b="0"/>
                <wp:wrapTopAndBottom/>
                <wp:docPr id="798" name="Graphic 798"/>
                <wp:cNvGraphicFramePr>
                  <a:graphicFrameLocks/>
                </wp:cNvGraphicFramePr>
                <a:graphic>
                  <a:graphicData uri="http://schemas.microsoft.com/office/word/2010/wordprocessingShape">
                    <wps:wsp>
                      <wps:cNvPr id="798" name="Graphic 79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5.826642pt;width:473.4pt;height:.1pt;mso-position-horizontal-relative:page;mso-position-vertical-relative:paragraph;z-index:-15578624;mso-wrap-distance-left:0;mso-wrap-distance-right:0" id="docshape653" coordorigin="1417,117" coordsize="9468,0" path="m1417,117l10885,117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951" w:hanging="567"/>
        <w:jc w:val="left"/>
        <w:rPr>
          <w:sz w:val="18"/>
        </w:rPr>
      </w:pPr>
      <w:r>
        <w:rPr>
          <w:sz w:val="18"/>
        </w:rPr>
        <w:t>Proposal</w:t>
      </w:r>
      <w:r>
        <w:rPr>
          <w:spacing w:val="-10"/>
          <w:sz w:val="18"/>
        </w:rPr>
        <w:t> </w:t>
      </w:r>
      <w:r>
        <w:rPr>
          <w:sz w:val="18"/>
        </w:rPr>
        <w:t>for</w:t>
      </w:r>
      <w:r>
        <w:rPr>
          <w:spacing w:val="-10"/>
          <w:sz w:val="18"/>
        </w:rPr>
        <w:t> </w:t>
      </w:r>
      <w:r>
        <w:rPr>
          <w:sz w:val="18"/>
        </w:rPr>
        <w:t>a</w:t>
      </w:r>
      <w:r>
        <w:rPr>
          <w:spacing w:val="-10"/>
          <w:sz w:val="18"/>
        </w:rPr>
        <w:t> </w:t>
      </w:r>
      <w:r>
        <w:rPr>
          <w:sz w:val="18"/>
        </w:rPr>
        <w:t>Regulation</w:t>
      </w:r>
      <w:r>
        <w:rPr>
          <w:spacing w:val="-10"/>
          <w:sz w:val="18"/>
        </w:rPr>
        <w:t> </w:t>
      </w:r>
      <w:r>
        <w:rPr>
          <w:sz w:val="18"/>
        </w:rPr>
        <w:t>of</w:t>
      </w:r>
      <w:r>
        <w:rPr>
          <w:spacing w:val="-10"/>
          <w:sz w:val="18"/>
        </w:rPr>
        <w:t> </w:t>
      </w:r>
      <w:r>
        <w:rPr>
          <w:sz w:val="18"/>
        </w:rPr>
        <w:t>the</w:t>
      </w:r>
      <w:r>
        <w:rPr>
          <w:spacing w:val="-10"/>
          <w:sz w:val="18"/>
        </w:rPr>
        <w:t> </w:t>
      </w:r>
      <w:r>
        <w:rPr>
          <w:sz w:val="18"/>
        </w:rPr>
        <w:t>European</w:t>
      </w:r>
      <w:r>
        <w:rPr>
          <w:spacing w:val="-10"/>
          <w:sz w:val="18"/>
        </w:rPr>
        <w:t> </w:t>
      </w:r>
      <w:r>
        <w:rPr>
          <w:sz w:val="18"/>
        </w:rPr>
        <w:t>Parliament</w:t>
      </w:r>
      <w:r>
        <w:rPr>
          <w:spacing w:val="-10"/>
          <w:sz w:val="18"/>
        </w:rPr>
        <w:t> </w:t>
      </w:r>
      <w:r>
        <w:rPr>
          <w:sz w:val="18"/>
        </w:rPr>
        <w:t>and</w:t>
      </w:r>
      <w:r>
        <w:rPr>
          <w:spacing w:val="-10"/>
          <w:sz w:val="18"/>
        </w:rPr>
        <w:t> </w:t>
      </w:r>
      <w:r>
        <w:rPr>
          <w:sz w:val="18"/>
        </w:rPr>
        <w:t>of</w:t>
      </w:r>
      <w:r>
        <w:rPr>
          <w:spacing w:val="-10"/>
          <w:sz w:val="18"/>
        </w:rPr>
        <w:t> </w:t>
      </w:r>
      <w:r>
        <w:rPr>
          <w:sz w:val="18"/>
        </w:rPr>
        <w:t>the</w:t>
      </w:r>
      <w:r>
        <w:rPr>
          <w:spacing w:val="-10"/>
          <w:sz w:val="18"/>
        </w:rPr>
        <w:t> </w:t>
      </w:r>
      <w:r>
        <w:rPr>
          <w:sz w:val="18"/>
        </w:rPr>
        <w:t>Council</w:t>
      </w:r>
      <w:r>
        <w:rPr>
          <w:spacing w:val="-10"/>
          <w:sz w:val="18"/>
        </w:rPr>
        <w:t> </w:t>
      </w:r>
      <w:r>
        <w:rPr>
          <w:sz w:val="18"/>
        </w:rPr>
        <w:t>laying</w:t>
      </w:r>
      <w:r>
        <w:rPr>
          <w:spacing w:val="-10"/>
          <w:sz w:val="18"/>
        </w:rPr>
        <w:t> </w:t>
      </w:r>
      <w:r>
        <w:rPr>
          <w:sz w:val="18"/>
        </w:rPr>
        <w:t>down</w:t>
      </w:r>
      <w:r>
        <w:rPr>
          <w:spacing w:val="-10"/>
          <w:sz w:val="18"/>
        </w:rPr>
        <w:t> </w:t>
      </w:r>
      <w:r>
        <w:rPr>
          <w:sz w:val="18"/>
        </w:rPr>
        <w:t>additional</w:t>
      </w:r>
      <w:r>
        <w:rPr>
          <w:spacing w:val="-10"/>
          <w:sz w:val="18"/>
        </w:rPr>
        <w:t> </w:t>
      </w:r>
      <w:r>
        <w:rPr>
          <w:sz w:val="18"/>
        </w:rPr>
        <w:t>procedural</w:t>
      </w:r>
      <w:r>
        <w:rPr>
          <w:spacing w:val="-10"/>
          <w:sz w:val="18"/>
        </w:rPr>
        <w:t> </w:t>
      </w:r>
      <w:r>
        <w:rPr>
          <w:sz w:val="18"/>
        </w:rPr>
        <w:t>rules</w:t>
      </w:r>
      <w:r>
        <w:rPr>
          <w:spacing w:val="-10"/>
          <w:sz w:val="18"/>
        </w:rPr>
        <w:t> </w:t>
      </w:r>
      <w:r>
        <w:rPr>
          <w:sz w:val="18"/>
        </w:rPr>
        <w:t>relating to the enforcement of Regulation (EU) 2016/679, COM(2023) 348 final. More info </w:t>
      </w:r>
      <w:hyperlink r:id="rId140">
        <w:r>
          <w:rPr>
            <w:color w:val="1D71B8"/>
            <w:sz w:val="18"/>
            <w:u w:val="single" w:color="1D71B8"/>
          </w:rPr>
          <w:t>here</w:t>
        </w:r>
      </w:hyperlink>
      <w:r>
        <w:rPr>
          <w:sz w:val="18"/>
          <w:u w:val="none"/>
        </w:rPr>
        <w:t>.</w:t>
      </w:r>
    </w:p>
    <w:p>
      <w:pPr>
        <w:pStyle w:val="ListParagraph"/>
        <w:numPr>
          <w:ilvl w:val="0"/>
          <w:numId w:val="18"/>
        </w:numPr>
        <w:tabs>
          <w:tab w:pos="1684" w:val="left" w:leader="none"/>
        </w:tabs>
        <w:spacing w:line="240" w:lineRule="auto" w:before="1" w:after="0"/>
        <w:ind w:left="1684" w:right="0" w:hanging="567"/>
        <w:jc w:val="left"/>
        <w:rPr>
          <w:sz w:val="18"/>
        </w:rPr>
      </w:pPr>
      <w:r>
        <w:rPr>
          <w:spacing w:val="-2"/>
          <w:sz w:val="18"/>
        </w:rPr>
        <w:t>Tamara</w:t>
      </w:r>
      <w:r>
        <w:rPr>
          <w:spacing w:val="-4"/>
          <w:sz w:val="18"/>
        </w:rPr>
        <w:t> </w:t>
      </w:r>
      <w:r>
        <w:rPr>
          <w:spacing w:val="-2"/>
          <w:sz w:val="18"/>
        </w:rPr>
        <w:t>Hervey,</w:t>
      </w:r>
      <w:r>
        <w:rPr>
          <w:spacing w:val="-4"/>
          <w:sz w:val="18"/>
        </w:rPr>
        <w:t> </w:t>
      </w:r>
      <w:hyperlink r:id="rId141">
        <w:r>
          <w:rPr>
            <w:color w:val="1D71B8"/>
            <w:spacing w:val="-2"/>
            <w:sz w:val="18"/>
            <w:u w:val="single" w:color="1D71B8"/>
          </w:rPr>
          <w:t>Brexit,</w:t>
        </w:r>
        <w:r>
          <w:rPr>
            <w:color w:val="1D71B8"/>
            <w:spacing w:val="-4"/>
            <w:sz w:val="18"/>
            <w:u w:val="single" w:color="1D71B8"/>
          </w:rPr>
          <w:t> </w:t>
        </w:r>
        <w:r>
          <w:rPr>
            <w:color w:val="1D71B8"/>
            <w:spacing w:val="-2"/>
            <w:sz w:val="18"/>
            <w:u w:val="single" w:color="1D71B8"/>
          </w:rPr>
          <w:t>Health</w:t>
        </w:r>
        <w:r>
          <w:rPr>
            <w:color w:val="1D71B8"/>
            <w:spacing w:val="-4"/>
            <w:sz w:val="18"/>
            <w:u w:val="single" w:color="1D71B8"/>
          </w:rPr>
          <w:t> </w:t>
        </w:r>
        <w:r>
          <w:rPr>
            <w:color w:val="1D71B8"/>
            <w:spacing w:val="-2"/>
            <w:sz w:val="18"/>
            <w:u w:val="single" w:color="1D71B8"/>
          </w:rPr>
          <w:t>and</w:t>
        </w:r>
        <w:r>
          <w:rPr>
            <w:color w:val="1D71B8"/>
            <w:spacing w:val="-4"/>
            <w:sz w:val="18"/>
            <w:u w:val="single" w:color="1D71B8"/>
          </w:rPr>
          <w:t> </w:t>
        </w:r>
        <w:r>
          <w:rPr>
            <w:color w:val="1D71B8"/>
            <w:spacing w:val="-2"/>
            <w:sz w:val="18"/>
            <w:u w:val="single" w:color="1D71B8"/>
          </w:rPr>
          <w:t>its</w:t>
        </w:r>
        <w:r>
          <w:rPr>
            <w:color w:val="1D71B8"/>
            <w:spacing w:val="-4"/>
            <w:sz w:val="18"/>
            <w:u w:val="single" w:color="1D71B8"/>
          </w:rPr>
          <w:t> </w:t>
        </w:r>
        <w:r>
          <w:rPr>
            <w:color w:val="1D71B8"/>
            <w:spacing w:val="-2"/>
            <w:sz w:val="18"/>
            <w:u w:val="single" w:color="1D71B8"/>
          </w:rPr>
          <w:t>potential</w:t>
        </w:r>
        <w:r>
          <w:rPr>
            <w:color w:val="1D71B8"/>
            <w:spacing w:val="-4"/>
            <w:sz w:val="18"/>
            <w:u w:val="single" w:color="1D71B8"/>
          </w:rPr>
          <w:t> </w:t>
        </w:r>
        <w:r>
          <w:rPr>
            <w:color w:val="1D71B8"/>
            <w:spacing w:val="-2"/>
            <w:sz w:val="18"/>
            <w:u w:val="single" w:color="1D71B8"/>
          </w:rPr>
          <w:t>impact</w:t>
        </w:r>
        <w:r>
          <w:rPr>
            <w:color w:val="1D71B8"/>
            <w:spacing w:val="-4"/>
            <w:sz w:val="18"/>
            <w:u w:val="single" w:color="1D71B8"/>
          </w:rPr>
          <w:t> </w:t>
        </w:r>
        <w:r>
          <w:rPr>
            <w:color w:val="1D71B8"/>
            <w:spacing w:val="-2"/>
            <w:sz w:val="18"/>
            <w:u w:val="single" w:color="1D71B8"/>
          </w:rPr>
          <w:t>on</w:t>
        </w:r>
        <w:r>
          <w:rPr>
            <w:color w:val="1D71B8"/>
            <w:spacing w:val="-4"/>
            <w:sz w:val="18"/>
            <w:u w:val="single" w:color="1D71B8"/>
          </w:rPr>
          <w:t> </w:t>
        </w:r>
        <w:r>
          <w:rPr>
            <w:color w:val="1D71B8"/>
            <w:spacing w:val="-2"/>
            <w:sz w:val="18"/>
            <w:u w:val="single" w:color="1D71B8"/>
          </w:rPr>
          <w:t>Article</w:t>
        </w:r>
        <w:r>
          <w:rPr>
            <w:color w:val="1D71B8"/>
            <w:spacing w:val="-3"/>
            <w:sz w:val="18"/>
            <w:u w:val="single" w:color="1D71B8"/>
          </w:rPr>
          <w:t> </w:t>
        </w:r>
        <w:r>
          <w:rPr>
            <w:color w:val="1D71B8"/>
            <w:spacing w:val="-2"/>
            <w:sz w:val="18"/>
            <w:u w:val="single" w:color="1D71B8"/>
          </w:rPr>
          <w:t>2</w:t>
        </w:r>
        <w:r>
          <w:rPr>
            <w:color w:val="1D71B8"/>
            <w:spacing w:val="-4"/>
            <w:sz w:val="18"/>
            <w:u w:val="single" w:color="1D71B8"/>
          </w:rPr>
          <w:t> </w:t>
        </w:r>
        <w:r>
          <w:rPr>
            <w:color w:val="1D71B8"/>
            <w:spacing w:val="-2"/>
            <w:sz w:val="18"/>
            <w:u w:val="single" w:color="1D71B8"/>
          </w:rPr>
          <w:t>of</w:t>
        </w:r>
        <w:r>
          <w:rPr>
            <w:color w:val="1D71B8"/>
            <w:spacing w:val="-4"/>
            <w:sz w:val="18"/>
            <w:u w:val="single" w:color="1D71B8"/>
          </w:rPr>
          <w:t> </w:t>
        </w:r>
        <w:r>
          <w:rPr>
            <w:color w:val="1D71B8"/>
            <w:spacing w:val="-2"/>
            <w:sz w:val="18"/>
            <w:u w:val="single" w:color="1D71B8"/>
          </w:rPr>
          <w:t>the</w:t>
        </w:r>
        <w:r>
          <w:rPr>
            <w:color w:val="1D71B8"/>
            <w:spacing w:val="-4"/>
            <w:sz w:val="18"/>
            <w:u w:val="single" w:color="1D71B8"/>
          </w:rPr>
          <w:t> </w:t>
        </w:r>
        <w:r>
          <w:rPr>
            <w:color w:val="1D71B8"/>
            <w:spacing w:val="-2"/>
            <w:sz w:val="18"/>
            <w:u w:val="single" w:color="1D71B8"/>
          </w:rPr>
          <w:t>Ireland/Northern</w:t>
        </w:r>
        <w:r>
          <w:rPr>
            <w:color w:val="1D71B8"/>
            <w:spacing w:val="-4"/>
            <w:sz w:val="18"/>
            <w:u w:val="single" w:color="1D71B8"/>
          </w:rPr>
          <w:t> </w:t>
        </w:r>
        <w:r>
          <w:rPr>
            <w:color w:val="1D71B8"/>
            <w:spacing w:val="-2"/>
            <w:sz w:val="18"/>
            <w:u w:val="single" w:color="1D71B8"/>
          </w:rPr>
          <w:t>Ireland</w:t>
        </w:r>
        <w:r>
          <w:rPr>
            <w:color w:val="1D71B8"/>
            <w:spacing w:val="-4"/>
            <w:sz w:val="18"/>
            <w:u w:val="single" w:color="1D71B8"/>
          </w:rPr>
          <w:t> </w:t>
        </w:r>
        <w:r>
          <w:rPr>
            <w:color w:val="1D71B8"/>
            <w:spacing w:val="-2"/>
            <w:sz w:val="18"/>
            <w:u w:val="single" w:color="1D71B8"/>
          </w:rPr>
          <w:t>Protocol</w:t>
        </w:r>
      </w:hyperlink>
      <w:r>
        <w:rPr>
          <w:color w:val="1D71B8"/>
          <w:spacing w:val="-4"/>
          <w:sz w:val="18"/>
          <w:u w:val="none"/>
        </w:rPr>
        <w:t> </w:t>
      </w:r>
      <w:r>
        <w:rPr>
          <w:spacing w:val="-2"/>
          <w:sz w:val="18"/>
          <w:u w:val="none"/>
        </w:rPr>
        <w:t>(NIHRC,</w:t>
      </w:r>
      <w:r>
        <w:rPr>
          <w:spacing w:val="-4"/>
          <w:sz w:val="18"/>
          <w:u w:val="none"/>
        </w:rPr>
        <w:t> </w:t>
      </w:r>
      <w:r>
        <w:rPr>
          <w:spacing w:val="-2"/>
          <w:sz w:val="18"/>
          <w:u w:val="none"/>
        </w:rPr>
        <w:t>March</w:t>
      </w:r>
      <w:r>
        <w:rPr>
          <w:spacing w:val="-4"/>
          <w:sz w:val="18"/>
          <w:u w:val="none"/>
        </w:rPr>
        <w:t> </w:t>
      </w:r>
      <w:r>
        <w:rPr>
          <w:spacing w:val="-2"/>
          <w:sz w:val="18"/>
          <w:u w:val="none"/>
        </w:rPr>
        <w:t>2022)</w:t>
      </w:r>
    </w:p>
    <w:p>
      <w:pPr>
        <w:pStyle w:val="ListParagraph"/>
        <w:numPr>
          <w:ilvl w:val="0"/>
          <w:numId w:val="18"/>
        </w:numPr>
        <w:tabs>
          <w:tab w:pos="1684" w:val="left" w:leader="none"/>
        </w:tabs>
        <w:spacing w:line="240" w:lineRule="auto" w:before="0" w:after="0"/>
        <w:ind w:left="1684" w:right="1145" w:hanging="567"/>
        <w:jc w:val="left"/>
        <w:rPr>
          <w:sz w:val="18"/>
        </w:rPr>
      </w:pPr>
      <w:r>
        <w:rPr>
          <w:sz w:val="18"/>
        </w:rPr>
        <w:t>ECNI</w:t>
      </w:r>
      <w:r>
        <w:rPr>
          <w:spacing w:val="-9"/>
          <w:sz w:val="18"/>
        </w:rPr>
        <w:t> </w:t>
      </w:r>
      <w:r>
        <w:rPr>
          <w:sz w:val="18"/>
        </w:rPr>
        <w:t>and</w:t>
      </w:r>
      <w:r>
        <w:rPr>
          <w:spacing w:val="-9"/>
          <w:sz w:val="18"/>
        </w:rPr>
        <w:t> </w:t>
      </w:r>
      <w:r>
        <w:rPr>
          <w:sz w:val="18"/>
        </w:rPr>
        <w:t>NIHRC,</w:t>
      </w:r>
      <w:r>
        <w:rPr>
          <w:spacing w:val="-9"/>
          <w:sz w:val="18"/>
        </w:rPr>
        <w:t> </w:t>
      </w:r>
      <w:r>
        <w:rPr>
          <w:color w:val="1D71B8"/>
          <w:sz w:val="18"/>
          <w:u w:val="single" w:color="1D71B8"/>
        </w:rPr>
        <w:t>Working</w:t>
      </w:r>
      <w:r>
        <w:rPr>
          <w:color w:val="1D71B8"/>
          <w:spacing w:val="-9"/>
          <w:sz w:val="18"/>
          <w:u w:val="single" w:color="1D71B8"/>
        </w:rPr>
        <w:t> </w:t>
      </w:r>
      <w:r>
        <w:rPr>
          <w:color w:val="1D71B8"/>
          <w:sz w:val="18"/>
          <w:u w:val="single" w:color="1D71B8"/>
        </w:rPr>
        <w:t>Paper:</w:t>
      </w:r>
      <w:r>
        <w:rPr>
          <w:color w:val="1D71B8"/>
          <w:spacing w:val="-9"/>
          <w:sz w:val="18"/>
          <w:u w:val="single" w:color="1D71B8"/>
        </w:rPr>
        <w:t> </w:t>
      </w:r>
      <w:r>
        <w:rPr>
          <w:color w:val="1D71B8"/>
          <w:sz w:val="18"/>
          <w:u w:val="single" w:color="1D71B8"/>
        </w:rPr>
        <w:t>The</w:t>
      </w:r>
      <w:r>
        <w:rPr>
          <w:color w:val="1D71B8"/>
          <w:spacing w:val="-9"/>
          <w:sz w:val="18"/>
          <w:u w:val="single" w:color="1D71B8"/>
        </w:rPr>
        <w:t> </w:t>
      </w:r>
      <w:r>
        <w:rPr>
          <w:color w:val="1D71B8"/>
          <w:sz w:val="18"/>
          <w:u w:val="single" w:color="1D71B8"/>
        </w:rPr>
        <w:t>Scope</w:t>
      </w:r>
      <w:r>
        <w:rPr>
          <w:color w:val="1D71B8"/>
          <w:spacing w:val="-9"/>
          <w:sz w:val="18"/>
          <w:u w:val="single" w:color="1D71B8"/>
        </w:rPr>
        <w:t> </w:t>
      </w:r>
      <w:r>
        <w:rPr>
          <w:color w:val="1D71B8"/>
          <w:sz w:val="18"/>
          <w:u w:val="single" w:color="1D71B8"/>
        </w:rPr>
        <w:t>of</w:t>
      </w:r>
      <w:r>
        <w:rPr>
          <w:color w:val="1D71B8"/>
          <w:spacing w:val="-9"/>
          <w:sz w:val="18"/>
          <w:u w:val="single" w:color="1D71B8"/>
        </w:rPr>
        <w:t> </w:t>
      </w:r>
      <w:r>
        <w:rPr>
          <w:color w:val="1D71B8"/>
          <w:sz w:val="18"/>
          <w:u w:val="single" w:color="1D71B8"/>
        </w:rPr>
        <w:t>Article</w:t>
      </w:r>
      <w:r>
        <w:rPr>
          <w:color w:val="1D71B8"/>
          <w:spacing w:val="-9"/>
          <w:sz w:val="18"/>
          <w:u w:val="single" w:color="1D71B8"/>
        </w:rPr>
        <w:t> </w:t>
      </w:r>
      <w:r>
        <w:rPr>
          <w:color w:val="1D71B8"/>
          <w:sz w:val="18"/>
          <w:u w:val="single" w:color="1D71B8"/>
        </w:rPr>
        <w:t>2(1)</w:t>
      </w:r>
      <w:r>
        <w:rPr>
          <w:color w:val="1D71B8"/>
          <w:spacing w:val="-9"/>
          <w:sz w:val="18"/>
          <w:u w:val="single" w:color="1D71B8"/>
        </w:rPr>
        <w:t> </w:t>
      </w:r>
      <w:r>
        <w:rPr>
          <w:color w:val="1D71B8"/>
          <w:sz w:val="18"/>
          <w:u w:val="single" w:color="1D71B8"/>
        </w:rPr>
        <w:t>of</w:t>
      </w:r>
      <w:r>
        <w:rPr>
          <w:color w:val="1D71B8"/>
          <w:spacing w:val="-9"/>
          <w:sz w:val="18"/>
          <w:u w:val="single" w:color="1D71B8"/>
        </w:rPr>
        <w:t> </w:t>
      </w:r>
      <w:r>
        <w:rPr>
          <w:color w:val="1D71B8"/>
          <w:sz w:val="18"/>
          <w:u w:val="single" w:color="1D71B8"/>
        </w:rPr>
        <w:t>the</w:t>
      </w:r>
      <w:r>
        <w:rPr>
          <w:color w:val="1D71B8"/>
          <w:spacing w:val="-9"/>
          <w:sz w:val="18"/>
          <w:u w:val="single" w:color="1D71B8"/>
        </w:rPr>
        <w:t> </w:t>
      </w:r>
      <w:r>
        <w:rPr>
          <w:color w:val="1D71B8"/>
          <w:sz w:val="18"/>
          <w:u w:val="single" w:color="1D71B8"/>
        </w:rPr>
        <w:t>Ireland/</w:t>
      </w:r>
      <w:r>
        <w:rPr>
          <w:color w:val="1D71B8"/>
          <w:spacing w:val="-9"/>
          <w:sz w:val="18"/>
          <w:u w:val="single" w:color="1D71B8"/>
        </w:rPr>
        <w:t> </w:t>
      </w:r>
      <w:r>
        <w:rPr>
          <w:color w:val="1D71B8"/>
          <w:sz w:val="18"/>
          <w:u w:val="single" w:color="1D71B8"/>
        </w:rPr>
        <w:t>Northern</w:t>
      </w:r>
      <w:r>
        <w:rPr>
          <w:color w:val="1D71B8"/>
          <w:spacing w:val="-9"/>
          <w:sz w:val="18"/>
          <w:u w:val="single" w:color="1D71B8"/>
        </w:rPr>
        <w:t> </w:t>
      </w:r>
      <w:r>
        <w:rPr>
          <w:color w:val="1D71B8"/>
          <w:sz w:val="18"/>
          <w:u w:val="single" w:color="1D71B8"/>
        </w:rPr>
        <w:t>Ireland</w:t>
      </w:r>
      <w:r>
        <w:rPr>
          <w:color w:val="1D71B8"/>
          <w:spacing w:val="-9"/>
          <w:sz w:val="18"/>
          <w:u w:val="single" w:color="1D71B8"/>
        </w:rPr>
        <w:t> </w:t>
      </w:r>
      <w:r>
        <w:rPr>
          <w:color w:val="1D71B8"/>
          <w:sz w:val="18"/>
          <w:u w:val="single" w:color="1D71B8"/>
        </w:rPr>
        <w:t>Protocol</w:t>
      </w:r>
      <w:r>
        <w:rPr>
          <w:color w:val="1D71B8"/>
          <w:spacing w:val="-9"/>
          <w:sz w:val="18"/>
          <w:u w:val="none"/>
        </w:rPr>
        <w:t> </w:t>
      </w:r>
      <w:r>
        <w:rPr>
          <w:sz w:val="18"/>
          <w:u w:val="none"/>
        </w:rPr>
        <w:t>(December</w:t>
      </w:r>
      <w:r>
        <w:rPr>
          <w:spacing w:val="-9"/>
          <w:sz w:val="18"/>
          <w:u w:val="none"/>
        </w:rPr>
        <w:t> </w:t>
      </w:r>
      <w:r>
        <w:rPr>
          <w:sz w:val="18"/>
          <w:u w:val="none"/>
        </w:rPr>
        <w:t>2022), Section</w:t>
      </w:r>
      <w:r>
        <w:rPr>
          <w:spacing w:val="-2"/>
          <w:sz w:val="18"/>
          <w:u w:val="none"/>
        </w:rPr>
        <w:t> </w:t>
      </w:r>
      <w:r>
        <w:rPr>
          <w:sz w:val="18"/>
          <w:u w:val="none"/>
        </w:rPr>
        <w:t>3.9;</w:t>
      </w:r>
      <w:r>
        <w:rPr>
          <w:spacing w:val="-2"/>
          <w:sz w:val="18"/>
          <w:u w:val="none"/>
        </w:rPr>
        <w:t> </w:t>
      </w:r>
      <w:r>
        <w:rPr>
          <w:sz w:val="18"/>
          <w:u w:val="none"/>
        </w:rPr>
        <w:t>Sarah</w:t>
      </w:r>
      <w:r>
        <w:rPr>
          <w:spacing w:val="-2"/>
          <w:sz w:val="18"/>
          <w:u w:val="none"/>
        </w:rPr>
        <w:t> </w:t>
      </w:r>
      <w:r>
        <w:rPr>
          <w:sz w:val="18"/>
          <w:u w:val="none"/>
        </w:rPr>
        <w:t>Craig,</w:t>
      </w:r>
      <w:r>
        <w:rPr>
          <w:spacing w:val="-2"/>
          <w:sz w:val="18"/>
          <w:u w:val="none"/>
        </w:rPr>
        <w:t> </w:t>
      </w:r>
      <w:r>
        <w:rPr>
          <w:sz w:val="18"/>
          <w:u w:val="none"/>
        </w:rPr>
        <w:t>Anurag</w:t>
      </w:r>
      <w:r>
        <w:rPr>
          <w:spacing w:val="-2"/>
          <w:sz w:val="18"/>
          <w:u w:val="none"/>
        </w:rPr>
        <w:t> </w:t>
      </w:r>
      <w:r>
        <w:rPr>
          <w:sz w:val="18"/>
          <w:u w:val="none"/>
        </w:rPr>
        <w:t>Deb,</w:t>
      </w:r>
      <w:r>
        <w:rPr>
          <w:spacing w:val="-2"/>
          <w:sz w:val="18"/>
          <w:u w:val="none"/>
        </w:rPr>
        <w:t> </w:t>
      </w:r>
      <w:r>
        <w:rPr>
          <w:sz w:val="18"/>
          <w:u w:val="none"/>
        </w:rPr>
        <w:t>Eleni</w:t>
      </w:r>
      <w:r>
        <w:rPr>
          <w:spacing w:val="-2"/>
          <w:sz w:val="18"/>
          <w:u w:val="none"/>
        </w:rPr>
        <w:t> </w:t>
      </w:r>
      <w:r>
        <w:rPr>
          <w:sz w:val="18"/>
          <w:u w:val="none"/>
        </w:rPr>
        <w:t>Frantziou,</w:t>
      </w:r>
      <w:r>
        <w:rPr>
          <w:spacing w:val="-2"/>
          <w:sz w:val="18"/>
          <w:u w:val="none"/>
        </w:rPr>
        <w:t> </w:t>
      </w:r>
      <w:r>
        <w:rPr>
          <w:sz w:val="18"/>
          <w:u w:val="none"/>
        </w:rPr>
        <w:t>Alexander</w:t>
      </w:r>
      <w:r>
        <w:rPr>
          <w:spacing w:val="-2"/>
          <w:sz w:val="18"/>
          <w:u w:val="none"/>
        </w:rPr>
        <w:t> </w:t>
      </w:r>
      <w:r>
        <w:rPr>
          <w:sz w:val="18"/>
          <w:u w:val="none"/>
        </w:rPr>
        <w:t>Horne,</w:t>
      </w:r>
      <w:r>
        <w:rPr>
          <w:spacing w:val="-2"/>
          <w:sz w:val="18"/>
          <w:u w:val="none"/>
        </w:rPr>
        <w:t> </w:t>
      </w:r>
      <w:r>
        <w:rPr>
          <w:sz w:val="18"/>
          <w:u w:val="none"/>
        </w:rPr>
        <w:t>Colin</w:t>
      </w:r>
      <w:r>
        <w:rPr>
          <w:spacing w:val="-2"/>
          <w:sz w:val="18"/>
          <w:u w:val="none"/>
        </w:rPr>
        <w:t> </w:t>
      </w:r>
      <w:r>
        <w:rPr>
          <w:sz w:val="18"/>
          <w:u w:val="none"/>
        </w:rPr>
        <w:t>Murray,</w:t>
      </w:r>
      <w:r>
        <w:rPr>
          <w:spacing w:val="-2"/>
          <w:sz w:val="18"/>
          <w:u w:val="none"/>
        </w:rPr>
        <w:t> </w:t>
      </w:r>
      <w:r>
        <w:rPr>
          <w:sz w:val="18"/>
          <w:u w:val="none"/>
        </w:rPr>
        <w:t>Clare</w:t>
      </w:r>
      <w:r>
        <w:rPr>
          <w:spacing w:val="-2"/>
          <w:sz w:val="18"/>
          <w:u w:val="none"/>
        </w:rPr>
        <w:t> </w:t>
      </w:r>
      <w:r>
        <w:rPr>
          <w:sz w:val="18"/>
          <w:u w:val="none"/>
        </w:rPr>
        <w:t>Rice</w:t>
      </w:r>
      <w:r>
        <w:rPr>
          <w:spacing w:val="-2"/>
          <w:sz w:val="18"/>
          <w:u w:val="none"/>
        </w:rPr>
        <w:t> </w:t>
      </w:r>
      <w:r>
        <w:rPr>
          <w:sz w:val="18"/>
          <w:u w:val="none"/>
        </w:rPr>
        <w:t>and</w:t>
      </w:r>
      <w:r>
        <w:rPr>
          <w:spacing w:val="-2"/>
          <w:sz w:val="18"/>
          <w:u w:val="none"/>
        </w:rPr>
        <w:t> </w:t>
      </w:r>
      <w:r>
        <w:rPr>
          <w:sz w:val="18"/>
          <w:u w:val="none"/>
        </w:rPr>
        <w:t>Jane</w:t>
      </w:r>
      <w:r>
        <w:rPr>
          <w:spacing w:val="-2"/>
          <w:sz w:val="18"/>
          <w:u w:val="none"/>
        </w:rPr>
        <w:t> </w:t>
      </w:r>
      <w:r>
        <w:rPr>
          <w:sz w:val="18"/>
          <w:u w:val="none"/>
        </w:rPr>
        <w:t>Rooney, </w:t>
      </w:r>
      <w:r>
        <w:rPr>
          <w:color w:val="1D71B8"/>
          <w:sz w:val="18"/>
          <w:u w:val="single" w:color="1D71B8"/>
        </w:rPr>
        <w:t>European Union Developments in Equality and Human Rights: The Impact of Brexit on the Divergence of Rights and</w:t>
      </w:r>
      <w:r>
        <w:rPr>
          <w:color w:val="1D71B8"/>
          <w:sz w:val="18"/>
          <w:u w:val="none"/>
        </w:rPr>
        <w:t> </w:t>
      </w:r>
      <w:r>
        <w:rPr>
          <w:color w:val="1D71B8"/>
          <w:sz w:val="18"/>
          <w:u w:val="single" w:color="1D71B8"/>
        </w:rPr>
        <w:t>Best Practice on the Island of Ireland</w:t>
      </w:r>
      <w:r>
        <w:rPr>
          <w:color w:val="1D71B8"/>
          <w:sz w:val="18"/>
          <w:u w:val="none"/>
        </w:rPr>
        <w:t> </w:t>
      </w:r>
      <w:r>
        <w:rPr>
          <w:sz w:val="18"/>
          <w:u w:val="none"/>
        </w:rPr>
        <w:t>(2022)..</w:t>
      </w:r>
    </w:p>
    <w:p>
      <w:pPr>
        <w:pStyle w:val="ListParagraph"/>
        <w:numPr>
          <w:ilvl w:val="0"/>
          <w:numId w:val="18"/>
        </w:numPr>
        <w:tabs>
          <w:tab w:pos="1684" w:val="left" w:leader="none"/>
        </w:tabs>
        <w:spacing w:line="240" w:lineRule="auto" w:before="1" w:after="0"/>
        <w:ind w:left="1684" w:right="826" w:hanging="567"/>
        <w:jc w:val="left"/>
        <w:rPr>
          <w:sz w:val="18"/>
        </w:rPr>
      </w:pPr>
      <w:r>
        <w:rPr>
          <w:sz w:val="18"/>
        </w:rPr>
        <w:t>Tamara</w:t>
      </w:r>
      <w:r>
        <w:rPr>
          <w:spacing w:val="-11"/>
          <w:sz w:val="18"/>
        </w:rPr>
        <w:t> </w:t>
      </w:r>
      <w:r>
        <w:rPr>
          <w:sz w:val="18"/>
        </w:rPr>
        <w:t>Hervey,</w:t>
      </w:r>
      <w:r>
        <w:rPr>
          <w:spacing w:val="-10"/>
          <w:sz w:val="18"/>
        </w:rPr>
        <w:t> </w:t>
      </w:r>
      <w:hyperlink r:id="rId141">
        <w:r>
          <w:rPr>
            <w:color w:val="1D71B8"/>
            <w:sz w:val="18"/>
            <w:u w:val="single" w:color="1D71B8"/>
          </w:rPr>
          <w:t>Brexit,</w:t>
        </w:r>
        <w:r>
          <w:rPr>
            <w:color w:val="1D71B8"/>
            <w:spacing w:val="-10"/>
            <w:sz w:val="18"/>
            <w:u w:val="single" w:color="1D71B8"/>
          </w:rPr>
          <w:t> </w:t>
        </w:r>
        <w:r>
          <w:rPr>
            <w:color w:val="1D71B8"/>
            <w:sz w:val="18"/>
            <w:u w:val="single" w:color="1D71B8"/>
          </w:rPr>
          <w:t>Health</w:t>
        </w:r>
        <w:r>
          <w:rPr>
            <w:color w:val="1D71B8"/>
            <w:spacing w:val="-10"/>
            <w:sz w:val="18"/>
            <w:u w:val="single" w:color="1D71B8"/>
          </w:rPr>
          <w:t> </w:t>
        </w:r>
        <w:r>
          <w:rPr>
            <w:color w:val="1D71B8"/>
            <w:sz w:val="18"/>
            <w:u w:val="single" w:color="1D71B8"/>
          </w:rPr>
          <w:t>and</w:t>
        </w:r>
        <w:r>
          <w:rPr>
            <w:color w:val="1D71B8"/>
            <w:spacing w:val="-10"/>
            <w:sz w:val="18"/>
            <w:u w:val="single" w:color="1D71B8"/>
          </w:rPr>
          <w:t> </w:t>
        </w:r>
        <w:r>
          <w:rPr>
            <w:color w:val="1D71B8"/>
            <w:sz w:val="18"/>
            <w:u w:val="single" w:color="1D71B8"/>
          </w:rPr>
          <w:t>its</w:t>
        </w:r>
        <w:r>
          <w:rPr>
            <w:color w:val="1D71B8"/>
            <w:spacing w:val="-11"/>
            <w:sz w:val="18"/>
            <w:u w:val="single" w:color="1D71B8"/>
          </w:rPr>
          <w:t> </w:t>
        </w:r>
        <w:r>
          <w:rPr>
            <w:color w:val="1D71B8"/>
            <w:sz w:val="18"/>
            <w:u w:val="single" w:color="1D71B8"/>
          </w:rPr>
          <w:t>potential</w:t>
        </w:r>
        <w:r>
          <w:rPr>
            <w:color w:val="1D71B8"/>
            <w:spacing w:val="-10"/>
            <w:sz w:val="18"/>
            <w:u w:val="single" w:color="1D71B8"/>
          </w:rPr>
          <w:t> </w:t>
        </w:r>
        <w:r>
          <w:rPr>
            <w:color w:val="1D71B8"/>
            <w:sz w:val="18"/>
            <w:u w:val="single" w:color="1D71B8"/>
          </w:rPr>
          <w:t>impact</w:t>
        </w:r>
        <w:r>
          <w:rPr>
            <w:color w:val="1D71B8"/>
            <w:spacing w:val="-10"/>
            <w:sz w:val="18"/>
            <w:u w:val="single" w:color="1D71B8"/>
          </w:rPr>
          <w:t> </w:t>
        </w:r>
        <w:r>
          <w:rPr>
            <w:color w:val="1D71B8"/>
            <w:sz w:val="18"/>
            <w:u w:val="single" w:color="1D71B8"/>
          </w:rPr>
          <w:t>on</w:t>
        </w:r>
        <w:r>
          <w:rPr>
            <w:color w:val="1D71B8"/>
            <w:spacing w:val="-10"/>
            <w:sz w:val="18"/>
            <w:u w:val="single" w:color="1D71B8"/>
          </w:rPr>
          <w:t> </w:t>
        </w:r>
        <w:r>
          <w:rPr>
            <w:color w:val="1D71B8"/>
            <w:sz w:val="18"/>
            <w:u w:val="single" w:color="1D71B8"/>
          </w:rPr>
          <w:t>Article</w:t>
        </w:r>
        <w:r>
          <w:rPr>
            <w:color w:val="1D71B8"/>
            <w:spacing w:val="-10"/>
            <w:sz w:val="18"/>
            <w:u w:val="single" w:color="1D71B8"/>
          </w:rPr>
          <w:t> </w:t>
        </w:r>
        <w:r>
          <w:rPr>
            <w:color w:val="1D71B8"/>
            <w:sz w:val="18"/>
            <w:u w:val="single" w:color="1D71B8"/>
          </w:rPr>
          <w:t>2</w:t>
        </w:r>
        <w:r>
          <w:rPr>
            <w:color w:val="1D71B8"/>
            <w:spacing w:val="-10"/>
            <w:sz w:val="18"/>
            <w:u w:val="single" w:color="1D71B8"/>
          </w:rPr>
          <w:t> </w:t>
        </w:r>
        <w:r>
          <w:rPr>
            <w:color w:val="1D71B8"/>
            <w:sz w:val="18"/>
            <w:u w:val="single" w:color="1D71B8"/>
          </w:rPr>
          <w:t>of</w:t>
        </w:r>
        <w:r>
          <w:rPr>
            <w:color w:val="1D71B8"/>
            <w:spacing w:val="-11"/>
            <w:sz w:val="18"/>
            <w:u w:val="single" w:color="1D71B8"/>
          </w:rPr>
          <w:t> </w:t>
        </w:r>
        <w:r>
          <w:rPr>
            <w:color w:val="1D71B8"/>
            <w:sz w:val="18"/>
            <w:u w:val="single" w:color="1D71B8"/>
          </w:rPr>
          <w:t>the</w:t>
        </w:r>
        <w:r>
          <w:rPr>
            <w:color w:val="1D71B8"/>
            <w:spacing w:val="-10"/>
            <w:sz w:val="18"/>
            <w:u w:val="single" w:color="1D71B8"/>
          </w:rPr>
          <w:t> </w:t>
        </w:r>
        <w:r>
          <w:rPr>
            <w:color w:val="1D71B8"/>
            <w:sz w:val="18"/>
            <w:u w:val="single" w:color="1D71B8"/>
          </w:rPr>
          <w:t>Ireland/Northern</w:t>
        </w:r>
        <w:r>
          <w:rPr>
            <w:color w:val="1D71B8"/>
            <w:spacing w:val="-10"/>
            <w:sz w:val="18"/>
            <w:u w:val="single" w:color="1D71B8"/>
          </w:rPr>
          <w:t> </w:t>
        </w:r>
        <w:r>
          <w:rPr>
            <w:color w:val="1D71B8"/>
            <w:sz w:val="18"/>
            <w:u w:val="single" w:color="1D71B8"/>
          </w:rPr>
          <w:t>Ireland</w:t>
        </w:r>
        <w:r>
          <w:rPr>
            <w:color w:val="1D71B8"/>
            <w:spacing w:val="-10"/>
            <w:sz w:val="18"/>
            <w:u w:val="single" w:color="1D71B8"/>
          </w:rPr>
          <w:t> </w:t>
        </w:r>
        <w:r>
          <w:rPr>
            <w:color w:val="1D71B8"/>
            <w:sz w:val="18"/>
            <w:u w:val="single" w:color="1D71B8"/>
          </w:rPr>
          <w:t>Protocol</w:t>
        </w:r>
      </w:hyperlink>
      <w:r>
        <w:rPr>
          <w:color w:val="1D71B8"/>
          <w:spacing w:val="-10"/>
          <w:sz w:val="18"/>
          <w:u w:val="none"/>
        </w:rPr>
        <w:t> </w:t>
      </w:r>
      <w:r>
        <w:rPr>
          <w:sz w:val="18"/>
          <w:u w:val="none"/>
        </w:rPr>
        <w:t>(NIHRC,</w:t>
      </w:r>
      <w:r>
        <w:rPr>
          <w:spacing w:val="-10"/>
          <w:sz w:val="18"/>
          <w:u w:val="none"/>
        </w:rPr>
        <w:t> </w:t>
      </w:r>
      <w:r>
        <w:rPr>
          <w:sz w:val="18"/>
          <w:u w:val="none"/>
        </w:rPr>
        <w:t>March 2022).2006),</w:t>
      </w:r>
      <w:r>
        <w:rPr>
          <w:spacing w:val="-2"/>
          <w:sz w:val="18"/>
          <w:u w:val="none"/>
        </w:rPr>
        <w:t> </w:t>
      </w:r>
      <w:r>
        <w:rPr>
          <w:sz w:val="18"/>
          <w:u w:val="none"/>
        </w:rPr>
        <w:t>§196</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80192">
                <wp:simplePos x="0" y="0"/>
                <wp:positionH relativeFrom="page">
                  <wp:posOffset>0</wp:posOffset>
                </wp:positionH>
                <wp:positionV relativeFrom="page">
                  <wp:posOffset>0</wp:posOffset>
                </wp:positionV>
                <wp:extent cx="7560309" cy="1257935"/>
                <wp:effectExtent l="0" t="0" r="0" b="0"/>
                <wp:wrapNone/>
                <wp:docPr id="799" name="Group 799"/>
                <wp:cNvGraphicFramePr>
                  <a:graphicFrameLocks/>
                </wp:cNvGraphicFramePr>
                <a:graphic>
                  <a:graphicData uri="http://schemas.microsoft.com/office/word/2010/wordprocessingGroup">
                    <wpg:wgp>
                      <wpg:cNvPr id="799" name="Group 799"/>
                      <wpg:cNvGrpSpPr/>
                      <wpg:grpSpPr>
                        <a:xfrm>
                          <a:off x="0" y="0"/>
                          <a:ext cx="7560309" cy="1257935"/>
                          <a:chExt cx="7560309" cy="1257935"/>
                        </a:xfrm>
                      </wpg:grpSpPr>
                      <wps:wsp>
                        <wps:cNvPr id="800" name="Graphic 800"/>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801" name="Graphic 801"/>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802" name="Textbox 802"/>
                        <wps:cNvSpPr txBox="1"/>
                        <wps:spPr>
                          <a:xfrm>
                            <a:off x="305884"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92</w:t>
                              </w:r>
                            </w:p>
                          </w:txbxContent>
                        </wps:txbx>
                        <wps:bodyPr wrap="square" lIns="0" tIns="0" rIns="0" bIns="0" rtlCol="0">
                          <a:noAutofit/>
                        </wps:bodyPr>
                      </wps:wsp>
                      <wps:wsp>
                        <wps:cNvPr id="803" name="Textbox 803"/>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804" name="Textbox 804"/>
                        <wps:cNvSpPr txBox="1"/>
                        <wps:spPr>
                          <a:xfrm>
                            <a:off x="647999" y="1080003"/>
                            <a:ext cx="5662295" cy="177800"/>
                          </a:xfrm>
                          <a:prstGeom prst="rect">
                            <a:avLst/>
                          </a:prstGeom>
                        </wps:spPr>
                        <wps:txbx>
                          <w:txbxContent>
                            <w:p>
                              <w:pPr>
                                <w:spacing w:line="280" w:lineRule="exact" w:before="0"/>
                                <w:ind w:left="0" w:right="0" w:firstLine="0"/>
                                <w:jc w:val="left"/>
                                <w:rPr>
                                  <w:sz w:val="28"/>
                                </w:rPr>
                              </w:pPr>
                              <w:r>
                                <w:rPr>
                                  <w:sz w:val="28"/>
                                </w:rPr>
                                <w:t>Furthermore,</w:t>
                              </w:r>
                              <w:r>
                                <w:rPr>
                                  <w:spacing w:val="-9"/>
                                  <w:sz w:val="28"/>
                                </w:rPr>
                                <w:t> </w:t>
                              </w:r>
                              <w:r>
                                <w:rPr>
                                  <w:sz w:val="28"/>
                                </w:rPr>
                                <w:t>in</w:t>
                              </w:r>
                              <w:r>
                                <w:rPr>
                                  <w:spacing w:val="-9"/>
                                  <w:sz w:val="28"/>
                                </w:rPr>
                                <w:t> </w:t>
                              </w:r>
                              <w:r>
                                <w:rPr>
                                  <w:sz w:val="28"/>
                                </w:rPr>
                                <w:t>international</w:t>
                              </w:r>
                              <w:r>
                                <w:rPr>
                                  <w:spacing w:val="-10"/>
                                  <w:sz w:val="28"/>
                                </w:rPr>
                                <w:t> </w:t>
                              </w:r>
                              <w:r>
                                <w:rPr>
                                  <w:sz w:val="28"/>
                                </w:rPr>
                                <w:t>law,</w:t>
                              </w:r>
                              <w:r>
                                <w:rPr>
                                  <w:spacing w:val="-8"/>
                                  <w:sz w:val="28"/>
                                </w:rPr>
                                <w:t> </w:t>
                              </w:r>
                              <w:r>
                                <w:rPr>
                                  <w:sz w:val="28"/>
                                </w:rPr>
                                <w:t>the</w:t>
                              </w:r>
                              <w:r>
                                <w:rPr>
                                  <w:spacing w:val="-9"/>
                                  <w:sz w:val="28"/>
                                </w:rPr>
                                <w:t> </w:t>
                              </w:r>
                              <w:r>
                                <w:rPr>
                                  <w:sz w:val="28"/>
                                </w:rPr>
                                <w:t>right</w:t>
                              </w:r>
                              <w:r>
                                <w:rPr>
                                  <w:spacing w:val="-9"/>
                                  <w:sz w:val="28"/>
                                </w:rPr>
                                <w:t> </w:t>
                              </w:r>
                              <w:r>
                                <w:rPr>
                                  <w:sz w:val="28"/>
                                </w:rPr>
                                <w:t>to</w:t>
                              </w:r>
                              <w:r>
                                <w:rPr>
                                  <w:spacing w:val="-9"/>
                                  <w:sz w:val="28"/>
                                </w:rPr>
                                <w:t> </w:t>
                              </w:r>
                              <w:r>
                                <w:rPr>
                                  <w:sz w:val="28"/>
                                </w:rPr>
                                <w:t>a</w:t>
                              </w:r>
                              <w:r>
                                <w:rPr>
                                  <w:spacing w:val="-9"/>
                                  <w:sz w:val="28"/>
                                </w:rPr>
                                <w:t> </w:t>
                              </w:r>
                              <w:r>
                                <w:rPr>
                                  <w:sz w:val="28"/>
                                </w:rPr>
                                <w:t>healthy</w:t>
                              </w:r>
                              <w:r>
                                <w:rPr>
                                  <w:spacing w:val="-9"/>
                                  <w:sz w:val="28"/>
                                </w:rPr>
                                <w:t> </w:t>
                              </w:r>
                              <w:r>
                                <w:rPr>
                                  <w:sz w:val="28"/>
                                </w:rPr>
                                <w:t>environment</w:t>
                              </w:r>
                              <w:r>
                                <w:rPr>
                                  <w:spacing w:val="-9"/>
                                  <w:sz w:val="28"/>
                                </w:rPr>
                                <w:t> </w:t>
                              </w:r>
                              <w:r>
                                <w:rPr>
                                  <w:sz w:val="28"/>
                                </w:rPr>
                                <w:t>has</w:t>
                              </w:r>
                              <w:r>
                                <w:rPr>
                                  <w:spacing w:val="-9"/>
                                  <w:sz w:val="28"/>
                                </w:rPr>
                                <w:t> </w:t>
                              </w:r>
                              <w:r>
                                <w:rPr>
                                  <w:spacing w:val="-4"/>
                                  <w:sz w:val="28"/>
                                </w:rPr>
                                <w:t>been</w:t>
                              </w:r>
                            </w:p>
                          </w:txbxContent>
                        </wps:txbx>
                        <wps:bodyPr wrap="square" lIns="0" tIns="0" rIns="0" bIns="0" rtlCol="0">
                          <a:noAutofit/>
                        </wps:bodyPr>
                      </wps:wsp>
                    </wpg:wgp>
                  </a:graphicData>
                </a:graphic>
              </wp:anchor>
            </w:drawing>
          </mc:Choice>
          <mc:Fallback>
            <w:pict>
              <v:group style="position:absolute;margin-left:.0pt;margin-top:-.00002pt;width:595.3pt;height:99.05pt;mso-position-horizontal-relative:page;mso-position-vertical-relative:page;z-index:15880192" id="docshapegroup654" coordorigin="0,0" coordsize="11906,1981">
                <v:shape style="position:absolute;left:0;top:0;width:11906;height:1819" id="docshape655"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81;top:636;width:304;height:280" type="#_x0000_t202" id="docshape656" filled="false" stroked="false">
                  <v:textbox inset="0,0,0,0">
                    <w:txbxContent>
                      <w:p>
                        <w:pPr>
                          <w:spacing w:line="280" w:lineRule="exact" w:before="0"/>
                          <w:ind w:left="0" w:right="0" w:firstLine="0"/>
                          <w:jc w:val="left"/>
                          <w:rPr>
                            <w:b/>
                            <w:sz w:val="28"/>
                          </w:rPr>
                        </w:pPr>
                        <w:r>
                          <w:rPr>
                            <w:b/>
                            <w:color w:val="FFFFFF"/>
                            <w:spacing w:val="-5"/>
                            <w:sz w:val="28"/>
                          </w:rPr>
                          <w:t>92</w:t>
                        </w:r>
                      </w:p>
                    </w:txbxContent>
                  </v:textbox>
                  <w10:wrap type="none"/>
                </v:shape>
                <v:shape style="position:absolute;left:1303;top:645;width:6182;height:240" type="#_x0000_t202" id="docshape657"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8917;height:280" type="#_x0000_t202" id="docshape658" filled="false" stroked="false">
                  <v:textbox inset="0,0,0,0">
                    <w:txbxContent>
                      <w:p>
                        <w:pPr>
                          <w:spacing w:line="280" w:lineRule="exact" w:before="0"/>
                          <w:ind w:left="0" w:right="0" w:firstLine="0"/>
                          <w:jc w:val="left"/>
                          <w:rPr>
                            <w:sz w:val="28"/>
                          </w:rPr>
                        </w:pPr>
                        <w:r>
                          <w:rPr>
                            <w:sz w:val="28"/>
                          </w:rPr>
                          <w:t>Furthermore,</w:t>
                        </w:r>
                        <w:r>
                          <w:rPr>
                            <w:spacing w:val="-9"/>
                            <w:sz w:val="28"/>
                          </w:rPr>
                          <w:t> </w:t>
                        </w:r>
                        <w:r>
                          <w:rPr>
                            <w:sz w:val="28"/>
                          </w:rPr>
                          <w:t>in</w:t>
                        </w:r>
                        <w:r>
                          <w:rPr>
                            <w:spacing w:val="-9"/>
                            <w:sz w:val="28"/>
                          </w:rPr>
                          <w:t> </w:t>
                        </w:r>
                        <w:r>
                          <w:rPr>
                            <w:sz w:val="28"/>
                          </w:rPr>
                          <w:t>international</w:t>
                        </w:r>
                        <w:r>
                          <w:rPr>
                            <w:spacing w:val="-10"/>
                            <w:sz w:val="28"/>
                          </w:rPr>
                          <w:t> </w:t>
                        </w:r>
                        <w:r>
                          <w:rPr>
                            <w:sz w:val="28"/>
                          </w:rPr>
                          <w:t>law,</w:t>
                        </w:r>
                        <w:r>
                          <w:rPr>
                            <w:spacing w:val="-8"/>
                            <w:sz w:val="28"/>
                          </w:rPr>
                          <w:t> </w:t>
                        </w:r>
                        <w:r>
                          <w:rPr>
                            <w:sz w:val="28"/>
                          </w:rPr>
                          <w:t>the</w:t>
                        </w:r>
                        <w:r>
                          <w:rPr>
                            <w:spacing w:val="-9"/>
                            <w:sz w:val="28"/>
                          </w:rPr>
                          <w:t> </w:t>
                        </w:r>
                        <w:r>
                          <w:rPr>
                            <w:sz w:val="28"/>
                          </w:rPr>
                          <w:t>right</w:t>
                        </w:r>
                        <w:r>
                          <w:rPr>
                            <w:spacing w:val="-9"/>
                            <w:sz w:val="28"/>
                          </w:rPr>
                          <w:t> </w:t>
                        </w:r>
                        <w:r>
                          <w:rPr>
                            <w:sz w:val="28"/>
                          </w:rPr>
                          <w:t>to</w:t>
                        </w:r>
                        <w:r>
                          <w:rPr>
                            <w:spacing w:val="-9"/>
                            <w:sz w:val="28"/>
                          </w:rPr>
                          <w:t> </w:t>
                        </w:r>
                        <w:r>
                          <w:rPr>
                            <w:sz w:val="28"/>
                          </w:rPr>
                          <w:t>a</w:t>
                        </w:r>
                        <w:r>
                          <w:rPr>
                            <w:spacing w:val="-9"/>
                            <w:sz w:val="28"/>
                          </w:rPr>
                          <w:t> </w:t>
                        </w:r>
                        <w:r>
                          <w:rPr>
                            <w:sz w:val="28"/>
                          </w:rPr>
                          <w:t>healthy</w:t>
                        </w:r>
                        <w:r>
                          <w:rPr>
                            <w:spacing w:val="-9"/>
                            <w:sz w:val="28"/>
                          </w:rPr>
                          <w:t> </w:t>
                        </w:r>
                        <w:r>
                          <w:rPr>
                            <w:sz w:val="28"/>
                          </w:rPr>
                          <w:t>environment</w:t>
                        </w:r>
                        <w:r>
                          <w:rPr>
                            <w:spacing w:val="-9"/>
                            <w:sz w:val="28"/>
                          </w:rPr>
                          <w:t> </w:t>
                        </w:r>
                        <w:r>
                          <w:rPr>
                            <w:sz w:val="28"/>
                          </w:rPr>
                          <w:t>has</w:t>
                        </w:r>
                        <w:r>
                          <w:rPr>
                            <w:spacing w:val="-9"/>
                            <w:sz w:val="28"/>
                          </w:rPr>
                          <w:t> </w:t>
                        </w:r>
                        <w:r>
                          <w:rPr>
                            <w:spacing w:val="-4"/>
                            <w:sz w:val="28"/>
                          </w:rPr>
                          <w:t>been</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720" w:right="1143"/>
      </w:pPr>
      <w:bookmarkStart w:name="4.3.3.1 Recently adopted EU Directives o" w:id="142"/>
      <w:bookmarkEnd w:id="142"/>
      <w:r>
        <w:rPr/>
      </w:r>
      <w:bookmarkStart w:name="_bookmark59" w:id="143"/>
      <w:bookmarkEnd w:id="143"/>
      <w:r>
        <w:rPr/>
      </w:r>
      <w:r>
        <w:rPr/>
        <w:t>widely</w:t>
      </w:r>
      <w:r>
        <w:rPr>
          <w:spacing w:val="-7"/>
        </w:rPr>
        <w:t> </w:t>
      </w:r>
      <w:r>
        <w:rPr/>
        <w:t>interpreted</w:t>
      </w:r>
      <w:r>
        <w:rPr>
          <w:spacing w:val="-8"/>
        </w:rPr>
        <w:t> </w:t>
      </w:r>
      <w:r>
        <w:rPr/>
        <w:t>as</w:t>
      </w:r>
      <w:r>
        <w:rPr>
          <w:spacing w:val="-8"/>
        </w:rPr>
        <w:t> </w:t>
      </w:r>
      <w:r>
        <w:rPr/>
        <w:t>part</w:t>
      </w:r>
      <w:r>
        <w:rPr>
          <w:spacing w:val="-7"/>
        </w:rPr>
        <w:t> </w:t>
      </w:r>
      <w:r>
        <w:rPr/>
        <w:t>of</w:t>
      </w:r>
      <w:r>
        <w:rPr>
          <w:spacing w:val="-8"/>
        </w:rPr>
        <w:t> </w:t>
      </w:r>
      <w:r>
        <w:rPr/>
        <w:t>the</w:t>
      </w:r>
      <w:r>
        <w:rPr>
          <w:spacing w:val="-7"/>
        </w:rPr>
        <w:t> </w:t>
      </w:r>
      <w:r>
        <w:rPr/>
        <w:t>right</w:t>
      </w:r>
      <w:r>
        <w:rPr>
          <w:spacing w:val="-7"/>
        </w:rPr>
        <w:t> </w:t>
      </w:r>
      <w:r>
        <w:rPr/>
        <w:t>to</w:t>
      </w:r>
      <w:r>
        <w:rPr>
          <w:spacing w:val="-8"/>
        </w:rPr>
        <w:t> </w:t>
      </w:r>
      <w:r>
        <w:rPr/>
        <w:t>health,</w:t>
      </w:r>
      <w:r>
        <w:rPr>
          <w:vertAlign w:val="superscript"/>
        </w:rPr>
        <w:t>475</w:t>
      </w:r>
      <w:r>
        <w:rPr>
          <w:spacing w:val="-8"/>
          <w:vertAlign w:val="baseline"/>
        </w:rPr>
        <w:t> </w:t>
      </w:r>
      <w:r>
        <w:rPr>
          <w:vertAlign w:val="baseline"/>
        </w:rPr>
        <w:t>as</w:t>
      </w:r>
      <w:r>
        <w:rPr>
          <w:spacing w:val="-8"/>
          <w:vertAlign w:val="baseline"/>
        </w:rPr>
        <w:t> </w:t>
      </w:r>
      <w:r>
        <w:rPr>
          <w:vertAlign w:val="baseline"/>
        </w:rPr>
        <w:t>part</w:t>
      </w:r>
      <w:r>
        <w:rPr>
          <w:spacing w:val="-7"/>
          <w:vertAlign w:val="baseline"/>
        </w:rPr>
        <w:t> </w:t>
      </w:r>
      <w:r>
        <w:rPr>
          <w:vertAlign w:val="baseline"/>
        </w:rPr>
        <w:t>of</w:t>
      </w:r>
      <w:r>
        <w:rPr>
          <w:spacing w:val="-8"/>
          <w:vertAlign w:val="baseline"/>
        </w:rPr>
        <w:t> </w:t>
      </w:r>
      <w:r>
        <w:rPr>
          <w:vertAlign w:val="baseline"/>
        </w:rPr>
        <w:t>the</w:t>
      </w:r>
      <w:r>
        <w:rPr>
          <w:spacing w:val="-7"/>
          <w:vertAlign w:val="baseline"/>
        </w:rPr>
        <w:t> </w:t>
      </w:r>
      <w:r>
        <w:rPr>
          <w:vertAlign w:val="baseline"/>
        </w:rPr>
        <w:t>right</w:t>
      </w:r>
      <w:r>
        <w:rPr>
          <w:spacing w:val="-7"/>
          <w:vertAlign w:val="baseline"/>
        </w:rPr>
        <w:t> </w:t>
      </w:r>
      <w:r>
        <w:rPr>
          <w:vertAlign w:val="baseline"/>
        </w:rPr>
        <w:t>to</w:t>
      </w:r>
      <w:r>
        <w:rPr>
          <w:spacing w:val="-8"/>
          <w:vertAlign w:val="baseline"/>
        </w:rPr>
        <w:t> </w:t>
      </w:r>
      <w:r>
        <w:rPr>
          <w:vertAlign w:val="baseline"/>
        </w:rPr>
        <w:t>life,</w:t>
      </w:r>
      <w:r>
        <w:rPr>
          <w:vertAlign w:val="superscript"/>
        </w:rPr>
        <w:t>476</w:t>
      </w:r>
      <w:r>
        <w:rPr>
          <w:spacing w:val="-8"/>
          <w:vertAlign w:val="baseline"/>
        </w:rPr>
        <w:t> </w:t>
      </w:r>
      <w:r>
        <w:rPr>
          <w:vertAlign w:val="baseline"/>
        </w:rPr>
        <w:t>and as part of the right to respect for private and family life,</w:t>
      </w:r>
      <w:r>
        <w:rPr>
          <w:vertAlign w:val="superscript"/>
        </w:rPr>
        <w:t>477</w:t>
      </w:r>
      <w:r>
        <w:rPr>
          <w:vertAlign w:val="baseline"/>
        </w:rPr>
        <w:t>or as an independent right indivisible and interdependent with other key human rights such as the right to life, the right to health, as well as the rights to adequate food, housing and </w:t>
      </w:r>
      <w:r>
        <w:rPr>
          <w:spacing w:val="-2"/>
          <w:vertAlign w:val="baseline"/>
        </w:rPr>
        <w:t>water.</w:t>
      </w:r>
      <w:r>
        <w:rPr>
          <w:spacing w:val="-2"/>
          <w:vertAlign w:val="superscript"/>
        </w:rPr>
        <w:t>478</w:t>
      </w:r>
    </w:p>
    <w:p>
      <w:pPr>
        <w:pStyle w:val="BodyText"/>
        <w:spacing w:line="232" w:lineRule="auto" w:before="276"/>
        <w:ind w:left="720" w:right="1404"/>
      </w:pPr>
      <w:r>
        <w:rPr/>
        <w:t>Therefore,</w:t>
      </w:r>
      <w:r>
        <w:rPr>
          <w:spacing w:val="-7"/>
        </w:rPr>
        <w:t> </w:t>
      </w:r>
      <w:r>
        <w:rPr/>
        <w:t>the</w:t>
      </w:r>
      <w:r>
        <w:rPr>
          <w:spacing w:val="-7"/>
        </w:rPr>
        <w:t> </w:t>
      </w:r>
      <w:r>
        <w:rPr/>
        <w:t>6</w:t>
      </w:r>
      <w:r>
        <w:rPr>
          <w:spacing w:val="-7"/>
        </w:rPr>
        <w:t> </w:t>
      </w:r>
      <w:r>
        <w:rPr/>
        <w:t>adopted</w:t>
      </w:r>
      <w:r>
        <w:rPr>
          <w:spacing w:val="-8"/>
        </w:rPr>
        <w:t> </w:t>
      </w:r>
      <w:r>
        <w:rPr/>
        <w:t>EU</w:t>
      </w:r>
      <w:r>
        <w:rPr>
          <w:spacing w:val="-7"/>
        </w:rPr>
        <w:t> </w:t>
      </w:r>
      <w:r>
        <w:rPr/>
        <w:t>directives</w:t>
      </w:r>
      <w:r>
        <w:rPr>
          <w:spacing w:val="-8"/>
        </w:rPr>
        <w:t> </w:t>
      </w:r>
      <w:r>
        <w:rPr/>
        <w:t>and</w:t>
      </w:r>
      <w:r>
        <w:rPr>
          <w:spacing w:val="-8"/>
        </w:rPr>
        <w:t> </w:t>
      </w:r>
      <w:r>
        <w:rPr/>
        <w:t>46</w:t>
      </w:r>
      <w:r>
        <w:rPr>
          <w:spacing w:val="-7"/>
        </w:rPr>
        <w:t> </w:t>
      </w:r>
      <w:r>
        <w:rPr/>
        <w:t>EU</w:t>
      </w:r>
      <w:r>
        <w:rPr>
          <w:spacing w:val="-7"/>
        </w:rPr>
        <w:t> </w:t>
      </w:r>
      <w:r>
        <w:rPr/>
        <w:t>regulations</w:t>
      </w:r>
      <w:r>
        <w:rPr>
          <w:spacing w:val="-8"/>
        </w:rPr>
        <w:t> </w:t>
      </w:r>
      <w:r>
        <w:rPr/>
        <w:t>mentioned</w:t>
      </w:r>
      <w:r>
        <w:rPr>
          <w:spacing w:val="-8"/>
        </w:rPr>
        <w:t> </w:t>
      </w:r>
      <w:r>
        <w:rPr/>
        <w:t>above need to be considered as matters of good practice to avoid divergence in the realisation of the right to health on the island of Ireland. Northern Ireland may wish</w:t>
      </w:r>
      <w:r>
        <w:rPr>
          <w:spacing w:val="-8"/>
        </w:rPr>
        <w:t> </w:t>
      </w:r>
      <w:r>
        <w:rPr/>
        <w:t>to</w:t>
      </w:r>
      <w:r>
        <w:rPr>
          <w:spacing w:val="-8"/>
        </w:rPr>
        <w:t> </w:t>
      </w:r>
      <w:r>
        <w:rPr/>
        <w:t>voluntarily</w:t>
      </w:r>
      <w:r>
        <w:rPr>
          <w:spacing w:val="-7"/>
        </w:rPr>
        <w:t> </w:t>
      </w:r>
      <w:r>
        <w:rPr/>
        <w:t>align</w:t>
      </w:r>
      <w:r>
        <w:rPr>
          <w:spacing w:val="-8"/>
        </w:rPr>
        <w:t> </w:t>
      </w:r>
      <w:r>
        <w:rPr/>
        <w:t>with</w:t>
      </w:r>
      <w:r>
        <w:rPr>
          <w:spacing w:val="-8"/>
        </w:rPr>
        <w:t> </w:t>
      </w:r>
      <w:r>
        <w:rPr/>
        <w:t>these</w:t>
      </w:r>
      <w:r>
        <w:rPr>
          <w:spacing w:val="-7"/>
        </w:rPr>
        <w:t> </w:t>
      </w:r>
      <w:r>
        <w:rPr/>
        <w:t>developments</w:t>
      </w:r>
      <w:r>
        <w:rPr>
          <w:spacing w:val="-8"/>
        </w:rPr>
        <w:t> </w:t>
      </w:r>
      <w:r>
        <w:rPr/>
        <w:t>where</w:t>
      </w:r>
      <w:r>
        <w:rPr>
          <w:spacing w:val="-7"/>
        </w:rPr>
        <w:t> </w:t>
      </w:r>
      <w:r>
        <w:rPr/>
        <w:t>they</w:t>
      </w:r>
      <w:r>
        <w:rPr>
          <w:spacing w:val="-7"/>
        </w:rPr>
        <w:t> </w:t>
      </w:r>
      <w:r>
        <w:rPr/>
        <w:t>strengthen</w:t>
      </w:r>
      <w:r>
        <w:rPr>
          <w:spacing w:val="-8"/>
        </w:rPr>
        <w:t> </w:t>
      </w:r>
      <w:r>
        <w:rPr/>
        <w:t>rights and reflect international human rights standards and best practice.</w:t>
      </w:r>
    </w:p>
    <w:p>
      <w:pPr>
        <w:pStyle w:val="BodyText"/>
        <w:spacing w:before="49"/>
      </w:pPr>
    </w:p>
    <w:p>
      <w:pPr>
        <w:pStyle w:val="ListParagraph"/>
        <w:numPr>
          <w:ilvl w:val="3"/>
          <w:numId w:val="39"/>
        </w:numPr>
        <w:tabs>
          <w:tab w:pos="1563" w:val="left" w:leader="none"/>
        </w:tabs>
        <w:spacing w:line="336" w:lineRule="exact" w:before="0" w:after="0"/>
        <w:ind w:left="1563" w:right="0" w:hanging="843"/>
        <w:jc w:val="left"/>
        <w:rPr>
          <w:sz w:val="28"/>
        </w:rPr>
      </w:pPr>
      <w:r>
        <w:rPr>
          <w:color w:val="004A93"/>
          <w:sz w:val="28"/>
        </w:rPr>
        <w:t>Recently</w:t>
      </w:r>
      <w:r>
        <w:rPr>
          <w:color w:val="004A93"/>
          <w:spacing w:val="-7"/>
          <w:sz w:val="28"/>
        </w:rPr>
        <w:t> </w:t>
      </w:r>
      <w:r>
        <w:rPr>
          <w:color w:val="004A93"/>
          <w:sz w:val="28"/>
        </w:rPr>
        <w:t>adopted</w:t>
      </w:r>
      <w:r>
        <w:rPr>
          <w:color w:val="004A93"/>
          <w:spacing w:val="-8"/>
          <w:sz w:val="28"/>
        </w:rPr>
        <w:t> </w:t>
      </w:r>
      <w:r>
        <w:rPr>
          <w:color w:val="004A93"/>
          <w:sz w:val="28"/>
        </w:rPr>
        <w:t>EU</w:t>
      </w:r>
      <w:r>
        <w:rPr>
          <w:color w:val="004A93"/>
          <w:spacing w:val="-7"/>
          <w:sz w:val="28"/>
        </w:rPr>
        <w:t> </w:t>
      </w:r>
      <w:r>
        <w:rPr>
          <w:color w:val="004A93"/>
          <w:sz w:val="28"/>
        </w:rPr>
        <w:t>Directives</w:t>
      </w:r>
      <w:r>
        <w:rPr>
          <w:color w:val="004A93"/>
          <w:spacing w:val="-8"/>
          <w:sz w:val="28"/>
        </w:rPr>
        <w:t> </w:t>
      </w:r>
      <w:r>
        <w:rPr>
          <w:color w:val="004A93"/>
          <w:sz w:val="28"/>
        </w:rPr>
        <w:t>on</w:t>
      </w:r>
      <w:r>
        <w:rPr>
          <w:color w:val="004A93"/>
          <w:spacing w:val="-8"/>
          <w:sz w:val="28"/>
        </w:rPr>
        <w:t> </w:t>
      </w:r>
      <w:r>
        <w:rPr>
          <w:color w:val="004A93"/>
          <w:spacing w:val="-2"/>
          <w:sz w:val="28"/>
        </w:rPr>
        <w:t>health</w:t>
      </w:r>
    </w:p>
    <w:p>
      <w:pPr>
        <w:pStyle w:val="BodyText"/>
        <w:spacing w:line="232" w:lineRule="auto" w:before="2"/>
        <w:ind w:left="720" w:right="1338"/>
      </w:pPr>
      <w:r>
        <w:rPr/>
        <w:t>Most</w:t>
      </w:r>
      <w:r>
        <w:rPr>
          <w:spacing w:val="-4"/>
        </w:rPr>
        <w:t> </w:t>
      </w:r>
      <w:r>
        <w:rPr/>
        <w:t>of</w:t>
      </w:r>
      <w:r>
        <w:rPr>
          <w:spacing w:val="-5"/>
        </w:rPr>
        <w:t> </w:t>
      </w:r>
      <w:r>
        <w:rPr/>
        <w:t>the</w:t>
      </w:r>
      <w:r>
        <w:rPr>
          <w:spacing w:val="-4"/>
        </w:rPr>
        <w:t> </w:t>
      </w:r>
      <w:r>
        <w:rPr/>
        <w:t>6</w:t>
      </w:r>
      <w:r>
        <w:rPr>
          <w:spacing w:val="-4"/>
        </w:rPr>
        <w:t> </w:t>
      </w:r>
      <w:r>
        <w:rPr/>
        <w:t>EU</w:t>
      </w:r>
      <w:r>
        <w:rPr>
          <w:spacing w:val="-4"/>
        </w:rPr>
        <w:t> </w:t>
      </w:r>
      <w:r>
        <w:rPr/>
        <w:t>Directives</w:t>
      </w:r>
      <w:r>
        <w:rPr>
          <w:spacing w:val="-5"/>
        </w:rPr>
        <w:t> </w:t>
      </w:r>
      <w:r>
        <w:rPr/>
        <w:t>adopted</w:t>
      </w:r>
      <w:r>
        <w:rPr>
          <w:spacing w:val="-5"/>
        </w:rPr>
        <w:t> </w:t>
      </w:r>
      <w:r>
        <w:rPr/>
        <w:t>between</w:t>
      </w:r>
      <w:r>
        <w:rPr>
          <w:spacing w:val="-5"/>
        </w:rPr>
        <w:t> </w:t>
      </w:r>
      <w:r>
        <w:rPr/>
        <w:t>1</w:t>
      </w:r>
      <w:r>
        <w:rPr>
          <w:spacing w:val="-4"/>
        </w:rPr>
        <w:t> </w:t>
      </w:r>
      <w:r>
        <w:rPr/>
        <w:t>January</w:t>
      </w:r>
      <w:r>
        <w:rPr>
          <w:spacing w:val="-4"/>
        </w:rPr>
        <w:t> </w:t>
      </w:r>
      <w:r>
        <w:rPr/>
        <w:t>2022</w:t>
      </w:r>
      <w:r>
        <w:rPr>
          <w:spacing w:val="-4"/>
        </w:rPr>
        <w:t> </w:t>
      </w:r>
      <w:r>
        <w:rPr/>
        <w:t>and</w:t>
      </w:r>
      <w:r>
        <w:rPr>
          <w:spacing w:val="-5"/>
        </w:rPr>
        <w:t> </w:t>
      </w:r>
      <w:r>
        <w:rPr/>
        <w:t>31</w:t>
      </w:r>
      <w:r>
        <w:rPr>
          <w:spacing w:val="-4"/>
        </w:rPr>
        <w:t> </w:t>
      </w:r>
      <w:r>
        <w:rPr/>
        <w:t>August</w:t>
      </w:r>
      <w:r>
        <w:rPr>
          <w:spacing w:val="-4"/>
        </w:rPr>
        <w:t> </w:t>
      </w:r>
      <w:r>
        <w:rPr/>
        <w:t>2023 that relate to the right to health are of a technical nature (especially regarding</w:t>
      </w:r>
      <w:r>
        <w:rPr/>
        <w:t> the right to a healthy environment).</w:t>
      </w:r>
      <w:r>
        <w:rPr>
          <w:vertAlign w:val="superscript"/>
        </w:rPr>
        <w:t>479</w:t>
      </w:r>
      <w:r>
        <w:rPr>
          <w:vertAlign w:val="baseline"/>
        </w:rPr>
        <w:t> However, one of them establishes more substantial requirements worth noting.</w:t>
      </w:r>
    </w:p>
    <w:p>
      <w:pPr>
        <w:pStyle w:val="ListParagraph"/>
        <w:numPr>
          <w:ilvl w:val="4"/>
          <w:numId w:val="39"/>
        </w:numPr>
        <w:tabs>
          <w:tab w:pos="1060" w:val="left" w:leader="none"/>
        </w:tabs>
        <w:spacing w:line="232" w:lineRule="auto" w:before="264" w:after="0"/>
        <w:ind w:left="1060" w:right="1706" w:hanging="341"/>
        <w:jc w:val="left"/>
        <w:rPr>
          <w:sz w:val="28"/>
        </w:rPr>
      </w:pPr>
      <w:r>
        <w:rPr>
          <w:sz w:val="28"/>
        </w:rPr>
        <w:t>EU</w:t>
      </w:r>
      <w:r>
        <w:rPr>
          <w:spacing w:val="-7"/>
          <w:sz w:val="28"/>
        </w:rPr>
        <w:t> </w:t>
      </w:r>
      <w:r>
        <w:rPr>
          <w:sz w:val="28"/>
        </w:rPr>
        <w:t>Directive</w:t>
      </w:r>
      <w:r>
        <w:rPr>
          <w:spacing w:val="-7"/>
          <w:sz w:val="28"/>
        </w:rPr>
        <w:t> </w:t>
      </w:r>
      <w:r>
        <w:rPr>
          <w:sz w:val="28"/>
        </w:rPr>
        <w:t>2022/642</w:t>
      </w:r>
      <w:r>
        <w:rPr>
          <w:spacing w:val="-7"/>
          <w:sz w:val="28"/>
        </w:rPr>
        <w:t> </w:t>
      </w:r>
      <w:r>
        <w:rPr>
          <w:sz w:val="28"/>
        </w:rPr>
        <w:t>amending</w:t>
      </w:r>
      <w:r>
        <w:rPr>
          <w:spacing w:val="-7"/>
          <w:sz w:val="28"/>
        </w:rPr>
        <w:t> </w:t>
      </w:r>
      <w:r>
        <w:rPr>
          <w:sz w:val="28"/>
        </w:rPr>
        <w:t>Directives</w:t>
      </w:r>
      <w:r>
        <w:rPr>
          <w:spacing w:val="-8"/>
          <w:sz w:val="28"/>
        </w:rPr>
        <w:t> </w:t>
      </w:r>
      <w:r>
        <w:rPr>
          <w:sz w:val="28"/>
        </w:rPr>
        <w:t>2001/20/EC</w:t>
      </w:r>
      <w:r>
        <w:rPr>
          <w:spacing w:val="-8"/>
          <w:sz w:val="28"/>
        </w:rPr>
        <w:t> </w:t>
      </w:r>
      <w:r>
        <w:rPr>
          <w:sz w:val="28"/>
        </w:rPr>
        <w:t>and</w:t>
      </w:r>
      <w:r>
        <w:rPr>
          <w:spacing w:val="-8"/>
          <w:sz w:val="28"/>
        </w:rPr>
        <w:t> </w:t>
      </w:r>
      <w:r>
        <w:rPr>
          <w:sz w:val="28"/>
        </w:rPr>
        <w:t>2001/83/EC</w:t>
      </w:r>
      <w:r>
        <w:rPr>
          <w:spacing w:val="-8"/>
          <w:sz w:val="28"/>
        </w:rPr>
        <w:t> </w:t>
      </w:r>
      <w:r>
        <w:rPr>
          <w:sz w:val="28"/>
        </w:rPr>
        <w:t>as regards derogations from certain obligations concerning certain medicinal products for human use made available in the United Kingdom in respect</w:t>
      </w:r>
      <w:r>
        <w:rPr>
          <w:sz w:val="28"/>
        </w:rPr>
        <w:t> of Northern Ireland and in Cyprus, Ireland and Malta: As a derogatory</w:t>
      </w:r>
    </w:p>
    <w:p>
      <w:pPr>
        <w:pStyle w:val="BodyText"/>
        <w:spacing w:line="232" w:lineRule="auto"/>
        <w:ind w:left="1060" w:right="1713"/>
      </w:pPr>
      <w:r>
        <w:rPr/>
        <w:t>and temporary measure, competent authorities in Northern Ireland, Cyprus, Ireland, Malta must allow investigational medicinal products to be imported from England, Scotland and Wales without the need to provide the</w:t>
      </w:r>
      <w:r>
        <w:rPr>
          <w:spacing w:val="-5"/>
        </w:rPr>
        <w:t> </w:t>
      </w:r>
      <w:r>
        <w:rPr/>
        <w:t>authorisation</w:t>
      </w:r>
      <w:r>
        <w:rPr>
          <w:spacing w:val="-6"/>
        </w:rPr>
        <w:t> </w:t>
      </w:r>
      <w:r>
        <w:rPr/>
        <w:t>normally</w:t>
      </w:r>
      <w:r>
        <w:rPr>
          <w:spacing w:val="-5"/>
        </w:rPr>
        <w:t> </w:t>
      </w:r>
      <w:r>
        <w:rPr/>
        <w:t>requested</w:t>
      </w:r>
      <w:r>
        <w:rPr>
          <w:spacing w:val="-6"/>
        </w:rPr>
        <w:t> </w:t>
      </w:r>
      <w:r>
        <w:rPr/>
        <w:t>at</w:t>
      </w:r>
      <w:r>
        <w:rPr>
          <w:spacing w:val="-5"/>
        </w:rPr>
        <w:t> </w:t>
      </w:r>
      <w:r>
        <w:rPr/>
        <w:t>EU</w:t>
      </w:r>
      <w:r>
        <w:rPr>
          <w:spacing w:val="-5"/>
        </w:rPr>
        <w:t> </w:t>
      </w:r>
      <w:r>
        <w:rPr/>
        <w:t>level,</w:t>
      </w:r>
      <w:r>
        <w:rPr>
          <w:spacing w:val="-5"/>
        </w:rPr>
        <w:t> </w:t>
      </w:r>
      <w:r>
        <w:rPr/>
        <w:t>provided</w:t>
      </w:r>
      <w:r>
        <w:rPr>
          <w:spacing w:val="-6"/>
        </w:rPr>
        <w:t> </w:t>
      </w:r>
      <w:r>
        <w:rPr/>
        <w:t>a</w:t>
      </w:r>
      <w:r>
        <w:rPr>
          <w:spacing w:val="-6"/>
        </w:rPr>
        <w:t> </w:t>
      </w:r>
      <w:r>
        <w:rPr/>
        <w:t>number</w:t>
      </w:r>
      <w:r>
        <w:rPr>
          <w:spacing w:val="-5"/>
        </w:rPr>
        <w:t> </w:t>
      </w:r>
      <w:r>
        <w:rPr/>
        <w:t>of</w:t>
      </w:r>
      <w:r>
        <w:rPr>
          <w:spacing w:val="-6"/>
        </w:rPr>
        <w:t> </w:t>
      </w:r>
      <w:r>
        <w:rPr/>
        <w:t>set</w:t>
      </w:r>
    </w:p>
    <w:p>
      <w:pPr>
        <w:pStyle w:val="BodyText"/>
        <w:spacing w:line="232" w:lineRule="auto"/>
        <w:ind w:left="1060" w:right="1404"/>
      </w:pPr>
      <w:r>
        <w:rPr/>
        <w:t>conditions</w:t>
      </w:r>
      <w:r>
        <w:rPr>
          <w:spacing w:val="-8"/>
        </w:rPr>
        <w:t> </w:t>
      </w:r>
      <w:r>
        <w:rPr/>
        <w:t>are</w:t>
      </w:r>
      <w:r>
        <w:rPr>
          <w:spacing w:val="-7"/>
        </w:rPr>
        <w:t> </w:t>
      </w:r>
      <w:r>
        <w:rPr/>
        <w:t>fulfilled</w:t>
      </w:r>
      <w:r>
        <w:rPr>
          <w:spacing w:val="-8"/>
        </w:rPr>
        <w:t> </w:t>
      </w:r>
      <w:r>
        <w:rPr/>
        <w:t>(these</w:t>
      </w:r>
      <w:r>
        <w:rPr>
          <w:spacing w:val="-7"/>
        </w:rPr>
        <w:t> </w:t>
      </w:r>
      <w:r>
        <w:rPr/>
        <w:t>States</w:t>
      </w:r>
      <w:r>
        <w:rPr>
          <w:spacing w:val="-8"/>
        </w:rPr>
        <w:t> </w:t>
      </w:r>
      <w:r>
        <w:rPr/>
        <w:t>must</w:t>
      </w:r>
      <w:r>
        <w:rPr>
          <w:spacing w:val="-7"/>
        </w:rPr>
        <w:t> </w:t>
      </w:r>
      <w:r>
        <w:rPr/>
        <w:t>bring</w:t>
      </w:r>
      <w:r>
        <w:rPr>
          <w:spacing w:val="-7"/>
        </w:rPr>
        <w:t> </w:t>
      </w:r>
      <w:r>
        <w:rPr/>
        <w:t>into</w:t>
      </w:r>
      <w:r>
        <w:rPr>
          <w:spacing w:val="-8"/>
        </w:rPr>
        <w:t> </w:t>
      </w:r>
      <w:r>
        <w:rPr/>
        <w:t>force</w:t>
      </w:r>
      <w:r>
        <w:rPr>
          <w:spacing w:val="-7"/>
        </w:rPr>
        <w:t> </w:t>
      </w:r>
      <w:r>
        <w:rPr/>
        <w:t>measures</w:t>
      </w:r>
      <w:r>
        <w:rPr>
          <w:spacing w:val="-8"/>
        </w:rPr>
        <w:t> </w:t>
      </w:r>
      <w:r>
        <w:rPr/>
        <w:t>necessary to comply with this requirement immediately).</w:t>
      </w:r>
      <w:r>
        <w:rPr>
          <w:vertAlign w:val="superscript"/>
        </w:rPr>
        <w:t>480</w:t>
      </w:r>
    </w:p>
    <w:p>
      <w:pPr>
        <w:pStyle w:val="BodyText"/>
        <w:spacing w:before="11"/>
        <w:rPr>
          <w:sz w:val="5"/>
        </w:rPr>
      </w:pPr>
      <w:r>
        <w:rPr/>
        <mc:AlternateContent>
          <mc:Choice Requires="wps">
            <w:drawing>
              <wp:anchor distT="0" distB="0" distL="0" distR="0" allowOverlap="1" layoutInCell="1" locked="0" behindDoc="1" simplePos="0" relativeHeight="487738880">
                <wp:simplePos x="0" y="0"/>
                <wp:positionH relativeFrom="page">
                  <wp:posOffset>647999</wp:posOffset>
                </wp:positionH>
                <wp:positionV relativeFrom="paragraph">
                  <wp:posOffset>61230</wp:posOffset>
                </wp:positionV>
                <wp:extent cx="6012180" cy="1270"/>
                <wp:effectExtent l="0" t="0" r="0" b="0"/>
                <wp:wrapTopAndBottom/>
                <wp:docPr id="805" name="Graphic 805"/>
                <wp:cNvGraphicFramePr>
                  <a:graphicFrameLocks/>
                </wp:cNvGraphicFramePr>
                <a:graphic>
                  <a:graphicData uri="http://schemas.microsoft.com/office/word/2010/wordprocessingShape">
                    <wps:wsp>
                      <wps:cNvPr id="805" name="Graphic 805"/>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821295pt;width:473.4pt;height:.1pt;mso-position-horizontal-relative:page;mso-position-vertical-relative:paragraph;z-index:-15577600;mso-wrap-distance-left:0;mso-wrap-distance-right:0" id="docshape659" coordorigin="1020,96" coordsize="9468,0" path="m1020,96l10488,96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587" w:hanging="567"/>
        <w:jc w:val="left"/>
        <w:rPr>
          <w:sz w:val="18"/>
        </w:rPr>
      </w:pPr>
      <w:r>
        <w:rPr>
          <w:sz w:val="18"/>
        </w:rPr>
        <w:t>For</w:t>
      </w:r>
      <w:r>
        <w:rPr>
          <w:spacing w:val="-6"/>
          <w:sz w:val="18"/>
        </w:rPr>
        <w:t> </w:t>
      </w:r>
      <w:r>
        <w:rPr>
          <w:sz w:val="18"/>
        </w:rPr>
        <w:t>example,</w:t>
      </w:r>
      <w:r>
        <w:rPr>
          <w:spacing w:val="-6"/>
          <w:sz w:val="18"/>
        </w:rPr>
        <w:t> </w:t>
      </w:r>
      <w:r>
        <w:rPr>
          <w:sz w:val="18"/>
        </w:rPr>
        <w:t>European</w:t>
      </w:r>
      <w:r>
        <w:rPr>
          <w:spacing w:val="-7"/>
          <w:sz w:val="18"/>
        </w:rPr>
        <w:t> </w:t>
      </w:r>
      <w:r>
        <w:rPr>
          <w:sz w:val="18"/>
        </w:rPr>
        <w:t>Committee</w:t>
      </w:r>
      <w:r>
        <w:rPr>
          <w:spacing w:val="-6"/>
          <w:sz w:val="18"/>
        </w:rPr>
        <w:t> </w:t>
      </w:r>
      <w:r>
        <w:rPr>
          <w:sz w:val="18"/>
        </w:rPr>
        <w:t>of</w:t>
      </w:r>
      <w:r>
        <w:rPr>
          <w:spacing w:val="-7"/>
          <w:sz w:val="18"/>
        </w:rPr>
        <w:t> </w:t>
      </w:r>
      <w:r>
        <w:rPr>
          <w:sz w:val="18"/>
        </w:rPr>
        <w:t>Social</w:t>
      </w:r>
      <w:r>
        <w:rPr>
          <w:spacing w:val="-7"/>
          <w:sz w:val="18"/>
        </w:rPr>
        <w:t> </w:t>
      </w:r>
      <w:r>
        <w:rPr>
          <w:sz w:val="18"/>
        </w:rPr>
        <w:t>Rights,</w:t>
      </w:r>
      <w:r>
        <w:rPr>
          <w:spacing w:val="-7"/>
          <w:sz w:val="18"/>
        </w:rPr>
        <w:t> </w:t>
      </w:r>
      <w:hyperlink r:id="rId142">
        <w:r>
          <w:rPr>
            <w:color w:val="1D71B8"/>
            <w:sz w:val="18"/>
            <w:u w:val="single" w:color="1D71B8"/>
          </w:rPr>
          <w:t>Marangopoulos</w:t>
        </w:r>
        <w:r>
          <w:rPr>
            <w:color w:val="1D71B8"/>
            <w:spacing w:val="-7"/>
            <w:sz w:val="18"/>
            <w:u w:val="single" w:color="1D71B8"/>
          </w:rPr>
          <w:t> </w:t>
        </w:r>
        <w:r>
          <w:rPr>
            <w:color w:val="1D71B8"/>
            <w:sz w:val="18"/>
            <w:u w:val="single" w:color="1D71B8"/>
          </w:rPr>
          <w:t>Foundation</w:t>
        </w:r>
        <w:r>
          <w:rPr>
            <w:color w:val="1D71B8"/>
            <w:spacing w:val="-7"/>
            <w:sz w:val="18"/>
            <w:u w:val="single" w:color="1D71B8"/>
          </w:rPr>
          <w:t> </w:t>
        </w:r>
        <w:r>
          <w:rPr>
            <w:color w:val="1D71B8"/>
            <w:sz w:val="18"/>
            <w:u w:val="single" w:color="1D71B8"/>
          </w:rPr>
          <w:t>for</w:t>
        </w:r>
        <w:r>
          <w:rPr>
            <w:color w:val="1D71B8"/>
            <w:spacing w:val="-6"/>
            <w:sz w:val="18"/>
            <w:u w:val="single" w:color="1D71B8"/>
          </w:rPr>
          <w:t> </w:t>
        </w:r>
        <w:r>
          <w:rPr>
            <w:color w:val="1D71B8"/>
            <w:sz w:val="18"/>
            <w:u w:val="single" w:color="1D71B8"/>
          </w:rPr>
          <w:t>Human</w:t>
        </w:r>
        <w:r>
          <w:rPr>
            <w:color w:val="1D71B8"/>
            <w:spacing w:val="-7"/>
            <w:sz w:val="18"/>
            <w:u w:val="single" w:color="1D71B8"/>
          </w:rPr>
          <w:t> </w:t>
        </w:r>
        <w:r>
          <w:rPr>
            <w:color w:val="1D71B8"/>
            <w:sz w:val="18"/>
            <w:u w:val="single" w:color="1D71B8"/>
          </w:rPr>
          <w:t>Rights</w:t>
        </w:r>
        <w:r>
          <w:rPr>
            <w:color w:val="1D71B8"/>
            <w:spacing w:val="-7"/>
            <w:sz w:val="18"/>
            <w:u w:val="single" w:color="1D71B8"/>
          </w:rPr>
          <w:t> </w:t>
        </w:r>
        <w:r>
          <w:rPr>
            <w:color w:val="1D71B8"/>
            <w:sz w:val="18"/>
            <w:u w:val="single" w:color="1D71B8"/>
          </w:rPr>
          <w:t>(MFHR)</w:t>
        </w:r>
        <w:r>
          <w:rPr>
            <w:color w:val="1D71B8"/>
            <w:spacing w:val="-7"/>
            <w:sz w:val="18"/>
            <w:u w:val="single" w:color="1D71B8"/>
          </w:rPr>
          <w:t> </w:t>
        </w:r>
        <w:r>
          <w:rPr>
            <w:color w:val="1D71B8"/>
            <w:sz w:val="18"/>
            <w:u w:val="single" w:color="1D71B8"/>
          </w:rPr>
          <w:t>v.</w:t>
        </w:r>
        <w:r>
          <w:rPr>
            <w:color w:val="1D71B8"/>
            <w:spacing w:val="-7"/>
            <w:sz w:val="18"/>
            <w:u w:val="single" w:color="1D71B8"/>
          </w:rPr>
          <w:t> </w:t>
        </w:r>
        <w:r>
          <w:rPr>
            <w:color w:val="1D71B8"/>
            <w:sz w:val="18"/>
            <w:u w:val="single" w:color="1D71B8"/>
          </w:rPr>
          <w:t>Greece</w:t>
        </w:r>
      </w:hyperlink>
      <w:r>
        <w:rPr>
          <w:sz w:val="18"/>
          <w:u w:val="none"/>
        </w:rPr>
        <w:t>, Complaint No. 30/2005 (Decision on the Merits of 6 December</w:t>
      </w:r>
    </w:p>
    <w:p>
      <w:pPr>
        <w:pStyle w:val="ListParagraph"/>
        <w:numPr>
          <w:ilvl w:val="0"/>
          <w:numId w:val="18"/>
        </w:numPr>
        <w:tabs>
          <w:tab w:pos="1287" w:val="left" w:leader="none"/>
        </w:tabs>
        <w:spacing w:line="240" w:lineRule="auto" w:before="1" w:after="0"/>
        <w:ind w:left="1287" w:right="1161" w:hanging="567"/>
        <w:jc w:val="left"/>
        <w:rPr>
          <w:sz w:val="18"/>
        </w:rPr>
      </w:pPr>
      <w:r>
        <w:rPr>
          <w:sz w:val="18"/>
        </w:rPr>
        <w:t>For</w:t>
      </w:r>
      <w:r>
        <w:rPr>
          <w:spacing w:val="-3"/>
          <w:sz w:val="18"/>
        </w:rPr>
        <w:t> </w:t>
      </w:r>
      <w:r>
        <w:rPr>
          <w:sz w:val="18"/>
        </w:rPr>
        <w:t>example</w:t>
      </w:r>
      <w:r>
        <w:rPr>
          <w:spacing w:val="-3"/>
          <w:sz w:val="18"/>
        </w:rPr>
        <w:t> </w:t>
      </w:r>
      <w:r>
        <w:rPr>
          <w:sz w:val="18"/>
        </w:rPr>
        <w:t>European</w:t>
      </w:r>
      <w:r>
        <w:rPr>
          <w:spacing w:val="-4"/>
          <w:sz w:val="18"/>
        </w:rPr>
        <w:t> </w:t>
      </w:r>
      <w:r>
        <w:rPr>
          <w:sz w:val="18"/>
        </w:rPr>
        <w:t>Court</w:t>
      </w:r>
      <w:r>
        <w:rPr>
          <w:spacing w:val="-3"/>
          <w:sz w:val="18"/>
        </w:rPr>
        <w:t> </w:t>
      </w:r>
      <w:r>
        <w:rPr>
          <w:sz w:val="18"/>
        </w:rPr>
        <w:t>of</w:t>
      </w:r>
      <w:r>
        <w:rPr>
          <w:spacing w:val="-4"/>
          <w:sz w:val="18"/>
        </w:rPr>
        <w:t> </w:t>
      </w:r>
      <w:r>
        <w:rPr>
          <w:sz w:val="18"/>
        </w:rPr>
        <w:t>Human</w:t>
      </w:r>
      <w:r>
        <w:rPr>
          <w:spacing w:val="-4"/>
          <w:sz w:val="18"/>
        </w:rPr>
        <w:t> </w:t>
      </w:r>
      <w:r>
        <w:rPr>
          <w:sz w:val="18"/>
        </w:rPr>
        <w:t>Rights,</w:t>
      </w:r>
      <w:r>
        <w:rPr>
          <w:spacing w:val="-4"/>
          <w:sz w:val="18"/>
        </w:rPr>
        <w:t> </w:t>
      </w:r>
      <w:hyperlink r:id="rId143">
        <w:r>
          <w:rPr>
            <w:color w:val="1D71B8"/>
            <w:sz w:val="18"/>
            <w:u w:val="single" w:color="1D71B8"/>
          </w:rPr>
          <w:t>Budayeva</w:t>
        </w:r>
        <w:r>
          <w:rPr>
            <w:color w:val="1D71B8"/>
            <w:spacing w:val="-4"/>
            <w:sz w:val="18"/>
            <w:u w:val="single" w:color="1D71B8"/>
          </w:rPr>
          <w:t> </w:t>
        </w:r>
        <w:r>
          <w:rPr>
            <w:color w:val="1D71B8"/>
            <w:sz w:val="18"/>
            <w:u w:val="single" w:color="1D71B8"/>
          </w:rPr>
          <w:t>v</w:t>
        </w:r>
        <w:r>
          <w:rPr>
            <w:color w:val="1D71B8"/>
            <w:spacing w:val="-3"/>
            <w:sz w:val="18"/>
            <w:u w:val="single" w:color="1D71B8"/>
          </w:rPr>
          <w:t> </w:t>
        </w:r>
        <w:r>
          <w:rPr>
            <w:color w:val="1D71B8"/>
            <w:sz w:val="18"/>
            <w:u w:val="single" w:color="1D71B8"/>
          </w:rPr>
          <w:t>Russia</w:t>
        </w:r>
      </w:hyperlink>
      <w:r>
        <w:rPr>
          <w:sz w:val="18"/>
          <w:u w:val="none"/>
        </w:rPr>
        <w:t>,</w:t>
      </w:r>
      <w:r>
        <w:rPr>
          <w:spacing w:val="-3"/>
          <w:sz w:val="18"/>
          <w:u w:val="none"/>
        </w:rPr>
        <w:t> </w:t>
      </w:r>
      <w:r>
        <w:rPr>
          <w:sz w:val="18"/>
          <w:u w:val="none"/>
        </w:rPr>
        <w:t>App</w:t>
      </w:r>
      <w:r>
        <w:rPr>
          <w:spacing w:val="-4"/>
          <w:sz w:val="18"/>
          <w:u w:val="none"/>
        </w:rPr>
        <w:t> </w:t>
      </w:r>
      <w:r>
        <w:rPr>
          <w:sz w:val="18"/>
          <w:u w:val="none"/>
        </w:rPr>
        <w:t>No.</w:t>
      </w:r>
      <w:r>
        <w:rPr>
          <w:spacing w:val="-4"/>
          <w:sz w:val="18"/>
          <w:u w:val="none"/>
        </w:rPr>
        <w:t> </w:t>
      </w:r>
      <w:r>
        <w:rPr>
          <w:sz w:val="18"/>
          <w:u w:val="none"/>
        </w:rPr>
        <w:t>15339/02,</w:t>
      </w:r>
      <w:r>
        <w:rPr>
          <w:spacing w:val="-3"/>
          <w:sz w:val="18"/>
          <w:u w:val="none"/>
        </w:rPr>
        <w:t> </w:t>
      </w:r>
      <w:r>
        <w:rPr>
          <w:sz w:val="18"/>
          <w:u w:val="none"/>
        </w:rPr>
        <w:t>20058/02,</w:t>
      </w:r>
      <w:r>
        <w:rPr>
          <w:spacing w:val="-3"/>
          <w:sz w:val="18"/>
          <w:u w:val="none"/>
        </w:rPr>
        <w:t> </w:t>
      </w:r>
      <w:r>
        <w:rPr>
          <w:sz w:val="18"/>
          <w:u w:val="none"/>
        </w:rPr>
        <w:t>11673/02</w:t>
      </w:r>
      <w:r>
        <w:rPr>
          <w:spacing w:val="-3"/>
          <w:sz w:val="18"/>
          <w:u w:val="none"/>
        </w:rPr>
        <w:t> </w:t>
      </w:r>
      <w:r>
        <w:rPr>
          <w:sz w:val="18"/>
          <w:u w:val="none"/>
        </w:rPr>
        <w:t>and</w:t>
      </w:r>
      <w:r>
        <w:rPr>
          <w:spacing w:val="-4"/>
          <w:sz w:val="18"/>
          <w:u w:val="none"/>
        </w:rPr>
        <w:t> </w:t>
      </w:r>
      <w:r>
        <w:rPr>
          <w:sz w:val="18"/>
          <w:u w:val="none"/>
        </w:rPr>
        <w:t>15343/02, 21166/0) (2008) 59 EHRR 2 (20 March 2008).</w:t>
      </w:r>
    </w:p>
    <w:p>
      <w:pPr>
        <w:pStyle w:val="ListParagraph"/>
        <w:numPr>
          <w:ilvl w:val="0"/>
          <w:numId w:val="18"/>
        </w:numPr>
        <w:tabs>
          <w:tab w:pos="1287" w:val="left" w:leader="none"/>
        </w:tabs>
        <w:spacing w:line="240" w:lineRule="auto" w:before="0" w:after="0"/>
        <w:ind w:left="1287" w:right="0" w:hanging="567"/>
        <w:jc w:val="left"/>
        <w:rPr>
          <w:sz w:val="18"/>
        </w:rPr>
      </w:pPr>
      <w:r>
        <w:rPr>
          <w:sz w:val="18"/>
        </w:rPr>
        <w:t>For</w:t>
      </w:r>
      <w:r>
        <w:rPr>
          <w:spacing w:val="-5"/>
          <w:sz w:val="18"/>
        </w:rPr>
        <w:t> </w:t>
      </w:r>
      <w:r>
        <w:rPr>
          <w:sz w:val="18"/>
        </w:rPr>
        <w:t>example</w:t>
      </w:r>
      <w:r>
        <w:rPr>
          <w:spacing w:val="-2"/>
          <w:sz w:val="18"/>
        </w:rPr>
        <w:t> </w:t>
      </w:r>
      <w:r>
        <w:rPr>
          <w:sz w:val="18"/>
        </w:rPr>
        <w:t>European</w:t>
      </w:r>
      <w:r>
        <w:rPr>
          <w:spacing w:val="-4"/>
          <w:sz w:val="18"/>
        </w:rPr>
        <w:t> </w:t>
      </w:r>
      <w:r>
        <w:rPr>
          <w:sz w:val="18"/>
        </w:rPr>
        <w:t>Court</w:t>
      </w:r>
      <w:r>
        <w:rPr>
          <w:spacing w:val="-2"/>
          <w:sz w:val="18"/>
        </w:rPr>
        <w:t> </w:t>
      </w:r>
      <w:r>
        <w:rPr>
          <w:sz w:val="18"/>
        </w:rPr>
        <w:t>of</w:t>
      </w:r>
      <w:r>
        <w:rPr>
          <w:spacing w:val="-3"/>
          <w:sz w:val="18"/>
        </w:rPr>
        <w:t> </w:t>
      </w:r>
      <w:r>
        <w:rPr>
          <w:sz w:val="18"/>
        </w:rPr>
        <w:t>Human</w:t>
      </w:r>
      <w:r>
        <w:rPr>
          <w:spacing w:val="-4"/>
          <w:sz w:val="18"/>
        </w:rPr>
        <w:t> </w:t>
      </w:r>
      <w:r>
        <w:rPr>
          <w:sz w:val="18"/>
        </w:rPr>
        <w:t>Rights,</w:t>
      </w:r>
      <w:r>
        <w:rPr>
          <w:spacing w:val="-3"/>
          <w:sz w:val="18"/>
        </w:rPr>
        <w:t> </w:t>
      </w:r>
      <w:hyperlink r:id="rId144">
        <w:r>
          <w:rPr>
            <w:color w:val="1D71B8"/>
            <w:sz w:val="18"/>
            <w:u w:val="single" w:color="1D71B8"/>
          </w:rPr>
          <w:t>Cordella</w:t>
        </w:r>
        <w:r>
          <w:rPr>
            <w:color w:val="1D71B8"/>
            <w:spacing w:val="-3"/>
            <w:sz w:val="18"/>
            <w:u w:val="single" w:color="1D71B8"/>
          </w:rPr>
          <w:t> </w:t>
        </w:r>
        <w:r>
          <w:rPr>
            <w:color w:val="1D71B8"/>
            <w:sz w:val="18"/>
            <w:u w:val="single" w:color="1D71B8"/>
          </w:rPr>
          <w:t>v</w:t>
        </w:r>
        <w:r>
          <w:rPr>
            <w:color w:val="1D71B8"/>
            <w:spacing w:val="-3"/>
            <w:sz w:val="18"/>
            <w:u w:val="single" w:color="1D71B8"/>
          </w:rPr>
          <w:t> </w:t>
        </w:r>
        <w:r>
          <w:rPr>
            <w:color w:val="1D71B8"/>
            <w:sz w:val="18"/>
            <w:u w:val="single" w:color="1D71B8"/>
          </w:rPr>
          <w:t>Italy</w:t>
        </w:r>
      </w:hyperlink>
      <w:r>
        <w:rPr>
          <w:i/>
          <w:sz w:val="18"/>
          <w:u w:val="none"/>
        </w:rPr>
        <w:t>,</w:t>
      </w:r>
      <w:r>
        <w:rPr>
          <w:i/>
          <w:spacing w:val="-2"/>
          <w:sz w:val="18"/>
          <w:u w:val="none"/>
        </w:rPr>
        <w:t> </w:t>
      </w:r>
      <w:r>
        <w:rPr>
          <w:sz w:val="18"/>
          <w:u w:val="none"/>
        </w:rPr>
        <w:t>App</w:t>
      </w:r>
      <w:r>
        <w:rPr>
          <w:spacing w:val="-3"/>
          <w:sz w:val="18"/>
          <w:u w:val="none"/>
        </w:rPr>
        <w:t> </w:t>
      </w:r>
      <w:r>
        <w:rPr>
          <w:sz w:val="18"/>
          <w:u w:val="none"/>
        </w:rPr>
        <w:t>No.</w:t>
      </w:r>
      <w:r>
        <w:rPr>
          <w:spacing w:val="-4"/>
          <w:sz w:val="18"/>
          <w:u w:val="none"/>
        </w:rPr>
        <w:t> </w:t>
      </w:r>
      <w:r>
        <w:rPr>
          <w:sz w:val="18"/>
          <w:u w:val="none"/>
        </w:rPr>
        <w:t>54414/13</w:t>
      </w:r>
      <w:r>
        <w:rPr>
          <w:spacing w:val="-2"/>
          <w:sz w:val="18"/>
          <w:u w:val="none"/>
        </w:rPr>
        <w:t> </w:t>
      </w:r>
      <w:r>
        <w:rPr>
          <w:sz w:val="18"/>
          <w:u w:val="none"/>
        </w:rPr>
        <w:t>and</w:t>
      </w:r>
      <w:r>
        <w:rPr>
          <w:spacing w:val="-3"/>
          <w:sz w:val="18"/>
          <w:u w:val="none"/>
        </w:rPr>
        <w:t> </w:t>
      </w:r>
      <w:r>
        <w:rPr>
          <w:sz w:val="18"/>
          <w:u w:val="none"/>
        </w:rPr>
        <w:t>54264/15</w:t>
      </w:r>
      <w:r>
        <w:rPr>
          <w:spacing w:val="-3"/>
          <w:sz w:val="18"/>
          <w:u w:val="none"/>
        </w:rPr>
        <w:t> </w:t>
      </w:r>
      <w:r>
        <w:rPr>
          <w:sz w:val="18"/>
          <w:u w:val="none"/>
        </w:rPr>
        <w:t>(24</w:t>
      </w:r>
      <w:r>
        <w:rPr>
          <w:spacing w:val="-2"/>
          <w:sz w:val="18"/>
          <w:u w:val="none"/>
        </w:rPr>
        <w:t> </w:t>
      </w:r>
      <w:r>
        <w:rPr>
          <w:sz w:val="18"/>
          <w:u w:val="none"/>
        </w:rPr>
        <w:t>January</w:t>
      </w:r>
      <w:r>
        <w:rPr>
          <w:spacing w:val="-2"/>
          <w:sz w:val="18"/>
          <w:u w:val="none"/>
        </w:rPr>
        <w:t> 2019).</w:t>
      </w:r>
    </w:p>
    <w:p>
      <w:pPr>
        <w:pStyle w:val="ListParagraph"/>
        <w:numPr>
          <w:ilvl w:val="0"/>
          <w:numId w:val="18"/>
        </w:numPr>
        <w:tabs>
          <w:tab w:pos="1287" w:val="left" w:leader="none"/>
        </w:tabs>
        <w:spacing w:line="240" w:lineRule="auto" w:before="1" w:after="0"/>
        <w:ind w:left="1287" w:right="1461" w:hanging="567"/>
        <w:jc w:val="left"/>
        <w:rPr>
          <w:sz w:val="18"/>
        </w:rPr>
      </w:pPr>
      <w:r>
        <w:rPr>
          <w:sz w:val="18"/>
        </w:rPr>
        <w:t>Joint</w:t>
      </w:r>
      <w:r>
        <w:rPr>
          <w:spacing w:val="-3"/>
          <w:sz w:val="18"/>
        </w:rPr>
        <w:t> </w:t>
      </w:r>
      <w:r>
        <w:rPr>
          <w:sz w:val="18"/>
        </w:rPr>
        <w:t>statement</w:t>
      </w:r>
      <w:r>
        <w:rPr>
          <w:spacing w:val="-3"/>
          <w:sz w:val="18"/>
        </w:rPr>
        <w:t> </w:t>
      </w:r>
      <w:r>
        <w:rPr>
          <w:sz w:val="18"/>
        </w:rPr>
        <w:t>by</w:t>
      </w:r>
      <w:r>
        <w:rPr>
          <w:spacing w:val="-3"/>
          <w:sz w:val="18"/>
        </w:rPr>
        <w:t> </w:t>
      </w:r>
      <w:r>
        <w:rPr>
          <w:sz w:val="18"/>
        </w:rPr>
        <w:t>the</w:t>
      </w:r>
      <w:r>
        <w:rPr>
          <w:spacing w:val="-3"/>
          <w:sz w:val="18"/>
        </w:rPr>
        <w:t> </w:t>
      </w:r>
      <w:r>
        <w:rPr>
          <w:sz w:val="18"/>
        </w:rPr>
        <w:t>Committee</w:t>
      </w:r>
      <w:r>
        <w:rPr>
          <w:spacing w:val="-3"/>
          <w:sz w:val="18"/>
        </w:rPr>
        <w:t> </w:t>
      </w:r>
      <w:r>
        <w:rPr>
          <w:sz w:val="18"/>
        </w:rPr>
        <w:t>on</w:t>
      </w:r>
      <w:r>
        <w:rPr>
          <w:spacing w:val="-4"/>
          <w:sz w:val="18"/>
        </w:rPr>
        <w:t> </w:t>
      </w:r>
      <w:r>
        <w:rPr>
          <w:sz w:val="18"/>
        </w:rPr>
        <w:t>the</w:t>
      </w:r>
      <w:r>
        <w:rPr>
          <w:spacing w:val="-3"/>
          <w:sz w:val="18"/>
        </w:rPr>
        <w:t> </w:t>
      </w:r>
      <w:r>
        <w:rPr>
          <w:sz w:val="18"/>
        </w:rPr>
        <w:t>Elimination</w:t>
      </w:r>
      <w:r>
        <w:rPr>
          <w:spacing w:val="-4"/>
          <w:sz w:val="18"/>
        </w:rPr>
        <w:t> </w:t>
      </w:r>
      <w:r>
        <w:rPr>
          <w:sz w:val="18"/>
        </w:rPr>
        <w:t>of</w:t>
      </w:r>
      <w:r>
        <w:rPr>
          <w:spacing w:val="-4"/>
          <w:sz w:val="18"/>
        </w:rPr>
        <w:t> </w:t>
      </w:r>
      <w:r>
        <w:rPr>
          <w:sz w:val="18"/>
        </w:rPr>
        <w:t>Discrimination</w:t>
      </w:r>
      <w:r>
        <w:rPr>
          <w:spacing w:val="-4"/>
          <w:sz w:val="18"/>
        </w:rPr>
        <w:t> </w:t>
      </w:r>
      <w:r>
        <w:rPr>
          <w:sz w:val="18"/>
        </w:rPr>
        <w:t>against</w:t>
      </w:r>
      <w:r>
        <w:rPr>
          <w:spacing w:val="-3"/>
          <w:sz w:val="18"/>
        </w:rPr>
        <w:t> </w:t>
      </w:r>
      <w:r>
        <w:rPr>
          <w:sz w:val="18"/>
        </w:rPr>
        <w:t>Women,</w:t>
      </w:r>
      <w:r>
        <w:rPr>
          <w:spacing w:val="-3"/>
          <w:sz w:val="18"/>
        </w:rPr>
        <w:t> </w:t>
      </w:r>
      <w:r>
        <w:rPr>
          <w:sz w:val="18"/>
        </w:rPr>
        <w:t>the</w:t>
      </w:r>
      <w:r>
        <w:rPr>
          <w:spacing w:val="-3"/>
          <w:sz w:val="18"/>
        </w:rPr>
        <w:t> </w:t>
      </w:r>
      <w:r>
        <w:rPr>
          <w:sz w:val="18"/>
        </w:rPr>
        <w:t>Committee</w:t>
      </w:r>
      <w:r>
        <w:rPr>
          <w:spacing w:val="-3"/>
          <w:sz w:val="18"/>
        </w:rPr>
        <w:t> </w:t>
      </w:r>
      <w:r>
        <w:rPr>
          <w:sz w:val="18"/>
        </w:rPr>
        <w:t>on</w:t>
      </w:r>
      <w:r>
        <w:rPr>
          <w:spacing w:val="-4"/>
          <w:sz w:val="18"/>
        </w:rPr>
        <w:t> </w:t>
      </w:r>
      <w:r>
        <w:rPr>
          <w:sz w:val="18"/>
        </w:rPr>
        <w:t>Economic, Social and Cultural Rights, the Committee on the Protection of the Rights of All Migrant Workers and Members of Their</w:t>
      </w:r>
      <w:r>
        <w:rPr>
          <w:spacing w:val="-3"/>
          <w:sz w:val="18"/>
        </w:rPr>
        <w:t> </w:t>
      </w:r>
      <w:r>
        <w:rPr>
          <w:sz w:val="18"/>
        </w:rPr>
        <w:t>Families,</w:t>
      </w:r>
      <w:r>
        <w:rPr>
          <w:spacing w:val="-3"/>
          <w:sz w:val="18"/>
        </w:rPr>
        <w:t> </w:t>
      </w:r>
      <w:r>
        <w:rPr>
          <w:sz w:val="18"/>
        </w:rPr>
        <w:t>the</w:t>
      </w:r>
      <w:r>
        <w:rPr>
          <w:spacing w:val="-3"/>
          <w:sz w:val="18"/>
        </w:rPr>
        <w:t> </w:t>
      </w:r>
      <w:r>
        <w:rPr>
          <w:sz w:val="18"/>
        </w:rPr>
        <w:t>Committee</w:t>
      </w:r>
      <w:r>
        <w:rPr>
          <w:spacing w:val="-3"/>
          <w:sz w:val="18"/>
        </w:rPr>
        <w:t> </w:t>
      </w:r>
      <w:r>
        <w:rPr>
          <w:sz w:val="18"/>
        </w:rPr>
        <w:t>on</w:t>
      </w:r>
      <w:r>
        <w:rPr>
          <w:spacing w:val="-4"/>
          <w:sz w:val="18"/>
        </w:rPr>
        <w:t> </w:t>
      </w:r>
      <w:r>
        <w:rPr>
          <w:sz w:val="18"/>
        </w:rPr>
        <w:t>the</w:t>
      </w:r>
      <w:r>
        <w:rPr>
          <w:spacing w:val="-3"/>
          <w:sz w:val="18"/>
        </w:rPr>
        <w:t> </w:t>
      </w:r>
      <w:r>
        <w:rPr>
          <w:sz w:val="18"/>
        </w:rPr>
        <w:t>Rights</w:t>
      </w:r>
      <w:r>
        <w:rPr>
          <w:spacing w:val="-4"/>
          <w:sz w:val="18"/>
        </w:rPr>
        <w:t> </w:t>
      </w:r>
      <w:r>
        <w:rPr>
          <w:sz w:val="18"/>
        </w:rPr>
        <w:t>of</w:t>
      </w:r>
      <w:r>
        <w:rPr>
          <w:spacing w:val="-4"/>
          <w:sz w:val="18"/>
        </w:rPr>
        <w:t> </w:t>
      </w:r>
      <w:r>
        <w:rPr>
          <w:sz w:val="18"/>
        </w:rPr>
        <w:t>the</w:t>
      </w:r>
      <w:r>
        <w:rPr>
          <w:spacing w:val="-3"/>
          <w:sz w:val="18"/>
        </w:rPr>
        <w:t> </w:t>
      </w:r>
      <w:r>
        <w:rPr>
          <w:sz w:val="18"/>
        </w:rPr>
        <w:t>Child</w:t>
      </w:r>
      <w:r>
        <w:rPr>
          <w:spacing w:val="-4"/>
          <w:sz w:val="18"/>
        </w:rPr>
        <w:t> </w:t>
      </w:r>
      <w:r>
        <w:rPr>
          <w:sz w:val="18"/>
        </w:rPr>
        <w:t>and</w:t>
      </w:r>
      <w:r>
        <w:rPr>
          <w:spacing w:val="-4"/>
          <w:sz w:val="18"/>
        </w:rPr>
        <w:t> </w:t>
      </w:r>
      <w:r>
        <w:rPr>
          <w:sz w:val="18"/>
        </w:rPr>
        <w:t>the</w:t>
      </w:r>
      <w:r>
        <w:rPr>
          <w:spacing w:val="-3"/>
          <w:sz w:val="18"/>
        </w:rPr>
        <w:t> </w:t>
      </w:r>
      <w:r>
        <w:rPr>
          <w:sz w:val="18"/>
        </w:rPr>
        <w:t>Committee</w:t>
      </w:r>
      <w:r>
        <w:rPr>
          <w:spacing w:val="-3"/>
          <w:sz w:val="18"/>
        </w:rPr>
        <w:t> </w:t>
      </w:r>
      <w:r>
        <w:rPr>
          <w:sz w:val="18"/>
        </w:rPr>
        <w:t>on</w:t>
      </w:r>
      <w:r>
        <w:rPr>
          <w:spacing w:val="-4"/>
          <w:sz w:val="18"/>
        </w:rPr>
        <w:t> </w:t>
      </w:r>
      <w:r>
        <w:rPr>
          <w:sz w:val="18"/>
        </w:rPr>
        <w:t>the</w:t>
      </w:r>
      <w:r>
        <w:rPr>
          <w:spacing w:val="-3"/>
          <w:sz w:val="18"/>
        </w:rPr>
        <w:t> </w:t>
      </w:r>
      <w:r>
        <w:rPr>
          <w:sz w:val="18"/>
        </w:rPr>
        <w:t>Rights</w:t>
      </w:r>
      <w:r>
        <w:rPr>
          <w:spacing w:val="-4"/>
          <w:sz w:val="18"/>
        </w:rPr>
        <w:t> </w:t>
      </w:r>
      <w:r>
        <w:rPr>
          <w:sz w:val="18"/>
        </w:rPr>
        <w:t>of</w:t>
      </w:r>
      <w:r>
        <w:rPr>
          <w:spacing w:val="-4"/>
          <w:sz w:val="18"/>
        </w:rPr>
        <w:t> </w:t>
      </w:r>
      <w:r>
        <w:rPr>
          <w:sz w:val="18"/>
        </w:rPr>
        <w:t>Persons</w:t>
      </w:r>
      <w:r>
        <w:rPr>
          <w:spacing w:val="-4"/>
          <w:sz w:val="18"/>
        </w:rPr>
        <w:t> </w:t>
      </w:r>
      <w:r>
        <w:rPr>
          <w:sz w:val="18"/>
        </w:rPr>
        <w:t>with</w:t>
      </w:r>
      <w:r>
        <w:rPr>
          <w:spacing w:val="-4"/>
          <w:sz w:val="18"/>
        </w:rPr>
        <w:t> </w:t>
      </w:r>
      <w:r>
        <w:rPr>
          <w:sz w:val="18"/>
        </w:rPr>
        <w:t>Disabilities,</w:t>
      </w:r>
    </w:p>
    <w:p>
      <w:pPr>
        <w:spacing w:before="1"/>
        <w:ind w:left="1287" w:right="1087" w:firstLine="0"/>
        <w:jc w:val="left"/>
        <w:rPr>
          <w:sz w:val="18"/>
        </w:rPr>
      </w:pPr>
      <w:r>
        <w:rPr>
          <w:sz w:val="18"/>
        </w:rPr>
        <w:t>‘</w:t>
      </w:r>
      <w:r>
        <w:rPr>
          <w:color w:val="1D71B8"/>
          <w:sz w:val="18"/>
          <w:u w:val="single" w:color="1D71B8"/>
        </w:rPr>
        <w:t>Statement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climate</w:t>
      </w:r>
      <w:r>
        <w:rPr>
          <w:color w:val="1D71B8"/>
          <w:spacing w:val="-3"/>
          <w:sz w:val="18"/>
          <w:u w:val="single" w:color="1D71B8"/>
        </w:rPr>
        <w:t> </w:t>
      </w:r>
      <w:r>
        <w:rPr>
          <w:color w:val="1D71B8"/>
          <w:sz w:val="18"/>
          <w:u w:val="single" w:color="1D71B8"/>
        </w:rPr>
        <w:t>change</w:t>
      </w:r>
      <w:r>
        <w:rPr>
          <w:sz w:val="18"/>
          <w:u w:val="none"/>
        </w:rPr>
        <w:t>’</w:t>
      </w:r>
      <w:r>
        <w:rPr>
          <w:spacing w:val="-3"/>
          <w:sz w:val="18"/>
          <w:u w:val="none"/>
        </w:rPr>
        <w:t> </w:t>
      </w:r>
      <w:r>
        <w:rPr>
          <w:sz w:val="18"/>
          <w:u w:val="none"/>
        </w:rPr>
        <w:t>UN</w:t>
      </w:r>
      <w:r>
        <w:rPr>
          <w:spacing w:val="-3"/>
          <w:sz w:val="18"/>
          <w:u w:val="none"/>
        </w:rPr>
        <w:t> </w:t>
      </w:r>
      <w:r>
        <w:rPr>
          <w:sz w:val="18"/>
          <w:u w:val="none"/>
        </w:rPr>
        <w:t>Doc.</w:t>
      </w:r>
      <w:r>
        <w:rPr>
          <w:spacing w:val="-4"/>
          <w:sz w:val="18"/>
          <w:u w:val="none"/>
        </w:rPr>
        <w:t> </w:t>
      </w:r>
      <w:r>
        <w:rPr>
          <w:sz w:val="18"/>
          <w:u w:val="none"/>
        </w:rPr>
        <w:t>HRI/2019/1</w:t>
      </w:r>
      <w:r>
        <w:rPr>
          <w:spacing w:val="-3"/>
          <w:sz w:val="18"/>
          <w:u w:val="none"/>
        </w:rPr>
        <w:t> </w:t>
      </w:r>
      <w:r>
        <w:rPr>
          <w:sz w:val="18"/>
          <w:u w:val="none"/>
        </w:rPr>
        <w:t>(14</w:t>
      </w:r>
      <w:r>
        <w:rPr>
          <w:spacing w:val="-3"/>
          <w:sz w:val="18"/>
          <w:u w:val="none"/>
        </w:rPr>
        <w:t> </w:t>
      </w:r>
      <w:r>
        <w:rPr>
          <w:sz w:val="18"/>
          <w:u w:val="none"/>
        </w:rPr>
        <w:t>May</w:t>
      </w:r>
      <w:r>
        <w:rPr>
          <w:spacing w:val="-3"/>
          <w:sz w:val="18"/>
          <w:u w:val="none"/>
        </w:rPr>
        <w:t> </w:t>
      </w:r>
      <w:r>
        <w:rPr>
          <w:sz w:val="18"/>
          <w:u w:val="none"/>
        </w:rPr>
        <w:t>2020);</w:t>
      </w:r>
      <w:r>
        <w:rPr>
          <w:spacing w:val="-3"/>
          <w:sz w:val="18"/>
          <w:u w:val="none"/>
        </w:rPr>
        <w:t> </w:t>
      </w:r>
      <w:r>
        <w:rPr>
          <w:sz w:val="18"/>
          <w:u w:val="none"/>
        </w:rPr>
        <w:t>UN</w:t>
      </w:r>
      <w:r>
        <w:rPr>
          <w:spacing w:val="-3"/>
          <w:sz w:val="18"/>
          <w:u w:val="none"/>
        </w:rPr>
        <w:t> </w:t>
      </w:r>
      <w:r>
        <w:rPr>
          <w:sz w:val="18"/>
          <w:u w:val="none"/>
        </w:rPr>
        <w:t>General</w:t>
      </w:r>
      <w:r>
        <w:rPr>
          <w:spacing w:val="-4"/>
          <w:sz w:val="18"/>
          <w:u w:val="none"/>
        </w:rPr>
        <w:t> </w:t>
      </w:r>
      <w:r>
        <w:rPr>
          <w:sz w:val="18"/>
          <w:u w:val="none"/>
        </w:rPr>
        <w:t>Assembly,</w:t>
      </w:r>
      <w:r>
        <w:rPr>
          <w:spacing w:val="-3"/>
          <w:sz w:val="18"/>
          <w:u w:val="none"/>
        </w:rPr>
        <w:t> </w:t>
      </w:r>
      <w:r>
        <w:rPr>
          <w:sz w:val="18"/>
          <w:u w:val="none"/>
        </w:rPr>
        <w:t>‘</w:t>
      </w:r>
      <w:hyperlink r:id="rId145">
        <w:r>
          <w:rPr>
            <w:color w:val="1D71B8"/>
            <w:sz w:val="18"/>
            <w:u w:val="single" w:color="1D71B8"/>
          </w:rPr>
          <w:t>The</w:t>
        </w:r>
        <w:r>
          <w:rPr>
            <w:color w:val="1D71B8"/>
            <w:spacing w:val="-3"/>
            <w:sz w:val="18"/>
            <w:u w:val="single" w:color="1D71B8"/>
          </w:rPr>
          <w:t> </w:t>
        </w:r>
        <w:r>
          <w:rPr>
            <w:color w:val="1D71B8"/>
            <w:sz w:val="18"/>
            <w:u w:val="single" w:color="1D71B8"/>
          </w:rPr>
          <w:t>human</w:t>
        </w:r>
        <w:r>
          <w:rPr>
            <w:color w:val="1D71B8"/>
            <w:spacing w:val="-3"/>
            <w:sz w:val="18"/>
            <w:u w:val="single" w:color="1D71B8"/>
          </w:rPr>
          <w:t> </w:t>
        </w:r>
      </w:hyperlink>
      <w:r>
        <w:rPr>
          <w:color w:val="1D71B8"/>
          <w:sz w:val="18"/>
          <w:u w:val="none"/>
        </w:rPr>
        <w:t> </w:t>
      </w:r>
      <w:hyperlink r:id="rId145">
        <w:r>
          <w:rPr>
            <w:color w:val="1D71B8"/>
            <w:sz w:val="18"/>
            <w:u w:val="single" w:color="1D71B8"/>
          </w:rPr>
          <w:t>right to a clean, healthy and sustainable environment</w:t>
        </w:r>
      </w:hyperlink>
      <w:r>
        <w:rPr>
          <w:color w:val="1D71B8"/>
          <w:sz w:val="18"/>
          <w:u w:val="none"/>
        </w:rPr>
        <w:t> </w:t>
      </w:r>
      <w:r>
        <w:rPr>
          <w:sz w:val="18"/>
          <w:u w:val="none"/>
        </w:rPr>
        <w:t>’ UN Doc. A/76/L.75 (26 July 2022).</w:t>
      </w:r>
    </w:p>
    <w:p>
      <w:pPr>
        <w:pStyle w:val="ListParagraph"/>
        <w:numPr>
          <w:ilvl w:val="0"/>
          <w:numId w:val="18"/>
        </w:numPr>
        <w:tabs>
          <w:tab w:pos="1287" w:val="left" w:leader="none"/>
        </w:tabs>
        <w:spacing w:line="240" w:lineRule="auto" w:before="0" w:after="0"/>
        <w:ind w:left="1287" w:right="0" w:hanging="567"/>
        <w:jc w:val="left"/>
        <w:rPr>
          <w:sz w:val="18"/>
        </w:rPr>
      </w:pPr>
      <w:r>
        <w:rPr>
          <w:sz w:val="18"/>
        </w:rPr>
        <w:t>Of</w:t>
      </w:r>
      <w:r>
        <w:rPr>
          <w:spacing w:val="-5"/>
          <w:sz w:val="18"/>
        </w:rPr>
        <w:t> </w:t>
      </w:r>
      <w:r>
        <w:rPr>
          <w:sz w:val="18"/>
        </w:rPr>
        <w:t>these</w:t>
      </w:r>
      <w:r>
        <w:rPr>
          <w:spacing w:val="-3"/>
          <w:sz w:val="18"/>
        </w:rPr>
        <w:t> </w:t>
      </w:r>
      <w:r>
        <w:rPr>
          <w:sz w:val="18"/>
        </w:rPr>
        <w:t>6</w:t>
      </w:r>
      <w:r>
        <w:rPr>
          <w:spacing w:val="-3"/>
          <w:sz w:val="18"/>
        </w:rPr>
        <w:t> </w:t>
      </w:r>
      <w:r>
        <w:rPr>
          <w:sz w:val="18"/>
        </w:rPr>
        <w:t>EU</w:t>
      </w:r>
      <w:r>
        <w:rPr>
          <w:spacing w:val="-4"/>
          <w:sz w:val="18"/>
        </w:rPr>
        <w:t> </w:t>
      </w:r>
      <w:r>
        <w:rPr>
          <w:sz w:val="18"/>
        </w:rPr>
        <w:t>directives,</w:t>
      </w:r>
      <w:r>
        <w:rPr>
          <w:spacing w:val="-3"/>
          <w:sz w:val="18"/>
        </w:rPr>
        <w:t> </w:t>
      </w:r>
      <w:r>
        <w:rPr>
          <w:sz w:val="18"/>
        </w:rPr>
        <w:t>2</w:t>
      </w:r>
      <w:r>
        <w:rPr>
          <w:spacing w:val="-3"/>
          <w:sz w:val="18"/>
        </w:rPr>
        <w:t> </w:t>
      </w:r>
      <w:r>
        <w:rPr>
          <w:sz w:val="18"/>
        </w:rPr>
        <w:t>mention</w:t>
      </w:r>
      <w:r>
        <w:rPr>
          <w:spacing w:val="-5"/>
          <w:sz w:val="18"/>
        </w:rPr>
        <w:t> </w:t>
      </w:r>
      <w:r>
        <w:rPr>
          <w:sz w:val="18"/>
        </w:rPr>
        <w:t>Ireland</w:t>
      </w:r>
      <w:r>
        <w:rPr>
          <w:spacing w:val="-4"/>
          <w:sz w:val="18"/>
        </w:rPr>
        <w:t> </w:t>
      </w:r>
      <w:r>
        <w:rPr>
          <w:spacing w:val="-2"/>
          <w:sz w:val="18"/>
        </w:rPr>
        <w:t>explicitly:</w:t>
      </w:r>
    </w:p>
    <w:p>
      <w:pPr>
        <w:pStyle w:val="ListParagraph"/>
        <w:numPr>
          <w:ilvl w:val="1"/>
          <w:numId w:val="18"/>
        </w:numPr>
        <w:tabs>
          <w:tab w:pos="1570" w:val="left" w:leader="none"/>
        </w:tabs>
        <w:spacing w:line="240" w:lineRule="auto" w:before="0" w:after="0"/>
        <w:ind w:left="1570" w:right="1250" w:hanging="284"/>
        <w:jc w:val="left"/>
        <w:rPr>
          <w:sz w:val="18"/>
        </w:rPr>
      </w:pPr>
      <w:hyperlink r:id="rId146">
        <w:r>
          <w:rPr>
            <w:color w:val="1D71B8"/>
            <w:sz w:val="18"/>
            <w:u w:val="single" w:color="1D71B8"/>
          </w:rPr>
          <w:t>EU Directive 2022/642</w:t>
        </w:r>
      </w:hyperlink>
      <w:r>
        <w:rPr>
          <w:color w:val="1D71B8"/>
          <w:sz w:val="18"/>
          <w:u w:val="none"/>
        </w:rPr>
        <w:t> </w:t>
      </w:r>
      <w:r>
        <w:rPr>
          <w:sz w:val="18"/>
          <w:u w:val="none"/>
        </w:rPr>
        <w:t>amending Directives 2001/20/EC and 2001/83/EC as regards derogations from certain obligations</w:t>
      </w:r>
      <w:r>
        <w:rPr>
          <w:spacing w:val="-5"/>
          <w:sz w:val="18"/>
          <w:u w:val="none"/>
        </w:rPr>
        <w:t> </w:t>
      </w:r>
      <w:r>
        <w:rPr>
          <w:sz w:val="18"/>
          <w:u w:val="none"/>
        </w:rPr>
        <w:t>concerning</w:t>
      </w:r>
      <w:r>
        <w:rPr>
          <w:spacing w:val="-4"/>
          <w:sz w:val="18"/>
          <w:u w:val="none"/>
        </w:rPr>
        <w:t> </w:t>
      </w:r>
      <w:r>
        <w:rPr>
          <w:sz w:val="18"/>
          <w:u w:val="none"/>
        </w:rPr>
        <w:t>certain</w:t>
      </w:r>
      <w:r>
        <w:rPr>
          <w:spacing w:val="-5"/>
          <w:sz w:val="18"/>
          <w:u w:val="none"/>
        </w:rPr>
        <w:t> </w:t>
      </w:r>
      <w:r>
        <w:rPr>
          <w:sz w:val="18"/>
          <w:u w:val="none"/>
        </w:rPr>
        <w:t>medicinal</w:t>
      </w:r>
      <w:r>
        <w:rPr>
          <w:spacing w:val="-5"/>
          <w:sz w:val="18"/>
          <w:u w:val="none"/>
        </w:rPr>
        <w:t> </w:t>
      </w:r>
      <w:r>
        <w:rPr>
          <w:sz w:val="18"/>
          <w:u w:val="none"/>
        </w:rPr>
        <w:t>products</w:t>
      </w:r>
      <w:r>
        <w:rPr>
          <w:spacing w:val="-5"/>
          <w:sz w:val="18"/>
          <w:u w:val="none"/>
        </w:rPr>
        <w:t> </w:t>
      </w:r>
      <w:r>
        <w:rPr>
          <w:sz w:val="18"/>
          <w:u w:val="none"/>
        </w:rPr>
        <w:t>for</w:t>
      </w:r>
      <w:r>
        <w:rPr>
          <w:spacing w:val="-4"/>
          <w:sz w:val="18"/>
          <w:u w:val="none"/>
        </w:rPr>
        <w:t> </w:t>
      </w:r>
      <w:r>
        <w:rPr>
          <w:sz w:val="18"/>
          <w:u w:val="none"/>
        </w:rPr>
        <w:t>human</w:t>
      </w:r>
      <w:r>
        <w:rPr>
          <w:spacing w:val="-5"/>
          <w:sz w:val="18"/>
          <w:u w:val="none"/>
        </w:rPr>
        <w:t> </w:t>
      </w:r>
      <w:r>
        <w:rPr>
          <w:sz w:val="18"/>
          <w:u w:val="none"/>
        </w:rPr>
        <w:t>use</w:t>
      </w:r>
      <w:r>
        <w:rPr>
          <w:spacing w:val="-4"/>
          <w:sz w:val="18"/>
          <w:u w:val="none"/>
        </w:rPr>
        <w:t> </w:t>
      </w:r>
      <w:r>
        <w:rPr>
          <w:sz w:val="18"/>
          <w:u w:val="none"/>
        </w:rPr>
        <w:t>made</w:t>
      </w:r>
      <w:r>
        <w:rPr>
          <w:spacing w:val="-4"/>
          <w:sz w:val="18"/>
          <w:u w:val="none"/>
        </w:rPr>
        <w:t> </w:t>
      </w:r>
      <w:r>
        <w:rPr>
          <w:sz w:val="18"/>
          <w:u w:val="none"/>
        </w:rPr>
        <w:t>available</w:t>
      </w:r>
      <w:r>
        <w:rPr>
          <w:spacing w:val="-4"/>
          <w:sz w:val="18"/>
          <w:u w:val="none"/>
        </w:rPr>
        <w:t> </w:t>
      </w:r>
      <w:r>
        <w:rPr>
          <w:sz w:val="18"/>
          <w:u w:val="none"/>
        </w:rPr>
        <w:t>in</w:t>
      </w:r>
      <w:r>
        <w:rPr>
          <w:spacing w:val="-5"/>
          <w:sz w:val="18"/>
          <w:u w:val="none"/>
        </w:rPr>
        <w:t> </w:t>
      </w:r>
      <w:r>
        <w:rPr>
          <w:sz w:val="18"/>
          <w:u w:val="none"/>
        </w:rPr>
        <w:t>the</w:t>
      </w:r>
      <w:r>
        <w:rPr>
          <w:spacing w:val="-4"/>
          <w:sz w:val="18"/>
          <w:u w:val="none"/>
        </w:rPr>
        <w:t> </w:t>
      </w:r>
      <w:r>
        <w:rPr>
          <w:sz w:val="18"/>
          <w:u w:val="none"/>
        </w:rPr>
        <w:t>United</w:t>
      </w:r>
      <w:r>
        <w:rPr>
          <w:spacing w:val="-5"/>
          <w:sz w:val="18"/>
          <w:u w:val="none"/>
        </w:rPr>
        <w:t> </w:t>
      </w:r>
      <w:r>
        <w:rPr>
          <w:sz w:val="18"/>
          <w:u w:val="none"/>
        </w:rPr>
        <w:t>Kingdom</w:t>
      </w:r>
      <w:r>
        <w:rPr>
          <w:spacing w:val="-4"/>
          <w:sz w:val="18"/>
          <w:u w:val="none"/>
        </w:rPr>
        <w:t> </w:t>
      </w:r>
      <w:r>
        <w:rPr>
          <w:sz w:val="18"/>
          <w:u w:val="none"/>
        </w:rPr>
        <w:t>in</w:t>
      </w:r>
      <w:r>
        <w:rPr>
          <w:spacing w:val="-5"/>
          <w:sz w:val="18"/>
          <w:u w:val="none"/>
        </w:rPr>
        <w:t> </w:t>
      </w:r>
      <w:r>
        <w:rPr>
          <w:sz w:val="18"/>
          <w:u w:val="none"/>
        </w:rPr>
        <w:t>respect</w:t>
      </w:r>
      <w:r>
        <w:rPr>
          <w:spacing w:val="-4"/>
          <w:sz w:val="18"/>
          <w:u w:val="none"/>
        </w:rPr>
        <w:t> </w:t>
      </w:r>
      <w:r>
        <w:rPr>
          <w:sz w:val="18"/>
          <w:u w:val="none"/>
        </w:rPr>
        <w:t>of Northern Ireland and in Cyprus, Ireland and Malta</w:t>
      </w:r>
    </w:p>
    <w:p>
      <w:pPr>
        <w:pStyle w:val="ListParagraph"/>
        <w:numPr>
          <w:ilvl w:val="1"/>
          <w:numId w:val="18"/>
        </w:numPr>
        <w:tabs>
          <w:tab w:pos="1570" w:val="left" w:leader="none"/>
        </w:tabs>
        <w:spacing w:line="240" w:lineRule="auto" w:before="1" w:after="0"/>
        <w:ind w:left="1570" w:right="1180" w:hanging="284"/>
        <w:jc w:val="left"/>
        <w:rPr>
          <w:sz w:val="18"/>
        </w:rPr>
      </w:pPr>
      <w:hyperlink r:id="rId147">
        <w:r>
          <w:rPr>
            <w:color w:val="1D71B8"/>
            <w:sz w:val="18"/>
            <w:u w:val="single" w:color="1D71B8"/>
          </w:rPr>
          <w:t>EU Commission Delegated Directive 2022/1326</w:t>
        </w:r>
      </w:hyperlink>
      <w:r>
        <w:rPr>
          <w:color w:val="1D71B8"/>
          <w:sz w:val="18"/>
          <w:u w:val="none"/>
        </w:rPr>
        <w:t> </w:t>
      </w:r>
      <w:r>
        <w:rPr>
          <w:sz w:val="18"/>
          <w:u w:val="none"/>
        </w:rPr>
        <w:t>amending the Annex to Council Framework Decision 2004/757/JHA</w:t>
      </w:r>
      <w:r>
        <w:rPr>
          <w:spacing w:val="40"/>
          <w:sz w:val="18"/>
          <w:u w:val="none"/>
        </w:rPr>
        <w:t> </w:t>
      </w:r>
      <w:r>
        <w:rPr>
          <w:sz w:val="18"/>
          <w:u w:val="none"/>
        </w:rPr>
        <w:t>as regards the inclusion of new psychoactive substances in the definition of ‘drug’ C/2022/1552. In this Directive, Member States are required to categorise new psychoactive substances that have caused seizures, poisoning and deaths</w:t>
      </w:r>
      <w:r>
        <w:rPr>
          <w:spacing w:val="-4"/>
          <w:sz w:val="18"/>
          <w:u w:val="none"/>
        </w:rPr>
        <w:t> </w:t>
      </w:r>
      <w:r>
        <w:rPr>
          <w:sz w:val="18"/>
          <w:u w:val="none"/>
        </w:rPr>
        <w:t>as</w:t>
      </w:r>
      <w:r>
        <w:rPr>
          <w:spacing w:val="-4"/>
          <w:sz w:val="18"/>
          <w:u w:val="none"/>
        </w:rPr>
        <w:t> </w:t>
      </w:r>
      <w:r>
        <w:rPr>
          <w:sz w:val="18"/>
          <w:u w:val="none"/>
        </w:rPr>
        <w:t>‘drugs’</w:t>
      </w:r>
      <w:r>
        <w:rPr>
          <w:spacing w:val="-3"/>
          <w:sz w:val="18"/>
          <w:u w:val="none"/>
        </w:rPr>
        <w:t> </w:t>
      </w:r>
      <w:r>
        <w:rPr>
          <w:sz w:val="18"/>
          <w:u w:val="none"/>
        </w:rPr>
        <w:t>to</w:t>
      </w:r>
      <w:r>
        <w:rPr>
          <w:spacing w:val="-4"/>
          <w:sz w:val="18"/>
          <w:u w:val="none"/>
        </w:rPr>
        <w:t> </w:t>
      </w:r>
      <w:r>
        <w:rPr>
          <w:sz w:val="18"/>
          <w:u w:val="none"/>
        </w:rPr>
        <w:t>assist</w:t>
      </w:r>
      <w:r>
        <w:rPr>
          <w:spacing w:val="-3"/>
          <w:sz w:val="18"/>
          <w:u w:val="none"/>
        </w:rPr>
        <w:t> </w:t>
      </w:r>
      <w:r>
        <w:rPr>
          <w:sz w:val="18"/>
          <w:u w:val="none"/>
        </w:rPr>
        <w:t>the</w:t>
      </w:r>
      <w:r>
        <w:rPr>
          <w:spacing w:val="-3"/>
          <w:sz w:val="18"/>
          <w:u w:val="none"/>
        </w:rPr>
        <w:t> </w:t>
      </w:r>
      <w:r>
        <w:rPr>
          <w:sz w:val="18"/>
          <w:u w:val="none"/>
        </w:rPr>
        <w:t>EU</w:t>
      </w:r>
      <w:r>
        <w:rPr>
          <w:spacing w:val="-3"/>
          <w:sz w:val="18"/>
          <w:u w:val="none"/>
        </w:rPr>
        <w:t> </w:t>
      </w:r>
      <w:r>
        <w:rPr>
          <w:sz w:val="18"/>
          <w:u w:val="none"/>
        </w:rPr>
        <w:t>in</w:t>
      </w:r>
      <w:r>
        <w:rPr>
          <w:spacing w:val="-4"/>
          <w:sz w:val="18"/>
          <w:u w:val="none"/>
        </w:rPr>
        <w:t> </w:t>
      </w:r>
      <w:r>
        <w:rPr>
          <w:sz w:val="18"/>
          <w:u w:val="none"/>
        </w:rPr>
        <w:t>its</w:t>
      </w:r>
      <w:r>
        <w:rPr>
          <w:spacing w:val="-4"/>
          <w:sz w:val="18"/>
          <w:u w:val="none"/>
        </w:rPr>
        <w:t> </w:t>
      </w:r>
      <w:r>
        <w:rPr>
          <w:sz w:val="18"/>
          <w:u w:val="none"/>
        </w:rPr>
        <w:t>fight</w:t>
      </w:r>
      <w:r>
        <w:rPr>
          <w:spacing w:val="-3"/>
          <w:sz w:val="18"/>
          <w:u w:val="none"/>
        </w:rPr>
        <w:t> </w:t>
      </w:r>
      <w:r>
        <w:rPr>
          <w:sz w:val="18"/>
          <w:u w:val="none"/>
        </w:rPr>
        <w:t>against</w:t>
      </w:r>
      <w:r>
        <w:rPr>
          <w:spacing w:val="-3"/>
          <w:sz w:val="18"/>
          <w:u w:val="none"/>
        </w:rPr>
        <w:t> </w:t>
      </w:r>
      <w:r>
        <w:rPr>
          <w:sz w:val="18"/>
          <w:u w:val="none"/>
        </w:rPr>
        <w:t>illicit</w:t>
      </w:r>
      <w:r>
        <w:rPr>
          <w:spacing w:val="-3"/>
          <w:sz w:val="18"/>
          <w:u w:val="none"/>
        </w:rPr>
        <w:t> </w:t>
      </w:r>
      <w:r>
        <w:rPr>
          <w:sz w:val="18"/>
          <w:u w:val="none"/>
        </w:rPr>
        <w:t>drug</w:t>
      </w:r>
      <w:r>
        <w:rPr>
          <w:spacing w:val="-3"/>
          <w:sz w:val="18"/>
          <w:u w:val="none"/>
        </w:rPr>
        <w:t> </w:t>
      </w:r>
      <w:r>
        <w:rPr>
          <w:sz w:val="18"/>
          <w:u w:val="none"/>
        </w:rPr>
        <w:t>trafficking.</w:t>
      </w:r>
      <w:r>
        <w:rPr>
          <w:spacing w:val="-4"/>
          <w:sz w:val="18"/>
          <w:u w:val="none"/>
        </w:rPr>
        <w:t> </w:t>
      </w:r>
      <w:r>
        <w:rPr>
          <w:sz w:val="18"/>
          <w:u w:val="none"/>
        </w:rPr>
        <w:t>Ireland</w:t>
      </w:r>
      <w:r>
        <w:rPr>
          <w:spacing w:val="-4"/>
          <w:sz w:val="18"/>
          <w:u w:val="none"/>
        </w:rPr>
        <w:t> </w:t>
      </w:r>
      <w:r>
        <w:rPr>
          <w:sz w:val="18"/>
          <w:u w:val="none"/>
        </w:rPr>
        <w:t>is</w:t>
      </w:r>
      <w:r>
        <w:rPr>
          <w:spacing w:val="-4"/>
          <w:sz w:val="18"/>
          <w:u w:val="none"/>
        </w:rPr>
        <w:t> </w:t>
      </w:r>
      <w:r>
        <w:rPr>
          <w:sz w:val="18"/>
          <w:u w:val="none"/>
        </w:rPr>
        <w:t>listed</w:t>
      </w:r>
      <w:r>
        <w:rPr>
          <w:spacing w:val="-4"/>
          <w:sz w:val="18"/>
          <w:u w:val="none"/>
        </w:rPr>
        <w:t> </w:t>
      </w:r>
      <w:r>
        <w:rPr>
          <w:sz w:val="18"/>
          <w:u w:val="none"/>
        </w:rPr>
        <w:t>as</w:t>
      </w:r>
      <w:r>
        <w:rPr>
          <w:spacing w:val="-4"/>
          <w:sz w:val="18"/>
          <w:u w:val="none"/>
        </w:rPr>
        <w:t> </w:t>
      </w:r>
      <w:r>
        <w:rPr>
          <w:sz w:val="18"/>
          <w:u w:val="none"/>
        </w:rPr>
        <w:t>one</w:t>
      </w:r>
      <w:r>
        <w:rPr>
          <w:spacing w:val="-3"/>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Member</w:t>
      </w:r>
      <w:r>
        <w:rPr>
          <w:spacing w:val="-3"/>
          <w:sz w:val="18"/>
          <w:u w:val="none"/>
        </w:rPr>
        <w:t> </w:t>
      </w:r>
      <w:r>
        <w:rPr>
          <w:sz w:val="18"/>
          <w:u w:val="none"/>
        </w:rPr>
        <w:t>States for whom this requirement applies.</w:t>
      </w:r>
    </w:p>
    <w:p>
      <w:pPr>
        <w:pStyle w:val="ListParagraph"/>
        <w:numPr>
          <w:ilvl w:val="0"/>
          <w:numId w:val="18"/>
        </w:numPr>
        <w:tabs>
          <w:tab w:pos="1287" w:val="left" w:leader="none"/>
        </w:tabs>
        <w:spacing w:line="240" w:lineRule="auto" w:before="2" w:after="0"/>
        <w:ind w:left="1287" w:right="1331" w:hanging="567"/>
        <w:jc w:val="left"/>
        <w:rPr>
          <w:sz w:val="18"/>
        </w:rPr>
      </w:pPr>
      <w:r>
        <w:rPr>
          <w:color w:val="1D71B8"/>
          <w:sz w:val="18"/>
          <w:u w:val="single" w:color="1D71B8"/>
        </w:rPr>
        <w:t>EU</w:t>
      </w:r>
      <w:r>
        <w:rPr>
          <w:color w:val="1D71B8"/>
          <w:spacing w:val="-3"/>
          <w:sz w:val="18"/>
          <w:u w:val="single" w:color="1D71B8"/>
        </w:rPr>
        <w:t> </w:t>
      </w:r>
      <w:r>
        <w:rPr>
          <w:color w:val="1D71B8"/>
          <w:sz w:val="18"/>
          <w:u w:val="single" w:color="1D71B8"/>
        </w:rPr>
        <w:t>Directive</w:t>
      </w:r>
      <w:r>
        <w:rPr>
          <w:color w:val="1D71B8"/>
          <w:spacing w:val="-3"/>
          <w:sz w:val="18"/>
          <w:u w:val="single" w:color="1D71B8"/>
        </w:rPr>
        <w:t> </w:t>
      </w:r>
      <w:r>
        <w:rPr>
          <w:color w:val="1D71B8"/>
          <w:sz w:val="18"/>
          <w:u w:val="single" w:color="1D71B8"/>
        </w:rPr>
        <w:t>2022/642</w:t>
      </w:r>
      <w:r>
        <w:rPr>
          <w:color w:val="1D71B8"/>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12</w:t>
      </w:r>
      <w:r>
        <w:rPr>
          <w:spacing w:val="-3"/>
          <w:sz w:val="18"/>
          <w:u w:val="none"/>
        </w:rPr>
        <w:t> </w:t>
      </w:r>
      <w:r>
        <w:rPr>
          <w:sz w:val="18"/>
          <w:u w:val="none"/>
        </w:rPr>
        <w:t>April</w:t>
      </w:r>
      <w:r>
        <w:rPr>
          <w:spacing w:val="-4"/>
          <w:sz w:val="18"/>
          <w:u w:val="none"/>
        </w:rPr>
        <w:t> </w:t>
      </w:r>
      <w:r>
        <w:rPr>
          <w:sz w:val="18"/>
          <w:u w:val="none"/>
        </w:rPr>
        <w:t>2022</w:t>
      </w:r>
      <w:r>
        <w:rPr>
          <w:spacing w:val="-3"/>
          <w:sz w:val="18"/>
          <w:u w:val="none"/>
        </w:rPr>
        <w:t> </w:t>
      </w:r>
      <w:r>
        <w:rPr>
          <w:sz w:val="18"/>
          <w:u w:val="none"/>
        </w:rPr>
        <w:t>amending</w:t>
      </w:r>
      <w:r>
        <w:rPr>
          <w:spacing w:val="-3"/>
          <w:sz w:val="18"/>
          <w:u w:val="none"/>
        </w:rPr>
        <w:t> </w:t>
      </w:r>
      <w:r>
        <w:rPr>
          <w:sz w:val="18"/>
          <w:u w:val="none"/>
        </w:rPr>
        <w:t>Directives</w:t>
      </w:r>
      <w:r>
        <w:rPr>
          <w:spacing w:val="-4"/>
          <w:sz w:val="18"/>
          <w:u w:val="none"/>
        </w:rPr>
        <w:t> </w:t>
      </w:r>
      <w:r>
        <w:rPr>
          <w:sz w:val="18"/>
          <w:u w:val="none"/>
        </w:rPr>
        <w:t>2001/20/EC and 2001/83/EC as regards derogations from certain obligations concerning certain medicinal products for human use made available in the United Kingdom in respect of Northern Ireland and in Cyprus, Ireland and Malta.</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57088">
                <wp:simplePos x="0" y="0"/>
                <wp:positionH relativeFrom="page">
                  <wp:posOffset>-2</wp:posOffset>
                </wp:positionH>
                <wp:positionV relativeFrom="page">
                  <wp:posOffset>0</wp:posOffset>
                </wp:positionV>
                <wp:extent cx="7560309" cy="1155065"/>
                <wp:effectExtent l="0" t="0" r="0" b="0"/>
                <wp:wrapNone/>
                <wp:docPr id="806" name="Group 806"/>
                <wp:cNvGraphicFramePr>
                  <a:graphicFrameLocks/>
                </wp:cNvGraphicFramePr>
                <a:graphic>
                  <a:graphicData uri="http://schemas.microsoft.com/office/word/2010/wordprocessingGroup">
                    <wpg:wgp>
                      <wpg:cNvPr id="806" name="Group 806"/>
                      <wpg:cNvGrpSpPr/>
                      <wpg:grpSpPr>
                        <a:xfrm>
                          <a:off x="0" y="0"/>
                          <a:ext cx="7560309" cy="1155065"/>
                          <a:chExt cx="7560309" cy="1155065"/>
                        </a:xfrm>
                      </wpg:grpSpPr>
                      <wps:wsp>
                        <wps:cNvPr id="807" name="Graphic 807"/>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808" name="Graphic 808"/>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59392" id="docshapegroup660" coordorigin="0,0" coordsize="11906,1819">
                <v:shape style="position:absolute;left:0;top:0;width:11906;height:1819" id="docshape661"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4.3.3.2 Recently adopted EU Regulations " w:id="144"/>
      <w:bookmarkEnd w:id="144"/>
      <w:r>
        <w:rPr/>
      </w:r>
      <w:bookmarkStart w:name="_bookmark60" w:id="145"/>
      <w:bookmarkEnd w:id="145"/>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93</w:t>
      </w:r>
    </w:p>
    <w:p>
      <w:pPr>
        <w:pStyle w:val="BodyText"/>
        <w:rPr>
          <w:b/>
        </w:rPr>
      </w:pPr>
    </w:p>
    <w:p>
      <w:pPr>
        <w:pStyle w:val="BodyText"/>
        <w:spacing w:before="48"/>
        <w:rPr>
          <w:b/>
        </w:rPr>
      </w:pPr>
    </w:p>
    <w:p>
      <w:pPr>
        <w:pStyle w:val="BodyText"/>
        <w:spacing w:line="232" w:lineRule="auto"/>
        <w:ind w:left="1117" w:right="738"/>
      </w:pPr>
      <w:r>
        <w:rPr/>
        <w:t>The</w:t>
      </w:r>
      <w:r>
        <w:rPr>
          <w:spacing w:val="-7"/>
        </w:rPr>
        <w:t> </w:t>
      </w:r>
      <w:r>
        <w:rPr/>
        <w:t>UK</w:t>
      </w:r>
      <w:r>
        <w:rPr>
          <w:spacing w:val="-7"/>
        </w:rPr>
        <w:t> </w:t>
      </w:r>
      <w:r>
        <w:rPr/>
        <w:t>Government</w:t>
      </w:r>
      <w:r>
        <w:rPr>
          <w:spacing w:val="-7"/>
        </w:rPr>
        <w:t> </w:t>
      </w:r>
      <w:r>
        <w:rPr/>
        <w:t>has</w:t>
      </w:r>
      <w:r>
        <w:rPr>
          <w:spacing w:val="-8"/>
        </w:rPr>
        <w:t> </w:t>
      </w:r>
      <w:r>
        <w:rPr/>
        <w:t>integrated</w:t>
      </w:r>
      <w:r>
        <w:rPr>
          <w:spacing w:val="-8"/>
        </w:rPr>
        <w:t> </w:t>
      </w:r>
      <w:r>
        <w:rPr/>
        <w:t>this</w:t>
      </w:r>
      <w:r>
        <w:rPr>
          <w:spacing w:val="-8"/>
        </w:rPr>
        <w:t> </w:t>
      </w:r>
      <w:r>
        <w:rPr/>
        <w:t>standard</w:t>
      </w:r>
      <w:r>
        <w:rPr>
          <w:spacing w:val="-8"/>
        </w:rPr>
        <w:t> </w:t>
      </w:r>
      <w:r>
        <w:rPr/>
        <w:t>into</w:t>
      </w:r>
      <w:r>
        <w:rPr>
          <w:spacing w:val="-8"/>
        </w:rPr>
        <w:t> </w:t>
      </w:r>
      <w:r>
        <w:rPr/>
        <w:t>its</w:t>
      </w:r>
      <w:r>
        <w:rPr>
          <w:spacing w:val="-8"/>
        </w:rPr>
        <w:t> </w:t>
      </w:r>
      <w:r>
        <w:rPr/>
        <w:t>revised</w:t>
      </w:r>
      <w:r>
        <w:rPr>
          <w:spacing w:val="-8"/>
        </w:rPr>
        <w:t> </w:t>
      </w:r>
      <w:r>
        <w:rPr/>
        <w:t>guidance,</w:t>
      </w:r>
      <w:r>
        <w:rPr>
          <w:spacing w:val="-7"/>
        </w:rPr>
        <w:t> </w:t>
      </w:r>
      <w:r>
        <w:rPr/>
        <w:t>which refers to EU Directive 2022/642.</w:t>
      </w:r>
      <w:r>
        <w:rPr>
          <w:vertAlign w:val="superscript"/>
        </w:rPr>
        <w:t>481</w:t>
      </w:r>
    </w:p>
    <w:p>
      <w:pPr>
        <w:pStyle w:val="BodyText"/>
        <w:spacing w:before="61"/>
      </w:pPr>
    </w:p>
    <w:p>
      <w:pPr>
        <w:pStyle w:val="ListParagraph"/>
        <w:numPr>
          <w:ilvl w:val="3"/>
          <w:numId w:val="39"/>
        </w:numPr>
        <w:tabs>
          <w:tab w:pos="1960" w:val="left" w:leader="none"/>
        </w:tabs>
        <w:spacing w:line="232" w:lineRule="auto" w:before="1" w:after="0"/>
        <w:ind w:left="1117" w:right="801" w:firstLine="0"/>
        <w:jc w:val="left"/>
        <w:rPr>
          <w:sz w:val="28"/>
        </w:rPr>
      </w:pPr>
      <w:r>
        <w:rPr>
          <w:color w:val="004A93"/>
          <w:sz w:val="28"/>
        </w:rPr>
        <w:t>Recently</w:t>
      </w:r>
      <w:r>
        <w:rPr>
          <w:color w:val="004A93"/>
          <w:spacing w:val="-9"/>
          <w:sz w:val="28"/>
        </w:rPr>
        <w:t> </w:t>
      </w:r>
      <w:r>
        <w:rPr>
          <w:color w:val="004A93"/>
          <w:sz w:val="28"/>
        </w:rPr>
        <w:t>adopted</w:t>
      </w:r>
      <w:r>
        <w:rPr>
          <w:color w:val="004A93"/>
          <w:spacing w:val="-10"/>
          <w:sz w:val="28"/>
        </w:rPr>
        <w:t> </w:t>
      </w:r>
      <w:r>
        <w:rPr>
          <w:color w:val="004A93"/>
          <w:sz w:val="28"/>
        </w:rPr>
        <w:t>EU</w:t>
      </w:r>
      <w:r>
        <w:rPr>
          <w:color w:val="004A93"/>
          <w:spacing w:val="-9"/>
          <w:sz w:val="28"/>
        </w:rPr>
        <w:t> </w:t>
      </w:r>
      <w:r>
        <w:rPr>
          <w:color w:val="004A93"/>
          <w:sz w:val="28"/>
        </w:rPr>
        <w:t>Regulations</w:t>
      </w:r>
      <w:r>
        <w:rPr>
          <w:color w:val="004A93"/>
          <w:spacing w:val="-10"/>
          <w:sz w:val="28"/>
        </w:rPr>
        <w:t> </w:t>
      </w:r>
      <w:r>
        <w:rPr>
          <w:color w:val="004A93"/>
          <w:sz w:val="28"/>
        </w:rPr>
        <w:t>on</w:t>
      </w:r>
      <w:r>
        <w:rPr>
          <w:color w:val="004A93"/>
          <w:spacing w:val="-10"/>
          <w:sz w:val="28"/>
        </w:rPr>
        <w:t> </w:t>
      </w:r>
      <w:r>
        <w:rPr>
          <w:color w:val="004A93"/>
          <w:sz w:val="28"/>
        </w:rPr>
        <w:t>health</w:t>
      </w:r>
      <w:r>
        <w:rPr>
          <w:color w:val="004A93"/>
          <w:spacing w:val="-10"/>
          <w:sz w:val="28"/>
        </w:rPr>
        <w:t> </w:t>
      </w:r>
      <w:r>
        <w:rPr>
          <w:color w:val="004A93"/>
          <w:sz w:val="28"/>
        </w:rPr>
        <w:t>(focus</w:t>
      </w:r>
      <w:r>
        <w:rPr>
          <w:color w:val="004A93"/>
          <w:spacing w:val="-10"/>
          <w:sz w:val="28"/>
        </w:rPr>
        <w:t> </w:t>
      </w:r>
      <w:r>
        <w:rPr>
          <w:color w:val="004A93"/>
          <w:sz w:val="28"/>
        </w:rPr>
        <w:t>on</w:t>
      </w:r>
      <w:r>
        <w:rPr>
          <w:color w:val="004A93"/>
          <w:spacing w:val="-10"/>
          <w:sz w:val="28"/>
        </w:rPr>
        <w:t> </w:t>
      </w:r>
      <w:r>
        <w:rPr>
          <w:color w:val="004A93"/>
          <w:sz w:val="28"/>
        </w:rPr>
        <w:t>substantial</w:t>
      </w:r>
      <w:r>
        <w:rPr>
          <w:color w:val="004A93"/>
          <w:spacing w:val="-10"/>
          <w:sz w:val="28"/>
        </w:rPr>
        <w:t> </w:t>
      </w:r>
      <w:r>
        <w:rPr>
          <w:color w:val="004A93"/>
          <w:sz w:val="28"/>
        </w:rPr>
        <w:t>standards) </w:t>
      </w:r>
      <w:r>
        <w:rPr>
          <w:sz w:val="28"/>
        </w:rPr>
        <w:t>Most of the 46 EU regulations adopted between 1 January 2022 and 31 August 2023 that relate to the right to health (and thus, fall under the scope of the 1998 Agreement) set requirements of rather technical nature (especially regarding the right to a healthy environment). However, some of them (see below) set more substantial requirements worth noting.</w:t>
      </w:r>
    </w:p>
    <w:p>
      <w:pPr>
        <w:pStyle w:val="ListParagraph"/>
        <w:numPr>
          <w:ilvl w:val="4"/>
          <w:numId w:val="39"/>
        </w:numPr>
        <w:tabs>
          <w:tab w:pos="1457" w:val="left" w:leader="none"/>
        </w:tabs>
        <w:spacing w:line="232" w:lineRule="auto" w:before="260" w:after="0"/>
        <w:ind w:left="1457" w:right="792" w:hanging="341"/>
        <w:jc w:val="left"/>
        <w:rPr>
          <w:sz w:val="28"/>
        </w:rPr>
      </w:pPr>
      <w:r>
        <w:rPr>
          <w:sz w:val="28"/>
        </w:rPr>
        <w:t>The competent UK authorities in respect of Northern Ireland may allow certain medicinal products for human use to be imported into Northern Ireland from other parts of the UK without a manufacturing authorisation, provided such products</w:t>
      </w:r>
      <w:r>
        <w:rPr>
          <w:spacing w:val="-8"/>
          <w:sz w:val="28"/>
        </w:rPr>
        <w:t> </w:t>
      </w:r>
      <w:r>
        <w:rPr>
          <w:sz w:val="28"/>
        </w:rPr>
        <w:t>fulfil</w:t>
      </w:r>
      <w:r>
        <w:rPr>
          <w:spacing w:val="-8"/>
          <w:sz w:val="28"/>
        </w:rPr>
        <w:t> </w:t>
      </w:r>
      <w:r>
        <w:rPr>
          <w:sz w:val="28"/>
        </w:rPr>
        <w:t>other</w:t>
      </w:r>
      <w:r>
        <w:rPr>
          <w:spacing w:val="-7"/>
          <w:sz w:val="28"/>
        </w:rPr>
        <w:t> </w:t>
      </w:r>
      <w:r>
        <w:rPr>
          <w:sz w:val="28"/>
        </w:rPr>
        <w:t>conditions</w:t>
      </w:r>
      <w:r>
        <w:rPr>
          <w:spacing w:val="-8"/>
          <w:sz w:val="28"/>
        </w:rPr>
        <w:t> </w:t>
      </w:r>
      <w:r>
        <w:rPr>
          <w:sz w:val="28"/>
        </w:rPr>
        <w:t>set</w:t>
      </w:r>
      <w:r>
        <w:rPr>
          <w:spacing w:val="-7"/>
          <w:sz w:val="28"/>
        </w:rPr>
        <w:t> </w:t>
      </w:r>
      <w:r>
        <w:rPr>
          <w:sz w:val="28"/>
        </w:rPr>
        <w:t>by</w:t>
      </w:r>
      <w:r>
        <w:rPr>
          <w:spacing w:val="-7"/>
          <w:sz w:val="28"/>
        </w:rPr>
        <w:t> </w:t>
      </w:r>
      <w:r>
        <w:rPr>
          <w:sz w:val="28"/>
        </w:rPr>
        <w:t>EU</w:t>
      </w:r>
      <w:r>
        <w:rPr>
          <w:spacing w:val="-7"/>
          <w:sz w:val="28"/>
        </w:rPr>
        <w:t> </w:t>
      </w:r>
      <w:r>
        <w:rPr>
          <w:sz w:val="28"/>
        </w:rPr>
        <w:t>law,</w:t>
      </w:r>
      <w:r>
        <w:rPr>
          <w:spacing w:val="-7"/>
          <w:sz w:val="28"/>
        </w:rPr>
        <w:t> </w:t>
      </w:r>
      <w:r>
        <w:rPr>
          <w:sz w:val="28"/>
        </w:rPr>
        <w:t>a</w:t>
      </w:r>
      <w:r>
        <w:rPr>
          <w:spacing w:val="-8"/>
          <w:sz w:val="28"/>
        </w:rPr>
        <w:t> </w:t>
      </w:r>
      <w:r>
        <w:rPr>
          <w:sz w:val="28"/>
        </w:rPr>
        <w:t>requirement</w:t>
      </w:r>
      <w:r>
        <w:rPr>
          <w:spacing w:val="-7"/>
          <w:sz w:val="28"/>
        </w:rPr>
        <w:t> </w:t>
      </w:r>
      <w:r>
        <w:rPr>
          <w:sz w:val="28"/>
        </w:rPr>
        <w:t>which</w:t>
      </w:r>
      <w:r>
        <w:rPr>
          <w:spacing w:val="-8"/>
          <w:sz w:val="28"/>
        </w:rPr>
        <w:t> </w:t>
      </w:r>
      <w:r>
        <w:rPr>
          <w:sz w:val="28"/>
        </w:rPr>
        <w:t>should</w:t>
      </w:r>
      <w:r>
        <w:rPr>
          <w:spacing w:val="-8"/>
          <w:sz w:val="28"/>
        </w:rPr>
        <w:t> </w:t>
      </w:r>
      <w:r>
        <w:rPr>
          <w:sz w:val="28"/>
        </w:rPr>
        <w:t>apply one month after the provision of written guarantees from the UK or from 1 January 2025 at the latest.</w:t>
      </w:r>
      <w:r>
        <w:rPr>
          <w:sz w:val="28"/>
          <w:vertAlign w:val="superscript"/>
        </w:rPr>
        <w:t>482</w:t>
      </w:r>
      <w:r>
        <w:rPr>
          <w:sz w:val="28"/>
          <w:vertAlign w:val="baseline"/>
        </w:rPr>
        <w:t> This also concerns (temporarily) their import into Cyprus, Ireland and Malta, a requirement which should apply from 31 January </w:t>
      </w:r>
      <w:r>
        <w:rPr>
          <w:spacing w:val="-2"/>
          <w:sz w:val="28"/>
          <w:vertAlign w:val="baseline"/>
        </w:rPr>
        <w:t>2022.</w:t>
      </w:r>
      <w:r>
        <w:rPr>
          <w:spacing w:val="-2"/>
          <w:sz w:val="28"/>
          <w:vertAlign w:val="superscript"/>
        </w:rPr>
        <w:t>483</w:t>
      </w:r>
    </w:p>
    <w:p>
      <w:pPr>
        <w:pStyle w:val="ListParagraph"/>
        <w:numPr>
          <w:ilvl w:val="4"/>
          <w:numId w:val="39"/>
        </w:numPr>
        <w:tabs>
          <w:tab w:pos="1457" w:val="left" w:leader="none"/>
        </w:tabs>
        <w:spacing w:line="316" w:lineRule="exact" w:before="0" w:after="0"/>
        <w:ind w:left="1457" w:right="0" w:hanging="340"/>
        <w:jc w:val="left"/>
        <w:rPr>
          <w:sz w:val="28"/>
        </w:rPr>
      </w:pPr>
      <w:r>
        <w:rPr>
          <w:sz w:val="28"/>
        </w:rPr>
        <w:t>Member</w:t>
      </w:r>
      <w:r>
        <w:rPr>
          <w:spacing w:val="-6"/>
          <w:sz w:val="28"/>
        </w:rPr>
        <w:t> </w:t>
      </w:r>
      <w:r>
        <w:rPr>
          <w:sz w:val="28"/>
        </w:rPr>
        <w:t>States</w:t>
      </w:r>
      <w:r>
        <w:rPr>
          <w:spacing w:val="-5"/>
          <w:sz w:val="28"/>
        </w:rPr>
        <w:t> </w:t>
      </w:r>
      <w:r>
        <w:rPr>
          <w:sz w:val="28"/>
        </w:rPr>
        <w:t>must</w:t>
      </w:r>
      <w:r>
        <w:rPr>
          <w:spacing w:val="-4"/>
          <w:sz w:val="28"/>
        </w:rPr>
        <w:t> </w:t>
      </w:r>
      <w:r>
        <w:rPr>
          <w:sz w:val="28"/>
        </w:rPr>
        <w:t>set</w:t>
      </w:r>
      <w:r>
        <w:rPr>
          <w:spacing w:val="-3"/>
          <w:sz w:val="28"/>
        </w:rPr>
        <w:t> </w:t>
      </w:r>
      <w:r>
        <w:rPr>
          <w:sz w:val="28"/>
        </w:rPr>
        <w:t>up</w:t>
      </w:r>
      <w:r>
        <w:rPr>
          <w:spacing w:val="-5"/>
          <w:sz w:val="28"/>
        </w:rPr>
        <w:t> </w:t>
      </w:r>
      <w:r>
        <w:rPr>
          <w:sz w:val="28"/>
        </w:rPr>
        <w:t>all</w:t>
      </w:r>
      <w:r>
        <w:rPr>
          <w:spacing w:val="-4"/>
          <w:sz w:val="28"/>
        </w:rPr>
        <w:t> </w:t>
      </w:r>
      <w:r>
        <w:rPr>
          <w:sz w:val="28"/>
        </w:rPr>
        <w:t>measures</w:t>
      </w:r>
      <w:r>
        <w:rPr>
          <w:spacing w:val="-5"/>
          <w:sz w:val="28"/>
        </w:rPr>
        <w:t> </w:t>
      </w:r>
      <w:r>
        <w:rPr>
          <w:sz w:val="28"/>
        </w:rPr>
        <w:t>required</w:t>
      </w:r>
      <w:r>
        <w:rPr>
          <w:spacing w:val="-5"/>
          <w:sz w:val="28"/>
        </w:rPr>
        <w:t> </w:t>
      </w:r>
      <w:r>
        <w:rPr>
          <w:sz w:val="28"/>
        </w:rPr>
        <w:t>by</w:t>
      </w:r>
      <w:r>
        <w:rPr>
          <w:spacing w:val="-3"/>
          <w:sz w:val="28"/>
        </w:rPr>
        <w:t> </w:t>
      </w:r>
      <w:r>
        <w:rPr>
          <w:sz w:val="28"/>
        </w:rPr>
        <w:t>EU</w:t>
      </w:r>
      <w:r>
        <w:rPr>
          <w:spacing w:val="-4"/>
          <w:sz w:val="28"/>
        </w:rPr>
        <w:t> </w:t>
      </w:r>
      <w:r>
        <w:rPr>
          <w:sz w:val="28"/>
        </w:rPr>
        <w:t>law</w:t>
      </w:r>
      <w:r>
        <w:rPr>
          <w:spacing w:val="-4"/>
          <w:sz w:val="28"/>
        </w:rPr>
        <w:t> </w:t>
      </w:r>
      <w:r>
        <w:rPr>
          <w:sz w:val="28"/>
        </w:rPr>
        <w:t>to</w:t>
      </w:r>
      <w:r>
        <w:rPr>
          <w:spacing w:val="-4"/>
          <w:sz w:val="28"/>
        </w:rPr>
        <w:t> </w:t>
      </w:r>
      <w:r>
        <w:rPr>
          <w:spacing w:val="-2"/>
          <w:sz w:val="28"/>
        </w:rPr>
        <w:t>prevent,</w:t>
      </w:r>
    </w:p>
    <w:p>
      <w:pPr>
        <w:pStyle w:val="BodyText"/>
        <w:spacing w:line="232" w:lineRule="auto" w:before="2"/>
        <w:ind w:left="1457" w:right="738"/>
      </w:pPr>
      <w:r>
        <w:rPr/>
        <w:t>prepare and plan their response to serious cross-border health threats; they must</w:t>
      </w:r>
      <w:r>
        <w:rPr>
          <w:spacing w:val="-2"/>
        </w:rPr>
        <w:t> </w:t>
      </w:r>
      <w:r>
        <w:rPr/>
        <w:t>also</w:t>
      </w:r>
      <w:r>
        <w:rPr>
          <w:spacing w:val="-3"/>
        </w:rPr>
        <w:t> </w:t>
      </w:r>
      <w:r>
        <w:rPr/>
        <w:t>meet</w:t>
      </w:r>
      <w:r>
        <w:rPr>
          <w:spacing w:val="-2"/>
        </w:rPr>
        <w:t> </w:t>
      </w:r>
      <w:r>
        <w:rPr/>
        <w:t>EU</w:t>
      </w:r>
      <w:r>
        <w:rPr>
          <w:spacing w:val="-2"/>
        </w:rPr>
        <w:t> </w:t>
      </w:r>
      <w:r>
        <w:rPr/>
        <w:t>requirements</w:t>
      </w:r>
      <w:r>
        <w:rPr>
          <w:spacing w:val="-3"/>
        </w:rPr>
        <w:t> </w:t>
      </w:r>
      <w:r>
        <w:rPr/>
        <w:t>on</w:t>
      </w:r>
      <w:r>
        <w:rPr>
          <w:spacing w:val="-3"/>
        </w:rPr>
        <w:t> </w:t>
      </w:r>
      <w:r>
        <w:rPr/>
        <w:t>epidemiological</w:t>
      </w:r>
      <w:r>
        <w:rPr>
          <w:spacing w:val="-3"/>
        </w:rPr>
        <w:t> </w:t>
      </w:r>
      <w:r>
        <w:rPr/>
        <w:t>surveillance,</w:t>
      </w:r>
      <w:r>
        <w:rPr>
          <w:spacing w:val="-2"/>
        </w:rPr>
        <w:t> </w:t>
      </w:r>
      <w:r>
        <w:rPr/>
        <w:t>EU</w:t>
      </w:r>
      <w:r>
        <w:rPr>
          <w:spacing w:val="-2"/>
        </w:rPr>
        <w:t> </w:t>
      </w:r>
      <w:r>
        <w:rPr/>
        <w:t>reference laboratories and ad hoc monitoring; and set up an early warning and response system,</w:t>
      </w:r>
      <w:r>
        <w:rPr>
          <w:spacing w:val="-5"/>
        </w:rPr>
        <w:t> </w:t>
      </w:r>
      <w:r>
        <w:rPr/>
        <w:t>as</w:t>
      </w:r>
      <w:r>
        <w:rPr>
          <w:spacing w:val="-6"/>
        </w:rPr>
        <w:t> </w:t>
      </w:r>
      <w:r>
        <w:rPr/>
        <w:t>well</w:t>
      </w:r>
      <w:r>
        <w:rPr>
          <w:spacing w:val="-6"/>
        </w:rPr>
        <w:t> </w:t>
      </w:r>
      <w:r>
        <w:rPr/>
        <w:t>as</w:t>
      </w:r>
      <w:r>
        <w:rPr>
          <w:spacing w:val="-6"/>
        </w:rPr>
        <w:t> </w:t>
      </w:r>
      <w:r>
        <w:rPr/>
        <w:t>a</w:t>
      </w:r>
      <w:r>
        <w:rPr>
          <w:spacing w:val="-6"/>
        </w:rPr>
        <w:t> </w:t>
      </w:r>
      <w:r>
        <w:rPr/>
        <w:t>public</w:t>
      </w:r>
      <w:r>
        <w:rPr>
          <w:spacing w:val="-5"/>
        </w:rPr>
        <w:t> </w:t>
      </w:r>
      <w:r>
        <w:rPr/>
        <w:t>health</w:t>
      </w:r>
      <w:r>
        <w:rPr>
          <w:spacing w:val="-6"/>
        </w:rPr>
        <w:t> </w:t>
      </w:r>
      <w:r>
        <w:rPr/>
        <w:t>emergency</w:t>
      </w:r>
      <w:r>
        <w:rPr>
          <w:spacing w:val="-5"/>
        </w:rPr>
        <w:t> </w:t>
      </w:r>
      <w:r>
        <w:rPr/>
        <w:t>framework</w:t>
      </w:r>
      <w:r>
        <w:rPr>
          <w:spacing w:val="-5"/>
        </w:rPr>
        <w:t> </w:t>
      </w:r>
      <w:r>
        <w:rPr/>
        <w:t>at</w:t>
      </w:r>
      <w:r>
        <w:rPr>
          <w:spacing w:val="-5"/>
        </w:rPr>
        <w:t> </w:t>
      </w:r>
      <w:r>
        <w:rPr/>
        <w:t>an</w:t>
      </w:r>
      <w:r>
        <w:rPr>
          <w:spacing w:val="-6"/>
        </w:rPr>
        <w:t> </w:t>
      </w:r>
      <w:r>
        <w:rPr/>
        <w:t>EU</w:t>
      </w:r>
      <w:r>
        <w:rPr>
          <w:spacing w:val="-5"/>
        </w:rPr>
        <w:t> </w:t>
      </w:r>
      <w:r>
        <w:rPr/>
        <w:t>level,</w:t>
      </w:r>
      <w:r>
        <w:rPr>
          <w:spacing w:val="-5"/>
        </w:rPr>
        <w:t> </w:t>
      </w:r>
      <w:r>
        <w:rPr/>
        <w:t>from</w:t>
      </w:r>
      <w:r>
        <w:rPr>
          <w:spacing w:val="-5"/>
        </w:rPr>
        <w:t> </w:t>
      </w:r>
      <w:r>
        <w:rPr/>
        <w:t>26 December 2022 onwards.</w:t>
      </w:r>
      <w:r>
        <w:rPr>
          <w:vertAlign w:val="superscript"/>
        </w:rPr>
        <w:t>484</w:t>
      </w:r>
    </w:p>
    <w:p>
      <w:pPr>
        <w:pStyle w:val="ListParagraph"/>
        <w:numPr>
          <w:ilvl w:val="4"/>
          <w:numId w:val="39"/>
        </w:numPr>
        <w:tabs>
          <w:tab w:pos="1457" w:val="left" w:leader="none"/>
        </w:tabs>
        <w:spacing w:line="320" w:lineRule="exact" w:before="0" w:after="0"/>
        <w:ind w:left="1457" w:right="0" w:hanging="340"/>
        <w:jc w:val="left"/>
        <w:rPr>
          <w:sz w:val="28"/>
        </w:rPr>
      </w:pPr>
      <w:r>
        <w:rPr>
          <w:sz w:val="28"/>
        </w:rPr>
        <w:t>The</w:t>
      </w:r>
      <w:r>
        <w:rPr>
          <w:spacing w:val="-7"/>
          <w:sz w:val="28"/>
        </w:rPr>
        <w:t> </w:t>
      </w:r>
      <w:r>
        <w:rPr>
          <w:sz w:val="28"/>
        </w:rPr>
        <w:t>European</w:t>
      </w:r>
      <w:r>
        <w:rPr>
          <w:spacing w:val="-8"/>
          <w:sz w:val="28"/>
        </w:rPr>
        <w:t> </w:t>
      </w:r>
      <w:r>
        <w:rPr>
          <w:sz w:val="28"/>
        </w:rPr>
        <w:t>Centre</w:t>
      </w:r>
      <w:r>
        <w:rPr>
          <w:spacing w:val="-7"/>
          <w:sz w:val="28"/>
        </w:rPr>
        <w:t> </w:t>
      </w:r>
      <w:r>
        <w:rPr>
          <w:sz w:val="28"/>
        </w:rPr>
        <w:t>for</w:t>
      </w:r>
      <w:r>
        <w:rPr>
          <w:spacing w:val="-6"/>
          <w:sz w:val="28"/>
        </w:rPr>
        <w:t> </w:t>
      </w:r>
      <w:r>
        <w:rPr>
          <w:sz w:val="28"/>
        </w:rPr>
        <w:t>Disease</w:t>
      </w:r>
      <w:r>
        <w:rPr>
          <w:spacing w:val="-7"/>
          <w:sz w:val="28"/>
        </w:rPr>
        <w:t> </w:t>
      </w:r>
      <w:r>
        <w:rPr>
          <w:sz w:val="28"/>
        </w:rPr>
        <w:t>Prevention</w:t>
      </w:r>
      <w:r>
        <w:rPr>
          <w:spacing w:val="-8"/>
          <w:sz w:val="28"/>
        </w:rPr>
        <w:t> </w:t>
      </w:r>
      <w:r>
        <w:rPr>
          <w:sz w:val="28"/>
        </w:rPr>
        <w:t>and</w:t>
      </w:r>
      <w:r>
        <w:rPr>
          <w:spacing w:val="-7"/>
          <w:sz w:val="28"/>
        </w:rPr>
        <w:t> </w:t>
      </w:r>
      <w:r>
        <w:rPr>
          <w:sz w:val="28"/>
        </w:rPr>
        <w:t>Control</w:t>
      </w:r>
      <w:r>
        <w:rPr>
          <w:spacing w:val="-8"/>
          <w:sz w:val="28"/>
        </w:rPr>
        <w:t> </w:t>
      </w:r>
      <w:r>
        <w:rPr>
          <w:sz w:val="28"/>
        </w:rPr>
        <w:t>will</w:t>
      </w:r>
      <w:r>
        <w:rPr>
          <w:spacing w:val="-7"/>
          <w:sz w:val="28"/>
        </w:rPr>
        <w:t> </w:t>
      </w:r>
      <w:r>
        <w:rPr>
          <w:sz w:val="28"/>
        </w:rPr>
        <w:t>have</w:t>
      </w:r>
      <w:r>
        <w:rPr>
          <w:spacing w:val="-7"/>
          <w:sz w:val="28"/>
        </w:rPr>
        <w:t> </w:t>
      </w:r>
      <w:r>
        <w:rPr>
          <w:spacing w:val="-2"/>
          <w:sz w:val="28"/>
        </w:rPr>
        <w:t>expanded</w:t>
      </w:r>
    </w:p>
    <w:p>
      <w:pPr>
        <w:pStyle w:val="BodyText"/>
        <w:spacing w:line="232" w:lineRule="auto" w:before="3"/>
        <w:ind w:left="1457" w:right="738"/>
      </w:pPr>
      <w:r>
        <w:rPr/>
        <w:t>missions and tasks to enhance its capacity to provide the required scientific expertise</w:t>
      </w:r>
      <w:r>
        <w:rPr>
          <w:spacing w:val="-6"/>
        </w:rPr>
        <w:t> </w:t>
      </w:r>
      <w:r>
        <w:rPr/>
        <w:t>to</w:t>
      </w:r>
      <w:r>
        <w:rPr>
          <w:spacing w:val="-7"/>
        </w:rPr>
        <w:t> </w:t>
      </w:r>
      <w:r>
        <w:rPr/>
        <w:t>Member</w:t>
      </w:r>
      <w:r>
        <w:rPr>
          <w:spacing w:val="-6"/>
        </w:rPr>
        <w:t> </w:t>
      </w:r>
      <w:r>
        <w:rPr/>
        <w:t>States</w:t>
      </w:r>
      <w:r>
        <w:rPr>
          <w:spacing w:val="-7"/>
        </w:rPr>
        <w:t> </w:t>
      </w:r>
      <w:r>
        <w:rPr/>
        <w:t>and</w:t>
      </w:r>
      <w:r>
        <w:rPr>
          <w:spacing w:val="-7"/>
        </w:rPr>
        <w:t> </w:t>
      </w:r>
      <w:r>
        <w:rPr/>
        <w:t>to</w:t>
      </w:r>
      <w:r>
        <w:rPr>
          <w:spacing w:val="-7"/>
        </w:rPr>
        <w:t> </w:t>
      </w:r>
      <w:r>
        <w:rPr/>
        <w:t>support</w:t>
      </w:r>
      <w:r>
        <w:rPr>
          <w:spacing w:val="-6"/>
        </w:rPr>
        <w:t> </w:t>
      </w:r>
      <w:r>
        <w:rPr/>
        <w:t>actions</w:t>
      </w:r>
      <w:r>
        <w:rPr>
          <w:spacing w:val="-7"/>
        </w:rPr>
        <w:t> </w:t>
      </w:r>
      <w:r>
        <w:rPr/>
        <w:t>which</w:t>
      </w:r>
      <w:r>
        <w:rPr>
          <w:spacing w:val="-7"/>
        </w:rPr>
        <w:t> </w:t>
      </w:r>
      <w:r>
        <w:rPr/>
        <w:t>combat</w:t>
      </w:r>
      <w:r>
        <w:rPr>
          <w:spacing w:val="-6"/>
        </w:rPr>
        <w:t> </w:t>
      </w:r>
      <w:r>
        <w:rPr/>
        <w:t>serious</w:t>
      </w:r>
      <w:r>
        <w:rPr>
          <w:spacing w:val="-7"/>
        </w:rPr>
        <w:t> </w:t>
      </w:r>
      <w:r>
        <w:rPr/>
        <w:t>cross- border threats to health in the Union, from 13 December 2022 onwards.</w:t>
      </w:r>
      <w:r>
        <w:rPr>
          <w:vertAlign w:val="superscript"/>
        </w:rPr>
        <w:t>485</w:t>
      </w:r>
    </w:p>
    <w:p>
      <w:pPr>
        <w:pStyle w:val="ListParagraph"/>
        <w:numPr>
          <w:ilvl w:val="4"/>
          <w:numId w:val="39"/>
        </w:numPr>
        <w:tabs>
          <w:tab w:pos="1457" w:val="left" w:leader="none"/>
        </w:tabs>
        <w:spacing w:line="323" w:lineRule="exact" w:before="0" w:after="0"/>
        <w:ind w:left="1457" w:right="0" w:hanging="340"/>
        <w:jc w:val="left"/>
        <w:rPr>
          <w:sz w:val="28"/>
        </w:rPr>
      </w:pPr>
      <w:r>
        <w:rPr>
          <w:sz w:val="28"/>
        </w:rPr>
        <w:t>The</w:t>
      </w:r>
      <w:r>
        <w:rPr>
          <w:spacing w:val="-8"/>
          <w:sz w:val="28"/>
        </w:rPr>
        <w:t> </w:t>
      </w:r>
      <w:r>
        <w:rPr>
          <w:sz w:val="28"/>
        </w:rPr>
        <w:t>European</w:t>
      </w:r>
      <w:r>
        <w:rPr>
          <w:spacing w:val="-7"/>
          <w:sz w:val="28"/>
        </w:rPr>
        <w:t> </w:t>
      </w:r>
      <w:r>
        <w:rPr>
          <w:sz w:val="28"/>
        </w:rPr>
        <w:t>Medicines</w:t>
      </w:r>
      <w:r>
        <w:rPr>
          <w:spacing w:val="-7"/>
          <w:sz w:val="28"/>
        </w:rPr>
        <w:t> </w:t>
      </w:r>
      <w:r>
        <w:rPr>
          <w:sz w:val="28"/>
        </w:rPr>
        <w:t>Agency</w:t>
      </w:r>
      <w:r>
        <w:rPr>
          <w:spacing w:val="-5"/>
          <w:sz w:val="28"/>
        </w:rPr>
        <w:t> </w:t>
      </w:r>
      <w:r>
        <w:rPr>
          <w:sz w:val="28"/>
        </w:rPr>
        <w:t>will</w:t>
      </w:r>
      <w:r>
        <w:rPr>
          <w:spacing w:val="-7"/>
          <w:sz w:val="28"/>
        </w:rPr>
        <w:t> </w:t>
      </w:r>
      <w:r>
        <w:rPr>
          <w:sz w:val="28"/>
        </w:rPr>
        <w:t>have</w:t>
      </w:r>
      <w:r>
        <w:rPr>
          <w:spacing w:val="-6"/>
          <w:sz w:val="28"/>
        </w:rPr>
        <w:t> </w:t>
      </w:r>
      <w:r>
        <w:rPr>
          <w:sz w:val="28"/>
        </w:rPr>
        <w:t>a</w:t>
      </w:r>
      <w:r>
        <w:rPr>
          <w:spacing w:val="-6"/>
          <w:sz w:val="28"/>
        </w:rPr>
        <w:t> </w:t>
      </w:r>
      <w:r>
        <w:rPr>
          <w:sz w:val="28"/>
        </w:rPr>
        <w:t>reinforced</w:t>
      </w:r>
      <w:r>
        <w:rPr>
          <w:spacing w:val="-7"/>
          <w:sz w:val="28"/>
        </w:rPr>
        <w:t> </w:t>
      </w:r>
      <w:r>
        <w:rPr>
          <w:sz w:val="28"/>
        </w:rPr>
        <w:t>role</w:t>
      </w:r>
      <w:r>
        <w:rPr>
          <w:spacing w:val="-6"/>
          <w:sz w:val="28"/>
        </w:rPr>
        <w:t> </w:t>
      </w:r>
      <w:r>
        <w:rPr>
          <w:sz w:val="28"/>
        </w:rPr>
        <w:t>in</w:t>
      </w:r>
      <w:r>
        <w:rPr>
          <w:spacing w:val="-6"/>
          <w:sz w:val="28"/>
        </w:rPr>
        <w:t> </w:t>
      </w:r>
      <w:r>
        <w:rPr>
          <w:spacing w:val="-2"/>
          <w:sz w:val="28"/>
        </w:rPr>
        <w:t>crisis</w:t>
      </w:r>
    </w:p>
    <w:p>
      <w:pPr>
        <w:pStyle w:val="BodyText"/>
        <w:spacing w:line="232" w:lineRule="auto" w:before="2"/>
        <w:ind w:left="1457" w:right="738"/>
      </w:pPr>
      <w:r>
        <w:rPr/>
        <w:t>preparedness</w:t>
      </w:r>
      <w:r>
        <w:rPr>
          <w:spacing w:val="-8"/>
        </w:rPr>
        <w:t> </w:t>
      </w:r>
      <w:r>
        <w:rPr/>
        <w:t>and</w:t>
      </w:r>
      <w:r>
        <w:rPr>
          <w:spacing w:val="-8"/>
        </w:rPr>
        <w:t> </w:t>
      </w:r>
      <w:r>
        <w:rPr/>
        <w:t>management</w:t>
      </w:r>
      <w:r>
        <w:rPr>
          <w:spacing w:val="-7"/>
        </w:rPr>
        <w:t> </w:t>
      </w:r>
      <w:r>
        <w:rPr/>
        <w:t>for</w:t>
      </w:r>
      <w:r>
        <w:rPr>
          <w:spacing w:val="-7"/>
        </w:rPr>
        <w:t> </w:t>
      </w:r>
      <w:r>
        <w:rPr/>
        <w:t>medicinal</w:t>
      </w:r>
      <w:r>
        <w:rPr>
          <w:spacing w:val="-8"/>
        </w:rPr>
        <w:t> </w:t>
      </w:r>
      <w:r>
        <w:rPr/>
        <w:t>products</w:t>
      </w:r>
      <w:r>
        <w:rPr>
          <w:spacing w:val="-8"/>
        </w:rPr>
        <w:t> </w:t>
      </w:r>
      <w:r>
        <w:rPr/>
        <w:t>and</w:t>
      </w:r>
      <w:r>
        <w:rPr>
          <w:spacing w:val="-8"/>
        </w:rPr>
        <w:t> </w:t>
      </w:r>
      <w:r>
        <w:rPr/>
        <w:t>medical</w:t>
      </w:r>
      <w:r>
        <w:rPr>
          <w:spacing w:val="-8"/>
        </w:rPr>
        <w:t> </w:t>
      </w:r>
      <w:r>
        <w:rPr/>
        <w:t>devices</w:t>
      </w:r>
      <w:r>
        <w:rPr>
          <w:spacing w:val="-8"/>
        </w:rPr>
        <w:t> </w:t>
      </w:r>
      <w:r>
        <w:rPr/>
        <w:t>to better address the impact of public health emergencies, from 1 March 2022 </w:t>
      </w:r>
      <w:r>
        <w:rPr>
          <w:spacing w:val="-2"/>
        </w:rPr>
        <w:t>onwards.</w:t>
      </w:r>
      <w:r>
        <w:rPr>
          <w:spacing w:val="-2"/>
          <w:vertAlign w:val="superscript"/>
        </w:rPr>
        <w:t>486</w:t>
      </w:r>
    </w:p>
    <w:p>
      <w:pPr>
        <w:pStyle w:val="BodyText"/>
        <w:spacing w:before="115"/>
        <w:rPr>
          <w:sz w:val="20"/>
        </w:rPr>
      </w:pPr>
      <w:r>
        <w:rPr/>
        <mc:AlternateContent>
          <mc:Choice Requires="wps">
            <w:drawing>
              <wp:anchor distT="0" distB="0" distL="0" distR="0" allowOverlap="1" layoutInCell="1" locked="0" behindDoc="1" simplePos="0" relativeHeight="487739904">
                <wp:simplePos x="0" y="0"/>
                <wp:positionH relativeFrom="page">
                  <wp:posOffset>899999</wp:posOffset>
                </wp:positionH>
                <wp:positionV relativeFrom="paragraph">
                  <wp:posOffset>243754</wp:posOffset>
                </wp:positionV>
                <wp:extent cx="6012180" cy="1270"/>
                <wp:effectExtent l="0" t="0" r="0" b="0"/>
                <wp:wrapTopAndBottom/>
                <wp:docPr id="809" name="Graphic 809"/>
                <wp:cNvGraphicFramePr>
                  <a:graphicFrameLocks/>
                </wp:cNvGraphicFramePr>
                <a:graphic>
                  <a:graphicData uri="http://schemas.microsoft.com/office/word/2010/wordprocessingShape">
                    <wps:wsp>
                      <wps:cNvPr id="809" name="Graphic 80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9.193245pt;width:473.4pt;height:.1pt;mso-position-horizontal-relative:page;mso-position-vertical-relative:paragraph;z-index:-15576576;mso-wrap-distance-left:0;mso-wrap-distance-right:0" id="docshape662" coordorigin="1417,384" coordsize="9468,0" path="m1417,384l10885,384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1276" w:hanging="567"/>
        <w:jc w:val="left"/>
        <w:rPr>
          <w:sz w:val="18"/>
        </w:rPr>
      </w:pPr>
      <w:r>
        <w:rPr>
          <w:sz w:val="18"/>
        </w:rPr>
        <w:t>UK</w:t>
      </w:r>
      <w:r>
        <w:rPr>
          <w:spacing w:val="-5"/>
          <w:sz w:val="18"/>
        </w:rPr>
        <w:t> </w:t>
      </w:r>
      <w:r>
        <w:rPr>
          <w:sz w:val="18"/>
        </w:rPr>
        <w:t>Medicines</w:t>
      </w:r>
      <w:r>
        <w:rPr>
          <w:spacing w:val="-6"/>
          <w:sz w:val="18"/>
        </w:rPr>
        <w:t> </w:t>
      </w:r>
      <w:r>
        <w:rPr>
          <w:sz w:val="18"/>
        </w:rPr>
        <w:t>and</w:t>
      </w:r>
      <w:r>
        <w:rPr>
          <w:spacing w:val="-6"/>
          <w:sz w:val="18"/>
        </w:rPr>
        <w:t> </w:t>
      </w:r>
      <w:r>
        <w:rPr>
          <w:sz w:val="18"/>
        </w:rPr>
        <w:t>Healthcare</w:t>
      </w:r>
      <w:r>
        <w:rPr>
          <w:spacing w:val="-5"/>
          <w:sz w:val="18"/>
        </w:rPr>
        <w:t> </w:t>
      </w:r>
      <w:r>
        <w:rPr>
          <w:sz w:val="18"/>
        </w:rPr>
        <w:t>products</w:t>
      </w:r>
      <w:r>
        <w:rPr>
          <w:spacing w:val="-6"/>
          <w:sz w:val="18"/>
        </w:rPr>
        <w:t> </w:t>
      </w:r>
      <w:r>
        <w:rPr>
          <w:sz w:val="18"/>
        </w:rPr>
        <w:t>Regulatory</w:t>
      </w:r>
      <w:r>
        <w:rPr>
          <w:spacing w:val="-5"/>
          <w:sz w:val="18"/>
        </w:rPr>
        <w:t> </w:t>
      </w:r>
      <w:r>
        <w:rPr>
          <w:sz w:val="18"/>
        </w:rPr>
        <w:t>Agency,</w:t>
      </w:r>
      <w:r>
        <w:rPr>
          <w:spacing w:val="-6"/>
          <w:sz w:val="18"/>
        </w:rPr>
        <w:t> </w:t>
      </w:r>
      <w:r>
        <w:rPr>
          <w:color w:val="1D71B8"/>
          <w:sz w:val="18"/>
          <w:u w:val="single" w:color="1D71B8"/>
        </w:rPr>
        <w:t>‘Guidance:</w:t>
      </w:r>
      <w:r>
        <w:rPr>
          <w:color w:val="1D71B8"/>
          <w:spacing w:val="-5"/>
          <w:sz w:val="18"/>
          <w:u w:val="single" w:color="1D71B8"/>
        </w:rPr>
        <w:t> </w:t>
      </w:r>
      <w:r>
        <w:rPr>
          <w:color w:val="1D71B8"/>
          <w:sz w:val="18"/>
          <w:u w:val="single" w:color="1D71B8"/>
        </w:rPr>
        <w:t>Supplying</w:t>
      </w:r>
      <w:r>
        <w:rPr>
          <w:color w:val="1D71B8"/>
          <w:spacing w:val="-5"/>
          <w:sz w:val="18"/>
          <w:u w:val="single" w:color="1D71B8"/>
        </w:rPr>
        <w:t> </w:t>
      </w:r>
      <w:r>
        <w:rPr>
          <w:color w:val="1D71B8"/>
          <w:sz w:val="18"/>
          <w:u w:val="single" w:color="1D71B8"/>
        </w:rPr>
        <w:t>authorised</w:t>
      </w:r>
      <w:r>
        <w:rPr>
          <w:color w:val="1D71B8"/>
          <w:spacing w:val="-6"/>
          <w:sz w:val="18"/>
          <w:u w:val="single" w:color="1D71B8"/>
        </w:rPr>
        <w:t> </w:t>
      </w:r>
      <w:r>
        <w:rPr>
          <w:color w:val="1D71B8"/>
          <w:sz w:val="18"/>
          <w:u w:val="single" w:color="1D71B8"/>
        </w:rPr>
        <w:t>medicines</w:t>
      </w:r>
      <w:r>
        <w:rPr>
          <w:color w:val="1D71B8"/>
          <w:spacing w:val="-6"/>
          <w:sz w:val="18"/>
          <w:u w:val="single" w:color="1D71B8"/>
        </w:rPr>
        <w:t> </w:t>
      </w:r>
      <w:r>
        <w:rPr>
          <w:color w:val="1D71B8"/>
          <w:sz w:val="18"/>
          <w:u w:val="single" w:color="1D71B8"/>
        </w:rPr>
        <w:t>to</w:t>
      </w:r>
      <w:r>
        <w:rPr>
          <w:color w:val="1D71B8"/>
          <w:spacing w:val="-6"/>
          <w:sz w:val="18"/>
          <w:u w:val="single" w:color="1D71B8"/>
        </w:rPr>
        <w:t> </w:t>
      </w:r>
      <w:r>
        <w:rPr>
          <w:color w:val="1D71B8"/>
          <w:sz w:val="18"/>
          <w:u w:val="single" w:color="1D71B8"/>
        </w:rPr>
        <w:t>Northern</w:t>
      </w:r>
      <w:r>
        <w:rPr>
          <w:color w:val="1D71B8"/>
          <w:sz w:val="18"/>
          <w:u w:val="none"/>
        </w:rPr>
        <w:t> </w:t>
      </w:r>
      <w:r>
        <w:rPr>
          <w:color w:val="1D71B8"/>
          <w:sz w:val="18"/>
          <w:u w:val="single" w:color="1D71B8"/>
        </w:rPr>
        <w:t>Ireland’</w:t>
      </w:r>
      <w:r>
        <w:rPr>
          <w:color w:val="1D71B8"/>
          <w:sz w:val="18"/>
          <w:u w:val="none"/>
        </w:rPr>
        <w:t> </w:t>
      </w:r>
      <w:r>
        <w:rPr>
          <w:sz w:val="18"/>
          <w:u w:val="none"/>
        </w:rPr>
        <w:t>(published 2020, last updated 2023).</w:t>
      </w:r>
    </w:p>
    <w:p>
      <w:pPr>
        <w:pStyle w:val="ListParagraph"/>
        <w:numPr>
          <w:ilvl w:val="0"/>
          <w:numId w:val="18"/>
        </w:numPr>
        <w:tabs>
          <w:tab w:pos="1684" w:val="left" w:leader="none"/>
        </w:tabs>
        <w:spacing w:line="240" w:lineRule="auto" w:before="1" w:after="0"/>
        <w:ind w:left="1684" w:right="1151" w:hanging="567"/>
        <w:jc w:val="left"/>
        <w:rPr>
          <w:sz w:val="18"/>
        </w:rPr>
      </w:pPr>
      <w:r>
        <w:rPr>
          <w:color w:val="1D71B8"/>
          <w:sz w:val="18"/>
          <w:u w:val="single" w:color="1D71B8"/>
        </w:rPr>
        <w:t>EU</w:t>
      </w:r>
      <w:r>
        <w:rPr>
          <w:color w:val="1D71B8"/>
          <w:spacing w:val="-3"/>
          <w:sz w:val="18"/>
          <w:u w:val="single" w:color="1D71B8"/>
        </w:rPr>
        <w:t> </w:t>
      </w:r>
      <w:r>
        <w:rPr>
          <w:color w:val="1D71B8"/>
          <w:sz w:val="18"/>
          <w:u w:val="single" w:color="1D71B8"/>
        </w:rPr>
        <w:t>Regulation</w:t>
      </w:r>
      <w:r>
        <w:rPr>
          <w:color w:val="1D71B8"/>
          <w:spacing w:val="-4"/>
          <w:sz w:val="18"/>
          <w:u w:val="single" w:color="1D71B8"/>
        </w:rPr>
        <w:t> </w:t>
      </w:r>
      <w:r>
        <w:rPr>
          <w:color w:val="1D71B8"/>
          <w:sz w:val="18"/>
          <w:u w:val="single" w:color="1D71B8"/>
        </w:rPr>
        <w:t>2023/1182</w:t>
      </w:r>
      <w:r>
        <w:rPr>
          <w:color w:val="1D71B8"/>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14</w:t>
      </w:r>
      <w:r>
        <w:rPr>
          <w:spacing w:val="-3"/>
          <w:sz w:val="18"/>
          <w:u w:val="none"/>
        </w:rPr>
        <w:t> </w:t>
      </w:r>
      <w:r>
        <w:rPr>
          <w:sz w:val="18"/>
          <w:u w:val="none"/>
        </w:rPr>
        <w:t>June</w:t>
      </w:r>
      <w:r>
        <w:rPr>
          <w:spacing w:val="-3"/>
          <w:sz w:val="18"/>
          <w:u w:val="none"/>
        </w:rPr>
        <w:t> </w:t>
      </w:r>
      <w:r>
        <w:rPr>
          <w:sz w:val="18"/>
          <w:u w:val="none"/>
        </w:rPr>
        <w:t>2023</w:t>
      </w:r>
      <w:r>
        <w:rPr>
          <w:spacing w:val="-3"/>
          <w:sz w:val="18"/>
          <w:u w:val="none"/>
        </w:rPr>
        <w:t> </w:t>
      </w:r>
      <w:r>
        <w:rPr>
          <w:sz w:val="18"/>
          <w:u w:val="none"/>
        </w:rPr>
        <w:t>on</w:t>
      </w:r>
      <w:r>
        <w:rPr>
          <w:spacing w:val="-4"/>
          <w:sz w:val="18"/>
          <w:u w:val="none"/>
        </w:rPr>
        <w:t> </w:t>
      </w:r>
      <w:r>
        <w:rPr>
          <w:sz w:val="18"/>
          <w:u w:val="none"/>
        </w:rPr>
        <w:t>specific</w:t>
      </w:r>
      <w:r>
        <w:rPr>
          <w:spacing w:val="-3"/>
          <w:sz w:val="18"/>
          <w:u w:val="none"/>
        </w:rPr>
        <w:t> </w:t>
      </w:r>
      <w:r>
        <w:rPr>
          <w:sz w:val="18"/>
          <w:u w:val="none"/>
        </w:rPr>
        <w:t>rules</w:t>
      </w:r>
      <w:r>
        <w:rPr>
          <w:spacing w:val="-4"/>
          <w:sz w:val="18"/>
          <w:u w:val="none"/>
        </w:rPr>
        <w:t> </w:t>
      </w:r>
      <w:r>
        <w:rPr>
          <w:sz w:val="18"/>
          <w:u w:val="none"/>
        </w:rPr>
        <w:t>relating</w:t>
      </w:r>
      <w:r>
        <w:rPr>
          <w:spacing w:val="-3"/>
          <w:sz w:val="18"/>
          <w:u w:val="none"/>
        </w:rPr>
        <w:t> </w:t>
      </w:r>
      <w:r>
        <w:rPr>
          <w:sz w:val="18"/>
          <w:u w:val="none"/>
        </w:rPr>
        <w:t>to medicinal</w:t>
      </w:r>
      <w:r>
        <w:rPr>
          <w:spacing w:val="-1"/>
          <w:sz w:val="18"/>
          <w:u w:val="none"/>
        </w:rPr>
        <w:t> </w:t>
      </w:r>
      <w:r>
        <w:rPr>
          <w:sz w:val="18"/>
          <w:u w:val="none"/>
        </w:rPr>
        <w:t>products</w:t>
      </w:r>
      <w:r>
        <w:rPr>
          <w:spacing w:val="-1"/>
          <w:sz w:val="18"/>
          <w:u w:val="none"/>
        </w:rPr>
        <w:t> </w:t>
      </w:r>
      <w:r>
        <w:rPr>
          <w:sz w:val="18"/>
          <w:u w:val="none"/>
        </w:rPr>
        <w:t>for human</w:t>
      </w:r>
      <w:r>
        <w:rPr>
          <w:spacing w:val="-1"/>
          <w:sz w:val="18"/>
          <w:u w:val="none"/>
        </w:rPr>
        <w:t> </w:t>
      </w:r>
      <w:r>
        <w:rPr>
          <w:sz w:val="18"/>
          <w:u w:val="none"/>
        </w:rPr>
        <w:t>use intended</w:t>
      </w:r>
      <w:r>
        <w:rPr>
          <w:spacing w:val="-1"/>
          <w:sz w:val="18"/>
          <w:u w:val="none"/>
        </w:rPr>
        <w:t> </w:t>
      </w:r>
      <w:r>
        <w:rPr>
          <w:sz w:val="18"/>
          <w:u w:val="none"/>
        </w:rPr>
        <w:t>to</w:t>
      </w:r>
      <w:r>
        <w:rPr>
          <w:spacing w:val="-1"/>
          <w:sz w:val="18"/>
          <w:u w:val="none"/>
        </w:rPr>
        <w:t> </w:t>
      </w:r>
      <w:r>
        <w:rPr>
          <w:sz w:val="18"/>
          <w:u w:val="none"/>
        </w:rPr>
        <w:t>be placed</w:t>
      </w:r>
      <w:r>
        <w:rPr>
          <w:spacing w:val="-1"/>
          <w:sz w:val="18"/>
          <w:u w:val="none"/>
        </w:rPr>
        <w:t> </w:t>
      </w:r>
      <w:r>
        <w:rPr>
          <w:sz w:val="18"/>
          <w:u w:val="none"/>
        </w:rPr>
        <w:t>on</w:t>
      </w:r>
      <w:r>
        <w:rPr>
          <w:spacing w:val="-1"/>
          <w:sz w:val="18"/>
          <w:u w:val="none"/>
        </w:rPr>
        <w:t> </w:t>
      </w:r>
      <w:r>
        <w:rPr>
          <w:sz w:val="18"/>
          <w:u w:val="none"/>
        </w:rPr>
        <w:t>the market in</w:t>
      </w:r>
      <w:r>
        <w:rPr>
          <w:spacing w:val="-1"/>
          <w:sz w:val="18"/>
          <w:u w:val="none"/>
        </w:rPr>
        <w:t> </w:t>
      </w:r>
      <w:r>
        <w:rPr>
          <w:sz w:val="18"/>
          <w:u w:val="none"/>
        </w:rPr>
        <w:t>Northern</w:t>
      </w:r>
      <w:r>
        <w:rPr>
          <w:spacing w:val="-1"/>
          <w:sz w:val="18"/>
          <w:u w:val="none"/>
        </w:rPr>
        <w:t> </w:t>
      </w:r>
      <w:r>
        <w:rPr>
          <w:sz w:val="18"/>
          <w:u w:val="none"/>
        </w:rPr>
        <w:t>Ireland</w:t>
      </w:r>
      <w:r>
        <w:rPr>
          <w:spacing w:val="-1"/>
          <w:sz w:val="18"/>
          <w:u w:val="none"/>
        </w:rPr>
        <w:t> </w:t>
      </w:r>
      <w:r>
        <w:rPr>
          <w:sz w:val="18"/>
          <w:u w:val="none"/>
        </w:rPr>
        <w:t>and</w:t>
      </w:r>
      <w:r>
        <w:rPr>
          <w:spacing w:val="-1"/>
          <w:sz w:val="18"/>
          <w:u w:val="none"/>
        </w:rPr>
        <w:t> </w:t>
      </w:r>
      <w:r>
        <w:rPr>
          <w:sz w:val="18"/>
          <w:u w:val="none"/>
        </w:rPr>
        <w:t>amending Directive </w:t>
      </w:r>
      <w:r>
        <w:rPr>
          <w:spacing w:val="-2"/>
          <w:sz w:val="18"/>
          <w:u w:val="none"/>
        </w:rPr>
        <w:t>2001/83/E.</w:t>
      </w:r>
    </w:p>
    <w:p>
      <w:pPr>
        <w:pStyle w:val="ListParagraph"/>
        <w:numPr>
          <w:ilvl w:val="0"/>
          <w:numId w:val="18"/>
        </w:numPr>
        <w:tabs>
          <w:tab w:pos="1684" w:val="left" w:leader="none"/>
        </w:tabs>
        <w:spacing w:line="240" w:lineRule="auto" w:before="1" w:after="0"/>
        <w:ind w:left="1684" w:right="887" w:hanging="567"/>
        <w:jc w:val="left"/>
        <w:rPr>
          <w:sz w:val="18"/>
        </w:rPr>
      </w:pPr>
      <w:hyperlink r:id="rId148">
        <w:r>
          <w:rPr>
            <w:color w:val="1D71B8"/>
            <w:sz w:val="18"/>
            <w:u w:val="single" w:color="1D71B8"/>
          </w:rPr>
          <w:t>EU Regulation2022/641</w:t>
        </w:r>
      </w:hyperlink>
      <w:r>
        <w:rPr>
          <w:color w:val="1D71B8"/>
          <w:sz w:val="18"/>
          <w:u w:val="none"/>
        </w:rPr>
        <w:t> </w:t>
      </w:r>
      <w:r>
        <w:rPr>
          <w:sz w:val="18"/>
          <w:u w:val="none"/>
        </w:rPr>
        <w:t>of the European Parliament and of the Council of 12 April 2022 amending EU Regulation No 536/2014</w:t>
      </w:r>
      <w:r>
        <w:rPr>
          <w:spacing w:val="-6"/>
          <w:sz w:val="18"/>
          <w:u w:val="none"/>
        </w:rPr>
        <w:t> </w:t>
      </w:r>
      <w:r>
        <w:rPr>
          <w:sz w:val="18"/>
          <w:u w:val="none"/>
        </w:rPr>
        <w:t>as</w:t>
      </w:r>
      <w:r>
        <w:rPr>
          <w:spacing w:val="-7"/>
          <w:sz w:val="18"/>
          <w:u w:val="none"/>
        </w:rPr>
        <w:t> </w:t>
      </w:r>
      <w:r>
        <w:rPr>
          <w:sz w:val="18"/>
          <w:u w:val="none"/>
        </w:rPr>
        <w:t>regards</w:t>
      </w:r>
      <w:r>
        <w:rPr>
          <w:spacing w:val="-7"/>
          <w:sz w:val="18"/>
          <w:u w:val="none"/>
        </w:rPr>
        <w:t> </w:t>
      </w:r>
      <w:r>
        <w:rPr>
          <w:sz w:val="18"/>
          <w:u w:val="none"/>
        </w:rPr>
        <w:t>a</w:t>
      </w:r>
      <w:r>
        <w:rPr>
          <w:spacing w:val="-7"/>
          <w:sz w:val="18"/>
          <w:u w:val="none"/>
        </w:rPr>
        <w:t> </w:t>
      </w:r>
      <w:r>
        <w:rPr>
          <w:sz w:val="18"/>
          <w:u w:val="none"/>
        </w:rPr>
        <w:t>derogation</w:t>
      </w:r>
      <w:r>
        <w:rPr>
          <w:spacing w:val="-7"/>
          <w:sz w:val="18"/>
          <w:u w:val="none"/>
        </w:rPr>
        <w:t> </w:t>
      </w:r>
      <w:r>
        <w:rPr>
          <w:sz w:val="18"/>
          <w:u w:val="none"/>
        </w:rPr>
        <w:t>from</w:t>
      </w:r>
      <w:r>
        <w:rPr>
          <w:spacing w:val="-6"/>
          <w:sz w:val="18"/>
          <w:u w:val="none"/>
        </w:rPr>
        <w:t> </w:t>
      </w:r>
      <w:r>
        <w:rPr>
          <w:sz w:val="18"/>
          <w:u w:val="none"/>
        </w:rPr>
        <w:t>certain</w:t>
      </w:r>
      <w:r>
        <w:rPr>
          <w:spacing w:val="-7"/>
          <w:sz w:val="18"/>
          <w:u w:val="none"/>
        </w:rPr>
        <w:t> </w:t>
      </w:r>
      <w:r>
        <w:rPr>
          <w:sz w:val="18"/>
          <w:u w:val="none"/>
        </w:rPr>
        <w:t>obligations</w:t>
      </w:r>
      <w:r>
        <w:rPr>
          <w:spacing w:val="-7"/>
          <w:sz w:val="18"/>
          <w:u w:val="none"/>
        </w:rPr>
        <w:t> </w:t>
      </w:r>
      <w:r>
        <w:rPr>
          <w:sz w:val="18"/>
          <w:u w:val="none"/>
        </w:rPr>
        <w:t>concerning</w:t>
      </w:r>
      <w:r>
        <w:rPr>
          <w:spacing w:val="-6"/>
          <w:sz w:val="18"/>
          <w:u w:val="none"/>
        </w:rPr>
        <w:t> </w:t>
      </w:r>
      <w:r>
        <w:rPr>
          <w:sz w:val="18"/>
          <w:u w:val="none"/>
        </w:rPr>
        <w:t>investigational</w:t>
      </w:r>
      <w:r>
        <w:rPr>
          <w:spacing w:val="-7"/>
          <w:sz w:val="18"/>
          <w:u w:val="none"/>
        </w:rPr>
        <w:t> </w:t>
      </w:r>
      <w:r>
        <w:rPr>
          <w:sz w:val="18"/>
          <w:u w:val="none"/>
        </w:rPr>
        <w:t>medicinal</w:t>
      </w:r>
      <w:r>
        <w:rPr>
          <w:spacing w:val="-7"/>
          <w:sz w:val="18"/>
          <w:u w:val="none"/>
        </w:rPr>
        <w:t> </w:t>
      </w:r>
      <w:r>
        <w:rPr>
          <w:sz w:val="18"/>
          <w:u w:val="none"/>
        </w:rPr>
        <w:t>products</w:t>
      </w:r>
      <w:r>
        <w:rPr>
          <w:spacing w:val="-7"/>
          <w:sz w:val="18"/>
          <w:u w:val="none"/>
        </w:rPr>
        <w:t> </w:t>
      </w:r>
      <w:r>
        <w:rPr>
          <w:sz w:val="18"/>
          <w:u w:val="none"/>
        </w:rPr>
        <w:t>made</w:t>
      </w:r>
      <w:r>
        <w:rPr>
          <w:spacing w:val="-6"/>
          <w:sz w:val="18"/>
          <w:u w:val="none"/>
        </w:rPr>
        <w:t> </w:t>
      </w:r>
      <w:r>
        <w:rPr>
          <w:sz w:val="18"/>
          <w:u w:val="none"/>
        </w:rPr>
        <w:t>available in the United Kingdom in respect of Northern Ireland and in Cyprus, Ireland and Malta.</w:t>
      </w:r>
    </w:p>
    <w:p>
      <w:pPr>
        <w:pStyle w:val="ListParagraph"/>
        <w:numPr>
          <w:ilvl w:val="0"/>
          <w:numId w:val="18"/>
        </w:numPr>
        <w:tabs>
          <w:tab w:pos="1684" w:val="left" w:leader="none"/>
        </w:tabs>
        <w:spacing w:line="240" w:lineRule="auto" w:before="1" w:after="0"/>
        <w:ind w:left="1684" w:right="843" w:hanging="567"/>
        <w:jc w:val="left"/>
        <w:rPr>
          <w:sz w:val="18"/>
        </w:rPr>
      </w:pPr>
      <w:hyperlink r:id="rId148">
        <w:r>
          <w:rPr>
            <w:color w:val="1D71B8"/>
            <w:sz w:val="18"/>
            <w:u w:val="single" w:color="1D71B8"/>
          </w:rPr>
          <w:t>EU Regulation 2022/2371</w:t>
        </w:r>
      </w:hyperlink>
      <w:r>
        <w:rPr>
          <w:color w:val="1D71B8"/>
          <w:sz w:val="18"/>
          <w:u w:val="none"/>
        </w:rPr>
        <w:t> </w:t>
      </w:r>
      <w:r>
        <w:rPr>
          <w:sz w:val="18"/>
          <w:u w:val="none"/>
        </w:rPr>
        <w:t>of the European Parliament and of the Council of 23 November 2022 on serious cross-border threats</w:t>
      </w:r>
      <w:r>
        <w:rPr>
          <w:spacing w:val="-4"/>
          <w:sz w:val="18"/>
          <w:u w:val="none"/>
        </w:rPr>
        <w:t> </w:t>
      </w:r>
      <w:r>
        <w:rPr>
          <w:sz w:val="18"/>
          <w:u w:val="none"/>
        </w:rPr>
        <w:t>to</w:t>
      </w:r>
      <w:r>
        <w:rPr>
          <w:spacing w:val="-4"/>
          <w:sz w:val="18"/>
          <w:u w:val="none"/>
        </w:rPr>
        <w:t> </w:t>
      </w:r>
      <w:r>
        <w:rPr>
          <w:sz w:val="18"/>
          <w:u w:val="none"/>
        </w:rPr>
        <w:t>health</w:t>
      </w:r>
      <w:r>
        <w:rPr>
          <w:spacing w:val="-4"/>
          <w:sz w:val="18"/>
          <w:u w:val="none"/>
        </w:rPr>
        <w:t> </w:t>
      </w:r>
      <w:r>
        <w:rPr>
          <w:sz w:val="18"/>
          <w:u w:val="none"/>
        </w:rPr>
        <w:t>and</w:t>
      </w:r>
      <w:r>
        <w:rPr>
          <w:spacing w:val="-4"/>
          <w:sz w:val="18"/>
          <w:u w:val="none"/>
        </w:rPr>
        <w:t> </w:t>
      </w:r>
      <w:r>
        <w:rPr>
          <w:sz w:val="18"/>
          <w:u w:val="none"/>
        </w:rPr>
        <w:t>repealing</w:t>
      </w:r>
      <w:r>
        <w:rPr>
          <w:spacing w:val="-3"/>
          <w:sz w:val="18"/>
          <w:u w:val="none"/>
        </w:rPr>
        <w:t> </w:t>
      </w:r>
      <w:r>
        <w:rPr>
          <w:sz w:val="18"/>
          <w:u w:val="none"/>
        </w:rPr>
        <w:t>Decision</w:t>
      </w:r>
      <w:r>
        <w:rPr>
          <w:spacing w:val="-4"/>
          <w:sz w:val="18"/>
          <w:u w:val="none"/>
        </w:rPr>
        <w:t> </w:t>
      </w:r>
      <w:r>
        <w:rPr>
          <w:sz w:val="18"/>
          <w:u w:val="none"/>
        </w:rPr>
        <w:t>No</w:t>
      </w:r>
      <w:r>
        <w:rPr>
          <w:spacing w:val="-4"/>
          <w:sz w:val="18"/>
          <w:u w:val="none"/>
        </w:rPr>
        <w:t> </w:t>
      </w:r>
      <w:r>
        <w:rPr>
          <w:sz w:val="18"/>
          <w:u w:val="none"/>
        </w:rPr>
        <w:t>1082/2013/EU</w:t>
      </w:r>
      <w:r>
        <w:rPr>
          <w:spacing w:val="-3"/>
          <w:sz w:val="18"/>
          <w:u w:val="none"/>
        </w:rPr>
        <w:t> </w:t>
      </w:r>
      <w:r>
        <w:rPr>
          <w:sz w:val="18"/>
          <w:u w:val="none"/>
        </w:rPr>
        <w:t>(see</w:t>
      </w:r>
      <w:r>
        <w:rPr>
          <w:spacing w:val="-3"/>
          <w:sz w:val="18"/>
          <w:u w:val="none"/>
        </w:rPr>
        <w:t> </w:t>
      </w:r>
      <w:r>
        <w:rPr>
          <w:sz w:val="18"/>
          <w:u w:val="none"/>
        </w:rPr>
        <w:t>previously</w:t>
      </w:r>
      <w:r>
        <w:rPr>
          <w:spacing w:val="-3"/>
          <w:sz w:val="18"/>
          <w:u w:val="none"/>
        </w:rPr>
        <w:t> </w:t>
      </w:r>
      <w:r>
        <w:rPr>
          <w:sz w:val="18"/>
          <w:u w:val="none"/>
        </w:rPr>
        <w:t>adopted:</w:t>
      </w:r>
      <w:r>
        <w:rPr>
          <w:spacing w:val="-3"/>
          <w:sz w:val="18"/>
          <w:u w:val="none"/>
        </w:rPr>
        <w:t> </w:t>
      </w:r>
      <w:r>
        <w:rPr>
          <w:sz w:val="18"/>
          <w:u w:val="none"/>
        </w:rPr>
        <w:t>EU</w:t>
      </w:r>
      <w:r>
        <w:rPr>
          <w:spacing w:val="-3"/>
          <w:sz w:val="18"/>
          <w:u w:val="none"/>
        </w:rPr>
        <w:t> </w:t>
      </w:r>
      <w:r>
        <w:rPr>
          <w:sz w:val="18"/>
          <w:u w:val="none"/>
        </w:rPr>
        <w:t>Council</w:t>
      </w:r>
      <w:r>
        <w:rPr>
          <w:spacing w:val="-4"/>
          <w:sz w:val="18"/>
          <w:u w:val="none"/>
        </w:rPr>
        <w:t> </w:t>
      </w:r>
      <w:r>
        <w:rPr>
          <w:sz w:val="18"/>
          <w:u w:val="none"/>
        </w:rPr>
        <w:t>Regulation</w:t>
      </w:r>
      <w:r>
        <w:rPr>
          <w:spacing w:val="-4"/>
          <w:sz w:val="18"/>
          <w:u w:val="none"/>
        </w:rPr>
        <w:t> </w:t>
      </w:r>
      <w:r>
        <w:rPr>
          <w:sz w:val="18"/>
          <w:u w:val="none"/>
        </w:rPr>
        <w:t>2022/2372</w:t>
      </w:r>
      <w:r>
        <w:rPr>
          <w:spacing w:val="-3"/>
          <w:sz w:val="18"/>
          <w:u w:val="none"/>
        </w:rPr>
        <w:t> </w:t>
      </w:r>
      <w:r>
        <w:rPr>
          <w:sz w:val="18"/>
          <w:u w:val="none"/>
        </w:rPr>
        <w:t>of 24 October 2022 on a framework of measures for ensuring the supply of crisis-relevant medical countermeasures in the event of a public health emergency at Union level).</w:t>
      </w:r>
    </w:p>
    <w:p>
      <w:pPr>
        <w:pStyle w:val="ListParagraph"/>
        <w:numPr>
          <w:ilvl w:val="0"/>
          <w:numId w:val="18"/>
        </w:numPr>
        <w:tabs>
          <w:tab w:pos="1684" w:val="left" w:leader="none"/>
        </w:tabs>
        <w:spacing w:line="240" w:lineRule="auto" w:before="1" w:after="0"/>
        <w:ind w:left="1684" w:right="909" w:hanging="567"/>
        <w:jc w:val="left"/>
        <w:rPr>
          <w:sz w:val="18"/>
        </w:rPr>
      </w:pPr>
      <w:hyperlink r:id="rId149">
        <w:r>
          <w:rPr>
            <w:color w:val="1D71B8"/>
            <w:sz w:val="18"/>
            <w:u w:val="single" w:color="1D71B8"/>
          </w:rPr>
          <w:t>EU</w:t>
        </w:r>
        <w:r>
          <w:rPr>
            <w:color w:val="1D71B8"/>
            <w:spacing w:val="-3"/>
            <w:sz w:val="18"/>
            <w:u w:val="single" w:color="1D71B8"/>
          </w:rPr>
          <w:t> </w:t>
        </w:r>
        <w:r>
          <w:rPr>
            <w:color w:val="1D71B8"/>
            <w:sz w:val="18"/>
            <w:u w:val="single" w:color="1D71B8"/>
          </w:rPr>
          <w:t>Regulation</w:t>
        </w:r>
        <w:r>
          <w:rPr>
            <w:color w:val="1D71B8"/>
            <w:spacing w:val="-4"/>
            <w:sz w:val="18"/>
            <w:u w:val="single" w:color="1D71B8"/>
          </w:rPr>
          <w:t> </w:t>
        </w:r>
        <w:r>
          <w:rPr>
            <w:color w:val="1D71B8"/>
            <w:sz w:val="18"/>
            <w:u w:val="single" w:color="1D71B8"/>
          </w:rPr>
          <w:t>2022/2370</w:t>
        </w:r>
      </w:hyperlink>
      <w:r>
        <w:rPr>
          <w:color w:val="1D71B8"/>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23</w:t>
      </w:r>
      <w:r>
        <w:rPr>
          <w:spacing w:val="-3"/>
          <w:sz w:val="18"/>
          <w:u w:val="none"/>
        </w:rPr>
        <w:t> </w:t>
      </w:r>
      <w:r>
        <w:rPr>
          <w:sz w:val="18"/>
          <w:u w:val="none"/>
        </w:rPr>
        <w:t>November</w:t>
      </w:r>
      <w:r>
        <w:rPr>
          <w:spacing w:val="-3"/>
          <w:sz w:val="18"/>
          <w:u w:val="none"/>
        </w:rPr>
        <w:t> </w:t>
      </w:r>
      <w:r>
        <w:rPr>
          <w:sz w:val="18"/>
          <w:u w:val="none"/>
        </w:rPr>
        <w:t>2022</w:t>
      </w:r>
      <w:r>
        <w:rPr>
          <w:spacing w:val="-3"/>
          <w:sz w:val="18"/>
          <w:u w:val="none"/>
        </w:rPr>
        <w:t> </w:t>
      </w:r>
      <w:r>
        <w:rPr>
          <w:sz w:val="18"/>
          <w:u w:val="none"/>
        </w:rPr>
        <w:t>amending</w:t>
      </w:r>
      <w:r>
        <w:rPr>
          <w:spacing w:val="-3"/>
          <w:sz w:val="18"/>
          <w:u w:val="none"/>
        </w:rPr>
        <w:t> </w:t>
      </w:r>
      <w:r>
        <w:rPr>
          <w:sz w:val="18"/>
          <w:u w:val="none"/>
        </w:rPr>
        <w:t>EC</w:t>
      </w:r>
      <w:r>
        <w:rPr>
          <w:spacing w:val="-4"/>
          <w:sz w:val="18"/>
          <w:u w:val="none"/>
        </w:rPr>
        <w:t> </w:t>
      </w:r>
      <w:r>
        <w:rPr>
          <w:sz w:val="18"/>
          <w:u w:val="none"/>
        </w:rPr>
        <w:t>Regulation No 851/2004 establishing a European centre for disease prevention and control.</w:t>
      </w:r>
    </w:p>
    <w:p>
      <w:pPr>
        <w:pStyle w:val="ListParagraph"/>
        <w:numPr>
          <w:ilvl w:val="0"/>
          <w:numId w:val="18"/>
        </w:numPr>
        <w:tabs>
          <w:tab w:pos="1684" w:val="left" w:leader="none"/>
        </w:tabs>
        <w:spacing w:line="240" w:lineRule="auto" w:before="0" w:after="0"/>
        <w:ind w:left="1684" w:right="1008" w:hanging="567"/>
        <w:jc w:val="left"/>
        <w:rPr>
          <w:sz w:val="18"/>
        </w:rPr>
      </w:pPr>
      <w:hyperlink r:id="rId150">
        <w:r>
          <w:rPr>
            <w:color w:val="1D71B8"/>
            <w:sz w:val="18"/>
            <w:u w:val="single" w:color="1D71B8"/>
          </w:rPr>
          <w:t>EU</w:t>
        </w:r>
        <w:r>
          <w:rPr>
            <w:color w:val="1D71B8"/>
            <w:spacing w:val="-3"/>
            <w:sz w:val="18"/>
            <w:u w:val="single" w:color="1D71B8"/>
          </w:rPr>
          <w:t> </w:t>
        </w:r>
        <w:r>
          <w:rPr>
            <w:color w:val="1D71B8"/>
            <w:sz w:val="18"/>
            <w:u w:val="single" w:color="1D71B8"/>
          </w:rPr>
          <w:t>Regulation</w:t>
        </w:r>
        <w:r>
          <w:rPr>
            <w:color w:val="1D71B8"/>
            <w:spacing w:val="-4"/>
            <w:sz w:val="18"/>
            <w:u w:val="single" w:color="1D71B8"/>
          </w:rPr>
          <w:t> </w:t>
        </w:r>
        <w:r>
          <w:rPr>
            <w:color w:val="1D71B8"/>
            <w:sz w:val="18"/>
            <w:u w:val="single" w:color="1D71B8"/>
          </w:rPr>
          <w:t>2022/123</w:t>
        </w:r>
      </w:hyperlink>
      <w:r>
        <w:rPr>
          <w:color w:val="1D71B8"/>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25</w:t>
      </w:r>
      <w:r>
        <w:rPr>
          <w:spacing w:val="-3"/>
          <w:sz w:val="18"/>
          <w:u w:val="none"/>
        </w:rPr>
        <w:t> </w:t>
      </w:r>
      <w:r>
        <w:rPr>
          <w:sz w:val="18"/>
          <w:u w:val="none"/>
        </w:rPr>
        <w:t>January</w:t>
      </w:r>
      <w:r>
        <w:rPr>
          <w:spacing w:val="-3"/>
          <w:sz w:val="18"/>
          <w:u w:val="none"/>
        </w:rPr>
        <w:t> </w:t>
      </w:r>
      <w:r>
        <w:rPr>
          <w:sz w:val="18"/>
          <w:u w:val="none"/>
        </w:rPr>
        <w:t>2022</w:t>
      </w:r>
      <w:r>
        <w:rPr>
          <w:spacing w:val="-3"/>
          <w:sz w:val="18"/>
          <w:u w:val="none"/>
        </w:rPr>
        <w:t> </w:t>
      </w:r>
      <w:r>
        <w:rPr>
          <w:sz w:val="18"/>
          <w:u w:val="none"/>
        </w:rPr>
        <w:t>on</w:t>
      </w:r>
      <w:r>
        <w:rPr>
          <w:spacing w:val="-4"/>
          <w:sz w:val="18"/>
          <w:u w:val="none"/>
        </w:rPr>
        <w:t> </w:t>
      </w:r>
      <w:r>
        <w:rPr>
          <w:sz w:val="18"/>
          <w:u w:val="none"/>
        </w:rPr>
        <w:t>a</w:t>
      </w:r>
      <w:r>
        <w:rPr>
          <w:spacing w:val="-4"/>
          <w:sz w:val="18"/>
          <w:u w:val="none"/>
        </w:rPr>
        <w:t> </w:t>
      </w:r>
      <w:r>
        <w:rPr>
          <w:sz w:val="18"/>
          <w:u w:val="none"/>
        </w:rPr>
        <w:t>reinforced</w:t>
      </w:r>
      <w:r>
        <w:rPr>
          <w:spacing w:val="-4"/>
          <w:sz w:val="18"/>
          <w:u w:val="none"/>
        </w:rPr>
        <w:t> </w:t>
      </w:r>
      <w:r>
        <w:rPr>
          <w:sz w:val="18"/>
          <w:u w:val="none"/>
        </w:rPr>
        <w:t>role</w:t>
      </w:r>
      <w:r>
        <w:rPr>
          <w:spacing w:val="-3"/>
          <w:sz w:val="18"/>
          <w:u w:val="none"/>
        </w:rPr>
        <w:t> </w:t>
      </w:r>
      <w:r>
        <w:rPr>
          <w:sz w:val="18"/>
          <w:u w:val="none"/>
        </w:rPr>
        <w:t>for</w:t>
      </w:r>
      <w:r>
        <w:rPr>
          <w:spacing w:val="-3"/>
          <w:sz w:val="18"/>
          <w:u w:val="none"/>
        </w:rPr>
        <w:t> </w:t>
      </w:r>
      <w:r>
        <w:rPr>
          <w:sz w:val="18"/>
          <w:u w:val="none"/>
        </w:rPr>
        <w:t>the European Medicines Agency in crisis preparedness and management for medicinal products and medical devices.</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58624">
                <wp:simplePos x="0" y="0"/>
                <wp:positionH relativeFrom="page">
                  <wp:posOffset>0</wp:posOffset>
                </wp:positionH>
                <wp:positionV relativeFrom="page">
                  <wp:posOffset>0</wp:posOffset>
                </wp:positionV>
                <wp:extent cx="7560309" cy="1155065"/>
                <wp:effectExtent l="0" t="0" r="0" b="0"/>
                <wp:wrapNone/>
                <wp:docPr id="810" name="Group 810"/>
                <wp:cNvGraphicFramePr>
                  <a:graphicFrameLocks/>
                </wp:cNvGraphicFramePr>
                <a:graphic>
                  <a:graphicData uri="http://schemas.microsoft.com/office/word/2010/wordprocessingGroup">
                    <wpg:wgp>
                      <wpg:cNvPr id="810" name="Group 810"/>
                      <wpg:cNvGrpSpPr/>
                      <wpg:grpSpPr>
                        <a:xfrm>
                          <a:off x="0" y="0"/>
                          <a:ext cx="7560309" cy="1155065"/>
                          <a:chExt cx="7560309" cy="1155065"/>
                        </a:xfrm>
                      </wpg:grpSpPr>
                      <wps:wsp>
                        <wps:cNvPr id="811" name="Graphic 811"/>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812" name="Graphic 812"/>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57856" id="docshapegroup663" coordorigin="0,0" coordsize="11906,1819">
                <v:shape style="position:absolute;left:0;top:0;width:11906;height:1819" id="docshape664"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4.3.3.3 Recently proposed EU legislation" w:id="146"/>
      <w:bookmarkEnd w:id="146"/>
      <w:r>
        <w:rPr/>
      </w:r>
      <w:bookmarkStart w:name="_bookmark61" w:id="147"/>
      <w:bookmarkEnd w:id="147"/>
      <w:r>
        <w:rPr/>
      </w:r>
      <w:r>
        <w:rPr>
          <w:b/>
          <w:color w:val="FFFFFF"/>
          <w:spacing w:val="-5"/>
          <w:position w:val="-1"/>
          <w:sz w:val="28"/>
        </w:rPr>
        <w:t>94</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401"/>
      </w:pPr>
      <w:r>
        <w:rPr/>
        <w:t>Since</w:t>
      </w:r>
      <w:r>
        <w:rPr>
          <w:spacing w:val="-1"/>
        </w:rPr>
        <w:t> </w:t>
      </w:r>
      <w:r>
        <w:rPr/>
        <w:t>the</w:t>
      </w:r>
      <w:r>
        <w:rPr>
          <w:spacing w:val="-1"/>
        </w:rPr>
        <w:t> </w:t>
      </w:r>
      <w:r>
        <w:rPr/>
        <w:t>UK</w:t>
      </w:r>
      <w:r>
        <w:rPr>
          <w:spacing w:val="-1"/>
        </w:rPr>
        <w:t> </w:t>
      </w:r>
      <w:r>
        <w:rPr/>
        <w:t>is</w:t>
      </w:r>
      <w:r>
        <w:rPr>
          <w:spacing w:val="-2"/>
        </w:rPr>
        <w:t> </w:t>
      </w:r>
      <w:r>
        <w:rPr/>
        <w:t>no</w:t>
      </w:r>
      <w:r>
        <w:rPr>
          <w:spacing w:val="-2"/>
        </w:rPr>
        <w:t> </w:t>
      </w:r>
      <w:r>
        <w:rPr/>
        <w:t>longer</w:t>
      </w:r>
      <w:r>
        <w:rPr>
          <w:spacing w:val="-1"/>
        </w:rPr>
        <w:t> </w:t>
      </w:r>
      <w:r>
        <w:rPr/>
        <w:t>part</w:t>
      </w:r>
      <w:r>
        <w:rPr>
          <w:spacing w:val="-1"/>
        </w:rPr>
        <w:t> </w:t>
      </w:r>
      <w:r>
        <w:rPr/>
        <w:t>of</w:t>
      </w:r>
      <w:r>
        <w:rPr>
          <w:spacing w:val="-2"/>
        </w:rPr>
        <w:t> </w:t>
      </w:r>
      <w:r>
        <w:rPr/>
        <w:t>the</w:t>
      </w:r>
      <w:r>
        <w:rPr>
          <w:spacing w:val="-1"/>
        </w:rPr>
        <w:t> </w:t>
      </w:r>
      <w:r>
        <w:rPr/>
        <w:t>EU,</w:t>
      </w:r>
      <w:r>
        <w:rPr>
          <w:spacing w:val="-1"/>
        </w:rPr>
        <w:t> </w:t>
      </w:r>
      <w:r>
        <w:rPr/>
        <w:t>it</w:t>
      </w:r>
      <w:r>
        <w:rPr>
          <w:spacing w:val="-1"/>
        </w:rPr>
        <w:t> </w:t>
      </w:r>
      <w:r>
        <w:rPr/>
        <w:t>does</w:t>
      </w:r>
      <w:r>
        <w:rPr>
          <w:spacing w:val="-2"/>
        </w:rPr>
        <w:t> </w:t>
      </w:r>
      <w:r>
        <w:rPr/>
        <w:t>not</w:t>
      </w:r>
      <w:r>
        <w:rPr>
          <w:spacing w:val="-1"/>
        </w:rPr>
        <w:t> </w:t>
      </w:r>
      <w:r>
        <w:rPr/>
        <w:t>participate</w:t>
      </w:r>
      <w:r>
        <w:rPr>
          <w:spacing w:val="-1"/>
        </w:rPr>
        <w:t> </w:t>
      </w:r>
      <w:r>
        <w:rPr/>
        <w:t>in</w:t>
      </w:r>
      <w:r>
        <w:rPr>
          <w:spacing w:val="-2"/>
        </w:rPr>
        <w:t> </w:t>
      </w:r>
      <w:r>
        <w:rPr/>
        <w:t>EU</w:t>
      </w:r>
      <w:r>
        <w:rPr>
          <w:spacing w:val="-1"/>
        </w:rPr>
        <w:t> </w:t>
      </w:r>
      <w:r>
        <w:rPr/>
        <w:t>institutions’ or EU agencies’ activities such as the European Centre for Disease Prevention</w:t>
      </w:r>
      <w:r>
        <w:rPr/>
        <w:t> and</w:t>
      </w:r>
      <w:r>
        <w:rPr>
          <w:spacing w:val="-10"/>
        </w:rPr>
        <w:t> </w:t>
      </w:r>
      <w:r>
        <w:rPr/>
        <w:t>Control</w:t>
      </w:r>
      <w:r>
        <w:rPr>
          <w:spacing w:val="-10"/>
        </w:rPr>
        <w:t> </w:t>
      </w:r>
      <w:r>
        <w:rPr/>
        <w:t>or</w:t>
      </w:r>
      <w:r>
        <w:rPr>
          <w:spacing w:val="-10"/>
        </w:rPr>
        <w:t> </w:t>
      </w:r>
      <w:r>
        <w:rPr/>
        <w:t>the</w:t>
      </w:r>
      <w:r>
        <w:rPr>
          <w:spacing w:val="-10"/>
        </w:rPr>
        <w:t> </w:t>
      </w:r>
      <w:r>
        <w:rPr/>
        <w:t>European</w:t>
      </w:r>
      <w:r>
        <w:rPr>
          <w:spacing w:val="-10"/>
        </w:rPr>
        <w:t> </w:t>
      </w:r>
      <w:r>
        <w:rPr/>
        <w:t>Medicines</w:t>
      </w:r>
      <w:r>
        <w:rPr>
          <w:spacing w:val="-10"/>
        </w:rPr>
        <w:t> </w:t>
      </w:r>
      <w:r>
        <w:rPr/>
        <w:t>Agency.</w:t>
      </w:r>
      <w:r>
        <w:rPr>
          <w:spacing w:val="-10"/>
        </w:rPr>
        <w:t> </w:t>
      </w:r>
      <w:r>
        <w:rPr/>
        <w:t>However,</w:t>
      </w:r>
      <w:r>
        <w:rPr>
          <w:spacing w:val="-10"/>
        </w:rPr>
        <w:t> </w:t>
      </w:r>
      <w:r>
        <w:rPr/>
        <w:t>their</w:t>
      </w:r>
      <w:r>
        <w:rPr>
          <w:spacing w:val="-10"/>
        </w:rPr>
        <w:t> </w:t>
      </w:r>
      <w:r>
        <w:rPr/>
        <w:t>mandate</w:t>
      </w:r>
      <w:r>
        <w:rPr>
          <w:spacing w:val="-10"/>
        </w:rPr>
        <w:t> </w:t>
      </w:r>
      <w:r>
        <w:rPr/>
        <w:t>must</w:t>
      </w:r>
      <w:r>
        <w:rPr>
          <w:spacing w:val="-10"/>
        </w:rPr>
        <w:t> </w:t>
      </w:r>
      <w:r>
        <w:rPr/>
        <w:t>be respected</w:t>
      </w:r>
      <w:r>
        <w:rPr>
          <w:spacing w:val="-1"/>
        </w:rPr>
        <w:t> </w:t>
      </w:r>
      <w:r>
        <w:rPr/>
        <w:t>in</w:t>
      </w:r>
      <w:r>
        <w:rPr>
          <w:spacing w:val="-1"/>
        </w:rPr>
        <w:t> </w:t>
      </w:r>
      <w:r>
        <w:rPr/>
        <w:t>instances</w:t>
      </w:r>
      <w:r>
        <w:rPr>
          <w:spacing w:val="-1"/>
        </w:rPr>
        <w:t> </w:t>
      </w:r>
      <w:r>
        <w:rPr/>
        <w:t>of</w:t>
      </w:r>
      <w:r>
        <w:rPr>
          <w:spacing w:val="-1"/>
        </w:rPr>
        <w:t> </w:t>
      </w:r>
      <w:r>
        <w:rPr/>
        <w:t>cooperation.</w:t>
      </w:r>
      <w:r>
        <w:rPr>
          <w:spacing w:val="-1"/>
        </w:rPr>
        <w:t> </w:t>
      </w:r>
      <w:r>
        <w:rPr/>
        <w:t>The overarching rationale as</w:t>
      </w:r>
      <w:r>
        <w:rPr>
          <w:spacing w:val="-1"/>
        </w:rPr>
        <w:t> </w:t>
      </w:r>
      <w:r>
        <w:rPr/>
        <w:t>to</w:t>
      </w:r>
      <w:r>
        <w:rPr>
          <w:spacing w:val="-1"/>
        </w:rPr>
        <w:t> </w:t>
      </w:r>
      <w:r>
        <w:rPr/>
        <w:t>why these</w:t>
      </w:r>
    </w:p>
    <w:p>
      <w:pPr>
        <w:pStyle w:val="BodyText"/>
        <w:spacing w:line="232" w:lineRule="auto"/>
        <w:ind w:left="720" w:right="1087"/>
      </w:pPr>
      <w:r>
        <w:rPr/>
        <w:t>Regulations</w:t>
      </w:r>
      <w:r>
        <w:rPr>
          <w:spacing w:val="-7"/>
        </w:rPr>
        <w:t> </w:t>
      </w:r>
      <w:r>
        <w:rPr/>
        <w:t>make</w:t>
      </w:r>
      <w:r>
        <w:rPr>
          <w:spacing w:val="-6"/>
        </w:rPr>
        <w:t> </w:t>
      </w:r>
      <w:r>
        <w:rPr/>
        <w:t>a</w:t>
      </w:r>
      <w:r>
        <w:rPr>
          <w:spacing w:val="-7"/>
        </w:rPr>
        <w:t> </w:t>
      </w:r>
      <w:r>
        <w:rPr/>
        <w:t>difference</w:t>
      </w:r>
      <w:r>
        <w:rPr>
          <w:spacing w:val="-6"/>
        </w:rPr>
        <w:t> </w:t>
      </w:r>
      <w:r>
        <w:rPr/>
        <w:t>in</w:t>
      </w:r>
      <w:r>
        <w:rPr>
          <w:spacing w:val="-7"/>
        </w:rPr>
        <w:t> </w:t>
      </w:r>
      <w:r>
        <w:rPr/>
        <w:t>terms</w:t>
      </w:r>
      <w:r>
        <w:rPr>
          <w:spacing w:val="-7"/>
        </w:rPr>
        <w:t> </w:t>
      </w:r>
      <w:r>
        <w:rPr/>
        <w:t>of</w:t>
      </w:r>
      <w:r>
        <w:rPr>
          <w:spacing w:val="-7"/>
        </w:rPr>
        <w:t> </w:t>
      </w:r>
      <w:r>
        <w:rPr/>
        <w:t>the</w:t>
      </w:r>
      <w:r>
        <w:rPr>
          <w:spacing w:val="-6"/>
        </w:rPr>
        <w:t> </w:t>
      </w:r>
      <w:r>
        <w:rPr/>
        <w:t>right</w:t>
      </w:r>
      <w:r>
        <w:rPr>
          <w:spacing w:val="-6"/>
        </w:rPr>
        <w:t> </w:t>
      </w:r>
      <w:r>
        <w:rPr/>
        <w:t>to</w:t>
      </w:r>
      <w:r>
        <w:rPr>
          <w:spacing w:val="-7"/>
        </w:rPr>
        <w:t> </w:t>
      </w:r>
      <w:r>
        <w:rPr/>
        <w:t>health</w:t>
      </w:r>
      <w:r>
        <w:rPr>
          <w:spacing w:val="-7"/>
        </w:rPr>
        <w:t> </w:t>
      </w:r>
      <w:r>
        <w:rPr/>
        <w:t>relates</w:t>
      </w:r>
      <w:r>
        <w:rPr>
          <w:spacing w:val="-7"/>
        </w:rPr>
        <w:t> </w:t>
      </w:r>
      <w:r>
        <w:rPr/>
        <w:t>to</w:t>
      </w:r>
      <w:r>
        <w:rPr>
          <w:spacing w:val="-7"/>
        </w:rPr>
        <w:t> </w:t>
      </w:r>
      <w:r>
        <w:rPr/>
        <w:t>the</w:t>
      </w:r>
      <w:r>
        <w:rPr>
          <w:spacing w:val="-6"/>
        </w:rPr>
        <w:t> </w:t>
      </w:r>
      <w:r>
        <w:rPr/>
        <w:t>need</w:t>
      </w:r>
      <w:r>
        <w:rPr>
          <w:spacing w:val="-7"/>
        </w:rPr>
        <w:t> </w:t>
      </w:r>
      <w:r>
        <w:rPr/>
        <w:t>to respond effectively to cross border health matters and/or threats.</w:t>
      </w:r>
    </w:p>
    <w:p>
      <w:pPr>
        <w:pStyle w:val="BodyText"/>
        <w:spacing w:line="232" w:lineRule="auto" w:before="274"/>
        <w:ind w:left="720" w:right="1087"/>
      </w:pPr>
      <w:r>
        <w:rPr/>
        <w:t>Regarding</w:t>
      </w:r>
      <w:r>
        <w:rPr>
          <w:spacing w:val="-6"/>
        </w:rPr>
        <w:t> </w:t>
      </w:r>
      <w:r>
        <w:rPr/>
        <w:t>the</w:t>
      </w:r>
      <w:r>
        <w:rPr>
          <w:spacing w:val="-6"/>
        </w:rPr>
        <w:t> </w:t>
      </w:r>
      <w:r>
        <w:rPr/>
        <w:t>import</w:t>
      </w:r>
      <w:r>
        <w:rPr>
          <w:spacing w:val="-6"/>
        </w:rPr>
        <w:t> </w:t>
      </w:r>
      <w:r>
        <w:rPr/>
        <w:t>of</w:t>
      </w:r>
      <w:r>
        <w:rPr>
          <w:spacing w:val="-7"/>
        </w:rPr>
        <w:t> </w:t>
      </w:r>
      <w:r>
        <w:rPr/>
        <w:t>certain</w:t>
      </w:r>
      <w:r>
        <w:rPr>
          <w:spacing w:val="-7"/>
        </w:rPr>
        <w:t> </w:t>
      </w:r>
      <w:r>
        <w:rPr/>
        <w:t>medicinal</w:t>
      </w:r>
      <w:r>
        <w:rPr>
          <w:spacing w:val="-7"/>
        </w:rPr>
        <w:t> </w:t>
      </w:r>
      <w:r>
        <w:rPr/>
        <w:t>products</w:t>
      </w:r>
      <w:r>
        <w:rPr>
          <w:spacing w:val="-7"/>
        </w:rPr>
        <w:t> </w:t>
      </w:r>
      <w:r>
        <w:rPr/>
        <w:t>into</w:t>
      </w:r>
      <w:r>
        <w:rPr>
          <w:spacing w:val="-7"/>
        </w:rPr>
        <w:t> </w:t>
      </w:r>
      <w:r>
        <w:rPr/>
        <w:t>Northern</w:t>
      </w:r>
      <w:r>
        <w:rPr>
          <w:spacing w:val="-7"/>
        </w:rPr>
        <w:t> </w:t>
      </w:r>
      <w:r>
        <w:rPr/>
        <w:t>Ireland,</w:t>
      </w:r>
      <w:r>
        <w:rPr>
          <w:spacing w:val="-6"/>
        </w:rPr>
        <w:t> </w:t>
      </w:r>
      <w:r>
        <w:rPr/>
        <w:t>we</w:t>
      </w:r>
      <w:r>
        <w:rPr>
          <w:spacing w:val="-6"/>
        </w:rPr>
        <w:t> </w:t>
      </w:r>
      <w:r>
        <w:rPr/>
        <w:t>note that the UK Government has integrated EU standards into its revised guidance, which explicitly refers to EU Directive 2022/642, but not to the EU Regulations 2023/1182</w:t>
      </w:r>
      <w:r>
        <w:rPr>
          <w:spacing w:val="-1"/>
        </w:rPr>
        <w:t> </w:t>
      </w:r>
      <w:r>
        <w:rPr/>
        <w:t>and</w:t>
      </w:r>
      <w:r>
        <w:rPr>
          <w:spacing w:val="-2"/>
        </w:rPr>
        <w:t> </w:t>
      </w:r>
      <w:r>
        <w:rPr/>
        <w:t>2022/641,</w:t>
      </w:r>
      <w:r>
        <w:rPr>
          <w:spacing w:val="-1"/>
        </w:rPr>
        <w:t> </w:t>
      </w:r>
      <w:r>
        <w:rPr/>
        <w:t>discussed</w:t>
      </w:r>
      <w:r>
        <w:rPr>
          <w:spacing w:val="-2"/>
        </w:rPr>
        <w:t> </w:t>
      </w:r>
      <w:r>
        <w:rPr/>
        <w:t>above.</w:t>
      </w:r>
      <w:r>
        <w:rPr>
          <w:vertAlign w:val="superscript"/>
        </w:rPr>
        <w:t>487</w:t>
      </w:r>
      <w:r>
        <w:rPr>
          <w:spacing w:val="-2"/>
          <w:vertAlign w:val="baseline"/>
        </w:rPr>
        <w:t> </w:t>
      </w:r>
      <w:r>
        <w:rPr>
          <w:vertAlign w:val="baseline"/>
        </w:rPr>
        <w:t>Therefore</w:t>
      </w:r>
      <w:r>
        <w:rPr>
          <w:spacing w:val="-1"/>
          <w:vertAlign w:val="baseline"/>
        </w:rPr>
        <w:t> </w:t>
      </w:r>
      <w:r>
        <w:rPr>
          <w:vertAlign w:val="baseline"/>
        </w:rPr>
        <w:t>it</w:t>
      </w:r>
      <w:r>
        <w:rPr>
          <w:spacing w:val="-1"/>
          <w:vertAlign w:val="baseline"/>
        </w:rPr>
        <w:t> </w:t>
      </w:r>
      <w:r>
        <w:rPr>
          <w:vertAlign w:val="baseline"/>
        </w:rPr>
        <w:t>is</w:t>
      </w:r>
      <w:r>
        <w:rPr>
          <w:spacing w:val="-2"/>
          <w:vertAlign w:val="baseline"/>
        </w:rPr>
        <w:t> </w:t>
      </w:r>
      <w:r>
        <w:rPr>
          <w:vertAlign w:val="baseline"/>
        </w:rPr>
        <w:t>necessary</w:t>
      </w:r>
      <w:r>
        <w:rPr>
          <w:spacing w:val="-1"/>
          <w:vertAlign w:val="baseline"/>
        </w:rPr>
        <w:t> </w:t>
      </w:r>
      <w:r>
        <w:rPr>
          <w:vertAlign w:val="baseline"/>
        </w:rPr>
        <w:t>to</w:t>
      </w:r>
      <w:r>
        <w:rPr>
          <w:spacing w:val="-2"/>
          <w:vertAlign w:val="baseline"/>
        </w:rPr>
        <w:t> </w:t>
      </w:r>
      <w:r>
        <w:rPr>
          <w:vertAlign w:val="baseline"/>
        </w:rPr>
        <w:t>address this discrepancy.</w:t>
      </w:r>
    </w:p>
    <w:p>
      <w:pPr>
        <w:pStyle w:val="BodyText"/>
        <w:spacing w:before="11"/>
        <w:rPr>
          <w:sz w:val="19"/>
        </w:rPr>
      </w:pPr>
      <w:r>
        <w:rPr/>
        <mc:AlternateContent>
          <mc:Choice Requires="wps">
            <w:drawing>
              <wp:anchor distT="0" distB="0" distL="0" distR="0" allowOverlap="1" layoutInCell="1" locked="0" behindDoc="1" simplePos="0" relativeHeight="487740928">
                <wp:simplePos x="0" y="0"/>
                <wp:positionH relativeFrom="page">
                  <wp:posOffset>647994</wp:posOffset>
                </wp:positionH>
                <wp:positionV relativeFrom="paragraph">
                  <wp:posOffset>170113</wp:posOffset>
                </wp:positionV>
                <wp:extent cx="6012180" cy="813435"/>
                <wp:effectExtent l="0" t="0" r="0" b="0"/>
                <wp:wrapTopAndBottom/>
                <wp:docPr id="813" name="Group 813"/>
                <wp:cNvGraphicFramePr>
                  <a:graphicFrameLocks/>
                </wp:cNvGraphicFramePr>
                <a:graphic>
                  <a:graphicData uri="http://schemas.microsoft.com/office/word/2010/wordprocessingGroup">
                    <wpg:wgp>
                      <wpg:cNvPr id="813" name="Group 813"/>
                      <wpg:cNvGrpSpPr/>
                      <wpg:grpSpPr>
                        <a:xfrm>
                          <a:off x="0" y="0"/>
                          <a:ext cx="6012180" cy="813435"/>
                          <a:chExt cx="6012180" cy="813435"/>
                        </a:xfrm>
                      </wpg:grpSpPr>
                      <wps:wsp>
                        <wps:cNvPr id="814" name="Graphic 814"/>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815" name="Textbox 815"/>
                        <wps:cNvSpPr txBox="1"/>
                        <wps:spPr>
                          <a:xfrm>
                            <a:off x="0" y="0"/>
                            <a:ext cx="6012180" cy="813435"/>
                          </a:xfrm>
                          <a:prstGeom prst="rect">
                            <a:avLst/>
                          </a:prstGeom>
                        </wps:spPr>
                        <wps:txbx>
                          <w:txbxContent>
                            <w:p>
                              <w:pPr>
                                <w:spacing w:line="232" w:lineRule="auto" w:before="121"/>
                                <w:ind w:left="340" w:right="106" w:firstLine="0"/>
                                <w:jc w:val="left"/>
                                <w:rPr>
                                  <w:b/>
                                  <w:sz w:val="28"/>
                                </w:rPr>
                              </w:pPr>
                              <w:r>
                                <w:rPr>
                                  <w:b/>
                                  <w:color w:val="164194"/>
                                  <w:sz w:val="28"/>
                                </w:rPr>
                                <w:t>We recommend that the UK Government and the NI Executive ensure compliance</w:t>
                              </w:r>
                              <w:r>
                                <w:rPr>
                                  <w:b/>
                                  <w:color w:val="164194"/>
                                  <w:spacing w:val="-7"/>
                                  <w:sz w:val="28"/>
                                </w:rPr>
                                <w:t> </w:t>
                              </w:r>
                              <w:r>
                                <w:rPr>
                                  <w:b/>
                                  <w:color w:val="164194"/>
                                  <w:sz w:val="28"/>
                                </w:rPr>
                                <w:t>with</w:t>
                              </w:r>
                              <w:r>
                                <w:rPr>
                                  <w:b/>
                                  <w:color w:val="164194"/>
                                  <w:spacing w:val="-6"/>
                                  <w:sz w:val="28"/>
                                </w:rPr>
                                <w:t> </w:t>
                              </w:r>
                              <w:r>
                                <w:rPr>
                                  <w:b/>
                                  <w:color w:val="164194"/>
                                  <w:sz w:val="28"/>
                                </w:rPr>
                                <w:t>EU</w:t>
                              </w:r>
                              <w:r>
                                <w:rPr>
                                  <w:b/>
                                  <w:color w:val="164194"/>
                                  <w:spacing w:val="-6"/>
                                  <w:sz w:val="28"/>
                                </w:rPr>
                                <w:t> </w:t>
                              </w:r>
                              <w:r>
                                <w:rPr>
                                  <w:b/>
                                  <w:color w:val="164194"/>
                                  <w:sz w:val="28"/>
                                </w:rPr>
                                <w:t>Regulations</w:t>
                              </w:r>
                              <w:r>
                                <w:rPr>
                                  <w:b/>
                                  <w:color w:val="164194"/>
                                  <w:spacing w:val="-6"/>
                                  <w:sz w:val="28"/>
                                </w:rPr>
                                <w:t> </w:t>
                              </w:r>
                              <w:r>
                                <w:rPr>
                                  <w:b/>
                                  <w:color w:val="164194"/>
                                  <w:sz w:val="28"/>
                                </w:rPr>
                                <w:t>2023/1182</w:t>
                              </w:r>
                              <w:r>
                                <w:rPr>
                                  <w:b/>
                                  <w:color w:val="164194"/>
                                  <w:spacing w:val="-6"/>
                                  <w:sz w:val="28"/>
                                </w:rPr>
                                <w:t> </w:t>
                              </w:r>
                              <w:r>
                                <w:rPr>
                                  <w:b/>
                                  <w:color w:val="164194"/>
                                  <w:sz w:val="28"/>
                                </w:rPr>
                                <w:t>and</w:t>
                              </w:r>
                              <w:r>
                                <w:rPr>
                                  <w:b/>
                                  <w:color w:val="164194"/>
                                  <w:spacing w:val="-6"/>
                                  <w:sz w:val="28"/>
                                </w:rPr>
                                <w:t> </w:t>
                              </w:r>
                              <w:r>
                                <w:rPr>
                                  <w:b/>
                                  <w:color w:val="164194"/>
                                  <w:sz w:val="28"/>
                                </w:rPr>
                                <w:t>2022/641</w:t>
                              </w:r>
                              <w:r>
                                <w:rPr>
                                  <w:b/>
                                  <w:color w:val="164194"/>
                                  <w:spacing w:val="-6"/>
                                  <w:sz w:val="28"/>
                                </w:rPr>
                                <w:t> </w:t>
                              </w:r>
                              <w:r>
                                <w:rPr>
                                  <w:b/>
                                  <w:color w:val="164194"/>
                                  <w:sz w:val="28"/>
                                </w:rPr>
                                <w:t>on</w:t>
                              </w:r>
                              <w:r>
                                <w:rPr>
                                  <w:b/>
                                  <w:color w:val="164194"/>
                                  <w:spacing w:val="-6"/>
                                  <w:sz w:val="28"/>
                                </w:rPr>
                                <w:t> </w:t>
                              </w:r>
                              <w:r>
                                <w:rPr>
                                  <w:b/>
                                  <w:color w:val="164194"/>
                                  <w:sz w:val="28"/>
                                </w:rPr>
                                <w:t>rules</w:t>
                              </w:r>
                              <w:r>
                                <w:rPr>
                                  <w:b/>
                                  <w:color w:val="164194"/>
                                  <w:spacing w:val="-6"/>
                                  <w:sz w:val="28"/>
                                </w:rPr>
                                <w:t> </w:t>
                              </w:r>
                              <w:r>
                                <w:rPr>
                                  <w:b/>
                                  <w:color w:val="164194"/>
                                  <w:sz w:val="28"/>
                                </w:rPr>
                                <w:t>relating</w:t>
                              </w:r>
                              <w:r>
                                <w:rPr>
                                  <w:b/>
                                  <w:color w:val="164194"/>
                                  <w:spacing w:val="-7"/>
                                  <w:sz w:val="28"/>
                                </w:rPr>
                                <w:t> </w:t>
                              </w:r>
                              <w:r>
                                <w:rPr>
                                  <w:b/>
                                  <w:color w:val="164194"/>
                                  <w:sz w:val="28"/>
                                </w:rPr>
                                <w:t>to medicinal products.</w:t>
                              </w:r>
                            </w:p>
                          </w:txbxContent>
                        </wps:txbx>
                        <wps:bodyPr wrap="square" lIns="0" tIns="0" rIns="0" bIns="0" rtlCol="0">
                          <a:noAutofit/>
                        </wps:bodyPr>
                      </wps:wsp>
                    </wpg:wgp>
                  </a:graphicData>
                </a:graphic>
              </wp:anchor>
            </w:drawing>
          </mc:Choice>
          <mc:Fallback>
            <w:pict>
              <v:group style="position:absolute;margin-left:51.023201pt;margin-top:13.394798pt;width:473.4pt;height:64.05pt;mso-position-horizontal-relative:page;mso-position-vertical-relative:paragraph;z-index:-15575552;mso-wrap-distance-left:0;mso-wrap-distance-right:0" id="docshapegroup665" coordorigin="1020,268" coordsize="9468,1281">
                <v:shape style="position:absolute;left:1020;top:267;width:9468;height:1281" id="docshape666" coordorigin="1020,268" coordsize="9468,1281" path="m10261,268l1247,268,1176,279,1113,312,1064,361,1032,423,1020,495,1020,1321,1032,1393,1064,1455,1113,1504,1176,1536,1247,1548,10261,1548,10333,1536,10395,1504,10444,1455,10477,1393,10488,1321,10488,495,10477,423,10444,361,10395,312,10333,279,10261,268xe" filled="true" fillcolor="#e9f3fc" stroked="false">
                  <v:path arrowok="t"/>
                  <v:fill type="solid"/>
                </v:shape>
                <v:shape style="position:absolute;left:1020;top:267;width:9468;height:1281" type="#_x0000_t202" id="docshape667" filled="false" stroked="false">
                  <v:textbox inset="0,0,0,0">
                    <w:txbxContent>
                      <w:p>
                        <w:pPr>
                          <w:spacing w:line="232" w:lineRule="auto" w:before="121"/>
                          <w:ind w:left="340" w:right="106" w:firstLine="0"/>
                          <w:jc w:val="left"/>
                          <w:rPr>
                            <w:b/>
                            <w:sz w:val="28"/>
                          </w:rPr>
                        </w:pPr>
                        <w:r>
                          <w:rPr>
                            <w:b/>
                            <w:color w:val="164194"/>
                            <w:sz w:val="28"/>
                          </w:rPr>
                          <w:t>We recommend that the UK Government and the NI Executive ensure compliance</w:t>
                        </w:r>
                        <w:r>
                          <w:rPr>
                            <w:b/>
                            <w:color w:val="164194"/>
                            <w:spacing w:val="-7"/>
                            <w:sz w:val="28"/>
                          </w:rPr>
                          <w:t> </w:t>
                        </w:r>
                        <w:r>
                          <w:rPr>
                            <w:b/>
                            <w:color w:val="164194"/>
                            <w:sz w:val="28"/>
                          </w:rPr>
                          <w:t>with</w:t>
                        </w:r>
                        <w:r>
                          <w:rPr>
                            <w:b/>
                            <w:color w:val="164194"/>
                            <w:spacing w:val="-6"/>
                            <w:sz w:val="28"/>
                          </w:rPr>
                          <w:t> </w:t>
                        </w:r>
                        <w:r>
                          <w:rPr>
                            <w:b/>
                            <w:color w:val="164194"/>
                            <w:sz w:val="28"/>
                          </w:rPr>
                          <w:t>EU</w:t>
                        </w:r>
                        <w:r>
                          <w:rPr>
                            <w:b/>
                            <w:color w:val="164194"/>
                            <w:spacing w:val="-6"/>
                            <w:sz w:val="28"/>
                          </w:rPr>
                          <w:t> </w:t>
                        </w:r>
                        <w:r>
                          <w:rPr>
                            <w:b/>
                            <w:color w:val="164194"/>
                            <w:sz w:val="28"/>
                          </w:rPr>
                          <w:t>Regulations</w:t>
                        </w:r>
                        <w:r>
                          <w:rPr>
                            <w:b/>
                            <w:color w:val="164194"/>
                            <w:spacing w:val="-6"/>
                            <w:sz w:val="28"/>
                          </w:rPr>
                          <w:t> </w:t>
                        </w:r>
                        <w:r>
                          <w:rPr>
                            <w:b/>
                            <w:color w:val="164194"/>
                            <w:sz w:val="28"/>
                          </w:rPr>
                          <w:t>2023/1182</w:t>
                        </w:r>
                        <w:r>
                          <w:rPr>
                            <w:b/>
                            <w:color w:val="164194"/>
                            <w:spacing w:val="-6"/>
                            <w:sz w:val="28"/>
                          </w:rPr>
                          <w:t> </w:t>
                        </w:r>
                        <w:r>
                          <w:rPr>
                            <w:b/>
                            <w:color w:val="164194"/>
                            <w:sz w:val="28"/>
                          </w:rPr>
                          <w:t>and</w:t>
                        </w:r>
                        <w:r>
                          <w:rPr>
                            <w:b/>
                            <w:color w:val="164194"/>
                            <w:spacing w:val="-6"/>
                            <w:sz w:val="28"/>
                          </w:rPr>
                          <w:t> </w:t>
                        </w:r>
                        <w:r>
                          <w:rPr>
                            <w:b/>
                            <w:color w:val="164194"/>
                            <w:sz w:val="28"/>
                          </w:rPr>
                          <w:t>2022/641</w:t>
                        </w:r>
                        <w:r>
                          <w:rPr>
                            <w:b/>
                            <w:color w:val="164194"/>
                            <w:spacing w:val="-6"/>
                            <w:sz w:val="28"/>
                          </w:rPr>
                          <w:t> </w:t>
                        </w:r>
                        <w:r>
                          <w:rPr>
                            <w:b/>
                            <w:color w:val="164194"/>
                            <w:sz w:val="28"/>
                          </w:rPr>
                          <w:t>on</w:t>
                        </w:r>
                        <w:r>
                          <w:rPr>
                            <w:b/>
                            <w:color w:val="164194"/>
                            <w:spacing w:val="-6"/>
                            <w:sz w:val="28"/>
                          </w:rPr>
                          <w:t> </w:t>
                        </w:r>
                        <w:r>
                          <w:rPr>
                            <w:b/>
                            <w:color w:val="164194"/>
                            <w:sz w:val="28"/>
                          </w:rPr>
                          <w:t>rules</w:t>
                        </w:r>
                        <w:r>
                          <w:rPr>
                            <w:b/>
                            <w:color w:val="164194"/>
                            <w:spacing w:val="-6"/>
                            <w:sz w:val="28"/>
                          </w:rPr>
                          <w:t> </w:t>
                        </w:r>
                        <w:r>
                          <w:rPr>
                            <w:b/>
                            <w:color w:val="164194"/>
                            <w:sz w:val="28"/>
                          </w:rPr>
                          <w:t>relating</w:t>
                        </w:r>
                        <w:r>
                          <w:rPr>
                            <w:b/>
                            <w:color w:val="164194"/>
                            <w:spacing w:val="-7"/>
                            <w:sz w:val="28"/>
                          </w:rPr>
                          <w:t> </w:t>
                        </w:r>
                        <w:r>
                          <w:rPr>
                            <w:b/>
                            <w:color w:val="164194"/>
                            <w:sz w:val="28"/>
                          </w:rPr>
                          <w:t>to medicinal products.</w:t>
                        </w:r>
                      </w:p>
                    </w:txbxContent>
                  </v:textbox>
                  <w10:wrap type="none"/>
                </v:shape>
                <w10:wrap type="topAndBottom"/>
              </v:group>
            </w:pict>
          </mc:Fallback>
        </mc:AlternateContent>
      </w:r>
    </w:p>
    <w:p>
      <w:pPr>
        <w:pStyle w:val="BodyText"/>
        <w:spacing w:before="1"/>
      </w:pPr>
    </w:p>
    <w:p>
      <w:pPr>
        <w:pStyle w:val="ListParagraph"/>
        <w:numPr>
          <w:ilvl w:val="3"/>
          <w:numId w:val="39"/>
        </w:numPr>
        <w:tabs>
          <w:tab w:pos="1563" w:val="left" w:leader="none"/>
        </w:tabs>
        <w:spacing w:line="336" w:lineRule="exact" w:before="0" w:after="0"/>
        <w:ind w:left="1563" w:right="0" w:hanging="843"/>
        <w:jc w:val="left"/>
        <w:rPr>
          <w:sz w:val="28"/>
        </w:rPr>
      </w:pPr>
      <w:r>
        <w:rPr>
          <w:color w:val="004A93"/>
          <w:sz w:val="28"/>
        </w:rPr>
        <w:t>Recently</w:t>
      </w:r>
      <w:r>
        <w:rPr>
          <w:color w:val="004A93"/>
          <w:spacing w:val="-7"/>
          <w:sz w:val="28"/>
        </w:rPr>
        <w:t> </w:t>
      </w:r>
      <w:r>
        <w:rPr>
          <w:color w:val="004A93"/>
          <w:sz w:val="28"/>
        </w:rPr>
        <w:t>proposed</w:t>
      </w:r>
      <w:r>
        <w:rPr>
          <w:color w:val="004A93"/>
          <w:spacing w:val="-8"/>
          <w:sz w:val="28"/>
        </w:rPr>
        <w:t> </w:t>
      </w:r>
      <w:r>
        <w:rPr>
          <w:color w:val="004A93"/>
          <w:sz w:val="28"/>
        </w:rPr>
        <w:t>EU</w:t>
      </w:r>
      <w:r>
        <w:rPr>
          <w:color w:val="004A93"/>
          <w:spacing w:val="-6"/>
          <w:sz w:val="28"/>
        </w:rPr>
        <w:t> </w:t>
      </w:r>
      <w:r>
        <w:rPr>
          <w:color w:val="004A93"/>
          <w:sz w:val="28"/>
        </w:rPr>
        <w:t>legislation</w:t>
      </w:r>
      <w:r>
        <w:rPr>
          <w:color w:val="004A93"/>
          <w:spacing w:val="-8"/>
          <w:sz w:val="28"/>
        </w:rPr>
        <w:t> </w:t>
      </w:r>
      <w:r>
        <w:rPr>
          <w:color w:val="004A93"/>
          <w:sz w:val="28"/>
        </w:rPr>
        <w:t>on</w:t>
      </w:r>
      <w:r>
        <w:rPr>
          <w:color w:val="004A93"/>
          <w:spacing w:val="-7"/>
          <w:sz w:val="28"/>
        </w:rPr>
        <w:t> </w:t>
      </w:r>
      <w:r>
        <w:rPr>
          <w:color w:val="004A93"/>
          <w:spacing w:val="-2"/>
          <w:sz w:val="28"/>
        </w:rPr>
        <w:t>health</w:t>
      </w:r>
    </w:p>
    <w:p>
      <w:pPr>
        <w:pStyle w:val="BodyText"/>
        <w:spacing w:line="232" w:lineRule="auto" w:before="3"/>
        <w:ind w:left="720" w:right="1087"/>
      </w:pPr>
      <w:r>
        <w:rPr/>
        <w:t>EU</w:t>
      </w:r>
      <w:r>
        <w:rPr>
          <w:spacing w:val="-3"/>
        </w:rPr>
        <w:t> </w:t>
      </w:r>
      <w:r>
        <w:rPr/>
        <w:t>law</w:t>
      </w:r>
      <w:r>
        <w:rPr>
          <w:spacing w:val="-3"/>
        </w:rPr>
        <w:t> </w:t>
      </w:r>
      <w:r>
        <w:rPr/>
        <w:t>on</w:t>
      </w:r>
      <w:r>
        <w:rPr>
          <w:spacing w:val="-4"/>
        </w:rPr>
        <w:t> </w:t>
      </w:r>
      <w:r>
        <w:rPr/>
        <w:t>Member</w:t>
      </w:r>
      <w:r>
        <w:rPr>
          <w:spacing w:val="-3"/>
        </w:rPr>
        <w:t> </w:t>
      </w:r>
      <w:r>
        <w:rPr/>
        <w:t>States’</w:t>
      </w:r>
      <w:r>
        <w:rPr>
          <w:spacing w:val="-3"/>
        </w:rPr>
        <w:t> </w:t>
      </w:r>
      <w:r>
        <w:rPr/>
        <w:t>public</w:t>
      </w:r>
      <w:r>
        <w:rPr>
          <w:spacing w:val="-3"/>
        </w:rPr>
        <w:t> </w:t>
      </w:r>
      <w:r>
        <w:rPr/>
        <w:t>health</w:t>
      </w:r>
      <w:r>
        <w:rPr>
          <w:spacing w:val="-4"/>
        </w:rPr>
        <w:t> </w:t>
      </w:r>
      <w:r>
        <w:rPr/>
        <w:t>policies</w:t>
      </w:r>
      <w:r>
        <w:rPr>
          <w:spacing w:val="-4"/>
        </w:rPr>
        <w:t> </w:t>
      </w:r>
      <w:r>
        <w:rPr/>
        <w:t>will</w:t>
      </w:r>
      <w:r>
        <w:rPr>
          <w:spacing w:val="-4"/>
        </w:rPr>
        <w:t> </w:t>
      </w:r>
      <w:r>
        <w:rPr/>
        <w:t>soon</w:t>
      </w:r>
      <w:r>
        <w:rPr>
          <w:spacing w:val="-4"/>
        </w:rPr>
        <w:t> </w:t>
      </w:r>
      <w:r>
        <w:rPr/>
        <w:t>be</w:t>
      </w:r>
      <w:r>
        <w:rPr>
          <w:spacing w:val="-3"/>
        </w:rPr>
        <w:t> </w:t>
      </w:r>
      <w:r>
        <w:rPr/>
        <w:t>amended</w:t>
      </w:r>
      <w:r>
        <w:rPr>
          <w:spacing w:val="-4"/>
        </w:rPr>
        <w:t> </w:t>
      </w:r>
      <w:r>
        <w:rPr/>
        <w:t>in</w:t>
      </w:r>
      <w:r>
        <w:rPr>
          <w:spacing w:val="-4"/>
        </w:rPr>
        <w:t> </w:t>
      </w:r>
      <w:r>
        <w:rPr/>
        <w:t>a</w:t>
      </w:r>
      <w:r>
        <w:rPr>
          <w:spacing w:val="-4"/>
        </w:rPr>
        <w:t> </w:t>
      </w:r>
      <w:r>
        <w:rPr/>
        <w:t>number of respects, with some substantial legal standards worth noting in this report.</w:t>
      </w:r>
    </w:p>
    <w:p>
      <w:pPr>
        <w:pStyle w:val="ListParagraph"/>
        <w:numPr>
          <w:ilvl w:val="4"/>
          <w:numId w:val="39"/>
        </w:numPr>
        <w:tabs>
          <w:tab w:pos="1060" w:val="left" w:leader="none"/>
        </w:tabs>
        <w:spacing w:line="232" w:lineRule="auto" w:before="266" w:after="0"/>
        <w:ind w:left="1060" w:right="1505" w:hanging="341"/>
        <w:jc w:val="left"/>
        <w:rPr>
          <w:sz w:val="28"/>
        </w:rPr>
      </w:pPr>
      <w:r>
        <w:rPr>
          <w:sz w:val="28"/>
        </w:rPr>
        <w:t>States</w:t>
      </w:r>
      <w:r>
        <w:rPr>
          <w:spacing w:val="-7"/>
          <w:sz w:val="28"/>
        </w:rPr>
        <w:t> </w:t>
      </w:r>
      <w:r>
        <w:rPr>
          <w:sz w:val="28"/>
        </w:rPr>
        <w:t>may</w:t>
      </w:r>
      <w:r>
        <w:rPr>
          <w:spacing w:val="-6"/>
          <w:sz w:val="28"/>
        </w:rPr>
        <w:t> </w:t>
      </w:r>
      <w:r>
        <w:rPr>
          <w:sz w:val="28"/>
        </w:rPr>
        <w:t>soon</w:t>
      </w:r>
      <w:r>
        <w:rPr>
          <w:spacing w:val="-7"/>
          <w:sz w:val="28"/>
        </w:rPr>
        <w:t> </w:t>
      </w:r>
      <w:r>
        <w:rPr>
          <w:sz w:val="28"/>
        </w:rPr>
        <w:t>be</w:t>
      </w:r>
      <w:r>
        <w:rPr>
          <w:spacing w:val="-6"/>
          <w:sz w:val="28"/>
        </w:rPr>
        <w:t> </w:t>
      </w:r>
      <w:r>
        <w:rPr>
          <w:sz w:val="28"/>
        </w:rPr>
        <w:t>bound</w:t>
      </w:r>
      <w:r>
        <w:rPr>
          <w:spacing w:val="-7"/>
          <w:sz w:val="28"/>
        </w:rPr>
        <w:t> </w:t>
      </w:r>
      <w:r>
        <w:rPr>
          <w:sz w:val="28"/>
        </w:rPr>
        <w:t>to</w:t>
      </w:r>
      <w:r>
        <w:rPr>
          <w:spacing w:val="-7"/>
          <w:sz w:val="28"/>
        </w:rPr>
        <w:t> </w:t>
      </w:r>
      <w:r>
        <w:rPr>
          <w:sz w:val="28"/>
        </w:rPr>
        <w:t>a</w:t>
      </w:r>
      <w:r>
        <w:rPr>
          <w:spacing w:val="-7"/>
          <w:sz w:val="28"/>
        </w:rPr>
        <w:t> </w:t>
      </w:r>
      <w:r>
        <w:rPr>
          <w:sz w:val="28"/>
        </w:rPr>
        <w:t>revised</w:t>
      </w:r>
      <w:r>
        <w:rPr>
          <w:spacing w:val="-7"/>
          <w:sz w:val="28"/>
        </w:rPr>
        <w:t> </w:t>
      </w:r>
      <w:r>
        <w:rPr>
          <w:sz w:val="28"/>
        </w:rPr>
        <w:t>EU</w:t>
      </w:r>
      <w:r>
        <w:rPr>
          <w:spacing w:val="-6"/>
          <w:sz w:val="28"/>
        </w:rPr>
        <w:t> </w:t>
      </w:r>
      <w:r>
        <w:rPr>
          <w:sz w:val="28"/>
        </w:rPr>
        <w:t>pharmaceutical</w:t>
      </w:r>
      <w:r>
        <w:rPr>
          <w:spacing w:val="-7"/>
          <w:sz w:val="28"/>
        </w:rPr>
        <w:t> </w:t>
      </w:r>
      <w:r>
        <w:rPr>
          <w:sz w:val="28"/>
        </w:rPr>
        <w:t>legislative</w:t>
      </w:r>
      <w:r>
        <w:rPr>
          <w:spacing w:val="-6"/>
          <w:sz w:val="28"/>
        </w:rPr>
        <w:t> </w:t>
      </w:r>
      <w:r>
        <w:rPr>
          <w:sz w:val="28"/>
        </w:rPr>
        <w:t>package aimed at making medicines more available, accessible and affordable, while supporting the competitiveness and attractiveness of the EU pharmaceutical industry, with higher environmental standards.</w:t>
      </w:r>
      <w:r>
        <w:rPr>
          <w:sz w:val="28"/>
          <w:vertAlign w:val="superscript"/>
        </w:rPr>
        <w:t>488</w:t>
      </w:r>
    </w:p>
    <w:p>
      <w:pPr>
        <w:pStyle w:val="ListParagraph"/>
        <w:numPr>
          <w:ilvl w:val="4"/>
          <w:numId w:val="39"/>
        </w:numPr>
        <w:tabs>
          <w:tab w:pos="1060" w:val="left" w:leader="none"/>
        </w:tabs>
        <w:spacing w:line="322" w:lineRule="exact" w:before="0" w:after="0"/>
        <w:ind w:left="1060" w:right="0" w:hanging="340"/>
        <w:jc w:val="left"/>
        <w:rPr>
          <w:sz w:val="28"/>
        </w:rPr>
      </w:pPr>
      <w:r>
        <w:rPr>
          <w:sz w:val="28"/>
        </w:rPr>
        <w:t>States</w:t>
      </w:r>
      <w:r>
        <w:rPr>
          <w:spacing w:val="-9"/>
          <w:sz w:val="28"/>
        </w:rPr>
        <w:t> </w:t>
      </w:r>
      <w:r>
        <w:rPr>
          <w:sz w:val="28"/>
        </w:rPr>
        <w:t>may</w:t>
      </w:r>
      <w:r>
        <w:rPr>
          <w:spacing w:val="-5"/>
          <w:sz w:val="28"/>
        </w:rPr>
        <w:t> </w:t>
      </w:r>
      <w:r>
        <w:rPr>
          <w:sz w:val="28"/>
        </w:rPr>
        <w:t>soon</w:t>
      </w:r>
      <w:r>
        <w:rPr>
          <w:spacing w:val="-6"/>
          <w:sz w:val="28"/>
        </w:rPr>
        <w:t> </w:t>
      </w:r>
      <w:r>
        <w:rPr>
          <w:sz w:val="28"/>
        </w:rPr>
        <w:t>be</w:t>
      </w:r>
      <w:r>
        <w:rPr>
          <w:spacing w:val="-5"/>
          <w:sz w:val="28"/>
        </w:rPr>
        <w:t> </w:t>
      </w:r>
      <w:r>
        <w:rPr>
          <w:sz w:val="28"/>
        </w:rPr>
        <w:t>bound</w:t>
      </w:r>
      <w:r>
        <w:rPr>
          <w:spacing w:val="-6"/>
          <w:sz w:val="28"/>
        </w:rPr>
        <w:t> </w:t>
      </w:r>
      <w:r>
        <w:rPr>
          <w:sz w:val="28"/>
        </w:rPr>
        <w:t>to</w:t>
      </w:r>
      <w:r>
        <w:rPr>
          <w:spacing w:val="-6"/>
          <w:sz w:val="28"/>
        </w:rPr>
        <w:t> </w:t>
      </w:r>
      <w:r>
        <w:rPr>
          <w:sz w:val="28"/>
        </w:rPr>
        <w:t>regulate</w:t>
      </w:r>
      <w:r>
        <w:rPr>
          <w:spacing w:val="-5"/>
          <w:sz w:val="28"/>
        </w:rPr>
        <w:t> </w:t>
      </w:r>
      <w:r>
        <w:rPr>
          <w:sz w:val="28"/>
        </w:rPr>
        <w:t>European</w:t>
      </w:r>
      <w:r>
        <w:rPr>
          <w:spacing w:val="-6"/>
          <w:sz w:val="28"/>
        </w:rPr>
        <w:t> </w:t>
      </w:r>
      <w:r>
        <w:rPr>
          <w:sz w:val="28"/>
        </w:rPr>
        <w:t>health</w:t>
      </w:r>
      <w:r>
        <w:rPr>
          <w:spacing w:val="-6"/>
          <w:sz w:val="28"/>
        </w:rPr>
        <w:t> </w:t>
      </w:r>
      <w:r>
        <w:rPr>
          <w:sz w:val="28"/>
        </w:rPr>
        <w:t>data</w:t>
      </w:r>
      <w:r>
        <w:rPr>
          <w:spacing w:val="-6"/>
          <w:sz w:val="28"/>
        </w:rPr>
        <w:t> </w:t>
      </w:r>
      <w:r>
        <w:rPr>
          <w:sz w:val="28"/>
        </w:rPr>
        <w:t>in</w:t>
      </w:r>
      <w:r>
        <w:rPr>
          <w:spacing w:val="-6"/>
          <w:sz w:val="28"/>
        </w:rPr>
        <w:t> </w:t>
      </w:r>
      <w:r>
        <w:rPr>
          <w:sz w:val="28"/>
        </w:rPr>
        <w:t>order</w:t>
      </w:r>
      <w:r>
        <w:rPr>
          <w:spacing w:val="-5"/>
          <w:sz w:val="28"/>
        </w:rPr>
        <w:t> </w:t>
      </w:r>
      <w:r>
        <w:rPr>
          <w:sz w:val="28"/>
        </w:rPr>
        <w:t>to</w:t>
      </w:r>
      <w:r>
        <w:rPr>
          <w:spacing w:val="-6"/>
          <w:sz w:val="28"/>
        </w:rPr>
        <w:t> </w:t>
      </w:r>
      <w:r>
        <w:rPr>
          <w:spacing w:val="-2"/>
          <w:sz w:val="28"/>
        </w:rPr>
        <w:t>improve</w:t>
      </w:r>
    </w:p>
    <w:p>
      <w:pPr>
        <w:pStyle w:val="BodyText"/>
        <w:spacing w:line="232" w:lineRule="auto" w:before="2"/>
        <w:ind w:left="1060" w:right="1087"/>
      </w:pPr>
      <w:r>
        <w:rPr/>
        <w:t>individuals’</w:t>
      </w:r>
      <w:r>
        <w:rPr>
          <w:spacing w:val="-6"/>
        </w:rPr>
        <w:t> </w:t>
      </w:r>
      <w:r>
        <w:rPr/>
        <w:t>access</w:t>
      </w:r>
      <w:r>
        <w:rPr>
          <w:spacing w:val="-6"/>
        </w:rPr>
        <w:t> </w:t>
      </w:r>
      <w:r>
        <w:rPr/>
        <w:t>to</w:t>
      </w:r>
      <w:r>
        <w:rPr>
          <w:spacing w:val="-6"/>
        </w:rPr>
        <w:t> </w:t>
      </w:r>
      <w:r>
        <w:rPr/>
        <w:t>and</w:t>
      </w:r>
      <w:r>
        <w:rPr>
          <w:spacing w:val="-6"/>
        </w:rPr>
        <w:t> </w:t>
      </w:r>
      <w:r>
        <w:rPr/>
        <w:t>control</w:t>
      </w:r>
      <w:r>
        <w:rPr>
          <w:spacing w:val="-6"/>
        </w:rPr>
        <w:t> </w:t>
      </w:r>
      <w:r>
        <w:rPr/>
        <w:t>of</w:t>
      </w:r>
      <w:r>
        <w:rPr>
          <w:spacing w:val="-6"/>
        </w:rPr>
        <w:t> </w:t>
      </w:r>
      <w:r>
        <w:rPr/>
        <w:t>their</w:t>
      </w:r>
      <w:r>
        <w:rPr>
          <w:spacing w:val="-6"/>
        </w:rPr>
        <w:t> </w:t>
      </w:r>
      <w:r>
        <w:rPr/>
        <w:t>electronic</w:t>
      </w:r>
      <w:r>
        <w:rPr>
          <w:spacing w:val="-6"/>
        </w:rPr>
        <w:t> </w:t>
      </w:r>
      <w:r>
        <w:rPr/>
        <w:t>personal</w:t>
      </w:r>
      <w:r>
        <w:rPr>
          <w:spacing w:val="-6"/>
        </w:rPr>
        <w:t> </w:t>
      </w:r>
      <w:r>
        <w:rPr/>
        <w:t>data,</w:t>
      </w:r>
      <w:r>
        <w:rPr>
          <w:spacing w:val="-6"/>
        </w:rPr>
        <w:t> </w:t>
      </w:r>
      <w:r>
        <w:rPr/>
        <w:t>while facilitating data re-use for the good of society across the EU.</w:t>
      </w:r>
      <w:r>
        <w:rPr>
          <w:vertAlign w:val="superscript"/>
        </w:rPr>
        <w:t>489</w:t>
      </w:r>
    </w:p>
    <w:p>
      <w:pPr>
        <w:pStyle w:val="BodyText"/>
        <w:spacing w:line="232" w:lineRule="auto" w:before="281"/>
        <w:ind w:left="720" w:right="1087"/>
      </w:pPr>
      <w:r>
        <w:rPr/>
        <w:t>We</w:t>
      </w:r>
      <w:r>
        <w:rPr>
          <w:spacing w:val="-6"/>
        </w:rPr>
        <w:t> </w:t>
      </w:r>
      <w:r>
        <w:rPr/>
        <w:t>note</w:t>
      </w:r>
      <w:r>
        <w:rPr>
          <w:spacing w:val="-6"/>
        </w:rPr>
        <w:t> </w:t>
      </w:r>
      <w:r>
        <w:rPr/>
        <w:t>that</w:t>
      </w:r>
      <w:r>
        <w:rPr>
          <w:spacing w:val="-6"/>
        </w:rPr>
        <w:t> </w:t>
      </w:r>
      <w:r>
        <w:rPr/>
        <w:t>the</w:t>
      </w:r>
      <w:r>
        <w:rPr>
          <w:spacing w:val="-6"/>
        </w:rPr>
        <w:t> </w:t>
      </w:r>
      <w:r>
        <w:rPr/>
        <w:t>current</w:t>
      </w:r>
      <w:r>
        <w:rPr>
          <w:spacing w:val="-6"/>
        </w:rPr>
        <w:t> </w:t>
      </w:r>
      <w:r>
        <w:rPr/>
        <w:t>UK</w:t>
      </w:r>
      <w:r>
        <w:rPr>
          <w:spacing w:val="-6"/>
        </w:rPr>
        <w:t> </w:t>
      </w:r>
      <w:r>
        <w:rPr/>
        <w:t>legislative</w:t>
      </w:r>
      <w:r>
        <w:rPr>
          <w:spacing w:val="-6"/>
        </w:rPr>
        <w:t> </w:t>
      </w:r>
      <w:r>
        <w:rPr/>
        <w:t>frameworks</w:t>
      </w:r>
      <w:r>
        <w:rPr>
          <w:spacing w:val="-7"/>
        </w:rPr>
        <w:t> </w:t>
      </w:r>
      <w:r>
        <w:rPr/>
        <w:t>on</w:t>
      </w:r>
      <w:r>
        <w:rPr>
          <w:spacing w:val="-7"/>
        </w:rPr>
        <w:t> </w:t>
      </w:r>
      <w:r>
        <w:rPr/>
        <w:t>those</w:t>
      </w:r>
      <w:r>
        <w:rPr>
          <w:spacing w:val="-6"/>
        </w:rPr>
        <w:t> </w:t>
      </w:r>
      <w:r>
        <w:rPr/>
        <w:t>two</w:t>
      </w:r>
      <w:r>
        <w:rPr>
          <w:spacing w:val="-7"/>
        </w:rPr>
        <w:t> </w:t>
      </w:r>
      <w:r>
        <w:rPr/>
        <w:t>topics</w:t>
      </w:r>
      <w:r>
        <w:rPr>
          <w:spacing w:val="-7"/>
        </w:rPr>
        <w:t> </w:t>
      </w:r>
      <w:r>
        <w:rPr/>
        <w:t>are</w:t>
      </w:r>
      <w:r>
        <w:rPr>
          <w:spacing w:val="-6"/>
        </w:rPr>
        <w:t> </w:t>
      </w:r>
      <w:r>
        <w:rPr/>
        <w:t>the Human Medicines Regulations 2012 and the Data Protection Act 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5"/>
        <w:rPr>
          <w:sz w:val="20"/>
        </w:rPr>
      </w:pPr>
      <w:r>
        <w:rPr/>
        <mc:AlternateContent>
          <mc:Choice Requires="wps">
            <w:drawing>
              <wp:anchor distT="0" distB="0" distL="0" distR="0" allowOverlap="1" layoutInCell="1" locked="0" behindDoc="1" simplePos="0" relativeHeight="487741440">
                <wp:simplePos x="0" y="0"/>
                <wp:positionH relativeFrom="page">
                  <wp:posOffset>647999</wp:posOffset>
                </wp:positionH>
                <wp:positionV relativeFrom="paragraph">
                  <wp:posOffset>250215</wp:posOffset>
                </wp:positionV>
                <wp:extent cx="6012180" cy="1270"/>
                <wp:effectExtent l="0" t="0" r="0" b="0"/>
                <wp:wrapTopAndBottom/>
                <wp:docPr id="816" name="Graphic 816"/>
                <wp:cNvGraphicFramePr>
                  <a:graphicFrameLocks/>
                </wp:cNvGraphicFramePr>
                <a:graphic>
                  <a:graphicData uri="http://schemas.microsoft.com/office/word/2010/wordprocessingShape">
                    <wps:wsp>
                      <wps:cNvPr id="816" name="Graphic 81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9.702011pt;width:473.4pt;height:.1pt;mso-position-horizontal-relative:page;mso-position-vertical-relative:paragraph;z-index:-15575040;mso-wrap-distance-left:0;mso-wrap-distance-right:0" id="docshape668" coordorigin="1020,394" coordsize="9468,0" path="m1020,394l10488,394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672" w:hanging="567"/>
        <w:jc w:val="left"/>
        <w:rPr>
          <w:sz w:val="18"/>
        </w:rPr>
      </w:pPr>
      <w:r>
        <w:rPr>
          <w:sz w:val="18"/>
        </w:rPr>
        <w:t>UK</w:t>
      </w:r>
      <w:r>
        <w:rPr>
          <w:spacing w:val="-5"/>
          <w:sz w:val="18"/>
        </w:rPr>
        <w:t> </w:t>
      </w:r>
      <w:r>
        <w:rPr>
          <w:sz w:val="18"/>
        </w:rPr>
        <w:t>Medicines</w:t>
      </w:r>
      <w:r>
        <w:rPr>
          <w:spacing w:val="-6"/>
          <w:sz w:val="18"/>
        </w:rPr>
        <w:t> </w:t>
      </w:r>
      <w:r>
        <w:rPr>
          <w:sz w:val="18"/>
        </w:rPr>
        <w:t>and</w:t>
      </w:r>
      <w:r>
        <w:rPr>
          <w:spacing w:val="-6"/>
          <w:sz w:val="18"/>
        </w:rPr>
        <w:t> </w:t>
      </w:r>
      <w:r>
        <w:rPr>
          <w:sz w:val="18"/>
        </w:rPr>
        <w:t>Healthcare</w:t>
      </w:r>
      <w:r>
        <w:rPr>
          <w:spacing w:val="-5"/>
          <w:sz w:val="18"/>
        </w:rPr>
        <w:t> </w:t>
      </w:r>
      <w:r>
        <w:rPr>
          <w:sz w:val="18"/>
        </w:rPr>
        <w:t>products</w:t>
      </w:r>
      <w:r>
        <w:rPr>
          <w:spacing w:val="-6"/>
          <w:sz w:val="18"/>
        </w:rPr>
        <w:t> </w:t>
      </w:r>
      <w:r>
        <w:rPr>
          <w:sz w:val="18"/>
        </w:rPr>
        <w:t>Regulatory</w:t>
      </w:r>
      <w:r>
        <w:rPr>
          <w:spacing w:val="-5"/>
          <w:sz w:val="18"/>
        </w:rPr>
        <w:t> </w:t>
      </w:r>
      <w:r>
        <w:rPr>
          <w:sz w:val="18"/>
        </w:rPr>
        <w:t>Agency,</w:t>
      </w:r>
      <w:r>
        <w:rPr>
          <w:spacing w:val="-5"/>
          <w:sz w:val="18"/>
        </w:rPr>
        <w:t> </w:t>
      </w:r>
      <w:r>
        <w:rPr>
          <w:sz w:val="18"/>
        </w:rPr>
        <w:t>‘</w:t>
      </w:r>
      <w:hyperlink r:id="rId151">
        <w:r>
          <w:rPr>
            <w:color w:val="1D71B8"/>
            <w:sz w:val="18"/>
            <w:u w:val="single" w:color="1D71B8"/>
          </w:rPr>
          <w:t>Guidance:</w:t>
        </w:r>
        <w:r>
          <w:rPr>
            <w:color w:val="1D71B8"/>
            <w:spacing w:val="-5"/>
            <w:sz w:val="18"/>
            <w:u w:val="single" w:color="1D71B8"/>
          </w:rPr>
          <w:t> </w:t>
        </w:r>
        <w:r>
          <w:rPr>
            <w:color w:val="1D71B8"/>
            <w:sz w:val="18"/>
            <w:u w:val="single" w:color="1D71B8"/>
          </w:rPr>
          <w:t>Supplying</w:t>
        </w:r>
        <w:r>
          <w:rPr>
            <w:color w:val="1D71B8"/>
            <w:spacing w:val="-5"/>
            <w:sz w:val="18"/>
            <w:u w:val="single" w:color="1D71B8"/>
          </w:rPr>
          <w:t> </w:t>
        </w:r>
        <w:r>
          <w:rPr>
            <w:color w:val="1D71B8"/>
            <w:sz w:val="18"/>
            <w:u w:val="single" w:color="1D71B8"/>
          </w:rPr>
          <w:t>authorised</w:t>
        </w:r>
        <w:r>
          <w:rPr>
            <w:color w:val="1D71B8"/>
            <w:spacing w:val="-6"/>
            <w:sz w:val="18"/>
            <w:u w:val="single" w:color="1D71B8"/>
          </w:rPr>
          <w:t> </w:t>
        </w:r>
        <w:r>
          <w:rPr>
            <w:color w:val="1D71B8"/>
            <w:sz w:val="18"/>
            <w:u w:val="single" w:color="1D71B8"/>
          </w:rPr>
          <w:t>medicines</w:t>
        </w:r>
        <w:r>
          <w:rPr>
            <w:color w:val="1D71B8"/>
            <w:spacing w:val="-6"/>
            <w:sz w:val="18"/>
            <w:u w:val="single" w:color="1D71B8"/>
          </w:rPr>
          <w:t> </w:t>
        </w:r>
        <w:r>
          <w:rPr>
            <w:color w:val="1D71B8"/>
            <w:sz w:val="18"/>
            <w:u w:val="single" w:color="1D71B8"/>
          </w:rPr>
          <w:t>to</w:t>
        </w:r>
        <w:r>
          <w:rPr>
            <w:color w:val="1D71B8"/>
            <w:spacing w:val="-6"/>
            <w:sz w:val="18"/>
            <w:u w:val="single" w:color="1D71B8"/>
          </w:rPr>
          <w:t> </w:t>
        </w:r>
        <w:r>
          <w:rPr>
            <w:color w:val="1D71B8"/>
            <w:sz w:val="18"/>
            <w:u w:val="single" w:color="1D71B8"/>
          </w:rPr>
          <w:t>Northern</w:t>
        </w:r>
      </w:hyperlink>
      <w:r>
        <w:rPr>
          <w:color w:val="1D71B8"/>
          <w:sz w:val="18"/>
          <w:u w:val="none"/>
        </w:rPr>
        <w:t> </w:t>
      </w:r>
      <w:hyperlink r:id="rId151">
        <w:r>
          <w:rPr>
            <w:color w:val="1D71B8"/>
            <w:sz w:val="18"/>
            <w:u w:val="single" w:color="1D71B8"/>
          </w:rPr>
          <w:t>Ireland</w:t>
        </w:r>
      </w:hyperlink>
      <w:r>
        <w:rPr>
          <w:sz w:val="18"/>
          <w:u w:val="none"/>
        </w:rPr>
        <w:t>’ (published 2020, last updated 2023).</w:t>
      </w:r>
    </w:p>
    <w:p>
      <w:pPr>
        <w:pStyle w:val="ListParagraph"/>
        <w:numPr>
          <w:ilvl w:val="0"/>
          <w:numId w:val="18"/>
        </w:numPr>
        <w:tabs>
          <w:tab w:pos="1287" w:val="left" w:leader="none"/>
        </w:tabs>
        <w:spacing w:line="240" w:lineRule="auto" w:before="1" w:after="0"/>
        <w:ind w:left="1287" w:right="1320" w:hanging="567"/>
        <w:jc w:val="left"/>
        <w:rPr>
          <w:sz w:val="18"/>
        </w:rPr>
      </w:pPr>
      <w:r>
        <w:rPr>
          <w:sz w:val="18"/>
        </w:rPr>
        <w:t>Proposal for a Regulation of the European Parliament and of the Council laying down Union procedures for the authorisation and supervision of medicinal products for human use and establishing rules governing the European Medicines</w:t>
      </w:r>
      <w:r>
        <w:rPr>
          <w:spacing w:val="-6"/>
          <w:sz w:val="18"/>
        </w:rPr>
        <w:t> </w:t>
      </w:r>
      <w:r>
        <w:rPr>
          <w:sz w:val="18"/>
        </w:rPr>
        <w:t>Agency,</w:t>
      </w:r>
      <w:r>
        <w:rPr>
          <w:spacing w:val="-5"/>
          <w:sz w:val="18"/>
        </w:rPr>
        <w:t> </w:t>
      </w:r>
      <w:r>
        <w:rPr>
          <w:sz w:val="18"/>
        </w:rPr>
        <w:t>amending</w:t>
      </w:r>
      <w:r>
        <w:rPr>
          <w:spacing w:val="-5"/>
          <w:sz w:val="18"/>
        </w:rPr>
        <w:t> </w:t>
      </w:r>
      <w:r>
        <w:rPr>
          <w:sz w:val="18"/>
        </w:rPr>
        <w:t>Regulation</w:t>
      </w:r>
      <w:r>
        <w:rPr>
          <w:spacing w:val="-6"/>
          <w:sz w:val="18"/>
        </w:rPr>
        <w:t> </w:t>
      </w:r>
      <w:r>
        <w:rPr>
          <w:sz w:val="18"/>
        </w:rPr>
        <w:t>(EC)</w:t>
      </w:r>
      <w:r>
        <w:rPr>
          <w:spacing w:val="-6"/>
          <w:sz w:val="18"/>
        </w:rPr>
        <w:t> </w:t>
      </w:r>
      <w:r>
        <w:rPr>
          <w:sz w:val="18"/>
        </w:rPr>
        <w:t>No</w:t>
      </w:r>
      <w:r>
        <w:rPr>
          <w:spacing w:val="-6"/>
          <w:sz w:val="18"/>
        </w:rPr>
        <w:t> </w:t>
      </w:r>
      <w:r>
        <w:rPr>
          <w:sz w:val="18"/>
        </w:rPr>
        <w:t>1394/2007</w:t>
      </w:r>
      <w:r>
        <w:rPr>
          <w:spacing w:val="-5"/>
          <w:sz w:val="18"/>
        </w:rPr>
        <w:t> </w:t>
      </w:r>
      <w:r>
        <w:rPr>
          <w:sz w:val="18"/>
        </w:rPr>
        <w:t>and</w:t>
      </w:r>
      <w:r>
        <w:rPr>
          <w:spacing w:val="-6"/>
          <w:sz w:val="18"/>
        </w:rPr>
        <w:t> </w:t>
      </w:r>
      <w:r>
        <w:rPr>
          <w:sz w:val="18"/>
        </w:rPr>
        <w:t>Regulation</w:t>
      </w:r>
      <w:r>
        <w:rPr>
          <w:spacing w:val="-6"/>
          <w:sz w:val="18"/>
        </w:rPr>
        <w:t> </w:t>
      </w:r>
      <w:r>
        <w:rPr>
          <w:sz w:val="18"/>
        </w:rPr>
        <w:t>(EU)</w:t>
      </w:r>
      <w:r>
        <w:rPr>
          <w:spacing w:val="-6"/>
          <w:sz w:val="18"/>
        </w:rPr>
        <w:t> </w:t>
      </w:r>
      <w:r>
        <w:rPr>
          <w:sz w:val="18"/>
        </w:rPr>
        <w:t>No</w:t>
      </w:r>
      <w:r>
        <w:rPr>
          <w:spacing w:val="-6"/>
          <w:sz w:val="18"/>
        </w:rPr>
        <w:t> </w:t>
      </w:r>
      <w:r>
        <w:rPr>
          <w:sz w:val="18"/>
        </w:rPr>
        <w:t>536/2014</w:t>
      </w:r>
      <w:r>
        <w:rPr>
          <w:spacing w:val="-5"/>
          <w:sz w:val="18"/>
        </w:rPr>
        <w:t> </w:t>
      </w:r>
      <w:r>
        <w:rPr>
          <w:sz w:val="18"/>
        </w:rPr>
        <w:t>and</w:t>
      </w:r>
      <w:r>
        <w:rPr>
          <w:spacing w:val="-6"/>
          <w:sz w:val="18"/>
        </w:rPr>
        <w:t> </w:t>
      </w:r>
      <w:r>
        <w:rPr>
          <w:sz w:val="18"/>
        </w:rPr>
        <w:t>repealing</w:t>
      </w:r>
      <w:r>
        <w:rPr>
          <w:spacing w:val="-5"/>
          <w:sz w:val="18"/>
        </w:rPr>
        <w:t> </w:t>
      </w:r>
      <w:r>
        <w:rPr>
          <w:sz w:val="18"/>
        </w:rPr>
        <w:t>Regulation (EC) No 726/2004, Regulation (EC) No 141/2000 and Regulation (EC) No 1901/2006. Proposal for a Directive of the European</w:t>
      </w:r>
      <w:r>
        <w:rPr>
          <w:spacing w:val="-4"/>
          <w:sz w:val="18"/>
        </w:rPr>
        <w:t> </w:t>
      </w:r>
      <w:r>
        <w:rPr>
          <w:sz w:val="18"/>
        </w:rPr>
        <w:t>Parliament</w:t>
      </w:r>
      <w:r>
        <w:rPr>
          <w:spacing w:val="-3"/>
          <w:sz w:val="18"/>
        </w:rPr>
        <w:t> </w:t>
      </w:r>
      <w:r>
        <w:rPr>
          <w:sz w:val="18"/>
        </w:rPr>
        <w:t>and</w:t>
      </w:r>
      <w:r>
        <w:rPr>
          <w:spacing w:val="-4"/>
          <w:sz w:val="18"/>
        </w:rPr>
        <w:t> </w:t>
      </w:r>
      <w:r>
        <w:rPr>
          <w:sz w:val="18"/>
        </w:rPr>
        <w:t>of</w:t>
      </w:r>
      <w:r>
        <w:rPr>
          <w:spacing w:val="-4"/>
          <w:sz w:val="18"/>
        </w:rPr>
        <w:t> </w:t>
      </w:r>
      <w:r>
        <w:rPr>
          <w:sz w:val="18"/>
        </w:rPr>
        <w:t>the</w:t>
      </w:r>
      <w:r>
        <w:rPr>
          <w:spacing w:val="-3"/>
          <w:sz w:val="18"/>
        </w:rPr>
        <w:t> </w:t>
      </w:r>
      <w:r>
        <w:rPr>
          <w:sz w:val="18"/>
        </w:rPr>
        <w:t>Council</w:t>
      </w:r>
      <w:r>
        <w:rPr>
          <w:spacing w:val="-4"/>
          <w:sz w:val="18"/>
        </w:rPr>
        <w:t> </w:t>
      </w:r>
      <w:r>
        <w:rPr>
          <w:sz w:val="18"/>
        </w:rPr>
        <w:t>on</w:t>
      </w:r>
      <w:r>
        <w:rPr>
          <w:spacing w:val="-4"/>
          <w:sz w:val="18"/>
        </w:rPr>
        <w:t> </w:t>
      </w:r>
      <w:r>
        <w:rPr>
          <w:sz w:val="18"/>
        </w:rPr>
        <w:t>the</w:t>
      </w:r>
      <w:r>
        <w:rPr>
          <w:spacing w:val="-3"/>
          <w:sz w:val="18"/>
        </w:rPr>
        <w:t> </w:t>
      </w:r>
      <w:r>
        <w:rPr>
          <w:sz w:val="18"/>
        </w:rPr>
        <w:t>Union</w:t>
      </w:r>
      <w:r>
        <w:rPr>
          <w:spacing w:val="-4"/>
          <w:sz w:val="18"/>
        </w:rPr>
        <w:t> </w:t>
      </w:r>
      <w:r>
        <w:rPr>
          <w:sz w:val="18"/>
        </w:rPr>
        <w:t>code</w:t>
      </w:r>
      <w:r>
        <w:rPr>
          <w:spacing w:val="-3"/>
          <w:sz w:val="18"/>
        </w:rPr>
        <w:t> </w:t>
      </w:r>
      <w:r>
        <w:rPr>
          <w:sz w:val="18"/>
        </w:rPr>
        <w:t>relating</w:t>
      </w:r>
      <w:r>
        <w:rPr>
          <w:spacing w:val="-3"/>
          <w:sz w:val="18"/>
        </w:rPr>
        <w:t> </w:t>
      </w:r>
      <w:r>
        <w:rPr>
          <w:sz w:val="18"/>
        </w:rPr>
        <w:t>to</w:t>
      </w:r>
      <w:r>
        <w:rPr>
          <w:spacing w:val="-4"/>
          <w:sz w:val="18"/>
        </w:rPr>
        <w:t> </w:t>
      </w:r>
      <w:r>
        <w:rPr>
          <w:sz w:val="18"/>
        </w:rPr>
        <w:t>medicinal</w:t>
      </w:r>
      <w:r>
        <w:rPr>
          <w:spacing w:val="-4"/>
          <w:sz w:val="18"/>
        </w:rPr>
        <w:t> </w:t>
      </w:r>
      <w:r>
        <w:rPr>
          <w:sz w:val="18"/>
        </w:rPr>
        <w:t>products</w:t>
      </w:r>
      <w:r>
        <w:rPr>
          <w:spacing w:val="-4"/>
          <w:sz w:val="18"/>
        </w:rPr>
        <w:t> </w:t>
      </w:r>
      <w:r>
        <w:rPr>
          <w:sz w:val="18"/>
        </w:rPr>
        <w:t>for</w:t>
      </w:r>
      <w:r>
        <w:rPr>
          <w:spacing w:val="-3"/>
          <w:sz w:val="18"/>
        </w:rPr>
        <w:t> </w:t>
      </w:r>
      <w:r>
        <w:rPr>
          <w:sz w:val="18"/>
        </w:rPr>
        <w:t>human</w:t>
      </w:r>
      <w:r>
        <w:rPr>
          <w:spacing w:val="-4"/>
          <w:sz w:val="18"/>
        </w:rPr>
        <w:t> </w:t>
      </w:r>
      <w:r>
        <w:rPr>
          <w:sz w:val="18"/>
        </w:rPr>
        <w:t>use,</w:t>
      </w:r>
      <w:r>
        <w:rPr>
          <w:spacing w:val="-3"/>
          <w:sz w:val="18"/>
        </w:rPr>
        <w:t> </w:t>
      </w:r>
      <w:r>
        <w:rPr>
          <w:sz w:val="18"/>
        </w:rPr>
        <w:t>and</w:t>
      </w:r>
      <w:r>
        <w:rPr>
          <w:spacing w:val="-4"/>
          <w:sz w:val="18"/>
        </w:rPr>
        <w:t> </w:t>
      </w:r>
      <w:r>
        <w:rPr>
          <w:sz w:val="18"/>
        </w:rPr>
        <w:t>repealing Directive 2001/83/EC and Directive 2009/35/EC. More info </w:t>
      </w:r>
      <w:r>
        <w:rPr>
          <w:color w:val="1D71B8"/>
          <w:sz w:val="18"/>
          <w:u w:val="single" w:color="1D71B8"/>
        </w:rPr>
        <w:t>here</w:t>
      </w:r>
      <w:r>
        <w:rPr>
          <w:sz w:val="18"/>
          <w:u w:val="none"/>
        </w:rPr>
        <w:t>.</w:t>
      </w:r>
    </w:p>
    <w:p>
      <w:pPr>
        <w:pStyle w:val="ListParagraph"/>
        <w:numPr>
          <w:ilvl w:val="0"/>
          <w:numId w:val="18"/>
        </w:numPr>
        <w:tabs>
          <w:tab w:pos="1287" w:val="left" w:leader="none"/>
        </w:tabs>
        <w:spacing w:line="240" w:lineRule="auto" w:before="2" w:after="0"/>
        <w:ind w:left="1287" w:right="1733" w:hanging="567"/>
        <w:jc w:val="left"/>
        <w:rPr>
          <w:sz w:val="18"/>
        </w:rPr>
      </w:pP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Regulation</w:t>
      </w:r>
      <w:r>
        <w:rPr>
          <w:spacing w:val="-5"/>
          <w:sz w:val="18"/>
        </w:rPr>
        <w:t> </w:t>
      </w:r>
      <w:r>
        <w:rPr>
          <w:sz w:val="18"/>
        </w:rPr>
        <w:t>of</w:t>
      </w:r>
      <w:r>
        <w:rPr>
          <w:spacing w:val="-4"/>
          <w:sz w:val="18"/>
        </w:rPr>
        <w:t> </w:t>
      </w:r>
      <w:r>
        <w:rPr>
          <w:sz w:val="18"/>
        </w:rPr>
        <w:t>the</w:t>
      </w:r>
      <w:r>
        <w:rPr>
          <w:spacing w:val="-4"/>
          <w:sz w:val="18"/>
        </w:rPr>
        <w:t> </w:t>
      </w:r>
      <w:r>
        <w:rPr>
          <w:sz w:val="18"/>
        </w:rPr>
        <w:t>European</w:t>
      </w:r>
      <w:r>
        <w:rPr>
          <w:spacing w:val="-5"/>
          <w:sz w:val="18"/>
        </w:rPr>
        <w:t> </w:t>
      </w:r>
      <w:r>
        <w:rPr>
          <w:sz w:val="18"/>
        </w:rPr>
        <w:t>Parliament</w:t>
      </w:r>
      <w:r>
        <w:rPr>
          <w:spacing w:val="-4"/>
          <w:sz w:val="18"/>
        </w:rPr>
        <w:t> </w:t>
      </w:r>
      <w:r>
        <w:rPr>
          <w:sz w:val="18"/>
        </w:rPr>
        <w:t>and</w:t>
      </w:r>
      <w:r>
        <w:rPr>
          <w:spacing w:val="-5"/>
          <w:sz w:val="18"/>
        </w:rPr>
        <w:t> </w:t>
      </w:r>
      <w:r>
        <w:rPr>
          <w:sz w:val="18"/>
        </w:rPr>
        <w:t>of</w:t>
      </w:r>
      <w:r>
        <w:rPr>
          <w:spacing w:val="-5"/>
          <w:sz w:val="18"/>
        </w:rPr>
        <w:t> </w:t>
      </w:r>
      <w:r>
        <w:rPr>
          <w:sz w:val="18"/>
        </w:rPr>
        <w:t>the</w:t>
      </w:r>
      <w:r>
        <w:rPr>
          <w:spacing w:val="-4"/>
          <w:sz w:val="18"/>
        </w:rPr>
        <w:t> </w:t>
      </w:r>
      <w:r>
        <w:rPr>
          <w:sz w:val="18"/>
        </w:rPr>
        <w:t>Council</w:t>
      </w:r>
      <w:r>
        <w:rPr>
          <w:spacing w:val="-5"/>
          <w:sz w:val="18"/>
        </w:rPr>
        <w:t> </w:t>
      </w:r>
      <w:r>
        <w:rPr>
          <w:sz w:val="18"/>
        </w:rPr>
        <w:t>establishing</w:t>
      </w:r>
      <w:r>
        <w:rPr>
          <w:spacing w:val="-4"/>
          <w:sz w:val="18"/>
        </w:rPr>
        <w:t> </w:t>
      </w:r>
      <w:r>
        <w:rPr>
          <w:sz w:val="18"/>
        </w:rPr>
        <w:t>the</w:t>
      </w:r>
      <w:r>
        <w:rPr>
          <w:spacing w:val="-4"/>
          <w:sz w:val="18"/>
        </w:rPr>
        <w:t> </w:t>
      </w:r>
      <w:r>
        <w:rPr>
          <w:sz w:val="18"/>
        </w:rPr>
        <w:t>Union</w:t>
      </w:r>
      <w:r>
        <w:rPr>
          <w:spacing w:val="-5"/>
          <w:sz w:val="18"/>
        </w:rPr>
        <w:t> </w:t>
      </w:r>
      <w:r>
        <w:rPr>
          <w:sz w:val="18"/>
        </w:rPr>
        <w:t>Health</w:t>
      </w:r>
      <w:r>
        <w:rPr>
          <w:spacing w:val="-5"/>
          <w:sz w:val="18"/>
        </w:rPr>
        <w:t> </w:t>
      </w:r>
      <w:r>
        <w:rPr>
          <w:sz w:val="18"/>
        </w:rPr>
        <w:t>Data</w:t>
      </w:r>
      <w:r>
        <w:rPr>
          <w:spacing w:val="-5"/>
          <w:sz w:val="18"/>
        </w:rPr>
        <w:t> </w:t>
      </w:r>
      <w:r>
        <w:rPr>
          <w:sz w:val="18"/>
        </w:rPr>
        <w:t>Space COM/2022/197 final. More info </w:t>
      </w:r>
      <w:r>
        <w:rPr>
          <w:color w:val="1D71B8"/>
          <w:sz w:val="18"/>
          <w:u w:val="single" w:color="1D71B8"/>
        </w:rPr>
        <w:t>here</w:t>
      </w:r>
      <w:r>
        <w:rPr>
          <w:sz w:val="18"/>
          <w:u w:val="none"/>
        </w:rPr>
        <w:t>.</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83776">
                <wp:simplePos x="0" y="0"/>
                <wp:positionH relativeFrom="page">
                  <wp:posOffset>-2</wp:posOffset>
                </wp:positionH>
                <wp:positionV relativeFrom="page">
                  <wp:posOffset>0</wp:posOffset>
                </wp:positionV>
                <wp:extent cx="7560309" cy="2623185"/>
                <wp:effectExtent l="0" t="0" r="0" b="0"/>
                <wp:wrapNone/>
                <wp:docPr id="817" name="Group 817"/>
                <wp:cNvGraphicFramePr>
                  <a:graphicFrameLocks/>
                </wp:cNvGraphicFramePr>
                <a:graphic>
                  <a:graphicData uri="http://schemas.microsoft.com/office/word/2010/wordprocessingGroup">
                    <wpg:wgp>
                      <wpg:cNvPr id="817" name="Group 817"/>
                      <wpg:cNvGrpSpPr/>
                      <wpg:grpSpPr>
                        <a:xfrm>
                          <a:off x="0" y="0"/>
                          <a:ext cx="7560309" cy="2623185"/>
                          <a:chExt cx="7560309" cy="2623185"/>
                        </a:xfrm>
                      </wpg:grpSpPr>
                      <wps:wsp>
                        <wps:cNvPr id="818" name="Graphic 818"/>
                        <wps:cNvSpPr/>
                        <wps:spPr>
                          <a:xfrm>
                            <a:off x="899996" y="972002"/>
                            <a:ext cx="6012180" cy="1651635"/>
                          </a:xfrm>
                          <a:custGeom>
                            <a:avLst/>
                            <a:gdLst/>
                            <a:ahLst/>
                            <a:cxnLst/>
                            <a:rect l="l" t="t" r="r" b="b"/>
                            <a:pathLst>
                              <a:path w="6012180" h="1651635">
                                <a:moveTo>
                                  <a:pt x="5868009" y="0"/>
                                </a:moveTo>
                                <a:lnTo>
                                  <a:pt x="144005" y="0"/>
                                </a:lnTo>
                                <a:lnTo>
                                  <a:pt x="98490" y="7340"/>
                                </a:lnTo>
                                <a:lnTo>
                                  <a:pt x="58959" y="27782"/>
                                </a:lnTo>
                                <a:lnTo>
                                  <a:pt x="27785" y="58954"/>
                                </a:lnTo>
                                <a:lnTo>
                                  <a:pt x="7341" y="98485"/>
                                </a:lnTo>
                                <a:lnTo>
                                  <a:pt x="0" y="144005"/>
                                </a:lnTo>
                                <a:lnTo>
                                  <a:pt x="0" y="1507096"/>
                                </a:lnTo>
                                <a:lnTo>
                                  <a:pt x="7341" y="1552611"/>
                                </a:lnTo>
                                <a:lnTo>
                                  <a:pt x="27785" y="1592142"/>
                                </a:lnTo>
                                <a:lnTo>
                                  <a:pt x="58959" y="1623315"/>
                                </a:lnTo>
                                <a:lnTo>
                                  <a:pt x="98490" y="1643759"/>
                                </a:lnTo>
                                <a:lnTo>
                                  <a:pt x="144005" y="1651101"/>
                                </a:lnTo>
                                <a:lnTo>
                                  <a:pt x="5868009" y="1651101"/>
                                </a:lnTo>
                                <a:lnTo>
                                  <a:pt x="5913523" y="1643759"/>
                                </a:lnTo>
                                <a:lnTo>
                                  <a:pt x="5953050" y="1623315"/>
                                </a:lnTo>
                                <a:lnTo>
                                  <a:pt x="5984220" y="1592142"/>
                                </a:lnTo>
                                <a:lnTo>
                                  <a:pt x="6004661" y="1552611"/>
                                </a:lnTo>
                                <a:lnTo>
                                  <a:pt x="6012002" y="15070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819" name="Graphic 819"/>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820" name="Graphic 820"/>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821" name="Textbox 821"/>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822" name="Textbox 822"/>
                        <wps:cNvSpPr txBox="1"/>
                        <wps:spPr>
                          <a:xfrm>
                            <a:off x="7073886" y="403890"/>
                            <a:ext cx="193040" cy="177800"/>
                          </a:xfrm>
                          <a:prstGeom prst="rect">
                            <a:avLst/>
                          </a:prstGeom>
                        </wps:spPr>
                        <wps:txbx>
                          <w:txbxContent>
                            <w:p>
                              <w:pPr>
                                <w:spacing w:line="280" w:lineRule="exact" w:before="0"/>
                                <w:ind w:left="0" w:right="0" w:firstLine="0"/>
                                <w:jc w:val="left"/>
                                <w:rPr>
                                  <w:b/>
                                  <w:sz w:val="28"/>
                                </w:rPr>
                              </w:pPr>
                              <w:r>
                                <w:rPr>
                                  <w:b/>
                                  <w:color w:val="FFFFFF"/>
                                  <w:spacing w:val="-5"/>
                                  <w:sz w:val="28"/>
                                </w:rPr>
                                <w:t>95</w:t>
                              </w:r>
                            </w:p>
                          </w:txbxContent>
                        </wps:txbx>
                        <wps:bodyPr wrap="square" lIns="0" tIns="0" rIns="0" bIns="0" rtlCol="0">
                          <a:noAutofit/>
                        </wps:bodyPr>
                      </wps:wsp>
                      <wps:wsp>
                        <wps:cNvPr id="823" name="Textbox 823"/>
                        <wps:cNvSpPr txBox="1"/>
                        <wps:spPr>
                          <a:xfrm>
                            <a:off x="1116002" y="1080003"/>
                            <a:ext cx="5715635" cy="1435100"/>
                          </a:xfrm>
                          <a:prstGeom prst="rect">
                            <a:avLst/>
                          </a:prstGeom>
                        </wps:spPr>
                        <wps:txbx>
                          <w:txbxContent>
                            <w:p>
                              <w:pPr>
                                <w:spacing w:line="279" w:lineRule="exact" w:before="0"/>
                                <w:ind w:left="0" w:right="0"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the</w:t>
                              </w:r>
                              <w:r>
                                <w:rPr>
                                  <w:b/>
                                  <w:color w:val="164194"/>
                                  <w:spacing w:val="-6"/>
                                  <w:sz w:val="28"/>
                                </w:rPr>
                                <w:t> </w:t>
                              </w:r>
                              <w:r>
                                <w:rPr>
                                  <w:b/>
                                  <w:color w:val="164194"/>
                                  <w:sz w:val="28"/>
                                </w:rPr>
                                <w:t>UK</w:t>
                              </w:r>
                              <w:r>
                                <w:rPr>
                                  <w:b/>
                                  <w:color w:val="164194"/>
                                  <w:spacing w:val="-6"/>
                                  <w:sz w:val="28"/>
                                </w:rPr>
                                <w:t> </w:t>
                              </w:r>
                              <w:r>
                                <w:rPr>
                                  <w:b/>
                                  <w:color w:val="164194"/>
                                  <w:sz w:val="28"/>
                                </w:rPr>
                                <w:t>Government</w:t>
                              </w:r>
                              <w:r>
                                <w:rPr>
                                  <w:b/>
                                  <w:color w:val="164194"/>
                                  <w:spacing w:val="-6"/>
                                  <w:sz w:val="28"/>
                                </w:rPr>
                                <w:t> </w:t>
                              </w:r>
                              <w:r>
                                <w:rPr>
                                  <w:b/>
                                  <w:color w:val="164194"/>
                                  <w:sz w:val="28"/>
                                </w:rPr>
                                <w:t>and</w:t>
                              </w:r>
                              <w:r>
                                <w:rPr>
                                  <w:b/>
                                  <w:color w:val="164194"/>
                                  <w:spacing w:val="-6"/>
                                  <w:sz w:val="28"/>
                                </w:rPr>
                                <w:t> </w:t>
                              </w:r>
                              <w:r>
                                <w:rPr>
                                  <w:b/>
                                  <w:color w:val="164194"/>
                                  <w:sz w:val="28"/>
                                </w:rPr>
                                <w:t>the</w:t>
                              </w:r>
                              <w:r>
                                <w:rPr>
                                  <w:b/>
                                  <w:color w:val="164194"/>
                                  <w:spacing w:val="-6"/>
                                  <w:sz w:val="28"/>
                                </w:rPr>
                                <w:t> </w:t>
                              </w:r>
                              <w:r>
                                <w:rPr>
                                  <w:b/>
                                  <w:color w:val="164194"/>
                                  <w:sz w:val="28"/>
                                </w:rPr>
                                <w:t>NI</w:t>
                              </w:r>
                              <w:r>
                                <w:rPr>
                                  <w:b/>
                                  <w:color w:val="164194"/>
                                  <w:spacing w:val="-6"/>
                                  <w:sz w:val="28"/>
                                </w:rPr>
                                <w:t> </w:t>
                              </w:r>
                              <w:r>
                                <w:rPr>
                                  <w:b/>
                                  <w:color w:val="164194"/>
                                  <w:sz w:val="28"/>
                                </w:rPr>
                                <w:t>Executive</w:t>
                              </w:r>
                              <w:r>
                                <w:rPr>
                                  <w:b/>
                                  <w:color w:val="164194"/>
                                  <w:spacing w:val="-7"/>
                                  <w:sz w:val="28"/>
                                </w:rPr>
                                <w:t> </w:t>
                              </w:r>
                              <w:r>
                                <w:rPr>
                                  <w:b/>
                                  <w:color w:val="164194"/>
                                  <w:sz w:val="28"/>
                                </w:rPr>
                                <w:t>ensure</w:t>
                              </w:r>
                              <w:r>
                                <w:rPr>
                                  <w:b/>
                                  <w:color w:val="164194"/>
                                  <w:spacing w:val="-7"/>
                                  <w:sz w:val="28"/>
                                </w:rPr>
                                <w:t> </w:t>
                              </w:r>
                              <w:r>
                                <w:rPr>
                                  <w:b/>
                                  <w:color w:val="164194"/>
                                  <w:spacing w:val="-4"/>
                                  <w:sz w:val="28"/>
                                </w:rPr>
                                <w:t>that</w:t>
                              </w:r>
                            </w:p>
                            <w:p>
                              <w:pPr>
                                <w:spacing w:line="232" w:lineRule="auto" w:before="0"/>
                                <w:ind w:left="0" w:right="0" w:firstLine="0"/>
                                <w:jc w:val="left"/>
                                <w:rPr>
                                  <w:b/>
                                  <w:sz w:val="28"/>
                                </w:rPr>
                              </w:pPr>
                              <w:r>
                                <w:rPr>
                                  <w:b/>
                                  <w:color w:val="164194"/>
                                  <w:sz w:val="28"/>
                                </w:rPr>
                                <w:t>access to, and the prices of, medicines in NI, as well as individuals’ control of personal</w:t>
                              </w:r>
                              <w:r>
                                <w:rPr>
                                  <w:b/>
                                  <w:color w:val="164194"/>
                                  <w:spacing w:val="-7"/>
                                  <w:sz w:val="28"/>
                                </w:rPr>
                                <w:t> </w:t>
                              </w:r>
                              <w:r>
                                <w:rPr>
                                  <w:b/>
                                  <w:color w:val="164194"/>
                                  <w:sz w:val="28"/>
                                </w:rPr>
                                <w:t>medical</w:t>
                              </w:r>
                              <w:r>
                                <w:rPr>
                                  <w:b/>
                                  <w:color w:val="164194"/>
                                  <w:spacing w:val="-7"/>
                                  <w:sz w:val="28"/>
                                </w:rPr>
                                <w:t> </w:t>
                              </w:r>
                              <w:r>
                                <w:rPr>
                                  <w:b/>
                                  <w:color w:val="164194"/>
                                  <w:sz w:val="28"/>
                                </w:rPr>
                                <w:t>data</w:t>
                              </w:r>
                              <w:r>
                                <w:rPr>
                                  <w:b/>
                                  <w:color w:val="164194"/>
                                  <w:spacing w:val="-7"/>
                                  <w:sz w:val="28"/>
                                </w:rPr>
                                <w:t> </w:t>
                              </w:r>
                              <w:r>
                                <w:rPr>
                                  <w:b/>
                                  <w:color w:val="164194"/>
                                  <w:sz w:val="28"/>
                                </w:rPr>
                                <w:t>in</w:t>
                              </w:r>
                              <w:r>
                                <w:rPr>
                                  <w:b/>
                                  <w:color w:val="164194"/>
                                  <w:spacing w:val="-7"/>
                                  <w:sz w:val="28"/>
                                </w:rPr>
                                <w:t> </w:t>
                              </w:r>
                              <w:r>
                                <w:rPr>
                                  <w:b/>
                                  <w:color w:val="164194"/>
                                  <w:sz w:val="28"/>
                                </w:rPr>
                                <w:t>NI,</w:t>
                              </w:r>
                              <w:r>
                                <w:rPr>
                                  <w:b/>
                                  <w:color w:val="164194"/>
                                  <w:spacing w:val="-7"/>
                                  <w:sz w:val="28"/>
                                </w:rPr>
                                <w:t> </w:t>
                              </w:r>
                              <w:r>
                                <w:rPr>
                                  <w:b/>
                                  <w:color w:val="164194"/>
                                  <w:sz w:val="28"/>
                                </w:rPr>
                                <w:t>match</w:t>
                              </w:r>
                              <w:r>
                                <w:rPr>
                                  <w:b/>
                                  <w:color w:val="164194"/>
                                  <w:spacing w:val="-7"/>
                                  <w:sz w:val="28"/>
                                </w:rPr>
                                <w:t> </w:t>
                              </w:r>
                              <w:r>
                                <w:rPr>
                                  <w:b/>
                                  <w:color w:val="164194"/>
                                  <w:sz w:val="28"/>
                                </w:rPr>
                                <w:t>any</w:t>
                              </w:r>
                              <w:r>
                                <w:rPr>
                                  <w:b/>
                                  <w:color w:val="164194"/>
                                  <w:spacing w:val="-7"/>
                                  <w:sz w:val="28"/>
                                </w:rPr>
                                <w:t> </w:t>
                              </w:r>
                              <w:r>
                                <w:rPr>
                                  <w:b/>
                                  <w:color w:val="164194"/>
                                  <w:sz w:val="28"/>
                                </w:rPr>
                                <w:t>revised</w:t>
                              </w:r>
                              <w:r>
                                <w:rPr>
                                  <w:b/>
                                  <w:color w:val="164194"/>
                                  <w:spacing w:val="-7"/>
                                  <w:sz w:val="28"/>
                                </w:rPr>
                                <w:t> </w:t>
                              </w:r>
                              <w:r>
                                <w:rPr>
                                  <w:b/>
                                  <w:color w:val="164194"/>
                                  <w:sz w:val="28"/>
                                </w:rPr>
                                <w:t>EU</w:t>
                              </w:r>
                              <w:r>
                                <w:rPr>
                                  <w:b/>
                                  <w:color w:val="164194"/>
                                  <w:spacing w:val="-7"/>
                                  <w:sz w:val="28"/>
                                </w:rPr>
                                <w:t> </w:t>
                              </w:r>
                              <w:r>
                                <w:rPr>
                                  <w:b/>
                                  <w:color w:val="164194"/>
                                  <w:sz w:val="28"/>
                                </w:rPr>
                                <w:t>standards</w:t>
                              </w:r>
                              <w:r>
                                <w:rPr>
                                  <w:b/>
                                  <w:color w:val="164194"/>
                                  <w:spacing w:val="-7"/>
                                  <w:sz w:val="28"/>
                                </w:rPr>
                                <w:t> </w:t>
                              </w:r>
                              <w:r>
                                <w:rPr>
                                  <w:b/>
                                  <w:color w:val="164194"/>
                                  <w:sz w:val="28"/>
                                </w:rPr>
                                <w:t>in</w:t>
                              </w:r>
                              <w:r>
                                <w:rPr>
                                  <w:b/>
                                  <w:color w:val="164194"/>
                                  <w:spacing w:val="-7"/>
                                  <w:sz w:val="28"/>
                                </w:rPr>
                                <w:t> </w:t>
                              </w:r>
                              <w:r>
                                <w:rPr>
                                  <w:b/>
                                  <w:color w:val="164194"/>
                                  <w:sz w:val="28"/>
                                </w:rPr>
                                <w:t>order</w:t>
                              </w:r>
                              <w:r>
                                <w:rPr>
                                  <w:b/>
                                  <w:color w:val="164194"/>
                                  <w:spacing w:val="-8"/>
                                  <w:sz w:val="28"/>
                                </w:rPr>
                                <w:t> </w:t>
                              </w:r>
                              <w:r>
                                <w:rPr>
                                  <w:b/>
                                  <w:color w:val="164194"/>
                                  <w:sz w:val="28"/>
                                </w:rPr>
                                <w:t>to</w:t>
                              </w:r>
                              <w:r>
                                <w:rPr>
                                  <w:b/>
                                  <w:color w:val="164194"/>
                                  <w:spacing w:val="-7"/>
                                  <w:sz w:val="28"/>
                                </w:rPr>
                                <w:t> </w:t>
                              </w:r>
                              <w:r>
                                <w:rPr>
                                  <w:b/>
                                  <w:color w:val="164194"/>
                                  <w:sz w:val="28"/>
                                </w:rPr>
                                <w:t>avoid divergence in the realisation of the right to health on the island of Ireland to the</w:t>
                              </w:r>
                              <w:r>
                                <w:rPr>
                                  <w:b/>
                                  <w:color w:val="164194"/>
                                  <w:spacing w:val="-9"/>
                                  <w:sz w:val="28"/>
                                </w:rPr>
                                <w:t> </w:t>
                              </w:r>
                              <w:r>
                                <w:rPr>
                                  <w:b/>
                                  <w:color w:val="164194"/>
                                  <w:sz w:val="28"/>
                                </w:rPr>
                                <w:t>extent</w:t>
                              </w:r>
                              <w:r>
                                <w:rPr>
                                  <w:b/>
                                  <w:color w:val="164194"/>
                                  <w:spacing w:val="-8"/>
                                  <w:sz w:val="28"/>
                                </w:rPr>
                                <w:t> </w:t>
                              </w:r>
                              <w:r>
                                <w:rPr>
                                  <w:b/>
                                  <w:color w:val="164194"/>
                                  <w:sz w:val="28"/>
                                </w:rPr>
                                <w:t>that</w:t>
                              </w:r>
                              <w:r>
                                <w:rPr>
                                  <w:b/>
                                  <w:color w:val="164194"/>
                                  <w:spacing w:val="-8"/>
                                  <w:sz w:val="28"/>
                                </w:rPr>
                                <w:t> </w:t>
                              </w:r>
                              <w:r>
                                <w:rPr>
                                  <w:b/>
                                  <w:color w:val="164194"/>
                                  <w:sz w:val="28"/>
                                </w:rPr>
                                <w:t>these</w:t>
                              </w:r>
                              <w:r>
                                <w:rPr>
                                  <w:b/>
                                  <w:color w:val="164194"/>
                                  <w:spacing w:val="-9"/>
                                  <w:sz w:val="28"/>
                                </w:rPr>
                                <w:t> </w:t>
                              </w:r>
                              <w:r>
                                <w:rPr>
                                  <w:b/>
                                  <w:color w:val="164194"/>
                                  <w:sz w:val="28"/>
                                </w:rPr>
                                <w:t>strengthen</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w:t>
                              </w:r>
                              <w:r>
                                <w:rPr>
                                  <w:b/>
                                  <w:color w:val="164194"/>
                                  <w:spacing w:val="-8"/>
                                  <w:sz w:val="28"/>
                                </w:rPr>
                                <w:t> </w:t>
                              </w:r>
                              <w:r>
                                <w:rPr>
                                  <w:b/>
                                  <w:color w:val="164194"/>
                                  <w:sz w:val="28"/>
                                </w:rPr>
                                <w:t>international</w:t>
                              </w:r>
                              <w:r>
                                <w:rPr>
                                  <w:b/>
                                  <w:color w:val="164194"/>
                                  <w:spacing w:val="-8"/>
                                  <w:sz w:val="28"/>
                                </w:rPr>
                                <w:t> </w:t>
                              </w:r>
                              <w:r>
                                <w:rPr>
                                  <w:b/>
                                  <w:color w:val="164194"/>
                                  <w:sz w:val="28"/>
                                </w:rPr>
                                <w:t>human</w:t>
                              </w:r>
                              <w:r>
                                <w:rPr>
                                  <w:b/>
                                  <w:color w:val="164194"/>
                                  <w:spacing w:val="-8"/>
                                  <w:sz w:val="28"/>
                                </w:rPr>
                                <w:t> </w:t>
                              </w:r>
                              <w:r>
                                <w:rPr>
                                  <w:b/>
                                  <w:color w:val="164194"/>
                                  <w:sz w:val="28"/>
                                </w:rPr>
                                <w:t>rights standards and best practice. This may involve amendments of the current legislative frameworks governing those topics.</w:t>
                              </w:r>
                            </w:p>
                          </w:txbxContent>
                        </wps:txbx>
                        <wps:bodyPr wrap="square" lIns="0" tIns="0" rIns="0" bIns="0" rtlCol="0">
                          <a:noAutofit/>
                        </wps:bodyPr>
                      </wps:wsp>
                    </wpg:wgp>
                  </a:graphicData>
                </a:graphic>
              </wp:anchor>
            </w:drawing>
          </mc:Choice>
          <mc:Fallback>
            <w:pict>
              <v:group style="position:absolute;margin-left:-.000192pt;margin-top:-.00002pt;width:595.3pt;height:206.55pt;mso-position-horizontal-relative:page;mso-position-vertical-relative:page;z-index:15883776" id="docshapegroup669" coordorigin="0,0" coordsize="11906,4131">
                <v:shape style="position:absolute;left:1417;top:1530;width:9468;height:2601" id="docshape670" coordorigin="1417,1531" coordsize="9468,2601" path="m10658,1531l1644,1531,1572,1542,1510,1574,1461,1624,1429,1686,1417,1757,1417,3904,1429,3976,1461,4038,1510,4087,1572,4119,1644,4131,10658,4131,10730,4119,10792,4087,10841,4038,10873,3976,10885,3904,10885,1757,10873,1686,10841,1624,10792,1574,10730,1542,10658,1531xe" filled="true" fillcolor="#e9f3fc" stroked="false">
                  <v:path arrowok="t"/>
                  <v:fill type="solid"/>
                </v:shape>
                <v:shape style="position:absolute;left:0;top:0;width:11906;height:1819" id="docshape671"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672"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139;top:636;width:304;height:280" type="#_x0000_t202" id="docshape673" filled="false" stroked="false">
                  <v:textbox inset="0,0,0,0">
                    <w:txbxContent>
                      <w:p>
                        <w:pPr>
                          <w:spacing w:line="280" w:lineRule="exact" w:before="0"/>
                          <w:ind w:left="0" w:right="0" w:firstLine="0"/>
                          <w:jc w:val="left"/>
                          <w:rPr>
                            <w:b/>
                            <w:sz w:val="28"/>
                          </w:rPr>
                        </w:pPr>
                        <w:r>
                          <w:rPr>
                            <w:b/>
                            <w:color w:val="FFFFFF"/>
                            <w:spacing w:val="-5"/>
                            <w:sz w:val="28"/>
                          </w:rPr>
                          <w:t>95</w:t>
                        </w:r>
                      </w:p>
                    </w:txbxContent>
                  </v:textbox>
                  <w10:wrap type="none"/>
                </v:shape>
                <v:shape style="position:absolute;left:1757;top:1700;width:9001;height:2260" type="#_x0000_t202" id="docshape674" filled="false" stroked="false">
                  <v:textbox inset="0,0,0,0">
                    <w:txbxContent>
                      <w:p>
                        <w:pPr>
                          <w:spacing w:line="279" w:lineRule="exact" w:before="0"/>
                          <w:ind w:left="0" w:right="0" w:firstLine="0"/>
                          <w:jc w:val="left"/>
                          <w:rPr>
                            <w:b/>
                            <w:sz w:val="28"/>
                          </w:rPr>
                        </w:pPr>
                        <w:r>
                          <w:rPr>
                            <w:b/>
                            <w:color w:val="164194"/>
                            <w:sz w:val="28"/>
                          </w:rPr>
                          <w:t>We</w:t>
                        </w:r>
                        <w:r>
                          <w:rPr>
                            <w:b/>
                            <w:color w:val="164194"/>
                            <w:spacing w:val="-7"/>
                            <w:sz w:val="28"/>
                          </w:rPr>
                          <w:t> </w:t>
                        </w:r>
                        <w:r>
                          <w:rPr>
                            <w:b/>
                            <w:color w:val="164194"/>
                            <w:sz w:val="28"/>
                          </w:rPr>
                          <w:t>recommend</w:t>
                        </w:r>
                        <w:r>
                          <w:rPr>
                            <w:b/>
                            <w:color w:val="164194"/>
                            <w:spacing w:val="-6"/>
                            <w:sz w:val="28"/>
                          </w:rPr>
                          <w:t> </w:t>
                        </w:r>
                        <w:r>
                          <w:rPr>
                            <w:b/>
                            <w:color w:val="164194"/>
                            <w:sz w:val="28"/>
                          </w:rPr>
                          <w:t>that</w:t>
                        </w:r>
                        <w:r>
                          <w:rPr>
                            <w:b/>
                            <w:color w:val="164194"/>
                            <w:spacing w:val="-6"/>
                            <w:sz w:val="28"/>
                          </w:rPr>
                          <w:t> </w:t>
                        </w:r>
                        <w:r>
                          <w:rPr>
                            <w:b/>
                            <w:color w:val="164194"/>
                            <w:sz w:val="28"/>
                          </w:rPr>
                          <w:t>the</w:t>
                        </w:r>
                        <w:r>
                          <w:rPr>
                            <w:b/>
                            <w:color w:val="164194"/>
                            <w:spacing w:val="-6"/>
                            <w:sz w:val="28"/>
                          </w:rPr>
                          <w:t> </w:t>
                        </w:r>
                        <w:r>
                          <w:rPr>
                            <w:b/>
                            <w:color w:val="164194"/>
                            <w:sz w:val="28"/>
                          </w:rPr>
                          <w:t>UK</w:t>
                        </w:r>
                        <w:r>
                          <w:rPr>
                            <w:b/>
                            <w:color w:val="164194"/>
                            <w:spacing w:val="-6"/>
                            <w:sz w:val="28"/>
                          </w:rPr>
                          <w:t> </w:t>
                        </w:r>
                        <w:r>
                          <w:rPr>
                            <w:b/>
                            <w:color w:val="164194"/>
                            <w:sz w:val="28"/>
                          </w:rPr>
                          <w:t>Government</w:t>
                        </w:r>
                        <w:r>
                          <w:rPr>
                            <w:b/>
                            <w:color w:val="164194"/>
                            <w:spacing w:val="-6"/>
                            <w:sz w:val="28"/>
                          </w:rPr>
                          <w:t> </w:t>
                        </w:r>
                        <w:r>
                          <w:rPr>
                            <w:b/>
                            <w:color w:val="164194"/>
                            <w:sz w:val="28"/>
                          </w:rPr>
                          <w:t>and</w:t>
                        </w:r>
                        <w:r>
                          <w:rPr>
                            <w:b/>
                            <w:color w:val="164194"/>
                            <w:spacing w:val="-6"/>
                            <w:sz w:val="28"/>
                          </w:rPr>
                          <w:t> </w:t>
                        </w:r>
                        <w:r>
                          <w:rPr>
                            <w:b/>
                            <w:color w:val="164194"/>
                            <w:sz w:val="28"/>
                          </w:rPr>
                          <w:t>the</w:t>
                        </w:r>
                        <w:r>
                          <w:rPr>
                            <w:b/>
                            <w:color w:val="164194"/>
                            <w:spacing w:val="-6"/>
                            <w:sz w:val="28"/>
                          </w:rPr>
                          <w:t> </w:t>
                        </w:r>
                        <w:r>
                          <w:rPr>
                            <w:b/>
                            <w:color w:val="164194"/>
                            <w:sz w:val="28"/>
                          </w:rPr>
                          <w:t>NI</w:t>
                        </w:r>
                        <w:r>
                          <w:rPr>
                            <w:b/>
                            <w:color w:val="164194"/>
                            <w:spacing w:val="-6"/>
                            <w:sz w:val="28"/>
                          </w:rPr>
                          <w:t> </w:t>
                        </w:r>
                        <w:r>
                          <w:rPr>
                            <w:b/>
                            <w:color w:val="164194"/>
                            <w:sz w:val="28"/>
                          </w:rPr>
                          <w:t>Executive</w:t>
                        </w:r>
                        <w:r>
                          <w:rPr>
                            <w:b/>
                            <w:color w:val="164194"/>
                            <w:spacing w:val="-7"/>
                            <w:sz w:val="28"/>
                          </w:rPr>
                          <w:t> </w:t>
                        </w:r>
                        <w:r>
                          <w:rPr>
                            <w:b/>
                            <w:color w:val="164194"/>
                            <w:sz w:val="28"/>
                          </w:rPr>
                          <w:t>ensure</w:t>
                        </w:r>
                        <w:r>
                          <w:rPr>
                            <w:b/>
                            <w:color w:val="164194"/>
                            <w:spacing w:val="-7"/>
                            <w:sz w:val="28"/>
                          </w:rPr>
                          <w:t> </w:t>
                        </w:r>
                        <w:r>
                          <w:rPr>
                            <w:b/>
                            <w:color w:val="164194"/>
                            <w:spacing w:val="-4"/>
                            <w:sz w:val="28"/>
                          </w:rPr>
                          <w:t>that</w:t>
                        </w:r>
                      </w:p>
                      <w:p>
                        <w:pPr>
                          <w:spacing w:line="232" w:lineRule="auto" w:before="0"/>
                          <w:ind w:left="0" w:right="0" w:firstLine="0"/>
                          <w:jc w:val="left"/>
                          <w:rPr>
                            <w:b/>
                            <w:sz w:val="28"/>
                          </w:rPr>
                        </w:pPr>
                        <w:r>
                          <w:rPr>
                            <w:b/>
                            <w:color w:val="164194"/>
                            <w:sz w:val="28"/>
                          </w:rPr>
                          <w:t>access to, and the prices of, medicines in NI, as well as individuals’ control of personal</w:t>
                        </w:r>
                        <w:r>
                          <w:rPr>
                            <w:b/>
                            <w:color w:val="164194"/>
                            <w:spacing w:val="-7"/>
                            <w:sz w:val="28"/>
                          </w:rPr>
                          <w:t> </w:t>
                        </w:r>
                        <w:r>
                          <w:rPr>
                            <w:b/>
                            <w:color w:val="164194"/>
                            <w:sz w:val="28"/>
                          </w:rPr>
                          <w:t>medical</w:t>
                        </w:r>
                        <w:r>
                          <w:rPr>
                            <w:b/>
                            <w:color w:val="164194"/>
                            <w:spacing w:val="-7"/>
                            <w:sz w:val="28"/>
                          </w:rPr>
                          <w:t> </w:t>
                        </w:r>
                        <w:r>
                          <w:rPr>
                            <w:b/>
                            <w:color w:val="164194"/>
                            <w:sz w:val="28"/>
                          </w:rPr>
                          <w:t>data</w:t>
                        </w:r>
                        <w:r>
                          <w:rPr>
                            <w:b/>
                            <w:color w:val="164194"/>
                            <w:spacing w:val="-7"/>
                            <w:sz w:val="28"/>
                          </w:rPr>
                          <w:t> </w:t>
                        </w:r>
                        <w:r>
                          <w:rPr>
                            <w:b/>
                            <w:color w:val="164194"/>
                            <w:sz w:val="28"/>
                          </w:rPr>
                          <w:t>in</w:t>
                        </w:r>
                        <w:r>
                          <w:rPr>
                            <w:b/>
                            <w:color w:val="164194"/>
                            <w:spacing w:val="-7"/>
                            <w:sz w:val="28"/>
                          </w:rPr>
                          <w:t> </w:t>
                        </w:r>
                        <w:r>
                          <w:rPr>
                            <w:b/>
                            <w:color w:val="164194"/>
                            <w:sz w:val="28"/>
                          </w:rPr>
                          <w:t>NI,</w:t>
                        </w:r>
                        <w:r>
                          <w:rPr>
                            <w:b/>
                            <w:color w:val="164194"/>
                            <w:spacing w:val="-7"/>
                            <w:sz w:val="28"/>
                          </w:rPr>
                          <w:t> </w:t>
                        </w:r>
                        <w:r>
                          <w:rPr>
                            <w:b/>
                            <w:color w:val="164194"/>
                            <w:sz w:val="28"/>
                          </w:rPr>
                          <w:t>match</w:t>
                        </w:r>
                        <w:r>
                          <w:rPr>
                            <w:b/>
                            <w:color w:val="164194"/>
                            <w:spacing w:val="-7"/>
                            <w:sz w:val="28"/>
                          </w:rPr>
                          <w:t> </w:t>
                        </w:r>
                        <w:r>
                          <w:rPr>
                            <w:b/>
                            <w:color w:val="164194"/>
                            <w:sz w:val="28"/>
                          </w:rPr>
                          <w:t>any</w:t>
                        </w:r>
                        <w:r>
                          <w:rPr>
                            <w:b/>
                            <w:color w:val="164194"/>
                            <w:spacing w:val="-7"/>
                            <w:sz w:val="28"/>
                          </w:rPr>
                          <w:t> </w:t>
                        </w:r>
                        <w:r>
                          <w:rPr>
                            <w:b/>
                            <w:color w:val="164194"/>
                            <w:sz w:val="28"/>
                          </w:rPr>
                          <w:t>revised</w:t>
                        </w:r>
                        <w:r>
                          <w:rPr>
                            <w:b/>
                            <w:color w:val="164194"/>
                            <w:spacing w:val="-7"/>
                            <w:sz w:val="28"/>
                          </w:rPr>
                          <w:t> </w:t>
                        </w:r>
                        <w:r>
                          <w:rPr>
                            <w:b/>
                            <w:color w:val="164194"/>
                            <w:sz w:val="28"/>
                          </w:rPr>
                          <w:t>EU</w:t>
                        </w:r>
                        <w:r>
                          <w:rPr>
                            <w:b/>
                            <w:color w:val="164194"/>
                            <w:spacing w:val="-7"/>
                            <w:sz w:val="28"/>
                          </w:rPr>
                          <w:t> </w:t>
                        </w:r>
                        <w:r>
                          <w:rPr>
                            <w:b/>
                            <w:color w:val="164194"/>
                            <w:sz w:val="28"/>
                          </w:rPr>
                          <w:t>standards</w:t>
                        </w:r>
                        <w:r>
                          <w:rPr>
                            <w:b/>
                            <w:color w:val="164194"/>
                            <w:spacing w:val="-7"/>
                            <w:sz w:val="28"/>
                          </w:rPr>
                          <w:t> </w:t>
                        </w:r>
                        <w:r>
                          <w:rPr>
                            <w:b/>
                            <w:color w:val="164194"/>
                            <w:sz w:val="28"/>
                          </w:rPr>
                          <w:t>in</w:t>
                        </w:r>
                        <w:r>
                          <w:rPr>
                            <w:b/>
                            <w:color w:val="164194"/>
                            <w:spacing w:val="-7"/>
                            <w:sz w:val="28"/>
                          </w:rPr>
                          <w:t> </w:t>
                        </w:r>
                        <w:r>
                          <w:rPr>
                            <w:b/>
                            <w:color w:val="164194"/>
                            <w:sz w:val="28"/>
                          </w:rPr>
                          <w:t>order</w:t>
                        </w:r>
                        <w:r>
                          <w:rPr>
                            <w:b/>
                            <w:color w:val="164194"/>
                            <w:spacing w:val="-8"/>
                            <w:sz w:val="28"/>
                          </w:rPr>
                          <w:t> </w:t>
                        </w:r>
                        <w:r>
                          <w:rPr>
                            <w:b/>
                            <w:color w:val="164194"/>
                            <w:sz w:val="28"/>
                          </w:rPr>
                          <w:t>to</w:t>
                        </w:r>
                        <w:r>
                          <w:rPr>
                            <w:b/>
                            <w:color w:val="164194"/>
                            <w:spacing w:val="-7"/>
                            <w:sz w:val="28"/>
                          </w:rPr>
                          <w:t> </w:t>
                        </w:r>
                        <w:r>
                          <w:rPr>
                            <w:b/>
                            <w:color w:val="164194"/>
                            <w:sz w:val="28"/>
                          </w:rPr>
                          <w:t>avoid divergence in the realisation of the right to health on the island of Ireland to the</w:t>
                        </w:r>
                        <w:r>
                          <w:rPr>
                            <w:b/>
                            <w:color w:val="164194"/>
                            <w:spacing w:val="-9"/>
                            <w:sz w:val="28"/>
                          </w:rPr>
                          <w:t> </w:t>
                        </w:r>
                        <w:r>
                          <w:rPr>
                            <w:b/>
                            <w:color w:val="164194"/>
                            <w:sz w:val="28"/>
                          </w:rPr>
                          <w:t>extent</w:t>
                        </w:r>
                        <w:r>
                          <w:rPr>
                            <w:b/>
                            <w:color w:val="164194"/>
                            <w:spacing w:val="-8"/>
                            <w:sz w:val="28"/>
                          </w:rPr>
                          <w:t> </w:t>
                        </w:r>
                        <w:r>
                          <w:rPr>
                            <w:b/>
                            <w:color w:val="164194"/>
                            <w:sz w:val="28"/>
                          </w:rPr>
                          <w:t>that</w:t>
                        </w:r>
                        <w:r>
                          <w:rPr>
                            <w:b/>
                            <w:color w:val="164194"/>
                            <w:spacing w:val="-8"/>
                            <w:sz w:val="28"/>
                          </w:rPr>
                          <w:t> </w:t>
                        </w:r>
                        <w:r>
                          <w:rPr>
                            <w:b/>
                            <w:color w:val="164194"/>
                            <w:sz w:val="28"/>
                          </w:rPr>
                          <w:t>these</w:t>
                        </w:r>
                        <w:r>
                          <w:rPr>
                            <w:b/>
                            <w:color w:val="164194"/>
                            <w:spacing w:val="-9"/>
                            <w:sz w:val="28"/>
                          </w:rPr>
                          <w:t> </w:t>
                        </w:r>
                        <w:r>
                          <w:rPr>
                            <w:b/>
                            <w:color w:val="164194"/>
                            <w:sz w:val="28"/>
                          </w:rPr>
                          <w:t>strengthen</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w:t>
                        </w:r>
                        <w:r>
                          <w:rPr>
                            <w:b/>
                            <w:color w:val="164194"/>
                            <w:spacing w:val="-8"/>
                            <w:sz w:val="28"/>
                          </w:rPr>
                          <w:t> </w:t>
                        </w:r>
                        <w:r>
                          <w:rPr>
                            <w:b/>
                            <w:color w:val="164194"/>
                            <w:sz w:val="28"/>
                          </w:rPr>
                          <w:t>international</w:t>
                        </w:r>
                        <w:r>
                          <w:rPr>
                            <w:b/>
                            <w:color w:val="164194"/>
                            <w:spacing w:val="-8"/>
                            <w:sz w:val="28"/>
                          </w:rPr>
                          <w:t> </w:t>
                        </w:r>
                        <w:r>
                          <w:rPr>
                            <w:b/>
                            <w:color w:val="164194"/>
                            <w:sz w:val="28"/>
                          </w:rPr>
                          <w:t>human</w:t>
                        </w:r>
                        <w:r>
                          <w:rPr>
                            <w:b/>
                            <w:color w:val="164194"/>
                            <w:spacing w:val="-8"/>
                            <w:sz w:val="28"/>
                          </w:rPr>
                          <w:t> </w:t>
                        </w:r>
                        <w:r>
                          <w:rPr>
                            <w:b/>
                            <w:color w:val="164194"/>
                            <w:sz w:val="28"/>
                          </w:rPr>
                          <w:t>rights standards and best practice. This may involve amendments of the current legislative frameworks governing those topics.</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Heading3"/>
        <w:numPr>
          <w:ilvl w:val="2"/>
          <w:numId w:val="33"/>
        </w:numPr>
        <w:tabs>
          <w:tab w:pos="1755" w:val="left" w:leader="none"/>
        </w:tabs>
        <w:spacing w:line="336" w:lineRule="exact" w:before="0" w:after="0"/>
        <w:ind w:left="1755" w:right="0" w:hanging="638"/>
        <w:jc w:val="left"/>
      </w:pPr>
      <w:bookmarkStart w:name="4.3.4 Other human rights and equality ma" w:id="148"/>
      <w:bookmarkEnd w:id="148"/>
      <w:r>
        <w:rPr>
          <w:b w:val="0"/>
        </w:rPr>
      </w:r>
      <w:bookmarkStart w:name="4.3.4.1 Adequate Minimum Wages Directive" w:id="149"/>
      <w:bookmarkEnd w:id="149"/>
      <w:r>
        <w:rPr>
          <w:b w:val="0"/>
        </w:rPr>
      </w:r>
      <w:bookmarkStart w:name="_bookmark62" w:id="150"/>
      <w:bookmarkEnd w:id="150"/>
      <w:r>
        <w:rPr>
          <w:b w:val="0"/>
        </w:rPr>
      </w:r>
      <w:r>
        <w:rPr>
          <w:color w:val="004A93"/>
        </w:rPr>
        <w:t>Other</w:t>
      </w:r>
      <w:r>
        <w:rPr>
          <w:color w:val="004A93"/>
          <w:spacing w:val="-3"/>
        </w:rPr>
        <w:t> </w:t>
      </w:r>
      <w:r>
        <w:rPr>
          <w:color w:val="004A93"/>
        </w:rPr>
        <w:t>human</w:t>
      </w:r>
      <w:r>
        <w:rPr>
          <w:color w:val="004A93"/>
          <w:spacing w:val="-1"/>
        </w:rPr>
        <w:t> </w:t>
      </w:r>
      <w:r>
        <w:rPr>
          <w:color w:val="004A93"/>
        </w:rPr>
        <w:t>rights</w:t>
      </w:r>
      <w:r>
        <w:rPr>
          <w:color w:val="004A93"/>
          <w:spacing w:val="-2"/>
        </w:rPr>
        <w:t> </w:t>
      </w:r>
      <w:r>
        <w:rPr>
          <w:color w:val="004A93"/>
        </w:rPr>
        <w:t>and</w:t>
      </w:r>
      <w:r>
        <w:rPr>
          <w:color w:val="004A93"/>
          <w:spacing w:val="-1"/>
        </w:rPr>
        <w:t> </w:t>
      </w:r>
      <w:r>
        <w:rPr>
          <w:color w:val="004A93"/>
        </w:rPr>
        <w:t>equality</w:t>
      </w:r>
      <w:r>
        <w:rPr>
          <w:color w:val="004A93"/>
          <w:spacing w:val="-1"/>
        </w:rPr>
        <w:t> </w:t>
      </w:r>
      <w:r>
        <w:rPr>
          <w:color w:val="004A93"/>
          <w:spacing w:val="-2"/>
        </w:rPr>
        <w:t>matters</w:t>
      </w:r>
    </w:p>
    <w:p>
      <w:pPr>
        <w:pStyle w:val="BodyText"/>
        <w:spacing w:line="232" w:lineRule="auto" w:before="2"/>
        <w:ind w:left="1117" w:right="738"/>
      </w:pPr>
      <w:r>
        <w:rPr/>
        <w:t>As discussed in previous sections, a vast number of EU developments on human rights</w:t>
      </w:r>
      <w:r>
        <w:rPr>
          <w:spacing w:val="-10"/>
        </w:rPr>
        <w:t> </w:t>
      </w:r>
      <w:r>
        <w:rPr/>
        <w:t>matters</w:t>
      </w:r>
      <w:r>
        <w:rPr>
          <w:spacing w:val="-10"/>
        </w:rPr>
        <w:t> </w:t>
      </w:r>
      <w:r>
        <w:rPr/>
        <w:t>arguably</w:t>
      </w:r>
      <w:r>
        <w:rPr>
          <w:spacing w:val="-9"/>
        </w:rPr>
        <w:t> </w:t>
      </w:r>
      <w:r>
        <w:rPr/>
        <w:t>correspond</w:t>
      </w:r>
      <w:r>
        <w:rPr>
          <w:spacing w:val="-10"/>
        </w:rPr>
        <w:t> </w:t>
      </w:r>
      <w:r>
        <w:rPr/>
        <w:t>to</w:t>
      </w:r>
      <w:r>
        <w:rPr>
          <w:spacing w:val="-10"/>
        </w:rPr>
        <w:t> </w:t>
      </w:r>
      <w:r>
        <w:rPr/>
        <w:t>aspects</w:t>
      </w:r>
      <w:r>
        <w:rPr>
          <w:spacing w:val="-10"/>
        </w:rPr>
        <w:t> </w:t>
      </w:r>
      <w:r>
        <w:rPr/>
        <w:t>underpinning</w:t>
      </w:r>
      <w:r>
        <w:rPr>
          <w:spacing w:val="-9"/>
        </w:rPr>
        <w:t> </w:t>
      </w:r>
      <w:r>
        <w:rPr/>
        <w:t>the</w:t>
      </w:r>
      <w:r>
        <w:rPr>
          <w:spacing w:val="-9"/>
        </w:rPr>
        <w:t> </w:t>
      </w:r>
      <w:r>
        <w:rPr/>
        <w:t>Rights,</w:t>
      </w:r>
      <w:r>
        <w:rPr>
          <w:spacing w:val="-9"/>
        </w:rPr>
        <w:t> </w:t>
      </w:r>
      <w:r>
        <w:rPr/>
        <w:t>Safeguards and Equality of Opportunity part of the 1998 Agreement. This interpretation</w:t>
      </w:r>
    </w:p>
    <w:p>
      <w:pPr>
        <w:pStyle w:val="BodyText"/>
        <w:spacing w:line="232" w:lineRule="auto"/>
        <w:ind w:left="1117" w:right="1087"/>
      </w:pPr>
      <w:r>
        <w:rPr/>
        <w:t>of the Agreement, which refers to the full range of human rights standards ratified by the UK and not solely civil and political rights, follows recent reports written</w:t>
      </w:r>
      <w:r>
        <w:rPr>
          <w:spacing w:val="-9"/>
        </w:rPr>
        <w:t> </w:t>
      </w:r>
      <w:r>
        <w:rPr/>
        <w:t>by</w:t>
      </w:r>
      <w:r>
        <w:rPr>
          <w:spacing w:val="-8"/>
        </w:rPr>
        <w:t> </w:t>
      </w:r>
      <w:r>
        <w:rPr/>
        <w:t>or</w:t>
      </w:r>
      <w:r>
        <w:rPr>
          <w:spacing w:val="-8"/>
        </w:rPr>
        <w:t> </w:t>
      </w:r>
      <w:r>
        <w:rPr/>
        <w:t>for</w:t>
      </w:r>
      <w:r>
        <w:rPr>
          <w:spacing w:val="-8"/>
        </w:rPr>
        <w:t> </w:t>
      </w:r>
      <w:r>
        <w:rPr/>
        <w:t>the</w:t>
      </w:r>
      <w:r>
        <w:rPr>
          <w:spacing w:val="-8"/>
        </w:rPr>
        <w:t> </w:t>
      </w:r>
      <w:r>
        <w:rPr/>
        <w:t>ECNI</w:t>
      </w:r>
      <w:r>
        <w:rPr>
          <w:spacing w:val="-8"/>
        </w:rPr>
        <w:t> </w:t>
      </w:r>
      <w:r>
        <w:rPr/>
        <w:t>and</w:t>
      </w:r>
      <w:r>
        <w:rPr>
          <w:spacing w:val="-9"/>
        </w:rPr>
        <w:t> </w:t>
      </w:r>
      <w:r>
        <w:rPr/>
        <w:t>NIHRC,</w:t>
      </w:r>
      <w:r>
        <w:rPr>
          <w:vertAlign w:val="superscript"/>
        </w:rPr>
        <w:t>490</w:t>
      </w:r>
      <w:r>
        <w:rPr>
          <w:spacing w:val="-9"/>
          <w:vertAlign w:val="baseline"/>
        </w:rPr>
        <w:t> </w:t>
      </w:r>
      <w:r>
        <w:rPr>
          <w:vertAlign w:val="baseline"/>
        </w:rPr>
        <w:t>and</w:t>
      </w:r>
      <w:r>
        <w:rPr>
          <w:spacing w:val="-9"/>
          <w:vertAlign w:val="baseline"/>
        </w:rPr>
        <w:t> </w:t>
      </w:r>
      <w:r>
        <w:rPr>
          <w:vertAlign w:val="baseline"/>
        </w:rPr>
        <w:t>reflects</w:t>
      </w:r>
      <w:r>
        <w:rPr>
          <w:spacing w:val="-9"/>
          <w:vertAlign w:val="baseline"/>
        </w:rPr>
        <w:t> </w:t>
      </w:r>
      <w:r>
        <w:rPr>
          <w:vertAlign w:val="baseline"/>
        </w:rPr>
        <w:t>the</w:t>
      </w:r>
      <w:r>
        <w:rPr>
          <w:spacing w:val="-8"/>
          <w:vertAlign w:val="baseline"/>
        </w:rPr>
        <w:t> </w:t>
      </w:r>
      <w:r>
        <w:rPr>
          <w:vertAlign w:val="baseline"/>
        </w:rPr>
        <w:t>generous</w:t>
      </w:r>
      <w:r>
        <w:rPr>
          <w:spacing w:val="-9"/>
          <w:vertAlign w:val="baseline"/>
        </w:rPr>
        <w:t> </w:t>
      </w:r>
      <w:r>
        <w:rPr>
          <w:vertAlign w:val="baseline"/>
        </w:rPr>
        <w:t>and</w:t>
      </w:r>
      <w:r>
        <w:rPr>
          <w:spacing w:val="-9"/>
          <w:vertAlign w:val="baseline"/>
        </w:rPr>
        <w:t> </w:t>
      </w:r>
      <w:r>
        <w:rPr>
          <w:vertAlign w:val="baseline"/>
        </w:rPr>
        <w:t>purposive</w:t>
      </w:r>
    </w:p>
    <w:p>
      <w:pPr>
        <w:pStyle w:val="BodyText"/>
        <w:spacing w:line="232" w:lineRule="auto"/>
        <w:ind w:left="1117" w:right="738"/>
      </w:pPr>
      <w:r>
        <w:rPr/>
        <w:t>approach</w:t>
      </w:r>
      <w:r>
        <w:rPr>
          <w:spacing w:val="-1"/>
        </w:rPr>
        <w:t> </w:t>
      </w:r>
      <w:r>
        <w:rPr/>
        <w:t>to</w:t>
      </w:r>
      <w:r>
        <w:rPr>
          <w:spacing w:val="-1"/>
        </w:rPr>
        <w:t> </w:t>
      </w:r>
      <w:r>
        <w:rPr/>
        <w:t>interpretation</w:t>
      </w:r>
      <w:r>
        <w:rPr>
          <w:spacing w:val="-1"/>
        </w:rPr>
        <w:t> </w:t>
      </w:r>
      <w:r>
        <w:rPr/>
        <w:t>in</w:t>
      </w:r>
      <w:r>
        <w:rPr>
          <w:spacing w:val="-1"/>
        </w:rPr>
        <w:t> </w:t>
      </w:r>
      <w:r>
        <w:rPr/>
        <w:t>the</w:t>
      </w:r>
      <w:r>
        <w:rPr>
          <w:spacing w:val="-1"/>
        </w:rPr>
        <w:t> </w:t>
      </w:r>
      <w:r>
        <w:rPr>
          <w:i/>
        </w:rPr>
        <w:t>Legacy</w:t>
      </w:r>
      <w:r>
        <w:rPr>
          <w:i/>
          <w:spacing w:val="-1"/>
        </w:rPr>
        <w:t> </w:t>
      </w:r>
      <w:r>
        <w:rPr>
          <w:i/>
        </w:rPr>
        <w:t>Act cases</w:t>
      </w:r>
      <w:r>
        <w:rPr>
          <w:i/>
          <w:spacing w:val="-1"/>
        </w:rPr>
        <w:t> </w:t>
      </w:r>
      <w:r>
        <w:rPr>
          <w:i/>
        </w:rPr>
        <w:t>(Dillon</w:t>
      </w:r>
      <w:r>
        <w:rPr>
          <w:i/>
          <w:spacing w:val="-1"/>
        </w:rPr>
        <w:t> </w:t>
      </w:r>
      <w:r>
        <w:rPr>
          <w:i/>
        </w:rPr>
        <w:t>and</w:t>
      </w:r>
      <w:r>
        <w:rPr>
          <w:i/>
          <w:spacing w:val="-1"/>
        </w:rPr>
        <w:t> </w:t>
      </w:r>
      <w:r>
        <w:rPr>
          <w:i/>
        </w:rPr>
        <w:t>others) </w:t>
      </w:r>
      <w:r>
        <w:rPr/>
        <w:t>(see chapter five). Therefore, the EU legislative developments mentioned below need to be considered as matters of good practice to avoid divergence in the realisation of human rights and equality on the island of Ireland. Northern Ireland may wish to voluntarily</w:t>
      </w:r>
      <w:r>
        <w:rPr>
          <w:spacing w:val="-7"/>
        </w:rPr>
        <w:t> </w:t>
      </w:r>
      <w:r>
        <w:rPr/>
        <w:t>align</w:t>
      </w:r>
      <w:r>
        <w:rPr>
          <w:spacing w:val="-8"/>
        </w:rPr>
        <w:t> </w:t>
      </w:r>
      <w:r>
        <w:rPr/>
        <w:t>with</w:t>
      </w:r>
      <w:r>
        <w:rPr>
          <w:spacing w:val="-8"/>
        </w:rPr>
        <w:t> </w:t>
      </w:r>
      <w:r>
        <w:rPr/>
        <w:t>these</w:t>
      </w:r>
      <w:r>
        <w:rPr>
          <w:spacing w:val="-7"/>
        </w:rPr>
        <w:t> </w:t>
      </w:r>
      <w:r>
        <w:rPr/>
        <w:t>developments</w:t>
      </w:r>
      <w:r>
        <w:rPr>
          <w:spacing w:val="-8"/>
        </w:rPr>
        <w:t> </w:t>
      </w:r>
      <w:r>
        <w:rPr/>
        <w:t>where</w:t>
      </w:r>
      <w:r>
        <w:rPr>
          <w:spacing w:val="-7"/>
        </w:rPr>
        <w:t> </w:t>
      </w:r>
      <w:r>
        <w:rPr/>
        <w:t>they</w:t>
      </w:r>
      <w:r>
        <w:rPr>
          <w:spacing w:val="-7"/>
        </w:rPr>
        <w:t> </w:t>
      </w:r>
      <w:r>
        <w:rPr/>
        <w:t>strengthen</w:t>
      </w:r>
      <w:r>
        <w:rPr>
          <w:spacing w:val="-8"/>
        </w:rPr>
        <w:t> </w:t>
      </w:r>
      <w:r>
        <w:rPr/>
        <w:t>rights</w:t>
      </w:r>
      <w:r>
        <w:rPr>
          <w:spacing w:val="-8"/>
        </w:rPr>
        <w:t> </w:t>
      </w:r>
      <w:r>
        <w:rPr/>
        <w:t>and</w:t>
      </w:r>
      <w:r>
        <w:rPr>
          <w:spacing w:val="-8"/>
        </w:rPr>
        <w:t> </w:t>
      </w:r>
      <w:r>
        <w:rPr/>
        <w:t>reflect international human rights standards and best practice.</w:t>
      </w:r>
    </w:p>
    <w:p>
      <w:pPr>
        <w:pStyle w:val="BodyText"/>
        <w:spacing w:before="38"/>
      </w:pPr>
    </w:p>
    <w:p>
      <w:pPr>
        <w:pStyle w:val="ListParagraph"/>
        <w:numPr>
          <w:ilvl w:val="3"/>
          <w:numId w:val="33"/>
        </w:numPr>
        <w:tabs>
          <w:tab w:pos="1960" w:val="left" w:leader="none"/>
        </w:tabs>
        <w:spacing w:line="336" w:lineRule="exact" w:before="1" w:after="0"/>
        <w:ind w:left="1960" w:right="0" w:hanging="843"/>
        <w:jc w:val="left"/>
        <w:rPr>
          <w:sz w:val="28"/>
        </w:rPr>
      </w:pPr>
      <w:r>
        <w:rPr>
          <w:color w:val="004A93"/>
          <w:sz w:val="28"/>
        </w:rPr>
        <w:t>Adequate</w:t>
      </w:r>
      <w:r>
        <w:rPr>
          <w:color w:val="004A93"/>
          <w:spacing w:val="-8"/>
          <w:sz w:val="28"/>
        </w:rPr>
        <w:t> </w:t>
      </w:r>
      <w:r>
        <w:rPr>
          <w:color w:val="004A93"/>
          <w:sz w:val="28"/>
        </w:rPr>
        <w:t>Minimum</w:t>
      </w:r>
      <w:r>
        <w:rPr>
          <w:color w:val="004A93"/>
          <w:spacing w:val="-7"/>
          <w:sz w:val="28"/>
        </w:rPr>
        <w:t> </w:t>
      </w:r>
      <w:r>
        <w:rPr>
          <w:color w:val="004A93"/>
          <w:sz w:val="28"/>
        </w:rPr>
        <w:t>Wages</w:t>
      </w:r>
      <w:r>
        <w:rPr>
          <w:color w:val="004A93"/>
          <w:spacing w:val="-7"/>
          <w:sz w:val="28"/>
        </w:rPr>
        <w:t> </w:t>
      </w:r>
      <w:r>
        <w:rPr>
          <w:color w:val="004A93"/>
          <w:spacing w:val="-2"/>
          <w:sz w:val="28"/>
        </w:rPr>
        <w:t>Directive</w:t>
      </w:r>
    </w:p>
    <w:p>
      <w:pPr>
        <w:pStyle w:val="BodyText"/>
        <w:spacing w:line="232" w:lineRule="auto" w:before="2"/>
        <w:ind w:left="1117" w:right="738"/>
      </w:pPr>
      <w:r>
        <w:rPr/>
        <w:t>One</w:t>
      </w:r>
      <w:r>
        <w:rPr>
          <w:spacing w:val="-5"/>
        </w:rPr>
        <w:t> </w:t>
      </w:r>
      <w:r>
        <w:rPr/>
        <w:t>EU</w:t>
      </w:r>
      <w:r>
        <w:rPr>
          <w:spacing w:val="-5"/>
        </w:rPr>
        <w:t> </w:t>
      </w:r>
      <w:r>
        <w:rPr/>
        <w:t>directive</w:t>
      </w:r>
      <w:r>
        <w:rPr>
          <w:spacing w:val="-5"/>
        </w:rPr>
        <w:t> </w:t>
      </w:r>
      <w:r>
        <w:rPr/>
        <w:t>adopted</w:t>
      </w:r>
      <w:r>
        <w:rPr>
          <w:spacing w:val="-6"/>
        </w:rPr>
        <w:t> </w:t>
      </w:r>
      <w:r>
        <w:rPr/>
        <w:t>between</w:t>
      </w:r>
      <w:r>
        <w:rPr>
          <w:spacing w:val="-6"/>
        </w:rPr>
        <w:t> </w:t>
      </w:r>
      <w:r>
        <w:rPr/>
        <w:t>1</w:t>
      </w:r>
      <w:r>
        <w:rPr>
          <w:spacing w:val="-5"/>
        </w:rPr>
        <w:t> </w:t>
      </w:r>
      <w:r>
        <w:rPr/>
        <w:t>January</w:t>
      </w:r>
      <w:r>
        <w:rPr>
          <w:spacing w:val="-5"/>
        </w:rPr>
        <w:t> </w:t>
      </w:r>
      <w:r>
        <w:rPr/>
        <w:t>2022</w:t>
      </w:r>
      <w:r>
        <w:rPr>
          <w:spacing w:val="-5"/>
        </w:rPr>
        <w:t> </w:t>
      </w:r>
      <w:r>
        <w:rPr/>
        <w:t>and</w:t>
      </w:r>
      <w:r>
        <w:rPr>
          <w:spacing w:val="-6"/>
        </w:rPr>
        <w:t> </w:t>
      </w:r>
      <w:r>
        <w:rPr/>
        <w:t>31</w:t>
      </w:r>
      <w:r>
        <w:rPr>
          <w:spacing w:val="-5"/>
        </w:rPr>
        <w:t> </w:t>
      </w:r>
      <w:r>
        <w:rPr/>
        <w:t>August</w:t>
      </w:r>
      <w:r>
        <w:rPr>
          <w:spacing w:val="-5"/>
        </w:rPr>
        <w:t> </w:t>
      </w:r>
      <w:r>
        <w:rPr/>
        <w:t>2023</w:t>
      </w:r>
      <w:r>
        <w:rPr>
          <w:spacing w:val="-5"/>
        </w:rPr>
        <w:t> </w:t>
      </w:r>
      <w:r>
        <w:rPr/>
        <w:t>relates</w:t>
      </w:r>
      <w:r>
        <w:rPr>
          <w:spacing w:val="-6"/>
        </w:rPr>
        <w:t> </w:t>
      </w:r>
      <w:r>
        <w:rPr/>
        <w:t>to the right to an adequate standard of living. This is:</w:t>
      </w:r>
    </w:p>
    <w:p>
      <w:pPr>
        <w:pStyle w:val="ListParagraph"/>
        <w:numPr>
          <w:ilvl w:val="4"/>
          <w:numId w:val="33"/>
        </w:numPr>
        <w:tabs>
          <w:tab w:pos="1457" w:val="left" w:leader="none"/>
        </w:tabs>
        <w:spacing w:line="232" w:lineRule="auto" w:before="267" w:after="0"/>
        <w:ind w:left="1457" w:right="904" w:hanging="341"/>
        <w:jc w:val="left"/>
        <w:rPr>
          <w:sz w:val="28"/>
        </w:rPr>
      </w:pPr>
      <w:r>
        <w:rPr>
          <w:sz w:val="28"/>
        </w:rPr>
        <w:t>EU Directive 2022/2041 on adequate minimum wages in the European Union (the </w:t>
      </w:r>
      <w:r>
        <w:rPr>
          <w:b/>
          <w:sz w:val="28"/>
        </w:rPr>
        <w:t>Adequate Minimum Wages Directive</w:t>
      </w:r>
      <w:r>
        <w:rPr>
          <w:sz w:val="28"/>
        </w:rPr>
        <w:t>).</w:t>
      </w:r>
      <w:r>
        <w:rPr>
          <w:sz w:val="28"/>
          <w:vertAlign w:val="superscript"/>
        </w:rPr>
        <w:t>491</w:t>
      </w:r>
      <w:r>
        <w:rPr>
          <w:sz w:val="28"/>
          <w:vertAlign w:val="baseline"/>
        </w:rPr>
        <w:t> This Directive requires that Member</w:t>
      </w:r>
      <w:r>
        <w:rPr>
          <w:spacing w:val="-4"/>
          <w:sz w:val="28"/>
          <w:vertAlign w:val="baseline"/>
        </w:rPr>
        <w:t> </w:t>
      </w:r>
      <w:r>
        <w:rPr>
          <w:sz w:val="28"/>
          <w:vertAlign w:val="baseline"/>
        </w:rPr>
        <w:t>States</w:t>
      </w:r>
      <w:r>
        <w:rPr>
          <w:spacing w:val="-5"/>
          <w:sz w:val="28"/>
          <w:vertAlign w:val="baseline"/>
        </w:rPr>
        <w:t> </w:t>
      </w:r>
      <w:r>
        <w:rPr>
          <w:sz w:val="28"/>
          <w:vertAlign w:val="baseline"/>
        </w:rPr>
        <w:t>must</w:t>
      </w:r>
      <w:r>
        <w:rPr>
          <w:spacing w:val="-4"/>
          <w:sz w:val="28"/>
          <w:vertAlign w:val="baseline"/>
        </w:rPr>
        <w:t> </w:t>
      </w:r>
      <w:r>
        <w:rPr>
          <w:sz w:val="28"/>
          <w:vertAlign w:val="baseline"/>
        </w:rPr>
        <w:t>ensure</w:t>
      </w:r>
      <w:r>
        <w:rPr>
          <w:spacing w:val="-4"/>
          <w:sz w:val="28"/>
          <w:vertAlign w:val="baseline"/>
        </w:rPr>
        <w:t> </w:t>
      </w:r>
      <w:r>
        <w:rPr>
          <w:sz w:val="28"/>
          <w:vertAlign w:val="baseline"/>
        </w:rPr>
        <w:t>that</w:t>
      </w:r>
      <w:r>
        <w:rPr>
          <w:spacing w:val="-4"/>
          <w:sz w:val="28"/>
          <w:vertAlign w:val="baseline"/>
        </w:rPr>
        <w:t> </w:t>
      </w:r>
      <w:r>
        <w:rPr>
          <w:sz w:val="28"/>
          <w:vertAlign w:val="baseline"/>
        </w:rPr>
        <w:t>they</w:t>
      </w:r>
      <w:r>
        <w:rPr>
          <w:spacing w:val="-4"/>
          <w:sz w:val="28"/>
          <w:vertAlign w:val="baseline"/>
        </w:rPr>
        <w:t> </w:t>
      </w:r>
      <w:r>
        <w:rPr>
          <w:sz w:val="28"/>
          <w:vertAlign w:val="baseline"/>
        </w:rPr>
        <w:t>involve</w:t>
      </w:r>
      <w:r>
        <w:rPr>
          <w:spacing w:val="-4"/>
          <w:sz w:val="28"/>
          <w:vertAlign w:val="baseline"/>
        </w:rPr>
        <w:t> </w:t>
      </w:r>
      <w:r>
        <w:rPr>
          <w:sz w:val="28"/>
          <w:vertAlign w:val="baseline"/>
        </w:rPr>
        <w:t>social</w:t>
      </w:r>
      <w:r>
        <w:rPr>
          <w:spacing w:val="-5"/>
          <w:sz w:val="28"/>
          <w:vertAlign w:val="baseline"/>
        </w:rPr>
        <w:t> </w:t>
      </w:r>
      <w:r>
        <w:rPr>
          <w:sz w:val="28"/>
          <w:vertAlign w:val="baseline"/>
        </w:rPr>
        <w:t>partners</w:t>
      </w:r>
      <w:r>
        <w:rPr>
          <w:spacing w:val="-5"/>
          <w:sz w:val="28"/>
          <w:vertAlign w:val="baseline"/>
        </w:rPr>
        <w:t> </w:t>
      </w:r>
      <w:r>
        <w:rPr>
          <w:sz w:val="28"/>
          <w:vertAlign w:val="baseline"/>
        </w:rPr>
        <w:t>when</w:t>
      </w:r>
      <w:r>
        <w:rPr>
          <w:spacing w:val="-5"/>
          <w:sz w:val="28"/>
          <w:vertAlign w:val="baseline"/>
        </w:rPr>
        <w:t> </w:t>
      </w:r>
      <w:r>
        <w:rPr>
          <w:sz w:val="28"/>
          <w:vertAlign w:val="baseline"/>
        </w:rPr>
        <w:t>setting</w:t>
      </w:r>
      <w:r>
        <w:rPr>
          <w:spacing w:val="-4"/>
          <w:sz w:val="28"/>
          <w:vertAlign w:val="baseline"/>
        </w:rPr>
        <w:t> </w:t>
      </w:r>
      <w:r>
        <w:rPr>
          <w:sz w:val="28"/>
          <w:vertAlign w:val="baseline"/>
        </w:rPr>
        <w:t>and updating</w:t>
      </w:r>
      <w:r>
        <w:rPr>
          <w:spacing w:val="-8"/>
          <w:sz w:val="28"/>
          <w:vertAlign w:val="baseline"/>
        </w:rPr>
        <w:t> </w:t>
      </w:r>
      <w:r>
        <w:rPr>
          <w:sz w:val="28"/>
          <w:vertAlign w:val="baseline"/>
        </w:rPr>
        <w:t>national</w:t>
      </w:r>
      <w:r>
        <w:rPr>
          <w:spacing w:val="-9"/>
          <w:sz w:val="28"/>
          <w:vertAlign w:val="baseline"/>
        </w:rPr>
        <w:t> </w:t>
      </w:r>
      <w:r>
        <w:rPr>
          <w:sz w:val="28"/>
          <w:vertAlign w:val="baseline"/>
        </w:rPr>
        <w:t>criteria</w:t>
      </w:r>
      <w:r>
        <w:rPr>
          <w:spacing w:val="-9"/>
          <w:sz w:val="28"/>
          <w:vertAlign w:val="baseline"/>
        </w:rPr>
        <w:t> </w:t>
      </w:r>
      <w:r>
        <w:rPr>
          <w:sz w:val="28"/>
          <w:vertAlign w:val="baseline"/>
        </w:rPr>
        <w:t>defining</w:t>
      </w:r>
      <w:r>
        <w:rPr>
          <w:spacing w:val="-8"/>
          <w:sz w:val="28"/>
          <w:vertAlign w:val="baseline"/>
        </w:rPr>
        <w:t> </w:t>
      </w:r>
      <w:r>
        <w:rPr>
          <w:sz w:val="28"/>
          <w:vertAlign w:val="baseline"/>
        </w:rPr>
        <w:t>minimum</w:t>
      </w:r>
      <w:r>
        <w:rPr>
          <w:spacing w:val="-8"/>
          <w:sz w:val="28"/>
          <w:vertAlign w:val="baseline"/>
        </w:rPr>
        <w:t> </w:t>
      </w:r>
      <w:r>
        <w:rPr>
          <w:sz w:val="28"/>
          <w:vertAlign w:val="baseline"/>
        </w:rPr>
        <w:t>wages,</w:t>
      </w:r>
      <w:r>
        <w:rPr>
          <w:spacing w:val="-8"/>
          <w:sz w:val="28"/>
          <w:vertAlign w:val="baseline"/>
        </w:rPr>
        <w:t> </w:t>
      </w:r>
      <w:r>
        <w:rPr>
          <w:sz w:val="28"/>
          <w:vertAlign w:val="baseline"/>
        </w:rPr>
        <w:t>that</w:t>
      </w:r>
      <w:r>
        <w:rPr>
          <w:spacing w:val="-8"/>
          <w:sz w:val="28"/>
          <w:vertAlign w:val="baseline"/>
        </w:rPr>
        <w:t> </w:t>
      </w:r>
      <w:r>
        <w:rPr>
          <w:sz w:val="28"/>
          <w:vertAlign w:val="baseline"/>
        </w:rPr>
        <w:t>these</w:t>
      </w:r>
      <w:r>
        <w:rPr>
          <w:spacing w:val="-8"/>
          <w:sz w:val="28"/>
          <w:vertAlign w:val="baseline"/>
        </w:rPr>
        <w:t> </w:t>
      </w:r>
      <w:r>
        <w:rPr>
          <w:sz w:val="28"/>
          <w:vertAlign w:val="baseline"/>
        </w:rPr>
        <w:t>criteria</w:t>
      </w:r>
      <w:r>
        <w:rPr>
          <w:spacing w:val="-9"/>
          <w:sz w:val="28"/>
          <w:vertAlign w:val="baseline"/>
        </w:rPr>
        <w:t> </w:t>
      </w:r>
      <w:r>
        <w:rPr>
          <w:sz w:val="28"/>
          <w:vertAlign w:val="baseline"/>
        </w:rPr>
        <w:t>be</w:t>
      </w:r>
      <w:r>
        <w:rPr>
          <w:spacing w:val="-8"/>
          <w:sz w:val="28"/>
          <w:vertAlign w:val="baseline"/>
        </w:rPr>
        <w:t> </w:t>
      </w:r>
      <w:r>
        <w:rPr>
          <w:sz w:val="28"/>
          <w:vertAlign w:val="baseline"/>
        </w:rPr>
        <w:t>clear, and these criteria take into account (at least):</w:t>
      </w:r>
    </w:p>
    <w:p>
      <w:pPr>
        <w:pStyle w:val="ListParagraph"/>
        <w:numPr>
          <w:ilvl w:val="5"/>
          <w:numId w:val="33"/>
        </w:numPr>
        <w:tabs>
          <w:tab w:pos="1795" w:val="left" w:leader="none"/>
        </w:tabs>
        <w:spacing w:line="336" w:lineRule="exact" w:before="267" w:after="0"/>
        <w:ind w:left="1795" w:right="0" w:hanging="338"/>
        <w:jc w:val="left"/>
        <w:rPr>
          <w:sz w:val="28"/>
        </w:rPr>
      </w:pPr>
      <w:r>
        <w:rPr>
          <w:sz w:val="28"/>
        </w:rPr>
        <w:t>purchasing</w:t>
      </w:r>
      <w:r>
        <w:rPr>
          <w:spacing w:val="-10"/>
          <w:sz w:val="28"/>
        </w:rPr>
        <w:t> </w:t>
      </w:r>
      <w:r>
        <w:rPr>
          <w:sz w:val="28"/>
        </w:rPr>
        <w:t>power,</w:t>
      </w:r>
      <w:r>
        <w:rPr>
          <w:spacing w:val="-8"/>
          <w:sz w:val="28"/>
        </w:rPr>
        <w:t> </w:t>
      </w:r>
      <w:r>
        <w:rPr>
          <w:sz w:val="28"/>
        </w:rPr>
        <w:t>taking</w:t>
      </w:r>
      <w:r>
        <w:rPr>
          <w:spacing w:val="-8"/>
          <w:sz w:val="28"/>
        </w:rPr>
        <w:t> </w:t>
      </w:r>
      <w:r>
        <w:rPr>
          <w:sz w:val="28"/>
        </w:rPr>
        <w:t>into</w:t>
      </w:r>
      <w:r>
        <w:rPr>
          <w:spacing w:val="-8"/>
          <w:sz w:val="28"/>
        </w:rPr>
        <w:t> </w:t>
      </w:r>
      <w:r>
        <w:rPr>
          <w:sz w:val="28"/>
        </w:rPr>
        <w:t>account</w:t>
      </w:r>
      <w:r>
        <w:rPr>
          <w:spacing w:val="-8"/>
          <w:sz w:val="28"/>
        </w:rPr>
        <w:t> </w:t>
      </w:r>
      <w:r>
        <w:rPr>
          <w:sz w:val="28"/>
        </w:rPr>
        <w:t>the</w:t>
      </w:r>
      <w:r>
        <w:rPr>
          <w:spacing w:val="-8"/>
          <w:sz w:val="28"/>
        </w:rPr>
        <w:t> </w:t>
      </w:r>
      <w:r>
        <w:rPr>
          <w:sz w:val="28"/>
        </w:rPr>
        <w:t>cost</w:t>
      </w:r>
      <w:r>
        <w:rPr>
          <w:spacing w:val="-8"/>
          <w:sz w:val="28"/>
        </w:rPr>
        <w:t> </w:t>
      </w:r>
      <w:r>
        <w:rPr>
          <w:sz w:val="28"/>
        </w:rPr>
        <w:t>of</w:t>
      </w:r>
      <w:r>
        <w:rPr>
          <w:spacing w:val="-8"/>
          <w:sz w:val="28"/>
        </w:rPr>
        <w:t> </w:t>
      </w:r>
      <w:r>
        <w:rPr>
          <w:spacing w:val="-2"/>
          <w:sz w:val="28"/>
        </w:rPr>
        <w:t>living;</w:t>
      </w:r>
    </w:p>
    <w:p>
      <w:pPr>
        <w:pStyle w:val="ListParagraph"/>
        <w:numPr>
          <w:ilvl w:val="5"/>
          <w:numId w:val="33"/>
        </w:numPr>
        <w:tabs>
          <w:tab w:pos="1795" w:val="left" w:leader="none"/>
        </w:tabs>
        <w:spacing w:line="330" w:lineRule="exact" w:before="0" w:after="0"/>
        <w:ind w:left="1795" w:right="0" w:hanging="338"/>
        <w:jc w:val="left"/>
        <w:rPr>
          <w:sz w:val="28"/>
        </w:rPr>
      </w:pPr>
      <w:r>
        <w:rPr>
          <w:sz w:val="28"/>
        </w:rPr>
        <w:t>general</w:t>
      </w:r>
      <w:r>
        <w:rPr>
          <w:spacing w:val="-6"/>
          <w:sz w:val="28"/>
        </w:rPr>
        <w:t> </w:t>
      </w:r>
      <w:r>
        <w:rPr>
          <w:sz w:val="28"/>
        </w:rPr>
        <w:t>level</w:t>
      </w:r>
      <w:r>
        <w:rPr>
          <w:spacing w:val="-5"/>
          <w:sz w:val="28"/>
        </w:rPr>
        <w:t> </w:t>
      </w:r>
      <w:r>
        <w:rPr>
          <w:sz w:val="28"/>
        </w:rPr>
        <w:t>of</w:t>
      </w:r>
      <w:r>
        <w:rPr>
          <w:spacing w:val="-5"/>
          <w:sz w:val="28"/>
        </w:rPr>
        <w:t> </w:t>
      </w:r>
      <w:r>
        <w:rPr>
          <w:sz w:val="28"/>
        </w:rPr>
        <w:t>wages</w:t>
      </w:r>
      <w:r>
        <w:rPr>
          <w:spacing w:val="-6"/>
          <w:sz w:val="28"/>
        </w:rPr>
        <w:t> </w:t>
      </w:r>
      <w:r>
        <w:rPr>
          <w:sz w:val="28"/>
        </w:rPr>
        <w:t>and</w:t>
      </w:r>
      <w:r>
        <w:rPr>
          <w:spacing w:val="-5"/>
          <w:sz w:val="28"/>
        </w:rPr>
        <w:t> </w:t>
      </w:r>
      <w:r>
        <w:rPr>
          <w:sz w:val="28"/>
        </w:rPr>
        <w:t>their</w:t>
      </w:r>
      <w:r>
        <w:rPr>
          <w:spacing w:val="-4"/>
          <w:sz w:val="28"/>
        </w:rPr>
        <w:t> </w:t>
      </w:r>
      <w:r>
        <w:rPr>
          <w:spacing w:val="-2"/>
          <w:sz w:val="28"/>
        </w:rPr>
        <w:t>distribution;</w:t>
      </w:r>
    </w:p>
    <w:p>
      <w:pPr>
        <w:pStyle w:val="ListParagraph"/>
        <w:numPr>
          <w:ilvl w:val="5"/>
          <w:numId w:val="33"/>
        </w:numPr>
        <w:tabs>
          <w:tab w:pos="1795" w:val="left" w:leader="none"/>
        </w:tabs>
        <w:spacing w:line="330" w:lineRule="exact" w:before="0" w:after="0"/>
        <w:ind w:left="1795" w:right="0" w:hanging="338"/>
        <w:jc w:val="left"/>
        <w:rPr>
          <w:sz w:val="28"/>
        </w:rPr>
      </w:pPr>
      <w:r>
        <w:rPr>
          <w:sz w:val="28"/>
        </w:rPr>
        <w:t>growth</w:t>
      </w:r>
      <w:r>
        <w:rPr>
          <w:spacing w:val="-8"/>
          <w:sz w:val="28"/>
        </w:rPr>
        <w:t> </w:t>
      </w:r>
      <w:r>
        <w:rPr>
          <w:sz w:val="28"/>
        </w:rPr>
        <w:t>rate</w:t>
      </w:r>
      <w:r>
        <w:rPr>
          <w:spacing w:val="-8"/>
          <w:sz w:val="28"/>
        </w:rPr>
        <w:t> </w:t>
      </w:r>
      <w:r>
        <w:rPr>
          <w:sz w:val="28"/>
        </w:rPr>
        <w:t>of</w:t>
      </w:r>
      <w:r>
        <w:rPr>
          <w:spacing w:val="-7"/>
          <w:sz w:val="28"/>
        </w:rPr>
        <w:t> </w:t>
      </w:r>
      <w:r>
        <w:rPr>
          <w:spacing w:val="-2"/>
          <w:sz w:val="28"/>
        </w:rPr>
        <w:t>wages;</w:t>
      </w:r>
    </w:p>
    <w:p>
      <w:pPr>
        <w:pStyle w:val="ListParagraph"/>
        <w:numPr>
          <w:ilvl w:val="5"/>
          <w:numId w:val="33"/>
        </w:numPr>
        <w:tabs>
          <w:tab w:pos="1795" w:val="left" w:leader="none"/>
        </w:tabs>
        <w:spacing w:line="336" w:lineRule="exact" w:before="0" w:after="0"/>
        <w:ind w:left="1795" w:right="0" w:hanging="338"/>
        <w:jc w:val="left"/>
        <w:rPr>
          <w:sz w:val="28"/>
        </w:rPr>
      </w:pPr>
      <w:r>
        <w:rPr>
          <w:sz w:val="28"/>
        </w:rPr>
        <w:t>long-term</w:t>
      </w:r>
      <w:r>
        <w:rPr>
          <w:spacing w:val="-9"/>
          <w:sz w:val="28"/>
        </w:rPr>
        <w:t> </w:t>
      </w:r>
      <w:r>
        <w:rPr>
          <w:sz w:val="28"/>
        </w:rPr>
        <w:t>national</w:t>
      </w:r>
      <w:r>
        <w:rPr>
          <w:spacing w:val="-9"/>
          <w:sz w:val="28"/>
        </w:rPr>
        <w:t> </w:t>
      </w:r>
      <w:r>
        <w:rPr>
          <w:sz w:val="28"/>
        </w:rPr>
        <w:t>productivity</w:t>
      </w:r>
      <w:r>
        <w:rPr>
          <w:spacing w:val="-8"/>
          <w:sz w:val="28"/>
        </w:rPr>
        <w:t> </w:t>
      </w:r>
      <w:r>
        <w:rPr>
          <w:sz w:val="28"/>
        </w:rPr>
        <w:t>levels</w:t>
      </w:r>
      <w:r>
        <w:rPr>
          <w:spacing w:val="-9"/>
          <w:sz w:val="28"/>
        </w:rPr>
        <w:t> </w:t>
      </w:r>
      <w:r>
        <w:rPr>
          <w:sz w:val="28"/>
        </w:rPr>
        <w:t>and</w:t>
      </w:r>
      <w:r>
        <w:rPr>
          <w:spacing w:val="-9"/>
          <w:sz w:val="28"/>
        </w:rPr>
        <w:t> </w:t>
      </w:r>
      <w:r>
        <w:rPr>
          <w:spacing w:val="-2"/>
          <w:sz w:val="28"/>
        </w:rPr>
        <w:t>developments.</w:t>
      </w:r>
    </w:p>
    <w:p>
      <w:pPr>
        <w:pStyle w:val="BodyText"/>
        <w:rPr>
          <w:sz w:val="20"/>
        </w:rPr>
      </w:pPr>
    </w:p>
    <w:p>
      <w:pPr>
        <w:pStyle w:val="BodyText"/>
        <w:rPr>
          <w:sz w:val="20"/>
        </w:rPr>
      </w:pPr>
    </w:p>
    <w:p>
      <w:pPr>
        <w:pStyle w:val="BodyText"/>
        <w:spacing w:before="31"/>
        <w:rPr>
          <w:sz w:val="20"/>
        </w:rPr>
      </w:pPr>
      <w:r>
        <w:rPr/>
        <mc:AlternateContent>
          <mc:Choice Requires="wps">
            <w:drawing>
              <wp:anchor distT="0" distB="0" distL="0" distR="0" allowOverlap="1" layoutInCell="1" locked="0" behindDoc="1" simplePos="0" relativeHeight="487742464">
                <wp:simplePos x="0" y="0"/>
                <wp:positionH relativeFrom="page">
                  <wp:posOffset>899999</wp:posOffset>
                </wp:positionH>
                <wp:positionV relativeFrom="paragraph">
                  <wp:posOffset>190270</wp:posOffset>
                </wp:positionV>
                <wp:extent cx="6012180" cy="1270"/>
                <wp:effectExtent l="0" t="0" r="0" b="0"/>
                <wp:wrapTopAndBottom/>
                <wp:docPr id="824" name="Graphic 824"/>
                <wp:cNvGraphicFramePr>
                  <a:graphicFrameLocks/>
                </wp:cNvGraphicFramePr>
                <a:graphic>
                  <a:graphicData uri="http://schemas.microsoft.com/office/word/2010/wordprocessingShape">
                    <wps:wsp>
                      <wps:cNvPr id="824" name="Graphic 82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4.981959pt;width:473.4pt;height:.1pt;mso-position-horizontal-relative:page;mso-position-vertical-relative:paragraph;z-index:-15574016;mso-wrap-distance-left:0;mso-wrap-distance-right:0" id="docshape675" coordorigin="1417,300" coordsize="9468,0" path="m1417,300l10885,300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893" w:hanging="567"/>
        <w:jc w:val="left"/>
        <w:rPr>
          <w:sz w:val="18"/>
        </w:rPr>
      </w:pPr>
      <w:r>
        <w:rPr>
          <w:sz w:val="18"/>
        </w:rPr>
        <w:t>ECNI and NIHRC, Working Paper: The Scope of Article 2(1) of the Ireland/ Northern Ireland Protocol (December 2022), Section 3.9; Sarah Craig, Anurag Deb, Eleni Frantziou, Alexander Horne, Colin Murray, Clare Rice and Jane Rooney, </w:t>
      </w:r>
      <w:r>
        <w:rPr>
          <w:color w:val="1D71B8"/>
          <w:sz w:val="18"/>
          <w:u w:val="single" w:color="1D71B8"/>
        </w:rPr>
        <w:t>European</w:t>
      </w:r>
      <w:r>
        <w:rPr>
          <w:color w:val="1D71B8"/>
          <w:spacing w:val="-4"/>
          <w:sz w:val="18"/>
          <w:u w:val="single" w:color="1D71B8"/>
        </w:rPr>
        <w:t> </w:t>
      </w:r>
      <w:r>
        <w:rPr>
          <w:color w:val="1D71B8"/>
          <w:sz w:val="18"/>
          <w:u w:val="single" w:color="1D71B8"/>
        </w:rPr>
        <w:t>Union</w:t>
      </w:r>
      <w:r>
        <w:rPr>
          <w:color w:val="1D71B8"/>
          <w:spacing w:val="-4"/>
          <w:sz w:val="18"/>
          <w:u w:val="single" w:color="1D71B8"/>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z w:val="18"/>
          <w:u w:val="none"/>
        </w:rPr>
        <w:t> </w:t>
      </w:r>
      <w:r>
        <w:rPr>
          <w:color w:val="1D71B8"/>
          <w:sz w:val="18"/>
          <w:u w:val="single" w:color="1D71B8"/>
        </w:rPr>
        <w:t>Practice on the Island of Ireland</w:t>
      </w:r>
      <w:r>
        <w:rPr>
          <w:color w:val="1D71B8"/>
          <w:sz w:val="18"/>
          <w:u w:val="none"/>
        </w:rPr>
        <w:t> </w:t>
      </w:r>
      <w:r>
        <w:rPr>
          <w:sz w:val="18"/>
          <w:u w:val="none"/>
        </w:rPr>
        <w:t>(2022).</w:t>
      </w:r>
    </w:p>
    <w:p>
      <w:pPr>
        <w:pStyle w:val="ListParagraph"/>
        <w:numPr>
          <w:ilvl w:val="0"/>
          <w:numId w:val="18"/>
        </w:numPr>
        <w:tabs>
          <w:tab w:pos="1684" w:val="left" w:leader="none"/>
        </w:tabs>
        <w:spacing w:line="240" w:lineRule="auto" w:before="1" w:after="0"/>
        <w:ind w:left="1684" w:right="967" w:hanging="567"/>
        <w:jc w:val="left"/>
        <w:rPr>
          <w:sz w:val="18"/>
        </w:rPr>
      </w:pPr>
      <w:r>
        <w:rPr>
          <w:color w:val="1D71B8"/>
          <w:sz w:val="18"/>
          <w:u w:val="single" w:color="1D71B8"/>
        </w:rPr>
        <w:t>EU</w:t>
      </w:r>
      <w:r>
        <w:rPr>
          <w:color w:val="1D71B8"/>
          <w:spacing w:val="-3"/>
          <w:sz w:val="18"/>
          <w:u w:val="single" w:color="1D71B8"/>
        </w:rPr>
        <w:t> </w:t>
      </w:r>
      <w:r>
        <w:rPr>
          <w:color w:val="1D71B8"/>
          <w:sz w:val="18"/>
          <w:u w:val="single" w:color="1D71B8"/>
        </w:rPr>
        <w:t>Directive</w:t>
      </w:r>
      <w:r>
        <w:rPr>
          <w:color w:val="1D71B8"/>
          <w:spacing w:val="-3"/>
          <w:sz w:val="18"/>
          <w:u w:val="single" w:color="1D71B8"/>
        </w:rPr>
        <w:t> </w:t>
      </w:r>
      <w:r>
        <w:rPr>
          <w:color w:val="1D71B8"/>
          <w:sz w:val="18"/>
          <w:u w:val="single" w:color="1D71B8"/>
        </w:rPr>
        <w:t>(EU)</w:t>
      </w:r>
      <w:r>
        <w:rPr>
          <w:color w:val="1D71B8"/>
          <w:spacing w:val="-4"/>
          <w:sz w:val="18"/>
          <w:u w:val="single" w:color="1D71B8"/>
        </w:rPr>
        <w:t> </w:t>
      </w:r>
      <w:r>
        <w:rPr>
          <w:color w:val="1D71B8"/>
          <w:sz w:val="18"/>
          <w:u w:val="single" w:color="1D71B8"/>
        </w:rPr>
        <w:t>2022/2041</w:t>
      </w:r>
      <w:r>
        <w:rPr>
          <w:color w:val="1D71B8"/>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19</w:t>
      </w:r>
      <w:r>
        <w:rPr>
          <w:spacing w:val="-3"/>
          <w:sz w:val="18"/>
          <w:u w:val="none"/>
        </w:rPr>
        <w:t> </w:t>
      </w:r>
      <w:r>
        <w:rPr>
          <w:sz w:val="18"/>
          <w:u w:val="none"/>
        </w:rPr>
        <w:t>October</w:t>
      </w:r>
      <w:r>
        <w:rPr>
          <w:spacing w:val="-3"/>
          <w:sz w:val="18"/>
          <w:u w:val="none"/>
        </w:rPr>
        <w:t> </w:t>
      </w:r>
      <w:r>
        <w:rPr>
          <w:sz w:val="18"/>
          <w:u w:val="none"/>
        </w:rPr>
        <w:t>2022</w:t>
      </w:r>
      <w:r>
        <w:rPr>
          <w:spacing w:val="-3"/>
          <w:sz w:val="18"/>
          <w:u w:val="none"/>
        </w:rPr>
        <w:t> </w:t>
      </w:r>
      <w:r>
        <w:rPr>
          <w:sz w:val="18"/>
          <w:u w:val="none"/>
        </w:rPr>
        <w:t>on</w:t>
      </w:r>
      <w:r>
        <w:rPr>
          <w:spacing w:val="-4"/>
          <w:sz w:val="18"/>
          <w:u w:val="none"/>
        </w:rPr>
        <w:t> </w:t>
      </w:r>
      <w:r>
        <w:rPr>
          <w:sz w:val="18"/>
          <w:u w:val="none"/>
        </w:rPr>
        <w:t>adequate</w:t>
      </w:r>
      <w:r>
        <w:rPr>
          <w:spacing w:val="-3"/>
          <w:sz w:val="18"/>
          <w:u w:val="none"/>
        </w:rPr>
        <w:t> </w:t>
      </w:r>
      <w:r>
        <w:rPr>
          <w:sz w:val="18"/>
          <w:u w:val="none"/>
        </w:rPr>
        <w:t>minimum wages in the European Union.</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61696">
                <wp:simplePos x="0" y="0"/>
                <wp:positionH relativeFrom="page">
                  <wp:posOffset>0</wp:posOffset>
                </wp:positionH>
                <wp:positionV relativeFrom="page">
                  <wp:posOffset>0</wp:posOffset>
                </wp:positionV>
                <wp:extent cx="7560309" cy="1155065"/>
                <wp:effectExtent l="0" t="0" r="0" b="0"/>
                <wp:wrapNone/>
                <wp:docPr id="825" name="Group 825"/>
                <wp:cNvGraphicFramePr>
                  <a:graphicFrameLocks/>
                </wp:cNvGraphicFramePr>
                <a:graphic>
                  <a:graphicData uri="http://schemas.microsoft.com/office/word/2010/wordprocessingGroup">
                    <wpg:wgp>
                      <wpg:cNvPr id="825" name="Group 825"/>
                      <wpg:cNvGrpSpPr/>
                      <wpg:grpSpPr>
                        <a:xfrm>
                          <a:off x="0" y="0"/>
                          <a:ext cx="7560309" cy="1155065"/>
                          <a:chExt cx="7560309" cy="1155065"/>
                        </a:xfrm>
                      </wpg:grpSpPr>
                      <wps:wsp>
                        <wps:cNvPr id="826" name="Graphic 826"/>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827" name="Graphic 827"/>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54784" id="docshapegroup676" coordorigin="0,0" coordsize="11906,1819">
                <v:shape style="position:absolute;left:0;top:0;width:11906;height:1819" id="docshape677"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4.3.4.2 EU Regulations regarding migrati" w:id="151"/>
      <w:bookmarkEnd w:id="151"/>
      <w:r>
        <w:rPr/>
      </w:r>
      <w:bookmarkStart w:name="_bookmark63" w:id="152"/>
      <w:bookmarkEnd w:id="152"/>
      <w:r>
        <w:rPr/>
      </w:r>
      <w:r>
        <w:rPr>
          <w:b/>
          <w:color w:val="FFFFFF"/>
          <w:spacing w:val="-5"/>
          <w:position w:val="-1"/>
          <w:sz w:val="28"/>
        </w:rPr>
        <w:t>96</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250"/>
      </w:pPr>
      <w:r>
        <w:rPr/>
        <w:t>Member</w:t>
      </w:r>
      <w:r>
        <w:rPr>
          <w:spacing w:val="-5"/>
        </w:rPr>
        <w:t> </w:t>
      </w:r>
      <w:r>
        <w:rPr/>
        <w:t>States</w:t>
      </w:r>
      <w:r>
        <w:rPr>
          <w:spacing w:val="-6"/>
        </w:rPr>
        <w:t> </w:t>
      </w:r>
      <w:r>
        <w:rPr/>
        <w:t>must</w:t>
      </w:r>
      <w:r>
        <w:rPr>
          <w:spacing w:val="-5"/>
        </w:rPr>
        <w:t> </w:t>
      </w:r>
      <w:r>
        <w:rPr/>
        <w:t>adopt</w:t>
      </w:r>
      <w:r>
        <w:rPr>
          <w:spacing w:val="-5"/>
        </w:rPr>
        <w:t> </w:t>
      </w:r>
      <w:r>
        <w:rPr/>
        <w:t>the</w:t>
      </w:r>
      <w:r>
        <w:rPr>
          <w:spacing w:val="-5"/>
        </w:rPr>
        <w:t> </w:t>
      </w:r>
      <w:r>
        <w:rPr/>
        <w:t>measures</w:t>
      </w:r>
      <w:r>
        <w:rPr>
          <w:spacing w:val="-6"/>
        </w:rPr>
        <w:t> </w:t>
      </w:r>
      <w:r>
        <w:rPr/>
        <w:t>necessary</w:t>
      </w:r>
      <w:r>
        <w:rPr>
          <w:spacing w:val="-5"/>
        </w:rPr>
        <w:t> </w:t>
      </w:r>
      <w:r>
        <w:rPr/>
        <w:t>to</w:t>
      </w:r>
      <w:r>
        <w:rPr>
          <w:spacing w:val="-6"/>
        </w:rPr>
        <w:t> </w:t>
      </w:r>
      <w:r>
        <w:rPr/>
        <w:t>comply</w:t>
      </w:r>
      <w:r>
        <w:rPr>
          <w:spacing w:val="-5"/>
        </w:rPr>
        <w:t> </w:t>
      </w:r>
      <w:r>
        <w:rPr/>
        <w:t>with</w:t>
      </w:r>
      <w:r>
        <w:rPr>
          <w:spacing w:val="-6"/>
        </w:rPr>
        <w:t> </w:t>
      </w:r>
      <w:r>
        <w:rPr/>
        <w:t>this</w:t>
      </w:r>
      <w:r>
        <w:rPr>
          <w:spacing w:val="-6"/>
        </w:rPr>
        <w:t> </w:t>
      </w:r>
      <w:r>
        <w:rPr/>
        <w:t>Directive by 15 November 2024.</w:t>
      </w:r>
    </w:p>
    <w:p>
      <w:pPr>
        <w:pStyle w:val="BodyText"/>
        <w:spacing w:line="232" w:lineRule="auto" w:before="280"/>
        <w:ind w:left="720" w:right="1087"/>
      </w:pPr>
      <w:r>
        <w:rPr/>
        <w:t>The recently adopted Adequate Minimum Wages Directive is relevant to the provisions of the Belfast Good Friday Agreement 1998 on economic and social matters; the Agreement refers to the right to equal opportunity in all social and economic</w:t>
      </w:r>
      <w:r>
        <w:rPr>
          <w:spacing w:val="-2"/>
        </w:rPr>
        <w:t> </w:t>
      </w:r>
      <w:r>
        <w:rPr/>
        <w:t>matters,</w:t>
      </w:r>
      <w:r>
        <w:rPr>
          <w:spacing w:val="-2"/>
        </w:rPr>
        <w:t> </w:t>
      </w:r>
      <w:r>
        <w:rPr/>
        <w:t>policies</w:t>
      </w:r>
      <w:r>
        <w:rPr>
          <w:spacing w:val="-3"/>
        </w:rPr>
        <w:t> </w:t>
      </w:r>
      <w:r>
        <w:rPr/>
        <w:t>for</w:t>
      </w:r>
      <w:r>
        <w:rPr>
          <w:spacing w:val="-2"/>
        </w:rPr>
        <w:t> </w:t>
      </w:r>
      <w:r>
        <w:rPr/>
        <w:t>sustained</w:t>
      </w:r>
      <w:r>
        <w:rPr>
          <w:spacing w:val="-3"/>
        </w:rPr>
        <w:t> </w:t>
      </w:r>
      <w:r>
        <w:rPr/>
        <w:t>economic</w:t>
      </w:r>
      <w:r>
        <w:rPr>
          <w:spacing w:val="-2"/>
        </w:rPr>
        <w:t> </w:t>
      </w:r>
      <w:r>
        <w:rPr/>
        <w:t>growth</w:t>
      </w:r>
      <w:r>
        <w:rPr>
          <w:spacing w:val="-3"/>
        </w:rPr>
        <w:t> </w:t>
      </w:r>
      <w:r>
        <w:rPr/>
        <w:t>and</w:t>
      </w:r>
      <w:r>
        <w:rPr>
          <w:spacing w:val="-3"/>
        </w:rPr>
        <w:t> </w:t>
      </w:r>
      <w:r>
        <w:rPr/>
        <w:t>promoting</w:t>
      </w:r>
      <w:r>
        <w:rPr>
          <w:spacing w:val="-2"/>
        </w:rPr>
        <w:t> </w:t>
      </w:r>
      <w:r>
        <w:rPr/>
        <w:t>social inclusion.</w:t>
      </w:r>
      <w:r>
        <w:rPr>
          <w:spacing w:val="-7"/>
        </w:rPr>
        <w:t> </w:t>
      </w:r>
      <w:r>
        <w:rPr/>
        <w:t>The</w:t>
      </w:r>
      <w:r>
        <w:rPr>
          <w:spacing w:val="-6"/>
        </w:rPr>
        <w:t> </w:t>
      </w:r>
      <w:r>
        <w:rPr/>
        <w:t>ECNI</w:t>
      </w:r>
      <w:r>
        <w:rPr>
          <w:spacing w:val="-6"/>
        </w:rPr>
        <w:t> </w:t>
      </w:r>
      <w:r>
        <w:rPr/>
        <w:t>and</w:t>
      </w:r>
      <w:r>
        <w:rPr>
          <w:spacing w:val="-7"/>
        </w:rPr>
        <w:t> </w:t>
      </w:r>
      <w:r>
        <w:rPr/>
        <w:t>NIHRC</w:t>
      </w:r>
      <w:r>
        <w:rPr>
          <w:spacing w:val="-7"/>
        </w:rPr>
        <w:t> </w:t>
      </w:r>
      <w:r>
        <w:rPr/>
        <w:t>have</w:t>
      </w:r>
      <w:r>
        <w:rPr>
          <w:spacing w:val="-6"/>
        </w:rPr>
        <w:t> </w:t>
      </w:r>
      <w:r>
        <w:rPr/>
        <w:t>not</w:t>
      </w:r>
      <w:r>
        <w:rPr>
          <w:spacing w:val="-6"/>
        </w:rPr>
        <w:t> </w:t>
      </w:r>
      <w:r>
        <w:rPr/>
        <w:t>to</w:t>
      </w:r>
      <w:r>
        <w:rPr>
          <w:spacing w:val="-7"/>
        </w:rPr>
        <w:t> </w:t>
      </w:r>
      <w:r>
        <w:rPr/>
        <w:t>date</w:t>
      </w:r>
      <w:r>
        <w:rPr>
          <w:spacing w:val="-6"/>
        </w:rPr>
        <w:t> </w:t>
      </w:r>
      <w:r>
        <w:rPr/>
        <w:t>identified</w:t>
      </w:r>
      <w:r>
        <w:rPr>
          <w:spacing w:val="-7"/>
        </w:rPr>
        <w:t> </w:t>
      </w:r>
      <w:r>
        <w:rPr/>
        <w:t>this</w:t>
      </w:r>
      <w:r>
        <w:rPr>
          <w:spacing w:val="-7"/>
        </w:rPr>
        <w:t> </w:t>
      </w:r>
      <w:r>
        <w:rPr/>
        <w:t>Directive</w:t>
      </w:r>
      <w:r>
        <w:rPr>
          <w:spacing w:val="-6"/>
        </w:rPr>
        <w:t> </w:t>
      </w:r>
      <w:r>
        <w:rPr/>
        <w:t>as</w:t>
      </w:r>
      <w:r>
        <w:rPr>
          <w:spacing w:val="-7"/>
        </w:rPr>
        <w:t> </w:t>
      </w:r>
      <w:r>
        <w:rPr/>
        <w:t>falling within the scope of Article 2 WF.</w:t>
      </w:r>
    </w:p>
    <w:p>
      <w:pPr>
        <w:pStyle w:val="BodyText"/>
        <w:spacing w:line="232" w:lineRule="auto" w:before="274"/>
        <w:ind w:left="720" w:right="1435"/>
      </w:pPr>
      <w:r>
        <w:rPr/>
        <w:t>The Directive is arguably inherently linked with an Annex 1 Directive: that is, Council Directive 2000/78/EC of 27 November 2000 establishing a general framework for equal treatment in employment and occupation. Indeed, it promotes</w:t>
      </w:r>
      <w:r>
        <w:rPr>
          <w:spacing w:val="-9"/>
        </w:rPr>
        <w:t> </w:t>
      </w:r>
      <w:r>
        <w:rPr/>
        <w:t>the</w:t>
      </w:r>
      <w:r>
        <w:rPr>
          <w:spacing w:val="-8"/>
        </w:rPr>
        <w:t> </w:t>
      </w:r>
      <w:r>
        <w:rPr/>
        <w:t>uptake</w:t>
      </w:r>
      <w:r>
        <w:rPr>
          <w:spacing w:val="-8"/>
        </w:rPr>
        <w:t> </w:t>
      </w:r>
      <w:r>
        <w:rPr/>
        <w:t>of</w:t>
      </w:r>
      <w:r>
        <w:rPr>
          <w:spacing w:val="-9"/>
        </w:rPr>
        <w:t> </w:t>
      </w:r>
      <w:r>
        <w:rPr/>
        <w:t>fair</w:t>
      </w:r>
      <w:r>
        <w:rPr>
          <w:spacing w:val="-8"/>
        </w:rPr>
        <w:t> </w:t>
      </w:r>
      <w:r>
        <w:rPr/>
        <w:t>criteria</w:t>
      </w:r>
      <w:r>
        <w:rPr>
          <w:spacing w:val="-9"/>
        </w:rPr>
        <w:t> </w:t>
      </w:r>
      <w:r>
        <w:rPr/>
        <w:t>to</w:t>
      </w:r>
      <w:r>
        <w:rPr>
          <w:spacing w:val="-9"/>
        </w:rPr>
        <w:t> </w:t>
      </w:r>
      <w:r>
        <w:rPr/>
        <w:t>determine</w:t>
      </w:r>
      <w:r>
        <w:rPr>
          <w:spacing w:val="-8"/>
        </w:rPr>
        <w:t> </w:t>
      </w:r>
      <w:r>
        <w:rPr/>
        <w:t>minimum</w:t>
      </w:r>
      <w:r>
        <w:rPr>
          <w:spacing w:val="-8"/>
        </w:rPr>
        <w:t> </w:t>
      </w:r>
      <w:r>
        <w:rPr/>
        <w:t>wages</w:t>
      </w:r>
      <w:r>
        <w:rPr>
          <w:spacing w:val="-9"/>
        </w:rPr>
        <w:t> </w:t>
      </w:r>
      <w:r>
        <w:rPr/>
        <w:t>and</w:t>
      </w:r>
      <w:r>
        <w:rPr>
          <w:spacing w:val="-9"/>
        </w:rPr>
        <w:t> </w:t>
      </w:r>
      <w:r>
        <w:rPr/>
        <w:t>therefore, encourages the fight against in-work poverty that affect certain professions</w:t>
      </w:r>
      <w:r>
        <w:rPr/>
        <w:t> more prone to minimum wages and in which vulnerable groups are often over- represented (for example, women as nursery workers).</w:t>
      </w:r>
    </w:p>
    <w:p>
      <w:pPr>
        <w:pStyle w:val="BodyText"/>
        <w:spacing w:line="232" w:lineRule="auto" w:before="273"/>
        <w:ind w:left="720" w:right="1250"/>
      </w:pPr>
      <w:r>
        <w:rPr/>
        <w:t>Given minimum wages are determined at a national level and is a reserved matter,</w:t>
      </w:r>
      <w:r>
        <w:rPr>
          <w:vertAlign w:val="superscript"/>
        </w:rPr>
        <w:t>492</w:t>
      </w:r>
      <w:r>
        <w:rPr>
          <w:vertAlign w:val="baseline"/>
        </w:rPr>
        <w:t> there is no NI legislation on that matter but instead, a UK National Minimum Wage Act 1998. In this piece of legislation, social partners are involved in</w:t>
      </w:r>
      <w:r>
        <w:rPr>
          <w:spacing w:val="-7"/>
          <w:vertAlign w:val="baseline"/>
        </w:rPr>
        <w:t> </w:t>
      </w:r>
      <w:r>
        <w:rPr>
          <w:vertAlign w:val="baseline"/>
        </w:rPr>
        <w:t>defining</w:t>
      </w:r>
      <w:r>
        <w:rPr>
          <w:spacing w:val="-6"/>
          <w:vertAlign w:val="baseline"/>
        </w:rPr>
        <w:t> </w:t>
      </w:r>
      <w:r>
        <w:rPr>
          <w:vertAlign w:val="baseline"/>
        </w:rPr>
        <w:t>the</w:t>
      </w:r>
      <w:r>
        <w:rPr>
          <w:spacing w:val="-6"/>
          <w:vertAlign w:val="baseline"/>
        </w:rPr>
        <w:t> </w:t>
      </w:r>
      <w:r>
        <w:rPr>
          <w:vertAlign w:val="baseline"/>
        </w:rPr>
        <w:t>national</w:t>
      </w:r>
      <w:r>
        <w:rPr>
          <w:spacing w:val="-7"/>
          <w:vertAlign w:val="baseline"/>
        </w:rPr>
        <w:t> </w:t>
      </w:r>
      <w:r>
        <w:rPr>
          <w:vertAlign w:val="baseline"/>
        </w:rPr>
        <w:t>minimum</w:t>
      </w:r>
      <w:r>
        <w:rPr>
          <w:spacing w:val="-6"/>
          <w:vertAlign w:val="baseline"/>
        </w:rPr>
        <w:t> </w:t>
      </w:r>
      <w:r>
        <w:rPr>
          <w:vertAlign w:val="baseline"/>
        </w:rPr>
        <w:t>wage,</w:t>
      </w:r>
      <w:r>
        <w:rPr>
          <w:spacing w:val="-6"/>
          <w:vertAlign w:val="baseline"/>
        </w:rPr>
        <w:t> </w:t>
      </w:r>
      <w:r>
        <w:rPr>
          <w:vertAlign w:val="baseline"/>
        </w:rPr>
        <w:t>through</w:t>
      </w:r>
      <w:r>
        <w:rPr>
          <w:spacing w:val="-7"/>
          <w:vertAlign w:val="baseline"/>
        </w:rPr>
        <w:t> </w:t>
      </w:r>
      <w:r>
        <w:rPr>
          <w:vertAlign w:val="baseline"/>
        </w:rPr>
        <w:t>their</w:t>
      </w:r>
      <w:r>
        <w:rPr>
          <w:spacing w:val="-6"/>
          <w:vertAlign w:val="baseline"/>
        </w:rPr>
        <w:t> </w:t>
      </w:r>
      <w:r>
        <w:rPr>
          <w:vertAlign w:val="baseline"/>
        </w:rPr>
        <w:t>participation</w:t>
      </w:r>
      <w:r>
        <w:rPr>
          <w:spacing w:val="-7"/>
          <w:vertAlign w:val="baseline"/>
        </w:rPr>
        <w:t> </w:t>
      </w:r>
      <w:r>
        <w:rPr>
          <w:vertAlign w:val="baseline"/>
        </w:rPr>
        <w:t>in</w:t>
      </w:r>
      <w:r>
        <w:rPr>
          <w:spacing w:val="-7"/>
          <w:vertAlign w:val="baseline"/>
        </w:rPr>
        <w:t> </w:t>
      </w:r>
      <w:r>
        <w:rPr>
          <w:vertAlign w:val="baseline"/>
        </w:rPr>
        <w:t>the</w:t>
      </w:r>
      <w:r>
        <w:rPr>
          <w:spacing w:val="-6"/>
          <w:vertAlign w:val="baseline"/>
        </w:rPr>
        <w:t> </w:t>
      </w:r>
      <w:r>
        <w:rPr>
          <w:vertAlign w:val="baseline"/>
        </w:rPr>
        <w:t>Low</w:t>
      </w:r>
      <w:r>
        <w:rPr>
          <w:spacing w:val="-6"/>
          <w:vertAlign w:val="baseline"/>
        </w:rPr>
        <w:t> </w:t>
      </w:r>
      <w:r>
        <w:rPr>
          <w:vertAlign w:val="baseline"/>
        </w:rPr>
        <w:t>Pay Commission (sections 5-8 and Schedule 1). However, it is unclear what national criteria are used to define the minimum wage.</w:t>
      </w:r>
    </w:p>
    <w:p>
      <w:pPr>
        <w:pStyle w:val="BodyText"/>
        <w:spacing w:before="10"/>
        <w:rPr>
          <w:sz w:val="19"/>
        </w:rPr>
      </w:pPr>
      <w:r>
        <w:rPr/>
        <mc:AlternateContent>
          <mc:Choice Requires="wps">
            <w:drawing>
              <wp:anchor distT="0" distB="0" distL="0" distR="0" allowOverlap="1" layoutInCell="1" locked="0" behindDoc="1" simplePos="0" relativeHeight="487743488">
                <wp:simplePos x="0" y="0"/>
                <wp:positionH relativeFrom="page">
                  <wp:posOffset>647994</wp:posOffset>
                </wp:positionH>
                <wp:positionV relativeFrom="paragraph">
                  <wp:posOffset>169161</wp:posOffset>
                </wp:positionV>
                <wp:extent cx="6012180" cy="1022985"/>
                <wp:effectExtent l="0" t="0" r="0" b="0"/>
                <wp:wrapTopAndBottom/>
                <wp:docPr id="828" name="Group 828"/>
                <wp:cNvGraphicFramePr>
                  <a:graphicFrameLocks/>
                </wp:cNvGraphicFramePr>
                <a:graphic>
                  <a:graphicData uri="http://schemas.microsoft.com/office/word/2010/wordprocessingGroup">
                    <wpg:wgp>
                      <wpg:cNvPr id="828" name="Group 828"/>
                      <wpg:cNvGrpSpPr/>
                      <wpg:grpSpPr>
                        <a:xfrm>
                          <a:off x="0" y="0"/>
                          <a:ext cx="6012180" cy="1022985"/>
                          <a:chExt cx="6012180" cy="1022985"/>
                        </a:xfrm>
                      </wpg:grpSpPr>
                      <wps:wsp>
                        <wps:cNvPr id="829" name="Graphic 829"/>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830" name="Textbox 830"/>
                        <wps:cNvSpPr txBox="1"/>
                        <wps:spPr>
                          <a:xfrm>
                            <a:off x="0" y="0"/>
                            <a:ext cx="6012180" cy="1022985"/>
                          </a:xfrm>
                          <a:prstGeom prst="rect">
                            <a:avLst/>
                          </a:prstGeom>
                        </wps:spPr>
                        <wps:txbx>
                          <w:txbxContent>
                            <w:p>
                              <w:pPr>
                                <w:spacing w:line="232" w:lineRule="auto" w:before="121"/>
                                <w:ind w:left="340" w:right="631" w:firstLine="0"/>
                                <w:jc w:val="left"/>
                                <w:rPr>
                                  <w:b/>
                                  <w:sz w:val="28"/>
                                </w:rPr>
                              </w:pPr>
                              <w:r>
                                <w:rPr>
                                  <w:b/>
                                  <w:color w:val="164194"/>
                                  <w:sz w:val="28"/>
                                </w:rPr>
                                <w:t>We recommend that the UK Government and NI Executive implement the</w:t>
                              </w:r>
                              <w:r>
                                <w:rPr>
                                  <w:b/>
                                  <w:color w:val="164194"/>
                                  <w:spacing w:val="-9"/>
                                  <w:sz w:val="28"/>
                                </w:rPr>
                                <w:t> </w:t>
                              </w:r>
                              <w:r>
                                <w:rPr>
                                  <w:b/>
                                  <w:color w:val="164194"/>
                                  <w:sz w:val="28"/>
                                </w:rPr>
                                <w:t>standards</w:t>
                              </w:r>
                              <w:r>
                                <w:rPr>
                                  <w:b/>
                                  <w:color w:val="164194"/>
                                  <w:spacing w:val="-9"/>
                                  <w:sz w:val="28"/>
                                </w:rPr>
                                <w:t> </w:t>
                              </w:r>
                              <w:r>
                                <w:rPr>
                                  <w:b/>
                                  <w:color w:val="164194"/>
                                  <w:sz w:val="28"/>
                                </w:rPr>
                                <w:t>in</w:t>
                              </w:r>
                              <w:r>
                                <w:rPr>
                                  <w:b/>
                                  <w:color w:val="164194"/>
                                  <w:spacing w:val="-9"/>
                                  <w:sz w:val="28"/>
                                </w:rPr>
                                <w:t> </w:t>
                              </w:r>
                              <w:r>
                                <w:rPr>
                                  <w:b/>
                                  <w:color w:val="164194"/>
                                  <w:sz w:val="28"/>
                                </w:rPr>
                                <w:t>the</w:t>
                              </w:r>
                              <w:r>
                                <w:rPr>
                                  <w:b/>
                                  <w:color w:val="164194"/>
                                  <w:spacing w:val="-9"/>
                                  <w:sz w:val="28"/>
                                </w:rPr>
                                <w:t> </w:t>
                              </w:r>
                              <w:r>
                                <w:rPr>
                                  <w:b/>
                                  <w:color w:val="164194"/>
                                  <w:sz w:val="28"/>
                                </w:rPr>
                                <w:t>Adequate</w:t>
                              </w:r>
                              <w:r>
                                <w:rPr>
                                  <w:b/>
                                  <w:color w:val="164194"/>
                                  <w:spacing w:val="-9"/>
                                  <w:sz w:val="28"/>
                                </w:rPr>
                                <w:t> </w:t>
                              </w:r>
                              <w:r>
                                <w:rPr>
                                  <w:b/>
                                  <w:color w:val="164194"/>
                                  <w:sz w:val="28"/>
                                </w:rPr>
                                <w:t>Minimum</w:t>
                              </w:r>
                              <w:r>
                                <w:rPr>
                                  <w:b/>
                                  <w:color w:val="164194"/>
                                  <w:spacing w:val="-9"/>
                                  <w:sz w:val="28"/>
                                </w:rPr>
                                <w:t> </w:t>
                              </w:r>
                              <w:r>
                                <w:rPr>
                                  <w:b/>
                                  <w:color w:val="164194"/>
                                  <w:sz w:val="28"/>
                                </w:rPr>
                                <w:t>Wages</w:t>
                              </w:r>
                              <w:r>
                                <w:rPr>
                                  <w:b/>
                                  <w:color w:val="164194"/>
                                  <w:spacing w:val="-9"/>
                                  <w:sz w:val="28"/>
                                </w:rPr>
                                <w:t> </w:t>
                              </w:r>
                              <w:r>
                                <w:rPr>
                                  <w:b/>
                                  <w:color w:val="164194"/>
                                  <w:sz w:val="28"/>
                                </w:rPr>
                                <w:t>Directive,</w:t>
                              </w:r>
                              <w:r>
                                <w:rPr>
                                  <w:b/>
                                  <w:color w:val="164194"/>
                                  <w:spacing w:val="-9"/>
                                  <w:sz w:val="28"/>
                                </w:rPr>
                                <w:t> </w:t>
                              </w:r>
                              <w:r>
                                <w:rPr>
                                  <w:b/>
                                  <w:color w:val="164194"/>
                                  <w:sz w:val="28"/>
                                </w:rPr>
                                <w:t>as</w:t>
                              </w:r>
                              <w:r>
                                <w:rPr>
                                  <w:b/>
                                  <w:color w:val="164194"/>
                                  <w:spacing w:val="-9"/>
                                  <w:sz w:val="28"/>
                                </w:rPr>
                                <w:t> </w:t>
                              </w:r>
                              <w:r>
                                <w:rPr>
                                  <w:b/>
                                  <w:color w:val="164194"/>
                                  <w:sz w:val="28"/>
                                </w:rPr>
                                <w:t>a</w:t>
                              </w:r>
                              <w:r>
                                <w:rPr>
                                  <w:b/>
                                  <w:color w:val="164194"/>
                                  <w:spacing w:val="-9"/>
                                  <w:sz w:val="28"/>
                                </w:rPr>
                                <w:t> </w:t>
                              </w:r>
                              <w:r>
                                <w:rPr>
                                  <w:b/>
                                  <w:color w:val="164194"/>
                                  <w:sz w:val="28"/>
                                </w:rPr>
                                <w:t>matter</w:t>
                              </w:r>
                              <w:r>
                                <w:rPr>
                                  <w:b/>
                                  <w:color w:val="164194"/>
                                  <w:spacing w:val="-9"/>
                                  <w:sz w:val="28"/>
                                </w:rPr>
                                <w:t> </w:t>
                              </w:r>
                              <w:r>
                                <w:rPr>
                                  <w:b/>
                                  <w:color w:val="164194"/>
                                  <w:sz w:val="28"/>
                                </w:rPr>
                                <w:t>of</w:t>
                              </w:r>
                            </w:p>
                            <w:p>
                              <w:pPr>
                                <w:spacing w:line="232" w:lineRule="auto" w:before="0"/>
                                <w:ind w:left="340" w:right="196" w:firstLine="0"/>
                                <w:jc w:val="left"/>
                                <w:rPr>
                                  <w:b/>
                                  <w:sz w:val="28"/>
                                </w:rPr>
                              </w:pPr>
                              <w:r>
                                <w:rPr>
                                  <w:b/>
                                  <w:color w:val="164194"/>
                                  <w:sz w:val="28"/>
                                </w:rPr>
                                <w:t>voluntarily</w:t>
                              </w:r>
                              <w:r>
                                <w:rPr>
                                  <w:b/>
                                  <w:color w:val="164194"/>
                                  <w:spacing w:val="-8"/>
                                  <w:sz w:val="28"/>
                                </w:rPr>
                                <w:t> </w:t>
                              </w:r>
                              <w:r>
                                <w:rPr>
                                  <w:b/>
                                  <w:color w:val="164194"/>
                                  <w:sz w:val="28"/>
                                </w:rPr>
                                <w:t>alignment,</w:t>
                              </w:r>
                              <w:r>
                                <w:rPr>
                                  <w:b/>
                                  <w:color w:val="164194"/>
                                  <w:spacing w:val="-8"/>
                                  <w:sz w:val="28"/>
                                </w:rPr>
                                <w:t> </w:t>
                              </w:r>
                              <w:r>
                                <w:rPr>
                                  <w:b/>
                                  <w:color w:val="164194"/>
                                  <w:sz w:val="28"/>
                                </w:rPr>
                                <w:t>to</w:t>
                              </w:r>
                              <w:r>
                                <w:rPr>
                                  <w:b/>
                                  <w:color w:val="164194"/>
                                  <w:spacing w:val="-8"/>
                                  <w:sz w:val="28"/>
                                </w:rPr>
                                <w:t> </w:t>
                              </w:r>
                              <w:r>
                                <w:rPr>
                                  <w:b/>
                                  <w:color w:val="164194"/>
                                  <w:sz w:val="28"/>
                                </w:rPr>
                                <w:t>the</w:t>
                              </w:r>
                              <w:r>
                                <w:rPr>
                                  <w:b/>
                                  <w:color w:val="164194"/>
                                  <w:spacing w:val="-9"/>
                                  <w:sz w:val="28"/>
                                </w:rPr>
                                <w:t> </w:t>
                              </w:r>
                              <w:r>
                                <w:rPr>
                                  <w:b/>
                                  <w:color w:val="164194"/>
                                  <w:sz w:val="28"/>
                                </w:rPr>
                                <w:t>extent</w:t>
                              </w:r>
                              <w:r>
                                <w:rPr>
                                  <w:b/>
                                  <w:color w:val="164194"/>
                                  <w:spacing w:val="-8"/>
                                  <w:sz w:val="28"/>
                                </w:rPr>
                                <w:t> </w:t>
                              </w:r>
                              <w:r>
                                <w:rPr>
                                  <w:b/>
                                  <w:color w:val="164194"/>
                                  <w:sz w:val="28"/>
                                </w:rPr>
                                <w:t>that</w:t>
                              </w:r>
                              <w:r>
                                <w:rPr>
                                  <w:b/>
                                  <w:color w:val="164194"/>
                                  <w:spacing w:val="-8"/>
                                  <w:sz w:val="28"/>
                                </w:rPr>
                                <w:t> </w:t>
                              </w:r>
                              <w:r>
                                <w:rPr>
                                  <w:b/>
                                  <w:color w:val="164194"/>
                                  <w:sz w:val="28"/>
                                </w:rPr>
                                <w:t>these</w:t>
                              </w:r>
                              <w:r>
                                <w:rPr>
                                  <w:b/>
                                  <w:color w:val="164194"/>
                                  <w:spacing w:val="-9"/>
                                  <w:sz w:val="28"/>
                                </w:rPr>
                                <w:t> </w:t>
                              </w:r>
                              <w:r>
                                <w:rPr>
                                  <w:b/>
                                  <w:color w:val="164194"/>
                                  <w:sz w:val="28"/>
                                </w:rPr>
                                <w:t>strengthen</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3.319814pt;width:473.4pt;height:80.55pt;mso-position-horizontal-relative:page;mso-position-vertical-relative:paragraph;z-index:-15572992;mso-wrap-distance-left:0;mso-wrap-distance-right:0" id="docshapegroup678" coordorigin="1020,266" coordsize="9468,1611">
                <v:shape style="position:absolute;left:1020;top:266;width:9468;height:1611" id="docshape679" coordorigin="1020,266" coordsize="9468,1611" path="m10261,266l1247,266,1176,278,1113,310,1064,359,1032,421,1020,493,1020,1650,1032,1721,1064,1784,1113,1833,1176,1865,1247,1877,10261,1877,10333,1865,10395,1833,10444,1784,10477,1721,10488,1650,10488,493,10477,421,10444,359,10395,310,10333,278,10261,266xe" filled="true" fillcolor="#e9f3fc" stroked="false">
                  <v:path arrowok="t"/>
                  <v:fill type="solid"/>
                </v:shape>
                <v:shape style="position:absolute;left:1020;top:266;width:9468;height:1611" type="#_x0000_t202" id="docshape680" filled="false" stroked="false">
                  <v:textbox inset="0,0,0,0">
                    <w:txbxContent>
                      <w:p>
                        <w:pPr>
                          <w:spacing w:line="232" w:lineRule="auto" w:before="121"/>
                          <w:ind w:left="340" w:right="631" w:firstLine="0"/>
                          <w:jc w:val="left"/>
                          <w:rPr>
                            <w:b/>
                            <w:sz w:val="28"/>
                          </w:rPr>
                        </w:pPr>
                        <w:r>
                          <w:rPr>
                            <w:b/>
                            <w:color w:val="164194"/>
                            <w:sz w:val="28"/>
                          </w:rPr>
                          <w:t>We recommend that the UK Government and NI Executive implement the</w:t>
                        </w:r>
                        <w:r>
                          <w:rPr>
                            <w:b/>
                            <w:color w:val="164194"/>
                            <w:spacing w:val="-9"/>
                            <w:sz w:val="28"/>
                          </w:rPr>
                          <w:t> </w:t>
                        </w:r>
                        <w:r>
                          <w:rPr>
                            <w:b/>
                            <w:color w:val="164194"/>
                            <w:sz w:val="28"/>
                          </w:rPr>
                          <w:t>standards</w:t>
                        </w:r>
                        <w:r>
                          <w:rPr>
                            <w:b/>
                            <w:color w:val="164194"/>
                            <w:spacing w:val="-9"/>
                            <w:sz w:val="28"/>
                          </w:rPr>
                          <w:t> </w:t>
                        </w:r>
                        <w:r>
                          <w:rPr>
                            <w:b/>
                            <w:color w:val="164194"/>
                            <w:sz w:val="28"/>
                          </w:rPr>
                          <w:t>in</w:t>
                        </w:r>
                        <w:r>
                          <w:rPr>
                            <w:b/>
                            <w:color w:val="164194"/>
                            <w:spacing w:val="-9"/>
                            <w:sz w:val="28"/>
                          </w:rPr>
                          <w:t> </w:t>
                        </w:r>
                        <w:r>
                          <w:rPr>
                            <w:b/>
                            <w:color w:val="164194"/>
                            <w:sz w:val="28"/>
                          </w:rPr>
                          <w:t>the</w:t>
                        </w:r>
                        <w:r>
                          <w:rPr>
                            <w:b/>
                            <w:color w:val="164194"/>
                            <w:spacing w:val="-9"/>
                            <w:sz w:val="28"/>
                          </w:rPr>
                          <w:t> </w:t>
                        </w:r>
                        <w:r>
                          <w:rPr>
                            <w:b/>
                            <w:color w:val="164194"/>
                            <w:sz w:val="28"/>
                          </w:rPr>
                          <w:t>Adequate</w:t>
                        </w:r>
                        <w:r>
                          <w:rPr>
                            <w:b/>
                            <w:color w:val="164194"/>
                            <w:spacing w:val="-9"/>
                            <w:sz w:val="28"/>
                          </w:rPr>
                          <w:t> </w:t>
                        </w:r>
                        <w:r>
                          <w:rPr>
                            <w:b/>
                            <w:color w:val="164194"/>
                            <w:sz w:val="28"/>
                          </w:rPr>
                          <w:t>Minimum</w:t>
                        </w:r>
                        <w:r>
                          <w:rPr>
                            <w:b/>
                            <w:color w:val="164194"/>
                            <w:spacing w:val="-9"/>
                            <w:sz w:val="28"/>
                          </w:rPr>
                          <w:t> </w:t>
                        </w:r>
                        <w:r>
                          <w:rPr>
                            <w:b/>
                            <w:color w:val="164194"/>
                            <w:sz w:val="28"/>
                          </w:rPr>
                          <w:t>Wages</w:t>
                        </w:r>
                        <w:r>
                          <w:rPr>
                            <w:b/>
                            <w:color w:val="164194"/>
                            <w:spacing w:val="-9"/>
                            <w:sz w:val="28"/>
                          </w:rPr>
                          <w:t> </w:t>
                        </w:r>
                        <w:r>
                          <w:rPr>
                            <w:b/>
                            <w:color w:val="164194"/>
                            <w:sz w:val="28"/>
                          </w:rPr>
                          <w:t>Directive,</w:t>
                        </w:r>
                        <w:r>
                          <w:rPr>
                            <w:b/>
                            <w:color w:val="164194"/>
                            <w:spacing w:val="-9"/>
                            <w:sz w:val="28"/>
                          </w:rPr>
                          <w:t> </w:t>
                        </w:r>
                        <w:r>
                          <w:rPr>
                            <w:b/>
                            <w:color w:val="164194"/>
                            <w:sz w:val="28"/>
                          </w:rPr>
                          <w:t>as</w:t>
                        </w:r>
                        <w:r>
                          <w:rPr>
                            <w:b/>
                            <w:color w:val="164194"/>
                            <w:spacing w:val="-9"/>
                            <w:sz w:val="28"/>
                          </w:rPr>
                          <w:t> </w:t>
                        </w:r>
                        <w:r>
                          <w:rPr>
                            <w:b/>
                            <w:color w:val="164194"/>
                            <w:sz w:val="28"/>
                          </w:rPr>
                          <w:t>a</w:t>
                        </w:r>
                        <w:r>
                          <w:rPr>
                            <w:b/>
                            <w:color w:val="164194"/>
                            <w:spacing w:val="-9"/>
                            <w:sz w:val="28"/>
                          </w:rPr>
                          <w:t> </w:t>
                        </w:r>
                        <w:r>
                          <w:rPr>
                            <w:b/>
                            <w:color w:val="164194"/>
                            <w:sz w:val="28"/>
                          </w:rPr>
                          <w:t>matter</w:t>
                        </w:r>
                        <w:r>
                          <w:rPr>
                            <w:b/>
                            <w:color w:val="164194"/>
                            <w:spacing w:val="-9"/>
                            <w:sz w:val="28"/>
                          </w:rPr>
                          <w:t> </w:t>
                        </w:r>
                        <w:r>
                          <w:rPr>
                            <w:b/>
                            <w:color w:val="164194"/>
                            <w:sz w:val="28"/>
                          </w:rPr>
                          <w:t>of</w:t>
                        </w:r>
                      </w:p>
                      <w:p>
                        <w:pPr>
                          <w:spacing w:line="232" w:lineRule="auto" w:before="0"/>
                          <w:ind w:left="340" w:right="196" w:firstLine="0"/>
                          <w:jc w:val="left"/>
                          <w:rPr>
                            <w:b/>
                            <w:sz w:val="28"/>
                          </w:rPr>
                        </w:pPr>
                        <w:r>
                          <w:rPr>
                            <w:b/>
                            <w:color w:val="164194"/>
                            <w:sz w:val="28"/>
                          </w:rPr>
                          <w:t>voluntarily</w:t>
                        </w:r>
                        <w:r>
                          <w:rPr>
                            <w:b/>
                            <w:color w:val="164194"/>
                            <w:spacing w:val="-8"/>
                            <w:sz w:val="28"/>
                          </w:rPr>
                          <w:t> </w:t>
                        </w:r>
                        <w:r>
                          <w:rPr>
                            <w:b/>
                            <w:color w:val="164194"/>
                            <w:sz w:val="28"/>
                          </w:rPr>
                          <w:t>alignment,</w:t>
                        </w:r>
                        <w:r>
                          <w:rPr>
                            <w:b/>
                            <w:color w:val="164194"/>
                            <w:spacing w:val="-8"/>
                            <w:sz w:val="28"/>
                          </w:rPr>
                          <w:t> </w:t>
                        </w:r>
                        <w:r>
                          <w:rPr>
                            <w:b/>
                            <w:color w:val="164194"/>
                            <w:sz w:val="28"/>
                          </w:rPr>
                          <w:t>to</w:t>
                        </w:r>
                        <w:r>
                          <w:rPr>
                            <w:b/>
                            <w:color w:val="164194"/>
                            <w:spacing w:val="-8"/>
                            <w:sz w:val="28"/>
                          </w:rPr>
                          <w:t> </w:t>
                        </w:r>
                        <w:r>
                          <w:rPr>
                            <w:b/>
                            <w:color w:val="164194"/>
                            <w:sz w:val="28"/>
                          </w:rPr>
                          <w:t>the</w:t>
                        </w:r>
                        <w:r>
                          <w:rPr>
                            <w:b/>
                            <w:color w:val="164194"/>
                            <w:spacing w:val="-9"/>
                            <w:sz w:val="28"/>
                          </w:rPr>
                          <w:t> </w:t>
                        </w:r>
                        <w:r>
                          <w:rPr>
                            <w:b/>
                            <w:color w:val="164194"/>
                            <w:sz w:val="28"/>
                          </w:rPr>
                          <w:t>extent</w:t>
                        </w:r>
                        <w:r>
                          <w:rPr>
                            <w:b/>
                            <w:color w:val="164194"/>
                            <w:spacing w:val="-8"/>
                            <w:sz w:val="28"/>
                          </w:rPr>
                          <w:t> </w:t>
                        </w:r>
                        <w:r>
                          <w:rPr>
                            <w:b/>
                            <w:color w:val="164194"/>
                            <w:sz w:val="28"/>
                          </w:rPr>
                          <w:t>that</w:t>
                        </w:r>
                        <w:r>
                          <w:rPr>
                            <w:b/>
                            <w:color w:val="164194"/>
                            <w:spacing w:val="-8"/>
                            <w:sz w:val="28"/>
                          </w:rPr>
                          <w:t> </w:t>
                        </w:r>
                        <w:r>
                          <w:rPr>
                            <w:b/>
                            <w:color w:val="164194"/>
                            <w:sz w:val="28"/>
                          </w:rPr>
                          <w:t>these</w:t>
                        </w:r>
                        <w:r>
                          <w:rPr>
                            <w:b/>
                            <w:color w:val="164194"/>
                            <w:spacing w:val="-9"/>
                            <w:sz w:val="28"/>
                          </w:rPr>
                          <w:t> </w:t>
                        </w:r>
                        <w:r>
                          <w:rPr>
                            <w:b/>
                            <w:color w:val="164194"/>
                            <w:sz w:val="28"/>
                          </w:rPr>
                          <w:t>strengthen</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 international human rights standards and best practice.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44000">
                <wp:simplePos x="0" y="0"/>
                <wp:positionH relativeFrom="page">
                  <wp:posOffset>647994</wp:posOffset>
                </wp:positionH>
                <wp:positionV relativeFrom="paragraph">
                  <wp:posOffset>1331361</wp:posOffset>
                </wp:positionV>
                <wp:extent cx="6012180" cy="813435"/>
                <wp:effectExtent l="0" t="0" r="0" b="0"/>
                <wp:wrapTopAndBottom/>
                <wp:docPr id="831" name="Group 831"/>
                <wp:cNvGraphicFramePr>
                  <a:graphicFrameLocks/>
                </wp:cNvGraphicFramePr>
                <a:graphic>
                  <a:graphicData uri="http://schemas.microsoft.com/office/word/2010/wordprocessingGroup">
                    <wpg:wgp>
                      <wpg:cNvPr id="831" name="Group 831"/>
                      <wpg:cNvGrpSpPr/>
                      <wpg:grpSpPr>
                        <a:xfrm>
                          <a:off x="0" y="0"/>
                          <a:ext cx="6012180" cy="813435"/>
                          <a:chExt cx="6012180" cy="813435"/>
                        </a:xfrm>
                      </wpg:grpSpPr>
                      <wps:wsp>
                        <wps:cNvPr id="832" name="Graphic 832"/>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833" name="Textbox 833"/>
                        <wps:cNvSpPr txBox="1"/>
                        <wps:spPr>
                          <a:xfrm>
                            <a:off x="0" y="0"/>
                            <a:ext cx="6012180" cy="813435"/>
                          </a:xfrm>
                          <a:prstGeom prst="rect">
                            <a:avLst/>
                          </a:prstGeom>
                        </wps:spPr>
                        <wps:txbx>
                          <w:txbxContent>
                            <w:p>
                              <w:pPr>
                                <w:spacing w:line="232" w:lineRule="auto" w:before="121"/>
                                <w:ind w:left="340" w:right="463" w:firstLine="0"/>
                                <w:jc w:val="both"/>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w:t>
                              </w:r>
                              <w:r>
                                <w:rPr>
                                  <w:b/>
                                  <w:color w:val="164194"/>
                                  <w:spacing w:val="-8"/>
                                  <w:sz w:val="28"/>
                                </w:rPr>
                                <w:t> </w:t>
                              </w:r>
                              <w:r>
                                <w:rPr>
                                  <w:b/>
                                  <w:color w:val="164194"/>
                                  <w:sz w:val="28"/>
                                </w:rPr>
                                <w:t>ECNI</w:t>
                              </w:r>
                              <w:r>
                                <w:rPr>
                                  <w:b/>
                                  <w:color w:val="164194"/>
                                  <w:spacing w:val="-7"/>
                                  <w:sz w:val="28"/>
                                </w:rPr>
                                <w:t> </w:t>
                              </w:r>
                              <w:r>
                                <w:rPr>
                                  <w:b/>
                                  <w:color w:val="164194"/>
                                  <w:sz w:val="28"/>
                                </w:rPr>
                                <w:t>and</w:t>
                              </w:r>
                              <w:r>
                                <w:rPr>
                                  <w:b/>
                                  <w:color w:val="164194"/>
                                  <w:spacing w:val="-7"/>
                                  <w:sz w:val="28"/>
                                </w:rPr>
                                <w:t> </w:t>
                              </w:r>
                              <w:r>
                                <w:rPr>
                                  <w:b/>
                                  <w:color w:val="164194"/>
                                  <w:sz w:val="28"/>
                                </w:rPr>
                                <w:t>NIHRC</w:t>
                              </w:r>
                              <w:r>
                                <w:rPr>
                                  <w:b/>
                                  <w:color w:val="164194"/>
                                  <w:spacing w:val="-8"/>
                                  <w:sz w:val="28"/>
                                </w:rPr>
                                <w:t> </w:t>
                              </w:r>
                              <w:r>
                                <w:rPr>
                                  <w:b/>
                                  <w:color w:val="164194"/>
                                  <w:sz w:val="28"/>
                                </w:rPr>
                                <w:t>conduct</w:t>
                              </w:r>
                              <w:r>
                                <w:rPr>
                                  <w:b/>
                                  <w:color w:val="164194"/>
                                  <w:spacing w:val="-7"/>
                                  <w:sz w:val="28"/>
                                </w:rPr>
                                <w:t> </w:t>
                              </w:r>
                              <w:r>
                                <w:rPr>
                                  <w:b/>
                                  <w:color w:val="164194"/>
                                  <w:sz w:val="28"/>
                                </w:rPr>
                                <w:t>an</w:t>
                              </w:r>
                              <w:r>
                                <w:rPr>
                                  <w:b/>
                                  <w:color w:val="164194"/>
                                  <w:spacing w:val="-7"/>
                                  <w:sz w:val="28"/>
                                </w:rPr>
                                <w:t> </w:t>
                              </w:r>
                              <w:r>
                                <w:rPr>
                                  <w:b/>
                                  <w:color w:val="164194"/>
                                  <w:sz w:val="28"/>
                                </w:rPr>
                                <w:t>analysis</w:t>
                              </w:r>
                              <w:r>
                                <w:rPr>
                                  <w:b/>
                                  <w:color w:val="164194"/>
                                  <w:spacing w:val="-7"/>
                                  <w:sz w:val="28"/>
                                </w:rPr>
                                <w:t> </w:t>
                              </w:r>
                              <w:r>
                                <w:rPr>
                                  <w:b/>
                                  <w:color w:val="164194"/>
                                  <w:sz w:val="28"/>
                                </w:rPr>
                                <w:t>to</w:t>
                              </w:r>
                              <w:r>
                                <w:rPr>
                                  <w:b/>
                                  <w:color w:val="164194"/>
                                  <w:spacing w:val="-7"/>
                                  <w:sz w:val="28"/>
                                </w:rPr>
                                <w:t> </w:t>
                              </w:r>
                              <w:r>
                                <w:rPr>
                                  <w:b/>
                                  <w:color w:val="164194"/>
                                  <w:sz w:val="28"/>
                                </w:rPr>
                                <w:t>determine if</w:t>
                              </w:r>
                              <w:r>
                                <w:rPr>
                                  <w:b/>
                                  <w:color w:val="164194"/>
                                  <w:spacing w:val="-3"/>
                                  <w:sz w:val="28"/>
                                </w:rPr>
                                <w:t> </w:t>
                              </w:r>
                              <w:r>
                                <w:rPr>
                                  <w:b/>
                                  <w:color w:val="164194"/>
                                  <w:sz w:val="28"/>
                                </w:rPr>
                                <w:t>the</w:t>
                              </w:r>
                              <w:r>
                                <w:rPr>
                                  <w:b/>
                                  <w:color w:val="164194"/>
                                  <w:spacing w:val="-3"/>
                                  <w:sz w:val="28"/>
                                </w:rPr>
                                <w:t> </w:t>
                              </w:r>
                              <w:r>
                                <w:rPr>
                                  <w:b/>
                                  <w:color w:val="164194"/>
                                  <w:sz w:val="28"/>
                                </w:rPr>
                                <w:t>Adequate</w:t>
                              </w:r>
                              <w:r>
                                <w:rPr>
                                  <w:b/>
                                  <w:color w:val="164194"/>
                                  <w:spacing w:val="-3"/>
                                  <w:sz w:val="28"/>
                                </w:rPr>
                                <w:t> </w:t>
                              </w:r>
                              <w:r>
                                <w:rPr>
                                  <w:b/>
                                  <w:color w:val="164194"/>
                                  <w:sz w:val="28"/>
                                </w:rPr>
                                <w:t>Minimum</w:t>
                              </w:r>
                              <w:r>
                                <w:rPr>
                                  <w:b/>
                                  <w:color w:val="164194"/>
                                  <w:spacing w:val="-3"/>
                                  <w:sz w:val="28"/>
                                </w:rPr>
                                <w:t> </w:t>
                              </w:r>
                              <w:r>
                                <w:rPr>
                                  <w:b/>
                                  <w:color w:val="164194"/>
                                  <w:sz w:val="28"/>
                                </w:rPr>
                                <w:t>Wages</w:t>
                              </w:r>
                              <w:r>
                                <w:rPr>
                                  <w:b/>
                                  <w:color w:val="164194"/>
                                  <w:spacing w:val="-2"/>
                                  <w:sz w:val="28"/>
                                </w:rPr>
                                <w:t> </w:t>
                              </w:r>
                              <w:r>
                                <w:rPr>
                                  <w:b/>
                                  <w:color w:val="164194"/>
                                  <w:sz w:val="28"/>
                                </w:rPr>
                                <w:t>Directive</w:t>
                              </w:r>
                              <w:r>
                                <w:rPr>
                                  <w:b/>
                                  <w:color w:val="164194"/>
                                  <w:spacing w:val="-3"/>
                                  <w:sz w:val="28"/>
                                </w:rPr>
                                <w:t> </w:t>
                              </w:r>
                              <w:r>
                                <w:rPr>
                                  <w:b/>
                                  <w:color w:val="164194"/>
                                  <w:sz w:val="28"/>
                                </w:rPr>
                                <w:t>amends</w:t>
                              </w:r>
                              <w:r>
                                <w:rPr>
                                  <w:b/>
                                  <w:color w:val="164194"/>
                                  <w:spacing w:val="-2"/>
                                  <w:sz w:val="28"/>
                                </w:rPr>
                                <w:t> </w:t>
                              </w:r>
                              <w:r>
                                <w:rPr>
                                  <w:b/>
                                  <w:color w:val="164194"/>
                                  <w:sz w:val="28"/>
                                </w:rPr>
                                <w:t>or</w:t>
                              </w:r>
                              <w:r>
                                <w:rPr>
                                  <w:b/>
                                  <w:color w:val="164194"/>
                                  <w:spacing w:val="-3"/>
                                  <w:sz w:val="28"/>
                                </w:rPr>
                                <w:t> </w:t>
                              </w:r>
                              <w:r>
                                <w:rPr>
                                  <w:b/>
                                  <w:color w:val="164194"/>
                                  <w:sz w:val="28"/>
                                </w:rPr>
                                <w:t>replaces</w:t>
                              </w:r>
                              <w:r>
                                <w:rPr>
                                  <w:b/>
                                  <w:color w:val="164194"/>
                                  <w:spacing w:val="-2"/>
                                  <w:sz w:val="28"/>
                                </w:rPr>
                                <w:t> </w:t>
                              </w:r>
                              <w:r>
                                <w:rPr>
                                  <w:b/>
                                  <w:color w:val="164194"/>
                                  <w:sz w:val="28"/>
                                </w:rPr>
                                <w:t>an</w:t>
                              </w:r>
                              <w:r>
                                <w:rPr>
                                  <w:b/>
                                  <w:color w:val="164194"/>
                                  <w:spacing w:val="-2"/>
                                  <w:sz w:val="28"/>
                                </w:rPr>
                                <w:t> </w:t>
                              </w:r>
                              <w:r>
                                <w:rPr>
                                  <w:b/>
                                  <w:color w:val="164194"/>
                                  <w:sz w:val="28"/>
                                </w:rPr>
                                <w:t>Annex</w:t>
                              </w:r>
                              <w:r>
                                <w:rPr>
                                  <w:b/>
                                  <w:color w:val="164194"/>
                                  <w:spacing w:val="-3"/>
                                  <w:sz w:val="28"/>
                                </w:rPr>
                                <w:t> </w:t>
                              </w:r>
                              <w:r>
                                <w:rPr>
                                  <w:b/>
                                  <w:color w:val="164194"/>
                                  <w:sz w:val="28"/>
                                </w:rPr>
                                <w:t>1 </w:t>
                              </w:r>
                              <w:r>
                                <w:rPr>
                                  <w:b/>
                                  <w:color w:val="164194"/>
                                  <w:spacing w:val="-2"/>
                                  <w:sz w:val="28"/>
                                </w:rPr>
                                <w:t>directive.</w:t>
                              </w:r>
                            </w:p>
                          </w:txbxContent>
                        </wps:txbx>
                        <wps:bodyPr wrap="square" lIns="0" tIns="0" rIns="0" bIns="0" rtlCol="0">
                          <a:noAutofit/>
                        </wps:bodyPr>
                      </wps:wsp>
                    </wpg:wgp>
                  </a:graphicData>
                </a:graphic>
              </wp:anchor>
            </w:drawing>
          </mc:Choice>
          <mc:Fallback>
            <w:pict>
              <v:group style="position:absolute;margin-left:51.023201pt;margin-top:104.831612pt;width:473.4pt;height:64.05pt;mso-position-horizontal-relative:page;mso-position-vertical-relative:paragraph;z-index:-15572480;mso-wrap-distance-left:0;mso-wrap-distance-right:0" id="docshapegroup681" coordorigin="1020,2097" coordsize="9468,1281">
                <v:shape style="position:absolute;left:1020;top:2096;width:9468;height:1281" id="docshape682" coordorigin="1020,2097" coordsize="9468,1281" path="m10261,2097l1247,2097,1176,2108,1113,2140,1064,2189,1032,2252,1020,2323,1020,3150,1032,3222,1064,3284,1113,3333,1176,3365,1247,3377,10261,3377,10333,3365,10395,3333,10444,3284,10477,3222,10488,3150,10488,2323,10477,2252,10444,2189,10395,2140,10333,2108,10261,2097xe" filled="true" fillcolor="#e9f3fc" stroked="false">
                  <v:path arrowok="t"/>
                  <v:fill type="solid"/>
                </v:shape>
                <v:shape style="position:absolute;left:1020;top:2096;width:9468;height:1281" type="#_x0000_t202" id="docshape683" filled="false" stroked="false">
                  <v:textbox inset="0,0,0,0">
                    <w:txbxContent>
                      <w:p>
                        <w:pPr>
                          <w:spacing w:line="232" w:lineRule="auto" w:before="121"/>
                          <w:ind w:left="340" w:right="463" w:firstLine="0"/>
                          <w:jc w:val="both"/>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w:t>
                        </w:r>
                        <w:r>
                          <w:rPr>
                            <w:b/>
                            <w:color w:val="164194"/>
                            <w:spacing w:val="-8"/>
                            <w:sz w:val="28"/>
                          </w:rPr>
                          <w:t> </w:t>
                        </w:r>
                        <w:r>
                          <w:rPr>
                            <w:b/>
                            <w:color w:val="164194"/>
                            <w:sz w:val="28"/>
                          </w:rPr>
                          <w:t>ECNI</w:t>
                        </w:r>
                        <w:r>
                          <w:rPr>
                            <w:b/>
                            <w:color w:val="164194"/>
                            <w:spacing w:val="-7"/>
                            <w:sz w:val="28"/>
                          </w:rPr>
                          <w:t> </w:t>
                        </w:r>
                        <w:r>
                          <w:rPr>
                            <w:b/>
                            <w:color w:val="164194"/>
                            <w:sz w:val="28"/>
                          </w:rPr>
                          <w:t>and</w:t>
                        </w:r>
                        <w:r>
                          <w:rPr>
                            <w:b/>
                            <w:color w:val="164194"/>
                            <w:spacing w:val="-7"/>
                            <w:sz w:val="28"/>
                          </w:rPr>
                          <w:t> </w:t>
                        </w:r>
                        <w:r>
                          <w:rPr>
                            <w:b/>
                            <w:color w:val="164194"/>
                            <w:sz w:val="28"/>
                          </w:rPr>
                          <w:t>NIHRC</w:t>
                        </w:r>
                        <w:r>
                          <w:rPr>
                            <w:b/>
                            <w:color w:val="164194"/>
                            <w:spacing w:val="-8"/>
                            <w:sz w:val="28"/>
                          </w:rPr>
                          <w:t> </w:t>
                        </w:r>
                        <w:r>
                          <w:rPr>
                            <w:b/>
                            <w:color w:val="164194"/>
                            <w:sz w:val="28"/>
                          </w:rPr>
                          <w:t>conduct</w:t>
                        </w:r>
                        <w:r>
                          <w:rPr>
                            <w:b/>
                            <w:color w:val="164194"/>
                            <w:spacing w:val="-7"/>
                            <w:sz w:val="28"/>
                          </w:rPr>
                          <w:t> </w:t>
                        </w:r>
                        <w:r>
                          <w:rPr>
                            <w:b/>
                            <w:color w:val="164194"/>
                            <w:sz w:val="28"/>
                          </w:rPr>
                          <w:t>an</w:t>
                        </w:r>
                        <w:r>
                          <w:rPr>
                            <w:b/>
                            <w:color w:val="164194"/>
                            <w:spacing w:val="-7"/>
                            <w:sz w:val="28"/>
                          </w:rPr>
                          <w:t> </w:t>
                        </w:r>
                        <w:r>
                          <w:rPr>
                            <w:b/>
                            <w:color w:val="164194"/>
                            <w:sz w:val="28"/>
                          </w:rPr>
                          <w:t>analysis</w:t>
                        </w:r>
                        <w:r>
                          <w:rPr>
                            <w:b/>
                            <w:color w:val="164194"/>
                            <w:spacing w:val="-7"/>
                            <w:sz w:val="28"/>
                          </w:rPr>
                          <w:t> </w:t>
                        </w:r>
                        <w:r>
                          <w:rPr>
                            <w:b/>
                            <w:color w:val="164194"/>
                            <w:sz w:val="28"/>
                          </w:rPr>
                          <w:t>to</w:t>
                        </w:r>
                        <w:r>
                          <w:rPr>
                            <w:b/>
                            <w:color w:val="164194"/>
                            <w:spacing w:val="-7"/>
                            <w:sz w:val="28"/>
                          </w:rPr>
                          <w:t> </w:t>
                        </w:r>
                        <w:r>
                          <w:rPr>
                            <w:b/>
                            <w:color w:val="164194"/>
                            <w:sz w:val="28"/>
                          </w:rPr>
                          <w:t>determine if</w:t>
                        </w:r>
                        <w:r>
                          <w:rPr>
                            <w:b/>
                            <w:color w:val="164194"/>
                            <w:spacing w:val="-3"/>
                            <w:sz w:val="28"/>
                          </w:rPr>
                          <w:t> </w:t>
                        </w:r>
                        <w:r>
                          <w:rPr>
                            <w:b/>
                            <w:color w:val="164194"/>
                            <w:sz w:val="28"/>
                          </w:rPr>
                          <w:t>the</w:t>
                        </w:r>
                        <w:r>
                          <w:rPr>
                            <w:b/>
                            <w:color w:val="164194"/>
                            <w:spacing w:val="-3"/>
                            <w:sz w:val="28"/>
                          </w:rPr>
                          <w:t> </w:t>
                        </w:r>
                        <w:r>
                          <w:rPr>
                            <w:b/>
                            <w:color w:val="164194"/>
                            <w:sz w:val="28"/>
                          </w:rPr>
                          <w:t>Adequate</w:t>
                        </w:r>
                        <w:r>
                          <w:rPr>
                            <w:b/>
                            <w:color w:val="164194"/>
                            <w:spacing w:val="-3"/>
                            <w:sz w:val="28"/>
                          </w:rPr>
                          <w:t> </w:t>
                        </w:r>
                        <w:r>
                          <w:rPr>
                            <w:b/>
                            <w:color w:val="164194"/>
                            <w:sz w:val="28"/>
                          </w:rPr>
                          <w:t>Minimum</w:t>
                        </w:r>
                        <w:r>
                          <w:rPr>
                            <w:b/>
                            <w:color w:val="164194"/>
                            <w:spacing w:val="-3"/>
                            <w:sz w:val="28"/>
                          </w:rPr>
                          <w:t> </w:t>
                        </w:r>
                        <w:r>
                          <w:rPr>
                            <w:b/>
                            <w:color w:val="164194"/>
                            <w:sz w:val="28"/>
                          </w:rPr>
                          <w:t>Wages</w:t>
                        </w:r>
                        <w:r>
                          <w:rPr>
                            <w:b/>
                            <w:color w:val="164194"/>
                            <w:spacing w:val="-2"/>
                            <w:sz w:val="28"/>
                          </w:rPr>
                          <w:t> </w:t>
                        </w:r>
                        <w:r>
                          <w:rPr>
                            <w:b/>
                            <w:color w:val="164194"/>
                            <w:sz w:val="28"/>
                          </w:rPr>
                          <w:t>Directive</w:t>
                        </w:r>
                        <w:r>
                          <w:rPr>
                            <w:b/>
                            <w:color w:val="164194"/>
                            <w:spacing w:val="-3"/>
                            <w:sz w:val="28"/>
                          </w:rPr>
                          <w:t> </w:t>
                        </w:r>
                        <w:r>
                          <w:rPr>
                            <w:b/>
                            <w:color w:val="164194"/>
                            <w:sz w:val="28"/>
                          </w:rPr>
                          <w:t>amends</w:t>
                        </w:r>
                        <w:r>
                          <w:rPr>
                            <w:b/>
                            <w:color w:val="164194"/>
                            <w:spacing w:val="-2"/>
                            <w:sz w:val="28"/>
                          </w:rPr>
                          <w:t> </w:t>
                        </w:r>
                        <w:r>
                          <w:rPr>
                            <w:b/>
                            <w:color w:val="164194"/>
                            <w:sz w:val="28"/>
                          </w:rPr>
                          <w:t>or</w:t>
                        </w:r>
                        <w:r>
                          <w:rPr>
                            <w:b/>
                            <w:color w:val="164194"/>
                            <w:spacing w:val="-3"/>
                            <w:sz w:val="28"/>
                          </w:rPr>
                          <w:t> </w:t>
                        </w:r>
                        <w:r>
                          <w:rPr>
                            <w:b/>
                            <w:color w:val="164194"/>
                            <w:sz w:val="28"/>
                          </w:rPr>
                          <w:t>replaces</w:t>
                        </w:r>
                        <w:r>
                          <w:rPr>
                            <w:b/>
                            <w:color w:val="164194"/>
                            <w:spacing w:val="-2"/>
                            <w:sz w:val="28"/>
                          </w:rPr>
                          <w:t> </w:t>
                        </w:r>
                        <w:r>
                          <w:rPr>
                            <w:b/>
                            <w:color w:val="164194"/>
                            <w:sz w:val="28"/>
                          </w:rPr>
                          <w:t>an</w:t>
                        </w:r>
                        <w:r>
                          <w:rPr>
                            <w:b/>
                            <w:color w:val="164194"/>
                            <w:spacing w:val="-2"/>
                            <w:sz w:val="28"/>
                          </w:rPr>
                          <w:t> </w:t>
                        </w:r>
                        <w:r>
                          <w:rPr>
                            <w:b/>
                            <w:color w:val="164194"/>
                            <w:sz w:val="28"/>
                          </w:rPr>
                          <w:t>Annex</w:t>
                        </w:r>
                        <w:r>
                          <w:rPr>
                            <w:b/>
                            <w:color w:val="164194"/>
                            <w:spacing w:val="-3"/>
                            <w:sz w:val="28"/>
                          </w:rPr>
                          <w:t> </w:t>
                        </w:r>
                        <w:r>
                          <w:rPr>
                            <w:b/>
                            <w:color w:val="164194"/>
                            <w:sz w:val="28"/>
                          </w:rPr>
                          <w:t>1 </w:t>
                        </w:r>
                        <w:r>
                          <w:rPr>
                            <w:b/>
                            <w:color w:val="164194"/>
                            <w:spacing w:val="-2"/>
                            <w:sz w:val="28"/>
                          </w:rPr>
                          <w:t>directive.</w:t>
                        </w:r>
                      </w:p>
                    </w:txbxContent>
                  </v:textbox>
                  <w10:wrap type="none"/>
                </v:shape>
                <w10:wrap type="topAndBottom"/>
              </v:group>
            </w:pict>
          </mc:Fallback>
        </mc:AlternateContent>
      </w:r>
    </w:p>
    <w:p>
      <w:pPr>
        <w:pStyle w:val="BodyText"/>
        <w:rPr>
          <w:sz w:val="16"/>
        </w:rPr>
      </w:pPr>
    </w:p>
    <w:p>
      <w:pPr>
        <w:pStyle w:val="BodyText"/>
        <w:spacing w:before="1"/>
      </w:pPr>
    </w:p>
    <w:p>
      <w:pPr>
        <w:pStyle w:val="ListParagraph"/>
        <w:numPr>
          <w:ilvl w:val="3"/>
          <w:numId w:val="33"/>
        </w:numPr>
        <w:tabs>
          <w:tab w:pos="1563" w:val="left" w:leader="none"/>
        </w:tabs>
        <w:spacing w:line="336" w:lineRule="exact" w:before="0" w:after="0"/>
        <w:ind w:left="1563" w:right="0" w:hanging="843"/>
        <w:jc w:val="left"/>
        <w:rPr>
          <w:sz w:val="28"/>
        </w:rPr>
      </w:pPr>
      <w:r>
        <w:rPr>
          <w:color w:val="004A93"/>
          <w:sz w:val="28"/>
        </w:rPr>
        <w:t>EU</w:t>
      </w:r>
      <w:r>
        <w:rPr>
          <w:color w:val="004A93"/>
          <w:spacing w:val="-11"/>
          <w:sz w:val="28"/>
        </w:rPr>
        <w:t> </w:t>
      </w:r>
      <w:r>
        <w:rPr>
          <w:color w:val="004A93"/>
          <w:sz w:val="28"/>
        </w:rPr>
        <w:t>Regulations</w:t>
      </w:r>
      <w:r>
        <w:rPr>
          <w:color w:val="004A93"/>
          <w:spacing w:val="-11"/>
          <w:sz w:val="28"/>
        </w:rPr>
        <w:t> </w:t>
      </w:r>
      <w:r>
        <w:rPr>
          <w:color w:val="004A93"/>
          <w:sz w:val="28"/>
        </w:rPr>
        <w:t>regarding</w:t>
      </w:r>
      <w:r>
        <w:rPr>
          <w:color w:val="004A93"/>
          <w:spacing w:val="-10"/>
          <w:sz w:val="28"/>
        </w:rPr>
        <w:t> </w:t>
      </w:r>
      <w:r>
        <w:rPr>
          <w:color w:val="004A93"/>
          <w:sz w:val="28"/>
        </w:rPr>
        <w:t>migration</w:t>
      </w:r>
      <w:r>
        <w:rPr>
          <w:color w:val="004A93"/>
          <w:spacing w:val="-11"/>
          <w:sz w:val="28"/>
        </w:rPr>
        <w:t> </w:t>
      </w:r>
      <w:r>
        <w:rPr>
          <w:color w:val="004A93"/>
          <w:sz w:val="28"/>
        </w:rPr>
        <w:t>and</w:t>
      </w:r>
      <w:r>
        <w:rPr>
          <w:color w:val="004A93"/>
          <w:spacing w:val="-11"/>
          <w:sz w:val="28"/>
        </w:rPr>
        <w:t> </w:t>
      </w:r>
      <w:r>
        <w:rPr>
          <w:color w:val="004A93"/>
          <w:sz w:val="28"/>
        </w:rPr>
        <w:t>non-</w:t>
      </w:r>
      <w:r>
        <w:rPr>
          <w:color w:val="004A93"/>
          <w:spacing w:val="-2"/>
          <w:sz w:val="28"/>
        </w:rPr>
        <w:t>discrimination</w:t>
      </w:r>
    </w:p>
    <w:p>
      <w:pPr>
        <w:pStyle w:val="BodyText"/>
        <w:spacing w:line="232" w:lineRule="auto" w:before="3"/>
        <w:ind w:left="720" w:right="1194"/>
      </w:pPr>
      <w:r>
        <w:rPr/>
        <w:t>All 15 EU directives adopted between 1 January 2022 and 31 August 2023 that sufficiently relate to human rights and equality have already been discussed in previous sections, as have many EU regulations, in the context of the right to health,</w:t>
      </w:r>
      <w:r>
        <w:rPr>
          <w:spacing w:val="-9"/>
        </w:rPr>
        <w:t> </w:t>
      </w:r>
      <w:r>
        <w:rPr/>
        <w:t>the</w:t>
      </w:r>
      <w:r>
        <w:rPr>
          <w:spacing w:val="-9"/>
        </w:rPr>
        <w:t> </w:t>
      </w:r>
      <w:r>
        <w:rPr/>
        <w:t>right</w:t>
      </w:r>
      <w:r>
        <w:rPr>
          <w:spacing w:val="-9"/>
        </w:rPr>
        <w:t> </w:t>
      </w:r>
      <w:r>
        <w:rPr/>
        <w:t>to</w:t>
      </w:r>
      <w:r>
        <w:rPr>
          <w:spacing w:val="-10"/>
        </w:rPr>
        <w:t> </w:t>
      </w:r>
      <w:r>
        <w:rPr/>
        <w:t>privacy</w:t>
      </w:r>
      <w:r>
        <w:rPr>
          <w:spacing w:val="-9"/>
        </w:rPr>
        <w:t> </w:t>
      </w:r>
      <w:r>
        <w:rPr/>
        <w:t>and</w:t>
      </w:r>
      <w:r>
        <w:rPr>
          <w:spacing w:val="-10"/>
        </w:rPr>
        <w:t> </w:t>
      </w:r>
      <w:r>
        <w:rPr/>
        <w:t>gender</w:t>
      </w:r>
      <w:r>
        <w:rPr>
          <w:spacing w:val="-9"/>
        </w:rPr>
        <w:t> </w:t>
      </w:r>
      <w:r>
        <w:rPr/>
        <w:t>equality.</w:t>
      </w:r>
      <w:r>
        <w:rPr>
          <w:spacing w:val="-10"/>
        </w:rPr>
        <w:t> </w:t>
      </w:r>
      <w:r>
        <w:rPr/>
        <w:t>However,</w:t>
      </w:r>
      <w:r>
        <w:rPr>
          <w:spacing w:val="-9"/>
        </w:rPr>
        <w:t> </w:t>
      </w:r>
      <w:r>
        <w:rPr/>
        <w:t>two</w:t>
      </w:r>
      <w:r>
        <w:rPr>
          <w:spacing w:val="-10"/>
        </w:rPr>
        <w:t> </w:t>
      </w:r>
      <w:r>
        <w:rPr/>
        <w:t>more</w:t>
      </w:r>
      <w:r>
        <w:rPr>
          <w:spacing w:val="-9"/>
        </w:rPr>
        <w:t> </w:t>
      </w:r>
      <w:r>
        <w:rPr/>
        <w:t>EU</w:t>
      </w:r>
      <w:r>
        <w:rPr>
          <w:spacing w:val="-9"/>
        </w:rPr>
        <w:t> </w:t>
      </w:r>
      <w:r>
        <w:rPr/>
        <w:t>regulations set some substantial requirements worth noting, in the context of </w:t>
      </w:r>
      <w:r>
        <w:rPr>
          <w:b/>
        </w:rPr>
        <w:t>migration and </w:t>
      </w:r>
      <w:r>
        <w:rPr>
          <w:b/>
          <w:spacing w:val="-2"/>
        </w:rPr>
        <w:t>non-discrimination</w:t>
      </w:r>
      <w:r>
        <w:rPr>
          <w:spacing w:val="-2"/>
        </w:rPr>
        <w:t>.</w:t>
      </w:r>
    </w:p>
    <w:p>
      <w:pPr>
        <w:pStyle w:val="BodyText"/>
        <w:spacing w:before="169"/>
        <w:rPr>
          <w:sz w:val="20"/>
        </w:rPr>
      </w:pPr>
      <w:r>
        <w:rPr/>
        <mc:AlternateContent>
          <mc:Choice Requires="wps">
            <w:drawing>
              <wp:anchor distT="0" distB="0" distL="0" distR="0" allowOverlap="1" layoutInCell="1" locked="0" behindDoc="1" simplePos="0" relativeHeight="487744512">
                <wp:simplePos x="0" y="0"/>
                <wp:positionH relativeFrom="page">
                  <wp:posOffset>647999</wp:posOffset>
                </wp:positionH>
                <wp:positionV relativeFrom="paragraph">
                  <wp:posOffset>277969</wp:posOffset>
                </wp:positionV>
                <wp:extent cx="6012180" cy="1270"/>
                <wp:effectExtent l="0" t="0" r="0" b="0"/>
                <wp:wrapTopAndBottom/>
                <wp:docPr id="834" name="Graphic 834"/>
                <wp:cNvGraphicFramePr>
                  <a:graphicFrameLocks/>
                </wp:cNvGraphicFramePr>
                <a:graphic>
                  <a:graphicData uri="http://schemas.microsoft.com/office/word/2010/wordprocessingShape">
                    <wps:wsp>
                      <wps:cNvPr id="834" name="Graphic 83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1.887344pt;width:473.4pt;height:.1pt;mso-position-horizontal-relative:page;mso-position-vertical-relative:paragraph;z-index:-15571968;mso-wrap-distance-left:0;mso-wrap-distance-right:0" id="docshape684" coordorigin="1020,438" coordsize="9468,0" path="m1020,438l10488,438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0" w:hanging="567"/>
        <w:jc w:val="left"/>
        <w:rPr>
          <w:sz w:val="18"/>
        </w:rPr>
      </w:pPr>
      <w:r>
        <w:rPr>
          <w:sz w:val="18"/>
        </w:rPr>
        <w:t>Northern</w:t>
      </w:r>
      <w:r>
        <w:rPr>
          <w:spacing w:val="-4"/>
          <w:sz w:val="18"/>
        </w:rPr>
        <w:t> </w:t>
      </w:r>
      <w:r>
        <w:rPr>
          <w:sz w:val="18"/>
        </w:rPr>
        <w:t>Ireland</w:t>
      </w:r>
      <w:r>
        <w:rPr>
          <w:spacing w:val="-4"/>
          <w:sz w:val="18"/>
        </w:rPr>
        <w:t> </w:t>
      </w:r>
      <w:r>
        <w:rPr>
          <w:sz w:val="18"/>
        </w:rPr>
        <w:t>Act</w:t>
      </w:r>
      <w:r>
        <w:rPr>
          <w:spacing w:val="-2"/>
          <w:sz w:val="18"/>
        </w:rPr>
        <w:t> </w:t>
      </w:r>
      <w:r>
        <w:rPr>
          <w:sz w:val="18"/>
        </w:rPr>
        <w:t>1998,</w:t>
      </w:r>
      <w:r>
        <w:rPr>
          <w:spacing w:val="-3"/>
          <w:sz w:val="18"/>
        </w:rPr>
        <w:t> </w:t>
      </w:r>
      <w:hyperlink r:id="rId152">
        <w:r>
          <w:rPr>
            <w:color w:val="1D71B8"/>
            <w:sz w:val="18"/>
            <w:u w:val="single" w:color="1D71B8"/>
          </w:rPr>
          <w:t>Schedule</w:t>
        </w:r>
        <w:r>
          <w:rPr>
            <w:color w:val="1D71B8"/>
            <w:spacing w:val="-2"/>
            <w:sz w:val="18"/>
            <w:u w:val="single" w:color="1D71B8"/>
          </w:rPr>
          <w:t> </w:t>
        </w:r>
        <w:r>
          <w:rPr>
            <w:color w:val="1D71B8"/>
            <w:sz w:val="18"/>
            <w:u w:val="single" w:color="1D71B8"/>
          </w:rPr>
          <w:t>3</w:t>
        </w:r>
      </w:hyperlink>
      <w:r>
        <w:rPr>
          <w:sz w:val="18"/>
          <w:u w:val="none"/>
        </w:rPr>
        <w:t>,</w:t>
      </w:r>
      <w:r>
        <w:rPr>
          <w:spacing w:val="-3"/>
          <w:sz w:val="18"/>
          <w:u w:val="none"/>
        </w:rPr>
        <w:t> </w:t>
      </w:r>
      <w:r>
        <w:rPr>
          <w:sz w:val="18"/>
          <w:u w:val="none"/>
        </w:rPr>
        <w:t>para</w:t>
      </w:r>
      <w:r>
        <w:rPr>
          <w:spacing w:val="-3"/>
          <w:sz w:val="18"/>
          <w:u w:val="none"/>
        </w:rPr>
        <w:t> </w:t>
      </w:r>
      <w:r>
        <w:rPr>
          <w:spacing w:val="-5"/>
          <w:sz w:val="18"/>
          <w:u w:val="none"/>
        </w:rPr>
        <w:t>21.</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63232">
                <wp:simplePos x="0" y="0"/>
                <wp:positionH relativeFrom="page">
                  <wp:posOffset>-2</wp:posOffset>
                </wp:positionH>
                <wp:positionV relativeFrom="page">
                  <wp:posOffset>0</wp:posOffset>
                </wp:positionV>
                <wp:extent cx="7560309" cy="1155065"/>
                <wp:effectExtent l="0" t="0" r="0" b="0"/>
                <wp:wrapNone/>
                <wp:docPr id="835" name="Group 835"/>
                <wp:cNvGraphicFramePr>
                  <a:graphicFrameLocks/>
                </wp:cNvGraphicFramePr>
                <a:graphic>
                  <a:graphicData uri="http://schemas.microsoft.com/office/word/2010/wordprocessingGroup">
                    <wpg:wgp>
                      <wpg:cNvPr id="835" name="Group 835"/>
                      <wpg:cNvGrpSpPr/>
                      <wpg:grpSpPr>
                        <a:xfrm>
                          <a:off x="0" y="0"/>
                          <a:ext cx="7560309" cy="1155065"/>
                          <a:chExt cx="7560309" cy="1155065"/>
                        </a:xfrm>
                      </wpg:grpSpPr>
                      <wps:wsp>
                        <wps:cNvPr id="836" name="Graphic 836"/>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837" name="Graphic 837"/>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53248" id="docshapegroup685" coordorigin="0,0" coordsize="11906,1819">
                <v:shape style="position:absolute;left:0;top:0;width:11906;height:1819" id="docshape686"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4.3.4.3 EU legislation regarding justice" w:id="153"/>
      <w:bookmarkEnd w:id="153"/>
      <w:r>
        <w:rPr/>
      </w:r>
      <w:bookmarkStart w:name="_bookmark64" w:id="154"/>
      <w:bookmarkEnd w:id="154"/>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97</w:t>
      </w:r>
    </w:p>
    <w:p>
      <w:pPr>
        <w:pStyle w:val="ListParagraph"/>
        <w:numPr>
          <w:ilvl w:val="0"/>
          <w:numId w:val="40"/>
        </w:numPr>
        <w:tabs>
          <w:tab w:pos="1457" w:val="left" w:leader="none"/>
        </w:tabs>
        <w:spacing w:line="232" w:lineRule="auto" w:before="707" w:after="0"/>
        <w:ind w:left="1457" w:right="240" w:hanging="341"/>
        <w:jc w:val="left"/>
        <w:rPr>
          <w:sz w:val="28"/>
        </w:rPr>
      </w:pPr>
      <w:r>
        <w:rPr>
          <w:sz w:val="28"/>
        </w:rPr>
        <w:t>Member States must provide an annual performance report on the Asylum, Migration and Integration Fund and on the Internal Security Fund, by providing particular information as requested by EU law, including how they complied with requirements on equality between men and women and the promotion of gender mainstreaming, as well as to avoid discrimination based on gender, racial or ethnic origin,</w:t>
      </w:r>
      <w:r>
        <w:rPr>
          <w:spacing w:val="-11"/>
          <w:sz w:val="28"/>
        </w:rPr>
        <w:t> </w:t>
      </w:r>
      <w:r>
        <w:rPr>
          <w:sz w:val="28"/>
        </w:rPr>
        <w:t>religion</w:t>
      </w:r>
      <w:r>
        <w:rPr>
          <w:spacing w:val="-12"/>
          <w:sz w:val="28"/>
        </w:rPr>
        <w:t> </w:t>
      </w:r>
      <w:r>
        <w:rPr>
          <w:sz w:val="28"/>
        </w:rPr>
        <w:t>or</w:t>
      </w:r>
      <w:r>
        <w:rPr>
          <w:spacing w:val="-11"/>
          <w:sz w:val="28"/>
        </w:rPr>
        <w:t> </w:t>
      </w:r>
      <w:r>
        <w:rPr>
          <w:sz w:val="28"/>
        </w:rPr>
        <w:t>belief,</w:t>
      </w:r>
      <w:r>
        <w:rPr>
          <w:spacing w:val="-11"/>
          <w:sz w:val="28"/>
        </w:rPr>
        <w:t> </w:t>
      </w:r>
      <w:r>
        <w:rPr>
          <w:sz w:val="28"/>
        </w:rPr>
        <w:t>disability,</w:t>
      </w:r>
      <w:r>
        <w:rPr>
          <w:spacing w:val="-11"/>
          <w:sz w:val="28"/>
        </w:rPr>
        <w:t> </w:t>
      </w:r>
      <w:r>
        <w:rPr>
          <w:sz w:val="28"/>
        </w:rPr>
        <w:t>age</w:t>
      </w:r>
      <w:r>
        <w:rPr>
          <w:spacing w:val="-11"/>
          <w:sz w:val="28"/>
        </w:rPr>
        <w:t> </w:t>
      </w:r>
      <w:r>
        <w:rPr>
          <w:sz w:val="28"/>
        </w:rPr>
        <w:t>or</w:t>
      </w:r>
      <w:r>
        <w:rPr>
          <w:spacing w:val="-11"/>
          <w:sz w:val="28"/>
        </w:rPr>
        <w:t> </w:t>
      </w:r>
      <w:r>
        <w:rPr>
          <w:sz w:val="28"/>
        </w:rPr>
        <w:t>sexual</w:t>
      </w:r>
      <w:r>
        <w:rPr>
          <w:spacing w:val="-12"/>
          <w:sz w:val="28"/>
        </w:rPr>
        <w:t> </w:t>
      </w:r>
      <w:r>
        <w:rPr>
          <w:sz w:val="28"/>
        </w:rPr>
        <w:t>orientation,</w:t>
      </w:r>
      <w:r>
        <w:rPr>
          <w:spacing w:val="-11"/>
          <w:sz w:val="28"/>
        </w:rPr>
        <w:t> </w:t>
      </w:r>
      <w:r>
        <w:rPr>
          <w:sz w:val="28"/>
        </w:rPr>
        <w:t>from</w:t>
      </w:r>
      <w:r>
        <w:rPr>
          <w:spacing w:val="-11"/>
          <w:sz w:val="28"/>
        </w:rPr>
        <w:t> </w:t>
      </w:r>
      <w:r>
        <w:rPr>
          <w:sz w:val="28"/>
        </w:rPr>
        <w:t>29</w:t>
      </w:r>
      <w:r>
        <w:rPr>
          <w:spacing w:val="-11"/>
          <w:sz w:val="28"/>
        </w:rPr>
        <w:t> </w:t>
      </w:r>
      <w:r>
        <w:rPr>
          <w:sz w:val="28"/>
        </w:rPr>
        <w:t>January</w:t>
      </w:r>
      <w:r>
        <w:rPr>
          <w:spacing w:val="-11"/>
          <w:sz w:val="28"/>
        </w:rPr>
        <w:t> </w:t>
      </w:r>
      <w:r>
        <w:rPr>
          <w:sz w:val="28"/>
        </w:rPr>
        <w:t>2023.</w:t>
      </w:r>
      <w:r>
        <w:rPr>
          <w:sz w:val="28"/>
          <w:vertAlign w:val="superscript"/>
        </w:rPr>
        <w:t>493</w:t>
      </w:r>
    </w:p>
    <w:p>
      <w:pPr>
        <w:pStyle w:val="BodyText"/>
        <w:spacing w:line="232" w:lineRule="auto" w:before="246"/>
        <w:ind w:left="1117" w:right="770"/>
      </w:pPr>
      <w:r>
        <w:rPr/>
        <w:t>Since the UK is no longer part of the EU, it does not participate in EU institutions’ or agencies’ activities such as the Asylum, Migration and Integration Fund or the Internal</w:t>
      </w:r>
      <w:r>
        <w:rPr>
          <w:spacing w:val="-2"/>
        </w:rPr>
        <w:t> </w:t>
      </w:r>
      <w:r>
        <w:rPr/>
        <w:t>Security</w:t>
      </w:r>
      <w:r>
        <w:rPr>
          <w:spacing w:val="-1"/>
        </w:rPr>
        <w:t> </w:t>
      </w:r>
      <w:r>
        <w:rPr/>
        <w:t>Fund.</w:t>
      </w:r>
      <w:r>
        <w:rPr>
          <w:spacing w:val="-2"/>
        </w:rPr>
        <w:t> </w:t>
      </w:r>
      <w:r>
        <w:rPr/>
        <w:t>We</w:t>
      </w:r>
      <w:r>
        <w:rPr>
          <w:spacing w:val="-1"/>
        </w:rPr>
        <w:t> </w:t>
      </w:r>
      <w:r>
        <w:rPr/>
        <w:t>consider</w:t>
      </w:r>
      <w:r>
        <w:rPr>
          <w:spacing w:val="-1"/>
        </w:rPr>
        <w:t> </w:t>
      </w:r>
      <w:r>
        <w:rPr/>
        <w:t>it</w:t>
      </w:r>
      <w:r>
        <w:rPr>
          <w:spacing w:val="-1"/>
        </w:rPr>
        <w:t> </w:t>
      </w:r>
      <w:r>
        <w:rPr/>
        <w:t>desirable</w:t>
      </w:r>
      <w:r>
        <w:rPr>
          <w:spacing w:val="-1"/>
        </w:rPr>
        <w:t> </w:t>
      </w:r>
      <w:r>
        <w:rPr/>
        <w:t>that</w:t>
      </w:r>
      <w:r>
        <w:rPr>
          <w:spacing w:val="-1"/>
        </w:rPr>
        <w:t> </w:t>
      </w:r>
      <w:r>
        <w:rPr/>
        <w:t>the</w:t>
      </w:r>
      <w:r>
        <w:rPr>
          <w:spacing w:val="-1"/>
        </w:rPr>
        <w:t> </w:t>
      </w:r>
      <w:r>
        <w:rPr/>
        <w:t>NI</w:t>
      </w:r>
      <w:r>
        <w:rPr>
          <w:spacing w:val="-1"/>
        </w:rPr>
        <w:t> </w:t>
      </w:r>
      <w:r>
        <w:rPr/>
        <w:t>Executive</w:t>
      </w:r>
      <w:r>
        <w:rPr>
          <w:spacing w:val="-1"/>
        </w:rPr>
        <w:t> </w:t>
      </w:r>
      <w:r>
        <w:rPr/>
        <w:t>Office</w:t>
      </w:r>
      <w:r>
        <w:rPr>
          <w:spacing w:val="-1"/>
        </w:rPr>
        <w:t> </w:t>
      </w:r>
      <w:r>
        <w:rPr/>
        <w:t>ensure compliance</w:t>
      </w:r>
      <w:r>
        <w:rPr>
          <w:spacing w:val="-6"/>
        </w:rPr>
        <w:t> </w:t>
      </w:r>
      <w:r>
        <w:rPr/>
        <w:t>with</w:t>
      </w:r>
      <w:r>
        <w:rPr>
          <w:spacing w:val="-7"/>
        </w:rPr>
        <w:t> </w:t>
      </w:r>
      <w:r>
        <w:rPr/>
        <w:t>EU</w:t>
      </w:r>
      <w:r>
        <w:rPr>
          <w:spacing w:val="-6"/>
        </w:rPr>
        <w:t> </w:t>
      </w:r>
      <w:r>
        <w:rPr/>
        <w:t>standards</w:t>
      </w:r>
      <w:r>
        <w:rPr>
          <w:spacing w:val="-7"/>
        </w:rPr>
        <w:t> </w:t>
      </w:r>
      <w:r>
        <w:rPr/>
        <w:t>on</w:t>
      </w:r>
      <w:r>
        <w:rPr>
          <w:spacing w:val="-7"/>
        </w:rPr>
        <w:t> </w:t>
      </w:r>
      <w:r>
        <w:rPr/>
        <w:t>non-discrimination,</w:t>
      </w:r>
      <w:r>
        <w:rPr>
          <w:spacing w:val="-6"/>
        </w:rPr>
        <w:t> </w:t>
      </w:r>
      <w:r>
        <w:rPr/>
        <w:t>regardless</w:t>
      </w:r>
      <w:r>
        <w:rPr>
          <w:spacing w:val="-7"/>
        </w:rPr>
        <w:t> </w:t>
      </w:r>
      <w:r>
        <w:rPr/>
        <w:t>of</w:t>
      </w:r>
      <w:r>
        <w:rPr>
          <w:spacing w:val="-7"/>
        </w:rPr>
        <w:t> </w:t>
      </w:r>
      <w:r>
        <w:rPr/>
        <w:t>whether</w:t>
      </w:r>
      <w:r>
        <w:rPr>
          <w:spacing w:val="-6"/>
        </w:rPr>
        <w:t> </w:t>
      </w:r>
      <w:r>
        <w:rPr/>
        <w:t>the</w:t>
      </w:r>
      <w:r>
        <w:rPr>
          <w:spacing w:val="-6"/>
        </w:rPr>
        <w:t> </w:t>
      </w:r>
      <w:r>
        <w:rPr/>
        <w:t>UK must submit an annual performance report in relation to these Funds.</w:t>
      </w:r>
    </w:p>
    <w:p>
      <w:pPr>
        <w:pStyle w:val="BodyText"/>
        <w:spacing w:before="8"/>
        <w:rPr>
          <w:sz w:val="17"/>
        </w:rPr>
      </w:pPr>
      <w:r>
        <w:rPr/>
        <mc:AlternateContent>
          <mc:Choice Requires="wps">
            <w:drawing>
              <wp:anchor distT="0" distB="0" distL="0" distR="0" allowOverlap="1" layoutInCell="1" locked="0" behindDoc="1" simplePos="0" relativeHeight="487745536">
                <wp:simplePos x="0" y="0"/>
                <wp:positionH relativeFrom="page">
                  <wp:posOffset>899994</wp:posOffset>
                </wp:positionH>
                <wp:positionV relativeFrom="paragraph">
                  <wp:posOffset>152273</wp:posOffset>
                </wp:positionV>
                <wp:extent cx="6012180" cy="813435"/>
                <wp:effectExtent l="0" t="0" r="0" b="0"/>
                <wp:wrapTopAndBottom/>
                <wp:docPr id="838" name="Group 838"/>
                <wp:cNvGraphicFramePr>
                  <a:graphicFrameLocks/>
                </wp:cNvGraphicFramePr>
                <a:graphic>
                  <a:graphicData uri="http://schemas.microsoft.com/office/word/2010/wordprocessingGroup">
                    <wpg:wgp>
                      <wpg:cNvPr id="838" name="Group 838"/>
                      <wpg:cNvGrpSpPr/>
                      <wpg:grpSpPr>
                        <a:xfrm>
                          <a:off x="0" y="0"/>
                          <a:ext cx="6012180" cy="813435"/>
                          <a:chExt cx="6012180" cy="813435"/>
                        </a:xfrm>
                      </wpg:grpSpPr>
                      <wps:wsp>
                        <wps:cNvPr id="839" name="Graphic 839"/>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840" name="Textbox 840"/>
                        <wps:cNvSpPr txBox="1"/>
                        <wps:spPr>
                          <a:xfrm>
                            <a:off x="0" y="0"/>
                            <a:ext cx="6012180" cy="813435"/>
                          </a:xfrm>
                          <a:prstGeom prst="rect">
                            <a:avLst/>
                          </a:prstGeom>
                        </wps:spPr>
                        <wps:txbx>
                          <w:txbxContent>
                            <w:p>
                              <w:pPr>
                                <w:spacing w:line="232" w:lineRule="auto" w:before="121"/>
                                <w:ind w:left="340" w:right="196" w:firstLine="0"/>
                                <w:jc w:val="left"/>
                                <w:rPr>
                                  <w:b/>
                                  <w:sz w:val="28"/>
                                </w:rPr>
                              </w:pPr>
                              <w:r>
                                <w:rPr>
                                  <w:b/>
                                  <w:color w:val="164194"/>
                                  <w:sz w:val="28"/>
                                </w:rPr>
                                <w:t>We recommend that the UK Government, NI Executive and relevant departments</w:t>
                              </w:r>
                              <w:r>
                                <w:rPr>
                                  <w:b/>
                                  <w:color w:val="164194"/>
                                  <w:spacing w:val="-4"/>
                                  <w:sz w:val="28"/>
                                </w:rPr>
                                <w:t> </w:t>
                              </w:r>
                              <w:r>
                                <w:rPr>
                                  <w:b/>
                                  <w:color w:val="164194"/>
                                  <w:sz w:val="28"/>
                                </w:rPr>
                                <w:t>voluntarily</w:t>
                              </w:r>
                              <w:r>
                                <w:rPr>
                                  <w:b/>
                                  <w:color w:val="164194"/>
                                  <w:spacing w:val="-4"/>
                                  <w:sz w:val="28"/>
                                </w:rPr>
                                <w:t> </w:t>
                              </w:r>
                              <w:r>
                                <w:rPr>
                                  <w:b/>
                                  <w:color w:val="164194"/>
                                  <w:sz w:val="28"/>
                                </w:rPr>
                                <w:t>report</w:t>
                              </w:r>
                              <w:r>
                                <w:rPr>
                                  <w:b/>
                                  <w:color w:val="164194"/>
                                  <w:spacing w:val="-4"/>
                                  <w:sz w:val="28"/>
                                </w:rPr>
                                <w:t> </w:t>
                              </w:r>
                              <w:r>
                                <w:rPr>
                                  <w:b/>
                                  <w:color w:val="164194"/>
                                  <w:sz w:val="28"/>
                                </w:rPr>
                                <w:t>annually</w:t>
                              </w:r>
                              <w:r>
                                <w:rPr>
                                  <w:b/>
                                  <w:color w:val="164194"/>
                                  <w:spacing w:val="-4"/>
                                  <w:sz w:val="28"/>
                                </w:rPr>
                                <w:t> </w:t>
                              </w:r>
                              <w:r>
                                <w:rPr>
                                  <w:b/>
                                  <w:color w:val="164194"/>
                                  <w:sz w:val="28"/>
                                </w:rPr>
                                <w:t>on</w:t>
                              </w:r>
                              <w:r>
                                <w:rPr>
                                  <w:b/>
                                  <w:color w:val="164194"/>
                                  <w:spacing w:val="-4"/>
                                  <w:sz w:val="28"/>
                                </w:rPr>
                                <w:t> </w:t>
                              </w:r>
                              <w:r>
                                <w:rPr>
                                  <w:b/>
                                  <w:color w:val="164194"/>
                                  <w:sz w:val="28"/>
                                </w:rPr>
                                <w:t>how</w:t>
                              </w:r>
                              <w:r>
                                <w:rPr>
                                  <w:b/>
                                  <w:color w:val="164194"/>
                                  <w:spacing w:val="-5"/>
                                  <w:sz w:val="28"/>
                                </w:rPr>
                                <w:t> </w:t>
                              </w:r>
                              <w:r>
                                <w:rPr>
                                  <w:b/>
                                  <w:color w:val="164194"/>
                                  <w:sz w:val="28"/>
                                </w:rPr>
                                <w:t>asylum</w:t>
                              </w:r>
                              <w:r>
                                <w:rPr>
                                  <w:b/>
                                  <w:color w:val="164194"/>
                                  <w:spacing w:val="-5"/>
                                  <w:sz w:val="28"/>
                                </w:rPr>
                                <w:t> </w:t>
                              </w:r>
                              <w:r>
                                <w:rPr>
                                  <w:b/>
                                  <w:color w:val="164194"/>
                                  <w:sz w:val="28"/>
                                </w:rPr>
                                <w:t>and</w:t>
                              </w:r>
                              <w:r>
                                <w:rPr>
                                  <w:b/>
                                  <w:color w:val="164194"/>
                                  <w:spacing w:val="-4"/>
                                  <w:sz w:val="28"/>
                                </w:rPr>
                                <w:t> </w:t>
                              </w:r>
                              <w:r>
                                <w:rPr>
                                  <w:b/>
                                  <w:color w:val="164194"/>
                                  <w:sz w:val="28"/>
                                </w:rPr>
                                <w:t>migration policies</w:t>
                              </w:r>
                              <w:r>
                                <w:rPr>
                                  <w:b/>
                                  <w:color w:val="164194"/>
                                  <w:spacing w:val="-3"/>
                                  <w:sz w:val="28"/>
                                </w:rPr>
                                <w:t> </w:t>
                              </w:r>
                              <w:r>
                                <w:rPr>
                                  <w:b/>
                                  <w:color w:val="164194"/>
                                  <w:sz w:val="28"/>
                                </w:rPr>
                                <w:t>comply</w:t>
                              </w:r>
                              <w:r>
                                <w:rPr>
                                  <w:b/>
                                  <w:color w:val="164194"/>
                                  <w:spacing w:val="-2"/>
                                  <w:sz w:val="28"/>
                                </w:rPr>
                                <w:t> </w:t>
                              </w:r>
                              <w:r>
                                <w:rPr>
                                  <w:b/>
                                  <w:color w:val="164194"/>
                                  <w:sz w:val="28"/>
                                </w:rPr>
                                <w:t>with</w:t>
                              </w:r>
                              <w:r>
                                <w:rPr>
                                  <w:b/>
                                  <w:color w:val="164194"/>
                                  <w:spacing w:val="-3"/>
                                  <w:sz w:val="28"/>
                                </w:rPr>
                                <w:t> </w:t>
                              </w:r>
                              <w:r>
                                <w:rPr>
                                  <w:b/>
                                  <w:color w:val="164194"/>
                                  <w:sz w:val="28"/>
                                </w:rPr>
                                <w:t>requirements</w:t>
                              </w:r>
                              <w:r>
                                <w:rPr>
                                  <w:b/>
                                  <w:color w:val="164194"/>
                                  <w:spacing w:val="-2"/>
                                  <w:sz w:val="28"/>
                                </w:rPr>
                                <w:t> </w:t>
                              </w:r>
                              <w:r>
                                <w:rPr>
                                  <w:b/>
                                  <w:color w:val="164194"/>
                                  <w:sz w:val="28"/>
                                </w:rPr>
                                <w:t>on</w:t>
                              </w:r>
                              <w:r>
                                <w:rPr>
                                  <w:b/>
                                  <w:color w:val="164194"/>
                                  <w:spacing w:val="-3"/>
                                  <w:sz w:val="28"/>
                                </w:rPr>
                                <w:t> </w:t>
                              </w:r>
                              <w:r>
                                <w:rPr>
                                  <w:b/>
                                  <w:color w:val="164194"/>
                                  <w:sz w:val="28"/>
                                </w:rPr>
                                <w:t>equality</w:t>
                              </w:r>
                              <w:r>
                                <w:rPr>
                                  <w:b/>
                                  <w:color w:val="164194"/>
                                  <w:spacing w:val="-2"/>
                                  <w:sz w:val="28"/>
                                </w:rPr>
                                <w:t> </w:t>
                              </w:r>
                              <w:r>
                                <w:rPr>
                                  <w:b/>
                                  <w:color w:val="164194"/>
                                  <w:sz w:val="28"/>
                                </w:rPr>
                                <w:t>and</w:t>
                              </w:r>
                              <w:r>
                                <w:rPr>
                                  <w:b/>
                                  <w:color w:val="164194"/>
                                  <w:spacing w:val="-2"/>
                                  <w:sz w:val="28"/>
                                </w:rPr>
                                <w:t> </w:t>
                              </w:r>
                              <w:r>
                                <w:rPr>
                                  <w:b/>
                                  <w:color w:val="164194"/>
                                  <w:sz w:val="28"/>
                                </w:rPr>
                                <w:t>non-</w:t>
                              </w:r>
                              <w:r>
                                <w:rPr>
                                  <w:b/>
                                  <w:color w:val="164194"/>
                                  <w:spacing w:val="-2"/>
                                  <w:sz w:val="28"/>
                                </w:rPr>
                                <w:t>discrimination.</w:t>
                              </w:r>
                            </w:p>
                          </w:txbxContent>
                        </wps:txbx>
                        <wps:bodyPr wrap="square" lIns="0" tIns="0" rIns="0" bIns="0" rtlCol="0">
                          <a:noAutofit/>
                        </wps:bodyPr>
                      </wps:wsp>
                    </wpg:wgp>
                  </a:graphicData>
                </a:graphic>
              </wp:anchor>
            </w:drawing>
          </mc:Choice>
          <mc:Fallback>
            <w:pict>
              <v:group style="position:absolute;margin-left:70.8657pt;margin-top:11.990066pt;width:473.4pt;height:64.05pt;mso-position-horizontal-relative:page;mso-position-vertical-relative:paragraph;z-index:-15570944;mso-wrap-distance-left:0;mso-wrap-distance-right:0" id="docshapegroup687" coordorigin="1417,240" coordsize="9468,1281">
                <v:shape style="position:absolute;left:1417;top:239;width:9468;height:1281" id="docshape688" coordorigin="1417,240" coordsize="9468,1281" path="m10658,240l1644,240,1572,251,1510,284,1461,333,1429,395,1417,467,1417,1293,1429,1365,1461,1427,1510,1476,1572,1508,1644,1520,10658,1520,10730,1508,10792,1476,10841,1427,10873,1365,10885,1293,10885,467,10873,395,10841,333,10792,284,10730,251,10658,240xe" filled="true" fillcolor="#e9f3fc" stroked="false">
                  <v:path arrowok="t"/>
                  <v:fill type="solid"/>
                </v:shape>
                <v:shape style="position:absolute;left:1417;top:239;width:9468;height:1281" type="#_x0000_t202" id="docshape689" filled="false" stroked="false">
                  <v:textbox inset="0,0,0,0">
                    <w:txbxContent>
                      <w:p>
                        <w:pPr>
                          <w:spacing w:line="232" w:lineRule="auto" w:before="121"/>
                          <w:ind w:left="340" w:right="196" w:firstLine="0"/>
                          <w:jc w:val="left"/>
                          <w:rPr>
                            <w:b/>
                            <w:sz w:val="28"/>
                          </w:rPr>
                        </w:pPr>
                        <w:r>
                          <w:rPr>
                            <w:b/>
                            <w:color w:val="164194"/>
                            <w:sz w:val="28"/>
                          </w:rPr>
                          <w:t>We recommend that the UK Government, NI Executive and relevant departments</w:t>
                        </w:r>
                        <w:r>
                          <w:rPr>
                            <w:b/>
                            <w:color w:val="164194"/>
                            <w:spacing w:val="-4"/>
                            <w:sz w:val="28"/>
                          </w:rPr>
                          <w:t> </w:t>
                        </w:r>
                        <w:r>
                          <w:rPr>
                            <w:b/>
                            <w:color w:val="164194"/>
                            <w:sz w:val="28"/>
                          </w:rPr>
                          <w:t>voluntarily</w:t>
                        </w:r>
                        <w:r>
                          <w:rPr>
                            <w:b/>
                            <w:color w:val="164194"/>
                            <w:spacing w:val="-4"/>
                            <w:sz w:val="28"/>
                          </w:rPr>
                          <w:t> </w:t>
                        </w:r>
                        <w:r>
                          <w:rPr>
                            <w:b/>
                            <w:color w:val="164194"/>
                            <w:sz w:val="28"/>
                          </w:rPr>
                          <w:t>report</w:t>
                        </w:r>
                        <w:r>
                          <w:rPr>
                            <w:b/>
                            <w:color w:val="164194"/>
                            <w:spacing w:val="-4"/>
                            <w:sz w:val="28"/>
                          </w:rPr>
                          <w:t> </w:t>
                        </w:r>
                        <w:r>
                          <w:rPr>
                            <w:b/>
                            <w:color w:val="164194"/>
                            <w:sz w:val="28"/>
                          </w:rPr>
                          <w:t>annually</w:t>
                        </w:r>
                        <w:r>
                          <w:rPr>
                            <w:b/>
                            <w:color w:val="164194"/>
                            <w:spacing w:val="-4"/>
                            <w:sz w:val="28"/>
                          </w:rPr>
                          <w:t> </w:t>
                        </w:r>
                        <w:r>
                          <w:rPr>
                            <w:b/>
                            <w:color w:val="164194"/>
                            <w:sz w:val="28"/>
                          </w:rPr>
                          <w:t>on</w:t>
                        </w:r>
                        <w:r>
                          <w:rPr>
                            <w:b/>
                            <w:color w:val="164194"/>
                            <w:spacing w:val="-4"/>
                            <w:sz w:val="28"/>
                          </w:rPr>
                          <w:t> </w:t>
                        </w:r>
                        <w:r>
                          <w:rPr>
                            <w:b/>
                            <w:color w:val="164194"/>
                            <w:sz w:val="28"/>
                          </w:rPr>
                          <w:t>how</w:t>
                        </w:r>
                        <w:r>
                          <w:rPr>
                            <w:b/>
                            <w:color w:val="164194"/>
                            <w:spacing w:val="-5"/>
                            <w:sz w:val="28"/>
                          </w:rPr>
                          <w:t> </w:t>
                        </w:r>
                        <w:r>
                          <w:rPr>
                            <w:b/>
                            <w:color w:val="164194"/>
                            <w:sz w:val="28"/>
                          </w:rPr>
                          <w:t>asylum</w:t>
                        </w:r>
                        <w:r>
                          <w:rPr>
                            <w:b/>
                            <w:color w:val="164194"/>
                            <w:spacing w:val="-5"/>
                            <w:sz w:val="28"/>
                          </w:rPr>
                          <w:t> </w:t>
                        </w:r>
                        <w:r>
                          <w:rPr>
                            <w:b/>
                            <w:color w:val="164194"/>
                            <w:sz w:val="28"/>
                          </w:rPr>
                          <w:t>and</w:t>
                        </w:r>
                        <w:r>
                          <w:rPr>
                            <w:b/>
                            <w:color w:val="164194"/>
                            <w:spacing w:val="-4"/>
                            <w:sz w:val="28"/>
                          </w:rPr>
                          <w:t> </w:t>
                        </w:r>
                        <w:r>
                          <w:rPr>
                            <w:b/>
                            <w:color w:val="164194"/>
                            <w:sz w:val="28"/>
                          </w:rPr>
                          <w:t>migration policies</w:t>
                        </w:r>
                        <w:r>
                          <w:rPr>
                            <w:b/>
                            <w:color w:val="164194"/>
                            <w:spacing w:val="-3"/>
                            <w:sz w:val="28"/>
                          </w:rPr>
                          <w:t> </w:t>
                        </w:r>
                        <w:r>
                          <w:rPr>
                            <w:b/>
                            <w:color w:val="164194"/>
                            <w:sz w:val="28"/>
                          </w:rPr>
                          <w:t>comply</w:t>
                        </w:r>
                        <w:r>
                          <w:rPr>
                            <w:b/>
                            <w:color w:val="164194"/>
                            <w:spacing w:val="-2"/>
                            <w:sz w:val="28"/>
                          </w:rPr>
                          <w:t> </w:t>
                        </w:r>
                        <w:r>
                          <w:rPr>
                            <w:b/>
                            <w:color w:val="164194"/>
                            <w:sz w:val="28"/>
                          </w:rPr>
                          <w:t>with</w:t>
                        </w:r>
                        <w:r>
                          <w:rPr>
                            <w:b/>
                            <w:color w:val="164194"/>
                            <w:spacing w:val="-3"/>
                            <w:sz w:val="28"/>
                          </w:rPr>
                          <w:t> </w:t>
                        </w:r>
                        <w:r>
                          <w:rPr>
                            <w:b/>
                            <w:color w:val="164194"/>
                            <w:sz w:val="28"/>
                          </w:rPr>
                          <w:t>requirements</w:t>
                        </w:r>
                        <w:r>
                          <w:rPr>
                            <w:b/>
                            <w:color w:val="164194"/>
                            <w:spacing w:val="-2"/>
                            <w:sz w:val="28"/>
                          </w:rPr>
                          <w:t> </w:t>
                        </w:r>
                        <w:r>
                          <w:rPr>
                            <w:b/>
                            <w:color w:val="164194"/>
                            <w:sz w:val="28"/>
                          </w:rPr>
                          <w:t>on</w:t>
                        </w:r>
                        <w:r>
                          <w:rPr>
                            <w:b/>
                            <w:color w:val="164194"/>
                            <w:spacing w:val="-3"/>
                            <w:sz w:val="28"/>
                          </w:rPr>
                          <w:t> </w:t>
                        </w:r>
                        <w:r>
                          <w:rPr>
                            <w:b/>
                            <w:color w:val="164194"/>
                            <w:sz w:val="28"/>
                          </w:rPr>
                          <w:t>equality</w:t>
                        </w:r>
                        <w:r>
                          <w:rPr>
                            <w:b/>
                            <w:color w:val="164194"/>
                            <w:spacing w:val="-2"/>
                            <w:sz w:val="28"/>
                          </w:rPr>
                          <w:t> </w:t>
                        </w:r>
                        <w:r>
                          <w:rPr>
                            <w:b/>
                            <w:color w:val="164194"/>
                            <w:sz w:val="28"/>
                          </w:rPr>
                          <w:t>and</w:t>
                        </w:r>
                        <w:r>
                          <w:rPr>
                            <w:b/>
                            <w:color w:val="164194"/>
                            <w:spacing w:val="-2"/>
                            <w:sz w:val="28"/>
                          </w:rPr>
                          <w:t> </w:t>
                        </w:r>
                        <w:r>
                          <w:rPr>
                            <w:b/>
                            <w:color w:val="164194"/>
                            <w:sz w:val="28"/>
                          </w:rPr>
                          <w:t>non-</w:t>
                        </w:r>
                        <w:r>
                          <w:rPr>
                            <w:b/>
                            <w:color w:val="164194"/>
                            <w:spacing w:val="-2"/>
                            <w:sz w:val="28"/>
                          </w:rPr>
                          <w:t>discrimination.</w:t>
                        </w:r>
                      </w:p>
                    </w:txbxContent>
                  </v:textbox>
                  <w10:wrap type="none"/>
                </v:shape>
                <w10:wrap type="topAndBottom"/>
              </v:group>
            </w:pict>
          </mc:Fallback>
        </mc:AlternateContent>
      </w:r>
    </w:p>
    <w:p>
      <w:pPr>
        <w:pStyle w:val="ListParagraph"/>
        <w:numPr>
          <w:ilvl w:val="3"/>
          <w:numId w:val="33"/>
        </w:numPr>
        <w:tabs>
          <w:tab w:pos="1960" w:val="left" w:leader="none"/>
        </w:tabs>
        <w:spacing w:line="336" w:lineRule="exact" w:before="315" w:after="0"/>
        <w:ind w:left="1960" w:right="0" w:hanging="843"/>
        <w:jc w:val="left"/>
        <w:rPr>
          <w:sz w:val="28"/>
        </w:rPr>
      </w:pPr>
      <w:r>
        <w:rPr>
          <w:color w:val="004A93"/>
          <w:sz w:val="28"/>
        </w:rPr>
        <w:t>EU</w:t>
      </w:r>
      <w:r>
        <w:rPr>
          <w:color w:val="004A93"/>
          <w:spacing w:val="-9"/>
          <w:sz w:val="28"/>
        </w:rPr>
        <w:t> </w:t>
      </w:r>
      <w:r>
        <w:rPr>
          <w:color w:val="004A93"/>
          <w:sz w:val="28"/>
        </w:rPr>
        <w:t>legislation</w:t>
      </w:r>
      <w:r>
        <w:rPr>
          <w:color w:val="004A93"/>
          <w:spacing w:val="-9"/>
          <w:sz w:val="28"/>
        </w:rPr>
        <w:t> </w:t>
      </w:r>
      <w:r>
        <w:rPr>
          <w:color w:val="004A93"/>
          <w:sz w:val="28"/>
        </w:rPr>
        <w:t>regarding</w:t>
      </w:r>
      <w:r>
        <w:rPr>
          <w:color w:val="004A93"/>
          <w:spacing w:val="-9"/>
          <w:sz w:val="28"/>
        </w:rPr>
        <w:t> </w:t>
      </w:r>
      <w:r>
        <w:rPr>
          <w:color w:val="004A93"/>
          <w:sz w:val="28"/>
        </w:rPr>
        <w:t>justice</w:t>
      </w:r>
      <w:r>
        <w:rPr>
          <w:color w:val="004A93"/>
          <w:spacing w:val="-8"/>
          <w:sz w:val="28"/>
        </w:rPr>
        <w:t> </w:t>
      </w:r>
      <w:r>
        <w:rPr>
          <w:color w:val="004A93"/>
          <w:spacing w:val="-2"/>
          <w:sz w:val="28"/>
        </w:rPr>
        <w:t>systems</w:t>
      </w:r>
    </w:p>
    <w:p>
      <w:pPr>
        <w:pStyle w:val="BodyText"/>
        <w:spacing w:line="232" w:lineRule="auto" w:before="2"/>
        <w:ind w:left="1117" w:right="738"/>
      </w:pPr>
      <w:r>
        <w:rPr/>
        <w:t>Under the recently passed Directive 2024/1226, states are bound to recognise the violation of EU restrictive measures as criminal offences, subject to penalties (EU restrictive</w:t>
      </w:r>
      <w:r>
        <w:rPr>
          <w:spacing w:val="-7"/>
        </w:rPr>
        <w:t> </w:t>
      </w:r>
      <w:r>
        <w:rPr/>
        <w:t>measures</w:t>
      </w:r>
      <w:r>
        <w:rPr>
          <w:spacing w:val="-8"/>
        </w:rPr>
        <w:t> </w:t>
      </w:r>
      <w:r>
        <w:rPr/>
        <w:t>are</w:t>
      </w:r>
      <w:r>
        <w:rPr>
          <w:spacing w:val="-7"/>
        </w:rPr>
        <w:t> </w:t>
      </w:r>
      <w:r>
        <w:rPr/>
        <w:t>usually</w:t>
      </w:r>
      <w:r>
        <w:rPr>
          <w:spacing w:val="-7"/>
        </w:rPr>
        <w:t> </w:t>
      </w:r>
      <w:r>
        <w:rPr/>
        <w:t>taken</w:t>
      </w:r>
      <w:r>
        <w:rPr>
          <w:spacing w:val="-8"/>
        </w:rPr>
        <w:t> </w:t>
      </w:r>
      <w:r>
        <w:rPr/>
        <w:t>against</w:t>
      </w:r>
      <w:r>
        <w:rPr>
          <w:spacing w:val="-7"/>
        </w:rPr>
        <w:t> </w:t>
      </w:r>
      <w:r>
        <w:rPr/>
        <w:t>non-EU</w:t>
      </w:r>
      <w:r>
        <w:rPr>
          <w:spacing w:val="-7"/>
        </w:rPr>
        <w:t> </w:t>
      </w:r>
      <w:r>
        <w:rPr/>
        <w:t>countries,</w:t>
      </w:r>
      <w:r>
        <w:rPr>
          <w:spacing w:val="-7"/>
        </w:rPr>
        <w:t> </w:t>
      </w:r>
      <w:r>
        <w:rPr/>
        <w:t>entities</w:t>
      </w:r>
      <w:r>
        <w:rPr>
          <w:spacing w:val="-8"/>
        </w:rPr>
        <w:t> </w:t>
      </w:r>
      <w:r>
        <w:rPr/>
        <w:t>or</w:t>
      </w:r>
      <w:r>
        <w:rPr>
          <w:spacing w:val="-7"/>
        </w:rPr>
        <w:t> </w:t>
      </w:r>
      <w:r>
        <w:rPr/>
        <w:t>persons to</w:t>
      </w:r>
      <w:r>
        <w:rPr>
          <w:spacing w:val="-9"/>
        </w:rPr>
        <w:t> </w:t>
      </w:r>
      <w:r>
        <w:rPr/>
        <w:t>promote</w:t>
      </w:r>
      <w:r>
        <w:rPr>
          <w:spacing w:val="-8"/>
        </w:rPr>
        <w:t> </w:t>
      </w:r>
      <w:r>
        <w:rPr/>
        <w:t>EU</w:t>
      </w:r>
      <w:r>
        <w:rPr>
          <w:spacing w:val="-8"/>
        </w:rPr>
        <w:t> </w:t>
      </w:r>
      <w:r>
        <w:rPr/>
        <w:t>values</w:t>
      </w:r>
      <w:r>
        <w:rPr>
          <w:spacing w:val="-9"/>
        </w:rPr>
        <w:t> </w:t>
      </w:r>
      <w:r>
        <w:rPr/>
        <w:t>such</w:t>
      </w:r>
      <w:r>
        <w:rPr>
          <w:spacing w:val="-9"/>
        </w:rPr>
        <w:t> </w:t>
      </w:r>
      <w:r>
        <w:rPr/>
        <w:t>as</w:t>
      </w:r>
      <w:r>
        <w:rPr>
          <w:spacing w:val="-9"/>
        </w:rPr>
        <w:t> </w:t>
      </w:r>
      <w:r>
        <w:rPr/>
        <w:t>international</w:t>
      </w:r>
      <w:r>
        <w:rPr>
          <w:spacing w:val="-9"/>
        </w:rPr>
        <w:t> </w:t>
      </w:r>
      <w:r>
        <w:rPr/>
        <w:t>peace</w:t>
      </w:r>
      <w:r>
        <w:rPr>
          <w:spacing w:val="-8"/>
        </w:rPr>
        <w:t> </w:t>
      </w:r>
      <w:r>
        <w:rPr/>
        <w:t>and</w:t>
      </w:r>
      <w:r>
        <w:rPr>
          <w:spacing w:val="-9"/>
        </w:rPr>
        <w:t> </w:t>
      </w:r>
      <w:r>
        <w:rPr/>
        <w:t>security,</w:t>
      </w:r>
      <w:r>
        <w:rPr>
          <w:spacing w:val="-8"/>
        </w:rPr>
        <w:t> </w:t>
      </w:r>
      <w:r>
        <w:rPr/>
        <w:t>democracy,</w:t>
      </w:r>
      <w:r>
        <w:rPr>
          <w:spacing w:val="-8"/>
        </w:rPr>
        <w:t> </w:t>
      </w:r>
      <w:r>
        <w:rPr/>
        <w:t>the</w:t>
      </w:r>
      <w:r>
        <w:rPr>
          <w:spacing w:val="-8"/>
        </w:rPr>
        <w:t> </w:t>
      </w:r>
      <w:r>
        <w:rPr/>
        <w:t>rule of</w:t>
      </w:r>
      <w:r>
        <w:rPr>
          <w:spacing w:val="-5"/>
        </w:rPr>
        <w:t> </w:t>
      </w:r>
      <w:r>
        <w:rPr/>
        <w:t>law</w:t>
      </w:r>
      <w:r>
        <w:rPr>
          <w:spacing w:val="-4"/>
        </w:rPr>
        <w:t> </w:t>
      </w:r>
      <w:r>
        <w:rPr/>
        <w:t>and</w:t>
      </w:r>
      <w:r>
        <w:rPr>
          <w:spacing w:val="-5"/>
        </w:rPr>
        <w:t> </w:t>
      </w:r>
      <w:r>
        <w:rPr/>
        <w:t>human</w:t>
      </w:r>
      <w:r>
        <w:rPr>
          <w:spacing w:val="-5"/>
        </w:rPr>
        <w:t> </w:t>
      </w:r>
      <w:r>
        <w:rPr/>
        <w:t>rights.</w:t>
      </w:r>
      <w:r>
        <w:rPr>
          <w:spacing w:val="-5"/>
        </w:rPr>
        <w:t> </w:t>
      </w:r>
      <w:r>
        <w:rPr/>
        <w:t>They</w:t>
      </w:r>
      <w:r>
        <w:rPr>
          <w:spacing w:val="-4"/>
        </w:rPr>
        <w:t> </w:t>
      </w:r>
      <w:r>
        <w:rPr/>
        <w:t>consist</w:t>
      </w:r>
      <w:r>
        <w:rPr>
          <w:spacing w:val="-4"/>
        </w:rPr>
        <w:t> </w:t>
      </w:r>
      <w:r>
        <w:rPr/>
        <w:t>in</w:t>
      </w:r>
      <w:r>
        <w:rPr>
          <w:spacing w:val="-5"/>
        </w:rPr>
        <w:t> </w:t>
      </w:r>
      <w:r>
        <w:rPr/>
        <w:t>targeted</w:t>
      </w:r>
      <w:r>
        <w:rPr>
          <w:spacing w:val="-5"/>
        </w:rPr>
        <w:t> </w:t>
      </w:r>
      <w:r>
        <w:rPr/>
        <w:t>financial</w:t>
      </w:r>
      <w:r>
        <w:rPr>
          <w:spacing w:val="-5"/>
        </w:rPr>
        <w:t> </w:t>
      </w:r>
      <w:r>
        <w:rPr/>
        <w:t>sanctions</w:t>
      </w:r>
      <w:r>
        <w:rPr>
          <w:spacing w:val="-5"/>
        </w:rPr>
        <w:t> </w:t>
      </w:r>
      <w:r>
        <w:rPr/>
        <w:t>–</w:t>
      </w:r>
      <w:r>
        <w:rPr>
          <w:spacing w:val="-5"/>
        </w:rPr>
        <w:t> </w:t>
      </w:r>
      <w:r>
        <w:rPr/>
        <w:t>that</w:t>
      </w:r>
      <w:r>
        <w:rPr>
          <w:spacing w:val="-4"/>
        </w:rPr>
        <w:t> </w:t>
      </w:r>
      <w:r>
        <w:rPr/>
        <w:t>is,</w:t>
      </w:r>
      <w:r>
        <w:rPr>
          <w:spacing w:val="-4"/>
        </w:rPr>
        <w:t> </w:t>
      </w:r>
      <w:r>
        <w:rPr/>
        <w:t>asset freezes; restrictions on admissions – that is, travel bans; and sectoral measures –</w:t>
      </w:r>
    </w:p>
    <w:p>
      <w:pPr>
        <w:pStyle w:val="BodyText"/>
        <w:spacing w:line="232" w:lineRule="auto"/>
        <w:ind w:left="1117"/>
      </w:pPr>
      <w:r>
        <w:rPr/>
        <w:t>.e.,</w:t>
      </w:r>
      <w:r>
        <w:rPr>
          <w:spacing w:val="-8"/>
        </w:rPr>
        <w:t> </w:t>
      </w:r>
      <w:r>
        <w:rPr/>
        <w:t>arms</w:t>
      </w:r>
      <w:r>
        <w:rPr>
          <w:spacing w:val="-8"/>
        </w:rPr>
        <w:t> </w:t>
      </w:r>
      <w:r>
        <w:rPr/>
        <w:t>embargoes</w:t>
      </w:r>
      <w:r>
        <w:rPr>
          <w:spacing w:val="-8"/>
        </w:rPr>
        <w:t> </w:t>
      </w:r>
      <w:r>
        <w:rPr/>
        <w:t>or</w:t>
      </w:r>
      <w:r>
        <w:rPr>
          <w:spacing w:val="-8"/>
        </w:rPr>
        <w:t> </w:t>
      </w:r>
      <w:r>
        <w:rPr/>
        <w:t>economic</w:t>
      </w:r>
      <w:r>
        <w:rPr>
          <w:spacing w:val="-8"/>
        </w:rPr>
        <w:t> </w:t>
      </w:r>
      <w:r>
        <w:rPr/>
        <w:t>and</w:t>
      </w:r>
      <w:r>
        <w:rPr>
          <w:spacing w:val="-8"/>
        </w:rPr>
        <w:t> </w:t>
      </w:r>
      <w:r>
        <w:rPr/>
        <w:t>financial</w:t>
      </w:r>
      <w:r>
        <w:rPr>
          <w:spacing w:val="-8"/>
        </w:rPr>
        <w:t> </w:t>
      </w:r>
      <w:r>
        <w:rPr/>
        <w:t>measures).</w:t>
      </w:r>
      <w:r>
        <w:rPr>
          <w:vertAlign w:val="superscript"/>
        </w:rPr>
        <w:t>494</w:t>
      </w:r>
      <w:r>
        <w:rPr>
          <w:spacing w:val="-8"/>
          <w:vertAlign w:val="baseline"/>
        </w:rPr>
        <w:t> </w:t>
      </w:r>
      <w:r>
        <w:rPr>
          <w:vertAlign w:val="baseline"/>
        </w:rPr>
        <w:t>The</w:t>
      </w:r>
      <w:r>
        <w:rPr>
          <w:spacing w:val="-8"/>
          <w:vertAlign w:val="baseline"/>
        </w:rPr>
        <w:t> </w:t>
      </w:r>
      <w:r>
        <w:rPr>
          <w:vertAlign w:val="baseline"/>
        </w:rPr>
        <w:t>directive</w:t>
      </w:r>
      <w:r>
        <w:rPr>
          <w:spacing w:val="-8"/>
          <w:vertAlign w:val="baseline"/>
        </w:rPr>
        <w:t> </w:t>
      </w:r>
      <w:r>
        <w:rPr>
          <w:vertAlign w:val="baseline"/>
        </w:rPr>
        <w:t>must</w:t>
      </w:r>
      <w:r>
        <w:rPr>
          <w:spacing w:val="-8"/>
          <w:vertAlign w:val="baseline"/>
        </w:rPr>
        <w:t> </w:t>
      </w:r>
      <w:r>
        <w:rPr>
          <w:vertAlign w:val="baseline"/>
        </w:rPr>
        <w:t>be transposed by 20 May 2025.</w:t>
      </w:r>
      <w:r>
        <w:rPr>
          <w:vertAlign w:val="superscript"/>
        </w:rPr>
        <w:t>495</w:t>
      </w:r>
    </w:p>
    <w:p>
      <w:pPr>
        <w:pStyle w:val="BodyText"/>
        <w:spacing w:line="232" w:lineRule="auto" w:before="243"/>
        <w:ind w:left="1117" w:right="428"/>
      </w:pPr>
      <w:r>
        <w:rPr/>
        <w:t>EU</w:t>
      </w:r>
      <w:r>
        <w:rPr>
          <w:spacing w:val="-5"/>
        </w:rPr>
        <w:t> </w:t>
      </w:r>
      <w:r>
        <w:rPr/>
        <w:t>law</w:t>
      </w:r>
      <w:r>
        <w:rPr>
          <w:spacing w:val="-5"/>
        </w:rPr>
        <w:t> </w:t>
      </w:r>
      <w:r>
        <w:rPr/>
        <w:t>on</w:t>
      </w:r>
      <w:r>
        <w:rPr>
          <w:spacing w:val="-6"/>
        </w:rPr>
        <w:t> </w:t>
      </w:r>
      <w:r>
        <w:rPr/>
        <w:t>Member</w:t>
      </w:r>
      <w:r>
        <w:rPr>
          <w:spacing w:val="-5"/>
        </w:rPr>
        <w:t> </w:t>
      </w:r>
      <w:r>
        <w:rPr/>
        <w:t>States’</w:t>
      </w:r>
      <w:r>
        <w:rPr>
          <w:spacing w:val="-5"/>
        </w:rPr>
        <w:t> </w:t>
      </w:r>
      <w:r>
        <w:rPr/>
        <w:t>justice</w:t>
      </w:r>
      <w:r>
        <w:rPr>
          <w:spacing w:val="-5"/>
        </w:rPr>
        <w:t> </w:t>
      </w:r>
      <w:r>
        <w:rPr/>
        <w:t>systems</w:t>
      </w:r>
      <w:r>
        <w:rPr>
          <w:spacing w:val="-6"/>
        </w:rPr>
        <w:t> </w:t>
      </w:r>
      <w:r>
        <w:rPr/>
        <w:t>will</w:t>
      </w:r>
      <w:r>
        <w:rPr>
          <w:spacing w:val="-6"/>
        </w:rPr>
        <w:t> </w:t>
      </w:r>
      <w:r>
        <w:rPr/>
        <w:t>soon</w:t>
      </w:r>
      <w:r>
        <w:rPr>
          <w:spacing w:val="-6"/>
        </w:rPr>
        <w:t> </w:t>
      </w:r>
      <w:r>
        <w:rPr/>
        <w:t>be</w:t>
      </w:r>
      <w:r>
        <w:rPr>
          <w:spacing w:val="-5"/>
        </w:rPr>
        <w:t> </w:t>
      </w:r>
      <w:r>
        <w:rPr/>
        <w:t>amended</w:t>
      </w:r>
      <w:r>
        <w:rPr>
          <w:spacing w:val="-6"/>
        </w:rPr>
        <w:t> </w:t>
      </w:r>
      <w:r>
        <w:rPr/>
        <w:t>in</w:t>
      </w:r>
      <w:r>
        <w:rPr>
          <w:spacing w:val="-6"/>
        </w:rPr>
        <w:t> </w:t>
      </w:r>
      <w:r>
        <w:rPr/>
        <w:t>various</w:t>
      </w:r>
      <w:r>
        <w:rPr>
          <w:spacing w:val="-6"/>
        </w:rPr>
        <w:t> </w:t>
      </w:r>
      <w:r>
        <w:rPr/>
        <w:t>respects, with several substantial legal standards worth noting in this report.</w:t>
      </w:r>
    </w:p>
    <w:p>
      <w:pPr>
        <w:pStyle w:val="ListParagraph"/>
        <w:numPr>
          <w:ilvl w:val="4"/>
          <w:numId w:val="33"/>
        </w:numPr>
        <w:tabs>
          <w:tab w:pos="1457" w:val="left" w:leader="none"/>
        </w:tabs>
        <w:spacing w:line="232" w:lineRule="auto" w:before="238" w:after="0"/>
        <w:ind w:left="1457" w:right="741" w:hanging="341"/>
        <w:jc w:val="left"/>
        <w:rPr>
          <w:sz w:val="28"/>
        </w:rPr>
      </w:pPr>
      <w:r>
        <w:rPr>
          <w:sz w:val="28"/>
        </w:rPr>
        <w:t>States</w:t>
      </w:r>
      <w:r>
        <w:rPr>
          <w:spacing w:val="-7"/>
          <w:sz w:val="28"/>
        </w:rPr>
        <w:t> </w:t>
      </w:r>
      <w:r>
        <w:rPr>
          <w:sz w:val="28"/>
        </w:rPr>
        <w:t>may</w:t>
      </w:r>
      <w:r>
        <w:rPr>
          <w:spacing w:val="-6"/>
          <w:sz w:val="28"/>
        </w:rPr>
        <w:t> </w:t>
      </w:r>
      <w:r>
        <w:rPr>
          <w:sz w:val="28"/>
        </w:rPr>
        <w:t>soon</w:t>
      </w:r>
      <w:r>
        <w:rPr>
          <w:spacing w:val="-7"/>
          <w:sz w:val="28"/>
        </w:rPr>
        <w:t> </w:t>
      </w:r>
      <w:r>
        <w:rPr>
          <w:sz w:val="28"/>
        </w:rPr>
        <w:t>be</w:t>
      </w:r>
      <w:r>
        <w:rPr>
          <w:spacing w:val="-6"/>
          <w:sz w:val="28"/>
        </w:rPr>
        <w:t> </w:t>
      </w:r>
      <w:r>
        <w:rPr>
          <w:sz w:val="28"/>
        </w:rPr>
        <w:t>bound</w:t>
      </w:r>
      <w:r>
        <w:rPr>
          <w:spacing w:val="-7"/>
          <w:sz w:val="28"/>
        </w:rPr>
        <w:t> </w:t>
      </w:r>
      <w:r>
        <w:rPr>
          <w:sz w:val="28"/>
        </w:rPr>
        <w:t>to</w:t>
      </w:r>
      <w:r>
        <w:rPr>
          <w:spacing w:val="-7"/>
          <w:sz w:val="28"/>
        </w:rPr>
        <w:t> </w:t>
      </w:r>
      <w:r>
        <w:rPr>
          <w:sz w:val="28"/>
        </w:rPr>
        <w:t>protect</w:t>
      </w:r>
      <w:r>
        <w:rPr>
          <w:spacing w:val="-6"/>
          <w:sz w:val="28"/>
        </w:rPr>
        <w:t> </w:t>
      </w:r>
      <w:r>
        <w:rPr>
          <w:sz w:val="28"/>
        </w:rPr>
        <w:t>persons</w:t>
      </w:r>
      <w:r>
        <w:rPr>
          <w:spacing w:val="-7"/>
          <w:sz w:val="28"/>
        </w:rPr>
        <w:t> </w:t>
      </w:r>
      <w:r>
        <w:rPr>
          <w:sz w:val="28"/>
        </w:rPr>
        <w:t>who</w:t>
      </w:r>
      <w:r>
        <w:rPr>
          <w:spacing w:val="-7"/>
          <w:sz w:val="28"/>
        </w:rPr>
        <w:t> </w:t>
      </w:r>
      <w:r>
        <w:rPr>
          <w:sz w:val="28"/>
        </w:rPr>
        <w:t>engage</w:t>
      </w:r>
      <w:r>
        <w:rPr>
          <w:spacing w:val="-6"/>
          <w:sz w:val="28"/>
        </w:rPr>
        <w:t> </w:t>
      </w:r>
      <w:r>
        <w:rPr>
          <w:sz w:val="28"/>
        </w:rPr>
        <w:t>in</w:t>
      </w:r>
      <w:r>
        <w:rPr>
          <w:spacing w:val="-7"/>
          <w:sz w:val="28"/>
        </w:rPr>
        <w:t> </w:t>
      </w:r>
      <w:r>
        <w:rPr>
          <w:sz w:val="28"/>
        </w:rPr>
        <w:t>public</w:t>
      </w:r>
      <w:r>
        <w:rPr>
          <w:spacing w:val="-6"/>
          <w:sz w:val="28"/>
        </w:rPr>
        <w:t> </w:t>
      </w:r>
      <w:r>
        <w:rPr>
          <w:sz w:val="28"/>
        </w:rPr>
        <w:t>participation from manifestly unfounded or abusive court proceedings participation (these usually target journalists and human rights defenders and are often initiated</w:t>
      </w:r>
    </w:p>
    <w:p>
      <w:pPr>
        <w:pStyle w:val="BodyText"/>
        <w:spacing w:line="232" w:lineRule="auto"/>
        <w:ind w:left="1457" w:right="738"/>
      </w:pPr>
      <w:r>
        <w:rPr/>
        <w:t>by</w:t>
      </w:r>
      <w:r>
        <w:rPr>
          <w:spacing w:val="-7"/>
        </w:rPr>
        <w:t> </w:t>
      </w:r>
      <w:r>
        <w:rPr/>
        <w:t>powerful</w:t>
      </w:r>
      <w:r>
        <w:rPr>
          <w:spacing w:val="-8"/>
        </w:rPr>
        <w:t> </w:t>
      </w:r>
      <w:r>
        <w:rPr/>
        <w:t>individuals,</w:t>
      </w:r>
      <w:r>
        <w:rPr>
          <w:spacing w:val="-7"/>
        </w:rPr>
        <w:t> </w:t>
      </w:r>
      <w:r>
        <w:rPr/>
        <w:t>lobby</w:t>
      </w:r>
      <w:r>
        <w:rPr>
          <w:spacing w:val="-7"/>
        </w:rPr>
        <w:t> </w:t>
      </w:r>
      <w:r>
        <w:rPr/>
        <w:t>groups,</w:t>
      </w:r>
      <w:r>
        <w:rPr>
          <w:spacing w:val="-7"/>
        </w:rPr>
        <w:t> </w:t>
      </w:r>
      <w:r>
        <w:rPr/>
        <w:t>corporations</w:t>
      </w:r>
      <w:r>
        <w:rPr>
          <w:spacing w:val="-8"/>
        </w:rPr>
        <w:t> </w:t>
      </w:r>
      <w:r>
        <w:rPr/>
        <w:t>and</w:t>
      </w:r>
      <w:r>
        <w:rPr>
          <w:spacing w:val="-8"/>
        </w:rPr>
        <w:t> </w:t>
      </w:r>
      <w:r>
        <w:rPr/>
        <w:t>state</w:t>
      </w:r>
      <w:r>
        <w:rPr>
          <w:spacing w:val="-7"/>
        </w:rPr>
        <w:t> </w:t>
      </w:r>
      <w:r>
        <w:rPr/>
        <w:t>organs</w:t>
      </w:r>
      <w:r>
        <w:rPr>
          <w:spacing w:val="-8"/>
        </w:rPr>
        <w:t> </w:t>
      </w:r>
      <w:r>
        <w:rPr/>
        <w:t>in</w:t>
      </w:r>
      <w:r>
        <w:rPr>
          <w:spacing w:val="-8"/>
        </w:rPr>
        <w:t> </w:t>
      </w:r>
      <w:r>
        <w:rPr/>
        <w:t>order</w:t>
      </w:r>
      <w:r>
        <w:rPr>
          <w:spacing w:val="-7"/>
        </w:rPr>
        <w:t> </w:t>
      </w:r>
      <w:r>
        <w:rPr/>
        <w:t>to censor, intimidate and silence critics).</w:t>
      </w:r>
      <w:r>
        <w:rPr>
          <w:vertAlign w:val="superscript"/>
        </w:rPr>
        <w:t>496</w:t>
      </w:r>
    </w:p>
    <w:p>
      <w:pPr>
        <w:pStyle w:val="BodyText"/>
        <w:spacing w:before="2"/>
        <w:rPr>
          <w:sz w:val="7"/>
        </w:rPr>
      </w:pPr>
      <w:r>
        <w:rPr/>
        <mc:AlternateContent>
          <mc:Choice Requires="wps">
            <w:drawing>
              <wp:anchor distT="0" distB="0" distL="0" distR="0" allowOverlap="1" layoutInCell="1" locked="0" behindDoc="1" simplePos="0" relativeHeight="487746048">
                <wp:simplePos x="0" y="0"/>
                <wp:positionH relativeFrom="page">
                  <wp:posOffset>899999</wp:posOffset>
                </wp:positionH>
                <wp:positionV relativeFrom="paragraph">
                  <wp:posOffset>71376</wp:posOffset>
                </wp:positionV>
                <wp:extent cx="6012180" cy="1270"/>
                <wp:effectExtent l="0" t="0" r="0" b="0"/>
                <wp:wrapTopAndBottom/>
                <wp:docPr id="841" name="Graphic 841"/>
                <wp:cNvGraphicFramePr>
                  <a:graphicFrameLocks/>
                </wp:cNvGraphicFramePr>
                <a:graphic>
                  <a:graphicData uri="http://schemas.microsoft.com/office/word/2010/wordprocessingShape">
                    <wps:wsp>
                      <wps:cNvPr id="841" name="Graphic 84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5.620194pt;width:473.4pt;height:.1pt;mso-position-horizontal-relative:page;mso-position-vertical-relative:paragraph;z-index:-15570432;mso-wrap-distance-left:0;mso-wrap-distance-right:0" id="docshape690" coordorigin="1417,112" coordsize="9468,0" path="m1417,112l10885,112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885" w:hanging="567"/>
        <w:jc w:val="left"/>
        <w:rPr>
          <w:sz w:val="18"/>
        </w:rPr>
      </w:pPr>
      <w:r>
        <w:rPr>
          <w:color w:val="1D71B8"/>
          <w:sz w:val="18"/>
          <w:u w:val="single" w:color="1D71B8"/>
        </w:rPr>
        <w:t>EU Commission Implementing Regulation 2023/169</w:t>
      </w:r>
      <w:r>
        <w:rPr>
          <w:color w:val="1D71B8"/>
          <w:sz w:val="18"/>
          <w:u w:val="none"/>
        </w:rPr>
        <w:t> </w:t>
      </w:r>
      <w:r>
        <w:rPr>
          <w:sz w:val="18"/>
          <w:u w:val="none"/>
        </w:rPr>
        <w:t>of 25 January 2023 establishing the template for the annual performance reports on the Asylum, Migration and Integration Fund for the 2021-2027 programming period, pursuant to</w:t>
      </w:r>
      <w:r>
        <w:rPr>
          <w:spacing w:val="-5"/>
          <w:sz w:val="18"/>
          <w:u w:val="none"/>
        </w:rPr>
        <w:t> </w:t>
      </w:r>
      <w:r>
        <w:rPr>
          <w:sz w:val="18"/>
          <w:u w:val="none"/>
        </w:rPr>
        <w:t>EU</w:t>
      </w:r>
      <w:r>
        <w:rPr>
          <w:spacing w:val="-4"/>
          <w:sz w:val="18"/>
          <w:u w:val="none"/>
        </w:rPr>
        <w:t> </w:t>
      </w:r>
      <w:r>
        <w:rPr>
          <w:sz w:val="18"/>
          <w:u w:val="none"/>
        </w:rPr>
        <w:t>Regulation</w:t>
      </w:r>
      <w:r>
        <w:rPr>
          <w:spacing w:val="-5"/>
          <w:sz w:val="18"/>
          <w:u w:val="none"/>
        </w:rPr>
        <w:t> </w:t>
      </w:r>
      <w:r>
        <w:rPr>
          <w:sz w:val="18"/>
          <w:u w:val="none"/>
        </w:rPr>
        <w:t>2021/1147</w:t>
      </w:r>
      <w:r>
        <w:rPr>
          <w:spacing w:val="-4"/>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European</w:t>
      </w:r>
      <w:r>
        <w:rPr>
          <w:spacing w:val="-5"/>
          <w:sz w:val="18"/>
          <w:u w:val="none"/>
        </w:rPr>
        <w:t> </w:t>
      </w:r>
      <w:r>
        <w:rPr>
          <w:sz w:val="18"/>
          <w:u w:val="none"/>
        </w:rPr>
        <w:t>Parliament</w:t>
      </w:r>
      <w:r>
        <w:rPr>
          <w:spacing w:val="-4"/>
          <w:sz w:val="18"/>
          <w:u w:val="none"/>
        </w:rPr>
        <w:t> </w:t>
      </w:r>
      <w:r>
        <w:rPr>
          <w:sz w:val="18"/>
          <w:u w:val="none"/>
        </w:rPr>
        <w:t>and</w:t>
      </w:r>
      <w:r>
        <w:rPr>
          <w:spacing w:val="-5"/>
          <w:sz w:val="18"/>
          <w:u w:val="none"/>
        </w:rPr>
        <w:t> </w:t>
      </w:r>
      <w:r>
        <w:rPr>
          <w:sz w:val="18"/>
          <w:u w:val="none"/>
        </w:rPr>
        <w:t>of</w:t>
      </w:r>
      <w:r>
        <w:rPr>
          <w:spacing w:val="-5"/>
          <w:sz w:val="18"/>
          <w:u w:val="none"/>
        </w:rPr>
        <w:t> </w:t>
      </w:r>
      <w:r>
        <w:rPr>
          <w:sz w:val="18"/>
          <w:u w:val="none"/>
        </w:rPr>
        <w:t>the</w:t>
      </w:r>
      <w:r>
        <w:rPr>
          <w:spacing w:val="-4"/>
          <w:sz w:val="18"/>
          <w:u w:val="none"/>
        </w:rPr>
        <w:t> </w:t>
      </w:r>
      <w:r>
        <w:rPr>
          <w:sz w:val="18"/>
          <w:u w:val="none"/>
        </w:rPr>
        <w:t>Council,</w:t>
      </w:r>
      <w:r>
        <w:rPr>
          <w:spacing w:val="-4"/>
          <w:sz w:val="18"/>
          <w:u w:val="none"/>
        </w:rPr>
        <w:t> </w:t>
      </w:r>
      <w:r>
        <w:rPr>
          <w:sz w:val="18"/>
          <w:u w:val="none"/>
        </w:rPr>
        <w:t>Annex,</w:t>
      </w:r>
      <w:r>
        <w:rPr>
          <w:spacing w:val="-4"/>
          <w:sz w:val="18"/>
          <w:u w:val="none"/>
        </w:rPr>
        <w:t> </w:t>
      </w:r>
      <w:r>
        <w:rPr>
          <w:sz w:val="18"/>
          <w:u w:val="none"/>
        </w:rPr>
        <w:t>Item</w:t>
      </w:r>
      <w:r>
        <w:rPr>
          <w:spacing w:val="-4"/>
          <w:sz w:val="18"/>
          <w:u w:val="none"/>
        </w:rPr>
        <w:t> </w:t>
      </w:r>
      <w:r>
        <w:rPr>
          <w:sz w:val="18"/>
          <w:u w:val="none"/>
        </w:rPr>
        <w:t>5.2.</w:t>
      </w:r>
      <w:r>
        <w:rPr>
          <w:spacing w:val="-5"/>
          <w:sz w:val="18"/>
          <w:u w:val="none"/>
        </w:rPr>
        <w:t> </w:t>
      </w:r>
      <w:hyperlink r:id="rId153">
        <w:r>
          <w:rPr>
            <w:color w:val="1D71B8"/>
            <w:sz w:val="18"/>
            <w:u w:val="single" w:color="1D71B8"/>
          </w:rPr>
          <w:t>Commission</w:t>
        </w:r>
        <w:r>
          <w:rPr>
            <w:color w:val="1D71B8"/>
            <w:spacing w:val="-5"/>
            <w:sz w:val="18"/>
            <w:u w:val="single" w:color="1D71B8"/>
          </w:rPr>
          <w:t> </w:t>
        </w:r>
        <w:r>
          <w:rPr>
            <w:color w:val="1D71B8"/>
            <w:sz w:val="18"/>
            <w:u w:val="single" w:color="1D71B8"/>
          </w:rPr>
          <w:t>Implementing</w:t>
        </w:r>
      </w:hyperlink>
    </w:p>
    <w:p>
      <w:pPr>
        <w:spacing w:before="1"/>
        <w:ind w:left="1684" w:right="790" w:firstLine="0"/>
        <w:jc w:val="both"/>
        <w:rPr>
          <w:sz w:val="18"/>
        </w:rPr>
      </w:pPr>
      <w:hyperlink r:id="rId153">
        <w:r>
          <w:rPr>
            <w:color w:val="1D71B8"/>
            <w:sz w:val="18"/>
            <w:u w:val="single" w:color="1D71B8"/>
          </w:rPr>
          <w:t>EU</w:t>
        </w:r>
        <w:r>
          <w:rPr>
            <w:color w:val="1D71B8"/>
            <w:spacing w:val="-4"/>
            <w:sz w:val="18"/>
            <w:u w:val="single" w:color="1D71B8"/>
          </w:rPr>
          <w:t> </w:t>
        </w:r>
        <w:r>
          <w:rPr>
            <w:color w:val="1D71B8"/>
            <w:sz w:val="18"/>
            <w:u w:val="single" w:color="1D71B8"/>
          </w:rPr>
          <w:t>Regulation</w:t>
        </w:r>
        <w:r>
          <w:rPr>
            <w:color w:val="1D71B8"/>
            <w:spacing w:val="-5"/>
            <w:sz w:val="18"/>
            <w:u w:val="single" w:color="1D71B8"/>
          </w:rPr>
          <w:t> </w:t>
        </w:r>
        <w:r>
          <w:rPr>
            <w:color w:val="1D71B8"/>
            <w:sz w:val="18"/>
            <w:u w:val="single" w:color="1D71B8"/>
          </w:rPr>
          <w:t>2023/170</w:t>
        </w:r>
      </w:hyperlink>
      <w:r>
        <w:rPr>
          <w:color w:val="1D71B8"/>
          <w:spacing w:val="-5"/>
          <w:sz w:val="18"/>
          <w:u w:val="none"/>
        </w:rPr>
        <w:t> </w:t>
      </w:r>
      <w:r>
        <w:rPr>
          <w:sz w:val="18"/>
          <w:u w:val="none"/>
        </w:rPr>
        <w:t>of</w:t>
      </w:r>
      <w:r>
        <w:rPr>
          <w:spacing w:val="-5"/>
          <w:sz w:val="18"/>
          <w:u w:val="none"/>
        </w:rPr>
        <w:t> </w:t>
      </w:r>
      <w:r>
        <w:rPr>
          <w:sz w:val="18"/>
          <w:u w:val="none"/>
        </w:rPr>
        <w:t>25</w:t>
      </w:r>
      <w:r>
        <w:rPr>
          <w:spacing w:val="-4"/>
          <w:sz w:val="18"/>
          <w:u w:val="none"/>
        </w:rPr>
        <w:t> </w:t>
      </w:r>
      <w:r>
        <w:rPr>
          <w:sz w:val="18"/>
          <w:u w:val="none"/>
        </w:rPr>
        <w:t>January</w:t>
      </w:r>
      <w:r>
        <w:rPr>
          <w:spacing w:val="-4"/>
          <w:sz w:val="18"/>
          <w:u w:val="none"/>
        </w:rPr>
        <w:t> </w:t>
      </w:r>
      <w:r>
        <w:rPr>
          <w:sz w:val="18"/>
          <w:u w:val="none"/>
        </w:rPr>
        <w:t>2023</w:t>
      </w:r>
      <w:r>
        <w:rPr>
          <w:spacing w:val="-4"/>
          <w:sz w:val="18"/>
          <w:u w:val="none"/>
        </w:rPr>
        <w:t> </w:t>
      </w:r>
      <w:r>
        <w:rPr>
          <w:sz w:val="18"/>
          <w:u w:val="none"/>
        </w:rPr>
        <w:t>establishing</w:t>
      </w:r>
      <w:r>
        <w:rPr>
          <w:spacing w:val="-4"/>
          <w:sz w:val="18"/>
          <w:u w:val="none"/>
        </w:rPr>
        <w:t> </w:t>
      </w:r>
      <w:r>
        <w:rPr>
          <w:sz w:val="18"/>
          <w:u w:val="none"/>
        </w:rPr>
        <w:t>the</w:t>
      </w:r>
      <w:r>
        <w:rPr>
          <w:spacing w:val="-4"/>
          <w:sz w:val="18"/>
          <w:u w:val="none"/>
        </w:rPr>
        <w:t> </w:t>
      </w:r>
      <w:r>
        <w:rPr>
          <w:sz w:val="18"/>
          <w:u w:val="none"/>
        </w:rPr>
        <w:t>template</w:t>
      </w:r>
      <w:r>
        <w:rPr>
          <w:spacing w:val="-4"/>
          <w:sz w:val="18"/>
          <w:u w:val="none"/>
        </w:rPr>
        <w:t> </w:t>
      </w:r>
      <w:r>
        <w:rPr>
          <w:sz w:val="18"/>
          <w:u w:val="none"/>
        </w:rPr>
        <w:t>for</w:t>
      </w:r>
      <w:r>
        <w:rPr>
          <w:spacing w:val="-4"/>
          <w:sz w:val="18"/>
          <w:u w:val="none"/>
        </w:rPr>
        <w:t> </w:t>
      </w:r>
      <w:r>
        <w:rPr>
          <w:sz w:val="18"/>
          <w:u w:val="none"/>
        </w:rPr>
        <w:t>the</w:t>
      </w:r>
      <w:r>
        <w:rPr>
          <w:spacing w:val="-4"/>
          <w:sz w:val="18"/>
          <w:u w:val="none"/>
        </w:rPr>
        <w:t> </w:t>
      </w:r>
      <w:r>
        <w:rPr>
          <w:sz w:val="18"/>
          <w:u w:val="none"/>
        </w:rPr>
        <w:t>annual</w:t>
      </w:r>
      <w:r>
        <w:rPr>
          <w:spacing w:val="-5"/>
          <w:sz w:val="18"/>
          <w:u w:val="none"/>
        </w:rPr>
        <w:t> </w:t>
      </w:r>
      <w:r>
        <w:rPr>
          <w:sz w:val="18"/>
          <w:u w:val="none"/>
        </w:rPr>
        <w:t>performance</w:t>
      </w:r>
      <w:r>
        <w:rPr>
          <w:spacing w:val="-4"/>
          <w:sz w:val="18"/>
          <w:u w:val="none"/>
        </w:rPr>
        <w:t> </w:t>
      </w:r>
      <w:r>
        <w:rPr>
          <w:sz w:val="18"/>
          <w:u w:val="none"/>
        </w:rPr>
        <w:t>reports</w:t>
      </w:r>
      <w:r>
        <w:rPr>
          <w:spacing w:val="-5"/>
          <w:sz w:val="18"/>
          <w:u w:val="none"/>
        </w:rPr>
        <w:t> </w:t>
      </w:r>
      <w:r>
        <w:rPr>
          <w:sz w:val="18"/>
          <w:u w:val="none"/>
        </w:rPr>
        <w:t>on</w:t>
      </w:r>
      <w:r>
        <w:rPr>
          <w:spacing w:val="-5"/>
          <w:sz w:val="18"/>
          <w:u w:val="none"/>
        </w:rPr>
        <w:t> </w:t>
      </w:r>
      <w:r>
        <w:rPr>
          <w:sz w:val="18"/>
          <w:u w:val="none"/>
        </w:rPr>
        <w:t>the</w:t>
      </w:r>
      <w:r>
        <w:rPr>
          <w:spacing w:val="-4"/>
          <w:sz w:val="18"/>
          <w:u w:val="none"/>
        </w:rPr>
        <w:t> </w:t>
      </w:r>
      <w:r>
        <w:rPr>
          <w:sz w:val="18"/>
          <w:u w:val="none"/>
        </w:rPr>
        <w:t>Internal Security</w:t>
      </w:r>
      <w:r>
        <w:rPr>
          <w:spacing w:val="-1"/>
          <w:sz w:val="18"/>
          <w:u w:val="none"/>
        </w:rPr>
        <w:t> </w:t>
      </w:r>
      <w:r>
        <w:rPr>
          <w:sz w:val="18"/>
          <w:u w:val="none"/>
        </w:rPr>
        <w:t>Fund</w:t>
      </w:r>
      <w:r>
        <w:rPr>
          <w:spacing w:val="-2"/>
          <w:sz w:val="18"/>
          <w:u w:val="none"/>
        </w:rPr>
        <w:t> </w:t>
      </w:r>
      <w:r>
        <w:rPr>
          <w:sz w:val="18"/>
          <w:u w:val="none"/>
        </w:rPr>
        <w:t>for</w:t>
      </w:r>
      <w:r>
        <w:rPr>
          <w:spacing w:val="-1"/>
          <w:sz w:val="18"/>
          <w:u w:val="none"/>
        </w:rPr>
        <w:t> </w:t>
      </w:r>
      <w:r>
        <w:rPr>
          <w:sz w:val="18"/>
          <w:u w:val="none"/>
        </w:rPr>
        <w:t>the</w:t>
      </w:r>
      <w:r>
        <w:rPr>
          <w:spacing w:val="-1"/>
          <w:sz w:val="18"/>
          <w:u w:val="none"/>
        </w:rPr>
        <w:t> </w:t>
      </w:r>
      <w:r>
        <w:rPr>
          <w:sz w:val="18"/>
          <w:u w:val="none"/>
        </w:rPr>
        <w:t>2021-2027</w:t>
      </w:r>
      <w:r>
        <w:rPr>
          <w:spacing w:val="-1"/>
          <w:sz w:val="18"/>
          <w:u w:val="none"/>
        </w:rPr>
        <w:t> </w:t>
      </w:r>
      <w:r>
        <w:rPr>
          <w:sz w:val="18"/>
          <w:u w:val="none"/>
        </w:rPr>
        <w:t>programming</w:t>
      </w:r>
      <w:r>
        <w:rPr>
          <w:spacing w:val="-1"/>
          <w:sz w:val="18"/>
          <w:u w:val="none"/>
        </w:rPr>
        <w:t> </w:t>
      </w:r>
      <w:r>
        <w:rPr>
          <w:sz w:val="18"/>
          <w:u w:val="none"/>
        </w:rPr>
        <w:t>period,</w:t>
      </w:r>
      <w:r>
        <w:rPr>
          <w:spacing w:val="-1"/>
          <w:sz w:val="18"/>
          <w:u w:val="none"/>
        </w:rPr>
        <w:t> </w:t>
      </w:r>
      <w:r>
        <w:rPr>
          <w:sz w:val="18"/>
          <w:u w:val="none"/>
        </w:rPr>
        <w:t>pursuant</w:t>
      </w:r>
      <w:r>
        <w:rPr>
          <w:spacing w:val="-1"/>
          <w:sz w:val="18"/>
          <w:u w:val="none"/>
        </w:rPr>
        <w:t> </w:t>
      </w:r>
      <w:r>
        <w:rPr>
          <w:sz w:val="18"/>
          <w:u w:val="none"/>
        </w:rPr>
        <w:t>to</w:t>
      </w:r>
      <w:r>
        <w:rPr>
          <w:spacing w:val="-2"/>
          <w:sz w:val="18"/>
          <w:u w:val="none"/>
        </w:rPr>
        <w:t> </w:t>
      </w:r>
      <w:r>
        <w:rPr>
          <w:sz w:val="18"/>
          <w:u w:val="none"/>
        </w:rPr>
        <w:t>EU</w:t>
      </w:r>
      <w:r>
        <w:rPr>
          <w:spacing w:val="-1"/>
          <w:sz w:val="18"/>
          <w:u w:val="none"/>
        </w:rPr>
        <w:t> </w:t>
      </w:r>
      <w:r>
        <w:rPr>
          <w:sz w:val="18"/>
          <w:u w:val="none"/>
        </w:rPr>
        <w:t>Regulation</w:t>
      </w:r>
      <w:r>
        <w:rPr>
          <w:spacing w:val="-2"/>
          <w:sz w:val="18"/>
          <w:u w:val="none"/>
        </w:rPr>
        <w:t> </w:t>
      </w:r>
      <w:r>
        <w:rPr>
          <w:sz w:val="18"/>
          <w:u w:val="none"/>
        </w:rPr>
        <w:t>2021/1149</w:t>
      </w:r>
      <w:r>
        <w:rPr>
          <w:spacing w:val="-1"/>
          <w:sz w:val="18"/>
          <w:u w:val="none"/>
        </w:rPr>
        <w:t> </w:t>
      </w:r>
      <w:r>
        <w:rPr>
          <w:sz w:val="18"/>
          <w:u w:val="none"/>
        </w:rPr>
        <w:t>of</w:t>
      </w:r>
      <w:r>
        <w:rPr>
          <w:spacing w:val="-2"/>
          <w:sz w:val="18"/>
          <w:u w:val="none"/>
        </w:rPr>
        <w:t> </w:t>
      </w:r>
      <w:r>
        <w:rPr>
          <w:sz w:val="18"/>
          <w:u w:val="none"/>
        </w:rPr>
        <w:t>the</w:t>
      </w:r>
      <w:r>
        <w:rPr>
          <w:spacing w:val="-1"/>
          <w:sz w:val="18"/>
          <w:u w:val="none"/>
        </w:rPr>
        <w:t> </w:t>
      </w:r>
      <w:r>
        <w:rPr>
          <w:sz w:val="18"/>
          <w:u w:val="none"/>
        </w:rPr>
        <w:t>European</w:t>
      </w:r>
      <w:r>
        <w:rPr>
          <w:spacing w:val="-2"/>
          <w:sz w:val="18"/>
          <w:u w:val="none"/>
        </w:rPr>
        <w:t> </w:t>
      </w:r>
      <w:r>
        <w:rPr>
          <w:sz w:val="18"/>
          <w:u w:val="none"/>
        </w:rPr>
        <w:t>Parliament and of the Council C/2023/559, Annex, Item 5.2.</w:t>
      </w:r>
    </w:p>
    <w:p>
      <w:pPr>
        <w:pStyle w:val="ListParagraph"/>
        <w:numPr>
          <w:ilvl w:val="0"/>
          <w:numId w:val="18"/>
        </w:numPr>
        <w:tabs>
          <w:tab w:pos="1684" w:val="left" w:leader="none"/>
        </w:tabs>
        <w:spacing w:line="240" w:lineRule="auto" w:before="1" w:after="0"/>
        <w:ind w:left="1684" w:right="1093" w:hanging="567"/>
        <w:jc w:val="left"/>
        <w:rPr>
          <w:sz w:val="18"/>
        </w:rPr>
      </w:pPr>
      <w:hyperlink r:id="rId154">
        <w:r>
          <w:rPr>
            <w:color w:val="1D71B8"/>
            <w:sz w:val="18"/>
            <w:u w:val="single" w:color="1D71B8"/>
          </w:rPr>
          <w:t>Directive</w:t>
        </w:r>
        <w:r>
          <w:rPr>
            <w:color w:val="1D71B8"/>
            <w:spacing w:val="-3"/>
            <w:sz w:val="18"/>
            <w:u w:val="single" w:color="1D71B8"/>
          </w:rPr>
          <w:t> </w:t>
        </w:r>
        <w:r>
          <w:rPr>
            <w:color w:val="1D71B8"/>
            <w:sz w:val="18"/>
            <w:u w:val="single" w:color="1D71B8"/>
          </w:rPr>
          <w:t>(EU)</w:t>
        </w:r>
        <w:r>
          <w:rPr>
            <w:color w:val="1D71B8"/>
            <w:spacing w:val="-4"/>
            <w:sz w:val="18"/>
            <w:u w:val="single" w:color="1D71B8"/>
          </w:rPr>
          <w:t> </w:t>
        </w:r>
        <w:r>
          <w:rPr>
            <w:color w:val="1D71B8"/>
            <w:sz w:val="18"/>
            <w:u w:val="single" w:color="1D71B8"/>
          </w:rPr>
          <w:t>2024/1226</w:t>
        </w:r>
      </w:hyperlink>
      <w:r>
        <w:rPr>
          <w:color w:val="1D71B8"/>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24</w:t>
      </w:r>
      <w:r>
        <w:rPr>
          <w:spacing w:val="-3"/>
          <w:sz w:val="18"/>
          <w:u w:val="none"/>
        </w:rPr>
        <w:t> </w:t>
      </w:r>
      <w:r>
        <w:rPr>
          <w:sz w:val="18"/>
          <w:u w:val="none"/>
        </w:rPr>
        <w:t>April</w:t>
      </w:r>
      <w:r>
        <w:rPr>
          <w:spacing w:val="-4"/>
          <w:sz w:val="18"/>
          <w:u w:val="none"/>
        </w:rPr>
        <w:t> </w:t>
      </w:r>
      <w:r>
        <w:rPr>
          <w:sz w:val="18"/>
          <w:u w:val="none"/>
        </w:rPr>
        <w:t>2024</w:t>
      </w:r>
      <w:r>
        <w:rPr>
          <w:spacing w:val="-3"/>
          <w:sz w:val="18"/>
          <w:u w:val="none"/>
        </w:rPr>
        <w:t> </w:t>
      </w:r>
      <w:r>
        <w:rPr>
          <w:sz w:val="18"/>
          <w:u w:val="none"/>
        </w:rPr>
        <w:t>on</w:t>
      </w:r>
      <w:r>
        <w:rPr>
          <w:spacing w:val="-4"/>
          <w:sz w:val="18"/>
          <w:u w:val="none"/>
        </w:rPr>
        <w:t> </w:t>
      </w:r>
      <w:r>
        <w:rPr>
          <w:sz w:val="18"/>
          <w:u w:val="none"/>
        </w:rPr>
        <w:t>the</w:t>
      </w:r>
      <w:r>
        <w:rPr>
          <w:spacing w:val="-3"/>
          <w:sz w:val="18"/>
          <w:u w:val="none"/>
        </w:rPr>
        <w:t> </w:t>
      </w:r>
      <w:r>
        <w:rPr>
          <w:sz w:val="18"/>
          <w:u w:val="none"/>
        </w:rPr>
        <w:t>definition</w:t>
      </w:r>
      <w:r>
        <w:rPr>
          <w:spacing w:val="-4"/>
          <w:sz w:val="18"/>
          <w:u w:val="none"/>
        </w:rPr>
        <w:t> </w:t>
      </w:r>
      <w:r>
        <w:rPr>
          <w:sz w:val="18"/>
          <w:u w:val="none"/>
        </w:rPr>
        <w:t>of</w:t>
      </w:r>
      <w:r>
        <w:rPr>
          <w:spacing w:val="-4"/>
          <w:sz w:val="18"/>
          <w:u w:val="none"/>
        </w:rPr>
        <w:t> </w:t>
      </w:r>
      <w:r>
        <w:rPr>
          <w:sz w:val="18"/>
          <w:u w:val="none"/>
        </w:rPr>
        <w:t>criminal offences and penalties for the violation of Union restrictive measures and amending Directive (EU) 2018/1673.</w:t>
      </w:r>
    </w:p>
    <w:p>
      <w:pPr>
        <w:pStyle w:val="ListParagraph"/>
        <w:numPr>
          <w:ilvl w:val="0"/>
          <w:numId w:val="18"/>
        </w:numPr>
        <w:tabs>
          <w:tab w:pos="1684" w:val="left" w:leader="none"/>
        </w:tabs>
        <w:spacing w:line="240" w:lineRule="auto" w:before="1" w:after="0"/>
        <w:ind w:left="1684" w:right="807" w:hanging="567"/>
        <w:jc w:val="left"/>
        <w:rPr>
          <w:sz w:val="18"/>
        </w:rPr>
      </w:pPr>
      <w:hyperlink r:id="rId154">
        <w:r>
          <w:rPr>
            <w:color w:val="1D71B8"/>
            <w:sz w:val="18"/>
            <w:u w:val="single" w:color="1D71B8"/>
          </w:rPr>
          <w:t>Directive (EU) 2024/1226</w:t>
        </w:r>
      </w:hyperlink>
      <w:r>
        <w:rPr>
          <w:color w:val="1D71B8"/>
          <w:sz w:val="18"/>
          <w:u w:val="none"/>
        </w:rPr>
        <w:t> </w:t>
      </w:r>
      <w:r>
        <w:rPr>
          <w:sz w:val="18"/>
          <w:u w:val="none"/>
        </w:rPr>
        <w:t>of the European Parliament and of the Council of 24 April 2024 on the definition of criminal offences</w:t>
      </w:r>
      <w:r>
        <w:rPr>
          <w:spacing w:val="-5"/>
          <w:sz w:val="18"/>
          <w:u w:val="none"/>
        </w:rPr>
        <w:t> </w:t>
      </w:r>
      <w:r>
        <w:rPr>
          <w:sz w:val="18"/>
          <w:u w:val="none"/>
        </w:rPr>
        <w:t>and</w:t>
      </w:r>
      <w:r>
        <w:rPr>
          <w:spacing w:val="-5"/>
          <w:sz w:val="18"/>
          <w:u w:val="none"/>
        </w:rPr>
        <w:t> </w:t>
      </w:r>
      <w:r>
        <w:rPr>
          <w:sz w:val="18"/>
          <w:u w:val="none"/>
        </w:rPr>
        <w:t>penalties</w:t>
      </w:r>
      <w:r>
        <w:rPr>
          <w:spacing w:val="-5"/>
          <w:sz w:val="18"/>
          <w:u w:val="none"/>
        </w:rPr>
        <w:t> </w:t>
      </w:r>
      <w:r>
        <w:rPr>
          <w:sz w:val="18"/>
          <w:u w:val="none"/>
        </w:rPr>
        <w:t>for</w:t>
      </w:r>
      <w:r>
        <w:rPr>
          <w:spacing w:val="-4"/>
          <w:sz w:val="18"/>
          <w:u w:val="none"/>
        </w:rPr>
        <w:t> </w:t>
      </w:r>
      <w:r>
        <w:rPr>
          <w:sz w:val="18"/>
          <w:u w:val="none"/>
        </w:rPr>
        <w:t>the</w:t>
      </w:r>
      <w:r>
        <w:rPr>
          <w:spacing w:val="-4"/>
          <w:sz w:val="18"/>
          <w:u w:val="none"/>
        </w:rPr>
        <w:t> </w:t>
      </w:r>
      <w:r>
        <w:rPr>
          <w:sz w:val="18"/>
          <w:u w:val="none"/>
        </w:rPr>
        <w:t>violation</w:t>
      </w:r>
      <w:r>
        <w:rPr>
          <w:spacing w:val="-5"/>
          <w:sz w:val="18"/>
          <w:u w:val="none"/>
        </w:rPr>
        <w:t> </w:t>
      </w:r>
      <w:r>
        <w:rPr>
          <w:sz w:val="18"/>
          <w:u w:val="none"/>
        </w:rPr>
        <w:t>of</w:t>
      </w:r>
      <w:r>
        <w:rPr>
          <w:spacing w:val="-5"/>
          <w:sz w:val="18"/>
          <w:u w:val="none"/>
        </w:rPr>
        <w:t> </w:t>
      </w:r>
      <w:r>
        <w:rPr>
          <w:sz w:val="18"/>
          <w:u w:val="none"/>
        </w:rPr>
        <w:t>Union</w:t>
      </w:r>
      <w:r>
        <w:rPr>
          <w:spacing w:val="-5"/>
          <w:sz w:val="18"/>
          <w:u w:val="none"/>
        </w:rPr>
        <w:t> </w:t>
      </w:r>
      <w:r>
        <w:rPr>
          <w:sz w:val="18"/>
          <w:u w:val="none"/>
        </w:rPr>
        <w:t>restrictive</w:t>
      </w:r>
      <w:r>
        <w:rPr>
          <w:spacing w:val="-4"/>
          <w:sz w:val="18"/>
          <w:u w:val="none"/>
        </w:rPr>
        <w:t> </w:t>
      </w:r>
      <w:r>
        <w:rPr>
          <w:sz w:val="18"/>
          <w:u w:val="none"/>
        </w:rPr>
        <w:t>measures</w:t>
      </w:r>
      <w:r>
        <w:rPr>
          <w:spacing w:val="-5"/>
          <w:sz w:val="18"/>
          <w:u w:val="none"/>
        </w:rPr>
        <w:t> </w:t>
      </w:r>
      <w:r>
        <w:rPr>
          <w:sz w:val="18"/>
          <w:u w:val="none"/>
        </w:rPr>
        <w:t>and</w:t>
      </w:r>
      <w:r>
        <w:rPr>
          <w:spacing w:val="-5"/>
          <w:sz w:val="18"/>
          <w:u w:val="none"/>
        </w:rPr>
        <w:t> </w:t>
      </w:r>
      <w:r>
        <w:rPr>
          <w:sz w:val="18"/>
          <w:u w:val="none"/>
        </w:rPr>
        <w:t>amending</w:t>
      </w:r>
      <w:r>
        <w:rPr>
          <w:spacing w:val="-4"/>
          <w:sz w:val="18"/>
          <w:u w:val="none"/>
        </w:rPr>
        <w:t> </w:t>
      </w:r>
      <w:r>
        <w:rPr>
          <w:sz w:val="18"/>
          <w:u w:val="none"/>
        </w:rPr>
        <w:t>Directive</w:t>
      </w:r>
      <w:r>
        <w:rPr>
          <w:spacing w:val="-4"/>
          <w:sz w:val="18"/>
          <w:u w:val="none"/>
        </w:rPr>
        <w:t> </w:t>
      </w:r>
      <w:r>
        <w:rPr>
          <w:sz w:val="18"/>
          <w:u w:val="none"/>
        </w:rPr>
        <w:t>(EU)</w:t>
      </w:r>
      <w:r>
        <w:rPr>
          <w:spacing w:val="-5"/>
          <w:sz w:val="18"/>
          <w:u w:val="none"/>
        </w:rPr>
        <w:t> </w:t>
      </w:r>
      <w:r>
        <w:rPr>
          <w:sz w:val="18"/>
          <w:u w:val="none"/>
        </w:rPr>
        <w:t>2018/1673,</w:t>
      </w:r>
      <w:r>
        <w:rPr>
          <w:spacing w:val="-4"/>
          <w:sz w:val="18"/>
          <w:u w:val="none"/>
        </w:rPr>
        <w:t> </w:t>
      </w:r>
      <w:r>
        <w:rPr>
          <w:sz w:val="18"/>
          <w:u w:val="none"/>
        </w:rPr>
        <w:t>Article</w:t>
      </w:r>
      <w:r>
        <w:rPr>
          <w:spacing w:val="-4"/>
          <w:sz w:val="18"/>
          <w:u w:val="none"/>
        </w:rPr>
        <w:t> </w:t>
      </w:r>
      <w:r>
        <w:rPr>
          <w:sz w:val="18"/>
          <w:u w:val="none"/>
        </w:rPr>
        <w:t>20.</w:t>
      </w:r>
    </w:p>
    <w:p>
      <w:pPr>
        <w:pStyle w:val="ListParagraph"/>
        <w:numPr>
          <w:ilvl w:val="0"/>
          <w:numId w:val="18"/>
        </w:numPr>
        <w:tabs>
          <w:tab w:pos="1684" w:val="left" w:leader="none"/>
        </w:tabs>
        <w:spacing w:line="240" w:lineRule="auto" w:before="0" w:after="0"/>
        <w:ind w:left="1684" w:right="890" w:hanging="567"/>
        <w:jc w:val="left"/>
        <w:rPr>
          <w:sz w:val="18"/>
        </w:rPr>
      </w:pPr>
      <w:r>
        <w:rPr>
          <w:sz w:val="18"/>
        </w:rPr>
        <w:t>Proposal for a Directive of the European Parliament and of the Council on protecting persons who engage in public participation</w:t>
      </w:r>
      <w:r>
        <w:rPr>
          <w:spacing w:val="-7"/>
          <w:sz w:val="18"/>
        </w:rPr>
        <w:t> </w:t>
      </w:r>
      <w:r>
        <w:rPr>
          <w:sz w:val="18"/>
        </w:rPr>
        <w:t>from</w:t>
      </w:r>
      <w:r>
        <w:rPr>
          <w:spacing w:val="-6"/>
          <w:sz w:val="18"/>
        </w:rPr>
        <w:t> </w:t>
      </w:r>
      <w:r>
        <w:rPr>
          <w:sz w:val="18"/>
        </w:rPr>
        <w:t>manifestly</w:t>
      </w:r>
      <w:r>
        <w:rPr>
          <w:spacing w:val="-6"/>
          <w:sz w:val="18"/>
        </w:rPr>
        <w:t> </w:t>
      </w:r>
      <w:r>
        <w:rPr>
          <w:sz w:val="18"/>
        </w:rPr>
        <w:t>unfounded</w:t>
      </w:r>
      <w:r>
        <w:rPr>
          <w:spacing w:val="-7"/>
          <w:sz w:val="18"/>
        </w:rPr>
        <w:t> </w:t>
      </w:r>
      <w:r>
        <w:rPr>
          <w:sz w:val="18"/>
        </w:rPr>
        <w:t>or</w:t>
      </w:r>
      <w:r>
        <w:rPr>
          <w:spacing w:val="-6"/>
          <w:sz w:val="18"/>
        </w:rPr>
        <w:t> </w:t>
      </w:r>
      <w:r>
        <w:rPr>
          <w:sz w:val="18"/>
        </w:rPr>
        <w:t>abusive</w:t>
      </w:r>
      <w:r>
        <w:rPr>
          <w:spacing w:val="-6"/>
          <w:sz w:val="18"/>
        </w:rPr>
        <w:t> </w:t>
      </w:r>
      <w:r>
        <w:rPr>
          <w:sz w:val="18"/>
        </w:rPr>
        <w:t>court</w:t>
      </w:r>
      <w:r>
        <w:rPr>
          <w:spacing w:val="-6"/>
          <w:sz w:val="18"/>
        </w:rPr>
        <w:t> </w:t>
      </w:r>
      <w:r>
        <w:rPr>
          <w:sz w:val="18"/>
        </w:rPr>
        <w:t>proceedings</w:t>
      </w:r>
      <w:r>
        <w:rPr>
          <w:spacing w:val="-7"/>
          <w:sz w:val="18"/>
        </w:rPr>
        <w:t> </w:t>
      </w:r>
      <w:r>
        <w:rPr>
          <w:sz w:val="18"/>
        </w:rPr>
        <w:t>(“Strategic</w:t>
      </w:r>
      <w:r>
        <w:rPr>
          <w:spacing w:val="-6"/>
          <w:sz w:val="18"/>
        </w:rPr>
        <w:t> </w:t>
      </w:r>
      <w:r>
        <w:rPr>
          <w:sz w:val="18"/>
        </w:rPr>
        <w:t>lawsuits</w:t>
      </w:r>
      <w:r>
        <w:rPr>
          <w:spacing w:val="-7"/>
          <w:sz w:val="18"/>
        </w:rPr>
        <w:t> </w:t>
      </w:r>
      <w:r>
        <w:rPr>
          <w:sz w:val="18"/>
        </w:rPr>
        <w:t>against</w:t>
      </w:r>
      <w:r>
        <w:rPr>
          <w:spacing w:val="-6"/>
          <w:sz w:val="18"/>
        </w:rPr>
        <w:t> </w:t>
      </w:r>
      <w:r>
        <w:rPr>
          <w:sz w:val="18"/>
        </w:rPr>
        <w:t>public</w:t>
      </w:r>
      <w:r>
        <w:rPr>
          <w:spacing w:val="-6"/>
          <w:sz w:val="18"/>
        </w:rPr>
        <w:t> </w:t>
      </w:r>
      <w:r>
        <w:rPr>
          <w:sz w:val="18"/>
        </w:rPr>
        <w:t>participation”), 2022/0117 (COD). More info </w:t>
      </w:r>
      <w:hyperlink r:id="rId155">
        <w:r>
          <w:rPr>
            <w:color w:val="1D71B8"/>
            <w:sz w:val="18"/>
            <w:u w:val="single" w:color="1D71B8"/>
          </w:rPr>
          <w:t>here</w:t>
        </w:r>
      </w:hyperlink>
      <w:r>
        <w:rPr>
          <w:color w:val="1D71B8"/>
          <w:sz w:val="18"/>
          <w:u w:val="single" w:color="1D71B8"/>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64768">
                <wp:simplePos x="0" y="0"/>
                <wp:positionH relativeFrom="page">
                  <wp:posOffset>0</wp:posOffset>
                </wp:positionH>
                <wp:positionV relativeFrom="page">
                  <wp:posOffset>0</wp:posOffset>
                </wp:positionV>
                <wp:extent cx="7560309" cy="1155065"/>
                <wp:effectExtent l="0" t="0" r="0" b="0"/>
                <wp:wrapNone/>
                <wp:docPr id="842" name="Group 842"/>
                <wp:cNvGraphicFramePr>
                  <a:graphicFrameLocks/>
                </wp:cNvGraphicFramePr>
                <a:graphic>
                  <a:graphicData uri="http://schemas.microsoft.com/office/word/2010/wordprocessingGroup">
                    <wpg:wgp>
                      <wpg:cNvPr id="842" name="Group 842"/>
                      <wpg:cNvGrpSpPr/>
                      <wpg:grpSpPr>
                        <a:xfrm>
                          <a:off x="0" y="0"/>
                          <a:ext cx="7560309" cy="1155065"/>
                          <a:chExt cx="7560309" cy="1155065"/>
                        </a:xfrm>
                      </wpg:grpSpPr>
                      <wps:wsp>
                        <wps:cNvPr id="843" name="Graphic 843"/>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844" name="Graphic 844"/>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51712" id="docshapegroup691" coordorigin="0,0" coordsize="11906,1819">
                <v:shape style="position:absolute;left:0;top:0;width:11906;height:1819" id="docshape692"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81" w:right="0" w:firstLine="0"/>
        <w:jc w:val="left"/>
        <w:rPr>
          <w:b/>
          <w:sz w:val="24"/>
        </w:rPr>
      </w:pPr>
      <w:bookmarkStart w:name="4.3.4.4 EU legislation regarding employm" w:id="155"/>
      <w:bookmarkEnd w:id="155"/>
      <w:r>
        <w:rPr/>
      </w:r>
      <w:bookmarkStart w:name="_bookmark65" w:id="156"/>
      <w:bookmarkEnd w:id="156"/>
      <w:r>
        <w:rPr/>
      </w:r>
      <w:r>
        <w:rPr>
          <w:b/>
          <w:color w:val="FFFFFF"/>
          <w:spacing w:val="-5"/>
          <w:position w:val="-1"/>
          <w:sz w:val="28"/>
        </w:rPr>
        <w:t>98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34"/>
        <w:rPr>
          <w:b/>
        </w:rPr>
      </w:pPr>
    </w:p>
    <w:p>
      <w:pPr>
        <w:pStyle w:val="ListParagraph"/>
        <w:numPr>
          <w:ilvl w:val="0"/>
          <w:numId w:val="41"/>
        </w:numPr>
        <w:tabs>
          <w:tab w:pos="1060" w:val="left" w:leader="none"/>
        </w:tabs>
        <w:spacing w:line="232" w:lineRule="auto" w:before="0" w:after="0"/>
        <w:ind w:left="1060" w:right="1128" w:hanging="341"/>
        <w:jc w:val="left"/>
        <w:rPr>
          <w:sz w:val="28"/>
        </w:rPr>
      </w:pPr>
      <w:r>
        <w:rPr>
          <w:sz w:val="28"/>
        </w:rPr>
        <w:t>States may soon be bound to develop targeted measures improving victims’ ability</w:t>
      </w:r>
      <w:r>
        <w:rPr>
          <w:spacing w:val="-5"/>
          <w:sz w:val="28"/>
        </w:rPr>
        <w:t> </w:t>
      </w:r>
      <w:r>
        <w:rPr>
          <w:sz w:val="28"/>
        </w:rPr>
        <w:t>to</w:t>
      </w:r>
      <w:r>
        <w:rPr>
          <w:spacing w:val="-6"/>
          <w:sz w:val="28"/>
        </w:rPr>
        <w:t> </w:t>
      </w:r>
      <w:r>
        <w:rPr>
          <w:sz w:val="28"/>
        </w:rPr>
        <w:t>rely</w:t>
      </w:r>
      <w:r>
        <w:rPr>
          <w:spacing w:val="-6"/>
          <w:sz w:val="28"/>
        </w:rPr>
        <w:t> </w:t>
      </w:r>
      <w:r>
        <w:rPr>
          <w:sz w:val="28"/>
        </w:rPr>
        <w:t>on</w:t>
      </w:r>
      <w:r>
        <w:rPr>
          <w:spacing w:val="-6"/>
          <w:sz w:val="28"/>
        </w:rPr>
        <w:t> </w:t>
      </w:r>
      <w:r>
        <w:rPr>
          <w:sz w:val="28"/>
        </w:rPr>
        <w:t>their</w:t>
      </w:r>
      <w:r>
        <w:rPr>
          <w:spacing w:val="-6"/>
          <w:sz w:val="28"/>
        </w:rPr>
        <w:t> </w:t>
      </w:r>
      <w:r>
        <w:rPr>
          <w:sz w:val="28"/>
        </w:rPr>
        <w:t>rights</w:t>
      </w:r>
      <w:r>
        <w:rPr>
          <w:spacing w:val="-6"/>
          <w:sz w:val="28"/>
        </w:rPr>
        <w:t> </w:t>
      </w:r>
      <w:r>
        <w:rPr>
          <w:sz w:val="28"/>
        </w:rPr>
        <w:t>under</w:t>
      </w:r>
      <w:r>
        <w:rPr>
          <w:spacing w:val="-5"/>
          <w:sz w:val="28"/>
        </w:rPr>
        <w:t> </w:t>
      </w:r>
      <w:r>
        <w:rPr>
          <w:sz w:val="28"/>
        </w:rPr>
        <w:t>Directive</w:t>
      </w:r>
      <w:r>
        <w:rPr>
          <w:spacing w:val="-6"/>
          <w:sz w:val="28"/>
        </w:rPr>
        <w:t> </w:t>
      </w:r>
      <w:r>
        <w:rPr>
          <w:sz w:val="28"/>
        </w:rPr>
        <w:t>2012/29/EU</w:t>
      </w:r>
      <w:r>
        <w:rPr>
          <w:spacing w:val="-6"/>
          <w:sz w:val="28"/>
        </w:rPr>
        <w:t> </w:t>
      </w:r>
      <w:r>
        <w:rPr>
          <w:sz w:val="28"/>
        </w:rPr>
        <w:t>(the</w:t>
      </w:r>
      <w:r>
        <w:rPr>
          <w:spacing w:val="-5"/>
          <w:sz w:val="28"/>
        </w:rPr>
        <w:t> </w:t>
      </w:r>
      <w:r>
        <w:rPr>
          <w:sz w:val="28"/>
        </w:rPr>
        <w:t>Victims’</w:t>
      </w:r>
      <w:r>
        <w:rPr>
          <w:spacing w:val="-5"/>
          <w:sz w:val="28"/>
        </w:rPr>
        <w:t> </w:t>
      </w:r>
      <w:r>
        <w:rPr>
          <w:sz w:val="28"/>
        </w:rPr>
        <w:t>Directive), including the right to information, the right to support and protection based on victims’ individual needs, procedural rights, and the right to receive a decision on compensation from the offender at the end of criminal proceedings.</w:t>
      </w:r>
      <w:r>
        <w:rPr>
          <w:sz w:val="28"/>
          <w:vertAlign w:val="superscript"/>
        </w:rPr>
        <w:t>497</w:t>
      </w:r>
    </w:p>
    <w:p>
      <w:pPr>
        <w:pStyle w:val="BodyText"/>
        <w:spacing w:line="232" w:lineRule="auto" w:before="276"/>
        <w:ind w:left="720" w:right="1087"/>
      </w:pPr>
      <w:r>
        <w:rPr/>
        <w:t>We note that the proposals in particular may be relevant to human rights issues under</w:t>
      </w:r>
      <w:r>
        <w:rPr>
          <w:spacing w:val="-6"/>
        </w:rPr>
        <w:t> </w:t>
      </w:r>
      <w:r>
        <w:rPr/>
        <w:t>the</w:t>
      </w:r>
      <w:r>
        <w:rPr>
          <w:spacing w:val="-6"/>
        </w:rPr>
        <w:t> </w:t>
      </w:r>
      <w:r>
        <w:rPr/>
        <w:t>scope</w:t>
      </w:r>
      <w:r>
        <w:rPr>
          <w:spacing w:val="-6"/>
        </w:rPr>
        <w:t> </w:t>
      </w:r>
      <w:r>
        <w:rPr/>
        <w:t>of</w:t>
      </w:r>
      <w:r>
        <w:rPr>
          <w:spacing w:val="-7"/>
        </w:rPr>
        <w:t> </w:t>
      </w:r>
      <w:r>
        <w:rPr/>
        <w:t>Article</w:t>
      </w:r>
      <w:r>
        <w:rPr>
          <w:spacing w:val="-6"/>
        </w:rPr>
        <w:t> </w:t>
      </w:r>
      <w:r>
        <w:rPr/>
        <w:t>2</w:t>
      </w:r>
      <w:r>
        <w:rPr>
          <w:spacing w:val="-6"/>
        </w:rPr>
        <w:t> </w:t>
      </w:r>
      <w:r>
        <w:rPr/>
        <w:t>WF.</w:t>
      </w:r>
      <w:r>
        <w:rPr>
          <w:spacing w:val="-7"/>
        </w:rPr>
        <w:t> </w:t>
      </w:r>
      <w:r>
        <w:rPr/>
        <w:t>Victims’</w:t>
      </w:r>
      <w:r>
        <w:rPr>
          <w:spacing w:val="-6"/>
        </w:rPr>
        <w:t> </w:t>
      </w:r>
      <w:r>
        <w:rPr/>
        <w:t>rights</w:t>
      </w:r>
      <w:r>
        <w:rPr>
          <w:spacing w:val="-7"/>
        </w:rPr>
        <w:t> </w:t>
      </w:r>
      <w:r>
        <w:rPr/>
        <w:t>were</w:t>
      </w:r>
      <w:r>
        <w:rPr>
          <w:spacing w:val="-6"/>
        </w:rPr>
        <w:t> </w:t>
      </w:r>
      <w:r>
        <w:rPr/>
        <w:t>indeed</w:t>
      </w:r>
      <w:r>
        <w:rPr>
          <w:spacing w:val="-7"/>
        </w:rPr>
        <w:t> </w:t>
      </w:r>
      <w:r>
        <w:rPr/>
        <w:t>central</w:t>
      </w:r>
      <w:r>
        <w:rPr>
          <w:spacing w:val="-7"/>
        </w:rPr>
        <w:t> </w:t>
      </w:r>
      <w:r>
        <w:rPr/>
        <w:t>to</w:t>
      </w:r>
      <w:r>
        <w:rPr>
          <w:spacing w:val="-7"/>
        </w:rPr>
        <w:t> </w:t>
      </w:r>
      <w:r>
        <w:rPr/>
        <w:t>the</w:t>
      </w:r>
      <w:r>
        <w:rPr>
          <w:spacing w:val="-6"/>
        </w:rPr>
        <w:t> </w:t>
      </w:r>
      <w:r>
        <w:rPr/>
        <w:t>ruling</w:t>
      </w:r>
      <w:r>
        <w:rPr>
          <w:spacing w:val="-6"/>
        </w:rPr>
        <w:t> </w:t>
      </w:r>
      <w:r>
        <w:rPr/>
        <w:t>in the </w:t>
      </w:r>
      <w:r>
        <w:rPr>
          <w:i/>
        </w:rPr>
        <w:t>Legacy Act cases (Dillon and others)</w:t>
      </w:r>
      <w:r>
        <w:rPr/>
        <w:t>.</w:t>
      </w:r>
    </w:p>
    <w:p>
      <w:pPr>
        <w:pStyle w:val="BodyText"/>
        <w:spacing w:before="2"/>
        <w:rPr>
          <w:sz w:val="20"/>
        </w:rPr>
      </w:pPr>
      <w:r>
        <w:rPr/>
        <mc:AlternateContent>
          <mc:Choice Requires="wps">
            <w:drawing>
              <wp:anchor distT="0" distB="0" distL="0" distR="0" allowOverlap="1" layoutInCell="1" locked="0" behindDoc="1" simplePos="0" relativeHeight="487747072">
                <wp:simplePos x="0" y="0"/>
                <wp:positionH relativeFrom="page">
                  <wp:posOffset>647994</wp:posOffset>
                </wp:positionH>
                <wp:positionV relativeFrom="paragraph">
                  <wp:posOffset>172078</wp:posOffset>
                </wp:positionV>
                <wp:extent cx="6012180" cy="1651635"/>
                <wp:effectExtent l="0" t="0" r="0" b="0"/>
                <wp:wrapTopAndBottom/>
                <wp:docPr id="845" name="Group 845"/>
                <wp:cNvGraphicFramePr>
                  <a:graphicFrameLocks/>
                </wp:cNvGraphicFramePr>
                <a:graphic>
                  <a:graphicData uri="http://schemas.microsoft.com/office/word/2010/wordprocessingGroup">
                    <wpg:wgp>
                      <wpg:cNvPr id="845" name="Group 845"/>
                      <wpg:cNvGrpSpPr/>
                      <wpg:grpSpPr>
                        <a:xfrm>
                          <a:off x="0" y="0"/>
                          <a:ext cx="6012180" cy="1651635"/>
                          <a:chExt cx="6012180" cy="1651635"/>
                        </a:xfrm>
                      </wpg:grpSpPr>
                      <wps:wsp>
                        <wps:cNvPr id="846" name="Graphic 846"/>
                        <wps:cNvSpPr/>
                        <wps:spPr>
                          <a:xfrm>
                            <a:off x="0" y="0"/>
                            <a:ext cx="6012180" cy="1651635"/>
                          </a:xfrm>
                          <a:custGeom>
                            <a:avLst/>
                            <a:gdLst/>
                            <a:ahLst/>
                            <a:cxnLst/>
                            <a:rect l="l" t="t" r="r" b="b"/>
                            <a:pathLst>
                              <a:path w="6012180" h="1651635">
                                <a:moveTo>
                                  <a:pt x="5868009" y="0"/>
                                </a:moveTo>
                                <a:lnTo>
                                  <a:pt x="144005" y="0"/>
                                </a:lnTo>
                                <a:lnTo>
                                  <a:pt x="98490" y="7340"/>
                                </a:lnTo>
                                <a:lnTo>
                                  <a:pt x="58959" y="27782"/>
                                </a:lnTo>
                                <a:lnTo>
                                  <a:pt x="27785" y="58954"/>
                                </a:lnTo>
                                <a:lnTo>
                                  <a:pt x="7341" y="98485"/>
                                </a:lnTo>
                                <a:lnTo>
                                  <a:pt x="0" y="144005"/>
                                </a:lnTo>
                                <a:lnTo>
                                  <a:pt x="0" y="1507096"/>
                                </a:lnTo>
                                <a:lnTo>
                                  <a:pt x="7341" y="1552611"/>
                                </a:lnTo>
                                <a:lnTo>
                                  <a:pt x="27785" y="1592142"/>
                                </a:lnTo>
                                <a:lnTo>
                                  <a:pt x="58959" y="1623315"/>
                                </a:lnTo>
                                <a:lnTo>
                                  <a:pt x="98490" y="1643759"/>
                                </a:lnTo>
                                <a:lnTo>
                                  <a:pt x="144005" y="1651101"/>
                                </a:lnTo>
                                <a:lnTo>
                                  <a:pt x="5868009" y="1651101"/>
                                </a:lnTo>
                                <a:lnTo>
                                  <a:pt x="5913523" y="1643759"/>
                                </a:lnTo>
                                <a:lnTo>
                                  <a:pt x="5953050" y="1623315"/>
                                </a:lnTo>
                                <a:lnTo>
                                  <a:pt x="5984220" y="1592142"/>
                                </a:lnTo>
                                <a:lnTo>
                                  <a:pt x="6004661" y="1552611"/>
                                </a:lnTo>
                                <a:lnTo>
                                  <a:pt x="6012002" y="15070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847" name="Textbox 847"/>
                        <wps:cNvSpPr txBox="1"/>
                        <wps:spPr>
                          <a:xfrm>
                            <a:off x="0" y="0"/>
                            <a:ext cx="6012180" cy="1651635"/>
                          </a:xfrm>
                          <a:prstGeom prst="rect">
                            <a:avLst/>
                          </a:prstGeom>
                        </wps:spPr>
                        <wps:txbx>
                          <w:txbxContent>
                            <w:p>
                              <w:pPr>
                                <w:spacing w:line="232" w:lineRule="auto" w:before="121"/>
                                <w:ind w:left="340" w:right="475" w:firstLine="0"/>
                                <w:jc w:val="left"/>
                                <w:rPr>
                                  <w:b/>
                                  <w:sz w:val="28"/>
                                </w:rPr>
                              </w:pPr>
                              <w:r>
                                <w:rPr>
                                  <w:b/>
                                  <w:color w:val="164194"/>
                                  <w:sz w:val="28"/>
                                </w:rPr>
                                <w:t>We</w:t>
                              </w:r>
                              <w:r>
                                <w:rPr>
                                  <w:b/>
                                  <w:color w:val="164194"/>
                                  <w:spacing w:val="-3"/>
                                  <w:sz w:val="28"/>
                                </w:rPr>
                                <w:t> </w:t>
                              </w:r>
                              <w:r>
                                <w:rPr>
                                  <w:b/>
                                  <w:color w:val="164194"/>
                                  <w:sz w:val="28"/>
                                </w:rPr>
                                <w:t>recommend</w:t>
                              </w:r>
                              <w:r>
                                <w:rPr>
                                  <w:b/>
                                  <w:color w:val="164194"/>
                                  <w:spacing w:val="-2"/>
                                  <w:sz w:val="28"/>
                                </w:rPr>
                                <w:t> </w:t>
                              </w:r>
                              <w:r>
                                <w:rPr>
                                  <w:b/>
                                  <w:color w:val="164194"/>
                                  <w:sz w:val="28"/>
                                </w:rPr>
                                <w:t>the</w:t>
                              </w:r>
                              <w:r>
                                <w:rPr>
                                  <w:b/>
                                  <w:color w:val="164194"/>
                                  <w:spacing w:val="-3"/>
                                  <w:sz w:val="28"/>
                                </w:rPr>
                                <w:t> </w:t>
                              </w:r>
                              <w:r>
                                <w:rPr>
                                  <w:b/>
                                  <w:color w:val="164194"/>
                                  <w:sz w:val="28"/>
                                </w:rPr>
                                <w:t>NI</w:t>
                              </w:r>
                              <w:r>
                                <w:rPr>
                                  <w:b/>
                                  <w:color w:val="164194"/>
                                  <w:spacing w:val="-2"/>
                                  <w:sz w:val="28"/>
                                </w:rPr>
                                <w:t> </w:t>
                              </w:r>
                              <w:r>
                                <w:rPr>
                                  <w:b/>
                                  <w:color w:val="164194"/>
                                  <w:sz w:val="28"/>
                                </w:rPr>
                                <w:t>Executive</w:t>
                              </w:r>
                              <w:r>
                                <w:rPr>
                                  <w:b/>
                                  <w:color w:val="164194"/>
                                  <w:spacing w:val="-3"/>
                                  <w:sz w:val="28"/>
                                </w:rPr>
                                <w:t> </w:t>
                              </w:r>
                              <w:r>
                                <w:rPr>
                                  <w:b/>
                                  <w:color w:val="164194"/>
                                  <w:sz w:val="28"/>
                                </w:rPr>
                                <w:t>monitor</w:t>
                              </w:r>
                              <w:r>
                                <w:rPr>
                                  <w:b/>
                                  <w:color w:val="164194"/>
                                  <w:spacing w:val="-3"/>
                                  <w:sz w:val="28"/>
                                </w:rPr>
                                <w:t> </w:t>
                              </w:r>
                              <w:r>
                                <w:rPr>
                                  <w:b/>
                                  <w:color w:val="164194"/>
                                  <w:sz w:val="28"/>
                                </w:rPr>
                                <w:t>EU</w:t>
                              </w:r>
                              <w:r>
                                <w:rPr>
                                  <w:b/>
                                  <w:color w:val="164194"/>
                                  <w:spacing w:val="-2"/>
                                  <w:sz w:val="28"/>
                                </w:rPr>
                                <w:t> </w:t>
                              </w:r>
                              <w:r>
                                <w:rPr>
                                  <w:b/>
                                  <w:color w:val="164194"/>
                                  <w:sz w:val="28"/>
                                </w:rPr>
                                <w:t>proposals</w:t>
                              </w:r>
                              <w:r>
                                <w:rPr>
                                  <w:b/>
                                  <w:color w:val="164194"/>
                                  <w:spacing w:val="-2"/>
                                  <w:sz w:val="28"/>
                                </w:rPr>
                                <w:t> </w:t>
                              </w:r>
                              <w:r>
                                <w:rPr>
                                  <w:b/>
                                  <w:color w:val="164194"/>
                                  <w:sz w:val="28"/>
                                </w:rPr>
                                <w:t>on</w:t>
                              </w:r>
                              <w:r>
                                <w:rPr>
                                  <w:b/>
                                  <w:color w:val="164194"/>
                                  <w:spacing w:val="-2"/>
                                  <w:sz w:val="28"/>
                                </w:rPr>
                                <w:t> </w:t>
                              </w:r>
                              <w:r>
                                <w:rPr>
                                  <w:b/>
                                  <w:color w:val="164194"/>
                                  <w:sz w:val="28"/>
                                </w:rPr>
                                <w:t>the</w:t>
                              </w:r>
                              <w:r>
                                <w:rPr>
                                  <w:b/>
                                  <w:color w:val="164194"/>
                                  <w:spacing w:val="-3"/>
                                  <w:sz w:val="28"/>
                                </w:rPr>
                                <w:t> </w:t>
                              </w:r>
                              <w:r>
                                <w:rPr>
                                  <w:b/>
                                  <w:color w:val="164194"/>
                                  <w:sz w:val="28"/>
                                </w:rPr>
                                <w:t>protection of people from manifestly unfounded or abusive court processes and victims’ rights with a view to assessing whether Northern Ireland law needs amendment to strengthen rights and reflect international human rights standards and best practice. We recommend voluntary alignment with</w:t>
                              </w:r>
                              <w:r>
                                <w:rPr>
                                  <w:b/>
                                  <w:color w:val="164194"/>
                                  <w:spacing w:val="-7"/>
                                  <w:sz w:val="28"/>
                                </w:rPr>
                                <w:t> </w:t>
                              </w:r>
                              <w:r>
                                <w:rPr>
                                  <w:b/>
                                  <w:color w:val="164194"/>
                                  <w:sz w:val="28"/>
                                </w:rPr>
                                <w:t>EU</w:t>
                              </w:r>
                              <w:r>
                                <w:rPr>
                                  <w:b/>
                                  <w:color w:val="164194"/>
                                  <w:spacing w:val="-7"/>
                                  <w:sz w:val="28"/>
                                </w:rPr>
                                <w:t> </w:t>
                              </w:r>
                              <w:r>
                                <w:rPr>
                                  <w:b/>
                                  <w:color w:val="164194"/>
                                  <w:sz w:val="28"/>
                                </w:rPr>
                                <w:t>proposals</w:t>
                              </w:r>
                              <w:r>
                                <w:rPr>
                                  <w:b/>
                                  <w:color w:val="164194"/>
                                  <w:spacing w:val="-7"/>
                                  <w:sz w:val="28"/>
                                </w:rPr>
                                <w:t> </w:t>
                              </w:r>
                              <w:r>
                                <w:rPr>
                                  <w:b/>
                                  <w:color w:val="164194"/>
                                  <w:sz w:val="28"/>
                                </w:rPr>
                                <w:t>in</w:t>
                              </w:r>
                              <w:r>
                                <w:rPr>
                                  <w:b/>
                                  <w:color w:val="164194"/>
                                  <w:spacing w:val="-7"/>
                                  <w:sz w:val="28"/>
                                </w:rPr>
                                <w:t> </w:t>
                              </w:r>
                              <w:r>
                                <w:rPr>
                                  <w:b/>
                                  <w:color w:val="164194"/>
                                  <w:sz w:val="28"/>
                                </w:rPr>
                                <w:t>these</w:t>
                              </w:r>
                              <w:r>
                                <w:rPr>
                                  <w:b/>
                                  <w:color w:val="164194"/>
                                  <w:spacing w:val="-8"/>
                                  <w:sz w:val="28"/>
                                </w:rPr>
                                <w:t> </w:t>
                              </w:r>
                              <w:r>
                                <w:rPr>
                                  <w:b/>
                                  <w:color w:val="164194"/>
                                  <w:sz w:val="28"/>
                                </w:rPr>
                                <w:t>areas</w:t>
                              </w:r>
                              <w:r>
                                <w:rPr>
                                  <w:b/>
                                  <w:color w:val="164194"/>
                                  <w:spacing w:val="-7"/>
                                  <w:sz w:val="28"/>
                                </w:rPr>
                                <w:t> </w:t>
                              </w:r>
                              <w:r>
                                <w:rPr>
                                  <w:b/>
                                  <w:color w:val="164194"/>
                                  <w:sz w:val="28"/>
                                </w:rPr>
                                <w:t>where</w:t>
                              </w:r>
                              <w:r>
                                <w:rPr>
                                  <w:b/>
                                  <w:color w:val="164194"/>
                                  <w:spacing w:val="-8"/>
                                  <w:sz w:val="28"/>
                                </w:rPr>
                                <w:t> </w:t>
                              </w:r>
                              <w:r>
                                <w:rPr>
                                  <w:b/>
                                  <w:color w:val="164194"/>
                                  <w:sz w:val="28"/>
                                </w:rPr>
                                <w:t>they</w:t>
                              </w:r>
                              <w:r>
                                <w:rPr>
                                  <w:b/>
                                  <w:color w:val="164194"/>
                                  <w:spacing w:val="-7"/>
                                  <w:sz w:val="28"/>
                                </w:rPr>
                                <w:t> </w:t>
                              </w:r>
                              <w:r>
                                <w:rPr>
                                  <w:b/>
                                  <w:color w:val="164194"/>
                                  <w:sz w:val="28"/>
                                </w:rPr>
                                <w:t>strengthen</w:t>
                              </w:r>
                              <w:r>
                                <w:rPr>
                                  <w:b/>
                                  <w:color w:val="164194"/>
                                  <w:spacing w:val="-7"/>
                                  <w:sz w:val="28"/>
                                </w:rPr>
                                <w:t> </w:t>
                              </w:r>
                              <w:r>
                                <w:rPr>
                                  <w:b/>
                                  <w:color w:val="164194"/>
                                  <w:sz w:val="28"/>
                                </w:rPr>
                                <w:t>rights</w:t>
                              </w:r>
                              <w:r>
                                <w:rPr>
                                  <w:b/>
                                  <w:color w:val="164194"/>
                                  <w:spacing w:val="-7"/>
                                  <w:sz w:val="28"/>
                                </w:rPr>
                                <w:t> </w:t>
                              </w:r>
                              <w:r>
                                <w:rPr>
                                  <w:b/>
                                  <w:color w:val="164194"/>
                                  <w:sz w:val="28"/>
                                </w:rPr>
                                <w:t>and</w:t>
                              </w:r>
                              <w:r>
                                <w:rPr>
                                  <w:b/>
                                  <w:color w:val="164194"/>
                                  <w:spacing w:val="-7"/>
                                  <w:sz w:val="28"/>
                                </w:rPr>
                                <w:t> </w:t>
                              </w:r>
                              <w:r>
                                <w:rPr>
                                  <w:b/>
                                  <w:color w:val="164194"/>
                                  <w:sz w:val="28"/>
                                </w:rPr>
                                <w:t>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3.549486pt;width:473.4pt;height:130.0500pt;mso-position-horizontal-relative:page;mso-position-vertical-relative:paragraph;z-index:-15569408;mso-wrap-distance-left:0;mso-wrap-distance-right:0" id="docshapegroup693" coordorigin="1020,271" coordsize="9468,2601">
                <v:shape style="position:absolute;left:1020;top:270;width:9468;height:2601" id="docshape694" coordorigin="1020,271" coordsize="9468,2601" path="m10261,271l1247,271,1176,283,1113,315,1064,364,1032,426,1020,498,1020,2644,1032,2716,1064,2778,1113,2827,1176,2860,1247,2871,10261,2871,10333,2860,10395,2827,10444,2778,10477,2716,10488,2644,10488,498,10477,426,10444,364,10395,315,10333,283,10261,271xe" filled="true" fillcolor="#e9f3fc" stroked="false">
                  <v:path arrowok="t"/>
                  <v:fill type="solid"/>
                </v:shape>
                <v:shape style="position:absolute;left:1020;top:270;width:9468;height:2601" type="#_x0000_t202" id="docshape695" filled="false" stroked="false">
                  <v:textbox inset="0,0,0,0">
                    <w:txbxContent>
                      <w:p>
                        <w:pPr>
                          <w:spacing w:line="232" w:lineRule="auto" w:before="121"/>
                          <w:ind w:left="340" w:right="475" w:firstLine="0"/>
                          <w:jc w:val="left"/>
                          <w:rPr>
                            <w:b/>
                            <w:sz w:val="28"/>
                          </w:rPr>
                        </w:pPr>
                        <w:r>
                          <w:rPr>
                            <w:b/>
                            <w:color w:val="164194"/>
                            <w:sz w:val="28"/>
                          </w:rPr>
                          <w:t>We</w:t>
                        </w:r>
                        <w:r>
                          <w:rPr>
                            <w:b/>
                            <w:color w:val="164194"/>
                            <w:spacing w:val="-3"/>
                            <w:sz w:val="28"/>
                          </w:rPr>
                          <w:t> </w:t>
                        </w:r>
                        <w:r>
                          <w:rPr>
                            <w:b/>
                            <w:color w:val="164194"/>
                            <w:sz w:val="28"/>
                          </w:rPr>
                          <w:t>recommend</w:t>
                        </w:r>
                        <w:r>
                          <w:rPr>
                            <w:b/>
                            <w:color w:val="164194"/>
                            <w:spacing w:val="-2"/>
                            <w:sz w:val="28"/>
                          </w:rPr>
                          <w:t> </w:t>
                        </w:r>
                        <w:r>
                          <w:rPr>
                            <w:b/>
                            <w:color w:val="164194"/>
                            <w:sz w:val="28"/>
                          </w:rPr>
                          <w:t>the</w:t>
                        </w:r>
                        <w:r>
                          <w:rPr>
                            <w:b/>
                            <w:color w:val="164194"/>
                            <w:spacing w:val="-3"/>
                            <w:sz w:val="28"/>
                          </w:rPr>
                          <w:t> </w:t>
                        </w:r>
                        <w:r>
                          <w:rPr>
                            <w:b/>
                            <w:color w:val="164194"/>
                            <w:sz w:val="28"/>
                          </w:rPr>
                          <w:t>NI</w:t>
                        </w:r>
                        <w:r>
                          <w:rPr>
                            <w:b/>
                            <w:color w:val="164194"/>
                            <w:spacing w:val="-2"/>
                            <w:sz w:val="28"/>
                          </w:rPr>
                          <w:t> </w:t>
                        </w:r>
                        <w:r>
                          <w:rPr>
                            <w:b/>
                            <w:color w:val="164194"/>
                            <w:sz w:val="28"/>
                          </w:rPr>
                          <w:t>Executive</w:t>
                        </w:r>
                        <w:r>
                          <w:rPr>
                            <w:b/>
                            <w:color w:val="164194"/>
                            <w:spacing w:val="-3"/>
                            <w:sz w:val="28"/>
                          </w:rPr>
                          <w:t> </w:t>
                        </w:r>
                        <w:r>
                          <w:rPr>
                            <w:b/>
                            <w:color w:val="164194"/>
                            <w:sz w:val="28"/>
                          </w:rPr>
                          <w:t>monitor</w:t>
                        </w:r>
                        <w:r>
                          <w:rPr>
                            <w:b/>
                            <w:color w:val="164194"/>
                            <w:spacing w:val="-3"/>
                            <w:sz w:val="28"/>
                          </w:rPr>
                          <w:t> </w:t>
                        </w:r>
                        <w:r>
                          <w:rPr>
                            <w:b/>
                            <w:color w:val="164194"/>
                            <w:sz w:val="28"/>
                          </w:rPr>
                          <w:t>EU</w:t>
                        </w:r>
                        <w:r>
                          <w:rPr>
                            <w:b/>
                            <w:color w:val="164194"/>
                            <w:spacing w:val="-2"/>
                            <w:sz w:val="28"/>
                          </w:rPr>
                          <w:t> </w:t>
                        </w:r>
                        <w:r>
                          <w:rPr>
                            <w:b/>
                            <w:color w:val="164194"/>
                            <w:sz w:val="28"/>
                          </w:rPr>
                          <w:t>proposals</w:t>
                        </w:r>
                        <w:r>
                          <w:rPr>
                            <w:b/>
                            <w:color w:val="164194"/>
                            <w:spacing w:val="-2"/>
                            <w:sz w:val="28"/>
                          </w:rPr>
                          <w:t> </w:t>
                        </w:r>
                        <w:r>
                          <w:rPr>
                            <w:b/>
                            <w:color w:val="164194"/>
                            <w:sz w:val="28"/>
                          </w:rPr>
                          <w:t>on</w:t>
                        </w:r>
                        <w:r>
                          <w:rPr>
                            <w:b/>
                            <w:color w:val="164194"/>
                            <w:spacing w:val="-2"/>
                            <w:sz w:val="28"/>
                          </w:rPr>
                          <w:t> </w:t>
                        </w:r>
                        <w:r>
                          <w:rPr>
                            <w:b/>
                            <w:color w:val="164194"/>
                            <w:sz w:val="28"/>
                          </w:rPr>
                          <w:t>the</w:t>
                        </w:r>
                        <w:r>
                          <w:rPr>
                            <w:b/>
                            <w:color w:val="164194"/>
                            <w:spacing w:val="-3"/>
                            <w:sz w:val="28"/>
                          </w:rPr>
                          <w:t> </w:t>
                        </w:r>
                        <w:r>
                          <w:rPr>
                            <w:b/>
                            <w:color w:val="164194"/>
                            <w:sz w:val="28"/>
                          </w:rPr>
                          <w:t>protection of people from manifestly unfounded or abusive court processes and victims’ rights with a view to assessing whether Northern Ireland law needs amendment to strengthen rights and reflect international human rights standards and best practice. We recommend voluntary alignment with</w:t>
                        </w:r>
                        <w:r>
                          <w:rPr>
                            <w:b/>
                            <w:color w:val="164194"/>
                            <w:spacing w:val="-7"/>
                            <w:sz w:val="28"/>
                          </w:rPr>
                          <w:t> </w:t>
                        </w:r>
                        <w:r>
                          <w:rPr>
                            <w:b/>
                            <w:color w:val="164194"/>
                            <w:sz w:val="28"/>
                          </w:rPr>
                          <w:t>EU</w:t>
                        </w:r>
                        <w:r>
                          <w:rPr>
                            <w:b/>
                            <w:color w:val="164194"/>
                            <w:spacing w:val="-7"/>
                            <w:sz w:val="28"/>
                          </w:rPr>
                          <w:t> </w:t>
                        </w:r>
                        <w:r>
                          <w:rPr>
                            <w:b/>
                            <w:color w:val="164194"/>
                            <w:sz w:val="28"/>
                          </w:rPr>
                          <w:t>proposals</w:t>
                        </w:r>
                        <w:r>
                          <w:rPr>
                            <w:b/>
                            <w:color w:val="164194"/>
                            <w:spacing w:val="-7"/>
                            <w:sz w:val="28"/>
                          </w:rPr>
                          <w:t> </w:t>
                        </w:r>
                        <w:r>
                          <w:rPr>
                            <w:b/>
                            <w:color w:val="164194"/>
                            <w:sz w:val="28"/>
                          </w:rPr>
                          <w:t>in</w:t>
                        </w:r>
                        <w:r>
                          <w:rPr>
                            <w:b/>
                            <w:color w:val="164194"/>
                            <w:spacing w:val="-7"/>
                            <w:sz w:val="28"/>
                          </w:rPr>
                          <w:t> </w:t>
                        </w:r>
                        <w:r>
                          <w:rPr>
                            <w:b/>
                            <w:color w:val="164194"/>
                            <w:sz w:val="28"/>
                          </w:rPr>
                          <w:t>these</w:t>
                        </w:r>
                        <w:r>
                          <w:rPr>
                            <w:b/>
                            <w:color w:val="164194"/>
                            <w:spacing w:val="-8"/>
                            <w:sz w:val="28"/>
                          </w:rPr>
                          <w:t> </w:t>
                        </w:r>
                        <w:r>
                          <w:rPr>
                            <w:b/>
                            <w:color w:val="164194"/>
                            <w:sz w:val="28"/>
                          </w:rPr>
                          <w:t>areas</w:t>
                        </w:r>
                        <w:r>
                          <w:rPr>
                            <w:b/>
                            <w:color w:val="164194"/>
                            <w:spacing w:val="-7"/>
                            <w:sz w:val="28"/>
                          </w:rPr>
                          <w:t> </w:t>
                        </w:r>
                        <w:r>
                          <w:rPr>
                            <w:b/>
                            <w:color w:val="164194"/>
                            <w:sz w:val="28"/>
                          </w:rPr>
                          <w:t>where</w:t>
                        </w:r>
                        <w:r>
                          <w:rPr>
                            <w:b/>
                            <w:color w:val="164194"/>
                            <w:spacing w:val="-8"/>
                            <w:sz w:val="28"/>
                          </w:rPr>
                          <w:t> </w:t>
                        </w:r>
                        <w:r>
                          <w:rPr>
                            <w:b/>
                            <w:color w:val="164194"/>
                            <w:sz w:val="28"/>
                          </w:rPr>
                          <w:t>they</w:t>
                        </w:r>
                        <w:r>
                          <w:rPr>
                            <w:b/>
                            <w:color w:val="164194"/>
                            <w:spacing w:val="-7"/>
                            <w:sz w:val="28"/>
                          </w:rPr>
                          <w:t> </w:t>
                        </w:r>
                        <w:r>
                          <w:rPr>
                            <w:b/>
                            <w:color w:val="164194"/>
                            <w:sz w:val="28"/>
                          </w:rPr>
                          <w:t>strengthen</w:t>
                        </w:r>
                        <w:r>
                          <w:rPr>
                            <w:b/>
                            <w:color w:val="164194"/>
                            <w:spacing w:val="-7"/>
                            <w:sz w:val="28"/>
                          </w:rPr>
                          <w:t> </w:t>
                        </w:r>
                        <w:r>
                          <w:rPr>
                            <w:b/>
                            <w:color w:val="164194"/>
                            <w:sz w:val="28"/>
                          </w:rPr>
                          <w:t>rights</w:t>
                        </w:r>
                        <w:r>
                          <w:rPr>
                            <w:b/>
                            <w:color w:val="164194"/>
                            <w:spacing w:val="-7"/>
                            <w:sz w:val="28"/>
                          </w:rPr>
                          <w:t> </w:t>
                        </w:r>
                        <w:r>
                          <w:rPr>
                            <w:b/>
                            <w:color w:val="164194"/>
                            <w:sz w:val="28"/>
                          </w:rPr>
                          <w:t>and</w:t>
                        </w:r>
                        <w:r>
                          <w:rPr>
                            <w:b/>
                            <w:color w:val="164194"/>
                            <w:spacing w:val="-7"/>
                            <w:sz w:val="28"/>
                          </w:rPr>
                          <w:t> </w:t>
                        </w:r>
                        <w:r>
                          <w:rPr>
                            <w:b/>
                            <w:color w:val="164194"/>
                            <w:sz w:val="28"/>
                          </w:rPr>
                          <w:t>reflect international human rights standards and best practice.</w:t>
                        </w:r>
                      </w:p>
                    </w:txbxContent>
                  </v:textbox>
                  <w10:wrap type="none"/>
                </v:shape>
                <w10:wrap type="topAndBottom"/>
              </v:group>
            </w:pict>
          </mc:Fallback>
        </mc:AlternateContent>
      </w:r>
    </w:p>
    <w:p>
      <w:pPr>
        <w:pStyle w:val="BodyText"/>
        <w:spacing w:before="1"/>
      </w:pPr>
    </w:p>
    <w:p>
      <w:pPr>
        <w:pStyle w:val="ListParagraph"/>
        <w:numPr>
          <w:ilvl w:val="3"/>
          <w:numId w:val="33"/>
        </w:numPr>
        <w:tabs>
          <w:tab w:pos="1563" w:val="left" w:leader="none"/>
        </w:tabs>
        <w:spacing w:line="240" w:lineRule="auto" w:before="0" w:after="0"/>
        <w:ind w:left="720" w:right="2500" w:firstLine="0"/>
        <w:jc w:val="left"/>
        <w:rPr>
          <w:sz w:val="28"/>
        </w:rPr>
      </w:pPr>
      <w:r>
        <w:rPr>
          <w:color w:val="004A93"/>
          <w:sz w:val="28"/>
        </w:rPr>
        <w:t>EU</w:t>
      </w:r>
      <w:r>
        <w:rPr>
          <w:color w:val="004A93"/>
          <w:spacing w:val="-10"/>
          <w:sz w:val="28"/>
        </w:rPr>
        <w:t> </w:t>
      </w:r>
      <w:r>
        <w:rPr>
          <w:color w:val="004A93"/>
          <w:sz w:val="28"/>
        </w:rPr>
        <w:t>legislation</w:t>
      </w:r>
      <w:r>
        <w:rPr>
          <w:color w:val="004A93"/>
          <w:spacing w:val="-11"/>
          <w:sz w:val="28"/>
        </w:rPr>
        <w:t> </w:t>
      </w:r>
      <w:r>
        <w:rPr>
          <w:color w:val="004A93"/>
          <w:sz w:val="28"/>
        </w:rPr>
        <w:t>regarding</w:t>
      </w:r>
      <w:r>
        <w:rPr>
          <w:color w:val="004A93"/>
          <w:spacing w:val="-10"/>
          <w:sz w:val="28"/>
        </w:rPr>
        <w:t> </w:t>
      </w:r>
      <w:r>
        <w:rPr>
          <w:color w:val="004A93"/>
          <w:sz w:val="28"/>
        </w:rPr>
        <w:t>employment</w:t>
      </w:r>
      <w:r>
        <w:rPr>
          <w:color w:val="004A93"/>
          <w:spacing w:val="-10"/>
          <w:sz w:val="28"/>
        </w:rPr>
        <w:t> </w:t>
      </w:r>
      <w:r>
        <w:rPr>
          <w:color w:val="004A93"/>
          <w:sz w:val="28"/>
        </w:rPr>
        <w:t>rights</w:t>
      </w:r>
      <w:r>
        <w:rPr>
          <w:color w:val="004A93"/>
          <w:spacing w:val="-11"/>
          <w:sz w:val="28"/>
        </w:rPr>
        <w:t> </w:t>
      </w:r>
      <w:r>
        <w:rPr>
          <w:color w:val="004A93"/>
          <w:sz w:val="28"/>
        </w:rPr>
        <w:t>and</w:t>
      </w:r>
      <w:r>
        <w:rPr>
          <w:color w:val="004A93"/>
          <w:spacing w:val="-11"/>
          <w:sz w:val="28"/>
        </w:rPr>
        <w:t> </w:t>
      </w:r>
      <w:r>
        <w:rPr>
          <w:color w:val="004A93"/>
          <w:sz w:val="28"/>
        </w:rPr>
        <w:t>corporate</w:t>
      </w:r>
      <w:r>
        <w:rPr>
          <w:color w:val="004A93"/>
          <w:spacing w:val="-10"/>
          <w:sz w:val="28"/>
        </w:rPr>
        <w:t> </w:t>
      </w:r>
      <w:r>
        <w:rPr>
          <w:color w:val="004A93"/>
          <w:sz w:val="28"/>
        </w:rPr>
        <w:t>social </w:t>
      </w:r>
      <w:r>
        <w:rPr>
          <w:color w:val="004A93"/>
          <w:spacing w:val="-2"/>
          <w:sz w:val="28"/>
        </w:rPr>
        <w:t>responsibility</w:t>
      </w:r>
    </w:p>
    <w:p>
      <w:pPr>
        <w:pStyle w:val="BodyText"/>
        <w:spacing w:line="232" w:lineRule="auto"/>
        <w:ind w:left="720" w:right="1087"/>
      </w:pPr>
      <w:r>
        <w:rPr/>
        <w:t>EU</w:t>
      </w:r>
      <w:r>
        <w:rPr>
          <w:spacing w:val="-6"/>
        </w:rPr>
        <w:t> </w:t>
      </w:r>
      <w:r>
        <w:rPr/>
        <w:t>law</w:t>
      </w:r>
      <w:r>
        <w:rPr>
          <w:spacing w:val="-6"/>
        </w:rPr>
        <w:t> </w:t>
      </w:r>
      <w:r>
        <w:rPr/>
        <w:t>has</w:t>
      </w:r>
      <w:r>
        <w:rPr>
          <w:spacing w:val="-7"/>
        </w:rPr>
        <w:t> </w:t>
      </w:r>
      <w:r>
        <w:rPr/>
        <w:t>recently</w:t>
      </w:r>
      <w:r>
        <w:rPr>
          <w:spacing w:val="-6"/>
        </w:rPr>
        <w:t> </w:t>
      </w:r>
      <w:r>
        <w:rPr/>
        <w:t>been</w:t>
      </w:r>
      <w:r>
        <w:rPr>
          <w:spacing w:val="-7"/>
        </w:rPr>
        <w:t> </w:t>
      </w:r>
      <w:r>
        <w:rPr/>
        <w:t>amended</w:t>
      </w:r>
      <w:r>
        <w:rPr>
          <w:spacing w:val="-7"/>
        </w:rPr>
        <w:t> </w:t>
      </w:r>
      <w:r>
        <w:rPr/>
        <w:t>to</w:t>
      </w:r>
      <w:r>
        <w:rPr>
          <w:spacing w:val="-7"/>
        </w:rPr>
        <w:t> </w:t>
      </w:r>
      <w:r>
        <w:rPr/>
        <w:t>provide</w:t>
      </w:r>
      <w:r>
        <w:rPr>
          <w:spacing w:val="-6"/>
        </w:rPr>
        <w:t> </w:t>
      </w:r>
      <w:r>
        <w:rPr/>
        <w:t>for</w:t>
      </w:r>
      <w:r>
        <w:rPr>
          <w:spacing w:val="-6"/>
        </w:rPr>
        <w:t> </w:t>
      </w:r>
      <w:r>
        <w:rPr/>
        <w:t>important</w:t>
      </w:r>
      <w:r>
        <w:rPr>
          <w:spacing w:val="-6"/>
        </w:rPr>
        <w:t> </w:t>
      </w:r>
      <w:r>
        <w:rPr/>
        <w:t>new</w:t>
      </w:r>
      <w:r>
        <w:rPr>
          <w:spacing w:val="-6"/>
        </w:rPr>
        <w:t> </w:t>
      </w:r>
      <w:r>
        <w:rPr/>
        <w:t>provisions</w:t>
      </w:r>
      <w:r>
        <w:rPr>
          <w:spacing w:val="-7"/>
        </w:rPr>
        <w:t> </w:t>
      </w:r>
      <w:r>
        <w:rPr/>
        <w:t>in relation to employment rights and corporate social responsibility.</w:t>
      </w:r>
    </w:p>
    <w:p>
      <w:pPr>
        <w:spacing w:line="232" w:lineRule="auto" w:before="275"/>
        <w:ind w:left="720" w:right="1242" w:firstLine="0"/>
        <w:jc w:val="both"/>
        <w:rPr>
          <w:sz w:val="28"/>
        </w:rPr>
      </w:pPr>
      <w:r>
        <w:rPr>
          <w:sz w:val="28"/>
        </w:rPr>
        <w:t>The</w:t>
      </w:r>
      <w:r>
        <w:rPr>
          <w:spacing w:val="-7"/>
          <w:sz w:val="28"/>
        </w:rPr>
        <w:t> </w:t>
      </w:r>
      <w:r>
        <w:rPr>
          <w:b/>
          <w:sz w:val="28"/>
        </w:rPr>
        <w:t>Corporate</w:t>
      </w:r>
      <w:r>
        <w:rPr>
          <w:b/>
          <w:spacing w:val="-7"/>
          <w:sz w:val="28"/>
        </w:rPr>
        <w:t> </w:t>
      </w:r>
      <w:r>
        <w:rPr>
          <w:b/>
          <w:sz w:val="28"/>
        </w:rPr>
        <w:t>Sustainability</w:t>
      </w:r>
      <w:r>
        <w:rPr>
          <w:b/>
          <w:spacing w:val="-6"/>
          <w:sz w:val="28"/>
        </w:rPr>
        <w:t> </w:t>
      </w:r>
      <w:r>
        <w:rPr>
          <w:b/>
          <w:sz w:val="28"/>
        </w:rPr>
        <w:t>Due</w:t>
      </w:r>
      <w:r>
        <w:rPr>
          <w:b/>
          <w:spacing w:val="-7"/>
          <w:sz w:val="28"/>
        </w:rPr>
        <w:t> </w:t>
      </w:r>
      <w:r>
        <w:rPr>
          <w:b/>
          <w:sz w:val="28"/>
        </w:rPr>
        <w:t>Diligence</w:t>
      </w:r>
      <w:r>
        <w:rPr>
          <w:b/>
          <w:spacing w:val="-7"/>
          <w:sz w:val="28"/>
        </w:rPr>
        <w:t> </w:t>
      </w:r>
      <w:r>
        <w:rPr>
          <w:b/>
          <w:sz w:val="28"/>
        </w:rPr>
        <w:t>Directive</w:t>
      </w:r>
      <w:r>
        <w:rPr>
          <w:b/>
          <w:spacing w:val="-5"/>
          <w:sz w:val="28"/>
        </w:rPr>
        <w:t> </w:t>
      </w:r>
      <w:r>
        <w:rPr>
          <w:sz w:val="28"/>
        </w:rPr>
        <w:t>requires</w:t>
      </w:r>
      <w:r>
        <w:rPr>
          <w:spacing w:val="-7"/>
          <w:sz w:val="28"/>
        </w:rPr>
        <w:t> </w:t>
      </w:r>
      <w:r>
        <w:rPr>
          <w:sz w:val="28"/>
        </w:rPr>
        <w:t>states</w:t>
      </w:r>
      <w:r>
        <w:rPr>
          <w:spacing w:val="-7"/>
          <w:sz w:val="28"/>
        </w:rPr>
        <w:t> </w:t>
      </w:r>
      <w:r>
        <w:rPr>
          <w:sz w:val="28"/>
        </w:rPr>
        <w:t>to</w:t>
      </w:r>
      <w:r>
        <w:rPr>
          <w:spacing w:val="-7"/>
          <w:sz w:val="28"/>
        </w:rPr>
        <w:t> </w:t>
      </w:r>
      <w:r>
        <w:rPr>
          <w:sz w:val="28"/>
        </w:rPr>
        <w:t>encourage companies</w:t>
      </w:r>
      <w:r>
        <w:rPr>
          <w:spacing w:val="-12"/>
          <w:sz w:val="28"/>
        </w:rPr>
        <w:t> </w:t>
      </w:r>
      <w:r>
        <w:rPr>
          <w:sz w:val="28"/>
        </w:rPr>
        <w:t>to</w:t>
      </w:r>
      <w:r>
        <w:rPr>
          <w:spacing w:val="-12"/>
          <w:sz w:val="28"/>
        </w:rPr>
        <w:t> </w:t>
      </w:r>
      <w:r>
        <w:rPr>
          <w:sz w:val="28"/>
        </w:rPr>
        <w:t>better</w:t>
      </w:r>
      <w:r>
        <w:rPr>
          <w:spacing w:val="-12"/>
          <w:sz w:val="28"/>
        </w:rPr>
        <w:t> </w:t>
      </w:r>
      <w:r>
        <w:rPr>
          <w:sz w:val="28"/>
        </w:rPr>
        <w:t>manage</w:t>
      </w:r>
      <w:r>
        <w:rPr>
          <w:spacing w:val="-12"/>
          <w:sz w:val="28"/>
        </w:rPr>
        <w:t> </w:t>
      </w:r>
      <w:r>
        <w:rPr>
          <w:sz w:val="28"/>
        </w:rPr>
        <w:t>sustainability-related</w:t>
      </w:r>
      <w:r>
        <w:rPr>
          <w:spacing w:val="-12"/>
          <w:sz w:val="28"/>
        </w:rPr>
        <w:t> </w:t>
      </w:r>
      <w:r>
        <w:rPr>
          <w:sz w:val="28"/>
        </w:rPr>
        <w:t>matters</w:t>
      </w:r>
      <w:r>
        <w:rPr>
          <w:spacing w:val="-12"/>
          <w:sz w:val="28"/>
        </w:rPr>
        <w:t> </w:t>
      </w:r>
      <w:r>
        <w:rPr>
          <w:sz w:val="28"/>
        </w:rPr>
        <w:t>in</w:t>
      </w:r>
      <w:r>
        <w:rPr>
          <w:spacing w:val="-12"/>
          <w:sz w:val="28"/>
        </w:rPr>
        <w:t> </w:t>
      </w:r>
      <w:r>
        <w:rPr>
          <w:sz w:val="28"/>
        </w:rPr>
        <w:t>their</w:t>
      </w:r>
      <w:r>
        <w:rPr>
          <w:spacing w:val="-12"/>
          <w:sz w:val="28"/>
        </w:rPr>
        <w:t> </w:t>
      </w:r>
      <w:r>
        <w:rPr>
          <w:sz w:val="28"/>
        </w:rPr>
        <w:t>own</w:t>
      </w:r>
      <w:r>
        <w:rPr>
          <w:spacing w:val="-12"/>
          <w:sz w:val="28"/>
        </w:rPr>
        <w:t> </w:t>
      </w:r>
      <w:r>
        <w:rPr>
          <w:sz w:val="28"/>
        </w:rPr>
        <w:t>operations and value chains regarding human rights and climate change. This would</w:t>
      </w:r>
    </w:p>
    <w:p>
      <w:pPr>
        <w:pStyle w:val="BodyText"/>
        <w:spacing w:line="232" w:lineRule="auto"/>
        <w:ind w:left="720" w:right="1675"/>
        <w:jc w:val="both"/>
      </w:pPr>
      <w:r>
        <w:rPr/>
        <w:t>involve</w:t>
      </w:r>
      <w:r>
        <w:rPr>
          <w:spacing w:val="-5"/>
        </w:rPr>
        <w:t> </w:t>
      </w:r>
      <w:r>
        <w:rPr/>
        <w:t>comprehensive</w:t>
      </w:r>
      <w:r>
        <w:rPr>
          <w:spacing w:val="-5"/>
        </w:rPr>
        <w:t> </w:t>
      </w:r>
      <w:r>
        <w:rPr/>
        <w:t>mitigation</w:t>
      </w:r>
      <w:r>
        <w:rPr>
          <w:spacing w:val="-6"/>
        </w:rPr>
        <w:t> </w:t>
      </w:r>
      <w:r>
        <w:rPr/>
        <w:t>processes</w:t>
      </w:r>
      <w:r>
        <w:rPr>
          <w:spacing w:val="-6"/>
        </w:rPr>
        <w:t> </w:t>
      </w:r>
      <w:r>
        <w:rPr/>
        <w:t>for</w:t>
      </w:r>
      <w:r>
        <w:rPr>
          <w:spacing w:val="-5"/>
        </w:rPr>
        <w:t> </w:t>
      </w:r>
      <w:r>
        <w:rPr/>
        <w:t>adverse</w:t>
      </w:r>
      <w:r>
        <w:rPr>
          <w:spacing w:val="-5"/>
        </w:rPr>
        <w:t> </w:t>
      </w:r>
      <w:r>
        <w:rPr/>
        <w:t>impacts;</w:t>
      </w:r>
      <w:r>
        <w:rPr>
          <w:spacing w:val="-5"/>
        </w:rPr>
        <w:t> </w:t>
      </w:r>
      <w:r>
        <w:rPr/>
        <w:t>and</w:t>
      </w:r>
      <w:r>
        <w:rPr>
          <w:spacing w:val="-6"/>
        </w:rPr>
        <w:t> </w:t>
      </w:r>
      <w:r>
        <w:rPr/>
        <w:t>focus</w:t>
      </w:r>
      <w:r>
        <w:rPr>
          <w:spacing w:val="-6"/>
        </w:rPr>
        <w:t> </w:t>
      </w:r>
      <w:r>
        <w:rPr/>
        <w:t>on sustainability,</w:t>
      </w:r>
      <w:r>
        <w:rPr>
          <w:spacing w:val="-9"/>
        </w:rPr>
        <w:t> </w:t>
      </w:r>
      <w:r>
        <w:rPr/>
        <w:t>human</w:t>
      </w:r>
      <w:r>
        <w:rPr>
          <w:spacing w:val="-10"/>
        </w:rPr>
        <w:t> </w:t>
      </w:r>
      <w:r>
        <w:rPr/>
        <w:t>rights</w:t>
      </w:r>
      <w:r>
        <w:rPr>
          <w:spacing w:val="-10"/>
        </w:rPr>
        <w:t> </w:t>
      </w:r>
      <w:r>
        <w:rPr/>
        <w:t>and</w:t>
      </w:r>
      <w:r>
        <w:rPr>
          <w:spacing w:val="-10"/>
        </w:rPr>
        <w:t> </w:t>
      </w:r>
      <w:r>
        <w:rPr/>
        <w:t>climate</w:t>
      </w:r>
      <w:r>
        <w:rPr>
          <w:spacing w:val="-9"/>
        </w:rPr>
        <w:t> </w:t>
      </w:r>
      <w:r>
        <w:rPr/>
        <w:t>change</w:t>
      </w:r>
      <w:r>
        <w:rPr>
          <w:spacing w:val="-9"/>
        </w:rPr>
        <w:t> </w:t>
      </w:r>
      <w:r>
        <w:rPr/>
        <w:t>at</w:t>
      </w:r>
      <w:r>
        <w:rPr>
          <w:spacing w:val="-9"/>
        </w:rPr>
        <w:t> </w:t>
      </w:r>
      <w:r>
        <w:rPr/>
        <w:t>management</w:t>
      </w:r>
      <w:r>
        <w:rPr>
          <w:spacing w:val="-9"/>
        </w:rPr>
        <w:t> </w:t>
      </w:r>
      <w:r>
        <w:rPr/>
        <w:t>level</w:t>
      </w:r>
      <w:r>
        <w:rPr>
          <w:spacing w:val="-10"/>
        </w:rPr>
        <w:t> </w:t>
      </w:r>
      <w:r>
        <w:rPr/>
        <w:t>including how business decisions are framed.</w:t>
      </w:r>
      <w:r>
        <w:rPr>
          <w:vertAlign w:val="superscript"/>
        </w:rPr>
        <w:t>498</w:t>
      </w:r>
    </w:p>
    <w:p>
      <w:pPr>
        <w:pStyle w:val="BodyText"/>
        <w:spacing w:line="232" w:lineRule="auto" w:before="274"/>
        <w:ind w:left="720" w:right="1159"/>
      </w:pPr>
      <w:r>
        <w:rPr/>
        <w:t>The European Parliament has approved the text of the </w:t>
      </w:r>
      <w:r>
        <w:rPr>
          <w:b/>
        </w:rPr>
        <w:t>Platform Work Directive </w:t>
      </w:r>
      <w:r>
        <w:rPr/>
        <w:t>in April</w:t>
      </w:r>
      <w:r>
        <w:rPr>
          <w:spacing w:val="-8"/>
        </w:rPr>
        <w:t> </w:t>
      </w:r>
      <w:r>
        <w:rPr/>
        <w:t>2024;</w:t>
      </w:r>
      <w:r>
        <w:rPr>
          <w:spacing w:val="-7"/>
        </w:rPr>
        <w:t> </w:t>
      </w:r>
      <w:r>
        <w:rPr/>
        <w:t>the</w:t>
      </w:r>
      <w:r>
        <w:rPr>
          <w:spacing w:val="-7"/>
        </w:rPr>
        <w:t> </w:t>
      </w:r>
      <w:r>
        <w:rPr/>
        <w:t>text</w:t>
      </w:r>
      <w:r>
        <w:rPr>
          <w:spacing w:val="-7"/>
        </w:rPr>
        <w:t> </w:t>
      </w:r>
      <w:r>
        <w:rPr/>
        <w:t>needs</w:t>
      </w:r>
      <w:r>
        <w:rPr>
          <w:spacing w:val="-8"/>
        </w:rPr>
        <w:t> </w:t>
      </w:r>
      <w:r>
        <w:rPr/>
        <w:t>approval</w:t>
      </w:r>
      <w:r>
        <w:rPr>
          <w:spacing w:val="-8"/>
        </w:rPr>
        <w:t> </w:t>
      </w:r>
      <w:r>
        <w:rPr/>
        <w:t>by</w:t>
      </w:r>
      <w:r>
        <w:rPr>
          <w:spacing w:val="-7"/>
        </w:rPr>
        <w:t> </w:t>
      </w:r>
      <w:r>
        <w:rPr/>
        <w:t>the</w:t>
      </w:r>
      <w:r>
        <w:rPr>
          <w:spacing w:val="-7"/>
        </w:rPr>
        <w:t> </w:t>
      </w:r>
      <w:r>
        <w:rPr/>
        <w:t>Council.</w:t>
      </w:r>
      <w:r>
        <w:rPr>
          <w:spacing w:val="-8"/>
        </w:rPr>
        <w:t> </w:t>
      </w:r>
      <w:r>
        <w:rPr/>
        <w:t>The</w:t>
      </w:r>
      <w:r>
        <w:rPr>
          <w:spacing w:val="-7"/>
        </w:rPr>
        <w:t> </w:t>
      </w:r>
      <w:r>
        <w:rPr/>
        <w:t>Platform</w:t>
      </w:r>
      <w:r>
        <w:rPr>
          <w:spacing w:val="-7"/>
        </w:rPr>
        <w:t> </w:t>
      </w:r>
      <w:r>
        <w:rPr/>
        <w:t>Work</w:t>
      </w:r>
      <w:r>
        <w:rPr>
          <w:spacing w:val="-7"/>
        </w:rPr>
        <w:t> </w:t>
      </w:r>
      <w:r>
        <w:rPr/>
        <w:t>Directive</w:t>
      </w:r>
      <w:r>
        <w:rPr>
          <w:spacing w:val="-7"/>
        </w:rPr>
        <w:t> </w:t>
      </w:r>
      <w:r>
        <w:rPr/>
        <w:t>will address employment rights in the ‘gig economy’ and provide guidance as to when</w:t>
      </w:r>
      <w:r>
        <w:rPr>
          <w:spacing w:val="40"/>
        </w:rPr>
        <w:t> </w:t>
      </w:r>
      <w:r>
        <w:rPr/>
        <w:t>a worker in the gig economy should be treated as an employee and so entitled to greater protections.</w:t>
      </w:r>
      <w:r>
        <w:rPr>
          <w:vertAlign w:val="superscript"/>
        </w:rPr>
        <w:t>499</w:t>
      </w:r>
    </w:p>
    <w:p>
      <w:pPr>
        <w:pStyle w:val="BodyText"/>
        <w:rPr>
          <w:sz w:val="20"/>
        </w:rPr>
      </w:pPr>
    </w:p>
    <w:p>
      <w:pPr>
        <w:pStyle w:val="BodyText"/>
        <w:rPr>
          <w:sz w:val="20"/>
        </w:rPr>
      </w:pPr>
    </w:p>
    <w:p>
      <w:pPr>
        <w:pStyle w:val="BodyText"/>
        <w:spacing w:before="184"/>
        <w:rPr>
          <w:sz w:val="20"/>
        </w:rPr>
      </w:pPr>
      <w:r>
        <w:rPr/>
        <mc:AlternateContent>
          <mc:Choice Requires="wps">
            <w:drawing>
              <wp:anchor distT="0" distB="0" distL="0" distR="0" allowOverlap="1" layoutInCell="1" locked="0" behindDoc="1" simplePos="0" relativeHeight="487747584">
                <wp:simplePos x="0" y="0"/>
                <wp:positionH relativeFrom="page">
                  <wp:posOffset>647999</wp:posOffset>
                </wp:positionH>
                <wp:positionV relativeFrom="paragraph">
                  <wp:posOffset>287274</wp:posOffset>
                </wp:positionV>
                <wp:extent cx="6012180" cy="1270"/>
                <wp:effectExtent l="0" t="0" r="0" b="0"/>
                <wp:wrapTopAndBottom/>
                <wp:docPr id="848" name="Graphic 848"/>
                <wp:cNvGraphicFramePr>
                  <a:graphicFrameLocks/>
                </wp:cNvGraphicFramePr>
                <a:graphic>
                  <a:graphicData uri="http://schemas.microsoft.com/office/word/2010/wordprocessingShape">
                    <wps:wsp>
                      <wps:cNvPr id="848" name="Graphic 84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2.620077pt;width:473.4pt;height:.1pt;mso-position-horizontal-relative:page;mso-position-vertical-relative:paragraph;z-index:-15568896;mso-wrap-distance-left:0;mso-wrap-distance-right:0" id="docshape696" coordorigin="1020,452" coordsize="9468,0" path="m1020,452l10488,452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1265" w:hanging="567"/>
        <w:jc w:val="left"/>
        <w:rPr>
          <w:sz w:val="18"/>
        </w:rPr>
      </w:pPr>
      <w:r>
        <w:rPr>
          <w:sz w:val="18"/>
        </w:rPr>
        <w:t>Proposal for a Directive of the European Parliament and of the Council amending Directive 2012/29/EU establishing minimum</w:t>
      </w:r>
      <w:r>
        <w:rPr>
          <w:spacing w:val="-3"/>
          <w:sz w:val="18"/>
        </w:rPr>
        <w:t> </w:t>
      </w:r>
      <w:r>
        <w:rPr>
          <w:sz w:val="18"/>
        </w:rPr>
        <w:t>standards</w:t>
      </w:r>
      <w:r>
        <w:rPr>
          <w:spacing w:val="-4"/>
          <w:sz w:val="18"/>
        </w:rPr>
        <w:t> </w:t>
      </w:r>
      <w:r>
        <w:rPr>
          <w:sz w:val="18"/>
        </w:rPr>
        <w:t>on</w:t>
      </w:r>
      <w:r>
        <w:rPr>
          <w:spacing w:val="-4"/>
          <w:sz w:val="18"/>
        </w:rPr>
        <w:t> </w:t>
      </w:r>
      <w:r>
        <w:rPr>
          <w:sz w:val="18"/>
        </w:rPr>
        <w:t>the</w:t>
      </w:r>
      <w:r>
        <w:rPr>
          <w:spacing w:val="-3"/>
          <w:sz w:val="18"/>
        </w:rPr>
        <w:t> </w:t>
      </w:r>
      <w:r>
        <w:rPr>
          <w:sz w:val="18"/>
        </w:rPr>
        <w:t>rights,</w:t>
      </w:r>
      <w:r>
        <w:rPr>
          <w:spacing w:val="-3"/>
          <w:sz w:val="18"/>
        </w:rPr>
        <w:t> </w:t>
      </w:r>
      <w:r>
        <w:rPr>
          <w:sz w:val="18"/>
        </w:rPr>
        <w:t>support</w:t>
      </w:r>
      <w:r>
        <w:rPr>
          <w:spacing w:val="-3"/>
          <w:sz w:val="18"/>
        </w:rPr>
        <w:t> </w:t>
      </w:r>
      <w:r>
        <w:rPr>
          <w:sz w:val="18"/>
        </w:rPr>
        <w:t>and</w:t>
      </w:r>
      <w:r>
        <w:rPr>
          <w:spacing w:val="-4"/>
          <w:sz w:val="18"/>
        </w:rPr>
        <w:t> </w:t>
      </w:r>
      <w:r>
        <w:rPr>
          <w:sz w:val="18"/>
        </w:rPr>
        <w:t>protection</w:t>
      </w:r>
      <w:r>
        <w:rPr>
          <w:spacing w:val="-4"/>
          <w:sz w:val="18"/>
        </w:rPr>
        <w:t> </w:t>
      </w:r>
      <w:r>
        <w:rPr>
          <w:sz w:val="18"/>
        </w:rPr>
        <w:t>of</w:t>
      </w:r>
      <w:r>
        <w:rPr>
          <w:spacing w:val="-4"/>
          <w:sz w:val="18"/>
        </w:rPr>
        <w:t> </w:t>
      </w:r>
      <w:r>
        <w:rPr>
          <w:sz w:val="18"/>
        </w:rPr>
        <w:t>victims</w:t>
      </w:r>
      <w:r>
        <w:rPr>
          <w:spacing w:val="-4"/>
          <w:sz w:val="18"/>
        </w:rPr>
        <w:t> </w:t>
      </w:r>
      <w:r>
        <w:rPr>
          <w:sz w:val="18"/>
        </w:rPr>
        <w:t>of</w:t>
      </w:r>
      <w:r>
        <w:rPr>
          <w:spacing w:val="-4"/>
          <w:sz w:val="18"/>
        </w:rPr>
        <w:t> </w:t>
      </w:r>
      <w:r>
        <w:rPr>
          <w:sz w:val="18"/>
        </w:rPr>
        <w:t>crime,</w:t>
      </w:r>
      <w:r>
        <w:rPr>
          <w:spacing w:val="-3"/>
          <w:sz w:val="18"/>
        </w:rPr>
        <w:t> </w:t>
      </w:r>
      <w:r>
        <w:rPr>
          <w:sz w:val="18"/>
        </w:rPr>
        <w:t>and</w:t>
      </w:r>
      <w:r>
        <w:rPr>
          <w:spacing w:val="-4"/>
          <w:sz w:val="18"/>
        </w:rPr>
        <w:t> </w:t>
      </w:r>
      <w:r>
        <w:rPr>
          <w:sz w:val="18"/>
        </w:rPr>
        <w:t>replacing</w:t>
      </w:r>
      <w:r>
        <w:rPr>
          <w:spacing w:val="-3"/>
          <w:sz w:val="18"/>
        </w:rPr>
        <w:t> </w:t>
      </w:r>
      <w:r>
        <w:rPr>
          <w:sz w:val="18"/>
        </w:rPr>
        <w:t>Council</w:t>
      </w:r>
      <w:r>
        <w:rPr>
          <w:spacing w:val="-4"/>
          <w:sz w:val="18"/>
        </w:rPr>
        <w:t> </w:t>
      </w:r>
      <w:r>
        <w:rPr>
          <w:sz w:val="18"/>
        </w:rPr>
        <w:t>Framework</w:t>
      </w:r>
      <w:r>
        <w:rPr>
          <w:spacing w:val="-3"/>
          <w:sz w:val="18"/>
        </w:rPr>
        <w:t> </w:t>
      </w:r>
      <w:r>
        <w:rPr>
          <w:sz w:val="18"/>
        </w:rPr>
        <w:t>Decision 2001/220/JHA, COM(2023) 424 final, 2023/0250 (COD). More info </w:t>
      </w:r>
      <w:r>
        <w:rPr>
          <w:color w:val="1D71B8"/>
          <w:sz w:val="18"/>
          <w:u w:val="single" w:color="1D71B8"/>
        </w:rPr>
        <w:t>here.</w:t>
      </w:r>
    </w:p>
    <w:p>
      <w:pPr>
        <w:pStyle w:val="ListParagraph"/>
        <w:numPr>
          <w:ilvl w:val="0"/>
          <w:numId w:val="18"/>
        </w:numPr>
        <w:tabs>
          <w:tab w:pos="1287" w:val="left" w:leader="none"/>
        </w:tabs>
        <w:spacing w:line="240" w:lineRule="auto" w:before="1" w:after="0"/>
        <w:ind w:left="1287" w:right="1219" w:hanging="567"/>
        <w:jc w:val="left"/>
        <w:rPr>
          <w:sz w:val="18"/>
        </w:rPr>
      </w:pPr>
      <w:hyperlink r:id="rId156">
        <w:r>
          <w:rPr>
            <w:color w:val="1D71B8"/>
            <w:sz w:val="18"/>
            <w:u w:val="single" w:color="1D71B8"/>
          </w:rPr>
          <w:t>Directive</w:t>
        </w:r>
        <w:r>
          <w:rPr>
            <w:color w:val="1D71B8"/>
            <w:spacing w:val="-3"/>
            <w:sz w:val="18"/>
            <w:u w:val="single" w:color="1D71B8"/>
          </w:rPr>
          <w:t> </w:t>
        </w:r>
        <w:r>
          <w:rPr>
            <w:color w:val="1D71B8"/>
            <w:sz w:val="18"/>
            <w:u w:val="single" w:color="1D71B8"/>
          </w:rPr>
          <w:t>(EU)</w:t>
        </w:r>
        <w:r>
          <w:rPr>
            <w:color w:val="1D71B8"/>
            <w:spacing w:val="-4"/>
            <w:sz w:val="18"/>
            <w:u w:val="single" w:color="1D71B8"/>
          </w:rPr>
          <w:t> </w:t>
        </w:r>
        <w:r>
          <w:rPr>
            <w:color w:val="1D71B8"/>
            <w:sz w:val="18"/>
            <w:u w:val="single" w:color="1D71B8"/>
          </w:rPr>
          <w:t>2024/1760</w:t>
        </w:r>
      </w:hyperlink>
      <w:r>
        <w:rPr>
          <w:color w:val="1D71B8"/>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13</w:t>
      </w:r>
      <w:r>
        <w:rPr>
          <w:spacing w:val="-3"/>
          <w:sz w:val="18"/>
          <w:u w:val="none"/>
        </w:rPr>
        <w:t> </w:t>
      </w:r>
      <w:r>
        <w:rPr>
          <w:sz w:val="18"/>
          <w:u w:val="none"/>
        </w:rPr>
        <w:t>June</w:t>
      </w:r>
      <w:r>
        <w:rPr>
          <w:spacing w:val="-3"/>
          <w:sz w:val="18"/>
          <w:u w:val="none"/>
        </w:rPr>
        <w:t> </w:t>
      </w:r>
      <w:r>
        <w:rPr>
          <w:sz w:val="18"/>
          <w:u w:val="none"/>
        </w:rPr>
        <w:t>2024</w:t>
      </w:r>
      <w:r>
        <w:rPr>
          <w:spacing w:val="-3"/>
          <w:sz w:val="18"/>
          <w:u w:val="none"/>
        </w:rPr>
        <w:t> </w:t>
      </w:r>
      <w:r>
        <w:rPr>
          <w:sz w:val="18"/>
          <w:u w:val="none"/>
        </w:rPr>
        <w:t>on</w:t>
      </w:r>
      <w:r>
        <w:rPr>
          <w:spacing w:val="-4"/>
          <w:sz w:val="18"/>
          <w:u w:val="none"/>
        </w:rPr>
        <w:t> </w:t>
      </w:r>
      <w:r>
        <w:rPr>
          <w:sz w:val="18"/>
          <w:u w:val="none"/>
        </w:rPr>
        <w:t>Corporate</w:t>
      </w:r>
      <w:r>
        <w:rPr>
          <w:spacing w:val="-3"/>
          <w:sz w:val="18"/>
          <w:u w:val="none"/>
        </w:rPr>
        <w:t> </w:t>
      </w:r>
      <w:r>
        <w:rPr>
          <w:sz w:val="18"/>
          <w:u w:val="none"/>
        </w:rPr>
        <w:t>Sustainability</w:t>
      </w:r>
      <w:r>
        <w:rPr>
          <w:spacing w:val="-3"/>
          <w:sz w:val="18"/>
          <w:u w:val="none"/>
        </w:rPr>
        <w:t> </w:t>
      </w:r>
      <w:r>
        <w:rPr>
          <w:sz w:val="18"/>
          <w:u w:val="none"/>
        </w:rPr>
        <w:t>Due Diligence and amending Directive (EU) 2019/1937 and Regulation (EU) 2023/2859 (Text with EEA relevance) (Corporate Sustainability Due Diligence Directive).</w:t>
      </w:r>
    </w:p>
    <w:p>
      <w:pPr>
        <w:pStyle w:val="ListParagraph"/>
        <w:numPr>
          <w:ilvl w:val="0"/>
          <w:numId w:val="18"/>
        </w:numPr>
        <w:tabs>
          <w:tab w:pos="1287" w:val="left" w:leader="none"/>
        </w:tabs>
        <w:spacing w:line="240" w:lineRule="auto" w:before="1" w:after="0"/>
        <w:ind w:left="1287" w:right="0" w:hanging="567"/>
        <w:jc w:val="left"/>
        <w:rPr>
          <w:sz w:val="18"/>
        </w:rPr>
      </w:pPr>
      <w:hyperlink r:id="rId157">
        <w:r>
          <w:rPr>
            <w:color w:val="1D71B8"/>
            <w:sz w:val="18"/>
            <w:u w:val="single" w:color="1D71B8"/>
          </w:rPr>
          <w:t>Parliament</w:t>
        </w:r>
        <w:r>
          <w:rPr>
            <w:color w:val="1D71B8"/>
            <w:spacing w:val="-8"/>
            <w:sz w:val="18"/>
            <w:u w:val="single" w:color="1D71B8"/>
          </w:rPr>
          <w:t> </w:t>
        </w:r>
        <w:r>
          <w:rPr>
            <w:color w:val="1D71B8"/>
            <w:sz w:val="18"/>
            <w:u w:val="single" w:color="1D71B8"/>
          </w:rPr>
          <w:t>adopts</w:t>
        </w:r>
        <w:r>
          <w:rPr>
            <w:color w:val="1D71B8"/>
            <w:spacing w:val="-8"/>
            <w:sz w:val="18"/>
            <w:u w:val="single" w:color="1D71B8"/>
          </w:rPr>
          <w:t> </w:t>
        </w:r>
        <w:r>
          <w:rPr>
            <w:color w:val="1D71B8"/>
            <w:sz w:val="18"/>
            <w:u w:val="single" w:color="1D71B8"/>
          </w:rPr>
          <w:t>Platform</w:t>
        </w:r>
        <w:r>
          <w:rPr>
            <w:color w:val="1D71B8"/>
            <w:spacing w:val="-7"/>
            <w:sz w:val="18"/>
            <w:u w:val="single" w:color="1D71B8"/>
          </w:rPr>
          <w:t> </w:t>
        </w:r>
        <w:r>
          <w:rPr>
            <w:color w:val="1D71B8"/>
            <w:sz w:val="18"/>
            <w:u w:val="single" w:color="1D71B8"/>
          </w:rPr>
          <w:t>Work</w:t>
        </w:r>
        <w:r>
          <w:rPr>
            <w:color w:val="1D71B8"/>
            <w:spacing w:val="-7"/>
            <w:sz w:val="18"/>
            <w:u w:val="single" w:color="1D71B8"/>
          </w:rPr>
          <w:t> </w:t>
        </w:r>
        <w:r>
          <w:rPr>
            <w:color w:val="1D71B8"/>
            <w:sz w:val="18"/>
            <w:u w:val="single" w:color="1D71B8"/>
          </w:rPr>
          <w:t>Directive</w:t>
        </w:r>
      </w:hyperlink>
      <w:r>
        <w:rPr>
          <w:color w:val="1D71B8"/>
          <w:spacing w:val="-8"/>
          <w:sz w:val="18"/>
          <w:u w:val="none"/>
        </w:rPr>
        <w:t> </w:t>
      </w:r>
      <w:r>
        <w:rPr>
          <w:sz w:val="18"/>
          <w:u w:val="none"/>
        </w:rPr>
        <w:t>(24</w:t>
      </w:r>
      <w:r>
        <w:rPr>
          <w:spacing w:val="-8"/>
          <w:sz w:val="18"/>
          <w:u w:val="none"/>
        </w:rPr>
        <w:t> </w:t>
      </w:r>
      <w:r>
        <w:rPr>
          <w:sz w:val="18"/>
          <w:u w:val="none"/>
        </w:rPr>
        <w:t>April</w:t>
      </w:r>
      <w:r>
        <w:rPr>
          <w:spacing w:val="-8"/>
          <w:sz w:val="18"/>
          <w:u w:val="none"/>
        </w:rPr>
        <w:t> </w:t>
      </w:r>
      <w:r>
        <w:rPr>
          <w:spacing w:val="-2"/>
          <w:sz w:val="18"/>
          <w:u w:val="none"/>
        </w:rPr>
        <w:t>2024).</w:t>
      </w:r>
    </w:p>
    <w:p>
      <w:pPr>
        <w:spacing w:after="0" w:line="240" w:lineRule="auto"/>
        <w:jc w:val="left"/>
        <w:rPr>
          <w:sz w:val="18"/>
        </w:rPr>
        <w:sectPr>
          <w:pgSz w:w="11910" w:h="16840"/>
          <w:pgMar w:top="0" w:bottom="280" w:left="300" w:right="280"/>
        </w:sectPr>
      </w:pPr>
    </w:p>
    <w:p>
      <w:pPr>
        <w:tabs>
          <w:tab w:pos="11123" w:val="right" w:leader="none"/>
        </w:tabs>
        <w:spacing w:before="561"/>
        <w:ind w:left="4140" w:right="0" w:firstLine="0"/>
        <w:jc w:val="left"/>
        <w:rPr>
          <w:b/>
          <w:sz w:val="28"/>
        </w:rPr>
      </w:pPr>
      <w:r>
        <w:rPr/>
        <mc:AlternateContent>
          <mc:Choice Requires="wps">
            <w:drawing>
              <wp:anchor distT="0" distB="0" distL="0" distR="0" allowOverlap="1" layoutInCell="1" locked="0" behindDoc="1" simplePos="0" relativeHeight="484066304">
                <wp:simplePos x="0" y="0"/>
                <wp:positionH relativeFrom="page">
                  <wp:posOffset>-2</wp:posOffset>
                </wp:positionH>
                <wp:positionV relativeFrom="page">
                  <wp:posOffset>0</wp:posOffset>
                </wp:positionV>
                <wp:extent cx="7560309" cy="1155065"/>
                <wp:effectExtent l="0" t="0" r="0" b="0"/>
                <wp:wrapNone/>
                <wp:docPr id="849" name="Group 849"/>
                <wp:cNvGraphicFramePr>
                  <a:graphicFrameLocks/>
                </wp:cNvGraphicFramePr>
                <a:graphic>
                  <a:graphicData uri="http://schemas.microsoft.com/office/word/2010/wordprocessingGroup">
                    <wpg:wgp>
                      <wpg:cNvPr id="849" name="Group 849"/>
                      <wpg:cNvGrpSpPr/>
                      <wpg:grpSpPr>
                        <a:xfrm>
                          <a:off x="0" y="0"/>
                          <a:ext cx="7560309" cy="1155065"/>
                          <a:chExt cx="7560309" cy="1155065"/>
                        </a:xfrm>
                      </wpg:grpSpPr>
                      <wps:wsp>
                        <wps:cNvPr id="850" name="Graphic 85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851" name="Graphic 85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50176" id="docshapegroup697" coordorigin="0,0" coordsize="11906,1819">
                <v:shape style="position:absolute;left:0;top:0;width:11906;height:1819" id="docshape698"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bookmarkStart w:name="4.3.4.5 EU legislation regarding vulnera" w:id="157"/>
      <w:bookmarkEnd w:id="157"/>
      <w:r>
        <w:rPr/>
      </w:r>
      <w:bookmarkStart w:name="_bookmark66" w:id="158"/>
      <w:bookmarkEnd w:id="158"/>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99</w:t>
      </w:r>
    </w:p>
    <w:p>
      <w:pPr>
        <w:pStyle w:val="BodyText"/>
        <w:rPr>
          <w:b/>
        </w:rPr>
      </w:pPr>
    </w:p>
    <w:p>
      <w:pPr>
        <w:pStyle w:val="BodyText"/>
        <w:spacing w:before="48"/>
        <w:rPr>
          <w:b/>
        </w:rPr>
      </w:pPr>
    </w:p>
    <w:p>
      <w:pPr>
        <w:pStyle w:val="BodyText"/>
        <w:spacing w:line="232" w:lineRule="auto"/>
        <w:ind w:left="1117" w:right="888"/>
      </w:pPr>
      <w:r>
        <w:rPr/>
        <w:t>In</w:t>
      </w:r>
      <w:r>
        <w:rPr>
          <w:spacing w:val="-6"/>
        </w:rPr>
        <w:t> </w:t>
      </w:r>
      <w:r>
        <w:rPr/>
        <w:t>addition,</w:t>
      </w:r>
      <w:r>
        <w:rPr>
          <w:spacing w:val="-5"/>
        </w:rPr>
        <w:t> </w:t>
      </w:r>
      <w:r>
        <w:rPr/>
        <w:t>EU</w:t>
      </w:r>
      <w:r>
        <w:rPr>
          <w:spacing w:val="-5"/>
        </w:rPr>
        <w:t> </w:t>
      </w:r>
      <w:r>
        <w:rPr/>
        <w:t>law</w:t>
      </w:r>
      <w:r>
        <w:rPr>
          <w:spacing w:val="-5"/>
        </w:rPr>
        <w:t> </w:t>
      </w:r>
      <w:r>
        <w:rPr/>
        <w:t>on</w:t>
      </w:r>
      <w:r>
        <w:rPr>
          <w:spacing w:val="-6"/>
        </w:rPr>
        <w:t> </w:t>
      </w:r>
      <w:r>
        <w:rPr/>
        <w:t>Member</w:t>
      </w:r>
      <w:r>
        <w:rPr>
          <w:spacing w:val="-5"/>
        </w:rPr>
        <w:t> </w:t>
      </w:r>
      <w:r>
        <w:rPr/>
        <w:t>States’</w:t>
      </w:r>
      <w:r>
        <w:rPr>
          <w:spacing w:val="-5"/>
        </w:rPr>
        <w:t> </w:t>
      </w:r>
      <w:r>
        <w:rPr/>
        <w:t>protection</w:t>
      </w:r>
      <w:r>
        <w:rPr>
          <w:spacing w:val="-6"/>
        </w:rPr>
        <w:t> </w:t>
      </w:r>
      <w:r>
        <w:rPr/>
        <w:t>of</w:t>
      </w:r>
      <w:r>
        <w:rPr>
          <w:spacing w:val="-6"/>
        </w:rPr>
        <w:t> </w:t>
      </w:r>
      <w:r>
        <w:rPr/>
        <w:t>employment</w:t>
      </w:r>
      <w:r>
        <w:rPr>
          <w:spacing w:val="-5"/>
        </w:rPr>
        <w:t> </w:t>
      </w:r>
      <w:r>
        <w:rPr/>
        <w:t>rights</w:t>
      </w:r>
      <w:r>
        <w:rPr>
          <w:spacing w:val="-6"/>
        </w:rPr>
        <w:t> </w:t>
      </w:r>
      <w:r>
        <w:rPr/>
        <w:t>will</w:t>
      </w:r>
      <w:r>
        <w:rPr>
          <w:spacing w:val="-6"/>
        </w:rPr>
        <w:t> </w:t>
      </w:r>
      <w:r>
        <w:rPr/>
        <w:t>soon be amended in various respects, with several substantial legal standards worth noting in this report:</w:t>
      </w:r>
    </w:p>
    <w:p>
      <w:pPr>
        <w:pStyle w:val="ListParagraph"/>
        <w:numPr>
          <w:ilvl w:val="0"/>
          <w:numId w:val="42"/>
        </w:numPr>
        <w:tabs>
          <w:tab w:pos="1457" w:val="left" w:leader="none"/>
        </w:tabs>
        <w:spacing w:line="232" w:lineRule="auto" w:before="265" w:after="0"/>
        <w:ind w:left="1457" w:right="1292" w:hanging="341"/>
        <w:jc w:val="left"/>
        <w:rPr>
          <w:sz w:val="28"/>
        </w:rPr>
      </w:pPr>
      <w:r>
        <w:rPr>
          <w:sz w:val="28"/>
        </w:rPr>
        <w:t>States may soon be bound to further protect workers against exposure to asbestos (at present, most occupational cancers in the EU are related to asbestos; and construction workers are the ones most exposed, the vast majority of which are men).</w:t>
      </w:r>
      <w:r>
        <w:rPr>
          <w:sz w:val="28"/>
          <w:vertAlign w:val="superscript"/>
        </w:rPr>
        <w:t>500</w:t>
      </w:r>
      <w:r>
        <w:rPr>
          <w:sz w:val="28"/>
          <w:vertAlign w:val="baseline"/>
        </w:rPr>
        <w:t> These measures may be indirectly relevant to an Annex 1 Directive as a result (that is, Council Directive 2000/78/EC of 27</w:t>
      </w:r>
      <w:r>
        <w:rPr>
          <w:spacing w:val="-8"/>
          <w:sz w:val="28"/>
          <w:vertAlign w:val="baseline"/>
        </w:rPr>
        <w:t> </w:t>
      </w:r>
      <w:r>
        <w:rPr>
          <w:sz w:val="28"/>
          <w:vertAlign w:val="baseline"/>
        </w:rPr>
        <w:t>November</w:t>
      </w:r>
      <w:r>
        <w:rPr>
          <w:spacing w:val="-8"/>
          <w:sz w:val="28"/>
          <w:vertAlign w:val="baseline"/>
        </w:rPr>
        <w:t> </w:t>
      </w:r>
      <w:r>
        <w:rPr>
          <w:sz w:val="28"/>
          <w:vertAlign w:val="baseline"/>
        </w:rPr>
        <w:t>2000</w:t>
      </w:r>
      <w:r>
        <w:rPr>
          <w:spacing w:val="-8"/>
          <w:sz w:val="28"/>
          <w:vertAlign w:val="baseline"/>
        </w:rPr>
        <w:t> </w:t>
      </w:r>
      <w:r>
        <w:rPr>
          <w:sz w:val="28"/>
          <w:vertAlign w:val="baseline"/>
        </w:rPr>
        <w:t>establishing</w:t>
      </w:r>
      <w:r>
        <w:rPr>
          <w:spacing w:val="-8"/>
          <w:sz w:val="28"/>
          <w:vertAlign w:val="baseline"/>
        </w:rPr>
        <w:t> </w:t>
      </w:r>
      <w:r>
        <w:rPr>
          <w:sz w:val="28"/>
          <w:vertAlign w:val="baseline"/>
        </w:rPr>
        <w:t>a</w:t>
      </w:r>
      <w:r>
        <w:rPr>
          <w:spacing w:val="-9"/>
          <w:sz w:val="28"/>
          <w:vertAlign w:val="baseline"/>
        </w:rPr>
        <w:t> </w:t>
      </w:r>
      <w:r>
        <w:rPr>
          <w:sz w:val="28"/>
          <w:vertAlign w:val="baseline"/>
        </w:rPr>
        <w:t>general</w:t>
      </w:r>
      <w:r>
        <w:rPr>
          <w:spacing w:val="-9"/>
          <w:sz w:val="28"/>
          <w:vertAlign w:val="baseline"/>
        </w:rPr>
        <w:t> </w:t>
      </w:r>
      <w:r>
        <w:rPr>
          <w:sz w:val="28"/>
          <w:vertAlign w:val="baseline"/>
        </w:rPr>
        <w:t>framework</w:t>
      </w:r>
      <w:r>
        <w:rPr>
          <w:spacing w:val="-8"/>
          <w:sz w:val="28"/>
          <w:vertAlign w:val="baseline"/>
        </w:rPr>
        <w:t> </w:t>
      </w:r>
      <w:r>
        <w:rPr>
          <w:sz w:val="28"/>
          <w:vertAlign w:val="baseline"/>
        </w:rPr>
        <w:t>for</w:t>
      </w:r>
      <w:r>
        <w:rPr>
          <w:spacing w:val="-8"/>
          <w:sz w:val="28"/>
          <w:vertAlign w:val="baseline"/>
        </w:rPr>
        <w:t> </w:t>
      </w:r>
      <w:r>
        <w:rPr>
          <w:sz w:val="28"/>
          <w:vertAlign w:val="baseline"/>
        </w:rPr>
        <w:t>equal</w:t>
      </w:r>
      <w:r>
        <w:rPr>
          <w:spacing w:val="-9"/>
          <w:sz w:val="28"/>
          <w:vertAlign w:val="baseline"/>
        </w:rPr>
        <w:t> </w:t>
      </w:r>
      <w:r>
        <w:rPr>
          <w:sz w:val="28"/>
          <w:vertAlign w:val="baseline"/>
        </w:rPr>
        <w:t>treatment</w:t>
      </w:r>
      <w:r>
        <w:rPr>
          <w:spacing w:val="-8"/>
          <w:sz w:val="28"/>
          <w:vertAlign w:val="baseline"/>
        </w:rPr>
        <w:t> </w:t>
      </w:r>
      <w:r>
        <w:rPr>
          <w:sz w:val="28"/>
          <w:vertAlign w:val="baseline"/>
        </w:rPr>
        <w:t>in</w:t>
      </w:r>
    </w:p>
    <w:p>
      <w:pPr>
        <w:pStyle w:val="BodyText"/>
        <w:spacing w:line="232" w:lineRule="auto"/>
        <w:ind w:left="1457" w:right="738"/>
      </w:pPr>
      <w:r>
        <w:rPr/>
        <w:t>employment</w:t>
      </w:r>
      <w:r>
        <w:rPr>
          <w:spacing w:val="-6"/>
        </w:rPr>
        <w:t> </w:t>
      </w:r>
      <w:r>
        <w:rPr/>
        <w:t>and</w:t>
      </w:r>
      <w:r>
        <w:rPr>
          <w:spacing w:val="-7"/>
        </w:rPr>
        <w:t> </w:t>
      </w:r>
      <w:r>
        <w:rPr/>
        <w:t>occupation).</w:t>
      </w:r>
      <w:r>
        <w:rPr>
          <w:spacing w:val="-7"/>
        </w:rPr>
        <w:t> </w:t>
      </w:r>
      <w:r>
        <w:rPr/>
        <w:t>States</w:t>
      </w:r>
      <w:r>
        <w:rPr>
          <w:spacing w:val="-7"/>
        </w:rPr>
        <w:t> </w:t>
      </w:r>
      <w:r>
        <w:rPr/>
        <w:t>may</w:t>
      </w:r>
      <w:r>
        <w:rPr>
          <w:spacing w:val="-6"/>
        </w:rPr>
        <w:t> </w:t>
      </w:r>
      <w:r>
        <w:rPr/>
        <w:t>also</w:t>
      </w:r>
      <w:r>
        <w:rPr>
          <w:spacing w:val="-7"/>
        </w:rPr>
        <w:t> </w:t>
      </w:r>
      <w:r>
        <w:rPr/>
        <w:t>soon</w:t>
      </w:r>
      <w:r>
        <w:rPr>
          <w:spacing w:val="-7"/>
        </w:rPr>
        <w:t> </w:t>
      </w:r>
      <w:r>
        <w:rPr/>
        <w:t>be</w:t>
      </w:r>
      <w:r>
        <w:rPr>
          <w:spacing w:val="-6"/>
        </w:rPr>
        <w:t> </w:t>
      </w:r>
      <w:r>
        <w:rPr/>
        <w:t>bound</w:t>
      </w:r>
      <w:r>
        <w:rPr>
          <w:spacing w:val="-7"/>
        </w:rPr>
        <w:t> </w:t>
      </w:r>
      <w:r>
        <w:rPr/>
        <w:t>to</w:t>
      </w:r>
      <w:r>
        <w:rPr>
          <w:spacing w:val="-7"/>
        </w:rPr>
        <w:t> </w:t>
      </w:r>
      <w:r>
        <w:rPr/>
        <w:t>further</w:t>
      </w:r>
      <w:r>
        <w:rPr>
          <w:spacing w:val="-6"/>
        </w:rPr>
        <w:t> </w:t>
      </w:r>
      <w:r>
        <w:rPr/>
        <w:t>protect workers</w:t>
      </w:r>
      <w:r>
        <w:rPr>
          <w:spacing w:val="-3"/>
        </w:rPr>
        <w:t> </w:t>
      </w:r>
      <w:r>
        <w:rPr/>
        <w:t>against</w:t>
      </w:r>
      <w:r>
        <w:rPr>
          <w:spacing w:val="-2"/>
        </w:rPr>
        <w:t> </w:t>
      </w:r>
      <w:r>
        <w:rPr/>
        <w:t>exposure</w:t>
      </w:r>
      <w:r>
        <w:rPr>
          <w:spacing w:val="-2"/>
        </w:rPr>
        <w:t> </w:t>
      </w:r>
      <w:r>
        <w:rPr/>
        <w:t>to</w:t>
      </w:r>
      <w:r>
        <w:rPr>
          <w:spacing w:val="-3"/>
        </w:rPr>
        <w:t> </w:t>
      </w:r>
      <w:r>
        <w:rPr/>
        <w:t>lead.</w:t>
      </w:r>
      <w:r>
        <w:rPr>
          <w:vertAlign w:val="superscript"/>
        </w:rPr>
        <w:t>501</w:t>
      </w:r>
      <w:r>
        <w:rPr>
          <w:spacing w:val="-3"/>
          <w:vertAlign w:val="baseline"/>
        </w:rPr>
        <w:t> </w:t>
      </w:r>
      <w:r>
        <w:rPr>
          <w:vertAlign w:val="baseline"/>
        </w:rPr>
        <w:t>We</w:t>
      </w:r>
      <w:r>
        <w:rPr>
          <w:spacing w:val="-2"/>
          <w:vertAlign w:val="baseline"/>
        </w:rPr>
        <w:t> </w:t>
      </w:r>
      <w:r>
        <w:rPr>
          <w:vertAlign w:val="baseline"/>
        </w:rPr>
        <w:t>recommend</w:t>
      </w:r>
      <w:r>
        <w:rPr>
          <w:spacing w:val="-3"/>
          <w:vertAlign w:val="baseline"/>
        </w:rPr>
        <w:t> </w:t>
      </w:r>
      <w:r>
        <w:rPr>
          <w:vertAlign w:val="baseline"/>
        </w:rPr>
        <w:t>that</w:t>
      </w:r>
      <w:r>
        <w:rPr>
          <w:spacing w:val="-2"/>
          <w:vertAlign w:val="baseline"/>
        </w:rPr>
        <w:t> </w:t>
      </w:r>
      <w:r>
        <w:rPr>
          <w:vertAlign w:val="baseline"/>
        </w:rPr>
        <w:t>commissions</w:t>
      </w:r>
      <w:r>
        <w:rPr>
          <w:spacing w:val="-3"/>
          <w:vertAlign w:val="baseline"/>
        </w:rPr>
        <w:t> </w:t>
      </w:r>
      <w:r>
        <w:rPr>
          <w:vertAlign w:val="baseline"/>
        </w:rPr>
        <w:t>monitor this in terms of assessing compliance in the future.</w:t>
      </w:r>
    </w:p>
    <w:p>
      <w:pPr>
        <w:pStyle w:val="ListParagraph"/>
        <w:numPr>
          <w:ilvl w:val="0"/>
          <w:numId w:val="42"/>
        </w:numPr>
        <w:tabs>
          <w:tab w:pos="1457" w:val="left" w:leader="none"/>
        </w:tabs>
        <w:spacing w:line="232" w:lineRule="auto" w:before="86" w:after="0"/>
        <w:ind w:left="1457" w:right="877" w:hanging="341"/>
        <w:jc w:val="both"/>
        <w:rPr>
          <w:sz w:val="28"/>
        </w:rPr>
      </w:pPr>
      <w:r>
        <w:rPr>
          <w:sz w:val="28"/>
        </w:rPr>
        <w:t>States</w:t>
      </w:r>
      <w:r>
        <w:rPr>
          <w:spacing w:val="-7"/>
          <w:sz w:val="28"/>
        </w:rPr>
        <w:t> </w:t>
      </w:r>
      <w:r>
        <w:rPr>
          <w:sz w:val="28"/>
        </w:rPr>
        <w:t>may</w:t>
      </w:r>
      <w:r>
        <w:rPr>
          <w:spacing w:val="-6"/>
          <w:sz w:val="28"/>
        </w:rPr>
        <w:t> </w:t>
      </w:r>
      <w:r>
        <w:rPr>
          <w:sz w:val="28"/>
        </w:rPr>
        <w:t>soon</w:t>
      </w:r>
      <w:r>
        <w:rPr>
          <w:spacing w:val="-7"/>
          <w:sz w:val="28"/>
        </w:rPr>
        <w:t> </w:t>
      </w:r>
      <w:r>
        <w:rPr>
          <w:sz w:val="28"/>
        </w:rPr>
        <w:t>be</w:t>
      </w:r>
      <w:r>
        <w:rPr>
          <w:spacing w:val="-6"/>
          <w:sz w:val="28"/>
        </w:rPr>
        <w:t> </w:t>
      </w:r>
      <w:r>
        <w:rPr>
          <w:sz w:val="28"/>
        </w:rPr>
        <w:t>banned</w:t>
      </w:r>
      <w:r>
        <w:rPr>
          <w:spacing w:val="-7"/>
          <w:sz w:val="28"/>
        </w:rPr>
        <w:t> </w:t>
      </w:r>
      <w:r>
        <w:rPr>
          <w:sz w:val="28"/>
        </w:rPr>
        <w:t>from</w:t>
      </w:r>
      <w:r>
        <w:rPr>
          <w:spacing w:val="-6"/>
          <w:sz w:val="28"/>
        </w:rPr>
        <w:t> </w:t>
      </w:r>
      <w:r>
        <w:rPr>
          <w:sz w:val="28"/>
        </w:rPr>
        <w:t>allowing</w:t>
      </w:r>
      <w:r>
        <w:rPr>
          <w:spacing w:val="-6"/>
          <w:sz w:val="28"/>
        </w:rPr>
        <w:t> </w:t>
      </w:r>
      <w:r>
        <w:rPr>
          <w:sz w:val="28"/>
        </w:rPr>
        <w:t>products</w:t>
      </w:r>
      <w:r>
        <w:rPr>
          <w:spacing w:val="-7"/>
          <w:sz w:val="28"/>
        </w:rPr>
        <w:t> </w:t>
      </w:r>
      <w:r>
        <w:rPr>
          <w:sz w:val="28"/>
        </w:rPr>
        <w:t>made</w:t>
      </w:r>
      <w:r>
        <w:rPr>
          <w:spacing w:val="-6"/>
          <w:sz w:val="28"/>
        </w:rPr>
        <w:t> </w:t>
      </w:r>
      <w:r>
        <w:rPr>
          <w:sz w:val="28"/>
        </w:rPr>
        <w:t>with</w:t>
      </w:r>
      <w:r>
        <w:rPr>
          <w:spacing w:val="-7"/>
          <w:sz w:val="28"/>
        </w:rPr>
        <w:t> </w:t>
      </w:r>
      <w:r>
        <w:rPr>
          <w:sz w:val="28"/>
        </w:rPr>
        <w:t>forced</w:t>
      </w:r>
      <w:r>
        <w:rPr>
          <w:spacing w:val="-7"/>
          <w:sz w:val="28"/>
        </w:rPr>
        <w:t> </w:t>
      </w:r>
      <w:r>
        <w:rPr>
          <w:sz w:val="28"/>
        </w:rPr>
        <w:t>labour</w:t>
      </w:r>
      <w:r>
        <w:rPr>
          <w:spacing w:val="-6"/>
          <w:sz w:val="28"/>
        </w:rPr>
        <w:t> </w:t>
      </w:r>
      <w:r>
        <w:rPr>
          <w:sz w:val="28"/>
        </w:rPr>
        <w:t>to be</w:t>
      </w:r>
      <w:r>
        <w:rPr>
          <w:spacing w:val="-4"/>
          <w:sz w:val="28"/>
        </w:rPr>
        <w:t> </w:t>
      </w:r>
      <w:r>
        <w:rPr>
          <w:sz w:val="28"/>
        </w:rPr>
        <w:t>placed</w:t>
      </w:r>
      <w:r>
        <w:rPr>
          <w:spacing w:val="-5"/>
          <w:sz w:val="28"/>
        </w:rPr>
        <w:t> </w:t>
      </w:r>
      <w:r>
        <w:rPr>
          <w:sz w:val="28"/>
        </w:rPr>
        <w:t>or</w:t>
      </w:r>
      <w:r>
        <w:rPr>
          <w:spacing w:val="-4"/>
          <w:sz w:val="28"/>
        </w:rPr>
        <w:t> </w:t>
      </w:r>
      <w:r>
        <w:rPr>
          <w:sz w:val="28"/>
        </w:rPr>
        <w:t>made</w:t>
      </w:r>
      <w:r>
        <w:rPr>
          <w:spacing w:val="-4"/>
          <w:sz w:val="28"/>
        </w:rPr>
        <w:t> </w:t>
      </w:r>
      <w:r>
        <w:rPr>
          <w:sz w:val="28"/>
        </w:rPr>
        <w:t>available</w:t>
      </w:r>
      <w:r>
        <w:rPr>
          <w:spacing w:val="-4"/>
          <w:sz w:val="28"/>
        </w:rPr>
        <w:t> </w:t>
      </w:r>
      <w:r>
        <w:rPr>
          <w:sz w:val="28"/>
        </w:rPr>
        <w:t>on</w:t>
      </w:r>
      <w:r>
        <w:rPr>
          <w:spacing w:val="-5"/>
          <w:sz w:val="28"/>
        </w:rPr>
        <w:t> </w:t>
      </w:r>
      <w:r>
        <w:rPr>
          <w:sz w:val="28"/>
        </w:rPr>
        <w:t>the</w:t>
      </w:r>
      <w:r>
        <w:rPr>
          <w:spacing w:val="-4"/>
          <w:sz w:val="28"/>
        </w:rPr>
        <w:t> </w:t>
      </w:r>
      <w:r>
        <w:rPr>
          <w:sz w:val="28"/>
        </w:rPr>
        <w:t>EU</w:t>
      </w:r>
      <w:r>
        <w:rPr>
          <w:spacing w:val="-4"/>
          <w:sz w:val="28"/>
        </w:rPr>
        <w:t> </w:t>
      </w:r>
      <w:r>
        <w:rPr>
          <w:sz w:val="28"/>
        </w:rPr>
        <w:t>internal</w:t>
      </w:r>
      <w:r>
        <w:rPr>
          <w:spacing w:val="-5"/>
          <w:sz w:val="28"/>
        </w:rPr>
        <w:t> </w:t>
      </w:r>
      <w:r>
        <w:rPr>
          <w:sz w:val="28"/>
        </w:rPr>
        <w:t>market;</w:t>
      </w:r>
      <w:r>
        <w:rPr>
          <w:spacing w:val="-4"/>
          <w:sz w:val="28"/>
        </w:rPr>
        <w:t> </w:t>
      </w:r>
      <w:r>
        <w:rPr>
          <w:sz w:val="28"/>
        </w:rPr>
        <w:t>and</w:t>
      </w:r>
      <w:r>
        <w:rPr>
          <w:spacing w:val="-5"/>
          <w:sz w:val="28"/>
        </w:rPr>
        <w:t> </w:t>
      </w:r>
      <w:r>
        <w:rPr>
          <w:sz w:val="28"/>
        </w:rPr>
        <w:t>from</w:t>
      </w:r>
      <w:r>
        <w:rPr>
          <w:spacing w:val="-4"/>
          <w:sz w:val="28"/>
        </w:rPr>
        <w:t> </w:t>
      </w:r>
      <w:r>
        <w:rPr>
          <w:sz w:val="28"/>
        </w:rPr>
        <w:t>allowing</w:t>
      </w:r>
      <w:r>
        <w:rPr>
          <w:spacing w:val="-4"/>
          <w:sz w:val="28"/>
        </w:rPr>
        <w:t> </w:t>
      </w:r>
      <w:r>
        <w:rPr>
          <w:sz w:val="28"/>
        </w:rPr>
        <w:t>their exportation from the EU.</w:t>
      </w:r>
      <w:r>
        <w:rPr>
          <w:sz w:val="28"/>
          <w:vertAlign w:val="superscript"/>
        </w:rPr>
        <w:t>502</w:t>
      </w:r>
    </w:p>
    <w:p>
      <w:pPr>
        <w:pStyle w:val="BodyText"/>
        <w:spacing w:line="232" w:lineRule="auto" w:before="279"/>
        <w:ind w:left="1117" w:right="738"/>
      </w:pPr>
      <w:r>
        <w:rPr/>
        <w:t>These recent directives and proposals all affect workers’ rights and may be particularly</w:t>
      </w:r>
      <w:r>
        <w:rPr>
          <w:spacing w:val="-8"/>
        </w:rPr>
        <w:t> </w:t>
      </w:r>
      <w:r>
        <w:rPr/>
        <w:t>relevant</w:t>
      </w:r>
      <w:r>
        <w:rPr>
          <w:spacing w:val="-8"/>
        </w:rPr>
        <w:t> </w:t>
      </w:r>
      <w:r>
        <w:rPr/>
        <w:t>in</w:t>
      </w:r>
      <w:r>
        <w:rPr>
          <w:spacing w:val="-8"/>
        </w:rPr>
        <w:t> </w:t>
      </w:r>
      <w:r>
        <w:rPr/>
        <w:t>an</w:t>
      </w:r>
      <w:r>
        <w:rPr>
          <w:spacing w:val="-8"/>
        </w:rPr>
        <w:t> </w:t>
      </w:r>
      <w:r>
        <w:rPr/>
        <w:t>all-island</w:t>
      </w:r>
      <w:r>
        <w:rPr>
          <w:spacing w:val="-9"/>
        </w:rPr>
        <w:t> </w:t>
      </w:r>
      <w:r>
        <w:rPr/>
        <w:t>cross-border</w:t>
      </w:r>
      <w:r>
        <w:rPr>
          <w:spacing w:val="-8"/>
        </w:rPr>
        <w:t> </w:t>
      </w:r>
      <w:r>
        <w:rPr/>
        <w:t>context</w:t>
      </w:r>
      <w:r>
        <w:rPr>
          <w:spacing w:val="-8"/>
        </w:rPr>
        <w:t> </w:t>
      </w:r>
      <w:r>
        <w:rPr/>
        <w:t>where</w:t>
      </w:r>
      <w:r>
        <w:rPr>
          <w:spacing w:val="-8"/>
        </w:rPr>
        <w:t> </w:t>
      </w:r>
      <w:r>
        <w:rPr/>
        <w:t>companies</w:t>
      </w:r>
      <w:r>
        <w:rPr>
          <w:spacing w:val="-8"/>
        </w:rPr>
        <w:t> </w:t>
      </w:r>
      <w:r>
        <w:rPr/>
        <w:t>may</w:t>
      </w:r>
      <w:r>
        <w:rPr>
          <w:spacing w:val="-8"/>
        </w:rPr>
        <w:t> </w:t>
      </w:r>
      <w:r>
        <w:rPr/>
        <w:t>be operating on both sides of the border or have different dealings on both sides of the border.</w:t>
      </w:r>
    </w:p>
    <w:p>
      <w:pPr>
        <w:pStyle w:val="BodyText"/>
        <w:spacing w:before="1"/>
        <w:rPr>
          <w:sz w:val="20"/>
        </w:rPr>
      </w:pPr>
      <w:r>
        <w:rPr/>
        <mc:AlternateContent>
          <mc:Choice Requires="wps">
            <w:drawing>
              <wp:anchor distT="0" distB="0" distL="0" distR="0" allowOverlap="1" layoutInCell="1" locked="0" behindDoc="1" simplePos="0" relativeHeight="487748608">
                <wp:simplePos x="0" y="0"/>
                <wp:positionH relativeFrom="page">
                  <wp:posOffset>899994</wp:posOffset>
                </wp:positionH>
                <wp:positionV relativeFrom="paragraph">
                  <wp:posOffset>171005</wp:posOffset>
                </wp:positionV>
                <wp:extent cx="6012180" cy="1442085"/>
                <wp:effectExtent l="0" t="0" r="0" b="0"/>
                <wp:wrapTopAndBottom/>
                <wp:docPr id="852" name="Group 852"/>
                <wp:cNvGraphicFramePr>
                  <a:graphicFrameLocks/>
                </wp:cNvGraphicFramePr>
                <a:graphic>
                  <a:graphicData uri="http://schemas.microsoft.com/office/word/2010/wordprocessingGroup">
                    <wpg:wgp>
                      <wpg:cNvPr id="852" name="Group 852"/>
                      <wpg:cNvGrpSpPr/>
                      <wpg:grpSpPr>
                        <a:xfrm>
                          <a:off x="0" y="0"/>
                          <a:ext cx="6012180" cy="1442085"/>
                          <a:chExt cx="6012180" cy="1442085"/>
                        </a:xfrm>
                      </wpg:grpSpPr>
                      <wps:wsp>
                        <wps:cNvPr id="853" name="Graphic 853"/>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854" name="Textbox 854"/>
                        <wps:cNvSpPr txBox="1"/>
                        <wps:spPr>
                          <a:xfrm>
                            <a:off x="0" y="0"/>
                            <a:ext cx="6012180" cy="1442085"/>
                          </a:xfrm>
                          <a:prstGeom prst="rect">
                            <a:avLst/>
                          </a:prstGeom>
                        </wps:spPr>
                        <wps:txbx>
                          <w:txbxContent>
                            <w:p>
                              <w:pPr>
                                <w:spacing w:line="232" w:lineRule="auto" w:before="121"/>
                                <w:ind w:left="340" w:right="196" w:firstLine="0"/>
                                <w:jc w:val="left"/>
                                <w:rPr>
                                  <w:b/>
                                  <w:sz w:val="28"/>
                                </w:rPr>
                              </w:pPr>
                              <w:r>
                                <w:rPr>
                                  <w:b/>
                                  <w:color w:val="164194"/>
                                  <w:sz w:val="28"/>
                                </w:rPr>
                                <w:t>We recommend the NI Executive monitor EU proposals on the protection of workers, forced labour, corporate sustainability and the gig economy with a view</w:t>
                              </w:r>
                              <w:r>
                                <w:rPr>
                                  <w:b/>
                                  <w:color w:val="164194"/>
                                  <w:spacing w:val="-7"/>
                                  <w:sz w:val="28"/>
                                </w:rPr>
                                <w:t> </w:t>
                              </w:r>
                              <w:r>
                                <w:rPr>
                                  <w:b/>
                                  <w:color w:val="164194"/>
                                  <w:sz w:val="28"/>
                                </w:rPr>
                                <w:t>to</w:t>
                              </w:r>
                              <w:r>
                                <w:rPr>
                                  <w:b/>
                                  <w:color w:val="164194"/>
                                  <w:spacing w:val="-6"/>
                                  <w:sz w:val="28"/>
                                </w:rPr>
                                <w:t> </w:t>
                              </w:r>
                              <w:r>
                                <w:rPr>
                                  <w:b/>
                                  <w:color w:val="164194"/>
                                  <w:sz w:val="28"/>
                                </w:rPr>
                                <w:t>assessing</w:t>
                              </w:r>
                              <w:r>
                                <w:rPr>
                                  <w:b/>
                                  <w:color w:val="164194"/>
                                  <w:spacing w:val="-7"/>
                                  <w:sz w:val="28"/>
                                </w:rPr>
                                <w:t> </w:t>
                              </w:r>
                              <w:r>
                                <w:rPr>
                                  <w:b/>
                                  <w:color w:val="164194"/>
                                  <w:sz w:val="28"/>
                                </w:rPr>
                                <w:t>whether</w:t>
                              </w:r>
                              <w:r>
                                <w:rPr>
                                  <w:b/>
                                  <w:color w:val="164194"/>
                                  <w:spacing w:val="-7"/>
                                  <w:sz w:val="28"/>
                                </w:rPr>
                                <w:t> </w:t>
                              </w:r>
                              <w:r>
                                <w:rPr>
                                  <w:b/>
                                  <w:color w:val="164194"/>
                                  <w:sz w:val="28"/>
                                </w:rPr>
                                <w:t>Northern</w:t>
                              </w:r>
                              <w:r>
                                <w:rPr>
                                  <w:b/>
                                  <w:color w:val="164194"/>
                                  <w:spacing w:val="-6"/>
                                  <w:sz w:val="28"/>
                                </w:rPr>
                                <w:t> </w:t>
                              </w:r>
                              <w:r>
                                <w:rPr>
                                  <w:b/>
                                  <w:color w:val="164194"/>
                                  <w:sz w:val="28"/>
                                </w:rPr>
                                <w:t>Ireland</w:t>
                              </w:r>
                              <w:r>
                                <w:rPr>
                                  <w:b/>
                                  <w:color w:val="164194"/>
                                  <w:spacing w:val="-6"/>
                                  <w:sz w:val="28"/>
                                </w:rPr>
                                <w:t> </w:t>
                              </w:r>
                              <w:r>
                                <w:rPr>
                                  <w:b/>
                                  <w:color w:val="164194"/>
                                  <w:sz w:val="28"/>
                                </w:rPr>
                                <w:t>law</w:t>
                              </w:r>
                              <w:r>
                                <w:rPr>
                                  <w:b/>
                                  <w:color w:val="164194"/>
                                  <w:spacing w:val="-7"/>
                                  <w:sz w:val="28"/>
                                </w:rPr>
                                <w:t> </w:t>
                              </w:r>
                              <w:r>
                                <w:rPr>
                                  <w:b/>
                                  <w:color w:val="164194"/>
                                  <w:sz w:val="28"/>
                                </w:rPr>
                                <w:t>needs</w:t>
                              </w:r>
                              <w:r>
                                <w:rPr>
                                  <w:b/>
                                  <w:color w:val="164194"/>
                                  <w:spacing w:val="-6"/>
                                  <w:sz w:val="28"/>
                                </w:rPr>
                                <w:t> </w:t>
                              </w:r>
                              <w:r>
                                <w:rPr>
                                  <w:b/>
                                  <w:color w:val="164194"/>
                                  <w:sz w:val="28"/>
                                </w:rPr>
                                <w:t>amendment</w:t>
                              </w:r>
                              <w:r>
                                <w:rPr>
                                  <w:b/>
                                  <w:color w:val="164194"/>
                                  <w:spacing w:val="-6"/>
                                  <w:sz w:val="28"/>
                                </w:rPr>
                                <w:t> </w:t>
                              </w:r>
                              <w:r>
                                <w:rPr>
                                  <w:b/>
                                  <w:color w:val="164194"/>
                                  <w:sz w:val="28"/>
                                </w:rPr>
                                <w:t>to</w:t>
                              </w:r>
                              <w:r>
                                <w:rPr>
                                  <w:b/>
                                  <w:color w:val="164194"/>
                                  <w:spacing w:val="-6"/>
                                  <w:sz w:val="28"/>
                                </w:rPr>
                                <w:t> </w:t>
                              </w:r>
                              <w:r>
                                <w:rPr>
                                  <w:b/>
                                  <w:color w:val="164194"/>
                                  <w:sz w:val="28"/>
                                </w:rPr>
                                <w:t>reflect best</w:t>
                              </w:r>
                              <w:r>
                                <w:rPr>
                                  <w:b/>
                                  <w:color w:val="164194"/>
                                  <w:spacing w:val="-3"/>
                                  <w:sz w:val="28"/>
                                </w:rPr>
                                <w:t> </w:t>
                              </w:r>
                              <w:r>
                                <w:rPr>
                                  <w:b/>
                                  <w:color w:val="164194"/>
                                  <w:sz w:val="28"/>
                                </w:rPr>
                                <w:t>international</w:t>
                              </w:r>
                              <w:r>
                                <w:rPr>
                                  <w:b/>
                                  <w:color w:val="164194"/>
                                  <w:spacing w:val="-3"/>
                                  <w:sz w:val="28"/>
                                </w:rPr>
                                <w:t> </w:t>
                              </w:r>
                              <w:r>
                                <w:rPr>
                                  <w:b/>
                                  <w:color w:val="164194"/>
                                  <w:sz w:val="28"/>
                                </w:rPr>
                                <w:t>practice.</w:t>
                              </w:r>
                              <w:r>
                                <w:rPr>
                                  <w:b/>
                                  <w:color w:val="164194"/>
                                  <w:spacing w:val="-4"/>
                                  <w:sz w:val="28"/>
                                </w:rPr>
                                <w:t> </w:t>
                              </w:r>
                              <w:r>
                                <w:rPr>
                                  <w:b/>
                                  <w:color w:val="164194"/>
                                  <w:sz w:val="28"/>
                                </w:rPr>
                                <w:t>We</w:t>
                              </w:r>
                              <w:r>
                                <w:rPr>
                                  <w:b/>
                                  <w:color w:val="164194"/>
                                  <w:spacing w:val="-4"/>
                                  <w:sz w:val="28"/>
                                </w:rPr>
                                <w:t> </w:t>
                              </w:r>
                              <w:r>
                                <w:rPr>
                                  <w:b/>
                                  <w:color w:val="164194"/>
                                  <w:sz w:val="28"/>
                                </w:rPr>
                                <w:t>recommend</w:t>
                              </w:r>
                              <w:r>
                                <w:rPr>
                                  <w:b/>
                                  <w:color w:val="164194"/>
                                  <w:spacing w:val="-3"/>
                                  <w:sz w:val="28"/>
                                </w:rPr>
                                <w:t> </w:t>
                              </w:r>
                              <w:r>
                                <w:rPr>
                                  <w:b/>
                                  <w:color w:val="164194"/>
                                  <w:sz w:val="28"/>
                                </w:rPr>
                                <w:t>voluntary</w:t>
                              </w:r>
                              <w:r>
                                <w:rPr>
                                  <w:b/>
                                  <w:color w:val="164194"/>
                                  <w:spacing w:val="-3"/>
                                  <w:sz w:val="28"/>
                                </w:rPr>
                                <w:t> </w:t>
                              </w:r>
                              <w:r>
                                <w:rPr>
                                  <w:b/>
                                  <w:color w:val="164194"/>
                                  <w:sz w:val="28"/>
                                </w:rPr>
                                <w:t>alignment</w:t>
                              </w:r>
                              <w:r>
                                <w:rPr>
                                  <w:b/>
                                  <w:color w:val="164194"/>
                                  <w:spacing w:val="-3"/>
                                  <w:sz w:val="28"/>
                                </w:rPr>
                                <w:t> </w:t>
                              </w:r>
                              <w:r>
                                <w:rPr>
                                  <w:b/>
                                  <w:color w:val="164194"/>
                                  <w:sz w:val="28"/>
                                </w:rPr>
                                <w:t>where</w:t>
                              </w:r>
                              <w:r>
                                <w:rPr>
                                  <w:b/>
                                  <w:color w:val="164194"/>
                                  <w:spacing w:val="-4"/>
                                  <w:sz w:val="28"/>
                                </w:rPr>
                                <w:t> </w:t>
                              </w:r>
                              <w:r>
                                <w:rPr>
                                  <w:b/>
                                  <w:color w:val="164194"/>
                                  <w:sz w:val="28"/>
                                </w:rPr>
                                <w:t>they will strengthen 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70.8657pt;margin-top:13.465033pt;width:473.4pt;height:113.55pt;mso-position-horizontal-relative:page;mso-position-vertical-relative:paragraph;z-index:-15567872;mso-wrap-distance-left:0;mso-wrap-distance-right:0" id="docshapegroup699" coordorigin="1417,269" coordsize="9468,2271">
                <v:shape style="position:absolute;left:1417;top:269;width:9468;height:2271" id="docshape700" coordorigin="1417,269" coordsize="9468,2271" path="m10658,269l1644,269,1572,281,1510,313,1461,362,1429,424,1417,496,1417,2313,1429,2384,1461,2447,1510,2496,1572,2528,1644,2539,10658,2539,10730,2528,10792,2496,10841,2447,10873,2384,10885,2313,10885,496,10873,424,10841,362,10792,313,10730,281,10658,269xe" filled="true" fillcolor="#e9f3fc" stroked="false">
                  <v:path arrowok="t"/>
                  <v:fill type="solid"/>
                </v:shape>
                <v:shape style="position:absolute;left:1417;top:269;width:9468;height:2271" type="#_x0000_t202" id="docshape701" filled="false" stroked="false">
                  <v:textbox inset="0,0,0,0">
                    <w:txbxContent>
                      <w:p>
                        <w:pPr>
                          <w:spacing w:line="232" w:lineRule="auto" w:before="121"/>
                          <w:ind w:left="340" w:right="196" w:firstLine="0"/>
                          <w:jc w:val="left"/>
                          <w:rPr>
                            <w:b/>
                            <w:sz w:val="28"/>
                          </w:rPr>
                        </w:pPr>
                        <w:r>
                          <w:rPr>
                            <w:b/>
                            <w:color w:val="164194"/>
                            <w:sz w:val="28"/>
                          </w:rPr>
                          <w:t>We recommend the NI Executive monitor EU proposals on the protection of workers, forced labour, corporate sustainability and the gig economy with a view</w:t>
                        </w:r>
                        <w:r>
                          <w:rPr>
                            <w:b/>
                            <w:color w:val="164194"/>
                            <w:spacing w:val="-7"/>
                            <w:sz w:val="28"/>
                          </w:rPr>
                          <w:t> </w:t>
                        </w:r>
                        <w:r>
                          <w:rPr>
                            <w:b/>
                            <w:color w:val="164194"/>
                            <w:sz w:val="28"/>
                          </w:rPr>
                          <w:t>to</w:t>
                        </w:r>
                        <w:r>
                          <w:rPr>
                            <w:b/>
                            <w:color w:val="164194"/>
                            <w:spacing w:val="-6"/>
                            <w:sz w:val="28"/>
                          </w:rPr>
                          <w:t> </w:t>
                        </w:r>
                        <w:r>
                          <w:rPr>
                            <w:b/>
                            <w:color w:val="164194"/>
                            <w:sz w:val="28"/>
                          </w:rPr>
                          <w:t>assessing</w:t>
                        </w:r>
                        <w:r>
                          <w:rPr>
                            <w:b/>
                            <w:color w:val="164194"/>
                            <w:spacing w:val="-7"/>
                            <w:sz w:val="28"/>
                          </w:rPr>
                          <w:t> </w:t>
                        </w:r>
                        <w:r>
                          <w:rPr>
                            <w:b/>
                            <w:color w:val="164194"/>
                            <w:sz w:val="28"/>
                          </w:rPr>
                          <w:t>whether</w:t>
                        </w:r>
                        <w:r>
                          <w:rPr>
                            <w:b/>
                            <w:color w:val="164194"/>
                            <w:spacing w:val="-7"/>
                            <w:sz w:val="28"/>
                          </w:rPr>
                          <w:t> </w:t>
                        </w:r>
                        <w:r>
                          <w:rPr>
                            <w:b/>
                            <w:color w:val="164194"/>
                            <w:sz w:val="28"/>
                          </w:rPr>
                          <w:t>Northern</w:t>
                        </w:r>
                        <w:r>
                          <w:rPr>
                            <w:b/>
                            <w:color w:val="164194"/>
                            <w:spacing w:val="-6"/>
                            <w:sz w:val="28"/>
                          </w:rPr>
                          <w:t> </w:t>
                        </w:r>
                        <w:r>
                          <w:rPr>
                            <w:b/>
                            <w:color w:val="164194"/>
                            <w:sz w:val="28"/>
                          </w:rPr>
                          <w:t>Ireland</w:t>
                        </w:r>
                        <w:r>
                          <w:rPr>
                            <w:b/>
                            <w:color w:val="164194"/>
                            <w:spacing w:val="-6"/>
                            <w:sz w:val="28"/>
                          </w:rPr>
                          <w:t> </w:t>
                        </w:r>
                        <w:r>
                          <w:rPr>
                            <w:b/>
                            <w:color w:val="164194"/>
                            <w:sz w:val="28"/>
                          </w:rPr>
                          <w:t>law</w:t>
                        </w:r>
                        <w:r>
                          <w:rPr>
                            <w:b/>
                            <w:color w:val="164194"/>
                            <w:spacing w:val="-7"/>
                            <w:sz w:val="28"/>
                          </w:rPr>
                          <w:t> </w:t>
                        </w:r>
                        <w:r>
                          <w:rPr>
                            <w:b/>
                            <w:color w:val="164194"/>
                            <w:sz w:val="28"/>
                          </w:rPr>
                          <w:t>needs</w:t>
                        </w:r>
                        <w:r>
                          <w:rPr>
                            <w:b/>
                            <w:color w:val="164194"/>
                            <w:spacing w:val="-6"/>
                            <w:sz w:val="28"/>
                          </w:rPr>
                          <w:t> </w:t>
                        </w:r>
                        <w:r>
                          <w:rPr>
                            <w:b/>
                            <w:color w:val="164194"/>
                            <w:sz w:val="28"/>
                          </w:rPr>
                          <w:t>amendment</w:t>
                        </w:r>
                        <w:r>
                          <w:rPr>
                            <w:b/>
                            <w:color w:val="164194"/>
                            <w:spacing w:val="-6"/>
                            <w:sz w:val="28"/>
                          </w:rPr>
                          <w:t> </w:t>
                        </w:r>
                        <w:r>
                          <w:rPr>
                            <w:b/>
                            <w:color w:val="164194"/>
                            <w:sz w:val="28"/>
                          </w:rPr>
                          <w:t>to</w:t>
                        </w:r>
                        <w:r>
                          <w:rPr>
                            <w:b/>
                            <w:color w:val="164194"/>
                            <w:spacing w:val="-6"/>
                            <w:sz w:val="28"/>
                          </w:rPr>
                          <w:t> </w:t>
                        </w:r>
                        <w:r>
                          <w:rPr>
                            <w:b/>
                            <w:color w:val="164194"/>
                            <w:sz w:val="28"/>
                          </w:rPr>
                          <w:t>reflect best</w:t>
                        </w:r>
                        <w:r>
                          <w:rPr>
                            <w:b/>
                            <w:color w:val="164194"/>
                            <w:spacing w:val="-3"/>
                            <w:sz w:val="28"/>
                          </w:rPr>
                          <w:t> </w:t>
                        </w:r>
                        <w:r>
                          <w:rPr>
                            <w:b/>
                            <w:color w:val="164194"/>
                            <w:sz w:val="28"/>
                          </w:rPr>
                          <w:t>international</w:t>
                        </w:r>
                        <w:r>
                          <w:rPr>
                            <w:b/>
                            <w:color w:val="164194"/>
                            <w:spacing w:val="-3"/>
                            <w:sz w:val="28"/>
                          </w:rPr>
                          <w:t> </w:t>
                        </w:r>
                        <w:r>
                          <w:rPr>
                            <w:b/>
                            <w:color w:val="164194"/>
                            <w:sz w:val="28"/>
                          </w:rPr>
                          <w:t>practice.</w:t>
                        </w:r>
                        <w:r>
                          <w:rPr>
                            <w:b/>
                            <w:color w:val="164194"/>
                            <w:spacing w:val="-4"/>
                            <w:sz w:val="28"/>
                          </w:rPr>
                          <w:t> </w:t>
                        </w:r>
                        <w:r>
                          <w:rPr>
                            <w:b/>
                            <w:color w:val="164194"/>
                            <w:sz w:val="28"/>
                          </w:rPr>
                          <w:t>We</w:t>
                        </w:r>
                        <w:r>
                          <w:rPr>
                            <w:b/>
                            <w:color w:val="164194"/>
                            <w:spacing w:val="-4"/>
                            <w:sz w:val="28"/>
                          </w:rPr>
                          <w:t> </w:t>
                        </w:r>
                        <w:r>
                          <w:rPr>
                            <w:b/>
                            <w:color w:val="164194"/>
                            <w:sz w:val="28"/>
                          </w:rPr>
                          <w:t>recommend</w:t>
                        </w:r>
                        <w:r>
                          <w:rPr>
                            <w:b/>
                            <w:color w:val="164194"/>
                            <w:spacing w:val="-3"/>
                            <w:sz w:val="28"/>
                          </w:rPr>
                          <w:t> </w:t>
                        </w:r>
                        <w:r>
                          <w:rPr>
                            <w:b/>
                            <w:color w:val="164194"/>
                            <w:sz w:val="28"/>
                          </w:rPr>
                          <w:t>voluntary</w:t>
                        </w:r>
                        <w:r>
                          <w:rPr>
                            <w:b/>
                            <w:color w:val="164194"/>
                            <w:spacing w:val="-3"/>
                            <w:sz w:val="28"/>
                          </w:rPr>
                          <w:t> </w:t>
                        </w:r>
                        <w:r>
                          <w:rPr>
                            <w:b/>
                            <w:color w:val="164194"/>
                            <w:sz w:val="28"/>
                          </w:rPr>
                          <w:t>alignment</w:t>
                        </w:r>
                        <w:r>
                          <w:rPr>
                            <w:b/>
                            <w:color w:val="164194"/>
                            <w:spacing w:val="-3"/>
                            <w:sz w:val="28"/>
                          </w:rPr>
                          <w:t> </w:t>
                        </w:r>
                        <w:r>
                          <w:rPr>
                            <w:b/>
                            <w:color w:val="164194"/>
                            <w:sz w:val="28"/>
                          </w:rPr>
                          <w:t>where</w:t>
                        </w:r>
                        <w:r>
                          <w:rPr>
                            <w:b/>
                            <w:color w:val="164194"/>
                            <w:spacing w:val="-4"/>
                            <w:sz w:val="28"/>
                          </w:rPr>
                          <w:t> </w:t>
                        </w:r>
                        <w:r>
                          <w:rPr>
                            <w:b/>
                            <w:color w:val="164194"/>
                            <w:sz w:val="28"/>
                          </w:rPr>
                          <w:t>they will strengthen rights and reflect international human rights standards and best practice.</w:t>
                        </w:r>
                      </w:p>
                    </w:txbxContent>
                  </v:textbox>
                  <w10:wrap type="none"/>
                </v:shape>
                <w10:wrap type="topAndBottom"/>
              </v:group>
            </w:pict>
          </mc:Fallback>
        </mc:AlternateContent>
      </w:r>
    </w:p>
    <w:p>
      <w:pPr>
        <w:pStyle w:val="BodyText"/>
        <w:spacing w:before="1"/>
      </w:pPr>
    </w:p>
    <w:p>
      <w:pPr>
        <w:pStyle w:val="ListParagraph"/>
        <w:numPr>
          <w:ilvl w:val="3"/>
          <w:numId w:val="33"/>
        </w:numPr>
        <w:tabs>
          <w:tab w:pos="1960" w:val="left" w:leader="none"/>
        </w:tabs>
        <w:spacing w:line="336" w:lineRule="exact" w:before="0" w:after="0"/>
        <w:ind w:left="1960" w:right="0" w:hanging="843"/>
        <w:jc w:val="left"/>
        <w:rPr>
          <w:sz w:val="28"/>
        </w:rPr>
      </w:pPr>
      <w:r>
        <w:rPr>
          <w:color w:val="004A93"/>
          <w:sz w:val="28"/>
        </w:rPr>
        <w:t>EU</w:t>
      </w:r>
      <w:r>
        <w:rPr>
          <w:color w:val="004A93"/>
          <w:spacing w:val="-8"/>
          <w:sz w:val="28"/>
        </w:rPr>
        <w:t> </w:t>
      </w:r>
      <w:r>
        <w:rPr>
          <w:color w:val="004A93"/>
          <w:sz w:val="28"/>
        </w:rPr>
        <w:t>legislation</w:t>
      </w:r>
      <w:r>
        <w:rPr>
          <w:color w:val="004A93"/>
          <w:spacing w:val="-9"/>
          <w:sz w:val="28"/>
        </w:rPr>
        <w:t> </w:t>
      </w:r>
      <w:r>
        <w:rPr>
          <w:color w:val="004A93"/>
          <w:sz w:val="28"/>
        </w:rPr>
        <w:t>regarding</w:t>
      </w:r>
      <w:r>
        <w:rPr>
          <w:color w:val="004A93"/>
          <w:spacing w:val="-7"/>
          <w:sz w:val="28"/>
        </w:rPr>
        <w:t> </w:t>
      </w:r>
      <w:r>
        <w:rPr>
          <w:color w:val="004A93"/>
          <w:sz w:val="28"/>
        </w:rPr>
        <w:t>vulnerable</w:t>
      </w:r>
      <w:r>
        <w:rPr>
          <w:color w:val="004A93"/>
          <w:spacing w:val="-8"/>
          <w:sz w:val="28"/>
        </w:rPr>
        <w:t> </w:t>
      </w:r>
      <w:r>
        <w:rPr>
          <w:color w:val="004A93"/>
          <w:spacing w:val="-2"/>
          <w:sz w:val="28"/>
        </w:rPr>
        <w:t>groups</w:t>
      </w:r>
    </w:p>
    <w:p>
      <w:pPr>
        <w:pStyle w:val="BodyText"/>
        <w:spacing w:line="232" w:lineRule="auto" w:before="3"/>
        <w:ind w:left="1117" w:right="738"/>
      </w:pPr>
      <w:r>
        <w:rPr/>
        <w:t>States are now bound to further prevent and combat the trafficking of human beings</w:t>
      </w:r>
      <w:r>
        <w:rPr>
          <w:spacing w:val="-1"/>
        </w:rPr>
        <w:t> </w:t>
      </w:r>
      <w:r>
        <w:rPr/>
        <w:t>and</w:t>
      </w:r>
      <w:r>
        <w:rPr>
          <w:spacing w:val="-1"/>
        </w:rPr>
        <w:t> </w:t>
      </w:r>
      <w:r>
        <w:rPr/>
        <w:t>to</w:t>
      </w:r>
      <w:r>
        <w:rPr>
          <w:spacing w:val="-1"/>
        </w:rPr>
        <w:t> </w:t>
      </w:r>
      <w:r>
        <w:rPr/>
        <w:t>further protect its</w:t>
      </w:r>
      <w:r>
        <w:rPr>
          <w:spacing w:val="-1"/>
        </w:rPr>
        <w:t> </w:t>
      </w:r>
      <w:r>
        <w:rPr/>
        <w:t>victims, following</w:t>
      </w:r>
      <w:r>
        <w:rPr>
          <w:spacing w:val="-2"/>
        </w:rPr>
        <w:t> </w:t>
      </w:r>
      <w:r>
        <w:rPr>
          <w:b/>
        </w:rPr>
        <w:t>amendments to the</w:t>
      </w:r>
      <w:r>
        <w:rPr>
          <w:b/>
          <w:spacing w:val="-1"/>
        </w:rPr>
        <w:t> </w:t>
      </w:r>
      <w:r>
        <w:rPr>
          <w:b/>
        </w:rPr>
        <w:t>Trafficking Directive</w:t>
      </w:r>
      <w:r>
        <w:rPr/>
        <w:t>. Implementation measures include: recognising forced marriage, illegal adoption and online trafficking as forms of exploitation; differentiating sanctions for</w:t>
      </w:r>
      <w:r>
        <w:rPr>
          <w:spacing w:val="-13"/>
        </w:rPr>
        <w:t> </w:t>
      </w:r>
      <w:r>
        <w:rPr/>
        <w:t>standard</w:t>
      </w:r>
      <w:r>
        <w:rPr>
          <w:spacing w:val="-14"/>
        </w:rPr>
        <w:t> </w:t>
      </w:r>
      <w:r>
        <w:rPr/>
        <w:t>offences</w:t>
      </w:r>
      <w:r>
        <w:rPr>
          <w:spacing w:val="-14"/>
        </w:rPr>
        <w:t> </w:t>
      </w:r>
      <w:r>
        <w:rPr/>
        <w:t>and</w:t>
      </w:r>
      <w:r>
        <w:rPr>
          <w:spacing w:val="-14"/>
        </w:rPr>
        <w:t> </w:t>
      </w:r>
      <w:r>
        <w:rPr/>
        <w:t>for</w:t>
      </w:r>
      <w:r>
        <w:rPr>
          <w:spacing w:val="-13"/>
        </w:rPr>
        <w:t> </w:t>
      </w:r>
      <w:r>
        <w:rPr/>
        <w:t>aggravated</w:t>
      </w:r>
      <w:r>
        <w:rPr>
          <w:spacing w:val="-14"/>
        </w:rPr>
        <w:t> </w:t>
      </w:r>
      <w:r>
        <w:rPr/>
        <w:t>offences</w:t>
      </w:r>
      <w:r>
        <w:rPr>
          <w:spacing w:val="-14"/>
        </w:rPr>
        <w:t> </w:t>
      </w:r>
      <w:r>
        <w:rPr/>
        <w:t>regarding</w:t>
      </w:r>
      <w:r>
        <w:rPr>
          <w:spacing w:val="-13"/>
        </w:rPr>
        <w:t> </w:t>
      </w:r>
      <w:r>
        <w:rPr/>
        <w:t>legal</w:t>
      </w:r>
      <w:r>
        <w:rPr>
          <w:spacing w:val="-14"/>
        </w:rPr>
        <w:t> </w:t>
      </w:r>
      <w:r>
        <w:rPr/>
        <w:t>persons;</w:t>
      </w:r>
      <w:r>
        <w:rPr>
          <w:spacing w:val="-13"/>
        </w:rPr>
        <w:t> </w:t>
      </w:r>
      <w:r>
        <w:rPr/>
        <w:t>creating</w:t>
      </w:r>
    </w:p>
    <w:p>
      <w:pPr>
        <w:pStyle w:val="BodyText"/>
        <w:spacing w:before="8"/>
        <w:rPr>
          <w:sz w:val="8"/>
        </w:rPr>
      </w:pPr>
      <w:r>
        <w:rPr/>
        <mc:AlternateContent>
          <mc:Choice Requires="wps">
            <w:drawing>
              <wp:anchor distT="0" distB="0" distL="0" distR="0" allowOverlap="1" layoutInCell="1" locked="0" behindDoc="1" simplePos="0" relativeHeight="487749120">
                <wp:simplePos x="0" y="0"/>
                <wp:positionH relativeFrom="page">
                  <wp:posOffset>899999</wp:posOffset>
                </wp:positionH>
                <wp:positionV relativeFrom="paragraph">
                  <wp:posOffset>82468</wp:posOffset>
                </wp:positionV>
                <wp:extent cx="6012180" cy="1270"/>
                <wp:effectExtent l="0" t="0" r="0" b="0"/>
                <wp:wrapTopAndBottom/>
                <wp:docPr id="855" name="Graphic 855"/>
                <wp:cNvGraphicFramePr>
                  <a:graphicFrameLocks/>
                </wp:cNvGraphicFramePr>
                <a:graphic>
                  <a:graphicData uri="http://schemas.microsoft.com/office/word/2010/wordprocessingShape">
                    <wps:wsp>
                      <wps:cNvPr id="855" name="Graphic 855"/>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6.493592pt;width:473.4pt;height:.1pt;mso-position-horizontal-relative:page;mso-position-vertical-relative:paragraph;z-index:-15567360;mso-wrap-distance-left:0;mso-wrap-distance-right:0" id="docshape702" coordorigin="1417,130" coordsize="9468,0" path="m1417,130l10885,130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738" w:hanging="567"/>
        <w:jc w:val="left"/>
        <w:rPr>
          <w:sz w:val="18"/>
        </w:rPr>
      </w:pPr>
      <w:r>
        <w:rPr>
          <w:sz w:val="18"/>
        </w:rPr>
        <w:t>Proposal</w:t>
      </w:r>
      <w:r>
        <w:rPr>
          <w:spacing w:val="-4"/>
          <w:sz w:val="18"/>
        </w:rPr>
        <w:t> </w:t>
      </w:r>
      <w:r>
        <w:rPr>
          <w:sz w:val="18"/>
        </w:rPr>
        <w:t>for</w:t>
      </w:r>
      <w:r>
        <w:rPr>
          <w:spacing w:val="-4"/>
          <w:sz w:val="18"/>
        </w:rPr>
        <w:t> </w:t>
      </w:r>
      <w:r>
        <w:rPr>
          <w:sz w:val="18"/>
        </w:rPr>
        <w:t>a</w:t>
      </w:r>
      <w:r>
        <w:rPr>
          <w:spacing w:val="-5"/>
          <w:sz w:val="18"/>
        </w:rPr>
        <w:t> </w:t>
      </w:r>
      <w:r>
        <w:rPr>
          <w:sz w:val="18"/>
        </w:rPr>
        <w:t>Directive</w:t>
      </w:r>
      <w:r>
        <w:rPr>
          <w:spacing w:val="-5"/>
          <w:sz w:val="18"/>
        </w:rPr>
        <w:t> </w:t>
      </w:r>
      <w:r>
        <w:rPr>
          <w:sz w:val="18"/>
        </w:rPr>
        <w:t>of</w:t>
      </w:r>
      <w:r>
        <w:rPr>
          <w:spacing w:val="-5"/>
          <w:sz w:val="18"/>
        </w:rPr>
        <w:t> </w:t>
      </w:r>
      <w:r>
        <w:rPr>
          <w:sz w:val="18"/>
        </w:rPr>
        <w:t>the</w:t>
      </w:r>
      <w:r>
        <w:rPr>
          <w:spacing w:val="-5"/>
          <w:sz w:val="18"/>
        </w:rPr>
        <w:t> </w:t>
      </w:r>
      <w:r>
        <w:rPr>
          <w:sz w:val="18"/>
        </w:rPr>
        <w:t>European</w:t>
      </w:r>
      <w:r>
        <w:rPr>
          <w:spacing w:val="-4"/>
          <w:sz w:val="18"/>
        </w:rPr>
        <w:t> </w:t>
      </w:r>
      <w:r>
        <w:rPr>
          <w:sz w:val="18"/>
        </w:rPr>
        <w:t>Parliament</w:t>
      </w:r>
      <w:r>
        <w:rPr>
          <w:spacing w:val="-4"/>
          <w:sz w:val="18"/>
        </w:rPr>
        <w:t> </w:t>
      </w:r>
      <w:r>
        <w:rPr>
          <w:sz w:val="18"/>
        </w:rPr>
        <w:t>and</w:t>
      </w:r>
      <w:r>
        <w:rPr>
          <w:spacing w:val="-4"/>
          <w:sz w:val="18"/>
        </w:rPr>
        <w:t> </w:t>
      </w:r>
      <w:r>
        <w:rPr>
          <w:sz w:val="18"/>
        </w:rPr>
        <w:t>of</w:t>
      </w:r>
      <w:r>
        <w:rPr>
          <w:spacing w:val="-5"/>
          <w:sz w:val="18"/>
        </w:rPr>
        <w:t> </w:t>
      </w:r>
      <w:r>
        <w:rPr>
          <w:sz w:val="18"/>
        </w:rPr>
        <w:t>the</w:t>
      </w:r>
      <w:r>
        <w:rPr>
          <w:spacing w:val="-4"/>
          <w:sz w:val="18"/>
        </w:rPr>
        <w:t> </w:t>
      </w:r>
      <w:r>
        <w:rPr>
          <w:sz w:val="18"/>
        </w:rPr>
        <w:t>Council</w:t>
      </w:r>
      <w:r>
        <w:rPr>
          <w:spacing w:val="-4"/>
          <w:sz w:val="18"/>
        </w:rPr>
        <w:t> </w:t>
      </w:r>
      <w:r>
        <w:rPr>
          <w:sz w:val="18"/>
        </w:rPr>
        <w:t>amending</w:t>
      </w:r>
      <w:r>
        <w:rPr>
          <w:spacing w:val="-4"/>
          <w:sz w:val="18"/>
        </w:rPr>
        <w:t> </w:t>
      </w:r>
      <w:r>
        <w:rPr>
          <w:sz w:val="18"/>
        </w:rPr>
        <w:t>Directive</w:t>
      </w:r>
      <w:r>
        <w:rPr>
          <w:spacing w:val="-4"/>
          <w:sz w:val="18"/>
        </w:rPr>
        <w:t> </w:t>
      </w:r>
      <w:r>
        <w:rPr>
          <w:sz w:val="18"/>
        </w:rPr>
        <w:t>2009/148/EC</w:t>
      </w:r>
      <w:r>
        <w:rPr>
          <w:spacing w:val="-5"/>
          <w:sz w:val="18"/>
        </w:rPr>
        <w:t> </w:t>
      </w:r>
      <w:r>
        <w:rPr>
          <w:sz w:val="18"/>
        </w:rPr>
        <w:t>on</w:t>
      </w:r>
      <w:r>
        <w:rPr>
          <w:spacing w:val="-4"/>
          <w:sz w:val="18"/>
        </w:rPr>
        <w:t> </w:t>
      </w:r>
      <w:r>
        <w:rPr>
          <w:sz w:val="18"/>
        </w:rPr>
        <w:t>the</w:t>
      </w:r>
      <w:r>
        <w:rPr>
          <w:spacing w:val="-4"/>
          <w:sz w:val="18"/>
        </w:rPr>
        <w:t> </w:t>
      </w:r>
      <w:r>
        <w:rPr>
          <w:sz w:val="18"/>
        </w:rPr>
        <w:t>protection of workers from the risks related to exposure to asbestos at work, COM/2022/489 final. More info </w:t>
      </w:r>
      <w:r>
        <w:rPr>
          <w:color w:val="1D71B8"/>
          <w:sz w:val="18"/>
          <w:u w:val="single" w:color="1D71B8"/>
        </w:rPr>
        <w:t>here</w:t>
      </w:r>
      <w:r>
        <w:rPr>
          <w:sz w:val="18"/>
          <w:u w:val="none"/>
        </w:rPr>
        <w:t>.</w:t>
      </w:r>
    </w:p>
    <w:p>
      <w:pPr>
        <w:pStyle w:val="ListParagraph"/>
        <w:numPr>
          <w:ilvl w:val="0"/>
          <w:numId w:val="18"/>
        </w:numPr>
        <w:tabs>
          <w:tab w:pos="1684" w:val="left" w:leader="none"/>
        </w:tabs>
        <w:spacing w:line="240" w:lineRule="auto" w:before="1" w:after="0"/>
        <w:ind w:left="1684" w:right="851" w:hanging="567"/>
        <w:jc w:val="left"/>
        <w:rPr>
          <w:sz w:val="18"/>
        </w:rPr>
      </w:pPr>
      <w:r>
        <w:rPr>
          <w:sz w:val="18"/>
        </w:rPr>
        <w:t>Proposal for a Directive of the European Parliament and of the Council amending Council Directive 98/24/EC and Directive</w:t>
      </w:r>
      <w:r>
        <w:rPr>
          <w:spacing w:val="-2"/>
          <w:sz w:val="18"/>
        </w:rPr>
        <w:t> </w:t>
      </w:r>
      <w:r>
        <w:rPr>
          <w:sz w:val="18"/>
        </w:rPr>
        <w:t>2004/37/EC</w:t>
      </w:r>
      <w:r>
        <w:rPr>
          <w:spacing w:val="-3"/>
          <w:sz w:val="18"/>
        </w:rPr>
        <w:t> </w:t>
      </w:r>
      <w:r>
        <w:rPr>
          <w:sz w:val="18"/>
        </w:rPr>
        <w:t>of</w:t>
      </w:r>
      <w:r>
        <w:rPr>
          <w:spacing w:val="-3"/>
          <w:sz w:val="18"/>
        </w:rPr>
        <w:t> </w:t>
      </w:r>
      <w:r>
        <w:rPr>
          <w:sz w:val="18"/>
        </w:rPr>
        <w:t>the</w:t>
      </w:r>
      <w:r>
        <w:rPr>
          <w:spacing w:val="-2"/>
          <w:sz w:val="18"/>
        </w:rPr>
        <w:t> </w:t>
      </w:r>
      <w:r>
        <w:rPr>
          <w:sz w:val="18"/>
        </w:rPr>
        <w:t>European</w:t>
      </w:r>
      <w:r>
        <w:rPr>
          <w:spacing w:val="-3"/>
          <w:sz w:val="18"/>
        </w:rPr>
        <w:t> </w:t>
      </w:r>
      <w:r>
        <w:rPr>
          <w:sz w:val="18"/>
        </w:rPr>
        <w:t>Parliament</w:t>
      </w:r>
      <w:r>
        <w:rPr>
          <w:spacing w:val="-2"/>
          <w:sz w:val="18"/>
        </w:rPr>
        <w:t> </w:t>
      </w:r>
      <w:r>
        <w:rPr>
          <w:sz w:val="18"/>
        </w:rPr>
        <w:t>and</w:t>
      </w:r>
      <w:r>
        <w:rPr>
          <w:spacing w:val="-3"/>
          <w:sz w:val="18"/>
        </w:rPr>
        <w:t> </w:t>
      </w:r>
      <w:r>
        <w:rPr>
          <w:sz w:val="18"/>
        </w:rPr>
        <w:t>of</w:t>
      </w:r>
      <w:r>
        <w:rPr>
          <w:spacing w:val="-3"/>
          <w:sz w:val="18"/>
        </w:rPr>
        <w:t> </w:t>
      </w:r>
      <w:r>
        <w:rPr>
          <w:sz w:val="18"/>
        </w:rPr>
        <w:t>the</w:t>
      </w:r>
      <w:r>
        <w:rPr>
          <w:spacing w:val="-2"/>
          <w:sz w:val="18"/>
        </w:rPr>
        <w:t> </w:t>
      </w:r>
      <w:r>
        <w:rPr>
          <w:sz w:val="18"/>
        </w:rPr>
        <w:t>Council</w:t>
      </w:r>
      <w:r>
        <w:rPr>
          <w:spacing w:val="-3"/>
          <w:sz w:val="18"/>
        </w:rPr>
        <w:t> </w:t>
      </w:r>
      <w:r>
        <w:rPr>
          <w:sz w:val="18"/>
        </w:rPr>
        <w:t>as</w:t>
      </w:r>
      <w:r>
        <w:rPr>
          <w:spacing w:val="-3"/>
          <w:sz w:val="18"/>
        </w:rPr>
        <w:t> </w:t>
      </w:r>
      <w:r>
        <w:rPr>
          <w:sz w:val="18"/>
        </w:rPr>
        <w:t>regards</w:t>
      </w:r>
      <w:r>
        <w:rPr>
          <w:spacing w:val="-3"/>
          <w:sz w:val="18"/>
        </w:rPr>
        <w:t> </w:t>
      </w:r>
      <w:r>
        <w:rPr>
          <w:sz w:val="18"/>
        </w:rPr>
        <w:t>the</w:t>
      </w:r>
      <w:r>
        <w:rPr>
          <w:spacing w:val="-2"/>
          <w:sz w:val="18"/>
        </w:rPr>
        <w:t> </w:t>
      </w:r>
      <w:r>
        <w:rPr>
          <w:sz w:val="18"/>
        </w:rPr>
        <w:t>limit</w:t>
      </w:r>
      <w:r>
        <w:rPr>
          <w:spacing w:val="-2"/>
          <w:sz w:val="18"/>
        </w:rPr>
        <w:t> </w:t>
      </w:r>
      <w:r>
        <w:rPr>
          <w:sz w:val="18"/>
        </w:rPr>
        <w:t>values</w:t>
      </w:r>
      <w:r>
        <w:rPr>
          <w:spacing w:val="-3"/>
          <w:sz w:val="18"/>
        </w:rPr>
        <w:t> </w:t>
      </w:r>
      <w:r>
        <w:rPr>
          <w:sz w:val="18"/>
        </w:rPr>
        <w:t>for</w:t>
      </w:r>
      <w:r>
        <w:rPr>
          <w:spacing w:val="-2"/>
          <w:sz w:val="18"/>
        </w:rPr>
        <w:t> </w:t>
      </w:r>
      <w:r>
        <w:rPr>
          <w:sz w:val="18"/>
        </w:rPr>
        <w:t>lead</w:t>
      </w:r>
      <w:r>
        <w:rPr>
          <w:spacing w:val="-3"/>
          <w:sz w:val="18"/>
        </w:rPr>
        <w:t> </w:t>
      </w:r>
      <w:r>
        <w:rPr>
          <w:sz w:val="18"/>
        </w:rPr>
        <w:t>and</w:t>
      </w:r>
      <w:r>
        <w:rPr>
          <w:spacing w:val="-3"/>
          <w:sz w:val="18"/>
        </w:rPr>
        <w:t> </w:t>
      </w:r>
      <w:r>
        <w:rPr>
          <w:sz w:val="18"/>
        </w:rPr>
        <w:t>its</w:t>
      </w:r>
      <w:r>
        <w:rPr>
          <w:spacing w:val="-3"/>
          <w:sz w:val="18"/>
        </w:rPr>
        <w:t> </w:t>
      </w:r>
      <w:r>
        <w:rPr>
          <w:sz w:val="18"/>
        </w:rPr>
        <w:t>inorganic compounds and diisocyanates, COM(2023) 71 final, 2023/0033 (COD). More info </w:t>
      </w:r>
      <w:r>
        <w:rPr>
          <w:color w:val="1D71B8"/>
          <w:sz w:val="18"/>
          <w:u w:val="single" w:color="1D71B8"/>
        </w:rPr>
        <w:t>here</w:t>
      </w:r>
      <w:r>
        <w:rPr>
          <w:sz w:val="18"/>
          <w:u w:val="none"/>
        </w:rPr>
        <w:t>. This Directive has now become law: </w:t>
      </w:r>
      <w:hyperlink r:id="rId158">
        <w:r>
          <w:rPr>
            <w:color w:val="1D71B8"/>
            <w:sz w:val="18"/>
            <w:u w:val="single" w:color="1D71B8"/>
          </w:rPr>
          <w:t>Directive (EU) 2024/869</w:t>
        </w:r>
      </w:hyperlink>
      <w:r>
        <w:rPr>
          <w:color w:val="1D71B8"/>
          <w:sz w:val="18"/>
          <w:u w:val="none"/>
        </w:rPr>
        <w:t> </w:t>
      </w:r>
      <w:r>
        <w:rPr>
          <w:sz w:val="18"/>
          <w:u w:val="none"/>
        </w:rPr>
        <w:t>of the European Parliament and of the Council of 13 March 2024 amending Directive 2004/37/EC</w:t>
      </w:r>
      <w:r>
        <w:rPr>
          <w:spacing w:val="-4"/>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European</w:t>
      </w:r>
      <w:r>
        <w:rPr>
          <w:spacing w:val="-4"/>
          <w:sz w:val="18"/>
          <w:u w:val="none"/>
        </w:rPr>
        <w:t> </w:t>
      </w:r>
      <w:r>
        <w:rPr>
          <w:sz w:val="18"/>
          <w:u w:val="none"/>
        </w:rPr>
        <w:t>Parliament</w:t>
      </w:r>
      <w:r>
        <w:rPr>
          <w:spacing w:val="-4"/>
          <w:sz w:val="18"/>
          <w:u w:val="none"/>
        </w:rPr>
        <w:t> </w:t>
      </w:r>
      <w:r>
        <w:rPr>
          <w:sz w:val="18"/>
          <w:u w:val="none"/>
        </w:rPr>
        <w:t>and</w:t>
      </w:r>
      <w:r>
        <w:rPr>
          <w:spacing w:val="-4"/>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Council</w:t>
      </w:r>
      <w:r>
        <w:rPr>
          <w:spacing w:val="-4"/>
          <w:sz w:val="18"/>
          <w:u w:val="none"/>
        </w:rPr>
        <w:t> </w:t>
      </w:r>
      <w:r>
        <w:rPr>
          <w:sz w:val="18"/>
          <w:u w:val="none"/>
        </w:rPr>
        <w:t>and</w:t>
      </w:r>
      <w:r>
        <w:rPr>
          <w:spacing w:val="-4"/>
          <w:sz w:val="18"/>
          <w:u w:val="none"/>
        </w:rPr>
        <w:t> </w:t>
      </w:r>
      <w:r>
        <w:rPr>
          <w:sz w:val="18"/>
          <w:u w:val="none"/>
        </w:rPr>
        <w:t>Council</w:t>
      </w:r>
      <w:r>
        <w:rPr>
          <w:spacing w:val="-4"/>
          <w:sz w:val="18"/>
          <w:u w:val="none"/>
        </w:rPr>
        <w:t> </w:t>
      </w:r>
      <w:r>
        <w:rPr>
          <w:sz w:val="18"/>
          <w:u w:val="none"/>
        </w:rPr>
        <w:t>Directive</w:t>
      </w:r>
      <w:r>
        <w:rPr>
          <w:spacing w:val="-4"/>
          <w:sz w:val="18"/>
          <w:u w:val="none"/>
        </w:rPr>
        <w:t> </w:t>
      </w:r>
      <w:r>
        <w:rPr>
          <w:sz w:val="18"/>
          <w:u w:val="none"/>
        </w:rPr>
        <w:t>98/24/EC</w:t>
      </w:r>
      <w:r>
        <w:rPr>
          <w:spacing w:val="-4"/>
          <w:sz w:val="18"/>
          <w:u w:val="none"/>
        </w:rPr>
        <w:t> </w:t>
      </w:r>
      <w:r>
        <w:rPr>
          <w:sz w:val="18"/>
          <w:u w:val="none"/>
        </w:rPr>
        <w:t>as</w:t>
      </w:r>
      <w:r>
        <w:rPr>
          <w:spacing w:val="-4"/>
          <w:sz w:val="18"/>
          <w:u w:val="none"/>
        </w:rPr>
        <w:t> </w:t>
      </w:r>
      <w:r>
        <w:rPr>
          <w:sz w:val="18"/>
          <w:u w:val="none"/>
        </w:rPr>
        <w:t>regards</w:t>
      </w:r>
      <w:r>
        <w:rPr>
          <w:spacing w:val="-4"/>
          <w:sz w:val="18"/>
          <w:u w:val="none"/>
        </w:rPr>
        <w:t> </w:t>
      </w:r>
      <w:r>
        <w:rPr>
          <w:sz w:val="18"/>
          <w:u w:val="none"/>
        </w:rPr>
        <w:t>the</w:t>
      </w:r>
      <w:r>
        <w:rPr>
          <w:spacing w:val="-4"/>
          <w:sz w:val="18"/>
          <w:u w:val="none"/>
        </w:rPr>
        <w:t> </w:t>
      </w:r>
      <w:r>
        <w:rPr>
          <w:sz w:val="18"/>
          <w:u w:val="none"/>
        </w:rPr>
        <w:t>limit</w:t>
      </w:r>
      <w:r>
        <w:rPr>
          <w:spacing w:val="-4"/>
          <w:sz w:val="18"/>
          <w:u w:val="none"/>
        </w:rPr>
        <w:t> </w:t>
      </w:r>
      <w:r>
        <w:rPr>
          <w:sz w:val="18"/>
          <w:u w:val="none"/>
        </w:rPr>
        <w:t>values</w:t>
      </w:r>
      <w:r>
        <w:rPr>
          <w:spacing w:val="-4"/>
          <w:sz w:val="18"/>
          <w:u w:val="none"/>
        </w:rPr>
        <w:t> </w:t>
      </w:r>
      <w:r>
        <w:rPr>
          <w:sz w:val="18"/>
          <w:u w:val="none"/>
        </w:rPr>
        <w:t>for lead and its inorganic compounds and for diisocyanates.</w:t>
      </w:r>
    </w:p>
    <w:p>
      <w:pPr>
        <w:pStyle w:val="ListParagraph"/>
        <w:numPr>
          <w:ilvl w:val="0"/>
          <w:numId w:val="18"/>
        </w:numPr>
        <w:tabs>
          <w:tab w:pos="1684" w:val="left" w:leader="none"/>
        </w:tabs>
        <w:spacing w:line="240" w:lineRule="auto" w:before="2" w:after="0"/>
        <w:ind w:left="1684" w:right="782" w:hanging="567"/>
        <w:jc w:val="left"/>
        <w:rPr>
          <w:sz w:val="18"/>
        </w:rPr>
      </w:pP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Regulation</w:t>
      </w:r>
      <w:r>
        <w:rPr>
          <w:spacing w:val="-5"/>
          <w:sz w:val="18"/>
        </w:rPr>
        <w:t> </w:t>
      </w:r>
      <w:r>
        <w:rPr>
          <w:sz w:val="18"/>
        </w:rPr>
        <w:t>of</w:t>
      </w:r>
      <w:r>
        <w:rPr>
          <w:spacing w:val="-4"/>
          <w:sz w:val="18"/>
        </w:rPr>
        <w:t> </w:t>
      </w:r>
      <w:r>
        <w:rPr>
          <w:sz w:val="18"/>
        </w:rPr>
        <w:t>the</w:t>
      </w:r>
      <w:r>
        <w:rPr>
          <w:spacing w:val="-4"/>
          <w:sz w:val="18"/>
        </w:rPr>
        <w:t> </w:t>
      </w:r>
      <w:r>
        <w:rPr>
          <w:sz w:val="18"/>
        </w:rPr>
        <w:t>European</w:t>
      </w:r>
      <w:r>
        <w:rPr>
          <w:spacing w:val="-5"/>
          <w:sz w:val="18"/>
        </w:rPr>
        <w:t> </w:t>
      </w:r>
      <w:r>
        <w:rPr>
          <w:sz w:val="18"/>
        </w:rPr>
        <w:t>Parliament</w:t>
      </w:r>
      <w:r>
        <w:rPr>
          <w:spacing w:val="-4"/>
          <w:sz w:val="18"/>
        </w:rPr>
        <w:t> </w:t>
      </w:r>
      <w:r>
        <w:rPr>
          <w:sz w:val="18"/>
        </w:rPr>
        <w:t>and</w:t>
      </w:r>
      <w:r>
        <w:rPr>
          <w:spacing w:val="-5"/>
          <w:sz w:val="18"/>
        </w:rPr>
        <w:t> </w:t>
      </w:r>
      <w:r>
        <w:rPr>
          <w:sz w:val="18"/>
        </w:rPr>
        <w:t>of</w:t>
      </w:r>
      <w:r>
        <w:rPr>
          <w:spacing w:val="-5"/>
          <w:sz w:val="18"/>
        </w:rPr>
        <w:t> </w:t>
      </w:r>
      <w:r>
        <w:rPr>
          <w:sz w:val="18"/>
        </w:rPr>
        <w:t>the</w:t>
      </w:r>
      <w:r>
        <w:rPr>
          <w:spacing w:val="-4"/>
          <w:sz w:val="18"/>
        </w:rPr>
        <w:t> </w:t>
      </w:r>
      <w:r>
        <w:rPr>
          <w:sz w:val="18"/>
        </w:rPr>
        <w:t>Council</w:t>
      </w:r>
      <w:r>
        <w:rPr>
          <w:spacing w:val="-5"/>
          <w:sz w:val="18"/>
        </w:rPr>
        <w:t> </w:t>
      </w:r>
      <w:r>
        <w:rPr>
          <w:sz w:val="18"/>
        </w:rPr>
        <w:t>on</w:t>
      </w:r>
      <w:r>
        <w:rPr>
          <w:spacing w:val="-5"/>
          <w:sz w:val="18"/>
        </w:rPr>
        <w:t> </w:t>
      </w:r>
      <w:r>
        <w:rPr>
          <w:sz w:val="18"/>
        </w:rPr>
        <w:t>prohibiting</w:t>
      </w:r>
      <w:r>
        <w:rPr>
          <w:spacing w:val="-4"/>
          <w:sz w:val="18"/>
        </w:rPr>
        <w:t> </w:t>
      </w:r>
      <w:r>
        <w:rPr>
          <w:sz w:val="18"/>
        </w:rPr>
        <w:t>products</w:t>
      </w:r>
      <w:r>
        <w:rPr>
          <w:spacing w:val="-5"/>
          <w:sz w:val="18"/>
        </w:rPr>
        <w:t> </w:t>
      </w:r>
      <w:r>
        <w:rPr>
          <w:sz w:val="18"/>
        </w:rPr>
        <w:t>made</w:t>
      </w:r>
      <w:r>
        <w:rPr>
          <w:spacing w:val="-4"/>
          <w:sz w:val="18"/>
        </w:rPr>
        <w:t> </w:t>
      </w:r>
      <w:r>
        <w:rPr>
          <w:sz w:val="18"/>
        </w:rPr>
        <w:t>with</w:t>
      </w:r>
      <w:r>
        <w:rPr>
          <w:spacing w:val="-5"/>
          <w:sz w:val="18"/>
        </w:rPr>
        <w:t> </w:t>
      </w:r>
      <w:r>
        <w:rPr>
          <w:sz w:val="18"/>
        </w:rPr>
        <w:t>forced</w:t>
      </w:r>
      <w:r>
        <w:rPr>
          <w:spacing w:val="-5"/>
          <w:sz w:val="18"/>
        </w:rPr>
        <w:t> </w:t>
      </w:r>
      <w:r>
        <w:rPr>
          <w:sz w:val="18"/>
        </w:rPr>
        <w:t>labour on the Union market 2022 (COM(2022) 453 final, procedure ref.: 2022/0269 (COD). More info </w:t>
      </w:r>
      <w:hyperlink r:id="rId159">
        <w:r>
          <w:rPr>
            <w:color w:val="1D71B8"/>
            <w:sz w:val="18"/>
            <w:u w:val="single" w:color="1D71B8"/>
          </w:rPr>
          <w:t>here</w:t>
        </w:r>
      </w:hyperlink>
      <w:r>
        <w:rPr>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67840">
                <wp:simplePos x="0" y="0"/>
                <wp:positionH relativeFrom="page">
                  <wp:posOffset>0</wp:posOffset>
                </wp:positionH>
                <wp:positionV relativeFrom="page">
                  <wp:posOffset>0</wp:posOffset>
                </wp:positionV>
                <wp:extent cx="7560309" cy="1155065"/>
                <wp:effectExtent l="0" t="0" r="0" b="0"/>
                <wp:wrapNone/>
                <wp:docPr id="856" name="Group 856"/>
                <wp:cNvGraphicFramePr>
                  <a:graphicFrameLocks/>
                </wp:cNvGraphicFramePr>
                <a:graphic>
                  <a:graphicData uri="http://schemas.microsoft.com/office/word/2010/wordprocessingGroup">
                    <wpg:wgp>
                      <wpg:cNvPr id="856" name="Group 856"/>
                      <wpg:cNvGrpSpPr/>
                      <wpg:grpSpPr>
                        <a:xfrm>
                          <a:off x="0" y="0"/>
                          <a:ext cx="7560309" cy="1155065"/>
                          <a:chExt cx="7560309" cy="1155065"/>
                        </a:xfrm>
                      </wpg:grpSpPr>
                      <wps:wsp>
                        <wps:cNvPr id="857" name="Graphic 857"/>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858" name="Graphic 858"/>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48640" id="docshapegroup703" coordorigin="0,0" coordsize="11906,1819">
                <v:shape style="position:absolute;left:0;top:0;width:11906;height:1819" id="docshape704"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100</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offences concerning the use of services which are the object of exploitation with knowledge</w:t>
      </w:r>
      <w:r>
        <w:rPr>
          <w:spacing w:val="-8"/>
        </w:rPr>
        <w:t> </w:t>
      </w:r>
      <w:r>
        <w:rPr/>
        <w:t>that</w:t>
      </w:r>
      <w:r>
        <w:rPr>
          <w:spacing w:val="-8"/>
        </w:rPr>
        <w:t> </w:t>
      </w:r>
      <w:r>
        <w:rPr/>
        <w:t>the</w:t>
      </w:r>
      <w:r>
        <w:rPr>
          <w:spacing w:val="-8"/>
        </w:rPr>
        <w:t> </w:t>
      </w:r>
      <w:r>
        <w:rPr/>
        <w:t>person</w:t>
      </w:r>
      <w:r>
        <w:rPr>
          <w:spacing w:val="-9"/>
        </w:rPr>
        <w:t> </w:t>
      </w:r>
      <w:r>
        <w:rPr/>
        <w:t>is</w:t>
      </w:r>
      <w:r>
        <w:rPr>
          <w:spacing w:val="-9"/>
        </w:rPr>
        <w:t> </w:t>
      </w:r>
      <w:r>
        <w:rPr/>
        <w:t>a</w:t>
      </w:r>
      <w:r>
        <w:rPr>
          <w:spacing w:val="-9"/>
        </w:rPr>
        <w:t> </w:t>
      </w:r>
      <w:r>
        <w:rPr/>
        <w:t>victim</w:t>
      </w:r>
      <w:r>
        <w:rPr>
          <w:spacing w:val="-8"/>
        </w:rPr>
        <w:t> </w:t>
      </w:r>
      <w:r>
        <w:rPr/>
        <w:t>of</w:t>
      </w:r>
      <w:r>
        <w:rPr>
          <w:spacing w:val="-9"/>
        </w:rPr>
        <w:t> </w:t>
      </w:r>
      <w:r>
        <w:rPr/>
        <w:t>trafficking.</w:t>
      </w:r>
      <w:r>
        <w:rPr>
          <w:vertAlign w:val="superscript"/>
        </w:rPr>
        <w:t>503</w:t>
      </w:r>
      <w:r>
        <w:rPr>
          <w:spacing w:val="-9"/>
          <w:vertAlign w:val="baseline"/>
        </w:rPr>
        <w:t> </w:t>
      </w:r>
      <w:r>
        <w:rPr>
          <w:vertAlign w:val="baseline"/>
        </w:rPr>
        <w:t>The</w:t>
      </w:r>
      <w:r>
        <w:rPr>
          <w:spacing w:val="-8"/>
          <w:vertAlign w:val="baseline"/>
        </w:rPr>
        <w:t> </w:t>
      </w:r>
      <w:r>
        <w:rPr>
          <w:vertAlign w:val="baseline"/>
        </w:rPr>
        <w:t>deadline</w:t>
      </w:r>
      <w:r>
        <w:rPr>
          <w:spacing w:val="-8"/>
          <w:vertAlign w:val="baseline"/>
        </w:rPr>
        <w:t> </w:t>
      </w:r>
      <w:r>
        <w:rPr>
          <w:vertAlign w:val="baseline"/>
        </w:rPr>
        <w:t>for</w:t>
      </w:r>
      <w:r>
        <w:rPr>
          <w:spacing w:val="-8"/>
          <w:vertAlign w:val="baseline"/>
        </w:rPr>
        <w:t> </w:t>
      </w:r>
      <w:r>
        <w:rPr>
          <w:vertAlign w:val="baseline"/>
        </w:rPr>
        <w:t>transposing this Directive is 15 July 2026.</w:t>
      </w:r>
      <w:r>
        <w:rPr>
          <w:vertAlign w:val="superscript"/>
        </w:rPr>
        <w:t>504</w:t>
      </w:r>
    </w:p>
    <w:p>
      <w:pPr>
        <w:pStyle w:val="BodyText"/>
        <w:spacing w:line="232" w:lineRule="auto" w:before="279"/>
        <w:ind w:left="720" w:right="1164"/>
        <w:jc w:val="both"/>
      </w:pPr>
      <w:r>
        <w:rPr/>
        <w:t>In</w:t>
      </w:r>
      <w:r>
        <w:rPr>
          <w:spacing w:val="-6"/>
        </w:rPr>
        <w:t> </w:t>
      </w:r>
      <w:r>
        <w:rPr/>
        <w:t>addition,</w:t>
      </w:r>
      <w:r>
        <w:rPr>
          <w:spacing w:val="-5"/>
        </w:rPr>
        <w:t> </w:t>
      </w:r>
      <w:r>
        <w:rPr/>
        <w:t>EU</w:t>
      </w:r>
      <w:r>
        <w:rPr>
          <w:spacing w:val="-5"/>
        </w:rPr>
        <w:t> </w:t>
      </w:r>
      <w:r>
        <w:rPr/>
        <w:t>law</w:t>
      </w:r>
      <w:r>
        <w:rPr>
          <w:spacing w:val="-5"/>
        </w:rPr>
        <w:t> </w:t>
      </w:r>
      <w:r>
        <w:rPr/>
        <w:t>on</w:t>
      </w:r>
      <w:r>
        <w:rPr>
          <w:spacing w:val="-6"/>
        </w:rPr>
        <w:t> </w:t>
      </w:r>
      <w:r>
        <w:rPr/>
        <w:t>Member</w:t>
      </w:r>
      <w:r>
        <w:rPr>
          <w:spacing w:val="-5"/>
        </w:rPr>
        <w:t> </w:t>
      </w:r>
      <w:r>
        <w:rPr/>
        <w:t>States’</w:t>
      </w:r>
      <w:r>
        <w:rPr>
          <w:spacing w:val="-5"/>
        </w:rPr>
        <w:t> </w:t>
      </w:r>
      <w:r>
        <w:rPr/>
        <w:t>protection</w:t>
      </w:r>
      <w:r>
        <w:rPr>
          <w:spacing w:val="-6"/>
        </w:rPr>
        <w:t> </w:t>
      </w:r>
      <w:r>
        <w:rPr/>
        <w:t>of</w:t>
      </w:r>
      <w:r>
        <w:rPr>
          <w:spacing w:val="-6"/>
        </w:rPr>
        <w:t> </w:t>
      </w:r>
      <w:r>
        <w:rPr/>
        <w:t>vulnerable</w:t>
      </w:r>
      <w:r>
        <w:rPr>
          <w:spacing w:val="-5"/>
        </w:rPr>
        <w:t> </w:t>
      </w:r>
      <w:r>
        <w:rPr/>
        <w:t>groups</w:t>
      </w:r>
      <w:r>
        <w:rPr>
          <w:spacing w:val="-6"/>
        </w:rPr>
        <w:t> </w:t>
      </w:r>
      <w:r>
        <w:rPr/>
        <w:t>will</w:t>
      </w:r>
      <w:r>
        <w:rPr>
          <w:spacing w:val="-6"/>
        </w:rPr>
        <w:t> </w:t>
      </w:r>
      <w:r>
        <w:rPr/>
        <w:t>soon</w:t>
      </w:r>
      <w:r>
        <w:rPr>
          <w:spacing w:val="-6"/>
        </w:rPr>
        <w:t> </w:t>
      </w:r>
      <w:r>
        <w:rPr/>
        <w:t>be amended</w:t>
      </w:r>
      <w:r>
        <w:rPr>
          <w:spacing w:val="-1"/>
        </w:rPr>
        <w:t> </w:t>
      </w:r>
      <w:r>
        <w:rPr/>
        <w:t>in</w:t>
      </w:r>
      <w:r>
        <w:rPr>
          <w:spacing w:val="-1"/>
        </w:rPr>
        <w:t> </w:t>
      </w:r>
      <w:r>
        <w:rPr/>
        <w:t>various</w:t>
      </w:r>
      <w:r>
        <w:rPr>
          <w:spacing w:val="-1"/>
        </w:rPr>
        <w:t> </w:t>
      </w:r>
      <w:r>
        <w:rPr/>
        <w:t>respects, with</w:t>
      </w:r>
      <w:r>
        <w:rPr>
          <w:spacing w:val="-1"/>
        </w:rPr>
        <w:t> </w:t>
      </w:r>
      <w:r>
        <w:rPr/>
        <w:t>several</w:t>
      </w:r>
      <w:r>
        <w:rPr>
          <w:spacing w:val="-1"/>
        </w:rPr>
        <w:t> </w:t>
      </w:r>
      <w:r>
        <w:rPr/>
        <w:t>substantial</w:t>
      </w:r>
      <w:r>
        <w:rPr>
          <w:spacing w:val="-1"/>
        </w:rPr>
        <w:t> </w:t>
      </w:r>
      <w:r>
        <w:rPr/>
        <w:t>legal</w:t>
      </w:r>
      <w:r>
        <w:rPr>
          <w:spacing w:val="-1"/>
        </w:rPr>
        <w:t> </w:t>
      </w:r>
      <w:r>
        <w:rPr/>
        <w:t>standards</w:t>
      </w:r>
      <w:r>
        <w:rPr>
          <w:spacing w:val="-1"/>
        </w:rPr>
        <w:t> </w:t>
      </w:r>
      <w:r>
        <w:rPr/>
        <w:t>worth</w:t>
      </w:r>
      <w:r>
        <w:rPr>
          <w:spacing w:val="-1"/>
        </w:rPr>
        <w:t> </w:t>
      </w:r>
      <w:r>
        <w:rPr/>
        <w:t>noting in this report:</w:t>
      </w:r>
    </w:p>
    <w:p>
      <w:pPr>
        <w:pStyle w:val="ListParagraph"/>
        <w:numPr>
          <w:ilvl w:val="0"/>
          <w:numId w:val="43"/>
        </w:numPr>
        <w:tabs>
          <w:tab w:pos="1060" w:val="left" w:leader="none"/>
        </w:tabs>
        <w:spacing w:line="232" w:lineRule="auto" w:before="265" w:after="0"/>
        <w:ind w:left="1060" w:right="1215" w:hanging="341"/>
        <w:jc w:val="left"/>
        <w:rPr>
          <w:sz w:val="28"/>
        </w:rPr>
      </w:pPr>
      <w:r>
        <w:rPr>
          <w:sz w:val="28"/>
        </w:rPr>
        <w:t>States may soon be supported when facing a situation of </w:t>
      </w:r>
      <w:r>
        <w:rPr>
          <w:b/>
          <w:sz w:val="28"/>
        </w:rPr>
        <w:t>instrumentalisation</w:t>
      </w:r>
      <w:r>
        <w:rPr>
          <w:b/>
          <w:sz w:val="28"/>
        </w:rPr>
        <w:t> of migrants</w:t>
      </w:r>
      <w:r>
        <w:rPr>
          <w:sz w:val="28"/>
        </w:rPr>
        <w:t>. Such instrumentalisation occurs when State actors, for example Belarus authorities, artificially create and facilitate irregular migration, using migratory flows as a tool for political purposes to destabilise EU Member States. This proposal would involve a specific emergency migration and asylum management</w:t>
      </w:r>
      <w:r>
        <w:rPr>
          <w:spacing w:val="-9"/>
          <w:sz w:val="28"/>
        </w:rPr>
        <w:t> </w:t>
      </w:r>
      <w:r>
        <w:rPr>
          <w:sz w:val="28"/>
        </w:rPr>
        <w:t>procedure</w:t>
      </w:r>
      <w:r>
        <w:rPr>
          <w:spacing w:val="-9"/>
          <w:sz w:val="28"/>
        </w:rPr>
        <w:t> </w:t>
      </w:r>
      <w:r>
        <w:rPr>
          <w:sz w:val="28"/>
        </w:rPr>
        <w:t>and,</w:t>
      </w:r>
      <w:r>
        <w:rPr>
          <w:spacing w:val="-9"/>
          <w:sz w:val="28"/>
        </w:rPr>
        <w:t> </w:t>
      </w:r>
      <w:r>
        <w:rPr>
          <w:sz w:val="28"/>
        </w:rPr>
        <w:t>where</w:t>
      </w:r>
      <w:r>
        <w:rPr>
          <w:spacing w:val="-9"/>
          <w:sz w:val="28"/>
        </w:rPr>
        <w:t> </w:t>
      </w:r>
      <w:r>
        <w:rPr>
          <w:sz w:val="28"/>
        </w:rPr>
        <w:t>necessary,</w:t>
      </w:r>
      <w:r>
        <w:rPr>
          <w:spacing w:val="-9"/>
          <w:sz w:val="28"/>
        </w:rPr>
        <w:t> </w:t>
      </w:r>
      <w:r>
        <w:rPr>
          <w:sz w:val="28"/>
        </w:rPr>
        <w:t>support</w:t>
      </w:r>
      <w:r>
        <w:rPr>
          <w:spacing w:val="-9"/>
          <w:sz w:val="28"/>
        </w:rPr>
        <w:t> </w:t>
      </w:r>
      <w:r>
        <w:rPr>
          <w:sz w:val="28"/>
        </w:rPr>
        <w:t>and</w:t>
      </w:r>
      <w:r>
        <w:rPr>
          <w:spacing w:val="-10"/>
          <w:sz w:val="28"/>
        </w:rPr>
        <w:t> </w:t>
      </w:r>
      <w:r>
        <w:rPr>
          <w:sz w:val="28"/>
        </w:rPr>
        <w:t>solidarity</w:t>
      </w:r>
      <w:r>
        <w:rPr>
          <w:spacing w:val="-9"/>
          <w:sz w:val="28"/>
        </w:rPr>
        <w:t> </w:t>
      </w:r>
      <w:r>
        <w:rPr>
          <w:sz w:val="28"/>
        </w:rPr>
        <w:t>measures to manage the arrival of persons having been instrumentalised by a third country in an orderly, humane and dignified manner.</w:t>
      </w:r>
      <w:r>
        <w:rPr>
          <w:sz w:val="28"/>
          <w:vertAlign w:val="superscript"/>
        </w:rPr>
        <w:t>505</w:t>
      </w:r>
    </w:p>
    <w:p>
      <w:pPr>
        <w:pStyle w:val="ListParagraph"/>
        <w:numPr>
          <w:ilvl w:val="0"/>
          <w:numId w:val="43"/>
        </w:numPr>
        <w:tabs>
          <w:tab w:pos="1060" w:val="left" w:leader="none"/>
        </w:tabs>
        <w:spacing w:line="232" w:lineRule="auto" w:before="87" w:after="0"/>
        <w:ind w:left="1060" w:right="1234" w:hanging="341"/>
        <w:jc w:val="left"/>
        <w:rPr>
          <w:sz w:val="28"/>
        </w:rPr>
      </w:pPr>
      <w:r>
        <w:rPr>
          <w:sz w:val="28"/>
        </w:rPr>
        <w:t>States may soon be bound to </w:t>
      </w:r>
      <w:r>
        <w:rPr>
          <w:b/>
          <w:sz w:val="28"/>
        </w:rPr>
        <w:t>further combat child sexual abuse online</w:t>
      </w:r>
      <w:r>
        <w:rPr>
          <w:sz w:val="28"/>
        </w:rPr>
        <w:t>, by obliging interpersonal communication services to proactively detect online CSAM materials and activities involving child grooming, while balancing this with</w:t>
      </w:r>
      <w:r>
        <w:rPr>
          <w:spacing w:val="-16"/>
          <w:sz w:val="28"/>
        </w:rPr>
        <w:t> </w:t>
      </w:r>
      <w:r>
        <w:rPr>
          <w:sz w:val="28"/>
        </w:rPr>
        <w:t>concerns</w:t>
      </w:r>
      <w:r>
        <w:rPr>
          <w:spacing w:val="-16"/>
          <w:sz w:val="28"/>
        </w:rPr>
        <w:t> </w:t>
      </w:r>
      <w:r>
        <w:rPr>
          <w:sz w:val="28"/>
        </w:rPr>
        <w:t>regarding</w:t>
      </w:r>
      <w:r>
        <w:rPr>
          <w:spacing w:val="-16"/>
          <w:sz w:val="28"/>
        </w:rPr>
        <w:t> </w:t>
      </w:r>
      <w:r>
        <w:rPr>
          <w:sz w:val="28"/>
        </w:rPr>
        <w:t>privacy,</w:t>
      </w:r>
      <w:r>
        <w:rPr>
          <w:spacing w:val="-16"/>
          <w:sz w:val="28"/>
        </w:rPr>
        <w:t> </w:t>
      </w:r>
      <w:r>
        <w:rPr>
          <w:sz w:val="28"/>
        </w:rPr>
        <w:t>security</w:t>
      </w:r>
      <w:r>
        <w:rPr>
          <w:spacing w:val="-16"/>
          <w:sz w:val="28"/>
        </w:rPr>
        <w:t> </w:t>
      </w:r>
      <w:r>
        <w:rPr>
          <w:sz w:val="28"/>
        </w:rPr>
        <w:t>and</w:t>
      </w:r>
      <w:r>
        <w:rPr>
          <w:spacing w:val="-15"/>
          <w:sz w:val="28"/>
        </w:rPr>
        <w:t> </w:t>
      </w:r>
      <w:r>
        <w:rPr>
          <w:sz w:val="28"/>
        </w:rPr>
        <w:t>law</w:t>
      </w:r>
      <w:r>
        <w:rPr>
          <w:spacing w:val="-16"/>
          <w:sz w:val="28"/>
        </w:rPr>
        <w:t> </w:t>
      </w:r>
      <w:r>
        <w:rPr>
          <w:sz w:val="28"/>
        </w:rPr>
        <w:t>enforcement</w:t>
      </w:r>
      <w:r>
        <w:rPr>
          <w:spacing w:val="-16"/>
          <w:sz w:val="28"/>
        </w:rPr>
        <w:t> </w:t>
      </w:r>
      <w:r>
        <w:rPr>
          <w:sz w:val="28"/>
        </w:rPr>
        <w:t>investigations.</w:t>
      </w:r>
      <w:r>
        <w:rPr>
          <w:sz w:val="28"/>
          <w:vertAlign w:val="superscript"/>
        </w:rPr>
        <w:t>506</w:t>
      </w:r>
    </w:p>
    <w:p>
      <w:pPr>
        <w:pStyle w:val="BodyText"/>
        <w:spacing w:line="232" w:lineRule="auto" w:before="278"/>
        <w:ind w:left="720" w:right="1385"/>
      </w:pPr>
      <w:r>
        <w:rPr/>
        <w:t>The</w:t>
      </w:r>
      <w:r>
        <w:rPr>
          <w:spacing w:val="-7"/>
        </w:rPr>
        <w:t> </w:t>
      </w:r>
      <w:r>
        <w:rPr/>
        <w:t>proposals</w:t>
      </w:r>
      <w:r>
        <w:rPr>
          <w:spacing w:val="-8"/>
        </w:rPr>
        <w:t> </w:t>
      </w:r>
      <w:r>
        <w:rPr/>
        <w:t>on</w:t>
      </w:r>
      <w:r>
        <w:rPr>
          <w:spacing w:val="-8"/>
        </w:rPr>
        <w:t> </w:t>
      </w:r>
      <w:r>
        <w:rPr/>
        <w:t>human</w:t>
      </w:r>
      <w:r>
        <w:rPr>
          <w:spacing w:val="-8"/>
        </w:rPr>
        <w:t> </w:t>
      </w:r>
      <w:r>
        <w:rPr/>
        <w:t>trafficking</w:t>
      </w:r>
      <w:r>
        <w:rPr>
          <w:spacing w:val="-7"/>
        </w:rPr>
        <w:t> </w:t>
      </w:r>
      <w:r>
        <w:rPr/>
        <w:t>and</w:t>
      </w:r>
      <w:r>
        <w:rPr>
          <w:spacing w:val="-8"/>
        </w:rPr>
        <w:t> </w:t>
      </w:r>
      <w:r>
        <w:rPr/>
        <w:t>child</w:t>
      </w:r>
      <w:r>
        <w:rPr>
          <w:spacing w:val="-8"/>
        </w:rPr>
        <w:t> </w:t>
      </w:r>
      <w:r>
        <w:rPr/>
        <w:t>sexual</w:t>
      </w:r>
      <w:r>
        <w:rPr>
          <w:spacing w:val="-8"/>
        </w:rPr>
        <w:t> </w:t>
      </w:r>
      <w:r>
        <w:rPr/>
        <w:t>abuse</w:t>
      </w:r>
      <w:r>
        <w:rPr>
          <w:spacing w:val="-7"/>
        </w:rPr>
        <w:t> </w:t>
      </w:r>
      <w:r>
        <w:rPr/>
        <w:t>are</w:t>
      </w:r>
      <w:r>
        <w:rPr>
          <w:spacing w:val="-7"/>
        </w:rPr>
        <w:t> </w:t>
      </w:r>
      <w:r>
        <w:rPr/>
        <w:t>especially</w:t>
      </w:r>
      <w:r>
        <w:rPr>
          <w:spacing w:val="-7"/>
        </w:rPr>
        <w:t> </w:t>
      </w:r>
      <w:r>
        <w:rPr/>
        <w:t>relevant in the context of cross-border cooperation and the open border on the island of Ireland. Given the ease with which it is possible to cross the border it would be undesirable</w:t>
      </w:r>
      <w:r>
        <w:rPr>
          <w:spacing w:val="-4"/>
        </w:rPr>
        <w:t> </w:t>
      </w:r>
      <w:r>
        <w:rPr/>
        <w:t>for</w:t>
      </w:r>
      <w:r>
        <w:rPr>
          <w:spacing w:val="-4"/>
        </w:rPr>
        <w:t> </w:t>
      </w:r>
      <w:r>
        <w:rPr/>
        <w:t>very</w:t>
      </w:r>
      <w:r>
        <w:rPr>
          <w:spacing w:val="-4"/>
        </w:rPr>
        <w:t> </w:t>
      </w:r>
      <w:r>
        <w:rPr/>
        <w:t>different</w:t>
      </w:r>
      <w:r>
        <w:rPr>
          <w:spacing w:val="-4"/>
        </w:rPr>
        <w:t> </w:t>
      </w:r>
      <w:r>
        <w:rPr/>
        <w:t>provisions</w:t>
      </w:r>
      <w:r>
        <w:rPr>
          <w:spacing w:val="-5"/>
        </w:rPr>
        <w:t> </w:t>
      </w:r>
      <w:r>
        <w:rPr/>
        <w:t>on</w:t>
      </w:r>
      <w:r>
        <w:rPr>
          <w:spacing w:val="-5"/>
        </w:rPr>
        <w:t> </w:t>
      </w:r>
      <w:r>
        <w:rPr/>
        <w:t>trafficking</w:t>
      </w:r>
      <w:r>
        <w:rPr>
          <w:spacing w:val="-4"/>
        </w:rPr>
        <w:t> </w:t>
      </w:r>
      <w:r>
        <w:rPr/>
        <w:t>to</w:t>
      </w:r>
      <w:r>
        <w:rPr>
          <w:spacing w:val="-5"/>
        </w:rPr>
        <w:t> </w:t>
      </w:r>
      <w:r>
        <w:rPr/>
        <w:t>exist</w:t>
      </w:r>
      <w:r>
        <w:rPr>
          <w:spacing w:val="-4"/>
        </w:rPr>
        <w:t> </w:t>
      </w:r>
      <w:r>
        <w:rPr/>
        <w:t>which</w:t>
      </w:r>
      <w:r>
        <w:rPr>
          <w:spacing w:val="-5"/>
        </w:rPr>
        <w:t> </w:t>
      </w:r>
      <w:r>
        <w:rPr/>
        <w:t>might</w:t>
      </w:r>
      <w:r>
        <w:rPr>
          <w:spacing w:val="-4"/>
        </w:rPr>
        <w:t> </w:t>
      </w:r>
      <w:r>
        <w:rPr/>
        <w:t>cause confusion for victims and survivors or offer opportunities to criminals. Similarly possible cross-border criminal activity involving child sexual abuse should be deterred</w:t>
      </w:r>
      <w:r>
        <w:rPr>
          <w:spacing w:val="-1"/>
        </w:rPr>
        <w:t> </w:t>
      </w:r>
      <w:r>
        <w:rPr/>
        <w:t>by having robust and</w:t>
      </w:r>
      <w:r>
        <w:rPr>
          <w:spacing w:val="-1"/>
        </w:rPr>
        <w:t> </w:t>
      </w:r>
      <w:r>
        <w:rPr/>
        <w:t>equivalent provisions</w:t>
      </w:r>
      <w:r>
        <w:rPr>
          <w:spacing w:val="-1"/>
        </w:rPr>
        <w:t> </w:t>
      </w:r>
      <w:r>
        <w:rPr/>
        <w:t>on</w:t>
      </w:r>
      <w:r>
        <w:rPr>
          <w:spacing w:val="-1"/>
        </w:rPr>
        <w:t> </w:t>
      </w:r>
      <w:r>
        <w:rPr/>
        <w:t>both</w:t>
      </w:r>
      <w:r>
        <w:rPr>
          <w:spacing w:val="-1"/>
        </w:rPr>
        <w:t> </w:t>
      </w:r>
      <w:r>
        <w:rPr/>
        <w:t>sides</w:t>
      </w:r>
      <w:r>
        <w:rPr>
          <w:spacing w:val="-1"/>
        </w:rPr>
        <w:t> </w:t>
      </w:r>
      <w:r>
        <w:rPr/>
        <w:t>of</w:t>
      </w:r>
      <w:r>
        <w:rPr>
          <w:spacing w:val="-1"/>
        </w:rPr>
        <w:t> </w:t>
      </w:r>
      <w:r>
        <w:rPr/>
        <w:t>the border. Furthermore, as this currently falls within the non-diminution aspect of Article 2 WF, any updates have the potential to lead to divergence of rights on the island of Ireland.</w:t>
      </w:r>
    </w:p>
    <w:p>
      <w:pPr>
        <w:pStyle w:val="BodyText"/>
        <w:spacing w:before="3"/>
        <w:rPr>
          <w:sz w:val="19"/>
        </w:rPr>
      </w:pPr>
      <w:r>
        <w:rPr/>
        <mc:AlternateContent>
          <mc:Choice Requires="wps">
            <w:drawing>
              <wp:anchor distT="0" distB="0" distL="0" distR="0" allowOverlap="1" layoutInCell="1" locked="0" behindDoc="1" simplePos="0" relativeHeight="487750144">
                <wp:simplePos x="0" y="0"/>
                <wp:positionH relativeFrom="page">
                  <wp:posOffset>647994</wp:posOffset>
                </wp:positionH>
                <wp:positionV relativeFrom="paragraph">
                  <wp:posOffset>165043</wp:posOffset>
                </wp:positionV>
                <wp:extent cx="6012180" cy="1442085"/>
                <wp:effectExtent l="0" t="0" r="0" b="0"/>
                <wp:wrapTopAndBottom/>
                <wp:docPr id="859" name="Group 859"/>
                <wp:cNvGraphicFramePr>
                  <a:graphicFrameLocks/>
                </wp:cNvGraphicFramePr>
                <a:graphic>
                  <a:graphicData uri="http://schemas.microsoft.com/office/word/2010/wordprocessingGroup">
                    <wpg:wgp>
                      <wpg:cNvPr id="859" name="Group 859"/>
                      <wpg:cNvGrpSpPr/>
                      <wpg:grpSpPr>
                        <a:xfrm>
                          <a:off x="0" y="0"/>
                          <a:ext cx="6012180" cy="1442085"/>
                          <a:chExt cx="6012180" cy="1442085"/>
                        </a:xfrm>
                      </wpg:grpSpPr>
                      <wps:wsp>
                        <wps:cNvPr id="860" name="Graphic 860"/>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861" name="Textbox 861"/>
                        <wps:cNvSpPr txBox="1"/>
                        <wps:spPr>
                          <a:xfrm>
                            <a:off x="0" y="0"/>
                            <a:ext cx="6012180" cy="1442085"/>
                          </a:xfrm>
                          <a:prstGeom prst="rect">
                            <a:avLst/>
                          </a:prstGeom>
                        </wps:spPr>
                        <wps:txbx>
                          <w:txbxContent>
                            <w:p>
                              <w:pPr>
                                <w:spacing w:line="232" w:lineRule="auto" w:before="121"/>
                                <w:ind w:left="340" w:right="106" w:firstLine="0"/>
                                <w:jc w:val="left"/>
                                <w:rPr>
                                  <w:b/>
                                  <w:sz w:val="28"/>
                                </w:rPr>
                              </w:pPr>
                              <w:r>
                                <w:rPr>
                                  <w:b/>
                                  <w:color w:val="164194"/>
                                  <w:sz w:val="28"/>
                                </w:rPr>
                                <w:t>We</w:t>
                              </w:r>
                              <w:r>
                                <w:rPr>
                                  <w:b/>
                                  <w:color w:val="164194"/>
                                  <w:spacing w:val="-16"/>
                                  <w:sz w:val="28"/>
                                </w:rPr>
                                <w:t> </w:t>
                              </w:r>
                              <w:r>
                                <w:rPr>
                                  <w:b/>
                                  <w:color w:val="164194"/>
                                  <w:sz w:val="28"/>
                                </w:rPr>
                                <w:t>recommend</w:t>
                              </w:r>
                              <w:r>
                                <w:rPr>
                                  <w:b/>
                                  <w:color w:val="164194"/>
                                  <w:spacing w:val="-16"/>
                                  <w:sz w:val="28"/>
                                </w:rPr>
                                <w:t> </w:t>
                              </w:r>
                              <w:r>
                                <w:rPr>
                                  <w:b/>
                                  <w:color w:val="164194"/>
                                  <w:sz w:val="28"/>
                                </w:rPr>
                                <w:t>the</w:t>
                              </w:r>
                              <w:r>
                                <w:rPr>
                                  <w:b/>
                                  <w:color w:val="164194"/>
                                  <w:spacing w:val="-16"/>
                                  <w:sz w:val="28"/>
                                </w:rPr>
                                <w:t> </w:t>
                              </w:r>
                              <w:r>
                                <w:rPr>
                                  <w:b/>
                                  <w:color w:val="164194"/>
                                  <w:sz w:val="28"/>
                                </w:rPr>
                                <w:t>UK</w:t>
                              </w:r>
                              <w:r>
                                <w:rPr>
                                  <w:b/>
                                  <w:color w:val="164194"/>
                                  <w:spacing w:val="-16"/>
                                  <w:sz w:val="28"/>
                                </w:rPr>
                                <w:t> </w:t>
                              </w:r>
                              <w:r>
                                <w:rPr>
                                  <w:b/>
                                  <w:color w:val="164194"/>
                                  <w:sz w:val="28"/>
                                </w:rPr>
                                <w:t>Government</w:t>
                              </w:r>
                              <w:r>
                                <w:rPr>
                                  <w:b/>
                                  <w:color w:val="164194"/>
                                  <w:spacing w:val="-16"/>
                                  <w:sz w:val="28"/>
                                </w:rPr>
                                <w:t> </w:t>
                              </w:r>
                              <w:r>
                                <w:rPr>
                                  <w:b/>
                                  <w:color w:val="164194"/>
                                  <w:sz w:val="28"/>
                                </w:rPr>
                                <w:t>and</w:t>
                              </w:r>
                              <w:r>
                                <w:rPr>
                                  <w:b/>
                                  <w:color w:val="164194"/>
                                  <w:spacing w:val="-15"/>
                                  <w:sz w:val="28"/>
                                </w:rPr>
                                <w:t> </w:t>
                              </w:r>
                              <w:r>
                                <w:rPr>
                                  <w:b/>
                                  <w:color w:val="164194"/>
                                  <w:sz w:val="28"/>
                                </w:rPr>
                                <w:t>relevant</w:t>
                              </w:r>
                              <w:r>
                                <w:rPr>
                                  <w:b/>
                                  <w:color w:val="164194"/>
                                  <w:spacing w:val="-16"/>
                                  <w:sz w:val="28"/>
                                </w:rPr>
                                <w:t> </w:t>
                              </w:r>
                              <w:r>
                                <w:rPr>
                                  <w:b/>
                                  <w:color w:val="164194"/>
                                  <w:sz w:val="28"/>
                                </w:rPr>
                                <w:t>NI</w:t>
                              </w:r>
                              <w:r>
                                <w:rPr>
                                  <w:b/>
                                  <w:color w:val="164194"/>
                                  <w:spacing w:val="-16"/>
                                  <w:sz w:val="28"/>
                                </w:rPr>
                                <w:t> </w:t>
                              </w:r>
                              <w:r>
                                <w:rPr>
                                  <w:b/>
                                  <w:color w:val="164194"/>
                                  <w:sz w:val="28"/>
                                </w:rPr>
                                <w:t>Departments</w:t>
                              </w:r>
                              <w:r>
                                <w:rPr>
                                  <w:b/>
                                  <w:color w:val="164194"/>
                                  <w:spacing w:val="-16"/>
                                  <w:sz w:val="28"/>
                                </w:rPr>
                                <w:t> </w:t>
                              </w:r>
                              <w:r>
                                <w:rPr>
                                  <w:b/>
                                  <w:color w:val="164194"/>
                                  <w:sz w:val="28"/>
                                </w:rPr>
                                <w:t>monitor</w:t>
                              </w:r>
                              <w:r>
                                <w:rPr>
                                  <w:b/>
                                  <w:color w:val="164194"/>
                                  <w:spacing w:val="-16"/>
                                  <w:sz w:val="28"/>
                                </w:rPr>
                                <w:t> </w:t>
                              </w:r>
                              <w:r>
                                <w:rPr>
                                  <w:b/>
                                  <w:color w:val="164194"/>
                                  <w:sz w:val="28"/>
                                </w:rPr>
                                <w:t>EU </w:t>
                              </w:r>
                              <w:r>
                                <w:rPr>
                                  <w:b/>
                                  <w:color w:val="164194"/>
                                  <w:spacing w:val="-2"/>
                                  <w:sz w:val="28"/>
                                </w:rPr>
                                <w:t>measures</w:t>
                              </w:r>
                              <w:r>
                                <w:rPr>
                                  <w:b/>
                                  <w:color w:val="164194"/>
                                  <w:spacing w:val="-12"/>
                                  <w:sz w:val="28"/>
                                </w:rPr>
                                <w:t> </w:t>
                              </w:r>
                              <w:r>
                                <w:rPr>
                                  <w:b/>
                                  <w:color w:val="164194"/>
                                  <w:spacing w:val="-2"/>
                                  <w:sz w:val="28"/>
                                </w:rPr>
                                <w:t>to</w:t>
                              </w:r>
                              <w:r>
                                <w:rPr>
                                  <w:b/>
                                  <w:color w:val="164194"/>
                                  <w:spacing w:val="-12"/>
                                  <w:sz w:val="28"/>
                                </w:rPr>
                                <w:t> </w:t>
                              </w:r>
                              <w:r>
                                <w:rPr>
                                  <w:b/>
                                  <w:color w:val="164194"/>
                                  <w:spacing w:val="-2"/>
                                  <w:sz w:val="28"/>
                                </w:rPr>
                                <w:t>combat</w:t>
                              </w:r>
                              <w:r>
                                <w:rPr>
                                  <w:b/>
                                  <w:color w:val="164194"/>
                                  <w:spacing w:val="-12"/>
                                  <w:sz w:val="28"/>
                                </w:rPr>
                                <w:t> </w:t>
                              </w:r>
                              <w:r>
                                <w:rPr>
                                  <w:b/>
                                  <w:color w:val="164194"/>
                                  <w:spacing w:val="-2"/>
                                  <w:sz w:val="28"/>
                                </w:rPr>
                                <w:t>trafficking</w:t>
                              </w:r>
                              <w:r>
                                <w:rPr>
                                  <w:b/>
                                  <w:color w:val="164194"/>
                                  <w:spacing w:val="-12"/>
                                  <w:sz w:val="28"/>
                                </w:rPr>
                                <w:t> </w:t>
                              </w:r>
                              <w:r>
                                <w:rPr>
                                  <w:b/>
                                  <w:color w:val="164194"/>
                                  <w:spacing w:val="-2"/>
                                  <w:sz w:val="28"/>
                                </w:rPr>
                                <w:t>in</w:t>
                              </w:r>
                              <w:r>
                                <w:rPr>
                                  <w:b/>
                                  <w:color w:val="164194"/>
                                  <w:spacing w:val="-12"/>
                                  <w:sz w:val="28"/>
                                </w:rPr>
                                <w:t> </w:t>
                              </w:r>
                              <w:r>
                                <w:rPr>
                                  <w:b/>
                                  <w:color w:val="164194"/>
                                  <w:spacing w:val="-2"/>
                                  <w:sz w:val="28"/>
                                </w:rPr>
                                <w:t>human</w:t>
                              </w:r>
                              <w:r>
                                <w:rPr>
                                  <w:b/>
                                  <w:color w:val="164194"/>
                                  <w:spacing w:val="-12"/>
                                  <w:sz w:val="28"/>
                                </w:rPr>
                                <w:t> </w:t>
                              </w:r>
                              <w:r>
                                <w:rPr>
                                  <w:b/>
                                  <w:color w:val="164194"/>
                                  <w:spacing w:val="-2"/>
                                  <w:sz w:val="28"/>
                                </w:rPr>
                                <w:t>beings</w:t>
                              </w:r>
                              <w:r>
                                <w:rPr>
                                  <w:b/>
                                  <w:color w:val="164194"/>
                                  <w:spacing w:val="-12"/>
                                  <w:sz w:val="28"/>
                                </w:rPr>
                                <w:t> </w:t>
                              </w:r>
                              <w:r>
                                <w:rPr>
                                  <w:b/>
                                  <w:color w:val="164194"/>
                                  <w:spacing w:val="-2"/>
                                  <w:sz w:val="28"/>
                                </w:rPr>
                                <w:t>and</w:t>
                              </w:r>
                              <w:r>
                                <w:rPr>
                                  <w:b/>
                                  <w:color w:val="164194"/>
                                  <w:spacing w:val="-12"/>
                                  <w:sz w:val="28"/>
                                </w:rPr>
                                <w:t> </w:t>
                              </w:r>
                              <w:r>
                                <w:rPr>
                                  <w:b/>
                                  <w:color w:val="164194"/>
                                  <w:spacing w:val="-2"/>
                                  <w:sz w:val="28"/>
                                </w:rPr>
                                <w:t>proposals</w:t>
                              </w:r>
                              <w:r>
                                <w:rPr>
                                  <w:b/>
                                  <w:color w:val="164194"/>
                                  <w:spacing w:val="-12"/>
                                  <w:sz w:val="28"/>
                                </w:rPr>
                                <w:t> </w:t>
                              </w:r>
                              <w:r>
                                <w:rPr>
                                  <w:b/>
                                  <w:color w:val="164194"/>
                                  <w:spacing w:val="-2"/>
                                  <w:sz w:val="28"/>
                                </w:rPr>
                                <w:t>to</w:t>
                              </w:r>
                              <w:r>
                                <w:rPr>
                                  <w:b/>
                                  <w:color w:val="164194"/>
                                  <w:spacing w:val="-12"/>
                                  <w:sz w:val="28"/>
                                </w:rPr>
                                <w:t> </w:t>
                              </w:r>
                              <w:r>
                                <w:rPr>
                                  <w:b/>
                                  <w:color w:val="164194"/>
                                  <w:spacing w:val="-2"/>
                                  <w:sz w:val="28"/>
                                </w:rPr>
                                <w:t>combat</w:t>
                              </w:r>
                              <w:r>
                                <w:rPr>
                                  <w:b/>
                                  <w:color w:val="164194"/>
                                  <w:spacing w:val="-12"/>
                                  <w:sz w:val="28"/>
                                </w:rPr>
                                <w:t> </w:t>
                              </w:r>
                              <w:r>
                                <w:rPr>
                                  <w:b/>
                                  <w:color w:val="164194"/>
                                  <w:spacing w:val="-2"/>
                                  <w:sz w:val="28"/>
                                </w:rPr>
                                <w:t>child </w:t>
                              </w:r>
                              <w:r>
                                <w:rPr>
                                  <w:b/>
                                  <w:color w:val="164194"/>
                                  <w:sz w:val="28"/>
                                </w:rPr>
                                <w:t>sexual</w:t>
                              </w:r>
                              <w:r>
                                <w:rPr>
                                  <w:b/>
                                  <w:color w:val="164194"/>
                                  <w:spacing w:val="-7"/>
                                  <w:sz w:val="28"/>
                                </w:rPr>
                                <w:t> </w:t>
                              </w:r>
                              <w:r>
                                <w:rPr>
                                  <w:b/>
                                  <w:color w:val="164194"/>
                                  <w:sz w:val="28"/>
                                </w:rPr>
                                <w:t>abuse</w:t>
                              </w:r>
                              <w:r>
                                <w:rPr>
                                  <w:b/>
                                  <w:color w:val="164194"/>
                                  <w:spacing w:val="-7"/>
                                  <w:sz w:val="28"/>
                                </w:rPr>
                                <w:t> </w:t>
                              </w:r>
                              <w:r>
                                <w:rPr>
                                  <w:b/>
                                  <w:color w:val="164194"/>
                                  <w:sz w:val="28"/>
                                </w:rPr>
                                <w:t>online</w:t>
                              </w:r>
                              <w:r>
                                <w:rPr>
                                  <w:b/>
                                  <w:color w:val="164194"/>
                                  <w:spacing w:val="-7"/>
                                  <w:sz w:val="28"/>
                                </w:rPr>
                                <w:t> </w:t>
                              </w:r>
                              <w:r>
                                <w:rPr>
                                  <w:b/>
                                  <w:color w:val="164194"/>
                                  <w:sz w:val="28"/>
                                </w:rPr>
                                <w:t>with</w:t>
                              </w:r>
                              <w:r>
                                <w:rPr>
                                  <w:b/>
                                  <w:color w:val="164194"/>
                                  <w:spacing w:val="-7"/>
                                  <w:sz w:val="28"/>
                                </w:rPr>
                                <w:t> </w:t>
                              </w:r>
                              <w:r>
                                <w:rPr>
                                  <w:b/>
                                  <w:color w:val="164194"/>
                                  <w:sz w:val="28"/>
                                </w:rPr>
                                <w:t>a</w:t>
                              </w:r>
                              <w:r>
                                <w:rPr>
                                  <w:b/>
                                  <w:color w:val="164194"/>
                                  <w:spacing w:val="-7"/>
                                  <w:sz w:val="28"/>
                                </w:rPr>
                                <w:t> </w:t>
                              </w:r>
                              <w:r>
                                <w:rPr>
                                  <w:b/>
                                  <w:color w:val="164194"/>
                                  <w:sz w:val="28"/>
                                </w:rPr>
                                <w:t>view</w:t>
                              </w:r>
                              <w:r>
                                <w:rPr>
                                  <w:b/>
                                  <w:color w:val="164194"/>
                                  <w:spacing w:val="-7"/>
                                  <w:sz w:val="28"/>
                                </w:rPr>
                                <w:t> </w:t>
                              </w:r>
                              <w:r>
                                <w:rPr>
                                  <w:b/>
                                  <w:color w:val="164194"/>
                                  <w:sz w:val="28"/>
                                </w:rPr>
                                <w:t>to</w:t>
                              </w:r>
                              <w:r>
                                <w:rPr>
                                  <w:b/>
                                  <w:color w:val="164194"/>
                                  <w:spacing w:val="-7"/>
                                  <w:sz w:val="28"/>
                                </w:rPr>
                                <w:t> </w:t>
                              </w:r>
                              <w:r>
                                <w:rPr>
                                  <w:b/>
                                  <w:color w:val="164194"/>
                                  <w:sz w:val="28"/>
                                </w:rPr>
                                <w:t>assessing</w:t>
                              </w:r>
                              <w:r>
                                <w:rPr>
                                  <w:b/>
                                  <w:color w:val="164194"/>
                                  <w:spacing w:val="-7"/>
                                  <w:sz w:val="28"/>
                                </w:rPr>
                                <w:t> </w:t>
                              </w:r>
                              <w:r>
                                <w:rPr>
                                  <w:b/>
                                  <w:color w:val="164194"/>
                                  <w:sz w:val="28"/>
                                </w:rPr>
                                <w:t>whether</w:t>
                              </w:r>
                              <w:r>
                                <w:rPr>
                                  <w:b/>
                                  <w:color w:val="164194"/>
                                  <w:spacing w:val="-7"/>
                                  <w:sz w:val="28"/>
                                </w:rPr>
                                <w:t> </w:t>
                              </w:r>
                              <w:r>
                                <w:rPr>
                                  <w:b/>
                                  <w:color w:val="164194"/>
                                  <w:sz w:val="28"/>
                                </w:rPr>
                                <w:t>Northern</w:t>
                              </w:r>
                              <w:r>
                                <w:rPr>
                                  <w:b/>
                                  <w:color w:val="164194"/>
                                  <w:spacing w:val="-7"/>
                                  <w:sz w:val="28"/>
                                </w:rPr>
                                <w:t> </w:t>
                              </w:r>
                              <w:r>
                                <w:rPr>
                                  <w:b/>
                                  <w:color w:val="164194"/>
                                  <w:sz w:val="28"/>
                                </w:rPr>
                                <w:t>Ireland</w:t>
                              </w:r>
                              <w:r>
                                <w:rPr>
                                  <w:b/>
                                  <w:color w:val="164194"/>
                                  <w:spacing w:val="-7"/>
                                  <w:sz w:val="28"/>
                                </w:rPr>
                                <w:t> </w:t>
                              </w:r>
                              <w:r>
                                <w:rPr>
                                  <w:b/>
                                  <w:color w:val="164194"/>
                                  <w:sz w:val="28"/>
                                </w:rPr>
                                <w:t>law needs</w:t>
                              </w:r>
                              <w:r>
                                <w:rPr>
                                  <w:b/>
                                  <w:color w:val="164194"/>
                                  <w:spacing w:val="-8"/>
                                  <w:sz w:val="28"/>
                                </w:rPr>
                                <w:t> </w:t>
                              </w:r>
                              <w:r>
                                <w:rPr>
                                  <w:b/>
                                  <w:color w:val="164194"/>
                                  <w:sz w:val="28"/>
                                </w:rPr>
                                <w:t>amendment</w:t>
                              </w:r>
                              <w:r>
                                <w:rPr>
                                  <w:b/>
                                  <w:color w:val="164194"/>
                                  <w:spacing w:val="-8"/>
                                  <w:sz w:val="28"/>
                                </w:rPr>
                                <w:t> </w:t>
                              </w:r>
                              <w:r>
                                <w:rPr>
                                  <w:b/>
                                  <w:color w:val="164194"/>
                                  <w:sz w:val="28"/>
                                </w:rPr>
                                <w:t>to</w:t>
                              </w:r>
                              <w:r>
                                <w:rPr>
                                  <w:b/>
                                  <w:color w:val="164194"/>
                                  <w:spacing w:val="-8"/>
                                  <w:sz w:val="28"/>
                                </w:rPr>
                                <w:t> </w:t>
                              </w:r>
                              <w:r>
                                <w:rPr>
                                  <w:b/>
                                  <w:color w:val="164194"/>
                                  <w:sz w:val="28"/>
                                </w:rPr>
                                <w:t>reflect</w:t>
                              </w:r>
                              <w:r>
                                <w:rPr>
                                  <w:b/>
                                  <w:color w:val="164194"/>
                                  <w:spacing w:val="-8"/>
                                  <w:sz w:val="28"/>
                                </w:rPr>
                                <w:t> </w:t>
                              </w:r>
                              <w:r>
                                <w:rPr>
                                  <w:b/>
                                  <w:color w:val="164194"/>
                                  <w:sz w:val="28"/>
                                </w:rPr>
                                <w:t>best</w:t>
                              </w:r>
                              <w:r>
                                <w:rPr>
                                  <w:b/>
                                  <w:color w:val="164194"/>
                                  <w:spacing w:val="-8"/>
                                  <w:sz w:val="28"/>
                                </w:rPr>
                                <w:t> </w:t>
                              </w:r>
                              <w:r>
                                <w:rPr>
                                  <w:b/>
                                  <w:color w:val="164194"/>
                                  <w:sz w:val="28"/>
                                </w:rPr>
                                <w:t>international</w:t>
                              </w:r>
                              <w:r>
                                <w:rPr>
                                  <w:b/>
                                  <w:color w:val="164194"/>
                                  <w:spacing w:val="-8"/>
                                  <w:sz w:val="28"/>
                                </w:rPr>
                                <w:t> </w:t>
                              </w:r>
                              <w:r>
                                <w:rPr>
                                  <w:b/>
                                  <w:color w:val="164194"/>
                                  <w:sz w:val="28"/>
                                </w:rPr>
                                <w:t>practice</w:t>
                              </w:r>
                              <w:r>
                                <w:rPr>
                                  <w:b/>
                                  <w:color w:val="164194"/>
                                  <w:spacing w:val="-8"/>
                                  <w:sz w:val="28"/>
                                </w:rPr>
                                <w:t> </w:t>
                              </w:r>
                              <w:r>
                                <w:rPr>
                                  <w:b/>
                                  <w:color w:val="164194"/>
                                  <w:sz w:val="28"/>
                                </w:rPr>
                                <w:t>and</w:t>
                              </w:r>
                              <w:r>
                                <w:rPr>
                                  <w:b/>
                                  <w:color w:val="164194"/>
                                  <w:spacing w:val="-8"/>
                                  <w:sz w:val="28"/>
                                </w:rPr>
                                <w:t> </w:t>
                              </w:r>
                              <w:r>
                                <w:rPr>
                                  <w:b/>
                                  <w:color w:val="164194"/>
                                  <w:sz w:val="28"/>
                                </w:rPr>
                                <w:t>deal</w:t>
                              </w:r>
                              <w:r>
                                <w:rPr>
                                  <w:b/>
                                  <w:color w:val="164194"/>
                                  <w:spacing w:val="-8"/>
                                  <w:sz w:val="28"/>
                                </w:rPr>
                                <w:t> </w:t>
                              </w:r>
                              <w:r>
                                <w:rPr>
                                  <w:b/>
                                  <w:color w:val="164194"/>
                                  <w:sz w:val="28"/>
                                </w:rPr>
                                <w:t>with</w:t>
                              </w:r>
                              <w:r>
                                <w:rPr>
                                  <w:b/>
                                  <w:color w:val="164194"/>
                                  <w:spacing w:val="-8"/>
                                  <w:sz w:val="28"/>
                                </w:rPr>
                                <w:t> </w:t>
                              </w:r>
                              <w:r>
                                <w:rPr>
                                  <w:b/>
                                  <w:color w:val="164194"/>
                                  <w:sz w:val="28"/>
                                </w:rPr>
                                <w:t>cross- </w:t>
                              </w:r>
                              <w:r>
                                <w:rPr>
                                  <w:b/>
                                  <w:color w:val="164194"/>
                                  <w:spacing w:val="-2"/>
                                  <w:sz w:val="28"/>
                                </w:rPr>
                                <w:t>border</w:t>
                              </w:r>
                              <w:r>
                                <w:rPr>
                                  <w:b/>
                                  <w:color w:val="164194"/>
                                  <w:spacing w:val="-9"/>
                                  <w:sz w:val="28"/>
                                </w:rPr>
                                <w:t> </w:t>
                              </w:r>
                              <w:r>
                                <w:rPr>
                                  <w:b/>
                                  <w:color w:val="164194"/>
                                  <w:spacing w:val="-2"/>
                                  <w:sz w:val="28"/>
                                </w:rPr>
                                <w:t>challenges.</w:t>
                              </w:r>
                              <w:r>
                                <w:rPr>
                                  <w:b/>
                                  <w:color w:val="164194"/>
                                  <w:spacing w:val="-9"/>
                                  <w:sz w:val="28"/>
                                </w:rPr>
                                <w:t> </w:t>
                              </w:r>
                              <w:r>
                                <w:rPr>
                                  <w:b/>
                                  <w:color w:val="164194"/>
                                  <w:spacing w:val="-2"/>
                                  <w:sz w:val="28"/>
                                </w:rPr>
                                <w:t>We</w:t>
                              </w:r>
                              <w:r>
                                <w:rPr>
                                  <w:b/>
                                  <w:color w:val="164194"/>
                                  <w:spacing w:val="-9"/>
                                  <w:sz w:val="28"/>
                                </w:rPr>
                                <w:t> </w:t>
                              </w:r>
                              <w:r>
                                <w:rPr>
                                  <w:b/>
                                  <w:color w:val="164194"/>
                                  <w:spacing w:val="-2"/>
                                  <w:sz w:val="28"/>
                                </w:rPr>
                                <w:t>recommend</w:t>
                              </w:r>
                              <w:r>
                                <w:rPr>
                                  <w:b/>
                                  <w:color w:val="164194"/>
                                  <w:spacing w:val="-9"/>
                                  <w:sz w:val="28"/>
                                </w:rPr>
                                <w:t> </w:t>
                              </w:r>
                              <w:r>
                                <w:rPr>
                                  <w:b/>
                                  <w:color w:val="164194"/>
                                  <w:spacing w:val="-2"/>
                                  <w:sz w:val="28"/>
                                </w:rPr>
                                <w:t>voluntary</w:t>
                              </w:r>
                              <w:r>
                                <w:rPr>
                                  <w:b/>
                                  <w:color w:val="164194"/>
                                  <w:spacing w:val="-9"/>
                                  <w:sz w:val="28"/>
                                </w:rPr>
                                <w:t> </w:t>
                              </w:r>
                              <w:r>
                                <w:rPr>
                                  <w:b/>
                                  <w:color w:val="164194"/>
                                  <w:spacing w:val="-2"/>
                                  <w:sz w:val="28"/>
                                </w:rPr>
                                <w:t>alignment</w:t>
                              </w:r>
                              <w:r>
                                <w:rPr>
                                  <w:b/>
                                  <w:color w:val="164194"/>
                                  <w:spacing w:val="-9"/>
                                  <w:sz w:val="28"/>
                                </w:rPr>
                                <w:t> </w:t>
                              </w:r>
                              <w:r>
                                <w:rPr>
                                  <w:b/>
                                  <w:color w:val="164194"/>
                                  <w:spacing w:val="-2"/>
                                  <w:sz w:val="28"/>
                                </w:rPr>
                                <w:t>in</w:t>
                              </w:r>
                              <w:r>
                                <w:rPr>
                                  <w:b/>
                                  <w:color w:val="164194"/>
                                  <w:spacing w:val="-9"/>
                                  <w:sz w:val="28"/>
                                </w:rPr>
                                <w:t> </w:t>
                              </w:r>
                              <w:r>
                                <w:rPr>
                                  <w:b/>
                                  <w:color w:val="164194"/>
                                  <w:spacing w:val="-2"/>
                                  <w:sz w:val="28"/>
                                </w:rPr>
                                <w:t>order</w:t>
                              </w:r>
                              <w:r>
                                <w:rPr>
                                  <w:b/>
                                  <w:color w:val="164194"/>
                                  <w:spacing w:val="-9"/>
                                  <w:sz w:val="28"/>
                                </w:rPr>
                                <w:t> </w:t>
                              </w:r>
                              <w:r>
                                <w:rPr>
                                  <w:b/>
                                  <w:color w:val="164194"/>
                                  <w:spacing w:val="-2"/>
                                  <w:sz w:val="28"/>
                                </w:rPr>
                                <w:t>to</w:t>
                              </w:r>
                              <w:r>
                                <w:rPr>
                                  <w:b/>
                                  <w:color w:val="164194"/>
                                  <w:spacing w:val="-9"/>
                                  <w:sz w:val="28"/>
                                </w:rPr>
                                <w:t> </w:t>
                              </w:r>
                              <w:r>
                                <w:rPr>
                                  <w:b/>
                                  <w:color w:val="164194"/>
                                  <w:spacing w:val="-2"/>
                                  <w:sz w:val="28"/>
                                </w:rPr>
                                <w:t>strengthen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to</w:t>
                              </w:r>
                              <w:r>
                                <w:rPr>
                                  <w:b/>
                                  <w:color w:val="164194"/>
                                  <w:spacing w:val="-9"/>
                                  <w:sz w:val="28"/>
                                </w:rPr>
                                <w:t> </w:t>
                              </w:r>
                              <w:r>
                                <w:rPr>
                                  <w:b/>
                                  <w:color w:val="164194"/>
                                  <w:sz w:val="28"/>
                                </w:rPr>
                                <w:t>reflect</w:t>
                              </w:r>
                              <w:r>
                                <w:rPr>
                                  <w:b/>
                                  <w:color w:val="164194"/>
                                  <w:spacing w:val="-9"/>
                                  <w:sz w:val="28"/>
                                </w:rPr>
                                <w:t> </w:t>
                              </w:r>
                              <w:r>
                                <w:rPr>
                                  <w:b/>
                                  <w:color w:val="164194"/>
                                  <w:sz w:val="28"/>
                                </w:rPr>
                                <w:t>international</w:t>
                              </w:r>
                              <w:r>
                                <w:rPr>
                                  <w:b/>
                                  <w:color w:val="164194"/>
                                  <w:spacing w:val="-9"/>
                                  <w:sz w:val="28"/>
                                </w:rPr>
                                <w:t> </w:t>
                              </w:r>
                              <w:r>
                                <w:rPr>
                                  <w:b/>
                                  <w:color w:val="164194"/>
                                  <w:sz w:val="28"/>
                                </w:rPr>
                                <w:t>human</w:t>
                              </w:r>
                              <w:r>
                                <w:rPr>
                                  <w:b/>
                                  <w:color w:val="164194"/>
                                  <w:spacing w:val="-9"/>
                                  <w:sz w:val="28"/>
                                </w:rPr>
                                <w:t> </w:t>
                              </w:r>
                              <w:r>
                                <w:rPr>
                                  <w:b/>
                                  <w:color w:val="164194"/>
                                  <w:sz w:val="28"/>
                                </w:rPr>
                                <w:t>rights</w:t>
                              </w:r>
                              <w:r>
                                <w:rPr>
                                  <w:b/>
                                  <w:color w:val="164194"/>
                                  <w:spacing w:val="-9"/>
                                  <w:sz w:val="28"/>
                                </w:rPr>
                                <w:t> </w:t>
                              </w:r>
                              <w:r>
                                <w:rPr>
                                  <w:b/>
                                  <w:color w:val="164194"/>
                                  <w:sz w:val="28"/>
                                </w:rPr>
                                <w:t>standards</w:t>
                              </w:r>
                              <w:r>
                                <w:rPr>
                                  <w:b/>
                                  <w:color w:val="164194"/>
                                  <w:spacing w:val="-9"/>
                                  <w:sz w:val="28"/>
                                </w:rPr>
                                <w:t> </w:t>
                              </w:r>
                              <w:r>
                                <w:rPr>
                                  <w:b/>
                                  <w:color w:val="164194"/>
                                  <w:sz w:val="28"/>
                                </w:rPr>
                                <w:t>and</w:t>
                              </w:r>
                              <w:r>
                                <w:rPr>
                                  <w:b/>
                                  <w:color w:val="164194"/>
                                  <w:spacing w:val="-9"/>
                                  <w:sz w:val="28"/>
                                </w:rPr>
                                <w:t> </w:t>
                              </w:r>
                              <w:r>
                                <w:rPr>
                                  <w:b/>
                                  <w:color w:val="164194"/>
                                  <w:sz w:val="28"/>
                                </w:rPr>
                                <w:t>best</w:t>
                              </w:r>
                              <w:r>
                                <w:rPr>
                                  <w:b/>
                                  <w:color w:val="164194"/>
                                  <w:spacing w:val="-9"/>
                                  <w:sz w:val="28"/>
                                </w:rPr>
                                <w:t> </w:t>
                              </w:r>
                              <w:r>
                                <w:rPr>
                                  <w:b/>
                                  <w:color w:val="164194"/>
                                  <w:sz w:val="28"/>
                                </w:rPr>
                                <w:t>practice.</w:t>
                              </w:r>
                            </w:p>
                          </w:txbxContent>
                        </wps:txbx>
                        <wps:bodyPr wrap="square" lIns="0" tIns="0" rIns="0" bIns="0" rtlCol="0">
                          <a:noAutofit/>
                        </wps:bodyPr>
                      </wps:wsp>
                    </wpg:wgp>
                  </a:graphicData>
                </a:graphic>
              </wp:anchor>
            </w:drawing>
          </mc:Choice>
          <mc:Fallback>
            <w:pict>
              <v:group style="position:absolute;margin-left:51.023201pt;margin-top:12.99556pt;width:473.4pt;height:113.55pt;mso-position-horizontal-relative:page;mso-position-vertical-relative:paragraph;z-index:-15566336;mso-wrap-distance-left:0;mso-wrap-distance-right:0" id="docshapegroup705" coordorigin="1020,260" coordsize="9468,2271">
                <v:shape style="position:absolute;left:1020;top:259;width:9468;height:2271" id="docshape706" coordorigin="1020,260" coordsize="9468,2271" path="m10261,260l1247,260,1176,271,1113,304,1064,353,1032,415,1020,487,1020,2303,1032,2375,1064,2437,1113,2486,1176,2519,1247,2530,10261,2530,10333,2519,10395,2486,10444,2437,10477,2375,10488,2303,10488,487,10477,415,10444,353,10395,304,10333,271,10261,260xe" filled="true" fillcolor="#e9f3fc" stroked="false">
                  <v:path arrowok="t"/>
                  <v:fill type="solid"/>
                </v:shape>
                <v:shape style="position:absolute;left:1020;top:259;width:9468;height:2271" type="#_x0000_t202" id="docshape707" filled="false" stroked="false">
                  <v:textbox inset="0,0,0,0">
                    <w:txbxContent>
                      <w:p>
                        <w:pPr>
                          <w:spacing w:line="232" w:lineRule="auto" w:before="121"/>
                          <w:ind w:left="340" w:right="106" w:firstLine="0"/>
                          <w:jc w:val="left"/>
                          <w:rPr>
                            <w:b/>
                            <w:sz w:val="28"/>
                          </w:rPr>
                        </w:pPr>
                        <w:r>
                          <w:rPr>
                            <w:b/>
                            <w:color w:val="164194"/>
                            <w:sz w:val="28"/>
                          </w:rPr>
                          <w:t>We</w:t>
                        </w:r>
                        <w:r>
                          <w:rPr>
                            <w:b/>
                            <w:color w:val="164194"/>
                            <w:spacing w:val="-16"/>
                            <w:sz w:val="28"/>
                          </w:rPr>
                          <w:t> </w:t>
                        </w:r>
                        <w:r>
                          <w:rPr>
                            <w:b/>
                            <w:color w:val="164194"/>
                            <w:sz w:val="28"/>
                          </w:rPr>
                          <w:t>recommend</w:t>
                        </w:r>
                        <w:r>
                          <w:rPr>
                            <w:b/>
                            <w:color w:val="164194"/>
                            <w:spacing w:val="-16"/>
                            <w:sz w:val="28"/>
                          </w:rPr>
                          <w:t> </w:t>
                        </w:r>
                        <w:r>
                          <w:rPr>
                            <w:b/>
                            <w:color w:val="164194"/>
                            <w:sz w:val="28"/>
                          </w:rPr>
                          <w:t>the</w:t>
                        </w:r>
                        <w:r>
                          <w:rPr>
                            <w:b/>
                            <w:color w:val="164194"/>
                            <w:spacing w:val="-16"/>
                            <w:sz w:val="28"/>
                          </w:rPr>
                          <w:t> </w:t>
                        </w:r>
                        <w:r>
                          <w:rPr>
                            <w:b/>
                            <w:color w:val="164194"/>
                            <w:sz w:val="28"/>
                          </w:rPr>
                          <w:t>UK</w:t>
                        </w:r>
                        <w:r>
                          <w:rPr>
                            <w:b/>
                            <w:color w:val="164194"/>
                            <w:spacing w:val="-16"/>
                            <w:sz w:val="28"/>
                          </w:rPr>
                          <w:t> </w:t>
                        </w:r>
                        <w:r>
                          <w:rPr>
                            <w:b/>
                            <w:color w:val="164194"/>
                            <w:sz w:val="28"/>
                          </w:rPr>
                          <w:t>Government</w:t>
                        </w:r>
                        <w:r>
                          <w:rPr>
                            <w:b/>
                            <w:color w:val="164194"/>
                            <w:spacing w:val="-16"/>
                            <w:sz w:val="28"/>
                          </w:rPr>
                          <w:t> </w:t>
                        </w:r>
                        <w:r>
                          <w:rPr>
                            <w:b/>
                            <w:color w:val="164194"/>
                            <w:sz w:val="28"/>
                          </w:rPr>
                          <w:t>and</w:t>
                        </w:r>
                        <w:r>
                          <w:rPr>
                            <w:b/>
                            <w:color w:val="164194"/>
                            <w:spacing w:val="-15"/>
                            <w:sz w:val="28"/>
                          </w:rPr>
                          <w:t> </w:t>
                        </w:r>
                        <w:r>
                          <w:rPr>
                            <w:b/>
                            <w:color w:val="164194"/>
                            <w:sz w:val="28"/>
                          </w:rPr>
                          <w:t>relevant</w:t>
                        </w:r>
                        <w:r>
                          <w:rPr>
                            <w:b/>
                            <w:color w:val="164194"/>
                            <w:spacing w:val="-16"/>
                            <w:sz w:val="28"/>
                          </w:rPr>
                          <w:t> </w:t>
                        </w:r>
                        <w:r>
                          <w:rPr>
                            <w:b/>
                            <w:color w:val="164194"/>
                            <w:sz w:val="28"/>
                          </w:rPr>
                          <w:t>NI</w:t>
                        </w:r>
                        <w:r>
                          <w:rPr>
                            <w:b/>
                            <w:color w:val="164194"/>
                            <w:spacing w:val="-16"/>
                            <w:sz w:val="28"/>
                          </w:rPr>
                          <w:t> </w:t>
                        </w:r>
                        <w:r>
                          <w:rPr>
                            <w:b/>
                            <w:color w:val="164194"/>
                            <w:sz w:val="28"/>
                          </w:rPr>
                          <w:t>Departments</w:t>
                        </w:r>
                        <w:r>
                          <w:rPr>
                            <w:b/>
                            <w:color w:val="164194"/>
                            <w:spacing w:val="-16"/>
                            <w:sz w:val="28"/>
                          </w:rPr>
                          <w:t> </w:t>
                        </w:r>
                        <w:r>
                          <w:rPr>
                            <w:b/>
                            <w:color w:val="164194"/>
                            <w:sz w:val="28"/>
                          </w:rPr>
                          <w:t>monitor</w:t>
                        </w:r>
                        <w:r>
                          <w:rPr>
                            <w:b/>
                            <w:color w:val="164194"/>
                            <w:spacing w:val="-16"/>
                            <w:sz w:val="28"/>
                          </w:rPr>
                          <w:t> </w:t>
                        </w:r>
                        <w:r>
                          <w:rPr>
                            <w:b/>
                            <w:color w:val="164194"/>
                            <w:sz w:val="28"/>
                          </w:rPr>
                          <w:t>EU </w:t>
                        </w:r>
                        <w:r>
                          <w:rPr>
                            <w:b/>
                            <w:color w:val="164194"/>
                            <w:spacing w:val="-2"/>
                            <w:sz w:val="28"/>
                          </w:rPr>
                          <w:t>measures</w:t>
                        </w:r>
                        <w:r>
                          <w:rPr>
                            <w:b/>
                            <w:color w:val="164194"/>
                            <w:spacing w:val="-12"/>
                            <w:sz w:val="28"/>
                          </w:rPr>
                          <w:t> </w:t>
                        </w:r>
                        <w:r>
                          <w:rPr>
                            <w:b/>
                            <w:color w:val="164194"/>
                            <w:spacing w:val="-2"/>
                            <w:sz w:val="28"/>
                          </w:rPr>
                          <w:t>to</w:t>
                        </w:r>
                        <w:r>
                          <w:rPr>
                            <w:b/>
                            <w:color w:val="164194"/>
                            <w:spacing w:val="-12"/>
                            <w:sz w:val="28"/>
                          </w:rPr>
                          <w:t> </w:t>
                        </w:r>
                        <w:r>
                          <w:rPr>
                            <w:b/>
                            <w:color w:val="164194"/>
                            <w:spacing w:val="-2"/>
                            <w:sz w:val="28"/>
                          </w:rPr>
                          <w:t>combat</w:t>
                        </w:r>
                        <w:r>
                          <w:rPr>
                            <w:b/>
                            <w:color w:val="164194"/>
                            <w:spacing w:val="-12"/>
                            <w:sz w:val="28"/>
                          </w:rPr>
                          <w:t> </w:t>
                        </w:r>
                        <w:r>
                          <w:rPr>
                            <w:b/>
                            <w:color w:val="164194"/>
                            <w:spacing w:val="-2"/>
                            <w:sz w:val="28"/>
                          </w:rPr>
                          <w:t>trafficking</w:t>
                        </w:r>
                        <w:r>
                          <w:rPr>
                            <w:b/>
                            <w:color w:val="164194"/>
                            <w:spacing w:val="-12"/>
                            <w:sz w:val="28"/>
                          </w:rPr>
                          <w:t> </w:t>
                        </w:r>
                        <w:r>
                          <w:rPr>
                            <w:b/>
                            <w:color w:val="164194"/>
                            <w:spacing w:val="-2"/>
                            <w:sz w:val="28"/>
                          </w:rPr>
                          <w:t>in</w:t>
                        </w:r>
                        <w:r>
                          <w:rPr>
                            <w:b/>
                            <w:color w:val="164194"/>
                            <w:spacing w:val="-12"/>
                            <w:sz w:val="28"/>
                          </w:rPr>
                          <w:t> </w:t>
                        </w:r>
                        <w:r>
                          <w:rPr>
                            <w:b/>
                            <w:color w:val="164194"/>
                            <w:spacing w:val="-2"/>
                            <w:sz w:val="28"/>
                          </w:rPr>
                          <w:t>human</w:t>
                        </w:r>
                        <w:r>
                          <w:rPr>
                            <w:b/>
                            <w:color w:val="164194"/>
                            <w:spacing w:val="-12"/>
                            <w:sz w:val="28"/>
                          </w:rPr>
                          <w:t> </w:t>
                        </w:r>
                        <w:r>
                          <w:rPr>
                            <w:b/>
                            <w:color w:val="164194"/>
                            <w:spacing w:val="-2"/>
                            <w:sz w:val="28"/>
                          </w:rPr>
                          <w:t>beings</w:t>
                        </w:r>
                        <w:r>
                          <w:rPr>
                            <w:b/>
                            <w:color w:val="164194"/>
                            <w:spacing w:val="-12"/>
                            <w:sz w:val="28"/>
                          </w:rPr>
                          <w:t> </w:t>
                        </w:r>
                        <w:r>
                          <w:rPr>
                            <w:b/>
                            <w:color w:val="164194"/>
                            <w:spacing w:val="-2"/>
                            <w:sz w:val="28"/>
                          </w:rPr>
                          <w:t>and</w:t>
                        </w:r>
                        <w:r>
                          <w:rPr>
                            <w:b/>
                            <w:color w:val="164194"/>
                            <w:spacing w:val="-12"/>
                            <w:sz w:val="28"/>
                          </w:rPr>
                          <w:t> </w:t>
                        </w:r>
                        <w:r>
                          <w:rPr>
                            <w:b/>
                            <w:color w:val="164194"/>
                            <w:spacing w:val="-2"/>
                            <w:sz w:val="28"/>
                          </w:rPr>
                          <w:t>proposals</w:t>
                        </w:r>
                        <w:r>
                          <w:rPr>
                            <w:b/>
                            <w:color w:val="164194"/>
                            <w:spacing w:val="-12"/>
                            <w:sz w:val="28"/>
                          </w:rPr>
                          <w:t> </w:t>
                        </w:r>
                        <w:r>
                          <w:rPr>
                            <w:b/>
                            <w:color w:val="164194"/>
                            <w:spacing w:val="-2"/>
                            <w:sz w:val="28"/>
                          </w:rPr>
                          <w:t>to</w:t>
                        </w:r>
                        <w:r>
                          <w:rPr>
                            <w:b/>
                            <w:color w:val="164194"/>
                            <w:spacing w:val="-12"/>
                            <w:sz w:val="28"/>
                          </w:rPr>
                          <w:t> </w:t>
                        </w:r>
                        <w:r>
                          <w:rPr>
                            <w:b/>
                            <w:color w:val="164194"/>
                            <w:spacing w:val="-2"/>
                            <w:sz w:val="28"/>
                          </w:rPr>
                          <w:t>combat</w:t>
                        </w:r>
                        <w:r>
                          <w:rPr>
                            <w:b/>
                            <w:color w:val="164194"/>
                            <w:spacing w:val="-12"/>
                            <w:sz w:val="28"/>
                          </w:rPr>
                          <w:t> </w:t>
                        </w:r>
                        <w:r>
                          <w:rPr>
                            <w:b/>
                            <w:color w:val="164194"/>
                            <w:spacing w:val="-2"/>
                            <w:sz w:val="28"/>
                          </w:rPr>
                          <w:t>child </w:t>
                        </w:r>
                        <w:r>
                          <w:rPr>
                            <w:b/>
                            <w:color w:val="164194"/>
                            <w:sz w:val="28"/>
                          </w:rPr>
                          <w:t>sexual</w:t>
                        </w:r>
                        <w:r>
                          <w:rPr>
                            <w:b/>
                            <w:color w:val="164194"/>
                            <w:spacing w:val="-7"/>
                            <w:sz w:val="28"/>
                          </w:rPr>
                          <w:t> </w:t>
                        </w:r>
                        <w:r>
                          <w:rPr>
                            <w:b/>
                            <w:color w:val="164194"/>
                            <w:sz w:val="28"/>
                          </w:rPr>
                          <w:t>abuse</w:t>
                        </w:r>
                        <w:r>
                          <w:rPr>
                            <w:b/>
                            <w:color w:val="164194"/>
                            <w:spacing w:val="-7"/>
                            <w:sz w:val="28"/>
                          </w:rPr>
                          <w:t> </w:t>
                        </w:r>
                        <w:r>
                          <w:rPr>
                            <w:b/>
                            <w:color w:val="164194"/>
                            <w:sz w:val="28"/>
                          </w:rPr>
                          <w:t>online</w:t>
                        </w:r>
                        <w:r>
                          <w:rPr>
                            <w:b/>
                            <w:color w:val="164194"/>
                            <w:spacing w:val="-7"/>
                            <w:sz w:val="28"/>
                          </w:rPr>
                          <w:t> </w:t>
                        </w:r>
                        <w:r>
                          <w:rPr>
                            <w:b/>
                            <w:color w:val="164194"/>
                            <w:sz w:val="28"/>
                          </w:rPr>
                          <w:t>with</w:t>
                        </w:r>
                        <w:r>
                          <w:rPr>
                            <w:b/>
                            <w:color w:val="164194"/>
                            <w:spacing w:val="-7"/>
                            <w:sz w:val="28"/>
                          </w:rPr>
                          <w:t> </w:t>
                        </w:r>
                        <w:r>
                          <w:rPr>
                            <w:b/>
                            <w:color w:val="164194"/>
                            <w:sz w:val="28"/>
                          </w:rPr>
                          <w:t>a</w:t>
                        </w:r>
                        <w:r>
                          <w:rPr>
                            <w:b/>
                            <w:color w:val="164194"/>
                            <w:spacing w:val="-7"/>
                            <w:sz w:val="28"/>
                          </w:rPr>
                          <w:t> </w:t>
                        </w:r>
                        <w:r>
                          <w:rPr>
                            <w:b/>
                            <w:color w:val="164194"/>
                            <w:sz w:val="28"/>
                          </w:rPr>
                          <w:t>view</w:t>
                        </w:r>
                        <w:r>
                          <w:rPr>
                            <w:b/>
                            <w:color w:val="164194"/>
                            <w:spacing w:val="-7"/>
                            <w:sz w:val="28"/>
                          </w:rPr>
                          <w:t> </w:t>
                        </w:r>
                        <w:r>
                          <w:rPr>
                            <w:b/>
                            <w:color w:val="164194"/>
                            <w:sz w:val="28"/>
                          </w:rPr>
                          <w:t>to</w:t>
                        </w:r>
                        <w:r>
                          <w:rPr>
                            <w:b/>
                            <w:color w:val="164194"/>
                            <w:spacing w:val="-7"/>
                            <w:sz w:val="28"/>
                          </w:rPr>
                          <w:t> </w:t>
                        </w:r>
                        <w:r>
                          <w:rPr>
                            <w:b/>
                            <w:color w:val="164194"/>
                            <w:sz w:val="28"/>
                          </w:rPr>
                          <w:t>assessing</w:t>
                        </w:r>
                        <w:r>
                          <w:rPr>
                            <w:b/>
                            <w:color w:val="164194"/>
                            <w:spacing w:val="-7"/>
                            <w:sz w:val="28"/>
                          </w:rPr>
                          <w:t> </w:t>
                        </w:r>
                        <w:r>
                          <w:rPr>
                            <w:b/>
                            <w:color w:val="164194"/>
                            <w:sz w:val="28"/>
                          </w:rPr>
                          <w:t>whether</w:t>
                        </w:r>
                        <w:r>
                          <w:rPr>
                            <w:b/>
                            <w:color w:val="164194"/>
                            <w:spacing w:val="-7"/>
                            <w:sz w:val="28"/>
                          </w:rPr>
                          <w:t> </w:t>
                        </w:r>
                        <w:r>
                          <w:rPr>
                            <w:b/>
                            <w:color w:val="164194"/>
                            <w:sz w:val="28"/>
                          </w:rPr>
                          <w:t>Northern</w:t>
                        </w:r>
                        <w:r>
                          <w:rPr>
                            <w:b/>
                            <w:color w:val="164194"/>
                            <w:spacing w:val="-7"/>
                            <w:sz w:val="28"/>
                          </w:rPr>
                          <w:t> </w:t>
                        </w:r>
                        <w:r>
                          <w:rPr>
                            <w:b/>
                            <w:color w:val="164194"/>
                            <w:sz w:val="28"/>
                          </w:rPr>
                          <w:t>Ireland</w:t>
                        </w:r>
                        <w:r>
                          <w:rPr>
                            <w:b/>
                            <w:color w:val="164194"/>
                            <w:spacing w:val="-7"/>
                            <w:sz w:val="28"/>
                          </w:rPr>
                          <w:t> </w:t>
                        </w:r>
                        <w:r>
                          <w:rPr>
                            <w:b/>
                            <w:color w:val="164194"/>
                            <w:sz w:val="28"/>
                          </w:rPr>
                          <w:t>law needs</w:t>
                        </w:r>
                        <w:r>
                          <w:rPr>
                            <w:b/>
                            <w:color w:val="164194"/>
                            <w:spacing w:val="-8"/>
                            <w:sz w:val="28"/>
                          </w:rPr>
                          <w:t> </w:t>
                        </w:r>
                        <w:r>
                          <w:rPr>
                            <w:b/>
                            <w:color w:val="164194"/>
                            <w:sz w:val="28"/>
                          </w:rPr>
                          <w:t>amendment</w:t>
                        </w:r>
                        <w:r>
                          <w:rPr>
                            <w:b/>
                            <w:color w:val="164194"/>
                            <w:spacing w:val="-8"/>
                            <w:sz w:val="28"/>
                          </w:rPr>
                          <w:t> </w:t>
                        </w:r>
                        <w:r>
                          <w:rPr>
                            <w:b/>
                            <w:color w:val="164194"/>
                            <w:sz w:val="28"/>
                          </w:rPr>
                          <w:t>to</w:t>
                        </w:r>
                        <w:r>
                          <w:rPr>
                            <w:b/>
                            <w:color w:val="164194"/>
                            <w:spacing w:val="-8"/>
                            <w:sz w:val="28"/>
                          </w:rPr>
                          <w:t> </w:t>
                        </w:r>
                        <w:r>
                          <w:rPr>
                            <w:b/>
                            <w:color w:val="164194"/>
                            <w:sz w:val="28"/>
                          </w:rPr>
                          <w:t>reflect</w:t>
                        </w:r>
                        <w:r>
                          <w:rPr>
                            <w:b/>
                            <w:color w:val="164194"/>
                            <w:spacing w:val="-8"/>
                            <w:sz w:val="28"/>
                          </w:rPr>
                          <w:t> </w:t>
                        </w:r>
                        <w:r>
                          <w:rPr>
                            <w:b/>
                            <w:color w:val="164194"/>
                            <w:sz w:val="28"/>
                          </w:rPr>
                          <w:t>best</w:t>
                        </w:r>
                        <w:r>
                          <w:rPr>
                            <w:b/>
                            <w:color w:val="164194"/>
                            <w:spacing w:val="-8"/>
                            <w:sz w:val="28"/>
                          </w:rPr>
                          <w:t> </w:t>
                        </w:r>
                        <w:r>
                          <w:rPr>
                            <w:b/>
                            <w:color w:val="164194"/>
                            <w:sz w:val="28"/>
                          </w:rPr>
                          <w:t>international</w:t>
                        </w:r>
                        <w:r>
                          <w:rPr>
                            <w:b/>
                            <w:color w:val="164194"/>
                            <w:spacing w:val="-8"/>
                            <w:sz w:val="28"/>
                          </w:rPr>
                          <w:t> </w:t>
                        </w:r>
                        <w:r>
                          <w:rPr>
                            <w:b/>
                            <w:color w:val="164194"/>
                            <w:sz w:val="28"/>
                          </w:rPr>
                          <w:t>practice</w:t>
                        </w:r>
                        <w:r>
                          <w:rPr>
                            <w:b/>
                            <w:color w:val="164194"/>
                            <w:spacing w:val="-8"/>
                            <w:sz w:val="28"/>
                          </w:rPr>
                          <w:t> </w:t>
                        </w:r>
                        <w:r>
                          <w:rPr>
                            <w:b/>
                            <w:color w:val="164194"/>
                            <w:sz w:val="28"/>
                          </w:rPr>
                          <w:t>and</w:t>
                        </w:r>
                        <w:r>
                          <w:rPr>
                            <w:b/>
                            <w:color w:val="164194"/>
                            <w:spacing w:val="-8"/>
                            <w:sz w:val="28"/>
                          </w:rPr>
                          <w:t> </w:t>
                        </w:r>
                        <w:r>
                          <w:rPr>
                            <w:b/>
                            <w:color w:val="164194"/>
                            <w:sz w:val="28"/>
                          </w:rPr>
                          <w:t>deal</w:t>
                        </w:r>
                        <w:r>
                          <w:rPr>
                            <w:b/>
                            <w:color w:val="164194"/>
                            <w:spacing w:val="-8"/>
                            <w:sz w:val="28"/>
                          </w:rPr>
                          <w:t> </w:t>
                        </w:r>
                        <w:r>
                          <w:rPr>
                            <w:b/>
                            <w:color w:val="164194"/>
                            <w:sz w:val="28"/>
                          </w:rPr>
                          <w:t>with</w:t>
                        </w:r>
                        <w:r>
                          <w:rPr>
                            <w:b/>
                            <w:color w:val="164194"/>
                            <w:spacing w:val="-8"/>
                            <w:sz w:val="28"/>
                          </w:rPr>
                          <w:t> </w:t>
                        </w:r>
                        <w:r>
                          <w:rPr>
                            <w:b/>
                            <w:color w:val="164194"/>
                            <w:sz w:val="28"/>
                          </w:rPr>
                          <w:t>cross- </w:t>
                        </w:r>
                        <w:r>
                          <w:rPr>
                            <w:b/>
                            <w:color w:val="164194"/>
                            <w:spacing w:val="-2"/>
                            <w:sz w:val="28"/>
                          </w:rPr>
                          <w:t>border</w:t>
                        </w:r>
                        <w:r>
                          <w:rPr>
                            <w:b/>
                            <w:color w:val="164194"/>
                            <w:spacing w:val="-9"/>
                            <w:sz w:val="28"/>
                          </w:rPr>
                          <w:t> </w:t>
                        </w:r>
                        <w:r>
                          <w:rPr>
                            <w:b/>
                            <w:color w:val="164194"/>
                            <w:spacing w:val="-2"/>
                            <w:sz w:val="28"/>
                          </w:rPr>
                          <w:t>challenges.</w:t>
                        </w:r>
                        <w:r>
                          <w:rPr>
                            <w:b/>
                            <w:color w:val="164194"/>
                            <w:spacing w:val="-9"/>
                            <w:sz w:val="28"/>
                          </w:rPr>
                          <w:t> </w:t>
                        </w:r>
                        <w:r>
                          <w:rPr>
                            <w:b/>
                            <w:color w:val="164194"/>
                            <w:spacing w:val="-2"/>
                            <w:sz w:val="28"/>
                          </w:rPr>
                          <w:t>We</w:t>
                        </w:r>
                        <w:r>
                          <w:rPr>
                            <w:b/>
                            <w:color w:val="164194"/>
                            <w:spacing w:val="-9"/>
                            <w:sz w:val="28"/>
                          </w:rPr>
                          <w:t> </w:t>
                        </w:r>
                        <w:r>
                          <w:rPr>
                            <w:b/>
                            <w:color w:val="164194"/>
                            <w:spacing w:val="-2"/>
                            <w:sz w:val="28"/>
                          </w:rPr>
                          <w:t>recommend</w:t>
                        </w:r>
                        <w:r>
                          <w:rPr>
                            <w:b/>
                            <w:color w:val="164194"/>
                            <w:spacing w:val="-9"/>
                            <w:sz w:val="28"/>
                          </w:rPr>
                          <w:t> </w:t>
                        </w:r>
                        <w:r>
                          <w:rPr>
                            <w:b/>
                            <w:color w:val="164194"/>
                            <w:spacing w:val="-2"/>
                            <w:sz w:val="28"/>
                          </w:rPr>
                          <w:t>voluntary</w:t>
                        </w:r>
                        <w:r>
                          <w:rPr>
                            <w:b/>
                            <w:color w:val="164194"/>
                            <w:spacing w:val="-9"/>
                            <w:sz w:val="28"/>
                          </w:rPr>
                          <w:t> </w:t>
                        </w:r>
                        <w:r>
                          <w:rPr>
                            <w:b/>
                            <w:color w:val="164194"/>
                            <w:spacing w:val="-2"/>
                            <w:sz w:val="28"/>
                          </w:rPr>
                          <w:t>alignment</w:t>
                        </w:r>
                        <w:r>
                          <w:rPr>
                            <w:b/>
                            <w:color w:val="164194"/>
                            <w:spacing w:val="-9"/>
                            <w:sz w:val="28"/>
                          </w:rPr>
                          <w:t> </w:t>
                        </w:r>
                        <w:r>
                          <w:rPr>
                            <w:b/>
                            <w:color w:val="164194"/>
                            <w:spacing w:val="-2"/>
                            <w:sz w:val="28"/>
                          </w:rPr>
                          <w:t>in</w:t>
                        </w:r>
                        <w:r>
                          <w:rPr>
                            <w:b/>
                            <w:color w:val="164194"/>
                            <w:spacing w:val="-9"/>
                            <w:sz w:val="28"/>
                          </w:rPr>
                          <w:t> </w:t>
                        </w:r>
                        <w:r>
                          <w:rPr>
                            <w:b/>
                            <w:color w:val="164194"/>
                            <w:spacing w:val="-2"/>
                            <w:sz w:val="28"/>
                          </w:rPr>
                          <w:t>order</w:t>
                        </w:r>
                        <w:r>
                          <w:rPr>
                            <w:b/>
                            <w:color w:val="164194"/>
                            <w:spacing w:val="-9"/>
                            <w:sz w:val="28"/>
                          </w:rPr>
                          <w:t> </w:t>
                        </w:r>
                        <w:r>
                          <w:rPr>
                            <w:b/>
                            <w:color w:val="164194"/>
                            <w:spacing w:val="-2"/>
                            <w:sz w:val="28"/>
                          </w:rPr>
                          <w:t>to</w:t>
                        </w:r>
                        <w:r>
                          <w:rPr>
                            <w:b/>
                            <w:color w:val="164194"/>
                            <w:spacing w:val="-9"/>
                            <w:sz w:val="28"/>
                          </w:rPr>
                          <w:t> </w:t>
                        </w:r>
                        <w:r>
                          <w:rPr>
                            <w:b/>
                            <w:color w:val="164194"/>
                            <w:spacing w:val="-2"/>
                            <w:sz w:val="28"/>
                          </w:rPr>
                          <w:t>strengthen </w:t>
                        </w:r>
                        <w:r>
                          <w:rPr>
                            <w:b/>
                            <w:color w:val="164194"/>
                            <w:sz w:val="28"/>
                          </w:rPr>
                          <w:t>rights</w:t>
                        </w:r>
                        <w:r>
                          <w:rPr>
                            <w:b/>
                            <w:color w:val="164194"/>
                            <w:spacing w:val="-9"/>
                            <w:sz w:val="28"/>
                          </w:rPr>
                          <w:t> </w:t>
                        </w:r>
                        <w:r>
                          <w:rPr>
                            <w:b/>
                            <w:color w:val="164194"/>
                            <w:sz w:val="28"/>
                          </w:rPr>
                          <w:t>and</w:t>
                        </w:r>
                        <w:r>
                          <w:rPr>
                            <w:b/>
                            <w:color w:val="164194"/>
                            <w:spacing w:val="-9"/>
                            <w:sz w:val="28"/>
                          </w:rPr>
                          <w:t> </w:t>
                        </w:r>
                        <w:r>
                          <w:rPr>
                            <w:b/>
                            <w:color w:val="164194"/>
                            <w:sz w:val="28"/>
                          </w:rPr>
                          <w:t>to</w:t>
                        </w:r>
                        <w:r>
                          <w:rPr>
                            <w:b/>
                            <w:color w:val="164194"/>
                            <w:spacing w:val="-9"/>
                            <w:sz w:val="28"/>
                          </w:rPr>
                          <w:t> </w:t>
                        </w:r>
                        <w:r>
                          <w:rPr>
                            <w:b/>
                            <w:color w:val="164194"/>
                            <w:sz w:val="28"/>
                          </w:rPr>
                          <w:t>reflect</w:t>
                        </w:r>
                        <w:r>
                          <w:rPr>
                            <w:b/>
                            <w:color w:val="164194"/>
                            <w:spacing w:val="-9"/>
                            <w:sz w:val="28"/>
                          </w:rPr>
                          <w:t> </w:t>
                        </w:r>
                        <w:r>
                          <w:rPr>
                            <w:b/>
                            <w:color w:val="164194"/>
                            <w:sz w:val="28"/>
                          </w:rPr>
                          <w:t>international</w:t>
                        </w:r>
                        <w:r>
                          <w:rPr>
                            <w:b/>
                            <w:color w:val="164194"/>
                            <w:spacing w:val="-9"/>
                            <w:sz w:val="28"/>
                          </w:rPr>
                          <w:t> </w:t>
                        </w:r>
                        <w:r>
                          <w:rPr>
                            <w:b/>
                            <w:color w:val="164194"/>
                            <w:sz w:val="28"/>
                          </w:rPr>
                          <w:t>human</w:t>
                        </w:r>
                        <w:r>
                          <w:rPr>
                            <w:b/>
                            <w:color w:val="164194"/>
                            <w:spacing w:val="-9"/>
                            <w:sz w:val="28"/>
                          </w:rPr>
                          <w:t> </w:t>
                        </w:r>
                        <w:r>
                          <w:rPr>
                            <w:b/>
                            <w:color w:val="164194"/>
                            <w:sz w:val="28"/>
                          </w:rPr>
                          <w:t>rights</w:t>
                        </w:r>
                        <w:r>
                          <w:rPr>
                            <w:b/>
                            <w:color w:val="164194"/>
                            <w:spacing w:val="-9"/>
                            <w:sz w:val="28"/>
                          </w:rPr>
                          <w:t> </w:t>
                        </w:r>
                        <w:r>
                          <w:rPr>
                            <w:b/>
                            <w:color w:val="164194"/>
                            <w:sz w:val="28"/>
                          </w:rPr>
                          <w:t>standards</w:t>
                        </w:r>
                        <w:r>
                          <w:rPr>
                            <w:b/>
                            <w:color w:val="164194"/>
                            <w:spacing w:val="-9"/>
                            <w:sz w:val="28"/>
                          </w:rPr>
                          <w:t> </w:t>
                        </w:r>
                        <w:r>
                          <w:rPr>
                            <w:b/>
                            <w:color w:val="164194"/>
                            <w:sz w:val="28"/>
                          </w:rPr>
                          <w:t>and</w:t>
                        </w:r>
                        <w:r>
                          <w:rPr>
                            <w:b/>
                            <w:color w:val="164194"/>
                            <w:spacing w:val="-9"/>
                            <w:sz w:val="28"/>
                          </w:rPr>
                          <w:t> </w:t>
                        </w:r>
                        <w:r>
                          <w:rPr>
                            <w:b/>
                            <w:color w:val="164194"/>
                            <w:sz w:val="28"/>
                          </w:rPr>
                          <w:t>best</w:t>
                        </w:r>
                        <w:r>
                          <w:rPr>
                            <w:b/>
                            <w:color w:val="164194"/>
                            <w:spacing w:val="-9"/>
                            <w:sz w:val="28"/>
                          </w:rPr>
                          <w:t> </w:t>
                        </w:r>
                        <w:r>
                          <w:rPr>
                            <w:b/>
                            <w:color w:val="164194"/>
                            <w:sz w:val="28"/>
                          </w:rPr>
                          <w:t>practice.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50656">
                <wp:simplePos x="0" y="0"/>
                <wp:positionH relativeFrom="page">
                  <wp:posOffset>647999</wp:posOffset>
                </wp:positionH>
                <wp:positionV relativeFrom="paragraph">
                  <wp:posOffset>1671737</wp:posOffset>
                </wp:positionV>
                <wp:extent cx="6012180" cy="1270"/>
                <wp:effectExtent l="0" t="0" r="0" b="0"/>
                <wp:wrapTopAndBottom/>
                <wp:docPr id="862" name="Graphic 862"/>
                <wp:cNvGraphicFramePr>
                  <a:graphicFrameLocks/>
                </wp:cNvGraphicFramePr>
                <a:graphic>
                  <a:graphicData uri="http://schemas.microsoft.com/office/word/2010/wordprocessingShape">
                    <wps:wsp>
                      <wps:cNvPr id="862" name="Graphic 86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31.632858pt;width:473.4pt;height:.1pt;mso-position-horizontal-relative:page;mso-position-vertical-relative:paragraph;z-index:-15565824;mso-wrap-distance-left:0;mso-wrap-distance-right:0" id="docshape708" coordorigin="1020,2633" coordsize="9468,0" path="m1020,2633l10488,2633e" filled="false" stroked="true" strokeweight=".5pt" strokecolor="#36a9e1">
                <v:path arrowok="t"/>
                <v:stroke dashstyle="solid"/>
                <w10:wrap type="topAndBottom"/>
              </v:shape>
            </w:pict>
          </mc:Fallback>
        </mc:AlternateContent>
      </w:r>
    </w:p>
    <w:p>
      <w:pPr>
        <w:pStyle w:val="BodyText"/>
        <w:spacing w:before="5"/>
        <w:rPr>
          <w:sz w:val="6"/>
        </w:rPr>
      </w:pPr>
    </w:p>
    <w:p>
      <w:pPr>
        <w:pStyle w:val="ListParagraph"/>
        <w:numPr>
          <w:ilvl w:val="0"/>
          <w:numId w:val="18"/>
        </w:numPr>
        <w:tabs>
          <w:tab w:pos="1287" w:val="left" w:leader="none"/>
        </w:tabs>
        <w:spacing w:line="240" w:lineRule="auto" w:before="43" w:after="0"/>
        <w:ind w:left="1287" w:right="1185" w:hanging="567"/>
        <w:jc w:val="left"/>
        <w:rPr>
          <w:sz w:val="18"/>
        </w:rPr>
      </w:pPr>
      <w:hyperlink r:id="rId160">
        <w:r>
          <w:rPr>
            <w:color w:val="1D71B8"/>
            <w:sz w:val="18"/>
            <w:u w:val="single" w:color="1D71B8"/>
          </w:rPr>
          <w:t>Directive</w:t>
        </w:r>
        <w:r>
          <w:rPr>
            <w:color w:val="1D71B8"/>
            <w:spacing w:val="-3"/>
            <w:sz w:val="18"/>
            <w:u w:val="single" w:color="1D71B8"/>
          </w:rPr>
          <w:t> </w:t>
        </w:r>
        <w:r>
          <w:rPr>
            <w:color w:val="1D71B8"/>
            <w:sz w:val="18"/>
            <w:u w:val="single" w:color="1D71B8"/>
          </w:rPr>
          <w:t>(EU)</w:t>
        </w:r>
        <w:r>
          <w:rPr>
            <w:color w:val="1D71B8"/>
            <w:spacing w:val="-4"/>
            <w:sz w:val="18"/>
            <w:u w:val="single" w:color="1D71B8"/>
          </w:rPr>
          <w:t> </w:t>
        </w:r>
        <w:r>
          <w:rPr>
            <w:color w:val="1D71B8"/>
            <w:sz w:val="18"/>
            <w:u w:val="single" w:color="1D71B8"/>
          </w:rPr>
          <w:t>2024/1712</w:t>
        </w:r>
      </w:hyperlink>
      <w:r>
        <w:rPr>
          <w:color w:val="1D71B8"/>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European</w:t>
      </w:r>
      <w:r>
        <w:rPr>
          <w:spacing w:val="-4"/>
          <w:sz w:val="18"/>
          <w:u w:val="none"/>
        </w:rPr>
        <w:t> </w:t>
      </w:r>
      <w:r>
        <w:rPr>
          <w:sz w:val="18"/>
          <w:u w:val="none"/>
        </w:rPr>
        <w:t>Parliament</w:t>
      </w:r>
      <w:r>
        <w:rPr>
          <w:spacing w:val="-3"/>
          <w:sz w:val="18"/>
          <w:u w:val="none"/>
        </w:rPr>
        <w:t> </w:t>
      </w:r>
      <w:r>
        <w:rPr>
          <w:sz w:val="18"/>
          <w:u w:val="none"/>
        </w:rPr>
        <w:t>and</w:t>
      </w:r>
      <w:r>
        <w:rPr>
          <w:spacing w:val="-4"/>
          <w:sz w:val="18"/>
          <w:u w:val="none"/>
        </w:rPr>
        <w:t> </w:t>
      </w:r>
      <w:r>
        <w:rPr>
          <w:sz w:val="18"/>
          <w:u w:val="none"/>
        </w:rPr>
        <w:t>of</w:t>
      </w:r>
      <w:r>
        <w:rPr>
          <w:spacing w:val="-3"/>
          <w:sz w:val="18"/>
          <w:u w:val="none"/>
        </w:rPr>
        <w:t> </w:t>
      </w:r>
      <w:r>
        <w:rPr>
          <w:sz w:val="18"/>
          <w:u w:val="none"/>
        </w:rPr>
        <w:t>the</w:t>
      </w:r>
      <w:r>
        <w:rPr>
          <w:spacing w:val="-3"/>
          <w:sz w:val="18"/>
          <w:u w:val="none"/>
        </w:rPr>
        <w:t> </w:t>
      </w:r>
      <w:r>
        <w:rPr>
          <w:sz w:val="18"/>
          <w:u w:val="none"/>
        </w:rPr>
        <w:t>Council</w:t>
      </w:r>
      <w:r>
        <w:rPr>
          <w:spacing w:val="-4"/>
          <w:sz w:val="18"/>
          <w:u w:val="none"/>
        </w:rPr>
        <w:t> </w:t>
      </w:r>
      <w:r>
        <w:rPr>
          <w:sz w:val="18"/>
          <w:u w:val="none"/>
        </w:rPr>
        <w:t>of</w:t>
      </w:r>
      <w:r>
        <w:rPr>
          <w:spacing w:val="-4"/>
          <w:sz w:val="18"/>
          <w:u w:val="none"/>
        </w:rPr>
        <w:t> </w:t>
      </w:r>
      <w:r>
        <w:rPr>
          <w:sz w:val="18"/>
          <w:u w:val="none"/>
        </w:rPr>
        <w:t>13</w:t>
      </w:r>
      <w:r>
        <w:rPr>
          <w:spacing w:val="-3"/>
          <w:sz w:val="18"/>
          <w:u w:val="none"/>
        </w:rPr>
        <w:t> </w:t>
      </w:r>
      <w:r>
        <w:rPr>
          <w:sz w:val="18"/>
          <w:u w:val="none"/>
        </w:rPr>
        <w:t>June</w:t>
      </w:r>
      <w:r>
        <w:rPr>
          <w:spacing w:val="-3"/>
          <w:sz w:val="18"/>
          <w:u w:val="none"/>
        </w:rPr>
        <w:t> </w:t>
      </w:r>
      <w:r>
        <w:rPr>
          <w:sz w:val="18"/>
          <w:u w:val="none"/>
        </w:rPr>
        <w:t>2024</w:t>
      </w:r>
      <w:r>
        <w:rPr>
          <w:spacing w:val="-3"/>
          <w:sz w:val="18"/>
          <w:u w:val="none"/>
        </w:rPr>
        <w:t> </w:t>
      </w:r>
      <w:r>
        <w:rPr>
          <w:sz w:val="18"/>
          <w:u w:val="none"/>
        </w:rPr>
        <w:t>amending</w:t>
      </w:r>
      <w:r>
        <w:rPr>
          <w:spacing w:val="-3"/>
          <w:sz w:val="18"/>
          <w:u w:val="none"/>
        </w:rPr>
        <w:t> </w:t>
      </w:r>
      <w:r>
        <w:rPr>
          <w:sz w:val="18"/>
          <w:u w:val="none"/>
        </w:rPr>
        <w:t>Directive</w:t>
      </w:r>
      <w:r>
        <w:rPr>
          <w:spacing w:val="-3"/>
          <w:sz w:val="18"/>
          <w:u w:val="none"/>
        </w:rPr>
        <w:t> </w:t>
      </w:r>
      <w:r>
        <w:rPr>
          <w:sz w:val="18"/>
          <w:u w:val="none"/>
        </w:rPr>
        <w:t>2011/36/EU on Preventing and Combating Trafficking in Human Beings and Protecting its Victims.</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Ibid.,</w:t>
      </w:r>
      <w:r>
        <w:rPr>
          <w:spacing w:val="-3"/>
          <w:sz w:val="18"/>
        </w:rPr>
        <w:t> </w:t>
      </w:r>
      <w:r>
        <w:rPr>
          <w:sz w:val="18"/>
        </w:rPr>
        <w:t>Article</w:t>
      </w:r>
      <w:r>
        <w:rPr>
          <w:spacing w:val="-2"/>
          <w:sz w:val="18"/>
        </w:rPr>
        <w:t> </w:t>
      </w:r>
      <w:r>
        <w:rPr>
          <w:spacing w:val="-5"/>
          <w:sz w:val="18"/>
        </w:rPr>
        <w:t>2.</w:t>
      </w:r>
    </w:p>
    <w:p>
      <w:pPr>
        <w:pStyle w:val="ListParagraph"/>
        <w:numPr>
          <w:ilvl w:val="0"/>
          <w:numId w:val="18"/>
        </w:numPr>
        <w:tabs>
          <w:tab w:pos="1287" w:val="left" w:leader="none"/>
        </w:tabs>
        <w:spacing w:line="240" w:lineRule="auto" w:before="0" w:after="0"/>
        <w:ind w:left="1287" w:right="1374" w:hanging="567"/>
        <w:jc w:val="left"/>
        <w:rPr>
          <w:sz w:val="18"/>
        </w:rPr>
      </w:pP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Regulation</w:t>
      </w:r>
      <w:r>
        <w:rPr>
          <w:spacing w:val="-5"/>
          <w:sz w:val="18"/>
        </w:rPr>
        <w:t> </w:t>
      </w:r>
      <w:r>
        <w:rPr>
          <w:sz w:val="18"/>
        </w:rPr>
        <w:t>of</w:t>
      </w:r>
      <w:r>
        <w:rPr>
          <w:spacing w:val="-4"/>
          <w:sz w:val="18"/>
        </w:rPr>
        <w:t> </w:t>
      </w:r>
      <w:r>
        <w:rPr>
          <w:sz w:val="18"/>
        </w:rPr>
        <w:t>the</w:t>
      </w:r>
      <w:r>
        <w:rPr>
          <w:spacing w:val="-4"/>
          <w:sz w:val="18"/>
        </w:rPr>
        <w:t> </w:t>
      </w:r>
      <w:r>
        <w:rPr>
          <w:sz w:val="18"/>
        </w:rPr>
        <w:t>European</w:t>
      </w:r>
      <w:r>
        <w:rPr>
          <w:spacing w:val="-5"/>
          <w:sz w:val="18"/>
        </w:rPr>
        <w:t> </w:t>
      </w:r>
      <w:r>
        <w:rPr>
          <w:sz w:val="18"/>
        </w:rPr>
        <w:t>Parliament</w:t>
      </w:r>
      <w:r>
        <w:rPr>
          <w:spacing w:val="-4"/>
          <w:sz w:val="18"/>
        </w:rPr>
        <w:t> </w:t>
      </w:r>
      <w:r>
        <w:rPr>
          <w:sz w:val="18"/>
        </w:rPr>
        <w:t>and</w:t>
      </w:r>
      <w:r>
        <w:rPr>
          <w:spacing w:val="-5"/>
          <w:sz w:val="18"/>
        </w:rPr>
        <w:t> </w:t>
      </w:r>
      <w:r>
        <w:rPr>
          <w:sz w:val="18"/>
        </w:rPr>
        <w:t>of</w:t>
      </w:r>
      <w:r>
        <w:rPr>
          <w:spacing w:val="-5"/>
          <w:sz w:val="18"/>
        </w:rPr>
        <w:t> </w:t>
      </w:r>
      <w:r>
        <w:rPr>
          <w:sz w:val="18"/>
        </w:rPr>
        <w:t>the</w:t>
      </w:r>
      <w:r>
        <w:rPr>
          <w:spacing w:val="-4"/>
          <w:sz w:val="18"/>
        </w:rPr>
        <w:t> </w:t>
      </w:r>
      <w:r>
        <w:rPr>
          <w:sz w:val="18"/>
        </w:rPr>
        <w:t>Council</w:t>
      </w:r>
      <w:r>
        <w:rPr>
          <w:spacing w:val="-5"/>
          <w:sz w:val="18"/>
        </w:rPr>
        <w:t> </w:t>
      </w:r>
      <w:r>
        <w:rPr>
          <w:sz w:val="18"/>
        </w:rPr>
        <w:t>addressing</w:t>
      </w:r>
      <w:r>
        <w:rPr>
          <w:spacing w:val="-4"/>
          <w:sz w:val="18"/>
        </w:rPr>
        <w:t> </w:t>
      </w:r>
      <w:r>
        <w:rPr>
          <w:sz w:val="18"/>
        </w:rPr>
        <w:t>situations</w:t>
      </w:r>
      <w:r>
        <w:rPr>
          <w:spacing w:val="-5"/>
          <w:sz w:val="18"/>
        </w:rPr>
        <w:t> </w:t>
      </w:r>
      <w:r>
        <w:rPr>
          <w:sz w:val="18"/>
        </w:rPr>
        <w:t>of</w:t>
      </w:r>
      <w:r>
        <w:rPr>
          <w:spacing w:val="-5"/>
          <w:sz w:val="18"/>
        </w:rPr>
        <w:t> </w:t>
      </w:r>
      <w:r>
        <w:rPr>
          <w:sz w:val="18"/>
        </w:rPr>
        <w:t>instrumentalisation</w:t>
      </w:r>
      <w:r>
        <w:rPr>
          <w:spacing w:val="-5"/>
          <w:sz w:val="18"/>
        </w:rPr>
        <w:t> </w:t>
      </w:r>
      <w:r>
        <w:rPr>
          <w:sz w:val="18"/>
        </w:rPr>
        <w:t>in the field of migration and asylum COM/2021/890 final. More info </w:t>
      </w:r>
      <w:r>
        <w:rPr>
          <w:color w:val="1D71B8"/>
          <w:sz w:val="18"/>
          <w:u w:val="single" w:color="1D71B8"/>
        </w:rPr>
        <w:t>here</w:t>
      </w:r>
      <w:r>
        <w:rPr>
          <w:sz w:val="18"/>
          <w:u w:val="none"/>
        </w:rPr>
        <w:t>.</w:t>
      </w:r>
    </w:p>
    <w:p>
      <w:pPr>
        <w:pStyle w:val="ListParagraph"/>
        <w:numPr>
          <w:ilvl w:val="0"/>
          <w:numId w:val="18"/>
        </w:numPr>
        <w:tabs>
          <w:tab w:pos="1287" w:val="left" w:leader="none"/>
        </w:tabs>
        <w:spacing w:line="240" w:lineRule="auto" w:before="1" w:after="0"/>
        <w:ind w:left="1287" w:right="1363" w:hanging="567"/>
        <w:jc w:val="left"/>
        <w:rPr>
          <w:sz w:val="18"/>
        </w:rPr>
      </w:pP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Regulation</w:t>
      </w:r>
      <w:r>
        <w:rPr>
          <w:spacing w:val="-5"/>
          <w:sz w:val="18"/>
        </w:rPr>
        <w:t> </w:t>
      </w:r>
      <w:r>
        <w:rPr>
          <w:sz w:val="18"/>
        </w:rPr>
        <w:t>of</w:t>
      </w:r>
      <w:r>
        <w:rPr>
          <w:spacing w:val="-4"/>
          <w:sz w:val="18"/>
        </w:rPr>
        <w:t> </w:t>
      </w:r>
      <w:r>
        <w:rPr>
          <w:sz w:val="18"/>
        </w:rPr>
        <w:t>the</w:t>
      </w:r>
      <w:r>
        <w:rPr>
          <w:spacing w:val="-4"/>
          <w:sz w:val="18"/>
        </w:rPr>
        <w:t> </w:t>
      </w:r>
      <w:r>
        <w:rPr>
          <w:sz w:val="18"/>
        </w:rPr>
        <w:t>European</w:t>
      </w:r>
      <w:r>
        <w:rPr>
          <w:spacing w:val="-5"/>
          <w:sz w:val="18"/>
        </w:rPr>
        <w:t> </w:t>
      </w:r>
      <w:r>
        <w:rPr>
          <w:sz w:val="18"/>
        </w:rPr>
        <w:t>Parliament</w:t>
      </w:r>
      <w:r>
        <w:rPr>
          <w:spacing w:val="-4"/>
          <w:sz w:val="18"/>
        </w:rPr>
        <w:t> </w:t>
      </w:r>
      <w:r>
        <w:rPr>
          <w:sz w:val="18"/>
        </w:rPr>
        <w:t>and</w:t>
      </w:r>
      <w:r>
        <w:rPr>
          <w:spacing w:val="-5"/>
          <w:sz w:val="18"/>
        </w:rPr>
        <w:t> </w:t>
      </w:r>
      <w:r>
        <w:rPr>
          <w:sz w:val="18"/>
        </w:rPr>
        <w:t>of</w:t>
      </w:r>
      <w:r>
        <w:rPr>
          <w:spacing w:val="-5"/>
          <w:sz w:val="18"/>
        </w:rPr>
        <w:t> </w:t>
      </w:r>
      <w:r>
        <w:rPr>
          <w:sz w:val="18"/>
        </w:rPr>
        <w:t>the</w:t>
      </w:r>
      <w:r>
        <w:rPr>
          <w:spacing w:val="-4"/>
          <w:sz w:val="18"/>
        </w:rPr>
        <w:t> </w:t>
      </w:r>
      <w:r>
        <w:rPr>
          <w:sz w:val="18"/>
        </w:rPr>
        <w:t>Council</w:t>
      </w:r>
      <w:r>
        <w:rPr>
          <w:spacing w:val="-5"/>
          <w:sz w:val="18"/>
        </w:rPr>
        <w:t> </w:t>
      </w:r>
      <w:r>
        <w:rPr>
          <w:sz w:val="18"/>
        </w:rPr>
        <w:t>laying</w:t>
      </w:r>
      <w:r>
        <w:rPr>
          <w:spacing w:val="-4"/>
          <w:sz w:val="18"/>
        </w:rPr>
        <w:t> </w:t>
      </w:r>
      <w:r>
        <w:rPr>
          <w:sz w:val="18"/>
        </w:rPr>
        <w:t>down</w:t>
      </w:r>
      <w:r>
        <w:rPr>
          <w:spacing w:val="-5"/>
          <w:sz w:val="18"/>
        </w:rPr>
        <w:t> </w:t>
      </w:r>
      <w:r>
        <w:rPr>
          <w:sz w:val="18"/>
        </w:rPr>
        <w:t>rules</w:t>
      </w:r>
      <w:r>
        <w:rPr>
          <w:spacing w:val="-5"/>
          <w:sz w:val="18"/>
        </w:rPr>
        <w:t> </w:t>
      </w:r>
      <w:r>
        <w:rPr>
          <w:sz w:val="18"/>
        </w:rPr>
        <w:t>to</w:t>
      </w:r>
      <w:r>
        <w:rPr>
          <w:spacing w:val="-5"/>
          <w:sz w:val="18"/>
        </w:rPr>
        <w:t> </w:t>
      </w:r>
      <w:r>
        <w:rPr>
          <w:sz w:val="18"/>
        </w:rPr>
        <w:t>prevent</w:t>
      </w:r>
      <w:r>
        <w:rPr>
          <w:spacing w:val="-4"/>
          <w:sz w:val="18"/>
        </w:rPr>
        <w:t> </w:t>
      </w:r>
      <w:r>
        <w:rPr>
          <w:sz w:val="18"/>
        </w:rPr>
        <w:t>and</w:t>
      </w:r>
      <w:r>
        <w:rPr>
          <w:spacing w:val="-5"/>
          <w:sz w:val="18"/>
        </w:rPr>
        <w:t> </w:t>
      </w:r>
      <w:r>
        <w:rPr>
          <w:sz w:val="18"/>
        </w:rPr>
        <w:t>combat</w:t>
      </w:r>
      <w:r>
        <w:rPr>
          <w:spacing w:val="-4"/>
          <w:sz w:val="18"/>
        </w:rPr>
        <w:t> </w:t>
      </w:r>
      <w:r>
        <w:rPr>
          <w:sz w:val="18"/>
        </w:rPr>
        <w:t>child sexual abuse COM/2022/209 final. More info </w:t>
      </w:r>
      <w:hyperlink r:id="rId161">
        <w:r>
          <w:rPr>
            <w:color w:val="1D71B8"/>
            <w:sz w:val="18"/>
            <w:u w:val="single" w:color="1D71B8"/>
          </w:rPr>
          <w:t>here</w:t>
        </w:r>
      </w:hyperlink>
      <w:r>
        <w:rPr>
          <w:sz w:val="18"/>
          <w:u w:val="none"/>
        </w:rPr>
        <w:t>.</w:t>
      </w:r>
    </w:p>
    <w:p>
      <w:pPr>
        <w:spacing w:after="0" w:line="240" w:lineRule="auto"/>
        <w:jc w:val="left"/>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892992">
                <wp:simplePos x="0" y="0"/>
                <wp:positionH relativeFrom="page">
                  <wp:posOffset>-2</wp:posOffset>
                </wp:positionH>
                <wp:positionV relativeFrom="page">
                  <wp:posOffset>0</wp:posOffset>
                </wp:positionV>
                <wp:extent cx="7560309" cy="1283335"/>
                <wp:effectExtent l="0" t="0" r="0" b="0"/>
                <wp:wrapNone/>
                <wp:docPr id="863" name="Group 863"/>
                <wp:cNvGraphicFramePr>
                  <a:graphicFrameLocks/>
                </wp:cNvGraphicFramePr>
                <a:graphic>
                  <a:graphicData uri="http://schemas.microsoft.com/office/word/2010/wordprocessingGroup">
                    <wpg:wgp>
                      <wpg:cNvPr id="863" name="Group 863"/>
                      <wpg:cNvGrpSpPr/>
                      <wpg:grpSpPr>
                        <a:xfrm>
                          <a:off x="0" y="0"/>
                          <a:ext cx="7560309" cy="1283335"/>
                          <a:chExt cx="7560309" cy="1283335"/>
                        </a:xfrm>
                      </wpg:grpSpPr>
                      <wps:wsp>
                        <wps:cNvPr id="864" name="Graphic 864"/>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865" name="Graphic 865"/>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866" name="Textbox 866"/>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867" name="Textbox 867"/>
                        <wps:cNvSpPr txBox="1"/>
                        <wps:spPr>
                          <a:xfrm>
                            <a:off x="7028829"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101</w:t>
                              </w:r>
                            </w:p>
                          </w:txbxContent>
                        </wps:txbx>
                        <wps:bodyPr wrap="square" lIns="0" tIns="0" rIns="0" bIns="0" rtlCol="0">
                          <a:noAutofit/>
                        </wps:bodyPr>
                      </wps:wsp>
                      <wps:wsp>
                        <wps:cNvPr id="868" name="Textbox 868"/>
                        <wps:cNvSpPr txBox="1"/>
                        <wps:spPr>
                          <a:xfrm>
                            <a:off x="900001" y="1080003"/>
                            <a:ext cx="1238885" cy="203200"/>
                          </a:xfrm>
                          <a:prstGeom prst="rect">
                            <a:avLst/>
                          </a:prstGeom>
                        </wps:spPr>
                        <wps:txbx>
                          <w:txbxContent>
                            <w:p>
                              <w:pPr>
                                <w:numPr>
                                  <w:ilvl w:val="1"/>
                                  <w:numId w:val="44"/>
                                </w:numPr>
                                <w:tabs>
                                  <w:tab w:pos="482" w:val="left" w:leader="none"/>
                                </w:tabs>
                                <w:spacing w:line="320" w:lineRule="exact" w:before="0"/>
                                <w:ind w:left="482" w:right="0" w:hanging="482"/>
                                <w:jc w:val="left"/>
                                <w:rPr>
                                  <w:b/>
                                  <w:sz w:val="32"/>
                                </w:rPr>
                              </w:pPr>
                              <w:r>
                                <w:rPr>
                                  <w:b/>
                                  <w:color w:val="004A93"/>
                                  <w:spacing w:val="-2"/>
                                  <w:sz w:val="32"/>
                                </w:rPr>
                                <w:t>Conclusion</w:t>
                              </w:r>
                            </w:p>
                          </w:txbxContent>
                        </wps:txbx>
                        <wps:bodyPr wrap="square" lIns="0" tIns="0" rIns="0" bIns="0" rtlCol="0">
                          <a:noAutofit/>
                        </wps:bodyPr>
                      </wps:wsp>
                    </wpg:wgp>
                  </a:graphicData>
                </a:graphic>
              </wp:anchor>
            </w:drawing>
          </mc:Choice>
          <mc:Fallback>
            <w:pict>
              <v:group style="position:absolute;margin-left:-.000192pt;margin-top:-.00002pt;width:595.3pt;height:101.05pt;mso-position-horizontal-relative:page;mso-position-vertical-relative:page;z-index:15892992" id="docshapegroup709" coordorigin="0,0" coordsize="11906,2021">
                <v:shape style="position:absolute;left:0;top:0;width:11906;height:1819" id="docshape710"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711"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069;top:636;width:446;height:280" type="#_x0000_t202" id="docshape712" filled="false" stroked="false">
                  <v:textbox inset="0,0,0,0">
                    <w:txbxContent>
                      <w:p>
                        <w:pPr>
                          <w:spacing w:line="280" w:lineRule="exact" w:before="0"/>
                          <w:ind w:left="0" w:right="0" w:firstLine="0"/>
                          <w:jc w:val="left"/>
                          <w:rPr>
                            <w:b/>
                            <w:sz w:val="28"/>
                          </w:rPr>
                        </w:pPr>
                        <w:r>
                          <w:rPr>
                            <w:b/>
                            <w:color w:val="FFFFFF"/>
                            <w:spacing w:val="-5"/>
                            <w:sz w:val="28"/>
                          </w:rPr>
                          <w:t>101</w:t>
                        </w:r>
                      </w:p>
                    </w:txbxContent>
                  </v:textbox>
                  <w10:wrap type="none"/>
                </v:shape>
                <v:shape style="position:absolute;left:1417;top:1700;width:1951;height:320" type="#_x0000_t202" id="docshape713" filled="false" stroked="false">
                  <v:textbox inset="0,0,0,0">
                    <w:txbxContent>
                      <w:p>
                        <w:pPr>
                          <w:numPr>
                            <w:ilvl w:val="1"/>
                            <w:numId w:val="44"/>
                          </w:numPr>
                          <w:tabs>
                            <w:tab w:pos="482" w:val="left" w:leader="none"/>
                          </w:tabs>
                          <w:spacing w:line="320" w:lineRule="exact" w:before="0"/>
                          <w:ind w:left="482" w:right="0" w:hanging="482"/>
                          <w:jc w:val="left"/>
                          <w:rPr>
                            <w:b/>
                            <w:sz w:val="32"/>
                          </w:rPr>
                        </w:pPr>
                        <w:r>
                          <w:rPr>
                            <w:b/>
                            <w:color w:val="004A93"/>
                            <w:spacing w:val="-2"/>
                            <w:sz w:val="32"/>
                          </w:rPr>
                          <w:t>Conclusion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after="1"/>
        <w:rPr>
          <w:sz w:val="20"/>
        </w:rPr>
      </w:pPr>
    </w:p>
    <w:p>
      <w:pPr>
        <w:pStyle w:val="BodyText"/>
        <w:spacing w:line="20" w:lineRule="exact"/>
        <w:ind w:left="1117"/>
        <w:rPr>
          <w:sz w:val="2"/>
        </w:rPr>
      </w:pPr>
      <w:r>
        <w:rPr>
          <w:sz w:val="2"/>
        </w:rPr>
        <mc:AlternateContent>
          <mc:Choice Requires="wps">
            <w:drawing>
              <wp:inline distT="0" distB="0" distL="0" distR="0">
                <wp:extent cx="6012180" cy="12700"/>
                <wp:effectExtent l="9525" t="0" r="0" b="6350"/>
                <wp:docPr id="869" name="Group 869"/>
                <wp:cNvGraphicFramePr>
                  <a:graphicFrameLocks/>
                </wp:cNvGraphicFramePr>
                <a:graphic>
                  <a:graphicData uri="http://schemas.microsoft.com/office/word/2010/wordprocessingGroup">
                    <wpg:wgp>
                      <wpg:cNvPr id="869" name="Group 869"/>
                      <wpg:cNvGrpSpPr/>
                      <wpg:grpSpPr>
                        <a:xfrm>
                          <a:off x="0" y="0"/>
                          <a:ext cx="6012180" cy="12700"/>
                          <a:chExt cx="6012180" cy="12700"/>
                        </a:xfrm>
                      </wpg:grpSpPr>
                      <wps:wsp>
                        <wps:cNvPr id="870" name="Graphic 870"/>
                        <wps:cNvSpPr/>
                        <wps:spPr>
                          <a:xfrm>
                            <a:off x="0" y="635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g:wgp>
                  </a:graphicData>
                </a:graphic>
              </wp:inline>
            </w:drawing>
          </mc:Choice>
          <mc:Fallback>
            <w:pict>
              <v:group style="width:473.4pt;height:1pt;mso-position-horizontal-relative:char;mso-position-vertical-relative:line" id="docshapegroup714" coordorigin="0,0" coordsize="9468,20">
                <v:line style="position:absolute" from="0,10" to="9468,10" stroked="true" strokeweight="1pt" strokecolor="#36a9e1">
                  <v:stroke dashstyle="solid"/>
                </v:line>
              </v:group>
            </w:pict>
          </mc:Fallback>
        </mc:AlternateContent>
      </w:r>
      <w:r>
        <w:rPr>
          <w:sz w:val="2"/>
        </w:rPr>
      </w:r>
    </w:p>
    <w:p>
      <w:pPr>
        <w:spacing w:line="232" w:lineRule="auto" w:before="98"/>
        <w:ind w:left="1117" w:right="738" w:firstLine="0"/>
        <w:jc w:val="left"/>
        <w:rPr>
          <w:sz w:val="28"/>
        </w:rPr>
      </w:pPr>
      <w:bookmarkStart w:name="4.4 Conclusion" w:id="159"/>
      <w:bookmarkEnd w:id="159"/>
      <w:r>
        <w:rPr/>
      </w:r>
      <w:bookmarkStart w:name="_bookmark67" w:id="160"/>
      <w:bookmarkEnd w:id="160"/>
      <w:r>
        <w:rPr/>
      </w:r>
      <w:r>
        <w:rPr>
          <w:sz w:val="28"/>
        </w:rPr>
        <w:t>In this chapter we have identified several legislative developments where the dynamic</w:t>
      </w:r>
      <w:r>
        <w:rPr>
          <w:spacing w:val="-5"/>
          <w:sz w:val="28"/>
        </w:rPr>
        <w:t> </w:t>
      </w:r>
      <w:r>
        <w:rPr>
          <w:sz w:val="28"/>
        </w:rPr>
        <w:t>alignment</w:t>
      </w:r>
      <w:r>
        <w:rPr>
          <w:spacing w:val="-5"/>
          <w:sz w:val="28"/>
        </w:rPr>
        <w:t> </w:t>
      </w:r>
      <w:r>
        <w:rPr>
          <w:sz w:val="28"/>
        </w:rPr>
        <w:t>requirement</w:t>
      </w:r>
      <w:r>
        <w:rPr>
          <w:spacing w:val="-5"/>
          <w:sz w:val="28"/>
        </w:rPr>
        <w:t> </w:t>
      </w:r>
      <w:r>
        <w:rPr>
          <w:sz w:val="28"/>
        </w:rPr>
        <w:t>of</w:t>
      </w:r>
      <w:r>
        <w:rPr>
          <w:spacing w:val="-6"/>
          <w:sz w:val="28"/>
        </w:rPr>
        <w:t> </w:t>
      </w:r>
      <w:r>
        <w:rPr>
          <w:sz w:val="28"/>
        </w:rPr>
        <w:t>Article</w:t>
      </w:r>
      <w:r>
        <w:rPr>
          <w:spacing w:val="-5"/>
          <w:sz w:val="28"/>
        </w:rPr>
        <w:t> </w:t>
      </w:r>
      <w:r>
        <w:rPr>
          <w:sz w:val="28"/>
        </w:rPr>
        <w:t>2</w:t>
      </w:r>
      <w:r>
        <w:rPr>
          <w:spacing w:val="-5"/>
          <w:sz w:val="28"/>
        </w:rPr>
        <w:t> </w:t>
      </w:r>
      <w:r>
        <w:rPr>
          <w:sz w:val="28"/>
        </w:rPr>
        <w:t>WF</w:t>
      </w:r>
      <w:r>
        <w:rPr>
          <w:spacing w:val="-6"/>
          <w:sz w:val="28"/>
        </w:rPr>
        <w:t> </w:t>
      </w:r>
      <w:r>
        <w:rPr>
          <w:sz w:val="28"/>
        </w:rPr>
        <w:t>is</w:t>
      </w:r>
      <w:r>
        <w:rPr>
          <w:spacing w:val="-6"/>
          <w:sz w:val="28"/>
        </w:rPr>
        <w:t> </w:t>
      </w:r>
      <w:r>
        <w:rPr>
          <w:sz w:val="28"/>
        </w:rPr>
        <w:t>triggered</w:t>
      </w:r>
      <w:r>
        <w:rPr>
          <w:spacing w:val="-6"/>
          <w:sz w:val="28"/>
        </w:rPr>
        <w:t> </w:t>
      </w:r>
      <w:r>
        <w:rPr>
          <w:sz w:val="28"/>
        </w:rPr>
        <w:t>or</w:t>
      </w:r>
      <w:r>
        <w:rPr>
          <w:spacing w:val="-5"/>
          <w:sz w:val="28"/>
        </w:rPr>
        <w:t> </w:t>
      </w:r>
      <w:r>
        <w:rPr>
          <w:sz w:val="28"/>
        </w:rPr>
        <w:t>arguably</w:t>
      </w:r>
      <w:r>
        <w:rPr>
          <w:spacing w:val="-5"/>
          <w:sz w:val="28"/>
        </w:rPr>
        <w:t> </w:t>
      </w:r>
      <w:r>
        <w:rPr>
          <w:sz w:val="28"/>
        </w:rPr>
        <w:t>triggered. This is especially the case for the </w:t>
      </w:r>
      <w:r>
        <w:rPr>
          <w:b/>
          <w:sz w:val="28"/>
        </w:rPr>
        <w:t>Pay Transparency Directive </w:t>
      </w:r>
      <w:r>
        <w:rPr>
          <w:sz w:val="28"/>
        </w:rPr>
        <w:t>and the two </w:t>
      </w:r>
      <w:r>
        <w:rPr>
          <w:b/>
          <w:sz w:val="28"/>
        </w:rPr>
        <w:t>Directives on Equality Bodies where dynamic alignment is required</w:t>
      </w:r>
      <w:r>
        <w:rPr>
          <w:sz w:val="28"/>
        </w:rPr>
        <w:t>.</w:t>
      </w:r>
    </w:p>
    <w:p>
      <w:pPr>
        <w:spacing w:line="232" w:lineRule="auto" w:before="277"/>
        <w:ind w:left="1117" w:right="830" w:firstLine="0"/>
        <w:jc w:val="left"/>
        <w:rPr>
          <w:sz w:val="28"/>
        </w:rPr>
      </w:pPr>
      <w:r>
        <w:rPr>
          <w:sz w:val="28"/>
        </w:rPr>
        <w:t>We consider that the Commissions should do an analysis of the </w:t>
      </w:r>
      <w:r>
        <w:rPr>
          <w:b/>
          <w:sz w:val="28"/>
        </w:rPr>
        <w:t>Gender Balance</w:t>
      </w:r>
      <w:r>
        <w:rPr>
          <w:b/>
          <w:sz w:val="28"/>
        </w:rPr>
        <w:t> on Boards Directive</w:t>
      </w:r>
      <w:r>
        <w:rPr>
          <w:sz w:val="28"/>
        </w:rPr>
        <w:t>, the </w:t>
      </w:r>
      <w:r>
        <w:rPr>
          <w:b/>
          <w:sz w:val="28"/>
        </w:rPr>
        <w:t>Adequate Minimum Wages Directive </w:t>
      </w:r>
      <w:r>
        <w:rPr>
          <w:sz w:val="28"/>
        </w:rPr>
        <w:t>and the </w:t>
      </w:r>
      <w:r>
        <w:rPr>
          <w:b/>
          <w:sz w:val="28"/>
        </w:rPr>
        <w:t>Violence against Women and Domestic Violence Directive </w:t>
      </w:r>
      <w:r>
        <w:rPr>
          <w:sz w:val="28"/>
        </w:rPr>
        <w:t>to determine if they amend Annex 1 directives, and that the NI Executive should ensure </w:t>
      </w:r>
      <w:r>
        <w:rPr>
          <w:b/>
          <w:sz w:val="28"/>
        </w:rPr>
        <w:t>voluntary alignment </w:t>
      </w:r>
      <w:r>
        <w:rPr>
          <w:sz w:val="28"/>
        </w:rPr>
        <w:t>with</w:t>
      </w:r>
      <w:r>
        <w:rPr>
          <w:spacing w:val="-9"/>
          <w:sz w:val="28"/>
        </w:rPr>
        <w:t> </w:t>
      </w:r>
      <w:r>
        <w:rPr>
          <w:sz w:val="28"/>
        </w:rPr>
        <w:t>these</w:t>
      </w:r>
      <w:r>
        <w:rPr>
          <w:spacing w:val="-8"/>
          <w:sz w:val="28"/>
        </w:rPr>
        <w:t> </w:t>
      </w:r>
      <w:r>
        <w:rPr>
          <w:sz w:val="28"/>
        </w:rPr>
        <w:t>directives</w:t>
      </w:r>
      <w:r>
        <w:rPr>
          <w:spacing w:val="-9"/>
          <w:sz w:val="28"/>
        </w:rPr>
        <w:t> </w:t>
      </w:r>
      <w:r>
        <w:rPr>
          <w:sz w:val="28"/>
        </w:rPr>
        <w:t>where</w:t>
      </w:r>
      <w:r>
        <w:rPr>
          <w:spacing w:val="-8"/>
          <w:sz w:val="28"/>
        </w:rPr>
        <w:t> </w:t>
      </w:r>
      <w:r>
        <w:rPr>
          <w:sz w:val="28"/>
        </w:rPr>
        <w:t>they</w:t>
      </w:r>
      <w:r>
        <w:rPr>
          <w:spacing w:val="-8"/>
          <w:sz w:val="28"/>
        </w:rPr>
        <w:t> </w:t>
      </w:r>
      <w:r>
        <w:rPr>
          <w:sz w:val="28"/>
        </w:rPr>
        <w:t>strengthen</w:t>
      </w:r>
      <w:r>
        <w:rPr>
          <w:spacing w:val="-9"/>
          <w:sz w:val="28"/>
        </w:rPr>
        <w:t> </w:t>
      </w:r>
      <w:r>
        <w:rPr>
          <w:sz w:val="28"/>
        </w:rPr>
        <w:t>rights</w:t>
      </w:r>
      <w:r>
        <w:rPr>
          <w:spacing w:val="-9"/>
          <w:sz w:val="28"/>
        </w:rPr>
        <w:t> </w:t>
      </w:r>
      <w:r>
        <w:rPr>
          <w:sz w:val="28"/>
        </w:rPr>
        <w:t>and</w:t>
      </w:r>
      <w:r>
        <w:rPr>
          <w:spacing w:val="-9"/>
          <w:sz w:val="28"/>
        </w:rPr>
        <w:t> </w:t>
      </w:r>
      <w:r>
        <w:rPr>
          <w:sz w:val="28"/>
        </w:rPr>
        <w:t>reflect</w:t>
      </w:r>
      <w:r>
        <w:rPr>
          <w:spacing w:val="-8"/>
          <w:sz w:val="28"/>
        </w:rPr>
        <w:t> </w:t>
      </w:r>
      <w:r>
        <w:rPr>
          <w:sz w:val="28"/>
        </w:rPr>
        <w:t>international</w:t>
      </w:r>
      <w:r>
        <w:rPr>
          <w:spacing w:val="-9"/>
          <w:sz w:val="28"/>
        </w:rPr>
        <w:t> </w:t>
      </w:r>
      <w:r>
        <w:rPr>
          <w:sz w:val="28"/>
        </w:rPr>
        <w:t>human rights standards and best practice.</w:t>
      </w:r>
    </w:p>
    <w:p>
      <w:pPr>
        <w:pStyle w:val="BodyText"/>
        <w:spacing w:line="232" w:lineRule="auto" w:before="274"/>
        <w:ind w:left="1117" w:right="1101"/>
      </w:pPr>
      <w:r>
        <w:rPr/>
        <w:t>We</w:t>
      </w:r>
      <w:r>
        <w:rPr>
          <w:spacing w:val="-7"/>
        </w:rPr>
        <w:t> </w:t>
      </w:r>
      <w:r>
        <w:rPr/>
        <w:t>have</w:t>
      </w:r>
      <w:r>
        <w:rPr>
          <w:spacing w:val="-7"/>
        </w:rPr>
        <w:t> </w:t>
      </w:r>
      <w:r>
        <w:rPr/>
        <w:t>also</w:t>
      </w:r>
      <w:r>
        <w:rPr>
          <w:spacing w:val="-8"/>
        </w:rPr>
        <w:t> </w:t>
      </w:r>
      <w:r>
        <w:rPr/>
        <w:t>highlighted</w:t>
      </w:r>
      <w:r>
        <w:rPr>
          <w:spacing w:val="-8"/>
        </w:rPr>
        <w:t> </w:t>
      </w:r>
      <w:r>
        <w:rPr/>
        <w:t>several</w:t>
      </w:r>
      <w:r>
        <w:rPr>
          <w:spacing w:val="-8"/>
        </w:rPr>
        <w:t> </w:t>
      </w:r>
      <w:r>
        <w:rPr/>
        <w:t>pieces</w:t>
      </w:r>
      <w:r>
        <w:rPr>
          <w:spacing w:val="-8"/>
        </w:rPr>
        <w:t> </w:t>
      </w:r>
      <w:r>
        <w:rPr/>
        <w:t>of</w:t>
      </w:r>
      <w:r>
        <w:rPr>
          <w:spacing w:val="-8"/>
        </w:rPr>
        <w:t> </w:t>
      </w:r>
      <w:r>
        <w:rPr/>
        <w:t>adopted</w:t>
      </w:r>
      <w:r>
        <w:rPr>
          <w:spacing w:val="-8"/>
        </w:rPr>
        <w:t> </w:t>
      </w:r>
      <w:r>
        <w:rPr/>
        <w:t>EU</w:t>
      </w:r>
      <w:r>
        <w:rPr>
          <w:spacing w:val="-7"/>
        </w:rPr>
        <w:t> </w:t>
      </w:r>
      <w:r>
        <w:rPr/>
        <w:t>legislation</w:t>
      </w:r>
      <w:r>
        <w:rPr>
          <w:spacing w:val="-8"/>
        </w:rPr>
        <w:t> </w:t>
      </w:r>
      <w:r>
        <w:rPr/>
        <w:t>through</w:t>
      </w:r>
      <w:r>
        <w:rPr>
          <w:spacing w:val="-8"/>
        </w:rPr>
        <w:t> </w:t>
      </w:r>
      <w:r>
        <w:rPr/>
        <w:t>which the EU encourages the adoption of new measures representing improvements in the protection of human rights and equality. These legislative developments concern the right to health, the right to privacy and the right to be free from</w:t>
      </w:r>
    </w:p>
    <w:p>
      <w:pPr>
        <w:pStyle w:val="BodyText"/>
        <w:spacing w:line="232" w:lineRule="auto"/>
        <w:ind w:left="1117" w:right="805"/>
      </w:pPr>
      <w:r>
        <w:rPr/>
        <w:t>gender</w:t>
      </w:r>
      <w:r>
        <w:rPr>
          <w:spacing w:val="-8"/>
        </w:rPr>
        <w:t> </w:t>
      </w:r>
      <w:r>
        <w:rPr/>
        <w:t>discrimination.</w:t>
      </w:r>
      <w:r>
        <w:rPr>
          <w:spacing w:val="-9"/>
        </w:rPr>
        <w:t> </w:t>
      </w:r>
      <w:r>
        <w:rPr/>
        <w:t>Several</w:t>
      </w:r>
      <w:r>
        <w:rPr>
          <w:spacing w:val="-9"/>
        </w:rPr>
        <w:t> </w:t>
      </w:r>
      <w:r>
        <w:rPr/>
        <w:t>of</w:t>
      </w:r>
      <w:r>
        <w:rPr>
          <w:spacing w:val="-9"/>
        </w:rPr>
        <w:t> </w:t>
      </w:r>
      <w:r>
        <w:rPr/>
        <w:t>these</w:t>
      </w:r>
      <w:r>
        <w:rPr>
          <w:spacing w:val="-8"/>
        </w:rPr>
        <w:t> </w:t>
      </w:r>
      <w:r>
        <w:rPr/>
        <w:t>relate</w:t>
      </w:r>
      <w:r>
        <w:rPr>
          <w:spacing w:val="-8"/>
        </w:rPr>
        <w:t> </w:t>
      </w:r>
      <w:r>
        <w:rPr/>
        <w:t>to</w:t>
      </w:r>
      <w:r>
        <w:rPr>
          <w:spacing w:val="-9"/>
        </w:rPr>
        <w:t> </w:t>
      </w:r>
      <w:r>
        <w:rPr/>
        <w:t>matters</w:t>
      </w:r>
      <w:r>
        <w:rPr>
          <w:spacing w:val="-9"/>
        </w:rPr>
        <w:t> </w:t>
      </w:r>
      <w:r>
        <w:rPr/>
        <w:t>which</w:t>
      </w:r>
      <w:r>
        <w:rPr>
          <w:spacing w:val="-9"/>
        </w:rPr>
        <w:t> </w:t>
      </w:r>
      <w:r>
        <w:rPr/>
        <w:t>might</w:t>
      </w:r>
      <w:r>
        <w:rPr>
          <w:spacing w:val="-8"/>
        </w:rPr>
        <w:t> </w:t>
      </w:r>
      <w:r>
        <w:rPr/>
        <w:t>have</w:t>
      </w:r>
      <w:r>
        <w:rPr>
          <w:spacing w:val="-8"/>
        </w:rPr>
        <w:t> </w:t>
      </w:r>
      <w:r>
        <w:rPr/>
        <w:t>a</w:t>
      </w:r>
      <w:r>
        <w:rPr>
          <w:spacing w:val="-9"/>
        </w:rPr>
        <w:t> </w:t>
      </w:r>
      <w:r>
        <w:rPr/>
        <w:t>cross- border dimension and so where there is a particular risk of divergence. In these cases, we recommend Northern Ireland should consider voluntary alignment where this will strengthen rights and equality and align with international human rights standards and best practice.</w:t>
      </w:r>
    </w:p>
    <w:p>
      <w:pPr>
        <w:pStyle w:val="BodyText"/>
        <w:spacing w:line="232" w:lineRule="auto" w:before="270"/>
        <w:ind w:left="1117" w:right="738"/>
      </w:pPr>
      <w:r>
        <w:rPr/>
        <w:t>Finally, we have also highlighted several pieces of EU legislation and proposed legislation where the EU is looking at improving human rights and equality standards and we recommend the Northern Ireland authorities to monitor these developments</w:t>
      </w:r>
      <w:r>
        <w:rPr>
          <w:spacing w:val="-8"/>
        </w:rPr>
        <w:t> </w:t>
      </w:r>
      <w:r>
        <w:rPr/>
        <w:t>and</w:t>
      </w:r>
      <w:r>
        <w:rPr>
          <w:spacing w:val="-8"/>
        </w:rPr>
        <w:t> </w:t>
      </w:r>
      <w:r>
        <w:rPr/>
        <w:t>consider</w:t>
      </w:r>
      <w:r>
        <w:rPr>
          <w:spacing w:val="-7"/>
        </w:rPr>
        <w:t> </w:t>
      </w:r>
      <w:r>
        <w:rPr/>
        <w:t>voluntary</w:t>
      </w:r>
      <w:r>
        <w:rPr>
          <w:spacing w:val="-7"/>
        </w:rPr>
        <w:t> </w:t>
      </w:r>
      <w:r>
        <w:rPr/>
        <w:t>alignment.</w:t>
      </w:r>
      <w:r>
        <w:rPr>
          <w:spacing w:val="-8"/>
        </w:rPr>
        <w:t> </w:t>
      </w:r>
      <w:r>
        <w:rPr/>
        <w:t>These</w:t>
      </w:r>
      <w:r>
        <w:rPr>
          <w:spacing w:val="-7"/>
        </w:rPr>
        <w:t> </w:t>
      </w:r>
      <w:r>
        <w:rPr/>
        <w:t>proposals</w:t>
      </w:r>
      <w:r>
        <w:rPr>
          <w:spacing w:val="-8"/>
        </w:rPr>
        <w:t> </w:t>
      </w:r>
      <w:r>
        <w:rPr/>
        <w:t>aim</w:t>
      </w:r>
      <w:r>
        <w:rPr>
          <w:spacing w:val="-7"/>
        </w:rPr>
        <w:t> </w:t>
      </w:r>
      <w:r>
        <w:rPr/>
        <w:t>at</w:t>
      </w:r>
      <w:r>
        <w:rPr>
          <w:spacing w:val="-7"/>
        </w:rPr>
        <w:t> </w:t>
      </w:r>
      <w:r>
        <w:rPr/>
        <w:t>improving the fairness of justice systems; enhancing corporate social responsibility, including through a better protection of work rights; and further protecting the rights of vulnerable groups such as victims of human trafficking, migrants and children.</w:t>
      </w:r>
    </w:p>
    <w:p>
      <w:pPr>
        <w:spacing w:after="0" w:line="232" w:lineRule="auto"/>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70400">
                <wp:simplePos x="0" y="0"/>
                <wp:positionH relativeFrom="page">
                  <wp:posOffset>0</wp:posOffset>
                </wp:positionH>
                <wp:positionV relativeFrom="page">
                  <wp:posOffset>0</wp:posOffset>
                </wp:positionV>
                <wp:extent cx="7560309" cy="6433185"/>
                <wp:effectExtent l="0" t="0" r="0" b="0"/>
                <wp:wrapNone/>
                <wp:docPr id="871" name="Group 871"/>
                <wp:cNvGraphicFramePr>
                  <a:graphicFrameLocks/>
                </wp:cNvGraphicFramePr>
                <a:graphic>
                  <a:graphicData uri="http://schemas.microsoft.com/office/word/2010/wordprocessingGroup">
                    <wpg:wgp>
                      <wpg:cNvPr id="871" name="Group 871"/>
                      <wpg:cNvGrpSpPr/>
                      <wpg:grpSpPr>
                        <a:xfrm>
                          <a:off x="0" y="0"/>
                          <a:ext cx="7560309" cy="6433185"/>
                          <a:chExt cx="7560309" cy="6433185"/>
                        </a:xfrm>
                      </wpg:grpSpPr>
                      <pic:pic>
                        <pic:nvPicPr>
                          <pic:cNvPr id="872" name="Image 872"/>
                          <pic:cNvPicPr/>
                        </pic:nvPicPr>
                        <pic:blipFill>
                          <a:blip r:embed="rId162" cstate="print"/>
                          <a:stretch>
                            <a:fillRect/>
                          </a:stretch>
                        </pic:blipFill>
                        <pic:spPr>
                          <a:xfrm>
                            <a:off x="0" y="0"/>
                            <a:ext cx="7559992" cy="3420008"/>
                          </a:xfrm>
                          <a:prstGeom prst="rect">
                            <a:avLst/>
                          </a:prstGeom>
                        </pic:spPr>
                      </pic:pic>
                      <wps:wsp>
                        <wps:cNvPr id="873" name="Graphic 873"/>
                        <wps:cNvSpPr/>
                        <wps:spPr>
                          <a:xfrm>
                            <a:off x="0" y="2250003"/>
                            <a:ext cx="7560309" cy="4183379"/>
                          </a:xfrm>
                          <a:custGeom>
                            <a:avLst/>
                            <a:gdLst/>
                            <a:ahLst/>
                            <a:cxnLst/>
                            <a:rect l="l" t="t" r="r" b="b"/>
                            <a:pathLst>
                              <a:path w="7560309" h="4183379">
                                <a:moveTo>
                                  <a:pt x="7560005" y="0"/>
                                </a:moveTo>
                                <a:lnTo>
                                  <a:pt x="719996" y="0"/>
                                </a:lnTo>
                                <a:lnTo>
                                  <a:pt x="672198" y="1247"/>
                                </a:lnTo>
                                <a:lnTo>
                                  <a:pt x="625050" y="4948"/>
                                </a:lnTo>
                                <a:lnTo>
                                  <a:pt x="578614" y="11041"/>
                                </a:lnTo>
                                <a:lnTo>
                                  <a:pt x="532952" y="19462"/>
                                </a:lnTo>
                                <a:lnTo>
                                  <a:pt x="488127" y="30151"/>
                                </a:lnTo>
                                <a:lnTo>
                                  <a:pt x="444200" y="43044"/>
                                </a:lnTo>
                                <a:lnTo>
                                  <a:pt x="401233" y="58081"/>
                                </a:lnTo>
                                <a:lnTo>
                                  <a:pt x="359290" y="75197"/>
                                </a:lnTo>
                                <a:lnTo>
                                  <a:pt x="318432" y="94332"/>
                                </a:lnTo>
                                <a:lnTo>
                                  <a:pt x="278722" y="115422"/>
                                </a:lnTo>
                                <a:lnTo>
                                  <a:pt x="240220" y="138406"/>
                                </a:lnTo>
                                <a:lnTo>
                                  <a:pt x="202991" y="163222"/>
                                </a:lnTo>
                                <a:lnTo>
                                  <a:pt x="167096" y="189808"/>
                                </a:lnTo>
                                <a:lnTo>
                                  <a:pt x="132597" y="218100"/>
                                </a:lnTo>
                                <a:lnTo>
                                  <a:pt x="99556" y="248038"/>
                                </a:lnTo>
                                <a:lnTo>
                                  <a:pt x="68036" y="279558"/>
                                </a:lnTo>
                                <a:lnTo>
                                  <a:pt x="38098" y="312599"/>
                                </a:lnTo>
                                <a:lnTo>
                                  <a:pt x="9806" y="347098"/>
                                </a:lnTo>
                                <a:lnTo>
                                  <a:pt x="0" y="360338"/>
                                </a:lnTo>
                                <a:lnTo>
                                  <a:pt x="0" y="4182872"/>
                                </a:lnTo>
                                <a:lnTo>
                                  <a:pt x="7560005" y="4182871"/>
                                </a:lnTo>
                                <a:lnTo>
                                  <a:pt x="7560005" y="0"/>
                                </a:lnTo>
                                <a:close/>
                              </a:path>
                            </a:pathLst>
                          </a:custGeom>
                          <a:solidFill>
                            <a:srgbClr val="FFFFFF"/>
                          </a:solidFill>
                        </wps:spPr>
                        <wps:bodyPr wrap="square" lIns="0" tIns="0" rIns="0" bIns="0" rtlCol="0">
                          <a:prstTxWarp prst="textNoShape">
                            <a:avLst/>
                          </a:prstTxWarp>
                          <a:noAutofit/>
                        </wps:bodyPr>
                      </wps:wsp>
                      <wps:wsp>
                        <wps:cNvPr id="874" name="Graphic 874"/>
                        <wps:cNvSpPr/>
                        <wps:spPr>
                          <a:xfrm>
                            <a:off x="647999" y="272910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875" name="Graphic 87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876" name="Graphic 87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506.55pt;mso-position-horizontal-relative:page;mso-position-vertical-relative:page;z-index:-19246080" id="docshapegroup715" coordorigin="0,0" coordsize="11906,10131">
                <v:shape style="position:absolute;left:0;top:0;width:11906;height:5386" type="#_x0000_t75" id="docshape716" stroked="false">
                  <v:imagedata r:id="rId162" o:title=""/>
                </v:shape>
                <v:shape style="position:absolute;left:0;top:3543;width:11906;height:6588" id="docshape717" coordorigin="0,3543" coordsize="11906,6588" path="m11906,3543l1134,3543,1059,3545,984,3551,911,3561,839,3574,769,3591,700,3611,632,3635,566,3662,501,3692,439,3725,378,3761,320,3800,263,3842,209,3887,157,3934,107,3984,60,4036,15,4090,0,4111,0,10131,11906,10131,11906,3543xe" filled="true" fillcolor="#ffffff" stroked="false">
                  <v:path arrowok="t"/>
                  <v:fill type="solid"/>
                </v:shape>
                <v:line style="position:absolute" from="1020,4298" to="10488,4298" stroked="true" strokeweight="1pt" strokecolor="#36a9e1">
                  <v:stroke dashstyle="solid"/>
                </v:line>
                <v:shape style="position:absolute;left:0;top:0;width:11906;height:1819" id="docshape71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bookmarkStart w:name="Chapter 5: Domestic Case Law Development" w:id="161"/>
      <w:bookmarkEnd w:id="161"/>
      <w:r>
        <w:rPr/>
      </w:r>
      <w:bookmarkStart w:name="5.1 Introduction" w:id="162"/>
      <w:bookmarkEnd w:id="162"/>
      <w:r>
        <w:rPr/>
      </w:r>
      <w:bookmarkStart w:name="5.2 Retained EU Law" w:id="163"/>
      <w:bookmarkEnd w:id="163"/>
      <w:r>
        <w:rPr/>
      </w:r>
      <w:bookmarkStart w:name="_bookmark68" w:id="164"/>
      <w:bookmarkEnd w:id="164"/>
      <w:r>
        <w:rPr/>
      </w:r>
      <w:r>
        <w:rPr>
          <w:b/>
          <w:color w:val="FFFFFF"/>
          <w:spacing w:val="-5"/>
          <w:position w:val="-1"/>
          <w:sz w:val="28"/>
        </w:rPr>
        <w:t>102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spacing w:before="40"/>
        <w:rPr>
          <w:b/>
          <w:sz w:val="52"/>
        </w:rPr>
      </w:pPr>
    </w:p>
    <w:p>
      <w:pPr>
        <w:spacing w:line="597" w:lineRule="exact" w:before="0"/>
        <w:ind w:left="720" w:right="0" w:firstLine="0"/>
        <w:jc w:val="left"/>
        <w:rPr>
          <w:sz w:val="52"/>
        </w:rPr>
      </w:pPr>
      <w:r>
        <w:rPr>
          <w:color w:val="FFFFFF"/>
          <w:sz w:val="52"/>
        </w:rPr>
        <w:t>Chapter</w:t>
      </w:r>
      <w:r>
        <w:rPr>
          <w:color w:val="FFFFFF"/>
          <w:spacing w:val="-13"/>
          <w:sz w:val="52"/>
        </w:rPr>
        <w:t> </w:t>
      </w:r>
      <w:r>
        <w:rPr>
          <w:color w:val="FFFFFF"/>
          <w:spacing w:val="-5"/>
          <w:sz w:val="52"/>
        </w:rPr>
        <w:t>5:</w:t>
      </w:r>
    </w:p>
    <w:p>
      <w:pPr>
        <w:pStyle w:val="Heading1"/>
        <w:spacing w:line="211" w:lineRule="auto" w:before="22"/>
        <w:ind w:left="720" w:right="1087"/>
      </w:pPr>
      <w:r>
        <w:rPr>
          <w:color w:val="FFFFFF"/>
        </w:rPr>
        <w:t>Domestic</w:t>
      </w:r>
      <w:r>
        <w:rPr>
          <w:color w:val="FFFFFF"/>
          <w:spacing w:val="-15"/>
        </w:rPr>
        <w:t> </w:t>
      </w:r>
      <w:r>
        <w:rPr>
          <w:color w:val="FFFFFF"/>
        </w:rPr>
        <w:t>Case</w:t>
      </w:r>
      <w:r>
        <w:rPr>
          <w:color w:val="FFFFFF"/>
          <w:spacing w:val="-15"/>
        </w:rPr>
        <w:t> </w:t>
      </w:r>
      <w:r>
        <w:rPr>
          <w:color w:val="FFFFFF"/>
        </w:rPr>
        <w:t>Law</w:t>
      </w:r>
      <w:r>
        <w:rPr>
          <w:color w:val="FFFFFF"/>
          <w:spacing w:val="-15"/>
        </w:rPr>
        <w:t> </w:t>
      </w:r>
      <w:r>
        <w:rPr>
          <w:color w:val="FFFFFF"/>
        </w:rPr>
        <w:t>Developments</w:t>
      </w:r>
      <w:r>
        <w:rPr>
          <w:color w:val="FFFFFF"/>
          <w:spacing w:val="-14"/>
        </w:rPr>
        <w:t> </w:t>
      </w:r>
      <w:r>
        <w:rPr>
          <w:color w:val="FFFFFF"/>
        </w:rPr>
        <w:t>since January 2022</w:t>
      </w:r>
    </w:p>
    <w:p>
      <w:pPr>
        <w:pStyle w:val="Heading2"/>
        <w:numPr>
          <w:ilvl w:val="1"/>
          <w:numId w:val="45"/>
        </w:numPr>
        <w:tabs>
          <w:tab w:pos="1202" w:val="left" w:leader="none"/>
        </w:tabs>
        <w:spacing w:line="240" w:lineRule="auto" w:before="481" w:after="0"/>
        <w:ind w:left="1202" w:right="0" w:hanging="482"/>
        <w:jc w:val="left"/>
      </w:pPr>
      <w:r>
        <w:rPr>
          <w:color w:val="004A93"/>
          <w:spacing w:val="-2"/>
        </w:rPr>
        <w:t>Introduction</w:t>
      </w:r>
    </w:p>
    <w:p>
      <w:pPr>
        <w:pStyle w:val="BodyText"/>
        <w:spacing w:line="232" w:lineRule="auto" w:before="212"/>
        <w:ind w:left="720" w:right="1250"/>
      </w:pPr>
      <w:r>
        <w:rPr/>
        <w:t>This</w:t>
      </w:r>
      <w:r>
        <w:rPr>
          <w:spacing w:val="-8"/>
        </w:rPr>
        <w:t> </w:t>
      </w:r>
      <w:r>
        <w:rPr/>
        <w:t>chapter</w:t>
      </w:r>
      <w:r>
        <w:rPr>
          <w:spacing w:val="-7"/>
        </w:rPr>
        <w:t> </w:t>
      </w:r>
      <w:r>
        <w:rPr/>
        <w:t>provides</w:t>
      </w:r>
      <w:r>
        <w:rPr>
          <w:spacing w:val="-8"/>
        </w:rPr>
        <w:t> </w:t>
      </w:r>
      <w:r>
        <w:rPr/>
        <w:t>an</w:t>
      </w:r>
      <w:r>
        <w:rPr>
          <w:spacing w:val="-8"/>
        </w:rPr>
        <w:t> </w:t>
      </w:r>
      <w:r>
        <w:rPr/>
        <w:t>update</w:t>
      </w:r>
      <w:r>
        <w:rPr>
          <w:spacing w:val="-7"/>
        </w:rPr>
        <w:t> </w:t>
      </w:r>
      <w:r>
        <w:rPr/>
        <w:t>and</w:t>
      </w:r>
      <w:r>
        <w:rPr>
          <w:spacing w:val="-8"/>
        </w:rPr>
        <w:t> </w:t>
      </w:r>
      <w:r>
        <w:rPr/>
        <w:t>analysis</w:t>
      </w:r>
      <w:r>
        <w:rPr>
          <w:spacing w:val="-8"/>
        </w:rPr>
        <w:t> </w:t>
      </w:r>
      <w:r>
        <w:rPr/>
        <w:t>of</w:t>
      </w:r>
      <w:r>
        <w:rPr>
          <w:spacing w:val="-8"/>
        </w:rPr>
        <w:t> </w:t>
      </w:r>
      <w:r>
        <w:rPr/>
        <w:t>domestic</w:t>
      </w:r>
      <w:r>
        <w:rPr>
          <w:spacing w:val="-7"/>
        </w:rPr>
        <w:t> </w:t>
      </w:r>
      <w:r>
        <w:rPr/>
        <w:t>legislative</w:t>
      </w:r>
      <w:r>
        <w:rPr>
          <w:spacing w:val="-7"/>
        </w:rPr>
        <w:t> </w:t>
      </w:r>
      <w:r>
        <w:rPr/>
        <w:t>developments since</w:t>
      </w:r>
      <w:r>
        <w:rPr>
          <w:spacing w:val="-1"/>
        </w:rPr>
        <w:t> </w:t>
      </w:r>
      <w:r>
        <w:rPr/>
        <w:t>January</w:t>
      </w:r>
      <w:r>
        <w:rPr>
          <w:spacing w:val="-1"/>
        </w:rPr>
        <w:t> </w:t>
      </w:r>
      <w:r>
        <w:rPr/>
        <w:t>2022</w:t>
      </w:r>
      <w:r>
        <w:rPr>
          <w:spacing w:val="-1"/>
        </w:rPr>
        <w:t> </w:t>
      </w:r>
      <w:r>
        <w:rPr/>
        <w:t>relating</w:t>
      </w:r>
      <w:r>
        <w:rPr>
          <w:spacing w:val="-1"/>
        </w:rPr>
        <w:t> </w:t>
      </w:r>
      <w:r>
        <w:rPr/>
        <w:t>to</w:t>
      </w:r>
      <w:r>
        <w:rPr>
          <w:spacing w:val="-2"/>
        </w:rPr>
        <w:t> </w:t>
      </w:r>
      <w:r>
        <w:rPr/>
        <w:t>how</w:t>
      </w:r>
      <w:r>
        <w:rPr>
          <w:spacing w:val="-1"/>
        </w:rPr>
        <w:t> </w:t>
      </w:r>
      <w:r>
        <w:rPr/>
        <w:t>the</w:t>
      </w:r>
      <w:r>
        <w:rPr>
          <w:spacing w:val="-1"/>
        </w:rPr>
        <w:t> </w:t>
      </w:r>
      <w:r>
        <w:rPr/>
        <w:t>jurisprudence</w:t>
      </w:r>
      <w:r>
        <w:rPr>
          <w:spacing w:val="-1"/>
        </w:rPr>
        <w:t> </w:t>
      </w:r>
      <w:r>
        <w:rPr/>
        <w:t>of</w:t>
      </w:r>
      <w:r>
        <w:rPr>
          <w:spacing w:val="-2"/>
        </w:rPr>
        <w:t> </w:t>
      </w:r>
      <w:r>
        <w:rPr/>
        <w:t>the</w:t>
      </w:r>
      <w:r>
        <w:rPr>
          <w:spacing w:val="-1"/>
        </w:rPr>
        <w:t> </w:t>
      </w:r>
      <w:r>
        <w:rPr/>
        <w:t>Court</w:t>
      </w:r>
      <w:r>
        <w:rPr>
          <w:spacing w:val="-1"/>
        </w:rPr>
        <w:t> </w:t>
      </w:r>
      <w:r>
        <w:rPr/>
        <w:t>of</w:t>
      </w:r>
      <w:r>
        <w:rPr>
          <w:spacing w:val="-2"/>
        </w:rPr>
        <w:t> </w:t>
      </w:r>
      <w:r>
        <w:rPr/>
        <w:t>Justice</w:t>
      </w:r>
      <w:r>
        <w:rPr>
          <w:spacing w:val="-1"/>
        </w:rPr>
        <w:t> </w:t>
      </w:r>
      <w:r>
        <w:rPr/>
        <w:t>of</w:t>
      </w:r>
      <w:r>
        <w:rPr>
          <w:spacing w:val="-2"/>
        </w:rPr>
        <w:t> </w:t>
      </w:r>
      <w:r>
        <w:rPr/>
        <w:t>the European Union (CJEU) on equality and human rights related matters is to be, or will be, taken into account or complied with by the respective courts in Northern Ireland post the end of the Brexit transition period. It considers how the courts have approached EU law in different situations.</w:t>
      </w:r>
    </w:p>
    <w:p>
      <w:pPr>
        <w:pStyle w:val="BodyText"/>
        <w:spacing w:line="232" w:lineRule="auto" w:before="274"/>
        <w:ind w:left="720" w:right="1404"/>
      </w:pPr>
      <w:r>
        <w:rPr/>
        <w:t>How the courts will interact with the CJEU case law will differ depending on the type</w:t>
      </w:r>
      <w:r>
        <w:rPr>
          <w:spacing w:val="-6"/>
        </w:rPr>
        <w:t> </w:t>
      </w:r>
      <w:r>
        <w:rPr/>
        <w:t>of</w:t>
      </w:r>
      <w:r>
        <w:rPr>
          <w:spacing w:val="-7"/>
        </w:rPr>
        <w:t> </w:t>
      </w:r>
      <w:r>
        <w:rPr/>
        <w:t>case</w:t>
      </w:r>
      <w:r>
        <w:rPr>
          <w:spacing w:val="-6"/>
        </w:rPr>
        <w:t> </w:t>
      </w:r>
      <w:r>
        <w:rPr/>
        <w:t>before</w:t>
      </w:r>
      <w:r>
        <w:rPr>
          <w:spacing w:val="-6"/>
        </w:rPr>
        <w:t> </w:t>
      </w:r>
      <w:r>
        <w:rPr/>
        <w:t>it.</w:t>
      </w:r>
      <w:r>
        <w:rPr>
          <w:spacing w:val="-7"/>
        </w:rPr>
        <w:t> </w:t>
      </w:r>
      <w:r>
        <w:rPr/>
        <w:t>There</w:t>
      </w:r>
      <w:r>
        <w:rPr>
          <w:spacing w:val="-6"/>
        </w:rPr>
        <w:t> </w:t>
      </w:r>
      <w:r>
        <w:rPr/>
        <w:t>will</w:t>
      </w:r>
      <w:r>
        <w:rPr>
          <w:spacing w:val="-7"/>
        </w:rPr>
        <w:t> </w:t>
      </w:r>
      <w:r>
        <w:rPr/>
        <w:t>be</w:t>
      </w:r>
      <w:r>
        <w:rPr>
          <w:spacing w:val="-6"/>
        </w:rPr>
        <w:t> </w:t>
      </w:r>
      <w:r>
        <w:rPr/>
        <w:t>different</w:t>
      </w:r>
      <w:r>
        <w:rPr>
          <w:spacing w:val="-6"/>
        </w:rPr>
        <w:t> </w:t>
      </w:r>
      <w:r>
        <w:rPr/>
        <w:t>approaches</w:t>
      </w:r>
      <w:r>
        <w:rPr>
          <w:spacing w:val="-7"/>
        </w:rPr>
        <w:t> </w:t>
      </w:r>
      <w:r>
        <w:rPr/>
        <w:t>depending</w:t>
      </w:r>
      <w:r>
        <w:rPr>
          <w:spacing w:val="-6"/>
        </w:rPr>
        <w:t> </w:t>
      </w:r>
      <w:r>
        <w:rPr/>
        <w:t>on</w:t>
      </w:r>
      <w:r>
        <w:rPr>
          <w:spacing w:val="-7"/>
        </w:rPr>
        <w:t> </w:t>
      </w:r>
      <w:r>
        <w:rPr/>
        <w:t>whether the courts</w:t>
      </w:r>
      <w:r>
        <w:rPr>
          <w:spacing w:val="-1"/>
        </w:rPr>
        <w:t> </w:t>
      </w:r>
      <w:r>
        <w:rPr/>
        <w:t>are dealing with</w:t>
      </w:r>
      <w:r>
        <w:rPr>
          <w:spacing w:val="-1"/>
        </w:rPr>
        <w:t> </w:t>
      </w:r>
      <w:r>
        <w:rPr/>
        <w:t>retained</w:t>
      </w:r>
      <w:r>
        <w:rPr>
          <w:spacing w:val="-1"/>
        </w:rPr>
        <w:t> </w:t>
      </w:r>
      <w:r>
        <w:rPr/>
        <w:t>EU (now ‘assimilated’)</w:t>
      </w:r>
      <w:r>
        <w:rPr>
          <w:spacing w:val="-1"/>
        </w:rPr>
        <w:t> </w:t>
      </w:r>
      <w:r>
        <w:rPr/>
        <w:t>law, the Withdrawal Agreement or the Windsor Framework.</w:t>
      </w:r>
    </w:p>
    <w:p>
      <w:pPr>
        <w:pStyle w:val="BodyText"/>
        <w:spacing w:line="232" w:lineRule="auto" w:before="278"/>
        <w:ind w:left="720" w:right="1087"/>
      </w:pPr>
      <w:r>
        <w:rPr/>
        <w:t>In brief, courts must apply and interpret references to </w:t>
      </w:r>
      <w:r>
        <w:rPr>
          <w:i/>
        </w:rPr>
        <w:t>EU law in the WF </w:t>
      </w:r>
      <w:r>
        <w:rPr/>
        <w:t>in conformity</w:t>
      </w:r>
      <w:r>
        <w:rPr>
          <w:spacing w:val="-5"/>
        </w:rPr>
        <w:t> </w:t>
      </w:r>
      <w:r>
        <w:rPr/>
        <w:t>with</w:t>
      </w:r>
      <w:r>
        <w:rPr>
          <w:spacing w:val="-6"/>
        </w:rPr>
        <w:t> </w:t>
      </w:r>
      <w:r>
        <w:rPr/>
        <w:t>CJEU</w:t>
      </w:r>
      <w:r>
        <w:rPr>
          <w:spacing w:val="-5"/>
        </w:rPr>
        <w:t> </w:t>
      </w:r>
      <w:r>
        <w:rPr/>
        <w:t>case</w:t>
      </w:r>
      <w:r>
        <w:rPr>
          <w:spacing w:val="-5"/>
        </w:rPr>
        <w:t> </w:t>
      </w:r>
      <w:r>
        <w:rPr/>
        <w:t>law</w:t>
      </w:r>
      <w:r>
        <w:rPr>
          <w:spacing w:val="-5"/>
        </w:rPr>
        <w:t> </w:t>
      </w:r>
      <w:r>
        <w:rPr/>
        <w:t>whether</w:t>
      </w:r>
      <w:r>
        <w:rPr>
          <w:spacing w:val="-5"/>
        </w:rPr>
        <w:t> </w:t>
      </w:r>
      <w:r>
        <w:rPr/>
        <w:t>the</w:t>
      </w:r>
      <w:r>
        <w:rPr>
          <w:spacing w:val="-5"/>
        </w:rPr>
        <w:t> </w:t>
      </w:r>
      <w:r>
        <w:rPr/>
        <w:t>case</w:t>
      </w:r>
      <w:r>
        <w:rPr>
          <w:spacing w:val="-5"/>
        </w:rPr>
        <w:t> </w:t>
      </w:r>
      <w:r>
        <w:rPr/>
        <w:t>law</w:t>
      </w:r>
      <w:r>
        <w:rPr>
          <w:spacing w:val="-5"/>
        </w:rPr>
        <w:t> </w:t>
      </w:r>
      <w:r>
        <w:rPr/>
        <w:t>is</w:t>
      </w:r>
      <w:r>
        <w:rPr>
          <w:spacing w:val="-6"/>
        </w:rPr>
        <w:t> </w:t>
      </w:r>
      <w:r>
        <w:rPr/>
        <w:t>from</w:t>
      </w:r>
      <w:r>
        <w:rPr>
          <w:spacing w:val="-5"/>
        </w:rPr>
        <w:t> </w:t>
      </w:r>
      <w:r>
        <w:rPr/>
        <w:t>before</w:t>
      </w:r>
      <w:r>
        <w:rPr>
          <w:spacing w:val="-5"/>
        </w:rPr>
        <w:t> </w:t>
      </w:r>
      <w:r>
        <w:rPr/>
        <w:t>or</w:t>
      </w:r>
      <w:r>
        <w:rPr>
          <w:spacing w:val="-5"/>
        </w:rPr>
        <w:t> </w:t>
      </w:r>
      <w:r>
        <w:rPr/>
        <w:t>after</w:t>
      </w:r>
      <w:r>
        <w:rPr>
          <w:spacing w:val="-5"/>
        </w:rPr>
        <w:t> </w:t>
      </w:r>
      <w:r>
        <w:rPr/>
        <w:t>the</w:t>
      </w:r>
      <w:r>
        <w:rPr>
          <w:spacing w:val="-5"/>
        </w:rPr>
        <w:t> </w:t>
      </w:r>
      <w:r>
        <w:rPr/>
        <w:t>end of</w:t>
      </w:r>
      <w:r>
        <w:rPr>
          <w:spacing w:val="-2"/>
        </w:rPr>
        <w:t> </w:t>
      </w:r>
      <w:r>
        <w:rPr/>
        <w:t>the</w:t>
      </w:r>
      <w:r>
        <w:rPr>
          <w:spacing w:val="-1"/>
        </w:rPr>
        <w:t> </w:t>
      </w:r>
      <w:r>
        <w:rPr/>
        <w:t>transition</w:t>
      </w:r>
      <w:r>
        <w:rPr>
          <w:spacing w:val="-2"/>
        </w:rPr>
        <w:t> </w:t>
      </w:r>
      <w:r>
        <w:rPr/>
        <w:t>period;</w:t>
      </w:r>
      <w:r>
        <w:rPr>
          <w:vertAlign w:val="superscript"/>
        </w:rPr>
        <w:t>507</w:t>
      </w:r>
      <w:r>
        <w:rPr>
          <w:spacing w:val="-2"/>
          <w:vertAlign w:val="baseline"/>
        </w:rPr>
        <w:t> </w:t>
      </w:r>
      <w:r>
        <w:rPr>
          <w:vertAlign w:val="baseline"/>
        </w:rPr>
        <w:t>this</w:t>
      </w:r>
      <w:r>
        <w:rPr>
          <w:spacing w:val="-2"/>
          <w:vertAlign w:val="baseline"/>
        </w:rPr>
        <w:t> </w:t>
      </w:r>
      <w:r>
        <w:rPr>
          <w:vertAlign w:val="baseline"/>
        </w:rPr>
        <w:t>means</w:t>
      </w:r>
      <w:r>
        <w:rPr>
          <w:spacing w:val="-2"/>
          <w:vertAlign w:val="baseline"/>
        </w:rPr>
        <w:t> </w:t>
      </w:r>
      <w:r>
        <w:rPr>
          <w:vertAlign w:val="baseline"/>
        </w:rPr>
        <w:t>EU</w:t>
      </w:r>
      <w:r>
        <w:rPr>
          <w:spacing w:val="-1"/>
          <w:vertAlign w:val="baseline"/>
        </w:rPr>
        <w:t> </w:t>
      </w:r>
      <w:r>
        <w:rPr>
          <w:vertAlign w:val="baseline"/>
        </w:rPr>
        <w:t>concepts</w:t>
      </w:r>
      <w:r>
        <w:rPr>
          <w:spacing w:val="-2"/>
          <w:vertAlign w:val="baseline"/>
        </w:rPr>
        <w:t> </w:t>
      </w:r>
      <w:r>
        <w:rPr>
          <w:vertAlign w:val="baseline"/>
        </w:rPr>
        <w:t>like</w:t>
      </w:r>
      <w:r>
        <w:rPr>
          <w:spacing w:val="-1"/>
          <w:vertAlign w:val="baseline"/>
        </w:rPr>
        <w:t> </w:t>
      </w:r>
      <w:r>
        <w:rPr>
          <w:vertAlign w:val="baseline"/>
        </w:rPr>
        <w:t>the</w:t>
      </w:r>
      <w:r>
        <w:rPr>
          <w:spacing w:val="-1"/>
          <w:vertAlign w:val="baseline"/>
        </w:rPr>
        <w:t> </w:t>
      </w:r>
      <w:r>
        <w:rPr>
          <w:vertAlign w:val="baseline"/>
        </w:rPr>
        <w:t>Charter</w:t>
      </w:r>
      <w:r>
        <w:rPr>
          <w:spacing w:val="-1"/>
          <w:vertAlign w:val="baseline"/>
        </w:rPr>
        <w:t> </w:t>
      </w:r>
      <w:r>
        <w:rPr>
          <w:vertAlign w:val="baseline"/>
        </w:rPr>
        <w:t>of</w:t>
      </w:r>
      <w:r>
        <w:rPr>
          <w:spacing w:val="-2"/>
          <w:vertAlign w:val="baseline"/>
        </w:rPr>
        <w:t> </w:t>
      </w:r>
      <w:r>
        <w:rPr>
          <w:vertAlign w:val="baseline"/>
        </w:rPr>
        <w:t>Fundamental Rights</w:t>
      </w:r>
      <w:r>
        <w:rPr>
          <w:spacing w:val="-4"/>
          <w:vertAlign w:val="baseline"/>
        </w:rPr>
        <w:t> </w:t>
      </w:r>
      <w:r>
        <w:rPr>
          <w:vertAlign w:val="baseline"/>
        </w:rPr>
        <w:t>and</w:t>
      </w:r>
      <w:r>
        <w:rPr>
          <w:spacing w:val="-4"/>
          <w:vertAlign w:val="baseline"/>
        </w:rPr>
        <w:t> </w:t>
      </w:r>
      <w:r>
        <w:rPr>
          <w:vertAlign w:val="baseline"/>
        </w:rPr>
        <w:t>general</w:t>
      </w:r>
      <w:r>
        <w:rPr>
          <w:spacing w:val="-4"/>
          <w:vertAlign w:val="baseline"/>
        </w:rPr>
        <w:t> </w:t>
      </w:r>
      <w:r>
        <w:rPr>
          <w:vertAlign w:val="baseline"/>
        </w:rPr>
        <w:t>principles</w:t>
      </w:r>
      <w:r>
        <w:rPr>
          <w:spacing w:val="-4"/>
          <w:vertAlign w:val="baseline"/>
        </w:rPr>
        <w:t> </w:t>
      </w:r>
      <w:r>
        <w:rPr>
          <w:vertAlign w:val="baseline"/>
        </w:rPr>
        <w:t>of</w:t>
      </w:r>
      <w:r>
        <w:rPr>
          <w:spacing w:val="-4"/>
          <w:vertAlign w:val="baseline"/>
        </w:rPr>
        <w:t> </w:t>
      </w:r>
      <w:r>
        <w:rPr>
          <w:vertAlign w:val="baseline"/>
        </w:rPr>
        <w:t>law</w:t>
      </w:r>
      <w:r>
        <w:rPr>
          <w:spacing w:val="-3"/>
          <w:vertAlign w:val="baseline"/>
        </w:rPr>
        <w:t> </w:t>
      </w:r>
      <w:r>
        <w:rPr>
          <w:vertAlign w:val="baseline"/>
        </w:rPr>
        <w:t>are</w:t>
      </w:r>
      <w:r>
        <w:rPr>
          <w:spacing w:val="-3"/>
          <w:vertAlign w:val="baseline"/>
        </w:rPr>
        <w:t> </w:t>
      </w:r>
      <w:r>
        <w:rPr>
          <w:vertAlign w:val="baseline"/>
        </w:rPr>
        <w:t>relevant.</w:t>
      </w:r>
      <w:r>
        <w:rPr>
          <w:spacing w:val="-4"/>
          <w:vertAlign w:val="baseline"/>
        </w:rPr>
        <w:t> </w:t>
      </w:r>
      <w:r>
        <w:rPr>
          <w:vertAlign w:val="baseline"/>
        </w:rPr>
        <w:t>When</w:t>
      </w:r>
      <w:r>
        <w:rPr>
          <w:spacing w:val="-4"/>
          <w:vertAlign w:val="baseline"/>
        </w:rPr>
        <w:t> </w:t>
      </w:r>
      <w:r>
        <w:rPr>
          <w:vertAlign w:val="baseline"/>
        </w:rPr>
        <w:t>the</w:t>
      </w:r>
      <w:r>
        <w:rPr>
          <w:spacing w:val="-3"/>
          <w:vertAlign w:val="baseline"/>
        </w:rPr>
        <w:t> </w:t>
      </w:r>
      <w:r>
        <w:rPr>
          <w:vertAlign w:val="baseline"/>
        </w:rPr>
        <w:t>Withdrawal</w:t>
      </w:r>
      <w:r>
        <w:rPr>
          <w:spacing w:val="-4"/>
          <w:vertAlign w:val="baseline"/>
        </w:rPr>
        <w:t> </w:t>
      </w:r>
      <w:r>
        <w:rPr>
          <w:vertAlign w:val="baseline"/>
        </w:rPr>
        <w:t>Agreement is</w:t>
      </w:r>
      <w:r>
        <w:rPr>
          <w:spacing w:val="-5"/>
          <w:vertAlign w:val="baseline"/>
        </w:rPr>
        <w:t> </w:t>
      </w:r>
      <w:r>
        <w:rPr>
          <w:vertAlign w:val="baseline"/>
        </w:rPr>
        <w:t>concerned,</w:t>
      </w:r>
      <w:r>
        <w:rPr>
          <w:spacing w:val="-4"/>
          <w:vertAlign w:val="baseline"/>
        </w:rPr>
        <w:t> </w:t>
      </w:r>
      <w:r>
        <w:rPr>
          <w:vertAlign w:val="baseline"/>
        </w:rPr>
        <w:t>courts</w:t>
      </w:r>
      <w:r>
        <w:rPr>
          <w:spacing w:val="-5"/>
          <w:vertAlign w:val="baseline"/>
        </w:rPr>
        <w:t> </w:t>
      </w:r>
      <w:r>
        <w:rPr>
          <w:vertAlign w:val="baseline"/>
        </w:rPr>
        <w:t>must</w:t>
      </w:r>
      <w:r>
        <w:rPr>
          <w:spacing w:val="-4"/>
          <w:vertAlign w:val="baseline"/>
        </w:rPr>
        <w:t> </w:t>
      </w:r>
      <w:r>
        <w:rPr>
          <w:vertAlign w:val="baseline"/>
        </w:rPr>
        <w:t>interpret</w:t>
      </w:r>
      <w:r>
        <w:rPr>
          <w:spacing w:val="-4"/>
          <w:vertAlign w:val="baseline"/>
        </w:rPr>
        <w:t> </w:t>
      </w:r>
      <w:r>
        <w:rPr>
          <w:vertAlign w:val="baseline"/>
        </w:rPr>
        <w:t>EU</w:t>
      </w:r>
      <w:r>
        <w:rPr>
          <w:spacing w:val="-4"/>
          <w:vertAlign w:val="baseline"/>
        </w:rPr>
        <w:t> </w:t>
      </w:r>
      <w:r>
        <w:rPr>
          <w:vertAlign w:val="baseline"/>
        </w:rPr>
        <w:t>law</w:t>
      </w:r>
      <w:r>
        <w:rPr>
          <w:spacing w:val="-4"/>
          <w:vertAlign w:val="baseline"/>
        </w:rPr>
        <w:t> </w:t>
      </w:r>
      <w:r>
        <w:rPr>
          <w:vertAlign w:val="baseline"/>
        </w:rPr>
        <w:t>or</w:t>
      </w:r>
      <w:r>
        <w:rPr>
          <w:spacing w:val="-4"/>
          <w:vertAlign w:val="baseline"/>
        </w:rPr>
        <w:t> </w:t>
      </w:r>
      <w:r>
        <w:rPr>
          <w:vertAlign w:val="baseline"/>
        </w:rPr>
        <w:t>concepts</w:t>
      </w:r>
      <w:r>
        <w:rPr>
          <w:spacing w:val="-5"/>
          <w:vertAlign w:val="baseline"/>
        </w:rPr>
        <w:t> </w:t>
      </w:r>
      <w:r>
        <w:rPr>
          <w:vertAlign w:val="baseline"/>
        </w:rPr>
        <w:t>in</w:t>
      </w:r>
      <w:r>
        <w:rPr>
          <w:spacing w:val="-5"/>
          <w:vertAlign w:val="baseline"/>
        </w:rPr>
        <w:t> </w:t>
      </w:r>
      <w:r>
        <w:rPr>
          <w:vertAlign w:val="baseline"/>
        </w:rPr>
        <w:t>conformity</w:t>
      </w:r>
      <w:r>
        <w:rPr>
          <w:spacing w:val="-4"/>
          <w:vertAlign w:val="baseline"/>
        </w:rPr>
        <w:t> </w:t>
      </w:r>
      <w:r>
        <w:rPr>
          <w:vertAlign w:val="baseline"/>
        </w:rPr>
        <w:t>with</w:t>
      </w:r>
      <w:r>
        <w:rPr>
          <w:spacing w:val="-5"/>
          <w:vertAlign w:val="baseline"/>
        </w:rPr>
        <w:t> </w:t>
      </w:r>
      <w:r>
        <w:rPr>
          <w:vertAlign w:val="baseline"/>
        </w:rPr>
        <w:t>CJEU</w:t>
      </w:r>
      <w:r>
        <w:rPr>
          <w:spacing w:val="-4"/>
          <w:vertAlign w:val="baseline"/>
        </w:rPr>
        <w:t> </w:t>
      </w:r>
      <w:r>
        <w:rPr>
          <w:vertAlign w:val="baseline"/>
        </w:rPr>
        <w:t>law handed down before the end of the transition period and must have due regard</w:t>
      </w:r>
    </w:p>
    <w:p>
      <w:pPr>
        <w:pStyle w:val="BodyText"/>
        <w:spacing w:line="232" w:lineRule="auto"/>
        <w:ind w:left="720" w:right="1087"/>
      </w:pPr>
      <w:r>
        <w:rPr/>
        <w:t>to CJEU case law after the end of the transition period.</w:t>
      </w:r>
      <w:r>
        <w:rPr>
          <w:vertAlign w:val="superscript"/>
        </w:rPr>
        <w:t>508</w:t>
      </w:r>
      <w:r>
        <w:rPr>
          <w:vertAlign w:val="baseline"/>
        </w:rPr>
        <w:t> In other cases, involving retained</w:t>
      </w:r>
      <w:r>
        <w:rPr>
          <w:spacing w:val="-8"/>
          <w:vertAlign w:val="baseline"/>
        </w:rPr>
        <w:t> </w:t>
      </w:r>
      <w:r>
        <w:rPr>
          <w:vertAlign w:val="baseline"/>
        </w:rPr>
        <w:t>EU</w:t>
      </w:r>
      <w:r>
        <w:rPr>
          <w:spacing w:val="-7"/>
          <w:vertAlign w:val="baseline"/>
        </w:rPr>
        <w:t> </w:t>
      </w:r>
      <w:r>
        <w:rPr>
          <w:vertAlign w:val="baseline"/>
        </w:rPr>
        <w:t>(now</w:t>
      </w:r>
      <w:r>
        <w:rPr>
          <w:spacing w:val="-7"/>
          <w:vertAlign w:val="baseline"/>
        </w:rPr>
        <w:t> </w:t>
      </w:r>
      <w:r>
        <w:rPr>
          <w:vertAlign w:val="baseline"/>
        </w:rPr>
        <w:t>‘assimilated’)</w:t>
      </w:r>
      <w:r>
        <w:rPr>
          <w:spacing w:val="-8"/>
          <w:vertAlign w:val="baseline"/>
        </w:rPr>
        <w:t> </w:t>
      </w:r>
      <w:r>
        <w:rPr>
          <w:vertAlign w:val="baseline"/>
        </w:rPr>
        <w:t>law,</w:t>
      </w:r>
      <w:r>
        <w:rPr>
          <w:spacing w:val="-7"/>
          <w:vertAlign w:val="baseline"/>
        </w:rPr>
        <w:t> </w:t>
      </w:r>
      <w:r>
        <w:rPr>
          <w:vertAlign w:val="baseline"/>
        </w:rPr>
        <w:t>the</w:t>
      </w:r>
      <w:r>
        <w:rPr>
          <w:spacing w:val="-7"/>
          <w:vertAlign w:val="baseline"/>
        </w:rPr>
        <w:t> </w:t>
      </w:r>
      <w:r>
        <w:rPr>
          <w:vertAlign w:val="baseline"/>
        </w:rPr>
        <w:t>higher</w:t>
      </w:r>
      <w:r>
        <w:rPr>
          <w:spacing w:val="-7"/>
          <w:vertAlign w:val="baseline"/>
        </w:rPr>
        <w:t> </w:t>
      </w:r>
      <w:r>
        <w:rPr>
          <w:vertAlign w:val="baseline"/>
        </w:rPr>
        <w:t>courts</w:t>
      </w:r>
      <w:r>
        <w:rPr>
          <w:spacing w:val="-8"/>
          <w:vertAlign w:val="baseline"/>
        </w:rPr>
        <w:t> </w:t>
      </w:r>
      <w:r>
        <w:rPr>
          <w:vertAlign w:val="baseline"/>
        </w:rPr>
        <w:t>are</w:t>
      </w:r>
      <w:r>
        <w:rPr>
          <w:spacing w:val="-7"/>
          <w:vertAlign w:val="baseline"/>
        </w:rPr>
        <w:t> </w:t>
      </w:r>
      <w:r>
        <w:rPr>
          <w:vertAlign w:val="baseline"/>
        </w:rPr>
        <w:t>free</w:t>
      </w:r>
      <w:r>
        <w:rPr>
          <w:spacing w:val="-7"/>
          <w:vertAlign w:val="baseline"/>
        </w:rPr>
        <w:t> </w:t>
      </w:r>
      <w:r>
        <w:rPr>
          <w:vertAlign w:val="baseline"/>
        </w:rPr>
        <w:t>to</w:t>
      </w:r>
      <w:r>
        <w:rPr>
          <w:spacing w:val="-8"/>
          <w:vertAlign w:val="baseline"/>
        </w:rPr>
        <w:t> </w:t>
      </w:r>
      <w:r>
        <w:rPr>
          <w:vertAlign w:val="baseline"/>
        </w:rPr>
        <w:t>depart</w:t>
      </w:r>
      <w:r>
        <w:rPr>
          <w:spacing w:val="-7"/>
          <w:vertAlign w:val="baseline"/>
        </w:rPr>
        <w:t> </w:t>
      </w:r>
      <w:r>
        <w:rPr>
          <w:vertAlign w:val="baseline"/>
        </w:rPr>
        <w:t>from</w:t>
      </w:r>
      <w:r>
        <w:rPr>
          <w:spacing w:val="-7"/>
          <w:vertAlign w:val="baseline"/>
        </w:rPr>
        <w:t> </w:t>
      </w:r>
      <w:r>
        <w:rPr>
          <w:vertAlign w:val="baseline"/>
        </w:rPr>
        <w:t>CJEU case</w:t>
      </w:r>
      <w:r>
        <w:rPr>
          <w:spacing w:val="-8"/>
          <w:vertAlign w:val="baseline"/>
        </w:rPr>
        <w:t> </w:t>
      </w:r>
      <w:r>
        <w:rPr>
          <w:vertAlign w:val="baseline"/>
        </w:rPr>
        <w:t>law,</w:t>
      </w:r>
      <w:r>
        <w:rPr>
          <w:spacing w:val="-8"/>
          <w:vertAlign w:val="baseline"/>
        </w:rPr>
        <w:t> </w:t>
      </w:r>
      <w:r>
        <w:rPr>
          <w:vertAlign w:val="baseline"/>
        </w:rPr>
        <w:t>and</w:t>
      </w:r>
      <w:r>
        <w:rPr>
          <w:spacing w:val="-9"/>
          <w:vertAlign w:val="baseline"/>
        </w:rPr>
        <w:t> </w:t>
      </w:r>
      <w:r>
        <w:rPr>
          <w:vertAlign w:val="baseline"/>
        </w:rPr>
        <w:t>lower</w:t>
      </w:r>
      <w:r>
        <w:rPr>
          <w:spacing w:val="-8"/>
          <w:vertAlign w:val="baseline"/>
        </w:rPr>
        <w:t> </w:t>
      </w:r>
      <w:r>
        <w:rPr>
          <w:vertAlign w:val="baseline"/>
        </w:rPr>
        <w:t>courts</w:t>
      </w:r>
      <w:r>
        <w:rPr>
          <w:spacing w:val="-9"/>
          <w:vertAlign w:val="baseline"/>
        </w:rPr>
        <w:t> </w:t>
      </w:r>
      <w:r>
        <w:rPr>
          <w:vertAlign w:val="baseline"/>
        </w:rPr>
        <w:t>can</w:t>
      </w:r>
      <w:r>
        <w:rPr>
          <w:spacing w:val="-9"/>
          <w:vertAlign w:val="baseline"/>
        </w:rPr>
        <w:t> </w:t>
      </w:r>
      <w:r>
        <w:rPr>
          <w:vertAlign w:val="baseline"/>
        </w:rPr>
        <w:t>refer</w:t>
      </w:r>
      <w:r>
        <w:rPr>
          <w:spacing w:val="-8"/>
          <w:vertAlign w:val="baseline"/>
        </w:rPr>
        <w:t> </w:t>
      </w:r>
      <w:r>
        <w:rPr>
          <w:vertAlign w:val="baseline"/>
        </w:rPr>
        <w:t>questions</w:t>
      </w:r>
      <w:r>
        <w:rPr>
          <w:spacing w:val="-9"/>
          <w:vertAlign w:val="baseline"/>
        </w:rPr>
        <w:t> </w:t>
      </w:r>
      <w:r>
        <w:rPr>
          <w:vertAlign w:val="baseline"/>
        </w:rPr>
        <w:t>about</w:t>
      </w:r>
      <w:r>
        <w:rPr>
          <w:spacing w:val="-8"/>
          <w:vertAlign w:val="baseline"/>
        </w:rPr>
        <w:t> </w:t>
      </w:r>
      <w:r>
        <w:rPr>
          <w:vertAlign w:val="baseline"/>
        </w:rPr>
        <w:t>any</w:t>
      </w:r>
      <w:r>
        <w:rPr>
          <w:spacing w:val="-8"/>
          <w:vertAlign w:val="baseline"/>
        </w:rPr>
        <w:t> </w:t>
      </w:r>
      <w:r>
        <w:rPr>
          <w:vertAlign w:val="baseline"/>
        </w:rPr>
        <w:t>retained</w:t>
      </w:r>
      <w:r>
        <w:rPr>
          <w:spacing w:val="-9"/>
          <w:vertAlign w:val="baseline"/>
        </w:rPr>
        <w:t> </w:t>
      </w:r>
      <w:r>
        <w:rPr>
          <w:vertAlign w:val="baseline"/>
        </w:rPr>
        <w:t>case</w:t>
      </w:r>
      <w:r>
        <w:rPr>
          <w:spacing w:val="-8"/>
          <w:vertAlign w:val="baseline"/>
        </w:rPr>
        <w:t> </w:t>
      </w:r>
      <w:r>
        <w:rPr>
          <w:vertAlign w:val="baseline"/>
        </w:rPr>
        <w:t>law</w:t>
      </w:r>
      <w:r>
        <w:rPr>
          <w:spacing w:val="-8"/>
          <w:vertAlign w:val="baseline"/>
        </w:rPr>
        <w:t> </w:t>
      </w:r>
      <w:r>
        <w:rPr>
          <w:vertAlign w:val="baseline"/>
        </w:rPr>
        <w:t>binding on them to higher ones.</w:t>
      </w:r>
      <w:r>
        <w:rPr>
          <w:vertAlign w:val="superscript"/>
        </w:rPr>
        <w:t>509</w:t>
      </w:r>
    </w:p>
    <w:p>
      <w:pPr>
        <w:pStyle w:val="BodyText"/>
        <w:spacing w:line="232" w:lineRule="auto" w:before="268"/>
        <w:ind w:left="720" w:right="1087"/>
      </w:pPr>
      <w:r>
        <w:rPr/>
        <w:t>Accordingly,</w:t>
      </w:r>
      <w:r>
        <w:rPr>
          <w:spacing w:val="-8"/>
        </w:rPr>
        <w:t> </w:t>
      </w:r>
      <w:r>
        <w:rPr/>
        <w:t>the</w:t>
      </w:r>
      <w:r>
        <w:rPr>
          <w:spacing w:val="-8"/>
        </w:rPr>
        <w:t> </w:t>
      </w:r>
      <w:r>
        <w:rPr/>
        <w:t>attitude</w:t>
      </w:r>
      <w:r>
        <w:rPr>
          <w:spacing w:val="-8"/>
        </w:rPr>
        <w:t> </w:t>
      </w:r>
      <w:r>
        <w:rPr/>
        <w:t>of</w:t>
      </w:r>
      <w:r>
        <w:rPr>
          <w:spacing w:val="-9"/>
        </w:rPr>
        <w:t> </w:t>
      </w:r>
      <w:r>
        <w:rPr/>
        <w:t>the</w:t>
      </w:r>
      <w:r>
        <w:rPr>
          <w:spacing w:val="-8"/>
        </w:rPr>
        <w:t> </w:t>
      </w:r>
      <w:r>
        <w:rPr/>
        <w:t>courts</w:t>
      </w:r>
      <w:r>
        <w:rPr>
          <w:spacing w:val="-9"/>
        </w:rPr>
        <w:t> </w:t>
      </w:r>
      <w:r>
        <w:rPr/>
        <w:t>dealing</w:t>
      </w:r>
      <w:r>
        <w:rPr>
          <w:spacing w:val="-8"/>
        </w:rPr>
        <w:t> </w:t>
      </w:r>
      <w:r>
        <w:rPr/>
        <w:t>with</w:t>
      </w:r>
      <w:r>
        <w:rPr>
          <w:spacing w:val="-9"/>
        </w:rPr>
        <w:t> </w:t>
      </w:r>
      <w:r>
        <w:rPr/>
        <w:t>the</w:t>
      </w:r>
      <w:r>
        <w:rPr>
          <w:spacing w:val="-8"/>
        </w:rPr>
        <w:t> </w:t>
      </w:r>
      <w:r>
        <w:rPr/>
        <w:t>Withdrawal</w:t>
      </w:r>
      <w:r>
        <w:rPr>
          <w:spacing w:val="-9"/>
        </w:rPr>
        <w:t> </w:t>
      </w:r>
      <w:r>
        <w:rPr/>
        <w:t>Agreement</w:t>
      </w:r>
      <w:r>
        <w:rPr>
          <w:spacing w:val="-8"/>
        </w:rPr>
        <w:t> </w:t>
      </w:r>
      <w:r>
        <w:rPr/>
        <w:t>and Article 2 WF will be different from that of courts dealing with matters where the Withdrawal Agreement and Article 2 WF are not relevant.</w:t>
      </w:r>
    </w:p>
    <w:p>
      <w:pPr>
        <w:pStyle w:val="BodyText"/>
        <w:spacing w:before="14"/>
      </w:pPr>
    </w:p>
    <w:p>
      <w:pPr>
        <w:pStyle w:val="Heading2"/>
        <w:numPr>
          <w:ilvl w:val="1"/>
          <w:numId w:val="45"/>
        </w:numPr>
        <w:tabs>
          <w:tab w:pos="1202" w:val="left" w:leader="none"/>
        </w:tabs>
        <w:spacing w:line="240" w:lineRule="auto" w:before="0" w:after="0"/>
        <w:ind w:left="1202" w:right="0" w:hanging="482"/>
        <w:jc w:val="left"/>
      </w:pPr>
      <w:r>
        <w:rPr>
          <w:color w:val="004A93"/>
        </w:rPr>
        <w:t>Retained</w:t>
      </w:r>
      <w:r>
        <w:rPr>
          <w:color w:val="004A93"/>
          <w:spacing w:val="-6"/>
        </w:rPr>
        <w:t> </w:t>
      </w:r>
      <w:r>
        <w:rPr>
          <w:color w:val="004A93"/>
        </w:rPr>
        <w:t>EU</w:t>
      </w:r>
      <w:r>
        <w:rPr>
          <w:color w:val="004A93"/>
          <w:spacing w:val="-6"/>
        </w:rPr>
        <w:t> </w:t>
      </w:r>
      <w:r>
        <w:rPr>
          <w:color w:val="004A93"/>
          <w:spacing w:val="-5"/>
        </w:rPr>
        <w:t>Law</w:t>
      </w:r>
    </w:p>
    <w:p>
      <w:pPr>
        <w:pStyle w:val="BodyText"/>
        <w:spacing w:before="9"/>
        <w:rPr>
          <w:b/>
          <w:sz w:val="5"/>
        </w:rPr>
      </w:pPr>
      <w:r>
        <w:rPr/>
        <mc:AlternateContent>
          <mc:Choice Requires="wps">
            <w:drawing>
              <wp:anchor distT="0" distB="0" distL="0" distR="0" allowOverlap="1" layoutInCell="1" locked="0" behindDoc="1" simplePos="0" relativeHeight="487752704">
                <wp:simplePos x="0" y="0"/>
                <wp:positionH relativeFrom="page">
                  <wp:posOffset>647999</wp:posOffset>
                </wp:positionH>
                <wp:positionV relativeFrom="paragraph">
                  <wp:posOffset>59930</wp:posOffset>
                </wp:positionV>
                <wp:extent cx="6012180" cy="1270"/>
                <wp:effectExtent l="0" t="0" r="0" b="0"/>
                <wp:wrapTopAndBottom/>
                <wp:docPr id="877" name="Graphic 877"/>
                <wp:cNvGraphicFramePr>
                  <a:graphicFrameLocks/>
                </wp:cNvGraphicFramePr>
                <a:graphic>
                  <a:graphicData uri="http://schemas.microsoft.com/office/word/2010/wordprocessingShape">
                    <wps:wsp>
                      <wps:cNvPr id="877" name="Graphic 877"/>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718964pt;width:473.4pt;height:.1pt;mso-position-horizontal-relative:page;mso-position-vertical-relative:paragraph;z-index:-15563776;mso-wrap-distance-left:0;mso-wrap-distance-right:0" id="docshape719" coordorigin="1020,94" coordsize="9468,0" path="m1020,94l10488,94e" filled="false" stroked="true" strokeweight="1pt" strokecolor="#36a9e1">
                <v:path arrowok="t"/>
                <v:stroke dashstyle="solid"/>
                <w10:wrap type="topAndBottom"/>
              </v:shape>
            </w:pict>
          </mc:Fallback>
        </mc:AlternateContent>
      </w:r>
    </w:p>
    <w:p>
      <w:pPr>
        <w:pStyle w:val="BodyText"/>
        <w:spacing w:line="232" w:lineRule="auto" w:before="108"/>
        <w:ind w:left="720" w:right="1557"/>
      </w:pPr>
      <w:r>
        <w:rPr/>
        <w:t>The European Union (Withdrawal) Act 2018 introduces the concept of</w:t>
      </w:r>
      <w:r>
        <w:rPr/>
        <w:t> ‘retained’</w:t>
      </w:r>
      <w:r>
        <w:rPr>
          <w:spacing w:val="-10"/>
        </w:rPr>
        <w:t> </w:t>
      </w:r>
      <w:r>
        <w:rPr/>
        <w:t>EU</w:t>
      </w:r>
      <w:r>
        <w:rPr>
          <w:spacing w:val="-10"/>
        </w:rPr>
        <w:t> </w:t>
      </w:r>
      <w:r>
        <w:rPr/>
        <w:t>law.</w:t>
      </w:r>
      <w:r>
        <w:rPr>
          <w:spacing w:val="-10"/>
        </w:rPr>
        <w:t> </w:t>
      </w:r>
      <w:r>
        <w:rPr/>
        <w:t>Retained</w:t>
      </w:r>
      <w:r>
        <w:rPr>
          <w:spacing w:val="-10"/>
        </w:rPr>
        <w:t> </w:t>
      </w:r>
      <w:r>
        <w:rPr/>
        <w:t>EU</w:t>
      </w:r>
      <w:r>
        <w:rPr>
          <w:spacing w:val="-10"/>
        </w:rPr>
        <w:t> </w:t>
      </w:r>
      <w:r>
        <w:rPr/>
        <w:t>law</w:t>
      </w:r>
      <w:r>
        <w:rPr>
          <w:spacing w:val="-10"/>
        </w:rPr>
        <w:t> </w:t>
      </w:r>
      <w:r>
        <w:rPr/>
        <w:t>refers</w:t>
      </w:r>
      <w:r>
        <w:rPr>
          <w:spacing w:val="-10"/>
        </w:rPr>
        <w:t> </w:t>
      </w:r>
      <w:r>
        <w:rPr/>
        <w:t>to</w:t>
      </w:r>
      <w:r>
        <w:rPr>
          <w:spacing w:val="-10"/>
        </w:rPr>
        <w:t> </w:t>
      </w:r>
      <w:r>
        <w:rPr/>
        <w:t>EU</w:t>
      </w:r>
      <w:r>
        <w:rPr>
          <w:spacing w:val="-10"/>
        </w:rPr>
        <w:t> </w:t>
      </w:r>
      <w:r>
        <w:rPr/>
        <w:t>law</w:t>
      </w:r>
      <w:r>
        <w:rPr>
          <w:spacing w:val="-10"/>
        </w:rPr>
        <w:t> </w:t>
      </w:r>
      <w:r>
        <w:rPr/>
        <w:t>that</w:t>
      </w:r>
      <w:r>
        <w:rPr>
          <w:spacing w:val="-10"/>
        </w:rPr>
        <w:t> </w:t>
      </w:r>
      <w:r>
        <w:rPr/>
        <w:t>continues</w:t>
      </w:r>
      <w:r>
        <w:rPr>
          <w:spacing w:val="-10"/>
        </w:rPr>
        <w:t> </w:t>
      </w:r>
      <w:r>
        <w:rPr/>
        <w:t>after</w:t>
      </w:r>
      <w:r>
        <w:rPr>
          <w:spacing w:val="-10"/>
        </w:rPr>
        <w:t> </w:t>
      </w:r>
      <w:r>
        <w:rPr/>
        <w:t>the</w:t>
      </w:r>
      <w:r>
        <w:rPr>
          <w:spacing w:val="-10"/>
        </w:rPr>
        <w:t> </w:t>
      </w:r>
      <w:r>
        <w:rPr/>
        <w:t>UK’s exit from the EU and the repeal of the European Communities Act 1972.</w:t>
      </w:r>
      <w:r>
        <w:rPr>
          <w:vertAlign w:val="superscript"/>
        </w:rPr>
        <w:t>510</w:t>
      </w:r>
    </w:p>
    <w:p>
      <w:pPr>
        <w:pStyle w:val="BodyText"/>
        <w:spacing w:before="24"/>
        <w:rPr>
          <w:sz w:val="20"/>
        </w:rPr>
      </w:pPr>
      <w:r>
        <w:rPr/>
        <mc:AlternateContent>
          <mc:Choice Requires="wps">
            <w:drawing>
              <wp:anchor distT="0" distB="0" distL="0" distR="0" allowOverlap="1" layoutInCell="1" locked="0" behindDoc="1" simplePos="0" relativeHeight="487753216">
                <wp:simplePos x="0" y="0"/>
                <wp:positionH relativeFrom="page">
                  <wp:posOffset>647999</wp:posOffset>
                </wp:positionH>
                <wp:positionV relativeFrom="paragraph">
                  <wp:posOffset>186025</wp:posOffset>
                </wp:positionV>
                <wp:extent cx="6012180" cy="1270"/>
                <wp:effectExtent l="0" t="0" r="0" b="0"/>
                <wp:wrapTopAndBottom/>
                <wp:docPr id="878" name="Graphic 878"/>
                <wp:cNvGraphicFramePr>
                  <a:graphicFrameLocks/>
                </wp:cNvGraphicFramePr>
                <a:graphic>
                  <a:graphicData uri="http://schemas.microsoft.com/office/word/2010/wordprocessingShape">
                    <wps:wsp>
                      <wps:cNvPr id="878" name="Graphic 87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4.647655pt;width:473.4pt;height:.1pt;mso-position-horizontal-relative:page;mso-position-vertical-relative:paragraph;z-index:-15563264;mso-wrap-distance-left:0;mso-wrap-distance-right:0" id="docshape720" coordorigin="1020,293" coordsize="9468,0" path="m1020,293l10488,293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0" w:hanging="567"/>
        <w:jc w:val="left"/>
        <w:rPr>
          <w:sz w:val="18"/>
        </w:rPr>
      </w:pPr>
      <w:r>
        <w:rPr>
          <w:color w:val="1D71B8"/>
          <w:sz w:val="18"/>
          <w:u w:val="single" w:color="1D71B8"/>
        </w:rPr>
        <w:t>EU-UK</w:t>
      </w:r>
      <w:r>
        <w:rPr>
          <w:color w:val="1D71B8"/>
          <w:spacing w:val="-6"/>
          <w:sz w:val="18"/>
          <w:u w:val="single" w:color="1D71B8"/>
        </w:rPr>
        <w:t> </w:t>
      </w:r>
      <w:r>
        <w:rPr>
          <w:color w:val="1D71B8"/>
          <w:sz w:val="18"/>
          <w:u w:val="single" w:color="1D71B8"/>
        </w:rPr>
        <w:t>Withdrawal</w:t>
      </w:r>
      <w:r>
        <w:rPr>
          <w:color w:val="1D71B8"/>
          <w:spacing w:val="-6"/>
          <w:sz w:val="18"/>
          <w:u w:val="single" w:color="1D71B8"/>
        </w:rPr>
        <w:t> </w:t>
      </w:r>
      <w:r>
        <w:rPr>
          <w:color w:val="1D71B8"/>
          <w:sz w:val="18"/>
          <w:u w:val="single" w:color="1D71B8"/>
        </w:rPr>
        <w:t>Agreement,</w:t>
      </w:r>
      <w:r>
        <w:rPr>
          <w:color w:val="1D71B8"/>
          <w:spacing w:val="-5"/>
          <w:sz w:val="18"/>
          <w:u w:val="single" w:color="1D71B8"/>
        </w:rPr>
        <w:t> </w:t>
      </w:r>
      <w:r>
        <w:rPr>
          <w:color w:val="1D71B8"/>
          <w:sz w:val="18"/>
          <w:u w:val="single" w:color="1D71B8"/>
        </w:rPr>
        <w:t>including</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Protocol</w:t>
      </w:r>
      <w:r>
        <w:rPr>
          <w:color w:val="1D71B8"/>
          <w:spacing w:val="-6"/>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Ireland/Northern</w:t>
      </w:r>
      <w:r>
        <w:rPr>
          <w:color w:val="1D71B8"/>
          <w:spacing w:val="-6"/>
          <w:sz w:val="18"/>
          <w:u w:val="single" w:color="1D71B8"/>
        </w:rPr>
        <w:t> </w:t>
      </w:r>
      <w:r>
        <w:rPr>
          <w:color w:val="1D71B8"/>
          <w:sz w:val="18"/>
          <w:u w:val="single" w:color="1D71B8"/>
        </w:rPr>
        <w:t>Ireland</w:t>
      </w:r>
      <w:r>
        <w:rPr>
          <w:color w:val="1D71B8"/>
          <w:spacing w:val="-7"/>
          <w:sz w:val="18"/>
          <w:u w:val="none"/>
        </w:rPr>
        <w:t> </w:t>
      </w:r>
      <w:r>
        <w:rPr>
          <w:sz w:val="18"/>
          <w:u w:val="none"/>
        </w:rPr>
        <w:t>2019,</w:t>
      </w:r>
      <w:r>
        <w:rPr>
          <w:spacing w:val="-5"/>
          <w:sz w:val="18"/>
          <w:u w:val="none"/>
        </w:rPr>
        <w:t> </w:t>
      </w:r>
      <w:r>
        <w:rPr>
          <w:sz w:val="18"/>
          <w:u w:val="none"/>
        </w:rPr>
        <w:t>Article</w:t>
      </w:r>
      <w:r>
        <w:rPr>
          <w:spacing w:val="-5"/>
          <w:sz w:val="18"/>
          <w:u w:val="none"/>
        </w:rPr>
        <w:t> </w:t>
      </w:r>
      <w:r>
        <w:rPr>
          <w:spacing w:val="-2"/>
          <w:sz w:val="18"/>
          <w:u w:val="none"/>
        </w:rPr>
        <w:t>13(2).</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Ibid.,</w:t>
      </w:r>
      <w:r>
        <w:rPr>
          <w:spacing w:val="-3"/>
          <w:sz w:val="18"/>
        </w:rPr>
        <w:t> </w:t>
      </w:r>
      <w:r>
        <w:rPr>
          <w:sz w:val="18"/>
        </w:rPr>
        <w:t>Article</w:t>
      </w:r>
      <w:r>
        <w:rPr>
          <w:spacing w:val="-2"/>
          <w:sz w:val="18"/>
        </w:rPr>
        <w:t> </w:t>
      </w:r>
      <w:r>
        <w:rPr>
          <w:sz w:val="18"/>
        </w:rPr>
        <w:t>4(4)</w:t>
      </w:r>
      <w:r>
        <w:rPr>
          <w:spacing w:val="-4"/>
          <w:sz w:val="18"/>
        </w:rPr>
        <w:t> </w:t>
      </w:r>
      <w:r>
        <w:rPr>
          <w:sz w:val="18"/>
        </w:rPr>
        <w:t>and</w:t>
      </w:r>
      <w:r>
        <w:rPr>
          <w:spacing w:val="-3"/>
          <w:sz w:val="18"/>
        </w:rPr>
        <w:t> </w:t>
      </w:r>
      <w:r>
        <w:rPr>
          <w:spacing w:val="-2"/>
          <w:sz w:val="18"/>
        </w:rPr>
        <w:t>4(5).</w:t>
      </w:r>
    </w:p>
    <w:p>
      <w:pPr>
        <w:pStyle w:val="ListParagraph"/>
        <w:numPr>
          <w:ilvl w:val="0"/>
          <w:numId w:val="18"/>
        </w:numPr>
        <w:tabs>
          <w:tab w:pos="1287" w:val="left" w:leader="none"/>
        </w:tabs>
        <w:spacing w:line="240" w:lineRule="auto" w:before="0" w:after="0"/>
        <w:ind w:left="1287" w:right="0" w:hanging="567"/>
        <w:jc w:val="left"/>
        <w:rPr>
          <w:sz w:val="18"/>
        </w:rPr>
      </w:pPr>
      <w:r>
        <w:rPr>
          <w:sz w:val="18"/>
        </w:rPr>
        <w:t>Retained</w:t>
      </w:r>
      <w:r>
        <w:rPr>
          <w:spacing w:val="-7"/>
          <w:sz w:val="18"/>
        </w:rPr>
        <w:t> </w:t>
      </w:r>
      <w:r>
        <w:rPr>
          <w:sz w:val="18"/>
        </w:rPr>
        <w:t>EU</w:t>
      </w:r>
      <w:r>
        <w:rPr>
          <w:spacing w:val="-7"/>
          <w:sz w:val="18"/>
        </w:rPr>
        <w:t> </w:t>
      </w:r>
      <w:r>
        <w:rPr>
          <w:sz w:val="18"/>
        </w:rPr>
        <w:t>Law</w:t>
      </w:r>
      <w:r>
        <w:rPr>
          <w:spacing w:val="-6"/>
          <w:sz w:val="18"/>
        </w:rPr>
        <w:t> </w:t>
      </w:r>
      <w:r>
        <w:rPr>
          <w:sz w:val="18"/>
        </w:rPr>
        <w:t>(Revocation</w:t>
      </w:r>
      <w:r>
        <w:rPr>
          <w:spacing w:val="-7"/>
          <w:sz w:val="18"/>
        </w:rPr>
        <w:t> </w:t>
      </w:r>
      <w:r>
        <w:rPr>
          <w:sz w:val="18"/>
        </w:rPr>
        <w:t>and</w:t>
      </w:r>
      <w:r>
        <w:rPr>
          <w:spacing w:val="-7"/>
          <w:sz w:val="18"/>
        </w:rPr>
        <w:t> </w:t>
      </w:r>
      <w:r>
        <w:rPr>
          <w:sz w:val="18"/>
        </w:rPr>
        <w:t>Reform)</w:t>
      </w:r>
      <w:r>
        <w:rPr>
          <w:spacing w:val="-7"/>
          <w:sz w:val="18"/>
        </w:rPr>
        <w:t> </w:t>
      </w:r>
      <w:r>
        <w:rPr>
          <w:sz w:val="18"/>
        </w:rPr>
        <w:t>Act</w:t>
      </w:r>
      <w:r>
        <w:rPr>
          <w:spacing w:val="-6"/>
          <w:sz w:val="18"/>
        </w:rPr>
        <w:t> </w:t>
      </w:r>
      <w:r>
        <w:rPr>
          <w:sz w:val="18"/>
        </w:rPr>
        <w:t>2023,</w:t>
      </w:r>
      <w:r>
        <w:rPr>
          <w:spacing w:val="-7"/>
          <w:sz w:val="18"/>
        </w:rPr>
        <w:t> </w:t>
      </w:r>
      <w:r>
        <w:rPr>
          <w:color w:val="1D71B8"/>
          <w:sz w:val="18"/>
          <w:u w:val="single" w:color="1D71B8"/>
        </w:rPr>
        <w:t>Section</w:t>
      </w:r>
      <w:r>
        <w:rPr>
          <w:color w:val="1D71B8"/>
          <w:spacing w:val="-7"/>
          <w:sz w:val="18"/>
          <w:u w:val="single" w:color="1D71B8"/>
        </w:rPr>
        <w:t> </w:t>
      </w:r>
      <w:r>
        <w:rPr>
          <w:color w:val="1D71B8"/>
          <w:spacing w:val="-10"/>
          <w:sz w:val="18"/>
          <w:u w:val="single" w:color="1D71B8"/>
        </w:rPr>
        <w:t>6</w:t>
      </w:r>
    </w:p>
    <w:p>
      <w:pPr>
        <w:pStyle w:val="ListParagraph"/>
        <w:numPr>
          <w:ilvl w:val="0"/>
          <w:numId w:val="18"/>
        </w:numPr>
        <w:tabs>
          <w:tab w:pos="1287" w:val="left" w:leader="none"/>
        </w:tabs>
        <w:spacing w:line="240" w:lineRule="auto" w:before="0" w:after="0"/>
        <w:ind w:left="1287" w:right="0" w:hanging="567"/>
        <w:jc w:val="left"/>
        <w:rPr>
          <w:sz w:val="18"/>
        </w:rPr>
      </w:pPr>
      <w:r>
        <w:rPr>
          <w:sz w:val="18"/>
        </w:rPr>
        <w:t>European</w:t>
      </w:r>
      <w:r>
        <w:rPr>
          <w:spacing w:val="-7"/>
          <w:sz w:val="18"/>
        </w:rPr>
        <w:t> </w:t>
      </w:r>
      <w:r>
        <w:rPr>
          <w:sz w:val="18"/>
        </w:rPr>
        <w:t>Union</w:t>
      </w:r>
      <w:r>
        <w:rPr>
          <w:spacing w:val="-7"/>
          <w:sz w:val="18"/>
        </w:rPr>
        <w:t> </w:t>
      </w:r>
      <w:r>
        <w:rPr>
          <w:sz w:val="18"/>
        </w:rPr>
        <w:t>(Withdrawal</w:t>
      </w:r>
      <w:r>
        <w:rPr>
          <w:spacing w:val="-6"/>
          <w:sz w:val="18"/>
        </w:rPr>
        <w:t> </w:t>
      </w:r>
      <w:r>
        <w:rPr>
          <w:sz w:val="18"/>
        </w:rPr>
        <w:t>Act)</w:t>
      </w:r>
      <w:r>
        <w:rPr>
          <w:spacing w:val="-7"/>
          <w:sz w:val="18"/>
        </w:rPr>
        <w:t> </w:t>
      </w:r>
      <w:r>
        <w:rPr>
          <w:sz w:val="18"/>
        </w:rPr>
        <w:t>2018,</w:t>
      </w:r>
      <w:r>
        <w:rPr>
          <w:spacing w:val="-6"/>
          <w:sz w:val="18"/>
        </w:rPr>
        <w:t> </w:t>
      </w:r>
      <w:r>
        <w:rPr>
          <w:color w:val="1D71B8"/>
          <w:sz w:val="18"/>
          <w:u w:val="single" w:color="1D71B8"/>
        </w:rPr>
        <w:t>Section</w:t>
      </w:r>
      <w:r>
        <w:rPr>
          <w:color w:val="1D71B8"/>
          <w:spacing w:val="-7"/>
          <w:sz w:val="18"/>
          <w:u w:val="single" w:color="1D71B8"/>
        </w:rPr>
        <w:t> </w:t>
      </w:r>
      <w:r>
        <w:rPr>
          <w:color w:val="1D71B8"/>
          <w:spacing w:val="-2"/>
          <w:sz w:val="18"/>
          <w:u w:val="single" w:color="1D71B8"/>
        </w:rPr>
        <w:t>6(7).</w:t>
      </w:r>
    </w:p>
    <w:p>
      <w:pPr>
        <w:spacing w:after="0" w:line="240" w:lineRule="auto"/>
        <w:jc w:val="left"/>
        <w:rPr>
          <w:sz w:val="18"/>
        </w:rPr>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103</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071424">
                <wp:simplePos x="0" y="0"/>
                <wp:positionH relativeFrom="page">
                  <wp:posOffset>-2</wp:posOffset>
                </wp:positionH>
                <wp:positionV relativeFrom="page">
                  <wp:posOffset>0</wp:posOffset>
                </wp:positionV>
                <wp:extent cx="7560309" cy="1155065"/>
                <wp:effectExtent l="0" t="0" r="0" b="0"/>
                <wp:wrapNone/>
                <wp:docPr id="879" name="Group 879"/>
                <wp:cNvGraphicFramePr>
                  <a:graphicFrameLocks/>
                </wp:cNvGraphicFramePr>
                <a:graphic>
                  <a:graphicData uri="http://schemas.microsoft.com/office/word/2010/wordprocessingGroup">
                    <wpg:wgp>
                      <wpg:cNvPr id="879" name="Group 879"/>
                      <wpg:cNvGrpSpPr/>
                      <wpg:grpSpPr>
                        <a:xfrm>
                          <a:off x="0" y="0"/>
                          <a:ext cx="7560309" cy="1155065"/>
                          <a:chExt cx="7560309" cy="1155065"/>
                        </a:xfrm>
                      </wpg:grpSpPr>
                      <wps:wsp>
                        <wps:cNvPr id="880" name="Graphic 88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881" name="Graphic 88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45056" id="docshapegroup721" coordorigin="0,0" coordsize="11906,1819">
                <v:shape style="position:absolute;left:0;top:0;width:11906;height:1819" id="docshape722"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1087"/>
      </w:pPr>
      <w:r>
        <w:rPr/>
        <w:t>This retention was essential to prevent legal chaos if all law adopted under the European Communities Act were to disappear automatically. The Act does not continue</w:t>
      </w:r>
      <w:r>
        <w:rPr>
          <w:spacing w:val="-5"/>
        </w:rPr>
        <w:t> </w:t>
      </w:r>
      <w:r>
        <w:rPr/>
        <w:t>all</w:t>
      </w:r>
      <w:r>
        <w:rPr>
          <w:spacing w:val="-6"/>
        </w:rPr>
        <w:t> </w:t>
      </w:r>
      <w:r>
        <w:rPr/>
        <w:t>EU</w:t>
      </w:r>
      <w:r>
        <w:rPr>
          <w:spacing w:val="-5"/>
        </w:rPr>
        <w:t> </w:t>
      </w:r>
      <w:r>
        <w:rPr/>
        <w:t>law</w:t>
      </w:r>
      <w:r>
        <w:rPr>
          <w:spacing w:val="-5"/>
        </w:rPr>
        <w:t> </w:t>
      </w:r>
      <w:r>
        <w:rPr/>
        <w:t>in</w:t>
      </w:r>
      <w:r>
        <w:rPr>
          <w:spacing w:val="-6"/>
        </w:rPr>
        <w:t> </w:t>
      </w:r>
      <w:r>
        <w:rPr/>
        <w:t>this</w:t>
      </w:r>
      <w:r>
        <w:rPr>
          <w:spacing w:val="-6"/>
        </w:rPr>
        <w:t> </w:t>
      </w:r>
      <w:r>
        <w:rPr/>
        <w:t>way;</w:t>
      </w:r>
      <w:r>
        <w:rPr>
          <w:spacing w:val="-5"/>
        </w:rPr>
        <w:t> </w:t>
      </w:r>
      <w:r>
        <w:rPr/>
        <w:t>most</w:t>
      </w:r>
      <w:r>
        <w:rPr>
          <w:spacing w:val="-5"/>
        </w:rPr>
        <w:t> </w:t>
      </w:r>
      <w:r>
        <w:rPr/>
        <w:t>notably</w:t>
      </w:r>
      <w:r>
        <w:rPr>
          <w:spacing w:val="-5"/>
        </w:rPr>
        <w:t> </w:t>
      </w:r>
      <w:r>
        <w:rPr/>
        <w:t>the</w:t>
      </w:r>
      <w:r>
        <w:rPr>
          <w:spacing w:val="-5"/>
        </w:rPr>
        <w:t> </w:t>
      </w:r>
      <w:r>
        <w:rPr/>
        <w:t>Charter</w:t>
      </w:r>
      <w:r>
        <w:rPr>
          <w:spacing w:val="-5"/>
        </w:rPr>
        <w:t> </w:t>
      </w:r>
      <w:r>
        <w:rPr/>
        <w:t>of</w:t>
      </w:r>
      <w:r>
        <w:rPr>
          <w:spacing w:val="-6"/>
        </w:rPr>
        <w:t> </w:t>
      </w:r>
      <w:r>
        <w:rPr/>
        <w:t>Fundamental</w:t>
      </w:r>
      <w:r>
        <w:rPr>
          <w:spacing w:val="-6"/>
        </w:rPr>
        <w:t> </w:t>
      </w:r>
      <w:r>
        <w:rPr/>
        <w:t>Rights was not to be continued on or after exit day.</w:t>
      </w:r>
      <w:r>
        <w:rPr>
          <w:vertAlign w:val="superscript"/>
        </w:rPr>
        <w:t>511</w:t>
      </w:r>
      <w:r>
        <w:rPr>
          <w:vertAlign w:val="baseline"/>
        </w:rPr>
        <w:t> As we will see later though the Charter is still relevant in Withdrawal Act cases and Article 2 WF cases.</w:t>
      </w:r>
    </w:p>
    <w:p>
      <w:pPr>
        <w:pStyle w:val="BodyText"/>
        <w:spacing w:line="232" w:lineRule="auto" w:before="276"/>
        <w:ind w:left="1117"/>
      </w:pPr>
      <w:r>
        <w:rPr/>
        <w:t>The</w:t>
      </w:r>
      <w:r>
        <w:rPr>
          <w:spacing w:val="-5"/>
        </w:rPr>
        <w:t> </w:t>
      </w:r>
      <w:r>
        <w:rPr/>
        <w:t>European</w:t>
      </w:r>
      <w:r>
        <w:rPr>
          <w:spacing w:val="-6"/>
        </w:rPr>
        <w:t> </w:t>
      </w:r>
      <w:r>
        <w:rPr/>
        <w:t>Union</w:t>
      </w:r>
      <w:r>
        <w:rPr>
          <w:spacing w:val="-6"/>
        </w:rPr>
        <w:t> </w:t>
      </w:r>
      <w:r>
        <w:rPr/>
        <w:t>(Withdrawal)</w:t>
      </w:r>
      <w:r>
        <w:rPr>
          <w:spacing w:val="-6"/>
        </w:rPr>
        <w:t> </w:t>
      </w:r>
      <w:r>
        <w:rPr/>
        <w:t>Act</w:t>
      </w:r>
      <w:r>
        <w:rPr>
          <w:spacing w:val="-5"/>
        </w:rPr>
        <w:t> </w:t>
      </w:r>
      <w:r>
        <w:rPr/>
        <w:t>2018,</w:t>
      </w:r>
      <w:r>
        <w:rPr>
          <w:spacing w:val="-5"/>
        </w:rPr>
        <w:t> </w:t>
      </w:r>
      <w:r>
        <w:rPr/>
        <w:t>as</w:t>
      </w:r>
      <w:r>
        <w:rPr>
          <w:spacing w:val="-6"/>
        </w:rPr>
        <w:t> </w:t>
      </w:r>
      <w:r>
        <w:rPr/>
        <w:t>amended</w:t>
      </w:r>
      <w:r>
        <w:rPr>
          <w:spacing w:val="-6"/>
        </w:rPr>
        <w:t> </w:t>
      </w:r>
      <w:r>
        <w:rPr/>
        <w:t>by</w:t>
      </w:r>
      <w:r>
        <w:rPr>
          <w:spacing w:val="-5"/>
        </w:rPr>
        <w:t> </w:t>
      </w:r>
      <w:r>
        <w:rPr/>
        <w:t>the</w:t>
      </w:r>
      <w:r>
        <w:rPr>
          <w:spacing w:val="-5"/>
        </w:rPr>
        <w:t> </w:t>
      </w:r>
      <w:r>
        <w:rPr/>
        <w:t>European</w:t>
      </w:r>
      <w:r>
        <w:rPr>
          <w:spacing w:val="-6"/>
        </w:rPr>
        <w:t> </w:t>
      </w:r>
      <w:r>
        <w:rPr/>
        <w:t>Union (Withdrawal Agreement) Act 2020, contains a provision on the interpretation</w:t>
      </w:r>
    </w:p>
    <w:p>
      <w:pPr>
        <w:pStyle w:val="BodyText"/>
        <w:spacing w:line="232" w:lineRule="auto"/>
        <w:ind w:left="1117" w:right="888"/>
      </w:pPr>
      <w:r>
        <w:rPr/>
        <w:t>of retained EU law. A domestic court or tribunal is not bound by any decision or principle decided by the CJEU after the implementation period completion date (31 December 2020), nor may they refer any matter to the CJEU. </w:t>
      </w:r>
      <w:r>
        <w:rPr>
          <w:vertAlign w:val="superscript"/>
        </w:rPr>
        <w:t>512</w:t>
      </w:r>
      <w:r>
        <w:rPr>
          <w:vertAlign w:val="baseline"/>
        </w:rPr>
        <w:t> Despite this, the domestic courts can refer to case law of the CJEU or other EU acts where relevant.</w:t>
      </w:r>
      <w:r>
        <w:rPr>
          <w:vertAlign w:val="superscript"/>
        </w:rPr>
        <w:t>513</w:t>
      </w:r>
      <w:r>
        <w:rPr>
          <w:vertAlign w:val="baseline"/>
        </w:rPr>
        <w:t> In deciding on the meaning, validity or effect of any unmodified retained EU law, the domestic courts must consider retained EU case law and any retained EU general principles and the pre-exit competences of the EU.</w:t>
      </w:r>
      <w:r>
        <w:rPr>
          <w:vertAlign w:val="superscript"/>
        </w:rPr>
        <w:t>514</w:t>
      </w:r>
      <w:r>
        <w:rPr>
          <w:vertAlign w:val="baseline"/>
        </w:rPr>
        <w:t> The Supreme</w:t>
      </w:r>
      <w:r>
        <w:rPr>
          <w:spacing w:val="-4"/>
          <w:vertAlign w:val="baseline"/>
        </w:rPr>
        <w:t> </w:t>
      </w:r>
      <w:r>
        <w:rPr>
          <w:vertAlign w:val="baseline"/>
        </w:rPr>
        <w:t>Court</w:t>
      </w:r>
      <w:r>
        <w:rPr>
          <w:spacing w:val="-4"/>
          <w:vertAlign w:val="baseline"/>
        </w:rPr>
        <w:t> </w:t>
      </w:r>
      <w:r>
        <w:rPr>
          <w:vertAlign w:val="baseline"/>
        </w:rPr>
        <w:t>is</w:t>
      </w:r>
      <w:r>
        <w:rPr>
          <w:spacing w:val="-5"/>
          <w:vertAlign w:val="baseline"/>
        </w:rPr>
        <w:t> </w:t>
      </w:r>
      <w:r>
        <w:rPr>
          <w:vertAlign w:val="baseline"/>
        </w:rPr>
        <w:t>not</w:t>
      </w:r>
      <w:r>
        <w:rPr>
          <w:spacing w:val="-4"/>
          <w:vertAlign w:val="baseline"/>
        </w:rPr>
        <w:t> </w:t>
      </w:r>
      <w:r>
        <w:rPr>
          <w:vertAlign w:val="baseline"/>
        </w:rPr>
        <w:t>bound</w:t>
      </w:r>
      <w:r>
        <w:rPr>
          <w:spacing w:val="-5"/>
          <w:vertAlign w:val="baseline"/>
        </w:rPr>
        <w:t> </w:t>
      </w:r>
      <w:r>
        <w:rPr>
          <w:vertAlign w:val="baseline"/>
        </w:rPr>
        <w:t>by</w:t>
      </w:r>
      <w:r>
        <w:rPr>
          <w:spacing w:val="-4"/>
          <w:vertAlign w:val="baseline"/>
        </w:rPr>
        <w:t> </w:t>
      </w:r>
      <w:r>
        <w:rPr>
          <w:vertAlign w:val="baseline"/>
        </w:rPr>
        <w:t>any</w:t>
      </w:r>
      <w:r>
        <w:rPr>
          <w:spacing w:val="-4"/>
          <w:vertAlign w:val="baseline"/>
        </w:rPr>
        <w:t> </w:t>
      </w:r>
      <w:r>
        <w:rPr>
          <w:vertAlign w:val="baseline"/>
        </w:rPr>
        <w:t>retained</w:t>
      </w:r>
      <w:r>
        <w:rPr>
          <w:spacing w:val="-5"/>
          <w:vertAlign w:val="baseline"/>
        </w:rPr>
        <w:t> </w:t>
      </w:r>
      <w:r>
        <w:rPr>
          <w:vertAlign w:val="baseline"/>
        </w:rPr>
        <w:t>EU</w:t>
      </w:r>
      <w:r>
        <w:rPr>
          <w:spacing w:val="-4"/>
          <w:vertAlign w:val="baseline"/>
        </w:rPr>
        <w:t> </w:t>
      </w:r>
      <w:r>
        <w:rPr>
          <w:vertAlign w:val="baseline"/>
        </w:rPr>
        <w:t>case</w:t>
      </w:r>
      <w:r>
        <w:rPr>
          <w:spacing w:val="-4"/>
          <w:vertAlign w:val="baseline"/>
        </w:rPr>
        <w:t> </w:t>
      </w:r>
      <w:r>
        <w:rPr>
          <w:vertAlign w:val="baseline"/>
        </w:rPr>
        <w:t>law</w:t>
      </w:r>
      <w:r>
        <w:rPr>
          <w:spacing w:val="-4"/>
          <w:vertAlign w:val="baseline"/>
        </w:rPr>
        <w:t> </w:t>
      </w:r>
      <w:r>
        <w:rPr>
          <w:vertAlign w:val="baseline"/>
        </w:rPr>
        <w:t>and</w:t>
      </w:r>
      <w:r>
        <w:rPr>
          <w:spacing w:val="-5"/>
          <w:vertAlign w:val="baseline"/>
        </w:rPr>
        <w:t> </w:t>
      </w:r>
      <w:r>
        <w:rPr>
          <w:vertAlign w:val="baseline"/>
        </w:rPr>
        <w:t>no</w:t>
      </w:r>
      <w:r>
        <w:rPr>
          <w:spacing w:val="-5"/>
          <w:vertAlign w:val="baseline"/>
        </w:rPr>
        <w:t> </w:t>
      </w:r>
      <w:r>
        <w:rPr>
          <w:vertAlign w:val="baseline"/>
        </w:rPr>
        <w:t>court</w:t>
      </w:r>
      <w:r>
        <w:rPr>
          <w:spacing w:val="-4"/>
          <w:vertAlign w:val="baseline"/>
        </w:rPr>
        <w:t> </w:t>
      </w:r>
      <w:r>
        <w:rPr>
          <w:vertAlign w:val="baseline"/>
        </w:rPr>
        <w:t>is</w:t>
      </w:r>
      <w:r>
        <w:rPr>
          <w:spacing w:val="-5"/>
          <w:vertAlign w:val="baseline"/>
        </w:rPr>
        <w:t> </w:t>
      </w:r>
      <w:r>
        <w:rPr>
          <w:vertAlign w:val="baseline"/>
        </w:rPr>
        <w:t>bound</w:t>
      </w:r>
      <w:r>
        <w:rPr>
          <w:spacing w:val="-5"/>
          <w:vertAlign w:val="baseline"/>
        </w:rPr>
        <w:t> </w:t>
      </w:r>
      <w:r>
        <w:rPr>
          <w:vertAlign w:val="baseline"/>
        </w:rPr>
        <w:t>by retained domestic case law that it would not otherwise be.</w:t>
      </w:r>
      <w:r>
        <w:rPr>
          <w:vertAlign w:val="superscript"/>
        </w:rPr>
        <w:t>515</w:t>
      </w:r>
    </w:p>
    <w:p>
      <w:pPr>
        <w:pStyle w:val="BodyText"/>
        <w:spacing w:line="232" w:lineRule="auto" w:before="267"/>
        <w:ind w:left="1117" w:right="768"/>
      </w:pPr>
      <w:r>
        <w:rPr/>
        <w:t>Sections 5A-5D (inserted by the 2020 Act) permitted a Minister of the Crown to make regulations as to how the domestic courts should treat retained EU case law.</w:t>
      </w:r>
      <w:r>
        <w:rPr>
          <w:vertAlign w:val="superscript"/>
        </w:rPr>
        <w:t>516</w:t>
      </w:r>
      <w:r>
        <w:rPr>
          <w:vertAlign w:val="baseline"/>
        </w:rPr>
        <w:t> The European Union (Withdrawal) Act 2018 (Relevant Court) (Retained EU Case Law) Regulations designate certain courts as relevant courts and provides</w:t>
      </w:r>
      <w:r>
        <w:rPr>
          <w:spacing w:val="40"/>
          <w:vertAlign w:val="baseline"/>
        </w:rPr>
        <w:t> </w:t>
      </w:r>
      <w:r>
        <w:rPr>
          <w:vertAlign w:val="baseline"/>
        </w:rPr>
        <w:t>that they are not bound by any retained EU case law (unless a relevant UK court has decided otherwise).</w:t>
      </w:r>
      <w:r>
        <w:rPr>
          <w:vertAlign w:val="superscript"/>
        </w:rPr>
        <w:t>517</w:t>
      </w:r>
      <w:r>
        <w:rPr>
          <w:vertAlign w:val="baseline"/>
        </w:rPr>
        <w:t> The courts so designated include the Court of Appeal of England</w:t>
      </w:r>
      <w:r>
        <w:rPr>
          <w:spacing w:val="-4"/>
          <w:vertAlign w:val="baseline"/>
        </w:rPr>
        <w:t> </w:t>
      </w:r>
      <w:r>
        <w:rPr>
          <w:vertAlign w:val="baseline"/>
        </w:rPr>
        <w:t>and</w:t>
      </w:r>
      <w:r>
        <w:rPr>
          <w:spacing w:val="-4"/>
          <w:vertAlign w:val="baseline"/>
        </w:rPr>
        <w:t> </w:t>
      </w:r>
      <w:r>
        <w:rPr>
          <w:vertAlign w:val="baseline"/>
        </w:rPr>
        <w:t>Wales,</w:t>
      </w:r>
      <w:r>
        <w:rPr>
          <w:spacing w:val="-3"/>
          <w:vertAlign w:val="baseline"/>
        </w:rPr>
        <w:t> </w:t>
      </w:r>
      <w:r>
        <w:rPr>
          <w:vertAlign w:val="baseline"/>
        </w:rPr>
        <w:t>the</w:t>
      </w:r>
      <w:r>
        <w:rPr>
          <w:spacing w:val="-3"/>
          <w:vertAlign w:val="baseline"/>
        </w:rPr>
        <w:t> </w:t>
      </w:r>
      <w:r>
        <w:rPr>
          <w:vertAlign w:val="baseline"/>
        </w:rPr>
        <w:t>Court</w:t>
      </w:r>
      <w:r>
        <w:rPr>
          <w:spacing w:val="-3"/>
          <w:vertAlign w:val="baseline"/>
        </w:rPr>
        <w:t> </w:t>
      </w:r>
      <w:r>
        <w:rPr>
          <w:vertAlign w:val="baseline"/>
        </w:rPr>
        <w:t>of</w:t>
      </w:r>
      <w:r>
        <w:rPr>
          <w:spacing w:val="-4"/>
          <w:vertAlign w:val="baseline"/>
        </w:rPr>
        <w:t> </w:t>
      </w:r>
      <w:r>
        <w:rPr>
          <w:vertAlign w:val="baseline"/>
        </w:rPr>
        <w:t>Appeal</w:t>
      </w:r>
      <w:r>
        <w:rPr>
          <w:spacing w:val="-4"/>
          <w:vertAlign w:val="baseline"/>
        </w:rPr>
        <w:t> </w:t>
      </w:r>
      <w:r>
        <w:rPr>
          <w:vertAlign w:val="baseline"/>
        </w:rPr>
        <w:t>in</w:t>
      </w:r>
      <w:r>
        <w:rPr>
          <w:spacing w:val="-4"/>
          <w:vertAlign w:val="baseline"/>
        </w:rPr>
        <w:t> </w:t>
      </w:r>
      <w:r>
        <w:rPr>
          <w:vertAlign w:val="baseline"/>
        </w:rPr>
        <w:t>Northern</w:t>
      </w:r>
      <w:r>
        <w:rPr>
          <w:spacing w:val="-4"/>
          <w:vertAlign w:val="baseline"/>
        </w:rPr>
        <w:t> </w:t>
      </w:r>
      <w:r>
        <w:rPr>
          <w:vertAlign w:val="baseline"/>
        </w:rPr>
        <w:t>Ireland</w:t>
      </w:r>
      <w:r>
        <w:rPr>
          <w:spacing w:val="-4"/>
          <w:vertAlign w:val="baseline"/>
        </w:rPr>
        <w:t> </w:t>
      </w:r>
      <w:r>
        <w:rPr>
          <w:vertAlign w:val="baseline"/>
        </w:rPr>
        <w:t>and</w:t>
      </w:r>
      <w:r>
        <w:rPr>
          <w:spacing w:val="-4"/>
          <w:vertAlign w:val="baseline"/>
        </w:rPr>
        <w:t> </w:t>
      </w:r>
      <w:r>
        <w:rPr>
          <w:vertAlign w:val="baseline"/>
        </w:rPr>
        <w:t>the</w:t>
      </w:r>
      <w:r>
        <w:rPr>
          <w:spacing w:val="-3"/>
          <w:vertAlign w:val="baseline"/>
        </w:rPr>
        <w:t> </w:t>
      </w:r>
      <w:r>
        <w:rPr>
          <w:vertAlign w:val="baseline"/>
        </w:rPr>
        <w:t>Inner</w:t>
      </w:r>
      <w:r>
        <w:rPr>
          <w:spacing w:val="-3"/>
          <w:vertAlign w:val="baseline"/>
        </w:rPr>
        <w:t> </w:t>
      </w:r>
      <w:r>
        <w:rPr>
          <w:vertAlign w:val="baseline"/>
        </w:rPr>
        <w:t>House</w:t>
      </w:r>
      <w:r>
        <w:rPr>
          <w:spacing w:val="-3"/>
          <w:vertAlign w:val="baseline"/>
        </w:rPr>
        <w:t> </w:t>
      </w:r>
      <w:r>
        <w:rPr>
          <w:vertAlign w:val="baseline"/>
        </w:rPr>
        <w:t>of the Court of Session.</w:t>
      </w:r>
    </w:p>
    <w:p>
      <w:pPr>
        <w:pStyle w:val="BodyText"/>
        <w:spacing w:line="232" w:lineRule="auto" w:before="271"/>
        <w:ind w:left="1117" w:right="738"/>
      </w:pPr>
      <w:r>
        <w:rPr/>
        <w:t>The European Union (Withdrawal) Act 2018 provides that the Charter of Fundamental Rights is not part of domestic law but retains ‘fundamental rights or principles’</w:t>
      </w:r>
      <w:r>
        <w:rPr>
          <w:spacing w:val="-13"/>
        </w:rPr>
        <w:t> </w:t>
      </w:r>
      <w:r>
        <w:rPr/>
        <w:t>which</w:t>
      </w:r>
      <w:r>
        <w:rPr>
          <w:spacing w:val="-14"/>
        </w:rPr>
        <w:t> </w:t>
      </w:r>
      <w:r>
        <w:rPr/>
        <w:t>exist</w:t>
      </w:r>
      <w:r>
        <w:rPr>
          <w:spacing w:val="-13"/>
        </w:rPr>
        <w:t> </w:t>
      </w:r>
      <w:r>
        <w:rPr/>
        <w:t>irrespective</w:t>
      </w:r>
      <w:r>
        <w:rPr>
          <w:spacing w:val="-13"/>
        </w:rPr>
        <w:t> </w:t>
      </w:r>
      <w:r>
        <w:rPr/>
        <w:t>of</w:t>
      </w:r>
      <w:r>
        <w:rPr>
          <w:spacing w:val="-14"/>
        </w:rPr>
        <w:t> </w:t>
      </w:r>
      <w:r>
        <w:rPr/>
        <w:t>the</w:t>
      </w:r>
      <w:r>
        <w:rPr>
          <w:spacing w:val="-13"/>
        </w:rPr>
        <w:t> </w:t>
      </w:r>
      <w:r>
        <w:rPr/>
        <w:t>Charter.</w:t>
      </w:r>
      <w:r>
        <w:rPr>
          <w:vertAlign w:val="superscript"/>
        </w:rPr>
        <w:t>518</w:t>
      </w:r>
      <w:r>
        <w:rPr>
          <w:spacing w:val="-14"/>
          <w:vertAlign w:val="baseline"/>
        </w:rPr>
        <w:t> </w:t>
      </w:r>
      <w:r>
        <w:rPr>
          <w:vertAlign w:val="baseline"/>
        </w:rPr>
        <w:t>This</w:t>
      </w:r>
      <w:r>
        <w:rPr>
          <w:spacing w:val="-14"/>
          <w:vertAlign w:val="baseline"/>
        </w:rPr>
        <w:t> </w:t>
      </w:r>
      <w:r>
        <w:rPr>
          <w:vertAlign w:val="baseline"/>
        </w:rPr>
        <w:t>reference</w:t>
      </w:r>
      <w:r>
        <w:rPr>
          <w:spacing w:val="-13"/>
          <w:vertAlign w:val="baseline"/>
        </w:rPr>
        <w:t> </w:t>
      </w:r>
      <w:r>
        <w:rPr>
          <w:vertAlign w:val="baseline"/>
        </w:rPr>
        <w:t>to</w:t>
      </w:r>
      <w:r>
        <w:rPr>
          <w:spacing w:val="-14"/>
          <w:vertAlign w:val="baseline"/>
        </w:rPr>
        <w:t> </w:t>
      </w:r>
      <w:r>
        <w:rPr>
          <w:vertAlign w:val="baseline"/>
        </w:rPr>
        <w:t>fundamental rights or principles is a reference to the EU general principles of law. This is significant because the general principles of law (like the Charter) are often influential in interpreting other EU laws.</w:t>
      </w:r>
    </w:p>
    <w:p>
      <w:pPr>
        <w:pStyle w:val="BodyText"/>
        <w:spacing w:line="232" w:lineRule="auto" w:before="274"/>
        <w:ind w:left="1117" w:right="888"/>
      </w:pPr>
      <w:r>
        <w:rPr/>
        <w:t>The Retained EU Law (Revocation and Reform) Act 2023 declares the general principles</w:t>
      </w:r>
      <w:r>
        <w:rPr>
          <w:spacing w:val="-8"/>
        </w:rPr>
        <w:t> </w:t>
      </w:r>
      <w:r>
        <w:rPr/>
        <w:t>of</w:t>
      </w:r>
      <w:r>
        <w:rPr>
          <w:spacing w:val="-8"/>
        </w:rPr>
        <w:t> </w:t>
      </w:r>
      <w:r>
        <w:rPr/>
        <w:t>law</w:t>
      </w:r>
      <w:r>
        <w:rPr>
          <w:spacing w:val="-7"/>
        </w:rPr>
        <w:t> </w:t>
      </w:r>
      <w:r>
        <w:rPr/>
        <w:t>to</w:t>
      </w:r>
      <w:r>
        <w:rPr>
          <w:spacing w:val="-8"/>
        </w:rPr>
        <w:t> </w:t>
      </w:r>
      <w:r>
        <w:rPr/>
        <w:t>no</w:t>
      </w:r>
      <w:r>
        <w:rPr>
          <w:spacing w:val="-8"/>
        </w:rPr>
        <w:t> </w:t>
      </w:r>
      <w:r>
        <w:rPr/>
        <w:t>longer</w:t>
      </w:r>
      <w:r>
        <w:rPr>
          <w:spacing w:val="-7"/>
        </w:rPr>
        <w:t> </w:t>
      </w:r>
      <w:r>
        <w:rPr/>
        <w:t>be</w:t>
      </w:r>
      <w:r>
        <w:rPr>
          <w:spacing w:val="-7"/>
        </w:rPr>
        <w:t> </w:t>
      </w:r>
      <w:r>
        <w:rPr/>
        <w:t>part</w:t>
      </w:r>
      <w:r>
        <w:rPr>
          <w:spacing w:val="-7"/>
        </w:rPr>
        <w:t> </w:t>
      </w:r>
      <w:r>
        <w:rPr/>
        <w:t>of</w:t>
      </w:r>
      <w:r>
        <w:rPr>
          <w:spacing w:val="-8"/>
        </w:rPr>
        <w:t> </w:t>
      </w:r>
      <w:r>
        <w:rPr/>
        <w:t>domestic</w:t>
      </w:r>
      <w:r>
        <w:rPr>
          <w:spacing w:val="-7"/>
        </w:rPr>
        <w:t> </w:t>
      </w:r>
      <w:r>
        <w:rPr/>
        <w:t>law</w:t>
      </w:r>
      <w:r>
        <w:rPr>
          <w:spacing w:val="-7"/>
        </w:rPr>
        <w:t> </w:t>
      </w:r>
      <w:r>
        <w:rPr/>
        <w:t>after</w:t>
      </w:r>
      <w:r>
        <w:rPr>
          <w:spacing w:val="-7"/>
        </w:rPr>
        <w:t> </w:t>
      </w:r>
      <w:r>
        <w:rPr/>
        <w:t>2023.</w:t>
      </w:r>
      <w:r>
        <w:rPr>
          <w:vertAlign w:val="superscript"/>
        </w:rPr>
        <w:t>519</w:t>
      </w:r>
      <w:r>
        <w:rPr>
          <w:spacing w:val="-8"/>
          <w:vertAlign w:val="baseline"/>
        </w:rPr>
        <w:t> </w:t>
      </w:r>
      <w:r>
        <w:rPr>
          <w:vertAlign w:val="baseline"/>
        </w:rPr>
        <w:t>The</w:t>
      </w:r>
      <w:r>
        <w:rPr>
          <w:spacing w:val="-7"/>
          <w:vertAlign w:val="baseline"/>
        </w:rPr>
        <w:t> </w:t>
      </w:r>
      <w:r>
        <w:rPr>
          <w:vertAlign w:val="baseline"/>
        </w:rPr>
        <w:t>Retained EU Law (Revocation and Reform) Act 2023 also eliminates the principle of EU</w:t>
      </w:r>
    </w:p>
    <w:p>
      <w:pPr>
        <w:pStyle w:val="BodyText"/>
        <w:spacing w:before="58"/>
        <w:rPr>
          <w:sz w:val="20"/>
        </w:rPr>
      </w:pPr>
      <w:r>
        <w:rPr/>
        <mc:AlternateContent>
          <mc:Choice Requires="wps">
            <w:drawing>
              <wp:anchor distT="0" distB="0" distL="0" distR="0" allowOverlap="1" layoutInCell="1" locked="0" behindDoc="1" simplePos="0" relativeHeight="487754240">
                <wp:simplePos x="0" y="0"/>
                <wp:positionH relativeFrom="page">
                  <wp:posOffset>899999</wp:posOffset>
                </wp:positionH>
                <wp:positionV relativeFrom="paragraph">
                  <wp:posOffset>207643</wp:posOffset>
                </wp:positionV>
                <wp:extent cx="6012180" cy="1270"/>
                <wp:effectExtent l="0" t="0" r="0" b="0"/>
                <wp:wrapTopAndBottom/>
                <wp:docPr id="882" name="Graphic 882"/>
                <wp:cNvGraphicFramePr>
                  <a:graphicFrameLocks/>
                </wp:cNvGraphicFramePr>
                <a:graphic>
                  <a:graphicData uri="http://schemas.microsoft.com/office/word/2010/wordprocessingShape">
                    <wps:wsp>
                      <wps:cNvPr id="882" name="Graphic 88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6.349907pt;width:473.4pt;height:.1pt;mso-position-horizontal-relative:page;mso-position-vertical-relative:paragraph;z-index:-15562240;mso-wrap-distance-left:0;mso-wrap-distance-right:0" id="docshape723" coordorigin="1417,327" coordsize="9468,0" path="m1417,327l10885,327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2"/>
          <w:sz w:val="18"/>
          <w:u w:val="single" w:color="1D71B8"/>
        </w:rPr>
        <w:t>5(4).</w:t>
      </w:r>
    </w:p>
    <w:p>
      <w:pPr>
        <w:pStyle w:val="ListParagraph"/>
        <w:numPr>
          <w:ilvl w:val="0"/>
          <w:numId w:val="18"/>
        </w:numPr>
        <w:tabs>
          <w:tab w:pos="1684" w:val="left" w:leader="none"/>
        </w:tabs>
        <w:spacing w:line="240" w:lineRule="auto" w:before="1" w:after="0"/>
        <w:ind w:left="1684"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4"/>
          <w:sz w:val="18"/>
          <w:u w:val="single" w:color="1D71B8"/>
        </w:rPr>
        <w:t>6(1)</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2"/>
          <w:sz w:val="18"/>
          <w:u w:val="single" w:color="1D71B8"/>
        </w:rPr>
        <w:t>6(2)</w:t>
      </w:r>
      <w:r>
        <w:rPr>
          <w:spacing w:val="-2"/>
          <w:sz w:val="18"/>
          <w:u w:val="none"/>
        </w:rPr>
        <w:t>.</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2"/>
          <w:sz w:val="18"/>
          <w:u w:val="single" w:color="1D71B8"/>
        </w:rPr>
        <w:t>6(3)</w:t>
      </w:r>
      <w:r>
        <w:rPr>
          <w:spacing w:val="-2"/>
          <w:sz w:val="18"/>
          <w:u w:val="none"/>
        </w:rPr>
        <w:t>.</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2"/>
          <w:sz w:val="18"/>
          <w:u w:val="single" w:color="1D71B8"/>
        </w:rPr>
        <w:t>6(4)</w:t>
      </w:r>
      <w:r>
        <w:rPr>
          <w:spacing w:val="-2"/>
          <w:sz w:val="18"/>
          <w:u w:val="none"/>
        </w:rPr>
        <w:t>.</w:t>
      </w:r>
    </w:p>
    <w:p>
      <w:pPr>
        <w:pStyle w:val="ListParagraph"/>
        <w:numPr>
          <w:ilvl w:val="0"/>
          <w:numId w:val="18"/>
        </w:numPr>
        <w:tabs>
          <w:tab w:pos="1684" w:val="left" w:leader="none"/>
        </w:tabs>
        <w:spacing w:line="240" w:lineRule="auto" w:before="1" w:after="0"/>
        <w:ind w:left="1684" w:right="0" w:hanging="567"/>
        <w:jc w:val="left"/>
        <w:rPr>
          <w:sz w:val="18"/>
        </w:rPr>
      </w:pPr>
      <w:r>
        <w:rPr>
          <w:sz w:val="18"/>
        </w:rPr>
        <w:t>Ibid.,</w:t>
      </w:r>
      <w:r>
        <w:rPr>
          <w:spacing w:val="-8"/>
          <w:sz w:val="18"/>
        </w:rPr>
        <w:t> </w:t>
      </w:r>
      <w:r>
        <w:rPr>
          <w:color w:val="1D71B8"/>
          <w:sz w:val="18"/>
          <w:u w:val="single" w:color="1D71B8"/>
        </w:rPr>
        <w:t>Section</w:t>
      </w:r>
      <w:r>
        <w:rPr>
          <w:color w:val="1D71B8"/>
          <w:spacing w:val="-8"/>
          <w:sz w:val="18"/>
          <w:u w:val="single" w:color="1D71B8"/>
        </w:rPr>
        <w:t> </w:t>
      </w:r>
      <w:r>
        <w:rPr>
          <w:color w:val="1D71B8"/>
          <w:sz w:val="18"/>
          <w:u w:val="single" w:color="1D71B8"/>
        </w:rPr>
        <w:t>6(5A-</w:t>
      </w:r>
      <w:r>
        <w:rPr>
          <w:color w:val="1D71B8"/>
          <w:spacing w:val="-4"/>
          <w:sz w:val="18"/>
          <w:u w:val="single" w:color="1D71B8"/>
        </w:rPr>
        <w:t>5D)</w:t>
      </w:r>
      <w:r>
        <w:rPr>
          <w:spacing w:val="-4"/>
          <w:sz w:val="18"/>
          <w:u w:val="none"/>
        </w:rPr>
        <w:t>.</w:t>
      </w:r>
    </w:p>
    <w:p>
      <w:pPr>
        <w:pStyle w:val="ListParagraph"/>
        <w:numPr>
          <w:ilvl w:val="0"/>
          <w:numId w:val="18"/>
        </w:numPr>
        <w:tabs>
          <w:tab w:pos="1684" w:val="left" w:leader="none"/>
        </w:tabs>
        <w:spacing w:line="240" w:lineRule="auto" w:before="0" w:after="0"/>
        <w:ind w:left="1684" w:right="0" w:hanging="567"/>
        <w:jc w:val="left"/>
        <w:rPr>
          <w:sz w:val="18"/>
        </w:rPr>
      </w:pPr>
      <w:r>
        <w:rPr>
          <w:color w:val="1D71B8"/>
          <w:sz w:val="18"/>
          <w:u w:val="single" w:color="1D71B8"/>
        </w:rPr>
        <w:t>The</w:t>
      </w:r>
      <w:r>
        <w:rPr>
          <w:color w:val="1D71B8"/>
          <w:spacing w:val="-5"/>
          <w:sz w:val="18"/>
          <w:u w:val="single" w:color="1D71B8"/>
        </w:rPr>
        <w:t> </w:t>
      </w:r>
      <w:r>
        <w:rPr>
          <w:color w:val="1D71B8"/>
          <w:sz w:val="18"/>
          <w:u w:val="single" w:color="1D71B8"/>
        </w:rPr>
        <w:t>European</w:t>
      </w:r>
      <w:r>
        <w:rPr>
          <w:color w:val="1D71B8"/>
          <w:spacing w:val="-6"/>
          <w:sz w:val="18"/>
          <w:u w:val="single" w:color="1D71B8"/>
        </w:rPr>
        <w:t> </w:t>
      </w:r>
      <w:r>
        <w:rPr>
          <w:color w:val="1D71B8"/>
          <w:sz w:val="18"/>
          <w:u w:val="single" w:color="1D71B8"/>
        </w:rPr>
        <w:t>Union</w:t>
      </w:r>
      <w:r>
        <w:rPr>
          <w:color w:val="1D71B8"/>
          <w:spacing w:val="-6"/>
          <w:sz w:val="18"/>
          <w:u w:val="single" w:color="1D71B8"/>
        </w:rPr>
        <w:t> </w:t>
      </w:r>
      <w:r>
        <w:rPr>
          <w:color w:val="1D71B8"/>
          <w:sz w:val="18"/>
          <w:u w:val="single" w:color="1D71B8"/>
        </w:rPr>
        <w:t>(Withdrawal)</w:t>
      </w:r>
      <w:r>
        <w:rPr>
          <w:color w:val="1D71B8"/>
          <w:spacing w:val="-6"/>
          <w:sz w:val="18"/>
          <w:u w:val="single" w:color="1D71B8"/>
        </w:rPr>
        <w:t> </w:t>
      </w:r>
      <w:r>
        <w:rPr>
          <w:color w:val="1D71B8"/>
          <w:sz w:val="18"/>
          <w:u w:val="single" w:color="1D71B8"/>
        </w:rPr>
        <w:t>Act</w:t>
      </w:r>
      <w:r>
        <w:rPr>
          <w:color w:val="1D71B8"/>
          <w:spacing w:val="-5"/>
          <w:sz w:val="18"/>
          <w:u w:val="single" w:color="1D71B8"/>
        </w:rPr>
        <w:t> </w:t>
      </w:r>
      <w:r>
        <w:rPr>
          <w:color w:val="1D71B8"/>
          <w:sz w:val="18"/>
          <w:u w:val="single" w:color="1D71B8"/>
        </w:rPr>
        <w:t>2018</w:t>
      </w:r>
      <w:r>
        <w:rPr>
          <w:color w:val="1D71B8"/>
          <w:spacing w:val="-4"/>
          <w:sz w:val="18"/>
          <w:u w:val="single" w:color="1D71B8"/>
        </w:rPr>
        <w:t> </w:t>
      </w:r>
      <w:r>
        <w:rPr>
          <w:color w:val="1D71B8"/>
          <w:sz w:val="18"/>
          <w:u w:val="single" w:color="1D71B8"/>
        </w:rPr>
        <w:t>(Relevant</w:t>
      </w:r>
      <w:r>
        <w:rPr>
          <w:color w:val="1D71B8"/>
          <w:spacing w:val="-5"/>
          <w:sz w:val="18"/>
          <w:u w:val="single" w:color="1D71B8"/>
        </w:rPr>
        <w:t> </w:t>
      </w:r>
      <w:r>
        <w:rPr>
          <w:color w:val="1D71B8"/>
          <w:sz w:val="18"/>
          <w:u w:val="single" w:color="1D71B8"/>
        </w:rPr>
        <w:t>Court)</w:t>
      </w:r>
      <w:r>
        <w:rPr>
          <w:color w:val="1D71B8"/>
          <w:spacing w:val="-6"/>
          <w:sz w:val="18"/>
          <w:u w:val="single" w:color="1D71B8"/>
        </w:rPr>
        <w:t> </w:t>
      </w:r>
      <w:r>
        <w:rPr>
          <w:color w:val="1D71B8"/>
          <w:sz w:val="18"/>
          <w:u w:val="single" w:color="1D71B8"/>
        </w:rPr>
        <w:t>(Retained</w:t>
      </w:r>
      <w:r>
        <w:rPr>
          <w:color w:val="1D71B8"/>
          <w:spacing w:val="-5"/>
          <w:sz w:val="18"/>
          <w:u w:val="single" w:color="1D71B8"/>
        </w:rPr>
        <w:t> </w:t>
      </w:r>
      <w:r>
        <w:rPr>
          <w:color w:val="1D71B8"/>
          <w:sz w:val="18"/>
          <w:u w:val="single" w:color="1D71B8"/>
        </w:rPr>
        <w:t>EU</w:t>
      </w:r>
      <w:r>
        <w:rPr>
          <w:color w:val="1D71B8"/>
          <w:spacing w:val="-5"/>
          <w:sz w:val="18"/>
          <w:u w:val="single" w:color="1D71B8"/>
        </w:rPr>
        <w:t> </w:t>
      </w:r>
      <w:r>
        <w:rPr>
          <w:color w:val="1D71B8"/>
          <w:sz w:val="18"/>
          <w:u w:val="single" w:color="1D71B8"/>
        </w:rPr>
        <w:t>Case</w:t>
      </w:r>
      <w:r>
        <w:rPr>
          <w:color w:val="1D71B8"/>
          <w:spacing w:val="-5"/>
          <w:sz w:val="18"/>
          <w:u w:val="single" w:color="1D71B8"/>
        </w:rPr>
        <w:t> </w:t>
      </w:r>
      <w:r>
        <w:rPr>
          <w:color w:val="1D71B8"/>
          <w:sz w:val="18"/>
          <w:u w:val="single" w:color="1D71B8"/>
        </w:rPr>
        <w:t>Law)</w:t>
      </w:r>
      <w:r>
        <w:rPr>
          <w:color w:val="1D71B8"/>
          <w:spacing w:val="-6"/>
          <w:sz w:val="18"/>
          <w:u w:val="single" w:color="1D71B8"/>
        </w:rPr>
        <w:t> </w:t>
      </w:r>
      <w:r>
        <w:rPr>
          <w:color w:val="1D71B8"/>
          <w:sz w:val="18"/>
          <w:u w:val="single" w:color="1D71B8"/>
        </w:rPr>
        <w:t>Regulations</w:t>
      </w:r>
      <w:r>
        <w:rPr>
          <w:sz w:val="18"/>
          <w:u w:val="none"/>
        </w:rPr>
        <w:t>,</w:t>
      </w:r>
      <w:r>
        <w:rPr>
          <w:spacing w:val="-4"/>
          <w:sz w:val="18"/>
          <w:u w:val="none"/>
        </w:rPr>
        <w:t> </w:t>
      </w:r>
      <w:r>
        <w:rPr>
          <w:sz w:val="18"/>
          <w:u w:val="none"/>
        </w:rPr>
        <w:t>2020</w:t>
      </w:r>
      <w:r>
        <w:rPr>
          <w:spacing w:val="-5"/>
          <w:sz w:val="18"/>
          <w:u w:val="none"/>
        </w:rPr>
        <w:t> </w:t>
      </w:r>
      <w:r>
        <w:rPr>
          <w:sz w:val="18"/>
          <w:u w:val="none"/>
        </w:rPr>
        <w:t>No.</w:t>
      </w:r>
      <w:r>
        <w:rPr>
          <w:spacing w:val="-6"/>
          <w:sz w:val="18"/>
          <w:u w:val="none"/>
        </w:rPr>
        <w:t> </w:t>
      </w:r>
      <w:r>
        <w:rPr>
          <w:spacing w:val="-2"/>
          <w:sz w:val="18"/>
          <w:u w:val="none"/>
        </w:rPr>
        <w:t>1525.</w:t>
      </w:r>
    </w:p>
    <w:p>
      <w:pPr>
        <w:pStyle w:val="ListParagraph"/>
        <w:numPr>
          <w:ilvl w:val="0"/>
          <w:numId w:val="18"/>
        </w:numPr>
        <w:tabs>
          <w:tab w:pos="1684" w:val="left" w:leader="none"/>
        </w:tabs>
        <w:spacing w:line="240" w:lineRule="auto" w:before="0" w:after="0"/>
        <w:ind w:left="1684" w:right="0" w:hanging="567"/>
        <w:jc w:val="left"/>
        <w:rPr>
          <w:sz w:val="18"/>
        </w:rPr>
      </w:pPr>
      <w:r>
        <w:rPr>
          <w:sz w:val="18"/>
        </w:rPr>
        <w:t>European</w:t>
      </w:r>
      <w:r>
        <w:rPr>
          <w:spacing w:val="-8"/>
          <w:sz w:val="18"/>
        </w:rPr>
        <w:t> </w:t>
      </w:r>
      <w:r>
        <w:rPr>
          <w:sz w:val="18"/>
        </w:rPr>
        <w:t>Union</w:t>
      </w:r>
      <w:r>
        <w:rPr>
          <w:spacing w:val="-7"/>
          <w:sz w:val="18"/>
        </w:rPr>
        <w:t> </w:t>
      </w:r>
      <w:r>
        <w:rPr>
          <w:sz w:val="18"/>
        </w:rPr>
        <w:t>(Withdrawal</w:t>
      </w:r>
      <w:r>
        <w:rPr>
          <w:spacing w:val="-8"/>
          <w:sz w:val="18"/>
        </w:rPr>
        <w:t> </w:t>
      </w:r>
      <w:r>
        <w:rPr>
          <w:sz w:val="18"/>
        </w:rPr>
        <w:t>Act)</w:t>
      </w:r>
      <w:r>
        <w:rPr>
          <w:spacing w:val="-7"/>
          <w:sz w:val="18"/>
        </w:rPr>
        <w:t> </w:t>
      </w:r>
      <w:r>
        <w:rPr>
          <w:sz w:val="18"/>
        </w:rPr>
        <w:t>2018,</w:t>
      </w:r>
      <w:r>
        <w:rPr>
          <w:spacing w:val="-8"/>
          <w:sz w:val="18"/>
        </w:rPr>
        <w:t> </w:t>
      </w:r>
      <w:r>
        <w:rPr>
          <w:color w:val="1D71B8"/>
          <w:sz w:val="18"/>
          <w:u w:val="single" w:color="1D71B8"/>
        </w:rPr>
        <w:t>Section</w:t>
      </w:r>
      <w:r>
        <w:rPr>
          <w:color w:val="1D71B8"/>
          <w:spacing w:val="-7"/>
          <w:sz w:val="18"/>
          <w:u w:val="single" w:color="1D71B8"/>
        </w:rPr>
        <w:t> </w:t>
      </w:r>
      <w:r>
        <w:rPr>
          <w:color w:val="1D71B8"/>
          <w:sz w:val="18"/>
          <w:u w:val="single" w:color="1D71B8"/>
        </w:rPr>
        <w:t>5(4)-</w:t>
      </w:r>
      <w:r>
        <w:rPr>
          <w:color w:val="1D71B8"/>
          <w:spacing w:val="-2"/>
          <w:sz w:val="18"/>
          <w:u w:val="single" w:color="1D71B8"/>
        </w:rPr>
        <w:t>5(5)</w:t>
      </w:r>
      <w:r>
        <w:rPr>
          <w:spacing w:val="-2"/>
          <w:sz w:val="18"/>
          <w:u w:val="none"/>
        </w:rPr>
        <w:t>.</w:t>
      </w:r>
    </w:p>
    <w:p>
      <w:pPr>
        <w:pStyle w:val="ListParagraph"/>
        <w:numPr>
          <w:ilvl w:val="0"/>
          <w:numId w:val="18"/>
        </w:numPr>
        <w:tabs>
          <w:tab w:pos="1684" w:val="left" w:leader="none"/>
        </w:tabs>
        <w:spacing w:line="240" w:lineRule="auto" w:before="1" w:after="0"/>
        <w:ind w:left="1684" w:right="0" w:hanging="567"/>
        <w:jc w:val="left"/>
        <w:rPr>
          <w:sz w:val="18"/>
        </w:rPr>
      </w:pPr>
      <w:r>
        <w:rPr>
          <w:sz w:val="18"/>
        </w:rPr>
        <w:t>Retained</w:t>
      </w:r>
      <w:r>
        <w:rPr>
          <w:spacing w:val="-7"/>
          <w:sz w:val="18"/>
        </w:rPr>
        <w:t> </w:t>
      </w:r>
      <w:r>
        <w:rPr>
          <w:sz w:val="18"/>
        </w:rPr>
        <w:t>EU</w:t>
      </w:r>
      <w:r>
        <w:rPr>
          <w:spacing w:val="-7"/>
          <w:sz w:val="18"/>
        </w:rPr>
        <w:t> </w:t>
      </w:r>
      <w:r>
        <w:rPr>
          <w:sz w:val="18"/>
        </w:rPr>
        <w:t>Law</w:t>
      </w:r>
      <w:r>
        <w:rPr>
          <w:spacing w:val="-6"/>
          <w:sz w:val="18"/>
        </w:rPr>
        <w:t> </w:t>
      </w:r>
      <w:r>
        <w:rPr>
          <w:sz w:val="18"/>
        </w:rPr>
        <w:t>(Revocation</w:t>
      </w:r>
      <w:r>
        <w:rPr>
          <w:spacing w:val="-7"/>
          <w:sz w:val="18"/>
        </w:rPr>
        <w:t> </w:t>
      </w:r>
      <w:r>
        <w:rPr>
          <w:sz w:val="18"/>
        </w:rPr>
        <w:t>and</w:t>
      </w:r>
      <w:r>
        <w:rPr>
          <w:spacing w:val="-7"/>
          <w:sz w:val="18"/>
        </w:rPr>
        <w:t> </w:t>
      </w:r>
      <w:r>
        <w:rPr>
          <w:sz w:val="18"/>
        </w:rPr>
        <w:t>Reform)</w:t>
      </w:r>
      <w:r>
        <w:rPr>
          <w:spacing w:val="-7"/>
          <w:sz w:val="18"/>
        </w:rPr>
        <w:t> </w:t>
      </w:r>
      <w:r>
        <w:rPr>
          <w:sz w:val="18"/>
        </w:rPr>
        <w:t>Act</w:t>
      </w:r>
      <w:r>
        <w:rPr>
          <w:spacing w:val="-6"/>
          <w:sz w:val="18"/>
        </w:rPr>
        <w:t> </w:t>
      </w:r>
      <w:r>
        <w:rPr>
          <w:sz w:val="18"/>
        </w:rPr>
        <w:t>2023,</w:t>
      </w:r>
      <w:r>
        <w:rPr>
          <w:spacing w:val="-7"/>
          <w:sz w:val="18"/>
        </w:rPr>
        <w:t> </w:t>
      </w:r>
      <w:r>
        <w:rPr>
          <w:color w:val="1D71B8"/>
          <w:sz w:val="18"/>
          <w:u w:val="single" w:color="1D71B8"/>
        </w:rPr>
        <w:t>Section</w:t>
      </w:r>
      <w:r>
        <w:rPr>
          <w:color w:val="1D71B8"/>
          <w:spacing w:val="-7"/>
          <w:sz w:val="18"/>
          <w:u w:val="single" w:color="1D71B8"/>
        </w:rPr>
        <w:t> </w:t>
      </w:r>
      <w:r>
        <w:rPr>
          <w:color w:val="1D71B8"/>
          <w:spacing w:val="-5"/>
          <w:sz w:val="18"/>
          <w:u w:val="single" w:color="1D71B8"/>
        </w:rPr>
        <w:t>4</w:t>
      </w:r>
      <w:r>
        <w:rPr>
          <w:spacing w:val="-5"/>
          <w:sz w:val="18"/>
          <w:u w:val="none"/>
        </w:rPr>
        <w:t>.</w:t>
      </w:r>
    </w:p>
    <w:p>
      <w:pPr>
        <w:spacing w:after="0" w:line="240" w:lineRule="auto"/>
        <w:jc w:val="left"/>
        <w:rPr>
          <w:sz w:val="18"/>
        </w:rPr>
        <w:sectPr>
          <w:type w:val="continuous"/>
          <w:pgSz w:w="11910" w:h="16840"/>
          <w:pgMar w:top="1000" w:bottom="280" w:left="300" w:right="280"/>
        </w:sectPr>
      </w:pPr>
    </w:p>
    <w:p>
      <w:pPr>
        <w:pStyle w:val="BodyText"/>
      </w:pPr>
      <w:r>
        <w:rPr/>
        <mc:AlternateContent>
          <mc:Choice Requires="wps">
            <w:drawing>
              <wp:anchor distT="0" distB="0" distL="0" distR="0" allowOverlap="1" layoutInCell="1" locked="0" behindDoc="0" simplePos="0" relativeHeight="15896576">
                <wp:simplePos x="0" y="0"/>
                <wp:positionH relativeFrom="page">
                  <wp:posOffset>0</wp:posOffset>
                </wp:positionH>
                <wp:positionV relativeFrom="page">
                  <wp:posOffset>0</wp:posOffset>
                </wp:positionV>
                <wp:extent cx="7560309" cy="1257935"/>
                <wp:effectExtent l="0" t="0" r="0" b="0"/>
                <wp:wrapNone/>
                <wp:docPr id="883" name="Group 883"/>
                <wp:cNvGraphicFramePr>
                  <a:graphicFrameLocks/>
                </wp:cNvGraphicFramePr>
                <a:graphic>
                  <a:graphicData uri="http://schemas.microsoft.com/office/word/2010/wordprocessingGroup">
                    <wpg:wgp>
                      <wpg:cNvPr id="883" name="Group 883"/>
                      <wpg:cNvGrpSpPr/>
                      <wpg:grpSpPr>
                        <a:xfrm>
                          <a:off x="0" y="0"/>
                          <a:ext cx="7560309" cy="1257935"/>
                          <a:chExt cx="7560309" cy="1257935"/>
                        </a:xfrm>
                      </wpg:grpSpPr>
                      <wps:wsp>
                        <wps:cNvPr id="884" name="Graphic 884"/>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885" name="Graphic 885"/>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886" name="Textbox 886"/>
                        <wps:cNvSpPr txBox="1"/>
                        <wps:spPr>
                          <a:xfrm>
                            <a:off x="260826"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104</w:t>
                              </w:r>
                            </w:p>
                          </w:txbxContent>
                        </wps:txbx>
                        <wps:bodyPr wrap="square" lIns="0" tIns="0" rIns="0" bIns="0" rtlCol="0">
                          <a:noAutofit/>
                        </wps:bodyPr>
                      </wps:wsp>
                      <wps:wsp>
                        <wps:cNvPr id="887" name="Textbox 887"/>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888" name="Textbox 888"/>
                        <wps:cNvSpPr txBox="1"/>
                        <wps:spPr>
                          <a:xfrm>
                            <a:off x="647999" y="1076402"/>
                            <a:ext cx="5788660" cy="181610"/>
                          </a:xfrm>
                          <a:prstGeom prst="rect">
                            <a:avLst/>
                          </a:prstGeom>
                        </wps:spPr>
                        <wps:txbx>
                          <w:txbxContent>
                            <w:p>
                              <w:pPr>
                                <w:spacing w:line="286" w:lineRule="exact" w:before="0"/>
                                <w:ind w:left="0" w:right="0" w:firstLine="0"/>
                                <w:jc w:val="left"/>
                                <w:rPr>
                                  <w:sz w:val="28"/>
                                </w:rPr>
                              </w:pPr>
                              <w:r>
                                <w:rPr>
                                  <w:sz w:val="28"/>
                                </w:rPr>
                                <w:t>law</w:t>
                              </w:r>
                              <w:r>
                                <w:rPr>
                                  <w:spacing w:val="-6"/>
                                  <w:sz w:val="28"/>
                                </w:rPr>
                                <w:t> </w:t>
                              </w:r>
                              <w:r>
                                <w:rPr>
                                  <w:sz w:val="28"/>
                                </w:rPr>
                                <w:t>supremacy</w:t>
                              </w:r>
                              <w:r>
                                <w:rPr>
                                  <w:spacing w:val="-6"/>
                                  <w:sz w:val="28"/>
                                </w:rPr>
                                <w:t> </w:t>
                              </w:r>
                              <w:r>
                                <w:rPr>
                                  <w:sz w:val="28"/>
                                </w:rPr>
                                <w:t>from</w:t>
                              </w:r>
                              <w:r>
                                <w:rPr>
                                  <w:spacing w:val="-6"/>
                                  <w:sz w:val="28"/>
                                </w:rPr>
                                <w:t> </w:t>
                              </w:r>
                              <w:r>
                                <w:rPr>
                                  <w:sz w:val="28"/>
                                </w:rPr>
                                <w:t>domestic</w:t>
                              </w:r>
                              <w:r>
                                <w:rPr>
                                  <w:spacing w:val="-6"/>
                                  <w:sz w:val="28"/>
                                </w:rPr>
                                <w:t> </w:t>
                              </w:r>
                              <w:r>
                                <w:rPr>
                                  <w:sz w:val="28"/>
                                </w:rPr>
                                <w:t>law.</w:t>
                              </w:r>
                              <w:r>
                                <w:rPr>
                                  <w:sz w:val="28"/>
                                  <w:vertAlign w:val="superscript"/>
                                </w:rPr>
                                <w:t>520</w:t>
                              </w:r>
                              <w:r>
                                <w:rPr>
                                  <w:spacing w:val="-7"/>
                                  <w:sz w:val="28"/>
                                  <w:vertAlign w:val="baseline"/>
                                </w:rPr>
                                <w:t> </w:t>
                              </w:r>
                              <w:r>
                                <w:rPr>
                                  <w:sz w:val="28"/>
                                  <w:vertAlign w:val="baseline"/>
                                </w:rPr>
                                <w:t>The</w:t>
                              </w:r>
                              <w:r>
                                <w:rPr>
                                  <w:spacing w:val="-6"/>
                                  <w:sz w:val="28"/>
                                  <w:vertAlign w:val="baseline"/>
                                </w:rPr>
                                <w:t> </w:t>
                              </w:r>
                              <w:r>
                                <w:rPr>
                                  <w:sz w:val="28"/>
                                  <w:vertAlign w:val="baseline"/>
                                </w:rPr>
                                <w:t>2023</w:t>
                              </w:r>
                              <w:r>
                                <w:rPr>
                                  <w:spacing w:val="-6"/>
                                  <w:sz w:val="28"/>
                                  <w:vertAlign w:val="baseline"/>
                                </w:rPr>
                                <w:t> </w:t>
                              </w:r>
                              <w:r>
                                <w:rPr>
                                  <w:sz w:val="28"/>
                                  <w:vertAlign w:val="baseline"/>
                                </w:rPr>
                                <w:t>Act</w:t>
                              </w:r>
                              <w:r>
                                <w:rPr>
                                  <w:spacing w:val="-6"/>
                                  <w:sz w:val="28"/>
                                  <w:vertAlign w:val="baseline"/>
                                </w:rPr>
                                <w:t> </w:t>
                              </w:r>
                              <w:r>
                                <w:rPr>
                                  <w:sz w:val="28"/>
                                  <w:vertAlign w:val="baseline"/>
                                </w:rPr>
                                <w:t>gives</w:t>
                              </w:r>
                              <w:r>
                                <w:rPr>
                                  <w:spacing w:val="-7"/>
                                  <w:sz w:val="28"/>
                                  <w:vertAlign w:val="baseline"/>
                                </w:rPr>
                                <w:t> </w:t>
                              </w:r>
                              <w:r>
                                <w:rPr>
                                  <w:sz w:val="28"/>
                                  <w:vertAlign w:val="baseline"/>
                                </w:rPr>
                                <w:t>guidance</w:t>
                              </w:r>
                              <w:r>
                                <w:rPr>
                                  <w:spacing w:val="-5"/>
                                  <w:sz w:val="28"/>
                                  <w:vertAlign w:val="baseline"/>
                                </w:rPr>
                                <w:t> </w:t>
                              </w:r>
                              <w:r>
                                <w:rPr>
                                  <w:sz w:val="28"/>
                                  <w:vertAlign w:val="baseline"/>
                                </w:rPr>
                                <w:t>on</w:t>
                              </w:r>
                              <w:r>
                                <w:rPr>
                                  <w:spacing w:val="-7"/>
                                  <w:sz w:val="28"/>
                                  <w:vertAlign w:val="baseline"/>
                                </w:rPr>
                                <w:t> </w:t>
                              </w:r>
                              <w:r>
                                <w:rPr>
                                  <w:sz w:val="28"/>
                                  <w:vertAlign w:val="baseline"/>
                                </w:rPr>
                                <w:t>the</w:t>
                              </w:r>
                              <w:r>
                                <w:rPr>
                                  <w:spacing w:val="-6"/>
                                  <w:sz w:val="28"/>
                                  <w:vertAlign w:val="baseline"/>
                                </w:rPr>
                                <w:t> </w:t>
                              </w:r>
                              <w:r>
                                <w:rPr>
                                  <w:spacing w:val="-2"/>
                                  <w:sz w:val="28"/>
                                  <w:vertAlign w:val="baseline"/>
                                </w:rPr>
                                <w:t>factors</w:t>
                              </w:r>
                            </w:p>
                          </w:txbxContent>
                        </wps:txbx>
                        <wps:bodyPr wrap="square" lIns="0" tIns="0" rIns="0" bIns="0" rtlCol="0">
                          <a:noAutofit/>
                        </wps:bodyPr>
                      </wps:wsp>
                    </wpg:wgp>
                  </a:graphicData>
                </a:graphic>
              </wp:anchor>
            </w:drawing>
          </mc:Choice>
          <mc:Fallback>
            <w:pict>
              <v:group style="position:absolute;margin-left:.0pt;margin-top:-.00002pt;width:595.3pt;height:99.05pt;mso-position-horizontal-relative:page;mso-position-vertical-relative:page;z-index:15896576" id="docshapegroup724" coordorigin="0,0" coordsize="11906,1981">
                <v:shape style="position:absolute;left:0;top:0;width:11906;height:1819" id="docshape725"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10;top:636;width:446;height:280" type="#_x0000_t202" id="docshape726" filled="false" stroked="false">
                  <v:textbox inset="0,0,0,0">
                    <w:txbxContent>
                      <w:p>
                        <w:pPr>
                          <w:spacing w:line="280" w:lineRule="exact" w:before="0"/>
                          <w:ind w:left="0" w:right="0" w:firstLine="0"/>
                          <w:jc w:val="left"/>
                          <w:rPr>
                            <w:b/>
                            <w:sz w:val="28"/>
                          </w:rPr>
                        </w:pPr>
                        <w:r>
                          <w:rPr>
                            <w:b/>
                            <w:color w:val="FFFFFF"/>
                            <w:spacing w:val="-5"/>
                            <w:sz w:val="28"/>
                          </w:rPr>
                          <w:t>104</w:t>
                        </w:r>
                      </w:p>
                    </w:txbxContent>
                  </v:textbox>
                  <w10:wrap type="none"/>
                </v:shape>
                <v:shape style="position:absolute;left:1303;top:645;width:6182;height:240" type="#_x0000_t202" id="docshape727"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695;width:9116;height:286" type="#_x0000_t202" id="docshape728" filled="false" stroked="false">
                  <v:textbox inset="0,0,0,0">
                    <w:txbxContent>
                      <w:p>
                        <w:pPr>
                          <w:spacing w:line="286" w:lineRule="exact" w:before="0"/>
                          <w:ind w:left="0" w:right="0" w:firstLine="0"/>
                          <w:jc w:val="left"/>
                          <w:rPr>
                            <w:sz w:val="28"/>
                          </w:rPr>
                        </w:pPr>
                        <w:r>
                          <w:rPr>
                            <w:sz w:val="28"/>
                          </w:rPr>
                          <w:t>law</w:t>
                        </w:r>
                        <w:r>
                          <w:rPr>
                            <w:spacing w:val="-6"/>
                            <w:sz w:val="28"/>
                          </w:rPr>
                          <w:t> </w:t>
                        </w:r>
                        <w:r>
                          <w:rPr>
                            <w:sz w:val="28"/>
                          </w:rPr>
                          <w:t>supremacy</w:t>
                        </w:r>
                        <w:r>
                          <w:rPr>
                            <w:spacing w:val="-6"/>
                            <w:sz w:val="28"/>
                          </w:rPr>
                          <w:t> </w:t>
                        </w:r>
                        <w:r>
                          <w:rPr>
                            <w:sz w:val="28"/>
                          </w:rPr>
                          <w:t>from</w:t>
                        </w:r>
                        <w:r>
                          <w:rPr>
                            <w:spacing w:val="-6"/>
                            <w:sz w:val="28"/>
                          </w:rPr>
                          <w:t> </w:t>
                        </w:r>
                        <w:r>
                          <w:rPr>
                            <w:sz w:val="28"/>
                          </w:rPr>
                          <w:t>domestic</w:t>
                        </w:r>
                        <w:r>
                          <w:rPr>
                            <w:spacing w:val="-6"/>
                            <w:sz w:val="28"/>
                          </w:rPr>
                          <w:t> </w:t>
                        </w:r>
                        <w:r>
                          <w:rPr>
                            <w:sz w:val="28"/>
                          </w:rPr>
                          <w:t>law.</w:t>
                        </w:r>
                        <w:r>
                          <w:rPr>
                            <w:sz w:val="28"/>
                            <w:vertAlign w:val="superscript"/>
                          </w:rPr>
                          <w:t>520</w:t>
                        </w:r>
                        <w:r>
                          <w:rPr>
                            <w:spacing w:val="-7"/>
                            <w:sz w:val="28"/>
                            <w:vertAlign w:val="baseline"/>
                          </w:rPr>
                          <w:t> </w:t>
                        </w:r>
                        <w:r>
                          <w:rPr>
                            <w:sz w:val="28"/>
                            <w:vertAlign w:val="baseline"/>
                          </w:rPr>
                          <w:t>The</w:t>
                        </w:r>
                        <w:r>
                          <w:rPr>
                            <w:spacing w:val="-6"/>
                            <w:sz w:val="28"/>
                            <w:vertAlign w:val="baseline"/>
                          </w:rPr>
                          <w:t> </w:t>
                        </w:r>
                        <w:r>
                          <w:rPr>
                            <w:sz w:val="28"/>
                            <w:vertAlign w:val="baseline"/>
                          </w:rPr>
                          <w:t>2023</w:t>
                        </w:r>
                        <w:r>
                          <w:rPr>
                            <w:spacing w:val="-6"/>
                            <w:sz w:val="28"/>
                            <w:vertAlign w:val="baseline"/>
                          </w:rPr>
                          <w:t> </w:t>
                        </w:r>
                        <w:r>
                          <w:rPr>
                            <w:sz w:val="28"/>
                            <w:vertAlign w:val="baseline"/>
                          </w:rPr>
                          <w:t>Act</w:t>
                        </w:r>
                        <w:r>
                          <w:rPr>
                            <w:spacing w:val="-6"/>
                            <w:sz w:val="28"/>
                            <w:vertAlign w:val="baseline"/>
                          </w:rPr>
                          <w:t> </w:t>
                        </w:r>
                        <w:r>
                          <w:rPr>
                            <w:sz w:val="28"/>
                            <w:vertAlign w:val="baseline"/>
                          </w:rPr>
                          <w:t>gives</w:t>
                        </w:r>
                        <w:r>
                          <w:rPr>
                            <w:spacing w:val="-7"/>
                            <w:sz w:val="28"/>
                            <w:vertAlign w:val="baseline"/>
                          </w:rPr>
                          <w:t> </w:t>
                        </w:r>
                        <w:r>
                          <w:rPr>
                            <w:sz w:val="28"/>
                            <w:vertAlign w:val="baseline"/>
                          </w:rPr>
                          <w:t>guidance</w:t>
                        </w:r>
                        <w:r>
                          <w:rPr>
                            <w:spacing w:val="-5"/>
                            <w:sz w:val="28"/>
                            <w:vertAlign w:val="baseline"/>
                          </w:rPr>
                          <w:t> </w:t>
                        </w:r>
                        <w:r>
                          <w:rPr>
                            <w:sz w:val="28"/>
                            <w:vertAlign w:val="baseline"/>
                          </w:rPr>
                          <w:t>on</w:t>
                        </w:r>
                        <w:r>
                          <w:rPr>
                            <w:spacing w:val="-7"/>
                            <w:sz w:val="28"/>
                            <w:vertAlign w:val="baseline"/>
                          </w:rPr>
                          <w:t> </w:t>
                        </w:r>
                        <w:r>
                          <w:rPr>
                            <w:sz w:val="28"/>
                            <w:vertAlign w:val="baseline"/>
                          </w:rPr>
                          <w:t>the</w:t>
                        </w:r>
                        <w:r>
                          <w:rPr>
                            <w:spacing w:val="-6"/>
                            <w:sz w:val="28"/>
                            <w:vertAlign w:val="baseline"/>
                          </w:rPr>
                          <w:t> </w:t>
                        </w:r>
                        <w:r>
                          <w:rPr>
                            <w:spacing w:val="-2"/>
                            <w:sz w:val="28"/>
                            <w:vertAlign w:val="baseline"/>
                          </w:rPr>
                          <w:t>factors</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720" w:right="1313"/>
      </w:pPr>
      <w:bookmarkStart w:name="5.2.1 UK Case Law on EU law" w:id="165"/>
      <w:bookmarkEnd w:id="165"/>
      <w:r>
        <w:rPr/>
      </w:r>
      <w:bookmarkStart w:name="_bookmark69" w:id="166"/>
      <w:bookmarkEnd w:id="166"/>
      <w:r>
        <w:rPr/>
      </w:r>
      <w:r>
        <w:rPr/>
        <w:t>(among others) courts must consider when deciding whether to depart from retained</w:t>
      </w:r>
      <w:r>
        <w:rPr>
          <w:spacing w:val="-6"/>
        </w:rPr>
        <w:t> </w:t>
      </w:r>
      <w:r>
        <w:rPr/>
        <w:t>EU</w:t>
      </w:r>
      <w:r>
        <w:rPr>
          <w:spacing w:val="-5"/>
        </w:rPr>
        <w:t> </w:t>
      </w:r>
      <w:r>
        <w:rPr/>
        <w:t>case</w:t>
      </w:r>
      <w:r>
        <w:rPr>
          <w:spacing w:val="-5"/>
        </w:rPr>
        <w:t> </w:t>
      </w:r>
      <w:r>
        <w:rPr/>
        <w:t>law:</w:t>
      </w:r>
      <w:r>
        <w:rPr>
          <w:spacing w:val="-5"/>
        </w:rPr>
        <w:t> </w:t>
      </w:r>
      <w:r>
        <w:rPr/>
        <w:t>that</w:t>
      </w:r>
      <w:r>
        <w:rPr>
          <w:spacing w:val="-5"/>
        </w:rPr>
        <w:t> </w:t>
      </w:r>
      <w:r>
        <w:rPr/>
        <w:t>decisions</w:t>
      </w:r>
      <w:r>
        <w:rPr>
          <w:spacing w:val="-6"/>
        </w:rPr>
        <w:t> </w:t>
      </w:r>
      <w:r>
        <w:rPr/>
        <w:t>of</w:t>
      </w:r>
      <w:r>
        <w:rPr>
          <w:spacing w:val="-6"/>
        </w:rPr>
        <w:t> </w:t>
      </w:r>
      <w:r>
        <w:rPr/>
        <w:t>a</w:t>
      </w:r>
      <w:r>
        <w:rPr>
          <w:spacing w:val="-6"/>
        </w:rPr>
        <w:t> </w:t>
      </w:r>
      <w:r>
        <w:rPr/>
        <w:t>foreign</w:t>
      </w:r>
      <w:r>
        <w:rPr>
          <w:spacing w:val="-6"/>
        </w:rPr>
        <w:t> </w:t>
      </w:r>
      <w:r>
        <w:rPr/>
        <w:t>court</w:t>
      </w:r>
      <w:r>
        <w:rPr>
          <w:spacing w:val="-5"/>
        </w:rPr>
        <w:t> </w:t>
      </w:r>
      <w:r>
        <w:rPr/>
        <w:t>are</w:t>
      </w:r>
      <w:r>
        <w:rPr>
          <w:spacing w:val="-5"/>
        </w:rPr>
        <w:t> </w:t>
      </w:r>
      <w:r>
        <w:rPr/>
        <w:t>not</w:t>
      </w:r>
      <w:r>
        <w:rPr>
          <w:spacing w:val="-5"/>
        </w:rPr>
        <w:t> </w:t>
      </w:r>
      <w:r>
        <w:rPr/>
        <w:t>binding,</w:t>
      </w:r>
      <w:r>
        <w:rPr>
          <w:spacing w:val="-5"/>
        </w:rPr>
        <w:t> </w:t>
      </w:r>
      <w:r>
        <w:rPr/>
        <w:t>any</w:t>
      </w:r>
      <w:r>
        <w:rPr>
          <w:spacing w:val="-5"/>
        </w:rPr>
        <w:t> </w:t>
      </w:r>
      <w:r>
        <w:rPr/>
        <w:t>change of circumstances and ‘the extent to which the retained EU case law restricts the proper development of domestic law’; this section has not been commenced as</w:t>
      </w:r>
      <w:r>
        <w:rPr>
          <w:spacing w:val="40"/>
        </w:rPr>
        <w:t> </w:t>
      </w:r>
      <w:r>
        <w:rPr/>
        <w:t>of 3 July 2024.</w:t>
      </w:r>
      <w:r>
        <w:rPr>
          <w:vertAlign w:val="superscript"/>
        </w:rPr>
        <w:t>521</w:t>
      </w:r>
      <w:r>
        <w:rPr>
          <w:vertAlign w:val="baseline"/>
        </w:rPr>
        <w:t> The 2023 Act restyles ‘retained EU law’ (and similar terms) as ‘assimilated law’ after the end of 2023.</w:t>
      </w:r>
      <w:r>
        <w:rPr>
          <w:vertAlign w:val="superscript"/>
        </w:rPr>
        <w:t>522</w:t>
      </w:r>
    </w:p>
    <w:p>
      <w:pPr>
        <w:pStyle w:val="BodyText"/>
        <w:spacing w:before="48"/>
      </w:pPr>
    </w:p>
    <w:p>
      <w:pPr>
        <w:pStyle w:val="Heading3"/>
        <w:numPr>
          <w:ilvl w:val="2"/>
          <w:numId w:val="45"/>
        </w:numPr>
        <w:tabs>
          <w:tab w:pos="1358" w:val="left" w:leader="none"/>
        </w:tabs>
        <w:spacing w:line="336" w:lineRule="exact" w:before="0" w:after="0"/>
        <w:ind w:left="1358" w:right="0" w:hanging="638"/>
        <w:jc w:val="left"/>
      </w:pPr>
      <w:r>
        <w:rPr>
          <w:color w:val="004A93"/>
        </w:rPr>
        <w:t>UK</w:t>
      </w:r>
      <w:r>
        <w:rPr>
          <w:color w:val="004A93"/>
          <w:spacing w:val="-2"/>
        </w:rPr>
        <w:t> </w:t>
      </w:r>
      <w:r>
        <w:rPr>
          <w:color w:val="004A93"/>
        </w:rPr>
        <w:t>Case</w:t>
      </w:r>
      <w:r>
        <w:rPr>
          <w:color w:val="004A93"/>
          <w:spacing w:val="-2"/>
        </w:rPr>
        <w:t> </w:t>
      </w:r>
      <w:r>
        <w:rPr>
          <w:color w:val="004A93"/>
        </w:rPr>
        <w:t>Law</w:t>
      </w:r>
      <w:r>
        <w:rPr>
          <w:color w:val="004A93"/>
          <w:spacing w:val="-2"/>
        </w:rPr>
        <w:t> </w:t>
      </w:r>
      <w:r>
        <w:rPr>
          <w:color w:val="004A93"/>
        </w:rPr>
        <w:t>on</w:t>
      </w:r>
      <w:r>
        <w:rPr>
          <w:color w:val="004A93"/>
          <w:spacing w:val="-1"/>
        </w:rPr>
        <w:t> </w:t>
      </w:r>
      <w:r>
        <w:rPr>
          <w:color w:val="004A93"/>
        </w:rPr>
        <w:t>EU</w:t>
      </w:r>
      <w:r>
        <w:rPr>
          <w:color w:val="004A93"/>
          <w:spacing w:val="-1"/>
        </w:rPr>
        <w:t> </w:t>
      </w:r>
      <w:r>
        <w:rPr>
          <w:color w:val="004A93"/>
          <w:spacing w:val="-5"/>
        </w:rPr>
        <w:t>law</w:t>
      </w:r>
    </w:p>
    <w:p>
      <w:pPr>
        <w:pStyle w:val="BodyText"/>
        <w:spacing w:line="232" w:lineRule="auto" w:before="2"/>
        <w:ind w:left="720" w:right="1087"/>
      </w:pPr>
      <w:r>
        <w:rPr/>
        <w:t>The UK’s exit from the EU and the changing nature of the legislation, including changes</w:t>
      </w:r>
      <w:r>
        <w:rPr>
          <w:spacing w:val="-1"/>
        </w:rPr>
        <w:t> </w:t>
      </w:r>
      <w:r>
        <w:rPr/>
        <w:t>legislated</w:t>
      </w:r>
      <w:r>
        <w:rPr>
          <w:spacing w:val="-2"/>
        </w:rPr>
        <w:t> </w:t>
      </w:r>
      <w:r>
        <w:rPr/>
        <w:t>for in</w:t>
      </w:r>
      <w:r>
        <w:rPr>
          <w:spacing w:val="-2"/>
        </w:rPr>
        <w:t> </w:t>
      </w:r>
      <w:r>
        <w:rPr/>
        <w:t>the Retained</w:t>
      </w:r>
      <w:r>
        <w:rPr>
          <w:spacing w:val="-2"/>
        </w:rPr>
        <w:t> </w:t>
      </w:r>
      <w:r>
        <w:rPr/>
        <w:t>EU Law</w:t>
      </w:r>
      <w:r>
        <w:rPr>
          <w:spacing w:val="-1"/>
        </w:rPr>
        <w:t> </w:t>
      </w:r>
      <w:r>
        <w:rPr/>
        <w:t>(Revocation</w:t>
      </w:r>
      <w:r>
        <w:rPr>
          <w:spacing w:val="-1"/>
        </w:rPr>
        <w:t> </w:t>
      </w:r>
      <w:r>
        <w:rPr/>
        <w:t>and</w:t>
      </w:r>
      <w:r>
        <w:rPr>
          <w:spacing w:val="-2"/>
        </w:rPr>
        <w:t> </w:t>
      </w:r>
      <w:r>
        <w:rPr/>
        <w:t>Reform)</w:t>
      </w:r>
      <w:r>
        <w:rPr>
          <w:spacing w:val="-1"/>
        </w:rPr>
        <w:t> </w:t>
      </w:r>
      <w:r>
        <w:rPr/>
        <w:t>Act,</w:t>
      </w:r>
      <w:r>
        <w:rPr>
          <w:spacing w:val="-1"/>
        </w:rPr>
        <w:t> </w:t>
      </w:r>
      <w:r>
        <w:rPr/>
        <w:t>means that</w:t>
      </w:r>
      <w:r>
        <w:rPr>
          <w:spacing w:val="-5"/>
        </w:rPr>
        <w:t> </w:t>
      </w:r>
      <w:r>
        <w:rPr/>
        <w:t>the</w:t>
      </w:r>
      <w:r>
        <w:rPr>
          <w:spacing w:val="-5"/>
        </w:rPr>
        <w:t> </w:t>
      </w:r>
      <w:r>
        <w:rPr/>
        <w:t>position</w:t>
      </w:r>
      <w:r>
        <w:rPr>
          <w:spacing w:val="-6"/>
        </w:rPr>
        <w:t> </w:t>
      </w:r>
      <w:r>
        <w:rPr/>
        <w:t>of</w:t>
      </w:r>
      <w:r>
        <w:rPr>
          <w:spacing w:val="-6"/>
        </w:rPr>
        <w:t> </w:t>
      </w:r>
      <w:r>
        <w:rPr/>
        <w:t>EU</w:t>
      </w:r>
      <w:r>
        <w:rPr>
          <w:spacing w:val="-5"/>
        </w:rPr>
        <w:t> </w:t>
      </w:r>
      <w:r>
        <w:rPr/>
        <w:t>law</w:t>
      </w:r>
      <w:r>
        <w:rPr>
          <w:spacing w:val="-5"/>
        </w:rPr>
        <w:t> </w:t>
      </w:r>
      <w:r>
        <w:rPr/>
        <w:t>and</w:t>
      </w:r>
      <w:r>
        <w:rPr>
          <w:spacing w:val="-6"/>
        </w:rPr>
        <w:t> </w:t>
      </w:r>
      <w:r>
        <w:rPr/>
        <w:t>case</w:t>
      </w:r>
      <w:r>
        <w:rPr>
          <w:spacing w:val="-5"/>
        </w:rPr>
        <w:t> </w:t>
      </w:r>
      <w:r>
        <w:rPr/>
        <w:t>law</w:t>
      </w:r>
      <w:r>
        <w:rPr>
          <w:spacing w:val="-5"/>
        </w:rPr>
        <w:t> </w:t>
      </w:r>
      <w:r>
        <w:rPr/>
        <w:t>in</w:t>
      </w:r>
      <w:r>
        <w:rPr>
          <w:spacing w:val="-6"/>
        </w:rPr>
        <w:t> </w:t>
      </w:r>
      <w:r>
        <w:rPr/>
        <w:t>the</w:t>
      </w:r>
      <w:r>
        <w:rPr>
          <w:spacing w:val="-5"/>
        </w:rPr>
        <w:t> </w:t>
      </w:r>
      <w:r>
        <w:rPr/>
        <w:t>UK</w:t>
      </w:r>
      <w:r>
        <w:rPr>
          <w:spacing w:val="-5"/>
        </w:rPr>
        <w:t> </w:t>
      </w:r>
      <w:r>
        <w:rPr/>
        <w:t>courts</w:t>
      </w:r>
      <w:r>
        <w:rPr>
          <w:spacing w:val="-6"/>
        </w:rPr>
        <w:t> </w:t>
      </w:r>
      <w:r>
        <w:rPr/>
        <w:t>is</w:t>
      </w:r>
      <w:r>
        <w:rPr>
          <w:spacing w:val="-6"/>
        </w:rPr>
        <w:t> </w:t>
      </w:r>
      <w:r>
        <w:rPr/>
        <w:t>not</w:t>
      </w:r>
      <w:r>
        <w:rPr>
          <w:spacing w:val="-5"/>
        </w:rPr>
        <w:t> </w:t>
      </w:r>
      <w:r>
        <w:rPr/>
        <w:t>straightforward</w:t>
      </w:r>
      <w:r>
        <w:rPr>
          <w:spacing w:val="-6"/>
        </w:rPr>
        <w:t> </w:t>
      </w:r>
      <w:r>
        <w:rPr/>
        <w:t>and requires proactive consideration when issues come before the courts.</w:t>
      </w:r>
      <w:r>
        <w:rPr>
          <w:vertAlign w:val="superscript"/>
        </w:rPr>
        <w:t>523</w:t>
      </w:r>
    </w:p>
    <w:p>
      <w:pPr>
        <w:pStyle w:val="BodyText"/>
        <w:spacing w:line="232" w:lineRule="auto" w:before="277"/>
        <w:ind w:left="720" w:right="1731"/>
      </w:pPr>
      <w:r>
        <w:rPr/>
        <w:t>UK courts may still need to consider CJEU case law and respect the principle</w:t>
      </w:r>
      <w:r>
        <w:rPr>
          <w:spacing w:val="40"/>
        </w:rPr>
        <w:t> </w:t>
      </w:r>
      <w:r>
        <w:rPr/>
        <w:t>of EU supremacy as regards pre-exit legislation, until the relevant parts of the Retained</w:t>
      </w:r>
      <w:r>
        <w:rPr>
          <w:spacing w:val="-2"/>
        </w:rPr>
        <w:t> </w:t>
      </w:r>
      <w:r>
        <w:rPr/>
        <w:t>EU</w:t>
      </w:r>
      <w:r>
        <w:rPr>
          <w:spacing w:val="-1"/>
        </w:rPr>
        <w:t> </w:t>
      </w:r>
      <w:r>
        <w:rPr/>
        <w:t>Law</w:t>
      </w:r>
      <w:r>
        <w:rPr>
          <w:spacing w:val="-1"/>
        </w:rPr>
        <w:t> </w:t>
      </w:r>
      <w:r>
        <w:rPr/>
        <w:t>(Revocation</w:t>
      </w:r>
      <w:r>
        <w:rPr>
          <w:spacing w:val="-2"/>
        </w:rPr>
        <w:t> </w:t>
      </w:r>
      <w:r>
        <w:rPr/>
        <w:t>and</w:t>
      </w:r>
      <w:r>
        <w:rPr>
          <w:spacing w:val="-2"/>
        </w:rPr>
        <w:t> </w:t>
      </w:r>
      <w:r>
        <w:rPr/>
        <w:t>Reform)</w:t>
      </w:r>
      <w:r>
        <w:rPr>
          <w:spacing w:val="-2"/>
        </w:rPr>
        <w:t> </w:t>
      </w:r>
      <w:r>
        <w:rPr/>
        <w:t>Act</w:t>
      </w:r>
      <w:r>
        <w:rPr>
          <w:spacing w:val="-1"/>
        </w:rPr>
        <w:t> </w:t>
      </w:r>
      <w:r>
        <w:rPr/>
        <w:t>2023</w:t>
      </w:r>
      <w:r>
        <w:rPr>
          <w:spacing w:val="-1"/>
        </w:rPr>
        <w:t> </w:t>
      </w:r>
      <w:r>
        <w:rPr/>
        <w:t>are</w:t>
      </w:r>
      <w:r>
        <w:rPr>
          <w:spacing w:val="-1"/>
        </w:rPr>
        <w:t> </w:t>
      </w:r>
      <w:r>
        <w:rPr/>
        <w:t>brought</w:t>
      </w:r>
      <w:r>
        <w:rPr>
          <w:spacing w:val="-1"/>
        </w:rPr>
        <w:t> </w:t>
      </w:r>
      <w:r>
        <w:rPr/>
        <w:t>into</w:t>
      </w:r>
      <w:r>
        <w:rPr>
          <w:spacing w:val="-2"/>
        </w:rPr>
        <w:t> </w:t>
      </w:r>
      <w:r>
        <w:rPr/>
        <w:t>force.</w:t>
      </w:r>
      <w:r>
        <w:rPr>
          <w:spacing w:val="-2"/>
        </w:rPr>
        <w:t> </w:t>
      </w:r>
      <w:r>
        <w:rPr/>
        <w:t>So for</w:t>
      </w:r>
      <w:r>
        <w:rPr>
          <w:spacing w:val="-7"/>
        </w:rPr>
        <w:t> </w:t>
      </w:r>
      <w:r>
        <w:rPr/>
        <w:t>instance</w:t>
      </w:r>
      <w:r>
        <w:rPr>
          <w:spacing w:val="-7"/>
        </w:rPr>
        <w:t> </w:t>
      </w:r>
      <w:r>
        <w:rPr/>
        <w:t>the</w:t>
      </w:r>
      <w:r>
        <w:rPr>
          <w:spacing w:val="-7"/>
        </w:rPr>
        <w:t> </w:t>
      </w:r>
      <w:r>
        <w:rPr/>
        <w:t>First</w:t>
      </w:r>
      <w:r>
        <w:rPr>
          <w:spacing w:val="-7"/>
        </w:rPr>
        <w:t> </w:t>
      </w:r>
      <w:r>
        <w:rPr/>
        <w:t>Tier</w:t>
      </w:r>
      <w:r>
        <w:rPr>
          <w:spacing w:val="-7"/>
        </w:rPr>
        <w:t> </w:t>
      </w:r>
      <w:r>
        <w:rPr/>
        <w:t>Tribunal</w:t>
      </w:r>
      <w:r>
        <w:rPr>
          <w:spacing w:val="-8"/>
        </w:rPr>
        <w:t> </w:t>
      </w:r>
      <w:r>
        <w:rPr/>
        <w:t>in</w:t>
      </w:r>
      <w:r>
        <w:rPr>
          <w:spacing w:val="-8"/>
        </w:rPr>
        <w:t> </w:t>
      </w:r>
      <w:r>
        <w:rPr/>
        <w:t>Great</w:t>
      </w:r>
      <w:r>
        <w:rPr>
          <w:spacing w:val="-7"/>
        </w:rPr>
        <w:t> </w:t>
      </w:r>
      <w:r>
        <w:rPr/>
        <w:t>Britain</w:t>
      </w:r>
      <w:r>
        <w:rPr>
          <w:spacing w:val="-8"/>
        </w:rPr>
        <w:t> </w:t>
      </w:r>
      <w:r>
        <w:rPr/>
        <w:t>has</w:t>
      </w:r>
      <w:r>
        <w:rPr>
          <w:spacing w:val="-8"/>
        </w:rPr>
        <w:t> </w:t>
      </w:r>
      <w:r>
        <w:rPr/>
        <w:t>indicated</w:t>
      </w:r>
      <w:r>
        <w:rPr>
          <w:spacing w:val="-8"/>
        </w:rPr>
        <w:t> </w:t>
      </w:r>
      <w:r>
        <w:rPr/>
        <w:t>that</w:t>
      </w:r>
      <w:r>
        <w:rPr>
          <w:spacing w:val="-7"/>
        </w:rPr>
        <w:t> </w:t>
      </w:r>
      <w:r>
        <w:rPr/>
        <w:t>it</w:t>
      </w:r>
      <w:r>
        <w:rPr>
          <w:spacing w:val="-7"/>
        </w:rPr>
        <w:t> </w:t>
      </w:r>
      <w:r>
        <w:rPr/>
        <w:t>remains</w:t>
      </w:r>
    </w:p>
    <w:p>
      <w:pPr>
        <w:pStyle w:val="BodyText"/>
        <w:spacing w:line="232" w:lineRule="auto"/>
        <w:ind w:left="720" w:right="1225"/>
      </w:pPr>
      <w:r>
        <w:rPr/>
        <w:t>bound to follow EU case law decided before 1 January 2021 for now.</w:t>
      </w:r>
      <w:r>
        <w:rPr>
          <w:vertAlign w:val="superscript"/>
        </w:rPr>
        <w:t>524</w:t>
      </w:r>
      <w:r>
        <w:rPr>
          <w:vertAlign w:val="baseline"/>
        </w:rPr>
        <w:t> The High Court in England and Wales has clarified though how the law has changed since the UK’s exit from the EU, confirming that ‘we are now in different times’ and the European Communities Act 1972 ‘is now legal history’.</w:t>
      </w:r>
      <w:r>
        <w:rPr>
          <w:vertAlign w:val="superscript"/>
        </w:rPr>
        <w:t>525</w:t>
      </w:r>
      <w:r>
        <w:rPr>
          <w:vertAlign w:val="baseline"/>
        </w:rPr>
        <w:t> For legislative provisions unamended since 31 December 2020, the principle of EU supremacy still applies along with indirect effect</w:t>
      </w:r>
      <w:r>
        <w:rPr>
          <w:vertAlign w:val="superscript"/>
        </w:rPr>
        <w:t>526</w:t>
      </w:r>
      <w:r>
        <w:rPr>
          <w:vertAlign w:val="baseline"/>
        </w:rPr>
        <w:t> and the obligation for the High Court to follow retained</w:t>
      </w:r>
      <w:r>
        <w:rPr>
          <w:spacing w:val="-10"/>
          <w:vertAlign w:val="baseline"/>
        </w:rPr>
        <w:t> </w:t>
      </w:r>
      <w:r>
        <w:rPr>
          <w:vertAlign w:val="baseline"/>
        </w:rPr>
        <w:t>EU</w:t>
      </w:r>
      <w:r>
        <w:rPr>
          <w:spacing w:val="-9"/>
          <w:vertAlign w:val="baseline"/>
        </w:rPr>
        <w:t> </w:t>
      </w:r>
      <w:r>
        <w:rPr>
          <w:vertAlign w:val="baseline"/>
        </w:rPr>
        <w:t>case</w:t>
      </w:r>
      <w:r>
        <w:rPr>
          <w:spacing w:val="-9"/>
          <w:vertAlign w:val="baseline"/>
        </w:rPr>
        <w:t> </w:t>
      </w:r>
      <w:r>
        <w:rPr>
          <w:vertAlign w:val="baseline"/>
        </w:rPr>
        <w:t>law.</w:t>
      </w:r>
      <w:r>
        <w:rPr>
          <w:spacing w:val="-10"/>
          <w:vertAlign w:val="baseline"/>
        </w:rPr>
        <w:t> </w:t>
      </w:r>
      <w:r>
        <w:rPr>
          <w:vertAlign w:val="baseline"/>
        </w:rPr>
        <w:t>If,</w:t>
      </w:r>
      <w:r>
        <w:rPr>
          <w:spacing w:val="-9"/>
          <w:vertAlign w:val="baseline"/>
        </w:rPr>
        <w:t> </w:t>
      </w:r>
      <w:r>
        <w:rPr>
          <w:vertAlign w:val="baseline"/>
        </w:rPr>
        <w:t>however,</w:t>
      </w:r>
      <w:r>
        <w:rPr>
          <w:spacing w:val="-9"/>
          <w:vertAlign w:val="baseline"/>
        </w:rPr>
        <w:t> </w:t>
      </w:r>
      <w:r>
        <w:rPr>
          <w:vertAlign w:val="baseline"/>
        </w:rPr>
        <w:t>the</w:t>
      </w:r>
      <w:r>
        <w:rPr>
          <w:spacing w:val="-9"/>
          <w:vertAlign w:val="baseline"/>
        </w:rPr>
        <w:t> </w:t>
      </w:r>
      <w:r>
        <w:rPr>
          <w:vertAlign w:val="baseline"/>
        </w:rPr>
        <w:t>legislation</w:t>
      </w:r>
      <w:r>
        <w:rPr>
          <w:spacing w:val="-10"/>
          <w:vertAlign w:val="baseline"/>
        </w:rPr>
        <w:t> </w:t>
      </w:r>
      <w:r>
        <w:rPr>
          <w:vertAlign w:val="baseline"/>
        </w:rPr>
        <w:t>has</w:t>
      </w:r>
      <w:r>
        <w:rPr>
          <w:spacing w:val="-10"/>
          <w:vertAlign w:val="baseline"/>
        </w:rPr>
        <w:t> </w:t>
      </w:r>
      <w:r>
        <w:rPr>
          <w:vertAlign w:val="baseline"/>
        </w:rPr>
        <w:t>been</w:t>
      </w:r>
      <w:r>
        <w:rPr>
          <w:spacing w:val="-10"/>
          <w:vertAlign w:val="baseline"/>
        </w:rPr>
        <w:t> </w:t>
      </w:r>
      <w:r>
        <w:rPr>
          <w:vertAlign w:val="baseline"/>
        </w:rPr>
        <w:t>modified</w:t>
      </w:r>
      <w:r>
        <w:rPr>
          <w:spacing w:val="-10"/>
          <w:vertAlign w:val="baseline"/>
        </w:rPr>
        <w:t> </w:t>
      </w:r>
      <w:r>
        <w:rPr>
          <w:vertAlign w:val="baseline"/>
        </w:rPr>
        <w:t>since</w:t>
      </w:r>
      <w:r>
        <w:rPr>
          <w:spacing w:val="-9"/>
          <w:vertAlign w:val="baseline"/>
        </w:rPr>
        <w:t> </w:t>
      </w:r>
      <w:r>
        <w:rPr>
          <w:vertAlign w:val="baseline"/>
        </w:rPr>
        <w:t>then,</w:t>
      </w:r>
      <w:r>
        <w:rPr>
          <w:spacing w:val="-9"/>
          <w:vertAlign w:val="baseline"/>
        </w:rPr>
        <w:t> </w:t>
      </w:r>
      <w:r>
        <w:rPr>
          <w:vertAlign w:val="baseline"/>
        </w:rPr>
        <w:t>the applicability of EU supremacy (and indirect effect) will depend on the intention of the modified law.</w:t>
      </w:r>
      <w:r>
        <w:rPr>
          <w:vertAlign w:val="superscript"/>
        </w:rPr>
        <w:t>527</w:t>
      </w:r>
    </w:p>
    <w:p>
      <w:pPr>
        <w:pStyle w:val="BodyText"/>
        <w:spacing w:line="232" w:lineRule="auto" w:before="264"/>
        <w:ind w:left="720" w:right="1087"/>
      </w:pPr>
      <w:r>
        <w:rPr/>
        <w:t>There</w:t>
      </w:r>
      <w:r>
        <w:rPr>
          <w:spacing w:val="-10"/>
        </w:rPr>
        <w:t> </w:t>
      </w:r>
      <w:r>
        <w:rPr/>
        <w:t>remains</w:t>
      </w:r>
      <w:r>
        <w:rPr>
          <w:spacing w:val="-11"/>
        </w:rPr>
        <w:t> </w:t>
      </w:r>
      <w:r>
        <w:rPr/>
        <w:t>scope</w:t>
      </w:r>
      <w:r>
        <w:rPr>
          <w:spacing w:val="-10"/>
        </w:rPr>
        <w:t> </w:t>
      </w:r>
      <w:r>
        <w:rPr/>
        <w:t>therefore</w:t>
      </w:r>
      <w:r>
        <w:rPr>
          <w:spacing w:val="-10"/>
        </w:rPr>
        <w:t> </w:t>
      </w:r>
      <w:r>
        <w:rPr/>
        <w:t>for</w:t>
      </w:r>
      <w:r>
        <w:rPr>
          <w:spacing w:val="-10"/>
        </w:rPr>
        <w:t> </w:t>
      </w:r>
      <w:r>
        <w:rPr/>
        <w:t>EU</w:t>
      </w:r>
      <w:r>
        <w:rPr>
          <w:spacing w:val="-10"/>
        </w:rPr>
        <w:t> </w:t>
      </w:r>
      <w:r>
        <w:rPr/>
        <w:t>law,</w:t>
      </w:r>
      <w:r>
        <w:rPr>
          <w:spacing w:val="-10"/>
        </w:rPr>
        <w:t> </w:t>
      </w:r>
      <w:r>
        <w:rPr/>
        <w:t>or</w:t>
      </w:r>
      <w:r>
        <w:rPr>
          <w:spacing w:val="-10"/>
        </w:rPr>
        <w:t> </w:t>
      </w:r>
      <w:r>
        <w:rPr/>
        <w:t>rather</w:t>
      </w:r>
      <w:r>
        <w:rPr>
          <w:spacing w:val="-10"/>
        </w:rPr>
        <w:t> </w:t>
      </w:r>
      <w:r>
        <w:rPr/>
        <w:t>retained</w:t>
      </w:r>
      <w:r>
        <w:rPr>
          <w:spacing w:val="-11"/>
        </w:rPr>
        <w:t> </w:t>
      </w:r>
      <w:r>
        <w:rPr/>
        <w:t>EU</w:t>
      </w:r>
      <w:r>
        <w:rPr>
          <w:spacing w:val="-10"/>
        </w:rPr>
        <w:t> </w:t>
      </w:r>
      <w:r>
        <w:rPr/>
        <w:t>law</w:t>
      </w:r>
      <w:r>
        <w:rPr>
          <w:spacing w:val="-10"/>
        </w:rPr>
        <w:t> </w:t>
      </w:r>
      <w:r>
        <w:rPr/>
        <w:t>(rebranded ‘assimilated’ law) to be relevant in cases before the UK courts. There have</w:t>
      </w:r>
    </w:p>
    <w:p>
      <w:pPr>
        <w:pStyle w:val="BodyText"/>
        <w:spacing w:line="232" w:lineRule="auto"/>
        <w:ind w:left="720" w:right="1582"/>
      </w:pPr>
      <w:r>
        <w:rPr/>
        <w:t>been some important examples of this. The High Court for instance has found an Immigration Exemption rule to be in breach of the General Data Protection Regulation</w:t>
      </w:r>
      <w:r>
        <w:rPr>
          <w:spacing w:val="-10"/>
        </w:rPr>
        <w:t> </w:t>
      </w:r>
      <w:r>
        <w:rPr/>
        <w:t>rights.</w:t>
      </w:r>
      <w:r>
        <w:rPr>
          <w:vertAlign w:val="superscript"/>
        </w:rPr>
        <w:t>528</w:t>
      </w:r>
      <w:r>
        <w:rPr>
          <w:spacing w:val="-10"/>
          <w:vertAlign w:val="baseline"/>
        </w:rPr>
        <w:t> </w:t>
      </w:r>
      <w:r>
        <w:rPr>
          <w:vertAlign w:val="baseline"/>
        </w:rPr>
        <w:t>EU</w:t>
      </w:r>
      <w:r>
        <w:rPr>
          <w:spacing w:val="-9"/>
          <w:vertAlign w:val="baseline"/>
        </w:rPr>
        <w:t> </w:t>
      </w:r>
      <w:r>
        <w:rPr>
          <w:vertAlign w:val="baseline"/>
        </w:rPr>
        <w:t>law</w:t>
      </w:r>
      <w:r>
        <w:rPr>
          <w:spacing w:val="-9"/>
          <w:vertAlign w:val="baseline"/>
        </w:rPr>
        <w:t> </w:t>
      </w:r>
      <w:r>
        <w:rPr>
          <w:vertAlign w:val="baseline"/>
        </w:rPr>
        <w:t>has</w:t>
      </w:r>
      <w:r>
        <w:rPr>
          <w:spacing w:val="-10"/>
          <w:vertAlign w:val="baseline"/>
        </w:rPr>
        <w:t> </w:t>
      </w:r>
      <w:r>
        <w:rPr>
          <w:vertAlign w:val="baseline"/>
        </w:rPr>
        <w:t>been</w:t>
      </w:r>
      <w:r>
        <w:rPr>
          <w:spacing w:val="-10"/>
          <w:vertAlign w:val="baseline"/>
        </w:rPr>
        <w:t> </w:t>
      </w:r>
      <w:r>
        <w:rPr>
          <w:vertAlign w:val="baseline"/>
        </w:rPr>
        <w:t>pleaded,</w:t>
      </w:r>
      <w:r>
        <w:rPr>
          <w:spacing w:val="-9"/>
          <w:vertAlign w:val="baseline"/>
        </w:rPr>
        <w:t> </w:t>
      </w:r>
      <w:r>
        <w:rPr>
          <w:vertAlign w:val="baseline"/>
        </w:rPr>
        <w:t>albeit</w:t>
      </w:r>
      <w:r>
        <w:rPr>
          <w:spacing w:val="-9"/>
          <w:vertAlign w:val="baseline"/>
        </w:rPr>
        <w:t> </w:t>
      </w:r>
      <w:r>
        <w:rPr>
          <w:vertAlign w:val="baseline"/>
        </w:rPr>
        <w:t>unsuccessfully,</w:t>
      </w:r>
      <w:r>
        <w:rPr>
          <w:spacing w:val="-9"/>
          <w:vertAlign w:val="baseline"/>
        </w:rPr>
        <w:t> </w:t>
      </w:r>
      <w:r>
        <w:rPr>
          <w:vertAlign w:val="baseline"/>
        </w:rPr>
        <w:t>in</w:t>
      </w:r>
      <w:r>
        <w:rPr>
          <w:spacing w:val="-10"/>
          <w:vertAlign w:val="baseline"/>
        </w:rPr>
        <w:t> </w:t>
      </w:r>
      <w:r>
        <w:rPr>
          <w:vertAlign w:val="baseline"/>
        </w:rPr>
        <w:t>the</w:t>
      </w:r>
      <w:r>
        <w:rPr>
          <w:spacing w:val="-9"/>
          <w:vertAlign w:val="baseline"/>
        </w:rPr>
        <w:t> </w:t>
      </w:r>
      <w:r>
        <w:rPr>
          <w:vertAlign w:val="baseline"/>
        </w:rPr>
        <w:t>most high-profile Supreme Court case of 2023, the Rwanda flights judgment.</w:t>
      </w:r>
    </w:p>
    <w:p>
      <w:pPr>
        <w:pStyle w:val="BodyText"/>
        <w:spacing w:before="8"/>
        <w:rPr>
          <w:sz w:val="6"/>
        </w:rPr>
      </w:pPr>
      <w:r>
        <w:rPr/>
        <mc:AlternateContent>
          <mc:Choice Requires="wps">
            <w:drawing>
              <wp:anchor distT="0" distB="0" distL="0" distR="0" allowOverlap="1" layoutInCell="1" locked="0" behindDoc="1" simplePos="0" relativeHeight="487755264">
                <wp:simplePos x="0" y="0"/>
                <wp:positionH relativeFrom="page">
                  <wp:posOffset>647999</wp:posOffset>
                </wp:positionH>
                <wp:positionV relativeFrom="paragraph">
                  <wp:posOffset>67072</wp:posOffset>
                </wp:positionV>
                <wp:extent cx="6012180" cy="1270"/>
                <wp:effectExtent l="0" t="0" r="0" b="0"/>
                <wp:wrapTopAndBottom/>
                <wp:docPr id="889" name="Graphic 889"/>
                <wp:cNvGraphicFramePr>
                  <a:graphicFrameLocks/>
                </wp:cNvGraphicFramePr>
                <a:graphic>
                  <a:graphicData uri="http://schemas.microsoft.com/office/word/2010/wordprocessingShape">
                    <wps:wsp>
                      <wps:cNvPr id="889" name="Graphic 88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5.281311pt;width:473.4pt;height:.1pt;mso-position-horizontal-relative:page;mso-position-vertical-relative:paragraph;z-index:-15561216;mso-wrap-distance-left:0;mso-wrap-distance-right:0" id="docshape729" coordorigin="1020,106" coordsize="9468,0" path="m1020,106l10488,106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3</w:t>
      </w:r>
      <w:r>
        <w:rPr>
          <w:spacing w:val="-5"/>
          <w:sz w:val="18"/>
          <w:u w:val="none"/>
        </w:rPr>
        <w:t>.</w:t>
      </w:r>
    </w:p>
    <w:p>
      <w:pPr>
        <w:pStyle w:val="ListParagraph"/>
        <w:numPr>
          <w:ilvl w:val="0"/>
          <w:numId w:val="18"/>
        </w:numPr>
        <w:tabs>
          <w:tab w:pos="1287" w:val="left" w:leader="none"/>
        </w:tabs>
        <w:spacing w:line="240" w:lineRule="auto" w:before="1" w:after="0"/>
        <w:ind w:left="1287"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6.</w:t>
      </w:r>
    </w:p>
    <w:p>
      <w:pPr>
        <w:pStyle w:val="ListParagraph"/>
        <w:numPr>
          <w:ilvl w:val="0"/>
          <w:numId w:val="18"/>
        </w:numPr>
        <w:tabs>
          <w:tab w:pos="1287" w:val="left" w:leader="none"/>
        </w:tabs>
        <w:spacing w:line="240" w:lineRule="auto" w:before="0" w:after="0"/>
        <w:ind w:left="1287" w:right="0" w:hanging="567"/>
        <w:jc w:val="left"/>
        <w:rPr>
          <w:sz w:val="18"/>
        </w:rPr>
      </w:pPr>
      <w:r>
        <w:rPr>
          <w:sz w:val="18"/>
        </w:rPr>
        <w:t>Ibid.,</w:t>
      </w:r>
      <w:r>
        <w:rPr>
          <w:spacing w:val="-7"/>
          <w:sz w:val="18"/>
        </w:rPr>
        <w:t> </w:t>
      </w:r>
      <w:r>
        <w:rPr>
          <w:color w:val="1D71B8"/>
          <w:sz w:val="18"/>
          <w:u w:val="single" w:color="1D71B8"/>
        </w:rPr>
        <w:t>Section</w:t>
      </w:r>
      <w:r>
        <w:rPr>
          <w:color w:val="1D71B8"/>
          <w:spacing w:val="-6"/>
          <w:sz w:val="18"/>
          <w:u w:val="single" w:color="1D71B8"/>
        </w:rPr>
        <w:t> </w:t>
      </w:r>
      <w:r>
        <w:rPr>
          <w:color w:val="1D71B8"/>
          <w:spacing w:val="-5"/>
          <w:sz w:val="18"/>
          <w:u w:val="single" w:color="1D71B8"/>
        </w:rPr>
        <w:t>5</w:t>
      </w:r>
      <w:r>
        <w:rPr>
          <w:spacing w:val="-5"/>
          <w:sz w:val="18"/>
          <w:u w:val="none"/>
        </w:rPr>
        <w:t>.</w:t>
      </w:r>
    </w:p>
    <w:p>
      <w:pPr>
        <w:pStyle w:val="ListParagraph"/>
        <w:numPr>
          <w:ilvl w:val="0"/>
          <w:numId w:val="18"/>
        </w:numPr>
        <w:tabs>
          <w:tab w:pos="1287" w:val="left" w:leader="none"/>
        </w:tabs>
        <w:spacing w:line="240" w:lineRule="auto" w:before="0" w:after="0"/>
        <w:ind w:left="1287" w:right="1158" w:hanging="567"/>
        <w:jc w:val="left"/>
        <w:rPr>
          <w:sz w:val="18"/>
        </w:rPr>
      </w:pPr>
      <w:r>
        <w:rPr>
          <w:color w:val="1D71B8"/>
          <w:sz w:val="18"/>
          <w:u w:val="single" w:color="1D71B8"/>
        </w:rPr>
        <w:t>Lipton v BA City Flyer Ltd</w:t>
      </w:r>
      <w:r>
        <w:rPr>
          <w:color w:val="1D71B8"/>
          <w:sz w:val="18"/>
          <w:u w:val="none"/>
        </w:rPr>
        <w:t> </w:t>
      </w:r>
      <w:r>
        <w:rPr>
          <w:sz w:val="18"/>
          <w:u w:val="none"/>
        </w:rPr>
        <w:t>[2021] EWCA Civ 454, [2021] 1 WLR 2545 [53], [83], this case considered some of the interplay with</w:t>
      </w:r>
      <w:r>
        <w:rPr>
          <w:spacing w:val="-7"/>
          <w:sz w:val="18"/>
          <w:u w:val="none"/>
        </w:rPr>
        <w:t> </w:t>
      </w:r>
      <w:r>
        <w:rPr>
          <w:sz w:val="18"/>
          <w:u w:val="none"/>
        </w:rPr>
        <w:t>the</w:t>
      </w:r>
      <w:r>
        <w:rPr>
          <w:spacing w:val="-6"/>
          <w:sz w:val="18"/>
          <w:u w:val="none"/>
        </w:rPr>
        <w:t> </w:t>
      </w:r>
      <w:r>
        <w:rPr>
          <w:sz w:val="18"/>
          <w:u w:val="none"/>
        </w:rPr>
        <w:t>Trade</w:t>
      </w:r>
      <w:r>
        <w:rPr>
          <w:spacing w:val="-6"/>
          <w:sz w:val="18"/>
          <w:u w:val="none"/>
        </w:rPr>
        <w:t> </w:t>
      </w:r>
      <w:r>
        <w:rPr>
          <w:sz w:val="18"/>
          <w:u w:val="none"/>
        </w:rPr>
        <w:t>and</w:t>
      </w:r>
      <w:r>
        <w:rPr>
          <w:spacing w:val="-7"/>
          <w:sz w:val="18"/>
          <w:u w:val="none"/>
        </w:rPr>
        <w:t> </w:t>
      </w:r>
      <w:r>
        <w:rPr>
          <w:sz w:val="18"/>
          <w:u w:val="none"/>
        </w:rPr>
        <w:t>Cooperation</w:t>
      </w:r>
      <w:r>
        <w:rPr>
          <w:spacing w:val="-7"/>
          <w:sz w:val="18"/>
          <w:u w:val="none"/>
        </w:rPr>
        <w:t> </w:t>
      </w:r>
      <w:r>
        <w:rPr>
          <w:sz w:val="18"/>
          <w:u w:val="none"/>
        </w:rPr>
        <w:t>Agreement</w:t>
      </w:r>
      <w:r>
        <w:rPr>
          <w:spacing w:val="-6"/>
          <w:sz w:val="18"/>
          <w:u w:val="none"/>
        </w:rPr>
        <w:t> </w:t>
      </w:r>
      <w:r>
        <w:rPr>
          <w:sz w:val="18"/>
          <w:u w:val="none"/>
        </w:rPr>
        <w:t>as</w:t>
      </w:r>
      <w:r>
        <w:rPr>
          <w:spacing w:val="-7"/>
          <w:sz w:val="18"/>
          <w:u w:val="none"/>
        </w:rPr>
        <w:t> </w:t>
      </w:r>
      <w:r>
        <w:rPr>
          <w:sz w:val="18"/>
          <w:u w:val="none"/>
        </w:rPr>
        <w:t>well</w:t>
      </w:r>
      <w:r>
        <w:rPr>
          <w:i/>
          <w:sz w:val="18"/>
          <w:u w:val="none"/>
        </w:rPr>
        <w:t>;</w:t>
      </w:r>
      <w:r>
        <w:rPr>
          <w:i/>
          <w:spacing w:val="-6"/>
          <w:sz w:val="18"/>
          <w:u w:val="none"/>
        </w:rPr>
        <w:t> </w:t>
      </w:r>
      <w:r>
        <w:rPr>
          <w:color w:val="1D71B8"/>
          <w:sz w:val="18"/>
          <w:u w:val="single" w:color="1D71B8"/>
        </w:rPr>
        <w:t>E-Accounting</w:t>
      </w:r>
      <w:r>
        <w:rPr>
          <w:color w:val="1D71B8"/>
          <w:spacing w:val="-6"/>
          <w:sz w:val="18"/>
          <w:u w:val="single" w:color="1D71B8"/>
        </w:rPr>
        <w:t> </w:t>
      </w:r>
      <w:r>
        <w:rPr>
          <w:color w:val="1D71B8"/>
          <w:sz w:val="18"/>
          <w:u w:val="single" w:color="1D71B8"/>
        </w:rPr>
        <w:t>Solutions</w:t>
      </w:r>
      <w:r>
        <w:rPr>
          <w:color w:val="1D71B8"/>
          <w:spacing w:val="-7"/>
          <w:sz w:val="18"/>
          <w:u w:val="single" w:color="1D71B8"/>
        </w:rPr>
        <w:t> </w:t>
      </w:r>
      <w:r>
        <w:rPr>
          <w:color w:val="1D71B8"/>
          <w:sz w:val="18"/>
          <w:u w:val="single" w:color="1D71B8"/>
        </w:rPr>
        <w:t>Ltd</w:t>
      </w:r>
      <w:r>
        <w:rPr>
          <w:color w:val="1D71B8"/>
          <w:spacing w:val="-7"/>
          <w:sz w:val="18"/>
          <w:u w:val="single" w:color="1D71B8"/>
        </w:rPr>
        <w:t> </w:t>
      </w:r>
      <w:r>
        <w:rPr>
          <w:color w:val="1D71B8"/>
          <w:sz w:val="18"/>
          <w:u w:val="single" w:color="1D71B8"/>
        </w:rPr>
        <w:t>(t/a</w:t>
      </w:r>
      <w:r>
        <w:rPr>
          <w:color w:val="1D71B8"/>
          <w:spacing w:val="-7"/>
          <w:sz w:val="18"/>
          <w:u w:val="single" w:color="1D71B8"/>
        </w:rPr>
        <w:t> </w:t>
      </w:r>
      <w:r>
        <w:rPr>
          <w:color w:val="1D71B8"/>
          <w:sz w:val="18"/>
          <w:u w:val="single" w:color="1D71B8"/>
        </w:rPr>
        <w:t>Advancetrack)</w:t>
      </w:r>
      <w:r>
        <w:rPr>
          <w:color w:val="1D71B8"/>
          <w:spacing w:val="-7"/>
          <w:sz w:val="18"/>
          <w:u w:val="single" w:color="1D71B8"/>
        </w:rPr>
        <w:t> </w:t>
      </w:r>
      <w:r>
        <w:rPr>
          <w:color w:val="1D71B8"/>
          <w:sz w:val="18"/>
          <w:u w:val="single" w:color="1D71B8"/>
        </w:rPr>
        <w:t>v</w:t>
      </w:r>
      <w:r>
        <w:rPr>
          <w:color w:val="1D71B8"/>
          <w:spacing w:val="-6"/>
          <w:sz w:val="18"/>
          <w:u w:val="single" w:color="1D71B8"/>
        </w:rPr>
        <w:t> </w:t>
      </w:r>
      <w:r>
        <w:rPr>
          <w:color w:val="1D71B8"/>
          <w:sz w:val="18"/>
          <w:u w:val="single" w:color="1D71B8"/>
        </w:rPr>
        <w:t>Global</w:t>
      </w:r>
      <w:r>
        <w:rPr>
          <w:color w:val="1D71B8"/>
          <w:spacing w:val="-7"/>
          <w:sz w:val="18"/>
          <w:u w:val="single" w:color="1D71B8"/>
        </w:rPr>
        <w:t> </w:t>
      </w:r>
      <w:r>
        <w:rPr>
          <w:color w:val="1D71B8"/>
          <w:sz w:val="18"/>
          <w:u w:val="single" w:color="1D71B8"/>
        </w:rPr>
        <w:t>Infosys</w:t>
      </w:r>
      <w:r>
        <w:rPr>
          <w:color w:val="1D71B8"/>
          <w:spacing w:val="-7"/>
          <w:sz w:val="18"/>
          <w:u w:val="single" w:color="1D71B8"/>
        </w:rPr>
        <w:t> </w:t>
      </w:r>
      <w:r>
        <w:rPr>
          <w:color w:val="1D71B8"/>
          <w:sz w:val="18"/>
          <w:u w:val="single" w:color="1D71B8"/>
        </w:rPr>
        <w:t>Ltd</w:t>
      </w:r>
      <w:r>
        <w:rPr>
          <w:color w:val="1D71B8"/>
          <w:spacing w:val="-7"/>
          <w:sz w:val="18"/>
          <w:u w:val="single" w:color="1D71B8"/>
        </w:rPr>
        <w:t> </w:t>
      </w:r>
      <w:r>
        <w:rPr>
          <w:color w:val="1D71B8"/>
          <w:sz w:val="18"/>
          <w:u w:val="single" w:color="1D71B8"/>
        </w:rPr>
        <w:t>(t/a</w:t>
      </w:r>
      <w:r>
        <w:rPr>
          <w:color w:val="1D71B8"/>
          <w:sz w:val="18"/>
          <w:u w:val="none"/>
        </w:rPr>
        <w:t> </w:t>
      </w:r>
      <w:r>
        <w:rPr>
          <w:color w:val="1D71B8"/>
          <w:sz w:val="18"/>
          <w:u w:val="single" w:color="1D71B8"/>
        </w:rPr>
        <w:t>GI Outsourcing)</w:t>
      </w:r>
      <w:r>
        <w:rPr>
          <w:color w:val="1D71B8"/>
          <w:sz w:val="18"/>
          <w:u w:val="none"/>
        </w:rPr>
        <w:t> </w:t>
      </w:r>
      <w:r>
        <w:rPr>
          <w:sz w:val="18"/>
          <w:u w:val="none"/>
        </w:rPr>
        <w:t>[2023] EWHC 2038 (Ch), (4 August 2023) [14].</w:t>
      </w:r>
    </w:p>
    <w:p>
      <w:pPr>
        <w:pStyle w:val="ListParagraph"/>
        <w:numPr>
          <w:ilvl w:val="0"/>
          <w:numId w:val="18"/>
        </w:numPr>
        <w:tabs>
          <w:tab w:pos="1287" w:val="left" w:leader="none"/>
        </w:tabs>
        <w:spacing w:line="240" w:lineRule="auto" w:before="1" w:after="0"/>
        <w:ind w:left="1287" w:right="0" w:hanging="567"/>
        <w:jc w:val="left"/>
        <w:rPr>
          <w:sz w:val="18"/>
        </w:rPr>
      </w:pPr>
      <w:r>
        <w:rPr>
          <w:i/>
          <w:sz w:val="18"/>
        </w:rPr>
        <w:t>Piramal</w:t>
      </w:r>
      <w:r>
        <w:rPr>
          <w:i/>
          <w:spacing w:val="-7"/>
          <w:sz w:val="18"/>
        </w:rPr>
        <w:t> </w:t>
      </w:r>
      <w:r>
        <w:rPr>
          <w:i/>
          <w:sz w:val="18"/>
        </w:rPr>
        <w:t>Healthcare</w:t>
      </w:r>
      <w:r>
        <w:rPr>
          <w:i/>
          <w:spacing w:val="-3"/>
          <w:sz w:val="18"/>
        </w:rPr>
        <w:t> </w:t>
      </w:r>
      <w:r>
        <w:rPr>
          <w:i/>
          <w:sz w:val="18"/>
        </w:rPr>
        <w:t>UK</w:t>
      </w:r>
      <w:r>
        <w:rPr>
          <w:i/>
          <w:spacing w:val="-3"/>
          <w:sz w:val="18"/>
        </w:rPr>
        <w:t> </w:t>
      </w:r>
      <w:r>
        <w:rPr>
          <w:i/>
          <w:sz w:val="18"/>
        </w:rPr>
        <w:t>Ltd</w:t>
      </w:r>
      <w:r>
        <w:rPr>
          <w:i/>
          <w:spacing w:val="-5"/>
          <w:sz w:val="18"/>
        </w:rPr>
        <w:t> </w:t>
      </w:r>
      <w:r>
        <w:rPr>
          <w:i/>
          <w:sz w:val="18"/>
        </w:rPr>
        <w:t>v</w:t>
      </w:r>
      <w:r>
        <w:rPr>
          <w:i/>
          <w:spacing w:val="-3"/>
          <w:sz w:val="18"/>
        </w:rPr>
        <w:t> </w:t>
      </w:r>
      <w:r>
        <w:rPr>
          <w:i/>
          <w:sz w:val="18"/>
        </w:rPr>
        <w:t>Revenue</w:t>
      </w:r>
      <w:r>
        <w:rPr>
          <w:i/>
          <w:spacing w:val="-3"/>
          <w:sz w:val="18"/>
        </w:rPr>
        <w:t> </w:t>
      </w:r>
      <w:r>
        <w:rPr>
          <w:i/>
          <w:sz w:val="18"/>
        </w:rPr>
        <w:t>and</w:t>
      </w:r>
      <w:r>
        <w:rPr>
          <w:i/>
          <w:spacing w:val="-5"/>
          <w:sz w:val="18"/>
        </w:rPr>
        <w:t> </w:t>
      </w:r>
      <w:r>
        <w:rPr>
          <w:i/>
          <w:sz w:val="18"/>
        </w:rPr>
        <w:t>Customs</w:t>
      </w:r>
      <w:r>
        <w:rPr>
          <w:i/>
          <w:spacing w:val="-4"/>
          <w:sz w:val="18"/>
        </w:rPr>
        <w:t> </w:t>
      </w:r>
      <w:r>
        <w:rPr>
          <w:i/>
          <w:sz w:val="18"/>
        </w:rPr>
        <w:t>Commissioners</w:t>
      </w:r>
      <w:r>
        <w:rPr>
          <w:i/>
          <w:spacing w:val="-4"/>
          <w:sz w:val="18"/>
        </w:rPr>
        <w:t> </w:t>
      </w:r>
      <w:r>
        <w:rPr>
          <w:sz w:val="18"/>
        </w:rPr>
        <w:t>[2023]</w:t>
      </w:r>
      <w:r>
        <w:rPr>
          <w:spacing w:val="-3"/>
          <w:sz w:val="18"/>
        </w:rPr>
        <w:t> </w:t>
      </w:r>
      <w:r>
        <w:rPr>
          <w:sz w:val="18"/>
        </w:rPr>
        <w:t>UKFTT</w:t>
      </w:r>
      <w:r>
        <w:rPr>
          <w:spacing w:val="-5"/>
          <w:sz w:val="18"/>
        </w:rPr>
        <w:t> </w:t>
      </w:r>
      <w:r>
        <w:rPr>
          <w:sz w:val="18"/>
        </w:rPr>
        <w:t>891</w:t>
      </w:r>
      <w:r>
        <w:rPr>
          <w:spacing w:val="-3"/>
          <w:sz w:val="18"/>
        </w:rPr>
        <w:t> </w:t>
      </w:r>
      <w:r>
        <w:rPr>
          <w:sz w:val="18"/>
        </w:rPr>
        <w:t>(TC),</w:t>
      </w:r>
      <w:r>
        <w:rPr>
          <w:spacing w:val="-3"/>
          <w:sz w:val="18"/>
        </w:rPr>
        <w:t> </w:t>
      </w:r>
      <w:r>
        <w:rPr>
          <w:sz w:val="18"/>
        </w:rPr>
        <w:t>[2023],</w:t>
      </w:r>
      <w:r>
        <w:rPr>
          <w:spacing w:val="-4"/>
          <w:sz w:val="18"/>
        </w:rPr>
        <w:t> </w:t>
      </w:r>
      <w:r>
        <w:rPr>
          <w:sz w:val="18"/>
        </w:rPr>
        <w:t>(17</w:t>
      </w:r>
      <w:r>
        <w:rPr>
          <w:spacing w:val="-3"/>
          <w:sz w:val="18"/>
        </w:rPr>
        <w:t> </w:t>
      </w:r>
      <w:r>
        <w:rPr>
          <w:sz w:val="18"/>
        </w:rPr>
        <w:t>October</w:t>
      </w:r>
      <w:r>
        <w:rPr>
          <w:spacing w:val="-3"/>
          <w:sz w:val="18"/>
        </w:rPr>
        <w:t> </w:t>
      </w:r>
      <w:r>
        <w:rPr>
          <w:sz w:val="18"/>
        </w:rPr>
        <w:t>2023)</w:t>
      </w:r>
      <w:r>
        <w:rPr>
          <w:spacing w:val="-4"/>
          <w:sz w:val="18"/>
        </w:rPr>
        <w:t> </w:t>
      </w:r>
      <w:r>
        <w:rPr>
          <w:spacing w:val="-2"/>
          <w:sz w:val="18"/>
        </w:rPr>
        <w:t>[27]-</w:t>
      </w:r>
    </w:p>
    <w:p>
      <w:pPr>
        <w:spacing w:before="0"/>
        <w:ind w:left="1287" w:right="0" w:firstLine="0"/>
        <w:jc w:val="left"/>
        <w:rPr>
          <w:sz w:val="18"/>
        </w:rPr>
      </w:pPr>
      <w:r>
        <w:rPr>
          <w:spacing w:val="-2"/>
          <w:sz w:val="18"/>
        </w:rPr>
        <w:t>[33].</w:t>
      </w:r>
    </w:p>
    <w:p>
      <w:pPr>
        <w:pStyle w:val="ListParagraph"/>
        <w:numPr>
          <w:ilvl w:val="0"/>
          <w:numId w:val="18"/>
        </w:numPr>
        <w:tabs>
          <w:tab w:pos="1287" w:val="left" w:leader="none"/>
        </w:tabs>
        <w:spacing w:line="240" w:lineRule="auto" w:before="1" w:after="0"/>
        <w:ind w:left="1287" w:right="1178" w:hanging="567"/>
        <w:jc w:val="left"/>
        <w:rPr>
          <w:sz w:val="18"/>
        </w:rPr>
      </w:pPr>
      <w:r>
        <w:rPr>
          <w:color w:val="1D71B8"/>
          <w:sz w:val="18"/>
          <w:u w:val="single" w:color="1D71B8"/>
        </w:rPr>
        <w:t>E-Accounting</w:t>
      </w:r>
      <w:r>
        <w:rPr>
          <w:color w:val="1D71B8"/>
          <w:spacing w:val="-5"/>
          <w:sz w:val="18"/>
          <w:u w:val="single" w:color="1D71B8"/>
        </w:rPr>
        <w:t> </w:t>
      </w:r>
      <w:r>
        <w:rPr>
          <w:color w:val="1D71B8"/>
          <w:sz w:val="18"/>
          <w:u w:val="single" w:color="1D71B8"/>
        </w:rPr>
        <w:t>Solutions</w:t>
      </w:r>
      <w:r>
        <w:rPr>
          <w:color w:val="1D71B8"/>
          <w:spacing w:val="-6"/>
          <w:sz w:val="18"/>
          <w:u w:val="single" w:color="1D71B8"/>
        </w:rPr>
        <w:t> </w:t>
      </w:r>
      <w:r>
        <w:rPr>
          <w:color w:val="1D71B8"/>
          <w:sz w:val="18"/>
          <w:u w:val="single" w:color="1D71B8"/>
        </w:rPr>
        <w:t>Ltd</w:t>
      </w:r>
      <w:r>
        <w:rPr>
          <w:color w:val="1D71B8"/>
          <w:spacing w:val="-6"/>
          <w:sz w:val="18"/>
          <w:u w:val="single" w:color="1D71B8"/>
        </w:rPr>
        <w:t> </w:t>
      </w:r>
      <w:r>
        <w:rPr>
          <w:color w:val="1D71B8"/>
          <w:sz w:val="18"/>
          <w:u w:val="single" w:color="1D71B8"/>
        </w:rPr>
        <w:t>(t/a</w:t>
      </w:r>
      <w:r>
        <w:rPr>
          <w:color w:val="1D71B8"/>
          <w:spacing w:val="-6"/>
          <w:sz w:val="18"/>
          <w:u w:val="single" w:color="1D71B8"/>
        </w:rPr>
        <w:t> </w:t>
      </w:r>
      <w:r>
        <w:rPr>
          <w:color w:val="1D71B8"/>
          <w:sz w:val="18"/>
          <w:u w:val="single" w:color="1D71B8"/>
        </w:rPr>
        <w:t>Advancetrack)</w:t>
      </w:r>
      <w:r>
        <w:rPr>
          <w:color w:val="1D71B8"/>
          <w:spacing w:val="-6"/>
          <w:sz w:val="18"/>
          <w:u w:val="single" w:color="1D71B8"/>
        </w:rPr>
        <w:t> </w:t>
      </w:r>
      <w:r>
        <w:rPr>
          <w:color w:val="1D71B8"/>
          <w:sz w:val="18"/>
          <w:u w:val="single" w:color="1D71B8"/>
        </w:rPr>
        <w:t>v</w:t>
      </w:r>
      <w:r>
        <w:rPr>
          <w:color w:val="1D71B8"/>
          <w:spacing w:val="-6"/>
          <w:sz w:val="18"/>
          <w:u w:val="single" w:color="1D71B8"/>
        </w:rPr>
        <w:t> </w:t>
      </w:r>
      <w:r>
        <w:rPr>
          <w:color w:val="1D71B8"/>
          <w:sz w:val="18"/>
          <w:u w:val="single" w:color="1D71B8"/>
        </w:rPr>
        <w:t>Global</w:t>
      </w:r>
      <w:r>
        <w:rPr>
          <w:color w:val="1D71B8"/>
          <w:spacing w:val="-6"/>
          <w:sz w:val="18"/>
          <w:u w:val="single" w:color="1D71B8"/>
        </w:rPr>
        <w:t> </w:t>
      </w:r>
      <w:r>
        <w:rPr>
          <w:color w:val="1D71B8"/>
          <w:sz w:val="18"/>
          <w:u w:val="single" w:color="1D71B8"/>
        </w:rPr>
        <w:t>Infosys</w:t>
      </w:r>
      <w:r>
        <w:rPr>
          <w:color w:val="1D71B8"/>
          <w:spacing w:val="-6"/>
          <w:sz w:val="18"/>
          <w:u w:val="single" w:color="1D71B8"/>
        </w:rPr>
        <w:t> </w:t>
      </w:r>
      <w:r>
        <w:rPr>
          <w:color w:val="1D71B8"/>
          <w:sz w:val="18"/>
          <w:u w:val="single" w:color="1D71B8"/>
        </w:rPr>
        <w:t>Ltd</w:t>
      </w:r>
      <w:r>
        <w:rPr>
          <w:color w:val="1D71B8"/>
          <w:spacing w:val="-6"/>
          <w:sz w:val="18"/>
          <w:u w:val="single" w:color="1D71B8"/>
        </w:rPr>
        <w:t> </w:t>
      </w:r>
      <w:r>
        <w:rPr>
          <w:color w:val="1D71B8"/>
          <w:sz w:val="18"/>
          <w:u w:val="single" w:color="1D71B8"/>
        </w:rPr>
        <w:t>(t/a</w:t>
      </w:r>
      <w:r>
        <w:rPr>
          <w:color w:val="1D71B8"/>
          <w:spacing w:val="-6"/>
          <w:sz w:val="18"/>
          <w:u w:val="single" w:color="1D71B8"/>
        </w:rPr>
        <w:t> </w:t>
      </w:r>
      <w:r>
        <w:rPr>
          <w:color w:val="1D71B8"/>
          <w:sz w:val="18"/>
          <w:u w:val="single" w:color="1D71B8"/>
        </w:rPr>
        <w:t>GI</w:t>
      </w:r>
      <w:r>
        <w:rPr>
          <w:color w:val="1D71B8"/>
          <w:spacing w:val="-5"/>
          <w:sz w:val="18"/>
          <w:u w:val="single" w:color="1D71B8"/>
        </w:rPr>
        <w:t> </w:t>
      </w:r>
      <w:r>
        <w:rPr>
          <w:color w:val="1D71B8"/>
          <w:sz w:val="18"/>
          <w:u w:val="single" w:color="1D71B8"/>
        </w:rPr>
        <w:t>Outsourcing)</w:t>
      </w:r>
      <w:r>
        <w:rPr>
          <w:i/>
          <w:sz w:val="18"/>
          <w:u w:val="none"/>
        </w:rPr>
        <w:t>)</w:t>
      </w:r>
      <w:r>
        <w:rPr>
          <w:i/>
          <w:spacing w:val="-5"/>
          <w:sz w:val="18"/>
          <w:u w:val="none"/>
        </w:rPr>
        <w:t> </w:t>
      </w:r>
      <w:r>
        <w:rPr>
          <w:sz w:val="18"/>
          <w:u w:val="none"/>
        </w:rPr>
        <w:t>[2023]</w:t>
      </w:r>
      <w:r>
        <w:rPr>
          <w:spacing w:val="-5"/>
          <w:sz w:val="18"/>
          <w:u w:val="none"/>
        </w:rPr>
        <w:t> </w:t>
      </w:r>
      <w:r>
        <w:rPr>
          <w:sz w:val="18"/>
          <w:u w:val="none"/>
        </w:rPr>
        <w:t>EWHC</w:t>
      </w:r>
      <w:r>
        <w:rPr>
          <w:spacing w:val="-6"/>
          <w:sz w:val="18"/>
          <w:u w:val="none"/>
        </w:rPr>
        <w:t> </w:t>
      </w:r>
      <w:r>
        <w:rPr>
          <w:sz w:val="18"/>
          <w:u w:val="none"/>
        </w:rPr>
        <w:t>2038</w:t>
      </w:r>
      <w:r>
        <w:rPr>
          <w:spacing w:val="-5"/>
          <w:sz w:val="18"/>
          <w:u w:val="none"/>
        </w:rPr>
        <w:t> </w:t>
      </w:r>
      <w:r>
        <w:rPr>
          <w:sz w:val="18"/>
          <w:u w:val="none"/>
        </w:rPr>
        <w:t>(Ch),</w:t>
      </w:r>
      <w:r>
        <w:rPr>
          <w:spacing w:val="-5"/>
          <w:sz w:val="18"/>
          <w:u w:val="none"/>
        </w:rPr>
        <w:t> </w:t>
      </w:r>
      <w:r>
        <w:rPr>
          <w:sz w:val="18"/>
          <w:u w:val="none"/>
        </w:rPr>
        <w:t>(4</w:t>
      </w:r>
      <w:r>
        <w:rPr>
          <w:spacing w:val="-5"/>
          <w:sz w:val="18"/>
          <w:u w:val="none"/>
        </w:rPr>
        <w:t> </w:t>
      </w:r>
      <w:r>
        <w:rPr>
          <w:sz w:val="18"/>
          <w:u w:val="none"/>
        </w:rPr>
        <w:t>August 2023)</w:t>
      </w:r>
      <w:r>
        <w:rPr>
          <w:spacing w:val="-2"/>
          <w:sz w:val="18"/>
          <w:u w:val="none"/>
        </w:rPr>
        <w:t> </w:t>
      </w:r>
      <w:r>
        <w:rPr>
          <w:sz w:val="18"/>
          <w:u w:val="none"/>
        </w:rPr>
        <w:t>[12].</w:t>
      </w:r>
    </w:p>
    <w:p>
      <w:pPr>
        <w:pStyle w:val="ListParagraph"/>
        <w:numPr>
          <w:ilvl w:val="0"/>
          <w:numId w:val="18"/>
        </w:numPr>
        <w:tabs>
          <w:tab w:pos="1287" w:val="left" w:leader="none"/>
        </w:tabs>
        <w:spacing w:line="240" w:lineRule="auto" w:before="0" w:after="0"/>
        <w:ind w:left="1287" w:right="0" w:hanging="567"/>
        <w:jc w:val="left"/>
        <w:rPr>
          <w:sz w:val="18"/>
        </w:rPr>
      </w:pPr>
      <w:r>
        <w:rPr>
          <w:sz w:val="18"/>
        </w:rPr>
        <w:t>Dukes</w:t>
      </w:r>
      <w:r>
        <w:rPr>
          <w:spacing w:val="-7"/>
          <w:sz w:val="18"/>
        </w:rPr>
        <w:t> </w:t>
      </w:r>
      <w:r>
        <w:rPr>
          <w:sz w:val="18"/>
        </w:rPr>
        <w:t>Bailiffs</w:t>
      </w:r>
      <w:r>
        <w:rPr>
          <w:spacing w:val="-7"/>
          <w:sz w:val="18"/>
        </w:rPr>
        <w:t> </w:t>
      </w:r>
      <w:r>
        <w:rPr>
          <w:sz w:val="18"/>
        </w:rPr>
        <w:t>Ltd</w:t>
      </w:r>
      <w:r>
        <w:rPr>
          <w:spacing w:val="-6"/>
          <w:sz w:val="18"/>
        </w:rPr>
        <w:t> </w:t>
      </w:r>
      <w:r>
        <w:rPr>
          <w:sz w:val="18"/>
        </w:rPr>
        <w:t>v</w:t>
      </w:r>
      <w:r>
        <w:rPr>
          <w:spacing w:val="-6"/>
          <w:sz w:val="18"/>
        </w:rPr>
        <w:t> </w:t>
      </w:r>
      <w:r>
        <w:rPr>
          <w:sz w:val="18"/>
        </w:rPr>
        <w:t>Breckland</w:t>
      </w:r>
      <w:r>
        <w:rPr>
          <w:spacing w:val="-7"/>
          <w:sz w:val="18"/>
        </w:rPr>
        <w:t> </w:t>
      </w:r>
      <w:r>
        <w:rPr>
          <w:sz w:val="18"/>
        </w:rPr>
        <w:t>Council</w:t>
      </w:r>
      <w:r>
        <w:rPr>
          <w:spacing w:val="-6"/>
          <w:sz w:val="18"/>
        </w:rPr>
        <w:t> </w:t>
      </w:r>
      <w:r>
        <w:rPr>
          <w:sz w:val="18"/>
        </w:rPr>
        <w:t>[2023]</w:t>
      </w:r>
      <w:r>
        <w:rPr>
          <w:spacing w:val="-6"/>
          <w:sz w:val="18"/>
        </w:rPr>
        <w:t> </w:t>
      </w:r>
      <w:r>
        <w:rPr>
          <w:sz w:val="18"/>
        </w:rPr>
        <w:t>EWHC</w:t>
      </w:r>
      <w:r>
        <w:rPr>
          <w:spacing w:val="-6"/>
          <w:sz w:val="18"/>
        </w:rPr>
        <w:t> </w:t>
      </w:r>
      <w:r>
        <w:rPr>
          <w:sz w:val="18"/>
        </w:rPr>
        <w:t>1569</w:t>
      </w:r>
      <w:r>
        <w:rPr>
          <w:spacing w:val="-6"/>
          <w:sz w:val="18"/>
        </w:rPr>
        <w:t> </w:t>
      </w:r>
      <w:r>
        <w:rPr>
          <w:sz w:val="18"/>
        </w:rPr>
        <w:t>(TCC)</w:t>
      </w:r>
      <w:r>
        <w:rPr>
          <w:spacing w:val="-6"/>
          <w:sz w:val="18"/>
        </w:rPr>
        <w:t> </w:t>
      </w:r>
      <w:r>
        <w:rPr>
          <w:spacing w:val="-2"/>
          <w:sz w:val="18"/>
        </w:rPr>
        <w:t>[43].</w:t>
      </w:r>
    </w:p>
    <w:p>
      <w:pPr>
        <w:pStyle w:val="ListParagraph"/>
        <w:numPr>
          <w:ilvl w:val="0"/>
          <w:numId w:val="18"/>
        </w:numPr>
        <w:tabs>
          <w:tab w:pos="1287" w:val="left" w:leader="none"/>
        </w:tabs>
        <w:spacing w:line="240" w:lineRule="auto" w:before="0" w:after="0"/>
        <w:ind w:left="1287" w:right="1233" w:hanging="567"/>
        <w:jc w:val="left"/>
        <w:rPr>
          <w:sz w:val="18"/>
        </w:rPr>
      </w:pPr>
      <w:r>
        <w:rPr>
          <w:color w:val="1D71B8"/>
          <w:sz w:val="18"/>
          <w:u w:val="single" w:color="1D71B8"/>
        </w:rPr>
        <w:t>E-Accounting</w:t>
      </w:r>
      <w:r>
        <w:rPr>
          <w:color w:val="1D71B8"/>
          <w:spacing w:val="-5"/>
          <w:sz w:val="18"/>
          <w:u w:val="single" w:color="1D71B8"/>
        </w:rPr>
        <w:t> </w:t>
      </w:r>
      <w:r>
        <w:rPr>
          <w:color w:val="1D71B8"/>
          <w:sz w:val="18"/>
          <w:u w:val="single" w:color="1D71B8"/>
        </w:rPr>
        <w:t>Solutions</w:t>
      </w:r>
      <w:r>
        <w:rPr>
          <w:color w:val="1D71B8"/>
          <w:spacing w:val="-6"/>
          <w:sz w:val="18"/>
          <w:u w:val="single" w:color="1D71B8"/>
        </w:rPr>
        <w:t> </w:t>
      </w:r>
      <w:r>
        <w:rPr>
          <w:color w:val="1D71B8"/>
          <w:sz w:val="18"/>
          <w:u w:val="single" w:color="1D71B8"/>
        </w:rPr>
        <w:t>Ltd</w:t>
      </w:r>
      <w:r>
        <w:rPr>
          <w:color w:val="1D71B8"/>
          <w:spacing w:val="-6"/>
          <w:sz w:val="18"/>
          <w:u w:val="single" w:color="1D71B8"/>
        </w:rPr>
        <w:t> </w:t>
      </w:r>
      <w:r>
        <w:rPr>
          <w:color w:val="1D71B8"/>
          <w:sz w:val="18"/>
          <w:u w:val="single" w:color="1D71B8"/>
        </w:rPr>
        <w:t>(t/a</w:t>
      </w:r>
      <w:r>
        <w:rPr>
          <w:color w:val="1D71B8"/>
          <w:spacing w:val="-6"/>
          <w:sz w:val="18"/>
          <w:u w:val="single" w:color="1D71B8"/>
        </w:rPr>
        <w:t> </w:t>
      </w:r>
      <w:r>
        <w:rPr>
          <w:color w:val="1D71B8"/>
          <w:sz w:val="18"/>
          <w:u w:val="single" w:color="1D71B8"/>
        </w:rPr>
        <w:t>Advancetrack)</w:t>
      </w:r>
      <w:r>
        <w:rPr>
          <w:color w:val="1D71B8"/>
          <w:spacing w:val="-6"/>
          <w:sz w:val="18"/>
          <w:u w:val="single" w:color="1D71B8"/>
        </w:rPr>
        <w:t> </w:t>
      </w:r>
      <w:r>
        <w:rPr>
          <w:color w:val="1D71B8"/>
          <w:sz w:val="18"/>
          <w:u w:val="single" w:color="1D71B8"/>
        </w:rPr>
        <w:t>v</w:t>
      </w:r>
      <w:r>
        <w:rPr>
          <w:color w:val="1D71B8"/>
          <w:spacing w:val="-5"/>
          <w:sz w:val="18"/>
          <w:u w:val="single" w:color="1D71B8"/>
        </w:rPr>
        <w:t> </w:t>
      </w:r>
      <w:r>
        <w:rPr>
          <w:color w:val="1D71B8"/>
          <w:sz w:val="18"/>
          <w:u w:val="single" w:color="1D71B8"/>
        </w:rPr>
        <w:t>Global</w:t>
      </w:r>
      <w:r>
        <w:rPr>
          <w:color w:val="1D71B8"/>
          <w:spacing w:val="-6"/>
          <w:sz w:val="18"/>
          <w:u w:val="single" w:color="1D71B8"/>
        </w:rPr>
        <w:t> </w:t>
      </w:r>
      <w:r>
        <w:rPr>
          <w:color w:val="1D71B8"/>
          <w:sz w:val="18"/>
          <w:u w:val="single" w:color="1D71B8"/>
        </w:rPr>
        <w:t>Infosys</w:t>
      </w:r>
      <w:r>
        <w:rPr>
          <w:color w:val="1D71B8"/>
          <w:spacing w:val="-6"/>
          <w:sz w:val="18"/>
          <w:u w:val="single" w:color="1D71B8"/>
        </w:rPr>
        <w:t> </w:t>
      </w:r>
      <w:r>
        <w:rPr>
          <w:color w:val="1D71B8"/>
          <w:sz w:val="18"/>
          <w:u w:val="single" w:color="1D71B8"/>
        </w:rPr>
        <w:t>Ltd</w:t>
      </w:r>
      <w:r>
        <w:rPr>
          <w:color w:val="1D71B8"/>
          <w:spacing w:val="-6"/>
          <w:sz w:val="18"/>
          <w:u w:val="single" w:color="1D71B8"/>
        </w:rPr>
        <w:t> </w:t>
      </w:r>
      <w:r>
        <w:rPr>
          <w:color w:val="1D71B8"/>
          <w:sz w:val="18"/>
          <w:u w:val="single" w:color="1D71B8"/>
        </w:rPr>
        <w:t>(t/a</w:t>
      </w:r>
      <w:r>
        <w:rPr>
          <w:color w:val="1D71B8"/>
          <w:spacing w:val="-6"/>
          <w:sz w:val="18"/>
          <w:u w:val="single" w:color="1D71B8"/>
        </w:rPr>
        <w:t> </w:t>
      </w:r>
      <w:r>
        <w:rPr>
          <w:color w:val="1D71B8"/>
          <w:sz w:val="18"/>
          <w:u w:val="single" w:color="1D71B8"/>
        </w:rPr>
        <w:t>GI</w:t>
      </w:r>
      <w:r>
        <w:rPr>
          <w:color w:val="1D71B8"/>
          <w:spacing w:val="-5"/>
          <w:sz w:val="18"/>
          <w:u w:val="single" w:color="1D71B8"/>
        </w:rPr>
        <w:t> </w:t>
      </w:r>
      <w:r>
        <w:rPr>
          <w:color w:val="1D71B8"/>
          <w:sz w:val="18"/>
          <w:u w:val="single" w:color="1D71B8"/>
        </w:rPr>
        <w:t>Outsourcing)</w:t>
      </w:r>
      <w:r>
        <w:rPr>
          <w:color w:val="1D71B8"/>
          <w:spacing w:val="-6"/>
          <w:sz w:val="18"/>
          <w:u w:val="none"/>
        </w:rPr>
        <w:t> </w:t>
      </w:r>
      <w:r>
        <w:rPr>
          <w:sz w:val="18"/>
          <w:u w:val="none"/>
        </w:rPr>
        <w:t>[2023]</w:t>
      </w:r>
      <w:r>
        <w:rPr>
          <w:spacing w:val="-5"/>
          <w:sz w:val="18"/>
          <w:u w:val="none"/>
        </w:rPr>
        <w:t> </w:t>
      </w:r>
      <w:r>
        <w:rPr>
          <w:sz w:val="18"/>
          <w:u w:val="none"/>
        </w:rPr>
        <w:t>EWHC</w:t>
      </w:r>
      <w:r>
        <w:rPr>
          <w:spacing w:val="-6"/>
          <w:sz w:val="18"/>
          <w:u w:val="none"/>
        </w:rPr>
        <w:t> </w:t>
      </w:r>
      <w:r>
        <w:rPr>
          <w:sz w:val="18"/>
          <w:u w:val="none"/>
        </w:rPr>
        <w:t>2038</w:t>
      </w:r>
      <w:r>
        <w:rPr>
          <w:spacing w:val="-5"/>
          <w:sz w:val="18"/>
          <w:u w:val="none"/>
        </w:rPr>
        <w:t> </w:t>
      </w:r>
      <w:r>
        <w:rPr>
          <w:sz w:val="18"/>
          <w:u w:val="none"/>
        </w:rPr>
        <w:t>(Ch),</w:t>
      </w:r>
      <w:r>
        <w:rPr>
          <w:spacing w:val="-5"/>
          <w:sz w:val="18"/>
          <w:u w:val="none"/>
        </w:rPr>
        <w:t> </w:t>
      </w:r>
      <w:r>
        <w:rPr>
          <w:sz w:val="18"/>
          <w:u w:val="none"/>
        </w:rPr>
        <w:t>(4</w:t>
      </w:r>
      <w:r>
        <w:rPr>
          <w:spacing w:val="-5"/>
          <w:sz w:val="18"/>
          <w:u w:val="none"/>
        </w:rPr>
        <w:t> </w:t>
      </w:r>
      <w:r>
        <w:rPr>
          <w:sz w:val="18"/>
          <w:u w:val="none"/>
        </w:rPr>
        <w:t>August 2023)</w:t>
      </w:r>
      <w:r>
        <w:rPr>
          <w:spacing w:val="-2"/>
          <w:sz w:val="18"/>
          <w:u w:val="none"/>
        </w:rPr>
        <w:t> </w:t>
      </w:r>
      <w:r>
        <w:rPr>
          <w:sz w:val="18"/>
          <w:u w:val="none"/>
        </w:rPr>
        <w:t>[12].</w:t>
      </w:r>
    </w:p>
    <w:p>
      <w:pPr>
        <w:pStyle w:val="ListParagraph"/>
        <w:numPr>
          <w:ilvl w:val="0"/>
          <w:numId w:val="18"/>
        </w:numPr>
        <w:tabs>
          <w:tab w:pos="1287" w:val="left" w:leader="none"/>
        </w:tabs>
        <w:spacing w:line="240" w:lineRule="auto" w:before="1" w:after="0"/>
        <w:ind w:left="1287" w:right="1208" w:hanging="567"/>
        <w:jc w:val="left"/>
        <w:rPr>
          <w:sz w:val="18"/>
        </w:rPr>
      </w:pPr>
      <w:r>
        <w:rPr>
          <w:color w:val="1D71B8"/>
          <w:sz w:val="18"/>
          <w:u w:val="single" w:color="1D71B8"/>
        </w:rPr>
        <w:t>R</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application</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The3Million</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Open</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Group)</w:t>
      </w:r>
      <w:r>
        <w:rPr>
          <w:color w:val="1D71B8"/>
          <w:spacing w:val="-4"/>
          <w:sz w:val="18"/>
          <w:u w:val="single" w:color="1D71B8"/>
        </w:rPr>
        <w:t> </w:t>
      </w:r>
      <w:r>
        <w:rPr>
          <w:color w:val="1D71B8"/>
          <w:sz w:val="18"/>
          <w:u w:val="single" w:color="1D71B8"/>
        </w:rPr>
        <w:t>v</w:t>
      </w:r>
      <w:r>
        <w:rPr>
          <w:color w:val="1D71B8"/>
          <w:spacing w:val="-3"/>
          <w:sz w:val="18"/>
          <w:u w:val="single" w:color="1D71B8"/>
        </w:rPr>
        <w:t> </w:t>
      </w:r>
      <w:r>
        <w:rPr>
          <w:color w:val="1D71B8"/>
          <w:sz w:val="18"/>
          <w:u w:val="single" w:color="1D71B8"/>
        </w:rPr>
        <w:t>Secretary</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State</w:t>
      </w:r>
      <w:r>
        <w:rPr>
          <w:color w:val="1D71B8"/>
          <w:spacing w:val="-3"/>
          <w:sz w:val="18"/>
          <w:u w:val="single" w:color="1D71B8"/>
        </w:rPr>
        <w:t> </w:t>
      </w:r>
      <w:r>
        <w:rPr>
          <w:color w:val="1D71B8"/>
          <w:sz w:val="18"/>
          <w:u w:val="single" w:color="1D71B8"/>
        </w:rPr>
        <w:t>for</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Home</w:t>
      </w:r>
      <w:r>
        <w:rPr>
          <w:color w:val="1D71B8"/>
          <w:spacing w:val="-3"/>
          <w:sz w:val="18"/>
          <w:u w:val="single" w:color="1D71B8"/>
        </w:rPr>
        <w:t> </w:t>
      </w:r>
      <w:r>
        <w:rPr>
          <w:color w:val="1D71B8"/>
          <w:sz w:val="18"/>
          <w:u w:val="single" w:color="1D71B8"/>
        </w:rPr>
        <w:t>Department</w:t>
      </w:r>
      <w:r>
        <w:rPr>
          <w:color w:val="1D71B8"/>
          <w:spacing w:val="-4"/>
          <w:sz w:val="18"/>
          <w:u w:val="none"/>
        </w:rPr>
        <w:t> </w:t>
      </w:r>
      <w:r>
        <w:rPr>
          <w:sz w:val="18"/>
          <w:u w:val="none"/>
        </w:rPr>
        <w:t>[2023]</w:t>
      </w:r>
      <w:r>
        <w:rPr>
          <w:spacing w:val="-3"/>
          <w:sz w:val="18"/>
          <w:u w:val="none"/>
        </w:rPr>
        <w:t> </w:t>
      </w:r>
      <w:r>
        <w:rPr>
          <w:sz w:val="18"/>
          <w:u w:val="none"/>
        </w:rPr>
        <w:t>EWHC 713 (Admin), (29 March 2023).</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898112">
                <wp:simplePos x="0" y="0"/>
                <wp:positionH relativeFrom="page">
                  <wp:posOffset>-2</wp:posOffset>
                </wp:positionH>
                <wp:positionV relativeFrom="page">
                  <wp:posOffset>0</wp:posOffset>
                </wp:positionV>
                <wp:extent cx="7560309" cy="1257935"/>
                <wp:effectExtent l="0" t="0" r="0" b="0"/>
                <wp:wrapNone/>
                <wp:docPr id="890" name="Group 890"/>
                <wp:cNvGraphicFramePr>
                  <a:graphicFrameLocks/>
                </wp:cNvGraphicFramePr>
                <a:graphic>
                  <a:graphicData uri="http://schemas.microsoft.com/office/word/2010/wordprocessingGroup">
                    <wpg:wgp>
                      <wpg:cNvPr id="890" name="Group 890"/>
                      <wpg:cNvGrpSpPr/>
                      <wpg:grpSpPr>
                        <a:xfrm>
                          <a:off x="0" y="0"/>
                          <a:ext cx="7560309" cy="1257935"/>
                          <a:chExt cx="7560309" cy="1257935"/>
                        </a:xfrm>
                      </wpg:grpSpPr>
                      <wps:wsp>
                        <wps:cNvPr id="891" name="Graphic 891"/>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892" name="Graphic 892"/>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893" name="Textbox 893"/>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894" name="Textbox 894"/>
                        <wps:cNvSpPr txBox="1"/>
                        <wps:spPr>
                          <a:xfrm>
                            <a:off x="7028829"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105</w:t>
                              </w:r>
                            </w:p>
                          </w:txbxContent>
                        </wps:txbx>
                        <wps:bodyPr wrap="square" lIns="0" tIns="0" rIns="0" bIns="0" rtlCol="0">
                          <a:noAutofit/>
                        </wps:bodyPr>
                      </wps:wsp>
                      <wps:wsp>
                        <wps:cNvPr id="895" name="Textbox 895"/>
                        <wps:cNvSpPr txBox="1"/>
                        <wps:spPr>
                          <a:xfrm>
                            <a:off x="900001" y="1080003"/>
                            <a:ext cx="5934075" cy="177800"/>
                          </a:xfrm>
                          <a:prstGeom prst="rect">
                            <a:avLst/>
                          </a:prstGeom>
                        </wps:spPr>
                        <wps:txbx>
                          <w:txbxContent>
                            <w:p>
                              <w:pPr>
                                <w:spacing w:line="280" w:lineRule="exact" w:before="0"/>
                                <w:ind w:left="0" w:right="0" w:firstLine="0"/>
                                <w:jc w:val="left"/>
                                <w:rPr>
                                  <w:sz w:val="28"/>
                                </w:rPr>
                              </w:pPr>
                              <w:r>
                                <w:rPr>
                                  <w:sz w:val="28"/>
                                </w:rPr>
                                <w:t>In</w:t>
                              </w:r>
                              <w:r>
                                <w:rPr>
                                  <w:spacing w:val="-5"/>
                                  <w:sz w:val="28"/>
                                </w:rPr>
                                <w:t> </w:t>
                              </w:r>
                              <w:r>
                                <w:rPr>
                                  <w:sz w:val="28"/>
                                </w:rPr>
                                <w:t>the</w:t>
                              </w:r>
                              <w:r>
                                <w:rPr>
                                  <w:spacing w:val="-4"/>
                                  <w:sz w:val="28"/>
                                </w:rPr>
                                <w:t> </w:t>
                              </w:r>
                              <w:r>
                                <w:rPr>
                                  <w:sz w:val="28"/>
                                </w:rPr>
                                <w:t>Rwanda</w:t>
                              </w:r>
                              <w:r>
                                <w:rPr>
                                  <w:spacing w:val="-5"/>
                                  <w:sz w:val="28"/>
                                </w:rPr>
                                <w:t> </w:t>
                              </w:r>
                              <w:r>
                                <w:rPr>
                                  <w:sz w:val="28"/>
                                </w:rPr>
                                <w:t>flights</w:t>
                              </w:r>
                              <w:r>
                                <w:rPr>
                                  <w:spacing w:val="-5"/>
                                  <w:sz w:val="28"/>
                                </w:rPr>
                                <w:t> </w:t>
                              </w:r>
                              <w:r>
                                <w:rPr>
                                  <w:sz w:val="28"/>
                                </w:rPr>
                                <w:t>judgment</w:t>
                              </w:r>
                              <w:r>
                                <w:rPr>
                                  <w:spacing w:val="-4"/>
                                  <w:sz w:val="28"/>
                                </w:rPr>
                                <w:t> </w:t>
                              </w:r>
                              <w:r>
                                <w:rPr>
                                  <w:sz w:val="28"/>
                                </w:rPr>
                                <w:t>the</w:t>
                              </w:r>
                              <w:r>
                                <w:rPr>
                                  <w:spacing w:val="-4"/>
                                  <w:sz w:val="28"/>
                                </w:rPr>
                                <w:t> </w:t>
                              </w:r>
                              <w:r>
                                <w:rPr>
                                  <w:sz w:val="28"/>
                                </w:rPr>
                                <w:t>Supreme</w:t>
                              </w:r>
                              <w:r>
                                <w:rPr>
                                  <w:spacing w:val="-4"/>
                                  <w:sz w:val="28"/>
                                </w:rPr>
                                <w:t> </w:t>
                              </w:r>
                              <w:r>
                                <w:rPr>
                                  <w:sz w:val="28"/>
                                </w:rPr>
                                <w:t>Court</w:t>
                              </w:r>
                              <w:r>
                                <w:rPr>
                                  <w:spacing w:val="-4"/>
                                  <w:sz w:val="28"/>
                                </w:rPr>
                                <w:t> </w:t>
                              </w:r>
                              <w:r>
                                <w:rPr>
                                  <w:sz w:val="28"/>
                                </w:rPr>
                                <w:t>found</w:t>
                              </w:r>
                              <w:r>
                                <w:rPr>
                                  <w:spacing w:val="-5"/>
                                  <w:sz w:val="28"/>
                                </w:rPr>
                                <w:t> </w:t>
                              </w:r>
                              <w:r>
                                <w:rPr>
                                  <w:sz w:val="28"/>
                                </w:rPr>
                                <w:t>that</w:t>
                              </w:r>
                              <w:r>
                                <w:rPr>
                                  <w:spacing w:val="-4"/>
                                  <w:sz w:val="28"/>
                                </w:rPr>
                                <w:t> </w:t>
                              </w:r>
                              <w:r>
                                <w:rPr>
                                  <w:sz w:val="28"/>
                                </w:rPr>
                                <w:t>the</w:t>
                              </w:r>
                              <w:r>
                                <w:rPr>
                                  <w:spacing w:val="-4"/>
                                  <w:sz w:val="28"/>
                                </w:rPr>
                                <w:t> </w:t>
                              </w:r>
                              <w:r>
                                <w:rPr>
                                  <w:sz w:val="28"/>
                                </w:rPr>
                                <w:t>scheme</w:t>
                              </w:r>
                              <w:r>
                                <w:rPr>
                                  <w:spacing w:val="-4"/>
                                  <w:sz w:val="28"/>
                                </w:rPr>
                                <w:t> </w:t>
                              </w:r>
                              <w:r>
                                <w:rPr>
                                  <w:sz w:val="28"/>
                                </w:rPr>
                                <w:t>to</w:t>
                              </w:r>
                              <w:r>
                                <w:rPr>
                                  <w:spacing w:val="-4"/>
                                  <w:sz w:val="28"/>
                                </w:rPr>
                                <w:t> send</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898112" id="docshapegroup730" coordorigin="0,0" coordsize="11906,1981">
                <v:shape style="position:absolute;left:0;top:0;width:11906;height:1819" id="docshape731"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732"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069;top:636;width:446;height:280" type="#_x0000_t202" id="docshape733" filled="false" stroked="false">
                  <v:textbox inset="0,0,0,0">
                    <w:txbxContent>
                      <w:p>
                        <w:pPr>
                          <w:spacing w:line="280" w:lineRule="exact" w:before="0"/>
                          <w:ind w:left="0" w:right="0" w:firstLine="0"/>
                          <w:jc w:val="left"/>
                          <w:rPr>
                            <w:b/>
                            <w:sz w:val="28"/>
                          </w:rPr>
                        </w:pPr>
                        <w:r>
                          <w:rPr>
                            <w:b/>
                            <w:color w:val="FFFFFF"/>
                            <w:spacing w:val="-5"/>
                            <w:sz w:val="28"/>
                          </w:rPr>
                          <w:t>105</w:t>
                        </w:r>
                      </w:p>
                    </w:txbxContent>
                  </v:textbox>
                  <w10:wrap type="none"/>
                </v:shape>
                <v:shape style="position:absolute;left:1417;top:1700;width:9345;height:280" type="#_x0000_t202" id="docshape734" filled="false" stroked="false">
                  <v:textbox inset="0,0,0,0">
                    <w:txbxContent>
                      <w:p>
                        <w:pPr>
                          <w:spacing w:line="280" w:lineRule="exact" w:before="0"/>
                          <w:ind w:left="0" w:right="0" w:firstLine="0"/>
                          <w:jc w:val="left"/>
                          <w:rPr>
                            <w:sz w:val="28"/>
                          </w:rPr>
                        </w:pPr>
                        <w:r>
                          <w:rPr>
                            <w:sz w:val="28"/>
                          </w:rPr>
                          <w:t>In</w:t>
                        </w:r>
                        <w:r>
                          <w:rPr>
                            <w:spacing w:val="-5"/>
                            <w:sz w:val="28"/>
                          </w:rPr>
                          <w:t> </w:t>
                        </w:r>
                        <w:r>
                          <w:rPr>
                            <w:sz w:val="28"/>
                          </w:rPr>
                          <w:t>the</w:t>
                        </w:r>
                        <w:r>
                          <w:rPr>
                            <w:spacing w:val="-4"/>
                            <w:sz w:val="28"/>
                          </w:rPr>
                          <w:t> </w:t>
                        </w:r>
                        <w:r>
                          <w:rPr>
                            <w:sz w:val="28"/>
                          </w:rPr>
                          <w:t>Rwanda</w:t>
                        </w:r>
                        <w:r>
                          <w:rPr>
                            <w:spacing w:val="-5"/>
                            <w:sz w:val="28"/>
                          </w:rPr>
                          <w:t> </w:t>
                        </w:r>
                        <w:r>
                          <w:rPr>
                            <w:sz w:val="28"/>
                          </w:rPr>
                          <w:t>flights</w:t>
                        </w:r>
                        <w:r>
                          <w:rPr>
                            <w:spacing w:val="-5"/>
                            <w:sz w:val="28"/>
                          </w:rPr>
                          <w:t> </w:t>
                        </w:r>
                        <w:r>
                          <w:rPr>
                            <w:sz w:val="28"/>
                          </w:rPr>
                          <w:t>judgment</w:t>
                        </w:r>
                        <w:r>
                          <w:rPr>
                            <w:spacing w:val="-4"/>
                            <w:sz w:val="28"/>
                          </w:rPr>
                          <w:t> </w:t>
                        </w:r>
                        <w:r>
                          <w:rPr>
                            <w:sz w:val="28"/>
                          </w:rPr>
                          <w:t>the</w:t>
                        </w:r>
                        <w:r>
                          <w:rPr>
                            <w:spacing w:val="-4"/>
                            <w:sz w:val="28"/>
                          </w:rPr>
                          <w:t> </w:t>
                        </w:r>
                        <w:r>
                          <w:rPr>
                            <w:sz w:val="28"/>
                          </w:rPr>
                          <w:t>Supreme</w:t>
                        </w:r>
                        <w:r>
                          <w:rPr>
                            <w:spacing w:val="-4"/>
                            <w:sz w:val="28"/>
                          </w:rPr>
                          <w:t> </w:t>
                        </w:r>
                        <w:r>
                          <w:rPr>
                            <w:sz w:val="28"/>
                          </w:rPr>
                          <w:t>Court</w:t>
                        </w:r>
                        <w:r>
                          <w:rPr>
                            <w:spacing w:val="-4"/>
                            <w:sz w:val="28"/>
                          </w:rPr>
                          <w:t> </w:t>
                        </w:r>
                        <w:r>
                          <w:rPr>
                            <w:sz w:val="28"/>
                          </w:rPr>
                          <w:t>found</w:t>
                        </w:r>
                        <w:r>
                          <w:rPr>
                            <w:spacing w:val="-5"/>
                            <w:sz w:val="28"/>
                          </w:rPr>
                          <w:t> </w:t>
                        </w:r>
                        <w:r>
                          <w:rPr>
                            <w:sz w:val="28"/>
                          </w:rPr>
                          <w:t>that</w:t>
                        </w:r>
                        <w:r>
                          <w:rPr>
                            <w:spacing w:val="-4"/>
                            <w:sz w:val="28"/>
                          </w:rPr>
                          <w:t> </w:t>
                        </w:r>
                        <w:r>
                          <w:rPr>
                            <w:sz w:val="28"/>
                          </w:rPr>
                          <w:t>the</w:t>
                        </w:r>
                        <w:r>
                          <w:rPr>
                            <w:spacing w:val="-4"/>
                            <w:sz w:val="28"/>
                          </w:rPr>
                          <w:t> </w:t>
                        </w:r>
                        <w:r>
                          <w:rPr>
                            <w:sz w:val="28"/>
                          </w:rPr>
                          <w:t>scheme</w:t>
                        </w:r>
                        <w:r>
                          <w:rPr>
                            <w:spacing w:val="-4"/>
                            <w:sz w:val="28"/>
                          </w:rPr>
                          <w:t> </w:t>
                        </w:r>
                        <w:r>
                          <w:rPr>
                            <w:sz w:val="28"/>
                          </w:rPr>
                          <w:t>to</w:t>
                        </w:r>
                        <w:r>
                          <w:rPr>
                            <w:spacing w:val="-4"/>
                            <w:sz w:val="28"/>
                          </w:rPr>
                          <w:t> send</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right="1087"/>
      </w:pPr>
      <w:bookmarkStart w:name="5.3 Withdrawal Agreement Case Law" w:id="167"/>
      <w:bookmarkEnd w:id="167"/>
      <w:r>
        <w:rPr/>
      </w:r>
      <w:bookmarkStart w:name="_bookmark70" w:id="168"/>
      <w:bookmarkEnd w:id="168"/>
      <w:r>
        <w:rPr/>
      </w:r>
      <w:r>
        <w:rPr/>
        <w:t>certain migrants to Rwanda for asylum claim processing to be unlawful.</w:t>
      </w:r>
      <w:r>
        <w:rPr>
          <w:vertAlign w:val="superscript"/>
        </w:rPr>
        <w:t>529</w:t>
      </w:r>
      <w:r>
        <w:rPr>
          <w:vertAlign w:val="baseline"/>
        </w:rPr>
        <w:t> The Court</w:t>
      </w:r>
      <w:r>
        <w:rPr>
          <w:spacing w:val="-5"/>
          <w:vertAlign w:val="baseline"/>
        </w:rPr>
        <w:t> </w:t>
      </w:r>
      <w:r>
        <w:rPr>
          <w:vertAlign w:val="baseline"/>
        </w:rPr>
        <w:t>found</w:t>
      </w:r>
      <w:r>
        <w:rPr>
          <w:spacing w:val="-6"/>
          <w:vertAlign w:val="baseline"/>
        </w:rPr>
        <w:t> </w:t>
      </w:r>
      <w:r>
        <w:rPr>
          <w:vertAlign w:val="baseline"/>
        </w:rPr>
        <w:t>that</w:t>
      </w:r>
      <w:r>
        <w:rPr>
          <w:spacing w:val="-5"/>
          <w:vertAlign w:val="baseline"/>
        </w:rPr>
        <w:t> </w:t>
      </w:r>
      <w:r>
        <w:rPr>
          <w:vertAlign w:val="baseline"/>
        </w:rPr>
        <w:t>there</w:t>
      </w:r>
      <w:r>
        <w:rPr>
          <w:spacing w:val="-5"/>
          <w:vertAlign w:val="baseline"/>
        </w:rPr>
        <w:t> </w:t>
      </w:r>
      <w:r>
        <w:rPr>
          <w:vertAlign w:val="baseline"/>
        </w:rPr>
        <w:t>was</w:t>
      </w:r>
      <w:r>
        <w:rPr>
          <w:spacing w:val="-6"/>
          <w:vertAlign w:val="baseline"/>
        </w:rPr>
        <w:t> </w:t>
      </w:r>
      <w:r>
        <w:rPr>
          <w:vertAlign w:val="baseline"/>
        </w:rPr>
        <w:t>a</w:t>
      </w:r>
      <w:r>
        <w:rPr>
          <w:spacing w:val="-6"/>
          <w:vertAlign w:val="baseline"/>
        </w:rPr>
        <w:t> </w:t>
      </w:r>
      <w:r>
        <w:rPr>
          <w:vertAlign w:val="baseline"/>
        </w:rPr>
        <w:t>real</w:t>
      </w:r>
      <w:r>
        <w:rPr>
          <w:spacing w:val="-6"/>
          <w:vertAlign w:val="baseline"/>
        </w:rPr>
        <w:t> </w:t>
      </w:r>
      <w:r>
        <w:rPr>
          <w:vertAlign w:val="baseline"/>
        </w:rPr>
        <w:t>risk</w:t>
      </w:r>
      <w:r>
        <w:rPr>
          <w:spacing w:val="-5"/>
          <w:vertAlign w:val="baseline"/>
        </w:rPr>
        <w:t> </w:t>
      </w:r>
      <w:r>
        <w:rPr>
          <w:vertAlign w:val="baseline"/>
        </w:rPr>
        <w:t>that</w:t>
      </w:r>
      <w:r>
        <w:rPr>
          <w:spacing w:val="-5"/>
          <w:vertAlign w:val="baseline"/>
        </w:rPr>
        <w:t> </w:t>
      </w:r>
      <w:r>
        <w:rPr>
          <w:vertAlign w:val="baseline"/>
        </w:rPr>
        <w:t>asylum</w:t>
      </w:r>
      <w:r>
        <w:rPr>
          <w:spacing w:val="-5"/>
          <w:vertAlign w:val="baseline"/>
        </w:rPr>
        <w:t> </w:t>
      </w:r>
      <w:r>
        <w:rPr>
          <w:vertAlign w:val="baseline"/>
        </w:rPr>
        <w:t>claims</w:t>
      </w:r>
      <w:r>
        <w:rPr>
          <w:spacing w:val="-6"/>
          <w:vertAlign w:val="baseline"/>
        </w:rPr>
        <w:t> </w:t>
      </w:r>
      <w:r>
        <w:rPr>
          <w:vertAlign w:val="baseline"/>
        </w:rPr>
        <w:t>would</w:t>
      </w:r>
      <w:r>
        <w:rPr>
          <w:spacing w:val="-6"/>
          <w:vertAlign w:val="baseline"/>
        </w:rPr>
        <w:t> </w:t>
      </w:r>
      <w:r>
        <w:rPr>
          <w:vertAlign w:val="baseline"/>
        </w:rPr>
        <w:t>not</w:t>
      </w:r>
      <w:r>
        <w:rPr>
          <w:spacing w:val="-5"/>
          <w:vertAlign w:val="baseline"/>
        </w:rPr>
        <w:t> </w:t>
      </w:r>
      <w:r>
        <w:rPr>
          <w:vertAlign w:val="baseline"/>
        </w:rPr>
        <w:t>be</w:t>
      </w:r>
      <w:r>
        <w:rPr>
          <w:spacing w:val="-5"/>
          <w:vertAlign w:val="baseline"/>
        </w:rPr>
        <w:t> </w:t>
      </w:r>
      <w:r>
        <w:rPr>
          <w:vertAlign w:val="baseline"/>
        </w:rPr>
        <w:t>properly considered in Rwanda and that therefore asylum seekers might be subject to </w:t>
      </w:r>
      <w:r>
        <w:rPr>
          <w:spacing w:val="-2"/>
          <w:vertAlign w:val="baseline"/>
        </w:rPr>
        <w:t>refoulement.</w:t>
      </w:r>
      <w:r>
        <w:rPr>
          <w:spacing w:val="-2"/>
          <w:vertAlign w:val="superscript"/>
        </w:rPr>
        <w:t>530</w:t>
      </w:r>
    </w:p>
    <w:p>
      <w:pPr>
        <w:pStyle w:val="BodyText"/>
        <w:spacing w:line="232" w:lineRule="auto" w:before="277"/>
        <w:ind w:left="1117" w:right="839"/>
      </w:pPr>
      <w:r>
        <w:rPr/>
        <w:t>In addition one of the asylum seekers claimed that the policy breached retained EU</w:t>
      </w:r>
      <w:r>
        <w:rPr>
          <w:spacing w:val="-5"/>
        </w:rPr>
        <w:t> </w:t>
      </w:r>
      <w:r>
        <w:rPr/>
        <w:t>law,</w:t>
      </w:r>
      <w:r>
        <w:rPr>
          <w:spacing w:val="-5"/>
        </w:rPr>
        <w:t> </w:t>
      </w:r>
      <w:r>
        <w:rPr/>
        <w:t>articles</w:t>
      </w:r>
      <w:r>
        <w:rPr>
          <w:spacing w:val="-6"/>
        </w:rPr>
        <w:t> </w:t>
      </w:r>
      <w:r>
        <w:rPr/>
        <w:t>25</w:t>
      </w:r>
      <w:r>
        <w:rPr>
          <w:spacing w:val="-5"/>
        </w:rPr>
        <w:t> </w:t>
      </w:r>
      <w:r>
        <w:rPr/>
        <w:t>and</w:t>
      </w:r>
      <w:r>
        <w:rPr>
          <w:spacing w:val="-6"/>
        </w:rPr>
        <w:t> </w:t>
      </w:r>
      <w:r>
        <w:rPr/>
        <w:t>27</w:t>
      </w:r>
      <w:r>
        <w:rPr>
          <w:spacing w:val="-5"/>
        </w:rPr>
        <w:t> </w:t>
      </w:r>
      <w:r>
        <w:rPr/>
        <w:t>of</w:t>
      </w:r>
      <w:r>
        <w:rPr>
          <w:spacing w:val="-6"/>
        </w:rPr>
        <w:t> </w:t>
      </w:r>
      <w:r>
        <w:rPr/>
        <w:t>the</w:t>
      </w:r>
      <w:r>
        <w:rPr>
          <w:spacing w:val="-5"/>
        </w:rPr>
        <w:t> </w:t>
      </w:r>
      <w:r>
        <w:rPr/>
        <w:t>Procedures</w:t>
      </w:r>
      <w:r>
        <w:rPr>
          <w:spacing w:val="-6"/>
        </w:rPr>
        <w:t> </w:t>
      </w:r>
      <w:r>
        <w:rPr/>
        <w:t>Directive,</w:t>
      </w:r>
      <w:r>
        <w:rPr>
          <w:spacing w:val="-5"/>
        </w:rPr>
        <w:t> </w:t>
      </w:r>
      <w:r>
        <w:rPr/>
        <w:t>because</w:t>
      </w:r>
      <w:r>
        <w:rPr>
          <w:spacing w:val="-5"/>
        </w:rPr>
        <w:t> </w:t>
      </w:r>
      <w:r>
        <w:rPr/>
        <w:t>the</w:t>
      </w:r>
      <w:r>
        <w:rPr>
          <w:spacing w:val="-5"/>
        </w:rPr>
        <w:t> </w:t>
      </w:r>
      <w:r>
        <w:rPr/>
        <w:t>scheme</w:t>
      </w:r>
      <w:r>
        <w:rPr>
          <w:spacing w:val="-5"/>
        </w:rPr>
        <w:t> </w:t>
      </w:r>
      <w:r>
        <w:rPr/>
        <w:t>was</w:t>
      </w:r>
      <w:r>
        <w:rPr>
          <w:spacing w:val="-6"/>
        </w:rPr>
        <w:t> </w:t>
      </w:r>
      <w:r>
        <w:rPr/>
        <w:t>an application of a safe third country policy in the absence of legislation and without a requirement of a link between the asylum seeker and the third country.</w:t>
      </w:r>
      <w:r>
        <w:rPr>
          <w:vertAlign w:val="superscript"/>
        </w:rPr>
        <w:t>531</w:t>
      </w:r>
      <w:r>
        <w:rPr>
          <w:vertAlign w:val="baseline"/>
        </w:rPr>
        <w:t> The Secretary of State argued that the Immigration and Social Security Co-ordination (EU Withdrawal) Act 2020 ended the applicability of the Procedures Directive in domestic law. The relevant parts of the 2020 Act took effect on IP completion day.</w:t>
      </w:r>
      <w:r>
        <w:rPr>
          <w:vertAlign w:val="superscript"/>
        </w:rPr>
        <w:t>532</w:t>
      </w:r>
      <w:r>
        <w:rPr>
          <w:vertAlign w:val="baseline"/>
        </w:rPr>
        <w:t> The Supreme Court accepted the Secretary of State’s argument that the 2020 Act ended the application of the Procedures Directive in UK law; notably the Secretary</w:t>
      </w:r>
      <w:r>
        <w:rPr>
          <w:spacing w:val="-5"/>
          <w:vertAlign w:val="baseline"/>
        </w:rPr>
        <w:t> </w:t>
      </w:r>
      <w:r>
        <w:rPr>
          <w:vertAlign w:val="baseline"/>
        </w:rPr>
        <w:t>of</w:t>
      </w:r>
      <w:r>
        <w:rPr>
          <w:spacing w:val="-6"/>
          <w:vertAlign w:val="baseline"/>
        </w:rPr>
        <w:t> </w:t>
      </w:r>
      <w:r>
        <w:rPr>
          <w:vertAlign w:val="baseline"/>
        </w:rPr>
        <w:t>State</w:t>
      </w:r>
      <w:r>
        <w:rPr>
          <w:spacing w:val="-5"/>
          <w:vertAlign w:val="baseline"/>
        </w:rPr>
        <w:t> </w:t>
      </w:r>
      <w:r>
        <w:rPr>
          <w:vertAlign w:val="baseline"/>
        </w:rPr>
        <w:t>had</w:t>
      </w:r>
      <w:r>
        <w:rPr>
          <w:spacing w:val="-6"/>
          <w:vertAlign w:val="baseline"/>
        </w:rPr>
        <w:t> </w:t>
      </w:r>
      <w:r>
        <w:rPr>
          <w:vertAlign w:val="baseline"/>
        </w:rPr>
        <w:t>conceded</w:t>
      </w:r>
      <w:r>
        <w:rPr>
          <w:spacing w:val="-6"/>
          <w:vertAlign w:val="baseline"/>
        </w:rPr>
        <w:t> </w:t>
      </w:r>
      <w:r>
        <w:rPr>
          <w:vertAlign w:val="baseline"/>
        </w:rPr>
        <w:t>that</w:t>
      </w:r>
      <w:r>
        <w:rPr>
          <w:spacing w:val="-5"/>
          <w:vertAlign w:val="baseline"/>
        </w:rPr>
        <w:t> </w:t>
      </w:r>
      <w:r>
        <w:rPr>
          <w:vertAlign w:val="baseline"/>
        </w:rPr>
        <w:t>if</w:t>
      </w:r>
      <w:r>
        <w:rPr>
          <w:spacing w:val="-6"/>
          <w:vertAlign w:val="baseline"/>
        </w:rPr>
        <w:t> </w:t>
      </w:r>
      <w:r>
        <w:rPr>
          <w:vertAlign w:val="baseline"/>
        </w:rPr>
        <w:t>the</w:t>
      </w:r>
      <w:r>
        <w:rPr>
          <w:spacing w:val="-5"/>
          <w:vertAlign w:val="baseline"/>
        </w:rPr>
        <w:t> </w:t>
      </w:r>
      <w:r>
        <w:rPr>
          <w:vertAlign w:val="baseline"/>
        </w:rPr>
        <w:t>Directive</w:t>
      </w:r>
      <w:r>
        <w:rPr>
          <w:spacing w:val="-5"/>
          <w:vertAlign w:val="baseline"/>
        </w:rPr>
        <w:t> </w:t>
      </w:r>
      <w:r>
        <w:rPr>
          <w:vertAlign w:val="baseline"/>
        </w:rPr>
        <w:t>applied</w:t>
      </w:r>
      <w:r>
        <w:rPr>
          <w:spacing w:val="-6"/>
          <w:vertAlign w:val="baseline"/>
        </w:rPr>
        <w:t> </w:t>
      </w:r>
      <w:r>
        <w:rPr>
          <w:vertAlign w:val="baseline"/>
        </w:rPr>
        <w:t>then</w:t>
      </w:r>
      <w:r>
        <w:rPr>
          <w:spacing w:val="-6"/>
          <w:vertAlign w:val="baseline"/>
        </w:rPr>
        <w:t> </w:t>
      </w:r>
      <w:r>
        <w:rPr>
          <w:vertAlign w:val="baseline"/>
        </w:rPr>
        <w:t>the</w:t>
      </w:r>
      <w:r>
        <w:rPr>
          <w:spacing w:val="-5"/>
          <w:vertAlign w:val="baseline"/>
        </w:rPr>
        <w:t> </w:t>
      </w:r>
      <w:r>
        <w:rPr>
          <w:vertAlign w:val="baseline"/>
        </w:rPr>
        <w:t>policy</w:t>
      </w:r>
      <w:r>
        <w:rPr>
          <w:spacing w:val="-5"/>
          <w:vertAlign w:val="baseline"/>
        </w:rPr>
        <w:t> </w:t>
      </w:r>
      <w:r>
        <w:rPr>
          <w:vertAlign w:val="baseline"/>
        </w:rPr>
        <w:t>would be in breach of the Directive.</w:t>
      </w:r>
      <w:r>
        <w:rPr>
          <w:vertAlign w:val="superscript"/>
        </w:rPr>
        <w:t>533</w:t>
      </w:r>
    </w:p>
    <w:p>
      <w:pPr>
        <w:pStyle w:val="BodyText"/>
        <w:spacing w:line="232" w:lineRule="auto" w:before="267"/>
        <w:ind w:left="1117" w:right="1654"/>
        <w:jc w:val="both"/>
      </w:pPr>
      <w:r>
        <w:rPr/>
        <w:t>While</w:t>
      </w:r>
      <w:r>
        <w:rPr>
          <w:spacing w:val="-6"/>
        </w:rPr>
        <w:t> </w:t>
      </w:r>
      <w:r>
        <w:rPr/>
        <w:t>this</w:t>
      </w:r>
      <w:r>
        <w:rPr>
          <w:spacing w:val="-7"/>
        </w:rPr>
        <w:t> </w:t>
      </w:r>
      <w:r>
        <w:rPr/>
        <w:t>argument</w:t>
      </w:r>
      <w:r>
        <w:rPr>
          <w:spacing w:val="-6"/>
        </w:rPr>
        <w:t> </w:t>
      </w:r>
      <w:r>
        <w:rPr/>
        <w:t>based</w:t>
      </w:r>
      <w:r>
        <w:rPr>
          <w:spacing w:val="-7"/>
        </w:rPr>
        <w:t> </w:t>
      </w:r>
      <w:r>
        <w:rPr/>
        <w:t>on</w:t>
      </w:r>
      <w:r>
        <w:rPr>
          <w:spacing w:val="-7"/>
        </w:rPr>
        <w:t> </w:t>
      </w:r>
      <w:r>
        <w:rPr/>
        <w:t>the</w:t>
      </w:r>
      <w:r>
        <w:rPr>
          <w:spacing w:val="-6"/>
        </w:rPr>
        <w:t> </w:t>
      </w:r>
      <w:r>
        <w:rPr/>
        <w:t>Procedures</w:t>
      </w:r>
      <w:r>
        <w:rPr>
          <w:spacing w:val="-7"/>
        </w:rPr>
        <w:t> </w:t>
      </w:r>
      <w:r>
        <w:rPr/>
        <w:t>Directive</w:t>
      </w:r>
      <w:r>
        <w:rPr>
          <w:spacing w:val="-6"/>
        </w:rPr>
        <w:t> </w:t>
      </w:r>
      <w:r>
        <w:rPr/>
        <w:t>was</w:t>
      </w:r>
      <w:r>
        <w:rPr>
          <w:spacing w:val="-7"/>
        </w:rPr>
        <w:t> </w:t>
      </w:r>
      <w:r>
        <w:rPr/>
        <w:t>unsuccessful</w:t>
      </w:r>
      <w:r>
        <w:rPr>
          <w:spacing w:val="-7"/>
        </w:rPr>
        <w:t> </w:t>
      </w:r>
      <w:r>
        <w:rPr/>
        <w:t>in the</w:t>
      </w:r>
      <w:r>
        <w:rPr>
          <w:spacing w:val="-5"/>
        </w:rPr>
        <w:t> </w:t>
      </w:r>
      <w:r>
        <w:rPr/>
        <w:t>Rwanda</w:t>
      </w:r>
      <w:r>
        <w:rPr>
          <w:spacing w:val="-6"/>
        </w:rPr>
        <w:t> </w:t>
      </w:r>
      <w:r>
        <w:rPr/>
        <w:t>case,</w:t>
      </w:r>
      <w:r>
        <w:rPr>
          <w:spacing w:val="-5"/>
        </w:rPr>
        <w:t> </w:t>
      </w:r>
      <w:r>
        <w:rPr/>
        <w:t>the</w:t>
      </w:r>
      <w:r>
        <w:rPr>
          <w:spacing w:val="-5"/>
        </w:rPr>
        <w:t> </w:t>
      </w:r>
      <w:r>
        <w:rPr/>
        <w:t>outcome</w:t>
      </w:r>
      <w:r>
        <w:rPr>
          <w:spacing w:val="-5"/>
        </w:rPr>
        <w:t> </w:t>
      </w:r>
      <w:r>
        <w:rPr/>
        <w:t>might</w:t>
      </w:r>
      <w:r>
        <w:rPr>
          <w:spacing w:val="-5"/>
        </w:rPr>
        <w:t> </w:t>
      </w:r>
      <w:r>
        <w:rPr/>
        <w:t>have</w:t>
      </w:r>
      <w:r>
        <w:rPr>
          <w:spacing w:val="-5"/>
        </w:rPr>
        <w:t> </w:t>
      </w:r>
      <w:r>
        <w:rPr/>
        <w:t>been</w:t>
      </w:r>
      <w:r>
        <w:rPr>
          <w:spacing w:val="-6"/>
        </w:rPr>
        <w:t> </w:t>
      </w:r>
      <w:r>
        <w:rPr/>
        <w:t>different</w:t>
      </w:r>
      <w:r>
        <w:rPr>
          <w:spacing w:val="-5"/>
        </w:rPr>
        <w:t> </w:t>
      </w:r>
      <w:r>
        <w:rPr/>
        <w:t>if</w:t>
      </w:r>
      <w:r>
        <w:rPr>
          <w:spacing w:val="-6"/>
        </w:rPr>
        <w:t> </w:t>
      </w:r>
      <w:r>
        <w:rPr/>
        <w:t>there</w:t>
      </w:r>
      <w:r>
        <w:rPr>
          <w:spacing w:val="-5"/>
        </w:rPr>
        <w:t> </w:t>
      </w:r>
      <w:r>
        <w:rPr/>
        <w:t>had</w:t>
      </w:r>
      <w:r>
        <w:rPr>
          <w:spacing w:val="-6"/>
        </w:rPr>
        <w:t> </w:t>
      </w:r>
      <w:r>
        <w:rPr/>
        <w:t>been a</w:t>
      </w:r>
      <w:r>
        <w:rPr>
          <w:spacing w:val="-2"/>
        </w:rPr>
        <w:t> </w:t>
      </w:r>
      <w:r>
        <w:rPr/>
        <w:t>Northern</w:t>
      </w:r>
      <w:r>
        <w:rPr>
          <w:spacing w:val="-2"/>
        </w:rPr>
        <w:t> </w:t>
      </w:r>
      <w:r>
        <w:rPr/>
        <w:t>Ireland</w:t>
      </w:r>
      <w:r>
        <w:rPr>
          <w:spacing w:val="-2"/>
        </w:rPr>
        <w:t> </w:t>
      </w:r>
      <w:r>
        <w:rPr/>
        <w:t>dimension</w:t>
      </w:r>
      <w:r>
        <w:rPr>
          <w:spacing w:val="-2"/>
        </w:rPr>
        <w:t> </w:t>
      </w:r>
      <w:r>
        <w:rPr/>
        <w:t>to</w:t>
      </w:r>
      <w:r>
        <w:rPr>
          <w:spacing w:val="-2"/>
        </w:rPr>
        <w:t> </w:t>
      </w:r>
      <w:r>
        <w:rPr/>
        <w:t>the</w:t>
      </w:r>
      <w:r>
        <w:rPr>
          <w:spacing w:val="-1"/>
        </w:rPr>
        <w:t> </w:t>
      </w:r>
      <w:r>
        <w:rPr/>
        <w:t>case.</w:t>
      </w:r>
      <w:r>
        <w:rPr>
          <w:spacing w:val="-2"/>
        </w:rPr>
        <w:t> </w:t>
      </w:r>
      <w:r>
        <w:rPr/>
        <w:t>In</w:t>
      </w:r>
      <w:r>
        <w:rPr>
          <w:spacing w:val="-2"/>
        </w:rPr>
        <w:t> </w:t>
      </w:r>
      <w:r>
        <w:rPr/>
        <w:t>that</w:t>
      </w:r>
      <w:r>
        <w:rPr>
          <w:spacing w:val="-1"/>
        </w:rPr>
        <w:t> </w:t>
      </w:r>
      <w:r>
        <w:rPr/>
        <w:t>scenario</w:t>
      </w:r>
      <w:r>
        <w:rPr>
          <w:spacing w:val="-2"/>
        </w:rPr>
        <w:t> </w:t>
      </w:r>
      <w:r>
        <w:rPr/>
        <w:t>the</w:t>
      </w:r>
      <w:r>
        <w:rPr>
          <w:spacing w:val="-1"/>
        </w:rPr>
        <w:t> </w:t>
      </w:r>
      <w:r>
        <w:rPr/>
        <w:t>policy</w:t>
      </w:r>
      <w:r>
        <w:rPr>
          <w:spacing w:val="-1"/>
        </w:rPr>
        <w:t> </w:t>
      </w:r>
      <w:r>
        <w:rPr/>
        <w:t>would</w:t>
      </w:r>
    </w:p>
    <w:p>
      <w:pPr>
        <w:pStyle w:val="BodyText"/>
        <w:spacing w:line="232" w:lineRule="auto"/>
        <w:ind w:left="1117" w:right="888"/>
      </w:pPr>
      <w:r>
        <w:rPr/>
        <w:t>represent</w:t>
      </w:r>
      <w:r>
        <w:rPr>
          <w:spacing w:val="-6"/>
        </w:rPr>
        <w:t> </w:t>
      </w:r>
      <w:r>
        <w:rPr/>
        <w:t>a</w:t>
      </w:r>
      <w:r>
        <w:rPr>
          <w:spacing w:val="-7"/>
        </w:rPr>
        <w:t> </w:t>
      </w:r>
      <w:r>
        <w:rPr/>
        <w:t>diminution</w:t>
      </w:r>
      <w:r>
        <w:rPr>
          <w:spacing w:val="-7"/>
        </w:rPr>
        <w:t> </w:t>
      </w:r>
      <w:r>
        <w:rPr/>
        <w:t>of</w:t>
      </w:r>
      <w:r>
        <w:rPr>
          <w:spacing w:val="-7"/>
        </w:rPr>
        <w:t> </w:t>
      </w:r>
      <w:r>
        <w:rPr/>
        <w:t>rights</w:t>
      </w:r>
      <w:r>
        <w:rPr>
          <w:spacing w:val="-7"/>
        </w:rPr>
        <w:t> </w:t>
      </w:r>
      <w:r>
        <w:rPr/>
        <w:t>existing</w:t>
      </w:r>
      <w:r>
        <w:rPr>
          <w:spacing w:val="-6"/>
        </w:rPr>
        <w:t> </w:t>
      </w:r>
      <w:r>
        <w:rPr/>
        <w:t>prior</w:t>
      </w:r>
      <w:r>
        <w:rPr>
          <w:spacing w:val="-6"/>
        </w:rPr>
        <w:t> </w:t>
      </w:r>
      <w:r>
        <w:rPr/>
        <w:t>to</w:t>
      </w:r>
      <w:r>
        <w:rPr>
          <w:spacing w:val="-7"/>
        </w:rPr>
        <w:t> </w:t>
      </w:r>
      <w:r>
        <w:rPr/>
        <w:t>the</w:t>
      </w:r>
      <w:r>
        <w:rPr>
          <w:spacing w:val="-6"/>
        </w:rPr>
        <w:t> </w:t>
      </w:r>
      <w:r>
        <w:rPr/>
        <w:t>UK’s</w:t>
      </w:r>
      <w:r>
        <w:rPr>
          <w:spacing w:val="-7"/>
        </w:rPr>
        <w:t> </w:t>
      </w:r>
      <w:r>
        <w:rPr/>
        <w:t>exit</w:t>
      </w:r>
      <w:r>
        <w:rPr>
          <w:spacing w:val="-6"/>
        </w:rPr>
        <w:t> </w:t>
      </w:r>
      <w:r>
        <w:rPr/>
        <w:t>and</w:t>
      </w:r>
      <w:r>
        <w:rPr>
          <w:spacing w:val="-7"/>
        </w:rPr>
        <w:t> </w:t>
      </w:r>
      <w:r>
        <w:rPr/>
        <w:t>which</w:t>
      </w:r>
      <w:r>
        <w:rPr>
          <w:spacing w:val="-7"/>
        </w:rPr>
        <w:t> </w:t>
      </w:r>
      <w:r>
        <w:rPr/>
        <w:t>could</w:t>
      </w:r>
      <w:r>
        <w:rPr>
          <w:spacing w:val="-7"/>
        </w:rPr>
        <w:t> </w:t>
      </w:r>
      <w:r>
        <w:rPr/>
        <w:t>not have happened but for the UK’s exit from the EU. That scenario would appear to fall within the scope of Article 2 WF as interpreted in Northern Ireland cases to date (see below). As discussed above in section 2.3.6 the NIHRC and ECNI have criticised the Safety of Rwanda Bill (now Act) in terms of its compliance with Article 2 WF.</w:t>
      </w:r>
    </w:p>
    <w:p>
      <w:pPr>
        <w:pStyle w:val="BodyText"/>
        <w:spacing w:before="5"/>
      </w:pPr>
    </w:p>
    <w:p>
      <w:pPr>
        <w:pStyle w:val="Heading2"/>
        <w:numPr>
          <w:ilvl w:val="1"/>
          <w:numId w:val="45"/>
        </w:numPr>
        <w:tabs>
          <w:tab w:pos="1599" w:val="left" w:leader="none"/>
        </w:tabs>
        <w:spacing w:line="240" w:lineRule="auto" w:before="0" w:after="0"/>
        <w:ind w:left="1599" w:right="0" w:hanging="482"/>
        <w:jc w:val="left"/>
      </w:pPr>
      <w:r>
        <w:rPr>
          <w:color w:val="004A93"/>
        </w:rPr>
        <w:t>Withdrawal</w:t>
      </w:r>
      <w:r>
        <w:rPr>
          <w:color w:val="004A93"/>
          <w:spacing w:val="-11"/>
        </w:rPr>
        <w:t> </w:t>
      </w:r>
      <w:r>
        <w:rPr>
          <w:color w:val="004A93"/>
        </w:rPr>
        <w:t>Agreement</w:t>
      </w:r>
      <w:r>
        <w:rPr>
          <w:color w:val="004A93"/>
          <w:spacing w:val="-11"/>
        </w:rPr>
        <w:t> </w:t>
      </w:r>
      <w:r>
        <w:rPr>
          <w:color w:val="004A93"/>
        </w:rPr>
        <w:t>Case</w:t>
      </w:r>
      <w:r>
        <w:rPr>
          <w:color w:val="004A93"/>
          <w:spacing w:val="-11"/>
        </w:rPr>
        <w:t> </w:t>
      </w:r>
      <w:r>
        <w:rPr>
          <w:color w:val="004A93"/>
          <w:spacing w:val="-5"/>
        </w:rPr>
        <w:t>Law</w:t>
      </w:r>
    </w:p>
    <w:p>
      <w:pPr>
        <w:pStyle w:val="BodyText"/>
        <w:spacing w:before="9"/>
        <w:rPr>
          <w:b/>
          <w:sz w:val="5"/>
        </w:rPr>
      </w:pPr>
      <w:r>
        <w:rPr/>
        <mc:AlternateContent>
          <mc:Choice Requires="wps">
            <w:drawing>
              <wp:anchor distT="0" distB="0" distL="0" distR="0" allowOverlap="1" layoutInCell="1" locked="0" behindDoc="1" simplePos="0" relativeHeight="487756288">
                <wp:simplePos x="0" y="0"/>
                <wp:positionH relativeFrom="page">
                  <wp:posOffset>899999</wp:posOffset>
                </wp:positionH>
                <wp:positionV relativeFrom="paragraph">
                  <wp:posOffset>59951</wp:posOffset>
                </wp:positionV>
                <wp:extent cx="6012180" cy="1270"/>
                <wp:effectExtent l="0" t="0" r="0" b="0"/>
                <wp:wrapTopAndBottom/>
                <wp:docPr id="896" name="Graphic 896"/>
                <wp:cNvGraphicFramePr>
                  <a:graphicFrameLocks/>
                </wp:cNvGraphicFramePr>
                <a:graphic>
                  <a:graphicData uri="http://schemas.microsoft.com/office/word/2010/wordprocessingShape">
                    <wps:wsp>
                      <wps:cNvPr id="896" name="Graphic 896"/>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720625pt;width:473.4pt;height:.1pt;mso-position-horizontal-relative:page;mso-position-vertical-relative:paragraph;z-index:-15560192;mso-wrap-distance-left:0;mso-wrap-distance-right:0" id="docshape735" coordorigin="1417,94" coordsize="9468,0" path="m1417,94l10885,94e" filled="false" stroked="true" strokeweight="1pt" strokecolor="#36a9e1">
                <v:path arrowok="t"/>
                <v:stroke dashstyle="solid"/>
                <w10:wrap type="topAndBottom"/>
              </v:shape>
            </w:pict>
          </mc:Fallback>
        </mc:AlternateContent>
      </w:r>
    </w:p>
    <w:p>
      <w:pPr>
        <w:pStyle w:val="BodyText"/>
        <w:spacing w:line="232" w:lineRule="auto" w:before="108"/>
        <w:ind w:left="1117" w:right="805"/>
      </w:pPr>
      <w:r>
        <w:rPr/>
        <w:t>Where courts are dealing with the Withdrawal Agreement (WA) then Article 4 of the Withdrawal Agreement and section 7A of the European Union (Withdrawal) Act 2018 apply. Article 4(1) WA provides that the Agreement shall have the same legal</w:t>
      </w:r>
      <w:r>
        <w:rPr>
          <w:spacing w:val="-6"/>
        </w:rPr>
        <w:t> </w:t>
      </w:r>
      <w:r>
        <w:rPr/>
        <w:t>effects</w:t>
      </w:r>
      <w:r>
        <w:rPr>
          <w:spacing w:val="-6"/>
        </w:rPr>
        <w:t> </w:t>
      </w:r>
      <w:r>
        <w:rPr/>
        <w:t>in</w:t>
      </w:r>
      <w:r>
        <w:rPr>
          <w:spacing w:val="-6"/>
        </w:rPr>
        <w:t> </w:t>
      </w:r>
      <w:r>
        <w:rPr/>
        <w:t>the</w:t>
      </w:r>
      <w:r>
        <w:rPr>
          <w:spacing w:val="-6"/>
        </w:rPr>
        <w:t> </w:t>
      </w:r>
      <w:r>
        <w:rPr/>
        <w:t>UK</w:t>
      </w:r>
      <w:r>
        <w:rPr>
          <w:spacing w:val="-6"/>
        </w:rPr>
        <w:t> </w:t>
      </w:r>
      <w:r>
        <w:rPr/>
        <w:t>as</w:t>
      </w:r>
      <w:r>
        <w:rPr>
          <w:spacing w:val="-6"/>
        </w:rPr>
        <w:t> </w:t>
      </w:r>
      <w:r>
        <w:rPr/>
        <w:t>in</w:t>
      </w:r>
      <w:r>
        <w:rPr>
          <w:spacing w:val="-6"/>
        </w:rPr>
        <w:t> </w:t>
      </w:r>
      <w:r>
        <w:rPr/>
        <w:t>the</w:t>
      </w:r>
      <w:r>
        <w:rPr>
          <w:spacing w:val="-6"/>
        </w:rPr>
        <w:t> </w:t>
      </w:r>
      <w:r>
        <w:rPr/>
        <w:t>EU</w:t>
      </w:r>
      <w:r>
        <w:rPr>
          <w:spacing w:val="-6"/>
        </w:rPr>
        <w:t> </w:t>
      </w:r>
      <w:r>
        <w:rPr/>
        <w:t>and</w:t>
      </w:r>
      <w:r>
        <w:rPr>
          <w:spacing w:val="-6"/>
        </w:rPr>
        <w:t> </w:t>
      </w:r>
      <w:r>
        <w:rPr/>
        <w:t>Member</w:t>
      </w:r>
      <w:r>
        <w:rPr>
          <w:spacing w:val="-7"/>
        </w:rPr>
        <w:t> </w:t>
      </w:r>
      <w:r>
        <w:rPr/>
        <w:t>states.</w:t>
      </w:r>
      <w:r>
        <w:rPr>
          <w:spacing w:val="-6"/>
        </w:rPr>
        <w:t> </w:t>
      </w:r>
      <w:r>
        <w:rPr/>
        <w:t>This</w:t>
      </w:r>
      <w:r>
        <w:rPr>
          <w:spacing w:val="-6"/>
        </w:rPr>
        <w:t> </w:t>
      </w:r>
      <w:r>
        <w:rPr/>
        <w:t>includes</w:t>
      </w:r>
      <w:r>
        <w:rPr>
          <w:spacing w:val="-6"/>
        </w:rPr>
        <w:t> </w:t>
      </w:r>
      <w:r>
        <w:rPr/>
        <w:t>the</w:t>
      </w:r>
      <w:r>
        <w:rPr>
          <w:spacing w:val="-6"/>
        </w:rPr>
        <w:t> </w:t>
      </w:r>
      <w:r>
        <w:rPr/>
        <w:t>possibility to rely in court on directly effective provisions of the Agreement. Section</w:t>
      </w:r>
    </w:p>
    <w:p>
      <w:pPr>
        <w:pStyle w:val="BodyText"/>
        <w:spacing w:line="232" w:lineRule="auto"/>
        <w:ind w:left="1117" w:right="888"/>
      </w:pPr>
      <w:r>
        <w:rPr/>
        <w:t>7A effectively recognises the direct effect and supremacy of the powers and rights, etc in the Withdrawal Agreement; its purpose is to ‘mimic’ the European Communities</w:t>
      </w:r>
      <w:r>
        <w:rPr>
          <w:spacing w:val="-9"/>
        </w:rPr>
        <w:t> </w:t>
      </w:r>
      <w:r>
        <w:rPr/>
        <w:t>Act</w:t>
      </w:r>
      <w:r>
        <w:rPr>
          <w:spacing w:val="-8"/>
        </w:rPr>
        <w:t> </w:t>
      </w:r>
      <w:r>
        <w:rPr/>
        <w:t>1972</w:t>
      </w:r>
      <w:r>
        <w:rPr>
          <w:spacing w:val="-8"/>
        </w:rPr>
        <w:t> </w:t>
      </w:r>
      <w:r>
        <w:rPr/>
        <w:t>effect.</w:t>
      </w:r>
      <w:r>
        <w:rPr>
          <w:vertAlign w:val="superscript"/>
        </w:rPr>
        <w:t>534</w:t>
      </w:r>
      <w:r>
        <w:rPr>
          <w:spacing w:val="-9"/>
          <w:vertAlign w:val="baseline"/>
        </w:rPr>
        <w:t> </w:t>
      </w:r>
      <w:r>
        <w:rPr>
          <w:vertAlign w:val="baseline"/>
        </w:rPr>
        <w:t>When</w:t>
      </w:r>
      <w:r>
        <w:rPr>
          <w:spacing w:val="-9"/>
          <w:vertAlign w:val="baseline"/>
        </w:rPr>
        <w:t> </w:t>
      </w:r>
      <w:r>
        <w:rPr>
          <w:vertAlign w:val="baseline"/>
        </w:rPr>
        <w:t>considering</w:t>
      </w:r>
      <w:r>
        <w:rPr>
          <w:spacing w:val="-8"/>
          <w:vertAlign w:val="baseline"/>
        </w:rPr>
        <w:t> </w:t>
      </w:r>
      <w:r>
        <w:rPr>
          <w:vertAlign w:val="baseline"/>
        </w:rPr>
        <w:t>EU</w:t>
      </w:r>
      <w:r>
        <w:rPr>
          <w:spacing w:val="-8"/>
          <w:vertAlign w:val="baseline"/>
        </w:rPr>
        <w:t> </w:t>
      </w:r>
      <w:r>
        <w:rPr>
          <w:vertAlign w:val="baseline"/>
        </w:rPr>
        <w:t>laws</w:t>
      </w:r>
      <w:r>
        <w:rPr>
          <w:spacing w:val="-9"/>
          <w:vertAlign w:val="baseline"/>
        </w:rPr>
        <w:t> </w:t>
      </w:r>
      <w:r>
        <w:rPr>
          <w:vertAlign w:val="baseline"/>
        </w:rPr>
        <w:t>or</w:t>
      </w:r>
      <w:r>
        <w:rPr>
          <w:spacing w:val="-8"/>
          <w:vertAlign w:val="baseline"/>
        </w:rPr>
        <w:t> </w:t>
      </w:r>
      <w:r>
        <w:rPr>
          <w:vertAlign w:val="baseline"/>
        </w:rPr>
        <w:t>concepts</w:t>
      </w:r>
      <w:r>
        <w:rPr>
          <w:spacing w:val="-9"/>
          <w:vertAlign w:val="baseline"/>
        </w:rPr>
        <w:t> </w:t>
      </w:r>
      <w:r>
        <w:rPr>
          <w:vertAlign w:val="baseline"/>
        </w:rPr>
        <w:t>under</w:t>
      </w:r>
      <w:r>
        <w:rPr>
          <w:spacing w:val="-8"/>
          <w:vertAlign w:val="baseline"/>
        </w:rPr>
        <w:t> </w:t>
      </w:r>
      <w:r>
        <w:rPr>
          <w:vertAlign w:val="baseline"/>
        </w:rPr>
        <w:t>the Withdrawal Agreement, these must be interpreted and applied consistent with</w:t>
      </w:r>
    </w:p>
    <w:p>
      <w:pPr>
        <w:pStyle w:val="BodyText"/>
        <w:spacing w:before="46"/>
        <w:rPr>
          <w:sz w:val="20"/>
        </w:rPr>
      </w:pPr>
      <w:r>
        <w:rPr/>
        <mc:AlternateContent>
          <mc:Choice Requires="wps">
            <w:drawing>
              <wp:anchor distT="0" distB="0" distL="0" distR="0" allowOverlap="1" layoutInCell="1" locked="0" behindDoc="1" simplePos="0" relativeHeight="487756800">
                <wp:simplePos x="0" y="0"/>
                <wp:positionH relativeFrom="page">
                  <wp:posOffset>899999</wp:posOffset>
                </wp:positionH>
                <wp:positionV relativeFrom="paragraph">
                  <wp:posOffset>199594</wp:posOffset>
                </wp:positionV>
                <wp:extent cx="6012180" cy="1270"/>
                <wp:effectExtent l="0" t="0" r="0" b="0"/>
                <wp:wrapTopAndBottom/>
                <wp:docPr id="897" name="Graphic 897"/>
                <wp:cNvGraphicFramePr>
                  <a:graphicFrameLocks/>
                </wp:cNvGraphicFramePr>
                <a:graphic>
                  <a:graphicData uri="http://schemas.microsoft.com/office/word/2010/wordprocessingShape">
                    <wps:wsp>
                      <wps:cNvPr id="897" name="Graphic 89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5.716064pt;width:473.4pt;height:.1pt;mso-position-horizontal-relative:page;mso-position-vertical-relative:paragraph;z-index:-15559680;mso-wrap-distance-left:0;mso-wrap-distance-right:0" id="docshape736" coordorigin="1417,314" coordsize="9468,0" path="m1417,314l10885,314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924" w:hanging="567"/>
        <w:jc w:val="left"/>
        <w:rPr>
          <w:sz w:val="18"/>
        </w:rPr>
      </w:pPr>
      <w:r>
        <w:rPr>
          <w:color w:val="1D71B8"/>
          <w:sz w:val="18"/>
          <w:u w:val="single" w:color="1D71B8"/>
        </w:rPr>
        <w:t>R</w:t>
      </w:r>
      <w:r>
        <w:rPr>
          <w:color w:val="1D71B8"/>
          <w:spacing w:val="-4"/>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application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AAA</w:t>
      </w:r>
      <w:r>
        <w:rPr>
          <w:color w:val="1D71B8"/>
          <w:spacing w:val="-4"/>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others)</w:t>
      </w:r>
      <w:r>
        <w:rPr>
          <w:color w:val="1D71B8"/>
          <w:spacing w:val="-5"/>
          <w:sz w:val="18"/>
          <w:u w:val="single" w:color="1D71B8"/>
        </w:rPr>
        <w:t> </w:t>
      </w:r>
      <w:r>
        <w:rPr>
          <w:color w:val="1D71B8"/>
          <w:sz w:val="18"/>
          <w:u w:val="single" w:color="1D71B8"/>
        </w:rPr>
        <w:t>(Respondents/Cross</w:t>
      </w:r>
      <w:r>
        <w:rPr>
          <w:color w:val="1D71B8"/>
          <w:spacing w:val="-5"/>
          <w:sz w:val="18"/>
          <w:u w:val="single" w:color="1D71B8"/>
        </w:rPr>
        <w:t> </w:t>
      </w:r>
      <w:r>
        <w:rPr>
          <w:color w:val="1D71B8"/>
          <w:sz w:val="18"/>
          <w:u w:val="single" w:color="1D71B8"/>
        </w:rPr>
        <w:t>Appellants)</w:t>
      </w:r>
      <w:r>
        <w:rPr>
          <w:color w:val="1D71B8"/>
          <w:spacing w:val="-5"/>
          <w:sz w:val="18"/>
          <w:u w:val="single" w:color="1D71B8"/>
        </w:rPr>
        <w:t> </w:t>
      </w:r>
      <w:r>
        <w:rPr>
          <w:color w:val="1D71B8"/>
          <w:sz w:val="18"/>
          <w:u w:val="single" w:color="1D71B8"/>
        </w:rPr>
        <w:t>v</w:t>
      </w:r>
      <w:r>
        <w:rPr>
          <w:color w:val="1D71B8"/>
          <w:spacing w:val="-4"/>
          <w:sz w:val="18"/>
          <w:u w:val="single" w:color="1D71B8"/>
        </w:rPr>
        <w:t> </w:t>
      </w:r>
      <w:r>
        <w:rPr>
          <w:color w:val="1D71B8"/>
          <w:sz w:val="18"/>
          <w:u w:val="single" w:color="1D71B8"/>
        </w:rPr>
        <w:t>Secretary</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State</w:t>
      </w:r>
      <w:r>
        <w:rPr>
          <w:color w:val="1D71B8"/>
          <w:spacing w:val="-4"/>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Home</w:t>
      </w:r>
      <w:r>
        <w:rPr>
          <w:color w:val="1D71B8"/>
          <w:spacing w:val="-4"/>
          <w:sz w:val="18"/>
          <w:u w:val="single" w:color="1D71B8"/>
        </w:rPr>
        <w:t> </w:t>
      </w:r>
      <w:r>
        <w:rPr>
          <w:color w:val="1D71B8"/>
          <w:sz w:val="18"/>
          <w:u w:val="single" w:color="1D71B8"/>
        </w:rPr>
        <w:t>Department</w:t>
      </w:r>
      <w:r>
        <w:rPr>
          <w:color w:val="1D71B8"/>
          <w:sz w:val="18"/>
          <w:u w:val="none"/>
        </w:rPr>
        <w:t> </w:t>
      </w:r>
      <w:r>
        <w:rPr>
          <w:color w:val="1D71B8"/>
          <w:sz w:val="18"/>
          <w:u w:val="single" w:color="1D71B8"/>
        </w:rPr>
        <w:t>(Appellant/Cross Respondent)</w:t>
      </w:r>
      <w:r>
        <w:rPr>
          <w:color w:val="1D71B8"/>
          <w:sz w:val="18"/>
          <w:u w:val="none"/>
        </w:rPr>
        <w:t> </w:t>
      </w:r>
      <w:r>
        <w:rPr>
          <w:i/>
          <w:sz w:val="18"/>
          <w:u w:val="none"/>
        </w:rPr>
        <w:t>(Rwanda flights judgment) </w:t>
      </w:r>
      <w:r>
        <w:rPr>
          <w:sz w:val="18"/>
          <w:u w:val="none"/>
        </w:rPr>
        <w:t>[2023] UKSC 42, (15 November 2023).</w:t>
      </w:r>
    </w:p>
    <w:p>
      <w:pPr>
        <w:pStyle w:val="ListParagraph"/>
        <w:numPr>
          <w:ilvl w:val="0"/>
          <w:numId w:val="18"/>
        </w:numPr>
        <w:tabs>
          <w:tab w:pos="1684" w:val="left" w:leader="none"/>
        </w:tabs>
        <w:spacing w:line="240" w:lineRule="auto" w:before="1" w:after="0"/>
        <w:ind w:left="1684" w:right="0" w:hanging="567"/>
        <w:jc w:val="left"/>
        <w:rPr>
          <w:sz w:val="18"/>
        </w:rPr>
      </w:pPr>
      <w:r>
        <w:rPr>
          <w:color w:val="1D71B8"/>
          <w:sz w:val="18"/>
          <w:u w:val="single" w:color="1D71B8"/>
        </w:rPr>
        <w:t>Rwanda</w:t>
      </w:r>
      <w:r>
        <w:rPr>
          <w:color w:val="1D71B8"/>
          <w:spacing w:val="-5"/>
          <w:sz w:val="18"/>
          <w:u w:val="single" w:color="1D71B8"/>
        </w:rPr>
        <w:t> </w:t>
      </w:r>
      <w:r>
        <w:rPr>
          <w:color w:val="1D71B8"/>
          <w:sz w:val="18"/>
          <w:u w:val="single" w:color="1D71B8"/>
        </w:rPr>
        <w:t>flights</w:t>
      </w:r>
      <w:r>
        <w:rPr>
          <w:color w:val="1D71B8"/>
          <w:spacing w:val="-4"/>
          <w:sz w:val="18"/>
          <w:u w:val="single" w:color="1D71B8"/>
        </w:rPr>
        <w:t> </w:t>
      </w:r>
      <w:r>
        <w:rPr>
          <w:color w:val="1D71B8"/>
          <w:sz w:val="18"/>
          <w:u w:val="single" w:color="1D71B8"/>
        </w:rPr>
        <w:t>judgment</w:t>
      </w:r>
      <w:r>
        <w:rPr>
          <w:color w:val="1D71B8"/>
          <w:spacing w:val="-4"/>
          <w:sz w:val="18"/>
          <w:u w:val="none"/>
        </w:rPr>
        <w:t> </w:t>
      </w:r>
      <w:r>
        <w:rPr>
          <w:sz w:val="18"/>
          <w:u w:val="none"/>
        </w:rPr>
        <w:t>[2023]</w:t>
      </w:r>
      <w:r>
        <w:rPr>
          <w:spacing w:val="-3"/>
          <w:sz w:val="18"/>
          <w:u w:val="none"/>
        </w:rPr>
        <w:t> </w:t>
      </w:r>
      <w:r>
        <w:rPr>
          <w:sz w:val="18"/>
          <w:u w:val="none"/>
        </w:rPr>
        <w:t>UKSC</w:t>
      </w:r>
      <w:r>
        <w:rPr>
          <w:spacing w:val="-5"/>
          <w:sz w:val="18"/>
          <w:u w:val="none"/>
        </w:rPr>
        <w:t> </w:t>
      </w:r>
      <w:r>
        <w:rPr>
          <w:sz w:val="18"/>
          <w:u w:val="none"/>
        </w:rPr>
        <w:t>42,</w:t>
      </w:r>
      <w:r>
        <w:rPr>
          <w:spacing w:val="-3"/>
          <w:sz w:val="18"/>
          <w:u w:val="none"/>
        </w:rPr>
        <w:t> </w:t>
      </w:r>
      <w:r>
        <w:rPr>
          <w:sz w:val="18"/>
          <w:u w:val="none"/>
        </w:rPr>
        <w:t>(15</w:t>
      </w:r>
      <w:r>
        <w:rPr>
          <w:spacing w:val="-4"/>
          <w:sz w:val="18"/>
          <w:u w:val="none"/>
        </w:rPr>
        <w:t> </w:t>
      </w:r>
      <w:r>
        <w:rPr>
          <w:sz w:val="18"/>
          <w:u w:val="none"/>
        </w:rPr>
        <w:t>November</w:t>
      </w:r>
      <w:r>
        <w:rPr>
          <w:spacing w:val="-3"/>
          <w:sz w:val="18"/>
          <w:u w:val="none"/>
        </w:rPr>
        <w:t> </w:t>
      </w:r>
      <w:r>
        <w:rPr>
          <w:sz w:val="18"/>
          <w:u w:val="none"/>
        </w:rPr>
        <w:t>2023)</w:t>
      </w:r>
      <w:r>
        <w:rPr>
          <w:spacing w:val="-4"/>
          <w:sz w:val="18"/>
          <w:u w:val="none"/>
        </w:rPr>
        <w:t> </w:t>
      </w:r>
      <w:r>
        <w:rPr>
          <w:spacing w:val="-2"/>
          <w:sz w:val="18"/>
          <w:u w:val="none"/>
        </w:rPr>
        <w:t>[105].</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 </w:t>
      </w:r>
      <w:r>
        <w:rPr>
          <w:spacing w:val="-2"/>
          <w:sz w:val="18"/>
        </w:rPr>
        <w:t>[108].</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 </w:t>
      </w:r>
      <w:r>
        <w:rPr>
          <w:spacing w:val="-2"/>
          <w:sz w:val="18"/>
        </w:rPr>
        <w:t>[121].</w:t>
      </w:r>
    </w:p>
    <w:p>
      <w:pPr>
        <w:pStyle w:val="ListParagraph"/>
        <w:numPr>
          <w:ilvl w:val="0"/>
          <w:numId w:val="18"/>
        </w:numPr>
        <w:tabs>
          <w:tab w:pos="1684" w:val="left" w:leader="none"/>
        </w:tabs>
        <w:spacing w:line="240" w:lineRule="auto" w:before="1" w:after="0"/>
        <w:ind w:left="1684" w:right="0" w:hanging="567"/>
        <w:jc w:val="left"/>
        <w:rPr>
          <w:sz w:val="18"/>
        </w:rPr>
      </w:pPr>
      <w:r>
        <w:rPr>
          <w:sz w:val="18"/>
        </w:rPr>
        <w:t>Ibid., [108] </w:t>
      </w:r>
      <w:r>
        <w:rPr>
          <w:spacing w:val="-2"/>
          <w:sz w:val="18"/>
        </w:rPr>
        <w:t>[148].</w:t>
      </w:r>
    </w:p>
    <w:p>
      <w:pPr>
        <w:pStyle w:val="ListParagraph"/>
        <w:numPr>
          <w:ilvl w:val="0"/>
          <w:numId w:val="18"/>
        </w:numPr>
        <w:tabs>
          <w:tab w:pos="1684" w:val="left" w:leader="none"/>
        </w:tabs>
        <w:spacing w:line="240" w:lineRule="auto" w:before="0" w:after="0"/>
        <w:ind w:left="1684" w:right="0" w:hanging="567"/>
        <w:jc w:val="left"/>
        <w:rPr>
          <w:sz w:val="18"/>
        </w:rPr>
      </w:pPr>
      <w:r>
        <w:rPr>
          <w:sz w:val="18"/>
        </w:rPr>
        <w:t>Explanatory</w:t>
      </w:r>
      <w:r>
        <w:rPr>
          <w:spacing w:val="-5"/>
          <w:sz w:val="18"/>
        </w:rPr>
        <w:t> </w:t>
      </w:r>
      <w:r>
        <w:rPr>
          <w:sz w:val="18"/>
        </w:rPr>
        <w:t>Notes</w:t>
      </w:r>
      <w:r>
        <w:rPr>
          <w:spacing w:val="-5"/>
          <w:sz w:val="18"/>
        </w:rPr>
        <w:t> </w:t>
      </w:r>
      <w:r>
        <w:rPr>
          <w:sz w:val="18"/>
        </w:rPr>
        <w:t>to</w:t>
      </w:r>
      <w:r>
        <w:rPr>
          <w:spacing w:val="-6"/>
          <w:sz w:val="18"/>
        </w:rPr>
        <w:t> </w:t>
      </w:r>
      <w:r>
        <w:rPr>
          <w:sz w:val="18"/>
        </w:rPr>
        <w:t>the</w:t>
      </w:r>
      <w:r>
        <w:rPr>
          <w:spacing w:val="-4"/>
          <w:sz w:val="18"/>
        </w:rPr>
        <w:t> </w:t>
      </w:r>
      <w:r>
        <w:rPr>
          <w:sz w:val="18"/>
        </w:rPr>
        <w:t>European</w:t>
      </w:r>
      <w:r>
        <w:rPr>
          <w:spacing w:val="-6"/>
          <w:sz w:val="18"/>
        </w:rPr>
        <w:t> </w:t>
      </w:r>
      <w:r>
        <w:rPr>
          <w:sz w:val="18"/>
        </w:rPr>
        <w:t>Union</w:t>
      </w:r>
      <w:r>
        <w:rPr>
          <w:spacing w:val="-5"/>
          <w:sz w:val="18"/>
        </w:rPr>
        <w:t> </w:t>
      </w:r>
      <w:r>
        <w:rPr>
          <w:sz w:val="18"/>
        </w:rPr>
        <w:t>(Withdrawal</w:t>
      </w:r>
      <w:r>
        <w:rPr>
          <w:spacing w:val="-6"/>
          <w:sz w:val="18"/>
        </w:rPr>
        <w:t> </w:t>
      </w:r>
      <w:r>
        <w:rPr>
          <w:sz w:val="18"/>
        </w:rPr>
        <w:t>Agreement)</w:t>
      </w:r>
      <w:r>
        <w:rPr>
          <w:spacing w:val="-5"/>
          <w:sz w:val="18"/>
        </w:rPr>
        <w:t> </w:t>
      </w:r>
      <w:r>
        <w:rPr>
          <w:sz w:val="18"/>
        </w:rPr>
        <w:t>Act</w:t>
      </w:r>
      <w:r>
        <w:rPr>
          <w:spacing w:val="-5"/>
          <w:sz w:val="18"/>
        </w:rPr>
        <w:t> </w:t>
      </w:r>
      <w:r>
        <w:rPr>
          <w:sz w:val="18"/>
        </w:rPr>
        <w:t>2020,</w:t>
      </w:r>
      <w:r>
        <w:rPr>
          <w:spacing w:val="-5"/>
          <w:sz w:val="18"/>
        </w:rPr>
        <w:t> </w:t>
      </w:r>
      <w:r>
        <w:rPr>
          <w:color w:val="1D71B8"/>
          <w:sz w:val="18"/>
          <w:u w:val="single" w:color="1D71B8"/>
        </w:rPr>
        <w:t>paragraph</w:t>
      </w:r>
      <w:r>
        <w:rPr>
          <w:color w:val="1D71B8"/>
          <w:spacing w:val="-5"/>
          <w:sz w:val="18"/>
          <w:u w:val="single" w:color="1D71B8"/>
        </w:rPr>
        <w:t> 32</w:t>
      </w:r>
      <w:r>
        <w:rPr>
          <w:spacing w:val="-5"/>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75520">
                <wp:simplePos x="0" y="0"/>
                <wp:positionH relativeFrom="page">
                  <wp:posOffset>0</wp:posOffset>
                </wp:positionH>
                <wp:positionV relativeFrom="page">
                  <wp:posOffset>0</wp:posOffset>
                </wp:positionV>
                <wp:extent cx="7560309" cy="1155065"/>
                <wp:effectExtent l="0" t="0" r="0" b="0"/>
                <wp:wrapNone/>
                <wp:docPr id="898" name="Group 898"/>
                <wp:cNvGraphicFramePr>
                  <a:graphicFrameLocks/>
                </wp:cNvGraphicFramePr>
                <a:graphic>
                  <a:graphicData uri="http://schemas.microsoft.com/office/word/2010/wordprocessingGroup">
                    <wpg:wgp>
                      <wpg:cNvPr id="898" name="Group 898"/>
                      <wpg:cNvGrpSpPr/>
                      <wpg:grpSpPr>
                        <a:xfrm>
                          <a:off x="0" y="0"/>
                          <a:ext cx="7560309" cy="1155065"/>
                          <a:chExt cx="7560309" cy="1155065"/>
                        </a:xfrm>
                      </wpg:grpSpPr>
                      <wps:wsp>
                        <wps:cNvPr id="899" name="Graphic 899"/>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900" name="Graphic 900"/>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40960" id="docshapegroup737" coordorigin="0,0" coordsize="11906,1819">
                <v:shape style="position:absolute;left:0;top:0;width:11906;height:1819" id="docshape73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bookmarkStart w:name="5.4 Article 2 Windsor Framework Case Law" w:id="169"/>
      <w:bookmarkEnd w:id="169"/>
      <w:r>
        <w:rPr/>
      </w:r>
      <w:bookmarkStart w:name="_bookmark71" w:id="170"/>
      <w:bookmarkEnd w:id="170"/>
      <w:r>
        <w:rPr/>
      </w:r>
      <w:r>
        <w:rPr>
          <w:b/>
          <w:color w:val="FFFFFF"/>
          <w:spacing w:val="-5"/>
          <w:position w:val="-1"/>
          <w:sz w:val="28"/>
        </w:rPr>
        <w:t>106</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CJEU</w:t>
      </w:r>
      <w:r>
        <w:rPr>
          <w:spacing w:val="-4"/>
        </w:rPr>
        <w:t> </w:t>
      </w:r>
      <w:r>
        <w:rPr/>
        <w:t>case</w:t>
      </w:r>
      <w:r>
        <w:rPr>
          <w:spacing w:val="-4"/>
        </w:rPr>
        <w:t> </w:t>
      </w:r>
      <w:r>
        <w:rPr/>
        <w:t>law</w:t>
      </w:r>
      <w:r>
        <w:rPr>
          <w:spacing w:val="-4"/>
        </w:rPr>
        <w:t> </w:t>
      </w:r>
      <w:r>
        <w:rPr/>
        <w:t>handed</w:t>
      </w:r>
      <w:r>
        <w:rPr>
          <w:spacing w:val="-5"/>
        </w:rPr>
        <w:t> </w:t>
      </w:r>
      <w:r>
        <w:rPr/>
        <w:t>down</w:t>
      </w:r>
      <w:r>
        <w:rPr>
          <w:spacing w:val="-5"/>
        </w:rPr>
        <w:t> </w:t>
      </w:r>
      <w:r>
        <w:rPr/>
        <w:t>prior</w:t>
      </w:r>
      <w:r>
        <w:rPr>
          <w:spacing w:val="-4"/>
        </w:rPr>
        <w:t> </w:t>
      </w:r>
      <w:r>
        <w:rPr/>
        <w:t>to</w:t>
      </w:r>
      <w:r>
        <w:rPr>
          <w:spacing w:val="-5"/>
        </w:rPr>
        <w:t> </w:t>
      </w:r>
      <w:r>
        <w:rPr/>
        <w:t>the</w:t>
      </w:r>
      <w:r>
        <w:rPr>
          <w:spacing w:val="-4"/>
        </w:rPr>
        <w:t> </w:t>
      </w:r>
      <w:r>
        <w:rPr/>
        <w:t>end</w:t>
      </w:r>
      <w:r>
        <w:rPr>
          <w:spacing w:val="-5"/>
        </w:rPr>
        <w:t> </w:t>
      </w:r>
      <w:r>
        <w:rPr/>
        <w:t>of</w:t>
      </w:r>
      <w:r>
        <w:rPr>
          <w:spacing w:val="-5"/>
        </w:rPr>
        <w:t> </w:t>
      </w:r>
      <w:r>
        <w:rPr/>
        <w:t>the</w:t>
      </w:r>
      <w:r>
        <w:rPr>
          <w:spacing w:val="-4"/>
        </w:rPr>
        <w:t> </w:t>
      </w:r>
      <w:r>
        <w:rPr/>
        <w:t>Brexit</w:t>
      </w:r>
      <w:r>
        <w:rPr>
          <w:spacing w:val="-4"/>
        </w:rPr>
        <w:t> </w:t>
      </w:r>
      <w:r>
        <w:rPr/>
        <w:t>transition</w:t>
      </w:r>
      <w:r>
        <w:rPr>
          <w:spacing w:val="-5"/>
        </w:rPr>
        <w:t> </w:t>
      </w:r>
      <w:r>
        <w:rPr/>
        <w:t>period;</w:t>
      </w:r>
      <w:r>
        <w:rPr>
          <w:spacing w:val="-4"/>
        </w:rPr>
        <w:t> </w:t>
      </w:r>
      <w:r>
        <w:rPr/>
        <w:t>when interpreting and applying the Withdrawal Agreement, UK courts shall have due regard to CJEU case law handed down after the end of the transition period.</w:t>
      </w:r>
      <w:r>
        <w:rPr>
          <w:vertAlign w:val="superscript"/>
        </w:rPr>
        <w:t>535</w:t>
      </w:r>
    </w:p>
    <w:p>
      <w:pPr>
        <w:pStyle w:val="BodyText"/>
        <w:spacing w:line="232" w:lineRule="auto" w:before="279"/>
        <w:ind w:left="720" w:right="1327"/>
      </w:pPr>
      <w:r>
        <w:rPr/>
        <w:t>It follows that CJEU case law and EU general principles and Charter rights remain relevant in cases involving the Withdrawal Agreement. The Court of Appeal in England and Wales has confirmed this in </w:t>
      </w:r>
      <w:r>
        <w:rPr>
          <w:i/>
        </w:rPr>
        <w:t>AT v Secretary of State for the Home</w:t>
      </w:r>
      <w:r>
        <w:rPr>
          <w:i/>
        </w:rPr>
        <w:t> Department</w:t>
      </w:r>
      <w:r>
        <w:rPr/>
        <w:t>. In that case, AT, a Romanian national had come to the UK with her husband and child. She was granted Pre-Settled Status under the EU Settlement Scheme. She was the victim of domestic violence and had to flee her home with her</w:t>
      </w:r>
      <w:r>
        <w:rPr>
          <w:spacing w:val="-2"/>
        </w:rPr>
        <w:t> </w:t>
      </w:r>
      <w:r>
        <w:rPr/>
        <w:t>child;</w:t>
      </w:r>
      <w:r>
        <w:rPr>
          <w:spacing w:val="-2"/>
        </w:rPr>
        <w:t> </w:t>
      </w:r>
      <w:r>
        <w:rPr/>
        <w:t>she</w:t>
      </w:r>
      <w:r>
        <w:rPr>
          <w:spacing w:val="-2"/>
        </w:rPr>
        <w:t> </w:t>
      </w:r>
      <w:r>
        <w:rPr/>
        <w:t>was</w:t>
      </w:r>
      <w:r>
        <w:rPr>
          <w:spacing w:val="-3"/>
        </w:rPr>
        <w:t> </w:t>
      </w:r>
      <w:r>
        <w:rPr/>
        <w:t>also</w:t>
      </w:r>
      <w:r>
        <w:rPr>
          <w:spacing w:val="-3"/>
        </w:rPr>
        <w:t> </w:t>
      </w:r>
      <w:r>
        <w:rPr/>
        <w:t>HIV</w:t>
      </w:r>
      <w:r>
        <w:rPr>
          <w:spacing w:val="-3"/>
        </w:rPr>
        <w:t> </w:t>
      </w:r>
      <w:r>
        <w:rPr/>
        <w:t>positive</w:t>
      </w:r>
      <w:r>
        <w:rPr>
          <w:spacing w:val="-2"/>
        </w:rPr>
        <w:t> </w:t>
      </w:r>
      <w:r>
        <w:rPr/>
        <w:t>and</w:t>
      </w:r>
      <w:r>
        <w:rPr>
          <w:spacing w:val="-3"/>
        </w:rPr>
        <w:t> </w:t>
      </w:r>
      <w:r>
        <w:rPr/>
        <w:t>had</w:t>
      </w:r>
      <w:r>
        <w:rPr>
          <w:spacing w:val="-3"/>
        </w:rPr>
        <w:t> </w:t>
      </w:r>
      <w:r>
        <w:rPr/>
        <w:t>a</w:t>
      </w:r>
      <w:r>
        <w:rPr>
          <w:spacing w:val="-3"/>
        </w:rPr>
        <w:t> </w:t>
      </w:r>
      <w:r>
        <w:rPr/>
        <w:t>diagnosis</w:t>
      </w:r>
      <w:r>
        <w:rPr>
          <w:spacing w:val="-3"/>
        </w:rPr>
        <w:t> </w:t>
      </w:r>
      <w:r>
        <w:rPr/>
        <w:t>of</w:t>
      </w:r>
      <w:r>
        <w:rPr>
          <w:spacing w:val="-3"/>
        </w:rPr>
        <w:t> </w:t>
      </w:r>
      <w:r>
        <w:rPr/>
        <w:t>depression.</w:t>
      </w:r>
      <w:r>
        <w:rPr>
          <w:spacing w:val="-3"/>
        </w:rPr>
        <w:t> </w:t>
      </w:r>
      <w:r>
        <w:rPr/>
        <w:t>She</w:t>
      </w:r>
      <w:r>
        <w:rPr>
          <w:spacing w:val="-2"/>
        </w:rPr>
        <w:t> </w:t>
      </w:r>
      <w:r>
        <w:rPr/>
        <w:t>was</w:t>
      </w:r>
      <w:r>
        <w:rPr>
          <w:spacing w:val="-3"/>
        </w:rPr>
        <w:t> </w:t>
      </w:r>
      <w:r>
        <w:rPr/>
        <w:t>in a</w:t>
      </w:r>
      <w:r>
        <w:rPr>
          <w:spacing w:val="-6"/>
        </w:rPr>
        <w:t> </w:t>
      </w:r>
      <w:r>
        <w:rPr/>
        <w:t>difficult</w:t>
      </w:r>
      <w:r>
        <w:rPr>
          <w:spacing w:val="-5"/>
        </w:rPr>
        <w:t> </w:t>
      </w:r>
      <w:r>
        <w:rPr/>
        <w:t>personal</w:t>
      </w:r>
      <w:r>
        <w:rPr>
          <w:spacing w:val="-6"/>
        </w:rPr>
        <w:t> </w:t>
      </w:r>
      <w:r>
        <w:rPr/>
        <w:t>and</w:t>
      </w:r>
      <w:r>
        <w:rPr>
          <w:spacing w:val="-6"/>
        </w:rPr>
        <w:t> </w:t>
      </w:r>
      <w:r>
        <w:rPr/>
        <w:t>financial</w:t>
      </w:r>
      <w:r>
        <w:rPr>
          <w:spacing w:val="-6"/>
        </w:rPr>
        <w:t> </w:t>
      </w:r>
      <w:r>
        <w:rPr/>
        <w:t>situation,</w:t>
      </w:r>
      <w:r>
        <w:rPr>
          <w:spacing w:val="-5"/>
        </w:rPr>
        <w:t> </w:t>
      </w:r>
      <w:r>
        <w:rPr/>
        <w:t>relying</w:t>
      </w:r>
      <w:r>
        <w:rPr>
          <w:spacing w:val="-5"/>
        </w:rPr>
        <w:t> </w:t>
      </w:r>
      <w:r>
        <w:rPr/>
        <w:t>mostly</w:t>
      </w:r>
      <w:r>
        <w:rPr>
          <w:spacing w:val="-5"/>
        </w:rPr>
        <w:t> </w:t>
      </w:r>
      <w:r>
        <w:rPr/>
        <w:t>on</w:t>
      </w:r>
      <w:r>
        <w:rPr>
          <w:spacing w:val="-6"/>
        </w:rPr>
        <w:t> </w:t>
      </w:r>
      <w:r>
        <w:rPr/>
        <w:t>the</w:t>
      </w:r>
      <w:r>
        <w:rPr>
          <w:spacing w:val="-5"/>
        </w:rPr>
        <w:t> </w:t>
      </w:r>
      <w:r>
        <w:rPr/>
        <w:t>charity</w:t>
      </w:r>
      <w:r>
        <w:rPr>
          <w:spacing w:val="-5"/>
        </w:rPr>
        <w:t> </w:t>
      </w:r>
      <w:r>
        <w:rPr/>
        <w:t>of</w:t>
      </w:r>
      <w:r>
        <w:rPr>
          <w:spacing w:val="-6"/>
        </w:rPr>
        <w:t> </w:t>
      </w:r>
      <w:r>
        <w:rPr/>
        <w:t>others. Despite this she was denied universal credit because of her immigration status.</w:t>
      </w:r>
    </w:p>
    <w:p>
      <w:pPr>
        <w:pStyle w:val="BodyText"/>
        <w:spacing w:line="232" w:lineRule="auto"/>
        <w:ind w:left="720" w:right="1250"/>
      </w:pPr>
      <w:r>
        <w:rPr/>
        <w:t>The</w:t>
      </w:r>
      <w:r>
        <w:rPr>
          <w:spacing w:val="-10"/>
        </w:rPr>
        <w:t> </w:t>
      </w:r>
      <w:r>
        <w:rPr/>
        <w:t>First</w:t>
      </w:r>
      <w:r>
        <w:rPr>
          <w:spacing w:val="-10"/>
        </w:rPr>
        <w:t> </w:t>
      </w:r>
      <w:r>
        <w:rPr/>
        <w:t>Tier</w:t>
      </w:r>
      <w:r>
        <w:rPr>
          <w:spacing w:val="-10"/>
        </w:rPr>
        <w:t> </w:t>
      </w:r>
      <w:r>
        <w:rPr/>
        <w:t>Tribunal</w:t>
      </w:r>
      <w:r>
        <w:rPr>
          <w:spacing w:val="-11"/>
        </w:rPr>
        <w:t> </w:t>
      </w:r>
      <w:r>
        <w:rPr/>
        <w:t>and</w:t>
      </w:r>
      <w:r>
        <w:rPr>
          <w:spacing w:val="-11"/>
        </w:rPr>
        <w:t> </w:t>
      </w:r>
      <w:r>
        <w:rPr/>
        <w:t>Upper</w:t>
      </w:r>
      <w:r>
        <w:rPr>
          <w:spacing w:val="-10"/>
        </w:rPr>
        <w:t> </w:t>
      </w:r>
      <w:r>
        <w:rPr/>
        <w:t>Tribunal</w:t>
      </w:r>
      <w:r>
        <w:rPr>
          <w:spacing w:val="-11"/>
        </w:rPr>
        <w:t> </w:t>
      </w:r>
      <w:r>
        <w:rPr/>
        <w:t>had</w:t>
      </w:r>
      <w:r>
        <w:rPr>
          <w:spacing w:val="-11"/>
        </w:rPr>
        <w:t> </w:t>
      </w:r>
      <w:r>
        <w:rPr/>
        <w:t>found</w:t>
      </w:r>
      <w:r>
        <w:rPr>
          <w:spacing w:val="-11"/>
        </w:rPr>
        <w:t> </w:t>
      </w:r>
      <w:r>
        <w:rPr/>
        <w:t>for</w:t>
      </w:r>
      <w:r>
        <w:rPr>
          <w:spacing w:val="-10"/>
        </w:rPr>
        <w:t> </w:t>
      </w:r>
      <w:r>
        <w:rPr/>
        <w:t>AT,</w:t>
      </w:r>
      <w:r>
        <w:rPr>
          <w:spacing w:val="-10"/>
        </w:rPr>
        <w:t> </w:t>
      </w:r>
      <w:r>
        <w:rPr/>
        <w:t>relying</w:t>
      </w:r>
      <w:r>
        <w:rPr>
          <w:spacing w:val="-10"/>
        </w:rPr>
        <w:t> </w:t>
      </w:r>
      <w:r>
        <w:rPr/>
        <w:t>on</w:t>
      </w:r>
      <w:r>
        <w:rPr>
          <w:spacing w:val="-11"/>
        </w:rPr>
        <w:t> </w:t>
      </w:r>
      <w:r>
        <w:rPr/>
        <w:t>the</w:t>
      </w:r>
      <w:r>
        <w:rPr>
          <w:spacing w:val="-10"/>
        </w:rPr>
        <w:t> </w:t>
      </w:r>
      <w:r>
        <w:rPr/>
        <w:t>right</w:t>
      </w:r>
      <w:r>
        <w:rPr>
          <w:spacing w:val="-10"/>
        </w:rPr>
        <w:t> </w:t>
      </w:r>
      <w:r>
        <w:rPr/>
        <w:t>to dignity in Article 1 of the Charter of Fundamental Rights which the tribunal held still applied in some circumstances.</w:t>
      </w:r>
    </w:p>
    <w:p>
      <w:pPr>
        <w:pStyle w:val="BodyText"/>
        <w:spacing w:line="232" w:lineRule="auto" w:before="265"/>
        <w:ind w:left="720" w:right="1250"/>
      </w:pPr>
      <w:r>
        <w:rPr/>
        <w:t>The Court of Appeal agreed. Within the limits of the Withdrawal Agreement the Charter still applied in some circumstances. This followed from the text of the Withdrawal</w:t>
      </w:r>
      <w:r>
        <w:rPr>
          <w:spacing w:val="-7"/>
        </w:rPr>
        <w:t> </w:t>
      </w:r>
      <w:r>
        <w:rPr/>
        <w:t>Agreement</w:t>
      </w:r>
      <w:r>
        <w:rPr>
          <w:spacing w:val="-6"/>
        </w:rPr>
        <w:t> </w:t>
      </w:r>
      <w:r>
        <w:rPr/>
        <w:t>and</w:t>
      </w:r>
      <w:r>
        <w:rPr>
          <w:spacing w:val="-7"/>
        </w:rPr>
        <w:t> </w:t>
      </w:r>
      <w:r>
        <w:rPr/>
        <w:t>indeed</w:t>
      </w:r>
      <w:r>
        <w:rPr>
          <w:spacing w:val="-7"/>
        </w:rPr>
        <w:t> </w:t>
      </w:r>
      <w:r>
        <w:rPr/>
        <w:t>the</w:t>
      </w:r>
      <w:r>
        <w:rPr>
          <w:spacing w:val="-6"/>
        </w:rPr>
        <w:t> </w:t>
      </w:r>
      <w:r>
        <w:rPr/>
        <w:t>very</w:t>
      </w:r>
      <w:r>
        <w:rPr>
          <w:spacing w:val="-6"/>
        </w:rPr>
        <w:t> </w:t>
      </w:r>
      <w:r>
        <w:rPr/>
        <w:t>purpose</w:t>
      </w:r>
      <w:r>
        <w:rPr>
          <w:spacing w:val="-6"/>
        </w:rPr>
        <w:t> </w:t>
      </w:r>
      <w:r>
        <w:rPr/>
        <w:t>of</w:t>
      </w:r>
      <w:r>
        <w:rPr>
          <w:spacing w:val="-7"/>
        </w:rPr>
        <w:t> </w:t>
      </w:r>
      <w:r>
        <w:rPr/>
        <w:t>the</w:t>
      </w:r>
      <w:r>
        <w:rPr>
          <w:spacing w:val="-6"/>
        </w:rPr>
        <w:t> </w:t>
      </w:r>
      <w:r>
        <w:rPr/>
        <w:t>Agreement</w:t>
      </w:r>
      <w:r>
        <w:rPr>
          <w:spacing w:val="-6"/>
        </w:rPr>
        <w:t> </w:t>
      </w:r>
      <w:r>
        <w:rPr/>
        <w:t>to</w:t>
      </w:r>
      <w:r>
        <w:rPr>
          <w:spacing w:val="-7"/>
        </w:rPr>
        <w:t> </w:t>
      </w:r>
      <w:r>
        <w:rPr/>
        <w:t>provide reciprocal rights for UK citizens in the EU and EU citizens in the UK.</w:t>
      </w:r>
      <w:r>
        <w:rPr>
          <w:vertAlign w:val="superscript"/>
        </w:rPr>
        <w:t>536</w:t>
      </w:r>
      <w:r>
        <w:rPr>
          <w:vertAlign w:val="baseline"/>
        </w:rPr>
        <w:t> Given that EU member states would have to act compatibly with the Charter when applying the Withdrawal Agreement protections for UK citizens, it was logical that the UK</w:t>
      </w:r>
    </w:p>
    <w:p>
      <w:pPr>
        <w:pStyle w:val="BodyText"/>
        <w:spacing w:line="232" w:lineRule="auto"/>
        <w:ind w:left="720" w:right="1087"/>
      </w:pPr>
      <w:r>
        <w:rPr/>
        <w:t>authorities</w:t>
      </w:r>
      <w:r>
        <w:rPr>
          <w:spacing w:val="-7"/>
        </w:rPr>
        <w:t> </w:t>
      </w:r>
      <w:r>
        <w:rPr/>
        <w:t>would</w:t>
      </w:r>
      <w:r>
        <w:rPr>
          <w:spacing w:val="-7"/>
        </w:rPr>
        <w:t> </w:t>
      </w:r>
      <w:r>
        <w:rPr/>
        <w:t>also</w:t>
      </w:r>
      <w:r>
        <w:rPr>
          <w:spacing w:val="-7"/>
        </w:rPr>
        <w:t> </w:t>
      </w:r>
      <w:r>
        <w:rPr/>
        <w:t>have</w:t>
      </w:r>
      <w:r>
        <w:rPr>
          <w:spacing w:val="-7"/>
        </w:rPr>
        <w:t> </w:t>
      </w:r>
      <w:r>
        <w:rPr/>
        <w:t>to</w:t>
      </w:r>
      <w:r>
        <w:rPr>
          <w:spacing w:val="-7"/>
        </w:rPr>
        <w:t> </w:t>
      </w:r>
      <w:r>
        <w:rPr/>
        <w:t>act</w:t>
      </w:r>
      <w:r>
        <w:rPr>
          <w:spacing w:val="-7"/>
        </w:rPr>
        <w:t> </w:t>
      </w:r>
      <w:r>
        <w:rPr/>
        <w:t>compatibly</w:t>
      </w:r>
      <w:r>
        <w:rPr>
          <w:spacing w:val="-7"/>
        </w:rPr>
        <w:t> </w:t>
      </w:r>
      <w:r>
        <w:rPr/>
        <w:t>with</w:t>
      </w:r>
      <w:r>
        <w:rPr>
          <w:spacing w:val="-7"/>
        </w:rPr>
        <w:t> </w:t>
      </w:r>
      <w:r>
        <w:rPr/>
        <w:t>the</w:t>
      </w:r>
      <w:r>
        <w:rPr>
          <w:spacing w:val="-7"/>
        </w:rPr>
        <w:t> </w:t>
      </w:r>
      <w:r>
        <w:rPr/>
        <w:t>Charter.</w:t>
      </w:r>
      <w:r>
        <w:rPr>
          <w:spacing w:val="-7"/>
        </w:rPr>
        <w:t> </w:t>
      </w:r>
      <w:r>
        <w:rPr/>
        <w:t>The</w:t>
      </w:r>
      <w:r>
        <w:rPr>
          <w:spacing w:val="-7"/>
        </w:rPr>
        <w:t> </w:t>
      </w:r>
      <w:r>
        <w:rPr/>
        <w:t>Court</w:t>
      </w:r>
      <w:r>
        <w:rPr>
          <w:spacing w:val="-7"/>
        </w:rPr>
        <w:t> </w:t>
      </w:r>
      <w:r>
        <w:rPr/>
        <w:t>of</w:t>
      </w:r>
      <w:r>
        <w:rPr>
          <w:spacing w:val="-7"/>
        </w:rPr>
        <w:t> </w:t>
      </w:r>
      <w:r>
        <w:rPr/>
        <w:t>Appeal judgment also paid close attention to CJEU case law, most notably the </w:t>
      </w:r>
      <w:r>
        <w:rPr>
          <w:i/>
        </w:rPr>
        <w:t>CG </w:t>
      </w:r>
      <w:r>
        <w:rPr/>
        <w:t>case.</w:t>
      </w:r>
      <w:r>
        <w:rPr>
          <w:vertAlign w:val="superscript"/>
        </w:rPr>
        <w:t>537</w:t>
      </w:r>
      <w:r>
        <w:rPr>
          <w:vertAlign w:val="baseline"/>
        </w:rPr>
        <w:t> The case is significant for upholding the right to dignity under the Charter (albeit in limited circumstances).</w:t>
      </w:r>
      <w:r>
        <w:rPr>
          <w:vertAlign w:val="superscript"/>
        </w:rPr>
        <w:t>538</w:t>
      </w:r>
    </w:p>
    <w:p>
      <w:pPr>
        <w:pStyle w:val="BodyText"/>
        <w:spacing w:before="3"/>
      </w:pPr>
    </w:p>
    <w:p>
      <w:pPr>
        <w:pStyle w:val="Heading2"/>
        <w:numPr>
          <w:ilvl w:val="1"/>
          <w:numId w:val="45"/>
        </w:numPr>
        <w:tabs>
          <w:tab w:pos="1202" w:val="left" w:leader="none"/>
        </w:tabs>
        <w:spacing w:line="240" w:lineRule="auto" w:before="0" w:after="0"/>
        <w:ind w:left="1202" w:right="0" w:hanging="482"/>
        <w:jc w:val="left"/>
      </w:pPr>
      <w:r>
        <w:rPr>
          <w:color w:val="004A93"/>
        </w:rPr>
        <w:t>Article</w:t>
      </w:r>
      <w:r>
        <w:rPr>
          <w:color w:val="004A93"/>
          <w:spacing w:val="-9"/>
        </w:rPr>
        <w:t> </w:t>
      </w:r>
      <w:r>
        <w:rPr>
          <w:color w:val="004A93"/>
        </w:rPr>
        <w:t>2</w:t>
      </w:r>
      <w:r>
        <w:rPr>
          <w:color w:val="004A93"/>
          <w:spacing w:val="-8"/>
        </w:rPr>
        <w:t> </w:t>
      </w:r>
      <w:r>
        <w:rPr>
          <w:color w:val="004A93"/>
        </w:rPr>
        <w:t>Windsor</w:t>
      </w:r>
      <w:r>
        <w:rPr>
          <w:color w:val="004A93"/>
          <w:spacing w:val="-9"/>
        </w:rPr>
        <w:t> </w:t>
      </w:r>
      <w:r>
        <w:rPr>
          <w:color w:val="004A93"/>
        </w:rPr>
        <w:t>Framework</w:t>
      </w:r>
      <w:r>
        <w:rPr>
          <w:color w:val="004A93"/>
          <w:spacing w:val="-8"/>
        </w:rPr>
        <w:t> </w:t>
      </w:r>
      <w:r>
        <w:rPr>
          <w:color w:val="004A93"/>
        </w:rPr>
        <w:t>Case</w:t>
      </w:r>
      <w:r>
        <w:rPr>
          <w:color w:val="004A93"/>
          <w:spacing w:val="-9"/>
        </w:rPr>
        <w:t> </w:t>
      </w:r>
      <w:r>
        <w:rPr>
          <w:color w:val="004A93"/>
          <w:spacing w:val="-5"/>
        </w:rPr>
        <w:t>Law</w:t>
      </w:r>
    </w:p>
    <w:p>
      <w:pPr>
        <w:pStyle w:val="BodyText"/>
        <w:spacing w:before="9"/>
        <w:rPr>
          <w:b/>
          <w:sz w:val="5"/>
        </w:rPr>
      </w:pPr>
      <w:r>
        <w:rPr/>
        <mc:AlternateContent>
          <mc:Choice Requires="wps">
            <w:drawing>
              <wp:anchor distT="0" distB="0" distL="0" distR="0" allowOverlap="1" layoutInCell="1" locked="0" behindDoc="1" simplePos="0" relativeHeight="487757824">
                <wp:simplePos x="0" y="0"/>
                <wp:positionH relativeFrom="page">
                  <wp:posOffset>647999</wp:posOffset>
                </wp:positionH>
                <wp:positionV relativeFrom="paragraph">
                  <wp:posOffset>60004</wp:posOffset>
                </wp:positionV>
                <wp:extent cx="6012180" cy="1270"/>
                <wp:effectExtent l="0" t="0" r="0" b="0"/>
                <wp:wrapTopAndBottom/>
                <wp:docPr id="901" name="Graphic 901"/>
                <wp:cNvGraphicFramePr>
                  <a:graphicFrameLocks/>
                </wp:cNvGraphicFramePr>
                <a:graphic>
                  <a:graphicData uri="http://schemas.microsoft.com/office/word/2010/wordprocessingShape">
                    <wps:wsp>
                      <wps:cNvPr id="901" name="Graphic 901"/>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724727pt;width:473.4pt;height:.1pt;mso-position-horizontal-relative:page;mso-position-vertical-relative:paragraph;z-index:-15558656;mso-wrap-distance-left:0;mso-wrap-distance-right:0" id="docshape739" coordorigin="1020,94" coordsize="9468,0" path="m1020,94l10488,94e" filled="false" stroked="true" strokeweight="1pt" strokecolor="#36a9e1">
                <v:path arrowok="t"/>
                <v:stroke dashstyle="solid"/>
                <w10:wrap type="topAndBottom"/>
              </v:shape>
            </w:pict>
          </mc:Fallback>
        </mc:AlternateContent>
      </w:r>
    </w:p>
    <w:p>
      <w:pPr>
        <w:pStyle w:val="BodyText"/>
        <w:spacing w:line="232" w:lineRule="auto" w:before="108"/>
        <w:ind w:left="720" w:right="1203"/>
      </w:pPr>
      <w:r>
        <w:rPr/>
        <w:t>Article 13(2) of the Windsor Framework is unambiguous in stating that ‘the provisions of this Protocol referring to Union law or to concepts or provisions thereof shall in their implementation and application be interpreted in conformity with the relevant case law of the Court of Justice of the European Union’. This unambiguous language is important: when the Windsor Framework is in play courts</w:t>
      </w:r>
      <w:r>
        <w:rPr>
          <w:spacing w:val="-8"/>
        </w:rPr>
        <w:t> </w:t>
      </w:r>
      <w:r>
        <w:rPr/>
        <w:t>must</w:t>
      </w:r>
      <w:r>
        <w:rPr>
          <w:spacing w:val="-7"/>
        </w:rPr>
        <w:t> </w:t>
      </w:r>
      <w:r>
        <w:rPr/>
        <w:t>adopt</w:t>
      </w:r>
      <w:r>
        <w:rPr>
          <w:spacing w:val="-7"/>
        </w:rPr>
        <w:t> </w:t>
      </w:r>
      <w:r>
        <w:rPr/>
        <w:t>a</w:t>
      </w:r>
      <w:r>
        <w:rPr>
          <w:spacing w:val="-8"/>
        </w:rPr>
        <w:t> </w:t>
      </w:r>
      <w:r>
        <w:rPr/>
        <w:t>different</w:t>
      </w:r>
      <w:r>
        <w:rPr>
          <w:spacing w:val="-7"/>
        </w:rPr>
        <w:t> </w:t>
      </w:r>
      <w:r>
        <w:rPr/>
        <w:t>approach</w:t>
      </w:r>
      <w:r>
        <w:rPr>
          <w:spacing w:val="-8"/>
        </w:rPr>
        <w:t> </w:t>
      </w:r>
      <w:r>
        <w:rPr/>
        <w:t>from</w:t>
      </w:r>
      <w:r>
        <w:rPr>
          <w:spacing w:val="-7"/>
        </w:rPr>
        <w:t> </w:t>
      </w:r>
      <w:r>
        <w:rPr/>
        <w:t>that</w:t>
      </w:r>
      <w:r>
        <w:rPr>
          <w:spacing w:val="-7"/>
        </w:rPr>
        <w:t> </w:t>
      </w:r>
      <w:r>
        <w:rPr/>
        <w:t>in</w:t>
      </w:r>
      <w:r>
        <w:rPr>
          <w:spacing w:val="-8"/>
        </w:rPr>
        <w:t> </w:t>
      </w:r>
      <w:r>
        <w:rPr/>
        <w:t>other</w:t>
      </w:r>
      <w:r>
        <w:rPr>
          <w:spacing w:val="-7"/>
        </w:rPr>
        <w:t> </w:t>
      </w:r>
      <w:r>
        <w:rPr/>
        <w:t>cases</w:t>
      </w:r>
      <w:r>
        <w:rPr>
          <w:spacing w:val="-8"/>
        </w:rPr>
        <w:t> </w:t>
      </w:r>
      <w:r>
        <w:rPr/>
        <w:t>where</w:t>
      </w:r>
      <w:r>
        <w:rPr>
          <w:spacing w:val="-7"/>
        </w:rPr>
        <w:t> </w:t>
      </w:r>
      <w:r>
        <w:rPr/>
        <w:t>courts</w:t>
      </w:r>
      <w:r>
        <w:rPr>
          <w:spacing w:val="-8"/>
        </w:rPr>
        <w:t> </w:t>
      </w:r>
      <w:r>
        <w:rPr/>
        <w:t>have some issue of retained EU law before them.</w:t>
      </w:r>
    </w:p>
    <w:p>
      <w:pPr>
        <w:pStyle w:val="BodyText"/>
        <w:spacing w:before="1"/>
        <w:rPr>
          <w:sz w:val="10"/>
        </w:rPr>
      </w:pPr>
      <w:r>
        <w:rPr/>
        <mc:AlternateContent>
          <mc:Choice Requires="wps">
            <w:drawing>
              <wp:anchor distT="0" distB="0" distL="0" distR="0" allowOverlap="1" layoutInCell="1" locked="0" behindDoc="1" simplePos="0" relativeHeight="487758336">
                <wp:simplePos x="0" y="0"/>
                <wp:positionH relativeFrom="page">
                  <wp:posOffset>647999</wp:posOffset>
                </wp:positionH>
                <wp:positionV relativeFrom="paragraph">
                  <wp:posOffset>93556</wp:posOffset>
                </wp:positionV>
                <wp:extent cx="6012180" cy="1270"/>
                <wp:effectExtent l="0" t="0" r="0" b="0"/>
                <wp:wrapTopAndBottom/>
                <wp:docPr id="902" name="Graphic 902"/>
                <wp:cNvGraphicFramePr>
                  <a:graphicFrameLocks/>
                </wp:cNvGraphicFramePr>
                <a:graphic>
                  <a:graphicData uri="http://schemas.microsoft.com/office/word/2010/wordprocessingShape">
                    <wps:wsp>
                      <wps:cNvPr id="902" name="Graphic 90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7.366661pt;width:473.4pt;height:.1pt;mso-position-horizontal-relative:page;mso-position-vertical-relative:paragraph;z-index:-15558144;mso-wrap-distance-left:0;mso-wrap-distance-right:0" id="docshape740" coordorigin="1020,147" coordsize="9468,0" path="m1020,147l10488,147e" filled="false" stroked="true" strokeweight=".5pt" strokecolor="#36a9e1">
                <v:path arrowok="t"/>
                <v:stroke dashstyle="solid"/>
                <w10:wrap type="topAndBottom"/>
              </v:shape>
            </w:pict>
          </mc:Fallback>
        </mc:AlternateContent>
      </w:r>
    </w:p>
    <w:p>
      <w:pPr>
        <w:pStyle w:val="ListParagraph"/>
        <w:numPr>
          <w:ilvl w:val="0"/>
          <w:numId w:val="18"/>
        </w:numPr>
        <w:tabs>
          <w:tab w:pos="1287" w:val="left" w:leader="none"/>
        </w:tabs>
        <w:spacing w:line="240" w:lineRule="auto" w:before="43" w:after="0"/>
        <w:ind w:left="1287" w:right="0" w:hanging="567"/>
        <w:jc w:val="left"/>
        <w:rPr>
          <w:sz w:val="18"/>
        </w:rPr>
      </w:pPr>
      <w:r>
        <w:rPr>
          <w:color w:val="1D71B8"/>
          <w:sz w:val="18"/>
          <w:u w:val="single" w:color="1D71B8"/>
        </w:rPr>
        <w:t>EU-UK</w:t>
      </w:r>
      <w:r>
        <w:rPr>
          <w:color w:val="1D71B8"/>
          <w:spacing w:val="-5"/>
          <w:sz w:val="18"/>
          <w:u w:val="single" w:color="1D71B8"/>
        </w:rPr>
        <w:t> </w:t>
      </w:r>
      <w:r>
        <w:rPr>
          <w:color w:val="1D71B8"/>
          <w:sz w:val="18"/>
          <w:u w:val="single" w:color="1D71B8"/>
        </w:rPr>
        <w:t>Withdrawal</w:t>
      </w:r>
      <w:r>
        <w:rPr>
          <w:color w:val="1D71B8"/>
          <w:spacing w:val="-6"/>
          <w:sz w:val="18"/>
          <w:u w:val="single" w:color="1D71B8"/>
        </w:rPr>
        <w:t> </w:t>
      </w:r>
      <w:r>
        <w:rPr>
          <w:color w:val="1D71B8"/>
          <w:sz w:val="18"/>
          <w:u w:val="single" w:color="1D71B8"/>
        </w:rPr>
        <w:t>Agreement,</w:t>
      </w:r>
      <w:r>
        <w:rPr>
          <w:color w:val="1D71B8"/>
          <w:spacing w:val="-5"/>
          <w:sz w:val="18"/>
          <w:u w:val="single" w:color="1D71B8"/>
        </w:rPr>
        <w:t> </w:t>
      </w:r>
      <w:r>
        <w:rPr>
          <w:color w:val="1D71B8"/>
          <w:sz w:val="18"/>
          <w:u w:val="single" w:color="1D71B8"/>
        </w:rPr>
        <w:t>including</w:t>
      </w:r>
      <w:r>
        <w:rPr>
          <w:color w:val="1D71B8"/>
          <w:spacing w:val="-5"/>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Protocol</w:t>
      </w:r>
      <w:r>
        <w:rPr>
          <w:color w:val="1D71B8"/>
          <w:spacing w:val="-6"/>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Ireland/Northern</w:t>
      </w:r>
      <w:r>
        <w:rPr>
          <w:color w:val="1D71B8"/>
          <w:spacing w:val="-6"/>
          <w:sz w:val="18"/>
          <w:u w:val="single" w:color="1D71B8"/>
        </w:rPr>
        <w:t> </w:t>
      </w:r>
      <w:r>
        <w:rPr>
          <w:color w:val="1D71B8"/>
          <w:sz w:val="18"/>
          <w:u w:val="single" w:color="1D71B8"/>
        </w:rPr>
        <w:t>Ireland</w:t>
      </w:r>
      <w:r>
        <w:rPr>
          <w:color w:val="1D71B8"/>
          <w:spacing w:val="-6"/>
          <w:sz w:val="18"/>
          <w:u w:val="none"/>
        </w:rPr>
        <w:t> </w:t>
      </w:r>
      <w:r>
        <w:rPr>
          <w:sz w:val="18"/>
          <w:u w:val="none"/>
        </w:rPr>
        <w:t>2019,</w:t>
      </w:r>
      <w:r>
        <w:rPr>
          <w:spacing w:val="-5"/>
          <w:sz w:val="18"/>
          <w:u w:val="none"/>
        </w:rPr>
        <w:t> </w:t>
      </w:r>
      <w:r>
        <w:rPr>
          <w:sz w:val="18"/>
          <w:u w:val="none"/>
        </w:rPr>
        <w:t>Article</w:t>
      </w:r>
      <w:r>
        <w:rPr>
          <w:spacing w:val="-5"/>
          <w:sz w:val="18"/>
          <w:u w:val="none"/>
        </w:rPr>
        <w:t> </w:t>
      </w:r>
      <w:r>
        <w:rPr>
          <w:sz w:val="18"/>
          <w:u w:val="none"/>
        </w:rPr>
        <w:t>4(4)</w:t>
      </w:r>
      <w:r>
        <w:rPr>
          <w:spacing w:val="-5"/>
          <w:sz w:val="18"/>
          <w:u w:val="none"/>
        </w:rPr>
        <w:t> </w:t>
      </w:r>
      <w:r>
        <w:rPr>
          <w:sz w:val="18"/>
          <w:u w:val="none"/>
        </w:rPr>
        <w:t>and</w:t>
      </w:r>
      <w:r>
        <w:rPr>
          <w:spacing w:val="-6"/>
          <w:sz w:val="18"/>
          <w:u w:val="none"/>
        </w:rPr>
        <w:t> </w:t>
      </w:r>
      <w:r>
        <w:rPr>
          <w:spacing w:val="-2"/>
          <w:sz w:val="18"/>
          <w:u w:val="none"/>
        </w:rPr>
        <w:t>4(5).</w:t>
      </w:r>
    </w:p>
    <w:p>
      <w:pPr>
        <w:pStyle w:val="ListParagraph"/>
        <w:numPr>
          <w:ilvl w:val="0"/>
          <w:numId w:val="18"/>
        </w:numPr>
        <w:tabs>
          <w:tab w:pos="1287" w:val="left" w:leader="none"/>
        </w:tabs>
        <w:spacing w:line="240" w:lineRule="auto" w:before="1" w:after="0"/>
        <w:ind w:left="1287" w:right="1734" w:hanging="567"/>
        <w:jc w:val="left"/>
        <w:rPr>
          <w:sz w:val="18"/>
        </w:rPr>
      </w:pPr>
      <w:r>
        <w:rPr>
          <w:color w:val="1D71B8"/>
          <w:sz w:val="18"/>
          <w:u w:val="single" w:color="1D71B8"/>
        </w:rPr>
        <w:t>Secretary of State for Work and Pensions v AT, intervenors: Advice on Individual Rights in Europe (AIRE) Centre;</w:t>
      </w:r>
      <w:r>
        <w:rPr>
          <w:color w:val="1D71B8"/>
          <w:sz w:val="18"/>
          <w:u w:val="none"/>
        </w:rPr>
        <w:t> </w:t>
      </w:r>
      <w:r>
        <w:rPr>
          <w:color w:val="1D71B8"/>
          <w:sz w:val="18"/>
          <w:u w:val="single" w:color="1D71B8"/>
        </w:rPr>
        <w:t>Independent</w:t>
      </w:r>
      <w:r>
        <w:rPr>
          <w:color w:val="1D71B8"/>
          <w:spacing w:val="-4"/>
          <w:sz w:val="18"/>
          <w:u w:val="single" w:color="1D71B8"/>
        </w:rPr>
        <w:t> </w:t>
      </w:r>
      <w:r>
        <w:rPr>
          <w:color w:val="1D71B8"/>
          <w:sz w:val="18"/>
          <w:u w:val="single" w:color="1D71B8"/>
        </w:rPr>
        <w:t>Monitoring</w:t>
      </w:r>
      <w:r>
        <w:rPr>
          <w:color w:val="1D71B8"/>
          <w:spacing w:val="-4"/>
          <w:sz w:val="18"/>
          <w:u w:val="single" w:color="1D71B8"/>
        </w:rPr>
        <w:t> </w:t>
      </w:r>
      <w:r>
        <w:rPr>
          <w:color w:val="1D71B8"/>
          <w:sz w:val="18"/>
          <w:u w:val="single" w:color="1D71B8"/>
        </w:rPr>
        <w:t>Authority</w:t>
      </w:r>
      <w:r>
        <w:rPr>
          <w:color w:val="1D71B8"/>
          <w:spacing w:val="-4"/>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Citizens’</w:t>
      </w:r>
      <w:r>
        <w:rPr>
          <w:color w:val="1D71B8"/>
          <w:spacing w:val="-4"/>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Agreements</w:t>
      </w:r>
      <w:r>
        <w:rPr>
          <w:color w:val="1D71B8"/>
          <w:spacing w:val="-5"/>
          <w:sz w:val="18"/>
          <w:u w:val="none"/>
        </w:rPr>
        <w:t> </w:t>
      </w:r>
      <w:r>
        <w:rPr>
          <w:sz w:val="18"/>
          <w:u w:val="none"/>
        </w:rPr>
        <w:t>[2023]</w:t>
      </w:r>
      <w:r>
        <w:rPr>
          <w:spacing w:val="-4"/>
          <w:sz w:val="18"/>
          <w:u w:val="none"/>
        </w:rPr>
        <w:t> </w:t>
      </w:r>
      <w:r>
        <w:rPr>
          <w:sz w:val="18"/>
          <w:u w:val="none"/>
        </w:rPr>
        <w:t>EWCA</w:t>
      </w:r>
      <w:r>
        <w:rPr>
          <w:spacing w:val="-4"/>
          <w:sz w:val="18"/>
          <w:u w:val="none"/>
        </w:rPr>
        <w:t> </w:t>
      </w:r>
      <w:r>
        <w:rPr>
          <w:sz w:val="18"/>
          <w:u w:val="none"/>
        </w:rPr>
        <w:t>Civ</w:t>
      </w:r>
      <w:r>
        <w:rPr>
          <w:spacing w:val="-4"/>
          <w:sz w:val="18"/>
          <w:u w:val="none"/>
        </w:rPr>
        <w:t> </w:t>
      </w:r>
      <w:r>
        <w:rPr>
          <w:sz w:val="18"/>
          <w:u w:val="none"/>
        </w:rPr>
        <w:t>1307,</w:t>
      </w:r>
      <w:r>
        <w:rPr>
          <w:spacing w:val="-4"/>
          <w:sz w:val="18"/>
          <w:u w:val="none"/>
        </w:rPr>
        <w:t> </w:t>
      </w:r>
      <w:r>
        <w:rPr>
          <w:sz w:val="18"/>
          <w:u w:val="none"/>
        </w:rPr>
        <w:t>(8</w:t>
      </w:r>
      <w:r>
        <w:rPr>
          <w:spacing w:val="-4"/>
          <w:sz w:val="18"/>
          <w:u w:val="none"/>
        </w:rPr>
        <w:t> </w:t>
      </w:r>
      <w:r>
        <w:rPr>
          <w:sz w:val="18"/>
          <w:u w:val="none"/>
        </w:rPr>
        <w:t>November</w:t>
      </w:r>
      <w:r>
        <w:rPr>
          <w:spacing w:val="-4"/>
          <w:sz w:val="18"/>
          <w:u w:val="none"/>
        </w:rPr>
        <w:t> </w:t>
      </w:r>
      <w:r>
        <w:rPr>
          <w:sz w:val="18"/>
          <w:u w:val="none"/>
        </w:rPr>
        <w:t>2023) paragraph</w:t>
      </w:r>
      <w:r>
        <w:rPr>
          <w:spacing w:val="-2"/>
          <w:sz w:val="18"/>
          <w:u w:val="none"/>
        </w:rPr>
        <w:t> </w:t>
      </w:r>
      <w:r>
        <w:rPr>
          <w:sz w:val="18"/>
          <w:u w:val="none"/>
        </w:rPr>
        <w:t>85.</w:t>
      </w:r>
    </w:p>
    <w:p>
      <w:pPr>
        <w:pStyle w:val="ListParagraph"/>
        <w:numPr>
          <w:ilvl w:val="0"/>
          <w:numId w:val="18"/>
        </w:numPr>
        <w:tabs>
          <w:tab w:pos="1287" w:val="left" w:leader="none"/>
        </w:tabs>
        <w:spacing w:line="240" w:lineRule="auto" w:before="0" w:after="0"/>
        <w:ind w:left="1287" w:right="1290" w:hanging="567"/>
        <w:jc w:val="left"/>
        <w:rPr>
          <w:sz w:val="18"/>
        </w:rPr>
      </w:pPr>
      <w:hyperlink r:id="rId163">
        <w:r>
          <w:rPr>
            <w:color w:val="1D71B8"/>
            <w:sz w:val="18"/>
            <w:u w:val="single" w:color="1D71B8"/>
          </w:rPr>
          <w:t>CG v The Department for Communities in Northern Ireland</w:t>
        </w:r>
      </w:hyperlink>
      <w:r>
        <w:rPr>
          <w:color w:val="1D71B8"/>
          <w:sz w:val="18"/>
          <w:u w:val="none"/>
        </w:rPr>
        <w:t> </w:t>
      </w:r>
      <w:r>
        <w:rPr>
          <w:sz w:val="18"/>
          <w:u w:val="none"/>
        </w:rPr>
        <w:t>Case C-709/20, [2022] 1 CMLR 26 (15 July 2021). This is discussed in Sarah Craig, Anurag Deb, Eleni Frantziou, Alexander Horne, Colin Murray, Clare Rice and Jane Rooney, </w:t>
      </w:r>
      <w:r>
        <w:rPr>
          <w:color w:val="1D71B8"/>
          <w:sz w:val="18"/>
          <w:u w:val="single" w:color="1D71B8"/>
        </w:rPr>
        <w:t>European</w:t>
      </w:r>
      <w:r>
        <w:rPr>
          <w:color w:val="1D71B8"/>
          <w:spacing w:val="-4"/>
          <w:sz w:val="18"/>
          <w:u w:val="single" w:color="1D71B8"/>
        </w:rPr>
        <w:t> </w:t>
      </w:r>
      <w:r>
        <w:rPr>
          <w:color w:val="1D71B8"/>
          <w:sz w:val="18"/>
          <w:u w:val="single" w:color="1D71B8"/>
        </w:rPr>
        <w:t>Union</w:t>
      </w:r>
      <w:r>
        <w:rPr>
          <w:color w:val="1D71B8"/>
          <w:spacing w:val="-4"/>
          <w:sz w:val="18"/>
          <w:u w:val="single" w:color="1D71B8"/>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z w:val="18"/>
          <w:u w:val="none"/>
        </w:rPr>
        <w:t> </w:t>
      </w:r>
      <w:r>
        <w:rPr>
          <w:color w:val="1D71B8"/>
          <w:sz w:val="18"/>
          <w:u w:val="single" w:color="1D71B8"/>
        </w:rPr>
        <w:t>Practice on the Island of Ireland</w:t>
      </w:r>
      <w:r>
        <w:rPr>
          <w:color w:val="1D71B8"/>
          <w:sz w:val="18"/>
          <w:u w:val="none"/>
        </w:rPr>
        <w:t> </w:t>
      </w:r>
      <w:r>
        <w:rPr>
          <w:sz w:val="18"/>
          <w:u w:val="none"/>
        </w:rPr>
        <w:t>(2022) 86.</w:t>
      </w:r>
    </w:p>
    <w:p>
      <w:pPr>
        <w:pStyle w:val="ListParagraph"/>
        <w:numPr>
          <w:ilvl w:val="0"/>
          <w:numId w:val="18"/>
        </w:numPr>
        <w:tabs>
          <w:tab w:pos="1287" w:val="left" w:leader="none"/>
        </w:tabs>
        <w:spacing w:line="240" w:lineRule="auto" w:before="2" w:after="0"/>
        <w:ind w:left="1287" w:right="1209" w:hanging="567"/>
        <w:jc w:val="left"/>
        <w:rPr>
          <w:sz w:val="18"/>
        </w:rPr>
      </w:pPr>
      <w:r>
        <w:rPr>
          <w:sz w:val="18"/>
        </w:rPr>
        <w:t>The</w:t>
      </w:r>
      <w:r>
        <w:rPr>
          <w:spacing w:val="-4"/>
          <w:sz w:val="18"/>
        </w:rPr>
        <w:t> </w:t>
      </w:r>
      <w:r>
        <w:rPr>
          <w:sz w:val="18"/>
        </w:rPr>
        <w:t>Court</w:t>
      </w:r>
      <w:r>
        <w:rPr>
          <w:spacing w:val="-4"/>
          <w:sz w:val="18"/>
        </w:rPr>
        <w:t> </w:t>
      </w:r>
      <w:r>
        <w:rPr>
          <w:sz w:val="18"/>
        </w:rPr>
        <w:t>noted</w:t>
      </w:r>
      <w:r>
        <w:rPr>
          <w:spacing w:val="-5"/>
          <w:sz w:val="18"/>
        </w:rPr>
        <w:t> </w:t>
      </w:r>
      <w:r>
        <w:rPr>
          <w:sz w:val="18"/>
        </w:rPr>
        <w:t>though</w:t>
      </w:r>
      <w:r>
        <w:rPr>
          <w:spacing w:val="-5"/>
          <w:sz w:val="18"/>
        </w:rPr>
        <w:t> </w:t>
      </w:r>
      <w:r>
        <w:rPr>
          <w:sz w:val="18"/>
        </w:rPr>
        <w:t>the</w:t>
      </w:r>
      <w:r>
        <w:rPr>
          <w:spacing w:val="-4"/>
          <w:sz w:val="18"/>
        </w:rPr>
        <w:t> </w:t>
      </w:r>
      <w:r>
        <w:rPr>
          <w:sz w:val="18"/>
        </w:rPr>
        <w:t>right</w:t>
      </w:r>
      <w:r>
        <w:rPr>
          <w:spacing w:val="-4"/>
          <w:sz w:val="18"/>
        </w:rPr>
        <w:t> </w:t>
      </w:r>
      <w:r>
        <w:rPr>
          <w:sz w:val="18"/>
        </w:rPr>
        <w:t>had</w:t>
      </w:r>
      <w:r>
        <w:rPr>
          <w:spacing w:val="-5"/>
          <w:sz w:val="18"/>
        </w:rPr>
        <w:t> </w:t>
      </w:r>
      <w:r>
        <w:rPr>
          <w:sz w:val="18"/>
        </w:rPr>
        <w:t>ancient</w:t>
      </w:r>
      <w:r>
        <w:rPr>
          <w:spacing w:val="-4"/>
          <w:sz w:val="18"/>
        </w:rPr>
        <w:t> </w:t>
      </w:r>
      <w:r>
        <w:rPr>
          <w:sz w:val="18"/>
        </w:rPr>
        <w:t>origins</w:t>
      </w:r>
      <w:r>
        <w:rPr>
          <w:spacing w:val="-5"/>
          <w:sz w:val="18"/>
        </w:rPr>
        <w:t> </w:t>
      </w:r>
      <w:r>
        <w:rPr>
          <w:sz w:val="18"/>
        </w:rPr>
        <w:t>including</w:t>
      </w:r>
      <w:r>
        <w:rPr>
          <w:spacing w:val="-4"/>
          <w:sz w:val="18"/>
        </w:rPr>
        <w:t> </w:t>
      </w:r>
      <w:r>
        <w:rPr>
          <w:sz w:val="18"/>
        </w:rPr>
        <w:t>in</w:t>
      </w:r>
      <w:r>
        <w:rPr>
          <w:spacing w:val="-5"/>
          <w:sz w:val="18"/>
        </w:rPr>
        <w:t> </w:t>
      </w:r>
      <w:r>
        <w:rPr>
          <w:sz w:val="18"/>
        </w:rPr>
        <w:t>the</w:t>
      </w:r>
      <w:r>
        <w:rPr>
          <w:spacing w:val="-4"/>
          <w:sz w:val="18"/>
        </w:rPr>
        <w:t> </w:t>
      </w:r>
      <w:r>
        <w:rPr>
          <w:sz w:val="18"/>
        </w:rPr>
        <w:t>English</w:t>
      </w:r>
      <w:r>
        <w:rPr>
          <w:spacing w:val="-5"/>
          <w:sz w:val="18"/>
        </w:rPr>
        <w:t> </w:t>
      </w:r>
      <w:r>
        <w:rPr>
          <w:sz w:val="18"/>
        </w:rPr>
        <w:t>common</w:t>
      </w:r>
      <w:r>
        <w:rPr>
          <w:spacing w:val="-5"/>
          <w:sz w:val="18"/>
        </w:rPr>
        <w:t> </w:t>
      </w:r>
      <w:r>
        <w:rPr>
          <w:sz w:val="18"/>
        </w:rPr>
        <w:t>law,</w:t>
      </w:r>
      <w:r>
        <w:rPr>
          <w:spacing w:val="-4"/>
          <w:sz w:val="18"/>
        </w:rPr>
        <w:t> </w:t>
      </w:r>
      <w:r>
        <w:rPr>
          <w:sz w:val="18"/>
        </w:rPr>
        <w:t>citing</w:t>
      </w:r>
      <w:r>
        <w:rPr>
          <w:spacing w:val="-4"/>
          <w:sz w:val="18"/>
        </w:rPr>
        <w:t> </w:t>
      </w:r>
      <w:r>
        <w:rPr>
          <w:sz w:val="18"/>
        </w:rPr>
        <w:t>the</w:t>
      </w:r>
      <w:r>
        <w:rPr>
          <w:spacing w:val="-4"/>
          <w:sz w:val="18"/>
        </w:rPr>
        <w:t> </w:t>
      </w:r>
      <w:r>
        <w:rPr>
          <w:sz w:val="18"/>
        </w:rPr>
        <w:t>reference</w:t>
      </w:r>
      <w:r>
        <w:rPr>
          <w:spacing w:val="-4"/>
          <w:sz w:val="18"/>
        </w:rPr>
        <w:t> </w:t>
      </w:r>
      <w:r>
        <w:rPr>
          <w:sz w:val="18"/>
        </w:rPr>
        <w:t>to</w:t>
      </w:r>
      <w:r>
        <w:rPr>
          <w:spacing w:val="-5"/>
          <w:sz w:val="18"/>
        </w:rPr>
        <w:t> </w:t>
      </w:r>
      <w:r>
        <w:rPr>
          <w:sz w:val="18"/>
        </w:rPr>
        <w:t>the</w:t>
      </w:r>
      <w:r>
        <w:rPr>
          <w:spacing w:val="-4"/>
          <w:sz w:val="18"/>
        </w:rPr>
        <w:t> </w:t>
      </w:r>
      <w:r>
        <w:rPr>
          <w:sz w:val="18"/>
        </w:rPr>
        <w:t>law of humanity in </w:t>
      </w:r>
      <w:r>
        <w:rPr>
          <w:i/>
          <w:sz w:val="18"/>
        </w:rPr>
        <w:t>Reg. v Inhabitants of Eastbourne </w:t>
      </w:r>
      <w:r>
        <w:rPr>
          <w:sz w:val="18"/>
        </w:rPr>
        <w:t>(1803) 3 East 103.</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900672">
                <wp:simplePos x="0" y="0"/>
                <wp:positionH relativeFrom="page">
                  <wp:posOffset>-2</wp:posOffset>
                </wp:positionH>
                <wp:positionV relativeFrom="page">
                  <wp:posOffset>0</wp:posOffset>
                </wp:positionV>
                <wp:extent cx="7560309" cy="1257935"/>
                <wp:effectExtent l="0" t="0" r="0" b="0"/>
                <wp:wrapNone/>
                <wp:docPr id="903" name="Group 903"/>
                <wp:cNvGraphicFramePr>
                  <a:graphicFrameLocks/>
                </wp:cNvGraphicFramePr>
                <a:graphic>
                  <a:graphicData uri="http://schemas.microsoft.com/office/word/2010/wordprocessingGroup">
                    <wpg:wgp>
                      <wpg:cNvPr id="903" name="Group 903"/>
                      <wpg:cNvGrpSpPr/>
                      <wpg:grpSpPr>
                        <a:xfrm>
                          <a:off x="0" y="0"/>
                          <a:ext cx="7560309" cy="1257935"/>
                          <a:chExt cx="7560309" cy="1257935"/>
                        </a:xfrm>
                      </wpg:grpSpPr>
                      <wps:wsp>
                        <wps:cNvPr id="904" name="Graphic 904"/>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905" name="Graphic 905"/>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906" name="Textbox 906"/>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907" name="Textbox 907"/>
                        <wps:cNvSpPr txBox="1"/>
                        <wps:spPr>
                          <a:xfrm>
                            <a:off x="7028829"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107</w:t>
                              </w:r>
                            </w:p>
                          </w:txbxContent>
                        </wps:txbx>
                        <wps:bodyPr wrap="square" lIns="0" tIns="0" rIns="0" bIns="0" rtlCol="0">
                          <a:noAutofit/>
                        </wps:bodyPr>
                      </wps:wsp>
                      <wps:wsp>
                        <wps:cNvPr id="908" name="Textbox 908"/>
                        <wps:cNvSpPr txBox="1"/>
                        <wps:spPr>
                          <a:xfrm>
                            <a:off x="900001" y="1080003"/>
                            <a:ext cx="5450205" cy="177800"/>
                          </a:xfrm>
                          <a:prstGeom prst="rect">
                            <a:avLst/>
                          </a:prstGeom>
                        </wps:spPr>
                        <wps:txbx>
                          <w:txbxContent>
                            <w:p>
                              <w:pPr>
                                <w:spacing w:line="280" w:lineRule="exact" w:before="0"/>
                                <w:ind w:left="0" w:right="0" w:firstLine="0"/>
                                <w:jc w:val="left"/>
                                <w:rPr>
                                  <w:sz w:val="28"/>
                                </w:rPr>
                              </w:pPr>
                              <w:r>
                                <w:rPr>
                                  <w:sz w:val="28"/>
                                </w:rPr>
                                <w:t>Several</w:t>
                              </w:r>
                              <w:r>
                                <w:rPr>
                                  <w:spacing w:val="-6"/>
                                  <w:sz w:val="28"/>
                                </w:rPr>
                                <w:t> </w:t>
                              </w:r>
                              <w:r>
                                <w:rPr>
                                  <w:sz w:val="28"/>
                                </w:rPr>
                                <w:t>Northern</w:t>
                              </w:r>
                              <w:r>
                                <w:rPr>
                                  <w:spacing w:val="-6"/>
                                  <w:sz w:val="28"/>
                                </w:rPr>
                                <w:t> </w:t>
                              </w:r>
                              <w:r>
                                <w:rPr>
                                  <w:sz w:val="28"/>
                                </w:rPr>
                                <w:t>Irish</w:t>
                              </w:r>
                              <w:r>
                                <w:rPr>
                                  <w:spacing w:val="-6"/>
                                  <w:sz w:val="28"/>
                                </w:rPr>
                                <w:t> </w:t>
                              </w:r>
                              <w:r>
                                <w:rPr>
                                  <w:sz w:val="28"/>
                                </w:rPr>
                                <w:t>cases</w:t>
                              </w:r>
                              <w:r>
                                <w:rPr>
                                  <w:spacing w:val="-6"/>
                                  <w:sz w:val="28"/>
                                </w:rPr>
                                <w:t> </w:t>
                              </w:r>
                              <w:r>
                                <w:rPr>
                                  <w:sz w:val="28"/>
                                </w:rPr>
                                <w:t>have</w:t>
                              </w:r>
                              <w:r>
                                <w:rPr>
                                  <w:spacing w:val="-5"/>
                                  <w:sz w:val="28"/>
                                </w:rPr>
                                <w:t> </w:t>
                              </w:r>
                              <w:r>
                                <w:rPr>
                                  <w:sz w:val="28"/>
                                </w:rPr>
                                <w:t>considered</w:t>
                              </w:r>
                              <w:r>
                                <w:rPr>
                                  <w:spacing w:val="-6"/>
                                  <w:sz w:val="28"/>
                                </w:rPr>
                                <w:t> </w:t>
                              </w:r>
                              <w:r>
                                <w:rPr>
                                  <w:sz w:val="28"/>
                                </w:rPr>
                                <w:t>Article</w:t>
                              </w:r>
                              <w:r>
                                <w:rPr>
                                  <w:spacing w:val="-4"/>
                                  <w:sz w:val="28"/>
                                </w:rPr>
                                <w:t> </w:t>
                              </w:r>
                              <w:r>
                                <w:rPr>
                                  <w:sz w:val="28"/>
                                </w:rPr>
                                <w:t>2</w:t>
                              </w:r>
                              <w:r>
                                <w:rPr>
                                  <w:spacing w:val="-5"/>
                                  <w:sz w:val="28"/>
                                </w:rPr>
                                <w:t> </w:t>
                              </w:r>
                              <w:r>
                                <w:rPr>
                                  <w:sz w:val="28"/>
                                </w:rPr>
                                <w:t>WF</w:t>
                              </w:r>
                              <w:r>
                                <w:rPr>
                                  <w:spacing w:val="-6"/>
                                  <w:sz w:val="28"/>
                                </w:rPr>
                                <w:t> </w:t>
                              </w:r>
                              <w:r>
                                <w:rPr>
                                  <w:sz w:val="28"/>
                                </w:rPr>
                                <w:t>in</w:t>
                              </w:r>
                              <w:r>
                                <w:rPr>
                                  <w:spacing w:val="-6"/>
                                  <w:sz w:val="28"/>
                                </w:rPr>
                                <w:t> </w:t>
                              </w:r>
                              <w:r>
                                <w:rPr>
                                  <w:sz w:val="28"/>
                                </w:rPr>
                                <w:t>some</w:t>
                              </w:r>
                              <w:r>
                                <w:rPr>
                                  <w:spacing w:val="-5"/>
                                  <w:sz w:val="28"/>
                                </w:rPr>
                                <w:t> </w:t>
                              </w:r>
                              <w:r>
                                <w:rPr>
                                  <w:sz w:val="28"/>
                                </w:rPr>
                                <w:t>depth,</w:t>
                              </w:r>
                              <w:r>
                                <w:rPr>
                                  <w:spacing w:val="-5"/>
                                  <w:sz w:val="28"/>
                                </w:rPr>
                                <w:t> in</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900672" id="docshapegroup741" coordorigin="0,0" coordsize="11906,1981">
                <v:shape style="position:absolute;left:0;top:0;width:11906;height:1819" id="docshape742"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743"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069;top:636;width:446;height:280" type="#_x0000_t202" id="docshape744" filled="false" stroked="false">
                  <v:textbox inset="0,0,0,0">
                    <w:txbxContent>
                      <w:p>
                        <w:pPr>
                          <w:spacing w:line="280" w:lineRule="exact" w:before="0"/>
                          <w:ind w:left="0" w:right="0" w:firstLine="0"/>
                          <w:jc w:val="left"/>
                          <w:rPr>
                            <w:b/>
                            <w:sz w:val="28"/>
                          </w:rPr>
                        </w:pPr>
                        <w:r>
                          <w:rPr>
                            <w:b/>
                            <w:color w:val="FFFFFF"/>
                            <w:spacing w:val="-5"/>
                            <w:sz w:val="28"/>
                          </w:rPr>
                          <w:t>107</w:t>
                        </w:r>
                      </w:p>
                    </w:txbxContent>
                  </v:textbox>
                  <w10:wrap type="none"/>
                </v:shape>
                <v:shape style="position:absolute;left:1417;top:1700;width:8583;height:280" type="#_x0000_t202" id="docshape745" filled="false" stroked="false">
                  <v:textbox inset="0,0,0,0">
                    <w:txbxContent>
                      <w:p>
                        <w:pPr>
                          <w:spacing w:line="280" w:lineRule="exact" w:before="0"/>
                          <w:ind w:left="0" w:right="0" w:firstLine="0"/>
                          <w:jc w:val="left"/>
                          <w:rPr>
                            <w:sz w:val="28"/>
                          </w:rPr>
                        </w:pPr>
                        <w:r>
                          <w:rPr>
                            <w:sz w:val="28"/>
                          </w:rPr>
                          <w:t>Several</w:t>
                        </w:r>
                        <w:r>
                          <w:rPr>
                            <w:spacing w:val="-6"/>
                            <w:sz w:val="28"/>
                          </w:rPr>
                          <w:t> </w:t>
                        </w:r>
                        <w:r>
                          <w:rPr>
                            <w:sz w:val="28"/>
                          </w:rPr>
                          <w:t>Northern</w:t>
                        </w:r>
                        <w:r>
                          <w:rPr>
                            <w:spacing w:val="-6"/>
                            <w:sz w:val="28"/>
                          </w:rPr>
                          <w:t> </w:t>
                        </w:r>
                        <w:r>
                          <w:rPr>
                            <w:sz w:val="28"/>
                          </w:rPr>
                          <w:t>Irish</w:t>
                        </w:r>
                        <w:r>
                          <w:rPr>
                            <w:spacing w:val="-6"/>
                            <w:sz w:val="28"/>
                          </w:rPr>
                          <w:t> </w:t>
                        </w:r>
                        <w:r>
                          <w:rPr>
                            <w:sz w:val="28"/>
                          </w:rPr>
                          <w:t>cases</w:t>
                        </w:r>
                        <w:r>
                          <w:rPr>
                            <w:spacing w:val="-6"/>
                            <w:sz w:val="28"/>
                          </w:rPr>
                          <w:t> </w:t>
                        </w:r>
                        <w:r>
                          <w:rPr>
                            <w:sz w:val="28"/>
                          </w:rPr>
                          <w:t>have</w:t>
                        </w:r>
                        <w:r>
                          <w:rPr>
                            <w:spacing w:val="-5"/>
                            <w:sz w:val="28"/>
                          </w:rPr>
                          <w:t> </w:t>
                        </w:r>
                        <w:r>
                          <w:rPr>
                            <w:sz w:val="28"/>
                          </w:rPr>
                          <w:t>considered</w:t>
                        </w:r>
                        <w:r>
                          <w:rPr>
                            <w:spacing w:val="-6"/>
                            <w:sz w:val="28"/>
                          </w:rPr>
                          <w:t> </w:t>
                        </w:r>
                        <w:r>
                          <w:rPr>
                            <w:sz w:val="28"/>
                          </w:rPr>
                          <w:t>Article</w:t>
                        </w:r>
                        <w:r>
                          <w:rPr>
                            <w:spacing w:val="-4"/>
                            <w:sz w:val="28"/>
                          </w:rPr>
                          <w:t> </w:t>
                        </w:r>
                        <w:r>
                          <w:rPr>
                            <w:sz w:val="28"/>
                          </w:rPr>
                          <w:t>2</w:t>
                        </w:r>
                        <w:r>
                          <w:rPr>
                            <w:spacing w:val="-5"/>
                            <w:sz w:val="28"/>
                          </w:rPr>
                          <w:t> </w:t>
                        </w:r>
                        <w:r>
                          <w:rPr>
                            <w:sz w:val="28"/>
                          </w:rPr>
                          <w:t>WF</w:t>
                        </w:r>
                        <w:r>
                          <w:rPr>
                            <w:spacing w:val="-6"/>
                            <w:sz w:val="28"/>
                          </w:rPr>
                          <w:t> </w:t>
                        </w:r>
                        <w:r>
                          <w:rPr>
                            <w:sz w:val="28"/>
                          </w:rPr>
                          <w:t>in</w:t>
                        </w:r>
                        <w:r>
                          <w:rPr>
                            <w:spacing w:val="-6"/>
                            <w:sz w:val="28"/>
                          </w:rPr>
                          <w:t> </w:t>
                        </w:r>
                        <w:r>
                          <w:rPr>
                            <w:sz w:val="28"/>
                          </w:rPr>
                          <w:t>some</w:t>
                        </w:r>
                        <w:r>
                          <w:rPr>
                            <w:spacing w:val="-5"/>
                            <w:sz w:val="28"/>
                          </w:rPr>
                          <w:t> </w:t>
                        </w:r>
                        <w:r>
                          <w:rPr>
                            <w:sz w:val="28"/>
                          </w:rPr>
                          <w:t>depth,</w:t>
                        </w:r>
                        <w:r>
                          <w:rPr>
                            <w:spacing w:val="-5"/>
                            <w:sz w:val="28"/>
                          </w:rPr>
                          <w:t> in</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spacing w:line="232" w:lineRule="auto" w:before="0"/>
        <w:ind w:left="1117" w:right="888" w:firstLine="0"/>
        <w:jc w:val="left"/>
        <w:rPr>
          <w:sz w:val="28"/>
        </w:rPr>
      </w:pPr>
      <w:bookmarkStart w:name="5.4.1 The SPUC case" w:id="171"/>
      <w:bookmarkEnd w:id="171"/>
      <w:r>
        <w:rPr/>
      </w:r>
      <w:bookmarkStart w:name="_bookmark72" w:id="172"/>
      <w:bookmarkEnd w:id="172"/>
      <w:r>
        <w:rPr/>
      </w:r>
      <w:r>
        <w:rPr>
          <w:sz w:val="28"/>
        </w:rPr>
        <w:t>particular</w:t>
      </w:r>
      <w:r>
        <w:rPr>
          <w:spacing w:val="-5"/>
          <w:sz w:val="28"/>
        </w:rPr>
        <w:t> </w:t>
      </w:r>
      <w:r>
        <w:rPr>
          <w:sz w:val="28"/>
        </w:rPr>
        <w:t>the</w:t>
      </w:r>
      <w:r>
        <w:rPr>
          <w:spacing w:val="-7"/>
          <w:sz w:val="28"/>
        </w:rPr>
        <w:t> </w:t>
      </w:r>
      <w:r>
        <w:rPr>
          <w:i/>
          <w:sz w:val="28"/>
        </w:rPr>
        <w:t>SPUC</w:t>
      </w:r>
      <w:r>
        <w:rPr>
          <w:i/>
          <w:spacing w:val="-6"/>
          <w:sz w:val="28"/>
        </w:rPr>
        <w:t> </w:t>
      </w:r>
      <w:r>
        <w:rPr>
          <w:i/>
          <w:sz w:val="28"/>
        </w:rPr>
        <w:t>case</w:t>
      </w:r>
      <w:r>
        <w:rPr>
          <w:sz w:val="28"/>
        </w:rPr>
        <w:t>,</w:t>
      </w:r>
      <w:r>
        <w:rPr>
          <w:spacing w:val="-5"/>
          <w:sz w:val="28"/>
        </w:rPr>
        <w:t> </w:t>
      </w:r>
      <w:r>
        <w:rPr>
          <w:sz w:val="28"/>
        </w:rPr>
        <w:t>in</w:t>
      </w:r>
      <w:r>
        <w:rPr>
          <w:spacing w:val="-6"/>
          <w:sz w:val="28"/>
        </w:rPr>
        <w:t> </w:t>
      </w:r>
      <w:r>
        <w:rPr>
          <w:sz w:val="28"/>
        </w:rPr>
        <w:t>both</w:t>
      </w:r>
      <w:r>
        <w:rPr>
          <w:spacing w:val="-6"/>
          <w:sz w:val="28"/>
        </w:rPr>
        <w:t> </w:t>
      </w:r>
      <w:r>
        <w:rPr>
          <w:sz w:val="28"/>
        </w:rPr>
        <w:t>the</w:t>
      </w:r>
      <w:r>
        <w:rPr>
          <w:spacing w:val="-5"/>
          <w:sz w:val="28"/>
        </w:rPr>
        <w:t> </w:t>
      </w:r>
      <w:r>
        <w:rPr>
          <w:sz w:val="28"/>
        </w:rPr>
        <w:t>High</w:t>
      </w:r>
      <w:r>
        <w:rPr>
          <w:spacing w:val="-6"/>
          <w:sz w:val="28"/>
        </w:rPr>
        <w:t> </w:t>
      </w:r>
      <w:r>
        <w:rPr>
          <w:sz w:val="28"/>
        </w:rPr>
        <w:t>Court</w:t>
      </w:r>
      <w:r>
        <w:rPr>
          <w:spacing w:val="-5"/>
          <w:sz w:val="28"/>
        </w:rPr>
        <w:t> </w:t>
      </w:r>
      <w:r>
        <w:rPr>
          <w:sz w:val="28"/>
        </w:rPr>
        <w:t>and</w:t>
      </w:r>
      <w:r>
        <w:rPr>
          <w:spacing w:val="-6"/>
          <w:sz w:val="28"/>
        </w:rPr>
        <w:t> </w:t>
      </w:r>
      <w:r>
        <w:rPr>
          <w:sz w:val="28"/>
        </w:rPr>
        <w:t>Court</w:t>
      </w:r>
      <w:r>
        <w:rPr>
          <w:spacing w:val="-5"/>
          <w:sz w:val="28"/>
        </w:rPr>
        <w:t> </w:t>
      </w:r>
      <w:r>
        <w:rPr>
          <w:sz w:val="28"/>
        </w:rPr>
        <w:t>of</w:t>
      </w:r>
      <w:r>
        <w:rPr>
          <w:spacing w:val="-6"/>
          <w:sz w:val="28"/>
        </w:rPr>
        <w:t> </w:t>
      </w:r>
      <w:r>
        <w:rPr>
          <w:sz w:val="28"/>
        </w:rPr>
        <w:t>Appeal,</w:t>
      </w:r>
      <w:r>
        <w:rPr>
          <w:sz w:val="28"/>
          <w:vertAlign w:val="superscript"/>
        </w:rPr>
        <w:t>539</w:t>
      </w:r>
      <w:r>
        <w:rPr>
          <w:spacing w:val="-6"/>
          <w:sz w:val="28"/>
          <w:vertAlign w:val="baseline"/>
        </w:rPr>
        <w:t> </w:t>
      </w:r>
      <w:r>
        <w:rPr>
          <w:i/>
          <w:sz w:val="28"/>
          <w:vertAlign w:val="baseline"/>
        </w:rPr>
        <w:t>Angesom</w:t>
      </w:r>
      <w:r>
        <w:rPr>
          <w:sz w:val="28"/>
          <w:vertAlign w:val="baseline"/>
        </w:rPr>
        <w:t>, in the High Court</w:t>
      </w:r>
      <w:r>
        <w:rPr>
          <w:sz w:val="28"/>
          <w:vertAlign w:val="superscript"/>
        </w:rPr>
        <w:t>540</w:t>
      </w:r>
      <w:r>
        <w:rPr>
          <w:sz w:val="28"/>
          <w:vertAlign w:val="baseline"/>
        </w:rPr>
        <w:t> and most recently the </w:t>
      </w:r>
      <w:r>
        <w:rPr>
          <w:i/>
          <w:sz w:val="28"/>
          <w:vertAlign w:val="baseline"/>
        </w:rPr>
        <w:t>Legacy Act cases (Dillon and others)</w:t>
      </w:r>
      <w:r>
        <w:rPr>
          <w:sz w:val="28"/>
          <w:vertAlign w:val="baseline"/>
        </w:rPr>
        <w:t>.</w:t>
      </w:r>
      <w:r>
        <w:rPr>
          <w:sz w:val="28"/>
          <w:vertAlign w:val="superscript"/>
        </w:rPr>
        <w:t>541</w:t>
      </w:r>
    </w:p>
    <w:p>
      <w:pPr>
        <w:pStyle w:val="BodyText"/>
        <w:spacing w:before="54"/>
      </w:pPr>
    </w:p>
    <w:p>
      <w:pPr>
        <w:pStyle w:val="Heading3"/>
        <w:numPr>
          <w:ilvl w:val="2"/>
          <w:numId w:val="45"/>
        </w:numPr>
        <w:tabs>
          <w:tab w:pos="1755" w:val="left" w:leader="none"/>
        </w:tabs>
        <w:spacing w:line="336" w:lineRule="exact" w:before="0" w:after="0"/>
        <w:ind w:left="1755" w:right="0" w:hanging="638"/>
        <w:jc w:val="left"/>
      </w:pPr>
      <w:r>
        <w:rPr>
          <w:color w:val="004A93"/>
        </w:rPr>
        <w:t>The</w:t>
      </w:r>
      <w:r>
        <w:rPr>
          <w:color w:val="004A93"/>
          <w:spacing w:val="-4"/>
        </w:rPr>
        <w:t> </w:t>
      </w:r>
      <w:r>
        <w:rPr>
          <w:color w:val="004A93"/>
        </w:rPr>
        <w:t>SPUC</w:t>
      </w:r>
      <w:r>
        <w:rPr>
          <w:color w:val="004A93"/>
          <w:spacing w:val="-3"/>
        </w:rPr>
        <w:t> </w:t>
      </w:r>
      <w:r>
        <w:rPr>
          <w:color w:val="004A93"/>
          <w:spacing w:val="-4"/>
        </w:rPr>
        <w:t>case</w:t>
      </w:r>
    </w:p>
    <w:p>
      <w:pPr>
        <w:pStyle w:val="BodyText"/>
        <w:spacing w:line="232" w:lineRule="auto" w:before="2"/>
        <w:ind w:left="1117" w:right="738"/>
      </w:pPr>
      <w:r>
        <w:rPr/>
        <w:t>In </w:t>
      </w:r>
      <w:r>
        <w:rPr>
          <w:i/>
        </w:rPr>
        <w:t>SPUC </w:t>
      </w:r>
      <w:r>
        <w:rPr/>
        <w:t>the applicants</w:t>
      </w:r>
      <w:r>
        <w:rPr>
          <w:spacing w:val="-1"/>
        </w:rPr>
        <w:t> </w:t>
      </w:r>
      <w:r>
        <w:rPr/>
        <w:t>challenged</w:t>
      </w:r>
      <w:r>
        <w:rPr>
          <w:spacing w:val="-1"/>
        </w:rPr>
        <w:t> </w:t>
      </w:r>
      <w:r>
        <w:rPr/>
        <w:t>the legality of</w:t>
      </w:r>
      <w:r>
        <w:rPr>
          <w:spacing w:val="-1"/>
        </w:rPr>
        <w:t> </w:t>
      </w:r>
      <w:r>
        <w:rPr/>
        <w:t>the Abortion</w:t>
      </w:r>
      <w:r>
        <w:rPr>
          <w:spacing w:val="-1"/>
        </w:rPr>
        <w:t> </w:t>
      </w:r>
      <w:r>
        <w:rPr/>
        <w:t>(Northern</w:t>
      </w:r>
      <w:r>
        <w:rPr>
          <w:spacing w:val="-1"/>
        </w:rPr>
        <w:t> </w:t>
      </w:r>
      <w:r>
        <w:rPr/>
        <w:t>Ireland) Regulations</w:t>
      </w:r>
      <w:r>
        <w:rPr>
          <w:spacing w:val="-4"/>
        </w:rPr>
        <w:t> </w:t>
      </w:r>
      <w:r>
        <w:rPr/>
        <w:t>2021</w:t>
      </w:r>
      <w:r>
        <w:rPr>
          <w:spacing w:val="-3"/>
        </w:rPr>
        <w:t> </w:t>
      </w:r>
      <w:r>
        <w:rPr/>
        <w:t>on</w:t>
      </w:r>
      <w:r>
        <w:rPr>
          <w:spacing w:val="-4"/>
        </w:rPr>
        <w:t> </w:t>
      </w:r>
      <w:r>
        <w:rPr/>
        <w:t>several</w:t>
      </w:r>
      <w:r>
        <w:rPr>
          <w:spacing w:val="-4"/>
        </w:rPr>
        <w:t> </w:t>
      </w:r>
      <w:r>
        <w:rPr/>
        <w:t>grounds</w:t>
      </w:r>
      <w:r>
        <w:rPr>
          <w:spacing w:val="-4"/>
        </w:rPr>
        <w:t> </w:t>
      </w:r>
      <w:r>
        <w:rPr/>
        <w:t>and,</w:t>
      </w:r>
      <w:r>
        <w:rPr>
          <w:spacing w:val="-3"/>
        </w:rPr>
        <w:t> </w:t>
      </w:r>
      <w:r>
        <w:rPr/>
        <w:t>in</w:t>
      </w:r>
      <w:r>
        <w:rPr>
          <w:spacing w:val="-4"/>
        </w:rPr>
        <w:t> </w:t>
      </w:r>
      <w:r>
        <w:rPr/>
        <w:t>particular,</w:t>
      </w:r>
      <w:r>
        <w:rPr>
          <w:spacing w:val="-3"/>
        </w:rPr>
        <w:t> </w:t>
      </w:r>
      <w:r>
        <w:rPr/>
        <w:t>for</w:t>
      </w:r>
      <w:r>
        <w:rPr>
          <w:spacing w:val="-3"/>
        </w:rPr>
        <w:t> </w:t>
      </w:r>
      <w:r>
        <w:rPr/>
        <w:t>breaching</w:t>
      </w:r>
      <w:r>
        <w:rPr>
          <w:spacing w:val="-3"/>
        </w:rPr>
        <w:t> </w:t>
      </w:r>
      <w:r>
        <w:rPr/>
        <w:t>Article</w:t>
      </w:r>
      <w:r>
        <w:rPr>
          <w:spacing w:val="-3"/>
        </w:rPr>
        <w:t> </w:t>
      </w:r>
      <w:r>
        <w:rPr/>
        <w:t>2(1) WF,</w:t>
      </w:r>
      <w:r>
        <w:rPr>
          <w:spacing w:val="-8"/>
        </w:rPr>
        <w:t> </w:t>
      </w:r>
      <w:r>
        <w:rPr/>
        <w:t>EU</w:t>
      </w:r>
      <w:r>
        <w:rPr>
          <w:spacing w:val="-8"/>
        </w:rPr>
        <w:t> </w:t>
      </w:r>
      <w:r>
        <w:rPr/>
        <w:t>law</w:t>
      </w:r>
      <w:r>
        <w:rPr>
          <w:spacing w:val="-8"/>
        </w:rPr>
        <w:t> </w:t>
      </w:r>
      <w:r>
        <w:rPr/>
        <w:t>and</w:t>
      </w:r>
      <w:r>
        <w:rPr>
          <w:spacing w:val="-9"/>
        </w:rPr>
        <w:t> </w:t>
      </w:r>
      <w:r>
        <w:rPr/>
        <w:t>the</w:t>
      </w:r>
      <w:r>
        <w:rPr>
          <w:spacing w:val="-8"/>
        </w:rPr>
        <w:t> </w:t>
      </w:r>
      <w:r>
        <w:rPr/>
        <w:t>Convention</w:t>
      </w:r>
      <w:r>
        <w:rPr>
          <w:spacing w:val="-9"/>
        </w:rPr>
        <w:t> </w:t>
      </w:r>
      <w:r>
        <w:rPr/>
        <w:t>on</w:t>
      </w:r>
      <w:r>
        <w:rPr>
          <w:spacing w:val="-9"/>
        </w:rPr>
        <w:t> </w:t>
      </w:r>
      <w:r>
        <w:rPr/>
        <w:t>the</w:t>
      </w:r>
      <w:r>
        <w:rPr>
          <w:spacing w:val="-8"/>
        </w:rPr>
        <w:t> </w:t>
      </w:r>
      <w:r>
        <w:rPr/>
        <w:t>Rights</w:t>
      </w:r>
      <w:r>
        <w:rPr>
          <w:spacing w:val="-9"/>
        </w:rPr>
        <w:t> </w:t>
      </w:r>
      <w:r>
        <w:rPr/>
        <w:t>of</w:t>
      </w:r>
      <w:r>
        <w:rPr>
          <w:spacing w:val="-9"/>
        </w:rPr>
        <w:t> </w:t>
      </w:r>
      <w:r>
        <w:rPr/>
        <w:t>Persons</w:t>
      </w:r>
      <w:r>
        <w:rPr>
          <w:spacing w:val="-9"/>
        </w:rPr>
        <w:t> </w:t>
      </w:r>
      <w:r>
        <w:rPr/>
        <w:t>with</w:t>
      </w:r>
      <w:r>
        <w:rPr>
          <w:spacing w:val="-9"/>
        </w:rPr>
        <w:t> </w:t>
      </w:r>
      <w:r>
        <w:rPr/>
        <w:t>Disabilities,</w:t>
      </w:r>
      <w:r>
        <w:rPr>
          <w:vertAlign w:val="superscript"/>
        </w:rPr>
        <w:t>542</w:t>
      </w:r>
      <w:r>
        <w:rPr>
          <w:spacing w:val="-9"/>
          <w:vertAlign w:val="baseline"/>
        </w:rPr>
        <w:t> </w:t>
      </w:r>
      <w:r>
        <w:rPr>
          <w:vertAlign w:val="baseline"/>
        </w:rPr>
        <w:t>all</w:t>
      </w:r>
      <w:r>
        <w:rPr>
          <w:spacing w:val="-9"/>
          <w:vertAlign w:val="baseline"/>
        </w:rPr>
        <w:t> </w:t>
      </w:r>
      <w:r>
        <w:rPr>
          <w:vertAlign w:val="baseline"/>
        </w:rPr>
        <w:t>of these points made in connection with Article 2(1) WF. In essence, the applicant argued</w:t>
      </w:r>
      <w:r>
        <w:rPr>
          <w:spacing w:val="-5"/>
          <w:vertAlign w:val="baseline"/>
        </w:rPr>
        <w:t> </w:t>
      </w:r>
      <w:r>
        <w:rPr>
          <w:vertAlign w:val="baseline"/>
        </w:rPr>
        <w:t>that</w:t>
      </w:r>
      <w:r>
        <w:rPr>
          <w:spacing w:val="-5"/>
          <w:vertAlign w:val="baseline"/>
        </w:rPr>
        <w:t> </w:t>
      </w:r>
      <w:r>
        <w:rPr>
          <w:vertAlign w:val="baseline"/>
        </w:rPr>
        <w:t>the</w:t>
      </w:r>
      <w:r>
        <w:rPr>
          <w:spacing w:val="-5"/>
          <w:vertAlign w:val="baseline"/>
        </w:rPr>
        <w:t> </w:t>
      </w:r>
      <w:r>
        <w:rPr>
          <w:vertAlign w:val="baseline"/>
        </w:rPr>
        <w:t>Convention</w:t>
      </w:r>
      <w:r>
        <w:rPr>
          <w:spacing w:val="-5"/>
          <w:vertAlign w:val="baseline"/>
        </w:rPr>
        <w:t> </w:t>
      </w:r>
      <w:r>
        <w:rPr>
          <w:vertAlign w:val="baseline"/>
        </w:rPr>
        <w:t>on</w:t>
      </w:r>
      <w:r>
        <w:rPr>
          <w:spacing w:val="-5"/>
          <w:vertAlign w:val="baseline"/>
        </w:rPr>
        <w:t> </w:t>
      </w:r>
      <w:r>
        <w:rPr>
          <w:vertAlign w:val="baseline"/>
        </w:rPr>
        <w:t>the</w:t>
      </w:r>
      <w:r>
        <w:rPr>
          <w:spacing w:val="-5"/>
          <w:vertAlign w:val="baseline"/>
        </w:rPr>
        <w:t> </w:t>
      </w:r>
      <w:r>
        <w:rPr>
          <w:vertAlign w:val="baseline"/>
        </w:rPr>
        <w:t>Rights</w:t>
      </w:r>
      <w:r>
        <w:rPr>
          <w:spacing w:val="-5"/>
          <w:vertAlign w:val="baseline"/>
        </w:rPr>
        <w:t> </w:t>
      </w:r>
      <w:r>
        <w:rPr>
          <w:vertAlign w:val="baseline"/>
        </w:rPr>
        <w:t>of</w:t>
      </w:r>
      <w:r>
        <w:rPr>
          <w:spacing w:val="-5"/>
          <w:vertAlign w:val="baseline"/>
        </w:rPr>
        <w:t> </w:t>
      </w:r>
      <w:r>
        <w:rPr>
          <w:vertAlign w:val="baseline"/>
        </w:rPr>
        <w:t>Persons</w:t>
      </w:r>
      <w:r>
        <w:rPr>
          <w:spacing w:val="-5"/>
          <w:vertAlign w:val="baseline"/>
        </w:rPr>
        <w:t> </w:t>
      </w:r>
      <w:r>
        <w:rPr>
          <w:vertAlign w:val="baseline"/>
        </w:rPr>
        <w:t>with</w:t>
      </w:r>
      <w:r>
        <w:rPr>
          <w:spacing w:val="-5"/>
          <w:vertAlign w:val="baseline"/>
        </w:rPr>
        <w:t> </w:t>
      </w:r>
      <w:r>
        <w:rPr>
          <w:vertAlign w:val="baseline"/>
        </w:rPr>
        <w:t>Disabilities</w:t>
      </w:r>
      <w:r>
        <w:rPr>
          <w:spacing w:val="-5"/>
          <w:vertAlign w:val="baseline"/>
        </w:rPr>
        <w:t> </w:t>
      </w:r>
      <w:r>
        <w:rPr>
          <w:vertAlign w:val="baseline"/>
        </w:rPr>
        <w:t>(CRPD)</w:t>
      </w:r>
      <w:r>
        <w:rPr>
          <w:spacing w:val="-5"/>
          <w:vertAlign w:val="baseline"/>
        </w:rPr>
        <w:t> </w:t>
      </w:r>
      <w:r>
        <w:rPr>
          <w:vertAlign w:val="baseline"/>
        </w:rPr>
        <w:t>was part of EU law and that the CRPD prohibited abortion based on disability.</w:t>
      </w:r>
      <w:r>
        <w:rPr>
          <w:vertAlign w:val="superscript"/>
        </w:rPr>
        <w:t>543</w:t>
      </w:r>
    </w:p>
    <w:p>
      <w:pPr>
        <w:pStyle w:val="BodyText"/>
        <w:spacing w:before="266"/>
        <w:ind w:left="1117"/>
      </w:pPr>
      <w:r>
        <w:rPr/>
        <w:t>Both</w:t>
      </w:r>
      <w:r>
        <w:rPr>
          <w:spacing w:val="-7"/>
        </w:rPr>
        <w:t> </w:t>
      </w:r>
      <w:r>
        <w:rPr/>
        <w:t>the</w:t>
      </w:r>
      <w:r>
        <w:rPr>
          <w:spacing w:val="-3"/>
        </w:rPr>
        <w:t> </w:t>
      </w:r>
      <w:r>
        <w:rPr/>
        <w:t>ECNI</w:t>
      </w:r>
      <w:r>
        <w:rPr>
          <w:spacing w:val="-4"/>
        </w:rPr>
        <w:t> </w:t>
      </w:r>
      <w:r>
        <w:rPr/>
        <w:t>and</w:t>
      </w:r>
      <w:r>
        <w:rPr>
          <w:spacing w:val="-4"/>
        </w:rPr>
        <w:t> </w:t>
      </w:r>
      <w:r>
        <w:rPr/>
        <w:t>NIHRC</w:t>
      </w:r>
      <w:r>
        <w:rPr>
          <w:spacing w:val="-4"/>
        </w:rPr>
        <w:t> </w:t>
      </w:r>
      <w:r>
        <w:rPr/>
        <w:t>intervened</w:t>
      </w:r>
      <w:r>
        <w:rPr>
          <w:spacing w:val="-5"/>
        </w:rPr>
        <w:t> </w:t>
      </w:r>
      <w:r>
        <w:rPr/>
        <w:t>in</w:t>
      </w:r>
      <w:r>
        <w:rPr>
          <w:spacing w:val="-4"/>
        </w:rPr>
        <w:t> </w:t>
      </w:r>
      <w:r>
        <w:rPr/>
        <w:t>this</w:t>
      </w:r>
      <w:r>
        <w:rPr>
          <w:spacing w:val="-4"/>
        </w:rPr>
        <w:t> </w:t>
      </w:r>
      <w:r>
        <w:rPr>
          <w:spacing w:val="-2"/>
        </w:rPr>
        <w:t>case.</w:t>
      </w:r>
    </w:p>
    <w:p>
      <w:pPr>
        <w:pStyle w:val="BodyText"/>
        <w:spacing w:line="232" w:lineRule="auto" w:before="280"/>
        <w:ind w:left="1117" w:right="738"/>
      </w:pPr>
      <w:r>
        <w:rPr/>
        <w:t>The</w:t>
      </w:r>
      <w:r>
        <w:rPr>
          <w:spacing w:val="-5"/>
        </w:rPr>
        <w:t> </w:t>
      </w:r>
      <w:r>
        <w:rPr/>
        <w:t>High</w:t>
      </w:r>
      <w:r>
        <w:rPr>
          <w:spacing w:val="-6"/>
        </w:rPr>
        <w:t> </w:t>
      </w:r>
      <w:r>
        <w:rPr/>
        <w:t>Court</w:t>
      </w:r>
      <w:r>
        <w:rPr>
          <w:spacing w:val="-5"/>
        </w:rPr>
        <w:t> </w:t>
      </w:r>
      <w:r>
        <w:rPr/>
        <w:t>rejected</w:t>
      </w:r>
      <w:r>
        <w:rPr>
          <w:spacing w:val="-6"/>
        </w:rPr>
        <w:t> </w:t>
      </w:r>
      <w:r>
        <w:rPr/>
        <w:t>all</w:t>
      </w:r>
      <w:r>
        <w:rPr>
          <w:spacing w:val="-6"/>
        </w:rPr>
        <w:t> </w:t>
      </w:r>
      <w:r>
        <w:rPr/>
        <w:t>the</w:t>
      </w:r>
      <w:r>
        <w:rPr>
          <w:spacing w:val="-5"/>
        </w:rPr>
        <w:t> </w:t>
      </w:r>
      <w:r>
        <w:rPr/>
        <w:t>applicant’s</w:t>
      </w:r>
      <w:r>
        <w:rPr>
          <w:spacing w:val="-6"/>
        </w:rPr>
        <w:t> </w:t>
      </w:r>
      <w:r>
        <w:rPr/>
        <w:t>arguments,</w:t>
      </w:r>
      <w:r>
        <w:rPr>
          <w:spacing w:val="-5"/>
        </w:rPr>
        <w:t> </w:t>
      </w:r>
      <w:r>
        <w:rPr/>
        <w:t>including</w:t>
      </w:r>
      <w:r>
        <w:rPr>
          <w:spacing w:val="-5"/>
        </w:rPr>
        <w:t> </w:t>
      </w:r>
      <w:r>
        <w:rPr/>
        <w:t>the</w:t>
      </w:r>
      <w:r>
        <w:rPr>
          <w:spacing w:val="-5"/>
        </w:rPr>
        <w:t> </w:t>
      </w:r>
      <w:r>
        <w:rPr/>
        <w:t>Article</w:t>
      </w:r>
      <w:r>
        <w:rPr>
          <w:spacing w:val="-5"/>
        </w:rPr>
        <w:t> </w:t>
      </w:r>
      <w:r>
        <w:rPr/>
        <w:t>2(1)</w:t>
      </w:r>
      <w:r>
        <w:rPr>
          <w:spacing w:val="-6"/>
        </w:rPr>
        <w:t> </w:t>
      </w:r>
      <w:r>
        <w:rPr/>
        <w:t>WF ones, but provided extensive reasoning on Article 2 WF.</w:t>
      </w:r>
    </w:p>
    <w:p>
      <w:pPr>
        <w:pStyle w:val="BodyText"/>
        <w:spacing w:line="232" w:lineRule="auto" w:before="280"/>
        <w:ind w:left="1117" w:right="761"/>
      </w:pPr>
      <w:r>
        <w:rPr/>
        <w:t>The Court outlined the key provisions in the Withdrawal Agreement and quoted from the UK Government explainer on the diminution requirements.</w:t>
      </w:r>
      <w:r>
        <w:rPr>
          <w:vertAlign w:val="superscript"/>
        </w:rPr>
        <w:t>544</w:t>
      </w:r>
      <w:r>
        <w:rPr>
          <w:vertAlign w:val="baseline"/>
        </w:rPr>
        <w:t> The Court explained</w:t>
      </w:r>
      <w:r>
        <w:rPr>
          <w:spacing w:val="-1"/>
          <w:vertAlign w:val="baseline"/>
        </w:rPr>
        <w:t> </w:t>
      </w:r>
      <w:r>
        <w:rPr>
          <w:vertAlign w:val="baseline"/>
        </w:rPr>
        <w:t>that Article 2 WF</w:t>
      </w:r>
      <w:r>
        <w:rPr>
          <w:spacing w:val="-1"/>
          <w:vertAlign w:val="baseline"/>
        </w:rPr>
        <w:t> </w:t>
      </w:r>
      <w:r>
        <w:rPr>
          <w:vertAlign w:val="baseline"/>
        </w:rPr>
        <w:t>can</w:t>
      </w:r>
      <w:r>
        <w:rPr>
          <w:spacing w:val="-1"/>
          <w:vertAlign w:val="baseline"/>
        </w:rPr>
        <w:t> </w:t>
      </w:r>
      <w:r>
        <w:rPr>
          <w:vertAlign w:val="baseline"/>
        </w:rPr>
        <w:t>be relied</w:t>
      </w:r>
      <w:r>
        <w:rPr>
          <w:spacing w:val="-1"/>
          <w:vertAlign w:val="baseline"/>
        </w:rPr>
        <w:t> </w:t>
      </w:r>
      <w:r>
        <w:rPr>
          <w:vertAlign w:val="baseline"/>
        </w:rPr>
        <w:t>on</w:t>
      </w:r>
      <w:r>
        <w:rPr>
          <w:spacing w:val="-1"/>
          <w:vertAlign w:val="baseline"/>
        </w:rPr>
        <w:t> </w:t>
      </w:r>
      <w:r>
        <w:rPr>
          <w:vertAlign w:val="baseline"/>
        </w:rPr>
        <w:t>in</w:t>
      </w:r>
      <w:r>
        <w:rPr>
          <w:spacing w:val="-1"/>
          <w:vertAlign w:val="baseline"/>
        </w:rPr>
        <w:t> </w:t>
      </w:r>
      <w:r>
        <w:rPr>
          <w:vertAlign w:val="baseline"/>
        </w:rPr>
        <w:t>domestic courts</w:t>
      </w:r>
      <w:r>
        <w:rPr>
          <w:spacing w:val="-1"/>
          <w:vertAlign w:val="baseline"/>
        </w:rPr>
        <w:t> </w:t>
      </w:r>
      <w:r>
        <w:rPr>
          <w:vertAlign w:val="baseline"/>
        </w:rPr>
        <w:t>(pursuant to</w:t>
      </w:r>
      <w:r>
        <w:rPr>
          <w:spacing w:val="-1"/>
          <w:vertAlign w:val="baseline"/>
        </w:rPr>
        <w:t> </w:t>
      </w:r>
      <w:r>
        <w:rPr>
          <w:vertAlign w:val="baseline"/>
        </w:rPr>
        <w:t>Article 4 of the Withdrawal Agreement) and permits the Northern Ireland courts to refer to</w:t>
      </w:r>
      <w:r>
        <w:rPr>
          <w:spacing w:val="-5"/>
          <w:vertAlign w:val="baseline"/>
        </w:rPr>
        <w:t> </w:t>
      </w:r>
      <w:r>
        <w:rPr>
          <w:vertAlign w:val="baseline"/>
        </w:rPr>
        <w:t>the</w:t>
      </w:r>
      <w:r>
        <w:rPr>
          <w:spacing w:val="-4"/>
          <w:vertAlign w:val="baseline"/>
        </w:rPr>
        <w:t> </w:t>
      </w:r>
      <w:r>
        <w:rPr>
          <w:vertAlign w:val="baseline"/>
        </w:rPr>
        <w:t>Charter</w:t>
      </w:r>
      <w:r>
        <w:rPr>
          <w:spacing w:val="-4"/>
          <w:vertAlign w:val="baseline"/>
        </w:rPr>
        <w:t> </w:t>
      </w:r>
      <w:r>
        <w:rPr>
          <w:vertAlign w:val="baseline"/>
        </w:rPr>
        <w:t>of</w:t>
      </w:r>
      <w:r>
        <w:rPr>
          <w:spacing w:val="-5"/>
          <w:vertAlign w:val="baseline"/>
        </w:rPr>
        <w:t> </w:t>
      </w:r>
      <w:r>
        <w:rPr>
          <w:vertAlign w:val="baseline"/>
        </w:rPr>
        <w:t>Fundamental</w:t>
      </w:r>
      <w:r>
        <w:rPr>
          <w:spacing w:val="-5"/>
          <w:vertAlign w:val="baseline"/>
        </w:rPr>
        <w:t> </w:t>
      </w:r>
      <w:r>
        <w:rPr>
          <w:vertAlign w:val="baseline"/>
        </w:rPr>
        <w:t>Rights</w:t>
      </w:r>
      <w:r>
        <w:rPr>
          <w:spacing w:val="-5"/>
          <w:vertAlign w:val="baseline"/>
        </w:rPr>
        <w:t> </w:t>
      </w:r>
      <w:r>
        <w:rPr>
          <w:vertAlign w:val="baseline"/>
        </w:rPr>
        <w:t>and</w:t>
      </w:r>
      <w:r>
        <w:rPr>
          <w:spacing w:val="-5"/>
          <w:vertAlign w:val="baseline"/>
        </w:rPr>
        <w:t> </w:t>
      </w:r>
      <w:r>
        <w:rPr>
          <w:vertAlign w:val="baseline"/>
        </w:rPr>
        <w:t>general</w:t>
      </w:r>
      <w:r>
        <w:rPr>
          <w:spacing w:val="-5"/>
          <w:vertAlign w:val="baseline"/>
        </w:rPr>
        <w:t> </w:t>
      </w:r>
      <w:r>
        <w:rPr>
          <w:vertAlign w:val="baseline"/>
        </w:rPr>
        <w:t>principles</w:t>
      </w:r>
      <w:r>
        <w:rPr>
          <w:spacing w:val="-5"/>
          <w:vertAlign w:val="baseline"/>
        </w:rPr>
        <w:t> </w:t>
      </w:r>
      <w:r>
        <w:rPr>
          <w:vertAlign w:val="baseline"/>
        </w:rPr>
        <w:t>of</w:t>
      </w:r>
      <w:r>
        <w:rPr>
          <w:spacing w:val="-5"/>
          <w:vertAlign w:val="baseline"/>
        </w:rPr>
        <w:t> </w:t>
      </w:r>
      <w:r>
        <w:rPr>
          <w:vertAlign w:val="baseline"/>
        </w:rPr>
        <w:t>EU</w:t>
      </w:r>
      <w:r>
        <w:rPr>
          <w:spacing w:val="-4"/>
          <w:vertAlign w:val="baseline"/>
        </w:rPr>
        <w:t> </w:t>
      </w:r>
      <w:r>
        <w:rPr>
          <w:vertAlign w:val="baseline"/>
        </w:rPr>
        <w:t>law.</w:t>
      </w:r>
      <w:r>
        <w:rPr>
          <w:vertAlign w:val="superscript"/>
        </w:rPr>
        <w:t>545</w:t>
      </w:r>
      <w:r>
        <w:rPr>
          <w:spacing w:val="-5"/>
          <w:vertAlign w:val="baseline"/>
        </w:rPr>
        <w:t> </w:t>
      </w:r>
      <w:r>
        <w:rPr>
          <w:vertAlign w:val="baseline"/>
        </w:rPr>
        <w:t>The</w:t>
      </w:r>
      <w:r>
        <w:rPr>
          <w:spacing w:val="-4"/>
          <w:vertAlign w:val="baseline"/>
        </w:rPr>
        <w:t> </w:t>
      </w:r>
      <w:r>
        <w:rPr>
          <w:vertAlign w:val="baseline"/>
        </w:rPr>
        <w:t>Court noted that ‘EU law’ for the purposes of Article 2 of the Withdrawal Agreement included international agreements to which the EU was a party;</w:t>
      </w:r>
      <w:r>
        <w:rPr>
          <w:vertAlign w:val="superscript"/>
        </w:rPr>
        <w:t>546</w:t>
      </w:r>
      <w:r>
        <w:rPr>
          <w:vertAlign w:val="baseline"/>
        </w:rPr>
        <w:t> this therefore included</w:t>
      </w:r>
      <w:r>
        <w:rPr>
          <w:spacing w:val="-7"/>
          <w:vertAlign w:val="baseline"/>
        </w:rPr>
        <w:t> </w:t>
      </w:r>
      <w:r>
        <w:rPr>
          <w:vertAlign w:val="baseline"/>
        </w:rPr>
        <w:t>the</w:t>
      </w:r>
      <w:r>
        <w:rPr>
          <w:spacing w:val="-6"/>
          <w:vertAlign w:val="baseline"/>
        </w:rPr>
        <w:t> </w:t>
      </w:r>
      <w:r>
        <w:rPr>
          <w:vertAlign w:val="baseline"/>
        </w:rPr>
        <w:t>CRPD.</w:t>
      </w:r>
      <w:r>
        <w:rPr>
          <w:vertAlign w:val="superscript"/>
        </w:rPr>
        <w:t>547</w:t>
      </w:r>
      <w:r>
        <w:rPr>
          <w:spacing w:val="-7"/>
          <w:vertAlign w:val="baseline"/>
        </w:rPr>
        <w:t> </w:t>
      </w:r>
      <w:r>
        <w:rPr>
          <w:vertAlign w:val="baseline"/>
        </w:rPr>
        <w:t>The</w:t>
      </w:r>
      <w:r>
        <w:rPr>
          <w:spacing w:val="-6"/>
          <w:vertAlign w:val="baseline"/>
        </w:rPr>
        <w:t> </w:t>
      </w:r>
      <w:r>
        <w:rPr>
          <w:vertAlign w:val="baseline"/>
        </w:rPr>
        <w:t>Court</w:t>
      </w:r>
      <w:r>
        <w:rPr>
          <w:spacing w:val="-6"/>
          <w:vertAlign w:val="baseline"/>
        </w:rPr>
        <w:t> </w:t>
      </w:r>
      <w:r>
        <w:rPr>
          <w:vertAlign w:val="baseline"/>
        </w:rPr>
        <w:t>then</w:t>
      </w:r>
      <w:r>
        <w:rPr>
          <w:spacing w:val="-7"/>
          <w:vertAlign w:val="baseline"/>
        </w:rPr>
        <w:t> </w:t>
      </w:r>
      <w:r>
        <w:rPr>
          <w:vertAlign w:val="baseline"/>
        </w:rPr>
        <w:t>referred</w:t>
      </w:r>
      <w:r>
        <w:rPr>
          <w:spacing w:val="-7"/>
          <w:vertAlign w:val="baseline"/>
        </w:rPr>
        <w:t> </w:t>
      </w:r>
      <w:r>
        <w:rPr>
          <w:vertAlign w:val="baseline"/>
        </w:rPr>
        <w:t>to</w:t>
      </w:r>
      <w:r>
        <w:rPr>
          <w:spacing w:val="-7"/>
          <w:vertAlign w:val="baseline"/>
        </w:rPr>
        <w:t> </w:t>
      </w:r>
      <w:r>
        <w:rPr>
          <w:vertAlign w:val="baseline"/>
        </w:rPr>
        <w:t>the</w:t>
      </w:r>
      <w:r>
        <w:rPr>
          <w:spacing w:val="-6"/>
          <w:vertAlign w:val="baseline"/>
        </w:rPr>
        <w:t> </w:t>
      </w:r>
      <w:r>
        <w:rPr>
          <w:vertAlign w:val="baseline"/>
        </w:rPr>
        <w:t>role</w:t>
      </w:r>
      <w:r>
        <w:rPr>
          <w:spacing w:val="-6"/>
          <w:vertAlign w:val="baseline"/>
        </w:rPr>
        <w:t> </w:t>
      </w:r>
      <w:r>
        <w:rPr>
          <w:vertAlign w:val="baseline"/>
        </w:rPr>
        <w:t>of</w:t>
      </w:r>
      <w:r>
        <w:rPr>
          <w:spacing w:val="-7"/>
          <w:vertAlign w:val="baseline"/>
        </w:rPr>
        <w:t> </w:t>
      </w:r>
      <w:r>
        <w:rPr>
          <w:vertAlign w:val="baseline"/>
        </w:rPr>
        <w:t>CJEU</w:t>
      </w:r>
      <w:r>
        <w:rPr>
          <w:spacing w:val="-6"/>
          <w:vertAlign w:val="baseline"/>
        </w:rPr>
        <w:t> </w:t>
      </w:r>
      <w:r>
        <w:rPr>
          <w:vertAlign w:val="baseline"/>
        </w:rPr>
        <w:t>case</w:t>
      </w:r>
      <w:r>
        <w:rPr>
          <w:spacing w:val="-6"/>
          <w:vertAlign w:val="baseline"/>
        </w:rPr>
        <w:t> </w:t>
      </w:r>
      <w:r>
        <w:rPr>
          <w:vertAlign w:val="baseline"/>
        </w:rPr>
        <w:t>law</w:t>
      </w:r>
      <w:r>
        <w:rPr>
          <w:spacing w:val="-6"/>
          <w:vertAlign w:val="baseline"/>
        </w:rPr>
        <w:t> </w:t>
      </w:r>
      <w:r>
        <w:rPr>
          <w:vertAlign w:val="baseline"/>
        </w:rPr>
        <w:t>in</w:t>
      </w:r>
      <w:r>
        <w:rPr>
          <w:spacing w:val="-7"/>
          <w:vertAlign w:val="baseline"/>
        </w:rPr>
        <w:t> </w:t>
      </w:r>
      <w:r>
        <w:rPr>
          <w:vertAlign w:val="baseline"/>
        </w:rPr>
        <w:t>Article 4 of the Withdrawal Agreement: this provided that UK courts were bound when applying the Withdrawal Agreement by CJEU case law handed down before the</w:t>
      </w:r>
      <w:r>
        <w:rPr>
          <w:vertAlign w:val="baseline"/>
        </w:rPr>
        <w:t> end</w:t>
      </w:r>
      <w:r>
        <w:rPr>
          <w:spacing w:val="-6"/>
          <w:vertAlign w:val="baseline"/>
        </w:rPr>
        <w:t> </w:t>
      </w:r>
      <w:r>
        <w:rPr>
          <w:vertAlign w:val="baseline"/>
        </w:rPr>
        <w:t>of</w:t>
      </w:r>
      <w:r>
        <w:rPr>
          <w:spacing w:val="-6"/>
          <w:vertAlign w:val="baseline"/>
        </w:rPr>
        <w:t> </w:t>
      </w:r>
      <w:r>
        <w:rPr>
          <w:vertAlign w:val="baseline"/>
        </w:rPr>
        <w:t>the</w:t>
      </w:r>
      <w:r>
        <w:rPr>
          <w:spacing w:val="-5"/>
          <w:vertAlign w:val="baseline"/>
        </w:rPr>
        <w:t> </w:t>
      </w:r>
      <w:r>
        <w:rPr>
          <w:vertAlign w:val="baseline"/>
        </w:rPr>
        <w:t>transition</w:t>
      </w:r>
      <w:r>
        <w:rPr>
          <w:spacing w:val="-6"/>
          <w:vertAlign w:val="baseline"/>
        </w:rPr>
        <w:t> </w:t>
      </w:r>
      <w:r>
        <w:rPr>
          <w:vertAlign w:val="baseline"/>
        </w:rPr>
        <w:t>period;</w:t>
      </w:r>
      <w:r>
        <w:rPr>
          <w:spacing w:val="-5"/>
          <w:vertAlign w:val="baseline"/>
        </w:rPr>
        <w:t> </w:t>
      </w:r>
      <w:r>
        <w:rPr>
          <w:vertAlign w:val="baseline"/>
        </w:rPr>
        <w:t>this</w:t>
      </w:r>
      <w:r>
        <w:rPr>
          <w:spacing w:val="-6"/>
          <w:vertAlign w:val="baseline"/>
        </w:rPr>
        <w:t> </w:t>
      </w:r>
      <w:r>
        <w:rPr>
          <w:vertAlign w:val="baseline"/>
        </w:rPr>
        <w:t>temporal</w:t>
      </w:r>
      <w:r>
        <w:rPr>
          <w:spacing w:val="-6"/>
          <w:vertAlign w:val="baseline"/>
        </w:rPr>
        <w:t> </w:t>
      </w:r>
      <w:r>
        <w:rPr>
          <w:vertAlign w:val="baseline"/>
        </w:rPr>
        <w:t>limitation</w:t>
      </w:r>
      <w:r>
        <w:rPr>
          <w:spacing w:val="-6"/>
          <w:vertAlign w:val="baseline"/>
        </w:rPr>
        <w:t> </w:t>
      </w:r>
      <w:r>
        <w:rPr>
          <w:vertAlign w:val="baseline"/>
        </w:rPr>
        <w:t>does</w:t>
      </w:r>
      <w:r>
        <w:rPr>
          <w:spacing w:val="-6"/>
          <w:vertAlign w:val="baseline"/>
        </w:rPr>
        <w:t> </w:t>
      </w:r>
      <w:r>
        <w:rPr>
          <w:vertAlign w:val="baseline"/>
        </w:rPr>
        <w:t>not</w:t>
      </w:r>
      <w:r>
        <w:rPr>
          <w:spacing w:val="-5"/>
          <w:vertAlign w:val="baseline"/>
        </w:rPr>
        <w:t> </w:t>
      </w:r>
      <w:r>
        <w:rPr>
          <w:vertAlign w:val="baseline"/>
        </w:rPr>
        <w:t>apply</w:t>
      </w:r>
      <w:r>
        <w:rPr>
          <w:spacing w:val="-5"/>
          <w:vertAlign w:val="baseline"/>
        </w:rPr>
        <w:t> </w:t>
      </w:r>
      <w:r>
        <w:rPr>
          <w:vertAlign w:val="baseline"/>
        </w:rPr>
        <w:t>to</w:t>
      </w:r>
      <w:r>
        <w:rPr>
          <w:spacing w:val="-6"/>
          <w:vertAlign w:val="baseline"/>
        </w:rPr>
        <w:t> </w:t>
      </w:r>
      <w:r>
        <w:rPr>
          <w:vertAlign w:val="baseline"/>
        </w:rPr>
        <w:t>the</w:t>
      </w:r>
      <w:r>
        <w:rPr>
          <w:spacing w:val="-5"/>
          <w:vertAlign w:val="baseline"/>
        </w:rPr>
        <w:t> </w:t>
      </w:r>
      <w:r>
        <w:rPr>
          <w:vertAlign w:val="baseline"/>
        </w:rPr>
        <w:t>Protocol (now the Windsor Framework) as Article 13(2) WF makes clear.</w:t>
      </w:r>
      <w:r>
        <w:rPr>
          <w:vertAlign w:val="superscript"/>
        </w:rPr>
        <w:t>548</w:t>
      </w:r>
    </w:p>
    <w:p>
      <w:pPr>
        <w:pStyle w:val="BodyText"/>
        <w:spacing w:line="232" w:lineRule="auto" w:before="265"/>
        <w:ind w:left="1117" w:right="1087"/>
      </w:pPr>
      <w:r>
        <w:rPr/>
        <w:t>The central question was what was the scope of the CRPD as EU law?</w:t>
      </w:r>
      <w:r>
        <w:rPr>
          <w:vertAlign w:val="superscript"/>
        </w:rPr>
        <w:t>549</w:t>
      </w:r>
      <w:r>
        <w:rPr>
          <w:vertAlign w:val="baseline"/>
        </w:rPr>
        <w:t> In becoming party to the CRPD, the EU had indicated that this was limited by its own</w:t>
      </w:r>
      <w:r>
        <w:rPr>
          <w:spacing w:val="-9"/>
          <w:vertAlign w:val="baseline"/>
        </w:rPr>
        <w:t> </w:t>
      </w:r>
      <w:r>
        <w:rPr>
          <w:vertAlign w:val="baseline"/>
        </w:rPr>
        <w:t>competences.</w:t>
      </w:r>
      <w:r>
        <w:rPr>
          <w:vertAlign w:val="superscript"/>
        </w:rPr>
        <w:t>550</w:t>
      </w:r>
      <w:r>
        <w:rPr>
          <w:spacing w:val="-9"/>
          <w:vertAlign w:val="baseline"/>
        </w:rPr>
        <w:t> </w:t>
      </w:r>
      <w:r>
        <w:rPr>
          <w:vertAlign w:val="baseline"/>
        </w:rPr>
        <w:t>The</w:t>
      </w:r>
      <w:r>
        <w:rPr>
          <w:spacing w:val="-9"/>
          <w:vertAlign w:val="baseline"/>
        </w:rPr>
        <w:t> </w:t>
      </w:r>
      <w:r>
        <w:rPr>
          <w:vertAlign w:val="baseline"/>
        </w:rPr>
        <w:t>Court</w:t>
      </w:r>
      <w:r>
        <w:rPr>
          <w:spacing w:val="-9"/>
          <w:vertAlign w:val="baseline"/>
        </w:rPr>
        <w:t> </w:t>
      </w:r>
      <w:r>
        <w:rPr>
          <w:vertAlign w:val="baseline"/>
        </w:rPr>
        <w:t>accepted</w:t>
      </w:r>
      <w:r>
        <w:rPr>
          <w:spacing w:val="-9"/>
          <w:vertAlign w:val="baseline"/>
        </w:rPr>
        <w:t> </w:t>
      </w:r>
      <w:r>
        <w:rPr>
          <w:vertAlign w:val="baseline"/>
        </w:rPr>
        <w:t>the</w:t>
      </w:r>
      <w:r>
        <w:rPr>
          <w:spacing w:val="-9"/>
          <w:vertAlign w:val="baseline"/>
        </w:rPr>
        <w:t> </w:t>
      </w:r>
      <w:r>
        <w:rPr>
          <w:vertAlign w:val="baseline"/>
        </w:rPr>
        <w:t>ECNI</w:t>
      </w:r>
      <w:r>
        <w:rPr>
          <w:spacing w:val="-9"/>
          <w:vertAlign w:val="baseline"/>
        </w:rPr>
        <w:t> </w:t>
      </w:r>
      <w:r>
        <w:rPr>
          <w:vertAlign w:val="baseline"/>
        </w:rPr>
        <w:t>argument</w:t>
      </w:r>
      <w:r>
        <w:rPr>
          <w:spacing w:val="-9"/>
          <w:vertAlign w:val="baseline"/>
        </w:rPr>
        <w:t> </w:t>
      </w:r>
      <w:r>
        <w:rPr>
          <w:vertAlign w:val="baseline"/>
        </w:rPr>
        <w:t>that</w:t>
      </w:r>
      <w:r>
        <w:rPr>
          <w:spacing w:val="-9"/>
          <w:vertAlign w:val="baseline"/>
        </w:rPr>
        <w:t> </w:t>
      </w:r>
      <w:r>
        <w:rPr>
          <w:vertAlign w:val="baseline"/>
        </w:rPr>
        <w:t>the</w:t>
      </w:r>
      <w:r>
        <w:rPr>
          <w:spacing w:val="-9"/>
          <w:vertAlign w:val="baseline"/>
        </w:rPr>
        <w:t> </w:t>
      </w:r>
      <w:r>
        <w:rPr>
          <w:vertAlign w:val="baseline"/>
        </w:rPr>
        <w:t>EU</w:t>
      </w:r>
      <w:r>
        <w:rPr>
          <w:spacing w:val="-9"/>
          <w:vertAlign w:val="baseline"/>
        </w:rPr>
        <w:t> </w:t>
      </w:r>
      <w:r>
        <w:rPr>
          <w:vertAlign w:val="baseline"/>
        </w:rPr>
        <w:t>lacked</w:t>
      </w:r>
    </w:p>
    <w:p>
      <w:pPr>
        <w:pStyle w:val="BodyText"/>
        <w:spacing w:before="10"/>
        <w:rPr>
          <w:sz w:val="9"/>
        </w:rPr>
      </w:pPr>
      <w:r>
        <w:rPr/>
        <mc:AlternateContent>
          <mc:Choice Requires="wps">
            <w:drawing>
              <wp:anchor distT="0" distB="0" distL="0" distR="0" allowOverlap="1" layoutInCell="1" locked="0" behindDoc="1" simplePos="0" relativeHeight="487759360">
                <wp:simplePos x="0" y="0"/>
                <wp:positionH relativeFrom="page">
                  <wp:posOffset>899999</wp:posOffset>
                </wp:positionH>
                <wp:positionV relativeFrom="paragraph">
                  <wp:posOffset>91387</wp:posOffset>
                </wp:positionV>
                <wp:extent cx="6012180" cy="1270"/>
                <wp:effectExtent l="0" t="0" r="0" b="0"/>
                <wp:wrapTopAndBottom/>
                <wp:docPr id="909" name="Graphic 909"/>
                <wp:cNvGraphicFramePr>
                  <a:graphicFrameLocks/>
                </wp:cNvGraphicFramePr>
                <a:graphic>
                  <a:graphicData uri="http://schemas.microsoft.com/office/word/2010/wordprocessingShape">
                    <wps:wsp>
                      <wps:cNvPr id="909" name="Graphic 90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7.195861pt;width:473.4pt;height:.1pt;mso-position-horizontal-relative:page;mso-position-vertical-relative:paragraph;z-index:-15557120;mso-wrap-distance-left:0;mso-wrap-distance-right:0" id="docshape746" coordorigin="1417,144" coordsize="9468,0" path="m1417,144l10885,144e" filled="false" stroked="true" strokeweight=".5pt" strokecolor="#36a9e1">
                <v:path arrowok="t"/>
                <v:stroke dashstyle="solid"/>
                <w10:wrap type="topAndBottom"/>
              </v:shape>
            </w:pict>
          </mc:Fallback>
        </mc:AlternateContent>
      </w:r>
    </w:p>
    <w:p>
      <w:pPr>
        <w:pStyle w:val="ListParagraph"/>
        <w:numPr>
          <w:ilvl w:val="0"/>
          <w:numId w:val="18"/>
        </w:numPr>
        <w:tabs>
          <w:tab w:pos="1684" w:val="left" w:leader="none"/>
        </w:tabs>
        <w:spacing w:line="240" w:lineRule="auto" w:before="43" w:after="0"/>
        <w:ind w:left="1684" w:right="0" w:hanging="567"/>
        <w:jc w:val="left"/>
        <w:rPr>
          <w:sz w:val="18"/>
        </w:rPr>
      </w:pPr>
      <w:r>
        <w:rPr>
          <w:color w:val="1D71B8"/>
          <w:sz w:val="18"/>
          <w:u w:val="single" w:color="1D71B8"/>
        </w:rPr>
        <w:t>In</w:t>
      </w:r>
      <w:r>
        <w:rPr>
          <w:color w:val="1D71B8"/>
          <w:spacing w:val="-6"/>
          <w:sz w:val="18"/>
          <w:u w:val="single" w:color="1D71B8"/>
        </w:rPr>
        <w:t> </w:t>
      </w:r>
      <w:r>
        <w:rPr>
          <w:color w:val="1D71B8"/>
          <w:sz w:val="18"/>
          <w:u w:val="single" w:color="1D71B8"/>
        </w:rPr>
        <w:t>re</w:t>
      </w:r>
      <w:r>
        <w:rPr>
          <w:color w:val="1D71B8"/>
          <w:spacing w:val="-4"/>
          <w:sz w:val="18"/>
          <w:u w:val="single" w:color="1D71B8"/>
        </w:rPr>
        <w:t> </w:t>
      </w:r>
      <w:r>
        <w:rPr>
          <w:color w:val="1D71B8"/>
          <w:sz w:val="18"/>
          <w:u w:val="single" w:color="1D71B8"/>
        </w:rPr>
        <w:t>SPUC</w:t>
      </w:r>
      <w:r>
        <w:rPr>
          <w:color w:val="1D71B8"/>
          <w:spacing w:val="-5"/>
          <w:sz w:val="18"/>
          <w:u w:val="single" w:color="1D71B8"/>
        </w:rPr>
        <w:t> </w:t>
      </w:r>
      <w:r>
        <w:rPr>
          <w:color w:val="1D71B8"/>
          <w:sz w:val="18"/>
          <w:u w:val="single" w:color="1D71B8"/>
        </w:rPr>
        <w:t>Pro-Life</w:t>
      </w:r>
      <w:r>
        <w:rPr>
          <w:color w:val="1D71B8"/>
          <w:spacing w:val="-4"/>
          <w:sz w:val="18"/>
          <w:u w:val="single" w:color="1D71B8"/>
        </w:rPr>
        <w:t> </w:t>
      </w:r>
      <w:r>
        <w:rPr>
          <w:color w:val="1D71B8"/>
          <w:sz w:val="18"/>
          <w:u w:val="single" w:color="1D71B8"/>
        </w:rPr>
        <w:t>Ltd</w:t>
      </w:r>
      <w:r>
        <w:rPr>
          <w:color w:val="1D71B8"/>
          <w:spacing w:val="-5"/>
          <w:sz w:val="18"/>
          <w:u w:val="single" w:color="1D71B8"/>
        </w:rPr>
        <w:t> </w:t>
      </w:r>
      <w:r>
        <w:rPr>
          <w:color w:val="1D71B8"/>
          <w:sz w:val="18"/>
          <w:u w:val="single" w:color="1D71B8"/>
        </w:rPr>
        <w:t>(Abortion)</w:t>
      </w:r>
      <w:r>
        <w:rPr>
          <w:color w:val="1D71B8"/>
          <w:spacing w:val="-4"/>
          <w:sz w:val="18"/>
          <w:u w:val="none"/>
        </w:rPr>
        <w:t> </w:t>
      </w:r>
      <w:r>
        <w:rPr>
          <w:sz w:val="18"/>
          <w:u w:val="none"/>
        </w:rPr>
        <w:t>[2022]</w:t>
      </w:r>
      <w:r>
        <w:rPr>
          <w:spacing w:val="-4"/>
          <w:sz w:val="18"/>
          <w:u w:val="none"/>
        </w:rPr>
        <w:t> </w:t>
      </w:r>
      <w:r>
        <w:rPr>
          <w:sz w:val="18"/>
          <w:u w:val="none"/>
        </w:rPr>
        <w:t>NIQB</w:t>
      </w:r>
      <w:r>
        <w:rPr>
          <w:spacing w:val="-5"/>
          <w:sz w:val="18"/>
          <w:u w:val="none"/>
        </w:rPr>
        <w:t> </w:t>
      </w:r>
      <w:r>
        <w:rPr>
          <w:sz w:val="18"/>
          <w:u w:val="none"/>
        </w:rPr>
        <w:t>9,</w:t>
      </w:r>
      <w:r>
        <w:rPr>
          <w:spacing w:val="-4"/>
          <w:sz w:val="18"/>
          <w:u w:val="none"/>
        </w:rPr>
        <w:t> </w:t>
      </w:r>
      <w:r>
        <w:rPr>
          <w:sz w:val="18"/>
          <w:u w:val="none"/>
        </w:rPr>
        <w:t>(8</w:t>
      </w:r>
      <w:r>
        <w:rPr>
          <w:spacing w:val="-4"/>
          <w:sz w:val="18"/>
          <w:u w:val="none"/>
        </w:rPr>
        <w:t> </w:t>
      </w:r>
      <w:r>
        <w:rPr>
          <w:sz w:val="18"/>
          <w:u w:val="none"/>
        </w:rPr>
        <w:t>February</w:t>
      </w:r>
      <w:r>
        <w:rPr>
          <w:spacing w:val="-4"/>
          <w:sz w:val="18"/>
          <w:u w:val="none"/>
        </w:rPr>
        <w:t> </w:t>
      </w:r>
      <w:r>
        <w:rPr>
          <w:sz w:val="18"/>
          <w:u w:val="none"/>
        </w:rPr>
        <w:t>2022)</w:t>
      </w:r>
      <w:r>
        <w:rPr>
          <w:spacing w:val="-5"/>
          <w:sz w:val="18"/>
          <w:u w:val="none"/>
        </w:rPr>
        <w:t> </w:t>
      </w:r>
      <w:r>
        <w:rPr>
          <w:sz w:val="18"/>
          <w:u w:val="none"/>
        </w:rPr>
        <w:t>and</w:t>
      </w:r>
      <w:r>
        <w:rPr>
          <w:spacing w:val="-5"/>
          <w:sz w:val="18"/>
          <w:u w:val="none"/>
        </w:rPr>
        <w:t> </w:t>
      </w:r>
      <w:hyperlink r:id="rId32">
        <w:r>
          <w:rPr>
            <w:color w:val="1D71B8"/>
            <w:sz w:val="18"/>
            <w:u w:val="single" w:color="1D71B8"/>
          </w:rPr>
          <w:t>In</w:t>
        </w:r>
        <w:r>
          <w:rPr>
            <w:color w:val="1D71B8"/>
            <w:spacing w:val="-5"/>
            <w:sz w:val="18"/>
            <w:u w:val="single" w:color="1D71B8"/>
          </w:rPr>
          <w:t> </w:t>
        </w:r>
        <w:r>
          <w:rPr>
            <w:color w:val="1D71B8"/>
            <w:sz w:val="18"/>
            <w:u w:val="single" w:color="1D71B8"/>
          </w:rPr>
          <w:t>re</w:t>
        </w:r>
        <w:r>
          <w:rPr>
            <w:color w:val="1D71B8"/>
            <w:spacing w:val="-4"/>
            <w:sz w:val="18"/>
            <w:u w:val="single" w:color="1D71B8"/>
          </w:rPr>
          <w:t> </w:t>
        </w:r>
        <w:r>
          <w:rPr>
            <w:color w:val="1D71B8"/>
            <w:sz w:val="18"/>
            <w:u w:val="single" w:color="1D71B8"/>
          </w:rPr>
          <w:t>SPUC</w:t>
        </w:r>
        <w:r>
          <w:rPr>
            <w:color w:val="1D71B8"/>
            <w:spacing w:val="-5"/>
            <w:sz w:val="18"/>
            <w:u w:val="single" w:color="1D71B8"/>
          </w:rPr>
          <w:t> </w:t>
        </w:r>
        <w:r>
          <w:rPr>
            <w:color w:val="1D71B8"/>
            <w:sz w:val="18"/>
            <w:u w:val="single" w:color="1D71B8"/>
          </w:rPr>
          <w:t>Pro-Life</w:t>
        </w:r>
        <w:r>
          <w:rPr>
            <w:color w:val="1D71B8"/>
            <w:spacing w:val="-5"/>
            <w:sz w:val="18"/>
            <w:u w:val="single" w:color="1D71B8"/>
          </w:rPr>
          <w:t> </w:t>
        </w:r>
        <w:r>
          <w:rPr>
            <w:color w:val="1D71B8"/>
            <w:sz w:val="18"/>
            <w:u w:val="single" w:color="1D71B8"/>
          </w:rPr>
          <w:t>Ltd</w:t>
        </w:r>
        <w:r>
          <w:rPr>
            <w:color w:val="1D71B8"/>
            <w:spacing w:val="-5"/>
            <w:sz w:val="18"/>
            <w:u w:val="single" w:color="1D71B8"/>
          </w:rPr>
          <w:t> </w:t>
        </w:r>
        <w:r>
          <w:rPr>
            <w:color w:val="1D71B8"/>
            <w:sz w:val="18"/>
            <w:u w:val="single" w:color="1D71B8"/>
          </w:rPr>
          <w:t>(Abortion)</w:t>
        </w:r>
      </w:hyperlink>
      <w:r>
        <w:rPr>
          <w:color w:val="1D71B8"/>
          <w:spacing w:val="-4"/>
          <w:sz w:val="18"/>
          <w:u w:val="none"/>
        </w:rPr>
        <w:t> </w:t>
      </w:r>
      <w:r>
        <w:rPr>
          <w:sz w:val="18"/>
          <w:u w:val="none"/>
        </w:rPr>
        <w:t>[2023]</w:t>
      </w:r>
      <w:r>
        <w:rPr>
          <w:spacing w:val="-4"/>
          <w:sz w:val="18"/>
          <w:u w:val="none"/>
        </w:rPr>
        <w:t> </w:t>
      </w:r>
      <w:r>
        <w:rPr>
          <w:sz w:val="18"/>
          <w:u w:val="none"/>
        </w:rPr>
        <w:t>NICA</w:t>
      </w:r>
      <w:r>
        <w:rPr>
          <w:spacing w:val="-4"/>
          <w:sz w:val="18"/>
          <w:u w:val="none"/>
        </w:rPr>
        <w:t> </w:t>
      </w:r>
      <w:r>
        <w:rPr>
          <w:spacing w:val="-5"/>
          <w:sz w:val="18"/>
          <w:u w:val="none"/>
        </w:rPr>
        <w:t>35,</w:t>
      </w:r>
    </w:p>
    <w:p>
      <w:pPr>
        <w:spacing w:before="1"/>
        <w:ind w:left="1684" w:right="0" w:firstLine="0"/>
        <w:jc w:val="left"/>
        <w:rPr>
          <w:sz w:val="18"/>
        </w:rPr>
      </w:pPr>
      <w:r>
        <w:rPr>
          <w:sz w:val="18"/>
        </w:rPr>
        <w:t>(25</w:t>
      </w:r>
      <w:r>
        <w:rPr>
          <w:spacing w:val="-2"/>
          <w:sz w:val="18"/>
        </w:rPr>
        <w:t> </w:t>
      </w:r>
      <w:r>
        <w:rPr>
          <w:sz w:val="18"/>
        </w:rPr>
        <w:t>May</w:t>
      </w:r>
      <w:r>
        <w:rPr>
          <w:spacing w:val="-2"/>
          <w:sz w:val="18"/>
        </w:rPr>
        <w:t> 2023).</w:t>
      </w:r>
    </w:p>
    <w:p>
      <w:pPr>
        <w:pStyle w:val="ListParagraph"/>
        <w:numPr>
          <w:ilvl w:val="0"/>
          <w:numId w:val="18"/>
        </w:numPr>
        <w:tabs>
          <w:tab w:pos="1684" w:val="left" w:leader="none"/>
        </w:tabs>
        <w:spacing w:line="240" w:lineRule="auto" w:before="0" w:after="0"/>
        <w:ind w:left="1684" w:right="984" w:hanging="567"/>
        <w:jc w:val="left"/>
        <w:rPr>
          <w:sz w:val="18"/>
        </w:rPr>
      </w:pPr>
      <w:r>
        <w:rPr>
          <w:color w:val="1D71B8"/>
          <w:sz w:val="18"/>
          <w:u w:val="single" w:color="1D71B8"/>
        </w:rPr>
        <w:t>In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matter</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an</w:t>
      </w:r>
      <w:r>
        <w:rPr>
          <w:color w:val="1D71B8"/>
          <w:spacing w:val="-4"/>
          <w:sz w:val="18"/>
          <w:u w:val="single" w:color="1D71B8"/>
        </w:rPr>
        <w:t> </w:t>
      </w:r>
      <w:r>
        <w:rPr>
          <w:color w:val="1D71B8"/>
          <w:sz w:val="18"/>
          <w:u w:val="single" w:color="1D71B8"/>
        </w:rPr>
        <w:t>application</w:t>
      </w:r>
      <w:r>
        <w:rPr>
          <w:color w:val="1D71B8"/>
          <w:spacing w:val="-4"/>
          <w:sz w:val="18"/>
          <w:u w:val="single" w:color="1D71B8"/>
        </w:rPr>
        <w:t> </w:t>
      </w:r>
      <w:r>
        <w:rPr>
          <w:color w:val="1D71B8"/>
          <w:sz w:val="18"/>
          <w:u w:val="single" w:color="1D71B8"/>
        </w:rPr>
        <w:t>by</w:t>
      </w:r>
      <w:r>
        <w:rPr>
          <w:color w:val="1D71B8"/>
          <w:spacing w:val="-3"/>
          <w:sz w:val="18"/>
          <w:u w:val="single" w:color="1D71B8"/>
        </w:rPr>
        <w:t> </w:t>
      </w:r>
      <w:r>
        <w:rPr>
          <w:color w:val="1D71B8"/>
          <w:sz w:val="18"/>
          <w:u w:val="single" w:color="1D71B8"/>
        </w:rPr>
        <w:t>Aman</w:t>
      </w:r>
      <w:r>
        <w:rPr>
          <w:color w:val="1D71B8"/>
          <w:spacing w:val="-4"/>
          <w:sz w:val="18"/>
          <w:u w:val="single" w:color="1D71B8"/>
        </w:rPr>
        <w:t> </w:t>
      </w:r>
      <w:r>
        <w:rPr>
          <w:color w:val="1D71B8"/>
          <w:sz w:val="18"/>
          <w:u w:val="single" w:color="1D71B8"/>
        </w:rPr>
        <w:t>Angesom</w:t>
      </w:r>
      <w:r>
        <w:rPr>
          <w:color w:val="1D71B8"/>
          <w:spacing w:val="-3"/>
          <w:sz w:val="18"/>
          <w:u w:val="single" w:color="1D71B8"/>
        </w:rPr>
        <w:t> </w:t>
      </w:r>
      <w:r>
        <w:rPr>
          <w:color w:val="1D71B8"/>
          <w:sz w:val="18"/>
          <w:u w:val="single" w:color="1D71B8"/>
        </w:rPr>
        <w:t>for</w:t>
      </w:r>
      <w:r>
        <w:rPr>
          <w:color w:val="1D71B8"/>
          <w:spacing w:val="-3"/>
          <w:sz w:val="18"/>
          <w:u w:val="single" w:color="1D71B8"/>
        </w:rPr>
        <w:t> </w:t>
      </w:r>
      <w:r>
        <w:rPr>
          <w:color w:val="1D71B8"/>
          <w:sz w:val="18"/>
          <w:u w:val="single" w:color="1D71B8"/>
        </w:rPr>
        <w:t>judicial</w:t>
      </w:r>
      <w:r>
        <w:rPr>
          <w:color w:val="1D71B8"/>
          <w:spacing w:val="-4"/>
          <w:sz w:val="18"/>
          <w:u w:val="single" w:color="1D71B8"/>
        </w:rPr>
        <w:t> </w:t>
      </w:r>
      <w:r>
        <w:rPr>
          <w:color w:val="1D71B8"/>
          <w:sz w:val="18"/>
          <w:u w:val="single" w:color="1D71B8"/>
        </w:rPr>
        <w:t>review</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matter</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a</w:t>
      </w:r>
      <w:r>
        <w:rPr>
          <w:color w:val="1D71B8"/>
          <w:spacing w:val="-4"/>
          <w:sz w:val="18"/>
          <w:u w:val="single" w:color="1D71B8"/>
        </w:rPr>
        <w:t> </w:t>
      </w:r>
      <w:r>
        <w:rPr>
          <w:color w:val="1D71B8"/>
          <w:sz w:val="18"/>
          <w:u w:val="single" w:color="1D71B8"/>
        </w:rPr>
        <w:t>decision</w:t>
      </w:r>
      <w:r>
        <w:rPr>
          <w:color w:val="1D71B8"/>
          <w:spacing w:val="-4"/>
          <w:sz w:val="18"/>
          <w:u w:val="single" w:color="1D71B8"/>
        </w:rPr>
        <w:t> </w:t>
      </w:r>
      <w:r>
        <w:rPr>
          <w:color w:val="1D71B8"/>
          <w:sz w:val="18"/>
          <w:u w:val="single" w:color="1D71B8"/>
        </w:rPr>
        <w:t>by</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Secretary</w:t>
      </w:r>
      <w:r>
        <w:rPr>
          <w:color w:val="1D71B8"/>
          <w:spacing w:val="-3"/>
          <w:sz w:val="18"/>
          <w:u w:val="single" w:color="1D71B8"/>
        </w:rPr>
        <w:t> </w:t>
      </w:r>
      <w:r>
        <w:rPr>
          <w:color w:val="1D71B8"/>
          <w:sz w:val="18"/>
          <w:u w:val="single" w:color="1D71B8"/>
        </w:rPr>
        <w:t>of</w:t>
      </w:r>
      <w:r>
        <w:rPr>
          <w:color w:val="1D71B8"/>
          <w:sz w:val="18"/>
          <w:u w:val="none"/>
        </w:rPr>
        <w:t> </w:t>
      </w:r>
      <w:r>
        <w:rPr>
          <w:color w:val="1D71B8"/>
          <w:sz w:val="18"/>
          <w:u w:val="single" w:color="1D71B8"/>
        </w:rPr>
        <w:t>State for the Home Department, Northern Ireland Human Rights Commission and Equality Commission for Northern</w:t>
      </w:r>
      <w:r>
        <w:rPr>
          <w:color w:val="1D71B8"/>
          <w:sz w:val="18"/>
          <w:u w:val="none"/>
        </w:rPr>
        <w:t> </w:t>
      </w:r>
      <w:r>
        <w:rPr>
          <w:color w:val="1D71B8"/>
          <w:sz w:val="18"/>
          <w:u w:val="single" w:color="1D71B8"/>
        </w:rPr>
        <w:t>Ireland intervening</w:t>
      </w:r>
      <w:r>
        <w:rPr>
          <w:color w:val="1D71B8"/>
          <w:sz w:val="18"/>
          <w:u w:val="none"/>
        </w:rPr>
        <w:t> </w:t>
      </w:r>
      <w:r>
        <w:rPr>
          <w:sz w:val="18"/>
          <w:u w:val="none"/>
        </w:rPr>
        <w:t>[2023] NIKB 102, (18 October 2023).</w:t>
      </w:r>
    </w:p>
    <w:p>
      <w:pPr>
        <w:pStyle w:val="ListParagraph"/>
        <w:numPr>
          <w:ilvl w:val="0"/>
          <w:numId w:val="18"/>
        </w:numPr>
        <w:tabs>
          <w:tab w:pos="1684" w:val="left" w:leader="none"/>
        </w:tabs>
        <w:spacing w:line="240" w:lineRule="auto" w:before="1" w:after="0"/>
        <w:ind w:left="1684" w:right="0" w:hanging="567"/>
        <w:jc w:val="left"/>
        <w:rPr>
          <w:sz w:val="18"/>
        </w:rPr>
      </w:pPr>
      <w:r>
        <w:rPr>
          <w:color w:val="1D71B8"/>
          <w:sz w:val="18"/>
          <w:u w:val="single" w:color="1D71B8"/>
        </w:rPr>
        <w:t>Legacy</w:t>
      </w:r>
      <w:r>
        <w:rPr>
          <w:color w:val="1D71B8"/>
          <w:spacing w:val="-3"/>
          <w:sz w:val="18"/>
          <w:u w:val="single" w:color="1D71B8"/>
        </w:rPr>
        <w:t> </w:t>
      </w:r>
      <w:r>
        <w:rPr>
          <w:color w:val="1D71B8"/>
          <w:sz w:val="18"/>
          <w:u w:val="single" w:color="1D71B8"/>
        </w:rPr>
        <w:t>Act</w:t>
      </w:r>
      <w:r>
        <w:rPr>
          <w:color w:val="1D71B8"/>
          <w:spacing w:val="-3"/>
          <w:sz w:val="18"/>
          <w:u w:val="single" w:color="1D71B8"/>
        </w:rPr>
        <w:t> </w:t>
      </w:r>
      <w:r>
        <w:rPr>
          <w:color w:val="1D71B8"/>
          <w:sz w:val="18"/>
          <w:u w:val="single" w:color="1D71B8"/>
        </w:rPr>
        <w:t>cases</w:t>
      </w:r>
      <w:r>
        <w:rPr>
          <w:color w:val="1D71B8"/>
          <w:spacing w:val="-3"/>
          <w:sz w:val="18"/>
          <w:u w:val="single" w:color="1D71B8"/>
        </w:rPr>
        <w:t> </w:t>
      </w:r>
      <w:r>
        <w:rPr>
          <w:color w:val="1D71B8"/>
          <w:sz w:val="18"/>
          <w:u w:val="single" w:color="1D71B8"/>
        </w:rPr>
        <w:t>(Dillon</w:t>
      </w:r>
      <w:r>
        <w:rPr>
          <w:color w:val="1D71B8"/>
          <w:spacing w:val="-4"/>
          <w:sz w:val="18"/>
          <w:u w:val="single" w:color="1D71B8"/>
        </w:rPr>
        <w:t> </w:t>
      </w:r>
      <w:r>
        <w:rPr>
          <w:color w:val="1D71B8"/>
          <w:sz w:val="18"/>
          <w:u w:val="single" w:color="1D71B8"/>
        </w:rPr>
        <w:t>and</w:t>
      </w:r>
      <w:r>
        <w:rPr>
          <w:color w:val="1D71B8"/>
          <w:spacing w:val="-2"/>
          <w:sz w:val="18"/>
          <w:u w:val="single" w:color="1D71B8"/>
        </w:rPr>
        <w:t> </w:t>
      </w:r>
      <w:r>
        <w:rPr>
          <w:color w:val="1D71B8"/>
          <w:sz w:val="18"/>
          <w:u w:val="single" w:color="1D71B8"/>
        </w:rPr>
        <w:t>others)</w:t>
      </w:r>
      <w:r>
        <w:rPr>
          <w:i/>
          <w:sz w:val="18"/>
          <w:u w:val="none"/>
        </w:rPr>
        <w:t>,</w:t>
      </w:r>
      <w:r>
        <w:rPr>
          <w:i/>
          <w:spacing w:val="-4"/>
          <w:sz w:val="18"/>
          <w:u w:val="none"/>
        </w:rPr>
        <w:t> </w:t>
      </w:r>
      <w:r>
        <w:rPr>
          <w:sz w:val="18"/>
          <w:u w:val="none"/>
        </w:rPr>
        <w:t>[2024]</w:t>
      </w:r>
      <w:r>
        <w:rPr>
          <w:spacing w:val="-2"/>
          <w:sz w:val="18"/>
          <w:u w:val="none"/>
        </w:rPr>
        <w:t> </w:t>
      </w:r>
      <w:r>
        <w:rPr>
          <w:sz w:val="18"/>
          <w:u w:val="none"/>
        </w:rPr>
        <w:t>NIKB</w:t>
      </w:r>
      <w:r>
        <w:rPr>
          <w:spacing w:val="-3"/>
          <w:sz w:val="18"/>
          <w:u w:val="none"/>
        </w:rPr>
        <w:t> </w:t>
      </w:r>
      <w:r>
        <w:rPr>
          <w:sz w:val="18"/>
          <w:u w:val="none"/>
        </w:rPr>
        <w:t>11</w:t>
      </w:r>
      <w:r>
        <w:rPr>
          <w:spacing w:val="-2"/>
          <w:sz w:val="18"/>
          <w:u w:val="none"/>
        </w:rPr>
        <w:t> </w:t>
      </w:r>
      <w:r>
        <w:rPr>
          <w:sz w:val="18"/>
          <w:u w:val="none"/>
        </w:rPr>
        <w:t>(28</w:t>
      </w:r>
      <w:r>
        <w:rPr>
          <w:spacing w:val="-3"/>
          <w:sz w:val="18"/>
          <w:u w:val="none"/>
        </w:rPr>
        <w:t> </w:t>
      </w:r>
      <w:r>
        <w:rPr>
          <w:sz w:val="18"/>
          <w:u w:val="none"/>
        </w:rPr>
        <w:t>February</w:t>
      </w:r>
      <w:r>
        <w:rPr>
          <w:spacing w:val="-2"/>
          <w:sz w:val="18"/>
          <w:u w:val="none"/>
        </w:rPr>
        <w:t> 2024).</w:t>
      </w:r>
    </w:p>
    <w:p>
      <w:pPr>
        <w:pStyle w:val="ListParagraph"/>
        <w:numPr>
          <w:ilvl w:val="0"/>
          <w:numId w:val="18"/>
        </w:numPr>
        <w:tabs>
          <w:tab w:pos="1684" w:val="left" w:leader="none"/>
        </w:tabs>
        <w:spacing w:line="240" w:lineRule="auto" w:before="0" w:after="0"/>
        <w:ind w:left="1684" w:right="0" w:hanging="567"/>
        <w:jc w:val="left"/>
        <w:rPr>
          <w:sz w:val="18"/>
        </w:rPr>
      </w:pPr>
      <w:r>
        <w:rPr>
          <w:color w:val="1D71B8"/>
          <w:sz w:val="18"/>
          <w:u w:val="single" w:color="1D71B8"/>
        </w:rPr>
        <w:t>In</w:t>
      </w:r>
      <w:r>
        <w:rPr>
          <w:color w:val="1D71B8"/>
          <w:spacing w:val="-5"/>
          <w:sz w:val="18"/>
          <w:u w:val="single" w:color="1D71B8"/>
        </w:rPr>
        <w:t> </w:t>
      </w:r>
      <w:r>
        <w:rPr>
          <w:color w:val="1D71B8"/>
          <w:sz w:val="18"/>
          <w:u w:val="single" w:color="1D71B8"/>
        </w:rPr>
        <w:t>re</w:t>
      </w:r>
      <w:r>
        <w:rPr>
          <w:color w:val="1D71B8"/>
          <w:spacing w:val="-3"/>
          <w:sz w:val="18"/>
          <w:u w:val="single" w:color="1D71B8"/>
        </w:rPr>
        <w:t> </w:t>
      </w:r>
      <w:r>
        <w:rPr>
          <w:color w:val="1D71B8"/>
          <w:sz w:val="18"/>
          <w:u w:val="single" w:color="1D71B8"/>
        </w:rPr>
        <w:t>SPUC</w:t>
      </w:r>
      <w:r>
        <w:rPr>
          <w:color w:val="1D71B8"/>
          <w:spacing w:val="-5"/>
          <w:sz w:val="18"/>
          <w:u w:val="single" w:color="1D71B8"/>
        </w:rPr>
        <w:t> </w:t>
      </w:r>
      <w:r>
        <w:rPr>
          <w:color w:val="1D71B8"/>
          <w:sz w:val="18"/>
          <w:u w:val="single" w:color="1D71B8"/>
        </w:rPr>
        <w:t>Pro-Life</w:t>
      </w:r>
      <w:r>
        <w:rPr>
          <w:color w:val="1D71B8"/>
          <w:spacing w:val="-3"/>
          <w:sz w:val="18"/>
          <w:u w:val="single" w:color="1D71B8"/>
        </w:rPr>
        <w:t> </w:t>
      </w:r>
      <w:r>
        <w:rPr>
          <w:color w:val="1D71B8"/>
          <w:sz w:val="18"/>
          <w:u w:val="single" w:color="1D71B8"/>
        </w:rPr>
        <w:t>Ltd</w:t>
      </w:r>
      <w:r>
        <w:rPr>
          <w:color w:val="1D71B8"/>
          <w:spacing w:val="-5"/>
          <w:sz w:val="18"/>
          <w:u w:val="single" w:color="1D71B8"/>
        </w:rPr>
        <w:t> </w:t>
      </w:r>
      <w:r>
        <w:rPr>
          <w:color w:val="1D71B8"/>
          <w:sz w:val="18"/>
          <w:u w:val="single" w:color="1D71B8"/>
        </w:rPr>
        <w:t>(Abortion)</w:t>
      </w:r>
      <w:r>
        <w:rPr>
          <w:color w:val="1D71B8"/>
          <w:spacing w:val="-3"/>
          <w:sz w:val="18"/>
          <w:u w:val="none"/>
        </w:rPr>
        <w:t> </w:t>
      </w:r>
      <w:r>
        <w:rPr>
          <w:sz w:val="18"/>
          <w:u w:val="none"/>
        </w:rPr>
        <w:t>[2022]</w:t>
      </w:r>
      <w:r>
        <w:rPr>
          <w:spacing w:val="-4"/>
          <w:sz w:val="18"/>
          <w:u w:val="none"/>
        </w:rPr>
        <w:t> </w:t>
      </w:r>
      <w:r>
        <w:rPr>
          <w:sz w:val="18"/>
          <w:u w:val="none"/>
        </w:rPr>
        <w:t>NIQB</w:t>
      </w:r>
      <w:r>
        <w:rPr>
          <w:spacing w:val="-4"/>
          <w:sz w:val="18"/>
          <w:u w:val="none"/>
        </w:rPr>
        <w:t> </w:t>
      </w:r>
      <w:r>
        <w:rPr>
          <w:sz w:val="18"/>
          <w:u w:val="none"/>
        </w:rPr>
        <w:t>9,</w:t>
      </w:r>
      <w:r>
        <w:rPr>
          <w:spacing w:val="-3"/>
          <w:sz w:val="18"/>
          <w:u w:val="none"/>
        </w:rPr>
        <w:t> </w:t>
      </w:r>
      <w:r>
        <w:rPr>
          <w:sz w:val="18"/>
          <w:u w:val="none"/>
        </w:rPr>
        <w:t>(8</w:t>
      </w:r>
      <w:r>
        <w:rPr>
          <w:spacing w:val="-4"/>
          <w:sz w:val="18"/>
          <w:u w:val="none"/>
        </w:rPr>
        <w:t> </w:t>
      </w:r>
      <w:r>
        <w:rPr>
          <w:sz w:val="18"/>
          <w:u w:val="none"/>
        </w:rPr>
        <w:t>February</w:t>
      </w:r>
      <w:r>
        <w:rPr>
          <w:spacing w:val="-3"/>
          <w:sz w:val="18"/>
          <w:u w:val="none"/>
        </w:rPr>
        <w:t> </w:t>
      </w:r>
      <w:r>
        <w:rPr>
          <w:sz w:val="18"/>
          <w:u w:val="none"/>
        </w:rPr>
        <w:t>2022)</w:t>
      </w:r>
      <w:r>
        <w:rPr>
          <w:spacing w:val="-5"/>
          <w:sz w:val="18"/>
          <w:u w:val="none"/>
        </w:rPr>
        <w:t> </w:t>
      </w:r>
      <w:r>
        <w:rPr>
          <w:spacing w:val="-2"/>
          <w:sz w:val="18"/>
          <w:u w:val="none"/>
        </w:rPr>
        <w:t>[18].</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 [80], [97], </w:t>
      </w:r>
      <w:r>
        <w:rPr>
          <w:spacing w:val="-2"/>
          <w:sz w:val="18"/>
        </w:rPr>
        <w:t>[102].</w:t>
      </w:r>
    </w:p>
    <w:p>
      <w:pPr>
        <w:pStyle w:val="ListParagraph"/>
        <w:numPr>
          <w:ilvl w:val="0"/>
          <w:numId w:val="18"/>
        </w:numPr>
        <w:tabs>
          <w:tab w:pos="1684" w:val="left" w:leader="none"/>
        </w:tabs>
        <w:spacing w:line="240" w:lineRule="auto" w:before="1" w:after="0"/>
        <w:ind w:left="1684" w:right="1544" w:hanging="567"/>
        <w:jc w:val="left"/>
        <w:rPr>
          <w:sz w:val="18"/>
        </w:rPr>
      </w:pPr>
      <w:r>
        <w:rPr>
          <w:sz w:val="18"/>
        </w:rPr>
        <w:t>UK</w:t>
      </w:r>
      <w:r>
        <w:rPr>
          <w:spacing w:val="-4"/>
          <w:sz w:val="18"/>
        </w:rPr>
        <w:t> </w:t>
      </w:r>
      <w:r>
        <w:rPr>
          <w:sz w:val="18"/>
        </w:rPr>
        <w:t>Government,</w:t>
      </w:r>
      <w:r>
        <w:rPr>
          <w:spacing w:val="-4"/>
          <w:sz w:val="18"/>
        </w:rPr>
        <w:t> </w:t>
      </w:r>
      <w:r>
        <w:rPr>
          <w:color w:val="1D71B8"/>
          <w:sz w:val="18"/>
          <w:u w:val="single" w:color="1D71B8"/>
        </w:rPr>
        <w:t>Explainer:</w:t>
      </w:r>
      <w:r>
        <w:rPr>
          <w:color w:val="1D71B8"/>
          <w:spacing w:val="-4"/>
          <w:sz w:val="18"/>
          <w:u w:val="single" w:color="1D71B8"/>
        </w:rPr>
        <w:t> </w:t>
      </w:r>
      <w:r>
        <w:rPr>
          <w:color w:val="1D71B8"/>
          <w:sz w:val="18"/>
          <w:u w:val="single" w:color="1D71B8"/>
        </w:rPr>
        <w:t>UK</w:t>
      </w:r>
      <w:r>
        <w:rPr>
          <w:color w:val="1D71B8"/>
          <w:spacing w:val="-4"/>
          <w:sz w:val="18"/>
          <w:u w:val="single" w:color="1D71B8"/>
        </w:rPr>
        <w:t> </w:t>
      </w:r>
      <w:r>
        <w:rPr>
          <w:color w:val="1D71B8"/>
          <w:sz w:val="18"/>
          <w:u w:val="single" w:color="1D71B8"/>
        </w:rPr>
        <w:t>Government</w:t>
      </w:r>
      <w:r>
        <w:rPr>
          <w:color w:val="1D71B8"/>
          <w:spacing w:val="-4"/>
          <w:sz w:val="18"/>
          <w:u w:val="single" w:color="1D71B8"/>
        </w:rPr>
        <w:t> </w:t>
      </w:r>
      <w:r>
        <w:rPr>
          <w:color w:val="1D71B8"/>
          <w:sz w:val="18"/>
          <w:u w:val="single" w:color="1D71B8"/>
        </w:rPr>
        <w:t>commitment</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no</w:t>
      </w:r>
      <w:r>
        <w:rPr>
          <w:color w:val="1D71B8"/>
          <w:spacing w:val="-4"/>
          <w:sz w:val="18"/>
          <w:u w:val="single" w:color="1D71B8"/>
        </w:rPr>
        <w:t> </w:t>
      </w:r>
      <w:r>
        <w:rPr>
          <w:color w:val="1D71B8"/>
          <w:sz w:val="18"/>
          <w:u w:val="single" w:color="1D71B8"/>
        </w:rPr>
        <w:t>diminution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safeguards</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of</w:t>
      </w:r>
      <w:r>
        <w:rPr>
          <w:color w:val="1D71B8"/>
          <w:sz w:val="18"/>
          <w:u w:val="none"/>
        </w:rPr>
        <w:t> </w:t>
      </w:r>
      <w:r>
        <w:rPr>
          <w:color w:val="1D71B8"/>
          <w:sz w:val="18"/>
          <w:u w:val="single" w:color="1D71B8"/>
        </w:rPr>
        <w:t>opportunity in Northern Ireland</w:t>
      </w:r>
      <w:r>
        <w:rPr>
          <w:color w:val="1D71B8"/>
          <w:sz w:val="18"/>
          <w:u w:val="none"/>
        </w:rPr>
        <w:t> </w:t>
      </w:r>
      <w:r>
        <w:rPr>
          <w:sz w:val="18"/>
          <w:u w:val="none"/>
        </w:rPr>
        <w:t>(2020) quoted in [77] of the judgment.</w:t>
      </w:r>
    </w:p>
    <w:p>
      <w:pPr>
        <w:pStyle w:val="ListParagraph"/>
        <w:numPr>
          <w:ilvl w:val="0"/>
          <w:numId w:val="18"/>
        </w:numPr>
        <w:tabs>
          <w:tab w:pos="1684" w:val="left" w:leader="none"/>
        </w:tabs>
        <w:spacing w:line="240" w:lineRule="auto" w:before="0" w:after="0"/>
        <w:ind w:left="1684" w:right="0" w:hanging="567"/>
        <w:jc w:val="left"/>
        <w:rPr>
          <w:sz w:val="18"/>
        </w:rPr>
      </w:pPr>
      <w:r>
        <w:rPr>
          <w:color w:val="1D71B8"/>
          <w:sz w:val="18"/>
          <w:u w:val="single" w:color="1D71B8"/>
        </w:rPr>
        <w:t>In</w:t>
      </w:r>
      <w:r>
        <w:rPr>
          <w:color w:val="1D71B8"/>
          <w:spacing w:val="-5"/>
          <w:sz w:val="18"/>
          <w:u w:val="single" w:color="1D71B8"/>
        </w:rPr>
        <w:t> </w:t>
      </w:r>
      <w:r>
        <w:rPr>
          <w:color w:val="1D71B8"/>
          <w:sz w:val="18"/>
          <w:u w:val="single" w:color="1D71B8"/>
        </w:rPr>
        <w:t>re</w:t>
      </w:r>
      <w:r>
        <w:rPr>
          <w:color w:val="1D71B8"/>
          <w:spacing w:val="-4"/>
          <w:sz w:val="18"/>
          <w:u w:val="single" w:color="1D71B8"/>
        </w:rPr>
        <w:t> </w:t>
      </w:r>
      <w:r>
        <w:rPr>
          <w:color w:val="1D71B8"/>
          <w:sz w:val="18"/>
          <w:u w:val="single" w:color="1D71B8"/>
        </w:rPr>
        <w:t>SPUC</w:t>
      </w:r>
      <w:r>
        <w:rPr>
          <w:color w:val="1D71B8"/>
          <w:spacing w:val="-5"/>
          <w:sz w:val="18"/>
          <w:u w:val="single" w:color="1D71B8"/>
        </w:rPr>
        <w:t> </w:t>
      </w:r>
      <w:r>
        <w:rPr>
          <w:color w:val="1D71B8"/>
          <w:sz w:val="18"/>
          <w:u w:val="single" w:color="1D71B8"/>
        </w:rPr>
        <w:t>Pro-Life</w:t>
      </w:r>
      <w:r>
        <w:rPr>
          <w:color w:val="1D71B8"/>
          <w:spacing w:val="-4"/>
          <w:sz w:val="18"/>
          <w:u w:val="single" w:color="1D71B8"/>
        </w:rPr>
        <w:t> </w:t>
      </w:r>
      <w:r>
        <w:rPr>
          <w:color w:val="1D71B8"/>
          <w:sz w:val="18"/>
          <w:u w:val="single" w:color="1D71B8"/>
        </w:rPr>
        <w:t>Ltd</w:t>
      </w:r>
      <w:r>
        <w:rPr>
          <w:color w:val="1D71B8"/>
          <w:spacing w:val="-5"/>
          <w:sz w:val="18"/>
          <w:u w:val="single" w:color="1D71B8"/>
        </w:rPr>
        <w:t> </w:t>
      </w:r>
      <w:r>
        <w:rPr>
          <w:color w:val="1D71B8"/>
          <w:sz w:val="18"/>
          <w:u w:val="single" w:color="1D71B8"/>
        </w:rPr>
        <w:t>(Abortion)</w:t>
      </w:r>
      <w:r>
        <w:rPr>
          <w:color w:val="1D71B8"/>
          <w:spacing w:val="-4"/>
          <w:sz w:val="18"/>
          <w:u w:val="none"/>
        </w:rPr>
        <w:t> </w:t>
      </w:r>
      <w:r>
        <w:rPr>
          <w:sz w:val="18"/>
          <w:u w:val="none"/>
        </w:rPr>
        <w:t>[2022]</w:t>
      </w:r>
      <w:r>
        <w:rPr>
          <w:spacing w:val="-4"/>
          <w:sz w:val="18"/>
          <w:u w:val="none"/>
        </w:rPr>
        <w:t> </w:t>
      </w:r>
      <w:r>
        <w:rPr>
          <w:sz w:val="18"/>
          <w:u w:val="none"/>
        </w:rPr>
        <w:t>NIQB</w:t>
      </w:r>
      <w:r>
        <w:rPr>
          <w:spacing w:val="-4"/>
          <w:sz w:val="18"/>
          <w:u w:val="none"/>
        </w:rPr>
        <w:t> </w:t>
      </w:r>
      <w:r>
        <w:rPr>
          <w:sz w:val="18"/>
          <w:u w:val="none"/>
        </w:rPr>
        <w:t>9,</w:t>
      </w:r>
      <w:r>
        <w:rPr>
          <w:spacing w:val="-4"/>
          <w:sz w:val="18"/>
          <w:u w:val="none"/>
        </w:rPr>
        <w:t> </w:t>
      </w:r>
      <w:r>
        <w:rPr>
          <w:sz w:val="18"/>
          <w:u w:val="none"/>
        </w:rPr>
        <w:t>(8</w:t>
      </w:r>
      <w:r>
        <w:rPr>
          <w:spacing w:val="-4"/>
          <w:sz w:val="18"/>
          <w:u w:val="none"/>
        </w:rPr>
        <w:t> </w:t>
      </w:r>
      <w:r>
        <w:rPr>
          <w:sz w:val="18"/>
          <w:u w:val="none"/>
        </w:rPr>
        <w:t>February</w:t>
      </w:r>
      <w:r>
        <w:rPr>
          <w:spacing w:val="-4"/>
          <w:sz w:val="18"/>
          <w:u w:val="none"/>
        </w:rPr>
        <w:t> </w:t>
      </w:r>
      <w:r>
        <w:rPr>
          <w:sz w:val="18"/>
          <w:u w:val="none"/>
        </w:rPr>
        <w:t>2022)</w:t>
      </w:r>
      <w:r>
        <w:rPr>
          <w:spacing w:val="-5"/>
          <w:sz w:val="18"/>
          <w:u w:val="none"/>
        </w:rPr>
        <w:t> </w:t>
      </w:r>
      <w:r>
        <w:rPr>
          <w:sz w:val="18"/>
          <w:u w:val="none"/>
        </w:rPr>
        <w:t>[77]-</w:t>
      </w:r>
      <w:r>
        <w:rPr>
          <w:spacing w:val="-2"/>
          <w:sz w:val="18"/>
          <w:u w:val="none"/>
        </w:rPr>
        <w:t>[78].</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 </w:t>
      </w:r>
      <w:r>
        <w:rPr>
          <w:spacing w:val="-2"/>
          <w:sz w:val="18"/>
        </w:rPr>
        <w:t>[91].</w:t>
      </w:r>
    </w:p>
    <w:p>
      <w:pPr>
        <w:pStyle w:val="ListParagraph"/>
        <w:numPr>
          <w:ilvl w:val="0"/>
          <w:numId w:val="18"/>
        </w:numPr>
        <w:tabs>
          <w:tab w:pos="1684" w:val="left" w:leader="none"/>
        </w:tabs>
        <w:spacing w:line="240" w:lineRule="auto" w:before="1" w:after="0"/>
        <w:ind w:left="1684" w:right="0" w:hanging="567"/>
        <w:jc w:val="left"/>
        <w:rPr>
          <w:sz w:val="18"/>
        </w:rPr>
      </w:pPr>
      <w:r>
        <w:rPr>
          <w:sz w:val="18"/>
        </w:rPr>
        <w:t>Ibid., </w:t>
      </w:r>
      <w:r>
        <w:rPr>
          <w:spacing w:val="-2"/>
          <w:sz w:val="18"/>
        </w:rPr>
        <w:t>[104].</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 </w:t>
      </w:r>
      <w:r>
        <w:rPr>
          <w:spacing w:val="-2"/>
          <w:sz w:val="18"/>
        </w:rPr>
        <w:t>[93].</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 </w:t>
      </w:r>
      <w:r>
        <w:rPr>
          <w:spacing w:val="-2"/>
          <w:sz w:val="18"/>
        </w:rPr>
        <w:t>[107].</w:t>
      </w:r>
    </w:p>
    <w:p>
      <w:pPr>
        <w:pStyle w:val="ListParagraph"/>
        <w:numPr>
          <w:ilvl w:val="0"/>
          <w:numId w:val="18"/>
        </w:numPr>
        <w:tabs>
          <w:tab w:pos="1684" w:val="left" w:leader="none"/>
        </w:tabs>
        <w:spacing w:line="240" w:lineRule="auto" w:before="0" w:after="0"/>
        <w:ind w:left="1684" w:right="0" w:hanging="567"/>
        <w:jc w:val="left"/>
        <w:rPr>
          <w:sz w:val="18"/>
        </w:rPr>
      </w:pPr>
      <w:r>
        <w:rPr>
          <w:sz w:val="18"/>
        </w:rPr>
        <w:t>Ibid.,</w:t>
      </w:r>
      <w:r>
        <w:rPr>
          <w:spacing w:val="-6"/>
          <w:sz w:val="18"/>
        </w:rPr>
        <w:t> </w:t>
      </w:r>
      <w:r>
        <w:rPr>
          <w:sz w:val="18"/>
        </w:rPr>
        <w:t>[108]-</w:t>
      </w:r>
      <w:r>
        <w:rPr>
          <w:spacing w:val="-2"/>
          <w:sz w:val="18"/>
        </w:rPr>
        <w:t>[111].</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77568">
                <wp:simplePos x="0" y="0"/>
                <wp:positionH relativeFrom="page">
                  <wp:posOffset>0</wp:posOffset>
                </wp:positionH>
                <wp:positionV relativeFrom="page">
                  <wp:posOffset>0</wp:posOffset>
                </wp:positionV>
                <wp:extent cx="7560309" cy="1155065"/>
                <wp:effectExtent l="0" t="0" r="0" b="0"/>
                <wp:wrapNone/>
                <wp:docPr id="910" name="Group 910"/>
                <wp:cNvGraphicFramePr>
                  <a:graphicFrameLocks/>
                </wp:cNvGraphicFramePr>
                <a:graphic>
                  <a:graphicData uri="http://schemas.microsoft.com/office/word/2010/wordprocessingGroup">
                    <wpg:wgp>
                      <wpg:cNvPr id="910" name="Group 910"/>
                      <wpg:cNvGrpSpPr/>
                      <wpg:grpSpPr>
                        <a:xfrm>
                          <a:off x="0" y="0"/>
                          <a:ext cx="7560309" cy="1155065"/>
                          <a:chExt cx="7560309" cy="1155065"/>
                        </a:xfrm>
                      </wpg:grpSpPr>
                      <wps:wsp>
                        <wps:cNvPr id="911" name="Graphic 911"/>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912" name="Graphic 912"/>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38912" id="docshapegroup747" coordorigin="0,0" coordsize="11906,1819">
                <v:shape style="position:absolute;left:0;top:0;width:11906;height:1819" id="docshape74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108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404"/>
      </w:pPr>
      <w:r>
        <w:rPr/>
        <w:t>competence, generally speaking, for the regulation of abortion.</w:t>
      </w:r>
      <w:r>
        <w:rPr>
          <w:vertAlign w:val="superscript"/>
        </w:rPr>
        <w:t>551</w:t>
      </w:r>
      <w:r>
        <w:rPr>
          <w:vertAlign w:val="baseline"/>
        </w:rPr>
        <w:t> This lack of competence also meant the arguments based on the Charter of Fundamental Rights and general principles of law were unsuccessful. The Court accepted a further argument by the ECNI that the CRPD lacked direct effect as a matter of EU</w:t>
      </w:r>
      <w:r>
        <w:rPr>
          <w:spacing w:val="-8"/>
          <w:vertAlign w:val="baseline"/>
        </w:rPr>
        <w:t> </w:t>
      </w:r>
      <w:r>
        <w:rPr>
          <w:vertAlign w:val="baseline"/>
        </w:rPr>
        <w:t>law.</w:t>
      </w:r>
      <w:r>
        <w:rPr>
          <w:vertAlign w:val="superscript"/>
        </w:rPr>
        <w:t>552</w:t>
      </w:r>
      <w:r>
        <w:rPr>
          <w:spacing w:val="-9"/>
          <w:vertAlign w:val="baseline"/>
        </w:rPr>
        <w:t> </w:t>
      </w:r>
      <w:r>
        <w:rPr>
          <w:vertAlign w:val="baseline"/>
        </w:rPr>
        <w:t>The</w:t>
      </w:r>
      <w:r>
        <w:rPr>
          <w:spacing w:val="-8"/>
          <w:vertAlign w:val="baseline"/>
        </w:rPr>
        <w:t> </w:t>
      </w:r>
      <w:r>
        <w:rPr>
          <w:vertAlign w:val="baseline"/>
        </w:rPr>
        <w:t>Court</w:t>
      </w:r>
      <w:r>
        <w:rPr>
          <w:spacing w:val="-8"/>
          <w:vertAlign w:val="baseline"/>
        </w:rPr>
        <w:t> </w:t>
      </w:r>
      <w:r>
        <w:rPr>
          <w:vertAlign w:val="baseline"/>
        </w:rPr>
        <w:t>noted</w:t>
      </w:r>
      <w:r>
        <w:rPr>
          <w:spacing w:val="-9"/>
          <w:vertAlign w:val="baseline"/>
        </w:rPr>
        <w:t> </w:t>
      </w:r>
      <w:r>
        <w:rPr>
          <w:vertAlign w:val="baseline"/>
        </w:rPr>
        <w:t>that</w:t>
      </w:r>
      <w:r>
        <w:rPr>
          <w:spacing w:val="-8"/>
          <w:vertAlign w:val="baseline"/>
        </w:rPr>
        <w:t> </w:t>
      </w:r>
      <w:r>
        <w:rPr>
          <w:vertAlign w:val="baseline"/>
        </w:rPr>
        <w:t>the</w:t>
      </w:r>
      <w:r>
        <w:rPr>
          <w:spacing w:val="-8"/>
          <w:vertAlign w:val="baseline"/>
        </w:rPr>
        <w:t> </w:t>
      </w:r>
      <w:r>
        <w:rPr>
          <w:vertAlign w:val="baseline"/>
        </w:rPr>
        <w:t>CRPD</w:t>
      </w:r>
      <w:r>
        <w:rPr>
          <w:spacing w:val="-9"/>
          <w:vertAlign w:val="baseline"/>
        </w:rPr>
        <w:t> </w:t>
      </w:r>
      <w:r>
        <w:rPr>
          <w:vertAlign w:val="baseline"/>
        </w:rPr>
        <w:t>did</w:t>
      </w:r>
      <w:r>
        <w:rPr>
          <w:spacing w:val="-8"/>
          <w:vertAlign w:val="baseline"/>
        </w:rPr>
        <w:t> </w:t>
      </w:r>
      <w:r>
        <w:rPr>
          <w:vertAlign w:val="baseline"/>
        </w:rPr>
        <w:t>not</w:t>
      </w:r>
      <w:r>
        <w:rPr>
          <w:spacing w:val="-8"/>
          <w:vertAlign w:val="baseline"/>
        </w:rPr>
        <w:t> </w:t>
      </w:r>
      <w:r>
        <w:rPr>
          <w:vertAlign w:val="baseline"/>
        </w:rPr>
        <w:t>expressly</w:t>
      </w:r>
      <w:r>
        <w:rPr>
          <w:spacing w:val="-8"/>
          <w:vertAlign w:val="baseline"/>
        </w:rPr>
        <w:t> </w:t>
      </w:r>
      <w:r>
        <w:rPr>
          <w:vertAlign w:val="baseline"/>
        </w:rPr>
        <w:t>prohibit</w:t>
      </w:r>
      <w:r>
        <w:rPr>
          <w:spacing w:val="-8"/>
          <w:vertAlign w:val="baseline"/>
        </w:rPr>
        <w:t> </w:t>
      </w:r>
      <w:r>
        <w:rPr>
          <w:vertAlign w:val="baseline"/>
        </w:rPr>
        <w:t>abortion</w:t>
      </w:r>
      <w:r>
        <w:rPr>
          <w:spacing w:val="-9"/>
          <w:vertAlign w:val="baseline"/>
        </w:rPr>
        <w:t> </w:t>
      </w:r>
      <w:r>
        <w:rPr>
          <w:vertAlign w:val="baseline"/>
        </w:rPr>
        <w:t>on grounds</w:t>
      </w:r>
      <w:r>
        <w:rPr>
          <w:spacing w:val="-7"/>
          <w:vertAlign w:val="baseline"/>
        </w:rPr>
        <w:t> </w:t>
      </w:r>
      <w:r>
        <w:rPr>
          <w:vertAlign w:val="baseline"/>
        </w:rPr>
        <w:t>of</w:t>
      </w:r>
      <w:r>
        <w:rPr>
          <w:spacing w:val="-7"/>
          <w:vertAlign w:val="baseline"/>
        </w:rPr>
        <w:t> </w:t>
      </w:r>
      <w:r>
        <w:rPr>
          <w:vertAlign w:val="baseline"/>
        </w:rPr>
        <w:t>severe</w:t>
      </w:r>
      <w:r>
        <w:rPr>
          <w:spacing w:val="-6"/>
          <w:vertAlign w:val="baseline"/>
        </w:rPr>
        <w:t> </w:t>
      </w:r>
      <w:r>
        <w:rPr>
          <w:vertAlign w:val="baseline"/>
        </w:rPr>
        <w:t>foetal</w:t>
      </w:r>
      <w:r>
        <w:rPr>
          <w:spacing w:val="-7"/>
          <w:vertAlign w:val="baseline"/>
        </w:rPr>
        <w:t> </w:t>
      </w:r>
      <w:r>
        <w:rPr>
          <w:vertAlign w:val="baseline"/>
        </w:rPr>
        <w:t>impairment,</w:t>
      </w:r>
      <w:r>
        <w:rPr>
          <w:vertAlign w:val="superscript"/>
        </w:rPr>
        <w:t>553</w:t>
      </w:r>
      <w:r>
        <w:rPr>
          <w:spacing w:val="-7"/>
          <w:vertAlign w:val="baseline"/>
        </w:rPr>
        <w:t> </w:t>
      </w:r>
      <w:r>
        <w:rPr>
          <w:vertAlign w:val="baseline"/>
        </w:rPr>
        <w:t>and</w:t>
      </w:r>
      <w:r>
        <w:rPr>
          <w:spacing w:val="-7"/>
          <w:vertAlign w:val="baseline"/>
        </w:rPr>
        <w:t> </w:t>
      </w:r>
      <w:r>
        <w:rPr>
          <w:vertAlign w:val="baseline"/>
        </w:rPr>
        <w:t>that</w:t>
      </w:r>
      <w:r>
        <w:rPr>
          <w:spacing w:val="-6"/>
          <w:vertAlign w:val="baseline"/>
        </w:rPr>
        <w:t> </w:t>
      </w:r>
      <w:r>
        <w:rPr>
          <w:vertAlign w:val="baseline"/>
        </w:rPr>
        <w:t>the</w:t>
      </w:r>
      <w:r>
        <w:rPr>
          <w:spacing w:val="-6"/>
          <w:vertAlign w:val="baseline"/>
        </w:rPr>
        <w:t> </w:t>
      </w:r>
      <w:r>
        <w:rPr>
          <w:vertAlign w:val="baseline"/>
        </w:rPr>
        <w:t>relevant</w:t>
      </w:r>
      <w:r>
        <w:rPr>
          <w:spacing w:val="-6"/>
          <w:vertAlign w:val="baseline"/>
        </w:rPr>
        <w:t> </w:t>
      </w:r>
      <w:r>
        <w:rPr>
          <w:vertAlign w:val="baseline"/>
        </w:rPr>
        <w:t>change</w:t>
      </w:r>
      <w:r>
        <w:rPr>
          <w:spacing w:val="-6"/>
          <w:vertAlign w:val="baseline"/>
        </w:rPr>
        <w:t> </w:t>
      </w:r>
      <w:r>
        <w:rPr>
          <w:vertAlign w:val="baseline"/>
        </w:rPr>
        <w:t>in</w:t>
      </w:r>
      <w:r>
        <w:rPr>
          <w:spacing w:val="-7"/>
          <w:vertAlign w:val="baseline"/>
        </w:rPr>
        <w:t> </w:t>
      </w:r>
      <w:r>
        <w:rPr>
          <w:vertAlign w:val="baseline"/>
        </w:rPr>
        <w:t>the</w:t>
      </w:r>
      <w:r>
        <w:rPr>
          <w:spacing w:val="-6"/>
          <w:vertAlign w:val="baseline"/>
        </w:rPr>
        <w:t> </w:t>
      </w:r>
      <w:r>
        <w:rPr>
          <w:vertAlign w:val="baseline"/>
        </w:rPr>
        <w:t>law dated to 14 May 2020, prior to the end of the transition period.</w:t>
      </w:r>
      <w:r>
        <w:rPr>
          <w:vertAlign w:val="superscript"/>
        </w:rPr>
        <w:t>554</w:t>
      </w:r>
    </w:p>
    <w:p>
      <w:pPr>
        <w:pStyle w:val="BodyText"/>
        <w:spacing w:line="232" w:lineRule="auto" w:before="272"/>
        <w:ind w:left="720" w:right="1250"/>
      </w:pPr>
      <w:r>
        <w:rPr/>
        <w:t>The High Court’s ruling, though finding no violation of Article 2 WF in this case, is important. It clarifies that Northern Ireland courts must consider the case law of the CJEU without temporal limits; furthermore, that the courts may rely on the Charter</w:t>
      </w:r>
      <w:r>
        <w:rPr>
          <w:spacing w:val="-4"/>
        </w:rPr>
        <w:t> </w:t>
      </w:r>
      <w:r>
        <w:rPr/>
        <w:t>of</w:t>
      </w:r>
      <w:r>
        <w:rPr>
          <w:spacing w:val="-5"/>
        </w:rPr>
        <w:t> </w:t>
      </w:r>
      <w:r>
        <w:rPr/>
        <w:t>Fundamental</w:t>
      </w:r>
      <w:r>
        <w:rPr>
          <w:spacing w:val="-5"/>
        </w:rPr>
        <w:t> </w:t>
      </w:r>
      <w:r>
        <w:rPr/>
        <w:t>Rights</w:t>
      </w:r>
      <w:r>
        <w:rPr>
          <w:spacing w:val="-5"/>
        </w:rPr>
        <w:t> </w:t>
      </w:r>
      <w:r>
        <w:rPr/>
        <w:t>and</w:t>
      </w:r>
      <w:r>
        <w:rPr>
          <w:spacing w:val="-5"/>
        </w:rPr>
        <w:t> </w:t>
      </w:r>
      <w:r>
        <w:rPr/>
        <w:t>EU</w:t>
      </w:r>
      <w:r>
        <w:rPr>
          <w:spacing w:val="-4"/>
        </w:rPr>
        <w:t> </w:t>
      </w:r>
      <w:r>
        <w:rPr/>
        <w:t>general</w:t>
      </w:r>
      <w:r>
        <w:rPr>
          <w:spacing w:val="-5"/>
        </w:rPr>
        <w:t> </w:t>
      </w:r>
      <w:r>
        <w:rPr/>
        <w:t>principles</w:t>
      </w:r>
      <w:r>
        <w:rPr>
          <w:spacing w:val="-5"/>
        </w:rPr>
        <w:t> </w:t>
      </w:r>
      <w:r>
        <w:rPr/>
        <w:t>of</w:t>
      </w:r>
      <w:r>
        <w:rPr>
          <w:spacing w:val="-5"/>
        </w:rPr>
        <w:t> </w:t>
      </w:r>
      <w:r>
        <w:rPr/>
        <w:t>law</w:t>
      </w:r>
      <w:r>
        <w:rPr>
          <w:spacing w:val="-4"/>
        </w:rPr>
        <w:t> </w:t>
      </w:r>
      <w:r>
        <w:rPr/>
        <w:t>when</w:t>
      </w:r>
      <w:r>
        <w:rPr>
          <w:spacing w:val="-5"/>
        </w:rPr>
        <w:t> </w:t>
      </w:r>
      <w:r>
        <w:rPr/>
        <w:t>Article</w:t>
      </w:r>
      <w:r>
        <w:rPr>
          <w:spacing w:val="-4"/>
        </w:rPr>
        <w:t> </w:t>
      </w:r>
      <w:r>
        <w:rPr/>
        <w:t>2</w:t>
      </w:r>
      <w:r>
        <w:rPr>
          <w:spacing w:val="-4"/>
        </w:rPr>
        <w:t> </w:t>
      </w:r>
      <w:r>
        <w:rPr/>
        <w:t>WF is in play. The Court also accepts that the CRPD provides an underpinning for the protection of the right not to be discriminated against on grounds of disability, at least within the areas where the EU has competence.</w:t>
      </w:r>
      <w:r>
        <w:rPr>
          <w:vertAlign w:val="superscript"/>
        </w:rPr>
        <w:t>555</w:t>
      </w:r>
    </w:p>
    <w:p>
      <w:pPr>
        <w:pStyle w:val="BodyText"/>
        <w:spacing w:line="232" w:lineRule="auto" w:before="273"/>
        <w:ind w:left="720" w:right="1087"/>
      </w:pPr>
      <w:r>
        <w:rPr/>
        <w:t>The</w:t>
      </w:r>
      <w:r>
        <w:rPr>
          <w:spacing w:val="-3"/>
        </w:rPr>
        <w:t> </w:t>
      </w:r>
      <w:r>
        <w:rPr/>
        <w:t>applicant</w:t>
      </w:r>
      <w:r>
        <w:rPr>
          <w:spacing w:val="-3"/>
        </w:rPr>
        <w:t> </w:t>
      </w:r>
      <w:r>
        <w:rPr/>
        <w:t>appealed</w:t>
      </w:r>
      <w:r>
        <w:rPr>
          <w:spacing w:val="-4"/>
        </w:rPr>
        <w:t> </w:t>
      </w:r>
      <w:r>
        <w:rPr/>
        <w:t>to</w:t>
      </w:r>
      <w:r>
        <w:rPr>
          <w:spacing w:val="-4"/>
        </w:rPr>
        <w:t> </w:t>
      </w:r>
      <w:r>
        <w:rPr/>
        <w:t>the</w:t>
      </w:r>
      <w:r>
        <w:rPr>
          <w:spacing w:val="-3"/>
        </w:rPr>
        <w:t> </w:t>
      </w:r>
      <w:r>
        <w:rPr/>
        <w:t>Court</w:t>
      </w:r>
      <w:r>
        <w:rPr>
          <w:spacing w:val="-3"/>
        </w:rPr>
        <w:t> </w:t>
      </w:r>
      <w:r>
        <w:rPr/>
        <w:t>of</w:t>
      </w:r>
      <w:r>
        <w:rPr>
          <w:spacing w:val="-4"/>
        </w:rPr>
        <w:t> </w:t>
      </w:r>
      <w:r>
        <w:rPr/>
        <w:t>Appeal.</w:t>
      </w:r>
      <w:r>
        <w:rPr>
          <w:spacing w:val="-4"/>
        </w:rPr>
        <w:t> </w:t>
      </w:r>
      <w:r>
        <w:rPr/>
        <w:t>The</w:t>
      </w:r>
      <w:r>
        <w:rPr>
          <w:spacing w:val="-3"/>
        </w:rPr>
        <w:t> </w:t>
      </w:r>
      <w:r>
        <w:rPr/>
        <w:t>Court</w:t>
      </w:r>
      <w:r>
        <w:rPr>
          <w:spacing w:val="-3"/>
        </w:rPr>
        <w:t> </w:t>
      </w:r>
      <w:r>
        <w:rPr/>
        <w:t>of</w:t>
      </w:r>
      <w:r>
        <w:rPr>
          <w:spacing w:val="-4"/>
        </w:rPr>
        <w:t> </w:t>
      </w:r>
      <w:r>
        <w:rPr/>
        <w:t>Appeal</w:t>
      </w:r>
      <w:r>
        <w:rPr>
          <w:spacing w:val="-4"/>
        </w:rPr>
        <w:t> </w:t>
      </w:r>
      <w:r>
        <w:rPr/>
        <w:t>set</w:t>
      </w:r>
      <w:r>
        <w:rPr>
          <w:spacing w:val="-3"/>
        </w:rPr>
        <w:t> </w:t>
      </w:r>
      <w:r>
        <w:rPr/>
        <w:t>out</w:t>
      </w:r>
      <w:r>
        <w:rPr>
          <w:spacing w:val="-3"/>
        </w:rPr>
        <w:t> </w:t>
      </w:r>
      <w:r>
        <w:rPr/>
        <w:t>a</w:t>
      </w:r>
      <w:r>
        <w:rPr>
          <w:spacing w:val="-4"/>
        </w:rPr>
        <w:t> </w:t>
      </w:r>
      <w:r>
        <w:rPr/>
        <w:t>six- part test for the application of Article 2 WF:</w:t>
      </w:r>
    </w:p>
    <w:p>
      <w:pPr>
        <w:pStyle w:val="ListParagraph"/>
        <w:numPr>
          <w:ilvl w:val="0"/>
          <w:numId w:val="46"/>
        </w:numPr>
        <w:tabs>
          <w:tab w:pos="1174" w:val="left" w:leader="none"/>
        </w:tabs>
        <w:spacing w:line="232" w:lineRule="auto" w:before="280" w:after="0"/>
        <w:ind w:left="1174" w:right="1378" w:hanging="454"/>
        <w:jc w:val="left"/>
        <w:rPr>
          <w:sz w:val="28"/>
        </w:rPr>
      </w:pPr>
      <w:r>
        <w:rPr>
          <w:sz w:val="28"/>
        </w:rPr>
        <w:t>A</w:t>
      </w:r>
      <w:r>
        <w:rPr>
          <w:spacing w:val="-5"/>
          <w:sz w:val="28"/>
        </w:rPr>
        <w:t> </w:t>
      </w:r>
      <w:r>
        <w:rPr>
          <w:sz w:val="28"/>
        </w:rPr>
        <w:t>right</w:t>
      </w:r>
      <w:r>
        <w:rPr>
          <w:spacing w:val="-5"/>
          <w:sz w:val="28"/>
        </w:rPr>
        <w:t> </w:t>
      </w:r>
      <w:r>
        <w:rPr>
          <w:sz w:val="28"/>
        </w:rPr>
        <w:t>(or</w:t>
      </w:r>
      <w:r>
        <w:rPr>
          <w:spacing w:val="-5"/>
          <w:sz w:val="28"/>
        </w:rPr>
        <w:t> </w:t>
      </w:r>
      <w:r>
        <w:rPr>
          <w:sz w:val="28"/>
        </w:rPr>
        <w:t>equality</w:t>
      </w:r>
      <w:r>
        <w:rPr>
          <w:spacing w:val="-5"/>
          <w:sz w:val="28"/>
        </w:rPr>
        <w:t> </w:t>
      </w:r>
      <w:r>
        <w:rPr>
          <w:sz w:val="28"/>
        </w:rPr>
        <w:t>of</w:t>
      </w:r>
      <w:r>
        <w:rPr>
          <w:spacing w:val="-6"/>
          <w:sz w:val="28"/>
        </w:rPr>
        <w:t> </w:t>
      </w:r>
      <w:r>
        <w:rPr>
          <w:sz w:val="28"/>
        </w:rPr>
        <w:t>opportunity</w:t>
      </w:r>
      <w:r>
        <w:rPr>
          <w:spacing w:val="-5"/>
          <w:sz w:val="28"/>
        </w:rPr>
        <w:t> </w:t>
      </w:r>
      <w:r>
        <w:rPr>
          <w:sz w:val="28"/>
        </w:rPr>
        <w:t>protection)</w:t>
      </w:r>
      <w:r>
        <w:rPr>
          <w:spacing w:val="-6"/>
          <w:sz w:val="28"/>
        </w:rPr>
        <w:t> </w:t>
      </w:r>
      <w:r>
        <w:rPr>
          <w:sz w:val="28"/>
        </w:rPr>
        <w:t>included</w:t>
      </w:r>
      <w:r>
        <w:rPr>
          <w:spacing w:val="-6"/>
          <w:sz w:val="28"/>
        </w:rPr>
        <w:t> </w:t>
      </w:r>
      <w:r>
        <w:rPr>
          <w:sz w:val="28"/>
        </w:rPr>
        <w:t>in</w:t>
      </w:r>
      <w:r>
        <w:rPr>
          <w:spacing w:val="-6"/>
          <w:sz w:val="28"/>
        </w:rPr>
        <w:t> </w:t>
      </w:r>
      <w:r>
        <w:rPr>
          <w:sz w:val="28"/>
        </w:rPr>
        <w:t>the</w:t>
      </w:r>
      <w:r>
        <w:rPr>
          <w:spacing w:val="-5"/>
          <w:sz w:val="28"/>
        </w:rPr>
        <w:t> </w:t>
      </w:r>
      <w:r>
        <w:rPr>
          <w:sz w:val="28"/>
        </w:rPr>
        <w:t>relevant</w:t>
      </w:r>
      <w:r>
        <w:rPr>
          <w:spacing w:val="-5"/>
          <w:sz w:val="28"/>
        </w:rPr>
        <w:t> </w:t>
      </w:r>
      <w:r>
        <w:rPr>
          <w:sz w:val="28"/>
        </w:rPr>
        <w:t>part</w:t>
      </w:r>
      <w:r>
        <w:rPr>
          <w:spacing w:val="-5"/>
          <w:sz w:val="28"/>
        </w:rPr>
        <w:t> </w:t>
      </w:r>
      <w:r>
        <w:rPr>
          <w:sz w:val="28"/>
        </w:rPr>
        <w:t>of the Belfast/Good Friday 1998 Agreement is engaged.</w:t>
      </w:r>
    </w:p>
    <w:p>
      <w:pPr>
        <w:pStyle w:val="ListParagraph"/>
        <w:numPr>
          <w:ilvl w:val="0"/>
          <w:numId w:val="46"/>
        </w:numPr>
        <w:tabs>
          <w:tab w:pos="1169" w:val="left" w:leader="none"/>
          <w:tab w:pos="1174" w:val="left" w:leader="none"/>
        </w:tabs>
        <w:spacing w:line="232" w:lineRule="auto" w:before="0" w:after="0"/>
        <w:ind w:left="1174" w:right="1852" w:hanging="454"/>
        <w:jc w:val="left"/>
        <w:rPr>
          <w:sz w:val="28"/>
        </w:rPr>
      </w:pPr>
      <w:r>
        <w:rPr>
          <w:sz w:val="28"/>
        </w:rPr>
        <w:t>That</w:t>
      </w:r>
      <w:r>
        <w:rPr>
          <w:spacing w:val="-4"/>
          <w:sz w:val="28"/>
        </w:rPr>
        <w:t> </w:t>
      </w:r>
      <w:r>
        <w:rPr>
          <w:sz w:val="28"/>
        </w:rPr>
        <w:t>right</w:t>
      </w:r>
      <w:r>
        <w:rPr>
          <w:spacing w:val="-4"/>
          <w:sz w:val="28"/>
        </w:rPr>
        <w:t> </w:t>
      </w:r>
      <w:r>
        <w:rPr>
          <w:sz w:val="28"/>
        </w:rPr>
        <w:t>was</w:t>
      </w:r>
      <w:r>
        <w:rPr>
          <w:spacing w:val="-5"/>
          <w:sz w:val="28"/>
        </w:rPr>
        <w:t> </w:t>
      </w:r>
      <w:r>
        <w:rPr>
          <w:sz w:val="28"/>
        </w:rPr>
        <w:t>given</w:t>
      </w:r>
      <w:r>
        <w:rPr>
          <w:spacing w:val="-5"/>
          <w:sz w:val="28"/>
        </w:rPr>
        <w:t> </w:t>
      </w:r>
      <w:r>
        <w:rPr>
          <w:sz w:val="28"/>
        </w:rPr>
        <w:t>effect</w:t>
      </w:r>
      <w:r>
        <w:rPr>
          <w:spacing w:val="-4"/>
          <w:sz w:val="28"/>
        </w:rPr>
        <w:t> </w:t>
      </w:r>
      <w:r>
        <w:rPr>
          <w:sz w:val="28"/>
        </w:rPr>
        <w:t>(in</w:t>
      </w:r>
      <w:r>
        <w:rPr>
          <w:spacing w:val="-5"/>
          <w:sz w:val="28"/>
        </w:rPr>
        <w:t> </w:t>
      </w:r>
      <w:r>
        <w:rPr>
          <w:sz w:val="28"/>
        </w:rPr>
        <w:t>whole</w:t>
      </w:r>
      <w:r>
        <w:rPr>
          <w:spacing w:val="-4"/>
          <w:sz w:val="28"/>
        </w:rPr>
        <w:t> </w:t>
      </w:r>
      <w:r>
        <w:rPr>
          <w:sz w:val="28"/>
        </w:rPr>
        <w:t>or</w:t>
      </w:r>
      <w:r>
        <w:rPr>
          <w:spacing w:val="-4"/>
          <w:sz w:val="28"/>
        </w:rPr>
        <w:t> </w:t>
      </w:r>
      <w:r>
        <w:rPr>
          <w:sz w:val="28"/>
        </w:rPr>
        <w:t>in</w:t>
      </w:r>
      <w:r>
        <w:rPr>
          <w:spacing w:val="-4"/>
          <w:sz w:val="28"/>
        </w:rPr>
        <w:t> </w:t>
      </w:r>
      <w:r>
        <w:rPr>
          <w:sz w:val="28"/>
        </w:rPr>
        <w:t>part)</w:t>
      </w:r>
      <w:r>
        <w:rPr>
          <w:spacing w:val="-5"/>
          <w:sz w:val="28"/>
        </w:rPr>
        <w:t> </w:t>
      </w:r>
      <w:r>
        <w:rPr>
          <w:sz w:val="28"/>
        </w:rPr>
        <w:t>in</w:t>
      </w:r>
      <w:r>
        <w:rPr>
          <w:spacing w:val="-5"/>
          <w:sz w:val="28"/>
        </w:rPr>
        <w:t> </w:t>
      </w:r>
      <w:r>
        <w:rPr>
          <w:sz w:val="28"/>
        </w:rPr>
        <w:t>Northern</w:t>
      </w:r>
      <w:r>
        <w:rPr>
          <w:spacing w:val="-5"/>
          <w:sz w:val="28"/>
        </w:rPr>
        <w:t> </w:t>
      </w:r>
      <w:r>
        <w:rPr>
          <w:sz w:val="28"/>
        </w:rPr>
        <w:t>Ireland,</w:t>
      </w:r>
      <w:r>
        <w:rPr>
          <w:spacing w:val="-4"/>
          <w:sz w:val="28"/>
        </w:rPr>
        <w:t> </w:t>
      </w:r>
      <w:r>
        <w:rPr>
          <w:sz w:val="28"/>
        </w:rPr>
        <w:t>on</w:t>
      </w:r>
      <w:r>
        <w:rPr>
          <w:spacing w:val="-5"/>
          <w:sz w:val="28"/>
        </w:rPr>
        <w:t> </w:t>
      </w:r>
      <w:r>
        <w:rPr>
          <w:sz w:val="28"/>
        </w:rPr>
        <w:t>or before 31 December 2020.</w:t>
      </w:r>
    </w:p>
    <w:p>
      <w:pPr>
        <w:pStyle w:val="ListParagraph"/>
        <w:numPr>
          <w:ilvl w:val="0"/>
          <w:numId w:val="46"/>
        </w:numPr>
        <w:tabs>
          <w:tab w:pos="1168" w:val="left" w:leader="none"/>
        </w:tabs>
        <w:spacing w:line="325" w:lineRule="exact" w:before="0" w:after="0"/>
        <w:ind w:left="1168" w:right="0" w:hanging="448"/>
        <w:jc w:val="left"/>
        <w:rPr>
          <w:sz w:val="28"/>
        </w:rPr>
      </w:pPr>
      <w:r>
        <w:rPr>
          <w:sz w:val="28"/>
        </w:rPr>
        <w:t>That</w:t>
      </w:r>
      <w:r>
        <w:rPr>
          <w:spacing w:val="-5"/>
          <w:sz w:val="28"/>
        </w:rPr>
        <w:t> </w:t>
      </w:r>
      <w:r>
        <w:rPr>
          <w:sz w:val="28"/>
        </w:rPr>
        <w:t>Northern</w:t>
      </w:r>
      <w:r>
        <w:rPr>
          <w:spacing w:val="-5"/>
          <w:sz w:val="28"/>
        </w:rPr>
        <w:t> </w:t>
      </w:r>
      <w:r>
        <w:rPr>
          <w:sz w:val="28"/>
        </w:rPr>
        <w:t>Ireland</w:t>
      </w:r>
      <w:r>
        <w:rPr>
          <w:spacing w:val="-6"/>
          <w:sz w:val="28"/>
        </w:rPr>
        <w:t> </w:t>
      </w:r>
      <w:r>
        <w:rPr>
          <w:sz w:val="28"/>
        </w:rPr>
        <w:t>law</w:t>
      </w:r>
      <w:r>
        <w:rPr>
          <w:spacing w:val="-4"/>
          <w:sz w:val="28"/>
        </w:rPr>
        <w:t> </w:t>
      </w:r>
      <w:r>
        <w:rPr>
          <w:sz w:val="28"/>
        </w:rPr>
        <w:t>was</w:t>
      </w:r>
      <w:r>
        <w:rPr>
          <w:spacing w:val="-6"/>
          <w:sz w:val="28"/>
        </w:rPr>
        <w:t> </w:t>
      </w:r>
      <w:r>
        <w:rPr>
          <w:sz w:val="28"/>
        </w:rPr>
        <w:t>underpinned</w:t>
      </w:r>
      <w:r>
        <w:rPr>
          <w:spacing w:val="-5"/>
          <w:sz w:val="28"/>
        </w:rPr>
        <w:t> </w:t>
      </w:r>
      <w:r>
        <w:rPr>
          <w:sz w:val="28"/>
        </w:rPr>
        <w:t>by</w:t>
      </w:r>
      <w:r>
        <w:rPr>
          <w:spacing w:val="-5"/>
          <w:sz w:val="28"/>
        </w:rPr>
        <w:t> </w:t>
      </w:r>
      <w:r>
        <w:rPr>
          <w:sz w:val="28"/>
        </w:rPr>
        <w:t>EU</w:t>
      </w:r>
      <w:r>
        <w:rPr>
          <w:spacing w:val="-4"/>
          <w:sz w:val="28"/>
        </w:rPr>
        <w:t> law.</w:t>
      </w:r>
    </w:p>
    <w:p>
      <w:pPr>
        <w:pStyle w:val="ListParagraph"/>
        <w:numPr>
          <w:ilvl w:val="0"/>
          <w:numId w:val="46"/>
        </w:numPr>
        <w:tabs>
          <w:tab w:pos="1169" w:val="left" w:leader="none"/>
          <w:tab w:pos="1174" w:val="left" w:leader="none"/>
        </w:tabs>
        <w:spacing w:line="232" w:lineRule="auto" w:before="0" w:after="0"/>
        <w:ind w:left="1174" w:right="1140" w:hanging="454"/>
        <w:jc w:val="left"/>
        <w:rPr>
          <w:sz w:val="28"/>
        </w:rPr>
      </w:pPr>
      <w:r>
        <w:rPr>
          <w:sz w:val="28"/>
        </w:rPr>
        <w:t>That</w:t>
      </w:r>
      <w:r>
        <w:rPr>
          <w:spacing w:val="-5"/>
          <w:sz w:val="28"/>
        </w:rPr>
        <w:t> </w:t>
      </w:r>
      <w:r>
        <w:rPr>
          <w:sz w:val="28"/>
        </w:rPr>
        <w:t>underpinning</w:t>
      </w:r>
      <w:r>
        <w:rPr>
          <w:spacing w:val="-5"/>
          <w:sz w:val="28"/>
        </w:rPr>
        <w:t> </w:t>
      </w:r>
      <w:r>
        <w:rPr>
          <w:sz w:val="28"/>
        </w:rPr>
        <w:t>has</w:t>
      </w:r>
      <w:r>
        <w:rPr>
          <w:spacing w:val="-6"/>
          <w:sz w:val="28"/>
        </w:rPr>
        <w:t> </w:t>
      </w:r>
      <w:r>
        <w:rPr>
          <w:sz w:val="28"/>
        </w:rPr>
        <w:t>been</w:t>
      </w:r>
      <w:r>
        <w:rPr>
          <w:spacing w:val="-6"/>
          <w:sz w:val="28"/>
        </w:rPr>
        <w:t> </w:t>
      </w:r>
      <w:r>
        <w:rPr>
          <w:sz w:val="28"/>
        </w:rPr>
        <w:t>removed,</w:t>
      </w:r>
      <w:r>
        <w:rPr>
          <w:spacing w:val="-5"/>
          <w:sz w:val="28"/>
        </w:rPr>
        <w:t> </w:t>
      </w:r>
      <w:r>
        <w:rPr>
          <w:sz w:val="28"/>
        </w:rPr>
        <w:t>in</w:t>
      </w:r>
      <w:r>
        <w:rPr>
          <w:spacing w:val="-6"/>
          <w:sz w:val="28"/>
        </w:rPr>
        <w:t> </w:t>
      </w:r>
      <w:r>
        <w:rPr>
          <w:sz w:val="28"/>
        </w:rPr>
        <w:t>whole</w:t>
      </w:r>
      <w:r>
        <w:rPr>
          <w:spacing w:val="-5"/>
          <w:sz w:val="28"/>
        </w:rPr>
        <w:t> </w:t>
      </w:r>
      <w:r>
        <w:rPr>
          <w:sz w:val="28"/>
        </w:rPr>
        <w:t>or</w:t>
      </w:r>
      <w:r>
        <w:rPr>
          <w:spacing w:val="-5"/>
          <w:sz w:val="28"/>
        </w:rPr>
        <w:t> </w:t>
      </w:r>
      <w:r>
        <w:rPr>
          <w:sz w:val="28"/>
        </w:rPr>
        <w:t>in</w:t>
      </w:r>
      <w:r>
        <w:rPr>
          <w:spacing w:val="-6"/>
          <w:sz w:val="28"/>
        </w:rPr>
        <w:t> </w:t>
      </w:r>
      <w:r>
        <w:rPr>
          <w:sz w:val="28"/>
        </w:rPr>
        <w:t>part,</w:t>
      </w:r>
      <w:r>
        <w:rPr>
          <w:spacing w:val="-5"/>
          <w:sz w:val="28"/>
        </w:rPr>
        <w:t> </w:t>
      </w:r>
      <w:r>
        <w:rPr>
          <w:sz w:val="28"/>
        </w:rPr>
        <w:t>following</w:t>
      </w:r>
      <w:r>
        <w:rPr>
          <w:spacing w:val="-5"/>
          <w:sz w:val="28"/>
        </w:rPr>
        <w:t> </w:t>
      </w:r>
      <w:r>
        <w:rPr>
          <w:sz w:val="28"/>
        </w:rPr>
        <w:t>withdrawal from the EU.</w:t>
      </w:r>
    </w:p>
    <w:p>
      <w:pPr>
        <w:pStyle w:val="ListParagraph"/>
        <w:numPr>
          <w:ilvl w:val="0"/>
          <w:numId w:val="46"/>
        </w:numPr>
        <w:tabs>
          <w:tab w:pos="1170" w:val="left" w:leader="none"/>
        </w:tabs>
        <w:spacing w:line="325" w:lineRule="exact" w:before="0" w:after="0"/>
        <w:ind w:left="1170" w:right="0" w:hanging="450"/>
        <w:jc w:val="left"/>
        <w:rPr>
          <w:sz w:val="28"/>
        </w:rPr>
      </w:pPr>
      <w:r>
        <w:rPr>
          <w:sz w:val="28"/>
        </w:rPr>
        <w:t>This</w:t>
      </w:r>
      <w:r>
        <w:rPr>
          <w:spacing w:val="-7"/>
          <w:sz w:val="28"/>
        </w:rPr>
        <w:t> </w:t>
      </w:r>
      <w:r>
        <w:rPr>
          <w:sz w:val="28"/>
        </w:rPr>
        <w:t>has</w:t>
      </w:r>
      <w:r>
        <w:rPr>
          <w:spacing w:val="-5"/>
          <w:sz w:val="28"/>
        </w:rPr>
        <w:t> </w:t>
      </w:r>
      <w:r>
        <w:rPr>
          <w:sz w:val="28"/>
        </w:rPr>
        <w:t>resulted</w:t>
      </w:r>
      <w:r>
        <w:rPr>
          <w:spacing w:val="-6"/>
          <w:sz w:val="28"/>
        </w:rPr>
        <w:t> </w:t>
      </w:r>
      <w:r>
        <w:rPr>
          <w:sz w:val="28"/>
        </w:rPr>
        <w:t>in</w:t>
      </w:r>
      <w:r>
        <w:rPr>
          <w:spacing w:val="-5"/>
          <w:sz w:val="28"/>
        </w:rPr>
        <w:t> </w:t>
      </w:r>
      <w:r>
        <w:rPr>
          <w:sz w:val="28"/>
        </w:rPr>
        <w:t>a</w:t>
      </w:r>
      <w:r>
        <w:rPr>
          <w:spacing w:val="-6"/>
          <w:sz w:val="28"/>
        </w:rPr>
        <w:t> </w:t>
      </w:r>
      <w:r>
        <w:rPr>
          <w:sz w:val="28"/>
        </w:rPr>
        <w:t>diminution</w:t>
      </w:r>
      <w:r>
        <w:rPr>
          <w:spacing w:val="-6"/>
          <w:sz w:val="28"/>
        </w:rPr>
        <w:t> </w:t>
      </w:r>
      <w:r>
        <w:rPr>
          <w:sz w:val="28"/>
        </w:rPr>
        <w:t>in</w:t>
      </w:r>
      <w:r>
        <w:rPr>
          <w:spacing w:val="-6"/>
          <w:sz w:val="28"/>
        </w:rPr>
        <w:t> </w:t>
      </w:r>
      <w:r>
        <w:rPr>
          <w:sz w:val="28"/>
        </w:rPr>
        <w:t>enjoyment</w:t>
      </w:r>
      <w:r>
        <w:rPr>
          <w:spacing w:val="-5"/>
          <w:sz w:val="28"/>
        </w:rPr>
        <w:t> </w:t>
      </w:r>
      <w:r>
        <w:rPr>
          <w:sz w:val="28"/>
        </w:rPr>
        <w:t>of</w:t>
      </w:r>
      <w:r>
        <w:rPr>
          <w:spacing w:val="-6"/>
          <w:sz w:val="28"/>
        </w:rPr>
        <w:t> </w:t>
      </w:r>
      <w:r>
        <w:rPr>
          <w:sz w:val="28"/>
        </w:rPr>
        <w:t>this</w:t>
      </w:r>
      <w:r>
        <w:rPr>
          <w:spacing w:val="-6"/>
          <w:sz w:val="28"/>
        </w:rPr>
        <w:t> </w:t>
      </w:r>
      <w:r>
        <w:rPr>
          <w:sz w:val="28"/>
        </w:rPr>
        <w:t>right;</w:t>
      </w:r>
      <w:r>
        <w:rPr>
          <w:spacing w:val="-5"/>
          <w:sz w:val="28"/>
        </w:rPr>
        <w:t> and</w:t>
      </w:r>
    </w:p>
    <w:p>
      <w:pPr>
        <w:pStyle w:val="ListParagraph"/>
        <w:numPr>
          <w:ilvl w:val="0"/>
          <w:numId w:val="46"/>
        </w:numPr>
        <w:tabs>
          <w:tab w:pos="1169" w:val="left" w:leader="none"/>
        </w:tabs>
        <w:spacing w:line="336" w:lineRule="exact" w:before="0" w:after="0"/>
        <w:ind w:left="1169" w:right="0" w:hanging="449"/>
        <w:jc w:val="left"/>
        <w:rPr>
          <w:sz w:val="28"/>
        </w:rPr>
      </w:pPr>
      <w:r>
        <w:rPr>
          <w:sz w:val="28"/>
        </w:rPr>
        <w:t>This</w:t>
      </w:r>
      <w:r>
        <w:rPr>
          <w:spacing w:val="-5"/>
          <w:sz w:val="28"/>
        </w:rPr>
        <w:t> </w:t>
      </w:r>
      <w:r>
        <w:rPr>
          <w:sz w:val="28"/>
        </w:rPr>
        <w:t>diminution</w:t>
      </w:r>
      <w:r>
        <w:rPr>
          <w:spacing w:val="-5"/>
          <w:sz w:val="28"/>
        </w:rPr>
        <w:t> </w:t>
      </w:r>
      <w:r>
        <w:rPr>
          <w:sz w:val="28"/>
        </w:rPr>
        <w:t>would</w:t>
      </w:r>
      <w:r>
        <w:rPr>
          <w:spacing w:val="-5"/>
          <w:sz w:val="28"/>
        </w:rPr>
        <w:t> </w:t>
      </w:r>
      <w:r>
        <w:rPr>
          <w:sz w:val="28"/>
        </w:rPr>
        <w:t>not</w:t>
      </w:r>
      <w:r>
        <w:rPr>
          <w:spacing w:val="-4"/>
          <w:sz w:val="28"/>
        </w:rPr>
        <w:t> </w:t>
      </w:r>
      <w:r>
        <w:rPr>
          <w:sz w:val="28"/>
        </w:rPr>
        <w:t>have</w:t>
      </w:r>
      <w:r>
        <w:rPr>
          <w:spacing w:val="-4"/>
          <w:sz w:val="28"/>
        </w:rPr>
        <w:t> </w:t>
      </w:r>
      <w:r>
        <w:rPr>
          <w:sz w:val="28"/>
        </w:rPr>
        <w:t>occurred</w:t>
      </w:r>
      <w:r>
        <w:rPr>
          <w:spacing w:val="-5"/>
          <w:sz w:val="28"/>
        </w:rPr>
        <w:t> </w:t>
      </w:r>
      <w:r>
        <w:rPr>
          <w:sz w:val="28"/>
        </w:rPr>
        <w:t>had</w:t>
      </w:r>
      <w:r>
        <w:rPr>
          <w:spacing w:val="-5"/>
          <w:sz w:val="28"/>
        </w:rPr>
        <w:t> </w:t>
      </w:r>
      <w:r>
        <w:rPr>
          <w:sz w:val="28"/>
        </w:rPr>
        <w:t>the</w:t>
      </w:r>
      <w:r>
        <w:rPr>
          <w:spacing w:val="-4"/>
          <w:sz w:val="28"/>
        </w:rPr>
        <w:t> </w:t>
      </w:r>
      <w:r>
        <w:rPr>
          <w:sz w:val="28"/>
        </w:rPr>
        <w:t>UK</w:t>
      </w:r>
      <w:r>
        <w:rPr>
          <w:spacing w:val="-4"/>
          <w:sz w:val="28"/>
        </w:rPr>
        <w:t> </w:t>
      </w:r>
      <w:r>
        <w:rPr>
          <w:sz w:val="28"/>
        </w:rPr>
        <w:t>remained</w:t>
      </w:r>
      <w:r>
        <w:rPr>
          <w:spacing w:val="-5"/>
          <w:sz w:val="28"/>
        </w:rPr>
        <w:t> </w:t>
      </w:r>
      <w:r>
        <w:rPr>
          <w:sz w:val="28"/>
        </w:rPr>
        <w:t>in</w:t>
      </w:r>
      <w:r>
        <w:rPr>
          <w:spacing w:val="-5"/>
          <w:sz w:val="28"/>
        </w:rPr>
        <w:t> </w:t>
      </w:r>
      <w:r>
        <w:rPr>
          <w:sz w:val="28"/>
        </w:rPr>
        <w:t>the</w:t>
      </w:r>
      <w:r>
        <w:rPr>
          <w:spacing w:val="-4"/>
          <w:sz w:val="28"/>
        </w:rPr>
        <w:t> </w:t>
      </w:r>
      <w:r>
        <w:rPr>
          <w:spacing w:val="-2"/>
          <w:sz w:val="28"/>
        </w:rPr>
        <w:t>EU.</w:t>
      </w:r>
      <w:r>
        <w:rPr>
          <w:spacing w:val="-2"/>
          <w:sz w:val="28"/>
          <w:vertAlign w:val="superscript"/>
        </w:rPr>
        <w:t>556</w:t>
      </w:r>
    </w:p>
    <w:p>
      <w:pPr>
        <w:pStyle w:val="BodyText"/>
        <w:spacing w:line="232" w:lineRule="auto" w:before="279"/>
        <w:ind w:left="720" w:right="1087"/>
      </w:pPr>
      <w:r>
        <w:rPr/>
        <w:t>The</w:t>
      </w:r>
      <w:r>
        <w:rPr>
          <w:spacing w:val="-7"/>
        </w:rPr>
        <w:t> </w:t>
      </w:r>
      <w:r>
        <w:rPr/>
        <w:t>Court</w:t>
      </w:r>
      <w:r>
        <w:rPr>
          <w:spacing w:val="-7"/>
        </w:rPr>
        <w:t> </w:t>
      </w:r>
      <w:r>
        <w:rPr/>
        <w:t>of</w:t>
      </w:r>
      <w:r>
        <w:rPr>
          <w:spacing w:val="-8"/>
        </w:rPr>
        <w:t> </w:t>
      </w:r>
      <w:r>
        <w:rPr/>
        <w:t>Appeal</w:t>
      </w:r>
      <w:r>
        <w:rPr>
          <w:spacing w:val="-8"/>
        </w:rPr>
        <w:t> </w:t>
      </w:r>
      <w:r>
        <w:rPr/>
        <w:t>was</w:t>
      </w:r>
      <w:r>
        <w:rPr>
          <w:spacing w:val="-8"/>
        </w:rPr>
        <w:t> </w:t>
      </w:r>
      <w:r>
        <w:rPr/>
        <w:t>unimpressed</w:t>
      </w:r>
      <w:r>
        <w:rPr>
          <w:spacing w:val="-8"/>
        </w:rPr>
        <w:t> </w:t>
      </w:r>
      <w:r>
        <w:rPr/>
        <w:t>with</w:t>
      </w:r>
      <w:r>
        <w:rPr>
          <w:spacing w:val="-8"/>
        </w:rPr>
        <w:t> </w:t>
      </w:r>
      <w:r>
        <w:rPr/>
        <w:t>the</w:t>
      </w:r>
      <w:r>
        <w:rPr>
          <w:spacing w:val="-7"/>
        </w:rPr>
        <w:t> </w:t>
      </w:r>
      <w:r>
        <w:rPr/>
        <w:t>appellant’s</w:t>
      </w:r>
      <w:r>
        <w:rPr>
          <w:spacing w:val="-8"/>
        </w:rPr>
        <w:t> </w:t>
      </w:r>
      <w:r>
        <w:rPr/>
        <w:t>arguments.</w:t>
      </w:r>
      <w:r>
        <w:rPr>
          <w:vertAlign w:val="superscript"/>
        </w:rPr>
        <w:t>557</w:t>
      </w:r>
      <w:r>
        <w:rPr>
          <w:spacing w:val="-8"/>
          <w:vertAlign w:val="baseline"/>
        </w:rPr>
        <w:t> </w:t>
      </w:r>
      <w:r>
        <w:rPr>
          <w:vertAlign w:val="baseline"/>
        </w:rPr>
        <w:t>The</w:t>
      </w:r>
      <w:r>
        <w:rPr>
          <w:spacing w:val="-7"/>
          <w:vertAlign w:val="baseline"/>
        </w:rPr>
        <w:t> </w:t>
      </w:r>
      <w:r>
        <w:rPr>
          <w:vertAlign w:val="baseline"/>
        </w:rPr>
        <w:t>Court of Appeal agreed with the High Court that the regulation of abortion did not fall within EU competence and so the appellant’s arguments failed.</w:t>
      </w:r>
      <w:r>
        <w:rPr>
          <w:vertAlign w:val="superscript"/>
        </w:rPr>
        <w:t>558</w:t>
      </w:r>
    </w:p>
    <w:p>
      <w:pPr>
        <w:pStyle w:val="BodyText"/>
        <w:spacing w:line="232" w:lineRule="auto" w:before="279"/>
        <w:ind w:left="720" w:right="1250"/>
      </w:pPr>
      <w:r>
        <w:rPr/>
        <w:t>The Court of Appeal recognised the role of the ECNI and NIHRC as the ‘two statutory bodies established to monitor and enforce Article 2’; the Court drew ‘particular</w:t>
      </w:r>
      <w:r>
        <w:rPr>
          <w:spacing w:val="-5"/>
        </w:rPr>
        <w:t> </w:t>
      </w:r>
      <w:r>
        <w:rPr/>
        <w:t>assistance’</w:t>
      </w:r>
      <w:r>
        <w:rPr>
          <w:spacing w:val="-5"/>
        </w:rPr>
        <w:t> </w:t>
      </w:r>
      <w:r>
        <w:rPr/>
        <w:t>from</w:t>
      </w:r>
      <w:r>
        <w:rPr>
          <w:spacing w:val="-5"/>
        </w:rPr>
        <w:t> </w:t>
      </w:r>
      <w:r>
        <w:rPr/>
        <w:t>their</w:t>
      </w:r>
      <w:r>
        <w:rPr>
          <w:spacing w:val="-5"/>
        </w:rPr>
        <w:t> </w:t>
      </w:r>
      <w:r>
        <w:rPr/>
        <w:t>submissions</w:t>
      </w:r>
      <w:r>
        <w:rPr>
          <w:spacing w:val="-6"/>
        </w:rPr>
        <w:t> </w:t>
      </w:r>
      <w:r>
        <w:rPr/>
        <w:t>and</w:t>
      </w:r>
      <w:r>
        <w:rPr>
          <w:spacing w:val="-6"/>
        </w:rPr>
        <w:t> </w:t>
      </w:r>
      <w:r>
        <w:rPr/>
        <w:t>from</w:t>
      </w:r>
      <w:r>
        <w:rPr>
          <w:spacing w:val="-5"/>
        </w:rPr>
        <w:t> </w:t>
      </w:r>
      <w:r>
        <w:rPr/>
        <w:t>their</w:t>
      </w:r>
      <w:r>
        <w:rPr>
          <w:spacing w:val="-5"/>
        </w:rPr>
        <w:t> </w:t>
      </w:r>
      <w:r>
        <w:rPr/>
        <w:t>working</w:t>
      </w:r>
      <w:r>
        <w:rPr>
          <w:spacing w:val="-5"/>
        </w:rPr>
        <w:t> </w:t>
      </w:r>
      <w:r>
        <w:rPr/>
        <w:t>paper</w:t>
      </w:r>
      <w:r>
        <w:rPr>
          <w:spacing w:val="-5"/>
        </w:rPr>
        <w:t> </w:t>
      </w:r>
      <w:r>
        <w:rPr/>
        <w:t>on</w:t>
      </w:r>
      <w:r>
        <w:rPr>
          <w:spacing w:val="-6"/>
        </w:rPr>
        <w:t> </w:t>
      </w:r>
      <w:r>
        <w:rPr/>
        <w:t>the scope of Article 2 WF.</w:t>
      </w:r>
      <w:r>
        <w:rPr>
          <w:vertAlign w:val="superscript"/>
        </w:rPr>
        <w:t>559</w:t>
      </w:r>
    </w:p>
    <w:p>
      <w:pPr>
        <w:pStyle w:val="BodyText"/>
        <w:spacing w:before="217"/>
        <w:rPr>
          <w:sz w:val="20"/>
        </w:rPr>
      </w:pPr>
      <w:r>
        <w:rPr/>
        <mc:AlternateContent>
          <mc:Choice Requires="wps">
            <w:drawing>
              <wp:anchor distT="0" distB="0" distL="0" distR="0" allowOverlap="1" layoutInCell="1" locked="0" behindDoc="1" simplePos="0" relativeHeight="487760384">
                <wp:simplePos x="0" y="0"/>
                <wp:positionH relativeFrom="page">
                  <wp:posOffset>647999</wp:posOffset>
                </wp:positionH>
                <wp:positionV relativeFrom="paragraph">
                  <wp:posOffset>308203</wp:posOffset>
                </wp:positionV>
                <wp:extent cx="6012180" cy="1270"/>
                <wp:effectExtent l="0" t="0" r="0" b="0"/>
                <wp:wrapTopAndBottom/>
                <wp:docPr id="913" name="Graphic 913"/>
                <wp:cNvGraphicFramePr>
                  <a:graphicFrameLocks/>
                </wp:cNvGraphicFramePr>
                <a:graphic>
                  <a:graphicData uri="http://schemas.microsoft.com/office/word/2010/wordprocessingShape">
                    <wps:wsp>
                      <wps:cNvPr id="913" name="Graphic 91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4.26796pt;width:473.4pt;height:.1pt;mso-position-horizontal-relative:page;mso-position-vertical-relative:paragraph;z-index:-15556096;mso-wrap-distance-left:0;mso-wrap-distance-right:0" id="docshape749" coordorigin="1020,485" coordsize="9468,0" path="m1020,485l10488,485e" filled="false" stroked="true" strokeweight=".5pt" strokecolor="#36a9e1">
                <v:path arrowok="t"/>
                <v:stroke dashstyle="solid"/>
                <w10:wrap type="topAndBottom"/>
              </v:shape>
            </w:pict>
          </mc:Fallback>
        </mc:AlternateContent>
      </w:r>
    </w:p>
    <w:p>
      <w:pPr>
        <w:tabs>
          <w:tab w:pos="1287" w:val="left" w:leader="none"/>
        </w:tabs>
        <w:spacing w:before="43"/>
        <w:ind w:left="720" w:right="0" w:firstLine="0"/>
        <w:jc w:val="left"/>
        <w:rPr>
          <w:sz w:val="18"/>
        </w:rPr>
      </w:pPr>
      <w:r>
        <w:rPr>
          <w:spacing w:val="-5"/>
          <w:sz w:val="18"/>
        </w:rPr>
        <w:t>551</w:t>
      </w:r>
      <w:r>
        <w:rPr>
          <w:sz w:val="18"/>
        </w:rPr>
        <w:tab/>
        <w:t>Ibid.,</w:t>
      </w:r>
      <w:r>
        <w:rPr>
          <w:spacing w:val="-6"/>
          <w:sz w:val="18"/>
        </w:rPr>
        <w:t> </w:t>
      </w:r>
      <w:r>
        <w:rPr>
          <w:sz w:val="18"/>
        </w:rPr>
        <w:t>[112]-</w:t>
      </w:r>
      <w:r>
        <w:rPr>
          <w:spacing w:val="-2"/>
          <w:sz w:val="18"/>
        </w:rPr>
        <w:t>[113].</w:t>
      </w:r>
    </w:p>
    <w:p>
      <w:pPr>
        <w:tabs>
          <w:tab w:pos="1287" w:val="left" w:leader="none"/>
        </w:tabs>
        <w:spacing w:before="1"/>
        <w:ind w:left="720" w:right="0" w:firstLine="0"/>
        <w:jc w:val="left"/>
        <w:rPr>
          <w:sz w:val="18"/>
        </w:rPr>
      </w:pPr>
      <w:r>
        <w:rPr>
          <w:spacing w:val="-5"/>
          <w:sz w:val="18"/>
        </w:rPr>
        <w:t>552</w:t>
      </w:r>
      <w:r>
        <w:rPr>
          <w:sz w:val="18"/>
        </w:rPr>
        <w:tab/>
        <w:t>Ibid.,</w:t>
      </w:r>
      <w:r>
        <w:rPr>
          <w:spacing w:val="-6"/>
          <w:sz w:val="18"/>
        </w:rPr>
        <w:t> </w:t>
      </w:r>
      <w:r>
        <w:rPr>
          <w:sz w:val="18"/>
        </w:rPr>
        <w:t>[125]-</w:t>
      </w:r>
      <w:r>
        <w:rPr>
          <w:spacing w:val="-2"/>
          <w:sz w:val="18"/>
        </w:rPr>
        <w:t>[126].</w:t>
      </w:r>
    </w:p>
    <w:p>
      <w:pPr>
        <w:tabs>
          <w:tab w:pos="1287" w:val="left" w:leader="none"/>
        </w:tabs>
        <w:spacing w:before="0"/>
        <w:ind w:left="720" w:right="0" w:firstLine="0"/>
        <w:jc w:val="left"/>
        <w:rPr>
          <w:sz w:val="18"/>
        </w:rPr>
      </w:pPr>
      <w:r>
        <w:rPr>
          <w:spacing w:val="-5"/>
          <w:sz w:val="18"/>
        </w:rPr>
        <w:t>553</w:t>
      </w:r>
      <w:r>
        <w:rPr>
          <w:sz w:val="18"/>
        </w:rPr>
        <w:tab/>
        <w:t>Ibid., </w:t>
      </w:r>
      <w:r>
        <w:rPr>
          <w:spacing w:val="-2"/>
          <w:sz w:val="18"/>
        </w:rPr>
        <w:t>[133].</w:t>
      </w:r>
    </w:p>
    <w:p>
      <w:pPr>
        <w:tabs>
          <w:tab w:pos="1287" w:val="left" w:leader="none"/>
        </w:tabs>
        <w:spacing w:before="0"/>
        <w:ind w:left="720" w:right="0" w:firstLine="0"/>
        <w:jc w:val="left"/>
        <w:rPr>
          <w:sz w:val="18"/>
        </w:rPr>
      </w:pPr>
      <w:r>
        <w:rPr>
          <w:spacing w:val="-5"/>
          <w:sz w:val="18"/>
        </w:rPr>
        <w:t>554</w:t>
      </w:r>
      <w:r>
        <w:rPr>
          <w:sz w:val="18"/>
        </w:rPr>
        <w:tab/>
        <w:t>Ibid., </w:t>
      </w:r>
      <w:r>
        <w:rPr>
          <w:spacing w:val="-2"/>
          <w:sz w:val="18"/>
        </w:rPr>
        <w:t>[143].</w:t>
      </w:r>
    </w:p>
    <w:p>
      <w:pPr>
        <w:tabs>
          <w:tab w:pos="1287" w:val="left" w:leader="none"/>
        </w:tabs>
        <w:spacing w:before="0"/>
        <w:ind w:left="720" w:right="0" w:firstLine="0"/>
        <w:jc w:val="left"/>
        <w:rPr>
          <w:sz w:val="18"/>
        </w:rPr>
      </w:pPr>
      <w:r>
        <w:rPr>
          <w:spacing w:val="-5"/>
          <w:sz w:val="18"/>
        </w:rPr>
        <w:t>555</w:t>
      </w:r>
      <w:r>
        <w:rPr>
          <w:sz w:val="18"/>
        </w:rPr>
        <w:tab/>
        <w:t>Ibid.,</w:t>
      </w:r>
      <w:r>
        <w:rPr>
          <w:spacing w:val="-6"/>
          <w:sz w:val="18"/>
        </w:rPr>
        <w:t> </w:t>
      </w:r>
      <w:r>
        <w:rPr>
          <w:sz w:val="18"/>
        </w:rPr>
        <w:t>[104]-</w:t>
      </w:r>
      <w:r>
        <w:rPr>
          <w:spacing w:val="-2"/>
          <w:sz w:val="18"/>
        </w:rPr>
        <w:t>[107].</w:t>
      </w:r>
    </w:p>
    <w:p>
      <w:pPr>
        <w:pStyle w:val="ListParagraph"/>
        <w:numPr>
          <w:ilvl w:val="0"/>
          <w:numId w:val="47"/>
        </w:numPr>
        <w:tabs>
          <w:tab w:pos="1287" w:val="left" w:leader="none"/>
        </w:tabs>
        <w:spacing w:line="240" w:lineRule="auto" w:before="1" w:after="0"/>
        <w:ind w:left="1287" w:right="0" w:hanging="567"/>
        <w:jc w:val="left"/>
        <w:rPr>
          <w:sz w:val="18"/>
        </w:rPr>
      </w:pPr>
      <w:r>
        <w:rPr>
          <w:color w:val="1D71B8"/>
          <w:sz w:val="18"/>
          <w:u w:val="single" w:color="1D71B8"/>
        </w:rPr>
        <w:t>In</w:t>
      </w:r>
      <w:r>
        <w:rPr>
          <w:color w:val="1D71B8"/>
          <w:spacing w:val="-5"/>
          <w:sz w:val="18"/>
          <w:u w:val="single" w:color="1D71B8"/>
        </w:rPr>
        <w:t> </w:t>
      </w:r>
      <w:r>
        <w:rPr>
          <w:color w:val="1D71B8"/>
          <w:sz w:val="18"/>
          <w:u w:val="single" w:color="1D71B8"/>
        </w:rPr>
        <w:t>re</w:t>
      </w:r>
      <w:r>
        <w:rPr>
          <w:color w:val="1D71B8"/>
          <w:spacing w:val="-3"/>
          <w:sz w:val="18"/>
          <w:u w:val="single" w:color="1D71B8"/>
        </w:rPr>
        <w:t> </w:t>
      </w:r>
      <w:r>
        <w:rPr>
          <w:color w:val="1D71B8"/>
          <w:sz w:val="18"/>
          <w:u w:val="single" w:color="1D71B8"/>
        </w:rPr>
        <w:t>SPUC</w:t>
      </w:r>
      <w:r>
        <w:rPr>
          <w:color w:val="1D71B8"/>
          <w:spacing w:val="-5"/>
          <w:sz w:val="18"/>
          <w:u w:val="single" w:color="1D71B8"/>
        </w:rPr>
        <w:t> </w:t>
      </w:r>
      <w:r>
        <w:rPr>
          <w:color w:val="1D71B8"/>
          <w:sz w:val="18"/>
          <w:u w:val="single" w:color="1D71B8"/>
        </w:rPr>
        <w:t>Pro-Life</w:t>
      </w:r>
      <w:r>
        <w:rPr>
          <w:color w:val="1D71B8"/>
          <w:spacing w:val="-3"/>
          <w:sz w:val="18"/>
          <w:u w:val="single" w:color="1D71B8"/>
        </w:rPr>
        <w:t> </w:t>
      </w:r>
      <w:r>
        <w:rPr>
          <w:color w:val="1D71B8"/>
          <w:sz w:val="18"/>
          <w:u w:val="single" w:color="1D71B8"/>
        </w:rPr>
        <w:t>Ltd</w:t>
      </w:r>
      <w:r>
        <w:rPr>
          <w:color w:val="1D71B8"/>
          <w:spacing w:val="-4"/>
          <w:sz w:val="18"/>
          <w:u w:val="single" w:color="1D71B8"/>
        </w:rPr>
        <w:t> </w:t>
      </w:r>
      <w:r>
        <w:rPr>
          <w:color w:val="1D71B8"/>
          <w:sz w:val="18"/>
          <w:u w:val="single" w:color="1D71B8"/>
        </w:rPr>
        <w:t>(Abortion)</w:t>
      </w:r>
      <w:r>
        <w:rPr>
          <w:color w:val="1D71B8"/>
          <w:spacing w:val="-4"/>
          <w:sz w:val="18"/>
          <w:u w:val="none"/>
        </w:rPr>
        <w:t> </w:t>
      </w:r>
      <w:r>
        <w:rPr>
          <w:sz w:val="18"/>
          <w:u w:val="none"/>
        </w:rPr>
        <w:t>[2023]</w:t>
      </w:r>
      <w:r>
        <w:rPr>
          <w:spacing w:val="-3"/>
          <w:sz w:val="18"/>
          <w:u w:val="none"/>
        </w:rPr>
        <w:t> </w:t>
      </w:r>
      <w:r>
        <w:rPr>
          <w:sz w:val="18"/>
          <w:u w:val="none"/>
        </w:rPr>
        <w:t>NICA</w:t>
      </w:r>
      <w:r>
        <w:rPr>
          <w:spacing w:val="-4"/>
          <w:sz w:val="18"/>
          <w:u w:val="none"/>
        </w:rPr>
        <w:t> </w:t>
      </w:r>
      <w:r>
        <w:rPr>
          <w:sz w:val="18"/>
          <w:u w:val="none"/>
        </w:rPr>
        <w:t>35,</w:t>
      </w:r>
      <w:r>
        <w:rPr>
          <w:spacing w:val="-3"/>
          <w:sz w:val="18"/>
          <w:u w:val="none"/>
        </w:rPr>
        <w:t> </w:t>
      </w:r>
      <w:r>
        <w:rPr>
          <w:sz w:val="18"/>
          <w:u w:val="none"/>
        </w:rPr>
        <w:t>(25</w:t>
      </w:r>
      <w:r>
        <w:rPr>
          <w:spacing w:val="-4"/>
          <w:sz w:val="18"/>
          <w:u w:val="none"/>
        </w:rPr>
        <w:t> </w:t>
      </w:r>
      <w:r>
        <w:rPr>
          <w:sz w:val="18"/>
          <w:u w:val="none"/>
        </w:rPr>
        <w:t>May</w:t>
      </w:r>
      <w:r>
        <w:rPr>
          <w:spacing w:val="-3"/>
          <w:sz w:val="18"/>
          <w:u w:val="none"/>
        </w:rPr>
        <w:t> </w:t>
      </w:r>
      <w:r>
        <w:rPr>
          <w:sz w:val="18"/>
          <w:u w:val="none"/>
        </w:rPr>
        <w:t>2023)</w:t>
      </w:r>
      <w:r>
        <w:rPr>
          <w:spacing w:val="-5"/>
          <w:sz w:val="18"/>
          <w:u w:val="none"/>
        </w:rPr>
        <w:t> </w:t>
      </w:r>
      <w:r>
        <w:rPr>
          <w:spacing w:val="-2"/>
          <w:sz w:val="18"/>
          <w:u w:val="none"/>
        </w:rPr>
        <w:t>[54].</w:t>
      </w:r>
    </w:p>
    <w:p>
      <w:pPr>
        <w:pStyle w:val="ListParagraph"/>
        <w:numPr>
          <w:ilvl w:val="0"/>
          <w:numId w:val="47"/>
        </w:numPr>
        <w:tabs>
          <w:tab w:pos="1287" w:val="left" w:leader="none"/>
        </w:tabs>
        <w:spacing w:line="240" w:lineRule="auto" w:before="0" w:after="0"/>
        <w:ind w:left="1287" w:right="0" w:hanging="567"/>
        <w:jc w:val="left"/>
        <w:rPr>
          <w:sz w:val="18"/>
        </w:rPr>
      </w:pPr>
      <w:r>
        <w:rPr>
          <w:sz w:val="18"/>
        </w:rPr>
        <w:t>Ibid., [57], </w:t>
      </w:r>
      <w:r>
        <w:rPr>
          <w:spacing w:val="-2"/>
          <w:sz w:val="18"/>
        </w:rPr>
        <w:t>[71].</w:t>
      </w:r>
    </w:p>
    <w:p>
      <w:pPr>
        <w:pStyle w:val="ListParagraph"/>
        <w:numPr>
          <w:ilvl w:val="0"/>
          <w:numId w:val="47"/>
        </w:numPr>
        <w:tabs>
          <w:tab w:pos="1287" w:val="left" w:leader="none"/>
        </w:tabs>
        <w:spacing w:line="240" w:lineRule="auto" w:before="0" w:after="0"/>
        <w:ind w:left="1287" w:right="0" w:hanging="567"/>
        <w:jc w:val="left"/>
        <w:rPr>
          <w:sz w:val="18"/>
        </w:rPr>
      </w:pPr>
      <w:r>
        <w:rPr>
          <w:sz w:val="18"/>
        </w:rPr>
        <w:t>Ibid., </w:t>
      </w:r>
      <w:r>
        <w:rPr>
          <w:spacing w:val="-2"/>
          <w:sz w:val="18"/>
        </w:rPr>
        <w:t>[58].</w:t>
      </w:r>
    </w:p>
    <w:p>
      <w:pPr>
        <w:pStyle w:val="ListParagraph"/>
        <w:numPr>
          <w:ilvl w:val="0"/>
          <w:numId w:val="47"/>
        </w:numPr>
        <w:tabs>
          <w:tab w:pos="1287" w:val="left" w:leader="none"/>
        </w:tabs>
        <w:spacing w:line="240" w:lineRule="auto" w:before="1" w:after="0"/>
        <w:ind w:left="1287" w:right="0" w:hanging="567"/>
        <w:jc w:val="left"/>
        <w:rPr>
          <w:sz w:val="18"/>
        </w:rPr>
      </w:pPr>
      <w:r>
        <w:rPr>
          <w:sz w:val="18"/>
        </w:rPr>
        <w:t>Ibid., </w:t>
      </w:r>
      <w:r>
        <w:rPr>
          <w:spacing w:val="-2"/>
          <w:sz w:val="18"/>
        </w:rPr>
        <w:t>[72].</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902720">
                <wp:simplePos x="0" y="0"/>
                <wp:positionH relativeFrom="page">
                  <wp:posOffset>-2</wp:posOffset>
                </wp:positionH>
                <wp:positionV relativeFrom="page">
                  <wp:posOffset>0</wp:posOffset>
                </wp:positionV>
                <wp:extent cx="7560309" cy="1257935"/>
                <wp:effectExtent l="0" t="0" r="0" b="0"/>
                <wp:wrapNone/>
                <wp:docPr id="914" name="Group 914"/>
                <wp:cNvGraphicFramePr>
                  <a:graphicFrameLocks/>
                </wp:cNvGraphicFramePr>
                <a:graphic>
                  <a:graphicData uri="http://schemas.microsoft.com/office/word/2010/wordprocessingGroup">
                    <wpg:wgp>
                      <wpg:cNvPr id="914" name="Group 914"/>
                      <wpg:cNvGrpSpPr/>
                      <wpg:grpSpPr>
                        <a:xfrm>
                          <a:off x="0" y="0"/>
                          <a:ext cx="7560309" cy="1257935"/>
                          <a:chExt cx="7560309" cy="1257935"/>
                        </a:xfrm>
                      </wpg:grpSpPr>
                      <wps:wsp>
                        <wps:cNvPr id="915" name="Graphic 915"/>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916" name="Graphic 916"/>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917" name="Textbox 917"/>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918" name="Textbox 918"/>
                        <wps:cNvSpPr txBox="1"/>
                        <wps:spPr>
                          <a:xfrm>
                            <a:off x="7028829"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109</w:t>
                              </w:r>
                            </w:p>
                          </w:txbxContent>
                        </wps:txbx>
                        <wps:bodyPr wrap="square" lIns="0" tIns="0" rIns="0" bIns="0" rtlCol="0">
                          <a:noAutofit/>
                        </wps:bodyPr>
                      </wps:wsp>
                      <wps:wsp>
                        <wps:cNvPr id="919" name="Textbox 919"/>
                        <wps:cNvSpPr txBox="1"/>
                        <wps:spPr>
                          <a:xfrm>
                            <a:off x="900001" y="1080003"/>
                            <a:ext cx="1104265" cy="177800"/>
                          </a:xfrm>
                          <a:prstGeom prst="rect">
                            <a:avLst/>
                          </a:prstGeom>
                        </wps:spPr>
                        <wps:txbx>
                          <w:txbxContent>
                            <w:p>
                              <w:pPr>
                                <w:numPr>
                                  <w:ilvl w:val="2"/>
                                  <w:numId w:val="48"/>
                                </w:numPr>
                                <w:tabs>
                                  <w:tab w:pos="638" w:val="left" w:leader="none"/>
                                </w:tabs>
                                <w:spacing w:line="280" w:lineRule="exact" w:before="0"/>
                                <w:ind w:left="638" w:right="0" w:hanging="638"/>
                                <w:jc w:val="left"/>
                                <w:rPr>
                                  <w:b/>
                                  <w:sz w:val="28"/>
                                </w:rPr>
                              </w:pPr>
                              <w:r>
                                <w:rPr>
                                  <w:b/>
                                  <w:color w:val="004A93"/>
                                  <w:spacing w:val="-2"/>
                                  <w:sz w:val="28"/>
                                </w:rPr>
                                <w:t>Angesom</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902720" id="docshapegroup750" coordorigin="0,0" coordsize="11906,1981">
                <v:shape style="position:absolute;left:0;top:0;width:11906;height:1819" id="docshape751"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752"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069;top:636;width:446;height:280" type="#_x0000_t202" id="docshape753" filled="false" stroked="false">
                  <v:textbox inset="0,0,0,0">
                    <w:txbxContent>
                      <w:p>
                        <w:pPr>
                          <w:spacing w:line="280" w:lineRule="exact" w:before="0"/>
                          <w:ind w:left="0" w:right="0" w:firstLine="0"/>
                          <w:jc w:val="left"/>
                          <w:rPr>
                            <w:b/>
                            <w:sz w:val="28"/>
                          </w:rPr>
                        </w:pPr>
                        <w:r>
                          <w:rPr>
                            <w:b/>
                            <w:color w:val="FFFFFF"/>
                            <w:spacing w:val="-5"/>
                            <w:sz w:val="28"/>
                          </w:rPr>
                          <w:t>109</w:t>
                        </w:r>
                      </w:p>
                    </w:txbxContent>
                  </v:textbox>
                  <w10:wrap type="none"/>
                </v:shape>
                <v:shape style="position:absolute;left:1417;top:1700;width:1739;height:280" type="#_x0000_t202" id="docshape754" filled="false" stroked="false">
                  <v:textbox inset="0,0,0,0">
                    <w:txbxContent>
                      <w:p>
                        <w:pPr>
                          <w:numPr>
                            <w:ilvl w:val="2"/>
                            <w:numId w:val="48"/>
                          </w:numPr>
                          <w:tabs>
                            <w:tab w:pos="638" w:val="left" w:leader="none"/>
                          </w:tabs>
                          <w:spacing w:line="280" w:lineRule="exact" w:before="0"/>
                          <w:ind w:left="638" w:right="0" w:hanging="638"/>
                          <w:jc w:val="left"/>
                          <w:rPr>
                            <w:b/>
                            <w:sz w:val="28"/>
                          </w:rPr>
                        </w:pPr>
                        <w:r>
                          <w:rPr>
                            <w:b/>
                            <w:color w:val="004A93"/>
                            <w:spacing w:val="-2"/>
                            <w:sz w:val="28"/>
                          </w:rPr>
                          <w:t>Angesom</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right="738"/>
      </w:pPr>
      <w:bookmarkStart w:name="5.4.2 Angesom" w:id="173"/>
      <w:bookmarkEnd w:id="173"/>
      <w:r>
        <w:rPr/>
      </w:r>
      <w:bookmarkStart w:name="_bookmark73" w:id="174"/>
      <w:bookmarkEnd w:id="174"/>
      <w:r>
        <w:rPr/>
      </w:r>
      <w:r>
        <w:rPr/>
        <w:t>The</w:t>
      </w:r>
      <w:r>
        <w:rPr>
          <w:spacing w:val="-6"/>
        </w:rPr>
        <w:t> </w:t>
      </w:r>
      <w:r>
        <w:rPr>
          <w:i/>
        </w:rPr>
        <w:t>Angesom</w:t>
      </w:r>
      <w:r>
        <w:rPr>
          <w:i/>
          <w:spacing w:val="-5"/>
        </w:rPr>
        <w:t> </w:t>
      </w:r>
      <w:r>
        <w:rPr/>
        <w:t>case</w:t>
      </w:r>
      <w:r>
        <w:rPr>
          <w:spacing w:val="-5"/>
        </w:rPr>
        <w:t> </w:t>
      </w:r>
      <w:r>
        <w:rPr/>
        <w:t>concerned</w:t>
      </w:r>
      <w:r>
        <w:rPr>
          <w:spacing w:val="-6"/>
        </w:rPr>
        <w:t> </w:t>
      </w:r>
      <w:r>
        <w:rPr/>
        <w:t>a</w:t>
      </w:r>
      <w:r>
        <w:rPr>
          <w:spacing w:val="-6"/>
        </w:rPr>
        <w:t> </w:t>
      </w:r>
      <w:r>
        <w:rPr/>
        <w:t>single</w:t>
      </w:r>
      <w:r>
        <w:rPr>
          <w:spacing w:val="-5"/>
        </w:rPr>
        <w:t> </w:t>
      </w:r>
      <w:r>
        <w:rPr/>
        <w:t>male</w:t>
      </w:r>
      <w:r>
        <w:rPr>
          <w:spacing w:val="-5"/>
        </w:rPr>
        <w:t> </w:t>
      </w:r>
      <w:r>
        <w:rPr/>
        <w:t>asylum</w:t>
      </w:r>
      <w:r>
        <w:rPr>
          <w:spacing w:val="-5"/>
        </w:rPr>
        <w:t> </w:t>
      </w:r>
      <w:r>
        <w:rPr/>
        <w:t>seeker</w:t>
      </w:r>
      <w:r>
        <w:rPr>
          <w:spacing w:val="-5"/>
        </w:rPr>
        <w:t> </w:t>
      </w:r>
      <w:r>
        <w:rPr/>
        <w:t>in</w:t>
      </w:r>
      <w:r>
        <w:rPr>
          <w:spacing w:val="-6"/>
        </w:rPr>
        <w:t> </w:t>
      </w:r>
      <w:r>
        <w:rPr/>
        <w:t>Northern</w:t>
      </w:r>
      <w:r>
        <w:rPr>
          <w:spacing w:val="-6"/>
        </w:rPr>
        <w:t> </w:t>
      </w:r>
      <w:r>
        <w:rPr/>
        <w:t>Ireland.</w:t>
      </w:r>
      <w:r>
        <w:rPr>
          <w:spacing w:val="-6"/>
        </w:rPr>
        <w:t> </w:t>
      </w:r>
      <w:r>
        <w:rPr/>
        <w:t>The Secretary of State for the Home Department decided to transport the applicant to Scotland.</w:t>
      </w:r>
      <w:r>
        <w:rPr>
          <w:spacing w:val="-6"/>
        </w:rPr>
        <w:t> </w:t>
      </w:r>
      <w:r>
        <w:rPr/>
        <w:t>The</w:t>
      </w:r>
      <w:r>
        <w:rPr>
          <w:spacing w:val="-5"/>
        </w:rPr>
        <w:t> </w:t>
      </w:r>
      <w:r>
        <w:rPr/>
        <w:t>applicant</w:t>
      </w:r>
      <w:r>
        <w:rPr>
          <w:spacing w:val="-5"/>
        </w:rPr>
        <w:t> </w:t>
      </w:r>
      <w:r>
        <w:rPr/>
        <w:t>received</w:t>
      </w:r>
      <w:r>
        <w:rPr>
          <w:spacing w:val="-6"/>
        </w:rPr>
        <w:t> </w:t>
      </w:r>
      <w:r>
        <w:rPr/>
        <w:t>a</w:t>
      </w:r>
      <w:r>
        <w:rPr>
          <w:spacing w:val="-6"/>
        </w:rPr>
        <w:t> </w:t>
      </w:r>
      <w:r>
        <w:rPr/>
        <w:t>letter</w:t>
      </w:r>
      <w:r>
        <w:rPr>
          <w:spacing w:val="-5"/>
        </w:rPr>
        <w:t> </w:t>
      </w:r>
      <w:r>
        <w:rPr/>
        <w:t>informing</w:t>
      </w:r>
      <w:r>
        <w:rPr>
          <w:spacing w:val="-5"/>
        </w:rPr>
        <w:t> </w:t>
      </w:r>
      <w:r>
        <w:rPr/>
        <w:t>him</w:t>
      </w:r>
      <w:r>
        <w:rPr>
          <w:spacing w:val="-5"/>
        </w:rPr>
        <w:t> </w:t>
      </w:r>
      <w:r>
        <w:rPr/>
        <w:t>of</w:t>
      </w:r>
      <w:r>
        <w:rPr>
          <w:spacing w:val="-6"/>
        </w:rPr>
        <w:t> </w:t>
      </w:r>
      <w:r>
        <w:rPr/>
        <w:t>this</w:t>
      </w:r>
      <w:r>
        <w:rPr>
          <w:spacing w:val="-6"/>
        </w:rPr>
        <w:t> </w:t>
      </w:r>
      <w:r>
        <w:rPr/>
        <w:t>and</w:t>
      </w:r>
      <w:r>
        <w:rPr>
          <w:spacing w:val="-6"/>
        </w:rPr>
        <w:t> </w:t>
      </w:r>
      <w:r>
        <w:rPr/>
        <w:t>that</w:t>
      </w:r>
      <w:r>
        <w:rPr>
          <w:spacing w:val="-5"/>
        </w:rPr>
        <w:t> </w:t>
      </w:r>
      <w:r>
        <w:rPr/>
        <w:t>his</w:t>
      </w:r>
      <w:r>
        <w:rPr>
          <w:spacing w:val="-6"/>
        </w:rPr>
        <w:t> </w:t>
      </w:r>
      <w:r>
        <w:rPr/>
        <w:t>removal would take place the next day; he was unable to read the letter and consulted his solicitor. The applicant pleaded a range of violations including breach of Article 8 ECHR</w:t>
      </w:r>
      <w:r>
        <w:rPr>
          <w:spacing w:val="-4"/>
        </w:rPr>
        <w:t> </w:t>
      </w:r>
      <w:r>
        <w:rPr/>
        <w:t>rights</w:t>
      </w:r>
      <w:r>
        <w:rPr>
          <w:spacing w:val="-4"/>
        </w:rPr>
        <w:t> </w:t>
      </w:r>
      <w:r>
        <w:rPr/>
        <w:t>and</w:t>
      </w:r>
      <w:r>
        <w:rPr>
          <w:spacing w:val="-4"/>
        </w:rPr>
        <w:t> </w:t>
      </w:r>
      <w:r>
        <w:rPr/>
        <w:t>breach</w:t>
      </w:r>
      <w:r>
        <w:rPr>
          <w:spacing w:val="-4"/>
        </w:rPr>
        <w:t> </w:t>
      </w:r>
      <w:r>
        <w:rPr/>
        <w:t>of</w:t>
      </w:r>
      <w:r>
        <w:rPr>
          <w:spacing w:val="-4"/>
        </w:rPr>
        <w:t> </w:t>
      </w:r>
      <w:r>
        <w:rPr/>
        <w:t>Article</w:t>
      </w:r>
      <w:r>
        <w:rPr>
          <w:spacing w:val="-3"/>
        </w:rPr>
        <w:t> </w:t>
      </w:r>
      <w:r>
        <w:rPr/>
        <w:t>2</w:t>
      </w:r>
      <w:r>
        <w:rPr>
          <w:spacing w:val="-3"/>
        </w:rPr>
        <w:t> </w:t>
      </w:r>
      <w:r>
        <w:rPr/>
        <w:t>WF.</w:t>
      </w:r>
      <w:r>
        <w:rPr>
          <w:spacing w:val="-4"/>
        </w:rPr>
        <w:t> </w:t>
      </w:r>
      <w:r>
        <w:rPr/>
        <w:t>The</w:t>
      </w:r>
      <w:r>
        <w:rPr>
          <w:spacing w:val="-3"/>
        </w:rPr>
        <w:t> </w:t>
      </w:r>
      <w:r>
        <w:rPr/>
        <w:t>ECNI</w:t>
      </w:r>
      <w:r>
        <w:rPr>
          <w:spacing w:val="-3"/>
        </w:rPr>
        <w:t> </w:t>
      </w:r>
      <w:r>
        <w:rPr/>
        <w:t>and</w:t>
      </w:r>
      <w:r>
        <w:rPr>
          <w:spacing w:val="-4"/>
        </w:rPr>
        <w:t> </w:t>
      </w:r>
      <w:r>
        <w:rPr/>
        <w:t>NIHRC</w:t>
      </w:r>
      <w:r>
        <w:rPr>
          <w:spacing w:val="-4"/>
        </w:rPr>
        <w:t> </w:t>
      </w:r>
      <w:r>
        <w:rPr/>
        <w:t>intervened</w:t>
      </w:r>
      <w:r>
        <w:rPr>
          <w:spacing w:val="-4"/>
        </w:rPr>
        <w:t> </w:t>
      </w:r>
      <w:r>
        <w:rPr/>
        <w:t>in</w:t>
      </w:r>
      <w:r>
        <w:rPr>
          <w:spacing w:val="-4"/>
        </w:rPr>
        <w:t> </w:t>
      </w:r>
      <w:r>
        <w:rPr/>
        <w:t>this</w:t>
      </w:r>
      <w:r>
        <w:rPr>
          <w:spacing w:val="-4"/>
        </w:rPr>
        <w:t> </w:t>
      </w:r>
      <w:r>
        <w:rPr/>
        <w:t>cas; the Court noted the Commissions’ role in relation to Article 2 WF.</w:t>
      </w:r>
      <w:r>
        <w:rPr>
          <w:vertAlign w:val="superscript"/>
        </w:rPr>
        <w:t>560</w:t>
      </w:r>
    </w:p>
    <w:p>
      <w:pPr>
        <w:pStyle w:val="BodyText"/>
        <w:spacing w:before="265"/>
        <w:ind w:left="1117"/>
      </w:pPr>
      <w:r>
        <w:rPr/>
        <w:t>On</w:t>
      </w:r>
      <w:r>
        <w:rPr>
          <w:spacing w:val="-3"/>
        </w:rPr>
        <w:t> </w:t>
      </w:r>
      <w:r>
        <w:rPr/>
        <w:t>the</w:t>
      </w:r>
      <w:r>
        <w:rPr>
          <w:spacing w:val="-2"/>
        </w:rPr>
        <w:t> </w:t>
      </w:r>
      <w:r>
        <w:rPr/>
        <w:t>Article</w:t>
      </w:r>
      <w:r>
        <w:rPr>
          <w:spacing w:val="-2"/>
        </w:rPr>
        <w:t> </w:t>
      </w:r>
      <w:r>
        <w:rPr/>
        <w:t>2</w:t>
      </w:r>
      <w:r>
        <w:rPr>
          <w:spacing w:val="-2"/>
        </w:rPr>
        <w:t> </w:t>
      </w:r>
      <w:r>
        <w:rPr/>
        <w:t>WF</w:t>
      </w:r>
      <w:r>
        <w:rPr>
          <w:spacing w:val="-3"/>
        </w:rPr>
        <w:t> </w:t>
      </w:r>
      <w:r>
        <w:rPr/>
        <w:t>point</w:t>
      </w:r>
      <w:r>
        <w:rPr>
          <w:spacing w:val="-2"/>
        </w:rPr>
        <w:t> </w:t>
      </w:r>
      <w:r>
        <w:rPr/>
        <w:t>the</w:t>
      </w:r>
      <w:r>
        <w:rPr>
          <w:spacing w:val="-2"/>
        </w:rPr>
        <w:t> </w:t>
      </w:r>
      <w:r>
        <w:rPr/>
        <w:t>Court</w:t>
      </w:r>
      <w:r>
        <w:rPr>
          <w:spacing w:val="-2"/>
        </w:rPr>
        <w:t> </w:t>
      </w:r>
      <w:r>
        <w:rPr/>
        <w:t>set</w:t>
      </w:r>
      <w:r>
        <w:rPr>
          <w:spacing w:val="-2"/>
        </w:rPr>
        <w:t> </w:t>
      </w:r>
      <w:r>
        <w:rPr/>
        <w:t>out</w:t>
      </w:r>
      <w:r>
        <w:rPr>
          <w:spacing w:val="-2"/>
        </w:rPr>
        <w:t> </w:t>
      </w:r>
      <w:r>
        <w:rPr/>
        <w:t>a</w:t>
      </w:r>
      <w:r>
        <w:rPr>
          <w:spacing w:val="-3"/>
        </w:rPr>
        <w:t> </w:t>
      </w:r>
      <w:r>
        <w:rPr/>
        <w:t>five-part</w:t>
      </w:r>
      <w:r>
        <w:rPr>
          <w:spacing w:val="-2"/>
        </w:rPr>
        <w:t> test:</w:t>
      </w:r>
    </w:p>
    <w:p>
      <w:pPr>
        <w:pStyle w:val="ListParagraph"/>
        <w:numPr>
          <w:ilvl w:val="1"/>
          <w:numId w:val="46"/>
        </w:numPr>
        <w:tabs>
          <w:tab w:pos="1570" w:val="left" w:leader="none"/>
        </w:tabs>
        <w:spacing w:line="232" w:lineRule="auto" w:before="279" w:after="0"/>
        <w:ind w:left="1570" w:right="1008" w:hanging="454"/>
        <w:jc w:val="left"/>
        <w:rPr>
          <w:sz w:val="28"/>
        </w:rPr>
      </w:pPr>
      <w:r>
        <w:rPr>
          <w:sz w:val="28"/>
        </w:rPr>
        <w:t>Does</w:t>
      </w:r>
      <w:r>
        <w:rPr>
          <w:spacing w:val="-6"/>
          <w:sz w:val="28"/>
        </w:rPr>
        <w:t> </w:t>
      </w:r>
      <w:r>
        <w:rPr>
          <w:sz w:val="28"/>
        </w:rPr>
        <w:t>the</w:t>
      </w:r>
      <w:r>
        <w:rPr>
          <w:spacing w:val="-6"/>
          <w:sz w:val="28"/>
        </w:rPr>
        <w:t> </w:t>
      </w:r>
      <w:r>
        <w:rPr>
          <w:sz w:val="28"/>
        </w:rPr>
        <w:t>right,</w:t>
      </w:r>
      <w:r>
        <w:rPr>
          <w:spacing w:val="-6"/>
          <w:sz w:val="28"/>
        </w:rPr>
        <w:t> </w:t>
      </w:r>
      <w:r>
        <w:rPr>
          <w:sz w:val="28"/>
        </w:rPr>
        <w:t>safeguard</w:t>
      </w:r>
      <w:r>
        <w:rPr>
          <w:spacing w:val="-6"/>
          <w:sz w:val="28"/>
        </w:rPr>
        <w:t> </w:t>
      </w:r>
      <w:r>
        <w:rPr>
          <w:sz w:val="28"/>
        </w:rPr>
        <w:t>or</w:t>
      </w:r>
      <w:r>
        <w:rPr>
          <w:spacing w:val="-6"/>
          <w:sz w:val="28"/>
        </w:rPr>
        <w:t> </w:t>
      </w:r>
      <w:r>
        <w:rPr>
          <w:sz w:val="28"/>
        </w:rPr>
        <w:t>equality</w:t>
      </w:r>
      <w:r>
        <w:rPr>
          <w:spacing w:val="-6"/>
          <w:sz w:val="28"/>
        </w:rPr>
        <w:t> </w:t>
      </w:r>
      <w:r>
        <w:rPr>
          <w:sz w:val="28"/>
        </w:rPr>
        <w:t>of</w:t>
      </w:r>
      <w:r>
        <w:rPr>
          <w:spacing w:val="-6"/>
          <w:sz w:val="28"/>
        </w:rPr>
        <w:t> </w:t>
      </w:r>
      <w:r>
        <w:rPr>
          <w:sz w:val="28"/>
        </w:rPr>
        <w:t>opportunity</w:t>
      </w:r>
      <w:r>
        <w:rPr>
          <w:spacing w:val="-6"/>
          <w:sz w:val="28"/>
        </w:rPr>
        <w:t> </w:t>
      </w:r>
      <w:r>
        <w:rPr>
          <w:sz w:val="28"/>
        </w:rPr>
        <w:t>protection</w:t>
      </w:r>
      <w:r>
        <w:rPr>
          <w:spacing w:val="-6"/>
          <w:sz w:val="28"/>
        </w:rPr>
        <w:t> </w:t>
      </w:r>
      <w:r>
        <w:rPr>
          <w:sz w:val="28"/>
        </w:rPr>
        <w:t>fall</w:t>
      </w:r>
      <w:r>
        <w:rPr>
          <w:spacing w:val="-6"/>
          <w:sz w:val="28"/>
        </w:rPr>
        <w:t> </w:t>
      </w:r>
      <w:r>
        <w:rPr>
          <w:sz w:val="28"/>
        </w:rPr>
        <w:t>within</w:t>
      </w:r>
      <w:r>
        <w:rPr>
          <w:spacing w:val="-6"/>
          <w:sz w:val="28"/>
        </w:rPr>
        <w:t> </w:t>
      </w:r>
      <w:r>
        <w:rPr>
          <w:sz w:val="28"/>
        </w:rPr>
        <w:t>the relevant part of the Belfast (Good Friday) Agreement?</w:t>
      </w:r>
    </w:p>
    <w:p>
      <w:pPr>
        <w:pStyle w:val="ListParagraph"/>
        <w:numPr>
          <w:ilvl w:val="1"/>
          <w:numId w:val="46"/>
        </w:numPr>
        <w:tabs>
          <w:tab w:pos="1565" w:val="left" w:leader="none"/>
          <w:tab w:pos="1570" w:val="left" w:leader="none"/>
        </w:tabs>
        <w:spacing w:line="232" w:lineRule="auto" w:before="0" w:after="0"/>
        <w:ind w:left="1570" w:right="853" w:hanging="454"/>
        <w:jc w:val="left"/>
        <w:rPr>
          <w:sz w:val="28"/>
        </w:rPr>
      </w:pPr>
      <w:r>
        <w:rPr>
          <w:sz w:val="28"/>
        </w:rPr>
        <w:t>Was</w:t>
      </w:r>
      <w:r>
        <w:rPr>
          <w:spacing w:val="-7"/>
          <w:sz w:val="28"/>
        </w:rPr>
        <w:t> </w:t>
      </w:r>
      <w:r>
        <w:rPr>
          <w:sz w:val="28"/>
        </w:rPr>
        <w:t>the</w:t>
      </w:r>
      <w:r>
        <w:rPr>
          <w:spacing w:val="-6"/>
          <w:sz w:val="28"/>
        </w:rPr>
        <w:t> </w:t>
      </w:r>
      <w:r>
        <w:rPr>
          <w:sz w:val="28"/>
        </w:rPr>
        <w:t>right,</w:t>
      </w:r>
      <w:r>
        <w:rPr>
          <w:spacing w:val="-6"/>
          <w:sz w:val="28"/>
        </w:rPr>
        <w:t> </w:t>
      </w:r>
      <w:r>
        <w:rPr>
          <w:sz w:val="28"/>
        </w:rPr>
        <w:t>safeguard</w:t>
      </w:r>
      <w:r>
        <w:rPr>
          <w:spacing w:val="-7"/>
          <w:sz w:val="28"/>
        </w:rPr>
        <w:t> </w:t>
      </w:r>
      <w:r>
        <w:rPr>
          <w:sz w:val="28"/>
        </w:rPr>
        <w:t>or</w:t>
      </w:r>
      <w:r>
        <w:rPr>
          <w:spacing w:val="-6"/>
          <w:sz w:val="28"/>
        </w:rPr>
        <w:t> </w:t>
      </w:r>
      <w:r>
        <w:rPr>
          <w:sz w:val="28"/>
        </w:rPr>
        <w:t>equality</w:t>
      </w:r>
      <w:r>
        <w:rPr>
          <w:spacing w:val="-6"/>
          <w:sz w:val="28"/>
        </w:rPr>
        <w:t> </w:t>
      </w:r>
      <w:r>
        <w:rPr>
          <w:sz w:val="28"/>
        </w:rPr>
        <w:t>of</w:t>
      </w:r>
      <w:r>
        <w:rPr>
          <w:spacing w:val="-7"/>
          <w:sz w:val="28"/>
        </w:rPr>
        <w:t> </w:t>
      </w:r>
      <w:r>
        <w:rPr>
          <w:sz w:val="28"/>
        </w:rPr>
        <w:t>opportunity</w:t>
      </w:r>
      <w:r>
        <w:rPr>
          <w:spacing w:val="-6"/>
          <w:sz w:val="28"/>
        </w:rPr>
        <w:t> </w:t>
      </w:r>
      <w:r>
        <w:rPr>
          <w:sz w:val="28"/>
        </w:rPr>
        <w:t>protection</w:t>
      </w:r>
      <w:r>
        <w:rPr>
          <w:spacing w:val="-7"/>
          <w:sz w:val="28"/>
        </w:rPr>
        <w:t> </w:t>
      </w:r>
      <w:r>
        <w:rPr>
          <w:sz w:val="28"/>
        </w:rPr>
        <w:t>underpinned</w:t>
      </w:r>
      <w:r>
        <w:rPr>
          <w:spacing w:val="-7"/>
          <w:sz w:val="28"/>
        </w:rPr>
        <w:t> </w:t>
      </w:r>
      <w:r>
        <w:rPr>
          <w:sz w:val="28"/>
        </w:rPr>
        <w:t>by EU law binding on the UK on or before 31 December 2020?</w:t>
      </w:r>
    </w:p>
    <w:p>
      <w:pPr>
        <w:pStyle w:val="ListParagraph"/>
        <w:numPr>
          <w:ilvl w:val="1"/>
          <w:numId w:val="46"/>
        </w:numPr>
        <w:tabs>
          <w:tab w:pos="1564" w:val="left" w:leader="none"/>
          <w:tab w:pos="1570" w:val="left" w:leader="none"/>
        </w:tabs>
        <w:spacing w:line="232" w:lineRule="auto" w:before="0" w:after="0"/>
        <w:ind w:left="1570" w:right="755" w:hanging="454"/>
        <w:jc w:val="left"/>
        <w:rPr>
          <w:sz w:val="28"/>
        </w:rPr>
      </w:pPr>
      <w:r>
        <w:rPr>
          <w:sz w:val="28"/>
        </w:rPr>
        <w:t>Was</w:t>
      </w:r>
      <w:r>
        <w:rPr>
          <w:spacing w:val="-7"/>
          <w:sz w:val="28"/>
        </w:rPr>
        <w:t> </w:t>
      </w:r>
      <w:r>
        <w:rPr>
          <w:sz w:val="28"/>
        </w:rPr>
        <w:t>the</w:t>
      </w:r>
      <w:r>
        <w:rPr>
          <w:spacing w:val="-6"/>
          <w:sz w:val="28"/>
        </w:rPr>
        <w:t> </w:t>
      </w:r>
      <w:r>
        <w:rPr>
          <w:sz w:val="28"/>
        </w:rPr>
        <w:t>right,</w:t>
      </w:r>
      <w:r>
        <w:rPr>
          <w:spacing w:val="-6"/>
          <w:sz w:val="28"/>
        </w:rPr>
        <w:t> </w:t>
      </w:r>
      <w:r>
        <w:rPr>
          <w:sz w:val="28"/>
        </w:rPr>
        <w:t>safeguard</w:t>
      </w:r>
      <w:r>
        <w:rPr>
          <w:spacing w:val="-7"/>
          <w:sz w:val="28"/>
        </w:rPr>
        <w:t> </w:t>
      </w:r>
      <w:r>
        <w:rPr>
          <w:sz w:val="28"/>
        </w:rPr>
        <w:t>or</w:t>
      </w:r>
      <w:r>
        <w:rPr>
          <w:spacing w:val="-6"/>
          <w:sz w:val="28"/>
        </w:rPr>
        <w:t> </w:t>
      </w:r>
      <w:r>
        <w:rPr>
          <w:sz w:val="28"/>
        </w:rPr>
        <w:t>equality</w:t>
      </w:r>
      <w:r>
        <w:rPr>
          <w:spacing w:val="-6"/>
          <w:sz w:val="28"/>
        </w:rPr>
        <w:t> </w:t>
      </w:r>
      <w:r>
        <w:rPr>
          <w:sz w:val="28"/>
        </w:rPr>
        <w:t>of</w:t>
      </w:r>
      <w:r>
        <w:rPr>
          <w:spacing w:val="-7"/>
          <w:sz w:val="28"/>
        </w:rPr>
        <w:t> </w:t>
      </w:r>
      <w:r>
        <w:rPr>
          <w:sz w:val="28"/>
        </w:rPr>
        <w:t>opportunity</w:t>
      </w:r>
      <w:r>
        <w:rPr>
          <w:spacing w:val="-6"/>
          <w:sz w:val="28"/>
        </w:rPr>
        <w:t> </w:t>
      </w:r>
      <w:r>
        <w:rPr>
          <w:sz w:val="28"/>
        </w:rPr>
        <w:t>protection</w:t>
      </w:r>
      <w:r>
        <w:rPr>
          <w:spacing w:val="-7"/>
          <w:sz w:val="28"/>
        </w:rPr>
        <w:t> </w:t>
      </w:r>
      <w:r>
        <w:rPr>
          <w:sz w:val="28"/>
        </w:rPr>
        <w:t>given</w:t>
      </w:r>
      <w:r>
        <w:rPr>
          <w:spacing w:val="-7"/>
          <w:sz w:val="28"/>
        </w:rPr>
        <w:t> </w:t>
      </w:r>
      <w:r>
        <w:rPr>
          <w:sz w:val="28"/>
        </w:rPr>
        <w:t>effect</w:t>
      </w:r>
      <w:r>
        <w:rPr>
          <w:spacing w:val="-6"/>
          <w:sz w:val="28"/>
        </w:rPr>
        <w:t> </w:t>
      </w:r>
      <w:r>
        <w:rPr>
          <w:sz w:val="28"/>
        </w:rPr>
        <w:t>in</w:t>
      </w:r>
      <w:r>
        <w:rPr>
          <w:spacing w:val="-7"/>
          <w:sz w:val="28"/>
        </w:rPr>
        <w:t> </w:t>
      </w:r>
      <w:r>
        <w:rPr>
          <w:sz w:val="28"/>
        </w:rPr>
        <w:t>NI law, in whole or in part on or before 31 December 2020?</w:t>
      </w:r>
    </w:p>
    <w:p>
      <w:pPr>
        <w:pStyle w:val="ListParagraph"/>
        <w:numPr>
          <w:ilvl w:val="1"/>
          <w:numId w:val="46"/>
        </w:numPr>
        <w:tabs>
          <w:tab w:pos="1565" w:val="left" w:leader="none"/>
          <w:tab w:pos="1570" w:val="left" w:leader="none"/>
        </w:tabs>
        <w:spacing w:line="232" w:lineRule="auto" w:before="0" w:after="0"/>
        <w:ind w:left="1570" w:right="946" w:hanging="454"/>
        <w:jc w:val="left"/>
        <w:rPr>
          <w:sz w:val="28"/>
        </w:rPr>
      </w:pPr>
      <w:r>
        <w:rPr>
          <w:sz w:val="28"/>
        </w:rPr>
        <w:t>Has</w:t>
      </w:r>
      <w:r>
        <w:rPr>
          <w:spacing w:val="-5"/>
          <w:sz w:val="28"/>
        </w:rPr>
        <w:t> </w:t>
      </w:r>
      <w:r>
        <w:rPr>
          <w:sz w:val="28"/>
        </w:rPr>
        <w:t>there</w:t>
      </w:r>
      <w:r>
        <w:rPr>
          <w:spacing w:val="-4"/>
          <w:sz w:val="28"/>
        </w:rPr>
        <w:t> </w:t>
      </w:r>
      <w:r>
        <w:rPr>
          <w:sz w:val="28"/>
        </w:rPr>
        <w:t>been</w:t>
      </w:r>
      <w:r>
        <w:rPr>
          <w:spacing w:val="-5"/>
          <w:sz w:val="28"/>
        </w:rPr>
        <w:t> </w:t>
      </w:r>
      <w:r>
        <w:rPr>
          <w:sz w:val="28"/>
        </w:rPr>
        <w:t>a</w:t>
      </w:r>
      <w:r>
        <w:rPr>
          <w:spacing w:val="-5"/>
          <w:sz w:val="28"/>
        </w:rPr>
        <w:t> </w:t>
      </w:r>
      <w:r>
        <w:rPr>
          <w:sz w:val="28"/>
        </w:rPr>
        <w:t>diminution</w:t>
      </w:r>
      <w:r>
        <w:rPr>
          <w:spacing w:val="-5"/>
          <w:sz w:val="28"/>
        </w:rPr>
        <w:t> </w:t>
      </w:r>
      <w:r>
        <w:rPr>
          <w:sz w:val="28"/>
        </w:rPr>
        <w:t>in</w:t>
      </w:r>
      <w:r>
        <w:rPr>
          <w:spacing w:val="-5"/>
          <w:sz w:val="28"/>
        </w:rPr>
        <w:t> </w:t>
      </w:r>
      <w:r>
        <w:rPr>
          <w:sz w:val="28"/>
        </w:rPr>
        <w:t>the</w:t>
      </w:r>
      <w:r>
        <w:rPr>
          <w:spacing w:val="-4"/>
          <w:sz w:val="28"/>
        </w:rPr>
        <w:t> </w:t>
      </w:r>
      <w:r>
        <w:rPr>
          <w:sz w:val="28"/>
        </w:rPr>
        <w:t>right,</w:t>
      </w:r>
      <w:r>
        <w:rPr>
          <w:spacing w:val="-5"/>
          <w:sz w:val="28"/>
        </w:rPr>
        <w:t> </w:t>
      </w:r>
      <w:r>
        <w:rPr>
          <w:sz w:val="28"/>
        </w:rPr>
        <w:t>safeguard</w:t>
      </w:r>
      <w:r>
        <w:rPr>
          <w:spacing w:val="-5"/>
          <w:sz w:val="28"/>
        </w:rPr>
        <w:t> </w:t>
      </w:r>
      <w:r>
        <w:rPr>
          <w:sz w:val="28"/>
        </w:rPr>
        <w:t>or</w:t>
      </w:r>
      <w:r>
        <w:rPr>
          <w:spacing w:val="-4"/>
          <w:sz w:val="28"/>
        </w:rPr>
        <w:t> </w:t>
      </w:r>
      <w:r>
        <w:rPr>
          <w:sz w:val="28"/>
        </w:rPr>
        <w:t>equality</w:t>
      </w:r>
      <w:r>
        <w:rPr>
          <w:spacing w:val="-4"/>
          <w:sz w:val="28"/>
        </w:rPr>
        <w:t> </w:t>
      </w:r>
      <w:r>
        <w:rPr>
          <w:sz w:val="28"/>
        </w:rPr>
        <w:t>of</w:t>
      </w:r>
      <w:r>
        <w:rPr>
          <w:spacing w:val="-5"/>
          <w:sz w:val="28"/>
        </w:rPr>
        <w:t> </w:t>
      </w:r>
      <w:r>
        <w:rPr>
          <w:sz w:val="28"/>
        </w:rPr>
        <w:t>opportunity protection on or after 1 January 2021?</w:t>
      </w:r>
    </w:p>
    <w:p>
      <w:pPr>
        <w:pStyle w:val="ListParagraph"/>
        <w:numPr>
          <w:ilvl w:val="1"/>
          <w:numId w:val="46"/>
        </w:numPr>
        <w:tabs>
          <w:tab w:pos="1567" w:val="left" w:leader="none"/>
        </w:tabs>
        <w:spacing w:line="331" w:lineRule="exact" w:before="0" w:after="0"/>
        <w:ind w:left="1567" w:right="0" w:hanging="450"/>
        <w:jc w:val="left"/>
        <w:rPr>
          <w:sz w:val="28"/>
        </w:rPr>
      </w:pPr>
      <w:r>
        <w:rPr>
          <w:sz w:val="28"/>
        </w:rPr>
        <w:t>Would</w:t>
      </w:r>
      <w:r>
        <w:rPr>
          <w:spacing w:val="-6"/>
          <w:sz w:val="28"/>
        </w:rPr>
        <w:t> </w:t>
      </w:r>
      <w:r>
        <w:rPr>
          <w:sz w:val="28"/>
        </w:rPr>
        <w:t>this</w:t>
      </w:r>
      <w:r>
        <w:rPr>
          <w:spacing w:val="-7"/>
          <w:sz w:val="28"/>
        </w:rPr>
        <w:t> </w:t>
      </w:r>
      <w:r>
        <w:rPr>
          <w:sz w:val="28"/>
        </w:rPr>
        <w:t>diminution</w:t>
      </w:r>
      <w:r>
        <w:rPr>
          <w:spacing w:val="-6"/>
          <w:sz w:val="28"/>
        </w:rPr>
        <w:t> </w:t>
      </w:r>
      <w:r>
        <w:rPr>
          <w:sz w:val="28"/>
        </w:rPr>
        <w:t>not</w:t>
      </w:r>
      <w:r>
        <w:rPr>
          <w:spacing w:val="-5"/>
          <w:sz w:val="28"/>
        </w:rPr>
        <w:t> </w:t>
      </w:r>
      <w:r>
        <w:rPr>
          <w:sz w:val="28"/>
        </w:rPr>
        <w:t>have</w:t>
      </w:r>
      <w:r>
        <w:rPr>
          <w:spacing w:val="-5"/>
          <w:sz w:val="28"/>
        </w:rPr>
        <w:t> </w:t>
      </w:r>
      <w:r>
        <w:rPr>
          <w:sz w:val="28"/>
        </w:rPr>
        <w:t>occurred</w:t>
      </w:r>
      <w:r>
        <w:rPr>
          <w:spacing w:val="-6"/>
          <w:sz w:val="28"/>
        </w:rPr>
        <w:t> </w:t>
      </w:r>
      <w:r>
        <w:rPr>
          <w:sz w:val="28"/>
        </w:rPr>
        <w:t>had</w:t>
      </w:r>
      <w:r>
        <w:rPr>
          <w:spacing w:val="-6"/>
          <w:sz w:val="28"/>
        </w:rPr>
        <w:t> </w:t>
      </w:r>
      <w:r>
        <w:rPr>
          <w:sz w:val="28"/>
        </w:rPr>
        <w:t>the</w:t>
      </w:r>
      <w:r>
        <w:rPr>
          <w:spacing w:val="-5"/>
          <w:sz w:val="28"/>
        </w:rPr>
        <w:t> </w:t>
      </w:r>
      <w:r>
        <w:rPr>
          <w:sz w:val="28"/>
        </w:rPr>
        <w:t>UK</w:t>
      </w:r>
      <w:r>
        <w:rPr>
          <w:spacing w:val="-5"/>
          <w:sz w:val="28"/>
        </w:rPr>
        <w:t> </w:t>
      </w:r>
      <w:r>
        <w:rPr>
          <w:sz w:val="28"/>
        </w:rPr>
        <w:t>remained</w:t>
      </w:r>
      <w:r>
        <w:rPr>
          <w:spacing w:val="-6"/>
          <w:sz w:val="28"/>
        </w:rPr>
        <w:t> </w:t>
      </w:r>
      <w:r>
        <w:rPr>
          <w:sz w:val="28"/>
        </w:rPr>
        <w:t>in</w:t>
      </w:r>
      <w:r>
        <w:rPr>
          <w:spacing w:val="-6"/>
          <w:sz w:val="28"/>
        </w:rPr>
        <w:t> </w:t>
      </w:r>
      <w:r>
        <w:rPr>
          <w:sz w:val="28"/>
        </w:rPr>
        <w:t>the</w:t>
      </w:r>
      <w:r>
        <w:rPr>
          <w:spacing w:val="-5"/>
          <w:sz w:val="28"/>
        </w:rPr>
        <w:t> </w:t>
      </w:r>
      <w:r>
        <w:rPr>
          <w:spacing w:val="-2"/>
          <w:sz w:val="28"/>
        </w:rPr>
        <w:t>EU?</w:t>
      </w:r>
      <w:r>
        <w:rPr>
          <w:spacing w:val="-2"/>
          <w:sz w:val="28"/>
          <w:vertAlign w:val="superscript"/>
        </w:rPr>
        <w:t>561</w:t>
      </w:r>
    </w:p>
    <w:p>
      <w:pPr>
        <w:pStyle w:val="BodyText"/>
        <w:spacing w:line="232" w:lineRule="auto" w:before="271"/>
        <w:ind w:left="1117" w:right="1087"/>
      </w:pPr>
      <w:r>
        <w:rPr/>
        <w:t>The</w:t>
      </w:r>
      <w:r>
        <w:rPr>
          <w:spacing w:val="-6"/>
        </w:rPr>
        <w:t> </w:t>
      </w:r>
      <w:r>
        <w:rPr/>
        <w:t>High</w:t>
      </w:r>
      <w:r>
        <w:rPr>
          <w:spacing w:val="-7"/>
        </w:rPr>
        <w:t> </w:t>
      </w:r>
      <w:r>
        <w:rPr/>
        <w:t>Court</w:t>
      </w:r>
      <w:r>
        <w:rPr>
          <w:spacing w:val="-6"/>
        </w:rPr>
        <w:t> </w:t>
      </w:r>
      <w:r>
        <w:rPr/>
        <w:t>confirms</w:t>
      </w:r>
      <w:r>
        <w:rPr>
          <w:spacing w:val="-7"/>
        </w:rPr>
        <w:t> </w:t>
      </w:r>
      <w:r>
        <w:rPr/>
        <w:t>some</w:t>
      </w:r>
      <w:r>
        <w:rPr>
          <w:spacing w:val="-6"/>
        </w:rPr>
        <w:t> </w:t>
      </w:r>
      <w:r>
        <w:rPr/>
        <w:t>points</w:t>
      </w:r>
      <w:r>
        <w:rPr>
          <w:spacing w:val="-7"/>
        </w:rPr>
        <w:t> </w:t>
      </w:r>
      <w:r>
        <w:rPr/>
        <w:t>evident</w:t>
      </w:r>
      <w:r>
        <w:rPr>
          <w:spacing w:val="-6"/>
        </w:rPr>
        <w:t> </w:t>
      </w:r>
      <w:r>
        <w:rPr/>
        <w:t>from</w:t>
      </w:r>
      <w:r>
        <w:rPr>
          <w:spacing w:val="-6"/>
        </w:rPr>
        <w:t> </w:t>
      </w:r>
      <w:r>
        <w:rPr/>
        <w:t>the</w:t>
      </w:r>
      <w:r>
        <w:rPr>
          <w:spacing w:val="-7"/>
        </w:rPr>
        <w:t> </w:t>
      </w:r>
      <w:r>
        <w:rPr>
          <w:i/>
        </w:rPr>
        <w:t>SPUC</w:t>
      </w:r>
      <w:r>
        <w:rPr>
          <w:i/>
          <w:spacing w:val="-7"/>
        </w:rPr>
        <w:t> </w:t>
      </w:r>
      <w:r>
        <w:rPr>
          <w:i/>
        </w:rPr>
        <w:t>case</w:t>
      </w:r>
      <w:r>
        <w:rPr/>
        <w:t>.</w:t>
      </w:r>
      <w:r>
        <w:rPr>
          <w:spacing w:val="-7"/>
        </w:rPr>
        <w:t> </w:t>
      </w:r>
      <w:r>
        <w:rPr/>
        <w:t>In</w:t>
      </w:r>
      <w:r>
        <w:rPr>
          <w:spacing w:val="-7"/>
        </w:rPr>
        <w:t> </w:t>
      </w:r>
      <w:r>
        <w:rPr/>
        <w:t>particular, that Article 2(1) WF has direct effect and individuals can rely on it in domestic courts.</w:t>
      </w:r>
      <w:r>
        <w:rPr>
          <w:vertAlign w:val="superscript"/>
        </w:rPr>
        <w:t>562</w:t>
      </w:r>
      <w:r>
        <w:rPr>
          <w:vertAlign w:val="baseline"/>
        </w:rPr>
        <w:t> Also that the Charter of Fundamental Rights remains enforceable in Northern Ireland and falls within the ambit of Article 2(1).</w:t>
      </w:r>
      <w:r>
        <w:rPr>
          <w:vertAlign w:val="superscript"/>
        </w:rPr>
        <w:t>563</w:t>
      </w:r>
    </w:p>
    <w:p>
      <w:pPr>
        <w:pStyle w:val="BodyText"/>
        <w:spacing w:line="232" w:lineRule="auto" w:before="277"/>
        <w:ind w:left="1117" w:right="1087"/>
      </w:pPr>
      <w:r>
        <w:rPr/>
        <w:t>In this case the Charter of Fundamental Rights was relevant as the UK, when adopting regulations on asylum seekers in 2005, was implementing an EU directive.</w:t>
      </w:r>
      <w:r>
        <w:rPr>
          <w:vertAlign w:val="superscript"/>
        </w:rPr>
        <w:t>564</w:t>
      </w:r>
      <w:r>
        <w:rPr>
          <w:spacing w:val="-9"/>
          <w:vertAlign w:val="baseline"/>
        </w:rPr>
        <w:t> </w:t>
      </w:r>
      <w:r>
        <w:rPr>
          <w:vertAlign w:val="baseline"/>
        </w:rPr>
        <w:t>This</w:t>
      </w:r>
      <w:r>
        <w:rPr>
          <w:spacing w:val="-9"/>
          <w:vertAlign w:val="baseline"/>
        </w:rPr>
        <w:t> </w:t>
      </w:r>
      <w:r>
        <w:rPr>
          <w:vertAlign w:val="baseline"/>
        </w:rPr>
        <w:t>satisfied</w:t>
      </w:r>
      <w:r>
        <w:rPr>
          <w:spacing w:val="-9"/>
          <w:vertAlign w:val="baseline"/>
        </w:rPr>
        <w:t> </w:t>
      </w:r>
      <w:r>
        <w:rPr>
          <w:vertAlign w:val="baseline"/>
        </w:rPr>
        <w:t>the</w:t>
      </w:r>
      <w:r>
        <w:rPr>
          <w:spacing w:val="-8"/>
          <w:vertAlign w:val="baseline"/>
        </w:rPr>
        <w:t> </w:t>
      </w:r>
      <w:r>
        <w:rPr>
          <w:vertAlign w:val="baseline"/>
        </w:rPr>
        <w:t>scope</w:t>
      </w:r>
      <w:r>
        <w:rPr>
          <w:spacing w:val="-8"/>
          <w:vertAlign w:val="baseline"/>
        </w:rPr>
        <w:t> </w:t>
      </w:r>
      <w:r>
        <w:rPr>
          <w:vertAlign w:val="baseline"/>
        </w:rPr>
        <w:t>requirement</w:t>
      </w:r>
      <w:r>
        <w:rPr>
          <w:spacing w:val="-8"/>
          <w:vertAlign w:val="baseline"/>
        </w:rPr>
        <w:t> </w:t>
      </w:r>
      <w:r>
        <w:rPr>
          <w:vertAlign w:val="baseline"/>
        </w:rPr>
        <w:t>in</w:t>
      </w:r>
      <w:r>
        <w:rPr>
          <w:spacing w:val="-9"/>
          <w:vertAlign w:val="baseline"/>
        </w:rPr>
        <w:t> </w:t>
      </w:r>
      <w:r>
        <w:rPr>
          <w:vertAlign w:val="baseline"/>
        </w:rPr>
        <w:t>Article</w:t>
      </w:r>
      <w:r>
        <w:rPr>
          <w:spacing w:val="-8"/>
          <w:vertAlign w:val="baseline"/>
        </w:rPr>
        <w:t> </w:t>
      </w:r>
      <w:r>
        <w:rPr>
          <w:vertAlign w:val="baseline"/>
        </w:rPr>
        <w:t>51</w:t>
      </w:r>
      <w:r>
        <w:rPr>
          <w:spacing w:val="-8"/>
          <w:vertAlign w:val="baseline"/>
        </w:rPr>
        <w:t> </w:t>
      </w:r>
      <w:r>
        <w:rPr>
          <w:vertAlign w:val="baseline"/>
        </w:rPr>
        <w:t>of</w:t>
      </w:r>
      <w:r>
        <w:rPr>
          <w:spacing w:val="-9"/>
          <w:vertAlign w:val="baseline"/>
        </w:rPr>
        <w:t> </w:t>
      </w:r>
      <w:r>
        <w:rPr>
          <w:vertAlign w:val="baseline"/>
        </w:rPr>
        <w:t>the</w:t>
      </w:r>
      <w:r>
        <w:rPr>
          <w:spacing w:val="-8"/>
          <w:vertAlign w:val="baseline"/>
        </w:rPr>
        <w:t> </w:t>
      </w:r>
      <w:r>
        <w:rPr>
          <w:vertAlign w:val="baseline"/>
        </w:rPr>
        <w:t>Charter</w:t>
      </w:r>
      <w:r>
        <w:rPr>
          <w:spacing w:val="-8"/>
          <w:vertAlign w:val="baseline"/>
        </w:rPr>
        <w:t> </w:t>
      </w:r>
      <w:r>
        <w:rPr>
          <w:vertAlign w:val="baseline"/>
        </w:rPr>
        <w:t>of Fundamental Rights.</w:t>
      </w:r>
    </w:p>
    <w:p>
      <w:pPr>
        <w:pStyle w:val="BodyText"/>
        <w:spacing w:line="232" w:lineRule="auto" w:before="277"/>
        <w:ind w:left="1117" w:right="750"/>
      </w:pPr>
      <w:r>
        <w:rPr/>
        <w:t>For the High Court the issue was whether the applicant had suffered a diminution in</w:t>
      </w:r>
      <w:r>
        <w:rPr>
          <w:spacing w:val="-4"/>
        </w:rPr>
        <w:t> </w:t>
      </w:r>
      <w:r>
        <w:rPr/>
        <w:t>rights</w:t>
      </w:r>
      <w:r>
        <w:rPr>
          <w:spacing w:val="-4"/>
        </w:rPr>
        <w:t> </w:t>
      </w:r>
      <w:r>
        <w:rPr/>
        <w:t>because</w:t>
      </w:r>
      <w:r>
        <w:rPr>
          <w:spacing w:val="-3"/>
        </w:rPr>
        <w:t> </w:t>
      </w:r>
      <w:r>
        <w:rPr/>
        <w:t>either</w:t>
      </w:r>
      <w:r>
        <w:rPr>
          <w:spacing w:val="-3"/>
        </w:rPr>
        <w:t> </w:t>
      </w:r>
      <w:r>
        <w:rPr/>
        <w:t>he</w:t>
      </w:r>
      <w:r>
        <w:rPr>
          <w:spacing w:val="-3"/>
        </w:rPr>
        <w:t> </w:t>
      </w:r>
      <w:r>
        <w:rPr/>
        <w:t>could</w:t>
      </w:r>
      <w:r>
        <w:rPr>
          <w:spacing w:val="-4"/>
        </w:rPr>
        <w:t> </w:t>
      </w:r>
      <w:r>
        <w:rPr/>
        <w:t>not</w:t>
      </w:r>
      <w:r>
        <w:rPr>
          <w:spacing w:val="-3"/>
        </w:rPr>
        <w:t> </w:t>
      </w:r>
      <w:r>
        <w:rPr/>
        <w:t>rely</w:t>
      </w:r>
      <w:r>
        <w:rPr>
          <w:spacing w:val="-3"/>
        </w:rPr>
        <w:t> </w:t>
      </w:r>
      <w:r>
        <w:rPr/>
        <w:t>on</w:t>
      </w:r>
      <w:r>
        <w:rPr>
          <w:spacing w:val="-4"/>
        </w:rPr>
        <w:t> </w:t>
      </w:r>
      <w:r>
        <w:rPr/>
        <w:t>the</w:t>
      </w:r>
      <w:r>
        <w:rPr>
          <w:spacing w:val="-3"/>
        </w:rPr>
        <w:t> </w:t>
      </w:r>
      <w:r>
        <w:rPr/>
        <w:t>Charter</w:t>
      </w:r>
      <w:r>
        <w:rPr>
          <w:spacing w:val="-3"/>
        </w:rPr>
        <w:t> </w:t>
      </w:r>
      <w:r>
        <w:rPr/>
        <w:t>in</w:t>
      </w:r>
      <w:r>
        <w:rPr>
          <w:spacing w:val="-4"/>
        </w:rPr>
        <w:t> </w:t>
      </w:r>
      <w:r>
        <w:rPr/>
        <w:t>Scotland</w:t>
      </w:r>
      <w:r>
        <w:rPr>
          <w:spacing w:val="-4"/>
        </w:rPr>
        <w:t> </w:t>
      </w:r>
      <w:r>
        <w:rPr/>
        <w:t>or</w:t>
      </w:r>
      <w:r>
        <w:rPr>
          <w:spacing w:val="-3"/>
        </w:rPr>
        <w:t> </w:t>
      </w:r>
      <w:r>
        <w:rPr/>
        <w:t>because</w:t>
      </w:r>
      <w:r>
        <w:rPr>
          <w:spacing w:val="-3"/>
        </w:rPr>
        <w:t> </w:t>
      </w:r>
      <w:r>
        <w:rPr/>
        <w:t>the Article</w:t>
      </w:r>
      <w:r>
        <w:rPr>
          <w:spacing w:val="-2"/>
        </w:rPr>
        <w:t> </w:t>
      </w:r>
      <w:r>
        <w:rPr/>
        <w:t>8</w:t>
      </w:r>
      <w:r>
        <w:rPr>
          <w:spacing w:val="-2"/>
        </w:rPr>
        <w:t> </w:t>
      </w:r>
      <w:r>
        <w:rPr/>
        <w:t>ECHR</w:t>
      </w:r>
      <w:r>
        <w:rPr>
          <w:spacing w:val="-3"/>
        </w:rPr>
        <w:t> </w:t>
      </w:r>
      <w:r>
        <w:rPr/>
        <w:t>protections</w:t>
      </w:r>
      <w:r>
        <w:rPr>
          <w:spacing w:val="-3"/>
        </w:rPr>
        <w:t> </w:t>
      </w:r>
      <w:r>
        <w:rPr/>
        <w:t>in</w:t>
      </w:r>
      <w:r>
        <w:rPr>
          <w:spacing w:val="-3"/>
        </w:rPr>
        <w:t> </w:t>
      </w:r>
      <w:r>
        <w:rPr/>
        <w:t>Scotland</w:t>
      </w:r>
      <w:r>
        <w:rPr>
          <w:spacing w:val="-3"/>
        </w:rPr>
        <w:t> </w:t>
      </w:r>
      <w:r>
        <w:rPr/>
        <w:t>were</w:t>
      </w:r>
      <w:r>
        <w:rPr>
          <w:spacing w:val="-2"/>
        </w:rPr>
        <w:t> </w:t>
      </w:r>
      <w:r>
        <w:rPr/>
        <w:t>different</w:t>
      </w:r>
      <w:r>
        <w:rPr>
          <w:spacing w:val="-2"/>
        </w:rPr>
        <w:t> </w:t>
      </w:r>
      <w:r>
        <w:rPr/>
        <w:t>from</w:t>
      </w:r>
      <w:r>
        <w:rPr>
          <w:spacing w:val="-2"/>
        </w:rPr>
        <w:t> </w:t>
      </w:r>
      <w:r>
        <w:rPr/>
        <w:t>what</w:t>
      </w:r>
      <w:r>
        <w:rPr>
          <w:spacing w:val="-2"/>
        </w:rPr>
        <w:t> </w:t>
      </w:r>
      <w:r>
        <w:rPr/>
        <w:t>the</w:t>
      </w:r>
      <w:r>
        <w:rPr>
          <w:spacing w:val="-2"/>
        </w:rPr>
        <w:t> </w:t>
      </w:r>
      <w:r>
        <w:rPr/>
        <w:t>Charter</w:t>
      </w:r>
      <w:r>
        <w:rPr>
          <w:spacing w:val="-2"/>
        </w:rPr>
        <w:t> </w:t>
      </w:r>
      <w:r>
        <w:rPr/>
        <w:t>would provide.</w:t>
      </w:r>
      <w:r>
        <w:rPr>
          <w:vertAlign w:val="superscript"/>
        </w:rPr>
        <w:t>565</w:t>
      </w:r>
      <w:r>
        <w:rPr>
          <w:vertAlign w:val="baseline"/>
        </w:rPr>
        <w:t> The Court rejected any claim of diminution as the applicant could rely on the Article 8 ECHR rights in Scotland.</w:t>
      </w:r>
      <w:r>
        <w:rPr>
          <w:vertAlign w:val="superscript"/>
        </w:rPr>
        <w:t>566</w:t>
      </w:r>
      <w:r>
        <w:rPr>
          <w:vertAlign w:val="baseline"/>
        </w:rPr>
        <w:t> The Court’s reasoning here is open to question. The Court rightly noted that the ECHR (via the Human Rights Act) has a wider scope than the Charter would have, and rightly suggests there is overlap in</w:t>
      </w:r>
    </w:p>
    <w:p>
      <w:pPr>
        <w:pStyle w:val="BodyText"/>
        <w:spacing w:before="39"/>
        <w:rPr>
          <w:sz w:val="20"/>
        </w:rPr>
      </w:pPr>
      <w:r>
        <w:rPr/>
        <mc:AlternateContent>
          <mc:Choice Requires="wps">
            <w:drawing>
              <wp:anchor distT="0" distB="0" distL="0" distR="0" allowOverlap="1" layoutInCell="1" locked="0" behindDoc="1" simplePos="0" relativeHeight="487761408">
                <wp:simplePos x="0" y="0"/>
                <wp:positionH relativeFrom="page">
                  <wp:posOffset>900000</wp:posOffset>
                </wp:positionH>
                <wp:positionV relativeFrom="paragraph">
                  <wp:posOffset>195409</wp:posOffset>
                </wp:positionV>
                <wp:extent cx="6012180" cy="1270"/>
                <wp:effectExtent l="0" t="0" r="0" b="0"/>
                <wp:wrapTopAndBottom/>
                <wp:docPr id="920" name="Graphic 920"/>
                <wp:cNvGraphicFramePr>
                  <a:graphicFrameLocks/>
                </wp:cNvGraphicFramePr>
                <a:graphic>
                  <a:graphicData uri="http://schemas.microsoft.com/office/word/2010/wordprocessingShape">
                    <wps:wsp>
                      <wps:cNvPr id="920" name="Graphic 92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15.386539pt;width:473.4pt;height:.1pt;mso-position-horizontal-relative:page;mso-position-vertical-relative:paragraph;z-index:-15555072;mso-wrap-distance-left:0;mso-wrap-distance-right:0" id="docshape755" coordorigin="1417,308" coordsize="9468,0" path="m1417,308l10885,308e" filled="false" stroked="true" strokeweight=".5pt" strokecolor="#36a9e1">
                <v:path arrowok="t"/>
                <v:stroke dashstyle="solid"/>
                <w10:wrap type="topAndBottom"/>
              </v:shape>
            </w:pict>
          </mc:Fallback>
        </mc:AlternateContent>
      </w:r>
    </w:p>
    <w:p>
      <w:pPr>
        <w:pStyle w:val="ListParagraph"/>
        <w:numPr>
          <w:ilvl w:val="0"/>
          <w:numId w:val="47"/>
        </w:numPr>
        <w:tabs>
          <w:tab w:pos="1684" w:val="left" w:leader="none"/>
        </w:tabs>
        <w:spacing w:line="240" w:lineRule="auto" w:before="43" w:after="0"/>
        <w:ind w:left="1684" w:right="0" w:hanging="567"/>
        <w:jc w:val="left"/>
        <w:rPr>
          <w:sz w:val="18"/>
        </w:rPr>
      </w:pPr>
      <w:r>
        <w:rPr>
          <w:color w:val="1D71B8"/>
          <w:sz w:val="18"/>
          <w:u w:val="single" w:color="1D71B8"/>
        </w:rPr>
        <w:t>Angesom</w:t>
      </w:r>
      <w:r>
        <w:rPr>
          <w:color w:val="1D71B8"/>
          <w:spacing w:val="-3"/>
          <w:sz w:val="18"/>
          <w:u w:val="none"/>
        </w:rPr>
        <w:t> </w:t>
      </w:r>
      <w:r>
        <w:rPr>
          <w:spacing w:val="-2"/>
          <w:sz w:val="18"/>
          <w:u w:val="none"/>
        </w:rPr>
        <w:t>[16].</w:t>
      </w:r>
    </w:p>
    <w:p>
      <w:pPr>
        <w:pStyle w:val="ListParagraph"/>
        <w:numPr>
          <w:ilvl w:val="0"/>
          <w:numId w:val="47"/>
        </w:numPr>
        <w:tabs>
          <w:tab w:pos="1684" w:val="left" w:leader="none"/>
        </w:tabs>
        <w:spacing w:line="240" w:lineRule="auto" w:before="1" w:after="0"/>
        <w:ind w:left="1684" w:right="0" w:hanging="567"/>
        <w:jc w:val="left"/>
        <w:rPr>
          <w:sz w:val="18"/>
        </w:rPr>
      </w:pPr>
      <w:r>
        <w:rPr>
          <w:sz w:val="18"/>
        </w:rPr>
        <w:t>Ibid.,</w:t>
      </w:r>
      <w:r>
        <w:rPr>
          <w:spacing w:val="-1"/>
          <w:sz w:val="18"/>
        </w:rPr>
        <w:t> </w:t>
      </w:r>
      <w:r>
        <w:rPr>
          <w:spacing w:val="-2"/>
          <w:sz w:val="18"/>
        </w:rPr>
        <w:t>[86].</w:t>
      </w:r>
    </w:p>
    <w:p>
      <w:pPr>
        <w:pStyle w:val="ListParagraph"/>
        <w:numPr>
          <w:ilvl w:val="0"/>
          <w:numId w:val="47"/>
        </w:numPr>
        <w:tabs>
          <w:tab w:pos="1684" w:val="left" w:leader="none"/>
        </w:tabs>
        <w:spacing w:line="240" w:lineRule="auto" w:before="0" w:after="0"/>
        <w:ind w:left="1684" w:right="0" w:hanging="567"/>
        <w:jc w:val="left"/>
        <w:rPr>
          <w:sz w:val="18"/>
        </w:rPr>
      </w:pPr>
      <w:r>
        <w:rPr>
          <w:sz w:val="18"/>
        </w:rPr>
        <w:t>Ibid., </w:t>
      </w:r>
      <w:r>
        <w:rPr>
          <w:spacing w:val="-2"/>
          <w:sz w:val="18"/>
        </w:rPr>
        <w:t>[91].</w:t>
      </w:r>
    </w:p>
    <w:p>
      <w:pPr>
        <w:pStyle w:val="ListParagraph"/>
        <w:numPr>
          <w:ilvl w:val="0"/>
          <w:numId w:val="47"/>
        </w:numPr>
        <w:tabs>
          <w:tab w:pos="1684" w:val="left" w:leader="none"/>
        </w:tabs>
        <w:spacing w:line="240" w:lineRule="auto" w:before="0" w:after="0"/>
        <w:ind w:left="1684" w:right="0" w:hanging="567"/>
        <w:jc w:val="left"/>
        <w:rPr>
          <w:sz w:val="18"/>
        </w:rPr>
      </w:pPr>
      <w:r>
        <w:rPr>
          <w:sz w:val="18"/>
        </w:rPr>
        <w:t>Ibid., </w:t>
      </w:r>
      <w:r>
        <w:rPr>
          <w:spacing w:val="-2"/>
          <w:sz w:val="18"/>
        </w:rPr>
        <w:t>[94].</w:t>
      </w:r>
    </w:p>
    <w:p>
      <w:pPr>
        <w:pStyle w:val="ListParagraph"/>
        <w:numPr>
          <w:ilvl w:val="0"/>
          <w:numId w:val="47"/>
        </w:numPr>
        <w:tabs>
          <w:tab w:pos="1684" w:val="left" w:leader="none"/>
        </w:tabs>
        <w:spacing w:line="240" w:lineRule="auto" w:before="0" w:after="0"/>
        <w:ind w:left="1684" w:right="0" w:hanging="567"/>
        <w:jc w:val="left"/>
        <w:rPr>
          <w:sz w:val="18"/>
        </w:rPr>
      </w:pPr>
      <w:r>
        <w:rPr>
          <w:sz w:val="18"/>
        </w:rPr>
        <w:t>Ibid., </w:t>
      </w:r>
      <w:r>
        <w:rPr>
          <w:spacing w:val="-2"/>
          <w:sz w:val="18"/>
        </w:rPr>
        <w:t>[96].</w:t>
      </w:r>
    </w:p>
    <w:p>
      <w:pPr>
        <w:pStyle w:val="ListParagraph"/>
        <w:numPr>
          <w:ilvl w:val="0"/>
          <w:numId w:val="47"/>
        </w:numPr>
        <w:tabs>
          <w:tab w:pos="1684" w:val="left" w:leader="none"/>
        </w:tabs>
        <w:spacing w:line="240" w:lineRule="auto" w:before="1" w:after="0"/>
        <w:ind w:left="1684" w:right="0" w:hanging="567"/>
        <w:jc w:val="left"/>
        <w:rPr>
          <w:sz w:val="18"/>
        </w:rPr>
      </w:pPr>
      <w:r>
        <w:rPr>
          <w:sz w:val="18"/>
        </w:rPr>
        <w:t>Ibid., </w:t>
      </w:r>
      <w:r>
        <w:rPr>
          <w:spacing w:val="-2"/>
          <w:sz w:val="18"/>
        </w:rPr>
        <w:t>[100].</w:t>
      </w:r>
    </w:p>
    <w:p>
      <w:pPr>
        <w:pStyle w:val="ListParagraph"/>
        <w:numPr>
          <w:ilvl w:val="0"/>
          <w:numId w:val="47"/>
        </w:numPr>
        <w:tabs>
          <w:tab w:pos="1684" w:val="left" w:leader="none"/>
        </w:tabs>
        <w:spacing w:line="240" w:lineRule="auto" w:before="0" w:after="0"/>
        <w:ind w:left="1684" w:right="0" w:hanging="567"/>
        <w:jc w:val="left"/>
        <w:rPr>
          <w:sz w:val="18"/>
        </w:rPr>
      </w:pPr>
      <w:r>
        <w:rPr>
          <w:sz w:val="18"/>
        </w:rPr>
        <w:t>Ibid., </w:t>
      </w:r>
      <w:r>
        <w:rPr>
          <w:spacing w:val="-2"/>
          <w:sz w:val="18"/>
        </w:rPr>
        <w:t>[103].</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80128">
                <wp:simplePos x="0" y="0"/>
                <wp:positionH relativeFrom="page">
                  <wp:posOffset>0</wp:posOffset>
                </wp:positionH>
                <wp:positionV relativeFrom="page">
                  <wp:posOffset>0</wp:posOffset>
                </wp:positionV>
                <wp:extent cx="7560309" cy="1155065"/>
                <wp:effectExtent l="0" t="0" r="0" b="0"/>
                <wp:wrapNone/>
                <wp:docPr id="921" name="Group 921"/>
                <wp:cNvGraphicFramePr>
                  <a:graphicFrameLocks/>
                </wp:cNvGraphicFramePr>
                <a:graphic>
                  <a:graphicData uri="http://schemas.microsoft.com/office/word/2010/wordprocessingGroup">
                    <wpg:wgp>
                      <wpg:cNvPr id="921" name="Group 921"/>
                      <wpg:cNvGrpSpPr/>
                      <wpg:grpSpPr>
                        <a:xfrm>
                          <a:off x="0" y="0"/>
                          <a:ext cx="7560309" cy="1155065"/>
                          <a:chExt cx="7560309" cy="1155065"/>
                        </a:xfrm>
                      </wpg:grpSpPr>
                      <wps:wsp>
                        <wps:cNvPr id="922" name="Graphic 922"/>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923" name="Graphic 923"/>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36352" id="docshapegroup756" coordorigin="0,0" coordsize="11906,1819">
                <v:shape style="position:absolute;left:0;top:0;width:11906;height:1819" id="docshape757"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110</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pPr>
      <w:r>
        <w:rPr/>
        <w:t>the</w:t>
      </w:r>
      <w:r>
        <w:rPr>
          <w:spacing w:val="-2"/>
        </w:rPr>
        <w:t> </w:t>
      </w:r>
      <w:r>
        <w:rPr/>
        <w:t>substantive</w:t>
      </w:r>
      <w:r>
        <w:rPr>
          <w:spacing w:val="-2"/>
        </w:rPr>
        <w:t> </w:t>
      </w:r>
      <w:r>
        <w:rPr/>
        <w:t>protection</w:t>
      </w:r>
      <w:r>
        <w:rPr>
          <w:spacing w:val="-3"/>
        </w:rPr>
        <w:t> </w:t>
      </w:r>
      <w:r>
        <w:rPr/>
        <w:t>offered</w:t>
      </w:r>
      <w:r>
        <w:rPr>
          <w:spacing w:val="-3"/>
        </w:rPr>
        <w:t> </w:t>
      </w:r>
      <w:r>
        <w:rPr/>
        <w:t>by</w:t>
      </w:r>
      <w:r>
        <w:rPr>
          <w:spacing w:val="-2"/>
        </w:rPr>
        <w:t> </w:t>
      </w:r>
      <w:r>
        <w:rPr/>
        <w:t>the</w:t>
      </w:r>
      <w:r>
        <w:rPr>
          <w:spacing w:val="-2"/>
        </w:rPr>
        <w:t> </w:t>
      </w:r>
      <w:r>
        <w:rPr/>
        <w:t>instruments.</w:t>
      </w:r>
      <w:r>
        <w:rPr>
          <w:spacing w:val="-3"/>
        </w:rPr>
        <w:t> </w:t>
      </w:r>
      <w:r>
        <w:rPr/>
        <w:t>However,</w:t>
      </w:r>
      <w:r>
        <w:rPr>
          <w:spacing w:val="-2"/>
        </w:rPr>
        <w:t> </w:t>
      </w:r>
      <w:r>
        <w:rPr/>
        <w:t>this</w:t>
      </w:r>
      <w:r>
        <w:rPr>
          <w:spacing w:val="-3"/>
        </w:rPr>
        <w:t> </w:t>
      </w:r>
      <w:r>
        <w:rPr/>
        <w:t>overlooks</w:t>
      </w:r>
      <w:r>
        <w:rPr>
          <w:spacing w:val="-3"/>
        </w:rPr>
        <w:t> </w:t>
      </w:r>
      <w:r>
        <w:rPr/>
        <w:t>the entrenched</w:t>
      </w:r>
      <w:r>
        <w:rPr>
          <w:spacing w:val="-7"/>
        </w:rPr>
        <w:t> </w:t>
      </w:r>
      <w:r>
        <w:rPr/>
        <w:t>aspect</w:t>
      </w:r>
      <w:r>
        <w:rPr>
          <w:spacing w:val="-6"/>
        </w:rPr>
        <w:t> </w:t>
      </w:r>
      <w:r>
        <w:rPr/>
        <w:t>of</w:t>
      </w:r>
      <w:r>
        <w:rPr>
          <w:spacing w:val="-6"/>
        </w:rPr>
        <w:t> </w:t>
      </w:r>
      <w:r>
        <w:rPr/>
        <w:t>Article</w:t>
      </w:r>
      <w:r>
        <w:rPr>
          <w:spacing w:val="-7"/>
        </w:rPr>
        <w:t> </w:t>
      </w:r>
      <w:r>
        <w:rPr/>
        <w:t>2</w:t>
      </w:r>
      <w:r>
        <w:rPr>
          <w:spacing w:val="-6"/>
        </w:rPr>
        <w:t> </w:t>
      </w:r>
      <w:r>
        <w:rPr/>
        <w:t>WF</w:t>
      </w:r>
      <w:r>
        <w:rPr>
          <w:spacing w:val="-7"/>
        </w:rPr>
        <w:t> </w:t>
      </w:r>
      <w:r>
        <w:rPr/>
        <w:t>rights</w:t>
      </w:r>
      <w:r>
        <w:rPr>
          <w:spacing w:val="-7"/>
        </w:rPr>
        <w:t> </w:t>
      </w:r>
      <w:r>
        <w:rPr/>
        <w:t>which</w:t>
      </w:r>
      <w:r>
        <w:rPr>
          <w:spacing w:val="-6"/>
        </w:rPr>
        <w:t> </w:t>
      </w:r>
      <w:r>
        <w:rPr/>
        <w:t>allows</w:t>
      </w:r>
      <w:r>
        <w:rPr>
          <w:spacing w:val="-7"/>
        </w:rPr>
        <w:t> </w:t>
      </w:r>
      <w:r>
        <w:rPr/>
        <w:t>them</w:t>
      </w:r>
      <w:r>
        <w:rPr>
          <w:spacing w:val="-6"/>
        </w:rPr>
        <w:t> </w:t>
      </w:r>
      <w:r>
        <w:rPr/>
        <w:t>to</w:t>
      </w:r>
      <w:r>
        <w:rPr>
          <w:spacing w:val="-7"/>
        </w:rPr>
        <w:t> </w:t>
      </w:r>
      <w:r>
        <w:rPr/>
        <w:t>prevail</w:t>
      </w:r>
      <w:r>
        <w:rPr>
          <w:spacing w:val="-6"/>
        </w:rPr>
        <w:t> </w:t>
      </w:r>
      <w:r>
        <w:rPr/>
        <w:t>over</w:t>
      </w:r>
      <w:r>
        <w:rPr>
          <w:spacing w:val="-7"/>
        </w:rPr>
        <w:t> </w:t>
      </w:r>
      <w:r>
        <w:rPr/>
        <w:t>contrary legislation. This is an important protection Article 8 ECHR cannot offer.</w:t>
      </w:r>
    </w:p>
    <w:p>
      <w:pPr>
        <w:pStyle w:val="BodyText"/>
        <w:spacing w:line="232" w:lineRule="auto" w:before="279"/>
        <w:ind w:left="720" w:right="1253"/>
      </w:pPr>
      <w:r>
        <w:rPr/>
        <w:t>The applicant also relied on two rights in the 1998 Agreement by virtue of Article</w:t>
      </w:r>
      <w:r>
        <w:rPr>
          <w:spacing w:val="40"/>
        </w:rPr>
        <w:t> </w:t>
      </w:r>
      <w:r>
        <w:rPr/>
        <w:t>2</w:t>
      </w:r>
      <w:r>
        <w:rPr>
          <w:spacing w:val="-5"/>
        </w:rPr>
        <w:t> </w:t>
      </w:r>
      <w:r>
        <w:rPr/>
        <w:t>WF:</w:t>
      </w:r>
      <w:r>
        <w:rPr>
          <w:spacing w:val="-5"/>
        </w:rPr>
        <w:t> </w:t>
      </w:r>
      <w:r>
        <w:rPr/>
        <w:t>the</w:t>
      </w:r>
      <w:r>
        <w:rPr>
          <w:spacing w:val="-5"/>
        </w:rPr>
        <w:t> </w:t>
      </w:r>
      <w:r>
        <w:rPr/>
        <w:t>right</w:t>
      </w:r>
      <w:r>
        <w:rPr>
          <w:spacing w:val="-5"/>
        </w:rPr>
        <w:t> </w:t>
      </w:r>
      <w:r>
        <w:rPr/>
        <w:t>to</w:t>
      </w:r>
      <w:r>
        <w:rPr>
          <w:spacing w:val="-6"/>
        </w:rPr>
        <w:t> </w:t>
      </w:r>
      <w:r>
        <w:rPr/>
        <w:t>freely</w:t>
      </w:r>
      <w:r>
        <w:rPr>
          <w:spacing w:val="-5"/>
        </w:rPr>
        <w:t> </w:t>
      </w:r>
      <w:r>
        <w:rPr/>
        <w:t>choose</w:t>
      </w:r>
      <w:r>
        <w:rPr>
          <w:spacing w:val="-5"/>
        </w:rPr>
        <w:t> </w:t>
      </w:r>
      <w:r>
        <w:rPr/>
        <w:t>one’s</w:t>
      </w:r>
      <w:r>
        <w:rPr>
          <w:spacing w:val="-6"/>
        </w:rPr>
        <w:t> </w:t>
      </w:r>
      <w:r>
        <w:rPr/>
        <w:t>residence</w:t>
      </w:r>
      <w:r>
        <w:rPr>
          <w:spacing w:val="-5"/>
        </w:rPr>
        <w:t> </w:t>
      </w:r>
      <w:r>
        <w:rPr/>
        <w:t>and</w:t>
      </w:r>
      <w:r>
        <w:rPr>
          <w:spacing w:val="-6"/>
        </w:rPr>
        <w:t> </w:t>
      </w:r>
      <w:r>
        <w:rPr/>
        <w:t>the</w:t>
      </w:r>
      <w:r>
        <w:rPr>
          <w:spacing w:val="-5"/>
        </w:rPr>
        <w:t> </w:t>
      </w:r>
      <w:r>
        <w:rPr/>
        <w:t>right</w:t>
      </w:r>
      <w:r>
        <w:rPr>
          <w:spacing w:val="-5"/>
        </w:rPr>
        <w:t> </w:t>
      </w:r>
      <w:r>
        <w:rPr/>
        <w:t>to</w:t>
      </w:r>
      <w:r>
        <w:rPr>
          <w:spacing w:val="-6"/>
        </w:rPr>
        <w:t> </w:t>
      </w:r>
      <w:r>
        <w:rPr/>
        <w:t>equal</w:t>
      </w:r>
      <w:r>
        <w:rPr>
          <w:spacing w:val="-6"/>
        </w:rPr>
        <w:t> </w:t>
      </w:r>
      <w:r>
        <w:rPr/>
        <w:t>opportunity in all social and economic activity. While the applicant could not have relied on a 1998 Agreement right outside the scope of Article 2 WF</w:t>
      </w:r>
      <w:r>
        <w:rPr>
          <w:vertAlign w:val="superscript"/>
        </w:rPr>
        <w:t>567</w:t>
      </w:r>
      <w:r>
        <w:rPr>
          <w:vertAlign w:val="baseline"/>
        </w:rPr>
        <w:t> he could rely on these rights within Article 2 WF. The parties, including the Secretary of State, accepted that asylum seekers could invoke the rights in the Rights, Safeguards and Equality of Opportunity section of the 1998 Agreement.</w:t>
      </w:r>
      <w:r>
        <w:rPr>
          <w:vertAlign w:val="superscript"/>
        </w:rPr>
        <w:t>568</w:t>
      </w:r>
      <w:r>
        <w:rPr>
          <w:vertAlign w:val="baseline"/>
        </w:rPr>
        <w:t> Although the Secretary of State argued that the Agreement had to be understood in the context of the conflict in 1998</w:t>
      </w:r>
      <w:r>
        <w:rPr>
          <w:vertAlign w:val="superscript"/>
        </w:rPr>
        <w:t>569</w:t>
      </w:r>
      <w:r>
        <w:rPr>
          <w:vertAlign w:val="baseline"/>
        </w:rPr>
        <w:t> the Court rejected this robustly:</w:t>
      </w:r>
    </w:p>
    <w:p>
      <w:pPr>
        <w:pStyle w:val="BodyText"/>
        <w:spacing w:before="5"/>
        <w:rPr>
          <w:sz w:val="19"/>
        </w:rPr>
      </w:pPr>
      <w:r>
        <w:rPr/>
        <mc:AlternateContent>
          <mc:Choice Requires="wps">
            <w:drawing>
              <wp:anchor distT="0" distB="0" distL="0" distR="0" allowOverlap="1" layoutInCell="1" locked="0" behindDoc="1" simplePos="0" relativeHeight="487762432">
                <wp:simplePos x="0" y="0"/>
                <wp:positionH relativeFrom="page">
                  <wp:posOffset>647994</wp:posOffset>
                </wp:positionH>
                <wp:positionV relativeFrom="paragraph">
                  <wp:posOffset>165959</wp:posOffset>
                </wp:positionV>
                <wp:extent cx="6012180" cy="1442085"/>
                <wp:effectExtent l="0" t="0" r="0" b="0"/>
                <wp:wrapTopAndBottom/>
                <wp:docPr id="924" name="Group 924"/>
                <wp:cNvGraphicFramePr>
                  <a:graphicFrameLocks/>
                </wp:cNvGraphicFramePr>
                <a:graphic>
                  <a:graphicData uri="http://schemas.microsoft.com/office/word/2010/wordprocessingGroup">
                    <wpg:wgp>
                      <wpg:cNvPr id="924" name="Group 924"/>
                      <wpg:cNvGrpSpPr/>
                      <wpg:grpSpPr>
                        <a:xfrm>
                          <a:off x="0" y="0"/>
                          <a:ext cx="6012180" cy="1442085"/>
                          <a:chExt cx="6012180" cy="1442085"/>
                        </a:xfrm>
                      </wpg:grpSpPr>
                      <wps:wsp>
                        <wps:cNvPr id="925" name="Graphic 925"/>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926" name="Textbox 926"/>
                        <wps:cNvSpPr txBox="1"/>
                        <wps:spPr>
                          <a:xfrm>
                            <a:off x="0" y="0"/>
                            <a:ext cx="6012180" cy="1442085"/>
                          </a:xfrm>
                          <a:prstGeom prst="rect">
                            <a:avLst/>
                          </a:prstGeom>
                        </wps:spPr>
                        <wps:txbx>
                          <w:txbxContent>
                            <w:p>
                              <w:pPr>
                                <w:spacing w:line="232" w:lineRule="auto" w:before="121"/>
                                <w:ind w:left="340" w:right="373" w:firstLine="0"/>
                                <w:jc w:val="left"/>
                                <w:rPr>
                                  <w:sz w:val="28"/>
                                </w:rPr>
                              </w:pPr>
                              <w:r>
                                <w:rPr>
                                  <w:color w:val="164194"/>
                                  <w:sz w:val="28"/>
                                </w:rPr>
                                <w:t>The</w:t>
                              </w:r>
                              <w:r>
                                <w:rPr>
                                  <w:color w:val="164194"/>
                                  <w:spacing w:val="-6"/>
                                  <w:sz w:val="28"/>
                                </w:rPr>
                                <w:t> </w:t>
                              </w:r>
                              <w:r>
                                <w:rPr>
                                  <w:color w:val="164194"/>
                                  <w:sz w:val="28"/>
                                </w:rPr>
                                <w:t>court</w:t>
                              </w:r>
                              <w:r>
                                <w:rPr>
                                  <w:color w:val="164194"/>
                                  <w:spacing w:val="-6"/>
                                  <w:sz w:val="28"/>
                                </w:rPr>
                                <w:t> </w:t>
                              </w:r>
                              <w:r>
                                <w:rPr>
                                  <w:color w:val="164194"/>
                                  <w:sz w:val="28"/>
                                </w:rPr>
                                <w:t>rejects</w:t>
                              </w:r>
                              <w:r>
                                <w:rPr>
                                  <w:color w:val="164194"/>
                                  <w:spacing w:val="-7"/>
                                  <w:sz w:val="28"/>
                                </w:rPr>
                                <w:t> </w:t>
                              </w:r>
                              <w:r>
                                <w:rPr>
                                  <w:color w:val="164194"/>
                                  <w:sz w:val="28"/>
                                </w:rPr>
                                <w:t>the</w:t>
                              </w:r>
                              <w:r>
                                <w:rPr>
                                  <w:color w:val="164194"/>
                                  <w:spacing w:val="-6"/>
                                  <w:sz w:val="28"/>
                                </w:rPr>
                                <w:t> </w:t>
                              </w:r>
                              <w:r>
                                <w:rPr>
                                  <w:color w:val="164194"/>
                                  <w:sz w:val="28"/>
                                </w:rPr>
                                <w:t>submission</w:t>
                              </w:r>
                              <w:r>
                                <w:rPr>
                                  <w:color w:val="164194"/>
                                  <w:spacing w:val="-7"/>
                                  <w:sz w:val="28"/>
                                </w:rPr>
                                <w:t> </w:t>
                              </w:r>
                              <w:r>
                                <w:rPr>
                                  <w:color w:val="164194"/>
                                  <w:sz w:val="28"/>
                                </w:rPr>
                                <w:t>by</w:t>
                              </w:r>
                              <w:r>
                                <w:rPr>
                                  <w:color w:val="164194"/>
                                  <w:spacing w:val="-6"/>
                                  <w:sz w:val="28"/>
                                </w:rPr>
                                <w:t> </w:t>
                              </w:r>
                              <w:r>
                                <w:rPr>
                                  <w:color w:val="164194"/>
                                  <w:sz w:val="28"/>
                                </w:rPr>
                                <w:t>the</w:t>
                              </w:r>
                              <w:r>
                                <w:rPr>
                                  <w:color w:val="164194"/>
                                  <w:spacing w:val="-6"/>
                                  <w:sz w:val="28"/>
                                </w:rPr>
                                <w:t> </w:t>
                              </w:r>
                              <w:r>
                                <w:rPr>
                                  <w:color w:val="164194"/>
                                  <w:sz w:val="28"/>
                                </w:rPr>
                                <w:t>respondent</w:t>
                              </w:r>
                              <w:r>
                                <w:rPr>
                                  <w:color w:val="164194"/>
                                  <w:spacing w:val="-6"/>
                                  <w:sz w:val="28"/>
                                </w:rPr>
                                <w:t> </w:t>
                              </w:r>
                              <w:r>
                                <w:rPr>
                                  <w:color w:val="164194"/>
                                  <w:sz w:val="28"/>
                                </w:rPr>
                                <w:t>that</w:t>
                              </w:r>
                              <w:r>
                                <w:rPr>
                                  <w:color w:val="164194"/>
                                  <w:spacing w:val="-6"/>
                                  <w:sz w:val="28"/>
                                </w:rPr>
                                <w:t> </w:t>
                              </w:r>
                              <w:r>
                                <w:rPr>
                                  <w:color w:val="164194"/>
                                  <w:sz w:val="28"/>
                                </w:rPr>
                                <w:t>the</w:t>
                              </w:r>
                              <w:r>
                                <w:rPr>
                                  <w:color w:val="164194"/>
                                  <w:spacing w:val="-6"/>
                                  <w:sz w:val="28"/>
                                </w:rPr>
                                <w:t> </w:t>
                              </w:r>
                              <w:r>
                                <w:rPr>
                                  <w:color w:val="164194"/>
                                  <w:sz w:val="28"/>
                                </w:rPr>
                                <w:t>rights</w:t>
                              </w:r>
                              <w:r>
                                <w:rPr>
                                  <w:color w:val="164194"/>
                                  <w:spacing w:val="-7"/>
                                  <w:sz w:val="28"/>
                                </w:rPr>
                                <w:t> </w:t>
                              </w:r>
                              <w:r>
                                <w:rPr>
                                  <w:color w:val="164194"/>
                                  <w:sz w:val="28"/>
                                </w:rPr>
                                <w:t>protected by Strand Three of the GFA are frozen in time and limited to the political context</w:t>
                              </w:r>
                              <w:r>
                                <w:rPr>
                                  <w:color w:val="164194"/>
                                  <w:spacing w:val="-8"/>
                                  <w:sz w:val="28"/>
                                </w:rPr>
                                <w:t> </w:t>
                              </w:r>
                              <w:r>
                                <w:rPr>
                                  <w:color w:val="164194"/>
                                  <w:sz w:val="28"/>
                                </w:rPr>
                                <w:t>of</w:t>
                              </w:r>
                              <w:r>
                                <w:rPr>
                                  <w:color w:val="164194"/>
                                  <w:spacing w:val="-9"/>
                                  <w:sz w:val="28"/>
                                </w:rPr>
                                <w:t> </w:t>
                              </w:r>
                              <w:r>
                                <w:rPr>
                                  <w:color w:val="164194"/>
                                  <w:sz w:val="28"/>
                                </w:rPr>
                                <w:t>1998.</w:t>
                              </w:r>
                              <w:r>
                                <w:rPr>
                                  <w:color w:val="164194"/>
                                  <w:spacing w:val="-9"/>
                                  <w:sz w:val="28"/>
                                </w:rPr>
                                <w:t> </w:t>
                              </w:r>
                              <w:r>
                                <w:rPr>
                                  <w:color w:val="164194"/>
                                  <w:sz w:val="28"/>
                                </w:rPr>
                                <w:t>The</w:t>
                              </w:r>
                              <w:r>
                                <w:rPr>
                                  <w:color w:val="164194"/>
                                  <w:spacing w:val="-8"/>
                                  <w:sz w:val="28"/>
                                </w:rPr>
                                <w:t> </w:t>
                              </w:r>
                              <w:r>
                                <w:rPr>
                                  <w:color w:val="164194"/>
                                  <w:sz w:val="28"/>
                                </w:rPr>
                                <w:t>GFA</w:t>
                              </w:r>
                              <w:r>
                                <w:rPr>
                                  <w:color w:val="164194"/>
                                  <w:spacing w:val="-8"/>
                                  <w:sz w:val="28"/>
                                </w:rPr>
                                <w:t> </w:t>
                              </w:r>
                              <w:r>
                                <w:rPr>
                                  <w:color w:val="164194"/>
                                  <w:sz w:val="28"/>
                                </w:rPr>
                                <w:t>was</w:t>
                              </w:r>
                              <w:r>
                                <w:rPr>
                                  <w:color w:val="164194"/>
                                  <w:spacing w:val="-9"/>
                                  <w:sz w:val="28"/>
                                </w:rPr>
                                <w:t> </w:t>
                              </w:r>
                              <w:r>
                                <w:rPr>
                                  <w:color w:val="164194"/>
                                  <w:sz w:val="28"/>
                                </w:rPr>
                                <w:t>drafted</w:t>
                              </w:r>
                              <w:r>
                                <w:rPr>
                                  <w:color w:val="164194"/>
                                  <w:spacing w:val="-9"/>
                                  <w:sz w:val="28"/>
                                </w:rPr>
                                <w:t> </w:t>
                              </w:r>
                              <w:r>
                                <w:rPr>
                                  <w:color w:val="164194"/>
                                  <w:sz w:val="28"/>
                                </w:rPr>
                                <w:t>with</w:t>
                              </w:r>
                              <w:r>
                                <w:rPr>
                                  <w:color w:val="164194"/>
                                  <w:spacing w:val="-9"/>
                                  <w:sz w:val="28"/>
                                </w:rPr>
                                <w:t> </w:t>
                              </w:r>
                              <w:r>
                                <w:rPr>
                                  <w:color w:val="164194"/>
                                  <w:sz w:val="28"/>
                                </w:rPr>
                                <w:t>the</w:t>
                              </w:r>
                              <w:r>
                                <w:rPr>
                                  <w:color w:val="164194"/>
                                  <w:spacing w:val="-8"/>
                                  <w:sz w:val="28"/>
                                </w:rPr>
                                <w:t> </w:t>
                              </w:r>
                              <w:r>
                                <w:rPr>
                                  <w:color w:val="164194"/>
                                  <w:sz w:val="28"/>
                                </w:rPr>
                                <w:t>protection</w:t>
                              </w:r>
                              <w:r>
                                <w:rPr>
                                  <w:color w:val="164194"/>
                                  <w:spacing w:val="-9"/>
                                  <w:sz w:val="28"/>
                                </w:rPr>
                                <w:t> </w:t>
                              </w:r>
                              <w:r>
                                <w:rPr>
                                  <w:color w:val="164194"/>
                                  <w:sz w:val="28"/>
                                </w:rPr>
                                <w:t>of</w:t>
                              </w:r>
                              <w:r>
                                <w:rPr>
                                  <w:color w:val="164194"/>
                                  <w:spacing w:val="-9"/>
                                  <w:sz w:val="28"/>
                                </w:rPr>
                                <w:t> </w:t>
                              </w:r>
                              <w:r>
                                <w:rPr>
                                  <w:color w:val="164194"/>
                                  <w:sz w:val="28"/>
                                </w:rPr>
                                <w:t>EU</w:t>
                              </w:r>
                              <w:r>
                                <w:rPr>
                                  <w:color w:val="164194"/>
                                  <w:spacing w:val="-8"/>
                                  <w:sz w:val="28"/>
                                </w:rPr>
                                <w:t> </w:t>
                              </w:r>
                              <w:r>
                                <w:rPr>
                                  <w:color w:val="164194"/>
                                  <w:sz w:val="28"/>
                                </w:rPr>
                                <w:t>fundamental human rights in mind and was therefore intended to protect the human rights of “everyone in the community” even “outside the background of the communal conflict.”</w:t>
                              </w:r>
                              <w:r>
                                <w:rPr>
                                  <w:color w:val="164194"/>
                                  <w:sz w:val="28"/>
                                  <w:vertAlign w:val="superscript"/>
                                </w:rPr>
                                <w:t>570</w:t>
                              </w:r>
                            </w:p>
                          </w:txbxContent>
                        </wps:txbx>
                        <wps:bodyPr wrap="square" lIns="0" tIns="0" rIns="0" bIns="0" rtlCol="0">
                          <a:noAutofit/>
                        </wps:bodyPr>
                      </wps:wsp>
                    </wpg:wgp>
                  </a:graphicData>
                </a:graphic>
              </wp:anchor>
            </w:drawing>
          </mc:Choice>
          <mc:Fallback>
            <w:pict>
              <v:group style="position:absolute;margin-left:51.023201pt;margin-top:13.06765pt;width:473.4pt;height:113.55pt;mso-position-horizontal-relative:page;mso-position-vertical-relative:paragraph;z-index:-15554048;mso-wrap-distance-left:0;mso-wrap-distance-right:0" id="docshapegroup758" coordorigin="1020,261" coordsize="9468,2271">
                <v:shape style="position:absolute;left:1020;top:261;width:9468;height:2271" id="docshape759" coordorigin="1020,261" coordsize="9468,2271" path="m10261,261l1247,261,1176,273,1113,305,1064,354,1032,416,1020,488,1020,2305,1032,2376,1064,2439,1113,2488,1176,2520,1247,2532,10261,2532,10333,2520,10395,2488,10444,2439,10477,2376,10488,2305,10488,488,10477,416,10444,354,10395,305,10333,273,10261,261xe" filled="true" fillcolor="#e9f3fc" stroked="false">
                  <v:path arrowok="t"/>
                  <v:fill type="solid"/>
                </v:shape>
                <v:shape style="position:absolute;left:1020;top:261;width:9468;height:2271" type="#_x0000_t202" id="docshape760" filled="false" stroked="false">
                  <v:textbox inset="0,0,0,0">
                    <w:txbxContent>
                      <w:p>
                        <w:pPr>
                          <w:spacing w:line="232" w:lineRule="auto" w:before="121"/>
                          <w:ind w:left="340" w:right="373" w:firstLine="0"/>
                          <w:jc w:val="left"/>
                          <w:rPr>
                            <w:sz w:val="28"/>
                          </w:rPr>
                        </w:pPr>
                        <w:r>
                          <w:rPr>
                            <w:color w:val="164194"/>
                            <w:sz w:val="28"/>
                          </w:rPr>
                          <w:t>The</w:t>
                        </w:r>
                        <w:r>
                          <w:rPr>
                            <w:color w:val="164194"/>
                            <w:spacing w:val="-6"/>
                            <w:sz w:val="28"/>
                          </w:rPr>
                          <w:t> </w:t>
                        </w:r>
                        <w:r>
                          <w:rPr>
                            <w:color w:val="164194"/>
                            <w:sz w:val="28"/>
                          </w:rPr>
                          <w:t>court</w:t>
                        </w:r>
                        <w:r>
                          <w:rPr>
                            <w:color w:val="164194"/>
                            <w:spacing w:val="-6"/>
                            <w:sz w:val="28"/>
                          </w:rPr>
                          <w:t> </w:t>
                        </w:r>
                        <w:r>
                          <w:rPr>
                            <w:color w:val="164194"/>
                            <w:sz w:val="28"/>
                          </w:rPr>
                          <w:t>rejects</w:t>
                        </w:r>
                        <w:r>
                          <w:rPr>
                            <w:color w:val="164194"/>
                            <w:spacing w:val="-7"/>
                            <w:sz w:val="28"/>
                          </w:rPr>
                          <w:t> </w:t>
                        </w:r>
                        <w:r>
                          <w:rPr>
                            <w:color w:val="164194"/>
                            <w:sz w:val="28"/>
                          </w:rPr>
                          <w:t>the</w:t>
                        </w:r>
                        <w:r>
                          <w:rPr>
                            <w:color w:val="164194"/>
                            <w:spacing w:val="-6"/>
                            <w:sz w:val="28"/>
                          </w:rPr>
                          <w:t> </w:t>
                        </w:r>
                        <w:r>
                          <w:rPr>
                            <w:color w:val="164194"/>
                            <w:sz w:val="28"/>
                          </w:rPr>
                          <w:t>submission</w:t>
                        </w:r>
                        <w:r>
                          <w:rPr>
                            <w:color w:val="164194"/>
                            <w:spacing w:val="-7"/>
                            <w:sz w:val="28"/>
                          </w:rPr>
                          <w:t> </w:t>
                        </w:r>
                        <w:r>
                          <w:rPr>
                            <w:color w:val="164194"/>
                            <w:sz w:val="28"/>
                          </w:rPr>
                          <w:t>by</w:t>
                        </w:r>
                        <w:r>
                          <w:rPr>
                            <w:color w:val="164194"/>
                            <w:spacing w:val="-6"/>
                            <w:sz w:val="28"/>
                          </w:rPr>
                          <w:t> </w:t>
                        </w:r>
                        <w:r>
                          <w:rPr>
                            <w:color w:val="164194"/>
                            <w:sz w:val="28"/>
                          </w:rPr>
                          <w:t>the</w:t>
                        </w:r>
                        <w:r>
                          <w:rPr>
                            <w:color w:val="164194"/>
                            <w:spacing w:val="-6"/>
                            <w:sz w:val="28"/>
                          </w:rPr>
                          <w:t> </w:t>
                        </w:r>
                        <w:r>
                          <w:rPr>
                            <w:color w:val="164194"/>
                            <w:sz w:val="28"/>
                          </w:rPr>
                          <w:t>respondent</w:t>
                        </w:r>
                        <w:r>
                          <w:rPr>
                            <w:color w:val="164194"/>
                            <w:spacing w:val="-6"/>
                            <w:sz w:val="28"/>
                          </w:rPr>
                          <w:t> </w:t>
                        </w:r>
                        <w:r>
                          <w:rPr>
                            <w:color w:val="164194"/>
                            <w:sz w:val="28"/>
                          </w:rPr>
                          <w:t>that</w:t>
                        </w:r>
                        <w:r>
                          <w:rPr>
                            <w:color w:val="164194"/>
                            <w:spacing w:val="-6"/>
                            <w:sz w:val="28"/>
                          </w:rPr>
                          <w:t> </w:t>
                        </w:r>
                        <w:r>
                          <w:rPr>
                            <w:color w:val="164194"/>
                            <w:sz w:val="28"/>
                          </w:rPr>
                          <w:t>the</w:t>
                        </w:r>
                        <w:r>
                          <w:rPr>
                            <w:color w:val="164194"/>
                            <w:spacing w:val="-6"/>
                            <w:sz w:val="28"/>
                          </w:rPr>
                          <w:t> </w:t>
                        </w:r>
                        <w:r>
                          <w:rPr>
                            <w:color w:val="164194"/>
                            <w:sz w:val="28"/>
                          </w:rPr>
                          <w:t>rights</w:t>
                        </w:r>
                        <w:r>
                          <w:rPr>
                            <w:color w:val="164194"/>
                            <w:spacing w:val="-7"/>
                            <w:sz w:val="28"/>
                          </w:rPr>
                          <w:t> </w:t>
                        </w:r>
                        <w:r>
                          <w:rPr>
                            <w:color w:val="164194"/>
                            <w:sz w:val="28"/>
                          </w:rPr>
                          <w:t>protected by Strand Three of the GFA are frozen in time and limited to the political context</w:t>
                        </w:r>
                        <w:r>
                          <w:rPr>
                            <w:color w:val="164194"/>
                            <w:spacing w:val="-8"/>
                            <w:sz w:val="28"/>
                          </w:rPr>
                          <w:t> </w:t>
                        </w:r>
                        <w:r>
                          <w:rPr>
                            <w:color w:val="164194"/>
                            <w:sz w:val="28"/>
                          </w:rPr>
                          <w:t>of</w:t>
                        </w:r>
                        <w:r>
                          <w:rPr>
                            <w:color w:val="164194"/>
                            <w:spacing w:val="-9"/>
                            <w:sz w:val="28"/>
                          </w:rPr>
                          <w:t> </w:t>
                        </w:r>
                        <w:r>
                          <w:rPr>
                            <w:color w:val="164194"/>
                            <w:sz w:val="28"/>
                          </w:rPr>
                          <w:t>1998.</w:t>
                        </w:r>
                        <w:r>
                          <w:rPr>
                            <w:color w:val="164194"/>
                            <w:spacing w:val="-9"/>
                            <w:sz w:val="28"/>
                          </w:rPr>
                          <w:t> </w:t>
                        </w:r>
                        <w:r>
                          <w:rPr>
                            <w:color w:val="164194"/>
                            <w:sz w:val="28"/>
                          </w:rPr>
                          <w:t>The</w:t>
                        </w:r>
                        <w:r>
                          <w:rPr>
                            <w:color w:val="164194"/>
                            <w:spacing w:val="-8"/>
                            <w:sz w:val="28"/>
                          </w:rPr>
                          <w:t> </w:t>
                        </w:r>
                        <w:r>
                          <w:rPr>
                            <w:color w:val="164194"/>
                            <w:sz w:val="28"/>
                          </w:rPr>
                          <w:t>GFA</w:t>
                        </w:r>
                        <w:r>
                          <w:rPr>
                            <w:color w:val="164194"/>
                            <w:spacing w:val="-8"/>
                            <w:sz w:val="28"/>
                          </w:rPr>
                          <w:t> </w:t>
                        </w:r>
                        <w:r>
                          <w:rPr>
                            <w:color w:val="164194"/>
                            <w:sz w:val="28"/>
                          </w:rPr>
                          <w:t>was</w:t>
                        </w:r>
                        <w:r>
                          <w:rPr>
                            <w:color w:val="164194"/>
                            <w:spacing w:val="-9"/>
                            <w:sz w:val="28"/>
                          </w:rPr>
                          <w:t> </w:t>
                        </w:r>
                        <w:r>
                          <w:rPr>
                            <w:color w:val="164194"/>
                            <w:sz w:val="28"/>
                          </w:rPr>
                          <w:t>drafted</w:t>
                        </w:r>
                        <w:r>
                          <w:rPr>
                            <w:color w:val="164194"/>
                            <w:spacing w:val="-9"/>
                            <w:sz w:val="28"/>
                          </w:rPr>
                          <w:t> </w:t>
                        </w:r>
                        <w:r>
                          <w:rPr>
                            <w:color w:val="164194"/>
                            <w:sz w:val="28"/>
                          </w:rPr>
                          <w:t>with</w:t>
                        </w:r>
                        <w:r>
                          <w:rPr>
                            <w:color w:val="164194"/>
                            <w:spacing w:val="-9"/>
                            <w:sz w:val="28"/>
                          </w:rPr>
                          <w:t> </w:t>
                        </w:r>
                        <w:r>
                          <w:rPr>
                            <w:color w:val="164194"/>
                            <w:sz w:val="28"/>
                          </w:rPr>
                          <w:t>the</w:t>
                        </w:r>
                        <w:r>
                          <w:rPr>
                            <w:color w:val="164194"/>
                            <w:spacing w:val="-8"/>
                            <w:sz w:val="28"/>
                          </w:rPr>
                          <w:t> </w:t>
                        </w:r>
                        <w:r>
                          <w:rPr>
                            <w:color w:val="164194"/>
                            <w:sz w:val="28"/>
                          </w:rPr>
                          <w:t>protection</w:t>
                        </w:r>
                        <w:r>
                          <w:rPr>
                            <w:color w:val="164194"/>
                            <w:spacing w:val="-9"/>
                            <w:sz w:val="28"/>
                          </w:rPr>
                          <w:t> </w:t>
                        </w:r>
                        <w:r>
                          <w:rPr>
                            <w:color w:val="164194"/>
                            <w:sz w:val="28"/>
                          </w:rPr>
                          <w:t>of</w:t>
                        </w:r>
                        <w:r>
                          <w:rPr>
                            <w:color w:val="164194"/>
                            <w:spacing w:val="-9"/>
                            <w:sz w:val="28"/>
                          </w:rPr>
                          <w:t> </w:t>
                        </w:r>
                        <w:r>
                          <w:rPr>
                            <w:color w:val="164194"/>
                            <w:sz w:val="28"/>
                          </w:rPr>
                          <w:t>EU</w:t>
                        </w:r>
                        <w:r>
                          <w:rPr>
                            <w:color w:val="164194"/>
                            <w:spacing w:val="-8"/>
                            <w:sz w:val="28"/>
                          </w:rPr>
                          <w:t> </w:t>
                        </w:r>
                        <w:r>
                          <w:rPr>
                            <w:color w:val="164194"/>
                            <w:sz w:val="28"/>
                          </w:rPr>
                          <w:t>fundamental human rights in mind and was therefore intended to protect the human rights of “everyone in the community” even “outside the background of the communal conflict.”</w:t>
                        </w:r>
                        <w:r>
                          <w:rPr>
                            <w:color w:val="164194"/>
                            <w:sz w:val="28"/>
                            <w:vertAlign w:val="superscript"/>
                          </w:rPr>
                          <w:t>570</w:t>
                        </w:r>
                      </w:p>
                    </w:txbxContent>
                  </v:textbox>
                  <w10:wrap type="none"/>
                </v:shape>
                <w10:wrap type="topAndBottom"/>
              </v:group>
            </w:pict>
          </mc:Fallback>
        </mc:AlternateContent>
      </w:r>
    </w:p>
    <w:p>
      <w:pPr>
        <w:pStyle w:val="BodyText"/>
        <w:spacing w:line="232" w:lineRule="auto" w:before="228"/>
        <w:ind w:left="720" w:right="1250"/>
      </w:pPr>
      <w:r>
        <w:rPr/>
        <w:t>The Court however rejected the applicant’s argument that the right to choose one’s place of residence applied to this particular situation; furthermore, the power to move asylum seekers existed as long ago as 2000 so there could not be an</w:t>
      </w:r>
      <w:r>
        <w:rPr>
          <w:spacing w:val="-8"/>
        </w:rPr>
        <w:t> </w:t>
      </w:r>
      <w:r>
        <w:rPr/>
        <w:t>argument</w:t>
      </w:r>
      <w:r>
        <w:rPr>
          <w:spacing w:val="-7"/>
        </w:rPr>
        <w:t> </w:t>
      </w:r>
      <w:r>
        <w:rPr/>
        <w:t>his</w:t>
      </w:r>
      <w:r>
        <w:rPr>
          <w:spacing w:val="-8"/>
        </w:rPr>
        <w:t> </w:t>
      </w:r>
      <w:r>
        <w:rPr/>
        <w:t>rights</w:t>
      </w:r>
      <w:r>
        <w:rPr>
          <w:spacing w:val="-8"/>
        </w:rPr>
        <w:t> </w:t>
      </w:r>
      <w:r>
        <w:rPr/>
        <w:t>had</w:t>
      </w:r>
      <w:r>
        <w:rPr>
          <w:spacing w:val="-8"/>
        </w:rPr>
        <w:t> </w:t>
      </w:r>
      <w:r>
        <w:rPr/>
        <w:t>been</w:t>
      </w:r>
      <w:r>
        <w:rPr>
          <w:spacing w:val="-8"/>
        </w:rPr>
        <w:t> </w:t>
      </w:r>
      <w:r>
        <w:rPr/>
        <w:t>infringed</w:t>
      </w:r>
      <w:r>
        <w:rPr>
          <w:spacing w:val="-8"/>
        </w:rPr>
        <w:t> </w:t>
      </w:r>
      <w:r>
        <w:rPr/>
        <w:t>because</w:t>
      </w:r>
      <w:r>
        <w:rPr>
          <w:spacing w:val="-7"/>
        </w:rPr>
        <w:t> </w:t>
      </w:r>
      <w:r>
        <w:rPr/>
        <w:t>of</w:t>
      </w:r>
      <w:r>
        <w:rPr>
          <w:spacing w:val="-8"/>
        </w:rPr>
        <w:t> </w:t>
      </w:r>
      <w:r>
        <w:rPr/>
        <w:t>the</w:t>
      </w:r>
      <w:r>
        <w:rPr>
          <w:spacing w:val="-7"/>
        </w:rPr>
        <w:t> </w:t>
      </w:r>
      <w:r>
        <w:rPr/>
        <w:t>UK’s</w:t>
      </w:r>
      <w:r>
        <w:rPr>
          <w:spacing w:val="-8"/>
        </w:rPr>
        <w:t> </w:t>
      </w:r>
      <w:r>
        <w:rPr/>
        <w:t>exit</w:t>
      </w:r>
      <w:r>
        <w:rPr>
          <w:spacing w:val="-7"/>
        </w:rPr>
        <w:t> </w:t>
      </w:r>
      <w:r>
        <w:rPr/>
        <w:t>from</w:t>
      </w:r>
      <w:r>
        <w:rPr>
          <w:spacing w:val="-7"/>
        </w:rPr>
        <w:t> </w:t>
      </w:r>
      <w:r>
        <w:rPr/>
        <w:t>the</w:t>
      </w:r>
      <w:r>
        <w:rPr>
          <w:spacing w:val="-7"/>
        </w:rPr>
        <w:t> </w:t>
      </w:r>
      <w:r>
        <w:rPr/>
        <w:t>EU.</w:t>
      </w:r>
      <w:r>
        <w:rPr>
          <w:vertAlign w:val="superscript"/>
        </w:rPr>
        <w:t>571</w:t>
      </w:r>
      <w:r>
        <w:rPr>
          <w:vertAlign w:val="baseline"/>
        </w:rPr>
        <w:t> The Court rejected the argument based on his right to equality of opportunity as ‘unparticularised assertions’.</w:t>
      </w:r>
      <w:r>
        <w:rPr>
          <w:vertAlign w:val="superscript"/>
        </w:rPr>
        <w:t>572</w:t>
      </w:r>
    </w:p>
    <w:p>
      <w:pPr>
        <w:pStyle w:val="BodyText"/>
        <w:spacing w:line="232" w:lineRule="auto" w:before="274"/>
        <w:ind w:left="720" w:right="1087"/>
      </w:pPr>
      <w:r>
        <w:rPr/>
        <w:t>The applicant also relied on the Reception Directive.</w:t>
      </w:r>
      <w:r>
        <w:rPr>
          <w:vertAlign w:val="superscript"/>
        </w:rPr>
        <w:t>573</w:t>
      </w:r>
      <w:r>
        <w:rPr>
          <w:vertAlign w:val="baseline"/>
        </w:rPr>
        <w:t> The Court accepted that Article</w:t>
      </w:r>
      <w:r>
        <w:rPr>
          <w:spacing w:val="-6"/>
          <w:vertAlign w:val="baseline"/>
        </w:rPr>
        <w:t> </w:t>
      </w:r>
      <w:r>
        <w:rPr>
          <w:vertAlign w:val="baseline"/>
        </w:rPr>
        <w:t>7(1)</w:t>
      </w:r>
      <w:r>
        <w:rPr>
          <w:spacing w:val="-7"/>
          <w:vertAlign w:val="baseline"/>
        </w:rPr>
        <w:t> </w:t>
      </w:r>
      <w:r>
        <w:rPr>
          <w:vertAlign w:val="baseline"/>
        </w:rPr>
        <w:t>was</w:t>
      </w:r>
      <w:r>
        <w:rPr>
          <w:spacing w:val="-7"/>
          <w:vertAlign w:val="baseline"/>
        </w:rPr>
        <w:t> </w:t>
      </w:r>
      <w:r>
        <w:rPr>
          <w:vertAlign w:val="baseline"/>
        </w:rPr>
        <w:t>directly</w:t>
      </w:r>
      <w:r>
        <w:rPr>
          <w:spacing w:val="-6"/>
          <w:vertAlign w:val="baseline"/>
        </w:rPr>
        <w:t> </w:t>
      </w:r>
      <w:r>
        <w:rPr>
          <w:vertAlign w:val="baseline"/>
        </w:rPr>
        <w:t>effective</w:t>
      </w:r>
      <w:r>
        <w:rPr>
          <w:spacing w:val="-6"/>
          <w:vertAlign w:val="baseline"/>
        </w:rPr>
        <w:t> </w:t>
      </w:r>
      <w:r>
        <w:rPr>
          <w:vertAlign w:val="baseline"/>
        </w:rPr>
        <w:t>but</w:t>
      </w:r>
      <w:r>
        <w:rPr>
          <w:spacing w:val="-6"/>
          <w:vertAlign w:val="baseline"/>
        </w:rPr>
        <w:t> </w:t>
      </w:r>
      <w:r>
        <w:rPr>
          <w:vertAlign w:val="baseline"/>
        </w:rPr>
        <w:t>found</w:t>
      </w:r>
      <w:r>
        <w:rPr>
          <w:spacing w:val="-7"/>
          <w:vertAlign w:val="baseline"/>
        </w:rPr>
        <w:t> </w:t>
      </w:r>
      <w:r>
        <w:rPr>
          <w:vertAlign w:val="baseline"/>
        </w:rPr>
        <w:t>it</w:t>
      </w:r>
      <w:r>
        <w:rPr>
          <w:spacing w:val="-6"/>
          <w:vertAlign w:val="baseline"/>
        </w:rPr>
        <w:t> </w:t>
      </w:r>
      <w:r>
        <w:rPr>
          <w:vertAlign w:val="baseline"/>
        </w:rPr>
        <w:t>was</w:t>
      </w:r>
      <w:r>
        <w:rPr>
          <w:spacing w:val="-7"/>
          <w:vertAlign w:val="baseline"/>
        </w:rPr>
        <w:t> </w:t>
      </w:r>
      <w:r>
        <w:rPr>
          <w:vertAlign w:val="baseline"/>
        </w:rPr>
        <w:t>not</w:t>
      </w:r>
      <w:r>
        <w:rPr>
          <w:spacing w:val="-6"/>
          <w:vertAlign w:val="baseline"/>
        </w:rPr>
        <w:t> </w:t>
      </w:r>
      <w:r>
        <w:rPr>
          <w:vertAlign w:val="baseline"/>
        </w:rPr>
        <w:t>breached;</w:t>
      </w:r>
      <w:r>
        <w:rPr>
          <w:spacing w:val="-6"/>
          <w:vertAlign w:val="baseline"/>
        </w:rPr>
        <w:t> </w:t>
      </w:r>
      <w:r>
        <w:rPr>
          <w:vertAlign w:val="baseline"/>
        </w:rPr>
        <w:t>other</w:t>
      </w:r>
      <w:r>
        <w:rPr>
          <w:spacing w:val="-6"/>
          <w:vertAlign w:val="baseline"/>
        </w:rPr>
        <w:t> </w:t>
      </w:r>
      <w:r>
        <w:rPr>
          <w:vertAlign w:val="baseline"/>
        </w:rPr>
        <w:t>provisions</w:t>
      </w:r>
      <w:r>
        <w:rPr>
          <w:spacing w:val="-7"/>
          <w:vertAlign w:val="baseline"/>
        </w:rPr>
        <w:t> </w:t>
      </w:r>
      <w:r>
        <w:rPr>
          <w:vertAlign w:val="baseline"/>
        </w:rPr>
        <w:t>in the directive were not directly effective;</w:t>
      </w:r>
      <w:r>
        <w:rPr>
          <w:vertAlign w:val="superscript"/>
        </w:rPr>
        <w:t>574</w:t>
      </w:r>
      <w:r>
        <w:rPr>
          <w:vertAlign w:val="baseline"/>
        </w:rPr>
        <w:t> in any event they had been transposed into UK laws and there was no evidence of diminution.</w:t>
      </w:r>
      <w:r>
        <w:rPr>
          <w:vertAlign w:val="superscript"/>
        </w:rPr>
        <w:t>575</w:t>
      </w:r>
    </w:p>
    <w:p>
      <w:pPr>
        <w:pStyle w:val="BodyText"/>
        <w:rPr>
          <w:sz w:val="20"/>
        </w:rPr>
      </w:pPr>
    </w:p>
    <w:p>
      <w:pPr>
        <w:pStyle w:val="BodyText"/>
        <w:rPr>
          <w:sz w:val="20"/>
        </w:rPr>
      </w:pPr>
    </w:p>
    <w:p>
      <w:pPr>
        <w:pStyle w:val="BodyText"/>
        <w:spacing w:before="162"/>
        <w:rPr>
          <w:sz w:val="20"/>
        </w:rPr>
      </w:pPr>
      <w:r>
        <w:rPr/>
        <mc:AlternateContent>
          <mc:Choice Requires="wps">
            <w:drawing>
              <wp:anchor distT="0" distB="0" distL="0" distR="0" allowOverlap="1" layoutInCell="1" locked="0" behindDoc="1" simplePos="0" relativeHeight="487762944">
                <wp:simplePos x="0" y="0"/>
                <wp:positionH relativeFrom="page">
                  <wp:posOffset>647999</wp:posOffset>
                </wp:positionH>
                <wp:positionV relativeFrom="paragraph">
                  <wp:posOffset>273321</wp:posOffset>
                </wp:positionV>
                <wp:extent cx="6012180" cy="1270"/>
                <wp:effectExtent l="0" t="0" r="0" b="0"/>
                <wp:wrapTopAndBottom/>
                <wp:docPr id="927" name="Graphic 927"/>
                <wp:cNvGraphicFramePr>
                  <a:graphicFrameLocks/>
                </wp:cNvGraphicFramePr>
                <a:graphic>
                  <a:graphicData uri="http://schemas.microsoft.com/office/word/2010/wordprocessingShape">
                    <wps:wsp>
                      <wps:cNvPr id="927" name="Graphic 92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1.521353pt;width:473.4pt;height:.1pt;mso-position-horizontal-relative:page;mso-position-vertical-relative:paragraph;z-index:-15553536;mso-wrap-distance-left:0;mso-wrap-distance-right:0" id="docshape761" coordorigin="1020,430" coordsize="9468,0" path="m1020,430l10488,430e" filled="false" stroked="true" strokeweight=".5pt" strokecolor="#36a9e1">
                <v:path arrowok="t"/>
                <v:stroke dashstyle="solid"/>
                <w10:wrap type="topAndBottom"/>
              </v:shape>
            </w:pict>
          </mc:Fallback>
        </mc:AlternateContent>
      </w:r>
    </w:p>
    <w:p>
      <w:pPr>
        <w:pStyle w:val="ListParagraph"/>
        <w:numPr>
          <w:ilvl w:val="0"/>
          <w:numId w:val="47"/>
        </w:numPr>
        <w:tabs>
          <w:tab w:pos="1287" w:val="left" w:leader="none"/>
        </w:tabs>
        <w:spacing w:line="240" w:lineRule="auto" w:before="43" w:after="0"/>
        <w:ind w:left="1287" w:right="1324" w:hanging="567"/>
        <w:jc w:val="left"/>
        <w:rPr>
          <w:sz w:val="18"/>
        </w:rPr>
      </w:pPr>
      <w:r>
        <w:rPr>
          <w:color w:val="1D71B8"/>
          <w:sz w:val="18"/>
          <w:u w:val="single" w:color="1D71B8"/>
        </w:rPr>
        <w:t>In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Matter</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an</w:t>
      </w:r>
      <w:r>
        <w:rPr>
          <w:color w:val="1D71B8"/>
          <w:spacing w:val="-5"/>
          <w:sz w:val="18"/>
          <w:u w:val="single" w:color="1D71B8"/>
        </w:rPr>
        <w:t> </w:t>
      </w:r>
      <w:r>
        <w:rPr>
          <w:color w:val="1D71B8"/>
          <w:sz w:val="18"/>
          <w:u w:val="single" w:color="1D71B8"/>
        </w:rPr>
        <w:t>Application</w:t>
      </w:r>
      <w:r>
        <w:rPr>
          <w:color w:val="1D71B8"/>
          <w:spacing w:val="-5"/>
          <w:sz w:val="18"/>
          <w:u w:val="single" w:color="1D71B8"/>
        </w:rPr>
        <w:t> </w:t>
      </w:r>
      <w:r>
        <w:rPr>
          <w:color w:val="1D71B8"/>
          <w:sz w:val="18"/>
          <w:u w:val="single" w:color="1D71B8"/>
        </w:rPr>
        <w:t>by</w:t>
      </w:r>
      <w:r>
        <w:rPr>
          <w:color w:val="1D71B8"/>
          <w:spacing w:val="-4"/>
          <w:sz w:val="18"/>
          <w:u w:val="single" w:color="1D71B8"/>
        </w:rPr>
        <w:t> </w:t>
      </w:r>
      <w:r>
        <w:rPr>
          <w:color w:val="1D71B8"/>
          <w:sz w:val="18"/>
          <w:u w:val="single" w:color="1D71B8"/>
        </w:rPr>
        <w:t>Caoimhe</w:t>
      </w:r>
      <w:r>
        <w:rPr>
          <w:color w:val="1D71B8"/>
          <w:spacing w:val="-4"/>
          <w:sz w:val="18"/>
          <w:u w:val="single" w:color="1D71B8"/>
        </w:rPr>
        <w:t> </w:t>
      </w:r>
      <w:r>
        <w:rPr>
          <w:color w:val="1D71B8"/>
          <w:sz w:val="18"/>
          <w:u w:val="single" w:color="1D71B8"/>
        </w:rPr>
        <w:t>Ní</w:t>
      </w:r>
      <w:r>
        <w:rPr>
          <w:color w:val="1D71B8"/>
          <w:spacing w:val="-5"/>
          <w:sz w:val="18"/>
          <w:u w:val="single" w:color="1D71B8"/>
        </w:rPr>
        <w:t> </w:t>
      </w:r>
      <w:r>
        <w:rPr>
          <w:color w:val="1D71B8"/>
          <w:sz w:val="18"/>
          <w:u w:val="single" w:color="1D71B8"/>
        </w:rPr>
        <w:t>Chuinneagain</w:t>
      </w:r>
      <w:r>
        <w:rPr>
          <w:color w:val="1D71B8"/>
          <w:spacing w:val="-5"/>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Leave</w:t>
      </w:r>
      <w:r>
        <w:rPr>
          <w:color w:val="1D71B8"/>
          <w:spacing w:val="-5"/>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Apply</w:t>
      </w:r>
      <w:r>
        <w:rPr>
          <w:color w:val="1D71B8"/>
          <w:spacing w:val="-4"/>
          <w:sz w:val="18"/>
          <w:u w:val="single" w:color="1D71B8"/>
        </w:rPr>
        <w:t> </w:t>
      </w:r>
      <w:r>
        <w:rPr>
          <w:color w:val="1D71B8"/>
          <w:sz w:val="18"/>
          <w:u w:val="single" w:color="1D71B8"/>
        </w:rPr>
        <w:t>For</w:t>
      </w:r>
      <w:r>
        <w:rPr>
          <w:color w:val="1D71B8"/>
          <w:spacing w:val="-4"/>
          <w:sz w:val="18"/>
          <w:u w:val="single" w:color="1D71B8"/>
        </w:rPr>
        <w:t> </w:t>
      </w:r>
      <w:r>
        <w:rPr>
          <w:color w:val="1D71B8"/>
          <w:sz w:val="18"/>
          <w:u w:val="single" w:color="1D71B8"/>
        </w:rPr>
        <w:t>Judicial</w:t>
      </w:r>
      <w:r>
        <w:rPr>
          <w:color w:val="1D71B8"/>
          <w:spacing w:val="-5"/>
          <w:sz w:val="18"/>
          <w:u w:val="single" w:color="1D71B8"/>
        </w:rPr>
        <w:t> </w:t>
      </w:r>
      <w:r>
        <w:rPr>
          <w:color w:val="1D71B8"/>
          <w:sz w:val="18"/>
          <w:u w:val="single" w:color="1D71B8"/>
        </w:rPr>
        <w:t>Review</w:t>
      </w:r>
      <w:r>
        <w:rPr>
          <w:color w:val="1D71B8"/>
          <w:spacing w:val="-6"/>
          <w:sz w:val="18"/>
          <w:u w:val="none"/>
        </w:rPr>
        <w:t> </w:t>
      </w:r>
      <w:r>
        <w:rPr>
          <w:sz w:val="18"/>
          <w:u w:val="none"/>
        </w:rPr>
        <w:t>[2021]</w:t>
      </w:r>
      <w:r>
        <w:rPr>
          <w:spacing w:val="-4"/>
          <w:sz w:val="18"/>
          <w:u w:val="none"/>
        </w:rPr>
        <w:t> </w:t>
      </w:r>
      <w:r>
        <w:rPr>
          <w:sz w:val="18"/>
          <w:u w:val="none"/>
        </w:rPr>
        <w:t>NIQB</w:t>
      </w:r>
      <w:r>
        <w:rPr>
          <w:spacing w:val="-4"/>
          <w:sz w:val="18"/>
          <w:u w:val="none"/>
        </w:rPr>
        <w:t> </w:t>
      </w:r>
      <w:r>
        <w:rPr>
          <w:sz w:val="18"/>
          <w:u w:val="none"/>
        </w:rPr>
        <w:t>79,</w:t>
      </w:r>
      <w:r>
        <w:rPr>
          <w:spacing w:val="-4"/>
          <w:sz w:val="18"/>
          <w:u w:val="none"/>
        </w:rPr>
        <w:t> </w:t>
      </w:r>
      <w:r>
        <w:rPr>
          <w:sz w:val="18"/>
          <w:u w:val="none"/>
        </w:rPr>
        <w:t>(24 September 2021).</w:t>
      </w:r>
    </w:p>
    <w:p>
      <w:pPr>
        <w:pStyle w:val="ListParagraph"/>
        <w:numPr>
          <w:ilvl w:val="0"/>
          <w:numId w:val="47"/>
        </w:numPr>
        <w:tabs>
          <w:tab w:pos="1287" w:val="left" w:leader="none"/>
        </w:tabs>
        <w:spacing w:line="240" w:lineRule="auto" w:before="1" w:after="0"/>
        <w:ind w:left="1287" w:right="0" w:hanging="567"/>
        <w:jc w:val="left"/>
        <w:rPr>
          <w:sz w:val="18"/>
        </w:rPr>
      </w:pPr>
      <w:r>
        <w:rPr>
          <w:color w:val="1D71B8"/>
          <w:sz w:val="18"/>
          <w:u w:val="single" w:color="1D71B8"/>
        </w:rPr>
        <w:t>Angesom</w:t>
      </w:r>
      <w:r>
        <w:rPr>
          <w:color w:val="1D71B8"/>
          <w:spacing w:val="-3"/>
          <w:sz w:val="18"/>
          <w:u w:val="none"/>
        </w:rPr>
        <w:t> </w:t>
      </w:r>
      <w:r>
        <w:rPr>
          <w:spacing w:val="-2"/>
          <w:sz w:val="18"/>
          <w:u w:val="none"/>
        </w:rPr>
        <w:t>[107].</w:t>
      </w:r>
    </w:p>
    <w:p>
      <w:pPr>
        <w:pStyle w:val="ListParagraph"/>
        <w:numPr>
          <w:ilvl w:val="0"/>
          <w:numId w:val="47"/>
        </w:numPr>
        <w:tabs>
          <w:tab w:pos="1287" w:val="left" w:leader="none"/>
        </w:tabs>
        <w:spacing w:line="240" w:lineRule="auto" w:before="0" w:after="0"/>
        <w:ind w:left="1287" w:right="0" w:hanging="567"/>
        <w:jc w:val="left"/>
        <w:rPr>
          <w:sz w:val="18"/>
        </w:rPr>
      </w:pPr>
      <w:r>
        <w:rPr>
          <w:sz w:val="18"/>
        </w:rPr>
        <w:t>This</w:t>
      </w:r>
      <w:r>
        <w:rPr>
          <w:spacing w:val="-5"/>
          <w:sz w:val="18"/>
        </w:rPr>
        <w:t> </w:t>
      </w:r>
      <w:r>
        <w:rPr>
          <w:sz w:val="18"/>
        </w:rPr>
        <w:t>point</w:t>
      </w:r>
      <w:r>
        <w:rPr>
          <w:spacing w:val="-3"/>
          <w:sz w:val="18"/>
        </w:rPr>
        <w:t> </w:t>
      </w:r>
      <w:r>
        <w:rPr>
          <w:sz w:val="18"/>
        </w:rPr>
        <w:t>had</w:t>
      </w:r>
      <w:r>
        <w:rPr>
          <w:spacing w:val="-4"/>
          <w:sz w:val="18"/>
        </w:rPr>
        <w:t> </w:t>
      </w:r>
      <w:r>
        <w:rPr>
          <w:sz w:val="18"/>
        </w:rPr>
        <w:t>also</w:t>
      </w:r>
      <w:r>
        <w:rPr>
          <w:spacing w:val="-4"/>
          <w:sz w:val="18"/>
        </w:rPr>
        <w:t> </w:t>
      </w:r>
      <w:r>
        <w:rPr>
          <w:sz w:val="18"/>
        </w:rPr>
        <w:t>been</w:t>
      </w:r>
      <w:r>
        <w:rPr>
          <w:spacing w:val="-4"/>
          <w:sz w:val="18"/>
        </w:rPr>
        <w:t> </w:t>
      </w:r>
      <w:r>
        <w:rPr>
          <w:sz w:val="18"/>
        </w:rPr>
        <w:t>made</w:t>
      </w:r>
      <w:r>
        <w:rPr>
          <w:spacing w:val="-3"/>
          <w:sz w:val="18"/>
        </w:rPr>
        <w:t> </w:t>
      </w:r>
      <w:r>
        <w:rPr>
          <w:sz w:val="18"/>
        </w:rPr>
        <w:t>by</w:t>
      </w:r>
      <w:r>
        <w:rPr>
          <w:spacing w:val="-3"/>
          <w:sz w:val="18"/>
        </w:rPr>
        <w:t> </w:t>
      </w:r>
      <w:r>
        <w:rPr>
          <w:sz w:val="18"/>
        </w:rPr>
        <w:t>the</w:t>
      </w:r>
      <w:r>
        <w:rPr>
          <w:spacing w:val="-3"/>
          <w:sz w:val="18"/>
        </w:rPr>
        <w:t> </w:t>
      </w:r>
      <w:r>
        <w:rPr>
          <w:sz w:val="18"/>
        </w:rPr>
        <w:t>Government</w:t>
      </w:r>
      <w:r>
        <w:rPr>
          <w:spacing w:val="-4"/>
          <w:sz w:val="18"/>
        </w:rPr>
        <w:t> </w:t>
      </w:r>
      <w:r>
        <w:rPr>
          <w:sz w:val="18"/>
        </w:rPr>
        <w:t>during</w:t>
      </w:r>
      <w:r>
        <w:rPr>
          <w:spacing w:val="-3"/>
          <w:sz w:val="18"/>
        </w:rPr>
        <w:t> </w:t>
      </w:r>
      <w:r>
        <w:rPr>
          <w:sz w:val="18"/>
        </w:rPr>
        <w:t>correspondence</w:t>
      </w:r>
      <w:r>
        <w:rPr>
          <w:spacing w:val="-3"/>
          <w:sz w:val="18"/>
        </w:rPr>
        <w:t> </w:t>
      </w:r>
      <w:r>
        <w:rPr>
          <w:sz w:val="18"/>
        </w:rPr>
        <w:t>on</w:t>
      </w:r>
      <w:r>
        <w:rPr>
          <w:spacing w:val="-4"/>
          <w:sz w:val="18"/>
        </w:rPr>
        <w:t> </w:t>
      </w:r>
      <w:r>
        <w:rPr>
          <w:sz w:val="18"/>
        </w:rPr>
        <w:t>the</w:t>
      </w:r>
      <w:r>
        <w:rPr>
          <w:spacing w:val="-3"/>
          <w:sz w:val="18"/>
        </w:rPr>
        <w:t> </w:t>
      </w:r>
      <w:r>
        <w:rPr>
          <w:sz w:val="18"/>
        </w:rPr>
        <w:t>National</w:t>
      </w:r>
      <w:r>
        <w:rPr>
          <w:spacing w:val="-4"/>
          <w:sz w:val="18"/>
        </w:rPr>
        <w:t> </w:t>
      </w:r>
      <w:r>
        <w:rPr>
          <w:sz w:val="18"/>
        </w:rPr>
        <w:t>and</w:t>
      </w:r>
      <w:r>
        <w:rPr>
          <w:spacing w:val="-4"/>
          <w:sz w:val="18"/>
        </w:rPr>
        <w:t> </w:t>
      </w:r>
      <w:r>
        <w:rPr>
          <w:sz w:val="18"/>
        </w:rPr>
        <w:t>Borders</w:t>
      </w:r>
      <w:r>
        <w:rPr>
          <w:spacing w:val="-4"/>
          <w:sz w:val="18"/>
        </w:rPr>
        <w:t> </w:t>
      </w:r>
      <w:r>
        <w:rPr>
          <w:sz w:val="18"/>
        </w:rPr>
        <w:t>Bill</w:t>
      </w:r>
      <w:r>
        <w:rPr>
          <w:spacing w:val="-5"/>
          <w:sz w:val="18"/>
        </w:rPr>
        <w:t> </w:t>
      </w:r>
      <w:r>
        <w:rPr>
          <w:sz w:val="18"/>
        </w:rPr>
        <w:t>(see</w:t>
      </w:r>
      <w:r>
        <w:rPr>
          <w:spacing w:val="-3"/>
          <w:sz w:val="18"/>
        </w:rPr>
        <w:t> </w:t>
      </w:r>
      <w:r>
        <w:rPr>
          <w:spacing w:val="-2"/>
          <w:sz w:val="18"/>
        </w:rPr>
        <w:t>above).</w:t>
      </w:r>
    </w:p>
    <w:p>
      <w:pPr>
        <w:pStyle w:val="ListParagraph"/>
        <w:numPr>
          <w:ilvl w:val="0"/>
          <w:numId w:val="47"/>
        </w:numPr>
        <w:tabs>
          <w:tab w:pos="1287" w:val="left" w:leader="none"/>
        </w:tabs>
        <w:spacing w:line="240" w:lineRule="auto" w:before="0" w:after="0"/>
        <w:ind w:left="1287" w:right="0" w:hanging="567"/>
        <w:jc w:val="left"/>
        <w:rPr>
          <w:sz w:val="18"/>
        </w:rPr>
      </w:pPr>
      <w:r>
        <w:rPr>
          <w:color w:val="1D71B8"/>
          <w:sz w:val="18"/>
          <w:u w:val="single" w:color="1D71B8"/>
        </w:rPr>
        <w:t>Angesom</w:t>
      </w:r>
      <w:r>
        <w:rPr>
          <w:color w:val="1D71B8"/>
          <w:spacing w:val="-3"/>
          <w:sz w:val="18"/>
          <w:u w:val="none"/>
        </w:rPr>
        <w:t> </w:t>
      </w:r>
      <w:r>
        <w:rPr>
          <w:spacing w:val="-2"/>
          <w:sz w:val="18"/>
          <w:u w:val="none"/>
        </w:rPr>
        <w:t>[108].</w:t>
      </w:r>
    </w:p>
    <w:p>
      <w:pPr>
        <w:pStyle w:val="ListParagraph"/>
        <w:numPr>
          <w:ilvl w:val="0"/>
          <w:numId w:val="47"/>
        </w:numPr>
        <w:tabs>
          <w:tab w:pos="1287" w:val="left" w:leader="none"/>
        </w:tabs>
        <w:spacing w:line="240" w:lineRule="auto" w:before="1" w:after="0"/>
        <w:ind w:left="1287" w:right="0" w:hanging="567"/>
        <w:jc w:val="left"/>
        <w:rPr>
          <w:sz w:val="18"/>
        </w:rPr>
      </w:pPr>
      <w:r>
        <w:rPr>
          <w:sz w:val="18"/>
        </w:rPr>
        <w:t>Ibid., </w:t>
      </w:r>
      <w:r>
        <w:rPr>
          <w:spacing w:val="-2"/>
          <w:sz w:val="18"/>
        </w:rPr>
        <w:t>[109].</w:t>
      </w:r>
    </w:p>
    <w:p>
      <w:pPr>
        <w:pStyle w:val="ListParagraph"/>
        <w:numPr>
          <w:ilvl w:val="0"/>
          <w:numId w:val="47"/>
        </w:numPr>
        <w:tabs>
          <w:tab w:pos="1287" w:val="left" w:leader="none"/>
        </w:tabs>
        <w:spacing w:line="240" w:lineRule="auto" w:before="0" w:after="0"/>
        <w:ind w:left="1287" w:right="0" w:hanging="567"/>
        <w:jc w:val="left"/>
        <w:rPr>
          <w:sz w:val="18"/>
        </w:rPr>
      </w:pPr>
      <w:r>
        <w:rPr>
          <w:sz w:val="18"/>
        </w:rPr>
        <w:t>Ibid., </w:t>
      </w:r>
      <w:r>
        <w:rPr>
          <w:spacing w:val="-2"/>
          <w:sz w:val="18"/>
        </w:rPr>
        <w:t>[112].</w:t>
      </w:r>
    </w:p>
    <w:p>
      <w:pPr>
        <w:pStyle w:val="ListParagraph"/>
        <w:numPr>
          <w:ilvl w:val="0"/>
          <w:numId w:val="47"/>
        </w:numPr>
        <w:tabs>
          <w:tab w:pos="1287" w:val="left" w:leader="none"/>
        </w:tabs>
        <w:spacing w:line="240" w:lineRule="auto" w:before="0" w:after="0"/>
        <w:ind w:left="1287" w:right="0" w:hanging="567"/>
        <w:jc w:val="left"/>
        <w:rPr>
          <w:sz w:val="18"/>
        </w:rPr>
      </w:pPr>
      <w:r>
        <w:rPr>
          <w:color w:val="1D71B8"/>
          <w:sz w:val="18"/>
          <w:u w:val="single" w:color="1D71B8"/>
        </w:rPr>
        <w:t>EU</w:t>
      </w:r>
      <w:r>
        <w:rPr>
          <w:color w:val="1D71B8"/>
          <w:spacing w:val="-5"/>
          <w:sz w:val="18"/>
          <w:u w:val="single" w:color="1D71B8"/>
        </w:rPr>
        <w:t> </w:t>
      </w:r>
      <w:r>
        <w:rPr>
          <w:color w:val="1D71B8"/>
          <w:sz w:val="18"/>
          <w:u w:val="single" w:color="1D71B8"/>
        </w:rPr>
        <w:t>Directive</w:t>
      </w:r>
      <w:r>
        <w:rPr>
          <w:color w:val="1D71B8"/>
          <w:spacing w:val="-5"/>
          <w:sz w:val="18"/>
          <w:u w:val="single" w:color="1D71B8"/>
        </w:rPr>
        <w:t> </w:t>
      </w:r>
      <w:r>
        <w:rPr>
          <w:color w:val="1D71B8"/>
          <w:sz w:val="18"/>
          <w:u w:val="single" w:color="1D71B8"/>
        </w:rPr>
        <w:t>2003/9/EC</w:t>
      </w:r>
      <w:r>
        <w:rPr>
          <w:color w:val="1D71B8"/>
          <w:spacing w:val="-6"/>
          <w:sz w:val="18"/>
          <w:u w:val="none"/>
        </w:rPr>
        <w:t> </w:t>
      </w:r>
      <w:r>
        <w:rPr>
          <w:sz w:val="18"/>
          <w:u w:val="none"/>
        </w:rPr>
        <w:t>laying</w:t>
      </w:r>
      <w:r>
        <w:rPr>
          <w:spacing w:val="-4"/>
          <w:sz w:val="18"/>
          <w:u w:val="none"/>
        </w:rPr>
        <w:t> </w:t>
      </w:r>
      <w:r>
        <w:rPr>
          <w:sz w:val="18"/>
          <w:u w:val="none"/>
        </w:rPr>
        <w:t>down</w:t>
      </w:r>
      <w:r>
        <w:rPr>
          <w:spacing w:val="-6"/>
          <w:sz w:val="18"/>
          <w:u w:val="none"/>
        </w:rPr>
        <w:t> </w:t>
      </w:r>
      <w:r>
        <w:rPr>
          <w:sz w:val="18"/>
          <w:u w:val="none"/>
        </w:rPr>
        <w:t>minimum</w:t>
      </w:r>
      <w:r>
        <w:rPr>
          <w:spacing w:val="-5"/>
          <w:sz w:val="18"/>
          <w:u w:val="none"/>
        </w:rPr>
        <w:t> </w:t>
      </w:r>
      <w:r>
        <w:rPr>
          <w:sz w:val="18"/>
          <w:u w:val="none"/>
        </w:rPr>
        <w:t>standards</w:t>
      </w:r>
      <w:r>
        <w:rPr>
          <w:spacing w:val="-5"/>
          <w:sz w:val="18"/>
          <w:u w:val="none"/>
        </w:rPr>
        <w:t> </w:t>
      </w:r>
      <w:r>
        <w:rPr>
          <w:sz w:val="18"/>
          <w:u w:val="none"/>
        </w:rPr>
        <w:t>for</w:t>
      </w:r>
      <w:r>
        <w:rPr>
          <w:spacing w:val="-5"/>
          <w:sz w:val="18"/>
          <w:u w:val="none"/>
        </w:rPr>
        <w:t> </w:t>
      </w:r>
      <w:r>
        <w:rPr>
          <w:sz w:val="18"/>
          <w:u w:val="none"/>
        </w:rPr>
        <w:t>the</w:t>
      </w:r>
      <w:r>
        <w:rPr>
          <w:spacing w:val="-5"/>
          <w:sz w:val="18"/>
          <w:u w:val="none"/>
        </w:rPr>
        <w:t> </w:t>
      </w:r>
      <w:r>
        <w:rPr>
          <w:sz w:val="18"/>
          <w:u w:val="none"/>
        </w:rPr>
        <w:t>reception</w:t>
      </w:r>
      <w:r>
        <w:rPr>
          <w:spacing w:val="-6"/>
          <w:sz w:val="18"/>
          <w:u w:val="none"/>
        </w:rPr>
        <w:t> </w:t>
      </w:r>
      <w:r>
        <w:rPr>
          <w:sz w:val="18"/>
          <w:u w:val="none"/>
        </w:rPr>
        <w:t>of</w:t>
      </w:r>
      <w:r>
        <w:rPr>
          <w:spacing w:val="-5"/>
          <w:sz w:val="18"/>
          <w:u w:val="none"/>
        </w:rPr>
        <w:t> </w:t>
      </w:r>
      <w:r>
        <w:rPr>
          <w:sz w:val="18"/>
          <w:u w:val="none"/>
        </w:rPr>
        <w:t>asylum</w:t>
      </w:r>
      <w:r>
        <w:rPr>
          <w:spacing w:val="-5"/>
          <w:sz w:val="18"/>
          <w:u w:val="none"/>
        </w:rPr>
        <w:t> </w:t>
      </w:r>
      <w:r>
        <w:rPr>
          <w:spacing w:val="-2"/>
          <w:sz w:val="18"/>
          <w:u w:val="none"/>
        </w:rPr>
        <w:t>seekers.</w:t>
      </w:r>
    </w:p>
    <w:p>
      <w:pPr>
        <w:pStyle w:val="ListParagraph"/>
        <w:numPr>
          <w:ilvl w:val="0"/>
          <w:numId w:val="47"/>
        </w:numPr>
        <w:tabs>
          <w:tab w:pos="1287" w:val="left" w:leader="none"/>
        </w:tabs>
        <w:spacing w:line="240" w:lineRule="auto" w:before="1" w:after="0"/>
        <w:ind w:left="1287" w:right="0" w:hanging="567"/>
        <w:jc w:val="left"/>
        <w:rPr>
          <w:sz w:val="18"/>
        </w:rPr>
      </w:pPr>
      <w:r>
        <w:rPr>
          <w:color w:val="1D71B8"/>
          <w:sz w:val="18"/>
          <w:u w:val="single" w:color="1D71B8"/>
        </w:rPr>
        <w:t>Angesom</w:t>
      </w:r>
      <w:r>
        <w:rPr>
          <w:color w:val="1D71B8"/>
          <w:spacing w:val="-4"/>
          <w:sz w:val="18"/>
          <w:u w:val="none"/>
        </w:rPr>
        <w:t> </w:t>
      </w:r>
      <w:r>
        <w:rPr>
          <w:sz w:val="18"/>
          <w:u w:val="none"/>
        </w:rPr>
        <w:t>[124],</w:t>
      </w:r>
      <w:r>
        <w:rPr>
          <w:spacing w:val="-3"/>
          <w:sz w:val="18"/>
          <w:u w:val="none"/>
        </w:rPr>
        <w:t> </w:t>
      </w:r>
      <w:r>
        <w:rPr>
          <w:sz w:val="18"/>
          <w:u w:val="none"/>
        </w:rPr>
        <w:t>finding</w:t>
      </w:r>
      <w:r>
        <w:rPr>
          <w:spacing w:val="-3"/>
          <w:sz w:val="18"/>
          <w:u w:val="none"/>
        </w:rPr>
        <w:t> </w:t>
      </w:r>
      <w:r>
        <w:rPr>
          <w:sz w:val="18"/>
          <w:u w:val="none"/>
        </w:rPr>
        <w:t>that</w:t>
      </w:r>
      <w:r>
        <w:rPr>
          <w:spacing w:val="-3"/>
          <w:sz w:val="18"/>
          <w:u w:val="none"/>
        </w:rPr>
        <w:t> </w:t>
      </w:r>
      <w:r>
        <w:rPr>
          <w:sz w:val="18"/>
          <w:u w:val="none"/>
        </w:rPr>
        <w:t>articles</w:t>
      </w:r>
      <w:r>
        <w:rPr>
          <w:spacing w:val="-4"/>
          <w:sz w:val="18"/>
          <w:u w:val="none"/>
        </w:rPr>
        <w:t> </w:t>
      </w:r>
      <w:r>
        <w:rPr>
          <w:sz w:val="18"/>
          <w:u w:val="none"/>
        </w:rPr>
        <w:t>7(2),</w:t>
      </w:r>
      <w:r>
        <w:rPr>
          <w:spacing w:val="-3"/>
          <w:sz w:val="18"/>
          <w:u w:val="none"/>
        </w:rPr>
        <w:t> </w:t>
      </w:r>
      <w:r>
        <w:rPr>
          <w:sz w:val="18"/>
          <w:u w:val="none"/>
        </w:rPr>
        <w:t>(3),</w:t>
      </w:r>
      <w:r>
        <w:rPr>
          <w:spacing w:val="-3"/>
          <w:sz w:val="18"/>
          <w:u w:val="none"/>
        </w:rPr>
        <w:t> </w:t>
      </w:r>
      <w:r>
        <w:rPr>
          <w:sz w:val="18"/>
          <w:u w:val="none"/>
        </w:rPr>
        <w:t>(4)</w:t>
      </w:r>
      <w:r>
        <w:rPr>
          <w:spacing w:val="-4"/>
          <w:sz w:val="18"/>
          <w:u w:val="none"/>
        </w:rPr>
        <w:t> </w:t>
      </w:r>
      <w:r>
        <w:rPr>
          <w:sz w:val="18"/>
          <w:u w:val="none"/>
        </w:rPr>
        <w:t>were</w:t>
      </w:r>
      <w:r>
        <w:rPr>
          <w:spacing w:val="-3"/>
          <w:sz w:val="18"/>
          <w:u w:val="none"/>
        </w:rPr>
        <w:t> </w:t>
      </w:r>
      <w:r>
        <w:rPr>
          <w:sz w:val="18"/>
          <w:u w:val="none"/>
        </w:rPr>
        <w:t>not</w:t>
      </w:r>
      <w:r>
        <w:rPr>
          <w:spacing w:val="-3"/>
          <w:sz w:val="18"/>
          <w:u w:val="none"/>
        </w:rPr>
        <w:t> </w:t>
      </w:r>
      <w:r>
        <w:rPr>
          <w:spacing w:val="-2"/>
          <w:sz w:val="18"/>
          <w:u w:val="none"/>
        </w:rPr>
        <w:t>unconditional.</w:t>
      </w:r>
    </w:p>
    <w:p>
      <w:pPr>
        <w:pStyle w:val="ListParagraph"/>
        <w:numPr>
          <w:ilvl w:val="0"/>
          <w:numId w:val="47"/>
        </w:numPr>
        <w:tabs>
          <w:tab w:pos="1287" w:val="left" w:leader="none"/>
        </w:tabs>
        <w:spacing w:line="240" w:lineRule="auto" w:before="0" w:after="0"/>
        <w:ind w:left="1287" w:right="1275" w:hanging="567"/>
        <w:jc w:val="both"/>
        <w:rPr>
          <w:sz w:val="18"/>
        </w:rPr>
      </w:pPr>
      <w:r>
        <w:rPr>
          <w:color w:val="1D71B8"/>
          <w:sz w:val="18"/>
          <w:u w:val="single" w:color="1D71B8"/>
        </w:rPr>
        <w:t>Angesom</w:t>
      </w:r>
      <w:r>
        <w:rPr>
          <w:color w:val="1D71B8"/>
          <w:spacing w:val="-1"/>
          <w:sz w:val="18"/>
          <w:u w:val="none"/>
        </w:rPr>
        <w:t> </w:t>
      </w:r>
      <w:r>
        <w:rPr>
          <w:sz w:val="18"/>
          <w:u w:val="none"/>
        </w:rPr>
        <w:t>[124]-[127].</w:t>
      </w:r>
      <w:r>
        <w:rPr>
          <w:spacing w:val="-1"/>
          <w:sz w:val="18"/>
          <w:u w:val="none"/>
        </w:rPr>
        <w:t> </w:t>
      </w:r>
      <w:r>
        <w:rPr>
          <w:sz w:val="18"/>
          <w:u w:val="none"/>
        </w:rPr>
        <w:t>In</w:t>
      </w:r>
      <w:r>
        <w:rPr>
          <w:spacing w:val="-1"/>
          <w:sz w:val="18"/>
          <w:u w:val="none"/>
        </w:rPr>
        <w:t> </w:t>
      </w:r>
      <w:r>
        <w:rPr>
          <w:sz w:val="18"/>
          <w:u w:val="none"/>
        </w:rPr>
        <w:t>the </w:t>
      </w:r>
      <w:r>
        <w:rPr>
          <w:i/>
          <w:sz w:val="18"/>
          <w:u w:val="none"/>
        </w:rPr>
        <w:t>Legacy</w:t>
      </w:r>
      <w:r>
        <w:rPr>
          <w:i/>
          <w:spacing w:val="-1"/>
          <w:sz w:val="18"/>
          <w:u w:val="none"/>
        </w:rPr>
        <w:t> </w:t>
      </w:r>
      <w:r>
        <w:rPr>
          <w:i/>
          <w:sz w:val="18"/>
          <w:u w:val="none"/>
        </w:rPr>
        <w:t>Act cases</w:t>
      </w:r>
      <w:r>
        <w:rPr>
          <w:i/>
          <w:spacing w:val="-1"/>
          <w:sz w:val="18"/>
          <w:u w:val="none"/>
        </w:rPr>
        <w:t> </w:t>
      </w:r>
      <w:r>
        <w:rPr>
          <w:i/>
          <w:sz w:val="18"/>
          <w:u w:val="none"/>
        </w:rPr>
        <w:t>(Dillon</w:t>
      </w:r>
      <w:r>
        <w:rPr>
          <w:i/>
          <w:spacing w:val="-1"/>
          <w:sz w:val="18"/>
          <w:u w:val="none"/>
        </w:rPr>
        <w:t> </w:t>
      </w:r>
      <w:r>
        <w:rPr>
          <w:i/>
          <w:sz w:val="18"/>
          <w:u w:val="none"/>
        </w:rPr>
        <w:t>and</w:t>
      </w:r>
      <w:r>
        <w:rPr>
          <w:i/>
          <w:spacing w:val="-1"/>
          <w:sz w:val="18"/>
          <w:u w:val="none"/>
        </w:rPr>
        <w:t> </w:t>
      </w:r>
      <w:r>
        <w:rPr>
          <w:i/>
          <w:sz w:val="18"/>
          <w:u w:val="none"/>
        </w:rPr>
        <w:t>others)</w:t>
      </w:r>
      <w:r>
        <w:rPr>
          <w:sz w:val="18"/>
          <w:u w:val="none"/>
        </w:rPr>
        <w:t>, the High</w:t>
      </w:r>
      <w:r>
        <w:rPr>
          <w:spacing w:val="-1"/>
          <w:sz w:val="18"/>
          <w:u w:val="none"/>
        </w:rPr>
        <w:t> </w:t>
      </w:r>
      <w:r>
        <w:rPr>
          <w:sz w:val="18"/>
          <w:u w:val="none"/>
        </w:rPr>
        <w:t>Court clarified</w:t>
      </w:r>
      <w:r>
        <w:rPr>
          <w:spacing w:val="-1"/>
          <w:sz w:val="18"/>
          <w:u w:val="none"/>
        </w:rPr>
        <w:t> </w:t>
      </w:r>
      <w:r>
        <w:rPr>
          <w:sz w:val="18"/>
          <w:u w:val="none"/>
        </w:rPr>
        <w:t>that where national</w:t>
      </w:r>
      <w:r>
        <w:rPr>
          <w:spacing w:val="-1"/>
          <w:sz w:val="18"/>
          <w:u w:val="none"/>
        </w:rPr>
        <w:t> </w:t>
      </w:r>
      <w:r>
        <w:rPr>
          <w:sz w:val="18"/>
          <w:u w:val="none"/>
        </w:rPr>
        <w:t>measures implementing</w:t>
      </w:r>
      <w:r>
        <w:rPr>
          <w:spacing w:val="-3"/>
          <w:sz w:val="18"/>
          <w:u w:val="none"/>
        </w:rPr>
        <w:t> </w:t>
      </w:r>
      <w:r>
        <w:rPr>
          <w:sz w:val="18"/>
          <w:u w:val="none"/>
        </w:rPr>
        <w:t>a</w:t>
      </w:r>
      <w:r>
        <w:rPr>
          <w:spacing w:val="-4"/>
          <w:sz w:val="18"/>
          <w:u w:val="none"/>
        </w:rPr>
        <w:t> </w:t>
      </w:r>
      <w:r>
        <w:rPr>
          <w:sz w:val="18"/>
          <w:u w:val="none"/>
        </w:rPr>
        <w:t>directive</w:t>
      </w:r>
      <w:r>
        <w:rPr>
          <w:spacing w:val="-3"/>
          <w:sz w:val="18"/>
          <w:u w:val="none"/>
        </w:rPr>
        <w:t> </w:t>
      </w:r>
      <w:r>
        <w:rPr>
          <w:sz w:val="18"/>
          <w:u w:val="none"/>
        </w:rPr>
        <w:t>had</w:t>
      </w:r>
      <w:r>
        <w:rPr>
          <w:spacing w:val="-4"/>
          <w:sz w:val="18"/>
          <w:u w:val="none"/>
        </w:rPr>
        <w:t> </w:t>
      </w:r>
      <w:r>
        <w:rPr>
          <w:sz w:val="18"/>
          <w:u w:val="none"/>
        </w:rPr>
        <w:t>not</w:t>
      </w:r>
      <w:r>
        <w:rPr>
          <w:spacing w:val="-3"/>
          <w:sz w:val="18"/>
          <w:u w:val="none"/>
        </w:rPr>
        <w:t> </w:t>
      </w:r>
      <w:r>
        <w:rPr>
          <w:sz w:val="18"/>
          <w:u w:val="none"/>
        </w:rPr>
        <w:t>been</w:t>
      </w:r>
      <w:r>
        <w:rPr>
          <w:spacing w:val="-4"/>
          <w:sz w:val="18"/>
          <w:u w:val="none"/>
        </w:rPr>
        <w:t> </w:t>
      </w:r>
      <w:r>
        <w:rPr>
          <w:sz w:val="18"/>
          <w:u w:val="none"/>
        </w:rPr>
        <w:t>applied</w:t>
      </w:r>
      <w:r>
        <w:rPr>
          <w:spacing w:val="-4"/>
          <w:sz w:val="18"/>
          <w:u w:val="none"/>
        </w:rPr>
        <w:t> </w:t>
      </w:r>
      <w:r>
        <w:rPr>
          <w:sz w:val="18"/>
          <w:u w:val="none"/>
        </w:rPr>
        <w:t>so</w:t>
      </w:r>
      <w:r>
        <w:rPr>
          <w:spacing w:val="-4"/>
          <w:sz w:val="18"/>
          <w:u w:val="none"/>
        </w:rPr>
        <w:t> </w:t>
      </w:r>
      <w:r>
        <w:rPr>
          <w:sz w:val="18"/>
          <w:u w:val="none"/>
        </w:rPr>
        <w:t>as</w:t>
      </w:r>
      <w:r>
        <w:rPr>
          <w:spacing w:val="-4"/>
          <w:sz w:val="18"/>
          <w:u w:val="none"/>
        </w:rPr>
        <w:t> </w:t>
      </w:r>
      <w:r>
        <w:rPr>
          <w:sz w:val="18"/>
          <w:u w:val="none"/>
        </w:rPr>
        <w:t>to</w:t>
      </w:r>
      <w:r>
        <w:rPr>
          <w:spacing w:val="-4"/>
          <w:sz w:val="18"/>
          <w:u w:val="none"/>
        </w:rPr>
        <w:t> </w:t>
      </w:r>
      <w:r>
        <w:rPr>
          <w:sz w:val="18"/>
          <w:u w:val="none"/>
        </w:rPr>
        <w:t>achieve</w:t>
      </w:r>
      <w:r>
        <w:rPr>
          <w:spacing w:val="-3"/>
          <w:sz w:val="18"/>
          <w:u w:val="none"/>
        </w:rPr>
        <w:t> </w:t>
      </w:r>
      <w:r>
        <w:rPr>
          <w:sz w:val="18"/>
          <w:u w:val="none"/>
        </w:rPr>
        <w:t>the</w:t>
      </w:r>
      <w:r>
        <w:rPr>
          <w:spacing w:val="-3"/>
          <w:sz w:val="18"/>
          <w:u w:val="none"/>
        </w:rPr>
        <w:t> </w:t>
      </w:r>
      <w:r>
        <w:rPr>
          <w:sz w:val="18"/>
          <w:u w:val="none"/>
        </w:rPr>
        <w:t>objectives</w:t>
      </w:r>
      <w:r>
        <w:rPr>
          <w:spacing w:val="-4"/>
          <w:sz w:val="18"/>
          <w:u w:val="none"/>
        </w:rPr>
        <w:t> </w:t>
      </w:r>
      <w:r>
        <w:rPr>
          <w:sz w:val="18"/>
          <w:u w:val="none"/>
        </w:rPr>
        <w:t>of</w:t>
      </w:r>
      <w:r>
        <w:rPr>
          <w:spacing w:val="-4"/>
          <w:sz w:val="18"/>
          <w:u w:val="none"/>
        </w:rPr>
        <w:t> </w:t>
      </w:r>
      <w:r>
        <w:rPr>
          <w:sz w:val="18"/>
          <w:u w:val="none"/>
        </w:rPr>
        <w:t>the</w:t>
      </w:r>
      <w:r>
        <w:rPr>
          <w:spacing w:val="-3"/>
          <w:sz w:val="18"/>
          <w:u w:val="none"/>
        </w:rPr>
        <w:t> </w:t>
      </w:r>
      <w:r>
        <w:rPr>
          <w:sz w:val="18"/>
          <w:u w:val="none"/>
        </w:rPr>
        <w:t>directive,</w:t>
      </w:r>
      <w:r>
        <w:rPr>
          <w:spacing w:val="-3"/>
          <w:sz w:val="18"/>
          <w:u w:val="none"/>
        </w:rPr>
        <w:t> </w:t>
      </w:r>
      <w:r>
        <w:rPr>
          <w:sz w:val="18"/>
          <w:u w:val="none"/>
        </w:rPr>
        <w:t>then</w:t>
      </w:r>
      <w:r>
        <w:rPr>
          <w:spacing w:val="-4"/>
          <w:sz w:val="18"/>
          <w:u w:val="none"/>
        </w:rPr>
        <w:t> </w:t>
      </w:r>
      <w:r>
        <w:rPr>
          <w:sz w:val="18"/>
          <w:u w:val="none"/>
        </w:rPr>
        <w:t>applicants</w:t>
      </w:r>
      <w:r>
        <w:rPr>
          <w:spacing w:val="-4"/>
          <w:sz w:val="18"/>
          <w:u w:val="none"/>
        </w:rPr>
        <w:t> </w:t>
      </w:r>
      <w:r>
        <w:rPr>
          <w:sz w:val="18"/>
          <w:u w:val="none"/>
        </w:rPr>
        <w:t>could</w:t>
      </w:r>
      <w:r>
        <w:rPr>
          <w:spacing w:val="-4"/>
          <w:sz w:val="18"/>
          <w:u w:val="none"/>
        </w:rPr>
        <w:t> </w:t>
      </w:r>
      <w:r>
        <w:rPr>
          <w:sz w:val="18"/>
          <w:u w:val="none"/>
        </w:rPr>
        <w:t>still rely on the provisions of the directive: [567].</w:t>
      </w:r>
    </w:p>
    <w:p>
      <w:pPr>
        <w:spacing w:after="0" w:line="240" w:lineRule="auto"/>
        <w:jc w:val="both"/>
        <w:rPr>
          <w:sz w:val="18"/>
        </w:rPr>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bookmarkStart w:name="5.4.3 The Legacy Act cases (Dillon and o" w:id="175"/>
      <w:bookmarkEnd w:id="175"/>
      <w:r>
        <w:rPr/>
      </w:r>
      <w:bookmarkStart w:name="_bookmark74" w:id="176"/>
      <w:bookmarkEnd w:id="176"/>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111</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081152">
                <wp:simplePos x="0" y="0"/>
                <wp:positionH relativeFrom="page">
                  <wp:posOffset>-2</wp:posOffset>
                </wp:positionH>
                <wp:positionV relativeFrom="page">
                  <wp:posOffset>0</wp:posOffset>
                </wp:positionV>
                <wp:extent cx="7560309" cy="1155065"/>
                <wp:effectExtent l="0" t="0" r="0" b="0"/>
                <wp:wrapNone/>
                <wp:docPr id="928" name="Group 928"/>
                <wp:cNvGraphicFramePr>
                  <a:graphicFrameLocks/>
                </wp:cNvGraphicFramePr>
                <a:graphic>
                  <a:graphicData uri="http://schemas.microsoft.com/office/word/2010/wordprocessingGroup">
                    <wpg:wgp>
                      <wpg:cNvPr id="928" name="Group 928"/>
                      <wpg:cNvGrpSpPr/>
                      <wpg:grpSpPr>
                        <a:xfrm>
                          <a:off x="0" y="0"/>
                          <a:ext cx="7560309" cy="1155065"/>
                          <a:chExt cx="7560309" cy="1155065"/>
                        </a:xfrm>
                      </wpg:grpSpPr>
                      <wps:wsp>
                        <wps:cNvPr id="929" name="Graphic 929"/>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930" name="Graphic 930"/>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35328" id="docshapegroup762" coordorigin="0,0" coordsize="11906,1819">
                <v:shape style="position:absolute;left:0;top:0;width:11906;height:1819" id="docshape763"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888"/>
      </w:pPr>
      <w:r>
        <w:rPr/>
        <w:t>The </w:t>
      </w:r>
      <w:r>
        <w:rPr>
          <w:i/>
        </w:rPr>
        <w:t>Angesom </w:t>
      </w:r>
      <w:r>
        <w:rPr/>
        <w:t>case is important in that the respondent was the Secretary of State for</w:t>
      </w:r>
      <w:r>
        <w:rPr>
          <w:spacing w:val="-5"/>
        </w:rPr>
        <w:t> </w:t>
      </w:r>
      <w:r>
        <w:rPr/>
        <w:t>the</w:t>
      </w:r>
      <w:r>
        <w:rPr>
          <w:spacing w:val="-5"/>
        </w:rPr>
        <w:t> </w:t>
      </w:r>
      <w:r>
        <w:rPr/>
        <w:t>Home</w:t>
      </w:r>
      <w:r>
        <w:rPr>
          <w:spacing w:val="-5"/>
        </w:rPr>
        <w:t> </w:t>
      </w:r>
      <w:r>
        <w:rPr/>
        <w:t>Department,</w:t>
      </w:r>
      <w:r>
        <w:rPr>
          <w:spacing w:val="-5"/>
        </w:rPr>
        <w:t> </w:t>
      </w:r>
      <w:r>
        <w:rPr/>
        <w:t>quashing</w:t>
      </w:r>
      <w:r>
        <w:rPr>
          <w:spacing w:val="-5"/>
        </w:rPr>
        <w:t> </w:t>
      </w:r>
      <w:r>
        <w:rPr/>
        <w:t>any</w:t>
      </w:r>
      <w:r>
        <w:rPr>
          <w:spacing w:val="-5"/>
        </w:rPr>
        <w:t> </w:t>
      </w:r>
      <w:r>
        <w:rPr/>
        <w:t>suggestion</w:t>
      </w:r>
      <w:r>
        <w:rPr>
          <w:spacing w:val="-6"/>
        </w:rPr>
        <w:t> </w:t>
      </w:r>
      <w:r>
        <w:rPr/>
        <w:t>that</w:t>
      </w:r>
      <w:r>
        <w:rPr>
          <w:spacing w:val="-5"/>
        </w:rPr>
        <w:t> </w:t>
      </w:r>
      <w:r>
        <w:rPr/>
        <w:t>Article</w:t>
      </w:r>
      <w:r>
        <w:rPr>
          <w:spacing w:val="-5"/>
        </w:rPr>
        <w:t> </w:t>
      </w:r>
      <w:r>
        <w:rPr/>
        <w:t>2</w:t>
      </w:r>
      <w:r>
        <w:rPr>
          <w:spacing w:val="-5"/>
        </w:rPr>
        <w:t> </w:t>
      </w:r>
      <w:r>
        <w:rPr/>
        <w:t>WF</w:t>
      </w:r>
      <w:r>
        <w:rPr>
          <w:spacing w:val="-6"/>
        </w:rPr>
        <w:t> </w:t>
      </w:r>
      <w:r>
        <w:rPr/>
        <w:t>only</w:t>
      </w:r>
      <w:r>
        <w:rPr>
          <w:spacing w:val="-5"/>
        </w:rPr>
        <w:t> </w:t>
      </w:r>
      <w:r>
        <w:rPr/>
        <w:t>applies to NI authorities. Further the Court accepted that asylum seekers could invoke Article 2 WF, and that the 1998 Agreement should not be read as limited to the specific context of the conflict in 1998.</w:t>
      </w:r>
    </w:p>
    <w:p>
      <w:pPr>
        <w:pStyle w:val="BodyText"/>
        <w:spacing w:before="50"/>
      </w:pPr>
    </w:p>
    <w:p>
      <w:pPr>
        <w:pStyle w:val="Heading3"/>
        <w:numPr>
          <w:ilvl w:val="2"/>
          <w:numId w:val="49"/>
        </w:numPr>
        <w:tabs>
          <w:tab w:pos="1755" w:val="left" w:leader="none"/>
        </w:tabs>
        <w:spacing w:line="336" w:lineRule="exact" w:before="0" w:after="0"/>
        <w:ind w:left="1755" w:right="0" w:hanging="638"/>
        <w:jc w:val="left"/>
      </w:pPr>
      <w:r>
        <w:rPr>
          <w:color w:val="004A93"/>
        </w:rPr>
        <w:t>The</w:t>
      </w:r>
      <w:r>
        <w:rPr>
          <w:color w:val="004A93"/>
          <w:spacing w:val="-3"/>
        </w:rPr>
        <w:t> </w:t>
      </w:r>
      <w:r>
        <w:rPr>
          <w:color w:val="004A93"/>
        </w:rPr>
        <w:t>Legacy</w:t>
      </w:r>
      <w:r>
        <w:rPr>
          <w:color w:val="004A93"/>
          <w:spacing w:val="-2"/>
        </w:rPr>
        <w:t> </w:t>
      </w:r>
      <w:r>
        <w:rPr>
          <w:color w:val="004A93"/>
        </w:rPr>
        <w:t>Act</w:t>
      </w:r>
      <w:r>
        <w:rPr>
          <w:color w:val="004A93"/>
          <w:spacing w:val="-2"/>
        </w:rPr>
        <w:t> </w:t>
      </w:r>
      <w:r>
        <w:rPr>
          <w:color w:val="004A93"/>
        </w:rPr>
        <w:t>cases</w:t>
      </w:r>
      <w:r>
        <w:rPr>
          <w:color w:val="004A93"/>
          <w:spacing w:val="-2"/>
        </w:rPr>
        <w:t> </w:t>
      </w:r>
      <w:r>
        <w:rPr>
          <w:color w:val="004A93"/>
        </w:rPr>
        <w:t>(Dillon</w:t>
      </w:r>
      <w:r>
        <w:rPr>
          <w:color w:val="004A93"/>
          <w:spacing w:val="-2"/>
        </w:rPr>
        <w:t> </w:t>
      </w:r>
      <w:r>
        <w:rPr>
          <w:color w:val="004A93"/>
        </w:rPr>
        <w:t>and</w:t>
      </w:r>
      <w:r>
        <w:rPr>
          <w:color w:val="004A93"/>
          <w:spacing w:val="-1"/>
        </w:rPr>
        <w:t> </w:t>
      </w:r>
      <w:r>
        <w:rPr>
          <w:color w:val="004A93"/>
          <w:spacing w:val="-2"/>
        </w:rPr>
        <w:t>others)</w:t>
      </w:r>
    </w:p>
    <w:p>
      <w:pPr>
        <w:pStyle w:val="BodyText"/>
        <w:spacing w:line="232" w:lineRule="auto" w:before="2"/>
        <w:ind w:left="1117" w:right="780"/>
      </w:pPr>
      <w:r>
        <w:rPr/>
        <w:t>The</w:t>
      </w:r>
      <w:r>
        <w:rPr>
          <w:spacing w:val="-4"/>
        </w:rPr>
        <w:t> </w:t>
      </w:r>
      <w:r>
        <w:rPr>
          <w:i/>
        </w:rPr>
        <w:t>Legacy</w:t>
      </w:r>
      <w:r>
        <w:rPr>
          <w:i/>
          <w:spacing w:val="-4"/>
        </w:rPr>
        <w:t> </w:t>
      </w:r>
      <w:r>
        <w:rPr>
          <w:i/>
        </w:rPr>
        <w:t>Act</w:t>
      </w:r>
      <w:r>
        <w:rPr>
          <w:i/>
          <w:spacing w:val="-3"/>
        </w:rPr>
        <w:t> </w:t>
      </w:r>
      <w:r>
        <w:rPr>
          <w:i/>
        </w:rPr>
        <w:t>cases</w:t>
      </w:r>
      <w:r>
        <w:rPr>
          <w:i/>
          <w:spacing w:val="-4"/>
        </w:rPr>
        <w:t> </w:t>
      </w:r>
      <w:r>
        <w:rPr>
          <w:i/>
        </w:rPr>
        <w:t>(Dillon</w:t>
      </w:r>
      <w:r>
        <w:rPr>
          <w:i/>
          <w:spacing w:val="-4"/>
        </w:rPr>
        <w:t> </w:t>
      </w:r>
      <w:r>
        <w:rPr>
          <w:i/>
        </w:rPr>
        <w:t>and</w:t>
      </w:r>
      <w:r>
        <w:rPr>
          <w:i/>
          <w:spacing w:val="-4"/>
        </w:rPr>
        <w:t> </w:t>
      </w:r>
      <w:r>
        <w:rPr>
          <w:i/>
        </w:rPr>
        <w:t>others)</w:t>
      </w:r>
      <w:r>
        <w:rPr>
          <w:i/>
          <w:spacing w:val="-3"/>
        </w:rPr>
        <w:t> </w:t>
      </w:r>
      <w:r>
        <w:rPr/>
        <w:t>is</w:t>
      </w:r>
      <w:r>
        <w:rPr>
          <w:spacing w:val="-4"/>
        </w:rPr>
        <w:t> </w:t>
      </w:r>
      <w:r>
        <w:rPr/>
        <w:t>the</w:t>
      </w:r>
      <w:r>
        <w:rPr>
          <w:spacing w:val="-3"/>
        </w:rPr>
        <w:t> </w:t>
      </w:r>
      <w:r>
        <w:rPr/>
        <w:t>most</w:t>
      </w:r>
      <w:r>
        <w:rPr>
          <w:spacing w:val="-3"/>
        </w:rPr>
        <w:t> </w:t>
      </w:r>
      <w:r>
        <w:rPr/>
        <w:t>high-profile</w:t>
      </w:r>
      <w:r>
        <w:rPr>
          <w:spacing w:val="-3"/>
        </w:rPr>
        <w:t> </w:t>
      </w:r>
      <w:r>
        <w:rPr/>
        <w:t>case</w:t>
      </w:r>
      <w:r>
        <w:rPr>
          <w:spacing w:val="-3"/>
        </w:rPr>
        <w:t> </w:t>
      </w:r>
      <w:r>
        <w:rPr/>
        <w:t>to</w:t>
      </w:r>
      <w:r>
        <w:rPr>
          <w:spacing w:val="-4"/>
        </w:rPr>
        <w:t> </w:t>
      </w:r>
      <w:r>
        <w:rPr/>
        <w:t>be</w:t>
      </w:r>
      <w:r>
        <w:rPr>
          <w:spacing w:val="-3"/>
        </w:rPr>
        <w:t> </w:t>
      </w:r>
      <w:r>
        <w:rPr/>
        <w:t>decided under Article 2 WF and the first where the courts have found a violation resulting in the disapplication of primary legislation, as envisaged under the Withdrawal Agreement and section 7A of the European Union (Withdrawal) Act 2018.</w:t>
      </w:r>
      <w:r>
        <w:rPr>
          <w:vertAlign w:val="superscript"/>
        </w:rPr>
        <w:t>576</w:t>
      </w:r>
    </w:p>
    <w:p>
      <w:pPr>
        <w:pStyle w:val="BodyText"/>
        <w:spacing w:line="232" w:lineRule="auto" w:before="277"/>
        <w:ind w:left="1117" w:right="1087"/>
      </w:pPr>
      <w:r>
        <w:rPr/>
        <w:t>The case concerned judicial reviews brought by victims and survivors of the conflict</w:t>
      </w:r>
      <w:r>
        <w:rPr>
          <w:spacing w:val="-9"/>
        </w:rPr>
        <w:t> </w:t>
      </w:r>
      <w:r>
        <w:rPr/>
        <w:t>in</w:t>
      </w:r>
      <w:r>
        <w:rPr>
          <w:spacing w:val="-10"/>
        </w:rPr>
        <w:t> </w:t>
      </w:r>
      <w:r>
        <w:rPr/>
        <w:t>relation</w:t>
      </w:r>
      <w:r>
        <w:rPr>
          <w:spacing w:val="-10"/>
        </w:rPr>
        <w:t> </w:t>
      </w:r>
      <w:r>
        <w:rPr/>
        <w:t>to</w:t>
      </w:r>
      <w:r>
        <w:rPr>
          <w:spacing w:val="-10"/>
        </w:rPr>
        <w:t> </w:t>
      </w:r>
      <w:r>
        <w:rPr/>
        <w:t>the</w:t>
      </w:r>
      <w:r>
        <w:rPr>
          <w:spacing w:val="-9"/>
        </w:rPr>
        <w:t> </w:t>
      </w:r>
      <w:r>
        <w:rPr/>
        <w:t>Northern</w:t>
      </w:r>
      <w:r>
        <w:rPr>
          <w:spacing w:val="-10"/>
        </w:rPr>
        <w:t> </w:t>
      </w:r>
      <w:r>
        <w:rPr/>
        <w:t>Ireland</w:t>
      </w:r>
      <w:r>
        <w:rPr>
          <w:spacing w:val="-10"/>
        </w:rPr>
        <w:t> </w:t>
      </w:r>
      <w:r>
        <w:rPr/>
        <w:t>Troubles</w:t>
      </w:r>
      <w:r>
        <w:rPr>
          <w:spacing w:val="-10"/>
        </w:rPr>
        <w:t> </w:t>
      </w:r>
      <w:r>
        <w:rPr/>
        <w:t>(Legacy</w:t>
      </w:r>
      <w:r>
        <w:rPr>
          <w:spacing w:val="-9"/>
        </w:rPr>
        <w:t> </w:t>
      </w:r>
      <w:r>
        <w:rPr/>
        <w:t>and</w:t>
      </w:r>
      <w:r>
        <w:rPr>
          <w:spacing w:val="-10"/>
        </w:rPr>
        <w:t> </w:t>
      </w:r>
      <w:r>
        <w:rPr/>
        <w:t>Reconciliation) Act 2023. They were concerned that inquests, investigations and civil actions that they were involved in would be brought to an end by the Act. There were also several intervenors including the ECNI and NIHRC. The applicants argued that the conditional immunity provisions breached human rights and that the Act’s Independent Commission for Reconciliation and Information Recovery</w:t>
      </w:r>
    </w:p>
    <w:p>
      <w:pPr>
        <w:pStyle w:val="BodyText"/>
        <w:spacing w:line="232" w:lineRule="auto"/>
        <w:ind w:left="1117" w:right="738"/>
      </w:pPr>
      <w:r>
        <w:rPr/>
        <w:t>(ICRIR) would not be able to carry out human rights-compliant investigations. The applicants</w:t>
      </w:r>
      <w:r>
        <w:rPr>
          <w:spacing w:val="-6"/>
        </w:rPr>
        <w:t> </w:t>
      </w:r>
      <w:r>
        <w:rPr/>
        <w:t>relied</w:t>
      </w:r>
      <w:r>
        <w:rPr>
          <w:spacing w:val="-6"/>
        </w:rPr>
        <w:t> </w:t>
      </w:r>
      <w:r>
        <w:rPr/>
        <w:t>on</w:t>
      </w:r>
      <w:r>
        <w:rPr>
          <w:spacing w:val="-6"/>
        </w:rPr>
        <w:t> </w:t>
      </w:r>
      <w:r>
        <w:rPr/>
        <w:t>Convention</w:t>
      </w:r>
      <w:r>
        <w:rPr>
          <w:spacing w:val="-6"/>
        </w:rPr>
        <w:t> </w:t>
      </w:r>
      <w:r>
        <w:rPr/>
        <w:t>rights</w:t>
      </w:r>
      <w:r>
        <w:rPr>
          <w:spacing w:val="-6"/>
        </w:rPr>
        <w:t> </w:t>
      </w:r>
      <w:r>
        <w:rPr/>
        <w:t>and</w:t>
      </w:r>
      <w:r>
        <w:rPr>
          <w:spacing w:val="-6"/>
        </w:rPr>
        <w:t> </w:t>
      </w:r>
      <w:r>
        <w:rPr/>
        <w:t>Article</w:t>
      </w:r>
      <w:r>
        <w:rPr>
          <w:spacing w:val="-5"/>
        </w:rPr>
        <w:t> </w:t>
      </w:r>
      <w:r>
        <w:rPr/>
        <w:t>2</w:t>
      </w:r>
      <w:r>
        <w:rPr>
          <w:spacing w:val="-5"/>
        </w:rPr>
        <w:t> </w:t>
      </w:r>
      <w:r>
        <w:rPr/>
        <w:t>WF</w:t>
      </w:r>
      <w:r>
        <w:rPr>
          <w:spacing w:val="-6"/>
        </w:rPr>
        <w:t> </w:t>
      </w:r>
      <w:r>
        <w:rPr/>
        <w:t>as</w:t>
      </w:r>
      <w:r>
        <w:rPr>
          <w:spacing w:val="-6"/>
        </w:rPr>
        <w:t> </w:t>
      </w:r>
      <w:r>
        <w:rPr/>
        <w:t>well</w:t>
      </w:r>
      <w:r>
        <w:rPr>
          <w:spacing w:val="-6"/>
        </w:rPr>
        <w:t> </w:t>
      </w:r>
      <w:r>
        <w:rPr/>
        <w:t>as</w:t>
      </w:r>
      <w:r>
        <w:rPr>
          <w:spacing w:val="-6"/>
        </w:rPr>
        <w:t> </w:t>
      </w:r>
      <w:r>
        <w:rPr/>
        <w:t>an</w:t>
      </w:r>
      <w:r>
        <w:rPr>
          <w:spacing w:val="-6"/>
        </w:rPr>
        <w:t> </w:t>
      </w:r>
      <w:r>
        <w:rPr/>
        <w:t>argument</w:t>
      </w:r>
      <w:r>
        <w:rPr>
          <w:spacing w:val="-5"/>
        </w:rPr>
        <w:t> </w:t>
      </w:r>
      <w:r>
        <w:rPr/>
        <w:t>that the legislation breached common law constitutional principles.</w:t>
      </w:r>
    </w:p>
    <w:p>
      <w:pPr>
        <w:pStyle w:val="BodyText"/>
        <w:spacing w:line="232" w:lineRule="auto" w:before="268"/>
        <w:ind w:left="1117" w:right="823"/>
      </w:pPr>
      <w:r>
        <w:rPr/>
        <w:t>On</w:t>
      </w:r>
      <w:r>
        <w:rPr>
          <w:spacing w:val="-7"/>
        </w:rPr>
        <w:t> </w:t>
      </w:r>
      <w:r>
        <w:rPr/>
        <w:t>the</w:t>
      </w:r>
      <w:r>
        <w:rPr>
          <w:spacing w:val="-6"/>
        </w:rPr>
        <w:t> </w:t>
      </w:r>
      <w:r>
        <w:rPr/>
        <w:t>Convention</w:t>
      </w:r>
      <w:r>
        <w:rPr>
          <w:spacing w:val="-7"/>
        </w:rPr>
        <w:t> </w:t>
      </w:r>
      <w:r>
        <w:rPr/>
        <w:t>arguments</w:t>
      </w:r>
      <w:r>
        <w:rPr>
          <w:spacing w:val="-7"/>
        </w:rPr>
        <w:t> </w:t>
      </w:r>
      <w:r>
        <w:rPr/>
        <w:t>the</w:t>
      </w:r>
      <w:r>
        <w:rPr>
          <w:spacing w:val="-6"/>
        </w:rPr>
        <w:t> </w:t>
      </w:r>
      <w:r>
        <w:rPr/>
        <w:t>High</w:t>
      </w:r>
      <w:r>
        <w:rPr>
          <w:spacing w:val="-7"/>
        </w:rPr>
        <w:t> </w:t>
      </w:r>
      <w:r>
        <w:rPr/>
        <w:t>Court</w:t>
      </w:r>
      <w:r>
        <w:rPr>
          <w:spacing w:val="-6"/>
        </w:rPr>
        <w:t> </w:t>
      </w:r>
      <w:r>
        <w:rPr/>
        <w:t>agreed</w:t>
      </w:r>
      <w:r>
        <w:rPr>
          <w:spacing w:val="-7"/>
        </w:rPr>
        <w:t> </w:t>
      </w:r>
      <w:r>
        <w:rPr/>
        <w:t>that</w:t>
      </w:r>
      <w:r>
        <w:rPr>
          <w:spacing w:val="-6"/>
        </w:rPr>
        <w:t> </w:t>
      </w:r>
      <w:r>
        <w:rPr/>
        <w:t>the</w:t>
      </w:r>
      <w:r>
        <w:rPr>
          <w:spacing w:val="-6"/>
        </w:rPr>
        <w:t> </w:t>
      </w:r>
      <w:r>
        <w:rPr/>
        <w:t>immunity</w:t>
      </w:r>
      <w:r>
        <w:rPr>
          <w:spacing w:val="-6"/>
        </w:rPr>
        <w:t> </w:t>
      </w:r>
      <w:r>
        <w:rPr/>
        <w:t>provisions in section 19 and related provisions breached Convention rights (Articles 2 and 3),</w:t>
      </w:r>
      <w:r>
        <w:rPr>
          <w:vertAlign w:val="superscript"/>
        </w:rPr>
        <w:t>577</w:t>
      </w:r>
      <w:r>
        <w:rPr>
          <w:vertAlign w:val="baseline"/>
        </w:rPr>
        <w:t> that the prohibition on criminal prosecution for a Troubles offence other than a serious or connected Troubles-related offence breached Convention rights (Articles</w:t>
      </w:r>
      <w:r>
        <w:rPr>
          <w:spacing w:val="-2"/>
          <w:vertAlign w:val="baseline"/>
        </w:rPr>
        <w:t> </w:t>
      </w:r>
      <w:r>
        <w:rPr>
          <w:vertAlign w:val="baseline"/>
        </w:rPr>
        <w:t>2</w:t>
      </w:r>
      <w:r>
        <w:rPr>
          <w:spacing w:val="-1"/>
          <w:vertAlign w:val="baseline"/>
        </w:rPr>
        <w:t> </w:t>
      </w:r>
      <w:r>
        <w:rPr>
          <w:vertAlign w:val="baseline"/>
        </w:rPr>
        <w:t>and</w:t>
      </w:r>
      <w:r>
        <w:rPr>
          <w:spacing w:val="-2"/>
          <w:vertAlign w:val="baseline"/>
        </w:rPr>
        <w:t> </w:t>
      </w:r>
      <w:r>
        <w:rPr>
          <w:vertAlign w:val="baseline"/>
        </w:rPr>
        <w:t>3),</w:t>
      </w:r>
      <w:r>
        <w:rPr>
          <w:vertAlign w:val="superscript"/>
        </w:rPr>
        <w:t>578</w:t>
      </w:r>
      <w:r>
        <w:rPr>
          <w:spacing w:val="-2"/>
          <w:vertAlign w:val="baseline"/>
        </w:rPr>
        <w:t> </w:t>
      </w:r>
      <w:r>
        <w:rPr>
          <w:vertAlign w:val="baseline"/>
        </w:rPr>
        <w:t>that</w:t>
      </w:r>
      <w:r>
        <w:rPr>
          <w:spacing w:val="-1"/>
          <w:vertAlign w:val="baseline"/>
        </w:rPr>
        <w:t> </w:t>
      </w:r>
      <w:r>
        <w:rPr>
          <w:vertAlign w:val="baseline"/>
        </w:rPr>
        <w:t>the</w:t>
      </w:r>
      <w:r>
        <w:rPr>
          <w:spacing w:val="-1"/>
          <w:vertAlign w:val="baseline"/>
        </w:rPr>
        <w:t> </w:t>
      </w:r>
      <w:r>
        <w:rPr>
          <w:vertAlign w:val="baseline"/>
        </w:rPr>
        <w:t>ending</w:t>
      </w:r>
      <w:r>
        <w:rPr>
          <w:spacing w:val="-1"/>
          <w:vertAlign w:val="baseline"/>
        </w:rPr>
        <w:t> </w:t>
      </w:r>
      <w:r>
        <w:rPr>
          <w:vertAlign w:val="baseline"/>
        </w:rPr>
        <w:t>of</w:t>
      </w:r>
      <w:r>
        <w:rPr>
          <w:spacing w:val="-2"/>
          <w:vertAlign w:val="baseline"/>
        </w:rPr>
        <w:t> </w:t>
      </w:r>
      <w:r>
        <w:rPr>
          <w:vertAlign w:val="baseline"/>
        </w:rPr>
        <w:t>civil</w:t>
      </w:r>
      <w:r>
        <w:rPr>
          <w:spacing w:val="-2"/>
          <w:vertAlign w:val="baseline"/>
        </w:rPr>
        <w:t> </w:t>
      </w:r>
      <w:r>
        <w:rPr>
          <w:vertAlign w:val="baseline"/>
        </w:rPr>
        <w:t>actions</w:t>
      </w:r>
      <w:r>
        <w:rPr>
          <w:spacing w:val="-2"/>
          <w:vertAlign w:val="baseline"/>
        </w:rPr>
        <w:t> </w:t>
      </w:r>
      <w:r>
        <w:rPr>
          <w:vertAlign w:val="baseline"/>
        </w:rPr>
        <w:t>in</w:t>
      </w:r>
      <w:r>
        <w:rPr>
          <w:spacing w:val="-2"/>
          <w:vertAlign w:val="baseline"/>
        </w:rPr>
        <w:t> </w:t>
      </w:r>
      <w:r>
        <w:rPr>
          <w:vertAlign w:val="baseline"/>
        </w:rPr>
        <w:t>so</w:t>
      </w:r>
      <w:r>
        <w:rPr>
          <w:spacing w:val="-2"/>
          <w:vertAlign w:val="baseline"/>
        </w:rPr>
        <w:t> </w:t>
      </w:r>
      <w:r>
        <w:rPr>
          <w:vertAlign w:val="baseline"/>
        </w:rPr>
        <w:t>far</w:t>
      </w:r>
      <w:r>
        <w:rPr>
          <w:spacing w:val="-1"/>
          <w:vertAlign w:val="baseline"/>
        </w:rPr>
        <w:t> </w:t>
      </w:r>
      <w:r>
        <w:rPr>
          <w:vertAlign w:val="baseline"/>
        </w:rPr>
        <w:t>as</w:t>
      </w:r>
      <w:r>
        <w:rPr>
          <w:spacing w:val="-2"/>
          <w:vertAlign w:val="baseline"/>
        </w:rPr>
        <w:t> </w:t>
      </w:r>
      <w:r>
        <w:rPr>
          <w:vertAlign w:val="baseline"/>
        </w:rPr>
        <w:t>it</w:t>
      </w:r>
      <w:r>
        <w:rPr>
          <w:spacing w:val="-1"/>
          <w:vertAlign w:val="baseline"/>
        </w:rPr>
        <w:t> </w:t>
      </w:r>
      <w:r>
        <w:rPr>
          <w:vertAlign w:val="baseline"/>
        </w:rPr>
        <w:t>had</w:t>
      </w:r>
      <w:r>
        <w:rPr>
          <w:spacing w:val="-2"/>
          <w:vertAlign w:val="baseline"/>
        </w:rPr>
        <w:t> </w:t>
      </w:r>
      <w:r>
        <w:rPr>
          <w:vertAlign w:val="baseline"/>
        </w:rPr>
        <w:t>retrospective effect breached Article 6 ECHR,</w:t>
      </w:r>
      <w:r>
        <w:rPr>
          <w:vertAlign w:val="superscript"/>
        </w:rPr>
        <w:t>579</w:t>
      </w:r>
      <w:r>
        <w:rPr>
          <w:vertAlign w:val="baseline"/>
        </w:rPr>
        <w:t> that the prohibition on the disclosure of</w:t>
      </w:r>
    </w:p>
    <w:p>
      <w:pPr>
        <w:pStyle w:val="BodyText"/>
        <w:spacing w:line="232" w:lineRule="auto"/>
        <w:ind w:left="1117"/>
      </w:pPr>
      <w:r>
        <w:rPr/>
        <w:t>certain</w:t>
      </w:r>
      <w:r>
        <w:rPr>
          <w:spacing w:val="-9"/>
        </w:rPr>
        <w:t> </w:t>
      </w:r>
      <w:r>
        <w:rPr/>
        <w:t>evidence</w:t>
      </w:r>
      <w:r>
        <w:rPr>
          <w:spacing w:val="-8"/>
        </w:rPr>
        <w:t> </w:t>
      </w:r>
      <w:r>
        <w:rPr/>
        <w:t>breached</w:t>
      </w:r>
      <w:r>
        <w:rPr>
          <w:spacing w:val="-9"/>
        </w:rPr>
        <w:t> </w:t>
      </w:r>
      <w:r>
        <w:rPr/>
        <w:t>Article</w:t>
      </w:r>
      <w:r>
        <w:rPr>
          <w:spacing w:val="-8"/>
        </w:rPr>
        <w:t> </w:t>
      </w:r>
      <w:r>
        <w:rPr/>
        <w:t>6</w:t>
      </w:r>
      <w:r>
        <w:rPr>
          <w:spacing w:val="-8"/>
        </w:rPr>
        <w:t> </w:t>
      </w:r>
      <w:r>
        <w:rPr/>
        <w:t>ECHR.</w:t>
      </w:r>
      <w:r>
        <w:rPr>
          <w:vertAlign w:val="superscript"/>
        </w:rPr>
        <w:t>580</w:t>
      </w:r>
      <w:r>
        <w:rPr>
          <w:spacing w:val="-9"/>
          <w:vertAlign w:val="baseline"/>
        </w:rPr>
        <w:t> </w:t>
      </w:r>
      <w:r>
        <w:rPr>
          <w:vertAlign w:val="baseline"/>
        </w:rPr>
        <w:t>The</w:t>
      </w:r>
      <w:r>
        <w:rPr>
          <w:spacing w:val="-8"/>
          <w:vertAlign w:val="baseline"/>
        </w:rPr>
        <w:t> </w:t>
      </w:r>
      <w:r>
        <w:rPr>
          <w:vertAlign w:val="baseline"/>
        </w:rPr>
        <w:t>Court</w:t>
      </w:r>
      <w:r>
        <w:rPr>
          <w:spacing w:val="-8"/>
          <w:vertAlign w:val="baseline"/>
        </w:rPr>
        <w:t> </w:t>
      </w:r>
      <w:r>
        <w:rPr>
          <w:vertAlign w:val="baseline"/>
        </w:rPr>
        <w:t>issued</w:t>
      </w:r>
      <w:r>
        <w:rPr>
          <w:spacing w:val="-9"/>
          <w:vertAlign w:val="baseline"/>
        </w:rPr>
        <w:t> </w:t>
      </w:r>
      <w:r>
        <w:rPr>
          <w:vertAlign w:val="baseline"/>
        </w:rPr>
        <w:t>declarations</w:t>
      </w:r>
      <w:r>
        <w:rPr>
          <w:spacing w:val="-9"/>
          <w:vertAlign w:val="baseline"/>
        </w:rPr>
        <w:t> </w:t>
      </w:r>
      <w:r>
        <w:rPr>
          <w:vertAlign w:val="baseline"/>
        </w:rPr>
        <w:t>of incompatibility in relation to these breaches.</w:t>
      </w:r>
      <w:r>
        <w:rPr>
          <w:vertAlign w:val="superscript"/>
        </w:rPr>
        <w:t>581</w:t>
      </w:r>
    </w:p>
    <w:p>
      <w:pPr>
        <w:pStyle w:val="BodyText"/>
        <w:spacing w:line="232" w:lineRule="auto" w:before="271"/>
        <w:ind w:left="1117" w:right="738"/>
      </w:pPr>
      <w:r>
        <w:rPr/>
        <w:t>The</w:t>
      </w:r>
      <w:r>
        <w:rPr>
          <w:spacing w:val="-6"/>
        </w:rPr>
        <w:t> </w:t>
      </w:r>
      <w:r>
        <w:rPr/>
        <w:t>Court</w:t>
      </w:r>
      <w:r>
        <w:rPr>
          <w:spacing w:val="-6"/>
        </w:rPr>
        <w:t> </w:t>
      </w:r>
      <w:r>
        <w:rPr/>
        <w:t>rejected</w:t>
      </w:r>
      <w:r>
        <w:rPr>
          <w:spacing w:val="-7"/>
        </w:rPr>
        <w:t> </w:t>
      </w:r>
      <w:r>
        <w:rPr/>
        <w:t>other</w:t>
      </w:r>
      <w:r>
        <w:rPr>
          <w:spacing w:val="-6"/>
        </w:rPr>
        <w:t> </w:t>
      </w:r>
      <w:r>
        <w:rPr/>
        <w:t>Convention</w:t>
      </w:r>
      <w:r>
        <w:rPr>
          <w:spacing w:val="-7"/>
        </w:rPr>
        <w:t> </w:t>
      </w:r>
      <w:r>
        <w:rPr/>
        <w:t>arguments</w:t>
      </w:r>
      <w:r>
        <w:rPr>
          <w:spacing w:val="-7"/>
        </w:rPr>
        <w:t> </w:t>
      </w:r>
      <w:r>
        <w:rPr/>
        <w:t>at</w:t>
      </w:r>
      <w:r>
        <w:rPr>
          <w:spacing w:val="-6"/>
        </w:rPr>
        <w:t> </w:t>
      </w:r>
      <w:r>
        <w:rPr/>
        <w:t>this</w:t>
      </w:r>
      <w:r>
        <w:rPr>
          <w:spacing w:val="-7"/>
        </w:rPr>
        <w:t> </w:t>
      </w:r>
      <w:r>
        <w:rPr/>
        <w:t>stage</w:t>
      </w:r>
      <w:r>
        <w:rPr>
          <w:spacing w:val="-6"/>
        </w:rPr>
        <w:t> </w:t>
      </w:r>
      <w:r>
        <w:rPr/>
        <w:t>and</w:t>
      </w:r>
      <w:r>
        <w:rPr>
          <w:spacing w:val="-7"/>
        </w:rPr>
        <w:t> </w:t>
      </w:r>
      <w:r>
        <w:rPr/>
        <w:t>in</w:t>
      </w:r>
      <w:r>
        <w:rPr>
          <w:spacing w:val="-7"/>
        </w:rPr>
        <w:t> </w:t>
      </w:r>
      <w:r>
        <w:rPr/>
        <w:t>particular</w:t>
      </w:r>
      <w:r>
        <w:rPr>
          <w:spacing w:val="-6"/>
        </w:rPr>
        <w:t> </w:t>
      </w:r>
      <w:r>
        <w:rPr/>
        <w:t>said that it could not find that the ICRIR was incapable of carrying out human rights- compliant investigations.</w:t>
      </w:r>
      <w:r>
        <w:rPr>
          <w:vertAlign w:val="superscript"/>
        </w:rPr>
        <w:t>582</w:t>
      </w:r>
      <w:r>
        <w:rPr>
          <w:vertAlign w:val="baseline"/>
        </w:rPr>
        <w:t> The High Court noted that there was ample case law offering</w:t>
      </w:r>
      <w:r>
        <w:rPr>
          <w:spacing w:val="-1"/>
          <w:vertAlign w:val="baseline"/>
        </w:rPr>
        <w:t> </w:t>
      </w:r>
      <w:r>
        <w:rPr>
          <w:vertAlign w:val="baseline"/>
        </w:rPr>
        <w:t>guidance</w:t>
      </w:r>
      <w:r>
        <w:rPr>
          <w:spacing w:val="-1"/>
          <w:vertAlign w:val="baseline"/>
        </w:rPr>
        <w:t> </w:t>
      </w:r>
      <w:r>
        <w:rPr>
          <w:vertAlign w:val="baseline"/>
        </w:rPr>
        <w:t>on</w:t>
      </w:r>
      <w:r>
        <w:rPr>
          <w:spacing w:val="-2"/>
          <w:vertAlign w:val="baseline"/>
        </w:rPr>
        <w:t> </w:t>
      </w:r>
      <w:r>
        <w:rPr>
          <w:vertAlign w:val="baseline"/>
        </w:rPr>
        <w:t>Convention</w:t>
      </w:r>
      <w:r>
        <w:rPr>
          <w:spacing w:val="-2"/>
          <w:vertAlign w:val="baseline"/>
        </w:rPr>
        <w:t> </w:t>
      </w:r>
      <w:r>
        <w:rPr>
          <w:vertAlign w:val="baseline"/>
        </w:rPr>
        <w:t>compliance</w:t>
      </w:r>
      <w:r>
        <w:rPr>
          <w:spacing w:val="-1"/>
          <w:vertAlign w:val="baseline"/>
        </w:rPr>
        <w:t> </w:t>
      </w:r>
      <w:r>
        <w:rPr>
          <w:vertAlign w:val="baseline"/>
        </w:rPr>
        <w:t>in</w:t>
      </w:r>
      <w:r>
        <w:rPr>
          <w:spacing w:val="-2"/>
          <w:vertAlign w:val="baseline"/>
        </w:rPr>
        <w:t> </w:t>
      </w:r>
      <w:r>
        <w:rPr>
          <w:vertAlign w:val="baseline"/>
        </w:rPr>
        <w:t>this</w:t>
      </w:r>
      <w:r>
        <w:rPr>
          <w:spacing w:val="-2"/>
          <w:vertAlign w:val="baseline"/>
        </w:rPr>
        <w:t> </w:t>
      </w:r>
      <w:r>
        <w:rPr>
          <w:vertAlign w:val="baseline"/>
        </w:rPr>
        <w:t>area</w:t>
      </w:r>
      <w:r>
        <w:rPr>
          <w:spacing w:val="-2"/>
          <w:vertAlign w:val="baseline"/>
        </w:rPr>
        <w:t> </w:t>
      </w:r>
      <w:r>
        <w:rPr>
          <w:vertAlign w:val="baseline"/>
        </w:rPr>
        <w:t>and</w:t>
      </w:r>
      <w:r>
        <w:rPr>
          <w:spacing w:val="-2"/>
          <w:vertAlign w:val="baseline"/>
        </w:rPr>
        <w:t> </w:t>
      </w:r>
      <w:r>
        <w:rPr>
          <w:vertAlign w:val="baseline"/>
        </w:rPr>
        <w:t>that</w:t>
      </w:r>
      <w:r>
        <w:rPr>
          <w:spacing w:val="-1"/>
          <w:vertAlign w:val="baseline"/>
        </w:rPr>
        <w:t> </w:t>
      </w:r>
      <w:r>
        <w:rPr>
          <w:vertAlign w:val="baseline"/>
        </w:rPr>
        <w:t>the</w:t>
      </w:r>
      <w:r>
        <w:rPr>
          <w:spacing w:val="-1"/>
          <w:vertAlign w:val="baseline"/>
        </w:rPr>
        <w:t> </w:t>
      </w:r>
      <w:r>
        <w:rPr>
          <w:vertAlign w:val="baseline"/>
        </w:rPr>
        <w:t>ICRIR</w:t>
      </w:r>
      <w:r>
        <w:rPr>
          <w:spacing w:val="-2"/>
          <w:vertAlign w:val="baseline"/>
        </w:rPr>
        <w:t> </w:t>
      </w:r>
      <w:r>
        <w:rPr>
          <w:vertAlign w:val="baseline"/>
        </w:rPr>
        <w:t>would be</w:t>
      </w:r>
      <w:r>
        <w:rPr>
          <w:spacing w:val="-4"/>
          <w:vertAlign w:val="baseline"/>
        </w:rPr>
        <w:t> </w:t>
      </w:r>
      <w:r>
        <w:rPr>
          <w:vertAlign w:val="baseline"/>
        </w:rPr>
        <w:t>subject</w:t>
      </w:r>
      <w:r>
        <w:rPr>
          <w:spacing w:val="-4"/>
          <w:vertAlign w:val="baseline"/>
        </w:rPr>
        <w:t> </w:t>
      </w:r>
      <w:r>
        <w:rPr>
          <w:vertAlign w:val="baseline"/>
        </w:rPr>
        <w:t>to</w:t>
      </w:r>
      <w:r>
        <w:rPr>
          <w:spacing w:val="-5"/>
          <w:vertAlign w:val="baseline"/>
        </w:rPr>
        <w:t> </w:t>
      </w:r>
      <w:r>
        <w:rPr>
          <w:vertAlign w:val="baseline"/>
        </w:rPr>
        <w:t>review</w:t>
      </w:r>
      <w:r>
        <w:rPr>
          <w:spacing w:val="-4"/>
          <w:vertAlign w:val="baseline"/>
        </w:rPr>
        <w:t> </w:t>
      </w:r>
      <w:r>
        <w:rPr>
          <w:vertAlign w:val="baseline"/>
        </w:rPr>
        <w:t>by</w:t>
      </w:r>
      <w:r>
        <w:rPr>
          <w:spacing w:val="-4"/>
          <w:vertAlign w:val="baseline"/>
        </w:rPr>
        <w:t> </w:t>
      </w:r>
      <w:r>
        <w:rPr>
          <w:vertAlign w:val="baseline"/>
        </w:rPr>
        <w:t>the</w:t>
      </w:r>
      <w:r>
        <w:rPr>
          <w:spacing w:val="-4"/>
          <w:vertAlign w:val="baseline"/>
        </w:rPr>
        <w:t> </w:t>
      </w:r>
      <w:r>
        <w:rPr>
          <w:vertAlign w:val="baseline"/>
        </w:rPr>
        <w:t>courts</w:t>
      </w:r>
      <w:r>
        <w:rPr>
          <w:spacing w:val="-5"/>
          <w:vertAlign w:val="baseline"/>
        </w:rPr>
        <w:t> </w:t>
      </w:r>
      <w:r>
        <w:rPr>
          <w:vertAlign w:val="baseline"/>
        </w:rPr>
        <w:t>to</w:t>
      </w:r>
      <w:r>
        <w:rPr>
          <w:spacing w:val="-5"/>
          <w:vertAlign w:val="baseline"/>
        </w:rPr>
        <w:t> </w:t>
      </w:r>
      <w:r>
        <w:rPr>
          <w:vertAlign w:val="baseline"/>
        </w:rPr>
        <w:t>ensure</w:t>
      </w:r>
      <w:r>
        <w:rPr>
          <w:spacing w:val="-4"/>
          <w:vertAlign w:val="baseline"/>
        </w:rPr>
        <w:t> </w:t>
      </w:r>
      <w:r>
        <w:rPr>
          <w:vertAlign w:val="baseline"/>
        </w:rPr>
        <w:t>it</w:t>
      </w:r>
      <w:r>
        <w:rPr>
          <w:spacing w:val="-4"/>
          <w:vertAlign w:val="baseline"/>
        </w:rPr>
        <w:t> </w:t>
      </w:r>
      <w:r>
        <w:rPr>
          <w:vertAlign w:val="baseline"/>
        </w:rPr>
        <w:t>complied</w:t>
      </w:r>
      <w:r>
        <w:rPr>
          <w:spacing w:val="-5"/>
          <w:vertAlign w:val="baseline"/>
        </w:rPr>
        <w:t> </w:t>
      </w:r>
      <w:r>
        <w:rPr>
          <w:vertAlign w:val="baseline"/>
        </w:rPr>
        <w:t>with</w:t>
      </w:r>
      <w:r>
        <w:rPr>
          <w:spacing w:val="-5"/>
          <w:vertAlign w:val="baseline"/>
        </w:rPr>
        <w:t> </w:t>
      </w:r>
      <w:r>
        <w:rPr>
          <w:vertAlign w:val="baseline"/>
        </w:rPr>
        <w:t>Convention</w:t>
      </w:r>
      <w:r>
        <w:rPr>
          <w:spacing w:val="-5"/>
          <w:vertAlign w:val="baseline"/>
        </w:rPr>
        <w:t> </w:t>
      </w:r>
      <w:r>
        <w:rPr>
          <w:vertAlign w:val="baseline"/>
        </w:rPr>
        <w:t>rights.</w:t>
      </w:r>
      <w:r>
        <w:rPr>
          <w:vertAlign w:val="superscript"/>
        </w:rPr>
        <w:t>583</w:t>
      </w:r>
    </w:p>
    <w:p>
      <w:pPr>
        <w:pStyle w:val="BodyText"/>
        <w:spacing w:before="7"/>
        <w:rPr>
          <w:sz w:val="18"/>
        </w:rPr>
      </w:pPr>
      <w:r>
        <w:rPr/>
        <mc:AlternateContent>
          <mc:Choice Requires="wps">
            <w:drawing>
              <wp:anchor distT="0" distB="0" distL="0" distR="0" allowOverlap="1" layoutInCell="1" locked="0" behindDoc="1" simplePos="0" relativeHeight="487763968">
                <wp:simplePos x="0" y="0"/>
                <wp:positionH relativeFrom="page">
                  <wp:posOffset>899999</wp:posOffset>
                </wp:positionH>
                <wp:positionV relativeFrom="paragraph">
                  <wp:posOffset>159238</wp:posOffset>
                </wp:positionV>
                <wp:extent cx="6012180" cy="1270"/>
                <wp:effectExtent l="0" t="0" r="0" b="0"/>
                <wp:wrapTopAndBottom/>
                <wp:docPr id="931" name="Graphic 931"/>
                <wp:cNvGraphicFramePr>
                  <a:graphicFrameLocks/>
                </wp:cNvGraphicFramePr>
                <a:graphic>
                  <a:graphicData uri="http://schemas.microsoft.com/office/word/2010/wordprocessingShape">
                    <wps:wsp>
                      <wps:cNvPr id="931" name="Graphic 93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2.53849pt;width:473.4pt;height:.1pt;mso-position-horizontal-relative:page;mso-position-vertical-relative:paragraph;z-index:-15552512;mso-wrap-distance-left:0;mso-wrap-distance-right:0" id="docshape764" coordorigin="1417,251" coordsize="9468,0" path="m1417,251l10885,251e" filled="false" stroked="true" strokeweight=".5pt" strokecolor="#36a9e1">
                <v:path arrowok="t"/>
                <v:stroke dashstyle="solid"/>
                <w10:wrap type="topAndBottom"/>
              </v:shape>
            </w:pict>
          </mc:Fallback>
        </mc:AlternateContent>
      </w:r>
    </w:p>
    <w:p>
      <w:pPr>
        <w:pStyle w:val="ListParagraph"/>
        <w:numPr>
          <w:ilvl w:val="0"/>
          <w:numId w:val="47"/>
        </w:numPr>
        <w:tabs>
          <w:tab w:pos="1684" w:val="left" w:leader="none"/>
        </w:tabs>
        <w:spacing w:line="240" w:lineRule="auto" w:before="43" w:after="0"/>
        <w:ind w:left="1684" w:right="0" w:hanging="567"/>
        <w:jc w:val="left"/>
        <w:rPr>
          <w:sz w:val="18"/>
        </w:rPr>
      </w:pPr>
      <w:r>
        <w:rPr>
          <w:color w:val="1D71B8"/>
          <w:sz w:val="18"/>
          <w:u w:val="single" w:color="1D71B8"/>
        </w:rPr>
        <w:t>Legacy</w:t>
      </w:r>
      <w:r>
        <w:rPr>
          <w:color w:val="1D71B8"/>
          <w:spacing w:val="-3"/>
          <w:sz w:val="18"/>
          <w:u w:val="single" w:color="1D71B8"/>
        </w:rPr>
        <w:t> </w:t>
      </w:r>
      <w:r>
        <w:rPr>
          <w:color w:val="1D71B8"/>
          <w:sz w:val="18"/>
          <w:u w:val="single" w:color="1D71B8"/>
        </w:rPr>
        <w:t>Act</w:t>
      </w:r>
      <w:r>
        <w:rPr>
          <w:color w:val="1D71B8"/>
          <w:spacing w:val="-3"/>
          <w:sz w:val="18"/>
          <w:u w:val="single" w:color="1D71B8"/>
        </w:rPr>
        <w:t> </w:t>
      </w:r>
      <w:r>
        <w:rPr>
          <w:color w:val="1D71B8"/>
          <w:sz w:val="18"/>
          <w:u w:val="single" w:color="1D71B8"/>
        </w:rPr>
        <w:t>cases</w:t>
      </w:r>
      <w:r>
        <w:rPr>
          <w:color w:val="1D71B8"/>
          <w:spacing w:val="-3"/>
          <w:sz w:val="18"/>
          <w:u w:val="single" w:color="1D71B8"/>
        </w:rPr>
        <w:t> </w:t>
      </w:r>
      <w:r>
        <w:rPr>
          <w:color w:val="1D71B8"/>
          <w:sz w:val="18"/>
          <w:u w:val="single" w:color="1D71B8"/>
        </w:rPr>
        <w:t>(Dillon</w:t>
      </w:r>
      <w:r>
        <w:rPr>
          <w:color w:val="1D71B8"/>
          <w:spacing w:val="-4"/>
          <w:sz w:val="18"/>
          <w:u w:val="single" w:color="1D71B8"/>
        </w:rPr>
        <w:t> </w:t>
      </w:r>
      <w:r>
        <w:rPr>
          <w:color w:val="1D71B8"/>
          <w:sz w:val="18"/>
          <w:u w:val="single" w:color="1D71B8"/>
        </w:rPr>
        <w:t>and</w:t>
      </w:r>
      <w:r>
        <w:rPr>
          <w:color w:val="1D71B8"/>
          <w:spacing w:val="-2"/>
          <w:sz w:val="18"/>
          <w:u w:val="single" w:color="1D71B8"/>
        </w:rPr>
        <w:t> </w:t>
      </w:r>
      <w:r>
        <w:rPr>
          <w:color w:val="1D71B8"/>
          <w:sz w:val="18"/>
          <w:u w:val="single" w:color="1D71B8"/>
        </w:rPr>
        <w:t>others)</w:t>
      </w:r>
      <w:r>
        <w:rPr>
          <w:i/>
          <w:sz w:val="18"/>
          <w:u w:val="none"/>
        </w:rPr>
        <w:t>,</w:t>
      </w:r>
      <w:r>
        <w:rPr>
          <w:i/>
          <w:spacing w:val="-4"/>
          <w:sz w:val="18"/>
          <w:u w:val="none"/>
        </w:rPr>
        <w:t> </w:t>
      </w:r>
      <w:r>
        <w:rPr>
          <w:sz w:val="18"/>
          <w:u w:val="none"/>
        </w:rPr>
        <w:t>[2024]</w:t>
      </w:r>
      <w:r>
        <w:rPr>
          <w:spacing w:val="-2"/>
          <w:sz w:val="18"/>
          <w:u w:val="none"/>
        </w:rPr>
        <w:t> </w:t>
      </w:r>
      <w:r>
        <w:rPr>
          <w:sz w:val="18"/>
          <w:u w:val="none"/>
        </w:rPr>
        <w:t>NIKB</w:t>
      </w:r>
      <w:r>
        <w:rPr>
          <w:spacing w:val="-3"/>
          <w:sz w:val="18"/>
          <w:u w:val="none"/>
        </w:rPr>
        <w:t> </w:t>
      </w:r>
      <w:r>
        <w:rPr>
          <w:sz w:val="18"/>
          <w:u w:val="none"/>
        </w:rPr>
        <w:t>11</w:t>
      </w:r>
      <w:r>
        <w:rPr>
          <w:spacing w:val="-2"/>
          <w:sz w:val="18"/>
          <w:u w:val="none"/>
        </w:rPr>
        <w:t> </w:t>
      </w:r>
      <w:r>
        <w:rPr>
          <w:sz w:val="18"/>
          <w:u w:val="none"/>
        </w:rPr>
        <w:t>(28</w:t>
      </w:r>
      <w:r>
        <w:rPr>
          <w:spacing w:val="-3"/>
          <w:sz w:val="18"/>
          <w:u w:val="none"/>
        </w:rPr>
        <w:t> </w:t>
      </w:r>
      <w:r>
        <w:rPr>
          <w:sz w:val="18"/>
          <w:u w:val="none"/>
        </w:rPr>
        <w:t>February</w:t>
      </w:r>
      <w:r>
        <w:rPr>
          <w:spacing w:val="-2"/>
          <w:sz w:val="18"/>
          <w:u w:val="none"/>
        </w:rPr>
        <w:t> 2024).</w:t>
      </w:r>
    </w:p>
    <w:p>
      <w:pPr>
        <w:pStyle w:val="ListParagraph"/>
        <w:numPr>
          <w:ilvl w:val="0"/>
          <w:numId w:val="47"/>
        </w:numPr>
        <w:tabs>
          <w:tab w:pos="1684" w:val="left" w:leader="none"/>
        </w:tabs>
        <w:spacing w:line="240" w:lineRule="auto" w:before="1" w:after="0"/>
        <w:ind w:left="1684" w:right="0" w:hanging="567"/>
        <w:jc w:val="left"/>
        <w:rPr>
          <w:sz w:val="18"/>
        </w:rPr>
      </w:pPr>
      <w:r>
        <w:rPr>
          <w:color w:val="1D71B8"/>
          <w:sz w:val="18"/>
          <w:u w:val="single" w:color="1D71B8"/>
        </w:rPr>
        <w:t>Legacy</w:t>
      </w:r>
      <w:r>
        <w:rPr>
          <w:color w:val="1D71B8"/>
          <w:spacing w:val="-5"/>
          <w:sz w:val="18"/>
          <w:u w:val="single" w:color="1D71B8"/>
        </w:rPr>
        <w:t> </w:t>
      </w:r>
      <w:r>
        <w:rPr>
          <w:color w:val="1D71B8"/>
          <w:sz w:val="18"/>
          <w:u w:val="single" w:color="1D71B8"/>
        </w:rPr>
        <w:t>Act</w:t>
      </w:r>
      <w:r>
        <w:rPr>
          <w:color w:val="1D71B8"/>
          <w:spacing w:val="-4"/>
          <w:sz w:val="18"/>
          <w:u w:val="single" w:color="1D71B8"/>
        </w:rPr>
        <w:t> </w:t>
      </w:r>
      <w:r>
        <w:rPr>
          <w:color w:val="1D71B8"/>
          <w:sz w:val="18"/>
          <w:u w:val="single" w:color="1D71B8"/>
        </w:rPr>
        <w:t>cases</w:t>
      </w:r>
      <w:r>
        <w:rPr>
          <w:color w:val="1D71B8"/>
          <w:spacing w:val="-4"/>
          <w:sz w:val="18"/>
          <w:u w:val="single" w:color="1D71B8"/>
        </w:rPr>
        <w:t> </w:t>
      </w:r>
      <w:r>
        <w:rPr>
          <w:color w:val="1D71B8"/>
          <w:sz w:val="18"/>
          <w:u w:val="single" w:color="1D71B8"/>
        </w:rPr>
        <w:t>(Dillon</w:t>
      </w:r>
      <w:r>
        <w:rPr>
          <w:color w:val="1D71B8"/>
          <w:spacing w:val="-5"/>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others)</w:t>
      </w:r>
      <w:r>
        <w:rPr>
          <w:i/>
          <w:sz w:val="18"/>
          <w:u w:val="none"/>
        </w:rPr>
        <w:t>,</w:t>
      </w:r>
      <w:r>
        <w:rPr>
          <w:i/>
          <w:spacing w:val="-4"/>
          <w:sz w:val="18"/>
          <w:u w:val="none"/>
        </w:rPr>
        <w:t> </w:t>
      </w:r>
      <w:r>
        <w:rPr>
          <w:spacing w:val="-2"/>
          <w:sz w:val="18"/>
          <w:u w:val="none"/>
        </w:rPr>
        <w:t>[187].</w:t>
      </w:r>
    </w:p>
    <w:p>
      <w:pPr>
        <w:pStyle w:val="ListParagraph"/>
        <w:numPr>
          <w:ilvl w:val="0"/>
          <w:numId w:val="47"/>
        </w:numPr>
        <w:tabs>
          <w:tab w:pos="1684" w:val="left" w:leader="none"/>
        </w:tabs>
        <w:spacing w:line="240" w:lineRule="auto" w:before="0" w:after="0"/>
        <w:ind w:left="1684" w:right="0" w:hanging="567"/>
        <w:jc w:val="left"/>
        <w:rPr>
          <w:sz w:val="18"/>
        </w:rPr>
      </w:pPr>
      <w:r>
        <w:rPr>
          <w:sz w:val="18"/>
        </w:rPr>
        <w:t>Ibid.,</w:t>
      </w:r>
      <w:r>
        <w:rPr>
          <w:spacing w:val="-1"/>
          <w:sz w:val="18"/>
        </w:rPr>
        <w:t> </w:t>
      </w:r>
      <w:r>
        <w:rPr>
          <w:spacing w:val="-2"/>
          <w:sz w:val="18"/>
        </w:rPr>
        <w:t>[208].</w:t>
      </w:r>
    </w:p>
    <w:p>
      <w:pPr>
        <w:pStyle w:val="ListParagraph"/>
        <w:numPr>
          <w:ilvl w:val="0"/>
          <w:numId w:val="47"/>
        </w:numPr>
        <w:tabs>
          <w:tab w:pos="1684" w:val="left" w:leader="none"/>
        </w:tabs>
        <w:spacing w:line="240" w:lineRule="auto" w:before="0" w:after="0"/>
        <w:ind w:left="1684" w:right="0" w:hanging="567"/>
        <w:jc w:val="left"/>
        <w:rPr>
          <w:sz w:val="18"/>
        </w:rPr>
      </w:pPr>
      <w:r>
        <w:rPr>
          <w:sz w:val="18"/>
        </w:rPr>
        <w:t>Ibid.,</w:t>
      </w:r>
      <w:r>
        <w:rPr>
          <w:spacing w:val="-1"/>
          <w:sz w:val="18"/>
        </w:rPr>
        <w:t> </w:t>
      </w:r>
      <w:r>
        <w:rPr>
          <w:spacing w:val="-2"/>
          <w:sz w:val="18"/>
        </w:rPr>
        <w:t>[413].</w:t>
      </w:r>
    </w:p>
    <w:p>
      <w:pPr>
        <w:pStyle w:val="ListParagraph"/>
        <w:numPr>
          <w:ilvl w:val="0"/>
          <w:numId w:val="47"/>
        </w:numPr>
        <w:tabs>
          <w:tab w:pos="1684" w:val="left" w:leader="none"/>
        </w:tabs>
        <w:spacing w:line="240" w:lineRule="auto" w:before="0" w:after="0"/>
        <w:ind w:left="1684" w:right="0" w:hanging="567"/>
        <w:jc w:val="left"/>
        <w:rPr>
          <w:sz w:val="18"/>
        </w:rPr>
      </w:pPr>
      <w:r>
        <w:rPr>
          <w:sz w:val="18"/>
        </w:rPr>
        <w:t>Ibid.,</w:t>
      </w:r>
      <w:r>
        <w:rPr>
          <w:spacing w:val="-1"/>
          <w:sz w:val="18"/>
        </w:rPr>
        <w:t> </w:t>
      </w:r>
      <w:r>
        <w:rPr>
          <w:spacing w:val="-2"/>
          <w:sz w:val="18"/>
        </w:rPr>
        <w:t>[461].</w:t>
      </w:r>
    </w:p>
    <w:p>
      <w:pPr>
        <w:pStyle w:val="ListParagraph"/>
        <w:numPr>
          <w:ilvl w:val="0"/>
          <w:numId w:val="47"/>
        </w:numPr>
        <w:tabs>
          <w:tab w:pos="1684" w:val="left" w:leader="none"/>
        </w:tabs>
        <w:spacing w:line="240" w:lineRule="auto" w:before="1" w:after="0"/>
        <w:ind w:left="1684" w:right="0" w:hanging="567"/>
        <w:jc w:val="left"/>
        <w:rPr>
          <w:sz w:val="18"/>
        </w:rPr>
      </w:pPr>
      <w:r>
        <w:rPr>
          <w:sz w:val="18"/>
        </w:rPr>
        <w:t>Ibid.,</w:t>
      </w:r>
      <w:r>
        <w:rPr>
          <w:spacing w:val="-1"/>
          <w:sz w:val="18"/>
        </w:rPr>
        <w:t> </w:t>
      </w:r>
      <w:r>
        <w:rPr>
          <w:spacing w:val="-2"/>
          <w:sz w:val="18"/>
        </w:rPr>
        <w:t>[710].</w:t>
      </w:r>
    </w:p>
    <w:p>
      <w:pPr>
        <w:pStyle w:val="ListParagraph"/>
        <w:numPr>
          <w:ilvl w:val="0"/>
          <w:numId w:val="47"/>
        </w:numPr>
        <w:tabs>
          <w:tab w:pos="1684" w:val="left" w:leader="none"/>
        </w:tabs>
        <w:spacing w:line="240" w:lineRule="auto" w:before="0" w:after="0"/>
        <w:ind w:left="1684" w:right="0" w:hanging="567"/>
        <w:jc w:val="left"/>
        <w:rPr>
          <w:sz w:val="18"/>
        </w:rPr>
      </w:pPr>
      <w:r>
        <w:rPr>
          <w:sz w:val="18"/>
        </w:rPr>
        <w:t>Ibid.,</w:t>
      </w:r>
      <w:r>
        <w:rPr>
          <w:spacing w:val="-1"/>
          <w:sz w:val="18"/>
        </w:rPr>
        <w:t> </w:t>
      </w:r>
      <w:r>
        <w:rPr>
          <w:sz w:val="18"/>
        </w:rPr>
        <w:t>[339], </w:t>
      </w:r>
      <w:r>
        <w:rPr>
          <w:spacing w:val="-2"/>
          <w:sz w:val="18"/>
        </w:rPr>
        <w:t>[367].</w:t>
      </w:r>
    </w:p>
    <w:p>
      <w:pPr>
        <w:pStyle w:val="ListParagraph"/>
        <w:numPr>
          <w:ilvl w:val="0"/>
          <w:numId w:val="47"/>
        </w:numPr>
        <w:tabs>
          <w:tab w:pos="1684" w:val="left" w:leader="none"/>
        </w:tabs>
        <w:spacing w:line="240" w:lineRule="auto" w:before="0" w:after="0"/>
        <w:ind w:left="1684" w:right="0" w:hanging="567"/>
        <w:jc w:val="left"/>
        <w:rPr>
          <w:sz w:val="18"/>
        </w:rPr>
      </w:pPr>
      <w:r>
        <w:rPr>
          <w:sz w:val="18"/>
        </w:rPr>
        <w:t>Ibid.,</w:t>
      </w:r>
      <w:r>
        <w:rPr>
          <w:spacing w:val="-7"/>
          <w:sz w:val="18"/>
        </w:rPr>
        <w:t> </w:t>
      </w:r>
      <w:r>
        <w:rPr>
          <w:sz w:val="18"/>
        </w:rPr>
        <w:t>[367]-</w:t>
      </w:r>
      <w:r>
        <w:rPr>
          <w:spacing w:val="-2"/>
          <w:sz w:val="18"/>
        </w:rPr>
        <w:t>[368].</w:t>
      </w:r>
    </w:p>
    <w:p>
      <w:pPr>
        <w:spacing w:after="0" w:line="240" w:lineRule="auto"/>
        <w:jc w:val="left"/>
        <w:rPr>
          <w:sz w:val="18"/>
        </w:rPr>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82176">
                <wp:simplePos x="0" y="0"/>
                <wp:positionH relativeFrom="page">
                  <wp:posOffset>0</wp:posOffset>
                </wp:positionH>
                <wp:positionV relativeFrom="page">
                  <wp:posOffset>0</wp:posOffset>
                </wp:positionV>
                <wp:extent cx="7560309" cy="1155065"/>
                <wp:effectExtent l="0" t="0" r="0" b="0"/>
                <wp:wrapNone/>
                <wp:docPr id="932" name="Group 932"/>
                <wp:cNvGraphicFramePr>
                  <a:graphicFrameLocks/>
                </wp:cNvGraphicFramePr>
                <a:graphic>
                  <a:graphicData uri="http://schemas.microsoft.com/office/word/2010/wordprocessingGroup">
                    <wpg:wgp>
                      <wpg:cNvPr id="932" name="Group 932"/>
                      <wpg:cNvGrpSpPr/>
                      <wpg:grpSpPr>
                        <a:xfrm>
                          <a:off x="0" y="0"/>
                          <a:ext cx="7560309" cy="1155065"/>
                          <a:chExt cx="7560309" cy="1155065"/>
                        </a:xfrm>
                      </wpg:grpSpPr>
                      <wps:wsp>
                        <wps:cNvPr id="933" name="Graphic 933"/>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934" name="Graphic 934"/>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34304" id="docshapegroup765" coordorigin="0,0" coordsize="11906,1819">
                <v:shape style="position:absolute;left:0;top:0;width:11906;height:1819" id="docshape766"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112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The Court then considered the Article 2 WF arguments. It found that legislation in breach</w:t>
      </w:r>
      <w:r>
        <w:rPr>
          <w:spacing w:val="-6"/>
        </w:rPr>
        <w:t> </w:t>
      </w:r>
      <w:r>
        <w:rPr/>
        <w:t>of</w:t>
      </w:r>
      <w:r>
        <w:rPr>
          <w:spacing w:val="-6"/>
        </w:rPr>
        <w:t> </w:t>
      </w:r>
      <w:r>
        <w:rPr/>
        <w:t>the</w:t>
      </w:r>
      <w:r>
        <w:rPr>
          <w:spacing w:val="-6"/>
        </w:rPr>
        <w:t> </w:t>
      </w:r>
      <w:r>
        <w:rPr/>
        <w:t>Article</w:t>
      </w:r>
      <w:r>
        <w:rPr>
          <w:spacing w:val="-6"/>
        </w:rPr>
        <w:t> </w:t>
      </w:r>
      <w:r>
        <w:rPr/>
        <w:t>2</w:t>
      </w:r>
      <w:r>
        <w:rPr>
          <w:spacing w:val="-6"/>
        </w:rPr>
        <w:t> </w:t>
      </w:r>
      <w:r>
        <w:rPr/>
        <w:t>WF</w:t>
      </w:r>
      <w:r>
        <w:rPr>
          <w:spacing w:val="-6"/>
        </w:rPr>
        <w:t> </w:t>
      </w:r>
      <w:r>
        <w:rPr/>
        <w:t>must</w:t>
      </w:r>
      <w:r>
        <w:rPr>
          <w:spacing w:val="-6"/>
        </w:rPr>
        <w:t> </w:t>
      </w:r>
      <w:r>
        <w:rPr/>
        <w:t>be</w:t>
      </w:r>
      <w:r>
        <w:rPr>
          <w:spacing w:val="-6"/>
        </w:rPr>
        <w:t> </w:t>
      </w:r>
      <w:r>
        <w:rPr/>
        <w:t>disapplied.</w:t>
      </w:r>
      <w:r>
        <w:rPr>
          <w:vertAlign w:val="superscript"/>
        </w:rPr>
        <w:t>584</w:t>
      </w:r>
      <w:r>
        <w:rPr>
          <w:spacing w:val="-6"/>
          <w:vertAlign w:val="baseline"/>
        </w:rPr>
        <w:t> </w:t>
      </w:r>
      <w:r>
        <w:rPr>
          <w:vertAlign w:val="baseline"/>
        </w:rPr>
        <w:t>The</w:t>
      </w:r>
      <w:r>
        <w:rPr>
          <w:spacing w:val="-6"/>
          <w:vertAlign w:val="baseline"/>
        </w:rPr>
        <w:t> </w:t>
      </w:r>
      <w:r>
        <w:rPr>
          <w:vertAlign w:val="baseline"/>
        </w:rPr>
        <w:t>Court</w:t>
      </w:r>
      <w:r>
        <w:rPr>
          <w:spacing w:val="-6"/>
          <w:vertAlign w:val="baseline"/>
        </w:rPr>
        <w:t> </w:t>
      </w:r>
      <w:r>
        <w:rPr>
          <w:vertAlign w:val="baseline"/>
        </w:rPr>
        <w:t>considered</w:t>
      </w:r>
      <w:r>
        <w:rPr>
          <w:spacing w:val="-6"/>
          <w:vertAlign w:val="baseline"/>
        </w:rPr>
        <w:t> </w:t>
      </w:r>
      <w:r>
        <w:rPr>
          <w:vertAlign w:val="baseline"/>
        </w:rPr>
        <w:t>Article</w:t>
      </w:r>
      <w:r>
        <w:rPr>
          <w:spacing w:val="-6"/>
          <w:vertAlign w:val="baseline"/>
        </w:rPr>
        <w:t> </w:t>
      </w:r>
      <w:r>
        <w:rPr>
          <w:vertAlign w:val="baseline"/>
        </w:rPr>
        <w:t>2</w:t>
      </w:r>
      <w:r>
        <w:rPr>
          <w:spacing w:val="-6"/>
          <w:vertAlign w:val="baseline"/>
        </w:rPr>
        <w:t> </w:t>
      </w:r>
      <w:r>
        <w:rPr>
          <w:vertAlign w:val="baseline"/>
        </w:rPr>
        <w:t>WF and adopted the analytical framework used by the Court of Appeal in </w:t>
      </w:r>
      <w:r>
        <w:rPr>
          <w:i/>
          <w:vertAlign w:val="baseline"/>
        </w:rPr>
        <w:t>SPUC</w:t>
      </w:r>
      <w:r>
        <w:rPr>
          <w:vertAlign w:val="baseline"/>
        </w:rPr>
        <w:t>.</w:t>
      </w:r>
      <w:r>
        <w:rPr>
          <w:vertAlign w:val="superscript"/>
        </w:rPr>
        <w:t>585</w:t>
      </w:r>
      <w:r>
        <w:rPr>
          <w:vertAlign w:val="baseline"/>
        </w:rPr>
        <w:t> As</w:t>
      </w:r>
    </w:p>
    <w:p>
      <w:pPr>
        <w:pStyle w:val="BodyText"/>
        <w:spacing w:line="232" w:lineRule="auto"/>
        <w:ind w:left="720" w:right="1143"/>
      </w:pPr>
      <w:r>
        <w:rPr/>
        <w:t>a preliminary matter the Court held that it could rely on the Vienna Convention on the Law of Treaties provisions on interpretation when interpreting both Article 2 WF</w:t>
      </w:r>
      <w:r>
        <w:rPr>
          <w:spacing w:val="-7"/>
        </w:rPr>
        <w:t> </w:t>
      </w:r>
      <w:r>
        <w:rPr/>
        <w:t>and</w:t>
      </w:r>
      <w:r>
        <w:rPr>
          <w:spacing w:val="-7"/>
        </w:rPr>
        <w:t> </w:t>
      </w:r>
      <w:r>
        <w:rPr/>
        <w:t>the</w:t>
      </w:r>
      <w:r>
        <w:rPr>
          <w:spacing w:val="-6"/>
        </w:rPr>
        <w:t> </w:t>
      </w:r>
      <w:r>
        <w:rPr/>
        <w:t>1998</w:t>
      </w:r>
      <w:r>
        <w:rPr>
          <w:spacing w:val="-6"/>
        </w:rPr>
        <w:t> </w:t>
      </w:r>
      <w:r>
        <w:rPr/>
        <w:t>Agreement;</w:t>
      </w:r>
      <w:r>
        <w:rPr>
          <w:spacing w:val="-6"/>
        </w:rPr>
        <w:t> </w:t>
      </w:r>
      <w:r>
        <w:rPr/>
        <w:t>this</w:t>
      </w:r>
      <w:r>
        <w:rPr>
          <w:spacing w:val="-7"/>
        </w:rPr>
        <w:t> </w:t>
      </w:r>
      <w:r>
        <w:rPr/>
        <w:t>required</w:t>
      </w:r>
      <w:r>
        <w:rPr>
          <w:spacing w:val="-7"/>
        </w:rPr>
        <w:t> </w:t>
      </w:r>
      <w:r>
        <w:rPr/>
        <w:t>a</w:t>
      </w:r>
      <w:r>
        <w:rPr>
          <w:spacing w:val="-7"/>
        </w:rPr>
        <w:t> </w:t>
      </w:r>
      <w:r>
        <w:rPr/>
        <w:t>‘generous</w:t>
      </w:r>
      <w:r>
        <w:rPr>
          <w:spacing w:val="-7"/>
        </w:rPr>
        <w:t> </w:t>
      </w:r>
      <w:r>
        <w:rPr/>
        <w:t>and</w:t>
      </w:r>
      <w:r>
        <w:rPr>
          <w:spacing w:val="-7"/>
        </w:rPr>
        <w:t> </w:t>
      </w:r>
      <w:r>
        <w:rPr/>
        <w:t>purposive</w:t>
      </w:r>
      <w:r>
        <w:rPr>
          <w:spacing w:val="-6"/>
        </w:rPr>
        <w:t> </w:t>
      </w:r>
      <w:r>
        <w:rPr/>
        <w:t>approach’</w:t>
      </w:r>
      <w:r>
        <w:rPr>
          <w:spacing w:val="-6"/>
        </w:rPr>
        <w:t> </w:t>
      </w:r>
      <w:r>
        <w:rPr/>
        <w:t>to interpreting Article 2 WF.</w:t>
      </w:r>
      <w:r>
        <w:rPr>
          <w:vertAlign w:val="superscript"/>
        </w:rPr>
        <w:t>586</w:t>
      </w:r>
    </w:p>
    <w:p>
      <w:pPr>
        <w:pStyle w:val="BodyText"/>
        <w:spacing w:line="232" w:lineRule="auto" w:before="272"/>
        <w:ind w:left="720" w:right="1404"/>
      </w:pPr>
      <w:r>
        <w:rPr/>
        <w:t>On the first question as to whether a right included in the relevant part of the 1998 Agreement was engaged, the Court relied on this generous and purposive approach</w:t>
      </w:r>
      <w:r>
        <w:rPr>
          <w:spacing w:val="-8"/>
        </w:rPr>
        <w:t> </w:t>
      </w:r>
      <w:r>
        <w:rPr/>
        <w:t>to</w:t>
      </w:r>
      <w:r>
        <w:rPr>
          <w:spacing w:val="-8"/>
        </w:rPr>
        <w:t> </w:t>
      </w:r>
      <w:r>
        <w:rPr/>
        <w:t>examine</w:t>
      </w:r>
      <w:r>
        <w:rPr>
          <w:spacing w:val="-7"/>
        </w:rPr>
        <w:t> </w:t>
      </w:r>
      <w:r>
        <w:rPr/>
        <w:t>the</w:t>
      </w:r>
      <w:r>
        <w:rPr>
          <w:spacing w:val="-7"/>
        </w:rPr>
        <w:t> </w:t>
      </w:r>
      <w:r>
        <w:rPr/>
        <w:t>Rights,</w:t>
      </w:r>
      <w:r>
        <w:rPr>
          <w:spacing w:val="-7"/>
        </w:rPr>
        <w:t> </w:t>
      </w:r>
      <w:r>
        <w:rPr/>
        <w:t>Safeguards</w:t>
      </w:r>
      <w:r>
        <w:rPr>
          <w:spacing w:val="-8"/>
        </w:rPr>
        <w:t> </w:t>
      </w:r>
      <w:r>
        <w:rPr/>
        <w:t>and</w:t>
      </w:r>
      <w:r>
        <w:rPr>
          <w:spacing w:val="-8"/>
        </w:rPr>
        <w:t> </w:t>
      </w:r>
      <w:r>
        <w:rPr/>
        <w:t>Equality</w:t>
      </w:r>
      <w:r>
        <w:rPr>
          <w:spacing w:val="-7"/>
        </w:rPr>
        <w:t> </w:t>
      </w:r>
      <w:r>
        <w:rPr/>
        <w:t>of</w:t>
      </w:r>
      <w:r>
        <w:rPr>
          <w:spacing w:val="-8"/>
        </w:rPr>
        <w:t> </w:t>
      </w:r>
      <w:r>
        <w:rPr/>
        <w:t>Opportunity</w:t>
      </w:r>
      <w:r>
        <w:rPr>
          <w:spacing w:val="-7"/>
        </w:rPr>
        <w:t> </w:t>
      </w:r>
      <w:r>
        <w:rPr/>
        <w:t>section of the Agreement, in the wider context of the Agreement and supplementary </w:t>
      </w:r>
      <w:r>
        <w:rPr>
          <w:spacing w:val="-2"/>
        </w:rPr>
        <w:t>material.</w:t>
      </w:r>
    </w:p>
    <w:p>
      <w:pPr>
        <w:pStyle w:val="BodyText"/>
        <w:spacing w:line="232" w:lineRule="auto" w:before="276"/>
        <w:ind w:left="720" w:right="1250"/>
      </w:pPr>
      <w:r>
        <w:rPr/>
        <w:t>The Declaration of Support in the Agreement refers to ‘the protection and vindication</w:t>
      </w:r>
      <w:r>
        <w:rPr>
          <w:spacing w:val="-9"/>
        </w:rPr>
        <w:t> </w:t>
      </w:r>
      <w:r>
        <w:rPr/>
        <w:t>of</w:t>
      </w:r>
      <w:r>
        <w:rPr>
          <w:spacing w:val="-9"/>
        </w:rPr>
        <w:t> </w:t>
      </w:r>
      <w:r>
        <w:rPr/>
        <w:t>the</w:t>
      </w:r>
      <w:r>
        <w:rPr>
          <w:spacing w:val="-8"/>
        </w:rPr>
        <w:t> </w:t>
      </w:r>
      <w:r>
        <w:rPr/>
        <w:t>human</w:t>
      </w:r>
      <w:r>
        <w:rPr>
          <w:spacing w:val="-9"/>
        </w:rPr>
        <w:t> </w:t>
      </w:r>
      <w:r>
        <w:rPr/>
        <w:t>rights</w:t>
      </w:r>
      <w:r>
        <w:rPr>
          <w:spacing w:val="-9"/>
        </w:rPr>
        <w:t> </w:t>
      </w:r>
      <w:r>
        <w:rPr/>
        <w:t>of</w:t>
      </w:r>
      <w:r>
        <w:rPr>
          <w:spacing w:val="-9"/>
        </w:rPr>
        <w:t> </w:t>
      </w:r>
      <w:r>
        <w:rPr/>
        <w:t>all’</w:t>
      </w:r>
      <w:r>
        <w:rPr>
          <w:vertAlign w:val="superscript"/>
        </w:rPr>
        <w:t>587</w:t>
      </w:r>
      <w:r>
        <w:rPr>
          <w:spacing w:val="-9"/>
          <w:vertAlign w:val="baseline"/>
        </w:rPr>
        <w:t> </w:t>
      </w:r>
      <w:r>
        <w:rPr>
          <w:vertAlign w:val="baseline"/>
        </w:rPr>
        <w:t>and</w:t>
      </w:r>
      <w:r>
        <w:rPr>
          <w:spacing w:val="-9"/>
          <w:vertAlign w:val="baseline"/>
        </w:rPr>
        <w:t> </w:t>
      </w:r>
      <w:r>
        <w:rPr>
          <w:vertAlign w:val="baseline"/>
        </w:rPr>
        <w:t>the</w:t>
      </w:r>
      <w:r>
        <w:rPr>
          <w:spacing w:val="-8"/>
          <w:vertAlign w:val="baseline"/>
        </w:rPr>
        <w:t> </w:t>
      </w:r>
      <w:r>
        <w:rPr>
          <w:vertAlign w:val="baseline"/>
        </w:rPr>
        <w:t>Downing</w:t>
      </w:r>
      <w:r>
        <w:rPr>
          <w:spacing w:val="-8"/>
          <w:vertAlign w:val="baseline"/>
        </w:rPr>
        <w:t> </w:t>
      </w:r>
      <w:r>
        <w:rPr>
          <w:vertAlign w:val="baseline"/>
        </w:rPr>
        <w:t>Street</w:t>
      </w:r>
      <w:r>
        <w:rPr>
          <w:spacing w:val="-8"/>
          <w:vertAlign w:val="baseline"/>
        </w:rPr>
        <w:t> </w:t>
      </w:r>
      <w:r>
        <w:rPr>
          <w:vertAlign w:val="baseline"/>
        </w:rPr>
        <w:t>Declaration</w:t>
      </w:r>
      <w:r>
        <w:rPr>
          <w:spacing w:val="-9"/>
          <w:vertAlign w:val="baseline"/>
        </w:rPr>
        <w:t> </w:t>
      </w:r>
      <w:r>
        <w:rPr>
          <w:vertAlign w:val="baseline"/>
        </w:rPr>
        <w:t>refers to ‘the systematic and effective protection of common specified civil, political, social</w:t>
      </w:r>
      <w:r>
        <w:rPr>
          <w:spacing w:val="-4"/>
          <w:vertAlign w:val="baseline"/>
        </w:rPr>
        <w:t> </w:t>
      </w:r>
      <w:r>
        <w:rPr>
          <w:vertAlign w:val="baseline"/>
        </w:rPr>
        <w:t>and</w:t>
      </w:r>
      <w:r>
        <w:rPr>
          <w:spacing w:val="-4"/>
          <w:vertAlign w:val="baseline"/>
        </w:rPr>
        <w:t> </w:t>
      </w:r>
      <w:r>
        <w:rPr>
          <w:vertAlign w:val="baseline"/>
        </w:rPr>
        <w:t>cultural</w:t>
      </w:r>
      <w:r>
        <w:rPr>
          <w:spacing w:val="-4"/>
          <w:vertAlign w:val="baseline"/>
        </w:rPr>
        <w:t> </w:t>
      </w:r>
      <w:r>
        <w:rPr>
          <w:vertAlign w:val="baseline"/>
        </w:rPr>
        <w:t>rights’.</w:t>
      </w:r>
      <w:r>
        <w:rPr>
          <w:vertAlign w:val="superscript"/>
        </w:rPr>
        <w:t>588</w:t>
      </w:r>
      <w:r>
        <w:rPr>
          <w:spacing w:val="-4"/>
          <w:vertAlign w:val="baseline"/>
        </w:rPr>
        <w:t> </w:t>
      </w:r>
      <w:r>
        <w:rPr>
          <w:vertAlign w:val="baseline"/>
        </w:rPr>
        <w:t>The</w:t>
      </w:r>
      <w:r>
        <w:rPr>
          <w:spacing w:val="-3"/>
          <w:vertAlign w:val="baseline"/>
        </w:rPr>
        <w:t> </w:t>
      </w:r>
      <w:r>
        <w:rPr>
          <w:vertAlign w:val="baseline"/>
        </w:rPr>
        <w:t>Court</w:t>
      </w:r>
      <w:r>
        <w:rPr>
          <w:spacing w:val="-3"/>
          <w:vertAlign w:val="baseline"/>
        </w:rPr>
        <w:t> </w:t>
      </w:r>
      <w:r>
        <w:rPr>
          <w:vertAlign w:val="baseline"/>
        </w:rPr>
        <w:t>also</w:t>
      </w:r>
      <w:r>
        <w:rPr>
          <w:spacing w:val="-4"/>
          <w:vertAlign w:val="baseline"/>
        </w:rPr>
        <w:t> </w:t>
      </w:r>
      <w:r>
        <w:rPr>
          <w:vertAlign w:val="baseline"/>
        </w:rPr>
        <w:t>drew</w:t>
      </w:r>
      <w:r>
        <w:rPr>
          <w:spacing w:val="-3"/>
          <w:vertAlign w:val="baseline"/>
        </w:rPr>
        <w:t> </w:t>
      </w:r>
      <w:r>
        <w:rPr>
          <w:vertAlign w:val="baseline"/>
        </w:rPr>
        <w:t>on</w:t>
      </w:r>
      <w:r>
        <w:rPr>
          <w:spacing w:val="-4"/>
          <w:vertAlign w:val="baseline"/>
        </w:rPr>
        <w:t> </w:t>
      </w:r>
      <w:r>
        <w:rPr>
          <w:vertAlign w:val="baseline"/>
        </w:rPr>
        <w:t>the</w:t>
      </w:r>
      <w:r>
        <w:rPr>
          <w:spacing w:val="-3"/>
          <w:vertAlign w:val="baseline"/>
        </w:rPr>
        <w:t> </w:t>
      </w:r>
      <w:r>
        <w:rPr>
          <w:vertAlign w:val="baseline"/>
        </w:rPr>
        <w:t>UK</w:t>
      </w:r>
      <w:r>
        <w:rPr>
          <w:spacing w:val="-3"/>
          <w:vertAlign w:val="baseline"/>
        </w:rPr>
        <w:t> </w:t>
      </w:r>
      <w:r>
        <w:rPr>
          <w:vertAlign w:val="baseline"/>
        </w:rPr>
        <w:t>Government</w:t>
      </w:r>
      <w:r>
        <w:rPr>
          <w:spacing w:val="-3"/>
          <w:vertAlign w:val="baseline"/>
        </w:rPr>
        <w:t> </w:t>
      </w:r>
      <w:r>
        <w:rPr>
          <w:vertAlign w:val="baseline"/>
        </w:rPr>
        <w:t>explainer on Article 2 WF with its reference to ‘future developments in the area of human rights and equalities in the rest of the UK, the EU and the rest of the world’.</w:t>
      </w:r>
      <w:r>
        <w:rPr>
          <w:vertAlign w:val="superscript"/>
        </w:rPr>
        <w:t>589</w:t>
      </w:r>
    </w:p>
    <w:p>
      <w:pPr>
        <w:pStyle w:val="BodyText"/>
        <w:spacing w:line="232" w:lineRule="auto" w:before="274"/>
        <w:ind w:left="720" w:right="1250"/>
      </w:pPr>
      <w:r>
        <w:rPr/>
        <w:t>This</w:t>
      </w:r>
      <w:r>
        <w:rPr>
          <w:spacing w:val="-5"/>
        </w:rPr>
        <w:t> </w:t>
      </w:r>
      <w:r>
        <w:rPr/>
        <w:t>language</w:t>
      </w:r>
      <w:r>
        <w:rPr>
          <w:spacing w:val="-4"/>
        </w:rPr>
        <w:t> </w:t>
      </w:r>
      <w:r>
        <w:rPr/>
        <w:t>is</w:t>
      </w:r>
      <w:r>
        <w:rPr>
          <w:spacing w:val="-5"/>
        </w:rPr>
        <w:t> </w:t>
      </w:r>
      <w:r>
        <w:rPr/>
        <w:t>all</w:t>
      </w:r>
      <w:r>
        <w:rPr>
          <w:spacing w:val="-5"/>
        </w:rPr>
        <w:t> </w:t>
      </w:r>
      <w:r>
        <w:rPr/>
        <w:t>important</w:t>
      </w:r>
      <w:r>
        <w:rPr>
          <w:spacing w:val="-4"/>
        </w:rPr>
        <w:t> </w:t>
      </w:r>
      <w:r>
        <w:rPr/>
        <w:t>as</w:t>
      </w:r>
      <w:r>
        <w:rPr>
          <w:spacing w:val="-5"/>
        </w:rPr>
        <w:t> </w:t>
      </w:r>
      <w:r>
        <w:rPr/>
        <w:t>the</w:t>
      </w:r>
      <w:r>
        <w:rPr>
          <w:spacing w:val="-4"/>
        </w:rPr>
        <w:t> </w:t>
      </w:r>
      <w:r>
        <w:rPr/>
        <w:t>High</w:t>
      </w:r>
      <w:r>
        <w:rPr>
          <w:spacing w:val="-5"/>
        </w:rPr>
        <w:t> </w:t>
      </w:r>
      <w:r>
        <w:rPr/>
        <w:t>Court</w:t>
      </w:r>
      <w:r>
        <w:rPr>
          <w:spacing w:val="-4"/>
        </w:rPr>
        <w:t> </w:t>
      </w:r>
      <w:r>
        <w:rPr/>
        <w:t>has</w:t>
      </w:r>
      <w:r>
        <w:rPr>
          <w:spacing w:val="-5"/>
        </w:rPr>
        <w:t> </w:t>
      </w:r>
      <w:r>
        <w:rPr/>
        <w:t>adopted</w:t>
      </w:r>
      <w:r>
        <w:rPr>
          <w:spacing w:val="-5"/>
        </w:rPr>
        <w:t> </w:t>
      </w:r>
      <w:r>
        <w:rPr/>
        <w:t>an</w:t>
      </w:r>
      <w:r>
        <w:rPr>
          <w:spacing w:val="-5"/>
        </w:rPr>
        <w:t> </w:t>
      </w:r>
      <w:r>
        <w:rPr/>
        <w:t>inclusive</w:t>
      </w:r>
      <w:r>
        <w:rPr>
          <w:spacing w:val="-4"/>
        </w:rPr>
        <w:t> </w:t>
      </w:r>
      <w:r>
        <w:rPr/>
        <w:t>approach to understanding what rights are covered in the relevant part of the 1998 Agreement. In the specific case the Court also drew attention to the Agreement’s provisions on victims.</w:t>
      </w:r>
      <w:r>
        <w:rPr>
          <w:vertAlign w:val="superscript"/>
        </w:rPr>
        <w:t>590</w:t>
      </w:r>
      <w:r>
        <w:rPr>
          <w:vertAlign w:val="baseline"/>
        </w:rPr>
        <w:t> This led the Court to conclude that the right to life, the right to be free from torture, cruel, inhuman or degrading treatment, the right to access a court, the right to freedom from discrimination and the right to dignity were all encompassed by the term civil rights.</w:t>
      </w:r>
      <w:r>
        <w:rPr>
          <w:vertAlign w:val="superscript"/>
        </w:rPr>
        <w:t>591</w:t>
      </w:r>
    </w:p>
    <w:p>
      <w:pPr>
        <w:pStyle w:val="BodyText"/>
        <w:spacing w:line="232" w:lineRule="auto" w:before="273"/>
        <w:ind w:left="720" w:right="1203"/>
      </w:pPr>
      <w:r>
        <w:rPr/>
        <w:t>The second element of the test was whether the right was given effect (in whole</w:t>
      </w:r>
      <w:r>
        <w:rPr/>
        <w:t> or in part) in Northern Ireland before 31 December 2020. Here the Court helpfully clarified earlier comments in </w:t>
      </w:r>
      <w:r>
        <w:rPr>
          <w:i/>
        </w:rPr>
        <w:t>Angesom </w:t>
      </w:r>
      <w:r>
        <w:rPr/>
        <w:t>and recognised that an EU directive might have been directly effective at the time if the national measures implementing it did not correctly implement it.</w:t>
      </w:r>
      <w:r>
        <w:rPr>
          <w:vertAlign w:val="superscript"/>
        </w:rPr>
        <w:t>592</w:t>
      </w:r>
      <w:r>
        <w:rPr>
          <w:vertAlign w:val="baseline"/>
        </w:rPr>
        <w:t> The Court concluded that relevant parts of the Victims’</w:t>
      </w:r>
      <w:r>
        <w:rPr>
          <w:spacing w:val="-7"/>
          <w:vertAlign w:val="baseline"/>
        </w:rPr>
        <w:t> </w:t>
      </w:r>
      <w:r>
        <w:rPr>
          <w:vertAlign w:val="baseline"/>
        </w:rPr>
        <w:t>Directive</w:t>
      </w:r>
      <w:r>
        <w:rPr>
          <w:spacing w:val="-7"/>
          <w:vertAlign w:val="baseline"/>
        </w:rPr>
        <w:t> </w:t>
      </w:r>
      <w:r>
        <w:rPr>
          <w:vertAlign w:val="baseline"/>
        </w:rPr>
        <w:t>and</w:t>
      </w:r>
      <w:r>
        <w:rPr>
          <w:spacing w:val="-8"/>
          <w:vertAlign w:val="baseline"/>
        </w:rPr>
        <w:t> </w:t>
      </w:r>
      <w:r>
        <w:rPr>
          <w:vertAlign w:val="baseline"/>
        </w:rPr>
        <w:t>Charter</w:t>
      </w:r>
      <w:r>
        <w:rPr>
          <w:spacing w:val="-7"/>
          <w:vertAlign w:val="baseline"/>
        </w:rPr>
        <w:t> </w:t>
      </w:r>
      <w:r>
        <w:rPr>
          <w:vertAlign w:val="baseline"/>
        </w:rPr>
        <w:t>of</w:t>
      </w:r>
      <w:r>
        <w:rPr>
          <w:spacing w:val="-8"/>
          <w:vertAlign w:val="baseline"/>
        </w:rPr>
        <w:t> </w:t>
      </w:r>
      <w:r>
        <w:rPr>
          <w:vertAlign w:val="baseline"/>
        </w:rPr>
        <w:t>Fundamental</w:t>
      </w:r>
      <w:r>
        <w:rPr>
          <w:spacing w:val="-8"/>
          <w:vertAlign w:val="baseline"/>
        </w:rPr>
        <w:t> </w:t>
      </w:r>
      <w:r>
        <w:rPr>
          <w:vertAlign w:val="baseline"/>
        </w:rPr>
        <w:t>Rights</w:t>
      </w:r>
      <w:r>
        <w:rPr>
          <w:spacing w:val="-8"/>
          <w:vertAlign w:val="baseline"/>
        </w:rPr>
        <w:t> </w:t>
      </w:r>
      <w:r>
        <w:rPr>
          <w:vertAlign w:val="baseline"/>
        </w:rPr>
        <w:t>were</w:t>
      </w:r>
      <w:r>
        <w:rPr>
          <w:spacing w:val="-7"/>
          <w:vertAlign w:val="baseline"/>
        </w:rPr>
        <w:t> </w:t>
      </w:r>
      <w:r>
        <w:rPr>
          <w:vertAlign w:val="baseline"/>
        </w:rPr>
        <w:t>given</w:t>
      </w:r>
      <w:r>
        <w:rPr>
          <w:spacing w:val="-8"/>
          <w:vertAlign w:val="baseline"/>
        </w:rPr>
        <w:t> </w:t>
      </w:r>
      <w:r>
        <w:rPr>
          <w:vertAlign w:val="baseline"/>
        </w:rPr>
        <w:t>effect</w:t>
      </w:r>
      <w:r>
        <w:rPr>
          <w:spacing w:val="-7"/>
          <w:vertAlign w:val="baseline"/>
        </w:rPr>
        <w:t> </w:t>
      </w:r>
      <w:r>
        <w:rPr>
          <w:vertAlign w:val="baseline"/>
        </w:rPr>
        <w:t>in</w:t>
      </w:r>
      <w:r>
        <w:rPr>
          <w:spacing w:val="-8"/>
          <w:vertAlign w:val="baseline"/>
        </w:rPr>
        <w:t> </w:t>
      </w:r>
      <w:r>
        <w:rPr>
          <w:vertAlign w:val="baseline"/>
        </w:rPr>
        <w:t>Northern Ireland prior to 31 December 2020.</w:t>
      </w:r>
      <w:r>
        <w:rPr>
          <w:vertAlign w:val="superscript"/>
        </w:rPr>
        <w:t>593</w:t>
      </w:r>
    </w:p>
    <w:p>
      <w:pPr>
        <w:pStyle w:val="BodyText"/>
        <w:spacing w:before="4"/>
        <w:rPr>
          <w:sz w:val="19"/>
        </w:rPr>
      </w:pPr>
      <w:r>
        <w:rPr/>
        <mc:AlternateContent>
          <mc:Choice Requires="wps">
            <w:drawing>
              <wp:anchor distT="0" distB="0" distL="0" distR="0" allowOverlap="1" layoutInCell="1" locked="0" behindDoc="1" simplePos="0" relativeHeight="487764992">
                <wp:simplePos x="0" y="0"/>
                <wp:positionH relativeFrom="page">
                  <wp:posOffset>647999</wp:posOffset>
                </wp:positionH>
                <wp:positionV relativeFrom="paragraph">
                  <wp:posOffset>165591</wp:posOffset>
                </wp:positionV>
                <wp:extent cx="6012180" cy="1270"/>
                <wp:effectExtent l="0" t="0" r="0" b="0"/>
                <wp:wrapTopAndBottom/>
                <wp:docPr id="935" name="Graphic 935"/>
                <wp:cNvGraphicFramePr>
                  <a:graphicFrameLocks/>
                </wp:cNvGraphicFramePr>
                <a:graphic>
                  <a:graphicData uri="http://schemas.microsoft.com/office/word/2010/wordprocessingShape">
                    <wps:wsp>
                      <wps:cNvPr id="935" name="Graphic 935"/>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3.038681pt;width:473.4pt;height:.1pt;mso-position-horizontal-relative:page;mso-position-vertical-relative:paragraph;z-index:-15551488;mso-wrap-distance-left:0;mso-wrap-distance-right:0" id="docshape767" coordorigin="1020,261" coordsize="9468,0" path="m1020,261l10488,261e" filled="false" stroked="true" strokeweight=".5pt" strokecolor="#36a9e1">
                <v:path arrowok="t"/>
                <v:stroke dashstyle="solid"/>
                <w10:wrap type="topAndBottom"/>
              </v:shape>
            </w:pict>
          </mc:Fallback>
        </mc:AlternateContent>
      </w:r>
    </w:p>
    <w:p>
      <w:pPr>
        <w:tabs>
          <w:tab w:pos="1287" w:val="left" w:leader="none"/>
        </w:tabs>
        <w:spacing w:before="43"/>
        <w:ind w:left="720" w:right="0" w:firstLine="0"/>
        <w:jc w:val="left"/>
        <w:rPr>
          <w:sz w:val="18"/>
        </w:rPr>
      </w:pPr>
      <w:r>
        <w:rPr>
          <w:spacing w:val="-5"/>
          <w:sz w:val="18"/>
        </w:rPr>
        <w:t>584</w:t>
      </w:r>
      <w:r>
        <w:rPr>
          <w:sz w:val="18"/>
        </w:rPr>
        <w:tab/>
        <w:t>Ibid.,</w:t>
      </w:r>
      <w:r>
        <w:rPr>
          <w:spacing w:val="-6"/>
          <w:sz w:val="18"/>
        </w:rPr>
        <w:t> </w:t>
      </w:r>
      <w:r>
        <w:rPr>
          <w:sz w:val="18"/>
        </w:rPr>
        <w:t>[520-</w:t>
      </w:r>
      <w:r>
        <w:rPr>
          <w:spacing w:val="-2"/>
          <w:sz w:val="18"/>
        </w:rPr>
        <w:t>527].</w:t>
      </w:r>
    </w:p>
    <w:p>
      <w:pPr>
        <w:tabs>
          <w:tab w:pos="1287" w:val="left" w:leader="none"/>
        </w:tabs>
        <w:spacing w:before="1"/>
        <w:ind w:left="720" w:right="0" w:firstLine="0"/>
        <w:jc w:val="left"/>
        <w:rPr>
          <w:sz w:val="18"/>
        </w:rPr>
      </w:pPr>
      <w:r>
        <w:rPr>
          <w:spacing w:val="-5"/>
          <w:sz w:val="18"/>
        </w:rPr>
        <w:t>585</w:t>
      </w:r>
      <w:r>
        <w:rPr>
          <w:sz w:val="18"/>
        </w:rPr>
        <w:tab/>
        <w:t>Ibid.,</w:t>
      </w:r>
      <w:r>
        <w:rPr>
          <w:spacing w:val="-1"/>
          <w:sz w:val="18"/>
        </w:rPr>
        <w:t> </w:t>
      </w:r>
      <w:r>
        <w:rPr>
          <w:spacing w:val="-2"/>
          <w:sz w:val="18"/>
        </w:rPr>
        <w:t>[529].</w:t>
      </w:r>
    </w:p>
    <w:p>
      <w:pPr>
        <w:tabs>
          <w:tab w:pos="1287" w:val="left" w:leader="none"/>
        </w:tabs>
        <w:spacing w:before="0"/>
        <w:ind w:left="720" w:right="0" w:firstLine="0"/>
        <w:jc w:val="left"/>
        <w:rPr>
          <w:sz w:val="18"/>
        </w:rPr>
      </w:pPr>
      <w:r>
        <w:rPr>
          <w:spacing w:val="-5"/>
          <w:sz w:val="18"/>
        </w:rPr>
        <w:t>586</w:t>
      </w:r>
      <w:r>
        <w:rPr>
          <w:sz w:val="18"/>
        </w:rPr>
        <w:tab/>
        <w:t>Ibid.,</w:t>
      </w:r>
      <w:r>
        <w:rPr>
          <w:spacing w:val="-1"/>
          <w:sz w:val="18"/>
        </w:rPr>
        <w:t> </w:t>
      </w:r>
      <w:r>
        <w:rPr>
          <w:spacing w:val="-2"/>
          <w:sz w:val="18"/>
        </w:rPr>
        <w:t>[535].</w:t>
      </w:r>
    </w:p>
    <w:p>
      <w:pPr>
        <w:tabs>
          <w:tab w:pos="1287" w:val="left" w:leader="none"/>
        </w:tabs>
        <w:spacing w:before="0"/>
        <w:ind w:left="720" w:right="0" w:firstLine="0"/>
        <w:jc w:val="left"/>
        <w:rPr>
          <w:sz w:val="18"/>
        </w:rPr>
      </w:pPr>
      <w:r>
        <w:rPr>
          <w:spacing w:val="-5"/>
          <w:sz w:val="18"/>
        </w:rPr>
        <w:t>587</w:t>
      </w:r>
      <w:r>
        <w:rPr>
          <w:sz w:val="18"/>
        </w:rPr>
        <w:tab/>
        <w:t>Ibid.,</w:t>
      </w:r>
      <w:r>
        <w:rPr>
          <w:spacing w:val="-1"/>
          <w:sz w:val="18"/>
        </w:rPr>
        <w:t> </w:t>
      </w:r>
      <w:r>
        <w:rPr>
          <w:spacing w:val="-2"/>
          <w:sz w:val="18"/>
        </w:rPr>
        <w:t>[546].</w:t>
      </w:r>
    </w:p>
    <w:p>
      <w:pPr>
        <w:tabs>
          <w:tab w:pos="1287" w:val="left" w:leader="none"/>
        </w:tabs>
        <w:spacing w:before="0"/>
        <w:ind w:left="720" w:right="0" w:firstLine="0"/>
        <w:jc w:val="left"/>
        <w:rPr>
          <w:sz w:val="18"/>
        </w:rPr>
      </w:pPr>
      <w:r>
        <w:rPr>
          <w:spacing w:val="-5"/>
          <w:sz w:val="18"/>
        </w:rPr>
        <w:t>588</w:t>
      </w:r>
      <w:r>
        <w:rPr>
          <w:sz w:val="18"/>
        </w:rPr>
        <w:tab/>
        <w:t>Ibid.,</w:t>
      </w:r>
      <w:r>
        <w:rPr>
          <w:spacing w:val="-1"/>
          <w:sz w:val="18"/>
        </w:rPr>
        <w:t> </w:t>
      </w:r>
      <w:r>
        <w:rPr>
          <w:spacing w:val="-2"/>
          <w:sz w:val="18"/>
        </w:rPr>
        <w:t>[551].</w:t>
      </w:r>
    </w:p>
    <w:p>
      <w:pPr>
        <w:tabs>
          <w:tab w:pos="1287" w:val="left" w:leader="none"/>
        </w:tabs>
        <w:spacing w:before="1"/>
        <w:ind w:left="720" w:right="0" w:firstLine="0"/>
        <w:jc w:val="left"/>
        <w:rPr>
          <w:sz w:val="18"/>
        </w:rPr>
      </w:pPr>
      <w:r>
        <w:rPr>
          <w:spacing w:val="-5"/>
          <w:sz w:val="18"/>
        </w:rPr>
        <w:t>589</w:t>
      </w:r>
      <w:r>
        <w:rPr>
          <w:sz w:val="18"/>
        </w:rPr>
        <w:tab/>
        <w:t>Ibid.,</w:t>
      </w:r>
      <w:r>
        <w:rPr>
          <w:spacing w:val="-1"/>
          <w:sz w:val="18"/>
        </w:rPr>
        <w:t> </w:t>
      </w:r>
      <w:r>
        <w:rPr>
          <w:spacing w:val="-2"/>
          <w:sz w:val="18"/>
        </w:rPr>
        <w:t>[551].</w:t>
      </w:r>
    </w:p>
    <w:p>
      <w:pPr>
        <w:tabs>
          <w:tab w:pos="1287" w:val="left" w:leader="none"/>
        </w:tabs>
        <w:spacing w:before="0"/>
        <w:ind w:left="720" w:right="0" w:firstLine="0"/>
        <w:jc w:val="left"/>
        <w:rPr>
          <w:sz w:val="18"/>
        </w:rPr>
      </w:pPr>
      <w:r>
        <w:rPr>
          <w:spacing w:val="-5"/>
          <w:sz w:val="18"/>
        </w:rPr>
        <w:t>590</w:t>
      </w:r>
      <w:r>
        <w:rPr>
          <w:sz w:val="18"/>
        </w:rPr>
        <w:tab/>
        <w:t>Ibid.,</w:t>
      </w:r>
      <w:r>
        <w:rPr>
          <w:spacing w:val="-1"/>
          <w:sz w:val="18"/>
        </w:rPr>
        <w:t> </w:t>
      </w:r>
      <w:r>
        <w:rPr>
          <w:spacing w:val="-2"/>
          <w:sz w:val="18"/>
        </w:rPr>
        <w:t>[557].</w:t>
      </w:r>
    </w:p>
    <w:p>
      <w:pPr>
        <w:tabs>
          <w:tab w:pos="1287" w:val="left" w:leader="none"/>
        </w:tabs>
        <w:spacing w:before="0"/>
        <w:ind w:left="720" w:right="0" w:firstLine="0"/>
        <w:jc w:val="left"/>
        <w:rPr>
          <w:sz w:val="18"/>
        </w:rPr>
      </w:pPr>
      <w:r>
        <w:rPr>
          <w:spacing w:val="-5"/>
          <w:sz w:val="18"/>
        </w:rPr>
        <w:t>591</w:t>
      </w:r>
      <w:r>
        <w:rPr>
          <w:sz w:val="18"/>
        </w:rPr>
        <w:tab/>
        <w:t>Ibid.,</w:t>
      </w:r>
      <w:r>
        <w:rPr>
          <w:spacing w:val="-1"/>
          <w:sz w:val="18"/>
        </w:rPr>
        <w:t> </w:t>
      </w:r>
      <w:r>
        <w:rPr>
          <w:spacing w:val="-2"/>
          <w:sz w:val="18"/>
        </w:rPr>
        <w:t>[561].</w:t>
      </w:r>
    </w:p>
    <w:p>
      <w:pPr>
        <w:tabs>
          <w:tab w:pos="1287" w:val="left" w:leader="none"/>
        </w:tabs>
        <w:spacing w:before="1"/>
        <w:ind w:left="720" w:right="0" w:firstLine="0"/>
        <w:jc w:val="left"/>
        <w:rPr>
          <w:sz w:val="18"/>
        </w:rPr>
      </w:pPr>
      <w:r>
        <w:rPr>
          <w:spacing w:val="-5"/>
          <w:sz w:val="18"/>
        </w:rPr>
        <w:t>592</w:t>
      </w:r>
      <w:r>
        <w:rPr>
          <w:sz w:val="18"/>
        </w:rPr>
        <w:tab/>
        <w:t>Ibid.,</w:t>
      </w:r>
      <w:r>
        <w:rPr>
          <w:spacing w:val="-1"/>
          <w:sz w:val="18"/>
        </w:rPr>
        <w:t> </w:t>
      </w:r>
      <w:r>
        <w:rPr>
          <w:spacing w:val="-2"/>
          <w:sz w:val="18"/>
        </w:rPr>
        <w:t>[567].</w:t>
      </w:r>
    </w:p>
    <w:p>
      <w:pPr>
        <w:tabs>
          <w:tab w:pos="1287" w:val="left" w:leader="none"/>
        </w:tabs>
        <w:spacing w:before="0"/>
        <w:ind w:left="720" w:right="0" w:firstLine="0"/>
        <w:jc w:val="left"/>
        <w:rPr>
          <w:sz w:val="18"/>
        </w:rPr>
      </w:pPr>
      <w:r>
        <w:rPr>
          <w:spacing w:val="-5"/>
          <w:sz w:val="18"/>
        </w:rPr>
        <w:t>593</w:t>
      </w:r>
      <w:r>
        <w:rPr>
          <w:sz w:val="18"/>
        </w:rPr>
        <w:tab/>
        <w:t>Ibid.,</w:t>
      </w:r>
      <w:r>
        <w:rPr>
          <w:spacing w:val="-1"/>
          <w:sz w:val="18"/>
        </w:rPr>
        <w:t> </w:t>
      </w:r>
      <w:r>
        <w:rPr>
          <w:spacing w:val="-2"/>
          <w:sz w:val="18"/>
        </w:rPr>
        <w:t>[570].</w:t>
      </w:r>
    </w:p>
    <w:p>
      <w:pPr>
        <w:spacing w:after="0"/>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907328">
                <wp:simplePos x="0" y="0"/>
                <wp:positionH relativeFrom="page">
                  <wp:posOffset>-2</wp:posOffset>
                </wp:positionH>
                <wp:positionV relativeFrom="page">
                  <wp:posOffset>0</wp:posOffset>
                </wp:positionV>
                <wp:extent cx="7560309" cy="1257935"/>
                <wp:effectExtent l="0" t="0" r="0" b="0"/>
                <wp:wrapNone/>
                <wp:docPr id="936" name="Group 936"/>
                <wp:cNvGraphicFramePr>
                  <a:graphicFrameLocks/>
                </wp:cNvGraphicFramePr>
                <a:graphic>
                  <a:graphicData uri="http://schemas.microsoft.com/office/word/2010/wordprocessingGroup">
                    <wpg:wgp>
                      <wpg:cNvPr id="936" name="Group 936"/>
                      <wpg:cNvGrpSpPr/>
                      <wpg:grpSpPr>
                        <a:xfrm>
                          <a:off x="0" y="0"/>
                          <a:ext cx="7560309" cy="1257935"/>
                          <a:chExt cx="7560309" cy="1257935"/>
                        </a:xfrm>
                      </wpg:grpSpPr>
                      <wps:wsp>
                        <wps:cNvPr id="937" name="Graphic 937"/>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938" name="Graphic 938"/>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939" name="Textbox 939"/>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940" name="Textbox 940"/>
                        <wps:cNvSpPr txBox="1"/>
                        <wps:spPr>
                          <a:xfrm>
                            <a:off x="7028829"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113</w:t>
                              </w:r>
                            </w:p>
                          </w:txbxContent>
                        </wps:txbx>
                        <wps:bodyPr wrap="square" lIns="0" tIns="0" rIns="0" bIns="0" rtlCol="0">
                          <a:noAutofit/>
                        </wps:bodyPr>
                      </wps:wsp>
                      <wps:wsp>
                        <wps:cNvPr id="941" name="Textbox 941"/>
                        <wps:cNvSpPr txBox="1"/>
                        <wps:spPr>
                          <a:xfrm>
                            <a:off x="900001" y="1080003"/>
                            <a:ext cx="5210175" cy="177800"/>
                          </a:xfrm>
                          <a:prstGeom prst="rect">
                            <a:avLst/>
                          </a:prstGeom>
                        </wps:spPr>
                        <wps:txbx>
                          <w:txbxContent>
                            <w:p>
                              <w:pPr>
                                <w:spacing w:line="280" w:lineRule="exact" w:before="0"/>
                                <w:ind w:left="0" w:right="0" w:firstLine="0"/>
                                <w:jc w:val="left"/>
                                <w:rPr>
                                  <w:sz w:val="28"/>
                                </w:rPr>
                              </w:pPr>
                              <w:r>
                                <w:rPr>
                                  <w:sz w:val="28"/>
                                </w:rPr>
                                <w:t>The</w:t>
                              </w:r>
                              <w:r>
                                <w:rPr>
                                  <w:spacing w:val="-6"/>
                                  <w:sz w:val="28"/>
                                </w:rPr>
                                <w:t> </w:t>
                              </w:r>
                              <w:r>
                                <w:rPr>
                                  <w:sz w:val="28"/>
                                </w:rPr>
                                <w:t>third</w:t>
                              </w:r>
                              <w:r>
                                <w:rPr>
                                  <w:spacing w:val="-5"/>
                                  <w:sz w:val="28"/>
                                </w:rPr>
                                <w:t> </w:t>
                              </w:r>
                              <w:r>
                                <w:rPr>
                                  <w:sz w:val="28"/>
                                </w:rPr>
                                <w:t>element</w:t>
                              </w:r>
                              <w:r>
                                <w:rPr>
                                  <w:spacing w:val="-4"/>
                                  <w:sz w:val="28"/>
                                </w:rPr>
                                <w:t> </w:t>
                              </w:r>
                              <w:r>
                                <w:rPr>
                                  <w:sz w:val="28"/>
                                </w:rPr>
                                <w:t>of</w:t>
                              </w:r>
                              <w:r>
                                <w:rPr>
                                  <w:spacing w:val="-4"/>
                                  <w:sz w:val="28"/>
                                </w:rPr>
                                <w:t> </w:t>
                              </w:r>
                              <w:r>
                                <w:rPr>
                                  <w:sz w:val="28"/>
                                </w:rPr>
                                <w:t>the</w:t>
                              </w:r>
                              <w:r>
                                <w:rPr>
                                  <w:spacing w:val="-4"/>
                                  <w:sz w:val="28"/>
                                </w:rPr>
                                <w:t> </w:t>
                              </w:r>
                              <w:r>
                                <w:rPr>
                                  <w:sz w:val="28"/>
                                </w:rPr>
                                <w:t>test</w:t>
                              </w:r>
                              <w:r>
                                <w:rPr>
                                  <w:spacing w:val="-4"/>
                                  <w:sz w:val="28"/>
                                </w:rPr>
                                <w:t> </w:t>
                              </w:r>
                              <w:r>
                                <w:rPr>
                                  <w:sz w:val="28"/>
                                </w:rPr>
                                <w:t>was</w:t>
                              </w:r>
                              <w:r>
                                <w:rPr>
                                  <w:spacing w:val="-5"/>
                                  <w:sz w:val="28"/>
                                </w:rPr>
                                <w:t> </w:t>
                              </w:r>
                              <w:r>
                                <w:rPr>
                                  <w:sz w:val="28"/>
                                </w:rPr>
                                <w:t>whether</w:t>
                              </w:r>
                              <w:r>
                                <w:rPr>
                                  <w:spacing w:val="-4"/>
                                  <w:sz w:val="28"/>
                                </w:rPr>
                                <w:t> </w:t>
                              </w:r>
                              <w:r>
                                <w:rPr>
                                  <w:sz w:val="28"/>
                                </w:rPr>
                                <w:t>the</w:t>
                              </w:r>
                              <w:r>
                                <w:rPr>
                                  <w:spacing w:val="-3"/>
                                  <w:sz w:val="28"/>
                                </w:rPr>
                                <w:t> </w:t>
                              </w:r>
                              <w:r>
                                <w:rPr>
                                  <w:sz w:val="28"/>
                                </w:rPr>
                                <w:t>Northern</w:t>
                              </w:r>
                              <w:r>
                                <w:rPr>
                                  <w:spacing w:val="-5"/>
                                  <w:sz w:val="28"/>
                                </w:rPr>
                                <w:t> </w:t>
                              </w:r>
                              <w:r>
                                <w:rPr>
                                  <w:sz w:val="28"/>
                                </w:rPr>
                                <w:t>Ireland</w:t>
                              </w:r>
                              <w:r>
                                <w:rPr>
                                  <w:spacing w:val="-5"/>
                                  <w:sz w:val="28"/>
                                </w:rPr>
                                <w:t> </w:t>
                              </w:r>
                              <w:r>
                                <w:rPr>
                                  <w:sz w:val="28"/>
                                </w:rPr>
                                <w:t>law</w:t>
                              </w:r>
                              <w:r>
                                <w:rPr>
                                  <w:spacing w:val="-3"/>
                                  <w:sz w:val="28"/>
                                </w:rPr>
                                <w:t> </w:t>
                              </w:r>
                              <w:r>
                                <w:rPr>
                                  <w:spacing w:val="-5"/>
                                  <w:sz w:val="28"/>
                                </w:rPr>
                                <w:t>was</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907328" id="docshapegroup768" coordorigin="0,0" coordsize="11906,1981">
                <v:shape style="position:absolute;left:0;top:0;width:11906;height:1819" id="docshape769"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770"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069;top:636;width:446;height:280" type="#_x0000_t202" id="docshape771" filled="false" stroked="false">
                  <v:textbox inset="0,0,0,0">
                    <w:txbxContent>
                      <w:p>
                        <w:pPr>
                          <w:spacing w:line="280" w:lineRule="exact" w:before="0"/>
                          <w:ind w:left="0" w:right="0" w:firstLine="0"/>
                          <w:jc w:val="left"/>
                          <w:rPr>
                            <w:b/>
                            <w:sz w:val="28"/>
                          </w:rPr>
                        </w:pPr>
                        <w:r>
                          <w:rPr>
                            <w:b/>
                            <w:color w:val="FFFFFF"/>
                            <w:spacing w:val="-5"/>
                            <w:sz w:val="28"/>
                          </w:rPr>
                          <w:t>113</w:t>
                        </w:r>
                      </w:p>
                    </w:txbxContent>
                  </v:textbox>
                  <w10:wrap type="none"/>
                </v:shape>
                <v:shape style="position:absolute;left:1417;top:1700;width:8205;height:280" type="#_x0000_t202" id="docshape772" filled="false" stroked="false">
                  <v:textbox inset="0,0,0,0">
                    <w:txbxContent>
                      <w:p>
                        <w:pPr>
                          <w:spacing w:line="280" w:lineRule="exact" w:before="0"/>
                          <w:ind w:left="0" w:right="0" w:firstLine="0"/>
                          <w:jc w:val="left"/>
                          <w:rPr>
                            <w:sz w:val="28"/>
                          </w:rPr>
                        </w:pPr>
                        <w:r>
                          <w:rPr>
                            <w:sz w:val="28"/>
                          </w:rPr>
                          <w:t>The</w:t>
                        </w:r>
                        <w:r>
                          <w:rPr>
                            <w:spacing w:val="-6"/>
                            <w:sz w:val="28"/>
                          </w:rPr>
                          <w:t> </w:t>
                        </w:r>
                        <w:r>
                          <w:rPr>
                            <w:sz w:val="28"/>
                          </w:rPr>
                          <w:t>third</w:t>
                        </w:r>
                        <w:r>
                          <w:rPr>
                            <w:spacing w:val="-5"/>
                            <w:sz w:val="28"/>
                          </w:rPr>
                          <w:t> </w:t>
                        </w:r>
                        <w:r>
                          <w:rPr>
                            <w:sz w:val="28"/>
                          </w:rPr>
                          <w:t>element</w:t>
                        </w:r>
                        <w:r>
                          <w:rPr>
                            <w:spacing w:val="-4"/>
                            <w:sz w:val="28"/>
                          </w:rPr>
                          <w:t> </w:t>
                        </w:r>
                        <w:r>
                          <w:rPr>
                            <w:sz w:val="28"/>
                          </w:rPr>
                          <w:t>of</w:t>
                        </w:r>
                        <w:r>
                          <w:rPr>
                            <w:spacing w:val="-4"/>
                            <w:sz w:val="28"/>
                          </w:rPr>
                          <w:t> </w:t>
                        </w:r>
                        <w:r>
                          <w:rPr>
                            <w:sz w:val="28"/>
                          </w:rPr>
                          <w:t>the</w:t>
                        </w:r>
                        <w:r>
                          <w:rPr>
                            <w:spacing w:val="-4"/>
                            <w:sz w:val="28"/>
                          </w:rPr>
                          <w:t> </w:t>
                        </w:r>
                        <w:r>
                          <w:rPr>
                            <w:sz w:val="28"/>
                          </w:rPr>
                          <w:t>test</w:t>
                        </w:r>
                        <w:r>
                          <w:rPr>
                            <w:spacing w:val="-4"/>
                            <w:sz w:val="28"/>
                          </w:rPr>
                          <w:t> </w:t>
                        </w:r>
                        <w:r>
                          <w:rPr>
                            <w:sz w:val="28"/>
                          </w:rPr>
                          <w:t>was</w:t>
                        </w:r>
                        <w:r>
                          <w:rPr>
                            <w:spacing w:val="-5"/>
                            <w:sz w:val="28"/>
                          </w:rPr>
                          <w:t> </w:t>
                        </w:r>
                        <w:r>
                          <w:rPr>
                            <w:sz w:val="28"/>
                          </w:rPr>
                          <w:t>whether</w:t>
                        </w:r>
                        <w:r>
                          <w:rPr>
                            <w:spacing w:val="-4"/>
                            <w:sz w:val="28"/>
                          </w:rPr>
                          <w:t> </w:t>
                        </w:r>
                        <w:r>
                          <w:rPr>
                            <w:sz w:val="28"/>
                          </w:rPr>
                          <w:t>the</w:t>
                        </w:r>
                        <w:r>
                          <w:rPr>
                            <w:spacing w:val="-3"/>
                            <w:sz w:val="28"/>
                          </w:rPr>
                          <w:t> </w:t>
                        </w:r>
                        <w:r>
                          <w:rPr>
                            <w:sz w:val="28"/>
                          </w:rPr>
                          <w:t>Northern</w:t>
                        </w:r>
                        <w:r>
                          <w:rPr>
                            <w:spacing w:val="-5"/>
                            <w:sz w:val="28"/>
                          </w:rPr>
                          <w:t> </w:t>
                        </w:r>
                        <w:r>
                          <w:rPr>
                            <w:sz w:val="28"/>
                          </w:rPr>
                          <w:t>Ireland</w:t>
                        </w:r>
                        <w:r>
                          <w:rPr>
                            <w:spacing w:val="-5"/>
                            <w:sz w:val="28"/>
                          </w:rPr>
                          <w:t> </w:t>
                        </w:r>
                        <w:r>
                          <w:rPr>
                            <w:sz w:val="28"/>
                          </w:rPr>
                          <w:t>law</w:t>
                        </w:r>
                        <w:r>
                          <w:rPr>
                            <w:spacing w:val="-3"/>
                            <w:sz w:val="28"/>
                          </w:rPr>
                          <w:t> </w:t>
                        </w:r>
                        <w:r>
                          <w:rPr>
                            <w:spacing w:val="-5"/>
                            <w:sz w:val="28"/>
                          </w:rPr>
                          <w:t>was</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right="888"/>
        <w:jc w:val="both"/>
      </w:pPr>
      <w:r>
        <w:rPr/>
        <w:t>underpinned</w:t>
      </w:r>
      <w:r>
        <w:rPr>
          <w:spacing w:val="-5"/>
        </w:rPr>
        <w:t> </w:t>
      </w:r>
      <w:r>
        <w:rPr/>
        <w:t>by</w:t>
      </w:r>
      <w:r>
        <w:rPr>
          <w:spacing w:val="-4"/>
        </w:rPr>
        <w:t> </w:t>
      </w:r>
      <w:r>
        <w:rPr/>
        <w:t>EU</w:t>
      </w:r>
      <w:r>
        <w:rPr>
          <w:spacing w:val="-4"/>
        </w:rPr>
        <w:t> </w:t>
      </w:r>
      <w:r>
        <w:rPr/>
        <w:t>law.</w:t>
      </w:r>
      <w:r>
        <w:rPr>
          <w:spacing w:val="-5"/>
        </w:rPr>
        <w:t> </w:t>
      </w:r>
      <w:r>
        <w:rPr/>
        <w:t>Here</w:t>
      </w:r>
      <w:r>
        <w:rPr>
          <w:spacing w:val="-4"/>
        </w:rPr>
        <w:t> </w:t>
      </w:r>
      <w:r>
        <w:rPr/>
        <w:t>the</w:t>
      </w:r>
      <w:r>
        <w:rPr>
          <w:spacing w:val="-4"/>
        </w:rPr>
        <w:t> </w:t>
      </w:r>
      <w:r>
        <w:rPr/>
        <w:t>Court</w:t>
      </w:r>
      <w:r>
        <w:rPr>
          <w:spacing w:val="-4"/>
        </w:rPr>
        <w:t> </w:t>
      </w:r>
      <w:r>
        <w:rPr/>
        <w:t>concluded</w:t>
      </w:r>
      <w:r>
        <w:rPr>
          <w:spacing w:val="-5"/>
        </w:rPr>
        <w:t> </w:t>
      </w:r>
      <w:r>
        <w:rPr/>
        <w:t>that</w:t>
      </w:r>
      <w:r>
        <w:rPr>
          <w:spacing w:val="-4"/>
        </w:rPr>
        <w:t> </w:t>
      </w:r>
      <w:r>
        <w:rPr/>
        <w:t>both</w:t>
      </w:r>
      <w:r>
        <w:rPr>
          <w:spacing w:val="-5"/>
        </w:rPr>
        <w:t> </w:t>
      </w:r>
      <w:r>
        <w:rPr/>
        <w:t>the</w:t>
      </w:r>
      <w:r>
        <w:rPr>
          <w:spacing w:val="-4"/>
        </w:rPr>
        <w:t> </w:t>
      </w:r>
      <w:r>
        <w:rPr/>
        <w:t>Victims’</w:t>
      </w:r>
      <w:r>
        <w:rPr>
          <w:spacing w:val="-4"/>
        </w:rPr>
        <w:t> </w:t>
      </w:r>
      <w:r>
        <w:rPr/>
        <w:t>Directive and</w:t>
      </w:r>
      <w:r>
        <w:rPr>
          <w:spacing w:val="-6"/>
        </w:rPr>
        <w:t> </w:t>
      </w:r>
      <w:r>
        <w:rPr/>
        <w:t>Charter</w:t>
      </w:r>
      <w:r>
        <w:rPr>
          <w:spacing w:val="-5"/>
        </w:rPr>
        <w:t> </w:t>
      </w:r>
      <w:r>
        <w:rPr/>
        <w:t>of</w:t>
      </w:r>
      <w:r>
        <w:rPr>
          <w:spacing w:val="-6"/>
        </w:rPr>
        <w:t> </w:t>
      </w:r>
      <w:r>
        <w:rPr/>
        <w:t>Fundamental</w:t>
      </w:r>
      <w:r>
        <w:rPr>
          <w:spacing w:val="-6"/>
        </w:rPr>
        <w:t> </w:t>
      </w:r>
      <w:r>
        <w:rPr/>
        <w:t>Rights</w:t>
      </w:r>
      <w:r>
        <w:rPr>
          <w:spacing w:val="-6"/>
        </w:rPr>
        <w:t> </w:t>
      </w:r>
      <w:r>
        <w:rPr/>
        <w:t>provided</w:t>
      </w:r>
      <w:r>
        <w:rPr>
          <w:spacing w:val="-6"/>
        </w:rPr>
        <w:t> </w:t>
      </w:r>
      <w:r>
        <w:rPr/>
        <w:t>such</w:t>
      </w:r>
      <w:r>
        <w:rPr>
          <w:spacing w:val="-6"/>
        </w:rPr>
        <w:t> </w:t>
      </w:r>
      <w:r>
        <w:rPr/>
        <w:t>an</w:t>
      </w:r>
      <w:r>
        <w:rPr>
          <w:spacing w:val="-6"/>
        </w:rPr>
        <w:t> </w:t>
      </w:r>
      <w:r>
        <w:rPr/>
        <w:t>underpinning</w:t>
      </w:r>
      <w:r>
        <w:rPr>
          <w:spacing w:val="-5"/>
        </w:rPr>
        <w:t> </w:t>
      </w:r>
      <w:r>
        <w:rPr/>
        <w:t>and</w:t>
      </w:r>
      <w:r>
        <w:rPr>
          <w:spacing w:val="-6"/>
        </w:rPr>
        <w:t> </w:t>
      </w:r>
      <w:r>
        <w:rPr/>
        <w:t>noted</w:t>
      </w:r>
      <w:r>
        <w:rPr>
          <w:spacing w:val="-6"/>
        </w:rPr>
        <w:t> </w:t>
      </w:r>
      <w:r>
        <w:rPr/>
        <w:t>that support for victims of crime is a shared competence in the EU.</w:t>
      </w:r>
      <w:r>
        <w:rPr>
          <w:vertAlign w:val="superscript"/>
        </w:rPr>
        <w:t>594</w:t>
      </w:r>
    </w:p>
    <w:p>
      <w:pPr>
        <w:pStyle w:val="BodyText"/>
        <w:spacing w:line="232" w:lineRule="auto" w:before="279"/>
        <w:ind w:left="1117" w:right="1182"/>
        <w:jc w:val="both"/>
      </w:pPr>
      <w:r>
        <w:rPr/>
        <w:t>The</w:t>
      </w:r>
      <w:r>
        <w:rPr>
          <w:spacing w:val="-4"/>
        </w:rPr>
        <w:t> </w:t>
      </w:r>
      <w:r>
        <w:rPr/>
        <w:t>Court</w:t>
      </w:r>
      <w:r>
        <w:rPr>
          <w:spacing w:val="-4"/>
        </w:rPr>
        <w:t> </w:t>
      </w:r>
      <w:r>
        <w:rPr/>
        <w:t>held</w:t>
      </w:r>
      <w:r>
        <w:rPr>
          <w:spacing w:val="-5"/>
        </w:rPr>
        <w:t> </w:t>
      </w:r>
      <w:r>
        <w:rPr/>
        <w:t>that</w:t>
      </w:r>
      <w:r>
        <w:rPr>
          <w:spacing w:val="-4"/>
        </w:rPr>
        <w:t> </w:t>
      </w:r>
      <w:r>
        <w:rPr/>
        <w:t>the</w:t>
      </w:r>
      <w:r>
        <w:rPr>
          <w:spacing w:val="-4"/>
        </w:rPr>
        <w:t> </w:t>
      </w:r>
      <w:r>
        <w:rPr/>
        <w:t>fourth</w:t>
      </w:r>
      <w:r>
        <w:rPr>
          <w:spacing w:val="-5"/>
        </w:rPr>
        <w:t> </w:t>
      </w:r>
      <w:r>
        <w:rPr/>
        <w:t>element</w:t>
      </w:r>
      <w:r>
        <w:rPr>
          <w:spacing w:val="-4"/>
        </w:rPr>
        <w:t> </w:t>
      </w:r>
      <w:r>
        <w:rPr/>
        <w:t>of</w:t>
      </w:r>
      <w:r>
        <w:rPr>
          <w:spacing w:val="-5"/>
        </w:rPr>
        <w:t> </w:t>
      </w:r>
      <w:r>
        <w:rPr/>
        <w:t>the</w:t>
      </w:r>
      <w:r>
        <w:rPr>
          <w:spacing w:val="-4"/>
        </w:rPr>
        <w:t> </w:t>
      </w:r>
      <w:r>
        <w:rPr/>
        <w:t>test</w:t>
      </w:r>
      <w:r>
        <w:rPr>
          <w:spacing w:val="-4"/>
        </w:rPr>
        <w:t> </w:t>
      </w:r>
      <w:r>
        <w:rPr/>
        <w:t>–</w:t>
      </w:r>
      <w:r>
        <w:rPr>
          <w:spacing w:val="-5"/>
        </w:rPr>
        <w:t> </w:t>
      </w:r>
      <w:r>
        <w:rPr/>
        <w:t>whether</w:t>
      </w:r>
      <w:r>
        <w:rPr>
          <w:spacing w:val="-4"/>
        </w:rPr>
        <w:t> </w:t>
      </w:r>
      <w:r>
        <w:rPr/>
        <w:t>that</w:t>
      </w:r>
      <w:r>
        <w:rPr>
          <w:spacing w:val="-4"/>
        </w:rPr>
        <w:t> </w:t>
      </w:r>
      <w:r>
        <w:rPr/>
        <w:t>underpinning had</w:t>
      </w:r>
      <w:r>
        <w:rPr>
          <w:spacing w:val="-1"/>
        </w:rPr>
        <w:t> </w:t>
      </w:r>
      <w:r>
        <w:rPr/>
        <w:t>been</w:t>
      </w:r>
      <w:r>
        <w:rPr>
          <w:spacing w:val="-1"/>
        </w:rPr>
        <w:t> </w:t>
      </w:r>
      <w:r>
        <w:rPr/>
        <w:t>removed</w:t>
      </w:r>
      <w:r>
        <w:rPr>
          <w:spacing w:val="-1"/>
        </w:rPr>
        <w:t> </w:t>
      </w:r>
      <w:r>
        <w:rPr/>
        <w:t>in</w:t>
      </w:r>
      <w:r>
        <w:rPr>
          <w:spacing w:val="-1"/>
        </w:rPr>
        <w:t> </w:t>
      </w:r>
      <w:r>
        <w:rPr/>
        <w:t>whole or part following withdrawal</w:t>
      </w:r>
      <w:r>
        <w:rPr>
          <w:spacing w:val="-1"/>
        </w:rPr>
        <w:t> </w:t>
      </w:r>
      <w:r>
        <w:rPr/>
        <w:t>from the EU was</w:t>
      </w:r>
      <w:r>
        <w:rPr>
          <w:spacing w:val="-1"/>
        </w:rPr>
        <w:t> </w:t>
      </w:r>
      <w:r>
        <w:rPr/>
        <w:t>best dealt with as part of the last two elements of the test.</w:t>
      </w:r>
      <w:r>
        <w:rPr>
          <w:vertAlign w:val="superscript"/>
        </w:rPr>
        <w:t>595</w:t>
      </w:r>
    </w:p>
    <w:p>
      <w:pPr>
        <w:pStyle w:val="BodyText"/>
        <w:spacing w:line="232" w:lineRule="auto" w:before="279"/>
        <w:ind w:left="1117" w:right="872"/>
      </w:pPr>
      <w:r>
        <w:rPr/>
        <w:t>The fifth element was whether the removal of the EU underpinning had resulted in</w:t>
      </w:r>
      <w:r>
        <w:rPr>
          <w:spacing w:val="-2"/>
        </w:rPr>
        <w:t> </w:t>
      </w:r>
      <w:r>
        <w:rPr/>
        <w:t>diminution</w:t>
      </w:r>
      <w:r>
        <w:rPr>
          <w:spacing w:val="-2"/>
        </w:rPr>
        <w:t> </w:t>
      </w:r>
      <w:r>
        <w:rPr/>
        <w:t>in</w:t>
      </w:r>
      <w:r>
        <w:rPr>
          <w:spacing w:val="-2"/>
        </w:rPr>
        <w:t> </w:t>
      </w:r>
      <w:r>
        <w:rPr/>
        <w:t>the</w:t>
      </w:r>
      <w:r>
        <w:rPr>
          <w:spacing w:val="-1"/>
        </w:rPr>
        <w:t> </w:t>
      </w:r>
      <w:r>
        <w:rPr/>
        <w:t>enjoyment</w:t>
      </w:r>
      <w:r>
        <w:rPr>
          <w:spacing w:val="-1"/>
        </w:rPr>
        <w:t> </w:t>
      </w:r>
      <w:r>
        <w:rPr/>
        <w:t>of</w:t>
      </w:r>
      <w:r>
        <w:rPr>
          <w:spacing w:val="-2"/>
        </w:rPr>
        <w:t> </w:t>
      </w:r>
      <w:r>
        <w:rPr/>
        <w:t>the</w:t>
      </w:r>
      <w:r>
        <w:rPr>
          <w:spacing w:val="-1"/>
        </w:rPr>
        <w:t> </w:t>
      </w:r>
      <w:r>
        <w:rPr/>
        <w:t>right.</w:t>
      </w:r>
      <w:r>
        <w:rPr>
          <w:spacing w:val="-2"/>
        </w:rPr>
        <w:t> </w:t>
      </w:r>
      <w:r>
        <w:rPr/>
        <w:t>Again,</w:t>
      </w:r>
      <w:r>
        <w:rPr>
          <w:spacing w:val="-1"/>
        </w:rPr>
        <w:t> </w:t>
      </w:r>
      <w:r>
        <w:rPr/>
        <w:t>the</w:t>
      </w:r>
      <w:r>
        <w:rPr>
          <w:spacing w:val="-1"/>
        </w:rPr>
        <w:t> </w:t>
      </w:r>
      <w:r>
        <w:rPr/>
        <w:t>Court</w:t>
      </w:r>
      <w:r>
        <w:rPr>
          <w:spacing w:val="-1"/>
        </w:rPr>
        <w:t> </w:t>
      </w:r>
      <w:r>
        <w:rPr/>
        <w:t>took</w:t>
      </w:r>
      <w:r>
        <w:rPr>
          <w:spacing w:val="-1"/>
        </w:rPr>
        <w:t> </w:t>
      </w:r>
      <w:r>
        <w:rPr/>
        <w:t>the</w:t>
      </w:r>
      <w:r>
        <w:rPr>
          <w:spacing w:val="-1"/>
        </w:rPr>
        <w:t> </w:t>
      </w:r>
      <w:r>
        <w:rPr/>
        <w:t>opportunity to</w:t>
      </w:r>
      <w:r>
        <w:rPr>
          <w:spacing w:val="-4"/>
        </w:rPr>
        <w:t> </w:t>
      </w:r>
      <w:r>
        <w:rPr/>
        <w:t>clarify</w:t>
      </w:r>
      <w:r>
        <w:rPr>
          <w:spacing w:val="-3"/>
        </w:rPr>
        <w:t> </w:t>
      </w:r>
      <w:r>
        <w:rPr/>
        <w:t>language</w:t>
      </w:r>
      <w:r>
        <w:rPr>
          <w:spacing w:val="-3"/>
        </w:rPr>
        <w:t> </w:t>
      </w:r>
      <w:r>
        <w:rPr/>
        <w:t>in</w:t>
      </w:r>
      <w:r>
        <w:rPr>
          <w:spacing w:val="-4"/>
        </w:rPr>
        <w:t> </w:t>
      </w:r>
      <w:r>
        <w:rPr>
          <w:i/>
        </w:rPr>
        <w:t>Angesom</w:t>
      </w:r>
      <w:r>
        <w:rPr/>
        <w:t>.</w:t>
      </w:r>
      <w:r>
        <w:rPr>
          <w:spacing w:val="-4"/>
        </w:rPr>
        <w:t> </w:t>
      </w:r>
      <w:r>
        <w:rPr/>
        <w:t>The</w:t>
      </w:r>
      <w:r>
        <w:rPr>
          <w:spacing w:val="-3"/>
        </w:rPr>
        <w:t> </w:t>
      </w:r>
      <w:r>
        <w:rPr/>
        <w:t>Court</w:t>
      </w:r>
      <w:r>
        <w:rPr>
          <w:spacing w:val="-3"/>
        </w:rPr>
        <w:t> </w:t>
      </w:r>
      <w:r>
        <w:rPr/>
        <w:t>made</w:t>
      </w:r>
      <w:r>
        <w:rPr>
          <w:spacing w:val="-3"/>
        </w:rPr>
        <w:t> </w:t>
      </w:r>
      <w:r>
        <w:rPr/>
        <w:t>it</w:t>
      </w:r>
      <w:r>
        <w:rPr>
          <w:spacing w:val="-3"/>
        </w:rPr>
        <w:t> </w:t>
      </w:r>
      <w:r>
        <w:rPr/>
        <w:t>clear</w:t>
      </w:r>
      <w:r>
        <w:rPr>
          <w:spacing w:val="-3"/>
        </w:rPr>
        <w:t> </w:t>
      </w:r>
      <w:r>
        <w:rPr/>
        <w:t>that</w:t>
      </w:r>
      <w:r>
        <w:rPr>
          <w:spacing w:val="-3"/>
        </w:rPr>
        <w:t> </w:t>
      </w:r>
      <w:r>
        <w:rPr/>
        <w:t>the</w:t>
      </w:r>
      <w:r>
        <w:rPr>
          <w:spacing w:val="-3"/>
        </w:rPr>
        <w:t> </w:t>
      </w:r>
      <w:r>
        <w:rPr/>
        <w:t>implication</w:t>
      </w:r>
      <w:r>
        <w:rPr>
          <w:spacing w:val="-4"/>
        </w:rPr>
        <w:t> </w:t>
      </w:r>
      <w:r>
        <w:rPr/>
        <w:t>of</w:t>
      </w:r>
      <w:r>
        <w:rPr>
          <w:spacing w:val="-4"/>
        </w:rPr>
        <w:t> </w:t>
      </w:r>
      <w:r>
        <w:rPr/>
        <w:t>the WF is that disapplication of an act of Parliament is possible; this is an additional</w:t>
      </w:r>
    </w:p>
    <w:p>
      <w:pPr>
        <w:pStyle w:val="BodyText"/>
        <w:spacing w:line="232" w:lineRule="auto"/>
        <w:ind w:left="1117" w:right="738"/>
      </w:pPr>
      <w:r>
        <w:rPr/>
        <w:t>remedy</w:t>
      </w:r>
      <w:r>
        <w:rPr>
          <w:spacing w:val="-6"/>
        </w:rPr>
        <w:t> </w:t>
      </w:r>
      <w:r>
        <w:rPr/>
        <w:t>not</w:t>
      </w:r>
      <w:r>
        <w:rPr>
          <w:spacing w:val="-6"/>
        </w:rPr>
        <w:t> </w:t>
      </w:r>
      <w:r>
        <w:rPr/>
        <w:t>available</w:t>
      </w:r>
      <w:r>
        <w:rPr>
          <w:spacing w:val="-6"/>
        </w:rPr>
        <w:t> </w:t>
      </w:r>
      <w:r>
        <w:rPr/>
        <w:t>in</w:t>
      </w:r>
      <w:r>
        <w:rPr>
          <w:spacing w:val="-7"/>
        </w:rPr>
        <w:t> </w:t>
      </w:r>
      <w:r>
        <w:rPr/>
        <w:t>cases</w:t>
      </w:r>
      <w:r>
        <w:rPr>
          <w:spacing w:val="-7"/>
        </w:rPr>
        <w:t> </w:t>
      </w:r>
      <w:r>
        <w:rPr/>
        <w:t>involving</w:t>
      </w:r>
      <w:r>
        <w:rPr>
          <w:spacing w:val="-6"/>
        </w:rPr>
        <w:t> </w:t>
      </w:r>
      <w:r>
        <w:rPr/>
        <w:t>only</w:t>
      </w:r>
      <w:r>
        <w:rPr>
          <w:spacing w:val="-6"/>
        </w:rPr>
        <w:t> </w:t>
      </w:r>
      <w:r>
        <w:rPr/>
        <w:t>Convention</w:t>
      </w:r>
      <w:r>
        <w:rPr>
          <w:spacing w:val="-7"/>
        </w:rPr>
        <w:t> </w:t>
      </w:r>
      <w:r>
        <w:rPr/>
        <w:t>rights.</w:t>
      </w:r>
      <w:r>
        <w:rPr>
          <w:spacing w:val="-7"/>
        </w:rPr>
        <w:t> </w:t>
      </w:r>
      <w:r>
        <w:rPr/>
        <w:t>Given</w:t>
      </w:r>
      <w:r>
        <w:rPr>
          <w:spacing w:val="-7"/>
        </w:rPr>
        <w:t> </w:t>
      </w:r>
      <w:r>
        <w:rPr/>
        <w:t>the</w:t>
      </w:r>
      <w:r>
        <w:rPr>
          <w:spacing w:val="-6"/>
        </w:rPr>
        <w:t> </w:t>
      </w:r>
      <w:r>
        <w:rPr/>
        <w:t>Court</w:t>
      </w:r>
      <w:r>
        <w:rPr>
          <w:spacing w:val="-6"/>
        </w:rPr>
        <w:t> </w:t>
      </w:r>
      <w:r>
        <w:rPr/>
        <w:t>had found a breach of Articles 2,3 and 6 ECHR, it followed there had been diminution</w:t>
      </w:r>
    </w:p>
    <w:p>
      <w:pPr>
        <w:pStyle w:val="BodyText"/>
        <w:spacing w:line="232" w:lineRule="auto"/>
        <w:ind w:left="1117" w:right="1111"/>
      </w:pPr>
      <w:r>
        <w:rPr/>
        <w:t>in relation to equivalent articles in the Charter of Fundamental Rights (Articles</w:t>
      </w:r>
      <w:r>
        <w:rPr>
          <w:spacing w:val="40"/>
        </w:rPr>
        <w:t> </w:t>
      </w:r>
      <w:r>
        <w:rPr/>
        <w:t>2,</w:t>
      </w:r>
      <w:r>
        <w:rPr>
          <w:spacing w:val="-6"/>
        </w:rPr>
        <w:t> </w:t>
      </w:r>
      <w:r>
        <w:rPr/>
        <w:t>4</w:t>
      </w:r>
      <w:r>
        <w:rPr>
          <w:spacing w:val="-6"/>
        </w:rPr>
        <w:t> </w:t>
      </w:r>
      <w:r>
        <w:rPr/>
        <w:t>and</w:t>
      </w:r>
      <w:r>
        <w:rPr>
          <w:spacing w:val="-6"/>
        </w:rPr>
        <w:t> </w:t>
      </w:r>
      <w:r>
        <w:rPr/>
        <w:t>47(2)).</w:t>
      </w:r>
      <w:r>
        <w:rPr>
          <w:vertAlign w:val="superscript"/>
        </w:rPr>
        <w:t>596</w:t>
      </w:r>
      <w:r>
        <w:rPr>
          <w:spacing w:val="-7"/>
          <w:vertAlign w:val="baseline"/>
        </w:rPr>
        <w:t> </w:t>
      </w:r>
      <w:r>
        <w:rPr>
          <w:vertAlign w:val="baseline"/>
        </w:rPr>
        <w:t>The</w:t>
      </w:r>
      <w:r>
        <w:rPr>
          <w:spacing w:val="-5"/>
          <w:vertAlign w:val="baseline"/>
        </w:rPr>
        <w:t> </w:t>
      </w:r>
      <w:r>
        <w:rPr>
          <w:vertAlign w:val="baseline"/>
        </w:rPr>
        <w:t>Court</w:t>
      </w:r>
      <w:r>
        <w:rPr>
          <w:spacing w:val="-6"/>
          <w:vertAlign w:val="baseline"/>
        </w:rPr>
        <w:t> </w:t>
      </w:r>
      <w:r>
        <w:rPr>
          <w:vertAlign w:val="baseline"/>
        </w:rPr>
        <w:t>also</w:t>
      </w:r>
      <w:r>
        <w:rPr>
          <w:spacing w:val="-6"/>
          <w:vertAlign w:val="baseline"/>
        </w:rPr>
        <w:t> </w:t>
      </w:r>
      <w:r>
        <w:rPr>
          <w:vertAlign w:val="baseline"/>
        </w:rPr>
        <w:t>found</w:t>
      </w:r>
      <w:r>
        <w:rPr>
          <w:spacing w:val="-7"/>
          <w:vertAlign w:val="baseline"/>
        </w:rPr>
        <w:t> </w:t>
      </w:r>
      <w:r>
        <w:rPr>
          <w:vertAlign w:val="baseline"/>
        </w:rPr>
        <w:t>diminution</w:t>
      </w:r>
      <w:r>
        <w:rPr>
          <w:spacing w:val="-6"/>
          <w:vertAlign w:val="baseline"/>
        </w:rPr>
        <w:t> </w:t>
      </w:r>
      <w:r>
        <w:rPr>
          <w:vertAlign w:val="baseline"/>
        </w:rPr>
        <w:t>in</w:t>
      </w:r>
      <w:r>
        <w:rPr>
          <w:spacing w:val="-7"/>
          <w:vertAlign w:val="baseline"/>
        </w:rPr>
        <w:t> </w:t>
      </w:r>
      <w:r>
        <w:rPr>
          <w:vertAlign w:val="baseline"/>
        </w:rPr>
        <w:t>relation</w:t>
      </w:r>
      <w:r>
        <w:rPr>
          <w:spacing w:val="-6"/>
          <w:vertAlign w:val="baseline"/>
        </w:rPr>
        <w:t> </w:t>
      </w:r>
      <w:r>
        <w:rPr>
          <w:vertAlign w:val="baseline"/>
        </w:rPr>
        <w:t>to</w:t>
      </w:r>
      <w:r>
        <w:rPr>
          <w:spacing w:val="-7"/>
          <w:vertAlign w:val="baseline"/>
        </w:rPr>
        <w:t> </w:t>
      </w:r>
      <w:r>
        <w:rPr>
          <w:vertAlign w:val="baseline"/>
        </w:rPr>
        <w:t>Article</w:t>
      </w:r>
      <w:r>
        <w:rPr>
          <w:spacing w:val="-5"/>
          <w:vertAlign w:val="baseline"/>
        </w:rPr>
        <w:t> </w:t>
      </w:r>
      <w:r>
        <w:rPr>
          <w:vertAlign w:val="baseline"/>
        </w:rPr>
        <w:t>11</w:t>
      </w:r>
      <w:r>
        <w:rPr>
          <w:spacing w:val="-6"/>
          <w:vertAlign w:val="baseline"/>
        </w:rPr>
        <w:t> </w:t>
      </w:r>
      <w:r>
        <w:rPr>
          <w:vertAlign w:val="baseline"/>
        </w:rPr>
        <w:t>of</w:t>
      </w:r>
      <w:r>
        <w:rPr>
          <w:spacing w:val="-6"/>
          <w:vertAlign w:val="baseline"/>
        </w:rPr>
        <w:t> </w:t>
      </w:r>
      <w:r>
        <w:rPr>
          <w:spacing w:val="-5"/>
          <w:vertAlign w:val="baseline"/>
        </w:rPr>
        <w:t>the</w:t>
      </w:r>
    </w:p>
    <w:p>
      <w:pPr>
        <w:pStyle w:val="BodyText"/>
        <w:spacing w:line="232" w:lineRule="auto"/>
        <w:ind w:left="1117" w:right="738"/>
      </w:pPr>
      <w:r>
        <w:rPr/>
        <w:t>Victims’</w:t>
      </w:r>
      <w:r>
        <w:rPr>
          <w:spacing w:val="-5"/>
        </w:rPr>
        <w:t> </w:t>
      </w:r>
      <w:r>
        <w:rPr/>
        <w:t>Directive</w:t>
      </w:r>
      <w:r>
        <w:rPr>
          <w:spacing w:val="-5"/>
        </w:rPr>
        <w:t> </w:t>
      </w:r>
      <w:r>
        <w:rPr/>
        <w:t>on</w:t>
      </w:r>
      <w:r>
        <w:rPr>
          <w:spacing w:val="-5"/>
        </w:rPr>
        <w:t> </w:t>
      </w:r>
      <w:r>
        <w:rPr/>
        <w:t>the</w:t>
      </w:r>
      <w:r>
        <w:rPr>
          <w:spacing w:val="-5"/>
        </w:rPr>
        <w:t> </w:t>
      </w:r>
      <w:r>
        <w:rPr/>
        <w:t>right</w:t>
      </w:r>
      <w:r>
        <w:rPr>
          <w:spacing w:val="-5"/>
        </w:rPr>
        <w:t> </w:t>
      </w:r>
      <w:r>
        <w:rPr/>
        <w:t>to</w:t>
      </w:r>
      <w:r>
        <w:rPr>
          <w:spacing w:val="-5"/>
        </w:rPr>
        <w:t> </w:t>
      </w:r>
      <w:r>
        <w:rPr/>
        <w:t>request</w:t>
      </w:r>
      <w:r>
        <w:rPr>
          <w:spacing w:val="-5"/>
        </w:rPr>
        <w:t> </w:t>
      </w:r>
      <w:r>
        <w:rPr/>
        <w:t>a</w:t>
      </w:r>
      <w:r>
        <w:rPr>
          <w:spacing w:val="-5"/>
        </w:rPr>
        <w:t> </w:t>
      </w:r>
      <w:r>
        <w:rPr/>
        <w:t>review</w:t>
      </w:r>
      <w:r>
        <w:rPr>
          <w:spacing w:val="-5"/>
        </w:rPr>
        <w:t> </w:t>
      </w:r>
      <w:r>
        <w:rPr/>
        <w:t>of</w:t>
      </w:r>
      <w:r>
        <w:rPr>
          <w:spacing w:val="-5"/>
        </w:rPr>
        <w:t> </w:t>
      </w:r>
      <w:r>
        <w:rPr/>
        <w:t>a</w:t>
      </w:r>
      <w:r>
        <w:rPr>
          <w:spacing w:val="-5"/>
        </w:rPr>
        <w:t> </w:t>
      </w:r>
      <w:r>
        <w:rPr/>
        <w:t>decision</w:t>
      </w:r>
      <w:r>
        <w:rPr>
          <w:spacing w:val="-5"/>
        </w:rPr>
        <w:t> </w:t>
      </w:r>
      <w:r>
        <w:rPr/>
        <w:t>not</w:t>
      </w:r>
      <w:r>
        <w:rPr>
          <w:spacing w:val="-5"/>
        </w:rPr>
        <w:t> </w:t>
      </w:r>
      <w:r>
        <w:rPr/>
        <w:t>to</w:t>
      </w:r>
      <w:r>
        <w:rPr>
          <w:spacing w:val="-5"/>
        </w:rPr>
        <w:t> </w:t>
      </w:r>
      <w:r>
        <w:rPr/>
        <w:t>prosecute. That right presupposed that prosecution was possible, a possibility that the immunity scheme in the Act removed entirely.</w:t>
      </w:r>
      <w:r>
        <w:rPr>
          <w:vertAlign w:val="superscript"/>
        </w:rPr>
        <w:t>597</w:t>
      </w:r>
      <w:r>
        <w:rPr>
          <w:vertAlign w:val="baseline"/>
        </w:rPr>
        <w:t> The Court rejected arguments that</w:t>
      </w:r>
      <w:r>
        <w:rPr>
          <w:spacing w:val="-4"/>
          <w:vertAlign w:val="baseline"/>
        </w:rPr>
        <w:t> </w:t>
      </w:r>
      <w:r>
        <w:rPr>
          <w:vertAlign w:val="baseline"/>
        </w:rPr>
        <w:t>there</w:t>
      </w:r>
      <w:r>
        <w:rPr>
          <w:spacing w:val="-4"/>
          <w:vertAlign w:val="baseline"/>
        </w:rPr>
        <w:t> </w:t>
      </w:r>
      <w:r>
        <w:rPr>
          <w:vertAlign w:val="baseline"/>
        </w:rPr>
        <w:t>had</w:t>
      </w:r>
      <w:r>
        <w:rPr>
          <w:spacing w:val="-5"/>
          <w:vertAlign w:val="baseline"/>
        </w:rPr>
        <w:t> </w:t>
      </w:r>
      <w:r>
        <w:rPr>
          <w:vertAlign w:val="baseline"/>
        </w:rPr>
        <w:t>been</w:t>
      </w:r>
      <w:r>
        <w:rPr>
          <w:spacing w:val="-5"/>
          <w:vertAlign w:val="baseline"/>
        </w:rPr>
        <w:t> </w:t>
      </w:r>
      <w:r>
        <w:rPr>
          <w:vertAlign w:val="baseline"/>
        </w:rPr>
        <w:t>diminution</w:t>
      </w:r>
      <w:r>
        <w:rPr>
          <w:spacing w:val="-5"/>
          <w:vertAlign w:val="baseline"/>
        </w:rPr>
        <w:t> </w:t>
      </w:r>
      <w:r>
        <w:rPr>
          <w:vertAlign w:val="baseline"/>
        </w:rPr>
        <w:t>in</w:t>
      </w:r>
      <w:r>
        <w:rPr>
          <w:spacing w:val="-5"/>
          <w:vertAlign w:val="baseline"/>
        </w:rPr>
        <w:t> </w:t>
      </w:r>
      <w:r>
        <w:rPr>
          <w:vertAlign w:val="baseline"/>
        </w:rPr>
        <w:t>respect</w:t>
      </w:r>
      <w:r>
        <w:rPr>
          <w:spacing w:val="-4"/>
          <w:vertAlign w:val="baseline"/>
        </w:rPr>
        <w:t> </w:t>
      </w:r>
      <w:r>
        <w:rPr>
          <w:vertAlign w:val="baseline"/>
        </w:rPr>
        <w:t>of</w:t>
      </w:r>
      <w:r>
        <w:rPr>
          <w:spacing w:val="-5"/>
          <w:vertAlign w:val="baseline"/>
        </w:rPr>
        <w:t> </w:t>
      </w:r>
      <w:r>
        <w:rPr>
          <w:vertAlign w:val="baseline"/>
        </w:rPr>
        <w:t>Article</w:t>
      </w:r>
      <w:r>
        <w:rPr>
          <w:spacing w:val="-4"/>
          <w:vertAlign w:val="baseline"/>
        </w:rPr>
        <w:t> </w:t>
      </w:r>
      <w:r>
        <w:rPr>
          <w:vertAlign w:val="baseline"/>
        </w:rPr>
        <w:t>1</w:t>
      </w:r>
      <w:r>
        <w:rPr>
          <w:spacing w:val="-4"/>
          <w:vertAlign w:val="baseline"/>
        </w:rPr>
        <w:t> </w:t>
      </w:r>
      <w:r>
        <w:rPr>
          <w:vertAlign w:val="baseline"/>
        </w:rPr>
        <w:t>of</w:t>
      </w:r>
      <w:r>
        <w:rPr>
          <w:spacing w:val="-5"/>
          <w:vertAlign w:val="baseline"/>
        </w:rPr>
        <w:t> </w:t>
      </w:r>
      <w:r>
        <w:rPr>
          <w:vertAlign w:val="baseline"/>
        </w:rPr>
        <w:t>the</w:t>
      </w:r>
      <w:r>
        <w:rPr>
          <w:spacing w:val="-4"/>
          <w:vertAlign w:val="baseline"/>
        </w:rPr>
        <w:t> </w:t>
      </w:r>
      <w:r>
        <w:rPr>
          <w:vertAlign w:val="baseline"/>
        </w:rPr>
        <w:t>Charter</w:t>
      </w:r>
      <w:r>
        <w:rPr>
          <w:spacing w:val="-4"/>
          <w:vertAlign w:val="baseline"/>
        </w:rPr>
        <w:t> </w:t>
      </w:r>
      <w:r>
        <w:rPr>
          <w:vertAlign w:val="baseline"/>
        </w:rPr>
        <w:t>(the</w:t>
      </w:r>
      <w:r>
        <w:rPr>
          <w:spacing w:val="-4"/>
          <w:vertAlign w:val="baseline"/>
        </w:rPr>
        <w:t> </w:t>
      </w:r>
      <w:r>
        <w:rPr>
          <w:vertAlign w:val="baseline"/>
        </w:rPr>
        <w:t>right</w:t>
      </w:r>
      <w:r>
        <w:rPr>
          <w:spacing w:val="-4"/>
          <w:vertAlign w:val="baseline"/>
        </w:rPr>
        <w:t> </w:t>
      </w:r>
      <w:r>
        <w:rPr>
          <w:vertAlign w:val="baseline"/>
        </w:rPr>
        <w:t>to dignity) or Article 16 of the Victims’ Directive.</w:t>
      </w:r>
      <w:r>
        <w:rPr>
          <w:vertAlign w:val="superscript"/>
        </w:rPr>
        <w:t>598</w:t>
      </w:r>
    </w:p>
    <w:p>
      <w:pPr>
        <w:pStyle w:val="BodyText"/>
        <w:spacing w:line="232" w:lineRule="auto" w:before="263"/>
        <w:ind w:left="1117" w:right="738"/>
      </w:pPr>
      <w:r>
        <w:rPr/>
        <w:t>The sixth element of the test was to confirm that the diminution could not have occurred</w:t>
      </w:r>
      <w:r>
        <w:rPr>
          <w:spacing w:val="-4"/>
        </w:rPr>
        <w:t> </w:t>
      </w:r>
      <w:r>
        <w:rPr/>
        <w:t>if</w:t>
      </w:r>
      <w:r>
        <w:rPr>
          <w:spacing w:val="-4"/>
        </w:rPr>
        <w:t> </w:t>
      </w:r>
      <w:r>
        <w:rPr/>
        <w:t>the</w:t>
      </w:r>
      <w:r>
        <w:rPr>
          <w:spacing w:val="-3"/>
        </w:rPr>
        <w:t> </w:t>
      </w:r>
      <w:r>
        <w:rPr/>
        <w:t>UK</w:t>
      </w:r>
      <w:r>
        <w:rPr>
          <w:spacing w:val="-3"/>
        </w:rPr>
        <w:t> </w:t>
      </w:r>
      <w:r>
        <w:rPr/>
        <w:t>had</w:t>
      </w:r>
      <w:r>
        <w:rPr>
          <w:spacing w:val="-4"/>
        </w:rPr>
        <w:t> </w:t>
      </w:r>
      <w:r>
        <w:rPr/>
        <w:t>remained</w:t>
      </w:r>
      <w:r>
        <w:rPr>
          <w:spacing w:val="-4"/>
        </w:rPr>
        <w:t> </w:t>
      </w:r>
      <w:r>
        <w:rPr/>
        <w:t>in</w:t>
      </w:r>
      <w:r>
        <w:rPr>
          <w:spacing w:val="-4"/>
        </w:rPr>
        <w:t> </w:t>
      </w:r>
      <w:r>
        <w:rPr/>
        <w:t>the</w:t>
      </w:r>
      <w:r>
        <w:rPr>
          <w:spacing w:val="-3"/>
        </w:rPr>
        <w:t> </w:t>
      </w:r>
      <w:r>
        <w:rPr/>
        <w:t>EU.</w:t>
      </w:r>
      <w:r>
        <w:rPr>
          <w:spacing w:val="-4"/>
        </w:rPr>
        <w:t> </w:t>
      </w:r>
      <w:r>
        <w:rPr/>
        <w:t>The</w:t>
      </w:r>
      <w:r>
        <w:rPr>
          <w:spacing w:val="-3"/>
        </w:rPr>
        <w:t> </w:t>
      </w:r>
      <w:r>
        <w:rPr/>
        <w:t>Court</w:t>
      </w:r>
      <w:r>
        <w:rPr>
          <w:spacing w:val="-3"/>
        </w:rPr>
        <w:t> </w:t>
      </w:r>
      <w:r>
        <w:rPr/>
        <w:t>had</w:t>
      </w:r>
      <w:r>
        <w:rPr>
          <w:spacing w:val="-4"/>
        </w:rPr>
        <w:t> </w:t>
      </w:r>
      <w:r>
        <w:rPr/>
        <w:t>no</w:t>
      </w:r>
      <w:r>
        <w:rPr>
          <w:spacing w:val="-4"/>
        </w:rPr>
        <w:t> </w:t>
      </w:r>
      <w:r>
        <w:rPr/>
        <w:t>hesitation</w:t>
      </w:r>
      <w:r>
        <w:rPr>
          <w:spacing w:val="-4"/>
        </w:rPr>
        <w:t> </w:t>
      </w:r>
      <w:r>
        <w:rPr/>
        <w:t>in</w:t>
      </w:r>
      <w:r>
        <w:rPr>
          <w:spacing w:val="-4"/>
        </w:rPr>
        <w:t> </w:t>
      </w:r>
      <w:r>
        <w:rPr/>
        <w:t>finding that the provisions were incompatible with the Victims’ Directive and Charter</w:t>
      </w:r>
    </w:p>
    <w:p>
      <w:pPr>
        <w:pStyle w:val="BodyText"/>
        <w:spacing w:line="232" w:lineRule="auto"/>
        <w:ind w:left="1117" w:right="1305"/>
      </w:pPr>
      <w:r>
        <w:rPr/>
        <w:t>of Fundamental rights and announcing the appropriate remedy: ‘the remedy in</w:t>
      </w:r>
      <w:r>
        <w:rPr>
          <w:spacing w:val="-3"/>
        </w:rPr>
        <w:t> </w:t>
      </w:r>
      <w:r>
        <w:rPr/>
        <w:t>respect</w:t>
      </w:r>
      <w:r>
        <w:rPr>
          <w:spacing w:val="-2"/>
        </w:rPr>
        <w:t> </w:t>
      </w:r>
      <w:r>
        <w:rPr/>
        <w:t>of</w:t>
      </w:r>
      <w:r>
        <w:rPr>
          <w:spacing w:val="-3"/>
        </w:rPr>
        <w:t> </w:t>
      </w:r>
      <w:r>
        <w:rPr/>
        <w:t>sections</w:t>
      </w:r>
      <w:r>
        <w:rPr>
          <w:spacing w:val="-3"/>
        </w:rPr>
        <w:t> </w:t>
      </w:r>
      <w:r>
        <w:rPr/>
        <w:t>7(3),</w:t>
      </w:r>
      <w:r>
        <w:rPr>
          <w:spacing w:val="-2"/>
        </w:rPr>
        <w:t> </w:t>
      </w:r>
      <w:r>
        <w:rPr/>
        <w:t>8,</w:t>
      </w:r>
      <w:r>
        <w:rPr>
          <w:spacing w:val="-2"/>
        </w:rPr>
        <w:t> </w:t>
      </w:r>
      <w:r>
        <w:rPr/>
        <w:t>12,</w:t>
      </w:r>
      <w:r>
        <w:rPr>
          <w:spacing w:val="-2"/>
        </w:rPr>
        <w:t> </w:t>
      </w:r>
      <w:r>
        <w:rPr/>
        <w:t>19,</w:t>
      </w:r>
      <w:r>
        <w:rPr>
          <w:spacing w:val="-2"/>
        </w:rPr>
        <w:t> </w:t>
      </w:r>
      <w:r>
        <w:rPr/>
        <w:t>20,</w:t>
      </w:r>
      <w:r>
        <w:rPr>
          <w:spacing w:val="-2"/>
        </w:rPr>
        <w:t> </w:t>
      </w:r>
      <w:r>
        <w:rPr/>
        <w:t>21,</w:t>
      </w:r>
      <w:r>
        <w:rPr>
          <w:spacing w:val="-2"/>
        </w:rPr>
        <w:t> </w:t>
      </w:r>
      <w:r>
        <w:rPr/>
        <w:t>22,</w:t>
      </w:r>
      <w:r>
        <w:rPr>
          <w:spacing w:val="-2"/>
        </w:rPr>
        <w:t> </w:t>
      </w:r>
      <w:r>
        <w:rPr/>
        <w:t>39,</w:t>
      </w:r>
      <w:r>
        <w:rPr>
          <w:spacing w:val="-2"/>
        </w:rPr>
        <w:t> </w:t>
      </w:r>
      <w:r>
        <w:rPr/>
        <w:t>41,</w:t>
      </w:r>
      <w:r>
        <w:rPr>
          <w:spacing w:val="-2"/>
        </w:rPr>
        <w:t> </w:t>
      </w:r>
      <w:r>
        <w:rPr/>
        <w:t>42(1)</w:t>
      </w:r>
      <w:r>
        <w:rPr>
          <w:spacing w:val="-3"/>
        </w:rPr>
        <w:t> </w:t>
      </w:r>
      <w:r>
        <w:rPr/>
        <w:t>of</w:t>
      </w:r>
      <w:r>
        <w:rPr>
          <w:spacing w:val="-3"/>
        </w:rPr>
        <w:t> </w:t>
      </w:r>
      <w:r>
        <w:rPr/>
        <w:t>the</w:t>
      </w:r>
      <w:r>
        <w:rPr>
          <w:spacing w:val="-2"/>
        </w:rPr>
        <w:t> </w:t>
      </w:r>
      <w:r>
        <w:rPr/>
        <w:t>2023</w:t>
      </w:r>
      <w:r>
        <w:rPr>
          <w:spacing w:val="-2"/>
        </w:rPr>
        <w:t> </w:t>
      </w:r>
      <w:r>
        <w:rPr/>
        <w:t>Act</w:t>
      </w:r>
      <w:r>
        <w:rPr>
          <w:spacing w:val="-2"/>
        </w:rPr>
        <w:t> </w:t>
      </w:r>
      <w:r>
        <w:rPr/>
        <w:t>is </w:t>
      </w:r>
      <w:r>
        <w:rPr>
          <w:spacing w:val="-2"/>
        </w:rPr>
        <w:t>disapplication.’</w:t>
      </w:r>
      <w:r>
        <w:rPr>
          <w:spacing w:val="-2"/>
          <w:vertAlign w:val="superscript"/>
        </w:rPr>
        <w:t>599</w:t>
      </w:r>
    </w:p>
    <w:p>
      <w:pPr>
        <w:pStyle w:val="BodyText"/>
        <w:spacing w:line="232" w:lineRule="auto" w:before="274"/>
        <w:ind w:left="1117" w:right="738"/>
      </w:pPr>
      <w:r>
        <w:rPr/>
        <w:t>The </w:t>
      </w:r>
      <w:r>
        <w:rPr>
          <w:i/>
        </w:rPr>
        <w:t>Legacy Act cases (Dillon and others) </w:t>
      </w:r>
      <w:r>
        <w:rPr/>
        <w:t>is significant in several respects. It is the first</w:t>
      </w:r>
      <w:r>
        <w:rPr>
          <w:spacing w:val="-1"/>
        </w:rPr>
        <w:t> </w:t>
      </w:r>
      <w:r>
        <w:rPr/>
        <w:t>case</w:t>
      </w:r>
      <w:r>
        <w:rPr>
          <w:spacing w:val="-1"/>
        </w:rPr>
        <w:t> </w:t>
      </w:r>
      <w:r>
        <w:rPr/>
        <w:t>in</w:t>
      </w:r>
      <w:r>
        <w:rPr>
          <w:spacing w:val="-1"/>
        </w:rPr>
        <w:t> </w:t>
      </w:r>
      <w:r>
        <w:rPr/>
        <w:t>which</w:t>
      </w:r>
      <w:r>
        <w:rPr>
          <w:spacing w:val="-1"/>
        </w:rPr>
        <w:t> </w:t>
      </w:r>
      <w:r>
        <w:rPr/>
        <w:t>the</w:t>
      </w:r>
      <w:r>
        <w:rPr>
          <w:spacing w:val="-1"/>
        </w:rPr>
        <w:t> </w:t>
      </w:r>
      <w:r>
        <w:rPr/>
        <w:t>courts</w:t>
      </w:r>
      <w:r>
        <w:rPr>
          <w:spacing w:val="-1"/>
        </w:rPr>
        <w:t> </w:t>
      </w:r>
      <w:r>
        <w:rPr/>
        <w:t>have</w:t>
      </w:r>
      <w:r>
        <w:rPr>
          <w:spacing w:val="-1"/>
        </w:rPr>
        <w:t> </w:t>
      </w:r>
      <w:r>
        <w:rPr/>
        <w:t>found</w:t>
      </w:r>
      <w:r>
        <w:rPr>
          <w:spacing w:val="-1"/>
        </w:rPr>
        <w:t> </w:t>
      </w:r>
      <w:r>
        <w:rPr/>
        <w:t>a</w:t>
      </w:r>
      <w:r>
        <w:rPr>
          <w:spacing w:val="-1"/>
        </w:rPr>
        <w:t> </w:t>
      </w:r>
      <w:r>
        <w:rPr/>
        <w:t>breach</w:t>
      </w:r>
      <w:r>
        <w:rPr>
          <w:spacing w:val="-1"/>
        </w:rPr>
        <w:t> </w:t>
      </w:r>
      <w:r>
        <w:rPr/>
        <w:t>of</w:t>
      </w:r>
      <w:r>
        <w:rPr>
          <w:spacing w:val="-1"/>
        </w:rPr>
        <w:t> </w:t>
      </w:r>
      <w:r>
        <w:rPr/>
        <w:t>Article</w:t>
      </w:r>
      <w:r>
        <w:rPr>
          <w:spacing w:val="-1"/>
        </w:rPr>
        <w:t> </w:t>
      </w:r>
      <w:r>
        <w:rPr/>
        <w:t>2</w:t>
      </w:r>
      <w:r>
        <w:rPr>
          <w:spacing w:val="-1"/>
        </w:rPr>
        <w:t> </w:t>
      </w:r>
      <w:r>
        <w:rPr/>
        <w:t>WF</w:t>
      </w:r>
      <w:r>
        <w:rPr>
          <w:spacing w:val="-1"/>
        </w:rPr>
        <w:t> </w:t>
      </w:r>
      <w:r>
        <w:rPr/>
        <w:t>and</w:t>
      </w:r>
      <w:r>
        <w:rPr>
          <w:spacing w:val="-1"/>
        </w:rPr>
        <w:t> </w:t>
      </w:r>
      <w:r>
        <w:rPr/>
        <w:t>the</w:t>
      </w:r>
      <w:r>
        <w:rPr>
          <w:spacing w:val="-1"/>
        </w:rPr>
        <w:t> </w:t>
      </w:r>
      <w:r>
        <w:rPr/>
        <w:t>first</w:t>
      </w:r>
      <w:r>
        <w:rPr>
          <w:spacing w:val="-1"/>
        </w:rPr>
        <w:t> </w:t>
      </w:r>
      <w:r>
        <w:rPr/>
        <w:t>in which</w:t>
      </w:r>
      <w:r>
        <w:rPr>
          <w:spacing w:val="-15"/>
        </w:rPr>
        <w:t> </w:t>
      </w:r>
      <w:r>
        <w:rPr/>
        <w:t>an</w:t>
      </w:r>
      <w:r>
        <w:rPr>
          <w:spacing w:val="-15"/>
        </w:rPr>
        <w:t> </w:t>
      </w:r>
      <w:r>
        <w:rPr/>
        <w:t>Act</w:t>
      </w:r>
      <w:r>
        <w:rPr>
          <w:spacing w:val="-15"/>
        </w:rPr>
        <w:t> </w:t>
      </w:r>
      <w:r>
        <w:rPr/>
        <w:t>of</w:t>
      </w:r>
      <w:r>
        <w:rPr>
          <w:spacing w:val="-15"/>
        </w:rPr>
        <w:t> </w:t>
      </w:r>
      <w:r>
        <w:rPr/>
        <w:t>Parliament</w:t>
      </w:r>
      <w:r>
        <w:rPr>
          <w:spacing w:val="-15"/>
        </w:rPr>
        <w:t> </w:t>
      </w:r>
      <w:r>
        <w:rPr/>
        <w:t>has</w:t>
      </w:r>
      <w:r>
        <w:rPr>
          <w:spacing w:val="-15"/>
        </w:rPr>
        <w:t> </w:t>
      </w:r>
      <w:r>
        <w:rPr/>
        <w:t>been</w:t>
      </w:r>
      <w:r>
        <w:rPr>
          <w:spacing w:val="-15"/>
        </w:rPr>
        <w:t> </w:t>
      </w:r>
      <w:r>
        <w:rPr/>
        <w:t>disapplied.</w:t>
      </w:r>
      <w:r>
        <w:rPr>
          <w:spacing w:val="-15"/>
        </w:rPr>
        <w:t> </w:t>
      </w:r>
      <w:r>
        <w:rPr/>
        <w:t>It</w:t>
      </w:r>
      <w:r>
        <w:rPr>
          <w:spacing w:val="-15"/>
        </w:rPr>
        <w:t> </w:t>
      </w:r>
      <w:r>
        <w:rPr/>
        <w:t>demonstrates</w:t>
      </w:r>
      <w:r>
        <w:rPr>
          <w:spacing w:val="-15"/>
        </w:rPr>
        <w:t> </w:t>
      </w:r>
      <w:r>
        <w:rPr/>
        <w:t>convincingly</w:t>
      </w:r>
      <w:r>
        <w:rPr>
          <w:spacing w:val="-15"/>
        </w:rPr>
        <w:t> </w:t>
      </w:r>
      <w:r>
        <w:rPr/>
        <w:t>that, contrary</w:t>
      </w:r>
      <w:r>
        <w:rPr>
          <w:spacing w:val="-6"/>
        </w:rPr>
        <w:t> </w:t>
      </w:r>
      <w:r>
        <w:rPr/>
        <w:t>to</w:t>
      </w:r>
      <w:r>
        <w:rPr>
          <w:spacing w:val="-6"/>
        </w:rPr>
        <w:t> </w:t>
      </w:r>
      <w:r>
        <w:rPr/>
        <w:t>the</w:t>
      </w:r>
      <w:r>
        <w:rPr>
          <w:spacing w:val="-6"/>
        </w:rPr>
        <w:t> </w:t>
      </w:r>
      <w:r>
        <w:rPr/>
        <w:t>UK</w:t>
      </w:r>
      <w:r>
        <w:rPr>
          <w:spacing w:val="-6"/>
        </w:rPr>
        <w:t> </w:t>
      </w:r>
      <w:r>
        <w:rPr/>
        <w:t>Government</w:t>
      </w:r>
      <w:r>
        <w:rPr>
          <w:spacing w:val="-6"/>
        </w:rPr>
        <w:t> </w:t>
      </w:r>
      <w:r>
        <w:rPr/>
        <w:t>position</w:t>
      </w:r>
      <w:r>
        <w:rPr>
          <w:spacing w:val="-6"/>
        </w:rPr>
        <w:t> </w:t>
      </w:r>
      <w:r>
        <w:rPr/>
        <w:t>in</w:t>
      </w:r>
      <w:r>
        <w:rPr>
          <w:spacing w:val="-6"/>
        </w:rPr>
        <w:t> </w:t>
      </w:r>
      <w:r>
        <w:rPr/>
        <w:t>the</w:t>
      </w:r>
      <w:r>
        <w:rPr>
          <w:spacing w:val="-5"/>
        </w:rPr>
        <w:t> </w:t>
      </w:r>
      <w:r>
        <w:rPr>
          <w:i/>
        </w:rPr>
        <w:t>Safeguarding</w:t>
      </w:r>
      <w:r>
        <w:rPr>
          <w:i/>
          <w:spacing w:val="-6"/>
        </w:rPr>
        <w:t> </w:t>
      </w:r>
      <w:r>
        <w:rPr>
          <w:i/>
        </w:rPr>
        <w:t>the</w:t>
      </w:r>
      <w:r>
        <w:rPr>
          <w:i/>
          <w:spacing w:val="-6"/>
        </w:rPr>
        <w:t> </w:t>
      </w:r>
      <w:r>
        <w:rPr>
          <w:i/>
        </w:rPr>
        <w:t>Union</w:t>
      </w:r>
      <w:r>
        <w:rPr>
          <w:i/>
          <w:spacing w:val="-6"/>
        </w:rPr>
        <w:t> </w:t>
      </w:r>
      <w:r>
        <w:rPr/>
        <w:t>Command paper,</w:t>
      </w:r>
      <w:r>
        <w:rPr>
          <w:spacing w:val="-1"/>
        </w:rPr>
        <w:t> </w:t>
      </w:r>
      <w:r>
        <w:rPr/>
        <w:t>Article</w:t>
      </w:r>
      <w:r>
        <w:rPr>
          <w:spacing w:val="-1"/>
        </w:rPr>
        <w:t> </w:t>
      </w:r>
      <w:r>
        <w:rPr/>
        <w:t>2</w:t>
      </w:r>
      <w:r>
        <w:rPr>
          <w:spacing w:val="-1"/>
        </w:rPr>
        <w:t> </w:t>
      </w:r>
      <w:r>
        <w:rPr/>
        <w:t>WF</w:t>
      </w:r>
      <w:r>
        <w:rPr>
          <w:spacing w:val="-1"/>
        </w:rPr>
        <w:t> </w:t>
      </w:r>
      <w:r>
        <w:rPr/>
        <w:t>applies</w:t>
      </w:r>
      <w:r>
        <w:rPr>
          <w:spacing w:val="-1"/>
        </w:rPr>
        <w:t> </w:t>
      </w:r>
      <w:r>
        <w:rPr/>
        <w:t>beyond</w:t>
      </w:r>
      <w:r>
        <w:rPr>
          <w:spacing w:val="-1"/>
        </w:rPr>
        <w:t> </w:t>
      </w:r>
      <w:r>
        <w:rPr/>
        <w:t>the</w:t>
      </w:r>
      <w:r>
        <w:rPr>
          <w:spacing w:val="-1"/>
        </w:rPr>
        <w:t> </w:t>
      </w:r>
      <w:r>
        <w:rPr/>
        <w:t>limited</w:t>
      </w:r>
      <w:r>
        <w:rPr>
          <w:spacing w:val="-1"/>
        </w:rPr>
        <w:t> </w:t>
      </w:r>
      <w:r>
        <w:rPr/>
        <w:t>area</w:t>
      </w:r>
      <w:r>
        <w:rPr>
          <w:spacing w:val="-1"/>
        </w:rPr>
        <w:t> </w:t>
      </w:r>
      <w:r>
        <w:rPr/>
        <w:t>of</w:t>
      </w:r>
      <w:r>
        <w:rPr>
          <w:spacing w:val="-1"/>
        </w:rPr>
        <w:t> </w:t>
      </w:r>
      <w:r>
        <w:rPr/>
        <w:t>free</w:t>
      </w:r>
      <w:r>
        <w:rPr>
          <w:spacing w:val="-1"/>
        </w:rPr>
        <w:t> </w:t>
      </w:r>
      <w:r>
        <w:rPr/>
        <w:t>movement</w:t>
      </w:r>
      <w:r>
        <w:rPr>
          <w:spacing w:val="-1"/>
        </w:rPr>
        <w:t> </w:t>
      </w:r>
      <w:r>
        <w:rPr/>
        <w:t>of</w:t>
      </w:r>
      <w:r>
        <w:rPr>
          <w:spacing w:val="-1"/>
        </w:rPr>
        <w:t> </w:t>
      </w:r>
      <w:r>
        <w:rPr/>
        <w:t>goods.</w:t>
      </w:r>
    </w:p>
    <w:p>
      <w:pPr>
        <w:pStyle w:val="BodyText"/>
        <w:spacing w:line="232" w:lineRule="auto"/>
        <w:ind w:left="1117" w:right="1087"/>
      </w:pPr>
      <w:r>
        <w:rPr/>
        <w:t>The</w:t>
      </w:r>
      <w:r>
        <w:rPr>
          <w:spacing w:val="-12"/>
        </w:rPr>
        <w:t> </w:t>
      </w:r>
      <w:r>
        <w:rPr/>
        <w:t>case</w:t>
      </w:r>
      <w:r>
        <w:rPr>
          <w:spacing w:val="-12"/>
        </w:rPr>
        <w:t> </w:t>
      </w:r>
      <w:r>
        <w:rPr/>
        <w:t>confirms</w:t>
      </w:r>
      <w:r>
        <w:rPr>
          <w:spacing w:val="-12"/>
        </w:rPr>
        <w:t> </w:t>
      </w:r>
      <w:r>
        <w:rPr/>
        <w:t>the</w:t>
      </w:r>
      <w:r>
        <w:rPr>
          <w:spacing w:val="-12"/>
        </w:rPr>
        <w:t> </w:t>
      </w:r>
      <w:r>
        <w:rPr/>
        <w:t>courts</w:t>
      </w:r>
      <w:r>
        <w:rPr>
          <w:spacing w:val="-12"/>
        </w:rPr>
        <w:t> </w:t>
      </w:r>
      <w:r>
        <w:rPr/>
        <w:t>will</w:t>
      </w:r>
      <w:r>
        <w:rPr>
          <w:spacing w:val="-12"/>
        </w:rPr>
        <w:t> </w:t>
      </w:r>
      <w:r>
        <w:rPr/>
        <w:t>apply</w:t>
      </w:r>
      <w:r>
        <w:rPr>
          <w:spacing w:val="-12"/>
        </w:rPr>
        <w:t> </w:t>
      </w:r>
      <w:r>
        <w:rPr/>
        <w:t>the</w:t>
      </w:r>
      <w:r>
        <w:rPr>
          <w:spacing w:val="-12"/>
        </w:rPr>
        <w:t> </w:t>
      </w:r>
      <w:r>
        <w:rPr/>
        <w:t>6-element</w:t>
      </w:r>
      <w:r>
        <w:rPr>
          <w:spacing w:val="-12"/>
        </w:rPr>
        <w:t> </w:t>
      </w:r>
      <w:r>
        <w:rPr/>
        <w:t>test</w:t>
      </w:r>
      <w:r>
        <w:rPr>
          <w:spacing w:val="-12"/>
        </w:rPr>
        <w:t> </w:t>
      </w:r>
      <w:r>
        <w:rPr/>
        <w:t>adopted</w:t>
      </w:r>
      <w:r>
        <w:rPr>
          <w:spacing w:val="-12"/>
        </w:rPr>
        <w:t> </w:t>
      </w:r>
      <w:r>
        <w:rPr/>
        <w:t>by</w:t>
      </w:r>
      <w:r>
        <w:rPr>
          <w:spacing w:val="-12"/>
        </w:rPr>
        <w:t> </w:t>
      </w:r>
      <w:r>
        <w:rPr/>
        <w:t>the</w:t>
      </w:r>
      <w:r>
        <w:rPr>
          <w:spacing w:val="-12"/>
        </w:rPr>
        <w:t> </w:t>
      </w:r>
      <w:r>
        <w:rPr/>
        <w:t>Court of Appeal in </w:t>
      </w:r>
      <w:r>
        <w:rPr>
          <w:i/>
        </w:rPr>
        <w:t>SPUC</w:t>
      </w:r>
      <w:r>
        <w:rPr/>
        <w:t>. It also clarifies some of the language in </w:t>
      </w:r>
      <w:r>
        <w:rPr>
          <w:i/>
        </w:rPr>
        <w:t>Angesom</w:t>
      </w:r>
      <w:r>
        <w:rPr/>
        <w:t>. Of most</w:t>
      </w:r>
    </w:p>
    <w:p>
      <w:pPr>
        <w:pStyle w:val="BodyText"/>
        <w:spacing w:line="232" w:lineRule="auto"/>
        <w:ind w:left="1117" w:right="738"/>
      </w:pPr>
      <w:r>
        <w:rPr/>
        <w:t>importance</w:t>
      </w:r>
      <w:r>
        <w:rPr>
          <w:spacing w:val="-14"/>
        </w:rPr>
        <w:t> </w:t>
      </w:r>
      <w:r>
        <w:rPr/>
        <w:t>the</w:t>
      </w:r>
      <w:r>
        <w:rPr>
          <w:spacing w:val="-14"/>
        </w:rPr>
        <w:t> </w:t>
      </w:r>
      <w:r>
        <w:rPr/>
        <w:t>Court</w:t>
      </w:r>
      <w:r>
        <w:rPr>
          <w:spacing w:val="-14"/>
        </w:rPr>
        <w:t> </w:t>
      </w:r>
      <w:r>
        <w:rPr/>
        <w:t>adopts</w:t>
      </w:r>
      <w:r>
        <w:rPr>
          <w:spacing w:val="-14"/>
        </w:rPr>
        <w:t> </w:t>
      </w:r>
      <w:r>
        <w:rPr/>
        <w:t>a</w:t>
      </w:r>
      <w:r>
        <w:rPr>
          <w:spacing w:val="-14"/>
        </w:rPr>
        <w:t> </w:t>
      </w:r>
      <w:r>
        <w:rPr/>
        <w:t>purposive</w:t>
      </w:r>
      <w:r>
        <w:rPr>
          <w:spacing w:val="-14"/>
        </w:rPr>
        <w:t> </w:t>
      </w:r>
      <w:r>
        <w:rPr/>
        <w:t>approach</w:t>
      </w:r>
      <w:r>
        <w:rPr>
          <w:spacing w:val="-14"/>
        </w:rPr>
        <w:t> </w:t>
      </w:r>
      <w:r>
        <w:rPr/>
        <w:t>to</w:t>
      </w:r>
      <w:r>
        <w:rPr>
          <w:spacing w:val="-14"/>
        </w:rPr>
        <w:t> </w:t>
      </w:r>
      <w:r>
        <w:rPr/>
        <w:t>the</w:t>
      </w:r>
      <w:r>
        <w:rPr>
          <w:spacing w:val="-14"/>
        </w:rPr>
        <w:t> </w:t>
      </w:r>
      <w:r>
        <w:rPr/>
        <w:t>interpretation</w:t>
      </w:r>
      <w:r>
        <w:rPr>
          <w:spacing w:val="-14"/>
        </w:rPr>
        <w:t> </w:t>
      </w:r>
      <w:r>
        <w:rPr/>
        <w:t>of</w:t>
      </w:r>
      <w:r>
        <w:rPr>
          <w:spacing w:val="-14"/>
        </w:rPr>
        <w:t> </w:t>
      </w:r>
      <w:r>
        <w:rPr/>
        <w:t>Article</w:t>
      </w:r>
      <w:r>
        <w:rPr>
          <w:spacing w:val="-14"/>
        </w:rPr>
        <w:t> </w:t>
      </w:r>
      <w:r>
        <w:rPr/>
        <w:t>2 WF</w:t>
      </w:r>
      <w:r>
        <w:rPr>
          <w:spacing w:val="-7"/>
        </w:rPr>
        <w:t> </w:t>
      </w:r>
      <w:r>
        <w:rPr/>
        <w:t>and</w:t>
      </w:r>
      <w:r>
        <w:rPr>
          <w:spacing w:val="-7"/>
        </w:rPr>
        <w:t> </w:t>
      </w:r>
      <w:r>
        <w:rPr/>
        <w:t>of</w:t>
      </w:r>
      <w:r>
        <w:rPr>
          <w:spacing w:val="-7"/>
        </w:rPr>
        <w:t> </w:t>
      </w:r>
      <w:r>
        <w:rPr/>
        <w:t>the</w:t>
      </w:r>
      <w:r>
        <w:rPr>
          <w:spacing w:val="-7"/>
        </w:rPr>
        <w:t> </w:t>
      </w:r>
      <w:r>
        <w:rPr/>
        <w:t>1998</w:t>
      </w:r>
      <w:r>
        <w:rPr>
          <w:spacing w:val="-7"/>
        </w:rPr>
        <w:t> </w:t>
      </w:r>
      <w:r>
        <w:rPr/>
        <w:t>Agreement,</w:t>
      </w:r>
      <w:r>
        <w:rPr>
          <w:spacing w:val="-7"/>
        </w:rPr>
        <w:t> </w:t>
      </w:r>
      <w:r>
        <w:rPr/>
        <w:t>relying</w:t>
      </w:r>
      <w:r>
        <w:rPr>
          <w:spacing w:val="-7"/>
        </w:rPr>
        <w:t> </w:t>
      </w:r>
      <w:r>
        <w:rPr/>
        <w:t>on</w:t>
      </w:r>
      <w:r>
        <w:rPr>
          <w:spacing w:val="-7"/>
        </w:rPr>
        <w:t> </w:t>
      </w:r>
      <w:r>
        <w:rPr/>
        <w:t>the</w:t>
      </w:r>
      <w:r>
        <w:rPr>
          <w:spacing w:val="-7"/>
        </w:rPr>
        <w:t> </w:t>
      </w:r>
      <w:r>
        <w:rPr/>
        <w:t>principles</w:t>
      </w:r>
      <w:r>
        <w:rPr>
          <w:spacing w:val="-7"/>
        </w:rPr>
        <w:t> </w:t>
      </w:r>
      <w:r>
        <w:rPr/>
        <w:t>in</w:t>
      </w:r>
      <w:r>
        <w:rPr>
          <w:spacing w:val="-7"/>
        </w:rPr>
        <w:t> </w:t>
      </w:r>
      <w:r>
        <w:rPr/>
        <w:t>the</w:t>
      </w:r>
      <w:r>
        <w:rPr>
          <w:spacing w:val="-7"/>
        </w:rPr>
        <w:t> </w:t>
      </w:r>
      <w:r>
        <w:rPr/>
        <w:t>Vienna</w:t>
      </w:r>
      <w:r>
        <w:rPr>
          <w:spacing w:val="-7"/>
        </w:rPr>
        <w:t> </w:t>
      </w:r>
      <w:r>
        <w:rPr/>
        <w:t>Convention.</w:t>
      </w:r>
    </w:p>
    <w:p>
      <w:pPr>
        <w:pStyle w:val="BodyText"/>
        <w:spacing w:before="2"/>
        <w:rPr>
          <w:sz w:val="10"/>
        </w:rPr>
      </w:pPr>
      <w:r>
        <w:rPr/>
        <mc:AlternateContent>
          <mc:Choice Requires="wps">
            <w:drawing>
              <wp:anchor distT="0" distB="0" distL="0" distR="0" allowOverlap="1" layoutInCell="1" locked="0" behindDoc="1" simplePos="0" relativeHeight="487766016">
                <wp:simplePos x="0" y="0"/>
                <wp:positionH relativeFrom="page">
                  <wp:posOffset>899999</wp:posOffset>
                </wp:positionH>
                <wp:positionV relativeFrom="paragraph">
                  <wp:posOffset>94023</wp:posOffset>
                </wp:positionV>
                <wp:extent cx="6012180" cy="1270"/>
                <wp:effectExtent l="0" t="0" r="0" b="0"/>
                <wp:wrapTopAndBottom/>
                <wp:docPr id="942" name="Graphic 942"/>
                <wp:cNvGraphicFramePr>
                  <a:graphicFrameLocks/>
                </wp:cNvGraphicFramePr>
                <a:graphic>
                  <a:graphicData uri="http://schemas.microsoft.com/office/word/2010/wordprocessingShape">
                    <wps:wsp>
                      <wps:cNvPr id="942" name="Graphic 94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7.403434pt;width:473.4pt;height:.1pt;mso-position-horizontal-relative:page;mso-position-vertical-relative:paragraph;z-index:-15550464;mso-wrap-distance-left:0;mso-wrap-distance-right:0" id="docshape773" coordorigin="1417,148" coordsize="9468,0" path="m1417,148l10885,148e" filled="false" stroked="true" strokeweight=".5pt" strokecolor="#36a9e1">
                <v:path arrowok="t"/>
                <v:stroke dashstyle="solid"/>
                <w10:wrap type="topAndBottom"/>
              </v:shape>
            </w:pict>
          </mc:Fallback>
        </mc:AlternateContent>
      </w:r>
    </w:p>
    <w:p>
      <w:pPr>
        <w:tabs>
          <w:tab w:pos="1684" w:val="left" w:leader="none"/>
        </w:tabs>
        <w:spacing w:before="43"/>
        <w:ind w:left="1117" w:right="0" w:firstLine="0"/>
        <w:jc w:val="left"/>
        <w:rPr>
          <w:sz w:val="18"/>
        </w:rPr>
      </w:pPr>
      <w:r>
        <w:rPr>
          <w:spacing w:val="-5"/>
          <w:sz w:val="18"/>
        </w:rPr>
        <w:t>594</w:t>
      </w:r>
      <w:r>
        <w:rPr>
          <w:sz w:val="18"/>
        </w:rPr>
        <w:tab/>
        <w:t>Ibid.,</w:t>
      </w:r>
      <w:r>
        <w:rPr>
          <w:spacing w:val="-1"/>
          <w:sz w:val="18"/>
        </w:rPr>
        <w:t> </w:t>
      </w:r>
      <w:r>
        <w:rPr>
          <w:spacing w:val="-2"/>
          <w:sz w:val="18"/>
        </w:rPr>
        <w:t>[578].</w:t>
      </w:r>
    </w:p>
    <w:p>
      <w:pPr>
        <w:tabs>
          <w:tab w:pos="1684" w:val="left" w:leader="none"/>
        </w:tabs>
        <w:spacing w:before="1"/>
        <w:ind w:left="1117" w:right="0" w:firstLine="0"/>
        <w:jc w:val="left"/>
        <w:rPr>
          <w:sz w:val="18"/>
        </w:rPr>
      </w:pPr>
      <w:r>
        <w:rPr>
          <w:spacing w:val="-5"/>
          <w:sz w:val="18"/>
        </w:rPr>
        <w:t>595</w:t>
      </w:r>
      <w:r>
        <w:rPr>
          <w:sz w:val="18"/>
        </w:rPr>
        <w:tab/>
        <w:t>Ibid.,</w:t>
      </w:r>
      <w:r>
        <w:rPr>
          <w:spacing w:val="-1"/>
          <w:sz w:val="18"/>
        </w:rPr>
        <w:t> </w:t>
      </w:r>
      <w:r>
        <w:rPr>
          <w:spacing w:val="-2"/>
          <w:sz w:val="18"/>
        </w:rPr>
        <w:t>[583].</w:t>
      </w:r>
    </w:p>
    <w:p>
      <w:pPr>
        <w:tabs>
          <w:tab w:pos="1684" w:val="left" w:leader="none"/>
        </w:tabs>
        <w:spacing w:before="0"/>
        <w:ind w:left="1117" w:right="0" w:firstLine="0"/>
        <w:jc w:val="left"/>
        <w:rPr>
          <w:sz w:val="18"/>
        </w:rPr>
      </w:pPr>
      <w:r>
        <w:rPr>
          <w:spacing w:val="-5"/>
          <w:sz w:val="18"/>
        </w:rPr>
        <w:t>596</w:t>
      </w:r>
      <w:r>
        <w:rPr>
          <w:sz w:val="18"/>
        </w:rPr>
        <w:tab/>
        <w:t>Ibid.,</w:t>
      </w:r>
      <w:r>
        <w:rPr>
          <w:spacing w:val="-1"/>
          <w:sz w:val="18"/>
        </w:rPr>
        <w:t> </w:t>
      </w:r>
      <w:r>
        <w:rPr>
          <w:spacing w:val="-2"/>
          <w:sz w:val="18"/>
        </w:rPr>
        <w:t>[588].</w:t>
      </w:r>
    </w:p>
    <w:p>
      <w:pPr>
        <w:tabs>
          <w:tab w:pos="1684" w:val="left" w:leader="none"/>
        </w:tabs>
        <w:spacing w:before="0"/>
        <w:ind w:left="1117" w:right="0" w:firstLine="0"/>
        <w:jc w:val="left"/>
        <w:rPr>
          <w:sz w:val="18"/>
        </w:rPr>
      </w:pPr>
      <w:r>
        <w:rPr>
          <w:spacing w:val="-5"/>
          <w:sz w:val="18"/>
        </w:rPr>
        <w:t>597</w:t>
      </w:r>
      <w:r>
        <w:rPr>
          <w:sz w:val="18"/>
        </w:rPr>
        <w:tab/>
        <w:t>Ibid.,</w:t>
      </w:r>
      <w:r>
        <w:rPr>
          <w:spacing w:val="-7"/>
          <w:sz w:val="18"/>
        </w:rPr>
        <w:t> </w:t>
      </w:r>
      <w:r>
        <w:rPr>
          <w:sz w:val="18"/>
        </w:rPr>
        <w:t>[608]-</w:t>
      </w:r>
      <w:r>
        <w:rPr>
          <w:spacing w:val="-2"/>
          <w:sz w:val="18"/>
        </w:rPr>
        <w:t>[609].</w:t>
      </w:r>
    </w:p>
    <w:p>
      <w:pPr>
        <w:tabs>
          <w:tab w:pos="1684" w:val="left" w:leader="none"/>
        </w:tabs>
        <w:spacing w:before="0"/>
        <w:ind w:left="1117" w:right="0" w:firstLine="0"/>
        <w:jc w:val="left"/>
        <w:rPr>
          <w:sz w:val="18"/>
        </w:rPr>
      </w:pPr>
      <w:r>
        <w:rPr>
          <w:spacing w:val="-5"/>
          <w:sz w:val="18"/>
        </w:rPr>
        <w:t>598</w:t>
      </w:r>
      <w:r>
        <w:rPr>
          <w:sz w:val="18"/>
        </w:rPr>
        <w:tab/>
        <w:t>Ibid.,</w:t>
      </w:r>
      <w:r>
        <w:rPr>
          <w:spacing w:val="-1"/>
          <w:sz w:val="18"/>
        </w:rPr>
        <w:t> </w:t>
      </w:r>
      <w:r>
        <w:rPr>
          <w:sz w:val="18"/>
        </w:rPr>
        <w:t>[590], </w:t>
      </w:r>
      <w:r>
        <w:rPr>
          <w:spacing w:val="-2"/>
          <w:sz w:val="18"/>
        </w:rPr>
        <w:t>[602].</w:t>
      </w:r>
    </w:p>
    <w:p>
      <w:pPr>
        <w:tabs>
          <w:tab w:pos="1684" w:val="left" w:leader="none"/>
        </w:tabs>
        <w:spacing w:before="1"/>
        <w:ind w:left="1117" w:right="0" w:firstLine="0"/>
        <w:jc w:val="left"/>
        <w:rPr>
          <w:sz w:val="18"/>
        </w:rPr>
      </w:pPr>
      <w:r>
        <w:rPr>
          <w:spacing w:val="-5"/>
          <w:sz w:val="18"/>
        </w:rPr>
        <w:t>599</w:t>
      </w:r>
      <w:r>
        <w:rPr>
          <w:sz w:val="18"/>
        </w:rPr>
        <w:tab/>
        <w:t>Ibid.,</w:t>
      </w:r>
      <w:r>
        <w:rPr>
          <w:spacing w:val="-1"/>
          <w:sz w:val="18"/>
        </w:rPr>
        <w:t> </w:t>
      </w:r>
      <w:r>
        <w:rPr>
          <w:spacing w:val="-2"/>
          <w:sz w:val="18"/>
        </w:rPr>
        <w:t>[613].</w:t>
      </w:r>
    </w:p>
    <w:p>
      <w:pPr>
        <w:spacing w:after="0"/>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908352">
                <wp:simplePos x="0" y="0"/>
                <wp:positionH relativeFrom="page">
                  <wp:posOffset>0</wp:posOffset>
                </wp:positionH>
                <wp:positionV relativeFrom="page">
                  <wp:posOffset>0</wp:posOffset>
                </wp:positionV>
                <wp:extent cx="7560309" cy="1257935"/>
                <wp:effectExtent l="0" t="0" r="0" b="0"/>
                <wp:wrapNone/>
                <wp:docPr id="943" name="Group 943"/>
                <wp:cNvGraphicFramePr>
                  <a:graphicFrameLocks/>
                </wp:cNvGraphicFramePr>
                <a:graphic>
                  <a:graphicData uri="http://schemas.microsoft.com/office/word/2010/wordprocessingGroup">
                    <wpg:wgp>
                      <wpg:cNvPr id="943" name="Group 943"/>
                      <wpg:cNvGrpSpPr/>
                      <wpg:grpSpPr>
                        <a:xfrm>
                          <a:off x="0" y="0"/>
                          <a:ext cx="7560309" cy="1257935"/>
                          <a:chExt cx="7560309" cy="1257935"/>
                        </a:xfrm>
                      </wpg:grpSpPr>
                      <wps:wsp>
                        <wps:cNvPr id="944" name="Graphic 944"/>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945" name="Graphic 945"/>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946" name="Textbox 946"/>
                        <wps:cNvSpPr txBox="1"/>
                        <wps:spPr>
                          <a:xfrm>
                            <a:off x="260826"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114</w:t>
                              </w:r>
                            </w:p>
                          </w:txbxContent>
                        </wps:txbx>
                        <wps:bodyPr wrap="square" lIns="0" tIns="0" rIns="0" bIns="0" rtlCol="0">
                          <a:noAutofit/>
                        </wps:bodyPr>
                      </wps:wsp>
                      <wps:wsp>
                        <wps:cNvPr id="947" name="Textbox 947"/>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948" name="Textbox 948"/>
                        <wps:cNvSpPr txBox="1"/>
                        <wps:spPr>
                          <a:xfrm>
                            <a:off x="647999" y="1080003"/>
                            <a:ext cx="5779135" cy="177800"/>
                          </a:xfrm>
                          <a:prstGeom prst="rect">
                            <a:avLst/>
                          </a:prstGeom>
                        </wps:spPr>
                        <wps:txbx>
                          <w:txbxContent>
                            <w:p>
                              <w:pPr>
                                <w:spacing w:line="280" w:lineRule="exact" w:before="0"/>
                                <w:ind w:left="0" w:right="0" w:firstLine="0"/>
                                <w:jc w:val="left"/>
                                <w:rPr>
                                  <w:sz w:val="28"/>
                                </w:rPr>
                              </w:pPr>
                              <w:r>
                                <w:rPr>
                                  <w:sz w:val="28"/>
                                </w:rPr>
                                <w:t>This</w:t>
                              </w:r>
                              <w:r>
                                <w:rPr>
                                  <w:spacing w:val="-11"/>
                                  <w:sz w:val="28"/>
                                </w:rPr>
                                <w:t> </w:t>
                              </w:r>
                              <w:r>
                                <w:rPr>
                                  <w:sz w:val="28"/>
                                </w:rPr>
                                <w:t>requires</w:t>
                              </w:r>
                              <w:r>
                                <w:rPr>
                                  <w:spacing w:val="-10"/>
                                  <w:sz w:val="28"/>
                                </w:rPr>
                                <w:t> </w:t>
                              </w:r>
                              <w:r>
                                <w:rPr>
                                  <w:sz w:val="28"/>
                                </w:rPr>
                                <w:t>the</w:t>
                              </w:r>
                              <w:r>
                                <w:rPr>
                                  <w:spacing w:val="-10"/>
                                  <w:sz w:val="28"/>
                                </w:rPr>
                                <w:t> </w:t>
                              </w:r>
                              <w:r>
                                <w:rPr>
                                  <w:sz w:val="28"/>
                                </w:rPr>
                                <w:t>Court</w:t>
                              </w:r>
                              <w:r>
                                <w:rPr>
                                  <w:spacing w:val="-11"/>
                                  <w:sz w:val="28"/>
                                </w:rPr>
                                <w:t> </w:t>
                              </w:r>
                              <w:r>
                                <w:rPr>
                                  <w:sz w:val="28"/>
                                </w:rPr>
                                <w:t>to</w:t>
                              </w:r>
                              <w:r>
                                <w:rPr>
                                  <w:spacing w:val="-10"/>
                                  <w:sz w:val="28"/>
                                </w:rPr>
                                <w:t> </w:t>
                              </w:r>
                              <w:r>
                                <w:rPr>
                                  <w:sz w:val="28"/>
                                </w:rPr>
                                <w:t>consider</w:t>
                              </w:r>
                              <w:r>
                                <w:rPr>
                                  <w:spacing w:val="-10"/>
                                  <w:sz w:val="28"/>
                                </w:rPr>
                                <w:t> </w:t>
                              </w:r>
                              <w:r>
                                <w:rPr>
                                  <w:sz w:val="28"/>
                                </w:rPr>
                                <w:t>the</w:t>
                              </w:r>
                              <w:r>
                                <w:rPr>
                                  <w:spacing w:val="-10"/>
                                  <w:sz w:val="28"/>
                                </w:rPr>
                                <w:t> </w:t>
                              </w:r>
                              <w:r>
                                <w:rPr>
                                  <w:sz w:val="28"/>
                                </w:rPr>
                                <w:t>purpose</w:t>
                              </w:r>
                              <w:r>
                                <w:rPr>
                                  <w:spacing w:val="-11"/>
                                  <w:sz w:val="28"/>
                                </w:rPr>
                                <w:t> </w:t>
                              </w:r>
                              <w:r>
                                <w:rPr>
                                  <w:sz w:val="28"/>
                                </w:rPr>
                                <w:t>and</w:t>
                              </w:r>
                              <w:r>
                                <w:rPr>
                                  <w:spacing w:val="-10"/>
                                  <w:sz w:val="28"/>
                                </w:rPr>
                                <w:t> </w:t>
                              </w:r>
                              <w:r>
                                <w:rPr>
                                  <w:sz w:val="28"/>
                                </w:rPr>
                                <w:t>context</w:t>
                              </w:r>
                              <w:r>
                                <w:rPr>
                                  <w:spacing w:val="-10"/>
                                  <w:sz w:val="28"/>
                                </w:rPr>
                                <w:t> </w:t>
                              </w:r>
                              <w:r>
                                <w:rPr>
                                  <w:sz w:val="28"/>
                                </w:rPr>
                                <w:t>of</w:t>
                              </w:r>
                              <w:r>
                                <w:rPr>
                                  <w:spacing w:val="-10"/>
                                  <w:sz w:val="28"/>
                                </w:rPr>
                                <w:t> </w:t>
                              </w:r>
                              <w:r>
                                <w:rPr>
                                  <w:sz w:val="28"/>
                                </w:rPr>
                                <w:t>the</w:t>
                              </w:r>
                              <w:r>
                                <w:rPr>
                                  <w:spacing w:val="-11"/>
                                  <w:sz w:val="28"/>
                                </w:rPr>
                                <w:t> </w:t>
                              </w:r>
                              <w:r>
                                <w:rPr>
                                  <w:sz w:val="28"/>
                                </w:rPr>
                                <w:t>measures</w:t>
                              </w:r>
                              <w:r>
                                <w:rPr>
                                  <w:spacing w:val="-10"/>
                                  <w:sz w:val="28"/>
                                </w:rPr>
                                <w:t> </w:t>
                              </w:r>
                              <w:r>
                                <w:rPr>
                                  <w:spacing w:val="-5"/>
                                  <w:sz w:val="28"/>
                                </w:rPr>
                                <w:t>and</w:t>
                              </w:r>
                            </w:p>
                          </w:txbxContent>
                        </wps:txbx>
                        <wps:bodyPr wrap="square" lIns="0" tIns="0" rIns="0" bIns="0" rtlCol="0">
                          <a:noAutofit/>
                        </wps:bodyPr>
                      </wps:wsp>
                    </wpg:wgp>
                  </a:graphicData>
                </a:graphic>
              </wp:anchor>
            </w:drawing>
          </mc:Choice>
          <mc:Fallback>
            <w:pict>
              <v:group style="position:absolute;margin-left:.0pt;margin-top:-.00002pt;width:595.3pt;height:99.05pt;mso-position-horizontal-relative:page;mso-position-vertical-relative:page;z-index:15908352" id="docshapegroup774" coordorigin="0,0" coordsize="11906,1981">
                <v:shape style="position:absolute;left:0;top:0;width:11906;height:1819" id="docshape775"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10;top:636;width:446;height:280" type="#_x0000_t202" id="docshape776" filled="false" stroked="false">
                  <v:textbox inset="0,0,0,0">
                    <w:txbxContent>
                      <w:p>
                        <w:pPr>
                          <w:spacing w:line="280" w:lineRule="exact" w:before="0"/>
                          <w:ind w:left="0" w:right="0" w:firstLine="0"/>
                          <w:jc w:val="left"/>
                          <w:rPr>
                            <w:b/>
                            <w:sz w:val="28"/>
                          </w:rPr>
                        </w:pPr>
                        <w:r>
                          <w:rPr>
                            <w:b/>
                            <w:color w:val="FFFFFF"/>
                            <w:spacing w:val="-5"/>
                            <w:sz w:val="28"/>
                          </w:rPr>
                          <w:t>114</w:t>
                        </w:r>
                      </w:p>
                    </w:txbxContent>
                  </v:textbox>
                  <w10:wrap type="none"/>
                </v:shape>
                <v:shape style="position:absolute;left:1303;top:645;width:6182;height:240" type="#_x0000_t202" id="docshape777"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9101;height:280" type="#_x0000_t202" id="docshape778" filled="false" stroked="false">
                  <v:textbox inset="0,0,0,0">
                    <w:txbxContent>
                      <w:p>
                        <w:pPr>
                          <w:spacing w:line="280" w:lineRule="exact" w:before="0"/>
                          <w:ind w:left="0" w:right="0" w:firstLine="0"/>
                          <w:jc w:val="left"/>
                          <w:rPr>
                            <w:sz w:val="28"/>
                          </w:rPr>
                        </w:pPr>
                        <w:r>
                          <w:rPr>
                            <w:sz w:val="28"/>
                          </w:rPr>
                          <w:t>This</w:t>
                        </w:r>
                        <w:r>
                          <w:rPr>
                            <w:spacing w:val="-11"/>
                            <w:sz w:val="28"/>
                          </w:rPr>
                          <w:t> </w:t>
                        </w:r>
                        <w:r>
                          <w:rPr>
                            <w:sz w:val="28"/>
                          </w:rPr>
                          <w:t>requires</w:t>
                        </w:r>
                        <w:r>
                          <w:rPr>
                            <w:spacing w:val="-10"/>
                            <w:sz w:val="28"/>
                          </w:rPr>
                          <w:t> </w:t>
                        </w:r>
                        <w:r>
                          <w:rPr>
                            <w:sz w:val="28"/>
                          </w:rPr>
                          <w:t>the</w:t>
                        </w:r>
                        <w:r>
                          <w:rPr>
                            <w:spacing w:val="-10"/>
                            <w:sz w:val="28"/>
                          </w:rPr>
                          <w:t> </w:t>
                        </w:r>
                        <w:r>
                          <w:rPr>
                            <w:sz w:val="28"/>
                          </w:rPr>
                          <w:t>Court</w:t>
                        </w:r>
                        <w:r>
                          <w:rPr>
                            <w:spacing w:val="-11"/>
                            <w:sz w:val="28"/>
                          </w:rPr>
                          <w:t> </w:t>
                        </w:r>
                        <w:r>
                          <w:rPr>
                            <w:sz w:val="28"/>
                          </w:rPr>
                          <w:t>to</w:t>
                        </w:r>
                        <w:r>
                          <w:rPr>
                            <w:spacing w:val="-10"/>
                            <w:sz w:val="28"/>
                          </w:rPr>
                          <w:t> </w:t>
                        </w:r>
                        <w:r>
                          <w:rPr>
                            <w:sz w:val="28"/>
                          </w:rPr>
                          <w:t>consider</w:t>
                        </w:r>
                        <w:r>
                          <w:rPr>
                            <w:spacing w:val="-10"/>
                            <w:sz w:val="28"/>
                          </w:rPr>
                          <w:t> </w:t>
                        </w:r>
                        <w:r>
                          <w:rPr>
                            <w:sz w:val="28"/>
                          </w:rPr>
                          <w:t>the</w:t>
                        </w:r>
                        <w:r>
                          <w:rPr>
                            <w:spacing w:val="-10"/>
                            <w:sz w:val="28"/>
                          </w:rPr>
                          <w:t> </w:t>
                        </w:r>
                        <w:r>
                          <w:rPr>
                            <w:sz w:val="28"/>
                          </w:rPr>
                          <w:t>purpose</w:t>
                        </w:r>
                        <w:r>
                          <w:rPr>
                            <w:spacing w:val="-11"/>
                            <w:sz w:val="28"/>
                          </w:rPr>
                          <w:t> </w:t>
                        </w:r>
                        <w:r>
                          <w:rPr>
                            <w:sz w:val="28"/>
                          </w:rPr>
                          <w:t>and</w:t>
                        </w:r>
                        <w:r>
                          <w:rPr>
                            <w:spacing w:val="-10"/>
                            <w:sz w:val="28"/>
                          </w:rPr>
                          <w:t> </w:t>
                        </w:r>
                        <w:r>
                          <w:rPr>
                            <w:sz w:val="28"/>
                          </w:rPr>
                          <w:t>context</w:t>
                        </w:r>
                        <w:r>
                          <w:rPr>
                            <w:spacing w:val="-10"/>
                            <w:sz w:val="28"/>
                          </w:rPr>
                          <w:t> </w:t>
                        </w:r>
                        <w:r>
                          <w:rPr>
                            <w:sz w:val="28"/>
                          </w:rPr>
                          <w:t>of</w:t>
                        </w:r>
                        <w:r>
                          <w:rPr>
                            <w:spacing w:val="-10"/>
                            <w:sz w:val="28"/>
                          </w:rPr>
                          <w:t> </w:t>
                        </w:r>
                        <w:r>
                          <w:rPr>
                            <w:sz w:val="28"/>
                          </w:rPr>
                          <w:t>the</w:t>
                        </w:r>
                        <w:r>
                          <w:rPr>
                            <w:spacing w:val="-11"/>
                            <w:sz w:val="28"/>
                          </w:rPr>
                          <w:t> </w:t>
                        </w:r>
                        <w:r>
                          <w:rPr>
                            <w:sz w:val="28"/>
                          </w:rPr>
                          <w:t>measures</w:t>
                        </w:r>
                        <w:r>
                          <w:rPr>
                            <w:spacing w:val="-10"/>
                            <w:sz w:val="28"/>
                          </w:rPr>
                          <w:t> </w:t>
                        </w:r>
                        <w:r>
                          <w:rPr>
                            <w:spacing w:val="-5"/>
                            <w:sz w:val="28"/>
                          </w:rPr>
                          <w:t>and</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720" w:right="1404"/>
      </w:pPr>
      <w:bookmarkStart w:name="5.4.4 The Illegal Migration Act case" w:id="177"/>
      <w:bookmarkEnd w:id="177"/>
      <w:r>
        <w:rPr/>
      </w:r>
      <w:bookmarkStart w:name="_bookmark75" w:id="178"/>
      <w:bookmarkEnd w:id="178"/>
      <w:r>
        <w:rPr/>
      </w:r>
      <w:r>
        <w:rPr/>
        <w:t>entitles</w:t>
      </w:r>
      <w:r>
        <w:rPr>
          <w:spacing w:val="-13"/>
        </w:rPr>
        <w:t> </w:t>
      </w:r>
      <w:r>
        <w:rPr/>
        <w:t>it</w:t>
      </w:r>
      <w:r>
        <w:rPr>
          <w:spacing w:val="-13"/>
        </w:rPr>
        <w:t> </w:t>
      </w:r>
      <w:r>
        <w:rPr/>
        <w:t>to</w:t>
      </w:r>
      <w:r>
        <w:rPr>
          <w:spacing w:val="-13"/>
        </w:rPr>
        <w:t> </w:t>
      </w:r>
      <w:r>
        <w:rPr/>
        <w:t>look</w:t>
      </w:r>
      <w:r>
        <w:rPr>
          <w:spacing w:val="-13"/>
        </w:rPr>
        <w:t> </w:t>
      </w:r>
      <w:r>
        <w:rPr/>
        <w:t>at</w:t>
      </w:r>
      <w:r>
        <w:rPr>
          <w:spacing w:val="-13"/>
        </w:rPr>
        <w:t> </w:t>
      </w:r>
      <w:r>
        <w:rPr/>
        <w:t>relevant</w:t>
      </w:r>
      <w:r>
        <w:rPr>
          <w:spacing w:val="-13"/>
        </w:rPr>
        <w:t> </w:t>
      </w:r>
      <w:r>
        <w:rPr/>
        <w:t>supplementary</w:t>
      </w:r>
      <w:r>
        <w:rPr>
          <w:spacing w:val="-13"/>
        </w:rPr>
        <w:t> </w:t>
      </w:r>
      <w:r>
        <w:rPr/>
        <w:t>material.</w:t>
      </w:r>
      <w:r>
        <w:rPr>
          <w:spacing w:val="-13"/>
        </w:rPr>
        <w:t> </w:t>
      </w:r>
      <w:r>
        <w:rPr/>
        <w:t>The</w:t>
      </w:r>
      <w:r>
        <w:rPr>
          <w:spacing w:val="-13"/>
        </w:rPr>
        <w:t> </w:t>
      </w:r>
      <w:r>
        <w:rPr/>
        <w:t>case</w:t>
      </w:r>
      <w:r>
        <w:rPr>
          <w:spacing w:val="-13"/>
        </w:rPr>
        <w:t> </w:t>
      </w:r>
      <w:r>
        <w:rPr/>
        <w:t>is</w:t>
      </w:r>
      <w:r>
        <w:rPr>
          <w:spacing w:val="-13"/>
        </w:rPr>
        <w:t> </w:t>
      </w:r>
      <w:r>
        <w:rPr/>
        <w:t>under</w:t>
      </w:r>
      <w:r>
        <w:rPr>
          <w:spacing w:val="-13"/>
        </w:rPr>
        <w:t> </w:t>
      </w:r>
      <w:r>
        <w:rPr/>
        <w:t>appeal</w:t>
      </w:r>
      <w:r>
        <w:rPr>
          <w:spacing w:val="-13"/>
        </w:rPr>
        <w:t> </w:t>
      </w:r>
      <w:r>
        <w:rPr/>
        <w:t>to the Court of Appeal and a decision is awaited.</w:t>
      </w:r>
    </w:p>
    <w:p>
      <w:pPr>
        <w:pStyle w:val="BodyText"/>
        <w:spacing w:before="54"/>
      </w:pPr>
    </w:p>
    <w:p>
      <w:pPr>
        <w:pStyle w:val="Heading3"/>
        <w:numPr>
          <w:ilvl w:val="2"/>
          <w:numId w:val="49"/>
        </w:numPr>
        <w:tabs>
          <w:tab w:pos="1358" w:val="left" w:leader="none"/>
        </w:tabs>
        <w:spacing w:line="336" w:lineRule="exact" w:before="0" w:after="0"/>
        <w:ind w:left="1358" w:right="0" w:hanging="638"/>
        <w:jc w:val="left"/>
      </w:pPr>
      <w:r>
        <w:rPr>
          <w:color w:val="004A93"/>
        </w:rPr>
        <w:t>The</w:t>
      </w:r>
      <w:r>
        <w:rPr>
          <w:color w:val="004A93"/>
          <w:spacing w:val="-9"/>
        </w:rPr>
        <w:t> </w:t>
      </w:r>
      <w:r>
        <w:rPr>
          <w:color w:val="004A93"/>
        </w:rPr>
        <w:t>Illegal</w:t>
      </w:r>
      <w:r>
        <w:rPr>
          <w:color w:val="004A93"/>
          <w:spacing w:val="-7"/>
        </w:rPr>
        <w:t> </w:t>
      </w:r>
      <w:r>
        <w:rPr>
          <w:color w:val="004A93"/>
        </w:rPr>
        <w:t>Migration</w:t>
      </w:r>
      <w:r>
        <w:rPr>
          <w:color w:val="004A93"/>
          <w:spacing w:val="-7"/>
        </w:rPr>
        <w:t> </w:t>
      </w:r>
      <w:r>
        <w:rPr>
          <w:color w:val="004A93"/>
        </w:rPr>
        <w:t>Act</w:t>
      </w:r>
      <w:r>
        <w:rPr>
          <w:color w:val="004A93"/>
          <w:spacing w:val="-7"/>
        </w:rPr>
        <w:t> </w:t>
      </w:r>
      <w:r>
        <w:rPr>
          <w:color w:val="004A93"/>
          <w:spacing w:val="-4"/>
        </w:rPr>
        <w:t>case</w:t>
      </w:r>
    </w:p>
    <w:p>
      <w:pPr>
        <w:pStyle w:val="BodyText"/>
        <w:spacing w:line="232" w:lineRule="auto" w:before="2"/>
        <w:ind w:left="720" w:right="1203"/>
      </w:pPr>
      <w:r>
        <w:rPr/>
        <w:t>The</w:t>
      </w:r>
      <w:r>
        <w:rPr>
          <w:spacing w:val="-4"/>
        </w:rPr>
        <w:t> </w:t>
      </w:r>
      <w:r>
        <w:rPr/>
        <w:t>High</w:t>
      </w:r>
      <w:r>
        <w:rPr>
          <w:spacing w:val="-5"/>
        </w:rPr>
        <w:t> </w:t>
      </w:r>
      <w:r>
        <w:rPr/>
        <w:t>Court</w:t>
      </w:r>
      <w:r>
        <w:rPr>
          <w:spacing w:val="-4"/>
        </w:rPr>
        <w:t> </w:t>
      </w:r>
      <w:r>
        <w:rPr/>
        <w:t>decided</w:t>
      </w:r>
      <w:r>
        <w:rPr>
          <w:spacing w:val="-5"/>
        </w:rPr>
        <w:t> </w:t>
      </w:r>
      <w:r>
        <w:rPr/>
        <w:t>a</w:t>
      </w:r>
      <w:r>
        <w:rPr>
          <w:spacing w:val="-5"/>
        </w:rPr>
        <w:t> </w:t>
      </w:r>
      <w:r>
        <w:rPr/>
        <w:t>judicial</w:t>
      </w:r>
      <w:r>
        <w:rPr>
          <w:spacing w:val="-5"/>
        </w:rPr>
        <w:t> </w:t>
      </w:r>
      <w:r>
        <w:rPr/>
        <w:t>review</w:t>
      </w:r>
      <w:r>
        <w:rPr>
          <w:spacing w:val="-4"/>
        </w:rPr>
        <w:t> </w:t>
      </w:r>
      <w:r>
        <w:rPr/>
        <w:t>brought</w:t>
      </w:r>
      <w:r>
        <w:rPr>
          <w:spacing w:val="-4"/>
        </w:rPr>
        <w:t> </w:t>
      </w:r>
      <w:r>
        <w:rPr/>
        <w:t>by</w:t>
      </w:r>
      <w:r>
        <w:rPr>
          <w:spacing w:val="-4"/>
        </w:rPr>
        <w:t> </w:t>
      </w:r>
      <w:r>
        <w:rPr/>
        <w:t>two</w:t>
      </w:r>
      <w:r>
        <w:rPr>
          <w:spacing w:val="-5"/>
        </w:rPr>
        <w:t> </w:t>
      </w:r>
      <w:r>
        <w:rPr/>
        <w:t>applicants,</w:t>
      </w:r>
      <w:r>
        <w:rPr>
          <w:spacing w:val="-4"/>
        </w:rPr>
        <w:t> </w:t>
      </w:r>
      <w:r>
        <w:rPr/>
        <w:t>the</w:t>
      </w:r>
      <w:r>
        <w:rPr>
          <w:spacing w:val="-4"/>
        </w:rPr>
        <w:t> </w:t>
      </w:r>
      <w:r>
        <w:rPr/>
        <w:t>NIHRC</w:t>
      </w:r>
      <w:r>
        <w:rPr>
          <w:spacing w:val="-5"/>
        </w:rPr>
        <w:t> </w:t>
      </w:r>
      <w:r>
        <w:rPr/>
        <w:t>and a 16-year-old asylum seeker on 13 May 2024, concerning the Illegal Migration Act 2023.</w:t>
      </w:r>
      <w:r>
        <w:rPr>
          <w:vertAlign w:val="superscript"/>
        </w:rPr>
        <w:t>600</w:t>
      </w:r>
      <w:r>
        <w:rPr>
          <w:spacing w:val="-5"/>
          <w:vertAlign w:val="baseline"/>
        </w:rPr>
        <w:t> </w:t>
      </w:r>
      <w:r>
        <w:rPr>
          <w:vertAlign w:val="baseline"/>
        </w:rPr>
        <w:t>The</w:t>
      </w:r>
      <w:r>
        <w:rPr>
          <w:spacing w:val="-4"/>
          <w:vertAlign w:val="baseline"/>
        </w:rPr>
        <w:t> </w:t>
      </w:r>
      <w:r>
        <w:rPr>
          <w:vertAlign w:val="baseline"/>
        </w:rPr>
        <w:t>Court</w:t>
      </w:r>
      <w:r>
        <w:rPr>
          <w:spacing w:val="-4"/>
          <w:vertAlign w:val="baseline"/>
        </w:rPr>
        <w:t> </w:t>
      </w:r>
      <w:r>
        <w:rPr>
          <w:vertAlign w:val="baseline"/>
        </w:rPr>
        <w:t>ruled</w:t>
      </w:r>
      <w:r>
        <w:rPr>
          <w:spacing w:val="-5"/>
          <w:vertAlign w:val="baseline"/>
        </w:rPr>
        <w:t> </w:t>
      </w:r>
      <w:r>
        <w:rPr>
          <w:vertAlign w:val="baseline"/>
        </w:rPr>
        <w:t>that</w:t>
      </w:r>
      <w:r>
        <w:rPr>
          <w:spacing w:val="-4"/>
          <w:vertAlign w:val="baseline"/>
        </w:rPr>
        <w:t> </w:t>
      </w:r>
      <w:r>
        <w:rPr>
          <w:vertAlign w:val="baseline"/>
        </w:rPr>
        <w:t>significant</w:t>
      </w:r>
      <w:r>
        <w:rPr>
          <w:spacing w:val="-4"/>
          <w:vertAlign w:val="baseline"/>
        </w:rPr>
        <w:t> </w:t>
      </w:r>
      <w:r>
        <w:rPr>
          <w:vertAlign w:val="baseline"/>
        </w:rPr>
        <w:t>sections</w:t>
      </w:r>
      <w:r>
        <w:rPr>
          <w:spacing w:val="-5"/>
          <w:vertAlign w:val="baseline"/>
        </w:rPr>
        <w:t> </w:t>
      </w:r>
      <w:r>
        <w:rPr>
          <w:vertAlign w:val="baseline"/>
        </w:rPr>
        <w:t>of</w:t>
      </w:r>
      <w:r>
        <w:rPr>
          <w:spacing w:val="-5"/>
          <w:vertAlign w:val="baseline"/>
        </w:rPr>
        <w:t> </w:t>
      </w:r>
      <w:r>
        <w:rPr>
          <w:vertAlign w:val="baseline"/>
        </w:rPr>
        <w:t>the</w:t>
      </w:r>
      <w:r>
        <w:rPr>
          <w:spacing w:val="-4"/>
          <w:vertAlign w:val="baseline"/>
        </w:rPr>
        <w:t> </w:t>
      </w:r>
      <w:r>
        <w:rPr>
          <w:vertAlign w:val="baseline"/>
        </w:rPr>
        <w:t>Act</w:t>
      </w:r>
      <w:r>
        <w:rPr>
          <w:spacing w:val="-4"/>
          <w:vertAlign w:val="baseline"/>
        </w:rPr>
        <w:t> </w:t>
      </w:r>
      <w:r>
        <w:rPr>
          <w:vertAlign w:val="baseline"/>
        </w:rPr>
        <w:t>should</w:t>
      </w:r>
      <w:r>
        <w:rPr>
          <w:spacing w:val="-5"/>
          <w:vertAlign w:val="baseline"/>
        </w:rPr>
        <w:t> </w:t>
      </w:r>
      <w:r>
        <w:rPr>
          <w:vertAlign w:val="baseline"/>
        </w:rPr>
        <w:t>be</w:t>
      </w:r>
      <w:r>
        <w:rPr>
          <w:spacing w:val="-4"/>
          <w:vertAlign w:val="baseline"/>
        </w:rPr>
        <w:t> </w:t>
      </w:r>
      <w:r>
        <w:rPr>
          <w:vertAlign w:val="baseline"/>
        </w:rPr>
        <w:t>disapplied</w:t>
      </w:r>
      <w:r>
        <w:rPr>
          <w:spacing w:val="-5"/>
          <w:vertAlign w:val="baseline"/>
        </w:rPr>
        <w:t> </w:t>
      </w:r>
      <w:r>
        <w:rPr>
          <w:vertAlign w:val="baseline"/>
        </w:rPr>
        <w:t>as they breached Article 2 WF.</w:t>
      </w:r>
    </w:p>
    <w:p>
      <w:pPr>
        <w:pStyle w:val="BodyText"/>
        <w:spacing w:line="232" w:lineRule="auto" w:before="277"/>
        <w:ind w:left="720" w:right="1250"/>
      </w:pPr>
      <w:r>
        <w:rPr/>
        <w:t>The High Court noted that Article 2 WF and Annex 1 were part of the Withdrawal Agreement and so the obligations in Article 4(1) and 4(2) of the Withdrawal Agreement applied.</w:t>
      </w:r>
      <w:r>
        <w:rPr>
          <w:vertAlign w:val="superscript"/>
        </w:rPr>
        <w:t>601</w:t>
      </w:r>
      <w:r>
        <w:rPr>
          <w:vertAlign w:val="baseline"/>
        </w:rPr>
        <w:t> The High Court also explained how Colton J in the </w:t>
      </w:r>
      <w:r>
        <w:rPr>
          <w:i/>
          <w:vertAlign w:val="baseline"/>
        </w:rPr>
        <w:t>Legacy</w:t>
      </w:r>
      <w:r>
        <w:rPr>
          <w:i/>
          <w:vertAlign w:val="baseline"/>
        </w:rPr>
        <w:t> Act</w:t>
      </w:r>
      <w:r>
        <w:rPr>
          <w:i/>
          <w:spacing w:val="-3"/>
          <w:vertAlign w:val="baseline"/>
        </w:rPr>
        <w:t> </w:t>
      </w:r>
      <w:r>
        <w:rPr>
          <w:i/>
          <w:vertAlign w:val="baseline"/>
        </w:rPr>
        <w:t>cases</w:t>
      </w:r>
      <w:r>
        <w:rPr>
          <w:i/>
          <w:spacing w:val="-4"/>
          <w:vertAlign w:val="baseline"/>
        </w:rPr>
        <w:t> </w:t>
      </w:r>
      <w:r>
        <w:rPr>
          <w:i/>
          <w:vertAlign w:val="baseline"/>
        </w:rPr>
        <w:t>(Dillon</w:t>
      </w:r>
      <w:r>
        <w:rPr>
          <w:i/>
          <w:spacing w:val="-4"/>
          <w:vertAlign w:val="baseline"/>
        </w:rPr>
        <w:t> </w:t>
      </w:r>
      <w:r>
        <w:rPr>
          <w:i/>
          <w:vertAlign w:val="baseline"/>
        </w:rPr>
        <w:t>and</w:t>
      </w:r>
      <w:r>
        <w:rPr>
          <w:i/>
          <w:spacing w:val="-4"/>
          <w:vertAlign w:val="baseline"/>
        </w:rPr>
        <w:t> </w:t>
      </w:r>
      <w:r>
        <w:rPr>
          <w:i/>
          <w:vertAlign w:val="baseline"/>
        </w:rPr>
        <w:t>others)</w:t>
      </w:r>
      <w:r>
        <w:rPr>
          <w:i/>
          <w:spacing w:val="-2"/>
          <w:vertAlign w:val="baseline"/>
        </w:rPr>
        <w:t> </w:t>
      </w:r>
      <w:r>
        <w:rPr>
          <w:vertAlign w:val="baseline"/>
        </w:rPr>
        <w:t>clarified</w:t>
      </w:r>
      <w:r>
        <w:rPr>
          <w:spacing w:val="-4"/>
          <w:vertAlign w:val="baseline"/>
        </w:rPr>
        <w:t> </w:t>
      </w:r>
      <w:r>
        <w:rPr>
          <w:vertAlign w:val="baseline"/>
        </w:rPr>
        <w:t>earlier</w:t>
      </w:r>
      <w:r>
        <w:rPr>
          <w:spacing w:val="-3"/>
          <w:vertAlign w:val="baseline"/>
        </w:rPr>
        <w:t> </w:t>
      </w:r>
      <w:r>
        <w:rPr>
          <w:vertAlign w:val="baseline"/>
        </w:rPr>
        <w:t>language</w:t>
      </w:r>
      <w:r>
        <w:rPr>
          <w:spacing w:val="-3"/>
          <w:vertAlign w:val="baseline"/>
        </w:rPr>
        <w:t> </w:t>
      </w:r>
      <w:r>
        <w:rPr>
          <w:vertAlign w:val="baseline"/>
        </w:rPr>
        <w:t>in</w:t>
      </w:r>
      <w:r>
        <w:rPr>
          <w:spacing w:val="-4"/>
          <w:vertAlign w:val="baseline"/>
        </w:rPr>
        <w:t> </w:t>
      </w:r>
      <w:r>
        <w:rPr>
          <w:i/>
          <w:vertAlign w:val="baseline"/>
        </w:rPr>
        <w:t>Angesom</w:t>
      </w:r>
      <w:r>
        <w:rPr>
          <w:i/>
          <w:spacing w:val="-3"/>
          <w:vertAlign w:val="baseline"/>
        </w:rPr>
        <w:t> </w:t>
      </w:r>
      <w:r>
        <w:rPr>
          <w:vertAlign w:val="baseline"/>
        </w:rPr>
        <w:t>and</w:t>
      </w:r>
      <w:r>
        <w:rPr>
          <w:spacing w:val="-4"/>
          <w:vertAlign w:val="baseline"/>
        </w:rPr>
        <w:t> </w:t>
      </w:r>
      <w:r>
        <w:rPr>
          <w:vertAlign w:val="baseline"/>
        </w:rPr>
        <w:t>made</w:t>
      </w:r>
      <w:r>
        <w:rPr>
          <w:spacing w:val="-3"/>
          <w:vertAlign w:val="baseline"/>
        </w:rPr>
        <w:t> </w:t>
      </w:r>
      <w:r>
        <w:rPr>
          <w:vertAlign w:val="baseline"/>
        </w:rPr>
        <w:t>clear that directives could have direct effect if they had been correctly transposed but were not being applied so as to achieve the required results.</w:t>
      </w:r>
      <w:r>
        <w:rPr>
          <w:vertAlign w:val="superscript"/>
        </w:rPr>
        <w:t>602</w:t>
      </w:r>
    </w:p>
    <w:p>
      <w:pPr>
        <w:pStyle w:val="BodyText"/>
        <w:spacing w:line="232" w:lineRule="auto" w:before="275"/>
        <w:ind w:left="720" w:right="1087"/>
      </w:pPr>
      <w:r>
        <w:rPr/>
        <w:t>The High Court in the Illegal Migration Act case reiterated the duty to implement and apply the non-diminution principle in line with the case law of the Court of Justice</w:t>
      </w:r>
      <w:r>
        <w:rPr>
          <w:spacing w:val="-7"/>
        </w:rPr>
        <w:t> </w:t>
      </w:r>
      <w:r>
        <w:rPr/>
        <w:t>of</w:t>
      </w:r>
      <w:r>
        <w:rPr>
          <w:spacing w:val="-8"/>
        </w:rPr>
        <w:t> </w:t>
      </w:r>
      <w:r>
        <w:rPr/>
        <w:t>the</w:t>
      </w:r>
      <w:r>
        <w:rPr>
          <w:spacing w:val="-7"/>
        </w:rPr>
        <w:t> </w:t>
      </w:r>
      <w:r>
        <w:rPr/>
        <w:t>European</w:t>
      </w:r>
      <w:r>
        <w:rPr>
          <w:spacing w:val="-8"/>
        </w:rPr>
        <w:t> </w:t>
      </w:r>
      <w:r>
        <w:rPr/>
        <w:t>Union.</w:t>
      </w:r>
      <w:r>
        <w:rPr>
          <w:vertAlign w:val="superscript"/>
        </w:rPr>
        <w:t>603</w:t>
      </w:r>
      <w:r>
        <w:rPr>
          <w:spacing w:val="-8"/>
          <w:vertAlign w:val="baseline"/>
        </w:rPr>
        <w:t> </w:t>
      </w:r>
      <w:r>
        <w:rPr>
          <w:vertAlign w:val="baseline"/>
        </w:rPr>
        <w:t>It</w:t>
      </w:r>
      <w:r>
        <w:rPr>
          <w:spacing w:val="-7"/>
          <w:vertAlign w:val="baseline"/>
        </w:rPr>
        <w:t> </w:t>
      </w:r>
      <w:r>
        <w:rPr>
          <w:vertAlign w:val="baseline"/>
        </w:rPr>
        <w:t>reaffirmed</w:t>
      </w:r>
      <w:r>
        <w:rPr>
          <w:spacing w:val="-8"/>
          <w:vertAlign w:val="baseline"/>
        </w:rPr>
        <w:t> </w:t>
      </w:r>
      <w:r>
        <w:rPr>
          <w:vertAlign w:val="baseline"/>
        </w:rPr>
        <w:t>the</w:t>
      </w:r>
      <w:r>
        <w:rPr>
          <w:spacing w:val="-7"/>
          <w:vertAlign w:val="baseline"/>
        </w:rPr>
        <w:t> </w:t>
      </w:r>
      <w:r>
        <w:rPr>
          <w:vertAlign w:val="baseline"/>
        </w:rPr>
        <w:t>view</w:t>
      </w:r>
      <w:r>
        <w:rPr>
          <w:spacing w:val="-7"/>
          <w:vertAlign w:val="baseline"/>
        </w:rPr>
        <w:t> </w:t>
      </w:r>
      <w:r>
        <w:rPr>
          <w:vertAlign w:val="baseline"/>
        </w:rPr>
        <w:t>in</w:t>
      </w:r>
      <w:r>
        <w:rPr>
          <w:spacing w:val="-7"/>
          <w:vertAlign w:val="baseline"/>
        </w:rPr>
        <w:t> </w:t>
      </w:r>
      <w:r>
        <w:rPr>
          <w:i/>
          <w:vertAlign w:val="baseline"/>
        </w:rPr>
        <w:t>Angesom</w:t>
      </w:r>
      <w:r>
        <w:rPr>
          <w:i/>
          <w:spacing w:val="-7"/>
          <w:vertAlign w:val="baseline"/>
        </w:rPr>
        <w:t> </w:t>
      </w:r>
      <w:r>
        <w:rPr>
          <w:vertAlign w:val="baseline"/>
        </w:rPr>
        <w:t>that</w:t>
      </w:r>
      <w:r>
        <w:rPr>
          <w:spacing w:val="-7"/>
          <w:vertAlign w:val="baseline"/>
        </w:rPr>
        <w:t> </w:t>
      </w:r>
      <w:r>
        <w:rPr>
          <w:vertAlign w:val="baseline"/>
        </w:rPr>
        <w:t>there</w:t>
      </w:r>
      <w:r>
        <w:rPr>
          <w:spacing w:val="-7"/>
          <w:vertAlign w:val="baseline"/>
        </w:rPr>
        <w:t> </w:t>
      </w:r>
      <w:r>
        <w:rPr>
          <w:vertAlign w:val="baseline"/>
        </w:rPr>
        <w:t>was no reason to exclude asylum seekers ‘from the wide compass of “everyone in the community”’.</w:t>
      </w:r>
      <w:r>
        <w:rPr>
          <w:vertAlign w:val="superscript"/>
        </w:rPr>
        <w:t>604</w:t>
      </w:r>
      <w:r>
        <w:rPr>
          <w:vertAlign w:val="baseline"/>
        </w:rPr>
        <w:t> The High Court proceeded to state and apply the six element test adopted by the Court of Appeal in the SPUC case.</w:t>
      </w:r>
      <w:r>
        <w:rPr>
          <w:vertAlign w:val="superscript"/>
        </w:rPr>
        <w:t>605</w:t>
      </w:r>
    </w:p>
    <w:p>
      <w:pPr>
        <w:pStyle w:val="BodyText"/>
        <w:spacing w:line="232" w:lineRule="auto" w:before="274"/>
        <w:ind w:left="720" w:right="1250"/>
      </w:pPr>
      <w:r>
        <w:rPr/>
        <w:t>The High Court made the following findings. Section 5(2) of the Act diminished rights</w:t>
      </w:r>
      <w:r>
        <w:rPr>
          <w:spacing w:val="-8"/>
        </w:rPr>
        <w:t> </w:t>
      </w:r>
      <w:r>
        <w:rPr/>
        <w:t>under</w:t>
      </w:r>
      <w:r>
        <w:rPr>
          <w:spacing w:val="-7"/>
        </w:rPr>
        <w:t> </w:t>
      </w:r>
      <w:r>
        <w:rPr/>
        <w:t>the</w:t>
      </w:r>
      <w:r>
        <w:rPr>
          <w:spacing w:val="-7"/>
        </w:rPr>
        <w:t> </w:t>
      </w:r>
      <w:r>
        <w:rPr/>
        <w:t>Procedures</w:t>
      </w:r>
      <w:r>
        <w:rPr>
          <w:spacing w:val="-8"/>
        </w:rPr>
        <w:t> </w:t>
      </w:r>
      <w:r>
        <w:rPr/>
        <w:t>Directive</w:t>
      </w:r>
      <w:r>
        <w:rPr>
          <w:spacing w:val="-7"/>
        </w:rPr>
        <w:t> </w:t>
      </w:r>
      <w:r>
        <w:rPr/>
        <w:t>and</w:t>
      </w:r>
      <w:r>
        <w:rPr>
          <w:spacing w:val="-8"/>
        </w:rPr>
        <w:t> </w:t>
      </w:r>
      <w:r>
        <w:rPr/>
        <w:t>the</w:t>
      </w:r>
      <w:r>
        <w:rPr>
          <w:spacing w:val="-7"/>
        </w:rPr>
        <w:t> </w:t>
      </w:r>
      <w:r>
        <w:rPr/>
        <w:t>Qualification</w:t>
      </w:r>
      <w:r>
        <w:rPr>
          <w:spacing w:val="-8"/>
        </w:rPr>
        <w:t> </w:t>
      </w:r>
      <w:r>
        <w:rPr/>
        <w:t>Directive</w:t>
      </w:r>
      <w:r>
        <w:rPr>
          <w:spacing w:val="-7"/>
        </w:rPr>
        <w:t> </w:t>
      </w:r>
      <w:r>
        <w:rPr/>
        <w:t>in</w:t>
      </w:r>
      <w:r>
        <w:rPr>
          <w:spacing w:val="-8"/>
        </w:rPr>
        <w:t> </w:t>
      </w:r>
      <w:r>
        <w:rPr/>
        <w:t>precluding the ‘appropriate examination’ of an asylum claim and denying refugee protection or subsidiary protection to someone entitled to it.</w:t>
      </w:r>
      <w:r>
        <w:rPr>
          <w:vertAlign w:val="superscript"/>
        </w:rPr>
        <w:t>606</w:t>
      </w:r>
      <w:r>
        <w:rPr>
          <w:vertAlign w:val="baseline"/>
        </w:rPr>
        <w:t> The effect of sections 5(2), 5(4) and 54 was to diminish the right to an effective remedy in the Procedure Directive as they provided for no appeal against a declaration that a protection claim or human rights claim was inadmissible.</w:t>
      </w:r>
      <w:r>
        <w:rPr>
          <w:vertAlign w:val="superscript"/>
        </w:rPr>
        <w:t>607</w:t>
      </w:r>
      <w:r>
        <w:rPr>
          <w:vertAlign w:val="baseline"/>
        </w:rPr>
        <w:t> Sections 2,5 and 6 of the Act</w:t>
      </w:r>
    </w:p>
    <w:p>
      <w:pPr>
        <w:pStyle w:val="BodyText"/>
        <w:spacing w:line="232" w:lineRule="auto"/>
        <w:ind w:left="720" w:right="1493"/>
      </w:pPr>
      <w:r>
        <w:rPr/>
        <w:t>led to a diminution of rights in the Procedures Directive as the Act permitted persons to be removed without having their claims individually determined and a</w:t>
      </w:r>
      <w:r>
        <w:rPr>
          <w:spacing w:val="-9"/>
        </w:rPr>
        <w:t> </w:t>
      </w:r>
      <w:r>
        <w:rPr/>
        <w:t>number</w:t>
      </w:r>
      <w:r>
        <w:rPr>
          <w:spacing w:val="-9"/>
        </w:rPr>
        <w:t> </w:t>
      </w:r>
      <w:r>
        <w:rPr/>
        <w:t>of</w:t>
      </w:r>
      <w:r>
        <w:rPr>
          <w:spacing w:val="-9"/>
        </w:rPr>
        <w:t> </w:t>
      </w:r>
      <w:r>
        <w:rPr/>
        <w:t>the</w:t>
      </w:r>
      <w:r>
        <w:rPr>
          <w:spacing w:val="-9"/>
        </w:rPr>
        <w:t> </w:t>
      </w:r>
      <w:r>
        <w:rPr/>
        <w:t>countries</w:t>
      </w:r>
      <w:r>
        <w:rPr>
          <w:spacing w:val="-9"/>
        </w:rPr>
        <w:t> </w:t>
      </w:r>
      <w:r>
        <w:rPr/>
        <w:t>listed</w:t>
      </w:r>
      <w:r>
        <w:rPr>
          <w:spacing w:val="-9"/>
        </w:rPr>
        <w:t> </w:t>
      </w:r>
      <w:r>
        <w:rPr/>
        <w:t>as</w:t>
      </w:r>
      <w:r>
        <w:rPr>
          <w:spacing w:val="-9"/>
        </w:rPr>
        <w:t> </w:t>
      </w:r>
      <w:r>
        <w:rPr/>
        <w:t>safe</w:t>
      </w:r>
      <w:r>
        <w:rPr>
          <w:spacing w:val="-9"/>
        </w:rPr>
        <w:t> </w:t>
      </w:r>
      <w:r>
        <w:rPr/>
        <w:t>do</w:t>
      </w:r>
      <w:r>
        <w:rPr>
          <w:spacing w:val="-9"/>
        </w:rPr>
        <w:t> </w:t>
      </w:r>
      <w:r>
        <w:rPr/>
        <w:t>not</w:t>
      </w:r>
      <w:r>
        <w:rPr>
          <w:spacing w:val="-9"/>
        </w:rPr>
        <w:t> </w:t>
      </w:r>
      <w:r>
        <w:rPr/>
        <w:t>meet</w:t>
      </w:r>
      <w:r>
        <w:rPr>
          <w:spacing w:val="-9"/>
        </w:rPr>
        <w:t> </w:t>
      </w:r>
      <w:r>
        <w:rPr/>
        <w:t>the</w:t>
      </w:r>
      <w:r>
        <w:rPr>
          <w:spacing w:val="-9"/>
        </w:rPr>
        <w:t> </w:t>
      </w:r>
      <w:r>
        <w:rPr/>
        <w:t>Directive’s</w:t>
      </w:r>
      <w:r>
        <w:rPr>
          <w:spacing w:val="-9"/>
        </w:rPr>
        <w:t> </w:t>
      </w:r>
      <w:r>
        <w:rPr/>
        <w:t>definition.</w:t>
      </w:r>
      <w:r>
        <w:rPr>
          <w:vertAlign w:val="superscript"/>
        </w:rPr>
        <w:t>608</w:t>
      </w:r>
    </w:p>
    <w:p>
      <w:pPr>
        <w:pStyle w:val="BodyText"/>
        <w:rPr>
          <w:sz w:val="20"/>
        </w:rPr>
      </w:pPr>
    </w:p>
    <w:p>
      <w:pPr>
        <w:pStyle w:val="BodyText"/>
        <w:spacing w:before="60"/>
        <w:rPr>
          <w:sz w:val="20"/>
        </w:rPr>
      </w:pPr>
      <w:r>
        <w:rPr/>
        <mc:AlternateContent>
          <mc:Choice Requires="wps">
            <w:drawing>
              <wp:anchor distT="0" distB="0" distL="0" distR="0" allowOverlap="1" layoutInCell="1" locked="0" behindDoc="1" simplePos="0" relativeHeight="487767040">
                <wp:simplePos x="0" y="0"/>
                <wp:positionH relativeFrom="page">
                  <wp:posOffset>647999</wp:posOffset>
                </wp:positionH>
                <wp:positionV relativeFrom="paragraph">
                  <wp:posOffset>208588</wp:posOffset>
                </wp:positionV>
                <wp:extent cx="6012180" cy="1270"/>
                <wp:effectExtent l="0" t="0" r="0" b="0"/>
                <wp:wrapTopAndBottom/>
                <wp:docPr id="949" name="Graphic 949"/>
                <wp:cNvGraphicFramePr>
                  <a:graphicFrameLocks/>
                </wp:cNvGraphicFramePr>
                <a:graphic>
                  <a:graphicData uri="http://schemas.microsoft.com/office/word/2010/wordprocessingShape">
                    <wps:wsp>
                      <wps:cNvPr id="949" name="Graphic 94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6.424328pt;width:473.4pt;height:.1pt;mso-position-horizontal-relative:page;mso-position-vertical-relative:paragraph;z-index:-15549440;mso-wrap-distance-left:0;mso-wrap-distance-right:0" id="docshape779" coordorigin="1020,328" coordsize="9468,0" path="m1020,328l10488,328e" filled="false" stroked="true" strokeweight=".5pt" strokecolor="#36a9e1">
                <v:path arrowok="t"/>
                <v:stroke dashstyle="solid"/>
                <w10:wrap type="topAndBottom"/>
              </v:shape>
            </w:pict>
          </mc:Fallback>
        </mc:AlternateContent>
      </w:r>
    </w:p>
    <w:p>
      <w:pPr>
        <w:pStyle w:val="ListParagraph"/>
        <w:numPr>
          <w:ilvl w:val="0"/>
          <w:numId w:val="50"/>
        </w:numPr>
        <w:tabs>
          <w:tab w:pos="1287" w:val="left" w:leader="none"/>
        </w:tabs>
        <w:spacing w:line="240" w:lineRule="auto" w:before="43" w:after="0"/>
        <w:ind w:left="1287" w:right="1802" w:hanging="567"/>
        <w:jc w:val="left"/>
        <w:rPr>
          <w:sz w:val="18"/>
        </w:rPr>
      </w:pPr>
      <w:r>
        <w:rPr>
          <w:sz w:val="18"/>
        </w:rPr>
        <w:t>Northern</w:t>
      </w:r>
      <w:r>
        <w:rPr>
          <w:spacing w:val="-6"/>
          <w:sz w:val="18"/>
        </w:rPr>
        <w:t> </w:t>
      </w:r>
      <w:r>
        <w:rPr>
          <w:sz w:val="18"/>
        </w:rPr>
        <w:t>Ireland</w:t>
      </w:r>
      <w:r>
        <w:rPr>
          <w:spacing w:val="-6"/>
          <w:sz w:val="18"/>
        </w:rPr>
        <w:t> </w:t>
      </w:r>
      <w:r>
        <w:rPr>
          <w:sz w:val="18"/>
        </w:rPr>
        <w:t>Human</w:t>
      </w:r>
      <w:r>
        <w:rPr>
          <w:spacing w:val="-6"/>
          <w:sz w:val="18"/>
        </w:rPr>
        <w:t> </w:t>
      </w:r>
      <w:r>
        <w:rPr>
          <w:sz w:val="18"/>
        </w:rPr>
        <w:t>Rights</w:t>
      </w:r>
      <w:r>
        <w:rPr>
          <w:spacing w:val="-6"/>
          <w:sz w:val="18"/>
        </w:rPr>
        <w:t> </w:t>
      </w:r>
      <w:r>
        <w:rPr>
          <w:sz w:val="18"/>
        </w:rPr>
        <w:t>Commission’s</w:t>
      </w:r>
      <w:r>
        <w:rPr>
          <w:spacing w:val="-6"/>
          <w:sz w:val="18"/>
        </w:rPr>
        <w:t> </w:t>
      </w:r>
      <w:r>
        <w:rPr>
          <w:sz w:val="18"/>
        </w:rPr>
        <w:t>Application</w:t>
      </w:r>
      <w:r>
        <w:rPr>
          <w:spacing w:val="-6"/>
          <w:sz w:val="18"/>
        </w:rPr>
        <w:t> </w:t>
      </w:r>
      <w:r>
        <w:rPr>
          <w:sz w:val="18"/>
        </w:rPr>
        <w:t>and</w:t>
      </w:r>
      <w:r>
        <w:rPr>
          <w:spacing w:val="-6"/>
          <w:sz w:val="18"/>
        </w:rPr>
        <w:t> </w:t>
      </w:r>
      <w:r>
        <w:rPr>
          <w:sz w:val="18"/>
        </w:rPr>
        <w:t>JR295’s</w:t>
      </w:r>
      <w:r>
        <w:rPr>
          <w:spacing w:val="-6"/>
          <w:sz w:val="18"/>
        </w:rPr>
        <w:t> </w:t>
      </w:r>
      <w:r>
        <w:rPr>
          <w:sz w:val="18"/>
        </w:rPr>
        <w:t>Application</w:t>
      </w:r>
      <w:r>
        <w:rPr>
          <w:spacing w:val="-6"/>
          <w:sz w:val="18"/>
        </w:rPr>
        <w:t> </w:t>
      </w:r>
      <w:r>
        <w:rPr>
          <w:sz w:val="18"/>
        </w:rPr>
        <w:t>and</w:t>
      </w:r>
      <w:r>
        <w:rPr>
          <w:spacing w:val="-6"/>
          <w:sz w:val="18"/>
        </w:rPr>
        <w:t> </w:t>
      </w:r>
      <w:r>
        <w:rPr>
          <w:sz w:val="18"/>
        </w:rPr>
        <w:t>In</w:t>
      </w:r>
      <w:r>
        <w:rPr>
          <w:spacing w:val="-6"/>
          <w:sz w:val="18"/>
        </w:rPr>
        <w:t> </w:t>
      </w:r>
      <w:r>
        <w:rPr>
          <w:sz w:val="18"/>
        </w:rPr>
        <w:t>the</w:t>
      </w:r>
      <w:r>
        <w:rPr>
          <w:spacing w:val="-5"/>
          <w:sz w:val="18"/>
        </w:rPr>
        <w:t> </w:t>
      </w:r>
      <w:r>
        <w:rPr>
          <w:sz w:val="18"/>
        </w:rPr>
        <w:t>matter</w:t>
      </w:r>
      <w:r>
        <w:rPr>
          <w:spacing w:val="-5"/>
          <w:sz w:val="18"/>
        </w:rPr>
        <w:t> </w:t>
      </w:r>
      <w:r>
        <w:rPr>
          <w:sz w:val="18"/>
        </w:rPr>
        <w:t>of</w:t>
      </w:r>
      <w:r>
        <w:rPr>
          <w:spacing w:val="-6"/>
          <w:sz w:val="18"/>
        </w:rPr>
        <w:t> </w:t>
      </w:r>
      <w:r>
        <w:rPr>
          <w:sz w:val="18"/>
        </w:rPr>
        <w:t>The</w:t>
      </w:r>
      <w:r>
        <w:rPr>
          <w:spacing w:val="-5"/>
          <w:sz w:val="18"/>
        </w:rPr>
        <w:t> </w:t>
      </w:r>
      <w:r>
        <w:rPr>
          <w:sz w:val="18"/>
        </w:rPr>
        <w:t>Illegal Migration Act 2023; [2024] NIKB 35, (13 May 2024) (</w:t>
      </w:r>
      <w:r>
        <w:rPr>
          <w:color w:val="1D71B8"/>
          <w:sz w:val="18"/>
          <w:u w:val="single" w:color="1D71B8"/>
        </w:rPr>
        <w:t>Illegal Migration Act case</w:t>
      </w:r>
      <w:r>
        <w:rPr>
          <w:sz w:val="18"/>
          <w:u w:val="none"/>
        </w:rPr>
        <w:t>).</w:t>
      </w:r>
    </w:p>
    <w:p>
      <w:pPr>
        <w:pStyle w:val="ListParagraph"/>
        <w:numPr>
          <w:ilvl w:val="0"/>
          <w:numId w:val="50"/>
        </w:numPr>
        <w:tabs>
          <w:tab w:pos="1287" w:val="left" w:leader="none"/>
        </w:tabs>
        <w:spacing w:line="240" w:lineRule="auto" w:before="1" w:after="0"/>
        <w:ind w:left="1287" w:right="0" w:hanging="567"/>
        <w:jc w:val="left"/>
        <w:rPr>
          <w:sz w:val="18"/>
        </w:rPr>
      </w:pPr>
      <w:r>
        <w:rPr>
          <w:color w:val="1D71B8"/>
          <w:sz w:val="18"/>
          <w:u w:val="single" w:color="1D71B8"/>
        </w:rPr>
        <w:t>Illegal</w:t>
      </w:r>
      <w:r>
        <w:rPr>
          <w:color w:val="1D71B8"/>
          <w:spacing w:val="-7"/>
          <w:sz w:val="18"/>
          <w:u w:val="single" w:color="1D71B8"/>
        </w:rPr>
        <w:t> </w:t>
      </w:r>
      <w:r>
        <w:rPr>
          <w:color w:val="1D71B8"/>
          <w:sz w:val="18"/>
          <w:u w:val="single" w:color="1D71B8"/>
        </w:rPr>
        <w:t>Migration</w:t>
      </w:r>
      <w:r>
        <w:rPr>
          <w:color w:val="1D71B8"/>
          <w:spacing w:val="-7"/>
          <w:sz w:val="18"/>
          <w:u w:val="single" w:color="1D71B8"/>
        </w:rPr>
        <w:t> </w:t>
      </w:r>
      <w:r>
        <w:rPr>
          <w:color w:val="1D71B8"/>
          <w:sz w:val="18"/>
          <w:u w:val="single" w:color="1D71B8"/>
        </w:rPr>
        <w:t>Act</w:t>
      </w:r>
      <w:r>
        <w:rPr>
          <w:color w:val="1D71B8"/>
          <w:spacing w:val="-6"/>
          <w:sz w:val="18"/>
          <w:u w:val="single" w:color="1D71B8"/>
        </w:rPr>
        <w:t> </w:t>
      </w:r>
      <w:r>
        <w:rPr>
          <w:color w:val="1D71B8"/>
          <w:sz w:val="18"/>
          <w:u w:val="single" w:color="1D71B8"/>
        </w:rPr>
        <w:t>case</w:t>
      </w:r>
      <w:r>
        <w:rPr>
          <w:color w:val="1D71B8"/>
          <w:spacing w:val="-6"/>
          <w:sz w:val="18"/>
          <w:u w:val="none"/>
        </w:rPr>
        <w:t> </w:t>
      </w:r>
      <w:r>
        <w:rPr>
          <w:sz w:val="18"/>
          <w:u w:val="none"/>
        </w:rPr>
        <w:t>[56]-</w:t>
      </w:r>
      <w:r>
        <w:rPr>
          <w:spacing w:val="-4"/>
          <w:sz w:val="18"/>
          <w:u w:val="none"/>
        </w:rPr>
        <w:t>[57].</w:t>
      </w:r>
    </w:p>
    <w:p>
      <w:pPr>
        <w:pStyle w:val="ListParagraph"/>
        <w:numPr>
          <w:ilvl w:val="0"/>
          <w:numId w:val="50"/>
        </w:numPr>
        <w:tabs>
          <w:tab w:pos="1287" w:val="left" w:leader="none"/>
        </w:tabs>
        <w:spacing w:line="240" w:lineRule="auto" w:before="0" w:after="0"/>
        <w:ind w:left="1287" w:right="0" w:hanging="567"/>
        <w:jc w:val="left"/>
        <w:rPr>
          <w:sz w:val="18"/>
        </w:rPr>
      </w:pPr>
      <w:r>
        <w:rPr>
          <w:sz w:val="18"/>
        </w:rPr>
        <w:t>Ibid., </w:t>
      </w:r>
      <w:r>
        <w:rPr>
          <w:spacing w:val="-2"/>
          <w:sz w:val="18"/>
        </w:rPr>
        <w:t>[58].</w:t>
      </w:r>
    </w:p>
    <w:p>
      <w:pPr>
        <w:pStyle w:val="ListParagraph"/>
        <w:numPr>
          <w:ilvl w:val="0"/>
          <w:numId w:val="50"/>
        </w:numPr>
        <w:tabs>
          <w:tab w:pos="1287" w:val="left" w:leader="none"/>
        </w:tabs>
        <w:spacing w:line="240" w:lineRule="auto" w:before="0" w:after="0"/>
        <w:ind w:left="1287" w:right="0" w:hanging="567"/>
        <w:jc w:val="left"/>
        <w:rPr>
          <w:sz w:val="18"/>
        </w:rPr>
      </w:pPr>
      <w:r>
        <w:rPr>
          <w:sz w:val="18"/>
        </w:rPr>
        <w:t>Ibid., </w:t>
      </w:r>
      <w:r>
        <w:rPr>
          <w:spacing w:val="-2"/>
          <w:sz w:val="18"/>
        </w:rPr>
        <w:t>[66].</w:t>
      </w:r>
    </w:p>
    <w:p>
      <w:pPr>
        <w:pStyle w:val="ListParagraph"/>
        <w:numPr>
          <w:ilvl w:val="0"/>
          <w:numId w:val="50"/>
        </w:numPr>
        <w:tabs>
          <w:tab w:pos="1287" w:val="left" w:leader="none"/>
        </w:tabs>
        <w:spacing w:line="240" w:lineRule="auto" w:before="1" w:after="0"/>
        <w:ind w:left="1287" w:right="1405" w:hanging="567"/>
        <w:jc w:val="left"/>
        <w:rPr>
          <w:sz w:val="18"/>
        </w:rPr>
      </w:pPr>
      <w:r>
        <w:rPr>
          <w:sz w:val="18"/>
        </w:rPr>
        <w:t>Ibid.,</w:t>
      </w:r>
      <w:r>
        <w:rPr>
          <w:spacing w:val="-3"/>
          <w:sz w:val="18"/>
        </w:rPr>
        <w:t> </w:t>
      </w:r>
      <w:r>
        <w:rPr>
          <w:sz w:val="18"/>
        </w:rPr>
        <w:t>[69].</w:t>
      </w:r>
      <w:r>
        <w:rPr>
          <w:spacing w:val="-4"/>
          <w:sz w:val="18"/>
        </w:rPr>
        <w:t> </w:t>
      </w:r>
      <w:r>
        <w:rPr>
          <w:sz w:val="18"/>
        </w:rPr>
        <w:t>The</w:t>
      </w:r>
      <w:r>
        <w:rPr>
          <w:spacing w:val="-3"/>
          <w:sz w:val="18"/>
        </w:rPr>
        <w:t> </w:t>
      </w:r>
      <w:r>
        <w:rPr>
          <w:sz w:val="18"/>
        </w:rPr>
        <w:t>Court</w:t>
      </w:r>
      <w:r>
        <w:rPr>
          <w:spacing w:val="-3"/>
          <w:sz w:val="18"/>
        </w:rPr>
        <w:t> </w:t>
      </w:r>
      <w:r>
        <w:rPr>
          <w:sz w:val="18"/>
        </w:rPr>
        <w:t>did</w:t>
      </w:r>
      <w:r>
        <w:rPr>
          <w:spacing w:val="-4"/>
          <w:sz w:val="18"/>
        </w:rPr>
        <w:t> </w:t>
      </w:r>
      <w:r>
        <w:rPr>
          <w:sz w:val="18"/>
        </w:rPr>
        <w:t>not</w:t>
      </w:r>
      <w:r>
        <w:rPr>
          <w:spacing w:val="-3"/>
          <w:sz w:val="18"/>
        </w:rPr>
        <w:t> </w:t>
      </w:r>
      <w:r>
        <w:rPr>
          <w:sz w:val="18"/>
        </w:rPr>
        <w:t>find</w:t>
      </w:r>
      <w:r>
        <w:rPr>
          <w:spacing w:val="-4"/>
          <w:sz w:val="18"/>
        </w:rPr>
        <w:t> </w:t>
      </w:r>
      <w:r>
        <w:rPr>
          <w:sz w:val="18"/>
        </w:rPr>
        <w:t>it</w:t>
      </w:r>
      <w:r>
        <w:rPr>
          <w:spacing w:val="-3"/>
          <w:sz w:val="18"/>
        </w:rPr>
        <w:t> </w:t>
      </w:r>
      <w:r>
        <w:rPr>
          <w:sz w:val="18"/>
        </w:rPr>
        <w:t>necessary</w:t>
      </w:r>
      <w:r>
        <w:rPr>
          <w:spacing w:val="-3"/>
          <w:sz w:val="18"/>
        </w:rPr>
        <w:t> </w:t>
      </w:r>
      <w:r>
        <w:rPr>
          <w:sz w:val="18"/>
        </w:rPr>
        <w:t>to</w:t>
      </w:r>
      <w:r>
        <w:rPr>
          <w:spacing w:val="-4"/>
          <w:sz w:val="18"/>
        </w:rPr>
        <w:t> </w:t>
      </w:r>
      <w:r>
        <w:rPr>
          <w:sz w:val="18"/>
        </w:rPr>
        <w:t>rely</w:t>
      </w:r>
      <w:r>
        <w:rPr>
          <w:spacing w:val="-3"/>
          <w:sz w:val="18"/>
        </w:rPr>
        <w:t> </w:t>
      </w:r>
      <w:r>
        <w:rPr>
          <w:sz w:val="18"/>
        </w:rPr>
        <w:t>on</w:t>
      </w:r>
      <w:r>
        <w:rPr>
          <w:spacing w:val="-4"/>
          <w:sz w:val="18"/>
        </w:rPr>
        <w:t> </w:t>
      </w:r>
      <w:r>
        <w:rPr>
          <w:sz w:val="18"/>
        </w:rPr>
        <w:t>the</w:t>
      </w:r>
      <w:r>
        <w:rPr>
          <w:spacing w:val="-3"/>
          <w:sz w:val="18"/>
        </w:rPr>
        <w:t> </w:t>
      </w:r>
      <w:r>
        <w:rPr>
          <w:sz w:val="18"/>
        </w:rPr>
        <w:t>Vienna</w:t>
      </w:r>
      <w:r>
        <w:rPr>
          <w:spacing w:val="-4"/>
          <w:sz w:val="18"/>
        </w:rPr>
        <w:t> </w:t>
      </w:r>
      <w:r>
        <w:rPr>
          <w:sz w:val="18"/>
        </w:rPr>
        <w:t>Convention</w:t>
      </w:r>
      <w:r>
        <w:rPr>
          <w:spacing w:val="-4"/>
          <w:sz w:val="18"/>
        </w:rPr>
        <w:t> </w:t>
      </w:r>
      <w:r>
        <w:rPr>
          <w:sz w:val="18"/>
        </w:rPr>
        <w:t>interpretative</w:t>
      </w:r>
      <w:r>
        <w:rPr>
          <w:spacing w:val="-3"/>
          <w:sz w:val="18"/>
        </w:rPr>
        <w:t> </w:t>
      </w:r>
      <w:r>
        <w:rPr>
          <w:sz w:val="18"/>
        </w:rPr>
        <w:t>approach</w:t>
      </w:r>
      <w:r>
        <w:rPr>
          <w:spacing w:val="-4"/>
          <w:sz w:val="18"/>
        </w:rPr>
        <w:t> </w:t>
      </w:r>
      <w:r>
        <w:rPr>
          <w:sz w:val="18"/>
        </w:rPr>
        <w:t>to</w:t>
      </w:r>
      <w:r>
        <w:rPr>
          <w:spacing w:val="-4"/>
          <w:sz w:val="18"/>
        </w:rPr>
        <w:t> </w:t>
      </w:r>
      <w:r>
        <w:rPr>
          <w:sz w:val="18"/>
        </w:rPr>
        <w:t>support</w:t>
      </w:r>
      <w:r>
        <w:rPr>
          <w:spacing w:val="-3"/>
          <w:sz w:val="18"/>
        </w:rPr>
        <w:t> </w:t>
      </w:r>
      <w:r>
        <w:rPr>
          <w:sz w:val="18"/>
        </w:rPr>
        <w:t>this view: [70].</w:t>
      </w:r>
    </w:p>
    <w:p>
      <w:pPr>
        <w:pStyle w:val="ListParagraph"/>
        <w:numPr>
          <w:ilvl w:val="0"/>
          <w:numId w:val="50"/>
        </w:numPr>
        <w:tabs>
          <w:tab w:pos="1287" w:val="left" w:leader="none"/>
        </w:tabs>
        <w:spacing w:line="240" w:lineRule="auto" w:before="0" w:after="0"/>
        <w:ind w:left="1287" w:right="0" w:hanging="567"/>
        <w:jc w:val="left"/>
        <w:rPr>
          <w:sz w:val="18"/>
        </w:rPr>
      </w:pPr>
      <w:r>
        <w:rPr>
          <w:sz w:val="18"/>
        </w:rPr>
        <w:t>Ibid., </w:t>
      </w:r>
      <w:r>
        <w:rPr>
          <w:spacing w:val="-2"/>
          <w:sz w:val="18"/>
        </w:rPr>
        <w:t>[73].</w:t>
      </w:r>
    </w:p>
    <w:p>
      <w:pPr>
        <w:pStyle w:val="ListParagraph"/>
        <w:numPr>
          <w:ilvl w:val="0"/>
          <w:numId w:val="50"/>
        </w:numPr>
        <w:tabs>
          <w:tab w:pos="1287" w:val="left" w:leader="none"/>
        </w:tabs>
        <w:spacing w:line="240" w:lineRule="auto" w:before="1" w:after="0"/>
        <w:ind w:left="1287" w:right="0" w:hanging="567"/>
        <w:jc w:val="left"/>
        <w:rPr>
          <w:sz w:val="18"/>
        </w:rPr>
      </w:pPr>
      <w:r>
        <w:rPr>
          <w:sz w:val="18"/>
        </w:rPr>
        <w:t>Ibid., </w:t>
      </w:r>
      <w:r>
        <w:rPr>
          <w:spacing w:val="-2"/>
          <w:sz w:val="18"/>
        </w:rPr>
        <w:t>[99].</w:t>
      </w:r>
    </w:p>
    <w:p>
      <w:pPr>
        <w:pStyle w:val="ListParagraph"/>
        <w:numPr>
          <w:ilvl w:val="0"/>
          <w:numId w:val="50"/>
        </w:numPr>
        <w:tabs>
          <w:tab w:pos="1287" w:val="left" w:leader="none"/>
        </w:tabs>
        <w:spacing w:line="240" w:lineRule="auto" w:before="0" w:after="0"/>
        <w:ind w:left="1287" w:right="0" w:hanging="567"/>
        <w:jc w:val="left"/>
        <w:rPr>
          <w:sz w:val="18"/>
        </w:rPr>
      </w:pPr>
      <w:r>
        <w:rPr>
          <w:sz w:val="18"/>
        </w:rPr>
        <w:t>Ibid., </w:t>
      </w:r>
      <w:r>
        <w:rPr>
          <w:spacing w:val="-2"/>
          <w:sz w:val="18"/>
        </w:rPr>
        <w:t>[112].</w:t>
      </w:r>
    </w:p>
    <w:p>
      <w:pPr>
        <w:pStyle w:val="ListParagraph"/>
        <w:numPr>
          <w:ilvl w:val="0"/>
          <w:numId w:val="50"/>
        </w:numPr>
        <w:tabs>
          <w:tab w:pos="1287" w:val="left" w:leader="none"/>
        </w:tabs>
        <w:spacing w:line="240" w:lineRule="auto" w:before="0" w:after="0"/>
        <w:ind w:left="1287" w:right="0" w:hanging="567"/>
        <w:jc w:val="left"/>
        <w:rPr>
          <w:sz w:val="18"/>
        </w:rPr>
      </w:pPr>
      <w:r>
        <w:rPr>
          <w:sz w:val="18"/>
        </w:rPr>
        <w:t>Ibid.,</w:t>
      </w:r>
      <w:r>
        <w:rPr>
          <w:spacing w:val="-6"/>
          <w:sz w:val="18"/>
        </w:rPr>
        <w:t> </w:t>
      </w:r>
      <w:r>
        <w:rPr>
          <w:sz w:val="18"/>
        </w:rPr>
        <w:t>[127]-</w:t>
      </w:r>
      <w:r>
        <w:rPr>
          <w:spacing w:val="-2"/>
          <w:sz w:val="18"/>
        </w:rPr>
        <w:t>[133].</w:t>
      </w:r>
    </w:p>
    <w:p>
      <w:pPr>
        <w:spacing w:after="0" w:line="240" w:lineRule="auto"/>
        <w:jc w:val="left"/>
        <w:rPr>
          <w:sz w:val="18"/>
        </w:rPr>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bookmarkStart w:name="5.5 Conclusion" w:id="179"/>
      <w:bookmarkEnd w:id="179"/>
      <w:r>
        <w:rPr/>
      </w:r>
      <w:bookmarkStart w:name="_bookmark76" w:id="180"/>
      <w:bookmarkEnd w:id="180"/>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115</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085760">
                <wp:simplePos x="0" y="0"/>
                <wp:positionH relativeFrom="page">
                  <wp:posOffset>-2</wp:posOffset>
                </wp:positionH>
                <wp:positionV relativeFrom="page">
                  <wp:posOffset>0</wp:posOffset>
                </wp:positionV>
                <wp:extent cx="7560309" cy="1155065"/>
                <wp:effectExtent l="0" t="0" r="0" b="0"/>
                <wp:wrapNone/>
                <wp:docPr id="950" name="Group 950"/>
                <wp:cNvGraphicFramePr>
                  <a:graphicFrameLocks/>
                </wp:cNvGraphicFramePr>
                <a:graphic>
                  <a:graphicData uri="http://schemas.microsoft.com/office/word/2010/wordprocessingGroup">
                    <wpg:wgp>
                      <wpg:cNvPr id="950" name="Group 950"/>
                      <wpg:cNvGrpSpPr/>
                      <wpg:grpSpPr>
                        <a:xfrm>
                          <a:off x="0" y="0"/>
                          <a:ext cx="7560309" cy="1155065"/>
                          <a:chExt cx="7560309" cy="1155065"/>
                        </a:xfrm>
                      </wpg:grpSpPr>
                      <wps:wsp>
                        <wps:cNvPr id="951" name="Graphic 951"/>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952" name="Graphic 952"/>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30720" id="docshapegroup780" coordorigin="0,0" coordsize="11906,1819">
                <v:shape style="position:absolute;left:0;top:0;width:11906;height:1819" id="docshape781"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738"/>
      </w:pPr>
      <w:r>
        <w:rPr/>
        <w:t>Section 6 also led to diminution in that it might permit refoulement, inconsistent with</w:t>
      </w:r>
      <w:r>
        <w:rPr>
          <w:spacing w:val="-7"/>
        </w:rPr>
        <w:t> </w:t>
      </w:r>
      <w:r>
        <w:rPr/>
        <w:t>the</w:t>
      </w:r>
      <w:r>
        <w:rPr>
          <w:spacing w:val="-6"/>
        </w:rPr>
        <w:t> </w:t>
      </w:r>
      <w:r>
        <w:rPr/>
        <w:t>Qualification</w:t>
      </w:r>
      <w:r>
        <w:rPr>
          <w:spacing w:val="-7"/>
        </w:rPr>
        <w:t> </w:t>
      </w:r>
      <w:r>
        <w:rPr/>
        <w:t>Directive.</w:t>
      </w:r>
      <w:r>
        <w:rPr>
          <w:vertAlign w:val="superscript"/>
        </w:rPr>
        <w:t>609</w:t>
      </w:r>
      <w:r>
        <w:rPr>
          <w:spacing w:val="-7"/>
          <w:vertAlign w:val="baseline"/>
        </w:rPr>
        <w:t> </w:t>
      </w:r>
      <w:r>
        <w:rPr>
          <w:vertAlign w:val="baseline"/>
        </w:rPr>
        <w:t>The</w:t>
      </w:r>
      <w:r>
        <w:rPr>
          <w:spacing w:val="-6"/>
          <w:vertAlign w:val="baseline"/>
        </w:rPr>
        <w:t> </w:t>
      </w:r>
      <w:r>
        <w:rPr>
          <w:vertAlign w:val="baseline"/>
        </w:rPr>
        <w:t>Act</w:t>
      </w:r>
      <w:r>
        <w:rPr>
          <w:spacing w:val="-6"/>
          <w:vertAlign w:val="baseline"/>
        </w:rPr>
        <w:t> </w:t>
      </w:r>
      <w:r>
        <w:rPr>
          <w:vertAlign w:val="baseline"/>
        </w:rPr>
        <w:t>led</w:t>
      </w:r>
      <w:r>
        <w:rPr>
          <w:spacing w:val="-7"/>
          <w:vertAlign w:val="baseline"/>
        </w:rPr>
        <w:t> </w:t>
      </w:r>
      <w:r>
        <w:rPr>
          <w:vertAlign w:val="baseline"/>
        </w:rPr>
        <w:t>to</w:t>
      </w:r>
      <w:r>
        <w:rPr>
          <w:spacing w:val="-7"/>
          <w:vertAlign w:val="baseline"/>
        </w:rPr>
        <w:t> </w:t>
      </w:r>
      <w:r>
        <w:rPr>
          <w:vertAlign w:val="baseline"/>
        </w:rPr>
        <w:t>a</w:t>
      </w:r>
      <w:r>
        <w:rPr>
          <w:spacing w:val="-7"/>
          <w:vertAlign w:val="baseline"/>
        </w:rPr>
        <w:t> </w:t>
      </w:r>
      <w:r>
        <w:rPr>
          <w:vertAlign w:val="baseline"/>
        </w:rPr>
        <w:t>further</w:t>
      </w:r>
      <w:r>
        <w:rPr>
          <w:spacing w:val="-6"/>
          <w:vertAlign w:val="baseline"/>
        </w:rPr>
        <w:t> </w:t>
      </w:r>
      <w:r>
        <w:rPr>
          <w:vertAlign w:val="baseline"/>
        </w:rPr>
        <w:t>diminution</w:t>
      </w:r>
      <w:r>
        <w:rPr>
          <w:spacing w:val="-7"/>
          <w:vertAlign w:val="baseline"/>
        </w:rPr>
        <w:t> </w:t>
      </w:r>
      <w:r>
        <w:rPr>
          <w:vertAlign w:val="baseline"/>
        </w:rPr>
        <w:t>in</w:t>
      </w:r>
      <w:r>
        <w:rPr>
          <w:spacing w:val="-7"/>
          <w:vertAlign w:val="baseline"/>
        </w:rPr>
        <w:t> </w:t>
      </w:r>
      <w:r>
        <w:rPr>
          <w:vertAlign w:val="baseline"/>
        </w:rPr>
        <w:t>that</w:t>
      </w:r>
      <w:r>
        <w:rPr>
          <w:spacing w:val="-6"/>
          <w:vertAlign w:val="baseline"/>
        </w:rPr>
        <w:t> </w:t>
      </w:r>
      <w:r>
        <w:rPr>
          <w:vertAlign w:val="baseline"/>
        </w:rPr>
        <w:t>it</w:t>
      </w:r>
      <w:r>
        <w:rPr>
          <w:spacing w:val="-6"/>
          <w:vertAlign w:val="baseline"/>
        </w:rPr>
        <w:t> </w:t>
      </w:r>
      <w:r>
        <w:rPr>
          <w:vertAlign w:val="baseline"/>
        </w:rPr>
        <w:t>did not</w:t>
      </w:r>
      <w:r>
        <w:rPr>
          <w:spacing w:val="-2"/>
          <w:vertAlign w:val="baseline"/>
        </w:rPr>
        <w:t> </w:t>
      </w:r>
      <w:r>
        <w:rPr>
          <w:vertAlign w:val="baseline"/>
        </w:rPr>
        <w:t>protect</w:t>
      </w:r>
      <w:r>
        <w:rPr>
          <w:spacing w:val="-2"/>
          <w:vertAlign w:val="baseline"/>
        </w:rPr>
        <w:t> </w:t>
      </w:r>
      <w:r>
        <w:rPr>
          <w:vertAlign w:val="baseline"/>
        </w:rPr>
        <w:t>the</w:t>
      </w:r>
      <w:r>
        <w:rPr>
          <w:spacing w:val="-2"/>
          <w:vertAlign w:val="baseline"/>
        </w:rPr>
        <w:t> </w:t>
      </w:r>
      <w:r>
        <w:rPr>
          <w:vertAlign w:val="baseline"/>
        </w:rPr>
        <w:t>right</w:t>
      </w:r>
      <w:r>
        <w:rPr>
          <w:spacing w:val="-2"/>
          <w:vertAlign w:val="baseline"/>
        </w:rPr>
        <w:t> </w:t>
      </w:r>
      <w:r>
        <w:rPr>
          <w:vertAlign w:val="baseline"/>
        </w:rPr>
        <w:t>to</w:t>
      </w:r>
      <w:r>
        <w:rPr>
          <w:spacing w:val="-3"/>
          <w:vertAlign w:val="baseline"/>
        </w:rPr>
        <w:t> </w:t>
      </w:r>
      <w:r>
        <w:rPr>
          <w:vertAlign w:val="baseline"/>
        </w:rPr>
        <w:t>a</w:t>
      </w:r>
      <w:r>
        <w:rPr>
          <w:spacing w:val="-3"/>
          <w:vertAlign w:val="baseline"/>
        </w:rPr>
        <w:t> </w:t>
      </w:r>
      <w:r>
        <w:rPr>
          <w:vertAlign w:val="baseline"/>
        </w:rPr>
        <w:t>speedy</w:t>
      </w:r>
      <w:r>
        <w:rPr>
          <w:spacing w:val="-2"/>
          <w:vertAlign w:val="baseline"/>
        </w:rPr>
        <w:t> </w:t>
      </w:r>
      <w:r>
        <w:rPr>
          <w:vertAlign w:val="baseline"/>
        </w:rPr>
        <w:t>judicial</w:t>
      </w:r>
      <w:r>
        <w:rPr>
          <w:spacing w:val="-3"/>
          <w:vertAlign w:val="baseline"/>
        </w:rPr>
        <w:t> </w:t>
      </w:r>
      <w:r>
        <w:rPr>
          <w:vertAlign w:val="baseline"/>
        </w:rPr>
        <w:t>review</w:t>
      </w:r>
      <w:r>
        <w:rPr>
          <w:spacing w:val="-2"/>
          <w:vertAlign w:val="baseline"/>
        </w:rPr>
        <w:t> </w:t>
      </w:r>
      <w:r>
        <w:rPr>
          <w:vertAlign w:val="baseline"/>
        </w:rPr>
        <w:t>for</w:t>
      </w:r>
      <w:r>
        <w:rPr>
          <w:spacing w:val="-2"/>
          <w:vertAlign w:val="baseline"/>
        </w:rPr>
        <w:t> </w:t>
      </w:r>
      <w:r>
        <w:rPr>
          <w:vertAlign w:val="baseline"/>
        </w:rPr>
        <w:t>those</w:t>
      </w:r>
      <w:r>
        <w:rPr>
          <w:spacing w:val="-2"/>
          <w:vertAlign w:val="baseline"/>
        </w:rPr>
        <w:t> </w:t>
      </w:r>
      <w:r>
        <w:rPr>
          <w:vertAlign w:val="baseline"/>
        </w:rPr>
        <w:t>in</w:t>
      </w:r>
      <w:r>
        <w:rPr>
          <w:spacing w:val="-3"/>
          <w:vertAlign w:val="baseline"/>
        </w:rPr>
        <w:t> </w:t>
      </w:r>
      <w:r>
        <w:rPr>
          <w:vertAlign w:val="baseline"/>
        </w:rPr>
        <w:t>detention</w:t>
      </w:r>
      <w:r>
        <w:rPr>
          <w:spacing w:val="-3"/>
          <w:vertAlign w:val="baseline"/>
        </w:rPr>
        <w:t> </w:t>
      </w:r>
      <w:r>
        <w:rPr>
          <w:vertAlign w:val="baseline"/>
        </w:rPr>
        <w:t>as</w:t>
      </w:r>
      <w:r>
        <w:rPr>
          <w:spacing w:val="-3"/>
          <w:vertAlign w:val="baseline"/>
        </w:rPr>
        <w:t> </w:t>
      </w:r>
      <w:r>
        <w:rPr>
          <w:vertAlign w:val="baseline"/>
        </w:rPr>
        <w:t>required by the Procedures Directive.</w:t>
      </w:r>
      <w:r>
        <w:rPr>
          <w:vertAlign w:val="superscript"/>
        </w:rPr>
        <w:t>610</w:t>
      </w:r>
      <w:r>
        <w:rPr>
          <w:vertAlign w:val="baseline"/>
        </w:rPr>
        <w:t> Section 22 led to a diminution of rights protecting victims of slavery or trafficking, inconsistent with the Trafficking Directive.</w:t>
      </w:r>
      <w:r>
        <w:rPr>
          <w:vertAlign w:val="superscript"/>
        </w:rPr>
        <w:t>611</w:t>
      </w:r>
      <w:r>
        <w:rPr>
          <w:vertAlign w:val="baseline"/>
        </w:rPr>
        <w:t> The Act also led to a diminution in respect of the rights of children as protected by</w:t>
      </w:r>
    </w:p>
    <w:p>
      <w:pPr>
        <w:pStyle w:val="BodyText"/>
        <w:spacing w:line="232" w:lineRule="auto"/>
        <w:ind w:left="1117" w:right="738"/>
      </w:pPr>
      <w:r>
        <w:rPr/>
        <w:t>the Qualifications Directive interpreted in the light of the Charter of Fundamental Rights.</w:t>
      </w:r>
      <w:r>
        <w:rPr>
          <w:vertAlign w:val="superscript"/>
        </w:rPr>
        <w:t>612</w:t>
      </w:r>
      <w:r>
        <w:rPr>
          <w:spacing w:val="-7"/>
          <w:vertAlign w:val="baseline"/>
        </w:rPr>
        <w:t> </w:t>
      </w:r>
      <w:r>
        <w:rPr>
          <w:vertAlign w:val="baseline"/>
        </w:rPr>
        <w:t>The</w:t>
      </w:r>
      <w:r>
        <w:rPr>
          <w:spacing w:val="-6"/>
          <w:vertAlign w:val="baseline"/>
        </w:rPr>
        <w:t> </w:t>
      </w:r>
      <w:r>
        <w:rPr>
          <w:vertAlign w:val="baseline"/>
        </w:rPr>
        <w:t>Act</w:t>
      </w:r>
      <w:r>
        <w:rPr>
          <w:spacing w:val="-6"/>
          <w:vertAlign w:val="baseline"/>
        </w:rPr>
        <w:t> </w:t>
      </w:r>
      <w:r>
        <w:rPr>
          <w:vertAlign w:val="baseline"/>
        </w:rPr>
        <w:t>also</w:t>
      </w:r>
      <w:r>
        <w:rPr>
          <w:spacing w:val="-7"/>
          <w:vertAlign w:val="baseline"/>
        </w:rPr>
        <w:t> </w:t>
      </w:r>
      <w:r>
        <w:rPr>
          <w:vertAlign w:val="baseline"/>
        </w:rPr>
        <w:t>caused</w:t>
      </w:r>
      <w:r>
        <w:rPr>
          <w:spacing w:val="-7"/>
          <w:vertAlign w:val="baseline"/>
        </w:rPr>
        <w:t> </w:t>
      </w:r>
      <w:r>
        <w:rPr>
          <w:vertAlign w:val="baseline"/>
        </w:rPr>
        <w:t>a</w:t>
      </w:r>
      <w:r>
        <w:rPr>
          <w:spacing w:val="-7"/>
          <w:vertAlign w:val="baseline"/>
        </w:rPr>
        <w:t> </w:t>
      </w:r>
      <w:r>
        <w:rPr>
          <w:vertAlign w:val="baseline"/>
        </w:rPr>
        <w:t>diminution</w:t>
      </w:r>
      <w:r>
        <w:rPr>
          <w:spacing w:val="-7"/>
          <w:vertAlign w:val="baseline"/>
        </w:rPr>
        <w:t> </w:t>
      </w:r>
      <w:r>
        <w:rPr>
          <w:vertAlign w:val="baseline"/>
        </w:rPr>
        <w:t>in</w:t>
      </w:r>
      <w:r>
        <w:rPr>
          <w:spacing w:val="-5"/>
          <w:vertAlign w:val="baseline"/>
        </w:rPr>
        <w:t> </w:t>
      </w:r>
      <w:r>
        <w:rPr>
          <w:vertAlign w:val="baseline"/>
        </w:rPr>
        <w:t>the</w:t>
      </w:r>
      <w:r>
        <w:rPr>
          <w:spacing w:val="-6"/>
          <w:vertAlign w:val="baseline"/>
        </w:rPr>
        <w:t> </w:t>
      </w:r>
      <w:r>
        <w:rPr>
          <w:vertAlign w:val="baseline"/>
        </w:rPr>
        <w:t>rights</w:t>
      </w:r>
      <w:r>
        <w:rPr>
          <w:spacing w:val="-7"/>
          <w:vertAlign w:val="baseline"/>
        </w:rPr>
        <w:t> </w:t>
      </w:r>
      <w:r>
        <w:rPr>
          <w:vertAlign w:val="baseline"/>
        </w:rPr>
        <w:t>of</w:t>
      </w:r>
      <w:r>
        <w:rPr>
          <w:spacing w:val="-7"/>
          <w:vertAlign w:val="baseline"/>
        </w:rPr>
        <w:t> </w:t>
      </w:r>
      <w:r>
        <w:rPr>
          <w:vertAlign w:val="baseline"/>
        </w:rPr>
        <w:t>unaccompanied</w:t>
      </w:r>
      <w:r>
        <w:rPr>
          <w:spacing w:val="-7"/>
          <w:vertAlign w:val="baseline"/>
        </w:rPr>
        <w:t> </w:t>
      </w:r>
      <w:r>
        <w:rPr>
          <w:vertAlign w:val="baseline"/>
        </w:rPr>
        <w:t>children as protected by the Dublin III regulations.</w:t>
      </w:r>
      <w:r>
        <w:rPr>
          <w:vertAlign w:val="superscript"/>
        </w:rPr>
        <w:t>613</w:t>
      </w:r>
      <w:r>
        <w:rPr>
          <w:vertAlign w:val="baseline"/>
        </w:rPr>
        <w:t> Finally the Act’s removal of a fact- based judicial review challenge to age assessments led to a diminution of rights.</w:t>
      </w:r>
      <w:r>
        <w:rPr>
          <w:vertAlign w:val="superscript"/>
        </w:rPr>
        <w:t>614</w:t>
      </w:r>
    </w:p>
    <w:p>
      <w:pPr>
        <w:pStyle w:val="BodyText"/>
        <w:spacing w:line="232" w:lineRule="auto" w:before="268"/>
        <w:ind w:left="1117" w:right="1713"/>
      </w:pPr>
      <w:r>
        <w:rPr/>
        <w:t>The Court concluded on Article 2 WF arguments that disapplication was the</w:t>
      </w:r>
      <w:r>
        <w:rPr>
          <w:spacing w:val="-6"/>
        </w:rPr>
        <w:t> </w:t>
      </w:r>
      <w:r>
        <w:rPr/>
        <w:t>required</w:t>
      </w:r>
      <w:r>
        <w:rPr>
          <w:spacing w:val="-7"/>
        </w:rPr>
        <w:t> </w:t>
      </w:r>
      <w:r>
        <w:rPr/>
        <w:t>remedy</w:t>
      </w:r>
      <w:r>
        <w:rPr>
          <w:spacing w:val="-6"/>
        </w:rPr>
        <w:t> </w:t>
      </w:r>
      <w:r>
        <w:rPr/>
        <w:t>in</w:t>
      </w:r>
      <w:r>
        <w:rPr>
          <w:spacing w:val="-7"/>
        </w:rPr>
        <w:t> </w:t>
      </w:r>
      <w:r>
        <w:rPr/>
        <w:t>line</w:t>
      </w:r>
      <w:r>
        <w:rPr>
          <w:spacing w:val="-6"/>
        </w:rPr>
        <w:t> </w:t>
      </w:r>
      <w:r>
        <w:rPr/>
        <w:t>with</w:t>
      </w:r>
      <w:r>
        <w:rPr>
          <w:spacing w:val="-7"/>
        </w:rPr>
        <w:t> </w:t>
      </w:r>
      <w:r>
        <w:rPr/>
        <w:t>‘the</w:t>
      </w:r>
      <w:r>
        <w:rPr>
          <w:spacing w:val="-6"/>
        </w:rPr>
        <w:t> </w:t>
      </w:r>
      <w:r>
        <w:rPr/>
        <w:t>will</w:t>
      </w:r>
      <w:r>
        <w:rPr>
          <w:spacing w:val="-7"/>
        </w:rPr>
        <w:t> </w:t>
      </w:r>
      <w:r>
        <w:rPr/>
        <w:t>of</w:t>
      </w:r>
      <w:r>
        <w:rPr>
          <w:spacing w:val="-7"/>
        </w:rPr>
        <w:t> </w:t>
      </w:r>
      <w:r>
        <w:rPr/>
        <w:t>Parliament’</w:t>
      </w:r>
      <w:r>
        <w:rPr>
          <w:vertAlign w:val="superscript"/>
        </w:rPr>
        <w:t>615</w:t>
      </w:r>
      <w:r>
        <w:rPr>
          <w:spacing w:val="-7"/>
          <w:vertAlign w:val="baseline"/>
        </w:rPr>
        <w:t> </w:t>
      </w:r>
      <w:r>
        <w:rPr>
          <w:vertAlign w:val="baseline"/>
        </w:rPr>
        <w:t>and</w:t>
      </w:r>
      <w:r>
        <w:rPr>
          <w:spacing w:val="-7"/>
          <w:vertAlign w:val="baseline"/>
        </w:rPr>
        <w:t> </w:t>
      </w:r>
      <w:r>
        <w:rPr>
          <w:vertAlign w:val="baseline"/>
        </w:rPr>
        <w:t>ordered</w:t>
      </w:r>
      <w:r>
        <w:rPr>
          <w:spacing w:val="-7"/>
          <w:vertAlign w:val="baseline"/>
        </w:rPr>
        <w:t> </w:t>
      </w:r>
      <w:r>
        <w:rPr>
          <w:vertAlign w:val="baseline"/>
        </w:rPr>
        <w:t>the</w:t>
      </w:r>
    </w:p>
    <w:p>
      <w:pPr>
        <w:pStyle w:val="BodyText"/>
        <w:spacing w:line="325" w:lineRule="exact"/>
        <w:ind w:left="1117"/>
      </w:pPr>
      <w:r>
        <w:rPr/>
        <w:t>disapplication</w:t>
      </w:r>
      <w:r>
        <w:rPr>
          <w:spacing w:val="-7"/>
        </w:rPr>
        <w:t> </w:t>
      </w:r>
      <w:r>
        <w:rPr/>
        <w:t>as</w:t>
      </w:r>
      <w:r>
        <w:rPr>
          <w:spacing w:val="-6"/>
        </w:rPr>
        <w:t> </w:t>
      </w:r>
      <w:r>
        <w:rPr/>
        <w:t>regards</w:t>
      </w:r>
      <w:r>
        <w:rPr>
          <w:spacing w:val="-7"/>
        </w:rPr>
        <w:t> </w:t>
      </w:r>
      <w:r>
        <w:rPr/>
        <w:t>Northern</w:t>
      </w:r>
      <w:r>
        <w:rPr>
          <w:spacing w:val="-6"/>
        </w:rPr>
        <w:t> </w:t>
      </w:r>
      <w:r>
        <w:rPr/>
        <w:t>Ireland</w:t>
      </w:r>
      <w:r>
        <w:rPr>
          <w:spacing w:val="-7"/>
        </w:rPr>
        <w:t> </w:t>
      </w:r>
      <w:r>
        <w:rPr/>
        <w:t>of</w:t>
      </w:r>
      <w:r>
        <w:rPr>
          <w:spacing w:val="-6"/>
        </w:rPr>
        <w:t> </w:t>
      </w:r>
      <w:r>
        <w:rPr/>
        <w:t>sections</w:t>
      </w:r>
      <w:r>
        <w:rPr>
          <w:spacing w:val="-7"/>
        </w:rPr>
        <w:t> </w:t>
      </w:r>
      <w:r>
        <w:rPr/>
        <w:t>2(1),</w:t>
      </w:r>
      <w:r>
        <w:rPr>
          <w:spacing w:val="-6"/>
        </w:rPr>
        <w:t> </w:t>
      </w:r>
      <w:r>
        <w:rPr/>
        <w:t>5(1),</w:t>
      </w:r>
      <w:r>
        <w:rPr>
          <w:spacing w:val="-5"/>
        </w:rPr>
        <w:t> </w:t>
      </w:r>
      <w:r>
        <w:rPr/>
        <w:t>5(2),</w:t>
      </w:r>
      <w:r>
        <w:rPr>
          <w:spacing w:val="-6"/>
        </w:rPr>
        <w:t> </w:t>
      </w:r>
      <w:r>
        <w:rPr/>
        <w:t>6,</w:t>
      </w:r>
      <w:r>
        <w:rPr>
          <w:spacing w:val="-5"/>
        </w:rPr>
        <w:t> </w:t>
      </w:r>
      <w:r>
        <w:rPr>
          <w:spacing w:val="-2"/>
        </w:rPr>
        <w:t>13(4),</w:t>
      </w:r>
    </w:p>
    <w:p>
      <w:pPr>
        <w:pStyle w:val="BodyText"/>
        <w:spacing w:line="336" w:lineRule="exact"/>
        <w:ind w:left="1117"/>
      </w:pPr>
      <w:r>
        <w:rPr/>
        <w:t>22(2),</w:t>
      </w:r>
      <w:r>
        <w:rPr>
          <w:spacing w:val="-1"/>
        </w:rPr>
        <w:t> </w:t>
      </w:r>
      <w:r>
        <w:rPr/>
        <w:t>22(3), 25,</w:t>
      </w:r>
      <w:r>
        <w:rPr>
          <w:spacing w:val="-1"/>
        </w:rPr>
        <w:t> </w:t>
      </w:r>
      <w:r>
        <w:rPr/>
        <w:t>54 and</w:t>
      </w:r>
      <w:r>
        <w:rPr>
          <w:spacing w:val="-1"/>
        </w:rPr>
        <w:t> </w:t>
      </w:r>
      <w:r>
        <w:rPr>
          <w:spacing w:val="-2"/>
        </w:rPr>
        <w:t>57.</w:t>
      </w:r>
      <w:r>
        <w:rPr>
          <w:spacing w:val="-2"/>
          <w:vertAlign w:val="superscript"/>
        </w:rPr>
        <w:t>616</w:t>
      </w:r>
    </w:p>
    <w:p>
      <w:pPr>
        <w:pStyle w:val="BodyText"/>
        <w:spacing w:before="15"/>
      </w:pPr>
    </w:p>
    <w:p>
      <w:pPr>
        <w:pStyle w:val="Heading2"/>
        <w:numPr>
          <w:ilvl w:val="1"/>
          <w:numId w:val="45"/>
        </w:numPr>
        <w:tabs>
          <w:tab w:pos="1599" w:val="left" w:leader="none"/>
        </w:tabs>
        <w:spacing w:line="240" w:lineRule="auto" w:before="1" w:after="0"/>
        <w:ind w:left="1599" w:right="0" w:hanging="482"/>
        <w:jc w:val="left"/>
      </w:pPr>
      <w:r>
        <w:rPr>
          <w:color w:val="004A93"/>
          <w:spacing w:val="-2"/>
        </w:rPr>
        <w:t>Conclusion</w:t>
      </w:r>
    </w:p>
    <w:p>
      <w:pPr>
        <w:pStyle w:val="BodyText"/>
        <w:spacing w:before="9"/>
        <w:rPr>
          <w:b/>
          <w:sz w:val="5"/>
        </w:rPr>
      </w:pPr>
      <w:r>
        <w:rPr/>
        <mc:AlternateContent>
          <mc:Choice Requires="wps">
            <w:drawing>
              <wp:anchor distT="0" distB="0" distL="0" distR="0" allowOverlap="1" layoutInCell="1" locked="0" behindDoc="1" simplePos="0" relativeHeight="487768064">
                <wp:simplePos x="0" y="0"/>
                <wp:positionH relativeFrom="page">
                  <wp:posOffset>899999</wp:posOffset>
                </wp:positionH>
                <wp:positionV relativeFrom="paragraph">
                  <wp:posOffset>59730</wp:posOffset>
                </wp:positionV>
                <wp:extent cx="6012180" cy="1270"/>
                <wp:effectExtent l="0" t="0" r="0" b="0"/>
                <wp:wrapTopAndBottom/>
                <wp:docPr id="953" name="Graphic 953"/>
                <wp:cNvGraphicFramePr>
                  <a:graphicFrameLocks/>
                </wp:cNvGraphicFramePr>
                <a:graphic>
                  <a:graphicData uri="http://schemas.microsoft.com/office/word/2010/wordprocessingShape">
                    <wps:wsp>
                      <wps:cNvPr id="953" name="Graphic 953"/>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703187pt;width:473.4pt;height:.1pt;mso-position-horizontal-relative:page;mso-position-vertical-relative:paragraph;z-index:-15548416;mso-wrap-distance-left:0;mso-wrap-distance-right:0" id="docshape782" coordorigin="1417,94" coordsize="9468,0" path="m1417,94l10885,94e" filled="false" stroked="true" strokeweight="1pt" strokecolor="#36a9e1">
                <v:path arrowok="t"/>
                <v:stroke dashstyle="solid"/>
                <w10:wrap type="topAndBottom"/>
              </v:shape>
            </w:pict>
          </mc:Fallback>
        </mc:AlternateContent>
      </w:r>
    </w:p>
    <w:p>
      <w:pPr>
        <w:pStyle w:val="BodyText"/>
        <w:spacing w:line="232" w:lineRule="auto" w:before="108"/>
        <w:ind w:left="1117" w:right="738"/>
      </w:pPr>
      <w:r>
        <w:rPr/>
        <w:t>In</w:t>
      </w:r>
      <w:r>
        <w:rPr>
          <w:spacing w:val="-5"/>
        </w:rPr>
        <w:t> </w:t>
      </w:r>
      <w:r>
        <w:rPr/>
        <w:t>this</w:t>
      </w:r>
      <w:r>
        <w:rPr>
          <w:spacing w:val="-5"/>
        </w:rPr>
        <w:t> </w:t>
      </w:r>
      <w:r>
        <w:rPr/>
        <w:t>chapter</w:t>
      </w:r>
      <w:r>
        <w:rPr>
          <w:spacing w:val="-4"/>
        </w:rPr>
        <w:t> </w:t>
      </w:r>
      <w:r>
        <w:rPr/>
        <w:t>we</w:t>
      </w:r>
      <w:r>
        <w:rPr>
          <w:spacing w:val="-4"/>
        </w:rPr>
        <w:t> </w:t>
      </w:r>
      <w:r>
        <w:rPr/>
        <w:t>have</w:t>
      </w:r>
      <w:r>
        <w:rPr>
          <w:spacing w:val="-4"/>
        </w:rPr>
        <w:t> </w:t>
      </w:r>
      <w:r>
        <w:rPr/>
        <w:t>explained</w:t>
      </w:r>
      <w:r>
        <w:rPr>
          <w:spacing w:val="-5"/>
        </w:rPr>
        <w:t> </w:t>
      </w:r>
      <w:r>
        <w:rPr/>
        <w:t>the</w:t>
      </w:r>
      <w:r>
        <w:rPr>
          <w:spacing w:val="-4"/>
        </w:rPr>
        <w:t> </w:t>
      </w:r>
      <w:r>
        <w:rPr/>
        <w:t>approaches</w:t>
      </w:r>
      <w:r>
        <w:rPr>
          <w:spacing w:val="-5"/>
        </w:rPr>
        <w:t> </w:t>
      </w:r>
      <w:r>
        <w:rPr/>
        <w:t>which</w:t>
      </w:r>
      <w:r>
        <w:rPr>
          <w:spacing w:val="-5"/>
        </w:rPr>
        <w:t> </w:t>
      </w:r>
      <w:r>
        <w:rPr/>
        <w:t>courts</w:t>
      </w:r>
      <w:r>
        <w:rPr>
          <w:spacing w:val="-5"/>
        </w:rPr>
        <w:t> </w:t>
      </w:r>
      <w:r>
        <w:rPr/>
        <w:t>in</w:t>
      </w:r>
      <w:r>
        <w:rPr>
          <w:spacing w:val="-5"/>
        </w:rPr>
        <w:t> </w:t>
      </w:r>
      <w:r>
        <w:rPr/>
        <w:t>the</w:t>
      </w:r>
      <w:r>
        <w:rPr>
          <w:spacing w:val="-4"/>
        </w:rPr>
        <w:t> </w:t>
      </w:r>
      <w:r>
        <w:rPr/>
        <w:t>UK</w:t>
      </w:r>
      <w:r>
        <w:rPr>
          <w:spacing w:val="-4"/>
        </w:rPr>
        <w:t> </w:t>
      </w:r>
      <w:r>
        <w:rPr/>
        <w:t>must</w:t>
      </w:r>
      <w:r>
        <w:rPr>
          <w:spacing w:val="-4"/>
        </w:rPr>
        <w:t> </w:t>
      </w:r>
      <w:r>
        <w:rPr/>
        <w:t>now take</w:t>
      </w:r>
      <w:r>
        <w:rPr>
          <w:spacing w:val="-3"/>
        </w:rPr>
        <w:t> </w:t>
      </w:r>
      <w:r>
        <w:rPr/>
        <w:t>to</w:t>
      </w:r>
      <w:r>
        <w:rPr>
          <w:spacing w:val="-4"/>
        </w:rPr>
        <w:t> </w:t>
      </w:r>
      <w:r>
        <w:rPr/>
        <w:t>matters</w:t>
      </w:r>
      <w:r>
        <w:rPr>
          <w:spacing w:val="-4"/>
        </w:rPr>
        <w:t> </w:t>
      </w:r>
      <w:r>
        <w:rPr/>
        <w:t>of</w:t>
      </w:r>
      <w:r>
        <w:rPr>
          <w:spacing w:val="-4"/>
        </w:rPr>
        <w:t> </w:t>
      </w:r>
      <w:r>
        <w:rPr/>
        <w:t>EU</w:t>
      </w:r>
      <w:r>
        <w:rPr>
          <w:spacing w:val="-3"/>
        </w:rPr>
        <w:t> </w:t>
      </w:r>
      <w:r>
        <w:rPr/>
        <w:t>law</w:t>
      </w:r>
      <w:r>
        <w:rPr>
          <w:spacing w:val="-3"/>
        </w:rPr>
        <w:t> </w:t>
      </w:r>
      <w:r>
        <w:rPr/>
        <w:t>and</w:t>
      </w:r>
      <w:r>
        <w:rPr>
          <w:spacing w:val="-4"/>
        </w:rPr>
        <w:t> </w:t>
      </w:r>
      <w:r>
        <w:rPr/>
        <w:t>the</w:t>
      </w:r>
      <w:r>
        <w:rPr>
          <w:spacing w:val="-3"/>
        </w:rPr>
        <w:t> </w:t>
      </w:r>
      <w:r>
        <w:rPr/>
        <w:t>role</w:t>
      </w:r>
      <w:r>
        <w:rPr>
          <w:spacing w:val="-3"/>
        </w:rPr>
        <w:t> </w:t>
      </w:r>
      <w:r>
        <w:rPr/>
        <w:t>of</w:t>
      </w:r>
      <w:r>
        <w:rPr>
          <w:spacing w:val="-4"/>
        </w:rPr>
        <w:t> </w:t>
      </w:r>
      <w:r>
        <w:rPr/>
        <w:t>the</w:t>
      </w:r>
      <w:r>
        <w:rPr>
          <w:spacing w:val="-3"/>
        </w:rPr>
        <w:t> </w:t>
      </w:r>
      <w:r>
        <w:rPr/>
        <w:t>CJEU.</w:t>
      </w:r>
      <w:r>
        <w:rPr>
          <w:spacing w:val="-4"/>
        </w:rPr>
        <w:t> </w:t>
      </w:r>
      <w:r>
        <w:rPr/>
        <w:t>In</w:t>
      </w:r>
      <w:r>
        <w:rPr>
          <w:spacing w:val="-4"/>
        </w:rPr>
        <w:t> </w:t>
      </w:r>
      <w:r>
        <w:rPr/>
        <w:t>particular,</w:t>
      </w:r>
      <w:r>
        <w:rPr>
          <w:spacing w:val="-3"/>
        </w:rPr>
        <w:t> </w:t>
      </w:r>
      <w:r>
        <w:rPr/>
        <w:t>we</w:t>
      </w:r>
      <w:r>
        <w:rPr>
          <w:spacing w:val="-3"/>
        </w:rPr>
        <w:t> </w:t>
      </w:r>
      <w:r>
        <w:rPr/>
        <w:t>have</w:t>
      </w:r>
      <w:r>
        <w:rPr>
          <w:spacing w:val="-3"/>
        </w:rPr>
        <w:t> </w:t>
      </w:r>
      <w:r>
        <w:rPr/>
        <w:t>discussed the different approaches required where the courts are dealing with retained (or assimilated) EU law, dealing with the Withdrawal Agreement and dealing with the Windsor Framework. EU law principles and CJEU precedent have greatest salience in</w:t>
      </w:r>
      <w:r>
        <w:rPr>
          <w:spacing w:val="-5"/>
        </w:rPr>
        <w:t> </w:t>
      </w:r>
      <w:r>
        <w:rPr/>
        <w:t>relation</w:t>
      </w:r>
      <w:r>
        <w:rPr>
          <w:spacing w:val="-5"/>
        </w:rPr>
        <w:t> </w:t>
      </w:r>
      <w:r>
        <w:rPr/>
        <w:t>to</w:t>
      </w:r>
      <w:r>
        <w:rPr>
          <w:spacing w:val="-5"/>
        </w:rPr>
        <w:t> </w:t>
      </w:r>
      <w:r>
        <w:rPr/>
        <w:t>the</w:t>
      </w:r>
      <w:r>
        <w:rPr>
          <w:spacing w:val="-4"/>
        </w:rPr>
        <w:t> </w:t>
      </w:r>
      <w:r>
        <w:rPr/>
        <w:t>Windsor</w:t>
      </w:r>
      <w:r>
        <w:rPr>
          <w:spacing w:val="-4"/>
        </w:rPr>
        <w:t> </w:t>
      </w:r>
      <w:r>
        <w:rPr/>
        <w:t>Framework.</w:t>
      </w:r>
      <w:r>
        <w:rPr>
          <w:spacing w:val="-5"/>
        </w:rPr>
        <w:t> </w:t>
      </w:r>
      <w:r>
        <w:rPr/>
        <w:t>All</w:t>
      </w:r>
      <w:r>
        <w:rPr>
          <w:spacing w:val="-5"/>
        </w:rPr>
        <w:t> </w:t>
      </w:r>
      <w:r>
        <w:rPr/>
        <w:t>these</w:t>
      </w:r>
      <w:r>
        <w:rPr>
          <w:spacing w:val="-4"/>
        </w:rPr>
        <w:t> </w:t>
      </w:r>
      <w:r>
        <w:rPr/>
        <w:t>areas</w:t>
      </w:r>
      <w:r>
        <w:rPr>
          <w:spacing w:val="-5"/>
        </w:rPr>
        <w:t> </w:t>
      </w:r>
      <w:r>
        <w:rPr/>
        <w:t>of</w:t>
      </w:r>
      <w:r>
        <w:rPr>
          <w:spacing w:val="-5"/>
        </w:rPr>
        <w:t> </w:t>
      </w:r>
      <w:r>
        <w:rPr/>
        <w:t>case</w:t>
      </w:r>
      <w:r>
        <w:rPr>
          <w:spacing w:val="-4"/>
        </w:rPr>
        <w:t> </w:t>
      </w:r>
      <w:r>
        <w:rPr/>
        <w:t>law</w:t>
      </w:r>
      <w:r>
        <w:rPr>
          <w:spacing w:val="-4"/>
        </w:rPr>
        <w:t> </w:t>
      </w:r>
      <w:r>
        <w:rPr/>
        <w:t>are</w:t>
      </w:r>
      <w:r>
        <w:rPr>
          <w:spacing w:val="-4"/>
        </w:rPr>
        <w:t> </w:t>
      </w:r>
      <w:r>
        <w:rPr/>
        <w:t>novel</w:t>
      </w:r>
      <w:r>
        <w:rPr>
          <w:spacing w:val="-5"/>
        </w:rPr>
        <w:t> </w:t>
      </w:r>
      <w:r>
        <w:rPr/>
        <w:t>and</w:t>
      </w:r>
      <w:r>
        <w:rPr>
          <w:spacing w:val="-5"/>
        </w:rPr>
        <w:t> </w:t>
      </w:r>
      <w:r>
        <w:rPr/>
        <w:t>the courts are still in the early stages of developing relevant principles.</w:t>
      </w:r>
    </w:p>
    <w:p>
      <w:pPr>
        <w:pStyle w:val="BodyText"/>
        <w:spacing w:line="232" w:lineRule="auto" w:before="272"/>
        <w:ind w:left="1117" w:right="1404"/>
      </w:pPr>
      <w:r>
        <w:rPr/>
        <w:t>The</w:t>
      </w:r>
      <w:r>
        <w:rPr>
          <w:spacing w:val="-6"/>
        </w:rPr>
        <w:t> </w:t>
      </w:r>
      <w:r>
        <w:rPr/>
        <w:t>Northern</w:t>
      </w:r>
      <w:r>
        <w:rPr>
          <w:spacing w:val="-7"/>
        </w:rPr>
        <w:t> </w:t>
      </w:r>
      <w:r>
        <w:rPr/>
        <w:t>Ireland</w:t>
      </w:r>
      <w:r>
        <w:rPr>
          <w:spacing w:val="-7"/>
        </w:rPr>
        <w:t> </w:t>
      </w:r>
      <w:r>
        <w:rPr/>
        <w:t>courts</w:t>
      </w:r>
      <w:r>
        <w:rPr>
          <w:spacing w:val="-7"/>
        </w:rPr>
        <w:t> </w:t>
      </w:r>
      <w:r>
        <w:rPr/>
        <w:t>have</w:t>
      </w:r>
      <w:r>
        <w:rPr>
          <w:spacing w:val="-6"/>
        </w:rPr>
        <w:t> </w:t>
      </w:r>
      <w:r>
        <w:rPr/>
        <w:t>now</w:t>
      </w:r>
      <w:r>
        <w:rPr>
          <w:spacing w:val="-6"/>
        </w:rPr>
        <w:t> </w:t>
      </w:r>
      <w:r>
        <w:rPr/>
        <w:t>elaborated</w:t>
      </w:r>
      <w:r>
        <w:rPr>
          <w:spacing w:val="-7"/>
        </w:rPr>
        <w:t> </w:t>
      </w:r>
      <w:r>
        <w:rPr/>
        <w:t>on</w:t>
      </w:r>
      <w:r>
        <w:rPr>
          <w:spacing w:val="-7"/>
        </w:rPr>
        <w:t> </w:t>
      </w:r>
      <w:r>
        <w:rPr/>
        <w:t>some</w:t>
      </w:r>
      <w:r>
        <w:rPr>
          <w:spacing w:val="-6"/>
        </w:rPr>
        <w:t> </w:t>
      </w:r>
      <w:r>
        <w:rPr/>
        <w:t>important</w:t>
      </w:r>
      <w:r>
        <w:rPr>
          <w:spacing w:val="-6"/>
        </w:rPr>
        <w:t> </w:t>
      </w:r>
      <w:r>
        <w:rPr/>
        <w:t>aspects of Article 2 WF. In a relatively short period of time, they have developed commendably clear principles for the application of Article 2 WF.</w:t>
      </w:r>
    </w:p>
    <w:p>
      <w:pPr>
        <w:pStyle w:val="BodyText"/>
        <w:spacing w:line="232" w:lineRule="auto" w:before="279"/>
        <w:ind w:left="1117" w:right="1010"/>
      </w:pPr>
      <w:r>
        <w:rPr/>
        <w:t>The Court of Appeal in the </w:t>
      </w:r>
      <w:r>
        <w:rPr>
          <w:i/>
        </w:rPr>
        <w:t>SPUC case </w:t>
      </w:r>
      <w:r>
        <w:rPr/>
        <w:t>adopted a six-part test for the application of Article 2 WF which has been followed now in the </w:t>
      </w:r>
      <w:r>
        <w:rPr>
          <w:i/>
        </w:rPr>
        <w:t>Legacy Act cases (Dillon and</w:t>
      </w:r>
      <w:r>
        <w:rPr>
          <w:i/>
        </w:rPr>
        <w:t> others)</w:t>
      </w:r>
      <w:r>
        <w:rPr>
          <w:i/>
          <w:spacing w:val="-3"/>
        </w:rPr>
        <w:t> </w:t>
      </w:r>
      <w:r>
        <w:rPr/>
        <w:t>and</w:t>
      </w:r>
      <w:r>
        <w:rPr>
          <w:spacing w:val="-4"/>
        </w:rPr>
        <w:t> </w:t>
      </w:r>
      <w:r>
        <w:rPr/>
        <w:t>the</w:t>
      </w:r>
      <w:r>
        <w:rPr>
          <w:spacing w:val="-3"/>
        </w:rPr>
        <w:t> </w:t>
      </w:r>
      <w:r>
        <w:rPr>
          <w:i/>
        </w:rPr>
        <w:t>Illegal</w:t>
      </w:r>
      <w:r>
        <w:rPr>
          <w:i/>
          <w:spacing w:val="-4"/>
        </w:rPr>
        <w:t> </w:t>
      </w:r>
      <w:r>
        <w:rPr>
          <w:i/>
        </w:rPr>
        <w:t>Migration</w:t>
      </w:r>
      <w:r>
        <w:rPr>
          <w:i/>
          <w:spacing w:val="-4"/>
        </w:rPr>
        <w:t> </w:t>
      </w:r>
      <w:r>
        <w:rPr>
          <w:i/>
        </w:rPr>
        <w:t>Act</w:t>
      </w:r>
      <w:r>
        <w:rPr>
          <w:i/>
          <w:spacing w:val="-3"/>
        </w:rPr>
        <w:t> </w:t>
      </w:r>
      <w:r>
        <w:rPr>
          <w:i/>
        </w:rPr>
        <w:t>case</w:t>
      </w:r>
      <w:r>
        <w:rPr/>
        <w:t>.</w:t>
      </w:r>
      <w:r>
        <w:rPr>
          <w:spacing w:val="-3"/>
        </w:rPr>
        <w:t> </w:t>
      </w:r>
      <w:r>
        <w:rPr>
          <w:i/>
        </w:rPr>
        <w:t>Angesom</w:t>
      </w:r>
      <w:r>
        <w:rPr>
          <w:i/>
          <w:spacing w:val="-3"/>
        </w:rPr>
        <w:t> </w:t>
      </w:r>
      <w:r>
        <w:rPr/>
        <w:t>and</w:t>
      </w:r>
      <w:r>
        <w:rPr>
          <w:spacing w:val="-4"/>
        </w:rPr>
        <w:t> </w:t>
      </w:r>
      <w:r>
        <w:rPr/>
        <w:t>the</w:t>
      </w:r>
      <w:r>
        <w:rPr>
          <w:spacing w:val="-3"/>
        </w:rPr>
        <w:t> </w:t>
      </w:r>
      <w:r>
        <w:rPr>
          <w:i/>
        </w:rPr>
        <w:t>Illegal</w:t>
      </w:r>
      <w:r>
        <w:rPr>
          <w:i/>
          <w:spacing w:val="-4"/>
        </w:rPr>
        <w:t> </w:t>
      </w:r>
      <w:r>
        <w:rPr>
          <w:i/>
        </w:rPr>
        <w:t>Migration</w:t>
      </w:r>
      <w:r>
        <w:rPr>
          <w:i/>
          <w:spacing w:val="-4"/>
        </w:rPr>
        <w:t> </w:t>
      </w:r>
      <w:r>
        <w:rPr>
          <w:i/>
        </w:rPr>
        <w:t>Act</w:t>
      </w:r>
      <w:r>
        <w:rPr>
          <w:i/>
        </w:rPr>
        <w:t> case </w:t>
      </w:r>
      <w:r>
        <w:rPr/>
        <w:t>confirm that aspects of EU asylum legislation fall within the scope of Article 2 WF, and that asylum-seekers are members of the community for the purposes of</w:t>
      </w:r>
      <w:r>
        <w:rPr>
          <w:spacing w:val="-1"/>
        </w:rPr>
        <w:t> </w:t>
      </w:r>
      <w:r>
        <w:rPr/>
        <w:t>the 1998 Agreement.</w:t>
      </w:r>
      <w:r>
        <w:rPr>
          <w:spacing w:val="-1"/>
        </w:rPr>
        <w:t> </w:t>
      </w:r>
      <w:r>
        <w:rPr/>
        <w:t>The cases</w:t>
      </w:r>
      <w:r>
        <w:rPr>
          <w:spacing w:val="-1"/>
        </w:rPr>
        <w:t> </w:t>
      </w:r>
      <w:r>
        <w:rPr/>
        <w:t>also</w:t>
      </w:r>
      <w:r>
        <w:rPr>
          <w:spacing w:val="-1"/>
        </w:rPr>
        <w:t> </w:t>
      </w:r>
      <w:r>
        <w:rPr/>
        <w:t>reject an</w:t>
      </w:r>
      <w:r>
        <w:rPr>
          <w:spacing w:val="-1"/>
        </w:rPr>
        <w:t> </w:t>
      </w:r>
      <w:r>
        <w:rPr/>
        <w:t>effort by the UK Government to limit</w:t>
      </w:r>
      <w:r>
        <w:rPr>
          <w:spacing w:val="-2"/>
        </w:rPr>
        <w:t> </w:t>
      </w:r>
      <w:r>
        <w:rPr/>
        <w:t>the</w:t>
      </w:r>
      <w:r>
        <w:rPr>
          <w:spacing w:val="-2"/>
        </w:rPr>
        <w:t> </w:t>
      </w:r>
      <w:r>
        <w:rPr/>
        <w:t>scope</w:t>
      </w:r>
      <w:r>
        <w:rPr>
          <w:spacing w:val="-2"/>
        </w:rPr>
        <w:t> </w:t>
      </w:r>
      <w:r>
        <w:rPr/>
        <w:t>of</w:t>
      </w:r>
      <w:r>
        <w:rPr>
          <w:spacing w:val="-3"/>
        </w:rPr>
        <w:t> </w:t>
      </w:r>
      <w:r>
        <w:rPr/>
        <w:t>the</w:t>
      </w:r>
      <w:r>
        <w:rPr>
          <w:spacing w:val="-2"/>
        </w:rPr>
        <w:t> </w:t>
      </w:r>
      <w:r>
        <w:rPr/>
        <w:t>1998</w:t>
      </w:r>
      <w:r>
        <w:rPr>
          <w:spacing w:val="-2"/>
        </w:rPr>
        <w:t> </w:t>
      </w:r>
      <w:r>
        <w:rPr/>
        <w:t>Agreement</w:t>
      </w:r>
      <w:r>
        <w:rPr>
          <w:spacing w:val="-2"/>
        </w:rPr>
        <w:t> </w:t>
      </w:r>
      <w:r>
        <w:rPr/>
        <w:t>section</w:t>
      </w:r>
      <w:r>
        <w:rPr>
          <w:spacing w:val="-3"/>
        </w:rPr>
        <w:t> </w:t>
      </w:r>
      <w:r>
        <w:rPr/>
        <w:t>on</w:t>
      </w:r>
      <w:r>
        <w:rPr>
          <w:spacing w:val="-3"/>
        </w:rPr>
        <w:t> </w:t>
      </w:r>
      <w:r>
        <w:rPr/>
        <w:t>rights,</w:t>
      </w:r>
      <w:r>
        <w:rPr>
          <w:spacing w:val="-2"/>
        </w:rPr>
        <w:t> </w:t>
      </w:r>
      <w:r>
        <w:rPr/>
        <w:t>safeguards</w:t>
      </w:r>
      <w:r>
        <w:rPr>
          <w:spacing w:val="-3"/>
        </w:rPr>
        <w:t> </w:t>
      </w:r>
      <w:r>
        <w:rPr/>
        <w:t>and</w:t>
      </w:r>
      <w:r>
        <w:rPr>
          <w:spacing w:val="-3"/>
        </w:rPr>
        <w:t> </w:t>
      </w:r>
      <w:r>
        <w:rPr/>
        <w:t>equality</w:t>
      </w:r>
    </w:p>
    <w:p>
      <w:pPr>
        <w:pStyle w:val="BodyText"/>
        <w:spacing w:before="9"/>
        <w:rPr>
          <w:sz w:val="8"/>
        </w:rPr>
      </w:pPr>
      <w:r>
        <w:rPr/>
        <mc:AlternateContent>
          <mc:Choice Requires="wps">
            <w:drawing>
              <wp:anchor distT="0" distB="0" distL="0" distR="0" allowOverlap="1" layoutInCell="1" locked="0" behindDoc="1" simplePos="0" relativeHeight="487768576">
                <wp:simplePos x="0" y="0"/>
                <wp:positionH relativeFrom="page">
                  <wp:posOffset>899999</wp:posOffset>
                </wp:positionH>
                <wp:positionV relativeFrom="paragraph">
                  <wp:posOffset>83118</wp:posOffset>
                </wp:positionV>
                <wp:extent cx="6012180" cy="1270"/>
                <wp:effectExtent l="0" t="0" r="0" b="0"/>
                <wp:wrapTopAndBottom/>
                <wp:docPr id="954" name="Graphic 954"/>
                <wp:cNvGraphicFramePr>
                  <a:graphicFrameLocks/>
                </wp:cNvGraphicFramePr>
                <a:graphic>
                  <a:graphicData uri="http://schemas.microsoft.com/office/word/2010/wordprocessingShape">
                    <wps:wsp>
                      <wps:cNvPr id="954" name="Graphic 95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6.544776pt;width:473.4pt;height:.1pt;mso-position-horizontal-relative:page;mso-position-vertical-relative:paragraph;z-index:-15547904;mso-wrap-distance-left:0;mso-wrap-distance-right:0" id="docshape783" coordorigin="1417,131" coordsize="9468,0" path="m1417,131l10885,131e" filled="false" stroked="true" strokeweight=".5pt" strokecolor="#36a9e1">
                <v:path arrowok="t"/>
                <v:stroke dashstyle="solid"/>
                <w10:wrap type="topAndBottom"/>
              </v:shape>
            </w:pict>
          </mc:Fallback>
        </mc:AlternateContent>
      </w:r>
    </w:p>
    <w:p>
      <w:pPr>
        <w:tabs>
          <w:tab w:pos="1684" w:val="left" w:leader="none"/>
        </w:tabs>
        <w:spacing w:before="43"/>
        <w:ind w:left="1117" w:right="0" w:firstLine="0"/>
        <w:jc w:val="left"/>
        <w:rPr>
          <w:sz w:val="18"/>
        </w:rPr>
      </w:pPr>
      <w:r>
        <w:rPr>
          <w:spacing w:val="-5"/>
          <w:sz w:val="18"/>
        </w:rPr>
        <w:t>609</w:t>
      </w:r>
      <w:r>
        <w:rPr>
          <w:sz w:val="18"/>
        </w:rPr>
        <w:tab/>
        <w:t>Ibid., </w:t>
      </w:r>
      <w:r>
        <w:rPr>
          <w:spacing w:val="-2"/>
          <w:sz w:val="18"/>
        </w:rPr>
        <w:t>[137].</w:t>
      </w:r>
    </w:p>
    <w:p>
      <w:pPr>
        <w:tabs>
          <w:tab w:pos="1684" w:val="left" w:leader="none"/>
        </w:tabs>
        <w:spacing w:before="1"/>
        <w:ind w:left="1117" w:right="0" w:firstLine="0"/>
        <w:jc w:val="left"/>
        <w:rPr>
          <w:sz w:val="18"/>
        </w:rPr>
      </w:pPr>
      <w:r>
        <w:rPr>
          <w:spacing w:val="-5"/>
          <w:sz w:val="18"/>
        </w:rPr>
        <w:t>610</w:t>
      </w:r>
      <w:r>
        <w:rPr>
          <w:sz w:val="18"/>
        </w:rPr>
        <w:tab/>
        <w:t>Ibid.,</w:t>
      </w:r>
      <w:r>
        <w:rPr>
          <w:spacing w:val="-6"/>
          <w:sz w:val="18"/>
        </w:rPr>
        <w:t> </w:t>
      </w:r>
      <w:r>
        <w:rPr>
          <w:sz w:val="18"/>
        </w:rPr>
        <w:t>[144]-</w:t>
      </w:r>
      <w:r>
        <w:rPr>
          <w:spacing w:val="-2"/>
          <w:sz w:val="18"/>
        </w:rPr>
        <w:t>[146].</w:t>
      </w:r>
    </w:p>
    <w:p>
      <w:pPr>
        <w:tabs>
          <w:tab w:pos="1684" w:val="left" w:leader="none"/>
        </w:tabs>
        <w:spacing w:before="0"/>
        <w:ind w:left="1117" w:right="0" w:firstLine="0"/>
        <w:jc w:val="left"/>
        <w:rPr>
          <w:sz w:val="18"/>
        </w:rPr>
      </w:pPr>
      <w:r>
        <w:rPr>
          <w:spacing w:val="-5"/>
          <w:sz w:val="18"/>
        </w:rPr>
        <w:t>611</w:t>
      </w:r>
      <w:r>
        <w:rPr>
          <w:sz w:val="18"/>
        </w:rPr>
        <w:tab/>
        <w:t>Ibid.,</w:t>
      </w:r>
      <w:r>
        <w:rPr>
          <w:spacing w:val="-6"/>
          <w:sz w:val="18"/>
        </w:rPr>
        <w:t> </w:t>
      </w:r>
      <w:r>
        <w:rPr>
          <w:sz w:val="18"/>
        </w:rPr>
        <w:t>[157]-</w:t>
      </w:r>
      <w:r>
        <w:rPr>
          <w:spacing w:val="-2"/>
          <w:sz w:val="18"/>
        </w:rPr>
        <w:t>[158].</w:t>
      </w:r>
    </w:p>
    <w:p>
      <w:pPr>
        <w:tabs>
          <w:tab w:pos="1684" w:val="left" w:leader="none"/>
        </w:tabs>
        <w:spacing w:before="0"/>
        <w:ind w:left="1117" w:right="0" w:firstLine="0"/>
        <w:jc w:val="left"/>
        <w:rPr>
          <w:sz w:val="18"/>
        </w:rPr>
      </w:pPr>
      <w:r>
        <w:rPr>
          <w:spacing w:val="-5"/>
          <w:sz w:val="18"/>
        </w:rPr>
        <w:t>612</w:t>
      </w:r>
      <w:r>
        <w:rPr>
          <w:sz w:val="18"/>
        </w:rPr>
        <w:tab/>
        <w:t>Ibid.,</w:t>
      </w:r>
      <w:r>
        <w:rPr>
          <w:spacing w:val="-6"/>
          <w:sz w:val="18"/>
        </w:rPr>
        <w:t> </w:t>
      </w:r>
      <w:r>
        <w:rPr>
          <w:sz w:val="18"/>
        </w:rPr>
        <w:t>[159]-</w:t>
      </w:r>
      <w:r>
        <w:rPr>
          <w:spacing w:val="-2"/>
          <w:sz w:val="18"/>
        </w:rPr>
        <w:t>[164].</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5"/>
          <w:sz w:val="18"/>
        </w:rPr>
        <w:t> </w:t>
      </w:r>
      <w:r>
        <w:rPr>
          <w:sz w:val="18"/>
        </w:rPr>
        <w:t>[161]-[164]</w:t>
      </w:r>
      <w:r>
        <w:rPr>
          <w:spacing w:val="-3"/>
          <w:sz w:val="18"/>
        </w:rPr>
        <w:t> </w:t>
      </w:r>
      <w:r>
        <w:rPr>
          <w:sz w:val="18"/>
        </w:rPr>
        <w:t>(note</w:t>
      </w:r>
      <w:r>
        <w:rPr>
          <w:spacing w:val="-2"/>
          <w:sz w:val="18"/>
        </w:rPr>
        <w:t> </w:t>
      </w:r>
      <w:r>
        <w:rPr>
          <w:sz w:val="18"/>
        </w:rPr>
        <w:t>the</w:t>
      </w:r>
      <w:r>
        <w:rPr>
          <w:spacing w:val="-3"/>
          <w:sz w:val="18"/>
        </w:rPr>
        <w:t> </w:t>
      </w:r>
      <w:r>
        <w:rPr>
          <w:sz w:val="18"/>
        </w:rPr>
        <w:t>paragraph</w:t>
      </w:r>
      <w:r>
        <w:rPr>
          <w:spacing w:val="-3"/>
          <w:sz w:val="18"/>
        </w:rPr>
        <w:t> </w:t>
      </w:r>
      <w:r>
        <w:rPr>
          <w:sz w:val="18"/>
        </w:rPr>
        <w:t>numbers</w:t>
      </w:r>
      <w:r>
        <w:rPr>
          <w:spacing w:val="-4"/>
          <w:sz w:val="18"/>
        </w:rPr>
        <w:t> </w:t>
      </w:r>
      <w:r>
        <w:rPr>
          <w:sz w:val="18"/>
        </w:rPr>
        <w:t>are</w:t>
      </w:r>
      <w:r>
        <w:rPr>
          <w:spacing w:val="-2"/>
          <w:sz w:val="18"/>
        </w:rPr>
        <w:t> repeated).</w:t>
      </w:r>
    </w:p>
    <w:p>
      <w:pPr>
        <w:pStyle w:val="ListParagraph"/>
        <w:numPr>
          <w:ilvl w:val="0"/>
          <w:numId w:val="51"/>
        </w:numPr>
        <w:tabs>
          <w:tab w:pos="1684" w:val="left" w:leader="none"/>
        </w:tabs>
        <w:spacing w:line="240" w:lineRule="auto" w:before="1" w:after="0"/>
        <w:ind w:left="1684" w:right="0" w:hanging="567"/>
        <w:jc w:val="left"/>
        <w:rPr>
          <w:sz w:val="18"/>
        </w:rPr>
      </w:pPr>
      <w:r>
        <w:rPr>
          <w:sz w:val="18"/>
        </w:rPr>
        <w:t>Ibid., </w:t>
      </w:r>
      <w:r>
        <w:rPr>
          <w:spacing w:val="-2"/>
          <w:sz w:val="18"/>
        </w:rPr>
        <w:t>[169].</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 </w:t>
      </w:r>
      <w:r>
        <w:rPr>
          <w:spacing w:val="-2"/>
          <w:sz w:val="18"/>
        </w:rPr>
        <w:t>[175].</w:t>
      </w:r>
    </w:p>
    <w:p>
      <w:pPr>
        <w:pStyle w:val="ListParagraph"/>
        <w:numPr>
          <w:ilvl w:val="0"/>
          <w:numId w:val="51"/>
        </w:numPr>
        <w:tabs>
          <w:tab w:pos="1684" w:val="left" w:leader="none"/>
        </w:tabs>
        <w:spacing w:line="240" w:lineRule="auto" w:before="0" w:after="0"/>
        <w:ind w:left="1684" w:right="1212" w:hanging="567"/>
        <w:jc w:val="left"/>
        <w:rPr>
          <w:sz w:val="18"/>
        </w:rPr>
      </w:pPr>
      <w:r>
        <w:rPr>
          <w:sz w:val="18"/>
        </w:rPr>
        <w:t>Ibid.,</w:t>
      </w:r>
      <w:r>
        <w:rPr>
          <w:spacing w:val="-3"/>
          <w:sz w:val="18"/>
        </w:rPr>
        <w:t> </w:t>
      </w:r>
      <w:r>
        <w:rPr>
          <w:sz w:val="18"/>
        </w:rPr>
        <w:t>[178].</w:t>
      </w:r>
      <w:r>
        <w:rPr>
          <w:spacing w:val="-4"/>
          <w:sz w:val="18"/>
        </w:rPr>
        <w:t> </w:t>
      </w:r>
      <w:r>
        <w:rPr>
          <w:sz w:val="18"/>
        </w:rPr>
        <w:t>The</w:t>
      </w:r>
      <w:r>
        <w:rPr>
          <w:spacing w:val="-3"/>
          <w:sz w:val="18"/>
        </w:rPr>
        <w:t> </w:t>
      </w:r>
      <w:r>
        <w:rPr>
          <w:sz w:val="18"/>
        </w:rPr>
        <w:t>Court</w:t>
      </w:r>
      <w:r>
        <w:rPr>
          <w:spacing w:val="-3"/>
          <w:sz w:val="18"/>
        </w:rPr>
        <w:t> </w:t>
      </w:r>
      <w:r>
        <w:rPr>
          <w:sz w:val="18"/>
        </w:rPr>
        <w:t>also</w:t>
      </w:r>
      <w:r>
        <w:rPr>
          <w:spacing w:val="-4"/>
          <w:sz w:val="18"/>
        </w:rPr>
        <w:t> </w:t>
      </w:r>
      <w:r>
        <w:rPr>
          <w:sz w:val="18"/>
        </w:rPr>
        <w:t>issued</w:t>
      </w:r>
      <w:r>
        <w:rPr>
          <w:spacing w:val="-4"/>
          <w:sz w:val="18"/>
        </w:rPr>
        <w:t> </w:t>
      </w:r>
      <w:r>
        <w:rPr>
          <w:sz w:val="18"/>
        </w:rPr>
        <w:t>declarations</w:t>
      </w:r>
      <w:r>
        <w:rPr>
          <w:spacing w:val="-4"/>
          <w:sz w:val="18"/>
        </w:rPr>
        <w:t> </w:t>
      </w:r>
      <w:r>
        <w:rPr>
          <w:sz w:val="18"/>
        </w:rPr>
        <w:t>of</w:t>
      </w:r>
      <w:r>
        <w:rPr>
          <w:spacing w:val="-4"/>
          <w:sz w:val="18"/>
        </w:rPr>
        <w:t> </w:t>
      </w:r>
      <w:r>
        <w:rPr>
          <w:sz w:val="18"/>
        </w:rPr>
        <w:t>incompatibility</w:t>
      </w:r>
      <w:r>
        <w:rPr>
          <w:spacing w:val="-3"/>
          <w:sz w:val="18"/>
        </w:rPr>
        <w:t> </w:t>
      </w:r>
      <w:r>
        <w:rPr>
          <w:sz w:val="18"/>
        </w:rPr>
        <w:t>under</w:t>
      </w:r>
      <w:r>
        <w:rPr>
          <w:spacing w:val="-3"/>
          <w:sz w:val="18"/>
        </w:rPr>
        <w:t> </w:t>
      </w:r>
      <w:r>
        <w:rPr>
          <w:sz w:val="18"/>
        </w:rPr>
        <w:t>the</w:t>
      </w:r>
      <w:r>
        <w:rPr>
          <w:spacing w:val="-3"/>
          <w:sz w:val="18"/>
        </w:rPr>
        <w:t> </w:t>
      </w:r>
      <w:r>
        <w:rPr>
          <w:sz w:val="18"/>
        </w:rPr>
        <w:t>Human</w:t>
      </w:r>
      <w:r>
        <w:rPr>
          <w:spacing w:val="-4"/>
          <w:sz w:val="18"/>
        </w:rPr>
        <w:t> </w:t>
      </w:r>
      <w:r>
        <w:rPr>
          <w:sz w:val="18"/>
        </w:rPr>
        <w:t>Rights</w:t>
      </w:r>
      <w:r>
        <w:rPr>
          <w:spacing w:val="-4"/>
          <w:sz w:val="18"/>
        </w:rPr>
        <w:t> </w:t>
      </w:r>
      <w:r>
        <w:rPr>
          <w:sz w:val="18"/>
        </w:rPr>
        <w:t>Act</w:t>
      </w:r>
      <w:r>
        <w:rPr>
          <w:spacing w:val="-3"/>
          <w:sz w:val="18"/>
        </w:rPr>
        <w:t> </w:t>
      </w:r>
      <w:r>
        <w:rPr>
          <w:sz w:val="18"/>
        </w:rPr>
        <w:t>for</w:t>
      </w:r>
      <w:r>
        <w:rPr>
          <w:spacing w:val="-3"/>
          <w:sz w:val="18"/>
        </w:rPr>
        <w:t> </w:t>
      </w:r>
      <w:r>
        <w:rPr>
          <w:sz w:val="18"/>
        </w:rPr>
        <w:t>inconsistency</w:t>
      </w:r>
      <w:r>
        <w:rPr>
          <w:spacing w:val="-3"/>
          <w:sz w:val="18"/>
        </w:rPr>
        <w:t> </w:t>
      </w:r>
      <w:r>
        <w:rPr>
          <w:sz w:val="18"/>
        </w:rPr>
        <w:t>with Article 3,4 and 8 ECHR: [255].</w:t>
      </w:r>
    </w:p>
    <w:p>
      <w:pPr>
        <w:spacing w:after="0" w:line="240" w:lineRule="auto"/>
        <w:jc w:val="left"/>
        <w:rPr>
          <w:sz w:val="18"/>
        </w:rPr>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86272">
                <wp:simplePos x="0" y="0"/>
                <wp:positionH relativeFrom="page">
                  <wp:posOffset>0</wp:posOffset>
                </wp:positionH>
                <wp:positionV relativeFrom="page">
                  <wp:posOffset>0</wp:posOffset>
                </wp:positionV>
                <wp:extent cx="7560309" cy="1155065"/>
                <wp:effectExtent l="0" t="0" r="0" b="0"/>
                <wp:wrapNone/>
                <wp:docPr id="955" name="Group 955"/>
                <wp:cNvGraphicFramePr>
                  <a:graphicFrameLocks/>
                </wp:cNvGraphicFramePr>
                <a:graphic>
                  <a:graphicData uri="http://schemas.microsoft.com/office/word/2010/wordprocessingGroup">
                    <wpg:wgp>
                      <wpg:cNvPr id="955" name="Group 955"/>
                      <wpg:cNvGrpSpPr/>
                      <wpg:grpSpPr>
                        <a:xfrm>
                          <a:off x="0" y="0"/>
                          <a:ext cx="7560309" cy="1155065"/>
                          <a:chExt cx="7560309" cy="1155065"/>
                        </a:xfrm>
                      </wpg:grpSpPr>
                      <wps:wsp>
                        <wps:cNvPr id="956" name="Graphic 956"/>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957" name="Graphic 957"/>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30208" id="docshapegroup784" coordorigin="0,0" coordsize="11906,1819">
                <v:shape style="position:absolute;left:0;top:0;width:11906;height:1819" id="docshape785"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116</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spacing w:line="232" w:lineRule="auto" w:before="0"/>
        <w:ind w:left="720" w:right="1404" w:firstLine="0"/>
        <w:jc w:val="left"/>
        <w:rPr>
          <w:sz w:val="28"/>
        </w:rPr>
      </w:pPr>
      <w:r>
        <w:rPr>
          <w:sz w:val="28"/>
        </w:rPr>
        <w:t>of</w:t>
      </w:r>
      <w:r>
        <w:rPr>
          <w:spacing w:val="-6"/>
          <w:sz w:val="28"/>
        </w:rPr>
        <w:t> </w:t>
      </w:r>
      <w:r>
        <w:rPr>
          <w:sz w:val="28"/>
        </w:rPr>
        <w:t>opportunity</w:t>
      </w:r>
      <w:r>
        <w:rPr>
          <w:spacing w:val="-5"/>
          <w:sz w:val="28"/>
        </w:rPr>
        <w:t> </w:t>
      </w:r>
      <w:r>
        <w:rPr>
          <w:sz w:val="28"/>
        </w:rPr>
        <w:t>to</w:t>
      </w:r>
      <w:r>
        <w:rPr>
          <w:spacing w:val="-6"/>
          <w:sz w:val="28"/>
        </w:rPr>
        <w:t> </w:t>
      </w:r>
      <w:r>
        <w:rPr>
          <w:sz w:val="28"/>
        </w:rPr>
        <w:t>conflict-related</w:t>
      </w:r>
      <w:r>
        <w:rPr>
          <w:spacing w:val="-6"/>
          <w:sz w:val="28"/>
        </w:rPr>
        <w:t> </w:t>
      </w:r>
      <w:r>
        <w:rPr>
          <w:sz w:val="28"/>
        </w:rPr>
        <w:t>issues.</w:t>
      </w:r>
      <w:r>
        <w:rPr>
          <w:spacing w:val="-6"/>
          <w:sz w:val="28"/>
        </w:rPr>
        <w:t> </w:t>
      </w:r>
      <w:r>
        <w:rPr>
          <w:sz w:val="28"/>
        </w:rPr>
        <w:t>The</w:t>
      </w:r>
      <w:r>
        <w:rPr>
          <w:spacing w:val="-7"/>
          <w:sz w:val="28"/>
        </w:rPr>
        <w:t> </w:t>
      </w:r>
      <w:r>
        <w:rPr>
          <w:i/>
          <w:sz w:val="28"/>
        </w:rPr>
        <w:t>Legacy</w:t>
      </w:r>
      <w:r>
        <w:rPr>
          <w:i/>
          <w:spacing w:val="-6"/>
          <w:sz w:val="28"/>
        </w:rPr>
        <w:t> </w:t>
      </w:r>
      <w:r>
        <w:rPr>
          <w:i/>
          <w:sz w:val="28"/>
        </w:rPr>
        <w:t>Act</w:t>
      </w:r>
      <w:r>
        <w:rPr>
          <w:i/>
          <w:spacing w:val="-5"/>
          <w:sz w:val="28"/>
        </w:rPr>
        <w:t> </w:t>
      </w:r>
      <w:r>
        <w:rPr>
          <w:i/>
          <w:sz w:val="28"/>
        </w:rPr>
        <w:t>cases</w:t>
      </w:r>
      <w:r>
        <w:rPr>
          <w:i/>
          <w:spacing w:val="-6"/>
          <w:sz w:val="28"/>
        </w:rPr>
        <w:t> </w:t>
      </w:r>
      <w:r>
        <w:rPr>
          <w:i/>
          <w:sz w:val="28"/>
        </w:rPr>
        <w:t>(Dillon</w:t>
      </w:r>
      <w:r>
        <w:rPr>
          <w:i/>
          <w:spacing w:val="-6"/>
          <w:sz w:val="28"/>
        </w:rPr>
        <w:t> </w:t>
      </w:r>
      <w:r>
        <w:rPr>
          <w:i/>
          <w:sz w:val="28"/>
        </w:rPr>
        <w:t>and</w:t>
      </w:r>
      <w:r>
        <w:rPr>
          <w:i/>
          <w:spacing w:val="-6"/>
          <w:sz w:val="28"/>
        </w:rPr>
        <w:t> </w:t>
      </w:r>
      <w:r>
        <w:rPr>
          <w:i/>
          <w:sz w:val="28"/>
        </w:rPr>
        <w:t>others)</w:t>
      </w:r>
      <w:r>
        <w:rPr>
          <w:i/>
          <w:sz w:val="28"/>
        </w:rPr>
        <w:t> </w:t>
      </w:r>
      <w:r>
        <w:rPr>
          <w:sz w:val="28"/>
        </w:rPr>
        <w:t>provides the first instance where the courts have used their powers to disapply legislation incompatible with Article 2 WF; this has now been followed by the </w:t>
      </w:r>
      <w:r>
        <w:rPr>
          <w:i/>
          <w:sz w:val="28"/>
        </w:rPr>
        <w:t>Illegal Migration Act case</w:t>
      </w:r>
      <w:r>
        <w:rPr>
          <w:sz w:val="28"/>
        </w:rPr>
        <w:t>.</w:t>
      </w:r>
    </w:p>
    <w:p>
      <w:pPr>
        <w:pStyle w:val="BodyText"/>
        <w:spacing w:line="232" w:lineRule="auto" w:before="277"/>
        <w:ind w:left="720" w:right="1250"/>
      </w:pPr>
      <w:r>
        <w:rPr/>
        <w:t>The cases demonstrate the relevance of Article 2 WF to core human rights and equality</w:t>
      </w:r>
      <w:r>
        <w:rPr>
          <w:spacing w:val="-4"/>
        </w:rPr>
        <w:t> </w:t>
      </w:r>
      <w:r>
        <w:rPr/>
        <w:t>issues,</w:t>
      </w:r>
      <w:r>
        <w:rPr>
          <w:spacing w:val="-4"/>
        </w:rPr>
        <w:t> </w:t>
      </w:r>
      <w:r>
        <w:rPr/>
        <w:t>and</w:t>
      </w:r>
      <w:r>
        <w:rPr>
          <w:spacing w:val="-5"/>
        </w:rPr>
        <w:t> </w:t>
      </w:r>
      <w:r>
        <w:rPr/>
        <w:t>that</w:t>
      </w:r>
      <w:r>
        <w:rPr>
          <w:spacing w:val="-4"/>
        </w:rPr>
        <w:t> </w:t>
      </w:r>
      <w:r>
        <w:rPr/>
        <w:t>the</w:t>
      </w:r>
      <w:r>
        <w:rPr>
          <w:spacing w:val="-4"/>
        </w:rPr>
        <w:t> </w:t>
      </w:r>
      <w:r>
        <w:rPr/>
        <w:t>WF</w:t>
      </w:r>
      <w:r>
        <w:rPr>
          <w:spacing w:val="-5"/>
        </w:rPr>
        <w:t> </w:t>
      </w:r>
      <w:r>
        <w:rPr/>
        <w:t>is</w:t>
      </w:r>
      <w:r>
        <w:rPr>
          <w:spacing w:val="-5"/>
        </w:rPr>
        <w:t> </w:t>
      </w:r>
      <w:r>
        <w:rPr/>
        <w:t>not</w:t>
      </w:r>
      <w:r>
        <w:rPr>
          <w:spacing w:val="-4"/>
        </w:rPr>
        <w:t> </w:t>
      </w:r>
      <w:r>
        <w:rPr/>
        <w:t>limited</w:t>
      </w:r>
      <w:r>
        <w:rPr>
          <w:spacing w:val="-5"/>
        </w:rPr>
        <w:t> </w:t>
      </w:r>
      <w:r>
        <w:rPr/>
        <w:t>to</w:t>
      </w:r>
      <w:r>
        <w:rPr>
          <w:spacing w:val="-5"/>
        </w:rPr>
        <w:t> </w:t>
      </w:r>
      <w:r>
        <w:rPr/>
        <w:t>issues</w:t>
      </w:r>
      <w:r>
        <w:rPr>
          <w:spacing w:val="-5"/>
        </w:rPr>
        <w:t> </w:t>
      </w:r>
      <w:r>
        <w:rPr/>
        <w:t>about</w:t>
      </w:r>
      <w:r>
        <w:rPr>
          <w:spacing w:val="-4"/>
        </w:rPr>
        <w:t> </w:t>
      </w:r>
      <w:r>
        <w:rPr/>
        <w:t>the</w:t>
      </w:r>
      <w:r>
        <w:rPr>
          <w:spacing w:val="-4"/>
        </w:rPr>
        <w:t> </w:t>
      </w:r>
      <w:r>
        <w:rPr/>
        <w:t>free</w:t>
      </w:r>
      <w:r>
        <w:rPr>
          <w:spacing w:val="-4"/>
        </w:rPr>
        <w:t> </w:t>
      </w:r>
      <w:r>
        <w:rPr/>
        <w:t>movement of goods. Crucially the cases demonstrate that the courts will take a purposive approach to interpreting Article 2 WF and the 1998 Agreement, the </w:t>
      </w:r>
      <w:r>
        <w:rPr>
          <w:i/>
        </w:rPr>
        <w:t>Legacy Act</w:t>
      </w:r>
      <w:r>
        <w:rPr>
          <w:i/>
        </w:rPr>
        <w:t> cases</w:t>
      </w:r>
      <w:r>
        <w:rPr>
          <w:i/>
          <w:spacing w:val="-2"/>
        </w:rPr>
        <w:t> </w:t>
      </w:r>
      <w:r>
        <w:rPr>
          <w:i/>
        </w:rPr>
        <w:t>(Dillon</w:t>
      </w:r>
      <w:r>
        <w:rPr>
          <w:i/>
          <w:spacing w:val="-2"/>
        </w:rPr>
        <w:t> </w:t>
      </w:r>
      <w:r>
        <w:rPr>
          <w:i/>
        </w:rPr>
        <w:t>and</w:t>
      </w:r>
      <w:r>
        <w:rPr>
          <w:i/>
          <w:spacing w:val="-2"/>
        </w:rPr>
        <w:t> </w:t>
      </w:r>
      <w:r>
        <w:rPr>
          <w:i/>
        </w:rPr>
        <w:t>others) </w:t>
      </w:r>
      <w:r>
        <w:rPr/>
        <w:t>specifically</w:t>
      </w:r>
      <w:r>
        <w:rPr>
          <w:spacing w:val="-1"/>
        </w:rPr>
        <w:t> </w:t>
      </w:r>
      <w:r>
        <w:rPr/>
        <w:t>relying</w:t>
      </w:r>
      <w:r>
        <w:rPr>
          <w:spacing w:val="-1"/>
        </w:rPr>
        <w:t> </w:t>
      </w:r>
      <w:r>
        <w:rPr/>
        <w:t>on</w:t>
      </w:r>
      <w:r>
        <w:rPr>
          <w:spacing w:val="-2"/>
        </w:rPr>
        <w:t> </w:t>
      </w:r>
      <w:r>
        <w:rPr/>
        <w:t>the</w:t>
      </w:r>
      <w:r>
        <w:rPr>
          <w:spacing w:val="-1"/>
        </w:rPr>
        <w:t> </w:t>
      </w:r>
      <w:r>
        <w:rPr/>
        <w:t>Vienna</w:t>
      </w:r>
      <w:r>
        <w:rPr>
          <w:spacing w:val="-2"/>
        </w:rPr>
        <w:t> </w:t>
      </w:r>
      <w:r>
        <w:rPr/>
        <w:t>Convention</w:t>
      </w:r>
      <w:r>
        <w:rPr>
          <w:spacing w:val="-2"/>
        </w:rPr>
        <w:t> </w:t>
      </w:r>
      <w:r>
        <w:rPr/>
        <w:t>to</w:t>
      </w:r>
      <w:r>
        <w:rPr>
          <w:spacing w:val="-2"/>
        </w:rPr>
        <w:t> </w:t>
      </w:r>
      <w:r>
        <w:rPr/>
        <w:t>justify</w:t>
      </w:r>
      <w:r>
        <w:rPr>
          <w:spacing w:val="-1"/>
        </w:rPr>
        <w:t> </w:t>
      </w:r>
      <w:r>
        <w:rPr/>
        <w:t>a generous and purposive approach.</w:t>
      </w:r>
    </w:p>
    <w:p>
      <w:pPr>
        <w:spacing w:after="0" w:line="232" w:lineRule="auto"/>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87296">
                <wp:simplePos x="0" y="0"/>
                <wp:positionH relativeFrom="page">
                  <wp:posOffset>-2</wp:posOffset>
                </wp:positionH>
                <wp:positionV relativeFrom="page">
                  <wp:posOffset>0</wp:posOffset>
                </wp:positionV>
                <wp:extent cx="7560309" cy="6793230"/>
                <wp:effectExtent l="0" t="0" r="0" b="0"/>
                <wp:wrapNone/>
                <wp:docPr id="958" name="Group 958"/>
                <wp:cNvGraphicFramePr>
                  <a:graphicFrameLocks/>
                </wp:cNvGraphicFramePr>
                <a:graphic>
                  <a:graphicData uri="http://schemas.microsoft.com/office/word/2010/wordprocessingGroup">
                    <wpg:wgp>
                      <wpg:cNvPr id="958" name="Group 958"/>
                      <wpg:cNvGrpSpPr/>
                      <wpg:grpSpPr>
                        <a:xfrm>
                          <a:off x="0" y="0"/>
                          <a:ext cx="7560309" cy="6793230"/>
                          <a:chExt cx="7560309" cy="6793230"/>
                        </a:xfrm>
                      </wpg:grpSpPr>
                      <pic:pic>
                        <pic:nvPicPr>
                          <pic:cNvPr id="959" name="Image 959"/>
                          <pic:cNvPicPr/>
                        </pic:nvPicPr>
                        <pic:blipFill>
                          <a:blip r:embed="rId78" cstate="print"/>
                          <a:stretch>
                            <a:fillRect/>
                          </a:stretch>
                        </pic:blipFill>
                        <pic:spPr>
                          <a:xfrm>
                            <a:off x="2" y="0"/>
                            <a:ext cx="7559992" cy="3780002"/>
                          </a:xfrm>
                          <a:prstGeom prst="rect">
                            <a:avLst/>
                          </a:prstGeom>
                        </pic:spPr>
                      </pic:pic>
                      <wps:wsp>
                        <wps:cNvPr id="960" name="Graphic 960"/>
                        <wps:cNvSpPr/>
                        <wps:spPr>
                          <a:xfrm>
                            <a:off x="2" y="2610004"/>
                            <a:ext cx="7560309" cy="4183379"/>
                          </a:xfrm>
                          <a:custGeom>
                            <a:avLst/>
                            <a:gdLst/>
                            <a:ahLst/>
                            <a:cxnLst/>
                            <a:rect l="l" t="t" r="r" b="b"/>
                            <a:pathLst>
                              <a:path w="7560309" h="4183379">
                                <a:moveTo>
                                  <a:pt x="6840004" y="0"/>
                                </a:moveTo>
                                <a:lnTo>
                                  <a:pt x="0" y="0"/>
                                </a:lnTo>
                                <a:lnTo>
                                  <a:pt x="0" y="4182872"/>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961" name="Graphic 961"/>
                        <wps:cNvSpPr/>
                        <wps:spPr>
                          <a:xfrm>
                            <a:off x="900001" y="308470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962" name="Graphic 962"/>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963" name="Graphic 963"/>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2pt;width:595.3pt;height:534.9pt;mso-position-horizontal-relative:page;mso-position-vertical-relative:page;z-index:-19229184" id="docshapegroup786" coordorigin="0,0" coordsize="11906,10698">
                <v:shape style="position:absolute;left:0;top:0;width:11906;height:5953" type="#_x0000_t75" id="docshape787" stroked="false">
                  <v:imagedata r:id="rId78" o:title=""/>
                </v:shape>
                <v:shape style="position:absolute;left:0;top:4110;width:11906;height:6588" id="docshape788" coordorigin="0,4110" coordsize="11906,6588" path="m10772,4110l0,4110,0,10697,11906,10697,11906,4678,11846,4603,11798,4550,11749,4501,11697,4454,11642,4409,11586,4367,11527,4328,11467,4292,11404,4259,11340,4229,11274,4202,11206,4178,11137,4158,11066,4141,10994,4128,10921,4118,10847,4112,10772,4110xe" filled="true" fillcolor="#ffffff" stroked="false">
                  <v:path arrowok="t"/>
                  <v:fill type="solid"/>
                </v:shape>
                <v:line style="position:absolute" from="1417,4858" to="10885,4858" stroked="true" strokeweight="1pt" strokecolor="#36a9e1">
                  <v:stroke dashstyle="solid"/>
                </v:line>
                <v:shape style="position:absolute;left:0;top:0;width:11906;height:1819" id="docshape789"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tabs>
          <w:tab w:pos="10768" w:val="left" w:leader="none"/>
        </w:tabs>
        <w:spacing w:before="1"/>
        <w:ind w:left="4140" w:right="0" w:firstLine="0"/>
        <w:jc w:val="left"/>
        <w:rPr>
          <w:b/>
          <w:sz w:val="28"/>
        </w:rPr>
      </w:pPr>
      <w:bookmarkStart w:name="Chapter 6: CJEU Case Law that relates to" w:id="181"/>
      <w:bookmarkEnd w:id="181"/>
      <w:r>
        <w:rPr/>
      </w:r>
      <w:bookmarkStart w:name="6.1 Introduction " w:id="182"/>
      <w:bookmarkEnd w:id="182"/>
      <w:r>
        <w:rPr/>
      </w:r>
      <w:bookmarkStart w:name="_bookmark77" w:id="183"/>
      <w:bookmarkEnd w:id="183"/>
      <w:r>
        <w:rPr/>
      </w:r>
      <w:r>
        <w:rPr>
          <w:b/>
          <w:color w:val="FFFFFF"/>
          <w:sz w:val="24"/>
        </w:rPr>
        <w:t>EU</w:t>
      </w:r>
      <w:r>
        <w:rPr>
          <w:b/>
          <w:color w:val="FFFFFF"/>
          <w:spacing w:val="-5"/>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117</w:t>
      </w:r>
    </w:p>
    <w:p>
      <w:pPr>
        <w:pStyle w:val="BodyText"/>
        <w:spacing w:before="40"/>
        <w:rPr>
          <w:b/>
          <w:sz w:val="52"/>
        </w:rPr>
      </w:pPr>
    </w:p>
    <w:p>
      <w:pPr>
        <w:spacing w:line="597" w:lineRule="exact" w:before="0"/>
        <w:ind w:left="1117" w:right="0" w:firstLine="0"/>
        <w:jc w:val="left"/>
        <w:rPr>
          <w:sz w:val="52"/>
        </w:rPr>
      </w:pPr>
      <w:r>
        <w:rPr>
          <w:color w:val="FFFFFF"/>
          <w:sz w:val="52"/>
        </w:rPr>
        <w:t>Chapter</w:t>
      </w:r>
      <w:r>
        <w:rPr>
          <w:color w:val="FFFFFF"/>
          <w:spacing w:val="-13"/>
          <w:sz w:val="52"/>
        </w:rPr>
        <w:t> </w:t>
      </w:r>
      <w:r>
        <w:rPr>
          <w:color w:val="FFFFFF"/>
          <w:spacing w:val="-5"/>
          <w:sz w:val="52"/>
        </w:rPr>
        <w:t>6:</w:t>
      </w:r>
    </w:p>
    <w:p>
      <w:pPr>
        <w:pStyle w:val="Heading1"/>
        <w:spacing w:line="211" w:lineRule="auto" w:before="22"/>
      </w:pPr>
      <w:r>
        <w:rPr>
          <w:color w:val="FFFFFF"/>
        </w:rPr>
        <w:t>CJEU</w:t>
      </w:r>
      <w:r>
        <w:rPr>
          <w:color w:val="FFFFFF"/>
          <w:spacing w:val="-8"/>
        </w:rPr>
        <w:t> </w:t>
      </w:r>
      <w:r>
        <w:rPr>
          <w:color w:val="FFFFFF"/>
        </w:rPr>
        <w:t>Case</w:t>
      </w:r>
      <w:r>
        <w:rPr>
          <w:color w:val="FFFFFF"/>
          <w:spacing w:val="-9"/>
        </w:rPr>
        <w:t> </w:t>
      </w:r>
      <w:r>
        <w:rPr>
          <w:color w:val="FFFFFF"/>
        </w:rPr>
        <w:t>Law</w:t>
      </w:r>
      <w:r>
        <w:rPr>
          <w:color w:val="FFFFFF"/>
          <w:spacing w:val="-9"/>
        </w:rPr>
        <w:t> </w:t>
      </w:r>
      <w:r>
        <w:rPr>
          <w:color w:val="FFFFFF"/>
        </w:rPr>
        <w:t>that</w:t>
      </w:r>
      <w:r>
        <w:rPr>
          <w:color w:val="FFFFFF"/>
          <w:spacing w:val="-8"/>
        </w:rPr>
        <w:t> </w:t>
      </w:r>
      <w:r>
        <w:rPr>
          <w:color w:val="FFFFFF"/>
        </w:rPr>
        <w:t>relates</w:t>
      </w:r>
      <w:r>
        <w:rPr>
          <w:color w:val="FFFFFF"/>
          <w:spacing w:val="-8"/>
        </w:rPr>
        <w:t> </w:t>
      </w:r>
      <w:r>
        <w:rPr>
          <w:color w:val="FFFFFF"/>
        </w:rPr>
        <w:t>to</w:t>
      </w:r>
      <w:r>
        <w:rPr>
          <w:color w:val="FFFFFF"/>
          <w:spacing w:val="-8"/>
        </w:rPr>
        <w:t> </w:t>
      </w:r>
      <w:r>
        <w:rPr>
          <w:color w:val="FFFFFF"/>
        </w:rPr>
        <w:t>each</w:t>
      </w:r>
      <w:r>
        <w:rPr>
          <w:color w:val="FFFFFF"/>
          <w:spacing w:val="-8"/>
        </w:rPr>
        <w:t> </w:t>
      </w:r>
      <w:r>
        <w:rPr>
          <w:color w:val="FFFFFF"/>
        </w:rPr>
        <w:t>of</w:t>
      </w:r>
      <w:r>
        <w:rPr>
          <w:color w:val="FFFFFF"/>
          <w:spacing w:val="-9"/>
        </w:rPr>
        <w:t> </w:t>
      </w:r>
      <w:r>
        <w:rPr>
          <w:color w:val="FFFFFF"/>
        </w:rPr>
        <w:t>the Windsor Framework Annex 1 Directives delivered since January 2022.</w:t>
      </w:r>
    </w:p>
    <w:p>
      <w:pPr>
        <w:pStyle w:val="Heading2"/>
        <w:numPr>
          <w:ilvl w:val="1"/>
          <w:numId w:val="52"/>
        </w:numPr>
        <w:tabs>
          <w:tab w:pos="1599" w:val="left" w:leader="none"/>
        </w:tabs>
        <w:spacing w:line="240" w:lineRule="auto" w:before="482" w:after="0"/>
        <w:ind w:left="1599" w:right="0" w:hanging="482"/>
        <w:jc w:val="left"/>
      </w:pPr>
      <w:r>
        <w:rPr>
          <w:color w:val="004A93"/>
          <w:spacing w:val="-2"/>
        </w:rPr>
        <w:t>Introduction</w:t>
      </w:r>
    </w:p>
    <w:p>
      <w:pPr>
        <w:pStyle w:val="BodyText"/>
        <w:spacing w:line="232" w:lineRule="auto" w:before="212"/>
        <w:ind w:left="1117" w:right="888"/>
      </w:pPr>
      <w:r>
        <w:rPr/>
        <w:t>This chapter identifies and provides an update on selected case law of the CJEU that</w:t>
      </w:r>
      <w:r>
        <w:rPr>
          <w:spacing w:val="-2"/>
        </w:rPr>
        <w:t> </w:t>
      </w:r>
      <w:r>
        <w:rPr/>
        <w:t>relates</w:t>
      </w:r>
      <w:r>
        <w:rPr>
          <w:spacing w:val="-3"/>
        </w:rPr>
        <w:t> </w:t>
      </w:r>
      <w:r>
        <w:rPr/>
        <w:t>to</w:t>
      </w:r>
      <w:r>
        <w:rPr>
          <w:spacing w:val="-3"/>
        </w:rPr>
        <w:t> </w:t>
      </w:r>
      <w:r>
        <w:rPr/>
        <w:t>each</w:t>
      </w:r>
      <w:r>
        <w:rPr>
          <w:spacing w:val="-3"/>
        </w:rPr>
        <w:t> </w:t>
      </w:r>
      <w:r>
        <w:rPr/>
        <w:t>of</w:t>
      </w:r>
      <w:r>
        <w:rPr>
          <w:spacing w:val="-3"/>
        </w:rPr>
        <w:t> </w:t>
      </w:r>
      <w:r>
        <w:rPr/>
        <w:t>the</w:t>
      </w:r>
      <w:r>
        <w:rPr>
          <w:spacing w:val="-2"/>
        </w:rPr>
        <w:t> </w:t>
      </w:r>
      <w:r>
        <w:rPr/>
        <w:t>Windsor</w:t>
      </w:r>
      <w:r>
        <w:rPr>
          <w:spacing w:val="-2"/>
        </w:rPr>
        <w:t> </w:t>
      </w:r>
      <w:r>
        <w:rPr/>
        <w:t>Framework</w:t>
      </w:r>
      <w:r>
        <w:rPr>
          <w:spacing w:val="-2"/>
        </w:rPr>
        <w:t> </w:t>
      </w:r>
      <w:r>
        <w:rPr/>
        <w:t>Annex</w:t>
      </w:r>
      <w:r>
        <w:rPr>
          <w:spacing w:val="-3"/>
        </w:rPr>
        <w:t> </w:t>
      </w:r>
      <w:r>
        <w:rPr/>
        <w:t>1</w:t>
      </w:r>
      <w:r>
        <w:rPr>
          <w:spacing w:val="-2"/>
        </w:rPr>
        <w:t> </w:t>
      </w:r>
      <w:r>
        <w:rPr/>
        <w:t>directives</w:t>
      </w:r>
      <w:r>
        <w:rPr>
          <w:spacing w:val="-3"/>
        </w:rPr>
        <w:t> </w:t>
      </w:r>
      <w:r>
        <w:rPr/>
        <w:t>delivered</w:t>
      </w:r>
      <w:r>
        <w:rPr>
          <w:spacing w:val="-3"/>
        </w:rPr>
        <w:t> </w:t>
      </w:r>
      <w:r>
        <w:rPr/>
        <w:t>since January 2022 (up to the end of August 2023) and provides an appraisal of the current state of play since the last published report.</w:t>
      </w:r>
      <w:r>
        <w:rPr>
          <w:vertAlign w:val="superscript"/>
        </w:rPr>
        <w:t>617</w:t>
      </w:r>
      <w:r>
        <w:rPr>
          <w:vertAlign w:val="baseline"/>
        </w:rPr>
        <w:t> Furthermore, the chapter sets</w:t>
      </w:r>
      <w:r>
        <w:rPr>
          <w:spacing w:val="-6"/>
          <w:vertAlign w:val="baseline"/>
        </w:rPr>
        <w:t> </w:t>
      </w:r>
      <w:r>
        <w:rPr>
          <w:vertAlign w:val="baseline"/>
        </w:rPr>
        <w:t>out</w:t>
      </w:r>
      <w:r>
        <w:rPr>
          <w:spacing w:val="-5"/>
          <w:vertAlign w:val="baseline"/>
        </w:rPr>
        <w:t> </w:t>
      </w:r>
      <w:r>
        <w:rPr>
          <w:vertAlign w:val="baseline"/>
        </w:rPr>
        <w:t>the</w:t>
      </w:r>
      <w:r>
        <w:rPr>
          <w:spacing w:val="-5"/>
          <w:vertAlign w:val="baseline"/>
        </w:rPr>
        <w:t> </w:t>
      </w:r>
      <w:r>
        <w:rPr>
          <w:vertAlign w:val="baseline"/>
        </w:rPr>
        <w:t>details</w:t>
      </w:r>
      <w:r>
        <w:rPr>
          <w:spacing w:val="-6"/>
          <w:vertAlign w:val="baseline"/>
        </w:rPr>
        <w:t> </w:t>
      </w:r>
      <w:r>
        <w:rPr>
          <w:vertAlign w:val="baseline"/>
        </w:rPr>
        <w:t>and</w:t>
      </w:r>
      <w:r>
        <w:rPr>
          <w:spacing w:val="-6"/>
          <w:vertAlign w:val="baseline"/>
        </w:rPr>
        <w:t> </w:t>
      </w:r>
      <w:r>
        <w:rPr>
          <w:vertAlign w:val="baseline"/>
        </w:rPr>
        <w:t>implications</w:t>
      </w:r>
      <w:r>
        <w:rPr>
          <w:spacing w:val="-6"/>
          <w:vertAlign w:val="baseline"/>
        </w:rPr>
        <w:t> </w:t>
      </w:r>
      <w:r>
        <w:rPr>
          <w:vertAlign w:val="baseline"/>
        </w:rPr>
        <w:t>(including</w:t>
      </w:r>
      <w:r>
        <w:rPr>
          <w:spacing w:val="-5"/>
          <w:vertAlign w:val="baseline"/>
        </w:rPr>
        <w:t> </w:t>
      </w:r>
      <w:r>
        <w:rPr>
          <w:vertAlign w:val="baseline"/>
        </w:rPr>
        <w:t>potential</w:t>
      </w:r>
      <w:r>
        <w:rPr>
          <w:spacing w:val="-6"/>
          <w:vertAlign w:val="baseline"/>
        </w:rPr>
        <w:t> </w:t>
      </w:r>
      <w:r>
        <w:rPr>
          <w:vertAlign w:val="baseline"/>
        </w:rPr>
        <w:t>implications)</w:t>
      </w:r>
      <w:r>
        <w:rPr>
          <w:spacing w:val="-6"/>
          <w:vertAlign w:val="baseline"/>
        </w:rPr>
        <w:t> </w:t>
      </w:r>
      <w:r>
        <w:rPr>
          <w:vertAlign w:val="baseline"/>
        </w:rPr>
        <w:t>of</w:t>
      </w:r>
      <w:r>
        <w:rPr>
          <w:spacing w:val="-6"/>
          <w:vertAlign w:val="baseline"/>
        </w:rPr>
        <w:t> </w:t>
      </w:r>
      <w:r>
        <w:rPr>
          <w:vertAlign w:val="baseline"/>
        </w:rPr>
        <w:t>this</w:t>
      </w:r>
      <w:r>
        <w:rPr>
          <w:spacing w:val="-6"/>
          <w:vertAlign w:val="baseline"/>
        </w:rPr>
        <w:t> </w:t>
      </w:r>
      <w:r>
        <w:rPr>
          <w:vertAlign w:val="baseline"/>
        </w:rPr>
        <w:t>CJEU case law on equality and human rights matters.</w:t>
      </w:r>
    </w:p>
    <w:p>
      <w:pPr>
        <w:pStyle w:val="BodyText"/>
        <w:spacing w:line="232" w:lineRule="auto" w:before="275"/>
        <w:ind w:left="1117" w:right="766"/>
      </w:pPr>
      <w:r>
        <w:rPr/>
        <w:t>The positive obligations stemming from the Article 2 WF non-diminution requirement for equality protections within Northern Ireland as outlined within</w:t>
      </w:r>
      <w:r>
        <w:rPr/>
        <w:t> this report is not to be taken lightly. When read alongside the Annex 1 directives, there is</w:t>
      </w:r>
      <w:r>
        <w:rPr>
          <w:spacing w:val="-1"/>
        </w:rPr>
        <w:t> </w:t>
      </w:r>
      <w:r>
        <w:rPr/>
        <w:t>a</w:t>
      </w:r>
      <w:r>
        <w:rPr>
          <w:spacing w:val="-1"/>
        </w:rPr>
        <w:t> </w:t>
      </w:r>
      <w:r>
        <w:rPr/>
        <w:t>clear requirement not only of</w:t>
      </w:r>
      <w:r>
        <w:rPr>
          <w:spacing w:val="-1"/>
        </w:rPr>
        <w:t> </w:t>
      </w:r>
      <w:r>
        <w:rPr/>
        <w:t>non-diminution</w:t>
      </w:r>
      <w:r>
        <w:rPr>
          <w:spacing w:val="-1"/>
        </w:rPr>
        <w:t> </w:t>
      </w:r>
      <w:r>
        <w:rPr/>
        <w:t>(or static alignment)</w:t>
      </w:r>
      <w:r>
        <w:rPr>
          <w:spacing w:val="-1"/>
        </w:rPr>
        <w:t> </w:t>
      </w:r>
      <w:r>
        <w:rPr/>
        <w:t>which allows for no backsliding on rights protections, but significantly the additional obligation</w:t>
      </w:r>
      <w:r>
        <w:rPr>
          <w:spacing w:val="-6"/>
        </w:rPr>
        <w:t> </w:t>
      </w:r>
      <w:r>
        <w:rPr/>
        <w:t>of</w:t>
      </w:r>
      <w:r>
        <w:rPr>
          <w:spacing w:val="-6"/>
        </w:rPr>
        <w:t> </w:t>
      </w:r>
      <w:r>
        <w:rPr/>
        <w:t>dynamic</w:t>
      </w:r>
      <w:r>
        <w:rPr>
          <w:spacing w:val="-5"/>
        </w:rPr>
        <w:t> </w:t>
      </w:r>
      <w:r>
        <w:rPr/>
        <w:t>alignment</w:t>
      </w:r>
      <w:r>
        <w:rPr>
          <w:spacing w:val="-5"/>
        </w:rPr>
        <w:t> </w:t>
      </w:r>
      <w:r>
        <w:rPr/>
        <w:t>or</w:t>
      </w:r>
      <w:r>
        <w:rPr>
          <w:spacing w:val="-5"/>
        </w:rPr>
        <w:t> </w:t>
      </w:r>
      <w:r>
        <w:rPr/>
        <w:t>keeping</w:t>
      </w:r>
      <w:r>
        <w:rPr>
          <w:spacing w:val="-5"/>
        </w:rPr>
        <w:t> </w:t>
      </w:r>
      <w:r>
        <w:rPr/>
        <w:t>pace</w:t>
      </w:r>
      <w:r>
        <w:rPr>
          <w:spacing w:val="-5"/>
        </w:rPr>
        <w:t> </w:t>
      </w:r>
      <w:r>
        <w:rPr/>
        <w:t>with</w:t>
      </w:r>
      <w:r>
        <w:rPr>
          <w:spacing w:val="-6"/>
        </w:rPr>
        <w:t> </w:t>
      </w:r>
      <w:r>
        <w:rPr/>
        <w:t>developments</w:t>
      </w:r>
      <w:r>
        <w:rPr>
          <w:spacing w:val="-6"/>
        </w:rPr>
        <w:t> </w:t>
      </w:r>
      <w:r>
        <w:rPr/>
        <w:t>in</w:t>
      </w:r>
      <w:r>
        <w:rPr>
          <w:spacing w:val="-6"/>
        </w:rPr>
        <w:t> </w:t>
      </w:r>
      <w:r>
        <w:rPr/>
        <w:t>EU</w:t>
      </w:r>
      <w:r>
        <w:rPr>
          <w:spacing w:val="-5"/>
        </w:rPr>
        <w:t> </w:t>
      </w:r>
      <w:r>
        <w:rPr/>
        <w:t>law.</w:t>
      </w:r>
      <w:r>
        <w:rPr>
          <w:spacing w:val="-6"/>
        </w:rPr>
        <w:t> </w:t>
      </w:r>
      <w:r>
        <w:rPr/>
        <w:t>The need</w:t>
      </w:r>
      <w:r>
        <w:rPr>
          <w:spacing w:val="-7"/>
        </w:rPr>
        <w:t> </w:t>
      </w:r>
      <w:r>
        <w:rPr/>
        <w:t>for</w:t>
      </w:r>
      <w:r>
        <w:rPr>
          <w:spacing w:val="-6"/>
        </w:rPr>
        <w:t> </w:t>
      </w:r>
      <w:r>
        <w:rPr/>
        <w:t>the</w:t>
      </w:r>
      <w:r>
        <w:rPr>
          <w:spacing w:val="-7"/>
        </w:rPr>
        <w:t> </w:t>
      </w:r>
      <w:r>
        <w:rPr/>
        <w:t>latter</w:t>
      </w:r>
      <w:r>
        <w:rPr>
          <w:spacing w:val="-6"/>
        </w:rPr>
        <w:t> </w:t>
      </w:r>
      <w:r>
        <w:rPr/>
        <w:t>element</w:t>
      </w:r>
      <w:r>
        <w:rPr>
          <w:spacing w:val="-7"/>
        </w:rPr>
        <w:t> </w:t>
      </w:r>
      <w:r>
        <w:rPr/>
        <w:t>is</w:t>
      </w:r>
      <w:r>
        <w:rPr>
          <w:spacing w:val="-7"/>
        </w:rPr>
        <w:t> </w:t>
      </w:r>
      <w:r>
        <w:rPr/>
        <w:t>significant</w:t>
      </w:r>
      <w:r>
        <w:rPr>
          <w:spacing w:val="-6"/>
        </w:rPr>
        <w:t> </w:t>
      </w:r>
      <w:r>
        <w:rPr/>
        <w:t>when</w:t>
      </w:r>
      <w:r>
        <w:rPr>
          <w:spacing w:val="-7"/>
        </w:rPr>
        <w:t> </w:t>
      </w:r>
      <w:r>
        <w:rPr/>
        <w:t>considering</w:t>
      </w:r>
      <w:r>
        <w:rPr>
          <w:spacing w:val="-6"/>
        </w:rPr>
        <w:t> </w:t>
      </w:r>
      <w:r>
        <w:rPr/>
        <w:t>these</w:t>
      </w:r>
      <w:r>
        <w:rPr>
          <w:spacing w:val="-7"/>
        </w:rPr>
        <w:t> </w:t>
      </w:r>
      <w:r>
        <w:rPr/>
        <w:t>Annex</w:t>
      </w:r>
      <w:r>
        <w:rPr>
          <w:spacing w:val="-7"/>
        </w:rPr>
        <w:t> </w:t>
      </w:r>
      <w:r>
        <w:rPr/>
        <w:t>1</w:t>
      </w:r>
      <w:r>
        <w:rPr>
          <w:spacing w:val="-6"/>
        </w:rPr>
        <w:t> </w:t>
      </w:r>
      <w:r>
        <w:rPr/>
        <w:t>directives as they continue to be interpreted and applied by the Court of Justice. These directives for the purposes of the chapter are:</w:t>
      </w:r>
    </w:p>
    <w:p>
      <w:pPr>
        <w:pStyle w:val="ListParagraph"/>
        <w:numPr>
          <w:ilvl w:val="0"/>
          <w:numId w:val="53"/>
        </w:numPr>
        <w:tabs>
          <w:tab w:pos="1457" w:val="left" w:leader="none"/>
        </w:tabs>
        <w:spacing w:line="232" w:lineRule="auto" w:before="256" w:after="0"/>
        <w:ind w:left="1457" w:right="745" w:hanging="341"/>
        <w:jc w:val="left"/>
        <w:rPr>
          <w:sz w:val="28"/>
        </w:rPr>
      </w:pPr>
      <w:r>
        <w:rPr>
          <w:sz w:val="28"/>
        </w:rPr>
        <w:t>Council</w:t>
      </w:r>
      <w:r>
        <w:rPr>
          <w:spacing w:val="-6"/>
          <w:sz w:val="28"/>
        </w:rPr>
        <w:t> </w:t>
      </w:r>
      <w:r>
        <w:rPr>
          <w:sz w:val="28"/>
        </w:rPr>
        <w:t>Directive</w:t>
      </w:r>
      <w:r>
        <w:rPr>
          <w:spacing w:val="-6"/>
          <w:sz w:val="28"/>
        </w:rPr>
        <w:t> </w:t>
      </w:r>
      <w:r>
        <w:rPr>
          <w:sz w:val="28"/>
        </w:rPr>
        <w:t>2004/113/EC</w:t>
      </w:r>
      <w:r>
        <w:rPr>
          <w:spacing w:val="-6"/>
          <w:sz w:val="28"/>
        </w:rPr>
        <w:t> </w:t>
      </w:r>
      <w:r>
        <w:rPr>
          <w:sz w:val="28"/>
        </w:rPr>
        <w:t>of</w:t>
      </w:r>
      <w:r>
        <w:rPr>
          <w:spacing w:val="-6"/>
          <w:sz w:val="28"/>
        </w:rPr>
        <w:t> </w:t>
      </w:r>
      <w:r>
        <w:rPr>
          <w:sz w:val="28"/>
        </w:rPr>
        <w:t>13</w:t>
      </w:r>
      <w:r>
        <w:rPr>
          <w:spacing w:val="-6"/>
          <w:sz w:val="28"/>
        </w:rPr>
        <w:t> </w:t>
      </w:r>
      <w:r>
        <w:rPr>
          <w:sz w:val="28"/>
        </w:rPr>
        <w:t>December</w:t>
      </w:r>
      <w:r>
        <w:rPr>
          <w:spacing w:val="-6"/>
          <w:sz w:val="28"/>
        </w:rPr>
        <w:t> </w:t>
      </w:r>
      <w:r>
        <w:rPr>
          <w:sz w:val="28"/>
        </w:rPr>
        <w:t>2004</w:t>
      </w:r>
      <w:r>
        <w:rPr>
          <w:spacing w:val="-6"/>
          <w:sz w:val="28"/>
        </w:rPr>
        <w:t> </w:t>
      </w:r>
      <w:r>
        <w:rPr>
          <w:sz w:val="28"/>
        </w:rPr>
        <w:t>implementing</w:t>
      </w:r>
      <w:r>
        <w:rPr>
          <w:spacing w:val="-6"/>
          <w:sz w:val="28"/>
        </w:rPr>
        <w:t> </w:t>
      </w:r>
      <w:r>
        <w:rPr>
          <w:sz w:val="28"/>
        </w:rPr>
        <w:t>the</w:t>
      </w:r>
      <w:r>
        <w:rPr>
          <w:spacing w:val="-6"/>
          <w:sz w:val="28"/>
        </w:rPr>
        <w:t> </w:t>
      </w:r>
      <w:r>
        <w:rPr>
          <w:sz w:val="28"/>
        </w:rPr>
        <w:t>principle of equal treatment between men and women in the access to and supply of goods and services (Gender Goods and Services Directive)</w:t>
      </w:r>
    </w:p>
    <w:p>
      <w:pPr>
        <w:pStyle w:val="ListParagraph"/>
        <w:numPr>
          <w:ilvl w:val="0"/>
          <w:numId w:val="53"/>
        </w:numPr>
        <w:tabs>
          <w:tab w:pos="1457" w:val="left" w:leader="none"/>
        </w:tabs>
        <w:spacing w:line="323" w:lineRule="exact" w:before="0" w:after="0"/>
        <w:ind w:left="1457" w:right="0" w:hanging="340"/>
        <w:jc w:val="left"/>
        <w:rPr>
          <w:sz w:val="28"/>
        </w:rPr>
      </w:pPr>
      <w:r>
        <w:rPr>
          <w:sz w:val="28"/>
        </w:rPr>
        <w:t>Directive</w:t>
      </w:r>
      <w:r>
        <w:rPr>
          <w:spacing w:val="-6"/>
          <w:sz w:val="28"/>
        </w:rPr>
        <w:t> </w:t>
      </w:r>
      <w:r>
        <w:rPr>
          <w:sz w:val="28"/>
        </w:rPr>
        <w:t>2006/54/EC</w:t>
      </w:r>
      <w:r>
        <w:rPr>
          <w:spacing w:val="-6"/>
          <w:sz w:val="28"/>
        </w:rPr>
        <w:t> </w:t>
      </w:r>
      <w:r>
        <w:rPr>
          <w:sz w:val="28"/>
        </w:rPr>
        <w:t>of</w:t>
      </w:r>
      <w:r>
        <w:rPr>
          <w:spacing w:val="-6"/>
          <w:sz w:val="28"/>
        </w:rPr>
        <w:t> </w:t>
      </w:r>
      <w:r>
        <w:rPr>
          <w:sz w:val="28"/>
        </w:rPr>
        <w:t>the</w:t>
      </w:r>
      <w:r>
        <w:rPr>
          <w:spacing w:val="-5"/>
          <w:sz w:val="28"/>
        </w:rPr>
        <w:t> </w:t>
      </w:r>
      <w:r>
        <w:rPr>
          <w:sz w:val="28"/>
        </w:rPr>
        <w:t>European</w:t>
      </w:r>
      <w:r>
        <w:rPr>
          <w:spacing w:val="-6"/>
          <w:sz w:val="28"/>
        </w:rPr>
        <w:t> </w:t>
      </w:r>
      <w:r>
        <w:rPr>
          <w:sz w:val="28"/>
        </w:rPr>
        <w:t>Parliament</w:t>
      </w:r>
      <w:r>
        <w:rPr>
          <w:spacing w:val="-5"/>
          <w:sz w:val="28"/>
        </w:rPr>
        <w:t> </w:t>
      </w:r>
      <w:r>
        <w:rPr>
          <w:sz w:val="28"/>
        </w:rPr>
        <w:t>and</w:t>
      </w:r>
      <w:r>
        <w:rPr>
          <w:spacing w:val="-6"/>
          <w:sz w:val="28"/>
        </w:rPr>
        <w:t> </w:t>
      </w:r>
      <w:r>
        <w:rPr>
          <w:sz w:val="28"/>
        </w:rPr>
        <w:t>of</w:t>
      </w:r>
      <w:r>
        <w:rPr>
          <w:spacing w:val="-6"/>
          <w:sz w:val="28"/>
        </w:rPr>
        <w:t> </w:t>
      </w:r>
      <w:r>
        <w:rPr>
          <w:sz w:val="28"/>
        </w:rPr>
        <w:t>the</w:t>
      </w:r>
      <w:r>
        <w:rPr>
          <w:spacing w:val="-5"/>
          <w:sz w:val="28"/>
        </w:rPr>
        <w:t> </w:t>
      </w:r>
      <w:r>
        <w:rPr>
          <w:sz w:val="28"/>
        </w:rPr>
        <w:t>Council</w:t>
      </w:r>
      <w:r>
        <w:rPr>
          <w:spacing w:val="-6"/>
          <w:sz w:val="28"/>
        </w:rPr>
        <w:t> </w:t>
      </w:r>
      <w:r>
        <w:rPr>
          <w:sz w:val="28"/>
        </w:rPr>
        <w:t>of</w:t>
      </w:r>
      <w:r>
        <w:rPr>
          <w:spacing w:val="-6"/>
          <w:sz w:val="28"/>
        </w:rPr>
        <w:t> </w:t>
      </w:r>
      <w:r>
        <w:rPr>
          <w:sz w:val="28"/>
        </w:rPr>
        <w:t>5</w:t>
      </w:r>
      <w:r>
        <w:rPr>
          <w:spacing w:val="-5"/>
          <w:sz w:val="28"/>
        </w:rPr>
        <w:t> </w:t>
      </w:r>
      <w:r>
        <w:rPr>
          <w:spacing w:val="-4"/>
          <w:sz w:val="28"/>
        </w:rPr>
        <w:t>July</w:t>
      </w:r>
    </w:p>
    <w:p>
      <w:pPr>
        <w:pStyle w:val="BodyText"/>
        <w:spacing w:line="232" w:lineRule="auto" w:before="2"/>
        <w:ind w:left="1457" w:right="738"/>
      </w:pPr>
      <w:r>
        <w:rPr/>
        <w:t>2006</w:t>
      </w:r>
      <w:r>
        <w:rPr>
          <w:spacing w:val="-4"/>
        </w:rPr>
        <w:t> </w:t>
      </w:r>
      <w:r>
        <w:rPr/>
        <w:t>on</w:t>
      </w:r>
      <w:r>
        <w:rPr>
          <w:spacing w:val="-5"/>
        </w:rPr>
        <w:t> </w:t>
      </w:r>
      <w:r>
        <w:rPr/>
        <w:t>the</w:t>
      </w:r>
      <w:r>
        <w:rPr>
          <w:spacing w:val="-4"/>
        </w:rPr>
        <w:t> </w:t>
      </w:r>
      <w:r>
        <w:rPr/>
        <w:t>implementation</w:t>
      </w:r>
      <w:r>
        <w:rPr>
          <w:spacing w:val="-5"/>
        </w:rPr>
        <w:t> </w:t>
      </w:r>
      <w:r>
        <w:rPr/>
        <w:t>of</w:t>
      </w:r>
      <w:r>
        <w:rPr>
          <w:spacing w:val="-5"/>
        </w:rPr>
        <w:t> </w:t>
      </w:r>
      <w:r>
        <w:rPr/>
        <w:t>the</w:t>
      </w:r>
      <w:r>
        <w:rPr>
          <w:spacing w:val="-4"/>
        </w:rPr>
        <w:t> </w:t>
      </w:r>
      <w:r>
        <w:rPr/>
        <w:t>principle</w:t>
      </w:r>
      <w:r>
        <w:rPr>
          <w:spacing w:val="-4"/>
        </w:rPr>
        <w:t> </w:t>
      </w:r>
      <w:r>
        <w:rPr/>
        <w:t>of</w:t>
      </w:r>
      <w:r>
        <w:rPr>
          <w:spacing w:val="-5"/>
        </w:rPr>
        <w:t> </w:t>
      </w:r>
      <w:r>
        <w:rPr/>
        <w:t>equal</w:t>
      </w:r>
      <w:r>
        <w:rPr>
          <w:spacing w:val="-5"/>
        </w:rPr>
        <w:t> </w:t>
      </w:r>
      <w:r>
        <w:rPr/>
        <w:t>opportunities</w:t>
      </w:r>
      <w:r>
        <w:rPr>
          <w:spacing w:val="-5"/>
        </w:rPr>
        <w:t> </w:t>
      </w:r>
      <w:r>
        <w:rPr/>
        <w:t>and</w:t>
      </w:r>
      <w:r>
        <w:rPr>
          <w:spacing w:val="-5"/>
        </w:rPr>
        <w:t> </w:t>
      </w:r>
      <w:r>
        <w:rPr/>
        <w:t>equal treatment of men and women in matters of employment and occupation (Gender Equality (Employment) Directive)</w:t>
      </w:r>
    </w:p>
    <w:p>
      <w:pPr>
        <w:pStyle w:val="ListParagraph"/>
        <w:numPr>
          <w:ilvl w:val="0"/>
          <w:numId w:val="53"/>
        </w:numPr>
        <w:tabs>
          <w:tab w:pos="1457" w:val="left" w:leader="none"/>
        </w:tabs>
        <w:spacing w:line="323" w:lineRule="exact" w:before="0" w:after="0"/>
        <w:ind w:left="1457" w:right="0" w:hanging="340"/>
        <w:jc w:val="left"/>
        <w:rPr>
          <w:sz w:val="28"/>
        </w:rPr>
      </w:pPr>
      <w:r>
        <w:rPr>
          <w:sz w:val="28"/>
        </w:rPr>
        <w:t>Council</w:t>
      </w:r>
      <w:r>
        <w:rPr>
          <w:spacing w:val="-6"/>
          <w:sz w:val="28"/>
        </w:rPr>
        <w:t> </w:t>
      </w:r>
      <w:r>
        <w:rPr>
          <w:sz w:val="28"/>
        </w:rPr>
        <w:t>Directive</w:t>
      </w:r>
      <w:r>
        <w:rPr>
          <w:spacing w:val="-4"/>
          <w:sz w:val="28"/>
        </w:rPr>
        <w:t> </w:t>
      </w:r>
      <w:r>
        <w:rPr>
          <w:sz w:val="28"/>
        </w:rPr>
        <w:t>2000/43/EC</w:t>
      </w:r>
      <w:r>
        <w:rPr>
          <w:spacing w:val="-6"/>
          <w:sz w:val="28"/>
        </w:rPr>
        <w:t> </w:t>
      </w:r>
      <w:r>
        <w:rPr>
          <w:sz w:val="28"/>
        </w:rPr>
        <w:t>of</w:t>
      </w:r>
      <w:r>
        <w:rPr>
          <w:spacing w:val="-5"/>
          <w:sz w:val="28"/>
        </w:rPr>
        <w:t> </w:t>
      </w:r>
      <w:r>
        <w:rPr>
          <w:sz w:val="28"/>
        </w:rPr>
        <w:t>29</w:t>
      </w:r>
      <w:r>
        <w:rPr>
          <w:spacing w:val="-5"/>
          <w:sz w:val="28"/>
        </w:rPr>
        <w:t> </w:t>
      </w:r>
      <w:r>
        <w:rPr>
          <w:sz w:val="28"/>
        </w:rPr>
        <w:t>June</w:t>
      </w:r>
      <w:r>
        <w:rPr>
          <w:spacing w:val="-4"/>
          <w:sz w:val="28"/>
        </w:rPr>
        <w:t> </w:t>
      </w:r>
      <w:r>
        <w:rPr>
          <w:sz w:val="28"/>
        </w:rPr>
        <w:t>2000</w:t>
      </w:r>
      <w:r>
        <w:rPr>
          <w:spacing w:val="-5"/>
          <w:sz w:val="28"/>
        </w:rPr>
        <w:t> </w:t>
      </w:r>
      <w:r>
        <w:rPr>
          <w:sz w:val="28"/>
        </w:rPr>
        <w:t>implementing</w:t>
      </w:r>
      <w:r>
        <w:rPr>
          <w:spacing w:val="-4"/>
          <w:sz w:val="28"/>
        </w:rPr>
        <w:t> </w:t>
      </w:r>
      <w:r>
        <w:rPr>
          <w:sz w:val="28"/>
        </w:rPr>
        <w:t>the</w:t>
      </w:r>
      <w:r>
        <w:rPr>
          <w:spacing w:val="-5"/>
          <w:sz w:val="28"/>
        </w:rPr>
        <w:t> </w:t>
      </w:r>
      <w:r>
        <w:rPr>
          <w:sz w:val="28"/>
        </w:rPr>
        <w:t>principle</w:t>
      </w:r>
      <w:r>
        <w:rPr>
          <w:spacing w:val="-4"/>
          <w:sz w:val="28"/>
        </w:rPr>
        <w:t> </w:t>
      </w:r>
      <w:r>
        <w:rPr>
          <w:spacing w:val="-5"/>
          <w:sz w:val="28"/>
        </w:rPr>
        <w:t>of</w:t>
      </w:r>
    </w:p>
    <w:p>
      <w:pPr>
        <w:pStyle w:val="BodyText"/>
        <w:spacing w:line="232" w:lineRule="auto" w:before="2"/>
        <w:ind w:left="1457" w:right="1087"/>
      </w:pPr>
      <w:r>
        <w:rPr/>
        <w:t>equal</w:t>
      </w:r>
      <w:r>
        <w:rPr>
          <w:spacing w:val="-7"/>
        </w:rPr>
        <w:t> </w:t>
      </w:r>
      <w:r>
        <w:rPr/>
        <w:t>treatment</w:t>
      </w:r>
      <w:r>
        <w:rPr>
          <w:spacing w:val="-7"/>
        </w:rPr>
        <w:t> </w:t>
      </w:r>
      <w:r>
        <w:rPr/>
        <w:t>between</w:t>
      </w:r>
      <w:r>
        <w:rPr>
          <w:spacing w:val="-7"/>
        </w:rPr>
        <w:t> </w:t>
      </w:r>
      <w:r>
        <w:rPr/>
        <w:t>persons</w:t>
      </w:r>
      <w:r>
        <w:rPr>
          <w:spacing w:val="-7"/>
        </w:rPr>
        <w:t> </w:t>
      </w:r>
      <w:r>
        <w:rPr/>
        <w:t>irrespective</w:t>
      </w:r>
      <w:r>
        <w:rPr>
          <w:spacing w:val="-7"/>
        </w:rPr>
        <w:t> </w:t>
      </w:r>
      <w:r>
        <w:rPr/>
        <w:t>of</w:t>
      </w:r>
      <w:r>
        <w:rPr>
          <w:spacing w:val="-7"/>
        </w:rPr>
        <w:t> </w:t>
      </w:r>
      <w:r>
        <w:rPr/>
        <w:t>racial</w:t>
      </w:r>
      <w:r>
        <w:rPr>
          <w:spacing w:val="-7"/>
        </w:rPr>
        <w:t> </w:t>
      </w:r>
      <w:r>
        <w:rPr/>
        <w:t>or</w:t>
      </w:r>
      <w:r>
        <w:rPr>
          <w:spacing w:val="-7"/>
        </w:rPr>
        <w:t> </w:t>
      </w:r>
      <w:r>
        <w:rPr/>
        <w:t>ethnic</w:t>
      </w:r>
      <w:r>
        <w:rPr>
          <w:spacing w:val="-7"/>
        </w:rPr>
        <w:t> </w:t>
      </w:r>
      <w:r>
        <w:rPr/>
        <w:t>origin</w:t>
      </w:r>
      <w:r>
        <w:rPr>
          <w:spacing w:val="-7"/>
        </w:rPr>
        <w:t> </w:t>
      </w:r>
      <w:r>
        <w:rPr/>
        <w:t>(Race Equality Directive)</w:t>
      </w:r>
    </w:p>
    <w:p>
      <w:pPr>
        <w:pStyle w:val="ListParagraph"/>
        <w:numPr>
          <w:ilvl w:val="0"/>
          <w:numId w:val="53"/>
        </w:numPr>
        <w:tabs>
          <w:tab w:pos="1457" w:val="left" w:leader="none"/>
        </w:tabs>
        <w:spacing w:line="325" w:lineRule="exact" w:before="0" w:after="0"/>
        <w:ind w:left="1457" w:right="0" w:hanging="340"/>
        <w:jc w:val="left"/>
        <w:rPr>
          <w:sz w:val="28"/>
        </w:rPr>
      </w:pPr>
      <w:r>
        <w:rPr>
          <w:sz w:val="28"/>
        </w:rPr>
        <w:t>Council</w:t>
      </w:r>
      <w:r>
        <w:rPr>
          <w:spacing w:val="-6"/>
          <w:sz w:val="28"/>
        </w:rPr>
        <w:t> </w:t>
      </w:r>
      <w:r>
        <w:rPr>
          <w:sz w:val="28"/>
        </w:rPr>
        <w:t>Directive</w:t>
      </w:r>
      <w:r>
        <w:rPr>
          <w:spacing w:val="-6"/>
          <w:sz w:val="28"/>
        </w:rPr>
        <w:t> </w:t>
      </w:r>
      <w:r>
        <w:rPr>
          <w:sz w:val="28"/>
        </w:rPr>
        <w:t>2000/78/EC</w:t>
      </w:r>
      <w:r>
        <w:rPr>
          <w:spacing w:val="-6"/>
          <w:sz w:val="28"/>
        </w:rPr>
        <w:t> </w:t>
      </w:r>
      <w:r>
        <w:rPr>
          <w:sz w:val="28"/>
        </w:rPr>
        <w:t>of</w:t>
      </w:r>
      <w:r>
        <w:rPr>
          <w:spacing w:val="-6"/>
          <w:sz w:val="28"/>
        </w:rPr>
        <w:t> </w:t>
      </w:r>
      <w:r>
        <w:rPr>
          <w:sz w:val="28"/>
        </w:rPr>
        <w:t>27</w:t>
      </w:r>
      <w:r>
        <w:rPr>
          <w:spacing w:val="-5"/>
          <w:sz w:val="28"/>
        </w:rPr>
        <w:t> </w:t>
      </w:r>
      <w:r>
        <w:rPr>
          <w:sz w:val="28"/>
        </w:rPr>
        <w:t>November</w:t>
      </w:r>
      <w:r>
        <w:rPr>
          <w:spacing w:val="-5"/>
          <w:sz w:val="28"/>
        </w:rPr>
        <w:t> </w:t>
      </w:r>
      <w:r>
        <w:rPr>
          <w:sz w:val="28"/>
        </w:rPr>
        <w:t>2000</w:t>
      </w:r>
      <w:r>
        <w:rPr>
          <w:spacing w:val="-5"/>
          <w:sz w:val="28"/>
        </w:rPr>
        <w:t> </w:t>
      </w:r>
      <w:r>
        <w:rPr>
          <w:sz w:val="28"/>
        </w:rPr>
        <w:t>establishing</w:t>
      </w:r>
      <w:r>
        <w:rPr>
          <w:spacing w:val="-5"/>
          <w:sz w:val="28"/>
        </w:rPr>
        <w:t> </w:t>
      </w:r>
      <w:r>
        <w:rPr>
          <w:sz w:val="28"/>
        </w:rPr>
        <w:t>a</w:t>
      </w:r>
      <w:r>
        <w:rPr>
          <w:spacing w:val="-6"/>
          <w:sz w:val="28"/>
        </w:rPr>
        <w:t> </w:t>
      </w:r>
      <w:r>
        <w:rPr>
          <w:spacing w:val="-2"/>
          <w:sz w:val="28"/>
        </w:rPr>
        <w:t>general</w:t>
      </w:r>
    </w:p>
    <w:p>
      <w:pPr>
        <w:pStyle w:val="BodyText"/>
        <w:spacing w:line="232" w:lineRule="auto" w:before="2"/>
        <w:ind w:left="1457" w:right="1087"/>
      </w:pPr>
      <w:r>
        <w:rPr/>
        <w:t>framework</w:t>
      </w:r>
      <w:r>
        <w:rPr>
          <w:spacing w:val="-9"/>
        </w:rPr>
        <w:t> </w:t>
      </w:r>
      <w:r>
        <w:rPr/>
        <w:t>for</w:t>
      </w:r>
      <w:r>
        <w:rPr>
          <w:spacing w:val="-9"/>
        </w:rPr>
        <w:t> </w:t>
      </w:r>
      <w:r>
        <w:rPr/>
        <w:t>equal</w:t>
      </w:r>
      <w:r>
        <w:rPr>
          <w:spacing w:val="-10"/>
        </w:rPr>
        <w:t> </w:t>
      </w:r>
      <w:r>
        <w:rPr/>
        <w:t>treatment</w:t>
      </w:r>
      <w:r>
        <w:rPr>
          <w:spacing w:val="-9"/>
        </w:rPr>
        <w:t> </w:t>
      </w:r>
      <w:r>
        <w:rPr/>
        <w:t>in</w:t>
      </w:r>
      <w:r>
        <w:rPr>
          <w:spacing w:val="-10"/>
        </w:rPr>
        <w:t> </w:t>
      </w:r>
      <w:r>
        <w:rPr/>
        <w:t>employment</w:t>
      </w:r>
      <w:r>
        <w:rPr>
          <w:spacing w:val="-9"/>
        </w:rPr>
        <w:t> </w:t>
      </w:r>
      <w:r>
        <w:rPr/>
        <w:t>and</w:t>
      </w:r>
      <w:r>
        <w:rPr>
          <w:spacing w:val="-10"/>
        </w:rPr>
        <w:t> </w:t>
      </w:r>
      <w:r>
        <w:rPr/>
        <w:t>occupation</w:t>
      </w:r>
      <w:r>
        <w:rPr>
          <w:spacing w:val="-10"/>
        </w:rPr>
        <w:t> </w:t>
      </w:r>
      <w:r>
        <w:rPr/>
        <w:t>(General Framework Directive)</w:t>
      </w:r>
    </w:p>
    <w:p>
      <w:pPr>
        <w:pStyle w:val="BodyText"/>
        <w:spacing w:before="103"/>
        <w:rPr>
          <w:sz w:val="20"/>
        </w:rPr>
      </w:pPr>
      <w:r>
        <w:rPr/>
        <mc:AlternateContent>
          <mc:Choice Requires="wps">
            <w:drawing>
              <wp:anchor distT="0" distB="0" distL="0" distR="0" allowOverlap="1" layoutInCell="1" locked="0" behindDoc="1" simplePos="0" relativeHeight="487770112">
                <wp:simplePos x="0" y="0"/>
                <wp:positionH relativeFrom="page">
                  <wp:posOffset>899999</wp:posOffset>
                </wp:positionH>
                <wp:positionV relativeFrom="paragraph">
                  <wp:posOffset>236054</wp:posOffset>
                </wp:positionV>
                <wp:extent cx="6012180" cy="1270"/>
                <wp:effectExtent l="0" t="0" r="0" b="0"/>
                <wp:wrapTopAndBottom/>
                <wp:docPr id="964" name="Graphic 964"/>
                <wp:cNvGraphicFramePr>
                  <a:graphicFrameLocks/>
                </wp:cNvGraphicFramePr>
                <a:graphic>
                  <a:graphicData uri="http://schemas.microsoft.com/office/word/2010/wordprocessingShape">
                    <wps:wsp>
                      <wps:cNvPr id="964" name="Graphic 964"/>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8.586933pt;width:473.4pt;height:.1pt;mso-position-horizontal-relative:page;mso-position-vertical-relative:paragraph;z-index:-15546368;mso-wrap-distance-left:0;mso-wrap-distance-right:0" id="docshape790" coordorigin="1417,372" coordsize="9468,0" path="m1417,372l10885,372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981"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w:t>
      </w:r>
    </w:p>
    <w:p>
      <w:pPr>
        <w:spacing w:after="0" w:line="240" w:lineRule="auto"/>
        <w:jc w:val="both"/>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88832">
                <wp:simplePos x="0" y="0"/>
                <wp:positionH relativeFrom="page">
                  <wp:posOffset>0</wp:posOffset>
                </wp:positionH>
                <wp:positionV relativeFrom="page">
                  <wp:posOffset>0</wp:posOffset>
                </wp:positionV>
                <wp:extent cx="7560309" cy="1155065"/>
                <wp:effectExtent l="0" t="0" r="0" b="0"/>
                <wp:wrapNone/>
                <wp:docPr id="965" name="Group 965"/>
                <wp:cNvGraphicFramePr>
                  <a:graphicFrameLocks/>
                </wp:cNvGraphicFramePr>
                <a:graphic>
                  <a:graphicData uri="http://schemas.microsoft.com/office/word/2010/wordprocessingGroup">
                    <wpg:wgp>
                      <wpg:cNvPr id="965" name="Group 965"/>
                      <wpg:cNvGrpSpPr/>
                      <wpg:grpSpPr>
                        <a:xfrm>
                          <a:off x="0" y="0"/>
                          <a:ext cx="7560309" cy="1155065"/>
                          <a:chExt cx="7560309" cy="1155065"/>
                        </a:xfrm>
                      </wpg:grpSpPr>
                      <wps:wsp>
                        <wps:cNvPr id="966" name="Graphic 966"/>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967" name="Graphic 967"/>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27648" id="docshapegroup791" coordorigin="0,0" coordsize="11906,1819">
                <v:shape style="position:absolute;left:0;top:0;width:11906;height:1819" id="docshape792"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bookmarkStart w:name="6.2 Methodology" w:id="184"/>
      <w:bookmarkEnd w:id="184"/>
      <w:r>
        <w:rPr/>
      </w:r>
      <w:bookmarkStart w:name="6.3 Key Developments in EU Case Law rela" w:id="185"/>
      <w:bookmarkEnd w:id="185"/>
      <w:r>
        <w:rPr/>
      </w:r>
      <w:bookmarkStart w:name="6.3.1 Directive 2004/113/EC Gender Goods" w:id="186"/>
      <w:bookmarkEnd w:id="186"/>
      <w:r>
        <w:rPr/>
      </w:r>
      <w:bookmarkStart w:name="6.3.2 Directive 2006/54/EC Gender Equali" w:id="187"/>
      <w:bookmarkEnd w:id="187"/>
      <w:r>
        <w:rPr/>
      </w:r>
      <w:bookmarkStart w:name="6.3.2.1 Thematic Area: Employment, Pensi" w:id="188"/>
      <w:bookmarkEnd w:id="188"/>
      <w:r>
        <w:rPr/>
      </w:r>
      <w:bookmarkStart w:name="_bookmark78" w:id="189"/>
      <w:bookmarkEnd w:id="189"/>
      <w:r>
        <w:rPr/>
      </w:r>
      <w:r>
        <w:rPr>
          <w:b/>
          <w:color w:val="FFFFFF"/>
          <w:spacing w:val="-5"/>
          <w:position w:val="-1"/>
          <w:sz w:val="28"/>
        </w:rPr>
        <w:t>118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34"/>
        <w:rPr>
          <w:b/>
        </w:rPr>
      </w:pPr>
    </w:p>
    <w:p>
      <w:pPr>
        <w:pStyle w:val="ListParagraph"/>
        <w:numPr>
          <w:ilvl w:val="0"/>
          <w:numId w:val="54"/>
        </w:numPr>
        <w:tabs>
          <w:tab w:pos="1060" w:val="left" w:leader="none"/>
        </w:tabs>
        <w:spacing w:line="232" w:lineRule="auto" w:before="0" w:after="0"/>
        <w:ind w:left="1060" w:right="1221" w:hanging="341"/>
        <w:jc w:val="left"/>
        <w:rPr>
          <w:sz w:val="28"/>
        </w:rPr>
      </w:pPr>
      <w:r>
        <w:rPr>
          <w:sz w:val="28"/>
        </w:rPr>
        <w:t>Directive 2010/41/EU of the European Parliament and of the Council of 7 July 2010 on the application of the principle of equal treatment between men and women</w:t>
      </w:r>
      <w:r>
        <w:rPr>
          <w:spacing w:val="-7"/>
          <w:sz w:val="28"/>
        </w:rPr>
        <w:t> </w:t>
      </w:r>
      <w:r>
        <w:rPr>
          <w:sz w:val="28"/>
        </w:rPr>
        <w:t>engaged</w:t>
      </w:r>
      <w:r>
        <w:rPr>
          <w:spacing w:val="-7"/>
          <w:sz w:val="28"/>
        </w:rPr>
        <w:t> </w:t>
      </w:r>
      <w:r>
        <w:rPr>
          <w:sz w:val="28"/>
        </w:rPr>
        <w:t>in</w:t>
      </w:r>
      <w:r>
        <w:rPr>
          <w:spacing w:val="-7"/>
          <w:sz w:val="28"/>
        </w:rPr>
        <w:t> </w:t>
      </w:r>
      <w:r>
        <w:rPr>
          <w:sz w:val="28"/>
        </w:rPr>
        <w:t>an</w:t>
      </w:r>
      <w:r>
        <w:rPr>
          <w:spacing w:val="-7"/>
          <w:sz w:val="28"/>
        </w:rPr>
        <w:t> </w:t>
      </w:r>
      <w:r>
        <w:rPr>
          <w:sz w:val="28"/>
        </w:rPr>
        <w:t>activity</w:t>
      </w:r>
      <w:r>
        <w:rPr>
          <w:spacing w:val="-6"/>
          <w:sz w:val="28"/>
        </w:rPr>
        <w:t> </w:t>
      </w:r>
      <w:r>
        <w:rPr>
          <w:sz w:val="28"/>
        </w:rPr>
        <w:t>in</w:t>
      </w:r>
      <w:r>
        <w:rPr>
          <w:spacing w:val="-7"/>
          <w:sz w:val="28"/>
        </w:rPr>
        <w:t> </w:t>
      </w:r>
      <w:r>
        <w:rPr>
          <w:sz w:val="28"/>
        </w:rPr>
        <w:t>a</w:t>
      </w:r>
      <w:r>
        <w:rPr>
          <w:spacing w:val="-7"/>
          <w:sz w:val="28"/>
        </w:rPr>
        <w:t> </w:t>
      </w:r>
      <w:r>
        <w:rPr>
          <w:sz w:val="28"/>
        </w:rPr>
        <w:t>self-employed</w:t>
      </w:r>
      <w:r>
        <w:rPr>
          <w:spacing w:val="-7"/>
          <w:sz w:val="28"/>
        </w:rPr>
        <w:t> </w:t>
      </w:r>
      <w:r>
        <w:rPr>
          <w:sz w:val="28"/>
        </w:rPr>
        <w:t>capacity</w:t>
      </w:r>
      <w:r>
        <w:rPr>
          <w:spacing w:val="-6"/>
          <w:sz w:val="28"/>
        </w:rPr>
        <w:t> </w:t>
      </w:r>
      <w:r>
        <w:rPr>
          <w:sz w:val="28"/>
        </w:rPr>
        <w:t>and</w:t>
      </w:r>
      <w:r>
        <w:rPr>
          <w:spacing w:val="-7"/>
          <w:sz w:val="28"/>
        </w:rPr>
        <w:t> </w:t>
      </w:r>
      <w:r>
        <w:rPr>
          <w:sz w:val="28"/>
        </w:rPr>
        <w:t>repealing</w:t>
      </w:r>
      <w:r>
        <w:rPr>
          <w:spacing w:val="-6"/>
          <w:sz w:val="28"/>
        </w:rPr>
        <w:t> </w:t>
      </w:r>
      <w:r>
        <w:rPr>
          <w:sz w:val="28"/>
        </w:rPr>
        <w:t>Council Directive 86/613/EEC (Self-Employment Equality Directive)</w:t>
      </w:r>
    </w:p>
    <w:p>
      <w:pPr>
        <w:pStyle w:val="ListParagraph"/>
        <w:numPr>
          <w:ilvl w:val="0"/>
          <w:numId w:val="54"/>
        </w:numPr>
        <w:tabs>
          <w:tab w:pos="1060" w:val="left" w:leader="none"/>
        </w:tabs>
        <w:spacing w:line="322" w:lineRule="exact" w:before="0" w:after="0"/>
        <w:ind w:left="1060" w:right="0" w:hanging="340"/>
        <w:jc w:val="left"/>
        <w:rPr>
          <w:sz w:val="28"/>
        </w:rPr>
      </w:pPr>
      <w:r>
        <w:rPr>
          <w:sz w:val="28"/>
        </w:rPr>
        <w:t>Council</w:t>
      </w:r>
      <w:r>
        <w:rPr>
          <w:spacing w:val="-5"/>
          <w:sz w:val="28"/>
        </w:rPr>
        <w:t> </w:t>
      </w:r>
      <w:r>
        <w:rPr>
          <w:sz w:val="28"/>
        </w:rPr>
        <w:t>Directive</w:t>
      </w:r>
      <w:r>
        <w:rPr>
          <w:spacing w:val="-3"/>
          <w:sz w:val="28"/>
        </w:rPr>
        <w:t> </w:t>
      </w:r>
      <w:r>
        <w:rPr>
          <w:sz w:val="28"/>
        </w:rPr>
        <w:t>79/7/EEC</w:t>
      </w:r>
      <w:r>
        <w:rPr>
          <w:spacing w:val="-4"/>
          <w:sz w:val="28"/>
        </w:rPr>
        <w:t> </w:t>
      </w:r>
      <w:r>
        <w:rPr>
          <w:sz w:val="28"/>
        </w:rPr>
        <w:t>of</w:t>
      </w:r>
      <w:r>
        <w:rPr>
          <w:spacing w:val="-5"/>
          <w:sz w:val="28"/>
        </w:rPr>
        <w:t> </w:t>
      </w:r>
      <w:r>
        <w:rPr>
          <w:sz w:val="28"/>
        </w:rPr>
        <w:t>19</w:t>
      </w:r>
      <w:r>
        <w:rPr>
          <w:spacing w:val="-3"/>
          <w:sz w:val="28"/>
        </w:rPr>
        <w:t> </w:t>
      </w:r>
      <w:r>
        <w:rPr>
          <w:sz w:val="28"/>
        </w:rPr>
        <w:t>December</w:t>
      </w:r>
      <w:r>
        <w:rPr>
          <w:spacing w:val="-3"/>
          <w:sz w:val="28"/>
        </w:rPr>
        <w:t> </w:t>
      </w:r>
      <w:r>
        <w:rPr>
          <w:sz w:val="28"/>
        </w:rPr>
        <w:t>1978</w:t>
      </w:r>
      <w:r>
        <w:rPr>
          <w:spacing w:val="-3"/>
          <w:sz w:val="28"/>
        </w:rPr>
        <w:t> </w:t>
      </w:r>
      <w:r>
        <w:rPr>
          <w:sz w:val="28"/>
        </w:rPr>
        <w:t>on</w:t>
      </w:r>
      <w:r>
        <w:rPr>
          <w:spacing w:val="-5"/>
          <w:sz w:val="28"/>
        </w:rPr>
        <w:t> </w:t>
      </w:r>
      <w:r>
        <w:rPr>
          <w:sz w:val="28"/>
        </w:rPr>
        <w:t>the</w:t>
      </w:r>
      <w:r>
        <w:rPr>
          <w:spacing w:val="-3"/>
          <w:sz w:val="28"/>
        </w:rPr>
        <w:t> </w:t>
      </w:r>
      <w:r>
        <w:rPr>
          <w:spacing w:val="-2"/>
          <w:sz w:val="28"/>
        </w:rPr>
        <w:t>progressive</w:t>
      </w:r>
    </w:p>
    <w:p>
      <w:pPr>
        <w:pStyle w:val="BodyText"/>
        <w:spacing w:line="232" w:lineRule="auto" w:before="2"/>
        <w:ind w:left="1060" w:right="1087"/>
      </w:pPr>
      <w:r>
        <w:rPr/>
        <w:t>implementation</w:t>
      </w:r>
      <w:r>
        <w:rPr>
          <w:spacing w:val="-6"/>
        </w:rPr>
        <w:t> </w:t>
      </w:r>
      <w:r>
        <w:rPr/>
        <w:t>of</w:t>
      </w:r>
      <w:r>
        <w:rPr>
          <w:spacing w:val="-6"/>
        </w:rPr>
        <w:t> </w:t>
      </w:r>
      <w:r>
        <w:rPr/>
        <w:t>the</w:t>
      </w:r>
      <w:r>
        <w:rPr>
          <w:spacing w:val="-6"/>
        </w:rPr>
        <w:t> </w:t>
      </w:r>
      <w:r>
        <w:rPr/>
        <w:t>principle</w:t>
      </w:r>
      <w:r>
        <w:rPr>
          <w:spacing w:val="-6"/>
        </w:rPr>
        <w:t> </w:t>
      </w:r>
      <w:r>
        <w:rPr/>
        <w:t>of</w:t>
      </w:r>
      <w:r>
        <w:rPr>
          <w:spacing w:val="-6"/>
        </w:rPr>
        <w:t> </w:t>
      </w:r>
      <w:r>
        <w:rPr/>
        <w:t>equal</w:t>
      </w:r>
      <w:r>
        <w:rPr>
          <w:spacing w:val="-6"/>
        </w:rPr>
        <w:t> </w:t>
      </w:r>
      <w:r>
        <w:rPr/>
        <w:t>treatment</w:t>
      </w:r>
      <w:r>
        <w:rPr>
          <w:spacing w:val="-6"/>
        </w:rPr>
        <w:t> </w:t>
      </w:r>
      <w:r>
        <w:rPr/>
        <w:t>for</w:t>
      </w:r>
      <w:r>
        <w:rPr>
          <w:spacing w:val="-6"/>
        </w:rPr>
        <w:t> </w:t>
      </w:r>
      <w:r>
        <w:rPr/>
        <w:t>men</w:t>
      </w:r>
      <w:r>
        <w:rPr>
          <w:spacing w:val="-6"/>
        </w:rPr>
        <w:t> </w:t>
      </w:r>
      <w:r>
        <w:rPr/>
        <w:t>and</w:t>
      </w:r>
      <w:r>
        <w:rPr>
          <w:spacing w:val="-6"/>
        </w:rPr>
        <w:t> </w:t>
      </w:r>
      <w:r>
        <w:rPr/>
        <w:t>women</w:t>
      </w:r>
      <w:r>
        <w:rPr>
          <w:spacing w:val="-6"/>
        </w:rPr>
        <w:t> </w:t>
      </w:r>
      <w:r>
        <w:rPr/>
        <w:t>in matters of social security (Equality in Social Security Directive)</w:t>
      </w:r>
    </w:p>
    <w:p>
      <w:pPr>
        <w:pStyle w:val="BodyText"/>
        <w:spacing w:line="232" w:lineRule="auto" w:before="281"/>
        <w:ind w:left="720" w:right="1087"/>
      </w:pPr>
      <w:r>
        <w:rPr/>
        <w:t>The chapter provides a comprehensive account of how the Directives are interpreted by recent CJEU case law. Further, it makes recommendations and considers the implications for Northern Ireland law as a result of developments stemming</w:t>
      </w:r>
      <w:r>
        <w:rPr>
          <w:spacing w:val="-6"/>
        </w:rPr>
        <w:t> </w:t>
      </w:r>
      <w:r>
        <w:rPr/>
        <w:t>from</w:t>
      </w:r>
      <w:r>
        <w:rPr>
          <w:spacing w:val="-6"/>
        </w:rPr>
        <w:t> </w:t>
      </w:r>
      <w:r>
        <w:rPr/>
        <w:t>CJEU</w:t>
      </w:r>
      <w:r>
        <w:rPr>
          <w:spacing w:val="-6"/>
        </w:rPr>
        <w:t> </w:t>
      </w:r>
      <w:r>
        <w:rPr/>
        <w:t>case</w:t>
      </w:r>
      <w:r>
        <w:rPr>
          <w:spacing w:val="-6"/>
        </w:rPr>
        <w:t> </w:t>
      </w:r>
      <w:r>
        <w:rPr/>
        <w:t>law</w:t>
      </w:r>
      <w:r>
        <w:rPr>
          <w:spacing w:val="-6"/>
        </w:rPr>
        <w:t> </w:t>
      </w:r>
      <w:r>
        <w:rPr/>
        <w:t>considering</w:t>
      </w:r>
      <w:r>
        <w:rPr>
          <w:spacing w:val="-6"/>
        </w:rPr>
        <w:t> </w:t>
      </w:r>
      <w:r>
        <w:rPr/>
        <w:t>the</w:t>
      </w:r>
      <w:r>
        <w:rPr>
          <w:spacing w:val="-6"/>
        </w:rPr>
        <w:t> </w:t>
      </w:r>
      <w:r>
        <w:rPr/>
        <w:t>requirement</w:t>
      </w:r>
      <w:r>
        <w:rPr>
          <w:spacing w:val="-6"/>
        </w:rPr>
        <w:t> </w:t>
      </w:r>
      <w:r>
        <w:rPr/>
        <w:t>as</w:t>
      </w:r>
      <w:r>
        <w:rPr>
          <w:spacing w:val="-7"/>
        </w:rPr>
        <w:t> </w:t>
      </w:r>
      <w:r>
        <w:rPr/>
        <w:t>required</w:t>
      </w:r>
      <w:r>
        <w:rPr>
          <w:spacing w:val="-7"/>
        </w:rPr>
        <w:t> </w:t>
      </w:r>
      <w:r>
        <w:rPr/>
        <w:t>under</w:t>
      </w:r>
      <w:r>
        <w:rPr>
          <w:spacing w:val="-6"/>
        </w:rPr>
        <w:t> </w:t>
      </w:r>
      <w:r>
        <w:rPr/>
        <w:t>the Windsor Framework.</w:t>
      </w:r>
    </w:p>
    <w:p>
      <w:pPr>
        <w:pStyle w:val="BodyText"/>
        <w:spacing w:before="11"/>
      </w:pPr>
    </w:p>
    <w:p>
      <w:pPr>
        <w:pStyle w:val="Heading2"/>
        <w:numPr>
          <w:ilvl w:val="1"/>
          <w:numId w:val="52"/>
        </w:numPr>
        <w:tabs>
          <w:tab w:pos="1202" w:val="left" w:leader="none"/>
        </w:tabs>
        <w:spacing w:line="240" w:lineRule="auto" w:before="0" w:after="0"/>
        <w:ind w:left="1202" w:right="0" w:hanging="482"/>
        <w:jc w:val="left"/>
      </w:pPr>
      <w:r>
        <w:rPr>
          <w:color w:val="004A93"/>
          <w:spacing w:val="-2"/>
        </w:rPr>
        <w:t>Methodology</w:t>
      </w:r>
    </w:p>
    <w:p>
      <w:pPr>
        <w:pStyle w:val="BodyText"/>
        <w:spacing w:before="9"/>
        <w:rPr>
          <w:b/>
          <w:sz w:val="5"/>
        </w:rPr>
      </w:pPr>
      <w:r>
        <w:rPr/>
        <mc:AlternateContent>
          <mc:Choice Requires="wps">
            <w:drawing>
              <wp:anchor distT="0" distB="0" distL="0" distR="0" allowOverlap="1" layoutInCell="1" locked="0" behindDoc="1" simplePos="0" relativeHeight="487771136">
                <wp:simplePos x="0" y="0"/>
                <wp:positionH relativeFrom="page">
                  <wp:posOffset>647999</wp:posOffset>
                </wp:positionH>
                <wp:positionV relativeFrom="paragraph">
                  <wp:posOffset>59923</wp:posOffset>
                </wp:positionV>
                <wp:extent cx="6012180" cy="1270"/>
                <wp:effectExtent l="0" t="0" r="0" b="0"/>
                <wp:wrapTopAndBottom/>
                <wp:docPr id="968" name="Graphic 968"/>
                <wp:cNvGraphicFramePr>
                  <a:graphicFrameLocks/>
                </wp:cNvGraphicFramePr>
                <a:graphic>
                  <a:graphicData uri="http://schemas.microsoft.com/office/word/2010/wordprocessingShape">
                    <wps:wsp>
                      <wps:cNvPr id="968" name="Graphic 968"/>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718421pt;width:473.4pt;height:.1pt;mso-position-horizontal-relative:page;mso-position-vertical-relative:paragraph;z-index:-15545344;mso-wrap-distance-left:0;mso-wrap-distance-right:0" id="docshape793" coordorigin="1020,94" coordsize="9468,0" path="m1020,94l10488,94e" filled="false" stroked="true" strokeweight="1pt" strokecolor="#36a9e1">
                <v:path arrowok="t"/>
                <v:stroke dashstyle="solid"/>
                <w10:wrap type="topAndBottom"/>
              </v:shape>
            </w:pict>
          </mc:Fallback>
        </mc:AlternateContent>
      </w:r>
    </w:p>
    <w:p>
      <w:pPr>
        <w:pStyle w:val="BodyText"/>
        <w:spacing w:line="232" w:lineRule="auto" w:before="108"/>
        <w:ind w:left="720" w:right="1713"/>
      </w:pPr>
      <w:r>
        <w:rPr/>
        <w:t>The analysis within this chapter is underpinned by the mapping exercise</w:t>
      </w:r>
      <w:r>
        <w:rPr>
          <w:spacing w:val="40"/>
        </w:rPr>
        <w:t> </w:t>
      </w:r>
      <w:r>
        <w:rPr/>
        <w:t>which is included within Appendix 1 of the report. The mapping exercise was</w:t>
      </w:r>
      <w:r>
        <w:rPr>
          <w:spacing w:val="40"/>
        </w:rPr>
        <w:t> </w:t>
      </w:r>
      <w:r>
        <w:rPr/>
        <w:t>a systematic review of CJEU case law which relate and reference Annex 1 directives.</w:t>
      </w:r>
      <w:r>
        <w:rPr>
          <w:spacing w:val="-6"/>
        </w:rPr>
        <w:t> </w:t>
      </w:r>
      <w:r>
        <w:rPr/>
        <w:t>The</w:t>
      </w:r>
      <w:r>
        <w:rPr>
          <w:spacing w:val="-5"/>
        </w:rPr>
        <w:t> </w:t>
      </w:r>
      <w:r>
        <w:rPr/>
        <w:t>case-law</w:t>
      </w:r>
      <w:r>
        <w:rPr>
          <w:spacing w:val="-5"/>
        </w:rPr>
        <w:t> </w:t>
      </w:r>
      <w:r>
        <w:rPr/>
        <w:t>mapping</w:t>
      </w:r>
      <w:r>
        <w:rPr>
          <w:spacing w:val="-5"/>
        </w:rPr>
        <w:t> </w:t>
      </w:r>
      <w:r>
        <w:rPr/>
        <w:t>was</w:t>
      </w:r>
      <w:r>
        <w:rPr>
          <w:spacing w:val="-6"/>
        </w:rPr>
        <w:t> </w:t>
      </w:r>
      <w:r>
        <w:rPr/>
        <w:t>based</w:t>
      </w:r>
      <w:r>
        <w:rPr>
          <w:spacing w:val="-6"/>
        </w:rPr>
        <w:t> </w:t>
      </w:r>
      <w:r>
        <w:rPr/>
        <w:t>upon</w:t>
      </w:r>
      <w:r>
        <w:rPr>
          <w:spacing w:val="-6"/>
        </w:rPr>
        <w:t> </w:t>
      </w:r>
      <w:r>
        <w:rPr/>
        <w:t>a</w:t>
      </w:r>
      <w:r>
        <w:rPr>
          <w:spacing w:val="-6"/>
        </w:rPr>
        <w:t> </w:t>
      </w:r>
      <w:r>
        <w:rPr/>
        <w:t>date</w:t>
      </w:r>
      <w:r>
        <w:rPr>
          <w:spacing w:val="-5"/>
        </w:rPr>
        <w:t> </w:t>
      </w:r>
      <w:r>
        <w:rPr/>
        <w:t>range</w:t>
      </w:r>
      <w:r>
        <w:rPr>
          <w:spacing w:val="-5"/>
        </w:rPr>
        <w:t> </w:t>
      </w:r>
      <w:r>
        <w:rPr/>
        <w:t>search</w:t>
      </w:r>
      <w:r>
        <w:rPr>
          <w:spacing w:val="-6"/>
        </w:rPr>
        <w:t> </w:t>
      </w:r>
      <w:r>
        <w:rPr/>
        <w:t>on</w:t>
      </w:r>
      <w:r>
        <w:rPr>
          <w:spacing w:val="-6"/>
        </w:rPr>
        <w:t> </w:t>
      </w:r>
      <w:r>
        <w:rPr/>
        <w:t>each Annex 1 directive (01/01/2022 to 31/08/2023) to provide an update on the</w:t>
      </w:r>
    </w:p>
    <w:p>
      <w:pPr>
        <w:pStyle w:val="BodyText"/>
        <w:spacing w:line="232" w:lineRule="auto"/>
        <w:ind w:left="720" w:right="1404"/>
      </w:pPr>
      <w:r>
        <w:rPr/>
        <w:t>previous</w:t>
      </w:r>
      <w:r>
        <w:rPr>
          <w:spacing w:val="-6"/>
        </w:rPr>
        <w:t> </w:t>
      </w:r>
      <w:r>
        <w:rPr/>
        <w:t>mapping</w:t>
      </w:r>
      <w:r>
        <w:rPr>
          <w:spacing w:val="-5"/>
        </w:rPr>
        <w:t> </w:t>
      </w:r>
      <w:r>
        <w:rPr/>
        <w:t>and</w:t>
      </w:r>
      <w:r>
        <w:rPr>
          <w:spacing w:val="-6"/>
        </w:rPr>
        <w:t> </w:t>
      </w:r>
      <w:r>
        <w:rPr/>
        <w:t>report</w:t>
      </w:r>
      <w:r>
        <w:rPr>
          <w:spacing w:val="-5"/>
        </w:rPr>
        <w:t> </w:t>
      </w:r>
      <w:r>
        <w:rPr/>
        <w:t>commissioned.</w:t>
      </w:r>
      <w:r>
        <w:rPr>
          <w:spacing w:val="-6"/>
        </w:rPr>
        <w:t> </w:t>
      </w:r>
      <w:r>
        <w:rPr/>
        <w:t>All</w:t>
      </w:r>
      <w:r>
        <w:rPr>
          <w:spacing w:val="-6"/>
        </w:rPr>
        <w:t> </w:t>
      </w:r>
      <w:r>
        <w:rPr/>
        <w:t>case</w:t>
      </w:r>
      <w:r>
        <w:rPr>
          <w:spacing w:val="-5"/>
        </w:rPr>
        <w:t> </w:t>
      </w:r>
      <w:r>
        <w:rPr/>
        <w:t>law</w:t>
      </w:r>
      <w:r>
        <w:rPr>
          <w:spacing w:val="-5"/>
        </w:rPr>
        <w:t> </w:t>
      </w:r>
      <w:r>
        <w:rPr/>
        <w:t>searches</w:t>
      </w:r>
      <w:r>
        <w:rPr>
          <w:spacing w:val="-6"/>
        </w:rPr>
        <w:t> </w:t>
      </w:r>
      <w:r>
        <w:rPr/>
        <w:t>took</w:t>
      </w:r>
      <w:r>
        <w:rPr>
          <w:spacing w:val="-5"/>
        </w:rPr>
        <w:t> </w:t>
      </w:r>
      <w:r>
        <w:rPr/>
        <w:t>place</w:t>
      </w:r>
      <w:r>
        <w:rPr>
          <w:spacing w:val="-5"/>
        </w:rPr>
        <w:t> </w:t>
      </w:r>
      <w:r>
        <w:rPr/>
        <w:t>on the curia.eu database and all the cases were systematically analysed. Seminal judgments are outlined with reference to the relevant Directive and within thematic groupings for the purposes of clarity within this chapter. However, for completeness and transparency of the process, all case law mapped has been included within Appendix 1 notwithstanding if it has been referenced to within the final report below.</w:t>
      </w:r>
    </w:p>
    <w:p>
      <w:pPr>
        <w:pStyle w:val="BodyText"/>
        <w:spacing w:before="40"/>
      </w:pPr>
    </w:p>
    <w:p>
      <w:pPr>
        <w:pStyle w:val="Heading2"/>
        <w:numPr>
          <w:ilvl w:val="1"/>
          <w:numId w:val="52"/>
        </w:numPr>
        <w:tabs>
          <w:tab w:pos="1202" w:val="left" w:leader="none"/>
        </w:tabs>
        <w:spacing w:line="208" w:lineRule="auto" w:before="0" w:after="0"/>
        <w:ind w:left="720" w:right="1629" w:firstLine="0"/>
        <w:jc w:val="left"/>
      </w:pPr>
      <w:r>
        <w:rPr>
          <w:color w:val="004A93"/>
        </w:rPr>
        <w:t>Key</w:t>
      </w:r>
      <w:r>
        <w:rPr>
          <w:color w:val="004A93"/>
          <w:spacing w:val="-8"/>
        </w:rPr>
        <w:t> </w:t>
      </w:r>
      <w:r>
        <w:rPr>
          <w:color w:val="004A93"/>
        </w:rPr>
        <w:t>Developments</w:t>
      </w:r>
      <w:r>
        <w:rPr>
          <w:color w:val="004A93"/>
          <w:spacing w:val="-8"/>
        </w:rPr>
        <w:t> </w:t>
      </w:r>
      <w:r>
        <w:rPr>
          <w:color w:val="004A93"/>
        </w:rPr>
        <w:t>in</w:t>
      </w:r>
      <w:r>
        <w:rPr>
          <w:color w:val="004A93"/>
          <w:spacing w:val="-8"/>
        </w:rPr>
        <w:t> </w:t>
      </w:r>
      <w:r>
        <w:rPr>
          <w:color w:val="004A93"/>
        </w:rPr>
        <w:t>EU</w:t>
      </w:r>
      <w:r>
        <w:rPr>
          <w:color w:val="004A93"/>
          <w:spacing w:val="-8"/>
        </w:rPr>
        <w:t> </w:t>
      </w:r>
      <w:r>
        <w:rPr>
          <w:color w:val="004A93"/>
        </w:rPr>
        <w:t>Case</w:t>
      </w:r>
      <w:r>
        <w:rPr>
          <w:color w:val="004A93"/>
          <w:spacing w:val="-9"/>
        </w:rPr>
        <w:t> </w:t>
      </w:r>
      <w:r>
        <w:rPr>
          <w:color w:val="004A93"/>
        </w:rPr>
        <w:t>Law</w:t>
      </w:r>
      <w:r>
        <w:rPr>
          <w:color w:val="004A93"/>
          <w:spacing w:val="-9"/>
        </w:rPr>
        <w:t> </w:t>
      </w:r>
      <w:r>
        <w:rPr>
          <w:color w:val="004A93"/>
        </w:rPr>
        <w:t>relating</w:t>
      </w:r>
      <w:r>
        <w:rPr>
          <w:color w:val="004A93"/>
          <w:spacing w:val="-9"/>
        </w:rPr>
        <w:t> </w:t>
      </w:r>
      <w:r>
        <w:rPr>
          <w:color w:val="004A93"/>
        </w:rPr>
        <w:t>to</w:t>
      </w:r>
      <w:r>
        <w:rPr>
          <w:color w:val="004A93"/>
          <w:spacing w:val="-8"/>
        </w:rPr>
        <w:t> </w:t>
      </w:r>
      <w:r>
        <w:rPr>
          <w:color w:val="004A93"/>
        </w:rPr>
        <w:t>Annex</w:t>
      </w:r>
      <w:r>
        <w:rPr>
          <w:color w:val="004A93"/>
          <w:spacing w:val="-9"/>
        </w:rPr>
        <w:t> </w:t>
      </w:r>
      <w:r>
        <w:rPr>
          <w:color w:val="004A93"/>
        </w:rPr>
        <w:t>1</w:t>
      </w:r>
      <w:r>
        <w:rPr>
          <w:color w:val="004A93"/>
          <w:spacing w:val="-8"/>
        </w:rPr>
        <w:t> </w:t>
      </w:r>
      <w:r>
        <w:rPr>
          <w:color w:val="004A93"/>
        </w:rPr>
        <w:t>Directives (January 2022 – August 2023)</w:t>
      </w:r>
    </w:p>
    <w:p>
      <w:pPr>
        <w:pStyle w:val="BodyText"/>
        <w:spacing w:before="8"/>
        <w:rPr>
          <w:b/>
          <w:sz w:val="6"/>
        </w:rPr>
      </w:pPr>
      <w:r>
        <w:rPr/>
        <mc:AlternateContent>
          <mc:Choice Requires="wps">
            <w:drawing>
              <wp:anchor distT="0" distB="0" distL="0" distR="0" allowOverlap="1" layoutInCell="1" locked="0" behindDoc="1" simplePos="0" relativeHeight="487771648">
                <wp:simplePos x="0" y="0"/>
                <wp:positionH relativeFrom="page">
                  <wp:posOffset>647999</wp:posOffset>
                </wp:positionH>
                <wp:positionV relativeFrom="paragraph">
                  <wp:posOffset>67069</wp:posOffset>
                </wp:positionV>
                <wp:extent cx="6012180" cy="1270"/>
                <wp:effectExtent l="0" t="0" r="0" b="0"/>
                <wp:wrapTopAndBottom/>
                <wp:docPr id="969" name="Graphic 969"/>
                <wp:cNvGraphicFramePr>
                  <a:graphicFrameLocks/>
                </wp:cNvGraphicFramePr>
                <a:graphic>
                  <a:graphicData uri="http://schemas.microsoft.com/office/word/2010/wordprocessingShape">
                    <wps:wsp>
                      <wps:cNvPr id="969" name="Graphic 969"/>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5.2811pt;width:473.4pt;height:.1pt;mso-position-horizontal-relative:page;mso-position-vertical-relative:paragraph;z-index:-15544832;mso-wrap-distance-left:0;mso-wrap-distance-right:0" id="docshape794" coordorigin="1020,106" coordsize="9468,0" path="m1020,106l10488,106e" filled="false" stroked="true" strokeweight="1pt" strokecolor="#36a9e1">
                <v:path arrowok="t"/>
                <v:stroke dashstyle="solid"/>
                <w10:wrap type="topAndBottom"/>
              </v:shape>
            </w:pict>
          </mc:Fallback>
        </mc:AlternateContent>
      </w:r>
    </w:p>
    <w:p>
      <w:pPr>
        <w:pStyle w:val="Heading3"/>
        <w:numPr>
          <w:ilvl w:val="2"/>
          <w:numId w:val="52"/>
        </w:numPr>
        <w:tabs>
          <w:tab w:pos="1358" w:val="left" w:leader="none"/>
        </w:tabs>
        <w:spacing w:line="336" w:lineRule="exact" w:before="223" w:after="0"/>
        <w:ind w:left="1358" w:right="0" w:hanging="638"/>
        <w:jc w:val="left"/>
      </w:pPr>
      <w:r>
        <w:rPr>
          <w:color w:val="004A93"/>
        </w:rPr>
        <w:t>Directive</w:t>
      </w:r>
      <w:r>
        <w:rPr>
          <w:color w:val="004A93"/>
          <w:spacing w:val="-6"/>
        </w:rPr>
        <w:t> </w:t>
      </w:r>
      <w:r>
        <w:rPr>
          <w:color w:val="004A93"/>
        </w:rPr>
        <w:t>2004/113/EC</w:t>
      </w:r>
      <w:r>
        <w:rPr>
          <w:color w:val="004A93"/>
          <w:spacing w:val="-6"/>
        </w:rPr>
        <w:t> </w:t>
      </w:r>
      <w:r>
        <w:rPr>
          <w:color w:val="004A93"/>
        </w:rPr>
        <w:t>Gender</w:t>
      </w:r>
      <w:r>
        <w:rPr>
          <w:color w:val="004A93"/>
          <w:spacing w:val="-6"/>
        </w:rPr>
        <w:t> </w:t>
      </w:r>
      <w:r>
        <w:rPr>
          <w:color w:val="004A93"/>
        </w:rPr>
        <w:t>Goods</w:t>
      </w:r>
      <w:r>
        <w:rPr>
          <w:color w:val="004A93"/>
          <w:spacing w:val="-4"/>
        </w:rPr>
        <w:t> </w:t>
      </w:r>
      <w:r>
        <w:rPr>
          <w:color w:val="004A93"/>
        </w:rPr>
        <w:t>and</w:t>
      </w:r>
      <w:r>
        <w:rPr>
          <w:color w:val="004A93"/>
          <w:spacing w:val="-5"/>
        </w:rPr>
        <w:t> </w:t>
      </w:r>
      <w:r>
        <w:rPr>
          <w:color w:val="004A93"/>
        </w:rPr>
        <w:t>Services</w:t>
      </w:r>
      <w:r>
        <w:rPr>
          <w:color w:val="004A93"/>
          <w:spacing w:val="-5"/>
        </w:rPr>
        <w:t> </w:t>
      </w:r>
      <w:r>
        <w:rPr>
          <w:color w:val="004A93"/>
          <w:spacing w:val="-2"/>
        </w:rPr>
        <w:t>Directive</w:t>
      </w:r>
    </w:p>
    <w:p>
      <w:pPr>
        <w:pStyle w:val="BodyText"/>
        <w:spacing w:line="232" w:lineRule="auto" w:before="2"/>
        <w:ind w:left="720" w:right="1087"/>
      </w:pPr>
      <w:r>
        <w:rPr/>
        <w:t>There</w:t>
      </w:r>
      <w:r>
        <w:rPr>
          <w:spacing w:val="-5"/>
        </w:rPr>
        <w:t> </w:t>
      </w:r>
      <w:r>
        <w:rPr/>
        <w:t>was</w:t>
      </w:r>
      <w:r>
        <w:rPr>
          <w:spacing w:val="-6"/>
        </w:rPr>
        <w:t> </w:t>
      </w:r>
      <w:r>
        <w:rPr/>
        <w:t>no</w:t>
      </w:r>
      <w:r>
        <w:rPr>
          <w:spacing w:val="-6"/>
        </w:rPr>
        <w:t> </w:t>
      </w:r>
      <w:r>
        <w:rPr/>
        <w:t>CJEU</w:t>
      </w:r>
      <w:r>
        <w:rPr>
          <w:spacing w:val="-5"/>
        </w:rPr>
        <w:t> </w:t>
      </w:r>
      <w:r>
        <w:rPr/>
        <w:t>case</w:t>
      </w:r>
      <w:r>
        <w:rPr>
          <w:spacing w:val="-5"/>
        </w:rPr>
        <w:t> </w:t>
      </w:r>
      <w:r>
        <w:rPr/>
        <w:t>law</w:t>
      </w:r>
      <w:r>
        <w:rPr>
          <w:spacing w:val="-5"/>
        </w:rPr>
        <w:t> </w:t>
      </w:r>
      <w:r>
        <w:rPr/>
        <w:t>within</w:t>
      </w:r>
      <w:r>
        <w:rPr>
          <w:spacing w:val="-6"/>
        </w:rPr>
        <w:t> </w:t>
      </w:r>
      <w:r>
        <w:rPr/>
        <w:t>the</w:t>
      </w:r>
      <w:r>
        <w:rPr>
          <w:spacing w:val="-5"/>
        </w:rPr>
        <w:t> </w:t>
      </w:r>
      <w:r>
        <w:rPr/>
        <w:t>defined</w:t>
      </w:r>
      <w:r>
        <w:rPr>
          <w:spacing w:val="-6"/>
        </w:rPr>
        <w:t> </w:t>
      </w:r>
      <w:r>
        <w:rPr/>
        <w:t>date</w:t>
      </w:r>
      <w:r>
        <w:rPr>
          <w:spacing w:val="-5"/>
        </w:rPr>
        <w:t> </w:t>
      </w:r>
      <w:r>
        <w:rPr/>
        <w:t>period</w:t>
      </w:r>
      <w:r>
        <w:rPr>
          <w:spacing w:val="-6"/>
        </w:rPr>
        <w:t> </w:t>
      </w:r>
      <w:r>
        <w:rPr/>
        <w:t>and</w:t>
      </w:r>
      <w:r>
        <w:rPr>
          <w:spacing w:val="-6"/>
        </w:rPr>
        <w:t> </w:t>
      </w:r>
      <w:r>
        <w:rPr/>
        <w:t>parameters</w:t>
      </w:r>
      <w:r>
        <w:rPr>
          <w:spacing w:val="-6"/>
        </w:rPr>
        <w:t> </w:t>
      </w:r>
      <w:r>
        <w:rPr/>
        <w:t>dealing with Directive 2004/113/EC as outlined in the Appendix 1 mapping. This should continue to be monitored in light of any future developments after the mapping date range concluded on 31 August 2023.</w:t>
      </w:r>
    </w:p>
    <w:p>
      <w:pPr>
        <w:pStyle w:val="BodyText"/>
        <w:spacing w:before="51"/>
      </w:pPr>
    </w:p>
    <w:p>
      <w:pPr>
        <w:pStyle w:val="Heading3"/>
        <w:numPr>
          <w:ilvl w:val="2"/>
          <w:numId w:val="52"/>
        </w:numPr>
        <w:tabs>
          <w:tab w:pos="1358" w:val="left" w:leader="none"/>
        </w:tabs>
        <w:spacing w:line="240" w:lineRule="auto" w:before="0" w:after="0"/>
        <w:ind w:left="1358" w:right="0" w:hanging="638"/>
        <w:jc w:val="left"/>
      </w:pPr>
      <w:r>
        <w:rPr>
          <w:color w:val="004A93"/>
        </w:rPr>
        <w:t>Directive</w:t>
      </w:r>
      <w:r>
        <w:rPr>
          <w:color w:val="004A93"/>
          <w:spacing w:val="-9"/>
        </w:rPr>
        <w:t> </w:t>
      </w:r>
      <w:r>
        <w:rPr>
          <w:color w:val="004A93"/>
        </w:rPr>
        <w:t>2006/54/EC</w:t>
      </w:r>
      <w:r>
        <w:rPr>
          <w:color w:val="004A93"/>
          <w:spacing w:val="-9"/>
        </w:rPr>
        <w:t> </w:t>
      </w:r>
      <w:r>
        <w:rPr>
          <w:color w:val="004A93"/>
        </w:rPr>
        <w:t>Gender</w:t>
      </w:r>
      <w:r>
        <w:rPr>
          <w:color w:val="004A93"/>
          <w:spacing w:val="-8"/>
        </w:rPr>
        <w:t> </w:t>
      </w:r>
      <w:r>
        <w:rPr>
          <w:color w:val="004A93"/>
        </w:rPr>
        <w:t>Equality</w:t>
      </w:r>
      <w:r>
        <w:rPr>
          <w:color w:val="004A93"/>
          <w:spacing w:val="-8"/>
        </w:rPr>
        <w:t> </w:t>
      </w:r>
      <w:r>
        <w:rPr>
          <w:color w:val="004A93"/>
        </w:rPr>
        <w:t>(Employment)</w:t>
      </w:r>
      <w:r>
        <w:rPr>
          <w:color w:val="004A93"/>
          <w:spacing w:val="-8"/>
        </w:rPr>
        <w:t> </w:t>
      </w:r>
      <w:r>
        <w:rPr>
          <w:color w:val="004A93"/>
          <w:spacing w:val="-2"/>
        </w:rPr>
        <w:t>Directive</w:t>
      </w:r>
    </w:p>
    <w:p>
      <w:pPr>
        <w:pStyle w:val="ListParagraph"/>
        <w:numPr>
          <w:ilvl w:val="3"/>
          <w:numId w:val="52"/>
        </w:numPr>
        <w:tabs>
          <w:tab w:pos="1563" w:val="left" w:leader="none"/>
        </w:tabs>
        <w:spacing w:line="336" w:lineRule="exact" w:before="112" w:after="0"/>
        <w:ind w:left="1563" w:right="0" w:hanging="843"/>
        <w:jc w:val="left"/>
        <w:rPr>
          <w:sz w:val="28"/>
        </w:rPr>
      </w:pPr>
      <w:r>
        <w:rPr>
          <w:color w:val="004A93"/>
          <w:sz w:val="28"/>
        </w:rPr>
        <w:t>Thematic</w:t>
      </w:r>
      <w:r>
        <w:rPr>
          <w:color w:val="004A93"/>
          <w:spacing w:val="-7"/>
          <w:sz w:val="28"/>
        </w:rPr>
        <w:t> </w:t>
      </w:r>
      <w:r>
        <w:rPr>
          <w:color w:val="004A93"/>
          <w:sz w:val="28"/>
        </w:rPr>
        <w:t>Area:</w:t>
      </w:r>
      <w:r>
        <w:rPr>
          <w:color w:val="004A93"/>
          <w:spacing w:val="-7"/>
          <w:sz w:val="28"/>
        </w:rPr>
        <w:t> </w:t>
      </w:r>
      <w:r>
        <w:rPr>
          <w:color w:val="004A93"/>
          <w:sz w:val="28"/>
        </w:rPr>
        <w:t>Employment,</w:t>
      </w:r>
      <w:r>
        <w:rPr>
          <w:color w:val="004A93"/>
          <w:spacing w:val="-7"/>
          <w:sz w:val="28"/>
        </w:rPr>
        <w:t> </w:t>
      </w:r>
      <w:r>
        <w:rPr>
          <w:color w:val="004A93"/>
          <w:sz w:val="28"/>
        </w:rPr>
        <w:t>Pensions</w:t>
      </w:r>
      <w:r>
        <w:rPr>
          <w:color w:val="004A93"/>
          <w:spacing w:val="-8"/>
          <w:sz w:val="28"/>
        </w:rPr>
        <w:t> </w:t>
      </w:r>
      <w:r>
        <w:rPr>
          <w:color w:val="004A93"/>
          <w:sz w:val="28"/>
        </w:rPr>
        <w:t>and</w:t>
      </w:r>
      <w:r>
        <w:rPr>
          <w:color w:val="004A93"/>
          <w:spacing w:val="-8"/>
          <w:sz w:val="28"/>
        </w:rPr>
        <w:t> </w:t>
      </w:r>
      <w:r>
        <w:rPr>
          <w:color w:val="004A93"/>
          <w:sz w:val="28"/>
        </w:rPr>
        <w:t>Social</w:t>
      </w:r>
      <w:r>
        <w:rPr>
          <w:color w:val="004A93"/>
          <w:spacing w:val="-7"/>
          <w:sz w:val="28"/>
        </w:rPr>
        <w:t> </w:t>
      </w:r>
      <w:r>
        <w:rPr>
          <w:color w:val="004A93"/>
          <w:spacing w:val="-2"/>
          <w:sz w:val="28"/>
        </w:rPr>
        <w:t>Security</w:t>
      </w:r>
    </w:p>
    <w:p>
      <w:pPr>
        <w:pStyle w:val="BodyText"/>
        <w:spacing w:line="232" w:lineRule="auto" w:before="2"/>
        <w:ind w:left="720" w:right="1886"/>
      </w:pPr>
      <w:r>
        <w:rPr/>
        <w:t>There continues to be notable developments in CJEU case law related to pension</w:t>
      </w:r>
      <w:r>
        <w:rPr>
          <w:spacing w:val="-12"/>
        </w:rPr>
        <w:t> </w:t>
      </w:r>
      <w:r>
        <w:rPr/>
        <w:t>entitlements,</w:t>
      </w:r>
      <w:r>
        <w:rPr>
          <w:spacing w:val="-11"/>
        </w:rPr>
        <w:t> </w:t>
      </w:r>
      <w:r>
        <w:rPr/>
        <w:t>specifically</w:t>
      </w:r>
      <w:r>
        <w:rPr>
          <w:spacing w:val="-11"/>
        </w:rPr>
        <w:t> </w:t>
      </w:r>
      <w:r>
        <w:rPr/>
        <w:t>with</w:t>
      </w:r>
      <w:r>
        <w:rPr>
          <w:spacing w:val="-12"/>
        </w:rPr>
        <w:t> </w:t>
      </w:r>
      <w:r>
        <w:rPr/>
        <w:t>reference</w:t>
      </w:r>
      <w:r>
        <w:rPr>
          <w:spacing w:val="-11"/>
        </w:rPr>
        <w:t> </w:t>
      </w:r>
      <w:r>
        <w:rPr/>
        <w:t>to</w:t>
      </w:r>
      <w:r>
        <w:rPr>
          <w:spacing w:val="-12"/>
        </w:rPr>
        <w:t> </w:t>
      </w:r>
      <w:r>
        <w:rPr/>
        <w:t>Directive</w:t>
      </w:r>
      <w:r>
        <w:rPr>
          <w:spacing w:val="-11"/>
        </w:rPr>
        <w:t> </w:t>
      </w:r>
      <w:r>
        <w:rPr/>
        <w:t>2006/54/EC.</w:t>
      </w:r>
    </w:p>
    <w:p>
      <w:pPr>
        <w:spacing w:after="0" w:line="232" w:lineRule="auto"/>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119</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090368">
                <wp:simplePos x="0" y="0"/>
                <wp:positionH relativeFrom="page">
                  <wp:posOffset>-2</wp:posOffset>
                </wp:positionH>
                <wp:positionV relativeFrom="page">
                  <wp:posOffset>0</wp:posOffset>
                </wp:positionV>
                <wp:extent cx="7560309" cy="1155065"/>
                <wp:effectExtent l="0" t="0" r="0" b="0"/>
                <wp:wrapNone/>
                <wp:docPr id="970" name="Group 970"/>
                <wp:cNvGraphicFramePr>
                  <a:graphicFrameLocks/>
                </wp:cNvGraphicFramePr>
                <a:graphic>
                  <a:graphicData uri="http://schemas.microsoft.com/office/word/2010/wordprocessingGroup">
                    <wpg:wgp>
                      <wpg:cNvPr id="970" name="Group 970"/>
                      <wpg:cNvGrpSpPr/>
                      <wpg:grpSpPr>
                        <a:xfrm>
                          <a:off x="0" y="0"/>
                          <a:ext cx="7560309" cy="1155065"/>
                          <a:chExt cx="7560309" cy="1155065"/>
                        </a:xfrm>
                      </wpg:grpSpPr>
                      <wps:wsp>
                        <wps:cNvPr id="971" name="Graphic 971"/>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972" name="Graphic 972"/>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26112" id="docshapegroup795" coordorigin="0,0" coordsize="11906,1819">
                <v:shape style="position:absolute;left:0;top:0;width:11906;height:1819" id="docshape796"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738"/>
      </w:pPr>
      <w:r>
        <w:rPr/>
        <w:t>The Court has continued to clarify key equality protections, ensuring that the overarching non-discrimination provisions set forth in Directive 2006/54/EC are upheld.</w:t>
      </w:r>
      <w:r>
        <w:rPr>
          <w:spacing w:val="-6"/>
        </w:rPr>
        <w:t> </w:t>
      </w:r>
      <w:r>
        <w:rPr/>
        <w:t>The</w:t>
      </w:r>
      <w:r>
        <w:rPr>
          <w:spacing w:val="-5"/>
        </w:rPr>
        <w:t> </w:t>
      </w:r>
      <w:r>
        <w:rPr/>
        <w:t>pivotal</w:t>
      </w:r>
      <w:r>
        <w:rPr>
          <w:spacing w:val="-6"/>
        </w:rPr>
        <w:t> </w:t>
      </w:r>
      <w:r>
        <w:rPr/>
        <w:t>case</w:t>
      </w:r>
      <w:r>
        <w:rPr>
          <w:spacing w:val="-5"/>
        </w:rPr>
        <w:t> </w:t>
      </w:r>
      <w:r>
        <w:rPr/>
        <w:t>within</w:t>
      </w:r>
      <w:r>
        <w:rPr>
          <w:spacing w:val="-6"/>
        </w:rPr>
        <w:t> </w:t>
      </w:r>
      <w:r>
        <w:rPr/>
        <w:t>the</w:t>
      </w:r>
      <w:r>
        <w:rPr>
          <w:spacing w:val="-5"/>
        </w:rPr>
        <w:t> </w:t>
      </w:r>
      <w:r>
        <w:rPr/>
        <w:t>date</w:t>
      </w:r>
      <w:r>
        <w:rPr>
          <w:spacing w:val="-5"/>
        </w:rPr>
        <w:t> </w:t>
      </w:r>
      <w:r>
        <w:rPr/>
        <w:t>period</w:t>
      </w:r>
      <w:r>
        <w:rPr>
          <w:spacing w:val="-6"/>
        </w:rPr>
        <w:t> </w:t>
      </w:r>
      <w:r>
        <w:rPr/>
        <w:t>dealing</w:t>
      </w:r>
      <w:r>
        <w:rPr>
          <w:spacing w:val="-5"/>
        </w:rPr>
        <w:t> </w:t>
      </w:r>
      <w:r>
        <w:rPr/>
        <w:t>with</w:t>
      </w:r>
      <w:r>
        <w:rPr>
          <w:spacing w:val="-6"/>
        </w:rPr>
        <w:t> </w:t>
      </w:r>
      <w:r>
        <w:rPr/>
        <w:t>Directive</w:t>
      </w:r>
      <w:r>
        <w:rPr>
          <w:spacing w:val="-5"/>
        </w:rPr>
        <w:t> </w:t>
      </w:r>
      <w:r>
        <w:rPr/>
        <w:t>2006/54/EC was </w:t>
      </w:r>
      <w:r>
        <w:rPr>
          <w:b/>
          <w:i/>
        </w:rPr>
        <w:t>EB v BVAEB</w:t>
      </w:r>
      <w:r>
        <w:rPr/>
        <w:t>.</w:t>
      </w:r>
      <w:r>
        <w:rPr>
          <w:vertAlign w:val="superscript"/>
        </w:rPr>
        <w:t>618</w:t>
      </w:r>
    </w:p>
    <w:p>
      <w:pPr>
        <w:pStyle w:val="BodyText"/>
        <w:spacing w:line="232" w:lineRule="auto" w:before="278"/>
        <w:ind w:left="1117" w:right="912"/>
      </w:pPr>
      <w:r>
        <w:rPr/>
        <w:t>In </w:t>
      </w:r>
      <w:r>
        <w:rPr>
          <w:i/>
        </w:rPr>
        <w:t>EB v BVAEB </w:t>
      </w:r>
      <w:r>
        <w:rPr/>
        <w:t>the request for a preliminary ruling from the Court stemmed from three separate disputes from civil servants in Austria concerning the annual adjustment of their retirement pension. The applicants in this case were male high pension earners, and rather uniquely, challenged the lack of a proportionate inflationary adjustment to their pensions by arguing that this disproportionately affected</w:t>
      </w:r>
      <w:r>
        <w:rPr>
          <w:spacing w:val="-8"/>
        </w:rPr>
        <w:t> </w:t>
      </w:r>
      <w:r>
        <w:rPr/>
        <w:t>males</w:t>
      </w:r>
      <w:r>
        <w:rPr>
          <w:spacing w:val="-8"/>
        </w:rPr>
        <w:t> </w:t>
      </w:r>
      <w:r>
        <w:rPr/>
        <w:t>more</w:t>
      </w:r>
      <w:r>
        <w:rPr>
          <w:spacing w:val="-7"/>
        </w:rPr>
        <w:t> </w:t>
      </w:r>
      <w:r>
        <w:rPr/>
        <w:t>than</w:t>
      </w:r>
      <w:r>
        <w:rPr>
          <w:spacing w:val="-8"/>
        </w:rPr>
        <w:t> </w:t>
      </w:r>
      <w:r>
        <w:rPr/>
        <w:t>females.</w:t>
      </w:r>
      <w:r>
        <w:rPr>
          <w:spacing w:val="-8"/>
        </w:rPr>
        <w:t> </w:t>
      </w:r>
      <w:r>
        <w:rPr/>
        <w:t>The</w:t>
      </w:r>
      <w:r>
        <w:rPr>
          <w:spacing w:val="-7"/>
        </w:rPr>
        <w:t> </w:t>
      </w:r>
      <w:r>
        <w:rPr/>
        <w:t>case</w:t>
      </w:r>
      <w:r>
        <w:rPr>
          <w:spacing w:val="-7"/>
        </w:rPr>
        <w:t> </w:t>
      </w:r>
      <w:r>
        <w:rPr/>
        <w:t>brought</w:t>
      </w:r>
      <w:r>
        <w:rPr>
          <w:spacing w:val="-7"/>
        </w:rPr>
        <w:t> </w:t>
      </w:r>
      <w:r>
        <w:rPr/>
        <w:t>before</w:t>
      </w:r>
      <w:r>
        <w:rPr>
          <w:spacing w:val="-7"/>
        </w:rPr>
        <w:t> </w:t>
      </w:r>
      <w:r>
        <w:rPr/>
        <w:t>the</w:t>
      </w:r>
      <w:r>
        <w:rPr>
          <w:spacing w:val="-7"/>
        </w:rPr>
        <w:t> </w:t>
      </w:r>
      <w:r>
        <w:rPr/>
        <w:t>Court</w:t>
      </w:r>
      <w:r>
        <w:rPr>
          <w:spacing w:val="-7"/>
        </w:rPr>
        <w:t> </w:t>
      </w:r>
      <w:r>
        <w:rPr/>
        <w:t>argued</w:t>
      </w:r>
      <w:r>
        <w:rPr>
          <w:spacing w:val="-8"/>
        </w:rPr>
        <w:t> </w:t>
      </w:r>
      <w:r>
        <w:rPr/>
        <w:t>that the</w:t>
      </w:r>
      <w:r>
        <w:rPr>
          <w:spacing w:val="-6"/>
        </w:rPr>
        <w:t> </w:t>
      </w:r>
      <w:r>
        <w:rPr/>
        <w:t>Austrian</w:t>
      </w:r>
      <w:r>
        <w:rPr>
          <w:spacing w:val="-4"/>
        </w:rPr>
        <w:t> </w:t>
      </w:r>
      <w:r>
        <w:rPr/>
        <w:t>Law</w:t>
      </w:r>
      <w:r>
        <w:rPr>
          <w:spacing w:val="-3"/>
        </w:rPr>
        <w:t> </w:t>
      </w:r>
      <w:r>
        <w:rPr/>
        <w:t>at</w:t>
      </w:r>
      <w:r>
        <w:rPr>
          <w:spacing w:val="-4"/>
        </w:rPr>
        <w:t> </w:t>
      </w:r>
      <w:r>
        <w:rPr/>
        <w:t>issue,</w:t>
      </w:r>
      <w:r>
        <w:rPr>
          <w:spacing w:val="-3"/>
        </w:rPr>
        <w:t> </w:t>
      </w:r>
      <w:r>
        <w:rPr/>
        <w:t>which</w:t>
      </w:r>
      <w:r>
        <w:rPr>
          <w:spacing w:val="-4"/>
        </w:rPr>
        <w:t> </w:t>
      </w:r>
      <w:r>
        <w:rPr/>
        <w:t>capped</w:t>
      </w:r>
      <w:r>
        <w:rPr>
          <w:spacing w:val="-5"/>
        </w:rPr>
        <w:t> </w:t>
      </w:r>
      <w:r>
        <w:rPr/>
        <w:t>high</w:t>
      </w:r>
      <w:r>
        <w:rPr>
          <w:spacing w:val="-4"/>
        </w:rPr>
        <w:t> </w:t>
      </w:r>
      <w:r>
        <w:rPr/>
        <w:t>ceiling</w:t>
      </w:r>
      <w:r>
        <w:rPr>
          <w:spacing w:val="-3"/>
        </w:rPr>
        <w:t> </w:t>
      </w:r>
      <w:r>
        <w:rPr/>
        <w:t>earners</w:t>
      </w:r>
      <w:r>
        <w:rPr>
          <w:spacing w:val="-5"/>
        </w:rPr>
        <w:t> </w:t>
      </w:r>
      <w:r>
        <w:rPr/>
        <w:t>(many</w:t>
      </w:r>
      <w:r>
        <w:rPr>
          <w:spacing w:val="-3"/>
        </w:rPr>
        <w:t> </w:t>
      </w:r>
      <w:r>
        <w:rPr/>
        <w:t>of</w:t>
      </w:r>
      <w:r>
        <w:rPr>
          <w:spacing w:val="-4"/>
        </w:rPr>
        <w:t> </w:t>
      </w:r>
      <w:r>
        <w:rPr/>
        <w:t>whom</w:t>
      </w:r>
      <w:r>
        <w:rPr>
          <w:spacing w:val="-3"/>
        </w:rPr>
        <w:t> </w:t>
      </w:r>
      <w:r>
        <w:rPr>
          <w:spacing w:val="-4"/>
        </w:rPr>
        <w:t>were</w:t>
      </w:r>
    </w:p>
    <w:p>
      <w:pPr>
        <w:pStyle w:val="BodyText"/>
        <w:spacing w:line="232" w:lineRule="auto"/>
        <w:ind w:left="1117" w:right="738"/>
      </w:pPr>
      <w:r>
        <w:rPr/>
        <w:t>male)</w:t>
      </w:r>
      <w:r>
        <w:rPr>
          <w:spacing w:val="-6"/>
        </w:rPr>
        <w:t> </w:t>
      </w:r>
      <w:r>
        <w:rPr/>
        <w:t>for</w:t>
      </w:r>
      <w:r>
        <w:rPr>
          <w:spacing w:val="-6"/>
        </w:rPr>
        <w:t> </w:t>
      </w:r>
      <w:r>
        <w:rPr/>
        <w:t>revaluation</w:t>
      </w:r>
      <w:r>
        <w:rPr>
          <w:spacing w:val="-6"/>
        </w:rPr>
        <w:t> </w:t>
      </w:r>
      <w:r>
        <w:rPr/>
        <w:t>of</w:t>
      </w:r>
      <w:r>
        <w:rPr>
          <w:spacing w:val="-6"/>
        </w:rPr>
        <w:t> </w:t>
      </w:r>
      <w:r>
        <w:rPr/>
        <w:t>their</w:t>
      </w:r>
      <w:r>
        <w:rPr>
          <w:spacing w:val="-6"/>
        </w:rPr>
        <w:t> </w:t>
      </w:r>
      <w:r>
        <w:rPr/>
        <w:t>pension,</w:t>
      </w:r>
      <w:r>
        <w:rPr>
          <w:spacing w:val="-6"/>
        </w:rPr>
        <w:t> </w:t>
      </w:r>
      <w:r>
        <w:rPr/>
        <w:t>would</w:t>
      </w:r>
      <w:r>
        <w:rPr>
          <w:spacing w:val="-6"/>
        </w:rPr>
        <w:t> </w:t>
      </w:r>
      <w:r>
        <w:rPr/>
        <w:t>give</w:t>
      </w:r>
      <w:r>
        <w:rPr>
          <w:spacing w:val="-6"/>
        </w:rPr>
        <w:t> </w:t>
      </w:r>
      <w:r>
        <w:rPr/>
        <w:t>rise</w:t>
      </w:r>
      <w:r>
        <w:rPr>
          <w:spacing w:val="-6"/>
        </w:rPr>
        <w:t> </w:t>
      </w:r>
      <w:r>
        <w:rPr/>
        <w:t>to</w:t>
      </w:r>
      <w:r>
        <w:rPr>
          <w:spacing w:val="-6"/>
        </w:rPr>
        <w:t> </w:t>
      </w:r>
      <w:r>
        <w:rPr/>
        <w:t>indirect</w:t>
      </w:r>
      <w:r>
        <w:rPr>
          <w:spacing w:val="-6"/>
        </w:rPr>
        <w:t> </w:t>
      </w:r>
      <w:r>
        <w:rPr/>
        <w:t>discrimination</w:t>
      </w:r>
      <w:r>
        <w:rPr>
          <w:spacing w:val="-6"/>
        </w:rPr>
        <w:t> </w:t>
      </w:r>
      <w:r>
        <w:rPr/>
        <w:t>on the grounds of sex, contrary to EU law.</w:t>
      </w:r>
      <w:r>
        <w:rPr>
          <w:vertAlign w:val="superscript"/>
        </w:rPr>
        <w:t>619</w:t>
      </w:r>
    </w:p>
    <w:p>
      <w:pPr>
        <w:pStyle w:val="BodyText"/>
        <w:spacing w:line="232" w:lineRule="auto" w:before="269"/>
        <w:ind w:left="1117" w:right="738"/>
      </w:pPr>
      <w:r>
        <w:rPr/>
        <w:t>The</w:t>
      </w:r>
      <w:r>
        <w:rPr>
          <w:spacing w:val="-5"/>
        </w:rPr>
        <w:t> </w:t>
      </w:r>
      <w:r>
        <w:rPr/>
        <w:t>Court</w:t>
      </w:r>
      <w:r>
        <w:rPr>
          <w:spacing w:val="-5"/>
        </w:rPr>
        <w:t> </w:t>
      </w:r>
      <w:r>
        <w:rPr/>
        <w:t>noted</w:t>
      </w:r>
      <w:r>
        <w:rPr>
          <w:spacing w:val="-6"/>
        </w:rPr>
        <w:t> </w:t>
      </w:r>
      <w:r>
        <w:rPr/>
        <w:t>that</w:t>
      </w:r>
      <w:r>
        <w:rPr>
          <w:spacing w:val="-5"/>
        </w:rPr>
        <w:t> </w:t>
      </w:r>
      <w:r>
        <w:rPr/>
        <w:t>the</w:t>
      </w:r>
      <w:r>
        <w:rPr>
          <w:spacing w:val="-5"/>
        </w:rPr>
        <w:t> </w:t>
      </w:r>
      <w:r>
        <w:rPr/>
        <w:t>onus</w:t>
      </w:r>
      <w:r>
        <w:rPr>
          <w:spacing w:val="-6"/>
        </w:rPr>
        <w:t> </w:t>
      </w:r>
      <w:r>
        <w:rPr/>
        <w:t>is</w:t>
      </w:r>
      <w:r>
        <w:rPr>
          <w:spacing w:val="-6"/>
        </w:rPr>
        <w:t> </w:t>
      </w:r>
      <w:r>
        <w:rPr/>
        <w:t>on</w:t>
      </w:r>
      <w:r>
        <w:rPr>
          <w:spacing w:val="-6"/>
        </w:rPr>
        <w:t> </w:t>
      </w:r>
      <w:r>
        <w:rPr/>
        <w:t>the</w:t>
      </w:r>
      <w:r>
        <w:rPr>
          <w:spacing w:val="-5"/>
        </w:rPr>
        <w:t> </w:t>
      </w:r>
      <w:r>
        <w:rPr/>
        <w:t>State</w:t>
      </w:r>
      <w:r>
        <w:rPr>
          <w:spacing w:val="-5"/>
        </w:rPr>
        <w:t> </w:t>
      </w:r>
      <w:r>
        <w:rPr/>
        <w:t>to</w:t>
      </w:r>
      <w:r>
        <w:rPr>
          <w:spacing w:val="-6"/>
        </w:rPr>
        <w:t> </w:t>
      </w:r>
      <w:r>
        <w:rPr/>
        <w:t>explain</w:t>
      </w:r>
      <w:r>
        <w:rPr>
          <w:spacing w:val="-6"/>
        </w:rPr>
        <w:t> </w:t>
      </w:r>
      <w:r>
        <w:rPr/>
        <w:t>any</w:t>
      </w:r>
      <w:r>
        <w:rPr>
          <w:spacing w:val="-5"/>
        </w:rPr>
        <w:t> </w:t>
      </w:r>
      <w:r>
        <w:rPr/>
        <w:t>apparent</w:t>
      </w:r>
      <w:r>
        <w:rPr>
          <w:spacing w:val="-5"/>
        </w:rPr>
        <w:t> </w:t>
      </w:r>
      <w:r>
        <w:rPr/>
        <w:t>discrepancies by showing that the relevant measure was objectively and coherently applied</w:t>
      </w:r>
    </w:p>
    <w:p>
      <w:pPr>
        <w:pStyle w:val="BodyText"/>
        <w:spacing w:line="232" w:lineRule="auto"/>
        <w:ind w:left="1117" w:right="1087"/>
      </w:pPr>
      <w:r>
        <w:rPr/>
        <w:t>and justified. This is due to Article 5(c) of Directive 2006/54/EC which prohibits any</w:t>
      </w:r>
      <w:r>
        <w:rPr>
          <w:spacing w:val="-5"/>
        </w:rPr>
        <w:t> </w:t>
      </w:r>
      <w:r>
        <w:rPr/>
        <w:t>direct</w:t>
      </w:r>
      <w:r>
        <w:rPr>
          <w:spacing w:val="-5"/>
        </w:rPr>
        <w:t> </w:t>
      </w:r>
      <w:r>
        <w:rPr/>
        <w:t>or</w:t>
      </w:r>
      <w:r>
        <w:rPr>
          <w:spacing w:val="-5"/>
        </w:rPr>
        <w:t> </w:t>
      </w:r>
      <w:r>
        <w:rPr/>
        <w:t>indirect</w:t>
      </w:r>
      <w:r>
        <w:rPr>
          <w:spacing w:val="-5"/>
        </w:rPr>
        <w:t> </w:t>
      </w:r>
      <w:r>
        <w:rPr/>
        <w:t>discrimination</w:t>
      </w:r>
      <w:r>
        <w:rPr>
          <w:spacing w:val="-6"/>
        </w:rPr>
        <w:t> </w:t>
      </w:r>
      <w:r>
        <w:rPr/>
        <w:t>based</w:t>
      </w:r>
      <w:r>
        <w:rPr>
          <w:spacing w:val="-6"/>
        </w:rPr>
        <w:t> </w:t>
      </w:r>
      <w:r>
        <w:rPr/>
        <w:t>on</w:t>
      </w:r>
      <w:r>
        <w:rPr>
          <w:spacing w:val="-6"/>
        </w:rPr>
        <w:t> </w:t>
      </w:r>
      <w:r>
        <w:rPr/>
        <w:t>sex</w:t>
      </w:r>
      <w:r>
        <w:rPr>
          <w:spacing w:val="-6"/>
        </w:rPr>
        <w:t> </w:t>
      </w:r>
      <w:r>
        <w:rPr/>
        <w:t>in</w:t>
      </w:r>
      <w:r>
        <w:rPr>
          <w:spacing w:val="-6"/>
        </w:rPr>
        <w:t> </w:t>
      </w:r>
      <w:r>
        <w:rPr/>
        <w:t>occupational</w:t>
      </w:r>
      <w:r>
        <w:rPr>
          <w:spacing w:val="-6"/>
        </w:rPr>
        <w:t> </w:t>
      </w:r>
      <w:r>
        <w:rPr/>
        <w:t>social</w:t>
      </w:r>
      <w:r>
        <w:rPr>
          <w:spacing w:val="-6"/>
        </w:rPr>
        <w:t> </w:t>
      </w:r>
      <w:r>
        <w:rPr/>
        <w:t>security schemes with regards to the calculation of benefits. Article 5(c) of Directive 2006/54/EC reads:</w:t>
      </w:r>
    </w:p>
    <w:p>
      <w:pPr>
        <w:pStyle w:val="BodyText"/>
        <w:spacing w:before="10"/>
        <w:rPr>
          <w:sz w:val="19"/>
        </w:rPr>
      </w:pPr>
      <w:r>
        <w:rPr/>
        <mc:AlternateContent>
          <mc:Choice Requires="wps">
            <w:drawing>
              <wp:anchor distT="0" distB="0" distL="0" distR="0" allowOverlap="1" layoutInCell="1" locked="0" behindDoc="1" simplePos="0" relativeHeight="487772672">
                <wp:simplePos x="0" y="0"/>
                <wp:positionH relativeFrom="page">
                  <wp:posOffset>899994</wp:posOffset>
                </wp:positionH>
                <wp:positionV relativeFrom="paragraph">
                  <wp:posOffset>169356</wp:posOffset>
                </wp:positionV>
                <wp:extent cx="6012180" cy="2040889"/>
                <wp:effectExtent l="0" t="0" r="0" b="0"/>
                <wp:wrapTopAndBottom/>
                <wp:docPr id="973" name="Group 973"/>
                <wp:cNvGraphicFramePr>
                  <a:graphicFrameLocks/>
                </wp:cNvGraphicFramePr>
                <a:graphic>
                  <a:graphicData uri="http://schemas.microsoft.com/office/word/2010/wordprocessingGroup">
                    <wpg:wgp>
                      <wpg:cNvPr id="973" name="Group 973"/>
                      <wpg:cNvGrpSpPr/>
                      <wpg:grpSpPr>
                        <a:xfrm>
                          <a:off x="0" y="0"/>
                          <a:ext cx="6012180" cy="2040889"/>
                          <a:chExt cx="6012180" cy="2040889"/>
                        </a:xfrm>
                      </wpg:grpSpPr>
                      <wps:wsp>
                        <wps:cNvPr id="974" name="Graphic 974"/>
                        <wps:cNvSpPr/>
                        <wps:spPr>
                          <a:xfrm>
                            <a:off x="-8" y="4"/>
                            <a:ext cx="6012180" cy="2040889"/>
                          </a:xfrm>
                          <a:custGeom>
                            <a:avLst/>
                            <a:gdLst/>
                            <a:ahLst/>
                            <a:cxnLst/>
                            <a:rect l="l" t="t" r="r" b="b"/>
                            <a:pathLst>
                              <a:path w="6012180" h="2040889">
                                <a:moveTo>
                                  <a:pt x="6012015" y="808659"/>
                                </a:moveTo>
                                <a:lnTo>
                                  <a:pt x="6012002" y="144005"/>
                                </a:lnTo>
                                <a:lnTo>
                                  <a:pt x="6004661" y="98488"/>
                                </a:lnTo>
                                <a:lnTo>
                                  <a:pt x="5984227" y="58953"/>
                                </a:lnTo>
                                <a:lnTo>
                                  <a:pt x="5953049" y="27787"/>
                                </a:lnTo>
                                <a:lnTo>
                                  <a:pt x="5913526" y="7340"/>
                                </a:lnTo>
                                <a:lnTo>
                                  <a:pt x="5868009" y="0"/>
                                </a:lnTo>
                                <a:lnTo>
                                  <a:pt x="144005" y="0"/>
                                </a:lnTo>
                                <a:lnTo>
                                  <a:pt x="98488" y="7340"/>
                                </a:lnTo>
                                <a:lnTo>
                                  <a:pt x="58966" y="27787"/>
                                </a:lnTo>
                                <a:lnTo>
                                  <a:pt x="27787" y="58953"/>
                                </a:lnTo>
                                <a:lnTo>
                                  <a:pt x="7340" y="98488"/>
                                </a:lnTo>
                                <a:lnTo>
                                  <a:pt x="0" y="144005"/>
                                </a:lnTo>
                                <a:lnTo>
                                  <a:pt x="0" y="812901"/>
                                </a:lnTo>
                                <a:lnTo>
                                  <a:pt x="12" y="1018209"/>
                                </a:lnTo>
                                <a:lnTo>
                                  <a:pt x="12" y="1202448"/>
                                </a:lnTo>
                                <a:lnTo>
                                  <a:pt x="12" y="1227747"/>
                                </a:lnTo>
                                <a:lnTo>
                                  <a:pt x="12" y="1411998"/>
                                </a:lnTo>
                                <a:lnTo>
                                  <a:pt x="12" y="1896643"/>
                                </a:lnTo>
                                <a:lnTo>
                                  <a:pt x="7353" y="1942160"/>
                                </a:lnTo>
                                <a:lnTo>
                                  <a:pt x="27787" y="1981695"/>
                                </a:lnTo>
                                <a:lnTo>
                                  <a:pt x="58966" y="2012873"/>
                                </a:lnTo>
                                <a:lnTo>
                                  <a:pt x="98488" y="2033308"/>
                                </a:lnTo>
                                <a:lnTo>
                                  <a:pt x="144018" y="2040648"/>
                                </a:lnTo>
                                <a:lnTo>
                                  <a:pt x="5868009" y="2040648"/>
                                </a:lnTo>
                                <a:lnTo>
                                  <a:pt x="5913513" y="2033308"/>
                                </a:lnTo>
                                <a:lnTo>
                                  <a:pt x="5953049" y="2012873"/>
                                </a:lnTo>
                                <a:lnTo>
                                  <a:pt x="5984227" y="1981695"/>
                                </a:lnTo>
                                <a:lnTo>
                                  <a:pt x="6004661" y="1942160"/>
                                </a:lnTo>
                                <a:lnTo>
                                  <a:pt x="6012015" y="1896643"/>
                                </a:lnTo>
                                <a:lnTo>
                                  <a:pt x="6012015" y="1411998"/>
                                </a:lnTo>
                                <a:lnTo>
                                  <a:pt x="6012015" y="1227747"/>
                                </a:lnTo>
                                <a:lnTo>
                                  <a:pt x="6012015" y="1202448"/>
                                </a:lnTo>
                                <a:lnTo>
                                  <a:pt x="6012015" y="1018209"/>
                                </a:lnTo>
                                <a:lnTo>
                                  <a:pt x="6012015" y="808659"/>
                                </a:lnTo>
                                <a:close/>
                              </a:path>
                            </a:pathLst>
                          </a:custGeom>
                          <a:solidFill>
                            <a:srgbClr val="E9F3FC"/>
                          </a:solidFill>
                        </wps:spPr>
                        <wps:bodyPr wrap="square" lIns="0" tIns="0" rIns="0" bIns="0" rtlCol="0">
                          <a:prstTxWarp prst="textNoShape">
                            <a:avLst/>
                          </a:prstTxWarp>
                          <a:noAutofit/>
                        </wps:bodyPr>
                      </wps:wsp>
                      <wps:wsp>
                        <wps:cNvPr id="975" name="Textbox 975"/>
                        <wps:cNvSpPr txBox="1"/>
                        <wps:spPr>
                          <a:xfrm>
                            <a:off x="0" y="0"/>
                            <a:ext cx="6012180" cy="2040889"/>
                          </a:xfrm>
                          <a:prstGeom prst="rect">
                            <a:avLst/>
                          </a:prstGeom>
                        </wps:spPr>
                        <wps:txbx>
                          <w:txbxContent>
                            <w:p>
                              <w:pPr>
                                <w:spacing w:line="232" w:lineRule="auto" w:before="121"/>
                                <w:ind w:left="340" w:right="196" w:firstLine="0"/>
                                <w:jc w:val="left"/>
                                <w:rPr>
                                  <w:sz w:val="28"/>
                                </w:rPr>
                              </w:pPr>
                              <w:r>
                                <w:rPr>
                                  <w:color w:val="164194"/>
                                  <w:sz w:val="28"/>
                                </w:rPr>
                                <w:t>‘Without prejudice to Article 4, there shall be no direct or indirect discrimination</w:t>
                              </w:r>
                              <w:r>
                                <w:rPr>
                                  <w:color w:val="164194"/>
                                  <w:spacing w:val="-6"/>
                                  <w:sz w:val="28"/>
                                </w:rPr>
                                <w:t> </w:t>
                              </w:r>
                              <w:r>
                                <w:rPr>
                                  <w:color w:val="164194"/>
                                  <w:sz w:val="28"/>
                                </w:rPr>
                                <w:t>on</w:t>
                              </w:r>
                              <w:r>
                                <w:rPr>
                                  <w:color w:val="164194"/>
                                  <w:spacing w:val="-6"/>
                                  <w:sz w:val="28"/>
                                </w:rPr>
                                <w:t> </w:t>
                              </w:r>
                              <w:r>
                                <w:rPr>
                                  <w:color w:val="164194"/>
                                  <w:sz w:val="28"/>
                                </w:rPr>
                                <w:t>grounds</w:t>
                              </w:r>
                              <w:r>
                                <w:rPr>
                                  <w:color w:val="164194"/>
                                  <w:spacing w:val="-6"/>
                                  <w:sz w:val="28"/>
                                </w:rPr>
                                <w:t> </w:t>
                              </w:r>
                              <w:r>
                                <w:rPr>
                                  <w:color w:val="164194"/>
                                  <w:sz w:val="28"/>
                                </w:rPr>
                                <w:t>of</w:t>
                              </w:r>
                              <w:r>
                                <w:rPr>
                                  <w:color w:val="164194"/>
                                  <w:spacing w:val="-6"/>
                                  <w:sz w:val="28"/>
                                </w:rPr>
                                <w:t> </w:t>
                              </w:r>
                              <w:r>
                                <w:rPr>
                                  <w:color w:val="164194"/>
                                  <w:sz w:val="28"/>
                                </w:rPr>
                                <w:t>sex</w:t>
                              </w:r>
                              <w:r>
                                <w:rPr>
                                  <w:color w:val="164194"/>
                                  <w:spacing w:val="-6"/>
                                  <w:sz w:val="28"/>
                                </w:rPr>
                                <w:t> </w:t>
                              </w:r>
                              <w:r>
                                <w:rPr>
                                  <w:color w:val="164194"/>
                                  <w:sz w:val="28"/>
                                </w:rPr>
                                <w:t>in</w:t>
                              </w:r>
                              <w:r>
                                <w:rPr>
                                  <w:color w:val="164194"/>
                                  <w:spacing w:val="-6"/>
                                  <w:sz w:val="28"/>
                                </w:rPr>
                                <w:t> </w:t>
                              </w:r>
                              <w:r>
                                <w:rPr>
                                  <w:color w:val="164194"/>
                                  <w:sz w:val="28"/>
                                </w:rPr>
                                <w:t>occupational</w:t>
                              </w:r>
                              <w:r>
                                <w:rPr>
                                  <w:color w:val="164194"/>
                                  <w:spacing w:val="-6"/>
                                  <w:sz w:val="28"/>
                                </w:rPr>
                                <w:t> </w:t>
                              </w:r>
                              <w:r>
                                <w:rPr>
                                  <w:color w:val="164194"/>
                                  <w:sz w:val="28"/>
                                </w:rPr>
                                <w:t>social</w:t>
                              </w:r>
                              <w:r>
                                <w:rPr>
                                  <w:color w:val="164194"/>
                                  <w:spacing w:val="-6"/>
                                  <w:sz w:val="28"/>
                                </w:rPr>
                                <w:t> </w:t>
                              </w:r>
                              <w:r>
                                <w:rPr>
                                  <w:color w:val="164194"/>
                                  <w:sz w:val="28"/>
                                </w:rPr>
                                <w:t>security</w:t>
                              </w:r>
                              <w:r>
                                <w:rPr>
                                  <w:color w:val="164194"/>
                                  <w:spacing w:val="-5"/>
                                  <w:sz w:val="28"/>
                                </w:rPr>
                                <w:t> </w:t>
                              </w:r>
                              <w:r>
                                <w:rPr>
                                  <w:color w:val="164194"/>
                                  <w:sz w:val="28"/>
                                </w:rPr>
                                <w:t>schemes,</w:t>
                              </w:r>
                              <w:r>
                                <w:rPr>
                                  <w:color w:val="164194"/>
                                  <w:spacing w:val="-5"/>
                                  <w:sz w:val="28"/>
                                </w:rPr>
                                <w:t> </w:t>
                              </w:r>
                              <w:r>
                                <w:rPr>
                                  <w:color w:val="164194"/>
                                  <w:sz w:val="28"/>
                                </w:rPr>
                                <w:t>in particular as regards:</w:t>
                              </w:r>
                            </w:p>
                            <w:p>
                              <w:pPr>
                                <w:numPr>
                                  <w:ilvl w:val="0"/>
                                  <w:numId w:val="55"/>
                                </w:numPr>
                                <w:tabs>
                                  <w:tab w:pos="767" w:val="left" w:leader="none"/>
                                </w:tabs>
                                <w:spacing w:line="336" w:lineRule="exact" w:before="271"/>
                                <w:ind w:left="767" w:right="0" w:hanging="427"/>
                                <w:jc w:val="left"/>
                                <w:rPr>
                                  <w:sz w:val="28"/>
                                </w:rPr>
                              </w:pPr>
                              <w:r>
                                <w:rPr>
                                  <w:color w:val="164194"/>
                                  <w:sz w:val="28"/>
                                </w:rPr>
                                <w:t>the</w:t>
                              </w:r>
                              <w:r>
                                <w:rPr>
                                  <w:color w:val="164194"/>
                                  <w:spacing w:val="-5"/>
                                  <w:sz w:val="28"/>
                                </w:rPr>
                                <w:t> </w:t>
                              </w:r>
                              <w:r>
                                <w:rPr>
                                  <w:color w:val="164194"/>
                                  <w:sz w:val="28"/>
                                </w:rPr>
                                <w:t>scope</w:t>
                              </w:r>
                              <w:r>
                                <w:rPr>
                                  <w:color w:val="164194"/>
                                  <w:spacing w:val="-4"/>
                                  <w:sz w:val="28"/>
                                </w:rPr>
                                <w:t> </w:t>
                              </w:r>
                              <w:r>
                                <w:rPr>
                                  <w:color w:val="164194"/>
                                  <w:sz w:val="28"/>
                                </w:rPr>
                                <w:t>of</w:t>
                              </w:r>
                              <w:r>
                                <w:rPr>
                                  <w:color w:val="164194"/>
                                  <w:spacing w:val="-4"/>
                                  <w:sz w:val="28"/>
                                </w:rPr>
                                <w:t> </w:t>
                              </w:r>
                              <w:r>
                                <w:rPr>
                                  <w:color w:val="164194"/>
                                  <w:sz w:val="28"/>
                                </w:rPr>
                                <w:t>such</w:t>
                              </w:r>
                              <w:r>
                                <w:rPr>
                                  <w:color w:val="164194"/>
                                  <w:spacing w:val="-5"/>
                                  <w:sz w:val="28"/>
                                </w:rPr>
                                <w:t> </w:t>
                              </w:r>
                              <w:r>
                                <w:rPr>
                                  <w:color w:val="164194"/>
                                  <w:sz w:val="28"/>
                                </w:rPr>
                                <w:t>schemes</w:t>
                              </w:r>
                              <w:r>
                                <w:rPr>
                                  <w:color w:val="164194"/>
                                  <w:spacing w:val="-5"/>
                                  <w:sz w:val="28"/>
                                </w:rPr>
                                <w:t> </w:t>
                              </w:r>
                              <w:r>
                                <w:rPr>
                                  <w:color w:val="164194"/>
                                  <w:sz w:val="28"/>
                                </w:rPr>
                                <w:t>and</w:t>
                              </w:r>
                              <w:r>
                                <w:rPr>
                                  <w:color w:val="164194"/>
                                  <w:spacing w:val="-5"/>
                                  <w:sz w:val="28"/>
                                </w:rPr>
                                <w:t> </w:t>
                              </w:r>
                              <w:r>
                                <w:rPr>
                                  <w:color w:val="164194"/>
                                  <w:sz w:val="28"/>
                                </w:rPr>
                                <w:t>the</w:t>
                              </w:r>
                              <w:r>
                                <w:rPr>
                                  <w:color w:val="164194"/>
                                  <w:spacing w:val="-4"/>
                                  <w:sz w:val="28"/>
                                </w:rPr>
                                <w:t> </w:t>
                              </w:r>
                              <w:r>
                                <w:rPr>
                                  <w:color w:val="164194"/>
                                  <w:sz w:val="28"/>
                                </w:rPr>
                                <w:t>conditions</w:t>
                              </w:r>
                              <w:r>
                                <w:rPr>
                                  <w:color w:val="164194"/>
                                  <w:spacing w:val="-5"/>
                                  <w:sz w:val="28"/>
                                </w:rPr>
                                <w:t> </w:t>
                              </w:r>
                              <w:r>
                                <w:rPr>
                                  <w:color w:val="164194"/>
                                  <w:sz w:val="28"/>
                                </w:rPr>
                                <w:t>of</w:t>
                              </w:r>
                              <w:r>
                                <w:rPr>
                                  <w:color w:val="164194"/>
                                  <w:spacing w:val="-5"/>
                                  <w:sz w:val="28"/>
                                </w:rPr>
                                <w:t> </w:t>
                              </w:r>
                              <w:r>
                                <w:rPr>
                                  <w:color w:val="164194"/>
                                  <w:sz w:val="28"/>
                                </w:rPr>
                                <w:t>access</w:t>
                              </w:r>
                              <w:r>
                                <w:rPr>
                                  <w:color w:val="164194"/>
                                  <w:spacing w:val="-5"/>
                                  <w:sz w:val="28"/>
                                </w:rPr>
                                <w:t> </w:t>
                              </w:r>
                              <w:r>
                                <w:rPr>
                                  <w:color w:val="164194"/>
                                  <w:sz w:val="28"/>
                                </w:rPr>
                                <w:t>to</w:t>
                              </w:r>
                              <w:r>
                                <w:rPr>
                                  <w:color w:val="164194"/>
                                  <w:spacing w:val="-5"/>
                                  <w:sz w:val="28"/>
                                </w:rPr>
                                <w:t> </w:t>
                              </w:r>
                              <w:r>
                                <w:rPr>
                                  <w:color w:val="164194"/>
                                  <w:spacing w:val="-2"/>
                                  <w:sz w:val="28"/>
                                </w:rPr>
                                <w:t>them;</w:t>
                              </w:r>
                            </w:p>
                            <w:p>
                              <w:pPr>
                                <w:numPr>
                                  <w:ilvl w:val="0"/>
                                  <w:numId w:val="55"/>
                                </w:numPr>
                                <w:tabs>
                                  <w:tab w:pos="780" w:val="left" w:leader="none"/>
                                </w:tabs>
                                <w:spacing w:line="330" w:lineRule="exact" w:before="0"/>
                                <w:ind w:left="780" w:right="0" w:hanging="440"/>
                                <w:jc w:val="left"/>
                                <w:rPr>
                                  <w:sz w:val="28"/>
                                </w:rPr>
                              </w:pPr>
                              <w:r>
                                <w:rPr>
                                  <w:color w:val="164194"/>
                                  <w:sz w:val="28"/>
                                </w:rPr>
                                <w:t>the</w:t>
                              </w:r>
                              <w:r>
                                <w:rPr>
                                  <w:color w:val="164194"/>
                                  <w:spacing w:val="-6"/>
                                  <w:sz w:val="28"/>
                                </w:rPr>
                                <w:t> </w:t>
                              </w:r>
                              <w:r>
                                <w:rPr>
                                  <w:color w:val="164194"/>
                                  <w:sz w:val="28"/>
                                </w:rPr>
                                <w:t>obligation</w:t>
                              </w:r>
                              <w:r>
                                <w:rPr>
                                  <w:color w:val="164194"/>
                                  <w:spacing w:val="-7"/>
                                  <w:sz w:val="28"/>
                                </w:rPr>
                                <w:t> </w:t>
                              </w:r>
                              <w:r>
                                <w:rPr>
                                  <w:color w:val="164194"/>
                                  <w:sz w:val="28"/>
                                </w:rPr>
                                <w:t>to</w:t>
                              </w:r>
                              <w:r>
                                <w:rPr>
                                  <w:color w:val="164194"/>
                                  <w:spacing w:val="-6"/>
                                  <w:sz w:val="28"/>
                                </w:rPr>
                                <w:t> </w:t>
                              </w:r>
                              <w:r>
                                <w:rPr>
                                  <w:color w:val="164194"/>
                                  <w:sz w:val="28"/>
                                </w:rPr>
                                <w:t>contribute</w:t>
                              </w:r>
                              <w:r>
                                <w:rPr>
                                  <w:color w:val="164194"/>
                                  <w:spacing w:val="-6"/>
                                  <w:sz w:val="28"/>
                                </w:rPr>
                                <w:t> </w:t>
                              </w:r>
                              <w:r>
                                <w:rPr>
                                  <w:color w:val="164194"/>
                                  <w:sz w:val="28"/>
                                </w:rPr>
                                <w:t>and</w:t>
                              </w:r>
                              <w:r>
                                <w:rPr>
                                  <w:color w:val="164194"/>
                                  <w:spacing w:val="-7"/>
                                  <w:sz w:val="28"/>
                                </w:rPr>
                                <w:t> </w:t>
                              </w:r>
                              <w:r>
                                <w:rPr>
                                  <w:color w:val="164194"/>
                                  <w:sz w:val="28"/>
                                </w:rPr>
                                <w:t>the</w:t>
                              </w:r>
                              <w:r>
                                <w:rPr>
                                  <w:color w:val="164194"/>
                                  <w:spacing w:val="-5"/>
                                  <w:sz w:val="28"/>
                                </w:rPr>
                                <w:t> </w:t>
                              </w:r>
                              <w:r>
                                <w:rPr>
                                  <w:color w:val="164194"/>
                                  <w:sz w:val="28"/>
                                </w:rPr>
                                <w:t>calculation</w:t>
                              </w:r>
                              <w:r>
                                <w:rPr>
                                  <w:color w:val="164194"/>
                                  <w:spacing w:val="-7"/>
                                  <w:sz w:val="28"/>
                                </w:rPr>
                                <w:t> </w:t>
                              </w:r>
                              <w:r>
                                <w:rPr>
                                  <w:color w:val="164194"/>
                                  <w:sz w:val="28"/>
                                </w:rPr>
                                <w:t>of</w:t>
                              </w:r>
                              <w:r>
                                <w:rPr>
                                  <w:color w:val="164194"/>
                                  <w:spacing w:val="-7"/>
                                  <w:sz w:val="28"/>
                                </w:rPr>
                                <w:t> </w:t>
                              </w:r>
                              <w:r>
                                <w:rPr>
                                  <w:color w:val="164194"/>
                                  <w:spacing w:val="-2"/>
                                  <w:sz w:val="28"/>
                                </w:rPr>
                                <w:t>contributions;</w:t>
                              </w:r>
                            </w:p>
                            <w:p>
                              <w:pPr>
                                <w:numPr>
                                  <w:ilvl w:val="0"/>
                                  <w:numId w:val="55"/>
                                </w:numPr>
                                <w:tabs>
                                  <w:tab w:pos="751" w:val="left" w:leader="none"/>
                                  <w:tab w:pos="754" w:val="left" w:leader="none"/>
                                </w:tabs>
                                <w:spacing w:line="232" w:lineRule="auto" w:before="2"/>
                                <w:ind w:left="754" w:right="154" w:hanging="415"/>
                                <w:jc w:val="left"/>
                                <w:rPr>
                                  <w:sz w:val="28"/>
                                </w:rPr>
                              </w:pPr>
                              <w:r>
                                <w:rPr>
                                  <w:color w:val="164194"/>
                                  <w:sz w:val="28"/>
                                </w:rPr>
                                <w:t>the</w:t>
                              </w:r>
                              <w:r>
                                <w:rPr>
                                  <w:color w:val="164194"/>
                                  <w:spacing w:val="-6"/>
                                  <w:sz w:val="28"/>
                                </w:rPr>
                                <w:t> </w:t>
                              </w:r>
                              <w:r>
                                <w:rPr>
                                  <w:color w:val="164194"/>
                                  <w:sz w:val="28"/>
                                </w:rPr>
                                <w:t>calculation</w:t>
                              </w:r>
                              <w:r>
                                <w:rPr>
                                  <w:color w:val="164194"/>
                                  <w:spacing w:val="-7"/>
                                  <w:sz w:val="28"/>
                                </w:rPr>
                                <w:t> </w:t>
                              </w:r>
                              <w:r>
                                <w:rPr>
                                  <w:color w:val="164194"/>
                                  <w:sz w:val="28"/>
                                </w:rPr>
                                <w:t>of</w:t>
                              </w:r>
                              <w:r>
                                <w:rPr>
                                  <w:color w:val="164194"/>
                                  <w:spacing w:val="-7"/>
                                  <w:sz w:val="28"/>
                                </w:rPr>
                                <w:t> </w:t>
                              </w:r>
                              <w:r>
                                <w:rPr>
                                  <w:color w:val="164194"/>
                                  <w:sz w:val="28"/>
                                </w:rPr>
                                <w:t>benefits,</w:t>
                              </w:r>
                              <w:r>
                                <w:rPr>
                                  <w:color w:val="164194"/>
                                  <w:spacing w:val="-6"/>
                                  <w:sz w:val="28"/>
                                </w:rPr>
                                <w:t> </w:t>
                              </w:r>
                              <w:r>
                                <w:rPr>
                                  <w:color w:val="164194"/>
                                  <w:sz w:val="28"/>
                                </w:rPr>
                                <w:t>including</w:t>
                              </w:r>
                              <w:r>
                                <w:rPr>
                                  <w:color w:val="164194"/>
                                  <w:spacing w:val="-6"/>
                                  <w:sz w:val="28"/>
                                </w:rPr>
                                <w:t> </w:t>
                              </w:r>
                              <w:r>
                                <w:rPr>
                                  <w:color w:val="164194"/>
                                  <w:sz w:val="28"/>
                                </w:rPr>
                                <w:t>supplementary</w:t>
                              </w:r>
                              <w:r>
                                <w:rPr>
                                  <w:color w:val="164194"/>
                                  <w:spacing w:val="-6"/>
                                  <w:sz w:val="28"/>
                                </w:rPr>
                                <w:t> </w:t>
                              </w:r>
                              <w:r>
                                <w:rPr>
                                  <w:color w:val="164194"/>
                                  <w:sz w:val="28"/>
                                </w:rPr>
                                <w:t>benefits</w:t>
                              </w:r>
                              <w:r>
                                <w:rPr>
                                  <w:color w:val="164194"/>
                                  <w:spacing w:val="-7"/>
                                  <w:sz w:val="28"/>
                                </w:rPr>
                                <w:t> </w:t>
                              </w:r>
                              <w:r>
                                <w:rPr>
                                  <w:color w:val="164194"/>
                                  <w:sz w:val="28"/>
                                </w:rPr>
                                <w:t>due</w:t>
                              </w:r>
                              <w:r>
                                <w:rPr>
                                  <w:color w:val="164194"/>
                                  <w:spacing w:val="-6"/>
                                  <w:sz w:val="28"/>
                                </w:rPr>
                                <w:t> </w:t>
                              </w:r>
                              <w:r>
                                <w:rPr>
                                  <w:color w:val="164194"/>
                                  <w:sz w:val="28"/>
                                </w:rPr>
                                <w:t>in</w:t>
                              </w:r>
                              <w:r>
                                <w:rPr>
                                  <w:color w:val="164194"/>
                                  <w:spacing w:val="-7"/>
                                  <w:sz w:val="28"/>
                                </w:rPr>
                                <w:t> </w:t>
                              </w:r>
                              <w:r>
                                <w:rPr>
                                  <w:color w:val="164194"/>
                                  <w:sz w:val="28"/>
                                </w:rPr>
                                <w:t>respect of a spouse or dependants, and the conditions governing the duration and retention of entitlement to benefits.’</w:t>
                              </w:r>
                            </w:p>
                          </w:txbxContent>
                        </wps:txbx>
                        <wps:bodyPr wrap="square" lIns="0" tIns="0" rIns="0" bIns="0" rtlCol="0">
                          <a:noAutofit/>
                        </wps:bodyPr>
                      </wps:wsp>
                    </wpg:wgp>
                  </a:graphicData>
                </a:graphic>
              </wp:anchor>
            </w:drawing>
          </mc:Choice>
          <mc:Fallback>
            <w:pict>
              <v:group style="position:absolute;margin-left:70.8657pt;margin-top:13.335186pt;width:473.4pt;height:160.7pt;mso-position-horizontal-relative:page;mso-position-vertical-relative:paragraph;z-index:-15543808;mso-wrap-distance-left:0;mso-wrap-distance-right:0" id="docshapegroup797" coordorigin="1417,267" coordsize="9468,3214">
                <v:shape style="position:absolute;left:1417;top:266;width:9468;height:3214" id="docshape798" coordorigin="1417,267" coordsize="9468,3214" path="m10885,1540l10885,493,10873,422,10841,360,10792,310,10730,278,10658,267,1644,267,1572,278,1510,310,1461,360,1429,422,1417,493,1417,1547,1417,1870,1417,2160,1417,2200,1417,2490,1417,3254,1429,3325,1461,3387,1510,3437,1572,3469,1644,3480,10658,3480,10730,3469,10792,3437,10841,3387,10873,3325,10885,3254,10885,2490,10885,2200,10885,2160,10885,1870,10885,1540xe" filled="true" fillcolor="#e9f3fc" stroked="false">
                  <v:path arrowok="t"/>
                  <v:fill type="solid"/>
                </v:shape>
                <v:shape style="position:absolute;left:1417;top:266;width:9468;height:3214" type="#_x0000_t202" id="docshape799" filled="false" stroked="false">
                  <v:textbox inset="0,0,0,0">
                    <w:txbxContent>
                      <w:p>
                        <w:pPr>
                          <w:spacing w:line="232" w:lineRule="auto" w:before="121"/>
                          <w:ind w:left="340" w:right="196" w:firstLine="0"/>
                          <w:jc w:val="left"/>
                          <w:rPr>
                            <w:sz w:val="28"/>
                          </w:rPr>
                        </w:pPr>
                        <w:r>
                          <w:rPr>
                            <w:color w:val="164194"/>
                            <w:sz w:val="28"/>
                          </w:rPr>
                          <w:t>‘Without prejudice to Article 4, there shall be no direct or indirect discrimination</w:t>
                        </w:r>
                        <w:r>
                          <w:rPr>
                            <w:color w:val="164194"/>
                            <w:spacing w:val="-6"/>
                            <w:sz w:val="28"/>
                          </w:rPr>
                          <w:t> </w:t>
                        </w:r>
                        <w:r>
                          <w:rPr>
                            <w:color w:val="164194"/>
                            <w:sz w:val="28"/>
                          </w:rPr>
                          <w:t>on</w:t>
                        </w:r>
                        <w:r>
                          <w:rPr>
                            <w:color w:val="164194"/>
                            <w:spacing w:val="-6"/>
                            <w:sz w:val="28"/>
                          </w:rPr>
                          <w:t> </w:t>
                        </w:r>
                        <w:r>
                          <w:rPr>
                            <w:color w:val="164194"/>
                            <w:sz w:val="28"/>
                          </w:rPr>
                          <w:t>grounds</w:t>
                        </w:r>
                        <w:r>
                          <w:rPr>
                            <w:color w:val="164194"/>
                            <w:spacing w:val="-6"/>
                            <w:sz w:val="28"/>
                          </w:rPr>
                          <w:t> </w:t>
                        </w:r>
                        <w:r>
                          <w:rPr>
                            <w:color w:val="164194"/>
                            <w:sz w:val="28"/>
                          </w:rPr>
                          <w:t>of</w:t>
                        </w:r>
                        <w:r>
                          <w:rPr>
                            <w:color w:val="164194"/>
                            <w:spacing w:val="-6"/>
                            <w:sz w:val="28"/>
                          </w:rPr>
                          <w:t> </w:t>
                        </w:r>
                        <w:r>
                          <w:rPr>
                            <w:color w:val="164194"/>
                            <w:sz w:val="28"/>
                          </w:rPr>
                          <w:t>sex</w:t>
                        </w:r>
                        <w:r>
                          <w:rPr>
                            <w:color w:val="164194"/>
                            <w:spacing w:val="-6"/>
                            <w:sz w:val="28"/>
                          </w:rPr>
                          <w:t> </w:t>
                        </w:r>
                        <w:r>
                          <w:rPr>
                            <w:color w:val="164194"/>
                            <w:sz w:val="28"/>
                          </w:rPr>
                          <w:t>in</w:t>
                        </w:r>
                        <w:r>
                          <w:rPr>
                            <w:color w:val="164194"/>
                            <w:spacing w:val="-6"/>
                            <w:sz w:val="28"/>
                          </w:rPr>
                          <w:t> </w:t>
                        </w:r>
                        <w:r>
                          <w:rPr>
                            <w:color w:val="164194"/>
                            <w:sz w:val="28"/>
                          </w:rPr>
                          <w:t>occupational</w:t>
                        </w:r>
                        <w:r>
                          <w:rPr>
                            <w:color w:val="164194"/>
                            <w:spacing w:val="-6"/>
                            <w:sz w:val="28"/>
                          </w:rPr>
                          <w:t> </w:t>
                        </w:r>
                        <w:r>
                          <w:rPr>
                            <w:color w:val="164194"/>
                            <w:sz w:val="28"/>
                          </w:rPr>
                          <w:t>social</w:t>
                        </w:r>
                        <w:r>
                          <w:rPr>
                            <w:color w:val="164194"/>
                            <w:spacing w:val="-6"/>
                            <w:sz w:val="28"/>
                          </w:rPr>
                          <w:t> </w:t>
                        </w:r>
                        <w:r>
                          <w:rPr>
                            <w:color w:val="164194"/>
                            <w:sz w:val="28"/>
                          </w:rPr>
                          <w:t>security</w:t>
                        </w:r>
                        <w:r>
                          <w:rPr>
                            <w:color w:val="164194"/>
                            <w:spacing w:val="-5"/>
                            <w:sz w:val="28"/>
                          </w:rPr>
                          <w:t> </w:t>
                        </w:r>
                        <w:r>
                          <w:rPr>
                            <w:color w:val="164194"/>
                            <w:sz w:val="28"/>
                          </w:rPr>
                          <w:t>schemes,</w:t>
                        </w:r>
                        <w:r>
                          <w:rPr>
                            <w:color w:val="164194"/>
                            <w:spacing w:val="-5"/>
                            <w:sz w:val="28"/>
                          </w:rPr>
                          <w:t> </w:t>
                        </w:r>
                        <w:r>
                          <w:rPr>
                            <w:color w:val="164194"/>
                            <w:sz w:val="28"/>
                          </w:rPr>
                          <w:t>in particular as regards:</w:t>
                        </w:r>
                      </w:p>
                      <w:p>
                        <w:pPr>
                          <w:numPr>
                            <w:ilvl w:val="0"/>
                            <w:numId w:val="55"/>
                          </w:numPr>
                          <w:tabs>
                            <w:tab w:pos="767" w:val="left" w:leader="none"/>
                          </w:tabs>
                          <w:spacing w:line="336" w:lineRule="exact" w:before="271"/>
                          <w:ind w:left="767" w:right="0" w:hanging="427"/>
                          <w:jc w:val="left"/>
                          <w:rPr>
                            <w:sz w:val="28"/>
                          </w:rPr>
                        </w:pPr>
                        <w:r>
                          <w:rPr>
                            <w:color w:val="164194"/>
                            <w:sz w:val="28"/>
                          </w:rPr>
                          <w:t>the</w:t>
                        </w:r>
                        <w:r>
                          <w:rPr>
                            <w:color w:val="164194"/>
                            <w:spacing w:val="-5"/>
                            <w:sz w:val="28"/>
                          </w:rPr>
                          <w:t> </w:t>
                        </w:r>
                        <w:r>
                          <w:rPr>
                            <w:color w:val="164194"/>
                            <w:sz w:val="28"/>
                          </w:rPr>
                          <w:t>scope</w:t>
                        </w:r>
                        <w:r>
                          <w:rPr>
                            <w:color w:val="164194"/>
                            <w:spacing w:val="-4"/>
                            <w:sz w:val="28"/>
                          </w:rPr>
                          <w:t> </w:t>
                        </w:r>
                        <w:r>
                          <w:rPr>
                            <w:color w:val="164194"/>
                            <w:sz w:val="28"/>
                          </w:rPr>
                          <w:t>of</w:t>
                        </w:r>
                        <w:r>
                          <w:rPr>
                            <w:color w:val="164194"/>
                            <w:spacing w:val="-4"/>
                            <w:sz w:val="28"/>
                          </w:rPr>
                          <w:t> </w:t>
                        </w:r>
                        <w:r>
                          <w:rPr>
                            <w:color w:val="164194"/>
                            <w:sz w:val="28"/>
                          </w:rPr>
                          <w:t>such</w:t>
                        </w:r>
                        <w:r>
                          <w:rPr>
                            <w:color w:val="164194"/>
                            <w:spacing w:val="-5"/>
                            <w:sz w:val="28"/>
                          </w:rPr>
                          <w:t> </w:t>
                        </w:r>
                        <w:r>
                          <w:rPr>
                            <w:color w:val="164194"/>
                            <w:sz w:val="28"/>
                          </w:rPr>
                          <w:t>schemes</w:t>
                        </w:r>
                        <w:r>
                          <w:rPr>
                            <w:color w:val="164194"/>
                            <w:spacing w:val="-5"/>
                            <w:sz w:val="28"/>
                          </w:rPr>
                          <w:t> </w:t>
                        </w:r>
                        <w:r>
                          <w:rPr>
                            <w:color w:val="164194"/>
                            <w:sz w:val="28"/>
                          </w:rPr>
                          <w:t>and</w:t>
                        </w:r>
                        <w:r>
                          <w:rPr>
                            <w:color w:val="164194"/>
                            <w:spacing w:val="-5"/>
                            <w:sz w:val="28"/>
                          </w:rPr>
                          <w:t> </w:t>
                        </w:r>
                        <w:r>
                          <w:rPr>
                            <w:color w:val="164194"/>
                            <w:sz w:val="28"/>
                          </w:rPr>
                          <w:t>the</w:t>
                        </w:r>
                        <w:r>
                          <w:rPr>
                            <w:color w:val="164194"/>
                            <w:spacing w:val="-4"/>
                            <w:sz w:val="28"/>
                          </w:rPr>
                          <w:t> </w:t>
                        </w:r>
                        <w:r>
                          <w:rPr>
                            <w:color w:val="164194"/>
                            <w:sz w:val="28"/>
                          </w:rPr>
                          <w:t>conditions</w:t>
                        </w:r>
                        <w:r>
                          <w:rPr>
                            <w:color w:val="164194"/>
                            <w:spacing w:val="-5"/>
                            <w:sz w:val="28"/>
                          </w:rPr>
                          <w:t> </w:t>
                        </w:r>
                        <w:r>
                          <w:rPr>
                            <w:color w:val="164194"/>
                            <w:sz w:val="28"/>
                          </w:rPr>
                          <w:t>of</w:t>
                        </w:r>
                        <w:r>
                          <w:rPr>
                            <w:color w:val="164194"/>
                            <w:spacing w:val="-5"/>
                            <w:sz w:val="28"/>
                          </w:rPr>
                          <w:t> </w:t>
                        </w:r>
                        <w:r>
                          <w:rPr>
                            <w:color w:val="164194"/>
                            <w:sz w:val="28"/>
                          </w:rPr>
                          <w:t>access</w:t>
                        </w:r>
                        <w:r>
                          <w:rPr>
                            <w:color w:val="164194"/>
                            <w:spacing w:val="-5"/>
                            <w:sz w:val="28"/>
                          </w:rPr>
                          <w:t> </w:t>
                        </w:r>
                        <w:r>
                          <w:rPr>
                            <w:color w:val="164194"/>
                            <w:sz w:val="28"/>
                          </w:rPr>
                          <w:t>to</w:t>
                        </w:r>
                        <w:r>
                          <w:rPr>
                            <w:color w:val="164194"/>
                            <w:spacing w:val="-5"/>
                            <w:sz w:val="28"/>
                          </w:rPr>
                          <w:t> </w:t>
                        </w:r>
                        <w:r>
                          <w:rPr>
                            <w:color w:val="164194"/>
                            <w:spacing w:val="-2"/>
                            <w:sz w:val="28"/>
                          </w:rPr>
                          <w:t>them;</w:t>
                        </w:r>
                      </w:p>
                      <w:p>
                        <w:pPr>
                          <w:numPr>
                            <w:ilvl w:val="0"/>
                            <w:numId w:val="55"/>
                          </w:numPr>
                          <w:tabs>
                            <w:tab w:pos="780" w:val="left" w:leader="none"/>
                          </w:tabs>
                          <w:spacing w:line="330" w:lineRule="exact" w:before="0"/>
                          <w:ind w:left="780" w:right="0" w:hanging="440"/>
                          <w:jc w:val="left"/>
                          <w:rPr>
                            <w:sz w:val="28"/>
                          </w:rPr>
                        </w:pPr>
                        <w:r>
                          <w:rPr>
                            <w:color w:val="164194"/>
                            <w:sz w:val="28"/>
                          </w:rPr>
                          <w:t>the</w:t>
                        </w:r>
                        <w:r>
                          <w:rPr>
                            <w:color w:val="164194"/>
                            <w:spacing w:val="-6"/>
                            <w:sz w:val="28"/>
                          </w:rPr>
                          <w:t> </w:t>
                        </w:r>
                        <w:r>
                          <w:rPr>
                            <w:color w:val="164194"/>
                            <w:sz w:val="28"/>
                          </w:rPr>
                          <w:t>obligation</w:t>
                        </w:r>
                        <w:r>
                          <w:rPr>
                            <w:color w:val="164194"/>
                            <w:spacing w:val="-7"/>
                            <w:sz w:val="28"/>
                          </w:rPr>
                          <w:t> </w:t>
                        </w:r>
                        <w:r>
                          <w:rPr>
                            <w:color w:val="164194"/>
                            <w:sz w:val="28"/>
                          </w:rPr>
                          <w:t>to</w:t>
                        </w:r>
                        <w:r>
                          <w:rPr>
                            <w:color w:val="164194"/>
                            <w:spacing w:val="-6"/>
                            <w:sz w:val="28"/>
                          </w:rPr>
                          <w:t> </w:t>
                        </w:r>
                        <w:r>
                          <w:rPr>
                            <w:color w:val="164194"/>
                            <w:sz w:val="28"/>
                          </w:rPr>
                          <w:t>contribute</w:t>
                        </w:r>
                        <w:r>
                          <w:rPr>
                            <w:color w:val="164194"/>
                            <w:spacing w:val="-6"/>
                            <w:sz w:val="28"/>
                          </w:rPr>
                          <w:t> </w:t>
                        </w:r>
                        <w:r>
                          <w:rPr>
                            <w:color w:val="164194"/>
                            <w:sz w:val="28"/>
                          </w:rPr>
                          <w:t>and</w:t>
                        </w:r>
                        <w:r>
                          <w:rPr>
                            <w:color w:val="164194"/>
                            <w:spacing w:val="-7"/>
                            <w:sz w:val="28"/>
                          </w:rPr>
                          <w:t> </w:t>
                        </w:r>
                        <w:r>
                          <w:rPr>
                            <w:color w:val="164194"/>
                            <w:sz w:val="28"/>
                          </w:rPr>
                          <w:t>the</w:t>
                        </w:r>
                        <w:r>
                          <w:rPr>
                            <w:color w:val="164194"/>
                            <w:spacing w:val="-5"/>
                            <w:sz w:val="28"/>
                          </w:rPr>
                          <w:t> </w:t>
                        </w:r>
                        <w:r>
                          <w:rPr>
                            <w:color w:val="164194"/>
                            <w:sz w:val="28"/>
                          </w:rPr>
                          <w:t>calculation</w:t>
                        </w:r>
                        <w:r>
                          <w:rPr>
                            <w:color w:val="164194"/>
                            <w:spacing w:val="-7"/>
                            <w:sz w:val="28"/>
                          </w:rPr>
                          <w:t> </w:t>
                        </w:r>
                        <w:r>
                          <w:rPr>
                            <w:color w:val="164194"/>
                            <w:sz w:val="28"/>
                          </w:rPr>
                          <w:t>of</w:t>
                        </w:r>
                        <w:r>
                          <w:rPr>
                            <w:color w:val="164194"/>
                            <w:spacing w:val="-7"/>
                            <w:sz w:val="28"/>
                          </w:rPr>
                          <w:t> </w:t>
                        </w:r>
                        <w:r>
                          <w:rPr>
                            <w:color w:val="164194"/>
                            <w:spacing w:val="-2"/>
                            <w:sz w:val="28"/>
                          </w:rPr>
                          <w:t>contributions;</w:t>
                        </w:r>
                      </w:p>
                      <w:p>
                        <w:pPr>
                          <w:numPr>
                            <w:ilvl w:val="0"/>
                            <w:numId w:val="55"/>
                          </w:numPr>
                          <w:tabs>
                            <w:tab w:pos="751" w:val="left" w:leader="none"/>
                            <w:tab w:pos="754" w:val="left" w:leader="none"/>
                          </w:tabs>
                          <w:spacing w:line="232" w:lineRule="auto" w:before="2"/>
                          <w:ind w:left="754" w:right="154" w:hanging="415"/>
                          <w:jc w:val="left"/>
                          <w:rPr>
                            <w:sz w:val="28"/>
                          </w:rPr>
                        </w:pPr>
                        <w:r>
                          <w:rPr>
                            <w:color w:val="164194"/>
                            <w:sz w:val="28"/>
                          </w:rPr>
                          <w:t>the</w:t>
                        </w:r>
                        <w:r>
                          <w:rPr>
                            <w:color w:val="164194"/>
                            <w:spacing w:val="-6"/>
                            <w:sz w:val="28"/>
                          </w:rPr>
                          <w:t> </w:t>
                        </w:r>
                        <w:r>
                          <w:rPr>
                            <w:color w:val="164194"/>
                            <w:sz w:val="28"/>
                          </w:rPr>
                          <w:t>calculation</w:t>
                        </w:r>
                        <w:r>
                          <w:rPr>
                            <w:color w:val="164194"/>
                            <w:spacing w:val="-7"/>
                            <w:sz w:val="28"/>
                          </w:rPr>
                          <w:t> </w:t>
                        </w:r>
                        <w:r>
                          <w:rPr>
                            <w:color w:val="164194"/>
                            <w:sz w:val="28"/>
                          </w:rPr>
                          <w:t>of</w:t>
                        </w:r>
                        <w:r>
                          <w:rPr>
                            <w:color w:val="164194"/>
                            <w:spacing w:val="-7"/>
                            <w:sz w:val="28"/>
                          </w:rPr>
                          <w:t> </w:t>
                        </w:r>
                        <w:r>
                          <w:rPr>
                            <w:color w:val="164194"/>
                            <w:sz w:val="28"/>
                          </w:rPr>
                          <w:t>benefits,</w:t>
                        </w:r>
                        <w:r>
                          <w:rPr>
                            <w:color w:val="164194"/>
                            <w:spacing w:val="-6"/>
                            <w:sz w:val="28"/>
                          </w:rPr>
                          <w:t> </w:t>
                        </w:r>
                        <w:r>
                          <w:rPr>
                            <w:color w:val="164194"/>
                            <w:sz w:val="28"/>
                          </w:rPr>
                          <w:t>including</w:t>
                        </w:r>
                        <w:r>
                          <w:rPr>
                            <w:color w:val="164194"/>
                            <w:spacing w:val="-6"/>
                            <w:sz w:val="28"/>
                          </w:rPr>
                          <w:t> </w:t>
                        </w:r>
                        <w:r>
                          <w:rPr>
                            <w:color w:val="164194"/>
                            <w:sz w:val="28"/>
                          </w:rPr>
                          <w:t>supplementary</w:t>
                        </w:r>
                        <w:r>
                          <w:rPr>
                            <w:color w:val="164194"/>
                            <w:spacing w:val="-6"/>
                            <w:sz w:val="28"/>
                          </w:rPr>
                          <w:t> </w:t>
                        </w:r>
                        <w:r>
                          <w:rPr>
                            <w:color w:val="164194"/>
                            <w:sz w:val="28"/>
                          </w:rPr>
                          <w:t>benefits</w:t>
                        </w:r>
                        <w:r>
                          <w:rPr>
                            <w:color w:val="164194"/>
                            <w:spacing w:val="-7"/>
                            <w:sz w:val="28"/>
                          </w:rPr>
                          <w:t> </w:t>
                        </w:r>
                        <w:r>
                          <w:rPr>
                            <w:color w:val="164194"/>
                            <w:sz w:val="28"/>
                          </w:rPr>
                          <w:t>due</w:t>
                        </w:r>
                        <w:r>
                          <w:rPr>
                            <w:color w:val="164194"/>
                            <w:spacing w:val="-6"/>
                            <w:sz w:val="28"/>
                          </w:rPr>
                          <w:t> </w:t>
                        </w:r>
                        <w:r>
                          <w:rPr>
                            <w:color w:val="164194"/>
                            <w:sz w:val="28"/>
                          </w:rPr>
                          <w:t>in</w:t>
                        </w:r>
                        <w:r>
                          <w:rPr>
                            <w:color w:val="164194"/>
                            <w:spacing w:val="-7"/>
                            <w:sz w:val="28"/>
                          </w:rPr>
                          <w:t> </w:t>
                        </w:r>
                        <w:r>
                          <w:rPr>
                            <w:color w:val="164194"/>
                            <w:sz w:val="28"/>
                          </w:rPr>
                          <w:t>respect of a spouse or dependants, and the conditions governing the duration and retention of entitlement to benefits.’</w:t>
                        </w:r>
                      </w:p>
                    </w:txbxContent>
                  </v:textbox>
                  <w10:wrap type="none"/>
                </v:shape>
                <w10:wrap type="topAndBottom"/>
              </v:group>
            </w:pict>
          </mc:Fallback>
        </mc:AlternateContent>
      </w:r>
    </w:p>
    <w:p>
      <w:pPr>
        <w:pStyle w:val="BodyText"/>
        <w:spacing w:line="232" w:lineRule="auto" w:before="228"/>
        <w:ind w:left="1117" w:right="738"/>
      </w:pPr>
      <w:r>
        <w:rPr/>
        <w:t>The Court ultimately held that the national legislation at issue in the main proceedings ‘pursues legitimate social-policy objectives wholly unrelated to any discrimination based on sex’</w:t>
      </w:r>
      <w:r>
        <w:rPr>
          <w:vertAlign w:val="superscript"/>
        </w:rPr>
        <w:t>620</w:t>
      </w:r>
      <w:r>
        <w:rPr>
          <w:vertAlign w:val="baseline"/>
        </w:rPr>
        <w:t> insofar as aim of the national legislation ‘is to preserve the purchasing power of recipients of retirement pensions by favouring, by means of ‘social balancing’, lower retirement pensions compared with higher pensions,</w:t>
      </w:r>
      <w:r>
        <w:rPr>
          <w:spacing w:val="-7"/>
          <w:vertAlign w:val="baseline"/>
        </w:rPr>
        <w:t> </w:t>
      </w:r>
      <w:r>
        <w:rPr>
          <w:vertAlign w:val="baseline"/>
        </w:rPr>
        <w:t>to</w:t>
      </w:r>
      <w:r>
        <w:rPr>
          <w:spacing w:val="-7"/>
          <w:vertAlign w:val="baseline"/>
        </w:rPr>
        <w:t> </w:t>
      </w:r>
      <w:r>
        <w:rPr>
          <w:vertAlign w:val="baseline"/>
        </w:rPr>
        <w:t>prevent</w:t>
      </w:r>
      <w:r>
        <w:rPr>
          <w:spacing w:val="-7"/>
          <w:vertAlign w:val="baseline"/>
        </w:rPr>
        <w:t> </w:t>
      </w:r>
      <w:r>
        <w:rPr>
          <w:vertAlign w:val="baseline"/>
        </w:rPr>
        <w:t>an</w:t>
      </w:r>
      <w:r>
        <w:rPr>
          <w:spacing w:val="-7"/>
          <w:vertAlign w:val="baseline"/>
        </w:rPr>
        <w:t> </w:t>
      </w:r>
      <w:r>
        <w:rPr>
          <w:vertAlign w:val="baseline"/>
        </w:rPr>
        <w:t>excessively</w:t>
      </w:r>
      <w:r>
        <w:rPr>
          <w:spacing w:val="-7"/>
          <w:vertAlign w:val="baseline"/>
        </w:rPr>
        <w:t> </w:t>
      </w:r>
      <w:r>
        <w:rPr>
          <w:vertAlign w:val="baseline"/>
        </w:rPr>
        <w:t>large</w:t>
      </w:r>
      <w:r>
        <w:rPr>
          <w:spacing w:val="-7"/>
          <w:vertAlign w:val="baseline"/>
        </w:rPr>
        <w:t> </w:t>
      </w:r>
      <w:r>
        <w:rPr>
          <w:vertAlign w:val="baseline"/>
        </w:rPr>
        <w:t>gap</w:t>
      </w:r>
      <w:r>
        <w:rPr>
          <w:spacing w:val="-7"/>
          <w:vertAlign w:val="baseline"/>
        </w:rPr>
        <w:t> </w:t>
      </w:r>
      <w:r>
        <w:rPr>
          <w:vertAlign w:val="baseline"/>
        </w:rPr>
        <w:t>opening</w:t>
      </w:r>
      <w:r>
        <w:rPr>
          <w:spacing w:val="-7"/>
          <w:vertAlign w:val="baseline"/>
        </w:rPr>
        <w:t> </w:t>
      </w:r>
      <w:r>
        <w:rPr>
          <w:vertAlign w:val="baseline"/>
        </w:rPr>
        <w:t>between</w:t>
      </w:r>
      <w:r>
        <w:rPr>
          <w:spacing w:val="-7"/>
          <w:vertAlign w:val="baseline"/>
        </w:rPr>
        <w:t> </w:t>
      </w:r>
      <w:r>
        <w:rPr>
          <w:vertAlign w:val="baseline"/>
        </w:rPr>
        <w:t>those</w:t>
      </w:r>
      <w:r>
        <w:rPr>
          <w:spacing w:val="-7"/>
          <w:vertAlign w:val="baseline"/>
        </w:rPr>
        <w:t> </w:t>
      </w:r>
      <w:r>
        <w:rPr>
          <w:vertAlign w:val="baseline"/>
        </w:rPr>
        <w:t>pensions</w:t>
      </w:r>
      <w:r>
        <w:rPr>
          <w:spacing w:val="-7"/>
          <w:vertAlign w:val="baseline"/>
        </w:rPr>
        <w:t> </w:t>
      </w:r>
      <w:r>
        <w:rPr>
          <w:vertAlign w:val="baseline"/>
        </w:rPr>
        <w:t>and to</w:t>
      </w:r>
      <w:r>
        <w:rPr>
          <w:spacing w:val="-7"/>
          <w:vertAlign w:val="baseline"/>
        </w:rPr>
        <w:t> </w:t>
      </w:r>
      <w:r>
        <w:rPr>
          <w:vertAlign w:val="baseline"/>
        </w:rPr>
        <w:t>ensure</w:t>
      </w:r>
      <w:r>
        <w:rPr>
          <w:spacing w:val="-6"/>
          <w:vertAlign w:val="baseline"/>
        </w:rPr>
        <w:t> </w:t>
      </w:r>
      <w:r>
        <w:rPr>
          <w:vertAlign w:val="baseline"/>
        </w:rPr>
        <w:t>their</w:t>
      </w:r>
      <w:r>
        <w:rPr>
          <w:spacing w:val="-6"/>
          <w:vertAlign w:val="baseline"/>
        </w:rPr>
        <w:t> </w:t>
      </w:r>
      <w:r>
        <w:rPr>
          <w:vertAlign w:val="baseline"/>
        </w:rPr>
        <w:t>long-term</w:t>
      </w:r>
      <w:r>
        <w:rPr>
          <w:spacing w:val="-6"/>
          <w:vertAlign w:val="baseline"/>
        </w:rPr>
        <w:t> </w:t>
      </w:r>
      <w:r>
        <w:rPr>
          <w:vertAlign w:val="baseline"/>
        </w:rPr>
        <w:t>funding’.</w:t>
      </w:r>
      <w:r>
        <w:rPr>
          <w:vertAlign w:val="superscript"/>
        </w:rPr>
        <w:t>621</w:t>
      </w:r>
      <w:r>
        <w:rPr>
          <w:spacing w:val="-7"/>
          <w:vertAlign w:val="baseline"/>
        </w:rPr>
        <w:t> </w:t>
      </w:r>
      <w:r>
        <w:rPr>
          <w:vertAlign w:val="baseline"/>
        </w:rPr>
        <w:t>Whilst</w:t>
      </w:r>
      <w:r>
        <w:rPr>
          <w:spacing w:val="-6"/>
          <w:vertAlign w:val="baseline"/>
        </w:rPr>
        <w:t> </w:t>
      </w:r>
      <w:r>
        <w:rPr>
          <w:vertAlign w:val="baseline"/>
        </w:rPr>
        <w:t>men</w:t>
      </w:r>
      <w:r>
        <w:rPr>
          <w:spacing w:val="-7"/>
          <w:vertAlign w:val="baseline"/>
        </w:rPr>
        <w:t> </w:t>
      </w:r>
      <w:r>
        <w:rPr>
          <w:vertAlign w:val="baseline"/>
        </w:rPr>
        <w:t>were</w:t>
      </w:r>
      <w:r>
        <w:rPr>
          <w:spacing w:val="-6"/>
          <w:vertAlign w:val="baseline"/>
        </w:rPr>
        <w:t> </w:t>
      </w:r>
      <w:r>
        <w:rPr>
          <w:vertAlign w:val="baseline"/>
        </w:rPr>
        <w:t>disproportionately</w:t>
      </w:r>
      <w:r>
        <w:rPr>
          <w:spacing w:val="-6"/>
          <w:vertAlign w:val="baseline"/>
        </w:rPr>
        <w:t> </w:t>
      </w:r>
      <w:r>
        <w:rPr>
          <w:vertAlign w:val="baseline"/>
        </w:rPr>
        <w:t>affected over women by the Austrian law, the Court reached the conclusion that such a measure was justified as above.</w:t>
      </w:r>
    </w:p>
    <w:p>
      <w:pPr>
        <w:pStyle w:val="BodyText"/>
        <w:spacing w:before="2"/>
        <w:rPr>
          <w:sz w:val="5"/>
        </w:rPr>
      </w:pPr>
      <w:r>
        <w:rPr/>
        <mc:AlternateContent>
          <mc:Choice Requires="wps">
            <w:drawing>
              <wp:anchor distT="0" distB="0" distL="0" distR="0" allowOverlap="1" layoutInCell="1" locked="0" behindDoc="1" simplePos="0" relativeHeight="487773184">
                <wp:simplePos x="0" y="0"/>
                <wp:positionH relativeFrom="page">
                  <wp:posOffset>900000</wp:posOffset>
                </wp:positionH>
                <wp:positionV relativeFrom="paragraph">
                  <wp:posOffset>55545</wp:posOffset>
                </wp:positionV>
                <wp:extent cx="6012180" cy="1270"/>
                <wp:effectExtent l="0" t="0" r="0" b="0"/>
                <wp:wrapTopAndBottom/>
                <wp:docPr id="976" name="Graphic 976"/>
                <wp:cNvGraphicFramePr>
                  <a:graphicFrameLocks/>
                </wp:cNvGraphicFramePr>
                <a:graphic>
                  <a:graphicData uri="http://schemas.microsoft.com/office/word/2010/wordprocessingShape">
                    <wps:wsp>
                      <wps:cNvPr id="976" name="Graphic 97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4.373664pt;width:473.4pt;height:.1pt;mso-position-horizontal-relative:page;mso-position-vertical-relative:paragraph;z-index:-15543296;mso-wrap-distance-left:0;mso-wrap-distance-right:0" id="docshape800" coordorigin="1417,87" coordsize="9468,0" path="m1417,87l10885,87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z w:val="18"/>
        </w:rPr>
        <w:t>C-405/20,</w:t>
      </w:r>
      <w:r>
        <w:rPr>
          <w:spacing w:val="-4"/>
          <w:sz w:val="18"/>
        </w:rPr>
        <w:t> </w:t>
      </w:r>
      <w:r>
        <w:rPr>
          <w:color w:val="1D71B8"/>
          <w:sz w:val="18"/>
          <w:u w:val="single" w:color="1D71B8"/>
        </w:rPr>
        <w:t>EB</w:t>
      </w:r>
      <w:r>
        <w:rPr>
          <w:color w:val="1D71B8"/>
          <w:spacing w:val="-2"/>
          <w:sz w:val="18"/>
          <w:u w:val="single" w:color="1D71B8"/>
        </w:rPr>
        <w:t> </w:t>
      </w:r>
      <w:r>
        <w:rPr>
          <w:color w:val="1D71B8"/>
          <w:sz w:val="18"/>
          <w:u w:val="single" w:color="1D71B8"/>
        </w:rPr>
        <w:t>v</w:t>
      </w:r>
      <w:r>
        <w:rPr>
          <w:color w:val="1D71B8"/>
          <w:spacing w:val="-2"/>
          <w:sz w:val="18"/>
          <w:u w:val="single" w:color="1D71B8"/>
        </w:rPr>
        <w:t> </w:t>
      </w:r>
      <w:r>
        <w:rPr>
          <w:color w:val="1D71B8"/>
          <w:sz w:val="18"/>
          <w:u w:val="single" w:color="1D71B8"/>
        </w:rPr>
        <w:t>BVAEB</w:t>
      </w:r>
      <w:r>
        <w:rPr>
          <w:i/>
          <w:sz w:val="18"/>
          <w:u w:val="none"/>
        </w:rPr>
        <w:t>,</w:t>
      </w:r>
      <w:r>
        <w:rPr>
          <w:i/>
          <w:spacing w:val="-4"/>
          <w:sz w:val="18"/>
          <w:u w:val="none"/>
        </w:rPr>
        <w:t> </w:t>
      </w:r>
      <w:r>
        <w:rPr>
          <w:sz w:val="18"/>
          <w:u w:val="none"/>
        </w:rPr>
        <w:t>judgment</w:t>
      </w:r>
      <w:r>
        <w:rPr>
          <w:spacing w:val="-2"/>
          <w:sz w:val="18"/>
          <w:u w:val="none"/>
        </w:rPr>
        <w:t> </w:t>
      </w:r>
      <w:r>
        <w:rPr>
          <w:sz w:val="18"/>
          <w:u w:val="none"/>
        </w:rPr>
        <w:t>of</w:t>
      </w:r>
      <w:r>
        <w:rPr>
          <w:spacing w:val="-3"/>
          <w:sz w:val="18"/>
          <w:u w:val="none"/>
        </w:rPr>
        <w:t> </w:t>
      </w:r>
      <w:r>
        <w:rPr>
          <w:sz w:val="18"/>
          <w:u w:val="none"/>
        </w:rPr>
        <w:t>5</w:t>
      </w:r>
      <w:r>
        <w:rPr>
          <w:spacing w:val="-3"/>
          <w:sz w:val="18"/>
          <w:u w:val="none"/>
        </w:rPr>
        <w:t> </w:t>
      </w:r>
      <w:r>
        <w:rPr>
          <w:sz w:val="18"/>
          <w:u w:val="none"/>
        </w:rPr>
        <w:t>May</w:t>
      </w:r>
      <w:r>
        <w:rPr>
          <w:spacing w:val="-2"/>
          <w:sz w:val="18"/>
          <w:u w:val="none"/>
        </w:rPr>
        <w:t> </w:t>
      </w:r>
      <w:r>
        <w:rPr>
          <w:sz w:val="18"/>
          <w:u w:val="none"/>
        </w:rPr>
        <w:t>2022,</w:t>
      </w:r>
      <w:r>
        <w:rPr>
          <w:spacing w:val="-2"/>
          <w:sz w:val="18"/>
          <w:u w:val="none"/>
        </w:rPr>
        <w:t> ECLI:EU:C:2022:347.</w:t>
      </w:r>
    </w:p>
    <w:p>
      <w:pPr>
        <w:pStyle w:val="ListParagraph"/>
        <w:numPr>
          <w:ilvl w:val="0"/>
          <w:numId w:val="51"/>
        </w:numPr>
        <w:tabs>
          <w:tab w:pos="1684" w:val="left" w:leader="none"/>
        </w:tabs>
        <w:spacing w:line="240" w:lineRule="auto" w:before="1"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16.</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58.</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56.</w:t>
      </w:r>
    </w:p>
    <w:p>
      <w:pPr>
        <w:spacing w:after="0" w:line="240" w:lineRule="auto"/>
        <w:jc w:val="left"/>
        <w:rPr>
          <w:sz w:val="18"/>
        </w:rPr>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91392">
                <wp:simplePos x="0" y="0"/>
                <wp:positionH relativeFrom="page">
                  <wp:posOffset>0</wp:posOffset>
                </wp:positionH>
                <wp:positionV relativeFrom="page">
                  <wp:posOffset>0</wp:posOffset>
                </wp:positionV>
                <wp:extent cx="7560309" cy="1155065"/>
                <wp:effectExtent l="0" t="0" r="0" b="0"/>
                <wp:wrapNone/>
                <wp:docPr id="977" name="Group 977"/>
                <wp:cNvGraphicFramePr>
                  <a:graphicFrameLocks/>
                </wp:cNvGraphicFramePr>
                <a:graphic>
                  <a:graphicData uri="http://schemas.microsoft.com/office/word/2010/wordprocessingGroup">
                    <wpg:wgp>
                      <wpg:cNvPr id="977" name="Group 977"/>
                      <wpg:cNvGrpSpPr/>
                      <wpg:grpSpPr>
                        <a:xfrm>
                          <a:off x="0" y="0"/>
                          <a:ext cx="7560309" cy="1155065"/>
                          <a:chExt cx="7560309" cy="1155065"/>
                        </a:xfrm>
                      </wpg:grpSpPr>
                      <wps:wsp>
                        <wps:cNvPr id="978" name="Graphic 978"/>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979" name="Graphic 979"/>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25088" id="docshapegroup801" coordorigin="0,0" coordsize="11906,1819">
                <v:shape style="position:absolute;left:0;top:0;width:11906;height:1819" id="docshape802"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bookmarkStart w:name="6.3.3 Directive 2000/43/EC Race Equality" w:id="190"/>
      <w:bookmarkEnd w:id="190"/>
      <w:r>
        <w:rPr/>
      </w:r>
      <w:bookmarkStart w:name="6.3.4 Directive 2000/78/EC General Frame" w:id="191"/>
      <w:bookmarkEnd w:id="191"/>
      <w:r>
        <w:rPr/>
      </w:r>
      <w:bookmarkStart w:name="_bookmark79" w:id="192"/>
      <w:bookmarkEnd w:id="192"/>
      <w:r>
        <w:rPr/>
      </w:r>
      <w:r>
        <w:rPr>
          <w:b/>
          <w:color w:val="FFFFFF"/>
          <w:spacing w:val="-5"/>
          <w:position w:val="-1"/>
          <w:sz w:val="28"/>
        </w:rPr>
        <w:t>120</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This</w:t>
      </w:r>
      <w:r>
        <w:rPr>
          <w:spacing w:val="-7"/>
        </w:rPr>
        <w:t> </w:t>
      </w:r>
      <w:r>
        <w:rPr/>
        <w:t>case</w:t>
      </w:r>
      <w:r>
        <w:rPr>
          <w:spacing w:val="-6"/>
        </w:rPr>
        <w:t> </w:t>
      </w:r>
      <w:r>
        <w:rPr/>
        <w:t>raises</w:t>
      </w:r>
      <w:r>
        <w:rPr>
          <w:spacing w:val="-7"/>
        </w:rPr>
        <w:t> </w:t>
      </w:r>
      <w:r>
        <w:rPr/>
        <w:t>significant</w:t>
      </w:r>
      <w:r>
        <w:rPr>
          <w:spacing w:val="-6"/>
        </w:rPr>
        <w:t> </w:t>
      </w:r>
      <w:r>
        <w:rPr/>
        <w:t>and</w:t>
      </w:r>
      <w:r>
        <w:rPr>
          <w:spacing w:val="-7"/>
        </w:rPr>
        <w:t> </w:t>
      </w:r>
      <w:r>
        <w:rPr/>
        <w:t>important</w:t>
      </w:r>
      <w:r>
        <w:rPr>
          <w:spacing w:val="-6"/>
        </w:rPr>
        <w:t> </w:t>
      </w:r>
      <w:r>
        <w:rPr/>
        <w:t>themes</w:t>
      </w:r>
      <w:r>
        <w:rPr>
          <w:spacing w:val="-7"/>
        </w:rPr>
        <w:t> </w:t>
      </w:r>
      <w:r>
        <w:rPr/>
        <w:t>which</w:t>
      </w:r>
      <w:r>
        <w:rPr>
          <w:spacing w:val="-7"/>
        </w:rPr>
        <w:t> </w:t>
      </w:r>
      <w:r>
        <w:rPr/>
        <w:t>are</w:t>
      </w:r>
      <w:r>
        <w:rPr>
          <w:spacing w:val="-6"/>
        </w:rPr>
        <w:t> </w:t>
      </w:r>
      <w:r>
        <w:rPr/>
        <w:t>likely</w:t>
      </w:r>
      <w:r>
        <w:rPr>
          <w:spacing w:val="-6"/>
        </w:rPr>
        <w:t> </w:t>
      </w:r>
      <w:r>
        <w:rPr/>
        <w:t>to</w:t>
      </w:r>
      <w:r>
        <w:rPr>
          <w:spacing w:val="-7"/>
        </w:rPr>
        <w:t> </w:t>
      </w:r>
      <w:r>
        <w:rPr/>
        <w:t>influence</w:t>
      </w:r>
      <w:r>
        <w:rPr>
          <w:spacing w:val="-6"/>
        </w:rPr>
        <w:t> </w:t>
      </w:r>
      <w:r>
        <w:rPr/>
        <w:t>the development of discrimination and social security law in Northern Ireland in the </w:t>
      </w:r>
      <w:r>
        <w:rPr>
          <w:spacing w:val="-2"/>
        </w:rPr>
        <w:t>future.</w:t>
      </w:r>
      <w:r>
        <w:rPr>
          <w:spacing w:val="-2"/>
          <w:vertAlign w:val="superscript"/>
        </w:rPr>
        <w:t>622</w:t>
      </w:r>
    </w:p>
    <w:p>
      <w:pPr>
        <w:pStyle w:val="BodyText"/>
        <w:spacing w:line="232" w:lineRule="auto" w:before="279"/>
        <w:ind w:left="720" w:right="1333"/>
        <w:jc w:val="both"/>
      </w:pPr>
      <w:r>
        <w:rPr/>
        <w:t>First,</w:t>
      </w:r>
      <w:r>
        <w:rPr>
          <w:spacing w:val="-1"/>
        </w:rPr>
        <w:t> </w:t>
      </w:r>
      <w:r>
        <w:rPr/>
        <w:t>the</w:t>
      </w:r>
      <w:r>
        <w:rPr>
          <w:spacing w:val="-1"/>
        </w:rPr>
        <w:t> </w:t>
      </w:r>
      <w:r>
        <w:rPr/>
        <w:t>Court</w:t>
      </w:r>
      <w:r>
        <w:rPr>
          <w:spacing w:val="-1"/>
        </w:rPr>
        <w:t> </w:t>
      </w:r>
      <w:r>
        <w:rPr/>
        <w:t>remains</w:t>
      </w:r>
      <w:r>
        <w:rPr>
          <w:spacing w:val="-2"/>
        </w:rPr>
        <w:t> </w:t>
      </w:r>
      <w:r>
        <w:rPr/>
        <w:t>willing</w:t>
      </w:r>
      <w:r>
        <w:rPr>
          <w:spacing w:val="-1"/>
        </w:rPr>
        <w:t> </w:t>
      </w:r>
      <w:r>
        <w:rPr/>
        <w:t>to</w:t>
      </w:r>
      <w:r>
        <w:rPr>
          <w:spacing w:val="-2"/>
        </w:rPr>
        <w:t> </w:t>
      </w:r>
      <w:r>
        <w:rPr/>
        <w:t>accept</w:t>
      </w:r>
      <w:r>
        <w:rPr>
          <w:spacing w:val="-1"/>
        </w:rPr>
        <w:t> </w:t>
      </w:r>
      <w:r>
        <w:rPr/>
        <w:t>coherent</w:t>
      </w:r>
      <w:r>
        <w:rPr>
          <w:spacing w:val="-1"/>
        </w:rPr>
        <w:t> </w:t>
      </w:r>
      <w:r>
        <w:rPr/>
        <w:t>‘social</w:t>
      </w:r>
      <w:r>
        <w:rPr>
          <w:spacing w:val="-2"/>
        </w:rPr>
        <w:t> </w:t>
      </w:r>
      <w:r>
        <w:rPr/>
        <w:t>justice’</w:t>
      </w:r>
      <w:r>
        <w:rPr>
          <w:spacing w:val="-1"/>
        </w:rPr>
        <w:t> </w:t>
      </w:r>
      <w:r>
        <w:rPr/>
        <w:t>justifications</w:t>
      </w:r>
      <w:r>
        <w:rPr>
          <w:spacing w:val="-2"/>
        </w:rPr>
        <w:t> </w:t>
      </w:r>
      <w:r>
        <w:rPr/>
        <w:t>for the</w:t>
      </w:r>
      <w:r>
        <w:rPr>
          <w:spacing w:val="-9"/>
        </w:rPr>
        <w:t> </w:t>
      </w:r>
      <w:r>
        <w:rPr/>
        <w:t>restriction</w:t>
      </w:r>
      <w:r>
        <w:rPr>
          <w:spacing w:val="-10"/>
        </w:rPr>
        <w:t> </w:t>
      </w:r>
      <w:r>
        <w:rPr/>
        <w:t>of</w:t>
      </w:r>
      <w:r>
        <w:rPr>
          <w:spacing w:val="-10"/>
        </w:rPr>
        <w:t> </w:t>
      </w:r>
      <w:r>
        <w:rPr/>
        <w:t>pension</w:t>
      </w:r>
      <w:r>
        <w:rPr>
          <w:spacing w:val="-10"/>
        </w:rPr>
        <w:t> </w:t>
      </w:r>
      <w:r>
        <w:rPr/>
        <w:t>entitlements</w:t>
      </w:r>
      <w:r>
        <w:rPr>
          <w:spacing w:val="-10"/>
        </w:rPr>
        <w:t> </w:t>
      </w:r>
      <w:r>
        <w:rPr/>
        <w:t>and</w:t>
      </w:r>
      <w:r>
        <w:rPr>
          <w:spacing w:val="-10"/>
        </w:rPr>
        <w:t> </w:t>
      </w:r>
      <w:r>
        <w:rPr/>
        <w:t>other</w:t>
      </w:r>
      <w:r>
        <w:rPr>
          <w:spacing w:val="-9"/>
        </w:rPr>
        <w:t> </w:t>
      </w:r>
      <w:r>
        <w:rPr/>
        <w:t>occupational</w:t>
      </w:r>
      <w:r>
        <w:rPr>
          <w:spacing w:val="-10"/>
        </w:rPr>
        <w:t> </w:t>
      </w:r>
      <w:r>
        <w:rPr/>
        <w:t>benefits.</w:t>
      </w:r>
      <w:r>
        <w:rPr>
          <w:spacing w:val="-10"/>
        </w:rPr>
        <w:t> </w:t>
      </w:r>
      <w:r>
        <w:rPr/>
        <w:t>Secondly, though, it appears to scrutinise more closely such justifications for objectivity</w:t>
      </w:r>
    </w:p>
    <w:p>
      <w:pPr>
        <w:pStyle w:val="BodyText"/>
        <w:spacing w:line="232" w:lineRule="auto"/>
        <w:ind w:left="720" w:right="1087"/>
      </w:pPr>
      <w:r>
        <w:rPr/>
        <w:t>and</w:t>
      </w:r>
      <w:r>
        <w:rPr>
          <w:spacing w:val="-6"/>
        </w:rPr>
        <w:t> </w:t>
      </w:r>
      <w:r>
        <w:rPr/>
        <w:t>coherence</w:t>
      </w:r>
      <w:r>
        <w:rPr>
          <w:spacing w:val="-5"/>
        </w:rPr>
        <w:t> </w:t>
      </w:r>
      <w:r>
        <w:rPr/>
        <w:t>and</w:t>
      </w:r>
      <w:r>
        <w:rPr>
          <w:spacing w:val="-6"/>
        </w:rPr>
        <w:t> </w:t>
      </w:r>
      <w:r>
        <w:rPr/>
        <w:t>is</w:t>
      </w:r>
      <w:r>
        <w:rPr>
          <w:spacing w:val="-6"/>
        </w:rPr>
        <w:t> </w:t>
      </w:r>
      <w:r>
        <w:rPr/>
        <w:t>prepared</w:t>
      </w:r>
      <w:r>
        <w:rPr>
          <w:spacing w:val="-6"/>
        </w:rPr>
        <w:t> </w:t>
      </w:r>
      <w:r>
        <w:rPr/>
        <w:t>to</w:t>
      </w:r>
      <w:r>
        <w:rPr>
          <w:spacing w:val="-6"/>
        </w:rPr>
        <w:t> </w:t>
      </w:r>
      <w:r>
        <w:rPr/>
        <w:t>accept</w:t>
      </w:r>
      <w:r>
        <w:rPr>
          <w:spacing w:val="-5"/>
        </w:rPr>
        <w:t> </w:t>
      </w:r>
      <w:r>
        <w:rPr/>
        <w:t>prima</w:t>
      </w:r>
      <w:r>
        <w:rPr>
          <w:spacing w:val="-6"/>
        </w:rPr>
        <w:t> </w:t>
      </w:r>
      <w:r>
        <w:rPr/>
        <w:t>facie</w:t>
      </w:r>
      <w:r>
        <w:rPr>
          <w:spacing w:val="-5"/>
        </w:rPr>
        <w:t> </w:t>
      </w:r>
      <w:r>
        <w:rPr/>
        <w:t>evidence</w:t>
      </w:r>
      <w:r>
        <w:rPr>
          <w:spacing w:val="-5"/>
        </w:rPr>
        <w:t> </w:t>
      </w:r>
      <w:r>
        <w:rPr/>
        <w:t>of</w:t>
      </w:r>
      <w:r>
        <w:rPr>
          <w:spacing w:val="-6"/>
        </w:rPr>
        <w:t> </w:t>
      </w:r>
      <w:r>
        <w:rPr/>
        <w:t>discrimination, thus placing a greater burden on the state to justify its policies. In particular,</w:t>
      </w:r>
    </w:p>
    <w:p>
      <w:pPr>
        <w:pStyle w:val="BodyText"/>
        <w:spacing w:line="232" w:lineRule="auto"/>
        <w:ind w:left="720" w:right="1819"/>
      </w:pPr>
      <w:r>
        <w:rPr/>
        <w:t>EU law now recognises that relatively simple statistical evidence is sufficient to</w:t>
      </w:r>
      <w:r>
        <w:rPr>
          <w:spacing w:val="-7"/>
        </w:rPr>
        <w:t> </w:t>
      </w:r>
      <w:r>
        <w:rPr/>
        <w:t>establish</w:t>
      </w:r>
      <w:r>
        <w:rPr>
          <w:spacing w:val="-7"/>
        </w:rPr>
        <w:t> </w:t>
      </w:r>
      <w:r>
        <w:rPr/>
        <w:t>discrimination,</w:t>
      </w:r>
      <w:r>
        <w:rPr>
          <w:spacing w:val="-7"/>
        </w:rPr>
        <w:t> </w:t>
      </w:r>
      <w:r>
        <w:rPr/>
        <w:t>thereby</w:t>
      </w:r>
      <w:r>
        <w:rPr>
          <w:spacing w:val="-7"/>
        </w:rPr>
        <w:t> </w:t>
      </w:r>
      <w:r>
        <w:rPr/>
        <w:t>triggering</w:t>
      </w:r>
      <w:r>
        <w:rPr>
          <w:spacing w:val="-7"/>
        </w:rPr>
        <w:t> </w:t>
      </w:r>
      <w:r>
        <w:rPr/>
        <w:t>the</w:t>
      </w:r>
      <w:r>
        <w:rPr>
          <w:spacing w:val="-7"/>
        </w:rPr>
        <w:t> </w:t>
      </w:r>
      <w:r>
        <w:rPr/>
        <w:t>duty</w:t>
      </w:r>
      <w:r>
        <w:rPr>
          <w:spacing w:val="-7"/>
        </w:rPr>
        <w:t> </w:t>
      </w:r>
      <w:r>
        <w:rPr/>
        <w:t>to</w:t>
      </w:r>
      <w:r>
        <w:rPr>
          <w:spacing w:val="-7"/>
        </w:rPr>
        <w:t> </w:t>
      </w:r>
      <w:r>
        <w:rPr/>
        <w:t>justify</w:t>
      </w:r>
      <w:r>
        <w:rPr>
          <w:spacing w:val="-7"/>
        </w:rPr>
        <w:t> </w:t>
      </w:r>
      <w:r>
        <w:rPr/>
        <w:t>it</w:t>
      </w:r>
      <w:r>
        <w:rPr>
          <w:spacing w:val="-7"/>
        </w:rPr>
        <w:t> </w:t>
      </w:r>
      <w:r>
        <w:rPr/>
        <w:t>coherently</w:t>
      </w:r>
    </w:p>
    <w:p>
      <w:pPr>
        <w:pStyle w:val="BodyText"/>
        <w:spacing w:line="232" w:lineRule="auto"/>
        <w:ind w:left="720" w:right="1170"/>
      </w:pPr>
      <w:r>
        <w:rPr/>
        <w:t>and systematically. This could be an important development in the adjudication and settling of pension disputes, as it clarifies the ways in which the relevant comparators under section 7 of the Sex Discrimination (Northern Ireland) Order 1976 may be established. Finally, the Court appears to be more willing to treat equality questions contextually. This is very strongly felt in </w:t>
      </w:r>
      <w:r>
        <w:rPr>
          <w:i/>
        </w:rPr>
        <w:t>EB v </w:t>
      </w:r>
      <w:r>
        <w:rPr/>
        <w:t>BVAEB, albeit that</w:t>
      </w:r>
      <w:r>
        <w:rPr/>
        <w:t> it is still only implicit in that judgment: there, recognising perhaps that any indirect discriminatory impacts on male pensioners were the result of the long-standing inequality</w:t>
      </w:r>
      <w:r>
        <w:rPr>
          <w:spacing w:val="-7"/>
        </w:rPr>
        <w:t> </w:t>
      </w:r>
      <w:r>
        <w:rPr/>
        <w:t>suffered</w:t>
      </w:r>
      <w:r>
        <w:rPr>
          <w:spacing w:val="-8"/>
        </w:rPr>
        <w:t> </w:t>
      </w:r>
      <w:r>
        <w:rPr/>
        <w:t>by</w:t>
      </w:r>
      <w:r>
        <w:rPr>
          <w:spacing w:val="-7"/>
        </w:rPr>
        <w:t> </w:t>
      </w:r>
      <w:r>
        <w:rPr/>
        <w:t>women</w:t>
      </w:r>
      <w:r>
        <w:rPr>
          <w:spacing w:val="-8"/>
        </w:rPr>
        <w:t> </w:t>
      </w:r>
      <w:r>
        <w:rPr/>
        <w:t>in</w:t>
      </w:r>
      <w:r>
        <w:rPr>
          <w:spacing w:val="-8"/>
        </w:rPr>
        <w:t> </w:t>
      </w:r>
      <w:r>
        <w:rPr/>
        <w:t>respect</w:t>
      </w:r>
      <w:r>
        <w:rPr>
          <w:spacing w:val="-7"/>
        </w:rPr>
        <w:t> </w:t>
      </w:r>
      <w:r>
        <w:rPr/>
        <w:t>of</w:t>
      </w:r>
      <w:r>
        <w:rPr>
          <w:spacing w:val="-8"/>
        </w:rPr>
        <w:t> </w:t>
      </w:r>
      <w:r>
        <w:rPr/>
        <w:t>pay,</w:t>
      </w:r>
      <w:r>
        <w:rPr>
          <w:spacing w:val="-7"/>
        </w:rPr>
        <w:t> </w:t>
      </w:r>
      <w:r>
        <w:rPr/>
        <w:t>the</w:t>
      </w:r>
      <w:r>
        <w:rPr>
          <w:spacing w:val="-7"/>
        </w:rPr>
        <w:t> </w:t>
      </w:r>
      <w:r>
        <w:rPr/>
        <w:t>Court</w:t>
      </w:r>
      <w:r>
        <w:rPr>
          <w:spacing w:val="-7"/>
        </w:rPr>
        <w:t> </w:t>
      </w:r>
      <w:r>
        <w:rPr/>
        <w:t>appeared</w:t>
      </w:r>
      <w:r>
        <w:rPr>
          <w:spacing w:val="-8"/>
        </w:rPr>
        <w:t> </w:t>
      </w:r>
      <w:r>
        <w:rPr/>
        <w:t>more</w:t>
      </w:r>
      <w:r>
        <w:rPr>
          <w:spacing w:val="-7"/>
        </w:rPr>
        <w:t> </w:t>
      </w:r>
      <w:r>
        <w:rPr/>
        <w:t>willing</w:t>
      </w:r>
      <w:r>
        <w:rPr>
          <w:spacing w:val="-7"/>
        </w:rPr>
        <w:t> </w:t>
      </w:r>
      <w:r>
        <w:rPr/>
        <w:t>to accept state justifications in the social interest than in other similar cases.</w:t>
      </w:r>
    </w:p>
    <w:p>
      <w:pPr>
        <w:pStyle w:val="BodyText"/>
        <w:spacing w:line="232" w:lineRule="auto" w:before="258"/>
        <w:ind w:left="720" w:right="1337"/>
      </w:pPr>
      <w:r>
        <w:rPr/>
        <w:t>While current CJEU case law on this matter may be criticised for inconsistency</w:t>
      </w:r>
      <w:r>
        <w:rPr/>
        <w:t> and</w:t>
      </w:r>
      <w:r>
        <w:rPr>
          <w:spacing w:val="-9"/>
        </w:rPr>
        <w:t> </w:t>
      </w:r>
      <w:r>
        <w:rPr/>
        <w:t>further</w:t>
      </w:r>
      <w:r>
        <w:rPr>
          <w:spacing w:val="-8"/>
        </w:rPr>
        <w:t> </w:t>
      </w:r>
      <w:r>
        <w:rPr/>
        <w:t>case</w:t>
      </w:r>
      <w:r>
        <w:rPr>
          <w:spacing w:val="-8"/>
        </w:rPr>
        <w:t> </w:t>
      </w:r>
      <w:r>
        <w:rPr/>
        <w:t>law</w:t>
      </w:r>
      <w:r>
        <w:rPr>
          <w:spacing w:val="-8"/>
        </w:rPr>
        <w:t> </w:t>
      </w:r>
      <w:r>
        <w:rPr/>
        <w:t>is</w:t>
      </w:r>
      <w:r>
        <w:rPr>
          <w:spacing w:val="-9"/>
        </w:rPr>
        <w:t> </w:t>
      </w:r>
      <w:r>
        <w:rPr/>
        <w:t>needed</w:t>
      </w:r>
      <w:r>
        <w:rPr>
          <w:spacing w:val="-9"/>
        </w:rPr>
        <w:t> </w:t>
      </w:r>
      <w:r>
        <w:rPr/>
        <w:t>before</w:t>
      </w:r>
      <w:r>
        <w:rPr>
          <w:spacing w:val="-8"/>
        </w:rPr>
        <w:t> </w:t>
      </w:r>
      <w:r>
        <w:rPr/>
        <w:t>a</w:t>
      </w:r>
      <w:r>
        <w:rPr>
          <w:spacing w:val="-9"/>
        </w:rPr>
        <w:t> </w:t>
      </w:r>
      <w:r>
        <w:rPr/>
        <w:t>move</w:t>
      </w:r>
      <w:r>
        <w:rPr>
          <w:spacing w:val="-8"/>
        </w:rPr>
        <w:t> </w:t>
      </w:r>
      <w:r>
        <w:rPr/>
        <w:t>towards</w:t>
      </w:r>
      <w:r>
        <w:rPr>
          <w:spacing w:val="-9"/>
        </w:rPr>
        <w:t> </w:t>
      </w:r>
      <w:r>
        <w:rPr/>
        <w:t>a</w:t>
      </w:r>
      <w:r>
        <w:rPr>
          <w:spacing w:val="-9"/>
        </w:rPr>
        <w:t> </w:t>
      </w:r>
      <w:r>
        <w:rPr/>
        <w:t>contextual</w:t>
      </w:r>
      <w:r>
        <w:rPr>
          <w:spacing w:val="-9"/>
        </w:rPr>
        <w:t> </w:t>
      </w:r>
      <w:r>
        <w:rPr/>
        <w:t>interpretation of sex discrimination can be authoritatively established, it appears that the</w:t>
      </w:r>
    </w:p>
    <w:p>
      <w:pPr>
        <w:pStyle w:val="BodyText"/>
        <w:spacing w:line="232" w:lineRule="auto"/>
        <w:ind w:left="720" w:right="1886"/>
      </w:pPr>
      <w:r>
        <w:rPr/>
        <w:t>CJEU</w:t>
      </w:r>
      <w:r>
        <w:rPr>
          <w:spacing w:val="-4"/>
        </w:rPr>
        <w:t> </w:t>
      </w:r>
      <w:r>
        <w:rPr/>
        <w:t>is</w:t>
      </w:r>
      <w:r>
        <w:rPr>
          <w:spacing w:val="-5"/>
        </w:rPr>
        <w:t> </w:t>
      </w:r>
      <w:r>
        <w:rPr/>
        <w:t>–</w:t>
      </w:r>
      <w:r>
        <w:rPr>
          <w:spacing w:val="-5"/>
        </w:rPr>
        <w:t> </w:t>
      </w:r>
      <w:r>
        <w:rPr/>
        <w:t>at</w:t>
      </w:r>
      <w:r>
        <w:rPr>
          <w:spacing w:val="-4"/>
        </w:rPr>
        <w:t> </w:t>
      </w:r>
      <w:r>
        <w:rPr/>
        <w:t>least</w:t>
      </w:r>
      <w:r>
        <w:rPr>
          <w:spacing w:val="-4"/>
        </w:rPr>
        <w:t> </w:t>
      </w:r>
      <w:r>
        <w:rPr/>
        <w:t>to</w:t>
      </w:r>
      <w:r>
        <w:rPr>
          <w:spacing w:val="-5"/>
        </w:rPr>
        <w:t> </w:t>
      </w:r>
      <w:r>
        <w:rPr/>
        <w:t>an</w:t>
      </w:r>
      <w:r>
        <w:rPr>
          <w:spacing w:val="-5"/>
        </w:rPr>
        <w:t> </w:t>
      </w:r>
      <w:r>
        <w:rPr/>
        <w:t>extent</w:t>
      </w:r>
      <w:r>
        <w:rPr>
          <w:spacing w:val="-4"/>
        </w:rPr>
        <w:t> </w:t>
      </w:r>
      <w:r>
        <w:rPr/>
        <w:t>–</w:t>
      </w:r>
      <w:r>
        <w:rPr>
          <w:spacing w:val="-5"/>
        </w:rPr>
        <w:t> </w:t>
      </w:r>
      <w:r>
        <w:rPr/>
        <w:t>alive</w:t>
      </w:r>
      <w:r>
        <w:rPr>
          <w:spacing w:val="-4"/>
        </w:rPr>
        <w:t> </w:t>
      </w:r>
      <w:r>
        <w:rPr/>
        <w:t>to</w:t>
      </w:r>
      <w:r>
        <w:rPr>
          <w:spacing w:val="-5"/>
        </w:rPr>
        <w:t> </w:t>
      </w:r>
      <w:r>
        <w:rPr/>
        <w:t>the</w:t>
      </w:r>
      <w:r>
        <w:rPr>
          <w:spacing w:val="-4"/>
        </w:rPr>
        <w:t> </w:t>
      </w:r>
      <w:r>
        <w:rPr/>
        <w:t>complexity</w:t>
      </w:r>
      <w:r>
        <w:rPr>
          <w:spacing w:val="-4"/>
        </w:rPr>
        <w:t> </w:t>
      </w:r>
      <w:r>
        <w:rPr/>
        <w:t>that</w:t>
      </w:r>
      <w:r>
        <w:rPr>
          <w:spacing w:val="-4"/>
        </w:rPr>
        <w:t> </w:t>
      </w:r>
      <w:r>
        <w:rPr/>
        <w:t>questions</w:t>
      </w:r>
      <w:r>
        <w:rPr>
          <w:spacing w:val="-5"/>
        </w:rPr>
        <w:t> </w:t>
      </w:r>
      <w:r>
        <w:rPr/>
        <w:t>of</w:t>
      </w:r>
      <w:r>
        <w:rPr>
          <w:spacing w:val="-5"/>
        </w:rPr>
        <w:t> </w:t>
      </w:r>
      <w:r>
        <w:rPr/>
        <w:t>past or compounded discrimination raise and is starting to develop its case law</w:t>
      </w:r>
    </w:p>
    <w:p>
      <w:pPr>
        <w:pStyle w:val="BodyText"/>
        <w:spacing w:line="232" w:lineRule="auto"/>
        <w:ind w:left="720" w:right="1211"/>
        <w:jc w:val="both"/>
      </w:pPr>
      <w:r>
        <w:rPr/>
        <w:t>accordingly.</w:t>
      </w:r>
      <w:r>
        <w:rPr>
          <w:spacing w:val="-6"/>
        </w:rPr>
        <w:t> </w:t>
      </w:r>
      <w:r>
        <w:rPr/>
        <w:t>Whilst</w:t>
      </w:r>
      <w:r>
        <w:rPr>
          <w:spacing w:val="-5"/>
        </w:rPr>
        <w:t> </w:t>
      </w:r>
      <w:r>
        <w:rPr/>
        <w:t>no</w:t>
      </w:r>
      <w:r>
        <w:rPr>
          <w:spacing w:val="-6"/>
        </w:rPr>
        <w:t> </w:t>
      </w:r>
      <w:r>
        <w:rPr/>
        <w:t>change</w:t>
      </w:r>
      <w:r>
        <w:rPr>
          <w:spacing w:val="-5"/>
        </w:rPr>
        <w:t> </w:t>
      </w:r>
      <w:r>
        <w:rPr/>
        <w:t>to</w:t>
      </w:r>
      <w:r>
        <w:rPr>
          <w:spacing w:val="-6"/>
        </w:rPr>
        <w:t> </w:t>
      </w:r>
      <w:r>
        <w:rPr/>
        <w:t>NI</w:t>
      </w:r>
      <w:r>
        <w:rPr>
          <w:spacing w:val="-5"/>
        </w:rPr>
        <w:t> </w:t>
      </w:r>
      <w:r>
        <w:rPr/>
        <w:t>law</w:t>
      </w:r>
      <w:r>
        <w:rPr>
          <w:spacing w:val="-5"/>
        </w:rPr>
        <w:t> </w:t>
      </w:r>
      <w:r>
        <w:rPr/>
        <w:t>is</w:t>
      </w:r>
      <w:r>
        <w:rPr>
          <w:spacing w:val="-6"/>
        </w:rPr>
        <w:t> </w:t>
      </w:r>
      <w:r>
        <w:rPr/>
        <w:t>currently</w:t>
      </w:r>
      <w:r>
        <w:rPr>
          <w:spacing w:val="-5"/>
        </w:rPr>
        <w:t> </w:t>
      </w:r>
      <w:r>
        <w:rPr/>
        <w:t>required,</w:t>
      </w:r>
      <w:r>
        <w:rPr>
          <w:spacing w:val="-5"/>
        </w:rPr>
        <w:t> </w:t>
      </w:r>
      <w:r>
        <w:rPr/>
        <w:t>this</w:t>
      </w:r>
      <w:r>
        <w:rPr>
          <w:spacing w:val="-6"/>
        </w:rPr>
        <w:t> </w:t>
      </w:r>
      <w:r>
        <w:rPr/>
        <w:t>continues</w:t>
      </w:r>
      <w:r>
        <w:rPr>
          <w:spacing w:val="-6"/>
        </w:rPr>
        <w:t> </w:t>
      </w:r>
      <w:r>
        <w:rPr/>
        <w:t>to</w:t>
      </w:r>
      <w:r>
        <w:rPr>
          <w:spacing w:val="-6"/>
        </w:rPr>
        <w:t> </w:t>
      </w:r>
      <w:r>
        <w:rPr/>
        <w:t>be</w:t>
      </w:r>
      <w:r>
        <w:rPr>
          <w:spacing w:val="-5"/>
        </w:rPr>
        <w:t> </w:t>
      </w:r>
      <w:r>
        <w:rPr/>
        <w:t>a matter</w:t>
      </w:r>
      <w:r>
        <w:rPr>
          <w:spacing w:val="-6"/>
        </w:rPr>
        <w:t> </w:t>
      </w:r>
      <w:r>
        <w:rPr/>
        <w:t>which</w:t>
      </w:r>
      <w:r>
        <w:rPr>
          <w:spacing w:val="-7"/>
        </w:rPr>
        <w:t> </w:t>
      </w:r>
      <w:r>
        <w:rPr/>
        <w:t>should</w:t>
      </w:r>
      <w:r>
        <w:rPr>
          <w:spacing w:val="-7"/>
        </w:rPr>
        <w:t> </w:t>
      </w:r>
      <w:r>
        <w:rPr/>
        <w:t>be</w:t>
      </w:r>
      <w:r>
        <w:rPr>
          <w:spacing w:val="-6"/>
        </w:rPr>
        <w:t> </w:t>
      </w:r>
      <w:r>
        <w:rPr/>
        <w:t>closely</w:t>
      </w:r>
      <w:r>
        <w:rPr>
          <w:spacing w:val="-6"/>
        </w:rPr>
        <w:t> </w:t>
      </w:r>
      <w:r>
        <w:rPr/>
        <w:t>monitored</w:t>
      </w:r>
      <w:r>
        <w:rPr>
          <w:spacing w:val="-7"/>
        </w:rPr>
        <w:t> </w:t>
      </w:r>
      <w:r>
        <w:rPr/>
        <w:t>through</w:t>
      </w:r>
      <w:r>
        <w:rPr>
          <w:spacing w:val="-7"/>
        </w:rPr>
        <w:t> </w:t>
      </w:r>
      <w:r>
        <w:rPr/>
        <w:t>continued</w:t>
      </w:r>
      <w:r>
        <w:rPr>
          <w:spacing w:val="-7"/>
        </w:rPr>
        <w:t> </w:t>
      </w:r>
      <w:r>
        <w:rPr/>
        <w:t>analysis</w:t>
      </w:r>
      <w:r>
        <w:rPr>
          <w:spacing w:val="-7"/>
        </w:rPr>
        <w:t> </w:t>
      </w:r>
      <w:r>
        <w:rPr/>
        <w:t>of</w:t>
      </w:r>
      <w:r>
        <w:rPr>
          <w:spacing w:val="-7"/>
        </w:rPr>
        <w:t> </w:t>
      </w:r>
      <w:r>
        <w:rPr/>
        <w:t>CJEU</w:t>
      </w:r>
      <w:r>
        <w:rPr>
          <w:spacing w:val="-6"/>
        </w:rPr>
        <w:t> </w:t>
      </w:r>
      <w:r>
        <w:rPr/>
        <w:t>case law</w:t>
      </w:r>
      <w:r>
        <w:rPr>
          <w:spacing w:val="-6"/>
        </w:rPr>
        <w:t> </w:t>
      </w:r>
      <w:r>
        <w:rPr/>
        <w:t>to</w:t>
      </w:r>
      <w:r>
        <w:rPr>
          <w:spacing w:val="-7"/>
        </w:rPr>
        <w:t> </w:t>
      </w:r>
      <w:r>
        <w:rPr/>
        <w:t>determine</w:t>
      </w:r>
      <w:r>
        <w:rPr>
          <w:spacing w:val="-6"/>
        </w:rPr>
        <w:t> </w:t>
      </w:r>
      <w:r>
        <w:rPr/>
        <w:t>whether</w:t>
      </w:r>
      <w:r>
        <w:rPr>
          <w:spacing w:val="-6"/>
        </w:rPr>
        <w:t> </w:t>
      </w:r>
      <w:r>
        <w:rPr/>
        <w:t>this</w:t>
      </w:r>
      <w:r>
        <w:rPr>
          <w:spacing w:val="-7"/>
        </w:rPr>
        <w:t> </w:t>
      </w:r>
      <w:r>
        <w:rPr/>
        <w:t>could</w:t>
      </w:r>
      <w:r>
        <w:rPr>
          <w:spacing w:val="-7"/>
        </w:rPr>
        <w:t> </w:t>
      </w:r>
      <w:r>
        <w:rPr/>
        <w:t>have</w:t>
      </w:r>
      <w:r>
        <w:rPr>
          <w:spacing w:val="-6"/>
        </w:rPr>
        <w:t> </w:t>
      </w:r>
      <w:r>
        <w:rPr/>
        <w:t>future</w:t>
      </w:r>
      <w:r>
        <w:rPr>
          <w:spacing w:val="-6"/>
        </w:rPr>
        <w:t> </w:t>
      </w:r>
      <w:r>
        <w:rPr/>
        <w:t>implications</w:t>
      </w:r>
      <w:r>
        <w:rPr>
          <w:spacing w:val="-7"/>
        </w:rPr>
        <w:t> </w:t>
      </w:r>
      <w:r>
        <w:rPr/>
        <w:t>for</w:t>
      </w:r>
      <w:r>
        <w:rPr>
          <w:spacing w:val="-6"/>
        </w:rPr>
        <w:t> </w:t>
      </w:r>
      <w:r>
        <w:rPr/>
        <w:t>Northern</w:t>
      </w:r>
      <w:r>
        <w:rPr>
          <w:spacing w:val="-7"/>
        </w:rPr>
        <w:t> </w:t>
      </w:r>
      <w:r>
        <w:rPr/>
        <w:t>Ireland.</w:t>
      </w:r>
    </w:p>
    <w:p>
      <w:pPr>
        <w:pStyle w:val="BodyText"/>
        <w:spacing w:before="45"/>
      </w:pPr>
    </w:p>
    <w:p>
      <w:pPr>
        <w:pStyle w:val="Heading3"/>
        <w:numPr>
          <w:ilvl w:val="2"/>
          <w:numId w:val="52"/>
        </w:numPr>
        <w:tabs>
          <w:tab w:pos="1358" w:val="left" w:leader="none"/>
        </w:tabs>
        <w:spacing w:line="336" w:lineRule="exact" w:before="0" w:after="0"/>
        <w:ind w:left="1358" w:right="0" w:hanging="638"/>
        <w:jc w:val="left"/>
      </w:pPr>
      <w:r>
        <w:rPr>
          <w:color w:val="004A93"/>
        </w:rPr>
        <w:t>Directive</w:t>
      </w:r>
      <w:r>
        <w:rPr>
          <w:color w:val="004A93"/>
          <w:spacing w:val="-9"/>
        </w:rPr>
        <w:t> </w:t>
      </w:r>
      <w:r>
        <w:rPr>
          <w:color w:val="004A93"/>
        </w:rPr>
        <w:t>2000/43/EC</w:t>
      </w:r>
      <w:r>
        <w:rPr>
          <w:color w:val="004A93"/>
          <w:spacing w:val="-9"/>
        </w:rPr>
        <w:t> </w:t>
      </w:r>
      <w:r>
        <w:rPr>
          <w:color w:val="004A93"/>
        </w:rPr>
        <w:t>Race</w:t>
      </w:r>
      <w:r>
        <w:rPr>
          <w:color w:val="004A93"/>
          <w:spacing w:val="-8"/>
        </w:rPr>
        <w:t> </w:t>
      </w:r>
      <w:r>
        <w:rPr>
          <w:color w:val="004A93"/>
        </w:rPr>
        <w:t>Equality</w:t>
      </w:r>
      <w:r>
        <w:rPr>
          <w:color w:val="004A93"/>
          <w:spacing w:val="-8"/>
        </w:rPr>
        <w:t> </w:t>
      </w:r>
      <w:r>
        <w:rPr>
          <w:color w:val="004A93"/>
          <w:spacing w:val="-2"/>
        </w:rPr>
        <w:t>Directive</w:t>
      </w:r>
    </w:p>
    <w:p>
      <w:pPr>
        <w:pStyle w:val="BodyText"/>
        <w:spacing w:line="232" w:lineRule="auto" w:before="2"/>
        <w:ind w:left="720" w:right="1087"/>
      </w:pPr>
      <w:r>
        <w:rPr/>
        <w:t>As the Appendix 1 mapping outlines, there were two CJEU cases dealing with Directive</w:t>
      </w:r>
      <w:r>
        <w:rPr>
          <w:spacing w:val="-10"/>
        </w:rPr>
        <w:t> </w:t>
      </w:r>
      <w:r>
        <w:rPr/>
        <w:t>2000/43/EC</w:t>
      </w:r>
      <w:r>
        <w:rPr>
          <w:spacing w:val="-11"/>
        </w:rPr>
        <w:t> </w:t>
      </w:r>
      <w:r>
        <w:rPr/>
        <w:t>within</w:t>
      </w:r>
      <w:r>
        <w:rPr>
          <w:spacing w:val="-11"/>
        </w:rPr>
        <w:t> </w:t>
      </w:r>
      <w:r>
        <w:rPr/>
        <w:t>the</w:t>
      </w:r>
      <w:r>
        <w:rPr>
          <w:spacing w:val="-10"/>
        </w:rPr>
        <w:t> </w:t>
      </w:r>
      <w:r>
        <w:rPr/>
        <w:t>defined</w:t>
      </w:r>
      <w:r>
        <w:rPr>
          <w:spacing w:val="-11"/>
        </w:rPr>
        <w:t> </w:t>
      </w:r>
      <w:r>
        <w:rPr/>
        <w:t>date</w:t>
      </w:r>
      <w:r>
        <w:rPr>
          <w:spacing w:val="-10"/>
        </w:rPr>
        <w:t> </w:t>
      </w:r>
      <w:r>
        <w:rPr/>
        <w:t>period</w:t>
      </w:r>
      <w:r>
        <w:rPr>
          <w:spacing w:val="-11"/>
        </w:rPr>
        <w:t> </w:t>
      </w:r>
      <w:r>
        <w:rPr/>
        <w:t>and</w:t>
      </w:r>
      <w:r>
        <w:rPr>
          <w:spacing w:val="-11"/>
        </w:rPr>
        <w:t> </w:t>
      </w:r>
      <w:r>
        <w:rPr/>
        <w:t>parameters.</w:t>
      </w:r>
      <w:r>
        <w:rPr>
          <w:spacing w:val="-11"/>
        </w:rPr>
        <w:t> </w:t>
      </w:r>
      <w:r>
        <w:rPr/>
        <w:t>However,</w:t>
      </w:r>
      <w:r>
        <w:rPr>
          <w:spacing w:val="-10"/>
        </w:rPr>
        <w:t> </w:t>
      </w:r>
      <w:r>
        <w:rPr/>
        <w:t>the Directive was only mentioned briefly within the Advocate General Opinion, and in both cases not referred to in the final judgment of the Court. This should continue to be monitored in light of any future developments after the mapping date range concluded on 31 August 2023.</w:t>
      </w:r>
    </w:p>
    <w:p>
      <w:pPr>
        <w:pStyle w:val="BodyText"/>
        <w:spacing w:before="48"/>
      </w:pPr>
    </w:p>
    <w:p>
      <w:pPr>
        <w:pStyle w:val="Heading3"/>
        <w:numPr>
          <w:ilvl w:val="2"/>
          <w:numId w:val="52"/>
        </w:numPr>
        <w:tabs>
          <w:tab w:pos="1358" w:val="left" w:leader="none"/>
        </w:tabs>
        <w:spacing w:line="336" w:lineRule="exact" w:before="0" w:after="0"/>
        <w:ind w:left="1358" w:right="0" w:hanging="638"/>
        <w:jc w:val="left"/>
      </w:pPr>
      <w:r>
        <w:rPr>
          <w:color w:val="004A93"/>
        </w:rPr>
        <w:t>Directive</w:t>
      </w:r>
      <w:r>
        <w:rPr>
          <w:color w:val="004A93"/>
          <w:spacing w:val="-14"/>
        </w:rPr>
        <w:t> </w:t>
      </w:r>
      <w:r>
        <w:rPr>
          <w:color w:val="004A93"/>
        </w:rPr>
        <w:t>2000/78/EC</w:t>
      </w:r>
      <w:r>
        <w:rPr>
          <w:color w:val="004A93"/>
          <w:spacing w:val="-13"/>
        </w:rPr>
        <w:t> </w:t>
      </w:r>
      <w:r>
        <w:rPr>
          <w:color w:val="004A93"/>
        </w:rPr>
        <w:t>General</w:t>
      </w:r>
      <w:r>
        <w:rPr>
          <w:color w:val="004A93"/>
          <w:spacing w:val="-12"/>
        </w:rPr>
        <w:t> </w:t>
      </w:r>
      <w:r>
        <w:rPr>
          <w:color w:val="004A93"/>
        </w:rPr>
        <w:t>Framework</w:t>
      </w:r>
      <w:r>
        <w:rPr>
          <w:color w:val="004A93"/>
          <w:spacing w:val="-13"/>
        </w:rPr>
        <w:t> </w:t>
      </w:r>
      <w:r>
        <w:rPr>
          <w:color w:val="004A93"/>
          <w:spacing w:val="-2"/>
        </w:rPr>
        <w:t>Directive</w:t>
      </w:r>
    </w:p>
    <w:p>
      <w:pPr>
        <w:pStyle w:val="BodyText"/>
        <w:spacing w:line="232" w:lineRule="auto" w:before="2"/>
        <w:ind w:left="720" w:right="1087"/>
      </w:pPr>
      <w:r>
        <w:rPr/>
        <w:t>As the Appendix 1 mapping outlines, Directive 2000/78/EC is where the most substantive</w:t>
      </w:r>
      <w:r>
        <w:rPr>
          <w:spacing w:val="-9"/>
        </w:rPr>
        <w:t> </w:t>
      </w:r>
      <w:r>
        <w:rPr/>
        <w:t>developments</w:t>
      </w:r>
      <w:r>
        <w:rPr>
          <w:spacing w:val="-10"/>
        </w:rPr>
        <w:t> </w:t>
      </w:r>
      <w:r>
        <w:rPr/>
        <w:t>have</w:t>
      </w:r>
      <w:r>
        <w:rPr>
          <w:spacing w:val="-9"/>
        </w:rPr>
        <w:t> </w:t>
      </w:r>
      <w:r>
        <w:rPr/>
        <w:t>been</w:t>
      </w:r>
      <w:r>
        <w:rPr>
          <w:spacing w:val="-10"/>
        </w:rPr>
        <w:t> </w:t>
      </w:r>
      <w:r>
        <w:rPr/>
        <w:t>made</w:t>
      </w:r>
      <w:r>
        <w:rPr>
          <w:spacing w:val="-9"/>
        </w:rPr>
        <w:t> </w:t>
      </w:r>
      <w:r>
        <w:rPr/>
        <w:t>within</w:t>
      </w:r>
      <w:r>
        <w:rPr>
          <w:spacing w:val="-10"/>
        </w:rPr>
        <w:t> </w:t>
      </w:r>
      <w:r>
        <w:rPr/>
        <w:t>the</w:t>
      </w:r>
      <w:r>
        <w:rPr>
          <w:spacing w:val="-9"/>
        </w:rPr>
        <w:t> </w:t>
      </w:r>
      <w:r>
        <w:rPr/>
        <w:t>CJEU</w:t>
      </w:r>
      <w:r>
        <w:rPr>
          <w:spacing w:val="-9"/>
        </w:rPr>
        <w:t> </w:t>
      </w:r>
      <w:r>
        <w:rPr/>
        <w:t>case</w:t>
      </w:r>
      <w:r>
        <w:rPr>
          <w:spacing w:val="-9"/>
        </w:rPr>
        <w:t> </w:t>
      </w:r>
      <w:r>
        <w:rPr/>
        <w:t>law.</w:t>
      </w:r>
      <w:r>
        <w:rPr>
          <w:spacing w:val="-10"/>
        </w:rPr>
        <w:t> </w:t>
      </w:r>
      <w:r>
        <w:rPr/>
        <w:t>Numerous cases have been decided across various thematic areas as outlined below.</w:t>
      </w:r>
    </w:p>
    <w:p>
      <w:pPr>
        <w:pStyle w:val="BodyText"/>
        <w:spacing w:before="6"/>
        <w:rPr>
          <w:sz w:val="9"/>
        </w:rPr>
      </w:pPr>
      <w:r>
        <w:rPr/>
        <mc:AlternateContent>
          <mc:Choice Requires="wps">
            <w:drawing>
              <wp:anchor distT="0" distB="0" distL="0" distR="0" allowOverlap="1" layoutInCell="1" locked="0" behindDoc="1" simplePos="0" relativeHeight="487774208">
                <wp:simplePos x="0" y="0"/>
                <wp:positionH relativeFrom="page">
                  <wp:posOffset>647999</wp:posOffset>
                </wp:positionH>
                <wp:positionV relativeFrom="paragraph">
                  <wp:posOffset>89145</wp:posOffset>
                </wp:positionV>
                <wp:extent cx="6012180" cy="1270"/>
                <wp:effectExtent l="0" t="0" r="0" b="0"/>
                <wp:wrapTopAndBottom/>
                <wp:docPr id="980" name="Graphic 980"/>
                <wp:cNvGraphicFramePr>
                  <a:graphicFrameLocks/>
                </wp:cNvGraphicFramePr>
                <a:graphic>
                  <a:graphicData uri="http://schemas.microsoft.com/office/word/2010/wordprocessingShape">
                    <wps:wsp>
                      <wps:cNvPr id="980" name="Graphic 98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7.019356pt;width:473.4pt;height:.1pt;mso-position-horizontal-relative:page;mso-position-vertical-relative:paragraph;z-index:-15542272;mso-wrap-distance-left:0;mso-wrap-distance-right:0" id="docshape803" coordorigin="1020,140" coordsize="9468,0" path="m1020,140l10488,140e" filled="false" stroked="true" strokeweight=".5pt" strokecolor="#36a9e1">
                <v:path arrowok="t"/>
                <v:stroke dashstyle="solid"/>
                <w10:wrap type="topAndBottom"/>
              </v:shape>
            </w:pict>
          </mc:Fallback>
        </mc:AlternateContent>
      </w:r>
    </w:p>
    <w:p>
      <w:pPr>
        <w:pStyle w:val="ListParagraph"/>
        <w:numPr>
          <w:ilvl w:val="0"/>
          <w:numId w:val="51"/>
        </w:numPr>
        <w:tabs>
          <w:tab w:pos="1287" w:val="left" w:leader="none"/>
        </w:tabs>
        <w:spacing w:line="240" w:lineRule="auto" w:before="43" w:after="0"/>
        <w:ind w:left="1287" w:right="1433" w:hanging="567"/>
        <w:jc w:val="left"/>
        <w:rPr>
          <w:sz w:val="18"/>
        </w:rPr>
      </w:pPr>
      <w:r>
        <w:rPr>
          <w:sz w:val="18"/>
        </w:rPr>
        <w:t>For further discussions on this, see</w:t>
      </w:r>
      <w:r>
        <w:rPr>
          <w:spacing w:val="-1"/>
          <w:sz w:val="18"/>
        </w:rPr>
        <w:t> </w:t>
      </w:r>
      <w:r>
        <w:rPr>
          <w:sz w:val="18"/>
        </w:rPr>
        <w:t>Eleni Frantziou and Sarah Craig, </w:t>
      </w:r>
      <w:hyperlink r:id="rId164">
        <w:r>
          <w:rPr>
            <w:color w:val="1D71B8"/>
            <w:sz w:val="18"/>
            <w:u w:val="single" w:color="1D71B8"/>
          </w:rPr>
          <w:t>‘Understanding the implications of article 2 of the</w:t>
        </w:r>
      </w:hyperlink>
      <w:r>
        <w:rPr>
          <w:color w:val="1D71B8"/>
          <w:sz w:val="18"/>
          <w:u w:val="none"/>
        </w:rPr>
        <w:t> </w:t>
      </w:r>
      <w:hyperlink r:id="rId164">
        <w:r>
          <w:rPr>
            <w:color w:val="1D71B8"/>
            <w:sz w:val="18"/>
            <w:u w:val="single" w:color="1D71B8"/>
          </w:rPr>
          <w:t>Northern</w:t>
        </w:r>
        <w:r>
          <w:rPr>
            <w:color w:val="1D71B8"/>
            <w:spacing w:val="-6"/>
            <w:sz w:val="18"/>
            <w:u w:val="single" w:color="1D71B8"/>
          </w:rPr>
          <w:t> </w:t>
        </w:r>
        <w:r>
          <w:rPr>
            <w:color w:val="1D71B8"/>
            <w:sz w:val="18"/>
            <w:u w:val="single" w:color="1D71B8"/>
          </w:rPr>
          <w:t>Ireland</w:t>
        </w:r>
        <w:r>
          <w:rPr>
            <w:color w:val="1D71B8"/>
            <w:spacing w:val="-6"/>
            <w:sz w:val="18"/>
            <w:u w:val="single" w:color="1D71B8"/>
          </w:rPr>
          <w:t> </w:t>
        </w:r>
        <w:r>
          <w:rPr>
            <w:color w:val="1D71B8"/>
            <w:sz w:val="18"/>
            <w:u w:val="single" w:color="1D71B8"/>
          </w:rPr>
          <w:t>Protocol</w:t>
        </w:r>
        <w:r>
          <w:rPr>
            <w:color w:val="1D71B8"/>
            <w:spacing w:val="-6"/>
            <w:sz w:val="18"/>
            <w:u w:val="single" w:color="1D71B8"/>
          </w:rPr>
          <w:t> </w:t>
        </w:r>
        <w:r>
          <w:rPr>
            <w:color w:val="1D71B8"/>
            <w:sz w:val="18"/>
            <w:u w:val="single" w:color="1D71B8"/>
          </w:rPr>
          <w:t>in</w:t>
        </w:r>
        <w:r>
          <w:rPr>
            <w:color w:val="1D71B8"/>
            <w:spacing w:val="-6"/>
            <w:sz w:val="18"/>
            <w:u w:val="single" w:color="1D71B8"/>
          </w:rPr>
          <w:t> </w:t>
        </w:r>
        <w:r>
          <w:rPr>
            <w:color w:val="1D71B8"/>
            <w:sz w:val="18"/>
            <w:u w:val="single" w:color="1D71B8"/>
          </w:rPr>
          <w:t>the</w:t>
        </w:r>
        <w:r>
          <w:rPr>
            <w:color w:val="1D71B8"/>
            <w:spacing w:val="-5"/>
            <w:sz w:val="18"/>
            <w:u w:val="single" w:color="1D71B8"/>
          </w:rPr>
          <w:t> </w:t>
        </w:r>
        <w:r>
          <w:rPr>
            <w:color w:val="1D71B8"/>
            <w:sz w:val="18"/>
            <w:u w:val="single" w:color="1D71B8"/>
          </w:rPr>
          <w:t>context</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EU</w:t>
        </w:r>
        <w:r>
          <w:rPr>
            <w:color w:val="1D71B8"/>
            <w:spacing w:val="-5"/>
            <w:sz w:val="18"/>
            <w:u w:val="single" w:color="1D71B8"/>
          </w:rPr>
          <w:t> </w:t>
        </w:r>
        <w:r>
          <w:rPr>
            <w:color w:val="1D71B8"/>
            <w:sz w:val="18"/>
            <w:u w:val="single" w:color="1D71B8"/>
          </w:rPr>
          <w:t>case</w:t>
        </w:r>
        <w:r>
          <w:rPr>
            <w:color w:val="1D71B8"/>
            <w:spacing w:val="-5"/>
            <w:sz w:val="18"/>
            <w:u w:val="single" w:color="1D71B8"/>
          </w:rPr>
          <w:t> </w:t>
        </w:r>
        <w:r>
          <w:rPr>
            <w:color w:val="1D71B8"/>
            <w:sz w:val="18"/>
            <w:u w:val="single" w:color="1D71B8"/>
          </w:rPr>
          <w:t>law</w:t>
        </w:r>
        <w:r>
          <w:rPr>
            <w:color w:val="1D71B8"/>
            <w:spacing w:val="-5"/>
            <w:sz w:val="18"/>
            <w:u w:val="single" w:color="1D71B8"/>
          </w:rPr>
          <w:t> </w:t>
        </w:r>
        <w:r>
          <w:rPr>
            <w:color w:val="1D71B8"/>
            <w:sz w:val="18"/>
            <w:u w:val="single" w:color="1D71B8"/>
          </w:rPr>
          <w:t>developments’</w:t>
        </w:r>
      </w:hyperlink>
      <w:r>
        <w:rPr>
          <w:sz w:val="18"/>
          <w:u w:val="none"/>
        </w:rPr>
        <w:t>,</w:t>
      </w:r>
      <w:r>
        <w:rPr>
          <w:spacing w:val="-5"/>
          <w:sz w:val="18"/>
          <w:u w:val="none"/>
        </w:rPr>
        <w:t> </w:t>
      </w:r>
      <w:r>
        <w:rPr>
          <w:sz w:val="18"/>
          <w:u w:val="none"/>
        </w:rPr>
        <w:t>(2022)</w:t>
      </w:r>
      <w:r>
        <w:rPr>
          <w:spacing w:val="-6"/>
          <w:sz w:val="18"/>
          <w:u w:val="none"/>
        </w:rPr>
        <w:t> </w:t>
      </w:r>
      <w:r>
        <w:rPr>
          <w:sz w:val="18"/>
          <w:u w:val="none"/>
        </w:rPr>
        <w:t>73</w:t>
      </w:r>
      <w:r>
        <w:rPr>
          <w:spacing w:val="-5"/>
          <w:sz w:val="18"/>
          <w:u w:val="none"/>
        </w:rPr>
        <w:t> </w:t>
      </w:r>
      <w:r>
        <w:rPr>
          <w:sz w:val="18"/>
          <w:u w:val="none"/>
        </w:rPr>
        <w:t>Northern</w:t>
      </w:r>
      <w:r>
        <w:rPr>
          <w:spacing w:val="-6"/>
          <w:sz w:val="18"/>
          <w:u w:val="none"/>
        </w:rPr>
        <w:t> </w:t>
      </w:r>
      <w:r>
        <w:rPr>
          <w:sz w:val="18"/>
          <w:u w:val="none"/>
        </w:rPr>
        <w:t>Ireland</w:t>
      </w:r>
      <w:r>
        <w:rPr>
          <w:spacing w:val="-6"/>
          <w:sz w:val="18"/>
          <w:u w:val="none"/>
        </w:rPr>
        <w:t> </w:t>
      </w:r>
      <w:r>
        <w:rPr>
          <w:sz w:val="18"/>
          <w:u w:val="none"/>
        </w:rPr>
        <w:t>Legal</w:t>
      </w:r>
      <w:r>
        <w:rPr>
          <w:spacing w:val="-6"/>
          <w:sz w:val="18"/>
          <w:u w:val="none"/>
        </w:rPr>
        <w:t> </w:t>
      </w:r>
      <w:r>
        <w:rPr>
          <w:sz w:val="18"/>
          <w:u w:val="none"/>
        </w:rPr>
        <w:t>Quarterly</w:t>
      </w:r>
      <w:r>
        <w:rPr>
          <w:spacing w:val="-5"/>
          <w:sz w:val="18"/>
          <w:u w:val="none"/>
        </w:rPr>
        <w:t> </w:t>
      </w:r>
      <w:r>
        <w:rPr>
          <w:sz w:val="18"/>
          <w:u w:val="none"/>
        </w:rPr>
        <w:t>65.</w:t>
      </w:r>
    </w:p>
    <w:p>
      <w:pPr>
        <w:spacing w:after="0" w:line="240" w:lineRule="auto"/>
        <w:jc w:val="left"/>
        <w:rPr>
          <w:sz w:val="18"/>
        </w:rPr>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bookmarkStart w:name="6.3.4.1 Thematic Area: Employment, Pensi" w:id="193"/>
      <w:bookmarkEnd w:id="193"/>
      <w:r>
        <w:rPr/>
      </w:r>
      <w:bookmarkStart w:name="_bookmark80" w:id="194"/>
      <w:bookmarkEnd w:id="194"/>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121</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092928">
                <wp:simplePos x="0" y="0"/>
                <wp:positionH relativeFrom="page">
                  <wp:posOffset>-2</wp:posOffset>
                </wp:positionH>
                <wp:positionV relativeFrom="page">
                  <wp:posOffset>0</wp:posOffset>
                </wp:positionV>
                <wp:extent cx="7560309" cy="1155065"/>
                <wp:effectExtent l="0" t="0" r="0" b="0"/>
                <wp:wrapNone/>
                <wp:docPr id="981" name="Group 981"/>
                <wp:cNvGraphicFramePr>
                  <a:graphicFrameLocks/>
                </wp:cNvGraphicFramePr>
                <a:graphic>
                  <a:graphicData uri="http://schemas.microsoft.com/office/word/2010/wordprocessingGroup">
                    <wpg:wgp>
                      <wpg:cNvPr id="981" name="Group 981"/>
                      <wpg:cNvGrpSpPr/>
                      <wpg:grpSpPr>
                        <a:xfrm>
                          <a:off x="0" y="0"/>
                          <a:ext cx="7560309" cy="1155065"/>
                          <a:chExt cx="7560309" cy="1155065"/>
                        </a:xfrm>
                      </wpg:grpSpPr>
                      <wps:wsp>
                        <wps:cNvPr id="982" name="Graphic 982"/>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983" name="Graphic 983"/>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23552" id="docshapegroup804" coordorigin="0,0" coordsize="11906,1819">
                <v:shape style="position:absolute;left:0;top:0;width:11906;height:1819" id="docshape80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39"/>
        <w:rPr>
          <w:b/>
        </w:rPr>
      </w:pPr>
    </w:p>
    <w:p>
      <w:pPr>
        <w:pStyle w:val="ListParagraph"/>
        <w:numPr>
          <w:ilvl w:val="3"/>
          <w:numId w:val="52"/>
        </w:numPr>
        <w:tabs>
          <w:tab w:pos="1960" w:val="left" w:leader="none"/>
        </w:tabs>
        <w:spacing w:line="240" w:lineRule="auto" w:before="0" w:after="0"/>
        <w:ind w:left="1117" w:right="1131" w:firstLine="0"/>
        <w:jc w:val="left"/>
        <w:rPr>
          <w:sz w:val="28"/>
        </w:rPr>
      </w:pPr>
      <w:r>
        <w:rPr>
          <w:color w:val="004A93"/>
          <w:sz w:val="28"/>
        </w:rPr>
        <w:t>Thematic</w:t>
      </w:r>
      <w:r>
        <w:rPr>
          <w:color w:val="004A93"/>
          <w:spacing w:val="-6"/>
          <w:sz w:val="28"/>
        </w:rPr>
        <w:t> </w:t>
      </w:r>
      <w:r>
        <w:rPr>
          <w:color w:val="004A93"/>
          <w:sz w:val="28"/>
        </w:rPr>
        <w:t>Area:</w:t>
      </w:r>
      <w:r>
        <w:rPr>
          <w:color w:val="004A93"/>
          <w:spacing w:val="-6"/>
          <w:sz w:val="28"/>
        </w:rPr>
        <w:t> </w:t>
      </w:r>
      <w:r>
        <w:rPr>
          <w:color w:val="004A93"/>
          <w:sz w:val="28"/>
        </w:rPr>
        <w:t>Employment,</w:t>
      </w:r>
      <w:r>
        <w:rPr>
          <w:color w:val="004A93"/>
          <w:spacing w:val="-6"/>
          <w:sz w:val="28"/>
        </w:rPr>
        <w:t> </w:t>
      </w:r>
      <w:r>
        <w:rPr>
          <w:color w:val="004A93"/>
          <w:sz w:val="28"/>
        </w:rPr>
        <w:t>Pensions</w:t>
      </w:r>
      <w:r>
        <w:rPr>
          <w:color w:val="004A93"/>
          <w:spacing w:val="-7"/>
          <w:sz w:val="28"/>
        </w:rPr>
        <w:t> </w:t>
      </w:r>
      <w:r>
        <w:rPr>
          <w:color w:val="004A93"/>
          <w:sz w:val="28"/>
        </w:rPr>
        <w:t>and</w:t>
      </w:r>
      <w:r>
        <w:rPr>
          <w:color w:val="004A93"/>
          <w:spacing w:val="-7"/>
          <w:sz w:val="28"/>
        </w:rPr>
        <w:t> </w:t>
      </w:r>
      <w:r>
        <w:rPr>
          <w:color w:val="004A93"/>
          <w:sz w:val="28"/>
        </w:rPr>
        <w:t>Social</w:t>
      </w:r>
      <w:r>
        <w:rPr>
          <w:color w:val="004A93"/>
          <w:spacing w:val="-7"/>
          <w:sz w:val="28"/>
        </w:rPr>
        <w:t> </w:t>
      </w:r>
      <w:r>
        <w:rPr>
          <w:color w:val="004A93"/>
          <w:sz w:val="28"/>
        </w:rPr>
        <w:t>Security</w:t>
      </w:r>
      <w:r>
        <w:rPr>
          <w:color w:val="004A93"/>
          <w:spacing w:val="-6"/>
          <w:sz w:val="28"/>
        </w:rPr>
        <w:t> </w:t>
      </w:r>
      <w:r>
        <w:rPr>
          <w:color w:val="004A93"/>
          <w:sz w:val="28"/>
        </w:rPr>
        <w:t>with</w:t>
      </w:r>
      <w:r>
        <w:rPr>
          <w:color w:val="004A93"/>
          <w:spacing w:val="-7"/>
          <w:sz w:val="28"/>
        </w:rPr>
        <w:t> </w:t>
      </w:r>
      <w:r>
        <w:rPr>
          <w:color w:val="004A93"/>
          <w:sz w:val="28"/>
        </w:rPr>
        <w:t>a</w:t>
      </w:r>
      <w:r>
        <w:rPr>
          <w:color w:val="004A93"/>
          <w:spacing w:val="-7"/>
          <w:sz w:val="28"/>
        </w:rPr>
        <w:t> </w:t>
      </w:r>
      <w:r>
        <w:rPr>
          <w:color w:val="004A93"/>
          <w:sz w:val="28"/>
        </w:rPr>
        <w:t>specific focus on age discrimination</w:t>
      </w:r>
    </w:p>
    <w:p>
      <w:pPr>
        <w:spacing w:line="240" w:lineRule="auto" w:before="0"/>
        <w:ind w:left="1117" w:right="428" w:firstLine="0"/>
        <w:jc w:val="left"/>
        <w:rPr>
          <w:sz w:val="27"/>
        </w:rPr>
      </w:pPr>
      <w:r>
        <w:rPr>
          <w:sz w:val="27"/>
        </w:rPr>
        <w:t>Significant development within the CJEU case law within the defined date and parameters</w:t>
      </w:r>
      <w:r>
        <w:rPr>
          <w:spacing w:val="-5"/>
          <w:sz w:val="27"/>
        </w:rPr>
        <w:t> </w:t>
      </w:r>
      <w:r>
        <w:rPr>
          <w:sz w:val="27"/>
        </w:rPr>
        <w:t>has</w:t>
      </w:r>
      <w:r>
        <w:rPr>
          <w:spacing w:val="-5"/>
          <w:sz w:val="27"/>
        </w:rPr>
        <w:t> </w:t>
      </w:r>
      <w:r>
        <w:rPr>
          <w:sz w:val="27"/>
        </w:rPr>
        <w:t>been</w:t>
      </w:r>
      <w:r>
        <w:rPr>
          <w:spacing w:val="-6"/>
          <w:sz w:val="27"/>
        </w:rPr>
        <w:t> </w:t>
      </w:r>
      <w:r>
        <w:rPr>
          <w:sz w:val="27"/>
        </w:rPr>
        <w:t>in</w:t>
      </w:r>
      <w:r>
        <w:rPr>
          <w:spacing w:val="-6"/>
          <w:sz w:val="27"/>
        </w:rPr>
        <w:t> </w:t>
      </w:r>
      <w:r>
        <w:rPr>
          <w:sz w:val="27"/>
        </w:rPr>
        <w:t>the</w:t>
      </w:r>
      <w:r>
        <w:rPr>
          <w:spacing w:val="-5"/>
          <w:sz w:val="27"/>
        </w:rPr>
        <w:t> </w:t>
      </w:r>
      <w:r>
        <w:rPr>
          <w:sz w:val="27"/>
        </w:rPr>
        <w:t>thematic</w:t>
      </w:r>
      <w:r>
        <w:rPr>
          <w:spacing w:val="-5"/>
          <w:sz w:val="27"/>
        </w:rPr>
        <w:t> </w:t>
      </w:r>
      <w:r>
        <w:rPr>
          <w:sz w:val="27"/>
        </w:rPr>
        <w:t>area</w:t>
      </w:r>
      <w:r>
        <w:rPr>
          <w:spacing w:val="-5"/>
          <w:sz w:val="27"/>
        </w:rPr>
        <w:t> </w:t>
      </w:r>
      <w:r>
        <w:rPr>
          <w:sz w:val="27"/>
        </w:rPr>
        <w:t>of</w:t>
      </w:r>
      <w:r>
        <w:rPr>
          <w:spacing w:val="-5"/>
          <w:sz w:val="27"/>
        </w:rPr>
        <w:t> </w:t>
      </w:r>
      <w:r>
        <w:rPr>
          <w:sz w:val="27"/>
        </w:rPr>
        <w:t>employment,</w:t>
      </w:r>
      <w:r>
        <w:rPr>
          <w:spacing w:val="-5"/>
          <w:sz w:val="27"/>
        </w:rPr>
        <w:t> </w:t>
      </w:r>
      <w:r>
        <w:rPr>
          <w:sz w:val="27"/>
        </w:rPr>
        <w:t>pensions,</w:t>
      </w:r>
      <w:r>
        <w:rPr>
          <w:spacing w:val="-5"/>
          <w:sz w:val="27"/>
        </w:rPr>
        <w:t> </w:t>
      </w:r>
      <w:r>
        <w:rPr>
          <w:sz w:val="27"/>
        </w:rPr>
        <w:t>and</w:t>
      </w:r>
      <w:r>
        <w:rPr>
          <w:spacing w:val="-6"/>
          <w:sz w:val="27"/>
        </w:rPr>
        <w:t> </w:t>
      </w:r>
      <w:r>
        <w:rPr>
          <w:sz w:val="27"/>
        </w:rPr>
        <w:t>social</w:t>
      </w:r>
      <w:r>
        <w:rPr>
          <w:spacing w:val="-6"/>
          <w:sz w:val="27"/>
        </w:rPr>
        <w:t> </w:t>
      </w:r>
      <w:r>
        <w:rPr>
          <w:sz w:val="27"/>
        </w:rPr>
        <w:t>security.</w:t>
      </w:r>
    </w:p>
    <w:p>
      <w:pPr>
        <w:spacing w:before="281"/>
        <w:ind w:left="1117" w:right="761" w:firstLine="0"/>
        <w:jc w:val="left"/>
        <w:rPr>
          <w:sz w:val="27"/>
        </w:rPr>
      </w:pPr>
      <w:r>
        <w:rPr>
          <w:sz w:val="27"/>
        </w:rPr>
        <w:t>In </w:t>
      </w:r>
      <w:r>
        <w:rPr>
          <w:b/>
          <w:i/>
          <w:sz w:val="27"/>
        </w:rPr>
        <w:t>BVAEB </w:t>
      </w:r>
      <w:r>
        <w:rPr>
          <w:i/>
          <w:sz w:val="27"/>
        </w:rPr>
        <w:t>(Adjustment of retirement pensions)</w:t>
      </w:r>
      <w:r>
        <w:rPr>
          <w:sz w:val="27"/>
          <w:vertAlign w:val="superscript"/>
        </w:rPr>
        <w:t>623</w:t>
      </w:r>
      <w:r>
        <w:rPr>
          <w:sz w:val="27"/>
          <w:vertAlign w:val="baseline"/>
        </w:rPr>
        <w:t> and </w:t>
      </w:r>
      <w:r>
        <w:rPr>
          <w:b/>
          <w:i/>
          <w:sz w:val="27"/>
          <w:vertAlign w:val="baseline"/>
        </w:rPr>
        <w:t>BVAEB </w:t>
      </w:r>
      <w:r>
        <w:rPr>
          <w:i/>
          <w:sz w:val="27"/>
          <w:vertAlign w:val="baseline"/>
        </w:rPr>
        <w:t>(Amount of retirement</w:t>
      </w:r>
      <w:r>
        <w:rPr>
          <w:i/>
          <w:sz w:val="27"/>
          <w:vertAlign w:val="baseline"/>
        </w:rPr>
        <w:t> pensions)</w:t>
      </w:r>
      <w:r>
        <w:rPr>
          <w:sz w:val="27"/>
          <w:vertAlign w:val="superscript"/>
        </w:rPr>
        <w:t>624</w:t>
      </w:r>
      <w:r>
        <w:rPr>
          <w:sz w:val="27"/>
          <w:vertAlign w:val="baseline"/>
        </w:rPr>
        <w:t> </w:t>
      </w:r>
      <w:r>
        <w:rPr>
          <w:i/>
          <w:sz w:val="27"/>
          <w:vertAlign w:val="baseline"/>
        </w:rPr>
        <w:t>decisions </w:t>
      </w:r>
      <w:r>
        <w:rPr>
          <w:sz w:val="27"/>
          <w:vertAlign w:val="baseline"/>
        </w:rPr>
        <w:t>were delivered within one week of one another on 20 April</w:t>
      </w:r>
      <w:r>
        <w:rPr>
          <w:spacing w:val="80"/>
          <w:sz w:val="27"/>
          <w:vertAlign w:val="baseline"/>
        </w:rPr>
        <w:t> </w:t>
      </w:r>
      <w:r>
        <w:rPr>
          <w:sz w:val="27"/>
          <w:vertAlign w:val="baseline"/>
        </w:rPr>
        <w:t>2023 and 27 April 2023 respectively. Both of which stemmed from a series of reforms to the Austrian pension systems for public/civil servants which was introduced to</w:t>
      </w:r>
      <w:r>
        <w:rPr>
          <w:spacing w:val="40"/>
          <w:sz w:val="27"/>
          <w:vertAlign w:val="baseline"/>
        </w:rPr>
        <w:t> </w:t>
      </w:r>
      <w:r>
        <w:rPr>
          <w:sz w:val="27"/>
          <w:vertAlign w:val="baseline"/>
        </w:rPr>
        <w:t>those born after 1 January 1955 and raised questions for the Court in remedying potential age discrimination within the context of pension entitlements.</w:t>
      </w:r>
    </w:p>
    <w:p>
      <w:pPr>
        <w:spacing w:before="286"/>
        <w:ind w:left="1117" w:right="738" w:firstLine="0"/>
        <w:jc w:val="left"/>
        <w:rPr>
          <w:sz w:val="27"/>
        </w:rPr>
      </w:pPr>
      <w:r>
        <w:rPr>
          <w:sz w:val="27"/>
        </w:rPr>
        <w:t>In</w:t>
      </w:r>
      <w:r>
        <w:rPr>
          <w:spacing w:val="25"/>
          <w:sz w:val="27"/>
        </w:rPr>
        <w:t> </w:t>
      </w:r>
      <w:r>
        <w:rPr>
          <w:i/>
          <w:sz w:val="27"/>
        </w:rPr>
        <w:t>BVAEB</w:t>
      </w:r>
      <w:r>
        <w:rPr>
          <w:i/>
          <w:spacing w:val="25"/>
          <w:sz w:val="27"/>
        </w:rPr>
        <w:t> </w:t>
      </w:r>
      <w:r>
        <w:rPr>
          <w:i/>
          <w:sz w:val="27"/>
        </w:rPr>
        <w:t>(Adjustment</w:t>
      </w:r>
      <w:r>
        <w:rPr>
          <w:i/>
          <w:spacing w:val="25"/>
          <w:sz w:val="27"/>
        </w:rPr>
        <w:t> </w:t>
      </w:r>
      <w:r>
        <w:rPr>
          <w:i/>
          <w:sz w:val="27"/>
        </w:rPr>
        <w:t>of</w:t>
      </w:r>
      <w:r>
        <w:rPr>
          <w:i/>
          <w:spacing w:val="25"/>
          <w:sz w:val="27"/>
        </w:rPr>
        <w:t> </w:t>
      </w:r>
      <w:r>
        <w:rPr>
          <w:i/>
          <w:sz w:val="27"/>
        </w:rPr>
        <w:t>retirement</w:t>
      </w:r>
      <w:r>
        <w:rPr>
          <w:i/>
          <w:spacing w:val="25"/>
          <w:sz w:val="27"/>
        </w:rPr>
        <w:t> </w:t>
      </w:r>
      <w:r>
        <w:rPr>
          <w:i/>
          <w:sz w:val="27"/>
        </w:rPr>
        <w:t>pensions)</w:t>
      </w:r>
      <w:r>
        <w:rPr>
          <w:i/>
          <w:spacing w:val="25"/>
          <w:sz w:val="27"/>
        </w:rPr>
        <w:t> </w:t>
      </w:r>
      <w:r>
        <w:rPr>
          <w:sz w:val="27"/>
        </w:rPr>
        <w:t>the</w:t>
      </w:r>
      <w:r>
        <w:rPr>
          <w:spacing w:val="25"/>
          <w:sz w:val="27"/>
        </w:rPr>
        <w:t> </w:t>
      </w:r>
      <w:r>
        <w:rPr>
          <w:sz w:val="27"/>
        </w:rPr>
        <w:t>Court</w:t>
      </w:r>
      <w:r>
        <w:rPr>
          <w:spacing w:val="25"/>
          <w:sz w:val="27"/>
        </w:rPr>
        <w:t> </w:t>
      </w:r>
      <w:r>
        <w:rPr>
          <w:sz w:val="27"/>
        </w:rPr>
        <w:t>ultimately</w:t>
      </w:r>
      <w:r>
        <w:rPr>
          <w:spacing w:val="25"/>
          <w:sz w:val="27"/>
        </w:rPr>
        <w:t> </w:t>
      </w:r>
      <w:r>
        <w:rPr>
          <w:sz w:val="27"/>
        </w:rPr>
        <w:t>held</w:t>
      </w:r>
      <w:r>
        <w:rPr>
          <w:spacing w:val="25"/>
          <w:sz w:val="27"/>
        </w:rPr>
        <w:t> </w:t>
      </w:r>
      <w:r>
        <w:rPr>
          <w:sz w:val="27"/>
        </w:rPr>
        <w:t>that</w:t>
      </w:r>
      <w:r>
        <w:rPr>
          <w:spacing w:val="25"/>
          <w:sz w:val="27"/>
        </w:rPr>
        <w:t> </w:t>
      </w:r>
      <w:r>
        <w:rPr>
          <w:sz w:val="27"/>
        </w:rPr>
        <w:t>there was no discrimination with the national scheme insofar as ‘the national legislation at issue in the main proceedings is capable of pursuing legitimate social policy objectives wholly unrelated to any discrimination based on age’.</w:t>
      </w:r>
      <w:r>
        <w:rPr>
          <w:sz w:val="27"/>
          <w:vertAlign w:val="superscript"/>
        </w:rPr>
        <w:t>625</w:t>
      </w:r>
      <w:r>
        <w:rPr>
          <w:sz w:val="27"/>
          <w:vertAlign w:val="baseline"/>
        </w:rPr>
        <w:t> This related specifically to different time periods for pension entitlement under the new reformed scheme.</w:t>
      </w:r>
    </w:p>
    <w:p>
      <w:pPr>
        <w:spacing w:before="285"/>
        <w:ind w:left="1117" w:right="670" w:firstLine="0"/>
        <w:jc w:val="left"/>
        <w:rPr>
          <w:sz w:val="27"/>
        </w:rPr>
      </w:pPr>
      <w:r>
        <w:rPr>
          <w:sz w:val="27"/>
        </w:rPr>
        <w:t>Conversely, the Court in </w:t>
      </w:r>
      <w:r>
        <w:rPr>
          <w:i/>
          <w:sz w:val="27"/>
        </w:rPr>
        <w:t>BVAEB (Amount of retirement pensions)</w:t>
      </w:r>
      <w:r>
        <w:rPr>
          <w:sz w:val="27"/>
        </w:rPr>
        <w:t>, in a complex judgment, held that where retrospective action is taken in the form of reducing</w:t>
      </w:r>
      <w:r>
        <w:rPr>
          <w:spacing w:val="40"/>
          <w:sz w:val="27"/>
        </w:rPr>
        <w:t> </w:t>
      </w:r>
      <w:r>
        <w:rPr>
          <w:sz w:val="27"/>
        </w:rPr>
        <w:t>pension entitlements this can be precluded by the terms of Directive 2000/78/EC. The Court</w:t>
      </w:r>
      <w:r>
        <w:rPr>
          <w:spacing w:val="27"/>
          <w:sz w:val="27"/>
        </w:rPr>
        <w:t> </w:t>
      </w:r>
      <w:r>
        <w:rPr>
          <w:sz w:val="27"/>
        </w:rPr>
        <w:t>further</w:t>
      </w:r>
      <w:r>
        <w:rPr>
          <w:spacing w:val="27"/>
          <w:sz w:val="27"/>
        </w:rPr>
        <w:t> </w:t>
      </w:r>
      <w:r>
        <w:rPr>
          <w:sz w:val="27"/>
        </w:rPr>
        <w:t>clarified</w:t>
      </w:r>
      <w:r>
        <w:rPr>
          <w:spacing w:val="27"/>
          <w:sz w:val="27"/>
        </w:rPr>
        <w:t> </w:t>
      </w:r>
      <w:r>
        <w:rPr>
          <w:sz w:val="27"/>
        </w:rPr>
        <w:t>that</w:t>
      </w:r>
      <w:r>
        <w:rPr>
          <w:spacing w:val="27"/>
          <w:sz w:val="27"/>
        </w:rPr>
        <w:t> </w:t>
      </w:r>
      <w:r>
        <w:rPr>
          <w:sz w:val="27"/>
        </w:rPr>
        <w:t>‘a</w:t>
      </w:r>
      <w:r>
        <w:rPr>
          <w:spacing w:val="27"/>
          <w:sz w:val="27"/>
        </w:rPr>
        <w:t> </w:t>
      </w:r>
      <w:r>
        <w:rPr>
          <w:sz w:val="27"/>
        </w:rPr>
        <w:t>measure</w:t>
      </w:r>
      <w:r>
        <w:rPr>
          <w:spacing w:val="27"/>
          <w:sz w:val="27"/>
        </w:rPr>
        <w:t> </w:t>
      </w:r>
      <w:r>
        <w:rPr>
          <w:sz w:val="27"/>
        </w:rPr>
        <w:t>implementing</w:t>
      </w:r>
      <w:r>
        <w:rPr>
          <w:spacing w:val="27"/>
          <w:sz w:val="27"/>
        </w:rPr>
        <w:t> </w:t>
      </w:r>
      <w:r>
        <w:rPr>
          <w:sz w:val="27"/>
        </w:rPr>
        <w:t>EU</w:t>
      </w:r>
      <w:r>
        <w:rPr>
          <w:spacing w:val="27"/>
          <w:sz w:val="27"/>
        </w:rPr>
        <w:t> </w:t>
      </w:r>
      <w:r>
        <w:rPr>
          <w:sz w:val="27"/>
        </w:rPr>
        <w:t>law</w:t>
      </w:r>
      <w:r>
        <w:rPr>
          <w:spacing w:val="27"/>
          <w:sz w:val="27"/>
        </w:rPr>
        <w:t> </w:t>
      </w:r>
      <w:r>
        <w:rPr>
          <w:sz w:val="27"/>
        </w:rPr>
        <w:t>may</w:t>
      </w:r>
      <w:r>
        <w:rPr>
          <w:spacing w:val="27"/>
          <w:sz w:val="27"/>
        </w:rPr>
        <w:t> </w:t>
      </w:r>
      <w:r>
        <w:rPr>
          <w:sz w:val="27"/>
        </w:rPr>
        <w:t>only</w:t>
      </w:r>
      <w:r>
        <w:rPr>
          <w:spacing w:val="27"/>
          <w:sz w:val="27"/>
        </w:rPr>
        <w:t> </w:t>
      </w:r>
      <w:r>
        <w:rPr>
          <w:sz w:val="27"/>
        </w:rPr>
        <w:t>exceptionally be given retroactive effect, where an overriding reason in the public interest so demands and where the legitimate expectations of those concerned are duly respected’.</w:t>
      </w:r>
      <w:r>
        <w:rPr>
          <w:sz w:val="27"/>
          <w:vertAlign w:val="superscript"/>
        </w:rPr>
        <w:t>626</w:t>
      </w:r>
      <w:r>
        <w:rPr>
          <w:sz w:val="27"/>
          <w:vertAlign w:val="baseline"/>
        </w:rPr>
        <w:t> The issue hinged on the fact that despite the group in question having favourable pension grounds on the basis of their age, the retrospective reduction</w:t>
      </w:r>
    </w:p>
    <w:p>
      <w:pPr>
        <w:spacing w:before="3"/>
        <w:ind w:left="1117" w:right="1087" w:firstLine="0"/>
        <w:jc w:val="left"/>
        <w:rPr>
          <w:sz w:val="27"/>
        </w:rPr>
      </w:pPr>
      <w:r>
        <w:rPr>
          <w:sz w:val="27"/>
        </w:rPr>
        <w:t>was one that was based on the age of a group of persons and ultimately was not sufficiently justified (at least before the Court).</w:t>
      </w:r>
      <w:r>
        <w:rPr>
          <w:sz w:val="27"/>
          <w:vertAlign w:val="superscript"/>
        </w:rPr>
        <w:t>627</w:t>
      </w:r>
      <w:r>
        <w:rPr>
          <w:sz w:val="27"/>
          <w:vertAlign w:val="baseline"/>
        </w:rPr>
        <w:t> As such the Court ruled that:</w:t>
      </w:r>
    </w:p>
    <w:p>
      <w:pPr>
        <w:pStyle w:val="BodyText"/>
        <w:spacing w:before="7"/>
        <w:rPr>
          <w:sz w:val="20"/>
        </w:rPr>
      </w:pPr>
      <w:r>
        <w:rPr/>
        <mc:AlternateContent>
          <mc:Choice Requires="wps">
            <w:drawing>
              <wp:anchor distT="0" distB="0" distL="0" distR="0" allowOverlap="1" layoutInCell="1" locked="0" behindDoc="1" simplePos="0" relativeHeight="487775232">
                <wp:simplePos x="0" y="0"/>
                <wp:positionH relativeFrom="page">
                  <wp:posOffset>899994</wp:posOffset>
                </wp:positionH>
                <wp:positionV relativeFrom="paragraph">
                  <wp:posOffset>174831</wp:posOffset>
                </wp:positionV>
                <wp:extent cx="6012180" cy="2070735"/>
                <wp:effectExtent l="0" t="0" r="0" b="0"/>
                <wp:wrapTopAndBottom/>
                <wp:docPr id="984" name="Group 984"/>
                <wp:cNvGraphicFramePr>
                  <a:graphicFrameLocks/>
                </wp:cNvGraphicFramePr>
                <a:graphic>
                  <a:graphicData uri="http://schemas.microsoft.com/office/word/2010/wordprocessingGroup">
                    <wpg:wgp>
                      <wpg:cNvPr id="984" name="Group 984"/>
                      <wpg:cNvGrpSpPr/>
                      <wpg:grpSpPr>
                        <a:xfrm>
                          <a:off x="0" y="0"/>
                          <a:ext cx="6012180" cy="2070735"/>
                          <a:chExt cx="6012180" cy="2070735"/>
                        </a:xfrm>
                      </wpg:grpSpPr>
                      <wps:wsp>
                        <wps:cNvPr id="985" name="Graphic 985"/>
                        <wps:cNvSpPr/>
                        <wps:spPr>
                          <a:xfrm>
                            <a:off x="0" y="0"/>
                            <a:ext cx="6012180" cy="2070735"/>
                          </a:xfrm>
                          <a:custGeom>
                            <a:avLst/>
                            <a:gdLst/>
                            <a:ahLst/>
                            <a:cxnLst/>
                            <a:rect l="l" t="t" r="r" b="b"/>
                            <a:pathLst>
                              <a:path w="6012180" h="2070735">
                                <a:moveTo>
                                  <a:pt x="5868009" y="0"/>
                                </a:moveTo>
                                <a:lnTo>
                                  <a:pt x="144005" y="0"/>
                                </a:lnTo>
                                <a:lnTo>
                                  <a:pt x="98490" y="7340"/>
                                </a:lnTo>
                                <a:lnTo>
                                  <a:pt x="58959" y="27782"/>
                                </a:lnTo>
                                <a:lnTo>
                                  <a:pt x="27785" y="58954"/>
                                </a:lnTo>
                                <a:lnTo>
                                  <a:pt x="7341" y="98485"/>
                                </a:lnTo>
                                <a:lnTo>
                                  <a:pt x="0" y="144005"/>
                                </a:lnTo>
                                <a:lnTo>
                                  <a:pt x="0" y="1926196"/>
                                </a:lnTo>
                                <a:lnTo>
                                  <a:pt x="7341" y="1971711"/>
                                </a:lnTo>
                                <a:lnTo>
                                  <a:pt x="27785" y="2011242"/>
                                </a:lnTo>
                                <a:lnTo>
                                  <a:pt x="58959" y="2042415"/>
                                </a:lnTo>
                                <a:lnTo>
                                  <a:pt x="98490" y="2062859"/>
                                </a:lnTo>
                                <a:lnTo>
                                  <a:pt x="144005" y="2070201"/>
                                </a:lnTo>
                                <a:lnTo>
                                  <a:pt x="5868009" y="2070201"/>
                                </a:lnTo>
                                <a:lnTo>
                                  <a:pt x="5913523" y="2062859"/>
                                </a:lnTo>
                                <a:lnTo>
                                  <a:pt x="5953050" y="2042415"/>
                                </a:lnTo>
                                <a:lnTo>
                                  <a:pt x="5984220" y="2011242"/>
                                </a:lnTo>
                                <a:lnTo>
                                  <a:pt x="6004661" y="1971711"/>
                                </a:lnTo>
                                <a:lnTo>
                                  <a:pt x="6012002" y="19261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986" name="Textbox 986"/>
                        <wps:cNvSpPr txBox="1"/>
                        <wps:spPr>
                          <a:xfrm>
                            <a:off x="0" y="0"/>
                            <a:ext cx="6012180" cy="2070735"/>
                          </a:xfrm>
                          <a:prstGeom prst="rect">
                            <a:avLst/>
                          </a:prstGeom>
                        </wps:spPr>
                        <wps:txbx>
                          <w:txbxContent>
                            <w:p>
                              <w:pPr>
                                <w:spacing w:line="232" w:lineRule="auto" w:before="121"/>
                                <w:ind w:left="340" w:right="321" w:firstLine="0"/>
                                <w:jc w:val="left"/>
                                <w:rPr>
                                  <w:sz w:val="28"/>
                                </w:rPr>
                              </w:pPr>
                              <w:r>
                                <w:rPr>
                                  <w:color w:val="164194"/>
                                  <w:sz w:val="28"/>
                                </w:rPr>
                                <w:t>‘In the light of the foregoing considerations, the answer to the question raised</w:t>
                              </w:r>
                              <w:r>
                                <w:rPr>
                                  <w:color w:val="164194"/>
                                  <w:spacing w:val="-6"/>
                                  <w:sz w:val="28"/>
                                </w:rPr>
                                <w:t> </w:t>
                              </w:r>
                              <w:r>
                                <w:rPr>
                                  <w:color w:val="164194"/>
                                  <w:sz w:val="28"/>
                                </w:rPr>
                                <w:t>is</w:t>
                              </w:r>
                              <w:r>
                                <w:rPr>
                                  <w:color w:val="164194"/>
                                  <w:spacing w:val="-6"/>
                                  <w:sz w:val="28"/>
                                </w:rPr>
                                <w:t> </w:t>
                              </w:r>
                              <w:r>
                                <w:rPr>
                                  <w:color w:val="164194"/>
                                  <w:sz w:val="28"/>
                                </w:rPr>
                                <w:t>that</w:t>
                              </w:r>
                              <w:r>
                                <w:rPr>
                                  <w:color w:val="164194"/>
                                  <w:spacing w:val="-5"/>
                                  <w:sz w:val="28"/>
                                </w:rPr>
                                <w:t> </w:t>
                              </w:r>
                              <w:r>
                                <w:rPr>
                                  <w:color w:val="164194"/>
                                  <w:sz w:val="28"/>
                                </w:rPr>
                                <w:t>Article</w:t>
                              </w:r>
                              <w:r>
                                <w:rPr>
                                  <w:color w:val="164194"/>
                                  <w:spacing w:val="-5"/>
                                  <w:sz w:val="28"/>
                                </w:rPr>
                                <w:t> </w:t>
                              </w:r>
                              <w:r>
                                <w:rPr>
                                  <w:color w:val="164194"/>
                                  <w:sz w:val="28"/>
                                </w:rPr>
                                <w:t>2(1)</w:t>
                              </w:r>
                              <w:r>
                                <w:rPr>
                                  <w:color w:val="164194"/>
                                  <w:spacing w:val="-6"/>
                                  <w:sz w:val="28"/>
                                </w:rPr>
                                <w:t> </w:t>
                              </w:r>
                              <w:r>
                                <w:rPr>
                                  <w:color w:val="164194"/>
                                  <w:sz w:val="28"/>
                                </w:rPr>
                                <w:t>and</w:t>
                              </w:r>
                              <w:r>
                                <w:rPr>
                                  <w:color w:val="164194"/>
                                  <w:spacing w:val="-6"/>
                                  <w:sz w:val="28"/>
                                </w:rPr>
                                <w:t> </w:t>
                              </w:r>
                              <w:r>
                                <w:rPr>
                                  <w:color w:val="164194"/>
                                  <w:sz w:val="28"/>
                                </w:rPr>
                                <w:t>(2)(a)</w:t>
                              </w:r>
                              <w:r>
                                <w:rPr>
                                  <w:color w:val="164194"/>
                                  <w:spacing w:val="-6"/>
                                  <w:sz w:val="28"/>
                                </w:rPr>
                                <w:t> </w:t>
                              </w:r>
                              <w:r>
                                <w:rPr>
                                  <w:color w:val="164194"/>
                                  <w:sz w:val="28"/>
                                </w:rPr>
                                <w:t>and</w:t>
                              </w:r>
                              <w:r>
                                <w:rPr>
                                  <w:color w:val="164194"/>
                                  <w:spacing w:val="-6"/>
                                  <w:sz w:val="28"/>
                                </w:rPr>
                                <w:t> </w:t>
                              </w:r>
                              <w:r>
                                <w:rPr>
                                  <w:color w:val="164194"/>
                                  <w:sz w:val="28"/>
                                </w:rPr>
                                <w:t>Article</w:t>
                              </w:r>
                              <w:r>
                                <w:rPr>
                                  <w:color w:val="164194"/>
                                  <w:spacing w:val="-5"/>
                                  <w:sz w:val="28"/>
                                </w:rPr>
                                <w:t> </w:t>
                              </w:r>
                              <w:r>
                                <w:rPr>
                                  <w:color w:val="164194"/>
                                  <w:sz w:val="28"/>
                                </w:rPr>
                                <w:t>6(1)</w:t>
                              </w:r>
                              <w:r>
                                <w:rPr>
                                  <w:color w:val="164194"/>
                                  <w:spacing w:val="-6"/>
                                  <w:sz w:val="28"/>
                                </w:rPr>
                                <w:t> </w:t>
                              </w:r>
                              <w:r>
                                <w:rPr>
                                  <w:color w:val="164194"/>
                                  <w:sz w:val="28"/>
                                </w:rPr>
                                <w:t>of</w:t>
                              </w:r>
                              <w:r>
                                <w:rPr>
                                  <w:color w:val="164194"/>
                                  <w:spacing w:val="-6"/>
                                  <w:sz w:val="28"/>
                                </w:rPr>
                                <w:t> </w:t>
                              </w:r>
                              <w:r>
                                <w:rPr>
                                  <w:color w:val="164194"/>
                                  <w:sz w:val="28"/>
                                </w:rPr>
                                <w:t>Directive</w:t>
                              </w:r>
                              <w:r>
                                <w:rPr>
                                  <w:color w:val="164194"/>
                                  <w:spacing w:val="-5"/>
                                  <w:sz w:val="28"/>
                                </w:rPr>
                                <w:t> </w:t>
                              </w:r>
                              <w:r>
                                <w:rPr>
                                  <w:color w:val="164194"/>
                                  <w:sz w:val="28"/>
                                </w:rPr>
                                <w:t>2000/78</w:t>
                              </w:r>
                              <w:r>
                                <w:rPr>
                                  <w:color w:val="164194"/>
                                  <w:spacing w:val="-5"/>
                                  <w:sz w:val="28"/>
                                </w:rPr>
                                <w:t> </w:t>
                              </w:r>
                              <w:r>
                                <w:rPr>
                                  <w:color w:val="164194"/>
                                  <w:sz w:val="28"/>
                                </w:rPr>
                                <w:t>must be interpreted as precluding, in the absence of an overriding reason in the public interest, national legislation which, in order to end discrimination on grounds of age, provides for the retirement pension scheme for a category</w:t>
                              </w:r>
                            </w:p>
                            <w:p>
                              <w:pPr>
                                <w:spacing w:line="232" w:lineRule="auto" w:before="0"/>
                                <w:ind w:left="340" w:right="196" w:firstLine="0"/>
                                <w:jc w:val="left"/>
                                <w:rPr>
                                  <w:sz w:val="28"/>
                                </w:rPr>
                              </w:pPr>
                              <w:r>
                                <w:rPr>
                                  <w:color w:val="164194"/>
                                  <w:sz w:val="28"/>
                                </w:rPr>
                                <w:t>of</w:t>
                              </w:r>
                              <w:r>
                                <w:rPr>
                                  <w:color w:val="164194"/>
                                  <w:spacing w:val="-9"/>
                                  <w:sz w:val="28"/>
                                </w:rPr>
                                <w:t> </w:t>
                              </w:r>
                              <w:r>
                                <w:rPr>
                                  <w:color w:val="164194"/>
                                  <w:sz w:val="28"/>
                                </w:rPr>
                                <w:t>civil</w:t>
                              </w:r>
                              <w:r>
                                <w:rPr>
                                  <w:color w:val="164194"/>
                                  <w:spacing w:val="-9"/>
                                  <w:sz w:val="28"/>
                                </w:rPr>
                                <w:t> </w:t>
                              </w:r>
                              <w:r>
                                <w:rPr>
                                  <w:color w:val="164194"/>
                                  <w:sz w:val="28"/>
                                </w:rPr>
                                <w:t>servants</w:t>
                              </w:r>
                              <w:r>
                                <w:rPr>
                                  <w:color w:val="164194"/>
                                  <w:spacing w:val="-9"/>
                                  <w:sz w:val="28"/>
                                </w:rPr>
                                <w:t> </w:t>
                              </w:r>
                              <w:r>
                                <w:rPr>
                                  <w:color w:val="164194"/>
                                  <w:sz w:val="28"/>
                                </w:rPr>
                                <w:t>previously</w:t>
                              </w:r>
                              <w:r>
                                <w:rPr>
                                  <w:color w:val="164194"/>
                                  <w:spacing w:val="-8"/>
                                  <w:sz w:val="28"/>
                                </w:rPr>
                                <w:t> </w:t>
                              </w:r>
                              <w:r>
                                <w:rPr>
                                  <w:color w:val="164194"/>
                                  <w:sz w:val="28"/>
                                </w:rPr>
                                <w:t>advantaged</w:t>
                              </w:r>
                              <w:r>
                                <w:rPr>
                                  <w:color w:val="164194"/>
                                  <w:spacing w:val="-9"/>
                                  <w:sz w:val="28"/>
                                </w:rPr>
                                <w:t> </w:t>
                              </w:r>
                              <w:r>
                                <w:rPr>
                                  <w:color w:val="164194"/>
                                  <w:sz w:val="28"/>
                                </w:rPr>
                                <w:t>by</w:t>
                              </w:r>
                              <w:r>
                                <w:rPr>
                                  <w:color w:val="164194"/>
                                  <w:spacing w:val="-8"/>
                                  <w:sz w:val="28"/>
                                </w:rPr>
                                <w:t> </w:t>
                              </w:r>
                              <w:r>
                                <w:rPr>
                                  <w:color w:val="164194"/>
                                  <w:sz w:val="28"/>
                                </w:rPr>
                                <w:t>the</w:t>
                              </w:r>
                              <w:r>
                                <w:rPr>
                                  <w:color w:val="164194"/>
                                  <w:spacing w:val="-8"/>
                                  <w:sz w:val="28"/>
                                </w:rPr>
                                <w:t> </w:t>
                              </w:r>
                              <w:r>
                                <w:rPr>
                                  <w:color w:val="164194"/>
                                  <w:sz w:val="28"/>
                                </w:rPr>
                                <w:t>national</w:t>
                              </w:r>
                              <w:r>
                                <w:rPr>
                                  <w:color w:val="164194"/>
                                  <w:spacing w:val="-9"/>
                                  <w:sz w:val="28"/>
                                </w:rPr>
                                <w:t> </w:t>
                              </w:r>
                              <w:r>
                                <w:rPr>
                                  <w:color w:val="164194"/>
                                  <w:sz w:val="28"/>
                                </w:rPr>
                                <w:t>legislation</w:t>
                              </w:r>
                              <w:r>
                                <w:rPr>
                                  <w:color w:val="164194"/>
                                  <w:spacing w:val="-9"/>
                                  <w:sz w:val="28"/>
                                </w:rPr>
                                <w:t> </w:t>
                              </w:r>
                              <w:r>
                                <w:rPr>
                                  <w:color w:val="164194"/>
                                  <w:sz w:val="28"/>
                                </w:rPr>
                                <w:t>relating</w:t>
                              </w:r>
                              <w:r>
                                <w:rPr>
                                  <w:color w:val="164194"/>
                                  <w:spacing w:val="-8"/>
                                  <w:sz w:val="28"/>
                                </w:rPr>
                                <w:t> </w:t>
                              </w:r>
                              <w:r>
                                <w:rPr>
                                  <w:color w:val="164194"/>
                                  <w:sz w:val="28"/>
                                </w:rPr>
                                <w:t>to retirement</w:t>
                              </w:r>
                              <w:r>
                                <w:rPr>
                                  <w:color w:val="164194"/>
                                  <w:spacing w:val="-6"/>
                                  <w:sz w:val="28"/>
                                </w:rPr>
                                <w:t> </w:t>
                              </w:r>
                              <w:r>
                                <w:rPr>
                                  <w:color w:val="164194"/>
                                  <w:sz w:val="28"/>
                                </w:rPr>
                                <w:t>pension</w:t>
                              </w:r>
                              <w:r>
                                <w:rPr>
                                  <w:color w:val="164194"/>
                                  <w:spacing w:val="-7"/>
                                  <w:sz w:val="28"/>
                                </w:rPr>
                                <w:t> </w:t>
                              </w:r>
                              <w:r>
                                <w:rPr>
                                  <w:color w:val="164194"/>
                                  <w:sz w:val="28"/>
                                </w:rPr>
                                <w:t>rights</w:t>
                              </w:r>
                              <w:r>
                                <w:rPr>
                                  <w:color w:val="164194"/>
                                  <w:spacing w:val="-7"/>
                                  <w:sz w:val="28"/>
                                </w:rPr>
                                <w:t> </w:t>
                              </w:r>
                              <w:r>
                                <w:rPr>
                                  <w:color w:val="164194"/>
                                  <w:sz w:val="28"/>
                                </w:rPr>
                                <w:t>to</w:t>
                              </w:r>
                              <w:r>
                                <w:rPr>
                                  <w:color w:val="164194"/>
                                  <w:spacing w:val="-7"/>
                                  <w:sz w:val="28"/>
                                </w:rPr>
                                <w:t> </w:t>
                              </w:r>
                              <w:r>
                                <w:rPr>
                                  <w:color w:val="164194"/>
                                  <w:sz w:val="28"/>
                                </w:rPr>
                                <w:t>be</w:t>
                              </w:r>
                              <w:r>
                                <w:rPr>
                                  <w:color w:val="164194"/>
                                  <w:spacing w:val="-6"/>
                                  <w:sz w:val="28"/>
                                </w:rPr>
                                <w:t> </w:t>
                              </w:r>
                              <w:r>
                                <w:rPr>
                                  <w:color w:val="164194"/>
                                  <w:sz w:val="28"/>
                                </w:rPr>
                                <w:t>treated,</w:t>
                              </w:r>
                              <w:r>
                                <w:rPr>
                                  <w:color w:val="164194"/>
                                  <w:spacing w:val="-6"/>
                                  <w:sz w:val="28"/>
                                </w:rPr>
                                <w:t> </w:t>
                              </w:r>
                              <w:r>
                                <w:rPr>
                                  <w:color w:val="164194"/>
                                  <w:sz w:val="28"/>
                                </w:rPr>
                                <w:t>with</w:t>
                              </w:r>
                              <w:r>
                                <w:rPr>
                                  <w:color w:val="164194"/>
                                  <w:spacing w:val="-7"/>
                                  <w:sz w:val="28"/>
                                </w:rPr>
                                <w:t> </w:t>
                              </w:r>
                              <w:r>
                                <w:rPr>
                                  <w:color w:val="164194"/>
                                  <w:sz w:val="28"/>
                                </w:rPr>
                                <w:t>retroactive</w:t>
                              </w:r>
                              <w:r>
                                <w:rPr>
                                  <w:color w:val="164194"/>
                                  <w:spacing w:val="-6"/>
                                  <w:sz w:val="28"/>
                                </w:rPr>
                                <w:t> </w:t>
                              </w:r>
                              <w:r>
                                <w:rPr>
                                  <w:color w:val="164194"/>
                                  <w:sz w:val="28"/>
                                </w:rPr>
                                <w:t>effect,</w:t>
                              </w:r>
                              <w:r>
                                <w:rPr>
                                  <w:color w:val="164194"/>
                                  <w:spacing w:val="-6"/>
                                  <w:sz w:val="28"/>
                                </w:rPr>
                                <w:t> </w:t>
                              </w:r>
                              <w:r>
                                <w:rPr>
                                  <w:color w:val="164194"/>
                                  <w:sz w:val="28"/>
                                </w:rPr>
                                <w:t>in</w:t>
                              </w:r>
                              <w:r>
                                <w:rPr>
                                  <w:color w:val="164194"/>
                                  <w:spacing w:val="-7"/>
                                  <w:sz w:val="28"/>
                                </w:rPr>
                                <w:t> </w:t>
                              </w:r>
                              <w:r>
                                <w:rPr>
                                  <w:color w:val="164194"/>
                                  <w:sz w:val="28"/>
                                </w:rPr>
                                <w:t>the</w:t>
                              </w:r>
                              <w:r>
                                <w:rPr>
                                  <w:color w:val="164194"/>
                                  <w:spacing w:val="-6"/>
                                  <w:sz w:val="28"/>
                                </w:rPr>
                                <w:t> </w:t>
                              </w:r>
                              <w:r>
                                <w:rPr>
                                  <w:color w:val="164194"/>
                                  <w:sz w:val="28"/>
                                </w:rPr>
                                <w:t>same way as the retirement pension scheme for the category of civil servants previously disadvantaged by that legislation.’</w:t>
                              </w:r>
                              <w:r>
                                <w:rPr>
                                  <w:color w:val="164194"/>
                                  <w:sz w:val="28"/>
                                  <w:vertAlign w:val="superscript"/>
                                </w:rPr>
                                <w:t>628</w:t>
                              </w:r>
                            </w:p>
                          </w:txbxContent>
                        </wps:txbx>
                        <wps:bodyPr wrap="square" lIns="0" tIns="0" rIns="0" bIns="0" rtlCol="0">
                          <a:noAutofit/>
                        </wps:bodyPr>
                      </wps:wsp>
                    </wpg:wgp>
                  </a:graphicData>
                </a:graphic>
              </wp:anchor>
            </w:drawing>
          </mc:Choice>
          <mc:Fallback>
            <w:pict>
              <v:group style="position:absolute;margin-left:70.8657pt;margin-top:13.766298pt;width:473.4pt;height:163.050pt;mso-position-horizontal-relative:page;mso-position-vertical-relative:paragraph;z-index:-15541248;mso-wrap-distance-left:0;mso-wrap-distance-right:0" id="docshapegroup806" coordorigin="1417,275" coordsize="9468,3261">
                <v:shape style="position:absolute;left:1417;top:275;width:9468;height:3261" id="docshape807" coordorigin="1417,275" coordsize="9468,3261" path="m10658,275l1644,275,1572,287,1510,319,1461,368,1429,430,1417,502,1417,3309,1429,3380,1461,3443,1510,3492,1572,3524,1644,3535,10658,3535,10730,3524,10792,3492,10841,3443,10873,3380,10885,3309,10885,502,10873,430,10841,368,10792,319,10730,287,10658,275xe" filled="true" fillcolor="#e9f3fc" stroked="false">
                  <v:path arrowok="t"/>
                  <v:fill type="solid"/>
                </v:shape>
                <v:shape style="position:absolute;left:1417;top:275;width:9468;height:3261" type="#_x0000_t202" id="docshape808" filled="false" stroked="false">
                  <v:textbox inset="0,0,0,0">
                    <w:txbxContent>
                      <w:p>
                        <w:pPr>
                          <w:spacing w:line="232" w:lineRule="auto" w:before="121"/>
                          <w:ind w:left="340" w:right="321" w:firstLine="0"/>
                          <w:jc w:val="left"/>
                          <w:rPr>
                            <w:sz w:val="28"/>
                          </w:rPr>
                        </w:pPr>
                        <w:r>
                          <w:rPr>
                            <w:color w:val="164194"/>
                            <w:sz w:val="28"/>
                          </w:rPr>
                          <w:t>‘In the light of the foregoing considerations, the answer to the question raised</w:t>
                        </w:r>
                        <w:r>
                          <w:rPr>
                            <w:color w:val="164194"/>
                            <w:spacing w:val="-6"/>
                            <w:sz w:val="28"/>
                          </w:rPr>
                          <w:t> </w:t>
                        </w:r>
                        <w:r>
                          <w:rPr>
                            <w:color w:val="164194"/>
                            <w:sz w:val="28"/>
                          </w:rPr>
                          <w:t>is</w:t>
                        </w:r>
                        <w:r>
                          <w:rPr>
                            <w:color w:val="164194"/>
                            <w:spacing w:val="-6"/>
                            <w:sz w:val="28"/>
                          </w:rPr>
                          <w:t> </w:t>
                        </w:r>
                        <w:r>
                          <w:rPr>
                            <w:color w:val="164194"/>
                            <w:sz w:val="28"/>
                          </w:rPr>
                          <w:t>that</w:t>
                        </w:r>
                        <w:r>
                          <w:rPr>
                            <w:color w:val="164194"/>
                            <w:spacing w:val="-5"/>
                            <w:sz w:val="28"/>
                          </w:rPr>
                          <w:t> </w:t>
                        </w:r>
                        <w:r>
                          <w:rPr>
                            <w:color w:val="164194"/>
                            <w:sz w:val="28"/>
                          </w:rPr>
                          <w:t>Article</w:t>
                        </w:r>
                        <w:r>
                          <w:rPr>
                            <w:color w:val="164194"/>
                            <w:spacing w:val="-5"/>
                            <w:sz w:val="28"/>
                          </w:rPr>
                          <w:t> </w:t>
                        </w:r>
                        <w:r>
                          <w:rPr>
                            <w:color w:val="164194"/>
                            <w:sz w:val="28"/>
                          </w:rPr>
                          <w:t>2(1)</w:t>
                        </w:r>
                        <w:r>
                          <w:rPr>
                            <w:color w:val="164194"/>
                            <w:spacing w:val="-6"/>
                            <w:sz w:val="28"/>
                          </w:rPr>
                          <w:t> </w:t>
                        </w:r>
                        <w:r>
                          <w:rPr>
                            <w:color w:val="164194"/>
                            <w:sz w:val="28"/>
                          </w:rPr>
                          <w:t>and</w:t>
                        </w:r>
                        <w:r>
                          <w:rPr>
                            <w:color w:val="164194"/>
                            <w:spacing w:val="-6"/>
                            <w:sz w:val="28"/>
                          </w:rPr>
                          <w:t> </w:t>
                        </w:r>
                        <w:r>
                          <w:rPr>
                            <w:color w:val="164194"/>
                            <w:sz w:val="28"/>
                          </w:rPr>
                          <w:t>(2)(a)</w:t>
                        </w:r>
                        <w:r>
                          <w:rPr>
                            <w:color w:val="164194"/>
                            <w:spacing w:val="-6"/>
                            <w:sz w:val="28"/>
                          </w:rPr>
                          <w:t> </w:t>
                        </w:r>
                        <w:r>
                          <w:rPr>
                            <w:color w:val="164194"/>
                            <w:sz w:val="28"/>
                          </w:rPr>
                          <w:t>and</w:t>
                        </w:r>
                        <w:r>
                          <w:rPr>
                            <w:color w:val="164194"/>
                            <w:spacing w:val="-6"/>
                            <w:sz w:val="28"/>
                          </w:rPr>
                          <w:t> </w:t>
                        </w:r>
                        <w:r>
                          <w:rPr>
                            <w:color w:val="164194"/>
                            <w:sz w:val="28"/>
                          </w:rPr>
                          <w:t>Article</w:t>
                        </w:r>
                        <w:r>
                          <w:rPr>
                            <w:color w:val="164194"/>
                            <w:spacing w:val="-5"/>
                            <w:sz w:val="28"/>
                          </w:rPr>
                          <w:t> </w:t>
                        </w:r>
                        <w:r>
                          <w:rPr>
                            <w:color w:val="164194"/>
                            <w:sz w:val="28"/>
                          </w:rPr>
                          <w:t>6(1)</w:t>
                        </w:r>
                        <w:r>
                          <w:rPr>
                            <w:color w:val="164194"/>
                            <w:spacing w:val="-6"/>
                            <w:sz w:val="28"/>
                          </w:rPr>
                          <w:t> </w:t>
                        </w:r>
                        <w:r>
                          <w:rPr>
                            <w:color w:val="164194"/>
                            <w:sz w:val="28"/>
                          </w:rPr>
                          <w:t>of</w:t>
                        </w:r>
                        <w:r>
                          <w:rPr>
                            <w:color w:val="164194"/>
                            <w:spacing w:val="-6"/>
                            <w:sz w:val="28"/>
                          </w:rPr>
                          <w:t> </w:t>
                        </w:r>
                        <w:r>
                          <w:rPr>
                            <w:color w:val="164194"/>
                            <w:sz w:val="28"/>
                          </w:rPr>
                          <w:t>Directive</w:t>
                        </w:r>
                        <w:r>
                          <w:rPr>
                            <w:color w:val="164194"/>
                            <w:spacing w:val="-5"/>
                            <w:sz w:val="28"/>
                          </w:rPr>
                          <w:t> </w:t>
                        </w:r>
                        <w:r>
                          <w:rPr>
                            <w:color w:val="164194"/>
                            <w:sz w:val="28"/>
                          </w:rPr>
                          <w:t>2000/78</w:t>
                        </w:r>
                        <w:r>
                          <w:rPr>
                            <w:color w:val="164194"/>
                            <w:spacing w:val="-5"/>
                            <w:sz w:val="28"/>
                          </w:rPr>
                          <w:t> </w:t>
                        </w:r>
                        <w:r>
                          <w:rPr>
                            <w:color w:val="164194"/>
                            <w:sz w:val="28"/>
                          </w:rPr>
                          <w:t>must be interpreted as precluding, in the absence of an overriding reason in the public interest, national legislation which, in order to end discrimination on grounds of age, provides for the retirement pension scheme for a category</w:t>
                        </w:r>
                      </w:p>
                      <w:p>
                        <w:pPr>
                          <w:spacing w:line="232" w:lineRule="auto" w:before="0"/>
                          <w:ind w:left="340" w:right="196" w:firstLine="0"/>
                          <w:jc w:val="left"/>
                          <w:rPr>
                            <w:sz w:val="28"/>
                          </w:rPr>
                        </w:pPr>
                        <w:r>
                          <w:rPr>
                            <w:color w:val="164194"/>
                            <w:sz w:val="28"/>
                          </w:rPr>
                          <w:t>of</w:t>
                        </w:r>
                        <w:r>
                          <w:rPr>
                            <w:color w:val="164194"/>
                            <w:spacing w:val="-9"/>
                            <w:sz w:val="28"/>
                          </w:rPr>
                          <w:t> </w:t>
                        </w:r>
                        <w:r>
                          <w:rPr>
                            <w:color w:val="164194"/>
                            <w:sz w:val="28"/>
                          </w:rPr>
                          <w:t>civil</w:t>
                        </w:r>
                        <w:r>
                          <w:rPr>
                            <w:color w:val="164194"/>
                            <w:spacing w:val="-9"/>
                            <w:sz w:val="28"/>
                          </w:rPr>
                          <w:t> </w:t>
                        </w:r>
                        <w:r>
                          <w:rPr>
                            <w:color w:val="164194"/>
                            <w:sz w:val="28"/>
                          </w:rPr>
                          <w:t>servants</w:t>
                        </w:r>
                        <w:r>
                          <w:rPr>
                            <w:color w:val="164194"/>
                            <w:spacing w:val="-9"/>
                            <w:sz w:val="28"/>
                          </w:rPr>
                          <w:t> </w:t>
                        </w:r>
                        <w:r>
                          <w:rPr>
                            <w:color w:val="164194"/>
                            <w:sz w:val="28"/>
                          </w:rPr>
                          <w:t>previously</w:t>
                        </w:r>
                        <w:r>
                          <w:rPr>
                            <w:color w:val="164194"/>
                            <w:spacing w:val="-8"/>
                            <w:sz w:val="28"/>
                          </w:rPr>
                          <w:t> </w:t>
                        </w:r>
                        <w:r>
                          <w:rPr>
                            <w:color w:val="164194"/>
                            <w:sz w:val="28"/>
                          </w:rPr>
                          <w:t>advantaged</w:t>
                        </w:r>
                        <w:r>
                          <w:rPr>
                            <w:color w:val="164194"/>
                            <w:spacing w:val="-9"/>
                            <w:sz w:val="28"/>
                          </w:rPr>
                          <w:t> </w:t>
                        </w:r>
                        <w:r>
                          <w:rPr>
                            <w:color w:val="164194"/>
                            <w:sz w:val="28"/>
                          </w:rPr>
                          <w:t>by</w:t>
                        </w:r>
                        <w:r>
                          <w:rPr>
                            <w:color w:val="164194"/>
                            <w:spacing w:val="-8"/>
                            <w:sz w:val="28"/>
                          </w:rPr>
                          <w:t> </w:t>
                        </w:r>
                        <w:r>
                          <w:rPr>
                            <w:color w:val="164194"/>
                            <w:sz w:val="28"/>
                          </w:rPr>
                          <w:t>the</w:t>
                        </w:r>
                        <w:r>
                          <w:rPr>
                            <w:color w:val="164194"/>
                            <w:spacing w:val="-8"/>
                            <w:sz w:val="28"/>
                          </w:rPr>
                          <w:t> </w:t>
                        </w:r>
                        <w:r>
                          <w:rPr>
                            <w:color w:val="164194"/>
                            <w:sz w:val="28"/>
                          </w:rPr>
                          <w:t>national</w:t>
                        </w:r>
                        <w:r>
                          <w:rPr>
                            <w:color w:val="164194"/>
                            <w:spacing w:val="-9"/>
                            <w:sz w:val="28"/>
                          </w:rPr>
                          <w:t> </w:t>
                        </w:r>
                        <w:r>
                          <w:rPr>
                            <w:color w:val="164194"/>
                            <w:sz w:val="28"/>
                          </w:rPr>
                          <w:t>legislation</w:t>
                        </w:r>
                        <w:r>
                          <w:rPr>
                            <w:color w:val="164194"/>
                            <w:spacing w:val="-9"/>
                            <w:sz w:val="28"/>
                          </w:rPr>
                          <w:t> </w:t>
                        </w:r>
                        <w:r>
                          <w:rPr>
                            <w:color w:val="164194"/>
                            <w:sz w:val="28"/>
                          </w:rPr>
                          <w:t>relating</w:t>
                        </w:r>
                        <w:r>
                          <w:rPr>
                            <w:color w:val="164194"/>
                            <w:spacing w:val="-8"/>
                            <w:sz w:val="28"/>
                          </w:rPr>
                          <w:t> </w:t>
                        </w:r>
                        <w:r>
                          <w:rPr>
                            <w:color w:val="164194"/>
                            <w:sz w:val="28"/>
                          </w:rPr>
                          <w:t>to retirement</w:t>
                        </w:r>
                        <w:r>
                          <w:rPr>
                            <w:color w:val="164194"/>
                            <w:spacing w:val="-6"/>
                            <w:sz w:val="28"/>
                          </w:rPr>
                          <w:t> </w:t>
                        </w:r>
                        <w:r>
                          <w:rPr>
                            <w:color w:val="164194"/>
                            <w:sz w:val="28"/>
                          </w:rPr>
                          <w:t>pension</w:t>
                        </w:r>
                        <w:r>
                          <w:rPr>
                            <w:color w:val="164194"/>
                            <w:spacing w:val="-7"/>
                            <w:sz w:val="28"/>
                          </w:rPr>
                          <w:t> </w:t>
                        </w:r>
                        <w:r>
                          <w:rPr>
                            <w:color w:val="164194"/>
                            <w:sz w:val="28"/>
                          </w:rPr>
                          <w:t>rights</w:t>
                        </w:r>
                        <w:r>
                          <w:rPr>
                            <w:color w:val="164194"/>
                            <w:spacing w:val="-7"/>
                            <w:sz w:val="28"/>
                          </w:rPr>
                          <w:t> </w:t>
                        </w:r>
                        <w:r>
                          <w:rPr>
                            <w:color w:val="164194"/>
                            <w:sz w:val="28"/>
                          </w:rPr>
                          <w:t>to</w:t>
                        </w:r>
                        <w:r>
                          <w:rPr>
                            <w:color w:val="164194"/>
                            <w:spacing w:val="-7"/>
                            <w:sz w:val="28"/>
                          </w:rPr>
                          <w:t> </w:t>
                        </w:r>
                        <w:r>
                          <w:rPr>
                            <w:color w:val="164194"/>
                            <w:sz w:val="28"/>
                          </w:rPr>
                          <w:t>be</w:t>
                        </w:r>
                        <w:r>
                          <w:rPr>
                            <w:color w:val="164194"/>
                            <w:spacing w:val="-6"/>
                            <w:sz w:val="28"/>
                          </w:rPr>
                          <w:t> </w:t>
                        </w:r>
                        <w:r>
                          <w:rPr>
                            <w:color w:val="164194"/>
                            <w:sz w:val="28"/>
                          </w:rPr>
                          <w:t>treated,</w:t>
                        </w:r>
                        <w:r>
                          <w:rPr>
                            <w:color w:val="164194"/>
                            <w:spacing w:val="-6"/>
                            <w:sz w:val="28"/>
                          </w:rPr>
                          <w:t> </w:t>
                        </w:r>
                        <w:r>
                          <w:rPr>
                            <w:color w:val="164194"/>
                            <w:sz w:val="28"/>
                          </w:rPr>
                          <w:t>with</w:t>
                        </w:r>
                        <w:r>
                          <w:rPr>
                            <w:color w:val="164194"/>
                            <w:spacing w:val="-7"/>
                            <w:sz w:val="28"/>
                          </w:rPr>
                          <w:t> </w:t>
                        </w:r>
                        <w:r>
                          <w:rPr>
                            <w:color w:val="164194"/>
                            <w:sz w:val="28"/>
                          </w:rPr>
                          <w:t>retroactive</w:t>
                        </w:r>
                        <w:r>
                          <w:rPr>
                            <w:color w:val="164194"/>
                            <w:spacing w:val="-6"/>
                            <w:sz w:val="28"/>
                          </w:rPr>
                          <w:t> </w:t>
                        </w:r>
                        <w:r>
                          <w:rPr>
                            <w:color w:val="164194"/>
                            <w:sz w:val="28"/>
                          </w:rPr>
                          <w:t>effect,</w:t>
                        </w:r>
                        <w:r>
                          <w:rPr>
                            <w:color w:val="164194"/>
                            <w:spacing w:val="-6"/>
                            <w:sz w:val="28"/>
                          </w:rPr>
                          <w:t> </w:t>
                        </w:r>
                        <w:r>
                          <w:rPr>
                            <w:color w:val="164194"/>
                            <w:sz w:val="28"/>
                          </w:rPr>
                          <w:t>in</w:t>
                        </w:r>
                        <w:r>
                          <w:rPr>
                            <w:color w:val="164194"/>
                            <w:spacing w:val="-7"/>
                            <w:sz w:val="28"/>
                          </w:rPr>
                          <w:t> </w:t>
                        </w:r>
                        <w:r>
                          <w:rPr>
                            <w:color w:val="164194"/>
                            <w:sz w:val="28"/>
                          </w:rPr>
                          <w:t>the</w:t>
                        </w:r>
                        <w:r>
                          <w:rPr>
                            <w:color w:val="164194"/>
                            <w:spacing w:val="-6"/>
                            <w:sz w:val="28"/>
                          </w:rPr>
                          <w:t> </w:t>
                        </w:r>
                        <w:r>
                          <w:rPr>
                            <w:color w:val="164194"/>
                            <w:sz w:val="28"/>
                          </w:rPr>
                          <w:t>same way as the retirement pension scheme for the category of civil servants previously disadvantaged by that legislation.’</w:t>
                        </w:r>
                        <w:r>
                          <w:rPr>
                            <w:color w:val="164194"/>
                            <w:sz w:val="28"/>
                            <w:vertAlign w:val="superscript"/>
                          </w:rPr>
                          <w:t>628</w:t>
                        </w:r>
                      </w:p>
                    </w:txbxContent>
                  </v:textbox>
                  <w10:wrap type="none"/>
                </v:shape>
                <w10:wrap type="topAndBottom"/>
              </v:group>
            </w:pict>
          </mc:Fallback>
        </mc:AlternateContent>
      </w:r>
    </w:p>
    <w:p>
      <w:pPr>
        <w:pStyle w:val="BodyText"/>
        <w:rPr>
          <w:sz w:val="20"/>
        </w:rPr>
      </w:pPr>
    </w:p>
    <w:p>
      <w:pPr>
        <w:pStyle w:val="BodyText"/>
        <w:spacing w:before="27"/>
        <w:rPr>
          <w:sz w:val="20"/>
        </w:rPr>
      </w:pPr>
      <w:r>
        <w:rPr/>
        <mc:AlternateContent>
          <mc:Choice Requires="wps">
            <w:drawing>
              <wp:anchor distT="0" distB="0" distL="0" distR="0" allowOverlap="1" layoutInCell="1" locked="0" behindDoc="1" simplePos="0" relativeHeight="487775744">
                <wp:simplePos x="0" y="0"/>
                <wp:positionH relativeFrom="page">
                  <wp:posOffset>899999</wp:posOffset>
                </wp:positionH>
                <wp:positionV relativeFrom="paragraph">
                  <wp:posOffset>187461</wp:posOffset>
                </wp:positionV>
                <wp:extent cx="6012180" cy="1270"/>
                <wp:effectExtent l="0" t="0" r="0" b="0"/>
                <wp:wrapTopAndBottom/>
                <wp:docPr id="987" name="Graphic 987"/>
                <wp:cNvGraphicFramePr>
                  <a:graphicFrameLocks/>
                </wp:cNvGraphicFramePr>
                <a:graphic>
                  <a:graphicData uri="http://schemas.microsoft.com/office/word/2010/wordprocessingShape">
                    <wps:wsp>
                      <wps:cNvPr id="987" name="Graphic 98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4.760769pt;width:473.4pt;height:.1pt;mso-position-horizontal-relative:page;mso-position-vertical-relative:paragraph;z-index:-15540736;mso-wrap-distance-left:0;mso-wrap-distance-right:0" id="docshape809" coordorigin="1417,295" coordsize="9468,0" path="m1417,295l10885,295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z w:val="18"/>
        </w:rPr>
        <w:t>C-52/22</w:t>
      </w:r>
      <w:r>
        <w:rPr>
          <w:spacing w:val="-5"/>
          <w:sz w:val="18"/>
        </w:rPr>
        <w:t> </w:t>
      </w:r>
      <w:r>
        <w:rPr>
          <w:color w:val="1D71B8"/>
          <w:sz w:val="18"/>
          <w:u w:val="single" w:color="1D71B8"/>
        </w:rPr>
        <w:t>BVAEB</w:t>
      </w:r>
      <w:r>
        <w:rPr>
          <w:i/>
          <w:sz w:val="18"/>
          <w:u w:val="none"/>
        </w:rPr>
        <w:t>,</w:t>
      </w:r>
      <w:r>
        <w:rPr>
          <w:i/>
          <w:spacing w:val="-4"/>
          <w:sz w:val="18"/>
          <w:u w:val="none"/>
        </w:rPr>
        <w:t> </w:t>
      </w:r>
      <w:r>
        <w:rPr>
          <w:sz w:val="18"/>
          <w:u w:val="none"/>
        </w:rPr>
        <w:t>judgment</w:t>
      </w:r>
      <w:r>
        <w:rPr>
          <w:spacing w:val="-4"/>
          <w:sz w:val="18"/>
          <w:u w:val="none"/>
        </w:rPr>
        <w:t> </w:t>
      </w:r>
      <w:r>
        <w:rPr>
          <w:sz w:val="18"/>
          <w:u w:val="none"/>
        </w:rPr>
        <w:t>of</w:t>
      </w:r>
      <w:r>
        <w:rPr>
          <w:spacing w:val="-4"/>
          <w:sz w:val="18"/>
          <w:u w:val="none"/>
        </w:rPr>
        <w:t> </w:t>
      </w:r>
      <w:r>
        <w:rPr>
          <w:sz w:val="18"/>
          <w:u w:val="none"/>
        </w:rPr>
        <w:t>20</w:t>
      </w:r>
      <w:r>
        <w:rPr>
          <w:spacing w:val="-4"/>
          <w:sz w:val="18"/>
          <w:u w:val="none"/>
        </w:rPr>
        <w:t> </w:t>
      </w:r>
      <w:r>
        <w:rPr>
          <w:sz w:val="18"/>
          <w:u w:val="none"/>
        </w:rPr>
        <w:t>April</w:t>
      </w:r>
      <w:r>
        <w:rPr>
          <w:spacing w:val="-5"/>
          <w:sz w:val="18"/>
          <w:u w:val="none"/>
        </w:rPr>
        <w:t> </w:t>
      </w:r>
      <w:r>
        <w:rPr>
          <w:sz w:val="18"/>
          <w:u w:val="none"/>
        </w:rPr>
        <w:t>2023,</w:t>
      </w:r>
      <w:r>
        <w:rPr>
          <w:spacing w:val="-3"/>
          <w:sz w:val="18"/>
          <w:u w:val="none"/>
        </w:rPr>
        <w:t> </w:t>
      </w:r>
      <w:r>
        <w:rPr>
          <w:spacing w:val="-2"/>
          <w:sz w:val="18"/>
          <w:u w:val="none"/>
        </w:rPr>
        <w:t>ECLI:EU:C:2023:309.</w:t>
      </w:r>
    </w:p>
    <w:p>
      <w:pPr>
        <w:pStyle w:val="ListParagraph"/>
        <w:numPr>
          <w:ilvl w:val="0"/>
          <w:numId w:val="51"/>
        </w:numPr>
        <w:tabs>
          <w:tab w:pos="1684" w:val="left" w:leader="none"/>
        </w:tabs>
        <w:spacing w:line="240" w:lineRule="auto" w:before="1" w:after="0"/>
        <w:ind w:left="1684" w:right="0" w:hanging="567"/>
        <w:jc w:val="left"/>
        <w:rPr>
          <w:sz w:val="18"/>
        </w:rPr>
      </w:pPr>
      <w:r>
        <w:rPr>
          <w:sz w:val="18"/>
        </w:rPr>
        <w:t>C-681/21</w:t>
      </w:r>
      <w:r>
        <w:rPr>
          <w:spacing w:val="-7"/>
          <w:sz w:val="18"/>
        </w:rPr>
        <w:t> </w:t>
      </w:r>
      <w:hyperlink r:id="rId165">
        <w:r>
          <w:rPr>
            <w:color w:val="1D71B8"/>
            <w:sz w:val="18"/>
            <w:u w:val="single" w:color="1D71B8"/>
          </w:rPr>
          <w:t>BVAEB</w:t>
        </w:r>
      </w:hyperlink>
      <w:r>
        <w:rPr>
          <w:sz w:val="18"/>
          <w:u w:val="none"/>
        </w:rPr>
        <w:t>,</w:t>
      </w:r>
      <w:r>
        <w:rPr>
          <w:spacing w:val="-4"/>
          <w:sz w:val="18"/>
          <w:u w:val="none"/>
        </w:rPr>
        <w:t> </w:t>
      </w:r>
      <w:r>
        <w:rPr>
          <w:sz w:val="18"/>
          <w:u w:val="none"/>
        </w:rPr>
        <w:t>judgment</w:t>
      </w:r>
      <w:r>
        <w:rPr>
          <w:spacing w:val="-5"/>
          <w:sz w:val="18"/>
          <w:u w:val="none"/>
        </w:rPr>
        <w:t> </w:t>
      </w:r>
      <w:r>
        <w:rPr>
          <w:sz w:val="18"/>
          <w:u w:val="none"/>
        </w:rPr>
        <w:t>of</w:t>
      </w:r>
      <w:r>
        <w:rPr>
          <w:spacing w:val="-4"/>
          <w:sz w:val="18"/>
          <w:u w:val="none"/>
        </w:rPr>
        <w:t> </w:t>
      </w:r>
      <w:r>
        <w:rPr>
          <w:sz w:val="18"/>
          <w:u w:val="none"/>
        </w:rPr>
        <w:t>27</w:t>
      </w:r>
      <w:r>
        <w:rPr>
          <w:spacing w:val="-5"/>
          <w:sz w:val="18"/>
          <w:u w:val="none"/>
        </w:rPr>
        <w:t> </w:t>
      </w:r>
      <w:r>
        <w:rPr>
          <w:sz w:val="18"/>
          <w:u w:val="none"/>
        </w:rPr>
        <w:t>April</w:t>
      </w:r>
      <w:r>
        <w:rPr>
          <w:spacing w:val="-4"/>
          <w:sz w:val="18"/>
          <w:u w:val="none"/>
        </w:rPr>
        <w:t> </w:t>
      </w:r>
      <w:r>
        <w:rPr>
          <w:sz w:val="18"/>
          <w:u w:val="none"/>
        </w:rPr>
        <w:t>2023,</w:t>
      </w:r>
      <w:r>
        <w:rPr>
          <w:spacing w:val="-4"/>
          <w:sz w:val="18"/>
          <w:u w:val="none"/>
        </w:rPr>
        <w:t> </w:t>
      </w:r>
      <w:r>
        <w:rPr>
          <w:spacing w:val="-2"/>
          <w:sz w:val="18"/>
          <w:u w:val="none"/>
        </w:rPr>
        <w:t>ECLI:EU:C:2023:349.</w:t>
      </w:r>
    </w:p>
    <w:p>
      <w:pPr>
        <w:pStyle w:val="ListParagraph"/>
        <w:numPr>
          <w:ilvl w:val="0"/>
          <w:numId w:val="51"/>
        </w:numPr>
        <w:tabs>
          <w:tab w:pos="1684" w:val="left" w:leader="none"/>
        </w:tabs>
        <w:spacing w:line="240" w:lineRule="auto" w:before="0" w:after="0"/>
        <w:ind w:left="1684" w:right="0" w:hanging="567"/>
        <w:jc w:val="left"/>
        <w:rPr>
          <w:sz w:val="18"/>
        </w:rPr>
      </w:pPr>
      <w:r>
        <w:rPr>
          <w:sz w:val="18"/>
        </w:rPr>
        <w:t>C-52/22</w:t>
      </w:r>
      <w:r>
        <w:rPr>
          <w:spacing w:val="-8"/>
          <w:sz w:val="18"/>
        </w:rPr>
        <w:t> </w:t>
      </w:r>
      <w:r>
        <w:rPr>
          <w:color w:val="1D71B8"/>
          <w:sz w:val="18"/>
          <w:u w:val="single" w:color="1D71B8"/>
        </w:rPr>
        <w:t>BVAEB</w:t>
      </w:r>
      <w:r>
        <w:rPr>
          <w:sz w:val="18"/>
          <w:u w:val="none"/>
        </w:rPr>
        <w:t>,</w:t>
      </w:r>
      <w:r>
        <w:rPr>
          <w:spacing w:val="-4"/>
          <w:sz w:val="18"/>
          <w:u w:val="none"/>
        </w:rPr>
        <w:t> </w:t>
      </w:r>
      <w:r>
        <w:rPr>
          <w:sz w:val="18"/>
          <w:u w:val="none"/>
        </w:rPr>
        <w:t>judgment</w:t>
      </w:r>
      <w:r>
        <w:rPr>
          <w:spacing w:val="-4"/>
          <w:sz w:val="18"/>
          <w:u w:val="none"/>
        </w:rPr>
        <w:t> </w:t>
      </w:r>
      <w:r>
        <w:rPr>
          <w:sz w:val="18"/>
          <w:u w:val="none"/>
        </w:rPr>
        <w:t>of</w:t>
      </w:r>
      <w:r>
        <w:rPr>
          <w:spacing w:val="-5"/>
          <w:sz w:val="18"/>
          <w:u w:val="none"/>
        </w:rPr>
        <w:t> </w:t>
      </w:r>
      <w:r>
        <w:rPr>
          <w:sz w:val="18"/>
          <w:u w:val="none"/>
        </w:rPr>
        <w:t>20</w:t>
      </w:r>
      <w:r>
        <w:rPr>
          <w:spacing w:val="-4"/>
          <w:sz w:val="18"/>
          <w:u w:val="none"/>
        </w:rPr>
        <w:t> </w:t>
      </w:r>
      <w:r>
        <w:rPr>
          <w:sz w:val="18"/>
          <w:u w:val="none"/>
        </w:rPr>
        <w:t>April</w:t>
      </w:r>
      <w:r>
        <w:rPr>
          <w:spacing w:val="-5"/>
          <w:sz w:val="18"/>
          <w:u w:val="none"/>
        </w:rPr>
        <w:t> </w:t>
      </w:r>
      <w:r>
        <w:rPr>
          <w:sz w:val="18"/>
          <w:u w:val="none"/>
        </w:rPr>
        <w:t>2023,</w:t>
      </w:r>
      <w:r>
        <w:rPr>
          <w:spacing w:val="-4"/>
          <w:sz w:val="18"/>
          <w:u w:val="none"/>
        </w:rPr>
        <w:t> </w:t>
      </w:r>
      <w:r>
        <w:rPr>
          <w:sz w:val="18"/>
          <w:u w:val="none"/>
        </w:rPr>
        <w:t>ECLI:EU:C:2023:309,</w:t>
      </w:r>
      <w:r>
        <w:rPr>
          <w:spacing w:val="-4"/>
          <w:sz w:val="18"/>
          <w:u w:val="none"/>
        </w:rPr>
        <w:t> </w:t>
      </w:r>
      <w:r>
        <w:rPr>
          <w:sz w:val="18"/>
          <w:u w:val="none"/>
        </w:rPr>
        <w:t>para.</w:t>
      </w:r>
      <w:r>
        <w:rPr>
          <w:spacing w:val="-5"/>
          <w:sz w:val="18"/>
          <w:u w:val="none"/>
        </w:rPr>
        <w:t> 59.</w:t>
      </w:r>
    </w:p>
    <w:p>
      <w:pPr>
        <w:pStyle w:val="ListParagraph"/>
        <w:numPr>
          <w:ilvl w:val="0"/>
          <w:numId w:val="51"/>
        </w:numPr>
        <w:tabs>
          <w:tab w:pos="1684" w:val="left" w:leader="none"/>
        </w:tabs>
        <w:spacing w:line="240" w:lineRule="auto" w:before="0" w:after="0"/>
        <w:ind w:left="1684" w:right="0" w:hanging="567"/>
        <w:jc w:val="left"/>
        <w:rPr>
          <w:sz w:val="18"/>
        </w:rPr>
      </w:pPr>
      <w:r>
        <w:rPr>
          <w:sz w:val="18"/>
        </w:rPr>
        <w:t>C-681/21</w:t>
      </w:r>
      <w:r>
        <w:rPr>
          <w:spacing w:val="-8"/>
          <w:sz w:val="18"/>
        </w:rPr>
        <w:t> </w:t>
      </w:r>
      <w:hyperlink r:id="rId165">
        <w:r>
          <w:rPr>
            <w:color w:val="1D71B8"/>
            <w:sz w:val="18"/>
            <w:u w:val="single" w:color="1D71B8"/>
          </w:rPr>
          <w:t>BVAEB</w:t>
        </w:r>
      </w:hyperlink>
      <w:r>
        <w:rPr>
          <w:sz w:val="18"/>
          <w:u w:val="none"/>
        </w:rPr>
        <w:t>,</w:t>
      </w:r>
      <w:r>
        <w:rPr>
          <w:spacing w:val="-4"/>
          <w:sz w:val="18"/>
          <w:u w:val="none"/>
        </w:rPr>
        <w:t> </w:t>
      </w:r>
      <w:r>
        <w:rPr>
          <w:sz w:val="18"/>
          <w:u w:val="none"/>
        </w:rPr>
        <w:t>judgment</w:t>
      </w:r>
      <w:r>
        <w:rPr>
          <w:spacing w:val="-4"/>
          <w:sz w:val="18"/>
          <w:u w:val="none"/>
        </w:rPr>
        <w:t> </w:t>
      </w:r>
      <w:r>
        <w:rPr>
          <w:sz w:val="18"/>
          <w:u w:val="none"/>
        </w:rPr>
        <w:t>of</w:t>
      </w:r>
      <w:r>
        <w:rPr>
          <w:spacing w:val="-5"/>
          <w:sz w:val="18"/>
          <w:u w:val="none"/>
        </w:rPr>
        <w:t> </w:t>
      </w:r>
      <w:r>
        <w:rPr>
          <w:sz w:val="18"/>
          <w:u w:val="none"/>
        </w:rPr>
        <w:t>27</w:t>
      </w:r>
      <w:r>
        <w:rPr>
          <w:spacing w:val="-4"/>
          <w:sz w:val="18"/>
          <w:u w:val="none"/>
        </w:rPr>
        <w:t> </w:t>
      </w:r>
      <w:r>
        <w:rPr>
          <w:sz w:val="18"/>
          <w:u w:val="none"/>
        </w:rPr>
        <w:t>April</w:t>
      </w:r>
      <w:r>
        <w:rPr>
          <w:spacing w:val="-5"/>
          <w:sz w:val="18"/>
          <w:u w:val="none"/>
        </w:rPr>
        <w:t> </w:t>
      </w:r>
      <w:r>
        <w:rPr>
          <w:sz w:val="18"/>
          <w:u w:val="none"/>
        </w:rPr>
        <w:t>2023,</w:t>
      </w:r>
      <w:r>
        <w:rPr>
          <w:spacing w:val="-4"/>
          <w:sz w:val="18"/>
          <w:u w:val="none"/>
        </w:rPr>
        <w:t> </w:t>
      </w:r>
      <w:r>
        <w:rPr>
          <w:sz w:val="18"/>
          <w:u w:val="none"/>
        </w:rPr>
        <w:t>ECLI:EU:C:2023:349,</w:t>
      </w:r>
      <w:r>
        <w:rPr>
          <w:spacing w:val="-4"/>
          <w:sz w:val="18"/>
          <w:u w:val="none"/>
        </w:rPr>
        <w:t> </w:t>
      </w:r>
      <w:r>
        <w:rPr>
          <w:sz w:val="18"/>
          <w:u w:val="none"/>
        </w:rPr>
        <w:t>para.</w:t>
      </w:r>
      <w:r>
        <w:rPr>
          <w:spacing w:val="-5"/>
          <w:sz w:val="18"/>
          <w:u w:val="none"/>
        </w:rPr>
        <w:t> 51.</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52.</w:t>
      </w:r>
    </w:p>
    <w:p>
      <w:pPr>
        <w:pStyle w:val="ListParagraph"/>
        <w:numPr>
          <w:ilvl w:val="0"/>
          <w:numId w:val="51"/>
        </w:numPr>
        <w:tabs>
          <w:tab w:pos="1684" w:val="left" w:leader="none"/>
        </w:tabs>
        <w:spacing w:line="240" w:lineRule="auto" w:before="1"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54.</w:t>
      </w:r>
    </w:p>
    <w:p>
      <w:pPr>
        <w:spacing w:after="0" w:line="240" w:lineRule="auto"/>
        <w:jc w:val="left"/>
        <w:rPr>
          <w:sz w:val="18"/>
        </w:rPr>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93952">
                <wp:simplePos x="0" y="0"/>
                <wp:positionH relativeFrom="page">
                  <wp:posOffset>0</wp:posOffset>
                </wp:positionH>
                <wp:positionV relativeFrom="page">
                  <wp:posOffset>0</wp:posOffset>
                </wp:positionV>
                <wp:extent cx="7560309" cy="1155065"/>
                <wp:effectExtent l="0" t="0" r="0" b="0"/>
                <wp:wrapNone/>
                <wp:docPr id="988" name="Group 988"/>
                <wp:cNvGraphicFramePr>
                  <a:graphicFrameLocks/>
                </wp:cNvGraphicFramePr>
                <a:graphic>
                  <a:graphicData uri="http://schemas.microsoft.com/office/word/2010/wordprocessingGroup">
                    <wpg:wgp>
                      <wpg:cNvPr id="988" name="Group 988"/>
                      <wpg:cNvGrpSpPr/>
                      <wpg:grpSpPr>
                        <a:xfrm>
                          <a:off x="0" y="0"/>
                          <a:ext cx="7560309" cy="1155065"/>
                          <a:chExt cx="7560309" cy="1155065"/>
                        </a:xfrm>
                      </wpg:grpSpPr>
                      <wps:wsp>
                        <wps:cNvPr id="989" name="Graphic 989"/>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990" name="Graphic 990"/>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22528" id="docshapegroup810" coordorigin="0,0" coordsize="11906,1819">
                <v:shape style="position:absolute;left:0;top:0;width:11906;height:1819" id="docshape811"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122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spacing w:before="304"/>
        <w:rPr>
          <w:b/>
        </w:rPr>
      </w:pPr>
    </w:p>
    <w:p>
      <w:pPr>
        <w:pStyle w:val="BodyText"/>
        <w:spacing w:line="232" w:lineRule="auto"/>
        <w:ind w:left="720" w:right="1250"/>
      </w:pPr>
      <w:r>
        <w:rPr/>
        <w:t>This</w:t>
      </w:r>
      <w:r>
        <w:rPr>
          <w:spacing w:val="-6"/>
        </w:rPr>
        <w:t> </w:t>
      </w:r>
      <w:r>
        <w:rPr/>
        <w:t>case</w:t>
      </w:r>
      <w:r>
        <w:rPr>
          <w:spacing w:val="-5"/>
        </w:rPr>
        <w:t> </w:t>
      </w:r>
      <w:r>
        <w:rPr/>
        <w:t>related</w:t>
      </w:r>
      <w:r>
        <w:rPr>
          <w:spacing w:val="-6"/>
        </w:rPr>
        <w:t> </w:t>
      </w:r>
      <w:r>
        <w:rPr/>
        <w:t>to</w:t>
      </w:r>
      <w:r>
        <w:rPr>
          <w:spacing w:val="-6"/>
        </w:rPr>
        <w:t> </w:t>
      </w:r>
      <w:r>
        <w:rPr/>
        <w:t>a</w:t>
      </w:r>
      <w:r>
        <w:rPr>
          <w:spacing w:val="-6"/>
        </w:rPr>
        <w:t> </w:t>
      </w:r>
      <w:r>
        <w:rPr/>
        <w:t>very</w:t>
      </w:r>
      <w:r>
        <w:rPr>
          <w:spacing w:val="-5"/>
        </w:rPr>
        <w:t> </w:t>
      </w:r>
      <w:r>
        <w:rPr/>
        <w:t>specific</w:t>
      </w:r>
      <w:r>
        <w:rPr>
          <w:spacing w:val="-5"/>
        </w:rPr>
        <w:t> </w:t>
      </w:r>
      <w:r>
        <w:rPr/>
        <w:t>set</w:t>
      </w:r>
      <w:r>
        <w:rPr>
          <w:spacing w:val="-5"/>
        </w:rPr>
        <w:t> </w:t>
      </w:r>
      <w:r>
        <w:rPr/>
        <w:t>of</w:t>
      </w:r>
      <w:r>
        <w:rPr>
          <w:spacing w:val="-6"/>
        </w:rPr>
        <w:t> </w:t>
      </w:r>
      <w:r>
        <w:rPr/>
        <w:t>pension</w:t>
      </w:r>
      <w:r>
        <w:rPr>
          <w:spacing w:val="-6"/>
        </w:rPr>
        <w:t> </w:t>
      </w:r>
      <w:r>
        <w:rPr/>
        <w:t>reforms</w:t>
      </w:r>
      <w:r>
        <w:rPr>
          <w:spacing w:val="-6"/>
        </w:rPr>
        <w:t> </w:t>
      </w:r>
      <w:r>
        <w:rPr/>
        <w:t>implemented</w:t>
      </w:r>
      <w:r>
        <w:rPr>
          <w:spacing w:val="-6"/>
        </w:rPr>
        <w:t> </w:t>
      </w:r>
      <w:r>
        <w:rPr/>
        <w:t>within</w:t>
      </w:r>
      <w:r>
        <w:rPr>
          <w:spacing w:val="-6"/>
        </w:rPr>
        <w:t> </w:t>
      </w:r>
      <w:r>
        <w:rPr/>
        <w:t>the Austrian public/civil service and we are not aware of any immediate need for NI law to be changed in light of this.</w:t>
      </w:r>
    </w:p>
    <w:p>
      <w:pPr>
        <w:spacing w:line="232" w:lineRule="auto" w:before="279"/>
        <w:ind w:left="720" w:right="1297" w:firstLine="0"/>
        <w:jc w:val="left"/>
        <w:rPr>
          <w:sz w:val="28"/>
        </w:rPr>
      </w:pPr>
      <w:r>
        <w:rPr>
          <w:sz w:val="28"/>
        </w:rPr>
        <w:t>Another important judgment on</w:t>
      </w:r>
      <w:r>
        <w:rPr>
          <w:spacing w:val="-1"/>
          <w:sz w:val="28"/>
        </w:rPr>
        <w:t> </w:t>
      </w:r>
      <w:r>
        <w:rPr>
          <w:sz w:val="28"/>
        </w:rPr>
        <w:t>age discrimination</w:t>
      </w:r>
      <w:r>
        <w:rPr>
          <w:spacing w:val="-1"/>
          <w:sz w:val="28"/>
        </w:rPr>
        <w:t> </w:t>
      </w:r>
      <w:r>
        <w:rPr>
          <w:sz w:val="28"/>
        </w:rPr>
        <w:t>in</w:t>
      </w:r>
      <w:r>
        <w:rPr>
          <w:spacing w:val="-1"/>
          <w:sz w:val="28"/>
        </w:rPr>
        <w:t> </w:t>
      </w:r>
      <w:r>
        <w:rPr>
          <w:sz w:val="28"/>
        </w:rPr>
        <w:t>the context of</w:t>
      </w:r>
      <w:r>
        <w:rPr>
          <w:spacing w:val="-1"/>
          <w:sz w:val="28"/>
        </w:rPr>
        <w:t> </w:t>
      </w:r>
      <w:r>
        <w:rPr>
          <w:sz w:val="28"/>
        </w:rPr>
        <w:t>employment was also handed down in April 2023 in a highly active month for the Court on</w:t>
      </w:r>
      <w:r>
        <w:rPr>
          <w:spacing w:val="40"/>
          <w:sz w:val="28"/>
        </w:rPr>
        <w:t> </w:t>
      </w:r>
      <w:r>
        <w:rPr>
          <w:sz w:val="28"/>
        </w:rPr>
        <w:t>such</w:t>
      </w:r>
      <w:r>
        <w:rPr>
          <w:spacing w:val="-8"/>
          <w:sz w:val="28"/>
        </w:rPr>
        <w:t> </w:t>
      </w:r>
      <w:r>
        <w:rPr>
          <w:sz w:val="28"/>
        </w:rPr>
        <w:t>matters</w:t>
      </w:r>
      <w:r>
        <w:rPr>
          <w:spacing w:val="-8"/>
          <w:sz w:val="28"/>
        </w:rPr>
        <w:t> </w:t>
      </w:r>
      <w:r>
        <w:rPr>
          <w:sz w:val="28"/>
        </w:rPr>
        <w:t>given</w:t>
      </w:r>
      <w:r>
        <w:rPr>
          <w:spacing w:val="-8"/>
          <w:sz w:val="28"/>
        </w:rPr>
        <w:t> </w:t>
      </w:r>
      <w:r>
        <w:rPr>
          <w:sz w:val="28"/>
        </w:rPr>
        <w:t>the</w:t>
      </w:r>
      <w:r>
        <w:rPr>
          <w:spacing w:val="-7"/>
          <w:sz w:val="28"/>
        </w:rPr>
        <w:t> </w:t>
      </w:r>
      <w:r>
        <w:rPr>
          <w:sz w:val="28"/>
        </w:rPr>
        <w:t>two</w:t>
      </w:r>
      <w:r>
        <w:rPr>
          <w:spacing w:val="-8"/>
          <w:sz w:val="28"/>
        </w:rPr>
        <w:t> </w:t>
      </w:r>
      <w:r>
        <w:rPr>
          <w:sz w:val="28"/>
        </w:rPr>
        <w:t>cases</w:t>
      </w:r>
      <w:r>
        <w:rPr>
          <w:spacing w:val="-8"/>
          <w:sz w:val="28"/>
        </w:rPr>
        <w:t> </w:t>
      </w:r>
      <w:r>
        <w:rPr>
          <w:sz w:val="28"/>
        </w:rPr>
        <w:t>noted</w:t>
      </w:r>
      <w:r>
        <w:rPr>
          <w:spacing w:val="-8"/>
          <w:sz w:val="28"/>
        </w:rPr>
        <w:t> </w:t>
      </w:r>
      <w:r>
        <w:rPr>
          <w:sz w:val="28"/>
        </w:rPr>
        <w:t>above.</w:t>
      </w:r>
      <w:r>
        <w:rPr>
          <w:spacing w:val="-8"/>
          <w:sz w:val="28"/>
        </w:rPr>
        <w:t> </w:t>
      </w:r>
      <w:r>
        <w:rPr>
          <w:sz w:val="28"/>
        </w:rPr>
        <w:t>The</w:t>
      </w:r>
      <w:r>
        <w:rPr>
          <w:spacing w:val="-7"/>
          <w:sz w:val="28"/>
        </w:rPr>
        <w:t> </w:t>
      </w:r>
      <w:r>
        <w:rPr>
          <w:sz w:val="28"/>
        </w:rPr>
        <w:t>case</w:t>
      </w:r>
      <w:r>
        <w:rPr>
          <w:spacing w:val="-7"/>
          <w:sz w:val="28"/>
        </w:rPr>
        <w:t> </w:t>
      </w:r>
      <w:r>
        <w:rPr>
          <w:sz w:val="28"/>
        </w:rPr>
        <w:t>of</w:t>
      </w:r>
      <w:r>
        <w:rPr>
          <w:spacing w:val="-8"/>
          <w:sz w:val="28"/>
        </w:rPr>
        <w:t> </w:t>
      </w:r>
      <w:r>
        <w:rPr>
          <w:b/>
          <w:i/>
          <w:sz w:val="28"/>
        </w:rPr>
        <w:t>Landespolizeidirektion</w:t>
      </w:r>
      <w:r>
        <w:rPr>
          <w:b/>
          <w:i/>
          <w:sz w:val="28"/>
        </w:rPr>
        <w:t> Niederösterreich and Finanzamt Österreich</w:t>
      </w:r>
      <w:r>
        <w:rPr>
          <w:sz w:val="28"/>
          <w:vertAlign w:val="superscript"/>
        </w:rPr>
        <w:t>629</w:t>
      </w:r>
      <w:r>
        <w:rPr>
          <w:sz w:val="28"/>
          <w:vertAlign w:val="baseline"/>
        </w:rPr>
        <w:t> remains highly specialised to</w:t>
      </w:r>
    </w:p>
    <w:p>
      <w:pPr>
        <w:pStyle w:val="BodyText"/>
        <w:spacing w:line="232" w:lineRule="auto"/>
        <w:ind w:left="720" w:right="1225"/>
      </w:pPr>
      <w:r>
        <w:rPr/>
        <w:t>the facts at issue, stemming from remedial action taken to rectify previous incompatibility of EU law on the remuneration and advancement of civil servants. Specifically,</w:t>
      </w:r>
      <w:r>
        <w:rPr>
          <w:spacing w:val="-1"/>
        </w:rPr>
        <w:t> </w:t>
      </w:r>
      <w:r>
        <w:rPr/>
        <w:t>the</w:t>
      </w:r>
      <w:r>
        <w:rPr>
          <w:spacing w:val="-1"/>
        </w:rPr>
        <w:t> </w:t>
      </w:r>
      <w:r>
        <w:rPr/>
        <w:t>new</w:t>
      </w:r>
      <w:r>
        <w:rPr>
          <w:spacing w:val="-1"/>
        </w:rPr>
        <w:t> </w:t>
      </w:r>
      <w:r>
        <w:rPr/>
        <w:t>laws</w:t>
      </w:r>
      <w:r>
        <w:rPr>
          <w:spacing w:val="-2"/>
        </w:rPr>
        <w:t> </w:t>
      </w:r>
      <w:r>
        <w:rPr/>
        <w:t>implemented</w:t>
      </w:r>
      <w:r>
        <w:rPr>
          <w:spacing w:val="-2"/>
        </w:rPr>
        <w:t> </w:t>
      </w:r>
      <w:r>
        <w:rPr/>
        <w:t>aimed</w:t>
      </w:r>
      <w:r>
        <w:rPr>
          <w:spacing w:val="-2"/>
        </w:rPr>
        <w:t> </w:t>
      </w:r>
      <w:r>
        <w:rPr/>
        <w:t>to</w:t>
      </w:r>
      <w:r>
        <w:rPr>
          <w:spacing w:val="-2"/>
        </w:rPr>
        <w:t> </w:t>
      </w:r>
      <w:r>
        <w:rPr/>
        <w:t>‘put</w:t>
      </w:r>
      <w:r>
        <w:rPr>
          <w:spacing w:val="-1"/>
        </w:rPr>
        <w:t> </w:t>
      </w:r>
      <w:r>
        <w:rPr/>
        <w:t>an</w:t>
      </w:r>
      <w:r>
        <w:rPr>
          <w:spacing w:val="-2"/>
        </w:rPr>
        <w:t> </w:t>
      </w:r>
      <w:r>
        <w:rPr/>
        <w:t>end</w:t>
      </w:r>
      <w:r>
        <w:rPr>
          <w:spacing w:val="-2"/>
        </w:rPr>
        <w:t> </w:t>
      </w:r>
      <w:r>
        <w:rPr/>
        <w:t>to</w:t>
      </w:r>
      <w:r>
        <w:rPr>
          <w:spacing w:val="-2"/>
        </w:rPr>
        <w:t> </w:t>
      </w:r>
      <w:r>
        <w:rPr/>
        <w:t>the</w:t>
      </w:r>
      <w:r>
        <w:rPr>
          <w:spacing w:val="-1"/>
        </w:rPr>
        <w:t> </w:t>
      </w:r>
      <w:r>
        <w:rPr/>
        <w:t>discrimination on grounds of age resulting from the remuneration and advancement system previously in force’</w:t>
      </w:r>
      <w:r>
        <w:rPr>
          <w:vertAlign w:val="superscript"/>
        </w:rPr>
        <w:t>630</w:t>
      </w:r>
      <w:r>
        <w:rPr>
          <w:vertAlign w:val="baseline"/>
        </w:rPr>
        <w:t> in which certain apprenticeship schemes for under-18 were not included for determining levels of seniority. Due to the highly specific nature</w:t>
      </w:r>
      <w:r>
        <w:rPr>
          <w:vertAlign w:val="baseline"/>
        </w:rPr>
        <w:t> of this case, whilst no change is currently envisaged within the NI context, this continues to be a matter which should be closely monitored through continued analysis</w:t>
      </w:r>
      <w:r>
        <w:rPr>
          <w:spacing w:val="-6"/>
          <w:vertAlign w:val="baseline"/>
        </w:rPr>
        <w:t> </w:t>
      </w:r>
      <w:r>
        <w:rPr>
          <w:vertAlign w:val="baseline"/>
        </w:rPr>
        <w:t>of</w:t>
      </w:r>
      <w:r>
        <w:rPr>
          <w:spacing w:val="-6"/>
          <w:vertAlign w:val="baseline"/>
        </w:rPr>
        <w:t> </w:t>
      </w:r>
      <w:r>
        <w:rPr>
          <w:vertAlign w:val="baseline"/>
        </w:rPr>
        <w:t>CJEU</w:t>
      </w:r>
      <w:r>
        <w:rPr>
          <w:spacing w:val="-5"/>
          <w:vertAlign w:val="baseline"/>
        </w:rPr>
        <w:t> </w:t>
      </w:r>
      <w:r>
        <w:rPr>
          <w:vertAlign w:val="baseline"/>
        </w:rPr>
        <w:t>case</w:t>
      </w:r>
      <w:r>
        <w:rPr>
          <w:spacing w:val="-5"/>
          <w:vertAlign w:val="baseline"/>
        </w:rPr>
        <w:t> </w:t>
      </w:r>
      <w:r>
        <w:rPr>
          <w:vertAlign w:val="baseline"/>
        </w:rPr>
        <w:t>law</w:t>
      </w:r>
      <w:r>
        <w:rPr>
          <w:spacing w:val="-5"/>
          <w:vertAlign w:val="baseline"/>
        </w:rPr>
        <w:t> </w:t>
      </w:r>
      <w:r>
        <w:rPr>
          <w:vertAlign w:val="baseline"/>
        </w:rPr>
        <w:t>to</w:t>
      </w:r>
      <w:r>
        <w:rPr>
          <w:spacing w:val="-6"/>
          <w:vertAlign w:val="baseline"/>
        </w:rPr>
        <w:t> </w:t>
      </w:r>
      <w:r>
        <w:rPr>
          <w:vertAlign w:val="baseline"/>
        </w:rPr>
        <w:t>determine</w:t>
      </w:r>
      <w:r>
        <w:rPr>
          <w:spacing w:val="-5"/>
          <w:vertAlign w:val="baseline"/>
        </w:rPr>
        <w:t> </w:t>
      </w:r>
      <w:r>
        <w:rPr>
          <w:vertAlign w:val="baseline"/>
        </w:rPr>
        <w:t>whether</w:t>
      </w:r>
      <w:r>
        <w:rPr>
          <w:spacing w:val="-5"/>
          <w:vertAlign w:val="baseline"/>
        </w:rPr>
        <w:t> </w:t>
      </w:r>
      <w:r>
        <w:rPr>
          <w:vertAlign w:val="baseline"/>
        </w:rPr>
        <w:t>this</w:t>
      </w:r>
      <w:r>
        <w:rPr>
          <w:spacing w:val="-6"/>
          <w:vertAlign w:val="baseline"/>
        </w:rPr>
        <w:t> </w:t>
      </w:r>
      <w:r>
        <w:rPr>
          <w:vertAlign w:val="baseline"/>
        </w:rPr>
        <w:t>could</w:t>
      </w:r>
      <w:r>
        <w:rPr>
          <w:spacing w:val="-6"/>
          <w:vertAlign w:val="baseline"/>
        </w:rPr>
        <w:t> </w:t>
      </w:r>
      <w:r>
        <w:rPr>
          <w:vertAlign w:val="baseline"/>
        </w:rPr>
        <w:t>have</w:t>
      </w:r>
      <w:r>
        <w:rPr>
          <w:spacing w:val="-5"/>
          <w:vertAlign w:val="baseline"/>
        </w:rPr>
        <w:t> </w:t>
      </w:r>
      <w:r>
        <w:rPr>
          <w:vertAlign w:val="baseline"/>
        </w:rPr>
        <w:t>future</w:t>
      </w:r>
      <w:r>
        <w:rPr>
          <w:spacing w:val="-5"/>
          <w:vertAlign w:val="baseline"/>
        </w:rPr>
        <w:t> </w:t>
      </w:r>
      <w:r>
        <w:rPr>
          <w:vertAlign w:val="baseline"/>
        </w:rPr>
        <w:t>implications for Northern Ireland should similar situations arise.</w:t>
      </w:r>
    </w:p>
    <w:p>
      <w:pPr>
        <w:pStyle w:val="BodyText"/>
        <w:spacing w:line="232" w:lineRule="auto" w:before="262"/>
        <w:ind w:left="720" w:right="1358"/>
      </w:pPr>
      <w:r>
        <w:rPr/>
        <w:t>Another relevant case is that of</w:t>
      </w:r>
      <w:r>
        <w:rPr>
          <w:spacing w:val="-1"/>
        </w:rPr>
        <w:t> </w:t>
      </w:r>
      <w:r>
        <w:rPr>
          <w:b/>
          <w:i/>
        </w:rPr>
        <w:t>VT v Ministero dell’Interno</w:t>
      </w:r>
      <w:r>
        <w:rPr>
          <w:vertAlign w:val="superscript"/>
        </w:rPr>
        <w:t>631</w:t>
      </w:r>
      <w:r>
        <w:rPr>
          <w:vertAlign w:val="baseline"/>
        </w:rPr>
        <w:t> which concerned a question of whether age discrimination was legitimate within the context of the given</w:t>
      </w:r>
      <w:r>
        <w:rPr>
          <w:spacing w:val="-3"/>
          <w:vertAlign w:val="baseline"/>
        </w:rPr>
        <w:t> </w:t>
      </w:r>
      <w:r>
        <w:rPr>
          <w:vertAlign w:val="baseline"/>
        </w:rPr>
        <w:t>factual</w:t>
      </w:r>
      <w:r>
        <w:rPr>
          <w:spacing w:val="-3"/>
          <w:vertAlign w:val="baseline"/>
        </w:rPr>
        <w:t> </w:t>
      </w:r>
      <w:r>
        <w:rPr>
          <w:vertAlign w:val="baseline"/>
        </w:rPr>
        <w:t>situation</w:t>
      </w:r>
      <w:r>
        <w:rPr>
          <w:spacing w:val="-3"/>
          <w:vertAlign w:val="baseline"/>
        </w:rPr>
        <w:t> </w:t>
      </w:r>
      <w:r>
        <w:rPr>
          <w:vertAlign w:val="baseline"/>
        </w:rPr>
        <w:t>and</w:t>
      </w:r>
      <w:r>
        <w:rPr>
          <w:spacing w:val="-3"/>
          <w:vertAlign w:val="baseline"/>
        </w:rPr>
        <w:t> </w:t>
      </w:r>
      <w:r>
        <w:rPr>
          <w:vertAlign w:val="baseline"/>
        </w:rPr>
        <w:t>in</w:t>
      </w:r>
      <w:r>
        <w:rPr>
          <w:spacing w:val="-3"/>
          <w:vertAlign w:val="baseline"/>
        </w:rPr>
        <w:t> </w:t>
      </w:r>
      <w:r>
        <w:rPr>
          <w:vertAlign w:val="baseline"/>
        </w:rPr>
        <w:t>light</w:t>
      </w:r>
      <w:r>
        <w:rPr>
          <w:spacing w:val="-2"/>
          <w:vertAlign w:val="baseline"/>
        </w:rPr>
        <w:t> </w:t>
      </w:r>
      <w:r>
        <w:rPr>
          <w:vertAlign w:val="baseline"/>
        </w:rPr>
        <w:t>of</w:t>
      </w:r>
      <w:r>
        <w:rPr>
          <w:spacing w:val="-3"/>
          <w:vertAlign w:val="baseline"/>
        </w:rPr>
        <w:t> </w:t>
      </w:r>
      <w:r>
        <w:rPr>
          <w:vertAlign w:val="baseline"/>
        </w:rPr>
        <w:t>Directive</w:t>
      </w:r>
      <w:r>
        <w:rPr>
          <w:spacing w:val="-2"/>
          <w:vertAlign w:val="baseline"/>
        </w:rPr>
        <w:t> </w:t>
      </w:r>
      <w:r>
        <w:rPr>
          <w:vertAlign w:val="baseline"/>
        </w:rPr>
        <w:t>2000/78/EC.</w:t>
      </w:r>
      <w:r>
        <w:rPr>
          <w:spacing w:val="-3"/>
          <w:vertAlign w:val="baseline"/>
        </w:rPr>
        <w:t> </w:t>
      </w:r>
      <w:r>
        <w:rPr>
          <w:vertAlign w:val="baseline"/>
        </w:rPr>
        <w:t>The</w:t>
      </w:r>
      <w:r>
        <w:rPr>
          <w:spacing w:val="-2"/>
          <w:vertAlign w:val="baseline"/>
        </w:rPr>
        <w:t> </w:t>
      </w:r>
      <w:r>
        <w:rPr>
          <w:vertAlign w:val="baseline"/>
        </w:rPr>
        <w:t>Court</w:t>
      </w:r>
      <w:r>
        <w:rPr>
          <w:spacing w:val="-2"/>
          <w:vertAlign w:val="baseline"/>
        </w:rPr>
        <w:t> </w:t>
      </w:r>
      <w:r>
        <w:rPr>
          <w:vertAlign w:val="baseline"/>
        </w:rPr>
        <w:t>highlighted that whilst Article 1 of Directive 2000/78/EC lays down a general framework for non-discrimination</w:t>
      </w:r>
      <w:r>
        <w:rPr>
          <w:spacing w:val="-12"/>
          <w:vertAlign w:val="baseline"/>
        </w:rPr>
        <w:t> </w:t>
      </w:r>
      <w:r>
        <w:rPr>
          <w:vertAlign w:val="baseline"/>
        </w:rPr>
        <w:t>(age</w:t>
      </w:r>
      <w:r>
        <w:rPr>
          <w:spacing w:val="-11"/>
          <w:vertAlign w:val="baseline"/>
        </w:rPr>
        <w:t> </w:t>
      </w:r>
      <w:r>
        <w:rPr>
          <w:vertAlign w:val="baseline"/>
        </w:rPr>
        <w:t>included)</w:t>
      </w:r>
      <w:r>
        <w:rPr>
          <w:spacing w:val="-12"/>
          <w:vertAlign w:val="baseline"/>
        </w:rPr>
        <w:t> </w:t>
      </w:r>
      <w:r>
        <w:rPr>
          <w:vertAlign w:val="baseline"/>
        </w:rPr>
        <w:t>with</w:t>
      </w:r>
      <w:r>
        <w:rPr>
          <w:spacing w:val="-12"/>
          <w:vertAlign w:val="baseline"/>
        </w:rPr>
        <w:t> </w:t>
      </w:r>
      <w:r>
        <w:rPr>
          <w:vertAlign w:val="baseline"/>
        </w:rPr>
        <w:t>regards</w:t>
      </w:r>
      <w:r>
        <w:rPr>
          <w:spacing w:val="-12"/>
          <w:vertAlign w:val="baseline"/>
        </w:rPr>
        <w:t> </w:t>
      </w:r>
      <w:r>
        <w:rPr>
          <w:vertAlign w:val="baseline"/>
        </w:rPr>
        <w:t>to</w:t>
      </w:r>
      <w:r>
        <w:rPr>
          <w:spacing w:val="-12"/>
          <w:vertAlign w:val="baseline"/>
        </w:rPr>
        <w:t> </w:t>
      </w:r>
      <w:r>
        <w:rPr>
          <w:vertAlign w:val="baseline"/>
        </w:rPr>
        <w:t>employment</w:t>
      </w:r>
      <w:r>
        <w:rPr>
          <w:spacing w:val="-11"/>
          <w:vertAlign w:val="baseline"/>
        </w:rPr>
        <w:t> </w:t>
      </w:r>
      <w:r>
        <w:rPr>
          <w:vertAlign w:val="baseline"/>
        </w:rPr>
        <w:t>and</w:t>
      </w:r>
      <w:r>
        <w:rPr>
          <w:spacing w:val="-12"/>
          <w:vertAlign w:val="baseline"/>
        </w:rPr>
        <w:t> </w:t>
      </w:r>
      <w:r>
        <w:rPr>
          <w:vertAlign w:val="baseline"/>
        </w:rPr>
        <w:t>occupation,</w:t>
      </w:r>
      <w:r>
        <w:rPr>
          <w:vertAlign w:val="superscript"/>
        </w:rPr>
        <w:t>632</w:t>
      </w:r>
      <w:r>
        <w:rPr>
          <w:vertAlign w:val="baseline"/>
        </w:rPr>
        <w:t> in limited circumstances differing treatment may be permissible.</w:t>
      </w:r>
    </w:p>
    <w:p>
      <w:pPr>
        <w:pStyle w:val="BodyText"/>
        <w:spacing w:line="232" w:lineRule="auto" w:before="274"/>
        <w:ind w:left="720" w:right="1087"/>
      </w:pPr>
      <w:r>
        <w:rPr/>
        <w:t>The question before the Court was whether specific provisions within Directive 2000/78/EC,</w:t>
      </w:r>
      <w:r>
        <w:rPr>
          <w:spacing w:val="-6"/>
        </w:rPr>
        <w:t> </w:t>
      </w:r>
      <w:r>
        <w:rPr/>
        <w:t>read</w:t>
      </w:r>
      <w:r>
        <w:rPr>
          <w:spacing w:val="-7"/>
        </w:rPr>
        <w:t> </w:t>
      </w:r>
      <w:r>
        <w:rPr/>
        <w:t>in</w:t>
      </w:r>
      <w:r>
        <w:rPr>
          <w:spacing w:val="-7"/>
        </w:rPr>
        <w:t> </w:t>
      </w:r>
      <w:r>
        <w:rPr/>
        <w:t>light</w:t>
      </w:r>
      <w:r>
        <w:rPr>
          <w:spacing w:val="-6"/>
        </w:rPr>
        <w:t> </w:t>
      </w:r>
      <w:r>
        <w:rPr/>
        <w:t>of</w:t>
      </w:r>
      <w:r>
        <w:rPr>
          <w:spacing w:val="-7"/>
        </w:rPr>
        <w:t> </w:t>
      </w:r>
      <w:r>
        <w:rPr/>
        <w:t>Article</w:t>
      </w:r>
      <w:r>
        <w:rPr>
          <w:spacing w:val="-6"/>
        </w:rPr>
        <w:t> </w:t>
      </w:r>
      <w:r>
        <w:rPr/>
        <w:t>21</w:t>
      </w:r>
      <w:r>
        <w:rPr>
          <w:spacing w:val="-6"/>
        </w:rPr>
        <w:t> </w:t>
      </w:r>
      <w:r>
        <w:rPr/>
        <w:t>of</w:t>
      </w:r>
      <w:r>
        <w:rPr>
          <w:spacing w:val="-7"/>
        </w:rPr>
        <w:t> </w:t>
      </w:r>
      <w:r>
        <w:rPr/>
        <w:t>the</w:t>
      </w:r>
      <w:r>
        <w:rPr>
          <w:spacing w:val="-6"/>
        </w:rPr>
        <w:t> </w:t>
      </w:r>
      <w:r>
        <w:rPr/>
        <w:t>Charter,</w:t>
      </w:r>
      <w:r>
        <w:rPr>
          <w:spacing w:val="-6"/>
        </w:rPr>
        <w:t> </w:t>
      </w:r>
      <w:r>
        <w:rPr/>
        <w:t>precluded</w:t>
      </w:r>
      <w:r>
        <w:rPr>
          <w:spacing w:val="-7"/>
        </w:rPr>
        <w:t> </w:t>
      </w:r>
      <w:r>
        <w:rPr/>
        <w:t>national</w:t>
      </w:r>
      <w:r>
        <w:rPr>
          <w:spacing w:val="-7"/>
        </w:rPr>
        <w:t> </w:t>
      </w:r>
      <w:r>
        <w:rPr/>
        <w:t>legislation from</w:t>
      </w:r>
      <w:r>
        <w:rPr>
          <w:spacing w:val="-5"/>
        </w:rPr>
        <w:t> </w:t>
      </w:r>
      <w:r>
        <w:rPr/>
        <w:t>having</w:t>
      </w:r>
      <w:r>
        <w:rPr>
          <w:spacing w:val="-5"/>
        </w:rPr>
        <w:t> </w:t>
      </w:r>
      <w:r>
        <w:rPr/>
        <w:t>an</w:t>
      </w:r>
      <w:r>
        <w:rPr>
          <w:spacing w:val="-6"/>
        </w:rPr>
        <w:t> </w:t>
      </w:r>
      <w:r>
        <w:rPr/>
        <w:t>upper</w:t>
      </w:r>
      <w:r>
        <w:rPr>
          <w:spacing w:val="-5"/>
        </w:rPr>
        <w:t> </w:t>
      </w:r>
      <w:r>
        <w:rPr/>
        <w:t>age</w:t>
      </w:r>
      <w:r>
        <w:rPr>
          <w:spacing w:val="-5"/>
        </w:rPr>
        <w:t> </w:t>
      </w:r>
      <w:r>
        <w:rPr/>
        <w:t>limit</w:t>
      </w:r>
      <w:r>
        <w:rPr>
          <w:spacing w:val="-5"/>
        </w:rPr>
        <w:t> </w:t>
      </w:r>
      <w:r>
        <w:rPr/>
        <w:t>in</w:t>
      </w:r>
      <w:r>
        <w:rPr>
          <w:spacing w:val="-6"/>
        </w:rPr>
        <w:t> </w:t>
      </w:r>
      <w:r>
        <w:rPr/>
        <w:t>the</w:t>
      </w:r>
      <w:r>
        <w:rPr>
          <w:spacing w:val="-5"/>
        </w:rPr>
        <w:t> </w:t>
      </w:r>
      <w:r>
        <w:rPr/>
        <w:t>recruitment</w:t>
      </w:r>
      <w:r>
        <w:rPr>
          <w:spacing w:val="-5"/>
        </w:rPr>
        <w:t> </w:t>
      </w:r>
      <w:r>
        <w:rPr/>
        <w:t>policies</w:t>
      </w:r>
      <w:r>
        <w:rPr>
          <w:spacing w:val="-6"/>
        </w:rPr>
        <w:t> </w:t>
      </w:r>
      <w:r>
        <w:rPr/>
        <w:t>of</w:t>
      </w:r>
      <w:r>
        <w:rPr>
          <w:spacing w:val="-6"/>
        </w:rPr>
        <w:t> </w:t>
      </w:r>
      <w:r>
        <w:rPr/>
        <w:t>police</w:t>
      </w:r>
      <w:r>
        <w:rPr>
          <w:spacing w:val="-5"/>
        </w:rPr>
        <w:t> </w:t>
      </w:r>
      <w:r>
        <w:rPr/>
        <w:t>commissioners. The CJEU held that the national legislation ‘has the consequence that certain persons are treated less favourably than other persons in comparable situations</w:t>
      </w:r>
    </w:p>
    <w:p>
      <w:pPr>
        <w:pStyle w:val="BodyText"/>
        <w:spacing w:line="232" w:lineRule="auto"/>
        <w:ind w:left="720" w:right="1493"/>
      </w:pPr>
      <w:r>
        <w:rPr/>
        <w:t>on</w:t>
      </w:r>
      <w:r>
        <w:rPr>
          <w:spacing w:val="-8"/>
        </w:rPr>
        <w:t> </w:t>
      </w:r>
      <w:r>
        <w:rPr/>
        <w:t>the</w:t>
      </w:r>
      <w:r>
        <w:rPr>
          <w:spacing w:val="-7"/>
        </w:rPr>
        <w:t> </w:t>
      </w:r>
      <w:r>
        <w:rPr/>
        <w:t>sole</w:t>
      </w:r>
      <w:r>
        <w:rPr>
          <w:spacing w:val="-7"/>
        </w:rPr>
        <w:t> </w:t>
      </w:r>
      <w:r>
        <w:rPr/>
        <w:t>ground</w:t>
      </w:r>
      <w:r>
        <w:rPr>
          <w:spacing w:val="-8"/>
        </w:rPr>
        <w:t> </w:t>
      </w:r>
      <w:r>
        <w:rPr/>
        <w:t>that</w:t>
      </w:r>
      <w:r>
        <w:rPr>
          <w:spacing w:val="-7"/>
        </w:rPr>
        <w:t> </w:t>
      </w:r>
      <w:r>
        <w:rPr/>
        <w:t>they</w:t>
      </w:r>
      <w:r>
        <w:rPr>
          <w:spacing w:val="-7"/>
        </w:rPr>
        <w:t> </w:t>
      </w:r>
      <w:r>
        <w:rPr/>
        <w:t>have</w:t>
      </w:r>
      <w:r>
        <w:rPr>
          <w:spacing w:val="-7"/>
        </w:rPr>
        <w:t> </w:t>
      </w:r>
      <w:r>
        <w:rPr/>
        <w:t>exceeded</w:t>
      </w:r>
      <w:r>
        <w:rPr>
          <w:spacing w:val="-8"/>
        </w:rPr>
        <w:t> </w:t>
      </w:r>
      <w:r>
        <w:rPr/>
        <w:t>the</w:t>
      </w:r>
      <w:r>
        <w:rPr>
          <w:spacing w:val="-7"/>
        </w:rPr>
        <w:t> </w:t>
      </w:r>
      <w:r>
        <w:rPr/>
        <w:t>age</w:t>
      </w:r>
      <w:r>
        <w:rPr>
          <w:spacing w:val="-7"/>
        </w:rPr>
        <w:t> </w:t>
      </w:r>
      <w:r>
        <w:rPr/>
        <w:t>of</w:t>
      </w:r>
      <w:r>
        <w:rPr>
          <w:spacing w:val="-8"/>
        </w:rPr>
        <w:t> </w:t>
      </w:r>
      <w:r>
        <w:rPr/>
        <w:t>30</w:t>
      </w:r>
      <w:r>
        <w:rPr>
          <w:spacing w:val="-7"/>
        </w:rPr>
        <w:t> </w:t>
      </w:r>
      <w:r>
        <w:rPr/>
        <w:t>years’</w:t>
      </w:r>
      <w:r>
        <w:rPr>
          <w:vertAlign w:val="superscript"/>
        </w:rPr>
        <w:t>633</w:t>
      </w:r>
      <w:r>
        <w:rPr>
          <w:spacing w:val="-8"/>
          <w:vertAlign w:val="baseline"/>
        </w:rPr>
        <w:t> </w:t>
      </w:r>
      <w:r>
        <w:rPr>
          <w:vertAlign w:val="baseline"/>
        </w:rPr>
        <w:t>and</w:t>
      </w:r>
      <w:r>
        <w:rPr>
          <w:spacing w:val="-8"/>
          <w:vertAlign w:val="baseline"/>
        </w:rPr>
        <w:t> </w:t>
      </w:r>
      <w:r>
        <w:rPr>
          <w:vertAlign w:val="baseline"/>
        </w:rPr>
        <w:t>thus</w:t>
      </w:r>
      <w:r>
        <w:rPr>
          <w:spacing w:val="-8"/>
          <w:vertAlign w:val="baseline"/>
        </w:rPr>
        <w:t> </w:t>
      </w:r>
      <w:r>
        <w:rPr>
          <w:vertAlign w:val="baseline"/>
        </w:rPr>
        <w:t>was a matter to determine whether such difference in age treatment as regards the recruitment of police commissioners was justified within Directive 2000/78.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5"/>
        <w:rPr>
          <w:sz w:val="20"/>
        </w:rPr>
      </w:pPr>
      <w:r>
        <w:rPr/>
        <mc:AlternateContent>
          <mc:Choice Requires="wps">
            <w:drawing>
              <wp:anchor distT="0" distB="0" distL="0" distR="0" allowOverlap="1" layoutInCell="1" locked="0" behindDoc="1" simplePos="0" relativeHeight="487776768">
                <wp:simplePos x="0" y="0"/>
                <wp:positionH relativeFrom="page">
                  <wp:posOffset>647999</wp:posOffset>
                </wp:positionH>
                <wp:positionV relativeFrom="paragraph">
                  <wp:posOffset>237032</wp:posOffset>
                </wp:positionV>
                <wp:extent cx="6012180" cy="1270"/>
                <wp:effectExtent l="0" t="0" r="0" b="0"/>
                <wp:wrapTopAndBottom/>
                <wp:docPr id="991" name="Graphic 991"/>
                <wp:cNvGraphicFramePr>
                  <a:graphicFrameLocks/>
                </wp:cNvGraphicFramePr>
                <a:graphic>
                  <a:graphicData uri="http://schemas.microsoft.com/office/word/2010/wordprocessingShape">
                    <wps:wsp>
                      <wps:cNvPr id="991" name="Graphic 991"/>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8.663986pt;width:473.4pt;height:.1pt;mso-position-horizontal-relative:page;mso-position-vertical-relative:paragraph;z-index:-15539712;mso-wrap-distance-left:0;mso-wrap-distance-right:0" id="docshape812" coordorigin="1020,373" coordsize="9468,0" path="m1020,373l10488,373e" filled="false" stroked="true" strokeweight=".5pt" strokecolor="#36a9e1">
                <v:path arrowok="t"/>
                <v:stroke dashstyle="solid"/>
                <w10:wrap type="topAndBottom"/>
              </v:shape>
            </w:pict>
          </mc:Fallback>
        </mc:AlternateContent>
      </w:r>
    </w:p>
    <w:p>
      <w:pPr>
        <w:pStyle w:val="ListParagraph"/>
        <w:numPr>
          <w:ilvl w:val="0"/>
          <w:numId w:val="51"/>
        </w:numPr>
        <w:tabs>
          <w:tab w:pos="1287" w:val="left" w:leader="none"/>
        </w:tabs>
        <w:spacing w:line="240" w:lineRule="auto" w:before="43" w:after="0"/>
        <w:ind w:left="1287" w:right="2462" w:hanging="567"/>
        <w:jc w:val="left"/>
        <w:rPr>
          <w:sz w:val="18"/>
        </w:rPr>
      </w:pPr>
      <w:r>
        <w:rPr>
          <w:sz w:val="18"/>
        </w:rPr>
        <w:t>C-650/21</w:t>
      </w:r>
      <w:r>
        <w:rPr>
          <w:spacing w:val="-7"/>
          <w:sz w:val="18"/>
        </w:rPr>
        <w:t> </w:t>
      </w:r>
      <w:hyperlink r:id="rId166">
        <w:r>
          <w:rPr>
            <w:color w:val="1D71B8"/>
            <w:sz w:val="18"/>
            <w:u w:val="single" w:color="1D71B8"/>
          </w:rPr>
          <w:t>Landespolizeidirektion</w:t>
        </w:r>
        <w:r>
          <w:rPr>
            <w:color w:val="1D71B8"/>
            <w:spacing w:val="-7"/>
            <w:sz w:val="18"/>
            <w:u w:val="single" w:color="1D71B8"/>
          </w:rPr>
          <w:t> </w:t>
        </w:r>
        <w:r>
          <w:rPr>
            <w:color w:val="1D71B8"/>
            <w:sz w:val="18"/>
            <w:u w:val="single" w:color="1D71B8"/>
          </w:rPr>
          <w:t>Niederösterreich</w:t>
        </w:r>
        <w:r>
          <w:rPr>
            <w:color w:val="1D71B8"/>
            <w:spacing w:val="-7"/>
            <w:sz w:val="18"/>
            <w:u w:val="single" w:color="1D71B8"/>
          </w:rPr>
          <w:t> </w:t>
        </w:r>
        <w:r>
          <w:rPr>
            <w:color w:val="1D71B8"/>
            <w:sz w:val="18"/>
            <w:u w:val="single" w:color="1D71B8"/>
          </w:rPr>
          <w:t>and</w:t>
        </w:r>
        <w:r>
          <w:rPr>
            <w:color w:val="1D71B8"/>
            <w:spacing w:val="-7"/>
            <w:sz w:val="18"/>
            <w:u w:val="single" w:color="1D71B8"/>
          </w:rPr>
          <w:t> </w:t>
        </w:r>
        <w:r>
          <w:rPr>
            <w:color w:val="1D71B8"/>
            <w:sz w:val="18"/>
            <w:u w:val="single" w:color="1D71B8"/>
          </w:rPr>
          <w:t>Finanzamt</w:t>
        </w:r>
        <w:r>
          <w:rPr>
            <w:color w:val="1D71B8"/>
            <w:spacing w:val="-6"/>
            <w:sz w:val="18"/>
            <w:u w:val="single" w:color="1D71B8"/>
          </w:rPr>
          <w:t> </w:t>
        </w:r>
        <w:r>
          <w:rPr>
            <w:color w:val="1D71B8"/>
            <w:sz w:val="18"/>
            <w:u w:val="single" w:color="1D71B8"/>
          </w:rPr>
          <w:t>Österreich</w:t>
        </w:r>
      </w:hyperlink>
      <w:r>
        <w:rPr>
          <w:sz w:val="18"/>
          <w:u w:val="none"/>
        </w:rPr>
        <w:t>,</w:t>
      </w:r>
      <w:r>
        <w:rPr>
          <w:spacing w:val="-6"/>
          <w:sz w:val="18"/>
          <w:u w:val="none"/>
        </w:rPr>
        <w:t> </w:t>
      </w:r>
      <w:r>
        <w:rPr>
          <w:sz w:val="18"/>
          <w:u w:val="none"/>
        </w:rPr>
        <w:t>judgment</w:t>
      </w:r>
      <w:r>
        <w:rPr>
          <w:spacing w:val="-6"/>
          <w:sz w:val="18"/>
          <w:u w:val="none"/>
        </w:rPr>
        <w:t> </w:t>
      </w:r>
      <w:r>
        <w:rPr>
          <w:sz w:val="18"/>
          <w:u w:val="none"/>
        </w:rPr>
        <w:t>of</w:t>
      </w:r>
      <w:r>
        <w:rPr>
          <w:spacing w:val="-7"/>
          <w:sz w:val="18"/>
          <w:u w:val="none"/>
        </w:rPr>
        <w:t> </w:t>
      </w:r>
      <w:r>
        <w:rPr>
          <w:sz w:val="18"/>
          <w:u w:val="none"/>
        </w:rPr>
        <w:t>20</w:t>
      </w:r>
      <w:r>
        <w:rPr>
          <w:spacing w:val="-6"/>
          <w:sz w:val="18"/>
          <w:u w:val="none"/>
        </w:rPr>
        <w:t> </w:t>
      </w:r>
      <w:r>
        <w:rPr>
          <w:sz w:val="18"/>
          <w:u w:val="none"/>
        </w:rPr>
        <w:t>April</w:t>
      </w:r>
      <w:r>
        <w:rPr>
          <w:spacing w:val="-7"/>
          <w:sz w:val="18"/>
          <w:u w:val="none"/>
        </w:rPr>
        <w:t> </w:t>
      </w:r>
      <w:r>
        <w:rPr>
          <w:sz w:val="18"/>
          <w:u w:val="none"/>
        </w:rPr>
        <w:t>2023, </w:t>
      </w:r>
      <w:r>
        <w:rPr>
          <w:spacing w:val="-2"/>
          <w:sz w:val="18"/>
          <w:u w:val="none"/>
        </w:rPr>
        <w:t>ECLI:EU:C:2023:300.</w:t>
      </w:r>
    </w:p>
    <w:p>
      <w:pPr>
        <w:pStyle w:val="ListParagraph"/>
        <w:numPr>
          <w:ilvl w:val="0"/>
          <w:numId w:val="51"/>
        </w:numPr>
        <w:tabs>
          <w:tab w:pos="1287" w:val="left" w:leader="none"/>
        </w:tabs>
        <w:spacing w:line="240" w:lineRule="auto" w:before="1"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8.</w:t>
      </w:r>
    </w:p>
    <w:p>
      <w:pPr>
        <w:pStyle w:val="ListParagraph"/>
        <w:numPr>
          <w:ilvl w:val="0"/>
          <w:numId w:val="51"/>
        </w:numPr>
        <w:tabs>
          <w:tab w:pos="1287" w:val="left" w:leader="none"/>
        </w:tabs>
        <w:spacing w:line="240" w:lineRule="auto" w:before="0" w:after="0"/>
        <w:ind w:left="1287" w:right="0" w:hanging="567"/>
        <w:jc w:val="left"/>
        <w:rPr>
          <w:sz w:val="18"/>
        </w:rPr>
      </w:pPr>
      <w:r>
        <w:rPr>
          <w:sz w:val="18"/>
        </w:rPr>
        <w:t>C-304/21</w:t>
      </w:r>
      <w:r>
        <w:rPr>
          <w:spacing w:val="-8"/>
          <w:sz w:val="18"/>
        </w:rPr>
        <w:t> </w:t>
      </w:r>
      <w:hyperlink r:id="rId167">
        <w:r>
          <w:rPr>
            <w:color w:val="1D71B8"/>
            <w:sz w:val="18"/>
            <w:u w:val="single" w:color="1D71B8"/>
          </w:rPr>
          <w:t>VT</w:t>
        </w:r>
        <w:r>
          <w:rPr>
            <w:color w:val="1D71B8"/>
            <w:spacing w:val="-5"/>
            <w:sz w:val="18"/>
            <w:u w:val="single" w:color="1D71B8"/>
          </w:rPr>
          <w:t> </w:t>
        </w:r>
        <w:r>
          <w:rPr>
            <w:color w:val="1D71B8"/>
            <w:sz w:val="18"/>
            <w:u w:val="single" w:color="1D71B8"/>
          </w:rPr>
          <w:t>v</w:t>
        </w:r>
        <w:r>
          <w:rPr>
            <w:color w:val="1D71B8"/>
            <w:spacing w:val="-5"/>
            <w:sz w:val="18"/>
            <w:u w:val="single" w:color="1D71B8"/>
          </w:rPr>
          <w:t> </w:t>
        </w:r>
        <w:r>
          <w:rPr>
            <w:color w:val="1D71B8"/>
            <w:sz w:val="18"/>
            <w:u w:val="single" w:color="1D71B8"/>
          </w:rPr>
          <w:t>Ministero</w:t>
        </w:r>
        <w:r>
          <w:rPr>
            <w:color w:val="1D71B8"/>
            <w:spacing w:val="-5"/>
            <w:sz w:val="18"/>
            <w:u w:val="single" w:color="1D71B8"/>
          </w:rPr>
          <w:t> </w:t>
        </w:r>
        <w:r>
          <w:rPr>
            <w:color w:val="1D71B8"/>
            <w:sz w:val="18"/>
            <w:u w:val="single" w:color="1D71B8"/>
          </w:rPr>
          <w:t>dell’Interno</w:t>
        </w:r>
        <w:r>
          <w:rPr>
            <w:color w:val="1D71B8"/>
            <w:spacing w:val="-6"/>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Ministero</w:t>
        </w:r>
        <w:r>
          <w:rPr>
            <w:color w:val="1D71B8"/>
            <w:spacing w:val="-6"/>
            <w:sz w:val="18"/>
            <w:u w:val="single" w:color="1D71B8"/>
          </w:rPr>
          <w:t> </w:t>
        </w:r>
        <w:r>
          <w:rPr>
            <w:color w:val="1D71B8"/>
            <w:sz w:val="18"/>
            <w:u w:val="single" w:color="1D71B8"/>
          </w:rPr>
          <w:t>dell’interno</w:t>
        </w:r>
      </w:hyperlink>
      <w:r>
        <w:rPr>
          <w:i/>
          <w:sz w:val="18"/>
          <w:u w:val="none"/>
        </w:rPr>
        <w:t>,</w:t>
      </w:r>
      <w:r>
        <w:rPr>
          <w:i/>
          <w:spacing w:val="-5"/>
          <w:sz w:val="18"/>
          <w:u w:val="none"/>
        </w:rPr>
        <w:t> </w:t>
      </w:r>
      <w:r>
        <w:rPr>
          <w:sz w:val="18"/>
          <w:u w:val="none"/>
        </w:rPr>
        <w:t>judgment</w:t>
      </w:r>
      <w:r>
        <w:rPr>
          <w:spacing w:val="-4"/>
          <w:sz w:val="18"/>
          <w:u w:val="none"/>
        </w:rPr>
        <w:t> </w:t>
      </w:r>
      <w:r>
        <w:rPr>
          <w:sz w:val="18"/>
          <w:u w:val="none"/>
        </w:rPr>
        <w:t>of</w:t>
      </w:r>
      <w:r>
        <w:rPr>
          <w:spacing w:val="-6"/>
          <w:sz w:val="18"/>
          <w:u w:val="none"/>
        </w:rPr>
        <w:t> </w:t>
      </w:r>
      <w:r>
        <w:rPr>
          <w:sz w:val="18"/>
          <w:u w:val="none"/>
        </w:rPr>
        <w:t>17</w:t>
      </w:r>
      <w:r>
        <w:rPr>
          <w:spacing w:val="-4"/>
          <w:sz w:val="18"/>
          <w:u w:val="none"/>
        </w:rPr>
        <w:t> </w:t>
      </w:r>
      <w:r>
        <w:rPr>
          <w:sz w:val="18"/>
          <w:u w:val="none"/>
        </w:rPr>
        <w:t>November</w:t>
      </w:r>
      <w:r>
        <w:rPr>
          <w:spacing w:val="-5"/>
          <w:sz w:val="18"/>
          <w:u w:val="none"/>
        </w:rPr>
        <w:t> </w:t>
      </w:r>
      <w:r>
        <w:rPr>
          <w:sz w:val="18"/>
          <w:u w:val="none"/>
        </w:rPr>
        <w:t>2022,</w:t>
      </w:r>
      <w:r>
        <w:rPr>
          <w:spacing w:val="-4"/>
          <w:sz w:val="18"/>
          <w:u w:val="none"/>
        </w:rPr>
        <w:t> </w:t>
      </w:r>
      <w:r>
        <w:rPr>
          <w:spacing w:val="-2"/>
          <w:sz w:val="18"/>
          <w:u w:val="none"/>
        </w:rPr>
        <w:t>ECLI:EU:C:2022:897.</w:t>
      </w:r>
    </w:p>
    <w:p>
      <w:pPr>
        <w:pStyle w:val="ListParagraph"/>
        <w:numPr>
          <w:ilvl w:val="0"/>
          <w:numId w:val="51"/>
        </w:numPr>
        <w:tabs>
          <w:tab w:pos="1287" w:val="left" w:leader="none"/>
        </w:tabs>
        <w:spacing w:line="240" w:lineRule="auto" w:before="0"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4.</w:t>
      </w:r>
    </w:p>
    <w:p>
      <w:pPr>
        <w:pStyle w:val="ListParagraph"/>
        <w:numPr>
          <w:ilvl w:val="0"/>
          <w:numId w:val="51"/>
        </w:numPr>
        <w:tabs>
          <w:tab w:pos="1287" w:val="left" w:leader="none"/>
        </w:tabs>
        <w:spacing w:line="240" w:lineRule="auto" w:before="1"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41.</w:t>
      </w:r>
    </w:p>
    <w:p>
      <w:pPr>
        <w:spacing w:after="0" w:line="240" w:lineRule="auto"/>
        <w:jc w:val="left"/>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920640">
                <wp:simplePos x="0" y="0"/>
                <wp:positionH relativeFrom="page">
                  <wp:posOffset>-2</wp:posOffset>
                </wp:positionH>
                <wp:positionV relativeFrom="page">
                  <wp:posOffset>0</wp:posOffset>
                </wp:positionV>
                <wp:extent cx="7560309" cy="1257935"/>
                <wp:effectExtent l="0" t="0" r="0" b="0"/>
                <wp:wrapNone/>
                <wp:docPr id="992" name="Group 992"/>
                <wp:cNvGraphicFramePr>
                  <a:graphicFrameLocks/>
                </wp:cNvGraphicFramePr>
                <a:graphic>
                  <a:graphicData uri="http://schemas.microsoft.com/office/word/2010/wordprocessingGroup">
                    <wpg:wgp>
                      <wpg:cNvPr id="992" name="Group 992"/>
                      <wpg:cNvGrpSpPr/>
                      <wpg:grpSpPr>
                        <a:xfrm>
                          <a:off x="0" y="0"/>
                          <a:ext cx="7560309" cy="1257935"/>
                          <a:chExt cx="7560309" cy="1257935"/>
                        </a:xfrm>
                      </wpg:grpSpPr>
                      <wps:wsp>
                        <wps:cNvPr id="993" name="Graphic 993"/>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994" name="Graphic 994"/>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995" name="Textbox 995"/>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996" name="Textbox 996"/>
                        <wps:cNvSpPr txBox="1"/>
                        <wps:spPr>
                          <a:xfrm>
                            <a:off x="7028829"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123</w:t>
                              </w:r>
                            </w:p>
                          </w:txbxContent>
                        </wps:txbx>
                        <wps:bodyPr wrap="square" lIns="0" tIns="0" rIns="0" bIns="0" rtlCol="0">
                          <a:noAutofit/>
                        </wps:bodyPr>
                      </wps:wsp>
                      <wps:wsp>
                        <wps:cNvPr id="997" name="Textbox 997"/>
                        <wps:cNvSpPr txBox="1"/>
                        <wps:spPr>
                          <a:xfrm>
                            <a:off x="900001" y="1080003"/>
                            <a:ext cx="3815715" cy="177800"/>
                          </a:xfrm>
                          <a:prstGeom prst="rect">
                            <a:avLst/>
                          </a:prstGeom>
                        </wps:spPr>
                        <wps:txbx>
                          <w:txbxContent>
                            <w:p>
                              <w:pPr>
                                <w:spacing w:line="280" w:lineRule="exact" w:before="0"/>
                                <w:ind w:left="0" w:right="0" w:firstLine="0"/>
                                <w:jc w:val="left"/>
                                <w:rPr>
                                  <w:sz w:val="28"/>
                                </w:rPr>
                              </w:pPr>
                              <w:r>
                                <w:rPr>
                                  <w:sz w:val="28"/>
                                </w:rPr>
                                <w:t>On</w:t>
                              </w:r>
                              <w:r>
                                <w:rPr>
                                  <w:spacing w:val="-6"/>
                                  <w:sz w:val="28"/>
                                </w:rPr>
                                <w:t> </w:t>
                              </w:r>
                              <w:r>
                                <w:rPr>
                                  <w:sz w:val="28"/>
                                </w:rPr>
                                <w:t>the</w:t>
                              </w:r>
                              <w:r>
                                <w:rPr>
                                  <w:spacing w:val="-4"/>
                                  <w:sz w:val="28"/>
                                </w:rPr>
                                <w:t> </w:t>
                              </w:r>
                              <w:r>
                                <w:rPr>
                                  <w:sz w:val="28"/>
                                </w:rPr>
                                <w:t>possible</w:t>
                              </w:r>
                              <w:r>
                                <w:rPr>
                                  <w:spacing w:val="-4"/>
                                  <w:sz w:val="28"/>
                                </w:rPr>
                                <w:t> </w:t>
                              </w:r>
                              <w:r>
                                <w:rPr>
                                  <w:sz w:val="28"/>
                                </w:rPr>
                                <w:t>justification,</w:t>
                              </w:r>
                              <w:r>
                                <w:rPr>
                                  <w:spacing w:val="-4"/>
                                  <w:sz w:val="28"/>
                                </w:rPr>
                                <w:t> </w:t>
                              </w:r>
                              <w:r>
                                <w:rPr>
                                  <w:sz w:val="28"/>
                                </w:rPr>
                                <w:t>the</w:t>
                              </w:r>
                              <w:r>
                                <w:rPr>
                                  <w:spacing w:val="-4"/>
                                  <w:sz w:val="28"/>
                                </w:rPr>
                                <w:t> </w:t>
                              </w:r>
                              <w:r>
                                <w:rPr>
                                  <w:sz w:val="28"/>
                                </w:rPr>
                                <w:t>Court</w:t>
                              </w:r>
                              <w:r>
                                <w:rPr>
                                  <w:spacing w:val="-4"/>
                                  <w:sz w:val="28"/>
                                </w:rPr>
                                <w:t> </w:t>
                              </w:r>
                              <w:r>
                                <w:rPr>
                                  <w:sz w:val="28"/>
                                </w:rPr>
                                <w:t>outlined</w:t>
                              </w:r>
                              <w:r>
                                <w:rPr>
                                  <w:spacing w:val="-5"/>
                                  <w:sz w:val="28"/>
                                </w:rPr>
                                <w:t> </w:t>
                              </w:r>
                              <w:r>
                                <w:rPr>
                                  <w:spacing w:val="-2"/>
                                  <w:sz w:val="28"/>
                                </w:rPr>
                                <w:t>that:</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920640" id="docshapegroup813" coordorigin="0,0" coordsize="11906,1981">
                <v:shape style="position:absolute;left:0;top:0;width:11906;height:1819" id="docshape814"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815"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069;top:636;width:446;height:280" type="#_x0000_t202" id="docshape816" filled="false" stroked="false">
                  <v:textbox inset="0,0,0,0">
                    <w:txbxContent>
                      <w:p>
                        <w:pPr>
                          <w:spacing w:line="280" w:lineRule="exact" w:before="0"/>
                          <w:ind w:left="0" w:right="0" w:firstLine="0"/>
                          <w:jc w:val="left"/>
                          <w:rPr>
                            <w:b/>
                            <w:sz w:val="28"/>
                          </w:rPr>
                        </w:pPr>
                        <w:r>
                          <w:rPr>
                            <w:b/>
                            <w:color w:val="FFFFFF"/>
                            <w:spacing w:val="-5"/>
                            <w:sz w:val="28"/>
                          </w:rPr>
                          <w:t>123</w:t>
                        </w:r>
                      </w:p>
                    </w:txbxContent>
                  </v:textbox>
                  <w10:wrap type="none"/>
                </v:shape>
                <v:shape style="position:absolute;left:1417;top:1700;width:6009;height:280" type="#_x0000_t202" id="docshape817" filled="false" stroked="false">
                  <v:textbox inset="0,0,0,0">
                    <w:txbxContent>
                      <w:p>
                        <w:pPr>
                          <w:spacing w:line="280" w:lineRule="exact" w:before="0"/>
                          <w:ind w:left="0" w:right="0" w:firstLine="0"/>
                          <w:jc w:val="left"/>
                          <w:rPr>
                            <w:sz w:val="28"/>
                          </w:rPr>
                        </w:pPr>
                        <w:r>
                          <w:rPr>
                            <w:sz w:val="28"/>
                          </w:rPr>
                          <w:t>On</w:t>
                        </w:r>
                        <w:r>
                          <w:rPr>
                            <w:spacing w:val="-6"/>
                            <w:sz w:val="28"/>
                          </w:rPr>
                          <w:t> </w:t>
                        </w:r>
                        <w:r>
                          <w:rPr>
                            <w:sz w:val="28"/>
                          </w:rPr>
                          <w:t>the</w:t>
                        </w:r>
                        <w:r>
                          <w:rPr>
                            <w:spacing w:val="-4"/>
                            <w:sz w:val="28"/>
                          </w:rPr>
                          <w:t> </w:t>
                        </w:r>
                        <w:r>
                          <w:rPr>
                            <w:sz w:val="28"/>
                          </w:rPr>
                          <w:t>possible</w:t>
                        </w:r>
                        <w:r>
                          <w:rPr>
                            <w:spacing w:val="-4"/>
                            <w:sz w:val="28"/>
                          </w:rPr>
                          <w:t> </w:t>
                        </w:r>
                        <w:r>
                          <w:rPr>
                            <w:sz w:val="28"/>
                          </w:rPr>
                          <w:t>justification,</w:t>
                        </w:r>
                        <w:r>
                          <w:rPr>
                            <w:spacing w:val="-4"/>
                            <w:sz w:val="28"/>
                          </w:rPr>
                          <w:t> </w:t>
                        </w:r>
                        <w:r>
                          <w:rPr>
                            <w:sz w:val="28"/>
                          </w:rPr>
                          <w:t>the</w:t>
                        </w:r>
                        <w:r>
                          <w:rPr>
                            <w:spacing w:val="-4"/>
                            <w:sz w:val="28"/>
                          </w:rPr>
                          <w:t> </w:t>
                        </w:r>
                        <w:r>
                          <w:rPr>
                            <w:sz w:val="28"/>
                          </w:rPr>
                          <w:t>Court</w:t>
                        </w:r>
                        <w:r>
                          <w:rPr>
                            <w:spacing w:val="-4"/>
                            <w:sz w:val="28"/>
                          </w:rPr>
                          <w:t> </w:t>
                        </w:r>
                        <w:r>
                          <w:rPr>
                            <w:sz w:val="28"/>
                          </w:rPr>
                          <w:t>outlined</w:t>
                        </w:r>
                        <w:r>
                          <w:rPr>
                            <w:spacing w:val="-5"/>
                            <w:sz w:val="28"/>
                          </w:rPr>
                          <w:t> </w:t>
                        </w:r>
                        <w:r>
                          <w:rPr>
                            <w:spacing w:val="-2"/>
                            <w:sz w:val="28"/>
                          </w:rPr>
                          <w:t>that:</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2"/>
        <w:rPr>
          <w:sz w:val="20"/>
        </w:rPr>
      </w:pPr>
    </w:p>
    <w:p>
      <w:pPr>
        <w:pStyle w:val="BodyText"/>
        <w:ind w:left="1117"/>
        <w:rPr>
          <w:sz w:val="20"/>
        </w:rPr>
      </w:pPr>
      <w:r>
        <w:rPr>
          <w:sz w:val="20"/>
        </w:rPr>
        <mc:AlternateContent>
          <mc:Choice Requires="wps">
            <w:drawing>
              <wp:inline distT="0" distB="0" distL="0" distR="0">
                <wp:extent cx="6012180" cy="1651635"/>
                <wp:effectExtent l="0" t="0" r="0" b="5714"/>
                <wp:docPr id="998" name="Group 998"/>
                <wp:cNvGraphicFramePr>
                  <a:graphicFrameLocks/>
                </wp:cNvGraphicFramePr>
                <a:graphic>
                  <a:graphicData uri="http://schemas.microsoft.com/office/word/2010/wordprocessingGroup">
                    <wpg:wgp>
                      <wpg:cNvPr id="998" name="Group 998"/>
                      <wpg:cNvGrpSpPr/>
                      <wpg:grpSpPr>
                        <a:xfrm>
                          <a:off x="0" y="0"/>
                          <a:ext cx="6012180" cy="1651635"/>
                          <a:chExt cx="6012180" cy="1651635"/>
                        </a:xfrm>
                      </wpg:grpSpPr>
                      <wps:wsp>
                        <wps:cNvPr id="999" name="Graphic 999"/>
                        <wps:cNvSpPr/>
                        <wps:spPr>
                          <a:xfrm>
                            <a:off x="0" y="0"/>
                            <a:ext cx="6012180" cy="1651635"/>
                          </a:xfrm>
                          <a:custGeom>
                            <a:avLst/>
                            <a:gdLst/>
                            <a:ahLst/>
                            <a:cxnLst/>
                            <a:rect l="l" t="t" r="r" b="b"/>
                            <a:pathLst>
                              <a:path w="6012180" h="1651635">
                                <a:moveTo>
                                  <a:pt x="5868009" y="0"/>
                                </a:moveTo>
                                <a:lnTo>
                                  <a:pt x="144005" y="0"/>
                                </a:lnTo>
                                <a:lnTo>
                                  <a:pt x="98490" y="7340"/>
                                </a:lnTo>
                                <a:lnTo>
                                  <a:pt x="58959" y="27782"/>
                                </a:lnTo>
                                <a:lnTo>
                                  <a:pt x="27785" y="58954"/>
                                </a:lnTo>
                                <a:lnTo>
                                  <a:pt x="7341" y="98485"/>
                                </a:lnTo>
                                <a:lnTo>
                                  <a:pt x="0" y="144005"/>
                                </a:lnTo>
                                <a:lnTo>
                                  <a:pt x="0" y="1507096"/>
                                </a:lnTo>
                                <a:lnTo>
                                  <a:pt x="7341" y="1552611"/>
                                </a:lnTo>
                                <a:lnTo>
                                  <a:pt x="27785" y="1592142"/>
                                </a:lnTo>
                                <a:lnTo>
                                  <a:pt x="58959" y="1623315"/>
                                </a:lnTo>
                                <a:lnTo>
                                  <a:pt x="98490" y="1643759"/>
                                </a:lnTo>
                                <a:lnTo>
                                  <a:pt x="144005" y="1651101"/>
                                </a:lnTo>
                                <a:lnTo>
                                  <a:pt x="5868009" y="1651101"/>
                                </a:lnTo>
                                <a:lnTo>
                                  <a:pt x="5913523" y="1643759"/>
                                </a:lnTo>
                                <a:lnTo>
                                  <a:pt x="5953050" y="1623315"/>
                                </a:lnTo>
                                <a:lnTo>
                                  <a:pt x="5984220" y="1592142"/>
                                </a:lnTo>
                                <a:lnTo>
                                  <a:pt x="6004661" y="1552611"/>
                                </a:lnTo>
                                <a:lnTo>
                                  <a:pt x="6012002" y="15070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00" name="Textbox 1000"/>
                        <wps:cNvSpPr txBox="1"/>
                        <wps:spPr>
                          <a:xfrm>
                            <a:off x="0" y="0"/>
                            <a:ext cx="6012180" cy="1651635"/>
                          </a:xfrm>
                          <a:prstGeom prst="rect">
                            <a:avLst/>
                          </a:prstGeom>
                        </wps:spPr>
                        <wps:txbx>
                          <w:txbxContent>
                            <w:p>
                              <w:pPr>
                                <w:spacing w:line="232" w:lineRule="auto" w:before="121"/>
                                <w:ind w:left="340" w:right="196" w:firstLine="0"/>
                                <w:jc w:val="left"/>
                                <w:rPr>
                                  <w:sz w:val="28"/>
                                </w:rPr>
                              </w:pPr>
                              <w:r>
                                <w:rPr>
                                  <w:color w:val="164194"/>
                                  <w:sz w:val="28"/>
                                </w:rPr>
                                <w:t>‘Article</w:t>
                              </w:r>
                              <w:r>
                                <w:rPr>
                                  <w:color w:val="164194"/>
                                  <w:spacing w:val="-10"/>
                                  <w:sz w:val="28"/>
                                </w:rPr>
                                <w:t> </w:t>
                              </w:r>
                              <w:r>
                                <w:rPr>
                                  <w:color w:val="164194"/>
                                  <w:sz w:val="28"/>
                                </w:rPr>
                                <w:t>4(1)</w:t>
                              </w:r>
                              <w:r>
                                <w:rPr>
                                  <w:color w:val="164194"/>
                                  <w:spacing w:val="-11"/>
                                  <w:sz w:val="28"/>
                                </w:rPr>
                                <w:t> </w:t>
                              </w:r>
                              <w:r>
                                <w:rPr>
                                  <w:color w:val="164194"/>
                                  <w:sz w:val="28"/>
                                </w:rPr>
                                <w:t>of</w:t>
                              </w:r>
                              <w:r>
                                <w:rPr>
                                  <w:color w:val="164194"/>
                                  <w:spacing w:val="-11"/>
                                  <w:sz w:val="28"/>
                                </w:rPr>
                                <w:t> </w:t>
                              </w:r>
                              <w:r>
                                <w:rPr>
                                  <w:color w:val="164194"/>
                                  <w:sz w:val="28"/>
                                </w:rPr>
                                <w:t>Directive</w:t>
                              </w:r>
                              <w:r>
                                <w:rPr>
                                  <w:color w:val="164194"/>
                                  <w:spacing w:val="-10"/>
                                  <w:sz w:val="28"/>
                                </w:rPr>
                                <w:t> </w:t>
                              </w:r>
                              <w:r>
                                <w:rPr>
                                  <w:color w:val="164194"/>
                                  <w:sz w:val="28"/>
                                </w:rPr>
                                <w:t>2000/78</w:t>
                              </w:r>
                              <w:r>
                                <w:rPr>
                                  <w:color w:val="164194"/>
                                  <w:spacing w:val="-10"/>
                                  <w:sz w:val="28"/>
                                </w:rPr>
                                <w:t> </w:t>
                              </w:r>
                              <w:r>
                                <w:rPr>
                                  <w:color w:val="164194"/>
                                  <w:sz w:val="28"/>
                                </w:rPr>
                                <w:t>provides</w:t>
                              </w:r>
                              <w:r>
                                <w:rPr>
                                  <w:color w:val="164194"/>
                                  <w:spacing w:val="-11"/>
                                  <w:sz w:val="28"/>
                                </w:rPr>
                                <w:t> </w:t>
                              </w:r>
                              <w:r>
                                <w:rPr>
                                  <w:color w:val="164194"/>
                                  <w:sz w:val="28"/>
                                </w:rPr>
                                <w:t>that</w:t>
                              </w:r>
                              <w:r>
                                <w:rPr>
                                  <w:color w:val="164194"/>
                                  <w:spacing w:val="-10"/>
                                  <w:sz w:val="28"/>
                                </w:rPr>
                                <w:t> </w:t>
                              </w:r>
                              <w:r>
                                <w:rPr>
                                  <w:color w:val="164194"/>
                                  <w:sz w:val="28"/>
                                </w:rPr>
                                <w:t>a</w:t>
                              </w:r>
                              <w:r>
                                <w:rPr>
                                  <w:color w:val="164194"/>
                                  <w:spacing w:val="-11"/>
                                  <w:sz w:val="28"/>
                                </w:rPr>
                                <w:t> </w:t>
                              </w:r>
                              <w:r>
                                <w:rPr>
                                  <w:color w:val="164194"/>
                                  <w:sz w:val="28"/>
                                </w:rPr>
                                <w:t>difference</w:t>
                              </w:r>
                              <w:r>
                                <w:rPr>
                                  <w:color w:val="164194"/>
                                  <w:spacing w:val="-10"/>
                                  <w:sz w:val="28"/>
                                </w:rPr>
                                <w:t> </w:t>
                              </w:r>
                              <w:r>
                                <w:rPr>
                                  <w:color w:val="164194"/>
                                  <w:sz w:val="28"/>
                                </w:rPr>
                                <w:t>of</w:t>
                              </w:r>
                              <w:r>
                                <w:rPr>
                                  <w:color w:val="164194"/>
                                  <w:spacing w:val="-11"/>
                                  <w:sz w:val="28"/>
                                </w:rPr>
                                <w:t> </w:t>
                              </w:r>
                              <w:r>
                                <w:rPr>
                                  <w:color w:val="164194"/>
                                  <w:sz w:val="28"/>
                                </w:rPr>
                                <w:t>treatment</w:t>
                              </w:r>
                              <w:r>
                                <w:rPr>
                                  <w:color w:val="164194"/>
                                  <w:spacing w:val="-10"/>
                                  <w:sz w:val="28"/>
                                </w:rPr>
                                <w:t> </w:t>
                              </w:r>
                              <w:r>
                                <w:rPr>
                                  <w:color w:val="164194"/>
                                  <w:sz w:val="28"/>
                                </w:rPr>
                                <w:t>which is based on a characteristic related to one of the grounds referred to in Article 1 of that directive is not to constitute discrimination where, by reason of the nature of the particular occupational activities concerned or of the context</w:t>
                              </w:r>
                            </w:p>
                            <w:p>
                              <w:pPr>
                                <w:spacing w:line="232" w:lineRule="auto" w:before="0"/>
                                <w:ind w:left="340" w:right="631" w:firstLine="0"/>
                                <w:jc w:val="left"/>
                                <w:rPr>
                                  <w:sz w:val="28"/>
                                </w:rPr>
                              </w:pPr>
                              <w:r>
                                <w:rPr>
                                  <w:color w:val="164194"/>
                                  <w:sz w:val="28"/>
                                </w:rPr>
                                <w:t>in which they are carried out, such a characteristic constitutes a genuine and</w:t>
                              </w:r>
                              <w:r>
                                <w:rPr>
                                  <w:color w:val="164194"/>
                                  <w:spacing w:val="-9"/>
                                  <w:sz w:val="28"/>
                                </w:rPr>
                                <w:t> </w:t>
                              </w:r>
                              <w:r>
                                <w:rPr>
                                  <w:color w:val="164194"/>
                                  <w:sz w:val="28"/>
                                </w:rPr>
                                <w:t>determining</w:t>
                              </w:r>
                              <w:r>
                                <w:rPr>
                                  <w:color w:val="164194"/>
                                  <w:spacing w:val="-9"/>
                                  <w:sz w:val="28"/>
                                </w:rPr>
                                <w:t> </w:t>
                              </w:r>
                              <w:r>
                                <w:rPr>
                                  <w:color w:val="164194"/>
                                  <w:sz w:val="28"/>
                                </w:rPr>
                                <w:t>occupational</w:t>
                              </w:r>
                              <w:r>
                                <w:rPr>
                                  <w:color w:val="164194"/>
                                  <w:spacing w:val="-9"/>
                                  <w:sz w:val="28"/>
                                </w:rPr>
                                <w:t> </w:t>
                              </w:r>
                              <w:r>
                                <w:rPr>
                                  <w:color w:val="164194"/>
                                  <w:sz w:val="28"/>
                                </w:rPr>
                                <w:t>requirement,</w:t>
                              </w:r>
                              <w:r>
                                <w:rPr>
                                  <w:color w:val="164194"/>
                                  <w:spacing w:val="-9"/>
                                  <w:sz w:val="28"/>
                                </w:rPr>
                                <w:t> </w:t>
                              </w:r>
                              <w:r>
                                <w:rPr>
                                  <w:color w:val="164194"/>
                                  <w:sz w:val="28"/>
                                </w:rPr>
                                <w:t>provided</w:t>
                              </w:r>
                              <w:r>
                                <w:rPr>
                                  <w:color w:val="164194"/>
                                  <w:spacing w:val="-9"/>
                                  <w:sz w:val="28"/>
                                </w:rPr>
                                <w:t> </w:t>
                              </w:r>
                              <w:r>
                                <w:rPr>
                                  <w:color w:val="164194"/>
                                  <w:sz w:val="28"/>
                                </w:rPr>
                                <w:t>that</w:t>
                              </w:r>
                              <w:r>
                                <w:rPr>
                                  <w:color w:val="164194"/>
                                  <w:spacing w:val="-9"/>
                                  <w:sz w:val="28"/>
                                </w:rPr>
                                <w:t> </w:t>
                              </w:r>
                              <w:r>
                                <w:rPr>
                                  <w:color w:val="164194"/>
                                  <w:sz w:val="28"/>
                                </w:rPr>
                                <w:t>the</w:t>
                              </w:r>
                              <w:r>
                                <w:rPr>
                                  <w:color w:val="164194"/>
                                  <w:spacing w:val="-9"/>
                                  <w:sz w:val="28"/>
                                </w:rPr>
                                <w:t> </w:t>
                              </w:r>
                              <w:r>
                                <w:rPr>
                                  <w:color w:val="164194"/>
                                  <w:sz w:val="28"/>
                                </w:rPr>
                                <w:t>objective</w:t>
                              </w:r>
                              <w:r>
                                <w:rPr>
                                  <w:color w:val="164194"/>
                                  <w:spacing w:val="-9"/>
                                  <w:sz w:val="28"/>
                                </w:rPr>
                                <w:t> </w:t>
                              </w:r>
                              <w:r>
                                <w:rPr>
                                  <w:color w:val="164194"/>
                                  <w:sz w:val="28"/>
                                </w:rPr>
                                <w:t>is legitimate and the requirement is proportionate.’</w:t>
                              </w:r>
                              <w:r>
                                <w:rPr>
                                  <w:color w:val="164194"/>
                                  <w:sz w:val="28"/>
                                  <w:vertAlign w:val="superscript"/>
                                </w:rPr>
                                <w:t>634</w:t>
                              </w:r>
                            </w:p>
                          </w:txbxContent>
                        </wps:txbx>
                        <wps:bodyPr wrap="square" lIns="0" tIns="0" rIns="0" bIns="0" rtlCol="0">
                          <a:noAutofit/>
                        </wps:bodyPr>
                      </wps:wsp>
                    </wpg:wgp>
                  </a:graphicData>
                </a:graphic>
              </wp:inline>
            </w:drawing>
          </mc:Choice>
          <mc:Fallback>
            <w:pict>
              <v:group style="width:473.4pt;height:130.0500pt;mso-position-horizontal-relative:char;mso-position-vertical-relative:line" id="docshapegroup818" coordorigin="0,0" coordsize="9468,2601">
                <v:shape style="position:absolute;left:0;top:0;width:9468;height:2601" id="docshape819" coordorigin="0,0" coordsize="9468,2601" path="m9241,0l227,0,155,12,93,44,44,93,12,155,0,227,0,2373,12,2445,44,2507,93,2556,155,2589,227,2600,9241,2600,9313,2589,9375,2556,9424,2507,9456,2445,9468,2373,9468,227,9456,155,9424,93,9375,44,9313,12,9241,0xe" filled="true" fillcolor="#e9f3fc" stroked="false">
                  <v:path arrowok="t"/>
                  <v:fill type="solid"/>
                </v:shape>
                <v:shape style="position:absolute;left:0;top:0;width:9468;height:2601" type="#_x0000_t202" id="docshape820" filled="false" stroked="false">
                  <v:textbox inset="0,0,0,0">
                    <w:txbxContent>
                      <w:p>
                        <w:pPr>
                          <w:spacing w:line="232" w:lineRule="auto" w:before="121"/>
                          <w:ind w:left="340" w:right="196" w:firstLine="0"/>
                          <w:jc w:val="left"/>
                          <w:rPr>
                            <w:sz w:val="28"/>
                          </w:rPr>
                        </w:pPr>
                        <w:r>
                          <w:rPr>
                            <w:color w:val="164194"/>
                            <w:sz w:val="28"/>
                          </w:rPr>
                          <w:t>‘Article</w:t>
                        </w:r>
                        <w:r>
                          <w:rPr>
                            <w:color w:val="164194"/>
                            <w:spacing w:val="-10"/>
                            <w:sz w:val="28"/>
                          </w:rPr>
                          <w:t> </w:t>
                        </w:r>
                        <w:r>
                          <w:rPr>
                            <w:color w:val="164194"/>
                            <w:sz w:val="28"/>
                          </w:rPr>
                          <w:t>4(1)</w:t>
                        </w:r>
                        <w:r>
                          <w:rPr>
                            <w:color w:val="164194"/>
                            <w:spacing w:val="-11"/>
                            <w:sz w:val="28"/>
                          </w:rPr>
                          <w:t> </w:t>
                        </w:r>
                        <w:r>
                          <w:rPr>
                            <w:color w:val="164194"/>
                            <w:sz w:val="28"/>
                          </w:rPr>
                          <w:t>of</w:t>
                        </w:r>
                        <w:r>
                          <w:rPr>
                            <w:color w:val="164194"/>
                            <w:spacing w:val="-11"/>
                            <w:sz w:val="28"/>
                          </w:rPr>
                          <w:t> </w:t>
                        </w:r>
                        <w:r>
                          <w:rPr>
                            <w:color w:val="164194"/>
                            <w:sz w:val="28"/>
                          </w:rPr>
                          <w:t>Directive</w:t>
                        </w:r>
                        <w:r>
                          <w:rPr>
                            <w:color w:val="164194"/>
                            <w:spacing w:val="-10"/>
                            <w:sz w:val="28"/>
                          </w:rPr>
                          <w:t> </w:t>
                        </w:r>
                        <w:r>
                          <w:rPr>
                            <w:color w:val="164194"/>
                            <w:sz w:val="28"/>
                          </w:rPr>
                          <w:t>2000/78</w:t>
                        </w:r>
                        <w:r>
                          <w:rPr>
                            <w:color w:val="164194"/>
                            <w:spacing w:val="-10"/>
                            <w:sz w:val="28"/>
                          </w:rPr>
                          <w:t> </w:t>
                        </w:r>
                        <w:r>
                          <w:rPr>
                            <w:color w:val="164194"/>
                            <w:sz w:val="28"/>
                          </w:rPr>
                          <w:t>provides</w:t>
                        </w:r>
                        <w:r>
                          <w:rPr>
                            <w:color w:val="164194"/>
                            <w:spacing w:val="-11"/>
                            <w:sz w:val="28"/>
                          </w:rPr>
                          <w:t> </w:t>
                        </w:r>
                        <w:r>
                          <w:rPr>
                            <w:color w:val="164194"/>
                            <w:sz w:val="28"/>
                          </w:rPr>
                          <w:t>that</w:t>
                        </w:r>
                        <w:r>
                          <w:rPr>
                            <w:color w:val="164194"/>
                            <w:spacing w:val="-10"/>
                            <w:sz w:val="28"/>
                          </w:rPr>
                          <w:t> </w:t>
                        </w:r>
                        <w:r>
                          <w:rPr>
                            <w:color w:val="164194"/>
                            <w:sz w:val="28"/>
                          </w:rPr>
                          <w:t>a</w:t>
                        </w:r>
                        <w:r>
                          <w:rPr>
                            <w:color w:val="164194"/>
                            <w:spacing w:val="-11"/>
                            <w:sz w:val="28"/>
                          </w:rPr>
                          <w:t> </w:t>
                        </w:r>
                        <w:r>
                          <w:rPr>
                            <w:color w:val="164194"/>
                            <w:sz w:val="28"/>
                          </w:rPr>
                          <w:t>difference</w:t>
                        </w:r>
                        <w:r>
                          <w:rPr>
                            <w:color w:val="164194"/>
                            <w:spacing w:val="-10"/>
                            <w:sz w:val="28"/>
                          </w:rPr>
                          <w:t> </w:t>
                        </w:r>
                        <w:r>
                          <w:rPr>
                            <w:color w:val="164194"/>
                            <w:sz w:val="28"/>
                          </w:rPr>
                          <w:t>of</w:t>
                        </w:r>
                        <w:r>
                          <w:rPr>
                            <w:color w:val="164194"/>
                            <w:spacing w:val="-11"/>
                            <w:sz w:val="28"/>
                          </w:rPr>
                          <w:t> </w:t>
                        </w:r>
                        <w:r>
                          <w:rPr>
                            <w:color w:val="164194"/>
                            <w:sz w:val="28"/>
                          </w:rPr>
                          <w:t>treatment</w:t>
                        </w:r>
                        <w:r>
                          <w:rPr>
                            <w:color w:val="164194"/>
                            <w:spacing w:val="-10"/>
                            <w:sz w:val="28"/>
                          </w:rPr>
                          <w:t> </w:t>
                        </w:r>
                        <w:r>
                          <w:rPr>
                            <w:color w:val="164194"/>
                            <w:sz w:val="28"/>
                          </w:rPr>
                          <w:t>which is based on a characteristic related to one of the grounds referred to in Article 1 of that directive is not to constitute discrimination where, by reason of the nature of the particular occupational activities concerned or of the context</w:t>
                        </w:r>
                      </w:p>
                      <w:p>
                        <w:pPr>
                          <w:spacing w:line="232" w:lineRule="auto" w:before="0"/>
                          <w:ind w:left="340" w:right="631" w:firstLine="0"/>
                          <w:jc w:val="left"/>
                          <w:rPr>
                            <w:sz w:val="28"/>
                          </w:rPr>
                        </w:pPr>
                        <w:r>
                          <w:rPr>
                            <w:color w:val="164194"/>
                            <w:sz w:val="28"/>
                          </w:rPr>
                          <w:t>in which they are carried out, such a characteristic constitutes a genuine and</w:t>
                        </w:r>
                        <w:r>
                          <w:rPr>
                            <w:color w:val="164194"/>
                            <w:spacing w:val="-9"/>
                            <w:sz w:val="28"/>
                          </w:rPr>
                          <w:t> </w:t>
                        </w:r>
                        <w:r>
                          <w:rPr>
                            <w:color w:val="164194"/>
                            <w:sz w:val="28"/>
                          </w:rPr>
                          <w:t>determining</w:t>
                        </w:r>
                        <w:r>
                          <w:rPr>
                            <w:color w:val="164194"/>
                            <w:spacing w:val="-9"/>
                            <w:sz w:val="28"/>
                          </w:rPr>
                          <w:t> </w:t>
                        </w:r>
                        <w:r>
                          <w:rPr>
                            <w:color w:val="164194"/>
                            <w:sz w:val="28"/>
                          </w:rPr>
                          <w:t>occupational</w:t>
                        </w:r>
                        <w:r>
                          <w:rPr>
                            <w:color w:val="164194"/>
                            <w:spacing w:val="-9"/>
                            <w:sz w:val="28"/>
                          </w:rPr>
                          <w:t> </w:t>
                        </w:r>
                        <w:r>
                          <w:rPr>
                            <w:color w:val="164194"/>
                            <w:sz w:val="28"/>
                          </w:rPr>
                          <w:t>requirement,</w:t>
                        </w:r>
                        <w:r>
                          <w:rPr>
                            <w:color w:val="164194"/>
                            <w:spacing w:val="-9"/>
                            <w:sz w:val="28"/>
                          </w:rPr>
                          <w:t> </w:t>
                        </w:r>
                        <w:r>
                          <w:rPr>
                            <w:color w:val="164194"/>
                            <w:sz w:val="28"/>
                          </w:rPr>
                          <w:t>provided</w:t>
                        </w:r>
                        <w:r>
                          <w:rPr>
                            <w:color w:val="164194"/>
                            <w:spacing w:val="-9"/>
                            <w:sz w:val="28"/>
                          </w:rPr>
                          <w:t> </w:t>
                        </w:r>
                        <w:r>
                          <w:rPr>
                            <w:color w:val="164194"/>
                            <w:sz w:val="28"/>
                          </w:rPr>
                          <w:t>that</w:t>
                        </w:r>
                        <w:r>
                          <w:rPr>
                            <w:color w:val="164194"/>
                            <w:spacing w:val="-9"/>
                            <w:sz w:val="28"/>
                          </w:rPr>
                          <w:t> </w:t>
                        </w:r>
                        <w:r>
                          <w:rPr>
                            <w:color w:val="164194"/>
                            <w:sz w:val="28"/>
                          </w:rPr>
                          <w:t>the</w:t>
                        </w:r>
                        <w:r>
                          <w:rPr>
                            <w:color w:val="164194"/>
                            <w:spacing w:val="-9"/>
                            <w:sz w:val="28"/>
                          </w:rPr>
                          <w:t> </w:t>
                        </w:r>
                        <w:r>
                          <w:rPr>
                            <w:color w:val="164194"/>
                            <w:sz w:val="28"/>
                          </w:rPr>
                          <w:t>objective</w:t>
                        </w:r>
                        <w:r>
                          <w:rPr>
                            <w:color w:val="164194"/>
                            <w:spacing w:val="-9"/>
                            <w:sz w:val="28"/>
                          </w:rPr>
                          <w:t> </w:t>
                        </w:r>
                        <w:r>
                          <w:rPr>
                            <w:color w:val="164194"/>
                            <w:sz w:val="28"/>
                          </w:rPr>
                          <w:t>is legitimate and the requirement is proportionate.’</w:t>
                        </w:r>
                        <w:r>
                          <w:rPr>
                            <w:color w:val="164194"/>
                            <w:sz w:val="28"/>
                            <w:vertAlign w:val="superscript"/>
                          </w:rPr>
                          <w:t>634</w:t>
                        </w:r>
                      </w:p>
                    </w:txbxContent>
                  </v:textbox>
                  <w10:wrap type="none"/>
                </v:shape>
              </v:group>
            </w:pict>
          </mc:Fallback>
        </mc:AlternateContent>
      </w:r>
      <w:r>
        <w:rPr>
          <w:sz w:val="20"/>
        </w:rPr>
      </w:r>
    </w:p>
    <w:p>
      <w:pPr>
        <w:pStyle w:val="BodyText"/>
        <w:spacing w:before="185"/>
        <w:ind w:left="1117"/>
      </w:pPr>
      <w:r>
        <w:rPr/>
        <w:t>The</w:t>
      </w:r>
      <w:r>
        <w:rPr>
          <w:spacing w:val="-4"/>
        </w:rPr>
        <w:t> </w:t>
      </w:r>
      <w:r>
        <w:rPr/>
        <w:t>Court</w:t>
      </w:r>
      <w:r>
        <w:rPr>
          <w:spacing w:val="-4"/>
        </w:rPr>
        <w:t> </w:t>
      </w:r>
      <w:r>
        <w:rPr/>
        <w:t>initially</w:t>
      </w:r>
      <w:r>
        <w:rPr>
          <w:spacing w:val="-4"/>
        </w:rPr>
        <w:t> </w:t>
      </w:r>
      <w:r>
        <w:rPr/>
        <w:t>also</w:t>
      </w:r>
      <w:r>
        <w:rPr>
          <w:spacing w:val="-5"/>
        </w:rPr>
        <w:t> </w:t>
      </w:r>
      <w:r>
        <w:rPr/>
        <w:t>outlined</w:t>
      </w:r>
      <w:r>
        <w:rPr>
          <w:spacing w:val="-5"/>
        </w:rPr>
        <w:t> </w:t>
      </w:r>
      <w:r>
        <w:rPr/>
        <w:t>Recitals</w:t>
      </w:r>
      <w:r>
        <w:rPr>
          <w:spacing w:val="-5"/>
        </w:rPr>
        <w:t> </w:t>
      </w:r>
      <w:r>
        <w:rPr/>
        <w:t>18</w:t>
      </w:r>
      <w:r>
        <w:rPr>
          <w:spacing w:val="-4"/>
        </w:rPr>
        <w:t> </w:t>
      </w:r>
      <w:r>
        <w:rPr/>
        <w:t>and</w:t>
      </w:r>
      <w:r>
        <w:rPr>
          <w:spacing w:val="-5"/>
        </w:rPr>
        <w:t> </w:t>
      </w:r>
      <w:r>
        <w:rPr/>
        <w:t>23</w:t>
      </w:r>
      <w:r>
        <w:rPr>
          <w:spacing w:val="-4"/>
        </w:rPr>
        <w:t> </w:t>
      </w:r>
      <w:r>
        <w:rPr/>
        <w:t>of</w:t>
      </w:r>
      <w:r>
        <w:rPr>
          <w:spacing w:val="-5"/>
        </w:rPr>
        <w:t> </w:t>
      </w:r>
      <w:r>
        <w:rPr/>
        <w:t>Directive</w:t>
      </w:r>
      <w:r>
        <w:rPr>
          <w:spacing w:val="-4"/>
        </w:rPr>
        <w:t> </w:t>
      </w:r>
      <w:r>
        <w:rPr>
          <w:spacing w:val="-2"/>
        </w:rPr>
        <w:t>2000/78:</w:t>
      </w:r>
    </w:p>
    <w:p>
      <w:pPr>
        <w:pStyle w:val="BodyText"/>
        <w:spacing w:before="3"/>
        <w:rPr>
          <w:sz w:val="20"/>
        </w:rPr>
      </w:pPr>
      <w:r>
        <w:rPr/>
        <mc:AlternateContent>
          <mc:Choice Requires="wps">
            <w:drawing>
              <wp:anchor distT="0" distB="0" distL="0" distR="0" allowOverlap="1" layoutInCell="1" locked="0" behindDoc="1" simplePos="0" relativeHeight="487778304">
                <wp:simplePos x="0" y="0"/>
                <wp:positionH relativeFrom="page">
                  <wp:posOffset>899994</wp:posOffset>
                </wp:positionH>
                <wp:positionV relativeFrom="paragraph">
                  <wp:posOffset>172658</wp:posOffset>
                </wp:positionV>
                <wp:extent cx="6012180" cy="2640330"/>
                <wp:effectExtent l="0" t="0" r="0" b="0"/>
                <wp:wrapTopAndBottom/>
                <wp:docPr id="1001" name="Group 1001"/>
                <wp:cNvGraphicFramePr>
                  <a:graphicFrameLocks/>
                </wp:cNvGraphicFramePr>
                <a:graphic>
                  <a:graphicData uri="http://schemas.microsoft.com/office/word/2010/wordprocessingGroup">
                    <wpg:wgp>
                      <wpg:cNvPr id="1001" name="Group 1001"/>
                      <wpg:cNvGrpSpPr/>
                      <wpg:grpSpPr>
                        <a:xfrm>
                          <a:off x="0" y="0"/>
                          <a:ext cx="6012180" cy="2640330"/>
                          <a:chExt cx="6012180" cy="2640330"/>
                        </a:xfrm>
                      </wpg:grpSpPr>
                      <wps:wsp>
                        <wps:cNvPr id="1002" name="Graphic 1002"/>
                        <wps:cNvSpPr/>
                        <wps:spPr>
                          <a:xfrm>
                            <a:off x="-8" y="9"/>
                            <a:ext cx="6012180" cy="2640330"/>
                          </a:xfrm>
                          <a:custGeom>
                            <a:avLst/>
                            <a:gdLst/>
                            <a:ahLst/>
                            <a:cxnLst/>
                            <a:rect l="l" t="t" r="r" b="b"/>
                            <a:pathLst>
                              <a:path w="6012180" h="2640330">
                                <a:moveTo>
                                  <a:pt x="6012002" y="144005"/>
                                </a:moveTo>
                                <a:lnTo>
                                  <a:pt x="6004661" y="98475"/>
                                </a:lnTo>
                                <a:lnTo>
                                  <a:pt x="5984227" y="58953"/>
                                </a:lnTo>
                                <a:lnTo>
                                  <a:pt x="5953049" y="27774"/>
                                </a:lnTo>
                                <a:lnTo>
                                  <a:pt x="5913526" y="7340"/>
                                </a:lnTo>
                                <a:lnTo>
                                  <a:pt x="5868009" y="0"/>
                                </a:lnTo>
                                <a:lnTo>
                                  <a:pt x="144005" y="0"/>
                                </a:lnTo>
                                <a:lnTo>
                                  <a:pt x="98488" y="7340"/>
                                </a:lnTo>
                                <a:lnTo>
                                  <a:pt x="58966" y="27774"/>
                                </a:lnTo>
                                <a:lnTo>
                                  <a:pt x="27787" y="58953"/>
                                </a:lnTo>
                                <a:lnTo>
                                  <a:pt x="7340" y="98475"/>
                                </a:lnTo>
                                <a:lnTo>
                                  <a:pt x="0" y="144005"/>
                                </a:lnTo>
                                <a:lnTo>
                                  <a:pt x="0" y="1232001"/>
                                </a:lnTo>
                                <a:lnTo>
                                  <a:pt x="6012002" y="1232001"/>
                                </a:lnTo>
                                <a:lnTo>
                                  <a:pt x="6012002" y="144005"/>
                                </a:lnTo>
                                <a:close/>
                              </a:path>
                              <a:path w="6012180" h="2640330">
                                <a:moveTo>
                                  <a:pt x="6012015" y="1617294"/>
                                </a:moveTo>
                                <a:lnTo>
                                  <a:pt x="12" y="1617294"/>
                                </a:lnTo>
                                <a:lnTo>
                                  <a:pt x="12" y="2495740"/>
                                </a:lnTo>
                                <a:lnTo>
                                  <a:pt x="7353" y="2541257"/>
                                </a:lnTo>
                                <a:lnTo>
                                  <a:pt x="27787" y="2580792"/>
                                </a:lnTo>
                                <a:lnTo>
                                  <a:pt x="58966" y="2611958"/>
                                </a:lnTo>
                                <a:lnTo>
                                  <a:pt x="98488" y="2632405"/>
                                </a:lnTo>
                                <a:lnTo>
                                  <a:pt x="144018" y="2639745"/>
                                </a:lnTo>
                                <a:lnTo>
                                  <a:pt x="5868009" y="2639745"/>
                                </a:lnTo>
                                <a:lnTo>
                                  <a:pt x="5913513" y="2632405"/>
                                </a:lnTo>
                                <a:lnTo>
                                  <a:pt x="5953049" y="2611958"/>
                                </a:lnTo>
                                <a:lnTo>
                                  <a:pt x="5984227" y="2580792"/>
                                </a:lnTo>
                                <a:lnTo>
                                  <a:pt x="6004661" y="2541257"/>
                                </a:lnTo>
                                <a:lnTo>
                                  <a:pt x="6012015" y="2495740"/>
                                </a:lnTo>
                                <a:lnTo>
                                  <a:pt x="6012015" y="1617294"/>
                                </a:lnTo>
                                <a:close/>
                              </a:path>
                            </a:pathLst>
                          </a:custGeom>
                          <a:solidFill>
                            <a:srgbClr val="E9F3FC"/>
                          </a:solidFill>
                        </wps:spPr>
                        <wps:bodyPr wrap="square" lIns="0" tIns="0" rIns="0" bIns="0" rtlCol="0">
                          <a:prstTxWarp prst="textNoShape">
                            <a:avLst/>
                          </a:prstTxWarp>
                          <a:noAutofit/>
                        </wps:bodyPr>
                      </wps:wsp>
                      <wps:wsp>
                        <wps:cNvPr id="1003" name="Textbox 1003"/>
                        <wps:cNvSpPr txBox="1"/>
                        <wps:spPr>
                          <a:xfrm>
                            <a:off x="0" y="0"/>
                            <a:ext cx="6012180" cy="1232535"/>
                          </a:xfrm>
                          <a:prstGeom prst="rect">
                            <a:avLst/>
                          </a:prstGeom>
                        </wps:spPr>
                        <wps:txbx>
                          <w:txbxContent>
                            <w:p>
                              <w:pPr>
                                <w:spacing w:line="232" w:lineRule="auto" w:before="121"/>
                                <w:ind w:left="340" w:right="196" w:firstLine="0"/>
                                <w:jc w:val="left"/>
                                <w:rPr>
                                  <w:sz w:val="28"/>
                                </w:rPr>
                              </w:pPr>
                              <w:r>
                                <w:rPr>
                                  <w:color w:val="164194"/>
                                  <w:sz w:val="28"/>
                                </w:rPr>
                                <w:t>‘(18)</w:t>
                              </w:r>
                              <w:r>
                                <w:rPr>
                                  <w:color w:val="164194"/>
                                  <w:spacing w:val="-8"/>
                                  <w:sz w:val="28"/>
                                </w:rPr>
                                <w:t> </w:t>
                              </w:r>
                              <w:r>
                                <w:rPr>
                                  <w:color w:val="164194"/>
                                  <w:sz w:val="28"/>
                                </w:rPr>
                                <w:t>This</w:t>
                              </w:r>
                              <w:r>
                                <w:rPr>
                                  <w:color w:val="164194"/>
                                  <w:spacing w:val="-8"/>
                                  <w:sz w:val="28"/>
                                </w:rPr>
                                <w:t> </w:t>
                              </w:r>
                              <w:r>
                                <w:rPr>
                                  <w:color w:val="164194"/>
                                  <w:sz w:val="28"/>
                                </w:rPr>
                                <w:t>Directive</w:t>
                              </w:r>
                              <w:r>
                                <w:rPr>
                                  <w:color w:val="164194"/>
                                  <w:spacing w:val="-7"/>
                                  <w:sz w:val="28"/>
                                </w:rPr>
                                <w:t> </w:t>
                              </w:r>
                              <w:r>
                                <w:rPr>
                                  <w:color w:val="164194"/>
                                  <w:sz w:val="28"/>
                                </w:rPr>
                                <w:t>does</w:t>
                              </w:r>
                              <w:r>
                                <w:rPr>
                                  <w:color w:val="164194"/>
                                  <w:spacing w:val="-8"/>
                                  <w:sz w:val="28"/>
                                </w:rPr>
                                <w:t> </w:t>
                              </w:r>
                              <w:r>
                                <w:rPr>
                                  <w:color w:val="164194"/>
                                  <w:sz w:val="28"/>
                                </w:rPr>
                                <w:t>not</w:t>
                              </w:r>
                              <w:r>
                                <w:rPr>
                                  <w:color w:val="164194"/>
                                  <w:spacing w:val="-7"/>
                                  <w:sz w:val="28"/>
                                </w:rPr>
                                <w:t> </w:t>
                              </w:r>
                              <w:r>
                                <w:rPr>
                                  <w:color w:val="164194"/>
                                  <w:sz w:val="28"/>
                                </w:rPr>
                                <w:t>require,</w:t>
                              </w:r>
                              <w:r>
                                <w:rPr>
                                  <w:color w:val="164194"/>
                                  <w:spacing w:val="-7"/>
                                  <w:sz w:val="28"/>
                                </w:rPr>
                                <w:t> </w:t>
                              </w:r>
                              <w:r>
                                <w:rPr>
                                  <w:color w:val="164194"/>
                                  <w:sz w:val="28"/>
                                </w:rPr>
                                <w:t>in</w:t>
                              </w:r>
                              <w:r>
                                <w:rPr>
                                  <w:color w:val="164194"/>
                                  <w:spacing w:val="-8"/>
                                  <w:sz w:val="28"/>
                                </w:rPr>
                                <w:t> </w:t>
                              </w:r>
                              <w:r>
                                <w:rPr>
                                  <w:color w:val="164194"/>
                                  <w:sz w:val="28"/>
                                </w:rPr>
                                <w:t>particular,</w:t>
                              </w:r>
                              <w:r>
                                <w:rPr>
                                  <w:color w:val="164194"/>
                                  <w:spacing w:val="-7"/>
                                  <w:sz w:val="28"/>
                                </w:rPr>
                                <w:t> </w:t>
                              </w:r>
                              <w:r>
                                <w:rPr>
                                  <w:color w:val="164194"/>
                                  <w:sz w:val="28"/>
                                </w:rPr>
                                <w:t>the</w:t>
                              </w:r>
                              <w:r>
                                <w:rPr>
                                  <w:color w:val="164194"/>
                                  <w:spacing w:val="-7"/>
                                  <w:sz w:val="28"/>
                                </w:rPr>
                                <w:t> </w:t>
                              </w:r>
                              <w:r>
                                <w:rPr>
                                  <w:color w:val="164194"/>
                                  <w:sz w:val="28"/>
                                </w:rPr>
                                <w:t>armed</w:t>
                              </w:r>
                              <w:r>
                                <w:rPr>
                                  <w:color w:val="164194"/>
                                  <w:spacing w:val="-8"/>
                                  <w:sz w:val="28"/>
                                </w:rPr>
                                <w:t> </w:t>
                              </w:r>
                              <w:r>
                                <w:rPr>
                                  <w:color w:val="164194"/>
                                  <w:sz w:val="28"/>
                                </w:rPr>
                                <w:t>forces</w:t>
                              </w:r>
                              <w:r>
                                <w:rPr>
                                  <w:color w:val="164194"/>
                                  <w:spacing w:val="-8"/>
                                  <w:sz w:val="28"/>
                                </w:rPr>
                                <w:t> </w:t>
                              </w:r>
                              <w:r>
                                <w:rPr>
                                  <w:color w:val="164194"/>
                                  <w:sz w:val="28"/>
                                </w:rPr>
                                <w:t>and</w:t>
                              </w:r>
                              <w:r>
                                <w:rPr>
                                  <w:color w:val="164194"/>
                                  <w:spacing w:val="-8"/>
                                  <w:sz w:val="28"/>
                                </w:rPr>
                                <w:t> </w:t>
                              </w:r>
                              <w:r>
                                <w:rPr>
                                  <w:color w:val="164194"/>
                                  <w:sz w:val="28"/>
                                </w:rPr>
                                <w:t>the police, prison or emergency services to recruit or maintain in employment persons who do not have the required capacity to carry out the range</w:t>
                              </w:r>
                            </w:p>
                            <w:p>
                              <w:pPr>
                                <w:spacing w:line="232" w:lineRule="auto" w:before="0"/>
                                <w:ind w:left="340" w:right="196" w:firstLine="0"/>
                                <w:jc w:val="left"/>
                                <w:rPr>
                                  <w:sz w:val="28"/>
                                </w:rPr>
                              </w:pPr>
                              <w:r>
                                <w:rPr>
                                  <w:color w:val="164194"/>
                                  <w:sz w:val="28"/>
                                </w:rPr>
                                <w:t>of functions that they may be called upon to perform with regard to the legitimate</w:t>
                              </w:r>
                              <w:r>
                                <w:rPr>
                                  <w:color w:val="164194"/>
                                  <w:spacing w:val="-7"/>
                                  <w:sz w:val="28"/>
                                </w:rPr>
                                <w:t> </w:t>
                              </w:r>
                              <w:r>
                                <w:rPr>
                                  <w:color w:val="164194"/>
                                  <w:sz w:val="28"/>
                                </w:rPr>
                                <w:t>objective</w:t>
                              </w:r>
                              <w:r>
                                <w:rPr>
                                  <w:color w:val="164194"/>
                                  <w:spacing w:val="-7"/>
                                  <w:sz w:val="28"/>
                                </w:rPr>
                                <w:t> </w:t>
                              </w:r>
                              <w:r>
                                <w:rPr>
                                  <w:color w:val="164194"/>
                                  <w:sz w:val="28"/>
                                </w:rPr>
                                <w:t>of</w:t>
                              </w:r>
                              <w:r>
                                <w:rPr>
                                  <w:color w:val="164194"/>
                                  <w:spacing w:val="-8"/>
                                  <w:sz w:val="28"/>
                                </w:rPr>
                                <w:t> </w:t>
                              </w:r>
                              <w:r>
                                <w:rPr>
                                  <w:color w:val="164194"/>
                                  <w:sz w:val="28"/>
                                </w:rPr>
                                <w:t>preserving</w:t>
                              </w:r>
                              <w:r>
                                <w:rPr>
                                  <w:color w:val="164194"/>
                                  <w:spacing w:val="-7"/>
                                  <w:sz w:val="28"/>
                                </w:rPr>
                                <w:t> </w:t>
                              </w:r>
                              <w:r>
                                <w:rPr>
                                  <w:color w:val="164194"/>
                                  <w:sz w:val="28"/>
                                </w:rPr>
                                <w:t>the</w:t>
                              </w:r>
                              <w:r>
                                <w:rPr>
                                  <w:color w:val="164194"/>
                                  <w:spacing w:val="-7"/>
                                  <w:sz w:val="28"/>
                                </w:rPr>
                                <w:t> </w:t>
                              </w:r>
                              <w:r>
                                <w:rPr>
                                  <w:color w:val="164194"/>
                                  <w:sz w:val="28"/>
                                </w:rPr>
                                <w:t>operational</w:t>
                              </w:r>
                              <w:r>
                                <w:rPr>
                                  <w:color w:val="164194"/>
                                  <w:spacing w:val="-8"/>
                                  <w:sz w:val="28"/>
                                </w:rPr>
                                <w:t> </w:t>
                              </w:r>
                              <w:r>
                                <w:rPr>
                                  <w:color w:val="164194"/>
                                  <w:sz w:val="28"/>
                                </w:rPr>
                                <w:t>capacity</w:t>
                              </w:r>
                              <w:r>
                                <w:rPr>
                                  <w:color w:val="164194"/>
                                  <w:spacing w:val="-7"/>
                                  <w:sz w:val="28"/>
                                </w:rPr>
                                <w:t> </w:t>
                              </w:r>
                              <w:r>
                                <w:rPr>
                                  <w:color w:val="164194"/>
                                  <w:sz w:val="28"/>
                                </w:rPr>
                                <w:t>of</w:t>
                              </w:r>
                              <w:r>
                                <w:rPr>
                                  <w:color w:val="164194"/>
                                  <w:spacing w:val="-8"/>
                                  <w:sz w:val="28"/>
                                </w:rPr>
                                <w:t> </w:t>
                              </w:r>
                              <w:r>
                                <w:rPr>
                                  <w:color w:val="164194"/>
                                  <w:sz w:val="28"/>
                                </w:rPr>
                                <w:t>those</w:t>
                              </w:r>
                              <w:r>
                                <w:rPr>
                                  <w:color w:val="164194"/>
                                  <w:spacing w:val="-7"/>
                                  <w:sz w:val="28"/>
                                </w:rPr>
                                <w:t> </w:t>
                              </w:r>
                              <w:r>
                                <w:rPr>
                                  <w:color w:val="164194"/>
                                  <w:sz w:val="28"/>
                                </w:rPr>
                                <w:t>services.</w:t>
                              </w:r>
                            </w:p>
                          </w:txbxContent>
                        </wps:txbx>
                        <wps:bodyPr wrap="square" lIns="0" tIns="0" rIns="0" bIns="0" rtlCol="0">
                          <a:noAutofit/>
                        </wps:bodyPr>
                      </wps:wsp>
                      <wps:wsp>
                        <wps:cNvPr id="1004" name="Textbox 1004"/>
                        <wps:cNvSpPr txBox="1"/>
                        <wps:spPr>
                          <a:xfrm>
                            <a:off x="5" y="1617299"/>
                            <a:ext cx="6012180" cy="1022985"/>
                          </a:xfrm>
                          <a:prstGeom prst="rect">
                            <a:avLst/>
                          </a:prstGeom>
                        </wps:spPr>
                        <wps:txbx>
                          <w:txbxContent>
                            <w:p>
                              <w:pPr>
                                <w:spacing w:line="232" w:lineRule="auto" w:before="121"/>
                                <w:ind w:left="340" w:right="475" w:firstLine="0"/>
                                <w:jc w:val="left"/>
                                <w:rPr>
                                  <w:sz w:val="28"/>
                                </w:rPr>
                              </w:pPr>
                              <w:r>
                                <w:rPr>
                                  <w:color w:val="164194"/>
                                  <w:sz w:val="28"/>
                                </w:rPr>
                                <w:t>(23) In very limited circumstances, a difference of treatment may be</w:t>
                              </w:r>
                              <w:r>
                                <w:rPr>
                                  <w:color w:val="164194"/>
                                  <w:sz w:val="28"/>
                                </w:rPr>
                                <w:t> justified</w:t>
                              </w:r>
                              <w:r>
                                <w:rPr>
                                  <w:color w:val="164194"/>
                                  <w:spacing w:val="-5"/>
                                  <w:sz w:val="28"/>
                                </w:rPr>
                                <w:t> </w:t>
                              </w:r>
                              <w:r>
                                <w:rPr>
                                  <w:color w:val="164194"/>
                                  <w:sz w:val="28"/>
                                </w:rPr>
                                <w:t>where</w:t>
                              </w:r>
                              <w:r>
                                <w:rPr>
                                  <w:color w:val="164194"/>
                                  <w:spacing w:val="-4"/>
                                  <w:sz w:val="28"/>
                                </w:rPr>
                                <w:t> </w:t>
                              </w:r>
                              <w:r>
                                <w:rPr>
                                  <w:color w:val="164194"/>
                                  <w:sz w:val="28"/>
                                </w:rPr>
                                <w:t>a</w:t>
                              </w:r>
                              <w:r>
                                <w:rPr>
                                  <w:color w:val="164194"/>
                                  <w:spacing w:val="-5"/>
                                  <w:sz w:val="28"/>
                                </w:rPr>
                                <w:t> </w:t>
                              </w:r>
                              <w:r>
                                <w:rPr>
                                  <w:color w:val="164194"/>
                                  <w:sz w:val="28"/>
                                </w:rPr>
                                <w:t>characteristic</w:t>
                              </w:r>
                              <w:r>
                                <w:rPr>
                                  <w:color w:val="164194"/>
                                  <w:spacing w:val="-4"/>
                                  <w:sz w:val="28"/>
                                </w:rPr>
                                <w:t> </w:t>
                              </w:r>
                              <w:r>
                                <w:rPr>
                                  <w:color w:val="164194"/>
                                  <w:sz w:val="28"/>
                                </w:rPr>
                                <w:t>related</w:t>
                              </w:r>
                              <w:r>
                                <w:rPr>
                                  <w:color w:val="164194"/>
                                  <w:spacing w:val="-5"/>
                                  <w:sz w:val="28"/>
                                </w:rPr>
                                <w:t> </w:t>
                              </w:r>
                              <w:r>
                                <w:rPr>
                                  <w:color w:val="164194"/>
                                  <w:sz w:val="28"/>
                                </w:rPr>
                                <w:t>to</w:t>
                              </w:r>
                              <w:r>
                                <w:rPr>
                                  <w:color w:val="164194"/>
                                  <w:spacing w:val="-5"/>
                                  <w:sz w:val="28"/>
                                </w:rPr>
                                <w:t> </w:t>
                              </w:r>
                              <w:r>
                                <w:rPr>
                                  <w:color w:val="164194"/>
                                  <w:sz w:val="28"/>
                                </w:rPr>
                                <w:t>…</w:t>
                              </w:r>
                              <w:r>
                                <w:rPr>
                                  <w:color w:val="164194"/>
                                  <w:spacing w:val="-5"/>
                                  <w:sz w:val="28"/>
                                </w:rPr>
                                <w:t> </w:t>
                              </w:r>
                              <w:r>
                                <w:rPr>
                                  <w:color w:val="164194"/>
                                  <w:sz w:val="28"/>
                                </w:rPr>
                                <w:t>age</w:t>
                              </w:r>
                              <w:r>
                                <w:rPr>
                                  <w:color w:val="164194"/>
                                  <w:spacing w:val="-4"/>
                                  <w:sz w:val="28"/>
                                </w:rPr>
                                <w:t> </w:t>
                              </w:r>
                              <w:r>
                                <w:rPr>
                                  <w:color w:val="164194"/>
                                  <w:sz w:val="28"/>
                                </w:rPr>
                                <w:t>…</w:t>
                              </w:r>
                              <w:r>
                                <w:rPr>
                                  <w:color w:val="164194"/>
                                  <w:spacing w:val="-5"/>
                                  <w:sz w:val="28"/>
                                </w:rPr>
                                <w:t> </w:t>
                              </w:r>
                              <w:r>
                                <w:rPr>
                                  <w:color w:val="164194"/>
                                  <w:sz w:val="28"/>
                                </w:rPr>
                                <w:t>constitutes</w:t>
                              </w:r>
                              <w:r>
                                <w:rPr>
                                  <w:color w:val="164194"/>
                                  <w:spacing w:val="-5"/>
                                  <w:sz w:val="28"/>
                                </w:rPr>
                                <w:t> </w:t>
                              </w:r>
                              <w:r>
                                <w:rPr>
                                  <w:color w:val="164194"/>
                                  <w:sz w:val="28"/>
                                </w:rPr>
                                <w:t>a</w:t>
                              </w:r>
                              <w:r>
                                <w:rPr>
                                  <w:color w:val="164194"/>
                                  <w:spacing w:val="-5"/>
                                  <w:sz w:val="28"/>
                                </w:rPr>
                                <w:t> </w:t>
                              </w:r>
                              <w:r>
                                <w:rPr>
                                  <w:color w:val="164194"/>
                                  <w:sz w:val="28"/>
                                </w:rPr>
                                <w:t>genuine</w:t>
                              </w:r>
                              <w:r>
                                <w:rPr>
                                  <w:color w:val="164194"/>
                                  <w:spacing w:val="-4"/>
                                  <w:sz w:val="28"/>
                                </w:rPr>
                                <w:t> </w:t>
                              </w:r>
                              <w:r>
                                <w:rPr>
                                  <w:color w:val="164194"/>
                                  <w:sz w:val="28"/>
                                </w:rPr>
                                <w:t>and determining</w:t>
                              </w:r>
                              <w:r>
                                <w:rPr>
                                  <w:color w:val="164194"/>
                                  <w:spacing w:val="-9"/>
                                  <w:sz w:val="28"/>
                                </w:rPr>
                                <w:t> </w:t>
                              </w:r>
                              <w:r>
                                <w:rPr>
                                  <w:color w:val="164194"/>
                                  <w:sz w:val="28"/>
                                </w:rPr>
                                <w:t>occupational</w:t>
                              </w:r>
                              <w:r>
                                <w:rPr>
                                  <w:color w:val="164194"/>
                                  <w:spacing w:val="-9"/>
                                  <w:sz w:val="28"/>
                                </w:rPr>
                                <w:t> </w:t>
                              </w:r>
                              <w:r>
                                <w:rPr>
                                  <w:color w:val="164194"/>
                                  <w:sz w:val="28"/>
                                </w:rPr>
                                <w:t>requirement,</w:t>
                              </w:r>
                              <w:r>
                                <w:rPr>
                                  <w:color w:val="164194"/>
                                  <w:spacing w:val="-9"/>
                                  <w:sz w:val="28"/>
                                </w:rPr>
                                <w:t> </w:t>
                              </w:r>
                              <w:r>
                                <w:rPr>
                                  <w:color w:val="164194"/>
                                  <w:sz w:val="28"/>
                                </w:rPr>
                                <w:t>when</w:t>
                              </w:r>
                              <w:r>
                                <w:rPr>
                                  <w:color w:val="164194"/>
                                  <w:spacing w:val="-9"/>
                                  <w:sz w:val="28"/>
                                </w:rPr>
                                <w:t> </w:t>
                              </w:r>
                              <w:r>
                                <w:rPr>
                                  <w:color w:val="164194"/>
                                  <w:sz w:val="28"/>
                                </w:rPr>
                                <w:t>the</w:t>
                              </w:r>
                              <w:r>
                                <w:rPr>
                                  <w:color w:val="164194"/>
                                  <w:spacing w:val="-9"/>
                                  <w:sz w:val="28"/>
                                </w:rPr>
                                <w:t> </w:t>
                              </w:r>
                              <w:r>
                                <w:rPr>
                                  <w:color w:val="164194"/>
                                  <w:sz w:val="28"/>
                                </w:rPr>
                                <w:t>objective</w:t>
                              </w:r>
                              <w:r>
                                <w:rPr>
                                  <w:color w:val="164194"/>
                                  <w:spacing w:val="-9"/>
                                  <w:sz w:val="28"/>
                                </w:rPr>
                                <w:t> </w:t>
                              </w:r>
                              <w:r>
                                <w:rPr>
                                  <w:color w:val="164194"/>
                                  <w:sz w:val="28"/>
                                </w:rPr>
                                <w:t>is</w:t>
                              </w:r>
                              <w:r>
                                <w:rPr>
                                  <w:color w:val="164194"/>
                                  <w:spacing w:val="-9"/>
                                  <w:sz w:val="28"/>
                                </w:rPr>
                                <w:t> </w:t>
                              </w:r>
                              <w:r>
                                <w:rPr>
                                  <w:color w:val="164194"/>
                                  <w:sz w:val="28"/>
                                </w:rPr>
                                <w:t>legitimate</w:t>
                              </w:r>
                              <w:r>
                                <w:rPr>
                                  <w:color w:val="164194"/>
                                  <w:spacing w:val="-9"/>
                                  <w:sz w:val="28"/>
                                </w:rPr>
                                <w:t> </w:t>
                              </w:r>
                              <w:r>
                                <w:rPr>
                                  <w:color w:val="164194"/>
                                  <w:sz w:val="28"/>
                                </w:rPr>
                                <w:t>and the requirement is proportionate. …’.</w:t>
                              </w:r>
                              <w:r>
                                <w:rPr>
                                  <w:color w:val="164194"/>
                                  <w:sz w:val="28"/>
                                  <w:vertAlign w:val="superscript"/>
                                </w:rPr>
                                <w:t>635</w:t>
                              </w:r>
                            </w:p>
                          </w:txbxContent>
                        </wps:txbx>
                        <wps:bodyPr wrap="square" lIns="0" tIns="0" rIns="0" bIns="0" rtlCol="0">
                          <a:noAutofit/>
                        </wps:bodyPr>
                      </wps:wsp>
                      <wps:wsp>
                        <wps:cNvPr id="1005" name="Textbox 1005"/>
                        <wps:cNvSpPr txBox="1"/>
                        <wps:spPr>
                          <a:xfrm>
                            <a:off x="3" y="1227744"/>
                            <a:ext cx="6012180" cy="394335"/>
                          </a:xfrm>
                          <a:prstGeom prst="rect">
                            <a:avLst/>
                          </a:prstGeom>
                          <a:solidFill>
                            <a:srgbClr val="E9F3FC"/>
                          </a:solidFill>
                        </wps:spPr>
                        <wps:txbx>
                          <w:txbxContent>
                            <w:p>
                              <w:pPr>
                                <w:spacing w:before="113"/>
                                <w:ind w:left="340" w:right="0" w:firstLine="0"/>
                                <w:jc w:val="left"/>
                                <w:rPr>
                                  <w:color w:val="000000"/>
                                  <w:sz w:val="28"/>
                                </w:rPr>
                              </w:pPr>
                              <w:r>
                                <w:rPr>
                                  <w:color w:val="164194"/>
                                  <w:spacing w:val="-10"/>
                                  <w:sz w:val="28"/>
                                </w:rPr>
                                <w:t>…</w:t>
                              </w:r>
                            </w:p>
                          </w:txbxContent>
                        </wps:txbx>
                        <wps:bodyPr wrap="square" lIns="0" tIns="0" rIns="0" bIns="0" rtlCol="0">
                          <a:noAutofit/>
                        </wps:bodyPr>
                      </wps:wsp>
                    </wpg:wgp>
                  </a:graphicData>
                </a:graphic>
              </wp:anchor>
            </w:drawing>
          </mc:Choice>
          <mc:Fallback>
            <w:pict>
              <v:group style="position:absolute;margin-left:70.8657pt;margin-top:13.595157pt;width:473.4pt;height:207.9pt;mso-position-horizontal-relative:page;mso-position-vertical-relative:paragraph;z-index:-15538176;mso-wrap-distance-left:0;mso-wrap-distance-right:0" id="docshapegroup821" coordorigin="1417,272" coordsize="9468,4158">
                <v:shape style="position:absolute;left:1417;top:271;width:9468;height:4158" id="docshape822" coordorigin="1417,272" coordsize="9468,4158" path="m10885,499l10873,427,10841,365,10792,316,10730,283,10658,272,1644,272,1572,283,1510,316,1461,365,1429,427,1417,499,1417,2212,10885,2212,10885,499xm10885,2819l1417,2819,1417,4202,1429,4274,1461,4336,1510,4385,1572,4417,1644,4429,10658,4429,10730,4417,10792,4385,10841,4336,10873,4274,10885,4202,10885,2819xe" filled="true" fillcolor="#e9f3fc" stroked="false">
                  <v:path arrowok="t"/>
                  <v:fill type="solid"/>
                </v:shape>
                <v:shape style="position:absolute;left:1417;top:271;width:9468;height:1941" type="#_x0000_t202" id="docshape823" filled="false" stroked="false">
                  <v:textbox inset="0,0,0,0">
                    <w:txbxContent>
                      <w:p>
                        <w:pPr>
                          <w:spacing w:line="232" w:lineRule="auto" w:before="121"/>
                          <w:ind w:left="340" w:right="196" w:firstLine="0"/>
                          <w:jc w:val="left"/>
                          <w:rPr>
                            <w:sz w:val="28"/>
                          </w:rPr>
                        </w:pPr>
                        <w:r>
                          <w:rPr>
                            <w:color w:val="164194"/>
                            <w:sz w:val="28"/>
                          </w:rPr>
                          <w:t>‘(18)</w:t>
                        </w:r>
                        <w:r>
                          <w:rPr>
                            <w:color w:val="164194"/>
                            <w:spacing w:val="-8"/>
                            <w:sz w:val="28"/>
                          </w:rPr>
                          <w:t> </w:t>
                        </w:r>
                        <w:r>
                          <w:rPr>
                            <w:color w:val="164194"/>
                            <w:sz w:val="28"/>
                          </w:rPr>
                          <w:t>This</w:t>
                        </w:r>
                        <w:r>
                          <w:rPr>
                            <w:color w:val="164194"/>
                            <w:spacing w:val="-8"/>
                            <w:sz w:val="28"/>
                          </w:rPr>
                          <w:t> </w:t>
                        </w:r>
                        <w:r>
                          <w:rPr>
                            <w:color w:val="164194"/>
                            <w:sz w:val="28"/>
                          </w:rPr>
                          <w:t>Directive</w:t>
                        </w:r>
                        <w:r>
                          <w:rPr>
                            <w:color w:val="164194"/>
                            <w:spacing w:val="-7"/>
                            <w:sz w:val="28"/>
                          </w:rPr>
                          <w:t> </w:t>
                        </w:r>
                        <w:r>
                          <w:rPr>
                            <w:color w:val="164194"/>
                            <w:sz w:val="28"/>
                          </w:rPr>
                          <w:t>does</w:t>
                        </w:r>
                        <w:r>
                          <w:rPr>
                            <w:color w:val="164194"/>
                            <w:spacing w:val="-8"/>
                            <w:sz w:val="28"/>
                          </w:rPr>
                          <w:t> </w:t>
                        </w:r>
                        <w:r>
                          <w:rPr>
                            <w:color w:val="164194"/>
                            <w:sz w:val="28"/>
                          </w:rPr>
                          <w:t>not</w:t>
                        </w:r>
                        <w:r>
                          <w:rPr>
                            <w:color w:val="164194"/>
                            <w:spacing w:val="-7"/>
                            <w:sz w:val="28"/>
                          </w:rPr>
                          <w:t> </w:t>
                        </w:r>
                        <w:r>
                          <w:rPr>
                            <w:color w:val="164194"/>
                            <w:sz w:val="28"/>
                          </w:rPr>
                          <w:t>require,</w:t>
                        </w:r>
                        <w:r>
                          <w:rPr>
                            <w:color w:val="164194"/>
                            <w:spacing w:val="-7"/>
                            <w:sz w:val="28"/>
                          </w:rPr>
                          <w:t> </w:t>
                        </w:r>
                        <w:r>
                          <w:rPr>
                            <w:color w:val="164194"/>
                            <w:sz w:val="28"/>
                          </w:rPr>
                          <w:t>in</w:t>
                        </w:r>
                        <w:r>
                          <w:rPr>
                            <w:color w:val="164194"/>
                            <w:spacing w:val="-8"/>
                            <w:sz w:val="28"/>
                          </w:rPr>
                          <w:t> </w:t>
                        </w:r>
                        <w:r>
                          <w:rPr>
                            <w:color w:val="164194"/>
                            <w:sz w:val="28"/>
                          </w:rPr>
                          <w:t>particular,</w:t>
                        </w:r>
                        <w:r>
                          <w:rPr>
                            <w:color w:val="164194"/>
                            <w:spacing w:val="-7"/>
                            <w:sz w:val="28"/>
                          </w:rPr>
                          <w:t> </w:t>
                        </w:r>
                        <w:r>
                          <w:rPr>
                            <w:color w:val="164194"/>
                            <w:sz w:val="28"/>
                          </w:rPr>
                          <w:t>the</w:t>
                        </w:r>
                        <w:r>
                          <w:rPr>
                            <w:color w:val="164194"/>
                            <w:spacing w:val="-7"/>
                            <w:sz w:val="28"/>
                          </w:rPr>
                          <w:t> </w:t>
                        </w:r>
                        <w:r>
                          <w:rPr>
                            <w:color w:val="164194"/>
                            <w:sz w:val="28"/>
                          </w:rPr>
                          <w:t>armed</w:t>
                        </w:r>
                        <w:r>
                          <w:rPr>
                            <w:color w:val="164194"/>
                            <w:spacing w:val="-8"/>
                            <w:sz w:val="28"/>
                          </w:rPr>
                          <w:t> </w:t>
                        </w:r>
                        <w:r>
                          <w:rPr>
                            <w:color w:val="164194"/>
                            <w:sz w:val="28"/>
                          </w:rPr>
                          <w:t>forces</w:t>
                        </w:r>
                        <w:r>
                          <w:rPr>
                            <w:color w:val="164194"/>
                            <w:spacing w:val="-8"/>
                            <w:sz w:val="28"/>
                          </w:rPr>
                          <w:t> </w:t>
                        </w:r>
                        <w:r>
                          <w:rPr>
                            <w:color w:val="164194"/>
                            <w:sz w:val="28"/>
                          </w:rPr>
                          <w:t>and</w:t>
                        </w:r>
                        <w:r>
                          <w:rPr>
                            <w:color w:val="164194"/>
                            <w:spacing w:val="-8"/>
                            <w:sz w:val="28"/>
                          </w:rPr>
                          <w:t> </w:t>
                        </w:r>
                        <w:r>
                          <w:rPr>
                            <w:color w:val="164194"/>
                            <w:sz w:val="28"/>
                          </w:rPr>
                          <w:t>the police, prison or emergency services to recruit or maintain in employment persons who do not have the required capacity to carry out the range</w:t>
                        </w:r>
                      </w:p>
                      <w:p>
                        <w:pPr>
                          <w:spacing w:line="232" w:lineRule="auto" w:before="0"/>
                          <w:ind w:left="340" w:right="196" w:firstLine="0"/>
                          <w:jc w:val="left"/>
                          <w:rPr>
                            <w:sz w:val="28"/>
                          </w:rPr>
                        </w:pPr>
                        <w:r>
                          <w:rPr>
                            <w:color w:val="164194"/>
                            <w:sz w:val="28"/>
                          </w:rPr>
                          <w:t>of functions that they may be called upon to perform with regard to the legitimate</w:t>
                        </w:r>
                        <w:r>
                          <w:rPr>
                            <w:color w:val="164194"/>
                            <w:spacing w:val="-7"/>
                            <w:sz w:val="28"/>
                          </w:rPr>
                          <w:t> </w:t>
                        </w:r>
                        <w:r>
                          <w:rPr>
                            <w:color w:val="164194"/>
                            <w:sz w:val="28"/>
                          </w:rPr>
                          <w:t>objective</w:t>
                        </w:r>
                        <w:r>
                          <w:rPr>
                            <w:color w:val="164194"/>
                            <w:spacing w:val="-7"/>
                            <w:sz w:val="28"/>
                          </w:rPr>
                          <w:t> </w:t>
                        </w:r>
                        <w:r>
                          <w:rPr>
                            <w:color w:val="164194"/>
                            <w:sz w:val="28"/>
                          </w:rPr>
                          <w:t>of</w:t>
                        </w:r>
                        <w:r>
                          <w:rPr>
                            <w:color w:val="164194"/>
                            <w:spacing w:val="-8"/>
                            <w:sz w:val="28"/>
                          </w:rPr>
                          <w:t> </w:t>
                        </w:r>
                        <w:r>
                          <w:rPr>
                            <w:color w:val="164194"/>
                            <w:sz w:val="28"/>
                          </w:rPr>
                          <w:t>preserving</w:t>
                        </w:r>
                        <w:r>
                          <w:rPr>
                            <w:color w:val="164194"/>
                            <w:spacing w:val="-7"/>
                            <w:sz w:val="28"/>
                          </w:rPr>
                          <w:t> </w:t>
                        </w:r>
                        <w:r>
                          <w:rPr>
                            <w:color w:val="164194"/>
                            <w:sz w:val="28"/>
                          </w:rPr>
                          <w:t>the</w:t>
                        </w:r>
                        <w:r>
                          <w:rPr>
                            <w:color w:val="164194"/>
                            <w:spacing w:val="-7"/>
                            <w:sz w:val="28"/>
                          </w:rPr>
                          <w:t> </w:t>
                        </w:r>
                        <w:r>
                          <w:rPr>
                            <w:color w:val="164194"/>
                            <w:sz w:val="28"/>
                          </w:rPr>
                          <w:t>operational</w:t>
                        </w:r>
                        <w:r>
                          <w:rPr>
                            <w:color w:val="164194"/>
                            <w:spacing w:val="-8"/>
                            <w:sz w:val="28"/>
                          </w:rPr>
                          <w:t> </w:t>
                        </w:r>
                        <w:r>
                          <w:rPr>
                            <w:color w:val="164194"/>
                            <w:sz w:val="28"/>
                          </w:rPr>
                          <w:t>capacity</w:t>
                        </w:r>
                        <w:r>
                          <w:rPr>
                            <w:color w:val="164194"/>
                            <w:spacing w:val="-7"/>
                            <w:sz w:val="28"/>
                          </w:rPr>
                          <w:t> </w:t>
                        </w:r>
                        <w:r>
                          <w:rPr>
                            <w:color w:val="164194"/>
                            <w:sz w:val="28"/>
                          </w:rPr>
                          <w:t>of</w:t>
                        </w:r>
                        <w:r>
                          <w:rPr>
                            <w:color w:val="164194"/>
                            <w:spacing w:val="-8"/>
                            <w:sz w:val="28"/>
                          </w:rPr>
                          <w:t> </w:t>
                        </w:r>
                        <w:r>
                          <w:rPr>
                            <w:color w:val="164194"/>
                            <w:sz w:val="28"/>
                          </w:rPr>
                          <w:t>those</w:t>
                        </w:r>
                        <w:r>
                          <w:rPr>
                            <w:color w:val="164194"/>
                            <w:spacing w:val="-7"/>
                            <w:sz w:val="28"/>
                          </w:rPr>
                          <w:t> </w:t>
                        </w:r>
                        <w:r>
                          <w:rPr>
                            <w:color w:val="164194"/>
                            <w:sz w:val="28"/>
                          </w:rPr>
                          <w:t>services.</w:t>
                        </w:r>
                      </w:p>
                    </w:txbxContent>
                  </v:textbox>
                  <w10:wrap type="none"/>
                </v:shape>
                <v:shape style="position:absolute;left:1417;top:2818;width:9468;height:1611" type="#_x0000_t202" id="docshape824" filled="false" stroked="false">
                  <v:textbox inset="0,0,0,0">
                    <w:txbxContent>
                      <w:p>
                        <w:pPr>
                          <w:spacing w:line="232" w:lineRule="auto" w:before="121"/>
                          <w:ind w:left="340" w:right="475" w:firstLine="0"/>
                          <w:jc w:val="left"/>
                          <w:rPr>
                            <w:sz w:val="28"/>
                          </w:rPr>
                        </w:pPr>
                        <w:r>
                          <w:rPr>
                            <w:color w:val="164194"/>
                            <w:sz w:val="28"/>
                          </w:rPr>
                          <w:t>(23) In very limited circumstances, a difference of treatment may be</w:t>
                        </w:r>
                        <w:r>
                          <w:rPr>
                            <w:color w:val="164194"/>
                            <w:sz w:val="28"/>
                          </w:rPr>
                          <w:t> justified</w:t>
                        </w:r>
                        <w:r>
                          <w:rPr>
                            <w:color w:val="164194"/>
                            <w:spacing w:val="-5"/>
                            <w:sz w:val="28"/>
                          </w:rPr>
                          <w:t> </w:t>
                        </w:r>
                        <w:r>
                          <w:rPr>
                            <w:color w:val="164194"/>
                            <w:sz w:val="28"/>
                          </w:rPr>
                          <w:t>where</w:t>
                        </w:r>
                        <w:r>
                          <w:rPr>
                            <w:color w:val="164194"/>
                            <w:spacing w:val="-4"/>
                            <w:sz w:val="28"/>
                          </w:rPr>
                          <w:t> </w:t>
                        </w:r>
                        <w:r>
                          <w:rPr>
                            <w:color w:val="164194"/>
                            <w:sz w:val="28"/>
                          </w:rPr>
                          <w:t>a</w:t>
                        </w:r>
                        <w:r>
                          <w:rPr>
                            <w:color w:val="164194"/>
                            <w:spacing w:val="-5"/>
                            <w:sz w:val="28"/>
                          </w:rPr>
                          <w:t> </w:t>
                        </w:r>
                        <w:r>
                          <w:rPr>
                            <w:color w:val="164194"/>
                            <w:sz w:val="28"/>
                          </w:rPr>
                          <w:t>characteristic</w:t>
                        </w:r>
                        <w:r>
                          <w:rPr>
                            <w:color w:val="164194"/>
                            <w:spacing w:val="-4"/>
                            <w:sz w:val="28"/>
                          </w:rPr>
                          <w:t> </w:t>
                        </w:r>
                        <w:r>
                          <w:rPr>
                            <w:color w:val="164194"/>
                            <w:sz w:val="28"/>
                          </w:rPr>
                          <w:t>related</w:t>
                        </w:r>
                        <w:r>
                          <w:rPr>
                            <w:color w:val="164194"/>
                            <w:spacing w:val="-5"/>
                            <w:sz w:val="28"/>
                          </w:rPr>
                          <w:t> </w:t>
                        </w:r>
                        <w:r>
                          <w:rPr>
                            <w:color w:val="164194"/>
                            <w:sz w:val="28"/>
                          </w:rPr>
                          <w:t>to</w:t>
                        </w:r>
                        <w:r>
                          <w:rPr>
                            <w:color w:val="164194"/>
                            <w:spacing w:val="-5"/>
                            <w:sz w:val="28"/>
                          </w:rPr>
                          <w:t> </w:t>
                        </w:r>
                        <w:r>
                          <w:rPr>
                            <w:color w:val="164194"/>
                            <w:sz w:val="28"/>
                          </w:rPr>
                          <w:t>…</w:t>
                        </w:r>
                        <w:r>
                          <w:rPr>
                            <w:color w:val="164194"/>
                            <w:spacing w:val="-5"/>
                            <w:sz w:val="28"/>
                          </w:rPr>
                          <w:t> </w:t>
                        </w:r>
                        <w:r>
                          <w:rPr>
                            <w:color w:val="164194"/>
                            <w:sz w:val="28"/>
                          </w:rPr>
                          <w:t>age</w:t>
                        </w:r>
                        <w:r>
                          <w:rPr>
                            <w:color w:val="164194"/>
                            <w:spacing w:val="-4"/>
                            <w:sz w:val="28"/>
                          </w:rPr>
                          <w:t> </w:t>
                        </w:r>
                        <w:r>
                          <w:rPr>
                            <w:color w:val="164194"/>
                            <w:sz w:val="28"/>
                          </w:rPr>
                          <w:t>…</w:t>
                        </w:r>
                        <w:r>
                          <w:rPr>
                            <w:color w:val="164194"/>
                            <w:spacing w:val="-5"/>
                            <w:sz w:val="28"/>
                          </w:rPr>
                          <w:t> </w:t>
                        </w:r>
                        <w:r>
                          <w:rPr>
                            <w:color w:val="164194"/>
                            <w:sz w:val="28"/>
                          </w:rPr>
                          <w:t>constitutes</w:t>
                        </w:r>
                        <w:r>
                          <w:rPr>
                            <w:color w:val="164194"/>
                            <w:spacing w:val="-5"/>
                            <w:sz w:val="28"/>
                          </w:rPr>
                          <w:t> </w:t>
                        </w:r>
                        <w:r>
                          <w:rPr>
                            <w:color w:val="164194"/>
                            <w:sz w:val="28"/>
                          </w:rPr>
                          <w:t>a</w:t>
                        </w:r>
                        <w:r>
                          <w:rPr>
                            <w:color w:val="164194"/>
                            <w:spacing w:val="-5"/>
                            <w:sz w:val="28"/>
                          </w:rPr>
                          <w:t> </w:t>
                        </w:r>
                        <w:r>
                          <w:rPr>
                            <w:color w:val="164194"/>
                            <w:sz w:val="28"/>
                          </w:rPr>
                          <w:t>genuine</w:t>
                        </w:r>
                        <w:r>
                          <w:rPr>
                            <w:color w:val="164194"/>
                            <w:spacing w:val="-4"/>
                            <w:sz w:val="28"/>
                          </w:rPr>
                          <w:t> </w:t>
                        </w:r>
                        <w:r>
                          <w:rPr>
                            <w:color w:val="164194"/>
                            <w:sz w:val="28"/>
                          </w:rPr>
                          <w:t>and determining</w:t>
                        </w:r>
                        <w:r>
                          <w:rPr>
                            <w:color w:val="164194"/>
                            <w:spacing w:val="-9"/>
                            <w:sz w:val="28"/>
                          </w:rPr>
                          <w:t> </w:t>
                        </w:r>
                        <w:r>
                          <w:rPr>
                            <w:color w:val="164194"/>
                            <w:sz w:val="28"/>
                          </w:rPr>
                          <w:t>occupational</w:t>
                        </w:r>
                        <w:r>
                          <w:rPr>
                            <w:color w:val="164194"/>
                            <w:spacing w:val="-9"/>
                            <w:sz w:val="28"/>
                          </w:rPr>
                          <w:t> </w:t>
                        </w:r>
                        <w:r>
                          <w:rPr>
                            <w:color w:val="164194"/>
                            <w:sz w:val="28"/>
                          </w:rPr>
                          <w:t>requirement,</w:t>
                        </w:r>
                        <w:r>
                          <w:rPr>
                            <w:color w:val="164194"/>
                            <w:spacing w:val="-9"/>
                            <w:sz w:val="28"/>
                          </w:rPr>
                          <w:t> </w:t>
                        </w:r>
                        <w:r>
                          <w:rPr>
                            <w:color w:val="164194"/>
                            <w:sz w:val="28"/>
                          </w:rPr>
                          <w:t>when</w:t>
                        </w:r>
                        <w:r>
                          <w:rPr>
                            <w:color w:val="164194"/>
                            <w:spacing w:val="-9"/>
                            <w:sz w:val="28"/>
                          </w:rPr>
                          <w:t> </w:t>
                        </w:r>
                        <w:r>
                          <w:rPr>
                            <w:color w:val="164194"/>
                            <w:sz w:val="28"/>
                          </w:rPr>
                          <w:t>the</w:t>
                        </w:r>
                        <w:r>
                          <w:rPr>
                            <w:color w:val="164194"/>
                            <w:spacing w:val="-9"/>
                            <w:sz w:val="28"/>
                          </w:rPr>
                          <w:t> </w:t>
                        </w:r>
                        <w:r>
                          <w:rPr>
                            <w:color w:val="164194"/>
                            <w:sz w:val="28"/>
                          </w:rPr>
                          <w:t>objective</w:t>
                        </w:r>
                        <w:r>
                          <w:rPr>
                            <w:color w:val="164194"/>
                            <w:spacing w:val="-9"/>
                            <w:sz w:val="28"/>
                          </w:rPr>
                          <w:t> </w:t>
                        </w:r>
                        <w:r>
                          <w:rPr>
                            <w:color w:val="164194"/>
                            <w:sz w:val="28"/>
                          </w:rPr>
                          <w:t>is</w:t>
                        </w:r>
                        <w:r>
                          <w:rPr>
                            <w:color w:val="164194"/>
                            <w:spacing w:val="-9"/>
                            <w:sz w:val="28"/>
                          </w:rPr>
                          <w:t> </w:t>
                        </w:r>
                        <w:r>
                          <w:rPr>
                            <w:color w:val="164194"/>
                            <w:sz w:val="28"/>
                          </w:rPr>
                          <w:t>legitimate</w:t>
                        </w:r>
                        <w:r>
                          <w:rPr>
                            <w:color w:val="164194"/>
                            <w:spacing w:val="-9"/>
                            <w:sz w:val="28"/>
                          </w:rPr>
                          <w:t> </w:t>
                        </w:r>
                        <w:r>
                          <w:rPr>
                            <w:color w:val="164194"/>
                            <w:sz w:val="28"/>
                          </w:rPr>
                          <w:t>and the requirement is proportionate. …’.</w:t>
                        </w:r>
                        <w:r>
                          <w:rPr>
                            <w:color w:val="164194"/>
                            <w:sz w:val="28"/>
                            <w:vertAlign w:val="superscript"/>
                          </w:rPr>
                          <w:t>635</w:t>
                        </w:r>
                      </w:p>
                    </w:txbxContent>
                  </v:textbox>
                  <w10:wrap type="none"/>
                </v:shape>
                <v:shape style="position:absolute;left:1417;top:2205;width:9468;height:621" type="#_x0000_t202" id="docshape825" filled="true" fillcolor="#e9f3fc" stroked="false">
                  <v:textbox inset="0,0,0,0">
                    <w:txbxContent>
                      <w:p>
                        <w:pPr>
                          <w:spacing w:before="113"/>
                          <w:ind w:left="340" w:right="0" w:firstLine="0"/>
                          <w:jc w:val="left"/>
                          <w:rPr>
                            <w:color w:val="000000"/>
                            <w:sz w:val="28"/>
                          </w:rPr>
                        </w:pPr>
                        <w:r>
                          <w:rPr>
                            <w:color w:val="164194"/>
                            <w:spacing w:val="-10"/>
                            <w:sz w:val="28"/>
                          </w:rPr>
                          <w:t>…</w:t>
                        </w:r>
                      </w:p>
                    </w:txbxContent>
                  </v:textbox>
                  <v:fill type="solid"/>
                  <w10:wrap type="none"/>
                </v:shape>
                <w10:wrap type="topAndBottom"/>
              </v:group>
            </w:pict>
          </mc:Fallback>
        </mc:AlternateContent>
      </w:r>
    </w:p>
    <w:p>
      <w:pPr>
        <w:pStyle w:val="BodyText"/>
        <w:spacing w:before="220"/>
        <w:ind w:left="1117"/>
      </w:pPr>
      <w:r>
        <w:rPr/>
        <w:t>However,</w:t>
      </w:r>
      <w:r>
        <w:rPr>
          <w:spacing w:val="-12"/>
        </w:rPr>
        <w:t> </w:t>
      </w:r>
      <w:r>
        <w:rPr/>
        <w:t>the</w:t>
      </w:r>
      <w:r>
        <w:rPr>
          <w:spacing w:val="-12"/>
        </w:rPr>
        <w:t> </w:t>
      </w:r>
      <w:r>
        <w:rPr/>
        <w:t>CJEU</w:t>
      </w:r>
      <w:r>
        <w:rPr>
          <w:spacing w:val="-12"/>
        </w:rPr>
        <w:t> </w:t>
      </w:r>
      <w:r>
        <w:rPr/>
        <w:t>ultimately</w:t>
      </w:r>
      <w:r>
        <w:rPr>
          <w:spacing w:val="-11"/>
        </w:rPr>
        <w:t> </w:t>
      </w:r>
      <w:r>
        <w:rPr/>
        <w:t>found</w:t>
      </w:r>
      <w:r>
        <w:rPr>
          <w:spacing w:val="-13"/>
        </w:rPr>
        <w:t> </w:t>
      </w:r>
      <w:r>
        <w:rPr>
          <w:spacing w:val="-4"/>
        </w:rPr>
        <w:t>that:</w:t>
      </w:r>
    </w:p>
    <w:p>
      <w:pPr>
        <w:pStyle w:val="BodyText"/>
        <w:spacing w:before="3"/>
        <w:rPr>
          <w:sz w:val="20"/>
        </w:rPr>
      </w:pPr>
      <w:r>
        <w:rPr/>
        <mc:AlternateContent>
          <mc:Choice Requires="wps">
            <w:drawing>
              <wp:anchor distT="0" distB="0" distL="0" distR="0" allowOverlap="1" layoutInCell="1" locked="0" behindDoc="1" simplePos="0" relativeHeight="487778816">
                <wp:simplePos x="0" y="0"/>
                <wp:positionH relativeFrom="page">
                  <wp:posOffset>899994</wp:posOffset>
                </wp:positionH>
                <wp:positionV relativeFrom="paragraph">
                  <wp:posOffset>172558</wp:posOffset>
                </wp:positionV>
                <wp:extent cx="6012180" cy="2280285"/>
                <wp:effectExtent l="0" t="0" r="0" b="0"/>
                <wp:wrapTopAndBottom/>
                <wp:docPr id="1006" name="Group 1006"/>
                <wp:cNvGraphicFramePr>
                  <a:graphicFrameLocks/>
                </wp:cNvGraphicFramePr>
                <a:graphic>
                  <a:graphicData uri="http://schemas.microsoft.com/office/word/2010/wordprocessingGroup">
                    <wpg:wgp>
                      <wpg:cNvPr id="1006" name="Group 1006"/>
                      <wpg:cNvGrpSpPr/>
                      <wpg:grpSpPr>
                        <a:xfrm>
                          <a:off x="0" y="0"/>
                          <a:ext cx="6012180" cy="2280285"/>
                          <a:chExt cx="6012180" cy="2280285"/>
                        </a:xfrm>
                      </wpg:grpSpPr>
                      <wps:wsp>
                        <wps:cNvPr id="1007" name="Graphic 1007"/>
                        <wps:cNvSpPr/>
                        <wps:spPr>
                          <a:xfrm>
                            <a:off x="0" y="0"/>
                            <a:ext cx="6012180" cy="2280285"/>
                          </a:xfrm>
                          <a:custGeom>
                            <a:avLst/>
                            <a:gdLst/>
                            <a:ahLst/>
                            <a:cxnLst/>
                            <a:rect l="l" t="t" r="r" b="b"/>
                            <a:pathLst>
                              <a:path w="6012180" h="2280285">
                                <a:moveTo>
                                  <a:pt x="5868009" y="0"/>
                                </a:moveTo>
                                <a:lnTo>
                                  <a:pt x="144005" y="0"/>
                                </a:lnTo>
                                <a:lnTo>
                                  <a:pt x="98490" y="7340"/>
                                </a:lnTo>
                                <a:lnTo>
                                  <a:pt x="58959" y="27782"/>
                                </a:lnTo>
                                <a:lnTo>
                                  <a:pt x="27785" y="58954"/>
                                </a:lnTo>
                                <a:lnTo>
                                  <a:pt x="7341" y="98485"/>
                                </a:lnTo>
                                <a:lnTo>
                                  <a:pt x="0" y="144005"/>
                                </a:lnTo>
                                <a:lnTo>
                                  <a:pt x="0" y="2135746"/>
                                </a:lnTo>
                                <a:lnTo>
                                  <a:pt x="7341" y="2181261"/>
                                </a:lnTo>
                                <a:lnTo>
                                  <a:pt x="27785" y="2220792"/>
                                </a:lnTo>
                                <a:lnTo>
                                  <a:pt x="58959" y="2251965"/>
                                </a:lnTo>
                                <a:lnTo>
                                  <a:pt x="98490" y="2272409"/>
                                </a:lnTo>
                                <a:lnTo>
                                  <a:pt x="144005" y="2279751"/>
                                </a:lnTo>
                                <a:lnTo>
                                  <a:pt x="5868009" y="2279751"/>
                                </a:lnTo>
                                <a:lnTo>
                                  <a:pt x="5913523" y="2272409"/>
                                </a:lnTo>
                                <a:lnTo>
                                  <a:pt x="5953050" y="2251965"/>
                                </a:lnTo>
                                <a:lnTo>
                                  <a:pt x="5984220" y="2220792"/>
                                </a:lnTo>
                                <a:lnTo>
                                  <a:pt x="6004661" y="2181261"/>
                                </a:lnTo>
                                <a:lnTo>
                                  <a:pt x="6012002" y="21357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08" name="Textbox 1008"/>
                        <wps:cNvSpPr txBox="1"/>
                        <wps:spPr>
                          <a:xfrm>
                            <a:off x="0" y="0"/>
                            <a:ext cx="6012180" cy="2280285"/>
                          </a:xfrm>
                          <a:prstGeom prst="rect">
                            <a:avLst/>
                          </a:prstGeom>
                        </wps:spPr>
                        <wps:txbx>
                          <w:txbxContent>
                            <w:p>
                              <w:pPr>
                                <w:spacing w:line="232" w:lineRule="auto" w:before="121"/>
                                <w:ind w:left="340" w:right="196" w:firstLine="0"/>
                                <w:jc w:val="left"/>
                                <w:rPr>
                                  <w:sz w:val="28"/>
                                </w:rPr>
                              </w:pPr>
                              <w:r>
                                <w:rPr>
                                  <w:color w:val="164194"/>
                                  <w:sz w:val="28"/>
                                </w:rPr>
                                <w:t>‘Having</w:t>
                              </w:r>
                              <w:r>
                                <w:rPr>
                                  <w:color w:val="164194"/>
                                  <w:spacing w:val="-1"/>
                                  <w:sz w:val="28"/>
                                </w:rPr>
                                <w:t> </w:t>
                              </w:r>
                              <w:r>
                                <w:rPr>
                                  <w:color w:val="164194"/>
                                  <w:sz w:val="28"/>
                                </w:rPr>
                                <w:t>regard</w:t>
                              </w:r>
                              <w:r>
                                <w:rPr>
                                  <w:color w:val="164194"/>
                                  <w:spacing w:val="-2"/>
                                  <w:sz w:val="28"/>
                                </w:rPr>
                                <w:t> </w:t>
                              </w:r>
                              <w:r>
                                <w:rPr>
                                  <w:color w:val="164194"/>
                                  <w:sz w:val="28"/>
                                </w:rPr>
                                <w:t>to</w:t>
                              </w:r>
                              <w:r>
                                <w:rPr>
                                  <w:color w:val="164194"/>
                                  <w:spacing w:val="-2"/>
                                  <w:sz w:val="28"/>
                                </w:rPr>
                                <w:t> </w:t>
                              </w:r>
                              <w:r>
                                <w:rPr>
                                  <w:color w:val="164194"/>
                                  <w:sz w:val="28"/>
                                </w:rPr>
                                <w:t>all</w:t>
                              </w:r>
                              <w:r>
                                <w:rPr>
                                  <w:color w:val="164194"/>
                                  <w:spacing w:val="-2"/>
                                  <w:sz w:val="28"/>
                                </w:rPr>
                                <w:t> </w:t>
                              </w:r>
                              <w:r>
                                <w:rPr>
                                  <w:color w:val="164194"/>
                                  <w:sz w:val="28"/>
                                </w:rPr>
                                <w:t>the</w:t>
                              </w:r>
                              <w:r>
                                <w:rPr>
                                  <w:color w:val="164194"/>
                                  <w:spacing w:val="-1"/>
                                  <w:sz w:val="28"/>
                                </w:rPr>
                                <w:t> </w:t>
                              </w:r>
                              <w:r>
                                <w:rPr>
                                  <w:color w:val="164194"/>
                                  <w:sz w:val="28"/>
                                </w:rPr>
                                <w:t>foregoing</w:t>
                              </w:r>
                              <w:r>
                                <w:rPr>
                                  <w:color w:val="164194"/>
                                  <w:spacing w:val="-1"/>
                                  <w:sz w:val="28"/>
                                </w:rPr>
                                <w:t> </w:t>
                              </w:r>
                              <w:r>
                                <w:rPr>
                                  <w:color w:val="164194"/>
                                  <w:sz w:val="28"/>
                                </w:rPr>
                                <w:t>considerations,</w:t>
                              </w:r>
                              <w:r>
                                <w:rPr>
                                  <w:color w:val="164194"/>
                                  <w:spacing w:val="-1"/>
                                  <w:sz w:val="28"/>
                                </w:rPr>
                                <w:t> </w:t>
                              </w:r>
                              <w:r>
                                <w:rPr>
                                  <w:color w:val="164194"/>
                                  <w:sz w:val="28"/>
                                </w:rPr>
                                <w:t>the</w:t>
                              </w:r>
                              <w:r>
                                <w:rPr>
                                  <w:color w:val="164194"/>
                                  <w:spacing w:val="-1"/>
                                  <w:sz w:val="28"/>
                                </w:rPr>
                                <w:t> </w:t>
                              </w:r>
                              <w:r>
                                <w:rPr>
                                  <w:color w:val="164194"/>
                                  <w:sz w:val="28"/>
                                </w:rPr>
                                <w:t>answer</w:t>
                              </w:r>
                              <w:r>
                                <w:rPr>
                                  <w:color w:val="164194"/>
                                  <w:spacing w:val="-1"/>
                                  <w:sz w:val="28"/>
                                </w:rPr>
                                <w:t> </w:t>
                              </w:r>
                              <w:r>
                                <w:rPr>
                                  <w:color w:val="164194"/>
                                  <w:sz w:val="28"/>
                                </w:rPr>
                                <w:t>to</w:t>
                              </w:r>
                              <w:r>
                                <w:rPr>
                                  <w:color w:val="164194"/>
                                  <w:spacing w:val="-2"/>
                                  <w:sz w:val="28"/>
                                </w:rPr>
                                <w:t> </w:t>
                              </w:r>
                              <w:r>
                                <w:rPr>
                                  <w:color w:val="164194"/>
                                  <w:sz w:val="28"/>
                                </w:rPr>
                                <w:t>the</w:t>
                              </w:r>
                              <w:r>
                                <w:rPr>
                                  <w:color w:val="164194"/>
                                  <w:spacing w:val="-1"/>
                                  <w:sz w:val="28"/>
                                </w:rPr>
                                <w:t> </w:t>
                              </w:r>
                              <w:r>
                                <w:rPr>
                                  <w:color w:val="164194"/>
                                  <w:sz w:val="28"/>
                                </w:rPr>
                                <w:t>question referred is that Article 2(2), Article 4(1) and Article 6(1) of Directive 2000/78, read</w:t>
                              </w:r>
                              <w:r>
                                <w:rPr>
                                  <w:color w:val="164194"/>
                                  <w:spacing w:val="-8"/>
                                  <w:sz w:val="28"/>
                                </w:rPr>
                                <w:t> </w:t>
                              </w:r>
                              <w:r>
                                <w:rPr>
                                  <w:color w:val="164194"/>
                                  <w:sz w:val="28"/>
                                </w:rPr>
                                <w:t>in</w:t>
                              </w:r>
                              <w:r>
                                <w:rPr>
                                  <w:color w:val="164194"/>
                                  <w:spacing w:val="-8"/>
                                  <w:sz w:val="28"/>
                                </w:rPr>
                                <w:t> </w:t>
                              </w:r>
                              <w:r>
                                <w:rPr>
                                  <w:color w:val="164194"/>
                                  <w:sz w:val="28"/>
                                </w:rPr>
                                <w:t>the</w:t>
                              </w:r>
                              <w:r>
                                <w:rPr>
                                  <w:color w:val="164194"/>
                                  <w:spacing w:val="-7"/>
                                  <w:sz w:val="28"/>
                                </w:rPr>
                                <w:t> </w:t>
                              </w:r>
                              <w:r>
                                <w:rPr>
                                  <w:color w:val="164194"/>
                                  <w:sz w:val="28"/>
                                </w:rPr>
                                <w:t>light</w:t>
                              </w:r>
                              <w:r>
                                <w:rPr>
                                  <w:color w:val="164194"/>
                                  <w:spacing w:val="-7"/>
                                  <w:sz w:val="28"/>
                                </w:rPr>
                                <w:t> </w:t>
                              </w:r>
                              <w:r>
                                <w:rPr>
                                  <w:color w:val="164194"/>
                                  <w:sz w:val="28"/>
                                </w:rPr>
                                <w:t>of</w:t>
                              </w:r>
                              <w:r>
                                <w:rPr>
                                  <w:color w:val="164194"/>
                                  <w:spacing w:val="-8"/>
                                  <w:sz w:val="28"/>
                                </w:rPr>
                                <w:t> </w:t>
                              </w:r>
                              <w:r>
                                <w:rPr>
                                  <w:color w:val="164194"/>
                                  <w:sz w:val="28"/>
                                </w:rPr>
                                <w:t>Article</w:t>
                              </w:r>
                              <w:r>
                                <w:rPr>
                                  <w:color w:val="164194"/>
                                  <w:spacing w:val="-7"/>
                                  <w:sz w:val="28"/>
                                </w:rPr>
                                <w:t> </w:t>
                              </w:r>
                              <w:r>
                                <w:rPr>
                                  <w:color w:val="164194"/>
                                  <w:sz w:val="28"/>
                                </w:rPr>
                                <w:t>21</w:t>
                              </w:r>
                              <w:r>
                                <w:rPr>
                                  <w:color w:val="164194"/>
                                  <w:spacing w:val="-7"/>
                                  <w:sz w:val="28"/>
                                </w:rPr>
                                <w:t> </w:t>
                              </w:r>
                              <w:r>
                                <w:rPr>
                                  <w:color w:val="164194"/>
                                  <w:sz w:val="28"/>
                                </w:rPr>
                                <w:t>of</w:t>
                              </w:r>
                              <w:r>
                                <w:rPr>
                                  <w:color w:val="164194"/>
                                  <w:spacing w:val="-8"/>
                                  <w:sz w:val="28"/>
                                </w:rPr>
                                <w:t> </w:t>
                              </w:r>
                              <w:r>
                                <w:rPr>
                                  <w:color w:val="164194"/>
                                  <w:sz w:val="28"/>
                                </w:rPr>
                                <w:t>the</w:t>
                              </w:r>
                              <w:r>
                                <w:rPr>
                                  <w:color w:val="164194"/>
                                  <w:spacing w:val="-7"/>
                                  <w:sz w:val="28"/>
                                </w:rPr>
                                <w:t> </w:t>
                              </w:r>
                              <w:r>
                                <w:rPr>
                                  <w:color w:val="164194"/>
                                  <w:sz w:val="28"/>
                                </w:rPr>
                                <w:t>Charter,</w:t>
                              </w:r>
                              <w:r>
                                <w:rPr>
                                  <w:color w:val="164194"/>
                                  <w:spacing w:val="-7"/>
                                  <w:sz w:val="28"/>
                                </w:rPr>
                                <w:t> </w:t>
                              </w:r>
                              <w:r>
                                <w:rPr>
                                  <w:color w:val="164194"/>
                                  <w:sz w:val="28"/>
                                </w:rPr>
                                <w:t>must</w:t>
                              </w:r>
                              <w:r>
                                <w:rPr>
                                  <w:color w:val="164194"/>
                                  <w:spacing w:val="-7"/>
                                  <w:sz w:val="28"/>
                                </w:rPr>
                                <w:t> </w:t>
                              </w:r>
                              <w:r>
                                <w:rPr>
                                  <w:color w:val="164194"/>
                                  <w:sz w:val="28"/>
                                </w:rPr>
                                <w:t>be</w:t>
                              </w:r>
                              <w:r>
                                <w:rPr>
                                  <w:color w:val="164194"/>
                                  <w:spacing w:val="-7"/>
                                  <w:sz w:val="28"/>
                                </w:rPr>
                                <w:t> </w:t>
                              </w:r>
                              <w:r>
                                <w:rPr>
                                  <w:color w:val="164194"/>
                                  <w:sz w:val="28"/>
                                </w:rPr>
                                <w:t>interpreted</w:t>
                              </w:r>
                              <w:r>
                                <w:rPr>
                                  <w:color w:val="164194"/>
                                  <w:spacing w:val="-8"/>
                                  <w:sz w:val="28"/>
                                </w:rPr>
                                <w:t> </w:t>
                              </w:r>
                              <w:r>
                                <w:rPr>
                                  <w:color w:val="164194"/>
                                  <w:sz w:val="28"/>
                                </w:rPr>
                                <w:t>as</w:t>
                              </w:r>
                              <w:r>
                                <w:rPr>
                                  <w:color w:val="164194"/>
                                  <w:spacing w:val="-8"/>
                                  <w:sz w:val="28"/>
                                </w:rPr>
                                <w:t> </w:t>
                              </w:r>
                              <w:r>
                                <w:rPr>
                                  <w:color w:val="164194"/>
                                  <w:sz w:val="28"/>
                                </w:rPr>
                                <w:t>precluding national legislation which provides for the fixing of a maximum age limit</w:t>
                              </w:r>
                            </w:p>
                            <w:p>
                              <w:pPr>
                                <w:spacing w:line="232" w:lineRule="auto" w:before="0"/>
                                <w:ind w:left="340" w:right="196" w:firstLine="0"/>
                                <w:jc w:val="left"/>
                                <w:rPr>
                                  <w:sz w:val="28"/>
                                </w:rPr>
                              </w:pPr>
                              <w:r>
                                <w:rPr>
                                  <w:color w:val="164194"/>
                                  <w:sz w:val="28"/>
                                </w:rPr>
                                <w:t>of 30 years for participation in a competition aimed at recruiting police commissioners, in so far as the duties actually performed by those police commissioners</w:t>
                              </w:r>
                              <w:r>
                                <w:rPr>
                                  <w:color w:val="164194"/>
                                  <w:spacing w:val="-11"/>
                                  <w:sz w:val="28"/>
                                </w:rPr>
                                <w:t> </w:t>
                              </w:r>
                              <w:r>
                                <w:rPr>
                                  <w:color w:val="164194"/>
                                  <w:sz w:val="28"/>
                                </w:rPr>
                                <w:t>do</w:t>
                              </w:r>
                              <w:r>
                                <w:rPr>
                                  <w:color w:val="164194"/>
                                  <w:spacing w:val="-11"/>
                                  <w:sz w:val="28"/>
                                </w:rPr>
                                <w:t> </w:t>
                              </w:r>
                              <w:r>
                                <w:rPr>
                                  <w:color w:val="164194"/>
                                  <w:sz w:val="28"/>
                                </w:rPr>
                                <w:t>not</w:t>
                              </w:r>
                              <w:r>
                                <w:rPr>
                                  <w:color w:val="164194"/>
                                  <w:spacing w:val="-10"/>
                                  <w:sz w:val="28"/>
                                </w:rPr>
                                <w:t> </w:t>
                              </w:r>
                              <w:r>
                                <w:rPr>
                                  <w:color w:val="164194"/>
                                  <w:sz w:val="28"/>
                                </w:rPr>
                                <w:t>require</w:t>
                              </w:r>
                              <w:r>
                                <w:rPr>
                                  <w:color w:val="164194"/>
                                  <w:spacing w:val="-10"/>
                                  <w:sz w:val="28"/>
                                </w:rPr>
                                <w:t> </w:t>
                              </w:r>
                              <w:r>
                                <w:rPr>
                                  <w:color w:val="164194"/>
                                  <w:sz w:val="28"/>
                                </w:rPr>
                                <w:t>particular</w:t>
                              </w:r>
                              <w:r>
                                <w:rPr>
                                  <w:color w:val="164194"/>
                                  <w:spacing w:val="-10"/>
                                  <w:sz w:val="28"/>
                                </w:rPr>
                                <w:t> </w:t>
                              </w:r>
                              <w:r>
                                <w:rPr>
                                  <w:color w:val="164194"/>
                                  <w:sz w:val="28"/>
                                </w:rPr>
                                <w:t>physical</w:t>
                              </w:r>
                              <w:r>
                                <w:rPr>
                                  <w:color w:val="164194"/>
                                  <w:spacing w:val="-11"/>
                                  <w:sz w:val="28"/>
                                </w:rPr>
                                <w:t> </w:t>
                              </w:r>
                              <w:r>
                                <w:rPr>
                                  <w:color w:val="164194"/>
                                  <w:sz w:val="28"/>
                                </w:rPr>
                                <w:t>capacities</w:t>
                              </w:r>
                              <w:r>
                                <w:rPr>
                                  <w:color w:val="164194"/>
                                  <w:spacing w:val="-11"/>
                                  <w:sz w:val="28"/>
                                </w:rPr>
                                <w:t> </w:t>
                              </w:r>
                              <w:r>
                                <w:rPr>
                                  <w:color w:val="164194"/>
                                  <w:sz w:val="28"/>
                                </w:rPr>
                                <w:t>or,</w:t>
                              </w:r>
                              <w:r>
                                <w:rPr>
                                  <w:color w:val="164194"/>
                                  <w:spacing w:val="-10"/>
                                  <w:sz w:val="28"/>
                                </w:rPr>
                                <w:t> </w:t>
                              </w:r>
                              <w:r>
                                <w:rPr>
                                  <w:color w:val="164194"/>
                                  <w:sz w:val="28"/>
                                </w:rPr>
                                <w:t>if</w:t>
                              </w:r>
                              <w:r>
                                <w:rPr>
                                  <w:color w:val="164194"/>
                                  <w:spacing w:val="-11"/>
                                  <w:sz w:val="28"/>
                                </w:rPr>
                                <w:t> </w:t>
                              </w:r>
                              <w:r>
                                <w:rPr>
                                  <w:color w:val="164194"/>
                                  <w:sz w:val="28"/>
                                </w:rPr>
                                <w:t>such</w:t>
                              </w:r>
                              <w:r>
                                <w:rPr>
                                  <w:color w:val="164194"/>
                                  <w:spacing w:val="-11"/>
                                  <w:sz w:val="28"/>
                                </w:rPr>
                                <w:t> </w:t>
                              </w:r>
                              <w:r>
                                <w:rPr>
                                  <w:color w:val="164194"/>
                                  <w:sz w:val="28"/>
                                </w:rPr>
                                <w:t>physical capacities are required, it is apparent that such legislation, while pursuing a legitimate aim, imposes a disproportionate requirement, which it is for the national court to determine.’</w:t>
                              </w:r>
                              <w:r>
                                <w:rPr>
                                  <w:color w:val="164194"/>
                                  <w:sz w:val="28"/>
                                  <w:vertAlign w:val="superscript"/>
                                </w:rPr>
                                <w:t>636</w:t>
                              </w:r>
                            </w:p>
                          </w:txbxContent>
                        </wps:txbx>
                        <wps:bodyPr wrap="square" lIns="0" tIns="0" rIns="0" bIns="0" rtlCol="0">
                          <a:noAutofit/>
                        </wps:bodyPr>
                      </wps:wsp>
                    </wpg:wgp>
                  </a:graphicData>
                </a:graphic>
              </wp:anchor>
            </w:drawing>
          </mc:Choice>
          <mc:Fallback>
            <w:pict>
              <v:group style="position:absolute;margin-left:70.8657pt;margin-top:13.587256pt;width:473.4pt;height:179.55pt;mso-position-horizontal-relative:page;mso-position-vertical-relative:paragraph;z-index:-15537664;mso-wrap-distance-left:0;mso-wrap-distance-right:0" id="docshapegroup826" coordorigin="1417,272" coordsize="9468,3591">
                <v:shape style="position:absolute;left:1417;top:271;width:9468;height:3591" id="docshape827" coordorigin="1417,272" coordsize="9468,3591" path="m10658,272l1644,272,1572,283,1510,315,1461,365,1429,427,1417,499,1417,3635,1429,3707,1461,3769,1510,3818,1572,3850,1644,3862,10658,3862,10730,3850,10792,3818,10841,3769,10873,3707,10885,3635,10885,499,10873,427,10841,365,10792,315,10730,283,10658,272xe" filled="true" fillcolor="#e9f3fc" stroked="false">
                  <v:path arrowok="t"/>
                  <v:fill type="solid"/>
                </v:shape>
                <v:shape style="position:absolute;left:1417;top:271;width:9468;height:3591" type="#_x0000_t202" id="docshape828" filled="false" stroked="false">
                  <v:textbox inset="0,0,0,0">
                    <w:txbxContent>
                      <w:p>
                        <w:pPr>
                          <w:spacing w:line="232" w:lineRule="auto" w:before="121"/>
                          <w:ind w:left="340" w:right="196" w:firstLine="0"/>
                          <w:jc w:val="left"/>
                          <w:rPr>
                            <w:sz w:val="28"/>
                          </w:rPr>
                        </w:pPr>
                        <w:r>
                          <w:rPr>
                            <w:color w:val="164194"/>
                            <w:sz w:val="28"/>
                          </w:rPr>
                          <w:t>‘Having</w:t>
                        </w:r>
                        <w:r>
                          <w:rPr>
                            <w:color w:val="164194"/>
                            <w:spacing w:val="-1"/>
                            <w:sz w:val="28"/>
                          </w:rPr>
                          <w:t> </w:t>
                        </w:r>
                        <w:r>
                          <w:rPr>
                            <w:color w:val="164194"/>
                            <w:sz w:val="28"/>
                          </w:rPr>
                          <w:t>regard</w:t>
                        </w:r>
                        <w:r>
                          <w:rPr>
                            <w:color w:val="164194"/>
                            <w:spacing w:val="-2"/>
                            <w:sz w:val="28"/>
                          </w:rPr>
                          <w:t> </w:t>
                        </w:r>
                        <w:r>
                          <w:rPr>
                            <w:color w:val="164194"/>
                            <w:sz w:val="28"/>
                          </w:rPr>
                          <w:t>to</w:t>
                        </w:r>
                        <w:r>
                          <w:rPr>
                            <w:color w:val="164194"/>
                            <w:spacing w:val="-2"/>
                            <w:sz w:val="28"/>
                          </w:rPr>
                          <w:t> </w:t>
                        </w:r>
                        <w:r>
                          <w:rPr>
                            <w:color w:val="164194"/>
                            <w:sz w:val="28"/>
                          </w:rPr>
                          <w:t>all</w:t>
                        </w:r>
                        <w:r>
                          <w:rPr>
                            <w:color w:val="164194"/>
                            <w:spacing w:val="-2"/>
                            <w:sz w:val="28"/>
                          </w:rPr>
                          <w:t> </w:t>
                        </w:r>
                        <w:r>
                          <w:rPr>
                            <w:color w:val="164194"/>
                            <w:sz w:val="28"/>
                          </w:rPr>
                          <w:t>the</w:t>
                        </w:r>
                        <w:r>
                          <w:rPr>
                            <w:color w:val="164194"/>
                            <w:spacing w:val="-1"/>
                            <w:sz w:val="28"/>
                          </w:rPr>
                          <w:t> </w:t>
                        </w:r>
                        <w:r>
                          <w:rPr>
                            <w:color w:val="164194"/>
                            <w:sz w:val="28"/>
                          </w:rPr>
                          <w:t>foregoing</w:t>
                        </w:r>
                        <w:r>
                          <w:rPr>
                            <w:color w:val="164194"/>
                            <w:spacing w:val="-1"/>
                            <w:sz w:val="28"/>
                          </w:rPr>
                          <w:t> </w:t>
                        </w:r>
                        <w:r>
                          <w:rPr>
                            <w:color w:val="164194"/>
                            <w:sz w:val="28"/>
                          </w:rPr>
                          <w:t>considerations,</w:t>
                        </w:r>
                        <w:r>
                          <w:rPr>
                            <w:color w:val="164194"/>
                            <w:spacing w:val="-1"/>
                            <w:sz w:val="28"/>
                          </w:rPr>
                          <w:t> </w:t>
                        </w:r>
                        <w:r>
                          <w:rPr>
                            <w:color w:val="164194"/>
                            <w:sz w:val="28"/>
                          </w:rPr>
                          <w:t>the</w:t>
                        </w:r>
                        <w:r>
                          <w:rPr>
                            <w:color w:val="164194"/>
                            <w:spacing w:val="-1"/>
                            <w:sz w:val="28"/>
                          </w:rPr>
                          <w:t> </w:t>
                        </w:r>
                        <w:r>
                          <w:rPr>
                            <w:color w:val="164194"/>
                            <w:sz w:val="28"/>
                          </w:rPr>
                          <w:t>answer</w:t>
                        </w:r>
                        <w:r>
                          <w:rPr>
                            <w:color w:val="164194"/>
                            <w:spacing w:val="-1"/>
                            <w:sz w:val="28"/>
                          </w:rPr>
                          <w:t> </w:t>
                        </w:r>
                        <w:r>
                          <w:rPr>
                            <w:color w:val="164194"/>
                            <w:sz w:val="28"/>
                          </w:rPr>
                          <w:t>to</w:t>
                        </w:r>
                        <w:r>
                          <w:rPr>
                            <w:color w:val="164194"/>
                            <w:spacing w:val="-2"/>
                            <w:sz w:val="28"/>
                          </w:rPr>
                          <w:t> </w:t>
                        </w:r>
                        <w:r>
                          <w:rPr>
                            <w:color w:val="164194"/>
                            <w:sz w:val="28"/>
                          </w:rPr>
                          <w:t>the</w:t>
                        </w:r>
                        <w:r>
                          <w:rPr>
                            <w:color w:val="164194"/>
                            <w:spacing w:val="-1"/>
                            <w:sz w:val="28"/>
                          </w:rPr>
                          <w:t> </w:t>
                        </w:r>
                        <w:r>
                          <w:rPr>
                            <w:color w:val="164194"/>
                            <w:sz w:val="28"/>
                          </w:rPr>
                          <w:t>question referred is that Article 2(2), Article 4(1) and Article 6(1) of Directive 2000/78, read</w:t>
                        </w:r>
                        <w:r>
                          <w:rPr>
                            <w:color w:val="164194"/>
                            <w:spacing w:val="-8"/>
                            <w:sz w:val="28"/>
                          </w:rPr>
                          <w:t> </w:t>
                        </w:r>
                        <w:r>
                          <w:rPr>
                            <w:color w:val="164194"/>
                            <w:sz w:val="28"/>
                          </w:rPr>
                          <w:t>in</w:t>
                        </w:r>
                        <w:r>
                          <w:rPr>
                            <w:color w:val="164194"/>
                            <w:spacing w:val="-8"/>
                            <w:sz w:val="28"/>
                          </w:rPr>
                          <w:t> </w:t>
                        </w:r>
                        <w:r>
                          <w:rPr>
                            <w:color w:val="164194"/>
                            <w:sz w:val="28"/>
                          </w:rPr>
                          <w:t>the</w:t>
                        </w:r>
                        <w:r>
                          <w:rPr>
                            <w:color w:val="164194"/>
                            <w:spacing w:val="-7"/>
                            <w:sz w:val="28"/>
                          </w:rPr>
                          <w:t> </w:t>
                        </w:r>
                        <w:r>
                          <w:rPr>
                            <w:color w:val="164194"/>
                            <w:sz w:val="28"/>
                          </w:rPr>
                          <w:t>light</w:t>
                        </w:r>
                        <w:r>
                          <w:rPr>
                            <w:color w:val="164194"/>
                            <w:spacing w:val="-7"/>
                            <w:sz w:val="28"/>
                          </w:rPr>
                          <w:t> </w:t>
                        </w:r>
                        <w:r>
                          <w:rPr>
                            <w:color w:val="164194"/>
                            <w:sz w:val="28"/>
                          </w:rPr>
                          <w:t>of</w:t>
                        </w:r>
                        <w:r>
                          <w:rPr>
                            <w:color w:val="164194"/>
                            <w:spacing w:val="-8"/>
                            <w:sz w:val="28"/>
                          </w:rPr>
                          <w:t> </w:t>
                        </w:r>
                        <w:r>
                          <w:rPr>
                            <w:color w:val="164194"/>
                            <w:sz w:val="28"/>
                          </w:rPr>
                          <w:t>Article</w:t>
                        </w:r>
                        <w:r>
                          <w:rPr>
                            <w:color w:val="164194"/>
                            <w:spacing w:val="-7"/>
                            <w:sz w:val="28"/>
                          </w:rPr>
                          <w:t> </w:t>
                        </w:r>
                        <w:r>
                          <w:rPr>
                            <w:color w:val="164194"/>
                            <w:sz w:val="28"/>
                          </w:rPr>
                          <w:t>21</w:t>
                        </w:r>
                        <w:r>
                          <w:rPr>
                            <w:color w:val="164194"/>
                            <w:spacing w:val="-7"/>
                            <w:sz w:val="28"/>
                          </w:rPr>
                          <w:t> </w:t>
                        </w:r>
                        <w:r>
                          <w:rPr>
                            <w:color w:val="164194"/>
                            <w:sz w:val="28"/>
                          </w:rPr>
                          <w:t>of</w:t>
                        </w:r>
                        <w:r>
                          <w:rPr>
                            <w:color w:val="164194"/>
                            <w:spacing w:val="-8"/>
                            <w:sz w:val="28"/>
                          </w:rPr>
                          <w:t> </w:t>
                        </w:r>
                        <w:r>
                          <w:rPr>
                            <w:color w:val="164194"/>
                            <w:sz w:val="28"/>
                          </w:rPr>
                          <w:t>the</w:t>
                        </w:r>
                        <w:r>
                          <w:rPr>
                            <w:color w:val="164194"/>
                            <w:spacing w:val="-7"/>
                            <w:sz w:val="28"/>
                          </w:rPr>
                          <w:t> </w:t>
                        </w:r>
                        <w:r>
                          <w:rPr>
                            <w:color w:val="164194"/>
                            <w:sz w:val="28"/>
                          </w:rPr>
                          <w:t>Charter,</w:t>
                        </w:r>
                        <w:r>
                          <w:rPr>
                            <w:color w:val="164194"/>
                            <w:spacing w:val="-7"/>
                            <w:sz w:val="28"/>
                          </w:rPr>
                          <w:t> </w:t>
                        </w:r>
                        <w:r>
                          <w:rPr>
                            <w:color w:val="164194"/>
                            <w:sz w:val="28"/>
                          </w:rPr>
                          <w:t>must</w:t>
                        </w:r>
                        <w:r>
                          <w:rPr>
                            <w:color w:val="164194"/>
                            <w:spacing w:val="-7"/>
                            <w:sz w:val="28"/>
                          </w:rPr>
                          <w:t> </w:t>
                        </w:r>
                        <w:r>
                          <w:rPr>
                            <w:color w:val="164194"/>
                            <w:sz w:val="28"/>
                          </w:rPr>
                          <w:t>be</w:t>
                        </w:r>
                        <w:r>
                          <w:rPr>
                            <w:color w:val="164194"/>
                            <w:spacing w:val="-7"/>
                            <w:sz w:val="28"/>
                          </w:rPr>
                          <w:t> </w:t>
                        </w:r>
                        <w:r>
                          <w:rPr>
                            <w:color w:val="164194"/>
                            <w:sz w:val="28"/>
                          </w:rPr>
                          <w:t>interpreted</w:t>
                        </w:r>
                        <w:r>
                          <w:rPr>
                            <w:color w:val="164194"/>
                            <w:spacing w:val="-8"/>
                            <w:sz w:val="28"/>
                          </w:rPr>
                          <w:t> </w:t>
                        </w:r>
                        <w:r>
                          <w:rPr>
                            <w:color w:val="164194"/>
                            <w:sz w:val="28"/>
                          </w:rPr>
                          <w:t>as</w:t>
                        </w:r>
                        <w:r>
                          <w:rPr>
                            <w:color w:val="164194"/>
                            <w:spacing w:val="-8"/>
                            <w:sz w:val="28"/>
                          </w:rPr>
                          <w:t> </w:t>
                        </w:r>
                        <w:r>
                          <w:rPr>
                            <w:color w:val="164194"/>
                            <w:sz w:val="28"/>
                          </w:rPr>
                          <w:t>precluding national legislation which provides for the fixing of a maximum age limit</w:t>
                        </w:r>
                      </w:p>
                      <w:p>
                        <w:pPr>
                          <w:spacing w:line="232" w:lineRule="auto" w:before="0"/>
                          <w:ind w:left="340" w:right="196" w:firstLine="0"/>
                          <w:jc w:val="left"/>
                          <w:rPr>
                            <w:sz w:val="28"/>
                          </w:rPr>
                        </w:pPr>
                        <w:r>
                          <w:rPr>
                            <w:color w:val="164194"/>
                            <w:sz w:val="28"/>
                          </w:rPr>
                          <w:t>of 30 years for participation in a competition aimed at recruiting police commissioners, in so far as the duties actually performed by those police commissioners</w:t>
                        </w:r>
                        <w:r>
                          <w:rPr>
                            <w:color w:val="164194"/>
                            <w:spacing w:val="-11"/>
                            <w:sz w:val="28"/>
                          </w:rPr>
                          <w:t> </w:t>
                        </w:r>
                        <w:r>
                          <w:rPr>
                            <w:color w:val="164194"/>
                            <w:sz w:val="28"/>
                          </w:rPr>
                          <w:t>do</w:t>
                        </w:r>
                        <w:r>
                          <w:rPr>
                            <w:color w:val="164194"/>
                            <w:spacing w:val="-11"/>
                            <w:sz w:val="28"/>
                          </w:rPr>
                          <w:t> </w:t>
                        </w:r>
                        <w:r>
                          <w:rPr>
                            <w:color w:val="164194"/>
                            <w:sz w:val="28"/>
                          </w:rPr>
                          <w:t>not</w:t>
                        </w:r>
                        <w:r>
                          <w:rPr>
                            <w:color w:val="164194"/>
                            <w:spacing w:val="-10"/>
                            <w:sz w:val="28"/>
                          </w:rPr>
                          <w:t> </w:t>
                        </w:r>
                        <w:r>
                          <w:rPr>
                            <w:color w:val="164194"/>
                            <w:sz w:val="28"/>
                          </w:rPr>
                          <w:t>require</w:t>
                        </w:r>
                        <w:r>
                          <w:rPr>
                            <w:color w:val="164194"/>
                            <w:spacing w:val="-10"/>
                            <w:sz w:val="28"/>
                          </w:rPr>
                          <w:t> </w:t>
                        </w:r>
                        <w:r>
                          <w:rPr>
                            <w:color w:val="164194"/>
                            <w:sz w:val="28"/>
                          </w:rPr>
                          <w:t>particular</w:t>
                        </w:r>
                        <w:r>
                          <w:rPr>
                            <w:color w:val="164194"/>
                            <w:spacing w:val="-10"/>
                            <w:sz w:val="28"/>
                          </w:rPr>
                          <w:t> </w:t>
                        </w:r>
                        <w:r>
                          <w:rPr>
                            <w:color w:val="164194"/>
                            <w:sz w:val="28"/>
                          </w:rPr>
                          <w:t>physical</w:t>
                        </w:r>
                        <w:r>
                          <w:rPr>
                            <w:color w:val="164194"/>
                            <w:spacing w:val="-11"/>
                            <w:sz w:val="28"/>
                          </w:rPr>
                          <w:t> </w:t>
                        </w:r>
                        <w:r>
                          <w:rPr>
                            <w:color w:val="164194"/>
                            <w:sz w:val="28"/>
                          </w:rPr>
                          <w:t>capacities</w:t>
                        </w:r>
                        <w:r>
                          <w:rPr>
                            <w:color w:val="164194"/>
                            <w:spacing w:val="-11"/>
                            <w:sz w:val="28"/>
                          </w:rPr>
                          <w:t> </w:t>
                        </w:r>
                        <w:r>
                          <w:rPr>
                            <w:color w:val="164194"/>
                            <w:sz w:val="28"/>
                          </w:rPr>
                          <w:t>or,</w:t>
                        </w:r>
                        <w:r>
                          <w:rPr>
                            <w:color w:val="164194"/>
                            <w:spacing w:val="-10"/>
                            <w:sz w:val="28"/>
                          </w:rPr>
                          <w:t> </w:t>
                        </w:r>
                        <w:r>
                          <w:rPr>
                            <w:color w:val="164194"/>
                            <w:sz w:val="28"/>
                          </w:rPr>
                          <w:t>if</w:t>
                        </w:r>
                        <w:r>
                          <w:rPr>
                            <w:color w:val="164194"/>
                            <w:spacing w:val="-11"/>
                            <w:sz w:val="28"/>
                          </w:rPr>
                          <w:t> </w:t>
                        </w:r>
                        <w:r>
                          <w:rPr>
                            <w:color w:val="164194"/>
                            <w:sz w:val="28"/>
                          </w:rPr>
                          <w:t>such</w:t>
                        </w:r>
                        <w:r>
                          <w:rPr>
                            <w:color w:val="164194"/>
                            <w:spacing w:val="-11"/>
                            <w:sz w:val="28"/>
                          </w:rPr>
                          <w:t> </w:t>
                        </w:r>
                        <w:r>
                          <w:rPr>
                            <w:color w:val="164194"/>
                            <w:sz w:val="28"/>
                          </w:rPr>
                          <w:t>physical capacities are required, it is apparent that such legislation, while pursuing a legitimate aim, imposes a disproportionate requirement, which it is for the national court to determine.’</w:t>
                        </w:r>
                        <w:r>
                          <w:rPr>
                            <w:color w:val="164194"/>
                            <w:sz w:val="28"/>
                            <w:vertAlign w:val="superscript"/>
                          </w:rPr>
                          <w:t>636</w:t>
                        </w:r>
                      </w:p>
                    </w:txbxContent>
                  </v:textbox>
                  <w10:wrap type="none"/>
                </v:shape>
                <w10:wrap type="topAndBottom"/>
              </v:group>
            </w:pict>
          </mc:Fallback>
        </mc:AlternateContent>
      </w:r>
    </w:p>
    <w:p>
      <w:pPr>
        <w:pStyle w:val="BodyText"/>
        <w:rPr>
          <w:sz w:val="20"/>
        </w:rPr>
      </w:pPr>
    </w:p>
    <w:p>
      <w:pPr>
        <w:pStyle w:val="BodyText"/>
        <w:rPr>
          <w:sz w:val="20"/>
        </w:rPr>
      </w:pPr>
    </w:p>
    <w:p>
      <w:pPr>
        <w:pStyle w:val="BodyText"/>
        <w:spacing w:before="128"/>
        <w:rPr>
          <w:sz w:val="20"/>
        </w:rPr>
      </w:pPr>
      <w:r>
        <w:rPr/>
        <mc:AlternateContent>
          <mc:Choice Requires="wps">
            <w:drawing>
              <wp:anchor distT="0" distB="0" distL="0" distR="0" allowOverlap="1" layoutInCell="1" locked="0" behindDoc="1" simplePos="0" relativeHeight="487779328">
                <wp:simplePos x="0" y="0"/>
                <wp:positionH relativeFrom="page">
                  <wp:posOffset>900000</wp:posOffset>
                </wp:positionH>
                <wp:positionV relativeFrom="paragraph">
                  <wp:posOffset>252085</wp:posOffset>
                </wp:positionV>
                <wp:extent cx="6012180" cy="1270"/>
                <wp:effectExtent l="0" t="0" r="0" b="0"/>
                <wp:wrapTopAndBottom/>
                <wp:docPr id="1009" name="Graphic 1009"/>
                <wp:cNvGraphicFramePr>
                  <a:graphicFrameLocks/>
                </wp:cNvGraphicFramePr>
                <a:graphic>
                  <a:graphicData uri="http://schemas.microsoft.com/office/word/2010/wordprocessingShape">
                    <wps:wsp>
                      <wps:cNvPr id="1009" name="Graphic 100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19.849237pt;width:473.4pt;height:.1pt;mso-position-horizontal-relative:page;mso-position-vertical-relative:paragraph;z-index:-15537152;mso-wrap-distance-left:0;mso-wrap-distance-right:0" id="docshape829" coordorigin="1417,397" coordsize="9468,0" path="m1417,397l10885,397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44.</w:t>
      </w:r>
    </w:p>
    <w:p>
      <w:pPr>
        <w:pStyle w:val="ListParagraph"/>
        <w:numPr>
          <w:ilvl w:val="0"/>
          <w:numId w:val="51"/>
        </w:numPr>
        <w:tabs>
          <w:tab w:pos="1684" w:val="left" w:leader="none"/>
        </w:tabs>
        <w:spacing w:line="240" w:lineRule="auto" w:before="1"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3.</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83.</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098048">
                <wp:simplePos x="0" y="0"/>
                <wp:positionH relativeFrom="page">
                  <wp:posOffset>0</wp:posOffset>
                </wp:positionH>
                <wp:positionV relativeFrom="page">
                  <wp:posOffset>0</wp:posOffset>
                </wp:positionV>
                <wp:extent cx="7560309" cy="1155065"/>
                <wp:effectExtent l="0" t="0" r="0" b="0"/>
                <wp:wrapNone/>
                <wp:docPr id="1010" name="Group 1010"/>
                <wp:cNvGraphicFramePr>
                  <a:graphicFrameLocks/>
                </wp:cNvGraphicFramePr>
                <a:graphic>
                  <a:graphicData uri="http://schemas.microsoft.com/office/word/2010/wordprocessingGroup">
                    <wpg:wgp>
                      <wpg:cNvPr id="1010" name="Group 1010"/>
                      <wpg:cNvGrpSpPr/>
                      <wpg:grpSpPr>
                        <a:xfrm>
                          <a:off x="0" y="0"/>
                          <a:ext cx="7560309" cy="1155065"/>
                          <a:chExt cx="7560309" cy="1155065"/>
                        </a:xfrm>
                      </wpg:grpSpPr>
                      <wps:wsp>
                        <wps:cNvPr id="1011" name="Graphic 1011"/>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012" name="Graphic 1012"/>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18432" id="docshapegroup830" coordorigin="0,0" coordsize="11906,1819">
                <v:shape style="position:absolute;left:0;top:0;width:11906;height:1819" id="docshape831"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124</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570"/>
        <w:jc w:val="both"/>
      </w:pPr>
      <w:r>
        <w:rPr/>
        <w:t>Whilst</w:t>
      </w:r>
      <w:r>
        <w:rPr>
          <w:spacing w:val="-5"/>
        </w:rPr>
        <w:t> </w:t>
      </w:r>
      <w:r>
        <w:rPr/>
        <w:t>no</w:t>
      </w:r>
      <w:r>
        <w:rPr>
          <w:spacing w:val="-6"/>
        </w:rPr>
        <w:t> </w:t>
      </w:r>
      <w:r>
        <w:rPr/>
        <w:t>change</w:t>
      </w:r>
      <w:r>
        <w:rPr>
          <w:spacing w:val="-5"/>
        </w:rPr>
        <w:t> </w:t>
      </w:r>
      <w:r>
        <w:rPr/>
        <w:t>is</w:t>
      </w:r>
      <w:r>
        <w:rPr>
          <w:spacing w:val="-6"/>
        </w:rPr>
        <w:t> </w:t>
      </w:r>
      <w:r>
        <w:rPr/>
        <w:t>currently</w:t>
      </w:r>
      <w:r>
        <w:rPr>
          <w:spacing w:val="-5"/>
        </w:rPr>
        <w:t> </w:t>
      </w:r>
      <w:r>
        <w:rPr/>
        <w:t>needed</w:t>
      </w:r>
      <w:r>
        <w:rPr>
          <w:spacing w:val="-6"/>
        </w:rPr>
        <w:t> </w:t>
      </w:r>
      <w:r>
        <w:rPr/>
        <w:t>within</w:t>
      </w:r>
      <w:r>
        <w:rPr>
          <w:spacing w:val="-6"/>
        </w:rPr>
        <w:t> </w:t>
      </w:r>
      <w:r>
        <w:rPr/>
        <w:t>the</w:t>
      </w:r>
      <w:r>
        <w:rPr>
          <w:spacing w:val="-5"/>
        </w:rPr>
        <w:t> </w:t>
      </w:r>
      <w:r>
        <w:rPr/>
        <w:t>NI</w:t>
      </w:r>
      <w:r>
        <w:rPr>
          <w:spacing w:val="-5"/>
        </w:rPr>
        <w:t> </w:t>
      </w:r>
      <w:r>
        <w:rPr/>
        <w:t>context,</w:t>
      </w:r>
      <w:r>
        <w:rPr>
          <w:spacing w:val="-5"/>
        </w:rPr>
        <w:t> </w:t>
      </w:r>
      <w:r>
        <w:rPr/>
        <w:t>this</w:t>
      </w:r>
      <w:r>
        <w:rPr>
          <w:spacing w:val="-6"/>
        </w:rPr>
        <w:t> </w:t>
      </w:r>
      <w:r>
        <w:rPr/>
        <w:t>continues</w:t>
      </w:r>
      <w:r>
        <w:rPr>
          <w:spacing w:val="-6"/>
        </w:rPr>
        <w:t> </w:t>
      </w:r>
      <w:r>
        <w:rPr/>
        <w:t>to</w:t>
      </w:r>
      <w:r>
        <w:rPr>
          <w:spacing w:val="-6"/>
        </w:rPr>
        <w:t> </w:t>
      </w:r>
      <w:r>
        <w:rPr/>
        <w:t>be a</w:t>
      </w:r>
      <w:r>
        <w:rPr>
          <w:spacing w:val="-6"/>
        </w:rPr>
        <w:t> </w:t>
      </w:r>
      <w:r>
        <w:rPr/>
        <w:t>matter</w:t>
      </w:r>
      <w:r>
        <w:rPr>
          <w:spacing w:val="-5"/>
        </w:rPr>
        <w:t> </w:t>
      </w:r>
      <w:r>
        <w:rPr/>
        <w:t>which</w:t>
      </w:r>
      <w:r>
        <w:rPr>
          <w:spacing w:val="-6"/>
        </w:rPr>
        <w:t> </w:t>
      </w:r>
      <w:r>
        <w:rPr/>
        <w:t>should</w:t>
      </w:r>
      <w:r>
        <w:rPr>
          <w:spacing w:val="-6"/>
        </w:rPr>
        <w:t> </w:t>
      </w:r>
      <w:r>
        <w:rPr/>
        <w:t>be</w:t>
      </w:r>
      <w:r>
        <w:rPr>
          <w:spacing w:val="-5"/>
        </w:rPr>
        <w:t> </w:t>
      </w:r>
      <w:r>
        <w:rPr/>
        <w:t>closely</w:t>
      </w:r>
      <w:r>
        <w:rPr>
          <w:spacing w:val="-5"/>
        </w:rPr>
        <w:t> </w:t>
      </w:r>
      <w:r>
        <w:rPr/>
        <w:t>monitored</w:t>
      </w:r>
      <w:r>
        <w:rPr>
          <w:spacing w:val="-6"/>
        </w:rPr>
        <w:t> </w:t>
      </w:r>
      <w:r>
        <w:rPr/>
        <w:t>through</w:t>
      </w:r>
      <w:r>
        <w:rPr>
          <w:spacing w:val="-6"/>
        </w:rPr>
        <w:t> </w:t>
      </w:r>
      <w:r>
        <w:rPr/>
        <w:t>continued</w:t>
      </w:r>
      <w:r>
        <w:rPr>
          <w:spacing w:val="-6"/>
        </w:rPr>
        <w:t> </w:t>
      </w:r>
      <w:r>
        <w:rPr/>
        <w:t>analysis</w:t>
      </w:r>
      <w:r>
        <w:rPr>
          <w:spacing w:val="-6"/>
        </w:rPr>
        <w:t> </w:t>
      </w:r>
      <w:r>
        <w:rPr/>
        <w:t>of</w:t>
      </w:r>
      <w:r>
        <w:rPr>
          <w:spacing w:val="-6"/>
        </w:rPr>
        <w:t> </w:t>
      </w:r>
      <w:r>
        <w:rPr/>
        <w:t>CJEU case law.</w:t>
      </w:r>
    </w:p>
    <w:p>
      <w:pPr>
        <w:pStyle w:val="BodyText"/>
        <w:spacing w:line="232" w:lineRule="auto" w:before="279"/>
        <w:ind w:left="720" w:right="1327"/>
      </w:pPr>
      <w:r>
        <w:rPr/>
        <w:t>In </w:t>
      </w:r>
      <w:r>
        <w:rPr>
          <w:b/>
          <w:i/>
        </w:rPr>
        <w:t>Curtea de Apel Alba Iulia and Others</w:t>
      </w:r>
      <w:r>
        <w:rPr>
          <w:i/>
        </w:rPr>
        <w:t>,</w:t>
      </w:r>
      <w:r>
        <w:rPr>
          <w:vertAlign w:val="superscript"/>
        </w:rPr>
        <w:t>637</w:t>
      </w:r>
      <w:r>
        <w:rPr>
          <w:vertAlign w:val="baseline"/>
        </w:rPr>
        <w:t> another case dealing with potential age discrimination, seven Romanian judges argued for compensation of salary which they deemed they should be entitled to under the national legislation. The backdrop to this was that during the period 2006-2009, the majority of judges working in Romania obtained judicial decisions entitling them to increased gross monthly</w:t>
      </w:r>
      <w:r>
        <w:rPr>
          <w:spacing w:val="-8"/>
          <w:vertAlign w:val="baseline"/>
        </w:rPr>
        <w:t> </w:t>
      </w:r>
      <w:r>
        <w:rPr>
          <w:vertAlign w:val="baseline"/>
        </w:rPr>
        <w:t>management</w:t>
      </w:r>
      <w:r>
        <w:rPr>
          <w:spacing w:val="-8"/>
          <w:vertAlign w:val="baseline"/>
        </w:rPr>
        <w:t> </w:t>
      </w:r>
      <w:r>
        <w:rPr>
          <w:vertAlign w:val="baseline"/>
        </w:rPr>
        <w:t>allowances.</w:t>
      </w:r>
      <w:r>
        <w:rPr>
          <w:vertAlign w:val="superscript"/>
        </w:rPr>
        <w:t>638</w:t>
      </w:r>
      <w:r>
        <w:rPr>
          <w:spacing w:val="-9"/>
          <w:vertAlign w:val="baseline"/>
        </w:rPr>
        <w:t> </w:t>
      </w:r>
      <w:r>
        <w:rPr>
          <w:vertAlign w:val="baseline"/>
        </w:rPr>
        <w:t>The</w:t>
      </w:r>
      <w:r>
        <w:rPr>
          <w:spacing w:val="-8"/>
          <w:vertAlign w:val="baseline"/>
        </w:rPr>
        <w:t> </w:t>
      </w:r>
      <w:r>
        <w:rPr>
          <w:vertAlign w:val="baseline"/>
        </w:rPr>
        <w:t>issue</w:t>
      </w:r>
      <w:r>
        <w:rPr>
          <w:spacing w:val="-8"/>
          <w:vertAlign w:val="baseline"/>
        </w:rPr>
        <w:t> </w:t>
      </w:r>
      <w:r>
        <w:rPr>
          <w:vertAlign w:val="baseline"/>
        </w:rPr>
        <w:t>for</w:t>
      </w:r>
      <w:r>
        <w:rPr>
          <w:spacing w:val="-8"/>
          <w:vertAlign w:val="baseline"/>
        </w:rPr>
        <w:t> </w:t>
      </w:r>
      <w:r>
        <w:rPr>
          <w:vertAlign w:val="baseline"/>
        </w:rPr>
        <w:t>the</w:t>
      </w:r>
      <w:r>
        <w:rPr>
          <w:spacing w:val="-8"/>
          <w:vertAlign w:val="baseline"/>
        </w:rPr>
        <w:t> </w:t>
      </w:r>
      <w:r>
        <w:rPr>
          <w:vertAlign w:val="baseline"/>
        </w:rPr>
        <w:t>applicants</w:t>
      </w:r>
      <w:r>
        <w:rPr>
          <w:spacing w:val="-9"/>
          <w:vertAlign w:val="baseline"/>
        </w:rPr>
        <w:t> </w:t>
      </w:r>
      <w:r>
        <w:rPr>
          <w:vertAlign w:val="baseline"/>
        </w:rPr>
        <w:t>in</w:t>
      </w:r>
      <w:r>
        <w:rPr>
          <w:spacing w:val="-9"/>
          <w:vertAlign w:val="baseline"/>
        </w:rPr>
        <w:t> </w:t>
      </w:r>
      <w:r>
        <w:rPr>
          <w:vertAlign w:val="baseline"/>
        </w:rPr>
        <w:t>the</w:t>
      </w:r>
      <w:r>
        <w:rPr>
          <w:spacing w:val="-8"/>
          <w:vertAlign w:val="baseline"/>
        </w:rPr>
        <w:t> </w:t>
      </w:r>
      <w:r>
        <w:rPr>
          <w:vertAlign w:val="baseline"/>
        </w:rPr>
        <w:t>given</w:t>
      </w:r>
      <w:r>
        <w:rPr>
          <w:spacing w:val="-9"/>
          <w:vertAlign w:val="baseline"/>
        </w:rPr>
        <w:t> </w:t>
      </w:r>
      <w:r>
        <w:rPr>
          <w:vertAlign w:val="baseline"/>
        </w:rPr>
        <w:t>case was that they were not yet judges during the period 2006-2009, the entitlements should continue to apply to them insofar as they performed comparable duties during</w:t>
      </w:r>
      <w:r>
        <w:rPr>
          <w:spacing w:val="-6"/>
          <w:vertAlign w:val="baseline"/>
        </w:rPr>
        <w:t> </w:t>
      </w:r>
      <w:r>
        <w:rPr>
          <w:vertAlign w:val="baseline"/>
        </w:rPr>
        <w:t>the</w:t>
      </w:r>
      <w:r>
        <w:rPr>
          <w:spacing w:val="-6"/>
          <w:vertAlign w:val="baseline"/>
        </w:rPr>
        <w:t> </w:t>
      </w:r>
      <w:r>
        <w:rPr>
          <w:vertAlign w:val="baseline"/>
        </w:rPr>
        <w:t>period</w:t>
      </w:r>
      <w:r>
        <w:rPr>
          <w:spacing w:val="-6"/>
          <w:vertAlign w:val="baseline"/>
        </w:rPr>
        <w:t> </w:t>
      </w:r>
      <w:r>
        <w:rPr>
          <w:vertAlign w:val="baseline"/>
        </w:rPr>
        <w:t>2010-2015.</w:t>
      </w:r>
      <w:r>
        <w:rPr>
          <w:vertAlign w:val="superscript"/>
        </w:rPr>
        <w:t>639</w:t>
      </w:r>
      <w:r>
        <w:rPr>
          <w:spacing w:val="-6"/>
          <w:vertAlign w:val="baseline"/>
        </w:rPr>
        <w:t> </w:t>
      </w:r>
      <w:r>
        <w:rPr>
          <w:vertAlign w:val="baseline"/>
        </w:rPr>
        <w:t>The</w:t>
      </w:r>
      <w:r>
        <w:rPr>
          <w:spacing w:val="-6"/>
          <w:vertAlign w:val="baseline"/>
        </w:rPr>
        <w:t> </w:t>
      </w:r>
      <w:r>
        <w:rPr>
          <w:vertAlign w:val="baseline"/>
        </w:rPr>
        <w:t>referring</w:t>
      </w:r>
      <w:r>
        <w:rPr>
          <w:spacing w:val="-6"/>
          <w:vertAlign w:val="baseline"/>
        </w:rPr>
        <w:t> </w:t>
      </w:r>
      <w:r>
        <w:rPr>
          <w:vertAlign w:val="baseline"/>
        </w:rPr>
        <w:t>Court</w:t>
      </w:r>
      <w:r>
        <w:rPr>
          <w:spacing w:val="-6"/>
          <w:vertAlign w:val="baseline"/>
        </w:rPr>
        <w:t> </w:t>
      </w:r>
      <w:r>
        <w:rPr>
          <w:vertAlign w:val="baseline"/>
        </w:rPr>
        <w:t>had</w:t>
      </w:r>
      <w:r>
        <w:rPr>
          <w:spacing w:val="-6"/>
          <w:vertAlign w:val="baseline"/>
        </w:rPr>
        <w:t> </w:t>
      </w:r>
      <w:r>
        <w:rPr>
          <w:vertAlign w:val="baseline"/>
        </w:rPr>
        <w:t>the</w:t>
      </w:r>
      <w:r>
        <w:rPr>
          <w:spacing w:val="-6"/>
          <w:vertAlign w:val="baseline"/>
        </w:rPr>
        <w:t> </w:t>
      </w:r>
      <w:r>
        <w:rPr>
          <w:vertAlign w:val="baseline"/>
        </w:rPr>
        <w:t>overarching</w:t>
      </w:r>
      <w:r>
        <w:rPr>
          <w:spacing w:val="-6"/>
          <w:vertAlign w:val="baseline"/>
        </w:rPr>
        <w:t> </w:t>
      </w:r>
      <w:r>
        <w:rPr>
          <w:vertAlign w:val="baseline"/>
        </w:rPr>
        <w:t>concerns as follows:</w:t>
      </w:r>
    </w:p>
    <w:p>
      <w:pPr>
        <w:pStyle w:val="BodyText"/>
        <w:spacing w:before="3"/>
        <w:rPr>
          <w:sz w:val="19"/>
        </w:rPr>
      </w:pPr>
      <w:r>
        <w:rPr/>
        <mc:AlternateContent>
          <mc:Choice Requires="wps">
            <w:drawing>
              <wp:anchor distT="0" distB="0" distL="0" distR="0" allowOverlap="1" layoutInCell="1" locked="0" behindDoc="1" simplePos="0" relativeHeight="487780352">
                <wp:simplePos x="0" y="0"/>
                <wp:positionH relativeFrom="page">
                  <wp:posOffset>647994</wp:posOffset>
                </wp:positionH>
                <wp:positionV relativeFrom="paragraph">
                  <wp:posOffset>164979</wp:posOffset>
                </wp:positionV>
                <wp:extent cx="6012180" cy="3118485"/>
                <wp:effectExtent l="0" t="0" r="0" b="0"/>
                <wp:wrapTopAndBottom/>
                <wp:docPr id="1013" name="Group 1013"/>
                <wp:cNvGraphicFramePr>
                  <a:graphicFrameLocks/>
                </wp:cNvGraphicFramePr>
                <a:graphic>
                  <a:graphicData uri="http://schemas.microsoft.com/office/word/2010/wordprocessingGroup">
                    <wpg:wgp>
                      <wpg:cNvPr id="1013" name="Group 1013"/>
                      <wpg:cNvGrpSpPr/>
                      <wpg:grpSpPr>
                        <a:xfrm>
                          <a:off x="0" y="0"/>
                          <a:ext cx="6012180" cy="3118485"/>
                          <a:chExt cx="6012180" cy="3118485"/>
                        </a:xfrm>
                      </wpg:grpSpPr>
                      <wps:wsp>
                        <wps:cNvPr id="1014" name="Graphic 1014"/>
                        <wps:cNvSpPr/>
                        <wps:spPr>
                          <a:xfrm>
                            <a:off x="0" y="0"/>
                            <a:ext cx="6012180" cy="3118485"/>
                          </a:xfrm>
                          <a:custGeom>
                            <a:avLst/>
                            <a:gdLst/>
                            <a:ahLst/>
                            <a:cxnLst/>
                            <a:rect l="l" t="t" r="r" b="b"/>
                            <a:pathLst>
                              <a:path w="6012180" h="3118485">
                                <a:moveTo>
                                  <a:pt x="5868009" y="0"/>
                                </a:moveTo>
                                <a:lnTo>
                                  <a:pt x="144005" y="0"/>
                                </a:lnTo>
                                <a:lnTo>
                                  <a:pt x="98490" y="7340"/>
                                </a:lnTo>
                                <a:lnTo>
                                  <a:pt x="58959" y="27782"/>
                                </a:lnTo>
                                <a:lnTo>
                                  <a:pt x="27785" y="58954"/>
                                </a:lnTo>
                                <a:lnTo>
                                  <a:pt x="7341" y="98485"/>
                                </a:lnTo>
                                <a:lnTo>
                                  <a:pt x="0" y="144005"/>
                                </a:lnTo>
                                <a:lnTo>
                                  <a:pt x="0" y="2973946"/>
                                </a:lnTo>
                                <a:lnTo>
                                  <a:pt x="7341" y="3019461"/>
                                </a:lnTo>
                                <a:lnTo>
                                  <a:pt x="27785" y="3058992"/>
                                </a:lnTo>
                                <a:lnTo>
                                  <a:pt x="58959" y="3090165"/>
                                </a:lnTo>
                                <a:lnTo>
                                  <a:pt x="98490" y="3110609"/>
                                </a:lnTo>
                                <a:lnTo>
                                  <a:pt x="144005" y="3117951"/>
                                </a:lnTo>
                                <a:lnTo>
                                  <a:pt x="5868009" y="3117951"/>
                                </a:lnTo>
                                <a:lnTo>
                                  <a:pt x="5913523" y="3110609"/>
                                </a:lnTo>
                                <a:lnTo>
                                  <a:pt x="5953050" y="3090165"/>
                                </a:lnTo>
                                <a:lnTo>
                                  <a:pt x="5984220" y="3058992"/>
                                </a:lnTo>
                                <a:lnTo>
                                  <a:pt x="6004661" y="3019461"/>
                                </a:lnTo>
                                <a:lnTo>
                                  <a:pt x="6012002" y="29739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15" name="Textbox 1015"/>
                        <wps:cNvSpPr txBox="1"/>
                        <wps:spPr>
                          <a:xfrm>
                            <a:off x="0" y="0"/>
                            <a:ext cx="6012180" cy="3118485"/>
                          </a:xfrm>
                          <a:prstGeom prst="rect">
                            <a:avLst/>
                          </a:prstGeom>
                        </wps:spPr>
                        <wps:txbx>
                          <w:txbxContent>
                            <w:p>
                              <w:pPr>
                                <w:spacing w:line="232" w:lineRule="auto" w:before="121"/>
                                <w:ind w:left="340" w:right="156" w:firstLine="0"/>
                                <w:jc w:val="left"/>
                                <w:rPr>
                                  <w:sz w:val="28"/>
                                </w:rPr>
                              </w:pPr>
                              <w:r>
                                <w:rPr>
                                  <w:color w:val="164194"/>
                                  <w:sz w:val="28"/>
                                </w:rPr>
                                <w:t>‘The referring court also notes that it is only because the judges in question</w:t>
                              </w:r>
                              <w:r>
                                <w:rPr>
                                  <w:color w:val="164194"/>
                                  <w:spacing w:val="40"/>
                                  <w:sz w:val="28"/>
                                </w:rPr>
                                <w:t> </w:t>
                              </w:r>
                              <w:r>
                                <w:rPr>
                                  <w:color w:val="164194"/>
                                  <w:sz w:val="28"/>
                                </w:rPr>
                                <w:t>are younger and were appointed to their posts subsequently to the actions brought by the existing judges in the period 2006 to 2009 that the courts concerned are denying them those rights, since they worked under the same conditions during the period 2010 to 2015. It therefore enquires whether an interpretation of EU law according to which proceedings can no longer be brought to claim the salary increases because the right to bring proceedings is time-barred</w:t>
                              </w:r>
                              <w:r>
                                <w:rPr>
                                  <w:color w:val="164194"/>
                                  <w:spacing w:val="-5"/>
                                  <w:sz w:val="28"/>
                                </w:rPr>
                                <w:t> </w:t>
                              </w:r>
                              <w:r>
                                <w:rPr>
                                  <w:color w:val="164194"/>
                                  <w:sz w:val="28"/>
                                </w:rPr>
                                <w:t>gives</w:t>
                              </w:r>
                              <w:r>
                                <w:rPr>
                                  <w:color w:val="164194"/>
                                  <w:spacing w:val="-5"/>
                                  <w:sz w:val="28"/>
                                </w:rPr>
                                <w:t> </w:t>
                              </w:r>
                              <w:r>
                                <w:rPr>
                                  <w:color w:val="164194"/>
                                  <w:sz w:val="28"/>
                                </w:rPr>
                                <w:t>rise</w:t>
                              </w:r>
                              <w:r>
                                <w:rPr>
                                  <w:color w:val="164194"/>
                                  <w:spacing w:val="-3"/>
                                  <w:sz w:val="28"/>
                                </w:rPr>
                                <w:t> </w:t>
                              </w:r>
                              <w:r>
                                <w:rPr>
                                  <w:color w:val="164194"/>
                                  <w:sz w:val="28"/>
                                </w:rPr>
                                <w:t>to</w:t>
                              </w:r>
                              <w:r>
                                <w:rPr>
                                  <w:color w:val="164194"/>
                                  <w:spacing w:val="-5"/>
                                  <w:sz w:val="28"/>
                                </w:rPr>
                                <w:t> </w:t>
                              </w:r>
                              <w:r>
                                <w:rPr>
                                  <w:color w:val="164194"/>
                                  <w:sz w:val="28"/>
                                </w:rPr>
                                <w:t>discrimination</w:t>
                              </w:r>
                              <w:r>
                                <w:rPr>
                                  <w:color w:val="164194"/>
                                  <w:spacing w:val="-4"/>
                                  <w:sz w:val="28"/>
                                </w:rPr>
                                <w:t> </w:t>
                              </w:r>
                              <w:r>
                                <w:rPr>
                                  <w:color w:val="164194"/>
                                  <w:sz w:val="28"/>
                                </w:rPr>
                                <w:t>between,</w:t>
                              </w:r>
                              <w:r>
                                <w:rPr>
                                  <w:color w:val="164194"/>
                                  <w:spacing w:val="-4"/>
                                  <w:sz w:val="28"/>
                                </w:rPr>
                                <w:t> </w:t>
                              </w:r>
                              <w:r>
                                <w:rPr>
                                  <w:color w:val="164194"/>
                                  <w:sz w:val="28"/>
                                </w:rPr>
                                <w:t>on</w:t>
                              </w:r>
                              <w:r>
                                <w:rPr>
                                  <w:color w:val="164194"/>
                                  <w:spacing w:val="-4"/>
                                  <w:sz w:val="28"/>
                                </w:rPr>
                                <w:t> </w:t>
                              </w:r>
                              <w:r>
                                <w:rPr>
                                  <w:color w:val="164194"/>
                                  <w:sz w:val="28"/>
                                </w:rPr>
                                <w:t>the</w:t>
                              </w:r>
                              <w:r>
                                <w:rPr>
                                  <w:color w:val="164194"/>
                                  <w:spacing w:val="-4"/>
                                  <w:sz w:val="28"/>
                                </w:rPr>
                                <w:t> </w:t>
                              </w:r>
                              <w:r>
                                <w:rPr>
                                  <w:color w:val="164194"/>
                                  <w:sz w:val="28"/>
                                </w:rPr>
                                <w:t>one</w:t>
                              </w:r>
                              <w:r>
                                <w:rPr>
                                  <w:color w:val="164194"/>
                                  <w:spacing w:val="-4"/>
                                  <w:sz w:val="28"/>
                                </w:rPr>
                                <w:t> </w:t>
                              </w:r>
                              <w:r>
                                <w:rPr>
                                  <w:color w:val="164194"/>
                                  <w:sz w:val="28"/>
                                </w:rPr>
                                <w:t>hand,</w:t>
                              </w:r>
                              <w:r>
                                <w:rPr>
                                  <w:color w:val="164194"/>
                                  <w:spacing w:val="-3"/>
                                  <w:sz w:val="28"/>
                                </w:rPr>
                                <w:t> </w:t>
                              </w:r>
                              <w:r>
                                <w:rPr>
                                  <w:color w:val="164194"/>
                                  <w:sz w:val="28"/>
                                </w:rPr>
                                <w:t>the</w:t>
                              </w:r>
                              <w:r>
                                <w:rPr>
                                  <w:color w:val="164194"/>
                                  <w:spacing w:val="-4"/>
                                  <w:sz w:val="28"/>
                                </w:rPr>
                                <w:t> </w:t>
                              </w:r>
                              <w:r>
                                <w:rPr>
                                  <w:color w:val="164194"/>
                                  <w:spacing w:val="-2"/>
                                  <w:sz w:val="28"/>
                                </w:rPr>
                                <w:t>existing</w:t>
                              </w:r>
                            </w:p>
                            <w:p>
                              <w:pPr>
                                <w:spacing w:line="232" w:lineRule="auto" w:before="0"/>
                                <w:ind w:left="340" w:right="106" w:firstLine="0"/>
                                <w:jc w:val="left"/>
                                <w:rPr>
                                  <w:sz w:val="28"/>
                                </w:rPr>
                              </w:pPr>
                              <w:r>
                                <w:rPr>
                                  <w:color w:val="164194"/>
                                  <w:sz w:val="28"/>
                                </w:rPr>
                                <w:t>judges,</w:t>
                              </w:r>
                              <w:r>
                                <w:rPr>
                                  <w:color w:val="164194"/>
                                  <w:spacing w:val="-5"/>
                                  <w:sz w:val="28"/>
                                </w:rPr>
                                <w:t> </w:t>
                              </w:r>
                              <w:r>
                                <w:rPr>
                                  <w:color w:val="164194"/>
                                  <w:sz w:val="28"/>
                                </w:rPr>
                                <w:t>in</w:t>
                              </w:r>
                              <w:r>
                                <w:rPr>
                                  <w:color w:val="164194"/>
                                  <w:spacing w:val="-6"/>
                                  <w:sz w:val="28"/>
                                </w:rPr>
                                <w:t> </w:t>
                              </w:r>
                              <w:r>
                                <w:rPr>
                                  <w:color w:val="164194"/>
                                  <w:sz w:val="28"/>
                                </w:rPr>
                                <w:t>respect</w:t>
                              </w:r>
                              <w:r>
                                <w:rPr>
                                  <w:color w:val="164194"/>
                                  <w:spacing w:val="-5"/>
                                  <w:sz w:val="28"/>
                                </w:rPr>
                                <w:t> </w:t>
                              </w:r>
                              <w:r>
                                <w:rPr>
                                  <w:color w:val="164194"/>
                                  <w:sz w:val="28"/>
                                </w:rPr>
                                <w:t>of</w:t>
                              </w:r>
                              <w:r>
                                <w:rPr>
                                  <w:color w:val="164194"/>
                                  <w:spacing w:val="-6"/>
                                  <w:sz w:val="28"/>
                                </w:rPr>
                                <w:t> </w:t>
                              </w:r>
                              <w:r>
                                <w:rPr>
                                  <w:color w:val="164194"/>
                                  <w:sz w:val="28"/>
                                </w:rPr>
                                <w:t>whom</w:t>
                              </w:r>
                              <w:r>
                                <w:rPr>
                                  <w:color w:val="164194"/>
                                  <w:spacing w:val="-5"/>
                                  <w:sz w:val="28"/>
                                </w:rPr>
                                <w:t> </w:t>
                              </w:r>
                              <w:r>
                                <w:rPr>
                                  <w:color w:val="164194"/>
                                  <w:sz w:val="28"/>
                                </w:rPr>
                                <w:t>the</w:t>
                              </w:r>
                              <w:r>
                                <w:rPr>
                                  <w:color w:val="164194"/>
                                  <w:spacing w:val="-5"/>
                                  <w:sz w:val="28"/>
                                </w:rPr>
                                <w:t> </w:t>
                              </w:r>
                              <w:r>
                                <w:rPr>
                                  <w:color w:val="164194"/>
                                  <w:sz w:val="28"/>
                                </w:rPr>
                                <w:t>courts</w:t>
                              </w:r>
                              <w:r>
                                <w:rPr>
                                  <w:color w:val="164194"/>
                                  <w:spacing w:val="-6"/>
                                  <w:sz w:val="28"/>
                                </w:rPr>
                                <w:t> </w:t>
                              </w:r>
                              <w:r>
                                <w:rPr>
                                  <w:color w:val="164194"/>
                                  <w:sz w:val="28"/>
                                </w:rPr>
                                <w:t>concerned</w:t>
                              </w:r>
                              <w:r>
                                <w:rPr>
                                  <w:color w:val="164194"/>
                                  <w:spacing w:val="-6"/>
                                  <w:sz w:val="28"/>
                                </w:rPr>
                                <w:t> </w:t>
                              </w:r>
                              <w:r>
                                <w:rPr>
                                  <w:color w:val="164194"/>
                                  <w:sz w:val="28"/>
                                </w:rPr>
                                <w:t>acknowledged</w:t>
                              </w:r>
                              <w:r>
                                <w:rPr>
                                  <w:color w:val="164194"/>
                                  <w:spacing w:val="-6"/>
                                  <w:sz w:val="28"/>
                                </w:rPr>
                                <w:t> </w:t>
                              </w:r>
                              <w:r>
                                <w:rPr>
                                  <w:color w:val="164194"/>
                                  <w:sz w:val="28"/>
                                </w:rPr>
                                <w:t>and</w:t>
                              </w:r>
                              <w:r>
                                <w:rPr>
                                  <w:color w:val="164194"/>
                                  <w:spacing w:val="-6"/>
                                  <w:sz w:val="28"/>
                                </w:rPr>
                                <w:t> </w:t>
                              </w:r>
                              <w:r>
                                <w:rPr>
                                  <w:color w:val="164194"/>
                                  <w:sz w:val="28"/>
                                </w:rPr>
                                <w:t>paid</w:t>
                              </w:r>
                              <w:r>
                                <w:rPr>
                                  <w:color w:val="164194"/>
                                  <w:spacing w:val="-6"/>
                                  <w:sz w:val="28"/>
                                </w:rPr>
                                <w:t> </w:t>
                              </w:r>
                              <w:r>
                                <w:rPr>
                                  <w:color w:val="164194"/>
                                  <w:sz w:val="28"/>
                                </w:rPr>
                                <w:t>those increases in December 2019 and January 2020, and, on the other, the judges, such as the judges in question, in respect of whom those courts have not acknowledged entitlement to those increases and who brought proceedings in 2020, even though during the same period both categories of judges worked for the same employer and performed the same duties.’</w:t>
                              </w:r>
                              <w:r>
                                <w:rPr>
                                  <w:color w:val="164194"/>
                                  <w:sz w:val="28"/>
                                  <w:vertAlign w:val="superscript"/>
                                </w:rPr>
                                <w:t>640</w:t>
                              </w:r>
                            </w:p>
                          </w:txbxContent>
                        </wps:txbx>
                        <wps:bodyPr wrap="square" lIns="0" tIns="0" rIns="0" bIns="0" rtlCol="0">
                          <a:noAutofit/>
                        </wps:bodyPr>
                      </wps:wsp>
                    </wpg:wgp>
                  </a:graphicData>
                </a:graphic>
              </wp:anchor>
            </w:drawing>
          </mc:Choice>
          <mc:Fallback>
            <w:pict>
              <v:group style="position:absolute;margin-left:51.023201pt;margin-top:12.990501pt;width:473.4pt;height:245.55pt;mso-position-horizontal-relative:page;mso-position-vertical-relative:paragraph;z-index:-15536128;mso-wrap-distance-left:0;mso-wrap-distance-right:0" id="docshapegroup832" coordorigin="1020,260" coordsize="9468,4911">
                <v:shape style="position:absolute;left:1020;top:259;width:9468;height:4911" id="docshape833" coordorigin="1020,260" coordsize="9468,4911" path="m10261,260l1247,260,1176,271,1113,304,1064,353,1032,415,1020,487,1020,4943,1032,5015,1064,5077,1113,5126,1176,5158,1247,5170,10261,5170,10333,5158,10395,5126,10444,5077,10477,5015,10488,4943,10488,487,10477,415,10444,353,10395,304,10333,271,10261,260xe" filled="true" fillcolor="#e9f3fc" stroked="false">
                  <v:path arrowok="t"/>
                  <v:fill type="solid"/>
                </v:shape>
                <v:shape style="position:absolute;left:1020;top:259;width:9468;height:4911" type="#_x0000_t202" id="docshape834" filled="false" stroked="false">
                  <v:textbox inset="0,0,0,0">
                    <w:txbxContent>
                      <w:p>
                        <w:pPr>
                          <w:spacing w:line="232" w:lineRule="auto" w:before="121"/>
                          <w:ind w:left="340" w:right="156" w:firstLine="0"/>
                          <w:jc w:val="left"/>
                          <w:rPr>
                            <w:sz w:val="28"/>
                          </w:rPr>
                        </w:pPr>
                        <w:r>
                          <w:rPr>
                            <w:color w:val="164194"/>
                            <w:sz w:val="28"/>
                          </w:rPr>
                          <w:t>‘The referring court also notes that it is only because the judges in question</w:t>
                        </w:r>
                        <w:r>
                          <w:rPr>
                            <w:color w:val="164194"/>
                            <w:spacing w:val="40"/>
                            <w:sz w:val="28"/>
                          </w:rPr>
                          <w:t> </w:t>
                        </w:r>
                        <w:r>
                          <w:rPr>
                            <w:color w:val="164194"/>
                            <w:sz w:val="28"/>
                          </w:rPr>
                          <w:t>are younger and were appointed to their posts subsequently to the actions brought by the existing judges in the period 2006 to 2009 that the courts concerned are denying them those rights, since they worked under the same conditions during the period 2010 to 2015. It therefore enquires whether an interpretation of EU law according to which proceedings can no longer be brought to claim the salary increases because the right to bring proceedings is time-barred</w:t>
                        </w:r>
                        <w:r>
                          <w:rPr>
                            <w:color w:val="164194"/>
                            <w:spacing w:val="-5"/>
                            <w:sz w:val="28"/>
                          </w:rPr>
                          <w:t> </w:t>
                        </w:r>
                        <w:r>
                          <w:rPr>
                            <w:color w:val="164194"/>
                            <w:sz w:val="28"/>
                          </w:rPr>
                          <w:t>gives</w:t>
                        </w:r>
                        <w:r>
                          <w:rPr>
                            <w:color w:val="164194"/>
                            <w:spacing w:val="-5"/>
                            <w:sz w:val="28"/>
                          </w:rPr>
                          <w:t> </w:t>
                        </w:r>
                        <w:r>
                          <w:rPr>
                            <w:color w:val="164194"/>
                            <w:sz w:val="28"/>
                          </w:rPr>
                          <w:t>rise</w:t>
                        </w:r>
                        <w:r>
                          <w:rPr>
                            <w:color w:val="164194"/>
                            <w:spacing w:val="-3"/>
                            <w:sz w:val="28"/>
                          </w:rPr>
                          <w:t> </w:t>
                        </w:r>
                        <w:r>
                          <w:rPr>
                            <w:color w:val="164194"/>
                            <w:sz w:val="28"/>
                          </w:rPr>
                          <w:t>to</w:t>
                        </w:r>
                        <w:r>
                          <w:rPr>
                            <w:color w:val="164194"/>
                            <w:spacing w:val="-5"/>
                            <w:sz w:val="28"/>
                          </w:rPr>
                          <w:t> </w:t>
                        </w:r>
                        <w:r>
                          <w:rPr>
                            <w:color w:val="164194"/>
                            <w:sz w:val="28"/>
                          </w:rPr>
                          <w:t>discrimination</w:t>
                        </w:r>
                        <w:r>
                          <w:rPr>
                            <w:color w:val="164194"/>
                            <w:spacing w:val="-4"/>
                            <w:sz w:val="28"/>
                          </w:rPr>
                          <w:t> </w:t>
                        </w:r>
                        <w:r>
                          <w:rPr>
                            <w:color w:val="164194"/>
                            <w:sz w:val="28"/>
                          </w:rPr>
                          <w:t>between,</w:t>
                        </w:r>
                        <w:r>
                          <w:rPr>
                            <w:color w:val="164194"/>
                            <w:spacing w:val="-4"/>
                            <w:sz w:val="28"/>
                          </w:rPr>
                          <w:t> </w:t>
                        </w:r>
                        <w:r>
                          <w:rPr>
                            <w:color w:val="164194"/>
                            <w:sz w:val="28"/>
                          </w:rPr>
                          <w:t>on</w:t>
                        </w:r>
                        <w:r>
                          <w:rPr>
                            <w:color w:val="164194"/>
                            <w:spacing w:val="-4"/>
                            <w:sz w:val="28"/>
                          </w:rPr>
                          <w:t> </w:t>
                        </w:r>
                        <w:r>
                          <w:rPr>
                            <w:color w:val="164194"/>
                            <w:sz w:val="28"/>
                          </w:rPr>
                          <w:t>the</w:t>
                        </w:r>
                        <w:r>
                          <w:rPr>
                            <w:color w:val="164194"/>
                            <w:spacing w:val="-4"/>
                            <w:sz w:val="28"/>
                          </w:rPr>
                          <w:t> </w:t>
                        </w:r>
                        <w:r>
                          <w:rPr>
                            <w:color w:val="164194"/>
                            <w:sz w:val="28"/>
                          </w:rPr>
                          <w:t>one</w:t>
                        </w:r>
                        <w:r>
                          <w:rPr>
                            <w:color w:val="164194"/>
                            <w:spacing w:val="-4"/>
                            <w:sz w:val="28"/>
                          </w:rPr>
                          <w:t> </w:t>
                        </w:r>
                        <w:r>
                          <w:rPr>
                            <w:color w:val="164194"/>
                            <w:sz w:val="28"/>
                          </w:rPr>
                          <w:t>hand,</w:t>
                        </w:r>
                        <w:r>
                          <w:rPr>
                            <w:color w:val="164194"/>
                            <w:spacing w:val="-3"/>
                            <w:sz w:val="28"/>
                          </w:rPr>
                          <w:t> </w:t>
                        </w:r>
                        <w:r>
                          <w:rPr>
                            <w:color w:val="164194"/>
                            <w:sz w:val="28"/>
                          </w:rPr>
                          <w:t>the</w:t>
                        </w:r>
                        <w:r>
                          <w:rPr>
                            <w:color w:val="164194"/>
                            <w:spacing w:val="-4"/>
                            <w:sz w:val="28"/>
                          </w:rPr>
                          <w:t> </w:t>
                        </w:r>
                        <w:r>
                          <w:rPr>
                            <w:color w:val="164194"/>
                            <w:spacing w:val="-2"/>
                            <w:sz w:val="28"/>
                          </w:rPr>
                          <w:t>existing</w:t>
                        </w:r>
                      </w:p>
                      <w:p>
                        <w:pPr>
                          <w:spacing w:line="232" w:lineRule="auto" w:before="0"/>
                          <w:ind w:left="340" w:right="106" w:firstLine="0"/>
                          <w:jc w:val="left"/>
                          <w:rPr>
                            <w:sz w:val="28"/>
                          </w:rPr>
                        </w:pPr>
                        <w:r>
                          <w:rPr>
                            <w:color w:val="164194"/>
                            <w:sz w:val="28"/>
                          </w:rPr>
                          <w:t>judges,</w:t>
                        </w:r>
                        <w:r>
                          <w:rPr>
                            <w:color w:val="164194"/>
                            <w:spacing w:val="-5"/>
                            <w:sz w:val="28"/>
                          </w:rPr>
                          <w:t> </w:t>
                        </w:r>
                        <w:r>
                          <w:rPr>
                            <w:color w:val="164194"/>
                            <w:sz w:val="28"/>
                          </w:rPr>
                          <w:t>in</w:t>
                        </w:r>
                        <w:r>
                          <w:rPr>
                            <w:color w:val="164194"/>
                            <w:spacing w:val="-6"/>
                            <w:sz w:val="28"/>
                          </w:rPr>
                          <w:t> </w:t>
                        </w:r>
                        <w:r>
                          <w:rPr>
                            <w:color w:val="164194"/>
                            <w:sz w:val="28"/>
                          </w:rPr>
                          <w:t>respect</w:t>
                        </w:r>
                        <w:r>
                          <w:rPr>
                            <w:color w:val="164194"/>
                            <w:spacing w:val="-5"/>
                            <w:sz w:val="28"/>
                          </w:rPr>
                          <w:t> </w:t>
                        </w:r>
                        <w:r>
                          <w:rPr>
                            <w:color w:val="164194"/>
                            <w:sz w:val="28"/>
                          </w:rPr>
                          <w:t>of</w:t>
                        </w:r>
                        <w:r>
                          <w:rPr>
                            <w:color w:val="164194"/>
                            <w:spacing w:val="-6"/>
                            <w:sz w:val="28"/>
                          </w:rPr>
                          <w:t> </w:t>
                        </w:r>
                        <w:r>
                          <w:rPr>
                            <w:color w:val="164194"/>
                            <w:sz w:val="28"/>
                          </w:rPr>
                          <w:t>whom</w:t>
                        </w:r>
                        <w:r>
                          <w:rPr>
                            <w:color w:val="164194"/>
                            <w:spacing w:val="-5"/>
                            <w:sz w:val="28"/>
                          </w:rPr>
                          <w:t> </w:t>
                        </w:r>
                        <w:r>
                          <w:rPr>
                            <w:color w:val="164194"/>
                            <w:sz w:val="28"/>
                          </w:rPr>
                          <w:t>the</w:t>
                        </w:r>
                        <w:r>
                          <w:rPr>
                            <w:color w:val="164194"/>
                            <w:spacing w:val="-5"/>
                            <w:sz w:val="28"/>
                          </w:rPr>
                          <w:t> </w:t>
                        </w:r>
                        <w:r>
                          <w:rPr>
                            <w:color w:val="164194"/>
                            <w:sz w:val="28"/>
                          </w:rPr>
                          <w:t>courts</w:t>
                        </w:r>
                        <w:r>
                          <w:rPr>
                            <w:color w:val="164194"/>
                            <w:spacing w:val="-6"/>
                            <w:sz w:val="28"/>
                          </w:rPr>
                          <w:t> </w:t>
                        </w:r>
                        <w:r>
                          <w:rPr>
                            <w:color w:val="164194"/>
                            <w:sz w:val="28"/>
                          </w:rPr>
                          <w:t>concerned</w:t>
                        </w:r>
                        <w:r>
                          <w:rPr>
                            <w:color w:val="164194"/>
                            <w:spacing w:val="-6"/>
                            <w:sz w:val="28"/>
                          </w:rPr>
                          <w:t> </w:t>
                        </w:r>
                        <w:r>
                          <w:rPr>
                            <w:color w:val="164194"/>
                            <w:sz w:val="28"/>
                          </w:rPr>
                          <w:t>acknowledged</w:t>
                        </w:r>
                        <w:r>
                          <w:rPr>
                            <w:color w:val="164194"/>
                            <w:spacing w:val="-6"/>
                            <w:sz w:val="28"/>
                          </w:rPr>
                          <w:t> </w:t>
                        </w:r>
                        <w:r>
                          <w:rPr>
                            <w:color w:val="164194"/>
                            <w:sz w:val="28"/>
                          </w:rPr>
                          <w:t>and</w:t>
                        </w:r>
                        <w:r>
                          <w:rPr>
                            <w:color w:val="164194"/>
                            <w:spacing w:val="-6"/>
                            <w:sz w:val="28"/>
                          </w:rPr>
                          <w:t> </w:t>
                        </w:r>
                        <w:r>
                          <w:rPr>
                            <w:color w:val="164194"/>
                            <w:sz w:val="28"/>
                          </w:rPr>
                          <w:t>paid</w:t>
                        </w:r>
                        <w:r>
                          <w:rPr>
                            <w:color w:val="164194"/>
                            <w:spacing w:val="-6"/>
                            <w:sz w:val="28"/>
                          </w:rPr>
                          <w:t> </w:t>
                        </w:r>
                        <w:r>
                          <w:rPr>
                            <w:color w:val="164194"/>
                            <w:sz w:val="28"/>
                          </w:rPr>
                          <w:t>those increases in December 2019 and January 2020, and, on the other, the judges, such as the judges in question, in respect of whom those courts have not acknowledged entitlement to those increases and who brought proceedings in 2020, even though during the same period both categories of judges worked for the same employer and performed the same duties.’</w:t>
                        </w:r>
                        <w:r>
                          <w:rPr>
                            <w:color w:val="164194"/>
                            <w:sz w:val="28"/>
                            <w:vertAlign w:val="superscript"/>
                          </w:rPr>
                          <w:t>640</w:t>
                        </w:r>
                      </w:p>
                    </w:txbxContent>
                  </v:textbox>
                  <w10:wrap type="none"/>
                </v:shape>
                <w10:wrap type="topAndBottom"/>
              </v:group>
            </w:pict>
          </mc:Fallback>
        </mc:AlternateContent>
      </w:r>
    </w:p>
    <w:p>
      <w:pPr>
        <w:pStyle w:val="BodyText"/>
        <w:spacing w:line="232" w:lineRule="auto" w:before="228"/>
        <w:ind w:left="720" w:right="1282"/>
      </w:pPr>
      <w:r>
        <w:rPr/>
        <w:t>The CJEU ultimately held that on the basis of the information presented for the preliminary</w:t>
      </w:r>
      <w:r>
        <w:rPr>
          <w:spacing w:val="-3"/>
        </w:rPr>
        <w:t> </w:t>
      </w:r>
      <w:r>
        <w:rPr/>
        <w:t>ruling</w:t>
      </w:r>
      <w:r>
        <w:rPr>
          <w:spacing w:val="-3"/>
        </w:rPr>
        <w:t> </w:t>
      </w:r>
      <w:r>
        <w:rPr/>
        <w:t>there</w:t>
      </w:r>
      <w:r>
        <w:rPr>
          <w:spacing w:val="-3"/>
        </w:rPr>
        <w:t> </w:t>
      </w:r>
      <w:r>
        <w:rPr/>
        <w:t>was</w:t>
      </w:r>
      <w:r>
        <w:rPr>
          <w:spacing w:val="-4"/>
        </w:rPr>
        <w:t> </w:t>
      </w:r>
      <w:r>
        <w:rPr/>
        <w:t>no</w:t>
      </w:r>
      <w:r>
        <w:rPr>
          <w:spacing w:val="-4"/>
        </w:rPr>
        <w:t> </w:t>
      </w:r>
      <w:r>
        <w:rPr/>
        <w:t>discrimination</w:t>
      </w:r>
      <w:r>
        <w:rPr>
          <w:spacing w:val="-4"/>
        </w:rPr>
        <w:t> </w:t>
      </w:r>
      <w:r>
        <w:rPr/>
        <w:t>on</w:t>
      </w:r>
      <w:r>
        <w:rPr>
          <w:spacing w:val="-4"/>
        </w:rPr>
        <w:t> </w:t>
      </w:r>
      <w:r>
        <w:rPr/>
        <w:t>the</w:t>
      </w:r>
      <w:r>
        <w:rPr>
          <w:spacing w:val="-3"/>
        </w:rPr>
        <w:t> </w:t>
      </w:r>
      <w:r>
        <w:rPr/>
        <w:t>basis</w:t>
      </w:r>
      <w:r>
        <w:rPr>
          <w:spacing w:val="-4"/>
        </w:rPr>
        <w:t> </w:t>
      </w:r>
      <w:r>
        <w:rPr/>
        <w:t>of</w:t>
      </w:r>
      <w:r>
        <w:rPr>
          <w:spacing w:val="-4"/>
        </w:rPr>
        <w:t> </w:t>
      </w:r>
      <w:r>
        <w:rPr/>
        <w:t>age</w:t>
      </w:r>
      <w:r>
        <w:rPr>
          <w:vertAlign w:val="superscript"/>
        </w:rPr>
        <w:t>641</w:t>
      </w:r>
      <w:r>
        <w:rPr>
          <w:spacing w:val="-4"/>
          <w:vertAlign w:val="baseline"/>
        </w:rPr>
        <w:t> </w:t>
      </w:r>
      <w:r>
        <w:rPr>
          <w:vertAlign w:val="baseline"/>
        </w:rPr>
        <w:t>insofar</w:t>
      </w:r>
      <w:r>
        <w:rPr>
          <w:spacing w:val="-3"/>
          <w:vertAlign w:val="baseline"/>
        </w:rPr>
        <w:t> </w:t>
      </w:r>
      <w:r>
        <w:rPr>
          <w:vertAlign w:val="baseline"/>
        </w:rPr>
        <w:t>as</w:t>
      </w:r>
      <w:r>
        <w:rPr>
          <w:spacing w:val="-4"/>
          <w:vertAlign w:val="baseline"/>
        </w:rPr>
        <w:t> </w:t>
      </w:r>
      <w:r>
        <w:rPr>
          <w:vertAlign w:val="baseline"/>
        </w:rPr>
        <w:t>the referring Court ‘has not identified any specific category of judges that has been placed at a particular disadvantage associated with age, and has merely noted that the refusal to grant a salary increase to the judges in question for the period between</w:t>
      </w:r>
      <w:r>
        <w:rPr>
          <w:spacing w:val="-4"/>
          <w:vertAlign w:val="baseline"/>
        </w:rPr>
        <w:t> </w:t>
      </w:r>
      <w:r>
        <w:rPr>
          <w:vertAlign w:val="baseline"/>
        </w:rPr>
        <w:t>2010</w:t>
      </w:r>
      <w:r>
        <w:rPr>
          <w:spacing w:val="-3"/>
          <w:vertAlign w:val="baseline"/>
        </w:rPr>
        <w:t> </w:t>
      </w:r>
      <w:r>
        <w:rPr>
          <w:vertAlign w:val="baseline"/>
        </w:rPr>
        <w:t>and</w:t>
      </w:r>
      <w:r>
        <w:rPr>
          <w:spacing w:val="-4"/>
          <w:vertAlign w:val="baseline"/>
        </w:rPr>
        <w:t> </w:t>
      </w:r>
      <w:r>
        <w:rPr>
          <w:vertAlign w:val="baseline"/>
        </w:rPr>
        <w:t>2015</w:t>
      </w:r>
      <w:r>
        <w:rPr>
          <w:spacing w:val="-3"/>
          <w:vertAlign w:val="baseline"/>
        </w:rPr>
        <w:t> </w:t>
      </w:r>
      <w:r>
        <w:rPr>
          <w:vertAlign w:val="baseline"/>
        </w:rPr>
        <w:t>is</w:t>
      </w:r>
      <w:r>
        <w:rPr>
          <w:spacing w:val="-4"/>
          <w:vertAlign w:val="baseline"/>
        </w:rPr>
        <w:t> </w:t>
      </w:r>
      <w:r>
        <w:rPr>
          <w:vertAlign w:val="baseline"/>
        </w:rPr>
        <w:t>the</w:t>
      </w:r>
      <w:r>
        <w:rPr>
          <w:spacing w:val="-3"/>
          <w:vertAlign w:val="baseline"/>
        </w:rPr>
        <w:t> </w:t>
      </w:r>
      <w:r>
        <w:rPr>
          <w:vertAlign w:val="baseline"/>
        </w:rPr>
        <w:t>result,</w:t>
      </w:r>
      <w:r>
        <w:rPr>
          <w:spacing w:val="-3"/>
          <w:vertAlign w:val="baseline"/>
        </w:rPr>
        <w:t> </w:t>
      </w:r>
      <w:r>
        <w:rPr>
          <w:vertAlign w:val="baseline"/>
        </w:rPr>
        <w:t>on</w:t>
      </w:r>
      <w:r>
        <w:rPr>
          <w:spacing w:val="-4"/>
          <w:vertAlign w:val="baseline"/>
        </w:rPr>
        <w:t> </w:t>
      </w:r>
      <w:r>
        <w:rPr>
          <w:vertAlign w:val="baseline"/>
        </w:rPr>
        <w:t>the</w:t>
      </w:r>
      <w:r>
        <w:rPr>
          <w:spacing w:val="-3"/>
          <w:vertAlign w:val="baseline"/>
        </w:rPr>
        <w:t> </w:t>
      </w:r>
      <w:r>
        <w:rPr>
          <w:vertAlign w:val="baseline"/>
        </w:rPr>
        <w:t>one</w:t>
      </w:r>
      <w:r>
        <w:rPr>
          <w:spacing w:val="-3"/>
          <w:vertAlign w:val="baseline"/>
        </w:rPr>
        <w:t> </w:t>
      </w:r>
      <w:r>
        <w:rPr>
          <w:vertAlign w:val="baseline"/>
        </w:rPr>
        <w:t>hand,</w:t>
      </w:r>
      <w:r>
        <w:rPr>
          <w:spacing w:val="-3"/>
          <w:vertAlign w:val="baseline"/>
        </w:rPr>
        <w:t> </w:t>
      </w:r>
      <w:r>
        <w:rPr>
          <w:vertAlign w:val="baseline"/>
        </w:rPr>
        <w:t>of</w:t>
      </w:r>
      <w:r>
        <w:rPr>
          <w:spacing w:val="-4"/>
          <w:vertAlign w:val="baseline"/>
        </w:rPr>
        <w:t> </w:t>
      </w:r>
      <w:r>
        <w:rPr>
          <w:vertAlign w:val="baseline"/>
        </w:rPr>
        <w:t>the</w:t>
      </w:r>
      <w:r>
        <w:rPr>
          <w:spacing w:val="-3"/>
          <w:vertAlign w:val="baseline"/>
        </w:rPr>
        <w:t> </w:t>
      </w:r>
      <w:r>
        <w:rPr>
          <w:vertAlign w:val="baseline"/>
        </w:rPr>
        <w:t>fact</w:t>
      </w:r>
      <w:r>
        <w:rPr>
          <w:spacing w:val="-3"/>
          <w:vertAlign w:val="baseline"/>
        </w:rPr>
        <w:t> </w:t>
      </w:r>
      <w:r>
        <w:rPr>
          <w:vertAlign w:val="baseline"/>
        </w:rPr>
        <w:t>that</w:t>
      </w:r>
      <w:r>
        <w:rPr>
          <w:spacing w:val="-3"/>
          <w:vertAlign w:val="baseline"/>
        </w:rPr>
        <w:t> </w:t>
      </w:r>
      <w:r>
        <w:rPr>
          <w:vertAlign w:val="baseline"/>
        </w:rPr>
        <w:t>they</w:t>
      </w:r>
      <w:r>
        <w:rPr>
          <w:spacing w:val="-3"/>
          <w:vertAlign w:val="baseline"/>
        </w:rPr>
        <w:t> </w:t>
      </w:r>
      <w:r>
        <w:rPr>
          <w:vertAlign w:val="baseline"/>
        </w:rPr>
        <w:t>began work</w:t>
      </w:r>
      <w:r>
        <w:rPr>
          <w:spacing w:val="-3"/>
          <w:vertAlign w:val="baseline"/>
        </w:rPr>
        <w:t> </w:t>
      </w:r>
      <w:r>
        <w:rPr>
          <w:vertAlign w:val="baseline"/>
        </w:rPr>
        <w:t>after</w:t>
      </w:r>
      <w:r>
        <w:rPr>
          <w:spacing w:val="-3"/>
          <w:vertAlign w:val="baseline"/>
        </w:rPr>
        <w:t> </w:t>
      </w:r>
      <w:r>
        <w:rPr>
          <w:vertAlign w:val="baseline"/>
        </w:rPr>
        <w:t>Framework</w:t>
      </w:r>
      <w:r>
        <w:rPr>
          <w:spacing w:val="-3"/>
          <w:vertAlign w:val="baseline"/>
        </w:rPr>
        <w:t> </w:t>
      </w:r>
      <w:r>
        <w:rPr>
          <w:vertAlign w:val="baseline"/>
        </w:rPr>
        <w:t>Law</w:t>
      </w:r>
      <w:r>
        <w:rPr>
          <w:spacing w:val="-3"/>
          <w:vertAlign w:val="baseline"/>
        </w:rPr>
        <w:t> </w:t>
      </w:r>
      <w:r>
        <w:rPr>
          <w:vertAlign w:val="baseline"/>
        </w:rPr>
        <w:t>No</w:t>
      </w:r>
      <w:r>
        <w:rPr>
          <w:spacing w:val="-4"/>
          <w:vertAlign w:val="baseline"/>
        </w:rPr>
        <w:t> </w:t>
      </w:r>
      <w:r>
        <w:rPr>
          <w:vertAlign w:val="baseline"/>
        </w:rPr>
        <w:t>330/2009</w:t>
      </w:r>
      <w:r>
        <w:rPr>
          <w:spacing w:val="-3"/>
          <w:vertAlign w:val="baseline"/>
        </w:rPr>
        <w:t> </w:t>
      </w:r>
      <w:r>
        <w:rPr>
          <w:vertAlign w:val="baseline"/>
        </w:rPr>
        <w:t>came</w:t>
      </w:r>
      <w:r>
        <w:rPr>
          <w:spacing w:val="-3"/>
          <w:vertAlign w:val="baseline"/>
        </w:rPr>
        <w:t> </w:t>
      </w:r>
      <w:r>
        <w:rPr>
          <w:vertAlign w:val="baseline"/>
        </w:rPr>
        <w:t>into</w:t>
      </w:r>
      <w:r>
        <w:rPr>
          <w:spacing w:val="-4"/>
          <w:vertAlign w:val="baseline"/>
        </w:rPr>
        <w:t> </w:t>
      </w:r>
      <w:r>
        <w:rPr>
          <w:vertAlign w:val="baseline"/>
        </w:rPr>
        <w:t>force</w:t>
      </w:r>
      <w:r>
        <w:rPr>
          <w:spacing w:val="-3"/>
          <w:vertAlign w:val="baseline"/>
        </w:rPr>
        <w:t> </w:t>
      </w:r>
      <w:r>
        <w:rPr>
          <w:vertAlign w:val="baseline"/>
        </w:rPr>
        <w:t>and,</w:t>
      </w:r>
      <w:r>
        <w:rPr>
          <w:spacing w:val="-3"/>
          <w:vertAlign w:val="baseline"/>
        </w:rPr>
        <w:t> </w:t>
      </w:r>
      <w:r>
        <w:rPr>
          <w:vertAlign w:val="baseline"/>
        </w:rPr>
        <w:t>on</w:t>
      </w:r>
      <w:r>
        <w:rPr>
          <w:spacing w:val="-4"/>
          <w:vertAlign w:val="baseline"/>
        </w:rPr>
        <w:t> </w:t>
      </w:r>
      <w:r>
        <w:rPr>
          <w:vertAlign w:val="baseline"/>
        </w:rPr>
        <w:t>the</w:t>
      </w:r>
      <w:r>
        <w:rPr>
          <w:spacing w:val="-3"/>
          <w:vertAlign w:val="baseline"/>
        </w:rPr>
        <w:t> </w:t>
      </w:r>
      <w:r>
        <w:rPr>
          <w:vertAlign w:val="baseline"/>
        </w:rPr>
        <w:t>other,</w:t>
      </w:r>
      <w:r>
        <w:rPr>
          <w:spacing w:val="-3"/>
          <w:vertAlign w:val="baseline"/>
        </w:rPr>
        <w:t> </w:t>
      </w:r>
      <w:r>
        <w:rPr>
          <w:vertAlign w:val="baseline"/>
        </w:rPr>
        <w:t>of</w:t>
      </w:r>
      <w:r>
        <w:rPr>
          <w:spacing w:val="-4"/>
          <w:vertAlign w:val="baseline"/>
        </w:rPr>
        <w:t> </w:t>
      </w:r>
      <w:r>
        <w:rPr>
          <w:vertAlign w:val="baseline"/>
        </w:rPr>
        <w:t>the fact</w:t>
      </w:r>
      <w:r>
        <w:rPr>
          <w:spacing w:val="-6"/>
          <w:vertAlign w:val="baseline"/>
        </w:rPr>
        <w:t> </w:t>
      </w:r>
      <w:r>
        <w:rPr>
          <w:vertAlign w:val="baseline"/>
        </w:rPr>
        <w:t>that</w:t>
      </w:r>
      <w:r>
        <w:rPr>
          <w:spacing w:val="-5"/>
          <w:vertAlign w:val="baseline"/>
        </w:rPr>
        <w:t> </w:t>
      </w:r>
      <w:r>
        <w:rPr>
          <w:vertAlign w:val="baseline"/>
        </w:rPr>
        <w:t>they</w:t>
      </w:r>
      <w:r>
        <w:rPr>
          <w:spacing w:val="-5"/>
          <w:vertAlign w:val="baseline"/>
        </w:rPr>
        <w:t> </w:t>
      </w:r>
      <w:r>
        <w:rPr>
          <w:vertAlign w:val="baseline"/>
        </w:rPr>
        <w:t>had</w:t>
      </w:r>
      <w:r>
        <w:rPr>
          <w:spacing w:val="-7"/>
          <w:vertAlign w:val="baseline"/>
        </w:rPr>
        <w:t> </w:t>
      </w:r>
      <w:r>
        <w:rPr>
          <w:vertAlign w:val="baseline"/>
        </w:rPr>
        <w:t>not,</w:t>
      </w:r>
      <w:r>
        <w:rPr>
          <w:spacing w:val="-5"/>
          <w:vertAlign w:val="baseline"/>
        </w:rPr>
        <w:t> </w:t>
      </w:r>
      <w:r>
        <w:rPr>
          <w:vertAlign w:val="baseline"/>
        </w:rPr>
        <w:t>before</w:t>
      </w:r>
      <w:r>
        <w:rPr>
          <w:spacing w:val="-5"/>
          <w:vertAlign w:val="baseline"/>
        </w:rPr>
        <w:t> </w:t>
      </w:r>
      <w:r>
        <w:rPr>
          <w:vertAlign w:val="baseline"/>
        </w:rPr>
        <w:t>that</w:t>
      </w:r>
      <w:r>
        <w:rPr>
          <w:spacing w:val="-6"/>
          <w:vertAlign w:val="baseline"/>
        </w:rPr>
        <w:t> </w:t>
      </w:r>
      <w:r>
        <w:rPr>
          <w:vertAlign w:val="baseline"/>
        </w:rPr>
        <w:t>law</w:t>
      </w:r>
      <w:r>
        <w:rPr>
          <w:spacing w:val="-5"/>
          <w:vertAlign w:val="baseline"/>
        </w:rPr>
        <w:t> </w:t>
      </w:r>
      <w:r>
        <w:rPr>
          <w:vertAlign w:val="baseline"/>
        </w:rPr>
        <w:t>came</w:t>
      </w:r>
      <w:r>
        <w:rPr>
          <w:spacing w:val="-5"/>
          <w:vertAlign w:val="baseline"/>
        </w:rPr>
        <w:t> </w:t>
      </w:r>
      <w:r>
        <w:rPr>
          <w:vertAlign w:val="baseline"/>
        </w:rPr>
        <w:t>into</w:t>
      </w:r>
      <w:r>
        <w:rPr>
          <w:spacing w:val="-7"/>
          <w:vertAlign w:val="baseline"/>
        </w:rPr>
        <w:t> </w:t>
      </w:r>
      <w:r>
        <w:rPr>
          <w:vertAlign w:val="baseline"/>
        </w:rPr>
        <w:t>force,</w:t>
      </w:r>
      <w:r>
        <w:rPr>
          <w:spacing w:val="-5"/>
          <w:vertAlign w:val="baseline"/>
        </w:rPr>
        <w:t> </w:t>
      </w:r>
      <w:r>
        <w:rPr>
          <w:vertAlign w:val="baseline"/>
        </w:rPr>
        <w:t>obtained</w:t>
      </w:r>
      <w:r>
        <w:rPr>
          <w:spacing w:val="-6"/>
          <w:vertAlign w:val="baseline"/>
        </w:rPr>
        <w:t> </w:t>
      </w:r>
      <w:r>
        <w:rPr>
          <w:vertAlign w:val="baseline"/>
        </w:rPr>
        <w:t>judicial</w:t>
      </w:r>
      <w:r>
        <w:rPr>
          <w:spacing w:val="-6"/>
          <w:vertAlign w:val="baseline"/>
        </w:rPr>
        <w:t> </w:t>
      </w:r>
      <w:r>
        <w:rPr>
          <w:spacing w:val="-2"/>
          <w:vertAlign w:val="baseline"/>
        </w:rPr>
        <w:t>decisions</w:t>
      </w:r>
    </w:p>
    <w:p>
      <w:pPr>
        <w:pStyle w:val="BodyText"/>
        <w:spacing w:before="157"/>
        <w:rPr>
          <w:sz w:val="20"/>
        </w:rPr>
      </w:pPr>
      <w:r>
        <w:rPr/>
        <mc:AlternateContent>
          <mc:Choice Requires="wps">
            <w:drawing>
              <wp:anchor distT="0" distB="0" distL="0" distR="0" allowOverlap="1" layoutInCell="1" locked="0" behindDoc="1" simplePos="0" relativeHeight="487780864">
                <wp:simplePos x="0" y="0"/>
                <wp:positionH relativeFrom="page">
                  <wp:posOffset>647999</wp:posOffset>
                </wp:positionH>
                <wp:positionV relativeFrom="paragraph">
                  <wp:posOffset>270374</wp:posOffset>
                </wp:positionV>
                <wp:extent cx="6012180" cy="1270"/>
                <wp:effectExtent l="0" t="0" r="0" b="0"/>
                <wp:wrapTopAndBottom/>
                <wp:docPr id="1016" name="Graphic 1016"/>
                <wp:cNvGraphicFramePr>
                  <a:graphicFrameLocks/>
                </wp:cNvGraphicFramePr>
                <a:graphic>
                  <a:graphicData uri="http://schemas.microsoft.com/office/word/2010/wordprocessingShape">
                    <wps:wsp>
                      <wps:cNvPr id="1016" name="Graphic 101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1.289312pt;width:473.4pt;height:.1pt;mso-position-horizontal-relative:page;mso-position-vertical-relative:paragraph;z-index:-15535616;mso-wrap-distance-left:0;mso-wrap-distance-right:0" id="docshape835" coordorigin="1020,426" coordsize="9468,0" path="m1020,426l10488,426e" filled="false" stroked="true" strokeweight=".5pt" strokecolor="#36a9e1">
                <v:path arrowok="t"/>
                <v:stroke dashstyle="solid"/>
                <w10:wrap type="topAndBottom"/>
              </v:shape>
            </w:pict>
          </mc:Fallback>
        </mc:AlternateContent>
      </w:r>
    </w:p>
    <w:p>
      <w:pPr>
        <w:pStyle w:val="ListParagraph"/>
        <w:numPr>
          <w:ilvl w:val="0"/>
          <w:numId w:val="51"/>
        </w:numPr>
        <w:tabs>
          <w:tab w:pos="1287" w:val="left" w:leader="none"/>
        </w:tabs>
        <w:spacing w:line="240" w:lineRule="auto" w:before="43" w:after="0"/>
        <w:ind w:left="1287" w:right="0" w:hanging="567"/>
        <w:jc w:val="left"/>
        <w:rPr>
          <w:sz w:val="18"/>
        </w:rPr>
      </w:pPr>
      <w:r>
        <w:rPr>
          <w:sz w:val="18"/>
        </w:rPr>
        <w:t>C-301/21</w:t>
      </w:r>
      <w:r>
        <w:rPr>
          <w:spacing w:val="-3"/>
          <w:sz w:val="18"/>
        </w:rPr>
        <w:t> </w:t>
      </w:r>
      <w:hyperlink r:id="rId168">
        <w:r>
          <w:rPr>
            <w:color w:val="1D71B8"/>
            <w:sz w:val="18"/>
            <w:u w:val="single" w:color="1D71B8"/>
          </w:rPr>
          <w:t>Curtea</w:t>
        </w:r>
        <w:r>
          <w:rPr>
            <w:color w:val="1D71B8"/>
            <w:spacing w:val="-3"/>
            <w:sz w:val="18"/>
            <w:u w:val="single" w:color="1D71B8"/>
          </w:rPr>
          <w:t> </w:t>
        </w:r>
        <w:r>
          <w:rPr>
            <w:color w:val="1D71B8"/>
            <w:sz w:val="18"/>
            <w:u w:val="single" w:color="1D71B8"/>
          </w:rPr>
          <w:t>de</w:t>
        </w:r>
        <w:r>
          <w:rPr>
            <w:color w:val="1D71B8"/>
            <w:spacing w:val="-2"/>
            <w:sz w:val="18"/>
            <w:u w:val="single" w:color="1D71B8"/>
          </w:rPr>
          <w:t> </w:t>
        </w:r>
        <w:r>
          <w:rPr>
            <w:color w:val="1D71B8"/>
            <w:sz w:val="18"/>
            <w:u w:val="single" w:color="1D71B8"/>
          </w:rPr>
          <w:t>Apel</w:t>
        </w:r>
        <w:r>
          <w:rPr>
            <w:color w:val="1D71B8"/>
            <w:spacing w:val="-2"/>
            <w:sz w:val="18"/>
            <w:u w:val="single" w:color="1D71B8"/>
          </w:rPr>
          <w:t> </w:t>
        </w:r>
        <w:r>
          <w:rPr>
            <w:color w:val="1D71B8"/>
            <w:sz w:val="18"/>
            <w:u w:val="single" w:color="1D71B8"/>
          </w:rPr>
          <w:t>Alba</w:t>
        </w:r>
        <w:r>
          <w:rPr>
            <w:color w:val="1D71B8"/>
            <w:spacing w:val="-3"/>
            <w:sz w:val="18"/>
            <w:u w:val="single" w:color="1D71B8"/>
          </w:rPr>
          <w:t> </w:t>
        </w:r>
        <w:r>
          <w:rPr>
            <w:color w:val="1D71B8"/>
            <w:sz w:val="18"/>
            <w:u w:val="single" w:color="1D71B8"/>
          </w:rPr>
          <w:t>Iulia</w:t>
        </w:r>
        <w:r>
          <w:rPr>
            <w:color w:val="1D71B8"/>
            <w:spacing w:val="-3"/>
            <w:sz w:val="18"/>
            <w:u w:val="single" w:color="1D71B8"/>
          </w:rPr>
          <w:t> </w:t>
        </w:r>
        <w:r>
          <w:rPr>
            <w:color w:val="1D71B8"/>
            <w:sz w:val="18"/>
            <w:u w:val="single" w:color="1D71B8"/>
          </w:rPr>
          <w:t>and</w:t>
        </w:r>
        <w:r>
          <w:rPr>
            <w:color w:val="1D71B8"/>
            <w:spacing w:val="-2"/>
            <w:sz w:val="18"/>
            <w:u w:val="single" w:color="1D71B8"/>
          </w:rPr>
          <w:t> </w:t>
        </w:r>
        <w:r>
          <w:rPr>
            <w:color w:val="1D71B8"/>
            <w:sz w:val="18"/>
            <w:u w:val="single" w:color="1D71B8"/>
          </w:rPr>
          <w:t>Others</w:t>
        </w:r>
      </w:hyperlink>
      <w:r>
        <w:rPr>
          <w:i/>
          <w:sz w:val="18"/>
          <w:u w:val="none"/>
        </w:rPr>
        <w:t>,</w:t>
      </w:r>
      <w:r>
        <w:rPr>
          <w:i/>
          <w:spacing w:val="-3"/>
          <w:sz w:val="18"/>
          <w:u w:val="none"/>
        </w:rPr>
        <w:t> </w:t>
      </w:r>
      <w:r>
        <w:rPr>
          <w:sz w:val="18"/>
          <w:u w:val="none"/>
        </w:rPr>
        <w:t>judgment</w:t>
      </w:r>
      <w:r>
        <w:rPr>
          <w:spacing w:val="-2"/>
          <w:sz w:val="18"/>
          <w:u w:val="none"/>
        </w:rPr>
        <w:t> </w:t>
      </w:r>
      <w:r>
        <w:rPr>
          <w:sz w:val="18"/>
          <w:u w:val="none"/>
        </w:rPr>
        <w:t>of</w:t>
      </w:r>
      <w:r>
        <w:rPr>
          <w:spacing w:val="-2"/>
          <w:sz w:val="18"/>
          <w:u w:val="none"/>
        </w:rPr>
        <w:t> </w:t>
      </w:r>
      <w:r>
        <w:rPr>
          <w:sz w:val="18"/>
          <w:u w:val="none"/>
        </w:rPr>
        <w:t>20</w:t>
      </w:r>
      <w:r>
        <w:rPr>
          <w:spacing w:val="-2"/>
          <w:sz w:val="18"/>
          <w:u w:val="none"/>
        </w:rPr>
        <w:t> </w:t>
      </w:r>
      <w:r>
        <w:rPr>
          <w:sz w:val="18"/>
          <w:u w:val="none"/>
        </w:rPr>
        <w:t>October</w:t>
      </w:r>
      <w:r>
        <w:rPr>
          <w:spacing w:val="-2"/>
          <w:sz w:val="18"/>
          <w:u w:val="none"/>
        </w:rPr>
        <w:t> </w:t>
      </w:r>
      <w:r>
        <w:rPr>
          <w:sz w:val="18"/>
          <w:u w:val="none"/>
        </w:rPr>
        <w:t>2022,</w:t>
      </w:r>
      <w:r>
        <w:rPr>
          <w:spacing w:val="-1"/>
          <w:sz w:val="18"/>
          <w:u w:val="none"/>
        </w:rPr>
        <w:t> </w:t>
      </w:r>
      <w:r>
        <w:rPr>
          <w:spacing w:val="-2"/>
          <w:sz w:val="18"/>
          <w:u w:val="none"/>
        </w:rPr>
        <w:t>ECLI:EU:C:2022:811.</w:t>
      </w:r>
    </w:p>
    <w:p>
      <w:pPr>
        <w:pStyle w:val="ListParagraph"/>
        <w:numPr>
          <w:ilvl w:val="0"/>
          <w:numId w:val="51"/>
        </w:numPr>
        <w:tabs>
          <w:tab w:pos="1287" w:val="left" w:leader="none"/>
        </w:tabs>
        <w:spacing w:line="240" w:lineRule="auto" w:before="1"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24.</w:t>
      </w:r>
    </w:p>
    <w:p>
      <w:pPr>
        <w:pStyle w:val="ListParagraph"/>
        <w:numPr>
          <w:ilvl w:val="0"/>
          <w:numId w:val="51"/>
        </w:numPr>
        <w:tabs>
          <w:tab w:pos="1287" w:val="left" w:leader="none"/>
        </w:tabs>
        <w:spacing w:line="240" w:lineRule="auto" w:before="0"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31.</w:t>
      </w:r>
    </w:p>
    <w:p>
      <w:pPr>
        <w:pStyle w:val="ListParagraph"/>
        <w:numPr>
          <w:ilvl w:val="0"/>
          <w:numId w:val="51"/>
        </w:numPr>
        <w:tabs>
          <w:tab w:pos="1287" w:val="left" w:leader="none"/>
        </w:tabs>
        <w:spacing w:line="240" w:lineRule="auto" w:before="0"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33.</w:t>
      </w:r>
    </w:p>
    <w:p>
      <w:pPr>
        <w:pStyle w:val="ListParagraph"/>
        <w:numPr>
          <w:ilvl w:val="0"/>
          <w:numId w:val="51"/>
        </w:numPr>
        <w:tabs>
          <w:tab w:pos="1287" w:val="left" w:leader="none"/>
        </w:tabs>
        <w:spacing w:line="240" w:lineRule="auto" w:before="0"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59.</w:t>
      </w:r>
    </w:p>
    <w:p>
      <w:pPr>
        <w:spacing w:after="0" w:line="240" w:lineRule="auto"/>
        <w:jc w:val="left"/>
        <w:rPr>
          <w:sz w:val="18"/>
        </w:rPr>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125</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100096">
                <wp:simplePos x="0" y="0"/>
                <wp:positionH relativeFrom="page">
                  <wp:posOffset>-2</wp:posOffset>
                </wp:positionH>
                <wp:positionV relativeFrom="page">
                  <wp:posOffset>0</wp:posOffset>
                </wp:positionV>
                <wp:extent cx="7560309" cy="1155065"/>
                <wp:effectExtent l="0" t="0" r="0" b="0"/>
                <wp:wrapNone/>
                <wp:docPr id="1017" name="Group 1017"/>
                <wp:cNvGraphicFramePr>
                  <a:graphicFrameLocks/>
                </wp:cNvGraphicFramePr>
                <a:graphic>
                  <a:graphicData uri="http://schemas.microsoft.com/office/word/2010/wordprocessingGroup">
                    <wpg:wgp>
                      <wpg:cNvPr id="1017" name="Group 1017"/>
                      <wpg:cNvGrpSpPr/>
                      <wpg:grpSpPr>
                        <a:xfrm>
                          <a:off x="0" y="0"/>
                          <a:ext cx="7560309" cy="1155065"/>
                          <a:chExt cx="7560309" cy="1155065"/>
                        </a:xfrm>
                      </wpg:grpSpPr>
                      <wps:wsp>
                        <wps:cNvPr id="1018" name="Graphic 1018"/>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019" name="Graphic 1019"/>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16384" id="docshapegroup836" coordorigin="0,0" coordsize="11906,1819">
                <v:shape style="position:absolute;left:0;top:0;width:11906;height:1819" id="docshape837"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888"/>
      </w:pPr>
      <w:r>
        <w:rPr/>
        <w:t>confirming</w:t>
      </w:r>
      <w:r>
        <w:rPr>
          <w:spacing w:val="-9"/>
        </w:rPr>
        <w:t> </w:t>
      </w:r>
      <w:r>
        <w:rPr/>
        <w:t>their</w:t>
      </w:r>
      <w:r>
        <w:rPr>
          <w:spacing w:val="-9"/>
        </w:rPr>
        <w:t> </w:t>
      </w:r>
      <w:r>
        <w:rPr/>
        <w:t>entitlement</w:t>
      </w:r>
      <w:r>
        <w:rPr>
          <w:spacing w:val="-9"/>
        </w:rPr>
        <w:t> </w:t>
      </w:r>
      <w:r>
        <w:rPr/>
        <w:t>to</w:t>
      </w:r>
      <w:r>
        <w:rPr>
          <w:spacing w:val="-9"/>
        </w:rPr>
        <w:t> </w:t>
      </w:r>
      <w:r>
        <w:rPr/>
        <w:t>salary</w:t>
      </w:r>
      <w:r>
        <w:rPr>
          <w:spacing w:val="-9"/>
        </w:rPr>
        <w:t> </w:t>
      </w:r>
      <w:r>
        <w:rPr/>
        <w:t>increases.’</w:t>
      </w:r>
      <w:r>
        <w:rPr>
          <w:vertAlign w:val="superscript"/>
        </w:rPr>
        <w:t>642</w:t>
      </w:r>
      <w:r>
        <w:rPr>
          <w:spacing w:val="-9"/>
          <w:vertAlign w:val="baseline"/>
        </w:rPr>
        <w:t> </w:t>
      </w:r>
      <w:r>
        <w:rPr>
          <w:vertAlign w:val="baseline"/>
        </w:rPr>
        <w:t>Thus</w:t>
      </w:r>
      <w:r>
        <w:rPr>
          <w:spacing w:val="-9"/>
          <w:vertAlign w:val="baseline"/>
        </w:rPr>
        <w:t> </w:t>
      </w:r>
      <w:r>
        <w:rPr>
          <w:vertAlign w:val="baseline"/>
        </w:rPr>
        <w:t>it</w:t>
      </w:r>
      <w:r>
        <w:rPr>
          <w:spacing w:val="-9"/>
          <w:vertAlign w:val="baseline"/>
        </w:rPr>
        <w:t> </w:t>
      </w:r>
      <w:r>
        <w:rPr>
          <w:vertAlign w:val="baseline"/>
        </w:rPr>
        <w:t>was</w:t>
      </w:r>
      <w:r>
        <w:rPr>
          <w:spacing w:val="-9"/>
          <w:vertAlign w:val="baseline"/>
        </w:rPr>
        <w:t> </w:t>
      </w:r>
      <w:r>
        <w:rPr>
          <w:vertAlign w:val="baseline"/>
        </w:rPr>
        <w:t>deemed</w:t>
      </w:r>
      <w:r>
        <w:rPr>
          <w:spacing w:val="-9"/>
          <w:vertAlign w:val="baseline"/>
        </w:rPr>
        <w:t> </w:t>
      </w:r>
      <w:r>
        <w:rPr>
          <w:vertAlign w:val="baseline"/>
        </w:rPr>
        <w:t>not</w:t>
      </w:r>
      <w:r>
        <w:rPr>
          <w:spacing w:val="-9"/>
          <w:vertAlign w:val="baseline"/>
        </w:rPr>
        <w:t> </w:t>
      </w:r>
      <w:r>
        <w:rPr>
          <w:vertAlign w:val="baseline"/>
        </w:rPr>
        <w:t>to</w:t>
      </w:r>
      <w:r>
        <w:rPr>
          <w:spacing w:val="-9"/>
          <w:vertAlign w:val="baseline"/>
        </w:rPr>
        <w:t> </w:t>
      </w:r>
      <w:r>
        <w:rPr>
          <w:vertAlign w:val="baseline"/>
        </w:rPr>
        <w:t>be an issue of age discrimination given the specific facts of the case.</w:t>
      </w:r>
    </w:p>
    <w:p>
      <w:pPr>
        <w:pStyle w:val="BodyText"/>
        <w:spacing w:line="232" w:lineRule="auto" w:before="281"/>
        <w:ind w:left="1117" w:right="738"/>
      </w:pPr>
      <w:r>
        <w:rPr/>
        <w:t>The case of </w:t>
      </w:r>
      <w:r>
        <w:rPr>
          <w:b/>
          <w:i/>
        </w:rPr>
        <w:t>HK v Danmark and HK/Privat</w:t>
      </w:r>
      <w:r>
        <w:rPr>
          <w:vertAlign w:val="superscript"/>
        </w:rPr>
        <w:t>643</w:t>
      </w:r>
      <w:r>
        <w:rPr>
          <w:vertAlign w:val="baseline"/>
        </w:rPr>
        <w:t> concerned the matter of age restrictions standing for election of a Danish trade union. The applicant had stood every year since 1993 having been re-elected during each four-year cycle. In 2011, however,</w:t>
      </w:r>
      <w:r>
        <w:rPr>
          <w:spacing w:val="-6"/>
          <w:vertAlign w:val="baseline"/>
        </w:rPr>
        <w:t> </w:t>
      </w:r>
      <w:r>
        <w:rPr>
          <w:vertAlign w:val="baseline"/>
        </w:rPr>
        <w:t>the</w:t>
      </w:r>
      <w:r>
        <w:rPr>
          <w:spacing w:val="-6"/>
          <w:vertAlign w:val="baseline"/>
        </w:rPr>
        <w:t> </w:t>
      </w:r>
      <w:r>
        <w:rPr>
          <w:vertAlign w:val="baseline"/>
        </w:rPr>
        <w:t>applicant</w:t>
      </w:r>
      <w:r>
        <w:rPr>
          <w:spacing w:val="-6"/>
          <w:vertAlign w:val="baseline"/>
        </w:rPr>
        <w:t> </w:t>
      </w:r>
      <w:r>
        <w:rPr>
          <w:vertAlign w:val="baseline"/>
        </w:rPr>
        <w:t>was</w:t>
      </w:r>
      <w:r>
        <w:rPr>
          <w:spacing w:val="-7"/>
          <w:vertAlign w:val="baseline"/>
        </w:rPr>
        <w:t> </w:t>
      </w:r>
      <w:r>
        <w:rPr>
          <w:vertAlign w:val="baseline"/>
        </w:rPr>
        <w:t>63</w:t>
      </w:r>
      <w:r>
        <w:rPr>
          <w:spacing w:val="-6"/>
          <w:vertAlign w:val="baseline"/>
        </w:rPr>
        <w:t> </w:t>
      </w:r>
      <w:r>
        <w:rPr>
          <w:vertAlign w:val="baseline"/>
        </w:rPr>
        <w:t>and</w:t>
      </w:r>
      <w:r>
        <w:rPr>
          <w:spacing w:val="-7"/>
          <w:vertAlign w:val="baseline"/>
        </w:rPr>
        <w:t> </w:t>
      </w:r>
      <w:r>
        <w:rPr>
          <w:vertAlign w:val="baseline"/>
        </w:rPr>
        <w:t>was</w:t>
      </w:r>
      <w:r>
        <w:rPr>
          <w:spacing w:val="-7"/>
          <w:vertAlign w:val="baseline"/>
        </w:rPr>
        <w:t> </w:t>
      </w:r>
      <w:r>
        <w:rPr>
          <w:vertAlign w:val="baseline"/>
        </w:rPr>
        <w:t>thus</w:t>
      </w:r>
      <w:r>
        <w:rPr>
          <w:spacing w:val="-7"/>
          <w:vertAlign w:val="baseline"/>
        </w:rPr>
        <w:t> </w:t>
      </w:r>
      <w:r>
        <w:rPr>
          <w:vertAlign w:val="baseline"/>
        </w:rPr>
        <w:t>barred</w:t>
      </w:r>
      <w:r>
        <w:rPr>
          <w:spacing w:val="-7"/>
          <w:vertAlign w:val="baseline"/>
        </w:rPr>
        <w:t> </w:t>
      </w:r>
      <w:r>
        <w:rPr>
          <w:vertAlign w:val="baseline"/>
        </w:rPr>
        <w:t>from</w:t>
      </w:r>
      <w:r>
        <w:rPr>
          <w:spacing w:val="-6"/>
          <w:vertAlign w:val="baseline"/>
        </w:rPr>
        <w:t> </w:t>
      </w:r>
      <w:r>
        <w:rPr>
          <w:vertAlign w:val="baseline"/>
        </w:rPr>
        <w:t>standing</w:t>
      </w:r>
      <w:r>
        <w:rPr>
          <w:spacing w:val="-6"/>
          <w:vertAlign w:val="baseline"/>
        </w:rPr>
        <w:t> </w:t>
      </w:r>
      <w:r>
        <w:rPr>
          <w:vertAlign w:val="baseline"/>
        </w:rPr>
        <w:t>on</w:t>
      </w:r>
      <w:r>
        <w:rPr>
          <w:spacing w:val="-7"/>
          <w:vertAlign w:val="baseline"/>
        </w:rPr>
        <w:t> </w:t>
      </w:r>
      <w:r>
        <w:rPr>
          <w:vertAlign w:val="baseline"/>
        </w:rPr>
        <w:t>the</w:t>
      </w:r>
      <w:r>
        <w:rPr>
          <w:spacing w:val="-6"/>
          <w:vertAlign w:val="baseline"/>
        </w:rPr>
        <w:t> </w:t>
      </w:r>
      <w:r>
        <w:rPr>
          <w:vertAlign w:val="baseline"/>
        </w:rPr>
        <w:t>basis</w:t>
      </w:r>
      <w:r>
        <w:rPr>
          <w:spacing w:val="-7"/>
          <w:vertAlign w:val="baseline"/>
        </w:rPr>
        <w:t> </w:t>
      </w:r>
      <w:r>
        <w:rPr>
          <w:vertAlign w:val="baseline"/>
        </w:rPr>
        <w:t>that the</w:t>
      </w:r>
      <w:r>
        <w:rPr>
          <w:spacing w:val="-2"/>
          <w:vertAlign w:val="baseline"/>
        </w:rPr>
        <w:t> </w:t>
      </w:r>
      <w:r>
        <w:rPr>
          <w:vertAlign w:val="baseline"/>
        </w:rPr>
        <w:t>trade</w:t>
      </w:r>
      <w:r>
        <w:rPr>
          <w:spacing w:val="-2"/>
          <w:vertAlign w:val="baseline"/>
        </w:rPr>
        <w:t> </w:t>
      </w:r>
      <w:r>
        <w:rPr>
          <w:vertAlign w:val="baseline"/>
        </w:rPr>
        <w:t>union</w:t>
      </w:r>
      <w:r>
        <w:rPr>
          <w:spacing w:val="-3"/>
          <w:vertAlign w:val="baseline"/>
        </w:rPr>
        <w:t> </w:t>
      </w:r>
      <w:r>
        <w:rPr>
          <w:vertAlign w:val="baseline"/>
        </w:rPr>
        <w:t>law</w:t>
      </w:r>
      <w:r>
        <w:rPr>
          <w:spacing w:val="-2"/>
          <w:vertAlign w:val="baseline"/>
        </w:rPr>
        <w:t> </w:t>
      </w:r>
      <w:r>
        <w:rPr>
          <w:vertAlign w:val="baseline"/>
        </w:rPr>
        <w:t>had</w:t>
      </w:r>
      <w:r>
        <w:rPr>
          <w:spacing w:val="-3"/>
          <w:vertAlign w:val="baseline"/>
        </w:rPr>
        <w:t> </w:t>
      </w:r>
      <w:r>
        <w:rPr>
          <w:vertAlign w:val="baseline"/>
        </w:rPr>
        <w:t>an</w:t>
      </w:r>
      <w:r>
        <w:rPr>
          <w:spacing w:val="-3"/>
          <w:vertAlign w:val="baseline"/>
        </w:rPr>
        <w:t> </w:t>
      </w:r>
      <w:r>
        <w:rPr>
          <w:vertAlign w:val="baseline"/>
        </w:rPr>
        <w:t>age</w:t>
      </w:r>
      <w:r>
        <w:rPr>
          <w:spacing w:val="-2"/>
          <w:vertAlign w:val="baseline"/>
        </w:rPr>
        <w:t> </w:t>
      </w:r>
      <w:r>
        <w:rPr>
          <w:vertAlign w:val="baseline"/>
        </w:rPr>
        <w:t>restriction</w:t>
      </w:r>
      <w:r>
        <w:rPr>
          <w:spacing w:val="-3"/>
          <w:vertAlign w:val="baseline"/>
        </w:rPr>
        <w:t> </w:t>
      </w:r>
      <w:r>
        <w:rPr>
          <w:vertAlign w:val="baseline"/>
        </w:rPr>
        <w:t>of</w:t>
      </w:r>
      <w:r>
        <w:rPr>
          <w:spacing w:val="-3"/>
          <w:vertAlign w:val="baseline"/>
        </w:rPr>
        <w:t> </w:t>
      </w:r>
      <w:r>
        <w:rPr>
          <w:vertAlign w:val="baseline"/>
        </w:rPr>
        <w:t>60.</w:t>
      </w:r>
      <w:r>
        <w:rPr>
          <w:spacing w:val="-3"/>
          <w:vertAlign w:val="baseline"/>
        </w:rPr>
        <w:t> </w:t>
      </w:r>
      <w:r>
        <w:rPr>
          <w:vertAlign w:val="baseline"/>
        </w:rPr>
        <w:t>The</w:t>
      </w:r>
      <w:r>
        <w:rPr>
          <w:spacing w:val="-2"/>
          <w:vertAlign w:val="baseline"/>
        </w:rPr>
        <w:t> </w:t>
      </w:r>
      <w:r>
        <w:rPr>
          <w:vertAlign w:val="baseline"/>
        </w:rPr>
        <w:t>case</w:t>
      </w:r>
      <w:r>
        <w:rPr>
          <w:spacing w:val="-2"/>
          <w:vertAlign w:val="baseline"/>
        </w:rPr>
        <w:t> </w:t>
      </w:r>
      <w:r>
        <w:rPr>
          <w:vertAlign w:val="baseline"/>
        </w:rPr>
        <w:t>was</w:t>
      </w:r>
      <w:r>
        <w:rPr>
          <w:spacing w:val="-3"/>
          <w:vertAlign w:val="baseline"/>
        </w:rPr>
        <w:t> </w:t>
      </w:r>
      <w:r>
        <w:rPr>
          <w:vertAlign w:val="baseline"/>
        </w:rPr>
        <w:t>referred</w:t>
      </w:r>
      <w:r>
        <w:rPr>
          <w:spacing w:val="-3"/>
          <w:vertAlign w:val="baseline"/>
        </w:rPr>
        <w:t> </w:t>
      </w:r>
      <w:r>
        <w:rPr>
          <w:vertAlign w:val="baseline"/>
        </w:rPr>
        <w:t>to</w:t>
      </w:r>
      <w:r>
        <w:rPr>
          <w:spacing w:val="-3"/>
          <w:vertAlign w:val="baseline"/>
        </w:rPr>
        <w:t> </w:t>
      </w:r>
      <w:r>
        <w:rPr>
          <w:vertAlign w:val="baseline"/>
        </w:rPr>
        <w:t>the</w:t>
      </w:r>
      <w:r>
        <w:rPr>
          <w:spacing w:val="-2"/>
          <w:vertAlign w:val="baseline"/>
        </w:rPr>
        <w:t> </w:t>
      </w:r>
      <w:r>
        <w:rPr>
          <w:vertAlign w:val="baseline"/>
        </w:rPr>
        <w:t>CJEU for a preliminary ruling on the question of whether the application was protected under the provisions of Directive 2000/78.</w:t>
      </w:r>
    </w:p>
    <w:p>
      <w:pPr>
        <w:pStyle w:val="BodyText"/>
        <w:spacing w:line="232" w:lineRule="auto" w:before="272"/>
        <w:ind w:left="1117" w:right="738"/>
      </w:pPr>
      <w:r>
        <w:rPr/>
        <w:t>The imperative question was on the scope of Directive 2000/78, ‘in essence, whether Article 3(1)(a) and (d) of Directive 2000/78 are to be interpreted as meaning that an age limit laid down in the statutes of an organisation of workers for</w:t>
      </w:r>
      <w:r>
        <w:rPr>
          <w:spacing w:val="-6"/>
        </w:rPr>
        <w:t> </w:t>
      </w:r>
      <w:r>
        <w:rPr/>
        <w:t>eligibility</w:t>
      </w:r>
      <w:r>
        <w:rPr>
          <w:spacing w:val="-6"/>
        </w:rPr>
        <w:t> </w:t>
      </w:r>
      <w:r>
        <w:rPr/>
        <w:t>to</w:t>
      </w:r>
      <w:r>
        <w:rPr>
          <w:spacing w:val="-7"/>
        </w:rPr>
        <w:t> </w:t>
      </w:r>
      <w:r>
        <w:rPr/>
        <w:t>stand</w:t>
      </w:r>
      <w:r>
        <w:rPr>
          <w:spacing w:val="-7"/>
        </w:rPr>
        <w:t> </w:t>
      </w:r>
      <w:r>
        <w:rPr/>
        <w:t>as</w:t>
      </w:r>
      <w:r>
        <w:rPr>
          <w:spacing w:val="-7"/>
        </w:rPr>
        <w:t> </w:t>
      </w:r>
      <w:r>
        <w:rPr/>
        <w:t>sector</w:t>
      </w:r>
      <w:r>
        <w:rPr>
          <w:spacing w:val="-6"/>
        </w:rPr>
        <w:t> </w:t>
      </w:r>
      <w:r>
        <w:rPr/>
        <w:t>convenor</w:t>
      </w:r>
      <w:r>
        <w:rPr>
          <w:spacing w:val="-6"/>
        </w:rPr>
        <w:t> </w:t>
      </w:r>
      <w:r>
        <w:rPr/>
        <w:t>of</w:t>
      </w:r>
      <w:r>
        <w:rPr>
          <w:spacing w:val="-7"/>
        </w:rPr>
        <w:t> </w:t>
      </w:r>
      <w:r>
        <w:rPr/>
        <w:t>that</w:t>
      </w:r>
      <w:r>
        <w:rPr>
          <w:spacing w:val="-6"/>
        </w:rPr>
        <w:t> </w:t>
      </w:r>
      <w:r>
        <w:rPr/>
        <w:t>organisation</w:t>
      </w:r>
      <w:r>
        <w:rPr>
          <w:spacing w:val="-7"/>
        </w:rPr>
        <w:t> </w:t>
      </w:r>
      <w:r>
        <w:rPr/>
        <w:t>falls</w:t>
      </w:r>
      <w:r>
        <w:rPr>
          <w:spacing w:val="-7"/>
        </w:rPr>
        <w:t> </w:t>
      </w:r>
      <w:r>
        <w:rPr/>
        <w:t>within</w:t>
      </w:r>
      <w:r>
        <w:rPr>
          <w:spacing w:val="-7"/>
        </w:rPr>
        <w:t> </w:t>
      </w:r>
      <w:r>
        <w:rPr/>
        <w:t>the</w:t>
      </w:r>
      <w:r>
        <w:rPr>
          <w:spacing w:val="-6"/>
        </w:rPr>
        <w:t> </w:t>
      </w:r>
      <w:r>
        <w:rPr/>
        <w:t>scope of that directive.’</w:t>
      </w:r>
      <w:r>
        <w:rPr>
          <w:vertAlign w:val="superscript"/>
        </w:rPr>
        <w:t>644</w:t>
      </w:r>
      <w:r>
        <w:rPr>
          <w:vertAlign w:val="baseline"/>
        </w:rPr>
        <w:t> Importantly, the Court clarified the scope of Article 3(1)(a) of Directive 2000/78, noting that:</w:t>
      </w:r>
    </w:p>
    <w:p>
      <w:pPr>
        <w:pStyle w:val="BodyText"/>
        <w:spacing w:before="10"/>
        <w:rPr>
          <w:sz w:val="19"/>
        </w:rPr>
      </w:pPr>
      <w:r>
        <w:rPr/>
        <mc:AlternateContent>
          <mc:Choice Requires="wps">
            <w:drawing>
              <wp:anchor distT="0" distB="0" distL="0" distR="0" allowOverlap="1" layoutInCell="1" locked="0" behindDoc="1" simplePos="0" relativeHeight="487781888">
                <wp:simplePos x="0" y="0"/>
                <wp:positionH relativeFrom="page">
                  <wp:posOffset>899994</wp:posOffset>
                </wp:positionH>
                <wp:positionV relativeFrom="paragraph">
                  <wp:posOffset>169466</wp:posOffset>
                </wp:positionV>
                <wp:extent cx="6012180" cy="1442085"/>
                <wp:effectExtent l="0" t="0" r="0" b="0"/>
                <wp:wrapTopAndBottom/>
                <wp:docPr id="1020" name="Group 1020"/>
                <wp:cNvGraphicFramePr>
                  <a:graphicFrameLocks/>
                </wp:cNvGraphicFramePr>
                <a:graphic>
                  <a:graphicData uri="http://schemas.microsoft.com/office/word/2010/wordprocessingGroup">
                    <wpg:wgp>
                      <wpg:cNvPr id="1020" name="Group 1020"/>
                      <wpg:cNvGrpSpPr/>
                      <wpg:grpSpPr>
                        <a:xfrm>
                          <a:off x="0" y="0"/>
                          <a:ext cx="6012180" cy="1442085"/>
                          <a:chExt cx="6012180" cy="1442085"/>
                        </a:xfrm>
                      </wpg:grpSpPr>
                      <wps:wsp>
                        <wps:cNvPr id="1021" name="Graphic 1021"/>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22" name="Textbox 1022"/>
                        <wps:cNvSpPr txBox="1"/>
                        <wps:spPr>
                          <a:xfrm>
                            <a:off x="0" y="0"/>
                            <a:ext cx="6012180" cy="1442085"/>
                          </a:xfrm>
                          <a:prstGeom prst="rect">
                            <a:avLst/>
                          </a:prstGeom>
                        </wps:spPr>
                        <wps:txbx>
                          <w:txbxContent>
                            <w:p>
                              <w:pPr>
                                <w:spacing w:line="232" w:lineRule="auto" w:before="121"/>
                                <w:ind w:left="340" w:right="196" w:firstLine="0"/>
                                <w:jc w:val="left"/>
                                <w:rPr>
                                  <w:sz w:val="28"/>
                                </w:rPr>
                              </w:pPr>
                              <w:r>
                                <w:rPr>
                                  <w:color w:val="164194"/>
                                  <w:sz w:val="28"/>
                                </w:rPr>
                                <w:t>‘[…] that the scope of that directive is not limited solely to the conditions for accessing</w:t>
                              </w:r>
                              <w:r>
                                <w:rPr>
                                  <w:color w:val="164194"/>
                                  <w:spacing w:val="-8"/>
                                  <w:sz w:val="28"/>
                                </w:rPr>
                                <w:t> </w:t>
                              </w:r>
                              <w:r>
                                <w:rPr>
                                  <w:color w:val="164194"/>
                                  <w:sz w:val="28"/>
                                </w:rPr>
                                <w:t>posts</w:t>
                              </w:r>
                              <w:r>
                                <w:rPr>
                                  <w:color w:val="164194"/>
                                  <w:spacing w:val="-9"/>
                                  <w:sz w:val="28"/>
                                </w:rPr>
                                <w:t> </w:t>
                              </w:r>
                              <w:r>
                                <w:rPr>
                                  <w:color w:val="164194"/>
                                  <w:sz w:val="28"/>
                                </w:rPr>
                                <w:t>occupied</w:t>
                              </w:r>
                              <w:r>
                                <w:rPr>
                                  <w:color w:val="164194"/>
                                  <w:spacing w:val="-9"/>
                                  <w:sz w:val="28"/>
                                </w:rPr>
                                <w:t> </w:t>
                              </w:r>
                              <w:r>
                                <w:rPr>
                                  <w:color w:val="164194"/>
                                  <w:sz w:val="28"/>
                                </w:rPr>
                                <w:t>by</w:t>
                              </w:r>
                              <w:r>
                                <w:rPr>
                                  <w:color w:val="164194"/>
                                  <w:spacing w:val="-8"/>
                                  <w:sz w:val="28"/>
                                </w:rPr>
                                <w:t> </w:t>
                              </w:r>
                              <w:r>
                                <w:rPr>
                                  <w:color w:val="164194"/>
                                  <w:sz w:val="28"/>
                                </w:rPr>
                                <w:t>‘workers’,</w:t>
                              </w:r>
                              <w:r>
                                <w:rPr>
                                  <w:color w:val="164194"/>
                                  <w:spacing w:val="-8"/>
                                  <w:sz w:val="28"/>
                                </w:rPr>
                                <w:t> </w:t>
                              </w:r>
                              <w:r>
                                <w:rPr>
                                  <w:color w:val="164194"/>
                                  <w:sz w:val="28"/>
                                </w:rPr>
                                <w:t>within</w:t>
                              </w:r>
                              <w:r>
                                <w:rPr>
                                  <w:color w:val="164194"/>
                                  <w:spacing w:val="-9"/>
                                  <w:sz w:val="28"/>
                                </w:rPr>
                                <w:t> </w:t>
                              </w:r>
                              <w:r>
                                <w:rPr>
                                  <w:color w:val="164194"/>
                                  <w:sz w:val="28"/>
                                </w:rPr>
                                <w:t>the</w:t>
                              </w:r>
                              <w:r>
                                <w:rPr>
                                  <w:color w:val="164194"/>
                                  <w:spacing w:val="-8"/>
                                  <w:sz w:val="28"/>
                                </w:rPr>
                                <w:t> </w:t>
                              </w:r>
                              <w:r>
                                <w:rPr>
                                  <w:color w:val="164194"/>
                                  <w:sz w:val="28"/>
                                </w:rPr>
                                <w:t>meaning</w:t>
                              </w:r>
                              <w:r>
                                <w:rPr>
                                  <w:color w:val="164194"/>
                                  <w:spacing w:val="-8"/>
                                  <w:sz w:val="28"/>
                                </w:rPr>
                                <w:t> </w:t>
                              </w:r>
                              <w:r>
                                <w:rPr>
                                  <w:color w:val="164194"/>
                                  <w:sz w:val="28"/>
                                </w:rPr>
                                <w:t>of</w:t>
                              </w:r>
                              <w:r>
                                <w:rPr>
                                  <w:color w:val="164194"/>
                                  <w:spacing w:val="-9"/>
                                  <w:sz w:val="28"/>
                                </w:rPr>
                                <w:t> </w:t>
                              </w:r>
                              <w:r>
                                <w:rPr>
                                  <w:color w:val="164194"/>
                                  <w:sz w:val="28"/>
                                </w:rPr>
                                <w:t>Article</w:t>
                              </w:r>
                              <w:r>
                                <w:rPr>
                                  <w:color w:val="164194"/>
                                  <w:spacing w:val="-8"/>
                                  <w:sz w:val="28"/>
                                </w:rPr>
                                <w:t> </w:t>
                              </w:r>
                              <w:r>
                                <w:rPr>
                                  <w:color w:val="164194"/>
                                  <w:sz w:val="28"/>
                                </w:rPr>
                                <w:t>45</w:t>
                              </w:r>
                              <w:r>
                                <w:rPr>
                                  <w:color w:val="164194"/>
                                  <w:spacing w:val="-8"/>
                                  <w:sz w:val="28"/>
                                </w:rPr>
                                <w:t> </w:t>
                              </w:r>
                              <w:r>
                                <w:rPr>
                                  <w:color w:val="164194"/>
                                  <w:sz w:val="28"/>
                                </w:rPr>
                                <w:t>TFEU. Thus, in accordance with the wording of Article 3(1)(a) of Directive 2000/78, that directive applies to ‘all persons, as regards both the public and private sectors, including public bodies … whatever the branch of activity and at all levels of the professional hierarchy’.’</w:t>
                              </w:r>
                              <w:r>
                                <w:rPr>
                                  <w:color w:val="164194"/>
                                  <w:sz w:val="28"/>
                                  <w:vertAlign w:val="superscript"/>
                                </w:rPr>
                                <w:t>645</w:t>
                              </w:r>
                            </w:p>
                          </w:txbxContent>
                        </wps:txbx>
                        <wps:bodyPr wrap="square" lIns="0" tIns="0" rIns="0" bIns="0" rtlCol="0">
                          <a:noAutofit/>
                        </wps:bodyPr>
                      </wps:wsp>
                    </wpg:wgp>
                  </a:graphicData>
                </a:graphic>
              </wp:anchor>
            </w:drawing>
          </mc:Choice>
          <mc:Fallback>
            <w:pict>
              <v:group style="position:absolute;margin-left:70.8657pt;margin-top:13.34378pt;width:473.4pt;height:113.55pt;mso-position-horizontal-relative:page;mso-position-vertical-relative:paragraph;z-index:-15534592;mso-wrap-distance-left:0;mso-wrap-distance-right:0" id="docshapegroup838" coordorigin="1417,267" coordsize="9468,2271">
                <v:shape style="position:absolute;left:1417;top:266;width:9468;height:2271" id="docshape839" coordorigin="1417,267" coordsize="9468,2271" path="m10658,267l1644,267,1572,278,1510,311,1461,360,1429,422,1417,494,1417,2310,1429,2382,1461,2444,1510,2493,1572,2525,1644,2537,10658,2537,10730,2525,10792,2493,10841,2444,10873,2382,10885,2310,10885,494,10873,422,10841,360,10792,311,10730,278,10658,267xe" filled="true" fillcolor="#e9f3fc" stroked="false">
                  <v:path arrowok="t"/>
                  <v:fill type="solid"/>
                </v:shape>
                <v:shape style="position:absolute;left:1417;top:266;width:9468;height:2271" type="#_x0000_t202" id="docshape840" filled="false" stroked="false">
                  <v:textbox inset="0,0,0,0">
                    <w:txbxContent>
                      <w:p>
                        <w:pPr>
                          <w:spacing w:line="232" w:lineRule="auto" w:before="121"/>
                          <w:ind w:left="340" w:right="196" w:firstLine="0"/>
                          <w:jc w:val="left"/>
                          <w:rPr>
                            <w:sz w:val="28"/>
                          </w:rPr>
                        </w:pPr>
                        <w:r>
                          <w:rPr>
                            <w:color w:val="164194"/>
                            <w:sz w:val="28"/>
                          </w:rPr>
                          <w:t>‘[…] that the scope of that directive is not limited solely to the conditions for accessing</w:t>
                        </w:r>
                        <w:r>
                          <w:rPr>
                            <w:color w:val="164194"/>
                            <w:spacing w:val="-8"/>
                            <w:sz w:val="28"/>
                          </w:rPr>
                          <w:t> </w:t>
                        </w:r>
                        <w:r>
                          <w:rPr>
                            <w:color w:val="164194"/>
                            <w:sz w:val="28"/>
                          </w:rPr>
                          <w:t>posts</w:t>
                        </w:r>
                        <w:r>
                          <w:rPr>
                            <w:color w:val="164194"/>
                            <w:spacing w:val="-9"/>
                            <w:sz w:val="28"/>
                          </w:rPr>
                          <w:t> </w:t>
                        </w:r>
                        <w:r>
                          <w:rPr>
                            <w:color w:val="164194"/>
                            <w:sz w:val="28"/>
                          </w:rPr>
                          <w:t>occupied</w:t>
                        </w:r>
                        <w:r>
                          <w:rPr>
                            <w:color w:val="164194"/>
                            <w:spacing w:val="-9"/>
                            <w:sz w:val="28"/>
                          </w:rPr>
                          <w:t> </w:t>
                        </w:r>
                        <w:r>
                          <w:rPr>
                            <w:color w:val="164194"/>
                            <w:sz w:val="28"/>
                          </w:rPr>
                          <w:t>by</w:t>
                        </w:r>
                        <w:r>
                          <w:rPr>
                            <w:color w:val="164194"/>
                            <w:spacing w:val="-8"/>
                            <w:sz w:val="28"/>
                          </w:rPr>
                          <w:t> </w:t>
                        </w:r>
                        <w:r>
                          <w:rPr>
                            <w:color w:val="164194"/>
                            <w:sz w:val="28"/>
                          </w:rPr>
                          <w:t>‘workers’,</w:t>
                        </w:r>
                        <w:r>
                          <w:rPr>
                            <w:color w:val="164194"/>
                            <w:spacing w:val="-8"/>
                            <w:sz w:val="28"/>
                          </w:rPr>
                          <w:t> </w:t>
                        </w:r>
                        <w:r>
                          <w:rPr>
                            <w:color w:val="164194"/>
                            <w:sz w:val="28"/>
                          </w:rPr>
                          <w:t>within</w:t>
                        </w:r>
                        <w:r>
                          <w:rPr>
                            <w:color w:val="164194"/>
                            <w:spacing w:val="-9"/>
                            <w:sz w:val="28"/>
                          </w:rPr>
                          <w:t> </w:t>
                        </w:r>
                        <w:r>
                          <w:rPr>
                            <w:color w:val="164194"/>
                            <w:sz w:val="28"/>
                          </w:rPr>
                          <w:t>the</w:t>
                        </w:r>
                        <w:r>
                          <w:rPr>
                            <w:color w:val="164194"/>
                            <w:spacing w:val="-8"/>
                            <w:sz w:val="28"/>
                          </w:rPr>
                          <w:t> </w:t>
                        </w:r>
                        <w:r>
                          <w:rPr>
                            <w:color w:val="164194"/>
                            <w:sz w:val="28"/>
                          </w:rPr>
                          <w:t>meaning</w:t>
                        </w:r>
                        <w:r>
                          <w:rPr>
                            <w:color w:val="164194"/>
                            <w:spacing w:val="-8"/>
                            <w:sz w:val="28"/>
                          </w:rPr>
                          <w:t> </w:t>
                        </w:r>
                        <w:r>
                          <w:rPr>
                            <w:color w:val="164194"/>
                            <w:sz w:val="28"/>
                          </w:rPr>
                          <w:t>of</w:t>
                        </w:r>
                        <w:r>
                          <w:rPr>
                            <w:color w:val="164194"/>
                            <w:spacing w:val="-9"/>
                            <w:sz w:val="28"/>
                          </w:rPr>
                          <w:t> </w:t>
                        </w:r>
                        <w:r>
                          <w:rPr>
                            <w:color w:val="164194"/>
                            <w:sz w:val="28"/>
                          </w:rPr>
                          <w:t>Article</w:t>
                        </w:r>
                        <w:r>
                          <w:rPr>
                            <w:color w:val="164194"/>
                            <w:spacing w:val="-8"/>
                            <w:sz w:val="28"/>
                          </w:rPr>
                          <w:t> </w:t>
                        </w:r>
                        <w:r>
                          <w:rPr>
                            <w:color w:val="164194"/>
                            <w:sz w:val="28"/>
                          </w:rPr>
                          <w:t>45</w:t>
                        </w:r>
                        <w:r>
                          <w:rPr>
                            <w:color w:val="164194"/>
                            <w:spacing w:val="-8"/>
                            <w:sz w:val="28"/>
                          </w:rPr>
                          <w:t> </w:t>
                        </w:r>
                        <w:r>
                          <w:rPr>
                            <w:color w:val="164194"/>
                            <w:sz w:val="28"/>
                          </w:rPr>
                          <w:t>TFEU. Thus, in accordance with the wording of Article 3(1)(a) of Directive 2000/78, that directive applies to ‘all persons, as regards both the public and private sectors, including public bodies … whatever the branch of activity and at all levels of the professional hierarchy’.’</w:t>
                        </w:r>
                        <w:r>
                          <w:rPr>
                            <w:color w:val="164194"/>
                            <w:sz w:val="28"/>
                            <w:vertAlign w:val="superscript"/>
                          </w:rPr>
                          <w:t>645</w:t>
                        </w:r>
                      </w:p>
                    </w:txbxContent>
                  </v:textbox>
                  <w10:wrap type="none"/>
                </v:shape>
                <w10:wrap type="topAndBottom"/>
              </v:group>
            </w:pict>
          </mc:Fallback>
        </mc:AlternateContent>
      </w:r>
    </w:p>
    <w:p>
      <w:pPr>
        <w:pStyle w:val="BodyText"/>
        <w:spacing w:line="232" w:lineRule="auto" w:before="228"/>
        <w:ind w:left="1117" w:right="738"/>
      </w:pPr>
      <w:r>
        <w:rPr/>
        <w:t>The Court further outlined that Article 3(1)(d) of Directive 2000/78 also applies to the</w:t>
      </w:r>
      <w:r>
        <w:rPr>
          <w:spacing w:val="-10"/>
        </w:rPr>
        <w:t> </w:t>
      </w:r>
      <w:r>
        <w:rPr/>
        <w:t>involvement</w:t>
      </w:r>
      <w:r>
        <w:rPr>
          <w:spacing w:val="-10"/>
        </w:rPr>
        <w:t> </w:t>
      </w:r>
      <w:r>
        <w:rPr/>
        <w:t>in</w:t>
      </w:r>
      <w:r>
        <w:rPr>
          <w:spacing w:val="-10"/>
        </w:rPr>
        <w:t> </w:t>
      </w:r>
      <w:r>
        <w:rPr/>
        <w:t>an</w:t>
      </w:r>
      <w:r>
        <w:rPr>
          <w:spacing w:val="-10"/>
        </w:rPr>
        <w:t> </w:t>
      </w:r>
      <w:r>
        <w:rPr/>
        <w:t>organisation</w:t>
      </w:r>
      <w:r>
        <w:rPr>
          <w:spacing w:val="-10"/>
        </w:rPr>
        <w:t> </w:t>
      </w:r>
      <w:r>
        <w:rPr/>
        <w:t>of</w:t>
      </w:r>
      <w:r>
        <w:rPr>
          <w:spacing w:val="-10"/>
        </w:rPr>
        <w:t> </w:t>
      </w:r>
      <w:r>
        <w:rPr/>
        <w:t>workers.</w:t>
      </w:r>
      <w:r>
        <w:rPr>
          <w:vertAlign w:val="superscript"/>
        </w:rPr>
        <w:t>646</w:t>
      </w:r>
      <w:r>
        <w:rPr>
          <w:spacing w:val="-10"/>
          <w:vertAlign w:val="baseline"/>
        </w:rPr>
        <w:t> </w:t>
      </w:r>
      <w:r>
        <w:rPr>
          <w:vertAlign w:val="baseline"/>
        </w:rPr>
        <w:t>On</w:t>
      </w:r>
      <w:r>
        <w:rPr>
          <w:spacing w:val="-10"/>
          <w:vertAlign w:val="baseline"/>
        </w:rPr>
        <w:t> </w:t>
      </w:r>
      <w:r>
        <w:rPr>
          <w:vertAlign w:val="baseline"/>
        </w:rPr>
        <w:t>the</w:t>
      </w:r>
      <w:r>
        <w:rPr>
          <w:spacing w:val="-10"/>
          <w:vertAlign w:val="baseline"/>
        </w:rPr>
        <w:t> </w:t>
      </w:r>
      <w:r>
        <w:rPr>
          <w:vertAlign w:val="baseline"/>
        </w:rPr>
        <w:t>facts</w:t>
      </w:r>
      <w:r>
        <w:rPr>
          <w:spacing w:val="-10"/>
          <w:vertAlign w:val="baseline"/>
        </w:rPr>
        <w:t> </w:t>
      </w:r>
      <w:r>
        <w:rPr>
          <w:vertAlign w:val="baseline"/>
        </w:rPr>
        <w:t>presented,</w:t>
      </w:r>
      <w:r>
        <w:rPr>
          <w:spacing w:val="-10"/>
          <w:vertAlign w:val="baseline"/>
        </w:rPr>
        <w:t> </w:t>
      </w:r>
      <w:r>
        <w:rPr>
          <w:vertAlign w:val="baseline"/>
        </w:rPr>
        <w:t>the</w:t>
      </w:r>
      <w:r>
        <w:rPr>
          <w:spacing w:val="-10"/>
          <w:vertAlign w:val="baseline"/>
        </w:rPr>
        <w:t> </w:t>
      </w:r>
      <w:r>
        <w:rPr>
          <w:vertAlign w:val="baseline"/>
        </w:rPr>
        <w:t>Court ultimately held that:</w:t>
      </w:r>
    </w:p>
    <w:p>
      <w:pPr>
        <w:pStyle w:val="BodyText"/>
        <w:spacing w:before="2"/>
        <w:rPr>
          <w:sz w:val="20"/>
        </w:rPr>
      </w:pPr>
      <w:r>
        <w:rPr/>
        <mc:AlternateContent>
          <mc:Choice Requires="wps">
            <w:drawing>
              <wp:anchor distT="0" distB="0" distL="0" distR="0" allowOverlap="1" layoutInCell="1" locked="0" behindDoc="1" simplePos="0" relativeHeight="487782400">
                <wp:simplePos x="0" y="0"/>
                <wp:positionH relativeFrom="page">
                  <wp:posOffset>899994</wp:posOffset>
                </wp:positionH>
                <wp:positionV relativeFrom="paragraph">
                  <wp:posOffset>172029</wp:posOffset>
                </wp:positionV>
                <wp:extent cx="6012180" cy="1232535"/>
                <wp:effectExtent l="0" t="0" r="0" b="0"/>
                <wp:wrapTopAndBottom/>
                <wp:docPr id="1023" name="Group 1023"/>
                <wp:cNvGraphicFramePr>
                  <a:graphicFrameLocks/>
                </wp:cNvGraphicFramePr>
                <a:graphic>
                  <a:graphicData uri="http://schemas.microsoft.com/office/word/2010/wordprocessingGroup">
                    <wpg:wgp>
                      <wpg:cNvPr id="1023" name="Group 1023"/>
                      <wpg:cNvGrpSpPr/>
                      <wpg:grpSpPr>
                        <a:xfrm>
                          <a:off x="0" y="0"/>
                          <a:ext cx="6012180" cy="1232535"/>
                          <a:chExt cx="6012180" cy="1232535"/>
                        </a:xfrm>
                      </wpg:grpSpPr>
                      <wps:wsp>
                        <wps:cNvPr id="1024" name="Graphic 1024"/>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25" name="Textbox 1025"/>
                        <wps:cNvSpPr txBox="1"/>
                        <wps:spPr>
                          <a:xfrm>
                            <a:off x="0" y="0"/>
                            <a:ext cx="6012180" cy="1232535"/>
                          </a:xfrm>
                          <a:prstGeom prst="rect">
                            <a:avLst/>
                          </a:prstGeom>
                        </wps:spPr>
                        <wps:txbx>
                          <w:txbxContent>
                            <w:p>
                              <w:pPr>
                                <w:spacing w:line="232" w:lineRule="auto" w:before="121"/>
                                <w:ind w:left="340" w:right="196" w:firstLine="0"/>
                                <w:jc w:val="left"/>
                                <w:rPr>
                                  <w:sz w:val="28"/>
                                </w:rPr>
                              </w:pPr>
                              <w:r>
                                <w:rPr>
                                  <w:color w:val="164194"/>
                                  <w:sz w:val="28"/>
                                </w:rPr>
                                <w:t>‘In the light of all the foregoing considerations, the answer to the question referred</w:t>
                              </w:r>
                              <w:r>
                                <w:rPr>
                                  <w:color w:val="164194"/>
                                  <w:spacing w:val="-8"/>
                                  <w:sz w:val="28"/>
                                </w:rPr>
                                <w:t> </w:t>
                              </w:r>
                              <w:r>
                                <w:rPr>
                                  <w:color w:val="164194"/>
                                  <w:sz w:val="28"/>
                                </w:rPr>
                                <w:t>is</w:t>
                              </w:r>
                              <w:r>
                                <w:rPr>
                                  <w:color w:val="164194"/>
                                  <w:spacing w:val="-8"/>
                                  <w:sz w:val="28"/>
                                </w:rPr>
                                <w:t> </w:t>
                              </w:r>
                              <w:r>
                                <w:rPr>
                                  <w:color w:val="164194"/>
                                  <w:sz w:val="28"/>
                                </w:rPr>
                                <w:t>that</w:t>
                              </w:r>
                              <w:r>
                                <w:rPr>
                                  <w:color w:val="164194"/>
                                  <w:spacing w:val="-7"/>
                                  <w:sz w:val="28"/>
                                </w:rPr>
                                <w:t> </w:t>
                              </w:r>
                              <w:r>
                                <w:rPr>
                                  <w:color w:val="164194"/>
                                  <w:sz w:val="28"/>
                                </w:rPr>
                                <w:t>Article</w:t>
                              </w:r>
                              <w:r>
                                <w:rPr>
                                  <w:color w:val="164194"/>
                                  <w:spacing w:val="-7"/>
                                  <w:sz w:val="28"/>
                                </w:rPr>
                                <w:t> </w:t>
                              </w:r>
                              <w:r>
                                <w:rPr>
                                  <w:color w:val="164194"/>
                                  <w:sz w:val="28"/>
                                </w:rPr>
                                <w:t>3(1)(a)</w:t>
                              </w:r>
                              <w:r>
                                <w:rPr>
                                  <w:color w:val="164194"/>
                                  <w:spacing w:val="-8"/>
                                  <w:sz w:val="28"/>
                                </w:rPr>
                                <w:t> </w:t>
                              </w:r>
                              <w:r>
                                <w:rPr>
                                  <w:color w:val="164194"/>
                                  <w:sz w:val="28"/>
                                </w:rPr>
                                <w:t>and</w:t>
                              </w:r>
                              <w:r>
                                <w:rPr>
                                  <w:color w:val="164194"/>
                                  <w:spacing w:val="-8"/>
                                  <w:sz w:val="28"/>
                                </w:rPr>
                                <w:t> </w:t>
                              </w:r>
                              <w:r>
                                <w:rPr>
                                  <w:color w:val="164194"/>
                                  <w:sz w:val="28"/>
                                </w:rPr>
                                <w:t>(d)</w:t>
                              </w:r>
                              <w:r>
                                <w:rPr>
                                  <w:color w:val="164194"/>
                                  <w:spacing w:val="-8"/>
                                  <w:sz w:val="28"/>
                                </w:rPr>
                                <w:t> </w:t>
                              </w:r>
                              <w:r>
                                <w:rPr>
                                  <w:color w:val="164194"/>
                                  <w:sz w:val="28"/>
                                </w:rPr>
                                <w:t>of</w:t>
                              </w:r>
                              <w:r>
                                <w:rPr>
                                  <w:color w:val="164194"/>
                                  <w:spacing w:val="-8"/>
                                  <w:sz w:val="28"/>
                                </w:rPr>
                                <w:t> </w:t>
                              </w:r>
                              <w:r>
                                <w:rPr>
                                  <w:color w:val="164194"/>
                                  <w:sz w:val="28"/>
                                </w:rPr>
                                <w:t>Directive</w:t>
                              </w:r>
                              <w:r>
                                <w:rPr>
                                  <w:color w:val="164194"/>
                                  <w:spacing w:val="-7"/>
                                  <w:sz w:val="28"/>
                                </w:rPr>
                                <w:t> </w:t>
                              </w:r>
                              <w:r>
                                <w:rPr>
                                  <w:color w:val="164194"/>
                                  <w:sz w:val="28"/>
                                </w:rPr>
                                <w:t>2000/78</w:t>
                              </w:r>
                              <w:r>
                                <w:rPr>
                                  <w:color w:val="164194"/>
                                  <w:spacing w:val="-7"/>
                                  <w:sz w:val="28"/>
                                </w:rPr>
                                <w:t> </w:t>
                              </w:r>
                              <w:r>
                                <w:rPr>
                                  <w:color w:val="164194"/>
                                  <w:sz w:val="28"/>
                                </w:rPr>
                                <w:t>must</w:t>
                              </w:r>
                              <w:r>
                                <w:rPr>
                                  <w:color w:val="164194"/>
                                  <w:spacing w:val="-7"/>
                                  <w:sz w:val="28"/>
                                </w:rPr>
                                <w:t> </w:t>
                              </w:r>
                              <w:r>
                                <w:rPr>
                                  <w:color w:val="164194"/>
                                  <w:sz w:val="28"/>
                                </w:rPr>
                                <w:t>be</w:t>
                              </w:r>
                              <w:r>
                                <w:rPr>
                                  <w:color w:val="164194"/>
                                  <w:spacing w:val="-7"/>
                                  <w:sz w:val="28"/>
                                </w:rPr>
                                <w:t> </w:t>
                              </w:r>
                              <w:r>
                                <w:rPr>
                                  <w:color w:val="164194"/>
                                  <w:sz w:val="28"/>
                                </w:rPr>
                                <w:t>interpreted as meaning that an age limit laid down in the statutes of an organisation of workers for eligibility to stand as sector convenor of that organisation falls within the scope of that directive.’</w:t>
                              </w:r>
                              <w:r>
                                <w:rPr>
                                  <w:color w:val="164194"/>
                                  <w:sz w:val="28"/>
                                  <w:vertAlign w:val="superscript"/>
                                </w:rPr>
                                <w:t>647</w:t>
                              </w:r>
                            </w:p>
                          </w:txbxContent>
                        </wps:txbx>
                        <wps:bodyPr wrap="square" lIns="0" tIns="0" rIns="0" bIns="0" rtlCol="0">
                          <a:noAutofit/>
                        </wps:bodyPr>
                      </wps:wsp>
                    </wpg:wgp>
                  </a:graphicData>
                </a:graphic>
              </wp:anchor>
            </w:drawing>
          </mc:Choice>
          <mc:Fallback>
            <w:pict>
              <v:group style="position:absolute;margin-left:70.8657pt;margin-top:13.545654pt;width:473.4pt;height:97.05pt;mso-position-horizontal-relative:page;mso-position-vertical-relative:paragraph;z-index:-15534080;mso-wrap-distance-left:0;mso-wrap-distance-right:0" id="docshapegroup841" coordorigin="1417,271" coordsize="9468,1941">
                <v:shape style="position:absolute;left:1417;top:270;width:9468;height:1941" id="docshape842" coordorigin="1417,271" coordsize="9468,1941" path="m10658,271l1644,271,1572,282,1510,315,1461,364,1429,426,1417,498,1417,1984,1429,2056,1461,2118,1510,2167,1572,2200,1644,2211,10658,2211,10730,2200,10792,2167,10841,2118,10873,2056,10885,1984,10885,498,10873,426,10841,364,10792,315,10730,282,10658,271xe" filled="true" fillcolor="#e9f3fc" stroked="false">
                  <v:path arrowok="t"/>
                  <v:fill type="solid"/>
                </v:shape>
                <v:shape style="position:absolute;left:1417;top:270;width:9468;height:1941" type="#_x0000_t202" id="docshape843" filled="false" stroked="false">
                  <v:textbox inset="0,0,0,0">
                    <w:txbxContent>
                      <w:p>
                        <w:pPr>
                          <w:spacing w:line="232" w:lineRule="auto" w:before="121"/>
                          <w:ind w:left="340" w:right="196" w:firstLine="0"/>
                          <w:jc w:val="left"/>
                          <w:rPr>
                            <w:sz w:val="28"/>
                          </w:rPr>
                        </w:pPr>
                        <w:r>
                          <w:rPr>
                            <w:color w:val="164194"/>
                            <w:sz w:val="28"/>
                          </w:rPr>
                          <w:t>‘In the light of all the foregoing considerations, the answer to the question referred</w:t>
                        </w:r>
                        <w:r>
                          <w:rPr>
                            <w:color w:val="164194"/>
                            <w:spacing w:val="-8"/>
                            <w:sz w:val="28"/>
                          </w:rPr>
                          <w:t> </w:t>
                        </w:r>
                        <w:r>
                          <w:rPr>
                            <w:color w:val="164194"/>
                            <w:sz w:val="28"/>
                          </w:rPr>
                          <w:t>is</w:t>
                        </w:r>
                        <w:r>
                          <w:rPr>
                            <w:color w:val="164194"/>
                            <w:spacing w:val="-8"/>
                            <w:sz w:val="28"/>
                          </w:rPr>
                          <w:t> </w:t>
                        </w:r>
                        <w:r>
                          <w:rPr>
                            <w:color w:val="164194"/>
                            <w:sz w:val="28"/>
                          </w:rPr>
                          <w:t>that</w:t>
                        </w:r>
                        <w:r>
                          <w:rPr>
                            <w:color w:val="164194"/>
                            <w:spacing w:val="-7"/>
                            <w:sz w:val="28"/>
                          </w:rPr>
                          <w:t> </w:t>
                        </w:r>
                        <w:r>
                          <w:rPr>
                            <w:color w:val="164194"/>
                            <w:sz w:val="28"/>
                          </w:rPr>
                          <w:t>Article</w:t>
                        </w:r>
                        <w:r>
                          <w:rPr>
                            <w:color w:val="164194"/>
                            <w:spacing w:val="-7"/>
                            <w:sz w:val="28"/>
                          </w:rPr>
                          <w:t> </w:t>
                        </w:r>
                        <w:r>
                          <w:rPr>
                            <w:color w:val="164194"/>
                            <w:sz w:val="28"/>
                          </w:rPr>
                          <w:t>3(1)(a)</w:t>
                        </w:r>
                        <w:r>
                          <w:rPr>
                            <w:color w:val="164194"/>
                            <w:spacing w:val="-8"/>
                            <w:sz w:val="28"/>
                          </w:rPr>
                          <w:t> </w:t>
                        </w:r>
                        <w:r>
                          <w:rPr>
                            <w:color w:val="164194"/>
                            <w:sz w:val="28"/>
                          </w:rPr>
                          <w:t>and</w:t>
                        </w:r>
                        <w:r>
                          <w:rPr>
                            <w:color w:val="164194"/>
                            <w:spacing w:val="-8"/>
                            <w:sz w:val="28"/>
                          </w:rPr>
                          <w:t> </w:t>
                        </w:r>
                        <w:r>
                          <w:rPr>
                            <w:color w:val="164194"/>
                            <w:sz w:val="28"/>
                          </w:rPr>
                          <w:t>(d)</w:t>
                        </w:r>
                        <w:r>
                          <w:rPr>
                            <w:color w:val="164194"/>
                            <w:spacing w:val="-8"/>
                            <w:sz w:val="28"/>
                          </w:rPr>
                          <w:t> </w:t>
                        </w:r>
                        <w:r>
                          <w:rPr>
                            <w:color w:val="164194"/>
                            <w:sz w:val="28"/>
                          </w:rPr>
                          <w:t>of</w:t>
                        </w:r>
                        <w:r>
                          <w:rPr>
                            <w:color w:val="164194"/>
                            <w:spacing w:val="-8"/>
                            <w:sz w:val="28"/>
                          </w:rPr>
                          <w:t> </w:t>
                        </w:r>
                        <w:r>
                          <w:rPr>
                            <w:color w:val="164194"/>
                            <w:sz w:val="28"/>
                          </w:rPr>
                          <w:t>Directive</w:t>
                        </w:r>
                        <w:r>
                          <w:rPr>
                            <w:color w:val="164194"/>
                            <w:spacing w:val="-7"/>
                            <w:sz w:val="28"/>
                          </w:rPr>
                          <w:t> </w:t>
                        </w:r>
                        <w:r>
                          <w:rPr>
                            <w:color w:val="164194"/>
                            <w:sz w:val="28"/>
                          </w:rPr>
                          <w:t>2000/78</w:t>
                        </w:r>
                        <w:r>
                          <w:rPr>
                            <w:color w:val="164194"/>
                            <w:spacing w:val="-7"/>
                            <w:sz w:val="28"/>
                          </w:rPr>
                          <w:t> </w:t>
                        </w:r>
                        <w:r>
                          <w:rPr>
                            <w:color w:val="164194"/>
                            <w:sz w:val="28"/>
                          </w:rPr>
                          <w:t>must</w:t>
                        </w:r>
                        <w:r>
                          <w:rPr>
                            <w:color w:val="164194"/>
                            <w:spacing w:val="-7"/>
                            <w:sz w:val="28"/>
                          </w:rPr>
                          <w:t> </w:t>
                        </w:r>
                        <w:r>
                          <w:rPr>
                            <w:color w:val="164194"/>
                            <w:sz w:val="28"/>
                          </w:rPr>
                          <w:t>be</w:t>
                        </w:r>
                        <w:r>
                          <w:rPr>
                            <w:color w:val="164194"/>
                            <w:spacing w:val="-7"/>
                            <w:sz w:val="28"/>
                          </w:rPr>
                          <w:t> </w:t>
                        </w:r>
                        <w:r>
                          <w:rPr>
                            <w:color w:val="164194"/>
                            <w:sz w:val="28"/>
                          </w:rPr>
                          <w:t>interpreted as meaning that an age limit laid down in the statutes of an organisation of workers for eligibility to stand as sector convenor of that organisation falls within the scope of that directive.’</w:t>
                        </w:r>
                        <w:r>
                          <w:rPr>
                            <w:color w:val="164194"/>
                            <w:sz w:val="28"/>
                            <w:vertAlign w:val="superscript"/>
                          </w:rPr>
                          <w:t>647</w:t>
                        </w:r>
                      </w:p>
                    </w:txbxContent>
                  </v:textbox>
                  <w10:wrap type="none"/>
                </v:shape>
                <w10:wrap type="topAndBottom"/>
              </v:group>
            </w:pict>
          </mc:Fallback>
        </mc:AlternateContent>
      </w:r>
    </w:p>
    <w:p>
      <w:pPr>
        <w:pStyle w:val="BodyText"/>
        <w:spacing w:line="232" w:lineRule="auto" w:before="228"/>
        <w:ind w:left="1117" w:right="738"/>
      </w:pPr>
      <w:r>
        <w:rPr/>
        <w:t>This underscores the importance through which CJEU case law tracking and developments are required and the importance of this ruling is not to be understated</w:t>
      </w:r>
      <w:r>
        <w:rPr>
          <w:spacing w:val="-14"/>
        </w:rPr>
        <w:t> </w:t>
      </w:r>
      <w:r>
        <w:rPr/>
        <w:t>within</w:t>
      </w:r>
      <w:r>
        <w:rPr>
          <w:spacing w:val="-14"/>
        </w:rPr>
        <w:t> </w:t>
      </w:r>
      <w:r>
        <w:rPr/>
        <w:t>the</w:t>
      </w:r>
      <w:r>
        <w:rPr>
          <w:spacing w:val="-13"/>
        </w:rPr>
        <w:t> </w:t>
      </w:r>
      <w:r>
        <w:rPr/>
        <w:t>Northern</w:t>
      </w:r>
      <w:r>
        <w:rPr>
          <w:spacing w:val="-14"/>
        </w:rPr>
        <w:t> </w:t>
      </w:r>
      <w:r>
        <w:rPr/>
        <w:t>Ireland</w:t>
      </w:r>
      <w:r>
        <w:rPr>
          <w:spacing w:val="-14"/>
        </w:rPr>
        <w:t> </w:t>
      </w:r>
      <w:r>
        <w:rPr/>
        <w:t>context.</w:t>
      </w:r>
      <w:r>
        <w:rPr>
          <w:spacing w:val="-14"/>
        </w:rPr>
        <w:t> </w:t>
      </w:r>
      <w:r>
        <w:rPr/>
        <w:t>Specifically,</w:t>
      </w:r>
      <w:r>
        <w:rPr>
          <w:spacing w:val="-13"/>
        </w:rPr>
        <w:t> </w:t>
      </w:r>
      <w:r>
        <w:rPr/>
        <w:t>the</w:t>
      </w:r>
      <w:r>
        <w:rPr>
          <w:spacing w:val="-13"/>
        </w:rPr>
        <w:t> </w:t>
      </w:r>
      <w:r>
        <w:rPr/>
        <w:t>aforementioned</w:t>
      </w:r>
    </w:p>
    <w:p>
      <w:pPr>
        <w:pStyle w:val="BodyText"/>
        <w:spacing w:before="4"/>
        <w:rPr>
          <w:sz w:val="8"/>
        </w:rPr>
      </w:pPr>
      <w:r>
        <w:rPr/>
        <mc:AlternateContent>
          <mc:Choice Requires="wps">
            <w:drawing>
              <wp:anchor distT="0" distB="0" distL="0" distR="0" allowOverlap="1" layoutInCell="1" locked="0" behindDoc="1" simplePos="0" relativeHeight="487782912">
                <wp:simplePos x="0" y="0"/>
                <wp:positionH relativeFrom="page">
                  <wp:posOffset>899999</wp:posOffset>
                </wp:positionH>
                <wp:positionV relativeFrom="paragraph">
                  <wp:posOffset>80220</wp:posOffset>
                </wp:positionV>
                <wp:extent cx="6012180" cy="1270"/>
                <wp:effectExtent l="0" t="0" r="0" b="0"/>
                <wp:wrapTopAndBottom/>
                <wp:docPr id="1026" name="Graphic 1026"/>
                <wp:cNvGraphicFramePr>
                  <a:graphicFrameLocks/>
                </wp:cNvGraphicFramePr>
                <a:graphic>
                  <a:graphicData uri="http://schemas.microsoft.com/office/word/2010/wordprocessingShape">
                    <wps:wsp>
                      <wps:cNvPr id="1026" name="Graphic 102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6.316555pt;width:473.4pt;height:.1pt;mso-position-horizontal-relative:page;mso-position-vertical-relative:paragraph;z-index:-15533568;mso-wrap-distance-left:0;mso-wrap-distance-right:0" id="docshape844" coordorigin="1417,126" coordsize="9468,0" path="m1417,126l10885,126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54.</w:t>
      </w:r>
    </w:p>
    <w:p>
      <w:pPr>
        <w:pStyle w:val="ListParagraph"/>
        <w:numPr>
          <w:ilvl w:val="0"/>
          <w:numId w:val="51"/>
        </w:numPr>
        <w:tabs>
          <w:tab w:pos="1684" w:val="left" w:leader="none"/>
        </w:tabs>
        <w:spacing w:line="240" w:lineRule="auto" w:before="1" w:after="0"/>
        <w:ind w:left="1684" w:right="0" w:hanging="567"/>
        <w:jc w:val="left"/>
        <w:rPr>
          <w:sz w:val="18"/>
        </w:rPr>
      </w:pPr>
      <w:r>
        <w:rPr>
          <w:sz w:val="18"/>
        </w:rPr>
        <w:t>C-587/20</w:t>
      </w:r>
      <w:r>
        <w:rPr>
          <w:spacing w:val="-3"/>
          <w:sz w:val="18"/>
        </w:rPr>
        <w:t> </w:t>
      </w:r>
      <w:hyperlink r:id="rId169">
        <w:r>
          <w:rPr>
            <w:color w:val="1D71B8"/>
            <w:sz w:val="18"/>
            <w:u w:val="single" w:color="1D71B8"/>
          </w:rPr>
          <w:t>HK</w:t>
        </w:r>
        <w:r>
          <w:rPr>
            <w:color w:val="1D71B8"/>
            <w:spacing w:val="-2"/>
            <w:sz w:val="18"/>
            <w:u w:val="single" w:color="1D71B8"/>
          </w:rPr>
          <w:t> </w:t>
        </w:r>
        <w:r>
          <w:rPr>
            <w:color w:val="1D71B8"/>
            <w:sz w:val="18"/>
            <w:u w:val="single" w:color="1D71B8"/>
          </w:rPr>
          <w:t>v</w:t>
        </w:r>
        <w:r>
          <w:rPr>
            <w:color w:val="1D71B8"/>
            <w:spacing w:val="-1"/>
            <w:sz w:val="18"/>
            <w:u w:val="single" w:color="1D71B8"/>
          </w:rPr>
          <w:t> </w:t>
        </w:r>
        <w:r>
          <w:rPr>
            <w:color w:val="1D71B8"/>
            <w:sz w:val="18"/>
            <w:u w:val="single" w:color="1D71B8"/>
          </w:rPr>
          <w:t>Danmark</w:t>
        </w:r>
        <w:r>
          <w:rPr>
            <w:color w:val="1D71B8"/>
            <w:spacing w:val="-2"/>
            <w:sz w:val="18"/>
            <w:u w:val="single" w:color="1D71B8"/>
          </w:rPr>
          <w:t> </w:t>
        </w:r>
        <w:r>
          <w:rPr>
            <w:color w:val="1D71B8"/>
            <w:sz w:val="18"/>
            <w:u w:val="single" w:color="1D71B8"/>
          </w:rPr>
          <w:t>and</w:t>
        </w:r>
        <w:r>
          <w:rPr>
            <w:color w:val="1D71B8"/>
            <w:spacing w:val="-2"/>
            <w:sz w:val="18"/>
            <w:u w:val="single" w:color="1D71B8"/>
          </w:rPr>
          <w:t> </w:t>
        </w:r>
        <w:r>
          <w:rPr>
            <w:color w:val="1D71B8"/>
            <w:sz w:val="18"/>
            <w:u w:val="single" w:color="1D71B8"/>
          </w:rPr>
          <w:t>HK/Privat</w:t>
        </w:r>
      </w:hyperlink>
      <w:r>
        <w:rPr>
          <w:i/>
          <w:sz w:val="18"/>
          <w:u w:val="none"/>
        </w:rPr>
        <w:t>,</w:t>
      </w:r>
      <w:r>
        <w:rPr>
          <w:i/>
          <w:spacing w:val="-3"/>
          <w:sz w:val="18"/>
          <w:u w:val="none"/>
        </w:rPr>
        <w:t> </w:t>
      </w:r>
      <w:r>
        <w:rPr>
          <w:sz w:val="18"/>
          <w:u w:val="none"/>
        </w:rPr>
        <w:t>judgment</w:t>
      </w:r>
      <w:r>
        <w:rPr>
          <w:spacing w:val="-1"/>
          <w:sz w:val="18"/>
          <w:u w:val="none"/>
        </w:rPr>
        <w:t> </w:t>
      </w:r>
      <w:r>
        <w:rPr>
          <w:sz w:val="18"/>
          <w:u w:val="none"/>
        </w:rPr>
        <w:t>of</w:t>
      </w:r>
      <w:r>
        <w:rPr>
          <w:spacing w:val="-3"/>
          <w:sz w:val="18"/>
          <w:u w:val="none"/>
        </w:rPr>
        <w:t> </w:t>
      </w:r>
      <w:r>
        <w:rPr>
          <w:sz w:val="18"/>
          <w:u w:val="none"/>
        </w:rPr>
        <w:t>2</w:t>
      </w:r>
      <w:r>
        <w:rPr>
          <w:spacing w:val="-1"/>
          <w:sz w:val="18"/>
          <w:u w:val="none"/>
        </w:rPr>
        <w:t> </w:t>
      </w:r>
      <w:r>
        <w:rPr>
          <w:sz w:val="18"/>
          <w:u w:val="none"/>
        </w:rPr>
        <w:t>June</w:t>
      </w:r>
      <w:r>
        <w:rPr>
          <w:spacing w:val="-2"/>
          <w:sz w:val="18"/>
          <w:u w:val="none"/>
        </w:rPr>
        <w:t> </w:t>
      </w:r>
      <w:r>
        <w:rPr>
          <w:sz w:val="18"/>
          <w:u w:val="none"/>
        </w:rPr>
        <w:t>2022,</w:t>
      </w:r>
      <w:r>
        <w:rPr>
          <w:spacing w:val="-1"/>
          <w:sz w:val="18"/>
          <w:u w:val="none"/>
        </w:rPr>
        <w:t> </w:t>
      </w:r>
      <w:r>
        <w:rPr>
          <w:spacing w:val="-2"/>
          <w:sz w:val="18"/>
          <w:u w:val="none"/>
        </w:rPr>
        <w:t>ECLI:EU:C:2022:419.</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20.</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29.</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49.</w:t>
      </w:r>
    </w:p>
    <w:p>
      <w:pPr>
        <w:pStyle w:val="ListParagraph"/>
        <w:numPr>
          <w:ilvl w:val="0"/>
          <w:numId w:val="51"/>
        </w:numPr>
        <w:tabs>
          <w:tab w:pos="1684" w:val="left" w:leader="none"/>
        </w:tabs>
        <w:spacing w:line="240" w:lineRule="auto" w:before="1"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54.</w:t>
      </w:r>
    </w:p>
    <w:p>
      <w:pPr>
        <w:spacing w:after="0" w:line="240" w:lineRule="auto"/>
        <w:jc w:val="left"/>
        <w:rPr>
          <w:sz w:val="18"/>
        </w:rPr>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01632">
                <wp:simplePos x="0" y="0"/>
                <wp:positionH relativeFrom="page">
                  <wp:posOffset>0</wp:posOffset>
                </wp:positionH>
                <wp:positionV relativeFrom="page">
                  <wp:posOffset>0</wp:posOffset>
                </wp:positionV>
                <wp:extent cx="7560309" cy="1155065"/>
                <wp:effectExtent l="0" t="0" r="0" b="0"/>
                <wp:wrapNone/>
                <wp:docPr id="1027" name="Group 1027"/>
                <wp:cNvGraphicFramePr>
                  <a:graphicFrameLocks/>
                </wp:cNvGraphicFramePr>
                <a:graphic>
                  <a:graphicData uri="http://schemas.microsoft.com/office/word/2010/wordprocessingGroup">
                    <wpg:wgp>
                      <wpg:cNvPr id="1027" name="Group 1027"/>
                      <wpg:cNvGrpSpPr/>
                      <wpg:grpSpPr>
                        <a:xfrm>
                          <a:off x="0" y="0"/>
                          <a:ext cx="7560309" cy="1155065"/>
                          <a:chExt cx="7560309" cy="1155065"/>
                        </a:xfrm>
                      </wpg:grpSpPr>
                      <wps:wsp>
                        <wps:cNvPr id="1028" name="Graphic 1028"/>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029" name="Graphic 1029"/>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14848" id="docshapegroup845" coordorigin="0,0" coordsize="11906,1819">
                <v:shape style="position:absolute;left:0;top:0;width:11906;height:1819" id="docshape846"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bookmarkStart w:name="6.3.4.2 Thematic Area: Employment with a" w:id="195"/>
      <w:bookmarkEnd w:id="195"/>
      <w:r>
        <w:rPr/>
      </w:r>
      <w:bookmarkStart w:name="_bookmark81" w:id="196"/>
      <w:bookmarkEnd w:id="196"/>
      <w:r>
        <w:rPr/>
      </w:r>
      <w:r>
        <w:rPr>
          <w:b/>
          <w:color w:val="FFFFFF"/>
          <w:spacing w:val="-5"/>
          <w:position w:val="-1"/>
          <w:sz w:val="28"/>
        </w:rPr>
        <w:t>126</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CJEU case was relied upon in the Northern Ireland case of </w:t>
      </w:r>
      <w:r>
        <w:rPr>
          <w:i/>
        </w:rPr>
        <w:t>Geoffrey Wilson </w:t>
      </w:r>
      <w:r>
        <w:rPr/>
        <w:t>and Alliance Party for Northern Ireland.</w:t>
      </w:r>
      <w:r>
        <w:rPr>
          <w:vertAlign w:val="superscript"/>
        </w:rPr>
        <w:t>648</w:t>
      </w:r>
      <w:r>
        <w:rPr>
          <w:vertAlign w:val="baseline"/>
        </w:rPr>
        <w:t> However, the Northern Ireland Court of Appeal</w:t>
      </w:r>
      <w:r>
        <w:rPr>
          <w:spacing w:val="-10"/>
          <w:vertAlign w:val="baseline"/>
        </w:rPr>
        <w:t> </w:t>
      </w:r>
      <w:r>
        <w:rPr>
          <w:vertAlign w:val="baseline"/>
        </w:rPr>
        <w:t>took</w:t>
      </w:r>
      <w:r>
        <w:rPr>
          <w:spacing w:val="-9"/>
          <w:vertAlign w:val="baseline"/>
        </w:rPr>
        <w:t> </w:t>
      </w:r>
      <w:r>
        <w:rPr>
          <w:vertAlign w:val="baseline"/>
        </w:rPr>
        <w:t>a</w:t>
      </w:r>
      <w:r>
        <w:rPr>
          <w:spacing w:val="-10"/>
          <w:vertAlign w:val="baseline"/>
        </w:rPr>
        <w:t> </w:t>
      </w:r>
      <w:r>
        <w:rPr>
          <w:vertAlign w:val="baseline"/>
        </w:rPr>
        <w:t>very</w:t>
      </w:r>
      <w:r>
        <w:rPr>
          <w:spacing w:val="-9"/>
          <w:vertAlign w:val="baseline"/>
        </w:rPr>
        <w:t> </w:t>
      </w:r>
      <w:r>
        <w:rPr>
          <w:vertAlign w:val="baseline"/>
        </w:rPr>
        <w:t>narrow</w:t>
      </w:r>
      <w:r>
        <w:rPr>
          <w:spacing w:val="-9"/>
          <w:vertAlign w:val="baseline"/>
        </w:rPr>
        <w:t> </w:t>
      </w:r>
      <w:r>
        <w:rPr>
          <w:vertAlign w:val="baseline"/>
        </w:rPr>
        <w:t>reading</w:t>
      </w:r>
      <w:r>
        <w:rPr>
          <w:spacing w:val="-9"/>
          <w:vertAlign w:val="baseline"/>
        </w:rPr>
        <w:t> </w:t>
      </w:r>
      <w:r>
        <w:rPr>
          <w:vertAlign w:val="baseline"/>
        </w:rPr>
        <w:t>of</w:t>
      </w:r>
      <w:r>
        <w:rPr>
          <w:spacing w:val="-10"/>
          <w:vertAlign w:val="baseline"/>
        </w:rPr>
        <w:t> </w:t>
      </w:r>
      <w:r>
        <w:rPr>
          <w:vertAlign w:val="baseline"/>
        </w:rPr>
        <w:t>the</w:t>
      </w:r>
      <w:r>
        <w:rPr>
          <w:spacing w:val="-9"/>
          <w:vertAlign w:val="baseline"/>
        </w:rPr>
        <w:t> </w:t>
      </w:r>
      <w:r>
        <w:rPr>
          <w:vertAlign w:val="baseline"/>
        </w:rPr>
        <w:t>‘employment/occupation’</w:t>
      </w:r>
      <w:r>
        <w:rPr>
          <w:spacing w:val="-9"/>
          <w:vertAlign w:val="baseline"/>
        </w:rPr>
        <w:t> </w:t>
      </w:r>
      <w:r>
        <w:rPr>
          <w:vertAlign w:val="baseline"/>
        </w:rPr>
        <w:t>requirement compared with the </w:t>
      </w:r>
      <w:r>
        <w:rPr>
          <w:i/>
          <w:vertAlign w:val="baseline"/>
        </w:rPr>
        <w:t>HK v Danmark and HK/Privat </w:t>
      </w:r>
      <w:r>
        <w:rPr>
          <w:vertAlign w:val="baseline"/>
        </w:rPr>
        <w:t>case. The Court stated that:</w:t>
      </w:r>
    </w:p>
    <w:p>
      <w:pPr>
        <w:pStyle w:val="BodyText"/>
        <w:spacing w:before="1"/>
        <w:rPr>
          <w:sz w:val="20"/>
        </w:rPr>
      </w:pPr>
      <w:r>
        <w:rPr/>
        <mc:AlternateContent>
          <mc:Choice Requires="wps">
            <w:drawing>
              <wp:anchor distT="0" distB="0" distL="0" distR="0" allowOverlap="1" layoutInCell="1" locked="0" behindDoc="1" simplePos="0" relativeHeight="487783936">
                <wp:simplePos x="0" y="0"/>
                <wp:positionH relativeFrom="page">
                  <wp:posOffset>647994</wp:posOffset>
                </wp:positionH>
                <wp:positionV relativeFrom="paragraph">
                  <wp:posOffset>170962</wp:posOffset>
                </wp:positionV>
                <wp:extent cx="6012180" cy="1442085"/>
                <wp:effectExtent l="0" t="0" r="0" b="0"/>
                <wp:wrapTopAndBottom/>
                <wp:docPr id="1030" name="Group 1030"/>
                <wp:cNvGraphicFramePr>
                  <a:graphicFrameLocks/>
                </wp:cNvGraphicFramePr>
                <a:graphic>
                  <a:graphicData uri="http://schemas.microsoft.com/office/word/2010/wordprocessingGroup">
                    <wpg:wgp>
                      <wpg:cNvPr id="1030" name="Group 1030"/>
                      <wpg:cNvGrpSpPr/>
                      <wpg:grpSpPr>
                        <a:xfrm>
                          <a:off x="0" y="0"/>
                          <a:ext cx="6012180" cy="1442085"/>
                          <a:chExt cx="6012180" cy="1442085"/>
                        </a:xfrm>
                      </wpg:grpSpPr>
                      <wps:wsp>
                        <wps:cNvPr id="1031" name="Graphic 1031"/>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32" name="Textbox 1032"/>
                        <wps:cNvSpPr txBox="1"/>
                        <wps:spPr>
                          <a:xfrm>
                            <a:off x="0" y="0"/>
                            <a:ext cx="6012180" cy="1442085"/>
                          </a:xfrm>
                          <a:prstGeom prst="rect">
                            <a:avLst/>
                          </a:prstGeom>
                        </wps:spPr>
                        <wps:txbx>
                          <w:txbxContent>
                            <w:p>
                              <w:pPr>
                                <w:spacing w:line="232" w:lineRule="auto" w:before="121"/>
                                <w:ind w:left="340" w:right="106" w:firstLine="0"/>
                                <w:jc w:val="left"/>
                                <w:rPr>
                                  <w:sz w:val="28"/>
                                </w:rPr>
                              </w:pPr>
                              <w:r>
                                <w:rPr>
                                  <w:color w:val="164194"/>
                                  <w:sz w:val="28"/>
                                </w:rPr>
                                <w:t>‘For</w:t>
                              </w:r>
                              <w:r>
                                <w:rPr>
                                  <w:color w:val="164194"/>
                                  <w:spacing w:val="-8"/>
                                  <w:sz w:val="28"/>
                                </w:rPr>
                                <w:t> </w:t>
                              </w:r>
                              <w:r>
                                <w:rPr>
                                  <w:color w:val="164194"/>
                                  <w:sz w:val="28"/>
                                </w:rPr>
                                <w:t>the</w:t>
                              </w:r>
                              <w:r>
                                <w:rPr>
                                  <w:color w:val="164194"/>
                                  <w:spacing w:val="-8"/>
                                  <w:sz w:val="28"/>
                                </w:rPr>
                                <w:t> </w:t>
                              </w:r>
                              <w:r>
                                <w:rPr>
                                  <w:color w:val="164194"/>
                                  <w:sz w:val="28"/>
                                </w:rPr>
                                <w:t>assorted</w:t>
                              </w:r>
                              <w:r>
                                <w:rPr>
                                  <w:color w:val="164194"/>
                                  <w:spacing w:val="-8"/>
                                  <w:sz w:val="28"/>
                                </w:rPr>
                                <w:t> </w:t>
                              </w:r>
                              <w:r>
                                <w:rPr>
                                  <w:color w:val="164194"/>
                                  <w:sz w:val="28"/>
                                </w:rPr>
                                <w:t>reasons</w:t>
                              </w:r>
                              <w:r>
                                <w:rPr>
                                  <w:color w:val="164194"/>
                                  <w:spacing w:val="-8"/>
                                  <w:sz w:val="28"/>
                                </w:rPr>
                                <w:t> </w:t>
                              </w:r>
                              <w:r>
                                <w:rPr>
                                  <w:color w:val="164194"/>
                                  <w:sz w:val="28"/>
                                </w:rPr>
                                <w:t>adumbrated</w:t>
                              </w:r>
                              <w:r>
                                <w:rPr>
                                  <w:color w:val="164194"/>
                                  <w:spacing w:val="-8"/>
                                  <w:sz w:val="28"/>
                                </w:rPr>
                                <w:t> </w:t>
                              </w:r>
                              <w:r>
                                <w:rPr>
                                  <w:color w:val="164194"/>
                                  <w:sz w:val="28"/>
                                </w:rPr>
                                <w:t>in</w:t>
                              </w:r>
                              <w:r>
                                <w:rPr>
                                  <w:color w:val="164194"/>
                                  <w:spacing w:val="-8"/>
                                  <w:sz w:val="28"/>
                                </w:rPr>
                                <w:t> </w:t>
                              </w:r>
                              <w:r>
                                <w:rPr>
                                  <w:color w:val="164194"/>
                                  <w:sz w:val="28"/>
                                </w:rPr>
                                <w:t>paras</w:t>
                              </w:r>
                              <w:r>
                                <w:rPr>
                                  <w:color w:val="164194"/>
                                  <w:spacing w:val="-8"/>
                                  <w:sz w:val="28"/>
                                </w:rPr>
                                <w:t> </w:t>
                              </w:r>
                              <w:r>
                                <w:rPr>
                                  <w:color w:val="164194"/>
                                  <w:sz w:val="28"/>
                                </w:rPr>
                                <w:t>[31]–[32]</w:t>
                              </w:r>
                              <w:r>
                                <w:rPr>
                                  <w:color w:val="164194"/>
                                  <w:spacing w:val="-8"/>
                                  <w:sz w:val="28"/>
                                </w:rPr>
                                <w:t> </w:t>
                              </w:r>
                              <w:r>
                                <w:rPr>
                                  <w:color w:val="164194"/>
                                  <w:sz w:val="28"/>
                                </w:rPr>
                                <w:t>and</w:t>
                              </w:r>
                              <w:r>
                                <w:rPr>
                                  <w:color w:val="164194"/>
                                  <w:spacing w:val="-8"/>
                                  <w:sz w:val="28"/>
                                </w:rPr>
                                <w:t> </w:t>
                              </w:r>
                              <w:r>
                                <w:rPr>
                                  <w:color w:val="164194"/>
                                  <w:sz w:val="28"/>
                                </w:rPr>
                                <w:t>having</w:t>
                              </w:r>
                              <w:r>
                                <w:rPr>
                                  <w:color w:val="164194"/>
                                  <w:spacing w:val="-8"/>
                                  <w:sz w:val="28"/>
                                </w:rPr>
                                <w:t> </w:t>
                              </w:r>
                              <w:r>
                                <w:rPr>
                                  <w:color w:val="164194"/>
                                  <w:sz w:val="28"/>
                                </w:rPr>
                                <w:t>considered the further written submissions of the parties, we are not persuaded that</w:t>
                              </w:r>
                            </w:p>
                            <w:p>
                              <w:pPr>
                                <w:spacing w:line="232" w:lineRule="auto" w:before="0"/>
                                <w:ind w:left="340" w:right="196" w:firstLine="0"/>
                                <w:jc w:val="left"/>
                                <w:rPr>
                                  <w:sz w:val="28"/>
                                </w:rPr>
                              </w:pPr>
                              <w:r>
                                <w:rPr>
                                  <w:color w:val="164194"/>
                                  <w:sz w:val="28"/>
                                </w:rPr>
                                <w:t>the</w:t>
                              </w:r>
                              <w:r>
                                <w:rPr>
                                  <w:color w:val="164194"/>
                                  <w:spacing w:val="-7"/>
                                  <w:sz w:val="28"/>
                                </w:rPr>
                                <w:t> </w:t>
                              </w:r>
                              <w:r>
                                <w:rPr>
                                  <w:color w:val="164194"/>
                                  <w:sz w:val="28"/>
                                </w:rPr>
                                <w:t>decision</w:t>
                              </w:r>
                              <w:r>
                                <w:rPr>
                                  <w:color w:val="164194"/>
                                  <w:spacing w:val="-8"/>
                                  <w:sz w:val="28"/>
                                </w:rPr>
                                <w:t> </w:t>
                              </w:r>
                              <w:r>
                                <w:rPr>
                                  <w:color w:val="164194"/>
                                  <w:sz w:val="28"/>
                                </w:rPr>
                                <w:t>in</w:t>
                              </w:r>
                              <w:r>
                                <w:rPr>
                                  <w:color w:val="164194"/>
                                  <w:spacing w:val="-7"/>
                                  <w:sz w:val="28"/>
                                </w:rPr>
                                <w:t> </w:t>
                              </w:r>
                              <w:r>
                                <w:rPr>
                                  <w:i/>
                                  <w:color w:val="164194"/>
                                  <w:sz w:val="28"/>
                                </w:rPr>
                                <w:t>HK</w:t>
                              </w:r>
                              <w:r>
                                <w:rPr>
                                  <w:i/>
                                  <w:color w:val="164194"/>
                                  <w:spacing w:val="-8"/>
                                  <w:sz w:val="28"/>
                                </w:rPr>
                                <w:t> </w:t>
                              </w:r>
                              <w:r>
                                <w:rPr>
                                  <w:color w:val="164194"/>
                                  <w:sz w:val="28"/>
                                </w:rPr>
                                <w:t>lends</w:t>
                              </w:r>
                              <w:r>
                                <w:rPr>
                                  <w:color w:val="164194"/>
                                  <w:spacing w:val="-8"/>
                                  <w:sz w:val="28"/>
                                </w:rPr>
                                <w:t> </w:t>
                              </w:r>
                              <w:r>
                                <w:rPr>
                                  <w:color w:val="164194"/>
                                  <w:sz w:val="28"/>
                                </w:rPr>
                                <w:t>support</w:t>
                              </w:r>
                              <w:r>
                                <w:rPr>
                                  <w:color w:val="164194"/>
                                  <w:spacing w:val="-7"/>
                                  <w:sz w:val="28"/>
                                </w:rPr>
                                <w:t> </w:t>
                              </w:r>
                              <w:r>
                                <w:rPr>
                                  <w:color w:val="164194"/>
                                  <w:sz w:val="28"/>
                                </w:rPr>
                                <w:t>to</w:t>
                              </w:r>
                              <w:r>
                                <w:rPr>
                                  <w:color w:val="164194"/>
                                  <w:spacing w:val="-8"/>
                                  <w:sz w:val="28"/>
                                </w:rPr>
                                <w:t> </w:t>
                              </w:r>
                              <w:r>
                                <w:rPr>
                                  <w:color w:val="164194"/>
                                  <w:sz w:val="28"/>
                                </w:rPr>
                                <w:t>the</w:t>
                              </w:r>
                              <w:r>
                                <w:rPr>
                                  <w:color w:val="164194"/>
                                  <w:spacing w:val="-7"/>
                                  <w:sz w:val="28"/>
                                </w:rPr>
                                <w:t> </w:t>
                              </w:r>
                              <w:r>
                                <w:rPr>
                                  <w:color w:val="164194"/>
                                  <w:sz w:val="28"/>
                                </w:rPr>
                                <w:t>appellant’s</w:t>
                              </w:r>
                              <w:r>
                                <w:rPr>
                                  <w:color w:val="164194"/>
                                  <w:spacing w:val="-8"/>
                                  <w:sz w:val="28"/>
                                </w:rPr>
                                <w:t> </w:t>
                              </w:r>
                              <w:r>
                                <w:rPr>
                                  <w:color w:val="164194"/>
                                  <w:sz w:val="28"/>
                                </w:rPr>
                                <w:t>fundamental</w:t>
                              </w:r>
                              <w:r>
                                <w:rPr>
                                  <w:color w:val="164194"/>
                                  <w:spacing w:val="-8"/>
                                  <w:sz w:val="28"/>
                                </w:rPr>
                                <w:t> </w:t>
                              </w:r>
                              <w:r>
                                <w:rPr>
                                  <w:color w:val="164194"/>
                                  <w:sz w:val="28"/>
                                </w:rPr>
                                <w:t>contention, namely that Directive 2000/78 applied to the decision of the Alliance Party declining to nominate him as a party candidate in a forthcoming public </w:t>
                              </w:r>
                              <w:r>
                                <w:rPr>
                                  <w:color w:val="164194"/>
                                  <w:spacing w:val="-2"/>
                                  <w:sz w:val="28"/>
                                </w:rPr>
                                <w:t>election.’</w:t>
                              </w:r>
                              <w:r>
                                <w:rPr>
                                  <w:color w:val="164194"/>
                                  <w:spacing w:val="-2"/>
                                  <w:sz w:val="28"/>
                                  <w:vertAlign w:val="superscript"/>
                                </w:rPr>
                                <w:t>649</w:t>
                              </w:r>
                            </w:p>
                          </w:txbxContent>
                        </wps:txbx>
                        <wps:bodyPr wrap="square" lIns="0" tIns="0" rIns="0" bIns="0" rtlCol="0">
                          <a:noAutofit/>
                        </wps:bodyPr>
                      </wps:wsp>
                    </wpg:wgp>
                  </a:graphicData>
                </a:graphic>
              </wp:anchor>
            </w:drawing>
          </mc:Choice>
          <mc:Fallback>
            <w:pict>
              <v:group style="position:absolute;margin-left:51.023201pt;margin-top:13.461637pt;width:473.4pt;height:113.55pt;mso-position-horizontal-relative:page;mso-position-vertical-relative:paragraph;z-index:-15532544;mso-wrap-distance-left:0;mso-wrap-distance-right:0" id="docshapegroup847" coordorigin="1020,269" coordsize="9468,2271">
                <v:shape style="position:absolute;left:1020;top:269;width:9468;height:2271" id="docshape848" coordorigin="1020,269" coordsize="9468,2271" path="m10261,269l1247,269,1176,281,1113,313,1064,362,1032,424,1020,496,1020,2313,1032,2384,1064,2447,1113,2496,1176,2528,1247,2539,10261,2539,10333,2528,10395,2496,10444,2447,10477,2384,10488,2313,10488,496,10477,424,10444,362,10395,313,10333,281,10261,269xe" filled="true" fillcolor="#e9f3fc" stroked="false">
                  <v:path arrowok="t"/>
                  <v:fill type="solid"/>
                </v:shape>
                <v:shape style="position:absolute;left:1020;top:269;width:9468;height:2271" type="#_x0000_t202" id="docshape849" filled="false" stroked="false">
                  <v:textbox inset="0,0,0,0">
                    <w:txbxContent>
                      <w:p>
                        <w:pPr>
                          <w:spacing w:line="232" w:lineRule="auto" w:before="121"/>
                          <w:ind w:left="340" w:right="106" w:firstLine="0"/>
                          <w:jc w:val="left"/>
                          <w:rPr>
                            <w:sz w:val="28"/>
                          </w:rPr>
                        </w:pPr>
                        <w:r>
                          <w:rPr>
                            <w:color w:val="164194"/>
                            <w:sz w:val="28"/>
                          </w:rPr>
                          <w:t>‘For</w:t>
                        </w:r>
                        <w:r>
                          <w:rPr>
                            <w:color w:val="164194"/>
                            <w:spacing w:val="-8"/>
                            <w:sz w:val="28"/>
                          </w:rPr>
                          <w:t> </w:t>
                        </w:r>
                        <w:r>
                          <w:rPr>
                            <w:color w:val="164194"/>
                            <w:sz w:val="28"/>
                          </w:rPr>
                          <w:t>the</w:t>
                        </w:r>
                        <w:r>
                          <w:rPr>
                            <w:color w:val="164194"/>
                            <w:spacing w:val="-8"/>
                            <w:sz w:val="28"/>
                          </w:rPr>
                          <w:t> </w:t>
                        </w:r>
                        <w:r>
                          <w:rPr>
                            <w:color w:val="164194"/>
                            <w:sz w:val="28"/>
                          </w:rPr>
                          <w:t>assorted</w:t>
                        </w:r>
                        <w:r>
                          <w:rPr>
                            <w:color w:val="164194"/>
                            <w:spacing w:val="-8"/>
                            <w:sz w:val="28"/>
                          </w:rPr>
                          <w:t> </w:t>
                        </w:r>
                        <w:r>
                          <w:rPr>
                            <w:color w:val="164194"/>
                            <w:sz w:val="28"/>
                          </w:rPr>
                          <w:t>reasons</w:t>
                        </w:r>
                        <w:r>
                          <w:rPr>
                            <w:color w:val="164194"/>
                            <w:spacing w:val="-8"/>
                            <w:sz w:val="28"/>
                          </w:rPr>
                          <w:t> </w:t>
                        </w:r>
                        <w:r>
                          <w:rPr>
                            <w:color w:val="164194"/>
                            <w:sz w:val="28"/>
                          </w:rPr>
                          <w:t>adumbrated</w:t>
                        </w:r>
                        <w:r>
                          <w:rPr>
                            <w:color w:val="164194"/>
                            <w:spacing w:val="-8"/>
                            <w:sz w:val="28"/>
                          </w:rPr>
                          <w:t> </w:t>
                        </w:r>
                        <w:r>
                          <w:rPr>
                            <w:color w:val="164194"/>
                            <w:sz w:val="28"/>
                          </w:rPr>
                          <w:t>in</w:t>
                        </w:r>
                        <w:r>
                          <w:rPr>
                            <w:color w:val="164194"/>
                            <w:spacing w:val="-8"/>
                            <w:sz w:val="28"/>
                          </w:rPr>
                          <w:t> </w:t>
                        </w:r>
                        <w:r>
                          <w:rPr>
                            <w:color w:val="164194"/>
                            <w:sz w:val="28"/>
                          </w:rPr>
                          <w:t>paras</w:t>
                        </w:r>
                        <w:r>
                          <w:rPr>
                            <w:color w:val="164194"/>
                            <w:spacing w:val="-8"/>
                            <w:sz w:val="28"/>
                          </w:rPr>
                          <w:t> </w:t>
                        </w:r>
                        <w:r>
                          <w:rPr>
                            <w:color w:val="164194"/>
                            <w:sz w:val="28"/>
                          </w:rPr>
                          <w:t>[31]–[32]</w:t>
                        </w:r>
                        <w:r>
                          <w:rPr>
                            <w:color w:val="164194"/>
                            <w:spacing w:val="-8"/>
                            <w:sz w:val="28"/>
                          </w:rPr>
                          <w:t> </w:t>
                        </w:r>
                        <w:r>
                          <w:rPr>
                            <w:color w:val="164194"/>
                            <w:sz w:val="28"/>
                          </w:rPr>
                          <w:t>and</w:t>
                        </w:r>
                        <w:r>
                          <w:rPr>
                            <w:color w:val="164194"/>
                            <w:spacing w:val="-8"/>
                            <w:sz w:val="28"/>
                          </w:rPr>
                          <w:t> </w:t>
                        </w:r>
                        <w:r>
                          <w:rPr>
                            <w:color w:val="164194"/>
                            <w:sz w:val="28"/>
                          </w:rPr>
                          <w:t>having</w:t>
                        </w:r>
                        <w:r>
                          <w:rPr>
                            <w:color w:val="164194"/>
                            <w:spacing w:val="-8"/>
                            <w:sz w:val="28"/>
                          </w:rPr>
                          <w:t> </w:t>
                        </w:r>
                        <w:r>
                          <w:rPr>
                            <w:color w:val="164194"/>
                            <w:sz w:val="28"/>
                          </w:rPr>
                          <w:t>considered the further written submissions of the parties, we are not persuaded that</w:t>
                        </w:r>
                      </w:p>
                      <w:p>
                        <w:pPr>
                          <w:spacing w:line="232" w:lineRule="auto" w:before="0"/>
                          <w:ind w:left="340" w:right="196" w:firstLine="0"/>
                          <w:jc w:val="left"/>
                          <w:rPr>
                            <w:sz w:val="28"/>
                          </w:rPr>
                        </w:pPr>
                        <w:r>
                          <w:rPr>
                            <w:color w:val="164194"/>
                            <w:sz w:val="28"/>
                          </w:rPr>
                          <w:t>the</w:t>
                        </w:r>
                        <w:r>
                          <w:rPr>
                            <w:color w:val="164194"/>
                            <w:spacing w:val="-7"/>
                            <w:sz w:val="28"/>
                          </w:rPr>
                          <w:t> </w:t>
                        </w:r>
                        <w:r>
                          <w:rPr>
                            <w:color w:val="164194"/>
                            <w:sz w:val="28"/>
                          </w:rPr>
                          <w:t>decision</w:t>
                        </w:r>
                        <w:r>
                          <w:rPr>
                            <w:color w:val="164194"/>
                            <w:spacing w:val="-8"/>
                            <w:sz w:val="28"/>
                          </w:rPr>
                          <w:t> </w:t>
                        </w:r>
                        <w:r>
                          <w:rPr>
                            <w:color w:val="164194"/>
                            <w:sz w:val="28"/>
                          </w:rPr>
                          <w:t>in</w:t>
                        </w:r>
                        <w:r>
                          <w:rPr>
                            <w:color w:val="164194"/>
                            <w:spacing w:val="-7"/>
                            <w:sz w:val="28"/>
                          </w:rPr>
                          <w:t> </w:t>
                        </w:r>
                        <w:r>
                          <w:rPr>
                            <w:i/>
                            <w:color w:val="164194"/>
                            <w:sz w:val="28"/>
                          </w:rPr>
                          <w:t>HK</w:t>
                        </w:r>
                        <w:r>
                          <w:rPr>
                            <w:i/>
                            <w:color w:val="164194"/>
                            <w:spacing w:val="-8"/>
                            <w:sz w:val="28"/>
                          </w:rPr>
                          <w:t> </w:t>
                        </w:r>
                        <w:r>
                          <w:rPr>
                            <w:color w:val="164194"/>
                            <w:sz w:val="28"/>
                          </w:rPr>
                          <w:t>lends</w:t>
                        </w:r>
                        <w:r>
                          <w:rPr>
                            <w:color w:val="164194"/>
                            <w:spacing w:val="-8"/>
                            <w:sz w:val="28"/>
                          </w:rPr>
                          <w:t> </w:t>
                        </w:r>
                        <w:r>
                          <w:rPr>
                            <w:color w:val="164194"/>
                            <w:sz w:val="28"/>
                          </w:rPr>
                          <w:t>support</w:t>
                        </w:r>
                        <w:r>
                          <w:rPr>
                            <w:color w:val="164194"/>
                            <w:spacing w:val="-7"/>
                            <w:sz w:val="28"/>
                          </w:rPr>
                          <w:t> </w:t>
                        </w:r>
                        <w:r>
                          <w:rPr>
                            <w:color w:val="164194"/>
                            <w:sz w:val="28"/>
                          </w:rPr>
                          <w:t>to</w:t>
                        </w:r>
                        <w:r>
                          <w:rPr>
                            <w:color w:val="164194"/>
                            <w:spacing w:val="-8"/>
                            <w:sz w:val="28"/>
                          </w:rPr>
                          <w:t> </w:t>
                        </w:r>
                        <w:r>
                          <w:rPr>
                            <w:color w:val="164194"/>
                            <w:sz w:val="28"/>
                          </w:rPr>
                          <w:t>the</w:t>
                        </w:r>
                        <w:r>
                          <w:rPr>
                            <w:color w:val="164194"/>
                            <w:spacing w:val="-7"/>
                            <w:sz w:val="28"/>
                          </w:rPr>
                          <w:t> </w:t>
                        </w:r>
                        <w:r>
                          <w:rPr>
                            <w:color w:val="164194"/>
                            <w:sz w:val="28"/>
                          </w:rPr>
                          <w:t>appellant’s</w:t>
                        </w:r>
                        <w:r>
                          <w:rPr>
                            <w:color w:val="164194"/>
                            <w:spacing w:val="-8"/>
                            <w:sz w:val="28"/>
                          </w:rPr>
                          <w:t> </w:t>
                        </w:r>
                        <w:r>
                          <w:rPr>
                            <w:color w:val="164194"/>
                            <w:sz w:val="28"/>
                          </w:rPr>
                          <w:t>fundamental</w:t>
                        </w:r>
                        <w:r>
                          <w:rPr>
                            <w:color w:val="164194"/>
                            <w:spacing w:val="-8"/>
                            <w:sz w:val="28"/>
                          </w:rPr>
                          <w:t> </w:t>
                        </w:r>
                        <w:r>
                          <w:rPr>
                            <w:color w:val="164194"/>
                            <w:sz w:val="28"/>
                          </w:rPr>
                          <w:t>contention, namely that Directive 2000/78 applied to the decision of the Alliance Party declining to nominate him as a party candidate in a forthcoming public </w:t>
                        </w:r>
                        <w:r>
                          <w:rPr>
                            <w:color w:val="164194"/>
                            <w:spacing w:val="-2"/>
                            <w:sz w:val="28"/>
                          </w:rPr>
                          <w:t>election.’</w:t>
                        </w:r>
                        <w:r>
                          <w:rPr>
                            <w:color w:val="164194"/>
                            <w:spacing w:val="-2"/>
                            <w:sz w:val="28"/>
                            <w:vertAlign w:val="superscript"/>
                          </w:rPr>
                          <w:t>649</w:t>
                        </w:r>
                      </w:p>
                    </w:txbxContent>
                  </v:textbox>
                  <w10:wrap type="none"/>
                </v:shape>
                <w10:wrap type="topAndBottom"/>
              </v:group>
            </w:pict>
          </mc:Fallback>
        </mc:AlternateContent>
      </w:r>
    </w:p>
    <w:p>
      <w:pPr>
        <w:pStyle w:val="BodyText"/>
        <w:spacing w:line="232" w:lineRule="auto" w:before="228"/>
        <w:ind w:left="720" w:right="1087"/>
      </w:pPr>
      <w:r>
        <w:rPr/>
        <w:t>As such, these judgments remain highly important in tracking developments considering the dynamic alignment requirement of Annex 1 Directives. As noted above,</w:t>
      </w:r>
      <w:r>
        <w:rPr>
          <w:spacing w:val="-3"/>
        </w:rPr>
        <w:t> </w:t>
      </w:r>
      <w:r>
        <w:rPr/>
        <w:t>a</w:t>
      </w:r>
      <w:r>
        <w:rPr>
          <w:spacing w:val="-4"/>
        </w:rPr>
        <w:t> </w:t>
      </w:r>
      <w:r>
        <w:rPr/>
        <w:t>narrow</w:t>
      </w:r>
      <w:r>
        <w:rPr>
          <w:spacing w:val="-3"/>
        </w:rPr>
        <w:t> </w:t>
      </w:r>
      <w:r>
        <w:rPr/>
        <w:t>reading</w:t>
      </w:r>
      <w:r>
        <w:rPr>
          <w:spacing w:val="-3"/>
        </w:rPr>
        <w:t> </w:t>
      </w:r>
      <w:r>
        <w:rPr/>
        <w:t>was</w:t>
      </w:r>
      <w:r>
        <w:rPr>
          <w:spacing w:val="-4"/>
        </w:rPr>
        <w:t> </w:t>
      </w:r>
      <w:r>
        <w:rPr/>
        <w:t>taken</w:t>
      </w:r>
      <w:r>
        <w:rPr>
          <w:spacing w:val="-4"/>
        </w:rPr>
        <w:t> </w:t>
      </w:r>
      <w:r>
        <w:rPr/>
        <w:t>by</w:t>
      </w:r>
      <w:r>
        <w:rPr>
          <w:spacing w:val="-3"/>
        </w:rPr>
        <w:t> </w:t>
      </w:r>
      <w:r>
        <w:rPr/>
        <w:t>the</w:t>
      </w:r>
      <w:r>
        <w:rPr>
          <w:spacing w:val="-3"/>
        </w:rPr>
        <w:t> </w:t>
      </w:r>
      <w:r>
        <w:rPr/>
        <w:t>Northern</w:t>
      </w:r>
      <w:r>
        <w:rPr>
          <w:spacing w:val="-4"/>
        </w:rPr>
        <w:t> </w:t>
      </w:r>
      <w:r>
        <w:rPr/>
        <w:t>Ireland</w:t>
      </w:r>
      <w:r>
        <w:rPr>
          <w:spacing w:val="-4"/>
        </w:rPr>
        <w:t> </w:t>
      </w:r>
      <w:r>
        <w:rPr/>
        <w:t>Court</w:t>
      </w:r>
      <w:r>
        <w:rPr>
          <w:spacing w:val="-3"/>
        </w:rPr>
        <w:t> </w:t>
      </w:r>
      <w:r>
        <w:rPr/>
        <w:t>of</w:t>
      </w:r>
      <w:r>
        <w:rPr>
          <w:spacing w:val="-4"/>
        </w:rPr>
        <w:t> </w:t>
      </w:r>
      <w:r>
        <w:rPr/>
        <w:t>Appeal</w:t>
      </w:r>
      <w:r>
        <w:rPr>
          <w:spacing w:val="-4"/>
        </w:rPr>
        <w:t> </w:t>
      </w:r>
      <w:r>
        <w:rPr/>
        <w:t>and</w:t>
      </w:r>
      <w:r>
        <w:rPr>
          <w:spacing w:val="-4"/>
        </w:rPr>
        <w:t> </w:t>
      </w:r>
      <w:r>
        <w:rPr/>
        <w:t>it would</w:t>
      </w:r>
      <w:r>
        <w:rPr>
          <w:spacing w:val="-7"/>
        </w:rPr>
        <w:t> </w:t>
      </w:r>
      <w:r>
        <w:rPr/>
        <w:t>be</w:t>
      </w:r>
      <w:r>
        <w:rPr>
          <w:spacing w:val="-6"/>
        </w:rPr>
        <w:t> </w:t>
      </w:r>
      <w:r>
        <w:rPr/>
        <w:t>important</w:t>
      </w:r>
      <w:r>
        <w:rPr>
          <w:spacing w:val="-6"/>
        </w:rPr>
        <w:t> </w:t>
      </w:r>
      <w:r>
        <w:rPr/>
        <w:t>to</w:t>
      </w:r>
      <w:r>
        <w:rPr>
          <w:spacing w:val="-7"/>
        </w:rPr>
        <w:t> </w:t>
      </w:r>
      <w:r>
        <w:rPr/>
        <w:t>track</w:t>
      </w:r>
      <w:r>
        <w:rPr>
          <w:spacing w:val="-6"/>
        </w:rPr>
        <w:t> </w:t>
      </w:r>
      <w:r>
        <w:rPr/>
        <w:t>the</w:t>
      </w:r>
      <w:r>
        <w:rPr>
          <w:spacing w:val="-6"/>
        </w:rPr>
        <w:t> </w:t>
      </w:r>
      <w:r>
        <w:rPr/>
        <w:t>development</w:t>
      </w:r>
      <w:r>
        <w:rPr>
          <w:spacing w:val="-6"/>
        </w:rPr>
        <w:t> </w:t>
      </w:r>
      <w:r>
        <w:rPr/>
        <w:t>of</w:t>
      </w:r>
      <w:r>
        <w:rPr>
          <w:spacing w:val="-7"/>
        </w:rPr>
        <w:t> </w:t>
      </w:r>
      <w:r>
        <w:rPr/>
        <w:t>this</w:t>
      </w:r>
      <w:r>
        <w:rPr>
          <w:spacing w:val="-7"/>
        </w:rPr>
        <w:t> </w:t>
      </w:r>
      <w:r>
        <w:rPr/>
        <w:t>interpretation</w:t>
      </w:r>
      <w:r>
        <w:rPr>
          <w:spacing w:val="-7"/>
        </w:rPr>
        <w:t> </w:t>
      </w:r>
      <w:r>
        <w:rPr/>
        <w:t>(in</w:t>
      </w:r>
      <w:r>
        <w:rPr>
          <w:spacing w:val="-7"/>
        </w:rPr>
        <w:t> </w:t>
      </w:r>
      <w:r>
        <w:rPr/>
        <w:t>light</w:t>
      </w:r>
      <w:r>
        <w:rPr>
          <w:spacing w:val="-6"/>
        </w:rPr>
        <w:t> </w:t>
      </w:r>
      <w:r>
        <w:rPr/>
        <w:t>of</w:t>
      </w:r>
      <w:r>
        <w:rPr>
          <w:spacing w:val="-7"/>
        </w:rPr>
        <w:t> </w:t>
      </w:r>
      <w:r>
        <w:rPr/>
        <w:t>the CJEU judgment) in the coming years ahead.</w:t>
      </w:r>
    </w:p>
    <w:p>
      <w:pPr>
        <w:pStyle w:val="BodyText"/>
        <w:spacing w:before="49"/>
      </w:pPr>
    </w:p>
    <w:p>
      <w:pPr>
        <w:pStyle w:val="ListParagraph"/>
        <w:numPr>
          <w:ilvl w:val="3"/>
          <w:numId w:val="52"/>
        </w:numPr>
        <w:tabs>
          <w:tab w:pos="1563" w:val="left" w:leader="none"/>
        </w:tabs>
        <w:spacing w:line="240" w:lineRule="auto" w:before="0" w:after="0"/>
        <w:ind w:left="720" w:right="1731" w:firstLine="0"/>
        <w:jc w:val="left"/>
        <w:rPr>
          <w:sz w:val="28"/>
        </w:rPr>
      </w:pPr>
      <w:r>
        <w:rPr>
          <w:color w:val="004A93"/>
          <w:sz w:val="28"/>
        </w:rPr>
        <w:t>Thematic</w:t>
      </w:r>
      <w:r>
        <w:rPr>
          <w:color w:val="004A93"/>
          <w:spacing w:val="-8"/>
          <w:sz w:val="28"/>
        </w:rPr>
        <w:t> </w:t>
      </w:r>
      <w:r>
        <w:rPr>
          <w:color w:val="004A93"/>
          <w:sz w:val="28"/>
        </w:rPr>
        <w:t>Area:</w:t>
      </w:r>
      <w:r>
        <w:rPr>
          <w:color w:val="004A93"/>
          <w:spacing w:val="-8"/>
          <w:sz w:val="28"/>
        </w:rPr>
        <w:t> </w:t>
      </w:r>
      <w:r>
        <w:rPr>
          <w:color w:val="004A93"/>
          <w:sz w:val="28"/>
        </w:rPr>
        <w:t>Employment</w:t>
      </w:r>
      <w:r>
        <w:rPr>
          <w:color w:val="004A93"/>
          <w:spacing w:val="-8"/>
          <w:sz w:val="28"/>
        </w:rPr>
        <w:t> </w:t>
      </w:r>
      <w:r>
        <w:rPr>
          <w:color w:val="004A93"/>
          <w:sz w:val="28"/>
        </w:rPr>
        <w:t>with</w:t>
      </w:r>
      <w:r>
        <w:rPr>
          <w:color w:val="004A93"/>
          <w:spacing w:val="-9"/>
          <w:sz w:val="28"/>
        </w:rPr>
        <w:t> </w:t>
      </w:r>
      <w:r>
        <w:rPr>
          <w:color w:val="004A93"/>
          <w:sz w:val="28"/>
        </w:rPr>
        <w:t>a</w:t>
      </w:r>
      <w:r>
        <w:rPr>
          <w:color w:val="004A93"/>
          <w:spacing w:val="-9"/>
          <w:sz w:val="28"/>
        </w:rPr>
        <w:t> </w:t>
      </w:r>
      <w:r>
        <w:rPr>
          <w:color w:val="004A93"/>
          <w:sz w:val="28"/>
        </w:rPr>
        <w:t>specific</w:t>
      </w:r>
      <w:r>
        <w:rPr>
          <w:color w:val="004A93"/>
          <w:spacing w:val="-8"/>
          <w:sz w:val="28"/>
        </w:rPr>
        <w:t> </w:t>
      </w:r>
      <w:r>
        <w:rPr>
          <w:color w:val="004A93"/>
          <w:sz w:val="28"/>
        </w:rPr>
        <w:t>focus</w:t>
      </w:r>
      <w:r>
        <w:rPr>
          <w:color w:val="004A93"/>
          <w:spacing w:val="-9"/>
          <w:sz w:val="28"/>
        </w:rPr>
        <w:t> </w:t>
      </w:r>
      <w:r>
        <w:rPr>
          <w:color w:val="004A93"/>
          <w:sz w:val="28"/>
        </w:rPr>
        <w:t>on</w:t>
      </w:r>
      <w:r>
        <w:rPr>
          <w:color w:val="004A93"/>
          <w:spacing w:val="-9"/>
          <w:sz w:val="28"/>
        </w:rPr>
        <w:t> </w:t>
      </w:r>
      <w:r>
        <w:rPr>
          <w:color w:val="004A93"/>
          <w:sz w:val="28"/>
        </w:rPr>
        <w:t>sexual</w:t>
      </w:r>
      <w:r>
        <w:rPr>
          <w:color w:val="004A93"/>
          <w:spacing w:val="-9"/>
          <w:sz w:val="28"/>
        </w:rPr>
        <w:t> </w:t>
      </w:r>
      <w:r>
        <w:rPr>
          <w:color w:val="004A93"/>
          <w:sz w:val="28"/>
        </w:rPr>
        <w:t>orientation </w:t>
      </w:r>
      <w:r>
        <w:rPr>
          <w:color w:val="004A93"/>
          <w:spacing w:val="-2"/>
          <w:sz w:val="28"/>
        </w:rPr>
        <w:t>discrimination</w:t>
      </w:r>
    </w:p>
    <w:p>
      <w:pPr>
        <w:pStyle w:val="BodyText"/>
        <w:spacing w:line="232" w:lineRule="auto"/>
        <w:ind w:left="720" w:right="1087"/>
      </w:pPr>
      <w:r>
        <w:rPr/>
        <w:t>The ruling in </w:t>
      </w:r>
      <w:r>
        <w:rPr>
          <w:b/>
          <w:i/>
        </w:rPr>
        <w:t>J.K. v TP S.A</w:t>
      </w:r>
      <w:r>
        <w:rPr>
          <w:i/>
        </w:rPr>
        <w:t>.</w:t>
      </w:r>
      <w:r>
        <w:rPr>
          <w:vertAlign w:val="superscript"/>
        </w:rPr>
        <w:t>650</w:t>
      </w:r>
      <w:r>
        <w:rPr>
          <w:vertAlign w:val="baseline"/>
        </w:rPr>
        <w:t> arguably has significant and broader implications for the</w:t>
      </w:r>
      <w:r>
        <w:rPr>
          <w:spacing w:val="-5"/>
          <w:vertAlign w:val="baseline"/>
        </w:rPr>
        <w:t> </w:t>
      </w:r>
      <w:r>
        <w:rPr>
          <w:vertAlign w:val="baseline"/>
        </w:rPr>
        <w:t>development</w:t>
      </w:r>
      <w:r>
        <w:rPr>
          <w:spacing w:val="-5"/>
          <w:vertAlign w:val="baseline"/>
        </w:rPr>
        <w:t> </w:t>
      </w:r>
      <w:r>
        <w:rPr>
          <w:vertAlign w:val="baseline"/>
        </w:rPr>
        <w:t>of</w:t>
      </w:r>
      <w:r>
        <w:rPr>
          <w:spacing w:val="-6"/>
          <w:vertAlign w:val="baseline"/>
        </w:rPr>
        <w:t> </w:t>
      </w:r>
      <w:r>
        <w:rPr>
          <w:vertAlign w:val="baseline"/>
        </w:rPr>
        <w:t>the</w:t>
      </w:r>
      <w:r>
        <w:rPr>
          <w:spacing w:val="-5"/>
          <w:vertAlign w:val="baseline"/>
        </w:rPr>
        <w:t> </w:t>
      </w:r>
      <w:r>
        <w:rPr>
          <w:vertAlign w:val="baseline"/>
        </w:rPr>
        <w:t>scope</w:t>
      </w:r>
      <w:r>
        <w:rPr>
          <w:spacing w:val="-5"/>
          <w:vertAlign w:val="baseline"/>
        </w:rPr>
        <w:t> </w:t>
      </w:r>
      <w:r>
        <w:rPr>
          <w:vertAlign w:val="baseline"/>
        </w:rPr>
        <w:t>of</w:t>
      </w:r>
      <w:r>
        <w:rPr>
          <w:spacing w:val="-6"/>
          <w:vertAlign w:val="baseline"/>
        </w:rPr>
        <w:t> </w:t>
      </w:r>
      <w:r>
        <w:rPr>
          <w:vertAlign w:val="baseline"/>
        </w:rPr>
        <w:t>the</w:t>
      </w:r>
      <w:r>
        <w:rPr>
          <w:spacing w:val="-5"/>
          <w:vertAlign w:val="baseline"/>
        </w:rPr>
        <w:t> </w:t>
      </w:r>
      <w:r>
        <w:rPr>
          <w:vertAlign w:val="baseline"/>
        </w:rPr>
        <w:t>non-discrimination</w:t>
      </w:r>
      <w:r>
        <w:rPr>
          <w:spacing w:val="-6"/>
          <w:vertAlign w:val="baseline"/>
        </w:rPr>
        <w:t> </w:t>
      </w:r>
      <w:r>
        <w:rPr>
          <w:vertAlign w:val="baseline"/>
        </w:rPr>
        <w:t>provisions</w:t>
      </w:r>
      <w:r>
        <w:rPr>
          <w:spacing w:val="-6"/>
          <w:vertAlign w:val="baseline"/>
        </w:rPr>
        <w:t> </w:t>
      </w:r>
      <w:r>
        <w:rPr>
          <w:vertAlign w:val="baseline"/>
        </w:rPr>
        <w:t>on</w:t>
      </w:r>
      <w:r>
        <w:rPr>
          <w:spacing w:val="-6"/>
          <w:vertAlign w:val="baseline"/>
        </w:rPr>
        <w:t> </w:t>
      </w:r>
      <w:r>
        <w:rPr>
          <w:vertAlign w:val="baseline"/>
        </w:rPr>
        <w:t>the</w:t>
      </w:r>
      <w:r>
        <w:rPr>
          <w:spacing w:val="-5"/>
          <w:vertAlign w:val="baseline"/>
        </w:rPr>
        <w:t> </w:t>
      </w:r>
      <w:r>
        <w:rPr>
          <w:vertAlign w:val="baseline"/>
        </w:rPr>
        <w:t>grounds of sexual orientation, contained within Directive 2000/78 on equal treatment in employment and occupation.</w:t>
      </w:r>
    </w:p>
    <w:p>
      <w:pPr>
        <w:pStyle w:val="BodyText"/>
        <w:spacing w:line="232" w:lineRule="auto" w:before="272"/>
        <w:ind w:left="720" w:right="1170"/>
      </w:pPr>
      <w:r>
        <w:rPr/>
        <w:t>The first significant element to note with regards to this case was that it substantially confirmed the personal scope of application of Directive 2000/78/EC insofar as the prohibition of discrimination on the grounds of sexual orientation extends to self-employed workers where that relationship was ‘in the context of a legal relationship characterised by a degree of stability’.</w:t>
      </w:r>
      <w:r>
        <w:rPr>
          <w:vertAlign w:val="superscript"/>
        </w:rPr>
        <w:t>651</w:t>
      </w:r>
      <w:r>
        <w:rPr>
          <w:vertAlign w:val="baseline"/>
        </w:rPr>
        <w:t> The applicant was self- employed but had been contracted to complete audio-visual work on a series of short-term contracts spanning over the course of 7 years. The applicant’s regular monthly shifts were cancelled, and no further contracts provided following the release</w:t>
      </w:r>
      <w:r>
        <w:rPr>
          <w:spacing w:val="-4"/>
          <w:vertAlign w:val="baseline"/>
        </w:rPr>
        <w:t> </w:t>
      </w:r>
      <w:r>
        <w:rPr>
          <w:vertAlign w:val="baseline"/>
        </w:rPr>
        <w:t>of</w:t>
      </w:r>
      <w:r>
        <w:rPr>
          <w:spacing w:val="-5"/>
          <w:vertAlign w:val="baseline"/>
        </w:rPr>
        <w:t> </w:t>
      </w:r>
      <w:r>
        <w:rPr>
          <w:vertAlign w:val="baseline"/>
        </w:rPr>
        <w:t>a</w:t>
      </w:r>
      <w:r>
        <w:rPr>
          <w:spacing w:val="-5"/>
          <w:vertAlign w:val="baseline"/>
        </w:rPr>
        <w:t> </w:t>
      </w:r>
      <w:r>
        <w:rPr>
          <w:vertAlign w:val="baseline"/>
        </w:rPr>
        <w:t>video</w:t>
      </w:r>
      <w:r>
        <w:rPr>
          <w:spacing w:val="-5"/>
          <w:vertAlign w:val="baseline"/>
        </w:rPr>
        <w:t> </w:t>
      </w:r>
      <w:r>
        <w:rPr>
          <w:vertAlign w:val="baseline"/>
        </w:rPr>
        <w:t>promoting</w:t>
      </w:r>
      <w:r>
        <w:rPr>
          <w:spacing w:val="-4"/>
          <w:vertAlign w:val="baseline"/>
        </w:rPr>
        <w:t> </w:t>
      </w:r>
      <w:r>
        <w:rPr>
          <w:vertAlign w:val="baseline"/>
        </w:rPr>
        <w:t>same-sex</w:t>
      </w:r>
      <w:r>
        <w:rPr>
          <w:spacing w:val="-5"/>
          <w:vertAlign w:val="baseline"/>
        </w:rPr>
        <w:t> </w:t>
      </w:r>
      <w:r>
        <w:rPr>
          <w:vertAlign w:val="baseline"/>
        </w:rPr>
        <w:t>couples,</w:t>
      </w:r>
      <w:r>
        <w:rPr>
          <w:spacing w:val="-4"/>
          <w:vertAlign w:val="baseline"/>
        </w:rPr>
        <w:t> </w:t>
      </w:r>
      <w:r>
        <w:rPr>
          <w:vertAlign w:val="baseline"/>
        </w:rPr>
        <w:t>with</w:t>
      </w:r>
      <w:r>
        <w:rPr>
          <w:spacing w:val="-5"/>
          <w:vertAlign w:val="baseline"/>
        </w:rPr>
        <w:t> </w:t>
      </w:r>
      <w:r>
        <w:rPr>
          <w:vertAlign w:val="baseline"/>
        </w:rPr>
        <w:t>the</w:t>
      </w:r>
      <w:r>
        <w:rPr>
          <w:spacing w:val="-4"/>
          <w:vertAlign w:val="baseline"/>
        </w:rPr>
        <w:t> </w:t>
      </w:r>
      <w:r>
        <w:rPr>
          <w:vertAlign w:val="baseline"/>
        </w:rPr>
        <w:t>applicant</w:t>
      </w:r>
      <w:r>
        <w:rPr>
          <w:spacing w:val="-4"/>
          <w:vertAlign w:val="baseline"/>
        </w:rPr>
        <w:t> </w:t>
      </w:r>
      <w:r>
        <w:rPr>
          <w:vertAlign w:val="baseline"/>
        </w:rPr>
        <w:t>alleging</w:t>
      </w:r>
      <w:r>
        <w:rPr>
          <w:spacing w:val="-4"/>
          <w:vertAlign w:val="baseline"/>
        </w:rPr>
        <w:t> </w:t>
      </w:r>
      <w:r>
        <w:rPr>
          <w:vertAlign w:val="baseline"/>
        </w:rPr>
        <w:t>this</w:t>
      </w:r>
      <w:r>
        <w:rPr>
          <w:spacing w:val="-5"/>
          <w:vertAlign w:val="baseline"/>
        </w:rPr>
        <w:t> </w:t>
      </w:r>
      <w:r>
        <w:rPr>
          <w:vertAlign w:val="baseline"/>
        </w:rPr>
        <w:t>was due to discrimination on the basis of sexual orientation.</w:t>
      </w:r>
    </w:p>
    <w:p>
      <w:pPr>
        <w:pStyle w:val="BodyText"/>
        <w:spacing w:line="232" w:lineRule="auto" w:before="268"/>
        <w:ind w:left="720" w:right="1587"/>
      </w:pPr>
      <w:r>
        <w:rPr/>
        <w:t>The next question for the Court to determine was whether the issue at hand fell</w:t>
      </w:r>
      <w:r>
        <w:rPr>
          <w:spacing w:val="-5"/>
        </w:rPr>
        <w:t> </w:t>
      </w:r>
      <w:r>
        <w:rPr/>
        <w:t>within</w:t>
      </w:r>
      <w:r>
        <w:rPr>
          <w:spacing w:val="-5"/>
        </w:rPr>
        <w:t> </w:t>
      </w:r>
      <w:r>
        <w:rPr/>
        <w:t>the</w:t>
      </w:r>
      <w:r>
        <w:rPr>
          <w:spacing w:val="-4"/>
        </w:rPr>
        <w:t> </w:t>
      </w:r>
      <w:r>
        <w:rPr/>
        <w:t>material</w:t>
      </w:r>
      <w:r>
        <w:rPr>
          <w:spacing w:val="-5"/>
        </w:rPr>
        <w:t> </w:t>
      </w:r>
      <w:r>
        <w:rPr/>
        <w:t>scope</w:t>
      </w:r>
      <w:r>
        <w:rPr>
          <w:spacing w:val="-4"/>
        </w:rPr>
        <w:t> </w:t>
      </w:r>
      <w:r>
        <w:rPr/>
        <w:t>of</w:t>
      </w:r>
      <w:r>
        <w:rPr>
          <w:spacing w:val="-5"/>
        </w:rPr>
        <w:t> </w:t>
      </w:r>
      <w:r>
        <w:rPr/>
        <w:t>Article</w:t>
      </w:r>
      <w:r>
        <w:rPr>
          <w:spacing w:val="-4"/>
        </w:rPr>
        <w:t> </w:t>
      </w:r>
      <w:r>
        <w:rPr/>
        <w:t>3(1)(a)</w:t>
      </w:r>
      <w:r>
        <w:rPr>
          <w:spacing w:val="-5"/>
        </w:rPr>
        <w:t> </w:t>
      </w:r>
      <w:r>
        <w:rPr/>
        <w:t>and</w:t>
      </w:r>
      <w:r>
        <w:rPr>
          <w:spacing w:val="-5"/>
        </w:rPr>
        <w:t> </w:t>
      </w:r>
      <w:r>
        <w:rPr/>
        <w:t>(c)</w:t>
      </w:r>
      <w:r>
        <w:rPr>
          <w:spacing w:val="-5"/>
        </w:rPr>
        <w:t> </w:t>
      </w:r>
      <w:r>
        <w:rPr/>
        <w:t>of</w:t>
      </w:r>
      <w:r>
        <w:rPr>
          <w:spacing w:val="-5"/>
        </w:rPr>
        <w:t> </w:t>
      </w:r>
      <w:r>
        <w:rPr/>
        <w:t>Directive</w:t>
      </w:r>
      <w:r>
        <w:rPr>
          <w:spacing w:val="-4"/>
        </w:rPr>
        <w:t> </w:t>
      </w:r>
      <w:r>
        <w:rPr/>
        <w:t>2000/78,</w:t>
      </w:r>
      <w:r>
        <w:rPr>
          <w:spacing w:val="-4"/>
        </w:rPr>
        <w:t> </w:t>
      </w:r>
      <w:r>
        <w:rPr/>
        <w:t>and whether the Polish law was incompatible with EU law provisions.</w:t>
      </w:r>
    </w:p>
    <w:p>
      <w:pPr>
        <w:pStyle w:val="BodyText"/>
        <w:spacing w:before="15"/>
        <w:rPr>
          <w:sz w:val="20"/>
        </w:rPr>
      </w:pPr>
      <w:r>
        <w:rPr/>
        <mc:AlternateContent>
          <mc:Choice Requires="wps">
            <w:drawing>
              <wp:anchor distT="0" distB="0" distL="0" distR="0" allowOverlap="1" layoutInCell="1" locked="0" behindDoc="1" simplePos="0" relativeHeight="487784448">
                <wp:simplePos x="0" y="0"/>
                <wp:positionH relativeFrom="page">
                  <wp:posOffset>647999</wp:posOffset>
                </wp:positionH>
                <wp:positionV relativeFrom="paragraph">
                  <wp:posOffset>179870</wp:posOffset>
                </wp:positionV>
                <wp:extent cx="6012180" cy="1270"/>
                <wp:effectExtent l="0" t="0" r="0" b="0"/>
                <wp:wrapTopAndBottom/>
                <wp:docPr id="1033" name="Graphic 1033"/>
                <wp:cNvGraphicFramePr>
                  <a:graphicFrameLocks/>
                </wp:cNvGraphicFramePr>
                <a:graphic>
                  <a:graphicData uri="http://schemas.microsoft.com/office/word/2010/wordprocessingShape">
                    <wps:wsp>
                      <wps:cNvPr id="1033" name="Graphic 103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4.163003pt;width:473.4pt;height:.1pt;mso-position-horizontal-relative:page;mso-position-vertical-relative:paragraph;z-index:-15532032;mso-wrap-distance-left:0;mso-wrap-distance-right:0" id="docshape850" coordorigin="1020,283" coordsize="9468,0" path="m1020,283l10488,283e" filled="false" stroked="true" strokeweight=".5pt" strokecolor="#36a9e1">
                <v:path arrowok="t"/>
                <v:stroke dashstyle="solid"/>
                <w10:wrap type="topAndBottom"/>
              </v:shape>
            </w:pict>
          </mc:Fallback>
        </mc:AlternateContent>
      </w:r>
    </w:p>
    <w:p>
      <w:pPr>
        <w:pStyle w:val="ListParagraph"/>
        <w:numPr>
          <w:ilvl w:val="0"/>
          <w:numId w:val="51"/>
        </w:numPr>
        <w:tabs>
          <w:tab w:pos="1287" w:val="left" w:leader="none"/>
        </w:tabs>
        <w:spacing w:line="240" w:lineRule="auto" w:before="43" w:after="0"/>
        <w:ind w:left="1287" w:right="0" w:hanging="567"/>
        <w:jc w:val="left"/>
        <w:rPr>
          <w:sz w:val="18"/>
        </w:rPr>
      </w:pPr>
      <w:r>
        <w:rPr>
          <w:color w:val="1D71B8"/>
          <w:sz w:val="18"/>
          <w:u w:val="single" w:color="1D71B8"/>
        </w:rPr>
        <w:t>Geoffrey</w:t>
      </w:r>
      <w:r>
        <w:rPr>
          <w:color w:val="1D71B8"/>
          <w:spacing w:val="-5"/>
          <w:sz w:val="18"/>
          <w:u w:val="single" w:color="1D71B8"/>
        </w:rPr>
        <w:t> </w:t>
      </w:r>
      <w:r>
        <w:rPr>
          <w:color w:val="1D71B8"/>
          <w:sz w:val="18"/>
          <w:u w:val="single" w:color="1D71B8"/>
        </w:rPr>
        <w:t>Wilson</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Alliance</w:t>
      </w:r>
      <w:r>
        <w:rPr>
          <w:color w:val="1D71B8"/>
          <w:spacing w:val="-5"/>
          <w:sz w:val="18"/>
          <w:u w:val="single" w:color="1D71B8"/>
        </w:rPr>
        <w:t> </w:t>
      </w:r>
      <w:r>
        <w:rPr>
          <w:color w:val="1D71B8"/>
          <w:sz w:val="18"/>
          <w:u w:val="single" w:color="1D71B8"/>
        </w:rPr>
        <w:t>Party</w:t>
      </w:r>
      <w:r>
        <w:rPr>
          <w:color w:val="1D71B8"/>
          <w:spacing w:val="-5"/>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Northern</w:t>
      </w:r>
      <w:r>
        <w:rPr>
          <w:color w:val="1D71B8"/>
          <w:spacing w:val="-5"/>
          <w:sz w:val="18"/>
          <w:u w:val="single" w:color="1D71B8"/>
        </w:rPr>
        <w:t> </w:t>
      </w:r>
      <w:r>
        <w:rPr>
          <w:color w:val="1D71B8"/>
          <w:sz w:val="18"/>
          <w:u w:val="single" w:color="1D71B8"/>
        </w:rPr>
        <w:t>Ireland</w:t>
      </w:r>
      <w:r>
        <w:rPr>
          <w:color w:val="1D71B8"/>
          <w:spacing w:val="-5"/>
          <w:sz w:val="18"/>
          <w:u w:val="single" w:color="1D71B8"/>
        </w:rPr>
        <w:t> </w:t>
      </w:r>
      <w:r>
        <w:rPr>
          <w:color w:val="1D71B8"/>
          <w:sz w:val="18"/>
          <w:u w:val="single" w:color="1D71B8"/>
        </w:rPr>
        <w:t>[2024]</w:t>
      </w:r>
      <w:r>
        <w:rPr>
          <w:color w:val="1D71B8"/>
          <w:spacing w:val="-5"/>
          <w:sz w:val="18"/>
          <w:u w:val="single" w:color="1D71B8"/>
        </w:rPr>
        <w:t> </w:t>
      </w:r>
      <w:r>
        <w:rPr>
          <w:color w:val="1D71B8"/>
          <w:sz w:val="18"/>
          <w:u w:val="single" w:color="1D71B8"/>
        </w:rPr>
        <w:t>NICA</w:t>
      </w:r>
      <w:r>
        <w:rPr>
          <w:color w:val="1D71B8"/>
          <w:spacing w:val="-5"/>
          <w:sz w:val="18"/>
          <w:u w:val="single" w:color="1D71B8"/>
        </w:rPr>
        <w:t> 12.</w:t>
      </w:r>
    </w:p>
    <w:p>
      <w:pPr>
        <w:pStyle w:val="ListParagraph"/>
        <w:numPr>
          <w:ilvl w:val="0"/>
          <w:numId w:val="51"/>
        </w:numPr>
        <w:tabs>
          <w:tab w:pos="1287" w:val="left" w:leader="none"/>
        </w:tabs>
        <w:spacing w:line="240" w:lineRule="auto" w:before="1"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33.</w:t>
      </w:r>
    </w:p>
    <w:p>
      <w:pPr>
        <w:pStyle w:val="ListParagraph"/>
        <w:numPr>
          <w:ilvl w:val="0"/>
          <w:numId w:val="51"/>
        </w:numPr>
        <w:tabs>
          <w:tab w:pos="1287" w:val="left" w:leader="none"/>
        </w:tabs>
        <w:spacing w:line="240" w:lineRule="auto" w:before="0" w:after="0"/>
        <w:ind w:left="1287" w:right="0" w:hanging="567"/>
        <w:jc w:val="left"/>
        <w:rPr>
          <w:sz w:val="18"/>
        </w:rPr>
      </w:pPr>
      <w:r>
        <w:rPr>
          <w:sz w:val="18"/>
        </w:rPr>
        <w:t>C-356/21</w:t>
      </w:r>
      <w:r>
        <w:rPr>
          <w:spacing w:val="-2"/>
          <w:sz w:val="18"/>
        </w:rPr>
        <w:t> </w:t>
      </w:r>
      <w:r>
        <w:rPr>
          <w:color w:val="1D71B8"/>
          <w:sz w:val="18"/>
          <w:u w:val="single" w:color="1D71B8"/>
        </w:rPr>
        <w:t>J.K.</w:t>
      </w:r>
      <w:r>
        <w:rPr>
          <w:color w:val="1D71B8"/>
          <w:spacing w:val="-2"/>
          <w:sz w:val="18"/>
          <w:u w:val="single" w:color="1D71B8"/>
        </w:rPr>
        <w:t> </w:t>
      </w:r>
      <w:r>
        <w:rPr>
          <w:color w:val="1D71B8"/>
          <w:sz w:val="18"/>
          <w:u w:val="single" w:color="1D71B8"/>
        </w:rPr>
        <w:t>v</w:t>
      </w:r>
      <w:r>
        <w:rPr>
          <w:color w:val="1D71B8"/>
          <w:spacing w:val="-1"/>
          <w:sz w:val="18"/>
          <w:u w:val="single" w:color="1D71B8"/>
        </w:rPr>
        <w:t> </w:t>
      </w:r>
      <w:r>
        <w:rPr>
          <w:color w:val="1D71B8"/>
          <w:sz w:val="18"/>
          <w:u w:val="single" w:color="1D71B8"/>
        </w:rPr>
        <w:t>TP S.A.,</w:t>
      </w:r>
      <w:r>
        <w:rPr>
          <w:color w:val="1D71B8"/>
          <w:spacing w:val="-2"/>
          <w:sz w:val="18"/>
          <w:u w:val="none"/>
        </w:rPr>
        <w:t> </w:t>
      </w:r>
      <w:r>
        <w:rPr>
          <w:sz w:val="18"/>
          <w:u w:val="none"/>
        </w:rPr>
        <w:t>judgment</w:t>
      </w:r>
      <w:r>
        <w:rPr>
          <w:spacing w:val="-1"/>
          <w:sz w:val="18"/>
          <w:u w:val="none"/>
        </w:rPr>
        <w:t> </w:t>
      </w:r>
      <w:r>
        <w:rPr>
          <w:sz w:val="18"/>
          <w:u w:val="none"/>
        </w:rPr>
        <w:t>of</w:t>
      </w:r>
      <w:r>
        <w:rPr>
          <w:spacing w:val="-1"/>
          <w:sz w:val="18"/>
          <w:u w:val="none"/>
        </w:rPr>
        <w:t> </w:t>
      </w:r>
      <w:r>
        <w:rPr>
          <w:sz w:val="18"/>
          <w:u w:val="none"/>
        </w:rPr>
        <w:t>12</w:t>
      </w:r>
      <w:r>
        <w:rPr>
          <w:spacing w:val="-1"/>
          <w:sz w:val="18"/>
          <w:u w:val="none"/>
        </w:rPr>
        <w:t> </w:t>
      </w:r>
      <w:r>
        <w:rPr>
          <w:sz w:val="18"/>
          <w:u w:val="none"/>
        </w:rPr>
        <w:t>January</w:t>
      </w:r>
      <w:r>
        <w:rPr>
          <w:spacing w:val="-1"/>
          <w:sz w:val="18"/>
          <w:u w:val="none"/>
        </w:rPr>
        <w:t> </w:t>
      </w:r>
      <w:r>
        <w:rPr>
          <w:sz w:val="18"/>
          <w:u w:val="none"/>
        </w:rPr>
        <w:t>2023, </w:t>
      </w:r>
      <w:r>
        <w:rPr>
          <w:spacing w:val="-2"/>
          <w:sz w:val="18"/>
          <w:u w:val="none"/>
        </w:rPr>
        <w:t>ECLI:EU:C:2023:9.</w:t>
      </w:r>
    </w:p>
    <w:p>
      <w:pPr>
        <w:pStyle w:val="ListParagraph"/>
        <w:numPr>
          <w:ilvl w:val="0"/>
          <w:numId w:val="51"/>
        </w:numPr>
        <w:tabs>
          <w:tab w:pos="1287" w:val="left" w:leader="none"/>
        </w:tabs>
        <w:spacing w:line="240" w:lineRule="auto" w:before="0"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45.</w:t>
      </w:r>
    </w:p>
    <w:p>
      <w:pPr>
        <w:spacing w:after="0" w:line="240" w:lineRule="auto"/>
        <w:jc w:val="left"/>
        <w:rPr>
          <w:sz w:val="18"/>
        </w:rPr>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bookmarkStart w:name="6.3.4.3 Thematic Area: Religion in the W" w:id="197"/>
      <w:bookmarkEnd w:id="197"/>
      <w:r>
        <w:rPr/>
      </w:r>
      <w:bookmarkStart w:name="_bookmark82" w:id="198"/>
      <w:bookmarkEnd w:id="198"/>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127</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103680">
                <wp:simplePos x="0" y="0"/>
                <wp:positionH relativeFrom="page">
                  <wp:posOffset>-2</wp:posOffset>
                </wp:positionH>
                <wp:positionV relativeFrom="page">
                  <wp:posOffset>0</wp:posOffset>
                </wp:positionV>
                <wp:extent cx="7560309" cy="1155065"/>
                <wp:effectExtent l="0" t="0" r="0" b="0"/>
                <wp:wrapNone/>
                <wp:docPr id="1034" name="Group 1034"/>
                <wp:cNvGraphicFramePr>
                  <a:graphicFrameLocks/>
                </wp:cNvGraphicFramePr>
                <a:graphic>
                  <a:graphicData uri="http://schemas.microsoft.com/office/word/2010/wordprocessingGroup">
                    <wpg:wgp>
                      <wpg:cNvPr id="1034" name="Group 1034"/>
                      <wpg:cNvGrpSpPr/>
                      <wpg:grpSpPr>
                        <a:xfrm>
                          <a:off x="0" y="0"/>
                          <a:ext cx="7560309" cy="1155065"/>
                          <a:chExt cx="7560309" cy="1155065"/>
                        </a:xfrm>
                      </wpg:grpSpPr>
                      <wps:wsp>
                        <wps:cNvPr id="1035" name="Graphic 1035"/>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036" name="Graphic 1036"/>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12800" id="docshapegroup851" coordorigin="0,0" coordsize="11906,1819">
                <v:shape style="position:absolute;left:0;top:0;width:11906;height:1819" id="docshape852"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888"/>
      </w:pPr>
      <w:r>
        <w:rPr/>
        <w:t>The</w:t>
      </w:r>
      <w:r>
        <w:rPr>
          <w:spacing w:val="-6"/>
        </w:rPr>
        <w:t> </w:t>
      </w:r>
      <w:r>
        <w:rPr/>
        <w:t>issue</w:t>
      </w:r>
      <w:r>
        <w:rPr>
          <w:spacing w:val="-6"/>
        </w:rPr>
        <w:t> </w:t>
      </w:r>
      <w:r>
        <w:rPr/>
        <w:t>specifically</w:t>
      </w:r>
      <w:r>
        <w:rPr>
          <w:spacing w:val="-6"/>
        </w:rPr>
        <w:t> </w:t>
      </w:r>
      <w:r>
        <w:rPr/>
        <w:t>was</w:t>
      </w:r>
      <w:r>
        <w:rPr>
          <w:spacing w:val="-7"/>
        </w:rPr>
        <w:t> </w:t>
      </w:r>
      <w:r>
        <w:rPr/>
        <w:t>that</w:t>
      </w:r>
      <w:r>
        <w:rPr>
          <w:spacing w:val="-6"/>
        </w:rPr>
        <w:t> </w:t>
      </w:r>
      <w:r>
        <w:rPr/>
        <w:t>the</w:t>
      </w:r>
      <w:r>
        <w:rPr>
          <w:spacing w:val="-6"/>
        </w:rPr>
        <w:t> </w:t>
      </w:r>
      <w:r>
        <w:rPr/>
        <w:t>applicable</w:t>
      </w:r>
      <w:r>
        <w:rPr>
          <w:spacing w:val="-6"/>
        </w:rPr>
        <w:t> </w:t>
      </w:r>
      <w:r>
        <w:rPr/>
        <w:t>Polish</w:t>
      </w:r>
      <w:r>
        <w:rPr>
          <w:spacing w:val="-7"/>
        </w:rPr>
        <w:t> </w:t>
      </w:r>
      <w:r>
        <w:rPr/>
        <w:t>law</w:t>
      </w:r>
      <w:r>
        <w:rPr>
          <w:spacing w:val="-6"/>
        </w:rPr>
        <w:t> </w:t>
      </w:r>
      <w:r>
        <w:rPr/>
        <w:t>prohibited</w:t>
      </w:r>
      <w:r>
        <w:rPr>
          <w:spacing w:val="-7"/>
        </w:rPr>
        <w:t> </w:t>
      </w:r>
      <w:r>
        <w:rPr/>
        <w:t>discrimination on the grounds of sexual orientation in employment contracts, which remained</w:t>
      </w:r>
    </w:p>
    <w:p>
      <w:pPr>
        <w:pStyle w:val="BodyText"/>
        <w:spacing w:line="232" w:lineRule="auto"/>
        <w:ind w:left="1117" w:right="1087"/>
      </w:pPr>
      <w:r>
        <w:rPr/>
        <w:t>a significant question given the self-employed work of the applicant. The issue being that whilst the transposition of the Directive into Polish law prohibits discrimination on the grounds of sexual orientation in employment, the same guarantees</w:t>
      </w:r>
      <w:r>
        <w:rPr>
          <w:spacing w:val="-9"/>
        </w:rPr>
        <w:t> </w:t>
      </w:r>
      <w:r>
        <w:rPr/>
        <w:t>are</w:t>
      </w:r>
      <w:r>
        <w:rPr>
          <w:spacing w:val="-8"/>
        </w:rPr>
        <w:t> </w:t>
      </w:r>
      <w:r>
        <w:rPr/>
        <w:t>not</w:t>
      </w:r>
      <w:r>
        <w:rPr>
          <w:spacing w:val="-8"/>
        </w:rPr>
        <w:t> </w:t>
      </w:r>
      <w:r>
        <w:rPr/>
        <w:t>applicable</w:t>
      </w:r>
      <w:r>
        <w:rPr>
          <w:spacing w:val="-8"/>
        </w:rPr>
        <w:t> </w:t>
      </w:r>
      <w:r>
        <w:rPr/>
        <w:t>for</w:t>
      </w:r>
      <w:r>
        <w:rPr>
          <w:spacing w:val="-8"/>
        </w:rPr>
        <w:t> </w:t>
      </w:r>
      <w:r>
        <w:rPr/>
        <w:t>freedom</w:t>
      </w:r>
      <w:r>
        <w:rPr>
          <w:spacing w:val="-8"/>
        </w:rPr>
        <w:t> </w:t>
      </w:r>
      <w:r>
        <w:rPr/>
        <w:t>of</w:t>
      </w:r>
      <w:r>
        <w:rPr>
          <w:spacing w:val="-9"/>
        </w:rPr>
        <w:t> </w:t>
      </w:r>
      <w:r>
        <w:rPr/>
        <w:t>contract</w:t>
      </w:r>
      <w:r>
        <w:rPr>
          <w:spacing w:val="-8"/>
        </w:rPr>
        <w:t> </w:t>
      </w:r>
      <w:r>
        <w:rPr/>
        <w:t>whereby</w:t>
      </w:r>
      <w:r>
        <w:rPr>
          <w:spacing w:val="-8"/>
        </w:rPr>
        <w:t> </w:t>
      </w:r>
      <w:r>
        <w:rPr/>
        <w:t>discrimination</w:t>
      </w:r>
      <w:r>
        <w:rPr>
          <w:spacing w:val="-9"/>
        </w:rPr>
        <w:t> </w:t>
      </w:r>
      <w:r>
        <w:rPr/>
        <w:t>is limited to grounds of sex, race, ethnic origin and nationality.</w:t>
      </w:r>
    </w:p>
    <w:p>
      <w:pPr>
        <w:pStyle w:val="BodyText"/>
        <w:spacing w:before="265"/>
        <w:ind w:left="1117"/>
      </w:pPr>
      <w:r>
        <w:rPr/>
        <w:t>The</w:t>
      </w:r>
      <w:r>
        <w:rPr>
          <w:spacing w:val="-8"/>
        </w:rPr>
        <w:t> </w:t>
      </w:r>
      <w:r>
        <w:rPr/>
        <w:t>Court</w:t>
      </w:r>
      <w:r>
        <w:rPr>
          <w:spacing w:val="-7"/>
        </w:rPr>
        <w:t> </w:t>
      </w:r>
      <w:r>
        <w:rPr/>
        <w:t>ultimately</w:t>
      </w:r>
      <w:r>
        <w:rPr>
          <w:spacing w:val="-8"/>
        </w:rPr>
        <w:t> </w:t>
      </w:r>
      <w:r>
        <w:rPr/>
        <w:t>stated</w:t>
      </w:r>
      <w:r>
        <w:rPr>
          <w:spacing w:val="-8"/>
        </w:rPr>
        <w:t> </w:t>
      </w:r>
      <w:r>
        <w:rPr>
          <w:spacing w:val="-4"/>
        </w:rPr>
        <w:t>that:</w:t>
      </w:r>
    </w:p>
    <w:p>
      <w:pPr>
        <w:pStyle w:val="BodyText"/>
        <w:spacing w:before="3"/>
        <w:rPr>
          <w:sz w:val="20"/>
        </w:rPr>
      </w:pPr>
      <w:r>
        <w:rPr/>
        <mc:AlternateContent>
          <mc:Choice Requires="wps">
            <w:drawing>
              <wp:anchor distT="0" distB="0" distL="0" distR="0" allowOverlap="1" layoutInCell="1" locked="0" behindDoc="1" simplePos="0" relativeHeight="487785472">
                <wp:simplePos x="0" y="0"/>
                <wp:positionH relativeFrom="page">
                  <wp:posOffset>899994</wp:posOffset>
                </wp:positionH>
                <wp:positionV relativeFrom="paragraph">
                  <wp:posOffset>172693</wp:posOffset>
                </wp:positionV>
                <wp:extent cx="6012180" cy="1232535"/>
                <wp:effectExtent l="0" t="0" r="0" b="0"/>
                <wp:wrapTopAndBottom/>
                <wp:docPr id="1037" name="Group 1037"/>
                <wp:cNvGraphicFramePr>
                  <a:graphicFrameLocks/>
                </wp:cNvGraphicFramePr>
                <a:graphic>
                  <a:graphicData uri="http://schemas.microsoft.com/office/word/2010/wordprocessingGroup">
                    <wpg:wgp>
                      <wpg:cNvPr id="1037" name="Group 1037"/>
                      <wpg:cNvGrpSpPr/>
                      <wpg:grpSpPr>
                        <a:xfrm>
                          <a:off x="0" y="0"/>
                          <a:ext cx="6012180" cy="1232535"/>
                          <a:chExt cx="6012180" cy="1232535"/>
                        </a:xfrm>
                      </wpg:grpSpPr>
                      <wps:wsp>
                        <wps:cNvPr id="1038" name="Graphic 1038"/>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39" name="Textbox 1039"/>
                        <wps:cNvSpPr txBox="1"/>
                        <wps:spPr>
                          <a:xfrm>
                            <a:off x="0" y="0"/>
                            <a:ext cx="6012180" cy="1232535"/>
                          </a:xfrm>
                          <a:prstGeom prst="rect">
                            <a:avLst/>
                          </a:prstGeom>
                        </wps:spPr>
                        <wps:txbx>
                          <w:txbxContent>
                            <w:p>
                              <w:pPr>
                                <w:spacing w:line="232" w:lineRule="auto" w:before="121"/>
                                <w:ind w:left="340" w:right="196" w:firstLine="0"/>
                                <w:jc w:val="left"/>
                                <w:rPr>
                                  <w:sz w:val="28"/>
                                </w:rPr>
                              </w:pPr>
                              <w:r>
                                <w:rPr>
                                  <w:color w:val="164194"/>
                                  <w:sz w:val="28"/>
                                </w:rPr>
                                <w:t>‘to accept that freedom of contract allows a refusal to contract with a person on the ground of that person’s sexual orientation would be tantamount to depriving Article 3(1)(a) of Directive 2000/78 of its practical effect in so far as that</w:t>
                              </w:r>
                              <w:r>
                                <w:rPr>
                                  <w:color w:val="164194"/>
                                  <w:spacing w:val="-7"/>
                                  <w:sz w:val="28"/>
                                </w:rPr>
                                <w:t> </w:t>
                              </w:r>
                              <w:r>
                                <w:rPr>
                                  <w:color w:val="164194"/>
                                  <w:sz w:val="28"/>
                                </w:rPr>
                                <w:t>provision</w:t>
                              </w:r>
                              <w:r>
                                <w:rPr>
                                  <w:color w:val="164194"/>
                                  <w:spacing w:val="-8"/>
                                  <w:sz w:val="28"/>
                                </w:rPr>
                                <w:t> </w:t>
                              </w:r>
                              <w:r>
                                <w:rPr>
                                  <w:color w:val="164194"/>
                                  <w:sz w:val="28"/>
                                </w:rPr>
                                <w:t>specifically</w:t>
                              </w:r>
                              <w:r>
                                <w:rPr>
                                  <w:color w:val="164194"/>
                                  <w:spacing w:val="-7"/>
                                  <w:sz w:val="28"/>
                                </w:rPr>
                                <w:t> </w:t>
                              </w:r>
                              <w:r>
                                <w:rPr>
                                  <w:color w:val="164194"/>
                                  <w:sz w:val="28"/>
                                </w:rPr>
                                <w:t>prohibits</w:t>
                              </w:r>
                              <w:r>
                                <w:rPr>
                                  <w:color w:val="164194"/>
                                  <w:spacing w:val="-8"/>
                                  <w:sz w:val="28"/>
                                </w:rPr>
                                <w:t> </w:t>
                              </w:r>
                              <w:r>
                                <w:rPr>
                                  <w:color w:val="164194"/>
                                  <w:sz w:val="28"/>
                                </w:rPr>
                                <w:t>any</w:t>
                              </w:r>
                              <w:r>
                                <w:rPr>
                                  <w:color w:val="164194"/>
                                  <w:spacing w:val="-7"/>
                                  <w:sz w:val="28"/>
                                </w:rPr>
                                <w:t> </w:t>
                              </w:r>
                              <w:r>
                                <w:rPr>
                                  <w:color w:val="164194"/>
                                  <w:sz w:val="28"/>
                                </w:rPr>
                                <w:t>discrimination</w:t>
                              </w:r>
                              <w:r>
                                <w:rPr>
                                  <w:color w:val="164194"/>
                                  <w:spacing w:val="-8"/>
                                  <w:sz w:val="28"/>
                                </w:rPr>
                                <w:t> </w:t>
                              </w:r>
                              <w:r>
                                <w:rPr>
                                  <w:color w:val="164194"/>
                                  <w:sz w:val="28"/>
                                </w:rPr>
                                <w:t>based</w:t>
                              </w:r>
                              <w:r>
                                <w:rPr>
                                  <w:color w:val="164194"/>
                                  <w:spacing w:val="-8"/>
                                  <w:sz w:val="28"/>
                                </w:rPr>
                                <w:t> </w:t>
                              </w:r>
                              <w:r>
                                <w:rPr>
                                  <w:color w:val="164194"/>
                                  <w:sz w:val="28"/>
                                </w:rPr>
                                <w:t>on</w:t>
                              </w:r>
                              <w:r>
                                <w:rPr>
                                  <w:color w:val="164194"/>
                                  <w:spacing w:val="-8"/>
                                  <w:sz w:val="28"/>
                                </w:rPr>
                                <w:t> </w:t>
                              </w:r>
                              <w:r>
                                <w:rPr>
                                  <w:color w:val="164194"/>
                                  <w:sz w:val="28"/>
                                </w:rPr>
                                <w:t>that</w:t>
                              </w:r>
                              <w:r>
                                <w:rPr>
                                  <w:color w:val="164194"/>
                                  <w:spacing w:val="-7"/>
                                  <w:sz w:val="28"/>
                                </w:rPr>
                                <w:t> </w:t>
                              </w:r>
                              <w:r>
                                <w:rPr>
                                  <w:color w:val="164194"/>
                                  <w:sz w:val="28"/>
                                </w:rPr>
                                <w:t>ground</w:t>
                              </w:r>
                              <w:r>
                                <w:rPr>
                                  <w:color w:val="164194"/>
                                  <w:spacing w:val="-8"/>
                                  <w:sz w:val="28"/>
                                </w:rPr>
                                <w:t> </w:t>
                              </w:r>
                              <w:r>
                                <w:rPr>
                                  <w:color w:val="164194"/>
                                  <w:sz w:val="28"/>
                                </w:rPr>
                                <w:t>as regards access to self-employment.’</w:t>
                              </w:r>
                              <w:r>
                                <w:rPr>
                                  <w:color w:val="164194"/>
                                  <w:sz w:val="28"/>
                                  <w:vertAlign w:val="superscript"/>
                                </w:rPr>
                                <w:t>652</w:t>
                              </w:r>
                            </w:p>
                          </w:txbxContent>
                        </wps:txbx>
                        <wps:bodyPr wrap="square" lIns="0" tIns="0" rIns="0" bIns="0" rtlCol="0">
                          <a:noAutofit/>
                        </wps:bodyPr>
                      </wps:wsp>
                    </wpg:wgp>
                  </a:graphicData>
                </a:graphic>
              </wp:anchor>
            </w:drawing>
          </mc:Choice>
          <mc:Fallback>
            <w:pict>
              <v:group style="position:absolute;margin-left:70.8657pt;margin-top:13.597923pt;width:473.4pt;height:97.05pt;mso-position-horizontal-relative:page;mso-position-vertical-relative:paragraph;z-index:-15531008;mso-wrap-distance-left:0;mso-wrap-distance-right:0" id="docshapegroup853" coordorigin="1417,272" coordsize="9468,1941">
                <v:shape style="position:absolute;left:1417;top:271;width:9468;height:1941" id="docshape854" coordorigin="1417,272" coordsize="9468,1941" path="m10658,272l1644,272,1572,284,1510,316,1461,365,1429,427,1417,499,1417,1985,1429,2057,1461,2119,1510,2168,1572,2201,1644,2212,10658,2212,10730,2201,10792,2168,10841,2119,10873,2057,10885,1985,10885,499,10873,427,10841,365,10792,316,10730,284,10658,272xe" filled="true" fillcolor="#e9f3fc" stroked="false">
                  <v:path arrowok="t"/>
                  <v:fill type="solid"/>
                </v:shape>
                <v:shape style="position:absolute;left:1417;top:271;width:9468;height:1941" type="#_x0000_t202" id="docshape855" filled="false" stroked="false">
                  <v:textbox inset="0,0,0,0">
                    <w:txbxContent>
                      <w:p>
                        <w:pPr>
                          <w:spacing w:line="232" w:lineRule="auto" w:before="121"/>
                          <w:ind w:left="340" w:right="196" w:firstLine="0"/>
                          <w:jc w:val="left"/>
                          <w:rPr>
                            <w:sz w:val="28"/>
                          </w:rPr>
                        </w:pPr>
                        <w:r>
                          <w:rPr>
                            <w:color w:val="164194"/>
                            <w:sz w:val="28"/>
                          </w:rPr>
                          <w:t>‘to accept that freedom of contract allows a refusal to contract with a person on the ground of that person’s sexual orientation would be tantamount to depriving Article 3(1)(a) of Directive 2000/78 of its practical effect in so far as that</w:t>
                        </w:r>
                        <w:r>
                          <w:rPr>
                            <w:color w:val="164194"/>
                            <w:spacing w:val="-7"/>
                            <w:sz w:val="28"/>
                          </w:rPr>
                          <w:t> </w:t>
                        </w:r>
                        <w:r>
                          <w:rPr>
                            <w:color w:val="164194"/>
                            <w:sz w:val="28"/>
                          </w:rPr>
                          <w:t>provision</w:t>
                        </w:r>
                        <w:r>
                          <w:rPr>
                            <w:color w:val="164194"/>
                            <w:spacing w:val="-8"/>
                            <w:sz w:val="28"/>
                          </w:rPr>
                          <w:t> </w:t>
                        </w:r>
                        <w:r>
                          <w:rPr>
                            <w:color w:val="164194"/>
                            <w:sz w:val="28"/>
                          </w:rPr>
                          <w:t>specifically</w:t>
                        </w:r>
                        <w:r>
                          <w:rPr>
                            <w:color w:val="164194"/>
                            <w:spacing w:val="-7"/>
                            <w:sz w:val="28"/>
                          </w:rPr>
                          <w:t> </w:t>
                        </w:r>
                        <w:r>
                          <w:rPr>
                            <w:color w:val="164194"/>
                            <w:sz w:val="28"/>
                          </w:rPr>
                          <w:t>prohibits</w:t>
                        </w:r>
                        <w:r>
                          <w:rPr>
                            <w:color w:val="164194"/>
                            <w:spacing w:val="-8"/>
                            <w:sz w:val="28"/>
                          </w:rPr>
                          <w:t> </w:t>
                        </w:r>
                        <w:r>
                          <w:rPr>
                            <w:color w:val="164194"/>
                            <w:sz w:val="28"/>
                          </w:rPr>
                          <w:t>any</w:t>
                        </w:r>
                        <w:r>
                          <w:rPr>
                            <w:color w:val="164194"/>
                            <w:spacing w:val="-7"/>
                            <w:sz w:val="28"/>
                          </w:rPr>
                          <w:t> </w:t>
                        </w:r>
                        <w:r>
                          <w:rPr>
                            <w:color w:val="164194"/>
                            <w:sz w:val="28"/>
                          </w:rPr>
                          <w:t>discrimination</w:t>
                        </w:r>
                        <w:r>
                          <w:rPr>
                            <w:color w:val="164194"/>
                            <w:spacing w:val="-8"/>
                            <w:sz w:val="28"/>
                          </w:rPr>
                          <w:t> </w:t>
                        </w:r>
                        <w:r>
                          <w:rPr>
                            <w:color w:val="164194"/>
                            <w:sz w:val="28"/>
                          </w:rPr>
                          <w:t>based</w:t>
                        </w:r>
                        <w:r>
                          <w:rPr>
                            <w:color w:val="164194"/>
                            <w:spacing w:val="-8"/>
                            <w:sz w:val="28"/>
                          </w:rPr>
                          <w:t> </w:t>
                        </w:r>
                        <w:r>
                          <w:rPr>
                            <w:color w:val="164194"/>
                            <w:sz w:val="28"/>
                          </w:rPr>
                          <w:t>on</w:t>
                        </w:r>
                        <w:r>
                          <w:rPr>
                            <w:color w:val="164194"/>
                            <w:spacing w:val="-8"/>
                            <w:sz w:val="28"/>
                          </w:rPr>
                          <w:t> </w:t>
                        </w:r>
                        <w:r>
                          <w:rPr>
                            <w:color w:val="164194"/>
                            <w:sz w:val="28"/>
                          </w:rPr>
                          <w:t>that</w:t>
                        </w:r>
                        <w:r>
                          <w:rPr>
                            <w:color w:val="164194"/>
                            <w:spacing w:val="-7"/>
                            <w:sz w:val="28"/>
                          </w:rPr>
                          <w:t> </w:t>
                        </w:r>
                        <w:r>
                          <w:rPr>
                            <w:color w:val="164194"/>
                            <w:sz w:val="28"/>
                          </w:rPr>
                          <w:t>ground</w:t>
                        </w:r>
                        <w:r>
                          <w:rPr>
                            <w:color w:val="164194"/>
                            <w:spacing w:val="-8"/>
                            <w:sz w:val="28"/>
                          </w:rPr>
                          <w:t> </w:t>
                        </w:r>
                        <w:r>
                          <w:rPr>
                            <w:color w:val="164194"/>
                            <w:sz w:val="28"/>
                          </w:rPr>
                          <w:t>as regards access to self-employment.’</w:t>
                        </w:r>
                        <w:r>
                          <w:rPr>
                            <w:color w:val="164194"/>
                            <w:sz w:val="28"/>
                            <w:vertAlign w:val="superscript"/>
                          </w:rPr>
                          <w:t>652</w:t>
                        </w:r>
                      </w:p>
                    </w:txbxContent>
                  </v:textbox>
                  <w10:wrap type="none"/>
                </v:shape>
                <w10:wrap type="topAndBottom"/>
              </v:group>
            </w:pict>
          </mc:Fallback>
        </mc:AlternateContent>
      </w:r>
    </w:p>
    <w:p>
      <w:pPr>
        <w:pStyle w:val="BodyText"/>
        <w:spacing w:line="232" w:lineRule="auto" w:before="228"/>
        <w:ind w:left="1117" w:right="1087"/>
      </w:pPr>
      <w:r>
        <w:rPr/>
        <w:t>This</w:t>
      </w:r>
      <w:r>
        <w:rPr>
          <w:spacing w:val="-6"/>
        </w:rPr>
        <w:t> </w:t>
      </w:r>
      <w:r>
        <w:rPr/>
        <w:t>ruling</w:t>
      </w:r>
      <w:r>
        <w:rPr>
          <w:spacing w:val="-5"/>
        </w:rPr>
        <w:t> </w:t>
      </w:r>
      <w:r>
        <w:rPr/>
        <w:t>by</w:t>
      </w:r>
      <w:r>
        <w:rPr>
          <w:spacing w:val="-5"/>
        </w:rPr>
        <w:t> </w:t>
      </w:r>
      <w:r>
        <w:rPr/>
        <w:t>the</w:t>
      </w:r>
      <w:r>
        <w:rPr>
          <w:spacing w:val="-5"/>
        </w:rPr>
        <w:t> </w:t>
      </w:r>
      <w:r>
        <w:rPr/>
        <w:t>Court</w:t>
      </w:r>
      <w:r>
        <w:rPr>
          <w:spacing w:val="-5"/>
        </w:rPr>
        <w:t> </w:t>
      </w:r>
      <w:r>
        <w:rPr/>
        <w:t>highlights</w:t>
      </w:r>
      <w:r>
        <w:rPr>
          <w:spacing w:val="-6"/>
        </w:rPr>
        <w:t> </w:t>
      </w:r>
      <w:r>
        <w:rPr/>
        <w:t>the</w:t>
      </w:r>
      <w:r>
        <w:rPr>
          <w:spacing w:val="-5"/>
        </w:rPr>
        <w:t> </w:t>
      </w:r>
      <w:r>
        <w:rPr/>
        <w:t>significant</w:t>
      </w:r>
      <w:r>
        <w:rPr>
          <w:spacing w:val="-5"/>
        </w:rPr>
        <w:t> </w:t>
      </w:r>
      <w:r>
        <w:rPr/>
        <w:t>scope</w:t>
      </w:r>
      <w:r>
        <w:rPr>
          <w:spacing w:val="-5"/>
        </w:rPr>
        <w:t> </w:t>
      </w:r>
      <w:r>
        <w:rPr/>
        <w:t>of</w:t>
      </w:r>
      <w:r>
        <w:rPr>
          <w:spacing w:val="-6"/>
        </w:rPr>
        <w:t> </w:t>
      </w:r>
      <w:r>
        <w:rPr/>
        <w:t>Directive</w:t>
      </w:r>
      <w:r>
        <w:rPr>
          <w:spacing w:val="-5"/>
        </w:rPr>
        <w:t> </w:t>
      </w:r>
      <w:r>
        <w:rPr/>
        <w:t>2000/78, ruling that:</w:t>
      </w:r>
    </w:p>
    <w:p>
      <w:pPr>
        <w:pStyle w:val="BodyText"/>
        <w:spacing w:before="4"/>
        <w:rPr>
          <w:sz w:val="20"/>
        </w:rPr>
      </w:pPr>
      <w:r>
        <w:rPr/>
        <mc:AlternateContent>
          <mc:Choice Requires="wps">
            <w:drawing>
              <wp:anchor distT="0" distB="0" distL="0" distR="0" allowOverlap="1" layoutInCell="1" locked="0" behindDoc="1" simplePos="0" relativeHeight="487785984">
                <wp:simplePos x="0" y="0"/>
                <wp:positionH relativeFrom="page">
                  <wp:posOffset>899994</wp:posOffset>
                </wp:positionH>
                <wp:positionV relativeFrom="paragraph">
                  <wp:posOffset>173008</wp:posOffset>
                </wp:positionV>
                <wp:extent cx="6012180" cy="1651635"/>
                <wp:effectExtent l="0" t="0" r="0" b="0"/>
                <wp:wrapTopAndBottom/>
                <wp:docPr id="1040" name="Group 1040"/>
                <wp:cNvGraphicFramePr>
                  <a:graphicFrameLocks/>
                </wp:cNvGraphicFramePr>
                <a:graphic>
                  <a:graphicData uri="http://schemas.microsoft.com/office/word/2010/wordprocessingGroup">
                    <wpg:wgp>
                      <wpg:cNvPr id="1040" name="Group 1040"/>
                      <wpg:cNvGrpSpPr/>
                      <wpg:grpSpPr>
                        <a:xfrm>
                          <a:off x="0" y="0"/>
                          <a:ext cx="6012180" cy="1651635"/>
                          <a:chExt cx="6012180" cy="1651635"/>
                        </a:xfrm>
                      </wpg:grpSpPr>
                      <wps:wsp>
                        <wps:cNvPr id="1041" name="Graphic 1041"/>
                        <wps:cNvSpPr/>
                        <wps:spPr>
                          <a:xfrm>
                            <a:off x="0" y="0"/>
                            <a:ext cx="6012180" cy="1651635"/>
                          </a:xfrm>
                          <a:custGeom>
                            <a:avLst/>
                            <a:gdLst/>
                            <a:ahLst/>
                            <a:cxnLst/>
                            <a:rect l="l" t="t" r="r" b="b"/>
                            <a:pathLst>
                              <a:path w="6012180" h="1651635">
                                <a:moveTo>
                                  <a:pt x="5868009" y="0"/>
                                </a:moveTo>
                                <a:lnTo>
                                  <a:pt x="144005" y="0"/>
                                </a:lnTo>
                                <a:lnTo>
                                  <a:pt x="98490" y="7340"/>
                                </a:lnTo>
                                <a:lnTo>
                                  <a:pt x="58959" y="27782"/>
                                </a:lnTo>
                                <a:lnTo>
                                  <a:pt x="27785" y="58954"/>
                                </a:lnTo>
                                <a:lnTo>
                                  <a:pt x="7341" y="98485"/>
                                </a:lnTo>
                                <a:lnTo>
                                  <a:pt x="0" y="144005"/>
                                </a:lnTo>
                                <a:lnTo>
                                  <a:pt x="0" y="1507096"/>
                                </a:lnTo>
                                <a:lnTo>
                                  <a:pt x="7341" y="1552611"/>
                                </a:lnTo>
                                <a:lnTo>
                                  <a:pt x="27785" y="1592142"/>
                                </a:lnTo>
                                <a:lnTo>
                                  <a:pt x="58959" y="1623315"/>
                                </a:lnTo>
                                <a:lnTo>
                                  <a:pt x="98490" y="1643759"/>
                                </a:lnTo>
                                <a:lnTo>
                                  <a:pt x="144005" y="1651101"/>
                                </a:lnTo>
                                <a:lnTo>
                                  <a:pt x="5868009" y="1651101"/>
                                </a:lnTo>
                                <a:lnTo>
                                  <a:pt x="5913523" y="1643759"/>
                                </a:lnTo>
                                <a:lnTo>
                                  <a:pt x="5953050" y="1623315"/>
                                </a:lnTo>
                                <a:lnTo>
                                  <a:pt x="5984220" y="1592142"/>
                                </a:lnTo>
                                <a:lnTo>
                                  <a:pt x="6004661" y="1552611"/>
                                </a:lnTo>
                                <a:lnTo>
                                  <a:pt x="6012002" y="15070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42" name="Textbox 1042"/>
                        <wps:cNvSpPr txBox="1"/>
                        <wps:spPr>
                          <a:xfrm>
                            <a:off x="0" y="0"/>
                            <a:ext cx="6012180" cy="1651635"/>
                          </a:xfrm>
                          <a:prstGeom prst="rect">
                            <a:avLst/>
                          </a:prstGeom>
                        </wps:spPr>
                        <wps:txbx>
                          <w:txbxContent>
                            <w:p>
                              <w:pPr>
                                <w:spacing w:line="232" w:lineRule="auto" w:before="121"/>
                                <w:ind w:left="340" w:right="196" w:firstLine="0"/>
                                <w:jc w:val="left"/>
                                <w:rPr>
                                  <w:sz w:val="28"/>
                                </w:rPr>
                              </w:pPr>
                              <w:r>
                                <w:rPr>
                                  <w:color w:val="164194"/>
                                  <w:sz w:val="28"/>
                                </w:rPr>
                                <w:t>‘Article</w:t>
                              </w:r>
                              <w:r>
                                <w:rPr>
                                  <w:color w:val="164194"/>
                                  <w:spacing w:val="-8"/>
                                  <w:sz w:val="28"/>
                                </w:rPr>
                                <w:t> </w:t>
                              </w:r>
                              <w:r>
                                <w:rPr>
                                  <w:color w:val="164194"/>
                                  <w:sz w:val="28"/>
                                </w:rPr>
                                <w:t>3(1)(a)</w:t>
                              </w:r>
                              <w:r>
                                <w:rPr>
                                  <w:color w:val="164194"/>
                                  <w:spacing w:val="-9"/>
                                  <w:sz w:val="28"/>
                                </w:rPr>
                                <w:t> </w:t>
                              </w:r>
                              <w:r>
                                <w:rPr>
                                  <w:color w:val="164194"/>
                                  <w:sz w:val="28"/>
                                </w:rPr>
                                <w:t>and</w:t>
                              </w:r>
                              <w:r>
                                <w:rPr>
                                  <w:color w:val="164194"/>
                                  <w:spacing w:val="-9"/>
                                  <w:sz w:val="28"/>
                                </w:rPr>
                                <w:t> </w:t>
                              </w:r>
                              <w:r>
                                <w:rPr>
                                  <w:color w:val="164194"/>
                                  <w:sz w:val="28"/>
                                </w:rPr>
                                <w:t>(c)</w:t>
                              </w:r>
                              <w:r>
                                <w:rPr>
                                  <w:color w:val="164194"/>
                                  <w:spacing w:val="-9"/>
                                  <w:sz w:val="28"/>
                                </w:rPr>
                                <w:t> </w:t>
                              </w:r>
                              <w:r>
                                <w:rPr>
                                  <w:color w:val="164194"/>
                                  <w:sz w:val="28"/>
                                </w:rPr>
                                <w:t>of</w:t>
                              </w:r>
                              <w:r>
                                <w:rPr>
                                  <w:color w:val="164194"/>
                                  <w:spacing w:val="-9"/>
                                  <w:sz w:val="28"/>
                                </w:rPr>
                                <w:t> </w:t>
                              </w:r>
                              <w:r>
                                <w:rPr>
                                  <w:color w:val="164194"/>
                                  <w:sz w:val="28"/>
                                </w:rPr>
                                <w:t>Directive</w:t>
                              </w:r>
                              <w:r>
                                <w:rPr>
                                  <w:color w:val="164194"/>
                                  <w:spacing w:val="-8"/>
                                  <w:sz w:val="28"/>
                                </w:rPr>
                                <w:t> </w:t>
                              </w:r>
                              <w:r>
                                <w:rPr>
                                  <w:color w:val="164194"/>
                                  <w:sz w:val="28"/>
                                </w:rPr>
                                <w:t>2000/78</w:t>
                              </w:r>
                              <w:r>
                                <w:rPr>
                                  <w:color w:val="164194"/>
                                  <w:spacing w:val="-8"/>
                                  <w:sz w:val="28"/>
                                </w:rPr>
                                <w:t> </w:t>
                              </w:r>
                              <w:r>
                                <w:rPr>
                                  <w:color w:val="164194"/>
                                  <w:sz w:val="28"/>
                                </w:rPr>
                                <w:t>must</w:t>
                              </w:r>
                              <w:r>
                                <w:rPr>
                                  <w:color w:val="164194"/>
                                  <w:spacing w:val="-8"/>
                                  <w:sz w:val="28"/>
                                </w:rPr>
                                <w:t> </w:t>
                              </w:r>
                              <w:r>
                                <w:rPr>
                                  <w:color w:val="164194"/>
                                  <w:sz w:val="28"/>
                                </w:rPr>
                                <w:t>be</w:t>
                              </w:r>
                              <w:r>
                                <w:rPr>
                                  <w:color w:val="164194"/>
                                  <w:spacing w:val="-8"/>
                                  <w:sz w:val="28"/>
                                </w:rPr>
                                <w:t> </w:t>
                              </w:r>
                              <w:r>
                                <w:rPr>
                                  <w:color w:val="164194"/>
                                  <w:sz w:val="28"/>
                                </w:rPr>
                                <w:t>interpreted</w:t>
                              </w:r>
                              <w:r>
                                <w:rPr>
                                  <w:color w:val="164194"/>
                                  <w:spacing w:val="-9"/>
                                  <w:sz w:val="28"/>
                                </w:rPr>
                                <w:t> </w:t>
                              </w:r>
                              <w:r>
                                <w:rPr>
                                  <w:color w:val="164194"/>
                                  <w:sz w:val="28"/>
                                </w:rPr>
                                <w:t>as</w:t>
                              </w:r>
                              <w:r>
                                <w:rPr>
                                  <w:color w:val="164194"/>
                                  <w:spacing w:val="-9"/>
                                  <w:sz w:val="28"/>
                                </w:rPr>
                                <w:t> </w:t>
                              </w:r>
                              <w:r>
                                <w:rPr>
                                  <w:color w:val="164194"/>
                                  <w:sz w:val="28"/>
                                </w:rPr>
                                <w:t>precluding national legislation which has the effect of excluding, on the basis of the freedom of choice of contracting parties, from the protection against discrimination to be conferred by that directive, the refusal, based on the sexual orientation of a person, to conclude or renew with that person a contract concerning the performance of specific work by that person in the context of the pursuit of a self-employed activity.’</w:t>
                              </w:r>
                              <w:r>
                                <w:rPr>
                                  <w:color w:val="164194"/>
                                  <w:sz w:val="28"/>
                                  <w:vertAlign w:val="superscript"/>
                                </w:rPr>
                                <w:t>653</w:t>
                              </w:r>
                            </w:p>
                          </w:txbxContent>
                        </wps:txbx>
                        <wps:bodyPr wrap="square" lIns="0" tIns="0" rIns="0" bIns="0" rtlCol="0">
                          <a:noAutofit/>
                        </wps:bodyPr>
                      </wps:wsp>
                    </wpg:wgp>
                  </a:graphicData>
                </a:graphic>
              </wp:anchor>
            </w:drawing>
          </mc:Choice>
          <mc:Fallback>
            <w:pict>
              <v:group style="position:absolute;margin-left:70.8657pt;margin-top:13.622704pt;width:473.4pt;height:130.0500pt;mso-position-horizontal-relative:page;mso-position-vertical-relative:paragraph;z-index:-15530496;mso-wrap-distance-left:0;mso-wrap-distance-right:0" id="docshapegroup856" coordorigin="1417,272" coordsize="9468,2601">
                <v:shape style="position:absolute;left:1417;top:272;width:9468;height:2601" id="docshape857" coordorigin="1417,272" coordsize="9468,2601" path="m10658,272l1644,272,1572,284,1510,316,1461,365,1429,428,1417,499,1417,2646,1429,2718,1461,2780,1510,2829,1572,2861,1644,2873,10658,2873,10730,2861,10792,2829,10841,2780,10873,2718,10885,2646,10885,499,10873,428,10841,365,10792,316,10730,284,10658,272xe" filled="true" fillcolor="#e9f3fc" stroked="false">
                  <v:path arrowok="t"/>
                  <v:fill type="solid"/>
                </v:shape>
                <v:shape style="position:absolute;left:1417;top:272;width:9468;height:2601" type="#_x0000_t202" id="docshape858" filled="false" stroked="false">
                  <v:textbox inset="0,0,0,0">
                    <w:txbxContent>
                      <w:p>
                        <w:pPr>
                          <w:spacing w:line="232" w:lineRule="auto" w:before="121"/>
                          <w:ind w:left="340" w:right="196" w:firstLine="0"/>
                          <w:jc w:val="left"/>
                          <w:rPr>
                            <w:sz w:val="28"/>
                          </w:rPr>
                        </w:pPr>
                        <w:r>
                          <w:rPr>
                            <w:color w:val="164194"/>
                            <w:sz w:val="28"/>
                          </w:rPr>
                          <w:t>‘Article</w:t>
                        </w:r>
                        <w:r>
                          <w:rPr>
                            <w:color w:val="164194"/>
                            <w:spacing w:val="-8"/>
                            <w:sz w:val="28"/>
                          </w:rPr>
                          <w:t> </w:t>
                        </w:r>
                        <w:r>
                          <w:rPr>
                            <w:color w:val="164194"/>
                            <w:sz w:val="28"/>
                          </w:rPr>
                          <w:t>3(1)(a)</w:t>
                        </w:r>
                        <w:r>
                          <w:rPr>
                            <w:color w:val="164194"/>
                            <w:spacing w:val="-9"/>
                            <w:sz w:val="28"/>
                          </w:rPr>
                          <w:t> </w:t>
                        </w:r>
                        <w:r>
                          <w:rPr>
                            <w:color w:val="164194"/>
                            <w:sz w:val="28"/>
                          </w:rPr>
                          <w:t>and</w:t>
                        </w:r>
                        <w:r>
                          <w:rPr>
                            <w:color w:val="164194"/>
                            <w:spacing w:val="-9"/>
                            <w:sz w:val="28"/>
                          </w:rPr>
                          <w:t> </w:t>
                        </w:r>
                        <w:r>
                          <w:rPr>
                            <w:color w:val="164194"/>
                            <w:sz w:val="28"/>
                          </w:rPr>
                          <w:t>(c)</w:t>
                        </w:r>
                        <w:r>
                          <w:rPr>
                            <w:color w:val="164194"/>
                            <w:spacing w:val="-9"/>
                            <w:sz w:val="28"/>
                          </w:rPr>
                          <w:t> </w:t>
                        </w:r>
                        <w:r>
                          <w:rPr>
                            <w:color w:val="164194"/>
                            <w:sz w:val="28"/>
                          </w:rPr>
                          <w:t>of</w:t>
                        </w:r>
                        <w:r>
                          <w:rPr>
                            <w:color w:val="164194"/>
                            <w:spacing w:val="-9"/>
                            <w:sz w:val="28"/>
                          </w:rPr>
                          <w:t> </w:t>
                        </w:r>
                        <w:r>
                          <w:rPr>
                            <w:color w:val="164194"/>
                            <w:sz w:val="28"/>
                          </w:rPr>
                          <w:t>Directive</w:t>
                        </w:r>
                        <w:r>
                          <w:rPr>
                            <w:color w:val="164194"/>
                            <w:spacing w:val="-8"/>
                            <w:sz w:val="28"/>
                          </w:rPr>
                          <w:t> </w:t>
                        </w:r>
                        <w:r>
                          <w:rPr>
                            <w:color w:val="164194"/>
                            <w:sz w:val="28"/>
                          </w:rPr>
                          <w:t>2000/78</w:t>
                        </w:r>
                        <w:r>
                          <w:rPr>
                            <w:color w:val="164194"/>
                            <w:spacing w:val="-8"/>
                            <w:sz w:val="28"/>
                          </w:rPr>
                          <w:t> </w:t>
                        </w:r>
                        <w:r>
                          <w:rPr>
                            <w:color w:val="164194"/>
                            <w:sz w:val="28"/>
                          </w:rPr>
                          <w:t>must</w:t>
                        </w:r>
                        <w:r>
                          <w:rPr>
                            <w:color w:val="164194"/>
                            <w:spacing w:val="-8"/>
                            <w:sz w:val="28"/>
                          </w:rPr>
                          <w:t> </w:t>
                        </w:r>
                        <w:r>
                          <w:rPr>
                            <w:color w:val="164194"/>
                            <w:sz w:val="28"/>
                          </w:rPr>
                          <w:t>be</w:t>
                        </w:r>
                        <w:r>
                          <w:rPr>
                            <w:color w:val="164194"/>
                            <w:spacing w:val="-8"/>
                            <w:sz w:val="28"/>
                          </w:rPr>
                          <w:t> </w:t>
                        </w:r>
                        <w:r>
                          <w:rPr>
                            <w:color w:val="164194"/>
                            <w:sz w:val="28"/>
                          </w:rPr>
                          <w:t>interpreted</w:t>
                        </w:r>
                        <w:r>
                          <w:rPr>
                            <w:color w:val="164194"/>
                            <w:spacing w:val="-9"/>
                            <w:sz w:val="28"/>
                          </w:rPr>
                          <w:t> </w:t>
                        </w:r>
                        <w:r>
                          <w:rPr>
                            <w:color w:val="164194"/>
                            <w:sz w:val="28"/>
                          </w:rPr>
                          <w:t>as</w:t>
                        </w:r>
                        <w:r>
                          <w:rPr>
                            <w:color w:val="164194"/>
                            <w:spacing w:val="-9"/>
                            <w:sz w:val="28"/>
                          </w:rPr>
                          <w:t> </w:t>
                        </w:r>
                        <w:r>
                          <w:rPr>
                            <w:color w:val="164194"/>
                            <w:sz w:val="28"/>
                          </w:rPr>
                          <w:t>precluding national legislation which has the effect of excluding, on the basis of the freedom of choice of contracting parties, from the protection against discrimination to be conferred by that directive, the refusal, based on the sexual orientation of a person, to conclude or renew with that person a contract concerning the performance of specific work by that person in the context of the pursuit of a self-employed activity.’</w:t>
                        </w:r>
                        <w:r>
                          <w:rPr>
                            <w:color w:val="164194"/>
                            <w:sz w:val="28"/>
                            <w:vertAlign w:val="superscript"/>
                          </w:rPr>
                          <w:t>653</w:t>
                        </w:r>
                      </w:p>
                    </w:txbxContent>
                  </v:textbox>
                  <w10:wrap type="none"/>
                </v:shape>
                <w10:wrap type="topAndBottom"/>
              </v:group>
            </w:pict>
          </mc:Fallback>
        </mc:AlternateContent>
      </w:r>
    </w:p>
    <w:p>
      <w:pPr>
        <w:pStyle w:val="BodyText"/>
        <w:spacing w:line="232" w:lineRule="auto" w:before="228"/>
        <w:ind w:left="1117" w:right="888"/>
      </w:pPr>
      <w:r>
        <w:rPr/>
        <w:t>Whilst</w:t>
      </w:r>
      <w:r>
        <w:rPr>
          <w:spacing w:val="-6"/>
        </w:rPr>
        <w:t> </w:t>
      </w:r>
      <w:r>
        <w:rPr/>
        <w:t>no</w:t>
      </w:r>
      <w:r>
        <w:rPr>
          <w:spacing w:val="-6"/>
        </w:rPr>
        <w:t> </w:t>
      </w:r>
      <w:r>
        <w:rPr/>
        <w:t>change</w:t>
      </w:r>
      <w:r>
        <w:rPr>
          <w:spacing w:val="-6"/>
        </w:rPr>
        <w:t> </w:t>
      </w:r>
      <w:r>
        <w:rPr/>
        <w:t>is</w:t>
      </w:r>
      <w:r>
        <w:rPr>
          <w:spacing w:val="-6"/>
        </w:rPr>
        <w:t> </w:t>
      </w:r>
      <w:r>
        <w:rPr/>
        <w:t>currently</w:t>
      </w:r>
      <w:r>
        <w:rPr>
          <w:spacing w:val="-6"/>
        </w:rPr>
        <w:t> </w:t>
      </w:r>
      <w:r>
        <w:rPr/>
        <w:t>envisaged</w:t>
      </w:r>
      <w:r>
        <w:rPr>
          <w:spacing w:val="-6"/>
        </w:rPr>
        <w:t> </w:t>
      </w:r>
      <w:r>
        <w:rPr/>
        <w:t>within</w:t>
      </w:r>
      <w:r>
        <w:rPr>
          <w:spacing w:val="-6"/>
        </w:rPr>
        <w:t> </w:t>
      </w:r>
      <w:r>
        <w:rPr/>
        <w:t>the</w:t>
      </w:r>
      <w:r>
        <w:rPr>
          <w:spacing w:val="-6"/>
        </w:rPr>
        <w:t> </w:t>
      </w:r>
      <w:r>
        <w:rPr/>
        <w:t>NI</w:t>
      </w:r>
      <w:r>
        <w:rPr>
          <w:spacing w:val="-6"/>
        </w:rPr>
        <w:t> </w:t>
      </w:r>
      <w:r>
        <w:rPr/>
        <w:t>context,</w:t>
      </w:r>
      <w:r>
        <w:rPr>
          <w:spacing w:val="-6"/>
        </w:rPr>
        <w:t> </w:t>
      </w:r>
      <w:r>
        <w:rPr/>
        <w:t>this</w:t>
      </w:r>
      <w:r>
        <w:rPr>
          <w:spacing w:val="-6"/>
        </w:rPr>
        <w:t> </w:t>
      </w:r>
      <w:r>
        <w:rPr/>
        <w:t>continues</w:t>
      </w:r>
      <w:r>
        <w:rPr>
          <w:spacing w:val="-6"/>
        </w:rPr>
        <w:t> </w:t>
      </w:r>
      <w:r>
        <w:rPr/>
        <w:t>to</w:t>
      </w:r>
      <w:r>
        <w:rPr>
          <w:spacing w:val="-6"/>
        </w:rPr>
        <w:t> </w:t>
      </w:r>
      <w:r>
        <w:rPr/>
        <w:t>be a matter which should be closely monitored through continued analysis of CJEU case law.</w:t>
      </w:r>
    </w:p>
    <w:p>
      <w:pPr>
        <w:pStyle w:val="BodyText"/>
        <w:spacing w:before="60"/>
      </w:pPr>
    </w:p>
    <w:p>
      <w:pPr>
        <w:pStyle w:val="ListParagraph"/>
        <w:numPr>
          <w:ilvl w:val="3"/>
          <w:numId w:val="52"/>
        </w:numPr>
        <w:tabs>
          <w:tab w:pos="1960" w:val="left" w:leader="none"/>
        </w:tabs>
        <w:spacing w:line="232" w:lineRule="auto" w:before="0" w:after="0"/>
        <w:ind w:left="1117" w:right="1056" w:firstLine="0"/>
        <w:jc w:val="left"/>
        <w:rPr>
          <w:sz w:val="28"/>
        </w:rPr>
      </w:pPr>
      <w:r>
        <w:rPr>
          <w:color w:val="004A93"/>
          <w:sz w:val="28"/>
        </w:rPr>
        <w:t>Thematic Area: Religion in the Workplace and Fixed Term Employment </w:t>
      </w:r>
      <w:r>
        <w:rPr>
          <w:sz w:val="28"/>
        </w:rPr>
        <w:t>The case of </w:t>
      </w:r>
      <w:r>
        <w:rPr>
          <w:b/>
          <w:i/>
          <w:sz w:val="28"/>
        </w:rPr>
        <w:t>MIUR</w:t>
      </w:r>
      <w:r>
        <w:rPr>
          <w:sz w:val="28"/>
          <w:vertAlign w:val="superscript"/>
        </w:rPr>
        <w:t>654</w:t>
      </w:r>
      <w:r>
        <w:rPr>
          <w:sz w:val="28"/>
          <w:vertAlign w:val="baseline"/>
        </w:rPr>
        <w:t> dealt with the issue of discrimination on the basis of religion,</w:t>
      </w:r>
      <w:r>
        <w:rPr>
          <w:spacing w:val="-7"/>
          <w:sz w:val="28"/>
          <w:vertAlign w:val="baseline"/>
        </w:rPr>
        <w:t> </w:t>
      </w:r>
      <w:r>
        <w:rPr>
          <w:sz w:val="28"/>
          <w:vertAlign w:val="baseline"/>
        </w:rPr>
        <w:t>with</w:t>
      </w:r>
      <w:r>
        <w:rPr>
          <w:spacing w:val="-8"/>
          <w:sz w:val="28"/>
          <w:vertAlign w:val="baseline"/>
        </w:rPr>
        <w:t> </w:t>
      </w:r>
      <w:r>
        <w:rPr>
          <w:sz w:val="28"/>
          <w:vertAlign w:val="baseline"/>
        </w:rPr>
        <w:t>specific</w:t>
      </w:r>
      <w:r>
        <w:rPr>
          <w:spacing w:val="-7"/>
          <w:sz w:val="28"/>
          <w:vertAlign w:val="baseline"/>
        </w:rPr>
        <w:t> </w:t>
      </w:r>
      <w:r>
        <w:rPr>
          <w:sz w:val="28"/>
          <w:vertAlign w:val="baseline"/>
        </w:rPr>
        <w:t>attention</w:t>
      </w:r>
      <w:r>
        <w:rPr>
          <w:spacing w:val="-8"/>
          <w:sz w:val="28"/>
          <w:vertAlign w:val="baseline"/>
        </w:rPr>
        <w:t> </w:t>
      </w:r>
      <w:r>
        <w:rPr>
          <w:sz w:val="28"/>
          <w:vertAlign w:val="baseline"/>
        </w:rPr>
        <w:t>to</w:t>
      </w:r>
      <w:r>
        <w:rPr>
          <w:spacing w:val="-8"/>
          <w:sz w:val="28"/>
          <w:vertAlign w:val="baseline"/>
        </w:rPr>
        <w:t> </w:t>
      </w:r>
      <w:r>
        <w:rPr>
          <w:sz w:val="28"/>
          <w:vertAlign w:val="baseline"/>
        </w:rPr>
        <w:t>those</w:t>
      </w:r>
      <w:r>
        <w:rPr>
          <w:spacing w:val="-7"/>
          <w:sz w:val="28"/>
          <w:vertAlign w:val="baseline"/>
        </w:rPr>
        <w:t> </w:t>
      </w:r>
      <w:r>
        <w:rPr>
          <w:sz w:val="28"/>
          <w:vertAlign w:val="baseline"/>
        </w:rPr>
        <w:t>able</w:t>
      </w:r>
      <w:r>
        <w:rPr>
          <w:spacing w:val="-7"/>
          <w:sz w:val="28"/>
          <w:vertAlign w:val="baseline"/>
        </w:rPr>
        <w:t> </w:t>
      </w:r>
      <w:r>
        <w:rPr>
          <w:sz w:val="28"/>
          <w:vertAlign w:val="baseline"/>
        </w:rPr>
        <w:t>to</w:t>
      </w:r>
      <w:r>
        <w:rPr>
          <w:spacing w:val="-8"/>
          <w:sz w:val="28"/>
          <w:vertAlign w:val="baseline"/>
        </w:rPr>
        <w:t> </w:t>
      </w:r>
      <w:r>
        <w:rPr>
          <w:sz w:val="28"/>
          <w:vertAlign w:val="baseline"/>
        </w:rPr>
        <w:t>access</w:t>
      </w:r>
      <w:r>
        <w:rPr>
          <w:spacing w:val="-8"/>
          <w:sz w:val="28"/>
          <w:vertAlign w:val="baseline"/>
        </w:rPr>
        <w:t> </w:t>
      </w:r>
      <w:r>
        <w:rPr>
          <w:sz w:val="28"/>
          <w:vertAlign w:val="baseline"/>
        </w:rPr>
        <w:t>permanent</w:t>
      </w:r>
      <w:r>
        <w:rPr>
          <w:spacing w:val="-7"/>
          <w:sz w:val="28"/>
          <w:vertAlign w:val="baseline"/>
        </w:rPr>
        <w:t> </w:t>
      </w:r>
      <w:r>
        <w:rPr>
          <w:sz w:val="28"/>
          <w:vertAlign w:val="baseline"/>
        </w:rPr>
        <w:t>contracts.</w:t>
      </w:r>
      <w:r>
        <w:rPr>
          <w:spacing w:val="-8"/>
          <w:sz w:val="28"/>
          <w:vertAlign w:val="baseline"/>
        </w:rPr>
        <w:t> </w:t>
      </w:r>
      <w:r>
        <w:rPr>
          <w:sz w:val="28"/>
          <w:vertAlign w:val="baseline"/>
        </w:rPr>
        <w:t>The applicants in the case were Catholic religious education teachers employed in public education establishments under successive fixed-term contracts.</w:t>
      </w:r>
      <w:r>
        <w:rPr>
          <w:sz w:val="28"/>
          <w:vertAlign w:val="superscript"/>
        </w:rPr>
        <w:t>655</w:t>
      </w:r>
      <w:r>
        <w:rPr>
          <w:sz w:val="28"/>
          <w:vertAlign w:val="baseline"/>
        </w:rPr>
        <w:t> The</w:t>
      </w:r>
    </w:p>
    <w:p>
      <w:pPr>
        <w:pStyle w:val="BodyText"/>
        <w:spacing w:line="232" w:lineRule="auto"/>
        <w:ind w:left="1117" w:right="738"/>
      </w:pPr>
      <w:r>
        <w:rPr/>
        <w:t>issue</w:t>
      </w:r>
      <w:r>
        <w:rPr>
          <w:spacing w:val="-5"/>
        </w:rPr>
        <w:t> </w:t>
      </w:r>
      <w:r>
        <w:rPr/>
        <w:t>at</w:t>
      </w:r>
      <w:r>
        <w:rPr>
          <w:spacing w:val="-5"/>
        </w:rPr>
        <w:t> </w:t>
      </w:r>
      <w:r>
        <w:rPr/>
        <w:t>hand</w:t>
      </w:r>
      <w:r>
        <w:rPr>
          <w:spacing w:val="-6"/>
        </w:rPr>
        <w:t> </w:t>
      </w:r>
      <w:r>
        <w:rPr/>
        <w:t>being</w:t>
      </w:r>
      <w:r>
        <w:rPr>
          <w:spacing w:val="-5"/>
        </w:rPr>
        <w:t> </w:t>
      </w:r>
      <w:r>
        <w:rPr/>
        <w:t>that</w:t>
      </w:r>
      <w:r>
        <w:rPr>
          <w:spacing w:val="-5"/>
        </w:rPr>
        <w:t> </w:t>
      </w:r>
      <w:r>
        <w:rPr/>
        <w:t>the</w:t>
      </w:r>
      <w:r>
        <w:rPr>
          <w:spacing w:val="-5"/>
        </w:rPr>
        <w:t> </w:t>
      </w:r>
      <w:r>
        <w:rPr/>
        <w:t>applicants</w:t>
      </w:r>
      <w:r>
        <w:rPr>
          <w:spacing w:val="-6"/>
        </w:rPr>
        <w:t> </w:t>
      </w:r>
      <w:r>
        <w:rPr/>
        <w:t>argued</w:t>
      </w:r>
      <w:r>
        <w:rPr>
          <w:spacing w:val="-6"/>
        </w:rPr>
        <w:t> </w:t>
      </w:r>
      <w:r>
        <w:rPr/>
        <w:t>that</w:t>
      </w:r>
      <w:r>
        <w:rPr>
          <w:spacing w:val="-5"/>
        </w:rPr>
        <w:t> </w:t>
      </w:r>
      <w:r>
        <w:rPr/>
        <w:t>the</w:t>
      </w:r>
      <w:r>
        <w:rPr>
          <w:spacing w:val="-5"/>
        </w:rPr>
        <w:t> </w:t>
      </w:r>
      <w:r>
        <w:rPr/>
        <w:t>inability</w:t>
      </w:r>
      <w:r>
        <w:rPr>
          <w:spacing w:val="-5"/>
        </w:rPr>
        <w:t> </w:t>
      </w:r>
      <w:r>
        <w:rPr/>
        <w:t>for</w:t>
      </w:r>
      <w:r>
        <w:rPr>
          <w:spacing w:val="-5"/>
        </w:rPr>
        <w:t> </w:t>
      </w:r>
      <w:r>
        <w:rPr/>
        <w:t>said</w:t>
      </w:r>
      <w:r>
        <w:rPr>
          <w:spacing w:val="-6"/>
        </w:rPr>
        <w:t> </w:t>
      </w:r>
      <w:r>
        <w:rPr/>
        <w:t>fixed-term contracts to be converted into permanent contracts due to national legislation amounted to discrimination on the basis of religion within the parameters laid</w:t>
      </w:r>
    </w:p>
    <w:p>
      <w:pPr>
        <w:pStyle w:val="BodyText"/>
        <w:spacing w:before="8"/>
        <w:rPr>
          <w:sz w:val="6"/>
        </w:rPr>
      </w:pPr>
      <w:r>
        <w:rPr/>
        <mc:AlternateContent>
          <mc:Choice Requires="wps">
            <w:drawing>
              <wp:anchor distT="0" distB="0" distL="0" distR="0" allowOverlap="1" layoutInCell="1" locked="0" behindDoc="1" simplePos="0" relativeHeight="487786496">
                <wp:simplePos x="0" y="0"/>
                <wp:positionH relativeFrom="page">
                  <wp:posOffset>899999</wp:posOffset>
                </wp:positionH>
                <wp:positionV relativeFrom="paragraph">
                  <wp:posOffset>67095</wp:posOffset>
                </wp:positionV>
                <wp:extent cx="6012180" cy="1270"/>
                <wp:effectExtent l="0" t="0" r="0" b="0"/>
                <wp:wrapTopAndBottom/>
                <wp:docPr id="1043" name="Graphic 1043"/>
                <wp:cNvGraphicFramePr>
                  <a:graphicFrameLocks/>
                </wp:cNvGraphicFramePr>
                <a:graphic>
                  <a:graphicData uri="http://schemas.microsoft.com/office/word/2010/wordprocessingShape">
                    <wps:wsp>
                      <wps:cNvPr id="1043" name="Graphic 104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5.283123pt;width:473.4pt;height:.1pt;mso-position-horizontal-relative:page;mso-position-vertical-relative:paragraph;z-index:-15529984;mso-wrap-distance-left:0;mso-wrap-distance-right:0" id="docshape859" coordorigin="1417,106" coordsize="9468,0" path="m1417,106l10885,106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77.</w:t>
      </w:r>
    </w:p>
    <w:p>
      <w:pPr>
        <w:pStyle w:val="ListParagraph"/>
        <w:numPr>
          <w:ilvl w:val="0"/>
          <w:numId w:val="51"/>
        </w:numPr>
        <w:tabs>
          <w:tab w:pos="1684" w:val="left" w:leader="none"/>
        </w:tabs>
        <w:spacing w:line="240" w:lineRule="auto" w:before="1"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79.</w:t>
      </w:r>
    </w:p>
    <w:p>
      <w:pPr>
        <w:pStyle w:val="ListParagraph"/>
        <w:numPr>
          <w:ilvl w:val="0"/>
          <w:numId w:val="51"/>
        </w:numPr>
        <w:tabs>
          <w:tab w:pos="1684" w:val="left" w:leader="none"/>
        </w:tabs>
        <w:spacing w:line="240" w:lineRule="auto" w:before="0" w:after="0"/>
        <w:ind w:left="1684" w:right="0" w:hanging="567"/>
        <w:jc w:val="left"/>
        <w:rPr>
          <w:sz w:val="18"/>
        </w:rPr>
      </w:pPr>
      <w:r>
        <w:rPr>
          <w:sz w:val="18"/>
        </w:rPr>
        <w:t>C-282/19</w:t>
      </w:r>
      <w:r>
        <w:rPr>
          <w:spacing w:val="-3"/>
          <w:sz w:val="18"/>
        </w:rPr>
        <w:t> </w:t>
      </w:r>
      <w:r>
        <w:rPr>
          <w:color w:val="1D71B8"/>
          <w:sz w:val="18"/>
          <w:u w:val="single" w:color="1D71B8"/>
        </w:rPr>
        <w:t>MIUR</w:t>
      </w:r>
      <w:r>
        <w:rPr>
          <w:sz w:val="18"/>
          <w:u w:val="none"/>
        </w:rPr>
        <w:t>,</w:t>
      </w:r>
      <w:r>
        <w:rPr>
          <w:spacing w:val="-1"/>
          <w:sz w:val="18"/>
          <w:u w:val="none"/>
        </w:rPr>
        <w:t> </w:t>
      </w:r>
      <w:r>
        <w:rPr>
          <w:sz w:val="18"/>
          <w:u w:val="none"/>
        </w:rPr>
        <w:t>judgment</w:t>
      </w:r>
      <w:r>
        <w:rPr>
          <w:spacing w:val="-1"/>
          <w:sz w:val="18"/>
          <w:u w:val="none"/>
        </w:rPr>
        <w:t> </w:t>
      </w:r>
      <w:r>
        <w:rPr>
          <w:sz w:val="18"/>
          <w:u w:val="none"/>
        </w:rPr>
        <w:t>of</w:t>
      </w:r>
      <w:r>
        <w:rPr>
          <w:spacing w:val="-3"/>
          <w:sz w:val="18"/>
          <w:u w:val="none"/>
        </w:rPr>
        <w:t> </w:t>
      </w:r>
      <w:r>
        <w:rPr>
          <w:sz w:val="18"/>
          <w:u w:val="none"/>
        </w:rPr>
        <w:t>13</w:t>
      </w:r>
      <w:r>
        <w:rPr>
          <w:spacing w:val="-1"/>
          <w:sz w:val="18"/>
          <w:u w:val="none"/>
        </w:rPr>
        <w:t> </w:t>
      </w:r>
      <w:r>
        <w:rPr>
          <w:sz w:val="18"/>
          <w:u w:val="none"/>
        </w:rPr>
        <w:t>January</w:t>
      </w:r>
      <w:r>
        <w:rPr>
          <w:spacing w:val="-1"/>
          <w:sz w:val="18"/>
          <w:u w:val="none"/>
        </w:rPr>
        <w:t> </w:t>
      </w:r>
      <w:r>
        <w:rPr>
          <w:sz w:val="18"/>
          <w:u w:val="none"/>
        </w:rPr>
        <w:t>2023,</w:t>
      </w:r>
      <w:r>
        <w:rPr>
          <w:spacing w:val="-1"/>
          <w:sz w:val="18"/>
          <w:u w:val="none"/>
        </w:rPr>
        <w:t> </w:t>
      </w:r>
      <w:r>
        <w:rPr>
          <w:spacing w:val="-2"/>
          <w:sz w:val="18"/>
          <w:u w:val="none"/>
        </w:rPr>
        <w:t>ECLI:EU:C:2022:3</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3"/>
          <w:sz w:val="18"/>
        </w:rPr>
        <w:t> </w:t>
      </w:r>
      <w:r>
        <w:rPr>
          <w:sz w:val="18"/>
        </w:rPr>
        <w:t>para.</w:t>
      </w:r>
      <w:r>
        <w:rPr>
          <w:spacing w:val="-3"/>
          <w:sz w:val="18"/>
        </w:rPr>
        <w:t> </w:t>
      </w:r>
      <w:r>
        <w:rPr>
          <w:spacing w:val="-5"/>
          <w:sz w:val="18"/>
        </w:rPr>
        <w:t>26.</w:t>
      </w:r>
    </w:p>
    <w:p>
      <w:pPr>
        <w:spacing w:after="0" w:line="240" w:lineRule="auto"/>
        <w:jc w:val="left"/>
        <w:rPr>
          <w:sz w:val="18"/>
        </w:rPr>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05728">
                <wp:simplePos x="0" y="0"/>
                <wp:positionH relativeFrom="page">
                  <wp:posOffset>0</wp:posOffset>
                </wp:positionH>
                <wp:positionV relativeFrom="page">
                  <wp:posOffset>0</wp:posOffset>
                </wp:positionV>
                <wp:extent cx="7560309" cy="1155065"/>
                <wp:effectExtent l="0" t="0" r="0" b="0"/>
                <wp:wrapNone/>
                <wp:docPr id="1044" name="Group 1044"/>
                <wp:cNvGraphicFramePr>
                  <a:graphicFrameLocks/>
                </wp:cNvGraphicFramePr>
                <a:graphic>
                  <a:graphicData uri="http://schemas.microsoft.com/office/word/2010/wordprocessingGroup">
                    <wpg:wgp>
                      <wpg:cNvPr id="1044" name="Group 1044"/>
                      <wpg:cNvGrpSpPr/>
                      <wpg:grpSpPr>
                        <a:xfrm>
                          <a:off x="0" y="0"/>
                          <a:ext cx="7560309" cy="1155065"/>
                          <a:chExt cx="7560309" cy="1155065"/>
                        </a:xfrm>
                      </wpg:grpSpPr>
                      <wps:wsp>
                        <wps:cNvPr id="1045" name="Graphic 104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046" name="Graphic 104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10752" id="docshapegroup860" coordorigin="0,0" coordsize="11906,1819">
                <v:shape style="position:absolute;left:0;top:0;width:11906;height:1819" id="docshape861"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bookmarkStart w:name="6.3.4.4 Thematic Area: Disability Discri" w:id="199"/>
      <w:bookmarkEnd w:id="199"/>
      <w:r>
        <w:rPr/>
      </w:r>
      <w:bookmarkStart w:name="_bookmark83" w:id="200"/>
      <w:bookmarkEnd w:id="200"/>
      <w:r>
        <w:rPr/>
      </w:r>
      <w:r>
        <w:rPr>
          <w:b/>
          <w:color w:val="FFFFFF"/>
          <w:spacing w:val="-5"/>
          <w:position w:val="-1"/>
          <w:sz w:val="28"/>
        </w:rPr>
        <w:t>128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down</w:t>
      </w:r>
      <w:r>
        <w:rPr>
          <w:spacing w:val="-6"/>
        </w:rPr>
        <w:t> </w:t>
      </w:r>
      <w:r>
        <w:rPr/>
        <w:t>in</w:t>
      </w:r>
      <w:r>
        <w:rPr>
          <w:spacing w:val="-6"/>
        </w:rPr>
        <w:t> </w:t>
      </w:r>
      <w:r>
        <w:rPr/>
        <w:t>Directive</w:t>
      </w:r>
      <w:r>
        <w:rPr>
          <w:spacing w:val="-5"/>
        </w:rPr>
        <w:t> </w:t>
      </w:r>
      <w:r>
        <w:rPr/>
        <w:t>2000/78.</w:t>
      </w:r>
      <w:r>
        <w:rPr>
          <w:spacing w:val="-6"/>
        </w:rPr>
        <w:t> </w:t>
      </w:r>
      <w:r>
        <w:rPr/>
        <w:t>The</w:t>
      </w:r>
      <w:r>
        <w:rPr>
          <w:spacing w:val="-5"/>
        </w:rPr>
        <w:t> </w:t>
      </w:r>
      <w:r>
        <w:rPr/>
        <w:t>Court</w:t>
      </w:r>
      <w:r>
        <w:rPr>
          <w:spacing w:val="-5"/>
        </w:rPr>
        <w:t> </w:t>
      </w:r>
      <w:r>
        <w:rPr/>
        <w:t>further</w:t>
      </w:r>
      <w:r>
        <w:rPr>
          <w:spacing w:val="-5"/>
        </w:rPr>
        <w:t> </w:t>
      </w:r>
      <w:r>
        <w:rPr/>
        <w:t>detailed</w:t>
      </w:r>
      <w:r>
        <w:rPr>
          <w:spacing w:val="-6"/>
        </w:rPr>
        <w:t> </w:t>
      </w:r>
      <w:r>
        <w:rPr/>
        <w:t>that</w:t>
      </w:r>
      <w:r>
        <w:rPr>
          <w:spacing w:val="-5"/>
        </w:rPr>
        <w:t> </w:t>
      </w:r>
      <w:r>
        <w:rPr/>
        <w:t>Directive</w:t>
      </w:r>
      <w:r>
        <w:rPr>
          <w:spacing w:val="-5"/>
        </w:rPr>
        <w:t> </w:t>
      </w:r>
      <w:r>
        <w:rPr/>
        <w:t>2000/78</w:t>
      </w:r>
      <w:r>
        <w:rPr>
          <w:spacing w:val="-5"/>
        </w:rPr>
        <w:t> </w:t>
      </w:r>
      <w:r>
        <w:rPr/>
        <w:t>is</w:t>
      </w:r>
      <w:r>
        <w:rPr>
          <w:spacing w:val="-6"/>
        </w:rPr>
        <w:t> </w:t>
      </w:r>
      <w:r>
        <w:rPr/>
        <w:t>‘a specific expression, within</w:t>
      </w:r>
      <w:r>
        <w:rPr>
          <w:spacing w:val="-1"/>
        </w:rPr>
        <w:t> </w:t>
      </w:r>
      <w:r>
        <w:rPr/>
        <w:t>the field</w:t>
      </w:r>
      <w:r>
        <w:rPr>
          <w:spacing w:val="-1"/>
        </w:rPr>
        <w:t> </w:t>
      </w:r>
      <w:r>
        <w:rPr/>
        <w:t>that it covers, of</w:t>
      </w:r>
      <w:r>
        <w:rPr>
          <w:spacing w:val="-1"/>
        </w:rPr>
        <w:t> </w:t>
      </w:r>
      <w:r>
        <w:rPr/>
        <w:t>the general</w:t>
      </w:r>
      <w:r>
        <w:rPr>
          <w:spacing w:val="-1"/>
        </w:rPr>
        <w:t> </w:t>
      </w:r>
      <w:r>
        <w:rPr/>
        <w:t>principle of</w:t>
      </w:r>
      <w:r>
        <w:rPr>
          <w:spacing w:val="-1"/>
        </w:rPr>
        <w:t> </w:t>
      </w:r>
      <w:r>
        <w:rPr/>
        <w:t>non- discrimination now enshrined in Article 21 of the Charter’ in light of the </w:t>
      </w:r>
      <w:r>
        <w:rPr>
          <w:i/>
        </w:rPr>
        <w:t>Szpital</w:t>
      </w:r>
      <w:r>
        <w:rPr>
          <w:i/>
        </w:rPr>
        <w:t> Kliniczny</w:t>
      </w:r>
      <w:r>
        <w:rPr>
          <w:vertAlign w:val="superscript"/>
        </w:rPr>
        <w:t>656</w:t>
      </w:r>
      <w:r>
        <w:rPr>
          <w:vertAlign w:val="baseline"/>
        </w:rPr>
        <w:t> ruling and highlighting the importance through which the Charter continues to apply.</w:t>
      </w:r>
      <w:r>
        <w:rPr>
          <w:vertAlign w:val="superscript"/>
        </w:rPr>
        <w:t>657</w:t>
      </w:r>
    </w:p>
    <w:p>
      <w:pPr>
        <w:pStyle w:val="BodyText"/>
        <w:spacing w:before="267"/>
        <w:ind w:left="720"/>
      </w:pPr>
      <w:r>
        <w:rPr/>
        <w:t>The</w:t>
      </w:r>
      <w:r>
        <w:rPr>
          <w:spacing w:val="-5"/>
        </w:rPr>
        <w:t> </w:t>
      </w:r>
      <w:r>
        <w:rPr/>
        <w:t>Court</w:t>
      </w:r>
      <w:r>
        <w:rPr>
          <w:spacing w:val="-4"/>
        </w:rPr>
        <w:t> </w:t>
      </w:r>
      <w:r>
        <w:rPr/>
        <w:t>ultimately</w:t>
      </w:r>
      <w:r>
        <w:rPr>
          <w:spacing w:val="-4"/>
        </w:rPr>
        <w:t> </w:t>
      </w:r>
      <w:r>
        <w:rPr/>
        <w:t>held</w:t>
      </w:r>
      <w:r>
        <w:rPr>
          <w:spacing w:val="-6"/>
        </w:rPr>
        <w:t> </w:t>
      </w:r>
      <w:r>
        <w:rPr>
          <w:spacing w:val="-4"/>
        </w:rPr>
        <w:t>that:</w:t>
      </w:r>
    </w:p>
    <w:p>
      <w:pPr>
        <w:pStyle w:val="BodyText"/>
        <w:spacing w:before="4"/>
        <w:rPr>
          <w:sz w:val="20"/>
        </w:rPr>
      </w:pPr>
      <w:r>
        <w:rPr/>
        <mc:AlternateContent>
          <mc:Choice Requires="wps">
            <w:drawing>
              <wp:anchor distT="0" distB="0" distL="0" distR="0" allowOverlap="1" layoutInCell="1" locked="0" behindDoc="1" simplePos="0" relativeHeight="487787520">
                <wp:simplePos x="0" y="0"/>
                <wp:positionH relativeFrom="page">
                  <wp:posOffset>647994</wp:posOffset>
                </wp:positionH>
                <wp:positionV relativeFrom="paragraph">
                  <wp:posOffset>172946</wp:posOffset>
                </wp:positionV>
                <wp:extent cx="6012180" cy="2070735"/>
                <wp:effectExtent l="0" t="0" r="0" b="0"/>
                <wp:wrapTopAndBottom/>
                <wp:docPr id="1047" name="Group 1047"/>
                <wp:cNvGraphicFramePr>
                  <a:graphicFrameLocks/>
                </wp:cNvGraphicFramePr>
                <a:graphic>
                  <a:graphicData uri="http://schemas.microsoft.com/office/word/2010/wordprocessingGroup">
                    <wpg:wgp>
                      <wpg:cNvPr id="1047" name="Group 1047"/>
                      <wpg:cNvGrpSpPr/>
                      <wpg:grpSpPr>
                        <a:xfrm>
                          <a:off x="0" y="0"/>
                          <a:ext cx="6012180" cy="2070735"/>
                          <a:chExt cx="6012180" cy="2070735"/>
                        </a:xfrm>
                      </wpg:grpSpPr>
                      <wps:wsp>
                        <wps:cNvPr id="1048" name="Graphic 1048"/>
                        <wps:cNvSpPr/>
                        <wps:spPr>
                          <a:xfrm>
                            <a:off x="0" y="0"/>
                            <a:ext cx="6012180" cy="2070735"/>
                          </a:xfrm>
                          <a:custGeom>
                            <a:avLst/>
                            <a:gdLst/>
                            <a:ahLst/>
                            <a:cxnLst/>
                            <a:rect l="l" t="t" r="r" b="b"/>
                            <a:pathLst>
                              <a:path w="6012180" h="2070735">
                                <a:moveTo>
                                  <a:pt x="5868009" y="0"/>
                                </a:moveTo>
                                <a:lnTo>
                                  <a:pt x="144005" y="0"/>
                                </a:lnTo>
                                <a:lnTo>
                                  <a:pt x="98490" y="7340"/>
                                </a:lnTo>
                                <a:lnTo>
                                  <a:pt x="58959" y="27782"/>
                                </a:lnTo>
                                <a:lnTo>
                                  <a:pt x="27785" y="58954"/>
                                </a:lnTo>
                                <a:lnTo>
                                  <a:pt x="7341" y="98485"/>
                                </a:lnTo>
                                <a:lnTo>
                                  <a:pt x="0" y="144005"/>
                                </a:lnTo>
                                <a:lnTo>
                                  <a:pt x="0" y="1926196"/>
                                </a:lnTo>
                                <a:lnTo>
                                  <a:pt x="7341" y="1971711"/>
                                </a:lnTo>
                                <a:lnTo>
                                  <a:pt x="27785" y="2011242"/>
                                </a:lnTo>
                                <a:lnTo>
                                  <a:pt x="58959" y="2042415"/>
                                </a:lnTo>
                                <a:lnTo>
                                  <a:pt x="98490" y="2062859"/>
                                </a:lnTo>
                                <a:lnTo>
                                  <a:pt x="144005" y="2070201"/>
                                </a:lnTo>
                                <a:lnTo>
                                  <a:pt x="5868009" y="2070201"/>
                                </a:lnTo>
                                <a:lnTo>
                                  <a:pt x="5913523" y="2062859"/>
                                </a:lnTo>
                                <a:lnTo>
                                  <a:pt x="5953050" y="2042415"/>
                                </a:lnTo>
                                <a:lnTo>
                                  <a:pt x="5984220" y="2011242"/>
                                </a:lnTo>
                                <a:lnTo>
                                  <a:pt x="6004661" y="1971711"/>
                                </a:lnTo>
                                <a:lnTo>
                                  <a:pt x="6012002" y="19261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49" name="Textbox 1049"/>
                        <wps:cNvSpPr txBox="1"/>
                        <wps:spPr>
                          <a:xfrm>
                            <a:off x="0" y="0"/>
                            <a:ext cx="6012180" cy="2070735"/>
                          </a:xfrm>
                          <a:prstGeom prst="rect">
                            <a:avLst/>
                          </a:prstGeom>
                        </wps:spPr>
                        <wps:txbx>
                          <w:txbxContent>
                            <w:p>
                              <w:pPr>
                                <w:spacing w:line="232" w:lineRule="auto" w:before="121"/>
                                <w:ind w:left="340" w:right="272" w:firstLine="0"/>
                                <w:jc w:val="left"/>
                                <w:rPr>
                                  <w:sz w:val="28"/>
                                </w:rPr>
                              </w:pPr>
                              <w:r>
                                <w:rPr>
                                  <w:color w:val="164194"/>
                                  <w:sz w:val="28"/>
                                </w:rPr>
                                <w:t>‘In the present case, it is apparent from the request for a preliminary ruling that</w:t>
                              </w:r>
                              <w:r>
                                <w:rPr>
                                  <w:color w:val="164194"/>
                                  <w:spacing w:val="-5"/>
                                  <w:sz w:val="28"/>
                                </w:rPr>
                                <w:t> </w:t>
                              </w:r>
                              <w:r>
                                <w:rPr>
                                  <w:color w:val="164194"/>
                                  <w:sz w:val="28"/>
                                </w:rPr>
                                <w:t>the</w:t>
                              </w:r>
                              <w:r>
                                <w:rPr>
                                  <w:color w:val="164194"/>
                                  <w:spacing w:val="-5"/>
                                  <w:sz w:val="28"/>
                                </w:rPr>
                                <w:t> </w:t>
                              </w:r>
                              <w:r>
                                <w:rPr>
                                  <w:color w:val="164194"/>
                                  <w:sz w:val="28"/>
                                </w:rPr>
                                <w:t>national</w:t>
                              </w:r>
                              <w:r>
                                <w:rPr>
                                  <w:color w:val="164194"/>
                                  <w:spacing w:val="-6"/>
                                  <w:sz w:val="28"/>
                                </w:rPr>
                                <w:t> </w:t>
                              </w:r>
                              <w:r>
                                <w:rPr>
                                  <w:color w:val="164194"/>
                                  <w:sz w:val="28"/>
                                </w:rPr>
                                <w:t>legislation</w:t>
                              </w:r>
                              <w:r>
                                <w:rPr>
                                  <w:color w:val="164194"/>
                                  <w:spacing w:val="-6"/>
                                  <w:sz w:val="28"/>
                                </w:rPr>
                                <w:t> </w:t>
                              </w:r>
                              <w:r>
                                <w:rPr>
                                  <w:color w:val="164194"/>
                                  <w:sz w:val="28"/>
                                </w:rPr>
                                <w:t>at</w:t>
                              </w:r>
                              <w:r>
                                <w:rPr>
                                  <w:color w:val="164194"/>
                                  <w:spacing w:val="-5"/>
                                  <w:sz w:val="28"/>
                                </w:rPr>
                                <w:t> </w:t>
                              </w:r>
                              <w:r>
                                <w:rPr>
                                  <w:color w:val="164194"/>
                                  <w:sz w:val="28"/>
                                </w:rPr>
                                <w:t>issue</w:t>
                              </w:r>
                              <w:r>
                                <w:rPr>
                                  <w:color w:val="164194"/>
                                  <w:spacing w:val="-5"/>
                                  <w:sz w:val="28"/>
                                </w:rPr>
                                <w:t> </w:t>
                              </w:r>
                              <w:r>
                                <w:rPr>
                                  <w:color w:val="164194"/>
                                  <w:sz w:val="28"/>
                                </w:rPr>
                                <w:t>in</w:t>
                              </w:r>
                              <w:r>
                                <w:rPr>
                                  <w:color w:val="164194"/>
                                  <w:spacing w:val="-6"/>
                                  <w:sz w:val="28"/>
                                </w:rPr>
                                <w:t> </w:t>
                              </w:r>
                              <w:r>
                                <w:rPr>
                                  <w:color w:val="164194"/>
                                  <w:sz w:val="28"/>
                                </w:rPr>
                                <w:t>the</w:t>
                              </w:r>
                              <w:r>
                                <w:rPr>
                                  <w:color w:val="164194"/>
                                  <w:spacing w:val="-5"/>
                                  <w:sz w:val="28"/>
                                </w:rPr>
                                <w:t> </w:t>
                              </w:r>
                              <w:r>
                                <w:rPr>
                                  <w:color w:val="164194"/>
                                  <w:sz w:val="28"/>
                                </w:rPr>
                                <w:t>main</w:t>
                              </w:r>
                              <w:r>
                                <w:rPr>
                                  <w:color w:val="164194"/>
                                  <w:spacing w:val="-6"/>
                                  <w:sz w:val="28"/>
                                </w:rPr>
                                <w:t> </w:t>
                              </w:r>
                              <w:r>
                                <w:rPr>
                                  <w:color w:val="164194"/>
                                  <w:sz w:val="28"/>
                                </w:rPr>
                                <w:t>proceedings</w:t>
                              </w:r>
                              <w:r>
                                <w:rPr>
                                  <w:color w:val="164194"/>
                                  <w:spacing w:val="-6"/>
                                  <w:sz w:val="28"/>
                                </w:rPr>
                                <w:t> </w:t>
                              </w:r>
                              <w:r>
                                <w:rPr>
                                  <w:color w:val="164194"/>
                                  <w:sz w:val="28"/>
                                </w:rPr>
                                <w:t>deprives</w:t>
                              </w:r>
                              <w:r>
                                <w:rPr>
                                  <w:color w:val="164194"/>
                                  <w:spacing w:val="-6"/>
                                  <w:sz w:val="28"/>
                                </w:rPr>
                                <w:t> </w:t>
                              </w:r>
                              <w:r>
                                <w:rPr>
                                  <w:color w:val="164194"/>
                                  <w:sz w:val="28"/>
                                </w:rPr>
                                <w:t>Catholic religious education teachers in public education establishments, such as the applicants in the main proceedings, of the possibility of transforming their fixed-term contracts into a contract of indefinite duration and/or obtaining compensation for the damage suffered on account of the succession of</w:t>
                              </w:r>
                            </w:p>
                            <w:p>
                              <w:pPr>
                                <w:spacing w:line="232" w:lineRule="auto" w:before="0"/>
                                <w:ind w:left="340" w:right="196" w:firstLine="0"/>
                                <w:jc w:val="left"/>
                                <w:rPr>
                                  <w:sz w:val="28"/>
                                </w:rPr>
                              </w:pPr>
                              <w:r>
                                <w:rPr>
                                  <w:color w:val="164194"/>
                                  <w:sz w:val="28"/>
                                </w:rPr>
                                <w:t>fixed-term contracts not on the ground of their religion but, similarly to the other</w:t>
                              </w:r>
                              <w:r>
                                <w:rPr>
                                  <w:color w:val="164194"/>
                                  <w:spacing w:val="-6"/>
                                  <w:sz w:val="28"/>
                                </w:rPr>
                                <w:t> </w:t>
                              </w:r>
                              <w:r>
                                <w:rPr>
                                  <w:color w:val="164194"/>
                                  <w:sz w:val="28"/>
                                </w:rPr>
                                <w:t>teachers</w:t>
                              </w:r>
                              <w:r>
                                <w:rPr>
                                  <w:color w:val="164194"/>
                                  <w:spacing w:val="-7"/>
                                  <w:sz w:val="28"/>
                                </w:rPr>
                                <w:t> </w:t>
                              </w:r>
                              <w:r>
                                <w:rPr>
                                  <w:color w:val="164194"/>
                                  <w:sz w:val="28"/>
                                </w:rPr>
                                <w:t>in</w:t>
                              </w:r>
                              <w:r>
                                <w:rPr>
                                  <w:color w:val="164194"/>
                                  <w:spacing w:val="-7"/>
                                  <w:sz w:val="28"/>
                                </w:rPr>
                                <w:t> </w:t>
                              </w:r>
                              <w:r>
                                <w:rPr>
                                  <w:color w:val="164194"/>
                                  <w:sz w:val="28"/>
                                </w:rPr>
                                <w:t>those</w:t>
                              </w:r>
                              <w:r>
                                <w:rPr>
                                  <w:color w:val="164194"/>
                                  <w:spacing w:val="-6"/>
                                  <w:sz w:val="28"/>
                                </w:rPr>
                                <w:t> </w:t>
                              </w:r>
                              <w:r>
                                <w:rPr>
                                  <w:color w:val="164194"/>
                                  <w:sz w:val="28"/>
                                </w:rPr>
                                <w:t>establishments,</w:t>
                              </w:r>
                              <w:r>
                                <w:rPr>
                                  <w:color w:val="164194"/>
                                  <w:spacing w:val="-6"/>
                                  <w:sz w:val="28"/>
                                </w:rPr>
                                <w:t> </w:t>
                              </w:r>
                              <w:r>
                                <w:rPr>
                                  <w:color w:val="164194"/>
                                  <w:sz w:val="28"/>
                                </w:rPr>
                                <w:t>because</w:t>
                              </w:r>
                              <w:r>
                                <w:rPr>
                                  <w:color w:val="164194"/>
                                  <w:spacing w:val="-6"/>
                                  <w:sz w:val="28"/>
                                </w:rPr>
                                <w:t> </w:t>
                              </w:r>
                              <w:r>
                                <w:rPr>
                                  <w:color w:val="164194"/>
                                  <w:sz w:val="28"/>
                                </w:rPr>
                                <w:t>they</w:t>
                              </w:r>
                              <w:r>
                                <w:rPr>
                                  <w:color w:val="164194"/>
                                  <w:spacing w:val="-6"/>
                                  <w:sz w:val="28"/>
                                </w:rPr>
                                <w:t> </w:t>
                              </w:r>
                              <w:r>
                                <w:rPr>
                                  <w:color w:val="164194"/>
                                  <w:sz w:val="28"/>
                                </w:rPr>
                                <w:t>come</w:t>
                              </w:r>
                              <w:r>
                                <w:rPr>
                                  <w:color w:val="164194"/>
                                  <w:spacing w:val="-6"/>
                                  <w:sz w:val="28"/>
                                </w:rPr>
                                <w:t> </w:t>
                              </w:r>
                              <w:r>
                                <w:rPr>
                                  <w:color w:val="164194"/>
                                  <w:sz w:val="28"/>
                                </w:rPr>
                                <w:t>under</w:t>
                              </w:r>
                              <w:r>
                                <w:rPr>
                                  <w:color w:val="164194"/>
                                  <w:spacing w:val="-6"/>
                                  <w:sz w:val="28"/>
                                </w:rPr>
                                <w:t> </w:t>
                              </w:r>
                              <w:r>
                                <w:rPr>
                                  <w:color w:val="164194"/>
                                  <w:sz w:val="28"/>
                                </w:rPr>
                                <w:t>the</w:t>
                              </w:r>
                              <w:r>
                                <w:rPr>
                                  <w:color w:val="164194"/>
                                  <w:spacing w:val="-6"/>
                                  <w:sz w:val="28"/>
                                </w:rPr>
                                <w:t> </w:t>
                              </w:r>
                              <w:r>
                                <w:rPr>
                                  <w:color w:val="164194"/>
                                  <w:sz w:val="28"/>
                                </w:rPr>
                                <w:t>public education sector […]’</w:t>
                              </w:r>
                              <w:r>
                                <w:rPr>
                                  <w:color w:val="164194"/>
                                  <w:sz w:val="28"/>
                                  <w:vertAlign w:val="superscript"/>
                                </w:rPr>
                                <w:t>658</w:t>
                              </w:r>
                            </w:p>
                          </w:txbxContent>
                        </wps:txbx>
                        <wps:bodyPr wrap="square" lIns="0" tIns="0" rIns="0" bIns="0" rtlCol="0">
                          <a:noAutofit/>
                        </wps:bodyPr>
                      </wps:wsp>
                    </wpg:wgp>
                  </a:graphicData>
                </a:graphic>
              </wp:anchor>
            </w:drawing>
          </mc:Choice>
          <mc:Fallback>
            <w:pict>
              <v:group style="position:absolute;margin-left:51.023201pt;margin-top:13.617846pt;width:473.4pt;height:163.050pt;mso-position-horizontal-relative:page;mso-position-vertical-relative:paragraph;z-index:-15528960;mso-wrap-distance-left:0;mso-wrap-distance-right:0" id="docshapegroup862" coordorigin="1020,272" coordsize="9468,3261">
                <v:shape style="position:absolute;left:1020;top:272;width:9468;height:3261" id="docshape863" coordorigin="1020,272" coordsize="9468,3261" path="m10261,272l1247,272,1176,284,1113,316,1064,365,1032,427,1020,499,1020,3306,1032,3377,1064,3440,1113,3489,1176,3521,1247,3533,10261,3533,10333,3521,10395,3489,10444,3440,10477,3377,10488,3306,10488,499,10477,427,10444,365,10395,316,10333,284,10261,272xe" filled="true" fillcolor="#e9f3fc" stroked="false">
                  <v:path arrowok="t"/>
                  <v:fill type="solid"/>
                </v:shape>
                <v:shape style="position:absolute;left:1020;top:272;width:9468;height:3261" type="#_x0000_t202" id="docshape864" filled="false" stroked="false">
                  <v:textbox inset="0,0,0,0">
                    <w:txbxContent>
                      <w:p>
                        <w:pPr>
                          <w:spacing w:line="232" w:lineRule="auto" w:before="121"/>
                          <w:ind w:left="340" w:right="272" w:firstLine="0"/>
                          <w:jc w:val="left"/>
                          <w:rPr>
                            <w:sz w:val="28"/>
                          </w:rPr>
                        </w:pPr>
                        <w:r>
                          <w:rPr>
                            <w:color w:val="164194"/>
                            <w:sz w:val="28"/>
                          </w:rPr>
                          <w:t>‘In the present case, it is apparent from the request for a preliminary ruling that</w:t>
                        </w:r>
                        <w:r>
                          <w:rPr>
                            <w:color w:val="164194"/>
                            <w:spacing w:val="-5"/>
                            <w:sz w:val="28"/>
                          </w:rPr>
                          <w:t> </w:t>
                        </w:r>
                        <w:r>
                          <w:rPr>
                            <w:color w:val="164194"/>
                            <w:sz w:val="28"/>
                          </w:rPr>
                          <w:t>the</w:t>
                        </w:r>
                        <w:r>
                          <w:rPr>
                            <w:color w:val="164194"/>
                            <w:spacing w:val="-5"/>
                            <w:sz w:val="28"/>
                          </w:rPr>
                          <w:t> </w:t>
                        </w:r>
                        <w:r>
                          <w:rPr>
                            <w:color w:val="164194"/>
                            <w:sz w:val="28"/>
                          </w:rPr>
                          <w:t>national</w:t>
                        </w:r>
                        <w:r>
                          <w:rPr>
                            <w:color w:val="164194"/>
                            <w:spacing w:val="-6"/>
                            <w:sz w:val="28"/>
                          </w:rPr>
                          <w:t> </w:t>
                        </w:r>
                        <w:r>
                          <w:rPr>
                            <w:color w:val="164194"/>
                            <w:sz w:val="28"/>
                          </w:rPr>
                          <w:t>legislation</w:t>
                        </w:r>
                        <w:r>
                          <w:rPr>
                            <w:color w:val="164194"/>
                            <w:spacing w:val="-6"/>
                            <w:sz w:val="28"/>
                          </w:rPr>
                          <w:t> </w:t>
                        </w:r>
                        <w:r>
                          <w:rPr>
                            <w:color w:val="164194"/>
                            <w:sz w:val="28"/>
                          </w:rPr>
                          <w:t>at</w:t>
                        </w:r>
                        <w:r>
                          <w:rPr>
                            <w:color w:val="164194"/>
                            <w:spacing w:val="-5"/>
                            <w:sz w:val="28"/>
                          </w:rPr>
                          <w:t> </w:t>
                        </w:r>
                        <w:r>
                          <w:rPr>
                            <w:color w:val="164194"/>
                            <w:sz w:val="28"/>
                          </w:rPr>
                          <w:t>issue</w:t>
                        </w:r>
                        <w:r>
                          <w:rPr>
                            <w:color w:val="164194"/>
                            <w:spacing w:val="-5"/>
                            <w:sz w:val="28"/>
                          </w:rPr>
                          <w:t> </w:t>
                        </w:r>
                        <w:r>
                          <w:rPr>
                            <w:color w:val="164194"/>
                            <w:sz w:val="28"/>
                          </w:rPr>
                          <w:t>in</w:t>
                        </w:r>
                        <w:r>
                          <w:rPr>
                            <w:color w:val="164194"/>
                            <w:spacing w:val="-6"/>
                            <w:sz w:val="28"/>
                          </w:rPr>
                          <w:t> </w:t>
                        </w:r>
                        <w:r>
                          <w:rPr>
                            <w:color w:val="164194"/>
                            <w:sz w:val="28"/>
                          </w:rPr>
                          <w:t>the</w:t>
                        </w:r>
                        <w:r>
                          <w:rPr>
                            <w:color w:val="164194"/>
                            <w:spacing w:val="-5"/>
                            <w:sz w:val="28"/>
                          </w:rPr>
                          <w:t> </w:t>
                        </w:r>
                        <w:r>
                          <w:rPr>
                            <w:color w:val="164194"/>
                            <w:sz w:val="28"/>
                          </w:rPr>
                          <w:t>main</w:t>
                        </w:r>
                        <w:r>
                          <w:rPr>
                            <w:color w:val="164194"/>
                            <w:spacing w:val="-6"/>
                            <w:sz w:val="28"/>
                          </w:rPr>
                          <w:t> </w:t>
                        </w:r>
                        <w:r>
                          <w:rPr>
                            <w:color w:val="164194"/>
                            <w:sz w:val="28"/>
                          </w:rPr>
                          <w:t>proceedings</w:t>
                        </w:r>
                        <w:r>
                          <w:rPr>
                            <w:color w:val="164194"/>
                            <w:spacing w:val="-6"/>
                            <w:sz w:val="28"/>
                          </w:rPr>
                          <w:t> </w:t>
                        </w:r>
                        <w:r>
                          <w:rPr>
                            <w:color w:val="164194"/>
                            <w:sz w:val="28"/>
                          </w:rPr>
                          <w:t>deprives</w:t>
                        </w:r>
                        <w:r>
                          <w:rPr>
                            <w:color w:val="164194"/>
                            <w:spacing w:val="-6"/>
                            <w:sz w:val="28"/>
                          </w:rPr>
                          <w:t> </w:t>
                        </w:r>
                        <w:r>
                          <w:rPr>
                            <w:color w:val="164194"/>
                            <w:sz w:val="28"/>
                          </w:rPr>
                          <w:t>Catholic religious education teachers in public education establishments, such as the applicants in the main proceedings, of the possibility of transforming their fixed-term contracts into a contract of indefinite duration and/or obtaining compensation for the damage suffered on account of the succession of</w:t>
                        </w:r>
                      </w:p>
                      <w:p>
                        <w:pPr>
                          <w:spacing w:line="232" w:lineRule="auto" w:before="0"/>
                          <w:ind w:left="340" w:right="196" w:firstLine="0"/>
                          <w:jc w:val="left"/>
                          <w:rPr>
                            <w:sz w:val="28"/>
                          </w:rPr>
                        </w:pPr>
                        <w:r>
                          <w:rPr>
                            <w:color w:val="164194"/>
                            <w:sz w:val="28"/>
                          </w:rPr>
                          <w:t>fixed-term contracts not on the ground of their religion but, similarly to the other</w:t>
                        </w:r>
                        <w:r>
                          <w:rPr>
                            <w:color w:val="164194"/>
                            <w:spacing w:val="-6"/>
                            <w:sz w:val="28"/>
                          </w:rPr>
                          <w:t> </w:t>
                        </w:r>
                        <w:r>
                          <w:rPr>
                            <w:color w:val="164194"/>
                            <w:sz w:val="28"/>
                          </w:rPr>
                          <w:t>teachers</w:t>
                        </w:r>
                        <w:r>
                          <w:rPr>
                            <w:color w:val="164194"/>
                            <w:spacing w:val="-7"/>
                            <w:sz w:val="28"/>
                          </w:rPr>
                          <w:t> </w:t>
                        </w:r>
                        <w:r>
                          <w:rPr>
                            <w:color w:val="164194"/>
                            <w:sz w:val="28"/>
                          </w:rPr>
                          <w:t>in</w:t>
                        </w:r>
                        <w:r>
                          <w:rPr>
                            <w:color w:val="164194"/>
                            <w:spacing w:val="-7"/>
                            <w:sz w:val="28"/>
                          </w:rPr>
                          <w:t> </w:t>
                        </w:r>
                        <w:r>
                          <w:rPr>
                            <w:color w:val="164194"/>
                            <w:sz w:val="28"/>
                          </w:rPr>
                          <w:t>those</w:t>
                        </w:r>
                        <w:r>
                          <w:rPr>
                            <w:color w:val="164194"/>
                            <w:spacing w:val="-6"/>
                            <w:sz w:val="28"/>
                          </w:rPr>
                          <w:t> </w:t>
                        </w:r>
                        <w:r>
                          <w:rPr>
                            <w:color w:val="164194"/>
                            <w:sz w:val="28"/>
                          </w:rPr>
                          <w:t>establishments,</w:t>
                        </w:r>
                        <w:r>
                          <w:rPr>
                            <w:color w:val="164194"/>
                            <w:spacing w:val="-6"/>
                            <w:sz w:val="28"/>
                          </w:rPr>
                          <w:t> </w:t>
                        </w:r>
                        <w:r>
                          <w:rPr>
                            <w:color w:val="164194"/>
                            <w:sz w:val="28"/>
                          </w:rPr>
                          <w:t>because</w:t>
                        </w:r>
                        <w:r>
                          <w:rPr>
                            <w:color w:val="164194"/>
                            <w:spacing w:val="-6"/>
                            <w:sz w:val="28"/>
                          </w:rPr>
                          <w:t> </w:t>
                        </w:r>
                        <w:r>
                          <w:rPr>
                            <w:color w:val="164194"/>
                            <w:sz w:val="28"/>
                          </w:rPr>
                          <w:t>they</w:t>
                        </w:r>
                        <w:r>
                          <w:rPr>
                            <w:color w:val="164194"/>
                            <w:spacing w:val="-6"/>
                            <w:sz w:val="28"/>
                          </w:rPr>
                          <w:t> </w:t>
                        </w:r>
                        <w:r>
                          <w:rPr>
                            <w:color w:val="164194"/>
                            <w:sz w:val="28"/>
                          </w:rPr>
                          <w:t>come</w:t>
                        </w:r>
                        <w:r>
                          <w:rPr>
                            <w:color w:val="164194"/>
                            <w:spacing w:val="-6"/>
                            <w:sz w:val="28"/>
                          </w:rPr>
                          <w:t> </w:t>
                        </w:r>
                        <w:r>
                          <w:rPr>
                            <w:color w:val="164194"/>
                            <w:sz w:val="28"/>
                          </w:rPr>
                          <w:t>under</w:t>
                        </w:r>
                        <w:r>
                          <w:rPr>
                            <w:color w:val="164194"/>
                            <w:spacing w:val="-6"/>
                            <w:sz w:val="28"/>
                          </w:rPr>
                          <w:t> </w:t>
                        </w:r>
                        <w:r>
                          <w:rPr>
                            <w:color w:val="164194"/>
                            <w:sz w:val="28"/>
                          </w:rPr>
                          <w:t>the</w:t>
                        </w:r>
                        <w:r>
                          <w:rPr>
                            <w:color w:val="164194"/>
                            <w:spacing w:val="-6"/>
                            <w:sz w:val="28"/>
                          </w:rPr>
                          <w:t> </w:t>
                        </w:r>
                        <w:r>
                          <w:rPr>
                            <w:color w:val="164194"/>
                            <w:sz w:val="28"/>
                          </w:rPr>
                          <w:t>public education sector […]’</w:t>
                        </w:r>
                        <w:r>
                          <w:rPr>
                            <w:color w:val="164194"/>
                            <w:sz w:val="28"/>
                            <w:vertAlign w:val="superscript"/>
                          </w:rPr>
                          <w:t>658</w:t>
                        </w:r>
                      </w:p>
                    </w:txbxContent>
                  </v:textbox>
                  <w10:wrap type="none"/>
                </v:shape>
                <w10:wrap type="topAndBottom"/>
              </v:group>
            </w:pict>
          </mc:Fallback>
        </mc:AlternateContent>
      </w:r>
    </w:p>
    <w:p>
      <w:pPr>
        <w:pStyle w:val="BodyText"/>
        <w:spacing w:before="220"/>
        <w:ind w:left="720"/>
      </w:pPr>
      <w:r>
        <w:rPr/>
        <w:t>It</w:t>
      </w:r>
      <w:r>
        <w:rPr>
          <w:spacing w:val="-5"/>
        </w:rPr>
        <w:t> </w:t>
      </w:r>
      <w:r>
        <w:rPr/>
        <w:t>follows</w:t>
      </w:r>
      <w:r>
        <w:rPr>
          <w:spacing w:val="-5"/>
        </w:rPr>
        <w:t> </w:t>
      </w:r>
      <w:r>
        <w:rPr/>
        <w:t>that</w:t>
      </w:r>
      <w:r>
        <w:rPr>
          <w:spacing w:val="-5"/>
        </w:rPr>
        <w:t> </w:t>
      </w:r>
      <w:r>
        <w:rPr/>
        <w:t>reasoning</w:t>
      </w:r>
      <w:r>
        <w:rPr>
          <w:spacing w:val="-4"/>
        </w:rPr>
        <w:t> </w:t>
      </w:r>
      <w:r>
        <w:rPr/>
        <w:t>by</w:t>
      </w:r>
      <w:r>
        <w:rPr>
          <w:spacing w:val="-4"/>
        </w:rPr>
        <w:t> </w:t>
      </w:r>
      <w:r>
        <w:rPr>
          <w:spacing w:val="-2"/>
        </w:rPr>
        <w:t>explaining:</w:t>
      </w:r>
    </w:p>
    <w:p>
      <w:pPr>
        <w:pStyle w:val="BodyText"/>
        <w:spacing w:before="3"/>
        <w:rPr>
          <w:sz w:val="20"/>
        </w:rPr>
      </w:pPr>
      <w:r>
        <w:rPr/>
        <mc:AlternateContent>
          <mc:Choice Requires="wps">
            <w:drawing>
              <wp:anchor distT="0" distB="0" distL="0" distR="0" allowOverlap="1" layoutInCell="1" locked="0" behindDoc="1" simplePos="0" relativeHeight="487788032">
                <wp:simplePos x="0" y="0"/>
                <wp:positionH relativeFrom="page">
                  <wp:posOffset>647994</wp:posOffset>
                </wp:positionH>
                <wp:positionV relativeFrom="paragraph">
                  <wp:posOffset>172556</wp:posOffset>
                </wp:positionV>
                <wp:extent cx="6012180" cy="1442085"/>
                <wp:effectExtent l="0" t="0" r="0" b="0"/>
                <wp:wrapTopAndBottom/>
                <wp:docPr id="1050" name="Group 1050"/>
                <wp:cNvGraphicFramePr>
                  <a:graphicFrameLocks/>
                </wp:cNvGraphicFramePr>
                <a:graphic>
                  <a:graphicData uri="http://schemas.microsoft.com/office/word/2010/wordprocessingGroup">
                    <wpg:wgp>
                      <wpg:cNvPr id="1050" name="Group 1050"/>
                      <wpg:cNvGrpSpPr/>
                      <wpg:grpSpPr>
                        <a:xfrm>
                          <a:off x="0" y="0"/>
                          <a:ext cx="6012180" cy="1442085"/>
                          <a:chExt cx="6012180" cy="1442085"/>
                        </a:xfrm>
                      </wpg:grpSpPr>
                      <wps:wsp>
                        <wps:cNvPr id="1051" name="Graphic 1051"/>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52" name="Textbox 1052"/>
                        <wps:cNvSpPr txBox="1"/>
                        <wps:spPr>
                          <a:xfrm>
                            <a:off x="0" y="0"/>
                            <a:ext cx="6012180" cy="1442085"/>
                          </a:xfrm>
                          <a:prstGeom prst="rect">
                            <a:avLst/>
                          </a:prstGeom>
                        </wps:spPr>
                        <wps:txbx>
                          <w:txbxContent>
                            <w:p>
                              <w:pPr>
                                <w:spacing w:line="232" w:lineRule="auto" w:before="121"/>
                                <w:ind w:left="340" w:right="196" w:firstLine="0"/>
                                <w:jc w:val="left"/>
                                <w:rPr>
                                  <w:sz w:val="28"/>
                                </w:rPr>
                              </w:pPr>
                              <w:r>
                                <w:rPr>
                                  <w:color w:val="164194"/>
                                  <w:sz w:val="28"/>
                                </w:rPr>
                                <w:t>‘[…] assuming that Catholic religious education teachers in public education establishments are in a situation comparable to that of teachers of other subjects</w:t>
                              </w:r>
                              <w:r>
                                <w:rPr>
                                  <w:color w:val="164194"/>
                                  <w:spacing w:val="-4"/>
                                  <w:sz w:val="28"/>
                                </w:rPr>
                                <w:t> </w:t>
                              </w:r>
                              <w:r>
                                <w:rPr>
                                  <w:color w:val="164194"/>
                                  <w:sz w:val="28"/>
                                </w:rPr>
                                <w:t>in</w:t>
                              </w:r>
                              <w:r>
                                <w:rPr>
                                  <w:color w:val="164194"/>
                                  <w:spacing w:val="-4"/>
                                  <w:sz w:val="28"/>
                                </w:rPr>
                                <w:t> </w:t>
                              </w:r>
                              <w:r>
                                <w:rPr>
                                  <w:color w:val="164194"/>
                                  <w:sz w:val="28"/>
                                </w:rPr>
                                <w:t>those</w:t>
                              </w:r>
                              <w:r>
                                <w:rPr>
                                  <w:color w:val="164194"/>
                                  <w:spacing w:val="-3"/>
                                  <w:sz w:val="28"/>
                                </w:rPr>
                                <w:t> </w:t>
                              </w:r>
                              <w:r>
                                <w:rPr>
                                  <w:color w:val="164194"/>
                                  <w:sz w:val="28"/>
                                </w:rPr>
                                <w:t>same</w:t>
                              </w:r>
                              <w:r>
                                <w:rPr>
                                  <w:color w:val="164194"/>
                                  <w:spacing w:val="-3"/>
                                  <w:sz w:val="28"/>
                                </w:rPr>
                                <w:t> </w:t>
                              </w:r>
                              <w:r>
                                <w:rPr>
                                  <w:color w:val="164194"/>
                                  <w:sz w:val="28"/>
                                </w:rPr>
                                <w:t>establishments,</w:t>
                              </w:r>
                              <w:r>
                                <w:rPr>
                                  <w:color w:val="164194"/>
                                  <w:spacing w:val="-3"/>
                                  <w:sz w:val="28"/>
                                </w:rPr>
                                <w:t> </w:t>
                              </w:r>
                              <w:r>
                                <w:rPr>
                                  <w:color w:val="164194"/>
                                  <w:sz w:val="28"/>
                                </w:rPr>
                                <w:t>employed</w:t>
                              </w:r>
                              <w:r>
                                <w:rPr>
                                  <w:color w:val="164194"/>
                                  <w:spacing w:val="-4"/>
                                  <w:sz w:val="28"/>
                                </w:rPr>
                                <w:t> </w:t>
                              </w:r>
                              <w:r>
                                <w:rPr>
                                  <w:color w:val="164194"/>
                                  <w:sz w:val="28"/>
                                </w:rPr>
                                <w:t>under</w:t>
                              </w:r>
                              <w:r>
                                <w:rPr>
                                  <w:color w:val="164194"/>
                                  <w:spacing w:val="-3"/>
                                  <w:sz w:val="28"/>
                                </w:rPr>
                                <w:t> </w:t>
                              </w:r>
                              <w:r>
                                <w:rPr>
                                  <w:color w:val="164194"/>
                                  <w:sz w:val="28"/>
                                </w:rPr>
                                <w:t>a</w:t>
                              </w:r>
                              <w:r>
                                <w:rPr>
                                  <w:color w:val="164194"/>
                                  <w:spacing w:val="-4"/>
                                  <w:sz w:val="28"/>
                                </w:rPr>
                                <w:t> </w:t>
                              </w:r>
                              <w:r>
                                <w:rPr>
                                  <w:color w:val="164194"/>
                                  <w:sz w:val="28"/>
                                </w:rPr>
                                <w:t>fixed-term</w:t>
                              </w:r>
                              <w:r>
                                <w:rPr>
                                  <w:color w:val="164194"/>
                                  <w:spacing w:val="-3"/>
                                  <w:sz w:val="28"/>
                                </w:rPr>
                                <w:t> </w:t>
                              </w:r>
                              <w:r>
                                <w:rPr>
                                  <w:color w:val="164194"/>
                                  <w:sz w:val="28"/>
                                </w:rPr>
                                <w:t>contract and</w:t>
                              </w:r>
                              <w:r>
                                <w:rPr>
                                  <w:color w:val="164194"/>
                                  <w:spacing w:val="-3"/>
                                  <w:sz w:val="28"/>
                                </w:rPr>
                                <w:t> </w:t>
                              </w:r>
                              <w:r>
                                <w:rPr>
                                  <w:color w:val="164194"/>
                                  <w:sz w:val="28"/>
                                </w:rPr>
                                <w:t>having</w:t>
                              </w:r>
                              <w:r>
                                <w:rPr>
                                  <w:color w:val="164194"/>
                                  <w:spacing w:val="-2"/>
                                  <w:sz w:val="28"/>
                                </w:rPr>
                                <w:t> </w:t>
                              </w:r>
                              <w:r>
                                <w:rPr>
                                  <w:color w:val="164194"/>
                                  <w:sz w:val="28"/>
                                </w:rPr>
                                <w:t>benefitted</w:t>
                              </w:r>
                              <w:r>
                                <w:rPr>
                                  <w:color w:val="164194"/>
                                  <w:spacing w:val="-3"/>
                                  <w:sz w:val="28"/>
                                </w:rPr>
                                <w:t> </w:t>
                              </w:r>
                              <w:r>
                                <w:rPr>
                                  <w:color w:val="164194"/>
                                  <w:sz w:val="28"/>
                                </w:rPr>
                                <w:t>from</w:t>
                              </w:r>
                              <w:r>
                                <w:rPr>
                                  <w:color w:val="164194"/>
                                  <w:spacing w:val="-2"/>
                                  <w:sz w:val="28"/>
                                </w:rPr>
                                <w:t> </w:t>
                              </w:r>
                              <w:r>
                                <w:rPr>
                                  <w:color w:val="164194"/>
                                  <w:sz w:val="28"/>
                                </w:rPr>
                                <w:t>that</w:t>
                              </w:r>
                              <w:r>
                                <w:rPr>
                                  <w:color w:val="164194"/>
                                  <w:spacing w:val="-2"/>
                                  <w:sz w:val="28"/>
                                </w:rPr>
                                <w:t> </w:t>
                              </w:r>
                              <w:r>
                                <w:rPr>
                                  <w:color w:val="164194"/>
                                  <w:sz w:val="28"/>
                                </w:rPr>
                                <w:t>Article</w:t>
                              </w:r>
                              <w:r>
                                <w:rPr>
                                  <w:color w:val="164194"/>
                                  <w:spacing w:val="-2"/>
                                  <w:sz w:val="28"/>
                                </w:rPr>
                                <w:t> </w:t>
                              </w:r>
                              <w:r>
                                <w:rPr>
                                  <w:color w:val="164194"/>
                                  <w:sz w:val="28"/>
                                </w:rPr>
                                <w:t>399</w:t>
                              </w:r>
                              <w:r>
                                <w:rPr>
                                  <w:color w:val="164194"/>
                                  <w:spacing w:val="-2"/>
                                  <w:sz w:val="28"/>
                                </w:rPr>
                                <w:t> </w:t>
                              </w:r>
                              <w:r>
                                <w:rPr>
                                  <w:color w:val="164194"/>
                                  <w:sz w:val="28"/>
                                </w:rPr>
                                <w:t>or</w:t>
                              </w:r>
                              <w:r>
                                <w:rPr>
                                  <w:color w:val="164194"/>
                                  <w:spacing w:val="-2"/>
                                  <w:sz w:val="28"/>
                                </w:rPr>
                                <w:t> </w:t>
                              </w:r>
                              <w:r>
                                <w:rPr>
                                  <w:color w:val="164194"/>
                                  <w:sz w:val="28"/>
                                </w:rPr>
                                <w:t>from</w:t>
                              </w:r>
                              <w:r>
                                <w:rPr>
                                  <w:color w:val="164194"/>
                                  <w:spacing w:val="-2"/>
                                  <w:sz w:val="28"/>
                                </w:rPr>
                                <w:t> </w:t>
                              </w:r>
                              <w:r>
                                <w:rPr>
                                  <w:color w:val="164194"/>
                                  <w:sz w:val="28"/>
                                </w:rPr>
                                <w:t>that</w:t>
                              </w:r>
                              <w:r>
                                <w:rPr>
                                  <w:color w:val="164194"/>
                                  <w:spacing w:val="-2"/>
                                  <w:sz w:val="28"/>
                                </w:rPr>
                                <w:t> </w:t>
                              </w:r>
                              <w:r>
                                <w:rPr>
                                  <w:color w:val="164194"/>
                                  <w:sz w:val="28"/>
                                </w:rPr>
                                <w:t>plan,</w:t>
                              </w:r>
                              <w:r>
                                <w:rPr>
                                  <w:color w:val="164194"/>
                                  <w:spacing w:val="-2"/>
                                  <w:sz w:val="28"/>
                                </w:rPr>
                                <w:t> </w:t>
                              </w:r>
                              <w:r>
                                <w:rPr>
                                  <w:color w:val="164194"/>
                                  <w:sz w:val="28"/>
                                </w:rPr>
                                <w:t>such</w:t>
                              </w:r>
                              <w:r>
                                <w:rPr>
                                  <w:color w:val="164194"/>
                                  <w:spacing w:val="-3"/>
                                  <w:sz w:val="28"/>
                                </w:rPr>
                                <w:t> </w:t>
                              </w:r>
                              <w:r>
                                <w:rPr>
                                  <w:color w:val="164194"/>
                                  <w:sz w:val="28"/>
                                </w:rPr>
                                <w:t>difference in</w:t>
                              </w:r>
                              <w:r>
                                <w:rPr>
                                  <w:color w:val="164194"/>
                                  <w:spacing w:val="-6"/>
                                  <w:sz w:val="28"/>
                                </w:rPr>
                                <w:t> </w:t>
                              </w:r>
                              <w:r>
                                <w:rPr>
                                  <w:color w:val="164194"/>
                                  <w:sz w:val="28"/>
                                </w:rPr>
                                <w:t>treatment</w:t>
                              </w:r>
                              <w:r>
                                <w:rPr>
                                  <w:color w:val="164194"/>
                                  <w:spacing w:val="-5"/>
                                  <w:sz w:val="28"/>
                                </w:rPr>
                                <w:t> </w:t>
                              </w:r>
                              <w:r>
                                <w:rPr>
                                  <w:color w:val="164194"/>
                                  <w:sz w:val="28"/>
                                </w:rPr>
                                <w:t>is</w:t>
                              </w:r>
                              <w:r>
                                <w:rPr>
                                  <w:color w:val="164194"/>
                                  <w:spacing w:val="-6"/>
                                  <w:sz w:val="28"/>
                                </w:rPr>
                                <w:t> </w:t>
                              </w:r>
                              <w:r>
                                <w:rPr>
                                  <w:color w:val="164194"/>
                                  <w:sz w:val="28"/>
                                </w:rPr>
                                <w:t>not</w:t>
                              </w:r>
                              <w:r>
                                <w:rPr>
                                  <w:color w:val="164194"/>
                                  <w:spacing w:val="-5"/>
                                  <w:sz w:val="28"/>
                                </w:rPr>
                                <w:t> </w:t>
                              </w:r>
                              <w:r>
                                <w:rPr>
                                  <w:color w:val="164194"/>
                                  <w:sz w:val="28"/>
                                </w:rPr>
                                <w:t>based</w:t>
                              </w:r>
                              <w:r>
                                <w:rPr>
                                  <w:color w:val="164194"/>
                                  <w:spacing w:val="-6"/>
                                  <w:sz w:val="28"/>
                                </w:rPr>
                                <w:t> </w:t>
                              </w:r>
                              <w:r>
                                <w:rPr>
                                  <w:color w:val="164194"/>
                                  <w:sz w:val="28"/>
                                </w:rPr>
                                <w:t>on</w:t>
                              </w:r>
                              <w:r>
                                <w:rPr>
                                  <w:color w:val="164194"/>
                                  <w:spacing w:val="-6"/>
                                  <w:sz w:val="28"/>
                                </w:rPr>
                                <w:t> </w:t>
                              </w:r>
                              <w:r>
                                <w:rPr>
                                  <w:color w:val="164194"/>
                                  <w:sz w:val="28"/>
                                </w:rPr>
                                <w:t>religion,</w:t>
                              </w:r>
                              <w:r>
                                <w:rPr>
                                  <w:color w:val="164194"/>
                                  <w:spacing w:val="-5"/>
                                  <w:sz w:val="28"/>
                                </w:rPr>
                                <w:t> </w:t>
                              </w:r>
                              <w:r>
                                <w:rPr>
                                  <w:color w:val="164194"/>
                                  <w:sz w:val="28"/>
                                </w:rPr>
                                <w:t>but</w:t>
                              </w:r>
                              <w:r>
                                <w:rPr>
                                  <w:color w:val="164194"/>
                                  <w:spacing w:val="-5"/>
                                  <w:sz w:val="28"/>
                                </w:rPr>
                                <w:t> </w:t>
                              </w:r>
                              <w:r>
                                <w:rPr>
                                  <w:color w:val="164194"/>
                                  <w:sz w:val="28"/>
                                </w:rPr>
                                <w:t>relates</w:t>
                              </w:r>
                              <w:r>
                                <w:rPr>
                                  <w:color w:val="164194"/>
                                  <w:spacing w:val="-6"/>
                                  <w:sz w:val="28"/>
                                </w:rPr>
                                <w:t> </w:t>
                              </w:r>
                              <w:r>
                                <w:rPr>
                                  <w:color w:val="164194"/>
                                  <w:sz w:val="28"/>
                                </w:rPr>
                                <w:t>only</w:t>
                              </w:r>
                              <w:r>
                                <w:rPr>
                                  <w:color w:val="164194"/>
                                  <w:spacing w:val="-5"/>
                                  <w:sz w:val="28"/>
                                </w:rPr>
                                <w:t> </w:t>
                              </w:r>
                              <w:r>
                                <w:rPr>
                                  <w:color w:val="164194"/>
                                  <w:sz w:val="28"/>
                                </w:rPr>
                                <w:t>to</w:t>
                              </w:r>
                              <w:r>
                                <w:rPr>
                                  <w:color w:val="164194"/>
                                  <w:spacing w:val="-6"/>
                                  <w:sz w:val="28"/>
                                </w:rPr>
                                <w:t> </w:t>
                              </w:r>
                              <w:r>
                                <w:rPr>
                                  <w:color w:val="164194"/>
                                  <w:sz w:val="28"/>
                                </w:rPr>
                                <w:t>the</w:t>
                              </w:r>
                              <w:r>
                                <w:rPr>
                                  <w:color w:val="164194"/>
                                  <w:spacing w:val="-5"/>
                                  <w:sz w:val="28"/>
                                </w:rPr>
                                <w:t> </w:t>
                              </w:r>
                              <w:r>
                                <w:rPr>
                                  <w:color w:val="164194"/>
                                  <w:sz w:val="28"/>
                                </w:rPr>
                                <w:t>regime</w:t>
                              </w:r>
                              <w:r>
                                <w:rPr>
                                  <w:color w:val="164194"/>
                                  <w:spacing w:val="-5"/>
                                  <w:sz w:val="28"/>
                                </w:rPr>
                                <w:t> </w:t>
                              </w:r>
                              <w:r>
                                <w:rPr>
                                  <w:color w:val="164194"/>
                                  <w:sz w:val="28"/>
                                </w:rPr>
                                <w:t>applicable to the employment relationship.’</w:t>
                              </w:r>
                              <w:r>
                                <w:rPr>
                                  <w:color w:val="164194"/>
                                  <w:sz w:val="28"/>
                                  <w:vertAlign w:val="superscript"/>
                                </w:rPr>
                                <w:t>659</w:t>
                              </w:r>
                            </w:p>
                          </w:txbxContent>
                        </wps:txbx>
                        <wps:bodyPr wrap="square" lIns="0" tIns="0" rIns="0" bIns="0" rtlCol="0">
                          <a:noAutofit/>
                        </wps:bodyPr>
                      </wps:wsp>
                    </wpg:wgp>
                  </a:graphicData>
                </a:graphic>
              </wp:anchor>
            </w:drawing>
          </mc:Choice>
          <mc:Fallback>
            <w:pict>
              <v:group style="position:absolute;margin-left:51.023201pt;margin-top:13.587156pt;width:473.4pt;height:113.55pt;mso-position-horizontal-relative:page;mso-position-vertical-relative:paragraph;z-index:-15528448;mso-wrap-distance-left:0;mso-wrap-distance-right:0" id="docshapegroup865" coordorigin="1020,272" coordsize="9468,2271">
                <v:shape style="position:absolute;left:1020;top:271;width:9468;height:2271" id="docshape866" coordorigin="1020,272" coordsize="9468,2271" path="m10261,272l1247,272,1176,283,1113,315,1064,365,1032,427,1020,499,1020,2315,1032,2387,1064,2449,1113,2498,1176,2530,1247,2542,10261,2542,10333,2530,10395,2498,10444,2449,10477,2387,10488,2315,10488,499,10477,427,10444,365,10395,315,10333,283,10261,272xe" filled="true" fillcolor="#e9f3fc" stroked="false">
                  <v:path arrowok="t"/>
                  <v:fill type="solid"/>
                </v:shape>
                <v:shape style="position:absolute;left:1020;top:271;width:9468;height:2271" type="#_x0000_t202" id="docshape867" filled="false" stroked="false">
                  <v:textbox inset="0,0,0,0">
                    <w:txbxContent>
                      <w:p>
                        <w:pPr>
                          <w:spacing w:line="232" w:lineRule="auto" w:before="121"/>
                          <w:ind w:left="340" w:right="196" w:firstLine="0"/>
                          <w:jc w:val="left"/>
                          <w:rPr>
                            <w:sz w:val="28"/>
                          </w:rPr>
                        </w:pPr>
                        <w:r>
                          <w:rPr>
                            <w:color w:val="164194"/>
                            <w:sz w:val="28"/>
                          </w:rPr>
                          <w:t>‘[…] assuming that Catholic religious education teachers in public education establishments are in a situation comparable to that of teachers of other subjects</w:t>
                        </w:r>
                        <w:r>
                          <w:rPr>
                            <w:color w:val="164194"/>
                            <w:spacing w:val="-4"/>
                            <w:sz w:val="28"/>
                          </w:rPr>
                          <w:t> </w:t>
                        </w:r>
                        <w:r>
                          <w:rPr>
                            <w:color w:val="164194"/>
                            <w:sz w:val="28"/>
                          </w:rPr>
                          <w:t>in</w:t>
                        </w:r>
                        <w:r>
                          <w:rPr>
                            <w:color w:val="164194"/>
                            <w:spacing w:val="-4"/>
                            <w:sz w:val="28"/>
                          </w:rPr>
                          <w:t> </w:t>
                        </w:r>
                        <w:r>
                          <w:rPr>
                            <w:color w:val="164194"/>
                            <w:sz w:val="28"/>
                          </w:rPr>
                          <w:t>those</w:t>
                        </w:r>
                        <w:r>
                          <w:rPr>
                            <w:color w:val="164194"/>
                            <w:spacing w:val="-3"/>
                            <w:sz w:val="28"/>
                          </w:rPr>
                          <w:t> </w:t>
                        </w:r>
                        <w:r>
                          <w:rPr>
                            <w:color w:val="164194"/>
                            <w:sz w:val="28"/>
                          </w:rPr>
                          <w:t>same</w:t>
                        </w:r>
                        <w:r>
                          <w:rPr>
                            <w:color w:val="164194"/>
                            <w:spacing w:val="-3"/>
                            <w:sz w:val="28"/>
                          </w:rPr>
                          <w:t> </w:t>
                        </w:r>
                        <w:r>
                          <w:rPr>
                            <w:color w:val="164194"/>
                            <w:sz w:val="28"/>
                          </w:rPr>
                          <w:t>establishments,</w:t>
                        </w:r>
                        <w:r>
                          <w:rPr>
                            <w:color w:val="164194"/>
                            <w:spacing w:val="-3"/>
                            <w:sz w:val="28"/>
                          </w:rPr>
                          <w:t> </w:t>
                        </w:r>
                        <w:r>
                          <w:rPr>
                            <w:color w:val="164194"/>
                            <w:sz w:val="28"/>
                          </w:rPr>
                          <w:t>employed</w:t>
                        </w:r>
                        <w:r>
                          <w:rPr>
                            <w:color w:val="164194"/>
                            <w:spacing w:val="-4"/>
                            <w:sz w:val="28"/>
                          </w:rPr>
                          <w:t> </w:t>
                        </w:r>
                        <w:r>
                          <w:rPr>
                            <w:color w:val="164194"/>
                            <w:sz w:val="28"/>
                          </w:rPr>
                          <w:t>under</w:t>
                        </w:r>
                        <w:r>
                          <w:rPr>
                            <w:color w:val="164194"/>
                            <w:spacing w:val="-3"/>
                            <w:sz w:val="28"/>
                          </w:rPr>
                          <w:t> </w:t>
                        </w:r>
                        <w:r>
                          <w:rPr>
                            <w:color w:val="164194"/>
                            <w:sz w:val="28"/>
                          </w:rPr>
                          <w:t>a</w:t>
                        </w:r>
                        <w:r>
                          <w:rPr>
                            <w:color w:val="164194"/>
                            <w:spacing w:val="-4"/>
                            <w:sz w:val="28"/>
                          </w:rPr>
                          <w:t> </w:t>
                        </w:r>
                        <w:r>
                          <w:rPr>
                            <w:color w:val="164194"/>
                            <w:sz w:val="28"/>
                          </w:rPr>
                          <w:t>fixed-term</w:t>
                        </w:r>
                        <w:r>
                          <w:rPr>
                            <w:color w:val="164194"/>
                            <w:spacing w:val="-3"/>
                            <w:sz w:val="28"/>
                          </w:rPr>
                          <w:t> </w:t>
                        </w:r>
                        <w:r>
                          <w:rPr>
                            <w:color w:val="164194"/>
                            <w:sz w:val="28"/>
                          </w:rPr>
                          <w:t>contract and</w:t>
                        </w:r>
                        <w:r>
                          <w:rPr>
                            <w:color w:val="164194"/>
                            <w:spacing w:val="-3"/>
                            <w:sz w:val="28"/>
                          </w:rPr>
                          <w:t> </w:t>
                        </w:r>
                        <w:r>
                          <w:rPr>
                            <w:color w:val="164194"/>
                            <w:sz w:val="28"/>
                          </w:rPr>
                          <w:t>having</w:t>
                        </w:r>
                        <w:r>
                          <w:rPr>
                            <w:color w:val="164194"/>
                            <w:spacing w:val="-2"/>
                            <w:sz w:val="28"/>
                          </w:rPr>
                          <w:t> </w:t>
                        </w:r>
                        <w:r>
                          <w:rPr>
                            <w:color w:val="164194"/>
                            <w:sz w:val="28"/>
                          </w:rPr>
                          <w:t>benefitted</w:t>
                        </w:r>
                        <w:r>
                          <w:rPr>
                            <w:color w:val="164194"/>
                            <w:spacing w:val="-3"/>
                            <w:sz w:val="28"/>
                          </w:rPr>
                          <w:t> </w:t>
                        </w:r>
                        <w:r>
                          <w:rPr>
                            <w:color w:val="164194"/>
                            <w:sz w:val="28"/>
                          </w:rPr>
                          <w:t>from</w:t>
                        </w:r>
                        <w:r>
                          <w:rPr>
                            <w:color w:val="164194"/>
                            <w:spacing w:val="-2"/>
                            <w:sz w:val="28"/>
                          </w:rPr>
                          <w:t> </w:t>
                        </w:r>
                        <w:r>
                          <w:rPr>
                            <w:color w:val="164194"/>
                            <w:sz w:val="28"/>
                          </w:rPr>
                          <w:t>that</w:t>
                        </w:r>
                        <w:r>
                          <w:rPr>
                            <w:color w:val="164194"/>
                            <w:spacing w:val="-2"/>
                            <w:sz w:val="28"/>
                          </w:rPr>
                          <w:t> </w:t>
                        </w:r>
                        <w:r>
                          <w:rPr>
                            <w:color w:val="164194"/>
                            <w:sz w:val="28"/>
                          </w:rPr>
                          <w:t>Article</w:t>
                        </w:r>
                        <w:r>
                          <w:rPr>
                            <w:color w:val="164194"/>
                            <w:spacing w:val="-2"/>
                            <w:sz w:val="28"/>
                          </w:rPr>
                          <w:t> </w:t>
                        </w:r>
                        <w:r>
                          <w:rPr>
                            <w:color w:val="164194"/>
                            <w:sz w:val="28"/>
                          </w:rPr>
                          <w:t>399</w:t>
                        </w:r>
                        <w:r>
                          <w:rPr>
                            <w:color w:val="164194"/>
                            <w:spacing w:val="-2"/>
                            <w:sz w:val="28"/>
                          </w:rPr>
                          <w:t> </w:t>
                        </w:r>
                        <w:r>
                          <w:rPr>
                            <w:color w:val="164194"/>
                            <w:sz w:val="28"/>
                          </w:rPr>
                          <w:t>or</w:t>
                        </w:r>
                        <w:r>
                          <w:rPr>
                            <w:color w:val="164194"/>
                            <w:spacing w:val="-2"/>
                            <w:sz w:val="28"/>
                          </w:rPr>
                          <w:t> </w:t>
                        </w:r>
                        <w:r>
                          <w:rPr>
                            <w:color w:val="164194"/>
                            <w:sz w:val="28"/>
                          </w:rPr>
                          <w:t>from</w:t>
                        </w:r>
                        <w:r>
                          <w:rPr>
                            <w:color w:val="164194"/>
                            <w:spacing w:val="-2"/>
                            <w:sz w:val="28"/>
                          </w:rPr>
                          <w:t> </w:t>
                        </w:r>
                        <w:r>
                          <w:rPr>
                            <w:color w:val="164194"/>
                            <w:sz w:val="28"/>
                          </w:rPr>
                          <w:t>that</w:t>
                        </w:r>
                        <w:r>
                          <w:rPr>
                            <w:color w:val="164194"/>
                            <w:spacing w:val="-2"/>
                            <w:sz w:val="28"/>
                          </w:rPr>
                          <w:t> </w:t>
                        </w:r>
                        <w:r>
                          <w:rPr>
                            <w:color w:val="164194"/>
                            <w:sz w:val="28"/>
                          </w:rPr>
                          <w:t>plan,</w:t>
                        </w:r>
                        <w:r>
                          <w:rPr>
                            <w:color w:val="164194"/>
                            <w:spacing w:val="-2"/>
                            <w:sz w:val="28"/>
                          </w:rPr>
                          <w:t> </w:t>
                        </w:r>
                        <w:r>
                          <w:rPr>
                            <w:color w:val="164194"/>
                            <w:sz w:val="28"/>
                          </w:rPr>
                          <w:t>such</w:t>
                        </w:r>
                        <w:r>
                          <w:rPr>
                            <w:color w:val="164194"/>
                            <w:spacing w:val="-3"/>
                            <w:sz w:val="28"/>
                          </w:rPr>
                          <w:t> </w:t>
                        </w:r>
                        <w:r>
                          <w:rPr>
                            <w:color w:val="164194"/>
                            <w:sz w:val="28"/>
                          </w:rPr>
                          <w:t>difference in</w:t>
                        </w:r>
                        <w:r>
                          <w:rPr>
                            <w:color w:val="164194"/>
                            <w:spacing w:val="-6"/>
                            <w:sz w:val="28"/>
                          </w:rPr>
                          <w:t> </w:t>
                        </w:r>
                        <w:r>
                          <w:rPr>
                            <w:color w:val="164194"/>
                            <w:sz w:val="28"/>
                          </w:rPr>
                          <w:t>treatment</w:t>
                        </w:r>
                        <w:r>
                          <w:rPr>
                            <w:color w:val="164194"/>
                            <w:spacing w:val="-5"/>
                            <w:sz w:val="28"/>
                          </w:rPr>
                          <w:t> </w:t>
                        </w:r>
                        <w:r>
                          <w:rPr>
                            <w:color w:val="164194"/>
                            <w:sz w:val="28"/>
                          </w:rPr>
                          <w:t>is</w:t>
                        </w:r>
                        <w:r>
                          <w:rPr>
                            <w:color w:val="164194"/>
                            <w:spacing w:val="-6"/>
                            <w:sz w:val="28"/>
                          </w:rPr>
                          <w:t> </w:t>
                        </w:r>
                        <w:r>
                          <w:rPr>
                            <w:color w:val="164194"/>
                            <w:sz w:val="28"/>
                          </w:rPr>
                          <w:t>not</w:t>
                        </w:r>
                        <w:r>
                          <w:rPr>
                            <w:color w:val="164194"/>
                            <w:spacing w:val="-5"/>
                            <w:sz w:val="28"/>
                          </w:rPr>
                          <w:t> </w:t>
                        </w:r>
                        <w:r>
                          <w:rPr>
                            <w:color w:val="164194"/>
                            <w:sz w:val="28"/>
                          </w:rPr>
                          <w:t>based</w:t>
                        </w:r>
                        <w:r>
                          <w:rPr>
                            <w:color w:val="164194"/>
                            <w:spacing w:val="-6"/>
                            <w:sz w:val="28"/>
                          </w:rPr>
                          <w:t> </w:t>
                        </w:r>
                        <w:r>
                          <w:rPr>
                            <w:color w:val="164194"/>
                            <w:sz w:val="28"/>
                          </w:rPr>
                          <w:t>on</w:t>
                        </w:r>
                        <w:r>
                          <w:rPr>
                            <w:color w:val="164194"/>
                            <w:spacing w:val="-6"/>
                            <w:sz w:val="28"/>
                          </w:rPr>
                          <w:t> </w:t>
                        </w:r>
                        <w:r>
                          <w:rPr>
                            <w:color w:val="164194"/>
                            <w:sz w:val="28"/>
                          </w:rPr>
                          <w:t>religion,</w:t>
                        </w:r>
                        <w:r>
                          <w:rPr>
                            <w:color w:val="164194"/>
                            <w:spacing w:val="-5"/>
                            <w:sz w:val="28"/>
                          </w:rPr>
                          <w:t> </w:t>
                        </w:r>
                        <w:r>
                          <w:rPr>
                            <w:color w:val="164194"/>
                            <w:sz w:val="28"/>
                          </w:rPr>
                          <w:t>but</w:t>
                        </w:r>
                        <w:r>
                          <w:rPr>
                            <w:color w:val="164194"/>
                            <w:spacing w:val="-5"/>
                            <w:sz w:val="28"/>
                          </w:rPr>
                          <w:t> </w:t>
                        </w:r>
                        <w:r>
                          <w:rPr>
                            <w:color w:val="164194"/>
                            <w:sz w:val="28"/>
                          </w:rPr>
                          <w:t>relates</w:t>
                        </w:r>
                        <w:r>
                          <w:rPr>
                            <w:color w:val="164194"/>
                            <w:spacing w:val="-6"/>
                            <w:sz w:val="28"/>
                          </w:rPr>
                          <w:t> </w:t>
                        </w:r>
                        <w:r>
                          <w:rPr>
                            <w:color w:val="164194"/>
                            <w:sz w:val="28"/>
                          </w:rPr>
                          <w:t>only</w:t>
                        </w:r>
                        <w:r>
                          <w:rPr>
                            <w:color w:val="164194"/>
                            <w:spacing w:val="-5"/>
                            <w:sz w:val="28"/>
                          </w:rPr>
                          <w:t> </w:t>
                        </w:r>
                        <w:r>
                          <w:rPr>
                            <w:color w:val="164194"/>
                            <w:sz w:val="28"/>
                          </w:rPr>
                          <w:t>to</w:t>
                        </w:r>
                        <w:r>
                          <w:rPr>
                            <w:color w:val="164194"/>
                            <w:spacing w:val="-6"/>
                            <w:sz w:val="28"/>
                          </w:rPr>
                          <w:t> </w:t>
                        </w:r>
                        <w:r>
                          <w:rPr>
                            <w:color w:val="164194"/>
                            <w:sz w:val="28"/>
                          </w:rPr>
                          <w:t>the</w:t>
                        </w:r>
                        <w:r>
                          <w:rPr>
                            <w:color w:val="164194"/>
                            <w:spacing w:val="-5"/>
                            <w:sz w:val="28"/>
                          </w:rPr>
                          <w:t> </w:t>
                        </w:r>
                        <w:r>
                          <w:rPr>
                            <w:color w:val="164194"/>
                            <w:sz w:val="28"/>
                          </w:rPr>
                          <w:t>regime</w:t>
                        </w:r>
                        <w:r>
                          <w:rPr>
                            <w:color w:val="164194"/>
                            <w:spacing w:val="-5"/>
                            <w:sz w:val="28"/>
                          </w:rPr>
                          <w:t> </w:t>
                        </w:r>
                        <w:r>
                          <w:rPr>
                            <w:color w:val="164194"/>
                            <w:sz w:val="28"/>
                          </w:rPr>
                          <w:t>applicable to the employment relationship.’</w:t>
                        </w:r>
                        <w:r>
                          <w:rPr>
                            <w:color w:val="164194"/>
                            <w:sz w:val="28"/>
                            <w:vertAlign w:val="superscript"/>
                          </w:rPr>
                          <w:t>659</w:t>
                        </w:r>
                      </w:p>
                    </w:txbxContent>
                  </v:textbox>
                  <w10:wrap type="none"/>
                </v:shape>
                <w10:wrap type="topAndBottom"/>
              </v:group>
            </w:pict>
          </mc:Fallback>
        </mc:AlternateContent>
      </w:r>
    </w:p>
    <w:p>
      <w:pPr>
        <w:pStyle w:val="BodyText"/>
        <w:spacing w:line="232" w:lineRule="auto" w:before="228"/>
        <w:ind w:left="720" w:right="1087"/>
      </w:pPr>
      <w:r>
        <w:rPr/>
        <w:t>At</w:t>
      </w:r>
      <w:r>
        <w:rPr>
          <w:spacing w:val="-7"/>
        </w:rPr>
        <w:t> </w:t>
      </w:r>
      <w:r>
        <w:rPr/>
        <w:t>present</w:t>
      </w:r>
      <w:r>
        <w:rPr>
          <w:spacing w:val="-7"/>
        </w:rPr>
        <w:t> </w:t>
      </w:r>
      <w:r>
        <w:rPr/>
        <w:t>there</w:t>
      </w:r>
      <w:r>
        <w:rPr>
          <w:spacing w:val="-7"/>
        </w:rPr>
        <w:t> </w:t>
      </w:r>
      <w:r>
        <w:rPr/>
        <w:t>is</w:t>
      </w:r>
      <w:r>
        <w:rPr>
          <w:spacing w:val="-8"/>
        </w:rPr>
        <w:t> </w:t>
      </w:r>
      <w:r>
        <w:rPr/>
        <w:t>no</w:t>
      </w:r>
      <w:r>
        <w:rPr>
          <w:spacing w:val="-8"/>
        </w:rPr>
        <w:t> </w:t>
      </w:r>
      <w:r>
        <w:rPr/>
        <w:t>comparable</w:t>
      </w:r>
      <w:r>
        <w:rPr>
          <w:spacing w:val="-7"/>
        </w:rPr>
        <w:t> </w:t>
      </w:r>
      <w:r>
        <w:rPr/>
        <w:t>implication</w:t>
      </w:r>
      <w:r>
        <w:rPr>
          <w:spacing w:val="-8"/>
        </w:rPr>
        <w:t> </w:t>
      </w:r>
      <w:r>
        <w:rPr/>
        <w:t>for</w:t>
      </w:r>
      <w:r>
        <w:rPr>
          <w:spacing w:val="-7"/>
        </w:rPr>
        <w:t> </w:t>
      </w:r>
      <w:r>
        <w:rPr/>
        <w:t>the</w:t>
      </w:r>
      <w:r>
        <w:rPr>
          <w:spacing w:val="-7"/>
        </w:rPr>
        <w:t> </w:t>
      </w:r>
      <w:r>
        <w:rPr/>
        <w:t>Northern</w:t>
      </w:r>
      <w:r>
        <w:rPr>
          <w:spacing w:val="-8"/>
        </w:rPr>
        <w:t> </w:t>
      </w:r>
      <w:r>
        <w:rPr/>
        <w:t>Ireland</w:t>
      </w:r>
      <w:r>
        <w:rPr>
          <w:spacing w:val="-8"/>
        </w:rPr>
        <w:t> </w:t>
      </w:r>
      <w:r>
        <w:rPr/>
        <w:t>context,</w:t>
      </w:r>
      <w:r>
        <w:rPr>
          <w:spacing w:val="-7"/>
        </w:rPr>
        <w:t> </w:t>
      </w:r>
      <w:r>
        <w:rPr/>
        <w:t>this continues to be a matter which should be closely monitored through continued analysis of CJEU case law should there be any future legislative changes within this </w:t>
      </w:r>
      <w:r>
        <w:rPr>
          <w:spacing w:val="-2"/>
        </w:rPr>
        <w:t>area.</w:t>
      </w:r>
    </w:p>
    <w:p>
      <w:pPr>
        <w:pStyle w:val="BodyText"/>
        <w:spacing w:before="59"/>
      </w:pPr>
    </w:p>
    <w:p>
      <w:pPr>
        <w:pStyle w:val="ListParagraph"/>
        <w:numPr>
          <w:ilvl w:val="3"/>
          <w:numId w:val="52"/>
        </w:numPr>
        <w:tabs>
          <w:tab w:pos="1563" w:val="left" w:leader="none"/>
        </w:tabs>
        <w:spacing w:line="232" w:lineRule="auto" w:before="0" w:after="0"/>
        <w:ind w:left="720" w:right="2387" w:firstLine="0"/>
        <w:jc w:val="both"/>
        <w:rPr>
          <w:sz w:val="28"/>
        </w:rPr>
      </w:pPr>
      <w:r>
        <w:rPr>
          <w:color w:val="004A93"/>
          <w:sz w:val="28"/>
        </w:rPr>
        <w:t>Thematic Area: Disability Discrimination and Employment </w:t>
      </w:r>
      <w:r>
        <w:rPr>
          <w:sz w:val="28"/>
        </w:rPr>
        <w:t>Another</w:t>
      </w:r>
      <w:r>
        <w:rPr>
          <w:spacing w:val="-7"/>
          <w:sz w:val="28"/>
        </w:rPr>
        <w:t> </w:t>
      </w:r>
      <w:r>
        <w:rPr>
          <w:sz w:val="28"/>
        </w:rPr>
        <w:t>significant</w:t>
      </w:r>
      <w:r>
        <w:rPr>
          <w:spacing w:val="-7"/>
          <w:sz w:val="28"/>
        </w:rPr>
        <w:t> </w:t>
      </w:r>
      <w:r>
        <w:rPr>
          <w:sz w:val="28"/>
        </w:rPr>
        <w:t>development</w:t>
      </w:r>
      <w:r>
        <w:rPr>
          <w:spacing w:val="-7"/>
          <w:sz w:val="28"/>
        </w:rPr>
        <w:t> </w:t>
      </w:r>
      <w:r>
        <w:rPr>
          <w:sz w:val="28"/>
        </w:rPr>
        <w:t>within</w:t>
      </w:r>
      <w:r>
        <w:rPr>
          <w:spacing w:val="-8"/>
          <w:sz w:val="28"/>
        </w:rPr>
        <w:t> </w:t>
      </w:r>
      <w:r>
        <w:rPr>
          <w:sz w:val="28"/>
        </w:rPr>
        <w:t>CJEU</w:t>
      </w:r>
      <w:r>
        <w:rPr>
          <w:spacing w:val="-7"/>
          <w:sz w:val="28"/>
        </w:rPr>
        <w:t> </w:t>
      </w:r>
      <w:r>
        <w:rPr>
          <w:sz w:val="28"/>
        </w:rPr>
        <w:t>with</w:t>
      </w:r>
      <w:r>
        <w:rPr>
          <w:spacing w:val="-8"/>
          <w:sz w:val="28"/>
        </w:rPr>
        <w:t> </w:t>
      </w:r>
      <w:r>
        <w:rPr>
          <w:sz w:val="28"/>
        </w:rPr>
        <w:t>reference</w:t>
      </w:r>
      <w:r>
        <w:rPr>
          <w:spacing w:val="-7"/>
          <w:sz w:val="28"/>
        </w:rPr>
        <w:t> </w:t>
      </w:r>
      <w:r>
        <w:rPr>
          <w:sz w:val="28"/>
        </w:rPr>
        <w:t>to</w:t>
      </w:r>
      <w:r>
        <w:rPr>
          <w:spacing w:val="-7"/>
          <w:sz w:val="28"/>
        </w:rPr>
        <w:t> </w:t>
      </w:r>
      <w:r>
        <w:rPr>
          <w:spacing w:val="-2"/>
          <w:sz w:val="28"/>
        </w:rPr>
        <w:t>Directive</w:t>
      </w:r>
    </w:p>
    <w:p>
      <w:pPr>
        <w:pStyle w:val="BodyText"/>
        <w:spacing w:line="232" w:lineRule="auto"/>
        <w:ind w:left="720" w:right="1219"/>
        <w:jc w:val="both"/>
      </w:pPr>
      <w:r>
        <w:rPr/>
        <w:t>2000/78/EC</w:t>
      </w:r>
      <w:r>
        <w:rPr>
          <w:spacing w:val="-5"/>
        </w:rPr>
        <w:t> </w:t>
      </w:r>
      <w:r>
        <w:rPr/>
        <w:t>within</w:t>
      </w:r>
      <w:r>
        <w:rPr>
          <w:spacing w:val="-5"/>
        </w:rPr>
        <w:t> </w:t>
      </w:r>
      <w:r>
        <w:rPr/>
        <w:t>the</w:t>
      </w:r>
      <w:r>
        <w:rPr>
          <w:spacing w:val="-4"/>
        </w:rPr>
        <w:t> </w:t>
      </w:r>
      <w:r>
        <w:rPr/>
        <w:t>updated</w:t>
      </w:r>
      <w:r>
        <w:rPr>
          <w:spacing w:val="-5"/>
        </w:rPr>
        <w:t> </w:t>
      </w:r>
      <w:r>
        <w:rPr/>
        <w:t>time</w:t>
      </w:r>
      <w:r>
        <w:rPr>
          <w:spacing w:val="-4"/>
        </w:rPr>
        <w:t> </w:t>
      </w:r>
      <w:r>
        <w:rPr/>
        <w:t>period</w:t>
      </w:r>
      <w:r>
        <w:rPr>
          <w:spacing w:val="-5"/>
        </w:rPr>
        <w:t> </w:t>
      </w:r>
      <w:r>
        <w:rPr/>
        <w:t>has</w:t>
      </w:r>
      <w:r>
        <w:rPr>
          <w:spacing w:val="-5"/>
        </w:rPr>
        <w:t> </w:t>
      </w:r>
      <w:r>
        <w:rPr/>
        <w:t>been</w:t>
      </w:r>
      <w:r>
        <w:rPr>
          <w:spacing w:val="-5"/>
        </w:rPr>
        <w:t> </w:t>
      </w:r>
      <w:r>
        <w:rPr/>
        <w:t>within</w:t>
      </w:r>
      <w:r>
        <w:rPr>
          <w:spacing w:val="-5"/>
        </w:rPr>
        <w:t> </w:t>
      </w:r>
      <w:r>
        <w:rPr/>
        <w:t>the</w:t>
      </w:r>
      <w:r>
        <w:rPr>
          <w:spacing w:val="-4"/>
        </w:rPr>
        <w:t> </w:t>
      </w:r>
      <w:r>
        <w:rPr/>
        <w:t>realm</w:t>
      </w:r>
      <w:r>
        <w:rPr>
          <w:spacing w:val="-4"/>
        </w:rPr>
        <w:t> </w:t>
      </w:r>
      <w:r>
        <w:rPr/>
        <w:t>of</w:t>
      </w:r>
      <w:r>
        <w:rPr>
          <w:spacing w:val="-5"/>
        </w:rPr>
        <w:t> </w:t>
      </w:r>
      <w:r>
        <w:rPr/>
        <w:t>disability discrimination.</w:t>
      </w:r>
      <w:r>
        <w:rPr>
          <w:spacing w:val="-4"/>
        </w:rPr>
        <w:t> </w:t>
      </w:r>
      <w:r>
        <w:rPr/>
        <w:t>The</w:t>
      </w:r>
      <w:r>
        <w:rPr>
          <w:spacing w:val="-3"/>
        </w:rPr>
        <w:t> </w:t>
      </w:r>
      <w:r>
        <w:rPr/>
        <w:t>case</w:t>
      </w:r>
      <w:r>
        <w:rPr>
          <w:spacing w:val="-3"/>
        </w:rPr>
        <w:t> </w:t>
      </w:r>
      <w:r>
        <w:rPr/>
        <w:t>of</w:t>
      </w:r>
      <w:r>
        <w:rPr>
          <w:spacing w:val="-5"/>
        </w:rPr>
        <w:t> </w:t>
      </w:r>
      <w:r>
        <w:rPr>
          <w:b/>
          <w:i/>
        </w:rPr>
        <w:t>HR</w:t>
      </w:r>
      <w:r>
        <w:rPr>
          <w:b/>
          <w:i/>
          <w:spacing w:val="-4"/>
        </w:rPr>
        <w:t> </w:t>
      </w:r>
      <w:r>
        <w:rPr>
          <w:b/>
          <w:i/>
        </w:rPr>
        <w:t>Rail</w:t>
      </w:r>
      <w:r>
        <w:rPr>
          <w:vertAlign w:val="superscript"/>
        </w:rPr>
        <w:t>660</w:t>
      </w:r>
      <w:r>
        <w:rPr>
          <w:spacing w:val="-4"/>
          <w:vertAlign w:val="baseline"/>
        </w:rPr>
        <w:t> </w:t>
      </w:r>
      <w:r>
        <w:rPr>
          <w:vertAlign w:val="baseline"/>
        </w:rPr>
        <w:t>concerned</w:t>
      </w:r>
      <w:r>
        <w:rPr>
          <w:spacing w:val="-4"/>
          <w:vertAlign w:val="baseline"/>
        </w:rPr>
        <w:t> </w:t>
      </w:r>
      <w:r>
        <w:rPr>
          <w:vertAlign w:val="baseline"/>
        </w:rPr>
        <w:t>reliance</w:t>
      </w:r>
      <w:r>
        <w:rPr>
          <w:spacing w:val="-3"/>
          <w:vertAlign w:val="baseline"/>
        </w:rPr>
        <w:t> </w:t>
      </w:r>
      <w:r>
        <w:rPr>
          <w:vertAlign w:val="baseline"/>
        </w:rPr>
        <w:t>on</w:t>
      </w:r>
      <w:r>
        <w:rPr>
          <w:spacing w:val="-4"/>
          <w:vertAlign w:val="baseline"/>
        </w:rPr>
        <w:t> </w:t>
      </w:r>
      <w:r>
        <w:rPr>
          <w:vertAlign w:val="baseline"/>
        </w:rPr>
        <w:t>‘genuine</w:t>
      </w:r>
      <w:r>
        <w:rPr>
          <w:spacing w:val="-3"/>
          <w:vertAlign w:val="baseline"/>
        </w:rPr>
        <w:t> </w:t>
      </w:r>
      <w:r>
        <w:rPr>
          <w:vertAlign w:val="baseline"/>
        </w:rPr>
        <w:t>occupational requirements’ under article 4 of the General Framework Directive as justifications</w:t>
      </w:r>
    </w:p>
    <w:p>
      <w:pPr>
        <w:pStyle w:val="BodyText"/>
        <w:spacing w:before="8"/>
        <w:rPr>
          <w:sz w:val="11"/>
        </w:rPr>
      </w:pPr>
      <w:r>
        <w:rPr/>
        <mc:AlternateContent>
          <mc:Choice Requires="wps">
            <w:drawing>
              <wp:anchor distT="0" distB="0" distL="0" distR="0" allowOverlap="1" layoutInCell="1" locked="0" behindDoc="1" simplePos="0" relativeHeight="487788544">
                <wp:simplePos x="0" y="0"/>
                <wp:positionH relativeFrom="page">
                  <wp:posOffset>647999</wp:posOffset>
                </wp:positionH>
                <wp:positionV relativeFrom="paragraph">
                  <wp:posOffset>105688</wp:posOffset>
                </wp:positionV>
                <wp:extent cx="6012180" cy="1270"/>
                <wp:effectExtent l="0" t="0" r="0" b="0"/>
                <wp:wrapTopAndBottom/>
                <wp:docPr id="1053" name="Graphic 1053"/>
                <wp:cNvGraphicFramePr>
                  <a:graphicFrameLocks/>
                </wp:cNvGraphicFramePr>
                <a:graphic>
                  <a:graphicData uri="http://schemas.microsoft.com/office/word/2010/wordprocessingShape">
                    <wps:wsp>
                      <wps:cNvPr id="1053" name="Graphic 1053"/>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8.32192pt;width:473.4pt;height:.1pt;mso-position-horizontal-relative:page;mso-position-vertical-relative:paragraph;z-index:-15527936;mso-wrap-distance-left:0;mso-wrap-distance-right:0" id="docshape868" coordorigin="1020,166" coordsize="9468,0" path="m1020,166l10488,166e" filled="false" stroked="true" strokeweight=".5pt" strokecolor="#36a9e1">
                <v:path arrowok="t"/>
                <v:stroke dashstyle="solid"/>
                <w10:wrap type="topAndBottom"/>
              </v:shape>
            </w:pict>
          </mc:Fallback>
        </mc:AlternateContent>
      </w:r>
    </w:p>
    <w:p>
      <w:pPr>
        <w:pStyle w:val="ListParagraph"/>
        <w:numPr>
          <w:ilvl w:val="0"/>
          <w:numId w:val="51"/>
        </w:numPr>
        <w:tabs>
          <w:tab w:pos="1287" w:val="left" w:leader="none"/>
        </w:tabs>
        <w:spacing w:line="240" w:lineRule="auto" w:before="43" w:after="0"/>
        <w:ind w:left="1287" w:right="1205" w:hanging="567"/>
        <w:jc w:val="left"/>
        <w:rPr>
          <w:sz w:val="18"/>
        </w:rPr>
      </w:pPr>
      <w:r>
        <w:rPr>
          <w:sz w:val="18"/>
        </w:rPr>
        <w:t>C-16/19</w:t>
      </w:r>
      <w:r>
        <w:rPr>
          <w:spacing w:val="-6"/>
          <w:sz w:val="18"/>
        </w:rPr>
        <w:t> </w:t>
      </w:r>
      <w:r>
        <w:rPr>
          <w:color w:val="1D71B8"/>
          <w:sz w:val="18"/>
          <w:u w:val="single" w:color="1D71B8"/>
        </w:rPr>
        <w:t>Szpital</w:t>
      </w:r>
      <w:r>
        <w:rPr>
          <w:color w:val="1D71B8"/>
          <w:spacing w:val="-6"/>
          <w:sz w:val="18"/>
          <w:u w:val="single" w:color="1D71B8"/>
        </w:rPr>
        <w:t> </w:t>
      </w:r>
      <w:r>
        <w:rPr>
          <w:color w:val="1D71B8"/>
          <w:sz w:val="18"/>
          <w:u w:val="single" w:color="1D71B8"/>
        </w:rPr>
        <w:t>Kliniczny</w:t>
      </w:r>
      <w:r>
        <w:rPr>
          <w:color w:val="1D71B8"/>
          <w:spacing w:val="-5"/>
          <w:sz w:val="18"/>
          <w:u w:val="single" w:color="1D71B8"/>
        </w:rPr>
        <w:t> </w:t>
      </w:r>
      <w:r>
        <w:rPr>
          <w:color w:val="1D71B8"/>
          <w:sz w:val="18"/>
          <w:u w:val="single" w:color="1D71B8"/>
        </w:rPr>
        <w:t>im.</w:t>
      </w:r>
      <w:r>
        <w:rPr>
          <w:color w:val="1D71B8"/>
          <w:spacing w:val="-6"/>
          <w:sz w:val="18"/>
          <w:u w:val="single" w:color="1D71B8"/>
        </w:rPr>
        <w:t> </w:t>
      </w:r>
      <w:r>
        <w:rPr>
          <w:color w:val="1D71B8"/>
          <w:sz w:val="18"/>
          <w:u w:val="single" w:color="1D71B8"/>
        </w:rPr>
        <w:t>dra</w:t>
      </w:r>
      <w:r>
        <w:rPr>
          <w:color w:val="1D71B8"/>
          <w:spacing w:val="-6"/>
          <w:sz w:val="18"/>
          <w:u w:val="single" w:color="1D71B8"/>
        </w:rPr>
        <w:t> </w:t>
      </w:r>
      <w:r>
        <w:rPr>
          <w:color w:val="1D71B8"/>
          <w:sz w:val="18"/>
          <w:u w:val="single" w:color="1D71B8"/>
        </w:rPr>
        <w:t>J.</w:t>
      </w:r>
      <w:r>
        <w:rPr>
          <w:color w:val="1D71B8"/>
          <w:spacing w:val="-6"/>
          <w:sz w:val="18"/>
          <w:u w:val="single" w:color="1D71B8"/>
        </w:rPr>
        <w:t> </w:t>
      </w:r>
      <w:r>
        <w:rPr>
          <w:color w:val="1D71B8"/>
          <w:sz w:val="18"/>
          <w:u w:val="single" w:color="1D71B8"/>
        </w:rPr>
        <w:t>Babińskiego</w:t>
      </w:r>
      <w:r>
        <w:rPr>
          <w:color w:val="1D71B8"/>
          <w:spacing w:val="-6"/>
          <w:sz w:val="18"/>
          <w:u w:val="single" w:color="1D71B8"/>
        </w:rPr>
        <w:t> </w:t>
      </w:r>
      <w:r>
        <w:rPr>
          <w:color w:val="1D71B8"/>
          <w:sz w:val="18"/>
          <w:u w:val="single" w:color="1D71B8"/>
        </w:rPr>
        <w:t>Samodzielny</w:t>
      </w:r>
      <w:r>
        <w:rPr>
          <w:color w:val="1D71B8"/>
          <w:spacing w:val="-5"/>
          <w:sz w:val="18"/>
          <w:u w:val="single" w:color="1D71B8"/>
        </w:rPr>
        <w:t> </w:t>
      </w:r>
      <w:r>
        <w:rPr>
          <w:color w:val="1D71B8"/>
          <w:sz w:val="18"/>
          <w:u w:val="single" w:color="1D71B8"/>
        </w:rPr>
        <w:t>Publiczny</w:t>
      </w:r>
      <w:r>
        <w:rPr>
          <w:color w:val="1D71B8"/>
          <w:spacing w:val="-5"/>
          <w:sz w:val="18"/>
          <w:u w:val="single" w:color="1D71B8"/>
        </w:rPr>
        <w:t> </w:t>
      </w:r>
      <w:r>
        <w:rPr>
          <w:color w:val="1D71B8"/>
          <w:sz w:val="18"/>
          <w:u w:val="single" w:color="1D71B8"/>
        </w:rPr>
        <w:t>Zakład</w:t>
      </w:r>
      <w:r>
        <w:rPr>
          <w:color w:val="1D71B8"/>
          <w:spacing w:val="-6"/>
          <w:sz w:val="18"/>
          <w:u w:val="single" w:color="1D71B8"/>
        </w:rPr>
        <w:t> </w:t>
      </w:r>
      <w:r>
        <w:rPr>
          <w:color w:val="1D71B8"/>
          <w:sz w:val="18"/>
          <w:u w:val="single" w:color="1D71B8"/>
        </w:rPr>
        <w:t>Opieki</w:t>
      </w:r>
      <w:r>
        <w:rPr>
          <w:color w:val="1D71B8"/>
          <w:spacing w:val="-6"/>
          <w:sz w:val="18"/>
          <w:u w:val="single" w:color="1D71B8"/>
        </w:rPr>
        <w:t> </w:t>
      </w:r>
      <w:r>
        <w:rPr>
          <w:color w:val="1D71B8"/>
          <w:sz w:val="18"/>
          <w:u w:val="single" w:color="1D71B8"/>
        </w:rPr>
        <w:t>Zdrowotnej</w:t>
      </w:r>
      <w:r>
        <w:rPr>
          <w:color w:val="1D71B8"/>
          <w:spacing w:val="-6"/>
          <w:sz w:val="18"/>
          <w:u w:val="single" w:color="1D71B8"/>
        </w:rPr>
        <w:t> </w:t>
      </w:r>
      <w:r>
        <w:rPr>
          <w:color w:val="1D71B8"/>
          <w:sz w:val="18"/>
          <w:u w:val="single" w:color="1D71B8"/>
        </w:rPr>
        <w:t>w</w:t>
      </w:r>
      <w:r>
        <w:rPr>
          <w:color w:val="1D71B8"/>
          <w:spacing w:val="-5"/>
          <w:sz w:val="18"/>
          <w:u w:val="single" w:color="1D71B8"/>
        </w:rPr>
        <w:t> </w:t>
      </w:r>
      <w:r>
        <w:rPr>
          <w:color w:val="1D71B8"/>
          <w:sz w:val="18"/>
          <w:u w:val="single" w:color="1D71B8"/>
        </w:rPr>
        <w:t>Krakowie</w:t>
      </w:r>
      <w:r>
        <w:rPr>
          <w:i/>
          <w:sz w:val="18"/>
          <w:u w:val="none"/>
        </w:rPr>
        <w:t>,</w:t>
      </w:r>
      <w:r>
        <w:rPr>
          <w:i/>
          <w:spacing w:val="-6"/>
          <w:sz w:val="18"/>
          <w:u w:val="none"/>
        </w:rPr>
        <w:t> </w:t>
      </w:r>
      <w:r>
        <w:rPr>
          <w:sz w:val="18"/>
          <w:u w:val="none"/>
        </w:rPr>
        <w:t>judgment</w:t>
      </w:r>
      <w:r>
        <w:rPr>
          <w:spacing w:val="-5"/>
          <w:sz w:val="18"/>
          <w:u w:val="none"/>
        </w:rPr>
        <w:t> </w:t>
      </w:r>
      <w:r>
        <w:rPr>
          <w:sz w:val="18"/>
          <w:u w:val="none"/>
        </w:rPr>
        <w:t>of 26 January 2021, ECLI:EU:C:2021:64.</w:t>
      </w:r>
    </w:p>
    <w:p>
      <w:pPr>
        <w:pStyle w:val="ListParagraph"/>
        <w:numPr>
          <w:ilvl w:val="0"/>
          <w:numId w:val="51"/>
        </w:numPr>
        <w:tabs>
          <w:tab w:pos="1287" w:val="left" w:leader="none"/>
        </w:tabs>
        <w:spacing w:line="240" w:lineRule="auto" w:before="1" w:after="0"/>
        <w:ind w:left="1287" w:right="1204" w:hanging="567"/>
        <w:jc w:val="left"/>
        <w:rPr>
          <w:sz w:val="18"/>
        </w:rPr>
      </w:pPr>
      <w:r>
        <w:rPr>
          <w:sz w:val="18"/>
        </w:rPr>
        <w:t>For</w:t>
      </w:r>
      <w:r>
        <w:rPr>
          <w:spacing w:val="-5"/>
          <w:sz w:val="18"/>
        </w:rPr>
        <w:t> </w:t>
      </w:r>
      <w:r>
        <w:rPr>
          <w:sz w:val="18"/>
        </w:rPr>
        <w:t>a</w:t>
      </w:r>
      <w:r>
        <w:rPr>
          <w:spacing w:val="-6"/>
          <w:sz w:val="18"/>
        </w:rPr>
        <w:t> </w:t>
      </w:r>
      <w:r>
        <w:rPr>
          <w:sz w:val="18"/>
        </w:rPr>
        <w:t>substantive</w:t>
      </w:r>
      <w:r>
        <w:rPr>
          <w:spacing w:val="-5"/>
          <w:sz w:val="18"/>
        </w:rPr>
        <w:t> </w:t>
      </w:r>
      <w:r>
        <w:rPr>
          <w:sz w:val="18"/>
        </w:rPr>
        <w:t>discussion</w:t>
      </w:r>
      <w:r>
        <w:rPr>
          <w:spacing w:val="-5"/>
          <w:sz w:val="18"/>
        </w:rPr>
        <w:t> </w:t>
      </w:r>
      <w:r>
        <w:rPr>
          <w:sz w:val="18"/>
        </w:rPr>
        <w:t>on</w:t>
      </w:r>
      <w:r>
        <w:rPr>
          <w:spacing w:val="-6"/>
          <w:sz w:val="18"/>
        </w:rPr>
        <w:t> </w:t>
      </w:r>
      <w:r>
        <w:rPr>
          <w:sz w:val="18"/>
        </w:rPr>
        <w:t>the</w:t>
      </w:r>
      <w:r>
        <w:rPr>
          <w:spacing w:val="-5"/>
          <w:sz w:val="18"/>
        </w:rPr>
        <w:t> </w:t>
      </w:r>
      <w:r>
        <w:rPr>
          <w:sz w:val="18"/>
        </w:rPr>
        <w:t>role</w:t>
      </w:r>
      <w:r>
        <w:rPr>
          <w:spacing w:val="-5"/>
          <w:sz w:val="18"/>
        </w:rPr>
        <w:t> </w:t>
      </w:r>
      <w:r>
        <w:rPr>
          <w:sz w:val="18"/>
        </w:rPr>
        <w:t>of</w:t>
      </w:r>
      <w:r>
        <w:rPr>
          <w:spacing w:val="-6"/>
          <w:sz w:val="18"/>
        </w:rPr>
        <w:t> </w:t>
      </w:r>
      <w:r>
        <w:rPr>
          <w:sz w:val="18"/>
        </w:rPr>
        <w:t>the</w:t>
      </w:r>
      <w:r>
        <w:rPr>
          <w:spacing w:val="-5"/>
          <w:sz w:val="18"/>
        </w:rPr>
        <w:t> </w:t>
      </w:r>
      <w:r>
        <w:rPr>
          <w:sz w:val="18"/>
        </w:rPr>
        <w:t>Charter,</w:t>
      </w:r>
      <w:r>
        <w:rPr>
          <w:spacing w:val="-5"/>
          <w:sz w:val="18"/>
        </w:rPr>
        <w:t> </w:t>
      </w:r>
      <w:r>
        <w:rPr>
          <w:sz w:val="18"/>
        </w:rPr>
        <w:t>see</w:t>
      </w:r>
      <w:r>
        <w:rPr>
          <w:spacing w:val="-5"/>
          <w:sz w:val="18"/>
        </w:rPr>
        <w:t> </w:t>
      </w:r>
      <w:r>
        <w:rPr>
          <w:sz w:val="18"/>
        </w:rPr>
        <w:t>Eleni</w:t>
      </w:r>
      <w:r>
        <w:rPr>
          <w:spacing w:val="-6"/>
          <w:sz w:val="18"/>
        </w:rPr>
        <w:t> </w:t>
      </w:r>
      <w:r>
        <w:rPr>
          <w:sz w:val="18"/>
        </w:rPr>
        <w:t>Frantziou,</w:t>
      </w:r>
      <w:r>
        <w:rPr>
          <w:spacing w:val="-7"/>
          <w:sz w:val="18"/>
        </w:rPr>
        <w:t> </w:t>
      </w:r>
      <w:hyperlink r:id="rId170">
        <w:r>
          <w:rPr>
            <w:color w:val="1D71B8"/>
            <w:sz w:val="18"/>
            <w:u w:val="single" w:color="1D71B8"/>
          </w:rPr>
          <w:t>‘The</w:t>
        </w:r>
        <w:r>
          <w:rPr>
            <w:color w:val="1D71B8"/>
            <w:spacing w:val="-5"/>
            <w:sz w:val="18"/>
            <w:u w:val="single" w:color="1D71B8"/>
          </w:rPr>
          <w:t> </w:t>
        </w:r>
        <w:r>
          <w:rPr>
            <w:color w:val="1D71B8"/>
            <w:sz w:val="18"/>
            <w:u w:val="single" w:color="1D71B8"/>
          </w:rPr>
          <w:t>Binding</w:t>
        </w:r>
        <w:r>
          <w:rPr>
            <w:color w:val="1D71B8"/>
            <w:spacing w:val="-5"/>
            <w:sz w:val="18"/>
            <w:u w:val="single" w:color="1D71B8"/>
          </w:rPr>
          <w:t> </w:t>
        </w:r>
        <w:r>
          <w:rPr>
            <w:color w:val="1D71B8"/>
            <w:sz w:val="18"/>
            <w:u w:val="single" w:color="1D71B8"/>
          </w:rPr>
          <w:t>Charter</w:t>
        </w:r>
        <w:r>
          <w:rPr>
            <w:color w:val="1D71B8"/>
            <w:spacing w:val="-5"/>
            <w:sz w:val="18"/>
            <w:u w:val="single" w:color="1D71B8"/>
          </w:rPr>
          <w:t> </w:t>
        </w:r>
        <w:r>
          <w:rPr>
            <w:color w:val="1D71B8"/>
            <w:sz w:val="18"/>
            <w:u w:val="single" w:color="1D71B8"/>
          </w:rPr>
          <w:t>Ten</w:t>
        </w:r>
        <w:r>
          <w:rPr>
            <w:color w:val="1D71B8"/>
            <w:spacing w:val="-6"/>
            <w:sz w:val="18"/>
            <w:u w:val="single" w:color="1D71B8"/>
          </w:rPr>
          <w:t> </w:t>
        </w:r>
        <w:r>
          <w:rPr>
            <w:color w:val="1D71B8"/>
            <w:sz w:val="18"/>
            <w:u w:val="single" w:color="1D71B8"/>
          </w:rPr>
          <w:t>Years</w:t>
        </w:r>
        <w:r>
          <w:rPr>
            <w:color w:val="1D71B8"/>
            <w:spacing w:val="-6"/>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More</w:t>
        </w:r>
        <w:r>
          <w:rPr>
            <w:color w:val="1D71B8"/>
            <w:spacing w:val="-5"/>
            <w:sz w:val="18"/>
            <w:u w:val="single" w:color="1D71B8"/>
          </w:rPr>
          <w:t> </w:t>
        </w:r>
        <w:r>
          <w:rPr>
            <w:color w:val="1D71B8"/>
            <w:sz w:val="18"/>
            <w:u w:val="single" w:color="1D71B8"/>
          </w:rPr>
          <w:t>Than</w:t>
        </w:r>
      </w:hyperlink>
      <w:r>
        <w:rPr>
          <w:color w:val="1D71B8"/>
          <w:sz w:val="18"/>
          <w:u w:val="none"/>
        </w:rPr>
        <w:t> </w:t>
      </w:r>
      <w:hyperlink r:id="rId170">
        <w:r>
          <w:rPr>
            <w:color w:val="1D71B8"/>
            <w:sz w:val="18"/>
            <w:u w:val="single" w:color="1D71B8"/>
          </w:rPr>
          <w:t>a Mere Entreaty?’</w:t>
        </w:r>
      </w:hyperlink>
      <w:r>
        <w:rPr>
          <w:color w:val="1D71B8"/>
          <w:sz w:val="18"/>
          <w:u w:val="none"/>
        </w:rPr>
        <w:t> </w:t>
      </w:r>
      <w:r>
        <w:rPr>
          <w:sz w:val="18"/>
          <w:u w:val="none"/>
        </w:rPr>
        <w:t>(2019) 38 Yearbook of European Law 73.</w:t>
      </w:r>
    </w:p>
    <w:p>
      <w:pPr>
        <w:pStyle w:val="ListParagraph"/>
        <w:numPr>
          <w:ilvl w:val="0"/>
          <w:numId w:val="51"/>
        </w:numPr>
        <w:tabs>
          <w:tab w:pos="1287" w:val="left" w:leader="none"/>
        </w:tabs>
        <w:spacing w:line="240" w:lineRule="auto" w:before="0" w:after="0"/>
        <w:ind w:left="1287" w:right="0" w:hanging="567"/>
        <w:jc w:val="left"/>
        <w:rPr>
          <w:sz w:val="18"/>
        </w:rPr>
      </w:pPr>
      <w:r>
        <w:rPr>
          <w:sz w:val="18"/>
        </w:rPr>
        <w:t>C-282/19</w:t>
      </w:r>
      <w:r>
        <w:rPr>
          <w:spacing w:val="-6"/>
          <w:sz w:val="18"/>
        </w:rPr>
        <w:t> </w:t>
      </w:r>
      <w:r>
        <w:rPr>
          <w:color w:val="1D71B8"/>
          <w:sz w:val="18"/>
          <w:u w:val="single" w:color="1D71B8"/>
        </w:rPr>
        <w:t>MIUR</w:t>
      </w:r>
      <w:r>
        <w:rPr>
          <w:i/>
          <w:sz w:val="18"/>
          <w:u w:val="none"/>
        </w:rPr>
        <w:t>,</w:t>
      </w:r>
      <w:r>
        <w:rPr>
          <w:i/>
          <w:spacing w:val="-3"/>
          <w:sz w:val="18"/>
          <w:u w:val="none"/>
        </w:rPr>
        <w:t> </w:t>
      </w:r>
      <w:r>
        <w:rPr>
          <w:sz w:val="18"/>
          <w:u w:val="none"/>
        </w:rPr>
        <w:t>judgment</w:t>
      </w:r>
      <w:r>
        <w:rPr>
          <w:spacing w:val="-2"/>
          <w:sz w:val="18"/>
          <w:u w:val="none"/>
        </w:rPr>
        <w:t> </w:t>
      </w:r>
      <w:r>
        <w:rPr>
          <w:sz w:val="18"/>
          <w:u w:val="none"/>
        </w:rPr>
        <w:t>of</w:t>
      </w:r>
      <w:r>
        <w:rPr>
          <w:spacing w:val="-3"/>
          <w:sz w:val="18"/>
          <w:u w:val="none"/>
        </w:rPr>
        <w:t> </w:t>
      </w:r>
      <w:r>
        <w:rPr>
          <w:sz w:val="18"/>
          <w:u w:val="none"/>
        </w:rPr>
        <w:t>13</w:t>
      </w:r>
      <w:r>
        <w:rPr>
          <w:spacing w:val="-2"/>
          <w:sz w:val="18"/>
          <w:u w:val="none"/>
        </w:rPr>
        <w:t> </w:t>
      </w:r>
      <w:r>
        <w:rPr>
          <w:sz w:val="18"/>
          <w:u w:val="none"/>
        </w:rPr>
        <w:t>January</w:t>
      </w:r>
      <w:r>
        <w:rPr>
          <w:spacing w:val="-2"/>
          <w:sz w:val="18"/>
          <w:u w:val="none"/>
        </w:rPr>
        <w:t> </w:t>
      </w:r>
      <w:r>
        <w:rPr>
          <w:sz w:val="18"/>
          <w:u w:val="none"/>
        </w:rPr>
        <w:t>2023,</w:t>
      </w:r>
      <w:r>
        <w:rPr>
          <w:spacing w:val="-2"/>
          <w:sz w:val="18"/>
          <w:u w:val="none"/>
        </w:rPr>
        <w:t> </w:t>
      </w:r>
      <w:r>
        <w:rPr>
          <w:sz w:val="18"/>
          <w:u w:val="none"/>
        </w:rPr>
        <w:t>ECLI:EU:C:2022:3,</w:t>
      </w:r>
      <w:r>
        <w:rPr>
          <w:spacing w:val="-2"/>
          <w:sz w:val="18"/>
          <w:u w:val="none"/>
        </w:rPr>
        <w:t> </w:t>
      </w:r>
      <w:r>
        <w:rPr>
          <w:sz w:val="18"/>
          <w:u w:val="none"/>
        </w:rPr>
        <w:t>para.</w:t>
      </w:r>
      <w:r>
        <w:rPr>
          <w:spacing w:val="-3"/>
          <w:sz w:val="18"/>
          <w:u w:val="none"/>
        </w:rPr>
        <w:t> </w:t>
      </w:r>
      <w:r>
        <w:rPr>
          <w:spacing w:val="-5"/>
          <w:sz w:val="18"/>
          <w:u w:val="none"/>
        </w:rPr>
        <w:t>64.</w:t>
      </w:r>
    </w:p>
    <w:p>
      <w:pPr>
        <w:pStyle w:val="ListParagraph"/>
        <w:numPr>
          <w:ilvl w:val="0"/>
          <w:numId w:val="51"/>
        </w:numPr>
        <w:tabs>
          <w:tab w:pos="1287" w:val="left" w:leader="none"/>
        </w:tabs>
        <w:spacing w:line="240" w:lineRule="auto" w:before="1"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65.</w:t>
      </w:r>
    </w:p>
    <w:p>
      <w:pPr>
        <w:pStyle w:val="ListParagraph"/>
        <w:numPr>
          <w:ilvl w:val="0"/>
          <w:numId w:val="51"/>
        </w:numPr>
        <w:tabs>
          <w:tab w:pos="1287" w:val="left" w:leader="none"/>
        </w:tabs>
        <w:spacing w:line="240" w:lineRule="auto" w:before="0" w:after="0"/>
        <w:ind w:left="1287" w:right="0" w:hanging="567"/>
        <w:jc w:val="left"/>
        <w:rPr>
          <w:sz w:val="18"/>
        </w:rPr>
      </w:pPr>
      <w:r>
        <w:rPr>
          <w:sz w:val="18"/>
        </w:rPr>
        <w:t>C-485/20</w:t>
      </w:r>
      <w:r>
        <w:rPr>
          <w:spacing w:val="-3"/>
          <w:sz w:val="18"/>
        </w:rPr>
        <w:t> </w:t>
      </w:r>
      <w:r>
        <w:rPr>
          <w:color w:val="1D71B8"/>
          <w:sz w:val="18"/>
          <w:u w:val="single" w:color="1D71B8"/>
        </w:rPr>
        <w:t>HR</w:t>
      </w:r>
      <w:r>
        <w:rPr>
          <w:color w:val="1D71B8"/>
          <w:spacing w:val="-2"/>
          <w:sz w:val="18"/>
          <w:u w:val="single" w:color="1D71B8"/>
        </w:rPr>
        <w:t> </w:t>
      </w:r>
      <w:r>
        <w:rPr>
          <w:color w:val="1D71B8"/>
          <w:sz w:val="18"/>
          <w:u w:val="single" w:color="1D71B8"/>
        </w:rPr>
        <w:t>Rail</w:t>
      </w:r>
      <w:r>
        <w:rPr>
          <w:sz w:val="18"/>
          <w:u w:val="none"/>
        </w:rPr>
        <w:t>,</w:t>
      </w:r>
      <w:r>
        <w:rPr>
          <w:spacing w:val="-2"/>
          <w:sz w:val="18"/>
          <w:u w:val="none"/>
        </w:rPr>
        <w:t> </w:t>
      </w:r>
      <w:r>
        <w:rPr>
          <w:sz w:val="18"/>
          <w:u w:val="none"/>
        </w:rPr>
        <w:t>judgment</w:t>
      </w:r>
      <w:r>
        <w:rPr>
          <w:spacing w:val="-2"/>
          <w:sz w:val="18"/>
          <w:u w:val="none"/>
        </w:rPr>
        <w:t> </w:t>
      </w:r>
      <w:r>
        <w:rPr>
          <w:sz w:val="18"/>
          <w:u w:val="none"/>
        </w:rPr>
        <w:t>of</w:t>
      </w:r>
      <w:r>
        <w:rPr>
          <w:spacing w:val="-3"/>
          <w:sz w:val="18"/>
          <w:u w:val="none"/>
        </w:rPr>
        <w:t> </w:t>
      </w:r>
      <w:r>
        <w:rPr>
          <w:sz w:val="18"/>
          <w:u w:val="none"/>
        </w:rPr>
        <w:t>10</w:t>
      </w:r>
      <w:r>
        <w:rPr>
          <w:spacing w:val="-2"/>
          <w:sz w:val="18"/>
          <w:u w:val="none"/>
        </w:rPr>
        <w:t> </w:t>
      </w:r>
      <w:r>
        <w:rPr>
          <w:sz w:val="18"/>
          <w:u w:val="none"/>
        </w:rPr>
        <w:t>February</w:t>
      </w:r>
      <w:r>
        <w:rPr>
          <w:spacing w:val="-2"/>
          <w:sz w:val="18"/>
          <w:u w:val="none"/>
        </w:rPr>
        <w:t> </w:t>
      </w:r>
      <w:r>
        <w:rPr>
          <w:sz w:val="18"/>
          <w:u w:val="none"/>
        </w:rPr>
        <w:t>2022,</w:t>
      </w:r>
      <w:r>
        <w:rPr>
          <w:spacing w:val="-1"/>
          <w:sz w:val="18"/>
          <w:u w:val="none"/>
        </w:rPr>
        <w:t> </w:t>
      </w:r>
      <w:r>
        <w:rPr>
          <w:spacing w:val="-2"/>
          <w:sz w:val="18"/>
          <w:u w:val="none"/>
        </w:rPr>
        <w:t>ECLI:EU:C:2022:85</w:t>
      </w:r>
    </w:p>
    <w:p>
      <w:pPr>
        <w:spacing w:after="0" w:line="240" w:lineRule="auto"/>
        <w:jc w:val="left"/>
        <w:rPr>
          <w:sz w:val="18"/>
        </w:rPr>
        <w:sectPr>
          <w:pgSz w:w="11910" w:h="16840"/>
          <w:pgMar w:top="0" w:bottom="280" w:left="300" w:right="280"/>
        </w:sectPr>
      </w:pPr>
    </w:p>
    <w:p>
      <w:pPr>
        <w:pStyle w:val="BodyText"/>
      </w:pPr>
      <w:r>
        <w:rPr/>
        <mc:AlternateContent>
          <mc:Choice Requires="wps">
            <w:drawing>
              <wp:anchor distT="0" distB="0" distL="0" distR="0" allowOverlap="1" layoutInCell="1" locked="0" behindDoc="0" simplePos="0" relativeHeight="15930880">
                <wp:simplePos x="0" y="0"/>
                <wp:positionH relativeFrom="page">
                  <wp:posOffset>-2</wp:posOffset>
                </wp:positionH>
                <wp:positionV relativeFrom="page">
                  <wp:posOffset>0</wp:posOffset>
                </wp:positionV>
                <wp:extent cx="7560309" cy="1257935"/>
                <wp:effectExtent l="0" t="0" r="0" b="0"/>
                <wp:wrapNone/>
                <wp:docPr id="1054" name="Group 1054"/>
                <wp:cNvGraphicFramePr>
                  <a:graphicFrameLocks/>
                </wp:cNvGraphicFramePr>
                <a:graphic>
                  <a:graphicData uri="http://schemas.microsoft.com/office/word/2010/wordprocessingGroup">
                    <wpg:wgp>
                      <wpg:cNvPr id="1054" name="Group 1054"/>
                      <wpg:cNvGrpSpPr/>
                      <wpg:grpSpPr>
                        <a:xfrm>
                          <a:off x="0" y="0"/>
                          <a:ext cx="7560309" cy="1257935"/>
                          <a:chExt cx="7560309" cy="1257935"/>
                        </a:xfrm>
                      </wpg:grpSpPr>
                      <wps:wsp>
                        <wps:cNvPr id="1055" name="Graphic 1055"/>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056" name="Graphic 1056"/>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1057" name="Textbox 1057"/>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1058" name="Textbox 1058"/>
                        <wps:cNvSpPr txBox="1"/>
                        <wps:spPr>
                          <a:xfrm>
                            <a:off x="7028829"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129</w:t>
                              </w:r>
                            </w:p>
                          </w:txbxContent>
                        </wps:txbx>
                        <wps:bodyPr wrap="square" lIns="0" tIns="0" rIns="0" bIns="0" rtlCol="0">
                          <a:noAutofit/>
                        </wps:bodyPr>
                      </wps:wsp>
                      <wps:wsp>
                        <wps:cNvPr id="1059" name="Textbox 1059"/>
                        <wps:cNvSpPr txBox="1"/>
                        <wps:spPr>
                          <a:xfrm>
                            <a:off x="900001" y="1080004"/>
                            <a:ext cx="5695950" cy="177800"/>
                          </a:xfrm>
                          <a:prstGeom prst="rect">
                            <a:avLst/>
                          </a:prstGeom>
                        </wps:spPr>
                        <wps:txbx>
                          <w:txbxContent>
                            <w:p>
                              <w:pPr>
                                <w:spacing w:line="280" w:lineRule="exact" w:before="0"/>
                                <w:ind w:left="0" w:right="0" w:firstLine="0"/>
                                <w:jc w:val="left"/>
                                <w:rPr>
                                  <w:sz w:val="28"/>
                                </w:rPr>
                              </w:pPr>
                              <w:r>
                                <w:rPr>
                                  <w:sz w:val="28"/>
                                </w:rPr>
                                <w:t>for</w:t>
                              </w:r>
                              <w:r>
                                <w:rPr>
                                  <w:spacing w:val="-10"/>
                                  <w:sz w:val="28"/>
                                </w:rPr>
                                <w:t> </w:t>
                              </w:r>
                              <w:r>
                                <w:rPr>
                                  <w:sz w:val="28"/>
                                </w:rPr>
                                <w:t>excluding</w:t>
                              </w:r>
                              <w:r>
                                <w:rPr>
                                  <w:spacing w:val="-7"/>
                                  <w:sz w:val="28"/>
                                </w:rPr>
                                <w:t> </w:t>
                              </w:r>
                              <w:r>
                                <w:rPr>
                                  <w:sz w:val="28"/>
                                </w:rPr>
                                <w:t>disabled</w:t>
                              </w:r>
                              <w:r>
                                <w:rPr>
                                  <w:spacing w:val="-8"/>
                                  <w:sz w:val="28"/>
                                </w:rPr>
                                <w:t> </w:t>
                              </w:r>
                              <w:r>
                                <w:rPr>
                                  <w:sz w:val="28"/>
                                </w:rPr>
                                <w:t>persons</w:t>
                              </w:r>
                              <w:r>
                                <w:rPr>
                                  <w:spacing w:val="-8"/>
                                  <w:sz w:val="28"/>
                                </w:rPr>
                                <w:t> </w:t>
                              </w:r>
                              <w:r>
                                <w:rPr>
                                  <w:sz w:val="28"/>
                                </w:rPr>
                                <w:t>from</w:t>
                              </w:r>
                              <w:r>
                                <w:rPr>
                                  <w:spacing w:val="-8"/>
                                  <w:sz w:val="28"/>
                                </w:rPr>
                                <w:t> </w:t>
                              </w:r>
                              <w:r>
                                <w:rPr>
                                  <w:sz w:val="28"/>
                                </w:rPr>
                                <w:t>certain</w:t>
                              </w:r>
                              <w:r>
                                <w:rPr>
                                  <w:spacing w:val="-8"/>
                                  <w:sz w:val="28"/>
                                </w:rPr>
                                <w:t> </w:t>
                              </w:r>
                              <w:r>
                                <w:rPr>
                                  <w:sz w:val="28"/>
                                </w:rPr>
                                <w:t>professional</w:t>
                              </w:r>
                              <w:r>
                                <w:rPr>
                                  <w:spacing w:val="-8"/>
                                  <w:sz w:val="28"/>
                                </w:rPr>
                                <w:t> </w:t>
                              </w:r>
                              <w:r>
                                <w:rPr>
                                  <w:sz w:val="28"/>
                                </w:rPr>
                                <w:t>roles.</w:t>
                              </w:r>
                              <w:r>
                                <w:rPr>
                                  <w:spacing w:val="-8"/>
                                  <w:sz w:val="28"/>
                                </w:rPr>
                                <w:t> </w:t>
                              </w:r>
                              <w:r>
                                <w:rPr>
                                  <w:sz w:val="28"/>
                                </w:rPr>
                                <w:t>The</w:t>
                              </w:r>
                              <w:r>
                                <w:rPr>
                                  <w:spacing w:val="-7"/>
                                  <w:sz w:val="28"/>
                                </w:rPr>
                                <w:t> </w:t>
                              </w:r>
                              <w:r>
                                <w:rPr>
                                  <w:sz w:val="28"/>
                                </w:rPr>
                                <w:t>Court</w:t>
                              </w:r>
                              <w:r>
                                <w:rPr>
                                  <w:spacing w:val="-7"/>
                                  <w:sz w:val="28"/>
                                </w:rPr>
                                <w:t> </w:t>
                              </w:r>
                              <w:r>
                                <w:rPr>
                                  <w:spacing w:val="-2"/>
                                  <w:sz w:val="28"/>
                                </w:rPr>
                                <w:t>found</w:t>
                              </w:r>
                            </w:p>
                          </w:txbxContent>
                        </wps:txbx>
                        <wps:bodyPr wrap="square" lIns="0" tIns="0" rIns="0" bIns="0" rtlCol="0">
                          <a:noAutofit/>
                        </wps:bodyPr>
                      </wps:wsp>
                    </wpg:wgp>
                  </a:graphicData>
                </a:graphic>
              </wp:anchor>
            </w:drawing>
          </mc:Choice>
          <mc:Fallback>
            <w:pict>
              <v:group style="position:absolute;margin-left:-.000192pt;margin-top:-.00002pt;width:595.3pt;height:99.05pt;mso-position-horizontal-relative:page;mso-position-vertical-relative:page;z-index:15930880" id="docshapegroup869" coordorigin="0,0" coordsize="11906,1981">
                <v:shape style="position:absolute;left:0;top:0;width:11906;height:1819" id="docshape870"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871"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069;top:636;width:446;height:280" type="#_x0000_t202" id="docshape872" filled="false" stroked="false">
                  <v:textbox inset="0,0,0,0">
                    <w:txbxContent>
                      <w:p>
                        <w:pPr>
                          <w:spacing w:line="280" w:lineRule="exact" w:before="0"/>
                          <w:ind w:left="0" w:right="0" w:firstLine="0"/>
                          <w:jc w:val="left"/>
                          <w:rPr>
                            <w:b/>
                            <w:sz w:val="28"/>
                          </w:rPr>
                        </w:pPr>
                        <w:r>
                          <w:rPr>
                            <w:b/>
                            <w:color w:val="FFFFFF"/>
                            <w:spacing w:val="-5"/>
                            <w:sz w:val="28"/>
                          </w:rPr>
                          <w:t>129</w:t>
                        </w:r>
                      </w:p>
                    </w:txbxContent>
                  </v:textbox>
                  <w10:wrap type="none"/>
                </v:shape>
                <v:shape style="position:absolute;left:1417;top:1700;width:8970;height:280" type="#_x0000_t202" id="docshape873" filled="false" stroked="false">
                  <v:textbox inset="0,0,0,0">
                    <w:txbxContent>
                      <w:p>
                        <w:pPr>
                          <w:spacing w:line="280" w:lineRule="exact" w:before="0"/>
                          <w:ind w:left="0" w:right="0" w:firstLine="0"/>
                          <w:jc w:val="left"/>
                          <w:rPr>
                            <w:sz w:val="28"/>
                          </w:rPr>
                        </w:pPr>
                        <w:r>
                          <w:rPr>
                            <w:sz w:val="28"/>
                          </w:rPr>
                          <w:t>for</w:t>
                        </w:r>
                        <w:r>
                          <w:rPr>
                            <w:spacing w:val="-10"/>
                            <w:sz w:val="28"/>
                          </w:rPr>
                          <w:t> </w:t>
                        </w:r>
                        <w:r>
                          <w:rPr>
                            <w:sz w:val="28"/>
                          </w:rPr>
                          <w:t>excluding</w:t>
                        </w:r>
                        <w:r>
                          <w:rPr>
                            <w:spacing w:val="-7"/>
                            <w:sz w:val="28"/>
                          </w:rPr>
                          <w:t> </w:t>
                        </w:r>
                        <w:r>
                          <w:rPr>
                            <w:sz w:val="28"/>
                          </w:rPr>
                          <w:t>disabled</w:t>
                        </w:r>
                        <w:r>
                          <w:rPr>
                            <w:spacing w:val="-8"/>
                            <w:sz w:val="28"/>
                          </w:rPr>
                          <w:t> </w:t>
                        </w:r>
                        <w:r>
                          <w:rPr>
                            <w:sz w:val="28"/>
                          </w:rPr>
                          <w:t>persons</w:t>
                        </w:r>
                        <w:r>
                          <w:rPr>
                            <w:spacing w:val="-8"/>
                            <w:sz w:val="28"/>
                          </w:rPr>
                          <w:t> </w:t>
                        </w:r>
                        <w:r>
                          <w:rPr>
                            <w:sz w:val="28"/>
                          </w:rPr>
                          <w:t>from</w:t>
                        </w:r>
                        <w:r>
                          <w:rPr>
                            <w:spacing w:val="-8"/>
                            <w:sz w:val="28"/>
                          </w:rPr>
                          <w:t> </w:t>
                        </w:r>
                        <w:r>
                          <w:rPr>
                            <w:sz w:val="28"/>
                          </w:rPr>
                          <w:t>certain</w:t>
                        </w:r>
                        <w:r>
                          <w:rPr>
                            <w:spacing w:val="-8"/>
                            <w:sz w:val="28"/>
                          </w:rPr>
                          <w:t> </w:t>
                        </w:r>
                        <w:r>
                          <w:rPr>
                            <w:sz w:val="28"/>
                          </w:rPr>
                          <w:t>professional</w:t>
                        </w:r>
                        <w:r>
                          <w:rPr>
                            <w:spacing w:val="-8"/>
                            <w:sz w:val="28"/>
                          </w:rPr>
                          <w:t> </w:t>
                        </w:r>
                        <w:r>
                          <w:rPr>
                            <w:sz w:val="28"/>
                          </w:rPr>
                          <w:t>roles.</w:t>
                        </w:r>
                        <w:r>
                          <w:rPr>
                            <w:spacing w:val="-8"/>
                            <w:sz w:val="28"/>
                          </w:rPr>
                          <w:t> </w:t>
                        </w:r>
                        <w:r>
                          <w:rPr>
                            <w:sz w:val="28"/>
                          </w:rPr>
                          <w:t>The</w:t>
                        </w:r>
                        <w:r>
                          <w:rPr>
                            <w:spacing w:val="-7"/>
                            <w:sz w:val="28"/>
                          </w:rPr>
                          <w:t> </w:t>
                        </w:r>
                        <w:r>
                          <w:rPr>
                            <w:sz w:val="28"/>
                          </w:rPr>
                          <w:t>Court</w:t>
                        </w:r>
                        <w:r>
                          <w:rPr>
                            <w:spacing w:val="-7"/>
                            <w:sz w:val="28"/>
                          </w:rPr>
                          <w:t> </w:t>
                        </w:r>
                        <w:r>
                          <w:rPr>
                            <w:spacing w:val="-2"/>
                            <w:sz w:val="28"/>
                          </w:rPr>
                          <w:t>found</w:t>
                        </w:r>
                      </w:p>
                    </w:txbxContent>
                  </v:textbox>
                  <w10:wrap type="none"/>
                </v:shape>
                <w10:wrap type="none"/>
              </v:group>
            </w:pict>
          </mc:Fallback>
        </mc:AlternateContent>
      </w:r>
    </w:p>
    <w:p>
      <w:pPr>
        <w:pStyle w:val="BodyText"/>
      </w:pPr>
    </w:p>
    <w:p>
      <w:pPr>
        <w:pStyle w:val="BodyText"/>
      </w:pPr>
    </w:p>
    <w:p>
      <w:pPr>
        <w:pStyle w:val="BodyText"/>
      </w:pPr>
    </w:p>
    <w:p>
      <w:pPr>
        <w:pStyle w:val="BodyText"/>
        <w:spacing w:before="255"/>
      </w:pPr>
    </w:p>
    <w:p>
      <w:pPr>
        <w:pStyle w:val="BodyText"/>
        <w:spacing w:line="232" w:lineRule="auto"/>
        <w:ind w:left="1117" w:right="805"/>
      </w:pPr>
      <w:bookmarkStart w:name="6.3.5 Directive 2010/41/EU Self-Employme" w:id="201"/>
      <w:bookmarkEnd w:id="201"/>
      <w:r>
        <w:rPr/>
      </w:r>
      <w:bookmarkStart w:name="6.3.6 Directive 79/7/EEC of 19 December " w:id="202"/>
      <w:bookmarkEnd w:id="202"/>
      <w:r>
        <w:rPr/>
      </w:r>
      <w:bookmarkStart w:name="6.3.6.1 Thematic Area: Employment, Pensi" w:id="203"/>
      <w:bookmarkEnd w:id="203"/>
      <w:r>
        <w:rPr/>
      </w:r>
      <w:bookmarkStart w:name="_bookmark84" w:id="204"/>
      <w:bookmarkEnd w:id="204"/>
      <w:r>
        <w:rPr/>
      </w:r>
      <w:r>
        <w:rPr/>
        <w:t>that</w:t>
      </w:r>
      <w:r>
        <w:rPr>
          <w:spacing w:val="-7"/>
        </w:rPr>
        <w:t> </w:t>
      </w:r>
      <w:r>
        <w:rPr/>
        <w:t>absolute</w:t>
      </w:r>
      <w:r>
        <w:rPr>
          <w:spacing w:val="-7"/>
        </w:rPr>
        <w:t> </w:t>
      </w:r>
      <w:r>
        <w:rPr/>
        <w:t>bars</w:t>
      </w:r>
      <w:r>
        <w:rPr>
          <w:spacing w:val="-7"/>
        </w:rPr>
        <w:t> </w:t>
      </w:r>
      <w:r>
        <w:rPr/>
        <w:t>on</w:t>
      </w:r>
      <w:r>
        <w:rPr>
          <w:spacing w:val="-7"/>
        </w:rPr>
        <w:t> </w:t>
      </w:r>
      <w:r>
        <w:rPr/>
        <w:t>employment</w:t>
      </w:r>
      <w:r>
        <w:rPr>
          <w:spacing w:val="-7"/>
        </w:rPr>
        <w:t> </w:t>
      </w:r>
      <w:r>
        <w:rPr/>
        <w:t>were</w:t>
      </w:r>
      <w:r>
        <w:rPr>
          <w:spacing w:val="-7"/>
        </w:rPr>
        <w:t> </w:t>
      </w:r>
      <w:r>
        <w:rPr/>
        <w:t>unjustifiable</w:t>
      </w:r>
      <w:r>
        <w:rPr>
          <w:spacing w:val="-7"/>
        </w:rPr>
        <w:t> </w:t>
      </w:r>
      <w:r>
        <w:rPr/>
        <w:t>and</w:t>
      </w:r>
      <w:r>
        <w:rPr>
          <w:spacing w:val="-7"/>
        </w:rPr>
        <w:t> </w:t>
      </w:r>
      <w:r>
        <w:rPr/>
        <w:t>required</w:t>
      </w:r>
      <w:r>
        <w:rPr>
          <w:spacing w:val="-7"/>
        </w:rPr>
        <w:t> </w:t>
      </w:r>
      <w:r>
        <w:rPr/>
        <w:t>the</w:t>
      </w:r>
      <w:r>
        <w:rPr>
          <w:spacing w:val="-7"/>
        </w:rPr>
        <w:t> </w:t>
      </w:r>
      <w:r>
        <w:rPr/>
        <w:t>adoption</w:t>
      </w:r>
      <w:r>
        <w:rPr>
          <w:spacing w:val="-7"/>
        </w:rPr>
        <w:t> </w:t>
      </w:r>
      <w:r>
        <w:rPr/>
        <w:t>of reasonable accommodation measures, including adjustments and assignment to a different service, in line with article 5 of the Directive, read in the light of articles 21 and 26 of the Charter of Fundamental Rights of the European Union, as well as article</w:t>
      </w:r>
      <w:r>
        <w:rPr>
          <w:spacing w:val="-5"/>
        </w:rPr>
        <w:t> </w:t>
      </w:r>
      <w:r>
        <w:rPr/>
        <w:t>5</w:t>
      </w:r>
      <w:r>
        <w:rPr>
          <w:spacing w:val="-5"/>
        </w:rPr>
        <w:t> </w:t>
      </w:r>
      <w:r>
        <w:rPr/>
        <w:t>of</w:t>
      </w:r>
      <w:r>
        <w:rPr>
          <w:spacing w:val="-6"/>
        </w:rPr>
        <w:t> </w:t>
      </w:r>
      <w:r>
        <w:rPr/>
        <w:t>the</w:t>
      </w:r>
      <w:r>
        <w:rPr>
          <w:spacing w:val="-5"/>
        </w:rPr>
        <w:t> </w:t>
      </w:r>
      <w:r>
        <w:rPr/>
        <w:t>UN</w:t>
      </w:r>
      <w:r>
        <w:rPr>
          <w:spacing w:val="-5"/>
        </w:rPr>
        <w:t> </w:t>
      </w:r>
      <w:r>
        <w:rPr/>
        <w:t>Convention</w:t>
      </w:r>
      <w:r>
        <w:rPr>
          <w:spacing w:val="-6"/>
        </w:rPr>
        <w:t> </w:t>
      </w:r>
      <w:r>
        <w:rPr/>
        <w:t>on</w:t>
      </w:r>
      <w:r>
        <w:rPr>
          <w:spacing w:val="-6"/>
        </w:rPr>
        <w:t> </w:t>
      </w:r>
      <w:r>
        <w:rPr/>
        <w:t>the</w:t>
      </w:r>
      <w:r>
        <w:rPr>
          <w:spacing w:val="-5"/>
        </w:rPr>
        <w:t> </w:t>
      </w:r>
      <w:r>
        <w:rPr/>
        <w:t>Rights</w:t>
      </w:r>
      <w:r>
        <w:rPr>
          <w:spacing w:val="-6"/>
        </w:rPr>
        <w:t> </w:t>
      </w:r>
      <w:r>
        <w:rPr/>
        <w:t>of</w:t>
      </w:r>
      <w:r>
        <w:rPr>
          <w:spacing w:val="-6"/>
        </w:rPr>
        <w:t> </w:t>
      </w:r>
      <w:r>
        <w:rPr/>
        <w:t>Persons</w:t>
      </w:r>
      <w:r>
        <w:rPr>
          <w:spacing w:val="-6"/>
        </w:rPr>
        <w:t> </w:t>
      </w:r>
      <w:r>
        <w:rPr/>
        <w:t>with</w:t>
      </w:r>
      <w:r>
        <w:rPr>
          <w:spacing w:val="-6"/>
        </w:rPr>
        <w:t> </w:t>
      </w:r>
      <w:r>
        <w:rPr/>
        <w:t>Disabilities</w:t>
      </w:r>
      <w:r>
        <w:rPr>
          <w:spacing w:val="-6"/>
        </w:rPr>
        <w:t> </w:t>
      </w:r>
      <w:r>
        <w:rPr/>
        <w:t>(UNCRPD).</w:t>
      </w:r>
    </w:p>
    <w:p>
      <w:pPr>
        <w:pStyle w:val="BodyText"/>
        <w:spacing w:line="232" w:lineRule="auto" w:before="276"/>
        <w:ind w:left="1117" w:right="738"/>
      </w:pPr>
      <w:r>
        <w:rPr/>
        <w:t>This draws on the cases highlighted in the previous report and the above case has strengthened the position of persons with disabilities, specifically in relation to justifications</w:t>
      </w:r>
      <w:r>
        <w:rPr>
          <w:spacing w:val="-3"/>
        </w:rPr>
        <w:t> </w:t>
      </w:r>
      <w:r>
        <w:rPr/>
        <w:t>for</w:t>
      </w:r>
      <w:r>
        <w:rPr>
          <w:spacing w:val="-2"/>
        </w:rPr>
        <w:t> </w:t>
      </w:r>
      <w:r>
        <w:rPr/>
        <w:t>the</w:t>
      </w:r>
      <w:r>
        <w:rPr>
          <w:spacing w:val="-3"/>
        </w:rPr>
        <w:t> </w:t>
      </w:r>
      <w:r>
        <w:rPr/>
        <w:t>exclusion</w:t>
      </w:r>
      <w:r>
        <w:rPr>
          <w:spacing w:val="-3"/>
        </w:rPr>
        <w:t> </w:t>
      </w:r>
      <w:r>
        <w:rPr/>
        <w:t>of</w:t>
      </w:r>
      <w:r>
        <w:rPr>
          <w:spacing w:val="-3"/>
        </w:rPr>
        <w:t> </w:t>
      </w:r>
      <w:r>
        <w:rPr/>
        <w:t>persons</w:t>
      </w:r>
      <w:r>
        <w:rPr>
          <w:spacing w:val="-3"/>
        </w:rPr>
        <w:t> </w:t>
      </w:r>
      <w:r>
        <w:rPr/>
        <w:t>with</w:t>
      </w:r>
      <w:r>
        <w:rPr>
          <w:spacing w:val="-3"/>
        </w:rPr>
        <w:t> </w:t>
      </w:r>
      <w:r>
        <w:rPr/>
        <w:t>disabilities</w:t>
      </w:r>
      <w:r>
        <w:rPr>
          <w:spacing w:val="-3"/>
        </w:rPr>
        <w:t> </w:t>
      </w:r>
      <w:r>
        <w:rPr/>
        <w:t>from</w:t>
      </w:r>
      <w:r>
        <w:rPr>
          <w:spacing w:val="-2"/>
        </w:rPr>
        <w:t> </w:t>
      </w:r>
      <w:r>
        <w:rPr/>
        <w:t>certain</w:t>
      </w:r>
      <w:r>
        <w:rPr>
          <w:spacing w:val="-3"/>
        </w:rPr>
        <w:t> </w:t>
      </w:r>
      <w:r>
        <w:rPr/>
        <w:t>professional roles.</w:t>
      </w:r>
      <w:r>
        <w:rPr>
          <w:vertAlign w:val="superscript"/>
        </w:rPr>
        <w:t>661</w:t>
      </w:r>
      <w:r>
        <w:rPr>
          <w:vertAlign w:val="baseline"/>
        </w:rPr>
        <w:t> Drawing upon earlier case law, there requires continued scrutiny on matters relating to absolute bars to employment to persons with a disability to ensure</w:t>
      </w:r>
      <w:r>
        <w:rPr>
          <w:spacing w:val="-7"/>
          <w:vertAlign w:val="baseline"/>
        </w:rPr>
        <w:t> </w:t>
      </w:r>
      <w:r>
        <w:rPr>
          <w:vertAlign w:val="baseline"/>
        </w:rPr>
        <w:t>compliance</w:t>
      </w:r>
      <w:r>
        <w:rPr>
          <w:spacing w:val="-7"/>
          <w:vertAlign w:val="baseline"/>
        </w:rPr>
        <w:t> </w:t>
      </w:r>
      <w:r>
        <w:rPr>
          <w:vertAlign w:val="baseline"/>
        </w:rPr>
        <w:t>of</w:t>
      </w:r>
      <w:r>
        <w:rPr>
          <w:spacing w:val="-8"/>
          <w:vertAlign w:val="baseline"/>
        </w:rPr>
        <w:t> </w:t>
      </w:r>
      <w:r>
        <w:rPr>
          <w:vertAlign w:val="baseline"/>
        </w:rPr>
        <w:t>this</w:t>
      </w:r>
      <w:r>
        <w:rPr>
          <w:spacing w:val="-8"/>
          <w:vertAlign w:val="baseline"/>
        </w:rPr>
        <w:t> </w:t>
      </w:r>
      <w:r>
        <w:rPr>
          <w:vertAlign w:val="baseline"/>
        </w:rPr>
        <w:t>within</w:t>
      </w:r>
      <w:r>
        <w:rPr>
          <w:spacing w:val="-8"/>
          <w:vertAlign w:val="baseline"/>
        </w:rPr>
        <w:t> </w:t>
      </w:r>
      <w:r>
        <w:rPr>
          <w:vertAlign w:val="baseline"/>
        </w:rPr>
        <w:t>the</w:t>
      </w:r>
      <w:r>
        <w:rPr>
          <w:spacing w:val="-7"/>
          <w:vertAlign w:val="baseline"/>
        </w:rPr>
        <w:t> </w:t>
      </w:r>
      <w:r>
        <w:rPr>
          <w:vertAlign w:val="baseline"/>
        </w:rPr>
        <w:t>Northern</w:t>
      </w:r>
      <w:r>
        <w:rPr>
          <w:spacing w:val="-8"/>
          <w:vertAlign w:val="baseline"/>
        </w:rPr>
        <w:t> </w:t>
      </w:r>
      <w:r>
        <w:rPr>
          <w:vertAlign w:val="baseline"/>
        </w:rPr>
        <w:t>Ireland</w:t>
      </w:r>
      <w:r>
        <w:rPr>
          <w:spacing w:val="-8"/>
          <w:vertAlign w:val="baseline"/>
        </w:rPr>
        <w:t> </w:t>
      </w:r>
      <w:r>
        <w:rPr>
          <w:vertAlign w:val="baseline"/>
        </w:rPr>
        <w:t>context.</w:t>
      </w:r>
      <w:r>
        <w:rPr>
          <w:spacing w:val="-8"/>
          <w:vertAlign w:val="baseline"/>
        </w:rPr>
        <w:t> </w:t>
      </w:r>
      <w:r>
        <w:rPr>
          <w:vertAlign w:val="baseline"/>
        </w:rPr>
        <w:t>It</w:t>
      </w:r>
      <w:r>
        <w:rPr>
          <w:spacing w:val="-7"/>
          <w:vertAlign w:val="baseline"/>
        </w:rPr>
        <w:t> </w:t>
      </w:r>
      <w:r>
        <w:rPr>
          <w:vertAlign w:val="baseline"/>
        </w:rPr>
        <w:t>therefore</w:t>
      </w:r>
      <w:r>
        <w:rPr>
          <w:spacing w:val="-7"/>
          <w:vertAlign w:val="baseline"/>
        </w:rPr>
        <w:t> </w:t>
      </w:r>
      <w:r>
        <w:rPr>
          <w:vertAlign w:val="baseline"/>
        </w:rPr>
        <w:t>remains an area which requires close tracking given the ongoing developments within the CJEU caselaw and the strengthening of disability discrimination provisions.</w:t>
      </w:r>
    </w:p>
    <w:p>
      <w:pPr>
        <w:pStyle w:val="BodyText"/>
        <w:spacing w:before="44"/>
      </w:pPr>
    </w:p>
    <w:p>
      <w:pPr>
        <w:pStyle w:val="Heading3"/>
        <w:numPr>
          <w:ilvl w:val="2"/>
          <w:numId w:val="52"/>
        </w:numPr>
        <w:tabs>
          <w:tab w:pos="1755" w:val="left" w:leader="none"/>
        </w:tabs>
        <w:spacing w:line="336" w:lineRule="exact" w:before="1" w:after="0"/>
        <w:ind w:left="1755" w:right="0" w:hanging="638"/>
        <w:jc w:val="left"/>
      </w:pPr>
      <w:r>
        <w:rPr>
          <w:color w:val="004A93"/>
        </w:rPr>
        <w:t>Directive</w:t>
      </w:r>
      <w:r>
        <w:rPr>
          <w:color w:val="004A93"/>
          <w:spacing w:val="-11"/>
        </w:rPr>
        <w:t> </w:t>
      </w:r>
      <w:r>
        <w:rPr>
          <w:color w:val="004A93"/>
        </w:rPr>
        <w:t>2010/41/EU</w:t>
      </w:r>
      <w:r>
        <w:rPr>
          <w:color w:val="004A93"/>
          <w:spacing w:val="-10"/>
        </w:rPr>
        <w:t> </w:t>
      </w:r>
      <w:r>
        <w:rPr>
          <w:color w:val="004A93"/>
        </w:rPr>
        <w:t>Self-Employment</w:t>
      </w:r>
      <w:r>
        <w:rPr>
          <w:color w:val="004A93"/>
          <w:spacing w:val="-9"/>
        </w:rPr>
        <w:t> </w:t>
      </w:r>
      <w:r>
        <w:rPr>
          <w:color w:val="004A93"/>
        </w:rPr>
        <w:t>Equality</w:t>
      </w:r>
      <w:r>
        <w:rPr>
          <w:color w:val="004A93"/>
          <w:spacing w:val="-10"/>
        </w:rPr>
        <w:t> </w:t>
      </w:r>
      <w:r>
        <w:rPr>
          <w:color w:val="004A93"/>
          <w:spacing w:val="-2"/>
        </w:rPr>
        <w:t>Directive</w:t>
      </w:r>
    </w:p>
    <w:p>
      <w:pPr>
        <w:pStyle w:val="BodyText"/>
        <w:spacing w:line="232" w:lineRule="auto" w:before="2"/>
        <w:ind w:left="1117" w:right="738"/>
      </w:pPr>
      <w:r>
        <w:rPr/>
        <w:t>There</w:t>
      </w:r>
      <w:r>
        <w:rPr>
          <w:spacing w:val="-5"/>
        </w:rPr>
        <w:t> </w:t>
      </w:r>
      <w:r>
        <w:rPr/>
        <w:t>was</w:t>
      </w:r>
      <w:r>
        <w:rPr>
          <w:spacing w:val="-6"/>
        </w:rPr>
        <w:t> </w:t>
      </w:r>
      <w:r>
        <w:rPr/>
        <w:t>no</w:t>
      </w:r>
      <w:r>
        <w:rPr>
          <w:spacing w:val="-6"/>
        </w:rPr>
        <w:t> </w:t>
      </w:r>
      <w:r>
        <w:rPr/>
        <w:t>CJEU</w:t>
      </w:r>
      <w:r>
        <w:rPr>
          <w:spacing w:val="-5"/>
        </w:rPr>
        <w:t> </w:t>
      </w:r>
      <w:r>
        <w:rPr/>
        <w:t>case</w:t>
      </w:r>
      <w:r>
        <w:rPr>
          <w:spacing w:val="-5"/>
        </w:rPr>
        <w:t> </w:t>
      </w:r>
      <w:r>
        <w:rPr/>
        <w:t>law</w:t>
      </w:r>
      <w:r>
        <w:rPr>
          <w:spacing w:val="-5"/>
        </w:rPr>
        <w:t> </w:t>
      </w:r>
      <w:r>
        <w:rPr/>
        <w:t>within</w:t>
      </w:r>
      <w:r>
        <w:rPr>
          <w:spacing w:val="-6"/>
        </w:rPr>
        <w:t> </w:t>
      </w:r>
      <w:r>
        <w:rPr/>
        <w:t>the</w:t>
      </w:r>
      <w:r>
        <w:rPr>
          <w:spacing w:val="-5"/>
        </w:rPr>
        <w:t> </w:t>
      </w:r>
      <w:r>
        <w:rPr/>
        <w:t>defined</w:t>
      </w:r>
      <w:r>
        <w:rPr>
          <w:spacing w:val="-6"/>
        </w:rPr>
        <w:t> </w:t>
      </w:r>
      <w:r>
        <w:rPr/>
        <w:t>date</w:t>
      </w:r>
      <w:r>
        <w:rPr>
          <w:spacing w:val="-5"/>
        </w:rPr>
        <w:t> </w:t>
      </w:r>
      <w:r>
        <w:rPr/>
        <w:t>period</w:t>
      </w:r>
      <w:r>
        <w:rPr>
          <w:spacing w:val="-6"/>
        </w:rPr>
        <w:t> </w:t>
      </w:r>
      <w:r>
        <w:rPr/>
        <w:t>and</w:t>
      </w:r>
      <w:r>
        <w:rPr>
          <w:spacing w:val="-6"/>
        </w:rPr>
        <w:t> </w:t>
      </w:r>
      <w:r>
        <w:rPr/>
        <w:t>parameters</w:t>
      </w:r>
      <w:r>
        <w:rPr>
          <w:spacing w:val="-6"/>
        </w:rPr>
        <w:t> </w:t>
      </w:r>
      <w:r>
        <w:rPr/>
        <w:t>dealing with Directive 2010/41/EU as outlined in the Appendix 1 mapping. This should continue to be monitored in light of any future developments after the mapping date range concluded on 31 August 2023.</w:t>
      </w:r>
    </w:p>
    <w:p>
      <w:pPr>
        <w:pStyle w:val="BodyText"/>
        <w:spacing w:before="50"/>
      </w:pPr>
    </w:p>
    <w:p>
      <w:pPr>
        <w:pStyle w:val="Heading3"/>
        <w:numPr>
          <w:ilvl w:val="2"/>
          <w:numId w:val="52"/>
        </w:numPr>
        <w:tabs>
          <w:tab w:pos="1748" w:val="left" w:leader="none"/>
        </w:tabs>
        <w:spacing w:line="240" w:lineRule="auto" w:before="1" w:after="0"/>
        <w:ind w:left="1748" w:right="0" w:hanging="631"/>
        <w:jc w:val="left"/>
      </w:pPr>
      <w:r>
        <w:rPr>
          <w:color w:val="004A93"/>
        </w:rPr>
        <w:t>Directive</w:t>
      </w:r>
      <w:r>
        <w:rPr>
          <w:color w:val="004A93"/>
          <w:spacing w:val="-12"/>
        </w:rPr>
        <w:t> </w:t>
      </w:r>
      <w:r>
        <w:rPr>
          <w:color w:val="004A93"/>
        </w:rPr>
        <w:t>79/7/EEC</w:t>
      </w:r>
      <w:r>
        <w:rPr>
          <w:color w:val="004A93"/>
          <w:spacing w:val="-12"/>
        </w:rPr>
        <w:t> </w:t>
      </w:r>
      <w:r>
        <w:rPr>
          <w:color w:val="004A93"/>
        </w:rPr>
        <w:t>of</w:t>
      </w:r>
      <w:r>
        <w:rPr>
          <w:color w:val="004A93"/>
          <w:spacing w:val="-12"/>
        </w:rPr>
        <w:t> </w:t>
      </w:r>
      <w:r>
        <w:rPr>
          <w:color w:val="004A93"/>
        </w:rPr>
        <w:t>19</w:t>
      </w:r>
      <w:r>
        <w:rPr>
          <w:color w:val="004A93"/>
          <w:spacing w:val="-12"/>
        </w:rPr>
        <w:t> </w:t>
      </w:r>
      <w:r>
        <w:rPr>
          <w:color w:val="004A93"/>
        </w:rPr>
        <w:t>December</w:t>
      </w:r>
      <w:r>
        <w:rPr>
          <w:color w:val="004A93"/>
          <w:spacing w:val="-12"/>
        </w:rPr>
        <w:t> </w:t>
      </w:r>
      <w:r>
        <w:rPr>
          <w:color w:val="004A93"/>
        </w:rPr>
        <w:t>1978</w:t>
      </w:r>
      <w:r>
        <w:rPr>
          <w:color w:val="004A93"/>
          <w:spacing w:val="-12"/>
        </w:rPr>
        <w:t> </w:t>
      </w:r>
      <w:r>
        <w:rPr>
          <w:color w:val="004A93"/>
        </w:rPr>
        <w:t>Equality</w:t>
      </w:r>
      <w:r>
        <w:rPr>
          <w:color w:val="004A93"/>
          <w:spacing w:val="-11"/>
        </w:rPr>
        <w:t> </w:t>
      </w:r>
      <w:r>
        <w:rPr>
          <w:color w:val="004A93"/>
        </w:rPr>
        <w:t>in</w:t>
      </w:r>
      <w:r>
        <w:rPr>
          <w:color w:val="004A93"/>
          <w:spacing w:val="-12"/>
        </w:rPr>
        <w:t> </w:t>
      </w:r>
      <w:r>
        <w:rPr>
          <w:color w:val="004A93"/>
        </w:rPr>
        <w:t>Social</w:t>
      </w:r>
      <w:r>
        <w:rPr>
          <w:color w:val="004A93"/>
          <w:spacing w:val="-12"/>
        </w:rPr>
        <w:t> </w:t>
      </w:r>
      <w:r>
        <w:rPr>
          <w:color w:val="004A93"/>
        </w:rPr>
        <w:t>Security</w:t>
      </w:r>
      <w:r>
        <w:rPr>
          <w:color w:val="004A93"/>
          <w:spacing w:val="-12"/>
        </w:rPr>
        <w:t> </w:t>
      </w:r>
      <w:r>
        <w:rPr>
          <w:color w:val="004A93"/>
          <w:spacing w:val="-2"/>
        </w:rPr>
        <w:t>Directive</w:t>
      </w:r>
    </w:p>
    <w:p>
      <w:pPr>
        <w:pStyle w:val="ListParagraph"/>
        <w:numPr>
          <w:ilvl w:val="3"/>
          <w:numId w:val="52"/>
        </w:numPr>
        <w:tabs>
          <w:tab w:pos="1960" w:val="left" w:leader="none"/>
        </w:tabs>
        <w:spacing w:line="336" w:lineRule="exact" w:before="111" w:after="0"/>
        <w:ind w:left="1960" w:right="0" w:hanging="843"/>
        <w:jc w:val="left"/>
        <w:rPr>
          <w:sz w:val="28"/>
        </w:rPr>
      </w:pPr>
      <w:r>
        <w:rPr>
          <w:color w:val="004A93"/>
          <w:sz w:val="28"/>
        </w:rPr>
        <w:t>Thematic</w:t>
      </w:r>
      <w:r>
        <w:rPr>
          <w:color w:val="004A93"/>
          <w:spacing w:val="-7"/>
          <w:sz w:val="28"/>
        </w:rPr>
        <w:t> </w:t>
      </w:r>
      <w:r>
        <w:rPr>
          <w:color w:val="004A93"/>
          <w:sz w:val="28"/>
        </w:rPr>
        <w:t>Area:</w:t>
      </w:r>
      <w:r>
        <w:rPr>
          <w:color w:val="004A93"/>
          <w:spacing w:val="-7"/>
          <w:sz w:val="28"/>
        </w:rPr>
        <w:t> </w:t>
      </w:r>
      <w:r>
        <w:rPr>
          <w:color w:val="004A93"/>
          <w:sz w:val="28"/>
        </w:rPr>
        <w:t>Employment,</w:t>
      </w:r>
      <w:r>
        <w:rPr>
          <w:color w:val="004A93"/>
          <w:spacing w:val="-7"/>
          <w:sz w:val="28"/>
        </w:rPr>
        <w:t> </w:t>
      </w:r>
      <w:r>
        <w:rPr>
          <w:color w:val="004A93"/>
          <w:sz w:val="28"/>
        </w:rPr>
        <w:t>Pensions</w:t>
      </w:r>
      <w:r>
        <w:rPr>
          <w:color w:val="004A93"/>
          <w:spacing w:val="-8"/>
          <w:sz w:val="28"/>
        </w:rPr>
        <w:t> </w:t>
      </w:r>
      <w:r>
        <w:rPr>
          <w:color w:val="004A93"/>
          <w:sz w:val="28"/>
        </w:rPr>
        <w:t>and</w:t>
      </w:r>
      <w:r>
        <w:rPr>
          <w:color w:val="004A93"/>
          <w:spacing w:val="-8"/>
          <w:sz w:val="28"/>
        </w:rPr>
        <w:t> </w:t>
      </w:r>
      <w:r>
        <w:rPr>
          <w:color w:val="004A93"/>
          <w:sz w:val="28"/>
        </w:rPr>
        <w:t>Social</w:t>
      </w:r>
      <w:r>
        <w:rPr>
          <w:color w:val="004A93"/>
          <w:spacing w:val="-7"/>
          <w:sz w:val="28"/>
        </w:rPr>
        <w:t> </w:t>
      </w:r>
      <w:r>
        <w:rPr>
          <w:color w:val="004A93"/>
          <w:spacing w:val="-2"/>
          <w:sz w:val="28"/>
        </w:rPr>
        <w:t>Security</w:t>
      </w:r>
    </w:p>
    <w:p>
      <w:pPr>
        <w:pStyle w:val="BodyText"/>
        <w:spacing w:line="232" w:lineRule="auto" w:before="2"/>
        <w:ind w:left="1117" w:right="670"/>
      </w:pPr>
      <w:r>
        <w:rPr/>
        <w:t>In</w:t>
      </w:r>
      <w:r>
        <w:rPr>
          <w:spacing w:val="-7"/>
        </w:rPr>
        <w:t> </w:t>
      </w:r>
      <w:r>
        <w:rPr/>
        <w:t>addition</w:t>
      </w:r>
      <w:r>
        <w:rPr>
          <w:spacing w:val="-6"/>
        </w:rPr>
        <w:t> </w:t>
      </w:r>
      <w:r>
        <w:rPr/>
        <w:t>to</w:t>
      </w:r>
      <w:r>
        <w:rPr>
          <w:spacing w:val="-7"/>
        </w:rPr>
        <w:t> </w:t>
      </w:r>
      <w:r>
        <w:rPr/>
        <w:t>what</w:t>
      </w:r>
      <w:r>
        <w:rPr>
          <w:spacing w:val="-6"/>
        </w:rPr>
        <w:t> </w:t>
      </w:r>
      <w:r>
        <w:rPr/>
        <w:t>has</w:t>
      </w:r>
      <w:r>
        <w:rPr>
          <w:spacing w:val="-7"/>
        </w:rPr>
        <w:t> </w:t>
      </w:r>
      <w:r>
        <w:rPr/>
        <w:t>been</w:t>
      </w:r>
      <w:r>
        <w:rPr>
          <w:spacing w:val="-7"/>
        </w:rPr>
        <w:t> </w:t>
      </w:r>
      <w:r>
        <w:rPr/>
        <w:t>outlined</w:t>
      </w:r>
      <w:r>
        <w:rPr>
          <w:spacing w:val="-6"/>
        </w:rPr>
        <w:t> </w:t>
      </w:r>
      <w:r>
        <w:rPr/>
        <w:t>above</w:t>
      </w:r>
      <w:r>
        <w:rPr>
          <w:spacing w:val="-7"/>
        </w:rPr>
        <w:t> </w:t>
      </w:r>
      <w:r>
        <w:rPr/>
        <w:t>with</w:t>
      </w:r>
      <w:r>
        <w:rPr>
          <w:spacing w:val="-6"/>
        </w:rPr>
        <w:t> </w:t>
      </w:r>
      <w:r>
        <w:rPr/>
        <w:t>reference</w:t>
      </w:r>
      <w:r>
        <w:rPr>
          <w:spacing w:val="-7"/>
        </w:rPr>
        <w:t> </w:t>
      </w:r>
      <w:r>
        <w:rPr/>
        <w:t>to</w:t>
      </w:r>
      <w:r>
        <w:rPr>
          <w:spacing w:val="-7"/>
        </w:rPr>
        <w:t> </w:t>
      </w:r>
      <w:r>
        <w:rPr/>
        <w:t>Directive</w:t>
      </w:r>
      <w:r>
        <w:rPr>
          <w:spacing w:val="-7"/>
        </w:rPr>
        <w:t> </w:t>
      </w:r>
      <w:r>
        <w:rPr/>
        <w:t>2006/54/EC there has also been notable CJEU developments related to pension entitlements with reference to Directive 79/7/EEC. Important case law within the date period dealing with Directive 79/7/EEC specifically includes </w:t>
      </w:r>
      <w:r>
        <w:rPr>
          <w:b/>
          <w:i/>
        </w:rPr>
        <w:t>CJ v TGSS</w:t>
      </w:r>
      <w:r>
        <w:rPr>
          <w:vertAlign w:val="superscript"/>
        </w:rPr>
        <w:t>662</w:t>
      </w:r>
      <w:r>
        <w:rPr>
          <w:vertAlign w:val="baseline"/>
        </w:rPr>
        <w:t> and </w:t>
      </w:r>
      <w:r>
        <w:rPr>
          <w:b/>
          <w:i/>
          <w:vertAlign w:val="baseline"/>
        </w:rPr>
        <w:t>KM v INSS</w:t>
      </w:r>
      <w:r>
        <w:rPr>
          <w:vertAlign w:val="superscript"/>
        </w:rPr>
        <w:t>663</w:t>
      </w:r>
      <w:r>
        <w:rPr>
          <w:vertAlign w:val="baseline"/>
        </w:rPr>
        <w:t>.</w:t>
      </w:r>
    </w:p>
    <w:p>
      <w:pPr>
        <w:pStyle w:val="BodyText"/>
        <w:spacing w:line="232" w:lineRule="auto" w:before="278"/>
        <w:ind w:left="1117" w:right="738"/>
      </w:pPr>
      <w:r>
        <w:rPr/>
        <w:t>In </w:t>
      </w:r>
      <w:r>
        <w:rPr>
          <w:i/>
        </w:rPr>
        <w:t>CJ v TGSS</w:t>
      </w:r>
      <w:r>
        <w:rPr/>
        <w:t>, the matter before the Court concerned the fact that Spanish social security</w:t>
      </w:r>
      <w:r>
        <w:rPr>
          <w:spacing w:val="-3"/>
        </w:rPr>
        <w:t> </w:t>
      </w:r>
      <w:r>
        <w:rPr/>
        <w:t>legislation</w:t>
      </w:r>
      <w:r>
        <w:rPr>
          <w:spacing w:val="-4"/>
        </w:rPr>
        <w:t> </w:t>
      </w:r>
      <w:r>
        <w:rPr/>
        <w:t>excluded</w:t>
      </w:r>
      <w:r>
        <w:rPr>
          <w:spacing w:val="-4"/>
        </w:rPr>
        <w:t> </w:t>
      </w:r>
      <w:r>
        <w:rPr/>
        <w:t>domestic</w:t>
      </w:r>
      <w:r>
        <w:rPr>
          <w:spacing w:val="-3"/>
        </w:rPr>
        <w:t> </w:t>
      </w:r>
      <w:r>
        <w:rPr/>
        <w:t>workers</w:t>
      </w:r>
      <w:r>
        <w:rPr>
          <w:spacing w:val="-4"/>
        </w:rPr>
        <w:t> </w:t>
      </w:r>
      <w:r>
        <w:rPr/>
        <w:t>from</w:t>
      </w:r>
      <w:r>
        <w:rPr>
          <w:spacing w:val="-3"/>
        </w:rPr>
        <w:t> </w:t>
      </w:r>
      <w:r>
        <w:rPr/>
        <w:t>unemployment</w:t>
      </w:r>
      <w:r>
        <w:rPr>
          <w:spacing w:val="-3"/>
        </w:rPr>
        <w:t> </w:t>
      </w:r>
      <w:r>
        <w:rPr/>
        <w:t>benefits.</w:t>
      </w:r>
      <w:r>
        <w:rPr>
          <w:spacing w:val="-4"/>
        </w:rPr>
        <w:t> </w:t>
      </w:r>
      <w:r>
        <w:rPr/>
        <w:t>The justification</w:t>
      </w:r>
      <w:r>
        <w:rPr>
          <w:spacing w:val="-5"/>
        </w:rPr>
        <w:t> </w:t>
      </w:r>
      <w:r>
        <w:rPr/>
        <w:t>of</w:t>
      </w:r>
      <w:r>
        <w:rPr>
          <w:spacing w:val="-5"/>
        </w:rPr>
        <w:t> </w:t>
      </w:r>
      <w:r>
        <w:rPr/>
        <w:t>such</w:t>
      </w:r>
      <w:r>
        <w:rPr>
          <w:spacing w:val="-5"/>
        </w:rPr>
        <w:t> </w:t>
      </w:r>
      <w:r>
        <w:rPr/>
        <w:t>exclusion</w:t>
      </w:r>
      <w:r>
        <w:rPr>
          <w:spacing w:val="-5"/>
        </w:rPr>
        <w:t> </w:t>
      </w:r>
      <w:r>
        <w:rPr/>
        <w:t>was</w:t>
      </w:r>
      <w:r>
        <w:rPr>
          <w:spacing w:val="-5"/>
        </w:rPr>
        <w:t> </w:t>
      </w:r>
      <w:r>
        <w:rPr/>
        <w:t>considered</w:t>
      </w:r>
      <w:r>
        <w:rPr>
          <w:spacing w:val="-5"/>
        </w:rPr>
        <w:t> </w:t>
      </w:r>
      <w:r>
        <w:rPr/>
        <w:t>before</w:t>
      </w:r>
      <w:r>
        <w:rPr>
          <w:spacing w:val="-4"/>
        </w:rPr>
        <w:t> </w:t>
      </w:r>
      <w:r>
        <w:rPr/>
        <w:t>the</w:t>
      </w:r>
      <w:r>
        <w:rPr>
          <w:spacing w:val="-4"/>
        </w:rPr>
        <w:t> </w:t>
      </w:r>
      <w:r>
        <w:rPr/>
        <w:t>Court</w:t>
      </w:r>
      <w:r>
        <w:rPr>
          <w:spacing w:val="-4"/>
        </w:rPr>
        <w:t> </w:t>
      </w:r>
      <w:r>
        <w:rPr/>
        <w:t>in</w:t>
      </w:r>
      <w:r>
        <w:rPr>
          <w:spacing w:val="-5"/>
        </w:rPr>
        <w:t> </w:t>
      </w:r>
      <w:r>
        <w:rPr/>
        <w:t>light</w:t>
      </w:r>
      <w:r>
        <w:rPr>
          <w:spacing w:val="-4"/>
        </w:rPr>
        <w:t> </w:t>
      </w:r>
      <w:r>
        <w:rPr/>
        <w:t>of</w:t>
      </w:r>
      <w:r>
        <w:rPr>
          <w:spacing w:val="-5"/>
        </w:rPr>
        <w:t> </w:t>
      </w:r>
      <w:r>
        <w:rPr/>
        <w:t>the</w:t>
      </w:r>
      <w:r>
        <w:rPr>
          <w:spacing w:val="-4"/>
        </w:rPr>
        <w:t> </w:t>
      </w:r>
      <w:r>
        <w:rPr/>
        <w:t>non- discrimination</w:t>
      </w:r>
      <w:r>
        <w:rPr>
          <w:spacing w:val="-6"/>
        </w:rPr>
        <w:t> </w:t>
      </w:r>
      <w:r>
        <w:rPr/>
        <w:t>provisions</w:t>
      </w:r>
      <w:r>
        <w:rPr>
          <w:spacing w:val="-6"/>
        </w:rPr>
        <w:t> </w:t>
      </w:r>
      <w:r>
        <w:rPr/>
        <w:t>set</w:t>
      </w:r>
      <w:r>
        <w:rPr>
          <w:spacing w:val="-5"/>
        </w:rPr>
        <w:t> </w:t>
      </w:r>
      <w:r>
        <w:rPr/>
        <w:t>forth</w:t>
      </w:r>
      <w:r>
        <w:rPr>
          <w:spacing w:val="-6"/>
        </w:rPr>
        <w:t> </w:t>
      </w:r>
      <w:r>
        <w:rPr/>
        <w:t>in</w:t>
      </w:r>
      <w:r>
        <w:rPr>
          <w:spacing w:val="-6"/>
        </w:rPr>
        <w:t> </w:t>
      </w:r>
      <w:r>
        <w:rPr/>
        <w:t>Directive</w:t>
      </w:r>
      <w:r>
        <w:rPr>
          <w:spacing w:val="-5"/>
        </w:rPr>
        <w:t> </w:t>
      </w:r>
      <w:r>
        <w:rPr/>
        <w:t>79/7.</w:t>
      </w:r>
      <w:r>
        <w:rPr>
          <w:spacing w:val="-6"/>
        </w:rPr>
        <w:t> </w:t>
      </w:r>
      <w:r>
        <w:rPr/>
        <w:t>As</w:t>
      </w:r>
      <w:r>
        <w:rPr>
          <w:spacing w:val="-6"/>
        </w:rPr>
        <w:t> </w:t>
      </w:r>
      <w:r>
        <w:rPr/>
        <w:t>a</w:t>
      </w:r>
      <w:r>
        <w:rPr>
          <w:spacing w:val="-6"/>
        </w:rPr>
        <w:t> </w:t>
      </w:r>
      <w:r>
        <w:rPr/>
        <w:t>starting</w:t>
      </w:r>
      <w:r>
        <w:rPr>
          <w:spacing w:val="-5"/>
        </w:rPr>
        <w:t> </w:t>
      </w:r>
      <w:r>
        <w:rPr/>
        <w:t>point,</w:t>
      </w:r>
      <w:r>
        <w:rPr>
          <w:spacing w:val="-5"/>
        </w:rPr>
        <w:t> </w:t>
      </w:r>
      <w:r>
        <w:rPr/>
        <w:t>it</w:t>
      </w:r>
      <w:r>
        <w:rPr>
          <w:spacing w:val="-5"/>
        </w:rPr>
        <w:t> </w:t>
      </w:r>
      <w:r>
        <w:rPr/>
        <w:t>is</w:t>
      </w:r>
      <w:r>
        <w:rPr>
          <w:spacing w:val="-6"/>
        </w:rPr>
        <w:t> </w:t>
      </w:r>
      <w:r>
        <w:rPr/>
        <w:t>worth stating that the Court noted that whilst Directive 79/7 was applicable, Directive 2006/54/EC was not within the confinements of the facts of the given case.</w:t>
      </w:r>
      <w:r>
        <w:rPr>
          <w:vertAlign w:val="superscript"/>
        </w:rPr>
        <w:t>664</w:t>
      </w:r>
      <w:r>
        <w:rPr>
          <w:vertAlign w:val="baseline"/>
        </w:rPr>
        <w:t> It was ultimately a question of indirect discrimination before the Court; whether exclusion from unemployment benefits for domestic workers in a social security scheme</w:t>
      </w:r>
      <w:r>
        <w:rPr>
          <w:spacing w:val="-4"/>
          <w:vertAlign w:val="baseline"/>
        </w:rPr>
        <w:t> </w:t>
      </w:r>
      <w:r>
        <w:rPr>
          <w:vertAlign w:val="baseline"/>
        </w:rPr>
        <w:t>could</w:t>
      </w:r>
      <w:r>
        <w:rPr>
          <w:spacing w:val="-5"/>
          <w:vertAlign w:val="baseline"/>
        </w:rPr>
        <w:t> </w:t>
      </w:r>
      <w:r>
        <w:rPr>
          <w:vertAlign w:val="baseline"/>
        </w:rPr>
        <w:t>be</w:t>
      </w:r>
      <w:r>
        <w:rPr>
          <w:spacing w:val="-4"/>
          <w:vertAlign w:val="baseline"/>
        </w:rPr>
        <w:t> </w:t>
      </w:r>
      <w:r>
        <w:rPr>
          <w:vertAlign w:val="baseline"/>
        </w:rPr>
        <w:t>justified.</w:t>
      </w:r>
      <w:r>
        <w:rPr>
          <w:spacing w:val="-5"/>
          <w:vertAlign w:val="baseline"/>
        </w:rPr>
        <w:t> </w:t>
      </w:r>
      <w:r>
        <w:rPr>
          <w:vertAlign w:val="baseline"/>
        </w:rPr>
        <w:t>The</w:t>
      </w:r>
      <w:r>
        <w:rPr>
          <w:spacing w:val="-4"/>
          <w:vertAlign w:val="baseline"/>
        </w:rPr>
        <w:t> </w:t>
      </w:r>
      <w:r>
        <w:rPr>
          <w:vertAlign w:val="baseline"/>
        </w:rPr>
        <w:t>backdrop</w:t>
      </w:r>
      <w:r>
        <w:rPr>
          <w:spacing w:val="-5"/>
          <w:vertAlign w:val="baseline"/>
        </w:rPr>
        <w:t> </w:t>
      </w:r>
      <w:r>
        <w:rPr>
          <w:vertAlign w:val="baseline"/>
        </w:rPr>
        <w:t>to</w:t>
      </w:r>
      <w:r>
        <w:rPr>
          <w:spacing w:val="-5"/>
          <w:vertAlign w:val="baseline"/>
        </w:rPr>
        <w:t> </w:t>
      </w:r>
      <w:r>
        <w:rPr>
          <w:vertAlign w:val="baseline"/>
        </w:rPr>
        <w:t>this</w:t>
      </w:r>
      <w:r>
        <w:rPr>
          <w:spacing w:val="-5"/>
          <w:vertAlign w:val="baseline"/>
        </w:rPr>
        <w:t> </w:t>
      </w:r>
      <w:r>
        <w:rPr>
          <w:vertAlign w:val="baseline"/>
        </w:rPr>
        <w:t>was</w:t>
      </w:r>
      <w:r>
        <w:rPr>
          <w:spacing w:val="-5"/>
          <w:vertAlign w:val="baseline"/>
        </w:rPr>
        <w:t> </w:t>
      </w:r>
      <w:r>
        <w:rPr>
          <w:vertAlign w:val="baseline"/>
        </w:rPr>
        <w:t>that</w:t>
      </w:r>
      <w:r>
        <w:rPr>
          <w:spacing w:val="-4"/>
          <w:vertAlign w:val="baseline"/>
        </w:rPr>
        <w:t> </w:t>
      </w:r>
      <w:r>
        <w:rPr>
          <w:vertAlign w:val="baseline"/>
        </w:rPr>
        <w:t>the</w:t>
      </w:r>
      <w:r>
        <w:rPr>
          <w:spacing w:val="-4"/>
          <w:vertAlign w:val="baseline"/>
        </w:rPr>
        <w:t> </w:t>
      </w:r>
      <w:r>
        <w:rPr>
          <w:vertAlign w:val="baseline"/>
        </w:rPr>
        <w:t>majority</w:t>
      </w:r>
      <w:r>
        <w:rPr>
          <w:spacing w:val="-4"/>
          <w:vertAlign w:val="baseline"/>
        </w:rPr>
        <w:t> </w:t>
      </w:r>
      <w:r>
        <w:rPr>
          <w:vertAlign w:val="baseline"/>
        </w:rPr>
        <w:t>of</w:t>
      </w:r>
      <w:r>
        <w:rPr>
          <w:spacing w:val="-5"/>
          <w:vertAlign w:val="baseline"/>
        </w:rPr>
        <w:t> </w:t>
      </w:r>
      <w:r>
        <w:rPr>
          <w:spacing w:val="-2"/>
          <w:vertAlign w:val="baseline"/>
        </w:rPr>
        <w:t>domestic</w:t>
      </w:r>
    </w:p>
    <w:p>
      <w:pPr>
        <w:pStyle w:val="BodyText"/>
        <w:spacing w:before="5"/>
        <w:rPr>
          <w:sz w:val="11"/>
        </w:rPr>
      </w:pPr>
      <w:r>
        <w:rPr/>
        <mc:AlternateContent>
          <mc:Choice Requires="wps">
            <w:drawing>
              <wp:anchor distT="0" distB="0" distL="0" distR="0" allowOverlap="1" layoutInCell="1" locked="0" behindDoc="1" simplePos="0" relativeHeight="487789568">
                <wp:simplePos x="0" y="0"/>
                <wp:positionH relativeFrom="page">
                  <wp:posOffset>899999</wp:posOffset>
                </wp:positionH>
                <wp:positionV relativeFrom="paragraph">
                  <wp:posOffset>103983</wp:posOffset>
                </wp:positionV>
                <wp:extent cx="6012180" cy="1270"/>
                <wp:effectExtent l="0" t="0" r="0" b="0"/>
                <wp:wrapTopAndBottom/>
                <wp:docPr id="1060" name="Graphic 1060"/>
                <wp:cNvGraphicFramePr>
                  <a:graphicFrameLocks/>
                </wp:cNvGraphicFramePr>
                <a:graphic>
                  <a:graphicData uri="http://schemas.microsoft.com/office/word/2010/wordprocessingShape">
                    <wps:wsp>
                      <wps:cNvPr id="1060" name="Graphic 106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8.187654pt;width:473.4pt;height:.1pt;mso-position-horizontal-relative:page;mso-position-vertical-relative:paragraph;z-index:-15526912;mso-wrap-distance-left:0;mso-wrap-distance-right:0" id="docshape874" coordorigin="1417,164" coordsize="9468,0" path="m1417,164l10885,164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981" w:hanging="567"/>
        <w:jc w:val="both"/>
        <w:rPr>
          <w:sz w:val="18"/>
        </w:rPr>
      </w:pP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r>
        <w:rPr>
          <w:spacing w:val="-4"/>
          <w:sz w:val="18"/>
        </w:rPr>
        <w:t> </w:t>
      </w:r>
      <w:r>
        <w:rPr>
          <w:sz w:val="18"/>
        </w:rPr>
        <w:t>Colin</w:t>
      </w:r>
      <w:r>
        <w:rPr>
          <w:spacing w:val="-5"/>
          <w:sz w:val="18"/>
        </w:rPr>
        <w:t> </w:t>
      </w:r>
      <w:r>
        <w:rPr>
          <w:sz w:val="18"/>
        </w:rPr>
        <w:t>Murray,</w:t>
      </w:r>
      <w:r>
        <w:rPr>
          <w:spacing w:val="-4"/>
          <w:sz w:val="18"/>
        </w:rPr>
        <w:t> </w:t>
      </w:r>
      <w:r>
        <w:rPr>
          <w:sz w:val="18"/>
        </w:rPr>
        <w:t>Clare</w:t>
      </w:r>
      <w:r>
        <w:rPr>
          <w:spacing w:val="-4"/>
          <w:sz w:val="18"/>
        </w:rPr>
        <w:t> </w:t>
      </w:r>
      <w:r>
        <w:rPr>
          <w:sz w:val="18"/>
        </w:rPr>
        <w:t>Rice</w:t>
      </w:r>
      <w:r>
        <w:rPr>
          <w:spacing w:val="-4"/>
          <w:sz w:val="18"/>
        </w:rPr>
        <w:t> </w:t>
      </w:r>
      <w:r>
        <w:rPr>
          <w:sz w:val="18"/>
        </w:rPr>
        <w:t>and</w:t>
      </w:r>
      <w:r>
        <w:rPr>
          <w:spacing w:val="-5"/>
          <w:sz w:val="18"/>
        </w:rPr>
        <w:t> </w:t>
      </w:r>
      <w:r>
        <w:rPr>
          <w:sz w:val="18"/>
        </w:rPr>
        <w:t>Jane</w:t>
      </w:r>
      <w:r>
        <w:rPr>
          <w:spacing w:val="-4"/>
          <w:sz w:val="18"/>
        </w:rPr>
        <w:t> </w:t>
      </w:r>
      <w:r>
        <w:rPr>
          <w:sz w:val="18"/>
        </w:rPr>
        <w:t>Rooney,</w:t>
      </w:r>
      <w:r>
        <w:rPr>
          <w:spacing w:val="-8"/>
          <w:sz w:val="18"/>
        </w:rPr>
        <w:t> </w:t>
      </w:r>
      <w:r>
        <w:rPr>
          <w:color w:val="1D71B8"/>
          <w:sz w:val="18"/>
          <w:u w:val="single" w:color="1D71B8"/>
        </w:rPr>
        <w:t>European</w:t>
      </w:r>
      <w:r>
        <w:rPr>
          <w:color w:val="1D71B8"/>
          <w:spacing w:val="-5"/>
          <w:sz w:val="18"/>
          <w:u w:val="single" w:color="1D71B8"/>
        </w:rPr>
        <w:t> </w:t>
      </w:r>
      <w:r>
        <w:rPr>
          <w:color w:val="1D71B8"/>
          <w:sz w:val="18"/>
          <w:u w:val="single" w:color="1D71B8"/>
        </w:rPr>
        <w:t>Union</w:t>
      </w:r>
      <w:r>
        <w:rPr>
          <w:color w:val="1D71B8"/>
          <w:spacing w:val="-4"/>
          <w:sz w:val="18"/>
          <w:u w:val="single" w:color="1D71B8"/>
        </w:rPr>
        <w:t> </w:t>
      </w:r>
      <w:r>
        <w:rPr>
          <w:color w:val="1D71B8"/>
          <w:sz w:val="18"/>
          <w:u w:val="none"/>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Best</w:t>
      </w:r>
      <w:r>
        <w:rPr>
          <w:color w:val="1D71B8"/>
          <w:spacing w:val="-3"/>
          <w:sz w:val="18"/>
          <w:u w:val="single" w:color="1D71B8"/>
        </w:rPr>
        <w:t> </w:t>
      </w:r>
      <w:r>
        <w:rPr>
          <w:color w:val="1D71B8"/>
          <w:sz w:val="18"/>
          <w:u w:val="single" w:color="1D71B8"/>
        </w:rPr>
        <w:t>Practice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Island of Ireland</w:t>
      </w:r>
      <w:r>
        <w:rPr>
          <w:color w:val="1D71B8"/>
          <w:sz w:val="18"/>
          <w:u w:val="none"/>
        </w:rPr>
        <w:t> </w:t>
      </w:r>
      <w:r>
        <w:rPr>
          <w:sz w:val="18"/>
          <w:u w:val="none"/>
        </w:rPr>
        <w:t>(2022) 68-72.</w:t>
      </w:r>
    </w:p>
    <w:p>
      <w:pPr>
        <w:pStyle w:val="ListParagraph"/>
        <w:numPr>
          <w:ilvl w:val="0"/>
          <w:numId w:val="51"/>
        </w:numPr>
        <w:tabs>
          <w:tab w:pos="1683" w:val="left" w:leader="none"/>
        </w:tabs>
        <w:spacing w:line="240" w:lineRule="auto" w:before="1" w:after="0"/>
        <w:ind w:left="1683" w:right="0" w:hanging="566"/>
        <w:jc w:val="both"/>
        <w:rPr>
          <w:sz w:val="18"/>
        </w:rPr>
      </w:pPr>
      <w:r>
        <w:rPr>
          <w:sz w:val="18"/>
        </w:rPr>
        <w:t>C-389/20</w:t>
      </w:r>
      <w:r>
        <w:rPr>
          <w:spacing w:val="-4"/>
          <w:sz w:val="18"/>
        </w:rPr>
        <w:t> </w:t>
      </w:r>
      <w:r>
        <w:rPr>
          <w:color w:val="1D71B8"/>
          <w:sz w:val="18"/>
          <w:u w:val="single" w:color="1D71B8"/>
        </w:rPr>
        <w:t>CJ</w:t>
      </w:r>
      <w:r>
        <w:rPr>
          <w:color w:val="1D71B8"/>
          <w:spacing w:val="-2"/>
          <w:sz w:val="18"/>
          <w:u w:val="single" w:color="1D71B8"/>
        </w:rPr>
        <w:t> </w:t>
      </w:r>
      <w:r>
        <w:rPr>
          <w:color w:val="1D71B8"/>
          <w:sz w:val="18"/>
          <w:u w:val="single" w:color="1D71B8"/>
        </w:rPr>
        <w:t>v</w:t>
      </w:r>
      <w:r>
        <w:rPr>
          <w:color w:val="1D71B8"/>
          <w:spacing w:val="-2"/>
          <w:sz w:val="18"/>
          <w:u w:val="single" w:color="1D71B8"/>
        </w:rPr>
        <w:t> </w:t>
      </w:r>
      <w:r>
        <w:rPr>
          <w:color w:val="1D71B8"/>
          <w:sz w:val="18"/>
          <w:u w:val="single" w:color="1D71B8"/>
        </w:rPr>
        <w:t>TGSS</w:t>
      </w:r>
      <w:r>
        <w:rPr>
          <w:i/>
          <w:sz w:val="18"/>
          <w:u w:val="none"/>
        </w:rPr>
        <w:t>,</w:t>
      </w:r>
      <w:r>
        <w:rPr>
          <w:i/>
          <w:spacing w:val="-3"/>
          <w:sz w:val="18"/>
          <w:u w:val="none"/>
        </w:rPr>
        <w:t> </w:t>
      </w:r>
      <w:r>
        <w:rPr>
          <w:sz w:val="18"/>
          <w:u w:val="none"/>
        </w:rPr>
        <w:t>judgment</w:t>
      </w:r>
      <w:r>
        <w:rPr>
          <w:spacing w:val="-3"/>
          <w:sz w:val="18"/>
          <w:u w:val="none"/>
        </w:rPr>
        <w:t> </w:t>
      </w:r>
      <w:r>
        <w:rPr>
          <w:sz w:val="18"/>
          <w:u w:val="none"/>
        </w:rPr>
        <w:t>24</w:t>
      </w:r>
      <w:r>
        <w:rPr>
          <w:spacing w:val="-2"/>
          <w:sz w:val="18"/>
          <w:u w:val="none"/>
        </w:rPr>
        <w:t> </w:t>
      </w:r>
      <w:r>
        <w:rPr>
          <w:sz w:val="18"/>
          <w:u w:val="none"/>
        </w:rPr>
        <w:t>February</w:t>
      </w:r>
      <w:r>
        <w:rPr>
          <w:spacing w:val="-2"/>
          <w:sz w:val="18"/>
          <w:u w:val="none"/>
        </w:rPr>
        <w:t> </w:t>
      </w:r>
      <w:r>
        <w:rPr>
          <w:sz w:val="18"/>
          <w:u w:val="none"/>
        </w:rPr>
        <w:t>2022,</w:t>
      </w:r>
      <w:r>
        <w:rPr>
          <w:spacing w:val="-2"/>
          <w:sz w:val="18"/>
          <w:u w:val="none"/>
        </w:rPr>
        <w:t> ECLI:EU:C:2022:120</w:t>
      </w:r>
    </w:p>
    <w:p>
      <w:pPr>
        <w:pStyle w:val="ListParagraph"/>
        <w:numPr>
          <w:ilvl w:val="0"/>
          <w:numId w:val="51"/>
        </w:numPr>
        <w:tabs>
          <w:tab w:pos="1683" w:val="left" w:leader="none"/>
        </w:tabs>
        <w:spacing w:line="240" w:lineRule="auto" w:before="0" w:after="0"/>
        <w:ind w:left="1683" w:right="0" w:hanging="566"/>
        <w:jc w:val="both"/>
        <w:rPr>
          <w:sz w:val="18"/>
        </w:rPr>
      </w:pPr>
      <w:r>
        <w:rPr>
          <w:sz w:val="18"/>
        </w:rPr>
        <w:t>C-625/20</w:t>
      </w:r>
      <w:r>
        <w:rPr>
          <w:spacing w:val="-2"/>
          <w:sz w:val="18"/>
        </w:rPr>
        <w:t> </w:t>
      </w:r>
      <w:hyperlink r:id="rId171">
        <w:r>
          <w:rPr>
            <w:color w:val="1D71B8"/>
            <w:sz w:val="18"/>
            <w:u w:val="single" w:color="1D71B8"/>
          </w:rPr>
          <w:t>KM</w:t>
        </w:r>
        <w:r>
          <w:rPr>
            <w:color w:val="1D71B8"/>
            <w:spacing w:val="-1"/>
            <w:sz w:val="18"/>
            <w:u w:val="single" w:color="1D71B8"/>
          </w:rPr>
          <w:t> </w:t>
        </w:r>
        <w:r>
          <w:rPr>
            <w:color w:val="1D71B8"/>
            <w:sz w:val="18"/>
            <w:u w:val="single" w:color="1D71B8"/>
          </w:rPr>
          <w:t>v</w:t>
        </w:r>
        <w:r>
          <w:rPr>
            <w:color w:val="1D71B8"/>
            <w:spacing w:val="-1"/>
            <w:sz w:val="18"/>
            <w:u w:val="single" w:color="1D71B8"/>
          </w:rPr>
          <w:t> </w:t>
        </w:r>
        <w:r>
          <w:rPr>
            <w:color w:val="1D71B8"/>
            <w:sz w:val="18"/>
            <w:u w:val="single" w:color="1D71B8"/>
          </w:rPr>
          <w:t>INSS</w:t>
        </w:r>
      </w:hyperlink>
      <w:r>
        <w:rPr>
          <w:i/>
          <w:sz w:val="18"/>
          <w:u w:val="none"/>
        </w:rPr>
        <w:t>,</w:t>
      </w:r>
      <w:r>
        <w:rPr>
          <w:i/>
          <w:spacing w:val="-2"/>
          <w:sz w:val="18"/>
          <w:u w:val="none"/>
        </w:rPr>
        <w:t> </w:t>
      </w:r>
      <w:r>
        <w:rPr>
          <w:sz w:val="18"/>
          <w:u w:val="none"/>
        </w:rPr>
        <w:t>judgment of</w:t>
      </w:r>
      <w:r>
        <w:rPr>
          <w:spacing w:val="-2"/>
          <w:sz w:val="18"/>
          <w:u w:val="none"/>
        </w:rPr>
        <w:t> </w:t>
      </w:r>
      <w:r>
        <w:rPr>
          <w:sz w:val="18"/>
          <w:u w:val="none"/>
        </w:rPr>
        <w:t>30</w:t>
      </w:r>
      <w:r>
        <w:rPr>
          <w:spacing w:val="-1"/>
          <w:sz w:val="18"/>
          <w:u w:val="none"/>
        </w:rPr>
        <w:t> </w:t>
      </w:r>
      <w:r>
        <w:rPr>
          <w:sz w:val="18"/>
          <w:u w:val="none"/>
        </w:rPr>
        <w:t>June</w:t>
      </w:r>
      <w:r>
        <w:rPr>
          <w:spacing w:val="-1"/>
          <w:sz w:val="18"/>
          <w:u w:val="none"/>
        </w:rPr>
        <w:t> </w:t>
      </w:r>
      <w:r>
        <w:rPr>
          <w:sz w:val="18"/>
          <w:u w:val="none"/>
        </w:rPr>
        <w:t>2022, </w:t>
      </w:r>
      <w:r>
        <w:rPr>
          <w:spacing w:val="-2"/>
          <w:sz w:val="18"/>
          <w:u w:val="none"/>
        </w:rPr>
        <w:t>ECLI:EU:C:2022:508</w:t>
      </w:r>
    </w:p>
    <w:p>
      <w:pPr>
        <w:pStyle w:val="ListParagraph"/>
        <w:numPr>
          <w:ilvl w:val="0"/>
          <w:numId w:val="51"/>
        </w:numPr>
        <w:tabs>
          <w:tab w:pos="1683" w:val="left" w:leader="none"/>
        </w:tabs>
        <w:spacing w:line="240" w:lineRule="auto" w:before="1" w:after="0"/>
        <w:ind w:left="1683" w:right="0" w:hanging="566"/>
        <w:jc w:val="both"/>
        <w:rPr>
          <w:sz w:val="18"/>
        </w:rPr>
      </w:pPr>
      <w:r>
        <w:rPr>
          <w:sz w:val="18"/>
        </w:rPr>
        <w:t>C-389/20</w:t>
      </w:r>
      <w:r>
        <w:rPr>
          <w:spacing w:val="-4"/>
          <w:sz w:val="18"/>
        </w:rPr>
        <w:t> </w:t>
      </w:r>
      <w:r>
        <w:rPr>
          <w:color w:val="1D71B8"/>
          <w:sz w:val="18"/>
          <w:u w:val="single" w:color="1D71B8"/>
        </w:rPr>
        <w:t>CJ</w:t>
      </w:r>
      <w:r>
        <w:rPr>
          <w:color w:val="1D71B8"/>
          <w:spacing w:val="-2"/>
          <w:sz w:val="18"/>
          <w:u w:val="single" w:color="1D71B8"/>
        </w:rPr>
        <w:t> </w:t>
      </w:r>
      <w:r>
        <w:rPr>
          <w:color w:val="1D71B8"/>
          <w:sz w:val="18"/>
          <w:u w:val="single" w:color="1D71B8"/>
        </w:rPr>
        <w:t>v</w:t>
      </w:r>
      <w:r>
        <w:rPr>
          <w:color w:val="1D71B8"/>
          <w:spacing w:val="-2"/>
          <w:sz w:val="18"/>
          <w:u w:val="single" w:color="1D71B8"/>
        </w:rPr>
        <w:t> </w:t>
      </w:r>
      <w:r>
        <w:rPr>
          <w:color w:val="1D71B8"/>
          <w:sz w:val="18"/>
          <w:u w:val="single" w:color="1D71B8"/>
        </w:rPr>
        <w:t>TGSS</w:t>
      </w:r>
      <w:r>
        <w:rPr>
          <w:i/>
          <w:sz w:val="18"/>
          <w:u w:val="none"/>
        </w:rPr>
        <w:t>,</w:t>
      </w:r>
      <w:r>
        <w:rPr>
          <w:i/>
          <w:spacing w:val="-4"/>
          <w:sz w:val="18"/>
          <w:u w:val="none"/>
        </w:rPr>
        <w:t> </w:t>
      </w:r>
      <w:r>
        <w:rPr>
          <w:sz w:val="18"/>
          <w:u w:val="none"/>
        </w:rPr>
        <w:t>ECLI:EU:C:2022</w:t>
      </w:r>
      <w:r>
        <w:rPr>
          <w:spacing w:val="-2"/>
          <w:sz w:val="18"/>
          <w:u w:val="none"/>
        </w:rPr>
        <w:t> </w:t>
      </w:r>
      <w:r>
        <w:rPr>
          <w:sz w:val="18"/>
          <w:u w:val="none"/>
        </w:rPr>
        <w:t>:120,</w:t>
      </w:r>
      <w:r>
        <w:rPr>
          <w:spacing w:val="-2"/>
          <w:sz w:val="18"/>
          <w:u w:val="none"/>
        </w:rPr>
        <w:t> </w:t>
      </w:r>
      <w:r>
        <w:rPr>
          <w:sz w:val="18"/>
          <w:u w:val="none"/>
        </w:rPr>
        <w:t>para.</w:t>
      </w:r>
      <w:r>
        <w:rPr>
          <w:spacing w:val="-3"/>
          <w:sz w:val="18"/>
          <w:u w:val="none"/>
        </w:rPr>
        <w:t> </w:t>
      </w:r>
      <w:r>
        <w:rPr>
          <w:spacing w:val="-5"/>
          <w:sz w:val="18"/>
          <w:u w:val="none"/>
        </w:rPr>
        <w:t>37.</w:t>
      </w:r>
    </w:p>
    <w:p>
      <w:pPr>
        <w:spacing w:after="0" w:line="240" w:lineRule="auto"/>
        <w:jc w:val="both"/>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08800">
                <wp:simplePos x="0" y="0"/>
                <wp:positionH relativeFrom="page">
                  <wp:posOffset>0</wp:posOffset>
                </wp:positionH>
                <wp:positionV relativeFrom="page">
                  <wp:posOffset>0</wp:posOffset>
                </wp:positionV>
                <wp:extent cx="7560309" cy="1155065"/>
                <wp:effectExtent l="0" t="0" r="0" b="0"/>
                <wp:wrapNone/>
                <wp:docPr id="1061" name="Group 1061"/>
                <wp:cNvGraphicFramePr>
                  <a:graphicFrameLocks/>
                </wp:cNvGraphicFramePr>
                <a:graphic>
                  <a:graphicData uri="http://schemas.microsoft.com/office/word/2010/wordprocessingGroup">
                    <wpg:wgp>
                      <wpg:cNvPr id="1061" name="Group 1061"/>
                      <wpg:cNvGrpSpPr/>
                      <wpg:grpSpPr>
                        <a:xfrm>
                          <a:off x="0" y="0"/>
                          <a:ext cx="7560309" cy="1155065"/>
                          <a:chExt cx="7560309" cy="1155065"/>
                        </a:xfrm>
                      </wpg:grpSpPr>
                      <wps:wsp>
                        <wps:cNvPr id="1062" name="Graphic 1062"/>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063" name="Graphic 1063"/>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07680" id="docshapegroup875" coordorigin="0,0" coordsize="11906,1819">
                <v:shape style="position:absolute;left:0;top:0;width:11906;height:1819" id="docshape876"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130</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t>workers were women (95.53%) and thus disproportionately placed women in a particularly</w:t>
      </w:r>
      <w:r>
        <w:rPr>
          <w:spacing w:val="-9"/>
        </w:rPr>
        <w:t> </w:t>
      </w:r>
      <w:r>
        <w:rPr/>
        <w:t>unfavourable</w:t>
      </w:r>
      <w:r>
        <w:rPr>
          <w:spacing w:val="-9"/>
        </w:rPr>
        <w:t> </w:t>
      </w:r>
      <w:r>
        <w:rPr/>
        <w:t>position.</w:t>
      </w:r>
      <w:r>
        <w:rPr>
          <w:spacing w:val="-9"/>
        </w:rPr>
        <w:t> </w:t>
      </w:r>
      <w:r>
        <w:rPr/>
        <w:t>The</w:t>
      </w:r>
      <w:r>
        <w:rPr>
          <w:spacing w:val="-9"/>
        </w:rPr>
        <w:t> </w:t>
      </w:r>
      <w:r>
        <w:rPr/>
        <w:t>question</w:t>
      </w:r>
      <w:r>
        <w:rPr>
          <w:spacing w:val="-9"/>
        </w:rPr>
        <w:t> </w:t>
      </w:r>
      <w:r>
        <w:rPr/>
        <w:t>was</w:t>
      </w:r>
      <w:r>
        <w:rPr>
          <w:spacing w:val="-9"/>
        </w:rPr>
        <w:t> </w:t>
      </w:r>
      <w:r>
        <w:rPr/>
        <w:t>whether</w:t>
      </w:r>
      <w:r>
        <w:rPr>
          <w:spacing w:val="-9"/>
        </w:rPr>
        <w:t> </w:t>
      </w:r>
      <w:r>
        <w:rPr/>
        <w:t>such</w:t>
      </w:r>
      <w:r>
        <w:rPr>
          <w:spacing w:val="-9"/>
        </w:rPr>
        <w:t> </w:t>
      </w:r>
      <w:r>
        <w:rPr/>
        <w:t>exclusion</w:t>
      </w:r>
      <w:r>
        <w:rPr>
          <w:spacing w:val="-9"/>
        </w:rPr>
        <w:t> </w:t>
      </w:r>
      <w:r>
        <w:rPr/>
        <w:t>could be objectively justified.</w:t>
      </w:r>
      <w:r>
        <w:rPr>
          <w:vertAlign w:val="superscript"/>
        </w:rPr>
        <w:t>665</w:t>
      </w:r>
    </w:p>
    <w:p>
      <w:pPr>
        <w:pStyle w:val="BodyText"/>
        <w:spacing w:line="232" w:lineRule="auto" w:before="279"/>
        <w:ind w:left="720" w:right="1404"/>
      </w:pPr>
      <w:r>
        <w:rPr/>
        <w:t>The</w:t>
      </w:r>
      <w:r>
        <w:rPr>
          <w:spacing w:val="-5"/>
        </w:rPr>
        <w:t> </w:t>
      </w:r>
      <w:r>
        <w:rPr/>
        <w:t>Court</w:t>
      </w:r>
      <w:r>
        <w:rPr>
          <w:spacing w:val="-5"/>
        </w:rPr>
        <w:t> </w:t>
      </w:r>
      <w:r>
        <w:rPr/>
        <w:t>in</w:t>
      </w:r>
      <w:r>
        <w:rPr>
          <w:spacing w:val="-6"/>
        </w:rPr>
        <w:t> </w:t>
      </w:r>
      <w:r>
        <w:rPr>
          <w:i/>
        </w:rPr>
        <w:t>CJ</w:t>
      </w:r>
      <w:r>
        <w:rPr>
          <w:i/>
          <w:spacing w:val="-5"/>
        </w:rPr>
        <w:t> </w:t>
      </w:r>
      <w:r>
        <w:rPr>
          <w:i/>
        </w:rPr>
        <w:t>v</w:t>
      </w:r>
      <w:r>
        <w:rPr>
          <w:i/>
          <w:spacing w:val="-5"/>
        </w:rPr>
        <w:t> </w:t>
      </w:r>
      <w:r>
        <w:rPr>
          <w:i/>
        </w:rPr>
        <w:t>TGSS</w:t>
      </w:r>
      <w:r>
        <w:rPr/>
        <w:t>,</w:t>
      </w:r>
      <w:r>
        <w:rPr>
          <w:spacing w:val="-5"/>
        </w:rPr>
        <w:t> </w:t>
      </w:r>
      <w:r>
        <w:rPr/>
        <w:t>ultimately</w:t>
      </w:r>
      <w:r>
        <w:rPr>
          <w:spacing w:val="-5"/>
        </w:rPr>
        <w:t> </w:t>
      </w:r>
      <w:r>
        <w:rPr/>
        <w:t>held</w:t>
      </w:r>
      <w:r>
        <w:rPr>
          <w:spacing w:val="-6"/>
        </w:rPr>
        <w:t> </w:t>
      </w:r>
      <w:r>
        <w:rPr/>
        <w:t>that</w:t>
      </w:r>
      <w:r>
        <w:rPr>
          <w:spacing w:val="-5"/>
        </w:rPr>
        <w:t> </w:t>
      </w:r>
      <w:r>
        <w:rPr/>
        <w:t>such</w:t>
      </w:r>
      <w:r>
        <w:rPr>
          <w:spacing w:val="-6"/>
        </w:rPr>
        <w:t> </w:t>
      </w:r>
      <w:r>
        <w:rPr/>
        <w:t>exclusion</w:t>
      </w:r>
      <w:r>
        <w:rPr>
          <w:spacing w:val="-6"/>
        </w:rPr>
        <w:t> </w:t>
      </w:r>
      <w:r>
        <w:rPr/>
        <w:t>was</w:t>
      </w:r>
      <w:r>
        <w:rPr>
          <w:spacing w:val="-6"/>
        </w:rPr>
        <w:t> </w:t>
      </w:r>
      <w:r>
        <w:rPr/>
        <w:t>not</w:t>
      </w:r>
      <w:r>
        <w:rPr>
          <w:spacing w:val="-5"/>
        </w:rPr>
        <w:t> </w:t>
      </w:r>
      <w:r>
        <w:rPr/>
        <w:t>justified</w:t>
      </w:r>
      <w:r>
        <w:rPr>
          <w:spacing w:val="-6"/>
        </w:rPr>
        <w:t> </w:t>
      </w:r>
      <w:r>
        <w:rPr/>
        <w:t>and that the provision of such an exclusion was incompatible with Directive 79/7, specifically Article 4(1). The Court held that:</w:t>
      </w:r>
    </w:p>
    <w:p>
      <w:pPr>
        <w:pStyle w:val="BodyText"/>
        <w:spacing w:before="2"/>
        <w:rPr>
          <w:sz w:val="20"/>
        </w:rPr>
      </w:pPr>
      <w:r>
        <w:rPr/>
        <mc:AlternateContent>
          <mc:Choice Requires="wps">
            <w:drawing>
              <wp:anchor distT="0" distB="0" distL="0" distR="0" allowOverlap="1" layoutInCell="1" locked="0" behindDoc="1" simplePos="0" relativeHeight="487790592">
                <wp:simplePos x="0" y="0"/>
                <wp:positionH relativeFrom="page">
                  <wp:posOffset>647994</wp:posOffset>
                </wp:positionH>
                <wp:positionV relativeFrom="paragraph">
                  <wp:posOffset>171839</wp:posOffset>
                </wp:positionV>
                <wp:extent cx="6012180" cy="1861185"/>
                <wp:effectExtent l="0" t="0" r="0" b="0"/>
                <wp:wrapTopAndBottom/>
                <wp:docPr id="1064" name="Group 1064"/>
                <wp:cNvGraphicFramePr>
                  <a:graphicFrameLocks/>
                </wp:cNvGraphicFramePr>
                <a:graphic>
                  <a:graphicData uri="http://schemas.microsoft.com/office/word/2010/wordprocessingGroup">
                    <wpg:wgp>
                      <wpg:cNvPr id="1064" name="Group 1064"/>
                      <wpg:cNvGrpSpPr/>
                      <wpg:grpSpPr>
                        <a:xfrm>
                          <a:off x="0" y="0"/>
                          <a:ext cx="6012180" cy="1861185"/>
                          <a:chExt cx="6012180" cy="1861185"/>
                        </a:xfrm>
                      </wpg:grpSpPr>
                      <wps:wsp>
                        <wps:cNvPr id="1065" name="Graphic 1065"/>
                        <wps:cNvSpPr/>
                        <wps:spPr>
                          <a:xfrm>
                            <a:off x="0" y="0"/>
                            <a:ext cx="6012180" cy="1861185"/>
                          </a:xfrm>
                          <a:custGeom>
                            <a:avLst/>
                            <a:gdLst/>
                            <a:ahLst/>
                            <a:cxnLst/>
                            <a:rect l="l" t="t" r="r" b="b"/>
                            <a:pathLst>
                              <a:path w="6012180" h="1861185">
                                <a:moveTo>
                                  <a:pt x="5868009" y="0"/>
                                </a:moveTo>
                                <a:lnTo>
                                  <a:pt x="144005" y="0"/>
                                </a:lnTo>
                                <a:lnTo>
                                  <a:pt x="98490" y="7340"/>
                                </a:lnTo>
                                <a:lnTo>
                                  <a:pt x="58959" y="27782"/>
                                </a:lnTo>
                                <a:lnTo>
                                  <a:pt x="27785" y="58954"/>
                                </a:lnTo>
                                <a:lnTo>
                                  <a:pt x="7341" y="98485"/>
                                </a:lnTo>
                                <a:lnTo>
                                  <a:pt x="0" y="144005"/>
                                </a:lnTo>
                                <a:lnTo>
                                  <a:pt x="0" y="1716646"/>
                                </a:lnTo>
                                <a:lnTo>
                                  <a:pt x="7341" y="1762161"/>
                                </a:lnTo>
                                <a:lnTo>
                                  <a:pt x="27785" y="1801692"/>
                                </a:lnTo>
                                <a:lnTo>
                                  <a:pt x="58959" y="1832865"/>
                                </a:lnTo>
                                <a:lnTo>
                                  <a:pt x="98490" y="1853309"/>
                                </a:lnTo>
                                <a:lnTo>
                                  <a:pt x="144005" y="1860651"/>
                                </a:lnTo>
                                <a:lnTo>
                                  <a:pt x="5868009" y="1860651"/>
                                </a:lnTo>
                                <a:lnTo>
                                  <a:pt x="5913523" y="1853309"/>
                                </a:lnTo>
                                <a:lnTo>
                                  <a:pt x="5953050" y="1832865"/>
                                </a:lnTo>
                                <a:lnTo>
                                  <a:pt x="5984220" y="1801692"/>
                                </a:lnTo>
                                <a:lnTo>
                                  <a:pt x="6004661" y="1762161"/>
                                </a:lnTo>
                                <a:lnTo>
                                  <a:pt x="6012002" y="17166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66" name="Textbox 1066"/>
                        <wps:cNvSpPr txBox="1"/>
                        <wps:spPr>
                          <a:xfrm>
                            <a:off x="0" y="0"/>
                            <a:ext cx="6012180" cy="1861185"/>
                          </a:xfrm>
                          <a:prstGeom prst="rect">
                            <a:avLst/>
                          </a:prstGeom>
                        </wps:spPr>
                        <wps:txbx>
                          <w:txbxContent>
                            <w:p>
                              <w:pPr>
                                <w:spacing w:line="232" w:lineRule="auto" w:before="121"/>
                                <w:ind w:left="340" w:right="110" w:firstLine="0"/>
                                <w:jc w:val="left"/>
                                <w:rPr>
                                  <w:sz w:val="28"/>
                                </w:rPr>
                              </w:pPr>
                              <w:r>
                                <w:rPr>
                                  <w:color w:val="164194"/>
                                  <w:sz w:val="28"/>
                                </w:rPr>
                                <w:t>‘Article 4(1) of Council Directive 79/7/EEC of 19 December 1978 on the progressive implementation of the principle of equal treatment for men and women in matters of social security should be interpreted as meaning that it precludes a national provision which excludes unemployment benefits from</w:t>
                              </w:r>
                              <w:r>
                                <w:rPr>
                                  <w:color w:val="164194"/>
                                  <w:sz w:val="28"/>
                                </w:rPr>
                                <w:t> the social security benefits granted to domestic workers by a statutory social security scheme, since this provision places female workers at a particular disadvantage</w:t>
                              </w:r>
                              <w:r>
                                <w:rPr>
                                  <w:color w:val="164194"/>
                                  <w:spacing w:val="-8"/>
                                  <w:sz w:val="28"/>
                                </w:rPr>
                                <w:t> </w:t>
                              </w:r>
                              <w:r>
                                <w:rPr>
                                  <w:color w:val="164194"/>
                                  <w:sz w:val="28"/>
                                </w:rPr>
                                <w:t>compared</w:t>
                              </w:r>
                              <w:r>
                                <w:rPr>
                                  <w:color w:val="164194"/>
                                  <w:spacing w:val="-8"/>
                                  <w:sz w:val="28"/>
                                </w:rPr>
                                <w:t> </w:t>
                              </w:r>
                              <w:r>
                                <w:rPr>
                                  <w:color w:val="164194"/>
                                  <w:sz w:val="28"/>
                                </w:rPr>
                                <w:t>to</w:t>
                              </w:r>
                              <w:r>
                                <w:rPr>
                                  <w:color w:val="164194"/>
                                  <w:spacing w:val="-8"/>
                                  <w:sz w:val="28"/>
                                </w:rPr>
                                <w:t> </w:t>
                              </w:r>
                              <w:r>
                                <w:rPr>
                                  <w:color w:val="164194"/>
                                  <w:sz w:val="28"/>
                                </w:rPr>
                                <w:t>male</w:t>
                              </w:r>
                              <w:r>
                                <w:rPr>
                                  <w:color w:val="164194"/>
                                  <w:spacing w:val="-7"/>
                                  <w:sz w:val="28"/>
                                </w:rPr>
                                <w:t> </w:t>
                              </w:r>
                              <w:r>
                                <w:rPr>
                                  <w:color w:val="164194"/>
                                  <w:sz w:val="28"/>
                                </w:rPr>
                                <w:t>workers,</w:t>
                              </w:r>
                              <w:r>
                                <w:rPr>
                                  <w:color w:val="164194"/>
                                  <w:spacing w:val="-8"/>
                                  <w:sz w:val="28"/>
                                </w:rPr>
                                <w:t> </w:t>
                              </w:r>
                              <w:r>
                                <w:rPr>
                                  <w:color w:val="164194"/>
                                  <w:sz w:val="28"/>
                                </w:rPr>
                                <w:t>and</w:t>
                              </w:r>
                              <w:r>
                                <w:rPr>
                                  <w:color w:val="164194"/>
                                  <w:spacing w:val="-7"/>
                                  <w:sz w:val="28"/>
                                </w:rPr>
                                <w:t> </w:t>
                              </w:r>
                              <w:r>
                                <w:rPr>
                                  <w:color w:val="164194"/>
                                  <w:sz w:val="28"/>
                                </w:rPr>
                                <w:t>that</w:t>
                              </w:r>
                              <w:r>
                                <w:rPr>
                                  <w:color w:val="164194"/>
                                  <w:spacing w:val="-7"/>
                                  <w:sz w:val="28"/>
                                </w:rPr>
                                <w:t> </w:t>
                              </w:r>
                              <w:r>
                                <w:rPr>
                                  <w:color w:val="164194"/>
                                  <w:sz w:val="28"/>
                                </w:rPr>
                                <w:t>it</w:t>
                              </w:r>
                              <w:r>
                                <w:rPr>
                                  <w:color w:val="164194"/>
                                  <w:spacing w:val="-7"/>
                                  <w:sz w:val="28"/>
                                </w:rPr>
                                <w:t> </w:t>
                              </w:r>
                              <w:r>
                                <w:rPr>
                                  <w:color w:val="164194"/>
                                  <w:sz w:val="28"/>
                                </w:rPr>
                                <w:t>is</w:t>
                              </w:r>
                              <w:r>
                                <w:rPr>
                                  <w:color w:val="164194"/>
                                  <w:spacing w:val="-8"/>
                                  <w:sz w:val="28"/>
                                </w:rPr>
                                <w:t> </w:t>
                              </w:r>
                              <w:r>
                                <w:rPr>
                                  <w:color w:val="164194"/>
                                  <w:sz w:val="28"/>
                                </w:rPr>
                                <w:t>not</w:t>
                              </w:r>
                              <w:r>
                                <w:rPr>
                                  <w:color w:val="164194"/>
                                  <w:spacing w:val="-7"/>
                                  <w:sz w:val="28"/>
                                </w:rPr>
                                <w:t> </w:t>
                              </w:r>
                              <w:r>
                                <w:rPr>
                                  <w:color w:val="164194"/>
                                  <w:sz w:val="28"/>
                                </w:rPr>
                                <w:t>justified</w:t>
                              </w:r>
                              <w:r>
                                <w:rPr>
                                  <w:color w:val="164194"/>
                                  <w:spacing w:val="-8"/>
                                  <w:sz w:val="28"/>
                                </w:rPr>
                                <w:t> </w:t>
                              </w:r>
                              <w:r>
                                <w:rPr>
                                  <w:color w:val="164194"/>
                                  <w:sz w:val="28"/>
                                </w:rPr>
                                <w:t>by</w:t>
                              </w:r>
                              <w:r>
                                <w:rPr>
                                  <w:color w:val="164194"/>
                                  <w:spacing w:val="-7"/>
                                  <w:sz w:val="28"/>
                                </w:rPr>
                                <w:t> </w:t>
                              </w:r>
                              <w:r>
                                <w:rPr>
                                  <w:color w:val="164194"/>
                                  <w:sz w:val="28"/>
                                </w:rPr>
                                <w:t>objective factors unrelated to any discrimination based on sex.’</w:t>
                              </w:r>
                              <w:r>
                                <w:rPr>
                                  <w:color w:val="164194"/>
                                  <w:sz w:val="28"/>
                                  <w:vertAlign w:val="superscript"/>
                                </w:rPr>
                                <w:t>666</w:t>
                              </w:r>
                            </w:p>
                          </w:txbxContent>
                        </wps:txbx>
                        <wps:bodyPr wrap="square" lIns="0" tIns="0" rIns="0" bIns="0" rtlCol="0">
                          <a:noAutofit/>
                        </wps:bodyPr>
                      </wps:wsp>
                    </wpg:wgp>
                  </a:graphicData>
                </a:graphic>
              </wp:anchor>
            </w:drawing>
          </mc:Choice>
          <mc:Fallback>
            <w:pict>
              <v:group style="position:absolute;margin-left:51.023201pt;margin-top:13.530641pt;width:473.4pt;height:146.550pt;mso-position-horizontal-relative:page;mso-position-vertical-relative:paragraph;z-index:-15525888;mso-wrap-distance-left:0;mso-wrap-distance-right:0" id="docshapegroup877" coordorigin="1020,271" coordsize="9468,2931">
                <v:shape style="position:absolute;left:1020;top:270;width:9468;height:2931" id="docshape878" coordorigin="1020,271" coordsize="9468,2931" path="m10261,271l1247,271,1176,282,1113,314,1064,363,1032,426,1020,497,1020,2974,1032,3046,1064,3108,1113,3157,1176,3189,1247,3201,10261,3201,10333,3189,10395,3157,10444,3108,10477,3046,10488,2974,10488,497,10477,426,10444,363,10395,314,10333,282,10261,271xe" filled="true" fillcolor="#e9f3fc" stroked="false">
                  <v:path arrowok="t"/>
                  <v:fill type="solid"/>
                </v:shape>
                <v:shape style="position:absolute;left:1020;top:270;width:9468;height:2931" type="#_x0000_t202" id="docshape879" filled="false" stroked="false">
                  <v:textbox inset="0,0,0,0">
                    <w:txbxContent>
                      <w:p>
                        <w:pPr>
                          <w:spacing w:line="232" w:lineRule="auto" w:before="121"/>
                          <w:ind w:left="340" w:right="110" w:firstLine="0"/>
                          <w:jc w:val="left"/>
                          <w:rPr>
                            <w:sz w:val="28"/>
                          </w:rPr>
                        </w:pPr>
                        <w:r>
                          <w:rPr>
                            <w:color w:val="164194"/>
                            <w:sz w:val="28"/>
                          </w:rPr>
                          <w:t>‘Article 4(1) of Council Directive 79/7/EEC of 19 December 1978 on the progressive implementation of the principle of equal treatment for men and women in matters of social security should be interpreted as meaning that it precludes a national provision which excludes unemployment benefits from</w:t>
                        </w:r>
                        <w:r>
                          <w:rPr>
                            <w:color w:val="164194"/>
                            <w:sz w:val="28"/>
                          </w:rPr>
                          <w:t> the social security benefits granted to domestic workers by a statutory social security scheme, since this provision places female workers at a particular disadvantage</w:t>
                        </w:r>
                        <w:r>
                          <w:rPr>
                            <w:color w:val="164194"/>
                            <w:spacing w:val="-8"/>
                            <w:sz w:val="28"/>
                          </w:rPr>
                          <w:t> </w:t>
                        </w:r>
                        <w:r>
                          <w:rPr>
                            <w:color w:val="164194"/>
                            <w:sz w:val="28"/>
                          </w:rPr>
                          <w:t>compared</w:t>
                        </w:r>
                        <w:r>
                          <w:rPr>
                            <w:color w:val="164194"/>
                            <w:spacing w:val="-8"/>
                            <w:sz w:val="28"/>
                          </w:rPr>
                          <w:t> </w:t>
                        </w:r>
                        <w:r>
                          <w:rPr>
                            <w:color w:val="164194"/>
                            <w:sz w:val="28"/>
                          </w:rPr>
                          <w:t>to</w:t>
                        </w:r>
                        <w:r>
                          <w:rPr>
                            <w:color w:val="164194"/>
                            <w:spacing w:val="-8"/>
                            <w:sz w:val="28"/>
                          </w:rPr>
                          <w:t> </w:t>
                        </w:r>
                        <w:r>
                          <w:rPr>
                            <w:color w:val="164194"/>
                            <w:sz w:val="28"/>
                          </w:rPr>
                          <w:t>male</w:t>
                        </w:r>
                        <w:r>
                          <w:rPr>
                            <w:color w:val="164194"/>
                            <w:spacing w:val="-7"/>
                            <w:sz w:val="28"/>
                          </w:rPr>
                          <w:t> </w:t>
                        </w:r>
                        <w:r>
                          <w:rPr>
                            <w:color w:val="164194"/>
                            <w:sz w:val="28"/>
                          </w:rPr>
                          <w:t>workers,</w:t>
                        </w:r>
                        <w:r>
                          <w:rPr>
                            <w:color w:val="164194"/>
                            <w:spacing w:val="-8"/>
                            <w:sz w:val="28"/>
                          </w:rPr>
                          <w:t> </w:t>
                        </w:r>
                        <w:r>
                          <w:rPr>
                            <w:color w:val="164194"/>
                            <w:sz w:val="28"/>
                          </w:rPr>
                          <w:t>and</w:t>
                        </w:r>
                        <w:r>
                          <w:rPr>
                            <w:color w:val="164194"/>
                            <w:spacing w:val="-7"/>
                            <w:sz w:val="28"/>
                          </w:rPr>
                          <w:t> </w:t>
                        </w:r>
                        <w:r>
                          <w:rPr>
                            <w:color w:val="164194"/>
                            <w:sz w:val="28"/>
                          </w:rPr>
                          <w:t>that</w:t>
                        </w:r>
                        <w:r>
                          <w:rPr>
                            <w:color w:val="164194"/>
                            <w:spacing w:val="-7"/>
                            <w:sz w:val="28"/>
                          </w:rPr>
                          <w:t> </w:t>
                        </w:r>
                        <w:r>
                          <w:rPr>
                            <w:color w:val="164194"/>
                            <w:sz w:val="28"/>
                          </w:rPr>
                          <w:t>it</w:t>
                        </w:r>
                        <w:r>
                          <w:rPr>
                            <w:color w:val="164194"/>
                            <w:spacing w:val="-7"/>
                            <w:sz w:val="28"/>
                          </w:rPr>
                          <w:t> </w:t>
                        </w:r>
                        <w:r>
                          <w:rPr>
                            <w:color w:val="164194"/>
                            <w:sz w:val="28"/>
                          </w:rPr>
                          <w:t>is</w:t>
                        </w:r>
                        <w:r>
                          <w:rPr>
                            <w:color w:val="164194"/>
                            <w:spacing w:val="-8"/>
                            <w:sz w:val="28"/>
                          </w:rPr>
                          <w:t> </w:t>
                        </w:r>
                        <w:r>
                          <w:rPr>
                            <w:color w:val="164194"/>
                            <w:sz w:val="28"/>
                          </w:rPr>
                          <w:t>not</w:t>
                        </w:r>
                        <w:r>
                          <w:rPr>
                            <w:color w:val="164194"/>
                            <w:spacing w:val="-7"/>
                            <w:sz w:val="28"/>
                          </w:rPr>
                          <w:t> </w:t>
                        </w:r>
                        <w:r>
                          <w:rPr>
                            <w:color w:val="164194"/>
                            <w:sz w:val="28"/>
                          </w:rPr>
                          <w:t>justified</w:t>
                        </w:r>
                        <w:r>
                          <w:rPr>
                            <w:color w:val="164194"/>
                            <w:spacing w:val="-8"/>
                            <w:sz w:val="28"/>
                          </w:rPr>
                          <w:t> </w:t>
                        </w:r>
                        <w:r>
                          <w:rPr>
                            <w:color w:val="164194"/>
                            <w:sz w:val="28"/>
                          </w:rPr>
                          <w:t>by</w:t>
                        </w:r>
                        <w:r>
                          <w:rPr>
                            <w:color w:val="164194"/>
                            <w:spacing w:val="-7"/>
                            <w:sz w:val="28"/>
                          </w:rPr>
                          <w:t> </w:t>
                        </w:r>
                        <w:r>
                          <w:rPr>
                            <w:color w:val="164194"/>
                            <w:sz w:val="28"/>
                          </w:rPr>
                          <w:t>objective factors unrelated to any discrimination based on sex.’</w:t>
                        </w:r>
                        <w:r>
                          <w:rPr>
                            <w:color w:val="164194"/>
                            <w:sz w:val="28"/>
                            <w:vertAlign w:val="superscript"/>
                          </w:rPr>
                          <w:t>666</w:t>
                        </w:r>
                      </w:p>
                    </w:txbxContent>
                  </v:textbox>
                  <w10:wrap type="none"/>
                </v:shape>
                <w10:wrap type="topAndBottom"/>
              </v:group>
            </w:pict>
          </mc:Fallback>
        </mc:AlternateContent>
      </w:r>
    </w:p>
    <w:p>
      <w:pPr>
        <w:pStyle w:val="BodyText"/>
        <w:spacing w:line="232" w:lineRule="auto" w:before="228"/>
        <w:ind w:left="720" w:right="1087"/>
      </w:pPr>
      <w:r>
        <w:rPr/>
        <w:t>This case is important in that it presents significant consideration to the legal provisions and treatment surrounding domestic work, specifically in relation to social</w:t>
      </w:r>
      <w:r>
        <w:rPr>
          <w:spacing w:val="-2"/>
        </w:rPr>
        <w:t> </w:t>
      </w:r>
      <w:r>
        <w:rPr/>
        <w:t>security</w:t>
      </w:r>
      <w:r>
        <w:rPr>
          <w:spacing w:val="-1"/>
        </w:rPr>
        <w:t> </w:t>
      </w:r>
      <w:r>
        <w:rPr/>
        <w:t>benefits.</w:t>
      </w:r>
      <w:r>
        <w:rPr>
          <w:spacing w:val="-2"/>
        </w:rPr>
        <w:t> </w:t>
      </w:r>
      <w:r>
        <w:rPr/>
        <w:t>Whilst</w:t>
      </w:r>
      <w:r>
        <w:rPr>
          <w:spacing w:val="-1"/>
        </w:rPr>
        <w:t> </w:t>
      </w:r>
      <w:r>
        <w:rPr/>
        <w:t>there</w:t>
      </w:r>
      <w:r>
        <w:rPr>
          <w:spacing w:val="-1"/>
        </w:rPr>
        <w:t> </w:t>
      </w:r>
      <w:r>
        <w:rPr/>
        <w:t>are</w:t>
      </w:r>
      <w:r>
        <w:rPr>
          <w:spacing w:val="-1"/>
        </w:rPr>
        <w:t> </w:t>
      </w:r>
      <w:r>
        <w:rPr/>
        <w:t>no</w:t>
      </w:r>
      <w:r>
        <w:rPr>
          <w:spacing w:val="-2"/>
        </w:rPr>
        <w:t> </w:t>
      </w:r>
      <w:r>
        <w:rPr/>
        <w:t>immediate</w:t>
      </w:r>
      <w:r>
        <w:rPr>
          <w:spacing w:val="-1"/>
        </w:rPr>
        <w:t> </w:t>
      </w:r>
      <w:r>
        <w:rPr/>
        <w:t>implications</w:t>
      </w:r>
      <w:r>
        <w:rPr>
          <w:spacing w:val="-2"/>
        </w:rPr>
        <w:t> </w:t>
      </w:r>
      <w:r>
        <w:rPr/>
        <w:t>for</w:t>
      </w:r>
      <w:r>
        <w:rPr>
          <w:spacing w:val="-1"/>
        </w:rPr>
        <w:t> </w:t>
      </w:r>
      <w:r>
        <w:rPr/>
        <w:t>Northern Ireland</w:t>
      </w:r>
      <w:r>
        <w:rPr>
          <w:spacing w:val="-8"/>
        </w:rPr>
        <w:t> </w:t>
      </w:r>
      <w:r>
        <w:rPr/>
        <w:t>at</w:t>
      </w:r>
      <w:r>
        <w:rPr>
          <w:spacing w:val="-8"/>
        </w:rPr>
        <w:t> </w:t>
      </w:r>
      <w:r>
        <w:rPr/>
        <w:t>present,</w:t>
      </w:r>
      <w:r>
        <w:rPr>
          <w:spacing w:val="-8"/>
        </w:rPr>
        <w:t> </w:t>
      </w:r>
      <w:r>
        <w:rPr/>
        <w:t>this</w:t>
      </w:r>
      <w:r>
        <w:rPr>
          <w:spacing w:val="-8"/>
        </w:rPr>
        <w:t> </w:t>
      </w:r>
      <w:r>
        <w:rPr/>
        <w:t>remains</w:t>
      </w:r>
      <w:r>
        <w:rPr>
          <w:spacing w:val="-8"/>
        </w:rPr>
        <w:t> </w:t>
      </w:r>
      <w:r>
        <w:rPr/>
        <w:t>a</w:t>
      </w:r>
      <w:r>
        <w:rPr>
          <w:spacing w:val="-8"/>
        </w:rPr>
        <w:t> </w:t>
      </w:r>
      <w:r>
        <w:rPr/>
        <w:t>noteworthy</w:t>
      </w:r>
      <w:r>
        <w:rPr>
          <w:spacing w:val="-8"/>
        </w:rPr>
        <w:t> </w:t>
      </w:r>
      <w:r>
        <w:rPr/>
        <w:t>and</w:t>
      </w:r>
      <w:r>
        <w:rPr>
          <w:spacing w:val="-8"/>
        </w:rPr>
        <w:t> </w:t>
      </w:r>
      <w:r>
        <w:rPr/>
        <w:t>significant</w:t>
      </w:r>
      <w:r>
        <w:rPr>
          <w:spacing w:val="-8"/>
        </w:rPr>
        <w:t> </w:t>
      </w:r>
      <w:r>
        <w:rPr/>
        <w:t>development</w:t>
      </w:r>
      <w:r>
        <w:rPr>
          <w:spacing w:val="-8"/>
        </w:rPr>
        <w:t> </w:t>
      </w:r>
      <w:r>
        <w:rPr/>
        <w:t>within CJEU case law that will need continued tracking to understand the potential forthcoming implications this may have within the Northern Ireland context.</w:t>
      </w:r>
    </w:p>
    <w:p>
      <w:pPr>
        <w:pStyle w:val="BodyText"/>
        <w:spacing w:line="232" w:lineRule="auto" w:before="274"/>
        <w:ind w:left="720" w:right="1121"/>
      </w:pPr>
      <w:r>
        <w:rPr/>
        <w:t>In </w:t>
      </w:r>
      <w:r>
        <w:rPr>
          <w:b/>
          <w:i/>
        </w:rPr>
        <w:t>INSS </w:t>
      </w:r>
      <w:r>
        <w:rPr/>
        <w:t>the matter before the Court posed another concern of Spanish social security law and indirect discrimination on the grounds of sex, specifically in relation to the cumulation of multiple invalidity pension benefits from those no longer able to work on health grounds (one from the applicant’s administrative assistant</w:t>
      </w:r>
      <w:r>
        <w:rPr>
          <w:spacing w:val="-5"/>
        </w:rPr>
        <w:t> </w:t>
      </w:r>
      <w:r>
        <w:rPr/>
        <w:t>position</w:t>
      </w:r>
      <w:r>
        <w:rPr>
          <w:spacing w:val="-6"/>
        </w:rPr>
        <w:t> </w:t>
      </w:r>
      <w:r>
        <w:rPr/>
        <w:t>and</w:t>
      </w:r>
      <w:r>
        <w:rPr>
          <w:spacing w:val="-6"/>
        </w:rPr>
        <w:t> </w:t>
      </w:r>
      <w:r>
        <w:rPr/>
        <w:t>the</w:t>
      </w:r>
      <w:r>
        <w:rPr>
          <w:spacing w:val="-5"/>
        </w:rPr>
        <w:t> </w:t>
      </w:r>
      <w:r>
        <w:rPr/>
        <w:t>other</w:t>
      </w:r>
      <w:r>
        <w:rPr>
          <w:spacing w:val="-5"/>
        </w:rPr>
        <w:t> </w:t>
      </w:r>
      <w:r>
        <w:rPr/>
        <w:t>from</w:t>
      </w:r>
      <w:r>
        <w:rPr>
          <w:spacing w:val="-5"/>
        </w:rPr>
        <w:t> </w:t>
      </w:r>
      <w:r>
        <w:rPr/>
        <w:t>a</w:t>
      </w:r>
      <w:r>
        <w:rPr>
          <w:spacing w:val="-6"/>
        </w:rPr>
        <w:t> </w:t>
      </w:r>
      <w:r>
        <w:rPr/>
        <w:t>nursery</w:t>
      </w:r>
      <w:r>
        <w:rPr>
          <w:spacing w:val="-5"/>
        </w:rPr>
        <w:t> </w:t>
      </w:r>
      <w:r>
        <w:rPr/>
        <w:t>assistant</w:t>
      </w:r>
      <w:r>
        <w:rPr>
          <w:spacing w:val="-5"/>
        </w:rPr>
        <w:t> </w:t>
      </w:r>
      <w:r>
        <w:rPr/>
        <w:t>position</w:t>
      </w:r>
      <w:r>
        <w:rPr>
          <w:spacing w:val="-6"/>
        </w:rPr>
        <w:t> </w:t>
      </w:r>
      <w:r>
        <w:rPr/>
        <w:t>in</w:t>
      </w:r>
      <w:r>
        <w:rPr>
          <w:spacing w:val="-6"/>
        </w:rPr>
        <w:t> </w:t>
      </w:r>
      <w:r>
        <w:rPr/>
        <w:t>the</w:t>
      </w:r>
      <w:r>
        <w:rPr>
          <w:spacing w:val="-5"/>
        </w:rPr>
        <w:t> </w:t>
      </w:r>
      <w:r>
        <w:rPr/>
        <w:t>given</w:t>
      </w:r>
      <w:r>
        <w:rPr>
          <w:spacing w:val="-6"/>
        </w:rPr>
        <w:t> </w:t>
      </w:r>
      <w:r>
        <w:rPr/>
        <w:t>case). Under domestic legislation, this was prohibited as they originated from the same scheme (despite the fact that cumulation was permissible should they originate from different pension schemes).</w:t>
      </w:r>
      <w:r>
        <w:rPr>
          <w:vertAlign w:val="superscript"/>
        </w:rPr>
        <w:t>667</w:t>
      </w:r>
    </w:p>
    <w:p>
      <w:pPr>
        <w:pStyle w:val="BodyText"/>
        <w:spacing w:before="263"/>
        <w:ind w:left="720"/>
      </w:pPr>
      <w:r>
        <w:rPr/>
        <w:t>The</w:t>
      </w:r>
      <w:r>
        <w:rPr>
          <w:spacing w:val="-4"/>
        </w:rPr>
        <w:t> </w:t>
      </w:r>
      <w:r>
        <w:rPr/>
        <w:t>referring</w:t>
      </w:r>
      <w:r>
        <w:rPr>
          <w:spacing w:val="-4"/>
        </w:rPr>
        <w:t> </w:t>
      </w:r>
      <w:r>
        <w:rPr/>
        <w:t>Court</w:t>
      </w:r>
      <w:r>
        <w:rPr>
          <w:spacing w:val="-3"/>
        </w:rPr>
        <w:t> </w:t>
      </w:r>
      <w:r>
        <w:rPr/>
        <w:t>noted</w:t>
      </w:r>
      <w:r>
        <w:rPr>
          <w:spacing w:val="-4"/>
        </w:rPr>
        <w:t> </w:t>
      </w:r>
      <w:r>
        <w:rPr/>
        <w:t>that</w:t>
      </w:r>
      <w:r>
        <w:rPr>
          <w:spacing w:val="-4"/>
        </w:rPr>
        <w:t> </w:t>
      </w:r>
      <w:r>
        <w:rPr/>
        <w:t>it</w:t>
      </w:r>
      <w:r>
        <w:rPr>
          <w:spacing w:val="-3"/>
        </w:rPr>
        <w:t> </w:t>
      </w:r>
      <w:r>
        <w:rPr>
          <w:spacing w:val="-4"/>
        </w:rPr>
        <w:t>was:</w:t>
      </w:r>
    </w:p>
    <w:p>
      <w:pPr>
        <w:pStyle w:val="BodyText"/>
        <w:spacing w:before="3"/>
        <w:rPr>
          <w:sz w:val="20"/>
        </w:rPr>
      </w:pPr>
      <w:r>
        <w:rPr/>
        <mc:AlternateContent>
          <mc:Choice Requires="wps">
            <w:drawing>
              <wp:anchor distT="0" distB="0" distL="0" distR="0" allowOverlap="1" layoutInCell="1" locked="0" behindDoc="1" simplePos="0" relativeHeight="487791104">
                <wp:simplePos x="0" y="0"/>
                <wp:positionH relativeFrom="page">
                  <wp:posOffset>647994</wp:posOffset>
                </wp:positionH>
                <wp:positionV relativeFrom="paragraph">
                  <wp:posOffset>172765</wp:posOffset>
                </wp:positionV>
                <wp:extent cx="6012180" cy="1232535"/>
                <wp:effectExtent l="0" t="0" r="0" b="0"/>
                <wp:wrapTopAndBottom/>
                <wp:docPr id="1067" name="Group 1067"/>
                <wp:cNvGraphicFramePr>
                  <a:graphicFrameLocks/>
                </wp:cNvGraphicFramePr>
                <a:graphic>
                  <a:graphicData uri="http://schemas.microsoft.com/office/word/2010/wordprocessingGroup">
                    <wpg:wgp>
                      <wpg:cNvPr id="1067" name="Group 1067"/>
                      <wpg:cNvGrpSpPr/>
                      <wpg:grpSpPr>
                        <a:xfrm>
                          <a:off x="0" y="0"/>
                          <a:ext cx="6012180" cy="1232535"/>
                          <a:chExt cx="6012180" cy="1232535"/>
                        </a:xfrm>
                      </wpg:grpSpPr>
                      <wps:wsp>
                        <wps:cNvPr id="1068" name="Graphic 1068"/>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69" name="Textbox 1069"/>
                        <wps:cNvSpPr txBox="1"/>
                        <wps:spPr>
                          <a:xfrm>
                            <a:off x="0" y="0"/>
                            <a:ext cx="6012180" cy="1232535"/>
                          </a:xfrm>
                          <a:prstGeom prst="rect">
                            <a:avLst/>
                          </a:prstGeom>
                        </wps:spPr>
                        <wps:txbx>
                          <w:txbxContent>
                            <w:p>
                              <w:pPr>
                                <w:spacing w:line="232" w:lineRule="auto" w:before="121"/>
                                <w:ind w:left="340" w:right="106" w:firstLine="0"/>
                                <w:jc w:val="left"/>
                                <w:rPr>
                                  <w:sz w:val="28"/>
                                </w:rPr>
                              </w:pPr>
                              <w:r>
                                <w:rPr>
                                  <w:color w:val="164194"/>
                                  <w:sz w:val="28"/>
                                </w:rPr>
                                <w:t>‘inclined to take the view that the application of such a rule leads to indirect discrimination on ground of sex, prohibited by Article 4 of Directive 79/7 and Article</w:t>
                              </w:r>
                              <w:r>
                                <w:rPr>
                                  <w:color w:val="164194"/>
                                  <w:spacing w:val="-6"/>
                                  <w:sz w:val="28"/>
                                </w:rPr>
                                <w:t> </w:t>
                              </w:r>
                              <w:r>
                                <w:rPr>
                                  <w:color w:val="164194"/>
                                  <w:sz w:val="28"/>
                                </w:rPr>
                                <w:t>5</w:t>
                              </w:r>
                              <w:r>
                                <w:rPr>
                                  <w:color w:val="164194"/>
                                  <w:spacing w:val="-5"/>
                                  <w:sz w:val="28"/>
                                </w:rPr>
                                <w:t> </w:t>
                              </w:r>
                              <w:r>
                                <w:rPr>
                                  <w:color w:val="164194"/>
                                  <w:sz w:val="28"/>
                                </w:rPr>
                                <w:t>of</w:t>
                              </w:r>
                              <w:r>
                                <w:rPr>
                                  <w:color w:val="164194"/>
                                  <w:spacing w:val="-6"/>
                                  <w:sz w:val="28"/>
                                </w:rPr>
                                <w:t> </w:t>
                              </w:r>
                              <w:r>
                                <w:rPr>
                                  <w:color w:val="164194"/>
                                  <w:sz w:val="28"/>
                                </w:rPr>
                                <w:t>Directive</w:t>
                              </w:r>
                              <w:r>
                                <w:rPr>
                                  <w:color w:val="164194"/>
                                  <w:spacing w:val="-5"/>
                                  <w:sz w:val="28"/>
                                </w:rPr>
                                <w:t> </w:t>
                              </w:r>
                              <w:r>
                                <w:rPr>
                                  <w:color w:val="164194"/>
                                  <w:sz w:val="28"/>
                                </w:rPr>
                                <w:t>2006/54,</w:t>
                              </w:r>
                              <w:r>
                                <w:rPr>
                                  <w:color w:val="164194"/>
                                  <w:spacing w:val="-6"/>
                                  <w:sz w:val="28"/>
                                </w:rPr>
                                <w:t> </w:t>
                              </w:r>
                              <w:r>
                                <w:rPr>
                                  <w:color w:val="164194"/>
                                  <w:sz w:val="28"/>
                                </w:rPr>
                                <w:t>in</w:t>
                              </w:r>
                              <w:r>
                                <w:rPr>
                                  <w:color w:val="164194"/>
                                  <w:spacing w:val="-5"/>
                                  <w:sz w:val="28"/>
                                </w:rPr>
                                <w:t> </w:t>
                              </w:r>
                              <w:r>
                                <w:rPr>
                                  <w:color w:val="164194"/>
                                  <w:sz w:val="28"/>
                                </w:rPr>
                                <w:t>so</w:t>
                              </w:r>
                              <w:r>
                                <w:rPr>
                                  <w:color w:val="164194"/>
                                  <w:spacing w:val="-6"/>
                                  <w:sz w:val="28"/>
                                </w:rPr>
                                <w:t> </w:t>
                              </w:r>
                              <w:r>
                                <w:rPr>
                                  <w:color w:val="164194"/>
                                  <w:sz w:val="28"/>
                                </w:rPr>
                                <w:t>far</w:t>
                              </w:r>
                              <w:r>
                                <w:rPr>
                                  <w:color w:val="164194"/>
                                  <w:spacing w:val="-5"/>
                                  <w:sz w:val="28"/>
                                </w:rPr>
                                <w:t> </w:t>
                              </w:r>
                              <w:r>
                                <w:rPr>
                                  <w:color w:val="164194"/>
                                  <w:sz w:val="28"/>
                                </w:rPr>
                                <w:t>as,</w:t>
                              </w:r>
                              <w:r>
                                <w:rPr>
                                  <w:color w:val="164194"/>
                                  <w:spacing w:val="-5"/>
                                  <w:sz w:val="28"/>
                                </w:rPr>
                                <w:t> </w:t>
                              </w:r>
                              <w:r>
                                <w:rPr>
                                  <w:color w:val="164194"/>
                                  <w:sz w:val="28"/>
                                </w:rPr>
                                <w:t>even</w:t>
                              </w:r>
                              <w:r>
                                <w:rPr>
                                  <w:color w:val="164194"/>
                                  <w:spacing w:val="-6"/>
                                  <w:sz w:val="28"/>
                                </w:rPr>
                                <w:t> </w:t>
                              </w:r>
                              <w:r>
                                <w:rPr>
                                  <w:color w:val="164194"/>
                                  <w:sz w:val="28"/>
                                </w:rPr>
                                <w:t>if</w:t>
                              </w:r>
                              <w:r>
                                <w:rPr>
                                  <w:color w:val="164194"/>
                                  <w:spacing w:val="-5"/>
                                  <w:sz w:val="28"/>
                                </w:rPr>
                                <w:t> </w:t>
                              </w:r>
                              <w:r>
                                <w:rPr>
                                  <w:color w:val="164194"/>
                                  <w:sz w:val="28"/>
                                </w:rPr>
                                <w:t>that</w:t>
                              </w:r>
                              <w:r>
                                <w:rPr>
                                  <w:color w:val="164194"/>
                                  <w:spacing w:val="-5"/>
                                  <w:sz w:val="28"/>
                                </w:rPr>
                                <w:t> </w:t>
                              </w:r>
                              <w:r>
                                <w:rPr>
                                  <w:color w:val="164194"/>
                                  <w:sz w:val="28"/>
                                </w:rPr>
                                <w:t>rule</w:t>
                              </w:r>
                              <w:r>
                                <w:rPr>
                                  <w:color w:val="164194"/>
                                  <w:spacing w:val="-5"/>
                                  <w:sz w:val="28"/>
                                </w:rPr>
                                <w:t> </w:t>
                              </w:r>
                              <w:r>
                                <w:rPr>
                                  <w:color w:val="164194"/>
                                  <w:sz w:val="28"/>
                                </w:rPr>
                                <w:t>makes</w:t>
                              </w:r>
                              <w:r>
                                <w:rPr>
                                  <w:color w:val="164194"/>
                                  <w:spacing w:val="-6"/>
                                  <w:sz w:val="28"/>
                                </w:rPr>
                                <w:t> </w:t>
                              </w:r>
                              <w:r>
                                <w:rPr>
                                  <w:color w:val="164194"/>
                                  <w:sz w:val="28"/>
                                </w:rPr>
                                <w:t>no</w:t>
                              </w:r>
                              <w:r>
                                <w:rPr>
                                  <w:color w:val="164194"/>
                                  <w:spacing w:val="-5"/>
                                  <w:sz w:val="28"/>
                                </w:rPr>
                                <w:t> </w:t>
                              </w:r>
                              <w:r>
                                <w:rPr>
                                  <w:color w:val="164194"/>
                                  <w:sz w:val="28"/>
                                </w:rPr>
                                <w:t>distinction on the basis of sex and is, therefore, apparently neutral in that regard, it could nevertheless have a greater impact on women.’</w:t>
                              </w:r>
                              <w:r>
                                <w:rPr>
                                  <w:color w:val="164194"/>
                                  <w:sz w:val="28"/>
                                  <w:vertAlign w:val="superscript"/>
                                </w:rPr>
                                <w:t>668</w:t>
                              </w:r>
                            </w:p>
                          </w:txbxContent>
                        </wps:txbx>
                        <wps:bodyPr wrap="square" lIns="0" tIns="0" rIns="0" bIns="0" rtlCol="0">
                          <a:noAutofit/>
                        </wps:bodyPr>
                      </wps:wsp>
                    </wpg:wgp>
                  </a:graphicData>
                </a:graphic>
              </wp:anchor>
            </w:drawing>
          </mc:Choice>
          <mc:Fallback>
            <w:pict>
              <v:group style="position:absolute;margin-left:51.023201pt;margin-top:13.603579pt;width:473.4pt;height:97.05pt;mso-position-horizontal-relative:page;mso-position-vertical-relative:paragraph;z-index:-15525376;mso-wrap-distance-left:0;mso-wrap-distance-right:0" id="docshapegroup880" coordorigin="1020,272" coordsize="9468,1941">
                <v:shape style="position:absolute;left:1020;top:272;width:9468;height:1941" id="docshape881" coordorigin="1020,272" coordsize="9468,1941" path="m10261,272l1247,272,1176,284,1113,316,1064,365,1032,427,1020,499,1020,1985,1032,2057,1064,2119,1113,2168,1176,2201,1247,2212,10261,2212,10333,2201,10395,2168,10444,2119,10477,2057,10488,1985,10488,499,10477,427,10444,365,10395,316,10333,284,10261,272xe" filled="true" fillcolor="#e9f3fc" stroked="false">
                  <v:path arrowok="t"/>
                  <v:fill type="solid"/>
                </v:shape>
                <v:shape style="position:absolute;left:1020;top:272;width:9468;height:1941" type="#_x0000_t202" id="docshape882" filled="false" stroked="false">
                  <v:textbox inset="0,0,0,0">
                    <w:txbxContent>
                      <w:p>
                        <w:pPr>
                          <w:spacing w:line="232" w:lineRule="auto" w:before="121"/>
                          <w:ind w:left="340" w:right="106" w:firstLine="0"/>
                          <w:jc w:val="left"/>
                          <w:rPr>
                            <w:sz w:val="28"/>
                          </w:rPr>
                        </w:pPr>
                        <w:r>
                          <w:rPr>
                            <w:color w:val="164194"/>
                            <w:sz w:val="28"/>
                          </w:rPr>
                          <w:t>‘inclined to take the view that the application of such a rule leads to indirect discrimination on ground of sex, prohibited by Article 4 of Directive 79/7 and Article</w:t>
                        </w:r>
                        <w:r>
                          <w:rPr>
                            <w:color w:val="164194"/>
                            <w:spacing w:val="-6"/>
                            <w:sz w:val="28"/>
                          </w:rPr>
                          <w:t> </w:t>
                        </w:r>
                        <w:r>
                          <w:rPr>
                            <w:color w:val="164194"/>
                            <w:sz w:val="28"/>
                          </w:rPr>
                          <w:t>5</w:t>
                        </w:r>
                        <w:r>
                          <w:rPr>
                            <w:color w:val="164194"/>
                            <w:spacing w:val="-5"/>
                            <w:sz w:val="28"/>
                          </w:rPr>
                          <w:t> </w:t>
                        </w:r>
                        <w:r>
                          <w:rPr>
                            <w:color w:val="164194"/>
                            <w:sz w:val="28"/>
                          </w:rPr>
                          <w:t>of</w:t>
                        </w:r>
                        <w:r>
                          <w:rPr>
                            <w:color w:val="164194"/>
                            <w:spacing w:val="-6"/>
                            <w:sz w:val="28"/>
                          </w:rPr>
                          <w:t> </w:t>
                        </w:r>
                        <w:r>
                          <w:rPr>
                            <w:color w:val="164194"/>
                            <w:sz w:val="28"/>
                          </w:rPr>
                          <w:t>Directive</w:t>
                        </w:r>
                        <w:r>
                          <w:rPr>
                            <w:color w:val="164194"/>
                            <w:spacing w:val="-5"/>
                            <w:sz w:val="28"/>
                          </w:rPr>
                          <w:t> </w:t>
                        </w:r>
                        <w:r>
                          <w:rPr>
                            <w:color w:val="164194"/>
                            <w:sz w:val="28"/>
                          </w:rPr>
                          <w:t>2006/54,</w:t>
                        </w:r>
                        <w:r>
                          <w:rPr>
                            <w:color w:val="164194"/>
                            <w:spacing w:val="-6"/>
                            <w:sz w:val="28"/>
                          </w:rPr>
                          <w:t> </w:t>
                        </w:r>
                        <w:r>
                          <w:rPr>
                            <w:color w:val="164194"/>
                            <w:sz w:val="28"/>
                          </w:rPr>
                          <w:t>in</w:t>
                        </w:r>
                        <w:r>
                          <w:rPr>
                            <w:color w:val="164194"/>
                            <w:spacing w:val="-5"/>
                            <w:sz w:val="28"/>
                          </w:rPr>
                          <w:t> </w:t>
                        </w:r>
                        <w:r>
                          <w:rPr>
                            <w:color w:val="164194"/>
                            <w:sz w:val="28"/>
                          </w:rPr>
                          <w:t>so</w:t>
                        </w:r>
                        <w:r>
                          <w:rPr>
                            <w:color w:val="164194"/>
                            <w:spacing w:val="-6"/>
                            <w:sz w:val="28"/>
                          </w:rPr>
                          <w:t> </w:t>
                        </w:r>
                        <w:r>
                          <w:rPr>
                            <w:color w:val="164194"/>
                            <w:sz w:val="28"/>
                          </w:rPr>
                          <w:t>far</w:t>
                        </w:r>
                        <w:r>
                          <w:rPr>
                            <w:color w:val="164194"/>
                            <w:spacing w:val="-5"/>
                            <w:sz w:val="28"/>
                          </w:rPr>
                          <w:t> </w:t>
                        </w:r>
                        <w:r>
                          <w:rPr>
                            <w:color w:val="164194"/>
                            <w:sz w:val="28"/>
                          </w:rPr>
                          <w:t>as,</w:t>
                        </w:r>
                        <w:r>
                          <w:rPr>
                            <w:color w:val="164194"/>
                            <w:spacing w:val="-5"/>
                            <w:sz w:val="28"/>
                          </w:rPr>
                          <w:t> </w:t>
                        </w:r>
                        <w:r>
                          <w:rPr>
                            <w:color w:val="164194"/>
                            <w:sz w:val="28"/>
                          </w:rPr>
                          <w:t>even</w:t>
                        </w:r>
                        <w:r>
                          <w:rPr>
                            <w:color w:val="164194"/>
                            <w:spacing w:val="-6"/>
                            <w:sz w:val="28"/>
                          </w:rPr>
                          <w:t> </w:t>
                        </w:r>
                        <w:r>
                          <w:rPr>
                            <w:color w:val="164194"/>
                            <w:sz w:val="28"/>
                          </w:rPr>
                          <w:t>if</w:t>
                        </w:r>
                        <w:r>
                          <w:rPr>
                            <w:color w:val="164194"/>
                            <w:spacing w:val="-5"/>
                            <w:sz w:val="28"/>
                          </w:rPr>
                          <w:t> </w:t>
                        </w:r>
                        <w:r>
                          <w:rPr>
                            <w:color w:val="164194"/>
                            <w:sz w:val="28"/>
                          </w:rPr>
                          <w:t>that</w:t>
                        </w:r>
                        <w:r>
                          <w:rPr>
                            <w:color w:val="164194"/>
                            <w:spacing w:val="-5"/>
                            <w:sz w:val="28"/>
                          </w:rPr>
                          <w:t> </w:t>
                        </w:r>
                        <w:r>
                          <w:rPr>
                            <w:color w:val="164194"/>
                            <w:sz w:val="28"/>
                          </w:rPr>
                          <w:t>rule</w:t>
                        </w:r>
                        <w:r>
                          <w:rPr>
                            <w:color w:val="164194"/>
                            <w:spacing w:val="-5"/>
                            <w:sz w:val="28"/>
                          </w:rPr>
                          <w:t> </w:t>
                        </w:r>
                        <w:r>
                          <w:rPr>
                            <w:color w:val="164194"/>
                            <w:sz w:val="28"/>
                          </w:rPr>
                          <w:t>makes</w:t>
                        </w:r>
                        <w:r>
                          <w:rPr>
                            <w:color w:val="164194"/>
                            <w:spacing w:val="-6"/>
                            <w:sz w:val="28"/>
                          </w:rPr>
                          <w:t> </w:t>
                        </w:r>
                        <w:r>
                          <w:rPr>
                            <w:color w:val="164194"/>
                            <w:sz w:val="28"/>
                          </w:rPr>
                          <w:t>no</w:t>
                        </w:r>
                        <w:r>
                          <w:rPr>
                            <w:color w:val="164194"/>
                            <w:spacing w:val="-5"/>
                            <w:sz w:val="28"/>
                          </w:rPr>
                          <w:t> </w:t>
                        </w:r>
                        <w:r>
                          <w:rPr>
                            <w:color w:val="164194"/>
                            <w:sz w:val="28"/>
                          </w:rPr>
                          <w:t>distinction on the basis of sex and is, therefore, apparently neutral in that regard, it could nevertheless have a greater impact on women.’</w:t>
                        </w:r>
                        <w:r>
                          <w:rPr>
                            <w:color w:val="164194"/>
                            <w:sz w:val="28"/>
                            <w:vertAlign w:val="superscript"/>
                          </w:rPr>
                          <w:t>668</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91616">
                <wp:simplePos x="0" y="0"/>
                <wp:positionH relativeFrom="page">
                  <wp:posOffset>647999</wp:posOffset>
                </wp:positionH>
                <wp:positionV relativeFrom="paragraph">
                  <wp:posOffset>1457009</wp:posOffset>
                </wp:positionV>
                <wp:extent cx="6012180" cy="1270"/>
                <wp:effectExtent l="0" t="0" r="0" b="0"/>
                <wp:wrapTopAndBottom/>
                <wp:docPr id="1070" name="Graphic 1070"/>
                <wp:cNvGraphicFramePr>
                  <a:graphicFrameLocks/>
                </wp:cNvGraphicFramePr>
                <a:graphic>
                  <a:graphicData uri="http://schemas.microsoft.com/office/word/2010/wordprocessingShape">
                    <wps:wsp>
                      <wps:cNvPr id="1070" name="Graphic 107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14.725182pt;width:473.4pt;height:.1pt;mso-position-horizontal-relative:page;mso-position-vertical-relative:paragraph;z-index:-15524864;mso-wrap-distance-left:0;mso-wrap-distance-right:0" id="docshape883" coordorigin="1020,2295" coordsize="9468,0" path="m1020,2295l10488,2295e" filled="false" stroked="true" strokeweight=".5pt" strokecolor="#36a9e1">
                <v:path arrowok="t"/>
                <v:stroke dashstyle="solid"/>
                <w10:wrap type="topAndBottom"/>
              </v:shape>
            </w:pict>
          </mc:Fallback>
        </mc:AlternateContent>
      </w:r>
    </w:p>
    <w:p>
      <w:pPr>
        <w:pStyle w:val="BodyText"/>
        <w:spacing w:before="9"/>
        <w:rPr>
          <w:sz w:val="4"/>
        </w:rPr>
      </w:pPr>
    </w:p>
    <w:p>
      <w:pPr>
        <w:pStyle w:val="ListParagraph"/>
        <w:numPr>
          <w:ilvl w:val="0"/>
          <w:numId w:val="51"/>
        </w:numPr>
        <w:tabs>
          <w:tab w:pos="1287" w:val="left" w:leader="none"/>
        </w:tabs>
        <w:spacing w:line="240" w:lineRule="auto" w:before="43" w:after="0"/>
        <w:ind w:left="1287" w:right="0" w:hanging="567"/>
        <w:jc w:val="left"/>
        <w:rPr>
          <w:sz w:val="18"/>
        </w:rPr>
      </w:pPr>
      <w:r>
        <w:rPr>
          <w:sz w:val="18"/>
        </w:rPr>
        <w:t>Ibid.,paras.</w:t>
      </w:r>
      <w:r>
        <w:rPr>
          <w:spacing w:val="-7"/>
          <w:sz w:val="18"/>
        </w:rPr>
        <w:t> </w:t>
      </w:r>
      <w:r>
        <w:rPr>
          <w:spacing w:val="-2"/>
          <w:sz w:val="18"/>
        </w:rPr>
        <w:t>45ff.</w:t>
      </w:r>
    </w:p>
    <w:p>
      <w:pPr>
        <w:pStyle w:val="ListParagraph"/>
        <w:numPr>
          <w:ilvl w:val="0"/>
          <w:numId w:val="51"/>
        </w:numPr>
        <w:tabs>
          <w:tab w:pos="1287" w:val="left" w:leader="none"/>
        </w:tabs>
        <w:spacing w:line="240" w:lineRule="auto" w:before="1"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72.</w:t>
      </w:r>
    </w:p>
    <w:p>
      <w:pPr>
        <w:pStyle w:val="ListParagraph"/>
        <w:numPr>
          <w:ilvl w:val="0"/>
          <w:numId w:val="51"/>
        </w:numPr>
        <w:tabs>
          <w:tab w:pos="1287" w:val="left" w:leader="none"/>
        </w:tabs>
        <w:spacing w:line="240" w:lineRule="auto" w:before="0" w:after="0"/>
        <w:ind w:left="1287" w:right="0" w:hanging="567"/>
        <w:jc w:val="left"/>
        <w:rPr>
          <w:sz w:val="18"/>
        </w:rPr>
      </w:pPr>
      <w:r>
        <w:rPr>
          <w:sz w:val="18"/>
        </w:rPr>
        <w:t>C-625/20</w:t>
      </w:r>
      <w:r>
        <w:rPr>
          <w:spacing w:val="-3"/>
          <w:sz w:val="18"/>
        </w:rPr>
        <w:t> </w:t>
      </w:r>
      <w:hyperlink r:id="rId171">
        <w:r>
          <w:rPr>
            <w:color w:val="1D71B8"/>
            <w:sz w:val="18"/>
            <w:u w:val="single" w:color="1D71B8"/>
          </w:rPr>
          <w:t>KM</w:t>
        </w:r>
        <w:r>
          <w:rPr>
            <w:color w:val="1D71B8"/>
            <w:spacing w:val="-1"/>
            <w:sz w:val="18"/>
            <w:u w:val="single" w:color="1D71B8"/>
          </w:rPr>
          <w:t> </w:t>
        </w:r>
        <w:r>
          <w:rPr>
            <w:color w:val="1D71B8"/>
            <w:sz w:val="18"/>
            <w:u w:val="single" w:color="1D71B8"/>
          </w:rPr>
          <w:t>v</w:t>
        </w:r>
        <w:r>
          <w:rPr>
            <w:color w:val="1D71B8"/>
            <w:spacing w:val="-2"/>
            <w:sz w:val="18"/>
            <w:u w:val="single" w:color="1D71B8"/>
          </w:rPr>
          <w:t> </w:t>
        </w:r>
        <w:r>
          <w:rPr>
            <w:color w:val="1D71B8"/>
            <w:sz w:val="18"/>
            <w:u w:val="single" w:color="1D71B8"/>
          </w:rPr>
          <w:t>INSS</w:t>
        </w:r>
      </w:hyperlink>
      <w:r>
        <w:rPr>
          <w:i/>
          <w:sz w:val="18"/>
          <w:u w:val="none"/>
        </w:rPr>
        <w:t>,</w:t>
      </w:r>
      <w:r>
        <w:rPr>
          <w:i/>
          <w:spacing w:val="-2"/>
          <w:sz w:val="18"/>
          <w:u w:val="none"/>
        </w:rPr>
        <w:t> </w:t>
      </w:r>
      <w:r>
        <w:rPr>
          <w:sz w:val="18"/>
          <w:u w:val="none"/>
        </w:rPr>
        <w:t>judgment</w:t>
      </w:r>
      <w:r>
        <w:rPr>
          <w:spacing w:val="-2"/>
          <w:sz w:val="18"/>
          <w:u w:val="none"/>
        </w:rPr>
        <w:t> </w:t>
      </w:r>
      <w:r>
        <w:rPr>
          <w:sz w:val="18"/>
          <w:u w:val="none"/>
        </w:rPr>
        <w:t>of</w:t>
      </w:r>
      <w:r>
        <w:rPr>
          <w:spacing w:val="-2"/>
          <w:sz w:val="18"/>
          <w:u w:val="none"/>
        </w:rPr>
        <w:t> </w:t>
      </w:r>
      <w:r>
        <w:rPr>
          <w:sz w:val="18"/>
          <w:u w:val="none"/>
        </w:rPr>
        <w:t>30</w:t>
      </w:r>
      <w:r>
        <w:rPr>
          <w:spacing w:val="-2"/>
          <w:sz w:val="18"/>
          <w:u w:val="none"/>
        </w:rPr>
        <w:t> </w:t>
      </w:r>
      <w:r>
        <w:rPr>
          <w:sz w:val="18"/>
          <w:u w:val="none"/>
        </w:rPr>
        <w:t>June</w:t>
      </w:r>
      <w:r>
        <w:rPr>
          <w:spacing w:val="-1"/>
          <w:sz w:val="18"/>
          <w:u w:val="none"/>
        </w:rPr>
        <w:t> </w:t>
      </w:r>
      <w:r>
        <w:rPr>
          <w:sz w:val="18"/>
          <w:u w:val="none"/>
        </w:rPr>
        <w:t>2022,</w:t>
      </w:r>
      <w:r>
        <w:rPr>
          <w:spacing w:val="-2"/>
          <w:sz w:val="18"/>
          <w:u w:val="none"/>
        </w:rPr>
        <w:t> </w:t>
      </w:r>
      <w:r>
        <w:rPr>
          <w:sz w:val="18"/>
          <w:u w:val="none"/>
        </w:rPr>
        <w:t>ECLI:EU:C:2022:508,</w:t>
      </w:r>
      <w:r>
        <w:rPr>
          <w:spacing w:val="-1"/>
          <w:sz w:val="18"/>
          <w:u w:val="none"/>
        </w:rPr>
        <w:t> </w:t>
      </w:r>
      <w:r>
        <w:rPr>
          <w:sz w:val="18"/>
          <w:u w:val="none"/>
        </w:rPr>
        <w:t>para.</w:t>
      </w:r>
      <w:r>
        <w:rPr>
          <w:spacing w:val="-2"/>
          <w:sz w:val="18"/>
          <w:u w:val="none"/>
        </w:rPr>
        <w:t> </w:t>
      </w:r>
      <w:r>
        <w:rPr>
          <w:spacing w:val="-5"/>
          <w:sz w:val="18"/>
          <w:u w:val="none"/>
        </w:rPr>
        <w:t>19.</w:t>
      </w:r>
    </w:p>
    <w:p>
      <w:pPr>
        <w:pStyle w:val="ListParagraph"/>
        <w:numPr>
          <w:ilvl w:val="0"/>
          <w:numId w:val="51"/>
        </w:numPr>
        <w:tabs>
          <w:tab w:pos="1287" w:val="left" w:leader="none"/>
        </w:tabs>
        <w:spacing w:line="240" w:lineRule="auto" w:before="0" w:after="0"/>
        <w:ind w:left="1287" w:right="0" w:hanging="567"/>
        <w:jc w:val="left"/>
        <w:rPr>
          <w:sz w:val="18"/>
        </w:rPr>
      </w:pPr>
      <w:r>
        <w:rPr>
          <w:sz w:val="18"/>
        </w:rPr>
        <w:t>Ibid.,</w:t>
      </w:r>
      <w:r>
        <w:rPr>
          <w:spacing w:val="-3"/>
          <w:sz w:val="18"/>
        </w:rPr>
        <w:t> </w:t>
      </w:r>
      <w:r>
        <w:rPr>
          <w:sz w:val="18"/>
        </w:rPr>
        <w:t>para.</w:t>
      </w:r>
      <w:r>
        <w:rPr>
          <w:spacing w:val="-3"/>
          <w:sz w:val="18"/>
        </w:rPr>
        <w:t> </w:t>
      </w:r>
      <w:r>
        <w:rPr>
          <w:spacing w:val="-5"/>
          <w:sz w:val="18"/>
        </w:rPr>
        <w:t>20.</w:t>
      </w:r>
    </w:p>
    <w:p>
      <w:pPr>
        <w:spacing w:after="0" w:line="240" w:lineRule="auto"/>
        <w:jc w:val="left"/>
        <w:rPr>
          <w:sz w:val="18"/>
        </w:rPr>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bookmarkStart w:name="6.4 Conclusion " w:id="205"/>
      <w:bookmarkEnd w:id="205"/>
      <w:r>
        <w:rPr/>
      </w:r>
      <w:bookmarkStart w:name="_bookmark85" w:id="206"/>
      <w:bookmarkEnd w:id="206"/>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131</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110336">
                <wp:simplePos x="0" y="0"/>
                <wp:positionH relativeFrom="page">
                  <wp:posOffset>-2</wp:posOffset>
                </wp:positionH>
                <wp:positionV relativeFrom="page">
                  <wp:posOffset>0</wp:posOffset>
                </wp:positionV>
                <wp:extent cx="7560309" cy="1155065"/>
                <wp:effectExtent l="0" t="0" r="0" b="0"/>
                <wp:wrapNone/>
                <wp:docPr id="1071" name="Group 1071"/>
                <wp:cNvGraphicFramePr>
                  <a:graphicFrameLocks/>
                </wp:cNvGraphicFramePr>
                <a:graphic>
                  <a:graphicData uri="http://schemas.microsoft.com/office/word/2010/wordprocessingGroup">
                    <wpg:wgp>
                      <wpg:cNvPr id="1071" name="Group 1071"/>
                      <wpg:cNvGrpSpPr/>
                      <wpg:grpSpPr>
                        <a:xfrm>
                          <a:off x="0" y="0"/>
                          <a:ext cx="7560309" cy="1155065"/>
                          <a:chExt cx="7560309" cy="1155065"/>
                        </a:xfrm>
                      </wpg:grpSpPr>
                      <wps:wsp>
                        <wps:cNvPr id="1072" name="Graphic 1072"/>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073" name="Graphic 1073"/>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06144" id="docshapegroup884" coordorigin="0,0" coordsize="11906,1819">
                <v:shape style="position:absolute;left:0;top:0;width:11906;height:1819" id="docshape88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1243"/>
        <w:jc w:val="both"/>
      </w:pPr>
      <w:r>
        <w:rPr/>
        <w:t>This</w:t>
      </w:r>
      <w:r>
        <w:rPr>
          <w:spacing w:val="-2"/>
        </w:rPr>
        <w:t> </w:t>
      </w:r>
      <w:r>
        <w:rPr/>
        <w:t>was</w:t>
      </w:r>
      <w:r>
        <w:rPr>
          <w:spacing w:val="-2"/>
        </w:rPr>
        <w:t> </w:t>
      </w:r>
      <w:r>
        <w:rPr/>
        <w:t>on</w:t>
      </w:r>
      <w:r>
        <w:rPr>
          <w:spacing w:val="-2"/>
        </w:rPr>
        <w:t> </w:t>
      </w:r>
      <w:r>
        <w:rPr/>
        <w:t>the</w:t>
      </w:r>
      <w:r>
        <w:rPr>
          <w:spacing w:val="-1"/>
        </w:rPr>
        <w:t> </w:t>
      </w:r>
      <w:r>
        <w:rPr/>
        <w:t>basis</w:t>
      </w:r>
      <w:r>
        <w:rPr>
          <w:spacing w:val="-2"/>
        </w:rPr>
        <w:t> </w:t>
      </w:r>
      <w:r>
        <w:rPr/>
        <w:t>of</w:t>
      </w:r>
      <w:r>
        <w:rPr>
          <w:spacing w:val="-2"/>
        </w:rPr>
        <w:t> </w:t>
      </w:r>
      <w:r>
        <w:rPr/>
        <w:t>statistical</w:t>
      </w:r>
      <w:r>
        <w:rPr>
          <w:spacing w:val="-2"/>
        </w:rPr>
        <w:t> </w:t>
      </w:r>
      <w:r>
        <w:rPr/>
        <w:t>data</w:t>
      </w:r>
      <w:r>
        <w:rPr>
          <w:spacing w:val="-2"/>
        </w:rPr>
        <w:t> </w:t>
      </w:r>
      <w:r>
        <w:rPr/>
        <w:t>which</w:t>
      </w:r>
      <w:r>
        <w:rPr>
          <w:spacing w:val="-2"/>
        </w:rPr>
        <w:t> </w:t>
      </w:r>
      <w:r>
        <w:rPr/>
        <w:t>also</w:t>
      </w:r>
      <w:r>
        <w:rPr>
          <w:spacing w:val="-2"/>
        </w:rPr>
        <w:t> </w:t>
      </w:r>
      <w:r>
        <w:rPr/>
        <w:t>confirmed</w:t>
      </w:r>
      <w:r>
        <w:rPr>
          <w:spacing w:val="-2"/>
        </w:rPr>
        <w:t> </w:t>
      </w:r>
      <w:r>
        <w:rPr/>
        <w:t>this</w:t>
      </w:r>
      <w:r>
        <w:rPr>
          <w:spacing w:val="-2"/>
        </w:rPr>
        <w:t> </w:t>
      </w:r>
      <w:r>
        <w:rPr/>
        <w:t>position.</w:t>
      </w:r>
      <w:r>
        <w:rPr>
          <w:spacing w:val="-2"/>
        </w:rPr>
        <w:t> </w:t>
      </w:r>
      <w:r>
        <w:rPr/>
        <w:t>This is</w:t>
      </w:r>
      <w:r>
        <w:rPr>
          <w:spacing w:val="-8"/>
        </w:rPr>
        <w:t> </w:t>
      </w:r>
      <w:r>
        <w:rPr/>
        <w:t>a</w:t>
      </w:r>
      <w:r>
        <w:rPr>
          <w:spacing w:val="-8"/>
        </w:rPr>
        <w:t> </w:t>
      </w:r>
      <w:r>
        <w:rPr/>
        <w:t>similar</w:t>
      </w:r>
      <w:r>
        <w:rPr>
          <w:spacing w:val="-7"/>
        </w:rPr>
        <w:t> </w:t>
      </w:r>
      <w:r>
        <w:rPr/>
        <w:t>matter</w:t>
      </w:r>
      <w:r>
        <w:rPr>
          <w:spacing w:val="-7"/>
        </w:rPr>
        <w:t> </w:t>
      </w:r>
      <w:r>
        <w:rPr/>
        <w:t>to</w:t>
      </w:r>
      <w:r>
        <w:rPr>
          <w:spacing w:val="-8"/>
        </w:rPr>
        <w:t> </w:t>
      </w:r>
      <w:r>
        <w:rPr/>
        <w:t>what</w:t>
      </w:r>
      <w:r>
        <w:rPr>
          <w:spacing w:val="-7"/>
        </w:rPr>
        <w:t> </w:t>
      </w:r>
      <w:r>
        <w:rPr/>
        <w:t>was</w:t>
      </w:r>
      <w:r>
        <w:rPr>
          <w:spacing w:val="-8"/>
        </w:rPr>
        <w:t> </w:t>
      </w:r>
      <w:r>
        <w:rPr/>
        <w:t>discussed</w:t>
      </w:r>
      <w:r>
        <w:rPr>
          <w:spacing w:val="-8"/>
        </w:rPr>
        <w:t> </w:t>
      </w:r>
      <w:r>
        <w:rPr/>
        <w:t>above</w:t>
      </w:r>
      <w:r>
        <w:rPr>
          <w:spacing w:val="-7"/>
        </w:rPr>
        <w:t> </w:t>
      </w:r>
      <w:r>
        <w:rPr/>
        <w:t>in</w:t>
      </w:r>
      <w:r>
        <w:rPr>
          <w:spacing w:val="-8"/>
        </w:rPr>
        <w:t> </w:t>
      </w:r>
      <w:r>
        <w:rPr/>
        <w:t>detail</w:t>
      </w:r>
      <w:r>
        <w:rPr>
          <w:spacing w:val="-8"/>
        </w:rPr>
        <w:t> </w:t>
      </w:r>
      <w:r>
        <w:rPr/>
        <w:t>in</w:t>
      </w:r>
      <w:r>
        <w:rPr>
          <w:spacing w:val="-8"/>
        </w:rPr>
        <w:t> </w:t>
      </w:r>
      <w:r>
        <w:rPr>
          <w:i/>
        </w:rPr>
        <w:t>EB</w:t>
      </w:r>
      <w:r>
        <w:rPr>
          <w:i/>
          <w:spacing w:val="-7"/>
        </w:rPr>
        <w:t> </w:t>
      </w:r>
      <w:r>
        <w:rPr>
          <w:i/>
        </w:rPr>
        <w:t>v</w:t>
      </w:r>
      <w:r>
        <w:rPr>
          <w:i/>
          <w:spacing w:val="-7"/>
        </w:rPr>
        <w:t> </w:t>
      </w:r>
      <w:r>
        <w:rPr>
          <w:i/>
        </w:rPr>
        <w:t>BVAEB</w:t>
      </w:r>
      <w:r>
        <w:rPr>
          <w:vertAlign w:val="superscript"/>
        </w:rPr>
        <w:t>669</w:t>
      </w:r>
      <w:r>
        <w:rPr>
          <w:spacing w:val="-8"/>
          <w:vertAlign w:val="baseline"/>
        </w:rPr>
        <w:t> </w:t>
      </w:r>
      <w:r>
        <w:rPr>
          <w:vertAlign w:val="baseline"/>
        </w:rPr>
        <w:t>under Directive 2004/113/EC, a significant question before the Court was the use of</w:t>
      </w:r>
    </w:p>
    <w:p>
      <w:pPr>
        <w:pStyle w:val="BodyText"/>
        <w:spacing w:line="329" w:lineRule="exact"/>
        <w:ind w:left="1117"/>
        <w:jc w:val="both"/>
      </w:pPr>
      <w:r>
        <w:rPr/>
        <w:t>statistical</w:t>
      </w:r>
      <w:r>
        <w:rPr>
          <w:spacing w:val="-8"/>
        </w:rPr>
        <w:t> </w:t>
      </w:r>
      <w:r>
        <w:rPr/>
        <w:t>data</w:t>
      </w:r>
      <w:r>
        <w:rPr>
          <w:spacing w:val="-7"/>
        </w:rPr>
        <w:t> </w:t>
      </w:r>
      <w:r>
        <w:rPr/>
        <w:t>in</w:t>
      </w:r>
      <w:r>
        <w:rPr>
          <w:spacing w:val="-7"/>
        </w:rPr>
        <w:t> </w:t>
      </w:r>
      <w:r>
        <w:rPr/>
        <w:t>determining</w:t>
      </w:r>
      <w:r>
        <w:rPr>
          <w:spacing w:val="-7"/>
        </w:rPr>
        <w:t> </w:t>
      </w:r>
      <w:r>
        <w:rPr/>
        <w:t>indirect</w:t>
      </w:r>
      <w:r>
        <w:rPr>
          <w:spacing w:val="-6"/>
        </w:rPr>
        <w:t> </w:t>
      </w:r>
      <w:r>
        <w:rPr/>
        <w:t>discrimination</w:t>
      </w:r>
      <w:r>
        <w:rPr>
          <w:spacing w:val="-7"/>
        </w:rPr>
        <w:t> </w:t>
      </w:r>
      <w:r>
        <w:rPr/>
        <w:t>within</w:t>
      </w:r>
      <w:r>
        <w:rPr>
          <w:spacing w:val="-7"/>
        </w:rPr>
        <w:t> </w:t>
      </w:r>
      <w:r>
        <w:rPr/>
        <w:t>the</w:t>
      </w:r>
      <w:r>
        <w:rPr>
          <w:spacing w:val="-7"/>
        </w:rPr>
        <w:t> </w:t>
      </w:r>
      <w:r>
        <w:rPr/>
        <w:t>scope</w:t>
      </w:r>
      <w:r>
        <w:rPr>
          <w:spacing w:val="-6"/>
        </w:rPr>
        <w:t> </w:t>
      </w:r>
      <w:r>
        <w:rPr/>
        <w:t>of</w:t>
      </w:r>
      <w:r>
        <w:rPr>
          <w:spacing w:val="-7"/>
        </w:rPr>
        <w:t> </w:t>
      </w:r>
      <w:r>
        <w:rPr>
          <w:spacing w:val="-2"/>
        </w:rPr>
        <w:t>pensions.</w:t>
      </w:r>
    </w:p>
    <w:p>
      <w:pPr>
        <w:pStyle w:val="BodyText"/>
        <w:spacing w:line="232" w:lineRule="auto" w:before="280"/>
        <w:ind w:left="1117" w:right="1087"/>
      </w:pPr>
      <w:r>
        <w:rPr/>
        <w:t>The Court ultimately held that the possibility of adverse impact on women was sufficient to render it incompatible with the provisions set forth in Directive 79/7.</w:t>
      </w:r>
      <w:r>
        <w:rPr>
          <w:spacing w:val="-7"/>
        </w:rPr>
        <w:t> </w:t>
      </w:r>
      <w:r>
        <w:rPr/>
        <w:t>Whilst</w:t>
      </w:r>
      <w:r>
        <w:rPr>
          <w:spacing w:val="-6"/>
        </w:rPr>
        <w:t> </w:t>
      </w:r>
      <w:r>
        <w:rPr/>
        <w:t>no</w:t>
      </w:r>
      <w:r>
        <w:rPr>
          <w:spacing w:val="-7"/>
        </w:rPr>
        <w:t> </w:t>
      </w:r>
      <w:r>
        <w:rPr/>
        <w:t>immediate</w:t>
      </w:r>
      <w:r>
        <w:rPr>
          <w:spacing w:val="-6"/>
        </w:rPr>
        <w:t> </w:t>
      </w:r>
      <w:r>
        <w:rPr/>
        <w:t>change</w:t>
      </w:r>
      <w:r>
        <w:rPr>
          <w:spacing w:val="-6"/>
        </w:rPr>
        <w:t> </w:t>
      </w:r>
      <w:r>
        <w:rPr/>
        <w:t>is</w:t>
      </w:r>
      <w:r>
        <w:rPr>
          <w:spacing w:val="-7"/>
        </w:rPr>
        <w:t> </w:t>
      </w:r>
      <w:r>
        <w:rPr/>
        <w:t>required</w:t>
      </w:r>
      <w:r>
        <w:rPr>
          <w:spacing w:val="-7"/>
        </w:rPr>
        <w:t> </w:t>
      </w:r>
      <w:r>
        <w:rPr/>
        <w:t>to</w:t>
      </w:r>
      <w:r>
        <w:rPr>
          <w:spacing w:val="-7"/>
        </w:rPr>
        <w:t> </w:t>
      </w:r>
      <w:r>
        <w:rPr/>
        <w:t>NI</w:t>
      </w:r>
      <w:r>
        <w:rPr>
          <w:spacing w:val="-6"/>
        </w:rPr>
        <w:t> </w:t>
      </w:r>
      <w:r>
        <w:rPr/>
        <w:t>law,</w:t>
      </w:r>
      <w:r>
        <w:rPr>
          <w:spacing w:val="-6"/>
        </w:rPr>
        <w:t> </w:t>
      </w:r>
      <w:r>
        <w:rPr/>
        <w:t>it</w:t>
      </w:r>
      <w:r>
        <w:rPr>
          <w:spacing w:val="-6"/>
        </w:rPr>
        <w:t> </w:t>
      </w:r>
      <w:r>
        <w:rPr/>
        <w:t>is</w:t>
      </w:r>
      <w:r>
        <w:rPr>
          <w:spacing w:val="-7"/>
        </w:rPr>
        <w:t> </w:t>
      </w:r>
      <w:r>
        <w:rPr/>
        <w:t>worth</w:t>
      </w:r>
      <w:r>
        <w:rPr>
          <w:spacing w:val="-7"/>
        </w:rPr>
        <w:t> </w:t>
      </w:r>
      <w:r>
        <w:rPr/>
        <w:t>tracking</w:t>
      </w:r>
      <w:r>
        <w:rPr>
          <w:spacing w:val="-6"/>
        </w:rPr>
        <w:t> </w:t>
      </w:r>
      <w:r>
        <w:rPr/>
        <w:t>such developments on whether the CJEU will continue to develop its case law on the</w:t>
      </w:r>
    </w:p>
    <w:p>
      <w:pPr>
        <w:pStyle w:val="BodyText"/>
        <w:spacing w:line="232" w:lineRule="auto"/>
        <w:ind w:left="1117" w:right="738"/>
      </w:pPr>
      <w:r>
        <w:rPr/>
        <w:t>statistical</w:t>
      </w:r>
      <w:r>
        <w:rPr>
          <w:spacing w:val="-9"/>
        </w:rPr>
        <w:t> </w:t>
      </w:r>
      <w:r>
        <w:rPr/>
        <w:t>data</w:t>
      </w:r>
      <w:r>
        <w:rPr>
          <w:spacing w:val="-9"/>
        </w:rPr>
        <w:t> </w:t>
      </w:r>
      <w:r>
        <w:rPr/>
        <w:t>used</w:t>
      </w:r>
      <w:r>
        <w:rPr>
          <w:spacing w:val="-9"/>
        </w:rPr>
        <w:t> </w:t>
      </w:r>
      <w:r>
        <w:rPr/>
        <w:t>to</w:t>
      </w:r>
      <w:r>
        <w:rPr>
          <w:spacing w:val="-9"/>
        </w:rPr>
        <w:t> </w:t>
      </w:r>
      <w:r>
        <w:rPr/>
        <w:t>inform</w:t>
      </w:r>
      <w:r>
        <w:rPr>
          <w:spacing w:val="-9"/>
        </w:rPr>
        <w:t> </w:t>
      </w:r>
      <w:r>
        <w:rPr/>
        <w:t>questions</w:t>
      </w:r>
      <w:r>
        <w:rPr>
          <w:spacing w:val="-9"/>
        </w:rPr>
        <w:t> </w:t>
      </w:r>
      <w:r>
        <w:rPr/>
        <w:t>of</w:t>
      </w:r>
      <w:r>
        <w:rPr>
          <w:spacing w:val="-9"/>
        </w:rPr>
        <w:t> </w:t>
      </w:r>
      <w:r>
        <w:rPr/>
        <w:t>indirect</w:t>
      </w:r>
      <w:r>
        <w:rPr>
          <w:spacing w:val="-9"/>
        </w:rPr>
        <w:t> </w:t>
      </w:r>
      <w:r>
        <w:rPr/>
        <w:t>discrimination</w:t>
      </w:r>
      <w:r>
        <w:rPr>
          <w:spacing w:val="-9"/>
        </w:rPr>
        <w:t> </w:t>
      </w:r>
      <w:r>
        <w:rPr/>
        <w:t>cases,</w:t>
      </w:r>
      <w:r>
        <w:rPr>
          <w:spacing w:val="-9"/>
        </w:rPr>
        <w:t> </w:t>
      </w:r>
      <w:r>
        <w:rPr/>
        <w:t>specifically those within the social security realm.</w:t>
      </w:r>
    </w:p>
    <w:p>
      <w:pPr>
        <w:pStyle w:val="BodyText"/>
        <w:spacing w:before="10"/>
      </w:pPr>
    </w:p>
    <w:p>
      <w:pPr>
        <w:pStyle w:val="Heading2"/>
        <w:numPr>
          <w:ilvl w:val="1"/>
          <w:numId w:val="52"/>
        </w:numPr>
        <w:tabs>
          <w:tab w:pos="1599" w:val="left" w:leader="none"/>
        </w:tabs>
        <w:spacing w:line="240" w:lineRule="auto" w:before="0" w:after="0"/>
        <w:ind w:left="1599" w:right="0" w:hanging="482"/>
        <w:jc w:val="left"/>
      </w:pPr>
      <w:r>
        <w:rPr>
          <w:color w:val="004A93"/>
          <w:spacing w:val="-2"/>
        </w:rPr>
        <w:t>Conclusion</w:t>
      </w:r>
    </w:p>
    <w:p>
      <w:pPr>
        <w:pStyle w:val="BodyText"/>
        <w:spacing w:before="9"/>
        <w:rPr>
          <w:b/>
          <w:sz w:val="5"/>
        </w:rPr>
      </w:pPr>
      <w:r>
        <w:rPr/>
        <mc:AlternateContent>
          <mc:Choice Requires="wps">
            <w:drawing>
              <wp:anchor distT="0" distB="0" distL="0" distR="0" allowOverlap="1" layoutInCell="1" locked="0" behindDoc="1" simplePos="0" relativeHeight="487792640">
                <wp:simplePos x="0" y="0"/>
                <wp:positionH relativeFrom="page">
                  <wp:posOffset>899999</wp:posOffset>
                </wp:positionH>
                <wp:positionV relativeFrom="paragraph">
                  <wp:posOffset>59839</wp:posOffset>
                </wp:positionV>
                <wp:extent cx="6012180" cy="1270"/>
                <wp:effectExtent l="0" t="0" r="0" b="0"/>
                <wp:wrapTopAndBottom/>
                <wp:docPr id="1074" name="Graphic 1074"/>
                <wp:cNvGraphicFramePr>
                  <a:graphicFrameLocks/>
                </wp:cNvGraphicFramePr>
                <a:graphic>
                  <a:graphicData uri="http://schemas.microsoft.com/office/word/2010/wordprocessingShape">
                    <wps:wsp>
                      <wps:cNvPr id="1074" name="Graphic 1074"/>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711781pt;width:473.4pt;height:.1pt;mso-position-horizontal-relative:page;mso-position-vertical-relative:paragraph;z-index:-15523840;mso-wrap-distance-left:0;mso-wrap-distance-right:0" id="docshape886" coordorigin="1417,94" coordsize="9468,0" path="m1417,94l10885,94e" filled="false" stroked="true" strokeweight="1pt" strokecolor="#36a9e1">
                <v:path arrowok="t"/>
                <v:stroke dashstyle="solid"/>
                <w10:wrap type="topAndBottom"/>
              </v:shape>
            </w:pict>
          </mc:Fallback>
        </mc:AlternateContent>
      </w:r>
    </w:p>
    <w:p>
      <w:pPr>
        <w:pStyle w:val="BodyText"/>
        <w:spacing w:line="232" w:lineRule="auto" w:before="108"/>
        <w:ind w:left="1117" w:right="888"/>
      </w:pPr>
      <w:r>
        <w:rPr/>
        <w:t>There remains a theme of quantitative decline in the number CJEU cases on equality</w:t>
      </w:r>
      <w:r>
        <w:rPr>
          <w:spacing w:val="-6"/>
        </w:rPr>
        <w:t> </w:t>
      </w:r>
      <w:r>
        <w:rPr/>
        <w:t>and</w:t>
      </w:r>
      <w:r>
        <w:rPr>
          <w:spacing w:val="-7"/>
        </w:rPr>
        <w:t> </w:t>
      </w:r>
      <w:r>
        <w:rPr/>
        <w:t>non-discrimination</w:t>
      </w:r>
      <w:r>
        <w:rPr>
          <w:spacing w:val="-7"/>
        </w:rPr>
        <w:t> </w:t>
      </w:r>
      <w:r>
        <w:rPr/>
        <w:t>which</w:t>
      </w:r>
      <w:r>
        <w:rPr>
          <w:spacing w:val="-7"/>
        </w:rPr>
        <w:t> </w:t>
      </w:r>
      <w:r>
        <w:rPr/>
        <w:t>has</w:t>
      </w:r>
      <w:r>
        <w:rPr>
          <w:spacing w:val="-7"/>
        </w:rPr>
        <w:t> </w:t>
      </w:r>
      <w:r>
        <w:rPr/>
        <w:t>been</w:t>
      </w:r>
      <w:r>
        <w:rPr>
          <w:spacing w:val="-7"/>
        </w:rPr>
        <w:t> </w:t>
      </w:r>
      <w:r>
        <w:rPr/>
        <w:t>generally</w:t>
      </w:r>
      <w:r>
        <w:rPr>
          <w:spacing w:val="-6"/>
        </w:rPr>
        <w:t> </w:t>
      </w:r>
      <w:r>
        <w:rPr/>
        <w:t>noted</w:t>
      </w:r>
      <w:r>
        <w:rPr>
          <w:spacing w:val="-7"/>
        </w:rPr>
        <w:t> </w:t>
      </w:r>
      <w:r>
        <w:rPr/>
        <w:t>amongst</w:t>
      </w:r>
      <w:r>
        <w:rPr>
          <w:spacing w:val="-6"/>
        </w:rPr>
        <w:t> </w:t>
      </w:r>
      <w:r>
        <w:rPr/>
        <w:t>pivotal academics within the field.</w:t>
      </w:r>
      <w:r>
        <w:rPr>
          <w:vertAlign w:val="superscript"/>
        </w:rPr>
        <w:t>670</w:t>
      </w:r>
      <w:r>
        <w:rPr>
          <w:vertAlign w:val="baseline"/>
        </w:rPr>
        <w:t> That theme remains true within the scope of this update report, with the predominant rulings specifically looking at Directive 2000/78/EC. The most substantive updates have taken place also within the thematic area of employment, pensions and social security and with a specific focus in the recent case law on age discrimination.</w:t>
      </w:r>
    </w:p>
    <w:p>
      <w:pPr>
        <w:pStyle w:val="BodyText"/>
        <w:spacing w:line="232" w:lineRule="auto" w:before="272"/>
        <w:ind w:left="1117" w:right="1087"/>
      </w:pPr>
      <w:r>
        <w:rPr>
          <w:i/>
        </w:rPr>
        <w:t>EB</w:t>
      </w:r>
      <w:r>
        <w:rPr>
          <w:i/>
          <w:spacing w:val="-11"/>
        </w:rPr>
        <w:t> </w:t>
      </w:r>
      <w:r>
        <w:rPr>
          <w:i/>
        </w:rPr>
        <w:t>v</w:t>
      </w:r>
      <w:r>
        <w:rPr>
          <w:i/>
          <w:spacing w:val="-11"/>
        </w:rPr>
        <w:t> </w:t>
      </w:r>
      <w:r>
        <w:rPr>
          <w:i/>
        </w:rPr>
        <w:t>BVAEB</w:t>
      </w:r>
      <w:r>
        <w:rPr>
          <w:vertAlign w:val="superscript"/>
        </w:rPr>
        <w:t>671</w:t>
      </w:r>
      <w:r>
        <w:rPr>
          <w:spacing w:val="-11"/>
          <w:vertAlign w:val="baseline"/>
        </w:rPr>
        <w:t> </w:t>
      </w:r>
      <w:r>
        <w:rPr>
          <w:vertAlign w:val="baseline"/>
        </w:rPr>
        <w:t>concerned</w:t>
      </w:r>
      <w:r>
        <w:rPr>
          <w:spacing w:val="-11"/>
          <w:vertAlign w:val="baseline"/>
        </w:rPr>
        <w:t> </w:t>
      </w:r>
      <w:r>
        <w:rPr>
          <w:vertAlign w:val="baseline"/>
        </w:rPr>
        <w:t>an</w:t>
      </w:r>
      <w:r>
        <w:rPr>
          <w:spacing w:val="-11"/>
          <w:vertAlign w:val="baseline"/>
        </w:rPr>
        <w:t> </w:t>
      </w:r>
      <w:r>
        <w:rPr>
          <w:vertAlign w:val="baseline"/>
        </w:rPr>
        <w:t>Austrian</w:t>
      </w:r>
      <w:r>
        <w:rPr>
          <w:spacing w:val="-11"/>
          <w:vertAlign w:val="baseline"/>
        </w:rPr>
        <w:t> </w:t>
      </w:r>
      <w:r>
        <w:rPr>
          <w:vertAlign w:val="baseline"/>
        </w:rPr>
        <w:t>law</w:t>
      </w:r>
      <w:r>
        <w:rPr>
          <w:spacing w:val="-11"/>
          <w:vertAlign w:val="baseline"/>
        </w:rPr>
        <w:t> </w:t>
      </w:r>
      <w:r>
        <w:rPr>
          <w:vertAlign w:val="baseline"/>
        </w:rPr>
        <w:t>capping</w:t>
      </w:r>
      <w:r>
        <w:rPr>
          <w:spacing w:val="-11"/>
          <w:vertAlign w:val="baseline"/>
        </w:rPr>
        <w:t> </w:t>
      </w:r>
      <w:r>
        <w:rPr>
          <w:vertAlign w:val="baseline"/>
        </w:rPr>
        <w:t>inflationary</w:t>
      </w:r>
      <w:r>
        <w:rPr>
          <w:spacing w:val="-11"/>
          <w:vertAlign w:val="baseline"/>
        </w:rPr>
        <w:t> </w:t>
      </w:r>
      <w:r>
        <w:rPr>
          <w:vertAlign w:val="baseline"/>
        </w:rPr>
        <w:t>adjustments</w:t>
      </w:r>
      <w:r>
        <w:rPr>
          <w:spacing w:val="-11"/>
          <w:vertAlign w:val="baseline"/>
        </w:rPr>
        <w:t> </w:t>
      </w:r>
      <w:r>
        <w:rPr>
          <w:vertAlign w:val="baseline"/>
        </w:rPr>
        <w:t>for high earners; this disproportionately affected men who brought an indirect</w:t>
      </w:r>
    </w:p>
    <w:p>
      <w:pPr>
        <w:pStyle w:val="BodyText"/>
        <w:spacing w:line="232" w:lineRule="auto"/>
        <w:ind w:left="1117" w:right="738"/>
      </w:pPr>
      <w:r>
        <w:rPr/>
        <w:t>discrimination</w:t>
      </w:r>
      <w:r>
        <w:rPr>
          <w:spacing w:val="-5"/>
        </w:rPr>
        <w:t> </w:t>
      </w:r>
      <w:r>
        <w:rPr/>
        <w:t>claim.</w:t>
      </w:r>
      <w:r>
        <w:rPr>
          <w:spacing w:val="-5"/>
        </w:rPr>
        <w:t> </w:t>
      </w:r>
      <w:r>
        <w:rPr/>
        <w:t>The</w:t>
      </w:r>
      <w:r>
        <w:rPr>
          <w:spacing w:val="-4"/>
        </w:rPr>
        <w:t> </w:t>
      </w:r>
      <w:r>
        <w:rPr/>
        <w:t>Court</w:t>
      </w:r>
      <w:r>
        <w:rPr>
          <w:spacing w:val="-4"/>
        </w:rPr>
        <w:t> </w:t>
      </w:r>
      <w:r>
        <w:rPr/>
        <w:t>ultimately</w:t>
      </w:r>
      <w:r>
        <w:rPr>
          <w:spacing w:val="-4"/>
        </w:rPr>
        <w:t> </w:t>
      </w:r>
      <w:r>
        <w:rPr/>
        <w:t>rejects</w:t>
      </w:r>
      <w:r>
        <w:rPr>
          <w:spacing w:val="-5"/>
        </w:rPr>
        <w:t> </w:t>
      </w:r>
      <w:r>
        <w:rPr/>
        <w:t>the</w:t>
      </w:r>
      <w:r>
        <w:rPr>
          <w:spacing w:val="-4"/>
        </w:rPr>
        <w:t> </w:t>
      </w:r>
      <w:r>
        <w:rPr/>
        <w:t>claim.</w:t>
      </w:r>
      <w:r>
        <w:rPr>
          <w:spacing w:val="-5"/>
        </w:rPr>
        <w:t> </w:t>
      </w:r>
      <w:r>
        <w:rPr/>
        <w:t>In</w:t>
      </w:r>
      <w:r>
        <w:rPr>
          <w:spacing w:val="-5"/>
        </w:rPr>
        <w:t> </w:t>
      </w:r>
      <w:r>
        <w:rPr/>
        <w:t>so</w:t>
      </w:r>
      <w:r>
        <w:rPr>
          <w:spacing w:val="-5"/>
        </w:rPr>
        <w:t> </w:t>
      </w:r>
      <w:r>
        <w:rPr/>
        <w:t>doing</w:t>
      </w:r>
      <w:r>
        <w:rPr>
          <w:spacing w:val="-4"/>
        </w:rPr>
        <w:t> </w:t>
      </w:r>
      <w:r>
        <w:rPr/>
        <w:t>it</w:t>
      </w:r>
      <w:r>
        <w:rPr>
          <w:spacing w:val="-4"/>
        </w:rPr>
        <w:t> </w:t>
      </w:r>
      <w:r>
        <w:rPr/>
        <w:t>highlights the importance of social justice arguments as a justification for restriction of the benefits. It scrutinises the justification closely and appears willing to accept there</w:t>
      </w:r>
    </w:p>
    <w:p>
      <w:pPr>
        <w:pStyle w:val="BodyText"/>
        <w:spacing w:line="232" w:lineRule="auto"/>
        <w:ind w:left="1117" w:right="856"/>
      </w:pPr>
      <w:r>
        <w:rPr/>
        <w:t>is prima facie indirect discrimination on the basis of relatively simple statistical evidence.</w:t>
      </w:r>
      <w:r>
        <w:rPr>
          <w:spacing w:val="-6"/>
        </w:rPr>
        <w:t> </w:t>
      </w:r>
      <w:r>
        <w:rPr/>
        <w:t>Importantly</w:t>
      </w:r>
      <w:r>
        <w:rPr>
          <w:spacing w:val="-5"/>
        </w:rPr>
        <w:t> </w:t>
      </w:r>
      <w:r>
        <w:rPr/>
        <w:t>if</w:t>
      </w:r>
      <w:r>
        <w:rPr>
          <w:spacing w:val="-6"/>
        </w:rPr>
        <w:t> </w:t>
      </w:r>
      <w:r>
        <w:rPr/>
        <w:t>only</w:t>
      </w:r>
      <w:r>
        <w:rPr>
          <w:spacing w:val="-5"/>
        </w:rPr>
        <w:t> </w:t>
      </w:r>
      <w:r>
        <w:rPr/>
        <w:t>implicitly</w:t>
      </w:r>
      <w:r>
        <w:rPr>
          <w:spacing w:val="-5"/>
        </w:rPr>
        <w:t> </w:t>
      </w:r>
      <w:r>
        <w:rPr/>
        <w:t>the</w:t>
      </w:r>
      <w:r>
        <w:rPr>
          <w:spacing w:val="-5"/>
        </w:rPr>
        <w:t> </w:t>
      </w:r>
      <w:r>
        <w:rPr/>
        <w:t>Court</w:t>
      </w:r>
      <w:r>
        <w:rPr>
          <w:spacing w:val="-5"/>
        </w:rPr>
        <w:t> </w:t>
      </w:r>
      <w:r>
        <w:rPr/>
        <w:t>seems</w:t>
      </w:r>
      <w:r>
        <w:rPr>
          <w:spacing w:val="-6"/>
        </w:rPr>
        <w:t> </w:t>
      </w:r>
      <w:r>
        <w:rPr/>
        <w:t>open</w:t>
      </w:r>
      <w:r>
        <w:rPr>
          <w:spacing w:val="-6"/>
        </w:rPr>
        <w:t> </w:t>
      </w:r>
      <w:r>
        <w:rPr/>
        <w:t>to</w:t>
      </w:r>
      <w:r>
        <w:rPr>
          <w:spacing w:val="-6"/>
        </w:rPr>
        <w:t> </w:t>
      </w:r>
      <w:r>
        <w:rPr/>
        <w:t>a</w:t>
      </w:r>
      <w:r>
        <w:rPr>
          <w:spacing w:val="-6"/>
        </w:rPr>
        <w:t> </w:t>
      </w:r>
      <w:r>
        <w:rPr/>
        <w:t>more</w:t>
      </w:r>
      <w:r>
        <w:rPr>
          <w:spacing w:val="-5"/>
        </w:rPr>
        <w:t> </w:t>
      </w:r>
      <w:r>
        <w:rPr/>
        <w:t>contextual approach, recognising that part of the justification for the Austrian measure is the long-standing inequality experienced by women as regards pay.</w:t>
      </w:r>
    </w:p>
    <w:p>
      <w:pPr>
        <w:pStyle w:val="BodyText"/>
        <w:spacing w:line="232" w:lineRule="auto" w:before="270"/>
        <w:ind w:left="1117" w:right="1087"/>
      </w:pPr>
      <w:r>
        <w:rPr>
          <w:i/>
        </w:rPr>
        <w:t>J.K. v TP S.A</w:t>
      </w:r>
      <w:r>
        <w:rPr>
          <w:vertAlign w:val="superscript"/>
        </w:rPr>
        <w:t>672</w:t>
      </w:r>
      <w:r>
        <w:rPr>
          <w:vertAlign w:val="baseline"/>
        </w:rPr>
        <w:t> clarifies the personal and material scope of the prohibition on sexual</w:t>
      </w:r>
      <w:r>
        <w:rPr>
          <w:spacing w:val="-8"/>
          <w:vertAlign w:val="baseline"/>
        </w:rPr>
        <w:t> </w:t>
      </w:r>
      <w:r>
        <w:rPr>
          <w:vertAlign w:val="baseline"/>
        </w:rPr>
        <w:t>orientation</w:t>
      </w:r>
      <w:r>
        <w:rPr>
          <w:spacing w:val="-8"/>
          <w:vertAlign w:val="baseline"/>
        </w:rPr>
        <w:t> </w:t>
      </w:r>
      <w:r>
        <w:rPr>
          <w:vertAlign w:val="baseline"/>
        </w:rPr>
        <w:t>discrimination.</w:t>
      </w:r>
      <w:r>
        <w:rPr>
          <w:spacing w:val="-8"/>
          <w:vertAlign w:val="baseline"/>
        </w:rPr>
        <w:t> </w:t>
      </w:r>
      <w:r>
        <w:rPr>
          <w:vertAlign w:val="baseline"/>
        </w:rPr>
        <w:t>It</w:t>
      </w:r>
      <w:r>
        <w:rPr>
          <w:spacing w:val="-7"/>
          <w:vertAlign w:val="baseline"/>
        </w:rPr>
        <w:t> </w:t>
      </w:r>
      <w:r>
        <w:rPr>
          <w:vertAlign w:val="baseline"/>
        </w:rPr>
        <w:t>specifies</w:t>
      </w:r>
      <w:r>
        <w:rPr>
          <w:spacing w:val="-8"/>
          <w:vertAlign w:val="baseline"/>
        </w:rPr>
        <w:t> </w:t>
      </w:r>
      <w:r>
        <w:rPr>
          <w:vertAlign w:val="baseline"/>
        </w:rPr>
        <w:t>that</w:t>
      </w:r>
      <w:r>
        <w:rPr>
          <w:spacing w:val="-7"/>
          <w:vertAlign w:val="baseline"/>
        </w:rPr>
        <w:t> </w:t>
      </w:r>
      <w:r>
        <w:rPr>
          <w:vertAlign w:val="baseline"/>
        </w:rPr>
        <w:t>the</w:t>
      </w:r>
      <w:r>
        <w:rPr>
          <w:spacing w:val="-7"/>
          <w:vertAlign w:val="baseline"/>
        </w:rPr>
        <w:t> </w:t>
      </w:r>
      <w:r>
        <w:rPr>
          <w:vertAlign w:val="baseline"/>
        </w:rPr>
        <w:t>prohibition</w:t>
      </w:r>
      <w:r>
        <w:rPr>
          <w:spacing w:val="-8"/>
          <w:vertAlign w:val="baseline"/>
        </w:rPr>
        <w:t> </w:t>
      </w:r>
      <w:r>
        <w:rPr>
          <w:vertAlign w:val="baseline"/>
        </w:rPr>
        <w:t>applies</w:t>
      </w:r>
      <w:r>
        <w:rPr>
          <w:spacing w:val="-8"/>
          <w:vertAlign w:val="baseline"/>
        </w:rPr>
        <w:t> </w:t>
      </w:r>
      <w:r>
        <w:rPr>
          <w:vertAlign w:val="baseline"/>
        </w:rPr>
        <w:t>to</w:t>
      </w:r>
      <w:r>
        <w:rPr>
          <w:spacing w:val="-8"/>
          <w:vertAlign w:val="baseline"/>
        </w:rPr>
        <w:t> </w:t>
      </w:r>
      <w:r>
        <w:rPr>
          <w:vertAlign w:val="baseline"/>
        </w:rPr>
        <w:t>self-</w:t>
      </w:r>
    </w:p>
    <w:p>
      <w:pPr>
        <w:pStyle w:val="BodyText"/>
        <w:spacing w:line="232" w:lineRule="auto"/>
        <w:ind w:left="1117" w:right="738"/>
      </w:pPr>
      <w:r>
        <w:rPr/>
        <w:t>employer</w:t>
      </w:r>
      <w:r>
        <w:rPr>
          <w:spacing w:val="-7"/>
        </w:rPr>
        <w:t> </w:t>
      </w:r>
      <w:r>
        <w:rPr/>
        <w:t>workers</w:t>
      </w:r>
      <w:r>
        <w:rPr>
          <w:spacing w:val="-8"/>
        </w:rPr>
        <w:t> </w:t>
      </w:r>
      <w:r>
        <w:rPr/>
        <w:t>in</w:t>
      </w:r>
      <w:r>
        <w:rPr>
          <w:spacing w:val="-8"/>
        </w:rPr>
        <w:t> </w:t>
      </w:r>
      <w:r>
        <w:rPr/>
        <w:t>the</w:t>
      </w:r>
      <w:r>
        <w:rPr>
          <w:spacing w:val="-7"/>
        </w:rPr>
        <w:t> </w:t>
      </w:r>
      <w:r>
        <w:rPr/>
        <w:t>context</w:t>
      </w:r>
      <w:r>
        <w:rPr>
          <w:spacing w:val="-7"/>
        </w:rPr>
        <w:t> </w:t>
      </w:r>
      <w:r>
        <w:rPr/>
        <w:t>of</w:t>
      </w:r>
      <w:r>
        <w:rPr>
          <w:spacing w:val="-8"/>
        </w:rPr>
        <w:t> </w:t>
      </w:r>
      <w:r>
        <w:rPr/>
        <w:t>a</w:t>
      </w:r>
      <w:r>
        <w:rPr>
          <w:spacing w:val="-8"/>
        </w:rPr>
        <w:t> </w:t>
      </w:r>
      <w:r>
        <w:rPr/>
        <w:t>legal</w:t>
      </w:r>
      <w:r>
        <w:rPr>
          <w:spacing w:val="-8"/>
        </w:rPr>
        <w:t> </w:t>
      </w:r>
      <w:r>
        <w:rPr/>
        <w:t>relationship</w:t>
      </w:r>
      <w:r>
        <w:rPr>
          <w:spacing w:val="-8"/>
        </w:rPr>
        <w:t> </w:t>
      </w:r>
      <w:r>
        <w:rPr/>
        <w:t>characterised</w:t>
      </w:r>
      <w:r>
        <w:rPr>
          <w:spacing w:val="-8"/>
        </w:rPr>
        <w:t> </w:t>
      </w:r>
      <w:r>
        <w:rPr/>
        <w:t>by</w:t>
      </w:r>
      <w:r>
        <w:rPr>
          <w:spacing w:val="-7"/>
        </w:rPr>
        <w:t> </w:t>
      </w:r>
      <w:r>
        <w:rPr/>
        <w:t>a</w:t>
      </w:r>
      <w:r>
        <w:rPr>
          <w:spacing w:val="-8"/>
        </w:rPr>
        <w:t> </w:t>
      </w:r>
      <w:r>
        <w:rPr/>
        <w:t>degree</w:t>
      </w:r>
      <w:r>
        <w:rPr>
          <w:spacing w:val="-7"/>
        </w:rPr>
        <w:t> </w:t>
      </w:r>
      <w:r>
        <w:rPr/>
        <w:t>of stability.</w:t>
      </w:r>
      <w:r>
        <w:rPr>
          <w:spacing w:val="-3"/>
        </w:rPr>
        <w:t> </w:t>
      </w:r>
      <w:r>
        <w:rPr/>
        <w:t>It</w:t>
      </w:r>
      <w:r>
        <w:rPr>
          <w:spacing w:val="-2"/>
        </w:rPr>
        <w:t> </w:t>
      </w:r>
      <w:r>
        <w:rPr/>
        <w:t>also</w:t>
      </w:r>
      <w:r>
        <w:rPr>
          <w:spacing w:val="-3"/>
        </w:rPr>
        <w:t> </w:t>
      </w:r>
      <w:r>
        <w:rPr/>
        <w:t>clarifies</w:t>
      </w:r>
      <w:r>
        <w:rPr>
          <w:spacing w:val="-3"/>
        </w:rPr>
        <w:t> </w:t>
      </w:r>
      <w:r>
        <w:rPr/>
        <w:t>that</w:t>
      </w:r>
      <w:r>
        <w:rPr>
          <w:spacing w:val="-2"/>
        </w:rPr>
        <w:t> </w:t>
      </w:r>
      <w:r>
        <w:rPr/>
        <w:t>freedom</w:t>
      </w:r>
      <w:r>
        <w:rPr>
          <w:spacing w:val="-2"/>
        </w:rPr>
        <w:t> </w:t>
      </w:r>
      <w:r>
        <w:rPr/>
        <w:t>of</w:t>
      </w:r>
      <w:r>
        <w:rPr>
          <w:spacing w:val="-3"/>
        </w:rPr>
        <w:t> </w:t>
      </w:r>
      <w:r>
        <w:rPr/>
        <w:t>contract</w:t>
      </w:r>
      <w:r>
        <w:rPr>
          <w:spacing w:val="-2"/>
        </w:rPr>
        <w:t> </w:t>
      </w:r>
      <w:r>
        <w:rPr/>
        <w:t>cannot</w:t>
      </w:r>
      <w:r>
        <w:rPr>
          <w:spacing w:val="-2"/>
        </w:rPr>
        <w:t> </w:t>
      </w:r>
      <w:r>
        <w:rPr/>
        <w:t>be</w:t>
      </w:r>
      <w:r>
        <w:rPr>
          <w:spacing w:val="-2"/>
        </w:rPr>
        <w:t> </w:t>
      </w:r>
      <w:r>
        <w:rPr/>
        <w:t>used</w:t>
      </w:r>
      <w:r>
        <w:rPr>
          <w:spacing w:val="-3"/>
        </w:rPr>
        <w:t> </w:t>
      </w:r>
      <w:r>
        <w:rPr/>
        <w:t>to</w:t>
      </w:r>
      <w:r>
        <w:rPr>
          <w:spacing w:val="-3"/>
        </w:rPr>
        <w:t> </w:t>
      </w:r>
      <w:r>
        <w:rPr/>
        <w:t>justify</w:t>
      </w:r>
      <w:r>
        <w:rPr>
          <w:spacing w:val="-2"/>
        </w:rPr>
        <w:t> </w:t>
      </w:r>
      <w:r>
        <w:rPr/>
        <w:t>a</w:t>
      </w:r>
      <w:r>
        <w:rPr>
          <w:spacing w:val="-3"/>
        </w:rPr>
        <w:t> </w:t>
      </w:r>
      <w:r>
        <w:rPr/>
        <w:t>refusal on grounds of sexual orientation to conclude or renew a contract concerning the performance of specific work.</w:t>
      </w:r>
    </w:p>
    <w:p>
      <w:pPr>
        <w:pStyle w:val="BodyText"/>
        <w:rPr>
          <w:sz w:val="20"/>
        </w:rPr>
      </w:pPr>
    </w:p>
    <w:p>
      <w:pPr>
        <w:pStyle w:val="BodyText"/>
        <w:rPr>
          <w:sz w:val="20"/>
        </w:rPr>
      </w:pPr>
    </w:p>
    <w:p>
      <w:pPr>
        <w:pStyle w:val="BodyText"/>
        <w:rPr>
          <w:sz w:val="20"/>
        </w:rPr>
      </w:pPr>
    </w:p>
    <w:p>
      <w:pPr>
        <w:pStyle w:val="BodyText"/>
        <w:spacing w:before="128"/>
        <w:rPr>
          <w:sz w:val="20"/>
        </w:rPr>
      </w:pPr>
      <w:r>
        <w:rPr/>
        <mc:AlternateContent>
          <mc:Choice Requires="wps">
            <w:drawing>
              <wp:anchor distT="0" distB="0" distL="0" distR="0" allowOverlap="1" layoutInCell="1" locked="0" behindDoc="1" simplePos="0" relativeHeight="487793152">
                <wp:simplePos x="0" y="0"/>
                <wp:positionH relativeFrom="page">
                  <wp:posOffset>899999</wp:posOffset>
                </wp:positionH>
                <wp:positionV relativeFrom="paragraph">
                  <wp:posOffset>251800</wp:posOffset>
                </wp:positionV>
                <wp:extent cx="6012180" cy="1270"/>
                <wp:effectExtent l="0" t="0" r="0" b="0"/>
                <wp:wrapTopAndBottom/>
                <wp:docPr id="1075" name="Graphic 1075"/>
                <wp:cNvGraphicFramePr>
                  <a:graphicFrameLocks/>
                </wp:cNvGraphicFramePr>
                <a:graphic>
                  <a:graphicData uri="http://schemas.microsoft.com/office/word/2010/wordprocessingShape">
                    <wps:wsp>
                      <wps:cNvPr id="1075" name="Graphic 1075"/>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9.826841pt;width:473.4pt;height:.1pt;mso-position-horizontal-relative:page;mso-position-vertical-relative:paragraph;z-index:-15523328;mso-wrap-distance-left:0;mso-wrap-distance-right:0" id="docshape887" coordorigin="1417,397" coordsize="9468,0" path="m1417,397l10885,397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z w:val="18"/>
        </w:rPr>
        <w:t>C-405/20,</w:t>
      </w:r>
      <w:r>
        <w:rPr>
          <w:spacing w:val="-4"/>
          <w:sz w:val="18"/>
        </w:rPr>
        <w:t> </w:t>
      </w:r>
      <w:r>
        <w:rPr>
          <w:color w:val="1D71B8"/>
          <w:sz w:val="18"/>
          <w:u w:val="single" w:color="1D71B8"/>
        </w:rPr>
        <w:t>EB</w:t>
      </w:r>
      <w:r>
        <w:rPr>
          <w:color w:val="1D71B8"/>
          <w:spacing w:val="-2"/>
          <w:sz w:val="18"/>
          <w:u w:val="single" w:color="1D71B8"/>
        </w:rPr>
        <w:t> </w:t>
      </w:r>
      <w:r>
        <w:rPr>
          <w:color w:val="1D71B8"/>
          <w:sz w:val="18"/>
          <w:u w:val="single" w:color="1D71B8"/>
        </w:rPr>
        <w:t>v</w:t>
      </w:r>
      <w:r>
        <w:rPr>
          <w:color w:val="1D71B8"/>
          <w:spacing w:val="-2"/>
          <w:sz w:val="18"/>
          <w:u w:val="single" w:color="1D71B8"/>
        </w:rPr>
        <w:t> </w:t>
      </w:r>
      <w:r>
        <w:rPr>
          <w:color w:val="1D71B8"/>
          <w:sz w:val="18"/>
          <w:u w:val="single" w:color="1D71B8"/>
        </w:rPr>
        <w:t>BVAEB</w:t>
      </w:r>
      <w:r>
        <w:rPr>
          <w:i/>
          <w:sz w:val="18"/>
          <w:u w:val="none"/>
        </w:rPr>
        <w:t>,</w:t>
      </w:r>
      <w:r>
        <w:rPr>
          <w:i/>
          <w:spacing w:val="-4"/>
          <w:sz w:val="18"/>
          <w:u w:val="none"/>
        </w:rPr>
        <w:t> </w:t>
      </w:r>
      <w:r>
        <w:rPr>
          <w:sz w:val="18"/>
          <w:u w:val="none"/>
        </w:rPr>
        <w:t>judgment</w:t>
      </w:r>
      <w:r>
        <w:rPr>
          <w:spacing w:val="-2"/>
          <w:sz w:val="18"/>
          <w:u w:val="none"/>
        </w:rPr>
        <w:t> </w:t>
      </w:r>
      <w:r>
        <w:rPr>
          <w:sz w:val="18"/>
          <w:u w:val="none"/>
        </w:rPr>
        <w:t>of</w:t>
      </w:r>
      <w:r>
        <w:rPr>
          <w:spacing w:val="-3"/>
          <w:sz w:val="18"/>
          <w:u w:val="none"/>
        </w:rPr>
        <w:t> </w:t>
      </w:r>
      <w:r>
        <w:rPr>
          <w:sz w:val="18"/>
          <w:u w:val="none"/>
        </w:rPr>
        <w:t>5</w:t>
      </w:r>
      <w:r>
        <w:rPr>
          <w:spacing w:val="-3"/>
          <w:sz w:val="18"/>
          <w:u w:val="none"/>
        </w:rPr>
        <w:t> </w:t>
      </w:r>
      <w:r>
        <w:rPr>
          <w:sz w:val="18"/>
          <w:u w:val="none"/>
        </w:rPr>
        <w:t>May</w:t>
      </w:r>
      <w:r>
        <w:rPr>
          <w:spacing w:val="-2"/>
          <w:sz w:val="18"/>
          <w:u w:val="none"/>
        </w:rPr>
        <w:t> </w:t>
      </w:r>
      <w:r>
        <w:rPr>
          <w:sz w:val="18"/>
          <w:u w:val="none"/>
        </w:rPr>
        <w:t>2022,</w:t>
      </w:r>
      <w:r>
        <w:rPr>
          <w:spacing w:val="-2"/>
          <w:sz w:val="18"/>
          <w:u w:val="none"/>
        </w:rPr>
        <w:t> ECLI:EU:C:2022:347.</w:t>
      </w:r>
    </w:p>
    <w:p>
      <w:pPr>
        <w:pStyle w:val="ListParagraph"/>
        <w:numPr>
          <w:ilvl w:val="0"/>
          <w:numId w:val="51"/>
        </w:numPr>
        <w:tabs>
          <w:tab w:pos="1684" w:val="left" w:leader="none"/>
        </w:tabs>
        <w:spacing w:line="240" w:lineRule="auto" w:before="1" w:after="0"/>
        <w:ind w:left="1684" w:right="0" w:hanging="567"/>
        <w:jc w:val="left"/>
        <w:rPr>
          <w:sz w:val="18"/>
        </w:rPr>
      </w:pPr>
      <w:r>
        <w:rPr>
          <w:sz w:val="18"/>
        </w:rPr>
        <w:t>Colm</w:t>
      </w:r>
      <w:r>
        <w:rPr>
          <w:spacing w:val="-4"/>
          <w:sz w:val="18"/>
        </w:rPr>
        <w:t> </w:t>
      </w:r>
      <w:r>
        <w:rPr>
          <w:sz w:val="18"/>
        </w:rPr>
        <w:t>O’Cinneide,</w:t>
      </w:r>
      <w:r>
        <w:rPr>
          <w:spacing w:val="-4"/>
          <w:sz w:val="18"/>
        </w:rPr>
        <w:t> </w:t>
      </w:r>
      <w:r>
        <w:rPr>
          <w:color w:val="1D71B8"/>
          <w:sz w:val="18"/>
          <w:u w:val="single" w:color="1D71B8"/>
        </w:rPr>
        <w:t>Overview</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CJEU</w:t>
      </w:r>
      <w:r>
        <w:rPr>
          <w:color w:val="1D71B8"/>
          <w:spacing w:val="-3"/>
          <w:sz w:val="18"/>
          <w:u w:val="single" w:color="1D71B8"/>
        </w:rPr>
        <w:t> </w:t>
      </w:r>
      <w:r>
        <w:rPr>
          <w:color w:val="1D71B8"/>
          <w:sz w:val="18"/>
          <w:u w:val="single" w:color="1D71B8"/>
        </w:rPr>
        <w:t>Discrimination</w:t>
      </w:r>
      <w:r>
        <w:rPr>
          <w:color w:val="1D71B8"/>
          <w:spacing w:val="-4"/>
          <w:sz w:val="18"/>
          <w:u w:val="single" w:color="1D71B8"/>
        </w:rPr>
        <w:t> </w:t>
      </w:r>
      <w:r>
        <w:rPr>
          <w:color w:val="1D71B8"/>
          <w:sz w:val="18"/>
          <w:u w:val="single" w:color="1D71B8"/>
        </w:rPr>
        <w:t>Jurisprudence</w:t>
      </w:r>
      <w:r>
        <w:rPr>
          <w:color w:val="1D71B8"/>
          <w:spacing w:val="-3"/>
          <w:sz w:val="18"/>
          <w:u w:val="single" w:color="1D71B8"/>
        </w:rPr>
        <w:t> </w:t>
      </w:r>
      <w:r>
        <w:rPr>
          <w:color w:val="1D71B8"/>
          <w:sz w:val="18"/>
          <w:u w:val="single" w:color="1D71B8"/>
        </w:rPr>
        <w:t>2023</w:t>
      </w:r>
      <w:r>
        <w:rPr>
          <w:color w:val="1D71B8"/>
          <w:spacing w:val="-4"/>
          <w:sz w:val="18"/>
          <w:u w:val="none"/>
        </w:rPr>
        <w:t> </w:t>
      </w:r>
      <w:r>
        <w:rPr>
          <w:sz w:val="18"/>
          <w:u w:val="none"/>
        </w:rPr>
        <w:t>(2023)</w:t>
      </w:r>
      <w:r>
        <w:rPr>
          <w:spacing w:val="-4"/>
          <w:sz w:val="18"/>
          <w:u w:val="none"/>
        </w:rPr>
        <w:t> </w:t>
      </w:r>
      <w:r>
        <w:rPr>
          <w:spacing w:val="-10"/>
          <w:sz w:val="18"/>
          <w:u w:val="none"/>
        </w:rPr>
        <w:t>.</w:t>
      </w:r>
    </w:p>
    <w:p>
      <w:pPr>
        <w:pStyle w:val="ListParagraph"/>
        <w:numPr>
          <w:ilvl w:val="0"/>
          <w:numId w:val="51"/>
        </w:numPr>
        <w:tabs>
          <w:tab w:pos="1684" w:val="left" w:leader="none"/>
        </w:tabs>
        <w:spacing w:line="240" w:lineRule="auto" w:before="0" w:after="0"/>
        <w:ind w:left="1684" w:right="0" w:hanging="567"/>
        <w:jc w:val="left"/>
        <w:rPr>
          <w:sz w:val="18"/>
        </w:rPr>
      </w:pPr>
      <w:r>
        <w:rPr>
          <w:sz w:val="18"/>
        </w:rPr>
        <w:t>C-405/20,</w:t>
      </w:r>
      <w:r>
        <w:rPr>
          <w:spacing w:val="-5"/>
          <w:sz w:val="18"/>
        </w:rPr>
        <w:t> </w:t>
      </w:r>
      <w:r>
        <w:rPr>
          <w:color w:val="1D71B8"/>
          <w:sz w:val="18"/>
          <w:u w:val="single" w:color="1D71B8"/>
        </w:rPr>
        <w:t>EB</w:t>
      </w:r>
      <w:r>
        <w:rPr>
          <w:color w:val="1D71B8"/>
          <w:spacing w:val="-3"/>
          <w:sz w:val="18"/>
          <w:u w:val="single" w:color="1D71B8"/>
        </w:rPr>
        <w:t> </w:t>
      </w:r>
      <w:r>
        <w:rPr>
          <w:color w:val="1D71B8"/>
          <w:sz w:val="18"/>
          <w:u w:val="single" w:color="1D71B8"/>
        </w:rPr>
        <w:t>v</w:t>
      </w:r>
      <w:r>
        <w:rPr>
          <w:color w:val="1D71B8"/>
          <w:spacing w:val="-3"/>
          <w:sz w:val="18"/>
          <w:u w:val="single" w:color="1D71B8"/>
        </w:rPr>
        <w:t> </w:t>
      </w:r>
      <w:r>
        <w:rPr>
          <w:color w:val="1D71B8"/>
          <w:sz w:val="18"/>
          <w:u w:val="single" w:color="1D71B8"/>
        </w:rPr>
        <w:t>BVAEB</w:t>
      </w:r>
      <w:r>
        <w:rPr>
          <w:sz w:val="18"/>
          <w:u w:val="none"/>
        </w:rPr>
        <w:t>,</w:t>
      </w:r>
      <w:r>
        <w:rPr>
          <w:spacing w:val="-3"/>
          <w:sz w:val="18"/>
          <w:u w:val="none"/>
        </w:rPr>
        <w:t> </w:t>
      </w:r>
      <w:r>
        <w:rPr>
          <w:sz w:val="18"/>
          <w:u w:val="none"/>
        </w:rPr>
        <w:t>judgment</w:t>
      </w:r>
      <w:r>
        <w:rPr>
          <w:spacing w:val="-3"/>
          <w:sz w:val="18"/>
          <w:u w:val="none"/>
        </w:rPr>
        <w:t> </w:t>
      </w:r>
      <w:r>
        <w:rPr>
          <w:sz w:val="18"/>
          <w:u w:val="none"/>
        </w:rPr>
        <w:t>of</w:t>
      </w:r>
      <w:r>
        <w:rPr>
          <w:spacing w:val="-4"/>
          <w:sz w:val="18"/>
          <w:u w:val="none"/>
        </w:rPr>
        <w:t> </w:t>
      </w:r>
      <w:r>
        <w:rPr>
          <w:sz w:val="18"/>
          <w:u w:val="none"/>
        </w:rPr>
        <w:t>5</w:t>
      </w:r>
      <w:r>
        <w:rPr>
          <w:spacing w:val="-3"/>
          <w:sz w:val="18"/>
          <w:u w:val="none"/>
        </w:rPr>
        <w:t> </w:t>
      </w:r>
      <w:r>
        <w:rPr>
          <w:sz w:val="18"/>
          <w:u w:val="none"/>
        </w:rPr>
        <w:t>May</w:t>
      </w:r>
      <w:r>
        <w:rPr>
          <w:spacing w:val="-3"/>
          <w:sz w:val="18"/>
          <w:u w:val="none"/>
        </w:rPr>
        <w:t> </w:t>
      </w:r>
      <w:r>
        <w:rPr>
          <w:sz w:val="18"/>
          <w:u w:val="none"/>
        </w:rPr>
        <w:t>2022,</w:t>
      </w:r>
      <w:r>
        <w:rPr>
          <w:spacing w:val="-3"/>
          <w:sz w:val="18"/>
          <w:u w:val="none"/>
        </w:rPr>
        <w:t> </w:t>
      </w:r>
      <w:r>
        <w:rPr>
          <w:spacing w:val="-2"/>
          <w:sz w:val="18"/>
          <w:u w:val="none"/>
        </w:rPr>
        <w:t>ECLI:EU:C:2022:347.</w:t>
      </w:r>
    </w:p>
    <w:p>
      <w:pPr>
        <w:pStyle w:val="ListParagraph"/>
        <w:numPr>
          <w:ilvl w:val="0"/>
          <w:numId w:val="51"/>
        </w:numPr>
        <w:tabs>
          <w:tab w:pos="1684" w:val="left" w:leader="none"/>
        </w:tabs>
        <w:spacing w:line="240" w:lineRule="auto" w:before="0" w:after="0"/>
        <w:ind w:left="1684" w:right="0" w:hanging="567"/>
        <w:jc w:val="left"/>
        <w:rPr>
          <w:sz w:val="18"/>
        </w:rPr>
      </w:pPr>
      <w:r>
        <w:rPr>
          <w:sz w:val="18"/>
        </w:rPr>
        <w:t>C-356/21</w:t>
      </w:r>
      <w:r>
        <w:rPr>
          <w:spacing w:val="-2"/>
          <w:sz w:val="18"/>
        </w:rPr>
        <w:t> </w:t>
      </w:r>
      <w:r>
        <w:rPr>
          <w:color w:val="1D71B8"/>
          <w:sz w:val="18"/>
          <w:u w:val="single" w:color="1D71B8"/>
        </w:rPr>
        <w:t>J.K.</w:t>
      </w:r>
      <w:r>
        <w:rPr>
          <w:color w:val="1D71B8"/>
          <w:spacing w:val="-2"/>
          <w:sz w:val="18"/>
          <w:u w:val="single" w:color="1D71B8"/>
        </w:rPr>
        <w:t> </w:t>
      </w:r>
      <w:r>
        <w:rPr>
          <w:color w:val="1D71B8"/>
          <w:sz w:val="18"/>
          <w:u w:val="single" w:color="1D71B8"/>
        </w:rPr>
        <w:t>v</w:t>
      </w:r>
      <w:r>
        <w:rPr>
          <w:color w:val="1D71B8"/>
          <w:spacing w:val="-1"/>
          <w:sz w:val="18"/>
          <w:u w:val="single" w:color="1D71B8"/>
        </w:rPr>
        <w:t> </w:t>
      </w:r>
      <w:r>
        <w:rPr>
          <w:color w:val="1D71B8"/>
          <w:sz w:val="18"/>
          <w:u w:val="single" w:color="1D71B8"/>
        </w:rPr>
        <w:t>TP</w:t>
      </w:r>
      <w:r>
        <w:rPr>
          <w:color w:val="1D71B8"/>
          <w:spacing w:val="-1"/>
          <w:sz w:val="18"/>
          <w:u w:val="single" w:color="1D71B8"/>
        </w:rPr>
        <w:t> </w:t>
      </w:r>
      <w:r>
        <w:rPr>
          <w:color w:val="1D71B8"/>
          <w:sz w:val="18"/>
          <w:u w:val="single" w:color="1D71B8"/>
        </w:rPr>
        <w:t>S.A</w:t>
      </w:r>
      <w:r>
        <w:rPr>
          <w:i/>
          <w:sz w:val="18"/>
          <w:u w:val="none"/>
        </w:rPr>
        <w:t>.,</w:t>
      </w:r>
      <w:r>
        <w:rPr>
          <w:i/>
          <w:spacing w:val="-1"/>
          <w:sz w:val="18"/>
          <w:u w:val="none"/>
        </w:rPr>
        <w:t> </w:t>
      </w:r>
      <w:r>
        <w:rPr>
          <w:sz w:val="18"/>
          <w:u w:val="none"/>
        </w:rPr>
        <w:t>judgment</w:t>
      </w:r>
      <w:r>
        <w:rPr>
          <w:spacing w:val="-1"/>
          <w:sz w:val="18"/>
          <w:u w:val="none"/>
        </w:rPr>
        <w:t> </w:t>
      </w:r>
      <w:r>
        <w:rPr>
          <w:sz w:val="18"/>
          <w:u w:val="none"/>
        </w:rPr>
        <w:t>of</w:t>
      </w:r>
      <w:r>
        <w:rPr>
          <w:spacing w:val="-2"/>
          <w:sz w:val="18"/>
          <w:u w:val="none"/>
        </w:rPr>
        <w:t> </w:t>
      </w:r>
      <w:r>
        <w:rPr>
          <w:sz w:val="18"/>
          <w:u w:val="none"/>
        </w:rPr>
        <w:t>12</w:t>
      </w:r>
      <w:r>
        <w:rPr>
          <w:spacing w:val="-1"/>
          <w:sz w:val="18"/>
          <w:u w:val="none"/>
        </w:rPr>
        <w:t> </w:t>
      </w:r>
      <w:r>
        <w:rPr>
          <w:sz w:val="18"/>
          <w:u w:val="none"/>
        </w:rPr>
        <w:t>January</w:t>
      </w:r>
      <w:r>
        <w:rPr>
          <w:spacing w:val="-1"/>
          <w:sz w:val="18"/>
          <w:u w:val="none"/>
        </w:rPr>
        <w:t> </w:t>
      </w:r>
      <w:r>
        <w:rPr>
          <w:sz w:val="18"/>
          <w:u w:val="none"/>
        </w:rPr>
        <w:t>2023, </w:t>
      </w:r>
      <w:r>
        <w:rPr>
          <w:spacing w:val="-2"/>
          <w:sz w:val="18"/>
          <w:u w:val="none"/>
        </w:rPr>
        <w:t>ECLI:EU:C:2023:9.</w:t>
      </w:r>
    </w:p>
    <w:p>
      <w:pPr>
        <w:spacing w:after="0" w:line="240" w:lineRule="auto"/>
        <w:jc w:val="left"/>
        <w:rPr>
          <w:sz w:val="18"/>
        </w:rPr>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11872">
                <wp:simplePos x="0" y="0"/>
                <wp:positionH relativeFrom="page">
                  <wp:posOffset>0</wp:posOffset>
                </wp:positionH>
                <wp:positionV relativeFrom="page">
                  <wp:posOffset>0</wp:posOffset>
                </wp:positionV>
                <wp:extent cx="7560309" cy="1155065"/>
                <wp:effectExtent l="0" t="0" r="0" b="0"/>
                <wp:wrapNone/>
                <wp:docPr id="1076" name="Group 1076"/>
                <wp:cNvGraphicFramePr>
                  <a:graphicFrameLocks/>
                </wp:cNvGraphicFramePr>
                <a:graphic>
                  <a:graphicData uri="http://schemas.microsoft.com/office/word/2010/wordprocessingGroup">
                    <wpg:wgp>
                      <wpg:cNvPr id="1076" name="Group 1076"/>
                      <wpg:cNvGrpSpPr/>
                      <wpg:grpSpPr>
                        <a:xfrm>
                          <a:off x="0" y="0"/>
                          <a:ext cx="7560309" cy="1155065"/>
                          <a:chExt cx="7560309" cy="1155065"/>
                        </a:xfrm>
                      </wpg:grpSpPr>
                      <wps:wsp>
                        <wps:cNvPr id="1077" name="Graphic 1077"/>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078" name="Graphic 1078"/>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204608" id="docshapegroup888" coordorigin="0,0" coordsize="11906,1819">
                <v:shape style="position:absolute;left:0;top:0;width:11906;height:1819" id="docshape889"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132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i/>
        </w:rPr>
        <w:t>HR Rail</w:t>
      </w:r>
      <w:r>
        <w:rPr>
          <w:vertAlign w:val="superscript"/>
        </w:rPr>
        <w:t>673</w:t>
      </w:r>
      <w:r>
        <w:rPr>
          <w:vertAlign w:val="baseline"/>
        </w:rPr>
        <w:t> has strengthened protections for persons with disabilities by specifying that</w:t>
      </w:r>
      <w:r>
        <w:rPr>
          <w:spacing w:val="-1"/>
          <w:vertAlign w:val="baseline"/>
        </w:rPr>
        <w:t> </w:t>
      </w:r>
      <w:r>
        <w:rPr>
          <w:vertAlign w:val="baseline"/>
        </w:rPr>
        <w:t>genuine</w:t>
      </w:r>
      <w:r>
        <w:rPr>
          <w:spacing w:val="-1"/>
          <w:vertAlign w:val="baseline"/>
        </w:rPr>
        <w:t> </w:t>
      </w:r>
      <w:r>
        <w:rPr>
          <w:vertAlign w:val="baseline"/>
        </w:rPr>
        <w:t>occupational</w:t>
      </w:r>
      <w:r>
        <w:rPr>
          <w:spacing w:val="-2"/>
          <w:vertAlign w:val="baseline"/>
        </w:rPr>
        <w:t> </w:t>
      </w:r>
      <w:r>
        <w:rPr>
          <w:vertAlign w:val="baseline"/>
        </w:rPr>
        <w:t>requirements</w:t>
      </w:r>
      <w:r>
        <w:rPr>
          <w:spacing w:val="-2"/>
          <w:vertAlign w:val="baseline"/>
        </w:rPr>
        <w:t> </w:t>
      </w:r>
      <w:r>
        <w:rPr>
          <w:vertAlign w:val="baseline"/>
        </w:rPr>
        <w:t>exemption</w:t>
      </w:r>
      <w:r>
        <w:rPr>
          <w:spacing w:val="-2"/>
          <w:vertAlign w:val="baseline"/>
        </w:rPr>
        <w:t> </w:t>
      </w:r>
      <w:r>
        <w:rPr>
          <w:vertAlign w:val="baseline"/>
        </w:rPr>
        <w:t>cannot</w:t>
      </w:r>
      <w:r>
        <w:rPr>
          <w:spacing w:val="-1"/>
          <w:vertAlign w:val="baseline"/>
        </w:rPr>
        <w:t> </w:t>
      </w:r>
      <w:r>
        <w:rPr>
          <w:vertAlign w:val="baseline"/>
        </w:rPr>
        <w:t>justify</w:t>
      </w:r>
      <w:r>
        <w:rPr>
          <w:spacing w:val="-1"/>
          <w:vertAlign w:val="baseline"/>
        </w:rPr>
        <w:t> </w:t>
      </w:r>
      <w:r>
        <w:rPr>
          <w:vertAlign w:val="baseline"/>
        </w:rPr>
        <w:t>an</w:t>
      </w:r>
      <w:r>
        <w:rPr>
          <w:spacing w:val="-2"/>
          <w:vertAlign w:val="baseline"/>
        </w:rPr>
        <w:t> </w:t>
      </w:r>
      <w:r>
        <w:rPr>
          <w:vertAlign w:val="baseline"/>
        </w:rPr>
        <w:t>absolute</w:t>
      </w:r>
      <w:r>
        <w:rPr>
          <w:spacing w:val="-1"/>
          <w:vertAlign w:val="baseline"/>
        </w:rPr>
        <w:t> </w:t>
      </w:r>
      <w:r>
        <w:rPr>
          <w:vertAlign w:val="baseline"/>
        </w:rPr>
        <w:t>bar on</w:t>
      </w:r>
      <w:r>
        <w:rPr>
          <w:spacing w:val="-8"/>
          <w:vertAlign w:val="baseline"/>
        </w:rPr>
        <w:t> </w:t>
      </w:r>
      <w:r>
        <w:rPr>
          <w:vertAlign w:val="baseline"/>
        </w:rPr>
        <w:t>employment;</w:t>
      </w:r>
      <w:r>
        <w:rPr>
          <w:spacing w:val="-7"/>
          <w:vertAlign w:val="baseline"/>
        </w:rPr>
        <w:t> </w:t>
      </w:r>
      <w:r>
        <w:rPr>
          <w:vertAlign w:val="baseline"/>
        </w:rPr>
        <w:t>reasonable</w:t>
      </w:r>
      <w:r>
        <w:rPr>
          <w:spacing w:val="-7"/>
          <w:vertAlign w:val="baseline"/>
        </w:rPr>
        <w:t> </w:t>
      </w:r>
      <w:r>
        <w:rPr>
          <w:vertAlign w:val="baseline"/>
        </w:rPr>
        <w:t>accommodation</w:t>
      </w:r>
      <w:r>
        <w:rPr>
          <w:spacing w:val="-8"/>
          <w:vertAlign w:val="baseline"/>
        </w:rPr>
        <w:t> </w:t>
      </w:r>
      <w:r>
        <w:rPr>
          <w:vertAlign w:val="baseline"/>
        </w:rPr>
        <w:t>measures</w:t>
      </w:r>
      <w:r>
        <w:rPr>
          <w:spacing w:val="-8"/>
          <w:vertAlign w:val="baseline"/>
        </w:rPr>
        <w:t> </w:t>
      </w:r>
      <w:r>
        <w:rPr>
          <w:vertAlign w:val="baseline"/>
        </w:rPr>
        <w:t>are</w:t>
      </w:r>
      <w:r>
        <w:rPr>
          <w:spacing w:val="-7"/>
          <w:vertAlign w:val="baseline"/>
        </w:rPr>
        <w:t> </w:t>
      </w:r>
      <w:r>
        <w:rPr>
          <w:vertAlign w:val="baseline"/>
        </w:rPr>
        <w:t>required</w:t>
      </w:r>
      <w:r>
        <w:rPr>
          <w:spacing w:val="-8"/>
          <w:vertAlign w:val="baseline"/>
        </w:rPr>
        <w:t> </w:t>
      </w:r>
      <w:r>
        <w:rPr>
          <w:vertAlign w:val="baseline"/>
        </w:rPr>
        <w:t>in</w:t>
      </w:r>
      <w:r>
        <w:rPr>
          <w:spacing w:val="-8"/>
          <w:vertAlign w:val="baseline"/>
        </w:rPr>
        <w:t> </w:t>
      </w:r>
      <w:r>
        <w:rPr>
          <w:vertAlign w:val="baseline"/>
        </w:rPr>
        <w:t>such</w:t>
      </w:r>
      <w:r>
        <w:rPr>
          <w:spacing w:val="-8"/>
          <w:vertAlign w:val="baseline"/>
        </w:rPr>
        <w:t> </w:t>
      </w:r>
      <w:r>
        <w:rPr>
          <w:vertAlign w:val="baseline"/>
        </w:rPr>
        <w:t>cases.</w:t>
      </w:r>
    </w:p>
    <w:p>
      <w:pPr>
        <w:pStyle w:val="BodyText"/>
        <w:spacing w:line="232" w:lineRule="auto" w:before="279"/>
        <w:ind w:left="720" w:right="1087"/>
      </w:pPr>
      <w:r>
        <w:rPr>
          <w:i/>
        </w:rPr>
        <w:t>CJ</w:t>
      </w:r>
      <w:r>
        <w:rPr>
          <w:i/>
          <w:spacing w:val="-11"/>
        </w:rPr>
        <w:t> </w:t>
      </w:r>
      <w:r>
        <w:rPr>
          <w:i/>
        </w:rPr>
        <w:t>v</w:t>
      </w:r>
      <w:r>
        <w:rPr>
          <w:i/>
          <w:spacing w:val="-11"/>
        </w:rPr>
        <w:t> </w:t>
      </w:r>
      <w:r>
        <w:rPr>
          <w:i/>
        </w:rPr>
        <w:t>TGSS</w:t>
      </w:r>
      <w:r>
        <w:rPr>
          <w:vertAlign w:val="superscript"/>
        </w:rPr>
        <w:t>674</w:t>
      </w:r>
      <w:r>
        <w:rPr>
          <w:spacing w:val="-12"/>
          <w:vertAlign w:val="baseline"/>
        </w:rPr>
        <w:t> </w:t>
      </w:r>
      <w:r>
        <w:rPr>
          <w:vertAlign w:val="baseline"/>
        </w:rPr>
        <w:t>offers</w:t>
      </w:r>
      <w:r>
        <w:rPr>
          <w:spacing w:val="-12"/>
          <w:vertAlign w:val="baseline"/>
        </w:rPr>
        <w:t> </w:t>
      </w:r>
      <w:r>
        <w:rPr>
          <w:vertAlign w:val="baseline"/>
        </w:rPr>
        <w:t>important</w:t>
      </w:r>
      <w:r>
        <w:rPr>
          <w:spacing w:val="-11"/>
          <w:vertAlign w:val="baseline"/>
        </w:rPr>
        <w:t> </w:t>
      </w:r>
      <w:r>
        <w:rPr>
          <w:vertAlign w:val="baseline"/>
        </w:rPr>
        <w:t>protection</w:t>
      </w:r>
      <w:r>
        <w:rPr>
          <w:spacing w:val="-12"/>
          <w:vertAlign w:val="baseline"/>
        </w:rPr>
        <w:t> </w:t>
      </w:r>
      <w:r>
        <w:rPr>
          <w:vertAlign w:val="baseline"/>
        </w:rPr>
        <w:t>for</w:t>
      </w:r>
      <w:r>
        <w:rPr>
          <w:spacing w:val="-11"/>
          <w:vertAlign w:val="baseline"/>
        </w:rPr>
        <w:t> </w:t>
      </w:r>
      <w:r>
        <w:rPr>
          <w:vertAlign w:val="baseline"/>
        </w:rPr>
        <w:t>domestic</w:t>
      </w:r>
      <w:r>
        <w:rPr>
          <w:spacing w:val="-11"/>
          <w:vertAlign w:val="baseline"/>
        </w:rPr>
        <w:t> </w:t>
      </w:r>
      <w:r>
        <w:rPr>
          <w:vertAlign w:val="baseline"/>
        </w:rPr>
        <w:t>workers.</w:t>
      </w:r>
      <w:r>
        <w:rPr>
          <w:spacing w:val="-12"/>
          <w:vertAlign w:val="baseline"/>
        </w:rPr>
        <w:t> </w:t>
      </w:r>
      <w:r>
        <w:rPr>
          <w:vertAlign w:val="baseline"/>
        </w:rPr>
        <w:t>The</w:t>
      </w:r>
      <w:r>
        <w:rPr>
          <w:spacing w:val="-11"/>
          <w:vertAlign w:val="baseline"/>
        </w:rPr>
        <w:t> </w:t>
      </w:r>
      <w:r>
        <w:rPr>
          <w:vertAlign w:val="baseline"/>
        </w:rPr>
        <w:t>CJEU</w:t>
      </w:r>
      <w:r>
        <w:rPr>
          <w:spacing w:val="-11"/>
          <w:vertAlign w:val="baseline"/>
        </w:rPr>
        <w:t> </w:t>
      </w:r>
      <w:r>
        <w:rPr>
          <w:vertAlign w:val="baseline"/>
        </w:rPr>
        <w:t>there</w:t>
      </w:r>
      <w:r>
        <w:rPr>
          <w:spacing w:val="-11"/>
          <w:vertAlign w:val="baseline"/>
        </w:rPr>
        <w:t> </w:t>
      </w:r>
      <w:r>
        <w:rPr>
          <w:vertAlign w:val="baseline"/>
        </w:rPr>
        <w:t>holds that a Spanish rule excluding domestic workers (the vast majority of them female) from unemployment benefit is unjustified indirect sex discrimination.</w:t>
      </w:r>
    </w:p>
    <w:p>
      <w:pPr>
        <w:pStyle w:val="BodyText"/>
        <w:spacing w:line="232" w:lineRule="auto" w:before="278"/>
        <w:ind w:left="720" w:right="1087"/>
      </w:pPr>
      <w:r>
        <w:rPr/>
        <w:t>Despite the decline in the number of cases, these cases arguably demonstrate a concern</w:t>
      </w:r>
      <w:r>
        <w:rPr>
          <w:spacing w:val="-7"/>
        </w:rPr>
        <w:t> </w:t>
      </w:r>
      <w:r>
        <w:rPr/>
        <w:t>to</w:t>
      </w:r>
      <w:r>
        <w:rPr>
          <w:spacing w:val="-7"/>
        </w:rPr>
        <w:t> </w:t>
      </w:r>
      <w:r>
        <w:rPr/>
        <w:t>support</w:t>
      </w:r>
      <w:r>
        <w:rPr>
          <w:spacing w:val="-6"/>
        </w:rPr>
        <w:t> </w:t>
      </w:r>
      <w:r>
        <w:rPr/>
        <w:t>more</w:t>
      </w:r>
      <w:r>
        <w:rPr>
          <w:spacing w:val="-6"/>
        </w:rPr>
        <w:t> </w:t>
      </w:r>
      <w:r>
        <w:rPr/>
        <w:t>substantive</w:t>
      </w:r>
      <w:r>
        <w:rPr>
          <w:spacing w:val="-6"/>
        </w:rPr>
        <w:t> </w:t>
      </w:r>
      <w:r>
        <w:rPr/>
        <w:t>notions</w:t>
      </w:r>
      <w:r>
        <w:rPr>
          <w:spacing w:val="-7"/>
        </w:rPr>
        <w:t> </w:t>
      </w:r>
      <w:r>
        <w:rPr/>
        <w:t>of</w:t>
      </w:r>
      <w:r>
        <w:rPr>
          <w:spacing w:val="-7"/>
        </w:rPr>
        <w:t> </w:t>
      </w:r>
      <w:r>
        <w:rPr/>
        <w:t>equality</w:t>
      </w:r>
      <w:r>
        <w:rPr>
          <w:spacing w:val="-6"/>
        </w:rPr>
        <w:t> </w:t>
      </w:r>
      <w:r>
        <w:rPr/>
        <w:t>with</w:t>
      </w:r>
      <w:r>
        <w:rPr>
          <w:spacing w:val="-7"/>
        </w:rPr>
        <w:t> </w:t>
      </w:r>
      <w:r>
        <w:rPr/>
        <w:t>their</w:t>
      </w:r>
      <w:r>
        <w:rPr>
          <w:spacing w:val="-6"/>
        </w:rPr>
        <w:t> </w:t>
      </w:r>
      <w:r>
        <w:rPr/>
        <w:t>recognition</w:t>
      </w:r>
      <w:r>
        <w:rPr>
          <w:spacing w:val="-7"/>
        </w:rPr>
        <w:t> </w:t>
      </w:r>
      <w:r>
        <w:rPr/>
        <w:t>of existing factual and material inequality and the need for social justice arguments and reasonable accommodation measures to support substantive equality.</w:t>
      </w:r>
    </w:p>
    <w:p>
      <w:pPr>
        <w:pStyle w:val="BodyText"/>
        <w:spacing w:before="1"/>
        <w:rPr>
          <w:sz w:val="20"/>
        </w:rPr>
      </w:pPr>
      <w:r>
        <w:rPr/>
        <mc:AlternateContent>
          <mc:Choice Requires="wps">
            <w:drawing>
              <wp:anchor distT="0" distB="0" distL="0" distR="0" allowOverlap="1" layoutInCell="1" locked="0" behindDoc="1" simplePos="0" relativeHeight="487794176">
                <wp:simplePos x="0" y="0"/>
                <wp:positionH relativeFrom="page">
                  <wp:posOffset>647994</wp:posOffset>
                </wp:positionH>
                <wp:positionV relativeFrom="paragraph">
                  <wp:posOffset>171388</wp:posOffset>
                </wp:positionV>
                <wp:extent cx="6012180" cy="813435"/>
                <wp:effectExtent l="0" t="0" r="0" b="0"/>
                <wp:wrapTopAndBottom/>
                <wp:docPr id="1079" name="Group 1079"/>
                <wp:cNvGraphicFramePr>
                  <a:graphicFrameLocks/>
                </wp:cNvGraphicFramePr>
                <a:graphic>
                  <a:graphicData uri="http://schemas.microsoft.com/office/word/2010/wordprocessingGroup">
                    <wpg:wgp>
                      <wpg:cNvPr id="1079" name="Group 1079"/>
                      <wpg:cNvGrpSpPr/>
                      <wpg:grpSpPr>
                        <a:xfrm>
                          <a:off x="0" y="0"/>
                          <a:ext cx="6012180" cy="813435"/>
                          <a:chExt cx="6012180" cy="813435"/>
                        </a:xfrm>
                      </wpg:grpSpPr>
                      <wps:wsp>
                        <wps:cNvPr id="1080" name="Graphic 1080"/>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081" name="Textbox 1081"/>
                        <wps:cNvSpPr txBox="1"/>
                        <wps:spPr>
                          <a:xfrm>
                            <a:off x="0" y="0"/>
                            <a:ext cx="6012180" cy="813435"/>
                          </a:xfrm>
                          <a:prstGeom prst="rect">
                            <a:avLst/>
                          </a:prstGeom>
                        </wps:spPr>
                        <wps:txbx>
                          <w:txbxContent>
                            <w:p>
                              <w:pPr>
                                <w:spacing w:line="232" w:lineRule="auto" w:before="121"/>
                                <w:ind w:left="340" w:right="196"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there</w:t>
                              </w:r>
                              <w:r>
                                <w:rPr>
                                  <w:b/>
                                  <w:color w:val="164194"/>
                                  <w:spacing w:val="-8"/>
                                  <w:sz w:val="28"/>
                                </w:rPr>
                                <w:t> </w:t>
                              </w:r>
                              <w:r>
                                <w:rPr>
                                  <w:b/>
                                  <w:color w:val="164194"/>
                                  <w:sz w:val="28"/>
                                </w:rPr>
                                <w:t>needs</w:t>
                              </w:r>
                              <w:r>
                                <w:rPr>
                                  <w:b/>
                                  <w:color w:val="164194"/>
                                  <w:spacing w:val="-7"/>
                                  <w:sz w:val="28"/>
                                </w:rPr>
                                <w:t> </w:t>
                              </w:r>
                              <w:r>
                                <w:rPr>
                                  <w:b/>
                                  <w:color w:val="164194"/>
                                  <w:sz w:val="28"/>
                                </w:rPr>
                                <w:t>to</w:t>
                              </w:r>
                              <w:r>
                                <w:rPr>
                                  <w:b/>
                                  <w:color w:val="164194"/>
                                  <w:spacing w:val="-7"/>
                                  <w:sz w:val="28"/>
                                </w:rPr>
                                <w:t> </w:t>
                              </w:r>
                              <w:r>
                                <w:rPr>
                                  <w:b/>
                                  <w:color w:val="164194"/>
                                  <w:sz w:val="28"/>
                                </w:rPr>
                                <w:t>be</w:t>
                              </w:r>
                              <w:r>
                                <w:rPr>
                                  <w:b/>
                                  <w:color w:val="164194"/>
                                  <w:spacing w:val="-8"/>
                                  <w:sz w:val="28"/>
                                </w:rPr>
                                <w:t> </w:t>
                              </w:r>
                              <w:r>
                                <w:rPr>
                                  <w:b/>
                                  <w:color w:val="164194"/>
                                  <w:sz w:val="28"/>
                                </w:rPr>
                                <w:t>continued</w:t>
                              </w:r>
                              <w:r>
                                <w:rPr>
                                  <w:b/>
                                  <w:color w:val="164194"/>
                                  <w:spacing w:val="-7"/>
                                  <w:sz w:val="28"/>
                                </w:rPr>
                                <w:t> </w:t>
                              </w:r>
                              <w:r>
                                <w:rPr>
                                  <w:b/>
                                  <w:color w:val="164194"/>
                                  <w:sz w:val="28"/>
                                </w:rPr>
                                <w:t>monitoring</w:t>
                              </w:r>
                              <w:r>
                                <w:rPr>
                                  <w:b/>
                                  <w:color w:val="164194"/>
                                  <w:spacing w:val="-8"/>
                                  <w:sz w:val="28"/>
                                </w:rPr>
                                <w:t> </w:t>
                              </w:r>
                              <w:r>
                                <w:rPr>
                                  <w:b/>
                                  <w:color w:val="164194"/>
                                  <w:sz w:val="28"/>
                                </w:rPr>
                                <w:t>and</w:t>
                              </w:r>
                              <w:r>
                                <w:rPr>
                                  <w:b/>
                                  <w:color w:val="164194"/>
                                  <w:spacing w:val="-7"/>
                                  <w:sz w:val="28"/>
                                </w:rPr>
                                <w:t> </w:t>
                              </w:r>
                              <w:r>
                                <w:rPr>
                                  <w:b/>
                                  <w:color w:val="164194"/>
                                  <w:sz w:val="28"/>
                                </w:rPr>
                                <w:t>tracking</w:t>
                              </w:r>
                              <w:r>
                                <w:rPr>
                                  <w:b/>
                                  <w:color w:val="164194"/>
                                  <w:spacing w:val="-8"/>
                                  <w:sz w:val="28"/>
                                </w:rPr>
                                <w:t> </w:t>
                              </w:r>
                              <w:r>
                                <w:rPr>
                                  <w:b/>
                                  <w:color w:val="164194"/>
                                  <w:sz w:val="28"/>
                                </w:rPr>
                                <w:t>of CJEU case law by the UK Government, NI Executive and NI Departments to ensure compliance with the Annex 1 Directives.</w:t>
                              </w:r>
                            </w:p>
                          </w:txbxContent>
                        </wps:txbx>
                        <wps:bodyPr wrap="square" lIns="0" tIns="0" rIns="0" bIns="0" rtlCol="0">
                          <a:noAutofit/>
                        </wps:bodyPr>
                      </wps:wsp>
                    </wpg:wgp>
                  </a:graphicData>
                </a:graphic>
              </wp:anchor>
            </w:drawing>
          </mc:Choice>
          <mc:Fallback>
            <w:pict>
              <v:group style="position:absolute;margin-left:51.023201pt;margin-top:13.495147pt;width:473.4pt;height:64.05pt;mso-position-horizontal-relative:page;mso-position-vertical-relative:paragraph;z-index:-15522304;mso-wrap-distance-left:0;mso-wrap-distance-right:0" id="docshapegroup890" coordorigin="1020,270" coordsize="9468,1281">
                <v:shape style="position:absolute;left:1020;top:269;width:9468;height:1281" id="docshape891" coordorigin="1020,270" coordsize="9468,1281" path="m10261,270l1247,270,1176,281,1113,314,1064,363,1032,425,1020,497,1020,1323,1032,1395,1064,1457,1113,1506,1176,1539,1247,1550,10261,1550,10333,1539,10395,1506,10444,1457,10477,1395,10488,1323,10488,497,10477,425,10444,363,10395,314,10333,281,10261,270xe" filled="true" fillcolor="#e9f3fc" stroked="false">
                  <v:path arrowok="t"/>
                  <v:fill type="solid"/>
                </v:shape>
                <v:shape style="position:absolute;left:1020;top:269;width:9468;height:1281" type="#_x0000_t202" id="docshape892" filled="false" stroked="false">
                  <v:textbox inset="0,0,0,0">
                    <w:txbxContent>
                      <w:p>
                        <w:pPr>
                          <w:spacing w:line="232" w:lineRule="auto" w:before="121"/>
                          <w:ind w:left="340" w:right="196" w:firstLine="0"/>
                          <w:jc w:val="left"/>
                          <w:rPr>
                            <w:b/>
                            <w:sz w:val="28"/>
                          </w:rPr>
                        </w:pPr>
                        <w:r>
                          <w:rPr>
                            <w:b/>
                            <w:color w:val="164194"/>
                            <w:sz w:val="28"/>
                          </w:rPr>
                          <w:t>We</w:t>
                        </w:r>
                        <w:r>
                          <w:rPr>
                            <w:b/>
                            <w:color w:val="164194"/>
                            <w:spacing w:val="-8"/>
                            <w:sz w:val="28"/>
                          </w:rPr>
                          <w:t> </w:t>
                        </w:r>
                        <w:r>
                          <w:rPr>
                            <w:b/>
                            <w:color w:val="164194"/>
                            <w:sz w:val="28"/>
                          </w:rPr>
                          <w:t>recommend</w:t>
                        </w:r>
                        <w:r>
                          <w:rPr>
                            <w:b/>
                            <w:color w:val="164194"/>
                            <w:spacing w:val="-7"/>
                            <w:sz w:val="28"/>
                          </w:rPr>
                          <w:t> </w:t>
                        </w:r>
                        <w:r>
                          <w:rPr>
                            <w:b/>
                            <w:color w:val="164194"/>
                            <w:sz w:val="28"/>
                          </w:rPr>
                          <w:t>that</w:t>
                        </w:r>
                        <w:r>
                          <w:rPr>
                            <w:b/>
                            <w:color w:val="164194"/>
                            <w:spacing w:val="-7"/>
                            <w:sz w:val="28"/>
                          </w:rPr>
                          <w:t> </w:t>
                        </w:r>
                        <w:r>
                          <w:rPr>
                            <w:b/>
                            <w:color w:val="164194"/>
                            <w:sz w:val="28"/>
                          </w:rPr>
                          <w:t>there</w:t>
                        </w:r>
                        <w:r>
                          <w:rPr>
                            <w:b/>
                            <w:color w:val="164194"/>
                            <w:spacing w:val="-8"/>
                            <w:sz w:val="28"/>
                          </w:rPr>
                          <w:t> </w:t>
                        </w:r>
                        <w:r>
                          <w:rPr>
                            <w:b/>
                            <w:color w:val="164194"/>
                            <w:sz w:val="28"/>
                          </w:rPr>
                          <w:t>needs</w:t>
                        </w:r>
                        <w:r>
                          <w:rPr>
                            <w:b/>
                            <w:color w:val="164194"/>
                            <w:spacing w:val="-7"/>
                            <w:sz w:val="28"/>
                          </w:rPr>
                          <w:t> </w:t>
                        </w:r>
                        <w:r>
                          <w:rPr>
                            <w:b/>
                            <w:color w:val="164194"/>
                            <w:sz w:val="28"/>
                          </w:rPr>
                          <w:t>to</w:t>
                        </w:r>
                        <w:r>
                          <w:rPr>
                            <w:b/>
                            <w:color w:val="164194"/>
                            <w:spacing w:val="-7"/>
                            <w:sz w:val="28"/>
                          </w:rPr>
                          <w:t> </w:t>
                        </w:r>
                        <w:r>
                          <w:rPr>
                            <w:b/>
                            <w:color w:val="164194"/>
                            <w:sz w:val="28"/>
                          </w:rPr>
                          <w:t>be</w:t>
                        </w:r>
                        <w:r>
                          <w:rPr>
                            <w:b/>
                            <w:color w:val="164194"/>
                            <w:spacing w:val="-8"/>
                            <w:sz w:val="28"/>
                          </w:rPr>
                          <w:t> </w:t>
                        </w:r>
                        <w:r>
                          <w:rPr>
                            <w:b/>
                            <w:color w:val="164194"/>
                            <w:sz w:val="28"/>
                          </w:rPr>
                          <w:t>continued</w:t>
                        </w:r>
                        <w:r>
                          <w:rPr>
                            <w:b/>
                            <w:color w:val="164194"/>
                            <w:spacing w:val="-7"/>
                            <w:sz w:val="28"/>
                          </w:rPr>
                          <w:t> </w:t>
                        </w:r>
                        <w:r>
                          <w:rPr>
                            <w:b/>
                            <w:color w:val="164194"/>
                            <w:sz w:val="28"/>
                          </w:rPr>
                          <w:t>monitoring</w:t>
                        </w:r>
                        <w:r>
                          <w:rPr>
                            <w:b/>
                            <w:color w:val="164194"/>
                            <w:spacing w:val="-8"/>
                            <w:sz w:val="28"/>
                          </w:rPr>
                          <w:t> </w:t>
                        </w:r>
                        <w:r>
                          <w:rPr>
                            <w:b/>
                            <w:color w:val="164194"/>
                            <w:sz w:val="28"/>
                          </w:rPr>
                          <w:t>and</w:t>
                        </w:r>
                        <w:r>
                          <w:rPr>
                            <w:b/>
                            <w:color w:val="164194"/>
                            <w:spacing w:val="-7"/>
                            <w:sz w:val="28"/>
                          </w:rPr>
                          <w:t> </w:t>
                        </w:r>
                        <w:r>
                          <w:rPr>
                            <w:b/>
                            <w:color w:val="164194"/>
                            <w:sz w:val="28"/>
                          </w:rPr>
                          <w:t>tracking</w:t>
                        </w:r>
                        <w:r>
                          <w:rPr>
                            <w:b/>
                            <w:color w:val="164194"/>
                            <w:spacing w:val="-8"/>
                            <w:sz w:val="28"/>
                          </w:rPr>
                          <w:t> </w:t>
                        </w:r>
                        <w:r>
                          <w:rPr>
                            <w:b/>
                            <w:color w:val="164194"/>
                            <w:sz w:val="28"/>
                          </w:rPr>
                          <w:t>of CJEU case law by the UK Government, NI Executive and NI Departments to ensure compliance with the Annex 1 Directives.</w:t>
                        </w:r>
                      </w:p>
                    </w:txbxContent>
                  </v:textbox>
                  <w10:wrap type="non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2"/>
        <w:rPr>
          <w:sz w:val="20"/>
        </w:rPr>
      </w:pPr>
      <w:r>
        <w:rPr/>
        <mc:AlternateContent>
          <mc:Choice Requires="wps">
            <w:drawing>
              <wp:anchor distT="0" distB="0" distL="0" distR="0" allowOverlap="1" layoutInCell="1" locked="0" behindDoc="1" simplePos="0" relativeHeight="487794688">
                <wp:simplePos x="0" y="0"/>
                <wp:positionH relativeFrom="page">
                  <wp:posOffset>647999</wp:posOffset>
                </wp:positionH>
                <wp:positionV relativeFrom="paragraph">
                  <wp:posOffset>311259</wp:posOffset>
                </wp:positionV>
                <wp:extent cx="6012180" cy="1270"/>
                <wp:effectExtent l="0" t="0" r="0" b="0"/>
                <wp:wrapTopAndBottom/>
                <wp:docPr id="1082" name="Graphic 1082"/>
                <wp:cNvGraphicFramePr>
                  <a:graphicFrameLocks/>
                </wp:cNvGraphicFramePr>
                <a:graphic>
                  <a:graphicData uri="http://schemas.microsoft.com/office/word/2010/wordprocessingShape">
                    <wps:wsp>
                      <wps:cNvPr id="1082" name="Graphic 108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4.5086pt;width:473.4pt;height:.1pt;mso-position-horizontal-relative:page;mso-position-vertical-relative:paragraph;z-index:-15521792;mso-wrap-distance-left:0;mso-wrap-distance-right:0" id="docshape893" coordorigin="1020,490" coordsize="9468,0" path="m1020,490l10488,490e" filled="false" stroked="true" strokeweight=".5pt" strokecolor="#36a9e1">
                <v:path arrowok="t"/>
                <v:stroke dashstyle="solid"/>
                <w10:wrap type="topAndBottom"/>
              </v:shape>
            </w:pict>
          </mc:Fallback>
        </mc:AlternateContent>
      </w:r>
    </w:p>
    <w:p>
      <w:pPr>
        <w:pStyle w:val="ListParagraph"/>
        <w:numPr>
          <w:ilvl w:val="0"/>
          <w:numId w:val="51"/>
        </w:numPr>
        <w:tabs>
          <w:tab w:pos="1287" w:val="left" w:leader="none"/>
        </w:tabs>
        <w:spacing w:line="240" w:lineRule="auto" w:before="43" w:after="0"/>
        <w:ind w:left="1287" w:right="0" w:hanging="567"/>
        <w:jc w:val="left"/>
        <w:rPr>
          <w:sz w:val="18"/>
        </w:rPr>
      </w:pPr>
      <w:r>
        <w:rPr>
          <w:sz w:val="18"/>
        </w:rPr>
        <w:t>C-485/20</w:t>
      </w:r>
      <w:r>
        <w:rPr>
          <w:spacing w:val="-3"/>
          <w:sz w:val="18"/>
        </w:rPr>
        <w:t> </w:t>
      </w:r>
      <w:r>
        <w:rPr>
          <w:color w:val="1D71B8"/>
          <w:sz w:val="18"/>
          <w:u w:val="single" w:color="1D71B8"/>
        </w:rPr>
        <w:t>HR</w:t>
      </w:r>
      <w:r>
        <w:rPr>
          <w:color w:val="1D71B8"/>
          <w:spacing w:val="-2"/>
          <w:sz w:val="18"/>
          <w:u w:val="single" w:color="1D71B8"/>
        </w:rPr>
        <w:t> </w:t>
      </w:r>
      <w:r>
        <w:rPr>
          <w:color w:val="1D71B8"/>
          <w:sz w:val="18"/>
          <w:u w:val="single" w:color="1D71B8"/>
        </w:rPr>
        <w:t>Rail</w:t>
      </w:r>
      <w:r>
        <w:rPr>
          <w:i/>
          <w:sz w:val="18"/>
          <w:u w:val="none"/>
        </w:rPr>
        <w:t>,</w:t>
      </w:r>
      <w:r>
        <w:rPr>
          <w:i/>
          <w:spacing w:val="-3"/>
          <w:sz w:val="18"/>
          <w:u w:val="none"/>
        </w:rPr>
        <w:t> </w:t>
      </w:r>
      <w:r>
        <w:rPr>
          <w:sz w:val="18"/>
          <w:u w:val="none"/>
        </w:rPr>
        <w:t>judgment</w:t>
      </w:r>
      <w:r>
        <w:rPr>
          <w:spacing w:val="-2"/>
          <w:sz w:val="18"/>
          <w:u w:val="none"/>
        </w:rPr>
        <w:t> </w:t>
      </w:r>
      <w:r>
        <w:rPr>
          <w:sz w:val="18"/>
          <w:u w:val="none"/>
        </w:rPr>
        <w:t>of</w:t>
      </w:r>
      <w:r>
        <w:rPr>
          <w:spacing w:val="-3"/>
          <w:sz w:val="18"/>
          <w:u w:val="none"/>
        </w:rPr>
        <w:t> </w:t>
      </w:r>
      <w:r>
        <w:rPr>
          <w:sz w:val="18"/>
          <w:u w:val="none"/>
        </w:rPr>
        <w:t>10</w:t>
      </w:r>
      <w:r>
        <w:rPr>
          <w:spacing w:val="-2"/>
          <w:sz w:val="18"/>
          <w:u w:val="none"/>
        </w:rPr>
        <w:t> </w:t>
      </w:r>
      <w:r>
        <w:rPr>
          <w:sz w:val="18"/>
          <w:u w:val="none"/>
        </w:rPr>
        <w:t>February</w:t>
      </w:r>
      <w:r>
        <w:rPr>
          <w:spacing w:val="-2"/>
          <w:sz w:val="18"/>
          <w:u w:val="none"/>
        </w:rPr>
        <w:t> </w:t>
      </w:r>
      <w:r>
        <w:rPr>
          <w:sz w:val="18"/>
          <w:u w:val="none"/>
        </w:rPr>
        <w:t>2022,</w:t>
      </w:r>
      <w:r>
        <w:rPr>
          <w:spacing w:val="-1"/>
          <w:sz w:val="18"/>
          <w:u w:val="none"/>
        </w:rPr>
        <w:t> </w:t>
      </w:r>
      <w:r>
        <w:rPr>
          <w:spacing w:val="-2"/>
          <w:sz w:val="18"/>
          <w:u w:val="none"/>
        </w:rPr>
        <w:t>ECLI:EU:C:2022:85</w:t>
      </w:r>
    </w:p>
    <w:p>
      <w:pPr>
        <w:pStyle w:val="ListParagraph"/>
        <w:numPr>
          <w:ilvl w:val="0"/>
          <w:numId w:val="51"/>
        </w:numPr>
        <w:tabs>
          <w:tab w:pos="1287" w:val="left" w:leader="none"/>
        </w:tabs>
        <w:spacing w:line="240" w:lineRule="auto" w:before="1" w:after="0"/>
        <w:ind w:left="1287" w:right="0" w:hanging="567"/>
        <w:jc w:val="left"/>
        <w:rPr>
          <w:sz w:val="18"/>
        </w:rPr>
      </w:pPr>
      <w:r>
        <w:rPr>
          <w:sz w:val="18"/>
        </w:rPr>
        <w:t>C-389/20</w:t>
      </w:r>
      <w:r>
        <w:rPr>
          <w:spacing w:val="-4"/>
          <w:sz w:val="18"/>
        </w:rPr>
        <w:t> </w:t>
      </w:r>
      <w:r>
        <w:rPr>
          <w:color w:val="1D71B8"/>
          <w:sz w:val="18"/>
          <w:u w:val="single" w:color="1D71B8"/>
        </w:rPr>
        <w:t>CJ</w:t>
      </w:r>
      <w:r>
        <w:rPr>
          <w:color w:val="1D71B8"/>
          <w:spacing w:val="-2"/>
          <w:sz w:val="18"/>
          <w:u w:val="single" w:color="1D71B8"/>
        </w:rPr>
        <w:t> </w:t>
      </w:r>
      <w:r>
        <w:rPr>
          <w:color w:val="1D71B8"/>
          <w:sz w:val="18"/>
          <w:u w:val="single" w:color="1D71B8"/>
        </w:rPr>
        <w:t>v</w:t>
      </w:r>
      <w:r>
        <w:rPr>
          <w:color w:val="1D71B8"/>
          <w:spacing w:val="-2"/>
          <w:sz w:val="18"/>
          <w:u w:val="single" w:color="1D71B8"/>
        </w:rPr>
        <w:t> </w:t>
      </w:r>
      <w:r>
        <w:rPr>
          <w:color w:val="1D71B8"/>
          <w:sz w:val="18"/>
          <w:u w:val="single" w:color="1D71B8"/>
        </w:rPr>
        <w:t>TGSS</w:t>
      </w:r>
      <w:r>
        <w:rPr>
          <w:sz w:val="18"/>
          <w:u w:val="none"/>
        </w:rPr>
        <w:t>,</w:t>
      </w:r>
      <w:r>
        <w:rPr>
          <w:spacing w:val="-2"/>
          <w:sz w:val="18"/>
          <w:u w:val="none"/>
        </w:rPr>
        <w:t> </w:t>
      </w:r>
      <w:r>
        <w:rPr>
          <w:sz w:val="18"/>
          <w:u w:val="none"/>
        </w:rPr>
        <w:t>judgment</w:t>
      </w:r>
      <w:r>
        <w:rPr>
          <w:spacing w:val="-3"/>
          <w:sz w:val="18"/>
          <w:u w:val="none"/>
        </w:rPr>
        <w:t> </w:t>
      </w:r>
      <w:r>
        <w:rPr>
          <w:sz w:val="18"/>
          <w:u w:val="none"/>
        </w:rPr>
        <w:t>24</w:t>
      </w:r>
      <w:r>
        <w:rPr>
          <w:spacing w:val="-2"/>
          <w:sz w:val="18"/>
          <w:u w:val="none"/>
        </w:rPr>
        <w:t> </w:t>
      </w:r>
      <w:r>
        <w:rPr>
          <w:sz w:val="18"/>
          <w:u w:val="none"/>
        </w:rPr>
        <w:t>February</w:t>
      </w:r>
      <w:r>
        <w:rPr>
          <w:spacing w:val="-2"/>
          <w:sz w:val="18"/>
          <w:u w:val="none"/>
        </w:rPr>
        <w:t> </w:t>
      </w:r>
      <w:r>
        <w:rPr>
          <w:sz w:val="18"/>
          <w:u w:val="none"/>
        </w:rPr>
        <w:t>2022,</w:t>
      </w:r>
      <w:r>
        <w:rPr>
          <w:spacing w:val="-2"/>
          <w:sz w:val="18"/>
          <w:u w:val="none"/>
        </w:rPr>
        <w:t> ECLI:EU:C:2022:120</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12896">
                <wp:simplePos x="0" y="0"/>
                <wp:positionH relativeFrom="page">
                  <wp:posOffset>-2</wp:posOffset>
                </wp:positionH>
                <wp:positionV relativeFrom="page">
                  <wp:posOffset>0</wp:posOffset>
                </wp:positionV>
                <wp:extent cx="7560309" cy="6433185"/>
                <wp:effectExtent l="0" t="0" r="0" b="0"/>
                <wp:wrapNone/>
                <wp:docPr id="1083" name="Group 1083"/>
                <wp:cNvGraphicFramePr>
                  <a:graphicFrameLocks/>
                </wp:cNvGraphicFramePr>
                <a:graphic>
                  <a:graphicData uri="http://schemas.microsoft.com/office/word/2010/wordprocessingGroup">
                    <wpg:wgp>
                      <wpg:cNvPr id="1083" name="Group 1083"/>
                      <wpg:cNvGrpSpPr/>
                      <wpg:grpSpPr>
                        <a:xfrm>
                          <a:off x="0" y="0"/>
                          <a:ext cx="7560309" cy="6433185"/>
                          <a:chExt cx="7560309" cy="6433185"/>
                        </a:xfrm>
                      </wpg:grpSpPr>
                      <pic:pic>
                        <pic:nvPicPr>
                          <pic:cNvPr id="1084" name="Image 1084"/>
                          <pic:cNvPicPr/>
                        </pic:nvPicPr>
                        <pic:blipFill>
                          <a:blip r:embed="rId172" cstate="print"/>
                          <a:stretch>
                            <a:fillRect/>
                          </a:stretch>
                        </pic:blipFill>
                        <pic:spPr>
                          <a:xfrm>
                            <a:off x="2" y="0"/>
                            <a:ext cx="7559992" cy="3420008"/>
                          </a:xfrm>
                          <a:prstGeom prst="rect">
                            <a:avLst/>
                          </a:prstGeom>
                        </pic:spPr>
                      </pic:pic>
                      <wps:wsp>
                        <wps:cNvPr id="1085" name="Graphic 1085"/>
                        <wps:cNvSpPr/>
                        <wps:spPr>
                          <a:xfrm>
                            <a:off x="2" y="2250003"/>
                            <a:ext cx="7560309" cy="4183379"/>
                          </a:xfrm>
                          <a:custGeom>
                            <a:avLst/>
                            <a:gdLst/>
                            <a:ahLst/>
                            <a:cxnLst/>
                            <a:rect l="l" t="t" r="r" b="b"/>
                            <a:pathLst>
                              <a:path w="7560309" h="4183379">
                                <a:moveTo>
                                  <a:pt x="6840004" y="0"/>
                                </a:moveTo>
                                <a:lnTo>
                                  <a:pt x="0" y="0"/>
                                </a:lnTo>
                                <a:lnTo>
                                  <a:pt x="0" y="4182871"/>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1086" name="Graphic 1086"/>
                        <wps:cNvSpPr/>
                        <wps:spPr>
                          <a:xfrm>
                            <a:off x="900001" y="2729103"/>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s:wsp>
                        <wps:cNvPr id="1087" name="Graphic 1087"/>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088" name="Graphic 1088"/>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506.55pt;mso-position-horizontal-relative:page;mso-position-vertical-relative:page;z-index:-19203584" id="docshapegroup894" coordorigin="0,0" coordsize="11906,10131">
                <v:shape style="position:absolute;left:0;top:0;width:11906;height:5386" type="#_x0000_t75" id="docshape895" stroked="false">
                  <v:imagedata r:id="rId172" o:title=""/>
                </v:shape>
                <v:shape style="position:absolute;left:0;top:3543;width:11906;height:6588" id="docshape896" coordorigin="0,3543" coordsize="11906,6588" path="m10772,3543l0,3543,0,10131,11906,10131,11906,4111,11846,4036,11798,3984,11749,3934,11697,3887,11642,3842,11586,3800,11527,3761,11467,3725,11404,3692,11340,3662,11274,3635,11206,3611,11137,3591,11066,3574,10994,3561,10921,3551,10847,3545,10772,3543xe" filled="true" fillcolor="#ffffff" stroked="false">
                  <v:path arrowok="t"/>
                  <v:fill type="solid"/>
                </v:shape>
                <v:line style="position:absolute" from="1417,4298" to="10885,4298" stroked="true" strokeweight="1pt" strokecolor="#36a9e1">
                  <v:stroke dashstyle="solid"/>
                </v:line>
                <v:shape style="position:absolute;left:0;top:0;width:11906;height:1819" id="docshape897"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tabs>
          <w:tab w:pos="10768" w:val="left" w:leader="none"/>
        </w:tabs>
        <w:spacing w:before="1"/>
        <w:ind w:left="4140" w:right="0" w:firstLine="0"/>
        <w:jc w:val="left"/>
        <w:rPr>
          <w:b/>
          <w:sz w:val="28"/>
        </w:rPr>
      </w:pPr>
      <w:bookmarkStart w:name="Chapter 7: EU Policy Developments and In" w:id="207"/>
      <w:bookmarkEnd w:id="207"/>
      <w:r>
        <w:rPr/>
      </w:r>
      <w:bookmarkStart w:name="7.1 Introduction " w:id="208"/>
      <w:bookmarkEnd w:id="208"/>
      <w:r>
        <w:rPr/>
      </w:r>
      <w:bookmarkStart w:name="_bookmark86" w:id="209"/>
      <w:bookmarkEnd w:id="209"/>
      <w:r>
        <w:rPr/>
      </w:r>
      <w:r>
        <w:rPr>
          <w:b/>
          <w:color w:val="FFFFFF"/>
          <w:sz w:val="24"/>
        </w:rPr>
        <w:t>EU</w:t>
      </w:r>
      <w:r>
        <w:rPr>
          <w:b/>
          <w:color w:val="FFFFFF"/>
          <w:spacing w:val="-5"/>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133</w:t>
      </w:r>
    </w:p>
    <w:p>
      <w:pPr>
        <w:pStyle w:val="BodyText"/>
        <w:spacing w:before="40"/>
        <w:rPr>
          <w:b/>
          <w:sz w:val="52"/>
        </w:rPr>
      </w:pPr>
    </w:p>
    <w:p>
      <w:pPr>
        <w:spacing w:line="597" w:lineRule="exact" w:before="0"/>
        <w:ind w:left="1117" w:right="0" w:firstLine="0"/>
        <w:jc w:val="left"/>
        <w:rPr>
          <w:sz w:val="52"/>
        </w:rPr>
      </w:pPr>
      <w:r>
        <w:rPr>
          <w:color w:val="FFFFFF"/>
          <w:sz w:val="52"/>
        </w:rPr>
        <w:t>Chapter</w:t>
      </w:r>
      <w:r>
        <w:rPr>
          <w:color w:val="FFFFFF"/>
          <w:spacing w:val="-13"/>
          <w:sz w:val="52"/>
        </w:rPr>
        <w:t> </w:t>
      </w:r>
      <w:r>
        <w:rPr>
          <w:color w:val="FFFFFF"/>
          <w:spacing w:val="-5"/>
          <w:sz w:val="52"/>
        </w:rPr>
        <w:t>7:</w:t>
      </w:r>
    </w:p>
    <w:p>
      <w:pPr>
        <w:pStyle w:val="Heading1"/>
        <w:spacing w:line="211" w:lineRule="auto" w:before="22"/>
        <w:ind w:right="1087"/>
      </w:pPr>
      <w:r>
        <w:rPr>
          <w:color w:val="FFFFFF"/>
        </w:rPr>
        <w:t>EU</w:t>
      </w:r>
      <w:r>
        <w:rPr>
          <w:color w:val="FFFFFF"/>
          <w:spacing w:val="-18"/>
        </w:rPr>
        <w:t> </w:t>
      </w:r>
      <w:r>
        <w:rPr>
          <w:color w:val="FFFFFF"/>
        </w:rPr>
        <w:t>Policy</w:t>
      </w:r>
      <w:r>
        <w:rPr>
          <w:color w:val="FFFFFF"/>
          <w:spacing w:val="-18"/>
        </w:rPr>
        <w:t> </w:t>
      </w:r>
      <w:r>
        <w:rPr>
          <w:color w:val="FFFFFF"/>
        </w:rPr>
        <w:t>Developments</w:t>
      </w:r>
      <w:r>
        <w:rPr>
          <w:color w:val="FFFFFF"/>
          <w:spacing w:val="-18"/>
        </w:rPr>
        <w:t> </w:t>
      </w:r>
      <w:r>
        <w:rPr>
          <w:color w:val="FFFFFF"/>
        </w:rPr>
        <w:t>and</w:t>
      </w:r>
      <w:r>
        <w:rPr>
          <w:color w:val="FFFFFF"/>
          <w:spacing w:val="-18"/>
        </w:rPr>
        <w:t> </w:t>
      </w:r>
      <w:r>
        <w:rPr>
          <w:color w:val="FFFFFF"/>
        </w:rPr>
        <w:t>Initiatives since January 2022</w:t>
      </w:r>
    </w:p>
    <w:p>
      <w:pPr>
        <w:pStyle w:val="Heading2"/>
        <w:numPr>
          <w:ilvl w:val="1"/>
          <w:numId w:val="56"/>
        </w:numPr>
        <w:tabs>
          <w:tab w:pos="1599" w:val="left" w:leader="none"/>
        </w:tabs>
        <w:spacing w:line="240" w:lineRule="auto" w:before="481" w:after="0"/>
        <w:ind w:left="1599" w:right="0" w:hanging="482"/>
        <w:jc w:val="left"/>
      </w:pPr>
      <w:r>
        <w:rPr>
          <w:color w:val="004A93"/>
          <w:spacing w:val="-2"/>
        </w:rPr>
        <w:t>Introduction</w:t>
      </w:r>
    </w:p>
    <w:p>
      <w:pPr>
        <w:pStyle w:val="BodyText"/>
        <w:spacing w:line="232" w:lineRule="auto" w:before="212"/>
        <w:ind w:left="1117" w:right="1087"/>
      </w:pPr>
      <w:r>
        <w:rPr/>
        <w:t>This</w:t>
      </w:r>
      <w:r>
        <w:rPr>
          <w:spacing w:val="-6"/>
        </w:rPr>
        <w:t> </w:t>
      </w:r>
      <w:r>
        <w:rPr/>
        <w:t>chapter</w:t>
      </w:r>
      <w:r>
        <w:rPr>
          <w:spacing w:val="-5"/>
        </w:rPr>
        <w:t> </w:t>
      </w:r>
      <w:r>
        <w:rPr/>
        <w:t>provides</w:t>
      </w:r>
      <w:r>
        <w:rPr>
          <w:spacing w:val="-6"/>
        </w:rPr>
        <w:t> </w:t>
      </w:r>
      <w:r>
        <w:rPr/>
        <w:t>an</w:t>
      </w:r>
      <w:r>
        <w:rPr>
          <w:spacing w:val="-6"/>
        </w:rPr>
        <w:t> </w:t>
      </w:r>
      <w:r>
        <w:rPr/>
        <w:t>update</w:t>
      </w:r>
      <w:r>
        <w:rPr>
          <w:spacing w:val="-5"/>
        </w:rPr>
        <w:t> </w:t>
      </w:r>
      <w:r>
        <w:rPr/>
        <w:t>on</w:t>
      </w:r>
      <w:r>
        <w:rPr>
          <w:spacing w:val="-6"/>
        </w:rPr>
        <w:t> </w:t>
      </w:r>
      <w:r>
        <w:rPr/>
        <w:t>and</w:t>
      </w:r>
      <w:r>
        <w:rPr>
          <w:spacing w:val="-6"/>
        </w:rPr>
        <w:t> </w:t>
      </w:r>
      <w:r>
        <w:rPr/>
        <w:t>identifies</w:t>
      </w:r>
      <w:r>
        <w:rPr>
          <w:spacing w:val="-6"/>
        </w:rPr>
        <w:t> </w:t>
      </w:r>
      <w:r>
        <w:rPr/>
        <w:t>EU</w:t>
      </w:r>
      <w:r>
        <w:rPr>
          <w:spacing w:val="-5"/>
        </w:rPr>
        <w:t> </w:t>
      </w:r>
      <w:r>
        <w:rPr/>
        <w:t>policy</w:t>
      </w:r>
      <w:r>
        <w:rPr>
          <w:spacing w:val="-5"/>
        </w:rPr>
        <w:t> </w:t>
      </w:r>
      <w:r>
        <w:rPr/>
        <w:t>developments</w:t>
      </w:r>
      <w:r>
        <w:rPr>
          <w:spacing w:val="-6"/>
        </w:rPr>
        <w:t> </w:t>
      </w:r>
      <w:r>
        <w:rPr/>
        <w:t>and initiatives since January 2022 regarding projects that relate to equality and human rights. It discusses EU policies that were ongoing during the period 1 January 2022 – 31 August 2023 and which no longer apply to NI (and, when possible, it identifies EU policies that did not apply to NI before the end of the Brexit transition period, that is, 31 December 2021).</w:t>
      </w:r>
    </w:p>
    <w:p>
      <w:pPr>
        <w:pStyle w:val="BodyText"/>
        <w:spacing w:line="232" w:lineRule="auto" w:before="274"/>
        <w:ind w:left="1117" w:right="1327"/>
      </w:pPr>
      <w:r>
        <w:rPr/>
        <w:t>Given the significant number of EU policy developments and initiatives in relation to human rights and equality, it is a large effort to track whether, when</w:t>
      </w:r>
      <w:r>
        <w:rPr>
          <w:spacing w:val="-6"/>
        </w:rPr>
        <w:t> </w:t>
      </w:r>
      <w:r>
        <w:rPr/>
        <w:t>and</w:t>
      </w:r>
      <w:r>
        <w:rPr>
          <w:spacing w:val="-6"/>
        </w:rPr>
        <w:t> </w:t>
      </w:r>
      <w:r>
        <w:rPr/>
        <w:t>to</w:t>
      </w:r>
      <w:r>
        <w:rPr>
          <w:spacing w:val="-6"/>
        </w:rPr>
        <w:t> </w:t>
      </w:r>
      <w:r>
        <w:rPr/>
        <w:t>what</w:t>
      </w:r>
      <w:r>
        <w:rPr>
          <w:spacing w:val="-5"/>
        </w:rPr>
        <w:t> </w:t>
      </w:r>
      <w:r>
        <w:rPr/>
        <w:t>extent</w:t>
      </w:r>
      <w:r>
        <w:rPr>
          <w:spacing w:val="-5"/>
        </w:rPr>
        <w:t> </w:t>
      </w:r>
      <w:r>
        <w:rPr/>
        <w:t>those</w:t>
      </w:r>
      <w:r>
        <w:rPr>
          <w:spacing w:val="-5"/>
        </w:rPr>
        <w:t> </w:t>
      </w:r>
      <w:r>
        <w:rPr/>
        <w:t>policies</w:t>
      </w:r>
      <w:r>
        <w:rPr>
          <w:spacing w:val="-6"/>
        </w:rPr>
        <w:t> </w:t>
      </w:r>
      <w:r>
        <w:rPr/>
        <w:t>were</w:t>
      </w:r>
      <w:r>
        <w:rPr>
          <w:spacing w:val="-5"/>
        </w:rPr>
        <w:t> </w:t>
      </w:r>
      <w:r>
        <w:rPr/>
        <w:t>adopted</w:t>
      </w:r>
      <w:r>
        <w:rPr>
          <w:spacing w:val="-6"/>
        </w:rPr>
        <w:t> </w:t>
      </w:r>
      <w:r>
        <w:rPr/>
        <w:t>by</w:t>
      </w:r>
      <w:r>
        <w:rPr>
          <w:spacing w:val="-5"/>
        </w:rPr>
        <w:t> </w:t>
      </w:r>
      <w:r>
        <w:rPr/>
        <w:t>the</w:t>
      </w:r>
      <w:r>
        <w:rPr>
          <w:spacing w:val="-5"/>
        </w:rPr>
        <w:t> </w:t>
      </w:r>
      <w:r>
        <w:rPr/>
        <w:t>UK.</w:t>
      </w:r>
      <w:r>
        <w:rPr>
          <w:spacing w:val="-6"/>
        </w:rPr>
        <w:t> </w:t>
      </w:r>
      <w:r>
        <w:rPr/>
        <w:t>This</w:t>
      </w:r>
      <w:r>
        <w:rPr>
          <w:spacing w:val="-6"/>
        </w:rPr>
        <w:t> </w:t>
      </w:r>
      <w:r>
        <w:rPr/>
        <w:t>chapter will outline:</w:t>
      </w:r>
    </w:p>
    <w:p>
      <w:pPr>
        <w:pStyle w:val="ListParagraph"/>
        <w:numPr>
          <w:ilvl w:val="2"/>
          <w:numId w:val="56"/>
        </w:numPr>
        <w:tabs>
          <w:tab w:pos="1457" w:val="left" w:leader="none"/>
        </w:tabs>
        <w:spacing w:line="232" w:lineRule="auto" w:before="264" w:after="0"/>
        <w:ind w:left="1457" w:right="1823" w:hanging="341"/>
        <w:jc w:val="left"/>
        <w:rPr>
          <w:sz w:val="28"/>
        </w:rPr>
      </w:pPr>
      <w:r>
        <w:rPr>
          <w:sz w:val="28"/>
        </w:rPr>
        <w:t>Key</w:t>
      </w:r>
      <w:r>
        <w:rPr>
          <w:spacing w:val="-4"/>
          <w:sz w:val="28"/>
        </w:rPr>
        <w:t> </w:t>
      </w:r>
      <w:r>
        <w:rPr>
          <w:sz w:val="28"/>
        </w:rPr>
        <w:t>EU</w:t>
      </w:r>
      <w:r>
        <w:rPr>
          <w:spacing w:val="-4"/>
          <w:sz w:val="28"/>
        </w:rPr>
        <w:t> </w:t>
      </w:r>
      <w:r>
        <w:rPr>
          <w:sz w:val="28"/>
        </w:rPr>
        <w:t>policies</w:t>
      </w:r>
      <w:r>
        <w:rPr>
          <w:spacing w:val="-5"/>
          <w:sz w:val="28"/>
        </w:rPr>
        <w:t> </w:t>
      </w:r>
      <w:r>
        <w:rPr>
          <w:sz w:val="28"/>
        </w:rPr>
        <w:t>that</w:t>
      </w:r>
      <w:r>
        <w:rPr>
          <w:spacing w:val="-4"/>
          <w:sz w:val="28"/>
        </w:rPr>
        <w:t> </w:t>
      </w:r>
      <w:r>
        <w:rPr>
          <w:sz w:val="28"/>
        </w:rPr>
        <w:t>were</w:t>
      </w:r>
      <w:r>
        <w:rPr>
          <w:spacing w:val="-4"/>
          <w:sz w:val="28"/>
        </w:rPr>
        <w:t> </w:t>
      </w:r>
      <w:r>
        <w:rPr>
          <w:sz w:val="28"/>
        </w:rPr>
        <w:t>ongoing</w:t>
      </w:r>
      <w:r>
        <w:rPr>
          <w:spacing w:val="-4"/>
          <w:sz w:val="28"/>
        </w:rPr>
        <w:t> </w:t>
      </w:r>
      <w:r>
        <w:rPr>
          <w:sz w:val="28"/>
        </w:rPr>
        <w:t>during</w:t>
      </w:r>
      <w:r>
        <w:rPr>
          <w:spacing w:val="-4"/>
          <w:sz w:val="28"/>
        </w:rPr>
        <w:t> </w:t>
      </w:r>
      <w:r>
        <w:rPr>
          <w:sz w:val="28"/>
        </w:rPr>
        <w:t>the</w:t>
      </w:r>
      <w:r>
        <w:rPr>
          <w:spacing w:val="-4"/>
          <w:sz w:val="28"/>
        </w:rPr>
        <w:t> </w:t>
      </w:r>
      <w:r>
        <w:rPr>
          <w:sz w:val="28"/>
        </w:rPr>
        <w:t>period</w:t>
      </w:r>
      <w:r>
        <w:rPr>
          <w:spacing w:val="-5"/>
          <w:sz w:val="28"/>
        </w:rPr>
        <w:t> </w:t>
      </w:r>
      <w:r>
        <w:rPr>
          <w:sz w:val="28"/>
        </w:rPr>
        <w:t>1</w:t>
      </w:r>
      <w:r>
        <w:rPr>
          <w:spacing w:val="-4"/>
          <w:sz w:val="28"/>
        </w:rPr>
        <w:t> </w:t>
      </w:r>
      <w:r>
        <w:rPr>
          <w:sz w:val="28"/>
        </w:rPr>
        <w:t>January</w:t>
      </w:r>
      <w:r>
        <w:rPr>
          <w:spacing w:val="-4"/>
          <w:sz w:val="28"/>
        </w:rPr>
        <w:t> </w:t>
      </w:r>
      <w:r>
        <w:rPr>
          <w:sz w:val="28"/>
        </w:rPr>
        <w:t>2022-31 August 2023, in the field of equality and non-discrimination</w:t>
      </w:r>
    </w:p>
    <w:p>
      <w:pPr>
        <w:pStyle w:val="ListParagraph"/>
        <w:numPr>
          <w:ilvl w:val="2"/>
          <w:numId w:val="56"/>
        </w:numPr>
        <w:tabs>
          <w:tab w:pos="1457" w:val="left" w:leader="none"/>
        </w:tabs>
        <w:spacing w:line="325" w:lineRule="exact" w:before="0" w:after="0"/>
        <w:ind w:left="1457" w:right="0" w:hanging="340"/>
        <w:jc w:val="left"/>
        <w:rPr>
          <w:sz w:val="28"/>
        </w:rPr>
      </w:pPr>
      <w:r>
        <w:rPr>
          <w:sz w:val="28"/>
        </w:rPr>
        <w:t>Key</w:t>
      </w:r>
      <w:r>
        <w:rPr>
          <w:spacing w:val="-3"/>
          <w:sz w:val="28"/>
        </w:rPr>
        <w:t> </w:t>
      </w:r>
      <w:r>
        <w:rPr>
          <w:sz w:val="28"/>
        </w:rPr>
        <w:t>EU</w:t>
      </w:r>
      <w:r>
        <w:rPr>
          <w:spacing w:val="-3"/>
          <w:sz w:val="28"/>
        </w:rPr>
        <w:t> </w:t>
      </w:r>
      <w:r>
        <w:rPr>
          <w:sz w:val="28"/>
        </w:rPr>
        <w:t>policies</w:t>
      </w:r>
      <w:r>
        <w:rPr>
          <w:spacing w:val="-4"/>
          <w:sz w:val="28"/>
        </w:rPr>
        <w:t> </w:t>
      </w:r>
      <w:r>
        <w:rPr>
          <w:sz w:val="28"/>
        </w:rPr>
        <w:t>that</w:t>
      </w:r>
      <w:r>
        <w:rPr>
          <w:spacing w:val="-2"/>
          <w:sz w:val="28"/>
        </w:rPr>
        <w:t> </w:t>
      </w:r>
      <w:r>
        <w:rPr>
          <w:sz w:val="28"/>
        </w:rPr>
        <w:t>were</w:t>
      </w:r>
      <w:r>
        <w:rPr>
          <w:spacing w:val="-3"/>
          <w:sz w:val="28"/>
        </w:rPr>
        <w:t> </w:t>
      </w:r>
      <w:r>
        <w:rPr>
          <w:sz w:val="28"/>
        </w:rPr>
        <w:t>ongoing</w:t>
      </w:r>
      <w:r>
        <w:rPr>
          <w:spacing w:val="-3"/>
          <w:sz w:val="28"/>
        </w:rPr>
        <w:t> </w:t>
      </w:r>
      <w:r>
        <w:rPr>
          <w:sz w:val="28"/>
        </w:rPr>
        <w:t>during</w:t>
      </w:r>
      <w:r>
        <w:rPr>
          <w:spacing w:val="-3"/>
          <w:sz w:val="28"/>
        </w:rPr>
        <w:t> </w:t>
      </w:r>
      <w:r>
        <w:rPr>
          <w:sz w:val="28"/>
        </w:rPr>
        <w:t>the</w:t>
      </w:r>
      <w:r>
        <w:rPr>
          <w:spacing w:val="-2"/>
          <w:sz w:val="28"/>
        </w:rPr>
        <w:t> </w:t>
      </w:r>
      <w:r>
        <w:rPr>
          <w:sz w:val="28"/>
        </w:rPr>
        <w:t>period</w:t>
      </w:r>
      <w:r>
        <w:rPr>
          <w:spacing w:val="-4"/>
          <w:sz w:val="28"/>
        </w:rPr>
        <w:t> </w:t>
      </w:r>
      <w:r>
        <w:rPr>
          <w:sz w:val="28"/>
        </w:rPr>
        <w:t>1</w:t>
      </w:r>
      <w:r>
        <w:rPr>
          <w:spacing w:val="-3"/>
          <w:sz w:val="28"/>
        </w:rPr>
        <w:t> </w:t>
      </w:r>
      <w:r>
        <w:rPr>
          <w:sz w:val="28"/>
        </w:rPr>
        <w:t>January</w:t>
      </w:r>
      <w:r>
        <w:rPr>
          <w:spacing w:val="-2"/>
          <w:sz w:val="28"/>
        </w:rPr>
        <w:t> </w:t>
      </w:r>
      <w:r>
        <w:rPr>
          <w:sz w:val="28"/>
        </w:rPr>
        <w:t>2022-</w:t>
      </w:r>
      <w:r>
        <w:rPr>
          <w:spacing w:val="-5"/>
          <w:sz w:val="28"/>
        </w:rPr>
        <w:t>31</w:t>
      </w:r>
    </w:p>
    <w:p>
      <w:pPr>
        <w:pStyle w:val="BodyText"/>
        <w:spacing w:line="336" w:lineRule="exact"/>
        <w:ind w:left="1457"/>
      </w:pPr>
      <w:r>
        <w:rPr/>
        <w:t>August</w:t>
      </w:r>
      <w:r>
        <w:rPr>
          <w:spacing w:val="-6"/>
        </w:rPr>
        <w:t> </w:t>
      </w:r>
      <w:r>
        <w:rPr/>
        <w:t>2023,</w:t>
      </w:r>
      <w:r>
        <w:rPr>
          <w:spacing w:val="-3"/>
        </w:rPr>
        <w:t> </w:t>
      </w:r>
      <w:r>
        <w:rPr/>
        <w:t>in</w:t>
      </w:r>
      <w:r>
        <w:rPr>
          <w:spacing w:val="-4"/>
        </w:rPr>
        <w:t> </w:t>
      </w:r>
      <w:r>
        <w:rPr/>
        <w:t>the</w:t>
      </w:r>
      <w:r>
        <w:rPr>
          <w:spacing w:val="-4"/>
        </w:rPr>
        <w:t> </w:t>
      </w:r>
      <w:r>
        <w:rPr/>
        <w:t>field</w:t>
      </w:r>
      <w:r>
        <w:rPr>
          <w:spacing w:val="-4"/>
        </w:rPr>
        <w:t> </w:t>
      </w:r>
      <w:r>
        <w:rPr/>
        <w:t>of</w:t>
      </w:r>
      <w:r>
        <w:rPr>
          <w:spacing w:val="-4"/>
        </w:rPr>
        <w:t> </w:t>
      </w:r>
      <w:r>
        <w:rPr/>
        <w:t>human</w:t>
      </w:r>
      <w:r>
        <w:rPr>
          <w:spacing w:val="-4"/>
        </w:rPr>
        <w:t> </w:t>
      </w:r>
      <w:r>
        <w:rPr>
          <w:spacing w:val="-2"/>
        </w:rPr>
        <w:t>rights.</w:t>
      </w:r>
    </w:p>
    <w:p>
      <w:pPr>
        <w:pStyle w:val="BodyText"/>
        <w:spacing w:line="232" w:lineRule="auto" w:before="280"/>
        <w:ind w:left="1117" w:right="1087"/>
      </w:pPr>
      <w:r>
        <w:rPr/>
        <w:t>Through</w:t>
      </w:r>
      <w:r>
        <w:rPr>
          <w:spacing w:val="-6"/>
        </w:rPr>
        <w:t> </w:t>
      </w:r>
      <w:r>
        <w:rPr/>
        <w:t>the</w:t>
      </w:r>
      <w:r>
        <w:rPr>
          <w:spacing w:val="-5"/>
        </w:rPr>
        <w:t> </w:t>
      </w:r>
      <w:r>
        <w:rPr/>
        <w:t>use</w:t>
      </w:r>
      <w:r>
        <w:rPr>
          <w:spacing w:val="-5"/>
        </w:rPr>
        <w:t> </w:t>
      </w:r>
      <w:r>
        <w:rPr/>
        <w:t>of</w:t>
      </w:r>
      <w:r>
        <w:rPr>
          <w:spacing w:val="-6"/>
        </w:rPr>
        <w:t> </w:t>
      </w:r>
      <w:r>
        <w:rPr/>
        <w:t>the</w:t>
      </w:r>
      <w:r>
        <w:rPr>
          <w:spacing w:val="-5"/>
        </w:rPr>
        <w:t> </w:t>
      </w:r>
      <w:r>
        <w:rPr/>
        <w:t>three</w:t>
      </w:r>
      <w:r>
        <w:rPr>
          <w:spacing w:val="-5"/>
        </w:rPr>
        <w:t> </w:t>
      </w:r>
      <w:r>
        <w:rPr/>
        <w:t>official</w:t>
      </w:r>
      <w:r>
        <w:rPr>
          <w:spacing w:val="-6"/>
        </w:rPr>
        <w:t> </w:t>
      </w:r>
      <w:r>
        <w:rPr/>
        <w:t>EU</w:t>
      </w:r>
      <w:r>
        <w:rPr>
          <w:spacing w:val="-5"/>
        </w:rPr>
        <w:t> </w:t>
      </w:r>
      <w:r>
        <w:rPr/>
        <w:t>websites</w:t>
      </w:r>
      <w:r>
        <w:rPr>
          <w:spacing w:val="-6"/>
        </w:rPr>
        <w:t> </w:t>
      </w:r>
      <w:r>
        <w:rPr/>
        <w:t>outlining</w:t>
      </w:r>
      <w:r>
        <w:rPr>
          <w:spacing w:val="-5"/>
        </w:rPr>
        <w:t> </w:t>
      </w:r>
      <w:r>
        <w:rPr/>
        <w:t>ongoing</w:t>
      </w:r>
      <w:r>
        <w:rPr>
          <w:spacing w:val="-5"/>
        </w:rPr>
        <w:t> </w:t>
      </w:r>
      <w:r>
        <w:rPr/>
        <w:t>EU</w:t>
      </w:r>
      <w:r>
        <w:rPr>
          <w:spacing w:val="-5"/>
        </w:rPr>
        <w:t> </w:t>
      </w:r>
      <w:r>
        <w:rPr/>
        <w:t>policies, initiatives and actions; and by filtering down topics relevant to equality and human rights,</w:t>
      </w:r>
      <w:r>
        <w:rPr>
          <w:vertAlign w:val="superscript"/>
        </w:rPr>
        <w:t>675</w:t>
      </w:r>
      <w:r>
        <w:rPr>
          <w:vertAlign w:val="baseline"/>
        </w:rPr>
        <w:t> we identified:</w:t>
      </w:r>
    </w:p>
    <w:p>
      <w:pPr>
        <w:pStyle w:val="ListParagraph"/>
        <w:numPr>
          <w:ilvl w:val="2"/>
          <w:numId w:val="56"/>
        </w:numPr>
        <w:tabs>
          <w:tab w:pos="1457" w:val="left" w:leader="none"/>
        </w:tabs>
        <w:spacing w:line="232" w:lineRule="auto" w:before="265" w:after="0"/>
        <w:ind w:left="1457" w:right="1673" w:hanging="341"/>
        <w:jc w:val="left"/>
        <w:rPr>
          <w:sz w:val="28"/>
        </w:rPr>
      </w:pPr>
      <w:r>
        <w:rPr>
          <w:sz w:val="28"/>
        </w:rPr>
        <w:t>16</w:t>
      </w:r>
      <w:r>
        <w:rPr>
          <w:spacing w:val="-4"/>
          <w:sz w:val="28"/>
        </w:rPr>
        <w:t> </w:t>
      </w:r>
      <w:r>
        <w:rPr>
          <w:sz w:val="28"/>
        </w:rPr>
        <w:t>key</w:t>
      </w:r>
      <w:r>
        <w:rPr>
          <w:spacing w:val="-4"/>
          <w:sz w:val="28"/>
        </w:rPr>
        <w:t> </w:t>
      </w:r>
      <w:r>
        <w:rPr>
          <w:sz w:val="28"/>
        </w:rPr>
        <w:t>ongoing</w:t>
      </w:r>
      <w:r>
        <w:rPr>
          <w:spacing w:val="-4"/>
          <w:sz w:val="28"/>
        </w:rPr>
        <w:t> </w:t>
      </w:r>
      <w:r>
        <w:rPr>
          <w:sz w:val="28"/>
        </w:rPr>
        <w:t>EU</w:t>
      </w:r>
      <w:r>
        <w:rPr>
          <w:spacing w:val="-4"/>
          <w:sz w:val="28"/>
        </w:rPr>
        <w:t> </w:t>
      </w:r>
      <w:r>
        <w:rPr>
          <w:sz w:val="28"/>
        </w:rPr>
        <w:t>policies</w:t>
      </w:r>
      <w:r>
        <w:rPr>
          <w:spacing w:val="-5"/>
          <w:sz w:val="28"/>
        </w:rPr>
        <w:t> </w:t>
      </w:r>
      <w:r>
        <w:rPr>
          <w:sz w:val="28"/>
        </w:rPr>
        <w:t>in</w:t>
      </w:r>
      <w:r>
        <w:rPr>
          <w:spacing w:val="-5"/>
          <w:sz w:val="28"/>
        </w:rPr>
        <w:t> </w:t>
      </w:r>
      <w:r>
        <w:rPr>
          <w:sz w:val="28"/>
        </w:rPr>
        <w:t>the</w:t>
      </w:r>
      <w:r>
        <w:rPr>
          <w:spacing w:val="-4"/>
          <w:sz w:val="28"/>
        </w:rPr>
        <w:t> </w:t>
      </w:r>
      <w:r>
        <w:rPr>
          <w:sz w:val="28"/>
        </w:rPr>
        <w:t>field</w:t>
      </w:r>
      <w:r>
        <w:rPr>
          <w:spacing w:val="-5"/>
          <w:sz w:val="28"/>
        </w:rPr>
        <w:t> </w:t>
      </w:r>
      <w:r>
        <w:rPr>
          <w:sz w:val="28"/>
        </w:rPr>
        <w:t>human</w:t>
      </w:r>
      <w:r>
        <w:rPr>
          <w:spacing w:val="-5"/>
          <w:sz w:val="28"/>
        </w:rPr>
        <w:t> </w:t>
      </w:r>
      <w:r>
        <w:rPr>
          <w:sz w:val="28"/>
        </w:rPr>
        <w:t>rights</w:t>
      </w:r>
      <w:r>
        <w:rPr>
          <w:spacing w:val="-5"/>
          <w:sz w:val="28"/>
        </w:rPr>
        <w:t> </w:t>
      </w:r>
      <w:r>
        <w:rPr>
          <w:sz w:val="28"/>
        </w:rPr>
        <w:t>and</w:t>
      </w:r>
      <w:r>
        <w:rPr>
          <w:spacing w:val="-5"/>
          <w:sz w:val="28"/>
        </w:rPr>
        <w:t> </w:t>
      </w:r>
      <w:r>
        <w:rPr>
          <w:sz w:val="28"/>
        </w:rPr>
        <w:t>equality;</w:t>
      </w:r>
      <w:r>
        <w:rPr>
          <w:spacing w:val="-4"/>
          <w:sz w:val="28"/>
        </w:rPr>
        <w:t> </w:t>
      </w:r>
      <w:r>
        <w:rPr>
          <w:sz w:val="28"/>
        </w:rPr>
        <w:t>half</w:t>
      </w:r>
      <w:r>
        <w:rPr>
          <w:spacing w:val="-5"/>
          <w:sz w:val="28"/>
        </w:rPr>
        <w:t> </w:t>
      </w:r>
      <w:r>
        <w:rPr>
          <w:sz w:val="28"/>
        </w:rPr>
        <w:t>of which are relevant to the application of an Annex 1 Directive.</w:t>
      </w:r>
    </w:p>
    <w:p>
      <w:pPr>
        <w:pStyle w:val="ListParagraph"/>
        <w:numPr>
          <w:ilvl w:val="2"/>
          <w:numId w:val="56"/>
        </w:numPr>
        <w:tabs>
          <w:tab w:pos="1457" w:val="left" w:leader="none"/>
        </w:tabs>
        <w:spacing w:line="325" w:lineRule="exact" w:before="0" w:after="0"/>
        <w:ind w:left="1457" w:right="0" w:hanging="340"/>
        <w:jc w:val="left"/>
        <w:rPr>
          <w:sz w:val="28"/>
        </w:rPr>
      </w:pPr>
      <w:r>
        <w:rPr>
          <w:sz w:val="28"/>
        </w:rPr>
        <w:t>A</w:t>
      </w:r>
      <w:r>
        <w:rPr>
          <w:spacing w:val="-6"/>
          <w:sz w:val="28"/>
        </w:rPr>
        <w:t> </w:t>
      </w:r>
      <w:r>
        <w:rPr>
          <w:sz w:val="28"/>
        </w:rPr>
        <w:t>strong</w:t>
      </w:r>
      <w:r>
        <w:rPr>
          <w:spacing w:val="-6"/>
          <w:sz w:val="28"/>
        </w:rPr>
        <w:t> </w:t>
      </w:r>
      <w:r>
        <w:rPr>
          <w:sz w:val="28"/>
        </w:rPr>
        <w:t>interest</w:t>
      </w:r>
      <w:r>
        <w:rPr>
          <w:spacing w:val="-5"/>
          <w:sz w:val="28"/>
        </w:rPr>
        <w:t> </w:t>
      </w:r>
      <w:r>
        <w:rPr>
          <w:sz w:val="28"/>
        </w:rPr>
        <w:t>from</w:t>
      </w:r>
      <w:r>
        <w:rPr>
          <w:spacing w:val="-6"/>
          <w:sz w:val="28"/>
        </w:rPr>
        <w:t> </w:t>
      </w:r>
      <w:r>
        <w:rPr>
          <w:sz w:val="28"/>
        </w:rPr>
        <w:t>the</w:t>
      </w:r>
      <w:r>
        <w:rPr>
          <w:spacing w:val="-5"/>
          <w:sz w:val="28"/>
        </w:rPr>
        <w:t> </w:t>
      </w:r>
      <w:r>
        <w:rPr>
          <w:sz w:val="28"/>
        </w:rPr>
        <w:t>EU</w:t>
      </w:r>
      <w:r>
        <w:rPr>
          <w:spacing w:val="-6"/>
          <w:sz w:val="28"/>
        </w:rPr>
        <w:t> </w:t>
      </w:r>
      <w:r>
        <w:rPr>
          <w:sz w:val="28"/>
        </w:rPr>
        <w:t>in</w:t>
      </w:r>
      <w:r>
        <w:rPr>
          <w:spacing w:val="-6"/>
          <w:sz w:val="28"/>
        </w:rPr>
        <w:t> </w:t>
      </w:r>
      <w:r>
        <w:rPr>
          <w:sz w:val="28"/>
        </w:rPr>
        <w:t>non-discrimination</w:t>
      </w:r>
      <w:r>
        <w:rPr>
          <w:spacing w:val="-7"/>
          <w:sz w:val="28"/>
        </w:rPr>
        <w:t> </w:t>
      </w:r>
      <w:r>
        <w:rPr>
          <w:sz w:val="28"/>
        </w:rPr>
        <w:t>(to</w:t>
      </w:r>
      <w:r>
        <w:rPr>
          <w:spacing w:val="-6"/>
          <w:sz w:val="28"/>
        </w:rPr>
        <w:t> </w:t>
      </w:r>
      <w:r>
        <w:rPr>
          <w:sz w:val="28"/>
        </w:rPr>
        <w:t>strengthen</w:t>
      </w:r>
      <w:r>
        <w:rPr>
          <w:spacing w:val="-7"/>
          <w:sz w:val="28"/>
        </w:rPr>
        <w:t> </w:t>
      </w:r>
      <w:r>
        <w:rPr>
          <w:sz w:val="28"/>
        </w:rPr>
        <w:t>a</w:t>
      </w:r>
      <w:r>
        <w:rPr>
          <w:spacing w:val="-6"/>
          <w:sz w:val="28"/>
        </w:rPr>
        <w:t> </w:t>
      </w:r>
      <w:r>
        <w:rPr>
          <w:spacing w:val="-2"/>
          <w:sz w:val="28"/>
        </w:rPr>
        <w:t>‘Union</w:t>
      </w:r>
    </w:p>
    <w:p>
      <w:pPr>
        <w:pStyle w:val="BodyText"/>
        <w:spacing w:line="232" w:lineRule="auto" w:before="2"/>
        <w:ind w:left="1457" w:right="1087"/>
      </w:pPr>
      <w:r>
        <w:rPr/>
        <w:t>of</w:t>
      </w:r>
      <w:r>
        <w:rPr>
          <w:spacing w:val="-8"/>
        </w:rPr>
        <w:t> </w:t>
      </w:r>
      <w:r>
        <w:rPr/>
        <w:t>Equality’,</w:t>
      </w:r>
      <w:r>
        <w:rPr>
          <w:spacing w:val="-7"/>
        </w:rPr>
        <w:t> </w:t>
      </w:r>
      <w:r>
        <w:rPr/>
        <w:t>including</w:t>
      </w:r>
      <w:r>
        <w:rPr>
          <w:spacing w:val="-7"/>
        </w:rPr>
        <w:t> </w:t>
      </w:r>
      <w:r>
        <w:rPr/>
        <w:t>in</w:t>
      </w:r>
      <w:r>
        <w:rPr>
          <w:spacing w:val="-8"/>
        </w:rPr>
        <w:t> </w:t>
      </w:r>
      <w:r>
        <w:rPr/>
        <w:t>relation</w:t>
      </w:r>
      <w:r>
        <w:rPr>
          <w:spacing w:val="-8"/>
        </w:rPr>
        <w:t> </w:t>
      </w:r>
      <w:r>
        <w:rPr/>
        <w:t>to</w:t>
      </w:r>
      <w:r>
        <w:rPr>
          <w:spacing w:val="-8"/>
        </w:rPr>
        <w:t> </w:t>
      </w:r>
      <w:r>
        <w:rPr/>
        <w:t>gender</w:t>
      </w:r>
      <w:r>
        <w:rPr>
          <w:spacing w:val="-7"/>
        </w:rPr>
        <w:t> </w:t>
      </w:r>
      <w:r>
        <w:rPr/>
        <w:t>discrimination</w:t>
      </w:r>
      <w:r>
        <w:rPr>
          <w:spacing w:val="-8"/>
        </w:rPr>
        <w:t> </w:t>
      </w:r>
      <w:r>
        <w:rPr/>
        <w:t>and</w:t>
      </w:r>
      <w:r>
        <w:rPr>
          <w:spacing w:val="-8"/>
        </w:rPr>
        <w:t> </w:t>
      </w:r>
      <w:r>
        <w:rPr/>
        <w:t>racism);</w:t>
      </w:r>
      <w:r>
        <w:rPr>
          <w:spacing w:val="-7"/>
        </w:rPr>
        <w:t> </w:t>
      </w:r>
      <w:r>
        <w:rPr/>
        <w:t>as</w:t>
      </w:r>
      <w:r>
        <w:rPr>
          <w:spacing w:val="-8"/>
        </w:rPr>
        <w:t> </w:t>
      </w:r>
      <w:r>
        <w:rPr/>
        <w:t>well as in further protecting the rights of victims of crimes, children and migrants (including victims of human trafficking).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4"/>
        <w:rPr>
          <w:sz w:val="20"/>
        </w:rPr>
      </w:pPr>
      <w:r>
        <w:rPr/>
        <mc:AlternateContent>
          <mc:Choice Requires="wps">
            <w:drawing>
              <wp:anchor distT="0" distB="0" distL="0" distR="0" allowOverlap="1" layoutInCell="1" locked="0" behindDoc="1" simplePos="0" relativeHeight="487795712">
                <wp:simplePos x="0" y="0"/>
                <wp:positionH relativeFrom="page">
                  <wp:posOffset>899999</wp:posOffset>
                </wp:positionH>
                <wp:positionV relativeFrom="paragraph">
                  <wp:posOffset>223927</wp:posOffset>
                </wp:positionV>
                <wp:extent cx="6012180" cy="1270"/>
                <wp:effectExtent l="0" t="0" r="0" b="0"/>
                <wp:wrapTopAndBottom/>
                <wp:docPr id="1089" name="Graphic 1089"/>
                <wp:cNvGraphicFramePr>
                  <a:graphicFrameLocks/>
                </wp:cNvGraphicFramePr>
                <a:graphic>
                  <a:graphicData uri="http://schemas.microsoft.com/office/word/2010/wordprocessingShape">
                    <wps:wsp>
                      <wps:cNvPr id="1089" name="Graphic 108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7.632055pt;width:473.4pt;height:.1pt;mso-position-horizontal-relative:page;mso-position-vertical-relative:paragraph;z-index:-15520768;mso-wrap-distance-left:0;mso-wrap-distance-right:0" id="docshape898" coordorigin="1417,353" coordsize="9468,0" path="m1417,353l10885,353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766" w:hanging="567"/>
        <w:jc w:val="left"/>
        <w:rPr>
          <w:sz w:val="18"/>
        </w:rPr>
      </w:pPr>
      <w:r>
        <w:rPr>
          <w:sz w:val="18"/>
        </w:rPr>
        <w:t>Three main sources were used: a) European Commission, ‘</w:t>
      </w:r>
      <w:hyperlink r:id="rId173">
        <w:r>
          <w:rPr>
            <w:color w:val="1D71B8"/>
            <w:sz w:val="18"/>
            <w:u w:val="single" w:color="1D71B8"/>
          </w:rPr>
          <w:t>EU action by topic</w:t>
        </w:r>
      </w:hyperlink>
      <w:r>
        <w:rPr>
          <w:sz w:val="18"/>
          <w:u w:val="none"/>
        </w:rPr>
        <w:t>: What the EU is doing in the area of fundamental rights, anti-discrimination, supporting democracy and international justice’ (topics: all); b) European Commission,</w:t>
      </w:r>
      <w:r>
        <w:rPr>
          <w:spacing w:val="-5"/>
          <w:sz w:val="18"/>
          <w:u w:val="none"/>
        </w:rPr>
        <w:t> </w:t>
      </w:r>
      <w:r>
        <w:rPr>
          <w:sz w:val="18"/>
          <w:u w:val="none"/>
        </w:rPr>
        <w:t>‘</w:t>
      </w:r>
      <w:hyperlink r:id="rId174">
        <w:r>
          <w:rPr>
            <w:color w:val="1D71B8"/>
            <w:sz w:val="18"/>
            <w:u w:val="single" w:color="1D71B8"/>
          </w:rPr>
          <w:t>Strategy</w:t>
        </w:r>
        <w:r>
          <w:rPr>
            <w:color w:val="1D71B8"/>
            <w:spacing w:val="-5"/>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Policy’</w:t>
        </w:r>
      </w:hyperlink>
      <w:r>
        <w:rPr>
          <w:color w:val="1D71B8"/>
          <w:spacing w:val="-6"/>
          <w:sz w:val="18"/>
          <w:u w:val="none"/>
        </w:rPr>
        <w:t> </w:t>
      </w:r>
      <w:r>
        <w:rPr>
          <w:sz w:val="18"/>
          <w:u w:val="none"/>
        </w:rPr>
        <w:t>(topic:</w:t>
      </w:r>
      <w:r>
        <w:rPr>
          <w:spacing w:val="-5"/>
          <w:sz w:val="18"/>
          <w:u w:val="none"/>
        </w:rPr>
        <w:t> </w:t>
      </w:r>
      <w:r>
        <w:rPr>
          <w:sz w:val="18"/>
          <w:u w:val="none"/>
        </w:rPr>
        <w:t>‘Justice</w:t>
      </w:r>
      <w:r>
        <w:rPr>
          <w:spacing w:val="-5"/>
          <w:sz w:val="18"/>
          <w:u w:val="none"/>
        </w:rPr>
        <w:t> </w:t>
      </w:r>
      <w:r>
        <w:rPr>
          <w:sz w:val="18"/>
          <w:u w:val="none"/>
        </w:rPr>
        <w:t>and</w:t>
      </w:r>
      <w:r>
        <w:rPr>
          <w:spacing w:val="-6"/>
          <w:sz w:val="18"/>
          <w:u w:val="none"/>
        </w:rPr>
        <w:t> </w:t>
      </w:r>
      <w:r>
        <w:rPr>
          <w:sz w:val="18"/>
          <w:u w:val="none"/>
        </w:rPr>
        <w:t>Fundamental</w:t>
      </w:r>
      <w:r>
        <w:rPr>
          <w:spacing w:val="-6"/>
          <w:sz w:val="18"/>
          <w:u w:val="none"/>
        </w:rPr>
        <w:t> </w:t>
      </w:r>
      <w:r>
        <w:rPr>
          <w:sz w:val="18"/>
          <w:u w:val="none"/>
        </w:rPr>
        <w:t>Rights’,</w:t>
      </w:r>
      <w:r>
        <w:rPr>
          <w:spacing w:val="-5"/>
          <w:sz w:val="18"/>
          <w:u w:val="none"/>
        </w:rPr>
        <w:t> </w:t>
      </w:r>
      <w:r>
        <w:rPr>
          <w:sz w:val="18"/>
          <w:u w:val="none"/>
        </w:rPr>
        <w:t>subtopics</w:t>
      </w:r>
      <w:r>
        <w:rPr>
          <w:spacing w:val="-6"/>
          <w:sz w:val="18"/>
          <w:u w:val="none"/>
        </w:rPr>
        <w:t> </w:t>
      </w:r>
      <w:r>
        <w:rPr>
          <w:sz w:val="18"/>
          <w:u w:val="none"/>
        </w:rPr>
        <w:t>in</w:t>
      </w:r>
      <w:r>
        <w:rPr>
          <w:spacing w:val="-6"/>
          <w:sz w:val="18"/>
          <w:u w:val="none"/>
        </w:rPr>
        <w:t> </w:t>
      </w:r>
      <w:r>
        <w:rPr>
          <w:sz w:val="18"/>
          <w:u w:val="none"/>
        </w:rPr>
        <w:t>which</w:t>
      </w:r>
      <w:r>
        <w:rPr>
          <w:spacing w:val="-6"/>
          <w:sz w:val="18"/>
          <w:u w:val="none"/>
        </w:rPr>
        <w:t> </w:t>
      </w:r>
      <w:r>
        <w:rPr>
          <w:sz w:val="18"/>
          <w:u w:val="none"/>
        </w:rPr>
        <w:t>most</w:t>
      </w:r>
      <w:r>
        <w:rPr>
          <w:spacing w:val="-5"/>
          <w:sz w:val="18"/>
          <w:u w:val="none"/>
        </w:rPr>
        <w:t> </w:t>
      </w:r>
      <w:r>
        <w:rPr>
          <w:sz w:val="18"/>
          <w:u w:val="none"/>
        </w:rPr>
        <w:t>EU</w:t>
      </w:r>
      <w:r>
        <w:rPr>
          <w:spacing w:val="-5"/>
          <w:sz w:val="18"/>
          <w:u w:val="none"/>
        </w:rPr>
        <w:t> </w:t>
      </w:r>
      <w:r>
        <w:rPr>
          <w:sz w:val="18"/>
          <w:u w:val="none"/>
        </w:rPr>
        <w:t>policies</w:t>
      </w:r>
      <w:r>
        <w:rPr>
          <w:spacing w:val="-6"/>
          <w:sz w:val="18"/>
          <w:u w:val="none"/>
        </w:rPr>
        <w:t> </w:t>
      </w:r>
      <w:r>
        <w:rPr>
          <w:sz w:val="18"/>
          <w:u w:val="none"/>
        </w:rPr>
        <w:t>that</w:t>
      </w:r>
      <w:r>
        <w:rPr>
          <w:spacing w:val="-5"/>
          <w:sz w:val="18"/>
          <w:u w:val="none"/>
        </w:rPr>
        <w:t> </w:t>
      </w:r>
      <w:r>
        <w:rPr>
          <w:sz w:val="18"/>
          <w:u w:val="none"/>
        </w:rPr>
        <w:t>would have involved</w:t>
      </w:r>
      <w:r>
        <w:rPr>
          <w:spacing w:val="-1"/>
          <w:sz w:val="18"/>
          <w:u w:val="none"/>
        </w:rPr>
        <w:t> </w:t>
      </w:r>
      <w:r>
        <w:rPr>
          <w:sz w:val="18"/>
          <w:u w:val="none"/>
        </w:rPr>
        <w:t>NI were recently adopted: The Union</w:t>
      </w:r>
      <w:r>
        <w:rPr>
          <w:spacing w:val="-1"/>
          <w:sz w:val="18"/>
          <w:u w:val="none"/>
        </w:rPr>
        <w:t> </w:t>
      </w:r>
      <w:r>
        <w:rPr>
          <w:sz w:val="18"/>
          <w:u w:val="none"/>
        </w:rPr>
        <w:t>of</w:t>
      </w:r>
      <w:r>
        <w:rPr>
          <w:spacing w:val="-1"/>
          <w:sz w:val="18"/>
          <w:u w:val="none"/>
        </w:rPr>
        <w:t> </w:t>
      </w:r>
      <w:r>
        <w:rPr>
          <w:sz w:val="18"/>
          <w:u w:val="none"/>
        </w:rPr>
        <w:t>Equality; Criminal</w:t>
      </w:r>
      <w:r>
        <w:rPr>
          <w:spacing w:val="-1"/>
          <w:sz w:val="18"/>
          <w:u w:val="none"/>
        </w:rPr>
        <w:t> </w:t>
      </w:r>
      <w:r>
        <w:rPr>
          <w:sz w:val="18"/>
          <w:u w:val="none"/>
        </w:rPr>
        <w:t>justice; Combatting discrimination; Rights</w:t>
      </w:r>
      <w:r>
        <w:rPr>
          <w:spacing w:val="-1"/>
          <w:sz w:val="18"/>
          <w:u w:val="none"/>
        </w:rPr>
        <w:t> </w:t>
      </w:r>
      <w:r>
        <w:rPr>
          <w:sz w:val="18"/>
          <w:u w:val="none"/>
        </w:rPr>
        <w:t>of</w:t>
      </w:r>
      <w:r>
        <w:rPr>
          <w:spacing w:val="-1"/>
          <w:sz w:val="18"/>
          <w:u w:val="none"/>
        </w:rPr>
        <w:t> </w:t>
      </w:r>
      <w:r>
        <w:rPr>
          <w:sz w:val="18"/>
          <w:u w:val="none"/>
        </w:rPr>
        <w:t>the Child; Gender Equality); c) EU Commission, ‘</w:t>
      </w:r>
      <w:hyperlink r:id="rId175">
        <w:r>
          <w:rPr>
            <w:color w:val="1D71B8"/>
            <w:sz w:val="18"/>
            <w:u w:val="single" w:color="1D71B8"/>
          </w:rPr>
          <w:t>Migration and Home Affairs: Policies’</w:t>
        </w:r>
      </w:hyperlink>
      <w:r>
        <w:rPr>
          <w:sz w:val="18"/>
          <w:u w:val="none"/>
        </w:rPr>
        <w:t>.</w:t>
      </w:r>
    </w:p>
    <w:p>
      <w:pPr>
        <w:spacing w:after="0" w:line="240" w:lineRule="auto"/>
        <w:jc w:val="left"/>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939072">
                <wp:simplePos x="0" y="0"/>
                <wp:positionH relativeFrom="page">
                  <wp:posOffset>0</wp:posOffset>
                </wp:positionH>
                <wp:positionV relativeFrom="page">
                  <wp:posOffset>0</wp:posOffset>
                </wp:positionV>
                <wp:extent cx="7560309" cy="1283335"/>
                <wp:effectExtent l="0" t="0" r="0" b="0"/>
                <wp:wrapNone/>
                <wp:docPr id="1090" name="Group 1090"/>
                <wp:cNvGraphicFramePr>
                  <a:graphicFrameLocks/>
                </wp:cNvGraphicFramePr>
                <a:graphic>
                  <a:graphicData uri="http://schemas.microsoft.com/office/word/2010/wordprocessingGroup">
                    <wpg:wgp>
                      <wpg:cNvPr id="1090" name="Group 1090"/>
                      <wpg:cNvGrpSpPr/>
                      <wpg:grpSpPr>
                        <a:xfrm>
                          <a:off x="0" y="0"/>
                          <a:ext cx="7560309" cy="1283335"/>
                          <a:chExt cx="7560309" cy="1283335"/>
                        </a:xfrm>
                      </wpg:grpSpPr>
                      <wps:wsp>
                        <wps:cNvPr id="1091" name="Graphic 1091"/>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092" name="Graphic 1092"/>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1093" name="Textbox 1093"/>
                        <wps:cNvSpPr txBox="1"/>
                        <wps:spPr>
                          <a:xfrm>
                            <a:off x="260826"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134</w:t>
                              </w:r>
                            </w:p>
                          </w:txbxContent>
                        </wps:txbx>
                        <wps:bodyPr wrap="square" lIns="0" tIns="0" rIns="0" bIns="0" rtlCol="0">
                          <a:noAutofit/>
                        </wps:bodyPr>
                      </wps:wsp>
                      <wps:wsp>
                        <wps:cNvPr id="1094" name="Textbox 1094"/>
                        <wps:cNvSpPr txBox="1"/>
                        <wps:spPr>
                          <a:xfrm>
                            <a:off x="82799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1095" name="Textbox 1095"/>
                        <wps:cNvSpPr txBox="1"/>
                        <wps:spPr>
                          <a:xfrm>
                            <a:off x="647999" y="1080003"/>
                            <a:ext cx="2862580" cy="203200"/>
                          </a:xfrm>
                          <a:prstGeom prst="rect">
                            <a:avLst/>
                          </a:prstGeom>
                        </wps:spPr>
                        <wps:txbx>
                          <w:txbxContent>
                            <w:p>
                              <w:pPr>
                                <w:numPr>
                                  <w:ilvl w:val="1"/>
                                  <w:numId w:val="57"/>
                                </w:numPr>
                                <w:tabs>
                                  <w:tab w:pos="482" w:val="left" w:leader="none"/>
                                </w:tabs>
                                <w:spacing w:line="320" w:lineRule="exact" w:before="0"/>
                                <w:ind w:left="482" w:right="0" w:hanging="482"/>
                                <w:jc w:val="left"/>
                                <w:rPr>
                                  <w:b/>
                                  <w:sz w:val="32"/>
                                </w:rPr>
                              </w:pPr>
                              <w:r>
                                <w:rPr>
                                  <w:b/>
                                  <w:color w:val="004A93"/>
                                  <w:sz w:val="32"/>
                                </w:rPr>
                                <w:t>Relevance</w:t>
                              </w:r>
                              <w:r>
                                <w:rPr>
                                  <w:b/>
                                  <w:color w:val="004A93"/>
                                  <w:spacing w:val="-8"/>
                                  <w:sz w:val="32"/>
                                </w:rPr>
                                <w:t> </w:t>
                              </w:r>
                              <w:r>
                                <w:rPr>
                                  <w:b/>
                                  <w:color w:val="004A93"/>
                                  <w:sz w:val="32"/>
                                </w:rPr>
                                <w:t>to</w:t>
                              </w:r>
                              <w:r>
                                <w:rPr>
                                  <w:b/>
                                  <w:color w:val="004A93"/>
                                  <w:spacing w:val="-7"/>
                                  <w:sz w:val="32"/>
                                </w:rPr>
                                <w:t> </w:t>
                              </w:r>
                              <w:r>
                                <w:rPr>
                                  <w:b/>
                                  <w:color w:val="004A93"/>
                                  <w:sz w:val="32"/>
                                </w:rPr>
                                <w:t>Northern</w:t>
                              </w:r>
                              <w:r>
                                <w:rPr>
                                  <w:b/>
                                  <w:color w:val="004A93"/>
                                  <w:spacing w:val="-7"/>
                                  <w:sz w:val="32"/>
                                </w:rPr>
                                <w:t> </w:t>
                              </w:r>
                              <w:r>
                                <w:rPr>
                                  <w:b/>
                                  <w:color w:val="004A93"/>
                                  <w:spacing w:val="-2"/>
                                  <w:sz w:val="32"/>
                                </w:rPr>
                                <w:t>Ireland</w:t>
                              </w:r>
                            </w:p>
                          </w:txbxContent>
                        </wps:txbx>
                        <wps:bodyPr wrap="square" lIns="0" tIns="0" rIns="0" bIns="0" rtlCol="0">
                          <a:noAutofit/>
                        </wps:bodyPr>
                      </wps:wsp>
                    </wpg:wgp>
                  </a:graphicData>
                </a:graphic>
              </wp:anchor>
            </w:drawing>
          </mc:Choice>
          <mc:Fallback>
            <w:pict>
              <v:group style="position:absolute;margin-left:.0pt;margin-top:-.00002pt;width:595.3pt;height:101.05pt;mso-position-horizontal-relative:page;mso-position-vertical-relative:page;z-index:15939072" id="docshapegroup899" coordorigin="0,0" coordsize="11906,2021">
                <v:shape style="position:absolute;left:0;top:0;width:11906;height:1819" id="docshape900"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v:shape style="position:absolute;left:410;top:636;width:446;height:280" type="#_x0000_t202" id="docshape901" filled="false" stroked="false">
                  <v:textbox inset="0,0,0,0">
                    <w:txbxContent>
                      <w:p>
                        <w:pPr>
                          <w:spacing w:line="280" w:lineRule="exact" w:before="0"/>
                          <w:ind w:left="0" w:right="0" w:firstLine="0"/>
                          <w:jc w:val="left"/>
                          <w:rPr>
                            <w:b/>
                            <w:sz w:val="28"/>
                          </w:rPr>
                        </w:pPr>
                        <w:r>
                          <w:rPr>
                            <w:b/>
                            <w:color w:val="FFFFFF"/>
                            <w:spacing w:val="-5"/>
                            <w:sz w:val="28"/>
                          </w:rPr>
                          <w:t>134</w:t>
                        </w:r>
                      </w:p>
                    </w:txbxContent>
                  </v:textbox>
                  <w10:wrap type="none"/>
                </v:shape>
                <v:shape style="position:absolute;left:1303;top:645;width:6182;height:240" type="#_x0000_t202" id="docshape902"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020;top:1700;width:4508;height:320" type="#_x0000_t202" id="docshape903" filled="false" stroked="false">
                  <v:textbox inset="0,0,0,0">
                    <w:txbxContent>
                      <w:p>
                        <w:pPr>
                          <w:numPr>
                            <w:ilvl w:val="1"/>
                            <w:numId w:val="57"/>
                          </w:numPr>
                          <w:tabs>
                            <w:tab w:pos="482" w:val="left" w:leader="none"/>
                          </w:tabs>
                          <w:spacing w:line="320" w:lineRule="exact" w:before="0"/>
                          <w:ind w:left="482" w:right="0" w:hanging="482"/>
                          <w:jc w:val="left"/>
                          <w:rPr>
                            <w:b/>
                            <w:sz w:val="32"/>
                          </w:rPr>
                        </w:pPr>
                        <w:r>
                          <w:rPr>
                            <w:b/>
                            <w:color w:val="004A93"/>
                            <w:sz w:val="32"/>
                          </w:rPr>
                          <w:t>Relevance</w:t>
                        </w:r>
                        <w:r>
                          <w:rPr>
                            <w:b/>
                            <w:color w:val="004A93"/>
                            <w:spacing w:val="-8"/>
                            <w:sz w:val="32"/>
                          </w:rPr>
                          <w:t> </w:t>
                        </w:r>
                        <w:r>
                          <w:rPr>
                            <w:b/>
                            <w:color w:val="004A93"/>
                            <w:sz w:val="32"/>
                          </w:rPr>
                          <w:t>to</w:t>
                        </w:r>
                        <w:r>
                          <w:rPr>
                            <w:b/>
                            <w:color w:val="004A93"/>
                            <w:spacing w:val="-7"/>
                            <w:sz w:val="32"/>
                          </w:rPr>
                          <w:t> </w:t>
                        </w:r>
                        <w:r>
                          <w:rPr>
                            <w:b/>
                            <w:color w:val="004A93"/>
                            <w:sz w:val="32"/>
                          </w:rPr>
                          <w:t>Northern</w:t>
                        </w:r>
                        <w:r>
                          <w:rPr>
                            <w:b/>
                            <w:color w:val="004A93"/>
                            <w:spacing w:val="-7"/>
                            <w:sz w:val="32"/>
                          </w:rPr>
                          <w:t> </w:t>
                        </w:r>
                        <w:r>
                          <w:rPr>
                            <w:b/>
                            <w:color w:val="004A93"/>
                            <w:spacing w:val="-2"/>
                            <w:sz w:val="32"/>
                          </w:rPr>
                          <w:t>Ireland</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after="1"/>
        <w:rPr>
          <w:sz w:val="20"/>
        </w:rPr>
      </w:pPr>
    </w:p>
    <w:p>
      <w:pPr>
        <w:pStyle w:val="BodyText"/>
        <w:spacing w:line="20" w:lineRule="exact"/>
        <w:ind w:left="720"/>
        <w:rPr>
          <w:sz w:val="2"/>
        </w:rPr>
      </w:pPr>
      <w:r>
        <w:rPr>
          <w:sz w:val="2"/>
        </w:rPr>
        <mc:AlternateContent>
          <mc:Choice Requires="wps">
            <w:drawing>
              <wp:inline distT="0" distB="0" distL="0" distR="0">
                <wp:extent cx="6012180" cy="12700"/>
                <wp:effectExtent l="9525" t="0" r="0" b="6350"/>
                <wp:docPr id="1096" name="Group 1096"/>
                <wp:cNvGraphicFramePr>
                  <a:graphicFrameLocks/>
                </wp:cNvGraphicFramePr>
                <a:graphic>
                  <a:graphicData uri="http://schemas.microsoft.com/office/word/2010/wordprocessingGroup">
                    <wpg:wgp>
                      <wpg:cNvPr id="1096" name="Group 1096"/>
                      <wpg:cNvGrpSpPr/>
                      <wpg:grpSpPr>
                        <a:xfrm>
                          <a:off x="0" y="0"/>
                          <a:ext cx="6012180" cy="12700"/>
                          <a:chExt cx="6012180" cy="12700"/>
                        </a:xfrm>
                      </wpg:grpSpPr>
                      <wps:wsp>
                        <wps:cNvPr id="1097" name="Graphic 1097"/>
                        <wps:cNvSpPr/>
                        <wps:spPr>
                          <a:xfrm>
                            <a:off x="0" y="635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g:wgp>
                  </a:graphicData>
                </a:graphic>
              </wp:inline>
            </w:drawing>
          </mc:Choice>
          <mc:Fallback>
            <w:pict>
              <v:group style="width:473.4pt;height:1pt;mso-position-horizontal-relative:char;mso-position-vertical-relative:line" id="docshapegroup904" coordorigin="0,0" coordsize="9468,20">
                <v:line style="position:absolute" from="0,10" to="9468,10" stroked="true" strokeweight="1pt" strokecolor="#36a9e1">
                  <v:stroke dashstyle="solid"/>
                </v:line>
              </v:group>
            </w:pict>
          </mc:Fallback>
        </mc:AlternateContent>
      </w:r>
      <w:r>
        <w:rPr>
          <w:sz w:val="2"/>
        </w:rPr>
      </w:r>
    </w:p>
    <w:p>
      <w:pPr>
        <w:pStyle w:val="BodyText"/>
        <w:spacing w:line="232" w:lineRule="auto" w:before="98"/>
        <w:ind w:left="720" w:right="1154"/>
      </w:pPr>
      <w:bookmarkStart w:name="7.2 Relevance to Northern Ireland" w:id="210"/>
      <w:bookmarkEnd w:id="210"/>
      <w:r>
        <w:rPr/>
      </w:r>
      <w:bookmarkStart w:name="7.3 Equality and non-discrimination " w:id="211"/>
      <w:bookmarkEnd w:id="211"/>
      <w:r>
        <w:rPr/>
      </w:r>
      <w:bookmarkStart w:name="7.3.1 A Union of Equality" w:id="212"/>
      <w:bookmarkEnd w:id="212"/>
      <w:r>
        <w:rPr/>
      </w:r>
      <w:bookmarkStart w:name="_bookmark87" w:id="213"/>
      <w:bookmarkEnd w:id="213"/>
      <w:r>
        <w:rPr/>
      </w:r>
      <w:r>
        <w:rPr/>
        <w:t>Arguably, all EU policies discussed below are relevant to Northern Ireland as matters of voluntary alignment, as they are connected to the Rights, Safeguards and Equality of Opportunity section of the 1998 Agreement. Indeed, under Article</w:t>
      </w:r>
      <w:r>
        <w:rPr>
          <w:spacing w:val="40"/>
        </w:rPr>
        <w:t> </w:t>
      </w:r>
      <w:r>
        <w:rPr/>
        <w:t>2 WF: ‘(t)he United Kingdom shall ensure that no diminution of rights, safeguards or equality of opportunity, as set out in that part of the 1998 Agreement entitled Rights,</w:t>
      </w:r>
      <w:r>
        <w:rPr>
          <w:spacing w:val="-6"/>
        </w:rPr>
        <w:t> </w:t>
      </w:r>
      <w:r>
        <w:rPr/>
        <w:t>Safeguards</w:t>
      </w:r>
      <w:r>
        <w:rPr>
          <w:spacing w:val="-7"/>
        </w:rPr>
        <w:t> </w:t>
      </w:r>
      <w:r>
        <w:rPr/>
        <w:t>and</w:t>
      </w:r>
      <w:r>
        <w:rPr>
          <w:spacing w:val="-7"/>
        </w:rPr>
        <w:t> </w:t>
      </w:r>
      <w:r>
        <w:rPr/>
        <w:t>Equality</w:t>
      </w:r>
      <w:r>
        <w:rPr>
          <w:spacing w:val="-6"/>
        </w:rPr>
        <w:t> </w:t>
      </w:r>
      <w:r>
        <w:rPr/>
        <w:t>of</w:t>
      </w:r>
      <w:r>
        <w:rPr>
          <w:spacing w:val="-7"/>
        </w:rPr>
        <w:t> </w:t>
      </w:r>
      <w:r>
        <w:rPr/>
        <w:t>Opportunity</w:t>
      </w:r>
      <w:r>
        <w:rPr>
          <w:spacing w:val="-6"/>
        </w:rPr>
        <w:t> </w:t>
      </w:r>
      <w:r>
        <w:rPr/>
        <w:t>results</w:t>
      </w:r>
      <w:r>
        <w:rPr>
          <w:spacing w:val="-7"/>
        </w:rPr>
        <w:t> </w:t>
      </w:r>
      <w:r>
        <w:rPr/>
        <w:t>from</w:t>
      </w:r>
      <w:r>
        <w:rPr>
          <w:spacing w:val="-6"/>
        </w:rPr>
        <w:t> </w:t>
      </w:r>
      <w:r>
        <w:rPr/>
        <w:t>its</w:t>
      </w:r>
      <w:r>
        <w:rPr>
          <w:spacing w:val="-7"/>
        </w:rPr>
        <w:t> </w:t>
      </w:r>
      <w:r>
        <w:rPr/>
        <w:t>withdrawal</w:t>
      </w:r>
      <w:r>
        <w:rPr>
          <w:spacing w:val="-7"/>
        </w:rPr>
        <w:t> </w:t>
      </w:r>
      <w:r>
        <w:rPr/>
        <w:t>from</w:t>
      </w:r>
      <w:r>
        <w:rPr>
          <w:spacing w:val="-6"/>
        </w:rPr>
        <w:t> </w:t>
      </w:r>
      <w:r>
        <w:rPr/>
        <w:t>the Union’. Furthermore, and as discussed earlier in this report, while this part of the 1998</w:t>
      </w:r>
      <w:r>
        <w:rPr>
          <w:spacing w:val="-4"/>
        </w:rPr>
        <w:t> </w:t>
      </w:r>
      <w:r>
        <w:rPr/>
        <w:t>Agreement</w:t>
      </w:r>
      <w:r>
        <w:rPr>
          <w:spacing w:val="-4"/>
        </w:rPr>
        <w:t> </w:t>
      </w:r>
      <w:r>
        <w:rPr/>
        <w:t>seems</w:t>
      </w:r>
      <w:r>
        <w:rPr>
          <w:spacing w:val="-5"/>
        </w:rPr>
        <w:t> </w:t>
      </w:r>
      <w:r>
        <w:rPr/>
        <w:t>to</w:t>
      </w:r>
      <w:r>
        <w:rPr>
          <w:spacing w:val="-5"/>
        </w:rPr>
        <w:t> </w:t>
      </w:r>
      <w:r>
        <w:rPr/>
        <w:t>focus</w:t>
      </w:r>
      <w:r>
        <w:rPr>
          <w:spacing w:val="-5"/>
        </w:rPr>
        <w:t> </w:t>
      </w:r>
      <w:r>
        <w:rPr/>
        <w:t>on</w:t>
      </w:r>
      <w:r>
        <w:rPr>
          <w:spacing w:val="-5"/>
        </w:rPr>
        <w:t> </w:t>
      </w:r>
      <w:r>
        <w:rPr/>
        <w:t>civil</w:t>
      </w:r>
      <w:r>
        <w:rPr>
          <w:spacing w:val="-5"/>
        </w:rPr>
        <w:t> </w:t>
      </w:r>
      <w:r>
        <w:rPr/>
        <w:t>and</w:t>
      </w:r>
      <w:r>
        <w:rPr>
          <w:spacing w:val="-5"/>
        </w:rPr>
        <w:t> </w:t>
      </w:r>
      <w:r>
        <w:rPr/>
        <w:t>political</w:t>
      </w:r>
      <w:r>
        <w:rPr>
          <w:spacing w:val="-5"/>
        </w:rPr>
        <w:t> </w:t>
      </w:r>
      <w:r>
        <w:rPr/>
        <w:t>rights</w:t>
      </w:r>
      <w:r>
        <w:rPr>
          <w:spacing w:val="-5"/>
        </w:rPr>
        <w:t> </w:t>
      </w:r>
      <w:r>
        <w:rPr/>
        <w:t>and</w:t>
      </w:r>
      <w:r>
        <w:rPr>
          <w:spacing w:val="-5"/>
        </w:rPr>
        <w:t> </w:t>
      </w:r>
      <w:r>
        <w:rPr/>
        <w:t>language</w:t>
      </w:r>
      <w:r>
        <w:rPr>
          <w:spacing w:val="-4"/>
        </w:rPr>
        <w:t> </w:t>
      </w:r>
      <w:r>
        <w:rPr/>
        <w:t>rights,</w:t>
      </w:r>
      <w:r>
        <w:rPr>
          <w:spacing w:val="-4"/>
        </w:rPr>
        <w:t> </w:t>
      </w:r>
      <w:r>
        <w:rPr/>
        <w:t>the initial divergence report outlines that this list is not exhaustive and covers a wide range</w:t>
      </w:r>
      <w:r>
        <w:rPr>
          <w:spacing w:val="-6"/>
        </w:rPr>
        <w:t> </w:t>
      </w:r>
      <w:r>
        <w:rPr/>
        <w:t>of</w:t>
      </w:r>
      <w:r>
        <w:rPr>
          <w:spacing w:val="-7"/>
        </w:rPr>
        <w:t> </w:t>
      </w:r>
      <w:r>
        <w:rPr/>
        <w:t>civil,</w:t>
      </w:r>
      <w:r>
        <w:rPr>
          <w:spacing w:val="-6"/>
        </w:rPr>
        <w:t> </w:t>
      </w:r>
      <w:r>
        <w:rPr/>
        <w:t>political,</w:t>
      </w:r>
      <w:r>
        <w:rPr>
          <w:spacing w:val="-6"/>
        </w:rPr>
        <w:t> </w:t>
      </w:r>
      <w:r>
        <w:rPr/>
        <w:t>economic,</w:t>
      </w:r>
      <w:r>
        <w:rPr>
          <w:spacing w:val="-6"/>
        </w:rPr>
        <w:t> </w:t>
      </w:r>
      <w:r>
        <w:rPr/>
        <w:t>social</w:t>
      </w:r>
      <w:r>
        <w:rPr>
          <w:spacing w:val="-7"/>
        </w:rPr>
        <w:t> </w:t>
      </w:r>
      <w:r>
        <w:rPr/>
        <w:t>and</w:t>
      </w:r>
      <w:r>
        <w:rPr>
          <w:spacing w:val="-7"/>
        </w:rPr>
        <w:t> </w:t>
      </w:r>
      <w:r>
        <w:rPr/>
        <w:t>cultural</w:t>
      </w:r>
      <w:r>
        <w:rPr>
          <w:spacing w:val="-7"/>
        </w:rPr>
        <w:t> </w:t>
      </w:r>
      <w:r>
        <w:rPr/>
        <w:t>rights.</w:t>
      </w:r>
      <w:r>
        <w:rPr>
          <w:vertAlign w:val="superscript"/>
        </w:rPr>
        <w:t>676</w:t>
      </w:r>
      <w:r>
        <w:rPr>
          <w:spacing w:val="-7"/>
          <w:vertAlign w:val="baseline"/>
        </w:rPr>
        <w:t> </w:t>
      </w:r>
      <w:r>
        <w:rPr>
          <w:vertAlign w:val="baseline"/>
        </w:rPr>
        <w:t>The</w:t>
      </w:r>
      <w:r>
        <w:rPr>
          <w:spacing w:val="-6"/>
          <w:vertAlign w:val="baseline"/>
        </w:rPr>
        <w:t> </w:t>
      </w:r>
      <w:r>
        <w:rPr>
          <w:vertAlign w:val="baseline"/>
        </w:rPr>
        <w:t>Commissions</w:t>
      </w:r>
      <w:r>
        <w:rPr>
          <w:spacing w:val="-7"/>
          <w:vertAlign w:val="baseline"/>
        </w:rPr>
        <w:t> </w:t>
      </w:r>
      <w:r>
        <w:rPr>
          <w:vertAlign w:val="baseline"/>
        </w:rPr>
        <w:t>and previous report have highlighted the importance of the principle of equivalence</w:t>
      </w:r>
    </w:p>
    <w:p>
      <w:pPr>
        <w:pStyle w:val="BodyText"/>
        <w:spacing w:line="311" w:lineRule="exact"/>
        <w:ind w:left="720"/>
      </w:pPr>
      <w:r>
        <w:rPr/>
        <w:t>in</w:t>
      </w:r>
      <w:r>
        <w:rPr>
          <w:spacing w:val="-10"/>
        </w:rPr>
        <w:t> </w:t>
      </w:r>
      <w:r>
        <w:rPr/>
        <w:t>rights</w:t>
      </w:r>
      <w:r>
        <w:rPr>
          <w:spacing w:val="-7"/>
        </w:rPr>
        <w:t> </w:t>
      </w:r>
      <w:r>
        <w:rPr/>
        <w:t>protection</w:t>
      </w:r>
      <w:r>
        <w:rPr>
          <w:spacing w:val="-7"/>
        </w:rPr>
        <w:t> </w:t>
      </w:r>
      <w:r>
        <w:rPr/>
        <w:t>on</w:t>
      </w:r>
      <w:r>
        <w:rPr>
          <w:spacing w:val="-8"/>
        </w:rPr>
        <w:t> </w:t>
      </w:r>
      <w:r>
        <w:rPr/>
        <w:t>the</w:t>
      </w:r>
      <w:r>
        <w:rPr>
          <w:spacing w:val="-6"/>
        </w:rPr>
        <w:t> </w:t>
      </w:r>
      <w:r>
        <w:rPr/>
        <w:t>island</w:t>
      </w:r>
      <w:r>
        <w:rPr>
          <w:spacing w:val="-7"/>
        </w:rPr>
        <w:t> </w:t>
      </w:r>
      <w:r>
        <w:rPr/>
        <w:t>of</w:t>
      </w:r>
      <w:r>
        <w:rPr>
          <w:spacing w:val="-8"/>
        </w:rPr>
        <w:t> </w:t>
      </w:r>
      <w:r>
        <w:rPr/>
        <w:t>Ireland,</w:t>
      </w:r>
      <w:r>
        <w:rPr>
          <w:vertAlign w:val="superscript"/>
        </w:rPr>
        <w:t>677</w:t>
      </w:r>
      <w:r>
        <w:rPr>
          <w:spacing w:val="-7"/>
          <w:vertAlign w:val="baseline"/>
        </w:rPr>
        <w:t> </w:t>
      </w:r>
      <w:r>
        <w:rPr>
          <w:vertAlign w:val="baseline"/>
        </w:rPr>
        <w:t>and</w:t>
      </w:r>
      <w:r>
        <w:rPr>
          <w:spacing w:val="-7"/>
          <w:vertAlign w:val="baseline"/>
        </w:rPr>
        <w:t> </w:t>
      </w:r>
      <w:r>
        <w:rPr>
          <w:vertAlign w:val="baseline"/>
        </w:rPr>
        <w:t>where</w:t>
      </w:r>
      <w:r>
        <w:rPr>
          <w:spacing w:val="-7"/>
          <w:vertAlign w:val="baseline"/>
        </w:rPr>
        <w:t> </w:t>
      </w:r>
      <w:r>
        <w:rPr>
          <w:vertAlign w:val="baseline"/>
        </w:rPr>
        <w:t>EU</w:t>
      </w:r>
      <w:r>
        <w:rPr>
          <w:spacing w:val="-6"/>
          <w:vertAlign w:val="baseline"/>
        </w:rPr>
        <w:t> </w:t>
      </w:r>
      <w:r>
        <w:rPr>
          <w:vertAlign w:val="baseline"/>
        </w:rPr>
        <w:t>proposals</w:t>
      </w:r>
      <w:r>
        <w:rPr>
          <w:spacing w:val="-7"/>
          <w:vertAlign w:val="baseline"/>
        </w:rPr>
        <w:t> </w:t>
      </w:r>
      <w:r>
        <w:rPr>
          <w:vertAlign w:val="baseline"/>
        </w:rPr>
        <w:t>align</w:t>
      </w:r>
      <w:r>
        <w:rPr>
          <w:spacing w:val="-7"/>
          <w:vertAlign w:val="baseline"/>
        </w:rPr>
        <w:t> </w:t>
      </w:r>
      <w:r>
        <w:rPr>
          <w:spacing w:val="-4"/>
          <w:vertAlign w:val="baseline"/>
        </w:rPr>
        <w:t>with</w:t>
      </w:r>
    </w:p>
    <w:p>
      <w:pPr>
        <w:pStyle w:val="BodyText"/>
        <w:spacing w:line="232" w:lineRule="auto" w:before="2"/>
        <w:ind w:left="720" w:right="1087"/>
      </w:pPr>
      <w:r>
        <w:rPr/>
        <w:t>best</w:t>
      </w:r>
      <w:r>
        <w:rPr>
          <w:spacing w:val="-5"/>
        </w:rPr>
        <w:t> </w:t>
      </w:r>
      <w:r>
        <w:rPr/>
        <w:t>practice</w:t>
      </w:r>
      <w:r>
        <w:rPr>
          <w:spacing w:val="-5"/>
        </w:rPr>
        <w:t> </w:t>
      </w:r>
      <w:r>
        <w:rPr/>
        <w:t>in</w:t>
      </w:r>
      <w:r>
        <w:rPr>
          <w:spacing w:val="-5"/>
        </w:rPr>
        <w:t> </w:t>
      </w:r>
      <w:r>
        <w:rPr/>
        <w:t>human</w:t>
      </w:r>
      <w:r>
        <w:rPr>
          <w:spacing w:val="-5"/>
        </w:rPr>
        <w:t> </w:t>
      </w:r>
      <w:r>
        <w:rPr/>
        <w:t>rights</w:t>
      </w:r>
      <w:r>
        <w:rPr>
          <w:spacing w:val="-5"/>
        </w:rPr>
        <w:t> </w:t>
      </w:r>
      <w:r>
        <w:rPr/>
        <w:t>and</w:t>
      </w:r>
      <w:r>
        <w:rPr>
          <w:spacing w:val="-5"/>
        </w:rPr>
        <w:t> </w:t>
      </w:r>
      <w:r>
        <w:rPr/>
        <w:t>equality</w:t>
      </w:r>
      <w:r>
        <w:rPr>
          <w:spacing w:val="-5"/>
        </w:rPr>
        <w:t> </w:t>
      </w:r>
      <w:r>
        <w:rPr/>
        <w:t>there</w:t>
      </w:r>
      <w:r>
        <w:rPr>
          <w:spacing w:val="-5"/>
        </w:rPr>
        <w:t> </w:t>
      </w:r>
      <w:r>
        <w:rPr/>
        <w:t>is</w:t>
      </w:r>
      <w:r>
        <w:rPr>
          <w:spacing w:val="-5"/>
        </w:rPr>
        <w:t> </w:t>
      </w:r>
      <w:r>
        <w:rPr/>
        <w:t>a</w:t>
      </w:r>
      <w:r>
        <w:rPr>
          <w:spacing w:val="-5"/>
        </w:rPr>
        <w:t> </w:t>
      </w:r>
      <w:r>
        <w:rPr/>
        <w:t>case</w:t>
      </w:r>
      <w:r>
        <w:rPr>
          <w:spacing w:val="-5"/>
        </w:rPr>
        <w:t> </w:t>
      </w:r>
      <w:r>
        <w:rPr/>
        <w:t>for</w:t>
      </w:r>
      <w:r>
        <w:rPr>
          <w:spacing w:val="-5"/>
        </w:rPr>
        <w:t> </w:t>
      </w:r>
      <w:r>
        <w:rPr/>
        <w:t>Northern</w:t>
      </w:r>
      <w:r>
        <w:rPr>
          <w:spacing w:val="-5"/>
        </w:rPr>
        <w:t> </w:t>
      </w:r>
      <w:r>
        <w:rPr/>
        <w:t>Ireland</w:t>
      </w:r>
      <w:r>
        <w:rPr>
          <w:spacing w:val="-5"/>
        </w:rPr>
        <w:t> </w:t>
      </w:r>
      <w:r>
        <w:rPr/>
        <w:t>to voluntarily align.</w:t>
      </w:r>
      <w:r>
        <w:rPr>
          <w:vertAlign w:val="superscript"/>
        </w:rPr>
        <w:t>678</w:t>
      </w:r>
      <w:r>
        <w:rPr>
          <w:vertAlign w:val="baseline"/>
        </w:rPr>
        <w:t> This is strongly advocated again within this report.</w:t>
      </w:r>
    </w:p>
    <w:p>
      <w:pPr>
        <w:pStyle w:val="BodyText"/>
        <w:spacing w:line="232" w:lineRule="auto" w:before="280"/>
        <w:ind w:left="720" w:right="1087"/>
      </w:pPr>
      <w:r>
        <w:rPr/>
        <w:t>EU</w:t>
      </w:r>
      <w:r>
        <w:rPr>
          <w:spacing w:val="-9"/>
        </w:rPr>
        <w:t> </w:t>
      </w:r>
      <w:r>
        <w:rPr/>
        <w:t>policies</w:t>
      </w:r>
      <w:r>
        <w:rPr>
          <w:spacing w:val="-9"/>
        </w:rPr>
        <w:t> </w:t>
      </w:r>
      <w:r>
        <w:rPr/>
        <w:t>are</w:t>
      </w:r>
      <w:r>
        <w:rPr>
          <w:spacing w:val="-9"/>
        </w:rPr>
        <w:t> </w:t>
      </w:r>
      <w:r>
        <w:rPr/>
        <w:t>not</w:t>
      </w:r>
      <w:r>
        <w:rPr>
          <w:spacing w:val="-9"/>
        </w:rPr>
        <w:t> </w:t>
      </w:r>
      <w:r>
        <w:rPr/>
        <w:t>legally</w:t>
      </w:r>
      <w:r>
        <w:rPr>
          <w:spacing w:val="-9"/>
        </w:rPr>
        <w:t> </w:t>
      </w:r>
      <w:r>
        <w:rPr/>
        <w:t>binding</w:t>
      </w:r>
      <w:r>
        <w:rPr>
          <w:spacing w:val="-9"/>
        </w:rPr>
        <w:t> </w:t>
      </w:r>
      <w:r>
        <w:rPr/>
        <w:t>upon</w:t>
      </w:r>
      <w:r>
        <w:rPr>
          <w:spacing w:val="-9"/>
        </w:rPr>
        <w:t> </w:t>
      </w:r>
      <w:r>
        <w:rPr/>
        <w:t>Member</w:t>
      </w:r>
      <w:r>
        <w:rPr>
          <w:spacing w:val="-9"/>
        </w:rPr>
        <w:t> </w:t>
      </w:r>
      <w:r>
        <w:rPr/>
        <w:t>States.</w:t>
      </w:r>
      <w:r>
        <w:rPr>
          <w:spacing w:val="-9"/>
        </w:rPr>
        <w:t> </w:t>
      </w:r>
      <w:r>
        <w:rPr/>
        <w:t>However,</w:t>
      </w:r>
      <w:r>
        <w:rPr>
          <w:spacing w:val="-9"/>
        </w:rPr>
        <w:t> </w:t>
      </w:r>
      <w:r>
        <w:rPr/>
        <w:t>by</w:t>
      </w:r>
      <w:r>
        <w:rPr>
          <w:spacing w:val="-9"/>
        </w:rPr>
        <w:t> </w:t>
      </w:r>
      <w:r>
        <w:rPr/>
        <w:t>strengthening human rights and equality protection across the EU, these policies can assist Member States in implementing legally binding EU legislation (such as adopted EU Directives and Regulations), some of which already apply or would have applied</w:t>
      </w:r>
    </w:p>
    <w:p>
      <w:pPr>
        <w:pStyle w:val="BodyText"/>
        <w:spacing w:line="232" w:lineRule="auto"/>
        <w:ind w:left="720" w:right="1087"/>
      </w:pPr>
      <w:r>
        <w:rPr/>
        <w:t>to</w:t>
      </w:r>
      <w:r>
        <w:rPr>
          <w:spacing w:val="-6"/>
        </w:rPr>
        <w:t> </w:t>
      </w:r>
      <w:r>
        <w:rPr/>
        <w:t>NI,</w:t>
      </w:r>
      <w:r>
        <w:rPr>
          <w:spacing w:val="-5"/>
        </w:rPr>
        <w:t> </w:t>
      </w:r>
      <w:r>
        <w:rPr/>
        <w:t>had</w:t>
      </w:r>
      <w:r>
        <w:rPr>
          <w:spacing w:val="-6"/>
        </w:rPr>
        <w:t> </w:t>
      </w:r>
      <w:r>
        <w:rPr/>
        <w:t>the</w:t>
      </w:r>
      <w:r>
        <w:rPr>
          <w:spacing w:val="-5"/>
        </w:rPr>
        <w:t> </w:t>
      </w:r>
      <w:r>
        <w:rPr/>
        <w:t>UK</w:t>
      </w:r>
      <w:r>
        <w:rPr>
          <w:spacing w:val="-5"/>
        </w:rPr>
        <w:t> </w:t>
      </w:r>
      <w:r>
        <w:rPr/>
        <w:t>remained</w:t>
      </w:r>
      <w:r>
        <w:rPr>
          <w:spacing w:val="-6"/>
        </w:rPr>
        <w:t> </w:t>
      </w:r>
      <w:r>
        <w:rPr/>
        <w:t>in</w:t>
      </w:r>
      <w:r>
        <w:rPr>
          <w:spacing w:val="-6"/>
        </w:rPr>
        <w:t> </w:t>
      </w:r>
      <w:r>
        <w:rPr/>
        <w:t>the</w:t>
      </w:r>
      <w:r>
        <w:rPr>
          <w:spacing w:val="-5"/>
        </w:rPr>
        <w:t> </w:t>
      </w:r>
      <w:r>
        <w:rPr/>
        <w:t>EU.</w:t>
      </w:r>
      <w:r>
        <w:rPr>
          <w:spacing w:val="-6"/>
        </w:rPr>
        <w:t> </w:t>
      </w:r>
      <w:r>
        <w:rPr/>
        <w:t>As</w:t>
      </w:r>
      <w:r>
        <w:rPr>
          <w:spacing w:val="-6"/>
        </w:rPr>
        <w:t> </w:t>
      </w:r>
      <w:r>
        <w:rPr/>
        <w:t>a</w:t>
      </w:r>
      <w:r>
        <w:rPr>
          <w:spacing w:val="-6"/>
        </w:rPr>
        <w:t> </w:t>
      </w:r>
      <w:r>
        <w:rPr/>
        <w:t>result,</w:t>
      </w:r>
      <w:r>
        <w:rPr>
          <w:spacing w:val="-5"/>
        </w:rPr>
        <w:t> </w:t>
      </w:r>
      <w:r>
        <w:rPr/>
        <w:t>we</w:t>
      </w:r>
      <w:r>
        <w:rPr>
          <w:spacing w:val="-5"/>
        </w:rPr>
        <w:t> </w:t>
      </w:r>
      <w:r>
        <w:rPr/>
        <w:t>encourage</w:t>
      </w:r>
      <w:r>
        <w:rPr>
          <w:spacing w:val="-5"/>
        </w:rPr>
        <w:t> </w:t>
      </w:r>
      <w:r>
        <w:rPr/>
        <w:t>relevant</w:t>
      </w:r>
      <w:r>
        <w:rPr>
          <w:spacing w:val="-5"/>
        </w:rPr>
        <w:t> </w:t>
      </w:r>
      <w:r>
        <w:rPr/>
        <w:t>Northern Ireland departments to reflect upon recent EU policy developments on human rights and equality protection to consider where they provide examples of good practice that should be adopted as a matter of voluntary alignment. This would allow NI to avoid divergence of human rights and equality protection across the island of Ireland.</w:t>
      </w:r>
    </w:p>
    <w:p>
      <w:pPr>
        <w:pStyle w:val="BodyText"/>
        <w:spacing w:before="4"/>
      </w:pPr>
    </w:p>
    <w:p>
      <w:pPr>
        <w:pStyle w:val="Heading2"/>
        <w:numPr>
          <w:ilvl w:val="1"/>
          <w:numId w:val="58"/>
        </w:numPr>
        <w:tabs>
          <w:tab w:pos="1202" w:val="left" w:leader="none"/>
        </w:tabs>
        <w:spacing w:line="240" w:lineRule="auto" w:before="0" w:after="0"/>
        <w:ind w:left="1202" w:right="0" w:hanging="482"/>
        <w:jc w:val="left"/>
      </w:pPr>
      <w:r>
        <w:rPr>
          <w:color w:val="004A93"/>
        </w:rPr>
        <w:t>Equality</w:t>
      </w:r>
      <w:r>
        <w:rPr>
          <w:color w:val="004A93"/>
          <w:spacing w:val="-3"/>
        </w:rPr>
        <w:t> </w:t>
      </w:r>
      <w:r>
        <w:rPr>
          <w:color w:val="004A93"/>
        </w:rPr>
        <w:t>and</w:t>
      </w:r>
      <w:r>
        <w:rPr>
          <w:color w:val="004A93"/>
          <w:spacing w:val="-2"/>
        </w:rPr>
        <w:t> </w:t>
      </w:r>
      <w:r>
        <w:rPr>
          <w:color w:val="004A93"/>
        </w:rPr>
        <w:t>non-</w:t>
      </w:r>
      <w:r>
        <w:rPr>
          <w:color w:val="004A93"/>
          <w:spacing w:val="-2"/>
        </w:rPr>
        <w:t>discrimination</w:t>
      </w:r>
    </w:p>
    <w:p>
      <w:pPr>
        <w:pStyle w:val="BodyText"/>
        <w:spacing w:before="9"/>
        <w:rPr>
          <w:b/>
          <w:sz w:val="5"/>
        </w:rPr>
      </w:pPr>
      <w:r>
        <w:rPr/>
        <mc:AlternateContent>
          <mc:Choice Requires="wps">
            <w:drawing>
              <wp:anchor distT="0" distB="0" distL="0" distR="0" allowOverlap="1" layoutInCell="1" locked="0" behindDoc="1" simplePos="0" relativeHeight="487797248">
                <wp:simplePos x="0" y="0"/>
                <wp:positionH relativeFrom="page">
                  <wp:posOffset>647999</wp:posOffset>
                </wp:positionH>
                <wp:positionV relativeFrom="paragraph">
                  <wp:posOffset>59847</wp:posOffset>
                </wp:positionV>
                <wp:extent cx="6012180" cy="1270"/>
                <wp:effectExtent l="0" t="0" r="0" b="0"/>
                <wp:wrapTopAndBottom/>
                <wp:docPr id="1098" name="Graphic 1098"/>
                <wp:cNvGraphicFramePr>
                  <a:graphicFrameLocks/>
                </wp:cNvGraphicFramePr>
                <a:graphic>
                  <a:graphicData uri="http://schemas.microsoft.com/office/word/2010/wordprocessingShape">
                    <wps:wsp>
                      <wps:cNvPr id="1098" name="Graphic 1098"/>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712406pt;width:473.4pt;height:.1pt;mso-position-horizontal-relative:page;mso-position-vertical-relative:paragraph;z-index:-15519232;mso-wrap-distance-left:0;mso-wrap-distance-right:0" id="docshape905" coordorigin="1020,94" coordsize="9468,0" path="m1020,94l10488,94e" filled="false" stroked="true" strokeweight="1pt" strokecolor="#36a9e1">
                <v:path arrowok="t"/>
                <v:stroke dashstyle="solid"/>
                <w10:wrap type="topAndBottom"/>
              </v:shape>
            </w:pict>
          </mc:Fallback>
        </mc:AlternateContent>
      </w:r>
    </w:p>
    <w:p>
      <w:pPr>
        <w:pStyle w:val="Heading3"/>
        <w:numPr>
          <w:ilvl w:val="2"/>
          <w:numId w:val="58"/>
        </w:numPr>
        <w:tabs>
          <w:tab w:pos="1358" w:val="left" w:leader="none"/>
        </w:tabs>
        <w:spacing w:line="336" w:lineRule="exact" w:before="223" w:after="0"/>
        <w:ind w:left="1358" w:right="0" w:hanging="638"/>
        <w:jc w:val="left"/>
      </w:pPr>
      <w:r>
        <w:rPr>
          <w:color w:val="004A93"/>
        </w:rPr>
        <w:t>A</w:t>
      </w:r>
      <w:r>
        <w:rPr>
          <w:color w:val="004A93"/>
          <w:spacing w:val="-1"/>
        </w:rPr>
        <w:t> </w:t>
      </w:r>
      <w:r>
        <w:rPr>
          <w:color w:val="004A93"/>
        </w:rPr>
        <w:t>Union of</w:t>
      </w:r>
      <w:r>
        <w:rPr>
          <w:color w:val="004A93"/>
          <w:spacing w:val="-1"/>
        </w:rPr>
        <w:t> </w:t>
      </w:r>
      <w:r>
        <w:rPr>
          <w:color w:val="004A93"/>
          <w:spacing w:val="-2"/>
        </w:rPr>
        <w:t>Equality</w:t>
      </w:r>
    </w:p>
    <w:p>
      <w:pPr>
        <w:pStyle w:val="BodyText"/>
        <w:spacing w:line="232" w:lineRule="auto" w:before="2"/>
        <w:ind w:left="720" w:right="1087"/>
      </w:pPr>
      <w:r>
        <w:rPr/>
        <w:t>To</w:t>
      </w:r>
      <w:r>
        <w:rPr>
          <w:spacing w:val="-11"/>
        </w:rPr>
        <w:t> </w:t>
      </w:r>
      <w:r>
        <w:rPr/>
        <w:t>combat</w:t>
      </w:r>
      <w:r>
        <w:rPr>
          <w:spacing w:val="-10"/>
        </w:rPr>
        <w:t> </w:t>
      </w:r>
      <w:r>
        <w:rPr/>
        <w:t>discrimination</w:t>
      </w:r>
      <w:r>
        <w:rPr>
          <w:spacing w:val="-11"/>
        </w:rPr>
        <w:t> </w:t>
      </w:r>
      <w:r>
        <w:rPr/>
        <w:t>and</w:t>
      </w:r>
      <w:r>
        <w:rPr>
          <w:spacing w:val="-11"/>
        </w:rPr>
        <w:t> </w:t>
      </w:r>
      <w:r>
        <w:rPr/>
        <w:t>build</w:t>
      </w:r>
      <w:r>
        <w:rPr>
          <w:spacing w:val="-11"/>
        </w:rPr>
        <w:t> </w:t>
      </w:r>
      <w:r>
        <w:rPr/>
        <w:t>a</w:t>
      </w:r>
      <w:r>
        <w:rPr>
          <w:spacing w:val="-11"/>
        </w:rPr>
        <w:t> </w:t>
      </w:r>
      <w:r>
        <w:rPr/>
        <w:t>‘Union</w:t>
      </w:r>
      <w:r>
        <w:rPr>
          <w:spacing w:val="-11"/>
        </w:rPr>
        <w:t> </w:t>
      </w:r>
      <w:r>
        <w:rPr/>
        <w:t>of</w:t>
      </w:r>
      <w:r>
        <w:rPr>
          <w:spacing w:val="-11"/>
        </w:rPr>
        <w:t> </w:t>
      </w:r>
      <w:r>
        <w:rPr/>
        <w:t>Equality’,</w:t>
      </w:r>
      <w:r>
        <w:rPr>
          <w:vertAlign w:val="superscript"/>
        </w:rPr>
        <w:t>679</w:t>
      </w:r>
      <w:r>
        <w:rPr>
          <w:spacing w:val="-11"/>
          <w:vertAlign w:val="baseline"/>
        </w:rPr>
        <w:t> </w:t>
      </w:r>
      <w:r>
        <w:rPr>
          <w:vertAlign w:val="baseline"/>
        </w:rPr>
        <w:t>the</w:t>
      </w:r>
      <w:r>
        <w:rPr>
          <w:spacing w:val="-10"/>
          <w:vertAlign w:val="baseline"/>
        </w:rPr>
        <w:t> </w:t>
      </w:r>
      <w:r>
        <w:rPr>
          <w:vertAlign w:val="baseline"/>
        </w:rPr>
        <w:t>EU</w:t>
      </w:r>
      <w:r>
        <w:rPr>
          <w:spacing w:val="-10"/>
          <w:vertAlign w:val="baseline"/>
        </w:rPr>
        <w:t> </w:t>
      </w:r>
      <w:r>
        <w:rPr>
          <w:vertAlign w:val="baseline"/>
        </w:rPr>
        <w:t>has</w:t>
      </w:r>
      <w:r>
        <w:rPr>
          <w:spacing w:val="-11"/>
          <w:vertAlign w:val="baseline"/>
        </w:rPr>
        <w:t> </w:t>
      </w:r>
      <w:r>
        <w:rPr>
          <w:vertAlign w:val="baseline"/>
        </w:rPr>
        <w:t>recently adopted five key strategies:</w:t>
      </w:r>
    </w:p>
    <w:p>
      <w:pPr>
        <w:pStyle w:val="ListParagraph"/>
        <w:numPr>
          <w:ilvl w:val="3"/>
          <w:numId w:val="58"/>
        </w:numPr>
        <w:tabs>
          <w:tab w:pos="1060" w:val="left" w:leader="none"/>
        </w:tabs>
        <w:spacing w:line="343" w:lineRule="exact" w:before="259" w:after="0"/>
        <w:ind w:left="1060" w:right="0" w:hanging="340"/>
        <w:jc w:val="left"/>
        <w:rPr>
          <w:sz w:val="28"/>
        </w:rPr>
      </w:pPr>
      <w:r>
        <w:rPr>
          <w:sz w:val="28"/>
        </w:rPr>
        <w:t>The</w:t>
      </w:r>
      <w:r>
        <w:rPr>
          <w:spacing w:val="-7"/>
          <w:sz w:val="28"/>
        </w:rPr>
        <w:t> </w:t>
      </w:r>
      <w:r>
        <w:rPr>
          <w:sz w:val="28"/>
        </w:rPr>
        <w:t>Gender</w:t>
      </w:r>
      <w:r>
        <w:rPr>
          <w:spacing w:val="-4"/>
          <w:sz w:val="28"/>
        </w:rPr>
        <w:t> </w:t>
      </w:r>
      <w:r>
        <w:rPr>
          <w:sz w:val="28"/>
        </w:rPr>
        <w:t>Equality</w:t>
      </w:r>
      <w:r>
        <w:rPr>
          <w:spacing w:val="-5"/>
          <w:sz w:val="28"/>
        </w:rPr>
        <w:t> </w:t>
      </w:r>
      <w:r>
        <w:rPr>
          <w:sz w:val="28"/>
        </w:rPr>
        <w:t>Strategy</w:t>
      </w:r>
      <w:r>
        <w:rPr>
          <w:spacing w:val="-4"/>
          <w:sz w:val="28"/>
        </w:rPr>
        <w:t> </w:t>
      </w:r>
      <w:r>
        <w:rPr>
          <w:sz w:val="28"/>
        </w:rPr>
        <w:t>2020-</w:t>
      </w:r>
      <w:r>
        <w:rPr>
          <w:spacing w:val="-4"/>
          <w:sz w:val="28"/>
        </w:rPr>
        <w:t>2025</w:t>
      </w:r>
    </w:p>
    <w:p>
      <w:pPr>
        <w:pStyle w:val="ListParagraph"/>
        <w:numPr>
          <w:ilvl w:val="3"/>
          <w:numId w:val="58"/>
        </w:numPr>
        <w:tabs>
          <w:tab w:pos="1060" w:val="left" w:leader="none"/>
        </w:tabs>
        <w:spacing w:line="343" w:lineRule="exact" w:before="0" w:after="0"/>
        <w:ind w:left="1060" w:right="0" w:hanging="340"/>
        <w:jc w:val="left"/>
        <w:rPr>
          <w:sz w:val="28"/>
        </w:rPr>
      </w:pPr>
      <w:r>
        <w:rPr>
          <w:sz w:val="28"/>
        </w:rPr>
        <w:t>The</w:t>
      </w:r>
      <w:r>
        <w:rPr>
          <w:spacing w:val="-6"/>
          <w:sz w:val="28"/>
        </w:rPr>
        <w:t> </w:t>
      </w:r>
      <w:r>
        <w:rPr>
          <w:sz w:val="28"/>
        </w:rPr>
        <w:t>EU</w:t>
      </w:r>
      <w:r>
        <w:rPr>
          <w:spacing w:val="-6"/>
          <w:sz w:val="28"/>
        </w:rPr>
        <w:t> </w:t>
      </w:r>
      <w:r>
        <w:rPr>
          <w:sz w:val="28"/>
        </w:rPr>
        <w:t>Anti-racism</w:t>
      </w:r>
      <w:r>
        <w:rPr>
          <w:spacing w:val="-6"/>
          <w:sz w:val="28"/>
        </w:rPr>
        <w:t> </w:t>
      </w:r>
      <w:r>
        <w:rPr>
          <w:sz w:val="28"/>
        </w:rPr>
        <w:t>Action</w:t>
      </w:r>
      <w:r>
        <w:rPr>
          <w:spacing w:val="-7"/>
          <w:sz w:val="28"/>
        </w:rPr>
        <w:t> </w:t>
      </w:r>
      <w:r>
        <w:rPr>
          <w:sz w:val="28"/>
        </w:rPr>
        <w:t>Plan</w:t>
      </w:r>
      <w:r>
        <w:rPr>
          <w:spacing w:val="-6"/>
          <w:sz w:val="28"/>
        </w:rPr>
        <w:t> </w:t>
      </w:r>
      <w:r>
        <w:rPr>
          <w:sz w:val="28"/>
        </w:rPr>
        <w:t>2020-</w:t>
      </w:r>
      <w:r>
        <w:rPr>
          <w:spacing w:val="-4"/>
          <w:sz w:val="28"/>
        </w:rPr>
        <w:t>2025</w:t>
      </w:r>
    </w:p>
    <w:p>
      <w:pPr>
        <w:pStyle w:val="BodyText"/>
        <w:rPr>
          <w:sz w:val="20"/>
        </w:rPr>
      </w:pPr>
    </w:p>
    <w:p>
      <w:pPr>
        <w:pStyle w:val="BodyText"/>
        <w:spacing w:before="192"/>
        <w:rPr>
          <w:sz w:val="20"/>
        </w:rPr>
      </w:pPr>
      <w:r>
        <w:rPr/>
        <mc:AlternateContent>
          <mc:Choice Requires="wps">
            <w:drawing>
              <wp:anchor distT="0" distB="0" distL="0" distR="0" allowOverlap="1" layoutInCell="1" locked="0" behindDoc="1" simplePos="0" relativeHeight="487797760">
                <wp:simplePos x="0" y="0"/>
                <wp:positionH relativeFrom="page">
                  <wp:posOffset>647999</wp:posOffset>
                </wp:positionH>
                <wp:positionV relativeFrom="paragraph">
                  <wp:posOffset>292283</wp:posOffset>
                </wp:positionV>
                <wp:extent cx="6012180" cy="1270"/>
                <wp:effectExtent l="0" t="0" r="0" b="0"/>
                <wp:wrapTopAndBottom/>
                <wp:docPr id="1099" name="Graphic 1099"/>
                <wp:cNvGraphicFramePr>
                  <a:graphicFrameLocks/>
                </wp:cNvGraphicFramePr>
                <a:graphic>
                  <a:graphicData uri="http://schemas.microsoft.com/office/word/2010/wordprocessingShape">
                    <wps:wsp>
                      <wps:cNvPr id="1099" name="Graphic 109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3.014448pt;width:473.4pt;height:.1pt;mso-position-horizontal-relative:page;mso-position-vertical-relative:paragraph;z-index:-15518720;mso-wrap-distance-left:0;mso-wrap-distance-right:0" id="docshape906" coordorigin="1020,460" coordsize="9468,0" path="m1020,460l10488,460e" filled="false" stroked="true" strokeweight=".5pt" strokecolor="#36a9e1">
                <v:path arrowok="t"/>
                <v:stroke dashstyle="solid"/>
                <w10:wrap type="topAndBottom"/>
              </v:shape>
            </w:pict>
          </mc:Fallback>
        </mc:AlternateContent>
      </w:r>
    </w:p>
    <w:p>
      <w:pPr>
        <w:pStyle w:val="ListParagraph"/>
        <w:numPr>
          <w:ilvl w:val="0"/>
          <w:numId w:val="51"/>
        </w:numPr>
        <w:tabs>
          <w:tab w:pos="1287" w:val="left" w:leader="none"/>
        </w:tabs>
        <w:spacing w:line="240" w:lineRule="auto" w:before="43" w:after="0"/>
        <w:ind w:left="1287" w:right="1423" w:hanging="567"/>
        <w:jc w:val="left"/>
        <w:rPr>
          <w:sz w:val="18"/>
        </w:rPr>
      </w:pPr>
      <w:r>
        <w:rPr>
          <w:sz w:val="18"/>
        </w:rPr>
        <w:t>Craig</w:t>
      </w:r>
      <w:r>
        <w:rPr>
          <w:spacing w:val="-3"/>
          <w:sz w:val="18"/>
        </w:rPr>
        <w:t> </w:t>
      </w:r>
      <w:r>
        <w:rPr>
          <w:sz w:val="18"/>
        </w:rPr>
        <w:t>and</w:t>
      </w:r>
      <w:r>
        <w:rPr>
          <w:spacing w:val="-4"/>
          <w:sz w:val="18"/>
        </w:rPr>
        <w:t> </w:t>
      </w:r>
      <w:r>
        <w:rPr>
          <w:sz w:val="18"/>
        </w:rPr>
        <w:t>al.,</w:t>
      </w:r>
      <w:r>
        <w:rPr>
          <w:spacing w:val="-3"/>
          <w:sz w:val="18"/>
        </w:rPr>
        <w:t> </w:t>
      </w:r>
      <w:r>
        <w:rPr>
          <w:sz w:val="18"/>
        </w:rPr>
        <w:t>‘</w:t>
      </w:r>
      <w:r>
        <w:rPr>
          <w:color w:val="1D71B8"/>
          <w:sz w:val="18"/>
          <w:u w:val="single" w:color="1D71B8"/>
        </w:rPr>
        <w:t>European</w:t>
      </w:r>
      <w:r>
        <w:rPr>
          <w:color w:val="1D71B8"/>
          <w:spacing w:val="-4"/>
          <w:sz w:val="18"/>
          <w:u w:val="single" w:color="1D71B8"/>
        </w:rPr>
        <w:t> </w:t>
      </w:r>
      <w:r>
        <w:rPr>
          <w:color w:val="1D71B8"/>
          <w:sz w:val="18"/>
          <w:u w:val="single" w:color="1D71B8"/>
        </w:rPr>
        <w:t>Union</w:t>
      </w:r>
      <w:r>
        <w:rPr>
          <w:color w:val="1D71B8"/>
          <w:spacing w:val="-4"/>
          <w:sz w:val="18"/>
          <w:u w:val="single" w:color="1D71B8"/>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z w:val="18"/>
          <w:u w:val="none"/>
        </w:rPr>
        <w:t> </w:t>
      </w:r>
      <w:r>
        <w:rPr>
          <w:color w:val="1D71B8"/>
          <w:sz w:val="18"/>
          <w:u w:val="single" w:color="1D71B8"/>
        </w:rPr>
        <w:t>Rights and Best Practice on the Island of Ireland</w:t>
      </w:r>
      <w:r>
        <w:rPr>
          <w:sz w:val="18"/>
          <w:u w:val="none"/>
        </w:rPr>
        <w:t>’ (ECNI, IHREC, NIHRC) December 2022, 16</w:t>
      </w:r>
    </w:p>
    <w:p>
      <w:pPr>
        <w:pStyle w:val="ListParagraph"/>
        <w:numPr>
          <w:ilvl w:val="0"/>
          <w:numId w:val="51"/>
        </w:numPr>
        <w:tabs>
          <w:tab w:pos="1287" w:val="left" w:leader="none"/>
        </w:tabs>
        <w:spacing w:line="240" w:lineRule="auto" w:before="1" w:after="0"/>
        <w:ind w:left="1287" w:right="1140" w:hanging="567"/>
        <w:jc w:val="left"/>
        <w:rPr>
          <w:sz w:val="18"/>
        </w:rPr>
      </w:pPr>
      <w:r>
        <w:rPr>
          <w:sz w:val="18"/>
        </w:rPr>
        <w:t>IHREC,</w:t>
      </w:r>
      <w:r>
        <w:rPr>
          <w:spacing w:val="-3"/>
          <w:sz w:val="18"/>
        </w:rPr>
        <w:t> </w:t>
      </w:r>
      <w:r>
        <w:rPr>
          <w:sz w:val="18"/>
        </w:rPr>
        <w:t>NIHRC</w:t>
      </w:r>
      <w:r>
        <w:rPr>
          <w:spacing w:val="-4"/>
          <w:sz w:val="18"/>
        </w:rPr>
        <w:t> </w:t>
      </w:r>
      <w:r>
        <w:rPr>
          <w:sz w:val="18"/>
        </w:rPr>
        <w:t>and</w:t>
      </w:r>
      <w:r>
        <w:rPr>
          <w:spacing w:val="-4"/>
          <w:sz w:val="18"/>
        </w:rPr>
        <w:t> </w:t>
      </w:r>
      <w:r>
        <w:rPr>
          <w:sz w:val="18"/>
        </w:rPr>
        <w:t>ECNI,</w:t>
      </w:r>
      <w:r>
        <w:rPr>
          <w:spacing w:val="-3"/>
          <w:sz w:val="1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Island</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Ireland</w:t>
      </w:r>
      <w:r>
        <w:rPr>
          <w:color w:val="1D71B8"/>
          <w:spacing w:val="-4"/>
          <w:sz w:val="18"/>
          <w:u w:val="single" w:color="1D71B8"/>
        </w:rPr>
        <w:t> </w:t>
      </w:r>
      <w:r>
        <w:rPr>
          <w:color w:val="1D71B8"/>
          <w:sz w:val="18"/>
          <w:u w:val="single" w:color="1D71B8"/>
        </w:rPr>
        <w:t>after</w:t>
      </w:r>
      <w:r>
        <w:rPr>
          <w:color w:val="1D71B8"/>
          <w:spacing w:val="-3"/>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Annual</w:t>
      </w:r>
      <w:r>
        <w:rPr>
          <w:color w:val="1D71B8"/>
          <w:spacing w:val="-3"/>
          <w:sz w:val="18"/>
          <w:u w:val="single" w:color="1D71B8"/>
        </w:rPr>
        <w:t> </w:t>
      </w:r>
      <w:r>
        <w:rPr>
          <w:color w:val="1D71B8"/>
          <w:sz w:val="18"/>
          <w:u w:val="single" w:color="1D71B8"/>
        </w:rPr>
        <w:t>joint</w:t>
      </w:r>
      <w:r>
        <w:rPr>
          <w:color w:val="1D71B8"/>
          <w:spacing w:val="-3"/>
          <w:sz w:val="18"/>
          <w:u w:val="single" w:color="1D71B8"/>
        </w:rPr>
        <w:t> </w:t>
      </w:r>
      <w:r>
        <w:rPr>
          <w:color w:val="1D71B8"/>
          <w:sz w:val="18"/>
          <w:u w:val="single" w:color="1D71B8"/>
        </w:rPr>
        <w:t>report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IHREC,</w:t>
      </w:r>
      <w:r>
        <w:rPr>
          <w:color w:val="1D71B8"/>
          <w:spacing w:val="-3"/>
          <w:sz w:val="18"/>
          <w:u w:val="single" w:color="1D71B8"/>
        </w:rPr>
        <w:t> </w:t>
      </w:r>
      <w:r>
        <w:rPr>
          <w:color w:val="1D71B8"/>
          <w:sz w:val="18"/>
          <w:u w:val="single" w:color="1D71B8"/>
        </w:rPr>
        <w:t>ECNI</w:t>
      </w:r>
      <w:r>
        <w:rPr>
          <w:color w:val="1D71B8"/>
          <w:sz w:val="18"/>
          <w:u w:val="none"/>
        </w:rPr>
        <w:t> </w:t>
      </w:r>
      <w:r>
        <w:rPr>
          <w:color w:val="1D71B8"/>
          <w:sz w:val="18"/>
          <w:u w:val="single" w:color="1D71B8"/>
        </w:rPr>
        <w:t>and NIHRC on the implementation of Article 2 of the Windsor Framework. October 2022 – September 2023</w:t>
      </w:r>
      <w:r>
        <w:rPr>
          <w:color w:val="1D71B8"/>
          <w:sz w:val="18"/>
          <w:u w:val="none"/>
        </w:rPr>
        <w:t> </w:t>
      </w:r>
      <w:r>
        <w:rPr>
          <w:sz w:val="18"/>
          <w:u w:val="none"/>
        </w:rPr>
        <w:t>(December 2023)</w:t>
      </w:r>
      <w:r>
        <w:rPr>
          <w:spacing w:val="-2"/>
          <w:sz w:val="18"/>
          <w:u w:val="none"/>
        </w:rPr>
        <w:t> </w:t>
      </w:r>
      <w:r>
        <w:rPr>
          <w:sz w:val="18"/>
          <w:u w:val="none"/>
        </w:rPr>
        <w:t>2.</w:t>
      </w:r>
    </w:p>
    <w:p>
      <w:pPr>
        <w:pStyle w:val="ListParagraph"/>
        <w:numPr>
          <w:ilvl w:val="0"/>
          <w:numId w:val="51"/>
        </w:numPr>
        <w:tabs>
          <w:tab w:pos="1287" w:val="left" w:leader="none"/>
        </w:tabs>
        <w:spacing w:line="240" w:lineRule="auto" w:before="1" w:after="0"/>
        <w:ind w:left="1287" w:right="1423" w:hanging="567"/>
        <w:jc w:val="left"/>
        <w:rPr>
          <w:sz w:val="18"/>
        </w:rPr>
      </w:pPr>
      <w:r>
        <w:rPr>
          <w:sz w:val="18"/>
        </w:rPr>
        <w:t>Craig</w:t>
      </w:r>
      <w:r>
        <w:rPr>
          <w:spacing w:val="-3"/>
          <w:sz w:val="18"/>
        </w:rPr>
        <w:t> </w:t>
      </w:r>
      <w:r>
        <w:rPr>
          <w:sz w:val="18"/>
        </w:rPr>
        <w:t>and</w:t>
      </w:r>
      <w:r>
        <w:rPr>
          <w:spacing w:val="-4"/>
          <w:sz w:val="18"/>
        </w:rPr>
        <w:t> </w:t>
      </w:r>
      <w:r>
        <w:rPr>
          <w:sz w:val="18"/>
        </w:rPr>
        <w:t>al.,</w:t>
      </w:r>
      <w:r>
        <w:rPr>
          <w:spacing w:val="-3"/>
          <w:sz w:val="18"/>
        </w:rPr>
        <w:t> </w:t>
      </w:r>
      <w:r>
        <w:rPr>
          <w:sz w:val="18"/>
        </w:rPr>
        <w:t>‘</w:t>
      </w:r>
      <w:r>
        <w:rPr>
          <w:color w:val="1D71B8"/>
          <w:sz w:val="18"/>
          <w:u w:val="single" w:color="1D71B8"/>
        </w:rPr>
        <w:t>European</w:t>
      </w:r>
      <w:r>
        <w:rPr>
          <w:color w:val="1D71B8"/>
          <w:spacing w:val="-4"/>
          <w:sz w:val="18"/>
          <w:u w:val="single" w:color="1D71B8"/>
        </w:rPr>
        <w:t> </w:t>
      </w:r>
      <w:r>
        <w:rPr>
          <w:color w:val="1D71B8"/>
          <w:sz w:val="18"/>
          <w:u w:val="single" w:color="1D71B8"/>
        </w:rPr>
        <w:t>Union</w:t>
      </w:r>
      <w:r>
        <w:rPr>
          <w:color w:val="1D71B8"/>
          <w:spacing w:val="-4"/>
          <w:sz w:val="18"/>
          <w:u w:val="single" w:color="1D71B8"/>
        </w:rPr>
        <w:t> </w:t>
      </w:r>
      <w:r>
        <w:rPr>
          <w:color w:val="1D71B8"/>
          <w:sz w:val="18"/>
          <w:u w:val="single" w:color="1D71B8"/>
        </w:rPr>
        <w:t>Developments</w:t>
      </w:r>
      <w:r>
        <w:rPr>
          <w:color w:val="1D71B8"/>
          <w:spacing w:val="-4"/>
          <w:sz w:val="18"/>
          <w:u w:val="single" w:color="1D71B8"/>
        </w:rPr>
        <w:t> </w:t>
      </w:r>
      <w:r>
        <w:rPr>
          <w:color w:val="1D71B8"/>
          <w:sz w:val="18"/>
          <w:u w:val="single" w:color="1D71B8"/>
        </w:rPr>
        <w:t>in</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Human</w:t>
      </w:r>
      <w:r>
        <w:rPr>
          <w:color w:val="1D71B8"/>
          <w:spacing w:val="-4"/>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Impact</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Brexit</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Divergence</w:t>
      </w:r>
      <w:r>
        <w:rPr>
          <w:color w:val="1D71B8"/>
          <w:spacing w:val="-3"/>
          <w:sz w:val="18"/>
          <w:u w:val="single" w:color="1D71B8"/>
        </w:rPr>
        <w:t> </w:t>
      </w:r>
      <w:r>
        <w:rPr>
          <w:color w:val="1D71B8"/>
          <w:sz w:val="18"/>
          <w:u w:val="single" w:color="1D71B8"/>
        </w:rPr>
        <w:t>of</w:t>
      </w:r>
      <w:r>
        <w:rPr>
          <w:color w:val="1D71B8"/>
          <w:sz w:val="18"/>
          <w:u w:val="none"/>
        </w:rPr>
        <w:t> </w:t>
      </w:r>
      <w:r>
        <w:rPr>
          <w:color w:val="1D71B8"/>
          <w:sz w:val="18"/>
          <w:u w:val="single" w:color="1D71B8"/>
        </w:rPr>
        <w:t>Rights and Best Practice on the Island of Ireland</w:t>
      </w:r>
      <w:r>
        <w:rPr>
          <w:sz w:val="18"/>
          <w:u w:val="none"/>
        </w:rPr>
        <w:t>’ (ECNI, IHREC, NIHRC) December 2022, 110.</w:t>
      </w:r>
    </w:p>
    <w:p>
      <w:pPr>
        <w:pStyle w:val="ListParagraph"/>
        <w:numPr>
          <w:ilvl w:val="0"/>
          <w:numId w:val="51"/>
        </w:numPr>
        <w:tabs>
          <w:tab w:pos="1287" w:val="left" w:leader="none"/>
        </w:tabs>
        <w:spacing w:line="240" w:lineRule="auto" w:before="0" w:after="0"/>
        <w:ind w:left="1287" w:right="0" w:hanging="567"/>
        <w:jc w:val="left"/>
        <w:rPr>
          <w:sz w:val="18"/>
        </w:rPr>
      </w:pPr>
      <w:r>
        <w:rPr>
          <w:sz w:val="18"/>
        </w:rPr>
        <w:t>See</w:t>
      </w:r>
      <w:r>
        <w:rPr>
          <w:spacing w:val="-4"/>
          <w:sz w:val="18"/>
        </w:rPr>
        <w:t> </w:t>
      </w:r>
      <w:r>
        <w:rPr>
          <w:sz w:val="18"/>
        </w:rPr>
        <w:t>more</w:t>
      </w:r>
      <w:r>
        <w:rPr>
          <w:spacing w:val="-3"/>
          <w:sz w:val="18"/>
        </w:rPr>
        <w:t> </w:t>
      </w:r>
      <w:r>
        <w:rPr>
          <w:sz w:val="18"/>
        </w:rPr>
        <w:t>information:</w:t>
      </w:r>
      <w:r>
        <w:rPr>
          <w:spacing w:val="-4"/>
          <w:sz w:val="18"/>
        </w:rPr>
        <w:t> </w:t>
      </w:r>
      <w:r>
        <w:rPr>
          <w:sz w:val="18"/>
        </w:rPr>
        <w:t>European</w:t>
      </w:r>
      <w:r>
        <w:rPr>
          <w:spacing w:val="-4"/>
          <w:sz w:val="18"/>
        </w:rPr>
        <w:t> </w:t>
      </w:r>
      <w:r>
        <w:rPr>
          <w:sz w:val="18"/>
        </w:rPr>
        <w:t>Commission,</w:t>
      </w:r>
      <w:r>
        <w:rPr>
          <w:spacing w:val="-6"/>
          <w:sz w:val="18"/>
        </w:rPr>
        <w:t> </w:t>
      </w:r>
      <w:r>
        <w:rPr>
          <w:color w:val="1D71B8"/>
          <w:sz w:val="18"/>
          <w:u w:val="single" w:color="1D71B8"/>
        </w:rPr>
        <w:t>The</w:t>
      </w:r>
      <w:r>
        <w:rPr>
          <w:color w:val="1D71B8"/>
          <w:spacing w:val="-3"/>
          <w:sz w:val="18"/>
          <w:u w:val="single" w:color="1D71B8"/>
        </w:rPr>
        <w:t> </w:t>
      </w:r>
      <w:r>
        <w:rPr>
          <w:color w:val="1D71B8"/>
          <w:sz w:val="18"/>
          <w:u w:val="single" w:color="1D71B8"/>
        </w:rPr>
        <w:t>Union</w:t>
      </w:r>
      <w:r>
        <w:rPr>
          <w:color w:val="1D71B8"/>
          <w:spacing w:val="-4"/>
          <w:sz w:val="18"/>
          <w:u w:val="single" w:color="1D71B8"/>
        </w:rPr>
        <w:t> </w:t>
      </w:r>
      <w:r>
        <w:rPr>
          <w:color w:val="1D71B8"/>
          <w:sz w:val="18"/>
          <w:u w:val="single" w:color="1D71B8"/>
        </w:rPr>
        <w:t>of</w:t>
      </w:r>
      <w:r>
        <w:rPr>
          <w:color w:val="1D71B8"/>
          <w:spacing w:val="-5"/>
          <w:sz w:val="18"/>
          <w:u w:val="single" w:color="1D71B8"/>
        </w:rPr>
        <w:t> </w:t>
      </w:r>
      <w:r>
        <w:rPr>
          <w:color w:val="1D71B8"/>
          <w:spacing w:val="-2"/>
          <w:sz w:val="18"/>
          <w:u w:val="single" w:color="1D71B8"/>
        </w:rPr>
        <w:t>Equality</w:t>
      </w:r>
      <w:r>
        <w:rPr>
          <w:spacing w:val="-2"/>
          <w:sz w:val="18"/>
          <w:u w:val="none"/>
        </w:rPr>
        <w:t>.</w:t>
      </w:r>
    </w:p>
    <w:p>
      <w:pPr>
        <w:spacing w:after="0" w:line="240" w:lineRule="auto"/>
        <w:jc w:val="left"/>
        <w:rPr>
          <w:sz w:val="18"/>
        </w:rPr>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bookmarkStart w:name="7.3.2 Gender equality" w:id="214"/>
      <w:bookmarkEnd w:id="214"/>
      <w:r>
        <w:rPr/>
      </w:r>
      <w:bookmarkStart w:name="_bookmark88" w:id="215"/>
      <w:bookmarkEnd w:id="215"/>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135</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116480">
                <wp:simplePos x="0" y="0"/>
                <wp:positionH relativeFrom="page">
                  <wp:posOffset>-2</wp:posOffset>
                </wp:positionH>
                <wp:positionV relativeFrom="page">
                  <wp:posOffset>0</wp:posOffset>
                </wp:positionV>
                <wp:extent cx="7560309" cy="1155065"/>
                <wp:effectExtent l="0" t="0" r="0" b="0"/>
                <wp:wrapNone/>
                <wp:docPr id="1100" name="Group 1100"/>
                <wp:cNvGraphicFramePr>
                  <a:graphicFrameLocks/>
                </wp:cNvGraphicFramePr>
                <a:graphic>
                  <a:graphicData uri="http://schemas.microsoft.com/office/word/2010/wordprocessingGroup">
                    <wpg:wgp>
                      <wpg:cNvPr id="1100" name="Group 1100"/>
                      <wpg:cNvGrpSpPr/>
                      <wpg:grpSpPr>
                        <a:xfrm>
                          <a:off x="0" y="0"/>
                          <a:ext cx="7560309" cy="1155065"/>
                          <a:chExt cx="7560309" cy="1155065"/>
                        </a:xfrm>
                      </wpg:grpSpPr>
                      <wps:wsp>
                        <wps:cNvPr id="1101" name="Graphic 1101"/>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102" name="Graphic 1102"/>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200000" id="docshapegroup907" coordorigin="0,0" coordsize="11906,1819">
                <v:shape style="position:absolute;left:0;top:0;width:11906;height:1819" id="docshape908"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34"/>
        <w:rPr>
          <w:b/>
        </w:rPr>
      </w:pPr>
    </w:p>
    <w:p>
      <w:pPr>
        <w:pStyle w:val="ListParagraph"/>
        <w:numPr>
          <w:ilvl w:val="4"/>
          <w:numId w:val="58"/>
        </w:numPr>
        <w:tabs>
          <w:tab w:pos="1457" w:val="left" w:leader="none"/>
        </w:tabs>
        <w:spacing w:line="232" w:lineRule="auto" w:before="0" w:after="0"/>
        <w:ind w:left="1457" w:right="1443" w:hanging="341"/>
        <w:jc w:val="left"/>
        <w:rPr>
          <w:sz w:val="28"/>
        </w:rPr>
      </w:pPr>
      <w:r>
        <w:rPr>
          <w:sz w:val="28"/>
        </w:rPr>
        <w:t>The</w:t>
      </w:r>
      <w:r>
        <w:rPr>
          <w:spacing w:val="-10"/>
          <w:sz w:val="28"/>
        </w:rPr>
        <w:t> </w:t>
      </w:r>
      <w:r>
        <w:rPr>
          <w:sz w:val="28"/>
        </w:rPr>
        <w:t>EU</w:t>
      </w:r>
      <w:r>
        <w:rPr>
          <w:spacing w:val="-10"/>
          <w:sz w:val="28"/>
        </w:rPr>
        <w:t> </w:t>
      </w:r>
      <w:r>
        <w:rPr>
          <w:sz w:val="28"/>
        </w:rPr>
        <w:t>Roma</w:t>
      </w:r>
      <w:r>
        <w:rPr>
          <w:spacing w:val="-11"/>
          <w:sz w:val="28"/>
        </w:rPr>
        <w:t> </w:t>
      </w:r>
      <w:r>
        <w:rPr>
          <w:sz w:val="28"/>
        </w:rPr>
        <w:t>strategic</w:t>
      </w:r>
      <w:r>
        <w:rPr>
          <w:spacing w:val="-10"/>
          <w:sz w:val="28"/>
        </w:rPr>
        <w:t> </w:t>
      </w:r>
      <w:r>
        <w:rPr>
          <w:sz w:val="28"/>
        </w:rPr>
        <w:t>framework</w:t>
      </w:r>
      <w:r>
        <w:rPr>
          <w:spacing w:val="-10"/>
          <w:sz w:val="28"/>
        </w:rPr>
        <w:t> </w:t>
      </w:r>
      <w:r>
        <w:rPr>
          <w:sz w:val="28"/>
        </w:rPr>
        <w:t>for</w:t>
      </w:r>
      <w:r>
        <w:rPr>
          <w:spacing w:val="-10"/>
          <w:sz w:val="28"/>
        </w:rPr>
        <w:t> </w:t>
      </w:r>
      <w:r>
        <w:rPr>
          <w:sz w:val="28"/>
        </w:rPr>
        <w:t>equality,</w:t>
      </w:r>
      <w:r>
        <w:rPr>
          <w:spacing w:val="-10"/>
          <w:sz w:val="28"/>
        </w:rPr>
        <w:t> </w:t>
      </w:r>
      <w:r>
        <w:rPr>
          <w:sz w:val="28"/>
        </w:rPr>
        <w:t>inclusion,</w:t>
      </w:r>
      <w:r>
        <w:rPr>
          <w:spacing w:val="-10"/>
          <w:sz w:val="28"/>
        </w:rPr>
        <w:t> </w:t>
      </w:r>
      <w:r>
        <w:rPr>
          <w:sz w:val="28"/>
        </w:rPr>
        <w:t>and</w:t>
      </w:r>
      <w:r>
        <w:rPr>
          <w:spacing w:val="-11"/>
          <w:sz w:val="28"/>
        </w:rPr>
        <w:t> </w:t>
      </w:r>
      <w:r>
        <w:rPr>
          <w:sz w:val="28"/>
        </w:rPr>
        <w:t>participation </w:t>
      </w:r>
      <w:r>
        <w:rPr>
          <w:spacing w:val="-2"/>
          <w:sz w:val="28"/>
        </w:rPr>
        <w:t>2020-2030</w:t>
      </w:r>
    </w:p>
    <w:p>
      <w:pPr>
        <w:pStyle w:val="ListParagraph"/>
        <w:numPr>
          <w:ilvl w:val="4"/>
          <w:numId w:val="58"/>
        </w:numPr>
        <w:tabs>
          <w:tab w:pos="1457" w:val="left" w:leader="none"/>
        </w:tabs>
        <w:spacing w:line="318" w:lineRule="exact" w:before="0" w:after="0"/>
        <w:ind w:left="1457" w:right="0" w:hanging="340"/>
        <w:jc w:val="left"/>
        <w:rPr>
          <w:sz w:val="28"/>
        </w:rPr>
      </w:pPr>
      <w:r>
        <w:rPr>
          <w:sz w:val="28"/>
        </w:rPr>
        <w:t>The</w:t>
      </w:r>
      <w:r>
        <w:rPr>
          <w:spacing w:val="-8"/>
          <w:sz w:val="28"/>
        </w:rPr>
        <w:t> </w:t>
      </w:r>
      <w:r>
        <w:rPr>
          <w:sz w:val="28"/>
        </w:rPr>
        <w:t>LGBTIQ</w:t>
      </w:r>
      <w:r>
        <w:rPr>
          <w:spacing w:val="-8"/>
          <w:sz w:val="28"/>
        </w:rPr>
        <w:t> </w:t>
      </w:r>
      <w:r>
        <w:rPr>
          <w:sz w:val="28"/>
        </w:rPr>
        <w:t>Equality</w:t>
      </w:r>
      <w:r>
        <w:rPr>
          <w:spacing w:val="-8"/>
          <w:sz w:val="28"/>
        </w:rPr>
        <w:t> </w:t>
      </w:r>
      <w:r>
        <w:rPr>
          <w:sz w:val="28"/>
        </w:rPr>
        <w:t>Strategy</w:t>
      </w:r>
      <w:r>
        <w:rPr>
          <w:spacing w:val="-8"/>
          <w:sz w:val="28"/>
        </w:rPr>
        <w:t> </w:t>
      </w:r>
      <w:r>
        <w:rPr>
          <w:sz w:val="28"/>
        </w:rPr>
        <w:t>2020-</w:t>
      </w:r>
      <w:r>
        <w:rPr>
          <w:spacing w:val="-4"/>
          <w:sz w:val="28"/>
        </w:rPr>
        <w:t>2025</w:t>
      </w:r>
    </w:p>
    <w:p>
      <w:pPr>
        <w:pStyle w:val="ListParagraph"/>
        <w:numPr>
          <w:ilvl w:val="4"/>
          <w:numId w:val="58"/>
        </w:numPr>
        <w:tabs>
          <w:tab w:pos="1457" w:val="left" w:leader="none"/>
        </w:tabs>
        <w:spacing w:line="343" w:lineRule="exact" w:before="0" w:after="0"/>
        <w:ind w:left="1457" w:right="0" w:hanging="340"/>
        <w:jc w:val="left"/>
        <w:rPr>
          <w:sz w:val="28"/>
        </w:rPr>
      </w:pPr>
      <w:r>
        <w:rPr>
          <w:sz w:val="28"/>
        </w:rPr>
        <w:t>The</w:t>
      </w:r>
      <w:r>
        <w:rPr>
          <w:spacing w:val="-8"/>
          <w:sz w:val="28"/>
        </w:rPr>
        <w:t> </w:t>
      </w:r>
      <w:r>
        <w:rPr>
          <w:sz w:val="28"/>
        </w:rPr>
        <w:t>Strategy</w:t>
      </w:r>
      <w:r>
        <w:rPr>
          <w:spacing w:val="-8"/>
          <w:sz w:val="28"/>
        </w:rPr>
        <w:t> </w:t>
      </w:r>
      <w:r>
        <w:rPr>
          <w:sz w:val="28"/>
        </w:rPr>
        <w:t>for</w:t>
      </w:r>
      <w:r>
        <w:rPr>
          <w:spacing w:val="-7"/>
          <w:sz w:val="28"/>
        </w:rPr>
        <w:t> </w:t>
      </w:r>
      <w:r>
        <w:rPr>
          <w:sz w:val="28"/>
        </w:rPr>
        <w:t>the</w:t>
      </w:r>
      <w:r>
        <w:rPr>
          <w:spacing w:val="-8"/>
          <w:sz w:val="28"/>
        </w:rPr>
        <w:t> </w:t>
      </w:r>
      <w:r>
        <w:rPr>
          <w:sz w:val="28"/>
        </w:rPr>
        <w:t>Rights</w:t>
      </w:r>
      <w:r>
        <w:rPr>
          <w:spacing w:val="-9"/>
          <w:sz w:val="28"/>
        </w:rPr>
        <w:t> </w:t>
      </w:r>
      <w:r>
        <w:rPr>
          <w:sz w:val="28"/>
        </w:rPr>
        <w:t>of</w:t>
      </w:r>
      <w:r>
        <w:rPr>
          <w:spacing w:val="-8"/>
          <w:sz w:val="28"/>
        </w:rPr>
        <w:t> </w:t>
      </w:r>
      <w:r>
        <w:rPr>
          <w:sz w:val="28"/>
        </w:rPr>
        <w:t>Persons</w:t>
      </w:r>
      <w:r>
        <w:rPr>
          <w:spacing w:val="-9"/>
          <w:sz w:val="28"/>
        </w:rPr>
        <w:t> </w:t>
      </w:r>
      <w:r>
        <w:rPr>
          <w:sz w:val="28"/>
        </w:rPr>
        <w:t>with</w:t>
      </w:r>
      <w:r>
        <w:rPr>
          <w:spacing w:val="-8"/>
          <w:sz w:val="28"/>
        </w:rPr>
        <w:t> </w:t>
      </w:r>
      <w:r>
        <w:rPr>
          <w:sz w:val="28"/>
        </w:rPr>
        <w:t>Disabilities</w:t>
      </w:r>
      <w:r>
        <w:rPr>
          <w:spacing w:val="-9"/>
          <w:sz w:val="28"/>
        </w:rPr>
        <w:t> </w:t>
      </w:r>
      <w:r>
        <w:rPr>
          <w:sz w:val="28"/>
        </w:rPr>
        <w:t>2021-</w:t>
      </w:r>
      <w:r>
        <w:rPr>
          <w:spacing w:val="-4"/>
          <w:sz w:val="28"/>
        </w:rPr>
        <w:t>2030</w:t>
      </w:r>
    </w:p>
    <w:p>
      <w:pPr>
        <w:pStyle w:val="BodyText"/>
        <w:spacing w:line="232" w:lineRule="auto" w:before="280"/>
        <w:ind w:left="1117" w:right="1087"/>
      </w:pPr>
      <w:r>
        <w:rPr/>
        <w:t>Our</w:t>
      </w:r>
      <w:r>
        <w:rPr>
          <w:spacing w:val="-5"/>
        </w:rPr>
        <w:t> </w:t>
      </w:r>
      <w:r>
        <w:rPr/>
        <w:t>report</w:t>
      </w:r>
      <w:r>
        <w:rPr>
          <w:spacing w:val="-5"/>
        </w:rPr>
        <w:t> </w:t>
      </w:r>
      <w:r>
        <w:rPr/>
        <w:t>focuses</w:t>
      </w:r>
      <w:r>
        <w:rPr>
          <w:spacing w:val="-6"/>
        </w:rPr>
        <w:t> </w:t>
      </w:r>
      <w:r>
        <w:rPr/>
        <w:t>on</w:t>
      </w:r>
      <w:r>
        <w:rPr>
          <w:spacing w:val="-6"/>
        </w:rPr>
        <w:t> </w:t>
      </w:r>
      <w:r>
        <w:rPr/>
        <w:t>developments</w:t>
      </w:r>
      <w:r>
        <w:rPr>
          <w:spacing w:val="-6"/>
        </w:rPr>
        <w:t> </w:t>
      </w:r>
      <w:r>
        <w:rPr/>
        <w:t>that</w:t>
      </w:r>
      <w:r>
        <w:rPr>
          <w:spacing w:val="-5"/>
        </w:rPr>
        <w:t> </w:t>
      </w:r>
      <w:r>
        <w:rPr/>
        <w:t>occurred</w:t>
      </w:r>
      <w:r>
        <w:rPr>
          <w:spacing w:val="-6"/>
        </w:rPr>
        <w:t> </w:t>
      </w:r>
      <w:r>
        <w:rPr/>
        <w:t>between</w:t>
      </w:r>
      <w:r>
        <w:rPr>
          <w:spacing w:val="-6"/>
        </w:rPr>
        <w:t> </w:t>
      </w:r>
      <w:r>
        <w:rPr/>
        <w:t>1</w:t>
      </w:r>
      <w:r>
        <w:rPr>
          <w:spacing w:val="-5"/>
        </w:rPr>
        <w:t> </w:t>
      </w:r>
      <w:r>
        <w:rPr/>
        <w:t>January</w:t>
      </w:r>
      <w:r>
        <w:rPr>
          <w:spacing w:val="-5"/>
        </w:rPr>
        <w:t> </w:t>
      </w:r>
      <w:r>
        <w:rPr/>
        <w:t>2022</w:t>
      </w:r>
      <w:r>
        <w:rPr>
          <w:spacing w:val="-5"/>
        </w:rPr>
        <w:t> </w:t>
      </w:r>
      <w:r>
        <w:rPr/>
        <w:t>and 31 August 2023 and the five EU equality strategies listed above were adopted</w:t>
      </w:r>
    </w:p>
    <w:p>
      <w:pPr>
        <w:pStyle w:val="BodyText"/>
        <w:spacing w:line="232" w:lineRule="auto"/>
        <w:ind w:left="1117" w:right="1250"/>
      </w:pPr>
      <w:r>
        <w:rPr/>
        <w:t>in 2020 and 2021. However, these equality strategies highlight areas in which the</w:t>
      </w:r>
      <w:r>
        <w:rPr>
          <w:spacing w:val="-2"/>
        </w:rPr>
        <w:t> </w:t>
      </w:r>
      <w:r>
        <w:rPr/>
        <w:t>EU</w:t>
      </w:r>
      <w:r>
        <w:rPr>
          <w:spacing w:val="-2"/>
        </w:rPr>
        <w:t> </w:t>
      </w:r>
      <w:r>
        <w:rPr/>
        <w:t>wishes</w:t>
      </w:r>
      <w:r>
        <w:rPr>
          <w:spacing w:val="-3"/>
        </w:rPr>
        <w:t> </w:t>
      </w:r>
      <w:r>
        <w:rPr/>
        <w:t>to</w:t>
      </w:r>
      <w:r>
        <w:rPr>
          <w:spacing w:val="-3"/>
        </w:rPr>
        <w:t> </w:t>
      </w:r>
      <w:r>
        <w:rPr/>
        <w:t>develop</w:t>
      </w:r>
      <w:r>
        <w:rPr>
          <w:spacing w:val="-3"/>
        </w:rPr>
        <w:t> </w:t>
      </w:r>
      <w:r>
        <w:rPr/>
        <w:t>targeted</w:t>
      </w:r>
      <w:r>
        <w:rPr>
          <w:spacing w:val="-3"/>
        </w:rPr>
        <w:t> </w:t>
      </w:r>
      <w:r>
        <w:rPr/>
        <w:t>measures</w:t>
      </w:r>
      <w:r>
        <w:rPr>
          <w:spacing w:val="-3"/>
        </w:rPr>
        <w:t> </w:t>
      </w:r>
      <w:r>
        <w:rPr/>
        <w:t>(for</w:t>
      </w:r>
      <w:r>
        <w:rPr>
          <w:spacing w:val="-2"/>
        </w:rPr>
        <w:t> </w:t>
      </w:r>
      <w:r>
        <w:rPr/>
        <w:t>example,</w:t>
      </w:r>
      <w:r>
        <w:rPr>
          <w:spacing w:val="-2"/>
        </w:rPr>
        <w:t> </w:t>
      </w:r>
      <w:r>
        <w:rPr/>
        <w:t>equality</w:t>
      </w:r>
      <w:r>
        <w:rPr>
          <w:spacing w:val="-2"/>
        </w:rPr>
        <w:t> </w:t>
      </w:r>
      <w:r>
        <w:rPr/>
        <w:t>legislation or awareness raising activities) and in which it wishes to mainstream equality with the support of the EU Task Force on Equality, until 2025-2030.</w:t>
      </w:r>
      <w:r>
        <w:rPr>
          <w:vertAlign w:val="superscript"/>
        </w:rPr>
        <w:t>680</w:t>
      </w:r>
      <w:r>
        <w:rPr>
          <w:vertAlign w:val="baseline"/>
        </w:rPr>
        <w:t> As a result,</w:t>
      </w:r>
      <w:r>
        <w:rPr>
          <w:spacing w:val="-7"/>
          <w:vertAlign w:val="baseline"/>
        </w:rPr>
        <w:t> </w:t>
      </w:r>
      <w:r>
        <w:rPr>
          <w:vertAlign w:val="baseline"/>
        </w:rPr>
        <w:t>one</w:t>
      </w:r>
      <w:r>
        <w:rPr>
          <w:spacing w:val="-7"/>
          <w:vertAlign w:val="baseline"/>
        </w:rPr>
        <w:t> </w:t>
      </w:r>
      <w:r>
        <w:rPr>
          <w:vertAlign w:val="baseline"/>
        </w:rPr>
        <w:t>can</w:t>
      </w:r>
      <w:r>
        <w:rPr>
          <w:spacing w:val="-8"/>
          <w:vertAlign w:val="baseline"/>
        </w:rPr>
        <w:t> </w:t>
      </w:r>
      <w:r>
        <w:rPr>
          <w:vertAlign w:val="baseline"/>
        </w:rPr>
        <w:t>expect</w:t>
      </w:r>
      <w:r>
        <w:rPr>
          <w:spacing w:val="-7"/>
          <w:vertAlign w:val="baseline"/>
        </w:rPr>
        <w:t> </w:t>
      </w:r>
      <w:r>
        <w:rPr>
          <w:vertAlign w:val="baseline"/>
        </w:rPr>
        <w:t>particularly</w:t>
      </w:r>
      <w:r>
        <w:rPr>
          <w:spacing w:val="-7"/>
          <w:vertAlign w:val="baseline"/>
        </w:rPr>
        <w:t> </w:t>
      </w:r>
      <w:r>
        <w:rPr>
          <w:vertAlign w:val="baseline"/>
        </w:rPr>
        <w:t>dynamic</w:t>
      </w:r>
      <w:r>
        <w:rPr>
          <w:spacing w:val="-7"/>
          <w:vertAlign w:val="baseline"/>
        </w:rPr>
        <w:t> </w:t>
      </w:r>
      <w:r>
        <w:rPr>
          <w:vertAlign w:val="baseline"/>
        </w:rPr>
        <w:t>EU</w:t>
      </w:r>
      <w:r>
        <w:rPr>
          <w:spacing w:val="-7"/>
          <w:vertAlign w:val="baseline"/>
        </w:rPr>
        <w:t> </w:t>
      </w:r>
      <w:r>
        <w:rPr>
          <w:vertAlign w:val="baseline"/>
        </w:rPr>
        <w:t>protection</w:t>
      </w:r>
      <w:r>
        <w:rPr>
          <w:spacing w:val="-8"/>
          <w:vertAlign w:val="baseline"/>
        </w:rPr>
        <w:t> </w:t>
      </w:r>
      <w:r>
        <w:rPr>
          <w:vertAlign w:val="baseline"/>
        </w:rPr>
        <w:t>(including</w:t>
      </w:r>
      <w:r>
        <w:rPr>
          <w:spacing w:val="-7"/>
          <w:vertAlign w:val="baseline"/>
        </w:rPr>
        <w:t> </w:t>
      </w:r>
      <w:r>
        <w:rPr>
          <w:vertAlign w:val="baseline"/>
        </w:rPr>
        <w:t>legislative</w:t>
      </w:r>
    </w:p>
    <w:p>
      <w:pPr>
        <w:pStyle w:val="BodyText"/>
        <w:spacing w:line="232" w:lineRule="auto"/>
        <w:ind w:left="1117"/>
      </w:pPr>
      <w:r>
        <w:rPr/>
        <w:t>developments)</w:t>
      </w:r>
      <w:r>
        <w:rPr>
          <w:spacing w:val="-11"/>
        </w:rPr>
        <w:t> </w:t>
      </w:r>
      <w:r>
        <w:rPr/>
        <w:t>against</w:t>
      </w:r>
      <w:r>
        <w:rPr>
          <w:spacing w:val="-11"/>
        </w:rPr>
        <w:t> </w:t>
      </w:r>
      <w:r>
        <w:rPr/>
        <w:t>discrimination</w:t>
      </w:r>
      <w:r>
        <w:rPr>
          <w:spacing w:val="-11"/>
        </w:rPr>
        <w:t> </w:t>
      </w:r>
      <w:r>
        <w:rPr/>
        <w:t>based</w:t>
      </w:r>
      <w:r>
        <w:rPr>
          <w:spacing w:val="-11"/>
        </w:rPr>
        <w:t> </w:t>
      </w:r>
      <w:r>
        <w:rPr/>
        <w:t>on</w:t>
      </w:r>
      <w:r>
        <w:rPr>
          <w:spacing w:val="-11"/>
        </w:rPr>
        <w:t> </w:t>
      </w:r>
      <w:r>
        <w:rPr/>
        <w:t>gender,</w:t>
      </w:r>
      <w:r>
        <w:rPr>
          <w:spacing w:val="-11"/>
        </w:rPr>
        <w:t> </w:t>
      </w:r>
      <w:r>
        <w:rPr/>
        <w:t>ethnicity</w:t>
      </w:r>
      <w:r>
        <w:rPr>
          <w:spacing w:val="-11"/>
        </w:rPr>
        <w:t> </w:t>
      </w:r>
      <w:r>
        <w:rPr/>
        <w:t>(including</w:t>
      </w:r>
      <w:r>
        <w:rPr>
          <w:spacing w:val="-11"/>
        </w:rPr>
        <w:t> </w:t>
      </w:r>
      <w:r>
        <w:rPr/>
        <w:t>Roma communities), sexual orientation and disability during that time.</w:t>
      </w:r>
    </w:p>
    <w:p>
      <w:pPr>
        <w:pStyle w:val="BodyText"/>
        <w:spacing w:line="232" w:lineRule="auto" w:before="269"/>
        <w:ind w:left="1117" w:right="1051"/>
      </w:pPr>
      <w:r>
        <w:rPr/>
        <w:t>At</w:t>
      </w:r>
      <w:r>
        <w:rPr>
          <w:spacing w:val="-6"/>
        </w:rPr>
        <w:t> </w:t>
      </w:r>
      <w:r>
        <w:rPr/>
        <w:t>present,</w:t>
      </w:r>
      <w:r>
        <w:rPr>
          <w:spacing w:val="-6"/>
        </w:rPr>
        <w:t> </w:t>
      </w:r>
      <w:r>
        <w:rPr/>
        <w:t>Northern</w:t>
      </w:r>
      <w:r>
        <w:rPr>
          <w:spacing w:val="-7"/>
        </w:rPr>
        <w:t> </w:t>
      </w:r>
      <w:r>
        <w:rPr/>
        <w:t>Ireland</w:t>
      </w:r>
      <w:r>
        <w:rPr>
          <w:spacing w:val="-7"/>
        </w:rPr>
        <w:t> </w:t>
      </w:r>
      <w:r>
        <w:rPr/>
        <w:t>has</w:t>
      </w:r>
      <w:r>
        <w:rPr>
          <w:spacing w:val="-7"/>
        </w:rPr>
        <w:t> </w:t>
      </w:r>
      <w:r>
        <w:rPr/>
        <w:t>a</w:t>
      </w:r>
      <w:r>
        <w:rPr>
          <w:spacing w:val="-7"/>
        </w:rPr>
        <w:t> </w:t>
      </w:r>
      <w:r>
        <w:rPr/>
        <w:t>number</w:t>
      </w:r>
      <w:r>
        <w:rPr>
          <w:spacing w:val="-6"/>
        </w:rPr>
        <w:t> </w:t>
      </w:r>
      <w:r>
        <w:rPr/>
        <w:t>of</w:t>
      </w:r>
      <w:r>
        <w:rPr>
          <w:spacing w:val="-7"/>
        </w:rPr>
        <w:t> </w:t>
      </w:r>
      <w:r>
        <w:rPr/>
        <w:t>laws</w:t>
      </w:r>
      <w:r>
        <w:rPr>
          <w:spacing w:val="-7"/>
        </w:rPr>
        <w:t> </w:t>
      </w:r>
      <w:r>
        <w:rPr/>
        <w:t>in</w:t>
      </w:r>
      <w:r>
        <w:rPr>
          <w:spacing w:val="-7"/>
        </w:rPr>
        <w:t> </w:t>
      </w:r>
      <w:r>
        <w:rPr/>
        <w:t>force</w:t>
      </w:r>
      <w:r>
        <w:rPr>
          <w:spacing w:val="-6"/>
        </w:rPr>
        <w:t> </w:t>
      </w:r>
      <w:r>
        <w:rPr/>
        <w:t>protecting</w:t>
      </w:r>
      <w:r>
        <w:rPr>
          <w:spacing w:val="-6"/>
        </w:rPr>
        <w:t> </w:t>
      </w:r>
      <w:r>
        <w:rPr/>
        <w:t>individuals against discrimination on the grounds of gender, race, sexual orientation and disability. The Equality Commission has regularly commented on the need for better data collection,</w:t>
      </w:r>
      <w:r>
        <w:rPr>
          <w:vertAlign w:val="superscript"/>
        </w:rPr>
        <w:t>681</w:t>
      </w:r>
      <w:r>
        <w:rPr>
          <w:vertAlign w:val="baseline"/>
        </w:rPr>
        <w:t> including the need to collect data on race equality that is comparable with international frameworks including the EU.</w:t>
      </w:r>
      <w:r>
        <w:rPr>
          <w:vertAlign w:val="superscript"/>
        </w:rPr>
        <w:t>682</w:t>
      </w:r>
    </w:p>
    <w:p>
      <w:pPr>
        <w:pStyle w:val="BodyText"/>
        <w:spacing w:line="232" w:lineRule="auto" w:before="276"/>
        <w:ind w:left="1117" w:right="1087"/>
      </w:pPr>
      <w:r>
        <w:rPr/>
        <w:t>In</w:t>
      </w:r>
      <w:r>
        <w:rPr>
          <w:spacing w:val="-7"/>
        </w:rPr>
        <w:t> </w:t>
      </w:r>
      <w:r>
        <w:rPr/>
        <w:t>addition</w:t>
      </w:r>
      <w:r>
        <w:rPr>
          <w:spacing w:val="-7"/>
        </w:rPr>
        <w:t> </w:t>
      </w:r>
      <w:r>
        <w:rPr/>
        <w:t>to</w:t>
      </w:r>
      <w:r>
        <w:rPr>
          <w:spacing w:val="-7"/>
        </w:rPr>
        <w:t> </w:t>
      </w:r>
      <w:r>
        <w:rPr/>
        <w:t>the</w:t>
      </w:r>
      <w:r>
        <w:rPr>
          <w:spacing w:val="-6"/>
        </w:rPr>
        <w:t> </w:t>
      </w:r>
      <w:r>
        <w:rPr/>
        <w:t>implementation</w:t>
      </w:r>
      <w:r>
        <w:rPr>
          <w:spacing w:val="-7"/>
        </w:rPr>
        <w:t> </w:t>
      </w:r>
      <w:r>
        <w:rPr/>
        <w:t>of</w:t>
      </w:r>
      <w:r>
        <w:rPr>
          <w:spacing w:val="-7"/>
        </w:rPr>
        <w:t> </w:t>
      </w:r>
      <w:r>
        <w:rPr/>
        <w:t>these</w:t>
      </w:r>
      <w:r>
        <w:rPr>
          <w:spacing w:val="-6"/>
        </w:rPr>
        <w:t> </w:t>
      </w:r>
      <w:r>
        <w:rPr/>
        <w:t>laws</w:t>
      </w:r>
      <w:r>
        <w:rPr>
          <w:spacing w:val="-7"/>
        </w:rPr>
        <w:t> </w:t>
      </w:r>
      <w:r>
        <w:rPr/>
        <w:t>and</w:t>
      </w:r>
      <w:r>
        <w:rPr>
          <w:spacing w:val="-7"/>
        </w:rPr>
        <w:t> </w:t>
      </w:r>
      <w:r>
        <w:rPr/>
        <w:t>before</w:t>
      </w:r>
      <w:r>
        <w:rPr>
          <w:spacing w:val="-6"/>
        </w:rPr>
        <w:t> </w:t>
      </w:r>
      <w:r>
        <w:rPr/>
        <w:t>looking</w:t>
      </w:r>
      <w:r>
        <w:rPr>
          <w:spacing w:val="-6"/>
        </w:rPr>
        <w:t> </w:t>
      </w:r>
      <w:r>
        <w:rPr/>
        <w:t>at</w:t>
      </w:r>
      <w:r>
        <w:rPr>
          <w:spacing w:val="-6"/>
        </w:rPr>
        <w:t> </w:t>
      </w:r>
      <w:r>
        <w:rPr/>
        <w:t>specific thematic elements below, we encourage the NI Executive to continue or</w:t>
      </w:r>
    </w:p>
    <w:p>
      <w:pPr>
        <w:pStyle w:val="BodyText"/>
        <w:spacing w:line="232" w:lineRule="auto"/>
        <w:ind w:left="1117" w:right="738"/>
      </w:pPr>
      <w:r>
        <w:rPr/>
        <w:t>start gathering data on contemporary forms of discrimination affecting these individuals, designing measures that protect them from discrimination, and monitoring</w:t>
      </w:r>
      <w:r>
        <w:rPr>
          <w:spacing w:val="-9"/>
        </w:rPr>
        <w:t> </w:t>
      </w:r>
      <w:r>
        <w:rPr/>
        <w:t>their</w:t>
      </w:r>
      <w:r>
        <w:rPr>
          <w:spacing w:val="-9"/>
        </w:rPr>
        <w:t> </w:t>
      </w:r>
      <w:r>
        <w:rPr/>
        <w:t>efficacy,</w:t>
      </w:r>
      <w:r>
        <w:rPr>
          <w:spacing w:val="-10"/>
        </w:rPr>
        <w:t> </w:t>
      </w:r>
      <w:r>
        <w:rPr/>
        <w:t>in</w:t>
      </w:r>
      <w:r>
        <w:rPr>
          <w:spacing w:val="-10"/>
        </w:rPr>
        <w:t> </w:t>
      </w:r>
      <w:r>
        <w:rPr/>
        <w:t>order</w:t>
      </w:r>
      <w:r>
        <w:rPr>
          <w:spacing w:val="-10"/>
        </w:rPr>
        <w:t> </w:t>
      </w:r>
      <w:r>
        <w:rPr/>
        <w:t>to</w:t>
      </w:r>
      <w:r>
        <w:rPr>
          <w:spacing w:val="-10"/>
        </w:rPr>
        <w:t> </w:t>
      </w:r>
      <w:r>
        <w:rPr/>
        <w:t>follow</w:t>
      </w:r>
      <w:r>
        <w:rPr>
          <w:spacing w:val="-10"/>
        </w:rPr>
        <w:t> </w:t>
      </w:r>
      <w:r>
        <w:rPr/>
        <w:t>examples</w:t>
      </w:r>
      <w:r>
        <w:rPr>
          <w:spacing w:val="-10"/>
        </w:rPr>
        <w:t> </w:t>
      </w:r>
      <w:r>
        <w:rPr/>
        <w:t>in</w:t>
      </w:r>
      <w:r>
        <w:rPr>
          <w:spacing w:val="-10"/>
        </w:rPr>
        <w:t> </w:t>
      </w:r>
      <w:r>
        <w:rPr/>
        <w:t>the</w:t>
      </w:r>
      <w:r>
        <w:rPr>
          <w:spacing w:val="-10"/>
        </w:rPr>
        <w:t> </w:t>
      </w:r>
      <w:r>
        <w:rPr/>
        <w:t>EU</w:t>
      </w:r>
      <w:r>
        <w:rPr>
          <w:spacing w:val="-10"/>
        </w:rPr>
        <w:t> </w:t>
      </w:r>
      <w:r>
        <w:rPr/>
        <w:t>equality</w:t>
      </w:r>
      <w:r>
        <w:rPr>
          <w:spacing w:val="-9"/>
        </w:rPr>
        <w:t> </w:t>
      </w:r>
      <w:r>
        <w:rPr/>
        <w:t>strategies listed above of best practice which strengthen rights and reflect international human rights standards and best practice.</w:t>
      </w:r>
    </w:p>
    <w:p>
      <w:pPr>
        <w:pStyle w:val="BodyText"/>
        <w:spacing w:before="8"/>
        <w:rPr>
          <w:sz w:val="19"/>
        </w:rPr>
      </w:pPr>
      <w:r>
        <w:rPr/>
        <mc:AlternateContent>
          <mc:Choice Requires="wps">
            <w:drawing>
              <wp:anchor distT="0" distB="0" distL="0" distR="0" allowOverlap="1" layoutInCell="1" locked="0" behindDoc="1" simplePos="0" relativeHeight="487798784">
                <wp:simplePos x="0" y="0"/>
                <wp:positionH relativeFrom="page">
                  <wp:posOffset>899994</wp:posOffset>
                </wp:positionH>
                <wp:positionV relativeFrom="paragraph">
                  <wp:posOffset>168116</wp:posOffset>
                </wp:positionV>
                <wp:extent cx="6012180" cy="1442085"/>
                <wp:effectExtent l="0" t="0" r="0" b="0"/>
                <wp:wrapTopAndBottom/>
                <wp:docPr id="1103" name="Group 1103"/>
                <wp:cNvGraphicFramePr>
                  <a:graphicFrameLocks/>
                </wp:cNvGraphicFramePr>
                <a:graphic>
                  <a:graphicData uri="http://schemas.microsoft.com/office/word/2010/wordprocessingGroup">
                    <wpg:wgp>
                      <wpg:cNvPr id="1103" name="Group 1103"/>
                      <wpg:cNvGrpSpPr/>
                      <wpg:grpSpPr>
                        <a:xfrm>
                          <a:off x="0" y="0"/>
                          <a:ext cx="6012180" cy="1442085"/>
                          <a:chExt cx="6012180" cy="1442085"/>
                        </a:xfrm>
                      </wpg:grpSpPr>
                      <wps:wsp>
                        <wps:cNvPr id="1104" name="Graphic 1104"/>
                        <wps:cNvSpPr/>
                        <wps:spPr>
                          <a:xfrm>
                            <a:off x="0" y="0"/>
                            <a:ext cx="6012180" cy="1442085"/>
                          </a:xfrm>
                          <a:custGeom>
                            <a:avLst/>
                            <a:gdLst/>
                            <a:ahLst/>
                            <a:cxnLst/>
                            <a:rect l="l" t="t" r="r" b="b"/>
                            <a:pathLst>
                              <a:path w="6012180" h="1442085">
                                <a:moveTo>
                                  <a:pt x="5868009" y="0"/>
                                </a:moveTo>
                                <a:lnTo>
                                  <a:pt x="144005" y="0"/>
                                </a:lnTo>
                                <a:lnTo>
                                  <a:pt x="98490" y="7340"/>
                                </a:lnTo>
                                <a:lnTo>
                                  <a:pt x="58959" y="27782"/>
                                </a:lnTo>
                                <a:lnTo>
                                  <a:pt x="27785" y="58954"/>
                                </a:lnTo>
                                <a:lnTo>
                                  <a:pt x="7341" y="98485"/>
                                </a:lnTo>
                                <a:lnTo>
                                  <a:pt x="0" y="144005"/>
                                </a:lnTo>
                                <a:lnTo>
                                  <a:pt x="0" y="1297546"/>
                                </a:lnTo>
                                <a:lnTo>
                                  <a:pt x="7341" y="1343061"/>
                                </a:lnTo>
                                <a:lnTo>
                                  <a:pt x="27785" y="1382592"/>
                                </a:lnTo>
                                <a:lnTo>
                                  <a:pt x="58959" y="1413765"/>
                                </a:lnTo>
                                <a:lnTo>
                                  <a:pt x="98490" y="1434209"/>
                                </a:lnTo>
                                <a:lnTo>
                                  <a:pt x="144005" y="1441551"/>
                                </a:lnTo>
                                <a:lnTo>
                                  <a:pt x="5868009" y="1441551"/>
                                </a:lnTo>
                                <a:lnTo>
                                  <a:pt x="5913523" y="1434209"/>
                                </a:lnTo>
                                <a:lnTo>
                                  <a:pt x="5953050" y="1413765"/>
                                </a:lnTo>
                                <a:lnTo>
                                  <a:pt x="5984220" y="1382592"/>
                                </a:lnTo>
                                <a:lnTo>
                                  <a:pt x="6004661" y="1343061"/>
                                </a:lnTo>
                                <a:lnTo>
                                  <a:pt x="6012002" y="12975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105" name="Textbox 1105"/>
                        <wps:cNvSpPr txBox="1"/>
                        <wps:spPr>
                          <a:xfrm>
                            <a:off x="0" y="0"/>
                            <a:ext cx="6012180" cy="1442085"/>
                          </a:xfrm>
                          <a:prstGeom prst="rect">
                            <a:avLst/>
                          </a:prstGeom>
                        </wps:spPr>
                        <wps:txbx>
                          <w:txbxContent>
                            <w:p>
                              <w:pPr>
                                <w:spacing w:line="232" w:lineRule="auto" w:before="121"/>
                                <w:ind w:left="340" w:right="564" w:firstLine="0"/>
                                <w:jc w:val="both"/>
                                <w:rPr>
                                  <w:b/>
                                  <w:sz w:val="28"/>
                                </w:rPr>
                              </w:pPr>
                              <w:r>
                                <w:rPr>
                                  <w:b/>
                                  <w:color w:val="164194"/>
                                  <w:sz w:val="28"/>
                                </w:rPr>
                                <w:t>We</w:t>
                              </w:r>
                              <w:r>
                                <w:rPr>
                                  <w:b/>
                                  <w:color w:val="164194"/>
                                  <w:spacing w:val="-2"/>
                                  <w:sz w:val="28"/>
                                </w:rPr>
                                <w:t> </w:t>
                              </w:r>
                              <w:r>
                                <w:rPr>
                                  <w:b/>
                                  <w:color w:val="164194"/>
                                  <w:sz w:val="28"/>
                                </w:rPr>
                                <w:t>recommend</w:t>
                              </w:r>
                              <w:r>
                                <w:rPr>
                                  <w:b/>
                                  <w:color w:val="164194"/>
                                  <w:spacing w:val="-1"/>
                                  <w:sz w:val="28"/>
                                </w:rPr>
                                <w:t> </w:t>
                              </w:r>
                              <w:r>
                                <w:rPr>
                                  <w:b/>
                                  <w:color w:val="164194"/>
                                  <w:sz w:val="28"/>
                                </w:rPr>
                                <w:t>the</w:t>
                              </w:r>
                              <w:r>
                                <w:rPr>
                                  <w:b/>
                                  <w:color w:val="164194"/>
                                  <w:spacing w:val="-2"/>
                                  <w:sz w:val="28"/>
                                </w:rPr>
                                <w:t> </w:t>
                              </w:r>
                              <w:r>
                                <w:rPr>
                                  <w:b/>
                                  <w:color w:val="164194"/>
                                  <w:sz w:val="28"/>
                                </w:rPr>
                                <w:t>Northern</w:t>
                              </w:r>
                              <w:r>
                                <w:rPr>
                                  <w:b/>
                                  <w:color w:val="164194"/>
                                  <w:spacing w:val="-1"/>
                                  <w:sz w:val="28"/>
                                </w:rPr>
                                <w:t> </w:t>
                              </w:r>
                              <w:r>
                                <w:rPr>
                                  <w:b/>
                                  <w:color w:val="164194"/>
                                  <w:sz w:val="28"/>
                                </w:rPr>
                                <w:t>Ireland</w:t>
                              </w:r>
                              <w:r>
                                <w:rPr>
                                  <w:b/>
                                  <w:color w:val="164194"/>
                                  <w:spacing w:val="-1"/>
                                  <w:sz w:val="28"/>
                                </w:rPr>
                                <w:t> </w:t>
                              </w:r>
                              <w:r>
                                <w:rPr>
                                  <w:b/>
                                  <w:color w:val="164194"/>
                                  <w:sz w:val="28"/>
                                </w:rPr>
                                <w:t>Executive,</w:t>
                              </w:r>
                              <w:r>
                                <w:rPr>
                                  <w:b/>
                                  <w:color w:val="164194"/>
                                  <w:spacing w:val="-1"/>
                                  <w:sz w:val="28"/>
                                </w:rPr>
                                <w:t> </w:t>
                              </w:r>
                              <w:r>
                                <w:rPr>
                                  <w:b/>
                                  <w:color w:val="164194"/>
                                  <w:sz w:val="28"/>
                                </w:rPr>
                                <w:t>relevant</w:t>
                              </w:r>
                              <w:r>
                                <w:rPr>
                                  <w:b/>
                                  <w:color w:val="164194"/>
                                  <w:spacing w:val="-1"/>
                                  <w:sz w:val="28"/>
                                </w:rPr>
                                <w:t> </w:t>
                              </w:r>
                              <w:r>
                                <w:rPr>
                                  <w:b/>
                                  <w:color w:val="164194"/>
                                  <w:sz w:val="28"/>
                                </w:rPr>
                                <w:t>NI</w:t>
                              </w:r>
                              <w:r>
                                <w:rPr>
                                  <w:b/>
                                  <w:color w:val="164194"/>
                                  <w:spacing w:val="-1"/>
                                  <w:sz w:val="28"/>
                                </w:rPr>
                                <w:t> </w:t>
                              </w:r>
                              <w:r>
                                <w:rPr>
                                  <w:b/>
                                  <w:color w:val="164194"/>
                                  <w:sz w:val="28"/>
                                </w:rPr>
                                <w:t>Departments and</w:t>
                              </w:r>
                              <w:r>
                                <w:rPr>
                                  <w:b/>
                                  <w:color w:val="164194"/>
                                  <w:spacing w:val="-4"/>
                                  <w:sz w:val="28"/>
                                </w:rPr>
                                <w:t> </w:t>
                              </w:r>
                              <w:r>
                                <w:rPr>
                                  <w:b/>
                                  <w:color w:val="164194"/>
                                  <w:sz w:val="28"/>
                                </w:rPr>
                                <w:t>others</w:t>
                              </w:r>
                              <w:r>
                                <w:rPr>
                                  <w:b/>
                                  <w:color w:val="164194"/>
                                  <w:spacing w:val="-4"/>
                                  <w:sz w:val="28"/>
                                </w:rPr>
                                <w:t> </w:t>
                              </w:r>
                              <w:r>
                                <w:rPr>
                                  <w:b/>
                                  <w:color w:val="164194"/>
                                  <w:sz w:val="28"/>
                                </w:rPr>
                                <w:t>consider</w:t>
                              </w:r>
                              <w:r>
                                <w:rPr>
                                  <w:b/>
                                  <w:color w:val="164194"/>
                                  <w:spacing w:val="-5"/>
                                  <w:sz w:val="28"/>
                                </w:rPr>
                                <w:t> </w:t>
                              </w:r>
                              <w:r>
                                <w:rPr>
                                  <w:b/>
                                  <w:color w:val="164194"/>
                                  <w:sz w:val="28"/>
                                </w:rPr>
                                <w:t>how</w:t>
                              </w:r>
                              <w:r>
                                <w:rPr>
                                  <w:b/>
                                  <w:color w:val="164194"/>
                                  <w:spacing w:val="-5"/>
                                  <w:sz w:val="28"/>
                                </w:rPr>
                                <w:t> </w:t>
                              </w:r>
                              <w:r>
                                <w:rPr>
                                  <w:b/>
                                  <w:color w:val="164194"/>
                                  <w:sz w:val="28"/>
                                </w:rPr>
                                <w:t>to</w:t>
                              </w:r>
                              <w:r>
                                <w:rPr>
                                  <w:b/>
                                  <w:color w:val="164194"/>
                                  <w:spacing w:val="-4"/>
                                  <w:sz w:val="28"/>
                                </w:rPr>
                                <w:t> </w:t>
                              </w:r>
                              <w:r>
                                <w:rPr>
                                  <w:b/>
                                  <w:color w:val="164194"/>
                                  <w:sz w:val="28"/>
                                </w:rPr>
                                <w:t>gather</w:t>
                              </w:r>
                              <w:r>
                                <w:rPr>
                                  <w:b/>
                                  <w:color w:val="164194"/>
                                  <w:spacing w:val="-5"/>
                                  <w:sz w:val="28"/>
                                </w:rPr>
                                <w:t> </w:t>
                              </w:r>
                              <w:r>
                                <w:rPr>
                                  <w:b/>
                                  <w:color w:val="164194"/>
                                  <w:sz w:val="28"/>
                                </w:rPr>
                                <w:t>disaggregated</w:t>
                              </w:r>
                              <w:r>
                                <w:rPr>
                                  <w:b/>
                                  <w:color w:val="164194"/>
                                  <w:spacing w:val="-4"/>
                                  <w:sz w:val="28"/>
                                </w:rPr>
                                <w:t> </w:t>
                              </w:r>
                              <w:r>
                                <w:rPr>
                                  <w:b/>
                                  <w:color w:val="164194"/>
                                  <w:sz w:val="28"/>
                                </w:rPr>
                                <w:t>equality</w:t>
                              </w:r>
                              <w:r>
                                <w:rPr>
                                  <w:b/>
                                  <w:color w:val="164194"/>
                                  <w:spacing w:val="-4"/>
                                  <w:sz w:val="28"/>
                                </w:rPr>
                                <w:t> </w:t>
                              </w:r>
                              <w:r>
                                <w:rPr>
                                  <w:b/>
                                  <w:color w:val="164194"/>
                                  <w:sz w:val="28"/>
                                </w:rPr>
                                <w:t>data</w:t>
                              </w:r>
                              <w:r>
                                <w:rPr>
                                  <w:b/>
                                  <w:color w:val="164194"/>
                                  <w:spacing w:val="-4"/>
                                  <w:sz w:val="28"/>
                                </w:rPr>
                                <w:t> </w:t>
                              </w:r>
                              <w:r>
                                <w:rPr>
                                  <w:b/>
                                  <w:color w:val="164194"/>
                                  <w:sz w:val="28"/>
                                </w:rPr>
                                <w:t>in</w:t>
                              </w:r>
                              <w:r>
                                <w:rPr>
                                  <w:b/>
                                  <w:color w:val="164194"/>
                                  <w:spacing w:val="-4"/>
                                  <w:sz w:val="28"/>
                                </w:rPr>
                                <w:t> </w:t>
                              </w:r>
                              <w:r>
                                <w:rPr>
                                  <w:b/>
                                  <w:color w:val="164194"/>
                                  <w:sz w:val="28"/>
                                </w:rPr>
                                <w:t>relation to</w:t>
                              </w:r>
                              <w:r>
                                <w:rPr>
                                  <w:b/>
                                  <w:color w:val="164194"/>
                                  <w:spacing w:val="-5"/>
                                  <w:sz w:val="28"/>
                                </w:rPr>
                                <w:t> </w:t>
                              </w:r>
                              <w:r>
                                <w:rPr>
                                  <w:b/>
                                  <w:color w:val="164194"/>
                                  <w:sz w:val="28"/>
                                </w:rPr>
                                <w:t>the</w:t>
                              </w:r>
                              <w:r>
                                <w:rPr>
                                  <w:b/>
                                  <w:color w:val="164194"/>
                                  <w:spacing w:val="-5"/>
                                  <w:sz w:val="28"/>
                                </w:rPr>
                                <w:t> </w:t>
                              </w:r>
                              <w:r>
                                <w:rPr>
                                  <w:b/>
                                  <w:color w:val="164194"/>
                                  <w:sz w:val="28"/>
                                </w:rPr>
                                <w:t>full</w:t>
                              </w:r>
                              <w:r>
                                <w:rPr>
                                  <w:b/>
                                  <w:color w:val="164194"/>
                                  <w:spacing w:val="-4"/>
                                  <w:sz w:val="28"/>
                                </w:rPr>
                                <w:t> </w:t>
                              </w:r>
                              <w:r>
                                <w:rPr>
                                  <w:b/>
                                  <w:color w:val="164194"/>
                                  <w:sz w:val="28"/>
                                </w:rPr>
                                <w:t>list</w:t>
                              </w:r>
                              <w:r>
                                <w:rPr>
                                  <w:b/>
                                  <w:color w:val="164194"/>
                                  <w:spacing w:val="-4"/>
                                  <w:sz w:val="28"/>
                                </w:rPr>
                                <w:t> </w:t>
                              </w:r>
                              <w:r>
                                <w:rPr>
                                  <w:b/>
                                  <w:color w:val="164194"/>
                                  <w:sz w:val="28"/>
                                </w:rPr>
                                <w:t>of</w:t>
                              </w:r>
                              <w:r>
                                <w:rPr>
                                  <w:b/>
                                  <w:color w:val="164194"/>
                                  <w:spacing w:val="-5"/>
                                  <w:sz w:val="28"/>
                                </w:rPr>
                                <w:t> </w:t>
                              </w:r>
                              <w:r>
                                <w:rPr>
                                  <w:b/>
                                  <w:color w:val="164194"/>
                                  <w:sz w:val="28"/>
                                </w:rPr>
                                <w:t>protected</w:t>
                              </w:r>
                              <w:r>
                                <w:rPr>
                                  <w:b/>
                                  <w:color w:val="164194"/>
                                  <w:spacing w:val="-4"/>
                                  <w:sz w:val="28"/>
                                </w:rPr>
                                <w:t> </w:t>
                              </w:r>
                              <w:r>
                                <w:rPr>
                                  <w:b/>
                                  <w:color w:val="164194"/>
                                  <w:sz w:val="28"/>
                                </w:rPr>
                                <w:t>characteristics</w:t>
                              </w:r>
                              <w:r>
                                <w:rPr>
                                  <w:b/>
                                  <w:color w:val="164194"/>
                                  <w:spacing w:val="-4"/>
                                  <w:sz w:val="28"/>
                                </w:rPr>
                                <w:t> </w:t>
                              </w:r>
                              <w:r>
                                <w:rPr>
                                  <w:b/>
                                  <w:color w:val="164194"/>
                                  <w:sz w:val="28"/>
                                </w:rPr>
                                <w:t>in</w:t>
                              </w:r>
                              <w:r>
                                <w:rPr>
                                  <w:b/>
                                  <w:color w:val="164194"/>
                                  <w:spacing w:val="-4"/>
                                  <w:sz w:val="28"/>
                                </w:rPr>
                                <w:t> </w:t>
                              </w:r>
                              <w:r>
                                <w:rPr>
                                  <w:b/>
                                  <w:color w:val="164194"/>
                                  <w:sz w:val="28"/>
                                </w:rPr>
                                <w:t>Northern</w:t>
                              </w:r>
                              <w:r>
                                <w:rPr>
                                  <w:b/>
                                  <w:color w:val="164194"/>
                                  <w:spacing w:val="-4"/>
                                  <w:sz w:val="28"/>
                                </w:rPr>
                                <w:t> </w:t>
                              </w:r>
                              <w:r>
                                <w:rPr>
                                  <w:b/>
                                  <w:color w:val="164194"/>
                                  <w:sz w:val="28"/>
                                </w:rPr>
                                <w:t>Ireland</w:t>
                              </w:r>
                              <w:r>
                                <w:rPr>
                                  <w:b/>
                                  <w:color w:val="164194"/>
                                  <w:spacing w:val="-4"/>
                                  <w:sz w:val="28"/>
                                </w:rPr>
                                <w:t> </w:t>
                              </w:r>
                              <w:r>
                                <w:rPr>
                                  <w:b/>
                                  <w:color w:val="164194"/>
                                  <w:sz w:val="28"/>
                                </w:rPr>
                                <w:t>law</w:t>
                              </w:r>
                              <w:r>
                                <w:rPr>
                                  <w:b/>
                                  <w:color w:val="164194"/>
                                  <w:spacing w:val="-5"/>
                                  <w:sz w:val="28"/>
                                </w:rPr>
                                <w:t> </w:t>
                              </w:r>
                              <w:r>
                                <w:rPr>
                                  <w:b/>
                                  <w:color w:val="164194"/>
                                  <w:sz w:val="28"/>
                                </w:rPr>
                                <w:t>in</w:t>
                              </w:r>
                              <w:r>
                                <w:rPr>
                                  <w:b/>
                                  <w:color w:val="164194"/>
                                  <w:spacing w:val="-4"/>
                                  <w:sz w:val="28"/>
                                </w:rPr>
                                <w:t> </w:t>
                              </w:r>
                              <w:r>
                                <w:rPr>
                                  <w:b/>
                                  <w:color w:val="164194"/>
                                  <w:sz w:val="28"/>
                                </w:rPr>
                                <w:t>a</w:t>
                              </w:r>
                              <w:r>
                                <w:rPr>
                                  <w:b/>
                                  <w:color w:val="164194"/>
                                  <w:spacing w:val="-4"/>
                                  <w:sz w:val="28"/>
                                </w:rPr>
                                <w:t> </w:t>
                              </w:r>
                              <w:r>
                                <w:rPr>
                                  <w:b/>
                                  <w:color w:val="164194"/>
                                  <w:spacing w:val="-5"/>
                                  <w:sz w:val="28"/>
                                </w:rPr>
                                <w:t>way</w:t>
                              </w:r>
                            </w:p>
                            <w:p>
                              <w:pPr>
                                <w:spacing w:line="232" w:lineRule="auto" w:before="0"/>
                                <w:ind w:left="340" w:right="238" w:firstLine="0"/>
                                <w:jc w:val="left"/>
                                <w:rPr>
                                  <w:b/>
                                  <w:sz w:val="28"/>
                                </w:rPr>
                              </w:pPr>
                              <w:r>
                                <w:rPr>
                                  <w:b/>
                                  <w:color w:val="164194"/>
                                  <w:sz w:val="28"/>
                                </w:rPr>
                                <w:t>which</w:t>
                              </w:r>
                              <w:r>
                                <w:rPr>
                                  <w:b/>
                                  <w:color w:val="164194"/>
                                  <w:spacing w:val="-4"/>
                                  <w:sz w:val="28"/>
                                </w:rPr>
                                <w:t> </w:t>
                              </w:r>
                              <w:r>
                                <w:rPr>
                                  <w:b/>
                                  <w:color w:val="164194"/>
                                  <w:sz w:val="28"/>
                                </w:rPr>
                                <w:t>not</w:t>
                              </w:r>
                              <w:r>
                                <w:rPr>
                                  <w:b/>
                                  <w:color w:val="164194"/>
                                  <w:spacing w:val="-4"/>
                                  <w:sz w:val="28"/>
                                </w:rPr>
                                <w:t> </w:t>
                              </w:r>
                              <w:r>
                                <w:rPr>
                                  <w:b/>
                                  <w:color w:val="164194"/>
                                  <w:sz w:val="28"/>
                                </w:rPr>
                                <w:t>only</w:t>
                              </w:r>
                              <w:r>
                                <w:rPr>
                                  <w:b/>
                                  <w:color w:val="164194"/>
                                  <w:spacing w:val="-4"/>
                                  <w:sz w:val="28"/>
                                </w:rPr>
                                <w:t> </w:t>
                              </w:r>
                              <w:r>
                                <w:rPr>
                                  <w:b/>
                                  <w:color w:val="164194"/>
                                  <w:sz w:val="28"/>
                                </w:rPr>
                                <w:t>meets</w:t>
                              </w:r>
                              <w:r>
                                <w:rPr>
                                  <w:b/>
                                  <w:color w:val="164194"/>
                                  <w:spacing w:val="-4"/>
                                  <w:sz w:val="28"/>
                                </w:rPr>
                                <w:t> </w:t>
                              </w:r>
                              <w:r>
                                <w:rPr>
                                  <w:b/>
                                  <w:color w:val="164194"/>
                                  <w:sz w:val="28"/>
                                </w:rPr>
                                <w:t>the</w:t>
                              </w:r>
                              <w:r>
                                <w:rPr>
                                  <w:b/>
                                  <w:color w:val="164194"/>
                                  <w:spacing w:val="-5"/>
                                  <w:sz w:val="28"/>
                                </w:rPr>
                                <w:t> </w:t>
                              </w:r>
                              <w:r>
                                <w:rPr>
                                  <w:b/>
                                  <w:color w:val="164194"/>
                                  <w:sz w:val="28"/>
                                </w:rPr>
                                <w:t>needs</w:t>
                              </w:r>
                              <w:r>
                                <w:rPr>
                                  <w:b/>
                                  <w:color w:val="164194"/>
                                  <w:spacing w:val="-4"/>
                                  <w:sz w:val="28"/>
                                </w:rPr>
                                <w:t> </w:t>
                              </w:r>
                              <w:r>
                                <w:rPr>
                                  <w:b/>
                                  <w:color w:val="164194"/>
                                  <w:sz w:val="28"/>
                                </w:rPr>
                                <w:t>of</w:t>
                              </w:r>
                              <w:r>
                                <w:rPr>
                                  <w:b/>
                                  <w:color w:val="164194"/>
                                  <w:spacing w:val="-5"/>
                                  <w:sz w:val="28"/>
                                </w:rPr>
                                <w:t> </w:t>
                              </w:r>
                              <w:r>
                                <w:rPr>
                                  <w:b/>
                                  <w:color w:val="164194"/>
                                  <w:sz w:val="28"/>
                                </w:rPr>
                                <w:t>NI</w:t>
                              </w:r>
                              <w:r>
                                <w:rPr>
                                  <w:b/>
                                  <w:color w:val="164194"/>
                                  <w:spacing w:val="-4"/>
                                  <w:sz w:val="28"/>
                                </w:rPr>
                                <w:t> </w:t>
                              </w:r>
                              <w:r>
                                <w:rPr>
                                  <w:b/>
                                  <w:color w:val="164194"/>
                                  <w:sz w:val="28"/>
                                </w:rPr>
                                <w:t>but</w:t>
                              </w:r>
                              <w:r>
                                <w:rPr>
                                  <w:b/>
                                  <w:color w:val="164194"/>
                                  <w:spacing w:val="-4"/>
                                  <w:sz w:val="28"/>
                                </w:rPr>
                                <w:t> </w:t>
                              </w:r>
                              <w:r>
                                <w:rPr>
                                  <w:b/>
                                  <w:color w:val="164194"/>
                                  <w:sz w:val="28"/>
                                </w:rPr>
                                <w:t>where</w:t>
                              </w:r>
                              <w:r>
                                <w:rPr>
                                  <w:b/>
                                  <w:color w:val="164194"/>
                                  <w:spacing w:val="-5"/>
                                  <w:sz w:val="28"/>
                                </w:rPr>
                                <w:t> </w:t>
                              </w:r>
                              <w:r>
                                <w:rPr>
                                  <w:b/>
                                  <w:color w:val="164194"/>
                                  <w:sz w:val="28"/>
                                </w:rPr>
                                <w:t>possible</w:t>
                              </w:r>
                              <w:r>
                                <w:rPr>
                                  <w:b/>
                                  <w:color w:val="164194"/>
                                  <w:spacing w:val="-5"/>
                                  <w:sz w:val="28"/>
                                </w:rPr>
                                <w:t> </w:t>
                              </w:r>
                              <w:r>
                                <w:rPr>
                                  <w:b/>
                                  <w:color w:val="164194"/>
                                  <w:sz w:val="28"/>
                                </w:rPr>
                                <w:t>is</w:t>
                              </w:r>
                              <w:r>
                                <w:rPr>
                                  <w:b/>
                                  <w:color w:val="164194"/>
                                  <w:spacing w:val="-4"/>
                                  <w:sz w:val="28"/>
                                </w:rPr>
                                <w:t> </w:t>
                              </w:r>
                              <w:r>
                                <w:rPr>
                                  <w:b/>
                                  <w:color w:val="164194"/>
                                  <w:sz w:val="28"/>
                                </w:rPr>
                                <w:t>comparable</w:t>
                              </w:r>
                              <w:r>
                                <w:rPr>
                                  <w:b/>
                                  <w:color w:val="164194"/>
                                  <w:spacing w:val="-5"/>
                                  <w:sz w:val="28"/>
                                </w:rPr>
                                <w:t> </w:t>
                              </w:r>
                              <w:r>
                                <w:rPr>
                                  <w:b/>
                                  <w:color w:val="164194"/>
                                  <w:sz w:val="28"/>
                                </w:rPr>
                                <w:t>with common international frameworks, including at EU level; it may be helpful to reflect on Ireland’s plans to develop an Equality Data strategy.</w:t>
                              </w:r>
                            </w:p>
                          </w:txbxContent>
                        </wps:txbx>
                        <wps:bodyPr wrap="square" lIns="0" tIns="0" rIns="0" bIns="0" rtlCol="0">
                          <a:noAutofit/>
                        </wps:bodyPr>
                      </wps:wsp>
                    </wpg:wgp>
                  </a:graphicData>
                </a:graphic>
              </wp:anchor>
            </w:drawing>
          </mc:Choice>
          <mc:Fallback>
            <w:pict>
              <v:group style="position:absolute;margin-left:70.8657pt;margin-top:13.23749pt;width:473.4pt;height:113.55pt;mso-position-horizontal-relative:page;mso-position-vertical-relative:paragraph;z-index:-15517696;mso-wrap-distance-left:0;mso-wrap-distance-right:0" id="docshapegroup909" coordorigin="1417,265" coordsize="9468,2271">
                <v:shape style="position:absolute;left:1417;top:264;width:9468;height:2271" id="docshape910" coordorigin="1417,265" coordsize="9468,2271" path="m10658,265l1644,265,1572,276,1510,309,1461,358,1429,420,1417,492,1417,2308,1429,2380,1461,2442,1510,2491,1572,2523,1644,2535,10658,2535,10730,2523,10792,2491,10841,2442,10873,2380,10885,2308,10885,492,10873,420,10841,358,10792,309,10730,276,10658,265xe" filled="true" fillcolor="#e9f3fc" stroked="false">
                  <v:path arrowok="t"/>
                  <v:fill type="solid"/>
                </v:shape>
                <v:shape style="position:absolute;left:1417;top:264;width:9468;height:2271" type="#_x0000_t202" id="docshape911" filled="false" stroked="false">
                  <v:textbox inset="0,0,0,0">
                    <w:txbxContent>
                      <w:p>
                        <w:pPr>
                          <w:spacing w:line="232" w:lineRule="auto" w:before="121"/>
                          <w:ind w:left="340" w:right="564" w:firstLine="0"/>
                          <w:jc w:val="both"/>
                          <w:rPr>
                            <w:b/>
                            <w:sz w:val="28"/>
                          </w:rPr>
                        </w:pPr>
                        <w:r>
                          <w:rPr>
                            <w:b/>
                            <w:color w:val="164194"/>
                            <w:sz w:val="28"/>
                          </w:rPr>
                          <w:t>We</w:t>
                        </w:r>
                        <w:r>
                          <w:rPr>
                            <w:b/>
                            <w:color w:val="164194"/>
                            <w:spacing w:val="-2"/>
                            <w:sz w:val="28"/>
                          </w:rPr>
                          <w:t> </w:t>
                        </w:r>
                        <w:r>
                          <w:rPr>
                            <w:b/>
                            <w:color w:val="164194"/>
                            <w:sz w:val="28"/>
                          </w:rPr>
                          <w:t>recommend</w:t>
                        </w:r>
                        <w:r>
                          <w:rPr>
                            <w:b/>
                            <w:color w:val="164194"/>
                            <w:spacing w:val="-1"/>
                            <w:sz w:val="28"/>
                          </w:rPr>
                          <w:t> </w:t>
                        </w:r>
                        <w:r>
                          <w:rPr>
                            <w:b/>
                            <w:color w:val="164194"/>
                            <w:sz w:val="28"/>
                          </w:rPr>
                          <w:t>the</w:t>
                        </w:r>
                        <w:r>
                          <w:rPr>
                            <w:b/>
                            <w:color w:val="164194"/>
                            <w:spacing w:val="-2"/>
                            <w:sz w:val="28"/>
                          </w:rPr>
                          <w:t> </w:t>
                        </w:r>
                        <w:r>
                          <w:rPr>
                            <w:b/>
                            <w:color w:val="164194"/>
                            <w:sz w:val="28"/>
                          </w:rPr>
                          <w:t>Northern</w:t>
                        </w:r>
                        <w:r>
                          <w:rPr>
                            <w:b/>
                            <w:color w:val="164194"/>
                            <w:spacing w:val="-1"/>
                            <w:sz w:val="28"/>
                          </w:rPr>
                          <w:t> </w:t>
                        </w:r>
                        <w:r>
                          <w:rPr>
                            <w:b/>
                            <w:color w:val="164194"/>
                            <w:sz w:val="28"/>
                          </w:rPr>
                          <w:t>Ireland</w:t>
                        </w:r>
                        <w:r>
                          <w:rPr>
                            <w:b/>
                            <w:color w:val="164194"/>
                            <w:spacing w:val="-1"/>
                            <w:sz w:val="28"/>
                          </w:rPr>
                          <w:t> </w:t>
                        </w:r>
                        <w:r>
                          <w:rPr>
                            <w:b/>
                            <w:color w:val="164194"/>
                            <w:sz w:val="28"/>
                          </w:rPr>
                          <w:t>Executive,</w:t>
                        </w:r>
                        <w:r>
                          <w:rPr>
                            <w:b/>
                            <w:color w:val="164194"/>
                            <w:spacing w:val="-1"/>
                            <w:sz w:val="28"/>
                          </w:rPr>
                          <w:t> </w:t>
                        </w:r>
                        <w:r>
                          <w:rPr>
                            <w:b/>
                            <w:color w:val="164194"/>
                            <w:sz w:val="28"/>
                          </w:rPr>
                          <w:t>relevant</w:t>
                        </w:r>
                        <w:r>
                          <w:rPr>
                            <w:b/>
                            <w:color w:val="164194"/>
                            <w:spacing w:val="-1"/>
                            <w:sz w:val="28"/>
                          </w:rPr>
                          <w:t> </w:t>
                        </w:r>
                        <w:r>
                          <w:rPr>
                            <w:b/>
                            <w:color w:val="164194"/>
                            <w:sz w:val="28"/>
                          </w:rPr>
                          <w:t>NI</w:t>
                        </w:r>
                        <w:r>
                          <w:rPr>
                            <w:b/>
                            <w:color w:val="164194"/>
                            <w:spacing w:val="-1"/>
                            <w:sz w:val="28"/>
                          </w:rPr>
                          <w:t> </w:t>
                        </w:r>
                        <w:r>
                          <w:rPr>
                            <w:b/>
                            <w:color w:val="164194"/>
                            <w:sz w:val="28"/>
                          </w:rPr>
                          <w:t>Departments and</w:t>
                        </w:r>
                        <w:r>
                          <w:rPr>
                            <w:b/>
                            <w:color w:val="164194"/>
                            <w:spacing w:val="-4"/>
                            <w:sz w:val="28"/>
                          </w:rPr>
                          <w:t> </w:t>
                        </w:r>
                        <w:r>
                          <w:rPr>
                            <w:b/>
                            <w:color w:val="164194"/>
                            <w:sz w:val="28"/>
                          </w:rPr>
                          <w:t>others</w:t>
                        </w:r>
                        <w:r>
                          <w:rPr>
                            <w:b/>
                            <w:color w:val="164194"/>
                            <w:spacing w:val="-4"/>
                            <w:sz w:val="28"/>
                          </w:rPr>
                          <w:t> </w:t>
                        </w:r>
                        <w:r>
                          <w:rPr>
                            <w:b/>
                            <w:color w:val="164194"/>
                            <w:sz w:val="28"/>
                          </w:rPr>
                          <w:t>consider</w:t>
                        </w:r>
                        <w:r>
                          <w:rPr>
                            <w:b/>
                            <w:color w:val="164194"/>
                            <w:spacing w:val="-5"/>
                            <w:sz w:val="28"/>
                          </w:rPr>
                          <w:t> </w:t>
                        </w:r>
                        <w:r>
                          <w:rPr>
                            <w:b/>
                            <w:color w:val="164194"/>
                            <w:sz w:val="28"/>
                          </w:rPr>
                          <w:t>how</w:t>
                        </w:r>
                        <w:r>
                          <w:rPr>
                            <w:b/>
                            <w:color w:val="164194"/>
                            <w:spacing w:val="-5"/>
                            <w:sz w:val="28"/>
                          </w:rPr>
                          <w:t> </w:t>
                        </w:r>
                        <w:r>
                          <w:rPr>
                            <w:b/>
                            <w:color w:val="164194"/>
                            <w:sz w:val="28"/>
                          </w:rPr>
                          <w:t>to</w:t>
                        </w:r>
                        <w:r>
                          <w:rPr>
                            <w:b/>
                            <w:color w:val="164194"/>
                            <w:spacing w:val="-4"/>
                            <w:sz w:val="28"/>
                          </w:rPr>
                          <w:t> </w:t>
                        </w:r>
                        <w:r>
                          <w:rPr>
                            <w:b/>
                            <w:color w:val="164194"/>
                            <w:sz w:val="28"/>
                          </w:rPr>
                          <w:t>gather</w:t>
                        </w:r>
                        <w:r>
                          <w:rPr>
                            <w:b/>
                            <w:color w:val="164194"/>
                            <w:spacing w:val="-5"/>
                            <w:sz w:val="28"/>
                          </w:rPr>
                          <w:t> </w:t>
                        </w:r>
                        <w:r>
                          <w:rPr>
                            <w:b/>
                            <w:color w:val="164194"/>
                            <w:sz w:val="28"/>
                          </w:rPr>
                          <w:t>disaggregated</w:t>
                        </w:r>
                        <w:r>
                          <w:rPr>
                            <w:b/>
                            <w:color w:val="164194"/>
                            <w:spacing w:val="-4"/>
                            <w:sz w:val="28"/>
                          </w:rPr>
                          <w:t> </w:t>
                        </w:r>
                        <w:r>
                          <w:rPr>
                            <w:b/>
                            <w:color w:val="164194"/>
                            <w:sz w:val="28"/>
                          </w:rPr>
                          <w:t>equality</w:t>
                        </w:r>
                        <w:r>
                          <w:rPr>
                            <w:b/>
                            <w:color w:val="164194"/>
                            <w:spacing w:val="-4"/>
                            <w:sz w:val="28"/>
                          </w:rPr>
                          <w:t> </w:t>
                        </w:r>
                        <w:r>
                          <w:rPr>
                            <w:b/>
                            <w:color w:val="164194"/>
                            <w:sz w:val="28"/>
                          </w:rPr>
                          <w:t>data</w:t>
                        </w:r>
                        <w:r>
                          <w:rPr>
                            <w:b/>
                            <w:color w:val="164194"/>
                            <w:spacing w:val="-4"/>
                            <w:sz w:val="28"/>
                          </w:rPr>
                          <w:t> </w:t>
                        </w:r>
                        <w:r>
                          <w:rPr>
                            <w:b/>
                            <w:color w:val="164194"/>
                            <w:sz w:val="28"/>
                          </w:rPr>
                          <w:t>in</w:t>
                        </w:r>
                        <w:r>
                          <w:rPr>
                            <w:b/>
                            <w:color w:val="164194"/>
                            <w:spacing w:val="-4"/>
                            <w:sz w:val="28"/>
                          </w:rPr>
                          <w:t> </w:t>
                        </w:r>
                        <w:r>
                          <w:rPr>
                            <w:b/>
                            <w:color w:val="164194"/>
                            <w:sz w:val="28"/>
                          </w:rPr>
                          <w:t>relation to</w:t>
                        </w:r>
                        <w:r>
                          <w:rPr>
                            <w:b/>
                            <w:color w:val="164194"/>
                            <w:spacing w:val="-5"/>
                            <w:sz w:val="28"/>
                          </w:rPr>
                          <w:t> </w:t>
                        </w:r>
                        <w:r>
                          <w:rPr>
                            <w:b/>
                            <w:color w:val="164194"/>
                            <w:sz w:val="28"/>
                          </w:rPr>
                          <w:t>the</w:t>
                        </w:r>
                        <w:r>
                          <w:rPr>
                            <w:b/>
                            <w:color w:val="164194"/>
                            <w:spacing w:val="-5"/>
                            <w:sz w:val="28"/>
                          </w:rPr>
                          <w:t> </w:t>
                        </w:r>
                        <w:r>
                          <w:rPr>
                            <w:b/>
                            <w:color w:val="164194"/>
                            <w:sz w:val="28"/>
                          </w:rPr>
                          <w:t>full</w:t>
                        </w:r>
                        <w:r>
                          <w:rPr>
                            <w:b/>
                            <w:color w:val="164194"/>
                            <w:spacing w:val="-4"/>
                            <w:sz w:val="28"/>
                          </w:rPr>
                          <w:t> </w:t>
                        </w:r>
                        <w:r>
                          <w:rPr>
                            <w:b/>
                            <w:color w:val="164194"/>
                            <w:sz w:val="28"/>
                          </w:rPr>
                          <w:t>list</w:t>
                        </w:r>
                        <w:r>
                          <w:rPr>
                            <w:b/>
                            <w:color w:val="164194"/>
                            <w:spacing w:val="-4"/>
                            <w:sz w:val="28"/>
                          </w:rPr>
                          <w:t> </w:t>
                        </w:r>
                        <w:r>
                          <w:rPr>
                            <w:b/>
                            <w:color w:val="164194"/>
                            <w:sz w:val="28"/>
                          </w:rPr>
                          <w:t>of</w:t>
                        </w:r>
                        <w:r>
                          <w:rPr>
                            <w:b/>
                            <w:color w:val="164194"/>
                            <w:spacing w:val="-5"/>
                            <w:sz w:val="28"/>
                          </w:rPr>
                          <w:t> </w:t>
                        </w:r>
                        <w:r>
                          <w:rPr>
                            <w:b/>
                            <w:color w:val="164194"/>
                            <w:sz w:val="28"/>
                          </w:rPr>
                          <w:t>protected</w:t>
                        </w:r>
                        <w:r>
                          <w:rPr>
                            <w:b/>
                            <w:color w:val="164194"/>
                            <w:spacing w:val="-4"/>
                            <w:sz w:val="28"/>
                          </w:rPr>
                          <w:t> </w:t>
                        </w:r>
                        <w:r>
                          <w:rPr>
                            <w:b/>
                            <w:color w:val="164194"/>
                            <w:sz w:val="28"/>
                          </w:rPr>
                          <w:t>characteristics</w:t>
                        </w:r>
                        <w:r>
                          <w:rPr>
                            <w:b/>
                            <w:color w:val="164194"/>
                            <w:spacing w:val="-4"/>
                            <w:sz w:val="28"/>
                          </w:rPr>
                          <w:t> </w:t>
                        </w:r>
                        <w:r>
                          <w:rPr>
                            <w:b/>
                            <w:color w:val="164194"/>
                            <w:sz w:val="28"/>
                          </w:rPr>
                          <w:t>in</w:t>
                        </w:r>
                        <w:r>
                          <w:rPr>
                            <w:b/>
                            <w:color w:val="164194"/>
                            <w:spacing w:val="-4"/>
                            <w:sz w:val="28"/>
                          </w:rPr>
                          <w:t> </w:t>
                        </w:r>
                        <w:r>
                          <w:rPr>
                            <w:b/>
                            <w:color w:val="164194"/>
                            <w:sz w:val="28"/>
                          </w:rPr>
                          <w:t>Northern</w:t>
                        </w:r>
                        <w:r>
                          <w:rPr>
                            <w:b/>
                            <w:color w:val="164194"/>
                            <w:spacing w:val="-4"/>
                            <w:sz w:val="28"/>
                          </w:rPr>
                          <w:t> </w:t>
                        </w:r>
                        <w:r>
                          <w:rPr>
                            <w:b/>
                            <w:color w:val="164194"/>
                            <w:sz w:val="28"/>
                          </w:rPr>
                          <w:t>Ireland</w:t>
                        </w:r>
                        <w:r>
                          <w:rPr>
                            <w:b/>
                            <w:color w:val="164194"/>
                            <w:spacing w:val="-4"/>
                            <w:sz w:val="28"/>
                          </w:rPr>
                          <w:t> </w:t>
                        </w:r>
                        <w:r>
                          <w:rPr>
                            <w:b/>
                            <w:color w:val="164194"/>
                            <w:sz w:val="28"/>
                          </w:rPr>
                          <w:t>law</w:t>
                        </w:r>
                        <w:r>
                          <w:rPr>
                            <w:b/>
                            <w:color w:val="164194"/>
                            <w:spacing w:val="-5"/>
                            <w:sz w:val="28"/>
                          </w:rPr>
                          <w:t> </w:t>
                        </w:r>
                        <w:r>
                          <w:rPr>
                            <w:b/>
                            <w:color w:val="164194"/>
                            <w:sz w:val="28"/>
                          </w:rPr>
                          <w:t>in</w:t>
                        </w:r>
                        <w:r>
                          <w:rPr>
                            <w:b/>
                            <w:color w:val="164194"/>
                            <w:spacing w:val="-4"/>
                            <w:sz w:val="28"/>
                          </w:rPr>
                          <w:t> </w:t>
                        </w:r>
                        <w:r>
                          <w:rPr>
                            <w:b/>
                            <w:color w:val="164194"/>
                            <w:sz w:val="28"/>
                          </w:rPr>
                          <w:t>a</w:t>
                        </w:r>
                        <w:r>
                          <w:rPr>
                            <w:b/>
                            <w:color w:val="164194"/>
                            <w:spacing w:val="-4"/>
                            <w:sz w:val="28"/>
                          </w:rPr>
                          <w:t> </w:t>
                        </w:r>
                        <w:r>
                          <w:rPr>
                            <w:b/>
                            <w:color w:val="164194"/>
                            <w:spacing w:val="-5"/>
                            <w:sz w:val="28"/>
                          </w:rPr>
                          <w:t>way</w:t>
                        </w:r>
                      </w:p>
                      <w:p>
                        <w:pPr>
                          <w:spacing w:line="232" w:lineRule="auto" w:before="0"/>
                          <w:ind w:left="340" w:right="238" w:firstLine="0"/>
                          <w:jc w:val="left"/>
                          <w:rPr>
                            <w:b/>
                            <w:sz w:val="28"/>
                          </w:rPr>
                        </w:pPr>
                        <w:r>
                          <w:rPr>
                            <w:b/>
                            <w:color w:val="164194"/>
                            <w:sz w:val="28"/>
                          </w:rPr>
                          <w:t>which</w:t>
                        </w:r>
                        <w:r>
                          <w:rPr>
                            <w:b/>
                            <w:color w:val="164194"/>
                            <w:spacing w:val="-4"/>
                            <w:sz w:val="28"/>
                          </w:rPr>
                          <w:t> </w:t>
                        </w:r>
                        <w:r>
                          <w:rPr>
                            <w:b/>
                            <w:color w:val="164194"/>
                            <w:sz w:val="28"/>
                          </w:rPr>
                          <w:t>not</w:t>
                        </w:r>
                        <w:r>
                          <w:rPr>
                            <w:b/>
                            <w:color w:val="164194"/>
                            <w:spacing w:val="-4"/>
                            <w:sz w:val="28"/>
                          </w:rPr>
                          <w:t> </w:t>
                        </w:r>
                        <w:r>
                          <w:rPr>
                            <w:b/>
                            <w:color w:val="164194"/>
                            <w:sz w:val="28"/>
                          </w:rPr>
                          <w:t>only</w:t>
                        </w:r>
                        <w:r>
                          <w:rPr>
                            <w:b/>
                            <w:color w:val="164194"/>
                            <w:spacing w:val="-4"/>
                            <w:sz w:val="28"/>
                          </w:rPr>
                          <w:t> </w:t>
                        </w:r>
                        <w:r>
                          <w:rPr>
                            <w:b/>
                            <w:color w:val="164194"/>
                            <w:sz w:val="28"/>
                          </w:rPr>
                          <w:t>meets</w:t>
                        </w:r>
                        <w:r>
                          <w:rPr>
                            <w:b/>
                            <w:color w:val="164194"/>
                            <w:spacing w:val="-4"/>
                            <w:sz w:val="28"/>
                          </w:rPr>
                          <w:t> </w:t>
                        </w:r>
                        <w:r>
                          <w:rPr>
                            <w:b/>
                            <w:color w:val="164194"/>
                            <w:sz w:val="28"/>
                          </w:rPr>
                          <w:t>the</w:t>
                        </w:r>
                        <w:r>
                          <w:rPr>
                            <w:b/>
                            <w:color w:val="164194"/>
                            <w:spacing w:val="-5"/>
                            <w:sz w:val="28"/>
                          </w:rPr>
                          <w:t> </w:t>
                        </w:r>
                        <w:r>
                          <w:rPr>
                            <w:b/>
                            <w:color w:val="164194"/>
                            <w:sz w:val="28"/>
                          </w:rPr>
                          <w:t>needs</w:t>
                        </w:r>
                        <w:r>
                          <w:rPr>
                            <w:b/>
                            <w:color w:val="164194"/>
                            <w:spacing w:val="-4"/>
                            <w:sz w:val="28"/>
                          </w:rPr>
                          <w:t> </w:t>
                        </w:r>
                        <w:r>
                          <w:rPr>
                            <w:b/>
                            <w:color w:val="164194"/>
                            <w:sz w:val="28"/>
                          </w:rPr>
                          <w:t>of</w:t>
                        </w:r>
                        <w:r>
                          <w:rPr>
                            <w:b/>
                            <w:color w:val="164194"/>
                            <w:spacing w:val="-5"/>
                            <w:sz w:val="28"/>
                          </w:rPr>
                          <w:t> </w:t>
                        </w:r>
                        <w:r>
                          <w:rPr>
                            <w:b/>
                            <w:color w:val="164194"/>
                            <w:sz w:val="28"/>
                          </w:rPr>
                          <w:t>NI</w:t>
                        </w:r>
                        <w:r>
                          <w:rPr>
                            <w:b/>
                            <w:color w:val="164194"/>
                            <w:spacing w:val="-4"/>
                            <w:sz w:val="28"/>
                          </w:rPr>
                          <w:t> </w:t>
                        </w:r>
                        <w:r>
                          <w:rPr>
                            <w:b/>
                            <w:color w:val="164194"/>
                            <w:sz w:val="28"/>
                          </w:rPr>
                          <w:t>but</w:t>
                        </w:r>
                        <w:r>
                          <w:rPr>
                            <w:b/>
                            <w:color w:val="164194"/>
                            <w:spacing w:val="-4"/>
                            <w:sz w:val="28"/>
                          </w:rPr>
                          <w:t> </w:t>
                        </w:r>
                        <w:r>
                          <w:rPr>
                            <w:b/>
                            <w:color w:val="164194"/>
                            <w:sz w:val="28"/>
                          </w:rPr>
                          <w:t>where</w:t>
                        </w:r>
                        <w:r>
                          <w:rPr>
                            <w:b/>
                            <w:color w:val="164194"/>
                            <w:spacing w:val="-5"/>
                            <w:sz w:val="28"/>
                          </w:rPr>
                          <w:t> </w:t>
                        </w:r>
                        <w:r>
                          <w:rPr>
                            <w:b/>
                            <w:color w:val="164194"/>
                            <w:sz w:val="28"/>
                          </w:rPr>
                          <w:t>possible</w:t>
                        </w:r>
                        <w:r>
                          <w:rPr>
                            <w:b/>
                            <w:color w:val="164194"/>
                            <w:spacing w:val="-5"/>
                            <w:sz w:val="28"/>
                          </w:rPr>
                          <w:t> </w:t>
                        </w:r>
                        <w:r>
                          <w:rPr>
                            <w:b/>
                            <w:color w:val="164194"/>
                            <w:sz w:val="28"/>
                          </w:rPr>
                          <w:t>is</w:t>
                        </w:r>
                        <w:r>
                          <w:rPr>
                            <w:b/>
                            <w:color w:val="164194"/>
                            <w:spacing w:val="-4"/>
                            <w:sz w:val="28"/>
                          </w:rPr>
                          <w:t> </w:t>
                        </w:r>
                        <w:r>
                          <w:rPr>
                            <w:b/>
                            <w:color w:val="164194"/>
                            <w:sz w:val="28"/>
                          </w:rPr>
                          <w:t>comparable</w:t>
                        </w:r>
                        <w:r>
                          <w:rPr>
                            <w:b/>
                            <w:color w:val="164194"/>
                            <w:spacing w:val="-5"/>
                            <w:sz w:val="28"/>
                          </w:rPr>
                          <w:t> </w:t>
                        </w:r>
                        <w:r>
                          <w:rPr>
                            <w:b/>
                            <w:color w:val="164194"/>
                            <w:sz w:val="28"/>
                          </w:rPr>
                          <w:t>with common international frameworks, including at EU level; it may be helpful to reflect on Ireland’s plans to develop an Equality Data strategy.</w:t>
                        </w:r>
                      </w:p>
                    </w:txbxContent>
                  </v:textbox>
                  <w10:wrap type="none"/>
                </v:shape>
                <w10:wrap type="topAndBottom"/>
              </v:group>
            </w:pict>
          </mc:Fallback>
        </mc:AlternateContent>
      </w:r>
    </w:p>
    <w:p>
      <w:pPr>
        <w:pStyle w:val="BodyText"/>
        <w:spacing w:before="1"/>
      </w:pPr>
    </w:p>
    <w:p>
      <w:pPr>
        <w:pStyle w:val="Heading3"/>
        <w:numPr>
          <w:ilvl w:val="2"/>
          <w:numId w:val="58"/>
        </w:numPr>
        <w:tabs>
          <w:tab w:pos="1755" w:val="left" w:leader="none"/>
        </w:tabs>
        <w:spacing w:line="336" w:lineRule="exact" w:before="0" w:after="0"/>
        <w:ind w:left="1755" w:right="0" w:hanging="638"/>
        <w:jc w:val="left"/>
      </w:pPr>
      <w:r>
        <w:rPr>
          <w:color w:val="004A93"/>
        </w:rPr>
        <w:t>Gender</w:t>
      </w:r>
      <w:r>
        <w:rPr>
          <w:color w:val="004A93"/>
          <w:spacing w:val="-8"/>
        </w:rPr>
        <w:t> </w:t>
      </w:r>
      <w:r>
        <w:rPr>
          <w:color w:val="004A93"/>
          <w:spacing w:val="-2"/>
        </w:rPr>
        <w:t>equality</w:t>
      </w:r>
    </w:p>
    <w:p>
      <w:pPr>
        <w:pStyle w:val="BodyText"/>
        <w:spacing w:line="232" w:lineRule="auto" w:before="3"/>
        <w:ind w:left="1117" w:right="738"/>
      </w:pPr>
      <w:r>
        <w:rPr/>
        <w:t>Another</w:t>
      </w:r>
      <w:r>
        <w:rPr>
          <w:spacing w:val="-8"/>
        </w:rPr>
        <w:t> </w:t>
      </w:r>
      <w:r>
        <w:rPr/>
        <w:t>priority</w:t>
      </w:r>
      <w:r>
        <w:rPr>
          <w:spacing w:val="-8"/>
        </w:rPr>
        <w:t> </w:t>
      </w:r>
      <w:r>
        <w:rPr/>
        <w:t>amongst</w:t>
      </w:r>
      <w:r>
        <w:rPr>
          <w:spacing w:val="-8"/>
        </w:rPr>
        <w:t> </w:t>
      </w:r>
      <w:r>
        <w:rPr/>
        <w:t>EU</w:t>
      </w:r>
      <w:r>
        <w:rPr>
          <w:spacing w:val="-8"/>
        </w:rPr>
        <w:t> </w:t>
      </w:r>
      <w:r>
        <w:rPr/>
        <w:t>policy</w:t>
      </w:r>
      <w:r>
        <w:rPr>
          <w:spacing w:val="-8"/>
        </w:rPr>
        <w:t> </w:t>
      </w:r>
      <w:r>
        <w:rPr/>
        <w:t>developments</w:t>
      </w:r>
      <w:r>
        <w:rPr>
          <w:spacing w:val="-8"/>
        </w:rPr>
        <w:t> </w:t>
      </w:r>
      <w:r>
        <w:rPr/>
        <w:t>and</w:t>
      </w:r>
      <w:r>
        <w:rPr>
          <w:spacing w:val="-8"/>
        </w:rPr>
        <w:t> </w:t>
      </w:r>
      <w:r>
        <w:rPr/>
        <w:t>initiatives</w:t>
      </w:r>
      <w:r>
        <w:rPr>
          <w:spacing w:val="-8"/>
        </w:rPr>
        <w:t> </w:t>
      </w:r>
      <w:r>
        <w:rPr/>
        <w:t>in</w:t>
      </w:r>
      <w:r>
        <w:rPr>
          <w:spacing w:val="-8"/>
        </w:rPr>
        <w:t> </w:t>
      </w:r>
      <w:r>
        <w:rPr/>
        <w:t>relation</w:t>
      </w:r>
      <w:r>
        <w:rPr>
          <w:spacing w:val="-8"/>
        </w:rPr>
        <w:t> </w:t>
      </w:r>
      <w:r>
        <w:rPr/>
        <w:t>to </w:t>
      </w:r>
      <w:r>
        <w:rPr>
          <w:spacing w:val="-2"/>
        </w:rPr>
        <w:t>equality,</w:t>
      </w:r>
      <w:r>
        <w:rPr>
          <w:spacing w:val="-13"/>
        </w:rPr>
        <w:t> </w:t>
      </w:r>
      <w:r>
        <w:rPr>
          <w:spacing w:val="-2"/>
        </w:rPr>
        <w:t>is</w:t>
      </w:r>
      <w:r>
        <w:rPr>
          <w:spacing w:val="-13"/>
        </w:rPr>
        <w:t> </w:t>
      </w:r>
      <w:r>
        <w:rPr>
          <w:spacing w:val="-2"/>
        </w:rPr>
        <w:t>to</w:t>
      </w:r>
      <w:r>
        <w:rPr>
          <w:spacing w:val="-13"/>
        </w:rPr>
        <w:t> </w:t>
      </w:r>
      <w:r>
        <w:rPr>
          <w:spacing w:val="-2"/>
        </w:rPr>
        <w:t>combat</w:t>
      </w:r>
      <w:r>
        <w:rPr>
          <w:spacing w:val="-13"/>
        </w:rPr>
        <w:t> </w:t>
      </w:r>
      <w:r>
        <w:rPr>
          <w:spacing w:val="-2"/>
        </w:rPr>
        <w:t>gender</w:t>
      </w:r>
      <w:r>
        <w:rPr>
          <w:spacing w:val="-13"/>
        </w:rPr>
        <w:t> </w:t>
      </w:r>
      <w:r>
        <w:rPr>
          <w:spacing w:val="-2"/>
        </w:rPr>
        <w:t>discrimination.</w:t>
      </w:r>
      <w:r>
        <w:rPr>
          <w:spacing w:val="-13"/>
        </w:rPr>
        <w:t> </w:t>
      </w:r>
      <w:r>
        <w:rPr>
          <w:spacing w:val="-2"/>
        </w:rPr>
        <w:t>According</w:t>
      </w:r>
      <w:r>
        <w:rPr>
          <w:spacing w:val="-13"/>
        </w:rPr>
        <w:t> </w:t>
      </w:r>
      <w:r>
        <w:rPr>
          <w:spacing w:val="-2"/>
        </w:rPr>
        <w:t>to</w:t>
      </w:r>
      <w:r>
        <w:rPr>
          <w:spacing w:val="-13"/>
        </w:rPr>
        <w:t> </w:t>
      </w:r>
      <w:r>
        <w:rPr>
          <w:spacing w:val="-2"/>
        </w:rPr>
        <w:t>the</w:t>
      </w:r>
      <w:r>
        <w:rPr>
          <w:spacing w:val="-13"/>
        </w:rPr>
        <w:t> </w:t>
      </w:r>
      <w:r>
        <w:rPr>
          <w:spacing w:val="-2"/>
        </w:rPr>
        <w:t>European</w:t>
      </w:r>
      <w:r>
        <w:rPr>
          <w:spacing w:val="-13"/>
        </w:rPr>
        <w:t> </w:t>
      </w:r>
      <w:r>
        <w:rPr>
          <w:spacing w:val="-2"/>
        </w:rPr>
        <w:t>Commission, </w:t>
      </w:r>
      <w:r>
        <w:rPr/>
        <w:t>the</w:t>
      </w:r>
      <w:r>
        <w:rPr>
          <w:spacing w:val="-8"/>
        </w:rPr>
        <w:t> </w:t>
      </w:r>
      <w:r>
        <w:rPr/>
        <w:t>EU</w:t>
      </w:r>
      <w:r>
        <w:rPr>
          <w:spacing w:val="-8"/>
        </w:rPr>
        <w:t> </w:t>
      </w:r>
      <w:r>
        <w:rPr/>
        <w:t>has</w:t>
      </w:r>
      <w:r>
        <w:rPr>
          <w:spacing w:val="-8"/>
        </w:rPr>
        <w:t> </w:t>
      </w:r>
      <w:r>
        <w:rPr/>
        <w:t>developed</w:t>
      </w:r>
      <w:r>
        <w:rPr>
          <w:spacing w:val="-8"/>
        </w:rPr>
        <w:t> </w:t>
      </w:r>
      <w:r>
        <w:rPr/>
        <w:t>a</w:t>
      </w:r>
      <w:r>
        <w:rPr>
          <w:spacing w:val="-8"/>
        </w:rPr>
        <w:t> </w:t>
      </w:r>
      <w:r>
        <w:rPr/>
        <w:t>number</w:t>
      </w:r>
      <w:r>
        <w:rPr>
          <w:spacing w:val="-8"/>
        </w:rPr>
        <w:t> </w:t>
      </w:r>
      <w:r>
        <w:rPr/>
        <w:t>of</w:t>
      </w:r>
      <w:r>
        <w:rPr>
          <w:spacing w:val="-8"/>
        </w:rPr>
        <w:t> </w:t>
      </w:r>
      <w:r>
        <w:rPr/>
        <w:t>policies</w:t>
      </w:r>
      <w:r>
        <w:rPr>
          <w:spacing w:val="-8"/>
        </w:rPr>
        <w:t> </w:t>
      </w:r>
      <w:r>
        <w:rPr/>
        <w:t>recently,</w:t>
      </w:r>
      <w:r>
        <w:rPr>
          <w:spacing w:val="-8"/>
        </w:rPr>
        <w:t> </w:t>
      </w:r>
      <w:r>
        <w:rPr/>
        <w:t>including</w:t>
      </w:r>
      <w:r>
        <w:rPr>
          <w:spacing w:val="-8"/>
        </w:rPr>
        <w:t> </w:t>
      </w:r>
      <w:r>
        <w:rPr/>
        <w:t>two</w:t>
      </w:r>
      <w:r>
        <w:rPr>
          <w:spacing w:val="-8"/>
        </w:rPr>
        <w:t> </w:t>
      </w:r>
      <w:r>
        <w:rPr/>
        <w:t>that</w:t>
      </w:r>
      <w:r>
        <w:rPr>
          <w:spacing w:val="-8"/>
        </w:rPr>
        <w:t> </w:t>
      </w:r>
      <w:r>
        <w:rPr/>
        <w:t>reflect</w:t>
      </w:r>
      <w:r>
        <w:rPr>
          <w:spacing w:val="-8"/>
        </w:rPr>
        <w:t> </w:t>
      </w:r>
      <w:r>
        <w:rPr/>
        <w:t>key</w:t>
      </w:r>
    </w:p>
    <w:p>
      <w:pPr>
        <w:pStyle w:val="BodyText"/>
        <w:spacing w:before="8"/>
        <w:rPr>
          <w:sz w:val="12"/>
        </w:rPr>
      </w:pPr>
      <w:r>
        <w:rPr/>
        <mc:AlternateContent>
          <mc:Choice Requires="wps">
            <w:drawing>
              <wp:anchor distT="0" distB="0" distL="0" distR="0" allowOverlap="1" layoutInCell="1" locked="0" behindDoc="1" simplePos="0" relativeHeight="487799296">
                <wp:simplePos x="0" y="0"/>
                <wp:positionH relativeFrom="page">
                  <wp:posOffset>899999</wp:posOffset>
                </wp:positionH>
                <wp:positionV relativeFrom="paragraph">
                  <wp:posOffset>113630</wp:posOffset>
                </wp:positionV>
                <wp:extent cx="6012180" cy="1270"/>
                <wp:effectExtent l="0" t="0" r="0" b="0"/>
                <wp:wrapTopAndBottom/>
                <wp:docPr id="1106" name="Graphic 1106"/>
                <wp:cNvGraphicFramePr>
                  <a:graphicFrameLocks/>
                </wp:cNvGraphicFramePr>
                <a:graphic>
                  <a:graphicData uri="http://schemas.microsoft.com/office/word/2010/wordprocessingShape">
                    <wps:wsp>
                      <wps:cNvPr id="1106" name="Graphic 110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8.947289pt;width:473.4pt;height:.1pt;mso-position-horizontal-relative:page;mso-position-vertical-relative:paragraph;z-index:-15517184;mso-wrap-distance-left:0;mso-wrap-distance-right:0" id="docshape912" coordorigin="1417,179" coordsize="9468,0" path="m1417,179l10885,179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pacing w:val="-4"/>
          <w:sz w:val="18"/>
        </w:rPr>
        <w:t>Ibid.</w:t>
      </w:r>
    </w:p>
    <w:p>
      <w:pPr>
        <w:pStyle w:val="ListParagraph"/>
        <w:numPr>
          <w:ilvl w:val="0"/>
          <w:numId w:val="51"/>
        </w:numPr>
        <w:tabs>
          <w:tab w:pos="1684" w:val="left" w:leader="none"/>
        </w:tabs>
        <w:spacing w:line="240" w:lineRule="auto" w:before="1" w:after="0"/>
        <w:ind w:left="1684" w:right="0" w:hanging="567"/>
        <w:jc w:val="left"/>
        <w:rPr>
          <w:sz w:val="18"/>
        </w:rPr>
      </w:pPr>
      <w:r>
        <w:rPr>
          <w:sz w:val="18"/>
        </w:rPr>
        <w:t>ECNI,</w:t>
      </w:r>
      <w:r>
        <w:rPr>
          <w:spacing w:val="-4"/>
          <w:sz w:val="18"/>
        </w:rPr>
        <w:t> </w:t>
      </w:r>
      <w:hyperlink r:id="rId176">
        <w:r>
          <w:rPr>
            <w:color w:val="1D71B8"/>
            <w:sz w:val="18"/>
            <w:u w:val="single" w:color="1D71B8"/>
          </w:rPr>
          <w:t>Briefing</w:t>
        </w:r>
        <w:r>
          <w:rPr>
            <w:color w:val="1D71B8"/>
            <w:spacing w:val="-3"/>
            <w:sz w:val="18"/>
            <w:u w:val="single" w:color="1D71B8"/>
          </w:rPr>
          <w:t> </w:t>
        </w:r>
        <w:r>
          <w:rPr>
            <w:color w:val="1D71B8"/>
            <w:sz w:val="18"/>
            <w:u w:val="single" w:color="1D71B8"/>
          </w:rPr>
          <w:t>Note</w:t>
        </w:r>
        <w:r>
          <w:rPr>
            <w:color w:val="1D71B8"/>
            <w:spacing w:val="-3"/>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Need</w:t>
        </w:r>
        <w:r>
          <w:rPr>
            <w:color w:val="1D71B8"/>
            <w:spacing w:val="-4"/>
            <w:sz w:val="18"/>
            <w:u w:val="single" w:color="1D71B8"/>
          </w:rPr>
          <w:t> </w:t>
        </w:r>
        <w:r>
          <w:rPr>
            <w:color w:val="1D71B8"/>
            <w:sz w:val="18"/>
            <w:u w:val="single" w:color="1D71B8"/>
          </w:rPr>
          <w:t>for</w:t>
        </w:r>
        <w:r>
          <w:rPr>
            <w:color w:val="1D71B8"/>
            <w:spacing w:val="-3"/>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Data</w:t>
        </w:r>
      </w:hyperlink>
      <w:r>
        <w:rPr>
          <w:color w:val="1D71B8"/>
          <w:spacing w:val="-4"/>
          <w:sz w:val="18"/>
          <w:u w:val="none"/>
        </w:rPr>
        <w:t> </w:t>
      </w:r>
      <w:r>
        <w:rPr>
          <w:sz w:val="18"/>
          <w:u w:val="none"/>
        </w:rPr>
        <w:t>(November</w:t>
      </w:r>
      <w:r>
        <w:rPr>
          <w:spacing w:val="-3"/>
          <w:sz w:val="18"/>
          <w:u w:val="none"/>
        </w:rPr>
        <w:t> </w:t>
      </w:r>
      <w:r>
        <w:rPr>
          <w:spacing w:val="-2"/>
          <w:sz w:val="18"/>
          <w:u w:val="none"/>
        </w:rPr>
        <w:t>2020).</w:t>
      </w:r>
    </w:p>
    <w:p>
      <w:pPr>
        <w:pStyle w:val="ListParagraph"/>
        <w:numPr>
          <w:ilvl w:val="0"/>
          <w:numId w:val="51"/>
        </w:numPr>
        <w:tabs>
          <w:tab w:pos="1684" w:val="left" w:leader="none"/>
        </w:tabs>
        <w:spacing w:line="240" w:lineRule="auto" w:before="0" w:after="0"/>
        <w:ind w:left="1684" w:right="0" w:hanging="567"/>
        <w:jc w:val="left"/>
        <w:rPr>
          <w:sz w:val="18"/>
        </w:rPr>
      </w:pPr>
      <w:r>
        <w:rPr>
          <w:sz w:val="18"/>
        </w:rPr>
        <w:t>ECNI,</w:t>
      </w:r>
      <w:r>
        <w:rPr>
          <w:spacing w:val="-7"/>
          <w:sz w:val="18"/>
        </w:rPr>
        <w:t> </w:t>
      </w:r>
      <w:r>
        <w:rPr>
          <w:color w:val="1D71B8"/>
          <w:sz w:val="18"/>
          <w:u w:val="single" w:color="1D71B8"/>
        </w:rPr>
        <w:t>Racial</w:t>
      </w:r>
      <w:r>
        <w:rPr>
          <w:color w:val="1D71B8"/>
          <w:spacing w:val="-7"/>
          <w:sz w:val="18"/>
          <w:u w:val="single" w:color="1D71B8"/>
        </w:rPr>
        <w:t> </w:t>
      </w:r>
      <w:r>
        <w:rPr>
          <w:color w:val="1D71B8"/>
          <w:sz w:val="18"/>
          <w:u w:val="single" w:color="1D71B8"/>
        </w:rPr>
        <w:t>Equality</w:t>
      </w:r>
      <w:r>
        <w:rPr>
          <w:color w:val="1D71B8"/>
          <w:spacing w:val="-6"/>
          <w:sz w:val="18"/>
          <w:u w:val="single" w:color="1D71B8"/>
        </w:rPr>
        <w:t> </w:t>
      </w:r>
      <w:r>
        <w:rPr>
          <w:color w:val="1D71B8"/>
          <w:sz w:val="18"/>
          <w:u w:val="single" w:color="1D71B8"/>
        </w:rPr>
        <w:t>Policy:</w:t>
      </w:r>
      <w:r>
        <w:rPr>
          <w:color w:val="1D71B8"/>
          <w:spacing w:val="-6"/>
          <w:sz w:val="18"/>
          <w:u w:val="single" w:color="1D71B8"/>
        </w:rPr>
        <w:t> </w:t>
      </w:r>
      <w:r>
        <w:rPr>
          <w:color w:val="1D71B8"/>
          <w:sz w:val="18"/>
          <w:u w:val="single" w:color="1D71B8"/>
        </w:rPr>
        <w:t>Prioriti</w:t>
      </w:r>
      <w:r>
        <w:rPr>
          <w:color w:val="1D71B8"/>
          <w:sz w:val="18"/>
          <w:u w:val="none"/>
        </w:rPr>
        <w:t>e</w:t>
      </w:r>
      <w:r>
        <w:rPr>
          <w:color w:val="1D71B8"/>
          <w:sz w:val="18"/>
          <w:u w:val="single" w:color="1D71B8"/>
        </w:rPr>
        <w:t>s</w:t>
      </w:r>
      <w:r>
        <w:rPr>
          <w:color w:val="1D71B8"/>
          <w:spacing w:val="-7"/>
          <w:sz w:val="18"/>
          <w:u w:val="single" w:color="1D71B8"/>
        </w:rPr>
        <w:t> </w:t>
      </w:r>
      <w:r>
        <w:rPr>
          <w:color w:val="1D71B8"/>
          <w:sz w:val="18"/>
          <w:u w:val="single" w:color="1D71B8"/>
        </w:rPr>
        <w:t>&amp;</w:t>
      </w:r>
      <w:r>
        <w:rPr>
          <w:color w:val="1D71B8"/>
          <w:spacing w:val="-7"/>
          <w:sz w:val="18"/>
          <w:u w:val="single" w:color="1D71B8"/>
        </w:rPr>
        <w:t> </w:t>
      </w:r>
      <w:r>
        <w:rPr>
          <w:color w:val="1D71B8"/>
          <w:sz w:val="18"/>
          <w:u w:val="single" w:color="1D71B8"/>
        </w:rPr>
        <w:t>Recommendations</w:t>
      </w:r>
      <w:r>
        <w:rPr>
          <w:color w:val="1D71B8"/>
          <w:spacing w:val="-6"/>
          <w:sz w:val="18"/>
          <w:u w:val="none"/>
        </w:rPr>
        <w:t> </w:t>
      </w:r>
      <w:r>
        <w:rPr>
          <w:sz w:val="18"/>
          <w:u w:val="none"/>
        </w:rPr>
        <w:t>(May</w:t>
      </w:r>
      <w:r>
        <w:rPr>
          <w:spacing w:val="-6"/>
          <w:sz w:val="18"/>
          <w:u w:val="none"/>
        </w:rPr>
        <w:t> </w:t>
      </w:r>
      <w:r>
        <w:rPr>
          <w:sz w:val="18"/>
          <w:u w:val="none"/>
        </w:rPr>
        <w:t>2014)</w:t>
      </w:r>
      <w:r>
        <w:rPr>
          <w:spacing w:val="-7"/>
          <w:sz w:val="18"/>
          <w:u w:val="none"/>
        </w:rPr>
        <w:t> </w:t>
      </w:r>
      <w:r>
        <w:rPr>
          <w:spacing w:val="-5"/>
          <w:sz w:val="18"/>
          <w:u w:val="none"/>
        </w:rPr>
        <w:t>42.</w:t>
      </w:r>
    </w:p>
    <w:p>
      <w:pPr>
        <w:spacing w:after="0" w:line="240" w:lineRule="auto"/>
        <w:jc w:val="left"/>
        <w:rPr>
          <w:sz w:val="18"/>
        </w:rPr>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17504">
                <wp:simplePos x="0" y="0"/>
                <wp:positionH relativeFrom="page">
                  <wp:posOffset>0</wp:posOffset>
                </wp:positionH>
                <wp:positionV relativeFrom="page">
                  <wp:posOffset>0</wp:posOffset>
                </wp:positionV>
                <wp:extent cx="7560309" cy="1155065"/>
                <wp:effectExtent l="0" t="0" r="0" b="0"/>
                <wp:wrapNone/>
                <wp:docPr id="1107" name="Group 1107"/>
                <wp:cNvGraphicFramePr>
                  <a:graphicFrameLocks/>
                </wp:cNvGraphicFramePr>
                <a:graphic>
                  <a:graphicData uri="http://schemas.microsoft.com/office/word/2010/wordprocessingGroup">
                    <wpg:wgp>
                      <wpg:cNvPr id="1107" name="Group 1107"/>
                      <wpg:cNvGrpSpPr/>
                      <wpg:grpSpPr>
                        <a:xfrm>
                          <a:off x="0" y="0"/>
                          <a:ext cx="7560309" cy="1155065"/>
                          <a:chExt cx="7560309" cy="1155065"/>
                        </a:xfrm>
                      </wpg:grpSpPr>
                      <wps:wsp>
                        <wps:cNvPr id="1108" name="Graphic 1108"/>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109" name="Graphic 1109"/>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198976" id="docshapegroup913" coordorigin="0,0" coordsize="11906,1819">
                <v:shape style="position:absolute;left:0;top:0;width:11906;height:1819" id="docshape914"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136</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087"/>
      </w:pPr>
      <w:r>
        <w:rPr>
          <w:spacing w:val="-2"/>
        </w:rPr>
        <w:t>aspects</w:t>
      </w:r>
      <w:r>
        <w:rPr>
          <w:spacing w:val="-9"/>
        </w:rPr>
        <w:t> </w:t>
      </w:r>
      <w:r>
        <w:rPr>
          <w:spacing w:val="-2"/>
        </w:rPr>
        <w:t>in</w:t>
      </w:r>
      <w:r>
        <w:rPr>
          <w:spacing w:val="-9"/>
        </w:rPr>
        <w:t> </w:t>
      </w:r>
      <w:r>
        <w:rPr>
          <w:spacing w:val="-2"/>
        </w:rPr>
        <w:t>which</w:t>
      </w:r>
      <w:r>
        <w:rPr>
          <w:spacing w:val="-9"/>
        </w:rPr>
        <w:t> </w:t>
      </w:r>
      <w:r>
        <w:rPr>
          <w:spacing w:val="-2"/>
        </w:rPr>
        <w:t>the</w:t>
      </w:r>
      <w:r>
        <w:rPr>
          <w:spacing w:val="-9"/>
        </w:rPr>
        <w:t> </w:t>
      </w:r>
      <w:r>
        <w:rPr>
          <w:spacing w:val="-2"/>
        </w:rPr>
        <w:t>EU</w:t>
      </w:r>
      <w:r>
        <w:rPr>
          <w:spacing w:val="-9"/>
        </w:rPr>
        <w:t> </w:t>
      </w:r>
      <w:r>
        <w:rPr>
          <w:spacing w:val="-2"/>
        </w:rPr>
        <w:t>wishes</w:t>
      </w:r>
      <w:r>
        <w:rPr>
          <w:spacing w:val="-9"/>
        </w:rPr>
        <w:t> </w:t>
      </w:r>
      <w:r>
        <w:rPr>
          <w:spacing w:val="-2"/>
        </w:rPr>
        <w:t>to</w:t>
      </w:r>
      <w:r>
        <w:rPr>
          <w:spacing w:val="-9"/>
        </w:rPr>
        <w:t> </w:t>
      </w:r>
      <w:r>
        <w:rPr>
          <w:spacing w:val="-2"/>
        </w:rPr>
        <w:t>support</w:t>
      </w:r>
      <w:r>
        <w:rPr>
          <w:spacing w:val="-9"/>
        </w:rPr>
        <w:t> </w:t>
      </w:r>
      <w:r>
        <w:rPr>
          <w:spacing w:val="-2"/>
        </w:rPr>
        <w:t>Member</w:t>
      </w:r>
      <w:r>
        <w:rPr>
          <w:spacing w:val="-9"/>
        </w:rPr>
        <w:t> </w:t>
      </w:r>
      <w:r>
        <w:rPr>
          <w:spacing w:val="-2"/>
        </w:rPr>
        <w:t>States:</w:t>
      </w:r>
      <w:r>
        <w:rPr>
          <w:spacing w:val="-9"/>
        </w:rPr>
        <w:t> </w:t>
      </w:r>
      <w:r>
        <w:rPr>
          <w:spacing w:val="-2"/>
        </w:rPr>
        <w:t>the</w:t>
      </w:r>
      <w:r>
        <w:rPr>
          <w:spacing w:val="-9"/>
        </w:rPr>
        <w:t> </w:t>
      </w:r>
      <w:r>
        <w:rPr>
          <w:spacing w:val="-2"/>
        </w:rPr>
        <w:t>Gender</w:t>
      </w:r>
      <w:r>
        <w:rPr>
          <w:spacing w:val="-9"/>
        </w:rPr>
        <w:t> </w:t>
      </w:r>
      <w:r>
        <w:rPr>
          <w:spacing w:val="-2"/>
        </w:rPr>
        <w:t>Equality </w:t>
      </w:r>
      <w:r>
        <w:rPr/>
        <w:t>Strategy</w:t>
      </w:r>
      <w:r>
        <w:rPr>
          <w:spacing w:val="-11"/>
        </w:rPr>
        <w:t> </w:t>
      </w:r>
      <w:r>
        <w:rPr/>
        <w:t>(2020-2025);</w:t>
      </w:r>
      <w:r>
        <w:rPr>
          <w:vertAlign w:val="superscript"/>
        </w:rPr>
        <w:t>683</w:t>
      </w:r>
      <w:r>
        <w:rPr>
          <w:spacing w:val="-11"/>
          <w:vertAlign w:val="baseline"/>
        </w:rPr>
        <w:t> </w:t>
      </w:r>
      <w:r>
        <w:rPr>
          <w:vertAlign w:val="baseline"/>
        </w:rPr>
        <w:t>and</w:t>
      </w:r>
      <w:r>
        <w:rPr>
          <w:spacing w:val="-11"/>
          <w:vertAlign w:val="baseline"/>
        </w:rPr>
        <w:t> </w:t>
      </w:r>
      <w:r>
        <w:rPr>
          <w:vertAlign w:val="baseline"/>
        </w:rPr>
        <w:t>the</w:t>
      </w:r>
      <w:r>
        <w:rPr>
          <w:spacing w:val="-11"/>
          <w:vertAlign w:val="baseline"/>
        </w:rPr>
        <w:t> </w:t>
      </w:r>
      <w:r>
        <w:rPr>
          <w:vertAlign w:val="baseline"/>
        </w:rPr>
        <w:t>Gender</w:t>
      </w:r>
      <w:r>
        <w:rPr>
          <w:spacing w:val="-11"/>
          <w:vertAlign w:val="baseline"/>
        </w:rPr>
        <w:t> </w:t>
      </w:r>
      <w:r>
        <w:rPr>
          <w:vertAlign w:val="baseline"/>
        </w:rPr>
        <w:t>Action</w:t>
      </w:r>
      <w:r>
        <w:rPr>
          <w:spacing w:val="-11"/>
          <w:vertAlign w:val="baseline"/>
        </w:rPr>
        <w:t> </w:t>
      </w:r>
      <w:r>
        <w:rPr>
          <w:vertAlign w:val="baseline"/>
        </w:rPr>
        <w:t>Plan</w:t>
      </w:r>
      <w:r>
        <w:rPr>
          <w:spacing w:val="-11"/>
          <w:vertAlign w:val="baseline"/>
        </w:rPr>
        <w:t> </w:t>
      </w:r>
      <w:r>
        <w:rPr>
          <w:vertAlign w:val="baseline"/>
        </w:rPr>
        <w:t>III</w:t>
      </w:r>
      <w:r>
        <w:rPr>
          <w:spacing w:val="-11"/>
          <w:vertAlign w:val="baseline"/>
        </w:rPr>
        <w:t> </w:t>
      </w:r>
      <w:r>
        <w:rPr>
          <w:vertAlign w:val="baseline"/>
        </w:rPr>
        <w:t>(2021-2025).</w:t>
      </w:r>
      <w:r>
        <w:rPr>
          <w:vertAlign w:val="superscript"/>
        </w:rPr>
        <w:t>684</w:t>
      </w:r>
    </w:p>
    <w:p>
      <w:pPr>
        <w:pStyle w:val="BodyText"/>
        <w:spacing w:line="232" w:lineRule="auto" w:before="280"/>
        <w:ind w:left="720" w:right="1167"/>
      </w:pPr>
      <w:r>
        <w:rPr/>
        <w:t>The EU Gender Equality Strategy aims at progressing towards a gender-equal</w:t>
      </w:r>
      <w:r>
        <w:rPr/>
        <w:t> Union</w:t>
      </w:r>
      <w:r>
        <w:rPr>
          <w:spacing w:val="-8"/>
        </w:rPr>
        <w:t> </w:t>
      </w:r>
      <w:r>
        <w:rPr/>
        <w:t>by</w:t>
      </w:r>
      <w:r>
        <w:rPr>
          <w:spacing w:val="-7"/>
        </w:rPr>
        <w:t> </w:t>
      </w:r>
      <w:r>
        <w:rPr/>
        <w:t>adopting</w:t>
      </w:r>
      <w:r>
        <w:rPr>
          <w:spacing w:val="-7"/>
        </w:rPr>
        <w:t> </w:t>
      </w:r>
      <w:r>
        <w:rPr/>
        <w:t>both</w:t>
      </w:r>
      <w:r>
        <w:rPr>
          <w:spacing w:val="-8"/>
        </w:rPr>
        <w:t> </w:t>
      </w:r>
      <w:r>
        <w:rPr/>
        <w:t>a</w:t>
      </w:r>
      <w:r>
        <w:rPr>
          <w:spacing w:val="-8"/>
        </w:rPr>
        <w:t> </w:t>
      </w:r>
      <w:r>
        <w:rPr/>
        <w:t>gender</w:t>
      </w:r>
      <w:r>
        <w:rPr>
          <w:spacing w:val="-7"/>
        </w:rPr>
        <w:t> </w:t>
      </w:r>
      <w:r>
        <w:rPr/>
        <w:t>mainstreaming</w:t>
      </w:r>
      <w:r>
        <w:rPr>
          <w:spacing w:val="-7"/>
        </w:rPr>
        <w:t> </w:t>
      </w:r>
      <w:r>
        <w:rPr/>
        <w:t>approach</w:t>
      </w:r>
      <w:r>
        <w:rPr>
          <w:spacing w:val="-8"/>
        </w:rPr>
        <w:t> </w:t>
      </w:r>
      <w:r>
        <w:rPr/>
        <w:t>combined</w:t>
      </w:r>
      <w:r>
        <w:rPr>
          <w:spacing w:val="-8"/>
        </w:rPr>
        <w:t> </w:t>
      </w:r>
      <w:r>
        <w:rPr/>
        <w:t>with</w:t>
      </w:r>
      <w:r>
        <w:rPr>
          <w:spacing w:val="-8"/>
        </w:rPr>
        <w:t> </w:t>
      </w:r>
      <w:r>
        <w:rPr/>
        <w:t>targeted actions, and an intersectionality approach for its implementation. Its 7 objectives </w:t>
      </w:r>
      <w:r>
        <w:rPr>
          <w:spacing w:val="-4"/>
        </w:rPr>
        <w:t>are:</w:t>
      </w:r>
    </w:p>
    <w:p>
      <w:pPr>
        <w:pStyle w:val="ListParagraph"/>
        <w:numPr>
          <w:ilvl w:val="0"/>
          <w:numId w:val="59"/>
        </w:numPr>
        <w:tabs>
          <w:tab w:pos="1060" w:val="left" w:leader="none"/>
        </w:tabs>
        <w:spacing w:line="343" w:lineRule="exact" w:before="256" w:after="0"/>
        <w:ind w:left="1060" w:right="0" w:hanging="340"/>
        <w:jc w:val="left"/>
        <w:rPr>
          <w:sz w:val="28"/>
        </w:rPr>
      </w:pPr>
      <w:r>
        <w:rPr>
          <w:sz w:val="28"/>
        </w:rPr>
        <w:t>Ending</w:t>
      </w:r>
      <w:r>
        <w:rPr>
          <w:spacing w:val="-9"/>
          <w:sz w:val="28"/>
        </w:rPr>
        <w:t> </w:t>
      </w:r>
      <w:r>
        <w:rPr>
          <w:sz w:val="28"/>
        </w:rPr>
        <w:t>gender-based</w:t>
      </w:r>
      <w:r>
        <w:rPr>
          <w:spacing w:val="-8"/>
          <w:sz w:val="28"/>
        </w:rPr>
        <w:t> </w:t>
      </w:r>
      <w:r>
        <w:rPr>
          <w:spacing w:val="-2"/>
          <w:sz w:val="28"/>
        </w:rPr>
        <w:t>violence;</w:t>
      </w:r>
    </w:p>
    <w:p>
      <w:pPr>
        <w:pStyle w:val="ListParagraph"/>
        <w:numPr>
          <w:ilvl w:val="0"/>
          <w:numId w:val="59"/>
        </w:numPr>
        <w:tabs>
          <w:tab w:pos="1060" w:val="left" w:leader="none"/>
        </w:tabs>
        <w:spacing w:line="330" w:lineRule="exact" w:before="0" w:after="0"/>
        <w:ind w:left="1060" w:right="0" w:hanging="340"/>
        <w:jc w:val="left"/>
        <w:rPr>
          <w:sz w:val="28"/>
        </w:rPr>
      </w:pPr>
      <w:r>
        <w:rPr>
          <w:sz w:val="28"/>
        </w:rPr>
        <w:t>Challenging</w:t>
      </w:r>
      <w:r>
        <w:rPr>
          <w:spacing w:val="-1"/>
          <w:sz w:val="28"/>
        </w:rPr>
        <w:t> </w:t>
      </w:r>
      <w:r>
        <w:rPr>
          <w:sz w:val="28"/>
        </w:rPr>
        <w:t>gender</w:t>
      </w:r>
      <w:r>
        <w:rPr>
          <w:spacing w:val="-1"/>
          <w:sz w:val="28"/>
        </w:rPr>
        <w:t> </w:t>
      </w:r>
      <w:r>
        <w:rPr>
          <w:spacing w:val="-2"/>
          <w:sz w:val="28"/>
        </w:rPr>
        <w:t>stereotypes;</w:t>
      </w:r>
    </w:p>
    <w:p>
      <w:pPr>
        <w:pStyle w:val="ListParagraph"/>
        <w:numPr>
          <w:ilvl w:val="0"/>
          <w:numId w:val="59"/>
        </w:numPr>
        <w:tabs>
          <w:tab w:pos="1060" w:val="left" w:leader="none"/>
        </w:tabs>
        <w:spacing w:line="330" w:lineRule="exact" w:before="0" w:after="0"/>
        <w:ind w:left="1060" w:right="0" w:hanging="340"/>
        <w:jc w:val="left"/>
        <w:rPr>
          <w:sz w:val="28"/>
        </w:rPr>
      </w:pPr>
      <w:r>
        <w:rPr>
          <w:sz w:val="28"/>
        </w:rPr>
        <w:t>Closing</w:t>
      </w:r>
      <w:r>
        <w:rPr>
          <w:spacing w:val="-3"/>
          <w:sz w:val="28"/>
        </w:rPr>
        <w:t> </w:t>
      </w:r>
      <w:r>
        <w:rPr>
          <w:sz w:val="28"/>
        </w:rPr>
        <w:t>gender</w:t>
      </w:r>
      <w:r>
        <w:rPr>
          <w:spacing w:val="-2"/>
          <w:sz w:val="28"/>
        </w:rPr>
        <w:t> </w:t>
      </w:r>
      <w:r>
        <w:rPr>
          <w:sz w:val="28"/>
        </w:rPr>
        <w:t>gaps</w:t>
      </w:r>
      <w:r>
        <w:rPr>
          <w:spacing w:val="-2"/>
          <w:sz w:val="28"/>
        </w:rPr>
        <w:t> </w:t>
      </w:r>
      <w:r>
        <w:rPr>
          <w:sz w:val="28"/>
        </w:rPr>
        <w:t>in</w:t>
      </w:r>
      <w:r>
        <w:rPr>
          <w:spacing w:val="-3"/>
          <w:sz w:val="28"/>
        </w:rPr>
        <w:t> </w:t>
      </w:r>
      <w:r>
        <w:rPr>
          <w:sz w:val="28"/>
        </w:rPr>
        <w:t>the</w:t>
      </w:r>
      <w:r>
        <w:rPr>
          <w:spacing w:val="-2"/>
          <w:sz w:val="28"/>
        </w:rPr>
        <w:t> </w:t>
      </w:r>
      <w:r>
        <w:rPr>
          <w:sz w:val="28"/>
        </w:rPr>
        <w:t>labour</w:t>
      </w:r>
      <w:r>
        <w:rPr>
          <w:spacing w:val="-2"/>
          <w:sz w:val="28"/>
        </w:rPr>
        <w:t> market;</w:t>
      </w:r>
    </w:p>
    <w:p>
      <w:pPr>
        <w:pStyle w:val="ListParagraph"/>
        <w:numPr>
          <w:ilvl w:val="0"/>
          <w:numId w:val="59"/>
        </w:numPr>
        <w:tabs>
          <w:tab w:pos="1060" w:val="left" w:leader="none"/>
        </w:tabs>
        <w:spacing w:line="330" w:lineRule="exact" w:before="0" w:after="0"/>
        <w:ind w:left="1060" w:right="0" w:hanging="340"/>
        <w:jc w:val="left"/>
        <w:rPr>
          <w:sz w:val="28"/>
        </w:rPr>
      </w:pPr>
      <w:r>
        <w:rPr>
          <w:sz w:val="28"/>
        </w:rPr>
        <w:t>Achieving</w:t>
      </w:r>
      <w:r>
        <w:rPr>
          <w:spacing w:val="-9"/>
          <w:sz w:val="28"/>
        </w:rPr>
        <w:t> </w:t>
      </w:r>
      <w:r>
        <w:rPr>
          <w:sz w:val="28"/>
        </w:rPr>
        <w:t>equal</w:t>
      </w:r>
      <w:r>
        <w:rPr>
          <w:spacing w:val="-9"/>
          <w:sz w:val="28"/>
        </w:rPr>
        <w:t> </w:t>
      </w:r>
      <w:r>
        <w:rPr>
          <w:sz w:val="28"/>
        </w:rPr>
        <w:t>participation</w:t>
      </w:r>
      <w:r>
        <w:rPr>
          <w:spacing w:val="-10"/>
          <w:sz w:val="28"/>
        </w:rPr>
        <w:t> </w:t>
      </w:r>
      <w:r>
        <w:rPr>
          <w:sz w:val="28"/>
        </w:rPr>
        <w:t>across</w:t>
      </w:r>
      <w:r>
        <w:rPr>
          <w:spacing w:val="-9"/>
          <w:sz w:val="28"/>
        </w:rPr>
        <w:t> </w:t>
      </w:r>
      <w:r>
        <w:rPr>
          <w:sz w:val="28"/>
        </w:rPr>
        <w:t>different</w:t>
      </w:r>
      <w:r>
        <w:rPr>
          <w:spacing w:val="-8"/>
          <w:sz w:val="28"/>
        </w:rPr>
        <w:t> </w:t>
      </w:r>
      <w:r>
        <w:rPr>
          <w:sz w:val="28"/>
        </w:rPr>
        <w:t>sectors</w:t>
      </w:r>
      <w:r>
        <w:rPr>
          <w:spacing w:val="-10"/>
          <w:sz w:val="28"/>
        </w:rPr>
        <w:t> </w:t>
      </w:r>
      <w:r>
        <w:rPr>
          <w:sz w:val="28"/>
        </w:rPr>
        <w:t>of</w:t>
      </w:r>
      <w:r>
        <w:rPr>
          <w:spacing w:val="-9"/>
          <w:sz w:val="28"/>
        </w:rPr>
        <w:t> </w:t>
      </w:r>
      <w:r>
        <w:rPr>
          <w:sz w:val="28"/>
        </w:rPr>
        <w:t>the</w:t>
      </w:r>
      <w:r>
        <w:rPr>
          <w:spacing w:val="-9"/>
          <w:sz w:val="28"/>
        </w:rPr>
        <w:t> </w:t>
      </w:r>
      <w:r>
        <w:rPr>
          <w:spacing w:val="-2"/>
          <w:sz w:val="28"/>
        </w:rPr>
        <w:t>economy;</w:t>
      </w:r>
    </w:p>
    <w:p>
      <w:pPr>
        <w:pStyle w:val="ListParagraph"/>
        <w:numPr>
          <w:ilvl w:val="0"/>
          <w:numId w:val="59"/>
        </w:numPr>
        <w:tabs>
          <w:tab w:pos="1060" w:val="left" w:leader="none"/>
        </w:tabs>
        <w:spacing w:line="330" w:lineRule="exact" w:before="0" w:after="0"/>
        <w:ind w:left="1060" w:right="0" w:hanging="340"/>
        <w:jc w:val="left"/>
        <w:rPr>
          <w:sz w:val="28"/>
        </w:rPr>
      </w:pPr>
      <w:r>
        <w:rPr>
          <w:sz w:val="28"/>
        </w:rPr>
        <w:t>Addressing</w:t>
      </w:r>
      <w:r>
        <w:rPr>
          <w:spacing w:val="-6"/>
          <w:sz w:val="28"/>
        </w:rPr>
        <w:t> </w:t>
      </w:r>
      <w:r>
        <w:rPr>
          <w:sz w:val="28"/>
        </w:rPr>
        <w:t>the</w:t>
      </w:r>
      <w:r>
        <w:rPr>
          <w:spacing w:val="-4"/>
          <w:sz w:val="28"/>
        </w:rPr>
        <w:t> </w:t>
      </w:r>
      <w:r>
        <w:rPr>
          <w:sz w:val="28"/>
        </w:rPr>
        <w:t>gender</w:t>
      </w:r>
      <w:r>
        <w:rPr>
          <w:spacing w:val="-3"/>
          <w:sz w:val="28"/>
        </w:rPr>
        <w:t> </w:t>
      </w:r>
      <w:r>
        <w:rPr>
          <w:sz w:val="28"/>
        </w:rPr>
        <w:t>pay</w:t>
      </w:r>
      <w:r>
        <w:rPr>
          <w:spacing w:val="-4"/>
          <w:sz w:val="28"/>
        </w:rPr>
        <w:t> </w:t>
      </w:r>
      <w:r>
        <w:rPr>
          <w:sz w:val="28"/>
        </w:rPr>
        <w:t>and</w:t>
      </w:r>
      <w:r>
        <w:rPr>
          <w:spacing w:val="-4"/>
          <w:sz w:val="28"/>
        </w:rPr>
        <w:t> </w:t>
      </w:r>
      <w:r>
        <w:rPr>
          <w:sz w:val="28"/>
        </w:rPr>
        <w:t>pension</w:t>
      </w:r>
      <w:r>
        <w:rPr>
          <w:spacing w:val="-4"/>
          <w:sz w:val="28"/>
        </w:rPr>
        <w:t> gaps;</w:t>
      </w:r>
    </w:p>
    <w:p>
      <w:pPr>
        <w:pStyle w:val="ListParagraph"/>
        <w:numPr>
          <w:ilvl w:val="0"/>
          <w:numId w:val="59"/>
        </w:numPr>
        <w:tabs>
          <w:tab w:pos="1060" w:val="left" w:leader="none"/>
        </w:tabs>
        <w:spacing w:line="330" w:lineRule="exact" w:before="0" w:after="0"/>
        <w:ind w:left="1060" w:right="0" w:hanging="340"/>
        <w:jc w:val="left"/>
        <w:rPr>
          <w:sz w:val="28"/>
        </w:rPr>
      </w:pPr>
      <w:r>
        <w:rPr>
          <w:sz w:val="28"/>
        </w:rPr>
        <w:t>Closing</w:t>
      </w:r>
      <w:r>
        <w:rPr>
          <w:spacing w:val="-3"/>
          <w:sz w:val="28"/>
        </w:rPr>
        <w:t> </w:t>
      </w:r>
      <w:r>
        <w:rPr>
          <w:sz w:val="28"/>
        </w:rPr>
        <w:t>the</w:t>
      </w:r>
      <w:r>
        <w:rPr>
          <w:spacing w:val="-3"/>
          <w:sz w:val="28"/>
        </w:rPr>
        <w:t> </w:t>
      </w:r>
      <w:r>
        <w:rPr>
          <w:sz w:val="28"/>
        </w:rPr>
        <w:t>gender</w:t>
      </w:r>
      <w:r>
        <w:rPr>
          <w:spacing w:val="-3"/>
          <w:sz w:val="28"/>
        </w:rPr>
        <w:t> </w:t>
      </w:r>
      <w:r>
        <w:rPr>
          <w:sz w:val="28"/>
        </w:rPr>
        <w:t>care</w:t>
      </w:r>
      <w:r>
        <w:rPr>
          <w:spacing w:val="-3"/>
          <w:sz w:val="28"/>
        </w:rPr>
        <w:t> </w:t>
      </w:r>
      <w:r>
        <w:rPr>
          <w:sz w:val="28"/>
        </w:rPr>
        <w:t>gap;</w:t>
      </w:r>
      <w:r>
        <w:rPr>
          <w:spacing w:val="-3"/>
          <w:sz w:val="28"/>
        </w:rPr>
        <w:t> </w:t>
      </w:r>
      <w:r>
        <w:rPr>
          <w:spacing w:val="-5"/>
          <w:sz w:val="28"/>
        </w:rPr>
        <w:t>and</w:t>
      </w:r>
    </w:p>
    <w:p>
      <w:pPr>
        <w:pStyle w:val="ListParagraph"/>
        <w:numPr>
          <w:ilvl w:val="0"/>
          <w:numId w:val="59"/>
        </w:numPr>
        <w:tabs>
          <w:tab w:pos="1060" w:val="left" w:leader="none"/>
        </w:tabs>
        <w:spacing w:line="343" w:lineRule="exact" w:before="0" w:after="0"/>
        <w:ind w:left="1060" w:right="0" w:hanging="340"/>
        <w:jc w:val="left"/>
        <w:rPr>
          <w:sz w:val="28"/>
        </w:rPr>
      </w:pPr>
      <w:r>
        <w:rPr>
          <w:sz w:val="28"/>
        </w:rPr>
        <w:t>Achieving</w:t>
      </w:r>
      <w:r>
        <w:rPr>
          <w:spacing w:val="-4"/>
          <w:sz w:val="28"/>
        </w:rPr>
        <w:t> </w:t>
      </w:r>
      <w:r>
        <w:rPr>
          <w:sz w:val="28"/>
        </w:rPr>
        <w:t>gender</w:t>
      </w:r>
      <w:r>
        <w:rPr>
          <w:spacing w:val="-1"/>
          <w:sz w:val="28"/>
        </w:rPr>
        <w:t> </w:t>
      </w:r>
      <w:r>
        <w:rPr>
          <w:sz w:val="28"/>
        </w:rPr>
        <w:t>balance</w:t>
      </w:r>
      <w:r>
        <w:rPr>
          <w:spacing w:val="-1"/>
          <w:sz w:val="28"/>
        </w:rPr>
        <w:t> </w:t>
      </w:r>
      <w:r>
        <w:rPr>
          <w:sz w:val="28"/>
        </w:rPr>
        <w:t>in</w:t>
      </w:r>
      <w:r>
        <w:rPr>
          <w:spacing w:val="-3"/>
          <w:sz w:val="28"/>
        </w:rPr>
        <w:t> </w:t>
      </w:r>
      <w:r>
        <w:rPr>
          <w:sz w:val="28"/>
        </w:rPr>
        <w:t>decision-making</w:t>
      </w:r>
      <w:r>
        <w:rPr>
          <w:spacing w:val="-1"/>
          <w:sz w:val="28"/>
        </w:rPr>
        <w:t> </w:t>
      </w:r>
      <w:r>
        <w:rPr>
          <w:sz w:val="28"/>
        </w:rPr>
        <w:t>and</w:t>
      </w:r>
      <w:r>
        <w:rPr>
          <w:spacing w:val="-2"/>
          <w:sz w:val="28"/>
        </w:rPr>
        <w:t> </w:t>
      </w:r>
      <w:r>
        <w:rPr>
          <w:sz w:val="28"/>
        </w:rPr>
        <w:t>in</w:t>
      </w:r>
      <w:r>
        <w:rPr>
          <w:spacing w:val="-2"/>
          <w:sz w:val="28"/>
        </w:rPr>
        <w:t> politics.</w:t>
      </w:r>
    </w:p>
    <w:p>
      <w:pPr>
        <w:pStyle w:val="BodyText"/>
        <w:spacing w:line="232" w:lineRule="auto" w:before="280"/>
        <w:ind w:left="720" w:right="1087"/>
      </w:pPr>
      <w:r>
        <w:rPr/>
        <w:t>The Gender Action Plan III sets out the EU’s political and operational roadmap towards a gender-equal world, by taking a transformative and rights-based approach,</w:t>
      </w:r>
      <w:r>
        <w:rPr>
          <w:spacing w:val="-6"/>
        </w:rPr>
        <w:t> </w:t>
      </w:r>
      <w:r>
        <w:rPr/>
        <w:t>and</w:t>
      </w:r>
      <w:r>
        <w:rPr>
          <w:spacing w:val="-6"/>
        </w:rPr>
        <w:t> </w:t>
      </w:r>
      <w:r>
        <w:rPr/>
        <w:t>by</w:t>
      </w:r>
      <w:r>
        <w:rPr>
          <w:spacing w:val="-6"/>
        </w:rPr>
        <w:t> </w:t>
      </w:r>
      <w:r>
        <w:rPr/>
        <w:t>addressing</w:t>
      </w:r>
      <w:r>
        <w:rPr>
          <w:spacing w:val="-6"/>
        </w:rPr>
        <w:t> </w:t>
      </w:r>
      <w:r>
        <w:rPr/>
        <w:t>the</w:t>
      </w:r>
      <w:r>
        <w:rPr>
          <w:spacing w:val="-6"/>
        </w:rPr>
        <w:t> </w:t>
      </w:r>
      <w:r>
        <w:rPr/>
        <w:t>intersectionality</w:t>
      </w:r>
      <w:r>
        <w:rPr>
          <w:spacing w:val="-6"/>
        </w:rPr>
        <w:t> </w:t>
      </w:r>
      <w:r>
        <w:rPr/>
        <w:t>of</w:t>
      </w:r>
      <w:r>
        <w:rPr>
          <w:spacing w:val="-6"/>
        </w:rPr>
        <w:t> </w:t>
      </w:r>
      <w:r>
        <w:rPr/>
        <w:t>gender</w:t>
      </w:r>
      <w:r>
        <w:rPr>
          <w:spacing w:val="-6"/>
        </w:rPr>
        <w:t> </w:t>
      </w:r>
      <w:r>
        <w:rPr/>
        <w:t>with</w:t>
      </w:r>
      <w:r>
        <w:rPr>
          <w:spacing w:val="-6"/>
        </w:rPr>
        <w:t> </w:t>
      </w:r>
      <w:r>
        <w:rPr/>
        <w:t>other</w:t>
      </w:r>
      <w:r>
        <w:rPr>
          <w:spacing w:val="-6"/>
        </w:rPr>
        <w:t> </w:t>
      </w:r>
      <w:r>
        <w:rPr/>
        <w:t>forms</w:t>
      </w:r>
      <w:r>
        <w:rPr>
          <w:spacing w:val="-6"/>
        </w:rPr>
        <w:t> </w:t>
      </w:r>
      <w:r>
        <w:rPr/>
        <w:t>of discrimination. Its 5 pillars are listed below:</w:t>
      </w:r>
    </w:p>
    <w:p>
      <w:pPr>
        <w:pStyle w:val="ListParagraph"/>
        <w:numPr>
          <w:ilvl w:val="0"/>
          <w:numId w:val="59"/>
        </w:numPr>
        <w:tabs>
          <w:tab w:pos="1060" w:val="left" w:leader="none"/>
        </w:tabs>
        <w:spacing w:line="232" w:lineRule="auto" w:before="263" w:after="0"/>
        <w:ind w:left="1060" w:right="1606" w:hanging="341"/>
        <w:jc w:val="left"/>
        <w:rPr>
          <w:sz w:val="28"/>
        </w:rPr>
      </w:pPr>
      <w:r>
        <w:rPr>
          <w:sz w:val="28"/>
        </w:rPr>
        <w:t>Making</w:t>
      </w:r>
      <w:r>
        <w:rPr>
          <w:spacing w:val="-7"/>
          <w:sz w:val="28"/>
        </w:rPr>
        <w:t> </w:t>
      </w:r>
      <w:r>
        <w:rPr>
          <w:sz w:val="28"/>
        </w:rPr>
        <w:t>gender</w:t>
      </w:r>
      <w:r>
        <w:rPr>
          <w:spacing w:val="-7"/>
          <w:sz w:val="28"/>
        </w:rPr>
        <w:t> </w:t>
      </w:r>
      <w:r>
        <w:rPr>
          <w:sz w:val="28"/>
        </w:rPr>
        <w:t>equality</w:t>
      </w:r>
      <w:r>
        <w:rPr>
          <w:spacing w:val="-7"/>
          <w:sz w:val="28"/>
        </w:rPr>
        <w:t> </w:t>
      </w:r>
      <w:r>
        <w:rPr>
          <w:sz w:val="28"/>
        </w:rPr>
        <w:t>and</w:t>
      </w:r>
      <w:r>
        <w:rPr>
          <w:spacing w:val="-7"/>
          <w:sz w:val="28"/>
        </w:rPr>
        <w:t> </w:t>
      </w:r>
      <w:r>
        <w:rPr>
          <w:sz w:val="28"/>
        </w:rPr>
        <w:t>women</w:t>
      </w:r>
      <w:r>
        <w:rPr>
          <w:spacing w:val="-7"/>
          <w:sz w:val="28"/>
        </w:rPr>
        <w:t> </w:t>
      </w:r>
      <w:r>
        <w:rPr>
          <w:sz w:val="28"/>
        </w:rPr>
        <w:t>and</w:t>
      </w:r>
      <w:r>
        <w:rPr>
          <w:spacing w:val="-7"/>
          <w:sz w:val="28"/>
        </w:rPr>
        <w:t> </w:t>
      </w:r>
      <w:r>
        <w:rPr>
          <w:sz w:val="28"/>
        </w:rPr>
        <w:t>girls’</w:t>
      </w:r>
      <w:r>
        <w:rPr>
          <w:spacing w:val="-7"/>
          <w:sz w:val="28"/>
        </w:rPr>
        <w:t> </w:t>
      </w:r>
      <w:r>
        <w:rPr>
          <w:sz w:val="28"/>
        </w:rPr>
        <w:t>empowerment</w:t>
      </w:r>
      <w:r>
        <w:rPr>
          <w:spacing w:val="-7"/>
          <w:sz w:val="28"/>
        </w:rPr>
        <w:t> </w:t>
      </w:r>
      <w:r>
        <w:rPr>
          <w:sz w:val="28"/>
        </w:rPr>
        <w:t>a</w:t>
      </w:r>
      <w:r>
        <w:rPr>
          <w:spacing w:val="-7"/>
          <w:sz w:val="28"/>
        </w:rPr>
        <w:t> </w:t>
      </w:r>
      <w:r>
        <w:rPr>
          <w:sz w:val="28"/>
        </w:rPr>
        <w:t>cross-cutting priority of EU external action;</w:t>
      </w:r>
    </w:p>
    <w:p>
      <w:pPr>
        <w:pStyle w:val="ListParagraph"/>
        <w:numPr>
          <w:ilvl w:val="0"/>
          <w:numId w:val="59"/>
        </w:numPr>
        <w:tabs>
          <w:tab w:pos="1060" w:val="left" w:leader="none"/>
        </w:tabs>
        <w:spacing w:line="325" w:lineRule="exact" w:before="0" w:after="0"/>
        <w:ind w:left="1060" w:right="0" w:hanging="340"/>
        <w:jc w:val="left"/>
        <w:rPr>
          <w:sz w:val="28"/>
        </w:rPr>
      </w:pPr>
      <w:r>
        <w:rPr>
          <w:sz w:val="28"/>
        </w:rPr>
        <w:t>Working</w:t>
      </w:r>
      <w:r>
        <w:rPr>
          <w:spacing w:val="-7"/>
          <w:sz w:val="28"/>
        </w:rPr>
        <w:t> </w:t>
      </w:r>
      <w:r>
        <w:rPr>
          <w:sz w:val="28"/>
        </w:rPr>
        <w:t>together</w:t>
      </w:r>
      <w:r>
        <w:rPr>
          <w:spacing w:val="-7"/>
          <w:sz w:val="28"/>
        </w:rPr>
        <w:t> </w:t>
      </w:r>
      <w:r>
        <w:rPr>
          <w:sz w:val="28"/>
        </w:rPr>
        <w:t>with</w:t>
      </w:r>
      <w:r>
        <w:rPr>
          <w:spacing w:val="-8"/>
          <w:sz w:val="28"/>
        </w:rPr>
        <w:t> </w:t>
      </w:r>
      <w:r>
        <w:rPr>
          <w:sz w:val="28"/>
        </w:rPr>
        <w:t>EU</w:t>
      </w:r>
      <w:r>
        <w:rPr>
          <w:spacing w:val="-6"/>
          <w:sz w:val="28"/>
        </w:rPr>
        <w:t> </w:t>
      </w:r>
      <w:r>
        <w:rPr>
          <w:sz w:val="28"/>
        </w:rPr>
        <w:t>Member</w:t>
      </w:r>
      <w:r>
        <w:rPr>
          <w:spacing w:val="-7"/>
          <w:sz w:val="28"/>
        </w:rPr>
        <w:t> </w:t>
      </w:r>
      <w:r>
        <w:rPr>
          <w:sz w:val="28"/>
        </w:rPr>
        <w:t>States</w:t>
      </w:r>
      <w:r>
        <w:rPr>
          <w:spacing w:val="-8"/>
          <w:sz w:val="28"/>
        </w:rPr>
        <w:t> </w:t>
      </w:r>
      <w:r>
        <w:rPr>
          <w:sz w:val="28"/>
        </w:rPr>
        <w:t>and</w:t>
      </w:r>
      <w:r>
        <w:rPr>
          <w:spacing w:val="-7"/>
          <w:sz w:val="28"/>
        </w:rPr>
        <w:t> </w:t>
      </w:r>
      <w:r>
        <w:rPr>
          <w:sz w:val="28"/>
        </w:rPr>
        <w:t>fostering</w:t>
      </w:r>
      <w:r>
        <w:rPr>
          <w:spacing w:val="-7"/>
          <w:sz w:val="28"/>
        </w:rPr>
        <w:t> </w:t>
      </w:r>
      <w:r>
        <w:rPr>
          <w:sz w:val="28"/>
        </w:rPr>
        <w:t>partnership</w:t>
      </w:r>
      <w:r>
        <w:rPr>
          <w:spacing w:val="-7"/>
          <w:sz w:val="28"/>
        </w:rPr>
        <w:t> </w:t>
      </w:r>
      <w:r>
        <w:rPr>
          <w:spacing w:val="-4"/>
          <w:sz w:val="28"/>
        </w:rPr>
        <w:t>with</w:t>
      </w:r>
    </w:p>
    <w:p>
      <w:pPr>
        <w:pStyle w:val="BodyText"/>
        <w:spacing w:line="323" w:lineRule="exact"/>
        <w:ind w:left="1060"/>
      </w:pPr>
      <w:r>
        <w:rPr/>
        <w:t>stakeholders,</w:t>
      </w:r>
      <w:r>
        <w:rPr>
          <w:spacing w:val="-14"/>
        </w:rPr>
        <w:t> </w:t>
      </w:r>
      <w:r>
        <w:rPr/>
        <w:t>civil</w:t>
      </w:r>
      <w:r>
        <w:rPr>
          <w:spacing w:val="-15"/>
        </w:rPr>
        <w:t> </w:t>
      </w:r>
      <w:r>
        <w:rPr/>
        <w:t>society</w:t>
      </w:r>
      <w:r>
        <w:rPr>
          <w:spacing w:val="-14"/>
        </w:rPr>
        <w:t> </w:t>
      </w:r>
      <w:r>
        <w:rPr/>
        <w:t>organisations,</w:t>
      </w:r>
      <w:r>
        <w:rPr>
          <w:spacing w:val="-14"/>
        </w:rPr>
        <w:t> </w:t>
      </w:r>
      <w:r>
        <w:rPr/>
        <w:t>women’s</w:t>
      </w:r>
      <w:r>
        <w:rPr>
          <w:spacing w:val="-15"/>
        </w:rPr>
        <w:t> </w:t>
      </w:r>
      <w:r>
        <w:rPr>
          <w:spacing w:val="-2"/>
        </w:rPr>
        <w:t>organisations;</w:t>
      </w:r>
    </w:p>
    <w:p>
      <w:pPr>
        <w:pStyle w:val="ListParagraph"/>
        <w:numPr>
          <w:ilvl w:val="0"/>
          <w:numId w:val="59"/>
        </w:numPr>
        <w:tabs>
          <w:tab w:pos="1060" w:val="left" w:leader="none"/>
        </w:tabs>
        <w:spacing w:line="232" w:lineRule="auto" w:before="0" w:after="0"/>
        <w:ind w:left="1060" w:right="1300" w:hanging="341"/>
        <w:jc w:val="left"/>
        <w:rPr>
          <w:sz w:val="28"/>
        </w:rPr>
      </w:pPr>
      <w:r>
        <w:rPr>
          <w:sz w:val="28"/>
        </w:rPr>
        <w:t>Accelerating</w:t>
      </w:r>
      <w:r>
        <w:rPr>
          <w:spacing w:val="-3"/>
          <w:sz w:val="28"/>
        </w:rPr>
        <w:t> </w:t>
      </w:r>
      <w:r>
        <w:rPr>
          <w:sz w:val="28"/>
        </w:rPr>
        <w:t>progress</w:t>
      </w:r>
      <w:r>
        <w:rPr>
          <w:spacing w:val="-4"/>
          <w:sz w:val="28"/>
        </w:rPr>
        <w:t> </w:t>
      </w:r>
      <w:r>
        <w:rPr>
          <w:sz w:val="28"/>
        </w:rPr>
        <w:t>by</w:t>
      </w:r>
      <w:r>
        <w:rPr>
          <w:spacing w:val="-3"/>
          <w:sz w:val="28"/>
        </w:rPr>
        <w:t> </w:t>
      </w:r>
      <w:r>
        <w:rPr>
          <w:sz w:val="28"/>
        </w:rPr>
        <w:t>focusing</w:t>
      </w:r>
      <w:r>
        <w:rPr>
          <w:spacing w:val="-3"/>
          <w:sz w:val="28"/>
        </w:rPr>
        <w:t> </w:t>
      </w:r>
      <w:r>
        <w:rPr>
          <w:sz w:val="28"/>
        </w:rPr>
        <w:t>on</w:t>
      </w:r>
      <w:r>
        <w:rPr>
          <w:spacing w:val="-4"/>
          <w:sz w:val="28"/>
        </w:rPr>
        <w:t> </w:t>
      </w:r>
      <w:r>
        <w:rPr>
          <w:sz w:val="28"/>
        </w:rPr>
        <w:t>key</w:t>
      </w:r>
      <w:r>
        <w:rPr>
          <w:spacing w:val="-3"/>
          <w:sz w:val="28"/>
        </w:rPr>
        <w:t> </w:t>
      </w:r>
      <w:r>
        <w:rPr>
          <w:sz w:val="28"/>
        </w:rPr>
        <w:t>areas</w:t>
      </w:r>
      <w:r>
        <w:rPr>
          <w:spacing w:val="-4"/>
          <w:sz w:val="28"/>
        </w:rPr>
        <w:t> </w:t>
      </w:r>
      <w:r>
        <w:rPr>
          <w:sz w:val="28"/>
        </w:rPr>
        <w:t>of</w:t>
      </w:r>
      <w:r>
        <w:rPr>
          <w:spacing w:val="-4"/>
          <w:sz w:val="28"/>
        </w:rPr>
        <w:t> </w:t>
      </w:r>
      <w:r>
        <w:rPr>
          <w:sz w:val="28"/>
        </w:rPr>
        <w:t>engagement</w:t>
      </w:r>
      <w:r>
        <w:rPr>
          <w:spacing w:val="-3"/>
          <w:sz w:val="28"/>
        </w:rPr>
        <w:t> </w:t>
      </w:r>
      <w:r>
        <w:rPr>
          <w:sz w:val="28"/>
        </w:rPr>
        <w:t>(that</w:t>
      </w:r>
      <w:r>
        <w:rPr>
          <w:spacing w:val="-3"/>
          <w:sz w:val="28"/>
        </w:rPr>
        <w:t> </w:t>
      </w:r>
      <w:r>
        <w:rPr>
          <w:sz w:val="28"/>
        </w:rPr>
        <w:t>is,</w:t>
      </w:r>
      <w:r>
        <w:rPr>
          <w:spacing w:val="-3"/>
          <w:sz w:val="28"/>
        </w:rPr>
        <w:t> </w:t>
      </w:r>
      <w:r>
        <w:rPr>
          <w:sz w:val="28"/>
        </w:rPr>
        <w:t>gender- based</w:t>
      </w:r>
      <w:r>
        <w:rPr>
          <w:spacing w:val="-7"/>
          <w:sz w:val="28"/>
        </w:rPr>
        <w:t> </w:t>
      </w:r>
      <w:r>
        <w:rPr>
          <w:sz w:val="28"/>
        </w:rPr>
        <w:t>violence;</w:t>
      </w:r>
      <w:r>
        <w:rPr>
          <w:spacing w:val="-6"/>
          <w:sz w:val="28"/>
        </w:rPr>
        <w:t> </w:t>
      </w:r>
      <w:r>
        <w:rPr>
          <w:sz w:val="28"/>
        </w:rPr>
        <w:t>sexual</w:t>
      </w:r>
      <w:r>
        <w:rPr>
          <w:spacing w:val="-7"/>
          <w:sz w:val="28"/>
        </w:rPr>
        <w:t> </w:t>
      </w:r>
      <w:r>
        <w:rPr>
          <w:sz w:val="28"/>
        </w:rPr>
        <w:t>and</w:t>
      </w:r>
      <w:r>
        <w:rPr>
          <w:spacing w:val="-7"/>
          <w:sz w:val="28"/>
        </w:rPr>
        <w:t> </w:t>
      </w:r>
      <w:r>
        <w:rPr>
          <w:sz w:val="28"/>
        </w:rPr>
        <w:t>reproductive</w:t>
      </w:r>
      <w:r>
        <w:rPr>
          <w:spacing w:val="-6"/>
          <w:sz w:val="28"/>
        </w:rPr>
        <w:t> </w:t>
      </w:r>
      <w:r>
        <w:rPr>
          <w:sz w:val="28"/>
        </w:rPr>
        <w:t>health</w:t>
      </w:r>
      <w:r>
        <w:rPr>
          <w:spacing w:val="-7"/>
          <w:sz w:val="28"/>
        </w:rPr>
        <w:t> </w:t>
      </w:r>
      <w:r>
        <w:rPr>
          <w:sz w:val="28"/>
        </w:rPr>
        <w:t>and</w:t>
      </w:r>
      <w:r>
        <w:rPr>
          <w:spacing w:val="-7"/>
          <w:sz w:val="28"/>
        </w:rPr>
        <w:t> </w:t>
      </w:r>
      <w:r>
        <w:rPr>
          <w:sz w:val="28"/>
        </w:rPr>
        <w:t>rights;</w:t>
      </w:r>
      <w:r>
        <w:rPr>
          <w:spacing w:val="-6"/>
          <w:sz w:val="28"/>
        </w:rPr>
        <w:t> </w:t>
      </w:r>
      <w:r>
        <w:rPr>
          <w:sz w:val="28"/>
        </w:rPr>
        <w:t>economic</w:t>
      </w:r>
      <w:r>
        <w:rPr>
          <w:spacing w:val="-6"/>
          <w:sz w:val="28"/>
        </w:rPr>
        <w:t> </w:t>
      </w:r>
      <w:r>
        <w:rPr>
          <w:sz w:val="28"/>
        </w:rPr>
        <w:t>and</w:t>
      </w:r>
      <w:r>
        <w:rPr>
          <w:spacing w:val="-7"/>
          <w:sz w:val="28"/>
        </w:rPr>
        <w:t> </w:t>
      </w:r>
      <w:r>
        <w:rPr>
          <w:sz w:val="28"/>
        </w:rPr>
        <w:t>social rights and empowerment; equal participation and leadership; women, peace and security; green and digital transformations);</w:t>
      </w:r>
    </w:p>
    <w:p>
      <w:pPr>
        <w:pStyle w:val="ListParagraph"/>
        <w:numPr>
          <w:ilvl w:val="0"/>
          <w:numId w:val="59"/>
        </w:numPr>
        <w:tabs>
          <w:tab w:pos="1060" w:val="left" w:leader="none"/>
        </w:tabs>
        <w:spacing w:line="322" w:lineRule="exact" w:before="0" w:after="0"/>
        <w:ind w:left="1060" w:right="0" w:hanging="340"/>
        <w:jc w:val="left"/>
        <w:rPr>
          <w:sz w:val="28"/>
        </w:rPr>
      </w:pPr>
      <w:r>
        <w:rPr>
          <w:sz w:val="28"/>
        </w:rPr>
        <w:t>Leading</w:t>
      </w:r>
      <w:r>
        <w:rPr>
          <w:spacing w:val="-6"/>
          <w:sz w:val="28"/>
        </w:rPr>
        <w:t> </w:t>
      </w:r>
      <w:r>
        <w:rPr>
          <w:sz w:val="28"/>
        </w:rPr>
        <w:t>by</w:t>
      </w:r>
      <w:r>
        <w:rPr>
          <w:spacing w:val="-5"/>
          <w:sz w:val="28"/>
        </w:rPr>
        <w:t> </w:t>
      </w:r>
      <w:r>
        <w:rPr>
          <w:sz w:val="28"/>
        </w:rPr>
        <w:t>example,</w:t>
      </w:r>
      <w:r>
        <w:rPr>
          <w:spacing w:val="-5"/>
          <w:sz w:val="28"/>
        </w:rPr>
        <w:t> </w:t>
      </w:r>
      <w:r>
        <w:rPr>
          <w:sz w:val="28"/>
        </w:rPr>
        <w:t>by</w:t>
      </w:r>
      <w:r>
        <w:rPr>
          <w:spacing w:val="-5"/>
          <w:sz w:val="28"/>
        </w:rPr>
        <w:t> </w:t>
      </w:r>
      <w:r>
        <w:rPr>
          <w:sz w:val="28"/>
        </w:rPr>
        <w:t>striving</w:t>
      </w:r>
      <w:r>
        <w:rPr>
          <w:spacing w:val="-5"/>
          <w:sz w:val="28"/>
        </w:rPr>
        <w:t> </w:t>
      </w:r>
      <w:r>
        <w:rPr>
          <w:sz w:val="28"/>
        </w:rPr>
        <w:t>for</w:t>
      </w:r>
      <w:r>
        <w:rPr>
          <w:spacing w:val="-5"/>
          <w:sz w:val="28"/>
        </w:rPr>
        <w:t> </w:t>
      </w:r>
      <w:r>
        <w:rPr>
          <w:sz w:val="28"/>
        </w:rPr>
        <w:t>a</w:t>
      </w:r>
      <w:r>
        <w:rPr>
          <w:spacing w:val="-6"/>
          <w:sz w:val="28"/>
        </w:rPr>
        <w:t> </w:t>
      </w:r>
      <w:r>
        <w:rPr>
          <w:sz w:val="28"/>
        </w:rPr>
        <w:t>gender-responsive</w:t>
      </w:r>
      <w:r>
        <w:rPr>
          <w:spacing w:val="-5"/>
          <w:sz w:val="28"/>
        </w:rPr>
        <w:t> </w:t>
      </w:r>
      <w:r>
        <w:rPr>
          <w:sz w:val="28"/>
        </w:rPr>
        <w:t>and</w:t>
      </w:r>
      <w:r>
        <w:rPr>
          <w:spacing w:val="-6"/>
          <w:sz w:val="28"/>
        </w:rPr>
        <w:t> </w:t>
      </w:r>
      <w:r>
        <w:rPr>
          <w:spacing w:val="-2"/>
          <w:sz w:val="28"/>
        </w:rPr>
        <w:t>balanced</w:t>
      </w:r>
    </w:p>
    <w:p>
      <w:pPr>
        <w:pStyle w:val="BodyText"/>
        <w:spacing w:line="323" w:lineRule="exact"/>
        <w:ind w:left="1060"/>
      </w:pPr>
      <w:r>
        <w:rPr>
          <w:spacing w:val="-2"/>
        </w:rPr>
        <w:t>leadership;</w:t>
      </w:r>
    </w:p>
    <w:p>
      <w:pPr>
        <w:pStyle w:val="ListParagraph"/>
        <w:numPr>
          <w:ilvl w:val="0"/>
          <w:numId w:val="59"/>
        </w:numPr>
        <w:tabs>
          <w:tab w:pos="1060" w:val="left" w:leader="none"/>
        </w:tabs>
        <w:spacing w:line="232" w:lineRule="auto" w:before="0" w:after="0"/>
        <w:ind w:left="1060" w:right="2425" w:hanging="341"/>
        <w:jc w:val="left"/>
        <w:rPr>
          <w:sz w:val="28"/>
        </w:rPr>
      </w:pPr>
      <w:r>
        <w:rPr>
          <w:sz w:val="28"/>
        </w:rPr>
        <w:t>Putting</w:t>
      </w:r>
      <w:r>
        <w:rPr>
          <w:spacing w:val="-9"/>
          <w:sz w:val="28"/>
        </w:rPr>
        <w:t> </w:t>
      </w:r>
      <w:r>
        <w:rPr>
          <w:sz w:val="28"/>
        </w:rPr>
        <w:t>the</w:t>
      </w:r>
      <w:r>
        <w:rPr>
          <w:spacing w:val="-9"/>
          <w:sz w:val="28"/>
        </w:rPr>
        <w:t> </w:t>
      </w:r>
      <w:r>
        <w:rPr>
          <w:sz w:val="28"/>
        </w:rPr>
        <w:t>focus</w:t>
      </w:r>
      <w:r>
        <w:rPr>
          <w:spacing w:val="-10"/>
          <w:sz w:val="28"/>
        </w:rPr>
        <w:t> </w:t>
      </w:r>
      <w:r>
        <w:rPr>
          <w:sz w:val="28"/>
        </w:rPr>
        <w:t>on</w:t>
      </w:r>
      <w:r>
        <w:rPr>
          <w:spacing w:val="-10"/>
          <w:sz w:val="28"/>
        </w:rPr>
        <w:t> </w:t>
      </w:r>
      <w:r>
        <w:rPr>
          <w:sz w:val="28"/>
        </w:rPr>
        <w:t>results,</w:t>
      </w:r>
      <w:r>
        <w:rPr>
          <w:spacing w:val="-9"/>
          <w:sz w:val="28"/>
        </w:rPr>
        <w:t> </w:t>
      </w:r>
      <w:r>
        <w:rPr>
          <w:sz w:val="28"/>
        </w:rPr>
        <w:t>accountability</w:t>
      </w:r>
      <w:r>
        <w:rPr>
          <w:spacing w:val="-9"/>
          <w:sz w:val="28"/>
        </w:rPr>
        <w:t> </w:t>
      </w:r>
      <w:r>
        <w:rPr>
          <w:sz w:val="28"/>
        </w:rPr>
        <w:t>and</w:t>
      </w:r>
      <w:r>
        <w:rPr>
          <w:spacing w:val="-10"/>
          <w:sz w:val="28"/>
        </w:rPr>
        <w:t> </w:t>
      </w:r>
      <w:r>
        <w:rPr>
          <w:sz w:val="28"/>
        </w:rPr>
        <w:t>transparency</w:t>
      </w:r>
      <w:r>
        <w:rPr>
          <w:spacing w:val="-9"/>
          <w:sz w:val="28"/>
        </w:rPr>
        <w:t> </w:t>
      </w:r>
      <w:r>
        <w:rPr>
          <w:sz w:val="28"/>
        </w:rPr>
        <w:t>through qualitative, quantitative and inclusive monitoring.</w:t>
      </w:r>
    </w:p>
    <w:p>
      <w:pPr>
        <w:pStyle w:val="BodyText"/>
        <w:spacing w:line="232" w:lineRule="auto" w:before="271"/>
        <w:ind w:left="720" w:right="1225"/>
      </w:pPr>
      <w:r>
        <w:rPr/>
        <w:t>Our report focuses on developments that occurred between 1 January 2022 and 31 August 2023 and these policies were adopted in 2020. However, they both highlight</w:t>
      </w:r>
      <w:r>
        <w:rPr>
          <w:spacing w:val="-5"/>
        </w:rPr>
        <w:t> </w:t>
      </w:r>
      <w:r>
        <w:rPr/>
        <w:t>priority</w:t>
      </w:r>
      <w:r>
        <w:rPr>
          <w:spacing w:val="-5"/>
        </w:rPr>
        <w:t> </w:t>
      </w:r>
      <w:r>
        <w:rPr/>
        <w:t>areas</w:t>
      </w:r>
      <w:r>
        <w:rPr>
          <w:spacing w:val="-6"/>
        </w:rPr>
        <w:t> </w:t>
      </w:r>
      <w:r>
        <w:rPr/>
        <w:t>in</w:t>
      </w:r>
      <w:r>
        <w:rPr>
          <w:spacing w:val="-6"/>
        </w:rPr>
        <w:t> </w:t>
      </w:r>
      <w:r>
        <w:rPr/>
        <w:t>which</w:t>
      </w:r>
      <w:r>
        <w:rPr>
          <w:spacing w:val="-6"/>
        </w:rPr>
        <w:t> </w:t>
      </w:r>
      <w:r>
        <w:rPr/>
        <w:t>one</w:t>
      </w:r>
      <w:r>
        <w:rPr>
          <w:spacing w:val="-5"/>
        </w:rPr>
        <w:t> </w:t>
      </w:r>
      <w:r>
        <w:rPr/>
        <w:t>can</w:t>
      </w:r>
      <w:r>
        <w:rPr>
          <w:spacing w:val="-6"/>
        </w:rPr>
        <w:t> </w:t>
      </w:r>
      <w:r>
        <w:rPr/>
        <w:t>expect</w:t>
      </w:r>
      <w:r>
        <w:rPr>
          <w:spacing w:val="-5"/>
        </w:rPr>
        <w:t> </w:t>
      </w:r>
      <w:r>
        <w:rPr/>
        <w:t>particularly</w:t>
      </w:r>
      <w:r>
        <w:rPr>
          <w:spacing w:val="-5"/>
        </w:rPr>
        <w:t> </w:t>
      </w:r>
      <w:r>
        <w:rPr/>
        <w:t>dynamic</w:t>
      </w:r>
      <w:r>
        <w:rPr>
          <w:spacing w:val="-5"/>
        </w:rPr>
        <w:t> </w:t>
      </w:r>
      <w:r>
        <w:rPr/>
        <w:t>EU</w:t>
      </w:r>
      <w:r>
        <w:rPr>
          <w:spacing w:val="-5"/>
        </w:rPr>
        <w:t> </w:t>
      </w:r>
      <w:r>
        <w:rPr/>
        <w:t>protection (including legislative developments) to promote gender equality until 2025, as evidenced by recent Directives and Regulations discussed in chapter four.</w:t>
      </w:r>
    </w:p>
    <w:p>
      <w:pPr>
        <w:pStyle w:val="BodyText"/>
        <w:rPr>
          <w:sz w:val="20"/>
        </w:rPr>
      </w:pPr>
    </w:p>
    <w:p>
      <w:pPr>
        <w:pStyle w:val="BodyText"/>
        <w:rPr>
          <w:sz w:val="20"/>
        </w:rPr>
      </w:pPr>
    </w:p>
    <w:p>
      <w:pPr>
        <w:pStyle w:val="BodyText"/>
        <w:spacing w:before="104"/>
        <w:rPr>
          <w:sz w:val="20"/>
        </w:rPr>
      </w:pPr>
      <w:r>
        <w:rPr/>
        <mc:AlternateContent>
          <mc:Choice Requires="wps">
            <w:drawing>
              <wp:anchor distT="0" distB="0" distL="0" distR="0" allowOverlap="1" layoutInCell="1" locked="0" behindDoc="1" simplePos="0" relativeHeight="487800320">
                <wp:simplePos x="0" y="0"/>
                <wp:positionH relativeFrom="page">
                  <wp:posOffset>647999</wp:posOffset>
                </wp:positionH>
                <wp:positionV relativeFrom="paragraph">
                  <wp:posOffset>236505</wp:posOffset>
                </wp:positionV>
                <wp:extent cx="6012180" cy="1270"/>
                <wp:effectExtent l="0" t="0" r="0" b="0"/>
                <wp:wrapTopAndBottom/>
                <wp:docPr id="1110" name="Graphic 1110"/>
                <wp:cNvGraphicFramePr>
                  <a:graphicFrameLocks/>
                </wp:cNvGraphicFramePr>
                <a:graphic>
                  <a:graphicData uri="http://schemas.microsoft.com/office/word/2010/wordprocessingShape">
                    <wps:wsp>
                      <wps:cNvPr id="1110" name="Graphic 111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8.62249pt;width:473.4pt;height:.1pt;mso-position-horizontal-relative:page;mso-position-vertical-relative:paragraph;z-index:-15516160;mso-wrap-distance-left:0;mso-wrap-distance-right:0" id="docshape915" coordorigin="1020,372" coordsize="9468,0" path="m1020,372l10488,372e" filled="false" stroked="true" strokeweight=".5pt" strokecolor="#36a9e1">
                <v:path arrowok="t"/>
                <v:stroke dashstyle="solid"/>
                <w10:wrap type="topAndBottom"/>
              </v:shape>
            </w:pict>
          </mc:Fallback>
        </mc:AlternateContent>
      </w:r>
    </w:p>
    <w:p>
      <w:pPr>
        <w:pStyle w:val="ListParagraph"/>
        <w:numPr>
          <w:ilvl w:val="0"/>
          <w:numId w:val="51"/>
        </w:numPr>
        <w:tabs>
          <w:tab w:pos="1287" w:val="left" w:leader="none"/>
        </w:tabs>
        <w:spacing w:line="240" w:lineRule="auto" w:before="43" w:after="0"/>
        <w:ind w:left="1287" w:right="0" w:hanging="567"/>
        <w:jc w:val="left"/>
        <w:rPr>
          <w:sz w:val="18"/>
        </w:rPr>
      </w:pPr>
      <w:r>
        <w:rPr>
          <w:sz w:val="18"/>
        </w:rPr>
        <w:t>See</w:t>
      </w:r>
      <w:r>
        <w:rPr>
          <w:spacing w:val="-2"/>
          <w:sz w:val="18"/>
        </w:rPr>
        <w:t> </w:t>
      </w:r>
      <w:r>
        <w:rPr>
          <w:sz w:val="18"/>
        </w:rPr>
        <w:t>European</w:t>
      </w:r>
      <w:r>
        <w:rPr>
          <w:spacing w:val="-2"/>
          <w:sz w:val="18"/>
        </w:rPr>
        <w:t> </w:t>
      </w:r>
      <w:r>
        <w:rPr>
          <w:sz w:val="18"/>
        </w:rPr>
        <w:t>Commission,</w:t>
      </w:r>
      <w:r>
        <w:rPr>
          <w:spacing w:val="-3"/>
          <w:sz w:val="18"/>
        </w:rPr>
        <w:t> </w:t>
      </w:r>
      <w:r>
        <w:rPr>
          <w:color w:val="1D71B8"/>
          <w:sz w:val="18"/>
          <w:u w:val="single" w:color="1D71B8"/>
        </w:rPr>
        <w:t>Gender</w:t>
      </w:r>
      <w:r>
        <w:rPr>
          <w:color w:val="1D71B8"/>
          <w:spacing w:val="-1"/>
          <w:sz w:val="18"/>
          <w:u w:val="single" w:color="1D71B8"/>
        </w:rPr>
        <w:t> </w:t>
      </w:r>
      <w:r>
        <w:rPr>
          <w:color w:val="1D71B8"/>
          <w:sz w:val="18"/>
          <w:u w:val="single" w:color="1D71B8"/>
        </w:rPr>
        <w:t>equality</w:t>
      </w:r>
      <w:r>
        <w:rPr>
          <w:color w:val="1D71B8"/>
          <w:spacing w:val="-1"/>
          <w:sz w:val="18"/>
          <w:u w:val="single" w:color="1D71B8"/>
        </w:rPr>
        <w:t> </w:t>
      </w:r>
      <w:r>
        <w:rPr>
          <w:color w:val="1D71B8"/>
          <w:spacing w:val="-2"/>
          <w:sz w:val="18"/>
          <w:u w:val="single" w:color="1D71B8"/>
        </w:rPr>
        <w:t>strategy</w:t>
      </w:r>
      <w:r>
        <w:rPr>
          <w:spacing w:val="-2"/>
          <w:sz w:val="18"/>
          <w:u w:val="none"/>
        </w:rPr>
        <w:t>.</w:t>
      </w:r>
    </w:p>
    <w:p>
      <w:pPr>
        <w:pStyle w:val="ListParagraph"/>
        <w:numPr>
          <w:ilvl w:val="0"/>
          <w:numId w:val="51"/>
        </w:numPr>
        <w:tabs>
          <w:tab w:pos="1287" w:val="left" w:leader="none"/>
        </w:tabs>
        <w:spacing w:line="240" w:lineRule="auto" w:before="1" w:after="0"/>
        <w:ind w:left="1287" w:right="1937" w:hanging="567"/>
        <w:jc w:val="left"/>
        <w:rPr>
          <w:sz w:val="18"/>
        </w:rPr>
      </w:pPr>
      <w:r>
        <w:rPr>
          <w:sz w:val="18"/>
        </w:rPr>
        <w:t>See</w:t>
      </w:r>
      <w:r>
        <w:rPr>
          <w:spacing w:val="-3"/>
          <w:sz w:val="18"/>
        </w:rPr>
        <w:t> </w:t>
      </w:r>
      <w:r>
        <w:rPr>
          <w:sz w:val="18"/>
        </w:rPr>
        <w:t>European</w:t>
      </w:r>
      <w:r>
        <w:rPr>
          <w:spacing w:val="-4"/>
          <w:sz w:val="18"/>
        </w:rPr>
        <w:t> </w:t>
      </w:r>
      <w:r>
        <w:rPr>
          <w:sz w:val="18"/>
        </w:rPr>
        <w:t>Commission,</w:t>
      </w:r>
      <w:r>
        <w:rPr>
          <w:spacing w:val="-4"/>
          <w:sz w:val="18"/>
        </w:rPr>
        <w:t> </w:t>
      </w:r>
      <w:r>
        <w:rPr>
          <w:color w:val="1D71B8"/>
          <w:sz w:val="18"/>
          <w:u w:val="single" w:color="1D71B8"/>
        </w:rPr>
        <w:t>Gender</w:t>
      </w:r>
      <w:r>
        <w:rPr>
          <w:color w:val="1D71B8"/>
          <w:spacing w:val="-3"/>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empowering</w:t>
      </w:r>
      <w:r>
        <w:rPr>
          <w:color w:val="1D71B8"/>
          <w:spacing w:val="-3"/>
          <w:sz w:val="18"/>
          <w:u w:val="single" w:color="1D71B8"/>
        </w:rPr>
        <w:t> </w:t>
      </w:r>
      <w:r>
        <w:rPr>
          <w:color w:val="1D71B8"/>
          <w:sz w:val="18"/>
          <w:u w:val="single" w:color="1D71B8"/>
        </w:rPr>
        <w:t>women</w:t>
      </w:r>
      <w:r>
        <w:rPr>
          <w:color w:val="1D71B8"/>
          <w:spacing w:val="-4"/>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girls;</w:t>
      </w:r>
      <w:r>
        <w:rPr>
          <w:color w:val="1D71B8"/>
          <w:spacing w:val="-4"/>
          <w:sz w:val="18"/>
          <w:u w:val="none"/>
        </w:rPr>
        <w:t> </w:t>
      </w:r>
      <w:r>
        <w:rPr>
          <w:sz w:val="18"/>
          <w:u w:val="none"/>
        </w:rPr>
        <w:t>and</w:t>
      </w:r>
      <w:r>
        <w:rPr>
          <w:spacing w:val="-4"/>
          <w:sz w:val="18"/>
          <w:u w:val="none"/>
        </w:rPr>
        <w:t> </w:t>
      </w:r>
      <w:r>
        <w:rPr>
          <w:sz w:val="18"/>
          <w:u w:val="none"/>
        </w:rPr>
        <w:t>see</w:t>
      </w:r>
      <w:r>
        <w:rPr>
          <w:spacing w:val="-3"/>
          <w:sz w:val="18"/>
          <w:u w:val="none"/>
        </w:rPr>
        <w:t> </w:t>
      </w:r>
      <w:r>
        <w:rPr>
          <w:sz w:val="18"/>
          <w:u w:val="none"/>
        </w:rPr>
        <w:t>European</w:t>
      </w:r>
      <w:r>
        <w:rPr>
          <w:spacing w:val="-4"/>
          <w:sz w:val="18"/>
          <w:u w:val="none"/>
        </w:rPr>
        <w:t> </w:t>
      </w:r>
      <w:r>
        <w:rPr>
          <w:sz w:val="18"/>
          <w:u w:val="none"/>
        </w:rPr>
        <w:t>Commission, </w:t>
      </w:r>
      <w:r>
        <w:rPr>
          <w:color w:val="1D71B8"/>
          <w:sz w:val="18"/>
          <w:u w:val="single" w:color="1D71B8"/>
        </w:rPr>
        <w:t>EU Gender Action Plan III</w:t>
      </w:r>
      <w:r>
        <w:rPr>
          <w:color w:val="1D71B8"/>
          <w:sz w:val="18"/>
          <w:u w:val="none"/>
        </w:rPr>
        <w:t> </w:t>
      </w:r>
      <w:r>
        <w:rPr>
          <w:sz w:val="18"/>
          <w:u w:val="none"/>
        </w:rPr>
        <w:t>(2020).</w:t>
      </w:r>
    </w:p>
    <w:p>
      <w:pPr>
        <w:spacing w:after="0" w:line="240" w:lineRule="auto"/>
        <w:jc w:val="left"/>
        <w:rPr>
          <w:sz w:val="18"/>
        </w:rPr>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bookmarkStart w:name="7.3.3 Race equality" w:id="216"/>
      <w:bookmarkEnd w:id="216"/>
      <w:r>
        <w:rPr/>
      </w:r>
      <w:bookmarkStart w:name="_bookmark89" w:id="217"/>
      <w:bookmarkEnd w:id="217"/>
      <w:r>
        <w:rPr/>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137</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119040">
                <wp:simplePos x="0" y="0"/>
                <wp:positionH relativeFrom="page">
                  <wp:posOffset>-2</wp:posOffset>
                </wp:positionH>
                <wp:positionV relativeFrom="page">
                  <wp:posOffset>0</wp:posOffset>
                </wp:positionV>
                <wp:extent cx="7560309" cy="1155065"/>
                <wp:effectExtent l="0" t="0" r="0" b="0"/>
                <wp:wrapNone/>
                <wp:docPr id="1111" name="Group 1111"/>
                <wp:cNvGraphicFramePr>
                  <a:graphicFrameLocks/>
                </wp:cNvGraphicFramePr>
                <a:graphic>
                  <a:graphicData uri="http://schemas.microsoft.com/office/word/2010/wordprocessingGroup">
                    <wpg:wgp>
                      <wpg:cNvPr id="1111" name="Group 1111"/>
                      <wpg:cNvGrpSpPr/>
                      <wpg:grpSpPr>
                        <a:xfrm>
                          <a:off x="0" y="0"/>
                          <a:ext cx="7560309" cy="1155065"/>
                          <a:chExt cx="7560309" cy="1155065"/>
                        </a:xfrm>
                      </wpg:grpSpPr>
                      <wps:wsp>
                        <wps:cNvPr id="1112" name="Graphic 1112"/>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113" name="Graphic 1113"/>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197440" id="docshapegroup916" coordorigin="0,0" coordsize="11906,1819">
                <v:shape style="position:absolute;left:0;top:0;width:11906;height:1819" id="docshape917"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738"/>
      </w:pPr>
      <w:r>
        <w:rPr/>
        <w:t>The NI Assembly and Executive and the UK Government have taken action on a number</w:t>
      </w:r>
      <w:r>
        <w:rPr>
          <w:spacing w:val="-5"/>
        </w:rPr>
        <w:t> </w:t>
      </w:r>
      <w:r>
        <w:rPr/>
        <w:t>of</w:t>
      </w:r>
      <w:r>
        <w:rPr>
          <w:spacing w:val="-6"/>
        </w:rPr>
        <w:t> </w:t>
      </w:r>
      <w:r>
        <w:rPr/>
        <w:t>aspects</w:t>
      </w:r>
      <w:r>
        <w:rPr>
          <w:spacing w:val="-6"/>
        </w:rPr>
        <w:t> </w:t>
      </w:r>
      <w:r>
        <w:rPr/>
        <w:t>reflecting</w:t>
      </w:r>
      <w:r>
        <w:rPr>
          <w:spacing w:val="-5"/>
        </w:rPr>
        <w:t> </w:t>
      </w:r>
      <w:r>
        <w:rPr/>
        <w:t>the</w:t>
      </w:r>
      <w:r>
        <w:rPr>
          <w:spacing w:val="-5"/>
        </w:rPr>
        <w:t> </w:t>
      </w:r>
      <w:r>
        <w:rPr/>
        <w:t>5</w:t>
      </w:r>
      <w:r>
        <w:rPr>
          <w:spacing w:val="-5"/>
        </w:rPr>
        <w:t> </w:t>
      </w:r>
      <w:r>
        <w:rPr/>
        <w:t>objectives</w:t>
      </w:r>
      <w:r>
        <w:rPr>
          <w:spacing w:val="-6"/>
        </w:rPr>
        <w:t> </w:t>
      </w:r>
      <w:r>
        <w:rPr/>
        <w:t>of</w:t>
      </w:r>
      <w:r>
        <w:rPr>
          <w:spacing w:val="-6"/>
        </w:rPr>
        <w:t> </w:t>
      </w:r>
      <w:r>
        <w:rPr/>
        <w:t>the</w:t>
      </w:r>
      <w:r>
        <w:rPr>
          <w:spacing w:val="-5"/>
        </w:rPr>
        <w:t> </w:t>
      </w:r>
      <w:r>
        <w:rPr/>
        <w:t>Gender</w:t>
      </w:r>
      <w:r>
        <w:rPr>
          <w:spacing w:val="-5"/>
        </w:rPr>
        <w:t> </w:t>
      </w:r>
      <w:r>
        <w:rPr/>
        <w:t>Equality</w:t>
      </w:r>
      <w:r>
        <w:rPr>
          <w:spacing w:val="-5"/>
        </w:rPr>
        <w:t> </w:t>
      </w:r>
      <w:r>
        <w:rPr/>
        <w:t>Strategy</w:t>
      </w:r>
      <w:r>
        <w:rPr>
          <w:spacing w:val="-5"/>
        </w:rPr>
        <w:t> </w:t>
      </w:r>
      <w:r>
        <w:rPr/>
        <w:t>and the 5 pillars of the Gender Action Plan III, such as the Domestic Violence (Safe Leave) Act 2022 and the Abortion Regulations 2020. However, we encourage</w:t>
      </w:r>
    </w:p>
    <w:p>
      <w:pPr>
        <w:pStyle w:val="BodyText"/>
        <w:spacing w:line="232" w:lineRule="auto"/>
        <w:ind w:left="1117" w:right="738"/>
      </w:pPr>
      <w:r>
        <w:rPr/>
        <w:t>NI to continue or start gathering data on contemporary forms of discrimination affecting women (for example, absence of first trimester antenatal screening preventing women from availing of Abortion Regulations 2020 section 7 -which allows</w:t>
      </w:r>
      <w:r>
        <w:rPr>
          <w:spacing w:val="-8"/>
        </w:rPr>
        <w:t> </w:t>
      </w:r>
      <w:r>
        <w:rPr/>
        <w:t>termination</w:t>
      </w:r>
      <w:r>
        <w:rPr>
          <w:spacing w:val="-7"/>
        </w:rPr>
        <w:t> </w:t>
      </w:r>
      <w:r>
        <w:rPr/>
        <w:t>on</w:t>
      </w:r>
      <w:r>
        <w:rPr>
          <w:spacing w:val="-7"/>
        </w:rPr>
        <w:t> </w:t>
      </w:r>
      <w:r>
        <w:rPr/>
        <w:t>grounds</w:t>
      </w:r>
      <w:r>
        <w:rPr>
          <w:spacing w:val="-7"/>
        </w:rPr>
        <w:t> </w:t>
      </w:r>
      <w:r>
        <w:rPr/>
        <w:t>of</w:t>
      </w:r>
      <w:r>
        <w:rPr>
          <w:spacing w:val="-8"/>
        </w:rPr>
        <w:t> </w:t>
      </w:r>
      <w:r>
        <w:rPr/>
        <w:t>severe</w:t>
      </w:r>
      <w:r>
        <w:rPr>
          <w:spacing w:val="-7"/>
        </w:rPr>
        <w:t> </w:t>
      </w:r>
      <w:r>
        <w:rPr/>
        <w:t>or</w:t>
      </w:r>
      <w:r>
        <w:rPr>
          <w:spacing w:val="-7"/>
        </w:rPr>
        <w:t> </w:t>
      </w:r>
      <w:r>
        <w:rPr/>
        <w:t>fatal</w:t>
      </w:r>
      <w:r>
        <w:rPr>
          <w:spacing w:val="-8"/>
        </w:rPr>
        <w:t> </w:t>
      </w:r>
      <w:r>
        <w:rPr/>
        <w:t>foetal</w:t>
      </w:r>
      <w:r>
        <w:rPr>
          <w:spacing w:val="-8"/>
        </w:rPr>
        <w:t> </w:t>
      </w:r>
      <w:r>
        <w:rPr/>
        <w:t>abnormality-</w:t>
      </w:r>
      <w:r>
        <w:rPr>
          <w:spacing w:val="-8"/>
        </w:rPr>
        <w:t> </w:t>
      </w:r>
      <w:r>
        <w:rPr/>
        <w:t>until</w:t>
      </w:r>
      <w:r>
        <w:rPr>
          <w:spacing w:val="-7"/>
        </w:rPr>
        <w:t> </w:t>
      </w:r>
      <w:r>
        <w:rPr/>
        <w:t>late</w:t>
      </w:r>
      <w:r>
        <w:rPr>
          <w:spacing w:val="-7"/>
        </w:rPr>
        <w:t> </w:t>
      </w:r>
      <w:r>
        <w:rPr/>
        <w:t>in</w:t>
      </w:r>
      <w:r>
        <w:rPr>
          <w:spacing w:val="-7"/>
        </w:rPr>
        <w:t> </w:t>
      </w:r>
      <w:r>
        <w:rPr/>
        <w:t>the pregnancy, causing preventable harm).</w:t>
      </w:r>
      <w:r>
        <w:rPr>
          <w:vertAlign w:val="superscript"/>
        </w:rPr>
        <w:t>685</w:t>
      </w:r>
    </w:p>
    <w:p>
      <w:pPr>
        <w:pStyle w:val="BodyText"/>
        <w:spacing w:before="6"/>
        <w:rPr>
          <w:sz w:val="19"/>
        </w:rPr>
      </w:pPr>
      <w:r>
        <w:rPr/>
        <mc:AlternateContent>
          <mc:Choice Requires="wps">
            <w:drawing>
              <wp:anchor distT="0" distB="0" distL="0" distR="0" allowOverlap="1" layoutInCell="1" locked="0" behindDoc="1" simplePos="0" relativeHeight="487801344">
                <wp:simplePos x="0" y="0"/>
                <wp:positionH relativeFrom="page">
                  <wp:posOffset>899994</wp:posOffset>
                </wp:positionH>
                <wp:positionV relativeFrom="paragraph">
                  <wp:posOffset>166500</wp:posOffset>
                </wp:positionV>
                <wp:extent cx="6012180" cy="1232535"/>
                <wp:effectExtent l="0" t="0" r="0" b="0"/>
                <wp:wrapTopAndBottom/>
                <wp:docPr id="1114" name="Group 1114"/>
                <wp:cNvGraphicFramePr>
                  <a:graphicFrameLocks/>
                </wp:cNvGraphicFramePr>
                <a:graphic>
                  <a:graphicData uri="http://schemas.microsoft.com/office/word/2010/wordprocessingGroup">
                    <wpg:wgp>
                      <wpg:cNvPr id="1114" name="Group 1114"/>
                      <wpg:cNvGrpSpPr/>
                      <wpg:grpSpPr>
                        <a:xfrm>
                          <a:off x="0" y="0"/>
                          <a:ext cx="6012180" cy="1232535"/>
                          <a:chExt cx="6012180" cy="1232535"/>
                        </a:xfrm>
                      </wpg:grpSpPr>
                      <wps:wsp>
                        <wps:cNvPr id="1115" name="Graphic 1115"/>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116" name="Textbox 1116"/>
                        <wps:cNvSpPr txBox="1"/>
                        <wps:spPr>
                          <a:xfrm>
                            <a:off x="0" y="0"/>
                            <a:ext cx="6012180" cy="1232535"/>
                          </a:xfrm>
                          <a:prstGeom prst="rect">
                            <a:avLst/>
                          </a:prstGeom>
                        </wps:spPr>
                        <wps:txbx>
                          <w:txbxContent>
                            <w:p>
                              <w:pPr>
                                <w:spacing w:line="232" w:lineRule="auto" w:before="121"/>
                                <w:ind w:left="340" w:right="159" w:firstLine="0"/>
                                <w:jc w:val="left"/>
                                <w:rPr>
                                  <w:b/>
                                  <w:sz w:val="28"/>
                                </w:rPr>
                              </w:pPr>
                              <w:r>
                                <w:rPr>
                                  <w:b/>
                                  <w:color w:val="164194"/>
                                  <w:sz w:val="28"/>
                                </w:rPr>
                                <w:t>We recommend that, the Department for Communities, and other relevant NI Departments, consider developments in EU Gender policy where this may raise</w:t>
                              </w:r>
                              <w:r>
                                <w:rPr>
                                  <w:b/>
                                  <w:color w:val="164194"/>
                                  <w:spacing w:val="-5"/>
                                  <w:sz w:val="28"/>
                                </w:rPr>
                                <w:t> </w:t>
                              </w:r>
                              <w:r>
                                <w:rPr>
                                  <w:b/>
                                  <w:color w:val="164194"/>
                                  <w:sz w:val="28"/>
                                </w:rPr>
                                <w:t>issues</w:t>
                              </w:r>
                              <w:r>
                                <w:rPr>
                                  <w:b/>
                                  <w:color w:val="164194"/>
                                  <w:spacing w:val="-4"/>
                                  <w:sz w:val="28"/>
                                </w:rPr>
                                <w:t> </w:t>
                              </w:r>
                              <w:r>
                                <w:rPr>
                                  <w:b/>
                                  <w:color w:val="164194"/>
                                  <w:sz w:val="28"/>
                                </w:rPr>
                                <w:t>of</w:t>
                              </w:r>
                              <w:r>
                                <w:rPr>
                                  <w:b/>
                                  <w:color w:val="164194"/>
                                  <w:spacing w:val="-5"/>
                                  <w:sz w:val="28"/>
                                </w:rPr>
                                <w:t> </w:t>
                              </w:r>
                              <w:r>
                                <w:rPr>
                                  <w:b/>
                                  <w:color w:val="164194"/>
                                  <w:sz w:val="28"/>
                                </w:rPr>
                                <w:t>Article</w:t>
                              </w:r>
                              <w:r>
                                <w:rPr>
                                  <w:b/>
                                  <w:color w:val="164194"/>
                                  <w:spacing w:val="-5"/>
                                  <w:sz w:val="28"/>
                                </w:rPr>
                                <w:t> </w:t>
                              </w:r>
                              <w:r>
                                <w:rPr>
                                  <w:b/>
                                  <w:color w:val="164194"/>
                                  <w:sz w:val="28"/>
                                </w:rPr>
                                <w:t>2</w:t>
                              </w:r>
                              <w:r>
                                <w:rPr>
                                  <w:b/>
                                  <w:color w:val="164194"/>
                                  <w:spacing w:val="-4"/>
                                  <w:sz w:val="28"/>
                                </w:rPr>
                                <w:t> </w:t>
                              </w:r>
                              <w:r>
                                <w:rPr>
                                  <w:b/>
                                  <w:color w:val="164194"/>
                                  <w:sz w:val="28"/>
                                </w:rPr>
                                <w:t>WF</w:t>
                              </w:r>
                              <w:r>
                                <w:rPr>
                                  <w:b/>
                                  <w:color w:val="164194"/>
                                  <w:spacing w:val="-5"/>
                                  <w:sz w:val="28"/>
                                </w:rPr>
                                <w:t> </w:t>
                              </w:r>
                              <w:r>
                                <w:rPr>
                                  <w:b/>
                                  <w:color w:val="164194"/>
                                  <w:sz w:val="28"/>
                                </w:rPr>
                                <w:t>requirements</w:t>
                              </w:r>
                              <w:r>
                                <w:rPr>
                                  <w:b/>
                                  <w:color w:val="164194"/>
                                  <w:spacing w:val="-4"/>
                                  <w:sz w:val="28"/>
                                </w:rPr>
                                <w:t> </w:t>
                              </w:r>
                              <w:r>
                                <w:rPr>
                                  <w:b/>
                                  <w:color w:val="164194"/>
                                  <w:sz w:val="28"/>
                                </w:rPr>
                                <w:t>or</w:t>
                              </w:r>
                              <w:r>
                                <w:rPr>
                                  <w:b/>
                                  <w:color w:val="164194"/>
                                  <w:spacing w:val="-5"/>
                                  <w:sz w:val="28"/>
                                </w:rPr>
                                <w:t> </w:t>
                              </w:r>
                              <w:r>
                                <w:rPr>
                                  <w:b/>
                                  <w:color w:val="164194"/>
                                  <w:sz w:val="28"/>
                                </w:rPr>
                                <w:t>with</w:t>
                              </w:r>
                              <w:r>
                                <w:rPr>
                                  <w:b/>
                                  <w:color w:val="164194"/>
                                  <w:spacing w:val="-4"/>
                                  <w:sz w:val="28"/>
                                </w:rPr>
                                <w:t> </w:t>
                              </w:r>
                              <w:r>
                                <w:rPr>
                                  <w:b/>
                                  <w:color w:val="164194"/>
                                  <w:sz w:val="28"/>
                                </w:rPr>
                                <w:t>which</w:t>
                              </w:r>
                              <w:r>
                                <w:rPr>
                                  <w:b/>
                                  <w:color w:val="164194"/>
                                  <w:spacing w:val="-4"/>
                                  <w:sz w:val="28"/>
                                </w:rPr>
                                <w:t> </w:t>
                              </w:r>
                              <w:r>
                                <w:rPr>
                                  <w:b/>
                                  <w:color w:val="164194"/>
                                  <w:sz w:val="28"/>
                                </w:rPr>
                                <w:t>Northern</w:t>
                              </w:r>
                              <w:r>
                                <w:rPr>
                                  <w:b/>
                                  <w:color w:val="164194"/>
                                  <w:spacing w:val="-4"/>
                                  <w:sz w:val="28"/>
                                </w:rPr>
                                <w:t> </w:t>
                              </w:r>
                              <w:r>
                                <w:rPr>
                                  <w:b/>
                                  <w:color w:val="164194"/>
                                  <w:sz w:val="28"/>
                                </w:rPr>
                                <w:t>Ireland</w:t>
                              </w:r>
                              <w:r>
                                <w:rPr>
                                  <w:b/>
                                  <w:color w:val="164194"/>
                                  <w:spacing w:val="-4"/>
                                  <w:sz w:val="28"/>
                                </w:rPr>
                                <w:t> </w:t>
                              </w:r>
                              <w:r>
                                <w:rPr>
                                  <w:b/>
                                  <w:color w:val="164194"/>
                                  <w:sz w:val="28"/>
                                </w:rPr>
                                <w:t>may wish</w:t>
                              </w:r>
                              <w:r>
                                <w:rPr>
                                  <w:b/>
                                  <w:color w:val="164194"/>
                                  <w:spacing w:val="-8"/>
                                  <w:sz w:val="28"/>
                                </w:rPr>
                                <w:t> </w:t>
                              </w:r>
                              <w:r>
                                <w:rPr>
                                  <w:b/>
                                  <w:color w:val="164194"/>
                                  <w:sz w:val="28"/>
                                </w:rPr>
                                <w:t>to</w:t>
                              </w:r>
                              <w:r>
                                <w:rPr>
                                  <w:b/>
                                  <w:color w:val="164194"/>
                                  <w:spacing w:val="-8"/>
                                  <w:sz w:val="28"/>
                                </w:rPr>
                                <w:t> </w:t>
                              </w:r>
                              <w:r>
                                <w:rPr>
                                  <w:b/>
                                  <w:color w:val="164194"/>
                                  <w:sz w:val="28"/>
                                </w:rPr>
                                <w:t>voluntarily</w:t>
                              </w:r>
                              <w:r>
                                <w:rPr>
                                  <w:b/>
                                  <w:color w:val="164194"/>
                                  <w:spacing w:val="-8"/>
                                  <w:sz w:val="28"/>
                                </w:rPr>
                                <w:t> </w:t>
                              </w:r>
                              <w:r>
                                <w:rPr>
                                  <w:b/>
                                  <w:color w:val="164194"/>
                                  <w:sz w:val="28"/>
                                </w:rPr>
                                <w:t>align</w:t>
                              </w:r>
                              <w:r>
                                <w:rPr>
                                  <w:b/>
                                  <w:color w:val="164194"/>
                                  <w:spacing w:val="-8"/>
                                  <w:sz w:val="28"/>
                                </w:rPr>
                                <w:t> </w:t>
                              </w:r>
                              <w:r>
                                <w:rPr>
                                  <w:b/>
                                  <w:color w:val="164194"/>
                                  <w:sz w:val="28"/>
                                </w:rPr>
                                <w:t>where</w:t>
                              </w:r>
                              <w:r>
                                <w:rPr>
                                  <w:b/>
                                  <w:color w:val="164194"/>
                                  <w:spacing w:val="-9"/>
                                  <w:sz w:val="28"/>
                                </w:rPr>
                                <w:t> </w:t>
                              </w:r>
                              <w:r>
                                <w:rPr>
                                  <w:b/>
                                  <w:color w:val="164194"/>
                                  <w:sz w:val="28"/>
                                </w:rPr>
                                <w:t>it</w:t>
                              </w:r>
                              <w:r>
                                <w:rPr>
                                  <w:b/>
                                  <w:color w:val="164194"/>
                                  <w:spacing w:val="-8"/>
                                  <w:sz w:val="28"/>
                                </w:rPr>
                                <w:t> </w:t>
                              </w:r>
                              <w:r>
                                <w:rPr>
                                  <w:b/>
                                  <w:color w:val="164194"/>
                                  <w:sz w:val="28"/>
                                </w:rPr>
                                <w:t>strengthens</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reflects</w:t>
                              </w:r>
                              <w:r>
                                <w:rPr>
                                  <w:b/>
                                  <w:color w:val="164194"/>
                                  <w:spacing w:val="-8"/>
                                  <w:sz w:val="28"/>
                                </w:rPr>
                                <w:t> </w:t>
                              </w:r>
                              <w:r>
                                <w:rPr>
                                  <w:b/>
                                  <w:color w:val="164194"/>
                                  <w:sz w:val="28"/>
                                </w:rPr>
                                <w:t>international human rights standards and best practice.</w:t>
                              </w:r>
                            </w:p>
                          </w:txbxContent>
                        </wps:txbx>
                        <wps:bodyPr wrap="square" lIns="0" tIns="0" rIns="0" bIns="0" rtlCol="0">
                          <a:noAutofit/>
                        </wps:bodyPr>
                      </wps:wsp>
                    </wpg:wgp>
                  </a:graphicData>
                </a:graphic>
              </wp:anchor>
            </w:drawing>
          </mc:Choice>
          <mc:Fallback>
            <w:pict>
              <v:group style="position:absolute;margin-left:70.8657pt;margin-top:13.110271pt;width:473.4pt;height:97.05pt;mso-position-horizontal-relative:page;mso-position-vertical-relative:paragraph;z-index:-15515136;mso-wrap-distance-left:0;mso-wrap-distance-right:0" id="docshapegroup918" coordorigin="1417,262" coordsize="9468,1941">
                <v:shape style="position:absolute;left:1417;top:262;width:9468;height:1941" id="docshape919" coordorigin="1417,262" coordsize="9468,1941" path="m10658,262l1644,262,1572,274,1510,306,1461,355,1429,417,1417,489,1417,1976,1429,2047,1461,2110,1510,2159,1572,2191,1644,2202,10658,2202,10730,2191,10792,2159,10841,2110,10873,2047,10885,1976,10885,489,10873,417,10841,355,10792,306,10730,274,10658,262xe" filled="true" fillcolor="#e9f3fc" stroked="false">
                  <v:path arrowok="t"/>
                  <v:fill type="solid"/>
                </v:shape>
                <v:shape style="position:absolute;left:1417;top:262;width:9468;height:1941" type="#_x0000_t202" id="docshape920" filled="false" stroked="false">
                  <v:textbox inset="0,0,0,0">
                    <w:txbxContent>
                      <w:p>
                        <w:pPr>
                          <w:spacing w:line="232" w:lineRule="auto" w:before="121"/>
                          <w:ind w:left="340" w:right="159" w:firstLine="0"/>
                          <w:jc w:val="left"/>
                          <w:rPr>
                            <w:b/>
                            <w:sz w:val="28"/>
                          </w:rPr>
                        </w:pPr>
                        <w:r>
                          <w:rPr>
                            <w:b/>
                            <w:color w:val="164194"/>
                            <w:sz w:val="28"/>
                          </w:rPr>
                          <w:t>We recommend that, the Department for Communities, and other relevant NI Departments, consider developments in EU Gender policy where this may raise</w:t>
                        </w:r>
                        <w:r>
                          <w:rPr>
                            <w:b/>
                            <w:color w:val="164194"/>
                            <w:spacing w:val="-5"/>
                            <w:sz w:val="28"/>
                          </w:rPr>
                          <w:t> </w:t>
                        </w:r>
                        <w:r>
                          <w:rPr>
                            <w:b/>
                            <w:color w:val="164194"/>
                            <w:sz w:val="28"/>
                          </w:rPr>
                          <w:t>issues</w:t>
                        </w:r>
                        <w:r>
                          <w:rPr>
                            <w:b/>
                            <w:color w:val="164194"/>
                            <w:spacing w:val="-4"/>
                            <w:sz w:val="28"/>
                          </w:rPr>
                          <w:t> </w:t>
                        </w:r>
                        <w:r>
                          <w:rPr>
                            <w:b/>
                            <w:color w:val="164194"/>
                            <w:sz w:val="28"/>
                          </w:rPr>
                          <w:t>of</w:t>
                        </w:r>
                        <w:r>
                          <w:rPr>
                            <w:b/>
                            <w:color w:val="164194"/>
                            <w:spacing w:val="-5"/>
                            <w:sz w:val="28"/>
                          </w:rPr>
                          <w:t> </w:t>
                        </w:r>
                        <w:r>
                          <w:rPr>
                            <w:b/>
                            <w:color w:val="164194"/>
                            <w:sz w:val="28"/>
                          </w:rPr>
                          <w:t>Article</w:t>
                        </w:r>
                        <w:r>
                          <w:rPr>
                            <w:b/>
                            <w:color w:val="164194"/>
                            <w:spacing w:val="-5"/>
                            <w:sz w:val="28"/>
                          </w:rPr>
                          <w:t> </w:t>
                        </w:r>
                        <w:r>
                          <w:rPr>
                            <w:b/>
                            <w:color w:val="164194"/>
                            <w:sz w:val="28"/>
                          </w:rPr>
                          <w:t>2</w:t>
                        </w:r>
                        <w:r>
                          <w:rPr>
                            <w:b/>
                            <w:color w:val="164194"/>
                            <w:spacing w:val="-4"/>
                            <w:sz w:val="28"/>
                          </w:rPr>
                          <w:t> </w:t>
                        </w:r>
                        <w:r>
                          <w:rPr>
                            <w:b/>
                            <w:color w:val="164194"/>
                            <w:sz w:val="28"/>
                          </w:rPr>
                          <w:t>WF</w:t>
                        </w:r>
                        <w:r>
                          <w:rPr>
                            <w:b/>
                            <w:color w:val="164194"/>
                            <w:spacing w:val="-5"/>
                            <w:sz w:val="28"/>
                          </w:rPr>
                          <w:t> </w:t>
                        </w:r>
                        <w:r>
                          <w:rPr>
                            <w:b/>
                            <w:color w:val="164194"/>
                            <w:sz w:val="28"/>
                          </w:rPr>
                          <w:t>requirements</w:t>
                        </w:r>
                        <w:r>
                          <w:rPr>
                            <w:b/>
                            <w:color w:val="164194"/>
                            <w:spacing w:val="-4"/>
                            <w:sz w:val="28"/>
                          </w:rPr>
                          <w:t> </w:t>
                        </w:r>
                        <w:r>
                          <w:rPr>
                            <w:b/>
                            <w:color w:val="164194"/>
                            <w:sz w:val="28"/>
                          </w:rPr>
                          <w:t>or</w:t>
                        </w:r>
                        <w:r>
                          <w:rPr>
                            <w:b/>
                            <w:color w:val="164194"/>
                            <w:spacing w:val="-5"/>
                            <w:sz w:val="28"/>
                          </w:rPr>
                          <w:t> </w:t>
                        </w:r>
                        <w:r>
                          <w:rPr>
                            <w:b/>
                            <w:color w:val="164194"/>
                            <w:sz w:val="28"/>
                          </w:rPr>
                          <w:t>with</w:t>
                        </w:r>
                        <w:r>
                          <w:rPr>
                            <w:b/>
                            <w:color w:val="164194"/>
                            <w:spacing w:val="-4"/>
                            <w:sz w:val="28"/>
                          </w:rPr>
                          <w:t> </w:t>
                        </w:r>
                        <w:r>
                          <w:rPr>
                            <w:b/>
                            <w:color w:val="164194"/>
                            <w:sz w:val="28"/>
                          </w:rPr>
                          <w:t>which</w:t>
                        </w:r>
                        <w:r>
                          <w:rPr>
                            <w:b/>
                            <w:color w:val="164194"/>
                            <w:spacing w:val="-4"/>
                            <w:sz w:val="28"/>
                          </w:rPr>
                          <w:t> </w:t>
                        </w:r>
                        <w:r>
                          <w:rPr>
                            <w:b/>
                            <w:color w:val="164194"/>
                            <w:sz w:val="28"/>
                          </w:rPr>
                          <w:t>Northern</w:t>
                        </w:r>
                        <w:r>
                          <w:rPr>
                            <w:b/>
                            <w:color w:val="164194"/>
                            <w:spacing w:val="-4"/>
                            <w:sz w:val="28"/>
                          </w:rPr>
                          <w:t> </w:t>
                        </w:r>
                        <w:r>
                          <w:rPr>
                            <w:b/>
                            <w:color w:val="164194"/>
                            <w:sz w:val="28"/>
                          </w:rPr>
                          <w:t>Ireland</w:t>
                        </w:r>
                        <w:r>
                          <w:rPr>
                            <w:b/>
                            <w:color w:val="164194"/>
                            <w:spacing w:val="-4"/>
                            <w:sz w:val="28"/>
                          </w:rPr>
                          <w:t> </w:t>
                        </w:r>
                        <w:r>
                          <w:rPr>
                            <w:b/>
                            <w:color w:val="164194"/>
                            <w:sz w:val="28"/>
                          </w:rPr>
                          <w:t>may wish</w:t>
                        </w:r>
                        <w:r>
                          <w:rPr>
                            <w:b/>
                            <w:color w:val="164194"/>
                            <w:spacing w:val="-8"/>
                            <w:sz w:val="28"/>
                          </w:rPr>
                          <w:t> </w:t>
                        </w:r>
                        <w:r>
                          <w:rPr>
                            <w:b/>
                            <w:color w:val="164194"/>
                            <w:sz w:val="28"/>
                          </w:rPr>
                          <w:t>to</w:t>
                        </w:r>
                        <w:r>
                          <w:rPr>
                            <w:b/>
                            <w:color w:val="164194"/>
                            <w:spacing w:val="-8"/>
                            <w:sz w:val="28"/>
                          </w:rPr>
                          <w:t> </w:t>
                        </w:r>
                        <w:r>
                          <w:rPr>
                            <w:b/>
                            <w:color w:val="164194"/>
                            <w:sz w:val="28"/>
                          </w:rPr>
                          <w:t>voluntarily</w:t>
                        </w:r>
                        <w:r>
                          <w:rPr>
                            <w:b/>
                            <w:color w:val="164194"/>
                            <w:spacing w:val="-8"/>
                            <w:sz w:val="28"/>
                          </w:rPr>
                          <w:t> </w:t>
                        </w:r>
                        <w:r>
                          <w:rPr>
                            <w:b/>
                            <w:color w:val="164194"/>
                            <w:sz w:val="28"/>
                          </w:rPr>
                          <w:t>align</w:t>
                        </w:r>
                        <w:r>
                          <w:rPr>
                            <w:b/>
                            <w:color w:val="164194"/>
                            <w:spacing w:val="-8"/>
                            <w:sz w:val="28"/>
                          </w:rPr>
                          <w:t> </w:t>
                        </w:r>
                        <w:r>
                          <w:rPr>
                            <w:b/>
                            <w:color w:val="164194"/>
                            <w:sz w:val="28"/>
                          </w:rPr>
                          <w:t>where</w:t>
                        </w:r>
                        <w:r>
                          <w:rPr>
                            <w:b/>
                            <w:color w:val="164194"/>
                            <w:spacing w:val="-9"/>
                            <w:sz w:val="28"/>
                          </w:rPr>
                          <w:t> </w:t>
                        </w:r>
                        <w:r>
                          <w:rPr>
                            <w:b/>
                            <w:color w:val="164194"/>
                            <w:sz w:val="28"/>
                          </w:rPr>
                          <w:t>it</w:t>
                        </w:r>
                        <w:r>
                          <w:rPr>
                            <w:b/>
                            <w:color w:val="164194"/>
                            <w:spacing w:val="-8"/>
                            <w:sz w:val="28"/>
                          </w:rPr>
                          <w:t> </w:t>
                        </w:r>
                        <w:r>
                          <w:rPr>
                            <w:b/>
                            <w:color w:val="164194"/>
                            <w:sz w:val="28"/>
                          </w:rPr>
                          <w:t>strengthens</w:t>
                        </w:r>
                        <w:r>
                          <w:rPr>
                            <w:b/>
                            <w:color w:val="164194"/>
                            <w:spacing w:val="-8"/>
                            <w:sz w:val="28"/>
                          </w:rPr>
                          <w:t> </w:t>
                        </w:r>
                        <w:r>
                          <w:rPr>
                            <w:b/>
                            <w:color w:val="164194"/>
                            <w:sz w:val="28"/>
                          </w:rPr>
                          <w:t>rights</w:t>
                        </w:r>
                        <w:r>
                          <w:rPr>
                            <w:b/>
                            <w:color w:val="164194"/>
                            <w:spacing w:val="-8"/>
                            <w:sz w:val="28"/>
                          </w:rPr>
                          <w:t> </w:t>
                        </w:r>
                        <w:r>
                          <w:rPr>
                            <w:b/>
                            <w:color w:val="164194"/>
                            <w:sz w:val="28"/>
                          </w:rPr>
                          <w:t>and</w:t>
                        </w:r>
                        <w:r>
                          <w:rPr>
                            <w:b/>
                            <w:color w:val="164194"/>
                            <w:spacing w:val="-8"/>
                            <w:sz w:val="28"/>
                          </w:rPr>
                          <w:t> </w:t>
                        </w:r>
                        <w:r>
                          <w:rPr>
                            <w:b/>
                            <w:color w:val="164194"/>
                            <w:sz w:val="28"/>
                          </w:rPr>
                          <w:t>reflects</w:t>
                        </w:r>
                        <w:r>
                          <w:rPr>
                            <w:b/>
                            <w:color w:val="164194"/>
                            <w:spacing w:val="-8"/>
                            <w:sz w:val="28"/>
                          </w:rPr>
                          <w:t> </w:t>
                        </w:r>
                        <w:r>
                          <w:rPr>
                            <w:b/>
                            <w:color w:val="164194"/>
                            <w:sz w:val="28"/>
                          </w:rPr>
                          <w:t>international human rights standards and best practice.</w:t>
                        </w:r>
                      </w:p>
                    </w:txbxContent>
                  </v:textbox>
                  <w10:wrap type="none"/>
                </v:shape>
                <w10:wrap type="topAndBottom"/>
              </v:group>
            </w:pict>
          </mc:Fallback>
        </mc:AlternateContent>
      </w:r>
    </w:p>
    <w:p>
      <w:pPr>
        <w:pStyle w:val="BodyText"/>
        <w:spacing w:before="1"/>
      </w:pPr>
    </w:p>
    <w:p>
      <w:pPr>
        <w:pStyle w:val="Heading3"/>
        <w:numPr>
          <w:ilvl w:val="2"/>
          <w:numId w:val="58"/>
        </w:numPr>
        <w:tabs>
          <w:tab w:pos="1755" w:val="left" w:leader="none"/>
        </w:tabs>
        <w:spacing w:line="336" w:lineRule="exact" w:before="0" w:after="0"/>
        <w:ind w:left="1755" w:right="0" w:hanging="638"/>
        <w:jc w:val="left"/>
      </w:pPr>
      <w:r>
        <w:rPr>
          <w:color w:val="004A93"/>
        </w:rPr>
        <w:t>Race</w:t>
      </w:r>
      <w:r>
        <w:rPr>
          <w:color w:val="004A93"/>
          <w:spacing w:val="-6"/>
        </w:rPr>
        <w:t> </w:t>
      </w:r>
      <w:r>
        <w:rPr>
          <w:color w:val="004A93"/>
          <w:spacing w:val="-2"/>
        </w:rPr>
        <w:t>equality</w:t>
      </w:r>
    </w:p>
    <w:p>
      <w:pPr>
        <w:pStyle w:val="BodyText"/>
        <w:spacing w:line="232" w:lineRule="auto" w:before="3"/>
        <w:ind w:left="1117" w:right="738"/>
      </w:pPr>
      <w:r>
        <w:rPr/>
        <w:t>We</w:t>
      </w:r>
      <w:r>
        <w:rPr>
          <w:spacing w:val="-1"/>
        </w:rPr>
        <w:t> </w:t>
      </w:r>
      <w:r>
        <w:rPr/>
        <w:t>note</w:t>
      </w:r>
      <w:r>
        <w:rPr>
          <w:spacing w:val="-1"/>
        </w:rPr>
        <w:t> </w:t>
      </w:r>
      <w:r>
        <w:rPr/>
        <w:t>that</w:t>
      </w:r>
      <w:r>
        <w:rPr>
          <w:spacing w:val="-1"/>
        </w:rPr>
        <w:t> </w:t>
      </w:r>
      <w:r>
        <w:rPr/>
        <w:t>the</w:t>
      </w:r>
      <w:r>
        <w:rPr>
          <w:spacing w:val="-1"/>
        </w:rPr>
        <w:t> </w:t>
      </w:r>
      <w:r>
        <w:rPr/>
        <w:t>EU</w:t>
      </w:r>
      <w:r>
        <w:rPr>
          <w:spacing w:val="-1"/>
        </w:rPr>
        <w:t> </w:t>
      </w:r>
      <w:r>
        <w:rPr/>
        <w:t>has</w:t>
      </w:r>
      <w:r>
        <w:rPr>
          <w:spacing w:val="-2"/>
        </w:rPr>
        <w:t> </w:t>
      </w:r>
      <w:r>
        <w:rPr/>
        <w:t>also</w:t>
      </w:r>
      <w:r>
        <w:rPr>
          <w:spacing w:val="-2"/>
        </w:rPr>
        <w:t> </w:t>
      </w:r>
      <w:r>
        <w:rPr/>
        <w:t>begun</w:t>
      </w:r>
      <w:r>
        <w:rPr>
          <w:spacing w:val="-2"/>
        </w:rPr>
        <w:t> </w:t>
      </w:r>
      <w:r>
        <w:rPr/>
        <w:t>considerable</w:t>
      </w:r>
      <w:r>
        <w:rPr>
          <w:spacing w:val="-1"/>
        </w:rPr>
        <w:t> </w:t>
      </w:r>
      <w:r>
        <w:rPr/>
        <w:t>work</w:t>
      </w:r>
      <w:r>
        <w:rPr>
          <w:spacing w:val="-1"/>
        </w:rPr>
        <w:t> </w:t>
      </w:r>
      <w:r>
        <w:rPr/>
        <w:t>in</w:t>
      </w:r>
      <w:r>
        <w:rPr>
          <w:spacing w:val="-2"/>
        </w:rPr>
        <w:t> </w:t>
      </w:r>
      <w:r>
        <w:rPr/>
        <w:t>the</w:t>
      </w:r>
      <w:r>
        <w:rPr>
          <w:spacing w:val="-1"/>
        </w:rPr>
        <w:t> </w:t>
      </w:r>
      <w:r>
        <w:rPr/>
        <w:t>area</w:t>
      </w:r>
      <w:r>
        <w:rPr>
          <w:spacing w:val="-2"/>
        </w:rPr>
        <w:t> </w:t>
      </w:r>
      <w:r>
        <w:rPr/>
        <w:t>of</w:t>
      </w:r>
      <w:r>
        <w:rPr>
          <w:spacing w:val="-2"/>
        </w:rPr>
        <w:t> </w:t>
      </w:r>
      <w:r>
        <w:rPr/>
        <w:t>race</w:t>
      </w:r>
      <w:r>
        <w:rPr>
          <w:spacing w:val="-1"/>
        </w:rPr>
        <w:t> </w:t>
      </w:r>
      <w:r>
        <w:rPr/>
        <w:t>equality. The EU Anti-racism Action Plan provides a comprehensive overview of racial equality measures and notes possible problems.</w:t>
      </w:r>
      <w:r>
        <w:rPr>
          <w:vertAlign w:val="superscript"/>
        </w:rPr>
        <w:t>686</w:t>
      </w:r>
      <w:r>
        <w:rPr>
          <w:vertAlign w:val="baseline"/>
        </w:rPr>
        <w:t> The Plan highlights that racism takes different forms including unconscious bias and structural racism.</w:t>
      </w:r>
      <w:r>
        <w:rPr>
          <w:vertAlign w:val="superscript"/>
        </w:rPr>
        <w:t>687</w:t>
      </w:r>
      <w:r>
        <w:rPr>
          <w:vertAlign w:val="baseline"/>
        </w:rPr>
        <w:t> The Plan also commits the European Commission to lobby for its 2008 proposals to extend EU anti-discrimination rules on religion or belief, age, sexual orientation and disability</w:t>
      </w:r>
      <w:r>
        <w:rPr>
          <w:spacing w:val="-7"/>
          <w:vertAlign w:val="baseline"/>
        </w:rPr>
        <w:t> </w:t>
      </w:r>
      <w:r>
        <w:rPr>
          <w:vertAlign w:val="baseline"/>
        </w:rPr>
        <w:t>to</w:t>
      </w:r>
      <w:r>
        <w:rPr>
          <w:spacing w:val="-8"/>
          <w:vertAlign w:val="baseline"/>
        </w:rPr>
        <w:t> </w:t>
      </w:r>
      <w:r>
        <w:rPr>
          <w:vertAlign w:val="baseline"/>
        </w:rPr>
        <w:t>areas</w:t>
      </w:r>
      <w:r>
        <w:rPr>
          <w:spacing w:val="-8"/>
          <w:vertAlign w:val="baseline"/>
        </w:rPr>
        <w:t> </w:t>
      </w:r>
      <w:r>
        <w:rPr>
          <w:vertAlign w:val="baseline"/>
        </w:rPr>
        <w:t>beyond</w:t>
      </w:r>
      <w:r>
        <w:rPr>
          <w:spacing w:val="-8"/>
          <w:vertAlign w:val="baseline"/>
        </w:rPr>
        <w:t> </w:t>
      </w:r>
      <w:r>
        <w:rPr>
          <w:vertAlign w:val="baseline"/>
        </w:rPr>
        <w:t>employment</w:t>
      </w:r>
      <w:r>
        <w:rPr>
          <w:spacing w:val="-7"/>
          <w:vertAlign w:val="baseline"/>
        </w:rPr>
        <w:t> </w:t>
      </w:r>
      <w:r>
        <w:rPr>
          <w:vertAlign w:val="baseline"/>
        </w:rPr>
        <w:t>and</w:t>
      </w:r>
      <w:r>
        <w:rPr>
          <w:spacing w:val="-8"/>
          <w:vertAlign w:val="baseline"/>
        </w:rPr>
        <w:t> </w:t>
      </w:r>
      <w:r>
        <w:rPr>
          <w:vertAlign w:val="baseline"/>
        </w:rPr>
        <w:t>training.</w:t>
      </w:r>
      <w:r>
        <w:rPr>
          <w:vertAlign w:val="superscript"/>
        </w:rPr>
        <w:t>688</w:t>
      </w:r>
      <w:r>
        <w:rPr>
          <w:spacing w:val="-8"/>
          <w:vertAlign w:val="baseline"/>
        </w:rPr>
        <w:t> </w:t>
      </w:r>
      <w:r>
        <w:rPr>
          <w:vertAlign w:val="baseline"/>
        </w:rPr>
        <w:t>The</w:t>
      </w:r>
      <w:r>
        <w:rPr>
          <w:spacing w:val="-7"/>
          <w:vertAlign w:val="baseline"/>
        </w:rPr>
        <w:t> </w:t>
      </w:r>
      <w:r>
        <w:rPr>
          <w:vertAlign w:val="baseline"/>
        </w:rPr>
        <w:t>Plan</w:t>
      </w:r>
      <w:r>
        <w:rPr>
          <w:spacing w:val="-8"/>
          <w:vertAlign w:val="baseline"/>
        </w:rPr>
        <w:t> </w:t>
      </w:r>
      <w:r>
        <w:rPr>
          <w:vertAlign w:val="baseline"/>
        </w:rPr>
        <w:t>highlights</w:t>
      </w:r>
      <w:r>
        <w:rPr>
          <w:spacing w:val="-8"/>
          <w:vertAlign w:val="baseline"/>
        </w:rPr>
        <w:t> </w:t>
      </w:r>
      <w:r>
        <w:rPr>
          <w:vertAlign w:val="baseline"/>
        </w:rPr>
        <w:t>the</w:t>
      </w:r>
      <w:r>
        <w:rPr>
          <w:spacing w:val="-7"/>
          <w:vertAlign w:val="baseline"/>
        </w:rPr>
        <w:t> </w:t>
      </w:r>
      <w:r>
        <w:rPr>
          <w:vertAlign w:val="baseline"/>
        </w:rPr>
        <w:t>need to combat hatred and notes EU initiatives such as the Audiovisual Media Services Directive, Digital Services Act and a voluntary code of conduct on combating</w:t>
      </w:r>
    </w:p>
    <w:p>
      <w:pPr>
        <w:pStyle w:val="BodyText"/>
        <w:spacing w:line="232" w:lineRule="auto"/>
        <w:ind w:left="1117" w:right="955"/>
      </w:pPr>
      <w:r>
        <w:rPr/>
        <w:t>online racial hatred.</w:t>
      </w:r>
      <w:r>
        <w:rPr>
          <w:vertAlign w:val="superscript"/>
        </w:rPr>
        <w:t>689</w:t>
      </w:r>
      <w:r>
        <w:rPr>
          <w:vertAlign w:val="baseline"/>
        </w:rPr>
        <w:t> The Plan notes new challenges for racial equality such as</w:t>
      </w:r>
      <w:r>
        <w:rPr>
          <w:vertAlign w:val="baseline"/>
        </w:rPr>
        <w:t> in</w:t>
      </w:r>
      <w:r>
        <w:rPr>
          <w:spacing w:val="-10"/>
          <w:vertAlign w:val="baseline"/>
        </w:rPr>
        <w:t> </w:t>
      </w:r>
      <w:r>
        <w:rPr>
          <w:vertAlign w:val="baseline"/>
        </w:rPr>
        <w:t>the</w:t>
      </w:r>
      <w:r>
        <w:rPr>
          <w:spacing w:val="-9"/>
          <w:vertAlign w:val="baseline"/>
        </w:rPr>
        <w:t> </w:t>
      </w:r>
      <w:r>
        <w:rPr>
          <w:vertAlign w:val="baseline"/>
        </w:rPr>
        <w:t>development</w:t>
      </w:r>
      <w:r>
        <w:rPr>
          <w:spacing w:val="-9"/>
          <w:vertAlign w:val="baseline"/>
        </w:rPr>
        <w:t> </w:t>
      </w:r>
      <w:r>
        <w:rPr>
          <w:vertAlign w:val="baseline"/>
        </w:rPr>
        <w:t>of</w:t>
      </w:r>
      <w:r>
        <w:rPr>
          <w:spacing w:val="-10"/>
          <w:vertAlign w:val="baseline"/>
        </w:rPr>
        <w:t> </w:t>
      </w:r>
      <w:r>
        <w:rPr>
          <w:vertAlign w:val="baseline"/>
        </w:rPr>
        <w:t>Artificial</w:t>
      </w:r>
      <w:r>
        <w:rPr>
          <w:spacing w:val="-10"/>
          <w:vertAlign w:val="baseline"/>
        </w:rPr>
        <w:t> </w:t>
      </w:r>
      <w:r>
        <w:rPr>
          <w:vertAlign w:val="baseline"/>
        </w:rPr>
        <w:t>Intelligence</w:t>
      </w:r>
      <w:r>
        <w:rPr>
          <w:spacing w:val="-9"/>
          <w:vertAlign w:val="baseline"/>
        </w:rPr>
        <w:t> </w:t>
      </w:r>
      <w:r>
        <w:rPr>
          <w:vertAlign w:val="baseline"/>
        </w:rPr>
        <w:t>programmes.</w:t>
      </w:r>
      <w:r>
        <w:rPr>
          <w:vertAlign w:val="superscript"/>
        </w:rPr>
        <w:t>690</w:t>
      </w:r>
      <w:r>
        <w:rPr>
          <w:spacing w:val="-10"/>
          <w:vertAlign w:val="baseline"/>
        </w:rPr>
        <w:t> </w:t>
      </w:r>
      <w:r>
        <w:rPr>
          <w:vertAlign w:val="baseline"/>
        </w:rPr>
        <w:t>The</w:t>
      </w:r>
      <w:r>
        <w:rPr>
          <w:spacing w:val="-9"/>
          <w:vertAlign w:val="baseline"/>
        </w:rPr>
        <w:t> </w:t>
      </w:r>
      <w:r>
        <w:rPr>
          <w:vertAlign w:val="baseline"/>
        </w:rPr>
        <w:t>Plan</w:t>
      </w:r>
      <w:r>
        <w:rPr>
          <w:spacing w:val="-10"/>
          <w:vertAlign w:val="baseline"/>
        </w:rPr>
        <w:t> </w:t>
      </w:r>
      <w:r>
        <w:rPr>
          <w:vertAlign w:val="baseline"/>
        </w:rPr>
        <w:t>also</w:t>
      </w:r>
      <w:r>
        <w:rPr>
          <w:spacing w:val="-10"/>
          <w:vertAlign w:val="baseline"/>
        </w:rPr>
        <w:t> </w:t>
      </w:r>
      <w:r>
        <w:rPr>
          <w:vertAlign w:val="baseline"/>
        </w:rPr>
        <w:t>stresses the need for anti-racism to be pursued within a wider framework that considers structural racism, the need to confront history (colonialism, slavery and the Holocaust), and the need to address social fairness for everyone; tackling racism</w:t>
      </w:r>
    </w:p>
    <w:p>
      <w:pPr>
        <w:pStyle w:val="BodyText"/>
        <w:spacing w:line="232" w:lineRule="auto"/>
        <w:ind w:left="1117" w:right="738"/>
      </w:pPr>
      <w:r>
        <w:rPr/>
        <w:t>will</w:t>
      </w:r>
      <w:r>
        <w:rPr>
          <w:spacing w:val="-9"/>
        </w:rPr>
        <w:t> </w:t>
      </w:r>
      <w:r>
        <w:rPr/>
        <w:t>require</w:t>
      </w:r>
      <w:r>
        <w:rPr>
          <w:spacing w:val="-8"/>
        </w:rPr>
        <w:t> </w:t>
      </w:r>
      <w:r>
        <w:rPr/>
        <w:t>an</w:t>
      </w:r>
      <w:r>
        <w:rPr>
          <w:spacing w:val="-9"/>
        </w:rPr>
        <w:t> </w:t>
      </w:r>
      <w:r>
        <w:rPr/>
        <w:t>intersectional</w:t>
      </w:r>
      <w:r>
        <w:rPr>
          <w:spacing w:val="-9"/>
        </w:rPr>
        <w:t> </w:t>
      </w:r>
      <w:r>
        <w:rPr/>
        <w:t>lens.</w:t>
      </w:r>
      <w:r>
        <w:rPr>
          <w:vertAlign w:val="superscript"/>
        </w:rPr>
        <w:t>691</w:t>
      </w:r>
      <w:r>
        <w:rPr>
          <w:spacing w:val="-9"/>
          <w:vertAlign w:val="baseline"/>
        </w:rPr>
        <w:t> </w:t>
      </w:r>
      <w:r>
        <w:rPr>
          <w:vertAlign w:val="baseline"/>
        </w:rPr>
        <w:t>The</w:t>
      </w:r>
      <w:r>
        <w:rPr>
          <w:spacing w:val="-8"/>
          <w:vertAlign w:val="baseline"/>
        </w:rPr>
        <w:t> </w:t>
      </w:r>
      <w:r>
        <w:rPr>
          <w:vertAlign w:val="baseline"/>
        </w:rPr>
        <w:t>Commission</w:t>
      </w:r>
      <w:r>
        <w:rPr>
          <w:spacing w:val="-9"/>
          <w:vertAlign w:val="baseline"/>
        </w:rPr>
        <w:t> </w:t>
      </w:r>
      <w:r>
        <w:rPr>
          <w:vertAlign w:val="baseline"/>
        </w:rPr>
        <w:t>has</w:t>
      </w:r>
      <w:r>
        <w:rPr>
          <w:spacing w:val="-9"/>
          <w:vertAlign w:val="baseline"/>
        </w:rPr>
        <w:t> </w:t>
      </w:r>
      <w:r>
        <w:rPr>
          <w:vertAlign w:val="baseline"/>
        </w:rPr>
        <w:t>also</w:t>
      </w:r>
      <w:r>
        <w:rPr>
          <w:spacing w:val="-9"/>
          <w:vertAlign w:val="baseline"/>
        </w:rPr>
        <w:t> </w:t>
      </w:r>
      <w:r>
        <w:rPr>
          <w:vertAlign w:val="baseline"/>
        </w:rPr>
        <w:t>published</w:t>
      </w:r>
      <w:r>
        <w:rPr>
          <w:spacing w:val="-9"/>
          <w:vertAlign w:val="baseline"/>
        </w:rPr>
        <w:t> </w:t>
      </w:r>
      <w:r>
        <w:rPr>
          <w:vertAlign w:val="baseline"/>
        </w:rPr>
        <w:t>a</w:t>
      </w:r>
      <w:r>
        <w:rPr>
          <w:spacing w:val="-9"/>
          <w:vertAlign w:val="baseline"/>
        </w:rPr>
        <w:t> </w:t>
      </w:r>
      <w:r>
        <w:rPr>
          <w:vertAlign w:val="baseline"/>
        </w:rPr>
        <w:t>separate EU Roma Strategic Framework to promote equality, inclusion and participation.</w:t>
      </w:r>
      <w:r>
        <w:rPr>
          <w:vertAlign w:val="superscript"/>
        </w:rPr>
        <w:t>692</w:t>
      </w:r>
    </w:p>
    <w:p>
      <w:pPr>
        <w:pStyle w:val="BodyText"/>
        <w:rPr>
          <w:sz w:val="20"/>
        </w:rPr>
      </w:pPr>
    </w:p>
    <w:p>
      <w:pPr>
        <w:pStyle w:val="BodyText"/>
        <w:rPr>
          <w:sz w:val="20"/>
        </w:rPr>
      </w:pPr>
    </w:p>
    <w:p>
      <w:pPr>
        <w:pStyle w:val="BodyText"/>
        <w:rPr>
          <w:sz w:val="20"/>
        </w:rPr>
      </w:pPr>
    </w:p>
    <w:p>
      <w:pPr>
        <w:pStyle w:val="BodyText"/>
        <w:spacing w:before="232"/>
        <w:rPr>
          <w:sz w:val="20"/>
        </w:rPr>
      </w:pPr>
      <w:r>
        <w:rPr/>
        <mc:AlternateContent>
          <mc:Choice Requires="wps">
            <w:drawing>
              <wp:anchor distT="0" distB="0" distL="0" distR="0" allowOverlap="1" layoutInCell="1" locked="0" behindDoc="1" simplePos="0" relativeHeight="487801856">
                <wp:simplePos x="0" y="0"/>
                <wp:positionH relativeFrom="page">
                  <wp:posOffset>899999</wp:posOffset>
                </wp:positionH>
                <wp:positionV relativeFrom="paragraph">
                  <wp:posOffset>317997</wp:posOffset>
                </wp:positionV>
                <wp:extent cx="6012180" cy="1270"/>
                <wp:effectExtent l="0" t="0" r="0" b="0"/>
                <wp:wrapTopAndBottom/>
                <wp:docPr id="1117" name="Graphic 1117"/>
                <wp:cNvGraphicFramePr>
                  <a:graphicFrameLocks/>
                </wp:cNvGraphicFramePr>
                <a:graphic>
                  <a:graphicData uri="http://schemas.microsoft.com/office/word/2010/wordprocessingShape">
                    <wps:wsp>
                      <wps:cNvPr id="1117" name="Graphic 1117"/>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5.039165pt;width:473.4pt;height:.1pt;mso-position-horizontal-relative:page;mso-position-vertical-relative:paragraph;z-index:-15514624;mso-wrap-distance-left:0;mso-wrap-distance-right:0" id="docshape921" coordorigin="1417,501" coordsize="9468,0" path="m1417,501l10885,501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z w:val="18"/>
        </w:rPr>
        <w:t>Lougarre,</w:t>
      </w:r>
      <w:r>
        <w:rPr>
          <w:spacing w:val="-8"/>
          <w:sz w:val="18"/>
        </w:rPr>
        <w:t> </w:t>
      </w:r>
      <w:r>
        <w:rPr>
          <w:sz w:val="18"/>
        </w:rPr>
        <w:t>Heaney</w:t>
      </w:r>
      <w:r>
        <w:rPr>
          <w:spacing w:val="-7"/>
          <w:sz w:val="18"/>
        </w:rPr>
        <w:t> </w:t>
      </w:r>
      <w:r>
        <w:rPr>
          <w:sz w:val="18"/>
        </w:rPr>
        <w:t>and</w:t>
      </w:r>
      <w:r>
        <w:rPr>
          <w:spacing w:val="-8"/>
          <w:sz w:val="18"/>
        </w:rPr>
        <w:t> </w:t>
      </w:r>
      <w:r>
        <w:rPr>
          <w:sz w:val="18"/>
        </w:rPr>
        <w:t>Bloomer,</w:t>
      </w:r>
      <w:r>
        <w:rPr>
          <w:spacing w:val="-7"/>
          <w:sz w:val="18"/>
        </w:rPr>
        <w:t> </w:t>
      </w:r>
      <w:r>
        <w:rPr>
          <w:sz w:val="18"/>
        </w:rPr>
        <w:t>‘Antenatal</w:t>
      </w:r>
      <w:r>
        <w:rPr>
          <w:spacing w:val="-8"/>
          <w:sz w:val="18"/>
        </w:rPr>
        <w:t> </w:t>
      </w:r>
      <w:r>
        <w:rPr>
          <w:sz w:val="18"/>
        </w:rPr>
        <w:t>screening</w:t>
      </w:r>
      <w:r>
        <w:rPr>
          <w:spacing w:val="-7"/>
          <w:sz w:val="18"/>
        </w:rPr>
        <w:t> </w:t>
      </w:r>
      <w:r>
        <w:rPr>
          <w:sz w:val="18"/>
        </w:rPr>
        <w:t>in</w:t>
      </w:r>
      <w:r>
        <w:rPr>
          <w:spacing w:val="-8"/>
          <w:sz w:val="18"/>
        </w:rPr>
        <w:t> </w:t>
      </w:r>
      <w:r>
        <w:rPr>
          <w:sz w:val="18"/>
        </w:rPr>
        <w:t>Northern</w:t>
      </w:r>
      <w:r>
        <w:rPr>
          <w:spacing w:val="-8"/>
          <w:sz w:val="18"/>
        </w:rPr>
        <w:t> </w:t>
      </w:r>
      <w:r>
        <w:rPr>
          <w:sz w:val="18"/>
        </w:rPr>
        <w:t>Ireland</w:t>
      </w:r>
      <w:r>
        <w:rPr>
          <w:spacing w:val="-8"/>
          <w:sz w:val="18"/>
        </w:rPr>
        <w:t> </w:t>
      </w:r>
      <w:r>
        <w:rPr>
          <w:sz w:val="18"/>
        </w:rPr>
        <w:t>and</w:t>
      </w:r>
      <w:r>
        <w:rPr>
          <w:spacing w:val="-8"/>
          <w:sz w:val="18"/>
        </w:rPr>
        <w:t> </w:t>
      </w:r>
      <w:r>
        <w:rPr>
          <w:sz w:val="18"/>
        </w:rPr>
        <w:t>Women’s</w:t>
      </w:r>
      <w:r>
        <w:rPr>
          <w:spacing w:val="-8"/>
          <w:sz w:val="18"/>
        </w:rPr>
        <w:t> </w:t>
      </w:r>
      <w:r>
        <w:rPr>
          <w:sz w:val="18"/>
        </w:rPr>
        <w:t>Rights:</w:t>
      </w:r>
      <w:r>
        <w:rPr>
          <w:spacing w:val="-7"/>
          <w:sz w:val="18"/>
        </w:rPr>
        <w:t> </w:t>
      </w:r>
      <w:r>
        <w:rPr>
          <w:sz w:val="18"/>
        </w:rPr>
        <w:t>Policy</w:t>
      </w:r>
      <w:r>
        <w:rPr>
          <w:spacing w:val="-7"/>
          <w:sz w:val="18"/>
        </w:rPr>
        <w:t> </w:t>
      </w:r>
      <w:r>
        <w:rPr>
          <w:sz w:val="18"/>
        </w:rPr>
        <w:t>Paper’</w:t>
      </w:r>
      <w:r>
        <w:rPr>
          <w:spacing w:val="-7"/>
          <w:sz w:val="18"/>
        </w:rPr>
        <w:t> </w:t>
      </w:r>
      <w:r>
        <w:rPr>
          <w:spacing w:val="-2"/>
          <w:sz w:val="18"/>
        </w:rPr>
        <w:t>(2024).</w:t>
      </w:r>
    </w:p>
    <w:p>
      <w:pPr>
        <w:pStyle w:val="ListParagraph"/>
        <w:numPr>
          <w:ilvl w:val="0"/>
          <w:numId w:val="51"/>
        </w:numPr>
        <w:tabs>
          <w:tab w:pos="1684" w:val="left" w:leader="none"/>
        </w:tabs>
        <w:spacing w:line="240" w:lineRule="auto" w:before="1" w:after="0"/>
        <w:ind w:left="1684" w:right="0" w:hanging="567"/>
        <w:jc w:val="left"/>
        <w:rPr>
          <w:sz w:val="18"/>
        </w:rPr>
      </w:pPr>
      <w:r>
        <w:rPr>
          <w:sz w:val="18"/>
        </w:rPr>
        <w:t>European</w:t>
      </w:r>
      <w:r>
        <w:rPr>
          <w:spacing w:val="-5"/>
          <w:sz w:val="18"/>
        </w:rPr>
        <w:t> </w:t>
      </w:r>
      <w:r>
        <w:rPr>
          <w:sz w:val="18"/>
        </w:rPr>
        <w:t>Commission,</w:t>
      </w:r>
      <w:r>
        <w:rPr>
          <w:spacing w:val="-4"/>
          <w:sz w:val="18"/>
        </w:rPr>
        <w:t> </w:t>
      </w:r>
      <w:r>
        <w:rPr>
          <w:color w:val="1D71B8"/>
          <w:sz w:val="18"/>
          <w:u w:val="single" w:color="1D71B8"/>
        </w:rPr>
        <w:t>A</w:t>
      </w:r>
      <w:r>
        <w:rPr>
          <w:color w:val="1D71B8"/>
          <w:spacing w:val="-3"/>
          <w:sz w:val="18"/>
          <w:u w:val="single" w:color="1D71B8"/>
        </w:rPr>
        <w:t> </w:t>
      </w:r>
      <w:r>
        <w:rPr>
          <w:color w:val="1D71B8"/>
          <w:sz w:val="18"/>
          <w:u w:val="single" w:color="1D71B8"/>
        </w:rPr>
        <w:t>Union</w:t>
      </w:r>
      <w:r>
        <w:rPr>
          <w:color w:val="1D71B8"/>
          <w:spacing w:val="-5"/>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EU</w:t>
      </w:r>
      <w:r>
        <w:rPr>
          <w:color w:val="1D71B8"/>
          <w:spacing w:val="-3"/>
          <w:sz w:val="18"/>
          <w:u w:val="single" w:color="1D71B8"/>
        </w:rPr>
        <w:t> </w:t>
      </w:r>
      <w:r>
        <w:rPr>
          <w:color w:val="1D71B8"/>
          <w:sz w:val="18"/>
          <w:u w:val="single" w:color="1D71B8"/>
        </w:rPr>
        <w:t>Anti-racism</w:t>
      </w:r>
      <w:r>
        <w:rPr>
          <w:color w:val="1D71B8"/>
          <w:spacing w:val="-4"/>
          <w:sz w:val="18"/>
          <w:u w:val="single" w:color="1D71B8"/>
        </w:rPr>
        <w:t> </w:t>
      </w:r>
      <w:r>
        <w:rPr>
          <w:color w:val="1D71B8"/>
          <w:sz w:val="18"/>
          <w:u w:val="single" w:color="1D71B8"/>
        </w:rPr>
        <w:t>Action</w:t>
      </w:r>
      <w:r>
        <w:rPr>
          <w:color w:val="1D71B8"/>
          <w:spacing w:val="-4"/>
          <w:sz w:val="18"/>
          <w:u w:val="single" w:color="1D71B8"/>
        </w:rPr>
        <w:t> </w:t>
      </w:r>
      <w:r>
        <w:rPr>
          <w:color w:val="1D71B8"/>
          <w:sz w:val="18"/>
          <w:u w:val="single" w:color="1D71B8"/>
        </w:rPr>
        <w:t>Plan</w:t>
      </w:r>
      <w:r>
        <w:rPr>
          <w:color w:val="1D71B8"/>
          <w:spacing w:val="-4"/>
          <w:sz w:val="18"/>
          <w:u w:val="single" w:color="1D71B8"/>
        </w:rPr>
        <w:t> </w:t>
      </w:r>
      <w:r>
        <w:rPr>
          <w:color w:val="1D71B8"/>
          <w:sz w:val="18"/>
          <w:u w:val="single" w:color="1D71B8"/>
        </w:rPr>
        <w:t>2020-2025</w:t>
      </w:r>
      <w:r>
        <w:rPr>
          <w:color w:val="1D71B8"/>
          <w:spacing w:val="-4"/>
          <w:sz w:val="18"/>
          <w:u w:val="none"/>
        </w:rPr>
        <w:t> </w:t>
      </w:r>
      <w:r>
        <w:rPr>
          <w:spacing w:val="-2"/>
          <w:sz w:val="18"/>
          <w:u w:val="none"/>
        </w:rPr>
        <w:t>(2020).</w:t>
      </w:r>
    </w:p>
    <w:p>
      <w:pPr>
        <w:pStyle w:val="ListParagraph"/>
        <w:numPr>
          <w:ilvl w:val="0"/>
          <w:numId w:val="51"/>
        </w:numPr>
        <w:tabs>
          <w:tab w:pos="1684" w:val="left" w:leader="none"/>
        </w:tabs>
        <w:spacing w:line="240" w:lineRule="auto" w:before="0" w:after="0"/>
        <w:ind w:left="1684" w:right="0" w:hanging="567"/>
        <w:jc w:val="left"/>
        <w:rPr>
          <w:sz w:val="18"/>
        </w:rPr>
      </w:pPr>
      <w:r>
        <w:rPr>
          <w:spacing w:val="-2"/>
          <w:sz w:val="18"/>
        </w:rPr>
        <w:t>Ibid.,1-</w:t>
      </w:r>
      <w:r>
        <w:rPr>
          <w:spacing w:val="-7"/>
          <w:sz w:val="18"/>
        </w:rPr>
        <w:t>2.</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2"/>
          <w:sz w:val="18"/>
        </w:rPr>
        <w:t> </w:t>
      </w:r>
      <w:r>
        <w:rPr>
          <w:sz w:val="18"/>
        </w:rPr>
        <w:t>4-</w:t>
      </w:r>
      <w:r>
        <w:rPr>
          <w:spacing w:val="-5"/>
          <w:sz w:val="18"/>
        </w:rPr>
        <w:t>5.</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2"/>
          <w:sz w:val="18"/>
        </w:rPr>
        <w:t> </w:t>
      </w:r>
      <w:r>
        <w:rPr>
          <w:sz w:val="18"/>
        </w:rPr>
        <w:t>5-</w:t>
      </w:r>
      <w:r>
        <w:rPr>
          <w:spacing w:val="-5"/>
          <w:sz w:val="18"/>
        </w:rPr>
        <w:t>7.</w:t>
      </w:r>
    </w:p>
    <w:p>
      <w:pPr>
        <w:pStyle w:val="ListParagraph"/>
        <w:numPr>
          <w:ilvl w:val="0"/>
          <w:numId w:val="51"/>
        </w:numPr>
        <w:tabs>
          <w:tab w:pos="1684" w:val="left" w:leader="none"/>
        </w:tabs>
        <w:spacing w:line="240" w:lineRule="auto" w:before="1" w:after="0"/>
        <w:ind w:left="1684" w:right="0" w:hanging="567"/>
        <w:jc w:val="left"/>
        <w:rPr>
          <w:sz w:val="18"/>
        </w:rPr>
      </w:pPr>
      <w:r>
        <w:rPr>
          <w:sz w:val="18"/>
        </w:rPr>
        <w:t>Ibid., </w:t>
      </w:r>
      <w:r>
        <w:rPr>
          <w:spacing w:val="-5"/>
          <w:sz w:val="18"/>
        </w:rPr>
        <w:t>9.</w:t>
      </w:r>
    </w:p>
    <w:p>
      <w:pPr>
        <w:pStyle w:val="ListParagraph"/>
        <w:numPr>
          <w:ilvl w:val="0"/>
          <w:numId w:val="51"/>
        </w:numPr>
        <w:tabs>
          <w:tab w:pos="1684" w:val="left" w:leader="none"/>
        </w:tabs>
        <w:spacing w:line="240" w:lineRule="auto" w:before="0" w:after="0"/>
        <w:ind w:left="1684" w:right="0" w:hanging="567"/>
        <w:jc w:val="left"/>
        <w:rPr>
          <w:sz w:val="18"/>
        </w:rPr>
      </w:pPr>
      <w:r>
        <w:rPr>
          <w:sz w:val="18"/>
        </w:rPr>
        <w:t>Ibid.,</w:t>
      </w:r>
      <w:r>
        <w:rPr>
          <w:spacing w:val="-2"/>
          <w:sz w:val="18"/>
        </w:rPr>
        <w:t> </w:t>
      </w:r>
      <w:r>
        <w:rPr>
          <w:sz w:val="18"/>
        </w:rPr>
        <w:t>9-</w:t>
      </w:r>
      <w:r>
        <w:rPr>
          <w:spacing w:val="-5"/>
          <w:sz w:val="18"/>
        </w:rPr>
        <w:t>13.</w:t>
      </w:r>
    </w:p>
    <w:p>
      <w:pPr>
        <w:pStyle w:val="ListParagraph"/>
        <w:numPr>
          <w:ilvl w:val="0"/>
          <w:numId w:val="51"/>
        </w:numPr>
        <w:tabs>
          <w:tab w:pos="1684" w:val="left" w:leader="none"/>
        </w:tabs>
        <w:spacing w:line="240" w:lineRule="auto" w:before="0" w:after="0"/>
        <w:ind w:left="1684" w:right="0" w:hanging="567"/>
        <w:jc w:val="left"/>
        <w:rPr>
          <w:sz w:val="18"/>
        </w:rPr>
      </w:pPr>
      <w:r>
        <w:rPr>
          <w:sz w:val="18"/>
        </w:rPr>
        <w:t>European</w:t>
      </w:r>
      <w:r>
        <w:rPr>
          <w:spacing w:val="-7"/>
          <w:sz w:val="18"/>
        </w:rPr>
        <w:t> </w:t>
      </w:r>
      <w:r>
        <w:rPr>
          <w:sz w:val="18"/>
        </w:rPr>
        <w:t>Commission</w:t>
      </w:r>
      <w:r>
        <w:rPr>
          <w:i/>
          <w:sz w:val="18"/>
        </w:rPr>
        <w:t>,</w:t>
      </w:r>
      <w:r>
        <w:rPr>
          <w:i/>
          <w:spacing w:val="-6"/>
          <w:sz w:val="18"/>
        </w:rPr>
        <w:t> </w:t>
      </w:r>
      <w:hyperlink r:id="rId33">
        <w:r>
          <w:rPr>
            <w:color w:val="1D71B8"/>
            <w:sz w:val="18"/>
            <w:u w:val="single" w:color="1D71B8"/>
          </w:rPr>
          <w:t>EU</w:t>
        </w:r>
        <w:r>
          <w:rPr>
            <w:color w:val="1D71B8"/>
            <w:spacing w:val="-6"/>
            <w:sz w:val="18"/>
            <w:u w:val="single" w:color="1D71B8"/>
          </w:rPr>
          <w:t> </w:t>
        </w:r>
        <w:r>
          <w:rPr>
            <w:color w:val="1D71B8"/>
            <w:sz w:val="18"/>
            <w:u w:val="single" w:color="1D71B8"/>
          </w:rPr>
          <w:t>Roma</w:t>
        </w:r>
        <w:r>
          <w:rPr>
            <w:color w:val="1D71B8"/>
            <w:spacing w:val="-6"/>
            <w:sz w:val="18"/>
            <w:u w:val="single" w:color="1D71B8"/>
          </w:rPr>
          <w:t> </w:t>
        </w:r>
        <w:r>
          <w:rPr>
            <w:color w:val="1D71B8"/>
            <w:sz w:val="18"/>
            <w:u w:val="single" w:color="1D71B8"/>
          </w:rPr>
          <w:t>Strategic</w:t>
        </w:r>
        <w:r>
          <w:rPr>
            <w:color w:val="1D71B8"/>
            <w:spacing w:val="-6"/>
            <w:sz w:val="18"/>
            <w:u w:val="single" w:color="1D71B8"/>
          </w:rPr>
          <w:t> </w:t>
        </w:r>
        <w:r>
          <w:rPr>
            <w:color w:val="1D71B8"/>
            <w:sz w:val="18"/>
            <w:u w:val="single" w:color="1D71B8"/>
          </w:rPr>
          <w:t>Framework</w:t>
        </w:r>
        <w:r>
          <w:rPr>
            <w:color w:val="1D71B8"/>
            <w:spacing w:val="-6"/>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Equality,</w:t>
        </w:r>
        <w:r>
          <w:rPr>
            <w:color w:val="1D71B8"/>
            <w:spacing w:val="-6"/>
            <w:sz w:val="18"/>
            <w:u w:val="single" w:color="1D71B8"/>
          </w:rPr>
          <w:t> </w:t>
        </w:r>
        <w:r>
          <w:rPr>
            <w:color w:val="1D71B8"/>
            <w:sz w:val="18"/>
            <w:u w:val="single" w:color="1D71B8"/>
          </w:rPr>
          <w:t>Inclusion</w:t>
        </w:r>
        <w:r>
          <w:rPr>
            <w:color w:val="1D71B8"/>
            <w:spacing w:val="-7"/>
            <w:sz w:val="18"/>
            <w:u w:val="single" w:color="1D71B8"/>
          </w:rPr>
          <w:t> </w:t>
        </w:r>
        <w:r>
          <w:rPr>
            <w:color w:val="1D71B8"/>
            <w:sz w:val="18"/>
            <w:u w:val="single" w:color="1D71B8"/>
          </w:rPr>
          <w:t>and</w:t>
        </w:r>
        <w:r>
          <w:rPr>
            <w:color w:val="1D71B8"/>
            <w:spacing w:val="-6"/>
            <w:sz w:val="18"/>
            <w:u w:val="single" w:color="1D71B8"/>
          </w:rPr>
          <w:t> </w:t>
        </w:r>
        <w:r>
          <w:rPr>
            <w:color w:val="1D71B8"/>
            <w:sz w:val="18"/>
            <w:u w:val="single" w:color="1D71B8"/>
          </w:rPr>
          <w:t>Participation</w:t>
        </w:r>
        <w:r>
          <w:rPr>
            <w:color w:val="1D71B8"/>
            <w:spacing w:val="-6"/>
            <w:sz w:val="18"/>
            <w:u w:val="single" w:color="1D71B8"/>
          </w:rPr>
          <w:t> </w:t>
        </w:r>
        <w:r>
          <w:rPr>
            <w:color w:val="1D71B8"/>
            <w:sz w:val="18"/>
            <w:u w:val="single" w:color="1D71B8"/>
          </w:rPr>
          <w:t>for</w:t>
        </w:r>
        <w:r>
          <w:rPr>
            <w:color w:val="1D71B8"/>
            <w:spacing w:val="-6"/>
            <w:sz w:val="18"/>
            <w:u w:val="single" w:color="1D71B8"/>
          </w:rPr>
          <w:t> </w:t>
        </w:r>
        <w:r>
          <w:rPr>
            <w:color w:val="1D71B8"/>
            <w:sz w:val="18"/>
            <w:u w:val="single" w:color="1D71B8"/>
          </w:rPr>
          <w:t>2020</w:t>
        </w:r>
        <w:r>
          <w:rPr>
            <w:color w:val="1D71B8"/>
            <w:spacing w:val="-5"/>
            <w:sz w:val="18"/>
            <w:u w:val="single" w:color="1D71B8"/>
          </w:rPr>
          <w:t> </w:t>
        </w:r>
        <w:r>
          <w:rPr>
            <w:color w:val="1D71B8"/>
            <w:sz w:val="18"/>
            <w:u w:val="single" w:color="1D71B8"/>
          </w:rPr>
          <w:t>-</w:t>
        </w:r>
        <w:r>
          <w:rPr>
            <w:color w:val="1D71B8"/>
            <w:spacing w:val="-7"/>
            <w:sz w:val="18"/>
            <w:u w:val="single" w:color="1D71B8"/>
          </w:rPr>
          <w:t> </w:t>
        </w:r>
        <w:r>
          <w:rPr>
            <w:color w:val="1D71B8"/>
            <w:sz w:val="18"/>
            <w:u w:val="single" w:color="1D71B8"/>
          </w:rPr>
          <w:t>2030</w:t>
        </w:r>
      </w:hyperlink>
      <w:r>
        <w:rPr>
          <w:color w:val="1D71B8"/>
          <w:spacing w:val="-7"/>
          <w:sz w:val="18"/>
          <w:u w:val="none"/>
        </w:rPr>
        <w:t> </w:t>
      </w:r>
      <w:r>
        <w:rPr>
          <w:sz w:val="18"/>
          <w:u w:val="none"/>
        </w:rPr>
        <w:t>(2020)</w:t>
      </w:r>
      <w:r>
        <w:rPr>
          <w:spacing w:val="-7"/>
          <w:sz w:val="18"/>
          <w:u w:val="none"/>
        </w:rPr>
        <w:t> </w:t>
      </w:r>
      <w:r>
        <w:rPr>
          <w:spacing w:val="-10"/>
          <w:sz w:val="18"/>
          <w:u w:val="none"/>
        </w:rPr>
        <w:t>.</w:t>
      </w:r>
    </w:p>
    <w:p>
      <w:pPr>
        <w:spacing w:after="0" w:line="240" w:lineRule="auto"/>
        <w:jc w:val="left"/>
        <w:rPr>
          <w:sz w:val="18"/>
        </w:rPr>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21600">
                <wp:simplePos x="0" y="0"/>
                <wp:positionH relativeFrom="page">
                  <wp:posOffset>0</wp:posOffset>
                </wp:positionH>
                <wp:positionV relativeFrom="page">
                  <wp:posOffset>0</wp:posOffset>
                </wp:positionV>
                <wp:extent cx="7560309" cy="1155065"/>
                <wp:effectExtent l="0" t="0" r="0" b="0"/>
                <wp:wrapNone/>
                <wp:docPr id="1118" name="Group 1118"/>
                <wp:cNvGraphicFramePr>
                  <a:graphicFrameLocks/>
                </wp:cNvGraphicFramePr>
                <a:graphic>
                  <a:graphicData uri="http://schemas.microsoft.com/office/word/2010/wordprocessingGroup">
                    <wpg:wgp>
                      <wpg:cNvPr id="1118" name="Group 1118"/>
                      <wpg:cNvGrpSpPr/>
                      <wpg:grpSpPr>
                        <a:xfrm>
                          <a:off x="0" y="0"/>
                          <a:ext cx="7560309" cy="1155065"/>
                          <a:chExt cx="7560309" cy="1155065"/>
                        </a:xfrm>
                      </wpg:grpSpPr>
                      <wps:wsp>
                        <wps:cNvPr id="1119" name="Graphic 1119"/>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120" name="Graphic 1120"/>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194880" id="docshapegroup922" coordorigin="0,0" coordsize="11906,1819">
                <v:shape style="position:absolute;left:0;top:0;width:11906;height:1819" id="docshape923"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bookmarkStart w:name="7.3.4 Sexual orientation" w:id="218"/>
      <w:bookmarkEnd w:id="218"/>
      <w:r>
        <w:rPr/>
      </w:r>
      <w:bookmarkStart w:name="7.3.5 Disability" w:id="219"/>
      <w:bookmarkEnd w:id="219"/>
      <w:r>
        <w:rPr/>
      </w:r>
      <w:bookmarkStart w:name="_bookmark90" w:id="220"/>
      <w:bookmarkEnd w:id="220"/>
      <w:r>
        <w:rPr/>
      </w:r>
      <w:r>
        <w:rPr>
          <w:b/>
          <w:color w:val="FFFFFF"/>
          <w:spacing w:val="-5"/>
          <w:position w:val="-1"/>
          <w:sz w:val="28"/>
        </w:rPr>
        <w:t>138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404"/>
      </w:pPr>
      <w:r>
        <w:rPr/>
        <w:t>The NIHRC and ECNI have contributed to a consultation on the race equality directive as part of this European Union Action Plan.</w:t>
      </w:r>
      <w:r>
        <w:rPr>
          <w:vertAlign w:val="superscript"/>
        </w:rPr>
        <w:t>693</w:t>
      </w:r>
      <w:r>
        <w:rPr>
          <w:vertAlign w:val="baseline"/>
        </w:rPr>
        <w:t> The Executive Office has consulted</w:t>
      </w:r>
      <w:r>
        <w:rPr>
          <w:spacing w:val="-7"/>
          <w:vertAlign w:val="baseline"/>
        </w:rPr>
        <w:t> </w:t>
      </w:r>
      <w:r>
        <w:rPr>
          <w:vertAlign w:val="baseline"/>
        </w:rPr>
        <w:t>on</w:t>
      </w:r>
      <w:r>
        <w:rPr>
          <w:spacing w:val="-7"/>
          <w:vertAlign w:val="baseline"/>
        </w:rPr>
        <w:t> </w:t>
      </w:r>
      <w:r>
        <w:rPr>
          <w:vertAlign w:val="baseline"/>
        </w:rPr>
        <w:t>reforming</w:t>
      </w:r>
      <w:r>
        <w:rPr>
          <w:spacing w:val="-6"/>
          <w:vertAlign w:val="baseline"/>
        </w:rPr>
        <w:t> </w:t>
      </w:r>
      <w:r>
        <w:rPr>
          <w:vertAlign w:val="baseline"/>
        </w:rPr>
        <w:t>the</w:t>
      </w:r>
      <w:r>
        <w:rPr>
          <w:spacing w:val="-6"/>
          <w:vertAlign w:val="baseline"/>
        </w:rPr>
        <w:t> </w:t>
      </w:r>
      <w:r>
        <w:rPr>
          <w:vertAlign w:val="baseline"/>
        </w:rPr>
        <w:t>Race</w:t>
      </w:r>
      <w:r>
        <w:rPr>
          <w:spacing w:val="-6"/>
          <w:vertAlign w:val="baseline"/>
        </w:rPr>
        <w:t> </w:t>
      </w:r>
      <w:r>
        <w:rPr>
          <w:vertAlign w:val="baseline"/>
        </w:rPr>
        <w:t>Relations</w:t>
      </w:r>
      <w:r>
        <w:rPr>
          <w:spacing w:val="-7"/>
          <w:vertAlign w:val="baseline"/>
        </w:rPr>
        <w:t> </w:t>
      </w:r>
      <w:r>
        <w:rPr>
          <w:vertAlign w:val="baseline"/>
        </w:rPr>
        <w:t>Order</w:t>
      </w:r>
      <w:r>
        <w:rPr>
          <w:spacing w:val="-6"/>
          <w:vertAlign w:val="baseline"/>
        </w:rPr>
        <w:t> </w:t>
      </w:r>
      <w:r>
        <w:rPr>
          <w:vertAlign w:val="baseline"/>
        </w:rPr>
        <w:t>but</w:t>
      </w:r>
      <w:r>
        <w:rPr>
          <w:spacing w:val="-6"/>
          <w:vertAlign w:val="baseline"/>
        </w:rPr>
        <w:t> </w:t>
      </w:r>
      <w:r>
        <w:rPr>
          <w:vertAlign w:val="baseline"/>
        </w:rPr>
        <w:t>as</w:t>
      </w:r>
      <w:r>
        <w:rPr>
          <w:spacing w:val="-7"/>
          <w:vertAlign w:val="baseline"/>
        </w:rPr>
        <w:t> </w:t>
      </w:r>
      <w:r>
        <w:rPr>
          <w:vertAlign w:val="baseline"/>
        </w:rPr>
        <w:t>we</w:t>
      </w:r>
      <w:r>
        <w:rPr>
          <w:spacing w:val="-6"/>
          <w:vertAlign w:val="baseline"/>
        </w:rPr>
        <w:t> </w:t>
      </w:r>
      <w:r>
        <w:rPr>
          <w:vertAlign w:val="baseline"/>
        </w:rPr>
        <w:t>noted</w:t>
      </w:r>
      <w:r>
        <w:rPr>
          <w:spacing w:val="-7"/>
          <w:vertAlign w:val="baseline"/>
        </w:rPr>
        <w:t> </w:t>
      </w:r>
      <w:r>
        <w:rPr>
          <w:vertAlign w:val="baseline"/>
        </w:rPr>
        <w:t>in</w:t>
      </w:r>
      <w:r>
        <w:rPr>
          <w:spacing w:val="-7"/>
          <w:vertAlign w:val="baseline"/>
        </w:rPr>
        <w:t> </w:t>
      </w:r>
      <w:r>
        <w:rPr>
          <w:vertAlign w:val="baseline"/>
        </w:rPr>
        <w:t>chapter</w:t>
      </w:r>
      <w:r>
        <w:rPr>
          <w:spacing w:val="-6"/>
          <w:vertAlign w:val="baseline"/>
        </w:rPr>
        <w:t> </w:t>
      </w:r>
      <w:r>
        <w:rPr>
          <w:vertAlign w:val="baseline"/>
        </w:rPr>
        <w:t>two this process has paid insufficient attention to Article 2 WF and EU law.</w:t>
      </w:r>
    </w:p>
    <w:p>
      <w:pPr>
        <w:pStyle w:val="BodyText"/>
        <w:spacing w:before="1"/>
        <w:rPr>
          <w:sz w:val="20"/>
        </w:rPr>
      </w:pPr>
      <w:r>
        <w:rPr/>
        <mc:AlternateContent>
          <mc:Choice Requires="wps">
            <w:drawing>
              <wp:anchor distT="0" distB="0" distL="0" distR="0" allowOverlap="1" layoutInCell="1" locked="0" behindDoc="1" simplePos="0" relativeHeight="487802880">
                <wp:simplePos x="0" y="0"/>
                <wp:positionH relativeFrom="page">
                  <wp:posOffset>647994</wp:posOffset>
                </wp:positionH>
                <wp:positionV relativeFrom="paragraph">
                  <wp:posOffset>170962</wp:posOffset>
                </wp:positionV>
                <wp:extent cx="6012180" cy="1232535"/>
                <wp:effectExtent l="0" t="0" r="0" b="0"/>
                <wp:wrapTopAndBottom/>
                <wp:docPr id="1121" name="Group 1121"/>
                <wp:cNvGraphicFramePr>
                  <a:graphicFrameLocks/>
                </wp:cNvGraphicFramePr>
                <a:graphic>
                  <a:graphicData uri="http://schemas.microsoft.com/office/word/2010/wordprocessingGroup">
                    <wpg:wgp>
                      <wpg:cNvPr id="1121" name="Group 1121"/>
                      <wpg:cNvGrpSpPr/>
                      <wpg:grpSpPr>
                        <a:xfrm>
                          <a:off x="0" y="0"/>
                          <a:ext cx="6012180" cy="1232535"/>
                          <a:chExt cx="6012180" cy="1232535"/>
                        </a:xfrm>
                      </wpg:grpSpPr>
                      <wps:wsp>
                        <wps:cNvPr id="1122" name="Graphic 1122"/>
                        <wps:cNvSpPr/>
                        <wps:spPr>
                          <a:xfrm>
                            <a:off x="0" y="0"/>
                            <a:ext cx="6012180" cy="1232535"/>
                          </a:xfrm>
                          <a:custGeom>
                            <a:avLst/>
                            <a:gdLst/>
                            <a:ahLst/>
                            <a:cxnLst/>
                            <a:rect l="l" t="t" r="r" b="b"/>
                            <a:pathLst>
                              <a:path w="6012180" h="1232535">
                                <a:moveTo>
                                  <a:pt x="5868009" y="0"/>
                                </a:moveTo>
                                <a:lnTo>
                                  <a:pt x="144005" y="0"/>
                                </a:lnTo>
                                <a:lnTo>
                                  <a:pt x="98490" y="7340"/>
                                </a:lnTo>
                                <a:lnTo>
                                  <a:pt x="58959" y="27782"/>
                                </a:lnTo>
                                <a:lnTo>
                                  <a:pt x="27785" y="58954"/>
                                </a:lnTo>
                                <a:lnTo>
                                  <a:pt x="7341" y="98485"/>
                                </a:lnTo>
                                <a:lnTo>
                                  <a:pt x="0" y="144005"/>
                                </a:lnTo>
                                <a:lnTo>
                                  <a:pt x="0" y="1087996"/>
                                </a:lnTo>
                                <a:lnTo>
                                  <a:pt x="7341" y="1133511"/>
                                </a:lnTo>
                                <a:lnTo>
                                  <a:pt x="27785" y="1173042"/>
                                </a:lnTo>
                                <a:lnTo>
                                  <a:pt x="58959" y="1204215"/>
                                </a:lnTo>
                                <a:lnTo>
                                  <a:pt x="98490" y="1224659"/>
                                </a:lnTo>
                                <a:lnTo>
                                  <a:pt x="144005" y="1232001"/>
                                </a:lnTo>
                                <a:lnTo>
                                  <a:pt x="5868009" y="1232001"/>
                                </a:lnTo>
                                <a:lnTo>
                                  <a:pt x="5913523" y="1224659"/>
                                </a:lnTo>
                                <a:lnTo>
                                  <a:pt x="5953050" y="1204215"/>
                                </a:lnTo>
                                <a:lnTo>
                                  <a:pt x="5984220" y="1173042"/>
                                </a:lnTo>
                                <a:lnTo>
                                  <a:pt x="6004661" y="1133511"/>
                                </a:lnTo>
                                <a:lnTo>
                                  <a:pt x="6012002" y="10879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123" name="Textbox 1123"/>
                        <wps:cNvSpPr txBox="1"/>
                        <wps:spPr>
                          <a:xfrm>
                            <a:off x="0" y="0"/>
                            <a:ext cx="6012180" cy="1232535"/>
                          </a:xfrm>
                          <a:prstGeom prst="rect">
                            <a:avLst/>
                          </a:prstGeom>
                        </wps:spPr>
                        <wps:txbx>
                          <w:txbxContent>
                            <w:p>
                              <w:pPr>
                                <w:spacing w:line="232" w:lineRule="auto" w:before="121"/>
                                <w:ind w:left="340" w:right="485"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Executive</w:t>
                              </w:r>
                              <w:r>
                                <w:rPr>
                                  <w:b/>
                                  <w:color w:val="164194"/>
                                  <w:spacing w:val="-9"/>
                                  <w:sz w:val="28"/>
                                </w:rPr>
                                <w:t> </w:t>
                              </w:r>
                              <w:r>
                                <w:rPr>
                                  <w:b/>
                                  <w:color w:val="164194"/>
                                  <w:sz w:val="28"/>
                                </w:rPr>
                                <w:t>Office</w:t>
                              </w:r>
                              <w:r>
                                <w:rPr>
                                  <w:b/>
                                  <w:color w:val="164194"/>
                                  <w:spacing w:val="-9"/>
                                  <w:sz w:val="28"/>
                                </w:rPr>
                                <w:t> </w:t>
                              </w:r>
                              <w:r>
                                <w:rPr>
                                  <w:b/>
                                  <w:color w:val="164194"/>
                                  <w:sz w:val="28"/>
                                </w:rPr>
                                <w:t>consider</w:t>
                              </w:r>
                              <w:r>
                                <w:rPr>
                                  <w:b/>
                                  <w:color w:val="164194"/>
                                  <w:spacing w:val="-9"/>
                                  <w:sz w:val="28"/>
                                </w:rPr>
                                <w:t> </w:t>
                              </w:r>
                              <w:r>
                                <w:rPr>
                                  <w:b/>
                                  <w:color w:val="164194"/>
                                  <w:sz w:val="28"/>
                                </w:rPr>
                                <w:t>developments</w:t>
                              </w:r>
                              <w:r>
                                <w:rPr>
                                  <w:b/>
                                  <w:color w:val="164194"/>
                                  <w:spacing w:val="-8"/>
                                  <w:sz w:val="28"/>
                                </w:rPr>
                                <w:t> </w:t>
                              </w:r>
                              <w:r>
                                <w:rPr>
                                  <w:b/>
                                  <w:color w:val="164194"/>
                                  <w:sz w:val="28"/>
                                </w:rPr>
                                <w:t>in</w:t>
                              </w:r>
                              <w:r>
                                <w:rPr>
                                  <w:b/>
                                  <w:color w:val="164194"/>
                                  <w:spacing w:val="-8"/>
                                  <w:sz w:val="28"/>
                                </w:rPr>
                                <w:t> </w:t>
                              </w:r>
                              <w:r>
                                <w:rPr>
                                  <w:b/>
                                  <w:color w:val="164194"/>
                                  <w:sz w:val="28"/>
                                </w:rPr>
                                <w:t>the</w:t>
                              </w:r>
                              <w:r>
                                <w:rPr>
                                  <w:b/>
                                  <w:color w:val="164194"/>
                                  <w:spacing w:val="-9"/>
                                  <w:sz w:val="28"/>
                                </w:rPr>
                                <w:t> </w:t>
                              </w:r>
                              <w:r>
                                <w:rPr>
                                  <w:b/>
                                  <w:color w:val="164194"/>
                                  <w:sz w:val="28"/>
                                </w:rPr>
                                <w:t>EU Anti-Racism Action Plan and Roma Strategic Framework where this may identify</w:t>
                              </w:r>
                              <w:r>
                                <w:rPr>
                                  <w:b/>
                                  <w:color w:val="164194"/>
                                  <w:spacing w:val="-2"/>
                                  <w:sz w:val="28"/>
                                </w:rPr>
                                <w:t> </w:t>
                              </w:r>
                              <w:r>
                                <w:rPr>
                                  <w:b/>
                                  <w:color w:val="164194"/>
                                  <w:sz w:val="28"/>
                                </w:rPr>
                                <w:t>best</w:t>
                              </w:r>
                              <w:r>
                                <w:rPr>
                                  <w:b/>
                                  <w:color w:val="164194"/>
                                  <w:spacing w:val="-2"/>
                                  <w:sz w:val="28"/>
                                </w:rPr>
                                <w:t> </w:t>
                              </w:r>
                              <w:r>
                                <w:rPr>
                                  <w:b/>
                                  <w:color w:val="164194"/>
                                  <w:sz w:val="28"/>
                                </w:rPr>
                                <w:t>practice</w:t>
                              </w:r>
                              <w:r>
                                <w:rPr>
                                  <w:b/>
                                  <w:color w:val="164194"/>
                                  <w:spacing w:val="-3"/>
                                  <w:sz w:val="28"/>
                                </w:rPr>
                                <w:t> </w:t>
                              </w:r>
                              <w:r>
                                <w:rPr>
                                  <w:b/>
                                  <w:color w:val="164194"/>
                                  <w:sz w:val="28"/>
                                </w:rPr>
                                <w:t>with</w:t>
                              </w:r>
                              <w:r>
                                <w:rPr>
                                  <w:b/>
                                  <w:color w:val="164194"/>
                                  <w:spacing w:val="-2"/>
                                  <w:sz w:val="28"/>
                                </w:rPr>
                                <w:t> </w:t>
                              </w:r>
                              <w:r>
                                <w:rPr>
                                  <w:b/>
                                  <w:color w:val="164194"/>
                                  <w:sz w:val="28"/>
                                </w:rPr>
                                <w:t>which</w:t>
                              </w:r>
                              <w:r>
                                <w:rPr>
                                  <w:b/>
                                  <w:color w:val="164194"/>
                                  <w:spacing w:val="-2"/>
                                  <w:sz w:val="28"/>
                                </w:rPr>
                                <w:t> </w:t>
                              </w:r>
                              <w:r>
                                <w:rPr>
                                  <w:b/>
                                  <w:color w:val="164194"/>
                                  <w:sz w:val="28"/>
                                </w:rPr>
                                <w:t>Northern</w:t>
                              </w:r>
                              <w:r>
                                <w:rPr>
                                  <w:b/>
                                  <w:color w:val="164194"/>
                                  <w:spacing w:val="-2"/>
                                  <w:sz w:val="28"/>
                                </w:rPr>
                                <w:t> </w:t>
                              </w:r>
                              <w:r>
                                <w:rPr>
                                  <w:b/>
                                  <w:color w:val="164194"/>
                                  <w:sz w:val="28"/>
                                </w:rPr>
                                <w:t>Ireland</w:t>
                              </w:r>
                              <w:r>
                                <w:rPr>
                                  <w:b/>
                                  <w:color w:val="164194"/>
                                  <w:spacing w:val="-2"/>
                                  <w:sz w:val="28"/>
                                </w:rPr>
                                <w:t> </w:t>
                              </w:r>
                              <w:r>
                                <w:rPr>
                                  <w:b/>
                                  <w:color w:val="164194"/>
                                  <w:sz w:val="28"/>
                                </w:rPr>
                                <w:t>may</w:t>
                              </w:r>
                              <w:r>
                                <w:rPr>
                                  <w:b/>
                                  <w:color w:val="164194"/>
                                  <w:spacing w:val="-2"/>
                                  <w:sz w:val="28"/>
                                </w:rPr>
                                <w:t> </w:t>
                              </w:r>
                              <w:r>
                                <w:rPr>
                                  <w:b/>
                                  <w:color w:val="164194"/>
                                  <w:sz w:val="28"/>
                                </w:rPr>
                                <w:t>wish</w:t>
                              </w:r>
                              <w:r>
                                <w:rPr>
                                  <w:b/>
                                  <w:color w:val="164194"/>
                                  <w:spacing w:val="-2"/>
                                  <w:sz w:val="28"/>
                                </w:rPr>
                                <w:t> </w:t>
                              </w:r>
                              <w:r>
                                <w:rPr>
                                  <w:b/>
                                  <w:color w:val="164194"/>
                                  <w:sz w:val="28"/>
                                </w:rPr>
                                <w:t>to</w:t>
                              </w:r>
                              <w:r>
                                <w:rPr>
                                  <w:b/>
                                  <w:color w:val="164194"/>
                                  <w:spacing w:val="-2"/>
                                  <w:sz w:val="28"/>
                                </w:rPr>
                                <w:t> </w:t>
                              </w:r>
                              <w:r>
                                <w:rPr>
                                  <w:b/>
                                  <w:color w:val="164194"/>
                                  <w:sz w:val="28"/>
                                </w:rPr>
                                <w:t>voluntarily align where it strengthens rights and reflect international human rights </w:t>
                              </w:r>
                              <w:r>
                                <w:rPr>
                                  <w:b/>
                                  <w:color w:val="164194"/>
                                  <w:spacing w:val="-2"/>
                                  <w:sz w:val="28"/>
                                </w:rPr>
                                <w:t>standards.</w:t>
                              </w:r>
                            </w:p>
                          </w:txbxContent>
                        </wps:txbx>
                        <wps:bodyPr wrap="square" lIns="0" tIns="0" rIns="0" bIns="0" rtlCol="0">
                          <a:noAutofit/>
                        </wps:bodyPr>
                      </wps:wsp>
                    </wpg:wgp>
                  </a:graphicData>
                </a:graphic>
              </wp:anchor>
            </w:drawing>
          </mc:Choice>
          <mc:Fallback>
            <w:pict>
              <v:group style="position:absolute;margin-left:51.023201pt;margin-top:13.461637pt;width:473.4pt;height:97.05pt;mso-position-horizontal-relative:page;mso-position-vertical-relative:paragraph;z-index:-15513600;mso-wrap-distance-left:0;mso-wrap-distance-right:0" id="docshapegroup924" coordorigin="1020,269" coordsize="9468,1941">
                <v:shape style="position:absolute;left:1020;top:269;width:9468;height:1941" id="docshape925" coordorigin="1020,269" coordsize="9468,1941" path="m10261,269l1247,269,1176,281,1113,313,1064,362,1032,424,1020,496,1020,1983,1032,2054,1064,2117,1113,2166,1176,2198,1247,2209,10261,2209,10333,2198,10395,2166,10444,2117,10477,2054,10488,1983,10488,496,10477,424,10444,362,10395,313,10333,281,10261,269xe" filled="true" fillcolor="#e9f3fc" stroked="false">
                  <v:path arrowok="t"/>
                  <v:fill type="solid"/>
                </v:shape>
                <v:shape style="position:absolute;left:1020;top:269;width:9468;height:1941" type="#_x0000_t202" id="docshape926" filled="false" stroked="false">
                  <v:textbox inset="0,0,0,0">
                    <w:txbxContent>
                      <w:p>
                        <w:pPr>
                          <w:spacing w:line="232" w:lineRule="auto" w:before="121"/>
                          <w:ind w:left="340" w:right="485" w:firstLine="0"/>
                          <w:jc w:val="left"/>
                          <w:rPr>
                            <w:b/>
                            <w:sz w:val="28"/>
                          </w:rPr>
                        </w:pPr>
                        <w:r>
                          <w:rPr>
                            <w:b/>
                            <w:color w:val="164194"/>
                            <w:sz w:val="28"/>
                          </w:rPr>
                          <w:t>We</w:t>
                        </w:r>
                        <w:r>
                          <w:rPr>
                            <w:b/>
                            <w:color w:val="164194"/>
                            <w:spacing w:val="-9"/>
                            <w:sz w:val="28"/>
                          </w:rPr>
                          <w:t> </w:t>
                        </w:r>
                        <w:r>
                          <w:rPr>
                            <w:b/>
                            <w:color w:val="164194"/>
                            <w:sz w:val="28"/>
                          </w:rPr>
                          <w:t>recommend</w:t>
                        </w:r>
                        <w:r>
                          <w:rPr>
                            <w:b/>
                            <w:color w:val="164194"/>
                            <w:spacing w:val="-8"/>
                            <w:sz w:val="28"/>
                          </w:rPr>
                          <w:t> </w:t>
                        </w:r>
                        <w:r>
                          <w:rPr>
                            <w:b/>
                            <w:color w:val="164194"/>
                            <w:sz w:val="28"/>
                          </w:rPr>
                          <w:t>that</w:t>
                        </w:r>
                        <w:r>
                          <w:rPr>
                            <w:b/>
                            <w:color w:val="164194"/>
                            <w:spacing w:val="-8"/>
                            <w:sz w:val="28"/>
                          </w:rPr>
                          <w:t> </w:t>
                        </w:r>
                        <w:r>
                          <w:rPr>
                            <w:b/>
                            <w:color w:val="164194"/>
                            <w:sz w:val="28"/>
                          </w:rPr>
                          <w:t>the</w:t>
                        </w:r>
                        <w:r>
                          <w:rPr>
                            <w:b/>
                            <w:color w:val="164194"/>
                            <w:spacing w:val="-9"/>
                            <w:sz w:val="28"/>
                          </w:rPr>
                          <w:t> </w:t>
                        </w:r>
                        <w:r>
                          <w:rPr>
                            <w:b/>
                            <w:color w:val="164194"/>
                            <w:sz w:val="28"/>
                          </w:rPr>
                          <w:t>Executive</w:t>
                        </w:r>
                        <w:r>
                          <w:rPr>
                            <w:b/>
                            <w:color w:val="164194"/>
                            <w:spacing w:val="-9"/>
                            <w:sz w:val="28"/>
                          </w:rPr>
                          <w:t> </w:t>
                        </w:r>
                        <w:r>
                          <w:rPr>
                            <w:b/>
                            <w:color w:val="164194"/>
                            <w:sz w:val="28"/>
                          </w:rPr>
                          <w:t>Office</w:t>
                        </w:r>
                        <w:r>
                          <w:rPr>
                            <w:b/>
                            <w:color w:val="164194"/>
                            <w:spacing w:val="-9"/>
                            <w:sz w:val="28"/>
                          </w:rPr>
                          <w:t> </w:t>
                        </w:r>
                        <w:r>
                          <w:rPr>
                            <w:b/>
                            <w:color w:val="164194"/>
                            <w:sz w:val="28"/>
                          </w:rPr>
                          <w:t>consider</w:t>
                        </w:r>
                        <w:r>
                          <w:rPr>
                            <w:b/>
                            <w:color w:val="164194"/>
                            <w:spacing w:val="-9"/>
                            <w:sz w:val="28"/>
                          </w:rPr>
                          <w:t> </w:t>
                        </w:r>
                        <w:r>
                          <w:rPr>
                            <w:b/>
                            <w:color w:val="164194"/>
                            <w:sz w:val="28"/>
                          </w:rPr>
                          <w:t>developments</w:t>
                        </w:r>
                        <w:r>
                          <w:rPr>
                            <w:b/>
                            <w:color w:val="164194"/>
                            <w:spacing w:val="-8"/>
                            <w:sz w:val="28"/>
                          </w:rPr>
                          <w:t> </w:t>
                        </w:r>
                        <w:r>
                          <w:rPr>
                            <w:b/>
                            <w:color w:val="164194"/>
                            <w:sz w:val="28"/>
                          </w:rPr>
                          <w:t>in</w:t>
                        </w:r>
                        <w:r>
                          <w:rPr>
                            <w:b/>
                            <w:color w:val="164194"/>
                            <w:spacing w:val="-8"/>
                            <w:sz w:val="28"/>
                          </w:rPr>
                          <w:t> </w:t>
                        </w:r>
                        <w:r>
                          <w:rPr>
                            <w:b/>
                            <w:color w:val="164194"/>
                            <w:sz w:val="28"/>
                          </w:rPr>
                          <w:t>the</w:t>
                        </w:r>
                        <w:r>
                          <w:rPr>
                            <w:b/>
                            <w:color w:val="164194"/>
                            <w:spacing w:val="-9"/>
                            <w:sz w:val="28"/>
                          </w:rPr>
                          <w:t> </w:t>
                        </w:r>
                        <w:r>
                          <w:rPr>
                            <w:b/>
                            <w:color w:val="164194"/>
                            <w:sz w:val="28"/>
                          </w:rPr>
                          <w:t>EU Anti-Racism Action Plan and Roma Strategic Framework where this may identify</w:t>
                        </w:r>
                        <w:r>
                          <w:rPr>
                            <w:b/>
                            <w:color w:val="164194"/>
                            <w:spacing w:val="-2"/>
                            <w:sz w:val="28"/>
                          </w:rPr>
                          <w:t> </w:t>
                        </w:r>
                        <w:r>
                          <w:rPr>
                            <w:b/>
                            <w:color w:val="164194"/>
                            <w:sz w:val="28"/>
                          </w:rPr>
                          <w:t>best</w:t>
                        </w:r>
                        <w:r>
                          <w:rPr>
                            <w:b/>
                            <w:color w:val="164194"/>
                            <w:spacing w:val="-2"/>
                            <w:sz w:val="28"/>
                          </w:rPr>
                          <w:t> </w:t>
                        </w:r>
                        <w:r>
                          <w:rPr>
                            <w:b/>
                            <w:color w:val="164194"/>
                            <w:sz w:val="28"/>
                          </w:rPr>
                          <w:t>practice</w:t>
                        </w:r>
                        <w:r>
                          <w:rPr>
                            <w:b/>
                            <w:color w:val="164194"/>
                            <w:spacing w:val="-3"/>
                            <w:sz w:val="28"/>
                          </w:rPr>
                          <w:t> </w:t>
                        </w:r>
                        <w:r>
                          <w:rPr>
                            <w:b/>
                            <w:color w:val="164194"/>
                            <w:sz w:val="28"/>
                          </w:rPr>
                          <w:t>with</w:t>
                        </w:r>
                        <w:r>
                          <w:rPr>
                            <w:b/>
                            <w:color w:val="164194"/>
                            <w:spacing w:val="-2"/>
                            <w:sz w:val="28"/>
                          </w:rPr>
                          <w:t> </w:t>
                        </w:r>
                        <w:r>
                          <w:rPr>
                            <w:b/>
                            <w:color w:val="164194"/>
                            <w:sz w:val="28"/>
                          </w:rPr>
                          <w:t>which</w:t>
                        </w:r>
                        <w:r>
                          <w:rPr>
                            <w:b/>
                            <w:color w:val="164194"/>
                            <w:spacing w:val="-2"/>
                            <w:sz w:val="28"/>
                          </w:rPr>
                          <w:t> </w:t>
                        </w:r>
                        <w:r>
                          <w:rPr>
                            <w:b/>
                            <w:color w:val="164194"/>
                            <w:sz w:val="28"/>
                          </w:rPr>
                          <w:t>Northern</w:t>
                        </w:r>
                        <w:r>
                          <w:rPr>
                            <w:b/>
                            <w:color w:val="164194"/>
                            <w:spacing w:val="-2"/>
                            <w:sz w:val="28"/>
                          </w:rPr>
                          <w:t> </w:t>
                        </w:r>
                        <w:r>
                          <w:rPr>
                            <w:b/>
                            <w:color w:val="164194"/>
                            <w:sz w:val="28"/>
                          </w:rPr>
                          <w:t>Ireland</w:t>
                        </w:r>
                        <w:r>
                          <w:rPr>
                            <w:b/>
                            <w:color w:val="164194"/>
                            <w:spacing w:val="-2"/>
                            <w:sz w:val="28"/>
                          </w:rPr>
                          <w:t> </w:t>
                        </w:r>
                        <w:r>
                          <w:rPr>
                            <w:b/>
                            <w:color w:val="164194"/>
                            <w:sz w:val="28"/>
                          </w:rPr>
                          <w:t>may</w:t>
                        </w:r>
                        <w:r>
                          <w:rPr>
                            <w:b/>
                            <w:color w:val="164194"/>
                            <w:spacing w:val="-2"/>
                            <w:sz w:val="28"/>
                          </w:rPr>
                          <w:t> </w:t>
                        </w:r>
                        <w:r>
                          <w:rPr>
                            <w:b/>
                            <w:color w:val="164194"/>
                            <w:sz w:val="28"/>
                          </w:rPr>
                          <w:t>wish</w:t>
                        </w:r>
                        <w:r>
                          <w:rPr>
                            <w:b/>
                            <w:color w:val="164194"/>
                            <w:spacing w:val="-2"/>
                            <w:sz w:val="28"/>
                          </w:rPr>
                          <w:t> </w:t>
                        </w:r>
                        <w:r>
                          <w:rPr>
                            <w:b/>
                            <w:color w:val="164194"/>
                            <w:sz w:val="28"/>
                          </w:rPr>
                          <w:t>to</w:t>
                        </w:r>
                        <w:r>
                          <w:rPr>
                            <w:b/>
                            <w:color w:val="164194"/>
                            <w:spacing w:val="-2"/>
                            <w:sz w:val="28"/>
                          </w:rPr>
                          <w:t> </w:t>
                        </w:r>
                        <w:r>
                          <w:rPr>
                            <w:b/>
                            <w:color w:val="164194"/>
                            <w:sz w:val="28"/>
                          </w:rPr>
                          <w:t>voluntarily align where it strengthens rights and reflect international human rights </w:t>
                        </w:r>
                        <w:r>
                          <w:rPr>
                            <w:b/>
                            <w:color w:val="164194"/>
                            <w:spacing w:val="-2"/>
                            <w:sz w:val="28"/>
                          </w:rPr>
                          <w:t>standards.</w:t>
                        </w:r>
                      </w:p>
                    </w:txbxContent>
                  </v:textbox>
                  <w10:wrap type="none"/>
                </v:shape>
                <w10:wrap type="topAndBottom"/>
              </v:group>
            </w:pict>
          </mc:Fallback>
        </mc:AlternateContent>
      </w:r>
    </w:p>
    <w:p>
      <w:pPr>
        <w:pStyle w:val="BodyText"/>
        <w:spacing w:before="1"/>
      </w:pPr>
    </w:p>
    <w:p>
      <w:pPr>
        <w:pStyle w:val="Heading3"/>
        <w:numPr>
          <w:ilvl w:val="2"/>
          <w:numId w:val="58"/>
        </w:numPr>
        <w:tabs>
          <w:tab w:pos="1358" w:val="left" w:leader="none"/>
        </w:tabs>
        <w:spacing w:line="336" w:lineRule="exact" w:before="0" w:after="0"/>
        <w:ind w:left="1358" w:right="0" w:hanging="638"/>
        <w:jc w:val="left"/>
      </w:pPr>
      <w:r>
        <w:rPr>
          <w:color w:val="004A93"/>
        </w:rPr>
        <w:t>Sexual</w:t>
      </w:r>
      <w:r>
        <w:rPr>
          <w:color w:val="004A93"/>
          <w:spacing w:val="-9"/>
        </w:rPr>
        <w:t> </w:t>
      </w:r>
      <w:r>
        <w:rPr>
          <w:color w:val="004A93"/>
          <w:spacing w:val="-2"/>
        </w:rPr>
        <w:t>orientation</w:t>
      </w:r>
    </w:p>
    <w:p>
      <w:pPr>
        <w:pStyle w:val="BodyText"/>
        <w:spacing w:line="232" w:lineRule="auto" w:before="3"/>
        <w:ind w:left="720" w:right="1156"/>
      </w:pPr>
      <w:r>
        <w:rPr/>
        <w:t>The European Commission has adopted an LGBTIQ Equality Strategy 2020-2025.</w:t>
      </w:r>
      <w:r>
        <w:rPr>
          <w:vertAlign w:val="superscript"/>
        </w:rPr>
        <w:t>694</w:t>
      </w:r>
      <w:r>
        <w:rPr>
          <w:vertAlign w:val="baseline"/>
        </w:rPr>
        <w:t> The Strategy sets out targeted actions in respect of tackling discrimination, ensuring</w:t>
      </w:r>
      <w:r>
        <w:rPr>
          <w:spacing w:val="-8"/>
          <w:vertAlign w:val="baseline"/>
        </w:rPr>
        <w:t> </w:t>
      </w:r>
      <w:r>
        <w:rPr>
          <w:vertAlign w:val="baseline"/>
        </w:rPr>
        <w:t>safety,</w:t>
      </w:r>
      <w:r>
        <w:rPr>
          <w:spacing w:val="-8"/>
          <w:vertAlign w:val="baseline"/>
        </w:rPr>
        <w:t> </w:t>
      </w:r>
      <w:r>
        <w:rPr>
          <w:vertAlign w:val="baseline"/>
        </w:rPr>
        <w:t>building</w:t>
      </w:r>
      <w:r>
        <w:rPr>
          <w:spacing w:val="-8"/>
          <w:vertAlign w:val="baseline"/>
        </w:rPr>
        <w:t> </w:t>
      </w:r>
      <w:r>
        <w:rPr>
          <w:vertAlign w:val="baseline"/>
        </w:rPr>
        <w:t>inclusive</w:t>
      </w:r>
      <w:r>
        <w:rPr>
          <w:spacing w:val="-8"/>
          <w:vertAlign w:val="baseline"/>
        </w:rPr>
        <w:t> </w:t>
      </w:r>
      <w:r>
        <w:rPr>
          <w:vertAlign w:val="baseline"/>
        </w:rPr>
        <w:t>societies,</w:t>
      </w:r>
      <w:r>
        <w:rPr>
          <w:spacing w:val="-8"/>
          <w:vertAlign w:val="baseline"/>
        </w:rPr>
        <w:t> </w:t>
      </w:r>
      <w:r>
        <w:rPr>
          <w:vertAlign w:val="baseline"/>
        </w:rPr>
        <w:t>and</w:t>
      </w:r>
      <w:r>
        <w:rPr>
          <w:spacing w:val="-9"/>
          <w:vertAlign w:val="baseline"/>
        </w:rPr>
        <w:t> </w:t>
      </w:r>
      <w:r>
        <w:rPr>
          <w:vertAlign w:val="baseline"/>
        </w:rPr>
        <w:t>leading</w:t>
      </w:r>
      <w:r>
        <w:rPr>
          <w:spacing w:val="-8"/>
          <w:vertAlign w:val="baseline"/>
        </w:rPr>
        <w:t> </w:t>
      </w:r>
      <w:r>
        <w:rPr>
          <w:vertAlign w:val="baseline"/>
        </w:rPr>
        <w:t>the</w:t>
      </w:r>
      <w:r>
        <w:rPr>
          <w:spacing w:val="-8"/>
          <w:vertAlign w:val="baseline"/>
        </w:rPr>
        <w:t> </w:t>
      </w:r>
      <w:r>
        <w:rPr>
          <w:vertAlign w:val="baseline"/>
        </w:rPr>
        <w:t>call</w:t>
      </w:r>
      <w:r>
        <w:rPr>
          <w:spacing w:val="-9"/>
          <w:vertAlign w:val="baseline"/>
        </w:rPr>
        <w:t> </w:t>
      </w:r>
      <w:r>
        <w:rPr>
          <w:vertAlign w:val="baseline"/>
        </w:rPr>
        <w:t>for</w:t>
      </w:r>
      <w:r>
        <w:rPr>
          <w:spacing w:val="-8"/>
          <w:vertAlign w:val="baseline"/>
        </w:rPr>
        <w:t> </w:t>
      </w:r>
      <w:r>
        <w:rPr>
          <w:vertAlign w:val="baseline"/>
        </w:rPr>
        <w:t>LGBTIQ</w:t>
      </w:r>
      <w:r>
        <w:rPr>
          <w:spacing w:val="-8"/>
          <w:vertAlign w:val="baseline"/>
        </w:rPr>
        <w:t> </w:t>
      </w:r>
      <w:r>
        <w:rPr>
          <w:vertAlign w:val="baseline"/>
        </w:rPr>
        <w:t>equality worldwide. The Strategy calls on the Council to extend EU sexual orientation ant- discrimination law beyond the employment context. The Strategy also highlights new challenges such as the use of face recognition software which may have implications for trans people.</w:t>
      </w:r>
    </w:p>
    <w:p>
      <w:pPr>
        <w:pStyle w:val="BodyText"/>
        <w:spacing w:before="8"/>
        <w:rPr>
          <w:sz w:val="19"/>
        </w:rPr>
      </w:pPr>
      <w:r>
        <w:rPr/>
        <mc:AlternateContent>
          <mc:Choice Requires="wps">
            <w:drawing>
              <wp:anchor distT="0" distB="0" distL="0" distR="0" allowOverlap="1" layoutInCell="1" locked="0" behindDoc="1" simplePos="0" relativeHeight="487803392">
                <wp:simplePos x="0" y="0"/>
                <wp:positionH relativeFrom="page">
                  <wp:posOffset>647994</wp:posOffset>
                </wp:positionH>
                <wp:positionV relativeFrom="paragraph">
                  <wp:posOffset>167912</wp:posOffset>
                </wp:positionV>
                <wp:extent cx="6012180" cy="1022985"/>
                <wp:effectExtent l="0" t="0" r="0" b="0"/>
                <wp:wrapTopAndBottom/>
                <wp:docPr id="1124" name="Group 1124"/>
                <wp:cNvGraphicFramePr>
                  <a:graphicFrameLocks/>
                </wp:cNvGraphicFramePr>
                <a:graphic>
                  <a:graphicData uri="http://schemas.microsoft.com/office/word/2010/wordprocessingGroup">
                    <wpg:wgp>
                      <wpg:cNvPr id="1124" name="Group 1124"/>
                      <wpg:cNvGrpSpPr/>
                      <wpg:grpSpPr>
                        <a:xfrm>
                          <a:off x="0" y="0"/>
                          <a:ext cx="6012180" cy="1022985"/>
                          <a:chExt cx="6012180" cy="1022985"/>
                        </a:xfrm>
                      </wpg:grpSpPr>
                      <wps:wsp>
                        <wps:cNvPr id="1125" name="Graphic 1125"/>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126" name="Textbox 1126"/>
                        <wps:cNvSpPr txBox="1"/>
                        <wps:spPr>
                          <a:xfrm>
                            <a:off x="0" y="0"/>
                            <a:ext cx="6012180" cy="1022985"/>
                          </a:xfrm>
                          <a:prstGeom prst="rect">
                            <a:avLst/>
                          </a:prstGeom>
                        </wps:spPr>
                        <wps:txbx>
                          <w:txbxContent>
                            <w:p>
                              <w:pPr>
                                <w:spacing w:line="232" w:lineRule="auto" w:before="121"/>
                                <w:ind w:left="340" w:right="196" w:firstLine="0"/>
                                <w:jc w:val="left"/>
                                <w:rPr>
                                  <w:b/>
                                  <w:sz w:val="28"/>
                                </w:rPr>
                              </w:pPr>
                              <w:r>
                                <w:rPr>
                                  <w:b/>
                                  <w:color w:val="164194"/>
                                  <w:sz w:val="28"/>
                                </w:rPr>
                                <w:t>We recommend that the Executive Office consider developments in the LGBTIQ</w:t>
                              </w:r>
                              <w:r>
                                <w:rPr>
                                  <w:b/>
                                  <w:color w:val="164194"/>
                                  <w:spacing w:val="-11"/>
                                  <w:sz w:val="28"/>
                                </w:rPr>
                                <w:t> </w:t>
                              </w:r>
                              <w:r>
                                <w:rPr>
                                  <w:b/>
                                  <w:color w:val="164194"/>
                                  <w:sz w:val="28"/>
                                </w:rPr>
                                <w:t>Equality</w:t>
                              </w:r>
                              <w:r>
                                <w:rPr>
                                  <w:b/>
                                  <w:color w:val="164194"/>
                                  <w:spacing w:val="-10"/>
                                  <w:sz w:val="28"/>
                                </w:rPr>
                                <w:t> </w:t>
                              </w:r>
                              <w:r>
                                <w:rPr>
                                  <w:b/>
                                  <w:color w:val="164194"/>
                                  <w:sz w:val="28"/>
                                </w:rPr>
                                <w:t>Strategy</w:t>
                              </w:r>
                              <w:r>
                                <w:rPr>
                                  <w:b/>
                                  <w:color w:val="164194"/>
                                  <w:spacing w:val="-10"/>
                                  <w:sz w:val="28"/>
                                </w:rPr>
                                <w:t> </w:t>
                              </w:r>
                              <w:r>
                                <w:rPr>
                                  <w:b/>
                                  <w:color w:val="164194"/>
                                  <w:sz w:val="28"/>
                                </w:rPr>
                                <w:t>where</w:t>
                              </w:r>
                              <w:r>
                                <w:rPr>
                                  <w:b/>
                                  <w:color w:val="164194"/>
                                  <w:spacing w:val="-11"/>
                                  <w:sz w:val="28"/>
                                </w:rPr>
                                <w:t> </w:t>
                              </w:r>
                              <w:r>
                                <w:rPr>
                                  <w:b/>
                                  <w:color w:val="164194"/>
                                  <w:sz w:val="28"/>
                                </w:rPr>
                                <w:t>this</w:t>
                              </w:r>
                              <w:r>
                                <w:rPr>
                                  <w:b/>
                                  <w:color w:val="164194"/>
                                  <w:spacing w:val="-10"/>
                                  <w:sz w:val="28"/>
                                </w:rPr>
                                <w:t> </w:t>
                              </w:r>
                              <w:r>
                                <w:rPr>
                                  <w:b/>
                                  <w:color w:val="164194"/>
                                  <w:sz w:val="28"/>
                                </w:rPr>
                                <w:t>may</w:t>
                              </w:r>
                              <w:r>
                                <w:rPr>
                                  <w:b/>
                                  <w:color w:val="164194"/>
                                  <w:spacing w:val="-10"/>
                                  <w:sz w:val="28"/>
                                </w:rPr>
                                <w:t> </w:t>
                              </w:r>
                              <w:r>
                                <w:rPr>
                                  <w:b/>
                                  <w:color w:val="164194"/>
                                  <w:sz w:val="28"/>
                                </w:rPr>
                                <w:t>identify</w:t>
                              </w:r>
                              <w:r>
                                <w:rPr>
                                  <w:b/>
                                  <w:color w:val="164194"/>
                                  <w:spacing w:val="-10"/>
                                  <w:sz w:val="28"/>
                                </w:rPr>
                                <w:t> </w:t>
                              </w:r>
                              <w:r>
                                <w:rPr>
                                  <w:b/>
                                  <w:color w:val="164194"/>
                                  <w:sz w:val="28"/>
                                </w:rPr>
                                <w:t>examples</w:t>
                              </w:r>
                              <w:r>
                                <w:rPr>
                                  <w:b/>
                                  <w:color w:val="164194"/>
                                  <w:spacing w:val="-10"/>
                                  <w:sz w:val="28"/>
                                </w:rPr>
                                <w:t> </w:t>
                              </w:r>
                              <w:r>
                                <w:rPr>
                                  <w:b/>
                                  <w:color w:val="164194"/>
                                  <w:sz w:val="28"/>
                                </w:rPr>
                                <w:t>of</w:t>
                              </w:r>
                              <w:r>
                                <w:rPr>
                                  <w:b/>
                                  <w:color w:val="164194"/>
                                  <w:spacing w:val="-11"/>
                                  <w:sz w:val="28"/>
                                </w:rPr>
                                <w:t> </w:t>
                              </w:r>
                              <w:r>
                                <w:rPr>
                                  <w:b/>
                                  <w:color w:val="164194"/>
                                  <w:sz w:val="28"/>
                                </w:rPr>
                                <w:t>best</w:t>
                              </w:r>
                              <w:r>
                                <w:rPr>
                                  <w:b/>
                                  <w:color w:val="164194"/>
                                  <w:spacing w:val="-10"/>
                                  <w:sz w:val="28"/>
                                </w:rPr>
                                <w:t> </w:t>
                              </w:r>
                              <w:r>
                                <w:rPr>
                                  <w:b/>
                                  <w:color w:val="164194"/>
                                  <w:sz w:val="28"/>
                                </w:rPr>
                                <w:t>practice with which Northern Ireland may wish to voluntarily align where they strengthen rights and reflect international human rights standards.</w:t>
                              </w:r>
                            </w:p>
                          </w:txbxContent>
                        </wps:txbx>
                        <wps:bodyPr wrap="square" lIns="0" tIns="0" rIns="0" bIns="0" rtlCol="0">
                          <a:noAutofit/>
                        </wps:bodyPr>
                      </wps:wsp>
                    </wpg:wgp>
                  </a:graphicData>
                </a:graphic>
              </wp:anchor>
            </w:drawing>
          </mc:Choice>
          <mc:Fallback>
            <w:pict>
              <v:group style="position:absolute;margin-left:51.023201pt;margin-top:13.221496pt;width:473.4pt;height:80.55pt;mso-position-horizontal-relative:page;mso-position-vertical-relative:paragraph;z-index:-15513088;mso-wrap-distance-left:0;mso-wrap-distance-right:0" id="docshapegroup927" coordorigin="1020,264" coordsize="9468,1611">
                <v:shape style="position:absolute;left:1020;top:264;width:9468;height:1611" id="docshape928" coordorigin="1020,264" coordsize="9468,1611" path="m10261,264l1247,264,1176,276,1113,308,1064,357,1032,420,1020,491,1020,1648,1032,1719,1064,1782,1113,1831,1176,1863,1247,1875,10261,1875,10333,1863,10395,1831,10444,1782,10477,1719,10488,1648,10488,491,10477,420,10444,357,10395,308,10333,276,10261,264xe" filled="true" fillcolor="#e9f3fc" stroked="false">
                  <v:path arrowok="t"/>
                  <v:fill type="solid"/>
                </v:shape>
                <v:shape style="position:absolute;left:1020;top:264;width:9468;height:1611" type="#_x0000_t202" id="docshape929" filled="false" stroked="false">
                  <v:textbox inset="0,0,0,0">
                    <w:txbxContent>
                      <w:p>
                        <w:pPr>
                          <w:spacing w:line="232" w:lineRule="auto" w:before="121"/>
                          <w:ind w:left="340" w:right="196" w:firstLine="0"/>
                          <w:jc w:val="left"/>
                          <w:rPr>
                            <w:b/>
                            <w:sz w:val="28"/>
                          </w:rPr>
                        </w:pPr>
                        <w:r>
                          <w:rPr>
                            <w:b/>
                            <w:color w:val="164194"/>
                            <w:sz w:val="28"/>
                          </w:rPr>
                          <w:t>We recommend that the Executive Office consider developments in the LGBTIQ</w:t>
                        </w:r>
                        <w:r>
                          <w:rPr>
                            <w:b/>
                            <w:color w:val="164194"/>
                            <w:spacing w:val="-11"/>
                            <w:sz w:val="28"/>
                          </w:rPr>
                          <w:t> </w:t>
                        </w:r>
                        <w:r>
                          <w:rPr>
                            <w:b/>
                            <w:color w:val="164194"/>
                            <w:sz w:val="28"/>
                          </w:rPr>
                          <w:t>Equality</w:t>
                        </w:r>
                        <w:r>
                          <w:rPr>
                            <w:b/>
                            <w:color w:val="164194"/>
                            <w:spacing w:val="-10"/>
                            <w:sz w:val="28"/>
                          </w:rPr>
                          <w:t> </w:t>
                        </w:r>
                        <w:r>
                          <w:rPr>
                            <w:b/>
                            <w:color w:val="164194"/>
                            <w:sz w:val="28"/>
                          </w:rPr>
                          <w:t>Strategy</w:t>
                        </w:r>
                        <w:r>
                          <w:rPr>
                            <w:b/>
                            <w:color w:val="164194"/>
                            <w:spacing w:val="-10"/>
                            <w:sz w:val="28"/>
                          </w:rPr>
                          <w:t> </w:t>
                        </w:r>
                        <w:r>
                          <w:rPr>
                            <w:b/>
                            <w:color w:val="164194"/>
                            <w:sz w:val="28"/>
                          </w:rPr>
                          <w:t>where</w:t>
                        </w:r>
                        <w:r>
                          <w:rPr>
                            <w:b/>
                            <w:color w:val="164194"/>
                            <w:spacing w:val="-11"/>
                            <w:sz w:val="28"/>
                          </w:rPr>
                          <w:t> </w:t>
                        </w:r>
                        <w:r>
                          <w:rPr>
                            <w:b/>
                            <w:color w:val="164194"/>
                            <w:sz w:val="28"/>
                          </w:rPr>
                          <w:t>this</w:t>
                        </w:r>
                        <w:r>
                          <w:rPr>
                            <w:b/>
                            <w:color w:val="164194"/>
                            <w:spacing w:val="-10"/>
                            <w:sz w:val="28"/>
                          </w:rPr>
                          <w:t> </w:t>
                        </w:r>
                        <w:r>
                          <w:rPr>
                            <w:b/>
                            <w:color w:val="164194"/>
                            <w:sz w:val="28"/>
                          </w:rPr>
                          <w:t>may</w:t>
                        </w:r>
                        <w:r>
                          <w:rPr>
                            <w:b/>
                            <w:color w:val="164194"/>
                            <w:spacing w:val="-10"/>
                            <w:sz w:val="28"/>
                          </w:rPr>
                          <w:t> </w:t>
                        </w:r>
                        <w:r>
                          <w:rPr>
                            <w:b/>
                            <w:color w:val="164194"/>
                            <w:sz w:val="28"/>
                          </w:rPr>
                          <w:t>identify</w:t>
                        </w:r>
                        <w:r>
                          <w:rPr>
                            <w:b/>
                            <w:color w:val="164194"/>
                            <w:spacing w:val="-10"/>
                            <w:sz w:val="28"/>
                          </w:rPr>
                          <w:t> </w:t>
                        </w:r>
                        <w:r>
                          <w:rPr>
                            <w:b/>
                            <w:color w:val="164194"/>
                            <w:sz w:val="28"/>
                          </w:rPr>
                          <w:t>examples</w:t>
                        </w:r>
                        <w:r>
                          <w:rPr>
                            <w:b/>
                            <w:color w:val="164194"/>
                            <w:spacing w:val="-10"/>
                            <w:sz w:val="28"/>
                          </w:rPr>
                          <w:t> </w:t>
                        </w:r>
                        <w:r>
                          <w:rPr>
                            <w:b/>
                            <w:color w:val="164194"/>
                            <w:sz w:val="28"/>
                          </w:rPr>
                          <w:t>of</w:t>
                        </w:r>
                        <w:r>
                          <w:rPr>
                            <w:b/>
                            <w:color w:val="164194"/>
                            <w:spacing w:val="-11"/>
                            <w:sz w:val="28"/>
                          </w:rPr>
                          <w:t> </w:t>
                        </w:r>
                        <w:r>
                          <w:rPr>
                            <w:b/>
                            <w:color w:val="164194"/>
                            <w:sz w:val="28"/>
                          </w:rPr>
                          <w:t>best</w:t>
                        </w:r>
                        <w:r>
                          <w:rPr>
                            <w:b/>
                            <w:color w:val="164194"/>
                            <w:spacing w:val="-10"/>
                            <w:sz w:val="28"/>
                          </w:rPr>
                          <w:t> </w:t>
                        </w:r>
                        <w:r>
                          <w:rPr>
                            <w:b/>
                            <w:color w:val="164194"/>
                            <w:sz w:val="28"/>
                          </w:rPr>
                          <w:t>practice with which Northern Ireland may wish to voluntarily align where they strengthen rights and reflect international human rights standards.</w:t>
                        </w:r>
                      </w:p>
                    </w:txbxContent>
                  </v:textbox>
                  <w10:wrap type="none"/>
                </v:shape>
                <w10:wrap type="topAndBottom"/>
              </v:group>
            </w:pict>
          </mc:Fallback>
        </mc:AlternateContent>
      </w:r>
    </w:p>
    <w:p>
      <w:pPr>
        <w:pStyle w:val="BodyText"/>
        <w:spacing w:before="1"/>
      </w:pPr>
    </w:p>
    <w:p>
      <w:pPr>
        <w:pStyle w:val="Heading3"/>
        <w:numPr>
          <w:ilvl w:val="2"/>
          <w:numId w:val="58"/>
        </w:numPr>
        <w:tabs>
          <w:tab w:pos="1358" w:val="left" w:leader="none"/>
        </w:tabs>
        <w:spacing w:line="336" w:lineRule="exact" w:before="0" w:after="0"/>
        <w:ind w:left="1358" w:right="0" w:hanging="638"/>
        <w:jc w:val="left"/>
      </w:pPr>
      <w:r>
        <w:rPr>
          <w:color w:val="004A93"/>
          <w:spacing w:val="-2"/>
        </w:rPr>
        <w:t>Disability</w:t>
      </w:r>
    </w:p>
    <w:p>
      <w:pPr>
        <w:pStyle w:val="BodyText"/>
        <w:spacing w:line="232" w:lineRule="auto" w:before="3"/>
        <w:ind w:left="720" w:right="1557"/>
      </w:pPr>
      <w:r>
        <w:rPr/>
        <w:t>The European Commission has adopted a Strategy for the Rights of Persons with</w:t>
      </w:r>
      <w:r>
        <w:rPr>
          <w:spacing w:val="-10"/>
        </w:rPr>
        <w:t> </w:t>
      </w:r>
      <w:r>
        <w:rPr/>
        <w:t>Disabilities</w:t>
      </w:r>
      <w:r>
        <w:rPr>
          <w:spacing w:val="-10"/>
        </w:rPr>
        <w:t> </w:t>
      </w:r>
      <w:r>
        <w:rPr/>
        <w:t>2021-2030.</w:t>
      </w:r>
      <w:r>
        <w:rPr>
          <w:vertAlign w:val="superscript"/>
        </w:rPr>
        <w:t>695</w:t>
      </w:r>
      <w:r>
        <w:rPr>
          <w:spacing w:val="-10"/>
          <w:vertAlign w:val="baseline"/>
        </w:rPr>
        <w:t> </w:t>
      </w:r>
      <w:r>
        <w:rPr>
          <w:vertAlign w:val="baseline"/>
        </w:rPr>
        <w:t>The</w:t>
      </w:r>
      <w:r>
        <w:rPr>
          <w:spacing w:val="-9"/>
          <w:vertAlign w:val="baseline"/>
        </w:rPr>
        <w:t> </w:t>
      </w:r>
      <w:r>
        <w:rPr>
          <w:vertAlign w:val="baseline"/>
        </w:rPr>
        <w:t>Strategy</w:t>
      </w:r>
      <w:r>
        <w:rPr>
          <w:spacing w:val="-9"/>
          <w:vertAlign w:val="baseline"/>
        </w:rPr>
        <w:t> </w:t>
      </w:r>
      <w:r>
        <w:rPr>
          <w:vertAlign w:val="baseline"/>
        </w:rPr>
        <w:t>addresses</w:t>
      </w:r>
      <w:r>
        <w:rPr>
          <w:spacing w:val="-10"/>
          <w:vertAlign w:val="baseline"/>
        </w:rPr>
        <w:t> </w:t>
      </w:r>
      <w:r>
        <w:rPr>
          <w:vertAlign w:val="baseline"/>
        </w:rPr>
        <w:t>topics</w:t>
      </w:r>
      <w:r>
        <w:rPr>
          <w:spacing w:val="-10"/>
          <w:vertAlign w:val="baseline"/>
        </w:rPr>
        <w:t> </w:t>
      </w:r>
      <w:r>
        <w:rPr>
          <w:vertAlign w:val="baseline"/>
        </w:rPr>
        <w:t>such</w:t>
      </w:r>
      <w:r>
        <w:rPr>
          <w:spacing w:val="-10"/>
          <w:vertAlign w:val="baseline"/>
        </w:rPr>
        <w:t> </w:t>
      </w:r>
      <w:r>
        <w:rPr>
          <w:vertAlign w:val="baseline"/>
        </w:rPr>
        <w:t>as</w:t>
      </w:r>
      <w:r>
        <w:rPr>
          <w:spacing w:val="-10"/>
          <w:vertAlign w:val="baseline"/>
        </w:rPr>
        <w:t> </w:t>
      </w:r>
      <w:r>
        <w:rPr>
          <w:vertAlign w:val="baseline"/>
        </w:rPr>
        <w:t>promoting</w:t>
      </w:r>
    </w:p>
    <w:p>
      <w:pPr>
        <w:pStyle w:val="BodyText"/>
        <w:spacing w:line="232" w:lineRule="auto"/>
        <w:ind w:left="720" w:right="1087"/>
      </w:pPr>
      <w:r>
        <w:rPr/>
        <w:t>accessibility; the enjoyment of rights such as free movement and participation in the</w:t>
      </w:r>
      <w:r>
        <w:rPr>
          <w:spacing w:val="-5"/>
        </w:rPr>
        <w:t> </w:t>
      </w:r>
      <w:r>
        <w:rPr/>
        <w:t>democratic</w:t>
      </w:r>
      <w:r>
        <w:rPr>
          <w:spacing w:val="-5"/>
        </w:rPr>
        <w:t> </w:t>
      </w:r>
      <w:r>
        <w:rPr/>
        <w:t>process;</w:t>
      </w:r>
      <w:r>
        <w:rPr>
          <w:spacing w:val="-5"/>
        </w:rPr>
        <w:t> </w:t>
      </w:r>
      <w:r>
        <w:rPr/>
        <w:t>supporting</w:t>
      </w:r>
      <w:r>
        <w:rPr>
          <w:spacing w:val="-5"/>
        </w:rPr>
        <w:t> </w:t>
      </w:r>
      <w:r>
        <w:rPr/>
        <w:t>a</w:t>
      </w:r>
      <w:r>
        <w:rPr>
          <w:spacing w:val="-6"/>
        </w:rPr>
        <w:t> </w:t>
      </w:r>
      <w:r>
        <w:rPr/>
        <w:t>decent</w:t>
      </w:r>
      <w:r>
        <w:rPr>
          <w:spacing w:val="-5"/>
        </w:rPr>
        <w:t> </w:t>
      </w:r>
      <w:r>
        <w:rPr/>
        <w:t>quality</w:t>
      </w:r>
      <w:r>
        <w:rPr>
          <w:spacing w:val="-5"/>
        </w:rPr>
        <w:t> </w:t>
      </w:r>
      <w:r>
        <w:rPr/>
        <w:t>of</w:t>
      </w:r>
      <w:r>
        <w:rPr>
          <w:spacing w:val="-6"/>
        </w:rPr>
        <w:t> </w:t>
      </w:r>
      <w:r>
        <w:rPr/>
        <w:t>life</w:t>
      </w:r>
      <w:r>
        <w:rPr>
          <w:spacing w:val="-5"/>
        </w:rPr>
        <w:t> </w:t>
      </w:r>
      <w:r>
        <w:rPr/>
        <w:t>and</w:t>
      </w:r>
      <w:r>
        <w:rPr>
          <w:spacing w:val="-6"/>
        </w:rPr>
        <w:t> </w:t>
      </w:r>
      <w:r>
        <w:rPr/>
        <w:t>independent</w:t>
      </w:r>
      <w:r>
        <w:rPr>
          <w:spacing w:val="-5"/>
        </w:rPr>
        <w:t> </w:t>
      </w:r>
      <w:r>
        <w:rPr/>
        <w:t>living, including access to quality and sustainable jobs, adequate social protection; equal access and non-discrimination across areas such as justice, healthcare, housing, education;</w:t>
      </w:r>
      <w:r>
        <w:rPr>
          <w:spacing w:val="-9"/>
        </w:rPr>
        <w:t> </w:t>
      </w:r>
      <w:r>
        <w:rPr/>
        <w:t>ensuring</w:t>
      </w:r>
      <w:r>
        <w:rPr>
          <w:spacing w:val="-9"/>
        </w:rPr>
        <w:t> </w:t>
      </w:r>
      <w:r>
        <w:rPr/>
        <w:t>safety</w:t>
      </w:r>
      <w:r>
        <w:rPr>
          <w:spacing w:val="-9"/>
        </w:rPr>
        <w:t> </w:t>
      </w:r>
      <w:r>
        <w:rPr/>
        <w:t>and</w:t>
      </w:r>
      <w:r>
        <w:rPr>
          <w:spacing w:val="-9"/>
        </w:rPr>
        <w:t> </w:t>
      </w:r>
      <w:r>
        <w:rPr/>
        <w:t>protection;</w:t>
      </w:r>
      <w:r>
        <w:rPr>
          <w:spacing w:val="-9"/>
        </w:rPr>
        <w:t> </w:t>
      </w:r>
      <w:r>
        <w:rPr/>
        <w:t>and</w:t>
      </w:r>
      <w:r>
        <w:rPr>
          <w:spacing w:val="-9"/>
        </w:rPr>
        <w:t> </w:t>
      </w:r>
      <w:r>
        <w:rPr/>
        <w:t>promoting</w:t>
      </w:r>
      <w:r>
        <w:rPr>
          <w:spacing w:val="-9"/>
        </w:rPr>
        <w:t> </w:t>
      </w:r>
      <w:r>
        <w:rPr/>
        <w:t>disability</w:t>
      </w:r>
      <w:r>
        <w:rPr>
          <w:spacing w:val="-9"/>
        </w:rPr>
        <w:t> </w:t>
      </w:r>
      <w:r>
        <w:rPr/>
        <w:t>rights</w:t>
      </w:r>
      <w:r>
        <w:rPr>
          <w:spacing w:val="-9"/>
        </w:rPr>
        <w:t> </w:t>
      </w:r>
      <w:r>
        <w:rPr/>
        <w:t>globally.</w:t>
      </w:r>
    </w:p>
    <w:p>
      <w:pPr>
        <w:pStyle w:val="BodyText"/>
        <w:spacing w:before="8"/>
        <w:rPr>
          <w:sz w:val="19"/>
        </w:rPr>
      </w:pPr>
      <w:r>
        <w:rPr/>
        <mc:AlternateContent>
          <mc:Choice Requires="wps">
            <w:drawing>
              <wp:anchor distT="0" distB="0" distL="0" distR="0" allowOverlap="1" layoutInCell="1" locked="0" behindDoc="1" simplePos="0" relativeHeight="487803904">
                <wp:simplePos x="0" y="0"/>
                <wp:positionH relativeFrom="page">
                  <wp:posOffset>647994</wp:posOffset>
                </wp:positionH>
                <wp:positionV relativeFrom="paragraph">
                  <wp:posOffset>167914</wp:posOffset>
                </wp:positionV>
                <wp:extent cx="6012180" cy="1022985"/>
                <wp:effectExtent l="0" t="0" r="0" b="0"/>
                <wp:wrapTopAndBottom/>
                <wp:docPr id="1127" name="Group 1127"/>
                <wp:cNvGraphicFramePr>
                  <a:graphicFrameLocks/>
                </wp:cNvGraphicFramePr>
                <a:graphic>
                  <a:graphicData uri="http://schemas.microsoft.com/office/word/2010/wordprocessingGroup">
                    <wpg:wgp>
                      <wpg:cNvPr id="1127" name="Group 1127"/>
                      <wpg:cNvGrpSpPr/>
                      <wpg:grpSpPr>
                        <a:xfrm>
                          <a:off x="0" y="0"/>
                          <a:ext cx="6012180" cy="1022985"/>
                          <a:chExt cx="6012180" cy="1022985"/>
                        </a:xfrm>
                      </wpg:grpSpPr>
                      <wps:wsp>
                        <wps:cNvPr id="1128" name="Graphic 1128"/>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129" name="Textbox 1129"/>
                        <wps:cNvSpPr txBox="1"/>
                        <wps:spPr>
                          <a:xfrm>
                            <a:off x="0" y="0"/>
                            <a:ext cx="6012180" cy="1022985"/>
                          </a:xfrm>
                          <a:prstGeom prst="rect">
                            <a:avLst/>
                          </a:prstGeom>
                        </wps:spPr>
                        <wps:txbx>
                          <w:txbxContent>
                            <w:p>
                              <w:pPr>
                                <w:spacing w:line="232" w:lineRule="auto" w:before="121"/>
                                <w:ind w:left="340" w:right="106"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10"/>
                                  <w:sz w:val="28"/>
                                </w:rPr>
                                <w:t> </w:t>
                              </w:r>
                              <w:r>
                                <w:rPr>
                                  <w:b/>
                                  <w:color w:val="164194"/>
                                  <w:sz w:val="28"/>
                                </w:rPr>
                                <w:t>that</w:t>
                              </w:r>
                              <w:r>
                                <w:rPr>
                                  <w:b/>
                                  <w:color w:val="164194"/>
                                  <w:spacing w:val="-10"/>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consider</w:t>
                              </w:r>
                              <w:r>
                                <w:rPr>
                                  <w:b/>
                                  <w:color w:val="164194"/>
                                  <w:spacing w:val="-10"/>
                                  <w:sz w:val="28"/>
                                </w:rPr>
                                <w:t> </w:t>
                              </w:r>
                              <w:r>
                                <w:rPr>
                                  <w:b/>
                                  <w:color w:val="164194"/>
                                  <w:sz w:val="28"/>
                                </w:rPr>
                                <w:t>developments</w:t>
                              </w:r>
                              <w:r>
                                <w:rPr>
                                  <w:b/>
                                  <w:color w:val="164194"/>
                                  <w:spacing w:val="-10"/>
                                  <w:sz w:val="28"/>
                                </w:rPr>
                                <w:t> </w:t>
                              </w:r>
                              <w:r>
                                <w:rPr>
                                  <w:b/>
                                  <w:color w:val="164194"/>
                                  <w:sz w:val="28"/>
                                </w:rPr>
                                <w:t>in</w:t>
                              </w:r>
                              <w:r>
                                <w:rPr>
                                  <w:b/>
                                  <w:color w:val="164194"/>
                                  <w:spacing w:val="-10"/>
                                  <w:sz w:val="28"/>
                                </w:rPr>
                                <w:t> </w:t>
                              </w:r>
                              <w:r>
                                <w:rPr>
                                  <w:b/>
                                  <w:color w:val="164194"/>
                                  <w:sz w:val="28"/>
                                </w:rPr>
                                <w:t>the Strategy</w:t>
                              </w:r>
                              <w:r>
                                <w:rPr>
                                  <w:b/>
                                  <w:color w:val="164194"/>
                                  <w:spacing w:val="-8"/>
                                  <w:sz w:val="28"/>
                                </w:rPr>
                                <w:t> </w:t>
                              </w:r>
                              <w:r>
                                <w:rPr>
                                  <w:b/>
                                  <w:color w:val="164194"/>
                                  <w:sz w:val="28"/>
                                </w:rPr>
                                <w:t>for</w:t>
                              </w:r>
                              <w:r>
                                <w:rPr>
                                  <w:b/>
                                  <w:color w:val="164194"/>
                                  <w:spacing w:val="-8"/>
                                  <w:sz w:val="28"/>
                                </w:rPr>
                                <w:t> </w:t>
                              </w:r>
                              <w:r>
                                <w:rPr>
                                  <w:b/>
                                  <w:color w:val="164194"/>
                                  <w:sz w:val="28"/>
                                </w:rPr>
                                <w:t>the</w:t>
                              </w:r>
                              <w:r>
                                <w:rPr>
                                  <w:b/>
                                  <w:color w:val="164194"/>
                                  <w:spacing w:val="-8"/>
                                  <w:sz w:val="28"/>
                                </w:rPr>
                                <w:t> </w:t>
                              </w:r>
                              <w:r>
                                <w:rPr>
                                  <w:b/>
                                  <w:color w:val="164194"/>
                                  <w:sz w:val="28"/>
                                </w:rPr>
                                <w:t>Rights</w:t>
                              </w:r>
                              <w:r>
                                <w:rPr>
                                  <w:b/>
                                  <w:color w:val="164194"/>
                                  <w:spacing w:val="-8"/>
                                  <w:sz w:val="28"/>
                                </w:rPr>
                                <w:t> </w:t>
                              </w:r>
                              <w:r>
                                <w:rPr>
                                  <w:b/>
                                  <w:color w:val="164194"/>
                                  <w:sz w:val="28"/>
                                </w:rPr>
                                <w:t>of</w:t>
                              </w:r>
                              <w:r>
                                <w:rPr>
                                  <w:b/>
                                  <w:color w:val="164194"/>
                                  <w:spacing w:val="-8"/>
                                  <w:sz w:val="28"/>
                                </w:rPr>
                                <w:t> </w:t>
                              </w:r>
                              <w:r>
                                <w:rPr>
                                  <w:b/>
                                  <w:color w:val="164194"/>
                                  <w:sz w:val="28"/>
                                </w:rPr>
                                <w:t>Persons</w:t>
                              </w:r>
                              <w:r>
                                <w:rPr>
                                  <w:b/>
                                  <w:color w:val="164194"/>
                                  <w:spacing w:val="-8"/>
                                  <w:sz w:val="28"/>
                                </w:rPr>
                                <w:t> </w:t>
                              </w:r>
                              <w:r>
                                <w:rPr>
                                  <w:b/>
                                  <w:color w:val="164194"/>
                                  <w:sz w:val="28"/>
                                </w:rPr>
                                <w:t>with</w:t>
                              </w:r>
                              <w:r>
                                <w:rPr>
                                  <w:b/>
                                  <w:color w:val="164194"/>
                                  <w:spacing w:val="-8"/>
                                  <w:sz w:val="28"/>
                                </w:rPr>
                                <w:t> </w:t>
                              </w:r>
                              <w:r>
                                <w:rPr>
                                  <w:b/>
                                  <w:color w:val="164194"/>
                                  <w:sz w:val="28"/>
                                </w:rPr>
                                <w:t>Disabilities</w:t>
                              </w:r>
                              <w:r>
                                <w:rPr>
                                  <w:b/>
                                  <w:color w:val="164194"/>
                                  <w:spacing w:val="-8"/>
                                  <w:sz w:val="28"/>
                                </w:rPr>
                                <w:t> </w:t>
                              </w:r>
                              <w:r>
                                <w:rPr>
                                  <w:b/>
                                  <w:color w:val="164194"/>
                                  <w:sz w:val="28"/>
                                </w:rPr>
                                <w:t>2021-2030</w:t>
                              </w:r>
                              <w:r>
                                <w:rPr>
                                  <w:b/>
                                  <w:color w:val="164194"/>
                                  <w:spacing w:val="-8"/>
                                  <w:sz w:val="28"/>
                                </w:rPr>
                                <w:t> </w:t>
                              </w:r>
                              <w:r>
                                <w:rPr>
                                  <w:b/>
                                  <w:color w:val="164194"/>
                                  <w:sz w:val="28"/>
                                </w:rPr>
                                <w:t>where</w:t>
                              </w:r>
                              <w:r>
                                <w:rPr>
                                  <w:b/>
                                  <w:color w:val="164194"/>
                                  <w:spacing w:val="-8"/>
                                  <w:sz w:val="28"/>
                                </w:rPr>
                                <w:t> </w:t>
                              </w:r>
                              <w:r>
                                <w:rPr>
                                  <w:b/>
                                  <w:color w:val="164194"/>
                                  <w:sz w:val="28"/>
                                </w:rPr>
                                <w:t>this</w:t>
                              </w:r>
                              <w:r>
                                <w:rPr>
                                  <w:b/>
                                  <w:color w:val="164194"/>
                                  <w:spacing w:val="-8"/>
                                  <w:sz w:val="28"/>
                                </w:rPr>
                                <w:t> </w:t>
                              </w:r>
                              <w:r>
                                <w:rPr>
                                  <w:b/>
                                  <w:color w:val="164194"/>
                                  <w:sz w:val="28"/>
                                </w:rPr>
                                <w:t>may </w:t>
                              </w:r>
                              <w:r>
                                <w:rPr>
                                  <w:b/>
                                  <w:color w:val="164194"/>
                                  <w:spacing w:val="-2"/>
                                  <w:sz w:val="28"/>
                                </w:rPr>
                                <w:t>identify</w:t>
                              </w:r>
                              <w:r>
                                <w:rPr>
                                  <w:b/>
                                  <w:color w:val="164194"/>
                                  <w:spacing w:val="-11"/>
                                  <w:sz w:val="28"/>
                                </w:rPr>
                                <w:t> </w:t>
                              </w:r>
                              <w:r>
                                <w:rPr>
                                  <w:b/>
                                  <w:color w:val="164194"/>
                                  <w:spacing w:val="-2"/>
                                  <w:sz w:val="28"/>
                                </w:rPr>
                                <w:t>best</w:t>
                              </w:r>
                              <w:r>
                                <w:rPr>
                                  <w:b/>
                                  <w:color w:val="164194"/>
                                  <w:spacing w:val="-11"/>
                                  <w:sz w:val="28"/>
                                </w:rPr>
                                <w:t> </w:t>
                              </w:r>
                              <w:r>
                                <w:rPr>
                                  <w:b/>
                                  <w:color w:val="164194"/>
                                  <w:spacing w:val="-2"/>
                                  <w:sz w:val="28"/>
                                </w:rPr>
                                <w:t>practice</w:t>
                              </w:r>
                              <w:r>
                                <w:rPr>
                                  <w:b/>
                                  <w:color w:val="164194"/>
                                  <w:spacing w:val="-12"/>
                                  <w:sz w:val="28"/>
                                </w:rPr>
                                <w:t> </w:t>
                              </w:r>
                              <w:r>
                                <w:rPr>
                                  <w:b/>
                                  <w:color w:val="164194"/>
                                  <w:spacing w:val="-2"/>
                                  <w:sz w:val="28"/>
                                </w:rPr>
                                <w:t>with</w:t>
                              </w:r>
                              <w:r>
                                <w:rPr>
                                  <w:b/>
                                  <w:color w:val="164194"/>
                                  <w:spacing w:val="-11"/>
                                  <w:sz w:val="28"/>
                                </w:rPr>
                                <w:t> </w:t>
                              </w:r>
                              <w:r>
                                <w:rPr>
                                  <w:b/>
                                  <w:color w:val="164194"/>
                                  <w:spacing w:val="-2"/>
                                  <w:sz w:val="28"/>
                                </w:rPr>
                                <w:t>which</w:t>
                              </w:r>
                              <w:r>
                                <w:rPr>
                                  <w:b/>
                                  <w:color w:val="164194"/>
                                  <w:spacing w:val="-11"/>
                                  <w:sz w:val="28"/>
                                </w:rPr>
                                <w:t> </w:t>
                              </w:r>
                              <w:r>
                                <w:rPr>
                                  <w:b/>
                                  <w:color w:val="164194"/>
                                  <w:spacing w:val="-2"/>
                                  <w:sz w:val="28"/>
                                </w:rPr>
                                <w:t>Northern</w:t>
                              </w:r>
                              <w:r>
                                <w:rPr>
                                  <w:b/>
                                  <w:color w:val="164194"/>
                                  <w:spacing w:val="-11"/>
                                  <w:sz w:val="28"/>
                                </w:rPr>
                                <w:t> </w:t>
                              </w:r>
                              <w:r>
                                <w:rPr>
                                  <w:b/>
                                  <w:color w:val="164194"/>
                                  <w:spacing w:val="-2"/>
                                  <w:sz w:val="28"/>
                                </w:rPr>
                                <w:t>Ireland</w:t>
                              </w:r>
                              <w:r>
                                <w:rPr>
                                  <w:b/>
                                  <w:color w:val="164194"/>
                                  <w:spacing w:val="-11"/>
                                  <w:sz w:val="28"/>
                                </w:rPr>
                                <w:t> </w:t>
                              </w:r>
                              <w:r>
                                <w:rPr>
                                  <w:b/>
                                  <w:color w:val="164194"/>
                                  <w:spacing w:val="-2"/>
                                  <w:sz w:val="28"/>
                                </w:rPr>
                                <w:t>may</w:t>
                              </w:r>
                              <w:r>
                                <w:rPr>
                                  <w:b/>
                                  <w:color w:val="164194"/>
                                  <w:spacing w:val="-11"/>
                                  <w:sz w:val="28"/>
                                </w:rPr>
                                <w:t> </w:t>
                              </w:r>
                              <w:r>
                                <w:rPr>
                                  <w:b/>
                                  <w:color w:val="164194"/>
                                  <w:spacing w:val="-2"/>
                                  <w:sz w:val="28"/>
                                </w:rPr>
                                <w:t>wish</w:t>
                              </w:r>
                              <w:r>
                                <w:rPr>
                                  <w:b/>
                                  <w:color w:val="164194"/>
                                  <w:spacing w:val="-11"/>
                                  <w:sz w:val="28"/>
                                </w:rPr>
                                <w:t> </w:t>
                              </w:r>
                              <w:r>
                                <w:rPr>
                                  <w:b/>
                                  <w:color w:val="164194"/>
                                  <w:spacing w:val="-2"/>
                                  <w:sz w:val="28"/>
                                </w:rPr>
                                <w:t>to</w:t>
                              </w:r>
                              <w:r>
                                <w:rPr>
                                  <w:b/>
                                  <w:color w:val="164194"/>
                                  <w:spacing w:val="-11"/>
                                  <w:sz w:val="28"/>
                                </w:rPr>
                                <w:t> </w:t>
                              </w:r>
                              <w:r>
                                <w:rPr>
                                  <w:b/>
                                  <w:color w:val="164194"/>
                                  <w:spacing w:val="-2"/>
                                  <w:sz w:val="28"/>
                                </w:rPr>
                                <w:t>voluntarily</w:t>
                              </w:r>
                              <w:r>
                                <w:rPr>
                                  <w:b/>
                                  <w:color w:val="164194"/>
                                  <w:spacing w:val="-11"/>
                                  <w:sz w:val="28"/>
                                </w:rPr>
                                <w:t> </w:t>
                              </w:r>
                              <w:r>
                                <w:rPr>
                                  <w:b/>
                                  <w:color w:val="164194"/>
                                  <w:spacing w:val="-2"/>
                                  <w:sz w:val="28"/>
                                </w:rPr>
                                <w:t>align where</w:t>
                              </w:r>
                              <w:r>
                                <w:rPr>
                                  <w:b/>
                                  <w:color w:val="164194"/>
                                  <w:spacing w:val="-6"/>
                                  <w:sz w:val="28"/>
                                </w:rPr>
                                <w:t> </w:t>
                              </w:r>
                              <w:r>
                                <w:rPr>
                                  <w:b/>
                                  <w:color w:val="164194"/>
                                  <w:spacing w:val="-2"/>
                                  <w:sz w:val="28"/>
                                </w:rPr>
                                <w:t>they</w:t>
                              </w:r>
                              <w:r>
                                <w:rPr>
                                  <w:b/>
                                  <w:color w:val="164194"/>
                                  <w:spacing w:val="-6"/>
                                  <w:sz w:val="28"/>
                                </w:rPr>
                                <w:t> </w:t>
                              </w:r>
                              <w:r>
                                <w:rPr>
                                  <w:b/>
                                  <w:color w:val="164194"/>
                                  <w:spacing w:val="-2"/>
                                  <w:sz w:val="28"/>
                                </w:rPr>
                                <w:t>strengthen</w:t>
                              </w:r>
                              <w:r>
                                <w:rPr>
                                  <w:b/>
                                  <w:color w:val="164194"/>
                                  <w:spacing w:val="-6"/>
                                  <w:sz w:val="28"/>
                                </w:rPr>
                                <w:t> </w:t>
                              </w:r>
                              <w:r>
                                <w:rPr>
                                  <w:b/>
                                  <w:color w:val="164194"/>
                                  <w:spacing w:val="-2"/>
                                  <w:sz w:val="28"/>
                                </w:rPr>
                                <w:t>rights</w:t>
                              </w:r>
                              <w:r>
                                <w:rPr>
                                  <w:b/>
                                  <w:color w:val="164194"/>
                                  <w:spacing w:val="-6"/>
                                  <w:sz w:val="28"/>
                                </w:rPr>
                                <w:t> </w:t>
                              </w:r>
                              <w:r>
                                <w:rPr>
                                  <w:b/>
                                  <w:color w:val="164194"/>
                                  <w:spacing w:val="-2"/>
                                  <w:sz w:val="28"/>
                                </w:rPr>
                                <w:t>and</w:t>
                              </w:r>
                              <w:r>
                                <w:rPr>
                                  <w:b/>
                                  <w:color w:val="164194"/>
                                  <w:spacing w:val="-6"/>
                                  <w:sz w:val="28"/>
                                </w:rPr>
                                <w:t> </w:t>
                              </w:r>
                              <w:r>
                                <w:rPr>
                                  <w:b/>
                                  <w:color w:val="164194"/>
                                  <w:spacing w:val="-2"/>
                                  <w:sz w:val="28"/>
                                </w:rPr>
                                <w:t>reflect</w:t>
                              </w:r>
                              <w:r>
                                <w:rPr>
                                  <w:b/>
                                  <w:color w:val="164194"/>
                                  <w:spacing w:val="-6"/>
                                  <w:sz w:val="28"/>
                                </w:rPr>
                                <w:t> </w:t>
                              </w:r>
                              <w:r>
                                <w:rPr>
                                  <w:b/>
                                  <w:color w:val="164194"/>
                                  <w:spacing w:val="-2"/>
                                  <w:sz w:val="28"/>
                                </w:rPr>
                                <w:t>international</w:t>
                              </w:r>
                              <w:r>
                                <w:rPr>
                                  <w:b/>
                                  <w:color w:val="164194"/>
                                  <w:spacing w:val="-6"/>
                                  <w:sz w:val="28"/>
                                </w:rPr>
                                <w:t> </w:t>
                              </w:r>
                              <w:r>
                                <w:rPr>
                                  <w:b/>
                                  <w:color w:val="164194"/>
                                  <w:spacing w:val="-2"/>
                                  <w:sz w:val="28"/>
                                </w:rPr>
                                <w:t>human</w:t>
                              </w:r>
                              <w:r>
                                <w:rPr>
                                  <w:b/>
                                  <w:color w:val="164194"/>
                                  <w:spacing w:val="-6"/>
                                  <w:sz w:val="28"/>
                                </w:rPr>
                                <w:t> </w:t>
                              </w:r>
                              <w:r>
                                <w:rPr>
                                  <w:b/>
                                  <w:color w:val="164194"/>
                                  <w:spacing w:val="-2"/>
                                  <w:sz w:val="28"/>
                                </w:rPr>
                                <w:t>rights</w:t>
                              </w:r>
                              <w:r>
                                <w:rPr>
                                  <w:b/>
                                  <w:color w:val="164194"/>
                                  <w:spacing w:val="-6"/>
                                  <w:sz w:val="28"/>
                                </w:rPr>
                                <w:t> </w:t>
                              </w:r>
                              <w:r>
                                <w:rPr>
                                  <w:b/>
                                  <w:color w:val="164194"/>
                                  <w:spacing w:val="-2"/>
                                  <w:sz w:val="28"/>
                                </w:rPr>
                                <w:t>standards.</w:t>
                              </w:r>
                            </w:p>
                          </w:txbxContent>
                        </wps:txbx>
                        <wps:bodyPr wrap="square" lIns="0" tIns="0" rIns="0" bIns="0" rtlCol="0">
                          <a:noAutofit/>
                        </wps:bodyPr>
                      </wps:wsp>
                    </wpg:wgp>
                  </a:graphicData>
                </a:graphic>
              </wp:anchor>
            </w:drawing>
          </mc:Choice>
          <mc:Fallback>
            <w:pict>
              <v:group style="position:absolute;margin-left:51.023201pt;margin-top:13.221596pt;width:473.4pt;height:80.55pt;mso-position-horizontal-relative:page;mso-position-vertical-relative:paragraph;z-index:-15512576;mso-wrap-distance-left:0;mso-wrap-distance-right:0" id="docshapegroup930" coordorigin="1020,264" coordsize="9468,1611">
                <v:shape style="position:absolute;left:1020;top:264;width:9468;height:1611" id="docshape931" coordorigin="1020,264" coordsize="9468,1611" path="m10261,264l1247,264,1176,276,1113,308,1064,357,1032,420,1020,491,1020,1648,1032,1719,1064,1782,1113,1831,1176,1863,1247,1875,10261,1875,10333,1863,10395,1831,10444,1782,10477,1719,10488,1648,10488,491,10477,420,10444,357,10395,308,10333,276,10261,264xe" filled="true" fillcolor="#e9f3fc" stroked="false">
                  <v:path arrowok="t"/>
                  <v:fill type="solid"/>
                </v:shape>
                <v:shape style="position:absolute;left:1020;top:264;width:9468;height:1611" type="#_x0000_t202" id="docshape932" filled="false" stroked="false">
                  <v:textbox inset="0,0,0,0">
                    <w:txbxContent>
                      <w:p>
                        <w:pPr>
                          <w:spacing w:line="232" w:lineRule="auto" w:before="121"/>
                          <w:ind w:left="340" w:right="106" w:firstLine="0"/>
                          <w:jc w:val="left"/>
                          <w:rPr>
                            <w:b/>
                            <w:sz w:val="28"/>
                          </w:rPr>
                        </w:pPr>
                        <w:r>
                          <w:rPr>
                            <w:b/>
                            <w:color w:val="164194"/>
                            <w:sz w:val="28"/>
                          </w:rPr>
                          <w:t>We</w:t>
                        </w:r>
                        <w:r>
                          <w:rPr>
                            <w:b/>
                            <w:color w:val="164194"/>
                            <w:spacing w:val="-10"/>
                            <w:sz w:val="28"/>
                          </w:rPr>
                          <w:t> </w:t>
                        </w:r>
                        <w:r>
                          <w:rPr>
                            <w:b/>
                            <w:color w:val="164194"/>
                            <w:sz w:val="28"/>
                          </w:rPr>
                          <w:t>recommend</w:t>
                        </w:r>
                        <w:r>
                          <w:rPr>
                            <w:b/>
                            <w:color w:val="164194"/>
                            <w:spacing w:val="-10"/>
                            <w:sz w:val="28"/>
                          </w:rPr>
                          <w:t> </w:t>
                        </w:r>
                        <w:r>
                          <w:rPr>
                            <w:b/>
                            <w:color w:val="164194"/>
                            <w:sz w:val="28"/>
                          </w:rPr>
                          <w:t>that</w:t>
                        </w:r>
                        <w:r>
                          <w:rPr>
                            <w:b/>
                            <w:color w:val="164194"/>
                            <w:spacing w:val="-10"/>
                            <w:sz w:val="28"/>
                          </w:rPr>
                          <w:t> </w:t>
                        </w:r>
                        <w:r>
                          <w:rPr>
                            <w:b/>
                            <w:color w:val="164194"/>
                            <w:sz w:val="28"/>
                          </w:rPr>
                          <w:t>the</w:t>
                        </w:r>
                        <w:r>
                          <w:rPr>
                            <w:b/>
                            <w:color w:val="164194"/>
                            <w:spacing w:val="-10"/>
                            <w:sz w:val="28"/>
                          </w:rPr>
                          <w:t> </w:t>
                        </w:r>
                        <w:r>
                          <w:rPr>
                            <w:b/>
                            <w:color w:val="164194"/>
                            <w:sz w:val="28"/>
                          </w:rPr>
                          <w:t>Executive</w:t>
                        </w:r>
                        <w:r>
                          <w:rPr>
                            <w:b/>
                            <w:color w:val="164194"/>
                            <w:spacing w:val="-10"/>
                            <w:sz w:val="28"/>
                          </w:rPr>
                          <w:t> </w:t>
                        </w:r>
                        <w:r>
                          <w:rPr>
                            <w:b/>
                            <w:color w:val="164194"/>
                            <w:sz w:val="28"/>
                          </w:rPr>
                          <w:t>Office</w:t>
                        </w:r>
                        <w:r>
                          <w:rPr>
                            <w:b/>
                            <w:color w:val="164194"/>
                            <w:spacing w:val="-10"/>
                            <w:sz w:val="28"/>
                          </w:rPr>
                          <w:t> </w:t>
                        </w:r>
                        <w:r>
                          <w:rPr>
                            <w:b/>
                            <w:color w:val="164194"/>
                            <w:sz w:val="28"/>
                          </w:rPr>
                          <w:t>consider</w:t>
                        </w:r>
                        <w:r>
                          <w:rPr>
                            <w:b/>
                            <w:color w:val="164194"/>
                            <w:spacing w:val="-10"/>
                            <w:sz w:val="28"/>
                          </w:rPr>
                          <w:t> </w:t>
                        </w:r>
                        <w:r>
                          <w:rPr>
                            <w:b/>
                            <w:color w:val="164194"/>
                            <w:sz w:val="28"/>
                          </w:rPr>
                          <w:t>developments</w:t>
                        </w:r>
                        <w:r>
                          <w:rPr>
                            <w:b/>
                            <w:color w:val="164194"/>
                            <w:spacing w:val="-10"/>
                            <w:sz w:val="28"/>
                          </w:rPr>
                          <w:t> </w:t>
                        </w:r>
                        <w:r>
                          <w:rPr>
                            <w:b/>
                            <w:color w:val="164194"/>
                            <w:sz w:val="28"/>
                          </w:rPr>
                          <w:t>in</w:t>
                        </w:r>
                        <w:r>
                          <w:rPr>
                            <w:b/>
                            <w:color w:val="164194"/>
                            <w:spacing w:val="-10"/>
                            <w:sz w:val="28"/>
                          </w:rPr>
                          <w:t> </w:t>
                        </w:r>
                        <w:r>
                          <w:rPr>
                            <w:b/>
                            <w:color w:val="164194"/>
                            <w:sz w:val="28"/>
                          </w:rPr>
                          <w:t>the Strategy</w:t>
                        </w:r>
                        <w:r>
                          <w:rPr>
                            <w:b/>
                            <w:color w:val="164194"/>
                            <w:spacing w:val="-8"/>
                            <w:sz w:val="28"/>
                          </w:rPr>
                          <w:t> </w:t>
                        </w:r>
                        <w:r>
                          <w:rPr>
                            <w:b/>
                            <w:color w:val="164194"/>
                            <w:sz w:val="28"/>
                          </w:rPr>
                          <w:t>for</w:t>
                        </w:r>
                        <w:r>
                          <w:rPr>
                            <w:b/>
                            <w:color w:val="164194"/>
                            <w:spacing w:val="-8"/>
                            <w:sz w:val="28"/>
                          </w:rPr>
                          <w:t> </w:t>
                        </w:r>
                        <w:r>
                          <w:rPr>
                            <w:b/>
                            <w:color w:val="164194"/>
                            <w:sz w:val="28"/>
                          </w:rPr>
                          <w:t>the</w:t>
                        </w:r>
                        <w:r>
                          <w:rPr>
                            <w:b/>
                            <w:color w:val="164194"/>
                            <w:spacing w:val="-8"/>
                            <w:sz w:val="28"/>
                          </w:rPr>
                          <w:t> </w:t>
                        </w:r>
                        <w:r>
                          <w:rPr>
                            <w:b/>
                            <w:color w:val="164194"/>
                            <w:sz w:val="28"/>
                          </w:rPr>
                          <w:t>Rights</w:t>
                        </w:r>
                        <w:r>
                          <w:rPr>
                            <w:b/>
                            <w:color w:val="164194"/>
                            <w:spacing w:val="-8"/>
                            <w:sz w:val="28"/>
                          </w:rPr>
                          <w:t> </w:t>
                        </w:r>
                        <w:r>
                          <w:rPr>
                            <w:b/>
                            <w:color w:val="164194"/>
                            <w:sz w:val="28"/>
                          </w:rPr>
                          <w:t>of</w:t>
                        </w:r>
                        <w:r>
                          <w:rPr>
                            <w:b/>
                            <w:color w:val="164194"/>
                            <w:spacing w:val="-8"/>
                            <w:sz w:val="28"/>
                          </w:rPr>
                          <w:t> </w:t>
                        </w:r>
                        <w:r>
                          <w:rPr>
                            <w:b/>
                            <w:color w:val="164194"/>
                            <w:sz w:val="28"/>
                          </w:rPr>
                          <w:t>Persons</w:t>
                        </w:r>
                        <w:r>
                          <w:rPr>
                            <w:b/>
                            <w:color w:val="164194"/>
                            <w:spacing w:val="-8"/>
                            <w:sz w:val="28"/>
                          </w:rPr>
                          <w:t> </w:t>
                        </w:r>
                        <w:r>
                          <w:rPr>
                            <w:b/>
                            <w:color w:val="164194"/>
                            <w:sz w:val="28"/>
                          </w:rPr>
                          <w:t>with</w:t>
                        </w:r>
                        <w:r>
                          <w:rPr>
                            <w:b/>
                            <w:color w:val="164194"/>
                            <w:spacing w:val="-8"/>
                            <w:sz w:val="28"/>
                          </w:rPr>
                          <w:t> </w:t>
                        </w:r>
                        <w:r>
                          <w:rPr>
                            <w:b/>
                            <w:color w:val="164194"/>
                            <w:sz w:val="28"/>
                          </w:rPr>
                          <w:t>Disabilities</w:t>
                        </w:r>
                        <w:r>
                          <w:rPr>
                            <w:b/>
                            <w:color w:val="164194"/>
                            <w:spacing w:val="-8"/>
                            <w:sz w:val="28"/>
                          </w:rPr>
                          <w:t> </w:t>
                        </w:r>
                        <w:r>
                          <w:rPr>
                            <w:b/>
                            <w:color w:val="164194"/>
                            <w:sz w:val="28"/>
                          </w:rPr>
                          <w:t>2021-2030</w:t>
                        </w:r>
                        <w:r>
                          <w:rPr>
                            <w:b/>
                            <w:color w:val="164194"/>
                            <w:spacing w:val="-8"/>
                            <w:sz w:val="28"/>
                          </w:rPr>
                          <w:t> </w:t>
                        </w:r>
                        <w:r>
                          <w:rPr>
                            <w:b/>
                            <w:color w:val="164194"/>
                            <w:sz w:val="28"/>
                          </w:rPr>
                          <w:t>where</w:t>
                        </w:r>
                        <w:r>
                          <w:rPr>
                            <w:b/>
                            <w:color w:val="164194"/>
                            <w:spacing w:val="-8"/>
                            <w:sz w:val="28"/>
                          </w:rPr>
                          <w:t> </w:t>
                        </w:r>
                        <w:r>
                          <w:rPr>
                            <w:b/>
                            <w:color w:val="164194"/>
                            <w:sz w:val="28"/>
                          </w:rPr>
                          <w:t>this</w:t>
                        </w:r>
                        <w:r>
                          <w:rPr>
                            <w:b/>
                            <w:color w:val="164194"/>
                            <w:spacing w:val="-8"/>
                            <w:sz w:val="28"/>
                          </w:rPr>
                          <w:t> </w:t>
                        </w:r>
                        <w:r>
                          <w:rPr>
                            <w:b/>
                            <w:color w:val="164194"/>
                            <w:sz w:val="28"/>
                          </w:rPr>
                          <w:t>may </w:t>
                        </w:r>
                        <w:r>
                          <w:rPr>
                            <w:b/>
                            <w:color w:val="164194"/>
                            <w:spacing w:val="-2"/>
                            <w:sz w:val="28"/>
                          </w:rPr>
                          <w:t>identify</w:t>
                        </w:r>
                        <w:r>
                          <w:rPr>
                            <w:b/>
                            <w:color w:val="164194"/>
                            <w:spacing w:val="-11"/>
                            <w:sz w:val="28"/>
                          </w:rPr>
                          <w:t> </w:t>
                        </w:r>
                        <w:r>
                          <w:rPr>
                            <w:b/>
                            <w:color w:val="164194"/>
                            <w:spacing w:val="-2"/>
                            <w:sz w:val="28"/>
                          </w:rPr>
                          <w:t>best</w:t>
                        </w:r>
                        <w:r>
                          <w:rPr>
                            <w:b/>
                            <w:color w:val="164194"/>
                            <w:spacing w:val="-11"/>
                            <w:sz w:val="28"/>
                          </w:rPr>
                          <w:t> </w:t>
                        </w:r>
                        <w:r>
                          <w:rPr>
                            <w:b/>
                            <w:color w:val="164194"/>
                            <w:spacing w:val="-2"/>
                            <w:sz w:val="28"/>
                          </w:rPr>
                          <w:t>practice</w:t>
                        </w:r>
                        <w:r>
                          <w:rPr>
                            <w:b/>
                            <w:color w:val="164194"/>
                            <w:spacing w:val="-12"/>
                            <w:sz w:val="28"/>
                          </w:rPr>
                          <w:t> </w:t>
                        </w:r>
                        <w:r>
                          <w:rPr>
                            <w:b/>
                            <w:color w:val="164194"/>
                            <w:spacing w:val="-2"/>
                            <w:sz w:val="28"/>
                          </w:rPr>
                          <w:t>with</w:t>
                        </w:r>
                        <w:r>
                          <w:rPr>
                            <w:b/>
                            <w:color w:val="164194"/>
                            <w:spacing w:val="-11"/>
                            <w:sz w:val="28"/>
                          </w:rPr>
                          <w:t> </w:t>
                        </w:r>
                        <w:r>
                          <w:rPr>
                            <w:b/>
                            <w:color w:val="164194"/>
                            <w:spacing w:val="-2"/>
                            <w:sz w:val="28"/>
                          </w:rPr>
                          <w:t>which</w:t>
                        </w:r>
                        <w:r>
                          <w:rPr>
                            <w:b/>
                            <w:color w:val="164194"/>
                            <w:spacing w:val="-11"/>
                            <w:sz w:val="28"/>
                          </w:rPr>
                          <w:t> </w:t>
                        </w:r>
                        <w:r>
                          <w:rPr>
                            <w:b/>
                            <w:color w:val="164194"/>
                            <w:spacing w:val="-2"/>
                            <w:sz w:val="28"/>
                          </w:rPr>
                          <w:t>Northern</w:t>
                        </w:r>
                        <w:r>
                          <w:rPr>
                            <w:b/>
                            <w:color w:val="164194"/>
                            <w:spacing w:val="-11"/>
                            <w:sz w:val="28"/>
                          </w:rPr>
                          <w:t> </w:t>
                        </w:r>
                        <w:r>
                          <w:rPr>
                            <w:b/>
                            <w:color w:val="164194"/>
                            <w:spacing w:val="-2"/>
                            <w:sz w:val="28"/>
                          </w:rPr>
                          <w:t>Ireland</w:t>
                        </w:r>
                        <w:r>
                          <w:rPr>
                            <w:b/>
                            <w:color w:val="164194"/>
                            <w:spacing w:val="-11"/>
                            <w:sz w:val="28"/>
                          </w:rPr>
                          <w:t> </w:t>
                        </w:r>
                        <w:r>
                          <w:rPr>
                            <w:b/>
                            <w:color w:val="164194"/>
                            <w:spacing w:val="-2"/>
                            <w:sz w:val="28"/>
                          </w:rPr>
                          <w:t>may</w:t>
                        </w:r>
                        <w:r>
                          <w:rPr>
                            <w:b/>
                            <w:color w:val="164194"/>
                            <w:spacing w:val="-11"/>
                            <w:sz w:val="28"/>
                          </w:rPr>
                          <w:t> </w:t>
                        </w:r>
                        <w:r>
                          <w:rPr>
                            <w:b/>
                            <w:color w:val="164194"/>
                            <w:spacing w:val="-2"/>
                            <w:sz w:val="28"/>
                          </w:rPr>
                          <w:t>wish</w:t>
                        </w:r>
                        <w:r>
                          <w:rPr>
                            <w:b/>
                            <w:color w:val="164194"/>
                            <w:spacing w:val="-11"/>
                            <w:sz w:val="28"/>
                          </w:rPr>
                          <w:t> </w:t>
                        </w:r>
                        <w:r>
                          <w:rPr>
                            <w:b/>
                            <w:color w:val="164194"/>
                            <w:spacing w:val="-2"/>
                            <w:sz w:val="28"/>
                          </w:rPr>
                          <w:t>to</w:t>
                        </w:r>
                        <w:r>
                          <w:rPr>
                            <w:b/>
                            <w:color w:val="164194"/>
                            <w:spacing w:val="-11"/>
                            <w:sz w:val="28"/>
                          </w:rPr>
                          <w:t> </w:t>
                        </w:r>
                        <w:r>
                          <w:rPr>
                            <w:b/>
                            <w:color w:val="164194"/>
                            <w:spacing w:val="-2"/>
                            <w:sz w:val="28"/>
                          </w:rPr>
                          <w:t>voluntarily</w:t>
                        </w:r>
                        <w:r>
                          <w:rPr>
                            <w:b/>
                            <w:color w:val="164194"/>
                            <w:spacing w:val="-11"/>
                            <w:sz w:val="28"/>
                          </w:rPr>
                          <w:t> </w:t>
                        </w:r>
                        <w:r>
                          <w:rPr>
                            <w:b/>
                            <w:color w:val="164194"/>
                            <w:spacing w:val="-2"/>
                            <w:sz w:val="28"/>
                          </w:rPr>
                          <w:t>align where</w:t>
                        </w:r>
                        <w:r>
                          <w:rPr>
                            <w:b/>
                            <w:color w:val="164194"/>
                            <w:spacing w:val="-6"/>
                            <w:sz w:val="28"/>
                          </w:rPr>
                          <w:t> </w:t>
                        </w:r>
                        <w:r>
                          <w:rPr>
                            <w:b/>
                            <w:color w:val="164194"/>
                            <w:spacing w:val="-2"/>
                            <w:sz w:val="28"/>
                          </w:rPr>
                          <w:t>they</w:t>
                        </w:r>
                        <w:r>
                          <w:rPr>
                            <w:b/>
                            <w:color w:val="164194"/>
                            <w:spacing w:val="-6"/>
                            <w:sz w:val="28"/>
                          </w:rPr>
                          <w:t> </w:t>
                        </w:r>
                        <w:r>
                          <w:rPr>
                            <w:b/>
                            <w:color w:val="164194"/>
                            <w:spacing w:val="-2"/>
                            <w:sz w:val="28"/>
                          </w:rPr>
                          <w:t>strengthen</w:t>
                        </w:r>
                        <w:r>
                          <w:rPr>
                            <w:b/>
                            <w:color w:val="164194"/>
                            <w:spacing w:val="-6"/>
                            <w:sz w:val="28"/>
                          </w:rPr>
                          <w:t> </w:t>
                        </w:r>
                        <w:r>
                          <w:rPr>
                            <w:b/>
                            <w:color w:val="164194"/>
                            <w:spacing w:val="-2"/>
                            <w:sz w:val="28"/>
                          </w:rPr>
                          <w:t>rights</w:t>
                        </w:r>
                        <w:r>
                          <w:rPr>
                            <w:b/>
                            <w:color w:val="164194"/>
                            <w:spacing w:val="-6"/>
                            <w:sz w:val="28"/>
                          </w:rPr>
                          <w:t> </w:t>
                        </w:r>
                        <w:r>
                          <w:rPr>
                            <w:b/>
                            <w:color w:val="164194"/>
                            <w:spacing w:val="-2"/>
                            <w:sz w:val="28"/>
                          </w:rPr>
                          <w:t>and</w:t>
                        </w:r>
                        <w:r>
                          <w:rPr>
                            <w:b/>
                            <w:color w:val="164194"/>
                            <w:spacing w:val="-6"/>
                            <w:sz w:val="28"/>
                          </w:rPr>
                          <w:t> </w:t>
                        </w:r>
                        <w:r>
                          <w:rPr>
                            <w:b/>
                            <w:color w:val="164194"/>
                            <w:spacing w:val="-2"/>
                            <w:sz w:val="28"/>
                          </w:rPr>
                          <w:t>reflect</w:t>
                        </w:r>
                        <w:r>
                          <w:rPr>
                            <w:b/>
                            <w:color w:val="164194"/>
                            <w:spacing w:val="-6"/>
                            <w:sz w:val="28"/>
                          </w:rPr>
                          <w:t> </w:t>
                        </w:r>
                        <w:r>
                          <w:rPr>
                            <w:b/>
                            <w:color w:val="164194"/>
                            <w:spacing w:val="-2"/>
                            <w:sz w:val="28"/>
                          </w:rPr>
                          <w:t>international</w:t>
                        </w:r>
                        <w:r>
                          <w:rPr>
                            <w:b/>
                            <w:color w:val="164194"/>
                            <w:spacing w:val="-6"/>
                            <w:sz w:val="28"/>
                          </w:rPr>
                          <w:t> </w:t>
                        </w:r>
                        <w:r>
                          <w:rPr>
                            <w:b/>
                            <w:color w:val="164194"/>
                            <w:spacing w:val="-2"/>
                            <w:sz w:val="28"/>
                          </w:rPr>
                          <w:t>human</w:t>
                        </w:r>
                        <w:r>
                          <w:rPr>
                            <w:b/>
                            <w:color w:val="164194"/>
                            <w:spacing w:val="-6"/>
                            <w:sz w:val="28"/>
                          </w:rPr>
                          <w:t> </w:t>
                        </w:r>
                        <w:r>
                          <w:rPr>
                            <w:b/>
                            <w:color w:val="164194"/>
                            <w:spacing w:val="-2"/>
                            <w:sz w:val="28"/>
                          </w:rPr>
                          <w:t>rights</w:t>
                        </w:r>
                        <w:r>
                          <w:rPr>
                            <w:b/>
                            <w:color w:val="164194"/>
                            <w:spacing w:val="-6"/>
                            <w:sz w:val="28"/>
                          </w:rPr>
                          <w:t> </w:t>
                        </w:r>
                        <w:r>
                          <w:rPr>
                            <w:b/>
                            <w:color w:val="164194"/>
                            <w:spacing w:val="-2"/>
                            <w:sz w:val="28"/>
                          </w:rPr>
                          <w:t>standards.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804416">
                <wp:simplePos x="0" y="0"/>
                <wp:positionH relativeFrom="page">
                  <wp:posOffset>647999</wp:posOffset>
                </wp:positionH>
                <wp:positionV relativeFrom="paragraph">
                  <wp:posOffset>1367459</wp:posOffset>
                </wp:positionV>
                <wp:extent cx="6012180" cy="1270"/>
                <wp:effectExtent l="0" t="0" r="0" b="0"/>
                <wp:wrapTopAndBottom/>
                <wp:docPr id="1130" name="Graphic 1130"/>
                <wp:cNvGraphicFramePr>
                  <a:graphicFrameLocks/>
                </wp:cNvGraphicFramePr>
                <a:graphic>
                  <a:graphicData uri="http://schemas.microsoft.com/office/word/2010/wordprocessingShape">
                    <wps:wsp>
                      <wps:cNvPr id="1130" name="Graphic 113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07.673996pt;width:473.4pt;height:.1pt;mso-position-horizontal-relative:page;mso-position-vertical-relative:paragraph;z-index:-15512064;mso-wrap-distance-left:0;mso-wrap-distance-right:0" id="docshape933" coordorigin="1020,2153" coordsize="9468,0" path="m1020,2153l10488,2153e" filled="false" stroked="true" strokeweight=".5pt" strokecolor="#36a9e1">
                <v:path arrowok="t"/>
                <v:stroke dashstyle="solid"/>
                <w10:wrap type="topAndBottom"/>
              </v:shape>
            </w:pict>
          </mc:Fallback>
        </mc:AlternateContent>
      </w:r>
    </w:p>
    <w:p>
      <w:pPr>
        <w:pStyle w:val="BodyText"/>
        <w:spacing w:before="10"/>
        <w:rPr>
          <w:sz w:val="20"/>
        </w:rPr>
      </w:pPr>
    </w:p>
    <w:p>
      <w:pPr>
        <w:pStyle w:val="ListParagraph"/>
        <w:numPr>
          <w:ilvl w:val="0"/>
          <w:numId w:val="51"/>
        </w:numPr>
        <w:tabs>
          <w:tab w:pos="1287" w:val="left" w:leader="none"/>
        </w:tabs>
        <w:spacing w:line="240" w:lineRule="auto" w:before="43" w:after="0"/>
        <w:ind w:left="1287" w:right="1336" w:hanging="567"/>
        <w:jc w:val="left"/>
        <w:rPr>
          <w:sz w:val="18"/>
        </w:rPr>
      </w:pPr>
      <w:r>
        <w:rPr>
          <w:sz w:val="18"/>
        </w:rPr>
        <w:t>NIHRC, </w:t>
      </w:r>
      <w:r>
        <w:rPr>
          <w:color w:val="1D71B8"/>
          <w:sz w:val="18"/>
          <w:u w:val="single" w:color="1D71B8"/>
        </w:rPr>
        <w:t>Response to the European Commission Consultation on the Racial Equality Directive</w:t>
      </w:r>
      <w:r>
        <w:rPr>
          <w:color w:val="1D71B8"/>
          <w:sz w:val="18"/>
          <w:u w:val="none"/>
        </w:rPr>
        <w:t> </w:t>
      </w:r>
      <w:r>
        <w:rPr>
          <w:sz w:val="18"/>
          <w:u w:val="none"/>
        </w:rPr>
        <w:t>(12 April 2022); ECNI, </w:t>
      </w:r>
      <w:r>
        <w:rPr>
          <w:color w:val="1D71B8"/>
          <w:sz w:val="18"/>
          <w:u w:val="single" w:color="1D71B8"/>
        </w:rPr>
        <w:t>Response</w:t>
      </w:r>
      <w:r>
        <w:rPr>
          <w:color w:val="1D71B8"/>
          <w:spacing w:val="-4"/>
          <w:sz w:val="18"/>
          <w:u w:val="single" w:color="1D71B8"/>
        </w:rPr>
        <w:t> </w:t>
      </w:r>
      <w:r>
        <w:rPr>
          <w:color w:val="1D71B8"/>
          <w:sz w:val="18"/>
          <w:u w:val="single" w:color="1D71B8"/>
        </w:rPr>
        <w:t>to</w:t>
      </w:r>
      <w:r>
        <w:rPr>
          <w:color w:val="1D71B8"/>
          <w:spacing w:val="-5"/>
          <w:sz w:val="18"/>
          <w:u w:val="single" w:color="1D71B8"/>
        </w:rPr>
        <w:t> </w:t>
      </w:r>
      <w:r>
        <w:rPr>
          <w:color w:val="1D71B8"/>
          <w:sz w:val="18"/>
          <w:u w:val="single" w:color="1D71B8"/>
        </w:rPr>
        <w:t>consultation:</w:t>
      </w:r>
      <w:r>
        <w:rPr>
          <w:color w:val="1D71B8"/>
          <w:spacing w:val="-4"/>
          <w:sz w:val="18"/>
          <w:u w:val="single" w:color="1D71B8"/>
        </w:rPr>
        <w:t> </w:t>
      </w:r>
      <w:r>
        <w:rPr>
          <w:color w:val="1D71B8"/>
          <w:sz w:val="18"/>
          <w:u w:val="single" w:color="1D71B8"/>
        </w:rPr>
        <w:t>European</w:t>
      </w:r>
      <w:r>
        <w:rPr>
          <w:color w:val="1D71B8"/>
          <w:spacing w:val="-5"/>
          <w:sz w:val="18"/>
          <w:u w:val="single" w:color="1D71B8"/>
        </w:rPr>
        <w:t> </w:t>
      </w:r>
      <w:r>
        <w:rPr>
          <w:color w:val="1D71B8"/>
          <w:sz w:val="18"/>
          <w:u w:val="single" w:color="1D71B8"/>
        </w:rPr>
        <w:t>Commission</w:t>
      </w:r>
      <w:r>
        <w:rPr>
          <w:color w:val="1D71B8"/>
          <w:spacing w:val="-5"/>
          <w:sz w:val="18"/>
          <w:u w:val="single" w:color="1D71B8"/>
        </w:rPr>
        <w:t> </w:t>
      </w:r>
      <w:r>
        <w:rPr>
          <w:color w:val="1D71B8"/>
          <w:sz w:val="18"/>
          <w:u w:val="single" w:color="1D71B8"/>
        </w:rPr>
        <w:t>-</w:t>
      </w:r>
      <w:r>
        <w:rPr>
          <w:color w:val="1D71B8"/>
          <w:spacing w:val="-5"/>
          <w:sz w:val="18"/>
          <w:u w:val="single" w:color="1D71B8"/>
        </w:rPr>
        <w:t> </w:t>
      </w:r>
      <w:r>
        <w:rPr>
          <w:color w:val="1D71B8"/>
          <w:sz w:val="18"/>
          <w:u w:val="single" w:color="1D71B8"/>
        </w:rPr>
        <w:t>Addressing</w:t>
      </w:r>
      <w:r>
        <w:rPr>
          <w:color w:val="1D71B8"/>
          <w:spacing w:val="-4"/>
          <w:sz w:val="18"/>
          <w:u w:val="single" w:color="1D71B8"/>
        </w:rPr>
        <w:t> </w:t>
      </w:r>
      <w:r>
        <w:rPr>
          <w:color w:val="1D71B8"/>
          <w:sz w:val="18"/>
          <w:u w:val="single" w:color="1D71B8"/>
        </w:rPr>
        <w:t>possible</w:t>
      </w:r>
      <w:r>
        <w:rPr>
          <w:color w:val="1D71B8"/>
          <w:spacing w:val="-4"/>
          <w:sz w:val="18"/>
          <w:u w:val="single" w:color="1D71B8"/>
        </w:rPr>
        <w:t> </w:t>
      </w:r>
      <w:r>
        <w:rPr>
          <w:color w:val="1D71B8"/>
          <w:sz w:val="18"/>
          <w:u w:val="single" w:color="1D71B8"/>
        </w:rPr>
        <w:t>gaps</w:t>
      </w:r>
      <w:r>
        <w:rPr>
          <w:color w:val="1D71B8"/>
          <w:spacing w:val="-5"/>
          <w:sz w:val="18"/>
          <w:u w:val="single" w:color="1D71B8"/>
        </w:rPr>
        <w:t> </w:t>
      </w:r>
      <w:r>
        <w:rPr>
          <w:color w:val="1D71B8"/>
          <w:sz w:val="18"/>
          <w:u w:val="single" w:color="1D71B8"/>
        </w:rPr>
        <w:t>in</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Racial</w:t>
      </w:r>
      <w:r>
        <w:rPr>
          <w:color w:val="1D71B8"/>
          <w:spacing w:val="-5"/>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Directive</w:t>
      </w:r>
      <w:r>
        <w:rPr>
          <w:color w:val="1D71B8"/>
          <w:spacing w:val="-8"/>
          <w:sz w:val="18"/>
          <w:u w:val="none"/>
        </w:rPr>
        <w:t> </w:t>
      </w:r>
      <w:r>
        <w:rPr>
          <w:sz w:val="18"/>
          <w:u w:val="none"/>
        </w:rPr>
        <w:t>(April</w:t>
      </w:r>
      <w:r>
        <w:rPr>
          <w:spacing w:val="-5"/>
          <w:sz w:val="18"/>
          <w:u w:val="none"/>
        </w:rPr>
        <w:t> </w:t>
      </w:r>
      <w:r>
        <w:rPr>
          <w:sz w:val="18"/>
          <w:u w:val="none"/>
        </w:rPr>
        <w:t>2022).</w:t>
      </w:r>
    </w:p>
    <w:p>
      <w:pPr>
        <w:pStyle w:val="ListParagraph"/>
        <w:numPr>
          <w:ilvl w:val="0"/>
          <w:numId w:val="51"/>
        </w:numPr>
        <w:tabs>
          <w:tab w:pos="1287" w:val="left" w:leader="none"/>
        </w:tabs>
        <w:spacing w:line="240" w:lineRule="auto" w:before="1" w:after="0"/>
        <w:ind w:left="1287" w:right="0" w:hanging="567"/>
        <w:jc w:val="left"/>
        <w:rPr>
          <w:sz w:val="18"/>
        </w:rPr>
      </w:pPr>
      <w:r>
        <w:rPr>
          <w:sz w:val="18"/>
        </w:rPr>
        <w:t>European</w:t>
      </w:r>
      <w:r>
        <w:rPr>
          <w:spacing w:val="-5"/>
          <w:sz w:val="18"/>
        </w:rPr>
        <w:t> </w:t>
      </w:r>
      <w:r>
        <w:rPr>
          <w:sz w:val="18"/>
        </w:rPr>
        <w:t>Commission,</w:t>
      </w:r>
      <w:r>
        <w:rPr>
          <w:spacing w:val="-5"/>
          <w:sz w:val="18"/>
        </w:rPr>
        <w:t> </w:t>
      </w:r>
      <w:hyperlink r:id="rId34">
        <w:r>
          <w:rPr>
            <w:color w:val="1D71B8"/>
            <w:sz w:val="18"/>
            <w:u w:val="single" w:color="1D71B8"/>
          </w:rPr>
          <w:t>Union</w:t>
        </w:r>
        <w:r>
          <w:rPr>
            <w:color w:val="1D71B8"/>
            <w:spacing w:val="-5"/>
            <w:sz w:val="18"/>
            <w:u w:val="single" w:color="1D71B8"/>
          </w:rPr>
          <w:t> </w:t>
        </w:r>
        <w:r>
          <w:rPr>
            <w:color w:val="1D71B8"/>
            <w:sz w:val="18"/>
            <w:u w:val="single" w:color="1D71B8"/>
          </w:rPr>
          <w:t>of</w:t>
        </w:r>
        <w:r>
          <w:rPr>
            <w:color w:val="1D71B8"/>
            <w:spacing w:val="-5"/>
            <w:sz w:val="18"/>
            <w:u w:val="single" w:color="1D71B8"/>
          </w:rPr>
          <w:t> </w:t>
        </w:r>
        <w:r>
          <w:rPr>
            <w:color w:val="1D71B8"/>
            <w:sz w:val="18"/>
            <w:u w:val="single" w:color="1D71B8"/>
          </w:rPr>
          <w:t>Equality:</w:t>
        </w:r>
        <w:r>
          <w:rPr>
            <w:color w:val="1D71B8"/>
            <w:spacing w:val="-3"/>
            <w:sz w:val="18"/>
            <w:u w:val="single" w:color="1D71B8"/>
          </w:rPr>
          <w:t> </w:t>
        </w:r>
        <w:r>
          <w:rPr>
            <w:color w:val="1D71B8"/>
            <w:sz w:val="18"/>
            <w:u w:val="single" w:color="1D71B8"/>
          </w:rPr>
          <w:t>LGBTIQ</w:t>
        </w:r>
        <w:r>
          <w:rPr>
            <w:color w:val="1D71B8"/>
            <w:spacing w:val="-4"/>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Strategy</w:t>
        </w:r>
        <w:r>
          <w:rPr>
            <w:color w:val="1D71B8"/>
            <w:spacing w:val="-4"/>
            <w:sz w:val="18"/>
            <w:u w:val="single" w:color="1D71B8"/>
          </w:rPr>
          <w:t> </w:t>
        </w:r>
        <w:r>
          <w:rPr>
            <w:color w:val="1D71B8"/>
            <w:sz w:val="18"/>
            <w:u w:val="single" w:color="1D71B8"/>
          </w:rPr>
          <w:t>2020-2025</w:t>
        </w:r>
      </w:hyperlink>
      <w:r>
        <w:rPr>
          <w:color w:val="1D71B8"/>
          <w:spacing w:val="-6"/>
          <w:sz w:val="18"/>
          <w:u w:val="none"/>
        </w:rPr>
        <w:t> </w:t>
      </w:r>
      <w:r>
        <w:rPr>
          <w:spacing w:val="-2"/>
          <w:sz w:val="18"/>
          <w:u w:val="none"/>
        </w:rPr>
        <w:t>(2020).</w:t>
      </w:r>
    </w:p>
    <w:p>
      <w:pPr>
        <w:pStyle w:val="ListParagraph"/>
        <w:numPr>
          <w:ilvl w:val="0"/>
          <w:numId w:val="51"/>
        </w:numPr>
        <w:tabs>
          <w:tab w:pos="1287" w:val="left" w:leader="none"/>
        </w:tabs>
        <w:spacing w:line="240" w:lineRule="auto" w:before="0" w:after="0"/>
        <w:ind w:left="1287" w:right="0" w:hanging="567"/>
        <w:jc w:val="left"/>
        <w:rPr>
          <w:sz w:val="18"/>
        </w:rPr>
      </w:pPr>
      <w:r>
        <w:rPr>
          <w:sz w:val="18"/>
        </w:rPr>
        <w:t>European</w:t>
      </w:r>
      <w:r>
        <w:rPr>
          <w:spacing w:val="-6"/>
          <w:sz w:val="18"/>
        </w:rPr>
        <w:t> </w:t>
      </w:r>
      <w:r>
        <w:rPr>
          <w:sz w:val="18"/>
        </w:rPr>
        <w:t>Commission,</w:t>
      </w:r>
      <w:r>
        <w:rPr>
          <w:spacing w:val="-5"/>
          <w:sz w:val="18"/>
        </w:rPr>
        <w:t> </w:t>
      </w:r>
      <w:hyperlink r:id="rId35">
        <w:r>
          <w:rPr>
            <w:color w:val="1D71B8"/>
            <w:sz w:val="18"/>
            <w:u w:val="single" w:color="1D71B8"/>
          </w:rPr>
          <w:t>Union</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Equality:</w:t>
        </w:r>
        <w:r>
          <w:rPr>
            <w:color w:val="1D71B8"/>
            <w:spacing w:val="-4"/>
            <w:sz w:val="18"/>
            <w:u w:val="single" w:color="1D71B8"/>
          </w:rPr>
          <w:t> </w:t>
        </w:r>
        <w:r>
          <w:rPr>
            <w:color w:val="1D71B8"/>
            <w:sz w:val="18"/>
            <w:u w:val="single" w:color="1D71B8"/>
          </w:rPr>
          <w:t>Strategy</w:t>
        </w:r>
        <w:r>
          <w:rPr>
            <w:color w:val="1D71B8"/>
            <w:spacing w:val="-4"/>
            <w:sz w:val="18"/>
            <w:u w:val="single" w:color="1D71B8"/>
          </w:rPr>
          <w:t> </w:t>
        </w:r>
        <w:r>
          <w:rPr>
            <w:color w:val="1D71B8"/>
            <w:sz w:val="18"/>
            <w:u w:val="single" w:color="1D71B8"/>
          </w:rPr>
          <w:t>for</w:t>
        </w:r>
        <w:r>
          <w:rPr>
            <w:color w:val="1D71B8"/>
            <w:spacing w:val="-5"/>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rights</w:t>
        </w:r>
        <w:r>
          <w:rPr>
            <w:color w:val="1D71B8"/>
            <w:spacing w:val="-5"/>
            <w:sz w:val="18"/>
            <w:u w:val="single" w:color="1D71B8"/>
          </w:rPr>
          <w:t> </w:t>
        </w:r>
        <w:r>
          <w:rPr>
            <w:color w:val="1D71B8"/>
            <w:sz w:val="18"/>
            <w:u w:val="single" w:color="1D71B8"/>
          </w:rPr>
          <w:t>of</w:t>
        </w:r>
        <w:r>
          <w:rPr>
            <w:color w:val="1D71B8"/>
            <w:spacing w:val="-6"/>
            <w:sz w:val="18"/>
            <w:u w:val="single" w:color="1D71B8"/>
          </w:rPr>
          <w:t> </w:t>
        </w:r>
        <w:r>
          <w:rPr>
            <w:color w:val="1D71B8"/>
            <w:sz w:val="18"/>
            <w:u w:val="single" w:color="1D71B8"/>
          </w:rPr>
          <w:t>persons</w:t>
        </w:r>
        <w:r>
          <w:rPr>
            <w:color w:val="1D71B8"/>
            <w:spacing w:val="-5"/>
            <w:sz w:val="18"/>
            <w:u w:val="single" w:color="1D71B8"/>
          </w:rPr>
          <w:t> </w:t>
        </w:r>
        <w:r>
          <w:rPr>
            <w:color w:val="1D71B8"/>
            <w:sz w:val="18"/>
            <w:u w:val="single" w:color="1D71B8"/>
          </w:rPr>
          <w:t>with</w:t>
        </w:r>
        <w:r>
          <w:rPr>
            <w:color w:val="1D71B8"/>
            <w:spacing w:val="-5"/>
            <w:sz w:val="18"/>
            <w:u w:val="single" w:color="1D71B8"/>
          </w:rPr>
          <w:t> </w:t>
        </w:r>
        <w:r>
          <w:rPr>
            <w:color w:val="1D71B8"/>
            <w:sz w:val="18"/>
            <w:u w:val="single" w:color="1D71B8"/>
          </w:rPr>
          <w:t>disabilities</w:t>
        </w:r>
        <w:r>
          <w:rPr>
            <w:color w:val="1D71B8"/>
            <w:spacing w:val="-5"/>
            <w:sz w:val="18"/>
            <w:u w:val="single" w:color="1D71B8"/>
          </w:rPr>
          <w:t> </w:t>
        </w:r>
        <w:r>
          <w:rPr>
            <w:color w:val="1D71B8"/>
            <w:sz w:val="18"/>
            <w:u w:val="single" w:color="1D71B8"/>
          </w:rPr>
          <w:t>2021-2030</w:t>
        </w:r>
      </w:hyperlink>
      <w:r>
        <w:rPr>
          <w:color w:val="1D71B8"/>
          <w:spacing w:val="-7"/>
          <w:sz w:val="18"/>
          <w:u w:val="none"/>
        </w:rPr>
        <w:t> </w:t>
      </w:r>
      <w:r>
        <w:rPr>
          <w:spacing w:val="-2"/>
          <w:sz w:val="18"/>
          <w:u w:val="none"/>
        </w:rPr>
        <w:t>(2020).</w:t>
      </w:r>
    </w:p>
    <w:p>
      <w:pPr>
        <w:spacing w:after="0" w:line="240" w:lineRule="auto"/>
        <w:jc w:val="left"/>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947776">
                <wp:simplePos x="0" y="0"/>
                <wp:positionH relativeFrom="page">
                  <wp:posOffset>-2</wp:posOffset>
                </wp:positionH>
                <wp:positionV relativeFrom="page">
                  <wp:posOffset>0</wp:posOffset>
                </wp:positionV>
                <wp:extent cx="7560309" cy="1283335"/>
                <wp:effectExtent l="0" t="0" r="0" b="0"/>
                <wp:wrapNone/>
                <wp:docPr id="1131" name="Group 1131"/>
                <wp:cNvGraphicFramePr>
                  <a:graphicFrameLocks/>
                </wp:cNvGraphicFramePr>
                <a:graphic>
                  <a:graphicData uri="http://schemas.microsoft.com/office/word/2010/wordprocessingGroup">
                    <wpg:wgp>
                      <wpg:cNvPr id="1131" name="Group 1131"/>
                      <wpg:cNvGrpSpPr/>
                      <wpg:grpSpPr>
                        <a:xfrm>
                          <a:off x="0" y="0"/>
                          <a:ext cx="7560309" cy="1283335"/>
                          <a:chExt cx="7560309" cy="1283335"/>
                        </a:xfrm>
                      </wpg:grpSpPr>
                      <wps:wsp>
                        <wps:cNvPr id="1132" name="Graphic 1132"/>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133" name="Graphic 1133"/>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1134" name="Textbox 1134"/>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1135" name="Textbox 1135"/>
                        <wps:cNvSpPr txBox="1"/>
                        <wps:spPr>
                          <a:xfrm>
                            <a:off x="7028829"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139</w:t>
                              </w:r>
                            </w:p>
                          </w:txbxContent>
                        </wps:txbx>
                        <wps:bodyPr wrap="square" lIns="0" tIns="0" rIns="0" bIns="0" rtlCol="0">
                          <a:noAutofit/>
                        </wps:bodyPr>
                      </wps:wsp>
                      <wps:wsp>
                        <wps:cNvPr id="1136" name="Textbox 1136"/>
                        <wps:cNvSpPr txBox="1"/>
                        <wps:spPr>
                          <a:xfrm>
                            <a:off x="900001" y="1080003"/>
                            <a:ext cx="2381250" cy="203200"/>
                          </a:xfrm>
                          <a:prstGeom prst="rect">
                            <a:avLst/>
                          </a:prstGeom>
                        </wps:spPr>
                        <wps:txbx>
                          <w:txbxContent>
                            <w:p>
                              <w:pPr>
                                <w:numPr>
                                  <w:ilvl w:val="1"/>
                                  <w:numId w:val="60"/>
                                </w:numPr>
                                <w:tabs>
                                  <w:tab w:pos="482" w:val="left" w:leader="none"/>
                                </w:tabs>
                                <w:spacing w:line="320" w:lineRule="exact" w:before="0"/>
                                <w:ind w:left="482" w:right="0" w:hanging="482"/>
                                <w:jc w:val="left"/>
                                <w:rPr>
                                  <w:b/>
                                  <w:sz w:val="32"/>
                                </w:rPr>
                              </w:pPr>
                              <w:r>
                                <w:rPr>
                                  <w:b/>
                                  <w:color w:val="004A93"/>
                                  <w:sz w:val="32"/>
                                </w:rPr>
                                <w:t>Human</w:t>
                              </w:r>
                              <w:r>
                                <w:rPr>
                                  <w:b/>
                                  <w:color w:val="004A93"/>
                                  <w:spacing w:val="-2"/>
                                  <w:sz w:val="32"/>
                                </w:rPr>
                                <w:t> </w:t>
                              </w:r>
                              <w:r>
                                <w:rPr>
                                  <w:b/>
                                  <w:color w:val="004A93"/>
                                  <w:sz w:val="32"/>
                                </w:rPr>
                                <w:t>rights</w:t>
                              </w:r>
                              <w:r>
                                <w:rPr>
                                  <w:b/>
                                  <w:color w:val="004A93"/>
                                  <w:spacing w:val="-2"/>
                                  <w:sz w:val="32"/>
                                </w:rPr>
                                <w:t> protection</w:t>
                              </w:r>
                            </w:p>
                          </w:txbxContent>
                        </wps:txbx>
                        <wps:bodyPr wrap="square" lIns="0" tIns="0" rIns="0" bIns="0" rtlCol="0">
                          <a:noAutofit/>
                        </wps:bodyPr>
                      </wps:wsp>
                    </wpg:wgp>
                  </a:graphicData>
                </a:graphic>
              </wp:anchor>
            </w:drawing>
          </mc:Choice>
          <mc:Fallback>
            <w:pict>
              <v:group style="position:absolute;margin-left:-.000192pt;margin-top:-.00002pt;width:595.3pt;height:101.05pt;mso-position-horizontal-relative:page;mso-position-vertical-relative:page;z-index:15947776" id="docshapegroup934" coordorigin="0,0" coordsize="11906,2021">
                <v:shape style="position:absolute;left:0;top:0;width:11906;height:1819" id="docshape93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936"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069;top:636;width:446;height:280" type="#_x0000_t202" id="docshape937" filled="false" stroked="false">
                  <v:textbox inset="0,0,0,0">
                    <w:txbxContent>
                      <w:p>
                        <w:pPr>
                          <w:spacing w:line="280" w:lineRule="exact" w:before="0"/>
                          <w:ind w:left="0" w:right="0" w:firstLine="0"/>
                          <w:jc w:val="left"/>
                          <w:rPr>
                            <w:b/>
                            <w:sz w:val="28"/>
                          </w:rPr>
                        </w:pPr>
                        <w:r>
                          <w:rPr>
                            <w:b/>
                            <w:color w:val="FFFFFF"/>
                            <w:spacing w:val="-5"/>
                            <w:sz w:val="28"/>
                          </w:rPr>
                          <w:t>139</w:t>
                        </w:r>
                      </w:p>
                    </w:txbxContent>
                  </v:textbox>
                  <w10:wrap type="none"/>
                </v:shape>
                <v:shape style="position:absolute;left:1417;top:1700;width:3750;height:320" type="#_x0000_t202" id="docshape938" filled="false" stroked="false">
                  <v:textbox inset="0,0,0,0">
                    <w:txbxContent>
                      <w:p>
                        <w:pPr>
                          <w:numPr>
                            <w:ilvl w:val="1"/>
                            <w:numId w:val="60"/>
                          </w:numPr>
                          <w:tabs>
                            <w:tab w:pos="482" w:val="left" w:leader="none"/>
                          </w:tabs>
                          <w:spacing w:line="320" w:lineRule="exact" w:before="0"/>
                          <w:ind w:left="482" w:right="0" w:hanging="482"/>
                          <w:jc w:val="left"/>
                          <w:rPr>
                            <w:b/>
                            <w:sz w:val="32"/>
                          </w:rPr>
                        </w:pPr>
                        <w:r>
                          <w:rPr>
                            <w:b/>
                            <w:color w:val="004A93"/>
                            <w:sz w:val="32"/>
                          </w:rPr>
                          <w:t>Human</w:t>
                        </w:r>
                        <w:r>
                          <w:rPr>
                            <w:b/>
                            <w:color w:val="004A93"/>
                            <w:spacing w:val="-2"/>
                            <w:sz w:val="32"/>
                          </w:rPr>
                          <w:t> </w:t>
                        </w:r>
                        <w:r>
                          <w:rPr>
                            <w:b/>
                            <w:color w:val="004A93"/>
                            <w:sz w:val="32"/>
                          </w:rPr>
                          <w:t>rights</w:t>
                        </w:r>
                        <w:r>
                          <w:rPr>
                            <w:b/>
                            <w:color w:val="004A93"/>
                            <w:spacing w:val="-2"/>
                            <w:sz w:val="32"/>
                          </w:rPr>
                          <w:t> protection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after="1"/>
        <w:rPr>
          <w:sz w:val="20"/>
        </w:rPr>
      </w:pPr>
    </w:p>
    <w:p>
      <w:pPr>
        <w:pStyle w:val="BodyText"/>
        <w:spacing w:line="20" w:lineRule="exact"/>
        <w:ind w:left="1117"/>
        <w:rPr>
          <w:sz w:val="2"/>
        </w:rPr>
      </w:pPr>
      <w:r>
        <w:rPr>
          <w:sz w:val="2"/>
        </w:rPr>
        <mc:AlternateContent>
          <mc:Choice Requires="wps">
            <w:drawing>
              <wp:inline distT="0" distB="0" distL="0" distR="0">
                <wp:extent cx="6012180" cy="12700"/>
                <wp:effectExtent l="9525" t="0" r="0" b="6350"/>
                <wp:docPr id="1137" name="Group 1137"/>
                <wp:cNvGraphicFramePr>
                  <a:graphicFrameLocks/>
                </wp:cNvGraphicFramePr>
                <a:graphic>
                  <a:graphicData uri="http://schemas.microsoft.com/office/word/2010/wordprocessingGroup">
                    <wpg:wgp>
                      <wpg:cNvPr id="1137" name="Group 1137"/>
                      <wpg:cNvGrpSpPr/>
                      <wpg:grpSpPr>
                        <a:xfrm>
                          <a:off x="0" y="0"/>
                          <a:ext cx="6012180" cy="12700"/>
                          <a:chExt cx="6012180" cy="12700"/>
                        </a:xfrm>
                      </wpg:grpSpPr>
                      <wps:wsp>
                        <wps:cNvPr id="1138" name="Graphic 1138"/>
                        <wps:cNvSpPr/>
                        <wps:spPr>
                          <a:xfrm>
                            <a:off x="0" y="635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g:wgp>
                  </a:graphicData>
                </a:graphic>
              </wp:inline>
            </w:drawing>
          </mc:Choice>
          <mc:Fallback>
            <w:pict>
              <v:group style="width:473.4pt;height:1pt;mso-position-horizontal-relative:char;mso-position-vertical-relative:line" id="docshapegroup939" coordorigin="0,0" coordsize="9468,20">
                <v:line style="position:absolute" from="0,10" to="9468,10" stroked="true" strokeweight="1pt" strokecolor="#36a9e1">
                  <v:stroke dashstyle="solid"/>
                </v:line>
              </v:group>
            </w:pict>
          </mc:Fallback>
        </mc:AlternateContent>
      </w:r>
      <w:r>
        <w:rPr>
          <w:sz w:val="2"/>
        </w:rPr>
      </w:r>
    </w:p>
    <w:p>
      <w:pPr>
        <w:pStyle w:val="Heading3"/>
        <w:numPr>
          <w:ilvl w:val="2"/>
          <w:numId w:val="61"/>
        </w:numPr>
        <w:tabs>
          <w:tab w:pos="1755" w:val="left" w:leader="none"/>
        </w:tabs>
        <w:spacing w:line="336" w:lineRule="exact" w:before="213" w:after="0"/>
        <w:ind w:left="1755" w:right="0" w:hanging="638"/>
        <w:jc w:val="left"/>
      </w:pPr>
      <w:bookmarkStart w:name="7.4 Human rights protection" w:id="221"/>
      <w:bookmarkEnd w:id="221"/>
      <w:r>
        <w:rPr>
          <w:b w:val="0"/>
        </w:rPr>
      </w:r>
      <w:bookmarkStart w:name="7.4.1 Criminal justice: victims’ rights " w:id="222"/>
      <w:bookmarkEnd w:id="222"/>
      <w:r>
        <w:rPr>
          <w:b w:val="0"/>
        </w:rPr>
      </w:r>
      <w:bookmarkStart w:name="7.4.2 Childrens’ rights" w:id="223"/>
      <w:bookmarkEnd w:id="223"/>
      <w:r>
        <w:rPr>
          <w:b w:val="0"/>
        </w:rPr>
      </w:r>
      <w:bookmarkStart w:name="_bookmark91" w:id="224"/>
      <w:bookmarkEnd w:id="224"/>
      <w:r>
        <w:rPr>
          <w:b w:val="0"/>
        </w:rPr>
      </w:r>
      <w:r>
        <w:rPr>
          <w:color w:val="004A93"/>
        </w:rPr>
        <w:t>Criminal</w:t>
      </w:r>
      <w:r>
        <w:rPr>
          <w:color w:val="004A93"/>
          <w:spacing w:val="-6"/>
        </w:rPr>
        <w:t> </w:t>
      </w:r>
      <w:r>
        <w:rPr>
          <w:color w:val="004A93"/>
        </w:rPr>
        <w:t>justice:</w:t>
      </w:r>
      <w:r>
        <w:rPr>
          <w:color w:val="004A93"/>
          <w:spacing w:val="-6"/>
        </w:rPr>
        <w:t> </w:t>
      </w:r>
      <w:r>
        <w:rPr>
          <w:color w:val="004A93"/>
        </w:rPr>
        <w:t>victims’</w:t>
      </w:r>
      <w:r>
        <w:rPr>
          <w:color w:val="004A93"/>
          <w:spacing w:val="-6"/>
        </w:rPr>
        <w:t> </w:t>
      </w:r>
      <w:r>
        <w:rPr>
          <w:color w:val="004A93"/>
          <w:spacing w:val="-2"/>
        </w:rPr>
        <w:t>rights</w:t>
      </w:r>
    </w:p>
    <w:p>
      <w:pPr>
        <w:pStyle w:val="BodyText"/>
        <w:spacing w:line="232" w:lineRule="auto" w:before="2"/>
        <w:ind w:left="1117" w:right="738"/>
      </w:pPr>
      <w:r>
        <w:rPr/>
        <w:t>As part of its overall strategy on criminal justice,</w:t>
      </w:r>
      <w:r>
        <w:rPr>
          <w:vertAlign w:val="superscript"/>
        </w:rPr>
        <w:t>696</w:t>
      </w:r>
      <w:r>
        <w:rPr>
          <w:vertAlign w:val="baseline"/>
        </w:rPr>
        <w:t> in 2020, the EU adopted its Strategy on victims’ rights (2020-2025), the first of its kind in the Union.</w:t>
      </w:r>
      <w:r>
        <w:rPr>
          <w:vertAlign w:val="superscript"/>
        </w:rPr>
        <w:t>697</w:t>
      </w:r>
      <w:r>
        <w:rPr>
          <w:vertAlign w:val="baseline"/>
        </w:rPr>
        <w:t> This strategy essentially aims at: ensuring that all crime victims can fully rely on their rights (empowerment); and outlining actions that will be conducted by the European</w:t>
      </w:r>
      <w:r>
        <w:rPr>
          <w:spacing w:val="-7"/>
          <w:vertAlign w:val="baseline"/>
        </w:rPr>
        <w:t> </w:t>
      </w:r>
      <w:r>
        <w:rPr>
          <w:vertAlign w:val="baseline"/>
        </w:rPr>
        <w:t>Commission,</w:t>
      </w:r>
      <w:r>
        <w:rPr>
          <w:spacing w:val="-6"/>
          <w:vertAlign w:val="baseline"/>
        </w:rPr>
        <w:t> </w:t>
      </w:r>
      <w:r>
        <w:rPr>
          <w:vertAlign w:val="baseline"/>
        </w:rPr>
        <w:t>Member</w:t>
      </w:r>
      <w:r>
        <w:rPr>
          <w:spacing w:val="-6"/>
          <w:vertAlign w:val="baseline"/>
        </w:rPr>
        <w:t> </w:t>
      </w:r>
      <w:r>
        <w:rPr>
          <w:vertAlign w:val="baseline"/>
        </w:rPr>
        <w:t>States</w:t>
      </w:r>
      <w:r>
        <w:rPr>
          <w:spacing w:val="-7"/>
          <w:vertAlign w:val="baseline"/>
        </w:rPr>
        <w:t> </w:t>
      </w:r>
      <w:r>
        <w:rPr>
          <w:vertAlign w:val="baseline"/>
        </w:rPr>
        <w:t>and</w:t>
      </w:r>
      <w:r>
        <w:rPr>
          <w:spacing w:val="-7"/>
          <w:vertAlign w:val="baseline"/>
        </w:rPr>
        <w:t> </w:t>
      </w:r>
      <w:r>
        <w:rPr>
          <w:vertAlign w:val="baseline"/>
        </w:rPr>
        <w:t>civil</w:t>
      </w:r>
      <w:r>
        <w:rPr>
          <w:spacing w:val="-7"/>
          <w:vertAlign w:val="baseline"/>
        </w:rPr>
        <w:t> </w:t>
      </w:r>
      <w:r>
        <w:rPr>
          <w:vertAlign w:val="baseline"/>
        </w:rPr>
        <w:t>society</w:t>
      </w:r>
      <w:r>
        <w:rPr>
          <w:spacing w:val="-6"/>
          <w:vertAlign w:val="baseline"/>
        </w:rPr>
        <w:t> </w:t>
      </w:r>
      <w:r>
        <w:rPr>
          <w:vertAlign w:val="baseline"/>
        </w:rPr>
        <w:t>(collaboration).</w:t>
      </w:r>
      <w:r>
        <w:rPr>
          <w:spacing w:val="-7"/>
          <w:vertAlign w:val="baseline"/>
        </w:rPr>
        <w:t> </w:t>
      </w:r>
      <w:r>
        <w:rPr>
          <w:vertAlign w:val="baseline"/>
        </w:rPr>
        <w:t>As</w:t>
      </w:r>
      <w:r>
        <w:rPr>
          <w:spacing w:val="-7"/>
          <w:vertAlign w:val="baseline"/>
        </w:rPr>
        <w:t> </w:t>
      </w:r>
      <w:r>
        <w:rPr>
          <w:vertAlign w:val="baseline"/>
        </w:rPr>
        <w:t>a</w:t>
      </w:r>
      <w:r>
        <w:rPr>
          <w:spacing w:val="-7"/>
          <w:vertAlign w:val="baseline"/>
        </w:rPr>
        <w:t> </w:t>
      </w:r>
      <w:r>
        <w:rPr>
          <w:vertAlign w:val="baseline"/>
        </w:rPr>
        <w:t>result, it sets five key priorities, listed below:</w:t>
      </w:r>
    </w:p>
    <w:p>
      <w:pPr>
        <w:pStyle w:val="ListParagraph"/>
        <w:numPr>
          <w:ilvl w:val="3"/>
          <w:numId w:val="61"/>
        </w:numPr>
        <w:tabs>
          <w:tab w:pos="1457" w:val="left" w:leader="none"/>
        </w:tabs>
        <w:spacing w:line="232" w:lineRule="auto" w:before="261" w:after="0"/>
        <w:ind w:left="1457" w:right="1354" w:hanging="341"/>
        <w:jc w:val="left"/>
        <w:rPr>
          <w:sz w:val="28"/>
        </w:rPr>
      </w:pPr>
      <w:r>
        <w:rPr>
          <w:sz w:val="28"/>
        </w:rPr>
        <w:t>Effective</w:t>
      </w:r>
      <w:r>
        <w:rPr>
          <w:spacing w:val="-10"/>
          <w:sz w:val="28"/>
        </w:rPr>
        <w:t> </w:t>
      </w:r>
      <w:r>
        <w:rPr>
          <w:sz w:val="28"/>
        </w:rPr>
        <w:t>communication</w:t>
      </w:r>
      <w:r>
        <w:rPr>
          <w:spacing w:val="-11"/>
          <w:sz w:val="28"/>
        </w:rPr>
        <w:t> </w:t>
      </w:r>
      <w:r>
        <w:rPr>
          <w:sz w:val="28"/>
        </w:rPr>
        <w:t>with</w:t>
      </w:r>
      <w:r>
        <w:rPr>
          <w:spacing w:val="-11"/>
          <w:sz w:val="28"/>
        </w:rPr>
        <w:t> </w:t>
      </w:r>
      <w:r>
        <w:rPr>
          <w:sz w:val="28"/>
        </w:rPr>
        <w:t>victims</w:t>
      </w:r>
      <w:r>
        <w:rPr>
          <w:spacing w:val="-11"/>
          <w:sz w:val="28"/>
        </w:rPr>
        <w:t> </w:t>
      </w:r>
      <w:r>
        <w:rPr>
          <w:sz w:val="28"/>
        </w:rPr>
        <w:t>and</w:t>
      </w:r>
      <w:r>
        <w:rPr>
          <w:spacing w:val="-11"/>
          <w:sz w:val="28"/>
        </w:rPr>
        <w:t> </w:t>
      </w:r>
      <w:r>
        <w:rPr>
          <w:sz w:val="28"/>
        </w:rPr>
        <w:t>a</w:t>
      </w:r>
      <w:r>
        <w:rPr>
          <w:spacing w:val="-11"/>
          <w:sz w:val="28"/>
        </w:rPr>
        <w:t> </w:t>
      </w:r>
      <w:r>
        <w:rPr>
          <w:sz w:val="28"/>
        </w:rPr>
        <w:t>safe</w:t>
      </w:r>
      <w:r>
        <w:rPr>
          <w:spacing w:val="-10"/>
          <w:sz w:val="28"/>
        </w:rPr>
        <w:t> </w:t>
      </w:r>
      <w:r>
        <w:rPr>
          <w:sz w:val="28"/>
        </w:rPr>
        <w:t>environment</w:t>
      </w:r>
      <w:r>
        <w:rPr>
          <w:spacing w:val="-10"/>
          <w:sz w:val="28"/>
        </w:rPr>
        <w:t> </w:t>
      </w:r>
      <w:r>
        <w:rPr>
          <w:sz w:val="28"/>
        </w:rPr>
        <w:t>for</w:t>
      </w:r>
      <w:r>
        <w:rPr>
          <w:spacing w:val="-10"/>
          <w:sz w:val="28"/>
        </w:rPr>
        <w:t> </w:t>
      </w:r>
      <w:r>
        <w:rPr>
          <w:sz w:val="28"/>
        </w:rPr>
        <w:t>victims</w:t>
      </w:r>
      <w:r>
        <w:rPr>
          <w:spacing w:val="-11"/>
          <w:sz w:val="28"/>
        </w:rPr>
        <w:t> </w:t>
      </w:r>
      <w:r>
        <w:rPr>
          <w:sz w:val="28"/>
        </w:rPr>
        <w:t>to report crime;</w:t>
      </w:r>
    </w:p>
    <w:p>
      <w:pPr>
        <w:pStyle w:val="ListParagraph"/>
        <w:numPr>
          <w:ilvl w:val="3"/>
          <w:numId w:val="61"/>
        </w:numPr>
        <w:tabs>
          <w:tab w:pos="1457" w:val="left" w:leader="none"/>
        </w:tabs>
        <w:spacing w:line="318" w:lineRule="exact" w:before="0" w:after="0"/>
        <w:ind w:left="1457" w:right="0" w:hanging="340"/>
        <w:jc w:val="left"/>
        <w:rPr>
          <w:sz w:val="28"/>
        </w:rPr>
      </w:pPr>
      <w:r>
        <w:rPr>
          <w:sz w:val="28"/>
        </w:rPr>
        <w:t>Improving</w:t>
      </w:r>
      <w:r>
        <w:rPr>
          <w:spacing w:val="-6"/>
          <w:sz w:val="28"/>
        </w:rPr>
        <w:t> </w:t>
      </w:r>
      <w:r>
        <w:rPr>
          <w:sz w:val="28"/>
        </w:rPr>
        <w:t>support</w:t>
      </w:r>
      <w:r>
        <w:rPr>
          <w:spacing w:val="-5"/>
          <w:sz w:val="28"/>
        </w:rPr>
        <w:t> </w:t>
      </w:r>
      <w:r>
        <w:rPr>
          <w:sz w:val="28"/>
        </w:rPr>
        <w:t>and</w:t>
      </w:r>
      <w:r>
        <w:rPr>
          <w:spacing w:val="-6"/>
          <w:sz w:val="28"/>
        </w:rPr>
        <w:t> </w:t>
      </w:r>
      <w:r>
        <w:rPr>
          <w:sz w:val="28"/>
        </w:rPr>
        <w:t>protection</w:t>
      </w:r>
      <w:r>
        <w:rPr>
          <w:spacing w:val="-7"/>
          <w:sz w:val="28"/>
        </w:rPr>
        <w:t> </w:t>
      </w:r>
      <w:r>
        <w:rPr>
          <w:sz w:val="28"/>
        </w:rPr>
        <w:t>to</w:t>
      </w:r>
      <w:r>
        <w:rPr>
          <w:spacing w:val="-6"/>
          <w:sz w:val="28"/>
        </w:rPr>
        <w:t> </w:t>
      </w:r>
      <w:r>
        <w:rPr>
          <w:sz w:val="28"/>
        </w:rPr>
        <w:t>the</w:t>
      </w:r>
      <w:r>
        <w:rPr>
          <w:spacing w:val="-5"/>
          <w:sz w:val="28"/>
        </w:rPr>
        <w:t> </w:t>
      </w:r>
      <w:r>
        <w:rPr>
          <w:sz w:val="28"/>
        </w:rPr>
        <w:t>most</w:t>
      </w:r>
      <w:r>
        <w:rPr>
          <w:spacing w:val="-5"/>
          <w:sz w:val="28"/>
        </w:rPr>
        <w:t> </w:t>
      </w:r>
      <w:r>
        <w:rPr>
          <w:sz w:val="28"/>
        </w:rPr>
        <w:t>vulnerable</w:t>
      </w:r>
      <w:r>
        <w:rPr>
          <w:spacing w:val="-6"/>
          <w:sz w:val="28"/>
        </w:rPr>
        <w:t> </w:t>
      </w:r>
      <w:r>
        <w:rPr>
          <w:spacing w:val="-2"/>
          <w:sz w:val="28"/>
        </w:rPr>
        <w:t>victims;</w:t>
      </w:r>
    </w:p>
    <w:p>
      <w:pPr>
        <w:pStyle w:val="ListParagraph"/>
        <w:numPr>
          <w:ilvl w:val="3"/>
          <w:numId w:val="61"/>
        </w:numPr>
        <w:tabs>
          <w:tab w:pos="1457" w:val="left" w:leader="none"/>
        </w:tabs>
        <w:spacing w:line="330" w:lineRule="exact" w:before="0" w:after="0"/>
        <w:ind w:left="1457" w:right="0" w:hanging="340"/>
        <w:jc w:val="left"/>
        <w:rPr>
          <w:sz w:val="28"/>
        </w:rPr>
      </w:pPr>
      <w:r>
        <w:rPr>
          <w:sz w:val="28"/>
        </w:rPr>
        <w:t>Facilitating</w:t>
      </w:r>
      <w:r>
        <w:rPr>
          <w:spacing w:val="-10"/>
          <w:sz w:val="28"/>
        </w:rPr>
        <w:t> </w:t>
      </w:r>
      <w:r>
        <w:rPr>
          <w:sz w:val="28"/>
        </w:rPr>
        <w:t>victims’</w:t>
      </w:r>
      <w:r>
        <w:rPr>
          <w:spacing w:val="-9"/>
          <w:sz w:val="28"/>
        </w:rPr>
        <w:t> </w:t>
      </w:r>
      <w:r>
        <w:rPr>
          <w:sz w:val="28"/>
        </w:rPr>
        <w:t>access</w:t>
      </w:r>
      <w:r>
        <w:rPr>
          <w:spacing w:val="-10"/>
          <w:sz w:val="28"/>
        </w:rPr>
        <w:t> </w:t>
      </w:r>
      <w:r>
        <w:rPr>
          <w:sz w:val="28"/>
        </w:rPr>
        <w:t>to</w:t>
      </w:r>
      <w:r>
        <w:rPr>
          <w:spacing w:val="-10"/>
          <w:sz w:val="28"/>
        </w:rPr>
        <w:t> </w:t>
      </w:r>
      <w:r>
        <w:rPr>
          <w:spacing w:val="-2"/>
          <w:sz w:val="28"/>
        </w:rPr>
        <w:t>compensation;</w:t>
      </w:r>
    </w:p>
    <w:p>
      <w:pPr>
        <w:pStyle w:val="ListParagraph"/>
        <w:numPr>
          <w:ilvl w:val="3"/>
          <w:numId w:val="61"/>
        </w:numPr>
        <w:tabs>
          <w:tab w:pos="1457" w:val="left" w:leader="none"/>
        </w:tabs>
        <w:spacing w:line="330" w:lineRule="exact" w:before="0" w:after="0"/>
        <w:ind w:left="1457" w:right="0" w:hanging="340"/>
        <w:jc w:val="left"/>
        <w:rPr>
          <w:sz w:val="28"/>
        </w:rPr>
      </w:pPr>
      <w:r>
        <w:rPr>
          <w:sz w:val="28"/>
        </w:rPr>
        <w:t>Strengthening</w:t>
      </w:r>
      <w:r>
        <w:rPr>
          <w:spacing w:val="-10"/>
          <w:sz w:val="28"/>
        </w:rPr>
        <w:t> </w:t>
      </w:r>
      <w:r>
        <w:rPr>
          <w:sz w:val="28"/>
        </w:rPr>
        <w:t>cooperation</w:t>
      </w:r>
      <w:r>
        <w:rPr>
          <w:spacing w:val="-10"/>
          <w:sz w:val="28"/>
        </w:rPr>
        <w:t> </w:t>
      </w:r>
      <w:r>
        <w:rPr>
          <w:sz w:val="28"/>
        </w:rPr>
        <w:t>and</w:t>
      </w:r>
      <w:r>
        <w:rPr>
          <w:spacing w:val="-9"/>
          <w:sz w:val="28"/>
        </w:rPr>
        <w:t> </w:t>
      </w:r>
      <w:r>
        <w:rPr>
          <w:sz w:val="28"/>
        </w:rPr>
        <w:t>coordination</w:t>
      </w:r>
      <w:r>
        <w:rPr>
          <w:spacing w:val="-10"/>
          <w:sz w:val="28"/>
        </w:rPr>
        <w:t> </w:t>
      </w:r>
      <w:r>
        <w:rPr>
          <w:sz w:val="28"/>
        </w:rPr>
        <w:t>among</w:t>
      </w:r>
      <w:r>
        <w:rPr>
          <w:spacing w:val="-9"/>
          <w:sz w:val="28"/>
        </w:rPr>
        <w:t> </w:t>
      </w:r>
      <w:r>
        <w:rPr>
          <w:sz w:val="28"/>
        </w:rPr>
        <w:t>all</w:t>
      </w:r>
      <w:r>
        <w:rPr>
          <w:spacing w:val="-10"/>
          <w:sz w:val="28"/>
        </w:rPr>
        <w:t> </w:t>
      </w:r>
      <w:r>
        <w:rPr>
          <w:sz w:val="28"/>
        </w:rPr>
        <w:t>relevant</w:t>
      </w:r>
      <w:r>
        <w:rPr>
          <w:spacing w:val="-9"/>
          <w:sz w:val="28"/>
        </w:rPr>
        <w:t> </w:t>
      </w:r>
      <w:r>
        <w:rPr>
          <w:sz w:val="28"/>
        </w:rPr>
        <w:t>actors;</w:t>
      </w:r>
      <w:r>
        <w:rPr>
          <w:spacing w:val="-10"/>
          <w:sz w:val="28"/>
        </w:rPr>
        <w:t> </w:t>
      </w:r>
      <w:r>
        <w:rPr>
          <w:spacing w:val="-5"/>
          <w:sz w:val="28"/>
        </w:rPr>
        <w:t>and</w:t>
      </w:r>
    </w:p>
    <w:p>
      <w:pPr>
        <w:pStyle w:val="ListParagraph"/>
        <w:numPr>
          <w:ilvl w:val="3"/>
          <w:numId w:val="61"/>
        </w:numPr>
        <w:tabs>
          <w:tab w:pos="1457" w:val="left" w:leader="none"/>
        </w:tabs>
        <w:spacing w:line="343" w:lineRule="exact" w:before="0" w:after="0"/>
        <w:ind w:left="1457" w:right="0" w:hanging="340"/>
        <w:jc w:val="left"/>
        <w:rPr>
          <w:sz w:val="28"/>
        </w:rPr>
      </w:pPr>
      <w:r>
        <w:rPr>
          <w:sz w:val="28"/>
        </w:rPr>
        <w:t>Strengthening</w:t>
      </w:r>
      <w:r>
        <w:rPr>
          <w:spacing w:val="-9"/>
          <w:sz w:val="28"/>
        </w:rPr>
        <w:t> </w:t>
      </w:r>
      <w:r>
        <w:rPr>
          <w:sz w:val="28"/>
        </w:rPr>
        <w:t>the</w:t>
      </w:r>
      <w:r>
        <w:rPr>
          <w:spacing w:val="-8"/>
          <w:sz w:val="28"/>
        </w:rPr>
        <w:t> </w:t>
      </w:r>
      <w:r>
        <w:rPr>
          <w:sz w:val="28"/>
        </w:rPr>
        <w:t>international</w:t>
      </w:r>
      <w:r>
        <w:rPr>
          <w:spacing w:val="-9"/>
          <w:sz w:val="28"/>
        </w:rPr>
        <w:t> </w:t>
      </w:r>
      <w:r>
        <w:rPr>
          <w:sz w:val="28"/>
        </w:rPr>
        <w:t>dimension</w:t>
      </w:r>
      <w:r>
        <w:rPr>
          <w:spacing w:val="-9"/>
          <w:sz w:val="28"/>
        </w:rPr>
        <w:t> </w:t>
      </w:r>
      <w:r>
        <w:rPr>
          <w:sz w:val="28"/>
        </w:rPr>
        <w:t>of</w:t>
      </w:r>
      <w:r>
        <w:rPr>
          <w:spacing w:val="-9"/>
          <w:sz w:val="28"/>
        </w:rPr>
        <w:t> </w:t>
      </w:r>
      <w:r>
        <w:rPr>
          <w:sz w:val="28"/>
        </w:rPr>
        <w:t>victims’</w:t>
      </w:r>
      <w:r>
        <w:rPr>
          <w:spacing w:val="-8"/>
          <w:sz w:val="28"/>
        </w:rPr>
        <w:t> </w:t>
      </w:r>
      <w:r>
        <w:rPr>
          <w:spacing w:val="-2"/>
          <w:sz w:val="28"/>
        </w:rPr>
        <w:t>rights.</w:t>
      </w:r>
    </w:p>
    <w:p>
      <w:pPr>
        <w:pStyle w:val="BodyText"/>
        <w:spacing w:line="232" w:lineRule="auto" w:before="280"/>
        <w:ind w:left="1117" w:right="823"/>
      </w:pPr>
      <w:r>
        <w:rPr/>
        <w:t>Our report focuses on developments that occurred between 1 January 2022 and 31</w:t>
      </w:r>
      <w:r>
        <w:rPr>
          <w:spacing w:val="-6"/>
        </w:rPr>
        <w:t> </w:t>
      </w:r>
      <w:r>
        <w:rPr/>
        <w:t>August</w:t>
      </w:r>
      <w:r>
        <w:rPr>
          <w:spacing w:val="-6"/>
        </w:rPr>
        <w:t> </w:t>
      </w:r>
      <w:r>
        <w:rPr/>
        <w:t>2023</w:t>
      </w:r>
      <w:r>
        <w:rPr>
          <w:spacing w:val="-6"/>
        </w:rPr>
        <w:t> </w:t>
      </w:r>
      <w:r>
        <w:rPr/>
        <w:t>and</w:t>
      </w:r>
      <w:r>
        <w:rPr>
          <w:spacing w:val="-7"/>
        </w:rPr>
        <w:t> </w:t>
      </w:r>
      <w:r>
        <w:rPr/>
        <w:t>this</w:t>
      </w:r>
      <w:r>
        <w:rPr>
          <w:spacing w:val="-7"/>
        </w:rPr>
        <w:t> </w:t>
      </w:r>
      <w:r>
        <w:rPr/>
        <w:t>policy</w:t>
      </w:r>
      <w:r>
        <w:rPr>
          <w:spacing w:val="-6"/>
        </w:rPr>
        <w:t> </w:t>
      </w:r>
      <w:r>
        <w:rPr/>
        <w:t>was</w:t>
      </w:r>
      <w:r>
        <w:rPr>
          <w:spacing w:val="-7"/>
        </w:rPr>
        <w:t> </w:t>
      </w:r>
      <w:r>
        <w:rPr/>
        <w:t>adopted</w:t>
      </w:r>
      <w:r>
        <w:rPr>
          <w:spacing w:val="-7"/>
        </w:rPr>
        <w:t> </w:t>
      </w:r>
      <w:r>
        <w:rPr/>
        <w:t>in</w:t>
      </w:r>
      <w:r>
        <w:rPr>
          <w:spacing w:val="-7"/>
        </w:rPr>
        <w:t> </w:t>
      </w:r>
      <w:r>
        <w:rPr/>
        <w:t>2020.</w:t>
      </w:r>
      <w:r>
        <w:rPr>
          <w:spacing w:val="-7"/>
        </w:rPr>
        <w:t> </w:t>
      </w:r>
      <w:r>
        <w:rPr/>
        <w:t>However,</w:t>
      </w:r>
      <w:r>
        <w:rPr>
          <w:spacing w:val="-6"/>
        </w:rPr>
        <w:t> </w:t>
      </w:r>
      <w:r>
        <w:rPr/>
        <w:t>it</w:t>
      </w:r>
      <w:r>
        <w:rPr>
          <w:spacing w:val="-6"/>
        </w:rPr>
        <w:t> </w:t>
      </w:r>
      <w:r>
        <w:rPr/>
        <w:t>highlights</w:t>
      </w:r>
      <w:r>
        <w:rPr>
          <w:spacing w:val="-7"/>
        </w:rPr>
        <w:t> </w:t>
      </w:r>
      <w:r>
        <w:rPr/>
        <w:t>priority areas in which one can expect particularly dynamic EU protection (including legislative developments) to protect victims’ rights until 2025.</w:t>
      </w:r>
    </w:p>
    <w:p>
      <w:pPr>
        <w:pStyle w:val="BodyText"/>
        <w:rPr>
          <w:sz w:val="20"/>
        </w:rPr>
      </w:pPr>
      <w:r>
        <w:rPr/>
        <mc:AlternateContent>
          <mc:Choice Requires="wps">
            <w:drawing>
              <wp:anchor distT="0" distB="0" distL="0" distR="0" allowOverlap="1" layoutInCell="1" locked="0" behindDoc="1" simplePos="0" relativeHeight="487805952">
                <wp:simplePos x="0" y="0"/>
                <wp:positionH relativeFrom="page">
                  <wp:posOffset>899994</wp:posOffset>
                </wp:positionH>
                <wp:positionV relativeFrom="paragraph">
                  <wp:posOffset>170888</wp:posOffset>
                </wp:positionV>
                <wp:extent cx="6012180" cy="1022985"/>
                <wp:effectExtent l="0" t="0" r="0" b="0"/>
                <wp:wrapTopAndBottom/>
                <wp:docPr id="1139" name="Group 1139"/>
                <wp:cNvGraphicFramePr>
                  <a:graphicFrameLocks/>
                </wp:cNvGraphicFramePr>
                <a:graphic>
                  <a:graphicData uri="http://schemas.microsoft.com/office/word/2010/wordprocessingGroup">
                    <wpg:wgp>
                      <wpg:cNvPr id="1139" name="Group 1139"/>
                      <wpg:cNvGrpSpPr/>
                      <wpg:grpSpPr>
                        <a:xfrm>
                          <a:off x="0" y="0"/>
                          <a:ext cx="6012180" cy="1022985"/>
                          <a:chExt cx="6012180" cy="1022985"/>
                        </a:xfrm>
                      </wpg:grpSpPr>
                      <wps:wsp>
                        <wps:cNvPr id="1140" name="Graphic 1140"/>
                        <wps:cNvSpPr/>
                        <wps:spPr>
                          <a:xfrm>
                            <a:off x="0" y="0"/>
                            <a:ext cx="6012180" cy="1022985"/>
                          </a:xfrm>
                          <a:custGeom>
                            <a:avLst/>
                            <a:gdLst/>
                            <a:ahLst/>
                            <a:cxnLst/>
                            <a:rect l="l" t="t" r="r" b="b"/>
                            <a:pathLst>
                              <a:path w="6012180" h="1022985">
                                <a:moveTo>
                                  <a:pt x="5868009" y="0"/>
                                </a:moveTo>
                                <a:lnTo>
                                  <a:pt x="144005" y="0"/>
                                </a:lnTo>
                                <a:lnTo>
                                  <a:pt x="98490" y="7340"/>
                                </a:lnTo>
                                <a:lnTo>
                                  <a:pt x="58959" y="27782"/>
                                </a:lnTo>
                                <a:lnTo>
                                  <a:pt x="27785" y="58954"/>
                                </a:lnTo>
                                <a:lnTo>
                                  <a:pt x="7341" y="98485"/>
                                </a:lnTo>
                                <a:lnTo>
                                  <a:pt x="0" y="144005"/>
                                </a:lnTo>
                                <a:lnTo>
                                  <a:pt x="0" y="878446"/>
                                </a:lnTo>
                                <a:lnTo>
                                  <a:pt x="7341" y="923961"/>
                                </a:lnTo>
                                <a:lnTo>
                                  <a:pt x="27785" y="963492"/>
                                </a:lnTo>
                                <a:lnTo>
                                  <a:pt x="58959" y="994665"/>
                                </a:lnTo>
                                <a:lnTo>
                                  <a:pt x="98490" y="1015109"/>
                                </a:lnTo>
                                <a:lnTo>
                                  <a:pt x="144005" y="1022451"/>
                                </a:lnTo>
                                <a:lnTo>
                                  <a:pt x="5868009" y="1022451"/>
                                </a:lnTo>
                                <a:lnTo>
                                  <a:pt x="5913523" y="1015109"/>
                                </a:lnTo>
                                <a:lnTo>
                                  <a:pt x="5953050" y="994665"/>
                                </a:lnTo>
                                <a:lnTo>
                                  <a:pt x="5984220" y="963492"/>
                                </a:lnTo>
                                <a:lnTo>
                                  <a:pt x="6004661" y="923961"/>
                                </a:lnTo>
                                <a:lnTo>
                                  <a:pt x="6012002" y="87844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141" name="Textbox 1141"/>
                        <wps:cNvSpPr txBox="1"/>
                        <wps:spPr>
                          <a:xfrm>
                            <a:off x="0" y="0"/>
                            <a:ext cx="6012180" cy="1022985"/>
                          </a:xfrm>
                          <a:prstGeom prst="rect">
                            <a:avLst/>
                          </a:prstGeom>
                        </wps:spPr>
                        <wps:txbx>
                          <w:txbxContent>
                            <w:p>
                              <w:pPr>
                                <w:spacing w:line="232" w:lineRule="auto" w:before="121"/>
                                <w:ind w:left="340" w:right="196" w:firstLine="0"/>
                                <w:jc w:val="left"/>
                                <w:rPr>
                                  <w:b/>
                                  <w:sz w:val="28"/>
                                </w:rPr>
                              </w:pPr>
                              <w:r>
                                <w:rPr>
                                  <w:b/>
                                  <w:color w:val="164194"/>
                                  <w:sz w:val="28"/>
                                </w:rPr>
                                <w:t>We recommend that the Northern Ireland Department of Justice review the EU</w:t>
                              </w:r>
                              <w:r>
                                <w:rPr>
                                  <w:b/>
                                  <w:color w:val="164194"/>
                                  <w:spacing w:val="-7"/>
                                  <w:sz w:val="28"/>
                                </w:rPr>
                                <w:t> </w:t>
                              </w:r>
                              <w:r>
                                <w:rPr>
                                  <w:b/>
                                  <w:color w:val="164194"/>
                                  <w:sz w:val="28"/>
                                </w:rPr>
                                <w:t>strategy</w:t>
                              </w:r>
                              <w:r>
                                <w:rPr>
                                  <w:b/>
                                  <w:color w:val="164194"/>
                                  <w:spacing w:val="-8"/>
                                  <w:sz w:val="28"/>
                                </w:rPr>
                                <w:t> </w:t>
                              </w:r>
                              <w:r>
                                <w:rPr>
                                  <w:b/>
                                  <w:color w:val="164194"/>
                                  <w:sz w:val="28"/>
                                </w:rPr>
                                <w:t>on</w:t>
                              </w:r>
                              <w:r>
                                <w:rPr>
                                  <w:b/>
                                  <w:color w:val="164194"/>
                                  <w:spacing w:val="-7"/>
                                  <w:sz w:val="28"/>
                                </w:rPr>
                                <w:t> </w:t>
                              </w:r>
                              <w:r>
                                <w:rPr>
                                  <w:b/>
                                  <w:color w:val="164194"/>
                                  <w:sz w:val="28"/>
                                </w:rPr>
                                <w:t>victims’</w:t>
                              </w:r>
                              <w:r>
                                <w:rPr>
                                  <w:b/>
                                  <w:color w:val="164194"/>
                                  <w:spacing w:val="-8"/>
                                  <w:sz w:val="28"/>
                                </w:rPr>
                                <w:t> </w:t>
                              </w:r>
                              <w:r>
                                <w:rPr>
                                  <w:b/>
                                  <w:color w:val="164194"/>
                                  <w:sz w:val="28"/>
                                </w:rPr>
                                <w:t>rights</w:t>
                              </w:r>
                              <w:r>
                                <w:rPr>
                                  <w:b/>
                                  <w:color w:val="164194"/>
                                  <w:spacing w:val="-7"/>
                                  <w:sz w:val="28"/>
                                </w:rPr>
                                <w:t> </w:t>
                              </w:r>
                              <w:r>
                                <w:rPr>
                                  <w:b/>
                                  <w:color w:val="164194"/>
                                  <w:sz w:val="28"/>
                                </w:rPr>
                                <w:t>to</w:t>
                              </w:r>
                              <w:r>
                                <w:rPr>
                                  <w:b/>
                                  <w:color w:val="164194"/>
                                  <w:spacing w:val="-8"/>
                                  <w:sz w:val="28"/>
                                </w:rPr>
                                <w:t> </w:t>
                              </w:r>
                              <w:r>
                                <w:rPr>
                                  <w:b/>
                                  <w:color w:val="164194"/>
                                  <w:sz w:val="28"/>
                                </w:rPr>
                                <w:t>identify</w:t>
                              </w:r>
                              <w:r>
                                <w:rPr>
                                  <w:b/>
                                  <w:color w:val="164194"/>
                                  <w:spacing w:val="-7"/>
                                  <w:sz w:val="28"/>
                                </w:rPr>
                                <w:t> </w:t>
                              </w:r>
                              <w:r>
                                <w:rPr>
                                  <w:b/>
                                  <w:color w:val="164194"/>
                                  <w:sz w:val="28"/>
                                </w:rPr>
                                <w:t>examples</w:t>
                              </w:r>
                              <w:r>
                                <w:rPr>
                                  <w:b/>
                                  <w:color w:val="164194"/>
                                  <w:spacing w:val="-8"/>
                                  <w:sz w:val="28"/>
                                </w:rPr>
                                <w:t> </w:t>
                              </w:r>
                              <w:r>
                                <w:rPr>
                                  <w:b/>
                                  <w:color w:val="164194"/>
                                  <w:sz w:val="28"/>
                                </w:rPr>
                                <w:t>of</w:t>
                              </w:r>
                              <w:r>
                                <w:rPr>
                                  <w:b/>
                                  <w:color w:val="164194"/>
                                  <w:spacing w:val="-8"/>
                                  <w:sz w:val="28"/>
                                </w:rPr>
                                <w:t> </w:t>
                              </w:r>
                              <w:r>
                                <w:rPr>
                                  <w:b/>
                                  <w:color w:val="164194"/>
                                  <w:sz w:val="28"/>
                                </w:rPr>
                                <w:t>best</w:t>
                              </w:r>
                              <w:r>
                                <w:rPr>
                                  <w:b/>
                                  <w:color w:val="164194"/>
                                  <w:spacing w:val="-7"/>
                                  <w:sz w:val="28"/>
                                </w:rPr>
                                <w:t> </w:t>
                              </w:r>
                              <w:r>
                                <w:rPr>
                                  <w:b/>
                                  <w:color w:val="164194"/>
                                  <w:sz w:val="28"/>
                                </w:rPr>
                                <w:t>practice</w:t>
                              </w:r>
                              <w:r>
                                <w:rPr>
                                  <w:b/>
                                  <w:color w:val="164194"/>
                                  <w:spacing w:val="-8"/>
                                  <w:sz w:val="28"/>
                                </w:rPr>
                                <w:t> </w:t>
                              </w:r>
                              <w:r>
                                <w:rPr>
                                  <w:b/>
                                  <w:color w:val="164194"/>
                                  <w:sz w:val="28"/>
                                </w:rPr>
                                <w:t>that</w:t>
                              </w:r>
                              <w:r>
                                <w:rPr>
                                  <w:b/>
                                  <w:color w:val="164194"/>
                                  <w:spacing w:val="-7"/>
                                  <w:sz w:val="28"/>
                                </w:rPr>
                                <w:t> </w:t>
                              </w:r>
                              <w:r>
                                <w:rPr>
                                  <w:b/>
                                  <w:color w:val="164194"/>
                                  <w:sz w:val="28"/>
                                </w:rPr>
                                <w:t>could strengthen rights and reflect international human rights standards and best </w:t>
                              </w:r>
                              <w:r>
                                <w:rPr>
                                  <w:b/>
                                  <w:color w:val="164194"/>
                                  <w:spacing w:val="-2"/>
                                  <w:sz w:val="28"/>
                                </w:rPr>
                                <w:t>practice.</w:t>
                              </w:r>
                            </w:p>
                          </w:txbxContent>
                        </wps:txbx>
                        <wps:bodyPr wrap="square" lIns="0" tIns="0" rIns="0" bIns="0" rtlCol="0">
                          <a:noAutofit/>
                        </wps:bodyPr>
                      </wps:wsp>
                    </wpg:wgp>
                  </a:graphicData>
                </a:graphic>
              </wp:anchor>
            </w:drawing>
          </mc:Choice>
          <mc:Fallback>
            <w:pict>
              <v:group style="position:absolute;margin-left:70.8657pt;margin-top:13.455794pt;width:473.4pt;height:80.55pt;mso-position-horizontal-relative:page;mso-position-vertical-relative:paragraph;z-index:-15510528;mso-wrap-distance-left:0;mso-wrap-distance-right:0" id="docshapegroup940" coordorigin="1417,269" coordsize="9468,1611">
                <v:shape style="position:absolute;left:1417;top:269;width:9468;height:1611" id="docshape941" coordorigin="1417,269" coordsize="9468,1611" path="m10658,269l1644,269,1572,281,1510,313,1461,362,1429,424,1417,496,1417,1652,1429,1724,1461,1786,1510,1836,1572,1868,1644,1879,10658,1879,10730,1868,10792,1836,10841,1786,10873,1724,10885,1652,10885,496,10873,424,10841,362,10792,313,10730,281,10658,269xe" filled="true" fillcolor="#e9f3fc" stroked="false">
                  <v:path arrowok="t"/>
                  <v:fill type="solid"/>
                </v:shape>
                <v:shape style="position:absolute;left:1417;top:269;width:9468;height:1611" type="#_x0000_t202" id="docshape942" filled="false" stroked="false">
                  <v:textbox inset="0,0,0,0">
                    <w:txbxContent>
                      <w:p>
                        <w:pPr>
                          <w:spacing w:line="232" w:lineRule="auto" w:before="121"/>
                          <w:ind w:left="340" w:right="196" w:firstLine="0"/>
                          <w:jc w:val="left"/>
                          <w:rPr>
                            <w:b/>
                            <w:sz w:val="28"/>
                          </w:rPr>
                        </w:pPr>
                        <w:r>
                          <w:rPr>
                            <w:b/>
                            <w:color w:val="164194"/>
                            <w:sz w:val="28"/>
                          </w:rPr>
                          <w:t>We recommend that the Northern Ireland Department of Justice review the EU</w:t>
                        </w:r>
                        <w:r>
                          <w:rPr>
                            <w:b/>
                            <w:color w:val="164194"/>
                            <w:spacing w:val="-7"/>
                            <w:sz w:val="28"/>
                          </w:rPr>
                          <w:t> </w:t>
                        </w:r>
                        <w:r>
                          <w:rPr>
                            <w:b/>
                            <w:color w:val="164194"/>
                            <w:sz w:val="28"/>
                          </w:rPr>
                          <w:t>strategy</w:t>
                        </w:r>
                        <w:r>
                          <w:rPr>
                            <w:b/>
                            <w:color w:val="164194"/>
                            <w:spacing w:val="-8"/>
                            <w:sz w:val="28"/>
                          </w:rPr>
                          <w:t> </w:t>
                        </w:r>
                        <w:r>
                          <w:rPr>
                            <w:b/>
                            <w:color w:val="164194"/>
                            <w:sz w:val="28"/>
                          </w:rPr>
                          <w:t>on</w:t>
                        </w:r>
                        <w:r>
                          <w:rPr>
                            <w:b/>
                            <w:color w:val="164194"/>
                            <w:spacing w:val="-7"/>
                            <w:sz w:val="28"/>
                          </w:rPr>
                          <w:t> </w:t>
                        </w:r>
                        <w:r>
                          <w:rPr>
                            <w:b/>
                            <w:color w:val="164194"/>
                            <w:sz w:val="28"/>
                          </w:rPr>
                          <w:t>victims’</w:t>
                        </w:r>
                        <w:r>
                          <w:rPr>
                            <w:b/>
                            <w:color w:val="164194"/>
                            <w:spacing w:val="-8"/>
                            <w:sz w:val="28"/>
                          </w:rPr>
                          <w:t> </w:t>
                        </w:r>
                        <w:r>
                          <w:rPr>
                            <w:b/>
                            <w:color w:val="164194"/>
                            <w:sz w:val="28"/>
                          </w:rPr>
                          <w:t>rights</w:t>
                        </w:r>
                        <w:r>
                          <w:rPr>
                            <w:b/>
                            <w:color w:val="164194"/>
                            <w:spacing w:val="-7"/>
                            <w:sz w:val="28"/>
                          </w:rPr>
                          <w:t> </w:t>
                        </w:r>
                        <w:r>
                          <w:rPr>
                            <w:b/>
                            <w:color w:val="164194"/>
                            <w:sz w:val="28"/>
                          </w:rPr>
                          <w:t>to</w:t>
                        </w:r>
                        <w:r>
                          <w:rPr>
                            <w:b/>
                            <w:color w:val="164194"/>
                            <w:spacing w:val="-8"/>
                            <w:sz w:val="28"/>
                          </w:rPr>
                          <w:t> </w:t>
                        </w:r>
                        <w:r>
                          <w:rPr>
                            <w:b/>
                            <w:color w:val="164194"/>
                            <w:sz w:val="28"/>
                          </w:rPr>
                          <w:t>identify</w:t>
                        </w:r>
                        <w:r>
                          <w:rPr>
                            <w:b/>
                            <w:color w:val="164194"/>
                            <w:spacing w:val="-7"/>
                            <w:sz w:val="28"/>
                          </w:rPr>
                          <w:t> </w:t>
                        </w:r>
                        <w:r>
                          <w:rPr>
                            <w:b/>
                            <w:color w:val="164194"/>
                            <w:sz w:val="28"/>
                          </w:rPr>
                          <w:t>examples</w:t>
                        </w:r>
                        <w:r>
                          <w:rPr>
                            <w:b/>
                            <w:color w:val="164194"/>
                            <w:spacing w:val="-8"/>
                            <w:sz w:val="28"/>
                          </w:rPr>
                          <w:t> </w:t>
                        </w:r>
                        <w:r>
                          <w:rPr>
                            <w:b/>
                            <w:color w:val="164194"/>
                            <w:sz w:val="28"/>
                          </w:rPr>
                          <w:t>of</w:t>
                        </w:r>
                        <w:r>
                          <w:rPr>
                            <w:b/>
                            <w:color w:val="164194"/>
                            <w:spacing w:val="-8"/>
                            <w:sz w:val="28"/>
                          </w:rPr>
                          <w:t> </w:t>
                        </w:r>
                        <w:r>
                          <w:rPr>
                            <w:b/>
                            <w:color w:val="164194"/>
                            <w:sz w:val="28"/>
                          </w:rPr>
                          <w:t>best</w:t>
                        </w:r>
                        <w:r>
                          <w:rPr>
                            <w:b/>
                            <w:color w:val="164194"/>
                            <w:spacing w:val="-7"/>
                            <w:sz w:val="28"/>
                          </w:rPr>
                          <w:t> </w:t>
                        </w:r>
                        <w:r>
                          <w:rPr>
                            <w:b/>
                            <w:color w:val="164194"/>
                            <w:sz w:val="28"/>
                          </w:rPr>
                          <w:t>practice</w:t>
                        </w:r>
                        <w:r>
                          <w:rPr>
                            <w:b/>
                            <w:color w:val="164194"/>
                            <w:spacing w:val="-8"/>
                            <w:sz w:val="28"/>
                          </w:rPr>
                          <w:t> </w:t>
                        </w:r>
                        <w:r>
                          <w:rPr>
                            <w:b/>
                            <w:color w:val="164194"/>
                            <w:sz w:val="28"/>
                          </w:rPr>
                          <w:t>that</w:t>
                        </w:r>
                        <w:r>
                          <w:rPr>
                            <w:b/>
                            <w:color w:val="164194"/>
                            <w:spacing w:val="-7"/>
                            <w:sz w:val="28"/>
                          </w:rPr>
                          <w:t> </w:t>
                        </w:r>
                        <w:r>
                          <w:rPr>
                            <w:b/>
                            <w:color w:val="164194"/>
                            <w:sz w:val="28"/>
                          </w:rPr>
                          <w:t>could strengthen rights and reflect international human rights standards and best </w:t>
                        </w:r>
                        <w:r>
                          <w:rPr>
                            <w:b/>
                            <w:color w:val="164194"/>
                            <w:spacing w:val="-2"/>
                            <w:sz w:val="28"/>
                          </w:rPr>
                          <w:t>practice.</w:t>
                        </w:r>
                      </w:p>
                    </w:txbxContent>
                  </v:textbox>
                  <w10:wrap type="none"/>
                </v:shape>
                <w10:wrap type="topAndBottom"/>
              </v:group>
            </w:pict>
          </mc:Fallback>
        </mc:AlternateContent>
      </w:r>
    </w:p>
    <w:p>
      <w:pPr>
        <w:pStyle w:val="BodyText"/>
        <w:spacing w:before="1"/>
      </w:pPr>
    </w:p>
    <w:p>
      <w:pPr>
        <w:pStyle w:val="Heading3"/>
        <w:numPr>
          <w:ilvl w:val="2"/>
          <w:numId w:val="61"/>
        </w:numPr>
        <w:tabs>
          <w:tab w:pos="1755" w:val="left" w:leader="none"/>
        </w:tabs>
        <w:spacing w:line="336" w:lineRule="exact" w:before="0" w:after="0"/>
        <w:ind w:left="1755" w:right="0" w:hanging="638"/>
        <w:jc w:val="left"/>
      </w:pPr>
      <w:r>
        <w:rPr>
          <w:color w:val="004A93"/>
        </w:rPr>
        <w:t>Childrens’</w:t>
      </w:r>
      <w:r>
        <w:rPr>
          <w:color w:val="004A93"/>
          <w:spacing w:val="-9"/>
        </w:rPr>
        <w:t> </w:t>
      </w:r>
      <w:r>
        <w:rPr>
          <w:color w:val="004A93"/>
          <w:spacing w:val="-2"/>
        </w:rPr>
        <w:t>rights</w:t>
      </w:r>
    </w:p>
    <w:p>
      <w:pPr>
        <w:pStyle w:val="BodyText"/>
        <w:spacing w:line="232" w:lineRule="auto" w:before="3"/>
        <w:ind w:left="1117" w:right="738"/>
      </w:pPr>
      <w:r>
        <w:rPr/>
        <w:t>In</w:t>
      </w:r>
      <w:r>
        <w:rPr>
          <w:spacing w:val="-6"/>
        </w:rPr>
        <w:t> </w:t>
      </w:r>
      <w:r>
        <w:rPr/>
        <w:t>2021,</w:t>
      </w:r>
      <w:r>
        <w:rPr>
          <w:spacing w:val="-5"/>
        </w:rPr>
        <w:t> </w:t>
      </w:r>
      <w:r>
        <w:rPr/>
        <w:t>the</w:t>
      </w:r>
      <w:r>
        <w:rPr>
          <w:spacing w:val="-5"/>
        </w:rPr>
        <w:t> </w:t>
      </w:r>
      <w:r>
        <w:rPr/>
        <w:t>EU</w:t>
      </w:r>
      <w:r>
        <w:rPr>
          <w:spacing w:val="-5"/>
        </w:rPr>
        <w:t> </w:t>
      </w:r>
      <w:r>
        <w:rPr/>
        <w:t>adopted</w:t>
      </w:r>
      <w:r>
        <w:rPr>
          <w:spacing w:val="-6"/>
        </w:rPr>
        <w:t> </w:t>
      </w:r>
      <w:r>
        <w:rPr/>
        <w:t>a</w:t>
      </w:r>
      <w:r>
        <w:rPr>
          <w:spacing w:val="-6"/>
        </w:rPr>
        <w:t> </w:t>
      </w:r>
      <w:r>
        <w:rPr/>
        <w:t>new</w:t>
      </w:r>
      <w:r>
        <w:rPr>
          <w:spacing w:val="-5"/>
        </w:rPr>
        <w:t> </w:t>
      </w:r>
      <w:r>
        <w:rPr/>
        <w:t>comprehensive</w:t>
      </w:r>
      <w:r>
        <w:rPr>
          <w:spacing w:val="-5"/>
        </w:rPr>
        <w:t> </w:t>
      </w:r>
      <w:r>
        <w:rPr/>
        <w:t>EU</w:t>
      </w:r>
      <w:r>
        <w:rPr>
          <w:spacing w:val="-5"/>
        </w:rPr>
        <w:t> </w:t>
      </w:r>
      <w:r>
        <w:rPr/>
        <w:t>policy</w:t>
      </w:r>
      <w:r>
        <w:rPr>
          <w:spacing w:val="-5"/>
        </w:rPr>
        <w:t> </w:t>
      </w:r>
      <w:r>
        <w:rPr/>
        <w:t>framework</w:t>
      </w:r>
      <w:r>
        <w:rPr>
          <w:spacing w:val="-5"/>
        </w:rPr>
        <w:t> </w:t>
      </w:r>
      <w:r>
        <w:rPr/>
        <w:t>to</w:t>
      </w:r>
      <w:r>
        <w:rPr>
          <w:spacing w:val="-6"/>
        </w:rPr>
        <w:t> </w:t>
      </w:r>
      <w:r>
        <w:rPr/>
        <w:t>protect</w:t>
      </w:r>
      <w:r>
        <w:rPr>
          <w:spacing w:val="-5"/>
        </w:rPr>
        <w:t> </w:t>
      </w:r>
      <w:r>
        <w:rPr/>
        <w:t>the rights</w:t>
      </w:r>
      <w:r>
        <w:rPr>
          <w:spacing w:val="-3"/>
        </w:rPr>
        <w:t> </w:t>
      </w:r>
      <w:r>
        <w:rPr/>
        <w:t>of</w:t>
      </w:r>
      <w:r>
        <w:rPr>
          <w:spacing w:val="-3"/>
        </w:rPr>
        <w:t> </w:t>
      </w:r>
      <w:r>
        <w:rPr/>
        <w:t>all</w:t>
      </w:r>
      <w:r>
        <w:rPr>
          <w:spacing w:val="-3"/>
        </w:rPr>
        <w:t> </w:t>
      </w:r>
      <w:r>
        <w:rPr/>
        <w:t>children,</w:t>
      </w:r>
      <w:r>
        <w:rPr>
          <w:spacing w:val="-2"/>
        </w:rPr>
        <w:t> </w:t>
      </w:r>
      <w:r>
        <w:rPr/>
        <w:t>and</w:t>
      </w:r>
      <w:r>
        <w:rPr>
          <w:spacing w:val="-3"/>
        </w:rPr>
        <w:t> </w:t>
      </w:r>
      <w:r>
        <w:rPr/>
        <w:t>secure</w:t>
      </w:r>
      <w:r>
        <w:rPr>
          <w:spacing w:val="-2"/>
        </w:rPr>
        <w:t> </w:t>
      </w:r>
      <w:r>
        <w:rPr/>
        <w:t>vulnerable</w:t>
      </w:r>
      <w:r>
        <w:rPr>
          <w:spacing w:val="-2"/>
        </w:rPr>
        <w:t> </w:t>
      </w:r>
      <w:r>
        <w:rPr/>
        <w:t>children’s</w:t>
      </w:r>
      <w:r>
        <w:rPr>
          <w:spacing w:val="-3"/>
        </w:rPr>
        <w:t> </w:t>
      </w:r>
      <w:r>
        <w:rPr/>
        <w:t>access</w:t>
      </w:r>
      <w:r>
        <w:rPr>
          <w:spacing w:val="-3"/>
        </w:rPr>
        <w:t> </w:t>
      </w:r>
      <w:r>
        <w:rPr/>
        <w:t>to</w:t>
      </w:r>
      <w:r>
        <w:rPr>
          <w:spacing w:val="-3"/>
        </w:rPr>
        <w:t> </w:t>
      </w:r>
      <w:r>
        <w:rPr/>
        <w:t>basic</w:t>
      </w:r>
      <w:r>
        <w:rPr>
          <w:spacing w:val="-2"/>
        </w:rPr>
        <w:t> </w:t>
      </w:r>
      <w:r>
        <w:rPr/>
        <w:t>services.</w:t>
      </w:r>
      <w:r>
        <w:rPr>
          <w:spacing w:val="-3"/>
        </w:rPr>
        <w:t> </w:t>
      </w:r>
      <w:r>
        <w:rPr/>
        <w:t>This framework includes: the EU Strategy on the Rights of the Child and the European Child Guarantee.</w:t>
      </w:r>
      <w:r>
        <w:rPr>
          <w:vertAlign w:val="superscript"/>
        </w:rPr>
        <w:t>698</w:t>
      </w:r>
    </w:p>
    <w:p>
      <w:pPr>
        <w:pStyle w:val="BodyText"/>
        <w:spacing w:before="269"/>
        <w:ind w:left="1117"/>
      </w:pPr>
      <w:r>
        <w:rPr/>
        <w:t>The</w:t>
      </w:r>
      <w:r>
        <w:rPr>
          <w:spacing w:val="-3"/>
        </w:rPr>
        <w:t> </w:t>
      </w:r>
      <w:r>
        <w:rPr/>
        <w:t>thematic</w:t>
      </w:r>
      <w:r>
        <w:rPr>
          <w:spacing w:val="-3"/>
        </w:rPr>
        <w:t> </w:t>
      </w:r>
      <w:r>
        <w:rPr/>
        <w:t>areas</w:t>
      </w:r>
      <w:r>
        <w:rPr>
          <w:spacing w:val="-4"/>
        </w:rPr>
        <w:t> </w:t>
      </w:r>
      <w:r>
        <w:rPr/>
        <w:t>of</w:t>
      </w:r>
      <w:r>
        <w:rPr>
          <w:spacing w:val="-4"/>
        </w:rPr>
        <w:t> </w:t>
      </w:r>
      <w:r>
        <w:rPr/>
        <w:t>the</w:t>
      </w:r>
      <w:r>
        <w:rPr>
          <w:spacing w:val="-3"/>
        </w:rPr>
        <w:t> </w:t>
      </w:r>
      <w:r>
        <w:rPr/>
        <w:t>EU</w:t>
      </w:r>
      <w:r>
        <w:rPr>
          <w:spacing w:val="-3"/>
        </w:rPr>
        <w:t> </w:t>
      </w:r>
      <w:r>
        <w:rPr/>
        <w:t>Strategy</w:t>
      </w:r>
      <w:r>
        <w:rPr>
          <w:spacing w:val="-3"/>
        </w:rPr>
        <w:t> </w:t>
      </w:r>
      <w:r>
        <w:rPr/>
        <w:t>on</w:t>
      </w:r>
      <w:r>
        <w:rPr>
          <w:spacing w:val="-4"/>
        </w:rPr>
        <w:t> </w:t>
      </w:r>
      <w:r>
        <w:rPr/>
        <w:t>the</w:t>
      </w:r>
      <w:r>
        <w:rPr>
          <w:spacing w:val="-3"/>
        </w:rPr>
        <w:t> </w:t>
      </w:r>
      <w:r>
        <w:rPr/>
        <w:t>Rights</w:t>
      </w:r>
      <w:r>
        <w:rPr>
          <w:spacing w:val="-4"/>
        </w:rPr>
        <w:t> </w:t>
      </w:r>
      <w:r>
        <w:rPr/>
        <w:t>of</w:t>
      </w:r>
      <w:r>
        <w:rPr>
          <w:spacing w:val="-4"/>
        </w:rPr>
        <w:t> </w:t>
      </w:r>
      <w:r>
        <w:rPr/>
        <w:t>the</w:t>
      </w:r>
      <w:r>
        <w:rPr>
          <w:spacing w:val="-3"/>
        </w:rPr>
        <w:t> </w:t>
      </w:r>
      <w:r>
        <w:rPr/>
        <w:t>Child</w:t>
      </w:r>
      <w:r>
        <w:rPr>
          <w:spacing w:val="-4"/>
        </w:rPr>
        <w:t> </w:t>
      </w:r>
      <w:r>
        <w:rPr>
          <w:spacing w:val="-2"/>
        </w:rPr>
        <w:t>includes:</w:t>
      </w:r>
    </w:p>
    <w:p>
      <w:pPr>
        <w:pStyle w:val="ListParagraph"/>
        <w:numPr>
          <w:ilvl w:val="3"/>
          <w:numId w:val="61"/>
        </w:numPr>
        <w:tabs>
          <w:tab w:pos="1457" w:val="left" w:leader="none"/>
        </w:tabs>
        <w:spacing w:line="343" w:lineRule="exact" w:before="258" w:after="0"/>
        <w:ind w:left="1457" w:right="0" w:hanging="340"/>
        <w:jc w:val="left"/>
        <w:rPr>
          <w:sz w:val="28"/>
        </w:rPr>
      </w:pPr>
      <w:r>
        <w:rPr>
          <w:sz w:val="28"/>
        </w:rPr>
        <w:t>Child</w:t>
      </w:r>
      <w:r>
        <w:rPr>
          <w:spacing w:val="-10"/>
          <w:sz w:val="28"/>
        </w:rPr>
        <w:t> </w:t>
      </w:r>
      <w:r>
        <w:rPr>
          <w:sz w:val="28"/>
        </w:rPr>
        <w:t>participation</w:t>
      </w:r>
      <w:r>
        <w:rPr>
          <w:spacing w:val="-9"/>
          <w:sz w:val="28"/>
        </w:rPr>
        <w:t> </w:t>
      </w:r>
      <w:r>
        <w:rPr>
          <w:sz w:val="28"/>
        </w:rPr>
        <w:t>in</w:t>
      </w:r>
      <w:r>
        <w:rPr>
          <w:spacing w:val="-9"/>
          <w:sz w:val="28"/>
        </w:rPr>
        <w:t> </w:t>
      </w:r>
      <w:r>
        <w:rPr>
          <w:sz w:val="28"/>
        </w:rPr>
        <w:t>political</w:t>
      </w:r>
      <w:r>
        <w:rPr>
          <w:spacing w:val="-9"/>
          <w:sz w:val="28"/>
        </w:rPr>
        <w:t> </w:t>
      </w:r>
      <w:r>
        <w:rPr>
          <w:sz w:val="28"/>
        </w:rPr>
        <w:t>and</w:t>
      </w:r>
      <w:r>
        <w:rPr>
          <w:spacing w:val="-9"/>
          <w:sz w:val="28"/>
        </w:rPr>
        <w:t> </w:t>
      </w:r>
      <w:r>
        <w:rPr>
          <w:sz w:val="28"/>
        </w:rPr>
        <w:t>democratic</w:t>
      </w:r>
      <w:r>
        <w:rPr>
          <w:spacing w:val="-8"/>
          <w:sz w:val="28"/>
        </w:rPr>
        <w:t> </w:t>
      </w:r>
      <w:r>
        <w:rPr>
          <w:spacing w:val="-4"/>
          <w:sz w:val="28"/>
        </w:rPr>
        <w:t>life</w:t>
      </w:r>
    </w:p>
    <w:p>
      <w:pPr>
        <w:pStyle w:val="ListParagraph"/>
        <w:numPr>
          <w:ilvl w:val="3"/>
          <w:numId w:val="61"/>
        </w:numPr>
        <w:tabs>
          <w:tab w:pos="1457" w:val="left" w:leader="none"/>
        </w:tabs>
        <w:spacing w:line="330" w:lineRule="exact" w:before="0" w:after="0"/>
        <w:ind w:left="1457" w:right="0" w:hanging="340"/>
        <w:jc w:val="left"/>
        <w:rPr>
          <w:sz w:val="28"/>
        </w:rPr>
      </w:pPr>
      <w:r>
        <w:rPr>
          <w:sz w:val="28"/>
        </w:rPr>
        <w:t>Socio-economic</w:t>
      </w:r>
      <w:r>
        <w:rPr>
          <w:spacing w:val="-3"/>
          <w:sz w:val="28"/>
        </w:rPr>
        <w:t> </w:t>
      </w:r>
      <w:r>
        <w:rPr>
          <w:sz w:val="28"/>
        </w:rPr>
        <w:t>inclusion,</w:t>
      </w:r>
      <w:r>
        <w:rPr>
          <w:spacing w:val="-2"/>
          <w:sz w:val="28"/>
        </w:rPr>
        <w:t> </w:t>
      </w:r>
      <w:r>
        <w:rPr>
          <w:sz w:val="28"/>
        </w:rPr>
        <w:t>health</w:t>
      </w:r>
      <w:r>
        <w:rPr>
          <w:spacing w:val="-3"/>
          <w:sz w:val="28"/>
        </w:rPr>
        <w:t> </w:t>
      </w:r>
      <w:r>
        <w:rPr>
          <w:sz w:val="28"/>
        </w:rPr>
        <w:t>and</w:t>
      </w:r>
      <w:r>
        <w:rPr>
          <w:spacing w:val="-3"/>
          <w:sz w:val="28"/>
        </w:rPr>
        <w:t> </w:t>
      </w:r>
      <w:r>
        <w:rPr>
          <w:spacing w:val="-2"/>
          <w:sz w:val="28"/>
        </w:rPr>
        <w:t>education</w:t>
      </w:r>
    </w:p>
    <w:p>
      <w:pPr>
        <w:pStyle w:val="ListParagraph"/>
        <w:numPr>
          <w:ilvl w:val="3"/>
          <w:numId w:val="61"/>
        </w:numPr>
        <w:tabs>
          <w:tab w:pos="1457" w:val="left" w:leader="none"/>
        </w:tabs>
        <w:spacing w:line="330" w:lineRule="exact" w:before="0" w:after="0"/>
        <w:ind w:left="1457" w:right="0" w:hanging="340"/>
        <w:jc w:val="left"/>
        <w:rPr>
          <w:sz w:val="28"/>
        </w:rPr>
      </w:pPr>
      <w:r>
        <w:rPr>
          <w:sz w:val="28"/>
        </w:rPr>
        <w:t>Combating</w:t>
      </w:r>
      <w:r>
        <w:rPr>
          <w:spacing w:val="-5"/>
          <w:sz w:val="28"/>
        </w:rPr>
        <w:t> </w:t>
      </w:r>
      <w:r>
        <w:rPr>
          <w:sz w:val="28"/>
        </w:rPr>
        <w:t>violence</w:t>
      </w:r>
      <w:r>
        <w:rPr>
          <w:spacing w:val="-4"/>
          <w:sz w:val="28"/>
        </w:rPr>
        <w:t> </w:t>
      </w:r>
      <w:r>
        <w:rPr>
          <w:sz w:val="28"/>
        </w:rPr>
        <w:t>against</w:t>
      </w:r>
      <w:r>
        <w:rPr>
          <w:spacing w:val="-4"/>
          <w:sz w:val="28"/>
        </w:rPr>
        <w:t> </w:t>
      </w:r>
      <w:r>
        <w:rPr>
          <w:sz w:val="28"/>
        </w:rPr>
        <w:t>children</w:t>
      </w:r>
      <w:r>
        <w:rPr>
          <w:spacing w:val="-5"/>
          <w:sz w:val="28"/>
        </w:rPr>
        <w:t> </w:t>
      </w:r>
      <w:r>
        <w:rPr>
          <w:sz w:val="28"/>
        </w:rPr>
        <w:t>and</w:t>
      </w:r>
      <w:r>
        <w:rPr>
          <w:spacing w:val="-5"/>
          <w:sz w:val="28"/>
        </w:rPr>
        <w:t> </w:t>
      </w:r>
      <w:r>
        <w:rPr>
          <w:sz w:val="28"/>
        </w:rPr>
        <w:t>ensuring</w:t>
      </w:r>
      <w:r>
        <w:rPr>
          <w:spacing w:val="-5"/>
          <w:sz w:val="28"/>
        </w:rPr>
        <w:t> </w:t>
      </w:r>
      <w:r>
        <w:rPr>
          <w:sz w:val="28"/>
        </w:rPr>
        <w:t>child</w:t>
      </w:r>
      <w:r>
        <w:rPr>
          <w:spacing w:val="-5"/>
          <w:sz w:val="28"/>
        </w:rPr>
        <w:t> </w:t>
      </w:r>
      <w:r>
        <w:rPr>
          <w:spacing w:val="-2"/>
          <w:sz w:val="28"/>
        </w:rPr>
        <w:t>protection</w:t>
      </w:r>
    </w:p>
    <w:p>
      <w:pPr>
        <w:pStyle w:val="ListParagraph"/>
        <w:numPr>
          <w:ilvl w:val="3"/>
          <w:numId w:val="61"/>
        </w:numPr>
        <w:tabs>
          <w:tab w:pos="1457" w:val="left" w:leader="none"/>
        </w:tabs>
        <w:spacing w:line="330" w:lineRule="exact" w:before="0" w:after="0"/>
        <w:ind w:left="1457" w:right="0" w:hanging="340"/>
        <w:jc w:val="left"/>
        <w:rPr>
          <w:sz w:val="28"/>
        </w:rPr>
      </w:pPr>
      <w:r>
        <w:rPr>
          <w:sz w:val="28"/>
        </w:rPr>
        <w:t>Child-friendly</w:t>
      </w:r>
      <w:r>
        <w:rPr>
          <w:spacing w:val="-7"/>
          <w:sz w:val="28"/>
        </w:rPr>
        <w:t> </w:t>
      </w:r>
      <w:r>
        <w:rPr>
          <w:spacing w:val="-2"/>
          <w:sz w:val="28"/>
        </w:rPr>
        <w:t>justice</w:t>
      </w:r>
    </w:p>
    <w:p>
      <w:pPr>
        <w:pStyle w:val="ListParagraph"/>
        <w:numPr>
          <w:ilvl w:val="3"/>
          <w:numId w:val="61"/>
        </w:numPr>
        <w:tabs>
          <w:tab w:pos="1457" w:val="left" w:leader="none"/>
        </w:tabs>
        <w:spacing w:line="330" w:lineRule="exact" w:before="0" w:after="0"/>
        <w:ind w:left="1457" w:right="0" w:hanging="340"/>
        <w:jc w:val="left"/>
        <w:rPr>
          <w:sz w:val="28"/>
        </w:rPr>
      </w:pPr>
      <w:r>
        <w:rPr>
          <w:sz w:val="28"/>
        </w:rPr>
        <w:t>Digital</w:t>
      </w:r>
      <w:r>
        <w:rPr>
          <w:spacing w:val="-10"/>
          <w:sz w:val="28"/>
        </w:rPr>
        <w:t> </w:t>
      </w:r>
      <w:r>
        <w:rPr>
          <w:sz w:val="28"/>
        </w:rPr>
        <w:t>and</w:t>
      </w:r>
      <w:r>
        <w:rPr>
          <w:spacing w:val="-10"/>
          <w:sz w:val="28"/>
        </w:rPr>
        <w:t> </w:t>
      </w:r>
      <w:r>
        <w:rPr>
          <w:sz w:val="28"/>
        </w:rPr>
        <w:t>Information</w:t>
      </w:r>
      <w:r>
        <w:rPr>
          <w:spacing w:val="-10"/>
          <w:sz w:val="28"/>
        </w:rPr>
        <w:t> </w:t>
      </w:r>
      <w:r>
        <w:rPr>
          <w:spacing w:val="-2"/>
          <w:sz w:val="28"/>
        </w:rPr>
        <w:t>Society</w:t>
      </w:r>
    </w:p>
    <w:p>
      <w:pPr>
        <w:pStyle w:val="ListParagraph"/>
        <w:numPr>
          <w:ilvl w:val="3"/>
          <w:numId w:val="61"/>
        </w:numPr>
        <w:tabs>
          <w:tab w:pos="1457" w:val="left" w:leader="none"/>
        </w:tabs>
        <w:spacing w:line="343" w:lineRule="exact" w:before="0" w:after="0"/>
        <w:ind w:left="1457" w:right="0" w:hanging="340"/>
        <w:jc w:val="left"/>
        <w:rPr>
          <w:sz w:val="28"/>
        </w:rPr>
      </w:pPr>
      <w:r>
        <w:rPr>
          <w:sz w:val="28"/>
        </w:rPr>
        <w:t>The</w:t>
      </w:r>
      <w:r>
        <w:rPr>
          <w:spacing w:val="-3"/>
          <w:sz w:val="28"/>
        </w:rPr>
        <w:t> </w:t>
      </w:r>
      <w:r>
        <w:rPr>
          <w:sz w:val="28"/>
        </w:rPr>
        <w:t>Global</w:t>
      </w:r>
      <w:r>
        <w:rPr>
          <w:spacing w:val="-3"/>
          <w:sz w:val="28"/>
        </w:rPr>
        <w:t> </w:t>
      </w:r>
      <w:r>
        <w:rPr>
          <w:spacing w:val="-2"/>
          <w:sz w:val="28"/>
        </w:rPr>
        <w:t>dimension</w:t>
      </w:r>
    </w:p>
    <w:p>
      <w:pPr>
        <w:pStyle w:val="BodyText"/>
        <w:rPr>
          <w:sz w:val="9"/>
        </w:rPr>
      </w:pPr>
      <w:r>
        <w:rPr/>
        <mc:AlternateContent>
          <mc:Choice Requires="wps">
            <w:drawing>
              <wp:anchor distT="0" distB="0" distL="0" distR="0" allowOverlap="1" layoutInCell="1" locked="0" behindDoc="1" simplePos="0" relativeHeight="487806464">
                <wp:simplePos x="0" y="0"/>
                <wp:positionH relativeFrom="page">
                  <wp:posOffset>899999</wp:posOffset>
                </wp:positionH>
                <wp:positionV relativeFrom="paragraph">
                  <wp:posOffset>85077</wp:posOffset>
                </wp:positionV>
                <wp:extent cx="6012180" cy="1270"/>
                <wp:effectExtent l="0" t="0" r="0" b="0"/>
                <wp:wrapTopAndBottom/>
                <wp:docPr id="1142" name="Graphic 1142"/>
                <wp:cNvGraphicFramePr>
                  <a:graphicFrameLocks/>
                </wp:cNvGraphicFramePr>
                <a:graphic>
                  <a:graphicData uri="http://schemas.microsoft.com/office/word/2010/wordprocessingShape">
                    <wps:wsp>
                      <wps:cNvPr id="1142" name="Graphic 114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6.698995pt;width:473.4pt;height:.1pt;mso-position-horizontal-relative:page;mso-position-vertical-relative:paragraph;z-index:-15510016;mso-wrap-distance-left:0;mso-wrap-distance-right:0" id="docshape943" coordorigin="1417,134" coordsize="9468,0" path="m1417,134l10885,134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z w:val="18"/>
        </w:rPr>
        <w:t>European</w:t>
      </w:r>
      <w:r>
        <w:rPr>
          <w:spacing w:val="-6"/>
          <w:sz w:val="18"/>
        </w:rPr>
        <w:t> </w:t>
      </w:r>
      <w:r>
        <w:rPr>
          <w:sz w:val="18"/>
        </w:rPr>
        <w:t>Commission,</w:t>
      </w:r>
      <w:r>
        <w:rPr>
          <w:spacing w:val="-5"/>
          <w:sz w:val="18"/>
        </w:rPr>
        <w:t> </w:t>
      </w:r>
      <w:r>
        <w:rPr>
          <w:color w:val="1D71B8"/>
          <w:sz w:val="18"/>
          <w:u w:val="single" w:color="1D71B8"/>
        </w:rPr>
        <w:t>EU</w:t>
      </w:r>
      <w:r>
        <w:rPr>
          <w:color w:val="1D71B8"/>
          <w:spacing w:val="-4"/>
          <w:sz w:val="18"/>
          <w:u w:val="single" w:color="1D71B8"/>
        </w:rPr>
        <w:t> </w:t>
      </w:r>
      <w:r>
        <w:rPr>
          <w:color w:val="1D71B8"/>
          <w:sz w:val="18"/>
          <w:u w:val="single" w:color="1D71B8"/>
        </w:rPr>
        <w:t>strategy</w:t>
      </w:r>
      <w:r>
        <w:rPr>
          <w:color w:val="1D71B8"/>
          <w:spacing w:val="-5"/>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criminal</w:t>
      </w:r>
      <w:r>
        <w:rPr>
          <w:color w:val="1D71B8"/>
          <w:spacing w:val="-5"/>
          <w:sz w:val="18"/>
          <w:u w:val="single" w:color="1D71B8"/>
        </w:rPr>
        <w:t> </w:t>
      </w:r>
      <w:r>
        <w:rPr>
          <w:color w:val="1D71B8"/>
          <w:spacing w:val="-2"/>
          <w:sz w:val="18"/>
          <w:u w:val="single" w:color="1D71B8"/>
        </w:rPr>
        <w:t>justice</w:t>
      </w:r>
      <w:r>
        <w:rPr>
          <w:spacing w:val="-2"/>
          <w:sz w:val="18"/>
          <w:u w:val="none"/>
        </w:rPr>
        <w:t>.</w:t>
      </w:r>
    </w:p>
    <w:p>
      <w:pPr>
        <w:pStyle w:val="ListParagraph"/>
        <w:numPr>
          <w:ilvl w:val="0"/>
          <w:numId w:val="51"/>
        </w:numPr>
        <w:tabs>
          <w:tab w:pos="1684" w:val="left" w:leader="none"/>
        </w:tabs>
        <w:spacing w:line="240" w:lineRule="auto" w:before="1" w:after="0"/>
        <w:ind w:left="1684" w:right="0" w:hanging="567"/>
        <w:jc w:val="left"/>
        <w:rPr>
          <w:sz w:val="18"/>
        </w:rPr>
      </w:pPr>
      <w:r>
        <w:rPr>
          <w:sz w:val="18"/>
        </w:rPr>
        <w:t>European</w:t>
      </w:r>
      <w:r>
        <w:rPr>
          <w:spacing w:val="-6"/>
          <w:sz w:val="18"/>
        </w:rPr>
        <w:t> </w:t>
      </w:r>
      <w:r>
        <w:rPr>
          <w:sz w:val="18"/>
        </w:rPr>
        <w:t>Commission,</w:t>
      </w:r>
      <w:r>
        <w:rPr>
          <w:spacing w:val="-6"/>
          <w:sz w:val="18"/>
        </w:rPr>
        <w:t> </w:t>
      </w:r>
      <w:r>
        <w:rPr>
          <w:color w:val="1D71B8"/>
          <w:sz w:val="18"/>
          <w:u w:val="single" w:color="1D71B8"/>
        </w:rPr>
        <w:t>EU</w:t>
      </w:r>
      <w:r>
        <w:rPr>
          <w:color w:val="1D71B8"/>
          <w:spacing w:val="-5"/>
          <w:sz w:val="18"/>
          <w:u w:val="single" w:color="1D71B8"/>
        </w:rPr>
        <w:t> </w:t>
      </w:r>
      <w:r>
        <w:rPr>
          <w:color w:val="1D71B8"/>
          <w:sz w:val="18"/>
          <w:u w:val="single" w:color="1D71B8"/>
        </w:rPr>
        <w:t>Strategy</w:t>
      </w:r>
      <w:r>
        <w:rPr>
          <w:color w:val="1D71B8"/>
          <w:spacing w:val="-4"/>
          <w:sz w:val="18"/>
          <w:u w:val="single" w:color="1D71B8"/>
        </w:rPr>
        <w:t> </w:t>
      </w:r>
      <w:r>
        <w:rPr>
          <w:color w:val="1D71B8"/>
          <w:sz w:val="18"/>
          <w:u w:val="single" w:color="1D71B8"/>
        </w:rPr>
        <w:t>on</w:t>
      </w:r>
      <w:r>
        <w:rPr>
          <w:color w:val="1D71B8"/>
          <w:spacing w:val="-6"/>
          <w:sz w:val="18"/>
          <w:u w:val="single" w:color="1D71B8"/>
        </w:rPr>
        <w:t> </w:t>
      </w:r>
      <w:r>
        <w:rPr>
          <w:color w:val="1D71B8"/>
          <w:sz w:val="18"/>
          <w:u w:val="single" w:color="1D71B8"/>
        </w:rPr>
        <w:t>victims’</w:t>
      </w:r>
      <w:r>
        <w:rPr>
          <w:color w:val="1D71B8"/>
          <w:spacing w:val="-5"/>
          <w:sz w:val="18"/>
          <w:u w:val="single" w:color="1D71B8"/>
        </w:rPr>
        <w:t> </w:t>
      </w:r>
      <w:r>
        <w:rPr>
          <w:color w:val="1D71B8"/>
          <w:sz w:val="18"/>
          <w:u w:val="single" w:color="1D71B8"/>
        </w:rPr>
        <w:t>rights</w:t>
      </w:r>
      <w:r>
        <w:rPr>
          <w:color w:val="1D71B8"/>
          <w:spacing w:val="-6"/>
          <w:sz w:val="18"/>
          <w:u w:val="single" w:color="1D71B8"/>
        </w:rPr>
        <w:t> </w:t>
      </w:r>
      <w:r>
        <w:rPr>
          <w:color w:val="1D71B8"/>
          <w:sz w:val="18"/>
          <w:u w:val="single" w:color="1D71B8"/>
        </w:rPr>
        <w:t>(2020-</w:t>
      </w:r>
      <w:r>
        <w:rPr>
          <w:color w:val="1D71B8"/>
          <w:spacing w:val="-2"/>
          <w:sz w:val="18"/>
          <w:u w:val="single" w:color="1D71B8"/>
        </w:rPr>
        <w:t>2025).</w:t>
      </w:r>
    </w:p>
    <w:p>
      <w:pPr>
        <w:pStyle w:val="ListParagraph"/>
        <w:numPr>
          <w:ilvl w:val="0"/>
          <w:numId w:val="51"/>
        </w:numPr>
        <w:tabs>
          <w:tab w:pos="1684" w:val="left" w:leader="none"/>
        </w:tabs>
        <w:spacing w:line="240" w:lineRule="auto" w:before="0" w:after="0"/>
        <w:ind w:left="1684" w:right="0" w:hanging="567"/>
        <w:jc w:val="left"/>
        <w:rPr>
          <w:sz w:val="18"/>
        </w:rPr>
      </w:pPr>
      <w:r>
        <w:rPr>
          <w:sz w:val="18"/>
        </w:rPr>
        <w:t>European</w:t>
      </w:r>
      <w:r>
        <w:rPr>
          <w:spacing w:val="-6"/>
          <w:sz w:val="18"/>
        </w:rPr>
        <w:t> </w:t>
      </w:r>
      <w:r>
        <w:rPr>
          <w:sz w:val="18"/>
        </w:rPr>
        <w:t>Commission,</w:t>
      </w:r>
      <w:r>
        <w:rPr>
          <w:spacing w:val="-4"/>
          <w:sz w:val="18"/>
        </w:rPr>
        <w:t> </w:t>
      </w:r>
      <w:r>
        <w:rPr>
          <w:color w:val="1D71B8"/>
          <w:sz w:val="18"/>
          <w:u w:val="single" w:color="1D71B8"/>
        </w:rPr>
        <w:t>The</w:t>
      </w:r>
      <w:r>
        <w:rPr>
          <w:color w:val="1D71B8"/>
          <w:spacing w:val="-2"/>
          <w:sz w:val="18"/>
          <w:u w:val="single" w:color="1D71B8"/>
        </w:rPr>
        <w:t> </w:t>
      </w:r>
      <w:r>
        <w:rPr>
          <w:color w:val="1D71B8"/>
          <w:sz w:val="18"/>
          <w:u w:val="single" w:color="1D71B8"/>
        </w:rPr>
        <w:t>EU</w:t>
      </w:r>
      <w:r>
        <w:rPr>
          <w:color w:val="1D71B8"/>
          <w:spacing w:val="-3"/>
          <w:sz w:val="18"/>
          <w:u w:val="single" w:color="1D71B8"/>
        </w:rPr>
        <w:t> </w:t>
      </w:r>
      <w:r>
        <w:rPr>
          <w:color w:val="1D71B8"/>
          <w:sz w:val="18"/>
          <w:u w:val="single" w:color="1D71B8"/>
        </w:rPr>
        <w:t>Strategy</w:t>
      </w:r>
      <w:r>
        <w:rPr>
          <w:color w:val="1D71B8"/>
          <w:spacing w:val="-3"/>
          <w:sz w:val="18"/>
          <w:u w:val="single" w:color="1D71B8"/>
        </w:rPr>
        <w:t> </w:t>
      </w:r>
      <w:r>
        <w:rPr>
          <w:color w:val="1D71B8"/>
          <w:sz w:val="18"/>
          <w:u w:val="single" w:color="1D71B8"/>
        </w:rPr>
        <w:t>on</w:t>
      </w:r>
      <w:r>
        <w:rPr>
          <w:color w:val="1D71B8"/>
          <w:spacing w:val="-3"/>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Rights</w:t>
      </w:r>
      <w:r>
        <w:rPr>
          <w:color w:val="1D71B8"/>
          <w:spacing w:val="-3"/>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3"/>
          <w:sz w:val="18"/>
          <w:u w:val="single" w:color="1D71B8"/>
        </w:rPr>
        <w:t> </w:t>
      </w:r>
      <w:r>
        <w:rPr>
          <w:color w:val="1D71B8"/>
          <w:sz w:val="18"/>
          <w:u w:val="single" w:color="1D71B8"/>
        </w:rPr>
        <w:t>Child</w:t>
      </w:r>
      <w:r>
        <w:rPr>
          <w:color w:val="1D71B8"/>
          <w:spacing w:val="-3"/>
          <w:sz w:val="18"/>
          <w:u w:val="single" w:color="1D71B8"/>
        </w:rPr>
        <w:t> </w:t>
      </w:r>
      <w:r>
        <w:rPr>
          <w:color w:val="1D71B8"/>
          <w:sz w:val="18"/>
          <w:u w:val="single" w:color="1D71B8"/>
        </w:rPr>
        <w:t>and</w:t>
      </w:r>
      <w:r>
        <w:rPr>
          <w:color w:val="1D71B8"/>
          <w:spacing w:val="-4"/>
          <w:sz w:val="18"/>
          <w:u w:val="single" w:color="1D71B8"/>
        </w:rPr>
        <w:t> </w:t>
      </w:r>
      <w:r>
        <w:rPr>
          <w:color w:val="1D71B8"/>
          <w:sz w:val="18"/>
          <w:u w:val="single" w:color="1D71B8"/>
        </w:rPr>
        <w:t>the</w:t>
      </w:r>
      <w:r>
        <w:rPr>
          <w:color w:val="1D71B8"/>
          <w:spacing w:val="-2"/>
          <w:sz w:val="18"/>
          <w:u w:val="single" w:color="1D71B8"/>
        </w:rPr>
        <w:t> </w:t>
      </w:r>
      <w:r>
        <w:rPr>
          <w:color w:val="1D71B8"/>
          <w:sz w:val="18"/>
          <w:u w:val="single" w:color="1D71B8"/>
        </w:rPr>
        <w:t>European</w:t>
      </w:r>
      <w:r>
        <w:rPr>
          <w:color w:val="1D71B8"/>
          <w:spacing w:val="-4"/>
          <w:sz w:val="18"/>
          <w:u w:val="single" w:color="1D71B8"/>
        </w:rPr>
        <w:t> </w:t>
      </w:r>
      <w:r>
        <w:rPr>
          <w:color w:val="1D71B8"/>
          <w:sz w:val="18"/>
          <w:u w:val="single" w:color="1D71B8"/>
        </w:rPr>
        <w:t>Child</w:t>
      </w:r>
      <w:r>
        <w:rPr>
          <w:color w:val="1D71B8"/>
          <w:spacing w:val="-3"/>
          <w:sz w:val="18"/>
          <w:u w:val="single" w:color="1D71B8"/>
        </w:rPr>
        <w:t> </w:t>
      </w:r>
      <w:r>
        <w:rPr>
          <w:color w:val="1D71B8"/>
          <w:spacing w:val="-2"/>
          <w:sz w:val="18"/>
          <w:u w:val="single" w:color="1D71B8"/>
        </w:rPr>
        <w:t>Guarantee</w:t>
      </w:r>
      <w:r>
        <w:rPr>
          <w:spacing w:val="-2"/>
          <w:sz w:val="18"/>
          <w:u w:val="none"/>
        </w:rPr>
        <w:t>.</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25184">
                <wp:simplePos x="0" y="0"/>
                <wp:positionH relativeFrom="page">
                  <wp:posOffset>0</wp:posOffset>
                </wp:positionH>
                <wp:positionV relativeFrom="page">
                  <wp:posOffset>0</wp:posOffset>
                </wp:positionV>
                <wp:extent cx="7560309" cy="1155065"/>
                <wp:effectExtent l="0" t="0" r="0" b="0"/>
                <wp:wrapNone/>
                <wp:docPr id="1143" name="Group 1143"/>
                <wp:cNvGraphicFramePr>
                  <a:graphicFrameLocks/>
                </wp:cNvGraphicFramePr>
                <a:graphic>
                  <a:graphicData uri="http://schemas.microsoft.com/office/word/2010/wordprocessingGroup">
                    <wpg:wgp>
                      <wpg:cNvPr id="1143" name="Group 1143"/>
                      <wpg:cNvGrpSpPr/>
                      <wpg:grpSpPr>
                        <a:xfrm>
                          <a:off x="0" y="0"/>
                          <a:ext cx="7560309" cy="1155065"/>
                          <a:chExt cx="7560309" cy="1155065"/>
                        </a:xfrm>
                      </wpg:grpSpPr>
                      <wps:wsp>
                        <wps:cNvPr id="1144" name="Graphic 1144"/>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145" name="Graphic 1145"/>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191296" id="docshapegroup944" coordorigin="0,0" coordsize="11906,1819">
                <v:shape style="position:absolute;left:0;top:0;width:11906;height:1819" id="docshape945"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140</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143"/>
      </w:pPr>
      <w:r>
        <w:rPr/>
        <w:t>The</w:t>
      </w:r>
      <w:r>
        <w:rPr>
          <w:spacing w:val="-6"/>
        </w:rPr>
        <w:t> </w:t>
      </w:r>
      <w:r>
        <w:rPr/>
        <w:t>European</w:t>
      </w:r>
      <w:r>
        <w:rPr>
          <w:spacing w:val="-7"/>
        </w:rPr>
        <w:t> </w:t>
      </w:r>
      <w:r>
        <w:rPr/>
        <w:t>Child</w:t>
      </w:r>
      <w:r>
        <w:rPr>
          <w:spacing w:val="-7"/>
        </w:rPr>
        <w:t> </w:t>
      </w:r>
      <w:r>
        <w:rPr/>
        <w:t>Guarantee</w:t>
      </w:r>
      <w:r>
        <w:rPr>
          <w:spacing w:val="-6"/>
        </w:rPr>
        <w:t> </w:t>
      </w:r>
      <w:r>
        <w:rPr/>
        <w:t>provides</w:t>
      </w:r>
      <w:r>
        <w:rPr>
          <w:spacing w:val="-7"/>
        </w:rPr>
        <w:t> </w:t>
      </w:r>
      <w:r>
        <w:rPr/>
        <w:t>guidance</w:t>
      </w:r>
      <w:r>
        <w:rPr>
          <w:spacing w:val="-6"/>
        </w:rPr>
        <w:t> </w:t>
      </w:r>
      <w:r>
        <w:rPr/>
        <w:t>and</w:t>
      </w:r>
      <w:r>
        <w:rPr>
          <w:spacing w:val="-7"/>
        </w:rPr>
        <w:t> </w:t>
      </w:r>
      <w:r>
        <w:rPr/>
        <w:t>means</w:t>
      </w:r>
      <w:r>
        <w:rPr>
          <w:spacing w:val="-7"/>
        </w:rPr>
        <w:t> </w:t>
      </w:r>
      <w:r>
        <w:rPr/>
        <w:t>for</w:t>
      </w:r>
      <w:r>
        <w:rPr>
          <w:spacing w:val="-6"/>
        </w:rPr>
        <w:t> </w:t>
      </w:r>
      <w:r>
        <w:rPr/>
        <w:t>Member</w:t>
      </w:r>
      <w:r>
        <w:rPr>
          <w:spacing w:val="-6"/>
        </w:rPr>
        <w:t> </w:t>
      </w:r>
      <w:r>
        <w:rPr/>
        <w:t>States</w:t>
      </w:r>
      <w:r>
        <w:rPr>
          <w:spacing w:val="-7"/>
        </w:rPr>
        <w:t> </w:t>
      </w:r>
      <w:r>
        <w:rPr/>
        <w:t>to support minors at risk of poverty or social exclusion, and requires that all children in need have affective access to:</w:t>
      </w:r>
    </w:p>
    <w:p>
      <w:pPr>
        <w:pStyle w:val="ListParagraph"/>
        <w:numPr>
          <w:ilvl w:val="0"/>
          <w:numId w:val="62"/>
        </w:numPr>
        <w:tabs>
          <w:tab w:pos="1060" w:val="left" w:leader="none"/>
        </w:tabs>
        <w:spacing w:line="343" w:lineRule="exact" w:before="257" w:after="0"/>
        <w:ind w:left="1060" w:right="0" w:hanging="340"/>
        <w:jc w:val="left"/>
        <w:rPr>
          <w:sz w:val="28"/>
        </w:rPr>
      </w:pPr>
      <w:r>
        <w:rPr>
          <w:sz w:val="28"/>
        </w:rPr>
        <w:t>Early</w:t>
      </w:r>
      <w:r>
        <w:rPr>
          <w:spacing w:val="-7"/>
          <w:sz w:val="28"/>
        </w:rPr>
        <w:t> </w:t>
      </w:r>
      <w:r>
        <w:rPr>
          <w:sz w:val="28"/>
        </w:rPr>
        <w:t>childhood</w:t>
      </w:r>
      <w:r>
        <w:rPr>
          <w:spacing w:val="-8"/>
          <w:sz w:val="28"/>
        </w:rPr>
        <w:t> </w:t>
      </w:r>
      <w:r>
        <w:rPr>
          <w:sz w:val="28"/>
        </w:rPr>
        <w:t>education</w:t>
      </w:r>
      <w:r>
        <w:rPr>
          <w:spacing w:val="-8"/>
          <w:sz w:val="28"/>
        </w:rPr>
        <w:t> </w:t>
      </w:r>
      <w:r>
        <w:rPr>
          <w:sz w:val="28"/>
        </w:rPr>
        <w:t>and</w:t>
      </w:r>
      <w:r>
        <w:rPr>
          <w:spacing w:val="-7"/>
          <w:sz w:val="28"/>
        </w:rPr>
        <w:t> </w:t>
      </w:r>
      <w:r>
        <w:rPr>
          <w:sz w:val="28"/>
        </w:rPr>
        <w:t>care</w:t>
      </w:r>
      <w:r>
        <w:rPr>
          <w:spacing w:val="-7"/>
          <w:sz w:val="28"/>
        </w:rPr>
        <w:t> </w:t>
      </w:r>
      <w:r>
        <w:rPr>
          <w:sz w:val="28"/>
        </w:rPr>
        <w:t>(for</w:t>
      </w:r>
      <w:r>
        <w:rPr>
          <w:spacing w:val="-7"/>
          <w:sz w:val="28"/>
        </w:rPr>
        <w:t> </w:t>
      </w:r>
      <w:r>
        <w:rPr>
          <w:spacing w:val="-2"/>
          <w:sz w:val="28"/>
        </w:rPr>
        <w:t>free)</w:t>
      </w:r>
    </w:p>
    <w:p>
      <w:pPr>
        <w:pStyle w:val="ListParagraph"/>
        <w:numPr>
          <w:ilvl w:val="0"/>
          <w:numId w:val="62"/>
        </w:numPr>
        <w:tabs>
          <w:tab w:pos="1060" w:val="left" w:leader="none"/>
        </w:tabs>
        <w:spacing w:line="330" w:lineRule="exact" w:before="0" w:after="0"/>
        <w:ind w:left="1060" w:right="0" w:hanging="340"/>
        <w:jc w:val="left"/>
        <w:rPr>
          <w:sz w:val="28"/>
        </w:rPr>
      </w:pPr>
      <w:r>
        <w:rPr>
          <w:sz w:val="28"/>
        </w:rPr>
        <w:t>Education</w:t>
      </w:r>
      <w:r>
        <w:rPr>
          <w:spacing w:val="-13"/>
          <w:sz w:val="28"/>
        </w:rPr>
        <w:t> </w:t>
      </w:r>
      <w:r>
        <w:rPr>
          <w:sz w:val="28"/>
        </w:rPr>
        <w:t>and</w:t>
      </w:r>
      <w:r>
        <w:rPr>
          <w:spacing w:val="-12"/>
          <w:sz w:val="28"/>
        </w:rPr>
        <w:t> </w:t>
      </w:r>
      <w:r>
        <w:rPr>
          <w:sz w:val="28"/>
        </w:rPr>
        <w:t>school-based</w:t>
      </w:r>
      <w:r>
        <w:rPr>
          <w:spacing w:val="-12"/>
          <w:sz w:val="28"/>
        </w:rPr>
        <w:t> </w:t>
      </w:r>
      <w:r>
        <w:rPr>
          <w:sz w:val="28"/>
        </w:rPr>
        <w:t>activities</w:t>
      </w:r>
      <w:r>
        <w:rPr>
          <w:spacing w:val="-13"/>
          <w:sz w:val="28"/>
        </w:rPr>
        <w:t> </w:t>
      </w:r>
      <w:r>
        <w:rPr>
          <w:sz w:val="28"/>
        </w:rPr>
        <w:t>(for</w:t>
      </w:r>
      <w:r>
        <w:rPr>
          <w:spacing w:val="-11"/>
          <w:sz w:val="28"/>
        </w:rPr>
        <w:t> </w:t>
      </w:r>
      <w:r>
        <w:rPr>
          <w:spacing w:val="-2"/>
          <w:sz w:val="28"/>
        </w:rPr>
        <w:t>free)</w:t>
      </w:r>
    </w:p>
    <w:p>
      <w:pPr>
        <w:pStyle w:val="ListParagraph"/>
        <w:numPr>
          <w:ilvl w:val="0"/>
          <w:numId w:val="62"/>
        </w:numPr>
        <w:tabs>
          <w:tab w:pos="1060" w:val="left" w:leader="none"/>
        </w:tabs>
        <w:spacing w:line="330" w:lineRule="exact" w:before="0" w:after="0"/>
        <w:ind w:left="1060" w:right="0" w:hanging="340"/>
        <w:jc w:val="left"/>
        <w:rPr>
          <w:sz w:val="28"/>
        </w:rPr>
      </w:pPr>
      <w:r>
        <w:rPr>
          <w:sz w:val="28"/>
        </w:rPr>
        <w:t>At</w:t>
      </w:r>
      <w:r>
        <w:rPr>
          <w:spacing w:val="-8"/>
          <w:sz w:val="28"/>
        </w:rPr>
        <w:t> </w:t>
      </w:r>
      <w:r>
        <w:rPr>
          <w:sz w:val="28"/>
        </w:rPr>
        <w:t>least</w:t>
      </w:r>
      <w:r>
        <w:rPr>
          <w:spacing w:val="-5"/>
          <w:sz w:val="28"/>
        </w:rPr>
        <w:t> </w:t>
      </w:r>
      <w:r>
        <w:rPr>
          <w:sz w:val="28"/>
        </w:rPr>
        <w:t>one</w:t>
      </w:r>
      <w:r>
        <w:rPr>
          <w:spacing w:val="-6"/>
          <w:sz w:val="28"/>
        </w:rPr>
        <w:t> </w:t>
      </w:r>
      <w:r>
        <w:rPr>
          <w:sz w:val="28"/>
        </w:rPr>
        <w:t>healthy</w:t>
      </w:r>
      <w:r>
        <w:rPr>
          <w:spacing w:val="-5"/>
          <w:sz w:val="28"/>
        </w:rPr>
        <w:t> </w:t>
      </w:r>
      <w:r>
        <w:rPr>
          <w:sz w:val="28"/>
        </w:rPr>
        <w:t>meal</w:t>
      </w:r>
      <w:r>
        <w:rPr>
          <w:spacing w:val="-6"/>
          <w:sz w:val="28"/>
        </w:rPr>
        <w:t> </w:t>
      </w:r>
      <w:r>
        <w:rPr>
          <w:sz w:val="28"/>
        </w:rPr>
        <w:t>each</w:t>
      </w:r>
      <w:r>
        <w:rPr>
          <w:spacing w:val="-6"/>
          <w:sz w:val="28"/>
        </w:rPr>
        <w:t> </w:t>
      </w:r>
      <w:r>
        <w:rPr>
          <w:sz w:val="28"/>
        </w:rPr>
        <w:t>school</w:t>
      </w:r>
      <w:r>
        <w:rPr>
          <w:spacing w:val="-7"/>
          <w:sz w:val="28"/>
        </w:rPr>
        <w:t> </w:t>
      </w:r>
      <w:r>
        <w:rPr>
          <w:sz w:val="28"/>
        </w:rPr>
        <w:t>day</w:t>
      </w:r>
      <w:r>
        <w:rPr>
          <w:spacing w:val="-5"/>
          <w:sz w:val="28"/>
        </w:rPr>
        <w:t> </w:t>
      </w:r>
      <w:r>
        <w:rPr>
          <w:sz w:val="28"/>
        </w:rPr>
        <w:t>(for</w:t>
      </w:r>
      <w:r>
        <w:rPr>
          <w:spacing w:val="-5"/>
          <w:sz w:val="28"/>
        </w:rPr>
        <w:t> </w:t>
      </w:r>
      <w:r>
        <w:rPr>
          <w:spacing w:val="-2"/>
          <w:sz w:val="28"/>
        </w:rPr>
        <w:t>free)</w:t>
      </w:r>
    </w:p>
    <w:p>
      <w:pPr>
        <w:pStyle w:val="ListParagraph"/>
        <w:numPr>
          <w:ilvl w:val="0"/>
          <w:numId w:val="62"/>
        </w:numPr>
        <w:tabs>
          <w:tab w:pos="1060" w:val="left" w:leader="none"/>
        </w:tabs>
        <w:spacing w:line="330" w:lineRule="exact" w:before="0" w:after="0"/>
        <w:ind w:left="1060" w:right="0" w:hanging="340"/>
        <w:jc w:val="left"/>
        <w:rPr>
          <w:sz w:val="28"/>
        </w:rPr>
      </w:pPr>
      <w:r>
        <w:rPr>
          <w:sz w:val="28"/>
        </w:rPr>
        <w:t>Healthcare</w:t>
      </w:r>
      <w:r>
        <w:rPr>
          <w:spacing w:val="-7"/>
          <w:sz w:val="28"/>
        </w:rPr>
        <w:t> </w:t>
      </w:r>
      <w:r>
        <w:rPr>
          <w:sz w:val="28"/>
        </w:rPr>
        <w:t>(for</w:t>
      </w:r>
      <w:r>
        <w:rPr>
          <w:spacing w:val="-7"/>
          <w:sz w:val="28"/>
        </w:rPr>
        <w:t> </w:t>
      </w:r>
      <w:r>
        <w:rPr>
          <w:spacing w:val="-4"/>
          <w:sz w:val="28"/>
        </w:rPr>
        <w:t>free)</w:t>
      </w:r>
    </w:p>
    <w:p>
      <w:pPr>
        <w:pStyle w:val="ListParagraph"/>
        <w:numPr>
          <w:ilvl w:val="0"/>
          <w:numId w:val="62"/>
        </w:numPr>
        <w:tabs>
          <w:tab w:pos="1060" w:val="left" w:leader="none"/>
        </w:tabs>
        <w:spacing w:line="330" w:lineRule="exact" w:before="0" w:after="0"/>
        <w:ind w:left="1060" w:right="0" w:hanging="340"/>
        <w:jc w:val="left"/>
        <w:rPr>
          <w:sz w:val="28"/>
        </w:rPr>
      </w:pPr>
      <w:r>
        <w:rPr>
          <w:sz w:val="28"/>
        </w:rPr>
        <w:t>Healthy</w:t>
      </w:r>
      <w:r>
        <w:rPr>
          <w:spacing w:val="-13"/>
          <w:sz w:val="28"/>
        </w:rPr>
        <w:t> </w:t>
      </w:r>
      <w:r>
        <w:rPr>
          <w:spacing w:val="-2"/>
          <w:sz w:val="28"/>
        </w:rPr>
        <w:t>nutrition</w:t>
      </w:r>
    </w:p>
    <w:p>
      <w:pPr>
        <w:pStyle w:val="ListParagraph"/>
        <w:numPr>
          <w:ilvl w:val="0"/>
          <w:numId w:val="62"/>
        </w:numPr>
        <w:tabs>
          <w:tab w:pos="1060" w:val="left" w:leader="none"/>
        </w:tabs>
        <w:spacing w:line="343" w:lineRule="exact" w:before="0" w:after="0"/>
        <w:ind w:left="1060" w:right="0" w:hanging="340"/>
        <w:jc w:val="left"/>
        <w:rPr>
          <w:sz w:val="28"/>
        </w:rPr>
      </w:pPr>
      <w:r>
        <w:rPr>
          <w:sz w:val="28"/>
        </w:rPr>
        <w:t>Adequate</w:t>
      </w:r>
      <w:r>
        <w:rPr>
          <w:spacing w:val="-7"/>
          <w:sz w:val="28"/>
        </w:rPr>
        <w:t> </w:t>
      </w:r>
      <w:r>
        <w:rPr>
          <w:spacing w:val="-2"/>
          <w:sz w:val="28"/>
        </w:rPr>
        <w:t>housing</w:t>
      </w:r>
    </w:p>
    <w:p>
      <w:pPr>
        <w:pStyle w:val="BodyText"/>
        <w:spacing w:line="232" w:lineRule="auto" w:before="280"/>
        <w:ind w:left="720" w:right="1404"/>
      </w:pPr>
      <w:r>
        <w:rPr/>
        <w:t>Our</w:t>
      </w:r>
      <w:r>
        <w:rPr>
          <w:spacing w:val="-5"/>
        </w:rPr>
        <w:t> </w:t>
      </w:r>
      <w:r>
        <w:rPr/>
        <w:t>report</w:t>
      </w:r>
      <w:r>
        <w:rPr>
          <w:spacing w:val="-5"/>
        </w:rPr>
        <w:t> </w:t>
      </w:r>
      <w:r>
        <w:rPr/>
        <w:t>focuses</w:t>
      </w:r>
      <w:r>
        <w:rPr>
          <w:spacing w:val="-6"/>
        </w:rPr>
        <w:t> </w:t>
      </w:r>
      <w:r>
        <w:rPr/>
        <w:t>on</w:t>
      </w:r>
      <w:r>
        <w:rPr>
          <w:spacing w:val="-6"/>
        </w:rPr>
        <w:t> </w:t>
      </w:r>
      <w:r>
        <w:rPr/>
        <w:t>developments</w:t>
      </w:r>
      <w:r>
        <w:rPr>
          <w:spacing w:val="-6"/>
        </w:rPr>
        <w:t> </w:t>
      </w:r>
      <w:r>
        <w:rPr/>
        <w:t>that</w:t>
      </w:r>
      <w:r>
        <w:rPr>
          <w:spacing w:val="-5"/>
        </w:rPr>
        <w:t> </w:t>
      </w:r>
      <w:r>
        <w:rPr/>
        <w:t>occurred</w:t>
      </w:r>
      <w:r>
        <w:rPr>
          <w:spacing w:val="-6"/>
        </w:rPr>
        <w:t> </w:t>
      </w:r>
      <w:r>
        <w:rPr/>
        <w:t>between</w:t>
      </w:r>
      <w:r>
        <w:rPr>
          <w:spacing w:val="-6"/>
        </w:rPr>
        <w:t> </w:t>
      </w:r>
      <w:r>
        <w:rPr/>
        <w:t>1</w:t>
      </w:r>
      <w:r>
        <w:rPr>
          <w:spacing w:val="-5"/>
        </w:rPr>
        <w:t> </w:t>
      </w:r>
      <w:r>
        <w:rPr/>
        <w:t>January</w:t>
      </w:r>
      <w:r>
        <w:rPr>
          <w:spacing w:val="-5"/>
        </w:rPr>
        <w:t> </w:t>
      </w:r>
      <w:r>
        <w:rPr/>
        <w:t>2022</w:t>
      </w:r>
      <w:r>
        <w:rPr>
          <w:spacing w:val="-5"/>
        </w:rPr>
        <w:t> </w:t>
      </w:r>
      <w:r>
        <w:rPr/>
        <w:t>and 31</w:t>
      </w:r>
      <w:r>
        <w:rPr>
          <w:spacing w:val="-3"/>
        </w:rPr>
        <w:t> </w:t>
      </w:r>
      <w:r>
        <w:rPr/>
        <w:t>August</w:t>
      </w:r>
      <w:r>
        <w:rPr>
          <w:spacing w:val="-3"/>
        </w:rPr>
        <w:t> </w:t>
      </w:r>
      <w:r>
        <w:rPr/>
        <w:t>2023</w:t>
      </w:r>
      <w:r>
        <w:rPr>
          <w:spacing w:val="-3"/>
        </w:rPr>
        <w:t> </w:t>
      </w:r>
      <w:r>
        <w:rPr/>
        <w:t>and</w:t>
      </w:r>
      <w:r>
        <w:rPr>
          <w:spacing w:val="-4"/>
        </w:rPr>
        <w:t> </w:t>
      </w:r>
      <w:r>
        <w:rPr/>
        <w:t>this</w:t>
      </w:r>
      <w:r>
        <w:rPr>
          <w:spacing w:val="-4"/>
        </w:rPr>
        <w:t> </w:t>
      </w:r>
      <w:r>
        <w:rPr/>
        <w:t>framework</w:t>
      </w:r>
      <w:r>
        <w:rPr>
          <w:spacing w:val="-3"/>
        </w:rPr>
        <w:t> </w:t>
      </w:r>
      <w:r>
        <w:rPr/>
        <w:t>was</w:t>
      </w:r>
      <w:r>
        <w:rPr>
          <w:spacing w:val="-4"/>
        </w:rPr>
        <w:t> </w:t>
      </w:r>
      <w:r>
        <w:rPr/>
        <w:t>adopted</w:t>
      </w:r>
      <w:r>
        <w:rPr>
          <w:spacing w:val="-4"/>
        </w:rPr>
        <w:t> </w:t>
      </w:r>
      <w:r>
        <w:rPr/>
        <w:t>in</w:t>
      </w:r>
      <w:r>
        <w:rPr>
          <w:spacing w:val="-4"/>
        </w:rPr>
        <w:t> </w:t>
      </w:r>
      <w:r>
        <w:rPr/>
        <w:t>2021.</w:t>
      </w:r>
      <w:r>
        <w:rPr>
          <w:spacing w:val="-4"/>
        </w:rPr>
        <w:t> </w:t>
      </w:r>
      <w:r>
        <w:rPr/>
        <w:t>However,</w:t>
      </w:r>
      <w:r>
        <w:rPr>
          <w:spacing w:val="-3"/>
        </w:rPr>
        <w:t> </w:t>
      </w:r>
      <w:r>
        <w:rPr/>
        <w:t>it</w:t>
      </w:r>
      <w:r>
        <w:rPr>
          <w:spacing w:val="-3"/>
        </w:rPr>
        <w:t> </w:t>
      </w:r>
      <w:r>
        <w:rPr/>
        <w:t>highlights priority areas in which one can expect particularly dynamic EU protection (including</w:t>
      </w:r>
      <w:r>
        <w:rPr>
          <w:spacing w:val="-2"/>
        </w:rPr>
        <w:t> </w:t>
      </w:r>
      <w:r>
        <w:rPr/>
        <w:t>legislative</w:t>
      </w:r>
      <w:r>
        <w:rPr>
          <w:spacing w:val="-2"/>
        </w:rPr>
        <w:t> </w:t>
      </w:r>
      <w:r>
        <w:rPr/>
        <w:t>developments)</w:t>
      </w:r>
      <w:r>
        <w:rPr>
          <w:spacing w:val="-3"/>
        </w:rPr>
        <w:t> </w:t>
      </w:r>
      <w:r>
        <w:rPr/>
        <w:t>to</w:t>
      </w:r>
      <w:r>
        <w:rPr>
          <w:spacing w:val="-3"/>
        </w:rPr>
        <w:t> </w:t>
      </w:r>
      <w:r>
        <w:rPr/>
        <w:t>protect</w:t>
      </w:r>
      <w:r>
        <w:rPr>
          <w:spacing w:val="-2"/>
        </w:rPr>
        <w:t> </w:t>
      </w:r>
      <w:r>
        <w:rPr/>
        <w:t>children’s</w:t>
      </w:r>
      <w:r>
        <w:rPr>
          <w:spacing w:val="-3"/>
        </w:rPr>
        <w:t> </w:t>
      </w:r>
      <w:r>
        <w:rPr/>
        <w:t>rights</w:t>
      </w:r>
      <w:r>
        <w:rPr>
          <w:spacing w:val="-3"/>
        </w:rPr>
        <w:t> </w:t>
      </w:r>
      <w:r>
        <w:rPr/>
        <w:t>and</w:t>
      </w:r>
      <w:r>
        <w:rPr>
          <w:spacing w:val="-3"/>
        </w:rPr>
        <w:t> </w:t>
      </w:r>
      <w:r>
        <w:rPr/>
        <w:t>no</w:t>
      </w:r>
      <w:r>
        <w:rPr>
          <w:spacing w:val="-3"/>
        </w:rPr>
        <w:t> </w:t>
      </w:r>
      <w:r>
        <w:rPr/>
        <w:t>end</w:t>
      </w:r>
      <w:r>
        <w:rPr>
          <w:spacing w:val="-3"/>
        </w:rPr>
        <w:t> </w:t>
      </w:r>
      <w:r>
        <w:rPr/>
        <w:t>date has been set for the operationalisation of this framework.</w:t>
      </w:r>
    </w:p>
    <w:p>
      <w:pPr>
        <w:pStyle w:val="BodyText"/>
        <w:spacing w:line="232" w:lineRule="auto" w:before="275"/>
        <w:ind w:left="720" w:right="1250"/>
      </w:pPr>
      <w:r>
        <w:rPr/>
        <w:t>We note that NI has adopted the Children’s Services Co-operation Act (Northern Ireland) 2015, according to which the NI Executive must develop and adopt a strategy aiming at improving the well-being of children and young people in NI. We</w:t>
      </w:r>
      <w:r>
        <w:rPr>
          <w:spacing w:val="-6"/>
        </w:rPr>
        <w:t> </w:t>
      </w:r>
      <w:r>
        <w:rPr/>
        <w:t>also</w:t>
      </w:r>
      <w:r>
        <w:rPr>
          <w:spacing w:val="-7"/>
        </w:rPr>
        <w:t> </w:t>
      </w:r>
      <w:r>
        <w:rPr/>
        <w:t>note</w:t>
      </w:r>
      <w:r>
        <w:rPr>
          <w:spacing w:val="-6"/>
        </w:rPr>
        <w:t> </w:t>
      </w:r>
      <w:r>
        <w:rPr/>
        <w:t>that</w:t>
      </w:r>
      <w:r>
        <w:rPr>
          <w:spacing w:val="-6"/>
        </w:rPr>
        <w:t> </w:t>
      </w:r>
      <w:r>
        <w:rPr/>
        <w:t>in</w:t>
      </w:r>
      <w:r>
        <w:rPr>
          <w:spacing w:val="-7"/>
        </w:rPr>
        <w:t> </w:t>
      </w:r>
      <w:r>
        <w:rPr/>
        <w:t>2003,</w:t>
      </w:r>
      <w:r>
        <w:rPr>
          <w:spacing w:val="-6"/>
        </w:rPr>
        <w:t> </w:t>
      </w:r>
      <w:r>
        <w:rPr/>
        <w:t>NI</w:t>
      </w:r>
      <w:r>
        <w:rPr>
          <w:spacing w:val="-6"/>
        </w:rPr>
        <w:t> </w:t>
      </w:r>
      <w:r>
        <w:rPr/>
        <w:t>created</w:t>
      </w:r>
      <w:r>
        <w:rPr>
          <w:spacing w:val="-7"/>
        </w:rPr>
        <w:t> </w:t>
      </w:r>
      <w:r>
        <w:rPr/>
        <w:t>the</w:t>
      </w:r>
      <w:r>
        <w:rPr>
          <w:spacing w:val="-6"/>
        </w:rPr>
        <w:t> </w:t>
      </w:r>
      <w:r>
        <w:rPr/>
        <w:t>NI</w:t>
      </w:r>
      <w:r>
        <w:rPr>
          <w:spacing w:val="-6"/>
        </w:rPr>
        <w:t> </w:t>
      </w:r>
      <w:r>
        <w:rPr/>
        <w:t>Commissioner</w:t>
      </w:r>
      <w:r>
        <w:rPr>
          <w:spacing w:val="-6"/>
        </w:rPr>
        <w:t> </w:t>
      </w:r>
      <w:r>
        <w:rPr/>
        <w:t>for</w:t>
      </w:r>
      <w:r>
        <w:rPr>
          <w:spacing w:val="-6"/>
        </w:rPr>
        <w:t> </w:t>
      </w:r>
      <w:r>
        <w:rPr/>
        <w:t>Children</w:t>
      </w:r>
      <w:r>
        <w:rPr>
          <w:spacing w:val="-7"/>
        </w:rPr>
        <w:t> </w:t>
      </w:r>
      <w:r>
        <w:rPr/>
        <w:t>and</w:t>
      </w:r>
      <w:r>
        <w:rPr>
          <w:spacing w:val="-7"/>
        </w:rPr>
        <w:t> </w:t>
      </w:r>
      <w:r>
        <w:rPr/>
        <w:t>Young People,</w:t>
      </w:r>
      <w:r>
        <w:rPr>
          <w:vertAlign w:val="superscript"/>
        </w:rPr>
        <w:t>699</w:t>
      </w:r>
      <w:r>
        <w:rPr>
          <w:vertAlign w:val="baseline"/>
        </w:rPr>
        <w:t> to safeguard and promote the rights and best interests of children and young people in Northern Ireland.</w:t>
      </w:r>
    </w:p>
    <w:p>
      <w:pPr>
        <w:pStyle w:val="BodyText"/>
        <w:spacing w:line="232" w:lineRule="auto" w:before="275"/>
        <w:ind w:left="720" w:right="1087"/>
      </w:pPr>
      <w:r>
        <w:rPr/>
        <w:t>However, concerns have been raised in NI regarding the high number of children living</w:t>
      </w:r>
      <w:r>
        <w:rPr>
          <w:spacing w:val="-4"/>
        </w:rPr>
        <w:t> </w:t>
      </w:r>
      <w:r>
        <w:rPr/>
        <w:t>in</w:t>
      </w:r>
      <w:r>
        <w:rPr>
          <w:spacing w:val="-5"/>
        </w:rPr>
        <w:t> </w:t>
      </w:r>
      <w:r>
        <w:rPr/>
        <w:t>poverty</w:t>
      </w:r>
      <w:r>
        <w:rPr>
          <w:spacing w:val="-4"/>
        </w:rPr>
        <w:t> </w:t>
      </w:r>
      <w:r>
        <w:rPr/>
        <w:t>and</w:t>
      </w:r>
      <w:r>
        <w:rPr>
          <w:spacing w:val="-5"/>
        </w:rPr>
        <w:t> </w:t>
      </w:r>
      <w:r>
        <w:rPr/>
        <w:t>the</w:t>
      </w:r>
      <w:r>
        <w:rPr>
          <w:spacing w:val="-4"/>
        </w:rPr>
        <w:t> </w:t>
      </w:r>
      <w:r>
        <w:rPr/>
        <w:t>inadequate</w:t>
      </w:r>
      <w:r>
        <w:rPr>
          <w:spacing w:val="-4"/>
        </w:rPr>
        <w:t> </w:t>
      </w:r>
      <w:r>
        <w:rPr/>
        <w:t>housing,</w:t>
      </w:r>
      <w:r>
        <w:rPr>
          <w:spacing w:val="-4"/>
        </w:rPr>
        <w:t> </w:t>
      </w:r>
      <w:r>
        <w:rPr/>
        <w:t>health</w:t>
      </w:r>
      <w:r>
        <w:rPr>
          <w:spacing w:val="-5"/>
        </w:rPr>
        <w:t> </w:t>
      </w:r>
      <w:r>
        <w:rPr/>
        <w:t>and</w:t>
      </w:r>
      <w:r>
        <w:rPr>
          <w:spacing w:val="-5"/>
        </w:rPr>
        <w:t> </w:t>
      </w:r>
      <w:r>
        <w:rPr/>
        <w:t>nutrition</w:t>
      </w:r>
      <w:r>
        <w:rPr>
          <w:spacing w:val="-5"/>
        </w:rPr>
        <w:t> </w:t>
      </w:r>
      <w:r>
        <w:rPr/>
        <w:t>they</w:t>
      </w:r>
      <w:r>
        <w:rPr>
          <w:spacing w:val="-4"/>
        </w:rPr>
        <w:t> </w:t>
      </w:r>
      <w:r>
        <w:rPr/>
        <w:t>have</w:t>
      </w:r>
      <w:r>
        <w:rPr>
          <w:spacing w:val="-4"/>
        </w:rPr>
        <w:t> </w:t>
      </w:r>
      <w:r>
        <w:rPr/>
        <w:t>access to; as well as the insufficient support and education for children with disabilities</w:t>
      </w:r>
    </w:p>
    <w:p>
      <w:pPr>
        <w:pStyle w:val="BodyText"/>
        <w:spacing w:line="232" w:lineRule="auto"/>
        <w:ind w:left="720"/>
      </w:pPr>
      <w:r>
        <w:rPr/>
        <w:t>or</w:t>
      </w:r>
      <w:r>
        <w:rPr>
          <w:spacing w:val="-5"/>
        </w:rPr>
        <w:t> </w:t>
      </w:r>
      <w:r>
        <w:rPr/>
        <w:t>special</w:t>
      </w:r>
      <w:r>
        <w:rPr>
          <w:spacing w:val="-5"/>
        </w:rPr>
        <w:t> </w:t>
      </w:r>
      <w:r>
        <w:rPr/>
        <w:t>educational</w:t>
      </w:r>
      <w:r>
        <w:rPr>
          <w:spacing w:val="-5"/>
        </w:rPr>
        <w:t> </w:t>
      </w:r>
      <w:r>
        <w:rPr/>
        <w:t>needs.</w:t>
      </w:r>
      <w:r>
        <w:rPr>
          <w:spacing w:val="-5"/>
        </w:rPr>
        <w:t> </w:t>
      </w:r>
      <w:r>
        <w:rPr/>
        <w:t>Concerns</w:t>
      </w:r>
      <w:r>
        <w:rPr>
          <w:spacing w:val="-5"/>
        </w:rPr>
        <w:t> </w:t>
      </w:r>
      <w:r>
        <w:rPr/>
        <w:t>have</w:t>
      </w:r>
      <w:r>
        <w:rPr>
          <w:spacing w:val="-5"/>
        </w:rPr>
        <w:t> </w:t>
      </w:r>
      <w:r>
        <w:rPr/>
        <w:t>also</w:t>
      </w:r>
      <w:r>
        <w:rPr>
          <w:spacing w:val="-5"/>
        </w:rPr>
        <w:t> </w:t>
      </w:r>
      <w:r>
        <w:rPr/>
        <w:t>been</w:t>
      </w:r>
      <w:r>
        <w:rPr>
          <w:spacing w:val="-5"/>
        </w:rPr>
        <w:t> </w:t>
      </w:r>
      <w:r>
        <w:rPr/>
        <w:t>raised</w:t>
      </w:r>
      <w:r>
        <w:rPr>
          <w:spacing w:val="-5"/>
        </w:rPr>
        <w:t> </w:t>
      </w:r>
      <w:r>
        <w:rPr/>
        <w:t>on</w:t>
      </w:r>
      <w:r>
        <w:rPr>
          <w:spacing w:val="-5"/>
        </w:rPr>
        <w:t> </w:t>
      </w:r>
      <w:r>
        <w:rPr/>
        <w:t>how</w:t>
      </w:r>
      <w:r>
        <w:rPr>
          <w:spacing w:val="-5"/>
        </w:rPr>
        <w:t> </w:t>
      </w:r>
      <w:r>
        <w:rPr/>
        <w:t>these</w:t>
      </w:r>
      <w:r>
        <w:rPr>
          <w:spacing w:val="-5"/>
        </w:rPr>
        <w:t> </w:t>
      </w:r>
      <w:r>
        <w:rPr/>
        <w:t>issues disproportionately affect children refugees and children in care.</w:t>
      </w:r>
      <w:r>
        <w:rPr>
          <w:vertAlign w:val="superscript"/>
        </w:rPr>
        <w:t>700</w:t>
      </w:r>
    </w:p>
    <w:p>
      <w:pPr>
        <w:pStyle w:val="BodyText"/>
        <w:spacing w:before="11"/>
        <w:rPr>
          <w:sz w:val="19"/>
        </w:rPr>
      </w:pPr>
      <w:r>
        <w:rPr/>
        <mc:AlternateContent>
          <mc:Choice Requires="wps">
            <w:drawing>
              <wp:anchor distT="0" distB="0" distL="0" distR="0" allowOverlap="1" layoutInCell="1" locked="0" behindDoc="1" simplePos="0" relativeHeight="487807488">
                <wp:simplePos x="0" y="0"/>
                <wp:positionH relativeFrom="page">
                  <wp:posOffset>647994</wp:posOffset>
                </wp:positionH>
                <wp:positionV relativeFrom="paragraph">
                  <wp:posOffset>169935</wp:posOffset>
                </wp:positionV>
                <wp:extent cx="6012180" cy="1651635"/>
                <wp:effectExtent l="0" t="0" r="0" b="0"/>
                <wp:wrapTopAndBottom/>
                <wp:docPr id="1146" name="Group 1146"/>
                <wp:cNvGraphicFramePr>
                  <a:graphicFrameLocks/>
                </wp:cNvGraphicFramePr>
                <a:graphic>
                  <a:graphicData uri="http://schemas.microsoft.com/office/word/2010/wordprocessingGroup">
                    <wpg:wgp>
                      <wpg:cNvPr id="1146" name="Group 1146"/>
                      <wpg:cNvGrpSpPr/>
                      <wpg:grpSpPr>
                        <a:xfrm>
                          <a:off x="0" y="0"/>
                          <a:ext cx="6012180" cy="1651635"/>
                          <a:chExt cx="6012180" cy="1651635"/>
                        </a:xfrm>
                      </wpg:grpSpPr>
                      <wps:wsp>
                        <wps:cNvPr id="1147" name="Graphic 1147"/>
                        <wps:cNvSpPr/>
                        <wps:spPr>
                          <a:xfrm>
                            <a:off x="0" y="0"/>
                            <a:ext cx="6012180" cy="1651635"/>
                          </a:xfrm>
                          <a:custGeom>
                            <a:avLst/>
                            <a:gdLst/>
                            <a:ahLst/>
                            <a:cxnLst/>
                            <a:rect l="l" t="t" r="r" b="b"/>
                            <a:pathLst>
                              <a:path w="6012180" h="1651635">
                                <a:moveTo>
                                  <a:pt x="5868009" y="0"/>
                                </a:moveTo>
                                <a:lnTo>
                                  <a:pt x="144005" y="0"/>
                                </a:lnTo>
                                <a:lnTo>
                                  <a:pt x="98490" y="7340"/>
                                </a:lnTo>
                                <a:lnTo>
                                  <a:pt x="58959" y="27782"/>
                                </a:lnTo>
                                <a:lnTo>
                                  <a:pt x="27785" y="58954"/>
                                </a:lnTo>
                                <a:lnTo>
                                  <a:pt x="7341" y="98485"/>
                                </a:lnTo>
                                <a:lnTo>
                                  <a:pt x="0" y="144005"/>
                                </a:lnTo>
                                <a:lnTo>
                                  <a:pt x="0" y="1507096"/>
                                </a:lnTo>
                                <a:lnTo>
                                  <a:pt x="7341" y="1552611"/>
                                </a:lnTo>
                                <a:lnTo>
                                  <a:pt x="27785" y="1592142"/>
                                </a:lnTo>
                                <a:lnTo>
                                  <a:pt x="58959" y="1623315"/>
                                </a:lnTo>
                                <a:lnTo>
                                  <a:pt x="98490" y="1643759"/>
                                </a:lnTo>
                                <a:lnTo>
                                  <a:pt x="144005" y="1651101"/>
                                </a:lnTo>
                                <a:lnTo>
                                  <a:pt x="5868009" y="1651101"/>
                                </a:lnTo>
                                <a:lnTo>
                                  <a:pt x="5913523" y="1643759"/>
                                </a:lnTo>
                                <a:lnTo>
                                  <a:pt x="5953050" y="1623315"/>
                                </a:lnTo>
                                <a:lnTo>
                                  <a:pt x="5984220" y="1592142"/>
                                </a:lnTo>
                                <a:lnTo>
                                  <a:pt x="6004661" y="1552611"/>
                                </a:lnTo>
                                <a:lnTo>
                                  <a:pt x="6012002" y="15070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148" name="Textbox 1148"/>
                        <wps:cNvSpPr txBox="1"/>
                        <wps:spPr>
                          <a:xfrm>
                            <a:off x="0" y="0"/>
                            <a:ext cx="6012180" cy="1651635"/>
                          </a:xfrm>
                          <a:prstGeom prst="rect">
                            <a:avLst/>
                          </a:prstGeom>
                        </wps:spPr>
                        <wps:txbx>
                          <w:txbxContent>
                            <w:p>
                              <w:pPr>
                                <w:spacing w:line="232" w:lineRule="auto" w:before="121"/>
                                <w:ind w:left="340" w:right="196" w:firstLine="0"/>
                                <w:jc w:val="left"/>
                                <w:rPr>
                                  <w:b/>
                                  <w:sz w:val="28"/>
                                </w:rPr>
                              </w:pPr>
                              <w:r>
                                <w:rPr>
                                  <w:b/>
                                  <w:color w:val="164194"/>
                                  <w:sz w:val="28"/>
                                </w:rPr>
                                <w:t>We recommend relevant NI departments review EU policy developments aimed at protecting the rights of all children, including combating child poverty, securing vulnerable children’s access to basic services, including children living in poverty, children with disabilities and special educational needs,</w:t>
                              </w:r>
                              <w:r>
                                <w:rPr>
                                  <w:b/>
                                  <w:color w:val="164194"/>
                                  <w:spacing w:val="-6"/>
                                  <w:sz w:val="28"/>
                                </w:rPr>
                                <w:t> </w:t>
                              </w:r>
                              <w:r>
                                <w:rPr>
                                  <w:b/>
                                  <w:color w:val="164194"/>
                                  <w:sz w:val="28"/>
                                </w:rPr>
                                <w:t>children</w:t>
                              </w:r>
                              <w:r>
                                <w:rPr>
                                  <w:b/>
                                  <w:color w:val="164194"/>
                                  <w:spacing w:val="-6"/>
                                  <w:sz w:val="28"/>
                                </w:rPr>
                                <w:t> </w:t>
                              </w:r>
                              <w:r>
                                <w:rPr>
                                  <w:b/>
                                  <w:color w:val="164194"/>
                                  <w:sz w:val="28"/>
                                </w:rPr>
                                <w:t>refugees</w:t>
                              </w:r>
                              <w:r>
                                <w:rPr>
                                  <w:b/>
                                  <w:color w:val="164194"/>
                                  <w:spacing w:val="-6"/>
                                  <w:sz w:val="28"/>
                                </w:rPr>
                                <w:t> </w:t>
                              </w:r>
                              <w:r>
                                <w:rPr>
                                  <w:b/>
                                  <w:color w:val="164194"/>
                                  <w:sz w:val="28"/>
                                </w:rPr>
                                <w:t>and</w:t>
                              </w:r>
                              <w:r>
                                <w:rPr>
                                  <w:b/>
                                  <w:color w:val="164194"/>
                                  <w:spacing w:val="-6"/>
                                  <w:sz w:val="28"/>
                                </w:rPr>
                                <w:t> </w:t>
                              </w:r>
                              <w:r>
                                <w:rPr>
                                  <w:b/>
                                  <w:color w:val="164194"/>
                                  <w:sz w:val="28"/>
                                </w:rPr>
                                <w:t>children</w:t>
                              </w:r>
                              <w:r>
                                <w:rPr>
                                  <w:b/>
                                  <w:color w:val="164194"/>
                                  <w:spacing w:val="-6"/>
                                  <w:sz w:val="28"/>
                                </w:rPr>
                                <w:t> </w:t>
                              </w:r>
                              <w:r>
                                <w:rPr>
                                  <w:b/>
                                  <w:color w:val="164194"/>
                                  <w:sz w:val="28"/>
                                </w:rPr>
                                <w:t>in</w:t>
                              </w:r>
                              <w:r>
                                <w:rPr>
                                  <w:b/>
                                  <w:color w:val="164194"/>
                                  <w:spacing w:val="-6"/>
                                  <w:sz w:val="28"/>
                                </w:rPr>
                                <w:t> </w:t>
                              </w:r>
                              <w:r>
                                <w:rPr>
                                  <w:b/>
                                  <w:color w:val="164194"/>
                                  <w:sz w:val="28"/>
                                </w:rPr>
                                <w:t>care,</w:t>
                              </w:r>
                              <w:r>
                                <w:rPr>
                                  <w:b/>
                                  <w:color w:val="164194"/>
                                  <w:spacing w:val="-6"/>
                                  <w:sz w:val="28"/>
                                </w:rPr>
                                <w:t> </w:t>
                              </w:r>
                              <w:r>
                                <w:rPr>
                                  <w:b/>
                                  <w:color w:val="164194"/>
                                  <w:sz w:val="28"/>
                                </w:rPr>
                                <w:t>with</w:t>
                              </w:r>
                              <w:r>
                                <w:rPr>
                                  <w:b/>
                                  <w:color w:val="164194"/>
                                  <w:spacing w:val="-6"/>
                                  <w:sz w:val="28"/>
                                </w:rPr>
                                <w:t> </w:t>
                              </w:r>
                              <w:r>
                                <w:rPr>
                                  <w:b/>
                                  <w:color w:val="164194"/>
                                  <w:sz w:val="28"/>
                                </w:rPr>
                                <w:t>a</w:t>
                              </w:r>
                              <w:r>
                                <w:rPr>
                                  <w:b/>
                                  <w:color w:val="164194"/>
                                  <w:spacing w:val="-6"/>
                                  <w:sz w:val="28"/>
                                </w:rPr>
                                <w:t> </w:t>
                              </w:r>
                              <w:r>
                                <w:rPr>
                                  <w:b/>
                                  <w:color w:val="164194"/>
                                  <w:sz w:val="28"/>
                                </w:rPr>
                                <w:t>view</w:t>
                              </w:r>
                              <w:r>
                                <w:rPr>
                                  <w:b/>
                                  <w:color w:val="164194"/>
                                  <w:spacing w:val="-7"/>
                                  <w:sz w:val="28"/>
                                </w:rPr>
                                <w:t> </w:t>
                              </w:r>
                              <w:r>
                                <w:rPr>
                                  <w:b/>
                                  <w:color w:val="164194"/>
                                  <w:sz w:val="28"/>
                                </w:rPr>
                                <w:t>to</w:t>
                              </w:r>
                              <w:r>
                                <w:rPr>
                                  <w:b/>
                                  <w:color w:val="164194"/>
                                  <w:spacing w:val="-6"/>
                                  <w:sz w:val="28"/>
                                </w:rPr>
                                <w:t> </w:t>
                              </w:r>
                              <w:r>
                                <w:rPr>
                                  <w:b/>
                                  <w:color w:val="164194"/>
                                  <w:sz w:val="28"/>
                                </w:rPr>
                                <w:t>taking</w:t>
                              </w:r>
                              <w:r>
                                <w:rPr>
                                  <w:b/>
                                  <w:color w:val="164194"/>
                                  <w:spacing w:val="-7"/>
                                  <w:sz w:val="28"/>
                                </w:rPr>
                                <w:t> </w:t>
                              </w:r>
                              <w:r>
                                <w:rPr>
                                  <w:b/>
                                  <w:color w:val="164194"/>
                                  <w:sz w:val="28"/>
                                </w:rPr>
                                <w:t>measures that strengthen 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3.38071pt;width:473.4pt;height:130.0500pt;mso-position-horizontal-relative:page;mso-position-vertical-relative:paragraph;z-index:-15508992;mso-wrap-distance-left:0;mso-wrap-distance-right:0" id="docshapegroup946" coordorigin="1020,268" coordsize="9468,2601">
                <v:shape style="position:absolute;left:1020;top:267;width:9468;height:2601" id="docshape947" coordorigin="1020,268" coordsize="9468,2601" path="m10261,268l1247,268,1176,279,1113,311,1064,360,1032,423,1020,494,1020,2641,1032,2713,1064,2775,1113,2824,1176,2856,1247,2868,10261,2868,10333,2856,10395,2824,10444,2775,10477,2713,10488,2641,10488,494,10477,423,10444,360,10395,311,10333,279,10261,268xe" filled="true" fillcolor="#e9f3fc" stroked="false">
                  <v:path arrowok="t"/>
                  <v:fill type="solid"/>
                </v:shape>
                <v:shape style="position:absolute;left:1020;top:267;width:9468;height:2601" type="#_x0000_t202" id="docshape948" filled="false" stroked="false">
                  <v:textbox inset="0,0,0,0">
                    <w:txbxContent>
                      <w:p>
                        <w:pPr>
                          <w:spacing w:line="232" w:lineRule="auto" w:before="121"/>
                          <w:ind w:left="340" w:right="196" w:firstLine="0"/>
                          <w:jc w:val="left"/>
                          <w:rPr>
                            <w:b/>
                            <w:sz w:val="28"/>
                          </w:rPr>
                        </w:pPr>
                        <w:r>
                          <w:rPr>
                            <w:b/>
                            <w:color w:val="164194"/>
                            <w:sz w:val="28"/>
                          </w:rPr>
                          <w:t>We recommend relevant NI departments review EU policy developments aimed at protecting the rights of all children, including combating child poverty, securing vulnerable children’s access to basic services, including children living in poverty, children with disabilities and special educational needs,</w:t>
                        </w:r>
                        <w:r>
                          <w:rPr>
                            <w:b/>
                            <w:color w:val="164194"/>
                            <w:spacing w:val="-6"/>
                            <w:sz w:val="28"/>
                          </w:rPr>
                          <w:t> </w:t>
                        </w:r>
                        <w:r>
                          <w:rPr>
                            <w:b/>
                            <w:color w:val="164194"/>
                            <w:sz w:val="28"/>
                          </w:rPr>
                          <w:t>children</w:t>
                        </w:r>
                        <w:r>
                          <w:rPr>
                            <w:b/>
                            <w:color w:val="164194"/>
                            <w:spacing w:val="-6"/>
                            <w:sz w:val="28"/>
                          </w:rPr>
                          <w:t> </w:t>
                        </w:r>
                        <w:r>
                          <w:rPr>
                            <w:b/>
                            <w:color w:val="164194"/>
                            <w:sz w:val="28"/>
                          </w:rPr>
                          <w:t>refugees</w:t>
                        </w:r>
                        <w:r>
                          <w:rPr>
                            <w:b/>
                            <w:color w:val="164194"/>
                            <w:spacing w:val="-6"/>
                            <w:sz w:val="28"/>
                          </w:rPr>
                          <w:t> </w:t>
                        </w:r>
                        <w:r>
                          <w:rPr>
                            <w:b/>
                            <w:color w:val="164194"/>
                            <w:sz w:val="28"/>
                          </w:rPr>
                          <w:t>and</w:t>
                        </w:r>
                        <w:r>
                          <w:rPr>
                            <w:b/>
                            <w:color w:val="164194"/>
                            <w:spacing w:val="-6"/>
                            <w:sz w:val="28"/>
                          </w:rPr>
                          <w:t> </w:t>
                        </w:r>
                        <w:r>
                          <w:rPr>
                            <w:b/>
                            <w:color w:val="164194"/>
                            <w:sz w:val="28"/>
                          </w:rPr>
                          <w:t>children</w:t>
                        </w:r>
                        <w:r>
                          <w:rPr>
                            <w:b/>
                            <w:color w:val="164194"/>
                            <w:spacing w:val="-6"/>
                            <w:sz w:val="28"/>
                          </w:rPr>
                          <w:t> </w:t>
                        </w:r>
                        <w:r>
                          <w:rPr>
                            <w:b/>
                            <w:color w:val="164194"/>
                            <w:sz w:val="28"/>
                          </w:rPr>
                          <w:t>in</w:t>
                        </w:r>
                        <w:r>
                          <w:rPr>
                            <w:b/>
                            <w:color w:val="164194"/>
                            <w:spacing w:val="-6"/>
                            <w:sz w:val="28"/>
                          </w:rPr>
                          <w:t> </w:t>
                        </w:r>
                        <w:r>
                          <w:rPr>
                            <w:b/>
                            <w:color w:val="164194"/>
                            <w:sz w:val="28"/>
                          </w:rPr>
                          <w:t>care,</w:t>
                        </w:r>
                        <w:r>
                          <w:rPr>
                            <w:b/>
                            <w:color w:val="164194"/>
                            <w:spacing w:val="-6"/>
                            <w:sz w:val="28"/>
                          </w:rPr>
                          <w:t> </w:t>
                        </w:r>
                        <w:r>
                          <w:rPr>
                            <w:b/>
                            <w:color w:val="164194"/>
                            <w:sz w:val="28"/>
                          </w:rPr>
                          <w:t>with</w:t>
                        </w:r>
                        <w:r>
                          <w:rPr>
                            <w:b/>
                            <w:color w:val="164194"/>
                            <w:spacing w:val="-6"/>
                            <w:sz w:val="28"/>
                          </w:rPr>
                          <w:t> </w:t>
                        </w:r>
                        <w:r>
                          <w:rPr>
                            <w:b/>
                            <w:color w:val="164194"/>
                            <w:sz w:val="28"/>
                          </w:rPr>
                          <w:t>a</w:t>
                        </w:r>
                        <w:r>
                          <w:rPr>
                            <w:b/>
                            <w:color w:val="164194"/>
                            <w:spacing w:val="-6"/>
                            <w:sz w:val="28"/>
                          </w:rPr>
                          <w:t> </w:t>
                        </w:r>
                        <w:r>
                          <w:rPr>
                            <w:b/>
                            <w:color w:val="164194"/>
                            <w:sz w:val="28"/>
                          </w:rPr>
                          <w:t>view</w:t>
                        </w:r>
                        <w:r>
                          <w:rPr>
                            <w:b/>
                            <w:color w:val="164194"/>
                            <w:spacing w:val="-7"/>
                            <w:sz w:val="28"/>
                          </w:rPr>
                          <w:t> </w:t>
                        </w:r>
                        <w:r>
                          <w:rPr>
                            <w:b/>
                            <w:color w:val="164194"/>
                            <w:sz w:val="28"/>
                          </w:rPr>
                          <w:t>to</w:t>
                        </w:r>
                        <w:r>
                          <w:rPr>
                            <w:b/>
                            <w:color w:val="164194"/>
                            <w:spacing w:val="-6"/>
                            <w:sz w:val="28"/>
                          </w:rPr>
                          <w:t> </w:t>
                        </w:r>
                        <w:r>
                          <w:rPr>
                            <w:b/>
                            <w:color w:val="164194"/>
                            <w:sz w:val="28"/>
                          </w:rPr>
                          <w:t>taking</w:t>
                        </w:r>
                        <w:r>
                          <w:rPr>
                            <w:b/>
                            <w:color w:val="164194"/>
                            <w:spacing w:val="-7"/>
                            <w:sz w:val="28"/>
                          </w:rPr>
                          <w:t> </w:t>
                        </w:r>
                        <w:r>
                          <w:rPr>
                            <w:b/>
                            <w:color w:val="164194"/>
                            <w:sz w:val="28"/>
                          </w:rPr>
                          <w:t>measures that strengthen rights and reflect international human rights standards and best practice.</w:t>
                        </w:r>
                      </w:p>
                    </w:txbxContent>
                  </v:textbox>
                  <w10:wrap type="non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mc:AlternateContent>
          <mc:Choice Requires="wps">
            <w:drawing>
              <wp:anchor distT="0" distB="0" distL="0" distR="0" allowOverlap="1" layoutInCell="1" locked="0" behindDoc="1" simplePos="0" relativeHeight="487808000">
                <wp:simplePos x="0" y="0"/>
                <wp:positionH relativeFrom="page">
                  <wp:posOffset>647999</wp:posOffset>
                </wp:positionH>
                <wp:positionV relativeFrom="paragraph">
                  <wp:posOffset>170928</wp:posOffset>
                </wp:positionV>
                <wp:extent cx="6012180" cy="1270"/>
                <wp:effectExtent l="0" t="0" r="0" b="0"/>
                <wp:wrapTopAndBottom/>
                <wp:docPr id="1149" name="Graphic 1149"/>
                <wp:cNvGraphicFramePr>
                  <a:graphicFrameLocks/>
                </wp:cNvGraphicFramePr>
                <a:graphic>
                  <a:graphicData uri="http://schemas.microsoft.com/office/word/2010/wordprocessingShape">
                    <wps:wsp>
                      <wps:cNvPr id="1149" name="Graphic 1149"/>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3.458975pt;width:473.4pt;height:.1pt;mso-position-horizontal-relative:page;mso-position-vertical-relative:paragraph;z-index:-15508480;mso-wrap-distance-left:0;mso-wrap-distance-right:0" id="docshape949" coordorigin="1020,269" coordsize="9468,0" path="m1020,269l10488,269e" filled="false" stroked="true" strokeweight=".5pt" strokecolor="#36a9e1">
                <v:path arrowok="t"/>
                <v:stroke dashstyle="solid"/>
                <w10:wrap type="topAndBottom"/>
              </v:shape>
            </w:pict>
          </mc:Fallback>
        </mc:AlternateContent>
      </w:r>
    </w:p>
    <w:p>
      <w:pPr>
        <w:pStyle w:val="ListParagraph"/>
        <w:numPr>
          <w:ilvl w:val="0"/>
          <w:numId w:val="51"/>
        </w:numPr>
        <w:tabs>
          <w:tab w:pos="1287" w:val="left" w:leader="none"/>
        </w:tabs>
        <w:spacing w:line="240" w:lineRule="auto" w:before="43" w:after="0"/>
        <w:ind w:left="1287" w:right="0" w:hanging="567"/>
        <w:jc w:val="left"/>
        <w:rPr>
          <w:sz w:val="18"/>
        </w:rPr>
      </w:pPr>
      <w:r>
        <w:rPr>
          <w:sz w:val="18"/>
        </w:rPr>
        <w:t>The</w:t>
      </w:r>
      <w:r>
        <w:rPr>
          <w:spacing w:val="-7"/>
          <w:sz w:val="18"/>
        </w:rPr>
        <w:t> </w:t>
      </w:r>
      <w:r>
        <w:rPr>
          <w:sz w:val="18"/>
        </w:rPr>
        <w:t>Commissioner</w:t>
      </w:r>
      <w:r>
        <w:rPr>
          <w:spacing w:val="-4"/>
          <w:sz w:val="18"/>
        </w:rPr>
        <w:t> </w:t>
      </w:r>
      <w:r>
        <w:rPr>
          <w:sz w:val="18"/>
        </w:rPr>
        <w:t>for</w:t>
      </w:r>
      <w:r>
        <w:rPr>
          <w:spacing w:val="-4"/>
          <w:sz w:val="18"/>
        </w:rPr>
        <w:t> </w:t>
      </w:r>
      <w:r>
        <w:rPr>
          <w:sz w:val="18"/>
        </w:rPr>
        <w:t>Children</w:t>
      </w:r>
      <w:r>
        <w:rPr>
          <w:spacing w:val="-5"/>
          <w:sz w:val="18"/>
        </w:rPr>
        <w:t> </w:t>
      </w:r>
      <w:r>
        <w:rPr>
          <w:sz w:val="18"/>
        </w:rPr>
        <w:t>and</w:t>
      </w:r>
      <w:r>
        <w:rPr>
          <w:spacing w:val="-6"/>
          <w:sz w:val="18"/>
        </w:rPr>
        <w:t> </w:t>
      </w:r>
      <w:r>
        <w:rPr>
          <w:sz w:val="18"/>
        </w:rPr>
        <w:t>Young</w:t>
      </w:r>
      <w:r>
        <w:rPr>
          <w:spacing w:val="-4"/>
          <w:sz w:val="18"/>
        </w:rPr>
        <w:t> </w:t>
      </w:r>
      <w:r>
        <w:rPr>
          <w:sz w:val="18"/>
        </w:rPr>
        <w:t>People</w:t>
      </w:r>
      <w:r>
        <w:rPr>
          <w:spacing w:val="-4"/>
          <w:sz w:val="18"/>
        </w:rPr>
        <w:t> </w:t>
      </w:r>
      <w:r>
        <w:rPr>
          <w:sz w:val="18"/>
        </w:rPr>
        <w:t>(NI)</w:t>
      </w:r>
      <w:r>
        <w:rPr>
          <w:spacing w:val="-5"/>
          <w:sz w:val="18"/>
        </w:rPr>
        <w:t> </w:t>
      </w:r>
      <w:r>
        <w:rPr>
          <w:sz w:val="18"/>
        </w:rPr>
        <w:t>Order</w:t>
      </w:r>
      <w:r>
        <w:rPr>
          <w:spacing w:val="-4"/>
          <w:sz w:val="18"/>
        </w:rPr>
        <w:t> </w:t>
      </w:r>
      <w:r>
        <w:rPr>
          <w:spacing w:val="-2"/>
          <w:sz w:val="18"/>
        </w:rPr>
        <w:t>(2003)</w:t>
      </w:r>
    </w:p>
    <w:p>
      <w:pPr>
        <w:pStyle w:val="ListParagraph"/>
        <w:numPr>
          <w:ilvl w:val="0"/>
          <w:numId w:val="51"/>
        </w:numPr>
        <w:tabs>
          <w:tab w:pos="1287" w:val="left" w:leader="none"/>
        </w:tabs>
        <w:spacing w:line="240" w:lineRule="auto" w:before="1" w:after="0"/>
        <w:ind w:left="1287" w:right="1146" w:hanging="567"/>
        <w:jc w:val="left"/>
        <w:rPr>
          <w:sz w:val="18"/>
        </w:rPr>
      </w:pPr>
      <w:r>
        <w:rPr>
          <w:sz w:val="18"/>
        </w:rPr>
        <w:t>For</w:t>
      </w:r>
      <w:r>
        <w:rPr>
          <w:spacing w:val="-4"/>
          <w:sz w:val="18"/>
        </w:rPr>
        <w:t> </w:t>
      </w:r>
      <w:r>
        <w:rPr>
          <w:sz w:val="18"/>
        </w:rPr>
        <w:t>example</w:t>
      </w:r>
      <w:r>
        <w:rPr>
          <w:spacing w:val="-4"/>
          <w:sz w:val="18"/>
        </w:rPr>
        <w:t> </w:t>
      </w:r>
      <w:r>
        <w:rPr>
          <w:sz w:val="18"/>
        </w:rPr>
        <w:t>NIHRC,</w:t>
      </w:r>
      <w:r>
        <w:rPr>
          <w:spacing w:val="-4"/>
          <w:sz w:val="18"/>
        </w:rPr>
        <w:t> </w:t>
      </w:r>
      <w:r>
        <w:rPr>
          <w:sz w:val="18"/>
        </w:rPr>
        <w:t>‘</w:t>
      </w:r>
      <w:r>
        <w:rPr>
          <w:color w:val="1D71B8"/>
          <w:sz w:val="18"/>
          <w:u w:val="single" w:color="1D71B8"/>
        </w:rPr>
        <w:t>Submission</w:t>
      </w:r>
      <w:r>
        <w:rPr>
          <w:color w:val="1D71B8"/>
          <w:spacing w:val="-4"/>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UN</w:t>
      </w:r>
      <w:r>
        <w:rPr>
          <w:color w:val="1D71B8"/>
          <w:spacing w:val="-4"/>
          <w:sz w:val="18"/>
          <w:u w:val="single" w:color="1D71B8"/>
        </w:rPr>
        <w:t> </w:t>
      </w:r>
      <w:r>
        <w:rPr>
          <w:color w:val="1D71B8"/>
          <w:sz w:val="18"/>
          <w:u w:val="single" w:color="1D71B8"/>
        </w:rPr>
        <w:t>Committee</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Rights</w:t>
      </w:r>
      <w:r>
        <w:rPr>
          <w:color w:val="1D71B8"/>
          <w:spacing w:val="-4"/>
          <w:sz w:val="18"/>
          <w:u w:val="single" w:color="1D71B8"/>
        </w:rPr>
        <w:t> </w:t>
      </w:r>
      <w:r>
        <w:rPr>
          <w:color w:val="1D71B8"/>
          <w:sz w:val="18"/>
          <w:u w:val="single" w:color="1D71B8"/>
        </w:rPr>
        <w:t>of</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Child:</w:t>
      </w:r>
      <w:r>
        <w:rPr>
          <w:color w:val="1D71B8"/>
          <w:spacing w:val="-4"/>
          <w:sz w:val="18"/>
          <w:u w:val="single" w:color="1D71B8"/>
        </w:rPr>
        <w:t> </w:t>
      </w:r>
      <w:r>
        <w:rPr>
          <w:color w:val="1D71B8"/>
          <w:sz w:val="18"/>
          <w:u w:val="single" w:color="1D71B8"/>
        </w:rPr>
        <w:t>Parallel</w:t>
      </w:r>
      <w:r>
        <w:rPr>
          <w:color w:val="1D71B8"/>
          <w:spacing w:val="-4"/>
          <w:sz w:val="18"/>
          <w:u w:val="single" w:color="1D71B8"/>
        </w:rPr>
        <w:t> </w:t>
      </w:r>
      <w:r>
        <w:rPr>
          <w:color w:val="1D71B8"/>
          <w:sz w:val="18"/>
          <w:u w:val="single" w:color="1D71B8"/>
        </w:rPr>
        <w:t>Report</w:t>
      </w:r>
      <w:r>
        <w:rPr>
          <w:color w:val="1D71B8"/>
          <w:spacing w:val="-4"/>
          <w:sz w:val="18"/>
          <w:u w:val="single" w:color="1D71B8"/>
        </w:rPr>
        <w:t> </w:t>
      </w:r>
      <w:r>
        <w:rPr>
          <w:color w:val="1D71B8"/>
          <w:sz w:val="18"/>
          <w:u w:val="single" w:color="1D71B8"/>
        </w:rPr>
        <w:t>to</w:t>
      </w:r>
      <w:r>
        <w:rPr>
          <w:color w:val="1D71B8"/>
          <w:spacing w:val="-4"/>
          <w:sz w:val="18"/>
          <w:u w:val="single" w:color="1D71B8"/>
        </w:rPr>
        <w:t> </w:t>
      </w:r>
      <w:r>
        <w:rPr>
          <w:color w:val="1D71B8"/>
          <w:sz w:val="18"/>
          <w:u w:val="single" w:color="1D71B8"/>
        </w:rPr>
        <w:t>the</w:t>
      </w:r>
      <w:r>
        <w:rPr>
          <w:color w:val="1D71B8"/>
          <w:spacing w:val="-4"/>
          <w:sz w:val="18"/>
          <w:u w:val="single" w:color="1D71B8"/>
        </w:rPr>
        <w:t> </w:t>
      </w:r>
      <w:r>
        <w:rPr>
          <w:color w:val="1D71B8"/>
          <w:sz w:val="18"/>
          <w:u w:val="single" w:color="1D71B8"/>
        </w:rPr>
        <w:t>Pre-Session</w:t>
      </w:r>
      <w:r>
        <w:rPr>
          <w:color w:val="1D71B8"/>
          <w:spacing w:val="-4"/>
          <w:sz w:val="18"/>
          <w:u w:val="single" w:color="1D71B8"/>
        </w:rPr>
        <w:t> </w:t>
      </w:r>
      <w:r>
        <w:rPr>
          <w:color w:val="1D71B8"/>
          <w:sz w:val="18"/>
          <w:u w:val="single" w:color="1D71B8"/>
        </w:rPr>
        <w:t>on</w:t>
      </w:r>
      <w:r>
        <w:rPr>
          <w:color w:val="1D71B8"/>
          <w:spacing w:val="-4"/>
          <w:sz w:val="18"/>
          <w:u w:val="single" w:color="1D71B8"/>
        </w:rPr>
        <w:t> </w:t>
      </w:r>
      <w:r>
        <w:rPr>
          <w:color w:val="1D71B8"/>
          <w:sz w:val="18"/>
          <w:u w:val="single" w:color="1D71B8"/>
        </w:rPr>
        <w:t>the</w:t>
      </w:r>
      <w:r>
        <w:rPr>
          <w:color w:val="1D71B8"/>
          <w:sz w:val="18"/>
          <w:u w:val="none"/>
        </w:rPr>
        <w:t> </w:t>
      </w:r>
      <w:r>
        <w:rPr>
          <w:color w:val="1D71B8"/>
          <w:sz w:val="18"/>
          <w:u w:val="single" w:color="1D71B8"/>
        </w:rPr>
        <w:t>Combined Sixth and Seventh Reports of the UK of Great Britain and NI</w:t>
      </w:r>
      <w:r>
        <w:rPr>
          <w:sz w:val="18"/>
          <w:u w:val="none"/>
        </w:rPr>
        <w:t>’ (December 2022).</w:t>
      </w:r>
    </w:p>
    <w:p>
      <w:pPr>
        <w:spacing w:after="0" w:line="240" w:lineRule="auto"/>
        <w:jc w:val="left"/>
        <w:rPr>
          <w:sz w:val="18"/>
        </w:rPr>
        <w:sectPr>
          <w:pgSz w:w="11910" w:h="16840"/>
          <w:pgMar w:top="0" w:bottom="280" w:left="300" w:right="280"/>
        </w:sectPr>
      </w:pPr>
    </w:p>
    <w:p>
      <w:pPr>
        <w:pStyle w:val="BodyText"/>
        <w:rPr>
          <w:sz w:val="20"/>
        </w:rPr>
      </w:pPr>
      <w:r>
        <w:rPr/>
        <mc:AlternateContent>
          <mc:Choice Requires="wps">
            <w:drawing>
              <wp:anchor distT="0" distB="0" distL="0" distR="0" allowOverlap="1" layoutInCell="1" locked="0" behindDoc="0" simplePos="0" relativeHeight="15950848">
                <wp:simplePos x="0" y="0"/>
                <wp:positionH relativeFrom="page">
                  <wp:posOffset>-2</wp:posOffset>
                </wp:positionH>
                <wp:positionV relativeFrom="page">
                  <wp:posOffset>0</wp:posOffset>
                </wp:positionV>
                <wp:extent cx="7560309" cy="1283335"/>
                <wp:effectExtent l="0" t="0" r="0" b="0"/>
                <wp:wrapNone/>
                <wp:docPr id="1150" name="Group 1150"/>
                <wp:cNvGraphicFramePr>
                  <a:graphicFrameLocks/>
                </wp:cNvGraphicFramePr>
                <a:graphic>
                  <a:graphicData uri="http://schemas.microsoft.com/office/word/2010/wordprocessingGroup">
                    <wpg:wgp>
                      <wpg:cNvPr id="1150" name="Group 1150"/>
                      <wpg:cNvGrpSpPr/>
                      <wpg:grpSpPr>
                        <a:xfrm>
                          <a:off x="0" y="0"/>
                          <a:ext cx="7560309" cy="1283335"/>
                          <a:chExt cx="7560309" cy="1283335"/>
                        </a:xfrm>
                      </wpg:grpSpPr>
                      <wps:wsp>
                        <wps:cNvPr id="1151" name="Graphic 1151"/>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152" name="Graphic 1152"/>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s:wsp>
                        <wps:cNvPr id="1153" name="Textbox 1153"/>
                        <wps:cNvSpPr txBox="1"/>
                        <wps:spPr>
                          <a:xfrm>
                            <a:off x="2819459" y="409703"/>
                            <a:ext cx="3925570" cy="152400"/>
                          </a:xfrm>
                          <a:prstGeom prst="rect">
                            <a:avLst/>
                          </a:prstGeom>
                        </wps:spPr>
                        <wps:txbx>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wps:txbx>
                        <wps:bodyPr wrap="square" lIns="0" tIns="0" rIns="0" bIns="0" rtlCol="0">
                          <a:noAutofit/>
                        </wps:bodyPr>
                      </wps:wsp>
                      <wps:wsp>
                        <wps:cNvPr id="1154" name="Textbox 1154"/>
                        <wps:cNvSpPr txBox="1"/>
                        <wps:spPr>
                          <a:xfrm>
                            <a:off x="7028829" y="403890"/>
                            <a:ext cx="283210" cy="177800"/>
                          </a:xfrm>
                          <a:prstGeom prst="rect">
                            <a:avLst/>
                          </a:prstGeom>
                        </wps:spPr>
                        <wps:txbx>
                          <w:txbxContent>
                            <w:p>
                              <w:pPr>
                                <w:spacing w:line="280" w:lineRule="exact" w:before="0"/>
                                <w:ind w:left="0" w:right="0" w:firstLine="0"/>
                                <w:jc w:val="left"/>
                                <w:rPr>
                                  <w:b/>
                                  <w:sz w:val="28"/>
                                </w:rPr>
                              </w:pPr>
                              <w:r>
                                <w:rPr>
                                  <w:b/>
                                  <w:color w:val="FFFFFF"/>
                                  <w:spacing w:val="-5"/>
                                  <w:sz w:val="28"/>
                                </w:rPr>
                                <w:t>141</w:t>
                              </w:r>
                            </w:p>
                          </w:txbxContent>
                        </wps:txbx>
                        <wps:bodyPr wrap="square" lIns="0" tIns="0" rIns="0" bIns="0" rtlCol="0">
                          <a:noAutofit/>
                        </wps:bodyPr>
                      </wps:wsp>
                      <wps:wsp>
                        <wps:cNvPr id="1155" name="Textbox 1155"/>
                        <wps:cNvSpPr txBox="1"/>
                        <wps:spPr>
                          <a:xfrm>
                            <a:off x="900001" y="1080003"/>
                            <a:ext cx="1146175" cy="203200"/>
                          </a:xfrm>
                          <a:prstGeom prst="rect">
                            <a:avLst/>
                          </a:prstGeom>
                        </wps:spPr>
                        <wps:txbx>
                          <w:txbxContent>
                            <w:p>
                              <w:pPr>
                                <w:spacing w:line="320" w:lineRule="exact" w:before="0"/>
                                <w:ind w:left="0" w:right="0" w:firstLine="0"/>
                                <w:jc w:val="left"/>
                                <w:rPr>
                                  <w:b/>
                                  <w:sz w:val="32"/>
                                </w:rPr>
                              </w:pPr>
                              <w:r>
                                <w:rPr>
                                  <w:b/>
                                  <w:color w:val="004A93"/>
                                  <w:sz w:val="32"/>
                                </w:rPr>
                                <w:t>7.5 </w:t>
                              </w:r>
                              <w:r>
                                <w:rPr>
                                  <w:b/>
                                  <w:color w:val="004A93"/>
                                  <w:spacing w:val="-2"/>
                                  <w:sz w:val="32"/>
                                </w:rPr>
                                <w:t>Migration</w:t>
                              </w:r>
                            </w:p>
                          </w:txbxContent>
                        </wps:txbx>
                        <wps:bodyPr wrap="square" lIns="0" tIns="0" rIns="0" bIns="0" rtlCol="0">
                          <a:noAutofit/>
                        </wps:bodyPr>
                      </wps:wsp>
                    </wpg:wgp>
                  </a:graphicData>
                </a:graphic>
              </wp:anchor>
            </w:drawing>
          </mc:Choice>
          <mc:Fallback>
            <w:pict>
              <v:group style="position:absolute;margin-left:-.000192pt;margin-top:-.00002pt;width:595.3pt;height:101.05pt;mso-position-horizontal-relative:page;mso-position-vertical-relative:page;z-index:15950848" id="docshapegroup950" coordorigin="0,0" coordsize="11906,2021">
                <v:shape style="position:absolute;left:0;top:0;width:11906;height:1819" id="docshape951"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v:shape style="position:absolute;left:4440;top:645;width:6182;height:240" type="#_x0000_t202" id="docshape952" filled="false" stroked="false">
                  <v:textbox inset="0,0,0,0">
                    <w:txbxContent>
                      <w:p>
                        <w:pPr>
                          <w:spacing w:line="240" w:lineRule="exact" w:before="0"/>
                          <w:ind w:left="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txbxContent>
                  </v:textbox>
                  <w10:wrap type="none"/>
                </v:shape>
                <v:shape style="position:absolute;left:11069;top:636;width:446;height:280" type="#_x0000_t202" id="docshape953" filled="false" stroked="false">
                  <v:textbox inset="0,0,0,0">
                    <w:txbxContent>
                      <w:p>
                        <w:pPr>
                          <w:spacing w:line="280" w:lineRule="exact" w:before="0"/>
                          <w:ind w:left="0" w:right="0" w:firstLine="0"/>
                          <w:jc w:val="left"/>
                          <w:rPr>
                            <w:b/>
                            <w:sz w:val="28"/>
                          </w:rPr>
                        </w:pPr>
                        <w:r>
                          <w:rPr>
                            <w:b/>
                            <w:color w:val="FFFFFF"/>
                            <w:spacing w:val="-5"/>
                            <w:sz w:val="28"/>
                          </w:rPr>
                          <w:t>141</w:t>
                        </w:r>
                      </w:p>
                    </w:txbxContent>
                  </v:textbox>
                  <w10:wrap type="none"/>
                </v:shape>
                <v:shape style="position:absolute;left:1417;top:1700;width:1805;height:320" type="#_x0000_t202" id="docshape954" filled="false" stroked="false">
                  <v:textbox inset="0,0,0,0">
                    <w:txbxContent>
                      <w:p>
                        <w:pPr>
                          <w:spacing w:line="320" w:lineRule="exact" w:before="0"/>
                          <w:ind w:left="0" w:right="0" w:firstLine="0"/>
                          <w:jc w:val="left"/>
                          <w:rPr>
                            <w:b/>
                            <w:sz w:val="32"/>
                          </w:rPr>
                        </w:pPr>
                        <w:r>
                          <w:rPr>
                            <w:b/>
                            <w:color w:val="004A93"/>
                            <w:sz w:val="32"/>
                          </w:rPr>
                          <w:t>7.5 </w:t>
                        </w:r>
                        <w:r>
                          <w:rPr>
                            <w:b/>
                            <w:color w:val="004A93"/>
                            <w:spacing w:val="-2"/>
                            <w:sz w:val="32"/>
                          </w:rPr>
                          <w:t>Migration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after="1"/>
        <w:rPr>
          <w:sz w:val="20"/>
        </w:rPr>
      </w:pPr>
    </w:p>
    <w:p>
      <w:pPr>
        <w:pStyle w:val="BodyText"/>
        <w:spacing w:line="20" w:lineRule="exact"/>
        <w:ind w:left="1117"/>
        <w:rPr>
          <w:sz w:val="2"/>
        </w:rPr>
      </w:pPr>
      <w:r>
        <w:rPr>
          <w:sz w:val="2"/>
        </w:rPr>
        <mc:AlternateContent>
          <mc:Choice Requires="wps">
            <w:drawing>
              <wp:inline distT="0" distB="0" distL="0" distR="0">
                <wp:extent cx="6012180" cy="12700"/>
                <wp:effectExtent l="9525" t="0" r="0" b="6350"/>
                <wp:docPr id="1156" name="Group 1156"/>
                <wp:cNvGraphicFramePr>
                  <a:graphicFrameLocks/>
                </wp:cNvGraphicFramePr>
                <a:graphic>
                  <a:graphicData uri="http://schemas.microsoft.com/office/word/2010/wordprocessingGroup">
                    <wpg:wgp>
                      <wpg:cNvPr id="1156" name="Group 1156"/>
                      <wpg:cNvGrpSpPr/>
                      <wpg:grpSpPr>
                        <a:xfrm>
                          <a:off x="0" y="0"/>
                          <a:ext cx="6012180" cy="12700"/>
                          <a:chExt cx="6012180" cy="12700"/>
                        </a:xfrm>
                      </wpg:grpSpPr>
                      <wps:wsp>
                        <wps:cNvPr id="1157" name="Graphic 1157"/>
                        <wps:cNvSpPr/>
                        <wps:spPr>
                          <a:xfrm>
                            <a:off x="0" y="635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wpg:wgp>
                  </a:graphicData>
                </a:graphic>
              </wp:inline>
            </w:drawing>
          </mc:Choice>
          <mc:Fallback>
            <w:pict>
              <v:group style="width:473.4pt;height:1pt;mso-position-horizontal-relative:char;mso-position-vertical-relative:line" id="docshapegroup955" coordorigin="0,0" coordsize="9468,20">
                <v:line style="position:absolute" from="0,10" to="9468,10" stroked="true" strokeweight="1pt" strokecolor="#36a9e1">
                  <v:stroke dashstyle="solid"/>
                </v:line>
              </v:group>
            </w:pict>
          </mc:Fallback>
        </mc:AlternateContent>
      </w:r>
      <w:r>
        <w:rPr>
          <w:sz w:val="2"/>
        </w:rPr>
      </w:r>
    </w:p>
    <w:p>
      <w:pPr>
        <w:pStyle w:val="Heading3"/>
        <w:numPr>
          <w:ilvl w:val="2"/>
          <w:numId w:val="63"/>
        </w:numPr>
        <w:tabs>
          <w:tab w:pos="1755" w:val="left" w:leader="none"/>
        </w:tabs>
        <w:spacing w:line="336" w:lineRule="exact" w:before="213" w:after="0"/>
        <w:ind w:left="1755" w:right="0" w:hanging="638"/>
        <w:jc w:val="left"/>
      </w:pPr>
      <w:bookmarkStart w:name="7.5 Migration" w:id="225"/>
      <w:bookmarkEnd w:id="225"/>
      <w:r>
        <w:rPr>
          <w:b w:val="0"/>
        </w:rPr>
      </w:r>
      <w:bookmarkStart w:name="7.5.1 Migrants and asylum-seekers" w:id="226"/>
      <w:bookmarkEnd w:id="226"/>
      <w:r>
        <w:rPr>
          <w:b w:val="0"/>
        </w:rPr>
      </w:r>
      <w:bookmarkStart w:name="7.5.2 Victims of human trafficking" w:id="227"/>
      <w:bookmarkEnd w:id="227"/>
      <w:r>
        <w:rPr>
          <w:b w:val="0"/>
        </w:rPr>
      </w:r>
      <w:bookmarkStart w:name="_bookmark92" w:id="228"/>
      <w:bookmarkEnd w:id="228"/>
      <w:r>
        <w:rPr>
          <w:b w:val="0"/>
        </w:rPr>
      </w:r>
      <w:r>
        <w:rPr>
          <w:color w:val="004A93"/>
        </w:rPr>
        <w:t>Migrants</w:t>
      </w:r>
      <w:r>
        <w:rPr>
          <w:color w:val="004A93"/>
          <w:spacing w:val="-9"/>
        </w:rPr>
        <w:t> </w:t>
      </w:r>
      <w:r>
        <w:rPr>
          <w:color w:val="004A93"/>
        </w:rPr>
        <w:t>and</w:t>
      </w:r>
      <w:r>
        <w:rPr>
          <w:color w:val="004A93"/>
          <w:spacing w:val="-9"/>
        </w:rPr>
        <w:t> </w:t>
      </w:r>
      <w:r>
        <w:rPr>
          <w:color w:val="004A93"/>
        </w:rPr>
        <w:t>asylum-</w:t>
      </w:r>
      <w:r>
        <w:rPr>
          <w:color w:val="004A93"/>
          <w:spacing w:val="-2"/>
        </w:rPr>
        <w:t>seekers</w:t>
      </w:r>
    </w:p>
    <w:p>
      <w:pPr>
        <w:pStyle w:val="BodyText"/>
        <w:spacing w:line="336" w:lineRule="exact"/>
        <w:ind w:left="1117"/>
      </w:pPr>
      <w:r>
        <w:rPr/>
        <w:t>The</w:t>
      </w:r>
      <w:r>
        <w:rPr>
          <w:spacing w:val="-7"/>
        </w:rPr>
        <w:t> </w:t>
      </w:r>
      <w:r>
        <w:rPr/>
        <w:t>EU</w:t>
      </w:r>
      <w:r>
        <w:rPr>
          <w:spacing w:val="-6"/>
        </w:rPr>
        <w:t> </w:t>
      </w:r>
      <w:r>
        <w:rPr/>
        <w:t>has</w:t>
      </w:r>
      <w:r>
        <w:rPr>
          <w:spacing w:val="-8"/>
        </w:rPr>
        <w:t> </w:t>
      </w:r>
      <w:r>
        <w:rPr/>
        <w:t>recently</w:t>
      </w:r>
      <w:r>
        <w:rPr>
          <w:spacing w:val="-6"/>
        </w:rPr>
        <w:t> </w:t>
      </w:r>
      <w:r>
        <w:rPr/>
        <w:t>adopted</w:t>
      </w:r>
      <w:r>
        <w:rPr>
          <w:spacing w:val="-8"/>
        </w:rPr>
        <w:t> </w:t>
      </w:r>
      <w:r>
        <w:rPr/>
        <w:t>key</w:t>
      </w:r>
      <w:r>
        <w:rPr>
          <w:spacing w:val="-6"/>
        </w:rPr>
        <w:t> </w:t>
      </w:r>
      <w:r>
        <w:rPr/>
        <w:t>policies</w:t>
      </w:r>
      <w:r>
        <w:rPr>
          <w:spacing w:val="-7"/>
        </w:rPr>
        <w:t> </w:t>
      </w:r>
      <w:r>
        <w:rPr/>
        <w:t>on</w:t>
      </w:r>
      <w:r>
        <w:rPr>
          <w:spacing w:val="-8"/>
        </w:rPr>
        <w:t> </w:t>
      </w:r>
      <w:r>
        <w:rPr/>
        <w:t>migration,</w:t>
      </w:r>
      <w:r>
        <w:rPr>
          <w:spacing w:val="-6"/>
        </w:rPr>
        <w:t> </w:t>
      </w:r>
      <w:r>
        <w:rPr/>
        <w:t>listed</w:t>
      </w:r>
      <w:r>
        <w:rPr>
          <w:spacing w:val="-8"/>
        </w:rPr>
        <w:t> </w:t>
      </w:r>
      <w:r>
        <w:rPr>
          <w:spacing w:val="-2"/>
        </w:rPr>
        <w:t>below.</w:t>
      </w:r>
      <w:r>
        <w:rPr>
          <w:spacing w:val="-2"/>
          <w:vertAlign w:val="superscript"/>
        </w:rPr>
        <w:t>701</w:t>
      </w:r>
    </w:p>
    <w:p>
      <w:pPr>
        <w:pStyle w:val="ListParagraph"/>
        <w:numPr>
          <w:ilvl w:val="3"/>
          <w:numId w:val="63"/>
        </w:numPr>
        <w:tabs>
          <w:tab w:pos="1457" w:val="left" w:leader="none"/>
        </w:tabs>
        <w:spacing w:line="232" w:lineRule="auto" w:before="266" w:after="0"/>
        <w:ind w:left="1457" w:right="775" w:hanging="341"/>
        <w:jc w:val="left"/>
        <w:rPr>
          <w:sz w:val="28"/>
        </w:rPr>
      </w:pPr>
      <w:r>
        <w:rPr>
          <w:sz w:val="28"/>
        </w:rPr>
        <w:t>The adoption of a Pact on Migration and Asylum in 2020, which establishes improved</w:t>
      </w:r>
      <w:r>
        <w:rPr>
          <w:spacing w:val="-9"/>
          <w:sz w:val="28"/>
        </w:rPr>
        <w:t> </w:t>
      </w:r>
      <w:r>
        <w:rPr>
          <w:sz w:val="28"/>
        </w:rPr>
        <w:t>and</w:t>
      </w:r>
      <w:r>
        <w:rPr>
          <w:spacing w:val="-9"/>
          <w:sz w:val="28"/>
        </w:rPr>
        <w:t> </w:t>
      </w:r>
      <w:r>
        <w:rPr>
          <w:sz w:val="28"/>
        </w:rPr>
        <w:t>faster</w:t>
      </w:r>
      <w:r>
        <w:rPr>
          <w:spacing w:val="-8"/>
          <w:sz w:val="28"/>
        </w:rPr>
        <w:t> </w:t>
      </w:r>
      <w:r>
        <w:rPr>
          <w:sz w:val="28"/>
        </w:rPr>
        <w:t>asylum</w:t>
      </w:r>
      <w:r>
        <w:rPr>
          <w:spacing w:val="-8"/>
          <w:sz w:val="28"/>
        </w:rPr>
        <w:t> </w:t>
      </w:r>
      <w:r>
        <w:rPr>
          <w:sz w:val="28"/>
        </w:rPr>
        <w:t>and</w:t>
      </w:r>
      <w:r>
        <w:rPr>
          <w:spacing w:val="-9"/>
          <w:sz w:val="28"/>
        </w:rPr>
        <w:t> </w:t>
      </w:r>
      <w:r>
        <w:rPr>
          <w:sz w:val="28"/>
        </w:rPr>
        <w:t>migration</w:t>
      </w:r>
      <w:r>
        <w:rPr>
          <w:spacing w:val="-9"/>
          <w:sz w:val="28"/>
        </w:rPr>
        <w:t> </w:t>
      </w:r>
      <w:r>
        <w:rPr>
          <w:sz w:val="28"/>
        </w:rPr>
        <w:t>procedures,</w:t>
      </w:r>
      <w:r>
        <w:rPr>
          <w:spacing w:val="-8"/>
          <w:sz w:val="28"/>
        </w:rPr>
        <w:t> </w:t>
      </w:r>
      <w:r>
        <w:rPr>
          <w:sz w:val="28"/>
        </w:rPr>
        <w:t>through</w:t>
      </w:r>
      <w:r>
        <w:rPr>
          <w:spacing w:val="-9"/>
          <w:sz w:val="28"/>
        </w:rPr>
        <w:t> </w:t>
      </w:r>
      <w:r>
        <w:rPr>
          <w:sz w:val="28"/>
        </w:rPr>
        <w:t>the</w:t>
      </w:r>
      <w:r>
        <w:rPr>
          <w:spacing w:val="-8"/>
          <w:sz w:val="28"/>
        </w:rPr>
        <w:t> </w:t>
      </w:r>
      <w:r>
        <w:rPr>
          <w:sz w:val="28"/>
        </w:rPr>
        <w:t>principles</w:t>
      </w:r>
      <w:r>
        <w:rPr>
          <w:spacing w:val="-9"/>
          <w:sz w:val="28"/>
        </w:rPr>
        <w:t> </w:t>
      </w:r>
      <w:r>
        <w:rPr>
          <w:sz w:val="28"/>
        </w:rPr>
        <w:t>of fair sharing of responsibility and solidarity amongst Member States;</w:t>
      </w:r>
    </w:p>
    <w:p>
      <w:pPr>
        <w:pStyle w:val="ListParagraph"/>
        <w:numPr>
          <w:ilvl w:val="3"/>
          <w:numId w:val="63"/>
        </w:numPr>
        <w:tabs>
          <w:tab w:pos="1457" w:val="left" w:leader="none"/>
        </w:tabs>
        <w:spacing w:line="323" w:lineRule="exact" w:before="0" w:after="0"/>
        <w:ind w:left="1457" w:right="0" w:hanging="340"/>
        <w:jc w:val="left"/>
        <w:rPr>
          <w:sz w:val="28"/>
        </w:rPr>
      </w:pPr>
      <w:r>
        <w:rPr>
          <w:sz w:val="28"/>
        </w:rPr>
        <w:t>The</w:t>
      </w:r>
      <w:r>
        <w:rPr>
          <w:spacing w:val="-4"/>
          <w:sz w:val="28"/>
        </w:rPr>
        <w:t> </w:t>
      </w:r>
      <w:r>
        <w:rPr>
          <w:sz w:val="28"/>
        </w:rPr>
        <w:t>creation</w:t>
      </w:r>
      <w:r>
        <w:rPr>
          <w:spacing w:val="-4"/>
          <w:sz w:val="28"/>
        </w:rPr>
        <w:t> </w:t>
      </w:r>
      <w:r>
        <w:rPr>
          <w:sz w:val="28"/>
        </w:rPr>
        <w:t>of</w:t>
      </w:r>
      <w:r>
        <w:rPr>
          <w:spacing w:val="-4"/>
          <w:sz w:val="28"/>
        </w:rPr>
        <w:t> </w:t>
      </w:r>
      <w:r>
        <w:rPr>
          <w:sz w:val="28"/>
        </w:rPr>
        <w:t>the</w:t>
      </w:r>
      <w:r>
        <w:rPr>
          <w:spacing w:val="-3"/>
          <w:sz w:val="28"/>
        </w:rPr>
        <w:t> </w:t>
      </w:r>
      <w:r>
        <w:rPr>
          <w:sz w:val="28"/>
        </w:rPr>
        <w:t>EU</w:t>
      </w:r>
      <w:r>
        <w:rPr>
          <w:spacing w:val="-3"/>
          <w:sz w:val="28"/>
        </w:rPr>
        <w:t> </w:t>
      </w:r>
      <w:r>
        <w:rPr>
          <w:sz w:val="28"/>
        </w:rPr>
        <w:t>Agency</w:t>
      </w:r>
      <w:r>
        <w:rPr>
          <w:spacing w:val="-3"/>
          <w:sz w:val="28"/>
        </w:rPr>
        <w:t> </w:t>
      </w:r>
      <w:r>
        <w:rPr>
          <w:sz w:val="28"/>
        </w:rPr>
        <w:t>for</w:t>
      </w:r>
      <w:r>
        <w:rPr>
          <w:spacing w:val="-3"/>
          <w:sz w:val="28"/>
        </w:rPr>
        <w:t> </w:t>
      </w:r>
      <w:r>
        <w:rPr>
          <w:sz w:val="28"/>
        </w:rPr>
        <w:t>Asylum</w:t>
      </w:r>
      <w:r>
        <w:rPr>
          <w:spacing w:val="-4"/>
          <w:sz w:val="28"/>
        </w:rPr>
        <w:t> </w:t>
      </w:r>
      <w:r>
        <w:rPr>
          <w:sz w:val="28"/>
        </w:rPr>
        <w:t>in</w:t>
      </w:r>
      <w:r>
        <w:rPr>
          <w:spacing w:val="-4"/>
          <w:sz w:val="28"/>
        </w:rPr>
        <w:t> </w:t>
      </w:r>
      <w:r>
        <w:rPr>
          <w:sz w:val="28"/>
        </w:rPr>
        <w:t>2022</w:t>
      </w:r>
      <w:r>
        <w:rPr>
          <w:spacing w:val="-3"/>
          <w:sz w:val="28"/>
        </w:rPr>
        <w:t> </w:t>
      </w:r>
      <w:r>
        <w:rPr>
          <w:sz w:val="28"/>
        </w:rPr>
        <w:t>(replacing</w:t>
      </w:r>
      <w:r>
        <w:rPr>
          <w:spacing w:val="-3"/>
          <w:sz w:val="28"/>
        </w:rPr>
        <w:t> </w:t>
      </w:r>
      <w:r>
        <w:rPr>
          <w:sz w:val="28"/>
        </w:rPr>
        <w:t>the</w:t>
      </w:r>
      <w:r>
        <w:rPr>
          <w:spacing w:val="-3"/>
          <w:sz w:val="28"/>
        </w:rPr>
        <w:t> </w:t>
      </w:r>
      <w:r>
        <w:rPr>
          <w:spacing w:val="-2"/>
          <w:sz w:val="28"/>
        </w:rPr>
        <w:t>European</w:t>
      </w:r>
    </w:p>
    <w:p>
      <w:pPr>
        <w:pStyle w:val="BodyText"/>
        <w:spacing w:line="232" w:lineRule="auto" w:before="2"/>
        <w:ind w:left="1457" w:right="1087"/>
      </w:pPr>
      <w:r>
        <w:rPr/>
        <w:t>Asylum</w:t>
      </w:r>
      <w:r>
        <w:rPr>
          <w:spacing w:val="-8"/>
        </w:rPr>
        <w:t> </w:t>
      </w:r>
      <w:r>
        <w:rPr/>
        <w:t>Support</w:t>
      </w:r>
      <w:r>
        <w:rPr>
          <w:spacing w:val="-8"/>
        </w:rPr>
        <w:t> </w:t>
      </w:r>
      <w:r>
        <w:rPr/>
        <w:t>Office),</w:t>
      </w:r>
      <w:r>
        <w:rPr>
          <w:spacing w:val="-8"/>
        </w:rPr>
        <w:t> </w:t>
      </w:r>
      <w:r>
        <w:rPr/>
        <w:t>which</w:t>
      </w:r>
      <w:r>
        <w:rPr>
          <w:spacing w:val="-9"/>
        </w:rPr>
        <w:t> </w:t>
      </w:r>
      <w:r>
        <w:rPr/>
        <w:t>supports</w:t>
      </w:r>
      <w:r>
        <w:rPr>
          <w:spacing w:val="-9"/>
        </w:rPr>
        <w:t> </w:t>
      </w:r>
      <w:r>
        <w:rPr/>
        <w:t>Member</w:t>
      </w:r>
      <w:r>
        <w:rPr>
          <w:spacing w:val="-8"/>
        </w:rPr>
        <w:t> </w:t>
      </w:r>
      <w:r>
        <w:rPr/>
        <w:t>States</w:t>
      </w:r>
      <w:r>
        <w:rPr>
          <w:spacing w:val="-9"/>
        </w:rPr>
        <w:t> </w:t>
      </w:r>
      <w:r>
        <w:rPr/>
        <w:t>to</w:t>
      </w:r>
      <w:r>
        <w:rPr>
          <w:spacing w:val="-9"/>
        </w:rPr>
        <w:t> </w:t>
      </w:r>
      <w:r>
        <w:rPr/>
        <w:t>converge</w:t>
      </w:r>
      <w:r>
        <w:rPr>
          <w:spacing w:val="-8"/>
        </w:rPr>
        <w:t> </w:t>
      </w:r>
      <w:r>
        <w:rPr/>
        <w:t>their asylum and reception practices by meeting high EU standards;</w:t>
      </w:r>
    </w:p>
    <w:p>
      <w:pPr>
        <w:pStyle w:val="ListParagraph"/>
        <w:numPr>
          <w:ilvl w:val="3"/>
          <w:numId w:val="63"/>
        </w:numPr>
        <w:tabs>
          <w:tab w:pos="1457" w:val="left" w:leader="none"/>
        </w:tabs>
        <w:spacing w:line="325" w:lineRule="exact" w:before="0" w:after="0"/>
        <w:ind w:left="1457" w:right="0" w:hanging="340"/>
        <w:jc w:val="left"/>
        <w:rPr>
          <w:sz w:val="28"/>
        </w:rPr>
      </w:pPr>
      <w:r>
        <w:rPr>
          <w:sz w:val="28"/>
        </w:rPr>
        <w:t>The</w:t>
      </w:r>
      <w:r>
        <w:rPr>
          <w:spacing w:val="-7"/>
          <w:sz w:val="28"/>
        </w:rPr>
        <w:t> </w:t>
      </w:r>
      <w:r>
        <w:rPr>
          <w:sz w:val="28"/>
        </w:rPr>
        <w:t>adoption</w:t>
      </w:r>
      <w:r>
        <w:rPr>
          <w:spacing w:val="-8"/>
          <w:sz w:val="28"/>
        </w:rPr>
        <w:t> </w:t>
      </w:r>
      <w:r>
        <w:rPr>
          <w:sz w:val="28"/>
        </w:rPr>
        <w:t>of</w:t>
      </w:r>
      <w:r>
        <w:rPr>
          <w:spacing w:val="-8"/>
          <w:sz w:val="28"/>
        </w:rPr>
        <w:t> </w:t>
      </w:r>
      <w:r>
        <w:rPr>
          <w:sz w:val="28"/>
        </w:rPr>
        <w:t>an</w:t>
      </w:r>
      <w:r>
        <w:rPr>
          <w:spacing w:val="-7"/>
          <w:sz w:val="28"/>
        </w:rPr>
        <w:t> </w:t>
      </w:r>
      <w:r>
        <w:rPr>
          <w:sz w:val="28"/>
        </w:rPr>
        <w:t>EU</w:t>
      </w:r>
      <w:r>
        <w:rPr>
          <w:spacing w:val="-7"/>
          <w:sz w:val="28"/>
        </w:rPr>
        <w:t> </w:t>
      </w:r>
      <w:r>
        <w:rPr>
          <w:sz w:val="28"/>
        </w:rPr>
        <w:t>Strategy</w:t>
      </w:r>
      <w:r>
        <w:rPr>
          <w:spacing w:val="-7"/>
          <w:sz w:val="28"/>
        </w:rPr>
        <w:t> </w:t>
      </w:r>
      <w:r>
        <w:rPr>
          <w:sz w:val="28"/>
        </w:rPr>
        <w:t>on</w:t>
      </w:r>
      <w:r>
        <w:rPr>
          <w:spacing w:val="-8"/>
          <w:sz w:val="28"/>
        </w:rPr>
        <w:t> </w:t>
      </w:r>
      <w:r>
        <w:rPr>
          <w:sz w:val="28"/>
        </w:rPr>
        <w:t>voluntary</w:t>
      </w:r>
      <w:r>
        <w:rPr>
          <w:spacing w:val="-7"/>
          <w:sz w:val="28"/>
        </w:rPr>
        <w:t> </w:t>
      </w:r>
      <w:r>
        <w:rPr>
          <w:sz w:val="28"/>
        </w:rPr>
        <w:t>return</w:t>
      </w:r>
      <w:r>
        <w:rPr>
          <w:spacing w:val="-7"/>
          <w:sz w:val="28"/>
        </w:rPr>
        <w:t> </w:t>
      </w:r>
      <w:r>
        <w:rPr>
          <w:sz w:val="28"/>
        </w:rPr>
        <w:t>and</w:t>
      </w:r>
      <w:r>
        <w:rPr>
          <w:spacing w:val="-8"/>
          <w:sz w:val="28"/>
        </w:rPr>
        <w:t> </w:t>
      </w:r>
      <w:r>
        <w:rPr>
          <w:sz w:val="28"/>
        </w:rPr>
        <w:t>reintegration</w:t>
      </w:r>
      <w:r>
        <w:rPr>
          <w:spacing w:val="-8"/>
          <w:sz w:val="28"/>
        </w:rPr>
        <w:t> </w:t>
      </w:r>
      <w:r>
        <w:rPr>
          <w:sz w:val="28"/>
        </w:rPr>
        <w:t>in</w:t>
      </w:r>
      <w:r>
        <w:rPr>
          <w:spacing w:val="-8"/>
          <w:sz w:val="28"/>
        </w:rPr>
        <w:t> </w:t>
      </w:r>
      <w:r>
        <w:rPr>
          <w:spacing w:val="-2"/>
          <w:sz w:val="28"/>
        </w:rPr>
        <w:t>2021,</w:t>
      </w:r>
    </w:p>
    <w:p>
      <w:pPr>
        <w:pStyle w:val="BodyText"/>
        <w:spacing w:line="232" w:lineRule="auto" w:before="3"/>
        <w:ind w:left="1457"/>
      </w:pPr>
      <w:r>
        <w:rPr/>
        <w:t>which</w:t>
      </w:r>
      <w:r>
        <w:rPr>
          <w:spacing w:val="-5"/>
        </w:rPr>
        <w:t> </w:t>
      </w:r>
      <w:r>
        <w:rPr/>
        <w:t>aims</w:t>
      </w:r>
      <w:r>
        <w:rPr>
          <w:spacing w:val="-5"/>
        </w:rPr>
        <w:t> </w:t>
      </w:r>
      <w:r>
        <w:rPr/>
        <w:t>(inter</w:t>
      </w:r>
      <w:r>
        <w:rPr>
          <w:spacing w:val="-4"/>
        </w:rPr>
        <w:t> </w:t>
      </w:r>
      <w:r>
        <w:rPr/>
        <w:t>alia)</w:t>
      </w:r>
      <w:r>
        <w:rPr>
          <w:spacing w:val="-5"/>
        </w:rPr>
        <w:t> </w:t>
      </w:r>
      <w:r>
        <w:rPr/>
        <w:t>at</w:t>
      </w:r>
      <w:r>
        <w:rPr>
          <w:spacing w:val="-4"/>
        </w:rPr>
        <w:t> </w:t>
      </w:r>
      <w:r>
        <w:rPr/>
        <w:t>improving</w:t>
      </w:r>
      <w:r>
        <w:rPr>
          <w:spacing w:val="-4"/>
        </w:rPr>
        <w:t> </w:t>
      </w:r>
      <w:r>
        <w:rPr/>
        <w:t>the</w:t>
      </w:r>
      <w:r>
        <w:rPr>
          <w:spacing w:val="-4"/>
        </w:rPr>
        <w:t> </w:t>
      </w:r>
      <w:r>
        <w:rPr/>
        <w:t>quality</w:t>
      </w:r>
      <w:r>
        <w:rPr>
          <w:spacing w:val="-4"/>
        </w:rPr>
        <w:t> </w:t>
      </w:r>
      <w:r>
        <w:rPr/>
        <w:t>of</w:t>
      </w:r>
      <w:r>
        <w:rPr>
          <w:spacing w:val="-5"/>
        </w:rPr>
        <w:t> </w:t>
      </w:r>
      <w:r>
        <w:rPr/>
        <w:t>the</w:t>
      </w:r>
      <w:r>
        <w:rPr>
          <w:spacing w:val="-4"/>
        </w:rPr>
        <w:t> </w:t>
      </w:r>
      <w:r>
        <w:rPr/>
        <w:t>support</w:t>
      </w:r>
      <w:r>
        <w:rPr>
          <w:spacing w:val="-4"/>
        </w:rPr>
        <w:t> </w:t>
      </w:r>
      <w:r>
        <w:rPr/>
        <w:t>provided</w:t>
      </w:r>
      <w:r>
        <w:rPr>
          <w:spacing w:val="-5"/>
        </w:rPr>
        <w:t> </w:t>
      </w:r>
      <w:r>
        <w:rPr/>
        <w:t>to</w:t>
      </w:r>
      <w:r>
        <w:rPr>
          <w:spacing w:val="-5"/>
        </w:rPr>
        <w:t> </w:t>
      </w:r>
      <w:r>
        <w:rPr/>
        <w:t>the </w:t>
      </w:r>
      <w:r>
        <w:rPr>
          <w:spacing w:val="-2"/>
        </w:rPr>
        <w:t>returnees;</w:t>
      </w:r>
    </w:p>
    <w:p>
      <w:pPr>
        <w:pStyle w:val="ListParagraph"/>
        <w:numPr>
          <w:ilvl w:val="3"/>
          <w:numId w:val="63"/>
        </w:numPr>
        <w:tabs>
          <w:tab w:pos="1457" w:val="left" w:leader="none"/>
        </w:tabs>
        <w:spacing w:line="325" w:lineRule="exact" w:before="0" w:after="0"/>
        <w:ind w:left="1457" w:right="0" w:hanging="340"/>
        <w:jc w:val="left"/>
        <w:rPr>
          <w:sz w:val="28"/>
        </w:rPr>
      </w:pPr>
      <w:r>
        <w:rPr>
          <w:sz w:val="28"/>
        </w:rPr>
        <w:t>The</w:t>
      </w:r>
      <w:r>
        <w:rPr>
          <w:spacing w:val="-6"/>
          <w:sz w:val="28"/>
        </w:rPr>
        <w:t> </w:t>
      </w:r>
      <w:r>
        <w:rPr>
          <w:sz w:val="28"/>
        </w:rPr>
        <w:t>adoption</w:t>
      </w:r>
      <w:r>
        <w:rPr>
          <w:spacing w:val="-6"/>
          <w:sz w:val="28"/>
        </w:rPr>
        <w:t> </w:t>
      </w:r>
      <w:r>
        <w:rPr>
          <w:sz w:val="28"/>
        </w:rPr>
        <w:t>of</w:t>
      </w:r>
      <w:r>
        <w:rPr>
          <w:spacing w:val="-6"/>
          <w:sz w:val="28"/>
        </w:rPr>
        <w:t> </w:t>
      </w:r>
      <w:r>
        <w:rPr>
          <w:sz w:val="28"/>
        </w:rPr>
        <w:t>a</w:t>
      </w:r>
      <w:r>
        <w:rPr>
          <w:spacing w:val="-6"/>
          <w:sz w:val="28"/>
        </w:rPr>
        <w:t> </w:t>
      </w:r>
      <w:r>
        <w:rPr>
          <w:sz w:val="28"/>
        </w:rPr>
        <w:t>renewed</w:t>
      </w:r>
      <w:r>
        <w:rPr>
          <w:spacing w:val="-6"/>
          <w:sz w:val="28"/>
        </w:rPr>
        <w:t> </w:t>
      </w:r>
      <w:r>
        <w:rPr>
          <w:sz w:val="28"/>
        </w:rPr>
        <w:t>action</w:t>
      </w:r>
      <w:r>
        <w:rPr>
          <w:spacing w:val="-7"/>
          <w:sz w:val="28"/>
        </w:rPr>
        <w:t> </w:t>
      </w:r>
      <w:r>
        <w:rPr>
          <w:sz w:val="28"/>
        </w:rPr>
        <w:t>plan</w:t>
      </w:r>
      <w:r>
        <w:rPr>
          <w:spacing w:val="-6"/>
          <w:sz w:val="28"/>
        </w:rPr>
        <w:t> </w:t>
      </w:r>
      <w:r>
        <w:rPr>
          <w:sz w:val="28"/>
        </w:rPr>
        <w:t>against</w:t>
      </w:r>
      <w:r>
        <w:rPr>
          <w:spacing w:val="-5"/>
          <w:sz w:val="28"/>
        </w:rPr>
        <w:t> </w:t>
      </w:r>
      <w:r>
        <w:rPr>
          <w:sz w:val="28"/>
        </w:rPr>
        <w:t>migrant</w:t>
      </w:r>
      <w:r>
        <w:rPr>
          <w:spacing w:val="-5"/>
          <w:sz w:val="28"/>
        </w:rPr>
        <w:t> </w:t>
      </w:r>
      <w:r>
        <w:rPr>
          <w:sz w:val="28"/>
        </w:rPr>
        <w:t>smuggling</w:t>
      </w:r>
      <w:r>
        <w:rPr>
          <w:spacing w:val="-6"/>
          <w:sz w:val="28"/>
        </w:rPr>
        <w:t> </w:t>
      </w:r>
      <w:r>
        <w:rPr>
          <w:sz w:val="28"/>
        </w:rPr>
        <w:t>for</w:t>
      </w:r>
      <w:r>
        <w:rPr>
          <w:spacing w:val="-5"/>
          <w:sz w:val="28"/>
        </w:rPr>
        <w:t> </w:t>
      </w:r>
      <w:r>
        <w:rPr>
          <w:sz w:val="28"/>
        </w:rPr>
        <w:t>the</w:t>
      </w:r>
      <w:r>
        <w:rPr>
          <w:spacing w:val="-5"/>
          <w:sz w:val="28"/>
        </w:rPr>
        <w:t> </w:t>
      </w:r>
      <w:r>
        <w:rPr>
          <w:spacing w:val="-2"/>
          <w:sz w:val="28"/>
        </w:rPr>
        <w:t>period</w:t>
      </w:r>
    </w:p>
    <w:p>
      <w:pPr>
        <w:pStyle w:val="BodyText"/>
        <w:spacing w:line="232" w:lineRule="auto" w:before="2"/>
        <w:ind w:left="1457" w:right="1036"/>
      </w:pPr>
      <w:r>
        <w:rPr/>
        <w:t>2021-2025,</w:t>
      </w:r>
      <w:r>
        <w:rPr>
          <w:spacing w:val="-5"/>
        </w:rPr>
        <w:t> </w:t>
      </w:r>
      <w:r>
        <w:rPr/>
        <w:t>alongside</w:t>
      </w:r>
      <w:r>
        <w:rPr>
          <w:spacing w:val="-5"/>
        </w:rPr>
        <w:t> </w:t>
      </w:r>
      <w:r>
        <w:rPr/>
        <w:t>the</w:t>
      </w:r>
      <w:r>
        <w:rPr>
          <w:spacing w:val="-5"/>
        </w:rPr>
        <w:t> </w:t>
      </w:r>
      <w:r>
        <w:rPr/>
        <w:t>dedicated</w:t>
      </w:r>
      <w:r>
        <w:rPr>
          <w:spacing w:val="-6"/>
        </w:rPr>
        <w:t> </w:t>
      </w:r>
      <w:r>
        <w:rPr/>
        <w:t>priority</w:t>
      </w:r>
      <w:r>
        <w:rPr>
          <w:spacing w:val="-5"/>
        </w:rPr>
        <w:t> </w:t>
      </w:r>
      <w:r>
        <w:rPr/>
        <w:t>of</w:t>
      </w:r>
      <w:r>
        <w:rPr>
          <w:spacing w:val="-6"/>
        </w:rPr>
        <w:t> </w:t>
      </w:r>
      <w:r>
        <w:rPr/>
        <w:t>the</w:t>
      </w:r>
      <w:r>
        <w:rPr>
          <w:spacing w:val="-5"/>
        </w:rPr>
        <w:t> </w:t>
      </w:r>
      <w:r>
        <w:rPr/>
        <w:t>European</w:t>
      </w:r>
      <w:r>
        <w:rPr>
          <w:spacing w:val="-6"/>
        </w:rPr>
        <w:t> </w:t>
      </w:r>
      <w:r>
        <w:rPr/>
        <w:t>Multidisciplinary Platform Against Criminal Threats towards migrant smuggling for the period </w:t>
      </w:r>
      <w:r>
        <w:rPr>
          <w:spacing w:val="-2"/>
        </w:rPr>
        <w:t>2022-2025.</w:t>
      </w:r>
    </w:p>
    <w:p>
      <w:pPr>
        <w:pStyle w:val="BodyText"/>
        <w:spacing w:line="232" w:lineRule="auto" w:before="278"/>
        <w:ind w:left="1117" w:right="738"/>
      </w:pPr>
      <w:r>
        <w:rPr/>
        <w:t>Our</w:t>
      </w:r>
      <w:r>
        <w:rPr>
          <w:spacing w:val="-5"/>
        </w:rPr>
        <w:t> </w:t>
      </w:r>
      <w:r>
        <w:rPr/>
        <w:t>report</w:t>
      </w:r>
      <w:r>
        <w:rPr>
          <w:spacing w:val="-5"/>
        </w:rPr>
        <w:t> </w:t>
      </w:r>
      <w:r>
        <w:rPr/>
        <w:t>focuses</w:t>
      </w:r>
      <w:r>
        <w:rPr>
          <w:spacing w:val="-6"/>
        </w:rPr>
        <w:t> </w:t>
      </w:r>
      <w:r>
        <w:rPr/>
        <w:t>on</w:t>
      </w:r>
      <w:r>
        <w:rPr>
          <w:spacing w:val="-6"/>
        </w:rPr>
        <w:t> </w:t>
      </w:r>
      <w:r>
        <w:rPr/>
        <w:t>developments</w:t>
      </w:r>
      <w:r>
        <w:rPr>
          <w:spacing w:val="-6"/>
        </w:rPr>
        <w:t> </w:t>
      </w:r>
      <w:r>
        <w:rPr/>
        <w:t>that</w:t>
      </w:r>
      <w:r>
        <w:rPr>
          <w:spacing w:val="-5"/>
        </w:rPr>
        <w:t> </w:t>
      </w:r>
      <w:r>
        <w:rPr/>
        <w:t>occurred</w:t>
      </w:r>
      <w:r>
        <w:rPr>
          <w:spacing w:val="-6"/>
        </w:rPr>
        <w:t> </w:t>
      </w:r>
      <w:r>
        <w:rPr/>
        <w:t>between</w:t>
      </w:r>
      <w:r>
        <w:rPr>
          <w:spacing w:val="-6"/>
        </w:rPr>
        <w:t> </w:t>
      </w:r>
      <w:r>
        <w:rPr/>
        <w:t>1</w:t>
      </w:r>
      <w:r>
        <w:rPr>
          <w:spacing w:val="-5"/>
        </w:rPr>
        <w:t> </w:t>
      </w:r>
      <w:r>
        <w:rPr/>
        <w:t>January</w:t>
      </w:r>
      <w:r>
        <w:rPr>
          <w:spacing w:val="-5"/>
        </w:rPr>
        <w:t> </w:t>
      </w:r>
      <w:r>
        <w:rPr/>
        <w:t>2022</w:t>
      </w:r>
      <w:r>
        <w:rPr>
          <w:spacing w:val="-5"/>
        </w:rPr>
        <w:t> </w:t>
      </w:r>
      <w:r>
        <w:rPr/>
        <w:t>and</w:t>
      </w:r>
      <w:r>
        <w:rPr>
          <w:spacing w:val="-6"/>
        </w:rPr>
        <w:t> </w:t>
      </w:r>
      <w:r>
        <w:rPr/>
        <w:t>31 August 2023 and these policies were adopted between 2020 and 2022. However, they highlight priority areas in which one can expect particularly dynamic EU protection (including legislative developments) – some of which could protect migrants and asylum-seekers by improving reception standards across EU Member States, speeding up administrative procedures, and combatting smuggling.</w:t>
      </w:r>
    </w:p>
    <w:p>
      <w:pPr>
        <w:pStyle w:val="BodyText"/>
        <w:spacing w:line="232" w:lineRule="auto"/>
        <w:ind w:left="1117"/>
      </w:pPr>
      <w:r>
        <w:rPr/>
        <w:t>Furthermore,</w:t>
      </w:r>
      <w:r>
        <w:rPr>
          <w:spacing w:val="-5"/>
        </w:rPr>
        <w:t> </w:t>
      </w:r>
      <w:r>
        <w:rPr/>
        <w:t>no</w:t>
      </w:r>
      <w:r>
        <w:rPr>
          <w:spacing w:val="-6"/>
        </w:rPr>
        <w:t> </w:t>
      </w:r>
      <w:r>
        <w:rPr/>
        <w:t>end</w:t>
      </w:r>
      <w:r>
        <w:rPr>
          <w:spacing w:val="-6"/>
        </w:rPr>
        <w:t> </w:t>
      </w:r>
      <w:r>
        <w:rPr/>
        <w:t>date</w:t>
      </w:r>
      <w:r>
        <w:rPr>
          <w:spacing w:val="-5"/>
        </w:rPr>
        <w:t> </w:t>
      </w:r>
      <w:r>
        <w:rPr/>
        <w:t>has</w:t>
      </w:r>
      <w:r>
        <w:rPr>
          <w:spacing w:val="-6"/>
        </w:rPr>
        <w:t> </w:t>
      </w:r>
      <w:r>
        <w:rPr/>
        <w:t>been</w:t>
      </w:r>
      <w:r>
        <w:rPr>
          <w:spacing w:val="-6"/>
        </w:rPr>
        <w:t> </w:t>
      </w:r>
      <w:r>
        <w:rPr/>
        <w:t>set</w:t>
      </w:r>
      <w:r>
        <w:rPr>
          <w:spacing w:val="-5"/>
        </w:rPr>
        <w:t> </w:t>
      </w:r>
      <w:r>
        <w:rPr/>
        <w:t>for</w:t>
      </w:r>
      <w:r>
        <w:rPr>
          <w:spacing w:val="-5"/>
        </w:rPr>
        <w:t> </w:t>
      </w:r>
      <w:r>
        <w:rPr/>
        <w:t>the</w:t>
      </w:r>
      <w:r>
        <w:rPr>
          <w:spacing w:val="-5"/>
        </w:rPr>
        <w:t> </w:t>
      </w:r>
      <w:r>
        <w:rPr/>
        <w:t>operationalisation</w:t>
      </w:r>
      <w:r>
        <w:rPr>
          <w:spacing w:val="-6"/>
        </w:rPr>
        <w:t> </w:t>
      </w:r>
      <w:r>
        <w:rPr/>
        <w:t>of</w:t>
      </w:r>
      <w:r>
        <w:rPr>
          <w:spacing w:val="-6"/>
        </w:rPr>
        <w:t> </w:t>
      </w:r>
      <w:r>
        <w:rPr/>
        <w:t>most</w:t>
      </w:r>
      <w:r>
        <w:rPr>
          <w:spacing w:val="-5"/>
        </w:rPr>
        <w:t> </w:t>
      </w:r>
      <w:r>
        <w:rPr/>
        <w:t>of</w:t>
      </w:r>
      <w:r>
        <w:rPr>
          <w:spacing w:val="-6"/>
        </w:rPr>
        <w:t> </w:t>
      </w:r>
      <w:r>
        <w:rPr/>
        <w:t>these </w:t>
      </w:r>
      <w:r>
        <w:rPr>
          <w:spacing w:val="-2"/>
        </w:rPr>
        <w:t>developments.</w:t>
      </w:r>
    </w:p>
    <w:p>
      <w:pPr>
        <w:pStyle w:val="BodyText"/>
        <w:spacing w:line="232" w:lineRule="auto" w:before="272"/>
        <w:ind w:left="1117" w:right="1087"/>
      </w:pPr>
      <w:r>
        <w:rPr/>
        <w:t>We note that nationality, immigration and asylum represent excepted matters reserved</w:t>
      </w:r>
      <w:r>
        <w:rPr>
          <w:spacing w:val="-16"/>
        </w:rPr>
        <w:t> </w:t>
      </w:r>
      <w:r>
        <w:rPr/>
        <w:t>to</w:t>
      </w:r>
      <w:r>
        <w:rPr>
          <w:spacing w:val="-15"/>
        </w:rPr>
        <w:t> </w:t>
      </w:r>
      <w:r>
        <w:rPr/>
        <w:t>Westminster.</w:t>
      </w:r>
      <w:r>
        <w:rPr>
          <w:spacing w:val="-16"/>
        </w:rPr>
        <w:t> </w:t>
      </w:r>
      <w:r>
        <w:rPr/>
        <w:t>However,</w:t>
      </w:r>
      <w:r>
        <w:rPr>
          <w:spacing w:val="-15"/>
        </w:rPr>
        <w:t> </w:t>
      </w:r>
      <w:r>
        <w:rPr/>
        <w:t>concerns</w:t>
      </w:r>
      <w:r>
        <w:rPr>
          <w:spacing w:val="-16"/>
        </w:rPr>
        <w:t> </w:t>
      </w:r>
      <w:r>
        <w:rPr/>
        <w:t>have</w:t>
      </w:r>
      <w:r>
        <w:rPr>
          <w:spacing w:val="-15"/>
        </w:rPr>
        <w:t> </w:t>
      </w:r>
      <w:r>
        <w:rPr/>
        <w:t>been</w:t>
      </w:r>
      <w:r>
        <w:rPr>
          <w:spacing w:val="-16"/>
        </w:rPr>
        <w:t> </w:t>
      </w:r>
      <w:r>
        <w:rPr/>
        <w:t>raised</w:t>
      </w:r>
      <w:r>
        <w:rPr>
          <w:spacing w:val="-15"/>
        </w:rPr>
        <w:t> </w:t>
      </w:r>
      <w:r>
        <w:rPr/>
        <w:t>regarding</w:t>
      </w:r>
      <w:r>
        <w:rPr>
          <w:spacing w:val="-15"/>
        </w:rPr>
        <w:t> </w:t>
      </w:r>
      <w:r>
        <w:rPr/>
        <w:t>the</w:t>
      </w:r>
      <w:r>
        <w:rPr>
          <w:spacing w:val="-15"/>
        </w:rPr>
        <w:t> </w:t>
      </w:r>
      <w:r>
        <w:rPr/>
        <w:t>UK adoption of the Safety of Rwanda (Asylum and Immigration) Act, which would allow the UK to remove asylum-seekers to Rwanda, as this would amount to</w:t>
      </w:r>
    </w:p>
    <w:p>
      <w:pPr>
        <w:pStyle w:val="BodyText"/>
        <w:spacing w:line="232" w:lineRule="auto"/>
        <w:ind w:left="1117" w:right="1087"/>
      </w:pPr>
      <w:r>
        <w:rPr/>
        <w:t>a</w:t>
      </w:r>
      <w:r>
        <w:rPr>
          <w:spacing w:val="-6"/>
        </w:rPr>
        <w:t> </w:t>
      </w:r>
      <w:r>
        <w:rPr/>
        <w:t>breach</w:t>
      </w:r>
      <w:r>
        <w:rPr>
          <w:spacing w:val="-6"/>
        </w:rPr>
        <w:t> </w:t>
      </w:r>
      <w:r>
        <w:rPr/>
        <w:t>of</w:t>
      </w:r>
      <w:r>
        <w:rPr>
          <w:spacing w:val="-6"/>
        </w:rPr>
        <w:t> </w:t>
      </w:r>
      <w:r>
        <w:rPr/>
        <w:t>the</w:t>
      </w:r>
      <w:r>
        <w:rPr>
          <w:spacing w:val="-5"/>
        </w:rPr>
        <w:t> </w:t>
      </w:r>
      <w:r>
        <w:rPr/>
        <w:t>principle</w:t>
      </w:r>
      <w:r>
        <w:rPr>
          <w:spacing w:val="-5"/>
        </w:rPr>
        <w:t> </w:t>
      </w:r>
      <w:r>
        <w:rPr/>
        <w:t>of</w:t>
      </w:r>
      <w:r>
        <w:rPr>
          <w:spacing w:val="-6"/>
        </w:rPr>
        <w:t> </w:t>
      </w:r>
      <w:r>
        <w:rPr/>
        <w:t>non-refoulement;</w:t>
      </w:r>
      <w:r>
        <w:rPr>
          <w:spacing w:val="-5"/>
        </w:rPr>
        <w:t> </w:t>
      </w:r>
      <w:r>
        <w:rPr/>
        <w:t>see</w:t>
      </w:r>
      <w:r>
        <w:rPr>
          <w:spacing w:val="-5"/>
        </w:rPr>
        <w:t> </w:t>
      </w:r>
      <w:r>
        <w:rPr/>
        <w:t>further</w:t>
      </w:r>
      <w:r>
        <w:rPr>
          <w:spacing w:val="-5"/>
        </w:rPr>
        <w:t> </w:t>
      </w:r>
      <w:r>
        <w:rPr/>
        <w:t>chapter</w:t>
      </w:r>
      <w:r>
        <w:rPr>
          <w:spacing w:val="-5"/>
        </w:rPr>
        <w:t> </w:t>
      </w:r>
      <w:r>
        <w:rPr/>
        <w:t>two</w:t>
      </w:r>
      <w:r>
        <w:rPr>
          <w:spacing w:val="-6"/>
        </w:rPr>
        <w:t> </w:t>
      </w:r>
      <w:r>
        <w:rPr/>
        <w:t>and chapter five.</w:t>
      </w:r>
    </w:p>
    <w:p>
      <w:pPr>
        <w:pStyle w:val="BodyText"/>
        <w:spacing w:before="47"/>
      </w:pPr>
    </w:p>
    <w:p>
      <w:pPr>
        <w:pStyle w:val="Heading3"/>
        <w:numPr>
          <w:ilvl w:val="2"/>
          <w:numId w:val="63"/>
        </w:numPr>
        <w:tabs>
          <w:tab w:pos="1755" w:val="left" w:leader="none"/>
        </w:tabs>
        <w:spacing w:line="336" w:lineRule="exact" w:before="0" w:after="0"/>
        <w:ind w:left="1755" w:right="0" w:hanging="638"/>
        <w:jc w:val="left"/>
      </w:pPr>
      <w:r>
        <w:rPr>
          <w:color w:val="004A93"/>
        </w:rPr>
        <w:t>Victims</w:t>
      </w:r>
      <w:r>
        <w:rPr>
          <w:color w:val="004A93"/>
          <w:spacing w:val="-4"/>
        </w:rPr>
        <w:t> </w:t>
      </w:r>
      <w:r>
        <w:rPr>
          <w:color w:val="004A93"/>
        </w:rPr>
        <w:t>of</w:t>
      </w:r>
      <w:r>
        <w:rPr>
          <w:color w:val="004A93"/>
          <w:spacing w:val="-4"/>
        </w:rPr>
        <w:t> </w:t>
      </w:r>
      <w:r>
        <w:rPr>
          <w:color w:val="004A93"/>
        </w:rPr>
        <w:t>human</w:t>
      </w:r>
      <w:r>
        <w:rPr>
          <w:color w:val="004A93"/>
          <w:spacing w:val="-3"/>
        </w:rPr>
        <w:t> </w:t>
      </w:r>
      <w:r>
        <w:rPr>
          <w:color w:val="004A93"/>
          <w:spacing w:val="-2"/>
        </w:rPr>
        <w:t>trafficking</w:t>
      </w:r>
    </w:p>
    <w:p>
      <w:pPr>
        <w:pStyle w:val="BodyText"/>
        <w:spacing w:line="232" w:lineRule="auto" w:before="2"/>
        <w:ind w:left="1117" w:right="978"/>
      </w:pPr>
      <w:r>
        <w:rPr/>
        <w:t>In 2021, the EU adopted a Strategy on Combatting Trafficking in Human Beings (2021-2025),</w:t>
      </w:r>
      <w:r>
        <w:rPr>
          <w:vertAlign w:val="superscript"/>
        </w:rPr>
        <w:t>702</w:t>
      </w:r>
      <w:r>
        <w:rPr>
          <w:spacing w:val="-11"/>
          <w:vertAlign w:val="baseline"/>
        </w:rPr>
        <w:t> </w:t>
      </w:r>
      <w:r>
        <w:rPr>
          <w:vertAlign w:val="baseline"/>
        </w:rPr>
        <w:t>closely</w:t>
      </w:r>
      <w:r>
        <w:rPr>
          <w:spacing w:val="-10"/>
          <w:vertAlign w:val="baseline"/>
        </w:rPr>
        <w:t> </w:t>
      </w:r>
      <w:r>
        <w:rPr>
          <w:vertAlign w:val="baseline"/>
        </w:rPr>
        <w:t>linked</w:t>
      </w:r>
      <w:r>
        <w:rPr>
          <w:spacing w:val="-11"/>
          <w:vertAlign w:val="baseline"/>
        </w:rPr>
        <w:t> </w:t>
      </w:r>
      <w:r>
        <w:rPr>
          <w:vertAlign w:val="baseline"/>
        </w:rPr>
        <w:t>to</w:t>
      </w:r>
      <w:r>
        <w:rPr>
          <w:spacing w:val="-11"/>
          <w:vertAlign w:val="baseline"/>
        </w:rPr>
        <w:t> </w:t>
      </w:r>
      <w:r>
        <w:rPr>
          <w:vertAlign w:val="baseline"/>
        </w:rPr>
        <w:t>the</w:t>
      </w:r>
      <w:r>
        <w:rPr>
          <w:spacing w:val="-10"/>
          <w:vertAlign w:val="baseline"/>
        </w:rPr>
        <w:t> </w:t>
      </w:r>
      <w:r>
        <w:rPr>
          <w:vertAlign w:val="baseline"/>
        </w:rPr>
        <w:t>EU</w:t>
      </w:r>
      <w:r>
        <w:rPr>
          <w:spacing w:val="-10"/>
          <w:vertAlign w:val="baseline"/>
        </w:rPr>
        <w:t> </w:t>
      </w:r>
      <w:r>
        <w:rPr>
          <w:vertAlign w:val="baseline"/>
        </w:rPr>
        <w:t>Strategy</w:t>
      </w:r>
      <w:r>
        <w:rPr>
          <w:spacing w:val="-10"/>
          <w:vertAlign w:val="baseline"/>
        </w:rPr>
        <w:t> </w:t>
      </w:r>
      <w:r>
        <w:rPr>
          <w:vertAlign w:val="baseline"/>
        </w:rPr>
        <w:t>to</w:t>
      </w:r>
      <w:r>
        <w:rPr>
          <w:spacing w:val="-11"/>
          <w:vertAlign w:val="baseline"/>
        </w:rPr>
        <w:t> </w:t>
      </w:r>
      <w:r>
        <w:rPr>
          <w:vertAlign w:val="baseline"/>
        </w:rPr>
        <w:t>Tackle</w:t>
      </w:r>
      <w:r>
        <w:rPr>
          <w:spacing w:val="-10"/>
          <w:vertAlign w:val="baseline"/>
        </w:rPr>
        <w:t> </w:t>
      </w:r>
      <w:r>
        <w:rPr>
          <w:vertAlign w:val="baseline"/>
        </w:rPr>
        <w:t>Organised</w:t>
      </w:r>
      <w:r>
        <w:rPr>
          <w:spacing w:val="-11"/>
          <w:vertAlign w:val="baseline"/>
        </w:rPr>
        <w:t> </w:t>
      </w:r>
      <w:r>
        <w:rPr>
          <w:vertAlign w:val="baseline"/>
        </w:rPr>
        <w:t>Crime</w:t>
      </w:r>
      <w:r>
        <w:rPr>
          <w:spacing w:val="-10"/>
          <w:vertAlign w:val="baseline"/>
        </w:rPr>
        <w:t> </w:t>
      </w:r>
      <w:r>
        <w:rPr>
          <w:vertAlign w:val="baseline"/>
        </w:rPr>
        <w:t>(2021- 2025). This strategy aims at providing a comprehensive response to the crime of human</w:t>
      </w:r>
      <w:r>
        <w:rPr>
          <w:spacing w:val="-11"/>
          <w:vertAlign w:val="baseline"/>
        </w:rPr>
        <w:t> </w:t>
      </w:r>
      <w:r>
        <w:rPr>
          <w:vertAlign w:val="baseline"/>
        </w:rPr>
        <w:t>trafficking</w:t>
      </w:r>
      <w:r>
        <w:rPr>
          <w:spacing w:val="-10"/>
          <w:vertAlign w:val="baseline"/>
        </w:rPr>
        <w:t> </w:t>
      </w:r>
      <w:r>
        <w:rPr>
          <w:vertAlign w:val="baseline"/>
        </w:rPr>
        <w:t>to</w:t>
      </w:r>
      <w:r>
        <w:rPr>
          <w:spacing w:val="-11"/>
          <w:vertAlign w:val="baseline"/>
        </w:rPr>
        <w:t> </w:t>
      </w:r>
      <w:r>
        <w:rPr>
          <w:vertAlign w:val="baseline"/>
        </w:rPr>
        <w:t>better</w:t>
      </w:r>
      <w:r>
        <w:rPr>
          <w:spacing w:val="-10"/>
          <w:vertAlign w:val="baseline"/>
        </w:rPr>
        <w:t> </w:t>
      </w:r>
      <w:r>
        <w:rPr>
          <w:vertAlign w:val="baseline"/>
        </w:rPr>
        <w:t>protect</w:t>
      </w:r>
      <w:r>
        <w:rPr>
          <w:spacing w:val="-10"/>
          <w:vertAlign w:val="baseline"/>
        </w:rPr>
        <w:t> </w:t>
      </w:r>
      <w:r>
        <w:rPr>
          <w:vertAlign w:val="baseline"/>
        </w:rPr>
        <w:t>its</w:t>
      </w:r>
      <w:r>
        <w:rPr>
          <w:spacing w:val="-11"/>
          <w:vertAlign w:val="baseline"/>
        </w:rPr>
        <w:t> </w:t>
      </w:r>
      <w:r>
        <w:rPr>
          <w:vertAlign w:val="baseline"/>
        </w:rPr>
        <w:t>victims</w:t>
      </w:r>
      <w:r>
        <w:rPr>
          <w:spacing w:val="-11"/>
          <w:vertAlign w:val="baseline"/>
        </w:rPr>
        <w:t> </w:t>
      </w:r>
      <w:r>
        <w:rPr>
          <w:vertAlign w:val="baseline"/>
        </w:rPr>
        <w:t>through</w:t>
      </w:r>
      <w:r>
        <w:rPr>
          <w:spacing w:val="-11"/>
          <w:vertAlign w:val="baseline"/>
        </w:rPr>
        <w:t> </w:t>
      </w:r>
      <w:r>
        <w:rPr>
          <w:vertAlign w:val="baseline"/>
        </w:rPr>
        <w:t>prevention,</w:t>
      </w:r>
      <w:r>
        <w:rPr>
          <w:spacing w:val="-10"/>
          <w:vertAlign w:val="baseline"/>
        </w:rPr>
        <w:t> </w:t>
      </w:r>
      <w:r>
        <w:rPr>
          <w:vertAlign w:val="baseline"/>
        </w:rPr>
        <w:t>protection</w:t>
      </w:r>
      <w:r>
        <w:rPr>
          <w:spacing w:val="-11"/>
          <w:vertAlign w:val="baseline"/>
        </w:rPr>
        <w:t> </w:t>
      </w:r>
      <w:r>
        <w:rPr>
          <w:vertAlign w:val="baseline"/>
        </w:rPr>
        <w:t>and empowerment. Its four objectives are listed below:</w:t>
      </w:r>
    </w:p>
    <w:p>
      <w:pPr>
        <w:pStyle w:val="BodyText"/>
        <w:spacing w:before="5"/>
        <w:rPr>
          <w:sz w:val="14"/>
        </w:rPr>
      </w:pPr>
      <w:r>
        <w:rPr/>
        <mc:AlternateContent>
          <mc:Choice Requires="wps">
            <w:drawing>
              <wp:anchor distT="0" distB="0" distL="0" distR="0" allowOverlap="1" layoutInCell="1" locked="0" behindDoc="1" simplePos="0" relativeHeight="487809536">
                <wp:simplePos x="0" y="0"/>
                <wp:positionH relativeFrom="page">
                  <wp:posOffset>899999</wp:posOffset>
                </wp:positionH>
                <wp:positionV relativeFrom="paragraph">
                  <wp:posOffset>127494</wp:posOffset>
                </wp:positionV>
                <wp:extent cx="6012180" cy="1270"/>
                <wp:effectExtent l="0" t="0" r="0" b="0"/>
                <wp:wrapTopAndBottom/>
                <wp:docPr id="1158" name="Graphic 1158"/>
                <wp:cNvGraphicFramePr>
                  <a:graphicFrameLocks/>
                </wp:cNvGraphicFramePr>
                <a:graphic>
                  <a:graphicData uri="http://schemas.microsoft.com/office/word/2010/wordprocessingShape">
                    <wps:wsp>
                      <wps:cNvPr id="1158" name="Graphic 1158"/>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0.038909pt;width:473.4pt;height:.1pt;mso-position-horizontal-relative:page;mso-position-vertical-relative:paragraph;z-index:-15506944;mso-wrap-distance-left:0;mso-wrap-distance-right:0" id="docshape956" coordorigin="1417,201" coordsize="9468,0" path="m1417,201l10885,201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z w:val="18"/>
        </w:rPr>
        <w:t>European</w:t>
      </w:r>
      <w:r>
        <w:rPr>
          <w:spacing w:val="-5"/>
          <w:sz w:val="18"/>
        </w:rPr>
        <w:t> </w:t>
      </w:r>
      <w:r>
        <w:rPr>
          <w:sz w:val="18"/>
        </w:rPr>
        <w:t>Commission,</w:t>
      </w:r>
      <w:r>
        <w:rPr>
          <w:spacing w:val="-5"/>
          <w:sz w:val="18"/>
        </w:rPr>
        <w:t> </w:t>
      </w:r>
      <w:r>
        <w:rPr>
          <w:color w:val="1D71B8"/>
          <w:sz w:val="18"/>
          <w:u w:val="single" w:color="1D71B8"/>
        </w:rPr>
        <w:t>Migration</w:t>
      </w:r>
      <w:r>
        <w:rPr>
          <w:color w:val="1D71B8"/>
          <w:spacing w:val="-5"/>
          <w:sz w:val="18"/>
          <w:u w:val="single" w:color="1D71B8"/>
        </w:rPr>
        <w:t> </w:t>
      </w:r>
      <w:r>
        <w:rPr>
          <w:color w:val="1D71B8"/>
          <w:sz w:val="18"/>
          <w:u w:val="single" w:color="1D71B8"/>
        </w:rPr>
        <w:t>and</w:t>
      </w:r>
      <w:r>
        <w:rPr>
          <w:color w:val="1D71B8"/>
          <w:spacing w:val="-5"/>
          <w:sz w:val="18"/>
          <w:u w:val="single" w:color="1D71B8"/>
        </w:rPr>
        <w:t> </w:t>
      </w:r>
      <w:r>
        <w:rPr>
          <w:color w:val="1D71B8"/>
          <w:sz w:val="18"/>
          <w:u w:val="single" w:color="1D71B8"/>
        </w:rPr>
        <w:t>Home</w:t>
      </w:r>
      <w:r>
        <w:rPr>
          <w:color w:val="1D71B8"/>
          <w:spacing w:val="-4"/>
          <w:sz w:val="18"/>
          <w:u w:val="single" w:color="1D71B8"/>
        </w:rPr>
        <w:t> </w:t>
      </w:r>
      <w:r>
        <w:rPr>
          <w:color w:val="1D71B8"/>
          <w:spacing w:val="-2"/>
          <w:sz w:val="18"/>
          <w:u w:val="single" w:color="1D71B8"/>
        </w:rPr>
        <w:t>Affairs</w:t>
      </w:r>
      <w:r>
        <w:rPr>
          <w:spacing w:val="-2"/>
          <w:sz w:val="18"/>
          <w:u w:val="none"/>
        </w:rPr>
        <w:t>.</w:t>
      </w:r>
    </w:p>
    <w:p>
      <w:pPr>
        <w:pStyle w:val="ListParagraph"/>
        <w:numPr>
          <w:ilvl w:val="0"/>
          <w:numId w:val="51"/>
        </w:numPr>
        <w:tabs>
          <w:tab w:pos="1684" w:val="left" w:leader="none"/>
        </w:tabs>
        <w:spacing w:line="240" w:lineRule="auto" w:before="1" w:after="0"/>
        <w:ind w:left="1684" w:right="0" w:hanging="567"/>
        <w:jc w:val="left"/>
        <w:rPr>
          <w:sz w:val="18"/>
        </w:rPr>
      </w:pPr>
      <w:r>
        <w:rPr>
          <w:sz w:val="18"/>
        </w:rPr>
        <w:t>European</w:t>
      </w:r>
      <w:r>
        <w:rPr>
          <w:spacing w:val="-9"/>
          <w:sz w:val="18"/>
        </w:rPr>
        <w:t> </w:t>
      </w:r>
      <w:r>
        <w:rPr>
          <w:sz w:val="18"/>
        </w:rPr>
        <w:t>Commission,</w:t>
      </w:r>
      <w:r>
        <w:rPr>
          <w:spacing w:val="-8"/>
          <w:sz w:val="18"/>
        </w:rPr>
        <w:t> </w:t>
      </w:r>
      <w:r>
        <w:rPr>
          <w:color w:val="1D71B8"/>
          <w:sz w:val="18"/>
          <w:u w:val="single" w:color="1D71B8"/>
        </w:rPr>
        <w:t>EU</w:t>
      </w:r>
      <w:r>
        <w:rPr>
          <w:color w:val="1D71B8"/>
          <w:spacing w:val="-7"/>
          <w:sz w:val="18"/>
          <w:u w:val="single" w:color="1D71B8"/>
        </w:rPr>
        <w:t> </w:t>
      </w:r>
      <w:r>
        <w:rPr>
          <w:color w:val="1D71B8"/>
          <w:sz w:val="18"/>
          <w:u w:val="single" w:color="1D71B8"/>
        </w:rPr>
        <w:t>Strategy</w:t>
      </w:r>
      <w:r>
        <w:rPr>
          <w:color w:val="1D71B8"/>
          <w:spacing w:val="-7"/>
          <w:sz w:val="18"/>
          <w:u w:val="single" w:color="1D71B8"/>
        </w:rPr>
        <w:t> </w:t>
      </w:r>
      <w:r>
        <w:rPr>
          <w:color w:val="1D71B8"/>
          <w:sz w:val="18"/>
          <w:u w:val="single" w:color="1D71B8"/>
        </w:rPr>
        <w:t>on</w:t>
      </w:r>
      <w:r>
        <w:rPr>
          <w:color w:val="1D71B8"/>
          <w:spacing w:val="-8"/>
          <w:sz w:val="18"/>
          <w:u w:val="single" w:color="1D71B8"/>
        </w:rPr>
        <w:t> </w:t>
      </w:r>
      <w:r>
        <w:rPr>
          <w:color w:val="1D71B8"/>
          <w:sz w:val="18"/>
          <w:u w:val="single" w:color="1D71B8"/>
        </w:rPr>
        <w:t>Combatting</w:t>
      </w:r>
      <w:r>
        <w:rPr>
          <w:color w:val="1D71B8"/>
          <w:spacing w:val="-7"/>
          <w:sz w:val="18"/>
          <w:u w:val="single" w:color="1D71B8"/>
        </w:rPr>
        <w:t> </w:t>
      </w:r>
      <w:r>
        <w:rPr>
          <w:color w:val="1D71B8"/>
          <w:sz w:val="18"/>
          <w:u w:val="single" w:color="1D71B8"/>
        </w:rPr>
        <w:t>Trafficking</w:t>
      </w:r>
      <w:r>
        <w:rPr>
          <w:color w:val="1D71B8"/>
          <w:spacing w:val="-7"/>
          <w:sz w:val="18"/>
          <w:u w:val="single" w:color="1D71B8"/>
        </w:rPr>
        <w:t> </w:t>
      </w:r>
      <w:r>
        <w:rPr>
          <w:color w:val="1D71B8"/>
          <w:sz w:val="18"/>
          <w:u w:val="single" w:color="1D71B8"/>
        </w:rPr>
        <w:t>in</w:t>
      </w:r>
      <w:r>
        <w:rPr>
          <w:color w:val="1D71B8"/>
          <w:spacing w:val="-8"/>
          <w:sz w:val="18"/>
          <w:u w:val="single" w:color="1D71B8"/>
        </w:rPr>
        <w:t> </w:t>
      </w:r>
      <w:r>
        <w:rPr>
          <w:color w:val="1D71B8"/>
          <w:sz w:val="18"/>
          <w:u w:val="single" w:color="1D71B8"/>
        </w:rPr>
        <w:t>Human</w:t>
      </w:r>
      <w:r>
        <w:rPr>
          <w:color w:val="1D71B8"/>
          <w:spacing w:val="-8"/>
          <w:sz w:val="18"/>
          <w:u w:val="single" w:color="1D71B8"/>
        </w:rPr>
        <w:t> </w:t>
      </w:r>
      <w:r>
        <w:rPr>
          <w:color w:val="1D71B8"/>
          <w:sz w:val="18"/>
          <w:u w:val="single" w:color="1D71B8"/>
        </w:rPr>
        <w:t>Beings</w:t>
      </w:r>
      <w:r>
        <w:rPr>
          <w:color w:val="1D71B8"/>
          <w:spacing w:val="-8"/>
          <w:sz w:val="18"/>
          <w:u w:val="single" w:color="1D71B8"/>
        </w:rPr>
        <w:t> </w:t>
      </w:r>
      <w:r>
        <w:rPr>
          <w:color w:val="1D71B8"/>
          <w:sz w:val="18"/>
          <w:u w:val="single" w:color="1D71B8"/>
        </w:rPr>
        <w:t>(2021-</w:t>
      </w:r>
      <w:r>
        <w:rPr>
          <w:color w:val="1D71B8"/>
          <w:spacing w:val="-2"/>
          <w:sz w:val="18"/>
          <w:u w:val="single" w:color="1D71B8"/>
        </w:rPr>
        <w:t>2025).</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28768">
                <wp:simplePos x="0" y="0"/>
                <wp:positionH relativeFrom="page">
                  <wp:posOffset>0</wp:posOffset>
                </wp:positionH>
                <wp:positionV relativeFrom="page">
                  <wp:posOffset>0</wp:posOffset>
                </wp:positionV>
                <wp:extent cx="7560309" cy="1155065"/>
                <wp:effectExtent l="0" t="0" r="0" b="0"/>
                <wp:wrapNone/>
                <wp:docPr id="1159" name="Group 1159"/>
                <wp:cNvGraphicFramePr>
                  <a:graphicFrameLocks/>
                </wp:cNvGraphicFramePr>
                <a:graphic>
                  <a:graphicData uri="http://schemas.microsoft.com/office/word/2010/wordprocessingGroup">
                    <wpg:wgp>
                      <wpg:cNvPr id="1159" name="Group 1159"/>
                      <wpg:cNvGrpSpPr/>
                      <wpg:grpSpPr>
                        <a:xfrm>
                          <a:off x="0" y="0"/>
                          <a:ext cx="7560309" cy="1155065"/>
                          <a:chExt cx="7560309" cy="1155065"/>
                        </a:xfrm>
                      </wpg:grpSpPr>
                      <wps:wsp>
                        <wps:cNvPr id="1160" name="Graphic 1160"/>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161" name="Graphic 1161"/>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187712" id="docshapegroup957" coordorigin="0,0" coordsize="11906,1819">
                <v:shape style="position:absolute;left:0;top:0;width:11906;height:1819" id="docshape95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bookmarkStart w:name="7.6 Conclusion" w:id="229"/>
      <w:bookmarkEnd w:id="229"/>
      <w:r>
        <w:rPr/>
      </w:r>
      <w:bookmarkStart w:name="_bookmark93" w:id="230"/>
      <w:bookmarkEnd w:id="230"/>
      <w:r>
        <w:rPr/>
      </w:r>
      <w:r>
        <w:rPr>
          <w:b/>
          <w:color w:val="FFFFFF"/>
          <w:spacing w:val="-5"/>
          <w:position w:val="-1"/>
          <w:sz w:val="28"/>
        </w:rPr>
        <w:t>142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26"/>
        <w:rPr>
          <w:b/>
        </w:rPr>
      </w:pPr>
    </w:p>
    <w:p>
      <w:pPr>
        <w:pStyle w:val="ListParagraph"/>
        <w:numPr>
          <w:ilvl w:val="0"/>
          <w:numId w:val="64"/>
        </w:numPr>
        <w:tabs>
          <w:tab w:pos="1060" w:val="left" w:leader="none"/>
        </w:tabs>
        <w:spacing w:line="343" w:lineRule="exact" w:before="0" w:after="0"/>
        <w:ind w:left="1060" w:right="0" w:hanging="340"/>
        <w:jc w:val="left"/>
        <w:rPr>
          <w:sz w:val="28"/>
        </w:rPr>
      </w:pPr>
      <w:r>
        <w:rPr>
          <w:sz w:val="28"/>
        </w:rPr>
        <w:t>Reducing</w:t>
      </w:r>
      <w:r>
        <w:rPr>
          <w:spacing w:val="-11"/>
          <w:sz w:val="28"/>
        </w:rPr>
        <w:t> </w:t>
      </w:r>
      <w:r>
        <w:rPr>
          <w:sz w:val="28"/>
        </w:rPr>
        <w:t>demand</w:t>
      </w:r>
      <w:r>
        <w:rPr>
          <w:spacing w:val="-9"/>
          <w:sz w:val="28"/>
        </w:rPr>
        <w:t> </w:t>
      </w:r>
      <w:r>
        <w:rPr>
          <w:sz w:val="28"/>
        </w:rPr>
        <w:t>that</w:t>
      </w:r>
      <w:r>
        <w:rPr>
          <w:spacing w:val="-8"/>
          <w:sz w:val="28"/>
        </w:rPr>
        <w:t> </w:t>
      </w:r>
      <w:r>
        <w:rPr>
          <w:sz w:val="28"/>
        </w:rPr>
        <w:t>fosters</w:t>
      </w:r>
      <w:r>
        <w:rPr>
          <w:spacing w:val="-9"/>
          <w:sz w:val="28"/>
        </w:rPr>
        <w:t> </w:t>
      </w:r>
      <w:r>
        <w:rPr>
          <w:spacing w:val="-2"/>
          <w:sz w:val="28"/>
        </w:rPr>
        <w:t>trafficking</w:t>
      </w:r>
    </w:p>
    <w:p>
      <w:pPr>
        <w:pStyle w:val="ListParagraph"/>
        <w:numPr>
          <w:ilvl w:val="0"/>
          <w:numId w:val="64"/>
        </w:numPr>
        <w:tabs>
          <w:tab w:pos="1060" w:val="left" w:leader="none"/>
        </w:tabs>
        <w:spacing w:line="232" w:lineRule="auto" w:before="0" w:after="0"/>
        <w:ind w:left="1060" w:right="1201" w:hanging="341"/>
        <w:jc w:val="left"/>
        <w:rPr>
          <w:sz w:val="28"/>
        </w:rPr>
      </w:pPr>
      <w:r>
        <w:rPr>
          <w:sz w:val="28"/>
        </w:rPr>
        <w:t>Breaking the business model of traffickers through effective operational means against</w:t>
      </w:r>
      <w:r>
        <w:rPr>
          <w:spacing w:val="-4"/>
          <w:sz w:val="28"/>
        </w:rPr>
        <w:t> </w:t>
      </w:r>
      <w:r>
        <w:rPr>
          <w:sz w:val="28"/>
        </w:rPr>
        <w:t>the</w:t>
      </w:r>
      <w:r>
        <w:rPr>
          <w:spacing w:val="-4"/>
          <w:sz w:val="28"/>
        </w:rPr>
        <w:t> </w:t>
      </w:r>
      <w:r>
        <w:rPr>
          <w:sz w:val="28"/>
        </w:rPr>
        <w:t>criminal</w:t>
      </w:r>
      <w:r>
        <w:rPr>
          <w:spacing w:val="-5"/>
          <w:sz w:val="28"/>
        </w:rPr>
        <w:t> </w:t>
      </w:r>
      <w:r>
        <w:rPr>
          <w:sz w:val="28"/>
        </w:rPr>
        <w:t>business</w:t>
      </w:r>
      <w:r>
        <w:rPr>
          <w:spacing w:val="-5"/>
          <w:sz w:val="28"/>
        </w:rPr>
        <w:t> </w:t>
      </w:r>
      <w:r>
        <w:rPr>
          <w:sz w:val="28"/>
        </w:rPr>
        <w:t>model,</w:t>
      </w:r>
      <w:r>
        <w:rPr>
          <w:spacing w:val="-4"/>
          <w:sz w:val="28"/>
        </w:rPr>
        <w:t> </w:t>
      </w:r>
      <w:r>
        <w:rPr>
          <w:sz w:val="28"/>
        </w:rPr>
        <w:t>tackling</w:t>
      </w:r>
      <w:r>
        <w:rPr>
          <w:spacing w:val="-4"/>
          <w:sz w:val="28"/>
        </w:rPr>
        <w:t> </w:t>
      </w:r>
      <w:r>
        <w:rPr>
          <w:sz w:val="28"/>
        </w:rPr>
        <w:t>the</w:t>
      </w:r>
      <w:r>
        <w:rPr>
          <w:spacing w:val="-4"/>
          <w:sz w:val="28"/>
        </w:rPr>
        <w:t> </w:t>
      </w:r>
      <w:r>
        <w:rPr>
          <w:sz w:val="28"/>
        </w:rPr>
        <w:t>culture</w:t>
      </w:r>
      <w:r>
        <w:rPr>
          <w:spacing w:val="-4"/>
          <w:sz w:val="28"/>
        </w:rPr>
        <w:t> </w:t>
      </w:r>
      <w:r>
        <w:rPr>
          <w:sz w:val="28"/>
        </w:rPr>
        <w:t>of</w:t>
      </w:r>
      <w:r>
        <w:rPr>
          <w:spacing w:val="-5"/>
          <w:sz w:val="28"/>
        </w:rPr>
        <w:t> </w:t>
      </w:r>
      <w:r>
        <w:rPr>
          <w:sz w:val="28"/>
        </w:rPr>
        <w:t>impunity</w:t>
      </w:r>
      <w:r>
        <w:rPr>
          <w:spacing w:val="-4"/>
          <w:sz w:val="28"/>
        </w:rPr>
        <w:t> </w:t>
      </w:r>
      <w:r>
        <w:rPr>
          <w:sz w:val="28"/>
        </w:rPr>
        <w:t>by</w:t>
      </w:r>
      <w:r>
        <w:rPr>
          <w:spacing w:val="-4"/>
          <w:sz w:val="28"/>
        </w:rPr>
        <w:t> </w:t>
      </w:r>
      <w:r>
        <w:rPr>
          <w:sz w:val="28"/>
        </w:rPr>
        <w:t>building capacity for a robust criminal justice response, as well as the digital business model of traffickers</w:t>
      </w:r>
    </w:p>
    <w:p>
      <w:pPr>
        <w:pStyle w:val="ListParagraph"/>
        <w:numPr>
          <w:ilvl w:val="0"/>
          <w:numId w:val="64"/>
        </w:numPr>
        <w:tabs>
          <w:tab w:pos="1060" w:val="left" w:leader="none"/>
        </w:tabs>
        <w:spacing w:line="322" w:lineRule="exact" w:before="0" w:after="0"/>
        <w:ind w:left="1060" w:right="0" w:hanging="340"/>
        <w:jc w:val="left"/>
        <w:rPr>
          <w:sz w:val="28"/>
        </w:rPr>
      </w:pPr>
      <w:r>
        <w:rPr>
          <w:sz w:val="28"/>
        </w:rPr>
        <w:t>Protecting,</w:t>
      </w:r>
      <w:r>
        <w:rPr>
          <w:spacing w:val="-7"/>
          <w:sz w:val="28"/>
        </w:rPr>
        <w:t> </w:t>
      </w:r>
      <w:r>
        <w:rPr>
          <w:sz w:val="28"/>
        </w:rPr>
        <w:t>supporting</w:t>
      </w:r>
      <w:r>
        <w:rPr>
          <w:spacing w:val="-7"/>
          <w:sz w:val="28"/>
        </w:rPr>
        <w:t> </w:t>
      </w:r>
      <w:r>
        <w:rPr>
          <w:sz w:val="28"/>
        </w:rPr>
        <w:t>and</w:t>
      </w:r>
      <w:r>
        <w:rPr>
          <w:spacing w:val="-8"/>
          <w:sz w:val="28"/>
        </w:rPr>
        <w:t> </w:t>
      </w:r>
      <w:r>
        <w:rPr>
          <w:sz w:val="28"/>
        </w:rPr>
        <w:t>empowering</w:t>
      </w:r>
      <w:r>
        <w:rPr>
          <w:spacing w:val="-7"/>
          <w:sz w:val="28"/>
        </w:rPr>
        <w:t> </w:t>
      </w:r>
      <w:r>
        <w:rPr>
          <w:sz w:val="28"/>
        </w:rPr>
        <w:t>the</w:t>
      </w:r>
      <w:r>
        <w:rPr>
          <w:spacing w:val="-7"/>
          <w:sz w:val="28"/>
        </w:rPr>
        <w:t> </w:t>
      </w:r>
      <w:r>
        <w:rPr>
          <w:sz w:val="28"/>
        </w:rPr>
        <w:t>victims</w:t>
      </w:r>
      <w:r>
        <w:rPr>
          <w:spacing w:val="-7"/>
          <w:sz w:val="28"/>
        </w:rPr>
        <w:t> </w:t>
      </w:r>
      <w:r>
        <w:rPr>
          <w:sz w:val="28"/>
        </w:rPr>
        <w:t>with</w:t>
      </w:r>
      <w:r>
        <w:rPr>
          <w:spacing w:val="-8"/>
          <w:sz w:val="28"/>
        </w:rPr>
        <w:t> </w:t>
      </w:r>
      <w:r>
        <w:rPr>
          <w:sz w:val="28"/>
        </w:rPr>
        <w:t>a</w:t>
      </w:r>
      <w:r>
        <w:rPr>
          <w:spacing w:val="-8"/>
          <w:sz w:val="28"/>
        </w:rPr>
        <w:t> </w:t>
      </w:r>
      <w:r>
        <w:rPr>
          <w:sz w:val="28"/>
        </w:rPr>
        <w:t>specific</w:t>
      </w:r>
      <w:r>
        <w:rPr>
          <w:spacing w:val="-7"/>
          <w:sz w:val="28"/>
        </w:rPr>
        <w:t> </w:t>
      </w:r>
      <w:r>
        <w:rPr>
          <w:sz w:val="28"/>
        </w:rPr>
        <w:t>focus</w:t>
      </w:r>
      <w:r>
        <w:rPr>
          <w:spacing w:val="-7"/>
          <w:sz w:val="28"/>
        </w:rPr>
        <w:t> </w:t>
      </w:r>
      <w:r>
        <w:rPr>
          <w:spacing w:val="-5"/>
          <w:sz w:val="28"/>
        </w:rPr>
        <w:t>on</w:t>
      </w:r>
    </w:p>
    <w:p>
      <w:pPr>
        <w:pStyle w:val="BodyText"/>
        <w:spacing w:line="323" w:lineRule="exact"/>
        <w:ind w:left="1060"/>
      </w:pPr>
      <w:r>
        <w:rPr/>
        <w:t>women</w:t>
      </w:r>
      <w:r>
        <w:rPr>
          <w:spacing w:val="-5"/>
        </w:rPr>
        <w:t> </w:t>
      </w:r>
      <w:r>
        <w:rPr/>
        <w:t>and</w:t>
      </w:r>
      <w:r>
        <w:rPr>
          <w:spacing w:val="-5"/>
        </w:rPr>
        <w:t> </w:t>
      </w:r>
      <w:r>
        <w:rPr>
          <w:spacing w:val="-2"/>
        </w:rPr>
        <w:t>children</w:t>
      </w:r>
    </w:p>
    <w:p>
      <w:pPr>
        <w:pStyle w:val="ListParagraph"/>
        <w:numPr>
          <w:ilvl w:val="0"/>
          <w:numId w:val="64"/>
        </w:numPr>
        <w:tabs>
          <w:tab w:pos="1060" w:val="left" w:leader="none"/>
        </w:tabs>
        <w:spacing w:line="343" w:lineRule="exact" w:before="0" w:after="0"/>
        <w:ind w:left="1060" w:right="0" w:hanging="340"/>
        <w:jc w:val="left"/>
        <w:rPr>
          <w:sz w:val="28"/>
        </w:rPr>
      </w:pPr>
      <w:r>
        <w:rPr>
          <w:spacing w:val="-2"/>
          <w:sz w:val="28"/>
        </w:rPr>
        <w:t>Promoting</w:t>
      </w:r>
      <w:r>
        <w:rPr>
          <w:spacing w:val="4"/>
          <w:sz w:val="28"/>
        </w:rPr>
        <w:t> </w:t>
      </w:r>
      <w:r>
        <w:rPr>
          <w:spacing w:val="-2"/>
          <w:sz w:val="28"/>
        </w:rPr>
        <w:t>international</w:t>
      </w:r>
      <w:r>
        <w:rPr>
          <w:spacing w:val="2"/>
          <w:sz w:val="28"/>
        </w:rPr>
        <w:t> </w:t>
      </w:r>
      <w:r>
        <w:rPr>
          <w:spacing w:val="-2"/>
          <w:sz w:val="28"/>
        </w:rPr>
        <w:t>cooperation.</w:t>
      </w:r>
    </w:p>
    <w:p>
      <w:pPr>
        <w:pStyle w:val="BodyText"/>
        <w:spacing w:line="232" w:lineRule="auto" w:before="275"/>
        <w:ind w:left="720" w:right="1225"/>
      </w:pPr>
      <w:r>
        <w:rPr/>
        <w:t>Our report focuses on developments that occurred between 1 January 2022 and 31</w:t>
      </w:r>
      <w:r>
        <w:rPr>
          <w:spacing w:val="-6"/>
        </w:rPr>
        <w:t> </w:t>
      </w:r>
      <w:r>
        <w:rPr/>
        <w:t>August</w:t>
      </w:r>
      <w:r>
        <w:rPr>
          <w:spacing w:val="-6"/>
        </w:rPr>
        <w:t> </w:t>
      </w:r>
      <w:r>
        <w:rPr/>
        <w:t>2023</w:t>
      </w:r>
      <w:r>
        <w:rPr>
          <w:spacing w:val="-6"/>
        </w:rPr>
        <w:t> </w:t>
      </w:r>
      <w:r>
        <w:rPr/>
        <w:t>and</w:t>
      </w:r>
      <w:r>
        <w:rPr>
          <w:spacing w:val="-7"/>
        </w:rPr>
        <w:t> </w:t>
      </w:r>
      <w:r>
        <w:rPr/>
        <w:t>this</w:t>
      </w:r>
      <w:r>
        <w:rPr>
          <w:spacing w:val="-7"/>
        </w:rPr>
        <w:t> </w:t>
      </w:r>
      <w:r>
        <w:rPr/>
        <w:t>policy</w:t>
      </w:r>
      <w:r>
        <w:rPr>
          <w:spacing w:val="-6"/>
        </w:rPr>
        <w:t> </w:t>
      </w:r>
      <w:r>
        <w:rPr/>
        <w:t>was</w:t>
      </w:r>
      <w:r>
        <w:rPr>
          <w:spacing w:val="-7"/>
        </w:rPr>
        <w:t> </w:t>
      </w:r>
      <w:r>
        <w:rPr/>
        <w:t>adopted</w:t>
      </w:r>
      <w:r>
        <w:rPr>
          <w:spacing w:val="-7"/>
        </w:rPr>
        <w:t> </w:t>
      </w:r>
      <w:r>
        <w:rPr/>
        <w:t>in</w:t>
      </w:r>
      <w:r>
        <w:rPr>
          <w:spacing w:val="-7"/>
        </w:rPr>
        <w:t> </w:t>
      </w:r>
      <w:r>
        <w:rPr/>
        <w:t>2021.</w:t>
      </w:r>
      <w:r>
        <w:rPr>
          <w:spacing w:val="-7"/>
        </w:rPr>
        <w:t> </w:t>
      </w:r>
      <w:r>
        <w:rPr/>
        <w:t>However,</w:t>
      </w:r>
      <w:r>
        <w:rPr>
          <w:spacing w:val="-6"/>
        </w:rPr>
        <w:t> </w:t>
      </w:r>
      <w:r>
        <w:rPr/>
        <w:t>it</w:t>
      </w:r>
      <w:r>
        <w:rPr>
          <w:spacing w:val="-6"/>
        </w:rPr>
        <w:t> </w:t>
      </w:r>
      <w:r>
        <w:rPr/>
        <w:t>highlights</w:t>
      </w:r>
      <w:r>
        <w:rPr>
          <w:spacing w:val="-7"/>
        </w:rPr>
        <w:t> </w:t>
      </w:r>
      <w:r>
        <w:rPr/>
        <w:t>priority areas in which one can expect particularly dynamic EU protection (including legislative developments) to protect victims of human trafficking until 2025.</w:t>
      </w:r>
    </w:p>
    <w:p>
      <w:pPr>
        <w:pStyle w:val="BodyText"/>
        <w:spacing w:line="232" w:lineRule="auto" w:before="277"/>
        <w:ind w:left="720" w:right="1087"/>
      </w:pPr>
      <w:r>
        <w:rPr/>
        <w:t>We</w:t>
      </w:r>
      <w:r>
        <w:rPr>
          <w:spacing w:val="-7"/>
        </w:rPr>
        <w:t> </w:t>
      </w:r>
      <w:r>
        <w:rPr/>
        <w:t>note</w:t>
      </w:r>
      <w:r>
        <w:rPr>
          <w:spacing w:val="-7"/>
        </w:rPr>
        <w:t> </w:t>
      </w:r>
      <w:r>
        <w:rPr/>
        <w:t>that</w:t>
      </w:r>
      <w:r>
        <w:rPr>
          <w:spacing w:val="-7"/>
        </w:rPr>
        <w:t> </w:t>
      </w:r>
      <w:r>
        <w:rPr/>
        <w:t>NI</w:t>
      </w:r>
      <w:r>
        <w:rPr>
          <w:spacing w:val="-7"/>
        </w:rPr>
        <w:t> </w:t>
      </w:r>
      <w:r>
        <w:rPr/>
        <w:t>has</w:t>
      </w:r>
      <w:r>
        <w:rPr>
          <w:spacing w:val="-8"/>
        </w:rPr>
        <w:t> </w:t>
      </w:r>
      <w:r>
        <w:rPr/>
        <w:t>adopted</w:t>
      </w:r>
      <w:r>
        <w:rPr>
          <w:spacing w:val="-8"/>
        </w:rPr>
        <w:t> </w:t>
      </w:r>
      <w:r>
        <w:rPr/>
        <w:t>the</w:t>
      </w:r>
      <w:r>
        <w:rPr>
          <w:spacing w:val="-7"/>
        </w:rPr>
        <w:t> </w:t>
      </w:r>
      <w:r>
        <w:rPr/>
        <w:t>Human</w:t>
      </w:r>
      <w:r>
        <w:rPr>
          <w:spacing w:val="-8"/>
        </w:rPr>
        <w:t> </w:t>
      </w:r>
      <w:r>
        <w:rPr/>
        <w:t>Trafficking</w:t>
      </w:r>
      <w:r>
        <w:rPr>
          <w:spacing w:val="-7"/>
        </w:rPr>
        <w:t> </w:t>
      </w:r>
      <w:r>
        <w:rPr/>
        <w:t>and</w:t>
      </w:r>
      <w:r>
        <w:rPr>
          <w:spacing w:val="-8"/>
        </w:rPr>
        <w:t> </w:t>
      </w:r>
      <w:r>
        <w:rPr/>
        <w:t>Exploitation</w:t>
      </w:r>
      <w:r>
        <w:rPr>
          <w:spacing w:val="-8"/>
        </w:rPr>
        <w:t> </w:t>
      </w:r>
      <w:r>
        <w:rPr/>
        <w:t>Act</w:t>
      </w:r>
      <w:r>
        <w:rPr>
          <w:spacing w:val="-7"/>
        </w:rPr>
        <w:t> </w:t>
      </w:r>
      <w:r>
        <w:rPr/>
        <w:t>NI</w:t>
      </w:r>
      <w:r>
        <w:rPr>
          <w:spacing w:val="-7"/>
        </w:rPr>
        <w:t> </w:t>
      </w:r>
      <w:r>
        <w:rPr/>
        <w:t>2015; and the Justice (Sexual Offences and Trafficking Victims) Act (NI) 2022.</w:t>
      </w:r>
    </w:p>
    <w:p>
      <w:pPr>
        <w:pStyle w:val="BodyText"/>
        <w:spacing w:line="232" w:lineRule="auto" w:before="281"/>
        <w:ind w:left="720" w:right="1404"/>
      </w:pPr>
      <w:r>
        <w:rPr/>
        <w:t>However,</w:t>
      </w:r>
      <w:r>
        <w:rPr>
          <w:spacing w:val="-9"/>
        </w:rPr>
        <w:t> </w:t>
      </w:r>
      <w:r>
        <w:rPr/>
        <w:t>concerns</w:t>
      </w:r>
      <w:r>
        <w:rPr>
          <w:spacing w:val="-10"/>
        </w:rPr>
        <w:t> </w:t>
      </w:r>
      <w:r>
        <w:rPr/>
        <w:t>have</w:t>
      </w:r>
      <w:r>
        <w:rPr>
          <w:spacing w:val="-9"/>
        </w:rPr>
        <w:t> </w:t>
      </w:r>
      <w:r>
        <w:rPr/>
        <w:t>been</w:t>
      </w:r>
      <w:r>
        <w:rPr>
          <w:spacing w:val="-10"/>
        </w:rPr>
        <w:t> </w:t>
      </w:r>
      <w:r>
        <w:rPr/>
        <w:t>raised</w:t>
      </w:r>
      <w:r>
        <w:rPr>
          <w:spacing w:val="-10"/>
        </w:rPr>
        <w:t> </w:t>
      </w:r>
      <w:r>
        <w:rPr/>
        <w:t>in</w:t>
      </w:r>
      <w:r>
        <w:rPr>
          <w:spacing w:val="-10"/>
        </w:rPr>
        <w:t> </w:t>
      </w:r>
      <w:r>
        <w:rPr/>
        <w:t>this</w:t>
      </w:r>
      <w:r>
        <w:rPr>
          <w:spacing w:val="-10"/>
        </w:rPr>
        <w:t> </w:t>
      </w:r>
      <w:r>
        <w:rPr/>
        <w:t>report</w:t>
      </w:r>
      <w:r>
        <w:rPr>
          <w:spacing w:val="-9"/>
        </w:rPr>
        <w:t> </w:t>
      </w:r>
      <w:r>
        <w:rPr/>
        <w:t>regarding</w:t>
      </w:r>
      <w:r>
        <w:rPr>
          <w:spacing w:val="-9"/>
        </w:rPr>
        <w:t> </w:t>
      </w:r>
      <w:r>
        <w:rPr/>
        <w:t>the</w:t>
      </w:r>
      <w:r>
        <w:rPr>
          <w:spacing w:val="-9"/>
        </w:rPr>
        <w:t> </w:t>
      </w:r>
      <w:r>
        <w:rPr/>
        <w:t>UK</w:t>
      </w:r>
      <w:r>
        <w:rPr>
          <w:spacing w:val="-9"/>
        </w:rPr>
        <w:t> </w:t>
      </w:r>
      <w:r>
        <w:rPr/>
        <w:t>Government willingness</w:t>
      </w:r>
      <w:r>
        <w:rPr>
          <w:spacing w:val="-7"/>
        </w:rPr>
        <w:t> </w:t>
      </w:r>
      <w:r>
        <w:rPr/>
        <w:t>to</w:t>
      </w:r>
      <w:r>
        <w:rPr>
          <w:spacing w:val="-7"/>
        </w:rPr>
        <w:t> </w:t>
      </w:r>
      <w:r>
        <w:rPr/>
        <w:t>consider</w:t>
      </w:r>
      <w:r>
        <w:rPr>
          <w:spacing w:val="-6"/>
        </w:rPr>
        <w:t> </w:t>
      </w:r>
      <w:r>
        <w:rPr/>
        <w:t>the</w:t>
      </w:r>
      <w:r>
        <w:rPr>
          <w:spacing w:val="-6"/>
        </w:rPr>
        <w:t> </w:t>
      </w:r>
      <w:r>
        <w:rPr/>
        <w:t>EU</w:t>
      </w:r>
      <w:r>
        <w:rPr>
          <w:spacing w:val="-6"/>
        </w:rPr>
        <w:t> </w:t>
      </w:r>
      <w:r>
        <w:rPr/>
        <w:t>Trafficking</w:t>
      </w:r>
      <w:r>
        <w:rPr>
          <w:spacing w:val="-6"/>
        </w:rPr>
        <w:t> </w:t>
      </w:r>
      <w:r>
        <w:rPr/>
        <w:t>Directive</w:t>
      </w:r>
      <w:r>
        <w:rPr>
          <w:spacing w:val="-6"/>
        </w:rPr>
        <w:t> </w:t>
      </w:r>
      <w:r>
        <w:rPr/>
        <w:t>as</w:t>
      </w:r>
      <w:r>
        <w:rPr>
          <w:spacing w:val="-7"/>
        </w:rPr>
        <w:t> </w:t>
      </w:r>
      <w:r>
        <w:rPr/>
        <w:t>falling</w:t>
      </w:r>
      <w:r>
        <w:rPr>
          <w:spacing w:val="-6"/>
        </w:rPr>
        <w:t> </w:t>
      </w:r>
      <w:r>
        <w:rPr/>
        <w:t>outside</w:t>
      </w:r>
      <w:r>
        <w:rPr>
          <w:spacing w:val="-6"/>
        </w:rPr>
        <w:t> </w:t>
      </w:r>
      <w:r>
        <w:rPr/>
        <w:t>the</w:t>
      </w:r>
      <w:r>
        <w:rPr>
          <w:spacing w:val="-6"/>
        </w:rPr>
        <w:t> </w:t>
      </w:r>
      <w:r>
        <w:rPr/>
        <w:t>scope</w:t>
      </w:r>
      <w:r>
        <w:rPr>
          <w:spacing w:val="-6"/>
        </w:rPr>
        <w:t> </w:t>
      </w:r>
      <w:r>
        <w:rPr/>
        <w:t>of Article 2 WF;</w:t>
      </w:r>
      <w:r>
        <w:rPr>
          <w:vertAlign w:val="superscript"/>
        </w:rPr>
        <w:t>703</w:t>
      </w:r>
      <w:r>
        <w:rPr>
          <w:spacing w:val="-1"/>
          <w:vertAlign w:val="baseline"/>
        </w:rPr>
        <w:t> </w:t>
      </w:r>
      <w:r>
        <w:rPr>
          <w:vertAlign w:val="baseline"/>
        </w:rPr>
        <w:t>and</w:t>
      </w:r>
      <w:r>
        <w:rPr>
          <w:spacing w:val="-1"/>
          <w:vertAlign w:val="baseline"/>
        </w:rPr>
        <w:t> </w:t>
      </w:r>
      <w:r>
        <w:rPr>
          <w:vertAlign w:val="baseline"/>
        </w:rPr>
        <w:t>to</w:t>
      </w:r>
      <w:r>
        <w:rPr>
          <w:spacing w:val="-1"/>
          <w:vertAlign w:val="baseline"/>
        </w:rPr>
        <w:t> </w:t>
      </w:r>
      <w:r>
        <w:rPr>
          <w:vertAlign w:val="baseline"/>
        </w:rPr>
        <w:t>limit the possibility for certain</w:t>
      </w:r>
      <w:r>
        <w:rPr>
          <w:spacing w:val="-1"/>
          <w:vertAlign w:val="baseline"/>
        </w:rPr>
        <w:t> </w:t>
      </w:r>
      <w:r>
        <w:rPr>
          <w:vertAlign w:val="baseline"/>
        </w:rPr>
        <w:t>migrants</w:t>
      </w:r>
      <w:r>
        <w:rPr>
          <w:spacing w:val="-1"/>
          <w:vertAlign w:val="baseline"/>
        </w:rPr>
        <w:t> </w:t>
      </w:r>
      <w:r>
        <w:rPr>
          <w:vertAlign w:val="baseline"/>
        </w:rPr>
        <w:t>to</w:t>
      </w:r>
      <w:r>
        <w:rPr>
          <w:spacing w:val="-1"/>
          <w:vertAlign w:val="baseline"/>
        </w:rPr>
        <w:t> </w:t>
      </w:r>
      <w:r>
        <w:rPr>
          <w:vertAlign w:val="baseline"/>
        </w:rPr>
        <w:t>rely on</w:t>
      </w:r>
      <w:r>
        <w:rPr>
          <w:spacing w:val="-1"/>
          <w:vertAlign w:val="baseline"/>
        </w:rPr>
        <w:t> </w:t>
      </w:r>
      <w:r>
        <w:rPr>
          <w:vertAlign w:val="baseline"/>
        </w:rPr>
        <w:t>section 3</w:t>
      </w:r>
      <w:r>
        <w:rPr>
          <w:spacing w:val="-2"/>
          <w:vertAlign w:val="baseline"/>
        </w:rPr>
        <w:t> </w:t>
      </w:r>
      <w:r>
        <w:rPr>
          <w:vertAlign w:val="baseline"/>
        </w:rPr>
        <w:t>of</w:t>
      </w:r>
      <w:r>
        <w:rPr>
          <w:spacing w:val="-3"/>
          <w:vertAlign w:val="baseline"/>
        </w:rPr>
        <w:t> </w:t>
      </w:r>
      <w:r>
        <w:rPr>
          <w:vertAlign w:val="baseline"/>
        </w:rPr>
        <w:t>the</w:t>
      </w:r>
      <w:r>
        <w:rPr>
          <w:spacing w:val="-2"/>
          <w:vertAlign w:val="baseline"/>
        </w:rPr>
        <w:t> </w:t>
      </w:r>
      <w:r>
        <w:rPr>
          <w:vertAlign w:val="baseline"/>
        </w:rPr>
        <w:t>Human</w:t>
      </w:r>
      <w:r>
        <w:rPr>
          <w:spacing w:val="-3"/>
          <w:vertAlign w:val="baseline"/>
        </w:rPr>
        <w:t> </w:t>
      </w:r>
      <w:r>
        <w:rPr>
          <w:vertAlign w:val="baseline"/>
        </w:rPr>
        <w:t>Rights</w:t>
      </w:r>
      <w:r>
        <w:rPr>
          <w:spacing w:val="-3"/>
          <w:vertAlign w:val="baseline"/>
        </w:rPr>
        <w:t> </w:t>
      </w:r>
      <w:r>
        <w:rPr>
          <w:vertAlign w:val="baseline"/>
        </w:rPr>
        <w:t>Act,</w:t>
      </w:r>
      <w:r>
        <w:rPr>
          <w:spacing w:val="-2"/>
          <w:vertAlign w:val="baseline"/>
        </w:rPr>
        <w:t> </w:t>
      </w:r>
      <w:r>
        <w:rPr>
          <w:vertAlign w:val="baseline"/>
        </w:rPr>
        <w:t>under</w:t>
      </w:r>
      <w:r>
        <w:rPr>
          <w:spacing w:val="-2"/>
          <w:vertAlign w:val="baseline"/>
        </w:rPr>
        <w:t> </w:t>
      </w:r>
      <w:r>
        <w:rPr>
          <w:vertAlign w:val="baseline"/>
        </w:rPr>
        <w:t>the</w:t>
      </w:r>
      <w:r>
        <w:rPr>
          <w:spacing w:val="-2"/>
          <w:vertAlign w:val="baseline"/>
        </w:rPr>
        <w:t> </w:t>
      </w:r>
      <w:r>
        <w:rPr>
          <w:vertAlign w:val="baseline"/>
        </w:rPr>
        <w:t>Illegal</w:t>
      </w:r>
      <w:r>
        <w:rPr>
          <w:spacing w:val="-3"/>
          <w:vertAlign w:val="baseline"/>
        </w:rPr>
        <w:t> </w:t>
      </w:r>
      <w:r>
        <w:rPr>
          <w:vertAlign w:val="baseline"/>
        </w:rPr>
        <w:t>Migration</w:t>
      </w:r>
      <w:r>
        <w:rPr>
          <w:spacing w:val="-3"/>
          <w:vertAlign w:val="baseline"/>
        </w:rPr>
        <w:t> </w:t>
      </w:r>
      <w:r>
        <w:rPr>
          <w:vertAlign w:val="baseline"/>
        </w:rPr>
        <w:t>Act</w:t>
      </w:r>
      <w:r>
        <w:rPr>
          <w:spacing w:val="-2"/>
          <w:vertAlign w:val="baseline"/>
        </w:rPr>
        <w:t> </w:t>
      </w:r>
      <w:r>
        <w:rPr>
          <w:vertAlign w:val="baseline"/>
        </w:rPr>
        <w:t>2023.</w:t>
      </w:r>
      <w:r>
        <w:rPr>
          <w:spacing w:val="-3"/>
          <w:vertAlign w:val="baseline"/>
        </w:rPr>
        <w:t> </w:t>
      </w:r>
      <w:r>
        <w:rPr>
          <w:vertAlign w:val="baseline"/>
        </w:rPr>
        <w:t>The</w:t>
      </w:r>
      <w:r>
        <w:rPr>
          <w:spacing w:val="-2"/>
          <w:vertAlign w:val="baseline"/>
        </w:rPr>
        <w:t> </w:t>
      </w:r>
      <w:r>
        <w:rPr>
          <w:vertAlign w:val="baseline"/>
        </w:rPr>
        <w:t>view</w:t>
      </w:r>
      <w:r>
        <w:rPr>
          <w:spacing w:val="-2"/>
          <w:vertAlign w:val="baseline"/>
        </w:rPr>
        <w:t> </w:t>
      </w:r>
      <w:r>
        <w:rPr>
          <w:vertAlign w:val="baseline"/>
        </w:rPr>
        <w:t>of</w:t>
      </w:r>
      <w:r>
        <w:rPr>
          <w:spacing w:val="-3"/>
          <w:vertAlign w:val="baseline"/>
        </w:rPr>
        <w:t> </w:t>
      </w:r>
      <w:r>
        <w:rPr>
          <w:vertAlign w:val="baseline"/>
        </w:rPr>
        <w:t>this report, in line with the previous report and the position outlined by the ECNI, is that</w:t>
      </w:r>
      <w:r>
        <w:rPr>
          <w:spacing w:val="-3"/>
          <w:vertAlign w:val="baseline"/>
        </w:rPr>
        <w:t> </w:t>
      </w:r>
      <w:r>
        <w:rPr>
          <w:vertAlign w:val="baseline"/>
        </w:rPr>
        <w:t>the</w:t>
      </w:r>
      <w:r>
        <w:rPr>
          <w:spacing w:val="-3"/>
          <w:vertAlign w:val="baseline"/>
        </w:rPr>
        <w:t> </w:t>
      </w:r>
      <w:r>
        <w:rPr>
          <w:vertAlign w:val="baseline"/>
        </w:rPr>
        <w:t>EU</w:t>
      </w:r>
      <w:r>
        <w:rPr>
          <w:spacing w:val="-3"/>
          <w:vertAlign w:val="baseline"/>
        </w:rPr>
        <w:t> </w:t>
      </w:r>
      <w:r>
        <w:rPr>
          <w:vertAlign w:val="baseline"/>
        </w:rPr>
        <w:t>Trafficking</w:t>
      </w:r>
      <w:r>
        <w:rPr>
          <w:spacing w:val="-3"/>
          <w:vertAlign w:val="baseline"/>
        </w:rPr>
        <w:t> </w:t>
      </w:r>
      <w:r>
        <w:rPr>
          <w:vertAlign w:val="baseline"/>
        </w:rPr>
        <w:t>Directive</w:t>
      </w:r>
      <w:r>
        <w:rPr>
          <w:spacing w:val="-3"/>
          <w:vertAlign w:val="baseline"/>
        </w:rPr>
        <w:t> </w:t>
      </w:r>
      <w:r>
        <w:rPr>
          <w:vertAlign w:val="baseline"/>
        </w:rPr>
        <w:t>falls</w:t>
      </w:r>
      <w:r>
        <w:rPr>
          <w:spacing w:val="-4"/>
          <w:vertAlign w:val="baseline"/>
        </w:rPr>
        <w:t> </w:t>
      </w:r>
      <w:r>
        <w:rPr>
          <w:vertAlign w:val="baseline"/>
        </w:rPr>
        <w:t>within</w:t>
      </w:r>
      <w:r>
        <w:rPr>
          <w:spacing w:val="-4"/>
          <w:vertAlign w:val="baseline"/>
        </w:rPr>
        <w:t> </w:t>
      </w:r>
      <w:r>
        <w:rPr>
          <w:vertAlign w:val="baseline"/>
        </w:rPr>
        <w:t>the</w:t>
      </w:r>
      <w:r>
        <w:rPr>
          <w:spacing w:val="-3"/>
          <w:vertAlign w:val="baseline"/>
        </w:rPr>
        <w:t> </w:t>
      </w:r>
      <w:r>
        <w:rPr>
          <w:vertAlign w:val="baseline"/>
        </w:rPr>
        <w:t>scope</w:t>
      </w:r>
      <w:r>
        <w:rPr>
          <w:spacing w:val="-3"/>
          <w:vertAlign w:val="baseline"/>
        </w:rPr>
        <w:t> </w:t>
      </w:r>
      <w:r>
        <w:rPr>
          <w:vertAlign w:val="baseline"/>
        </w:rPr>
        <w:t>of</w:t>
      </w:r>
      <w:r>
        <w:rPr>
          <w:spacing w:val="-4"/>
          <w:vertAlign w:val="baseline"/>
        </w:rPr>
        <w:t> </w:t>
      </w:r>
      <w:r>
        <w:rPr>
          <w:vertAlign w:val="baseline"/>
        </w:rPr>
        <w:t>Article</w:t>
      </w:r>
      <w:r>
        <w:rPr>
          <w:spacing w:val="-3"/>
          <w:vertAlign w:val="baseline"/>
        </w:rPr>
        <w:t> </w:t>
      </w:r>
      <w:r>
        <w:rPr>
          <w:vertAlign w:val="baseline"/>
        </w:rPr>
        <w:t>2</w:t>
      </w:r>
      <w:r>
        <w:rPr>
          <w:spacing w:val="-3"/>
          <w:vertAlign w:val="baseline"/>
        </w:rPr>
        <w:t> </w:t>
      </w:r>
      <w:r>
        <w:rPr>
          <w:vertAlign w:val="baseline"/>
        </w:rPr>
        <w:t>WF.</w:t>
      </w:r>
      <w:r>
        <w:rPr>
          <w:spacing w:val="-4"/>
          <w:vertAlign w:val="baseline"/>
        </w:rPr>
        <w:t> </w:t>
      </w:r>
      <w:r>
        <w:rPr>
          <w:vertAlign w:val="baseline"/>
        </w:rPr>
        <w:t>The</w:t>
      </w:r>
      <w:r>
        <w:rPr>
          <w:spacing w:val="-6"/>
          <w:vertAlign w:val="baseline"/>
        </w:rPr>
        <w:t> </w:t>
      </w:r>
      <w:r>
        <w:rPr>
          <w:i/>
          <w:vertAlign w:val="baseline"/>
        </w:rPr>
        <w:t>Illegal</w:t>
      </w:r>
      <w:r>
        <w:rPr>
          <w:i/>
          <w:vertAlign w:val="baseline"/>
        </w:rPr>
        <w:t> Migration Act case </w:t>
      </w:r>
      <w:r>
        <w:rPr>
          <w:vertAlign w:val="baseline"/>
        </w:rPr>
        <w:t>confirms that the Trafficking Directive is within the scope of Article 2 WF.</w:t>
      </w:r>
      <w:r>
        <w:rPr>
          <w:vertAlign w:val="superscript"/>
        </w:rPr>
        <w:t>704</w:t>
      </w:r>
    </w:p>
    <w:p>
      <w:pPr>
        <w:pStyle w:val="BodyText"/>
        <w:spacing w:before="7"/>
        <w:rPr>
          <w:sz w:val="19"/>
        </w:rPr>
      </w:pPr>
      <w:r>
        <w:rPr/>
        <mc:AlternateContent>
          <mc:Choice Requires="wps">
            <w:drawing>
              <wp:anchor distT="0" distB="0" distL="0" distR="0" allowOverlap="1" layoutInCell="1" locked="0" behindDoc="1" simplePos="0" relativeHeight="487810560">
                <wp:simplePos x="0" y="0"/>
                <wp:positionH relativeFrom="page">
                  <wp:posOffset>647994</wp:posOffset>
                </wp:positionH>
                <wp:positionV relativeFrom="paragraph">
                  <wp:posOffset>167130</wp:posOffset>
                </wp:positionV>
                <wp:extent cx="6012180" cy="813435"/>
                <wp:effectExtent l="0" t="0" r="0" b="0"/>
                <wp:wrapTopAndBottom/>
                <wp:docPr id="1162" name="Group 1162"/>
                <wp:cNvGraphicFramePr>
                  <a:graphicFrameLocks/>
                </wp:cNvGraphicFramePr>
                <a:graphic>
                  <a:graphicData uri="http://schemas.microsoft.com/office/word/2010/wordprocessingGroup">
                    <wpg:wgp>
                      <wpg:cNvPr id="1162" name="Group 1162"/>
                      <wpg:cNvGrpSpPr/>
                      <wpg:grpSpPr>
                        <a:xfrm>
                          <a:off x="0" y="0"/>
                          <a:ext cx="6012180" cy="813435"/>
                          <a:chExt cx="6012180" cy="813435"/>
                        </a:xfrm>
                      </wpg:grpSpPr>
                      <wps:wsp>
                        <wps:cNvPr id="1163" name="Graphic 1163"/>
                        <wps:cNvSpPr/>
                        <wps:spPr>
                          <a:xfrm>
                            <a:off x="0" y="0"/>
                            <a:ext cx="6012180" cy="813435"/>
                          </a:xfrm>
                          <a:custGeom>
                            <a:avLst/>
                            <a:gdLst/>
                            <a:ahLst/>
                            <a:cxnLst/>
                            <a:rect l="l" t="t" r="r" b="b"/>
                            <a:pathLst>
                              <a:path w="6012180" h="813435">
                                <a:moveTo>
                                  <a:pt x="5868009" y="0"/>
                                </a:moveTo>
                                <a:lnTo>
                                  <a:pt x="144005" y="0"/>
                                </a:lnTo>
                                <a:lnTo>
                                  <a:pt x="98490" y="7340"/>
                                </a:lnTo>
                                <a:lnTo>
                                  <a:pt x="58959" y="27782"/>
                                </a:lnTo>
                                <a:lnTo>
                                  <a:pt x="27785" y="58954"/>
                                </a:lnTo>
                                <a:lnTo>
                                  <a:pt x="7341" y="98485"/>
                                </a:lnTo>
                                <a:lnTo>
                                  <a:pt x="0" y="144005"/>
                                </a:lnTo>
                                <a:lnTo>
                                  <a:pt x="0" y="668896"/>
                                </a:lnTo>
                                <a:lnTo>
                                  <a:pt x="7341" y="714411"/>
                                </a:lnTo>
                                <a:lnTo>
                                  <a:pt x="27785" y="753942"/>
                                </a:lnTo>
                                <a:lnTo>
                                  <a:pt x="58959" y="785115"/>
                                </a:lnTo>
                                <a:lnTo>
                                  <a:pt x="98490" y="805559"/>
                                </a:lnTo>
                                <a:lnTo>
                                  <a:pt x="144005" y="812901"/>
                                </a:lnTo>
                                <a:lnTo>
                                  <a:pt x="5868009" y="812901"/>
                                </a:lnTo>
                                <a:lnTo>
                                  <a:pt x="5913523" y="805559"/>
                                </a:lnTo>
                                <a:lnTo>
                                  <a:pt x="5953050" y="785115"/>
                                </a:lnTo>
                                <a:lnTo>
                                  <a:pt x="5984220" y="753942"/>
                                </a:lnTo>
                                <a:lnTo>
                                  <a:pt x="6004661" y="714411"/>
                                </a:lnTo>
                                <a:lnTo>
                                  <a:pt x="6012002" y="668896"/>
                                </a:lnTo>
                                <a:lnTo>
                                  <a:pt x="6012002" y="144005"/>
                                </a:lnTo>
                                <a:lnTo>
                                  <a:pt x="6004661" y="98485"/>
                                </a:lnTo>
                                <a:lnTo>
                                  <a:pt x="5984220" y="58954"/>
                                </a:lnTo>
                                <a:lnTo>
                                  <a:pt x="5953050" y="27782"/>
                                </a:lnTo>
                                <a:lnTo>
                                  <a:pt x="5913523" y="7340"/>
                                </a:lnTo>
                                <a:lnTo>
                                  <a:pt x="5868009" y="0"/>
                                </a:lnTo>
                                <a:close/>
                              </a:path>
                            </a:pathLst>
                          </a:custGeom>
                          <a:solidFill>
                            <a:srgbClr val="E9F3FC"/>
                          </a:solidFill>
                        </wps:spPr>
                        <wps:bodyPr wrap="square" lIns="0" tIns="0" rIns="0" bIns="0" rtlCol="0">
                          <a:prstTxWarp prst="textNoShape">
                            <a:avLst/>
                          </a:prstTxWarp>
                          <a:noAutofit/>
                        </wps:bodyPr>
                      </wps:wsp>
                      <wps:wsp>
                        <wps:cNvPr id="1164" name="Textbox 1164"/>
                        <wps:cNvSpPr txBox="1"/>
                        <wps:spPr>
                          <a:xfrm>
                            <a:off x="0" y="0"/>
                            <a:ext cx="6012180" cy="813435"/>
                          </a:xfrm>
                          <a:prstGeom prst="rect">
                            <a:avLst/>
                          </a:prstGeom>
                        </wps:spPr>
                        <wps:txbx>
                          <w:txbxContent>
                            <w:p>
                              <w:pPr>
                                <w:spacing w:line="232" w:lineRule="auto" w:before="121"/>
                                <w:ind w:left="340" w:right="196" w:firstLine="0"/>
                                <w:jc w:val="left"/>
                                <w:rPr>
                                  <w:b/>
                                  <w:sz w:val="28"/>
                                </w:rPr>
                              </w:pPr>
                              <w:r>
                                <w:rPr>
                                  <w:b/>
                                  <w:color w:val="164194"/>
                                  <w:sz w:val="28"/>
                                </w:rPr>
                                <w:t>We recommend relevant NI departments review the EU Strategy on combatting</w:t>
                              </w:r>
                              <w:r>
                                <w:rPr>
                                  <w:b/>
                                  <w:color w:val="164194"/>
                                  <w:spacing w:val="-11"/>
                                  <w:sz w:val="28"/>
                                </w:rPr>
                                <w:t> </w:t>
                              </w:r>
                              <w:r>
                                <w:rPr>
                                  <w:b/>
                                  <w:color w:val="164194"/>
                                  <w:sz w:val="28"/>
                                </w:rPr>
                                <w:t>trafficking</w:t>
                              </w:r>
                              <w:r>
                                <w:rPr>
                                  <w:b/>
                                  <w:color w:val="164194"/>
                                  <w:spacing w:val="-11"/>
                                  <w:sz w:val="28"/>
                                </w:rPr>
                                <w:t> </w:t>
                              </w:r>
                              <w:r>
                                <w:rPr>
                                  <w:b/>
                                  <w:color w:val="164194"/>
                                  <w:sz w:val="28"/>
                                </w:rPr>
                                <w:t>with</w:t>
                              </w:r>
                              <w:r>
                                <w:rPr>
                                  <w:b/>
                                  <w:color w:val="164194"/>
                                  <w:spacing w:val="-10"/>
                                  <w:sz w:val="28"/>
                                </w:rPr>
                                <w:t> </w:t>
                              </w:r>
                              <w:r>
                                <w:rPr>
                                  <w:b/>
                                  <w:color w:val="164194"/>
                                  <w:sz w:val="28"/>
                                </w:rPr>
                                <w:t>a</w:t>
                              </w:r>
                              <w:r>
                                <w:rPr>
                                  <w:b/>
                                  <w:color w:val="164194"/>
                                  <w:spacing w:val="-10"/>
                                  <w:sz w:val="28"/>
                                </w:rPr>
                                <w:t> </w:t>
                              </w:r>
                              <w:r>
                                <w:rPr>
                                  <w:b/>
                                  <w:color w:val="164194"/>
                                  <w:sz w:val="28"/>
                                </w:rPr>
                                <w:t>view</w:t>
                              </w:r>
                              <w:r>
                                <w:rPr>
                                  <w:b/>
                                  <w:color w:val="164194"/>
                                  <w:spacing w:val="-11"/>
                                  <w:sz w:val="28"/>
                                </w:rPr>
                                <w:t> </w:t>
                              </w:r>
                              <w:r>
                                <w:rPr>
                                  <w:b/>
                                  <w:color w:val="164194"/>
                                  <w:sz w:val="28"/>
                                </w:rPr>
                                <w:t>to</w:t>
                              </w:r>
                              <w:r>
                                <w:rPr>
                                  <w:b/>
                                  <w:color w:val="164194"/>
                                  <w:spacing w:val="-10"/>
                                  <w:sz w:val="28"/>
                                </w:rPr>
                                <w:t> </w:t>
                              </w:r>
                              <w:r>
                                <w:rPr>
                                  <w:b/>
                                  <w:color w:val="164194"/>
                                  <w:sz w:val="28"/>
                                </w:rPr>
                                <w:t>taking</w:t>
                              </w:r>
                              <w:r>
                                <w:rPr>
                                  <w:b/>
                                  <w:color w:val="164194"/>
                                  <w:spacing w:val="-11"/>
                                  <w:sz w:val="28"/>
                                </w:rPr>
                                <w:t> </w:t>
                              </w:r>
                              <w:r>
                                <w:rPr>
                                  <w:b/>
                                  <w:color w:val="164194"/>
                                  <w:sz w:val="28"/>
                                </w:rPr>
                                <w:t>measures</w:t>
                              </w:r>
                              <w:r>
                                <w:rPr>
                                  <w:b/>
                                  <w:color w:val="164194"/>
                                  <w:spacing w:val="-10"/>
                                  <w:sz w:val="28"/>
                                </w:rPr>
                                <w:t> </w:t>
                              </w:r>
                              <w:r>
                                <w:rPr>
                                  <w:b/>
                                  <w:color w:val="164194"/>
                                  <w:sz w:val="28"/>
                                </w:rPr>
                                <w:t>that</w:t>
                              </w:r>
                              <w:r>
                                <w:rPr>
                                  <w:b/>
                                  <w:color w:val="164194"/>
                                  <w:spacing w:val="-10"/>
                                  <w:sz w:val="28"/>
                                </w:rPr>
                                <w:t> </w:t>
                              </w:r>
                              <w:r>
                                <w:rPr>
                                  <w:b/>
                                  <w:color w:val="164194"/>
                                  <w:sz w:val="28"/>
                                </w:rPr>
                                <w:t>strengthen</w:t>
                              </w:r>
                              <w:r>
                                <w:rPr>
                                  <w:b/>
                                  <w:color w:val="164194"/>
                                  <w:spacing w:val="-10"/>
                                  <w:sz w:val="28"/>
                                </w:rPr>
                                <w:t> </w:t>
                              </w:r>
                              <w:r>
                                <w:rPr>
                                  <w:b/>
                                  <w:color w:val="164194"/>
                                  <w:sz w:val="28"/>
                                </w:rPr>
                                <w:t>rights and reflect international human rights standards and best practice.</w:t>
                              </w:r>
                            </w:p>
                          </w:txbxContent>
                        </wps:txbx>
                        <wps:bodyPr wrap="square" lIns="0" tIns="0" rIns="0" bIns="0" rtlCol="0">
                          <a:noAutofit/>
                        </wps:bodyPr>
                      </wps:wsp>
                    </wpg:wgp>
                  </a:graphicData>
                </a:graphic>
              </wp:anchor>
            </w:drawing>
          </mc:Choice>
          <mc:Fallback>
            <w:pict>
              <v:group style="position:absolute;margin-left:51.023201pt;margin-top:13.159853pt;width:473.4pt;height:64.05pt;mso-position-horizontal-relative:page;mso-position-vertical-relative:paragraph;z-index:-15505920;mso-wrap-distance-left:0;mso-wrap-distance-right:0" id="docshapegroup959" coordorigin="1020,263" coordsize="9468,1281">
                <v:shape style="position:absolute;left:1020;top:263;width:9468;height:1281" id="docshape960" coordorigin="1020,263" coordsize="9468,1281" path="m10261,263l1247,263,1176,275,1113,307,1064,356,1032,418,1020,490,1020,1317,1032,1388,1064,1451,1113,1500,1176,1532,1247,1543,10261,1543,10333,1532,10395,1500,10444,1451,10477,1388,10488,1317,10488,490,10477,418,10444,356,10395,307,10333,275,10261,263xe" filled="true" fillcolor="#e9f3fc" stroked="false">
                  <v:path arrowok="t"/>
                  <v:fill type="solid"/>
                </v:shape>
                <v:shape style="position:absolute;left:1020;top:263;width:9468;height:1281" type="#_x0000_t202" id="docshape961" filled="false" stroked="false">
                  <v:textbox inset="0,0,0,0">
                    <w:txbxContent>
                      <w:p>
                        <w:pPr>
                          <w:spacing w:line="232" w:lineRule="auto" w:before="121"/>
                          <w:ind w:left="340" w:right="196" w:firstLine="0"/>
                          <w:jc w:val="left"/>
                          <w:rPr>
                            <w:b/>
                            <w:sz w:val="28"/>
                          </w:rPr>
                        </w:pPr>
                        <w:r>
                          <w:rPr>
                            <w:b/>
                            <w:color w:val="164194"/>
                            <w:sz w:val="28"/>
                          </w:rPr>
                          <w:t>We recommend relevant NI departments review the EU Strategy on combatting</w:t>
                        </w:r>
                        <w:r>
                          <w:rPr>
                            <w:b/>
                            <w:color w:val="164194"/>
                            <w:spacing w:val="-11"/>
                            <w:sz w:val="28"/>
                          </w:rPr>
                          <w:t> </w:t>
                        </w:r>
                        <w:r>
                          <w:rPr>
                            <w:b/>
                            <w:color w:val="164194"/>
                            <w:sz w:val="28"/>
                          </w:rPr>
                          <w:t>trafficking</w:t>
                        </w:r>
                        <w:r>
                          <w:rPr>
                            <w:b/>
                            <w:color w:val="164194"/>
                            <w:spacing w:val="-11"/>
                            <w:sz w:val="28"/>
                          </w:rPr>
                          <w:t> </w:t>
                        </w:r>
                        <w:r>
                          <w:rPr>
                            <w:b/>
                            <w:color w:val="164194"/>
                            <w:sz w:val="28"/>
                          </w:rPr>
                          <w:t>with</w:t>
                        </w:r>
                        <w:r>
                          <w:rPr>
                            <w:b/>
                            <w:color w:val="164194"/>
                            <w:spacing w:val="-10"/>
                            <w:sz w:val="28"/>
                          </w:rPr>
                          <w:t> </w:t>
                        </w:r>
                        <w:r>
                          <w:rPr>
                            <w:b/>
                            <w:color w:val="164194"/>
                            <w:sz w:val="28"/>
                          </w:rPr>
                          <w:t>a</w:t>
                        </w:r>
                        <w:r>
                          <w:rPr>
                            <w:b/>
                            <w:color w:val="164194"/>
                            <w:spacing w:val="-10"/>
                            <w:sz w:val="28"/>
                          </w:rPr>
                          <w:t> </w:t>
                        </w:r>
                        <w:r>
                          <w:rPr>
                            <w:b/>
                            <w:color w:val="164194"/>
                            <w:sz w:val="28"/>
                          </w:rPr>
                          <w:t>view</w:t>
                        </w:r>
                        <w:r>
                          <w:rPr>
                            <w:b/>
                            <w:color w:val="164194"/>
                            <w:spacing w:val="-11"/>
                            <w:sz w:val="28"/>
                          </w:rPr>
                          <w:t> </w:t>
                        </w:r>
                        <w:r>
                          <w:rPr>
                            <w:b/>
                            <w:color w:val="164194"/>
                            <w:sz w:val="28"/>
                          </w:rPr>
                          <w:t>to</w:t>
                        </w:r>
                        <w:r>
                          <w:rPr>
                            <w:b/>
                            <w:color w:val="164194"/>
                            <w:spacing w:val="-10"/>
                            <w:sz w:val="28"/>
                          </w:rPr>
                          <w:t> </w:t>
                        </w:r>
                        <w:r>
                          <w:rPr>
                            <w:b/>
                            <w:color w:val="164194"/>
                            <w:sz w:val="28"/>
                          </w:rPr>
                          <w:t>taking</w:t>
                        </w:r>
                        <w:r>
                          <w:rPr>
                            <w:b/>
                            <w:color w:val="164194"/>
                            <w:spacing w:val="-11"/>
                            <w:sz w:val="28"/>
                          </w:rPr>
                          <w:t> </w:t>
                        </w:r>
                        <w:r>
                          <w:rPr>
                            <w:b/>
                            <w:color w:val="164194"/>
                            <w:sz w:val="28"/>
                          </w:rPr>
                          <w:t>measures</w:t>
                        </w:r>
                        <w:r>
                          <w:rPr>
                            <w:b/>
                            <w:color w:val="164194"/>
                            <w:spacing w:val="-10"/>
                            <w:sz w:val="28"/>
                          </w:rPr>
                          <w:t> </w:t>
                        </w:r>
                        <w:r>
                          <w:rPr>
                            <w:b/>
                            <w:color w:val="164194"/>
                            <w:sz w:val="28"/>
                          </w:rPr>
                          <w:t>that</w:t>
                        </w:r>
                        <w:r>
                          <w:rPr>
                            <w:b/>
                            <w:color w:val="164194"/>
                            <w:spacing w:val="-10"/>
                            <w:sz w:val="28"/>
                          </w:rPr>
                          <w:t> </w:t>
                        </w:r>
                        <w:r>
                          <w:rPr>
                            <w:b/>
                            <w:color w:val="164194"/>
                            <w:sz w:val="28"/>
                          </w:rPr>
                          <w:t>strengthen</w:t>
                        </w:r>
                        <w:r>
                          <w:rPr>
                            <w:b/>
                            <w:color w:val="164194"/>
                            <w:spacing w:val="-10"/>
                            <w:sz w:val="28"/>
                          </w:rPr>
                          <w:t> </w:t>
                        </w:r>
                        <w:r>
                          <w:rPr>
                            <w:b/>
                            <w:color w:val="164194"/>
                            <w:sz w:val="28"/>
                          </w:rPr>
                          <w:t>rights and reflect international human rights standards and best practice.</w:t>
                        </w:r>
                      </w:p>
                    </w:txbxContent>
                  </v:textbox>
                  <w10:wrap type="none"/>
                </v:shape>
                <w10:wrap type="topAndBottom"/>
              </v:group>
            </w:pict>
          </mc:Fallback>
        </mc:AlternateContent>
      </w:r>
    </w:p>
    <w:p>
      <w:pPr>
        <w:pStyle w:val="Heading2"/>
        <w:spacing w:before="305"/>
        <w:ind w:left="720" w:firstLine="0"/>
      </w:pPr>
      <w:r>
        <w:rPr>
          <w:color w:val="004A93"/>
        </w:rPr>
        <w:t>7.6 </w:t>
      </w:r>
      <w:r>
        <w:rPr>
          <w:color w:val="004A93"/>
          <w:spacing w:val="-2"/>
        </w:rPr>
        <w:t>Conclusion</w:t>
      </w:r>
    </w:p>
    <w:p>
      <w:pPr>
        <w:pStyle w:val="BodyText"/>
        <w:spacing w:before="9"/>
        <w:rPr>
          <w:b/>
          <w:sz w:val="5"/>
        </w:rPr>
      </w:pPr>
      <w:r>
        <w:rPr/>
        <mc:AlternateContent>
          <mc:Choice Requires="wps">
            <w:drawing>
              <wp:anchor distT="0" distB="0" distL="0" distR="0" allowOverlap="1" layoutInCell="1" locked="0" behindDoc="1" simplePos="0" relativeHeight="487811072">
                <wp:simplePos x="0" y="0"/>
                <wp:positionH relativeFrom="page">
                  <wp:posOffset>647999</wp:posOffset>
                </wp:positionH>
                <wp:positionV relativeFrom="paragraph">
                  <wp:posOffset>60076</wp:posOffset>
                </wp:positionV>
                <wp:extent cx="6012180" cy="1270"/>
                <wp:effectExtent l="0" t="0" r="0" b="0"/>
                <wp:wrapTopAndBottom/>
                <wp:docPr id="1165" name="Graphic 1165"/>
                <wp:cNvGraphicFramePr>
                  <a:graphicFrameLocks/>
                </wp:cNvGraphicFramePr>
                <a:graphic>
                  <a:graphicData uri="http://schemas.microsoft.com/office/word/2010/wordprocessingShape">
                    <wps:wsp>
                      <wps:cNvPr id="1165" name="Graphic 1165"/>
                      <wps:cNvSpPr/>
                      <wps:spPr>
                        <a:xfrm>
                          <a:off x="0" y="0"/>
                          <a:ext cx="6012180" cy="1270"/>
                        </a:xfrm>
                        <a:custGeom>
                          <a:avLst/>
                          <a:gdLst/>
                          <a:ahLst/>
                          <a:cxnLst/>
                          <a:rect l="l" t="t" r="r" b="b"/>
                          <a:pathLst>
                            <a:path w="6012180" h="0">
                              <a:moveTo>
                                <a:pt x="0" y="0"/>
                              </a:moveTo>
                              <a:lnTo>
                                <a:pt x="6012002" y="0"/>
                              </a:lnTo>
                            </a:path>
                          </a:pathLst>
                        </a:custGeom>
                        <a:ln w="1270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4.73045pt;width:473.4pt;height:.1pt;mso-position-horizontal-relative:page;mso-position-vertical-relative:paragraph;z-index:-15505408;mso-wrap-distance-left:0;mso-wrap-distance-right:0" id="docshape962" coordorigin="1020,95" coordsize="9468,0" path="m1020,95l10488,95e" filled="false" stroked="true" strokeweight="1pt" strokecolor="#36a9e1">
                <v:path arrowok="t"/>
                <v:stroke dashstyle="solid"/>
                <w10:wrap type="topAndBottom"/>
              </v:shape>
            </w:pict>
          </mc:Fallback>
        </mc:AlternateContent>
      </w:r>
    </w:p>
    <w:p>
      <w:pPr>
        <w:pStyle w:val="BodyText"/>
        <w:spacing w:line="232" w:lineRule="auto" w:before="108"/>
        <w:ind w:left="720" w:right="1087"/>
      </w:pPr>
      <w:r>
        <w:rPr/>
        <w:t>We</w:t>
      </w:r>
      <w:r>
        <w:rPr>
          <w:spacing w:val="-11"/>
        </w:rPr>
        <w:t> </w:t>
      </w:r>
      <w:r>
        <w:rPr/>
        <w:t>have</w:t>
      </w:r>
      <w:r>
        <w:rPr>
          <w:spacing w:val="-11"/>
        </w:rPr>
        <w:t> </w:t>
      </w:r>
      <w:r>
        <w:rPr/>
        <w:t>highlighted</w:t>
      </w:r>
      <w:r>
        <w:rPr>
          <w:spacing w:val="-11"/>
        </w:rPr>
        <w:t> </w:t>
      </w:r>
      <w:r>
        <w:rPr/>
        <w:t>that</w:t>
      </w:r>
      <w:r>
        <w:rPr>
          <w:spacing w:val="-11"/>
        </w:rPr>
        <w:t> </w:t>
      </w:r>
      <w:r>
        <w:rPr/>
        <w:t>the</w:t>
      </w:r>
      <w:r>
        <w:rPr>
          <w:spacing w:val="-11"/>
        </w:rPr>
        <w:t> </w:t>
      </w:r>
      <w:r>
        <w:rPr/>
        <w:t>European</w:t>
      </w:r>
      <w:r>
        <w:rPr>
          <w:spacing w:val="-11"/>
        </w:rPr>
        <w:t> </w:t>
      </w:r>
      <w:r>
        <w:rPr/>
        <w:t>Union</w:t>
      </w:r>
      <w:r>
        <w:rPr>
          <w:spacing w:val="-11"/>
        </w:rPr>
        <w:t> </w:t>
      </w:r>
      <w:r>
        <w:rPr/>
        <w:t>is</w:t>
      </w:r>
      <w:r>
        <w:rPr>
          <w:spacing w:val="-11"/>
        </w:rPr>
        <w:t> </w:t>
      </w:r>
      <w:r>
        <w:rPr/>
        <w:t>pursuing</w:t>
      </w:r>
      <w:r>
        <w:rPr>
          <w:spacing w:val="-11"/>
        </w:rPr>
        <w:t> </w:t>
      </w:r>
      <w:r>
        <w:rPr/>
        <w:t>a</w:t>
      </w:r>
      <w:r>
        <w:rPr>
          <w:spacing w:val="-11"/>
        </w:rPr>
        <w:t> </w:t>
      </w:r>
      <w:r>
        <w:rPr/>
        <w:t>large</w:t>
      </w:r>
      <w:r>
        <w:rPr>
          <w:spacing w:val="-11"/>
        </w:rPr>
        <w:t> </w:t>
      </w:r>
      <w:r>
        <w:rPr/>
        <w:t>number</w:t>
      </w:r>
      <w:r>
        <w:rPr>
          <w:spacing w:val="-11"/>
        </w:rPr>
        <w:t> </w:t>
      </w:r>
      <w:r>
        <w:rPr/>
        <w:t>of</w:t>
      </w:r>
      <w:r>
        <w:rPr>
          <w:spacing w:val="-11"/>
        </w:rPr>
        <w:t> </w:t>
      </w:r>
      <w:r>
        <w:rPr/>
        <w:t>policies that</w:t>
      </w:r>
      <w:r>
        <w:rPr>
          <w:spacing w:val="-2"/>
        </w:rPr>
        <w:t> </w:t>
      </w:r>
      <w:r>
        <w:rPr/>
        <w:t>relate</w:t>
      </w:r>
      <w:r>
        <w:rPr>
          <w:spacing w:val="-2"/>
        </w:rPr>
        <w:t> </w:t>
      </w:r>
      <w:r>
        <w:rPr/>
        <w:t>to</w:t>
      </w:r>
      <w:r>
        <w:rPr>
          <w:spacing w:val="-2"/>
        </w:rPr>
        <w:t> </w:t>
      </w:r>
      <w:r>
        <w:rPr/>
        <w:t>the</w:t>
      </w:r>
      <w:r>
        <w:rPr>
          <w:spacing w:val="-2"/>
        </w:rPr>
        <w:t> </w:t>
      </w:r>
      <w:r>
        <w:rPr/>
        <w:t>protection</w:t>
      </w:r>
      <w:r>
        <w:rPr>
          <w:spacing w:val="-2"/>
        </w:rPr>
        <w:t> </w:t>
      </w:r>
      <w:r>
        <w:rPr/>
        <w:t>and</w:t>
      </w:r>
      <w:r>
        <w:rPr>
          <w:spacing w:val="-2"/>
        </w:rPr>
        <w:t> </w:t>
      </w:r>
      <w:r>
        <w:rPr/>
        <w:t>promotion</w:t>
      </w:r>
      <w:r>
        <w:rPr>
          <w:spacing w:val="-2"/>
        </w:rPr>
        <w:t> </w:t>
      </w:r>
      <w:r>
        <w:rPr/>
        <w:t>of</w:t>
      </w:r>
      <w:r>
        <w:rPr>
          <w:spacing w:val="-2"/>
        </w:rPr>
        <w:t> </w:t>
      </w:r>
      <w:r>
        <w:rPr/>
        <w:t>human</w:t>
      </w:r>
      <w:r>
        <w:rPr>
          <w:spacing w:val="-2"/>
        </w:rPr>
        <w:t> </w:t>
      </w:r>
      <w:r>
        <w:rPr/>
        <w:t>rights</w:t>
      </w:r>
      <w:r>
        <w:rPr>
          <w:spacing w:val="-2"/>
        </w:rPr>
        <w:t> </w:t>
      </w:r>
      <w:r>
        <w:rPr/>
        <w:t>and</w:t>
      </w:r>
      <w:r>
        <w:rPr>
          <w:spacing w:val="-2"/>
        </w:rPr>
        <w:t> </w:t>
      </w:r>
      <w:r>
        <w:rPr/>
        <w:t>equality.</w:t>
      </w:r>
      <w:r>
        <w:rPr>
          <w:spacing w:val="-2"/>
        </w:rPr>
        <w:t> </w:t>
      </w:r>
      <w:r>
        <w:rPr/>
        <w:t>These range</w:t>
      </w:r>
      <w:r>
        <w:rPr>
          <w:spacing w:val="-2"/>
        </w:rPr>
        <w:t> </w:t>
      </w:r>
      <w:r>
        <w:rPr/>
        <w:t>across</w:t>
      </w:r>
      <w:r>
        <w:rPr>
          <w:spacing w:val="-2"/>
        </w:rPr>
        <w:t> </w:t>
      </w:r>
      <w:r>
        <w:rPr/>
        <w:t>such</w:t>
      </w:r>
      <w:r>
        <w:rPr>
          <w:spacing w:val="-2"/>
        </w:rPr>
        <w:t> </w:t>
      </w:r>
      <w:r>
        <w:rPr/>
        <w:t>important</w:t>
      </w:r>
      <w:r>
        <w:rPr>
          <w:spacing w:val="-2"/>
        </w:rPr>
        <w:t> </w:t>
      </w:r>
      <w:r>
        <w:rPr/>
        <w:t>matters</w:t>
      </w:r>
      <w:r>
        <w:rPr>
          <w:spacing w:val="-2"/>
        </w:rPr>
        <w:t> </w:t>
      </w:r>
      <w:r>
        <w:rPr/>
        <w:t>as</w:t>
      </w:r>
      <w:r>
        <w:rPr>
          <w:spacing w:val="-2"/>
        </w:rPr>
        <w:t> </w:t>
      </w:r>
      <w:r>
        <w:rPr/>
        <w:t>those</w:t>
      </w:r>
      <w:r>
        <w:rPr>
          <w:spacing w:val="-2"/>
        </w:rPr>
        <w:t> </w:t>
      </w:r>
      <w:r>
        <w:rPr/>
        <w:t>of</w:t>
      </w:r>
      <w:r>
        <w:rPr>
          <w:spacing w:val="-2"/>
        </w:rPr>
        <w:t> </w:t>
      </w:r>
      <w:r>
        <w:rPr/>
        <w:t>gender</w:t>
      </w:r>
      <w:r>
        <w:rPr>
          <w:spacing w:val="-2"/>
        </w:rPr>
        <w:t> </w:t>
      </w:r>
      <w:r>
        <w:rPr/>
        <w:t>equality,</w:t>
      </w:r>
      <w:r>
        <w:rPr>
          <w:spacing w:val="-2"/>
        </w:rPr>
        <w:t> </w:t>
      </w:r>
      <w:r>
        <w:rPr/>
        <w:t>race,</w:t>
      </w:r>
      <w:r>
        <w:rPr>
          <w:spacing w:val="-2"/>
        </w:rPr>
        <w:t> </w:t>
      </w:r>
      <w:r>
        <w:rPr/>
        <w:t>victims’ rights,</w:t>
      </w:r>
      <w:r>
        <w:rPr>
          <w:spacing w:val="-1"/>
        </w:rPr>
        <w:t> </w:t>
      </w:r>
      <w:r>
        <w:rPr/>
        <w:t>migrants’</w:t>
      </w:r>
      <w:r>
        <w:rPr>
          <w:spacing w:val="-1"/>
        </w:rPr>
        <w:t> </w:t>
      </w:r>
      <w:r>
        <w:rPr/>
        <w:t>rights.</w:t>
      </w:r>
      <w:r>
        <w:rPr>
          <w:spacing w:val="-1"/>
        </w:rPr>
        <w:t> </w:t>
      </w:r>
      <w:r>
        <w:rPr/>
        <w:t>Some</w:t>
      </w:r>
      <w:r>
        <w:rPr>
          <w:spacing w:val="-1"/>
        </w:rPr>
        <w:t> </w:t>
      </w:r>
      <w:r>
        <w:rPr/>
        <w:t>of</w:t>
      </w:r>
      <w:r>
        <w:rPr>
          <w:spacing w:val="-1"/>
        </w:rPr>
        <w:t> </w:t>
      </w:r>
      <w:r>
        <w:rPr/>
        <w:t>these</w:t>
      </w:r>
      <w:r>
        <w:rPr>
          <w:spacing w:val="-1"/>
        </w:rPr>
        <w:t> </w:t>
      </w:r>
      <w:r>
        <w:rPr/>
        <w:t>policies</w:t>
      </w:r>
      <w:r>
        <w:rPr>
          <w:spacing w:val="-1"/>
        </w:rPr>
        <w:t> </w:t>
      </w:r>
      <w:r>
        <w:rPr/>
        <w:t>concern</w:t>
      </w:r>
      <w:r>
        <w:rPr>
          <w:spacing w:val="-1"/>
        </w:rPr>
        <w:t> </w:t>
      </w:r>
      <w:r>
        <w:rPr/>
        <w:t>legislative</w:t>
      </w:r>
      <w:r>
        <w:rPr>
          <w:spacing w:val="-1"/>
        </w:rPr>
        <w:t> </w:t>
      </w:r>
      <w:r>
        <w:rPr/>
        <w:t>developments</w:t>
      </w:r>
      <w:r>
        <w:rPr>
          <w:spacing w:val="-1"/>
        </w:rPr>
        <w:t> </w:t>
      </w:r>
      <w:r>
        <w:rPr/>
        <w:t>in relation</w:t>
      </w:r>
      <w:r>
        <w:rPr>
          <w:spacing w:val="-8"/>
        </w:rPr>
        <w:t> </w:t>
      </w:r>
      <w:r>
        <w:rPr/>
        <w:t>to</w:t>
      </w:r>
      <w:r>
        <w:rPr>
          <w:spacing w:val="-8"/>
        </w:rPr>
        <w:t> </w:t>
      </w:r>
      <w:r>
        <w:rPr/>
        <w:t>the</w:t>
      </w:r>
      <w:r>
        <w:rPr>
          <w:spacing w:val="-8"/>
        </w:rPr>
        <w:t> </w:t>
      </w:r>
      <w:r>
        <w:rPr/>
        <w:t>Annex</w:t>
      </w:r>
      <w:r>
        <w:rPr>
          <w:spacing w:val="-8"/>
        </w:rPr>
        <w:t> </w:t>
      </w:r>
      <w:r>
        <w:rPr/>
        <w:t>1</w:t>
      </w:r>
      <w:r>
        <w:rPr>
          <w:spacing w:val="-8"/>
        </w:rPr>
        <w:t> </w:t>
      </w:r>
      <w:r>
        <w:rPr/>
        <w:t>Directives</w:t>
      </w:r>
      <w:r>
        <w:rPr>
          <w:spacing w:val="-8"/>
        </w:rPr>
        <w:t> </w:t>
      </w:r>
      <w:r>
        <w:rPr/>
        <w:t>and</w:t>
      </w:r>
      <w:r>
        <w:rPr>
          <w:spacing w:val="-8"/>
        </w:rPr>
        <w:t> </w:t>
      </w:r>
      <w:r>
        <w:rPr/>
        <w:t>so</w:t>
      </w:r>
      <w:r>
        <w:rPr>
          <w:spacing w:val="-8"/>
        </w:rPr>
        <w:t> </w:t>
      </w:r>
      <w:r>
        <w:rPr/>
        <w:t>may</w:t>
      </w:r>
      <w:r>
        <w:rPr>
          <w:spacing w:val="-8"/>
        </w:rPr>
        <w:t> </w:t>
      </w:r>
      <w:r>
        <w:rPr/>
        <w:t>trigger</w:t>
      </w:r>
      <w:r>
        <w:rPr>
          <w:spacing w:val="-8"/>
        </w:rPr>
        <w:t> </w:t>
      </w:r>
      <w:r>
        <w:rPr/>
        <w:t>the</w:t>
      </w:r>
      <w:r>
        <w:rPr>
          <w:spacing w:val="-8"/>
        </w:rPr>
        <w:t> </w:t>
      </w:r>
      <w:r>
        <w:rPr/>
        <w:t>keeping</w:t>
      </w:r>
      <w:r>
        <w:rPr>
          <w:spacing w:val="-8"/>
        </w:rPr>
        <w:t> </w:t>
      </w:r>
      <w:r>
        <w:rPr/>
        <w:t>pace</w:t>
      </w:r>
      <w:r>
        <w:rPr>
          <w:spacing w:val="-8"/>
        </w:rPr>
        <w:t> </w:t>
      </w:r>
      <w:r>
        <w:rPr/>
        <w:t>requirement in Article 2 WF; even where this is not the case the Article 2 WF focus on discrimination law highlights the centrality of equality policies and all the policies discussed</w:t>
      </w:r>
      <w:r>
        <w:rPr>
          <w:spacing w:val="-13"/>
        </w:rPr>
        <w:t> </w:t>
      </w:r>
      <w:r>
        <w:rPr/>
        <w:t>in</w:t>
      </w:r>
      <w:r>
        <w:rPr>
          <w:spacing w:val="-13"/>
        </w:rPr>
        <w:t> </w:t>
      </w:r>
      <w:r>
        <w:rPr/>
        <w:t>the</w:t>
      </w:r>
      <w:r>
        <w:rPr>
          <w:spacing w:val="-13"/>
        </w:rPr>
        <w:t> </w:t>
      </w:r>
      <w:r>
        <w:rPr/>
        <w:t>chapter</w:t>
      </w:r>
      <w:r>
        <w:rPr>
          <w:spacing w:val="-13"/>
        </w:rPr>
        <w:t> </w:t>
      </w:r>
      <w:r>
        <w:rPr/>
        <w:t>represent</w:t>
      </w:r>
      <w:r>
        <w:rPr>
          <w:spacing w:val="-13"/>
        </w:rPr>
        <w:t> </w:t>
      </w:r>
      <w:r>
        <w:rPr/>
        <w:t>an</w:t>
      </w:r>
      <w:r>
        <w:rPr>
          <w:spacing w:val="-13"/>
        </w:rPr>
        <w:t> </w:t>
      </w:r>
      <w:r>
        <w:rPr/>
        <w:t>opportunity</w:t>
      </w:r>
      <w:r>
        <w:rPr>
          <w:spacing w:val="-13"/>
        </w:rPr>
        <w:t> </w:t>
      </w:r>
      <w:r>
        <w:rPr/>
        <w:t>to</w:t>
      </w:r>
      <w:r>
        <w:rPr>
          <w:spacing w:val="-13"/>
        </w:rPr>
        <w:t> </w:t>
      </w:r>
      <w:r>
        <w:rPr/>
        <w:t>reflect</w:t>
      </w:r>
      <w:r>
        <w:rPr>
          <w:spacing w:val="-13"/>
        </w:rPr>
        <w:t> </w:t>
      </w:r>
      <w:r>
        <w:rPr/>
        <w:t>on</w:t>
      </w:r>
      <w:r>
        <w:rPr>
          <w:spacing w:val="-13"/>
        </w:rPr>
        <w:t> </w:t>
      </w:r>
      <w:r>
        <w:rPr/>
        <w:t>and</w:t>
      </w:r>
      <w:r>
        <w:rPr>
          <w:spacing w:val="-13"/>
        </w:rPr>
        <w:t> </w:t>
      </w:r>
      <w:r>
        <w:rPr/>
        <w:t>learn</w:t>
      </w:r>
      <w:r>
        <w:rPr>
          <w:spacing w:val="-13"/>
        </w:rPr>
        <w:t> </w:t>
      </w:r>
      <w:r>
        <w:rPr/>
        <w:t>from</w:t>
      </w:r>
      <w:r>
        <w:rPr>
          <w:spacing w:val="-13"/>
        </w:rPr>
        <w:t> </w:t>
      </w:r>
      <w:r>
        <w:rPr/>
        <w:t>what is emerging best practice in the EU as regards equality and human rights.</w:t>
      </w:r>
    </w:p>
    <w:p>
      <w:pPr>
        <w:pStyle w:val="BodyText"/>
        <w:spacing w:before="8"/>
        <w:rPr>
          <w:sz w:val="11"/>
        </w:rPr>
      </w:pPr>
      <w:r>
        <w:rPr/>
        <mc:AlternateContent>
          <mc:Choice Requires="wps">
            <w:drawing>
              <wp:anchor distT="0" distB="0" distL="0" distR="0" allowOverlap="1" layoutInCell="1" locked="0" behindDoc="1" simplePos="0" relativeHeight="487811584">
                <wp:simplePos x="0" y="0"/>
                <wp:positionH relativeFrom="page">
                  <wp:posOffset>647999</wp:posOffset>
                </wp:positionH>
                <wp:positionV relativeFrom="paragraph">
                  <wp:posOffset>106099</wp:posOffset>
                </wp:positionV>
                <wp:extent cx="6012180" cy="1270"/>
                <wp:effectExtent l="0" t="0" r="0" b="0"/>
                <wp:wrapTopAndBottom/>
                <wp:docPr id="1166" name="Graphic 1166"/>
                <wp:cNvGraphicFramePr>
                  <a:graphicFrameLocks/>
                </wp:cNvGraphicFramePr>
                <a:graphic>
                  <a:graphicData uri="http://schemas.microsoft.com/office/word/2010/wordprocessingShape">
                    <wps:wsp>
                      <wps:cNvPr id="1166" name="Graphic 116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8.354264pt;width:473.4pt;height:.1pt;mso-position-horizontal-relative:page;mso-position-vertical-relative:paragraph;z-index:-15504896;mso-wrap-distance-left:0;mso-wrap-distance-right:0" id="docshape963" coordorigin="1020,167" coordsize="9468,0" path="m1020,167l10488,167e" filled="false" stroked="true" strokeweight=".5pt" strokecolor="#36a9e1">
                <v:path arrowok="t"/>
                <v:stroke dashstyle="solid"/>
                <w10:wrap type="topAndBottom"/>
              </v:shape>
            </w:pict>
          </mc:Fallback>
        </mc:AlternateContent>
      </w:r>
    </w:p>
    <w:p>
      <w:pPr>
        <w:pStyle w:val="ListParagraph"/>
        <w:numPr>
          <w:ilvl w:val="0"/>
          <w:numId w:val="51"/>
        </w:numPr>
        <w:tabs>
          <w:tab w:pos="1287" w:val="left" w:leader="none"/>
        </w:tabs>
        <w:spacing w:line="240" w:lineRule="auto" w:before="43" w:after="0"/>
        <w:ind w:left="1287" w:right="0" w:hanging="567"/>
        <w:jc w:val="left"/>
        <w:rPr>
          <w:sz w:val="18"/>
        </w:rPr>
      </w:pPr>
      <w:r>
        <w:rPr>
          <w:sz w:val="18"/>
        </w:rPr>
        <w:t>Hansard,</w:t>
      </w:r>
      <w:r>
        <w:rPr>
          <w:spacing w:val="-6"/>
          <w:sz w:val="18"/>
        </w:rPr>
        <w:t> </w:t>
      </w:r>
      <w:r>
        <w:rPr>
          <w:color w:val="1D71B8"/>
          <w:sz w:val="18"/>
          <w:u w:val="single" w:color="1D71B8"/>
        </w:rPr>
        <w:t>‘Illegal</w:t>
      </w:r>
      <w:r>
        <w:rPr>
          <w:color w:val="1D71B8"/>
          <w:spacing w:val="-5"/>
          <w:sz w:val="18"/>
          <w:u w:val="single" w:color="1D71B8"/>
        </w:rPr>
        <w:t> </w:t>
      </w:r>
      <w:r>
        <w:rPr>
          <w:color w:val="1D71B8"/>
          <w:sz w:val="18"/>
          <w:u w:val="single" w:color="1D71B8"/>
        </w:rPr>
        <w:t>Migration</w:t>
      </w:r>
      <w:r>
        <w:rPr>
          <w:color w:val="1D71B8"/>
          <w:spacing w:val="-5"/>
          <w:sz w:val="18"/>
          <w:u w:val="single" w:color="1D71B8"/>
        </w:rPr>
        <w:t> </w:t>
      </w:r>
      <w:r>
        <w:rPr>
          <w:color w:val="1D71B8"/>
          <w:sz w:val="18"/>
          <w:u w:val="single" w:color="1D71B8"/>
        </w:rPr>
        <w:t>Bill</w:t>
      </w:r>
      <w:r>
        <w:rPr>
          <w:color w:val="1D71B8"/>
          <w:spacing w:val="-5"/>
          <w:sz w:val="18"/>
          <w:u w:val="single" w:color="1D71B8"/>
        </w:rPr>
        <w:t> </w:t>
      </w:r>
      <w:r>
        <w:rPr>
          <w:color w:val="1D71B8"/>
          <w:sz w:val="18"/>
          <w:u w:val="single" w:color="1D71B8"/>
        </w:rPr>
        <w:t>Volume</w:t>
      </w:r>
      <w:r>
        <w:rPr>
          <w:color w:val="1D71B8"/>
          <w:spacing w:val="-4"/>
          <w:sz w:val="18"/>
          <w:u w:val="single" w:color="1D71B8"/>
        </w:rPr>
        <w:t> </w:t>
      </w:r>
      <w:r>
        <w:rPr>
          <w:color w:val="1D71B8"/>
          <w:sz w:val="18"/>
          <w:u w:val="single" w:color="1D71B8"/>
        </w:rPr>
        <w:t>831:</w:t>
      </w:r>
      <w:r>
        <w:rPr>
          <w:color w:val="1D71B8"/>
          <w:spacing w:val="-4"/>
          <w:sz w:val="18"/>
          <w:u w:val="single" w:color="1D71B8"/>
        </w:rPr>
        <w:t> </w:t>
      </w:r>
      <w:r>
        <w:rPr>
          <w:color w:val="1D71B8"/>
          <w:sz w:val="18"/>
          <w:u w:val="single" w:color="1D71B8"/>
        </w:rPr>
        <w:t>debated</w:t>
      </w:r>
      <w:r>
        <w:rPr>
          <w:color w:val="1D71B8"/>
          <w:spacing w:val="-6"/>
          <w:sz w:val="18"/>
          <w:u w:val="single" w:color="1D71B8"/>
        </w:rPr>
        <w:t> </w:t>
      </w:r>
      <w:r>
        <w:rPr>
          <w:color w:val="1D71B8"/>
          <w:sz w:val="18"/>
          <w:u w:val="single" w:color="1D71B8"/>
        </w:rPr>
        <w:t>on</w:t>
      </w:r>
      <w:r>
        <w:rPr>
          <w:color w:val="1D71B8"/>
          <w:spacing w:val="-5"/>
          <w:sz w:val="18"/>
          <w:u w:val="single" w:color="1D71B8"/>
        </w:rPr>
        <w:t> </w:t>
      </w:r>
      <w:r>
        <w:rPr>
          <w:color w:val="1D71B8"/>
          <w:sz w:val="18"/>
          <w:u w:val="single" w:color="1D71B8"/>
        </w:rPr>
        <w:t>Wednesday</w:t>
      </w:r>
      <w:r>
        <w:rPr>
          <w:color w:val="1D71B8"/>
          <w:spacing w:val="-4"/>
          <w:sz w:val="18"/>
          <w:u w:val="single" w:color="1D71B8"/>
        </w:rPr>
        <w:t> </w:t>
      </w:r>
      <w:r>
        <w:rPr>
          <w:color w:val="1D71B8"/>
          <w:sz w:val="18"/>
          <w:u w:val="single" w:color="1D71B8"/>
        </w:rPr>
        <w:t>28</w:t>
      </w:r>
      <w:r>
        <w:rPr>
          <w:color w:val="1D71B8"/>
          <w:spacing w:val="-4"/>
          <w:sz w:val="18"/>
          <w:u w:val="single" w:color="1D71B8"/>
        </w:rPr>
        <w:t> </w:t>
      </w:r>
      <w:r>
        <w:rPr>
          <w:color w:val="1D71B8"/>
          <w:sz w:val="18"/>
          <w:u w:val="single" w:color="1D71B8"/>
        </w:rPr>
        <w:t>June</w:t>
      </w:r>
      <w:r>
        <w:rPr>
          <w:color w:val="1D71B8"/>
          <w:spacing w:val="-4"/>
          <w:sz w:val="18"/>
          <w:u w:val="single" w:color="1D71B8"/>
        </w:rPr>
        <w:t> </w:t>
      </w:r>
      <w:r>
        <w:rPr>
          <w:color w:val="1D71B8"/>
          <w:spacing w:val="-2"/>
          <w:sz w:val="18"/>
          <w:u w:val="single" w:color="1D71B8"/>
        </w:rPr>
        <w:t>2023’</w:t>
      </w:r>
      <w:r>
        <w:rPr>
          <w:spacing w:val="-2"/>
          <w:sz w:val="18"/>
          <w:u w:val="none"/>
        </w:rPr>
        <w:t>.</w:t>
      </w:r>
    </w:p>
    <w:p>
      <w:pPr>
        <w:pStyle w:val="ListParagraph"/>
        <w:numPr>
          <w:ilvl w:val="0"/>
          <w:numId w:val="51"/>
        </w:numPr>
        <w:tabs>
          <w:tab w:pos="1287" w:val="left" w:leader="none"/>
        </w:tabs>
        <w:spacing w:line="240" w:lineRule="auto" w:before="1" w:after="0"/>
        <w:ind w:left="1287" w:right="0" w:hanging="567"/>
        <w:jc w:val="left"/>
        <w:rPr>
          <w:sz w:val="18"/>
        </w:rPr>
      </w:pPr>
      <w:r>
        <w:rPr>
          <w:color w:val="1D71B8"/>
          <w:sz w:val="18"/>
          <w:u w:val="single" w:color="1D71B8"/>
        </w:rPr>
        <w:t>Illegal</w:t>
      </w:r>
      <w:r>
        <w:rPr>
          <w:color w:val="1D71B8"/>
          <w:spacing w:val="-7"/>
          <w:sz w:val="18"/>
          <w:u w:val="single" w:color="1D71B8"/>
        </w:rPr>
        <w:t> </w:t>
      </w:r>
      <w:r>
        <w:rPr>
          <w:color w:val="1D71B8"/>
          <w:sz w:val="18"/>
          <w:u w:val="single" w:color="1D71B8"/>
        </w:rPr>
        <w:t>Migration</w:t>
      </w:r>
      <w:r>
        <w:rPr>
          <w:color w:val="1D71B8"/>
          <w:spacing w:val="-7"/>
          <w:sz w:val="18"/>
          <w:u w:val="single" w:color="1D71B8"/>
        </w:rPr>
        <w:t> </w:t>
      </w:r>
      <w:r>
        <w:rPr>
          <w:color w:val="1D71B8"/>
          <w:sz w:val="18"/>
          <w:u w:val="single" w:color="1D71B8"/>
        </w:rPr>
        <w:t>Act</w:t>
      </w:r>
      <w:r>
        <w:rPr>
          <w:color w:val="1D71B8"/>
          <w:spacing w:val="-7"/>
          <w:sz w:val="18"/>
          <w:u w:val="single" w:color="1D71B8"/>
        </w:rPr>
        <w:t> </w:t>
      </w:r>
      <w:r>
        <w:rPr>
          <w:color w:val="1D71B8"/>
          <w:sz w:val="18"/>
          <w:u w:val="single" w:color="1D71B8"/>
        </w:rPr>
        <w:t>case</w:t>
      </w:r>
      <w:r>
        <w:rPr>
          <w:color w:val="1D71B8"/>
          <w:spacing w:val="-6"/>
          <w:sz w:val="18"/>
          <w:u w:val="none"/>
        </w:rPr>
        <w:t> </w:t>
      </w:r>
      <w:r>
        <w:rPr>
          <w:sz w:val="18"/>
          <w:u w:val="none"/>
        </w:rPr>
        <w:t>[147]-</w:t>
      </w:r>
      <w:r>
        <w:rPr>
          <w:spacing w:val="-2"/>
          <w:sz w:val="18"/>
          <w:u w:val="none"/>
        </w:rPr>
        <w:t>[158].</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29280">
                <wp:simplePos x="0" y="0"/>
                <wp:positionH relativeFrom="page">
                  <wp:posOffset>-2</wp:posOffset>
                </wp:positionH>
                <wp:positionV relativeFrom="page">
                  <wp:posOffset>0</wp:posOffset>
                </wp:positionV>
                <wp:extent cx="7560309" cy="5713095"/>
                <wp:effectExtent l="0" t="0" r="0" b="0"/>
                <wp:wrapNone/>
                <wp:docPr id="1167" name="Group 1167"/>
                <wp:cNvGraphicFramePr>
                  <a:graphicFrameLocks/>
                </wp:cNvGraphicFramePr>
                <a:graphic>
                  <a:graphicData uri="http://schemas.microsoft.com/office/word/2010/wordprocessingGroup">
                    <wpg:wgp>
                      <wpg:cNvPr id="1167" name="Group 1167"/>
                      <wpg:cNvGrpSpPr/>
                      <wpg:grpSpPr>
                        <a:xfrm>
                          <a:off x="0" y="0"/>
                          <a:ext cx="7560309" cy="5713095"/>
                          <a:chExt cx="7560309" cy="5713095"/>
                        </a:xfrm>
                      </wpg:grpSpPr>
                      <pic:pic>
                        <pic:nvPicPr>
                          <pic:cNvPr id="1168" name="Image 1168"/>
                          <pic:cNvPicPr/>
                        </pic:nvPicPr>
                        <pic:blipFill>
                          <a:blip r:embed="rId28" cstate="print"/>
                          <a:stretch>
                            <a:fillRect/>
                          </a:stretch>
                        </pic:blipFill>
                        <pic:spPr>
                          <a:xfrm>
                            <a:off x="2" y="0"/>
                            <a:ext cx="7559992" cy="2700007"/>
                          </a:xfrm>
                          <a:prstGeom prst="rect">
                            <a:avLst/>
                          </a:prstGeom>
                        </pic:spPr>
                      </pic:pic>
                      <wps:wsp>
                        <wps:cNvPr id="1169" name="Graphic 1169"/>
                        <wps:cNvSpPr/>
                        <wps:spPr>
                          <a:xfrm>
                            <a:off x="2" y="1530002"/>
                            <a:ext cx="7560309" cy="4183379"/>
                          </a:xfrm>
                          <a:custGeom>
                            <a:avLst/>
                            <a:gdLst/>
                            <a:ahLst/>
                            <a:cxnLst/>
                            <a:rect l="l" t="t" r="r" b="b"/>
                            <a:pathLst>
                              <a:path w="7560309" h="4183379">
                                <a:moveTo>
                                  <a:pt x="6840004" y="0"/>
                                </a:moveTo>
                                <a:lnTo>
                                  <a:pt x="0" y="0"/>
                                </a:lnTo>
                                <a:lnTo>
                                  <a:pt x="0" y="4182871"/>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1170" name="Graphic 117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171" name="Graphic 117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449.85pt;mso-position-horizontal-relative:page;mso-position-vertical-relative:page;z-index:-19187200" id="docshapegroup964" coordorigin="0,0" coordsize="11906,8997">
                <v:shape style="position:absolute;left:0;top:0;width:11906;height:4252" type="#_x0000_t75" id="docshape965" stroked="false">
                  <v:imagedata r:id="rId28" o:title=""/>
                </v:shape>
                <v:shape style="position:absolute;left:0;top:2409;width:11906;height:6588" id="docshape966" coordorigin="0,2409" coordsize="11906,6588" path="m10772,2409l0,2409,0,8997,11906,8997,11906,2977,11846,2902,11798,2850,11749,2800,11697,2753,11642,2708,11586,2666,11527,2627,11467,2591,11404,2558,11340,2528,11274,2501,11206,2477,11137,2457,11066,2440,10994,2427,10921,2417,10847,2411,10772,2409xe" filled="true" fillcolor="#ffffff" stroked="false">
                  <v:path arrowok="t"/>
                  <v:fill type="solid"/>
                </v:shape>
                <v:shape style="position:absolute;left:0;top:0;width:11906;height:1819" id="docshape967"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tabs>
          <w:tab w:pos="10768" w:val="left" w:leader="none"/>
        </w:tabs>
        <w:spacing w:before="1"/>
        <w:ind w:left="4140" w:right="0" w:firstLine="0"/>
        <w:jc w:val="left"/>
        <w:rPr>
          <w:b/>
          <w:sz w:val="28"/>
        </w:rPr>
      </w:pPr>
      <w:bookmarkStart w:name="List of Recommendations" w:id="231"/>
      <w:bookmarkEnd w:id="231"/>
      <w:r>
        <w:rPr/>
      </w:r>
      <w:bookmarkStart w:name="_bookmark94" w:id="232"/>
      <w:bookmarkEnd w:id="232"/>
      <w:r>
        <w:rPr/>
      </w:r>
      <w:r>
        <w:rPr>
          <w:b/>
          <w:color w:val="FFFFFF"/>
          <w:sz w:val="24"/>
        </w:rPr>
        <w:t>EU</w:t>
      </w:r>
      <w:r>
        <w:rPr>
          <w:b/>
          <w:color w:val="FFFFFF"/>
          <w:spacing w:val="-5"/>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143</w:t>
      </w:r>
    </w:p>
    <w:p>
      <w:pPr>
        <w:pStyle w:val="BodyText"/>
        <w:spacing w:before="40"/>
        <w:rPr>
          <w:b/>
          <w:sz w:val="52"/>
        </w:rPr>
      </w:pPr>
    </w:p>
    <w:p>
      <w:pPr>
        <w:pStyle w:val="Heading1"/>
      </w:pPr>
      <w:r>
        <w:rPr>
          <w:color w:val="FFFFFF"/>
        </w:rPr>
        <w:t>List</w:t>
      </w:r>
      <w:r>
        <w:rPr>
          <w:color w:val="FFFFFF"/>
          <w:spacing w:val="-5"/>
        </w:rPr>
        <w:t> </w:t>
      </w:r>
      <w:r>
        <w:rPr>
          <w:color w:val="FFFFFF"/>
        </w:rPr>
        <w:t>of</w:t>
      </w:r>
      <w:r>
        <w:rPr>
          <w:color w:val="FFFFFF"/>
          <w:spacing w:val="-4"/>
        </w:rPr>
        <w:t> </w:t>
      </w:r>
      <w:r>
        <w:rPr>
          <w:color w:val="FFFFFF"/>
          <w:spacing w:val="-2"/>
        </w:rPr>
        <w:t>Recommendations</w:t>
      </w:r>
    </w:p>
    <w:p>
      <w:pPr>
        <w:pStyle w:val="BodyText"/>
        <w:spacing w:line="232" w:lineRule="auto" w:before="385"/>
        <w:ind w:left="1117"/>
      </w:pPr>
      <w:r>
        <w:rPr/>
        <w:t>We</w:t>
      </w:r>
      <w:r>
        <w:rPr>
          <w:spacing w:val="-5"/>
        </w:rPr>
        <w:t> </w:t>
      </w:r>
      <w:r>
        <w:rPr/>
        <w:t>recommend</w:t>
      </w:r>
      <w:r>
        <w:rPr>
          <w:spacing w:val="-6"/>
        </w:rPr>
        <w:t> </w:t>
      </w:r>
      <w:r>
        <w:rPr/>
        <w:t>that</w:t>
      </w:r>
      <w:r>
        <w:rPr>
          <w:spacing w:val="-5"/>
        </w:rPr>
        <w:t> </w:t>
      </w:r>
      <w:r>
        <w:rPr/>
        <w:t>that</w:t>
      </w:r>
      <w:r>
        <w:rPr>
          <w:spacing w:val="-5"/>
        </w:rPr>
        <w:t> </w:t>
      </w:r>
      <w:r>
        <w:rPr/>
        <w:t>EU</w:t>
      </w:r>
      <w:r>
        <w:rPr>
          <w:spacing w:val="-5"/>
        </w:rPr>
        <w:t> </w:t>
      </w:r>
      <w:r>
        <w:rPr/>
        <w:t>and</w:t>
      </w:r>
      <w:r>
        <w:rPr>
          <w:spacing w:val="-6"/>
        </w:rPr>
        <w:t> </w:t>
      </w:r>
      <w:r>
        <w:rPr/>
        <w:t>UK</w:t>
      </w:r>
      <w:r>
        <w:rPr>
          <w:spacing w:val="-5"/>
        </w:rPr>
        <w:t> </w:t>
      </w:r>
      <w:r>
        <w:rPr/>
        <w:t>publish</w:t>
      </w:r>
      <w:r>
        <w:rPr>
          <w:spacing w:val="-6"/>
        </w:rPr>
        <w:t> </w:t>
      </w:r>
      <w:r>
        <w:rPr/>
        <w:t>a</w:t>
      </w:r>
      <w:r>
        <w:rPr>
          <w:spacing w:val="-6"/>
        </w:rPr>
        <w:t> </w:t>
      </w:r>
      <w:r>
        <w:rPr/>
        <w:t>consolidated</w:t>
      </w:r>
      <w:r>
        <w:rPr>
          <w:spacing w:val="-6"/>
        </w:rPr>
        <w:t> </w:t>
      </w:r>
      <w:r>
        <w:rPr/>
        <w:t>version</w:t>
      </w:r>
      <w:r>
        <w:rPr>
          <w:spacing w:val="-6"/>
        </w:rPr>
        <w:t> </w:t>
      </w:r>
      <w:r>
        <w:rPr/>
        <w:t>of</w:t>
      </w:r>
      <w:r>
        <w:rPr>
          <w:spacing w:val="-6"/>
        </w:rPr>
        <w:t> </w:t>
      </w:r>
      <w:r>
        <w:rPr/>
        <w:t>the</w:t>
      </w:r>
      <w:r>
        <w:rPr>
          <w:spacing w:val="-5"/>
        </w:rPr>
        <w:t> </w:t>
      </w:r>
      <w:r>
        <w:rPr/>
        <w:t>Windsor Framework text.</w:t>
      </w:r>
    </w:p>
    <w:p>
      <w:pPr>
        <w:pStyle w:val="BodyText"/>
        <w:spacing w:line="232" w:lineRule="auto" w:before="281"/>
        <w:ind w:left="1117" w:right="1087"/>
      </w:pPr>
      <w:r>
        <w:rPr/>
        <w:t>We recommend that the Executive Office explicitly refer to, and consider, the Article</w:t>
      </w:r>
      <w:r>
        <w:rPr>
          <w:spacing w:val="-7"/>
        </w:rPr>
        <w:t> </w:t>
      </w:r>
      <w:r>
        <w:rPr/>
        <w:t>2</w:t>
      </w:r>
      <w:r>
        <w:rPr>
          <w:spacing w:val="-7"/>
        </w:rPr>
        <w:t> </w:t>
      </w:r>
      <w:r>
        <w:rPr/>
        <w:t>WF</w:t>
      </w:r>
      <w:r>
        <w:rPr>
          <w:spacing w:val="-8"/>
        </w:rPr>
        <w:t> </w:t>
      </w:r>
      <w:r>
        <w:rPr/>
        <w:t>obligations</w:t>
      </w:r>
      <w:r>
        <w:rPr>
          <w:spacing w:val="-8"/>
        </w:rPr>
        <w:t> </w:t>
      </w:r>
      <w:r>
        <w:rPr/>
        <w:t>in</w:t>
      </w:r>
      <w:r>
        <w:rPr>
          <w:spacing w:val="-8"/>
        </w:rPr>
        <w:t> </w:t>
      </w:r>
      <w:r>
        <w:rPr/>
        <w:t>its</w:t>
      </w:r>
      <w:r>
        <w:rPr>
          <w:spacing w:val="-8"/>
        </w:rPr>
        <w:t> </w:t>
      </w:r>
      <w:r>
        <w:rPr/>
        <w:t>work</w:t>
      </w:r>
      <w:r>
        <w:rPr>
          <w:spacing w:val="-7"/>
        </w:rPr>
        <w:t> </w:t>
      </w:r>
      <w:r>
        <w:rPr/>
        <w:t>on</w:t>
      </w:r>
      <w:r>
        <w:rPr>
          <w:spacing w:val="-8"/>
        </w:rPr>
        <w:t> </w:t>
      </w:r>
      <w:r>
        <w:rPr/>
        <w:t>reform</w:t>
      </w:r>
      <w:r>
        <w:rPr>
          <w:spacing w:val="-7"/>
        </w:rPr>
        <w:t> </w:t>
      </w:r>
      <w:r>
        <w:rPr/>
        <w:t>of</w:t>
      </w:r>
      <w:r>
        <w:rPr>
          <w:spacing w:val="-8"/>
        </w:rPr>
        <w:t> </w:t>
      </w:r>
      <w:r>
        <w:rPr/>
        <w:t>the</w:t>
      </w:r>
      <w:r>
        <w:rPr>
          <w:spacing w:val="-7"/>
        </w:rPr>
        <w:t> </w:t>
      </w:r>
      <w:r>
        <w:rPr/>
        <w:t>Race</w:t>
      </w:r>
      <w:r>
        <w:rPr>
          <w:spacing w:val="-7"/>
        </w:rPr>
        <w:t> </w:t>
      </w:r>
      <w:r>
        <w:rPr/>
        <w:t>Relations</w:t>
      </w:r>
      <w:r>
        <w:rPr>
          <w:spacing w:val="-8"/>
        </w:rPr>
        <w:t> </w:t>
      </w:r>
      <w:r>
        <w:rPr/>
        <w:t>Order.</w:t>
      </w:r>
      <w:r>
        <w:rPr>
          <w:spacing w:val="-8"/>
        </w:rPr>
        <w:t> </w:t>
      </w:r>
      <w:r>
        <w:rPr/>
        <w:t>This should include as regards relevant CJEU case law.</w:t>
      </w:r>
    </w:p>
    <w:p>
      <w:pPr>
        <w:pStyle w:val="BodyText"/>
        <w:spacing w:line="232" w:lineRule="auto" w:before="279"/>
        <w:ind w:left="1117" w:right="954"/>
      </w:pPr>
      <w:r>
        <w:rPr/>
        <w:t>We recommend that the Executive Office and other relevant NI Departments consider</w:t>
      </w:r>
      <w:r>
        <w:rPr>
          <w:spacing w:val="-4"/>
        </w:rPr>
        <w:t> </w:t>
      </w:r>
      <w:r>
        <w:rPr/>
        <w:t>any</w:t>
      </w:r>
      <w:r>
        <w:rPr>
          <w:spacing w:val="-4"/>
        </w:rPr>
        <w:t> </w:t>
      </w:r>
      <w:r>
        <w:rPr/>
        <w:t>EU</w:t>
      </w:r>
      <w:r>
        <w:rPr>
          <w:spacing w:val="-4"/>
        </w:rPr>
        <w:t> </w:t>
      </w:r>
      <w:r>
        <w:rPr/>
        <w:t>proposals</w:t>
      </w:r>
      <w:r>
        <w:rPr>
          <w:spacing w:val="-5"/>
        </w:rPr>
        <w:t> </w:t>
      </w:r>
      <w:r>
        <w:rPr/>
        <w:t>for</w:t>
      </w:r>
      <w:r>
        <w:rPr>
          <w:spacing w:val="-4"/>
        </w:rPr>
        <w:t> </w:t>
      </w:r>
      <w:r>
        <w:rPr/>
        <w:t>amendments</w:t>
      </w:r>
      <w:r>
        <w:rPr>
          <w:spacing w:val="-5"/>
        </w:rPr>
        <w:t> </w:t>
      </w:r>
      <w:r>
        <w:rPr/>
        <w:t>to</w:t>
      </w:r>
      <w:r>
        <w:rPr>
          <w:spacing w:val="-5"/>
        </w:rPr>
        <w:t> </w:t>
      </w:r>
      <w:r>
        <w:rPr/>
        <w:t>EU</w:t>
      </w:r>
      <w:r>
        <w:rPr>
          <w:spacing w:val="-4"/>
        </w:rPr>
        <w:t> </w:t>
      </w:r>
      <w:r>
        <w:rPr/>
        <w:t>law</w:t>
      </w:r>
      <w:r>
        <w:rPr>
          <w:spacing w:val="-4"/>
        </w:rPr>
        <w:t> </w:t>
      </w:r>
      <w:r>
        <w:rPr/>
        <w:t>where</w:t>
      </w:r>
      <w:r>
        <w:rPr>
          <w:spacing w:val="-4"/>
        </w:rPr>
        <w:t> </w:t>
      </w:r>
      <w:r>
        <w:rPr/>
        <w:t>they</w:t>
      </w:r>
      <w:r>
        <w:rPr>
          <w:spacing w:val="-4"/>
        </w:rPr>
        <w:t> </w:t>
      </w:r>
      <w:r>
        <w:rPr/>
        <w:t>may</w:t>
      </w:r>
      <w:r>
        <w:rPr>
          <w:spacing w:val="-4"/>
        </w:rPr>
        <w:t> </w:t>
      </w:r>
      <w:r>
        <w:rPr/>
        <w:t>trigger</w:t>
      </w:r>
      <w:r>
        <w:rPr>
          <w:spacing w:val="-4"/>
        </w:rPr>
        <w:t> </w:t>
      </w:r>
      <w:r>
        <w:rPr/>
        <w:t>the keeping pace requirement because they amend or replace an Annex 1 directive or</w:t>
      </w:r>
      <w:r>
        <w:rPr>
          <w:spacing w:val="-7"/>
        </w:rPr>
        <w:t> </w:t>
      </w:r>
      <w:r>
        <w:rPr/>
        <w:t>may</w:t>
      </w:r>
      <w:r>
        <w:rPr>
          <w:spacing w:val="-7"/>
        </w:rPr>
        <w:t> </w:t>
      </w:r>
      <w:r>
        <w:rPr/>
        <w:t>represent</w:t>
      </w:r>
      <w:r>
        <w:rPr>
          <w:spacing w:val="-7"/>
        </w:rPr>
        <w:t> </w:t>
      </w:r>
      <w:r>
        <w:rPr/>
        <w:t>an</w:t>
      </w:r>
      <w:r>
        <w:rPr>
          <w:spacing w:val="-8"/>
        </w:rPr>
        <w:t> </w:t>
      </w:r>
      <w:r>
        <w:rPr/>
        <w:t>opportunity</w:t>
      </w:r>
      <w:r>
        <w:rPr>
          <w:spacing w:val="-7"/>
        </w:rPr>
        <w:t> </w:t>
      </w:r>
      <w:r>
        <w:rPr/>
        <w:t>for</w:t>
      </w:r>
      <w:r>
        <w:rPr>
          <w:spacing w:val="-7"/>
        </w:rPr>
        <w:t> </w:t>
      </w:r>
      <w:r>
        <w:rPr/>
        <w:t>voluntary</w:t>
      </w:r>
      <w:r>
        <w:rPr>
          <w:spacing w:val="-7"/>
        </w:rPr>
        <w:t> </w:t>
      </w:r>
      <w:r>
        <w:rPr/>
        <w:t>alignment</w:t>
      </w:r>
      <w:r>
        <w:rPr>
          <w:spacing w:val="-7"/>
        </w:rPr>
        <w:t> </w:t>
      </w:r>
      <w:r>
        <w:rPr/>
        <w:t>to</w:t>
      </w:r>
      <w:r>
        <w:rPr>
          <w:spacing w:val="-8"/>
        </w:rPr>
        <w:t> </w:t>
      </w:r>
      <w:r>
        <w:rPr/>
        <w:t>strengthen</w:t>
      </w:r>
      <w:r>
        <w:rPr>
          <w:spacing w:val="-8"/>
        </w:rPr>
        <w:t> </w:t>
      </w:r>
      <w:r>
        <w:rPr/>
        <w:t>rights</w:t>
      </w:r>
      <w:r>
        <w:rPr>
          <w:spacing w:val="-8"/>
        </w:rPr>
        <w:t> </w:t>
      </w:r>
      <w:r>
        <w:rPr/>
        <w:t>and reflect international human rights standards and best practice.</w:t>
      </w:r>
    </w:p>
    <w:p>
      <w:pPr>
        <w:pStyle w:val="BodyText"/>
        <w:spacing w:line="232" w:lineRule="auto" w:before="275"/>
        <w:ind w:left="1117" w:right="738"/>
      </w:pPr>
      <w:r>
        <w:rPr/>
        <w:t>We recommend that the Executive Office and other relevant NI Departments consider</w:t>
      </w:r>
      <w:r>
        <w:rPr>
          <w:spacing w:val="-6"/>
        </w:rPr>
        <w:t> </w:t>
      </w:r>
      <w:r>
        <w:rPr/>
        <w:t>any</w:t>
      </w:r>
      <w:r>
        <w:rPr>
          <w:spacing w:val="-6"/>
        </w:rPr>
        <w:t> </w:t>
      </w:r>
      <w:r>
        <w:rPr/>
        <w:t>proposals</w:t>
      </w:r>
      <w:r>
        <w:rPr>
          <w:spacing w:val="-7"/>
        </w:rPr>
        <w:t> </w:t>
      </w:r>
      <w:r>
        <w:rPr/>
        <w:t>for</w:t>
      </w:r>
      <w:r>
        <w:rPr>
          <w:spacing w:val="-6"/>
        </w:rPr>
        <w:t> </w:t>
      </w:r>
      <w:r>
        <w:rPr/>
        <w:t>amendments</w:t>
      </w:r>
      <w:r>
        <w:rPr>
          <w:spacing w:val="-7"/>
        </w:rPr>
        <w:t> </w:t>
      </w:r>
      <w:r>
        <w:rPr/>
        <w:t>to</w:t>
      </w:r>
      <w:r>
        <w:rPr>
          <w:spacing w:val="-7"/>
        </w:rPr>
        <w:t> </w:t>
      </w:r>
      <w:r>
        <w:rPr/>
        <w:t>the</w:t>
      </w:r>
      <w:r>
        <w:rPr>
          <w:spacing w:val="-6"/>
        </w:rPr>
        <w:t> </w:t>
      </w:r>
      <w:r>
        <w:rPr/>
        <w:t>Irish</w:t>
      </w:r>
      <w:r>
        <w:rPr>
          <w:spacing w:val="-7"/>
        </w:rPr>
        <w:t> </w:t>
      </w:r>
      <w:r>
        <w:rPr/>
        <w:t>equality</w:t>
      </w:r>
      <w:r>
        <w:rPr>
          <w:spacing w:val="-6"/>
        </w:rPr>
        <w:t> </w:t>
      </w:r>
      <w:r>
        <w:rPr/>
        <w:t>legislation</w:t>
      </w:r>
      <w:r>
        <w:rPr>
          <w:spacing w:val="-7"/>
        </w:rPr>
        <w:t> </w:t>
      </w:r>
      <w:r>
        <w:rPr/>
        <w:t>where</w:t>
      </w:r>
      <w:r>
        <w:rPr>
          <w:spacing w:val="-6"/>
        </w:rPr>
        <w:t> </w:t>
      </w:r>
      <w:r>
        <w:rPr/>
        <w:t>they highlight a risk of divergence of rights or an opportunity for voluntary alignment</w:t>
      </w:r>
    </w:p>
    <w:p>
      <w:pPr>
        <w:pStyle w:val="BodyText"/>
        <w:spacing w:line="232" w:lineRule="auto"/>
        <w:ind w:left="1117" w:right="1087"/>
      </w:pPr>
      <w:r>
        <w:rPr/>
        <w:t>to</w:t>
      </w:r>
      <w:r>
        <w:rPr>
          <w:spacing w:val="-9"/>
        </w:rPr>
        <w:t> </w:t>
      </w:r>
      <w:r>
        <w:rPr/>
        <w:t>strengthen</w:t>
      </w:r>
      <w:r>
        <w:rPr>
          <w:spacing w:val="-9"/>
        </w:rPr>
        <w:t> </w:t>
      </w:r>
      <w:r>
        <w:rPr/>
        <w:t>rights</w:t>
      </w:r>
      <w:r>
        <w:rPr>
          <w:spacing w:val="-9"/>
        </w:rPr>
        <w:t> </w:t>
      </w:r>
      <w:r>
        <w:rPr/>
        <w:t>and</w:t>
      </w:r>
      <w:r>
        <w:rPr>
          <w:spacing w:val="-9"/>
        </w:rPr>
        <w:t> </w:t>
      </w:r>
      <w:r>
        <w:rPr/>
        <w:t>reflect</w:t>
      </w:r>
      <w:r>
        <w:rPr>
          <w:spacing w:val="-8"/>
        </w:rPr>
        <w:t> </w:t>
      </w:r>
      <w:r>
        <w:rPr/>
        <w:t>international</w:t>
      </w:r>
      <w:r>
        <w:rPr>
          <w:spacing w:val="-9"/>
        </w:rPr>
        <w:t> </w:t>
      </w:r>
      <w:r>
        <w:rPr/>
        <w:t>human</w:t>
      </w:r>
      <w:r>
        <w:rPr>
          <w:spacing w:val="-9"/>
        </w:rPr>
        <w:t> </w:t>
      </w:r>
      <w:r>
        <w:rPr/>
        <w:t>rights</w:t>
      </w:r>
      <w:r>
        <w:rPr>
          <w:spacing w:val="-9"/>
        </w:rPr>
        <w:t> </w:t>
      </w:r>
      <w:r>
        <w:rPr/>
        <w:t>standards</w:t>
      </w:r>
      <w:r>
        <w:rPr>
          <w:spacing w:val="-9"/>
        </w:rPr>
        <w:t> </w:t>
      </w:r>
      <w:r>
        <w:rPr/>
        <w:t>and</w:t>
      </w:r>
      <w:r>
        <w:rPr>
          <w:spacing w:val="-9"/>
        </w:rPr>
        <w:t> </w:t>
      </w:r>
      <w:r>
        <w:rPr/>
        <w:t>best </w:t>
      </w:r>
      <w:r>
        <w:rPr>
          <w:spacing w:val="-2"/>
        </w:rPr>
        <w:t>practice.</w:t>
      </w:r>
    </w:p>
    <w:p>
      <w:pPr>
        <w:pStyle w:val="BodyText"/>
        <w:spacing w:line="232" w:lineRule="auto" w:before="276"/>
        <w:ind w:left="1117" w:right="888"/>
      </w:pPr>
      <w:r>
        <w:rPr/>
        <w:t>We</w:t>
      </w:r>
      <w:r>
        <w:rPr>
          <w:spacing w:val="-10"/>
        </w:rPr>
        <w:t> </w:t>
      </w:r>
      <w:r>
        <w:rPr/>
        <w:t>recommend</w:t>
      </w:r>
      <w:r>
        <w:rPr>
          <w:spacing w:val="-10"/>
        </w:rPr>
        <w:t> </w:t>
      </w:r>
      <w:r>
        <w:rPr/>
        <w:t>that</w:t>
      </w:r>
      <w:r>
        <w:rPr>
          <w:spacing w:val="-10"/>
        </w:rPr>
        <w:t> </w:t>
      </w:r>
      <w:r>
        <w:rPr/>
        <w:t>the</w:t>
      </w:r>
      <w:r>
        <w:rPr>
          <w:spacing w:val="-10"/>
        </w:rPr>
        <w:t> </w:t>
      </w:r>
      <w:r>
        <w:rPr/>
        <w:t>UK</w:t>
      </w:r>
      <w:r>
        <w:rPr>
          <w:spacing w:val="-10"/>
        </w:rPr>
        <w:t> </w:t>
      </w:r>
      <w:r>
        <w:rPr/>
        <w:t>Government</w:t>
      </w:r>
      <w:r>
        <w:rPr>
          <w:spacing w:val="-10"/>
        </w:rPr>
        <w:t> </w:t>
      </w:r>
      <w:r>
        <w:rPr/>
        <w:t>introduce</w:t>
      </w:r>
      <w:r>
        <w:rPr>
          <w:spacing w:val="-10"/>
        </w:rPr>
        <w:t> </w:t>
      </w:r>
      <w:r>
        <w:rPr/>
        <w:t>amendments</w:t>
      </w:r>
      <w:r>
        <w:rPr>
          <w:spacing w:val="-10"/>
        </w:rPr>
        <w:t> </w:t>
      </w:r>
      <w:r>
        <w:rPr/>
        <w:t>into</w:t>
      </w:r>
      <w:r>
        <w:rPr>
          <w:spacing w:val="-10"/>
        </w:rPr>
        <w:t> </w:t>
      </w:r>
      <w:r>
        <w:rPr/>
        <w:t>Parliament to amend any enacted legislation that has included provisions limiting the application of section 3 of the Human Rights Act to remove that limitation.</w:t>
      </w:r>
    </w:p>
    <w:p>
      <w:pPr>
        <w:pStyle w:val="BodyText"/>
        <w:spacing w:line="232" w:lineRule="auto" w:before="279"/>
        <w:ind w:left="1117" w:right="1087"/>
      </w:pPr>
      <w:r>
        <w:rPr/>
        <w:t>We recommend that the UK Government introduce legislation into Parliament to</w:t>
      </w:r>
      <w:r>
        <w:rPr>
          <w:spacing w:val="-6"/>
        </w:rPr>
        <w:t> </w:t>
      </w:r>
      <w:r>
        <w:rPr/>
        <w:t>amend</w:t>
      </w:r>
      <w:r>
        <w:rPr>
          <w:spacing w:val="-6"/>
        </w:rPr>
        <w:t> </w:t>
      </w:r>
      <w:r>
        <w:rPr/>
        <w:t>the</w:t>
      </w:r>
      <w:r>
        <w:rPr>
          <w:spacing w:val="-5"/>
        </w:rPr>
        <w:t> </w:t>
      </w:r>
      <w:r>
        <w:rPr/>
        <w:t>Elections</w:t>
      </w:r>
      <w:r>
        <w:rPr>
          <w:spacing w:val="-6"/>
        </w:rPr>
        <w:t> </w:t>
      </w:r>
      <w:r>
        <w:rPr/>
        <w:t>Act</w:t>
      </w:r>
      <w:r>
        <w:rPr>
          <w:spacing w:val="-5"/>
        </w:rPr>
        <w:t> </w:t>
      </w:r>
      <w:r>
        <w:rPr/>
        <w:t>to</w:t>
      </w:r>
      <w:r>
        <w:rPr>
          <w:spacing w:val="-6"/>
        </w:rPr>
        <w:t> </w:t>
      </w:r>
      <w:r>
        <w:rPr/>
        <w:t>restore</w:t>
      </w:r>
      <w:r>
        <w:rPr>
          <w:spacing w:val="-5"/>
        </w:rPr>
        <w:t> </w:t>
      </w:r>
      <w:r>
        <w:rPr/>
        <w:t>the</w:t>
      </w:r>
      <w:r>
        <w:rPr>
          <w:spacing w:val="-5"/>
        </w:rPr>
        <w:t> </w:t>
      </w:r>
      <w:r>
        <w:rPr/>
        <w:t>rights</w:t>
      </w:r>
      <w:r>
        <w:rPr>
          <w:spacing w:val="-6"/>
        </w:rPr>
        <w:t> </w:t>
      </w:r>
      <w:r>
        <w:rPr/>
        <w:t>of</w:t>
      </w:r>
      <w:r>
        <w:rPr>
          <w:spacing w:val="-6"/>
        </w:rPr>
        <w:t> </w:t>
      </w:r>
      <w:r>
        <w:rPr/>
        <w:t>all</w:t>
      </w:r>
      <w:r>
        <w:rPr>
          <w:spacing w:val="-6"/>
        </w:rPr>
        <w:t> </w:t>
      </w:r>
      <w:r>
        <w:rPr/>
        <w:t>EU</w:t>
      </w:r>
      <w:r>
        <w:rPr>
          <w:spacing w:val="-5"/>
        </w:rPr>
        <w:t> </w:t>
      </w:r>
      <w:r>
        <w:rPr/>
        <w:t>citizens</w:t>
      </w:r>
      <w:r>
        <w:rPr>
          <w:spacing w:val="-6"/>
        </w:rPr>
        <w:t> </w:t>
      </w:r>
      <w:r>
        <w:rPr/>
        <w:t>to</w:t>
      </w:r>
      <w:r>
        <w:rPr>
          <w:spacing w:val="-6"/>
        </w:rPr>
        <w:t> </w:t>
      </w:r>
      <w:r>
        <w:rPr/>
        <w:t>vote</w:t>
      </w:r>
      <w:r>
        <w:rPr>
          <w:spacing w:val="-5"/>
        </w:rPr>
        <w:t> </w:t>
      </w:r>
      <w:r>
        <w:rPr/>
        <w:t>in</w:t>
      </w:r>
      <w:r>
        <w:rPr>
          <w:spacing w:val="-6"/>
        </w:rPr>
        <w:t> </w:t>
      </w:r>
      <w:r>
        <w:rPr/>
        <w:t>local elections in Northern Ireland and to ensure compliance with Article 2 WF.</w:t>
      </w:r>
    </w:p>
    <w:p>
      <w:pPr>
        <w:pStyle w:val="BodyText"/>
        <w:spacing w:line="232" w:lineRule="auto" w:before="279"/>
        <w:ind w:left="1117" w:right="738"/>
      </w:pPr>
      <w:r>
        <w:rPr/>
        <w:t>We recommend that the European Union should review current arrangements as regards</w:t>
      </w:r>
      <w:r>
        <w:rPr>
          <w:spacing w:val="-5"/>
        </w:rPr>
        <w:t> </w:t>
      </w:r>
      <w:r>
        <w:rPr/>
        <w:t>the</w:t>
      </w:r>
      <w:r>
        <w:rPr>
          <w:spacing w:val="-4"/>
        </w:rPr>
        <w:t> </w:t>
      </w:r>
      <w:r>
        <w:rPr/>
        <w:t>rights</w:t>
      </w:r>
      <w:r>
        <w:rPr>
          <w:spacing w:val="-5"/>
        </w:rPr>
        <w:t> </w:t>
      </w:r>
      <w:r>
        <w:rPr/>
        <w:t>of</w:t>
      </w:r>
      <w:r>
        <w:rPr>
          <w:spacing w:val="-5"/>
        </w:rPr>
        <w:t> </w:t>
      </w:r>
      <w:r>
        <w:rPr/>
        <w:t>UK</w:t>
      </w:r>
      <w:r>
        <w:rPr>
          <w:spacing w:val="-4"/>
        </w:rPr>
        <w:t> </w:t>
      </w:r>
      <w:r>
        <w:rPr/>
        <w:t>citizens</w:t>
      </w:r>
      <w:r>
        <w:rPr>
          <w:spacing w:val="-5"/>
        </w:rPr>
        <w:t> </w:t>
      </w:r>
      <w:r>
        <w:rPr/>
        <w:t>who</w:t>
      </w:r>
      <w:r>
        <w:rPr>
          <w:spacing w:val="-5"/>
        </w:rPr>
        <w:t> </w:t>
      </w:r>
      <w:r>
        <w:rPr/>
        <w:t>were</w:t>
      </w:r>
      <w:r>
        <w:rPr>
          <w:spacing w:val="-4"/>
        </w:rPr>
        <w:t> </w:t>
      </w:r>
      <w:r>
        <w:rPr/>
        <w:t>born</w:t>
      </w:r>
      <w:r>
        <w:rPr>
          <w:spacing w:val="-5"/>
        </w:rPr>
        <w:t> </w:t>
      </w:r>
      <w:r>
        <w:rPr/>
        <w:t>and</w:t>
      </w:r>
      <w:r>
        <w:rPr>
          <w:spacing w:val="-5"/>
        </w:rPr>
        <w:t> </w:t>
      </w:r>
      <w:r>
        <w:rPr/>
        <w:t>residing</w:t>
      </w:r>
      <w:r>
        <w:rPr>
          <w:spacing w:val="-4"/>
        </w:rPr>
        <w:t> </w:t>
      </w:r>
      <w:r>
        <w:rPr/>
        <w:t>in</w:t>
      </w:r>
      <w:r>
        <w:rPr>
          <w:spacing w:val="-5"/>
        </w:rPr>
        <w:t> </w:t>
      </w:r>
      <w:r>
        <w:rPr/>
        <w:t>NI</w:t>
      </w:r>
      <w:r>
        <w:rPr>
          <w:spacing w:val="-4"/>
        </w:rPr>
        <w:t> </w:t>
      </w:r>
      <w:r>
        <w:rPr/>
        <w:t>who</w:t>
      </w:r>
      <w:r>
        <w:rPr>
          <w:spacing w:val="-5"/>
        </w:rPr>
        <w:t> </w:t>
      </w:r>
      <w:r>
        <w:rPr/>
        <w:t>move</w:t>
      </w:r>
      <w:r>
        <w:rPr>
          <w:spacing w:val="-4"/>
        </w:rPr>
        <w:t> </w:t>
      </w:r>
      <w:r>
        <w:rPr/>
        <w:t>to</w:t>
      </w:r>
      <w:r>
        <w:rPr>
          <w:spacing w:val="-5"/>
        </w:rPr>
        <w:t> </w:t>
      </w:r>
      <w:r>
        <w:rPr/>
        <w:t>EU Member States to vote in local elections in that Member State.</w:t>
      </w:r>
    </w:p>
    <w:p>
      <w:pPr>
        <w:pStyle w:val="BodyText"/>
        <w:spacing w:line="232" w:lineRule="auto" w:before="279"/>
        <w:ind w:left="1117" w:right="829"/>
        <w:jc w:val="both"/>
      </w:pPr>
      <w:r>
        <w:rPr/>
        <w:t>We</w:t>
      </w:r>
      <w:r>
        <w:rPr>
          <w:spacing w:val="-5"/>
        </w:rPr>
        <w:t> </w:t>
      </w:r>
      <w:r>
        <w:rPr/>
        <w:t>recommend</w:t>
      </w:r>
      <w:r>
        <w:rPr>
          <w:spacing w:val="-6"/>
        </w:rPr>
        <w:t> </w:t>
      </w:r>
      <w:r>
        <w:rPr/>
        <w:t>that</w:t>
      </w:r>
      <w:r>
        <w:rPr>
          <w:spacing w:val="-5"/>
        </w:rPr>
        <w:t> </w:t>
      </w:r>
      <w:r>
        <w:rPr/>
        <w:t>the</w:t>
      </w:r>
      <w:r>
        <w:rPr>
          <w:spacing w:val="-5"/>
        </w:rPr>
        <w:t> </w:t>
      </w:r>
      <w:r>
        <w:rPr/>
        <w:t>UK</w:t>
      </w:r>
      <w:r>
        <w:rPr>
          <w:spacing w:val="-5"/>
        </w:rPr>
        <w:t> </w:t>
      </w:r>
      <w:r>
        <w:rPr/>
        <w:t>Government</w:t>
      </w:r>
      <w:r>
        <w:rPr>
          <w:spacing w:val="-5"/>
        </w:rPr>
        <w:t> </w:t>
      </w:r>
      <w:r>
        <w:rPr/>
        <w:t>introduce</w:t>
      </w:r>
      <w:r>
        <w:rPr>
          <w:spacing w:val="-5"/>
        </w:rPr>
        <w:t> </w:t>
      </w:r>
      <w:r>
        <w:rPr/>
        <w:t>legislation</w:t>
      </w:r>
      <w:r>
        <w:rPr>
          <w:spacing w:val="-6"/>
        </w:rPr>
        <w:t> </w:t>
      </w:r>
      <w:r>
        <w:rPr/>
        <w:t>to</w:t>
      </w:r>
      <w:r>
        <w:rPr>
          <w:spacing w:val="-6"/>
        </w:rPr>
        <w:t> </w:t>
      </w:r>
      <w:r>
        <w:rPr/>
        <w:t>repeal</w:t>
      </w:r>
      <w:r>
        <w:rPr>
          <w:spacing w:val="-6"/>
        </w:rPr>
        <w:t> </w:t>
      </w:r>
      <w:r>
        <w:rPr/>
        <w:t>the</w:t>
      </w:r>
      <w:r>
        <w:rPr>
          <w:spacing w:val="-5"/>
        </w:rPr>
        <w:t> </w:t>
      </w:r>
      <w:r>
        <w:rPr/>
        <w:t>Safety of</w:t>
      </w:r>
      <w:r>
        <w:rPr>
          <w:spacing w:val="-5"/>
        </w:rPr>
        <w:t> </w:t>
      </w:r>
      <w:r>
        <w:rPr/>
        <w:t>Rwanda</w:t>
      </w:r>
      <w:r>
        <w:rPr>
          <w:spacing w:val="-5"/>
        </w:rPr>
        <w:t> </w:t>
      </w:r>
      <w:r>
        <w:rPr/>
        <w:t>Act</w:t>
      </w:r>
      <w:r>
        <w:rPr>
          <w:spacing w:val="-4"/>
        </w:rPr>
        <w:t> </w:t>
      </w:r>
      <w:r>
        <w:rPr/>
        <w:t>or</w:t>
      </w:r>
      <w:r>
        <w:rPr>
          <w:spacing w:val="-4"/>
        </w:rPr>
        <w:t> </w:t>
      </w:r>
      <w:r>
        <w:rPr/>
        <w:t>to</w:t>
      </w:r>
      <w:r>
        <w:rPr>
          <w:spacing w:val="-5"/>
        </w:rPr>
        <w:t> </w:t>
      </w:r>
      <w:r>
        <w:rPr/>
        <w:t>amend</w:t>
      </w:r>
      <w:r>
        <w:rPr>
          <w:spacing w:val="-5"/>
        </w:rPr>
        <w:t> </w:t>
      </w:r>
      <w:r>
        <w:rPr/>
        <w:t>it</w:t>
      </w:r>
      <w:r>
        <w:rPr>
          <w:spacing w:val="-4"/>
        </w:rPr>
        <w:t> </w:t>
      </w:r>
      <w:r>
        <w:rPr/>
        <w:t>to</w:t>
      </w:r>
      <w:r>
        <w:rPr>
          <w:spacing w:val="-5"/>
        </w:rPr>
        <w:t> </w:t>
      </w:r>
      <w:r>
        <w:rPr/>
        <w:t>remove</w:t>
      </w:r>
      <w:r>
        <w:rPr>
          <w:spacing w:val="-4"/>
        </w:rPr>
        <w:t> </w:t>
      </w:r>
      <w:r>
        <w:rPr/>
        <w:t>provisions</w:t>
      </w:r>
      <w:r>
        <w:rPr>
          <w:spacing w:val="-5"/>
        </w:rPr>
        <w:t> </w:t>
      </w:r>
      <w:r>
        <w:rPr/>
        <w:t>that</w:t>
      </w:r>
      <w:r>
        <w:rPr>
          <w:spacing w:val="-4"/>
        </w:rPr>
        <w:t> </w:t>
      </w:r>
      <w:r>
        <w:rPr/>
        <w:t>do</w:t>
      </w:r>
      <w:r>
        <w:rPr>
          <w:spacing w:val="-5"/>
        </w:rPr>
        <w:t> </w:t>
      </w:r>
      <w:r>
        <w:rPr/>
        <w:t>not</w:t>
      </w:r>
      <w:r>
        <w:rPr>
          <w:spacing w:val="-4"/>
        </w:rPr>
        <w:t> </w:t>
      </w:r>
      <w:r>
        <w:rPr/>
        <w:t>comply</w:t>
      </w:r>
      <w:r>
        <w:rPr>
          <w:spacing w:val="-4"/>
        </w:rPr>
        <w:t> </w:t>
      </w:r>
      <w:r>
        <w:rPr/>
        <w:t>with</w:t>
      </w:r>
      <w:r>
        <w:rPr>
          <w:spacing w:val="-5"/>
        </w:rPr>
        <w:t> </w:t>
      </w:r>
      <w:r>
        <w:rPr/>
        <w:t>Article 2 WF or the Human Rights Act.</w:t>
      </w:r>
    </w:p>
    <w:p>
      <w:pPr>
        <w:pStyle w:val="BodyText"/>
        <w:spacing w:line="232" w:lineRule="auto" w:before="278"/>
        <w:ind w:left="1117" w:right="738"/>
      </w:pPr>
      <w:r>
        <w:rPr/>
        <w:t>We recommend that, in the interests of transparency, the Government publish details</w:t>
      </w:r>
      <w:r>
        <w:rPr>
          <w:spacing w:val="-7"/>
        </w:rPr>
        <w:t> </w:t>
      </w:r>
      <w:r>
        <w:rPr/>
        <w:t>of</w:t>
      </w:r>
      <w:r>
        <w:rPr>
          <w:spacing w:val="-7"/>
        </w:rPr>
        <w:t> </w:t>
      </w:r>
      <w:r>
        <w:rPr/>
        <w:t>its</w:t>
      </w:r>
      <w:r>
        <w:rPr>
          <w:spacing w:val="-7"/>
        </w:rPr>
        <w:t> </w:t>
      </w:r>
      <w:r>
        <w:rPr/>
        <w:t>account</w:t>
      </w:r>
      <w:r>
        <w:rPr>
          <w:spacing w:val="-6"/>
        </w:rPr>
        <w:t> </w:t>
      </w:r>
      <w:r>
        <w:rPr/>
        <w:t>of</w:t>
      </w:r>
      <w:r>
        <w:rPr>
          <w:spacing w:val="-7"/>
        </w:rPr>
        <w:t> </w:t>
      </w:r>
      <w:r>
        <w:rPr/>
        <w:t>retained</w:t>
      </w:r>
      <w:r>
        <w:rPr>
          <w:spacing w:val="-7"/>
        </w:rPr>
        <w:t> </w:t>
      </w:r>
      <w:r>
        <w:rPr/>
        <w:t>EU</w:t>
      </w:r>
      <w:r>
        <w:rPr>
          <w:spacing w:val="-6"/>
        </w:rPr>
        <w:t> </w:t>
      </w:r>
      <w:r>
        <w:rPr/>
        <w:t>law,</w:t>
      </w:r>
      <w:r>
        <w:rPr>
          <w:spacing w:val="-6"/>
        </w:rPr>
        <w:t> </w:t>
      </w:r>
      <w:r>
        <w:rPr/>
        <w:t>including</w:t>
      </w:r>
      <w:r>
        <w:rPr>
          <w:spacing w:val="-6"/>
        </w:rPr>
        <w:t> </w:t>
      </w:r>
      <w:r>
        <w:rPr/>
        <w:t>details</w:t>
      </w:r>
      <w:r>
        <w:rPr>
          <w:spacing w:val="-7"/>
        </w:rPr>
        <w:t> </w:t>
      </w:r>
      <w:r>
        <w:rPr/>
        <w:t>on</w:t>
      </w:r>
      <w:r>
        <w:rPr>
          <w:spacing w:val="-7"/>
        </w:rPr>
        <w:t> </w:t>
      </w:r>
      <w:r>
        <w:rPr/>
        <w:t>the</w:t>
      </w:r>
      <w:r>
        <w:rPr>
          <w:spacing w:val="-6"/>
        </w:rPr>
        <w:t> </w:t>
      </w:r>
      <w:r>
        <w:rPr/>
        <w:t>methodology</w:t>
      </w:r>
      <w:r>
        <w:rPr>
          <w:spacing w:val="-6"/>
        </w:rPr>
        <w:t> </w:t>
      </w:r>
      <w:r>
        <w:rPr/>
        <w:t>used to identify relevant issues.</w:t>
      </w:r>
    </w:p>
    <w:p>
      <w:pPr>
        <w:spacing w:after="0" w:line="232" w:lineRule="auto"/>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29792">
                <wp:simplePos x="0" y="0"/>
                <wp:positionH relativeFrom="page">
                  <wp:posOffset>0</wp:posOffset>
                </wp:positionH>
                <wp:positionV relativeFrom="page">
                  <wp:posOffset>0</wp:posOffset>
                </wp:positionV>
                <wp:extent cx="7560309" cy="1155065"/>
                <wp:effectExtent l="0" t="0" r="0" b="0"/>
                <wp:wrapNone/>
                <wp:docPr id="1172" name="Group 1172"/>
                <wp:cNvGraphicFramePr>
                  <a:graphicFrameLocks/>
                </wp:cNvGraphicFramePr>
                <a:graphic>
                  <a:graphicData uri="http://schemas.microsoft.com/office/word/2010/wordprocessingGroup">
                    <wpg:wgp>
                      <wpg:cNvPr id="1172" name="Group 1172"/>
                      <wpg:cNvGrpSpPr/>
                      <wpg:grpSpPr>
                        <a:xfrm>
                          <a:off x="0" y="0"/>
                          <a:ext cx="7560309" cy="1155065"/>
                          <a:chExt cx="7560309" cy="1155065"/>
                        </a:xfrm>
                      </wpg:grpSpPr>
                      <wps:wsp>
                        <wps:cNvPr id="1173" name="Graphic 1173"/>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174" name="Graphic 1174"/>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186688" id="docshapegroup968" coordorigin="0,0" coordsize="11906,1819">
                <v:shape style="position:absolute;left:0;top:0;width:11906;height:1819" id="docshape969"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144</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250"/>
      </w:pPr>
      <w:r>
        <w:rPr/>
        <w:t>We recommend that the Government ensure that the Explanatory Notes for any draft legislation impacting on Northern Ireland explicitly state, in detail, whether the</w:t>
      </w:r>
      <w:r>
        <w:rPr>
          <w:spacing w:val="-3"/>
        </w:rPr>
        <w:t> </w:t>
      </w:r>
      <w:r>
        <w:rPr/>
        <w:t>Government</w:t>
      </w:r>
      <w:r>
        <w:rPr>
          <w:spacing w:val="-3"/>
        </w:rPr>
        <w:t> </w:t>
      </w:r>
      <w:r>
        <w:rPr/>
        <w:t>considers</w:t>
      </w:r>
      <w:r>
        <w:rPr>
          <w:spacing w:val="-4"/>
        </w:rPr>
        <w:t> </w:t>
      </w:r>
      <w:r>
        <w:rPr/>
        <w:t>that</w:t>
      </w:r>
      <w:r>
        <w:rPr>
          <w:spacing w:val="-3"/>
        </w:rPr>
        <w:t> </w:t>
      </w:r>
      <w:r>
        <w:rPr/>
        <w:t>Article</w:t>
      </w:r>
      <w:r>
        <w:rPr>
          <w:spacing w:val="-3"/>
        </w:rPr>
        <w:t> </w:t>
      </w:r>
      <w:r>
        <w:rPr/>
        <w:t>2</w:t>
      </w:r>
      <w:r>
        <w:rPr>
          <w:spacing w:val="-3"/>
        </w:rPr>
        <w:t> </w:t>
      </w:r>
      <w:r>
        <w:rPr/>
        <w:t>WF</w:t>
      </w:r>
      <w:r>
        <w:rPr>
          <w:spacing w:val="-4"/>
        </w:rPr>
        <w:t> </w:t>
      </w:r>
      <w:r>
        <w:rPr/>
        <w:t>is</w:t>
      </w:r>
      <w:r>
        <w:rPr>
          <w:spacing w:val="-4"/>
        </w:rPr>
        <w:t> </w:t>
      </w:r>
      <w:r>
        <w:rPr/>
        <w:t>engaged</w:t>
      </w:r>
      <w:r>
        <w:rPr>
          <w:spacing w:val="-4"/>
        </w:rPr>
        <w:t> </w:t>
      </w:r>
      <w:r>
        <w:rPr/>
        <w:t>by</w:t>
      </w:r>
      <w:r>
        <w:rPr>
          <w:spacing w:val="-3"/>
        </w:rPr>
        <w:t> </w:t>
      </w:r>
      <w:r>
        <w:rPr/>
        <w:t>the</w:t>
      </w:r>
      <w:r>
        <w:rPr>
          <w:spacing w:val="-3"/>
        </w:rPr>
        <w:t> </w:t>
      </w:r>
      <w:r>
        <w:rPr/>
        <w:t>proposals</w:t>
      </w:r>
      <w:r>
        <w:rPr>
          <w:spacing w:val="-4"/>
        </w:rPr>
        <w:t> </w:t>
      </w:r>
      <w:r>
        <w:rPr/>
        <w:t>and</w:t>
      </w:r>
      <w:r>
        <w:rPr>
          <w:spacing w:val="-4"/>
        </w:rPr>
        <w:t> </w:t>
      </w:r>
      <w:r>
        <w:rPr/>
        <w:t>if</w:t>
      </w:r>
      <w:r>
        <w:rPr>
          <w:spacing w:val="-4"/>
        </w:rPr>
        <w:t> </w:t>
      </w:r>
      <w:r>
        <w:rPr/>
        <w:t>so, how</w:t>
      </w:r>
      <w:r>
        <w:rPr>
          <w:spacing w:val="-6"/>
        </w:rPr>
        <w:t> </w:t>
      </w:r>
      <w:r>
        <w:rPr/>
        <w:t>the</w:t>
      </w:r>
      <w:r>
        <w:rPr>
          <w:spacing w:val="-6"/>
        </w:rPr>
        <w:t> </w:t>
      </w:r>
      <w:r>
        <w:rPr/>
        <w:t>draft</w:t>
      </w:r>
      <w:r>
        <w:rPr>
          <w:spacing w:val="-6"/>
        </w:rPr>
        <w:t> </w:t>
      </w:r>
      <w:r>
        <w:rPr/>
        <w:t>legislation</w:t>
      </w:r>
      <w:r>
        <w:rPr>
          <w:spacing w:val="-7"/>
        </w:rPr>
        <w:t> </w:t>
      </w:r>
      <w:r>
        <w:rPr/>
        <w:t>respects</w:t>
      </w:r>
      <w:r>
        <w:rPr>
          <w:spacing w:val="-7"/>
        </w:rPr>
        <w:t> </w:t>
      </w:r>
      <w:r>
        <w:rPr/>
        <w:t>the</w:t>
      </w:r>
      <w:r>
        <w:rPr>
          <w:spacing w:val="-6"/>
        </w:rPr>
        <w:t> </w:t>
      </w:r>
      <w:r>
        <w:rPr/>
        <w:t>keeping</w:t>
      </w:r>
      <w:r>
        <w:rPr>
          <w:spacing w:val="-6"/>
        </w:rPr>
        <w:t> </w:t>
      </w:r>
      <w:r>
        <w:rPr/>
        <w:t>pace</w:t>
      </w:r>
      <w:r>
        <w:rPr>
          <w:spacing w:val="-6"/>
        </w:rPr>
        <w:t> </w:t>
      </w:r>
      <w:r>
        <w:rPr/>
        <w:t>and</w:t>
      </w:r>
      <w:r>
        <w:rPr>
          <w:spacing w:val="-7"/>
        </w:rPr>
        <w:t> </w:t>
      </w:r>
      <w:r>
        <w:rPr/>
        <w:t>non-diminution</w:t>
      </w:r>
      <w:r>
        <w:rPr>
          <w:spacing w:val="-7"/>
        </w:rPr>
        <w:t> </w:t>
      </w:r>
      <w:r>
        <w:rPr/>
        <w:t>aspects</w:t>
      </w:r>
      <w:r>
        <w:rPr>
          <w:spacing w:val="-7"/>
        </w:rPr>
        <w:t> </w:t>
      </w:r>
      <w:r>
        <w:rPr/>
        <w:t>of Article 2 WF.</w:t>
      </w:r>
    </w:p>
    <w:p>
      <w:pPr>
        <w:pStyle w:val="BodyText"/>
        <w:spacing w:line="232" w:lineRule="auto" w:before="275"/>
        <w:ind w:left="720" w:right="1087"/>
      </w:pPr>
      <w:r>
        <w:rPr/>
        <w:t>We recommend that the Executive Office and other relevant NI Departments consider</w:t>
      </w:r>
      <w:r>
        <w:rPr>
          <w:spacing w:val="-6"/>
        </w:rPr>
        <w:t> </w:t>
      </w:r>
      <w:r>
        <w:rPr/>
        <w:t>any</w:t>
      </w:r>
      <w:r>
        <w:rPr>
          <w:spacing w:val="-6"/>
        </w:rPr>
        <w:t> </w:t>
      </w:r>
      <w:r>
        <w:rPr/>
        <w:t>proposals</w:t>
      </w:r>
      <w:r>
        <w:rPr>
          <w:spacing w:val="-7"/>
        </w:rPr>
        <w:t> </w:t>
      </w:r>
      <w:r>
        <w:rPr/>
        <w:t>for</w:t>
      </w:r>
      <w:r>
        <w:rPr>
          <w:spacing w:val="-6"/>
        </w:rPr>
        <w:t> </w:t>
      </w:r>
      <w:r>
        <w:rPr/>
        <w:t>amendments</w:t>
      </w:r>
      <w:r>
        <w:rPr>
          <w:spacing w:val="-7"/>
        </w:rPr>
        <w:t> </w:t>
      </w:r>
      <w:r>
        <w:rPr/>
        <w:t>to</w:t>
      </w:r>
      <w:r>
        <w:rPr>
          <w:spacing w:val="-7"/>
        </w:rPr>
        <w:t> </w:t>
      </w:r>
      <w:r>
        <w:rPr/>
        <w:t>the</w:t>
      </w:r>
      <w:r>
        <w:rPr>
          <w:spacing w:val="-6"/>
        </w:rPr>
        <w:t> </w:t>
      </w:r>
      <w:r>
        <w:rPr/>
        <w:t>Irish</w:t>
      </w:r>
      <w:r>
        <w:rPr>
          <w:spacing w:val="-7"/>
        </w:rPr>
        <w:t> </w:t>
      </w:r>
      <w:r>
        <w:rPr/>
        <w:t>equality</w:t>
      </w:r>
      <w:r>
        <w:rPr>
          <w:spacing w:val="-6"/>
        </w:rPr>
        <w:t> </w:t>
      </w:r>
      <w:r>
        <w:rPr/>
        <w:t>legislation</w:t>
      </w:r>
      <w:r>
        <w:rPr>
          <w:spacing w:val="-7"/>
        </w:rPr>
        <w:t> </w:t>
      </w:r>
      <w:r>
        <w:rPr/>
        <w:t>where</w:t>
      </w:r>
      <w:r>
        <w:rPr>
          <w:spacing w:val="-6"/>
        </w:rPr>
        <w:t> </w:t>
      </w:r>
      <w:r>
        <w:rPr/>
        <w:t>they highlight a risk of divergence of rights or an opportunity for voluntary alignment with international human rights standards and best practice.</w:t>
      </w:r>
    </w:p>
    <w:p>
      <w:pPr>
        <w:pStyle w:val="BodyText"/>
        <w:spacing w:line="232" w:lineRule="auto" w:before="278"/>
        <w:ind w:left="720" w:right="1788"/>
        <w:jc w:val="both"/>
      </w:pPr>
      <w:r>
        <w:rPr/>
        <w:t>We</w:t>
      </w:r>
      <w:r>
        <w:rPr>
          <w:spacing w:val="-3"/>
        </w:rPr>
        <w:t> </w:t>
      </w:r>
      <w:r>
        <w:rPr/>
        <w:t>recommend</w:t>
      </w:r>
      <w:r>
        <w:rPr>
          <w:spacing w:val="-4"/>
        </w:rPr>
        <w:t> </w:t>
      </w:r>
      <w:r>
        <w:rPr/>
        <w:t>that</w:t>
      </w:r>
      <w:r>
        <w:rPr>
          <w:spacing w:val="-3"/>
        </w:rPr>
        <w:t> </w:t>
      </w:r>
      <w:r>
        <w:rPr/>
        <w:t>the</w:t>
      </w:r>
      <w:r>
        <w:rPr>
          <w:spacing w:val="-3"/>
        </w:rPr>
        <w:t> </w:t>
      </w:r>
      <w:r>
        <w:rPr/>
        <w:t>NI</w:t>
      </w:r>
      <w:r>
        <w:rPr>
          <w:spacing w:val="-3"/>
        </w:rPr>
        <w:t> </w:t>
      </w:r>
      <w:r>
        <w:rPr/>
        <w:t>Executive</w:t>
      </w:r>
      <w:r>
        <w:rPr>
          <w:spacing w:val="-3"/>
        </w:rPr>
        <w:t> </w:t>
      </w:r>
      <w:r>
        <w:rPr/>
        <w:t>and</w:t>
      </w:r>
      <w:r>
        <w:rPr>
          <w:spacing w:val="-4"/>
        </w:rPr>
        <w:t> </w:t>
      </w:r>
      <w:r>
        <w:rPr/>
        <w:t>relevant</w:t>
      </w:r>
      <w:r>
        <w:rPr>
          <w:spacing w:val="-3"/>
        </w:rPr>
        <w:t> </w:t>
      </w:r>
      <w:r>
        <w:rPr/>
        <w:t>NI</w:t>
      </w:r>
      <w:r>
        <w:rPr>
          <w:spacing w:val="-3"/>
        </w:rPr>
        <w:t> </w:t>
      </w:r>
      <w:r>
        <w:rPr/>
        <w:t>Departments</w:t>
      </w:r>
      <w:r>
        <w:rPr>
          <w:spacing w:val="-4"/>
        </w:rPr>
        <w:t> </w:t>
      </w:r>
      <w:r>
        <w:rPr/>
        <w:t>bring</w:t>
      </w:r>
      <w:r>
        <w:rPr>
          <w:spacing w:val="-3"/>
        </w:rPr>
        <w:t> </w:t>
      </w:r>
      <w:r>
        <w:rPr/>
        <w:t>into force</w:t>
      </w:r>
      <w:r>
        <w:rPr>
          <w:spacing w:val="-6"/>
        </w:rPr>
        <w:t> </w:t>
      </w:r>
      <w:r>
        <w:rPr/>
        <w:t>the</w:t>
      </w:r>
      <w:r>
        <w:rPr>
          <w:spacing w:val="-6"/>
        </w:rPr>
        <w:t> </w:t>
      </w:r>
      <w:r>
        <w:rPr/>
        <w:t>necessary</w:t>
      </w:r>
      <w:r>
        <w:rPr>
          <w:spacing w:val="-6"/>
        </w:rPr>
        <w:t> </w:t>
      </w:r>
      <w:r>
        <w:rPr/>
        <w:t>measures</w:t>
      </w:r>
      <w:r>
        <w:rPr>
          <w:spacing w:val="-7"/>
        </w:rPr>
        <w:t> </w:t>
      </w:r>
      <w:r>
        <w:rPr/>
        <w:t>to</w:t>
      </w:r>
      <w:r>
        <w:rPr>
          <w:spacing w:val="-7"/>
        </w:rPr>
        <w:t> </w:t>
      </w:r>
      <w:r>
        <w:rPr/>
        <w:t>comply</w:t>
      </w:r>
      <w:r>
        <w:rPr>
          <w:spacing w:val="-6"/>
        </w:rPr>
        <w:t> </w:t>
      </w:r>
      <w:r>
        <w:rPr/>
        <w:t>with</w:t>
      </w:r>
      <w:r>
        <w:rPr>
          <w:spacing w:val="-7"/>
        </w:rPr>
        <w:t> </w:t>
      </w:r>
      <w:r>
        <w:rPr/>
        <w:t>the</w:t>
      </w:r>
      <w:r>
        <w:rPr>
          <w:spacing w:val="-6"/>
        </w:rPr>
        <w:t> </w:t>
      </w:r>
      <w:r>
        <w:rPr/>
        <w:t>requirements</w:t>
      </w:r>
      <w:r>
        <w:rPr>
          <w:spacing w:val="-7"/>
        </w:rPr>
        <w:t> </w:t>
      </w:r>
      <w:r>
        <w:rPr/>
        <w:t>set</w:t>
      </w:r>
      <w:r>
        <w:rPr>
          <w:spacing w:val="-6"/>
        </w:rPr>
        <w:t> </w:t>
      </w:r>
      <w:r>
        <w:rPr/>
        <w:t>by</w:t>
      </w:r>
      <w:r>
        <w:rPr>
          <w:spacing w:val="-6"/>
        </w:rPr>
        <w:t> </w:t>
      </w:r>
      <w:r>
        <w:rPr/>
        <w:t>the</w:t>
      </w:r>
      <w:r>
        <w:rPr>
          <w:spacing w:val="-6"/>
        </w:rPr>
        <w:t> </w:t>
      </w:r>
      <w:r>
        <w:rPr/>
        <w:t>Pay Transparency Directive EU Directive 2023/970 by June 2026.</w:t>
      </w:r>
    </w:p>
    <w:p>
      <w:pPr>
        <w:pStyle w:val="BodyText"/>
        <w:spacing w:line="232" w:lineRule="auto" w:before="279"/>
        <w:ind w:left="720" w:right="1404"/>
      </w:pPr>
      <w:r>
        <w:rPr/>
        <w:t>We</w:t>
      </w:r>
      <w:r>
        <w:rPr>
          <w:spacing w:val="-7"/>
        </w:rPr>
        <w:t> </w:t>
      </w:r>
      <w:r>
        <w:rPr/>
        <w:t>agree</w:t>
      </w:r>
      <w:r>
        <w:rPr>
          <w:spacing w:val="-7"/>
        </w:rPr>
        <w:t> </w:t>
      </w:r>
      <w:r>
        <w:rPr/>
        <w:t>with</w:t>
      </w:r>
      <w:r>
        <w:rPr>
          <w:spacing w:val="-8"/>
        </w:rPr>
        <w:t> </w:t>
      </w:r>
      <w:r>
        <w:rPr/>
        <w:t>the</w:t>
      </w:r>
      <w:r>
        <w:rPr>
          <w:spacing w:val="-7"/>
        </w:rPr>
        <w:t> </w:t>
      </w:r>
      <w:r>
        <w:rPr/>
        <w:t>ECNI</w:t>
      </w:r>
      <w:r>
        <w:rPr>
          <w:spacing w:val="-7"/>
        </w:rPr>
        <w:t> </w:t>
      </w:r>
      <w:r>
        <w:rPr/>
        <w:t>and</w:t>
      </w:r>
      <w:r>
        <w:rPr>
          <w:spacing w:val="-8"/>
        </w:rPr>
        <w:t> </w:t>
      </w:r>
      <w:r>
        <w:rPr/>
        <w:t>NIHRC</w:t>
      </w:r>
      <w:r>
        <w:rPr>
          <w:spacing w:val="-8"/>
        </w:rPr>
        <w:t> </w:t>
      </w:r>
      <w:r>
        <w:rPr/>
        <w:t>recommendation</w:t>
      </w:r>
      <w:r>
        <w:rPr>
          <w:spacing w:val="-8"/>
        </w:rPr>
        <w:t> </w:t>
      </w:r>
      <w:r>
        <w:rPr/>
        <w:t>that</w:t>
      </w:r>
      <w:r>
        <w:rPr>
          <w:spacing w:val="-7"/>
        </w:rPr>
        <w:t> </w:t>
      </w:r>
      <w:r>
        <w:rPr/>
        <w:t>all</w:t>
      </w:r>
      <w:r>
        <w:rPr>
          <w:spacing w:val="-8"/>
        </w:rPr>
        <w:t> </w:t>
      </w:r>
      <w:r>
        <w:rPr/>
        <w:t>relevant</w:t>
      </w:r>
      <w:r>
        <w:rPr>
          <w:spacing w:val="-7"/>
        </w:rPr>
        <w:t> </w:t>
      </w:r>
      <w:r>
        <w:rPr/>
        <w:t>portions</w:t>
      </w:r>
      <w:r>
        <w:rPr>
          <w:spacing w:val="-8"/>
        </w:rPr>
        <w:t> </w:t>
      </w:r>
      <w:r>
        <w:rPr/>
        <w:t>of the Pay Transparency Directive should be transposed into Northern Ireland law, further to obligations in the WF.</w:t>
      </w:r>
    </w:p>
    <w:p>
      <w:pPr>
        <w:pStyle w:val="BodyText"/>
        <w:spacing w:line="232" w:lineRule="auto" w:before="278"/>
        <w:ind w:left="720" w:right="1791"/>
        <w:jc w:val="both"/>
      </w:pPr>
      <w:r>
        <w:rPr/>
        <w:t>We</w:t>
      </w:r>
      <w:r>
        <w:rPr>
          <w:spacing w:val="-3"/>
        </w:rPr>
        <w:t> </w:t>
      </w:r>
      <w:r>
        <w:rPr/>
        <w:t>recommend</w:t>
      </w:r>
      <w:r>
        <w:rPr>
          <w:spacing w:val="-4"/>
        </w:rPr>
        <w:t> </w:t>
      </w:r>
      <w:r>
        <w:rPr/>
        <w:t>that</w:t>
      </w:r>
      <w:r>
        <w:rPr>
          <w:spacing w:val="-3"/>
        </w:rPr>
        <w:t> </w:t>
      </w:r>
      <w:r>
        <w:rPr/>
        <w:t>the</w:t>
      </w:r>
      <w:r>
        <w:rPr>
          <w:spacing w:val="-3"/>
        </w:rPr>
        <w:t> </w:t>
      </w:r>
      <w:r>
        <w:rPr/>
        <w:t>Government</w:t>
      </w:r>
      <w:r>
        <w:rPr>
          <w:spacing w:val="-3"/>
        </w:rPr>
        <w:t> </w:t>
      </w:r>
      <w:r>
        <w:rPr/>
        <w:t>of</w:t>
      </w:r>
      <w:r>
        <w:rPr>
          <w:spacing w:val="-4"/>
        </w:rPr>
        <w:t> </w:t>
      </w:r>
      <w:r>
        <w:rPr/>
        <w:t>Ireland</w:t>
      </w:r>
      <w:r>
        <w:rPr>
          <w:spacing w:val="-4"/>
        </w:rPr>
        <w:t> </w:t>
      </w:r>
      <w:r>
        <w:rPr/>
        <w:t>legislates</w:t>
      </w:r>
      <w:r>
        <w:rPr>
          <w:spacing w:val="-4"/>
        </w:rPr>
        <w:t> </w:t>
      </w:r>
      <w:r>
        <w:rPr/>
        <w:t>to</w:t>
      </w:r>
      <w:r>
        <w:rPr>
          <w:spacing w:val="-4"/>
        </w:rPr>
        <w:t> </w:t>
      </w:r>
      <w:r>
        <w:rPr/>
        <w:t>provide</w:t>
      </w:r>
      <w:r>
        <w:rPr>
          <w:spacing w:val="-3"/>
        </w:rPr>
        <w:t> </w:t>
      </w:r>
      <w:r>
        <w:rPr/>
        <w:t>for</w:t>
      </w:r>
      <w:r>
        <w:rPr>
          <w:spacing w:val="-3"/>
        </w:rPr>
        <w:t> </w:t>
      </w:r>
      <w:r>
        <w:rPr/>
        <w:t>non- transferable</w:t>
      </w:r>
      <w:r>
        <w:rPr>
          <w:spacing w:val="-12"/>
        </w:rPr>
        <w:t> </w:t>
      </w:r>
      <w:r>
        <w:rPr/>
        <w:t>parental</w:t>
      </w:r>
      <w:r>
        <w:rPr>
          <w:spacing w:val="-11"/>
        </w:rPr>
        <w:t> </w:t>
      </w:r>
      <w:r>
        <w:rPr/>
        <w:t>leave</w:t>
      </w:r>
      <w:r>
        <w:rPr>
          <w:spacing w:val="-10"/>
        </w:rPr>
        <w:t> </w:t>
      </w:r>
      <w:r>
        <w:rPr/>
        <w:t>as</w:t>
      </w:r>
      <w:r>
        <w:rPr>
          <w:spacing w:val="-10"/>
        </w:rPr>
        <w:t> </w:t>
      </w:r>
      <w:r>
        <w:rPr/>
        <w:t>required</w:t>
      </w:r>
      <w:r>
        <w:rPr>
          <w:spacing w:val="-11"/>
        </w:rPr>
        <w:t> </w:t>
      </w:r>
      <w:r>
        <w:rPr/>
        <w:t>under</w:t>
      </w:r>
      <w:r>
        <w:rPr>
          <w:spacing w:val="-10"/>
        </w:rPr>
        <w:t> </w:t>
      </w:r>
      <w:r>
        <w:rPr/>
        <w:t>the</w:t>
      </w:r>
      <w:r>
        <w:rPr>
          <w:spacing w:val="-10"/>
        </w:rPr>
        <w:t> </w:t>
      </w:r>
      <w:r>
        <w:rPr/>
        <w:t>Work-Life</w:t>
      </w:r>
      <w:r>
        <w:rPr>
          <w:spacing w:val="-10"/>
        </w:rPr>
        <w:t> </w:t>
      </w:r>
      <w:r>
        <w:rPr/>
        <w:t>Balance</w:t>
      </w:r>
      <w:r>
        <w:rPr>
          <w:spacing w:val="-9"/>
        </w:rPr>
        <w:t> </w:t>
      </w:r>
      <w:r>
        <w:rPr>
          <w:spacing w:val="-2"/>
        </w:rPr>
        <w:t>Directive.</w:t>
      </w:r>
    </w:p>
    <w:p>
      <w:pPr>
        <w:pStyle w:val="BodyText"/>
        <w:spacing w:line="232" w:lineRule="auto" w:before="281"/>
        <w:ind w:left="720" w:right="1087"/>
      </w:pPr>
      <w:r>
        <w:rPr/>
        <w:t>We recommend that the Department for the Economy, as a matter of voluntary alignment,</w:t>
      </w:r>
      <w:r>
        <w:rPr>
          <w:spacing w:val="-9"/>
        </w:rPr>
        <w:t> </w:t>
      </w:r>
      <w:r>
        <w:rPr/>
        <w:t>introduce</w:t>
      </w:r>
      <w:r>
        <w:rPr>
          <w:spacing w:val="-9"/>
        </w:rPr>
        <w:t> </w:t>
      </w:r>
      <w:r>
        <w:rPr/>
        <w:t>legislation</w:t>
      </w:r>
      <w:r>
        <w:rPr>
          <w:spacing w:val="-10"/>
        </w:rPr>
        <w:t> </w:t>
      </w:r>
      <w:r>
        <w:rPr/>
        <w:t>mirroring</w:t>
      </w:r>
      <w:r>
        <w:rPr>
          <w:spacing w:val="-9"/>
        </w:rPr>
        <w:t> </w:t>
      </w:r>
      <w:r>
        <w:rPr/>
        <w:t>the</w:t>
      </w:r>
      <w:r>
        <w:rPr>
          <w:spacing w:val="-9"/>
        </w:rPr>
        <w:t> </w:t>
      </w:r>
      <w:r>
        <w:rPr/>
        <w:t>provisions</w:t>
      </w:r>
      <w:r>
        <w:rPr>
          <w:spacing w:val="-10"/>
        </w:rPr>
        <w:t> </w:t>
      </w:r>
      <w:r>
        <w:rPr/>
        <w:t>of</w:t>
      </w:r>
      <w:r>
        <w:rPr>
          <w:spacing w:val="-10"/>
        </w:rPr>
        <w:t> </w:t>
      </w:r>
      <w:r>
        <w:rPr/>
        <w:t>the</w:t>
      </w:r>
      <w:r>
        <w:rPr>
          <w:spacing w:val="-9"/>
        </w:rPr>
        <w:t> </w:t>
      </w:r>
      <w:r>
        <w:rPr/>
        <w:t>Work-Life</w:t>
      </w:r>
      <w:r>
        <w:rPr>
          <w:spacing w:val="-9"/>
        </w:rPr>
        <w:t> </w:t>
      </w:r>
      <w:r>
        <w:rPr/>
        <w:t>Balance Directive where these strengthen rights and reflect international human rights standards insofar as they are not part of Northern Ireland law.</w:t>
      </w:r>
    </w:p>
    <w:p>
      <w:pPr>
        <w:pStyle w:val="BodyText"/>
        <w:spacing w:line="232" w:lineRule="auto" w:before="277"/>
        <w:ind w:left="720" w:right="1289"/>
      </w:pPr>
      <w:r>
        <w:rPr/>
        <w:t>We recommend the Department for the Economy consider the possible need for</w:t>
      </w:r>
      <w:r>
        <w:rPr/>
        <w:t> a</w:t>
      </w:r>
      <w:r>
        <w:rPr>
          <w:spacing w:val="-7"/>
        </w:rPr>
        <w:t> </w:t>
      </w:r>
      <w:r>
        <w:rPr/>
        <w:t>remote</w:t>
      </w:r>
      <w:r>
        <w:rPr>
          <w:spacing w:val="-6"/>
        </w:rPr>
        <w:t> </w:t>
      </w:r>
      <w:r>
        <w:rPr/>
        <w:t>working</w:t>
      </w:r>
      <w:r>
        <w:rPr>
          <w:spacing w:val="-6"/>
        </w:rPr>
        <w:t> </w:t>
      </w:r>
      <w:r>
        <w:rPr/>
        <w:t>strategy</w:t>
      </w:r>
      <w:r>
        <w:rPr>
          <w:spacing w:val="-6"/>
        </w:rPr>
        <w:t> </w:t>
      </w:r>
      <w:r>
        <w:rPr/>
        <w:t>in</w:t>
      </w:r>
      <w:r>
        <w:rPr>
          <w:spacing w:val="-7"/>
        </w:rPr>
        <w:t> </w:t>
      </w:r>
      <w:r>
        <w:rPr/>
        <w:t>Northern</w:t>
      </w:r>
      <w:r>
        <w:rPr>
          <w:spacing w:val="-7"/>
        </w:rPr>
        <w:t> </w:t>
      </w:r>
      <w:r>
        <w:rPr/>
        <w:t>Ireland</w:t>
      </w:r>
      <w:r>
        <w:rPr>
          <w:spacing w:val="-7"/>
        </w:rPr>
        <w:t> </w:t>
      </w:r>
      <w:r>
        <w:rPr/>
        <w:t>to</w:t>
      </w:r>
      <w:r>
        <w:rPr>
          <w:spacing w:val="-7"/>
        </w:rPr>
        <w:t> </w:t>
      </w:r>
      <w:r>
        <w:rPr/>
        <w:t>avoid</w:t>
      </w:r>
      <w:r>
        <w:rPr>
          <w:spacing w:val="-7"/>
        </w:rPr>
        <w:t> </w:t>
      </w:r>
      <w:r>
        <w:rPr/>
        <w:t>divergence</w:t>
      </w:r>
      <w:r>
        <w:rPr>
          <w:spacing w:val="-6"/>
        </w:rPr>
        <w:t> </w:t>
      </w:r>
      <w:r>
        <w:rPr/>
        <w:t>of</w:t>
      </w:r>
      <w:r>
        <w:rPr>
          <w:spacing w:val="-7"/>
        </w:rPr>
        <w:t> </w:t>
      </w:r>
      <w:r>
        <w:rPr/>
        <w:t>rights</w:t>
      </w:r>
      <w:r>
        <w:rPr>
          <w:spacing w:val="-7"/>
        </w:rPr>
        <w:t> </w:t>
      </w:r>
      <w:r>
        <w:rPr/>
        <w:t>on</w:t>
      </w:r>
      <w:r>
        <w:rPr>
          <w:spacing w:val="-7"/>
        </w:rPr>
        <w:t> </w:t>
      </w:r>
      <w:r>
        <w:rPr/>
        <w:t>the island of Ireland where this strengthens rights and reflects international human</w:t>
      </w:r>
    </w:p>
    <w:p>
      <w:pPr>
        <w:pStyle w:val="BodyText"/>
        <w:spacing w:line="232" w:lineRule="auto"/>
        <w:ind w:left="720" w:right="1153"/>
        <w:jc w:val="both"/>
      </w:pPr>
      <w:r>
        <w:rPr/>
        <w:t>rights</w:t>
      </w:r>
      <w:r>
        <w:rPr>
          <w:spacing w:val="-5"/>
        </w:rPr>
        <w:t> </w:t>
      </w:r>
      <w:r>
        <w:rPr/>
        <w:t>standards</w:t>
      </w:r>
      <w:r>
        <w:rPr>
          <w:spacing w:val="-5"/>
        </w:rPr>
        <w:t> </w:t>
      </w:r>
      <w:r>
        <w:rPr/>
        <w:t>and</w:t>
      </w:r>
      <w:r>
        <w:rPr>
          <w:spacing w:val="-5"/>
        </w:rPr>
        <w:t> </w:t>
      </w:r>
      <w:r>
        <w:rPr/>
        <w:t>best</w:t>
      </w:r>
      <w:r>
        <w:rPr>
          <w:spacing w:val="-4"/>
        </w:rPr>
        <w:t> </w:t>
      </w:r>
      <w:r>
        <w:rPr/>
        <w:t>practice.</w:t>
      </w:r>
      <w:r>
        <w:rPr>
          <w:spacing w:val="-5"/>
        </w:rPr>
        <w:t> </w:t>
      </w:r>
      <w:r>
        <w:rPr/>
        <w:t>The</w:t>
      </w:r>
      <w:r>
        <w:rPr>
          <w:spacing w:val="-4"/>
        </w:rPr>
        <w:t> </w:t>
      </w:r>
      <w:r>
        <w:rPr/>
        <w:t>Department</w:t>
      </w:r>
      <w:r>
        <w:rPr>
          <w:spacing w:val="-4"/>
        </w:rPr>
        <w:t> </w:t>
      </w:r>
      <w:r>
        <w:rPr/>
        <w:t>for</w:t>
      </w:r>
      <w:r>
        <w:rPr>
          <w:spacing w:val="-4"/>
        </w:rPr>
        <w:t> </w:t>
      </w:r>
      <w:r>
        <w:rPr/>
        <w:t>the</w:t>
      </w:r>
      <w:r>
        <w:rPr>
          <w:spacing w:val="-4"/>
        </w:rPr>
        <w:t> </w:t>
      </w:r>
      <w:r>
        <w:rPr/>
        <w:t>Economy</w:t>
      </w:r>
      <w:r>
        <w:rPr>
          <w:spacing w:val="-4"/>
        </w:rPr>
        <w:t> </w:t>
      </w:r>
      <w:r>
        <w:rPr/>
        <w:t>in</w:t>
      </w:r>
      <w:r>
        <w:rPr>
          <w:spacing w:val="-5"/>
        </w:rPr>
        <w:t> </w:t>
      </w:r>
      <w:r>
        <w:rPr/>
        <w:t>considering the</w:t>
      </w:r>
      <w:r>
        <w:rPr>
          <w:spacing w:val="-6"/>
        </w:rPr>
        <w:t> </w:t>
      </w:r>
      <w:r>
        <w:rPr/>
        <w:t>need</w:t>
      </w:r>
      <w:r>
        <w:rPr>
          <w:spacing w:val="-7"/>
        </w:rPr>
        <w:t> </w:t>
      </w:r>
      <w:r>
        <w:rPr/>
        <w:t>for</w:t>
      </w:r>
      <w:r>
        <w:rPr>
          <w:spacing w:val="-6"/>
        </w:rPr>
        <w:t> </w:t>
      </w:r>
      <w:r>
        <w:rPr/>
        <w:t>this</w:t>
      </w:r>
      <w:r>
        <w:rPr>
          <w:spacing w:val="-7"/>
        </w:rPr>
        <w:t> </w:t>
      </w:r>
      <w:r>
        <w:rPr/>
        <w:t>strategy</w:t>
      </w:r>
      <w:r>
        <w:rPr>
          <w:spacing w:val="-6"/>
        </w:rPr>
        <w:t> </w:t>
      </w:r>
      <w:r>
        <w:rPr/>
        <w:t>should</w:t>
      </w:r>
      <w:r>
        <w:rPr>
          <w:spacing w:val="-7"/>
        </w:rPr>
        <w:t> </w:t>
      </w:r>
      <w:r>
        <w:rPr/>
        <w:t>consider</w:t>
      </w:r>
      <w:r>
        <w:rPr>
          <w:spacing w:val="-6"/>
        </w:rPr>
        <w:t> </w:t>
      </w:r>
      <w:r>
        <w:rPr/>
        <w:t>any</w:t>
      </w:r>
      <w:r>
        <w:rPr>
          <w:spacing w:val="-6"/>
        </w:rPr>
        <w:t> </w:t>
      </w:r>
      <w:r>
        <w:rPr/>
        <w:t>relevant</w:t>
      </w:r>
      <w:r>
        <w:rPr>
          <w:spacing w:val="-6"/>
        </w:rPr>
        <w:t> </w:t>
      </w:r>
      <w:r>
        <w:rPr/>
        <w:t>EU</w:t>
      </w:r>
      <w:r>
        <w:rPr>
          <w:spacing w:val="-6"/>
        </w:rPr>
        <w:t> </w:t>
      </w:r>
      <w:r>
        <w:rPr/>
        <w:t>law</w:t>
      </w:r>
      <w:r>
        <w:rPr>
          <w:spacing w:val="-6"/>
        </w:rPr>
        <w:t> </w:t>
      </w:r>
      <w:r>
        <w:rPr/>
        <w:t>developments</w:t>
      </w:r>
      <w:r>
        <w:rPr>
          <w:spacing w:val="-7"/>
        </w:rPr>
        <w:t> </w:t>
      </w:r>
      <w:r>
        <w:rPr/>
        <w:t>in</w:t>
      </w:r>
      <w:r>
        <w:rPr>
          <w:spacing w:val="-7"/>
        </w:rPr>
        <w:t> </w:t>
      </w:r>
      <w:r>
        <w:rPr/>
        <w:t>this </w:t>
      </w:r>
      <w:r>
        <w:rPr>
          <w:spacing w:val="-2"/>
        </w:rPr>
        <w:t>area.</w:t>
      </w:r>
    </w:p>
    <w:p>
      <w:pPr>
        <w:pStyle w:val="BodyText"/>
        <w:spacing w:line="232" w:lineRule="auto" w:before="274"/>
        <w:ind w:left="720" w:right="1087"/>
      </w:pPr>
      <w:r>
        <w:rPr/>
        <w:t>We recommend that the Department for the Economy should ensure that NI law voluntarily</w:t>
      </w:r>
      <w:r>
        <w:rPr>
          <w:spacing w:val="-1"/>
        </w:rPr>
        <w:t> </w:t>
      </w:r>
      <w:r>
        <w:rPr/>
        <w:t>aligns</w:t>
      </w:r>
      <w:r>
        <w:rPr>
          <w:spacing w:val="-2"/>
        </w:rPr>
        <w:t> </w:t>
      </w:r>
      <w:r>
        <w:rPr/>
        <w:t>with</w:t>
      </w:r>
      <w:r>
        <w:rPr>
          <w:spacing w:val="-2"/>
        </w:rPr>
        <w:t> </w:t>
      </w:r>
      <w:r>
        <w:rPr/>
        <w:t>the</w:t>
      </w:r>
      <w:r>
        <w:rPr>
          <w:spacing w:val="-1"/>
        </w:rPr>
        <w:t> </w:t>
      </w:r>
      <w:r>
        <w:rPr/>
        <w:t>requirements</w:t>
      </w:r>
      <w:r>
        <w:rPr>
          <w:spacing w:val="-2"/>
        </w:rPr>
        <w:t> </w:t>
      </w:r>
      <w:r>
        <w:rPr/>
        <w:t>of</w:t>
      </w:r>
      <w:r>
        <w:rPr>
          <w:spacing w:val="-2"/>
        </w:rPr>
        <w:t> </w:t>
      </w:r>
      <w:r>
        <w:rPr/>
        <w:t>the</w:t>
      </w:r>
      <w:r>
        <w:rPr>
          <w:spacing w:val="-1"/>
        </w:rPr>
        <w:t> </w:t>
      </w:r>
      <w:r>
        <w:rPr/>
        <w:t>Gender</w:t>
      </w:r>
      <w:r>
        <w:rPr>
          <w:spacing w:val="-1"/>
        </w:rPr>
        <w:t> </w:t>
      </w:r>
      <w:r>
        <w:rPr/>
        <w:t>Balance</w:t>
      </w:r>
      <w:r>
        <w:rPr>
          <w:spacing w:val="-1"/>
        </w:rPr>
        <w:t> </w:t>
      </w:r>
      <w:r>
        <w:rPr/>
        <w:t>on</w:t>
      </w:r>
      <w:r>
        <w:rPr>
          <w:spacing w:val="-2"/>
        </w:rPr>
        <w:t> </w:t>
      </w:r>
      <w:r>
        <w:rPr/>
        <w:t>Boards</w:t>
      </w:r>
      <w:r>
        <w:rPr>
          <w:spacing w:val="-2"/>
        </w:rPr>
        <w:t> </w:t>
      </w:r>
      <w:r>
        <w:rPr/>
        <w:t>Directive where</w:t>
      </w:r>
      <w:r>
        <w:rPr>
          <w:spacing w:val="-8"/>
        </w:rPr>
        <w:t> </w:t>
      </w:r>
      <w:r>
        <w:rPr/>
        <w:t>these</w:t>
      </w:r>
      <w:r>
        <w:rPr>
          <w:spacing w:val="-8"/>
        </w:rPr>
        <w:t> </w:t>
      </w:r>
      <w:r>
        <w:rPr/>
        <w:t>strengthen</w:t>
      </w:r>
      <w:r>
        <w:rPr>
          <w:spacing w:val="-9"/>
        </w:rPr>
        <w:t> </w:t>
      </w:r>
      <w:r>
        <w:rPr/>
        <w:t>rights</w:t>
      </w:r>
      <w:r>
        <w:rPr>
          <w:spacing w:val="-9"/>
        </w:rPr>
        <w:t> </w:t>
      </w:r>
      <w:r>
        <w:rPr/>
        <w:t>and</w:t>
      </w:r>
      <w:r>
        <w:rPr>
          <w:spacing w:val="-9"/>
        </w:rPr>
        <w:t> </w:t>
      </w:r>
      <w:r>
        <w:rPr/>
        <w:t>reflect</w:t>
      </w:r>
      <w:r>
        <w:rPr>
          <w:spacing w:val="-8"/>
        </w:rPr>
        <w:t> </w:t>
      </w:r>
      <w:r>
        <w:rPr/>
        <w:t>international</w:t>
      </w:r>
      <w:r>
        <w:rPr>
          <w:spacing w:val="-9"/>
        </w:rPr>
        <w:t> </w:t>
      </w:r>
      <w:r>
        <w:rPr/>
        <w:t>human</w:t>
      </w:r>
      <w:r>
        <w:rPr>
          <w:spacing w:val="-9"/>
        </w:rPr>
        <w:t> </w:t>
      </w:r>
      <w:r>
        <w:rPr/>
        <w:t>rights</w:t>
      </w:r>
      <w:r>
        <w:rPr>
          <w:spacing w:val="-9"/>
        </w:rPr>
        <w:t> </w:t>
      </w:r>
      <w:r>
        <w:rPr/>
        <w:t>standards</w:t>
      </w:r>
      <w:r>
        <w:rPr>
          <w:spacing w:val="-9"/>
        </w:rPr>
        <w:t> </w:t>
      </w:r>
      <w:r>
        <w:rPr/>
        <w:t>and best practice.</w:t>
      </w:r>
    </w:p>
    <w:p>
      <w:pPr>
        <w:pStyle w:val="BodyText"/>
        <w:spacing w:line="232" w:lineRule="auto" w:before="278"/>
        <w:ind w:left="720" w:right="1087"/>
      </w:pPr>
      <w:r>
        <w:rPr/>
        <w:t>We</w:t>
      </w:r>
      <w:r>
        <w:rPr>
          <w:spacing w:val="-7"/>
        </w:rPr>
        <w:t> </w:t>
      </w:r>
      <w:r>
        <w:rPr/>
        <w:t>recommend</w:t>
      </w:r>
      <w:r>
        <w:rPr>
          <w:spacing w:val="-8"/>
        </w:rPr>
        <w:t> </w:t>
      </w:r>
      <w:r>
        <w:rPr/>
        <w:t>the</w:t>
      </w:r>
      <w:r>
        <w:rPr>
          <w:spacing w:val="-7"/>
        </w:rPr>
        <w:t> </w:t>
      </w:r>
      <w:r>
        <w:rPr/>
        <w:t>Department</w:t>
      </w:r>
      <w:r>
        <w:rPr>
          <w:spacing w:val="-7"/>
        </w:rPr>
        <w:t> </w:t>
      </w:r>
      <w:r>
        <w:rPr/>
        <w:t>for</w:t>
      </w:r>
      <w:r>
        <w:rPr>
          <w:spacing w:val="-7"/>
        </w:rPr>
        <w:t> </w:t>
      </w:r>
      <w:r>
        <w:rPr/>
        <w:t>the</w:t>
      </w:r>
      <w:r>
        <w:rPr>
          <w:spacing w:val="-7"/>
        </w:rPr>
        <w:t> </w:t>
      </w:r>
      <w:r>
        <w:rPr/>
        <w:t>Economy</w:t>
      </w:r>
      <w:r>
        <w:rPr>
          <w:spacing w:val="-7"/>
        </w:rPr>
        <w:t> </w:t>
      </w:r>
      <w:r>
        <w:rPr/>
        <w:t>commence</w:t>
      </w:r>
      <w:r>
        <w:rPr>
          <w:spacing w:val="-7"/>
        </w:rPr>
        <w:t> </w:t>
      </w:r>
      <w:r>
        <w:rPr/>
        <w:t>sections</w:t>
      </w:r>
      <w:r>
        <w:rPr>
          <w:spacing w:val="-8"/>
        </w:rPr>
        <w:t> </w:t>
      </w:r>
      <w:r>
        <w:rPr/>
        <w:t>1-3</w:t>
      </w:r>
      <w:r>
        <w:rPr>
          <w:spacing w:val="-7"/>
        </w:rPr>
        <w:t> </w:t>
      </w:r>
      <w:r>
        <w:rPr/>
        <w:t>of</w:t>
      </w:r>
      <w:r>
        <w:rPr>
          <w:spacing w:val="-8"/>
        </w:rPr>
        <w:t> </w:t>
      </w:r>
      <w:r>
        <w:rPr/>
        <w:t>the Domestic Violence (Safe Leave) Act 2022.</w:t>
      </w:r>
    </w:p>
    <w:p>
      <w:pPr>
        <w:spacing w:after="0" w:line="232" w:lineRule="auto"/>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145</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130304">
                <wp:simplePos x="0" y="0"/>
                <wp:positionH relativeFrom="page">
                  <wp:posOffset>-2</wp:posOffset>
                </wp:positionH>
                <wp:positionV relativeFrom="page">
                  <wp:posOffset>0</wp:posOffset>
                </wp:positionV>
                <wp:extent cx="7560309" cy="1155065"/>
                <wp:effectExtent l="0" t="0" r="0" b="0"/>
                <wp:wrapNone/>
                <wp:docPr id="1175" name="Group 1175"/>
                <wp:cNvGraphicFramePr>
                  <a:graphicFrameLocks/>
                </wp:cNvGraphicFramePr>
                <a:graphic>
                  <a:graphicData uri="http://schemas.microsoft.com/office/word/2010/wordprocessingGroup">
                    <wpg:wgp>
                      <wpg:cNvPr id="1175" name="Group 1175"/>
                      <wpg:cNvGrpSpPr/>
                      <wpg:grpSpPr>
                        <a:xfrm>
                          <a:off x="0" y="0"/>
                          <a:ext cx="7560309" cy="1155065"/>
                          <a:chExt cx="7560309" cy="1155065"/>
                        </a:xfrm>
                      </wpg:grpSpPr>
                      <wps:wsp>
                        <wps:cNvPr id="1176" name="Graphic 1176"/>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177" name="Graphic 1177"/>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186176" id="docshapegroup970" coordorigin="0,0" coordsize="11906,1819">
                <v:shape style="position:absolute;left:0;top:0;width:11906;height:1819" id="docshape971"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738"/>
      </w:pPr>
      <w:r>
        <w:rPr/>
        <w:t>We recommend the Government of Ireland amend the Work Life Balance and Miscellaneous</w:t>
      </w:r>
      <w:r>
        <w:rPr>
          <w:spacing w:val="-7"/>
        </w:rPr>
        <w:t> </w:t>
      </w:r>
      <w:r>
        <w:rPr/>
        <w:t>Provisions</w:t>
      </w:r>
      <w:r>
        <w:rPr>
          <w:spacing w:val="-7"/>
        </w:rPr>
        <w:t> </w:t>
      </w:r>
      <w:r>
        <w:rPr/>
        <w:t>Act</w:t>
      </w:r>
      <w:r>
        <w:rPr>
          <w:spacing w:val="-6"/>
        </w:rPr>
        <w:t> </w:t>
      </w:r>
      <w:r>
        <w:rPr/>
        <w:t>2023</w:t>
      </w:r>
      <w:r>
        <w:rPr>
          <w:spacing w:val="-6"/>
        </w:rPr>
        <w:t> </w:t>
      </w:r>
      <w:r>
        <w:rPr/>
        <w:t>to</w:t>
      </w:r>
      <w:r>
        <w:rPr>
          <w:spacing w:val="-7"/>
        </w:rPr>
        <w:t> </w:t>
      </w:r>
      <w:r>
        <w:rPr/>
        <w:t>provide</w:t>
      </w:r>
      <w:r>
        <w:rPr>
          <w:spacing w:val="-6"/>
        </w:rPr>
        <w:t> </w:t>
      </w:r>
      <w:r>
        <w:rPr/>
        <w:t>for</w:t>
      </w:r>
      <w:r>
        <w:rPr>
          <w:spacing w:val="-6"/>
        </w:rPr>
        <w:t> </w:t>
      </w:r>
      <w:r>
        <w:rPr/>
        <w:t>ten</w:t>
      </w:r>
      <w:r>
        <w:rPr>
          <w:spacing w:val="-7"/>
        </w:rPr>
        <w:t> </w:t>
      </w:r>
      <w:r>
        <w:rPr/>
        <w:t>days</w:t>
      </w:r>
      <w:r>
        <w:rPr>
          <w:spacing w:val="-7"/>
        </w:rPr>
        <w:t> </w:t>
      </w:r>
      <w:r>
        <w:rPr/>
        <w:t>paid</w:t>
      </w:r>
      <w:r>
        <w:rPr>
          <w:spacing w:val="-7"/>
        </w:rPr>
        <w:t> </w:t>
      </w:r>
      <w:r>
        <w:rPr/>
        <w:t>domestic</w:t>
      </w:r>
      <w:r>
        <w:rPr>
          <w:spacing w:val="-6"/>
        </w:rPr>
        <w:t> </w:t>
      </w:r>
      <w:r>
        <w:rPr/>
        <w:t>violence leave as to be provided for under the Northern Ireland legislation.</w:t>
      </w:r>
    </w:p>
    <w:p>
      <w:pPr>
        <w:pStyle w:val="BodyText"/>
        <w:spacing w:line="232" w:lineRule="auto" w:before="279"/>
        <w:ind w:left="1117" w:right="738"/>
      </w:pPr>
      <w:r>
        <w:rPr/>
        <w:t>We recommend that the NI Department of Health and NI Department of Justice consider</w:t>
      </w:r>
      <w:r>
        <w:rPr>
          <w:spacing w:val="-6"/>
        </w:rPr>
        <w:t> </w:t>
      </w:r>
      <w:r>
        <w:rPr/>
        <w:t>any</w:t>
      </w:r>
      <w:r>
        <w:rPr>
          <w:spacing w:val="-6"/>
        </w:rPr>
        <w:t> </w:t>
      </w:r>
      <w:r>
        <w:rPr/>
        <w:t>lessons</w:t>
      </w:r>
      <w:r>
        <w:rPr>
          <w:spacing w:val="-7"/>
        </w:rPr>
        <w:t> </w:t>
      </w:r>
      <w:r>
        <w:rPr/>
        <w:t>learnt</w:t>
      </w:r>
      <w:r>
        <w:rPr>
          <w:spacing w:val="-6"/>
        </w:rPr>
        <w:t> </w:t>
      </w:r>
      <w:r>
        <w:rPr/>
        <w:t>from</w:t>
      </w:r>
      <w:r>
        <w:rPr>
          <w:spacing w:val="-6"/>
        </w:rPr>
        <w:t> </w:t>
      </w:r>
      <w:r>
        <w:rPr/>
        <w:t>the</w:t>
      </w:r>
      <w:r>
        <w:rPr>
          <w:spacing w:val="-6"/>
        </w:rPr>
        <w:t> </w:t>
      </w:r>
      <w:r>
        <w:rPr/>
        <w:t>Irish</w:t>
      </w:r>
      <w:r>
        <w:rPr>
          <w:spacing w:val="-7"/>
        </w:rPr>
        <w:t> </w:t>
      </w:r>
      <w:r>
        <w:rPr/>
        <w:t>experience</w:t>
      </w:r>
      <w:r>
        <w:rPr>
          <w:spacing w:val="-6"/>
        </w:rPr>
        <w:t> </w:t>
      </w:r>
      <w:r>
        <w:rPr/>
        <w:t>under</w:t>
      </w:r>
      <w:r>
        <w:rPr>
          <w:spacing w:val="-6"/>
        </w:rPr>
        <w:t> </w:t>
      </w:r>
      <w:r>
        <w:rPr/>
        <w:t>the</w:t>
      </w:r>
      <w:r>
        <w:rPr>
          <w:spacing w:val="-6"/>
        </w:rPr>
        <w:t> </w:t>
      </w:r>
      <w:r>
        <w:rPr/>
        <w:t>Domestic,</w:t>
      </w:r>
      <w:r>
        <w:rPr>
          <w:spacing w:val="-6"/>
        </w:rPr>
        <w:t> </w:t>
      </w:r>
      <w:r>
        <w:rPr/>
        <w:t>Sexual and Gender-Based Violence Agency Act 2023 to determine if it demonstrates strengthened rights and reflects international human rights standards and best </w:t>
      </w:r>
      <w:r>
        <w:rPr>
          <w:spacing w:val="-2"/>
        </w:rPr>
        <w:t>practice.</w:t>
      </w:r>
    </w:p>
    <w:p>
      <w:pPr>
        <w:pStyle w:val="BodyText"/>
        <w:spacing w:line="232" w:lineRule="auto" w:before="276"/>
        <w:ind w:left="1117" w:right="1404"/>
      </w:pPr>
      <w:r>
        <w:rPr/>
        <w:t>We recommend that the NI Department of Justice monitor possible new EU initiatives in the areas of anti-trafficking and violence against women which may</w:t>
      </w:r>
      <w:r>
        <w:rPr>
          <w:spacing w:val="-8"/>
        </w:rPr>
        <w:t> </w:t>
      </w:r>
      <w:r>
        <w:rPr/>
        <w:t>offer</w:t>
      </w:r>
      <w:r>
        <w:rPr>
          <w:spacing w:val="-8"/>
        </w:rPr>
        <w:t> </w:t>
      </w:r>
      <w:r>
        <w:rPr/>
        <w:t>opportunities</w:t>
      </w:r>
      <w:r>
        <w:rPr>
          <w:spacing w:val="-9"/>
        </w:rPr>
        <w:t> </w:t>
      </w:r>
      <w:r>
        <w:rPr/>
        <w:t>to</w:t>
      </w:r>
      <w:r>
        <w:rPr>
          <w:spacing w:val="-9"/>
        </w:rPr>
        <w:t> </w:t>
      </w:r>
      <w:r>
        <w:rPr/>
        <w:t>adopt</w:t>
      </w:r>
      <w:r>
        <w:rPr>
          <w:spacing w:val="-8"/>
        </w:rPr>
        <w:t> </w:t>
      </w:r>
      <w:r>
        <w:rPr/>
        <w:t>policies</w:t>
      </w:r>
      <w:r>
        <w:rPr>
          <w:spacing w:val="-9"/>
        </w:rPr>
        <w:t> </w:t>
      </w:r>
      <w:r>
        <w:rPr/>
        <w:t>which</w:t>
      </w:r>
      <w:r>
        <w:rPr>
          <w:spacing w:val="-9"/>
        </w:rPr>
        <w:t> </w:t>
      </w:r>
      <w:r>
        <w:rPr/>
        <w:t>strengthen</w:t>
      </w:r>
      <w:r>
        <w:rPr>
          <w:spacing w:val="-9"/>
        </w:rPr>
        <w:t> </w:t>
      </w:r>
      <w:r>
        <w:rPr/>
        <w:t>rights</w:t>
      </w:r>
      <w:r>
        <w:rPr>
          <w:spacing w:val="-9"/>
        </w:rPr>
        <w:t> </w:t>
      </w:r>
      <w:r>
        <w:rPr/>
        <w:t>and</w:t>
      </w:r>
      <w:r>
        <w:rPr>
          <w:spacing w:val="-9"/>
        </w:rPr>
        <w:t> </w:t>
      </w:r>
      <w:r>
        <w:rPr/>
        <w:t>reflect international human rights standards and best practice.</w:t>
      </w:r>
    </w:p>
    <w:p>
      <w:pPr>
        <w:pStyle w:val="BodyText"/>
        <w:spacing w:line="232" w:lineRule="auto" w:before="277"/>
        <w:ind w:left="1117" w:right="1198"/>
      </w:pPr>
      <w:r>
        <w:rPr/>
        <w:t>We recommend that the Northern Ireland Executive and the Government of Ireland consider how to ensure more systematic mutual consideration of legal developments in both jurisdictions to avoid divergence of rights on the island</w:t>
      </w:r>
      <w:r>
        <w:rPr/>
        <w:t> of Ireland post-Brexit, to facilitate equivalence, to ensure consideration of international</w:t>
      </w:r>
      <w:r>
        <w:rPr>
          <w:spacing w:val="-9"/>
        </w:rPr>
        <w:t> </w:t>
      </w:r>
      <w:r>
        <w:rPr/>
        <w:t>human</w:t>
      </w:r>
      <w:r>
        <w:rPr>
          <w:spacing w:val="-9"/>
        </w:rPr>
        <w:t> </w:t>
      </w:r>
      <w:r>
        <w:rPr/>
        <w:t>rights</w:t>
      </w:r>
      <w:r>
        <w:rPr>
          <w:spacing w:val="-9"/>
        </w:rPr>
        <w:t> </w:t>
      </w:r>
      <w:r>
        <w:rPr/>
        <w:t>standards</w:t>
      </w:r>
      <w:r>
        <w:rPr>
          <w:spacing w:val="-9"/>
        </w:rPr>
        <w:t> </w:t>
      </w:r>
      <w:r>
        <w:rPr/>
        <w:t>and</w:t>
      </w:r>
      <w:r>
        <w:rPr>
          <w:spacing w:val="-9"/>
        </w:rPr>
        <w:t> </w:t>
      </w:r>
      <w:r>
        <w:rPr/>
        <w:t>best</w:t>
      </w:r>
      <w:r>
        <w:rPr>
          <w:spacing w:val="-8"/>
        </w:rPr>
        <w:t> </w:t>
      </w:r>
      <w:r>
        <w:rPr/>
        <w:t>practice</w:t>
      </w:r>
      <w:r>
        <w:rPr>
          <w:spacing w:val="-8"/>
        </w:rPr>
        <w:t> </w:t>
      </w:r>
      <w:r>
        <w:rPr/>
        <w:t>and</w:t>
      </w:r>
      <w:r>
        <w:rPr>
          <w:spacing w:val="-9"/>
        </w:rPr>
        <w:t> </w:t>
      </w:r>
      <w:r>
        <w:rPr/>
        <w:t>to</w:t>
      </w:r>
      <w:r>
        <w:rPr>
          <w:spacing w:val="-9"/>
        </w:rPr>
        <w:t> </w:t>
      </w:r>
      <w:r>
        <w:rPr/>
        <w:t>strengthen</w:t>
      </w:r>
      <w:r>
        <w:rPr>
          <w:spacing w:val="-9"/>
        </w:rPr>
        <w:t> </w:t>
      </w:r>
      <w:r>
        <w:rPr/>
        <w:t>rights and equality.</w:t>
      </w:r>
    </w:p>
    <w:p>
      <w:pPr>
        <w:pStyle w:val="BodyText"/>
        <w:spacing w:line="232" w:lineRule="auto" w:before="275"/>
        <w:ind w:left="1117" w:right="738"/>
      </w:pPr>
      <w:r>
        <w:rPr/>
        <w:t>We recommend that the Irish Department for Children, Equality, Disability, Integration</w:t>
      </w:r>
      <w:r>
        <w:rPr>
          <w:spacing w:val="-7"/>
        </w:rPr>
        <w:t> </w:t>
      </w:r>
      <w:r>
        <w:rPr/>
        <w:t>and</w:t>
      </w:r>
      <w:r>
        <w:rPr>
          <w:spacing w:val="-7"/>
        </w:rPr>
        <w:t> </w:t>
      </w:r>
      <w:r>
        <w:rPr/>
        <w:t>Youth</w:t>
      </w:r>
      <w:r>
        <w:rPr>
          <w:spacing w:val="-7"/>
        </w:rPr>
        <w:t> </w:t>
      </w:r>
      <w:r>
        <w:rPr/>
        <w:t>include</w:t>
      </w:r>
      <w:r>
        <w:rPr>
          <w:spacing w:val="-6"/>
        </w:rPr>
        <w:t> </w:t>
      </w:r>
      <w:r>
        <w:rPr/>
        <w:t>proposals</w:t>
      </w:r>
      <w:r>
        <w:rPr>
          <w:spacing w:val="-7"/>
        </w:rPr>
        <w:t> </w:t>
      </w:r>
      <w:r>
        <w:rPr/>
        <w:t>to</w:t>
      </w:r>
      <w:r>
        <w:rPr>
          <w:spacing w:val="-7"/>
        </w:rPr>
        <w:t> </w:t>
      </w:r>
      <w:r>
        <w:rPr/>
        <w:t>amend</w:t>
      </w:r>
      <w:r>
        <w:rPr>
          <w:spacing w:val="-7"/>
        </w:rPr>
        <w:t> </w:t>
      </w:r>
      <w:r>
        <w:rPr/>
        <w:t>Irish</w:t>
      </w:r>
      <w:r>
        <w:rPr>
          <w:spacing w:val="-7"/>
        </w:rPr>
        <w:t> </w:t>
      </w:r>
      <w:r>
        <w:rPr/>
        <w:t>law</w:t>
      </w:r>
      <w:r>
        <w:rPr>
          <w:spacing w:val="-6"/>
        </w:rPr>
        <w:t> </w:t>
      </w:r>
      <w:r>
        <w:rPr/>
        <w:t>on</w:t>
      </w:r>
      <w:r>
        <w:rPr>
          <w:spacing w:val="-7"/>
        </w:rPr>
        <w:t> </w:t>
      </w:r>
      <w:r>
        <w:rPr/>
        <w:t>‘religious</w:t>
      </w:r>
      <w:r>
        <w:rPr>
          <w:spacing w:val="-7"/>
        </w:rPr>
        <w:t> </w:t>
      </w:r>
      <w:r>
        <w:rPr/>
        <w:t>belief’</w:t>
      </w:r>
      <w:r>
        <w:rPr>
          <w:spacing w:val="-6"/>
        </w:rPr>
        <w:t> </w:t>
      </w:r>
      <w:r>
        <w:rPr/>
        <w:t>to include ‘religion or belief’ to bring it into line with EU law.</w:t>
      </w:r>
    </w:p>
    <w:p>
      <w:pPr>
        <w:pStyle w:val="BodyText"/>
        <w:spacing w:line="232" w:lineRule="auto" w:before="278"/>
        <w:ind w:left="1117" w:right="1087"/>
      </w:pPr>
      <w:r>
        <w:rPr/>
        <w:t>We recommend that the Government of Ireland and NI Executive consider legislative proposals as regards a ban on conversion therapy that takes into consideration</w:t>
      </w:r>
      <w:r>
        <w:rPr>
          <w:spacing w:val="-7"/>
        </w:rPr>
        <w:t> </w:t>
      </w:r>
      <w:r>
        <w:rPr/>
        <w:t>any</w:t>
      </w:r>
      <w:r>
        <w:rPr>
          <w:spacing w:val="-7"/>
        </w:rPr>
        <w:t> </w:t>
      </w:r>
      <w:r>
        <w:rPr/>
        <w:t>EU</w:t>
      </w:r>
      <w:r>
        <w:rPr>
          <w:spacing w:val="-7"/>
        </w:rPr>
        <w:t> </w:t>
      </w:r>
      <w:r>
        <w:rPr/>
        <w:t>developments</w:t>
      </w:r>
      <w:r>
        <w:rPr>
          <w:spacing w:val="-7"/>
        </w:rPr>
        <w:t> </w:t>
      </w:r>
      <w:r>
        <w:rPr/>
        <w:t>in</w:t>
      </w:r>
      <w:r>
        <w:rPr>
          <w:spacing w:val="-7"/>
        </w:rPr>
        <w:t> </w:t>
      </w:r>
      <w:r>
        <w:rPr/>
        <w:t>this</w:t>
      </w:r>
      <w:r>
        <w:rPr>
          <w:spacing w:val="-7"/>
        </w:rPr>
        <w:t> </w:t>
      </w:r>
      <w:r>
        <w:rPr/>
        <w:t>area</w:t>
      </w:r>
      <w:r>
        <w:rPr>
          <w:spacing w:val="-7"/>
        </w:rPr>
        <w:t> </w:t>
      </w:r>
      <w:r>
        <w:rPr/>
        <w:t>and</w:t>
      </w:r>
      <w:r>
        <w:rPr>
          <w:spacing w:val="-7"/>
        </w:rPr>
        <w:t> </w:t>
      </w:r>
      <w:r>
        <w:rPr/>
        <w:t>ensures</w:t>
      </w:r>
      <w:r>
        <w:rPr>
          <w:spacing w:val="-7"/>
        </w:rPr>
        <w:t> </w:t>
      </w:r>
      <w:r>
        <w:rPr/>
        <w:t>that</w:t>
      </w:r>
      <w:r>
        <w:rPr>
          <w:spacing w:val="-7"/>
        </w:rPr>
        <w:t> </w:t>
      </w:r>
      <w:r>
        <w:rPr/>
        <w:t>any</w:t>
      </w:r>
      <w:r>
        <w:rPr>
          <w:spacing w:val="-7"/>
        </w:rPr>
        <w:t> </w:t>
      </w:r>
      <w:r>
        <w:rPr/>
        <w:t>published legislative proposals strengthen rights and reflect international human rights standards and best practice.</w:t>
      </w:r>
    </w:p>
    <w:p>
      <w:pPr>
        <w:pStyle w:val="BodyText"/>
        <w:spacing w:line="232" w:lineRule="auto" w:before="276"/>
        <w:ind w:left="1117" w:right="1107"/>
        <w:jc w:val="both"/>
      </w:pPr>
      <w:r>
        <w:rPr/>
        <w:t>We</w:t>
      </w:r>
      <w:r>
        <w:rPr>
          <w:spacing w:val="-6"/>
        </w:rPr>
        <w:t> </w:t>
      </w:r>
      <w:r>
        <w:rPr/>
        <w:t>recommend</w:t>
      </w:r>
      <w:r>
        <w:rPr>
          <w:spacing w:val="-7"/>
        </w:rPr>
        <w:t> </w:t>
      </w:r>
      <w:r>
        <w:rPr/>
        <w:t>that</w:t>
      </w:r>
      <w:r>
        <w:rPr>
          <w:spacing w:val="-6"/>
        </w:rPr>
        <w:t> </w:t>
      </w:r>
      <w:r>
        <w:rPr/>
        <w:t>the</w:t>
      </w:r>
      <w:r>
        <w:rPr>
          <w:spacing w:val="-6"/>
        </w:rPr>
        <w:t> </w:t>
      </w:r>
      <w:r>
        <w:rPr/>
        <w:t>Government</w:t>
      </w:r>
      <w:r>
        <w:rPr>
          <w:spacing w:val="-6"/>
        </w:rPr>
        <w:t> </w:t>
      </w:r>
      <w:r>
        <w:rPr/>
        <w:t>of</w:t>
      </w:r>
      <w:r>
        <w:rPr>
          <w:spacing w:val="-7"/>
        </w:rPr>
        <w:t> </w:t>
      </w:r>
      <w:r>
        <w:rPr/>
        <w:t>Ireland</w:t>
      </w:r>
      <w:r>
        <w:rPr>
          <w:spacing w:val="-7"/>
        </w:rPr>
        <w:t> </w:t>
      </w:r>
      <w:r>
        <w:rPr/>
        <w:t>include</w:t>
      </w:r>
      <w:r>
        <w:rPr>
          <w:spacing w:val="-6"/>
        </w:rPr>
        <w:t> </w:t>
      </w:r>
      <w:r>
        <w:rPr/>
        <w:t>proposals</w:t>
      </w:r>
      <w:r>
        <w:rPr>
          <w:spacing w:val="-7"/>
        </w:rPr>
        <w:t> </w:t>
      </w:r>
      <w:r>
        <w:rPr/>
        <w:t>to</w:t>
      </w:r>
      <w:r>
        <w:rPr>
          <w:spacing w:val="-7"/>
        </w:rPr>
        <w:t> </w:t>
      </w:r>
      <w:r>
        <w:rPr/>
        <w:t>amend</w:t>
      </w:r>
      <w:r>
        <w:rPr>
          <w:spacing w:val="-7"/>
        </w:rPr>
        <w:t> </w:t>
      </w:r>
      <w:r>
        <w:rPr/>
        <w:t>the equality</w:t>
      </w:r>
      <w:r>
        <w:rPr>
          <w:spacing w:val="-2"/>
        </w:rPr>
        <w:t> </w:t>
      </w:r>
      <w:r>
        <w:rPr/>
        <w:t>acts</w:t>
      </w:r>
      <w:r>
        <w:rPr>
          <w:spacing w:val="-3"/>
        </w:rPr>
        <w:t> </w:t>
      </w:r>
      <w:r>
        <w:rPr/>
        <w:t>provisions</w:t>
      </w:r>
      <w:r>
        <w:rPr>
          <w:spacing w:val="-3"/>
        </w:rPr>
        <w:t> </w:t>
      </w:r>
      <w:r>
        <w:rPr/>
        <w:t>on</w:t>
      </w:r>
      <w:r>
        <w:rPr>
          <w:spacing w:val="-3"/>
        </w:rPr>
        <w:t> </w:t>
      </w:r>
      <w:r>
        <w:rPr/>
        <w:t>the</w:t>
      </w:r>
      <w:r>
        <w:rPr>
          <w:spacing w:val="-2"/>
        </w:rPr>
        <w:t> </w:t>
      </w:r>
      <w:r>
        <w:rPr/>
        <w:t>religious</w:t>
      </w:r>
      <w:r>
        <w:rPr>
          <w:spacing w:val="-3"/>
        </w:rPr>
        <w:t> </w:t>
      </w:r>
      <w:r>
        <w:rPr/>
        <w:t>ethos</w:t>
      </w:r>
      <w:r>
        <w:rPr>
          <w:spacing w:val="-3"/>
        </w:rPr>
        <w:t> </w:t>
      </w:r>
      <w:r>
        <w:rPr/>
        <w:t>exemption</w:t>
      </w:r>
      <w:r>
        <w:rPr>
          <w:spacing w:val="-3"/>
        </w:rPr>
        <w:t> </w:t>
      </w:r>
      <w:r>
        <w:rPr/>
        <w:t>to</w:t>
      </w:r>
      <w:r>
        <w:rPr>
          <w:spacing w:val="-3"/>
        </w:rPr>
        <w:t> </w:t>
      </w:r>
      <w:r>
        <w:rPr/>
        <w:t>bring</w:t>
      </w:r>
      <w:r>
        <w:rPr>
          <w:spacing w:val="-2"/>
        </w:rPr>
        <w:t> </w:t>
      </w:r>
      <w:r>
        <w:rPr/>
        <w:t>them</w:t>
      </w:r>
      <w:r>
        <w:rPr>
          <w:spacing w:val="-2"/>
        </w:rPr>
        <w:t> </w:t>
      </w:r>
      <w:r>
        <w:rPr/>
        <w:t>into</w:t>
      </w:r>
      <w:r>
        <w:rPr>
          <w:spacing w:val="-3"/>
        </w:rPr>
        <w:t> </w:t>
      </w:r>
      <w:r>
        <w:rPr/>
        <w:t>line with EU standards.</w:t>
      </w:r>
    </w:p>
    <w:p>
      <w:pPr>
        <w:pStyle w:val="BodyText"/>
        <w:spacing w:line="232" w:lineRule="auto" w:before="279"/>
        <w:ind w:left="1117" w:right="1087"/>
      </w:pPr>
      <w:r>
        <w:rPr/>
        <w:t>We recommend</w:t>
      </w:r>
      <w:r>
        <w:rPr>
          <w:spacing w:val="-1"/>
        </w:rPr>
        <w:t> </w:t>
      </w:r>
      <w:r>
        <w:rPr/>
        <w:t>the NI Executive draft legislation</w:t>
      </w:r>
      <w:r>
        <w:rPr>
          <w:spacing w:val="-1"/>
        </w:rPr>
        <w:t> </w:t>
      </w:r>
      <w:r>
        <w:rPr/>
        <w:t>to</w:t>
      </w:r>
      <w:r>
        <w:rPr>
          <w:spacing w:val="-1"/>
        </w:rPr>
        <w:t> </w:t>
      </w:r>
      <w:r>
        <w:rPr/>
        <w:t>give effect to</w:t>
      </w:r>
      <w:r>
        <w:rPr>
          <w:spacing w:val="-1"/>
        </w:rPr>
        <w:t> </w:t>
      </w:r>
      <w:r>
        <w:rPr/>
        <w:t>the standards as</w:t>
      </w:r>
      <w:r>
        <w:rPr>
          <w:spacing w:val="-5"/>
        </w:rPr>
        <w:t> </w:t>
      </w:r>
      <w:r>
        <w:rPr/>
        <w:t>are</w:t>
      </w:r>
      <w:r>
        <w:rPr>
          <w:spacing w:val="-4"/>
        </w:rPr>
        <w:t> </w:t>
      </w:r>
      <w:r>
        <w:rPr/>
        <w:t>provided</w:t>
      </w:r>
      <w:r>
        <w:rPr>
          <w:spacing w:val="-5"/>
        </w:rPr>
        <w:t> </w:t>
      </w:r>
      <w:r>
        <w:rPr/>
        <w:t>for</w:t>
      </w:r>
      <w:r>
        <w:rPr>
          <w:spacing w:val="-4"/>
        </w:rPr>
        <w:t> </w:t>
      </w:r>
      <w:r>
        <w:rPr/>
        <w:t>in</w:t>
      </w:r>
      <w:r>
        <w:rPr>
          <w:spacing w:val="-5"/>
        </w:rPr>
        <w:t> </w:t>
      </w:r>
      <w:r>
        <w:rPr/>
        <w:t>Ireland</w:t>
      </w:r>
      <w:r>
        <w:rPr>
          <w:spacing w:val="-5"/>
        </w:rPr>
        <w:t> </w:t>
      </w:r>
      <w:r>
        <w:rPr/>
        <w:t>in</w:t>
      </w:r>
      <w:r>
        <w:rPr>
          <w:spacing w:val="-5"/>
        </w:rPr>
        <w:t> </w:t>
      </w:r>
      <w:r>
        <w:rPr/>
        <w:t>its</w:t>
      </w:r>
      <w:r>
        <w:rPr>
          <w:spacing w:val="-5"/>
        </w:rPr>
        <w:t> </w:t>
      </w:r>
      <w:r>
        <w:rPr/>
        <w:t>implementation</w:t>
      </w:r>
      <w:r>
        <w:rPr>
          <w:spacing w:val="-5"/>
        </w:rPr>
        <w:t> </w:t>
      </w:r>
      <w:r>
        <w:rPr/>
        <w:t>of</w:t>
      </w:r>
      <w:r>
        <w:rPr>
          <w:spacing w:val="-5"/>
        </w:rPr>
        <w:t> </w:t>
      </w:r>
      <w:r>
        <w:rPr/>
        <w:t>the</w:t>
      </w:r>
      <w:r>
        <w:rPr>
          <w:spacing w:val="-4"/>
        </w:rPr>
        <w:t> </w:t>
      </w:r>
      <w:r>
        <w:rPr/>
        <w:t>European</w:t>
      </w:r>
      <w:r>
        <w:rPr>
          <w:spacing w:val="-5"/>
        </w:rPr>
        <w:t> </w:t>
      </w:r>
      <w:r>
        <w:rPr/>
        <w:t>Accessibility Act</w:t>
      </w:r>
      <w:r>
        <w:rPr>
          <w:spacing w:val="-7"/>
        </w:rPr>
        <w:t> </w:t>
      </w:r>
      <w:r>
        <w:rPr/>
        <w:t>as</w:t>
      </w:r>
      <w:r>
        <w:rPr>
          <w:spacing w:val="-8"/>
        </w:rPr>
        <w:t> </w:t>
      </w:r>
      <w:r>
        <w:rPr/>
        <w:t>a</w:t>
      </w:r>
      <w:r>
        <w:rPr>
          <w:spacing w:val="-8"/>
        </w:rPr>
        <w:t> </w:t>
      </w:r>
      <w:r>
        <w:rPr/>
        <w:t>matter</w:t>
      </w:r>
      <w:r>
        <w:rPr>
          <w:spacing w:val="-7"/>
        </w:rPr>
        <w:t> </w:t>
      </w:r>
      <w:r>
        <w:rPr/>
        <w:t>of</w:t>
      </w:r>
      <w:r>
        <w:rPr>
          <w:spacing w:val="-8"/>
        </w:rPr>
        <w:t> </w:t>
      </w:r>
      <w:r>
        <w:rPr/>
        <w:t>voluntary</w:t>
      </w:r>
      <w:r>
        <w:rPr>
          <w:spacing w:val="-7"/>
        </w:rPr>
        <w:t> </w:t>
      </w:r>
      <w:r>
        <w:rPr/>
        <w:t>alignment</w:t>
      </w:r>
      <w:r>
        <w:rPr>
          <w:spacing w:val="-7"/>
        </w:rPr>
        <w:t> </w:t>
      </w:r>
      <w:r>
        <w:rPr/>
        <w:t>where</w:t>
      </w:r>
      <w:r>
        <w:rPr>
          <w:spacing w:val="-7"/>
        </w:rPr>
        <w:t> </w:t>
      </w:r>
      <w:r>
        <w:rPr/>
        <w:t>these</w:t>
      </w:r>
      <w:r>
        <w:rPr>
          <w:spacing w:val="-7"/>
        </w:rPr>
        <w:t> </w:t>
      </w:r>
      <w:r>
        <w:rPr/>
        <w:t>strengthen</w:t>
      </w:r>
      <w:r>
        <w:rPr>
          <w:spacing w:val="-8"/>
        </w:rPr>
        <w:t> </w:t>
      </w:r>
      <w:r>
        <w:rPr/>
        <w:t>rights</w:t>
      </w:r>
      <w:r>
        <w:rPr>
          <w:spacing w:val="-8"/>
        </w:rPr>
        <w:t> </w:t>
      </w:r>
      <w:r>
        <w:rPr/>
        <w:t>and</w:t>
      </w:r>
      <w:r>
        <w:rPr>
          <w:spacing w:val="-8"/>
        </w:rPr>
        <w:t> </w:t>
      </w:r>
      <w:r>
        <w:rPr/>
        <w:t>reflect international human rights standards and best practice.</w:t>
      </w:r>
    </w:p>
    <w:p>
      <w:pPr>
        <w:pStyle w:val="BodyText"/>
        <w:spacing w:line="232" w:lineRule="auto" w:before="277"/>
        <w:ind w:left="1117" w:right="1087"/>
      </w:pPr>
      <w:r>
        <w:rPr/>
        <w:t>We recommend the Government of Ireland consider as part of its EU Adequate Minimum</w:t>
      </w:r>
      <w:r>
        <w:rPr>
          <w:spacing w:val="-8"/>
        </w:rPr>
        <w:t> </w:t>
      </w:r>
      <w:r>
        <w:rPr/>
        <w:t>Wage</w:t>
      </w:r>
      <w:r>
        <w:rPr>
          <w:spacing w:val="-8"/>
        </w:rPr>
        <w:t> </w:t>
      </w:r>
      <w:r>
        <w:rPr/>
        <w:t>Directive</w:t>
      </w:r>
      <w:r>
        <w:rPr>
          <w:spacing w:val="-8"/>
        </w:rPr>
        <w:t> </w:t>
      </w:r>
      <w:r>
        <w:rPr/>
        <w:t>Action</w:t>
      </w:r>
      <w:r>
        <w:rPr>
          <w:spacing w:val="-9"/>
        </w:rPr>
        <w:t> </w:t>
      </w:r>
      <w:r>
        <w:rPr/>
        <w:t>Plan,</w:t>
      </w:r>
      <w:r>
        <w:rPr>
          <w:spacing w:val="-8"/>
        </w:rPr>
        <w:t> </w:t>
      </w:r>
      <w:r>
        <w:rPr/>
        <w:t>legislation</w:t>
      </w:r>
      <w:r>
        <w:rPr>
          <w:spacing w:val="-9"/>
        </w:rPr>
        <w:t> </w:t>
      </w:r>
      <w:r>
        <w:rPr/>
        <w:t>on</w:t>
      </w:r>
      <w:r>
        <w:rPr>
          <w:spacing w:val="-9"/>
        </w:rPr>
        <w:t> </w:t>
      </w:r>
      <w:r>
        <w:rPr/>
        <w:t>the</w:t>
      </w:r>
      <w:r>
        <w:rPr>
          <w:spacing w:val="-8"/>
        </w:rPr>
        <w:t> </w:t>
      </w:r>
      <w:r>
        <w:rPr/>
        <w:t>statutory</w:t>
      </w:r>
      <w:r>
        <w:rPr>
          <w:spacing w:val="-8"/>
        </w:rPr>
        <w:t> </w:t>
      </w:r>
      <w:r>
        <w:rPr/>
        <w:t>recognition</w:t>
      </w:r>
      <w:r>
        <w:rPr>
          <w:spacing w:val="-9"/>
        </w:rPr>
        <w:t> </w:t>
      </w:r>
      <w:r>
        <w:rPr/>
        <w:t>of trade unions, bearing in mind the Northern Ireland model.</w:t>
      </w:r>
    </w:p>
    <w:p>
      <w:pPr>
        <w:spacing w:after="0" w:line="232" w:lineRule="auto"/>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30816">
                <wp:simplePos x="0" y="0"/>
                <wp:positionH relativeFrom="page">
                  <wp:posOffset>0</wp:posOffset>
                </wp:positionH>
                <wp:positionV relativeFrom="page">
                  <wp:posOffset>0</wp:posOffset>
                </wp:positionV>
                <wp:extent cx="7560309" cy="1155065"/>
                <wp:effectExtent l="0" t="0" r="0" b="0"/>
                <wp:wrapNone/>
                <wp:docPr id="1178" name="Group 1178"/>
                <wp:cNvGraphicFramePr>
                  <a:graphicFrameLocks/>
                </wp:cNvGraphicFramePr>
                <a:graphic>
                  <a:graphicData uri="http://schemas.microsoft.com/office/word/2010/wordprocessingGroup">
                    <wpg:wgp>
                      <wpg:cNvPr id="1178" name="Group 1178"/>
                      <wpg:cNvGrpSpPr/>
                      <wpg:grpSpPr>
                        <a:xfrm>
                          <a:off x="0" y="0"/>
                          <a:ext cx="7560309" cy="1155065"/>
                          <a:chExt cx="7560309" cy="1155065"/>
                        </a:xfrm>
                      </wpg:grpSpPr>
                      <wps:wsp>
                        <wps:cNvPr id="1179" name="Graphic 1179"/>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180" name="Graphic 1180"/>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185664" id="docshapegroup972" coordorigin="0,0" coordsize="11906,1819">
                <v:shape style="position:absolute;left:0;top:0;width:11906;height:1819" id="docshape973"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146</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404"/>
      </w:pPr>
      <w:r>
        <w:rPr/>
        <w:t>We</w:t>
      </w:r>
      <w:r>
        <w:rPr>
          <w:spacing w:val="-8"/>
        </w:rPr>
        <w:t> </w:t>
      </w:r>
      <w:r>
        <w:rPr/>
        <w:t>recommend</w:t>
      </w:r>
      <w:r>
        <w:rPr>
          <w:spacing w:val="-9"/>
        </w:rPr>
        <w:t> </w:t>
      </w:r>
      <w:r>
        <w:rPr/>
        <w:t>the</w:t>
      </w:r>
      <w:r>
        <w:rPr>
          <w:spacing w:val="-8"/>
        </w:rPr>
        <w:t> </w:t>
      </w:r>
      <w:r>
        <w:rPr/>
        <w:t>NI</w:t>
      </w:r>
      <w:r>
        <w:rPr>
          <w:spacing w:val="-8"/>
        </w:rPr>
        <w:t> </w:t>
      </w:r>
      <w:r>
        <w:rPr/>
        <w:t>Executive</w:t>
      </w:r>
      <w:r>
        <w:rPr>
          <w:spacing w:val="-8"/>
        </w:rPr>
        <w:t> </w:t>
      </w:r>
      <w:r>
        <w:rPr/>
        <w:t>and</w:t>
      </w:r>
      <w:r>
        <w:rPr>
          <w:spacing w:val="-9"/>
        </w:rPr>
        <w:t> </w:t>
      </w:r>
      <w:r>
        <w:rPr/>
        <w:t>relevant</w:t>
      </w:r>
      <w:r>
        <w:rPr>
          <w:spacing w:val="-8"/>
        </w:rPr>
        <w:t> </w:t>
      </w:r>
      <w:r>
        <w:rPr/>
        <w:t>departments</w:t>
      </w:r>
      <w:r>
        <w:rPr>
          <w:spacing w:val="-9"/>
        </w:rPr>
        <w:t> </w:t>
      </w:r>
      <w:r>
        <w:rPr/>
        <w:t>conduct</w:t>
      </w:r>
      <w:r>
        <w:rPr>
          <w:spacing w:val="-8"/>
        </w:rPr>
        <w:t> </w:t>
      </w:r>
      <w:r>
        <w:rPr/>
        <w:t>a</w:t>
      </w:r>
      <w:r>
        <w:rPr>
          <w:spacing w:val="-9"/>
        </w:rPr>
        <w:t> </w:t>
      </w:r>
      <w:r>
        <w:rPr/>
        <w:t>review</w:t>
      </w:r>
      <w:r>
        <w:rPr>
          <w:spacing w:val="-8"/>
        </w:rPr>
        <w:t> </w:t>
      </w:r>
      <w:r>
        <w:rPr/>
        <w:t>on why collective bargaining coverage remains so low in Northern Ireland.</w:t>
      </w:r>
    </w:p>
    <w:p>
      <w:pPr>
        <w:pStyle w:val="BodyText"/>
        <w:spacing w:line="232" w:lineRule="auto" w:before="280"/>
        <w:ind w:left="720" w:right="1143"/>
      </w:pPr>
      <w:r>
        <w:rPr/>
        <w:t>We recommend that, as a matter of voluntary alignment with good practice, the Northern Ireland Executive and UK Government consider the need to introduce reporting requirements mirroring those in the EU Corporate Sustainability Reporting</w:t>
      </w:r>
      <w:r>
        <w:rPr>
          <w:spacing w:val="-9"/>
        </w:rPr>
        <w:t> </w:t>
      </w:r>
      <w:r>
        <w:rPr/>
        <w:t>Directive,</w:t>
      </w:r>
      <w:r>
        <w:rPr>
          <w:spacing w:val="-9"/>
        </w:rPr>
        <w:t> </w:t>
      </w:r>
      <w:r>
        <w:rPr/>
        <w:t>where</w:t>
      </w:r>
      <w:r>
        <w:rPr>
          <w:spacing w:val="-9"/>
        </w:rPr>
        <w:t> </w:t>
      </w:r>
      <w:r>
        <w:rPr/>
        <w:t>these</w:t>
      </w:r>
      <w:r>
        <w:rPr>
          <w:spacing w:val="-9"/>
        </w:rPr>
        <w:t> </w:t>
      </w:r>
      <w:r>
        <w:rPr/>
        <w:t>strengthen</w:t>
      </w:r>
      <w:r>
        <w:rPr>
          <w:spacing w:val="-10"/>
        </w:rPr>
        <w:t> </w:t>
      </w:r>
      <w:r>
        <w:rPr/>
        <w:t>rights</w:t>
      </w:r>
      <w:r>
        <w:rPr>
          <w:spacing w:val="-10"/>
        </w:rPr>
        <w:t> </w:t>
      </w:r>
      <w:r>
        <w:rPr/>
        <w:t>and</w:t>
      </w:r>
      <w:r>
        <w:rPr>
          <w:spacing w:val="-10"/>
        </w:rPr>
        <w:t> </w:t>
      </w:r>
      <w:r>
        <w:rPr/>
        <w:t>reflect</w:t>
      </w:r>
      <w:r>
        <w:rPr>
          <w:spacing w:val="-9"/>
        </w:rPr>
        <w:t> </w:t>
      </w:r>
      <w:r>
        <w:rPr/>
        <w:t>international</w:t>
      </w:r>
      <w:r>
        <w:rPr>
          <w:spacing w:val="-10"/>
        </w:rPr>
        <w:t> </w:t>
      </w:r>
      <w:r>
        <w:rPr/>
        <w:t>human rights standards and best practice.</w:t>
      </w:r>
    </w:p>
    <w:p>
      <w:pPr>
        <w:pStyle w:val="BodyText"/>
        <w:spacing w:line="232" w:lineRule="auto" w:before="276"/>
        <w:ind w:left="720" w:right="1087"/>
      </w:pPr>
      <w:r>
        <w:rPr/>
        <w:t>We</w:t>
      </w:r>
      <w:r>
        <w:rPr>
          <w:spacing w:val="-8"/>
        </w:rPr>
        <w:t> </w:t>
      </w:r>
      <w:r>
        <w:rPr/>
        <w:t>recommend</w:t>
      </w:r>
      <w:r>
        <w:rPr>
          <w:spacing w:val="-9"/>
        </w:rPr>
        <w:t> </w:t>
      </w:r>
      <w:r>
        <w:rPr/>
        <w:t>that</w:t>
      </w:r>
      <w:r>
        <w:rPr>
          <w:spacing w:val="-8"/>
        </w:rPr>
        <w:t> </w:t>
      </w:r>
      <w:r>
        <w:rPr/>
        <w:t>the</w:t>
      </w:r>
      <w:r>
        <w:rPr>
          <w:spacing w:val="-8"/>
        </w:rPr>
        <w:t> </w:t>
      </w:r>
      <w:r>
        <w:rPr/>
        <w:t>NI</w:t>
      </w:r>
      <w:r>
        <w:rPr>
          <w:spacing w:val="-8"/>
        </w:rPr>
        <w:t> </w:t>
      </w:r>
      <w:r>
        <w:rPr/>
        <w:t>Executive,</w:t>
      </w:r>
      <w:r>
        <w:rPr>
          <w:spacing w:val="-8"/>
        </w:rPr>
        <w:t> </w:t>
      </w:r>
      <w:r>
        <w:rPr/>
        <w:t>relevant</w:t>
      </w:r>
      <w:r>
        <w:rPr>
          <w:spacing w:val="-8"/>
        </w:rPr>
        <w:t> </w:t>
      </w:r>
      <w:r>
        <w:rPr/>
        <w:t>NI</w:t>
      </w:r>
      <w:r>
        <w:rPr>
          <w:spacing w:val="-8"/>
        </w:rPr>
        <w:t> </w:t>
      </w:r>
      <w:r>
        <w:rPr/>
        <w:t>departments</w:t>
      </w:r>
      <w:r>
        <w:rPr>
          <w:spacing w:val="-9"/>
        </w:rPr>
        <w:t> </w:t>
      </w:r>
      <w:r>
        <w:rPr/>
        <w:t>and</w:t>
      </w:r>
      <w:r>
        <w:rPr>
          <w:spacing w:val="-9"/>
        </w:rPr>
        <w:t> </w:t>
      </w:r>
      <w:r>
        <w:rPr/>
        <w:t>others,</w:t>
      </w:r>
      <w:r>
        <w:rPr>
          <w:spacing w:val="-8"/>
        </w:rPr>
        <w:t> </w:t>
      </w:r>
      <w:r>
        <w:rPr/>
        <w:t>address gaps in equality data, ensure where possible that equality data is comparable with international frameworks including at EU level, and consider any examples of best practice</w:t>
      </w:r>
      <w:r>
        <w:rPr>
          <w:spacing w:val="-6"/>
        </w:rPr>
        <w:t> </w:t>
      </w:r>
      <w:r>
        <w:rPr/>
        <w:t>from</w:t>
      </w:r>
      <w:r>
        <w:rPr>
          <w:spacing w:val="-6"/>
        </w:rPr>
        <w:t> </w:t>
      </w:r>
      <w:r>
        <w:rPr/>
        <w:t>the</w:t>
      </w:r>
      <w:r>
        <w:rPr>
          <w:spacing w:val="-6"/>
        </w:rPr>
        <w:t> </w:t>
      </w:r>
      <w:r>
        <w:rPr/>
        <w:t>EU</w:t>
      </w:r>
      <w:r>
        <w:rPr>
          <w:spacing w:val="-6"/>
        </w:rPr>
        <w:t> </w:t>
      </w:r>
      <w:r>
        <w:rPr/>
        <w:t>Equality</w:t>
      </w:r>
      <w:r>
        <w:rPr>
          <w:spacing w:val="-6"/>
        </w:rPr>
        <w:t> </w:t>
      </w:r>
      <w:r>
        <w:rPr/>
        <w:t>Data</w:t>
      </w:r>
      <w:r>
        <w:rPr>
          <w:spacing w:val="-7"/>
        </w:rPr>
        <w:t> </w:t>
      </w:r>
      <w:r>
        <w:rPr/>
        <w:t>Collection</w:t>
      </w:r>
      <w:r>
        <w:rPr>
          <w:spacing w:val="-7"/>
        </w:rPr>
        <w:t> </w:t>
      </w:r>
      <w:r>
        <w:rPr/>
        <w:t>guidance</w:t>
      </w:r>
      <w:r>
        <w:rPr>
          <w:spacing w:val="-6"/>
        </w:rPr>
        <w:t> </w:t>
      </w:r>
      <w:r>
        <w:rPr/>
        <w:t>and</w:t>
      </w:r>
      <w:r>
        <w:rPr>
          <w:spacing w:val="-7"/>
        </w:rPr>
        <w:t> </w:t>
      </w:r>
      <w:r>
        <w:rPr/>
        <w:t>from</w:t>
      </w:r>
      <w:r>
        <w:rPr>
          <w:spacing w:val="-6"/>
        </w:rPr>
        <w:t> </w:t>
      </w:r>
      <w:r>
        <w:rPr/>
        <w:t>any</w:t>
      </w:r>
      <w:r>
        <w:rPr>
          <w:spacing w:val="-6"/>
        </w:rPr>
        <w:t> </w:t>
      </w:r>
      <w:r>
        <w:rPr/>
        <w:t>developments on a National Equality Data Strategy in Ireland.</w:t>
      </w:r>
    </w:p>
    <w:p>
      <w:pPr>
        <w:pStyle w:val="BodyText"/>
        <w:spacing w:line="232" w:lineRule="auto" w:before="276"/>
        <w:ind w:left="720"/>
      </w:pPr>
      <w:r>
        <w:rPr/>
        <w:t>We</w:t>
      </w:r>
      <w:r>
        <w:rPr>
          <w:spacing w:val="-6"/>
        </w:rPr>
        <w:t> </w:t>
      </w:r>
      <w:r>
        <w:rPr/>
        <w:t>recommend</w:t>
      </w:r>
      <w:r>
        <w:rPr>
          <w:spacing w:val="-7"/>
        </w:rPr>
        <w:t> </w:t>
      </w:r>
      <w:r>
        <w:rPr/>
        <w:t>that</w:t>
      </w:r>
      <w:r>
        <w:rPr>
          <w:spacing w:val="-6"/>
        </w:rPr>
        <w:t> </w:t>
      </w:r>
      <w:r>
        <w:rPr/>
        <w:t>the</w:t>
      </w:r>
      <w:r>
        <w:rPr>
          <w:spacing w:val="-6"/>
        </w:rPr>
        <w:t> </w:t>
      </w:r>
      <w:r>
        <w:rPr/>
        <w:t>EU</w:t>
      </w:r>
      <w:r>
        <w:rPr>
          <w:spacing w:val="-6"/>
        </w:rPr>
        <w:t> </w:t>
      </w:r>
      <w:r>
        <w:rPr/>
        <w:t>and</w:t>
      </w:r>
      <w:r>
        <w:rPr>
          <w:spacing w:val="-7"/>
        </w:rPr>
        <w:t> </w:t>
      </w:r>
      <w:r>
        <w:rPr/>
        <w:t>UK</w:t>
      </w:r>
      <w:r>
        <w:rPr>
          <w:spacing w:val="-6"/>
        </w:rPr>
        <w:t> </w:t>
      </w:r>
      <w:r>
        <w:rPr/>
        <w:t>Government</w:t>
      </w:r>
      <w:r>
        <w:rPr>
          <w:spacing w:val="-6"/>
        </w:rPr>
        <w:t> </w:t>
      </w:r>
      <w:r>
        <w:rPr/>
        <w:t>provide</w:t>
      </w:r>
      <w:r>
        <w:rPr>
          <w:spacing w:val="-6"/>
        </w:rPr>
        <w:t> </w:t>
      </w:r>
      <w:r>
        <w:rPr/>
        <w:t>for</w:t>
      </w:r>
      <w:r>
        <w:rPr>
          <w:spacing w:val="-6"/>
        </w:rPr>
        <w:t> </w:t>
      </w:r>
      <w:r>
        <w:rPr/>
        <w:t>a</w:t>
      </w:r>
      <w:r>
        <w:rPr>
          <w:spacing w:val="-7"/>
        </w:rPr>
        <w:t> </w:t>
      </w:r>
      <w:r>
        <w:rPr/>
        <w:t>Northern</w:t>
      </w:r>
      <w:r>
        <w:rPr>
          <w:spacing w:val="-7"/>
        </w:rPr>
        <w:t> </w:t>
      </w:r>
      <w:r>
        <w:rPr/>
        <w:t>Ireland representative on the EU Equality Data Subgroup.</w:t>
      </w:r>
    </w:p>
    <w:p>
      <w:pPr>
        <w:pStyle w:val="BodyText"/>
        <w:spacing w:line="232" w:lineRule="auto" w:before="280"/>
        <w:ind w:left="720" w:right="1143"/>
      </w:pPr>
      <w:r>
        <w:rPr/>
        <w:t>We</w:t>
      </w:r>
      <w:r>
        <w:rPr>
          <w:spacing w:val="-9"/>
        </w:rPr>
        <w:t> </w:t>
      </w:r>
      <w:r>
        <w:rPr/>
        <w:t>recommend</w:t>
      </w:r>
      <w:r>
        <w:rPr>
          <w:spacing w:val="-10"/>
        </w:rPr>
        <w:t> </w:t>
      </w:r>
      <w:r>
        <w:rPr/>
        <w:t>the</w:t>
      </w:r>
      <w:r>
        <w:rPr>
          <w:spacing w:val="-9"/>
        </w:rPr>
        <w:t> </w:t>
      </w:r>
      <w:r>
        <w:rPr/>
        <w:t>NI</w:t>
      </w:r>
      <w:r>
        <w:rPr>
          <w:spacing w:val="-9"/>
        </w:rPr>
        <w:t> </w:t>
      </w:r>
      <w:r>
        <w:rPr/>
        <w:t>Executive</w:t>
      </w:r>
      <w:r>
        <w:rPr>
          <w:spacing w:val="-9"/>
        </w:rPr>
        <w:t> </w:t>
      </w:r>
      <w:r>
        <w:rPr/>
        <w:t>review</w:t>
      </w:r>
      <w:r>
        <w:rPr>
          <w:spacing w:val="-9"/>
        </w:rPr>
        <w:t> </w:t>
      </w:r>
      <w:r>
        <w:rPr/>
        <w:t>Northern</w:t>
      </w:r>
      <w:r>
        <w:rPr>
          <w:spacing w:val="-10"/>
        </w:rPr>
        <w:t> </w:t>
      </w:r>
      <w:r>
        <w:rPr/>
        <w:t>Ireland</w:t>
      </w:r>
      <w:r>
        <w:rPr>
          <w:spacing w:val="-10"/>
        </w:rPr>
        <w:t> </w:t>
      </w:r>
      <w:r>
        <w:rPr/>
        <w:t>public</w:t>
      </w:r>
      <w:r>
        <w:rPr>
          <w:spacing w:val="-9"/>
        </w:rPr>
        <w:t> </w:t>
      </w:r>
      <w:r>
        <w:rPr/>
        <w:t>interest</w:t>
      </w:r>
      <w:r>
        <w:rPr>
          <w:spacing w:val="-9"/>
        </w:rPr>
        <w:t> </w:t>
      </w:r>
      <w:r>
        <w:rPr/>
        <w:t>disclosure legislation in light of the review in Great Britain and the changes in Ireland as a result of implementing the EU Whistleblowing Directive, with a view to amending legislation to strengthen rights and reflect international human rights standards and best practice, in particular to expand the scope of people protected and to require companies to adopt internal reporting channels.</w:t>
      </w:r>
    </w:p>
    <w:p>
      <w:pPr>
        <w:pStyle w:val="BodyText"/>
        <w:spacing w:line="232" w:lineRule="auto" w:before="274"/>
        <w:ind w:left="720" w:right="1087"/>
      </w:pPr>
      <w:r>
        <w:rPr/>
        <w:t>We</w:t>
      </w:r>
      <w:r>
        <w:rPr>
          <w:spacing w:val="-5"/>
        </w:rPr>
        <w:t> </w:t>
      </w:r>
      <w:r>
        <w:rPr/>
        <w:t>recommend</w:t>
      </w:r>
      <w:r>
        <w:rPr>
          <w:spacing w:val="-6"/>
        </w:rPr>
        <w:t> </w:t>
      </w:r>
      <w:r>
        <w:rPr/>
        <w:t>that</w:t>
      </w:r>
      <w:r>
        <w:rPr>
          <w:spacing w:val="-5"/>
        </w:rPr>
        <w:t> </w:t>
      </w:r>
      <w:r>
        <w:rPr/>
        <w:t>the</w:t>
      </w:r>
      <w:r>
        <w:rPr>
          <w:spacing w:val="-5"/>
        </w:rPr>
        <w:t> </w:t>
      </w:r>
      <w:r>
        <w:rPr/>
        <w:t>ECNI</w:t>
      </w:r>
      <w:r>
        <w:rPr>
          <w:spacing w:val="-5"/>
        </w:rPr>
        <w:t> </w:t>
      </w:r>
      <w:r>
        <w:rPr/>
        <w:t>and</w:t>
      </w:r>
      <w:r>
        <w:rPr>
          <w:spacing w:val="-6"/>
        </w:rPr>
        <w:t> </w:t>
      </w:r>
      <w:r>
        <w:rPr/>
        <w:t>NIHRC</w:t>
      </w:r>
      <w:r>
        <w:rPr>
          <w:spacing w:val="-6"/>
        </w:rPr>
        <w:t> </w:t>
      </w:r>
      <w:r>
        <w:rPr/>
        <w:t>conduct</w:t>
      </w:r>
      <w:r>
        <w:rPr>
          <w:spacing w:val="-5"/>
        </w:rPr>
        <w:t> </w:t>
      </w:r>
      <w:r>
        <w:rPr/>
        <w:t>an</w:t>
      </w:r>
      <w:r>
        <w:rPr>
          <w:spacing w:val="-6"/>
        </w:rPr>
        <w:t> </w:t>
      </w:r>
      <w:r>
        <w:rPr/>
        <w:t>analysis</w:t>
      </w:r>
      <w:r>
        <w:rPr>
          <w:spacing w:val="-6"/>
        </w:rPr>
        <w:t> </w:t>
      </w:r>
      <w:r>
        <w:rPr/>
        <w:t>to</w:t>
      </w:r>
      <w:r>
        <w:rPr>
          <w:spacing w:val="-6"/>
        </w:rPr>
        <w:t> </w:t>
      </w:r>
      <w:r>
        <w:rPr/>
        <w:t>determine</w:t>
      </w:r>
      <w:r>
        <w:rPr>
          <w:spacing w:val="-5"/>
        </w:rPr>
        <w:t> </w:t>
      </w:r>
      <w:r>
        <w:rPr/>
        <w:t>if</w:t>
      </w:r>
      <w:r>
        <w:rPr>
          <w:spacing w:val="-6"/>
        </w:rPr>
        <w:t> </w:t>
      </w:r>
      <w:r>
        <w:rPr/>
        <w:t>the Gender Balance on Boards Directive amends or replaces an Annex 1 directive.</w:t>
      </w:r>
    </w:p>
    <w:p>
      <w:pPr>
        <w:pStyle w:val="BodyText"/>
        <w:spacing w:line="232" w:lineRule="auto" w:before="281"/>
        <w:ind w:left="720" w:right="1250"/>
      </w:pPr>
      <w:r>
        <w:rPr/>
        <w:t>We</w:t>
      </w:r>
      <w:r>
        <w:rPr>
          <w:spacing w:val="-9"/>
        </w:rPr>
        <w:t> </w:t>
      </w:r>
      <w:r>
        <w:rPr/>
        <w:t>recommend</w:t>
      </w:r>
      <w:r>
        <w:rPr>
          <w:spacing w:val="-10"/>
        </w:rPr>
        <w:t> </w:t>
      </w:r>
      <w:r>
        <w:rPr/>
        <w:t>that</w:t>
      </w:r>
      <w:r>
        <w:rPr>
          <w:spacing w:val="-9"/>
        </w:rPr>
        <w:t> </w:t>
      </w:r>
      <w:r>
        <w:rPr/>
        <w:t>the</w:t>
      </w:r>
      <w:r>
        <w:rPr>
          <w:spacing w:val="-9"/>
        </w:rPr>
        <w:t> </w:t>
      </w:r>
      <w:r>
        <w:rPr/>
        <w:t>UK</w:t>
      </w:r>
      <w:r>
        <w:rPr>
          <w:spacing w:val="-9"/>
        </w:rPr>
        <w:t> </w:t>
      </w:r>
      <w:r>
        <w:rPr/>
        <w:t>Government,</w:t>
      </w:r>
      <w:r>
        <w:rPr>
          <w:spacing w:val="-9"/>
        </w:rPr>
        <w:t> </w:t>
      </w:r>
      <w:r>
        <w:rPr/>
        <w:t>NI</w:t>
      </w:r>
      <w:r>
        <w:rPr>
          <w:spacing w:val="-9"/>
        </w:rPr>
        <w:t> </w:t>
      </w:r>
      <w:r>
        <w:rPr/>
        <w:t>Executive</w:t>
      </w:r>
      <w:r>
        <w:rPr>
          <w:spacing w:val="-9"/>
        </w:rPr>
        <w:t> </w:t>
      </w:r>
      <w:r>
        <w:rPr/>
        <w:t>and</w:t>
      </w:r>
      <w:r>
        <w:rPr>
          <w:spacing w:val="-10"/>
        </w:rPr>
        <w:t> </w:t>
      </w:r>
      <w:r>
        <w:rPr/>
        <w:t>relevant</w:t>
      </w:r>
      <w:r>
        <w:rPr>
          <w:spacing w:val="-9"/>
        </w:rPr>
        <w:t> </w:t>
      </w:r>
      <w:r>
        <w:rPr/>
        <w:t>departments bring into force the necessary measures to comply with any requirements set by the Equality Bodies Directives on gender equality in the workplace and on equal treatment in respect of racial or ethnic origin, religion or belief, disability, age or sexual orientation and gender equality in social security and goods and services, further to obligations in the WF.</w:t>
      </w:r>
    </w:p>
    <w:p>
      <w:pPr>
        <w:pStyle w:val="BodyText"/>
        <w:spacing w:line="232" w:lineRule="auto" w:before="274"/>
        <w:ind w:left="720" w:right="1493"/>
      </w:pPr>
      <w:r>
        <w:rPr/>
        <w:t>We</w:t>
      </w:r>
      <w:r>
        <w:rPr>
          <w:spacing w:val="-8"/>
        </w:rPr>
        <w:t> </w:t>
      </w:r>
      <w:r>
        <w:rPr/>
        <w:t>recommend</w:t>
      </w:r>
      <w:r>
        <w:rPr>
          <w:spacing w:val="-9"/>
        </w:rPr>
        <w:t> </w:t>
      </w:r>
      <w:r>
        <w:rPr/>
        <w:t>that</w:t>
      </w:r>
      <w:r>
        <w:rPr>
          <w:spacing w:val="-8"/>
        </w:rPr>
        <w:t> </w:t>
      </w:r>
      <w:r>
        <w:rPr/>
        <w:t>the</w:t>
      </w:r>
      <w:r>
        <w:rPr>
          <w:spacing w:val="-8"/>
        </w:rPr>
        <w:t> </w:t>
      </w:r>
      <w:r>
        <w:rPr/>
        <w:t>NI</w:t>
      </w:r>
      <w:r>
        <w:rPr>
          <w:spacing w:val="-8"/>
        </w:rPr>
        <w:t> </w:t>
      </w:r>
      <w:r>
        <w:rPr/>
        <w:t>Executive</w:t>
      </w:r>
      <w:r>
        <w:rPr>
          <w:spacing w:val="-8"/>
        </w:rPr>
        <w:t> </w:t>
      </w:r>
      <w:r>
        <w:rPr/>
        <w:t>and</w:t>
      </w:r>
      <w:r>
        <w:rPr>
          <w:spacing w:val="-9"/>
        </w:rPr>
        <w:t> </w:t>
      </w:r>
      <w:r>
        <w:rPr/>
        <w:t>relevant</w:t>
      </w:r>
      <w:r>
        <w:rPr>
          <w:spacing w:val="-8"/>
        </w:rPr>
        <w:t> </w:t>
      </w:r>
      <w:r>
        <w:rPr/>
        <w:t>departments</w:t>
      </w:r>
      <w:r>
        <w:rPr>
          <w:spacing w:val="-9"/>
        </w:rPr>
        <w:t> </w:t>
      </w:r>
      <w:r>
        <w:rPr/>
        <w:t>implement</w:t>
      </w:r>
      <w:r>
        <w:rPr>
          <w:spacing w:val="-8"/>
        </w:rPr>
        <w:t> </w:t>
      </w:r>
      <w:r>
        <w:rPr/>
        <w:t>the standards in the Violence Against Women and Domestic Violence Directive to the extent that these strengthen rights and reflect international human rights standards and best practice.</w:t>
      </w:r>
    </w:p>
    <w:p>
      <w:pPr>
        <w:pStyle w:val="BodyText"/>
        <w:spacing w:line="232" w:lineRule="auto" w:before="277"/>
        <w:ind w:left="720" w:right="1407"/>
        <w:jc w:val="both"/>
      </w:pPr>
      <w:r>
        <w:rPr/>
        <w:t>We</w:t>
      </w:r>
      <w:r>
        <w:rPr>
          <w:spacing w:val="-2"/>
        </w:rPr>
        <w:t> </w:t>
      </w:r>
      <w:r>
        <w:rPr/>
        <w:t>recommend</w:t>
      </w:r>
      <w:r>
        <w:rPr>
          <w:spacing w:val="-3"/>
        </w:rPr>
        <w:t> </w:t>
      </w:r>
      <w:r>
        <w:rPr/>
        <w:t>that</w:t>
      </w:r>
      <w:r>
        <w:rPr>
          <w:spacing w:val="-2"/>
        </w:rPr>
        <w:t> </w:t>
      </w:r>
      <w:r>
        <w:rPr/>
        <w:t>the</w:t>
      </w:r>
      <w:r>
        <w:rPr>
          <w:spacing w:val="-2"/>
        </w:rPr>
        <w:t> </w:t>
      </w:r>
      <w:r>
        <w:rPr/>
        <w:t>ECNI</w:t>
      </w:r>
      <w:r>
        <w:rPr>
          <w:spacing w:val="-2"/>
        </w:rPr>
        <w:t> </w:t>
      </w:r>
      <w:r>
        <w:rPr/>
        <w:t>and</w:t>
      </w:r>
      <w:r>
        <w:rPr>
          <w:spacing w:val="-3"/>
        </w:rPr>
        <w:t> </w:t>
      </w:r>
      <w:r>
        <w:rPr/>
        <w:t>NIHRC</w:t>
      </w:r>
      <w:r>
        <w:rPr>
          <w:spacing w:val="-3"/>
        </w:rPr>
        <w:t> </w:t>
      </w:r>
      <w:r>
        <w:rPr/>
        <w:t>conduct</w:t>
      </w:r>
      <w:r>
        <w:rPr>
          <w:spacing w:val="-2"/>
        </w:rPr>
        <w:t> </w:t>
      </w:r>
      <w:r>
        <w:rPr/>
        <w:t>an</w:t>
      </w:r>
      <w:r>
        <w:rPr>
          <w:spacing w:val="-3"/>
        </w:rPr>
        <w:t> </w:t>
      </w:r>
      <w:r>
        <w:rPr/>
        <w:t>analysis</w:t>
      </w:r>
      <w:r>
        <w:rPr>
          <w:spacing w:val="-3"/>
        </w:rPr>
        <w:t> </w:t>
      </w:r>
      <w:r>
        <w:rPr/>
        <w:t>to</w:t>
      </w:r>
      <w:r>
        <w:rPr>
          <w:spacing w:val="-3"/>
        </w:rPr>
        <w:t> </w:t>
      </w:r>
      <w:r>
        <w:rPr/>
        <w:t>determine</w:t>
      </w:r>
      <w:r>
        <w:rPr>
          <w:spacing w:val="-2"/>
        </w:rPr>
        <w:t> </w:t>
      </w:r>
      <w:r>
        <w:rPr/>
        <w:t>if</w:t>
      </w:r>
      <w:r>
        <w:rPr>
          <w:spacing w:val="-3"/>
        </w:rPr>
        <w:t> </w:t>
      </w:r>
      <w:r>
        <w:rPr/>
        <w:t>the Violence</w:t>
      </w:r>
      <w:r>
        <w:rPr>
          <w:spacing w:val="-7"/>
        </w:rPr>
        <w:t> </w:t>
      </w:r>
      <w:r>
        <w:rPr/>
        <w:t>Against</w:t>
      </w:r>
      <w:r>
        <w:rPr>
          <w:spacing w:val="-7"/>
        </w:rPr>
        <w:t> </w:t>
      </w:r>
      <w:r>
        <w:rPr/>
        <w:t>Women</w:t>
      </w:r>
      <w:r>
        <w:rPr>
          <w:spacing w:val="-8"/>
        </w:rPr>
        <w:t> </w:t>
      </w:r>
      <w:r>
        <w:rPr/>
        <w:t>and</w:t>
      </w:r>
      <w:r>
        <w:rPr>
          <w:spacing w:val="-8"/>
        </w:rPr>
        <w:t> </w:t>
      </w:r>
      <w:r>
        <w:rPr/>
        <w:t>Domestic</w:t>
      </w:r>
      <w:r>
        <w:rPr>
          <w:spacing w:val="-7"/>
        </w:rPr>
        <w:t> </w:t>
      </w:r>
      <w:r>
        <w:rPr/>
        <w:t>Violence</w:t>
      </w:r>
      <w:r>
        <w:rPr>
          <w:spacing w:val="-7"/>
        </w:rPr>
        <w:t> </w:t>
      </w:r>
      <w:r>
        <w:rPr/>
        <w:t>Directive</w:t>
      </w:r>
      <w:r>
        <w:rPr>
          <w:spacing w:val="-7"/>
        </w:rPr>
        <w:t> </w:t>
      </w:r>
      <w:r>
        <w:rPr/>
        <w:t>amends</w:t>
      </w:r>
      <w:r>
        <w:rPr>
          <w:spacing w:val="-8"/>
        </w:rPr>
        <w:t> </w:t>
      </w:r>
      <w:r>
        <w:rPr/>
        <w:t>or</w:t>
      </w:r>
      <w:r>
        <w:rPr>
          <w:spacing w:val="-7"/>
        </w:rPr>
        <w:t> </w:t>
      </w:r>
      <w:r>
        <w:rPr/>
        <w:t>replaces</w:t>
      </w:r>
      <w:r>
        <w:rPr>
          <w:spacing w:val="-8"/>
        </w:rPr>
        <w:t> </w:t>
      </w:r>
      <w:r>
        <w:rPr/>
        <w:t>an Annex 1 directive.</w:t>
      </w:r>
    </w:p>
    <w:p>
      <w:pPr>
        <w:spacing w:after="0" w:line="232" w:lineRule="auto"/>
        <w:jc w:val="both"/>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147</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131328">
                <wp:simplePos x="0" y="0"/>
                <wp:positionH relativeFrom="page">
                  <wp:posOffset>-2</wp:posOffset>
                </wp:positionH>
                <wp:positionV relativeFrom="page">
                  <wp:posOffset>0</wp:posOffset>
                </wp:positionV>
                <wp:extent cx="7560309" cy="1155065"/>
                <wp:effectExtent l="0" t="0" r="0" b="0"/>
                <wp:wrapNone/>
                <wp:docPr id="1181" name="Group 1181"/>
                <wp:cNvGraphicFramePr>
                  <a:graphicFrameLocks/>
                </wp:cNvGraphicFramePr>
                <a:graphic>
                  <a:graphicData uri="http://schemas.microsoft.com/office/word/2010/wordprocessingGroup">
                    <wpg:wgp>
                      <wpg:cNvPr id="1181" name="Group 1181"/>
                      <wpg:cNvGrpSpPr/>
                      <wpg:grpSpPr>
                        <a:xfrm>
                          <a:off x="0" y="0"/>
                          <a:ext cx="7560309" cy="1155065"/>
                          <a:chExt cx="7560309" cy="1155065"/>
                        </a:xfrm>
                      </wpg:grpSpPr>
                      <wps:wsp>
                        <wps:cNvPr id="1182" name="Graphic 1182"/>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183" name="Graphic 1183"/>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185152" id="docshapegroup974" coordorigin="0,0" coordsize="11906,1819">
                <v:shape style="position:absolute;left:0;top:0;width:11906;height:1819" id="docshape97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1067"/>
      </w:pPr>
      <w:r>
        <w:rPr/>
        <w:t>We recommend that, as a matter of voluntary alignment, the UK Government,</w:t>
      </w:r>
      <w:r>
        <w:rPr/>
        <w:t> NI Executive ensures that NI law complies with the standards in EU Directive 2023/977</w:t>
      </w:r>
      <w:r>
        <w:rPr>
          <w:spacing w:val="-9"/>
        </w:rPr>
        <w:t> </w:t>
      </w:r>
      <w:r>
        <w:rPr/>
        <w:t>on</w:t>
      </w:r>
      <w:r>
        <w:rPr>
          <w:spacing w:val="-10"/>
        </w:rPr>
        <w:t> </w:t>
      </w:r>
      <w:r>
        <w:rPr/>
        <w:t>exchange</w:t>
      </w:r>
      <w:r>
        <w:rPr>
          <w:spacing w:val="-9"/>
        </w:rPr>
        <w:t> </w:t>
      </w:r>
      <w:r>
        <w:rPr/>
        <w:t>of</w:t>
      </w:r>
      <w:r>
        <w:rPr>
          <w:spacing w:val="-10"/>
        </w:rPr>
        <w:t> </w:t>
      </w:r>
      <w:r>
        <w:rPr/>
        <w:t>information</w:t>
      </w:r>
      <w:r>
        <w:rPr>
          <w:spacing w:val="-10"/>
        </w:rPr>
        <w:t> </w:t>
      </w:r>
      <w:r>
        <w:rPr/>
        <w:t>between</w:t>
      </w:r>
      <w:r>
        <w:rPr>
          <w:spacing w:val="-10"/>
        </w:rPr>
        <w:t> </w:t>
      </w:r>
      <w:r>
        <w:rPr/>
        <w:t>law</w:t>
      </w:r>
      <w:r>
        <w:rPr>
          <w:spacing w:val="-9"/>
        </w:rPr>
        <w:t> </w:t>
      </w:r>
      <w:r>
        <w:rPr/>
        <w:t>enforcement</w:t>
      </w:r>
      <w:r>
        <w:rPr>
          <w:spacing w:val="-9"/>
        </w:rPr>
        <w:t> </w:t>
      </w:r>
      <w:r>
        <w:rPr/>
        <w:t>authorities</w:t>
      </w:r>
      <w:r>
        <w:rPr>
          <w:spacing w:val="-10"/>
        </w:rPr>
        <w:t> </w:t>
      </w:r>
      <w:r>
        <w:rPr/>
        <w:t>and</w:t>
      </w:r>
    </w:p>
    <w:p>
      <w:pPr>
        <w:pStyle w:val="BodyText"/>
        <w:spacing w:line="232" w:lineRule="auto"/>
        <w:ind w:left="1117" w:right="738"/>
      </w:pPr>
      <w:r>
        <w:rPr/>
        <w:t>EU</w:t>
      </w:r>
      <w:r>
        <w:rPr>
          <w:spacing w:val="-6"/>
        </w:rPr>
        <w:t> </w:t>
      </w:r>
      <w:r>
        <w:rPr/>
        <w:t>Directive</w:t>
      </w:r>
      <w:r>
        <w:rPr>
          <w:spacing w:val="-6"/>
        </w:rPr>
        <w:t> </w:t>
      </w:r>
      <w:r>
        <w:rPr/>
        <w:t>2022/211</w:t>
      </w:r>
      <w:r>
        <w:rPr>
          <w:spacing w:val="-6"/>
        </w:rPr>
        <w:t> </w:t>
      </w:r>
      <w:r>
        <w:rPr/>
        <w:t>on</w:t>
      </w:r>
      <w:r>
        <w:rPr>
          <w:spacing w:val="-7"/>
        </w:rPr>
        <w:t> </w:t>
      </w:r>
      <w:r>
        <w:rPr/>
        <w:t>the</w:t>
      </w:r>
      <w:r>
        <w:rPr>
          <w:spacing w:val="-6"/>
        </w:rPr>
        <w:t> </w:t>
      </w:r>
      <w:r>
        <w:rPr/>
        <w:t>protection</w:t>
      </w:r>
      <w:r>
        <w:rPr>
          <w:spacing w:val="-7"/>
        </w:rPr>
        <w:t> </w:t>
      </w:r>
      <w:r>
        <w:rPr/>
        <w:t>of</w:t>
      </w:r>
      <w:r>
        <w:rPr>
          <w:spacing w:val="-7"/>
        </w:rPr>
        <w:t> </w:t>
      </w:r>
      <w:r>
        <w:rPr/>
        <w:t>personal</w:t>
      </w:r>
      <w:r>
        <w:rPr>
          <w:spacing w:val="-7"/>
        </w:rPr>
        <w:t> </w:t>
      </w:r>
      <w:r>
        <w:rPr/>
        <w:t>data,</w:t>
      </w:r>
      <w:r>
        <w:rPr>
          <w:spacing w:val="-6"/>
        </w:rPr>
        <w:t> </w:t>
      </w:r>
      <w:r>
        <w:rPr/>
        <w:t>so</w:t>
      </w:r>
      <w:r>
        <w:rPr>
          <w:spacing w:val="-7"/>
        </w:rPr>
        <w:t> </w:t>
      </w:r>
      <w:r>
        <w:rPr/>
        <w:t>as</w:t>
      </w:r>
      <w:r>
        <w:rPr>
          <w:spacing w:val="-7"/>
        </w:rPr>
        <w:t> </w:t>
      </w:r>
      <w:r>
        <w:rPr/>
        <w:t>ensure</w:t>
      </w:r>
      <w:r>
        <w:rPr>
          <w:spacing w:val="-6"/>
        </w:rPr>
        <w:t> </w:t>
      </w:r>
      <w:r>
        <w:rPr/>
        <w:t>continued cross border criminal justice cooperation, where this will strengthen rights and reflect international human rights standards and best practice.</w:t>
      </w:r>
    </w:p>
    <w:p>
      <w:pPr>
        <w:pStyle w:val="BodyText"/>
        <w:spacing w:line="232" w:lineRule="auto" w:before="275"/>
        <w:ind w:left="1117" w:right="738"/>
      </w:pPr>
      <w:r>
        <w:rPr/>
        <w:t>We</w:t>
      </w:r>
      <w:r>
        <w:rPr>
          <w:spacing w:val="-9"/>
        </w:rPr>
        <w:t> </w:t>
      </w:r>
      <w:r>
        <w:rPr/>
        <w:t>recommend</w:t>
      </w:r>
      <w:r>
        <w:rPr>
          <w:spacing w:val="-10"/>
        </w:rPr>
        <w:t> </w:t>
      </w:r>
      <w:r>
        <w:rPr/>
        <w:t>that</w:t>
      </w:r>
      <w:r>
        <w:rPr>
          <w:spacing w:val="-9"/>
        </w:rPr>
        <w:t> </w:t>
      </w:r>
      <w:r>
        <w:rPr/>
        <w:t>the</w:t>
      </w:r>
      <w:r>
        <w:rPr>
          <w:spacing w:val="-9"/>
        </w:rPr>
        <w:t> </w:t>
      </w:r>
      <w:r>
        <w:rPr/>
        <w:t>UK</w:t>
      </w:r>
      <w:r>
        <w:rPr>
          <w:spacing w:val="-9"/>
        </w:rPr>
        <w:t> </w:t>
      </w:r>
      <w:r>
        <w:rPr/>
        <w:t>Government,</w:t>
      </w:r>
      <w:r>
        <w:rPr>
          <w:spacing w:val="-9"/>
        </w:rPr>
        <w:t> </w:t>
      </w:r>
      <w:r>
        <w:rPr/>
        <w:t>NI</w:t>
      </w:r>
      <w:r>
        <w:rPr>
          <w:spacing w:val="-9"/>
        </w:rPr>
        <w:t> </w:t>
      </w:r>
      <w:r>
        <w:rPr/>
        <w:t>Executive</w:t>
      </w:r>
      <w:r>
        <w:rPr>
          <w:spacing w:val="-9"/>
        </w:rPr>
        <w:t> </w:t>
      </w:r>
      <w:r>
        <w:rPr/>
        <w:t>and</w:t>
      </w:r>
      <w:r>
        <w:rPr>
          <w:spacing w:val="-10"/>
        </w:rPr>
        <w:t> </w:t>
      </w:r>
      <w:r>
        <w:rPr/>
        <w:t>relevant</w:t>
      </w:r>
      <w:r>
        <w:rPr>
          <w:spacing w:val="-9"/>
        </w:rPr>
        <w:t> </w:t>
      </w:r>
      <w:r>
        <w:rPr/>
        <w:t>departments review data protection standards as they relate to cross-border security and voluntarily align with EU standards where they strengthen rights and reflect international human rights standards and best practice.</w:t>
      </w:r>
    </w:p>
    <w:p>
      <w:pPr>
        <w:pStyle w:val="BodyText"/>
        <w:spacing w:line="232" w:lineRule="auto" w:before="277"/>
        <w:ind w:left="1117" w:right="738"/>
      </w:pPr>
      <w:r>
        <w:rPr/>
        <w:t>We</w:t>
      </w:r>
      <w:r>
        <w:rPr>
          <w:spacing w:val="-7"/>
        </w:rPr>
        <w:t> </w:t>
      </w:r>
      <w:r>
        <w:rPr/>
        <w:t>recommend</w:t>
      </w:r>
      <w:r>
        <w:rPr>
          <w:spacing w:val="-8"/>
        </w:rPr>
        <w:t> </w:t>
      </w:r>
      <w:r>
        <w:rPr/>
        <w:t>the</w:t>
      </w:r>
      <w:r>
        <w:rPr>
          <w:spacing w:val="-7"/>
        </w:rPr>
        <w:t> </w:t>
      </w:r>
      <w:r>
        <w:rPr/>
        <w:t>UK</w:t>
      </w:r>
      <w:r>
        <w:rPr>
          <w:spacing w:val="-7"/>
        </w:rPr>
        <w:t> </w:t>
      </w:r>
      <w:r>
        <w:rPr/>
        <w:t>Government</w:t>
      </w:r>
      <w:r>
        <w:rPr>
          <w:spacing w:val="-7"/>
        </w:rPr>
        <w:t> </w:t>
      </w:r>
      <w:r>
        <w:rPr/>
        <w:t>and</w:t>
      </w:r>
      <w:r>
        <w:rPr>
          <w:spacing w:val="-8"/>
        </w:rPr>
        <w:t> </w:t>
      </w:r>
      <w:r>
        <w:rPr/>
        <w:t>the</w:t>
      </w:r>
      <w:r>
        <w:rPr>
          <w:spacing w:val="-7"/>
        </w:rPr>
        <w:t> </w:t>
      </w:r>
      <w:r>
        <w:rPr/>
        <w:t>NI</w:t>
      </w:r>
      <w:r>
        <w:rPr>
          <w:spacing w:val="-7"/>
        </w:rPr>
        <w:t> </w:t>
      </w:r>
      <w:r>
        <w:rPr/>
        <w:t>Executive</w:t>
      </w:r>
      <w:r>
        <w:rPr>
          <w:spacing w:val="-7"/>
        </w:rPr>
        <w:t> </w:t>
      </w:r>
      <w:r>
        <w:rPr/>
        <w:t>ensure</w:t>
      </w:r>
      <w:r>
        <w:rPr>
          <w:spacing w:val="-7"/>
        </w:rPr>
        <w:t> </w:t>
      </w:r>
      <w:r>
        <w:rPr/>
        <w:t>that</w:t>
      </w:r>
      <w:r>
        <w:rPr>
          <w:spacing w:val="-7"/>
        </w:rPr>
        <w:t> </w:t>
      </w:r>
      <w:r>
        <w:rPr/>
        <w:t>EU</w:t>
      </w:r>
      <w:r>
        <w:rPr>
          <w:spacing w:val="-7"/>
        </w:rPr>
        <w:t> </w:t>
      </w:r>
      <w:r>
        <w:rPr/>
        <w:t>standards are respected in cross-border cases in order to avoid divergence in the realisation of the right to privacy on the island of Ireland.</w:t>
      </w:r>
    </w:p>
    <w:p>
      <w:pPr>
        <w:pStyle w:val="BodyText"/>
        <w:spacing w:line="232" w:lineRule="auto" w:before="279"/>
        <w:ind w:left="1117" w:right="738"/>
      </w:pPr>
      <w:r>
        <w:rPr/>
        <w:t>We</w:t>
      </w:r>
      <w:r>
        <w:rPr>
          <w:spacing w:val="-7"/>
        </w:rPr>
        <w:t> </w:t>
      </w:r>
      <w:r>
        <w:rPr/>
        <w:t>recommend</w:t>
      </w:r>
      <w:r>
        <w:rPr>
          <w:spacing w:val="-8"/>
        </w:rPr>
        <w:t> </w:t>
      </w:r>
      <w:r>
        <w:rPr/>
        <w:t>that</w:t>
      </w:r>
      <w:r>
        <w:rPr>
          <w:spacing w:val="-7"/>
        </w:rPr>
        <w:t> </w:t>
      </w:r>
      <w:r>
        <w:rPr/>
        <w:t>the</w:t>
      </w:r>
      <w:r>
        <w:rPr>
          <w:spacing w:val="-7"/>
        </w:rPr>
        <w:t> </w:t>
      </w:r>
      <w:r>
        <w:rPr/>
        <w:t>UK</w:t>
      </w:r>
      <w:r>
        <w:rPr>
          <w:spacing w:val="-7"/>
        </w:rPr>
        <w:t> </w:t>
      </w:r>
      <w:r>
        <w:rPr/>
        <w:t>Government</w:t>
      </w:r>
      <w:r>
        <w:rPr>
          <w:spacing w:val="-7"/>
        </w:rPr>
        <w:t> </w:t>
      </w:r>
      <w:r>
        <w:rPr/>
        <w:t>and</w:t>
      </w:r>
      <w:r>
        <w:rPr>
          <w:spacing w:val="-8"/>
        </w:rPr>
        <w:t> </w:t>
      </w:r>
      <w:r>
        <w:rPr/>
        <w:t>the</w:t>
      </w:r>
      <w:r>
        <w:rPr>
          <w:spacing w:val="-7"/>
        </w:rPr>
        <w:t> </w:t>
      </w:r>
      <w:r>
        <w:rPr/>
        <w:t>NI</w:t>
      </w:r>
      <w:r>
        <w:rPr>
          <w:spacing w:val="-7"/>
        </w:rPr>
        <w:t> </w:t>
      </w:r>
      <w:r>
        <w:rPr/>
        <w:t>Executive</w:t>
      </w:r>
      <w:r>
        <w:rPr>
          <w:spacing w:val="-7"/>
        </w:rPr>
        <w:t> </w:t>
      </w:r>
      <w:r>
        <w:rPr/>
        <w:t>ensure</w:t>
      </w:r>
      <w:r>
        <w:rPr>
          <w:spacing w:val="-7"/>
        </w:rPr>
        <w:t> </w:t>
      </w:r>
      <w:r>
        <w:rPr/>
        <w:t>compliance with EU Regulations 2023/1182 and 2022/641 on rules relating to medicinal </w:t>
      </w:r>
      <w:r>
        <w:rPr>
          <w:spacing w:val="-2"/>
        </w:rPr>
        <w:t>products.</w:t>
      </w:r>
    </w:p>
    <w:p>
      <w:pPr>
        <w:pStyle w:val="BodyText"/>
        <w:spacing w:line="232" w:lineRule="auto" w:before="279"/>
        <w:ind w:left="1117" w:right="950"/>
      </w:pPr>
      <w:r>
        <w:rPr/>
        <w:t>We</w:t>
      </w:r>
      <w:r>
        <w:rPr>
          <w:spacing w:val="-7"/>
        </w:rPr>
        <w:t> </w:t>
      </w:r>
      <w:r>
        <w:rPr/>
        <w:t>recommend</w:t>
      </w:r>
      <w:r>
        <w:rPr>
          <w:spacing w:val="-8"/>
        </w:rPr>
        <w:t> </w:t>
      </w:r>
      <w:r>
        <w:rPr/>
        <w:t>that</w:t>
      </w:r>
      <w:r>
        <w:rPr>
          <w:spacing w:val="-7"/>
        </w:rPr>
        <w:t> </w:t>
      </w:r>
      <w:r>
        <w:rPr/>
        <w:t>the</w:t>
      </w:r>
      <w:r>
        <w:rPr>
          <w:spacing w:val="-7"/>
        </w:rPr>
        <w:t> </w:t>
      </w:r>
      <w:r>
        <w:rPr/>
        <w:t>UK</w:t>
      </w:r>
      <w:r>
        <w:rPr>
          <w:spacing w:val="-7"/>
        </w:rPr>
        <w:t> </w:t>
      </w:r>
      <w:r>
        <w:rPr/>
        <w:t>Government</w:t>
      </w:r>
      <w:r>
        <w:rPr>
          <w:spacing w:val="-7"/>
        </w:rPr>
        <w:t> </w:t>
      </w:r>
      <w:r>
        <w:rPr/>
        <w:t>and</w:t>
      </w:r>
      <w:r>
        <w:rPr>
          <w:spacing w:val="-8"/>
        </w:rPr>
        <w:t> </w:t>
      </w:r>
      <w:r>
        <w:rPr/>
        <w:t>the</w:t>
      </w:r>
      <w:r>
        <w:rPr>
          <w:spacing w:val="-7"/>
        </w:rPr>
        <w:t> </w:t>
      </w:r>
      <w:r>
        <w:rPr/>
        <w:t>NI</w:t>
      </w:r>
      <w:r>
        <w:rPr>
          <w:spacing w:val="-7"/>
        </w:rPr>
        <w:t> </w:t>
      </w:r>
      <w:r>
        <w:rPr/>
        <w:t>Executive</w:t>
      </w:r>
      <w:r>
        <w:rPr>
          <w:spacing w:val="-7"/>
        </w:rPr>
        <w:t> </w:t>
      </w:r>
      <w:r>
        <w:rPr/>
        <w:t>ensure</w:t>
      </w:r>
      <w:r>
        <w:rPr>
          <w:spacing w:val="-7"/>
        </w:rPr>
        <w:t> </w:t>
      </w:r>
      <w:r>
        <w:rPr/>
        <w:t>that</w:t>
      </w:r>
      <w:r>
        <w:rPr>
          <w:spacing w:val="-7"/>
        </w:rPr>
        <w:t> </w:t>
      </w:r>
      <w:r>
        <w:rPr/>
        <w:t>access to, and the prices of, medicines in NI, as well as individuals’ control of personal medical data in NI, match any revised EU standards in order to avoid divergence in the realisation of the right to health on the island of Ireland to the extent that these</w:t>
      </w:r>
      <w:r>
        <w:rPr>
          <w:spacing w:val="-8"/>
        </w:rPr>
        <w:t> </w:t>
      </w:r>
      <w:r>
        <w:rPr/>
        <w:t>strengthen</w:t>
      </w:r>
      <w:r>
        <w:rPr>
          <w:spacing w:val="-9"/>
        </w:rPr>
        <w:t> </w:t>
      </w:r>
      <w:r>
        <w:rPr/>
        <w:t>rights</w:t>
      </w:r>
      <w:r>
        <w:rPr>
          <w:spacing w:val="-9"/>
        </w:rPr>
        <w:t> </w:t>
      </w:r>
      <w:r>
        <w:rPr/>
        <w:t>and</w:t>
      </w:r>
      <w:r>
        <w:rPr>
          <w:spacing w:val="-9"/>
        </w:rPr>
        <w:t> </w:t>
      </w:r>
      <w:r>
        <w:rPr/>
        <w:t>reflect</w:t>
      </w:r>
      <w:r>
        <w:rPr>
          <w:spacing w:val="-8"/>
        </w:rPr>
        <w:t> </w:t>
      </w:r>
      <w:r>
        <w:rPr/>
        <w:t>international</w:t>
      </w:r>
      <w:r>
        <w:rPr>
          <w:spacing w:val="-9"/>
        </w:rPr>
        <w:t> </w:t>
      </w:r>
      <w:r>
        <w:rPr/>
        <w:t>human</w:t>
      </w:r>
      <w:r>
        <w:rPr>
          <w:spacing w:val="-9"/>
        </w:rPr>
        <w:t> </w:t>
      </w:r>
      <w:r>
        <w:rPr/>
        <w:t>rights</w:t>
      </w:r>
      <w:r>
        <w:rPr>
          <w:spacing w:val="-9"/>
        </w:rPr>
        <w:t> </w:t>
      </w:r>
      <w:r>
        <w:rPr/>
        <w:t>standards</w:t>
      </w:r>
      <w:r>
        <w:rPr>
          <w:spacing w:val="-9"/>
        </w:rPr>
        <w:t> </w:t>
      </w:r>
      <w:r>
        <w:rPr/>
        <w:t>and</w:t>
      </w:r>
      <w:r>
        <w:rPr>
          <w:spacing w:val="-9"/>
        </w:rPr>
        <w:t> </w:t>
      </w:r>
      <w:r>
        <w:rPr/>
        <w:t>best practice. This may involve amendments of the current legislative frameworks governing those topics.</w:t>
      </w:r>
    </w:p>
    <w:p>
      <w:pPr>
        <w:pStyle w:val="BodyText"/>
        <w:spacing w:line="232" w:lineRule="auto" w:before="272"/>
        <w:ind w:left="1117" w:right="1087"/>
      </w:pPr>
      <w:r>
        <w:rPr/>
        <w:t>We recommend that the UK Government and NI Executive implement the standards</w:t>
      </w:r>
      <w:r>
        <w:rPr>
          <w:spacing w:val="-9"/>
        </w:rPr>
        <w:t> </w:t>
      </w:r>
      <w:r>
        <w:rPr/>
        <w:t>in</w:t>
      </w:r>
      <w:r>
        <w:rPr>
          <w:spacing w:val="-9"/>
        </w:rPr>
        <w:t> </w:t>
      </w:r>
      <w:r>
        <w:rPr/>
        <w:t>the</w:t>
      </w:r>
      <w:r>
        <w:rPr>
          <w:spacing w:val="-8"/>
        </w:rPr>
        <w:t> </w:t>
      </w:r>
      <w:r>
        <w:rPr/>
        <w:t>Adequate</w:t>
      </w:r>
      <w:r>
        <w:rPr>
          <w:spacing w:val="-8"/>
        </w:rPr>
        <w:t> </w:t>
      </w:r>
      <w:r>
        <w:rPr/>
        <w:t>Minimum</w:t>
      </w:r>
      <w:r>
        <w:rPr>
          <w:spacing w:val="-8"/>
        </w:rPr>
        <w:t> </w:t>
      </w:r>
      <w:r>
        <w:rPr/>
        <w:t>Wages</w:t>
      </w:r>
      <w:r>
        <w:rPr>
          <w:spacing w:val="-9"/>
        </w:rPr>
        <w:t> </w:t>
      </w:r>
      <w:r>
        <w:rPr/>
        <w:t>Directive,</w:t>
      </w:r>
      <w:r>
        <w:rPr>
          <w:spacing w:val="-8"/>
        </w:rPr>
        <w:t> </w:t>
      </w:r>
      <w:r>
        <w:rPr/>
        <w:t>as</w:t>
      </w:r>
      <w:r>
        <w:rPr>
          <w:spacing w:val="-9"/>
        </w:rPr>
        <w:t> </w:t>
      </w:r>
      <w:r>
        <w:rPr/>
        <w:t>a</w:t>
      </w:r>
      <w:r>
        <w:rPr>
          <w:spacing w:val="-9"/>
        </w:rPr>
        <w:t> </w:t>
      </w:r>
      <w:r>
        <w:rPr/>
        <w:t>matter</w:t>
      </w:r>
      <w:r>
        <w:rPr>
          <w:spacing w:val="-8"/>
        </w:rPr>
        <w:t> </w:t>
      </w:r>
      <w:r>
        <w:rPr/>
        <w:t>of</w:t>
      </w:r>
      <w:r>
        <w:rPr>
          <w:spacing w:val="-9"/>
        </w:rPr>
        <w:t> </w:t>
      </w:r>
      <w:r>
        <w:rPr/>
        <w:t>voluntarily alignment, to the extent that these strengthen rights and reflect international human rights standards and best practice.</w:t>
      </w:r>
    </w:p>
    <w:p>
      <w:pPr>
        <w:pStyle w:val="BodyText"/>
        <w:spacing w:line="232" w:lineRule="auto" w:before="278"/>
        <w:ind w:left="1117" w:right="738"/>
      </w:pPr>
      <w:r>
        <w:rPr/>
        <w:t>We</w:t>
      </w:r>
      <w:r>
        <w:rPr>
          <w:spacing w:val="-5"/>
        </w:rPr>
        <w:t> </w:t>
      </w:r>
      <w:r>
        <w:rPr/>
        <w:t>recommend</w:t>
      </w:r>
      <w:r>
        <w:rPr>
          <w:spacing w:val="-6"/>
        </w:rPr>
        <w:t> </w:t>
      </w:r>
      <w:r>
        <w:rPr/>
        <w:t>that</w:t>
      </w:r>
      <w:r>
        <w:rPr>
          <w:spacing w:val="-5"/>
        </w:rPr>
        <w:t> </w:t>
      </w:r>
      <w:r>
        <w:rPr/>
        <w:t>the</w:t>
      </w:r>
      <w:r>
        <w:rPr>
          <w:spacing w:val="-5"/>
        </w:rPr>
        <w:t> </w:t>
      </w:r>
      <w:r>
        <w:rPr/>
        <w:t>ECNI</w:t>
      </w:r>
      <w:r>
        <w:rPr>
          <w:spacing w:val="-5"/>
        </w:rPr>
        <w:t> </w:t>
      </w:r>
      <w:r>
        <w:rPr/>
        <w:t>and</w:t>
      </w:r>
      <w:r>
        <w:rPr>
          <w:spacing w:val="-6"/>
        </w:rPr>
        <w:t> </w:t>
      </w:r>
      <w:r>
        <w:rPr/>
        <w:t>NIHRC</w:t>
      </w:r>
      <w:r>
        <w:rPr>
          <w:spacing w:val="-6"/>
        </w:rPr>
        <w:t> </w:t>
      </w:r>
      <w:r>
        <w:rPr/>
        <w:t>conduct</w:t>
      </w:r>
      <w:r>
        <w:rPr>
          <w:spacing w:val="-5"/>
        </w:rPr>
        <w:t> </w:t>
      </w:r>
      <w:r>
        <w:rPr/>
        <w:t>an</w:t>
      </w:r>
      <w:r>
        <w:rPr>
          <w:spacing w:val="-6"/>
        </w:rPr>
        <w:t> </w:t>
      </w:r>
      <w:r>
        <w:rPr/>
        <w:t>analysis</w:t>
      </w:r>
      <w:r>
        <w:rPr>
          <w:spacing w:val="-6"/>
        </w:rPr>
        <w:t> </w:t>
      </w:r>
      <w:r>
        <w:rPr/>
        <w:t>to</w:t>
      </w:r>
      <w:r>
        <w:rPr>
          <w:spacing w:val="-6"/>
        </w:rPr>
        <w:t> </w:t>
      </w:r>
      <w:r>
        <w:rPr/>
        <w:t>determine</w:t>
      </w:r>
      <w:r>
        <w:rPr>
          <w:spacing w:val="-5"/>
        </w:rPr>
        <w:t> </w:t>
      </w:r>
      <w:r>
        <w:rPr/>
        <w:t>if</w:t>
      </w:r>
      <w:r>
        <w:rPr>
          <w:spacing w:val="-6"/>
        </w:rPr>
        <w:t> </w:t>
      </w:r>
      <w:r>
        <w:rPr/>
        <w:t>the Adequate Minimum Wages Directive amends or replaces an Annex 1 directive.</w:t>
      </w:r>
    </w:p>
    <w:p>
      <w:pPr>
        <w:pStyle w:val="BodyText"/>
        <w:spacing w:line="232" w:lineRule="auto" w:before="280"/>
        <w:ind w:left="1117"/>
      </w:pPr>
      <w:r>
        <w:rPr/>
        <w:t>We</w:t>
      </w:r>
      <w:r>
        <w:rPr>
          <w:spacing w:val="-9"/>
        </w:rPr>
        <w:t> </w:t>
      </w:r>
      <w:r>
        <w:rPr/>
        <w:t>recommend</w:t>
      </w:r>
      <w:r>
        <w:rPr>
          <w:spacing w:val="-10"/>
        </w:rPr>
        <w:t> </w:t>
      </w:r>
      <w:r>
        <w:rPr/>
        <w:t>that</w:t>
      </w:r>
      <w:r>
        <w:rPr>
          <w:spacing w:val="-9"/>
        </w:rPr>
        <w:t> </w:t>
      </w:r>
      <w:r>
        <w:rPr/>
        <w:t>the</w:t>
      </w:r>
      <w:r>
        <w:rPr>
          <w:spacing w:val="-9"/>
        </w:rPr>
        <w:t> </w:t>
      </w:r>
      <w:r>
        <w:rPr/>
        <w:t>UK</w:t>
      </w:r>
      <w:r>
        <w:rPr>
          <w:spacing w:val="-9"/>
        </w:rPr>
        <w:t> </w:t>
      </w:r>
      <w:r>
        <w:rPr/>
        <w:t>Government,</w:t>
      </w:r>
      <w:r>
        <w:rPr>
          <w:spacing w:val="-9"/>
        </w:rPr>
        <w:t> </w:t>
      </w:r>
      <w:r>
        <w:rPr/>
        <w:t>NI</w:t>
      </w:r>
      <w:r>
        <w:rPr>
          <w:spacing w:val="-9"/>
        </w:rPr>
        <w:t> </w:t>
      </w:r>
      <w:r>
        <w:rPr/>
        <w:t>Executive</w:t>
      </w:r>
      <w:r>
        <w:rPr>
          <w:spacing w:val="-9"/>
        </w:rPr>
        <w:t> </w:t>
      </w:r>
      <w:r>
        <w:rPr/>
        <w:t>and</w:t>
      </w:r>
      <w:r>
        <w:rPr>
          <w:spacing w:val="-10"/>
        </w:rPr>
        <w:t> </w:t>
      </w:r>
      <w:r>
        <w:rPr/>
        <w:t>relevant</w:t>
      </w:r>
      <w:r>
        <w:rPr>
          <w:spacing w:val="-9"/>
        </w:rPr>
        <w:t> </w:t>
      </w:r>
      <w:r>
        <w:rPr/>
        <w:t>departments voluntarily report annually on how asylum and migration policies comply with requirements on equality and non-discrimination.</w:t>
      </w:r>
    </w:p>
    <w:p>
      <w:pPr>
        <w:pStyle w:val="BodyText"/>
        <w:spacing w:line="232" w:lineRule="auto" w:before="279"/>
        <w:ind w:left="1117" w:right="738"/>
      </w:pPr>
      <w:r>
        <w:rPr/>
        <w:t>We</w:t>
      </w:r>
      <w:r>
        <w:rPr>
          <w:spacing w:val="-6"/>
        </w:rPr>
        <w:t> </w:t>
      </w:r>
      <w:r>
        <w:rPr/>
        <w:t>recommend</w:t>
      </w:r>
      <w:r>
        <w:rPr>
          <w:spacing w:val="-7"/>
        </w:rPr>
        <w:t> </w:t>
      </w:r>
      <w:r>
        <w:rPr/>
        <w:t>the</w:t>
      </w:r>
      <w:r>
        <w:rPr>
          <w:spacing w:val="-6"/>
        </w:rPr>
        <w:t> </w:t>
      </w:r>
      <w:r>
        <w:rPr/>
        <w:t>NI</w:t>
      </w:r>
      <w:r>
        <w:rPr>
          <w:spacing w:val="-6"/>
        </w:rPr>
        <w:t> </w:t>
      </w:r>
      <w:r>
        <w:rPr/>
        <w:t>Executive</w:t>
      </w:r>
      <w:r>
        <w:rPr>
          <w:spacing w:val="-6"/>
        </w:rPr>
        <w:t> </w:t>
      </w:r>
      <w:r>
        <w:rPr/>
        <w:t>monitor</w:t>
      </w:r>
      <w:r>
        <w:rPr>
          <w:spacing w:val="-6"/>
        </w:rPr>
        <w:t> </w:t>
      </w:r>
      <w:r>
        <w:rPr/>
        <w:t>EU</w:t>
      </w:r>
      <w:r>
        <w:rPr>
          <w:spacing w:val="-6"/>
        </w:rPr>
        <w:t> </w:t>
      </w:r>
      <w:r>
        <w:rPr/>
        <w:t>proposals</w:t>
      </w:r>
      <w:r>
        <w:rPr>
          <w:spacing w:val="-7"/>
        </w:rPr>
        <w:t> </w:t>
      </w:r>
      <w:r>
        <w:rPr/>
        <w:t>on</w:t>
      </w:r>
      <w:r>
        <w:rPr>
          <w:spacing w:val="-7"/>
        </w:rPr>
        <w:t> </w:t>
      </w:r>
      <w:r>
        <w:rPr/>
        <w:t>the</w:t>
      </w:r>
      <w:r>
        <w:rPr>
          <w:spacing w:val="-6"/>
        </w:rPr>
        <w:t> </w:t>
      </w:r>
      <w:r>
        <w:rPr/>
        <w:t>protection</w:t>
      </w:r>
      <w:r>
        <w:rPr>
          <w:spacing w:val="-7"/>
        </w:rPr>
        <w:t> </w:t>
      </w:r>
      <w:r>
        <w:rPr/>
        <w:t>of</w:t>
      </w:r>
      <w:r>
        <w:rPr>
          <w:spacing w:val="-7"/>
        </w:rPr>
        <w:t> </w:t>
      </w:r>
      <w:r>
        <w:rPr/>
        <w:t>people from manifestly unfounded or abusive court processes and victims’ rights with a view to assessing whether Northern Ireland law needs amendment to strengthen rights and reflect international human rights standards and best practice.</w:t>
      </w:r>
    </w:p>
    <w:p>
      <w:pPr>
        <w:spacing w:after="0" w:line="232" w:lineRule="auto"/>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31840">
                <wp:simplePos x="0" y="0"/>
                <wp:positionH relativeFrom="page">
                  <wp:posOffset>0</wp:posOffset>
                </wp:positionH>
                <wp:positionV relativeFrom="page">
                  <wp:posOffset>0</wp:posOffset>
                </wp:positionV>
                <wp:extent cx="7560309" cy="1155065"/>
                <wp:effectExtent l="0" t="0" r="0" b="0"/>
                <wp:wrapNone/>
                <wp:docPr id="1184" name="Group 1184"/>
                <wp:cNvGraphicFramePr>
                  <a:graphicFrameLocks/>
                </wp:cNvGraphicFramePr>
                <a:graphic>
                  <a:graphicData uri="http://schemas.microsoft.com/office/word/2010/wordprocessingGroup">
                    <wpg:wgp>
                      <wpg:cNvPr id="1184" name="Group 1184"/>
                      <wpg:cNvGrpSpPr/>
                      <wpg:grpSpPr>
                        <a:xfrm>
                          <a:off x="0" y="0"/>
                          <a:ext cx="7560309" cy="1155065"/>
                          <a:chExt cx="7560309" cy="1155065"/>
                        </a:xfrm>
                      </wpg:grpSpPr>
                      <wps:wsp>
                        <wps:cNvPr id="1185" name="Graphic 118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186" name="Graphic 118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184640" id="docshapegroup976" coordorigin="0,0" coordsize="11906,1819">
                <v:shape style="position:absolute;left:0;top:0;width:11906;height:1819" id="docshape977"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148</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404"/>
      </w:pPr>
      <w:r>
        <w:rPr/>
        <w:t>We recommend voluntary alignment with EU proposals in these areas where they</w:t>
      </w:r>
      <w:r>
        <w:rPr>
          <w:spacing w:val="-8"/>
        </w:rPr>
        <w:t> </w:t>
      </w:r>
      <w:r>
        <w:rPr/>
        <w:t>strengthen</w:t>
      </w:r>
      <w:r>
        <w:rPr>
          <w:spacing w:val="-9"/>
        </w:rPr>
        <w:t> </w:t>
      </w:r>
      <w:r>
        <w:rPr/>
        <w:t>rights</w:t>
      </w:r>
      <w:r>
        <w:rPr>
          <w:spacing w:val="-9"/>
        </w:rPr>
        <w:t> </w:t>
      </w:r>
      <w:r>
        <w:rPr/>
        <w:t>and</w:t>
      </w:r>
      <w:r>
        <w:rPr>
          <w:spacing w:val="-9"/>
        </w:rPr>
        <w:t> </w:t>
      </w:r>
      <w:r>
        <w:rPr/>
        <w:t>reflect</w:t>
      </w:r>
      <w:r>
        <w:rPr>
          <w:spacing w:val="-8"/>
        </w:rPr>
        <w:t> </w:t>
      </w:r>
      <w:r>
        <w:rPr/>
        <w:t>international</w:t>
      </w:r>
      <w:r>
        <w:rPr>
          <w:spacing w:val="-9"/>
        </w:rPr>
        <w:t> </w:t>
      </w:r>
      <w:r>
        <w:rPr/>
        <w:t>human</w:t>
      </w:r>
      <w:r>
        <w:rPr>
          <w:spacing w:val="-9"/>
        </w:rPr>
        <w:t> </w:t>
      </w:r>
      <w:r>
        <w:rPr/>
        <w:t>rights</w:t>
      </w:r>
      <w:r>
        <w:rPr>
          <w:spacing w:val="-9"/>
        </w:rPr>
        <w:t> </w:t>
      </w:r>
      <w:r>
        <w:rPr/>
        <w:t>standards</w:t>
      </w:r>
      <w:r>
        <w:rPr>
          <w:spacing w:val="-9"/>
        </w:rPr>
        <w:t> </w:t>
      </w:r>
      <w:r>
        <w:rPr/>
        <w:t>and</w:t>
      </w:r>
      <w:r>
        <w:rPr>
          <w:spacing w:val="-9"/>
        </w:rPr>
        <w:t> </w:t>
      </w:r>
      <w:r>
        <w:rPr/>
        <w:t>best </w:t>
      </w:r>
      <w:r>
        <w:rPr>
          <w:spacing w:val="-2"/>
        </w:rPr>
        <w:t>practice.</w:t>
      </w:r>
    </w:p>
    <w:p>
      <w:pPr>
        <w:pStyle w:val="BodyText"/>
        <w:spacing w:line="232" w:lineRule="auto" w:before="279"/>
        <w:ind w:left="720" w:right="1557"/>
      </w:pPr>
      <w:r>
        <w:rPr/>
        <w:t>We recommend the NI Executive monitor EU proposals on the protection of workers, forced labour, corporate sustainability and the gig economy with a view to assessing whether Northern Ireland law needs amendment to reflect best international practice. We recommend voluntary alignment where they will</w:t>
      </w:r>
      <w:r>
        <w:rPr>
          <w:spacing w:val="-9"/>
        </w:rPr>
        <w:t> </w:t>
      </w:r>
      <w:r>
        <w:rPr/>
        <w:t>strengthen</w:t>
      </w:r>
      <w:r>
        <w:rPr>
          <w:spacing w:val="-9"/>
        </w:rPr>
        <w:t> </w:t>
      </w:r>
      <w:r>
        <w:rPr/>
        <w:t>rights</w:t>
      </w:r>
      <w:r>
        <w:rPr>
          <w:spacing w:val="-9"/>
        </w:rPr>
        <w:t> </w:t>
      </w:r>
      <w:r>
        <w:rPr/>
        <w:t>and</w:t>
      </w:r>
      <w:r>
        <w:rPr>
          <w:spacing w:val="-9"/>
        </w:rPr>
        <w:t> </w:t>
      </w:r>
      <w:r>
        <w:rPr/>
        <w:t>reflect</w:t>
      </w:r>
      <w:r>
        <w:rPr>
          <w:spacing w:val="-8"/>
        </w:rPr>
        <w:t> </w:t>
      </w:r>
      <w:r>
        <w:rPr/>
        <w:t>international</w:t>
      </w:r>
      <w:r>
        <w:rPr>
          <w:spacing w:val="-9"/>
        </w:rPr>
        <w:t> </w:t>
      </w:r>
      <w:r>
        <w:rPr/>
        <w:t>human</w:t>
      </w:r>
      <w:r>
        <w:rPr>
          <w:spacing w:val="-9"/>
        </w:rPr>
        <w:t> </w:t>
      </w:r>
      <w:r>
        <w:rPr/>
        <w:t>rights</w:t>
      </w:r>
      <w:r>
        <w:rPr>
          <w:spacing w:val="-9"/>
        </w:rPr>
        <w:t> </w:t>
      </w:r>
      <w:r>
        <w:rPr/>
        <w:t>standards</w:t>
      </w:r>
      <w:r>
        <w:rPr>
          <w:spacing w:val="-9"/>
        </w:rPr>
        <w:t> </w:t>
      </w:r>
      <w:r>
        <w:rPr/>
        <w:t>and</w:t>
      </w:r>
      <w:r>
        <w:rPr>
          <w:spacing w:val="-9"/>
        </w:rPr>
        <w:t> </w:t>
      </w:r>
      <w:r>
        <w:rPr/>
        <w:t>best </w:t>
      </w:r>
      <w:r>
        <w:rPr>
          <w:spacing w:val="-2"/>
        </w:rPr>
        <w:t>practice.</w:t>
      </w:r>
    </w:p>
    <w:p>
      <w:pPr>
        <w:pStyle w:val="BodyText"/>
        <w:spacing w:line="232" w:lineRule="auto" w:before="274"/>
        <w:ind w:left="720" w:right="1250"/>
      </w:pPr>
      <w:r>
        <w:rPr/>
        <w:t>We recommend the UK Government and relevant NI Departments monitor EU measures to combat trafficking in human beings and proposals to combat child sexual</w:t>
      </w:r>
      <w:r>
        <w:rPr>
          <w:spacing w:val="-1"/>
        </w:rPr>
        <w:t> </w:t>
      </w:r>
      <w:r>
        <w:rPr/>
        <w:t>abuse online with</w:t>
      </w:r>
      <w:r>
        <w:rPr>
          <w:spacing w:val="-1"/>
        </w:rPr>
        <w:t> </w:t>
      </w:r>
      <w:r>
        <w:rPr/>
        <w:t>a</w:t>
      </w:r>
      <w:r>
        <w:rPr>
          <w:spacing w:val="-1"/>
        </w:rPr>
        <w:t> </w:t>
      </w:r>
      <w:r>
        <w:rPr/>
        <w:t>view to</w:t>
      </w:r>
      <w:r>
        <w:rPr>
          <w:spacing w:val="-1"/>
        </w:rPr>
        <w:t> </w:t>
      </w:r>
      <w:r>
        <w:rPr/>
        <w:t>assessing whether Northern</w:t>
      </w:r>
      <w:r>
        <w:rPr>
          <w:spacing w:val="-1"/>
        </w:rPr>
        <w:t> </w:t>
      </w:r>
      <w:r>
        <w:rPr/>
        <w:t>Ireland</w:t>
      </w:r>
      <w:r>
        <w:rPr>
          <w:spacing w:val="-1"/>
        </w:rPr>
        <w:t> </w:t>
      </w:r>
      <w:r>
        <w:rPr/>
        <w:t>law needs amendment to reflect best international practice and deal with cross-border challenges.</w:t>
      </w:r>
      <w:r>
        <w:rPr>
          <w:spacing w:val="-9"/>
        </w:rPr>
        <w:t> </w:t>
      </w:r>
      <w:r>
        <w:rPr/>
        <w:t>We</w:t>
      </w:r>
      <w:r>
        <w:rPr>
          <w:spacing w:val="-8"/>
        </w:rPr>
        <w:t> </w:t>
      </w:r>
      <w:r>
        <w:rPr/>
        <w:t>recommend</w:t>
      </w:r>
      <w:r>
        <w:rPr>
          <w:spacing w:val="-9"/>
        </w:rPr>
        <w:t> </w:t>
      </w:r>
      <w:r>
        <w:rPr/>
        <w:t>voluntary</w:t>
      </w:r>
      <w:r>
        <w:rPr>
          <w:spacing w:val="-8"/>
        </w:rPr>
        <w:t> </w:t>
      </w:r>
      <w:r>
        <w:rPr/>
        <w:t>alignment</w:t>
      </w:r>
      <w:r>
        <w:rPr>
          <w:spacing w:val="-8"/>
        </w:rPr>
        <w:t> </w:t>
      </w:r>
      <w:r>
        <w:rPr/>
        <w:t>in</w:t>
      </w:r>
      <w:r>
        <w:rPr>
          <w:spacing w:val="-9"/>
        </w:rPr>
        <w:t> </w:t>
      </w:r>
      <w:r>
        <w:rPr/>
        <w:t>order</w:t>
      </w:r>
      <w:r>
        <w:rPr>
          <w:spacing w:val="-8"/>
        </w:rPr>
        <w:t> </w:t>
      </w:r>
      <w:r>
        <w:rPr/>
        <w:t>to</w:t>
      </w:r>
      <w:r>
        <w:rPr>
          <w:spacing w:val="-9"/>
        </w:rPr>
        <w:t> </w:t>
      </w:r>
      <w:r>
        <w:rPr/>
        <w:t>strengthen</w:t>
      </w:r>
      <w:r>
        <w:rPr>
          <w:spacing w:val="-9"/>
        </w:rPr>
        <w:t> </w:t>
      </w:r>
      <w:r>
        <w:rPr/>
        <w:t>rights</w:t>
      </w:r>
      <w:r>
        <w:rPr>
          <w:spacing w:val="-9"/>
        </w:rPr>
        <w:t> </w:t>
      </w:r>
      <w:r>
        <w:rPr/>
        <w:t>and to reflect international human rights standards and best practice.</w:t>
      </w:r>
    </w:p>
    <w:p>
      <w:pPr>
        <w:pStyle w:val="BodyText"/>
        <w:spacing w:line="232" w:lineRule="auto" w:before="274"/>
        <w:ind w:left="720" w:right="1327"/>
      </w:pPr>
      <w:r>
        <w:rPr/>
        <w:t>We recommend that there needs to be continued monitoring and tracking of CJEU</w:t>
      </w:r>
      <w:r>
        <w:rPr>
          <w:spacing w:val="-5"/>
        </w:rPr>
        <w:t> </w:t>
      </w:r>
      <w:r>
        <w:rPr/>
        <w:t>case</w:t>
      </w:r>
      <w:r>
        <w:rPr>
          <w:spacing w:val="-5"/>
        </w:rPr>
        <w:t> </w:t>
      </w:r>
      <w:r>
        <w:rPr/>
        <w:t>law</w:t>
      </w:r>
      <w:r>
        <w:rPr>
          <w:spacing w:val="-5"/>
        </w:rPr>
        <w:t> </w:t>
      </w:r>
      <w:r>
        <w:rPr/>
        <w:t>by</w:t>
      </w:r>
      <w:r>
        <w:rPr>
          <w:spacing w:val="-5"/>
        </w:rPr>
        <w:t> </w:t>
      </w:r>
      <w:r>
        <w:rPr/>
        <w:t>the</w:t>
      </w:r>
      <w:r>
        <w:rPr>
          <w:spacing w:val="-5"/>
        </w:rPr>
        <w:t> </w:t>
      </w:r>
      <w:r>
        <w:rPr/>
        <w:t>UK</w:t>
      </w:r>
      <w:r>
        <w:rPr>
          <w:spacing w:val="-5"/>
        </w:rPr>
        <w:t> </w:t>
      </w:r>
      <w:r>
        <w:rPr/>
        <w:t>Government,</w:t>
      </w:r>
      <w:r>
        <w:rPr>
          <w:spacing w:val="-5"/>
        </w:rPr>
        <w:t> </w:t>
      </w:r>
      <w:r>
        <w:rPr/>
        <w:t>NI</w:t>
      </w:r>
      <w:r>
        <w:rPr>
          <w:spacing w:val="-5"/>
        </w:rPr>
        <w:t> </w:t>
      </w:r>
      <w:r>
        <w:rPr/>
        <w:t>Executive</w:t>
      </w:r>
      <w:r>
        <w:rPr>
          <w:spacing w:val="-5"/>
        </w:rPr>
        <w:t> </w:t>
      </w:r>
      <w:r>
        <w:rPr/>
        <w:t>and</w:t>
      </w:r>
      <w:r>
        <w:rPr>
          <w:spacing w:val="-6"/>
        </w:rPr>
        <w:t> </w:t>
      </w:r>
      <w:r>
        <w:rPr/>
        <w:t>NI</w:t>
      </w:r>
      <w:r>
        <w:rPr>
          <w:spacing w:val="-5"/>
        </w:rPr>
        <w:t> </w:t>
      </w:r>
      <w:r>
        <w:rPr/>
        <w:t>Departments</w:t>
      </w:r>
      <w:r>
        <w:rPr>
          <w:spacing w:val="-6"/>
        </w:rPr>
        <w:t> </w:t>
      </w:r>
      <w:r>
        <w:rPr/>
        <w:t>to</w:t>
      </w:r>
      <w:r>
        <w:rPr>
          <w:spacing w:val="-6"/>
        </w:rPr>
        <w:t> </w:t>
      </w:r>
      <w:r>
        <w:rPr/>
        <w:t>ensure compliance with the Annex 1 Directives.</w:t>
      </w:r>
    </w:p>
    <w:p>
      <w:pPr>
        <w:pStyle w:val="BodyText"/>
        <w:spacing w:line="232" w:lineRule="auto" w:before="279"/>
        <w:ind w:left="720" w:right="1087"/>
      </w:pPr>
      <w:r>
        <w:rPr/>
        <w:t>We recommend the Northern Ireland Executive, relevant NI Departments and others</w:t>
      </w:r>
      <w:r>
        <w:rPr>
          <w:spacing w:val="-7"/>
        </w:rPr>
        <w:t> </w:t>
      </w:r>
      <w:r>
        <w:rPr/>
        <w:t>consider</w:t>
      </w:r>
      <w:r>
        <w:rPr>
          <w:spacing w:val="-6"/>
        </w:rPr>
        <w:t> </w:t>
      </w:r>
      <w:r>
        <w:rPr/>
        <w:t>how</w:t>
      </w:r>
      <w:r>
        <w:rPr>
          <w:spacing w:val="-6"/>
        </w:rPr>
        <w:t> </w:t>
      </w:r>
      <w:r>
        <w:rPr/>
        <w:t>to</w:t>
      </w:r>
      <w:r>
        <w:rPr>
          <w:spacing w:val="-7"/>
        </w:rPr>
        <w:t> </w:t>
      </w:r>
      <w:r>
        <w:rPr/>
        <w:t>gather</w:t>
      </w:r>
      <w:r>
        <w:rPr>
          <w:spacing w:val="-6"/>
        </w:rPr>
        <w:t> </w:t>
      </w:r>
      <w:r>
        <w:rPr/>
        <w:t>disaggregated</w:t>
      </w:r>
      <w:r>
        <w:rPr>
          <w:spacing w:val="-7"/>
        </w:rPr>
        <w:t> </w:t>
      </w:r>
      <w:r>
        <w:rPr/>
        <w:t>equality</w:t>
      </w:r>
      <w:r>
        <w:rPr>
          <w:spacing w:val="-6"/>
        </w:rPr>
        <w:t> </w:t>
      </w:r>
      <w:r>
        <w:rPr/>
        <w:t>data</w:t>
      </w:r>
      <w:r>
        <w:rPr>
          <w:spacing w:val="-7"/>
        </w:rPr>
        <w:t> </w:t>
      </w:r>
      <w:r>
        <w:rPr/>
        <w:t>in</w:t>
      </w:r>
      <w:r>
        <w:rPr>
          <w:spacing w:val="-7"/>
        </w:rPr>
        <w:t> </w:t>
      </w:r>
      <w:r>
        <w:rPr/>
        <w:t>relation</w:t>
      </w:r>
      <w:r>
        <w:rPr>
          <w:spacing w:val="-7"/>
        </w:rPr>
        <w:t> </w:t>
      </w:r>
      <w:r>
        <w:rPr/>
        <w:t>to</w:t>
      </w:r>
      <w:r>
        <w:rPr>
          <w:spacing w:val="-7"/>
        </w:rPr>
        <w:t> </w:t>
      </w:r>
      <w:r>
        <w:rPr/>
        <w:t>the</w:t>
      </w:r>
      <w:r>
        <w:rPr>
          <w:spacing w:val="-6"/>
        </w:rPr>
        <w:t> </w:t>
      </w:r>
      <w:r>
        <w:rPr/>
        <w:t>full</w:t>
      </w:r>
      <w:r>
        <w:rPr>
          <w:spacing w:val="-7"/>
        </w:rPr>
        <w:t> </w:t>
      </w:r>
      <w:r>
        <w:rPr/>
        <w:t>list of protected characteristics in Northern Ireland law in a way which not only meets the needs of NI but where possible is comparable with common international frameworks, including at EU level; it may be helpful to reflect on Ireland’s plans to develop an Equality Data strategy.</w:t>
      </w:r>
    </w:p>
    <w:p>
      <w:pPr>
        <w:pStyle w:val="BodyText"/>
        <w:spacing w:line="232" w:lineRule="auto" w:before="274"/>
        <w:ind w:left="720" w:right="1087"/>
      </w:pPr>
      <w:r>
        <w:rPr/>
        <w:t>We recommend that, the Department for Communities, and other relevant NI Departments, consider developments in EU Gender policy where this may raise issues of Article 2 WF requirements or with which Northern Ireland may wish to voluntarily</w:t>
      </w:r>
      <w:r>
        <w:rPr>
          <w:spacing w:val="-8"/>
        </w:rPr>
        <w:t> </w:t>
      </w:r>
      <w:r>
        <w:rPr/>
        <w:t>align</w:t>
      </w:r>
      <w:r>
        <w:rPr>
          <w:spacing w:val="-9"/>
        </w:rPr>
        <w:t> </w:t>
      </w:r>
      <w:r>
        <w:rPr/>
        <w:t>where</w:t>
      </w:r>
      <w:r>
        <w:rPr>
          <w:spacing w:val="-8"/>
        </w:rPr>
        <w:t> </w:t>
      </w:r>
      <w:r>
        <w:rPr/>
        <w:t>it</w:t>
      </w:r>
      <w:r>
        <w:rPr>
          <w:spacing w:val="-8"/>
        </w:rPr>
        <w:t> </w:t>
      </w:r>
      <w:r>
        <w:rPr/>
        <w:t>strengthens</w:t>
      </w:r>
      <w:r>
        <w:rPr>
          <w:spacing w:val="-9"/>
        </w:rPr>
        <w:t> </w:t>
      </w:r>
      <w:r>
        <w:rPr/>
        <w:t>rights</w:t>
      </w:r>
      <w:r>
        <w:rPr>
          <w:spacing w:val="-9"/>
        </w:rPr>
        <w:t> </w:t>
      </w:r>
      <w:r>
        <w:rPr/>
        <w:t>and</w:t>
      </w:r>
      <w:r>
        <w:rPr>
          <w:spacing w:val="-9"/>
        </w:rPr>
        <w:t> </w:t>
      </w:r>
      <w:r>
        <w:rPr/>
        <w:t>reflects</w:t>
      </w:r>
      <w:r>
        <w:rPr>
          <w:spacing w:val="-9"/>
        </w:rPr>
        <w:t> </w:t>
      </w:r>
      <w:r>
        <w:rPr/>
        <w:t>international</w:t>
      </w:r>
      <w:r>
        <w:rPr>
          <w:spacing w:val="-9"/>
        </w:rPr>
        <w:t> </w:t>
      </w:r>
      <w:r>
        <w:rPr/>
        <w:t>human</w:t>
      </w:r>
      <w:r>
        <w:rPr>
          <w:spacing w:val="-9"/>
        </w:rPr>
        <w:t> </w:t>
      </w:r>
      <w:r>
        <w:rPr/>
        <w:t>rights standards and best practice.</w:t>
      </w:r>
    </w:p>
    <w:p>
      <w:pPr>
        <w:pStyle w:val="BodyText"/>
        <w:spacing w:line="232" w:lineRule="auto" w:before="276"/>
        <w:ind w:left="720" w:right="1087"/>
      </w:pPr>
      <w:r>
        <w:rPr/>
        <w:t>We</w:t>
      </w:r>
      <w:r>
        <w:rPr>
          <w:spacing w:val="-8"/>
        </w:rPr>
        <w:t> </w:t>
      </w:r>
      <w:r>
        <w:rPr/>
        <w:t>recommend</w:t>
      </w:r>
      <w:r>
        <w:rPr>
          <w:spacing w:val="-9"/>
        </w:rPr>
        <w:t> </w:t>
      </w:r>
      <w:r>
        <w:rPr/>
        <w:t>that</w:t>
      </w:r>
      <w:r>
        <w:rPr>
          <w:spacing w:val="-8"/>
        </w:rPr>
        <w:t> </w:t>
      </w:r>
      <w:r>
        <w:rPr/>
        <w:t>the</w:t>
      </w:r>
      <w:r>
        <w:rPr>
          <w:spacing w:val="-8"/>
        </w:rPr>
        <w:t> </w:t>
      </w:r>
      <w:r>
        <w:rPr/>
        <w:t>Executive</w:t>
      </w:r>
      <w:r>
        <w:rPr>
          <w:spacing w:val="-8"/>
        </w:rPr>
        <w:t> </w:t>
      </w:r>
      <w:r>
        <w:rPr/>
        <w:t>Office</w:t>
      </w:r>
      <w:r>
        <w:rPr>
          <w:spacing w:val="-8"/>
        </w:rPr>
        <w:t> </w:t>
      </w:r>
      <w:r>
        <w:rPr/>
        <w:t>consider</w:t>
      </w:r>
      <w:r>
        <w:rPr>
          <w:spacing w:val="-8"/>
        </w:rPr>
        <w:t> </w:t>
      </w:r>
      <w:r>
        <w:rPr/>
        <w:t>developments</w:t>
      </w:r>
      <w:r>
        <w:rPr>
          <w:spacing w:val="-9"/>
        </w:rPr>
        <w:t> </w:t>
      </w:r>
      <w:r>
        <w:rPr/>
        <w:t>in</w:t>
      </w:r>
      <w:r>
        <w:rPr>
          <w:spacing w:val="-9"/>
        </w:rPr>
        <w:t> </w:t>
      </w:r>
      <w:r>
        <w:rPr/>
        <w:t>the</w:t>
      </w:r>
      <w:r>
        <w:rPr>
          <w:spacing w:val="-8"/>
        </w:rPr>
        <w:t> </w:t>
      </w:r>
      <w:r>
        <w:rPr/>
        <w:t>EU</w:t>
      </w:r>
      <w:r>
        <w:rPr>
          <w:spacing w:val="-8"/>
        </w:rPr>
        <w:t> </w:t>
      </w:r>
      <w:r>
        <w:rPr/>
        <w:t>Anti- Racism</w:t>
      </w:r>
      <w:r>
        <w:rPr>
          <w:spacing w:val="-3"/>
        </w:rPr>
        <w:t> </w:t>
      </w:r>
      <w:r>
        <w:rPr/>
        <w:t>Action</w:t>
      </w:r>
      <w:r>
        <w:rPr>
          <w:spacing w:val="-4"/>
        </w:rPr>
        <w:t> </w:t>
      </w:r>
      <w:r>
        <w:rPr/>
        <w:t>Plan</w:t>
      </w:r>
      <w:r>
        <w:rPr>
          <w:spacing w:val="-4"/>
        </w:rPr>
        <w:t> </w:t>
      </w:r>
      <w:r>
        <w:rPr/>
        <w:t>and</w:t>
      </w:r>
      <w:r>
        <w:rPr>
          <w:spacing w:val="-4"/>
        </w:rPr>
        <w:t> </w:t>
      </w:r>
      <w:r>
        <w:rPr/>
        <w:t>Roma</w:t>
      </w:r>
      <w:r>
        <w:rPr>
          <w:spacing w:val="-4"/>
        </w:rPr>
        <w:t> </w:t>
      </w:r>
      <w:r>
        <w:rPr/>
        <w:t>Strategic</w:t>
      </w:r>
      <w:r>
        <w:rPr>
          <w:spacing w:val="-3"/>
        </w:rPr>
        <w:t> </w:t>
      </w:r>
      <w:r>
        <w:rPr/>
        <w:t>Framework</w:t>
      </w:r>
      <w:r>
        <w:rPr>
          <w:spacing w:val="-3"/>
        </w:rPr>
        <w:t> </w:t>
      </w:r>
      <w:r>
        <w:rPr/>
        <w:t>where</w:t>
      </w:r>
      <w:r>
        <w:rPr>
          <w:spacing w:val="-3"/>
        </w:rPr>
        <w:t> </w:t>
      </w:r>
      <w:r>
        <w:rPr/>
        <w:t>this</w:t>
      </w:r>
      <w:r>
        <w:rPr>
          <w:spacing w:val="-4"/>
        </w:rPr>
        <w:t> </w:t>
      </w:r>
      <w:r>
        <w:rPr/>
        <w:t>may</w:t>
      </w:r>
      <w:r>
        <w:rPr>
          <w:spacing w:val="-3"/>
        </w:rPr>
        <w:t> </w:t>
      </w:r>
      <w:r>
        <w:rPr/>
        <w:t>identify</w:t>
      </w:r>
      <w:r>
        <w:rPr>
          <w:spacing w:val="-3"/>
        </w:rPr>
        <w:t> </w:t>
      </w:r>
      <w:r>
        <w:rPr/>
        <w:t>best practice with which Northern Ireland may wish to voluntarily align where it strengthens rights and reflect international human rights standards.</w:t>
      </w:r>
    </w:p>
    <w:p>
      <w:pPr>
        <w:pStyle w:val="BodyText"/>
        <w:spacing w:line="232" w:lineRule="auto" w:before="277"/>
        <w:ind w:left="720" w:right="1087"/>
      </w:pPr>
      <w:r>
        <w:rPr/>
        <w:t>We</w:t>
      </w:r>
      <w:r>
        <w:rPr>
          <w:spacing w:val="-3"/>
        </w:rPr>
        <w:t> </w:t>
      </w:r>
      <w:r>
        <w:rPr/>
        <w:t>recommend</w:t>
      </w:r>
      <w:r>
        <w:rPr>
          <w:spacing w:val="-4"/>
        </w:rPr>
        <w:t> </w:t>
      </w:r>
      <w:r>
        <w:rPr/>
        <w:t>that</w:t>
      </w:r>
      <w:r>
        <w:rPr>
          <w:spacing w:val="-3"/>
        </w:rPr>
        <w:t> </w:t>
      </w:r>
      <w:r>
        <w:rPr/>
        <w:t>the</w:t>
      </w:r>
      <w:r>
        <w:rPr>
          <w:spacing w:val="-3"/>
        </w:rPr>
        <w:t> </w:t>
      </w:r>
      <w:r>
        <w:rPr/>
        <w:t>Executive</w:t>
      </w:r>
      <w:r>
        <w:rPr>
          <w:spacing w:val="-3"/>
        </w:rPr>
        <w:t> </w:t>
      </w:r>
      <w:r>
        <w:rPr/>
        <w:t>Office</w:t>
      </w:r>
      <w:r>
        <w:rPr>
          <w:spacing w:val="-3"/>
        </w:rPr>
        <w:t> </w:t>
      </w:r>
      <w:r>
        <w:rPr/>
        <w:t>consider</w:t>
      </w:r>
      <w:r>
        <w:rPr>
          <w:spacing w:val="-3"/>
        </w:rPr>
        <w:t> </w:t>
      </w:r>
      <w:r>
        <w:rPr/>
        <w:t>developments</w:t>
      </w:r>
      <w:r>
        <w:rPr>
          <w:spacing w:val="-4"/>
        </w:rPr>
        <w:t> </w:t>
      </w:r>
      <w:r>
        <w:rPr/>
        <w:t>in</w:t>
      </w:r>
      <w:r>
        <w:rPr>
          <w:spacing w:val="-4"/>
        </w:rPr>
        <w:t> </w:t>
      </w:r>
      <w:r>
        <w:rPr/>
        <w:t>the</w:t>
      </w:r>
      <w:r>
        <w:rPr>
          <w:spacing w:val="-3"/>
        </w:rPr>
        <w:t> </w:t>
      </w:r>
      <w:r>
        <w:rPr/>
        <w:t>LGBTIQ Equality Strategy where this may identify examples of best practice with which Northern</w:t>
      </w:r>
      <w:r>
        <w:rPr>
          <w:spacing w:val="-8"/>
        </w:rPr>
        <w:t> </w:t>
      </w:r>
      <w:r>
        <w:rPr/>
        <w:t>Ireland</w:t>
      </w:r>
      <w:r>
        <w:rPr>
          <w:spacing w:val="-8"/>
        </w:rPr>
        <w:t> </w:t>
      </w:r>
      <w:r>
        <w:rPr/>
        <w:t>may</w:t>
      </w:r>
      <w:r>
        <w:rPr>
          <w:spacing w:val="-7"/>
        </w:rPr>
        <w:t> </w:t>
      </w:r>
      <w:r>
        <w:rPr/>
        <w:t>wish</w:t>
      </w:r>
      <w:r>
        <w:rPr>
          <w:spacing w:val="-8"/>
        </w:rPr>
        <w:t> </w:t>
      </w:r>
      <w:r>
        <w:rPr/>
        <w:t>to</w:t>
      </w:r>
      <w:r>
        <w:rPr>
          <w:spacing w:val="-8"/>
        </w:rPr>
        <w:t> </w:t>
      </w:r>
      <w:r>
        <w:rPr/>
        <w:t>voluntarily</w:t>
      </w:r>
      <w:r>
        <w:rPr>
          <w:spacing w:val="-7"/>
        </w:rPr>
        <w:t> </w:t>
      </w:r>
      <w:r>
        <w:rPr/>
        <w:t>align</w:t>
      </w:r>
      <w:r>
        <w:rPr>
          <w:spacing w:val="-8"/>
        </w:rPr>
        <w:t> </w:t>
      </w:r>
      <w:r>
        <w:rPr/>
        <w:t>where</w:t>
      </w:r>
      <w:r>
        <w:rPr>
          <w:spacing w:val="-7"/>
        </w:rPr>
        <w:t> </w:t>
      </w:r>
      <w:r>
        <w:rPr/>
        <w:t>they</w:t>
      </w:r>
      <w:r>
        <w:rPr>
          <w:spacing w:val="-7"/>
        </w:rPr>
        <w:t> </w:t>
      </w:r>
      <w:r>
        <w:rPr/>
        <w:t>strengthen</w:t>
      </w:r>
      <w:r>
        <w:rPr>
          <w:spacing w:val="-8"/>
        </w:rPr>
        <w:t> </w:t>
      </w:r>
      <w:r>
        <w:rPr/>
        <w:t>rights</w:t>
      </w:r>
      <w:r>
        <w:rPr>
          <w:spacing w:val="-8"/>
        </w:rPr>
        <w:t> </w:t>
      </w:r>
      <w:r>
        <w:rPr/>
        <w:t>and reflect international human rights standards.</w:t>
      </w:r>
    </w:p>
    <w:p>
      <w:pPr>
        <w:spacing w:after="0" w:line="232" w:lineRule="auto"/>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149</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132352">
                <wp:simplePos x="0" y="0"/>
                <wp:positionH relativeFrom="page">
                  <wp:posOffset>-2</wp:posOffset>
                </wp:positionH>
                <wp:positionV relativeFrom="page">
                  <wp:posOffset>0</wp:posOffset>
                </wp:positionV>
                <wp:extent cx="7560309" cy="1155065"/>
                <wp:effectExtent l="0" t="0" r="0" b="0"/>
                <wp:wrapNone/>
                <wp:docPr id="1187" name="Group 1187"/>
                <wp:cNvGraphicFramePr>
                  <a:graphicFrameLocks/>
                </wp:cNvGraphicFramePr>
                <a:graphic>
                  <a:graphicData uri="http://schemas.microsoft.com/office/word/2010/wordprocessingGroup">
                    <wpg:wgp>
                      <wpg:cNvPr id="1187" name="Group 1187"/>
                      <wpg:cNvGrpSpPr/>
                      <wpg:grpSpPr>
                        <a:xfrm>
                          <a:off x="0" y="0"/>
                          <a:ext cx="7560309" cy="1155065"/>
                          <a:chExt cx="7560309" cy="1155065"/>
                        </a:xfrm>
                      </wpg:grpSpPr>
                      <wps:wsp>
                        <wps:cNvPr id="1188" name="Graphic 1188"/>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189" name="Graphic 1189"/>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184128" id="docshapegroup978" coordorigin="0,0" coordsize="11906,1819">
                <v:shape style="position:absolute;left:0;top:0;width:11906;height:1819" id="docshape979"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888"/>
      </w:pPr>
      <w:r>
        <w:rPr/>
        <w:t>We recommend that the Executive Office consider developments in the Strategy for</w:t>
      </w:r>
      <w:r>
        <w:rPr>
          <w:spacing w:val="-6"/>
        </w:rPr>
        <w:t> </w:t>
      </w:r>
      <w:r>
        <w:rPr/>
        <w:t>the</w:t>
      </w:r>
      <w:r>
        <w:rPr>
          <w:spacing w:val="-6"/>
        </w:rPr>
        <w:t> </w:t>
      </w:r>
      <w:r>
        <w:rPr/>
        <w:t>Rights</w:t>
      </w:r>
      <w:r>
        <w:rPr>
          <w:spacing w:val="-7"/>
        </w:rPr>
        <w:t> </w:t>
      </w:r>
      <w:r>
        <w:rPr/>
        <w:t>of</w:t>
      </w:r>
      <w:r>
        <w:rPr>
          <w:spacing w:val="-7"/>
        </w:rPr>
        <w:t> </w:t>
      </w:r>
      <w:r>
        <w:rPr/>
        <w:t>Persons</w:t>
      </w:r>
      <w:r>
        <w:rPr>
          <w:spacing w:val="-7"/>
        </w:rPr>
        <w:t> </w:t>
      </w:r>
      <w:r>
        <w:rPr/>
        <w:t>with</w:t>
      </w:r>
      <w:r>
        <w:rPr>
          <w:spacing w:val="-7"/>
        </w:rPr>
        <w:t> </w:t>
      </w:r>
      <w:r>
        <w:rPr/>
        <w:t>Disabilities</w:t>
      </w:r>
      <w:r>
        <w:rPr>
          <w:spacing w:val="-7"/>
        </w:rPr>
        <w:t> </w:t>
      </w:r>
      <w:r>
        <w:rPr/>
        <w:t>2021-2030</w:t>
      </w:r>
      <w:r>
        <w:rPr>
          <w:spacing w:val="-6"/>
        </w:rPr>
        <w:t> </w:t>
      </w:r>
      <w:r>
        <w:rPr/>
        <w:t>where</w:t>
      </w:r>
      <w:r>
        <w:rPr>
          <w:spacing w:val="-6"/>
        </w:rPr>
        <w:t> </w:t>
      </w:r>
      <w:r>
        <w:rPr/>
        <w:t>this</w:t>
      </w:r>
      <w:r>
        <w:rPr>
          <w:spacing w:val="-7"/>
        </w:rPr>
        <w:t> </w:t>
      </w:r>
      <w:r>
        <w:rPr/>
        <w:t>may</w:t>
      </w:r>
      <w:r>
        <w:rPr>
          <w:spacing w:val="-6"/>
        </w:rPr>
        <w:t> </w:t>
      </w:r>
      <w:r>
        <w:rPr/>
        <w:t>identify</w:t>
      </w:r>
      <w:r>
        <w:rPr>
          <w:spacing w:val="-6"/>
        </w:rPr>
        <w:t> </w:t>
      </w:r>
      <w:r>
        <w:rPr/>
        <w:t>best practice with which Northern Ireland may wish to voluntarily align where they strengthen rights and reflect international human rights standards.</w:t>
      </w:r>
    </w:p>
    <w:p>
      <w:pPr>
        <w:pStyle w:val="BodyText"/>
        <w:spacing w:line="232" w:lineRule="auto" w:before="278"/>
        <w:ind w:left="1117" w:right="1404"/>
      </w:pPr>
      <w:r>
        <w:rPr/>
        <w:t>We recommend that the Northern Ireland Department of Justice review the EU</w:t>
      </w:r>
      <w:r>
        <w:rPr>
          <w:spacing w:val="-7"/>
        </w:rPr>
        <w:t> </w:t>
      </w:r>
      <w:r>
        <w:rPr/>
        <w:t>strategy</w:t>
      </w:r>
      <w:r>
        <w:rPr>
          <w:spacing w:val="-7"/>
        </w:rPr>
        <w:t> </w:t>
      </w:r>
      <w:r>
        <w:rPr/>
        <w:t>on</w:t>
      </w:r>
      <w:r>
        <w:rPr>
          <w:spacing w:val="-8"/>
        </w:rPr>
        <w:t> </w:t>
      </w:r>
      <w:r>
        <w:rPr/>
        <w:t>victims’</w:t>
      </w:r>
      <w:r>
        <w:rPr>
          <w:spacing w:val="-7"/>
        </w:rPr>
        <w:t> </w:t>
      </w:r>
      <w:r>
        <w:rPr/>
        <w:t>rights</w:t>
      </w:r>
      <w:r>
        <w:rPr>
          <w:spacing w:val="-8"/>
        </w:rPr>
        <w:t> </w:t>
      </w:r>
      <w:r>
        <w:rPr/>
        <w:t>to</w:t>
      </w:r>
      <w:r>
        <w:rPr>
          <w:spacing w:val="-8"/>
        </w:rPr>
        <w:t> </w:t>
      </w:r>
      <w:r>
        <w:rPr/>
        <w:t>identify</w:t>
      </w:r>
      <w:r>
        <w:rPr>
          <w:spacing w:val="-7"/>
        </w:rPr>
        <w:t> </w:t>
      </w:r>
      <w:r>
        <w:rPr/>
        <w:t>examples</w:t>
      </w:r>
      <w:r>
        <w:rPr>
          <w:spacing w:val="-8"/>
        </w:rPr>
        <w:t> </w:t>
      </w:r>
      <w:r>
        <w:rPr/>
        <w:t>of</w:t>
      </w:r>
      <w:r>
        <w:rPr>
          <w:spacing w:val="-8"/>
        </w:rPr>
        <w:t> </w:t>
      </w:r>
      <w:r>
        <w:rPr/>
        <w:t>best</w:t>
      </w:r>
      <w:r>
        <w:rPr>
          <w:spacing w:val="-7"/>
        </w:rPr>
        <w:t> </w:t>
      </w:r>
      <w:r>
        <w:rPr/>
        <w:t>practice</w:t>
      </w:r>
      <w:r>
        <w:rPr>
          <w:spacing w:val="-7"/>
        </w:rPr>
        <w:t> </w:t>
      </w:r>
      <w:r>
        <w:rPr/>
        <w:t>that</w:t>
      </w:r>
      <w:r>
        <w:rPr>
          <w:spacing w:val="-7"/>
        </w:rPr>
        <w:t> </w:t>
      </w:r>
      <w:r>
        <w:rPr/>
        <w:t>could strengthen rights and reflect international human rights standards and best </w:t>
      </w:r>
      <w:r>
        <w:rPr>
          <w:spacing w:val="-2"/>
        </w:rPr>
        <w:t>practice.</w:t>
      </w:r>
    </w:p>
    <w:p>
      <w:pPr>
        <w:pStyle w:val="BodyText"/>
        <w:spacing w:line="232" w:lineRule="auto" w:before="277"/>
        <w:ind w:left="1117" w:right="912"/>
      </w:pPr>
      <w:r>
        <w:rPr/>
        <w:t>We recommend relevant NI departments review EU policy developments aimed at</w:t>
      </w:r>
      <w:r>
        <w:rPr>
          <w:spacing w:val="-7"/>
        </w:rPr>
        <w:t> </w:t>
      </w:r>
      <w:r>
        <w:rPr/>
        <w:t>protecting</w:t>
      </w:r>
      <w:r>
        <w:rPr>
          <w:spacing w:val="-7"/>
        </w:rPr>
        <w:t> </w:t>
      </w:r>
      <w:r>
        <w:rPr/>
        <w:t>the</w:t>
      </w:r>
      <w:r>
        <w:rPr>
          <w:spacing w:val="-7"/>
        </w:rPr>
        <w:t> </w:t>
      </w:r>
      <w:r>
        <w:rPr/>
        <w:t>rights</w:t>
      </w:r>
      <w:r>
        <w:rPr>
          <w:spacing w:val="-8"/>
        </w:rPr>
        <w:t> </w:t>
      </w:r>
      <w:r>
        <w:rPr/>
        <w:t>of</w:t>
      </w:r>
      <w:r>
        <w:rPr>
          <w:spacing w:val="-8"/>
        </w:rPr>
        <w:t> </w:t>
      </w:r>
      <w:r>
        <w:rPr/>
        <w:t>all</w:t>
      </w:r>
      <w:r>
        <w:rPr>
          <w:spacing w:val="-8"/>
        </w:rPr>
        <w:t> </w:t>
      </w:r>
      <w:r>
        <w:rPr/>
        <w:t>children,</w:t>
      </w:r>
      <w:r>
        <w:rPr>
          <w:spacing w:val="-7"/>
        </w:rPr>
        <w:t> </w:t>
      </w:r>
      <w:r>
        <w:rPr/>
        <w:t>including</w:t>
      </w:r>
      <w:r>
        <w:rPr>
          <w:spacing w:val="-7"/>
        </w:rPr>
        <w:t> </w:t>
      </w:r>
      <w:r>
        <w:rPr/>
        <w:t>combating</w:t>
      </w:r>
      <w:r>
        <w:rPr>
          <w:spacing w:val="-7"/>
        </w:rPr>
        <w:t> </w:t>
      </w:r>
      <w:r>
        <w:rPr/>
        <w:t>child</w:t>
      </w:r>
      <w:r>
        <w:rPr>
          <w:spacing w:val="-8"/>
        </w:rPr>
        <w:t> </w:t>
      </w:r>
      <w:r>
        <w:rPr/>
        <w:t>poverty,</w:t>
      </w:r>
      <w:r>
        <w:rPr>
          <w:spacing w:val="-7"/>
        </w:rPr>
        <w:t> </w:t>
      </w:r>
      <w:r>
        <w:rPr/>
        <w:t>securing vulnerable children’s access to basic services, including children living in poverty, children with disabilities and special educational needs, children refugees and children</w:t>
      </w:r>
      <w:r>
        <w:rPr>
          <w:spacing w:val="-3"/>
        </w:rPr>
        <w:t> </w:t>
      </w:r>
      <w:r>
        <w:rPr/>
        <w:t>in</w:t>
      </w:r>
      <w:r>
        <w:rPr>
          <w:spacing w:val="-3"/>
        </w:rPr>
        <w:t> </w:t>
      </w:r>
      <w:r>
        <w:rPr/>
        <w:t>care,</w:t>
      </w:r>
      <w:r>
        <w:rPr>
          <w:spacing w:val="-2"/>
        </w:rPr>
        <w:t> </w:t>
      </w:r>
      <w:r>
        <w:rPr/>
        <w:t>with</w:t>
      </w:r>
      <w:r>
        <w:rPr>
          <w:spacing w:val="-3"/>
        </w:rPr>
        <w:t> </w:t>
      </w:r>
      <w:r>
        <w:rPr/>
        <w:t>a</w:t>
      </w:r>
      <w:r>
        <w:rPr>
          <w:spacing w:val="-3"/>
        </w:rPr>
        <w:t> </w:t>
      </w:r>
      <w:r>
        <w:rPr/>
        <w:t>view</w:t>
      </w:r>
      <w:r>
        <w:rPr>
          <w:spacing w:val="-2"/>
        </w:rPr>
        <w:t> </w:t>
      </w:r>
      <w:r>
        <w:rPr/>
        <w:t>to</w:t>
      </w:r>
      <w:r>
        <w:rPr>
          <w:spacing w:val="-3"/>
        </w:rPr>
        <w:t> </w:t>
      </w:r>
      <w:r>
        <w:rPr/>
        <w:t>taking</w:t>
      </w:r>
      <w:r>
        <w:rPr>
          <w:spacing w:val="-2"/>
        </w:rPr>
        <w:t> </w:t>
      </w:r>
      <w:r>
        <w:rPr/>
        <w:t>measures</w:t>
      </w:r>
      <w:r>
        <w:rPr>
          <w:spacing w:val="-3"/>
        </w:rPr>
        <w:t> </w:t>
      </w:r>
      <w:r>
        <w:rPr/>
        <w:t>that</w:t>
      </w:r>
      <w:r>
        <w:rPr>
          <w:spacing w:val="-2"/>
        </w:rPr>
        <w:t> </w:t>
      </w:r>
      <w:r>
        <w:rPr/>
        <w:t>strengthen</w:t>
      </w:r>
      <w:r>
        <w:rPr>
          <w:spacing w:val="-3"/>
        </w:rPr>
        <w:t> </w:t>
      </w:r>
      <w:r>
        <w:rPr/>
        <w:t>rights</w:t>
      </w:r>
      <w:r>
        <w:rPr>
          <w:spacing w:val="-3"/>
        </w:rPr>
        <w:t> </w:t>
      </w:r>
      <w:r>
        <w:rPr/>
        <w:t>and</w:t>
      </w:r>
      <w:r>
        <w:rPr>
          <w:spacing w:val="-3"/>
        </w:rPr>
        <w:t> </w:t>
      </w:r>
      <w:r>
        <w:rPr/>
        <w:t>reflect international human rights standards and best practice.</w:t>
      </w:r>
    </w:p>
    <w:p>
      <w:pPr>
        <w:pStyle w:val="BodyText"/>
        <w:spacing w:line="232" w:lineRule="auto" w:before="274"/>
        <w:ind w:left="1117" w:right="1087"/>
      </w:pPr>
      <w:r>
        <w:rPr/>
        <w:t>We</w:t>
      </w:r>
      <w:r>
        <w:rPr>
          <w:spacing w:val="-10"/>
        </w:rPr>
        <w:t> </w:t>
      </w:r>
      <w:r>
        <w:rPr/>
        <w:t>recommend</w:t>
      </w:r>
      <w:r>
        <w:rPr>
          <w:spacing w:val="-11"/>
        </w:rPr>
        <w:t> </w:t>
      </w:r>
      <w:r>
        <w:rPr/>
        <w:t>relevant</w:t>
      </w:r>
      <w:r>
        <w:rPr>
          <w:spacing w:val="-10"/>
        </w:rPr>
        <w:t> </w:t>
      </w:r>
      <w:r>
        <w:rPr/>
        <w:t>NI</w:t>
      </w:r>
      <w:r>
        <w:rPr>
          <w:spacing w:val="-10"/>
        </w:rPr>
        <w:t> </w:t>
      </w:r>
      <w:r>
        <w:rPr/>
        <w:t>departments</w:t>
      </w:r>
      <w:r>
        <w:rPr>
          <w:spacing w:val="-11"/>
        </w:rPr>
        <w:t> </w:t>
      </w:r>
      <w:r>
        <w:rPr/>
        <w:t>review</w:t>
      </w:r>
      <w:r>
        <w:rPr>
          <w:spacing w:val="-10"/>
        </w:rPr>
        <w:t> </w:t>
      </w:r>
      <w:r>
        <w:rPr/>
        <w:t>the</w:t>
      </w:r>
      <w:r>
        <w:rPr>
          <w:spacing w:val="-10"/>
        </w:rPr>
        <w:t> </w:t>
      </w:r>
      <w:r>
        <w:rPr/>
        <w:t>EU</w:t>
      </w:r>
      <w:r>
        <w:rPr>
          <w:spacing w:val="-10"/>
        </w:rPr>
        <w:t> </w:t>
      </w:r>
      <w:r>
        <w:rPr/>
        <w:t>Strategy</w:t>
      </w:r>
      <w:r>
        <w:rPr>
          <w:spacing w:val="-10"/>
        </w:rPr>
        <w:t> </w:t>
      </w:r>
      <w:r>
        <w:rPr/>
        <w:t>on</w:t>
      </w:r>
      <w:r>
        <w:rPr>
          <w:spacing w:val="-11"/>
        </w:rPr>
        <w:t> </w:t>
      </w:r>
      <w:r>
        <w:rPr/>
        <w:t>combatting trafficking with a view to taking measures that strengthen rights and reflect international human rights standards and best practice.</w:t>
      </w:r>
    </w:p>
    <w:p>
      <w:pPr>
        <w:spacing w:after="0" w:line="232" w:lineRule="auto"/>
        <w:sectPr>
          <w:type w:val="continuous"/>
          <w:pgSz w:w="11910" w:h="16840"/>
          <w:pgMar w:top="1000" w:bottom="280" w:left="300" w:right="280"/>
        </w:sectPr>
      </w:pPr>
    </w:p>
    <w:p>
      <w:pPr>
        <w:tabs>
          <w:tab w:pos="1003" w:val="left" w:leader="none"/>
        </w:tabs>
        <w:spacing w:before="21"/>
        <w:ind w:left="110" w:right="0" w:firstLine="0"/>
        <w:jc w:val="left"/>
        <w:rPr>
          <w:b/>
          <w:sz w:val="24"/>
        </w:rPr>
      </w:pPr>
      <w:r>
        <w:rPr/>
        <mc:AlternateContent>
          <mc:Choice Requires="wps">
            <w:drawing>
              <wp:anchor distT="0" distB="0" distL="0" distR="0" allowOverlap="1" layoutInCell="1" locked="0" behindDoc="1" simplePos="0" relativeHeight="484132864">
                <wp:simplePos x="0" y="0"/>
                <wp:positionH relativeFrom="page">
                  <wp:posOffset>0</wp:posOffset>
                </wp:positionH>
                <wp:positionV relativeFrom="page">
                  <wp:posOffset>0</wp:posOffset>
                </wp:positionV>
                <wp:extent cx="7560309" cy="9322435"/>
                <wp:effectExtent l="0" t="0" r="0" b="0"/>
                <wp:wrapNone/>
                <wp:docPr id="1190" name="Group 1190"/>
                <wp:cNvGraphicFramePr>
                  <a:graphicFrameLocks/>
                </wp:cNvGraphicFramePr>
                <a:graphic>
                  <a:graphicData uri="http://schemas.microsoft.com/office/word/2010/wordprocessingGroup">
                    <wpg:wgp>
                      <wpg:cNvPr id="1190" name="Group 1190"/>
                      <wpg:cNvGrpSpPr/>
                      <wpg:grpSpPr>
                        <a:xfrm>
                          <a:off x="0" y="0"/>
                          <a:ext cx="7560309" cy="9322435"/>
                          <a:chExt cx="7560309" cy="9322435"/>
                        </a:xfrm>
                      </wpg:grpSpPr>
                      <pic:pic>
                        <pic:nvPicPr>
                          <pic:cNvPr id="1191" name="Image 1191"/>
                          <pic:cNvPicPr/>
                        </pic:nvPicPr>
                        <pic:blipFill>
                          <a:blip r:embed="rId162" cstate="print"/>
                          <a:stretch>
                            <a:fillRect/>
                          </a:stretch>
                        </pic:blipFill>
                        <pic:spPr>
                          <a:xfrm>
                            <a:off x="0" y="0"/>
                            <a:ext cx="7559992" cy="3420008"/>
                          </a:xfrm>
                          <a:prstGeom prst="rect">
                            <a:avLst/>
                          </a:prstGeom>
                        </pic:spPr>
                      </pic:pic>
                      <wps:wsp>
                        <wps:cNvPr id="1192" name="Graphic 1192"/>
                        <wps:cNvSpPr/>
                        <wps:spPr>
                          <a:xfrm>
                            <a:off x="0" y="2250008"/>
                            <a:ext cx="7560309" cy="7071995"/>
                          </a:xfrm>
                          <a:custGeom>
                            <a:avLst/>
                            <a:gdLst/>
                            <a:ahLst/>
                            <a:cxnLst/>
                            <a:rect l="l" t="t" r="r" b="b"/>
                            <a:pathLst>
                              <a:path w="7560309" h="7071995">
                                <a:moveTo>
                                  <a:pt x="7560005" y="0"/>
                                </a:moveTo>
                                <a:lnTo>
                                  <a:pt x="719988" y="0"/>
                                </a:lnTo>
                                <a:lnTo>
                                  <a:pt x="672198" y="1244"/>
                                </a:lnTo>
                                <a:lnTo>
                                  <a:pt x="625043" y="4953"/>
                                </a:lnTo>
                                <a:lnTo>
                                  <a:pt x="578612" y="11049"/>
                                </a:lnTo>
                                <a:lnTo>
                                  <a:pt x="532942" y="19469"/>
                                </a:lnTo>
                                <a:lnTo>
                                  <a:pt x="488124" y="30149"/>
                                </a:lnTo>
                                <a:lnTo>
                                  <a:pt x="444195" y="43040"/>
                                </a:lnTo>
                                <a:lnTo>
                                  <a:pt x="401231" y="58077"/>
                                </a:lnTo>
                                <a:lnTo>
                                  <a:pt x="359283" y="75196"/>
                                </a:lnTo>
                                <a:lnTo>
                                  <a:pt x="318427" y="94335"/>
                                </a:lnTo>
                                <a:lnTo>
                                  <a:pt x="278714" y="115430"/>
                                </a:lnTo>
                                <a:lnTo>
                                  <a:pt x="240220" y="138404"/>
                                </a:lnTo>
                                <a:lnTo>
                                  <a:pt x="202984" y="163220"/>
                                </a:lnTo>
                                <a:lnTo>
                                  <a:pt x="167093" y="189814"/>
                                </a:lnTo>
                                <a:lnTo>
                                  <a:pt x="132588" y="218097"/>
                                </a:lnTo>
                                <a:lnTo>
                                  <a:pt x="99555" y="248043"/>
                                </a:lnTo>
                                <a:lnTo>
                                  <a:pt x="68033" y="279565"/>
                                </a:lnTo>
                                <a:lnTo>
                                  <a:pt x="38087" y="312597"/>
                                </a:lnTo>
                                <a:lnTo>
                                  <a:pt x="9804" y="347103"/>
                                </a:lnTo>
                                <a:lnTo>
                                  <a:pt x="0" y="360337"/>
                                </a:lnTo>
                                <a:lnTo>
                                  <a:pt x="0" y="3249345"/>
                                </a:lnTo>
                                <a:lnTo>
                                  <a:pt x="0" y="4182872"/>
                                </a:lnTo>
                                <a:lnTo>
                                  <a:pt x="0" y="7071868"/>
                                </a:lnTo>
                                <a:lnTo>
                                  <a:pt x="7560005" y="7071868"/>
                                </a:lnTo>
                                <a:lnTo>
                                  <a:pt x="7560005" y="4182872"/>
                                </a:lnTo>
                                <a:lnTo>
                                  <a:pt x="7560005" y="2888996"/>
                                </a:lnTo>
                                <a:lnTo>
                                  <a:pt x="7560005" y="0"/>
                                </a:lnTo>
                                <a:close/>
                              </a:path>
                            </a:pathLst>
                          </a:custGeom>
                          <a:solidFill>
                            <a:srgbClr val="FFFFFF"/>
                          </a:solidFill>
                        </wps:spPr>
                        <wps:bodyPr wrap="square" lIns="0" tIns="0" rIns="0" bIns="0" rtlCol="0">
                          <a:prstTxWarp prst="textNoShape">
                            <a:avLst/>
                          </a:prstTxWarp>
                          <a:noAutofit/>
                        </wps:bodyPr>
                      </wps:wsp>
                      <pic:pic>
                        <pic:nvPicPr>
                          <pic:cNvPr id="1193" name="Image 1193"/>
                          <pic:cNvPicPr/>
                        </pic:nvPicPr>
                        <pic:blipFill>
                          <a:blip r:embed="rId177" cstate="print"/>
                          <a:stretch>
                            <a:fillRect/>
                          </a:stretch>
                        </pic:blipFill>
                        <pic:spPr>
                          <a:xfrm>
                            <a:off x="0" y="3717011"/>
                            <a:ext cx="7559992" cy="4182871"/>
                          </a:xfrm>
                          <a:prstGeom prst="rect">
                            <a:avLst/>
                          </a:prstGeom>
                        </pic:spPr>
                      </pic:pic>
                      <wps:wsp>
                        <wps:cNvPr id="1194" name="Graphic 1194"/>
                        <wps:cNvSpPr/>
                        <wps:spPr>
                          <a:xfrm>
                            <a:off x="0" y="5103004"/>
                            <a:ext cx="7560309" cy="4183379"/>
                          </a:xfrm>
                          <a:custGeom>
                            <a:avLst/>
                            <a:gdLst/>
                            <a:ahLst/>
                            <a:cxnLst/>
                            <a:rect l="l" t="t" r="r" b="b"/>
                            <a:pathLst>
                              <a:path w="7560309" h="4183379">
                                <a:moveTo>
                                  <a:pt x="7560005" y="0"/>
                                </a:moveTo>
                                <a:lnTo>
                                  <a:pt x="719996" y="0"/>
                                </a:lnTo>
                                <a:lnTo>
                                  <a:pt x="672198" y="1247"/>
                                </a:lnTo>
                                <a:lnTo>
                                  <a:pt x="625050" y="4948"/>
                                </a:lnTo>
                                <a:lnTo>
                                  <a:pt x="578614" y="11041"/>
                                </a:lnTo>
                                <a:lnTo>
                                  <a:pt x="532952" y="19462"/>
                                </a:lnTo>
                                <a:lnTo>
                                  <a:pt x="488127" y="30151"/>
                                </a:lnTo>
                                <a:lnTo>
                                  <a:pt x="444200" y="43044"/>
                                </a:lnTo>
                                <a:lnTo>
                                  <a:pt x="401233" y="58081"/>
                                </a:lnTo>
                                <a:lnTo>
                                  <a:pt x="359290" y="75197"/>
                                </a:lnTo>
                                <a:lnTo>
                                  <a:pt x="318432" y="94332"/>
                                </a:lnTo>
                                <a:lnTo>
                                  <a:pt x="278722" y="115422"/>
                                </a:lnTo>
                                <a:lnTo>
                                  <a:pt x="240220" y="138406"/>
                                </a:lnTo>
                                <a:lnTo>
                                  <a:pt x="202991" y="163222"/>
                                </a:lnTo>
                                <a:lnTo>
                                  <a:pt x="167096" y="189808"/>
                                </a:lnTo>
                                <a:lnTo>
                                  <a:pt x="132597" y="218100"/>
                                </a:lnTo>
                                <a:lnTo>
                                  <a:pt x="99556" y="248038"/>
                                </a:lnTo>
                                <a:lnTo>
                                  <a:pt x="68036" y="279558"/>
                                </a:lnTo>
                                <a:lnTo>
                                  <a:pt x="38098" y="312599"/>
                                </a:lnTo>
                                <a:lnTo>
                                  <a:pt x="9806" y="347098"/>
                                </a:lnTo>
                                <a:lnTo>
                                  <a:pt x="0" y="360338"/>
                                </a:lnTo>
                                <a:lnTo>
                                  <a:pt x="0" y="4182872"/>
                                </a:lnTo>
                                <a:lnTo>
                                  <a:pt x="7560005" y="4182872"/>
                                </a:lnTo>
                                <a:lnTo>
                                  <a:pt x="7560005" y="0"/>
                                </a:lnTo>
                                <a:close/>
                              </a:path>
                            </a:pathLst>
                          </a:custGeom>
                          <a:solidFill>
                            <a:srgbClr val="FFFFFF"/>
                          </a:solidFill>
                        </wps:spPr>
                        <wps:bodyPr wrap="square" lIns="0" tIns="0" rIns="0" bIns="0" rtlCol="0">
                          <a:prstTxWarp prst="textNoShape">
                            <a:avLst/>
                          </a:prstTxWarp>
                          <a:noAutofit/>
                        </wps:bodyPr>
                      </wps:wsp>
                      <wps:wsp>
                        <wps:cNvPr id="1195" name="Graphic 1195"/>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196" name="Graphic 1196"/>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734.05pt;mso-position-horizontal-relative:page;mso-position-vertical-relative:page;z-index:-19183616" id="docshapegroup980" coordorigin="0,0" coordsize="11906,14681">
                <v:shape style="position:absolute;left:0;top:0;width:11906;height:5386" type="#_x0000_t75" id="docshape981" stroked="false">
                  <v:imagedata r:id="rId162" o:title=""/>
                </v:shape>
                <v:shape style="position:absolute;left:0;top:3543;width:11906;height:11137" id="docshape982" coordorigin="0,3543" coordsize="11906,11137" path="m11906,3543l1134,3543,1059,3545,984,3551,911,3561,839,3574,769,3591,700,3611,632,3635,566,3662,501,3692,439,3725,378,3761,320,3800,263,3842,209,3887,157,3934,107,3984,60,4036,15,4090,0,4111,0,8660,0,10131,0,14680,11906,14680,11906,10131,11906,8093,11906,3543xe" filled="true" fillcolor="#ffffff" stroked="false">
                  <v:path arrowok="t"/>
                  <v:fill type="solid"/>
                </v:shape>
                <v:shape style="position:absolute;left:0;top:5853;width:11906;height:6588" type="#_x0000_t75" id="docshape983" stroked="false">
                  <v:imagedata r:id="rId177" o:title=""/>
                </v:shape>
                <v:shape style="position:absolute;left:0;top:8036;width:11906;height:6588" id="docshape984" coordorigin="0,8036" coordsize="11906,6588" path="m11906,8036l1134,8036,1059,8038,984,8044,911,8054,839,8067,769,8084,700,8104,632,8128,566,8155,501,8185,439,8218,378,8254,320,8293,263,8335,209,8380,157,8427,107,8476,60,8529,15,8583,0,8604,0,14623,11906,14623,11906,8036xe" filled="true" fillcolor="#ffffff" stroked="false">
                  <v:path arrowok="t"/>
                  <v:fill type="solid"/>
                </v:shape>
                <v:shape style="position:absolute;left:0;top:0;width:11906;height:1819" id="docshape985"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bookmarkStart w:name="Appendix 1: Mapping Exercise 1: CJEU Cas" w:id="233"/>
      <w:bookmarkEnd w:id="233"/>
      <w:r>
        <w:rPr/>
      </w:r>
      <w:bookmarkStart w:name="Appendix 2: Mapping of EU Directives and" w:id="234"/>
      <w:bookmarkEnd w:id="234"/>
      <w:r>
        <w:rPr/>
      </w:r>
      <w:bookmarkStart w:name="_bookmark95" w:id="235"/>
      <w:bookmarkEnd w:id="235"/>
      <w:r>
        <w:rPr/>
      </w:r>
      <w:r>
        <w:rPr>
          <w:b/>
          <w:color w:val="FFFFFF"/>
          <w:spacing w:val="-5"/>
          <w:position w:val="-1"/>
          <w:sz w:val="28"/>
        </w:rPr>
        <w:t>150</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spacing w:before="40"/>
        <w:rPr>
          <w:b/>
          <w:sz w:val="52"/>
        </w:rPr>
      </w:pPr>
    </w:p>
    <w:p>
      <w:pPr>
        <w:spacing w:line="597" w:lineRule="exact" w:before="0"/>
        <w:ind w:left="720" w:right="0" w:firstLine="0"/>
        <w:jc w:val="left"/>
        <w:rPr>
          <w:sz w:val="52"/>
        </w:rPr>
      </w:pPr>
      <w:r>
        <w:rPr>
          <w:color w:val="FFFFFF"/>
          <w:sz w:val="52"/>
        </w:rPr>
        <w:t>Appendix</w:t>
      </w:r>
      <w:r>
        <w:rPr>
          <w:color w:val="FFFFFF"/>
          <w:spacing w:val="-8"/>
          <w:sz w:val="52"/>
        </w:rPr>
        <w:t> </w:t>
      </w:r>
      <w:r>
        <w:rPr>
          <w:color w:val="FFFFFF"/>
          <w:spacing w:val="-5"/>
          <w:sz w:val="52"/>
        </w:rPr>
        <w:t>1:</w:t>
      </w:r>
    </w:p>
    <w:p>
      <w:pPr>
        <w:pStyle w:val="Heading1"/>
        <w:spacing w:line="211" w:lineRule="auto" w:before="22"/>
        <w:ind w:left="720" w:right="1886"/>
      </w:pPr>
      <w:r>
        <w:rPr>
          <w:color w:val="FFFFFF"/>
        </w:rPr>
        <w:t>Mapping</w:t>
      </w:r>
      <w:r>
        <w:rPr>
          <w:color w:val="FFFFFF"/>
          <w:spacing w:val="-12"/>
        </w:rPr>
        <w:t> </w:t>
      </w:r>
      <w:r>
        <w:rPr>
          <w:color w:val="FFFFFF"/>
        </w:rPr>
        <w:t>Exercise</w:t>
      </w:r>
      <w:r>
        <w:rPr>
          <w:color w:val="FFFFFF"/>
          <w:spacing w:val="-12"/>
        </w:rPr>
        <w:t> </w:t>
      </w:r>
      <w:r>
        <w:rPr>
          <w:color w:val="FFFFFF"/>
        </w:rPr>
        <w:t>1:</w:t>
      </w:r>
      <w:r>
        <w:rPr>
          <w:color w:val="FFFFFF"/>
          <w:spacing w:val="-11"/>
        </w:rPr>
        <w:t> </w:t>
      </w:r>
      <w:r>
        <w:rPr>
          <w:color w:val="FFFFFF"/>
        </w:rPr>
        <w:t>CJEU</w:t>
      </w:r>
      <w:r>
        <w:rPr>
          <w:color w:val="FFFFFF"/>
          <w:spacing w:val="-11"/>
        </w:rPr>
        <w:t> </w:t>
      </w:r>
      <w:r>
        <w:rPr>
          <w:color w:val="FFFFFF"/>
        </w:rPr>
        <w:t>Case</w:t>
      </w:r>
      <w:r>
        <w:rPr>
          <w:color w:val="FFFFFF"/>
          <w:spacing w:val="-12"/>
        </w:rPr>
        <w:t> </w:t>
      </w:r>
      <w:r>
        <w:rPr>
          <w:color w:val="FFFFFF"/>
        </w:rPr>
        <w:t>Law Mapping of Annex 1 Directives</w:t>
      </w:r>
    </w:p>
    <w:p>
      <w:pPr>
        <w:pStyle w:val="BodyText"/>
        <w:spacing w:line="232" w:lineRule="auto" w:before="403"/>
        <w:ind w:left="720" w:right="1886"/>
      </w:pPr>
      <w:r>
        <w:rPr/>
        <w:t>CJEU</w:t>
      </w:r>
      <w:r>
        <w:rPr>
          <w:spacing w:val="-6"/>
        </w:rPr>
        <w:t> </w:t>
      </w:r>
      <w:r>
        <w:rPr/>
        <w:t>case</w:t>
      </w:r>
      <w:r>
        <w:rPr>
          <w:spacing w:val="-6"/>
        </w:rPr>
        <w:t> </w:t>
      </w:r>
      <w:r>
        <w:rPr/>
        <w:t>law</w:t>
      </w:r>
      <w:r>
        <w:rPr>
          <w:spacing w:val="-6"/>
        </w:rPr>
        <w:t> </w:t>
      </w:r>
      <w:r>
        <w:rPr/>
        <w:t>mapping</w:t>
      </w:r>
      <w:r>
        <w:rPr>
          <w:spacing w:val="-6"/>
        </w:rPr>
        <w:t> </w:t>
      </w:r>
      <w:r>
        <w:rPr/>
        <w:t>of</w:t>
      </w:r>
      <w:r>
        <w:rPr>
          <w:spacing w:val="-6"/>
        </w:rPr>
        <w:t> </w:t>
      </w:r>
      <w:r>
        <w:rPr/>
        <w:t>Annex</w:t>
      </w:r>
      <w:r>
        <w:rPr>
          <w:spacing w:val="-6"/>
        </w:rPr>
        <w:t> </w:t>
      </w:r>
      <w:r>
        <w:rPr/>
        <w:t>1</w:t>
      </w:r>
      <w:r>
        <w:rPr>
          <w:spacing w:val="-6"/>
        </w:rPr>
        <w:t> </w:t>
      </w:r>
      <w:r>
        <w:rPr/>
        <w:t>directives</w:t>
      </w:r>
      <w:r>
        <w:rPr>
          <w:spacing w:val="-6"/>
        </w:rPr>
        <w:t> </w:t>
      </w:r>
      <w:r>
        <w:rPr/>
        <w:t>is</w:t>
      </w:r>
      <w:r>
        <w:rPr>
          <w:spacing w:val="-6"/>
        </w:rPr>
        <w:t> </w:t>
      </w:r>
      <w:r>
        <w:rPr/>
        <w:t>available</w:t>
      </w:r>
      <w:r>
        <w:rPr>
          <w:spacing w:val="-6"/>
        </w:rPr>
        <w:t> </w:t>
      </w:r>
      <w:r>
        <w:rPr/>
        <w:t>by</w:t>
      </w:r>
      <w:r>
        <w:rPr>
          <w:spacing w:val="-6"/>
        </w:rPr>
        <w:t> </w:t>
      </w:r>
      <w:r>
        <w:rPr/>
        <w:t>contacting</w:t>
      </w:r>
      <w:r>
        <w:rPr>
          <w:spacing w:val="-6"/>
        </w:rPr>
        <w:t> </w:t>
      </w:r>
      <w:r>
        <w:rPr/>
        <w:t>the Equality Commission at </w:t>
      </w:r>
      <w:hyperlink r:id="rId178">
        <w:r>
          <w:rPr>
            <w:color w:val="1D71B8"/>
            <w:u w:val="single" w:color="1D71B8"/>
          </w:rPr>
          <w:t>DMU@equalityni.org</w:t>
        </w:r>
      </w:hyperlink>
    </w:p>
    <w:p>
      <w:pPr>
        <w:pStyle w:val="BodyText"/>
      </w:pPr>
    </w:p>
    <w:p>
      <w:pPr>
        <w:pStyle w:val="BodyText"/>
      </w:pPr>
    </w:p>
    <w:p>
      <w:pPr>
        <w:pStyle w:val="BodyText"/>
      </w:pPr>
    </w:p>
    <w:p>
      <w:pPr>
        <w:pStyle w:val="BodyText"/>
        <w:spacing w:before="324"/>
      </w:pPr>
    </w:p>
    <w:p>
      <w:pPr>
        <w:spacing w:line="597" w:lineRule="exact" w:before="0"/>
        <w:ind w:left="720" w:right="0" w:firstLine="0"/>
        <w:jc w:val="left"/>
        <w:rPr>
          <w:sz w:val="52"/>
        </w:rPr>
      </w:pPr>
      <w:r>
        <w:rPr>
          <w:color w:val="FFFFFF"/>
          <w:sz w:val="52"/>
        </w:rPr>
        <w:t>Appendix</w:t>
      </w:r>
      <w:r>
        <w:rPr>
          <w:color w:val="FFFFFF"/>
          <w:spacing w:val="-8"/>
          <w:sz w:val="52"/>
        </w:rPr>
        <w:t> </w:t>
      </w:r>
      <w:r>
        <w:rPr>
          <w:color w:val="FFFFFF"/>
          <w:spacing w:val="-5"/>
          <w:sz w:val="52"/>
        </w:rPr>
        <w:t>2:</w:t>
      </w:r>
    </w:p>
    <w:p>
      <w:pPr>
        <w:pStyle w:val="Heading1"/>
        <w:spacing w:line="211" w:lineRule="auto" w:before="23"/>
        <w:ind w:left="720" w:right="1087"/>
      </w:pPr>
      <w:r>
        <w:rPr>
          <w:color w:val="FFFFFF"/>
        </w:rPr>
        <w:t>Mapping</w:t>
      </w:r>
      <w:r>
        <w:rPr>
          <w:color w:val="FFFFFF"/>
          <w:spacing w:val="-14"/>
        </w:rPr>
        <w:t> </w:t>
      </w:r>
      <w:r>
        <w:rPr>
          <w:color w:val="FFFFFF"/>
        </w:rPr>
        <w:t>of</w:t>
      </w:r>
      <w:r>
        <w:rPr>
          <w:color w:val="FFFFFF"/>
          <w:spacing w:val="-14"/>
        </w:rPr>
        <w:t> </w:t>
      </w:r>
      <w:r>
        <w:rPr>
          <w:color w:val="FFFFFF"/>
        </w:rPr>
        <w:t>EU</w:t>
      </w:r>
      <w:r>
        <w:rPr>
          <w:color w:val="FFFFFF"/>
          <w:spacing w:val="-13"/>
        </w:rPr>
        <w:t> </w:t>
      </w:r>
      <w:r>
        <w:rPr>
          <w:color w:val="FFFFFF"/>
        </w:rPr>
        <w:t>Directives</w:t>
      </w:r>
      <w:r>
        <w:rPr>
          <w:color w:val="FFFFFF"/>
          <w:spacing w:val="-13"/>
        </w:rPr>
        <w:t> </w:t>
      </w:r>
      <w:r>
        <w:rPr>
          <w:color w:val="FFFFFF"/>
        </w:rPr>
        <w:t>and</w:t>
      </w:r>
      <w:r>
        <w:rPr>
          <w:color w:val="FFFFFF"/>
          <w:spacing w:val="-13"/>
        </w:rPr>
        <w:t> </w:t>
      </w:r>
      <w:r>
        <w:rPr>
          <w:color w:val="FFFFFF"/>
        </w:rPr>
        <w:t>Regulations from 1 January 2022 to 31 August 2023</w:t>
      </w:r>
    </w:p>
    <w:p>
      <w:pPr>
        <w:pStyle w:val="BodyText"/>
        <w:spacing w:line="232" w:lineRule="auto" w:before="403"/>
        <w:ind w:left="720" w:right="1713"/>
      </w:pPr>
      <w:r>
        <w:rPr/>
        <w:t>Mapping</w:t>
      </w:r>
      <w:r>
        <w:rPr>
          <w:spacing w:val="-5"/>
        </w:rPr>
        <w:t> </w:t>
      </w:r>
      <w:r>
        <w:rPr/>
        <w:t>of</w:t>
      </w:r>
      <w:r>
        <w:rPr>
          <w:spacing w:val="-6"/>
        </w:rPr>
        <w:t> </w:t>
      </w:r>
      <w:r>
        <w:rPr/>
        <w:t>EU</w:t>
      </w:r>
      <w:r>
        <w:rPr>
          <w:spacing w:val="-5"/>
        </w:rPr>
        <w:t> </w:t>
      </w:r>
      <w:r>
        <w:rPr/>
        <w:t>directives</w:t>
      </w:r>
      <w:r>
        <w:rPr>
          <w:spacing w:val="-6"/>
        </w:rPr>
        <w:t> </w:t>
      </w:r>
      <w:r>
        <w:rPr/>
        <w:t>and</w:t>
      </w:r>
      <w:r>
        <w:rPr>
          <w:spacing w:val="-6"/>
        </w:rPr>
        <w:t> </w:t>
      </w:r>
      <w:r>
        <w:rPr/>
        <w:t>regulations</w:t>
      </w:r>
      <w:r>
        <w:rPr>
          <w:spacing w:val="-6"/>
        </w:rPr>
        <w:t> </w:t>
      </w:r>
      <w:r>
        <w:rPr/>
        <w:t>from1</w:t>
      </w:r>
      <w:r>
        <w:rPr>
          <w:spacing w:val="-5"/>
        </w:rPr>
        <w:t> </w:t>
      </w:r>
      <w:r>
        <w:rPr/>
        <w:t>January</w:t>
      </w:r>
      <w:r>
        <w:rPr>
          <w:spacing w:val="-5"/>
        </w:rPr>
        <w:t> </w:t>
      </w:r>
      <w:r>
        <w:rPr/>
        <w:t>2022</w:t>
      </w:r>
      <w:r>
        <w:rPr>
          <w:spacing w:val="-5"/>
        </w:rPr>
        <w:t> </w:t>
      </w:r>
      <w:r>
        <w:rPr/>
        <w:t>to</w:t>
      </w:r>
      <w:r>
        <w:rPr>
          <w:spacing w:val="-6"/>
        </w:rPr>
        <w:t> </w:t>
      </w:r>
      <w:r>
        <w:rPr/>
        <w:t>August</w:t>
      </w:r>
      <w:r>
        <w:rPr>
          <w:spacing w:val="-5"/>
        </w:rPr>
        <w:t> </w:t>
      </w:r>
      <w:r>
        <w:rPr/>
        <w:t>2023 are available by emailing the Equality Commission at </w:t>
      </w:r>
      <w:hyperlink r:id="rId178">
        <w:r>
          <w:rPr>
            <w:color w:val="1D71B8"/>
            <w:u w:val="single" w:color="1D71B8"/>
          </w:rPr>
          <w:t>DMU@equalityni.org</w:t>
        </w:r>
      </w:hyperlink>
    </w:p>
    <w:p>
      <w:pPr>
        <w:spacing w:after="0" w:line="232" w:lineRule="auto"/>
        <w:sectPr>
          <w:pgSz w:w="11910" w:h="16840"/>
          <w:pgMar w:top="54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33888">
                <wp:simplePos x="0" y="0"/>
                <wp:positionH relativeFrom="page">
                  <wp:posOffset>-2</wp:posOffset>
                </wp:positionH>
                <wp:positionV relativeFrom="page">
                  <wp:posOffset>0</wp:posOffset>
                </wp:positionV>
                <wp:extent cx="7560309" cy="6433185"/>
                <wp:effectExtent l="0" t="0" r="0" b="0"/>
                <wp:wrapNone/>
                <wp:docPr id="1197" name="Group 1197"/>
                <wp:cNvGraphicFramePr>
                  <a:graphicFrameLocks/>
                </wp:cNvGraphicFramePr>
                <a:graphic>
                  <a:graphicData uri="http://schemas.microsoft.com/office/word/2010/wordprocessingGroup">
                    <wpg:wgp>
                      <wpg:cNvPr id="1197" name="Group 1197"/>
                      <wpg:cNvGrpSpPr/>
                      <wpg:grpSpPr>
                        <a:xfrm>
                          <a:off x="0" y="0"/>
                          <a:ext cx="7560309" cy="6433185"/>
                          <a:chExt cx="7560309" cy="6433185"/>
                        </a:xfrm>
                      </wpg:grpSpPr>
                      <pic:pic>
                        <pic:nvPicPr>
                          <pic:cNvPr id="1198" name="Image 1198"/>
                          <pic:cNvPicPr/>
                        </pic:nvPicPr>
                        <pic:blipFill>
                          <a:blip r:embed="rId172" cstate="print"/>
                          <a:stretch>
                            <a:fillRect/>
                          </a:stretch>
                        </pic:blipFill>
                        <pic:spPr>
                          <a:xfrm>
                            <a:off x="2" y="0"/>
                            <a:ext cx="7559992" cy="3420008"/>
                          </a:xfrm>
                          <a:prstGeom prst="rect">
                            <a:avLst/>
                          </a:prstGeom>
                        </pic:spPr>
                      </pic:pic>
                      <wps:wsp>
                        <wps:cNvPr id="1199" name="Graphic 1199"/>
                        <wps:cNvSpPr/>
                        <wps:spPr>
                          <a:xfrm>
                            <a:off x="2" y="2250003"/>
                            <a:ext cx="7560309" cy="4183379"/>
                          </a:xfrm>
                          <a:custGeom>
                            <a:avLst/>
                            <a:gdLst/>
                            <a:ahLst/>
                            <a:cxnLst/>
                            <a:rect l="l" t="t" r="r" b="b"/>
                            <a:pathLst>
                              <a:path w="7560309" h="4183379">
                                <a:moveTo>
                                  <a:pt x="6840004" y="0"/>
                                </a:moveTo>
                                <a:lnTo>
                                  <a:pt x="0" y="0"/>
                                </a:lnTo>
                                <a:lnTo>
                                  <a:pt x="0" y="4182871"/>
                                </a:lnTo>
                                <a:lnTo>
                                  <a:pt x="7560005" y="4182872"/>
                                </a:lnTo>
                                <a:lnTo>
                                  <a:pt x="7560005" y="360345"/>
                                </a:lnTo>
                                <a:lnTo>
                                  <a:pt x="7521901" y="312599"/>
                                </a:lnTo>
                                <a:lnTo>
                                  <a:pt x="7491964" y="279558"/>
                                </a:lnTo>
                                <a:lnTo>
                                  <a:pt x="7460443" y="248038"/>
                                </a:lnTo>
                                <a:lnTo>
                                  <a:pt x="7427403" y="218100"/>
                                </a:lnTo>
                                <a:lnTo>
                                  <a:pt x="7392903" y="189808"/>
                                </a:lnTo>
                                <a:lnTo>
                                  <a:pt x="7357008" y="163222"/>
                                </a:lnTo>
                                <a:lnTo>
                                  <a:pt x="7319779" y="138406"/>
                                </a:lnTo>
                                <a:lnTo>
                                  <a:pt x="7281278" y="115422"/>
                                </a:lnTo>
                                <a:lnTo>
                                  <a:pt x="7241567" y="94332"/>
                                </a:lnTo>
                                <a:lnTo>
                                  <a:pt x="7200709" y="75197"/>
                                </a:lnTo>
                                <a:lnTo>
                                  <a:pt x="7158766" y="58081"/>
                                </a:lnTo>
                                <a:lnTo>
                                  <a:pt x="7115800" y="43044"/>
                                </a:lnTo>
                                <a:lnTo>
                                  <a:pt x="7071873" y="30151"/>
                                </a:lnTo>
                                <a:lnTo>
                                  <a:pt x="7027047" y="19462"/>
                                </a:lnTo>
                                <a:lnTo>
                                  <a:pt x="6981385" y="11041"/>
                                </a:lnTo>
                                <a:lnTo>
                                  <a:pt x="6934949" y="4948"/>
                                </a:lnTo>
                                <a:lnTo>
                                  <a:pt x="6887801" y="1247"/>
                                </a:lnTo>
                                <a:lnTo>
                                  <a:pt x="6840004" y="0"/>
                                </a:lnTo>
                                <a:close/>
                              </a:path>
                            </a:pathLst>
                          </a:custGeom>
                          <a:solidFill>
                            <a:srgbClr val="FFFFFF"/>
                          </a:solidFill>
                        </wps:spPr>
                        <wps:bodyPr wrap="square" lIns="0" tIns="0" rIns="0" bIns="0" rtlCol="0">
                          <a:prstTxWarp prst="textNoShape">
                            <a:avLst/>
                          </a:prstTxWarp>
                          <a:noAutofit/>
                        </wps:bodyPr>
                      </wps:wsp>
                      <wps:wsp>
                        <wps:cNvPr id="1200" name="Graphic 1200"/>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201" name="Graphic 1201"/>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506.55pt;mso-position-horizontal-relative:page;mso-position-vertical-relative:page;z-index:-19182592" id="docshapegroup986" coordorigin="0,0" coordsize="11906,10131">
                <v:shape style="position:absolute;left:0;top:0;width:11906;height:5386" type="#_x0000_t75" id="docshape987" stroked="false">
                  <v:imagedata r:id="rId172" o:title=""/>
                </v:shape>
                <v:shape style="position:absolute;left:0;top:3543;width:11906;height:6588" id="docshape988" coordorigin="0,3543" coordsize="11906,6588" path="m10772,3543l0,3543,0,10131,11906,10131,11906,4111,11846,4036,11798,3984,11749,3934,11697,3887,11642,3842,11586,3800,11527,3761,11467,3725,11404,3692,11340,3662,11274,3635,11206,3611,11137,3591,11066,3574,10994,3561,10921,3551,10847,3545,10772,3543xe" filled="true" fillcolor="#ffffff" stroked="false">
                  <v:path arrowok="t"/>
                  <v:fill type="solid"/>
                </v:shape>
                <v:shape style="position:absolute;left:0;top:0;width:11906;height:1819" id="docshape989"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tabs>
          <w:tab w:pos="10768" w:val="left" w:leader="none"/>
        </w:tabs>
        <w:spacing w:before="1"/>
        <w:ind w:left="4140" w:right="0" w:firstLine="0"/>
        <w:jc w:val="left"/>
        <w:rPr>
          <w:b/>
          <w:sz w:val="28"/>
        </w:rPr>
      </w:pPr>
      <w:bookmarkStart w:name="Appendix 3: Notes on Methodology in Spec" w:id="236"/>
      <w:bookmarkEnd w:id="236"/>
      <w:r>
        <w:rPr/>
      </w:r>
      <w:bookmarkStart w:name="_bookmark96" w:id="237"/>
      <w:bookmarkEnd w:id="237"/>
      <w:r>
        <w:rPr/>
      </w:r>
      <w:r>
        <w:rPr>
          <w:b/>
          <w:color w:val="FFFFFF"/>
          <w:sz w:val="24"/>
        </w:rPr>
        <w:t>EU</w:t>
      </w:r>
      <w:r>
        <w:rPr>
          <w:b/>
          <w:color w:val="FFFFFF"/>
          <w:spacing w:val="-5"/>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r>
        <w:rPr>
          <w:b/>
          <w:color w:val="FFFFFF"/>
          <w:sz w:val="24"/>
        </w:rPr>
        <w:tab/>
      </w:r>
      <w:r>
        <w:rPr>
          <w:b/>
          <w:color w:val="FFFFFF"/>
          <w:spacing w:val="-5"/>
          <w:position w:val="-1"/>
          <w:sz w:val="28"/>
        </w:rPr>
        <w:t>151</w:t>
      </w:r>
    </w:p>
    <w:p>
      <w:pPr>
        <w:pStyle w:val="BodyText"/>
        <w:spacing w:before="40"/>
        <w:rPr>
          <w:b/>
          <w:sz w:val="52"/>
        </w:rPr>
      </w:pPr>
    </w:p>
    <w:p>
      <w:pPr>
        <w:spacing w:line="597" w:lineRule="exact" w:before="0"/>
        <w:ind w:left="1117" w:right="0" w:firstLine="0"/>
        <w:jc w:val="left"/>
        <w:rPr>
          <w:sz w:val="52"/>
        </w:rPr>
      </w:pPr>
      <w:r>
        <w:rPr>
          <w:color w:val="FFFFFF"/>
          <w:sz w:val="52"/>
        </w:rPr>
        <w:t>Appendix</w:t>
      </w:r>
      <w:r>
        <w:rPr>
          <w:color w:val="FFFFFF"/>
          <w:spacing w:val="-8"/>
          <w:sz w:val="52"/>
        </w:rPr>
        <w:t> </w:t>
      </w:r>
      <w:r>
        <w:rPr>
          <w:color w:val="FFFFFF"/>
          <w:spacing w:val="-5"/>
          <w:sz w:val="52"/>
        </w:rPr>
        <w:t>3:</w:t>
      </w:r>
    </w:p>
    <w:p>
      <w:pPr>
        <w:pStyle w:val="Heading1"/>
        <w:spacing w:line="211" w:lineRule="auto" w:before="22"/>
        <w:ind w:right="1886"/>
      </w:pPr>
      <w:r>
        <w:rPr>
          <w:color w:val="FFFFFF"/>
        </w:rPr>
        <w:t>Notes</w:t>
      </w:r>
      <w:r>
        <w:rPr>
          <w:color w:val="FFFFFF"/>
          <w:spacing w:val="-12"/>
        </w:rPr>
        <w:t> </w:t>
      </w:r>
      <w:r>
        <w:rPr>
          <w:color w:val="FFFFFF"/>
        </w:rPr>
        <w:t>on</w:t>
      </w:r>
      <w:r>
        <w:rPr>
          <w:color w:val="FFFFFF"/>
          <w:spacing w:val="-12"/>
        </w:rPr>
        <w:t> </w:t>
      </w:r>
      <w:r>
        <w:rPr>
          <w:color w:val="FFFFFF"/>
        </w:rPr>
        <w:t>Methodology</w:t>
      </w:r>
      <w:r>
        <w:rPr>
          <w:color w:val="FFFFFF"/>
          <w:spacing w:val="-12"/>
        </w:rPr>
        <w:t> </w:t>
      </w:r>
      <w:r>
        <w:rPr>
          <w:color w:val="FFFFFF"/>
        </w:rPr>
        <w:t>in</w:t>
      </w:r>
      <w:r>
        <w:rPr>
          <w:color w:val="FFFFFF"/>
          <w:spacing w:val="-12"/>
        </w:rPr>
        <w:t> </w:t>
      </w:r>
      <w:r>
        <w:rPr>
          <w:color w:val="FFFFFF"/>
        </w:rPr>
        <w:t>Specific </w:t>
      </w:r>
      <w:r>
        <w:rPr>
          <w:color w:val="FFFFFF"/>
          <w:spacing w:val="-2"/>
        </w:rPr>
        <w:t>Chapters</w:t>
      </w:r>
    </w:p>
    <w:p>
      <w:pPr>
        <w:pStyle w:val="BodyText"/>
        <w:spacing w:line="232" w:lineRule="auto" w:before="404"/>
        <w:ind w:left="1117" w:right="1087"/>
      </w:pPr>
      <w:r>
        <w:rPr/>
        <w:t>Chapter</w:t>
      </w:r>
      <w:r>
        <w:rPr>
          <w:spacing w:val="-8"/>
        </w:rPr>
        <w:t> </w:t>
      </w:r>
      <w:r>
        <w:rPr/>
        <w:t>4:</w:t>
      </w:r>
      <w:r>
        <w:rPr>
          <w:spacing w:val="-8"/>
        </w:rPr>
        <w:t> </w:t>
      </w:r>
      <w:r>
        <w:rPr/>
        <w:t>Tracking</w:t>
      </w:r>
      <w:r>
        <w:rPr>
          <w:spacing w:val="-8"/>
        </w:rPr>
        <w:t> </w:t>
      </w:r>
      <w:r>
        <w:rPr/>
        <w:t>EU</w:t>
      </w:r>
      <w:r>
        <w:rPr>
          <w:spacing w:val="-8"/>
        </w:rPr>
        <w:t> </w:t>
      </w:r>
      <w:r>
        <w:rPr/>
        <w:t>Legal</w:t>
      </w:r>
      <w:r>
        <w:rPr>
          <w:spacing w:val="-8"/>
        </w:rPr>
        <w:t> </w:t>
      </w:r>
      <w:r>
        <w:rPr/>
        <w:t>Developments</w:t>
      </w:r>
      <w:r>
        <w:rPr>
          <w:spacing w:val="-8"/>
        </w:rPr>
        <w:t> </w:t>
      </w:r>
      <w:r>
        <w:rPr/>
        <w:t>since</w:t>
      </w:r>
      <w:r>
        <w:rPr>
          <w:spacing w:val="-8"/>
        </w:rPr>
        <w:t> </w:t>
      </w:r>
      <w:r>
        <w:rPr/>
        <w:t>January</w:t>
      </w:r>
      <w:r>
        <w:rPr>
          <w:spacing w:val="-8"/>
        </w:rPr>
        <w:t> </w:t>
      </w:r>
      <w:r>
        <w:rPr/>
        <w:t>2022:</w:t>
      </w:r>
      <w:r>
        <w:rPr>
          <w:spacing w:val="-8"/>
        </w:rPr>
        <w:t> </w:t>
      </w:r>
      <w:r>
        <w:rPr/>
        <w:t>Adopted</w:t>
      </w:r>
      <w:r>
        <w:rPr>
          <w:spacing w:val="-8"/>
        </w:rPr>
        <w:t> </w:t>
      </w:r>
      <w:r>
        <w:rPr/>
        <w:t>and Proposed Directives and Regulations</w:t>
      </w:r>
    </w:p>
    <w:p>
      <w:pPr>
        <w:pStyle w:val="BodyText"/>
        <w:spacing w:line="232" w:lineRule="auto" w:before="280"/>
        <w:ind w:left="1117" w:right="738"/>
      </w:pPr>
      <w:r>
        <w:rPr/>
        <w:t>We</w:t>
      </w:r>
      <w:r>
        <w:rPr>
          <w:spacing w:val="-5"/>
        </w:rPr>
        <w:t> </w:t>
      </w:r>
      <w:r>
        <w:rPr/>
        <w:t>have</w:t>
      </w:r>
      <w:r>
        <w:rPr>
          <w:spacing w:val="-5"/>
        </w:rPr>
        <w:t> </w:t>
      </w:r>
      <w:r>
        <w:rPr/>
        <w:t>used</w:t>
      </w:r>
      <w:r>
        <w:rPr>
          <w:spacing w:val="-6"/>
        </w:rPr>
        <w:t> </w:t>
      </w:r>
      <w:r>
        <w:rPr/>
        <w:t>a</w:t>
      </w:r>
      <w:r>
        <w:rPr>
          <w:spacing w:val="-6"/>
        </w:rPr>
        <w:t> </w:t>
      </w:r>
      <w:r>
        <w:rPr/>
        <w:t>rigorous</w:t>
      </w:r>
      <w:r>
        <w:rPr>
          <w:spacing w:val="-6"/>
        </w:rPr>
        <w:t> </w:t>
      </w:r>
      <w:r>
        <w:rPr/>
        <w:t>methodology</w:t>
      </w:r>
      <w:r>
        <w:rPr>
          <w:spacing w:val="-5"/>
        </w:rPr>
        <w:t> </w:t>
      </w:r>
      <w:r>
        <w:rPr/>
        <w:t>allowing</w:t>
      </w:r>
      <w:r>
        <w:rPr>
          <w:spacing w:val="-5"/>
        </w:rPr>
        <w:t> </w:t>
      </w:r>
      <w:r>
        <w:rPr/>
        <w:t>us</w:t>
      </w:r>
      <w:r>
        <w:rPr>
          <w:spacing w:val="-6"/>
        </w:rPr>
        <w:t> </w:t>
      </w:r>
      <w:r>
        <w:rPr/>
        <w:t>to</w:t>
      </w:r>
      <w:r>
        <w:rPr>
          <w:spacing w:val="-6"/>
        </w:rPr>
        <w:t> </w:t>
      </w:r>
      <w:r>
        <w:rPr/>
        <w:t>update</w:t>
      </w:r>
      <w:r>
        <w:rPr>
          <w:spacing w:val="-5"/>
        </w:rPr>
        <w:t> </w:t>
      </w:r>
      <w:r>
        <w:rPr/>
        <w:t>on</w:t>
      </w:r>
      <w:r>
        <w:rPr>
          <w:spacing w:val="-6"/>
        </w:rPr>
        <w:t> </w:t>
      </w:r>
      <w:r>
        <w:rPr/>
        <w:t>and</w:t>
      </w:r>
      <w:r>
        <w:rPr>
          <w:spacing w:val="-6"/>
        </w:rPr>
        <w:t> </w:t>
      </w:r>
      <w:r>
        <w:rPr/>
        <w:t>identifies</w:t>
      </w:r>
      <w:r>
        <w:rPr>
          <w:spacing w:val="-6"/>
        </w:rPr>
        <w:t> </w:t>
      </w:r>
      <w:r>
        <w:rPr/>
        <w:t>EU legal</w:t>
      </w:r>
      <w:r>
        <w:rPr>
          <w:spacing w:val="-6"/>
        </w:rPr>
        <w:t> </w:t>
      </w:r>
      <w:r>
        <w:rPr/>
        <w:t>developments</w:t>
      </w:r>
      <w:r>
        <w:rPr>
          <w:spacing w:val="-6"/>
        </w:rPr>
        <w:t> </w:t>
      </w:r>
      <w:r>
        <w:rPr/>
        <w:t>from</w:t>
      </w:r>
      <w:r>
        <w:rPr>
          <w:spacing w:val="-5"/>
        </w:rPr>
        <w:t> </w:t>
      </w:r>
      <w:r>
        <w:rPr/>
        <w:t>1</w:t>
      </w:r>
      <w:r>
        <w:rPr>
          <w:spacing w:val="-5"/>
        </w:rPr>
        <w:t> </w:t>
      </w:r>
      <w:r>
        <w:rPr/>
        <w:t>January</w:t>
      </w:r>
      <w:r>
        <w:rPr>
          <w:spacing w:val="-5"/>
        </w:rPr>
        <w:t> </w:t>
      </w:r>
      <w:r>
        <w:rPr/>
        <w:t>2022</w:t>
      </w:r>
      <w:r>
        <w:rPr>
          <w:spacing w:val="-5"/>
        </w:rPr>
        <w:t> </w:t>
      </w:r>
      <w:r>
        <w:rPr/>
        <w:t>to</w:t>
      </w:r>
      <w:r>
        <w:rPr>
          <w:spacing w:val="-6"/>
        </w:rPr>
        <w:t> </w:t>
      </w:r>
      <w:r>
        <w:rPr/>
        <w:t>31</w:t>
      </w:r>
      <w:r>
        <w:rPr>
          <w:spacing w:val="-5"/>
        </w:rPr>
        <w:t> </w:t>
      </w:r>
      <w:r>
        <w:rPr/>
        <w:t>August</w:t>
      </w:r>
      <w:r>
        <w:rPr>
          <w:spacing w:val="-5"/>
        </w:rPr>
        <w:t> </w:t>
      </w:r>
      <w:r>
        <w:rPr/>
        <w:t>2023</w:t>
      </w:r>
      <w:r>
        <w:rPr>
          <w:spacing w:val="-5"/>
        </w:rPr>
        <w:t> </w:t>
      </w:r>
      <w:r>
        <w:rPr/>
        <w:t>regarding</w:t>
      </w:r>
      <w:r>
        <w:rPr>
          <w:spacing w:val="-5"/>
        </w:rPr>
        <w:t> </w:t>
      </w:r>
      <w:r>
        <w:rPr/>
        <w:t>adopted</w:t>
      </w:r>
      <w:r>
        <w:rPr>
          <w:spacing w:val="-6"/>
        </w:rPr>
        <w:t> </w:t>
      </w:r>
      <w:r>
        <w:rPr/>
        <w:t>or proposed EU law (directives and regulations), which relate to human rights and equality, and which did not apply in NI domestic law before the end of the Brexit transition period.</w:t>
      </w:r>
    </w:p>
    <w:p>
      <w:pPr>
        <w:spacing w:line="232" w:lineRule="auto" w:before="276"/>
        <w:ind w:left="1117" w:right="1198" w:firstLine="0"/>
        <w:jc w:val="left"/>
        <w:rPr>
          <w:sz w:val="28"/>
        </w:rPr>
      </w:pPr>
      <w:r>
        <w:rPr>
          <w:b/>
          <w:sz w:val="28"/>
        </w:rPr>
        <w:t>To</w:t>
      </w:r>
      <w:r>
        <w:rPr>
          <w:b/>
          <w:spacing w:val="-8"/>
          <w:sz w:val="28"/>
        </w:rPr>
        <w:t> </w:t>
      </w:r>
      <w:r>
        <w:rPr>
          <w:b/>
          <w:sz w:val="28"/>
        </w:rPr>
        <w:t>identify</w:t>
      </w:r>
      <w:r>
        <w:rPr>
          <w:b/>
          <w:spacing w:val="-8"/>
          <w:sz w:val="28"/>
        </w:rPr>
        <w:t> </w:t>
      </w:r>
      <w:r>
        <w:rPr>
          <w:b/>
          <w:sz w:val="28"/>
        </w:rPr>
        <w:t>adopted</w:t>
      </w:r>
      <w:r>
        <w:rPr>
          <w:b/>
          <w:spacing w:val="-8"/>
          <w:sz w:val="28"/>
        </w:rPr>
        <w:t> </w:t>
      </w:r>
      <w:r>
        <w:rPr>
          <w:b/>
          <w:sz w:val="28"/>
        </w:rPr>
        <w:t>EU</w:t>
      </w:r>
      <w:r>
        <w:rPr>
          <w:b/>
          <w:spacing w:val="-8"/>
          <w:sz w:val="28"/>
        </w:rPr>
        <w:t> </w:t>
      </w:r>
      <w:r>
        <w:rPr>
          <w:b/>
          <w:sz w:val="28"/>
        </w:rPr>
        <w:t>directives,</w:t>
      </w:r>
      <w:r>
        <w:rPr>
          <w:b/>
          <w:spacing w:val="-9"/>
          <w:sz w:val="28"/>
        </w:rPr>
        <w:t> </w:t>
      </w:r>
      <w:r>
        <w:rPr>
          <w:sz w:val="28"/>
        </w:rPr>
        <w:t>we</w:t>
      </w:r>
      <w:r>
        <w:rPr>
          <w:spacing w:val="-8"/>
          <w:sz w:val="28"/>
        </w:rPr>
        <w:t> </w:t>
      </w:r>
      <w:r>
        <w:rPr>
          <w:sz w:val="28"/>
        </w:rPr>
        <w:t>used</w:t>
      </w:r>
      <w:r>
        <w:rPr>
          <w:spacing w:val="-9"/>
          <w:sz w:val="28"/>
        </w:rPr>
        <w:t> </w:t>
      </w:r>
      <w:r>
        <w:rPr>
          <w:sz w:val="28"/>
        </w:rPr>
        <w:t>the</w:t>
      </w:r>
      <w:r>
        <w:rPr>
          <w:spacing w:val="-8"/>
          <w:sz w:val="28"/>
        </w:rPr>
        <w:t> </w:t>
      </w:r>
      <w:r>
        <w:rPr>
          <w:sz w:val="28"/>
        </w:rPr>
        <w:t>official</w:t>
      </w:r>
      <w:r>
        <w:rPr>
          <w:spacing w:val="-9"/>
          <w:sz w:val="28"/>
        </w:rPr>
        <w:t> </w:t>
      </w:r>
      <w:r>
        <w:rPr>
          <w:sz w:val="28"/>
        </w:rPr>
        <w:t>EU</w:t>
      </w:r>
      <w:r>
        <w:rPr>
          <w:spacing w:val="-8"/>
          <w:sz w:val="28"/>
        </w:rPr>
        <w:t> </w:t>
      </w:r>
      <w:r>
        <w:rPr>
          <w:sz w:val="28"/>
        </w:rPr>
        <w:t>online</w:t>
      </w:r>
      <w:r>
        <w:rPr>
          <w:spacing w:val="-8"/>
          <w:sz w:val="28"/>
        </w:rPr>
        <w:t> </w:t>
      </w:r>
      <w:r>
        <w:rPr>
          <w:sz w:val="28"/>
        </w:rPr>
        <w:t>legal</w:t>
      </w:r>
      <w:r>
        <w:rPr>
          <w:spacing w:val="-9"/>
          <w:sz w:val="28"/>
        </w:rPr>
        <w:t> </w:t>
      </w:r>
      <w:r>
        <w:rPr>
          <w:sz w:val="28"/>
        </w:rPr>
        <w:t>database EUR-lex,</w:t>
      </w:r>
      <w:r>
        <w:rPr>
          <w:sz w:val="28"/>
          <w:vertAlign w:val="superscript"/>
        </w:rPr>
        <w:t>705</w:t>
      </w:r>
      <w:r>
        <w:rPr>
          <w:sz w:val="28"/>
          <w:vertAlign w:val="baseline"/>
        </w:rPr>
        <w:t> using the following parameters:</w:t>
      </w:r>
    </w:p>
    <w:p>
      <w:pPr>
        <w:pStyle w:val="ListParagraph"/>
        <w:numPr>
          <w:ilvl w:val="0"/>
          <w:numId w:val="65"/>
        </w:numPr>
        <w:tabs>
          <w:tab w:pos="1457" w:val="left" w:leader="none"/>
        </w:tabs>
        <w:spacing w:line="343" w:lineRule="exact" w:before="259" w:after="0"/>
        <w:ind w:left="1457" w:right="0" w:hanging="340"/>
        <w:jc w:val="left"/>
        <w:rPr>
          <w:sz w:val="28"/>
        </w:rPr>
      </w:pPr>
      <w:r>
        <w:rPr>
          <w:sz w:val="28"/>
        </w:rPr>
        <w:t>Domain:</w:t>
      </w:r>
      <w:r>
        <w:rPr>
          <w:spacing w:val="-2"/>
          <w:sz w:val="28"/>
        </w:rPr>
        <w:t> </w:t>
      </w:r>
      <w:r>
        <w:rPr>
          <w:sz w:val="28"/>
        </w:rPr>
        <w:t>EU</w:t>
      </w:r>
      <w:r>
        <w:rPr>
          <w:spacing w:val="-2"/>
          <w:sz w:val="28"/>
        </w:rPr>
        <w:t> </w:t>
      </w:r>
      <w:r>
        <w:rPr>
          <w:sz w:val="28"/>
        </w:rPr>
        <w:t>law</w:t>
      </w:r>
      <w:r>
        <w:rPr>
          <w:spacing w:val="-2"/>
          <w:sz w:val="28"/>
        </w:rPr>
        <w:t> </w:t>
      </w:r>
      <w:r>
        <w:rPr>
          <w:sz w:val="28"/>
        </w:rPr>
        <w:t>and</w:t>
      </w:r>
      <w:r>
        <w:rPr>
          <w:spacing w:val="-2"/>
          <w:sz w:val="28"/>
        </w:rPr>
        <w:t> </w:t>
      </w:r>
      <w:r>
        <w:rPr>
          <w:sz w:val="28"/>
        </w:rPr>
        <w:t>case-</w:t>
      </w:r>
      <w:r>
        <w:rPr>
          <w:spacing w:val="-5"/>
          <w:sz w:val="28"/>
        </w:rPr>
        <w:t>law</w:t>
      </w:r>
    </w:p>
    <w:p>
      <w:pPr>
        <w:pStyle w:val="ListParagraph"/>
        <w:numPr>
          <w:ilvl w:val="0"/>
          <w:numId w:val="65"/>
        </w:numPr>
        <w:tabs>
          <w:tab w:pos="1457" w:val="left" w:leader="none"/>
        </w:tabs>
        <w:spacing w:line="330" w:lineRule="exact" w:before="0" w:after="0"/>
        <w:ind w:left="1457" w:right="0" w:hanging="340"/>
        <w:jc w:val="left"/>
        <w:rPr>
          <w:sz w:val="28"/>
        </w:rPr>
      </w:pPr>
      <w:r>
        <w:rPr>
          <w:sz w:val="28"/>
        </w:rPr>
        <w:t>Subdomain:</w:t>
      </w:r>
      <w:r>
        <w:rPr>
          <w:spacing w:val="-4"/>
          <w:sz w:val="28"/>
        </w:rPr>
        <w:t> </w:t>
      </w:r>
      <w:r>
        <w:rPr>
          <w:sz w:val="28"/>
        </w:rPr>
        <w:t>Legal</w:t>
      </w:r>
      <w:r>
        <w:rPr>
          <w:spacing w:val="-3"/>
          <w:sz w:val="28"/>
        </w:rPr>
        <w:t> </w:t>
      </w:r>
      <w:r>
        <w:rPr>
          <w:spacing w:val="-4"/>
          <w:sz w:val="28"/>
        </w:rPr>
        <w:t>acts</w:t>
      </w:r>
    </w:p>
    <w:p>
      <w:pPr>
        <w:pStyle w:val="ListParagraph"/>
        <w:numPr>
          <w:ilvl w:val="0"/>
          <w:numId w:val="65"/>
        </w:numPr>
        <w:tabs>
          <w:tab w:pos="1457" w:val="left" w:leader="none"/>
        </w:tabs>
        <w:spacing w:line="330" w:lineRule="exact" w:before="0" w:after="0"/>
        <w:ind w:left="1457" w:right="0" w:hanging="340"/>
        <w:jc w:val="left"/>
        <w:rPr>
          <w:sz w:val="28"/>
        </w:rPr>
      </w:pPr>
      <w:r>
        <w:rPr>
          <w:sz w:val="28"/>
        </w:rPr>
        <w:t>Type</w:t>
      </w:r>
      <w:r>
        <w:rPr>
          <w:spacing w:val="-5"/>
          <w:sz w:val="28"/>
        </w:rPr>
        <w:t> </w:t>
      </w:r>
      <w:r>
        <w:rPr>
          <w:sz w:val="28"/>
        </w:rPr>
        <w:t>of</w:t>
      </w:r>
      <w:r>
        <w:rPr>
          <w:spacing w:val="-4"/>
          <w:sz w:val="28"/>
        </w:rPr>
        <w:t> </w:t>
      </w:r>
      <w:r>
        <w:rPr>
          <w:sz w:val="28"/>
        </w:rPr>
        <w:t>act:</w:t>
      </w:r>
      <w:r>
        <w:rPr>
          <w:spacing w:val="-5"/>
          <w:sz w:val="28"/>
        </w:rPr>
        <w:t> </w:t>
      </w:r>
      <w:r>
        <w:rPr>
          <w:sz w:val="28"/>
        </w:rPr>
        <w:t>All</w:t>
      </w:r>
      <w:r>
        <w:rPr>
          <w:spacing w:val="-4"/>
          <w:sz w:val="28"/>
        </w:rPr>
        <w:t> </w:t>
      </w:r>
      <w:r>
        <w:rPr>
          <w:spacing w:val="-2"/>
          <w:sz w:val="28"/>
        </w:rPr>
        <w:t>directives</w:t>
      </w:r>
    </w:p>
    <w:p>
      <w:pPr>
        <w:pStyle w:val="ListParagraph"/>
        <w:numPr>
          <w:ilvl w:val="0"/>
          <w:numId w:val="65"/>
        </w:numPr>
        <w:tabs>
          <w:tab w:pos="1457" w:val="left" w:leader="none"/>
        </w:tabs>
        <w:spacing w:line="330" w:lineRule="exact" w:before="0" w:after="0"/>
        <w:ind w:left="1457" w:right="0" w:hanging="340"/>
        <w:jc w:val="left"/>
        <w:rPr>
          <w:sz w:val="28"/>
        </w:rPr>
      </w:pPr>
      <w:r>
        <w:rPr>
          <w:sz w:val="28"/>
        </w:rPr>
        <w:t>Date:</w:t>
      </w:r>
      <w:r>
        <w:rPr>
          <w:spacing w:val="-12"/>
          <w:sz w:val="28"/>
        </w:rPr>
        <w:t> </w:t>
      </w:r>
      <w:r>
        <w:rPr>
          <w:sz w:val="28"/>
        </w:rPr>
        <w:t>From:</w:t>
      </w:r>
      <w:r>
        <w:rPr>
          <w:spacing w:val="-9"/>
          <w:sz w:val="28"/>
        </w:rPr>
        <w:t> </w:t>
      </w:r>
      <w:r>
        <w:rPr>
          <w:sz w:val="28"/>
        </w:rPr>
        <w:t>01/01/2022,</w:t>
      </w:r>
      <w:r>
        <w:rPr>
          <w:spacing w:val="-10"/>
          <w:sz w:val="28"/>
        </w:rPr>
        <w:t> </w:t>
      </w:r>
      <w:r>
        <w:rPr>
          <w:sz w:val="28"/>
        </w:rPr>
        <w:t>To:</w:t>
      </w:r>
      <w:r>
        <w:rPr>
          <w:spacing w:val="-9"/>
          <w:sz w:val="28"/>
        </w:rPr>
        <w:t> </w:t>
      </w:r>
      <w:r>
        <w:rPr>
          <w:spacing w:val="-2"/>
          <w:sz w:val="28"/>
        </w:rPr>
        <w:t>31/08/2023,</w:t>
      </w:r>
    </w:p>
    <w:p>
      <w:pPr>
        <w:pStyle w:val="ListParagraph"/>
        <w:numPr>
          <w:ilvl w:val="0"/>
          <w:numId w:val="65"/>
        </w:numPr>
        <w:tabs>
          <w:tab w:pos="1457" w:val="left" w:leader="none"/>
        </w:tabs>
        <w:spacing w:line="330" w:lineRule="exact" w:before="0" w:after="0"/>
        <w:ind w:left="1457" w:right="0" w:hanging="340"/>
        <w:jc w:val="left"/>
        <w:rPr>
          <w:sz w:val="28"/>
        </w:rPr>
      </w:pPr>
      <w:r>
        <w:rPr>
          <w:sz w:val="28"/>
        </w:rPr>
        <w:t>Published</w:t>
      </w:r>
      <w:r>
        <w:rPr>
          <w:spacing w:val="-5"/>
          <w:sz w:val="28"/>
        </w:rPr>
        <w:t> </w:t>
      </w:r>
      <w:r>
        <w:rPr>
          <w:sz w:val="28"/>
        </w:rPr>
        <w:t>in:</w:t>
      </w:r>
      <w:r>
        <w:rPr>
          <w:spacing w:val="-4"/>
          <w:sz w:val="28"/>
        </w:rPr>
        <w:t> </w:t>
      </w:r>
      <w:r>
        <w:rPr>
          <w:spacing w:val="-2"/>
          <w:sz w:val="28"/>
        </w:rPr>
        <w:t>English</w:t>
      </w:r>
    </w:p>
    <w:p>
      <w:pPr>
        <w:pStyle w:val="ListParagraph"/>
        <w:numPr>
          <w:ilvl w:val="0"/>
          <w:numId w:val="65"/>
        </w:numPr>
        <w:tabs>
          <w:tab w:pos="1457" w:val="left" w:leader="none"/>
        </w:tabs>
        <w:spacing w:line="330" w:lineRule="exact" w:before="0" w:after="0"/>
        <w:ind w:left="1457" w:right="0" w:hanging="340"/>
        <w:jc w:val="left"/>
        <w:rPr>
          <w:sz w:val="28"/>
        </w:rPr>
      </w:pPr>
      <w:r>
        <w:rPr>
          <w:sz w:val="28"/>
        </w:rPr>
        <w:t>Search</w:t>
      </w:r>
      <w:r>
        <w:rPr>
          <w:spacing w:val="-5"/>
          <w:sz w:val="28"/>
        </w:rPr>
        <w:t> </w:t>
      </w:r>
      <w:r>
        <w:rPr>
          <w:sz w:val="28"/>
        </w:rPr>
        <w:t>language:</w:t>
      </w:r>
      <w:r>
        <w:rPr>
          <w:spacing w:val="-4"/>
          <w:sz w:val="28"/>
        </w:rPr>
        <w:t> </w:t>
      </w:r>
      <w:r>
        <w:rPr>
          <w:spacing w:val="-2"/>
          <w:sz w:val="28"/>
        </w:rPr>
        <w:t>English</w:t>
      </w:r>
    </w:p>
    <w:p>
      <w:pPr>
        <w:pStyle w:val="ListParagraph"/>
        <w:numPr>
          <w:ilvl w:val="0"/>
          <w:numId w:val="65"/>
        </w:numPr>
        <w:tabs>
          <w:tab w:pos="1457" w:val="left" w:leader="none"/>
        </w:tabs>
        <w:spacing w:line="343" w:lineRule="exact" w:before="0" w:after="0"/>
        <w:ind w:left="1457" w:right="0" w:hanging="340"/>
        <w:jc w:val="left"/>
        <w:rPr>
          <w:sz w:val="28"/>
        </w:rPr>
      </w:pPr>
      <w:r>
        <w:rPr>
          <w:sz w:val="28"/>
        </w:rPr>
        <w:t>Date</w:t>
      </w:r>
      <w:r>
        <w:rPr>
          <w:spacing w:val="-6"/>
          <w:sz w:val="28"/>
        </w:rPr>
        <w:t> </w:t>
      </w:r>
      <w:r>
        <w:rPr>
          <w:sz w:val="28"/>
        </w:rPr>
        <w:t>of</w:t>
      </w:r>
      <w:r>
        <w:rPr>
          <w:spacing w:val="-6"/>
          <w:sz w:val="28"/>
        </w:rPr>
        <w:t> </w:t>
      </w:r>
      <w:r>
        <w:rPr>
          <w:sz w:val="28"/>
        </w:rPr>
        <w:t>document:</w:t>
      </w:r>
      <w:r>
        <w:rPr>
          <w:spacing w:val="-5"/>
          <w:sz w:val="28"/>
        </w:rPr>
        <w:t> </w:t>
      </w:r>
      <w:r>
        <w:rPr>
          <w:sz w:val="28"/>
        </w:rPr>
        <w:t>2022</w:t>
      </w:r>
      <w:r>
        <w:rPr>
          <w:spacing w:val="-5"/>
          <w:sz w:val="28"/>
        </w:rPr>
        <w:t> </w:t>
      </w:r>
      <w:r>
        <w:rPr>
          <w:sz w:val="28"/>
        </w:rPr>
        <w:t>+</w:t>
      </w:r>
      <w:r>
        <w:rPr>
          <w:spacing w:val="-6"/>
          <w:sz w:val="28"/>
        </w:rPr>
        <w:t> </w:t>
      </w:r>
      <w:r>
        <w:rPr>
          <w:sz w:val="28"/>
        </w:rPr>
        <w:t>2023</w:t>
      </w:r>
      <w:r>
        <w:rPr>
          <w:spacing w:val="-5"/>
          <w:sz w:val="28"/>
        </w:rPr>
        <w:t> </w:t>
      </w:r>
      <w:r>
        <w:rPr>
          <w:sz w:val="28"/>
        </w:rPr>
        <w:t>(cut-off:</w:t>
      </w:r>
      <w:r>
        <w:rPr>
          <w:spacing w:val="-5"/>
          <w:sz w:val="28"/>
        </w:rPr>
        <w:t> </w:t>
      </w:r>
      <w:r>
        <w:rPr>
          <w:spacing w:val="-2"/>
          <w:sz w:val="28"/>
        </w:rPr>
        <w:t>31/08/2023)</w:t>
      </w:r>
    </w:p>
    <w:p>
      <w:pPr>
        <w:pStyle w:val="BodyText"/>
        <w:spacing w:line="336" w:lineRule="exact" w:before="271"/>
        <w:ind w:left="1117"/>
      </w:pPr>
      <w:r>
        <w:rPr/>
        <w:t>Results:</w:t>
      </w:r>
      <w:r>
        <w:rPr>
          <w:spacing w:val="-4"/>
        </w:rPr>
        <w:t> </w:t>
      </w:r>
      <w:r>
        <w:rPr/>
        <w:t>52</w:t>
      </w:r>
      <w:r>
        <w:rPr>
          <w:spacing w:val="-4"/>
        </w:rPr>
        <w:t> </w:t>
      </w:r>
      <w:r>
        <w:rPr/>
        <w:t>EU</w:t>
      </w:r>
      <w:r>
        <w:rPr>
          <w:spacing w:val="-3"/>
        </w:rPr>
        <w:t> </w:t>
      </w:r>
      <w:r>
        <w:rPr/>
        <w:t>directives</w:t>
      </w:r>
      <w:r>
        <w:rPr>
          <w:spacing w:val="-5"/>
        </w:rPr>
        <w:t> </w:t>
      </w:r>
      <w:r>
        <w:rPr/>
        <w:t>were</w:t>
      </w:r>
      <w:r>
        <w:rPr>
          <w:spacing w:val="-4"/>
        </w:rPr>
        <w:t> </w:t>
      </w:r>
      <w:r>
        <w:rPr/>
        <w:t>adopted</w:t>
      </w:r>
      <w:r>
        <w:rPr>
          <w:spacing w:val="-4"/>
        </w:rPr>
        <w:t> </w:t>
      </w:r>
      <w:r>
        <w:rPr/>
        <w:t>between</w:t>
      </w:r>
      <w:r>
        <w:rPr>
          <w:spacing w:val="-5"/>
        </w:rPr>
        <w:t> </w:t>
      </w:r>
      <w:r>
        <w:rPr/>
        <w:t>1</w:t>
      </w:r>
      <w:r>
        <w:rPr>
          <w:spacing w:val="-3"/>
        </w:rPr>
        <w:t> </w:t>
      </w:r>
      <w:r>
        <w:rPr/>
        <w:t>January</w:t>
      </w:r>
      <w:r>
        <w:rPr>
          <w:spacing w:val="-4"/>
        </w:rPr>
        <w:t> </w:t>
      </w:r>
      <w:r>
        <w:rPr/>
        <w:t>2022</w:t>
      </w:r>
      <w:r>
        <w:rPr>
          <w:spacing w:val="-4"/>
        </w:rPr>
        <w:t> </w:t>
      </w:r>
      <w:r>
        <w:rPr/>
        <w:t>and</w:t>
      </w:r>
      <w:r>
        <w:rPr>
          <w:spacing w:val="-4"/>
        </w:rPr>
        <w:t> </w:t>
      </w:r>
      <w:r>
        <w:rPr/>
        <w:t>31</w:t>
      </w:r>
      <w:r>
        <w:rPr>
          <w:spacing w:val="-4"/>
        </w:rPr>
        <w:t> </w:t>
      </w:r>
      <w:r>
        <w:rPr>
          <w:spacing w:val="-2"/>
        </w:rPr>
        <w:t>August</w:t>
      </w:r>
    </w:p>
    <w:p>
      <w:pPr>
        <w:pStyle w:val="BodyText"/>
        <w:spacing w:line="232" w:lineRule="auto" w:before="2"/>
        <w:ind w:left="1117" w:right="738"/>
      </w:pPr>
      <w:r>
        <w:rPr/>
        <w:t>2023 (37 directives in 2022 and 15 directives in 2023). After reading each directive in</w:t>
      </w:r>
      <w:r>
        <w:rPr>
          <w:spacing w:val="-7"/>
        </w:rPr>
        <w:t> </w:t>
      </w:r>
      <w:r>
        <w:rPr/>
        <w:t>that</w:t>
      </w:r>
      <w:r>
        <w:rPr>
          <w:spacing w:val="-6"/>
        </w:rPr>
        <w:t> </w:t>
      </w:r>
      <w:r>
        <w:rPr/>
        <w:t>sample,</w:t>
      </w:r>
      <w:r>
        <w:rPr>
          <w:spacing w:val="-6"/>
        </w:rPr>
        <w:t> </w:t>
      </w:r>
      <w:r>
        <w:rPr/>
        <w:t>we</w:t>
      </w:r>
      <w:r>
        <w:rPr>
          <w:spacing w:val="-6"/>
        </w:rPr>
        <w:t> </w:t>
      </w:r>
      <w:r>
        <w:rPr/>
        <w:t>then</w:t>
      </w:r>
      <w:r>
        <w:rPr>
          <w:spacing w:val="-7"/>
        </w:rPr>
        <w:t> </w:t>
      </w:r>
      <w:r>
        <w:rPr/>
        <w:t>identified</w:t>
      </w:r>
      <w:r>
        <w:rPr>
          <w:spacing w:val="-7"/>
        </w:rPr>
        <w:t> </w:t>
      </w:r>
      <w:r>
        <w:rPr/>
        <w:t>15</w:t>
      </w:r>
      <w:r>
        <w:rPr>
          <w:spacing w:val="-6"/>
        </w:rPr>
        <w:t> </w:t>
      </w:r>
      <w:r>
        <w:rPr/>
        <w:t>EU</w:t>
      </w:r>
      <w:r>
        <w:rPr>
          <w:spacing w:val="-6"/>
        </w:rPr>
        <w:t> </w:t>
      </w:r>
      <w:r>
        <w:rPr/>
        <w:t>directives</w:t>
      </w:r>
      <w:r>
        <w:rPr>
          <w:spacing w:val="-7"/>
        </w:rPr>
        <w:t> </w:t>
      </w:r>
      <w:r>
        <w:rPr/>
        <w:t>that</w:t>
      </w:r>
      <w:r>
        <w:rPr>
          <w:spacing w:val="-6"/>
        </w:rPr>
        <w:t> </w:t>
      </w:r>
      <w:r>
        <w:rPr/>
        <w:t>sufficiently</w:t>
      </w:r>
      <w:r>
        <w:rPr>
          <w:spacing w:val="-6"/>
        </w:rPr>
        <w:t> </w:t>
      </w:r>
      <w:r>
        <w:rPr/>
        <w:t>relate</w:t>
      </w:r>
      <w:r>
        <w:rPr>
          <w:spacing w:val="-6"/>
        </w:rPr>
        <w:t> </w:t>
      </w:r>
      <w:r>
        <w:rPr/>
        <w:t>to</w:t>
      </w:r>
      <w:r>
        <w:rPr>
          <w:spacing w:val="-7"/>
        </w:rPr>
        <w:t> </w:t>
      </w:r>
      <w:r>
        <w:rPr/>
        <w:t>human rights and equality (and, therefore, fall under the scope of the 1998 Agreement), justifying further discussion in this report.</w:t>
      </w:r>
    </w:p>
    <w:p>
      <w:pPr>
        <w:spacing w:line="232" w:lineRule="auto" w:before="278"/>
        <w:ind w:left="1117" w:right="1087" w:firstLine="0"/>
        <w:jc w:val="left"/>
        <w:rPr>
          <w:sz w:val="28"/>
        </w:rPr>
      </w:pPr>
      <w:r>
        <w:rPr>
          <w:b/>
          <w:sz w:val="28"/>
        </w:rPr>
        <w:t>To</w:t>
      </w:r>
      <w:r>
        <w:rPr>
          <w:b/>
          <w:spacing w:val="-8"/>
          <w:sz w:val="28"/>
        </w:rPr>
        <w:t> </w:t>
      </w:r>
      <w:r>
        <w:rPr>
          <w:b/>
          <w:sz w:val="28"/>
        </w:rPr>
        <w:t>identify</w:t>
      </w:r>
      <w:r>
        <w:rPr>
          <w:b/>
          <w:spacing w:val="-8"/>
          <w:sz w:val="28"/>
        </w:rPr>
        <w:t> </w:t>
      </w:r>
      <w:r>
        <w:rPr>
          <w:b/>
          <w:sz w:val="28"/>
        </w:rPr>
        <w:t>adopted</w:t>
      </w:r>
      <w:r>
        <w:rPr>
          <w:b/>
          <w:spacing w:val="-8"/>
          <w:sz w:val="28"/>
        </w:rPr>
        <w:t> </w:t>
      </w:r>
      <w:r>
        <w:rPr>
          <w:b/>
          <w:sz w:val="28"/>
        </w:rPr>
        <w:t>EU</w:t>
      </w:r>
      <w:r>
        <w:rPr>
          <w:b/>
          <w:spacing w:val="-8"/>
          <w:sz w:val="28"/>
        </w:rPr>
        <w:t> </w:t>
      </w:r>
      <w:r>
        <w:rPr>
          <w:b/>
          <w:sz w:val="28"/>
        </w:rPr>
        <w:t>regulations,</w:t>
      </w:r>
      <w:r>
        <w:rPr>
          <w:b/>
          <w:spacing w:val="-8"/>
          <w:sz w:val="28"/>
        </w:rPr>
        <w:t> </w:t>
      </w:r>
      <w:r>
        <w:rPr>
          <w:sz w:val="28"/>
        </w:rPr>
        <w:t>we</w:t>
      </w:r>
      <w:r>
        <w:rPr>
          <w:spacing w:val="-8"/>
          <w:sz w:val="28"/>
        </w:rPr>
        <w:t> </w:t>
      </w:r>
      <w:r>
        <w:rPr>
          <w:sz w:val="28"/>
        </w:rPr>
        <w:t>also</w:t>
      </w:r>
      <w:r>
        <w:rPr>
          <w:spacing w:val="-8"/>
          <w:sz w:val="28"/>
        </w:rPr>
        <w:t> </w:t>
      </w:r>
      <w:r>
        <w:rPr>
          <w:sz w:val="28"/>
        </w:rPr>
        <w:t>used</w:t>
      </w:r>
      <w:r>
        <w:rPr>
          <w:spacing w:val="-8"/>
          <w:sz w:val="28"/>
        </w:rPr>
        <w:t> </w:t>
      </w:r>
      <w:r>
        <w:rPr>
          <w:sz w:val="28"/>
        </w:rPr>
        <w:t>the</w:t>
      </w:r>
      <w:r>
        <w:rPr>
          <w:spacing w:val="-8"/>
          <w:sz w:val="28"/>
        </w:rPr>
        <w:t> </w:t>
      </w:r>
      <w:r>
        <w:rPr>
          <w:sz w:val="28"/>
        </w:rPr>
        <w:t>official</w:t>
      </w:r>
      <w:r>
        <w:rPr>
          <w:spacing w:val="-8"/>
          <w:sz w:val="28"/>
        </w:rPr>
        <w:t> </w:t>
      </w:r>
      <w:r>
        <w:rPr>
          <w:sz w:val="28"/>
        </w:rPr>
        <w:t>EU</w:t>
      </w:r>
      <w:r>
        <w:rPr>
          <w:spacing w:val="-8"/>
          <w:sz w:val="28"/>
        </w:rPr>
        <w:t> </w:t>
      </w:r>
      <w:r>
        <w:rPr>
          <w:sz w:val="28"/>
        </w:rPr>
        <w:t>online</w:t>
      </w:r>
      <w:r>
        <w:rPr>
          <w:spacing w:val="-8"/>
          <w:sz w:val="28"/>
        </w:rPr>
        <w:t> </w:t>
      </w:r>
      <w:r>
        <w:rPr>
          <w:sz w:val="28"/>
        </w:rPr>
        <w:t>legal database EUR-lex,</w:t>
      </w:r>
      <w:r>
        <w:rPr>
          <w:sz w:val="28"/>
          <w:vertAlign w:val="superscript"/>
        </w:rPr>
        <w:t>706</w:t>
      </w:r>
      <w:r>
        <w:rPr>
          <w:sz w:val="28"/>
          <w:vertAlign w:val="baseline"/>
        </w:rPr>
        <w:t> using the following parameters:</w:t>
      </w:r>
    </w:p>
    <w:p>
      <w:pPr>
        <w:pStyle w:val="ListParagraph"/>
        <w:numPr>
          <w:ilvl w:val="0"/>
          <w:numId w:val="65"/>
        </w:numPr>
        <w:tabs>
          <w:tab w:pos="1457" w:val="left" w:leader="none"/>
        </w:tabs>
        <w:spacing w:line="343" w:lineRule="exact" w:before="258" w:after="0"/>
        <w:ind w:left="1457" w:right="0" w:hanging="340"/>
        <w:jc w:val="left"/>
        <w:rPr>
          <w:sz w:val="28"/>
        </w:rPr>
      </w:pPr>
      <w:r>
        <w:rPr>
          <w:sz w:val="28"/>
        </w:rPr>
        <w:t>Domain:</w:t>
      </w:r>
      <w:r>
        <w:rPr>
          <w:spacing w:val="-2"/>
          <w:sz w:val="28"/>
        </w:rPr>
        <w:t> </w:t>
      </w:r>
      <w:r>
        <w:rPr>
          <w:sz w:val="28"/>
        </w:rPr>
        <w:t>EU</w:t>
      </w:r>
      <w:r>
        <w:rPr>
          <w:spacing w:val="-2"/>
          <w:sz w:val="28"/>
        </w:rPr>
        <w:t> </w:t>
      </w:r>
      <w:r>
        <w:rPr>
          <w:sz w:val="28"/>
        </w:rPr>
        <w:t>law</w:t>
      </w:r>
      <w:r>
        <w:rPr>
          <w:spacing w:val="-2"/>
          <w:sz w:val="28"/>
        </w:rPr>
        <w:t> </w:t>
      </w:r>
      <w:r>
        <w:rPr>
          <w:sz w:val="28"/>
        </w:rPr>
        <w:t>and</w:t>
      </w:r>
      <w:r>
        <w:rPr>
          <w:spacing w:val="-2"/>
          <w:sz w:val="28"/>
        </w:rPr>
        <w:t> </w:t>
      </w:r>
      <w:r>
        <w:rPr>
          <w:sz w:val="28"/>
        </w:rPr>
        <w:t>case-</w:t>
      </w:r>
      <w:r>
        <w:rPr>
          <w:spacing w:val="-5"/>
          <w:sz w:val="28"/>
        </w:rPr>
        <w:t>law</w:t>
      </w:r>
    </w:p>
    <w:p>
      <w:pPr>
        <w:pStyle w:val="ListParagraph"/>
        <w:numPr>
          <w:ilvl w:val="0"/>
          <w:numId w:val="65"/>
        </w:numPr>
        <w:tabs>
          <w:tab w:pos="1457" w:val="left" w:leader="none"/>
        </w:tabs>
        <w:spacing w:line="330" w:lineRule="exact" w:before="0" w:after="0"/>
        <w:ind w:left="1457" w:right="0" w:hanging="340"/>
        <w:jc w:val="left"/>
        <w:rPr>
          <w:sz w:val="28"/>
        </w:rPr>
      </w:pPr>
      <w:r>
        <w:rPr>
          <w:sz w:val="28"/>
        </w:rPr>
        <w:t>Subdomain:</w:t>
      </w:r>
      <w:r>
        <w:rPr>
          <w:spacing w:val="-4"/>
          <w:sz w:val="28"/>
        </w:rPr>
        <w:t> </w:t>
      </w:r>
      <w:r>
        <w:rPr>
          <w:sz w:val="28"/>
        </w:rPr>
        <w:t>Legal</w:t>
      </w:r>
      <w:r>
        <w:rPr>
          <w:spacing w:val="-3"/>
          <w:sz w:val="28"/>
        </w:rPr>
        <w:t> </w:t>
      </w:r>
      <w:r>
        <w:rPr>
          <w:spacing w:val="-4"/>
          <w:sz w:val="28"/>
        </w:rPr>
        <w:t>acts</w:t>
      </w:r>
    </w:p>
    <w:p>
      <w:pPr>
        <w:pStyle w:val="ListParagraph"/>
        <w:numPr>
          <w:ilvl w:val="0"/>
          <w:numId w:val="65"/>
        </w:numPr>
        <w:tabs>
          <w:tab w:pos="1457" w:val="left" w:leader="none"/>
        </w:tabs>
        <w:spacing w:line="343" w:lineRule="exact" w:before="0" w:after="0"/>
        <w:ind w:left="1457" w:right="0" w:hanging="340"/>
        <w:jc w:val="left"/>
        <w:rPr>
          <w:sz w:val="28"/>
        </w:rPr>
      </w:pPr>
      <w:r>
        <w:rPr>
          <w:sz w:val="28"/>
        </w:rPr>
        <w:t>Type</w:t>
      </w:r>
      <w:r>
        <w:rPr>
          <w:spacing w:val="-5"/>
          <w:sz w:val="28"/>
        </w:rPr>
        <w:t> </w:t>
      </w:r>
      <w:r>
        <w:rPr>
          <w:sz w:val="28"/>
        </w:rPr>
        <w:t>of</w:t>
      </w:r>
      <w:r>
        <w:rPr>
          <w:spacing w:val="-4"/>
          <w:sz w:val="28"/>
        </w:rPr>
        <w:t> </w:t>
      </w:r>
      <w:r>
        <w:rPr>
          <w:sz w:val="28"/>
        </w:rPr>
        <w:t>act:</w:t>
      </w:r>
      <w:r>
        <w:rPr>
          <w:spacing w:val="-5"/>
          <w:sz w:val="28"/>
        </w:rPr>
        <w:t> </w:t>
      </w:r>
      <w:r>
        <w:rPr>
          <w:sz w:val="28"/>
        </w:rPr>
        <w:t>All</w:t>
      </w:r>
      <w:r>
        <w:rPr>
          <w:spacing w:val="-4"/>
          <w:sz w:val="28"/>
        </w:rPr>
        <w:t> </w:t>
      </w:r>
      <w:r>
        <w:rPr>
          <w:spacing w:val="-2"/>
          <w:sz w:val="28"/>
        </w:rPr>
        <w:t>regulations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3"/>
        <w:rPr>
          <w:sz w:val="20"/>
        </w:rPr>
      </w:pPr>
      <w:r>
        <w:rPr/>
        <mc:AlternateContent>
          <mc:Choice Requires="wps">
            <w:drawing>
              <wp:anchor distT="0" distB="0" distL="0" distR="0" allowOverlap="1" layoutInCell="1" locked="0" behindDoc="1" simplePos="0" relativeHeight="487816704">
                <wp:simplePos x="0" y="0"/>
                <wp:positionH relativeFrom="page">
                  <wp:posOffset>899999</wp:posOffset>
                </wp:positionH>
                <wp:positionV relativeFrom="paragraph">
                  <wp:posOffset>242032</wp:posOffset>
                </wp:positionV>
                <wp:extent cx="6012180" cy="1270"/>
                <wp:effectExtent l="0" t="0" r="0" b="0"/>
                <wp:wrapTopAndBottom/>
                <wp:docPr id="1202" name="Graphic 1202"/>
                <wp:cNvGraphicFramePr>
                  <a:graphicFrameLocks/>
                </wp:cNvGraphicFramePr>
                <a:graphic>
                  <a:graphicData uri="http://schemas.microsoft.com/office/word/2010/wordprocessingShape">
                    <wps:wsp>
                      <wps:cNvPr id="1202" name="Graphic 1202"/>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9.057646pt;width:473.4pt;height:.1pt;mso-position-horizontal-relative:page;mso-position-vertical-relative:paragraph;z-index:-15499776;mso-wrap-distance-left:0;mso-wrap-distance-right:0" id="docshape990" coordorigin="1417,381" coordsize="9468,0" path="m1417,381l10885,381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z w:val="18"/>
        </w:rPr>
        <w:t>To</w:t>
      </w:r>
      <w:r>
        <w:rPr>
          <w:spacing w:val="-6"/>
          <w:sz w:val="18"/>
        </w:rPr>
        <w:t> </w:t>
      </w:r>
      <w:r>
        <w:rPr>
          <w:sz w:val="18"/>
        </w:rPr>
        <w:t>identify</w:t>
      </w:r>
      <w:r>
        <w:rPr>
          <w:spacing w:val="-5"/>
          <w:sz w:val="18"/>
        </w:rPr>
        <w:t> </w:t>
      </w:r>
      <w:r>
        <w:rPr>
          <w:sz w:val="18"/>
        </w:rPr>
        <w:t>adopted</w:t>
      </w:r>
      <w:r>
        <w:rPr>
          <w:spacing w:val="-6"/>
          <w:sz w:val="18"/>
        </w:rPr>
        <w:t> </w:t>
      </w:r>
      <w:r>
        <w:rPr>
          <w:sz w:val="18"/>
        </w:rPr>
        <w:t>EU</w:t>
      </w:r>
      <w:r>
        <w:rPr>
          <w:spacing w:val="-5"/>
          <w:sz w:val="18"/>
        </w:rPr>
        <w:t> </w:t>
      </w:r>
      <w:r>
        <w:rPr>
          <w:sz w:val="18"/>
        </w:rPr>
        <w:t>legislation,</w:t>
      </w:r>
      <w:r>
        <w:rPr>
          <w:spacing w:val="-5"/>
          <w:sz w:val="18"/>
        </w:rPr>
        <w:t> </w:t>
      </w:r>
      <w:r>
        <w:rPr>
          <w:sz w:val="18"/>
        </w:rPr>
        <w:t>we</w:t>
      </w:r>
      <w:r>
        <w:rPr>
          <w:spacing w:val="-5"/>
          <w:sz w:val="18"/>
        </w:rPr>
        <w:t> </w:t>
      </w:r>
      <w:r>
        <w:rPr>
          <w:sz w:val="18"/>
        </w:rPr>
        <w:t>used</w:t>
      </w:r>
      <w:r>
        <w:rPr>
          <w:spacing w:val="-6"/>
          <w:sz w:val="18"/>
        </w:rPr>
        <w:t> </w:t>
      </w:r>
      <w:r>
        <w:rPr>
          <w:sz w:val="18"/>
        </w:rPr>
        <w:t>EUR-lex</w:t>
      </w:r>
      <w:r>
        <w:rPr>
          <w:spacing w:val="-6"/>
          <w:sz w:val="18"/>
        </w:rPr>
        <w:t> </w:t>
      </w:r>
      <w:r>
        <w:rPr>
          <w:sz w:val="18"/>
        </w:rPr>
        <w:t>which</w:t>
      </w:r>
      <w:r>
        <w:rPr>
          <w:spacing w:val="-6"/>
          <w:sz w:val="18"/>
        </w:rPr>
        <w:t> </w:t>
      </w:r>
      <w:r>
        <w:rPr>
          <w:sz w:val="18"/>
        </w:rPr>
        <w:t>can</w:t>
      </w:r>
      <w:r>
        <w:rPr>
          <w:spacing w:val="-6"/>
          <w:sz w:val="18"/>
        </w:rPr>
        <w:t> </w:t>
      </w:r>
      <w:r>
        <w:rPr>
          <w:sz w:val="18"/>
        </w:rPr>
        <w:t>be</w:t>
      </w:r>
      <w:r>
        <w:rPr>
          <w:spacing w:val="-6"/>
          <w:sz w:val="18"/>
        </w:rPr>
        <w:t> </w:t>
      </w:r>
      <w:hyperlink r:id="rId118">
        <w:r>
          <w:rPr>
            <w:color w:val="1D71B8"/>
            <w:sz w:val="18"/>
            <w:u w:val="single" w:color="1D71B8"/>
          </w:rPr>
          <w:t>accessed</w:t>
        </w:r>
        <w:r>
          <w:rPr>
            <w:color w:val="1D71B8"/>
            <w:spacing w:val="-5"/>
            <w:sz w:val="18"/>
            <w:u w:val="single" w:color="1D71B8"/>
          </w:rPr>
          <w:t> </w:t>
        </w:r>
        <w:r>
          <w:rPr>
            <w:color w:val="1D71B8"/>
            <w:spacing w:val="-2"/>
            <w:sz w:val="18"/>
            <w:u w:val="single" w:color="1D71B8"/>
          </w:rPr>
          <w:t>online</w:t>
        </w:r>
      </w:hyperlink>
      <w:r>
        <w:rPr>
          <w:spacing w:val="-2"/>
          <w:sz w:val="18"/>
          <w:u w:val="none"/>
        </w:rPr>
        <w:t>..</w:t>
      </w:r>
    </w:p>
    <w:p>
      <w:pPr>
        <w:pStyle w:val="ListParagraph"/>
        <w:numPr>
          <w:ilvl w:val="0"/>
          <w:numId w:val="51"/>
        </w:numPr>
        <w:tabs>
          <w:tab w:pos="1684" w:val="left" w:leader="none"/>
        </w:tabs>
        <w:spacing w:line="240" w:lineRule="auto" w:before="1" w:after="0"/>
        <w:ind w:left="1684" w:right="0" w:hanging="567"/>
        <w:jc w:val="left"/>
        <w:rPr>
          <w:sz w:val="18"/>
        </w:rPr>
      </w:pPr>
      <w:r>
        <w:rPr>
          <w:spacing w:val="-4"/>
          <w:sz w:val="18"/>
        </w:rPr>
        <w:t>Ibid.</w:t>
      </w:r>
    </w:p>
    <w:p>
      <w:pPr>
        <w:spacing w:after="0" w:line="240" w:lineRule="auto"/>
        <w:jc w:val="left"/>
        <w:rPr>
          <w:sz w:val="18"/>
        </w:rPr>
        <w:sectPr>
          <w:pgSz w:w="11910" w:h="16840"/>
          <w:pgMar w:top="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34912">
                <wp:simplePos x="0" y="0"/>
                <wp:positionH relativeFrom="page">
                  <wp:posOffset>0</wp:posOffset>
                </wp:positionH>
                <wp:positionV relativeFrom="page">
                  <wp:posOffset>0</wp:posOffset>
                </wp:positionV>
                <wp:extent cx="7560309" cy="1155065"/>
                <wp:effectExtent l="0" t="0" r="0" b="0"/>
                <wp:wrapNone/>
                <wp:docPr id="1203" name="Group 1203"/>
                <wp:cNvGraphicFramePr>
                  <a:graphicFrameLocks/>
                </wp:cNvGraphicFramePr>
                <a:graphic>
                  <a:graphicData uri="http://schemas.microsoft.com/office/word/2010/wordprocessingGroup">
                    <wpg:wgp>
                      <wpg:cNvPr id="1203" name="Group 1203"/>
                      <wpg:cNvGrpSpPr/>
                      <wpg:grpSpPr>
                        <a:xfrm>
                          <a:off x="0" y="0"/>
                          <a:ext cx="7560309" cy="1155065"/>
                          <a:chExt cx="7560309" cy="1155065"/>
                        </a:xfrm>
                      </wpg:grpSpPr>
                      <wps:wsp>
                        <wps:cNvPr id="1204" name="Graphic 1204"/>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205" name="Graphic 1205"/>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181568" id="docshapegroup991" coordorigin="0,0" coordsize="11906,1819">
                <v:shape style="position:absolute;left:0;top:0;width:11906;height:1819" id="docshape992"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152</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34"/>
        <w:rPr>
          <w:b/>
        </w:rPr>
      </w:pPr>
    </w:p>
    <w:p>
      <w:pPr>
        <w:pStyle w:val="ListParagraph"/>
        <w:numPr>
          <w:ilvl w:val="0"/>
          <w:numId w:val="66"/>
        </w:numPr>
        <w:tabs>
          <w:tab w:pos="1060" w:val="left" w:leader="none"/>
        </w:tabs>
        <w:spacing w:line="232" w:lineRule="auto" w:before="0" w:after="0"/>
        <w:ind w:left="1060" w:right="1268" w:hanging="341"/>
        <w:jc w:val="left"/>
        <w:rPr>
          <w:sz w:val="28"/>
        </w:rPr>
      </w:pPr>
      <w:r>
        <w:rPr>
          <w:sz w:val="28"/>
        </w:rPr>
        <w:t>Subject matter, 1st level:</w:t>
      </w:r>
      <w:r>
        <w:rPr>
          <w:sz w:val="28"/>
          <w:vertAlign w:val="superscript"/>
        </w:rPr>
        <w:t>707</w:t>
      </w:r>
      <w:r>
        <w:rPr>
          <w:sz w:val="28"/>
          <w:vertAlign w:val="baseline"/>
        </w:rPr>
        <w:t> Anti-discrimination; Area of freedom, security and justice; Asylum policy; Charter of Fundamental Rights; Economic, financial and technical cooperation with third countries; Economic, social and territorial cohesion;</w:t>
      </w:r>
      <w:r>
        <w:rPr>
          <w:spacing w:val="-11"/>
          <w:sz w:val="28"/>
          <w:vertAlign w:val="baseline"/>
        </w:rPr>
        <w:t> </w:t>
      </w:r>
      <w:r>
        <w:rPr>
          <w:sz w:val="28"/>
          <w:vertAlign w:val="baseline"/>
        </w:rPr>
        <w:t>Education,</w:t>
      </w:r>
      <w:r>
        <w:rPr>
          <w:spacing w:val="-11"/>
          <w:sz w:val="28"/>
          <w:vertAlign w:val="baseline"/>
        </w:rPr>
        <w:t> </w:t>
      </w:r>
      <w:r>
        <w:rPr>
          <w:sz w:val="28"/>
          <w:vertAlign w:val="baseline"/>
        </w:rPr>
        <w:t>vocational</w:t>
      </w:r>
      <w:r>
        <w:rPr>
          <w:spacing w:val="-12"/>
          <w:sz w:val="28"/>
          <w:vertAlign w:val="baseline"/>
        </w:rPr>
        <w:t> </w:t>
      </w:r>
      <w:r>
        <w:rPr>
          <w:sz w:val="28"/>
          <w:vertAlign w:val="baseline"/>
        </w:rPr>
        <w:t>training</w:t>
      </w:r>
      <w:r>
        <w:rPr>
          <w:spacing w:val="-11"/>
          <w:sz w:val="28"/>
          <w:vertAlign w:val="baseline"/>
        </w:rPr>
        <w:t> </w:t>
      </w:r>
      <w:r>
        <w:rPr>
          <w:sz w:val="28"/>
          <w:vertAlign w:val="baseline"/>
        </w:rPr>
        <w:t>and</w:t>
      </w:r>
      <w:r>
        <w:rPr>
          <w:spacing w:val="-12"/>
          <w:sz w:val="28"/>
          <w:vertAlign w:val="baseline"/>
        </w:rPr>
        <w:t> </w:t>
      </w:r>
      <w:r>
        <w:rPr>
          <w:sz w:val="28"/>
          <w:vertAlign w:val="baseline"/>
        </w:rPr>
        <w:t>youth;</w:t>
      </w:r>
      <w:r>
        <w:rPr>
          <w:spacing w:val="-11"/>
          <w:sz w:val="28"/>
          <w:vertAlign w:val="baseline"/>
        </w:rPr>
        <w:t> </w:t>
      </w:r>
      <w:r>
        <w:rPr>
          <w:sz w:val="28"/>
          <w:vertAlign w:val="baseline"/>
        </w:rPr>
        <w:t>Employment;</w:t>
      </w:r>
      <w:r>
        <w:rPr>
          <w:spacing w:val="-11"/>
          <w:sz w:val="28"/>
          <w:vertAlign w:val="baseline"/>
        </w:rPr>
        <w:t> </w:t>
      </w:r>
      <w:r>
        <w:rPr>
          <w:sz w:val="28"/>
          <w:vertAlign w:val="baseline"/>
        </w:rPr>
        <w:t>Environment; Eur Foundation Improvement of Living and Working Conditions; European Convention on Human Rights; Fundamental rights; Health and safety; Human rights; Immigration and asylum policy; Judicial proceedings; Justice and home affairs; Non-discrimination on grounds of nationality; Pollution; Public health; Social Policy; Social provisions; Social security for migrant workers; Solidarity </w:t>
      </w:r>
      <w:r>
        <w:rPr>
          <w:spacing w:val="-2"/>
          <w:sz w:val="28"/>
          <w:vertAlign w:val="baseline"/>
        </w:rPr>
        <w:t>clause</w:t>
      </w:r>
    </w:p>
    <w:p>
      <w:pPr>
        <w:pStyle w:val="ListParagraph"/>
        <w:numPr>
          <w:ilvl w:val="0"/>
          <w:numId w:val="66"/>
        </w:numPr>
        <w:tabs>
          <w:tab w:pos="1060" w:val="left" w:leader="none"/>
        </w:tabs>
        <w:spacing w:line="306" w:lineRule="exact" w:before="0" w:after="0"/>
        <w:ind w:left="1060" w:right="0" w:hanging="340"/>
        <w:jc w:val="left"/>
        <w:rPr>
          <w:sz w:val="28"/>
        </w:rPr>
      </w:pPr>
      <w:r>
        <w:rPr>
          <w:sz w:val="28"/>
        </w:rPr>
        <w:t>Date:</w:t>
      </w:r>
      <w:r>
        <w:rPr>
          <w:spacing w:val="-12"/>
          <w:sz w:val="28"/>
        </w:rPr>
        <w:t> </w:t>
      </w:r>
      <w:r>
        <w:rPr>
          <w:sz w:val="28"/>
        </w:rPr>
        <w:t>From:</w:t>
      </w:r>
      <w:r>
        <w:rPr>
          <w:spacing w:val="-9"/>
          <w:sz w:val="28"/>
        </w:rPr>
        <w:t> </w:t>
      </w:r>
      <w:r>
        <w:rPr>
          <w:sz w:val="28"/>
        </w:rPr>
        <w:t>01/01/2022,</w:t>
      </w:r>
      <w:r>
        <w:rPr>
          <w:spacing w:val="-10"/>
          <w:sz w:val="28"/>
        </w:rPr>
        <w:t> </w:t>
      </w:r>
      <w:r>
        <w:rPr>
          <w:sz w:val="28"/>
        </w:rPr>
        <w:t>To:</w:t>
      </w:r>
      <w:r>
        <w:rPr>
          <w:spacing w:val="-9"/>
          <w:sz w:val="28"/>
        </w:rPr>
        <w:t> </w:t>
      </w:r>
      <w:r>
        <w:rPr>
          <w:spacing w:val="-2"/>
          <w:sz w:val="28"/>
        </w:rPr>
        <w:t>31/08/2023</w:t>
      </w:r>
    </w:p>
    <w:p>
      <w:pPr>
        <w:pStyle w:val="ListParagraph"/>
        <w:numPr>
          <w:ilvl w:val="0"/>
          <w:numId w:val="66"/>
        </w:numPr>
        <w:tabs>
          <w:tab w:pos="1060" w:val="left" w:leader="none"/>
        </w:tabs>
        <w:spacing w:line="330" w:lineRule="exact" w:before="0" w:after="0"/>
        <w:ind w:left="1060" w:right="0" w:hanging="340"/>
        <w:jc w:val="left"/>
        <w:rPr>
          <w:sz w:val="28"/>
        </w:rPr>
      </w:pPr>
      <w:r>
        <w:rPr>
          <w:sz w:val="28"/>
        </w:rPr>
        <w:t>Published</w:t>
      </w:r>
      <w:r>
        <w:rPr>
          <w:spacing w:val="-5"/>
          <w:sz w:val="28"/>
        </w:rPr>
        <w:t> </w:t>
      </w:r>
      <w:r>
        <w:rPr>
          <w:sz w:val="28"/>
        </w:rPr>
        <w:t>in:</w:t>
      </w:r>
      <w:r>
        <w:rPr>
          <w:spacing w:val="-4"/>
          <w:sz w:val="28"/>
        </w:rPr>
        <w:t> </w:t>
      </w:r>
      <w:r>
        <w:rPr>
          <w:spacing w:val="-2"/>
          <w:sz w:val="28"/>
        </w:rPr>
        <w:t>English</w:t>
      </w:r>
    </w:p>
    <w:p>
      <w:pPr>
        <w:pStyle w:val="ListParagraph"/>
        <w:numPr>
          <w:ilvl w:val="0"/>
          <w:numId w:val="66"/>
        </w:numPr>
        <w:tabs>
          <w:tab w:pos="1060" w:val="left" w:leader="none"/>
        </w:tabs>
        <w:spacing w:line="330" w:lineRule="exact" w:before="0" w:after="0"/>
        <w:ind w:left="1060" w:right="0" w:hanging="340"/>
        <w:jc w:val="left"/>
        <w:rPr>
          <w:sz w:val="28"/>
        </w:rPr>
      </w:pPr>
      <w:r>
        <w:rPr>
          <w:sz w:val="28"/>
        </w:rPr>
        <w:t>Date</w:t>
      </w:r>
      <w:r>
        <w:rPr>
          <w:spacing w:val="-6"/>
          <w:sz w:val="28"/>
        </w:rPr>
        <w:t> </w:t>
      </w:r>
      <w:r>
        <w:rPr>
          <w:sz w:val="28"/>
        </w:rPr>
        <w:t>of</w:t>
      </w:r>
      <w:r>
        <w:rPr>
          <w:spacing w:val="-6"/>
          <w:sz w:val="28"/>
        </w:rPr>
        <w:t> </w:t>
      </w:r>
      <w:r>
        <w:rPr>
          <w:sz w:val="28"/>
        </w:rPr>
        <w:t>document:</w:t>
      </w:r>
      <w:r>
        <w:rPr>
          <w:spacing w:val="-5"/>
          <w:sz w:val="28"/>
        </w:rPr>
        <w:t> </w:t>
      </w:r>
      <w:r>
        <w:rPr>
          <w:sz w:val="28"/>
        </w:rPr>
        <w:t>2022</w:t>
      </w:r>
      <w:r>
        <w:rPr>
          <w:spacing w:val="-5"/>
          <w:sz w:val="28"/>
        </w:rPr>
        <w:t> </w:t>
      </w:r>
      <w:r>
        <w:rPr>
          <w:sz w:val="28"/>
        </w:rPr>
        <w:t>+</w:t>
      </w:r>
      <w:r>
        <w:rPr>
          <w:spacing w:val="-6"/>
          <w:sz w:val="28"/>
        </w:rPr>
        <w:t> </w:t>
      </w:r>
      <w:r>
        <w:rPr>
          <w:sz w:val="28"/>
        </w:rPr>
        <w:t>2023</w:t>
      </w:r>
      <w:r>
        <w:rPr>
          <w:spacing w:val="-5"/>
          <w:sz w:val="28"/>
        </w:rPr>
        <w:t> </w:t>
      </w:r>
      <w:r>
        <w:rPr>
          <w:sz w:val="28"/>
        </w:rPr>
        <w:t>(cut-off:</w:t>
      </w:r>
      <w:r>
        <w:rPr>
          <w:spacing w:val="-5"/>
          <w:sz w:val="28"/>
        </w:rPr>
        <w:t> </w:t>
      </w:r>
      <w:r>
        <w:rPr>
          <w:spacing w:val="-2"/>
          <w:sz w:val="28"/>
        </w:rPr>
        <w:t>31/08/2023)</w:t>
      </w:r>
    </w:p>
    <w:p>
      <w:pPr>
        <w:pStyle w:val="ListParagraph"/>
        <w:numPr>
          <w:ilvl w:val="0"/>
          <w:numId w:val="66"/>
        </w:numPr>
        <w:tabs>
          <w:tab w:pos="1060" w:val="left" w:leader="none"/>
        </w:tabs>
        <w:spacing w:line="343" w:lineRule="exact" w:before="0" w:after="0"/>
        <w:ind w:left="1060" w:right="0" w:hanging="340"/>
        <w:jc w:val="left"/>
        <w:rPr>
          <w:sz w:val="28"/>
        </w:rPr>
      </w:pPr>
      <w:r>
        <w:rPr>
          <w:sz w:val="28"/>
        </w:rPr>
        <w:t>Search</w:t>
      </w:r>
      <w:r>
        <w:rPr>
          <w:spacing w:val="-5"/>
          <w:sz w:val="28"/>
        </w:rPr>
        <w:t> </w:t>
      </w:r>
      <w:r>
        <w:rPr>
          <w:sz w:val="28"/>
        </w:rPr>
        <w:t>language:</w:t>
      </w:r>
      <w:r>
        <w:rPr>
          <w:spacing w:val="-4"/>
          <w:sz w:val="28"/>
        </w:rPr>
        <w:t> </w:t>
      </w:r>
      <w:r>
        <w:rPr>
          <w:spacing w:val="-2"/>
          <w:sz w:val="28"/>
        </w:rPr>
        <w:t>English</w:t>
      </w:r>
    </w:p>
    <w:p>
      <w:pPr>
        <w:pStyle w:val="BodyText"/>
        <w:spacing w:line="232" w:lineRule="auto" w:before="280"/>
        <w:ind w:left="720" w:right="1250"/>
      </w:pPr>
      <w:r>
        <w:rPr/>
        <w:t>Results:</w:t>
      </w:r>
      <w:r>
        <w:rPr>
          <w:spacing w:val="-5"/>
        </w:rPr>
        <w:t> </w:t>
      </w:r>
      <w:r>
        <w:rPr/>
        <w:t>138</w:t>
      </w:r>
      <w:r>
        <w:rPr>
          <w:spacing w:val="-5"/>
        </w:rPr>
        <w:t> </w:t>
      </w:r>
      <w:r>
        <w:rPr/>
        <w:t>EU</w:t>
      </w:r>
      <w:r>
        <w:rPr>
          <w:spacing w:val="-5"/>
        </w:rPr>
        <w:t> </w:t>
      </w:r>
      <w:r>
        <w:rPr/>
        <w:t>regulations</w:t>
      </w:r>
      <w:r>
        <w:rPr>
          <w:spacing w:val="-6"/>
        </w:rPr>
        <w:t> </w:t>
      </w:r>
      <w:r>
        <w:rPr/>
        <w:t>were</w:t>
      </w:r>
      <w:r>
        <w:rPr>
          <w:spacing w:val="-5"/>
        </w:rPr>
        <w:t> </w:t>
      </w:r>
      <w:r>
        <w:rPr/>
        <w:t>adopted</w:t>
      </w:r>
      <w:r>
        <w:rPr>
          <w:spacing w:val="-6"/>
        </w:rPr>
        <w:t> </w:t>
      </w:r>
      <w:r>
        <w:rPr/>
        <w:t>between</w:t>
      </w:r>
      <w:r>
        <w:rPr>
          <w:spacing w:val="-6"/>
        </w:rPr>
        <w:t> </w:t>
      </w:r>
      <w:r>
        <w:rPr/>
        <w:t>1</w:t>
      </w:r>
      <w:r>
        <w:rPr>
          <w:spacing w:val="-5"/>
        </w:rPr>
        <w:t> </w:t>
      </w:r>
      <w:r>
        <w:rPr/>
        <w:t>January</w:t>
      </w:r>
      <w:r>
        <w:rPr>
          <w:spacing w:val="-5"/>
        </w:rPr>
        <w:t> </w:t>
      </w:r>
      <w:r>
        <w:rPr/>
        <w:t>2022</w:t>
      </w:r>
      <w:r>
        <w:rPr>
          <w:spacing w:val="-5"/>
        </w:rPr>
        <w:t> </w:t>
      </w:r>
      <w:r>
        <w:rPr/>
        <w:t>and</w:t>
      </w:r>
      <w:r>
        <w:rPr>
          <w:spacing w:val="-6"/>
        </w:rPr>
        <w:t> </w:t>
      </w:r>
      <w:r>
        <w:rPr/>
        <w:t>31</w:t>
      </w:r>
      <w:r>
        <w:rPr>
          <w:spacing w:val="-5"/>
        </w:rPr>
        <w:t> </w:t>
      </w:r>
      <w:r>
        <w:rPr/>
        <w:t>August 2023, regarding topics potentially relevant to human rights and equality, for example, 86 regulations in 2022 and 52 regulations in 2023. After reading each regulation in that sample, we then identified 69 EU regulations that sufficiently relate to human rights and equality (and, therefore, fall under the scope of the 1998 Agreement), justifying further discussions in this report.</w:t>
      </w:r>
    </w:p>
    <w:p>
      <w:pPr>
        <w:spacing w:line="232" w:lineRule="auto" w:before="274"/>
        <w:ind w:left="720" w:right="1087" w:firstLine="0"/>
        <w:jc w:val="left"/>
        <w:rPr>
          <w:sz w:val="28"/>
        </w:rPr>
      </w:pPr>
      <w:r>
        <w:rPr>
          <w:b/>
          <w:sz w:val="28"/>
        </w:rPr>
        <w:t>To identify proposed EU legislation (EU directives and regulations), </w:t>
      </w:r>
      <w:r>
        <w:rPr>
          <w:sz w:val="28"/>
        </w:rPr>
        <w:t>we used the website</w:t>
      </w:r>
      <w:r>
        <w:rPr>
          <w:spacing w:val="-9"/>
          <w:sz w:val="28"/>
        </w:rPr>
        <w:t> </w:t>
      </w:r>
      <w:r>
        <w:rPr>
          <w:sz w:val="28"/>
        </w:rPr>
        <w:t>of</w:t>
      </w:r>
      <w:r>
        <w:rPr>
          <w:spacing w:val="-10"/>
          <w:sz w:val="28"/>
        </w:rPr>
        <w:t> </w:t>
      </w:r>
      <w:r>
        <w:rPr>
          <w:sz w:val="28"/>
        </w:rPr>
        <w:t>the</w:t>
      </w:r>
      <w:r>
        <w:rPr>
          <w:spacing w:val="-9"/>
          <w:sz w:val="28"/>
        </w:rPr>
        <w:t> </w:t>
      </w:r>
      <w:r>
        <w:rPr>
          <w:sz w:val="28"/>
        </w:rPr>
        <w:t>European</w:t>
      </w:r>
      <w:r>
        <w:rPr>
          <w:spacing w:val="-10"/>
          <w:sz w:val="28"/>
        </w:rPr>
        <w:t> </w:t>
      </w:r>
      <w:r>
        <w:rPr>
          <w:sz w:val="28"/>
        </w:rPr>
        <w:t>Commission</w:t>
      </w:r>
      <w:r>
        <w:rPr>
          <w:spacing w:val="-10"/>
          <w:sz w:val="28"/>
        </w:rPr>
        <w:t> </w:t>
      </w:r>
      <w:r>
        <w:rPr>
          <w:sz w:val="28"/>
        </w:rPr>
        <w:t>(webpage</w:t>
      </w:r>
      <w:r>
        <w:rPr>
          <w:spacing w:val="-9"/>
          <w:sz w:val="28"/>
        </w:rPr>
        <w:t> </w:t>
      </w:r>
      <w:r>
        <w:rPr>
          <w:sz w:val="28"/>
        </w:rPr>
        <w:t>‘Published</w:t>
      </w:r>
      <w:r>
        <w:rPr>
          <w:spacing w:val="-10"/>
          <w:sz w:val="28"/>
        </w:rPr>
        <w:t> </w:t>
      </w:r>
      <w:r>
        <w:rPr>
          <w:sz w:val="28"/>
        </w:rPr>
        <w:t>Initiatives’),</w:t>
      </w:r>
      <w:r>
        <w:rPr>
          <w:sz w:val="28"/>
          <w:vertAlign w:val="superscript"/>
        </w:rPr>
        <w:t>708</w:t>
      </w:r>
      <w:r>
        <w:rPr>
          <w:spacing w:val="-10"/>
          <w:sz w:val="28"/>
          <w:vertAlign w:val="baseline"/>
        </w:rPr>
        <w:t> </w:t>
      </w:r>
      <w:r>
        <w:rPr>
          <w:sz w:val="28"/>
          <w:vertAlign w:val="baseline"/>
        </w:rPr>
        <w:t>using</w:t>
      </w:r>
      <w:r>
        <w:rPr>
          <w:spacing w:val="-9"/>
          <w:sz w:val="28"/>
          <w:vertAlign w:val="baseline"/>
        </w:rPr>
        <w:t> </w:t>
      </w:r>
      <w:r>
        <w:rPr>
          <w:sz w:val="28"/>
          <w:vertAlign w:val="baseline"/>
        </w:rPr>
        <w:t>the following parameters:</w:t>
      </w:r>
    </w:p>
    <w:p>
      <w:pPr>
        <w:pStyle w:val="ListParagraph"/>
        <w:numPr>
          <w:ilvl w:val="0"/>
          <w:numId w:val="66"/>
        </w:numPr>
        <w:tabs>
          <w:tab w:pos="1060" w:val="left" w:leader="none"/>
        </w:tabs>
        <w:spacing w:line="232" w:lineRule="auto" w:before="265" w:after="0"/>
        <w:ind w:left="1060" w:right="1135" w:hanging="341"/>
        <w:jc w:val="left"/>
        <w:rPr>
          <w:sz w:val="28"/>
        </w:rPr>
      </w:pPr>
      <w:r>
        <w:rPr>
          <w:sz w:val="28"/>
        </w:rPr>
        <w:t>Topic: Justice and Fundamental Rights (when looking at proposed legislation relevant</w:t>
      </w:r>
      <w:r>
        <w:rPr>
          <w:spacing w:val="-9"/>
          <w:sz w:val="28"/>
        </w:rPr>
        <w:t> </w:t>
      </w:r>
      <w:r>
        <w:rPr>
          <w:sz w:val="28"/>
        </w:rPr>
        <w:t>to</w:t>
      </w:r>
      <w:r>
        <w:rPr>
          <w:spacing w:val="-9"/>
          <w:sz w:val="28"/>
        </w:rPr>
        <w:t> </w:t>
      </w:r>
      <w:r>
        <w:rPr>
          <w:sz w:val="28"/>
        </w:rPr>
        <w:t>justice</w:t>
      </w:r>
      <w:r>
        <w:rPr>
          <w:spacing w:val="-9"/>
          <w:sz w:val="28"/>
        </w:rPr>
        <w:t> </w:t>
      </w:r>
      <w:r>
        <w:rPr>
          <w:sz w:val="28"/>
        </w:rPr>
        <w:t>and</w:t>
      </w:r>
      <w:r>
        <w:rPr>
          <w:spacing w:val="-9"/>
          <w:sz w:val="28"/>
        </w:rPr>
        <w:t> </w:t>
      </w:r>
      <w:r>
        <w:rPr>
          <w:sz w:val="28"/>
        </w:rPr>
        <w:t>fundamental</w:t>
      </w:r>
      <w:r>
        <w:rPr>
          <w:spacing w:val="-9"/>
          <w:sz w:val="28"/>
        </w:rPr>
        <w:t> </w:t>
      </w:r>
      <w:r>
        <w:rPr>
          <w:sz w:val="28"/>
        </w:rPr>
        <w:t>rights,</w:t>
      </w:r>
      <w:r>
        <w:rPr>
          <w:spacing w:val="-9"/>
          <w:sz w:val="28"/>
        </w:rPr>
        <w:t> </w:t>
      </w:r>
      <w:r>
        <w:rPr>
          <w:sz w:val="28"/>
        </w:rPr>
        <w:t>we</w:t>
      </w:r>
      <w:r>
        <w:rPr>
          <w:spacing w:val="-9"/>
          <w:sz w:val="28"/>
        </w:rPr>
        <w:t> </w:t>
      </w:r>
      <w:r>
        <w:rPr>
          <w:sz w:val="28"/>
        </w:rPr>
        <w:t>only</w:t>
      </w:r>
      <w:r>
        <w:rPr>
          <w:spacing w:val="-9"/>
          <w:sz w:val="28"/>
        </w:rPr>
        <w:t> </w:t>
      </w:r>
      <w:r>
        <w:rPr>
          <w:sz w:val="28"/>
        </w:rPr>
        <w:t>selected</w:t>
      </w:r>
      <w:r>
        <w:rPr>
          <w:spacing w:val="-9"/>
          <w:sz w:val="28"/>
        </w:rPr>
        <w:t> </w:t>
      </w:r>
      <w:r>
        <w:rPr>
          <w:sz w:val="28"/>
        </w:rPr>
        <w:t>proposed</w:t>
      </w:r>
      <w:r>
        <w:rPr>
          <w:spacing w:val="-9"/>
          <w:sz w:val="28"/>
        </w:rPr>
        <w:t> </w:t>
      </w:r>
      <w:r>
        <w:rPr>
          <w:sz w:val="28"/>
        </w:rPr>
        <w:t>legislation addressing fundamental rights for relevance sakes); Employment and Social Affairs; Migration and Asylum</w:t>
      </w:r>
    </w:p>
    <w:p>
      <w:pPr>
        <w:pStyle w:val="ListParagraph"/>
        <w:numPr>
          <w:ilvl w:val="0"/>
          <w:numId w:val="66"/>
        </w:numPr>
        <w:tabs>
          <w:tab w:pos="1060" w:val="left" w:leader="none"/>
        </w:tabs>
        <w:spacing w:line="322" w:lineRule="exact" w:before="0" w:after="0"/>
        <w:ind w:left="1060" w:right="0" w:hanging="340"/>
        <w:jc w:val="left"/>
        <w:rPr>
          <w:sz w:val="28"/>
        </w:rPr>
      </w:pPr>
      <w:r>
        <w:rPr>
          <w:sz w:val="28"/>
        </w:rPr>
        <w:t>Type</w:t>
      </w:r>
      <w:r>
        <w:rPr>
          <w:spacing w:val="-6"/>
          <w:sz w:val="28"/>
        </w:rPr>
        <w:t> </w:t>
      </w:r>
      <w:r>
        <w:rPr>
          <w:sz w:val="28"/>
        </w:rPr>
        <w:t>of</w:t>
      </w:r>
      <w:r>
        <w:rPr>
          <w:spacing w:val="-6"/>
          <w:sz w:val="28"/>
        </w:rPr>
        <w:t> </w:t>
      </w:r>
      <w:r>
        <w:rPr>
          <w:sz w:val="28"/>
        </w:rPr>
        <w:t>Act:</w:t>
      </w:r>
      <w:r>
        <w:rPr>
          <w:spacing w:val="-6"/>
          <w:sz w:val="28"/>
        </w:rPr>
        <w:t> </w:t>
      </w:r>
      <w:r>
        <w:rPr>
          <w:sz w:val="28"/>
        </w:rPr>
        <w:t>Legislative</w:t>
      </w:r>
      <w:r>
        <w:rPr>
          <w:spacing w:val="-5"/>
          <w:sz w:val="28"/>
        </w:rPr>
        <w:t> </w:t>
      </w:r>
      <w:r>
        <w:rPr>
          <w:sz w:val="28"/>
        </w:rPr>
        <w:t>Proposals</w:t>
      </w:r>
      <w:r>
        <w:rPr>
          <w:spacing w:val="-6"/>
          <w:sz w:val="28"/>
        </w:rPr>
        <w:t> </w:t>
      </w:r>
      <w:r>
        <w:rPr>
          <w:sz w:val="28"/>
        </w:rPr>
        <w:t>(when</w:t>
      </w:r>
      <w:r>
        <w:rPr>
          <w:spacing w:val="-7"/>
          <w:sz w:val="28"/>
        </w:rPr>
        <w:t> </w:t>
      </w:r>
      <w:r>
        <w:rPr>
          <w:sz w:val="28"/>
        </w:rPr>
        <w:t>looking</w:t>
      </w:r>
      <w:r>
        <w:rPr>
          <w:spacing w:val="-5"/>
          <w:sz w:val="28"/>
        </w:rPr>
        <w:t> </w:t>
      </w:r>
      <w:r>
        <w:rPr>
          <w:sz w:val="28"/>
        </w:rPr>
        <w:t>at</w:t>
      </w:r>
      <w:r>
        <w:rPr>
          <w:spacing w:val="-5"/>
          <w:sz w:val="28"/>
        </w:rPr>
        <w:t> </w:t>
      </w:r>
      <w:r>
        <w:rPr>
          <w:sz w:val="28"/>
        </w:rPr>
        <w:t>legislative</w:t>
      </w:r>
      <w:r>
        <w:rPr>
          <w:spacing w:val="-6"/>
          <w:sz w:val="28"/>
        </w:rPr>
        <w:t> </w:t>
      </w:r>
      <w:r>
        <w:rPr>
          <w:sz w:val="28"/>
        </w:rPr>
        <w:t>proposals,</w:t>
      </w:r>
      <w:r>
        <w:rPr>
          <w:spacing w:val="-5"/>
          <w:sz w:val="28"/>
        </w:rPr>
        <w:t> we</w:t>
      </w:r>
    </w:p>
    <w:p>
      <w:pPr>
        <w:pStyle w:val="BodyText"/>
        <w:spacing w:line="232" w:lineRule="auto" w:before="2"/>
        <w:ind w:left="1060" w:right="1805"/>
        <w:jc w:val="both"/>
      </w:pPr>
      <w:r>
        <w:rPr/>
        <w:t>only selected those that were ‘adopted’ by the Commission since they are more</w:t>
      </w:r>
      <w:r>
        <w:rPr>
          <w:spacing w:val="-9"/>
        </w:rPr>
        <w:t> </w:t>
      </w:r>
      <w:r>
        <w:rPr/>
        <w:t>likely</w:t>
      </w:r>
      <w:r>
        <w:rPr>
          <w:spacing w:val="-9"/>
        </w:rPr>
        <w:t> </w:t>
      </w:r>
      <w:r>
        <w:rPr/>
        <w:t>to</w:t>
      </w:r>
      <w:r>
        <w:rPr>
          <w:spacing w:val="-9"/>
        </w:rPr>
        <w:t> </w:t>
      </w:r>
      <w:r>
        <w:rPr/>
        <w:t>enter</w:t>
      </w:r>
      <w:r>
        <w:rPr>
          <w:spacing w:val="-9"/>
        </w:rPr>
        <w:t> </w:t>
      </w:r>
      <w:r>
        <w:rPr/>
        <w:t>into</w:t>
      </w:r>
      <w:r>
        <w:rPr>
          <w:spacing w:val="-9"/>
        </w:rPr>
        <w:t> </w:t>
      </w:r>
      <w:r>
        <w:rPr/>
        <w:t>force</w:t>
      </w:r>
      <w:r>
        <w:rPr>
          <w:spacing w:val="-9"/>
        </w:rPr>
        <w:t> </w:t>
      </w:r>
      <w:r>
        <w:rPr/>
        <w:t>soon,</w:t>
      </w:r>
      <w:r>
        <w:rPr>
          <w:vertAlign w:val="superscript"/>
        </w:rPr>
        <w:t>709</w:t>
      </w:r>
      <w:r>
        <w:rPr>
          <w:spacing w:val="-9"/>
          <w:vertAlign w:val="baseline"/>
        </w:rPr>
        <w:t> </w:t>
      </w:r>
      <w:r>
        <w:rPr>
          <w:vertAlign w:val="baseline"/>
        </w:rPr>
        <w:t>and</w:t>
      </w:r>
      <w:r>
        <w:rPr>
          <w:spacing w:val="-9"/>
          <w:vertAlign w:val="baseline"/>
        </w:rPr>
        <w:t> </w:t>
      </w:r>
      <w:r>
        <w:rPr>
          <w:vertAlign w:val="baseline"/>
        </w:rPr>
        <w:t>those</w:t>
      </w:r>
      <w:r>
        <w:rPr>
          <w:spacing w:val="-9"/>
          <w:vertAlign w:val="baseline"/>
        </w:rPr>
        <w:t> </w:t>
      </w:r>
      <w:r>
        <w:rPr>
          <w:vertAlign w:val="baseline"/>
        </w:rPr>
        <w:t>that</w:t>
      </w:r>
      <w:r>
        <w:rPr>
          <w:spacing w:val="-9"/>
          <w:vertAlign w:val="baseline"/>
        </w:rPr>
        <w:t> </w:t>
      </w:r>
      <w:r>
        <w:rPr>
          <w:vertAlign w:val="baseline"/>
        </w:rPr>
        <w:t>were</w:t>
      </w:r>
      <w:r>
        <w:rPr>
          <w:spacing w:val="-9"/>
          <w:vertAlign w:val="baseline"/>
        </w:rPr>
        <w:t> </w:t>
      </w:r>
      <w:r>
        <w:rPr>
          <w:vertAlign w:val="baseline"/>
        </w:rPr>
        <w:t>adopted</w:t>
      </w:r>
      <w:r>
        <w:rPr>
          <w:spacing w:val="-9"/>
          <w:vertAlign w:val="baseline"/>
        </w:rPr>
        <w:t> </w:t>
      </w:r>
      <w:r>
        <w:rPr>
          <w:vertAlign w:val="baseline"/>
        </w:rPr>
        <w:t>by</w:t>
      </w:r>
      <w:r>
        <w:rPr>
          <w:spacing w:val="-9"/>
          <w:vertAlign w:val="baseline"/>
        </w:rPr>
        <w:t> </w:t>
      </w:r>
      <w:r>
        <w:rPr>
          <w:vertAlign w:val="baseline"/>
        </w:rPr>
        <w:t>the Commission during the period 1 January 2022 – 31 August 2023)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6"/>
        <w:rPr>
          <w:sz w:val="20"/>
        </w:rPr>
      </w:pPr>
      <w:r>
        <w:rPr/>
        <mc:AlternateContent>
          <mc:Choice Requires="wps">
            <w:drawing>
              <wp:anchor distT="0" distB="0" distL="0" distR="0" allowOverlap="1" layoutInCell="1" locked="0" behindDoc="1" simplePos="0" relativeHeight="487817728">
                <wp:simplePos x="0" y="0"/>
                <wp:positionH relativeFrom="page">
                  <wp:posOffset>647999</wp:posOffset>
                </wp:positionH>
                <wp:positionV relativeFrom="paragraph">
                  <wp:posOffset>218638</wp:posOffset>
                </wp:positionV>
                <wp:extent cx="6012180" cy="1270"/>
                <wp:effectExtent l="0" t="0" r="0" b="0"/>
                <wp:wrapTopAndBottom/>
                <wp:docPr id="1206" name="Graphic 1206"/>
                <wp:cNvGraphicFramePr>
                  <a:graphicFrameLocks/>
                </wp:cNvGraphicFramePr>
                <a:graphic>
                  <a:graphicData uri="http://schemas.microsoft.com/office/word/2010/wordprocessingShape">
                    <wps:wsp>
                      <wps:cNvPr id="1206" name="Graphic 1206"/>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7.215656pt;width:473.4pt;height:.1pt;mso-position-horizontal-relative:page;mso-position-vertical-relative:paragraph;z-index:-15498752;mso-wrap-distance-left:0;mso-wrap-distance-right:0" id="docshape993" coordorigin="1020,344" coordsize="9468,0" path="m1020,344l10488,344e" filled="false" stroked="true" strokeweight=".5pt" strokecolor="#36a9e1">
                <v:path arrowok="t"/>
                <v:stroke dashstyle="solid"/>
                <w10:wrap type="topAndBottom"/>
              </v:shape>
            </w:pict>
          </mc:Fallback>
        </mc:AlternateContent>
      </w:r>
    </w:p>
    <w:p>
      <w:pPr>
        <w:pStyle w:val="ListParagraph"/>
        <w:numPr>
          <w:ilvl w:val="0"/>
          <w:numId w:val="51"/>
        </w:numPr>
        <w:tabs>
          <w:tab w:pos="1287" w:val="left" w:leader="none"/>
        </w:tabs>
        <w:spacing w:line="240" w:lineRule="auto" w:before="43" w:after="0"/>
        <w:ind w:left="1287" w:right="1216" w:hanging="567"/>
        <w:jc w:val="left"/>
        <w:rPr>
          <w:sz w:val="18"/>
        </w:rPr>
      </w:pPr>
      <w:r>
        <w:rPr>
          <w:sz w:val="18"/>
        </w:rPr>
        <w:t>Unlike the search parameters used for directives (see above), we had to filter regulations by themes for efficiency purposes,</w:t>
      </w:r>
      <w:r>
        <w:rPr>
          <w:spacing w:val="-4"/>
          <w:sz w:val="18"/>
        </w:rPr>
        <w:t> </w:t>
      </w:r>
      <w:r>
        <w:rPr>
          <w:sz w:val="18"/>
        </w:rPr>
        <w:t>since</w:t>
      </w:r>
      <w:r>
        <w:rPr>
          <w:spacing w:val="-4"/>
          <w:sz w:val="18"/>
        </w:rPr>
        <w:t> </w:t>
      </w:r>
      <w:r>
        <w:rPr>
          <w:sz w:val="18"/>
        </w:rPr>
        <w:t>745</w:t>
      </w:r>
      <w:r>
        <w:rPr>
          <w:spacing w:val="-4"/>
          <w:sz w:val="18"/>
        </w:rPr>
        <w:t> </w:t>
      </w:r>
      <w:r>
        <w:rPr>
          <w:sz w:val="18"/>
        </w:rPr>
        <w:t>regulations</w:t>
      </w:r>
      <w:r>
        <w:rPr>
          <w:spacing w:val="-5"/>
          <w:sz w:val="18"/>
        </w:rPr>
        <w:t> </w:t>
      </w:r>
      <w:r>
        <w:rPr>
          <w:sz w:val="18"/>
        </w:rPr>
        <w:t>were</w:t>
      </w:r>
      <w:r>
        <w:rPr>
          <w:spacing w:val="-4"/>
          <w:sz w:val="18"/>
        </w:rPr>
        <w:t> </w:t>
      </w:r>
      <w:r>
        <w:rPr>
          <w:sz w:val="18"/>
        </w:rPr>
        <w:t>adopted</w:t>
      </w:r>
      <w:r>
        <w:rPr>
          <w:spacing w:val="-5"/>
          <w:sz w:val="18"/>
        </w:rPr>
        <w:t> </w:t>
      </w:r>
      <w:r>
        <w:rPr>
          <w:sz w:val="18"/>
        </w:rPr>
        <w:t>in</w:t>
      </w:r>
      <w:r>
        <w:rPr>
          <w:spacing w:val="-5"/>
          <w:sz w:val="18"/>
        </w:rPr>
        <w:t> </w:t>
      </w:r>
      <w:r>
        <w:rPr>
          <w:sz w:val="18"/>
        </w:rPr>
        <w:t>2023</w:t>
      </w:r>
      <w:r>
        <w:rPr>
          <w:spacing w:val="-4"/>
          <w:sz w:val="18"/>
        </w:rPr>
        <w:t> </w:t>
      </w:r>
      <w:r>
        <w:rPr>
          <w:sz w:val="18"/>
        </w:rPr>
        <w:t>(with</w:t>
      </w:r>
      <w:r>
        <w:rPr>
          <w:spacing w:val="-5"/>
          <w:sz w:val="18"/>
        </w:rPr>
        <w:t> </w:t>
      </w:r>
      <w:r>
        <w:rPr>
          <w:sz w:val="18"/>
        </w:rPr>
        <w:t>the</w:t>
      </w:r>
      <w:r>
        <w:rPr>
          <w:spacing w:val="-4"/>
          <w:sz w:val="18"/>
        </w:rPr>
        <w:t> </w:t>
      </w:r>
      <w:r>
        <w:rPr>
          <w:sz w:val="18"/>
        </w:rPr>
        <w:t>cut-off</w:t>
      </w:r>
      <w:r>
        <w:rPr>
          <w:spacing w:val="-5"/>
          <w:sz w:val="18"/>
        </w:rPr>
        <w:t> </w:t>
      </w:r>
      <w:r>
        <w:rPr>
          <w:sz w:val="18"/>
        </w:rPr>
        <w:t>31/08/2023);</w:t>
      </w:r>
      <w:r>
        <w:rPr>
          <w:spacing w:val="-4"/>
          <w:sz w:val="18"/>
        </w:rPr>
        <w:t> </w:t>
      </w:r>
      <w:r>
        <w:rPr>
          <w:sz w:val="18"/>
        </w:rPr>
        <w:t>and</w:t>
      </w:r>
      <w:r>
        <w:rPr>
          <w:spacing w:val="-5"/>
          <w:sz w:val="18"/>
        </w:rPr>
        <w:t> </w:t>
      </w:r>
      <w:r>
        <w:rPr>
          <w:sz w:val="18"/>
        </w:rPr>
        <w:t>1185</w:t>
      </w:r>
      <w:r>
        <w:rPr>
          <w:spacing w:val="-4"/>
          <w:sz w:val="18"/>
        </w:rPr>
        <w:t> </w:t>
      </w:r>
      <w:r>
        <w:rPr>
          <w:sz w:val="18"/>
        </w:rPr>
        <w:t>regulations</w:t>
      </w:r>
      <w:r>
        <w:rPr>
          <w:spacing w:val="-5"/>
          <w:sz w:val="18"/>
        </w:rPr>
        <w:t> </w:t>
      </w:r>
      <w:r>
        <w:rPr>
          <w:sz w:val="18"/>
        </w:rPr>
        <w:t>were</w:t>
      </w:r>
      <w:r>
        <w:rPr>
          <w:spacing w:val="-4"/>
          <w:sz w:val="18"/>
        </w:rPr>
        <w:t> </w:t>
      </w:r>
      <w:r>
        <w:rPr>
          <w:sz w:val="18"/>
        </w:rPr>
        <w:t>adopted in 2022. Total: 1,930 regulations were adopted between 1 January 2022 and 31 August 2023, regardless of the subject </w:t>
      </w:r>
      <w:r>
        <w:rPr>
          <w:spacing w:val="-2"/>
          <w:sz w:val="18"/>
        </w:rPr>
        <w:t>matter.</w:t>
      </w:r>
    </w:p>
    <w:p>
      <w:pPr>
        <w:pStyle w:val="ListParagraph"/>
        <w:numPr>
          <w:ilvl w:val="0"/>
          <w:numId w:val="51"/>
        </w:numPr>
        <w:tabs>
          <w:tab w:pos="1287" w:val="left" w:leader="none"/>
        </w:tabs>
        <w:spacing w:line="240" w:lineRule="auto" w:before="1" w:after="0"/>
        <w:ind w:left="1287" w:right="0" w:hanging="567"/>
        <w:jc w:val="left"/>
        <w:rPr>
          <w:sz w:val="18"/>
        </w:rPr>
      </w:pPr>
      <w:r>
        <w:rPr>
          <w:sz w:val="18"/>
        </w:rPr>
        <w:t>To</w:t>
      </w:r>
      <w:r>
        <w:rPr>
          <w:spacing w:val="-7"/>
          <w:sz w:val="18"/>
        </w:rPr>
        <w:t> </w:t>
      </w:r>
      <w:r>
        <w:rPr>
          <w:sz w:val="18"/>
        </w:rPr>
        <w:t>identify</w:t>
      </w:r>
      <w:r>
        <w:rPr>
          <w:spacing w:val="-7"/>
          <w:sz w:val="18"/>
        </w:rPr>
        <w:t> </w:t>
      </w:r>
      <w:r>
        <w:rPr>
          <w:sz w:val="18"/>
        </w:rPr>
        <w:t>proposed</w:t>
      </w:r>
      <w:r>
        <w:rPr>
          <w:spacing w:val="-7"/>
          <w:sz w:val="18"/>
        </w:rPr>
        <w:t> </w:t>
      </w:r>
      <w:r>
        <w:rPr>
          <w:sz w:val="18"/>
        </w:rPr>
        <w:t>EU</w:t>
      </w:r>
      <w:r>
        <w:rPr>
          <w:spacing w:val="-6"/>
          <w:sz w:val="18"/>
        </w:rPr>
        <w:t> </w:t>
      </w:r>
      <w:r>
        <w:rPr>
          <w:sz w:val="18"/>
        </w:rPr>
        <w:t>legislation,</w:t>
      </w:r>
      <w:r>
        <w:rPr>
          <w:spacing w:val="-6"/>
          <w:sz w:val="18"/>
        </w:rPr>
        <w:t> </w:t>
      </w:r>
      <w:r>
        <w:rPr>
          <w:sz w:val="18"/>
        </w:rPr>
        <w:t>we</w:t>
      </w:r>
      <w:r>
        <w:rPr>
          <w:spacing w:val="-6"/>
          <w:sz w:val="18"/>
        </w:rPr>
        <w:t> </w:t>
      </w:r>
      <w:r>
        <w:rPr>
          <w:sz w:val="18"/>
        </w:rPr>
        <w:t>used:</w:t>
      </w:r>
      <w:r>
        <w:rPr>
          <w:spacing w:val="-6"/>
          <w:sz w:val="18"/>
        </w:rPr>
        <w:t> </w:t>
      </w:r>
      <w:r>
        <w:rPr>
          <w:sz w:val="18"/>
        </w:rPr>
        <w:t>European</w:t>
      </w:r>
      <w:r>
        <w:rPr>
          <w:spacing w:val="-7"/>
          <w:sz w:val="18"/>
        </w:rPr>
        <w:t> </w:t>
      </w:r>
      <w:r>
        <w:rPr>
          <w:sz w:val="18"/>
        </w:rPr>
        <w:t>Commission,</w:t>
      </w:r>
      <w:r>
        <w:rPr>
          <w:spacing w:val="-6"/>
          <w:sz w:val="18"/>
        </w:rPr>
        <w:t> </w:t>
      </w:r>
      <w:r>
        <w:rPr>
          <w:sz w:val="18"/>
        </w:rPr>
        <w:t>‘</w:t>
      </w:r>
      <w:hyperlink r:id="rId119">
        <w:r>
          <w:rPr>
            <w:color w:val="1D71B8"/>
            <w:sz w:val="18"/>
            <w:u w:val="single" w:color="1D71B8"/>
          </w:rPr>
          <w:t>Published</w:t>
        </w:r>
        <w:r>
          <w:rPr>
            <w:color w:val="1D71B8"/>
            <w:spacing w:val="-7"/>
            <w:sz w:val="18"/>
            <w:u w:val="single" w:color="1D71B8"/>
          </w:rPr>
          <w:t> </w:t>
        </w:r>
        <w:r>
          <w:rPr>
            <w:color w:val="1D71B8"/>
            <w:spacing w:val="-2"/>
            <w:sz w:val="18"/>
            <w:u w:val="single" w:color="1D71B8"/>
          </w:rPr>
          <w:t>Initiatives</w:t>
        </w:r>
      </w:hyperlink>
      <w:r>
        <w:rPr>
          <w:spacing w:val="-2"/>
          <w:sz w:val="18"/>
          <w:u w:val="none"/>
        </w:rPr>
        <w:t>’.</w:t>
      </w:r>
    </w:p>
    <w:p>
      <w:pPr>
        <w:pStyle w:val="ListParagraph"/>
        <w:numPr>
          <w:ilvl w:val="0"/>
          <w:numId w:val="51"/>
        </w:numPr>
        <w:tabs>
          <w:tab w:pos="1287" w:val="left" w:leader="none"/>
        </w:tabs>
        <w:spacing w:line="240" w:lineRule="auto" w:before="1" w:after="0"/>
        <w:ind w:left="1287" w:right="1176" w:hanging="567"/>
        <w:jc w:val="left"/>
        <w:rPr>
          <w:sz w:val="18"/>
        </w:rPr>
      </w:pPr>
      <w:r>
        <w:rPr>
          <w:sz w:val="18"/>
        </w:rPr>
        <w:t>For</w:t>
      </w:r>
      <w:r>
        <w:rPr>
          <w:spacing w:val="-3"/>
          <w:sz w:val="18"/>
        </w:rPr>
        <w:t> </w:t>
      </w:r>
      <w:r>
        <w:rPr>
          <w:sz w:val="18"/>
        </w:rPr>
        <w:t>a</w:t>
      </w:r>
      <w:r>
        <w:rPr>
          <w:spacing w:val="-4"/>
          <w:sz w:val="18"/>
        </w:rPr>
        <w:t> </w:t>
      </w:r>
      <w:r>
        <w:rPr>
          <w:sz w:val="18"/>
        </w:rPr>
        <w:t>piece</w:t>
      </w:r>
      <w:r>
        <w:rPr>
          <w:spacing w:val="-3"/>
          <w:sz w:val="18"/>
        </w:rPr>
        <w:t> </w:t>
      </w:r>
      <w:r>
        <w:rPr>
          <w:sz w:val="18"/>
        </w:rPr>
        <w:t>of</w:t>
      </w:r>
      <w:r>
        <w:rPr>
          <w:spacing w:val="-4"/>
          <w:sz w:val="18"/>
        </w:rPr>
        <w:t> </w:t>
      </w:r>
      <w:r>
        <w:rPr>
          <w:sz w:val="18"/>
        </w:rPr>
        <w:t>EU</w:t>
      </w:r>
      <w:r>
        <w:rPr>
          <w:spacing w:val="-3"/>
          <w:sz w:val="18"/>
        </w:rPr>
        <w:t> </w:t>
      </w:r>
      <w:r>
        <w:rPr>
          <w:sz w:val="18"/>
        </w:rPr>
        <w:t>law</w:t>
      </w:r>
      <w:r>
        <w:rPr>
          <w:spacing w:val="-3"/>
          <w:sz w:val="18"/>
        </w:rPr>
        <w:t> </w:t>
      </w:r>
      <w:r>
        <w:rPr>
          <w:sz w:val="18"/>
        </w:rPr>
        <w:t>to</w:t>
      </w:r>
      <w:r>
        <w:rPr>
          <w:spacing w:val="-4"/>
          <w:sz w:val="18"/>
        </w:rPr>
        <w:t> </w:t>
      </w:r>
      <w:r>
        <w:rPr>
          <w:sz w:val="18"/>
        </w:rPr>
        <w:t>be</w:t>
      </w:r>
      <w:r>
        <w:rPr>
          <w:spacing w:val="-3"/>
          <w:sz w:val="18"/>
        </w:rPr>
        <w:t> </w:t>
      </w:r>
      <w:r>
        <w:rPr>
          <w:sz w:val="18"/>
        </w:rPr>
        <w:t>proposed,</w:t>
      </w:r>
      <w:r>
        <w:rPr>
          <w:spacing w:val="-3"/>
          <w:sz w:val="18"/>
        </w:rPr>
        <w:t> </w:t>
      </w:r>
      <w:r>
        <w:rPr>
          <w:sz w:val="18"/>
        </w:rPr>
        <w:t>the</w:t>
      </w:r>
      <w:r>
        <w:rPr>
          <w:spacing w:val="-3"/>
          <w:sz w:val="18"/>
        </w:rPr>
        <w:t> </w:t>
      </w:r>
      <w:r>
        <w:rPr>
          <w:sz w:val="18"/>
        </w:rPr>
        <w:t>European</w:t>
      </w:r>
      <w:r>
        <w:rPr>
          <w:spacing w:val="-4"/>
          <w:sz w:val="18"/>
        </w:rPr>
        <w:t> </w:t>
      </w:r>
      <w:r>
        <w:rPr>
          <w:sz w:val="18"/>
        </w:rPr>
        <w:t>Commission</w:t>
      </w:r>
      <w:r>
        <w:rPr>
          <w:spacing w:val="-4"/>
          <w:sz w:val="18"/>
        </w:rPr>
        <w:t> </w:t>
      </w:r>
      <w:r>
        <w:rPr>
          <w:sz w:val="18"/>
        </w:rPr>
        <w:t>must</w:t>
      </w:r>
      <w:r>
        <w:rPr>
          <w:spacing w:val="-3"/>
          <w:sz w:val="18"/>
        </w:rPr>
        <w:t> </w:t>
      </w:r>
      <w:r>
        <w:rPr>
          <w:sz w:val="18"/>
        </w:rPr>
        <w:t>make</w:t>
      </w:r>
      <w:r>
        <w:rPr>
          <w:spacing w:val="-3"/>
          <w:sz w:val="18"/>
        </w:rPr>
        <w:t> </w:t>
      </w:r>
      <w:r>
        <w:rPr>
          <w:sz w:val="18"/>
        </w:rPr>
        <w:t>a</w:t>
      </w:r>
      <w:r>
        <w:rPr>
          <w:spacing w:val="-4"/>
          <w:sz w:val="18"/>
        </w:rPr>
        <w:t> </w:t>
      </w:r>
      <w:r>
        <w:rPr>
          <w:sz w:val="18"/>
        </w:rPr>
        <w:t>legislative</w:t>
      </w:r>
      <w:r>
        <w:rPr>
          <w:spacing w:val="-3"/>
          <w:sz w:val="18"/>
        </w:rPr>
        <w:t> </w:t>
      </w:r>
      <w:r>
        <w:rPr>
          <w:sz w:val="18"/>
        </w:rPr>
        <w:t>proposal</w:t>
      </w:r>
      <w:r>
        <w:rPr>
          <w:spacing w:val="-4"/>
          <w:sz w:val="18"/>
        </w:rPr>
        <w:t> </w:t>
      </w:r>
      <w:r>
        <w:rPr>
          <w:sz w:val="18"/>
        </w:rPr>
        <w:t>which</w:t>
      </w:r>
      <w:r>
        <w:rPr>
          <w:spacing w:val="-4"/>
          <w:sz w:val="18"/>
        </w:rPr>
        <w:t> </w:t>
      </w:r>
      <w:r>
        <w:rPr>
          <w:sz w:val="18"/>
        </w:rPr>
        <w:t>must</w:t>
      </w:r>
      <w:r>
        <w:rPr>
          <w:spacing w:val="-3"/>
          <w:sz w:val="18"/>
        </w:rPr>
        <w:t> </w:t>
      </w:r>
      <w:r>
        <w:rPr>
          <w:sz w:val="18"/>
        </w:rPr>
        <w:t>be</w:t>
      </w:r>
      <w:r>
        <w:rPr>
          <w:spacing w:val="-3"/>
          <w:sz w:val="18"/>
        </w:rPr>
        <w:t> </w:t>
      </w:r>
      <w:r>
        <w:rPr>
          <w:sz w:val="18"/>
        </w:rPr>
        <w:t>adopted by the college of the members of the Commission. The transformation of proposed EU legislation into adopted EU legislation tends to then takes place when both the EU Parliament and the Council of the EU approve the proposal.</w:t>
      </w:r>
    </w:p>
    <w:p>
      <w:pPr>
        <w:spacing w:after="0" w:line="240" w:lineRule="auto"/>
        <w:jc w:val="left"/>
        <w:rPr>
          <w:sz w:val="18"/>
        </w:rPr>
        <w:sectPr>
          <w:pgSz w:w="11910" w:h="16840"/>
          <w:pgMar w:top="0" w:bottom="280" w:left="300" w:right="280"/>
        </w:sectPr>
      </w:pPr>
    </w:p>
    <w:p>
      <w:pPr>
        <w:pStyle w:val="BodyText"/>
        <w:rPr>
          <w:sz w:val="20"/>
        </w:rPr>
      </w:pPr>
    </w:p>
    <w:p>
      <w:pPr>
        <w:pStyle w:val="BodyText"/>
        <w:spacing w:before="29"/>
        <w:rPr>
          <w:sz w:val="20"/>
        </w:rPr>
      </w:pPr>
    </w:p>
    <w:p>
      <w:pPr>
        <w:spacing w:after="0"/>
        <w:rPr>
          <w:sz w:val="20"/>
        </w:rPr>
        <w:sectPr>
          <w:pgSz w:w="11910" w:h="16840"/>
          <w:pgMar w:top="0" w:bottom="280" w:left="300" w:right="280"/>
        </w:sectPr>
      </w:pPr>
    </w:p>
    <w:p>
      <w:pPr>
        <w:spacing w:before="61"/>
        <w:ind w:left="4140" w:right="0" w:firstLine="0"/>
        <w:jc w:val="left"/>
        <w:rPr>
          <w:b/>
          <w:sz w:val="24"/>
        </w:rPr>
      </w:pP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spacing w:before="44"/>
        <w:ind w:left="426" w:right="0" w:firstLine="0"/>
        <w:jc w:val="left"/>
        <w:rPr>
          <w:b/>
          <w:sz w:val="28"/>
        </w:rPr>
      </w:pPr>
      <w:r>
        <w:rPr/>
        <w:br w:type="column"/>
      </w:r>
      <w:r>
        <w:rPr>
          <w:b/>
          <w:color w:val="FFFFFF"/>
          <w:spacing w:val="-5"/>
          <w:sz w:val="28"/>
        </w:rPr>
        <w:t>153</w:t>
      </w:r>
    </w:p>
    <w:p>
      <w:pPr>
        <w:spacing w:after="0"/>
        <w:jc w:val="left"/>
        <w:rPr>
          <w:sz w:val="28"/>
        </w:rPr>
        <w:sectPr>
          <w:type w:val="continuous"/>
          <w:pgSz w:w="11910" w:h="16840"/>
          <w:pgMar w:top="1000" w:bottom="280" w:left="300" w:right="280"/>
          <w:cols w:num="2" w:equalWidth="0">
            <w:col w:w="10303" w:space="40"/>
            <w:col w:w="987"/>
          </w:cols>
        </w:sectPr>
      </w:pPr>
    </w:p>
    <w:p>
      <w:pPr>
        <w:pStyle w:val="BodyText"/>
        <w:rPr>
          <w:b/>
        </w:rPr>
      </w:pPr>
      <w:r>
        <w:rPr/>
        <mc:AlternateContent>
          <mc:Choice Requires="wps">
            <w:drawing>
              <wp:anchor distT="0" distB="0" distL="0" distR="0" allowOverlap="1" layoutInCell="1" locked="0" behindDoc="1" simplePos="0" relativeHeight="484135936">
                <wp:simplePos x="0" y="0"/>
                <wp:positionH relativeFrom="page">
                  <wp:posOffset>-2</wp:posOffset>
                </wp:positionH>
                <wp:positionV relativeFrom="page">
                  <wp:posOffset>0</wp:posOffset>
                </wp:positionV>
                <wp:extent cx="7560309" cy="1155065"/>
                <wp:effectExtent l="0" t="0" r="0" b="0"/>
                <wp:wrapNone/>
                <wp:docPr id="1207" name="Group 1207"/>
                <wp:cNvGraphicFramePr>
                  <a:graphicFrameLocks/>
                </wp:cNvGraphicFramePr>
                <a:graphic>
                  <a:graphicData uri="http://schemas.microsoft.com/office/word/2010/wordprocessingGroup">
                    <wpg:wgp>
                      <wpg:cNvPr id="1207" name="Group 1207"/>
                      <wpg:cNvGrpSpPr/>
                      <wpg:grpSpPr>
                        <a:xfrm>
                          <a:off x="0" y="0"/>
                          <a:ext cx="7560309" cy="1155065"/>
                          <a:chExt cx="7560309" cy="1155065"/>
                        </a:xfrm>
                      </wpg:grpSpPr>
                      <wps:wsp>
                        <wps:cNvPr id="1208" name="Graphic 1208"/>
                        <wps:cNvSpPr/>
                        <wps:spPr>
                          <a:xfrm>
                            <a:off x="0" y="0"/>
                            <a:ext cx="7560309" cy="1155065"/>
                          </a:xfrm>
                          <a:custGeom>
                            <a:avLst/>
                            <a:gdLst/>
                            <a:ahLst/>
                            <a:cxnLst/>
                            <a:rect l="l" t="t" r="r" b="b"/>
                            <a:pathLst>
                              <a:path w="7560309" h="1155065">
                                <a:moveTo>
                                  <a:pt x="7560007" y="0"/>
                                </a:moveTo>
                                <a:lnTo>
                                  <a:pt x="0" y="0"/>
                                </a:lnTo>
                                <a:lnTo>
                                  <a:pt x="0" y="794129"/>
                                </a:lnTo>
                                <a:lnTo>
                                  <a:pt x="6840004" y="794129"/>
                                </a:lnTo>
                                <a:lnTo>
                                  <a:pt x="6887801" y="795377"/>
                                </a:lnTo>
                                <a:lnTo>
                                  <a:pt x="6934949" y="799078"/>
                                </a:lnTo>
                                <a:lnTo>
                                  <a:pt x="6981385" y="805171"/>
                                </a:lnTo>
                                <a:lnTo>
                                  <a:pt x="7027047" y="813592"/>
                                </a:lnTo>
                                <a:lnTo>
                                  <a:pt x="7071873" y="824281"/>
                                </a:lnTo>
                                <a:lnTo>
                                  <a:pt x="7115800" y="837174"/>
                                </a:lnTo>
                                <a:lnTo>
                                  <a:pt x="7158766" y="852210"/>
                                </a:lnTo>
                                <a:lnTo>
                                  <a:pt x="7200709" y="869327"/>
                                </a:lnTo>
                                <a:lnTo>
                                  <a:pt x="7241567" y="888461"/>
                                </a:lnTo>
                                <a:lnTo>
                                  <a:pt x="7281278" y="909552"/>
                                </a:lnTo>
                                <a:lnTo>
                                  <a:pt x="7319779" y="932536"/>
                                </a:lnTo>
                                <a:lnTo>
                                  <a:pt x="7357008" y="957352"/>
                                </a:lnTo>
                                <a:lnTo>
                                  <a:pt x="7392903" y="983938"/>
                                </a:lnTo>
                                <a:lnTo>
                                  <a:pt x="7427403" y="1012230"/>
                                </a:lnTo>
                                <a:lnTo>
                                  <a:pt x="7460443" y="1042168"/>
                                </a:lnTo>
                                <a:lnTo>
                                  <a:pt x="7491964" y="1073688"/>
                                </a:lnTo>
                                <a:lnTo>
                                  <a:pt x="7521901" y="1106729"/>
                                </a:lnTo>
                                <a:lnTo>
                                  <a:pt x="7550194" y="1141228"/>
                                </a:lnTo>
                                <a:lnTo>
                                  <a:pt x="7560007" y="1154478"/>
                                </a:lnTo>
                                <a:lnTo>
                                  <a:pt x="7560007" y="0"/>
                                </a:lnTo>
                                <a:close/>
                              </a:path>
                            </a:pathLst>
                          </a:custGeom>
                          <a:solidFill>
                            <a:srgbClr val="164194"/>
                          </a:solidFill>
                        </wps:spPr>
                        <wps:bodyPr wrap="square" lIns="0" tIns="0" rIns="0" bIns="0" rtlCol="0">
                          <a:prstTxWarp prst="textNoShape">
                            <a:avLst/>
                          </a:prstTxWarp>
                          <a:noAutofit/>
                        </wps:bodyPr>
                      </wps:wsp>
                      <wps:wsp>
                        <wps:cNvPr id="1209" name="Graphic 1209"/>
                        <wps:cNvSpPr/>
                        <wps:spPr>
                          <a:xfrm>
                            <a:off x="6918351"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192pt;margin-top:-.00002pt;width:595.3pt;height:90.95pt;mso-position-horizontal-relative:page;mso-position-vertical-relative:page;z-index:-19180544" id="docshapegroup994" coordorigin="0,0" coordsize="11906,1819">
                <v:shape style="position:absolute;left:0;top:0;width:11906;height:1819" id="docshape995" coordorigin="0,0" coordsize="11906,1819" path="m11906,0l0,0,0,1251,10772,1251,10847,1253,10921,1258,10994,1268,11066,1281,11137,1298,11206,1318,11274,1342,11340,1369,11404,1399,11467,1432,11527,1469,11586,1508,11642,1550,11697,1594,11749,1641,11798,1691,11846,1743,11890,1797,11906,1818,11906,0xe" filled="true" fillcolor="#164194" stroked="false">
                  <v:path arrowok="t"/>
                  <v:fill type="solid"/>
                </v:shape>
                <v:line style="position:absolute" from="10895,564" to="10895,919" stroked="true" strokeweight="1pt" strokecolor="#36a9e1">
                  <v:stroke dashstyle="solid"/>
                </v:line>
                <w10:wrap type="none"/>
              </v:group>
            </w:pict>
          </mc:Fallback>
        </mc:AlternateContent>
      </w:r>
    </w:p>
    <w:p>
      <w:pPr>
        <w:pStyle w:val="BodyText"/>
        <w:spacing w:before="47"/>
        <w:rPr>
          <w:b/>
        </w:rPr>
      </w:pPr>
    </w:p>
    <w:p>
      <w:pPr>
        <w:pStyle w:val="BodyText"/>
        <w:spacing w:line="232" w:lineRule="auto"/>
        <w:ind w:left="1117" w:right="805"/>
      </w:pPr>
      <w:r>
        <w:rPr/>
        <w:t>We verified that we had not missed any other important developments by using the</w:t>
      </w:r>
      <w:r>
        <w:rPr>
          <w:spacing w:val="-9"/>
        </w:rPr>
        <w:t> </w:t>
      </w:r>
      <w:r>
        <w:rPr/>
        <w:t>website</w:t>
      </w:r>
      <w:r>
        <w:rPr>
          <w:spacing w:val="-9"/>
        </w:rPr>
        <w:t> </w:t>
      </w:r>
      <w:r>
        <w:rPr/>
        <w:t>of</w:t>
      </w:r>
      <w:r>
        <w:rPr>
          <w:spacing w:val="-10"/>
        </w:rPr>
        <w:t> </w:t>
      </w:r>
      <w:r>
        <w:rPr/>
        <w:t>the</w:t>
      </w:r>
      <w:r>
        <w:rPr>
          <w:spacing w:val="-9"/>
        </w:rPr>
        <w:t> </w:t>
      </w:r>
      <w:r>
        <w:rPr/>
        <w:t>European</w:t>
      </w:r>
      <w:r>
        <w:rPr>
          <w:spacing w:val="-10"/>
        </w:rPr>
        <w:t> </w:t>
      </w:r>
      <w:r>
        <w:rPr/>
        <w:t>Parliamentary</w:t>
      </w:r>
      <w:r>
        <w:rPr>
          <w:spacing w:val="-9"/>
        </w:rPr>
        <w:t> </w:t>
      </w:r>
      <w:r>
        <w:rPr/>
        <w:t>Research</w:t>
      </w:r>
      <w:r>
        <w:rPr>
          <w:spacing w:val="-10"/>
        </w:rPr>
        <w:t> </w:t>
      </w:r>
      <w:r>
        <w:rPr/>
        <w:t>Service</w:t>
      </w:r>
      <w:r>
        <w:rPr>
          <w:spacing w:val="-9"/>
        </w:rPr>
        <w:t> </w:t>
      </w:r>
      <w:r>
        <w:rPr/>
        <w:t>and</w:t>
      </w:r>
      <w:r>
        <w:rPr>
          <w:spacing w:val="-10"/>
        </w:rPr>
        <w:t> </w:t>
      </w:r>
      <w:r>
        <w:rPr/>
        <w:t>more</w:t>
      </w:r>
      <w:r>
        <w:rPr>
          <w:spacing w:val="-9"/>
        </w:rPr>
        <w:t> </w:t>
      </w:r>
      <w:r>
        <w:rPr/>
        <w:t>specifically, the webpage ‘EU Legislation in Progress’).</w:t>
      </w:r>
      <w:r>
        <w:rPr>
          <w:vertAlign w:val="superscript"/>
        </w:rPr>
        <w:t>710</w:t>
      </w:r>
      <w:r>
        <w:rPr>
          <w:vertAlign w:val="baseline"/>
        </w:rPr>
        <w:t> This resulted in the addition of a few relevant pieces of proposed EU legislation.</w:t>
      </w:r>
    </w:p>
    <w:p>
      <w:pPr>
        <w:pStyle w:val="BodyText"/>
        <w:spacing w:line="232" w:lineRule="auto" w:before="278"/>
        <w:ind w:left="1117" w:right="738"/>
      </w:pPr>
      <w:r>
        <w:rPr/>
        <w:t>Results: 17 EU directives and regulations were proposed and adopted by the Commission</w:t>
      </w:r>
      <w:r>
        <w:rPr>
          <w:spacing w:val="-7"/>
        </w:rPr>
        <w:t> </w:t>
      </w:r>
      <w:r>
        <w:rPr/>
        <w:t>between</w:t>
      </w:r>
      <w:r>
        <w:rPr>
          <w:spacing w:val="-7"/>
        </w:rPr>
        <w:t> </w:t>
      </w:r>
      <w:r>
        <w:rPr/>
        <w:t>1</w:t>
      </w:r>
      <w:r>
        <w:rPr>
          <w:spacing w:val="-6"/>
        </w:rPr>
        <w:t> </w:t>
      </w:r>
      <w:r>
        <w:rPr/>
        <w:t>January</w:t>
      </w:r>
      <w:r>
        <w:rPr>
          <w:spacing w:val="-6"/>
        </w:rPr>
        <w:t> </w:t>
      </w:r>
      <w:r>
        <w:rPr/>
        <w:t>2022</w:t>
      </w:r>
      <w:r>
        <w:rPr>
          <w:spacing w:val="-6"/>
        </w:rPr>
        <w:t> </w:t>
      </w:r>
      <w:r>
        <w:rPr/>
        <w:t>and</w:t>
      </w:r>
      <w:r>
        <w:rPr>
          <w:spacing w:val="-7"/>
        </w:rPr>
        <w:t> </w:t>
      </w:r>
      <w:r>
        <w:rPr/>
        <w:t>31</w:t>
      </w:r>
      <w:r>
        <w:rPr>
          <w:spacing w:val="-6"/>
        </w:rPr>
        <w:t> </w:t>
      </w:r>
      <w:r>
        <w:rPr/>
        <w:t>August</w:t>
      </w:r>
      <w:r>
        <w:rPr>
          <w:spacing w:val="-6"/>
        </w:rPr>
        <w:t> </w:t>
      </w:r>
      <w:r>
        <w:rPr/>
        <w:t>2023</w:t>
      </w:r>
      <w:r>
        <w:rPr>
          <w:spacing w:val="-6"/>
        </w:rPr>
        <w:t> </w:t>
      </w:r>
      <w:r>
        <w:rPr/>
        <w:t>regarding</w:t>
      </w:r>
      <w:r>
        <w:rPr>
          <w:spacing w:val="-6"/>
        </w:rPr>
        <w:t> </w:t>
      </w:r>
      <w:r>
        <w:rPr/>
        <w:t>topics</w:t>
      </w:r>
      <w:r>
        <w:rPr>
          <w:spacing w:val="-7"/>
        </w:rPr>
        <w:t> </w:t>
      </w:r>
      <w:r>
        <w:rPr/>
        <w:t>relevant to human rights and equality.</w:t>
      </w:r>
    </w:p>
    <w:p>
      <w:pPr>
        <w:spacing w:line="232" w:lineRule="auto" w:before="279"/>
        <w:ind w:left="1117" w:right="738" w:firstLine="0"/>
        <w:jc w:val="left"/>
        <w:rPr>
          <w:sz w:val="28"/>
        </w:rPr>
      </w:pPr>
      <w:r>
        <w:rPr>
          <w:b/>
          <w:sz w:val="28"/>
        </w:rPr>
        <w:t>To identify the relevance of these legislative developments for Northern Ireland, </w:t>
      </w:r>
      <w:r>
        <w:rPr>
          <w:sz w:val="28"/>
        </w:rPr>
        <w:t>we then divided adopted and proposed EU legislation adopted between 1 January 2022</w:t>
      </w:r>
      <w:r>
        <w:rPr>
          <w:spacing w:val="-6"/>
          <w:sz w:val="28"/>
        </w:rPr>
        <w:t> </w:t>
      </w:r>
      <w:r>
        <w:rPr>
          <w:sz w:val="28"/>
        </w:rPr>
        <w:t>and</w:t>
      </w:r>
      <w:r>
        <w:rPr>
          <w:spacing w:val="-7"/>
          <w:sz w:val="28"/>
        </w:rPr>
        <w:t> </w:t>
      </w:r>
      <w:r>
        <w:rPr>
          <w:sz w:val="28"/>
        </w:rPr>
        <w:t>31</w:t>
      </w:r>
      <w:r>
        <w:rPr>
          <w:spacing w:val="-6"/>
          <w:sz w:val="28"/>
        </w:rPr>
        <w:t> </w:t>
      </w:r>
      <w:r>
        <w:rPr>
          <w:sz w:val="28"/>
        </w:rPr>
        <w:t>August</w:t>
      </w:r>
      <w:r>
        <w:rPr>
          <w:spacing w:val="-6"/>
          <w:sz w:val="28"/>
        </w:rPr>
        <w:t> </w:t>
      </w:r>
      <w:r>
        <w:rPr>
          <w:sz w:val="28"/>
        </w:rPr>
        <w:t>2023</w:t>
      </w:r>
      <w:r>
        <w:rPr>
          <w:spacing w:val="-6"/>
          <w:sz w:val="28"/>
        </w:rPr>
        <w:t> </w:t>
      </w:r>
      <w:r>
        <w:rPr>
          <w:sz w:val="28"/>
        </w:rPr>
        <w:t>regarding</w:t>
      </w:r>
      <w:r>
        <w:rPr>
          <w:spacing w:val="-6"/>
          <w:sz w:val="28"/>
        </w:rPr>
        <w:t> </w:t>
      </w:r>
      <w:r>
        <w:rPr>
          <w:sz w:val="28"/>
        </w:rPr>
        <w:t>topics</w:t>
      </w:r>
      <w:r>
        <w:rPr>
          <w:spacing w:val="-7"/>
          <w:sz w:val="28"/>
        </w:rPr>
        <w:t> </w:t>
      </w:r>
      <w:r>
        <w:rPr>
          <w:sz w:val="28"/>
        </w:rPr>
        <w:t>potentially</w:t>
      </w:r>
      <w:r>
        <w:rPr>
          <w:spacing w:val="-6"/>
          <w:sz w:val="28"/>
        </w:rPr>
        <w:t> </w:t>
      </w:r>
      <w:r>
        <w:rPr>
          <w:sz w:val="28"/>
        </w:rPr>
        <w:t>relevant</w:t>
      </w:r>
      <w:r>
        <w:rPr>
          <w:spacing w:val="-6"/>
          <w:sz w:val="28"/>
        </w:rPr>
        <w:t> </w:t>
      </w:r>
      <w:r>
        <w:rPr>
          <w:sz w:val="28"/>
        </w:rPr>
        <w:t>to</w:t>
      </w:r>
      <w:r>
        <w:rPr>
          <w:spacing w:val="-7"/>
          <w:sz w:val="28"/>
        </w:rPr>
        <w:t> </w:t>
      </w:r>
      <w:r>
        <w:rPr>
          <w:sz w:val="28"/>
        </w:rPr>
        <w:t>human</w:t>
      </w:r>
      <w:r>
        <w:rPr>
          <w:spacing w:val="-7"/>
          <w:sz w:val="28"/>
        </w:rPr>
        <w:t> </w:t>
      </w:r>
      <w:r>
        <w:rPr>
          <w:sz w:val="28"/>
        </w:rPr>
        <w:t>rights</w:t>
      </w:r>
      <w:r>
        <w:rPr>
          <w:spacing w:val="-7"/>
          <w:sz w:val="28"/>
        </w:rPr>
        <w:t> </w:t>
      </w:r>
      <w:r>
        <w:rPr>
          <w:sz w:val="28"/>
        </w:rPr>
        <w:t>and equality, into two categories:</w:t>
      </w:r>
    </w:p>
    <w:p>
      <w:pPr>
        <w:pStyle w:val="ListParagraph"/>
        <w:numPr>
          <w:ilvl w:val="1"/>
          <w:numId w:val="66"/>
        </w:numPr>
        <w:tabs>
          <w:tab w:pos="1457" w:val="left" w:leader="none"/>
        </w:tabs>
        <w:spacing w:line="343" w:lineRule="exact" w:before="255" w:after="0"/>
        <w:ind w:left="1457" w:right="0" w:hanging="340"/>
        <w:jc w:val="left"/>
        <w:rPr>
          <w:sz w:val="28"/>
        </w:rPr>
      </w:pPr>
      <w:r>
        <w:rPr>
          <w:sz w:val="28"/>
        </w:rPr>
        <w:t>EU</w:t>
      </w:r>
      <w:r>
        <w:rPr>
          <w:spacing w:val="-5"/>
          <w:sz w:val="28"/>
        </w:rPr>
        <w:t> </w:t>
      </w:r>
      <w:r>
        <w:rPr>
          <w:sz w:val="28"/>
        </w:rPr>
        <w:t>law</w:t>
      </w:r>
      <w:r>
        <w:rPr>
          <w:spacing w:val="-4"/>
          <w:sz w:val="28"/>
        </w:rPr>
        <w:t> </w:t>
      </w:r>
      <w:r>
        <w:rPr>
          <w:sz w:val="28"/>
        </w:rPr>
        <w:t>that</w:t>
      </w:r>
      <w:r>
        <w:rPr>
          <w:spacing w:val="-5"/>
          <w:sz w:val="28"/>
        </w:rPr>
        <w:t> </w:t>
      </w:r>
      <w:r>
        <w:rPr>
          <w:sz w:val="28"/>
        </w:rPr>
        <w:t>could</w:t>
      </w:r>
      <w:r>
        <w:rPr>
          <w:spacing w:val="-5"/>
          <w:sz w:val="28"/>
        </w:rPr>
        <w:t> </w:t>
      </w:r>
      <w:r>
        <w:rPr>
          <w:sz w:val="28"/>
        </w:rPr>
        <w:t>potentially</w:t>
      </w:r>
      <w:r>
        <w:rPr>
          <w:spacing w:val="-5"/>
          <w:sz w:val="28"/>
        </w:rPr>
        <w:t> </w:t>
      </w:r>
      <w:r>
        <w:rPr>
          <w:sz w:val="28"/>
        </w:rPr>
        <w:t>amend</w:t>
      </w:r>
      <w:r>
        <w:rPr>
          <w:spacing w:val="-5"/>
          <w:sz w:val="28"/>
        </w:rPr>
        <w:t> </w:t>
      </w:r>
      <w:r>
        <w:rPr>
          <w:sz w:val="28"/>
        </w:rPr>
        <w:t>and/or</w:t>
      </w:r>
      <w:r>
        <w:rPr>
          <w:spacing w:val="-4"/>
          <w:sz w:val="28"/>
        </w:rPr>
        <w:t> </w:t>
      </w:r>
      <w:r>
        <w:rPr>
          <w:sz w:val="28"/>
        </w:rPr>
        <w:t>update</w:t>
      </w:r>
      <w:r>
        <w:rPr>
          <w:spacing w:val="-5"/>
          <w:sz w:val="28"/>
        </w:rPr>
        <w:t> </w:t>
      </w:r>
      <w:r>
        <w:rPr>
          <w:sz w:val="28"/>
        </w:rPr>
        <w:t>an</w:t>
      </w:r>
      <w:r>
        <w:rPr>
          <w:spacing w:val="-5"/>
          <w:sz w:val="28"/>
        </w:rPr>
        <w:t> </w:t>
      </w:r>
      <w:r>
        <w:rPr>
          <w:sz w:val="28"/>
        </w:rPr>
        <w:t>Annex</w:t>
      </w:r>
      <w:r>
        <w:rPr>
          <w:spacing w:val="-6"/>
          <w:sz w:val="28"/>
        </w:rPr>
        <w:t> </w:t>
      </w:r>
      <w:r>
        <w:rPr>
          <w:sz w:val="28"/>
        </w:rPr>
        <w:t>1</w:t>
      </w:r>
      <w:r>
        <w:rPr>
          <w:spacing w:val="-4"/>
          <w:sz w:val="28"/>
        </w:rPr>
        <w:t> </w:t>
      </w:r>
      <w:r>
        <w:rPr>
          <w:spacing w:val="-2"/>
          <w:sz w:val="28"/>
        </w:rPr>
        <w:t>Directive;</w:t>
      </w:r>
    </w:p>
    <w:p>
      <w:pPr>
        <w:pStyle w:val="ListParagraph"/>
        <w:numPr>
          <w:ilvl w:val="1"/>
          <w:numId w:val="66"/>
        </w:numPr>
        <w:tabs>
          <w:tab w:pos="1457" w:val="left" w:leader="none"/>
        </w:tabs>
        <w:spacing w:line="232" w:lineRule="auto" w:before="0" w:after="0"/>
        <w:ind w:left="1457" w:right="794" w:hanging="341"/>
        <w:jc w:val="left"/>
        <w:rPr>
          <w:sz w:val="28"/>
        </w:rPr>
      </w:pPr>
      <w:r>
        <w:rPr>
          <w:sz w:val="28"/>
        </w:rPr>
        <w:t>EU</w:t>
      </w:r>
      <w:r>
        <w:rPr>
          <w:spacing w:val="-5"/>
          <w:sz w:val="28"/>
        </w:rPr>
        <w:t> </w:t>
      </w:r>
      <w:r>
        <w:rPr>
          <w:sz w:val="28"/>
        </w:rPr>
        <w:t>law</w:t>
      </w:r>
      <w:r>
        <w:rPr>
          <w:spacing w:val="-5"/>
          <w:sz w:val="28"/>
        </w:rPr>
        <w:t> </w:t>
      </w:r>
      <w:r>
        <w:rPr>
          <w:sz w:val="28"/>
        </w:rPr>
        <w:t>that</w:t>
      </w:r>
      <w:r>
        <w:rPr>
          <w:spacing w:val="-5"/>
          <w:sz w:val="28"/>
        </w:rPr>
        <w:t> </w:t>
      </w:r>
      <w:r>
        <w:rPr>
          <w:sz w:val="28"/>
        </w:rPr>
        <w:t>does</w:t>
      </w:r>
      <w:r>
        <w:rPr>
          <w:spacing w:val="-6"/>
          <w:sz w:val="28"/>
        </w:rPr>
        <w:t> </w:t>
      </w:r>
      <w:r>
        <w:rPr>
          <w:sz w:val="28"/>
        </w:rPr>
        <w:t>not</w:t>
      </w:r>
      <w:r>
        <w:rPr>
          <w:spacing w:val="-5"/>
          <w:sz w:val="28"/>
        </w:rPr>
        <w:t> </w:t>
      </w:r>
      <w:r>
        <w:rPr>
          <w:sz w:val="28"/>
        </w:rPr>
        <w:t>amend</w:t>
      </w:r>
      <w:r>
        <w:rPr>
          <w:spacing w:val="-6"/>
          <w:sz w:val="28"/>
        </w:rPr>
        <w:t> </w:t>
      </w:r>
      <w:r>
        <w:rPr>
          <w:sz w:val="28"/>
        </w:rPr>
        <w:t>and/or</w:t>
      </w:r>
      <w:r>
        <w:rPr>
          <w:spacing w:val="-5"/>
          <w:sz w:val="28"/>
        </w:rPr>
        <w:t> </w:t>
      </w:r>
      <w:r>
        <w:rPr>
          <w:sz w:val="28"/>
        </w:rPr>
        <w:t>update</w:t>
      </w:r>
      <w:r>
        <w:rPr>
          <w:spacing w:val="-5"/>
          <w:sz w:val="28"/>
        </w:rPr>
        <w:t> </w:t>
      </w:r>
      <w:r>
        <w:rPr>
          <w:sz w:val="28"/>
        </w:rPr>
        <w:t>an</w:t>
      </w:r>
      <w:r>
        <w:rPr>
          <w:spacing w:val="-6"/>
          <w:sz w:val="28"/>
        </w:rPr>
        <w:t> </w:t>
      </w:r>
      <w:r>
        <w:rPr>
          <w:sz w:val="28"/>
        </w:rPr>
        <w:t>Annex</w:t>
      </w:r>
      <w:r>
        <w:rPr>
          <w:spacing w:val="-6"/>
          <w:sz w:val="28"/>
        </w:rPr>
        <w:t> </w:t>
      </w:r>
      <w:r>
        <w:rPr>
          <w:sz w:val="28"/>
        </w:rPr>
        <w:t>1</w:t>
      </w:r>
      <w:r>
        <w:rPr>
          <w:spacing w:val="-5"/>
          <w:sz w:val="28"/>
        </w:rPr>
        <w:t> </w:t>
      </w:r>
      <w:r>
        <w:rPr>
          <w:sz w:val="28"/>
        </w:rPr>
        <w:t>Directive</w:t>
      </w:r>
      <w:r>
        <w:rPr>
          <w:spacing w:val="-5"/>
          <w:sz w:val="28"/>
        </w:rPr>
        <w:t> </w:t>
      </w:r>
      <w:r>
        <w:rPr>
          <w:sz w:val="28"/>
        </w:rPr>
        <w:t>but</w:t>
      </w:r>
      <w:r>
        <w:rPr>
          <w:spacing w:val="-5"/>
          <w:sz w:val="28"/>
        </w:rPr>
        <w:t> </w:t>
      </w:r>
      <w:r>
        <w:rPr>
          <w:sz w:val="28"/>
        </w:rPr>
        <w:t>that</w:t>
      </w:r>
      <w:r>
        <w:rPr>
          <w:spacing w:val="-5"/>
          <w:sz w:val="28"/>
        </w:rPr>
        <w:t> </w:t>
      </w:r>
      <w:r>
        <w:rPr>
          <w:sz w:val="28"/>
        </w:rPr>
        <w:t>would have applied to NI, had the UK remained in the EU.</w:t>
      </w:r>
    </w:p>
    <w:p>
      <w:pPr>
        <w:pStyle w:val="BodyText"/>
        <w:spacing w:line="232" w:lineRule="auto" w:before="276"/>
        <w:ind w:left="1117" w:right="738"/>
      </w:pPr>
      <w:r>
        <w:rPr/>
        <w:t>This categorisation allowed us to identify: which EU legal measures may trigger the dynamic alignment or the keeping pace requirement in Article 2 WF for Northern Ireland;</w:t>
      </w:r>
      <w:r>
        <w:rPr>
          <w:spacing w:val="-5"/>
        </w:rPr>
        <w:t> </w:t>
      </w:r>
      <w:r>
        <w:rPr/>
        <w:t>and</w:t>
      </w:r>
      <w:r>
        <w:rPr>
          <w:spacing w:val="-6"/>
        </w:rPr>
        <w:t> </w:t>
      </w:r>
      <w:r>
        <w:rPr/>
        <w:t>which</w:t>
      </w:r>
      <w:r>
        <w:rPr>
          <w:spacing w:val="-6"/>
        </w:rPr>
        <w:t> </w:t>
      </w:r>
      <w:r>
        <w:rPr/>
        <w:t>EU</w:t>
      </w:r>
      <w:r>
        <w:rPr>
          <w:spacing w:val="-5"/>
        </w:rPr>
        <w:t> </w:t>
      </w:r>
      <w:r>
        <w:rPr/>
        <w:t>legal</w:t>
      </w:r>
      <w:r>
        <w:rPr>
          <w:spacing w:val="-6"/>
        </w:rPr>
        <w:t> </w:t>
      </w:r>
      <w:r>
        <w:rPr/>
        <w:t>measures,</w:t>
      </w:r>
      <w:r>
        <w:rPr>
          <w:spacing w:val="-5"/>
        </w:rPr>
        <w:t> </w:t>
      </w:r>
      <w:r>
        <w:rPr/>
        <w:t>while</w:t>
      </w:r>
      <w:r>
        <w:rPr>
          <w:spacing w:val="-5"/>
        </w:rPr>
        <w:t> </w:t>
      </w:r>
      <w:r>
        <w:rPr/>
        <w:t>not</w:t>
      </w:r>
      <w:r>
        <w:rPr>
          <w:spacing w:val="-5"/>
        </w:rPr>
        <w:t> </w:t>
      </w:r>
      <w:r>
        <w:rPr/>
        <w:t>subject</w:t>
      </w:r>
      <w:r>
        <w:rPr>
          <w:spacing w:val="-5"/>
        </w:rPr>
        <w:t> </w:t>
      </w:r>
      <w:r>
        <w:rPr/>
        <w:t>to</w:t>
      </w:r>
      <w:r>
        <w:rPr>
          <w:spacing w:val="-6"/>
        </w:rPr>
        <w:t> </w:t>
      </w:r>
      <w:r>
        <w:rPr/>
        <w:t>dynamic</w:t>
      </w:r>
      <w:r>
        <w:rPr>
          <w:spacing w:val="-5"/>
        </w:rPr>
        <w:t> </w:t>
      </w:r>
      <w:r>
        <w:rPr/>
        <w:t>alignment,</w:t>
      </w:r>
      <w:r>
        <w:rPr>
          <w:spacing w:val="-5"/>
        </w:rPr>
        <w:t> </w:t>
      </w:r>
      <w:r>
        <w:rPr/>
        <w:t>may raise issues of possible divergence on the island of Ireland that could encourage Northern Ireland to voluntarily align to EU law standards as a matter of good </w:t>
      </w:r>
      <w:r>
        <w:rPr>
          <w:spacing w:val="-2"/>
        </w:rPr>
        <w:t>practice.</w:t>
      </w:r>
    </w:p>
    <w:p>
      <w:pPr>
        <w:pStyle w:val="BodyText"/>
        <w:spacing w:before="266"/>
        <w:ind w:left="1117"/>
      </w:pPr>
      <w:r>
        <w:rPr/>
        <w:t>Chapter</w:t>
      </w:r>
      <w:r>
        <w:rPr>
          <w:spacing w:val="-8"/>
        </w:rPr>
        <w:t> </w:t>
      </w:r>
      <w:r>
        <w:rPr/>
        <w:t>8:</w:t>
      </w:r>
      <w:r>
        <w:rPr>
          <w:spacing w:val="-7"/>
        </w:rPr>
        <w:t> </w:t>
      </w:r>
      <w:r>
        <w:rPr/>
        <w:t>Tracking</w:t>
      </w:r>
      <w:r>
        <w:rPr>
          <w:spacing w:val="-7"/>
        </w:rPr>
        <w:t> </w:t>
      </w:r>
      <w:r>
        <w:rPr/>
        <w:t>EU</w:t>
      </w:r>
      <w:r>
        <w:rPr>
          <w:spacing w:val="-7"/>
        </w:rPr>
        <w:t> </w:t>
      </w:r>
      <w:r>
        <w:rPr/>
        <w:t>Policy</w:t>
      </w:r>
      <w:r>
        <w:rPr>
          <w:spacing w:val="-7"/>
        </w:rPr>
        <w:t> </w:t>
      </w:r>
      <w:r>
        <w:rPr/>
        <w:t>Developments</w:t>
      </w:r>
      <w:r>
        <w:rPr>
          <w:spacing w:val="-8"/>
        </w:rPr>
        <w:t> </w:t>
      </w:r>
      <w:r>
        <w:rPr/>
        <w:t>and</w:t>
      </w:r>
      <w:r>
        <w:rPr>
          <w:spacing w:val="-8"/>
        </w:rPr>
        <w:t> </w:t>
      </w:r>
      <w:r>
        <w:rPr/>
        <w:t>Initiatives</w:t>
      </w:r>
      <w:r>
        <w:rPr>
          <w:spacing w:val="-8"/>
        </w:rPr>
        <w:t> </w:t>
      </w:r>
      <w:r>
        <w:rPr/>
        <w:t>since</w:t>
      </w:r>
      <w:r>
        <w:rPr>
          <w:spacing w:val="-7"/>
        </w:rPr>
        <w:t> </w:t>
      </w:r>
      <w:r>
        <w:rPr/>
        <w:t>January</w:t>
      </w:r>
      <w:r>
        <w:rPr>
          <w:spacing w:val="-7"/>
        </w:rPr>
        <w:t> </w:t>
      </w:r>
      <w:r>
        <w:rPr>
          <w:spacing w:val="-4"/>
        </w:rPr>
        <w:t>2022</w:t>
      </w:r>
    </w:p>
    <w:p>
      <w:pPr>
        <w:pStyle w:val="BodyText"/>
        <w:spacing w:line="232" w:lineRule="auto" w:before="280"/>
        <w:ind w:left="1117" w:right="1087"/>
      </w:pPr>
      <w:r>
        <w:rPr/>
        <w:t>We</w:t>
      </w:r>
      <w:r>
        <w:rPr>
          <w:spacing w:val="-7"/>
        </w:rPr>
        <w:t> </w:t>
      </w:r>
      <w:r>
        <w:rPr/>
        <w:t>used</w:t>
      </w:r>
      <w:r>
        <w:rPr>
          <w:spacing w:val="-8"/>
        </w:rPr>
        <w:t> </w:t>
      </w:r>
      <w:r>
        <w:rPr/>
        <w:t>the</w:t>
      </w:r>
      <w:r>
        <w:rPr>
          <w:spacing w:val="-7"/>
        </w:rPr>
        <w:t> </w:t>
      </w:r>
      <w:r>
        <w:rPr/>
        <w:t>website</w:t>
      </w:r>
      <w:r>
        <w:rPr>
          <w:spacing w:val="-7"/>
        </w:rPr>
        <w:t> </w:t>
      </w:r>
      <w:r>
        <w:rPr/>
        <w:t>of</w:t>
      </w:r>
      <w:r>
        <w:rPr>
          <w:spacing w:val="-8"/>
        </w:rPr>
        <w:t> </w:t>
      </w:r>
      <w:r>
        <w:rPr/>
        <w:t>the</w:t>
      </w:r>
      <w:r>
        <w:rPr>
          <w:spacing w:val="-7"/>
        </w:rPr>
        <w:t> </w:t>
      </w:r>
      <w:r>
        <w:rPr/>
        <w:t>European</w:t>
      </w:r>
      <w:r>
        <w:rPr>
          <w:spacing w:val="-8"/>
        </w:rPr>
        <w:t> </w:t>
      </w:r>
      <w:r>
        <w:rPr/>
        <w:t>Commission</w:t>
      </w:r>
      <w:r>
        <w:rPr>
          <w:spacing w:val="-8"/>
        </w:rPr>
        <w:t> </w:t>
      </w:r>
      <w:r>
        <w:rPr/>
        <w:t>and</w:t>
      </w:r>
      <w:r>
        <w:rPr>
          <w:spacing w:val="-8"/>
        </w:rPr>
        <w:t> </w:t>
      </w:r>
      <w:r>
        <w:rPr/>
        <w:t>more</w:t>
      </w:r>
      <w:r>
        <w:rPr>
          <w:spacing w:val="-7"/>
        </w:rPr>
        <w:t> </w:t>
      </w:r>
      <w:r>
        <w:rPr/>
        <w:t>specifically,</w:t>
      </w:r>
      <w:r>
        <w:rPr>
          <w:spacing w:val="-7"/>
        </w:rPr>
        <w:t> </w:t>
      </w:r>
      <w:r>
        <w:rPr/>
        <w:t>the webpage ‘</w:t>
      </w:r>
      <w:r>
        <w:rPr>
          <w:color w:val="1D71B8"/>
          <w:u w:val="single" w:color="1D71B8"/>
        </w:rPr>
        <w:t>Published Initiatives</w:t>
      </w:r>
      <w:r>
        <w:rPr>
          <w:u w:val="none"/>
        </w:rPr>
        <w:t>’, using the following parameters:</w:t>
      </w:r>
    </w:p>
    <w:p>
      <w:pPr>
        <w:pStyle w:val="ListParagraph"/>
        <w:numPr>
          <w:ilvl w:val="1"/>
          <w:numId w:val="66"/>
        </w:numPr>
        <w:tabs>
          <w:tab w:pos="1457" w:val="left" w:leader="none"/>
        </w:tabs>
        <w:spacing w:line="232" w:lineRule="auto" w:before="267" w:after="0"/>
        <w:ind w:left="1457" w:right="738" w:hanging="341"/>
        <w:jc w:val="left"/>
        <w:rPr>
          <w:sz w:val="28"/>
        </w:rPr>
      </w:pPr>
      <w:r>
        <w:rPr>
          <w:sz w:val="28"/>
        </w:rPr>
        <w:t>Topic: Justice and Fundamental Rights (when looking at proposed legislation relevant</w:t>
      </w:r>
      <w:r>
        <w:rPr>
          <w:spacing w:val="-9"/>
          <w:sz w:val="28"/>
        </w:rPr>
        <w:t> </w:t>
      </w:r>
      <w:r>
        <w:rPr>
          <w:sz w:val="28"/>
        </w:rPr>
        <w:t>to</w:t>
      </w:r>
      <w:r>
        <w:rPr>
          <w:spacing w:val="-9"/>
          <w:sz w:val="28"/>
        </w:rPr>
        <w:t> </w:t>
      </w:r>
      <w:r>
        <w:rPr>
          <w:sz w:val="28"/>
        </w:rPr>
        <w:t>justice</w:t>
      </w:r>
      <w:r>
        <w:rPr>
          <w:spacing w:val="-9"/>
          <w:sz w:val="28"/>
        </w:rPr>
        <w:t> </w:t>
      </w:r>
      <w:r>
        <w:rPr>
          <w:sz w:val="28"/>
        </w:rPr>
        <w:t>and</w:t>
      </w:r>
      <w:r>
        <w:rPr>
          <w:spacing w:val="-9"/>
          <w:sz w:val="28"/>
        </w:rPr>
        <w:t> </w:t>
      </w:r>
      <w:r>
        <w:rPr>
          <w:sz w:val="28"/>
        </w:rPr>
        <w:t>fundamental</w:t>
      </w:r>
      <w:r>
        <w:rPr>
          <w:spacing w:val="-9"/>
          <w:sz w:val="28"/>
        </w:rPr>
        <w:t> </w:t>
      </w:r>
      <w:r>
        <w:rPr>
          <w:sz w:val="28"/>
        </w:rPr>
        <w:t>rights,</w:t>
      </w:r>
      <w:r>
        <w:rPr>
          <w:spacing w:val="-9"/>
          <w:sz w:val="28"/>
        </w:rPr>
        <w:t> </w:t>
      </w:r>
      <w:r>
        <w:rPr>
          <w:sz w:val="28"/>
        </w:rPr>
        <w:t>we</w:t>
      </w:r>
      <w:r>
        <w:rPr>
          <w:spacing w:val="-9"/>
          <w:sz w:val="28"/>
        </w:rPr>
        <w:t> </w:t>
      </w:r>
      <w:r>
        <w:rPr>
          <w:sz w:val="28"/>
        </w:rPr>
        <w:t>only</w:t>
      </w:r>
      <w:r>
        <w:rPr>
          <w:spacing w:val="-9"/>
          <w:sz w:val="28"/>
        </w:rPr>
        <w:t> </w:t>
      </w:r>
      <w:r>
        <w:rPr>
          <w:sz w:val="28"/>
        </w:rPr>
        <w:t>selected</w:t>
      </w:r>
      <w:r>
        <w:rPr>
          <w:spacing w:val="-9"/>
          <w:sz w:val="28"/>
        </w:rPr>
        <w:t> </w:t>
      </w:r>
      <w:r>
        <w:rPr>
          <w:sz w:val="28"/>
        </w:rPr>
        <w:t>proposed</w:t>
      </w:r>
      <w:r>
        <w:rPr>
          <w:spacing w:val="-9"/>
          <w:sz w:val="28"/>
        </w:rPr>
        <w:t> </w:t>
      </w:r>
      <w:r>
        <w:rPr>
          <w:sz w:val="28"/>
        </w:rPr>
        <w:t>legislation addressing fundamental rights for relevance sakes); Employment and Social Affairs; Migration and Asylum</w:t>
      </w:r>
    </w:p>
    <w:p>
      <w:pPr>
        <w:pStyle w:val="ListParagraph"/>
        <w:numPr>
          <w:ilvl w:val="1"/>
          <w:numId w:val="66"/>
        </w:numPr>
        <w:tabs>
          <w:tab w:pos="1457" w:val="left" w:leader="none"/>
        </w:tabs>
        <w:spacing w:line="322" w:lineRule="exact" w:before="0" w:after="0"/>
        <w:ind w:left="1457" w:right="0" w:hanging="340"/>
        <w:jc w:val="left"/>
        <w:rPr>
          <w:sz w:val="28"/>
        </w:rPr>
      </w:pPr>
      <w:r>
        <w:rPr>
          <w:sz w:val="28"/>
        </w:rPr>
        <w:t>Type</w:t>
      </w:r>
      <w:r>
        <w:rPr>
          <w:spacing w:val="-6"/>
          <w:sz w:val="28"/>
        </w:rPr>
        <w:t> </w:t>
      </w:r>
      <w:r>
        <w:rPr>
          <w:sz w:val="28"/>
        </w:rPr>
        <w:t>of</w:t>
      </w:r>
      <w:r>
        <w:rPr>
          <w:spacing w:val="-6"/>
          <w:sz w:val="28"/>
        </w:rPr>
        <w:t> </w:t>
      </w:r>
      <w:r>
        <w:rPr>
          <w:sz w:val="28"/>
        </w:rPr>
        <w:t>Act:</w:t>
      </w:r>
      <w:r>
        <w:rPr>
          <w:spacing w:val="-5"/>
          <w:sz w:val="28"/>
        </w:rPr>
        <w:t> </w:t>
      </w:r>
      <w:r>
        <w:rPr>
          <w:sz w:val="28"/>
        </w:rPr>
        <w:t>Legislative</w:t>
      </w:r>
      <w:r>
        <w:rPr>
          <w:spacing w:val="-5"/>
          <w:sz w:val="28"/>
        </w:rPr>
        <w:t> </w:t>
      </w:r>
      <w:r>
        <w:rPr>
          <w:sz w:val="28"/>
        </w:rPr>
        <w:t>Proposals</w:t>
      </w:r>
      <w:r>
        <w:rPr>
          <w:spacing w:val="-6"/>
          <w:sz w:val="28"/>
        </w:rPr>
        <w:t> </w:t>
      </w:r>
      <w:r>
        <w:rPr>
          <w:sz w:val="28"/>
        </w:rPr>
        <w:t>(when</w:t>
      </w:r>
      <w:r>
        <w:rPr>
          <w:spacing w:val="-6"/>
          <w:sz w:val="28"/>
        </w:rPr>
        <w:t> </w:t>
      </w:r>
      <w:r>
        <w:rPr>
          <w:sz w:val="28"/>
        </w:rPr>
        <w:t>looking</w:t>
      </w:r>
      <w:r>
        <w:rPr>
          <w:spacing w:val="-5"/>
          <w:sz w:val="28"/>
        </w:rPr>
        <w:t> </w:t>
      </w:r>
      <w:r>
        <w:rPr>
          <w:sz w:val="28"/>
        </w:rPr>
        <w:t>at</w:t>
      </w:r>
      <w:r>
        <w:rPr>
          <w:spacing w:val="-6"/>
          <w:sz w:val="28"/>
        </w:rPr>
        <w:t> </w:t>
      </w:r>
      <w:r>
        <w:rPr>
          <w:sz w:val="28"/>
        </w:rPr>
        <w:t>legislative</w:t>
      </w:r>
      <w:r>
        <w:rPr>
          <w:spacing w:val="-5"/>
          <w:sz w:val="28"/>
        </w:rPr>
        <w:t> </w:t>
      </w:r>
      <w:r>
        <w:rPr>
          <w:sz w:val="28"/>
        </w:rPr>
        <w:t>proposals,</w:t>
      </w:r>
      <w:r>
        <w:rPr>
          <w:spacing w:val="-5"/>
          <w:sz w:val="28"/>
        </w:rPr>
        <w:t> </w:t>
      </w:r>
      <w:r>
        <w:rPr>
          <w:sz w:val="28"/>
        </w:rPr>
        <w:t>we</w:t>
      </w:r>
      <w:r>
        <w:rPr>
          <w:spacing w:val="-5"/>
          <w:sz w:val="28"/>
        </w:rPr>
        <w:t> </w:t>
      </w:r>
      <w:r>
        <w:rPr>
          <w:spacing w:val="-4"/>
          <w:sz w:val="28"/>
        </w:rPr>
        <w:t>only</w:t>
      </w:r>
    </w:p>
    <w:p>
      <w:pPr>
        <w:pStyle w:val="BodyText"/>
        <w:spacing w:line="232" w:lineRule="auto" w:before="2"/>
        <w:ind w:left="1457" w:right="738"/>
      </w:pPr>
      <w:r>
        <w:rPr/>
        <w:t>selected</w:t>
      </w:r>
      <w:r>
        <w:rPr>
          <w:spacing w:val="-8"/>
        </w:rPr>
        <w:t> </w:t>
      </w:r>
      <w:r>
        <w:rPr/>
        <w:t>those</w:t>
      </w:r>
      <w:r>
        <w:rPr>
          <w:spacing w:val="-8"/>
        </w:rPr>
        <w:t> </w:t>
      </w:r>
      <w:r>
        <w:rPr/>
        <w:t>that</w:t>
      </w:r>
      <w:r>
        <w:rPr>
          <w:spacing w:val="-8"/>
        </w:rPr>
        <w:t> </w:t>
      </w:r>
      <w:r>
        <w:rPr/>
        <w:t>were</w:t>
      </w:r>
      <w:r>
        <w:rPr>
          <w:spacing w:val="-8"/>
        </w:rPr>
        <w:t> </w:t>
      </w:r>
      <w:r>
        <w:rPr/>
        <w:t>‘adopted’</w:t>
      </w:r>
      <w:r>
        <w:rPr>
          <w:spacing w:val="-8"/>
        </w:rPr>
        <w:t> </w:t>
      </w:r>
      <w:r>
        <w:rPr/>
        <w:t>since</w:t>
      </w:r>
      <w:r>
        <w:rPr>
          <w:spacing w:val="-8"/>
        </w:rPr>
        <w:t> </w:t>
      </w:r>
      <w:r>
        <w:rPr/>
        <w:t>they</w:t>
      </w:r>
      <w:r>
        <w:rPr>
          <w:spacing w:val="-8"/>
        </w:rPr>
        <w:t> </w:t>
      </w:r>
      <w:r>
        <w:rPr/>
        <w:t>are</w:t>
      </w:r>
      <w:r>
        <w:rPr>
          <w:spacing w:val="-8"/>
        </w:rPr>
        <w:t> </w:t>
      </w:r>
      <w:r>
        <w:rPr/>
        <w:t>more</w:t>
      </w:r>
      <w:r>
        <w:rPr>
          <w:spacing w:val="-8"/>
        </w:rPr>
        <w:t> </w:t>
      </w:r>
      <w:r>
        <w:rPr/>
        <w:t>likely</w:t>
      </w:r>
      <w:r>
        <w:rPr>
          <w:spacing w:val="-8"/>
        </w:rPr>
        <w:t> </w:t>
      </w:r>
      <w:r>
        <w:rPr/>
        <w:t>to</w:t>
      </w:r>
      <w:r>
        <w:rPr>
          <w:spacing w:val="-8"/>
        </w:rPr>
        <w:t> </w:t>
      </w:r>
      <w:r>
        <w:rPr/>
        <w:t>enter</w:t>
      </w:r>
      <w:r>
        <w:rPr>
          <w:spacing w:val="-8"/>
        </w:rPr>
        <w:t> </w:t>
      </w:r>
      <w:r>
        <w:rPr/>
        <w:t>into</w:t>
      </w:r>
      <w:r>
        <w:rPr>
          <w:spacing w:val="-8"/>
        </w:rPr>
        <w:t> </w:t>
      </w:r>
      <w:r>
        <w:rPr/>
        <w:t>force soon,</w:t>
      </w:r>
      <w:r>
        <w:rPr>
          <w:vertAlign w:val="superscript"/>
        </w:rPr>
        <w:t>711</w:t>
      </w:r>
      <w:r>
        <w:rPr>
          <w:vertAlign w:val="baseline"/>
        </w:rPr>
        <w:t> and those that were adopted during the period 1 January 2022 – 31 August 2023)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1"/>
        <w:rPr>
          <w:sz w:val="20"/>
        </w:rPr>
      </w:pPr>
      <w:r>
        <w:rPr/>
        <mc:AlternateContent>
          <mc:Choice Requires="wps">
            <w:drawing>
              <wp:anchor distT="0" distB="0" distL="0" distR="0" allowOverlap="1" layoutInCell="1" locked="0" behindDoc="1" simplePos="0" relativeHeight="487818752">
                <wp:simplePos x="0" y="0"/>
                <wp:positionH relativeFrom="page">
                  <wp:posOffset>899999</wp:posOffset>
                </wp:positionH>
                <wp:positionV relativeFrom="paragraph">
                  <wp:posOffset>196738</wp:posOffset>
                </wp:positionV>
                <wp:extent cx="6012180" cy="1270"/>
                <wp:effectExtent l="0" t="0" r="0" b="0"/>
                <wp:wrapTopAndBottom/>
                <wp:docPr id="1210" name="Graphic 1210"/>
                <wp:cNvGraphicFramePr>
                  <a:graphicFrameLocks/>
                </wp:cNvGraphicFramePr>
                <a:graphic>
                  <a:graphicData uri="http://schemas.microsoft.com/office/word/2010/wordprocessingShape">
                    <wps:wsp>
                      <wps:cNvPr id="1210" name="Graphic 1210"/>
                      <wps:cNvSpPr/>
                      <wps:spPr>
                        <a:xfrm>
                          <a:off x="0" y="0"/>
                          <a:ext cx="6012180" cy="1270"/>
                        </a:xfrm>
                        <a:custGeom>
                          <a:avLst/>
                          <a:gdLst/>
                          <a:ahLst/>
                          <a:cxnLst/>
                          <a:rect l="l" t="t" r="r" b="b"/>
                          <a:pathLst>
                            <a:path w="6012180" h="0">
                              <a:moveTo>
                                <a:pt x="0" y="0"/>
                              </a:moveTo>
                              <a:lnTo>
                                <a:pt x="6012002" y="0"/>
                              </a:lnTo>
                            </a:path>
                          </a:pathLst>
                        </a:custGeom>
                        <a:ln w="6350">
                          <a:solidFill>
                            <a:srgbClr val="36A9E1"/>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5.491254pt;width:473.4pt;height:.1pt;mso-position-horizontal-relative:page;mso-position-vertical-relative:paragraph;z-index:-15497728;mso-wrap-distance-left:0;mso-wrap-distance-right:0" id="docshape996" coordorigin="1417,310" coordsize="9468,0" path="m1417,310l10885,310e" filled="false" stroked="true" strokeweight=".5pt" strokecolor="#36a9e1">
                <v:path arrowok="t"/>
                <v:stroke dashstyle="solid"/>
                <w10:wrap type="topAndBottom"/>
              </v:shape>
            </w:pict>
          </mc:Fallback>
        </mc:AlternateContent>
      </w:r>
    </w:p>
    <w:p>
      <w:pPr>
        <w:pStyle w:val="ListParagraph"/>
        <w:numPr>
          <w:ilvl w:val="0"/>
          <w:numId w:val="51"/>
        </w:numPr>
        <w:tabs>
          <w:tab w:pos="1684" w:val="left" w:leader="none"/>
        </w:tabs>
        <w:spacing w:line="240" w:lineRule="auto" w:before="43" w:after="0"/>
        <w:ind w:left="1684" w:right="0" w:hanging="567"/>
        <w:jc w:val="left"/>
        <w:rPr>
          <w:sz w:val="18"/>
        </w:rPr>
      </w:pPr>
      <w:r>
        <w:rPr>
          <w:sz w:val="18"/>
        </w:rPr>
        <w:t>To</w:t>
      </w:r>
      <w:r>
        <w:rPr>
          <w:spacing w:val="-7"/>
          <w:sz w:val="18"/>
        </w:rPr>
        <w:t> </w:t>
      </w:r>
      <w:r>
        <w:rPr>
          <w:sz w:val="18"/>
        </w:rPr>
        <w:t>identify</w:t>
      </w:r>
      <w:r>
        <w:rPr>
          <w:spacing w:val="-6"/>
          <w:sz w:val="18"/>
        </w:rPr>
        <w:t> </w:t>
      </w:r>
      <w:r>
        <w:rPr>
          <w:sz w:val="18"/>
        </w:rPr>
        <w:t>proposed</w:t>
      </w:r>
      <w:r>
        <w:rPr>
          <w:spacing w:val="-6"/>
          <w:sz w:val="18"/>
        </w:rPr>
        <w:t> </w:t>
      </w:r>
      <w:r>
        <w:rPr>
          <w:sz w:val="18"/>
        </w:rPr>
        <w:t>EU</w:t>
      </w:r>
      <w:r>
        <w:rPr>
          <w:spacing w:val="-6"/>
          <w:sz w:val="18"/>
        </w:rPr>
        <w:t> </w:t>
      </w:r>
      <w:r>
        <w:rPr>
          <w:sz w:val="18"/>
        </w:rPr>
        <w:t>legislation,</w:t>
      </w:r>
      <w:r>
        <w:rPr>
          <w:spacing w:val="-5"/>
          <w:sz w:val="18"/>
        </w:rPr>
        <w:t> </w:t>
      </w:r>
      <w:r>
        <w:rPr>
          <w:sz w:val="18"/>
        </w:rPr>
        <w:t>we</w:t>
      </w:r>
      <w:r>
        <w:rPr>
          <w:spacing w:val="-6"/>
          <w:sz w:val="18"/>
        </w:rPr>
        <w:t> </w:t>
      </w:r>
      <w:r>
        <w:rPr>
          <w:sz w:val="18"/>
        </w:rPr>
        <w:t>also</w:t>
      </w:r>
      <w:r>
        <w:rPr>
          <w:spacing w:val="-6"/>
          <w:sz w:val="18"/>
        </w:rPr>
        <w:t> </w:t>
      </w:r>
      <w:r>
        <w:rPr>
          <w:sz w:val="18"/>
        </w:rPr>
        <w:t>used:</w:t>
      </w:r>
      <w:r>
        <w:rPr>
          <w:spacing w:val="-6"/>
          <w:sz w:val="18"/>
        </w:rPr>
        <w:t> </w:t>
      </w:r>
      <w:r>
        <w:rPr>
          <w:sz w:val="18"/>
        </w:rPr>
        <w:t>European</w:t>
      </w:r>
      <w:r>
        <w:rPr>
          <w:spacing w:val="-6"/>
          <w:sz w:val="18"/>
        </w:rPr>
        <w:t> </w:t>
      </w:r>
      <w:r>
        <w:rPr>
          <w:sz w:val="18"/>
        </w:rPr>
        <w:t>Parliamentary</w:t>
      </w:r>
      <w:r>
        <w:rPr>
          <w:spacing w:val="-6"/>
          <w:sz w:val="18"/>
        </w:rPr>
        <w:t> </w:t>
      </w:r>
      <w:r>
        <w:rPr>
          <w:sz w:val="18"/>
        </w:rPr>
        <w:t>Research</w:t>
      </w:r>
      <w:r>
        <w:rPr>
          <w:spacing w:val="-6"/>
          <w:sz w:val="18"/>
        </w:rPr>
        <w:t> </w:t>
      </w:r>
      <w:r>
        <w:rPr>
          <w:sz w:val="18"/>
        </w:rPr>
        <w:t>Service,</w:t>
      </w:r>
      <w:r>
        <w:rPr>
          <w:spacing w:val="-6"/>
          <w:sz w:val="18"/>
        </w:rPr>
        <w:t> </w:t>
      </w:r>
      <w:r>
        <w:rPr>
          <w:sz w:val="18"/>
        </w:rPr>
        <w:t>‘</w:t>
      </w:r>
      <w:hyperlink r:id="rId119">
        <w:r>
          <w:rPr>
            <w:color w:val="1D71B8"/>
            <w:sz w:val="18"/>
            <w:u w:val="single" w:color="1D71B8"/>
          </w:rPr>
          <w:t>EU</w:t>
        </w:r>
        <w:r>
          <w:rPr>
            <w:color w:val="1D71B8"/>
            <w:spacing w:val="-5"/>
            <w:sz w:val="18"/>
            <w:u w:val="single" w:color="1D71B8"/>
          </w:rPr>
          <w:t> </w:t>
        </w:r>
        <w:r>
          <w:rPr>
            <w:color w:val="1D71B8"/>
            <w:sz w:val="18"/>
            <w:u w:val="single" w:color="1D71B8"/>
          </w:rPr>
          <w:t>Legislation</w:t>
        </w:r>
        <w:r>
          <w:rPr>
            <w:color w:val="1D71B8"/>
            <w:spacing w:val="-7"/>
            <w:sz w:val="18"/>
            <w:u w:val="single" w:color="1D71B8"/>
          </w:rPr>
          <w:t> </w:t>
        </w:r>
        <w:r>
          <w:rPr>
            <w:color w:val="1D71B8"/>
            <w:sz w:val="18"/>
            <w:u w:val="single" w:color="1D71B8"/>
          </w:rPr>
          <w:t>in</w:t>
        </w:r>
        <w:r>
          <w:rPr>
            <w:color w:val="1D71B8"/>
            <w:spacing w:val="-6"/>
            <w:sz w:val="18"/>
            <w:u w:val="single" w:color="1D71B8"/>
          </w:rPr>
          <w:t> </w:t>
        </w:r>
        <w:r>
          <w:rPr>
            <w:color w:val="1D71B8"/>
            <w:spacing w:val="-2"/>
            <w:sz w:val="18"/>
            <w:u w:val="single" w:color="1D71B8"/>
          </w:rPr>
          <w:t>Progress</w:t>
        </w:r>
      </w:hyperlink>
      <w:r>
        <w:rPr>
          <w:spacing w:val="-2"/>
          <w:sz w:val="18"/>
          <w:u w:val="none"/>
        </w:rPr>
        <w:t>’.</w:t>
      </w:r>
    </w:p>
    <w:p>
      <w:pPr>
        <w:pStyle w:val="ListParagraph"/>
        <w:numPr>
          <w:ilvl w:val="0"/>
          <w:numId w:val="51"/>
        </w:numPr>
        <w:tabs>
          <w:tab w:pos="1684" w:val="left" w:leader="none"/>
        </w:tabs>
        <w:spacing w:line="240" w:lineRule="auto" w:before="1" w:after="0"/>
        <w:ind w:left="1684" w:right="1276" w:hanging="567"/>
        <w:jc w:val="left"/>
        <w:rPr>
          <w:sz w:val="18"/>
        </w:rPr>
      </w:pPr>
      <w:r>
        <w:rPr>
          <w:sz w:val="18"/>
        </w:rPr>
        <w:t>The</w:t>
      </w:r>
      <w:r>
        <w:rPr>
          <w:spacing w:val="-3"/>
          <w:sz w:val="18"/>
        </w:rPr>
        <w:t> </w:t>
      </w:r>
      <w:r>
        <w:rPr>
          <w:sz w:val="18"/>
        </w:rPr>
        <w:t>adoption</w:t>
      </w:r>
      <w:r>
        <w:rPr>
          <w:spacing w:val="-4"/>
          <w:sz w:val="18"/>
        </w:rPr>
        <w:t> </w:t>
      </w:r>
      <w:r>
        <w:rPr>
          <w:sz w:val="18"/>
        </w:rPr>
        <w:t>of</w:t>
      </w:r>
      <w:r>
        <w:rPr>
          <w:spacing w:val="-4"/>
          <w:sz w:val="18"/>
        </w:rPr>
        <w:t> </w:t>
      </w:r>
      <w:r>
        <w:rPr>
          <w:sz w:val="18"/>
        </w:rPr>
        <w:t>EU</w:t>
      </w:r>
      <w:r>
        <w:rPr>
          <w:spacing w:val="-3"/>
          <w:sz w:val="18"/>
        </w:rPr>
        <w:t> </w:t>
      </w:r>
      <w:r>
        <w:rPr>
          <w:sz w:val="18"/>
        </w:rPr>
        <w:t>proposed</w:t>
      </w:r>
      <w:r>
        <w:rPr>
          <w:spacing w:val="-4"/>
          <w:sz w:val="18"/>
        </w:rPr>
        <w:t> </w:t>
      </w:r>
      <w:r>
        <w:rPr>
          <w:sz w:val="18"/>
        </w:rPr>
        <w:t>legislation</w:t>
      </w:r>
      <w:r>
        <w:rPr>
          <w:spacing w:val="-4"/>
          <w:sz w:val="18"/>
        </w:rPr>
        <w:t> </w:t>
      </w:r>
      <w:r>
        <w:rPr>
          <w:sz w:val="18"/>
        </w:rPr>
        <w:t>takes</w:t>
      </w:r>
      <w:r>
        <w:rPr>
          <w:spacing w:val="-4"/>
          <w:sz w:val="18"/>
        </w:rPr>
        <w:t> </w:t>
      </w:r>
      <w:r>
        <w:rPr>
          <w:sz w:val="18"/>
        </w:rPr>
        <w:t>place</w:t>
      </w:r>
      <w:r>
        <w:rPr>
          <w:spacing w:val="-3"/>
          <w:sz w:val="18"/>
        </w:rPr>
        <w:t> </w:t>
      </w:r>
      <w:r>
        <w:rPr>
          <w:sz w:val="18"/>
        </w:rPr>
        <w:t>when</w:t>
      </w:r>
      <w:r>
        <w:rPr>
          <w:spacing w:val="-4"/>
          <w:sz w:val="18"/>
        </w:rPr>
        <w:t> </w:t>
      </w:r>
      <w:r>
        <w:rPr>
          <w:sz w:val="18"/>
        </w:rPr>
        <w:t>both</w:t>
      </w:r>
      <w:r>
        <w:rPr>
          <w:spacing w:val="-3"/>
          <w:sz w:val="18"/>
        </w:rPr>
        <w:t> </w:t>
      </w:r>
      <w:r>
        <w:rPr>
          <w:sz w:val="18"/>
        </w:rPr>
        <w:t>the</w:t>
      </w:r>
      <w:r>
        <w:rPr>
          <w:spacing w:val="-3"/>
          <w:sz w:val="18"/>
        </w:rPr>
        <w:t> </w:t>
      </w:r>
      <w:r>
        <w:rPr>
          <w:sz w:val="18"/>
        </w:rPr>
        <w:t>EU</w:t>
      </w:r>
      <w:r>
        <w:rPr>
          <w:spacing w:val="-3"/>
          <w:sz w:val="18"/>
        </w:rPr>
        <w:t> </w:t>
      </w:r>
      <w:r>
        <w:rPr>
          <w:sz w:val="18"/>
        </w:rPr>
        <w:t>Parliament</w:t>
      </w:r>
      <w:r>
        <w:rPr>
          <w:spacing w:val="-3"/>
          <w:sz w:val="18"/>
        </w:rPr>
        <w:t> </w:t>
      </w:r>
      <w:r>
        <w:rPr>
          <w:sz w:val="18"/>
        </w:rPr>
        <w:t>and</w:t>
      </w:r>
      <w:r>
        <w:rPr>
          <w:spacing w:val="-4"/>
          <w:sz w:val="18"/>
        </w:rPr>
        <w:t> </w:t>
      </w:r>
      <w:r>
        <w:rPr>
          <w:sz w:val="18"/>
        </w:rPr>
        <w:t>the</w:t>
      </w:r>
      <w:r>
        <w:rPr>
          <w:spacing w:val="-3"/>
          <w:sz w:val="18"/>
        </w:rPr>
        <w:t> </w:t>
      </w:r>
      <w:r>
        <w:rPr>
          <w:sz w:val="18"/>
        </w:rPr>
        <w:t>EU</w:t>
      </w:r>
      <w:r>
        <w:rPr>
          <w:spacing w:val="-3"/>
          <w:sz w:val="18"/>
        </w:rPr>
        <w:t> </w:t>
      </w:r>
      <w:r>
        <w:rPr>
          <w:sz w:val="18"/>
        </w:rPr>
        <w:t>Council</w:t>
      </w:r>
      <w:r>
        <w:rPr>
          <w:spacing w:val="-4"/>
          <w:sz w:val="18"/>
        </w:rPr>
        <w:t> </w:t>
      </w:r>
      <w:r>
        <w:rPr>
          <w:sz w:val="18"/>
        </w:rPr>
        <w:t>agree</w:t>
      </w:r>
      <w:r>
        <w:rPr>
          <w:spacing w:val="-3"/>
          <w:sz w:val="18"/>
        </w:rPr>
        <w:t> </w:t>
      </w:r>
      <w:r>
        <w:rPr>
          <w:sz w:val="18"/>
        </w:rPr>
        <w:t>on</w:t>
      </w:r>
      <w:r>
        <w:rPr>
          <w:spacing w:val="-4"/>
          <w:sz w:val="18"/>
        </w:rPr>
        <w:t> </w:t>
      </w:r>
      <w:r>
        <w:rPr>
          <w:sz w:val="18"/>
        </w:rPr>
        <w:t>the amendments initially suggested.</w:t>
      </w:r>
    </w:p>
    <w:p>
      <w:pPr>
        <w:spacing w:after="0" w:line="240" w:lineRule="auto"/>
        <w:jc w:val="left"/>
        <w:rPr>
          <w:sz w:val="18"/>
        </w:rPr>
        <w:sectPr>
          <w:type w:val="continuous"/>
          <w:pgSz w:w="11910" w:h="16840"/>
          <w:pgMar w:top="1000" w:bottom="280" w:left="300" w:right="280"/>
        </w:sectPr>
      </w:pPr>
    </w:p>
    <w:p>
      <w:pPr>
        <w:pStyle w:val="BodyText"/>
        <w:spacing w:before="267"/>
        <w:rPr>
          <w:sz w:val="24"/>
        </w:rPr>
      </w:pPr>
      <w:r>
        <w:rPr/>
        <mc:AlternateContent>
          <mc:Choice Requires="wps">
            <w:drawing>
              <wp:anchor distT="0" distB="0" distL="0" distR="0" allowOverlap="1" layoutInCell="1" locked="0" behindDoc="1" simplePos="0" relativeHeight="484136448">
                <wp:simplePos x="0" y="0"/>
                <wp:positionH relativeFrom="page">
                  <wp:posOffset>0</wp:posOffset>
                </wp:positionH>
                <wp:positionV relativeFrom="page">
                  <wp:posOffset>0</wp:posOffset>
                </wp:positionV>
                <wp:extent cx="7560309" cy="1155065"/>
                <wp:effectExtent l="0" t="0" r="0" b="0"/>
                <wp:wrapNone/>
                <wp:docPr id="1211" name="Group 1211"/>
                <wp:cNvGraphicFramePr>
                  <a:graphicFrameLocks/>
                </wp:cNvGraphicFramePr>
                <a:graphic>
                  <a:graphicData uri="http://schemas.microsoft.com/office/word/2010/wordprocessingGroup">
                    <wpg:wgp>
                      <wpg:cNvPr id="1211" name="Group 1211"/>
                      <wpg:cNvGrpSpPr/>
                      <wpg:grpSpPr>
                        <a:xfrm>
                          <a:off x="0" y="0"/>
                          <a:ext cx="7560309" cy="1155065"/>
                          <a:chExt cx="7560309" cy="1155065"/>
                        </a:xfrm>
                      </wpg:grpSpPr>
                      <wps:wsp>
                        <wps:cNvPr id="1212" name="Graphic 1212"/>
                        <wps:cNvSpPr/>
                        <wps:spPr>
                          <a:xfrm>
                            <a:off x="0" y="0"/>
                            <a:ext cx="7560309" cy="1155065"/>
                          </a:xfrm>
                          <a:custGeom>
                            <a:avLst/>
                            <a:gdLst/>
                            <a:ahLst/>
                            <a:cxnLst/>
                            <a:rect l="l" t="t" r="r" b="b"/>
                            <a:pathLst>
                              <a:path w="7560309" h="1155065">
                                <a:moveTo>
                                  <a:pt x="7560002" y="0"/>
                                </a:moveTo>
                                <a:lnTo>
                                  <a:pt x="0" y="0"/>
                                </a:lnTo>
                                <a:lnTo>
                                  <a:pt x="0" y="1154471"/>
                                </a:lnTo>
                                <a:lnTo>
                                  <a:pt x="9808" y="1141228"/>
                                </a:lnTo>
                                <a:lnTo>
                                  <a:pt x="38101" y="1106729"/>
                                </a:lnTo>
                                <a:lnTo>
                                  <a:pt x="68038" y="1073688"/>
                                </a:lnTo>
                                <a:lnTo>
                                  <a:pt x="99558" y="1042168"/>
                                </a:lnTo>
                                <a:lnTo>
                                  <a:pt x="132599" y="1012230"/>
                                </a:lnTo>
                                <a:lnTo>
                                  <a:pt x="167098" y="983938"/>
                                </a:lnTo>
                                <a:lnTo>
                                  <a:pt x="202994" y="957352"/>
                                </a:lnTo>
                                <a:lnTo>
                                  <a:pt x="240223" y="932536"/>
                                </a:lnTo>
                                <a:lnTo>
                                  <a:pt x="278724" y="909552"/>
                                </a:lnTo>
                                <a:lnTo>
                                  <a:pt x="318435" y="888461"/>
                                </a:lnTo>
                                <a:lnTo>
                                  <a:pt x="359293" y="869327"/>
                                </a:lnTo>
                                <a:lnTo>
                                  <a:pt x="401236" y="852210"/>
                                </a:lnTo>
                                <a:lnTo>
                                  <a:pt x="444202" y="837174"/>
                                </a:lnTo>
                                <a:lnTo>
                                  <a:pt x="488129" y="824281"/>
                                </a:lnTo>
                                <a:lnTo>
                                  <a:pt x="532955" y="813592"/>
                                </a:lnTo>
                                <a:lnTo>
                                  <a:pt x="578616" y="805171"/>
                                </a:lnTo>
                                <a:lnTo>
                                  <a:pt x="625052" y="799078"/>
                                </a:lnTo>
                                <a:lnTo>
                                  <a:pt x="672200" y="795377"/>
                                </a:lnTo>
                                <a:lnTo>
                                  <a:pt x="719998" y="794129"/>
                                </a:lnTo>
                                <a:lnTo>
                                  <a:pt x="7560002" y="794129"/>
                                </a:lnTo>
                                <a:lnTo>
                                  <a:pt x="7560002" y="0"/>
                                </a:lnTo>
                                <a:close/>
                              </a:path>
                            </a:pathLst>
                          </a:custGeom>
                          <a:solidFill>
                            <a:srgbClr val="164194"/>
                          </a:solidFill>
                        </wps:spPr>
                        <wps:bodyPr wrap="square" lIns="0" tIns="0" rIns="0" bIns="0" rtlCol="0">
                          <a:prstTxWarp prst="textNoShape">
                            <a:avLst/>
                          </a:prstTxWarp>
                          <a:noAutofit/>
                        </wps:bodyPr>
                      </wps:wsp>
                      <wps:wsp>
                        <wps:cNvPr id="1213" name="Graphic 1213"/>
                        <wps:cNvSpPr/>
                        <wps:spPr>
                          <a:xfrm>
                            <a:off x="654349" y="357853"/>
                            <a:ext cx="1270" cy="225425"/>
                          </a:xfrm>
                          <a:custGeom>
                            <a:avLst/>
                            <a:gdLst/>
                            <a:ahLst/>
                            <a:cxnLst/>
                            <a:rect l="l" t="t" r="r" b="b"/>
                            <a:pathLst>
                              <a:path w="0" h="225425">
                                <a:moveTo>
                                  <a:pt x="0" y="0"/>
                                </a:moveTo>
                                <a:lnTo>
                                  <a:pt x="0" y="225425"/>
                                </a:lnTo>
                              </a:path>
                            </a:pathLst>
                          </a:custGeom>
                          <a:ln w="12700">
                            <a:solidFill>
                              <a:srgbClr val="36A9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2pt;width:595.3pt;height:90.95pt;mso-position-horizontal-relative:page;mso-position-vertical-relative:page;z-index:-19180032" id="docshapegroup997" coordorigin="0,0" coordsize="11906,1819">
                <v:shape style="position:absolute;left:0;top:0;width:11906;height:1819" id="docshape998" coordorigin="0,0" coordsize="11906,1819" path="m11906,0l0,0,0,1818,15,1797,60,1743,107,1691,157,1641,209,1594,263,1550,320,1508,378,1469,439,1432,501,1399,566,1369,632,1342,700,1318,769,1298,839,1281,911,1268,984,1258,1059,1253,1134,1251,11906,1251,11906,0xe" filled="true" fillcolor="#164194" stroked="false">
                  <v:path arrowok="t"/>
                  <v:fill type="solid"/>
                </v:shape>
                <v:line style="position:absolute" from="1030,564" to="1030,919" stroked="true" strokeweight="1pt" strokecolor="#36a9e1">
                  <v:stroke dashstyle="solid"/>
                </v:line>
                <w10:wrap type="none"/>
              </v:group>
            </w:pict>
          </mc:Fallback>
        </mc:AlternateContent>
      </w:r>
    </w:p>
    <w:p>
      <w:pPr>
        <w:tabs>
          <w:tab w:pos="1003" w:val="left" w:leader="none"/>
        </w:tabs>
        <w:spacing w:before="1"/>
        <w:ind w:left="110" w:right="0" w:firstLine="0"/>
        <w:jc w:val="left"/>
        <w:rPr>
          <w:b/>
          <w:sz w:val="24"/>
        </w:rPr>
      </w:pPr>
      <w:r>
        <w:rPr>
          <w:b/>
          <w:color w:val="FFFFFF"/>
          <w:spacing w:val="-5"/>
          <w:position w:val="-1"/>
          <w:sz w:val="28"/>
        </w:rPr>
        <w:t>154</w:t>
      </w:r>
      <w:r>
        <w:rPr>
          <w:b/>
          <w:color w:val="FFFFFF"/>
          <w:position w:val="-1"/>
          <w:sz w:val="28"/>
        </w:rPr>
        <w:tab/>
      </w:r>
      <w:r>
        <w:rPr>
          <w:b/>
          <w:color w:val="FFFFFF"/>
          <w:sz w:val="24"/>
        </w:rPr>
        <w:t>EU</w:t>
      </w:r>
      <w:r>
        <w:rPr>
          <w:b/>
          <w:color w:val="FFFFFF"/>
          <w:spacing w:val="-3"/>
          <w:sz w:val="24"/>
        </w:rPr>
        <w:t> </w:t>
      </w:r>
      <w:r>
        <w:rPr>
          <w:b/>
          <w:color w:val="FFFFFF"/>
          <w:sz w:val="24"/>
        </w:rPr>
        <w:t>Developments</w:t>
      </w:r>
      <w:r>
        <w:rPr>
          <w:b/>
          <w:color w:val="FFFFFF"/>
          <w:spacing w:val="-3"/>
          <w:sz w:val="24"/>
        </w:rPr>
        <w:t> </w:t>
      </w:r>
      <w:r>
        <w:rPr>
          <w:b/>
          <w:color w:val="FFFFFF"/>
          <w:sz w:val="24"/>
        </w:rPr>
        <w:t>in</w:t>
      </w:r>
      <w:r>
        <w:rPr>
          <w:b/>
          <w:color w:val="FFFFFF"/>
          <w:spacing w:val="-3"/>
          <w:sz w:val="24"/>
        </w:rPr>
        <w:t> </w:t>
      </w:r>
      <w:r>
        <w:rPr>
          <w:b/>
          <w:color w:val="FFFFFF"/>
          <w:sz w:val="24"/>
        </w:rPr>
        <w:t>Equality</w:t>
      </w:r>
      <w:r>
        <w:rPr>
          <w:b/>
          <w:color w:val="FFFFFF"/>
          <w:spacing w:val="-3"/>
          <w:sz w:val="24"/>
        </w:rPr>
        <w:t> </w:t>
      </w:r>
      <w:r>
        <w:rPr>
          <w:b/>
          <w:color w:val="FFFFFF"/>
          <w:sz w:val="24"/>
        </w:rPr>
        <w:t>and</w:t>
      </w:r>
      <w:r>
        <w:rPr>
          <w:b/>
          <w:color w:val="FFFFFF"/>
          <w:spacing w:val="-3"/>
          <w:sz w:val="24"/>
        </w:rPr>
        <w:t> </w:t>
      </w:r>
      <w:r>
        <w:rPr>
          <w:b/>
          <w:color w:val="FFFFFF"/>
          <w:sz w:val="24"/>
        </w:rPr>
        <w:t>Human</w:t>
      </w:r>
      <w:r>
        <w:rPr>
          <w:b/>
          <w:color w:val="FFFFFF"/>
          <w:spacing w:val="-3"/>
          <w:sz w:val="24"/>
        </w:rPr>
        <w:t> </w:t>
      </w:r>
      <w:r>
        <w:rPr>
          <w:b/>
          <w:color w:val="FFFFFF"/>
          <w:sz w:val="24"/>
        </w:rPr>
        <w:t>Rights</w:t>
      </w:r>
      <w:r>
        <w:rPr>
          <w:b/>
          <w:color w:val="FFFFFF"/>
          <w:spacing w:val="-3"/>
          <w:sz w:val="24"/>
        </w:rPr>
        <w:t> </w:t>
      </w:r>
      <w:r>
        <w:rPr>
          <w:b/>
          <w:color w:val="FFFFFF"/>
          <w:sz w:val="24"/>
        </w:rPr>
        <w:t>Update</w:t>
      </w:r>
      <w:r>
        <w:rPr>
          <w:b/>
          <w:color w:val="FFFFFF"/>
          <w:spacing w:val="-3"/>
          <w:sz w:val="24"/>
        </w:rPr>
        <w:t> </w:t>
      </w:r>
      <w:r>
        <w:rPr>
          <w:b/>
          <w:color w:val="FFFFFF"/>
          <w:spacing w:val="-2"/>
          <w:sz w:val="24"/>
        </w:rPr>
        <w:t>Paper</w:t>
      </w:r>
    </w:p>
    <w:p>
      <w:pPr>
        <w:pStyle w:val="BodyText"/>
        <w:rPr>
          <w:b/>
        </w:rPr>
      </w:pPr>
    </w:p>
    <w:p>
      <w:pPr>
        <w:pStyle w:val="BodyText"/>
        <w:spacing w:before="48"/>
        <w:rPr>
          <w:b/>
        </w:rPr>
      </w:pPr>
    </w:p>
    <w:p>
      <w:pPr>
        <w:pStyle w:val="BodyText"/>
        <w:spacing w:line="232" w:lineRule="auto"/>
        <w:ind w:left="720" w:right="1250"/>
      </w:pPr>
      <w:r>
        <w:rPr/>
        <w:t>We verified that we had not missed any other important developments by using the</w:t>
      </w:r>
      <w:r>
        <w:rPr>
          <w:spacing w:val="-9"/>
        </w:rPr>
        <w:t> </w:t>
      </w:r>
      <w:r>
        <w:rPr/>
        <w:t>website</w:t>
      </w:r>
      <w:r>
        <w:rPr>
          <w:spacing w:val="-9"/>
        </w:rPr>
        <w:t> </w:t>
      </w:r>
      <w:r>
        <w:rPr/>
        <w:t>of</w:t>
      </w:r>
      <w:r>
        <w:rPr>
          <w:spacing w:val="-10"/>
        </w:rPr>
        <w:t> </w:t>
      </w:r>
      <w:r>
        <w:rPr/>
        <w:t>the</w:t>
      </w:r>
      <w:r>
        <w:rPr>
          <w:spacing w:val="-9"/>
        </w:rPr>
        <w:t> </w:t>
      </w:r>
      <w:r>
        <w:rPr/>
        <w:t>European</w:t>
      </w:r>
      <w:r>
        <w:rPr>
          <w:spacing w:val="-10"/>
        </w:rPr>
        <w:t> </w:t>
      </w:r>
      <w:r>
        <w:rPr/>
        <w:t>Parliamentary</w:t>
      </w:r>
      <w:r>
        <w:rPr>
          <w:spacing w:val="-9"/>
        </w:rPr>
        <w:t> </w:t>
      </w:r>
      <w:r>
        <w:rPr/>
        <w:t>Research</w:t>
      </w:r>
      <w:r>
        <w:rPr>
          <w:spacing w:val="-10"/>
        </w:rPr>
        <w:t> </w:t>
      </w:r>
      <w:r>
        <w:rPr/>
        <w:t>Service</w:t>
      </w:r>
      <w:r>
        <w:rPr>
          <w:spacing w:val="-9"/>
        </w:rPr>
        <w:t> </w:t>
      </w:r>
      <w:r>
        <w:rPr/>
        <w:t>and</w:t>
      </w:r>
      <w:r>
        <w:rPr>
          <w:spacing w:val="-10"/>
        </w:rPr>
        <w:t> </w:t>
      </w:r>
      <w:r>
        <w:rPr/>
        <w:t>more</w:t>
      </w:r>
      <w:r>
        <w:rPr>
          <w:spacing w:val="-9"/>
        </w:rPr>
        <w:t> </w:t>
      </w:r>
      <w:r>
        <w:rPr/>
        <w:t>specifically, the webpage ‘</w:t>
      </w:r>
      <w:r>
        <w:rPr>
          <w:color w:val="1D71B8"/>
          <w:u w:val="single" w:color="1D71B8"/>
        </w:rPr>
        <w:t>EU Legislation in Progress</w:t>
      </w:r>
      <w:r>
        <w:rPr>
          <w:u w:val="none"/>
        </w:rPr>
        <w:t>’. This resulted in us adding a few projects relating to Human Rights and Equality to the list below.</w:t>
      </w:r>
    </w:p>
    <w:p>
      <w:pPr>
        <w:pStyle w:val="BodyText"/>
        <w:spacing w:line="232" w:lineRule="auto" w:before="277"/>
        <w:ind w:left="720" w:right="1087"/>
      </w:pPr>
      <w:r>
        <w:rPr/>
        <w:t>Chapter</w:t>
      </w:r>
      <w:r>
        <w:rPr>
          <w:spacing w:val="-5"/>
        </w:rPr>
        <w:t> </w:t>
      </w:r>
      <w:r>
        <w:rPr/>
        <w:t>6:</w:t>
      </w:r>
      <w:r>
        <w:rPr>
          <w:spacing w:val="-5"/>
        </w:rPr>
        <w:t> </w:t>
      </w:r>
      <w:r>
        <w:rPr/>
        <w:t>CJEU</w:t>
      </w:r>
      <w:r>
        <w:rPr>
          <w:spacing w:val="-5"/>
        </w:rPr>
        <w:t> </w:t>
      </w:r>
      <w:r>
        <w:rPr/>
        <w:t>Case</w:t>
      </w:r>
      <w:r>
        <w:rPr>
          <w:spacing w:val="-5"/>
        </w:rPr>
        <w:t> </w:t>
      </w:r>
      <w:r>
        <w:rPr/>
        <w:t>Law</w:t>
      </w:r>
      <w:r>
        <w:rPr>
          <w:spacing w:val="-5"/>
        </w:rPr>
        <w:t> </w:t>
      </w:r>
      <w:r>
        <w:rPr/>
        <w:t>that</w:t>
      </w:r>
      <w:r>
        <w:rPr>
          <w:spacing w:val="-5"/>
        </w:rPr>
        <w:t> </w:t>
      </w:r>
      <w:r>
        <w:rPr/>
        <w:t>Relates</w:t>
      </w:r>
      <w:r>
        <w:rPr>
          <w:spacing w:val="-6"/>
        </w:rPr>
        <w:t> </w:t>
      </w:r>
      <w:r>
        <w:rPr/>
        <w:t>to</w:t>
      </w:r>
      <w:r>
        <w:rPr>
          <w:spacing w:val="-6"/>
        </w:rPr>
        <w:t> </w:t>
      </w:r>
      <w:r>
        <w:rPr/>
        <w:t>Each</w:t>
      </w:r>
      <w:r>
        <w:rPr>
          <w:spacing w:val="-6"/>
        </w:rPr>
        <w:t> </w:t>
      </w:r>
      <w:r>
        <w:rPr/>
        <w:t>of</w:t>
      </w:r>
      <w:r>
        <w:rPr>
          <w:spacing w:val="-6"/>
        </w:rPr>
        <w:t> </w:t>
      </w:r>
      <w:r>
        <w:rPr/>
        <w:t>the</w:t>
      </w:r>
      <w:r>
        <w:rPr>
          <w:spacing w:val="-5"/>
        </w:rPr>
        <w:t> </w:t>
      </w:r>
      <w:r>
        <w:rPr/>
        <w:t>Windsor</w:t>
      </w:r>
      <w:r>
        <w:rPr>
          <w:spacing w:val="-5"/>
        </w:rPr>
        <w:t> </w:t>
      </w:r>
      <w:r>
        <w:rPr/>
        <w:t>Framework</w:t>
      </w:r>
      <w:r>
        <w:rPr>
          <w:spacing w:val="-5"/>
        </w:rPr>
        <w:t> </w:t>
      </w:r>
      <w:r>
        <w:rPr/>
        <w:t>Annex.1 Directives Delivered since January 2022</w:t>
      </w:r>
    </w:p>
    <w:p>
      <w:pPr>
        <w:pStyle w:val="BodyText"/>
        <w:spacing w:before="272"/>
        <w:ind w:left="720"/>
      </w:pPr>
      <w:r>
        <w:rPr/>
        <w:t>The</w:t>
      </w:r>
      <w:r>
        <w:rPr>
          <w:spacing w:val="-5"/>
        </w:rPr>
        <w:t> </w:t>
      </w:r>
      <w:r>
        <w:rPr/>
        <w:t>mapping</w:t>
      </w:r>
      <w:r>
        <w:rPr>
          <w:spacing w:val="-3"/>
        </w:rPr>
        <w:t> </w:t>
      </w:r>
      <w:r>
        <w:rPr/>
        <w:t>of</w:t>
      </w:r>
      <w:r>
        <w:rPr>
          <w:spacing w:val="-4"/>
        </w:rPr>
        <w:t> </w:t>
      </w:r>
      <w:r>
        <w:rPr/>
        <w:t>CJEU</w:t>
      </w:r>
      <w:r>
        <w:rPr>
          <w:spacing w:val="-3"/>
        </w:rPr>
        <w:t> </w:t>
      </w:r>
      <w:r>
        <w:rPr/>
        <w:t>case</w:t>
      </w:r>
      <w:r>
        <w:rPr>
          <w:spacing w:val="-3"/>
        </w:rPr>
        <w:t> </w:t>
      </w:r>
      <w:r>
        <w:rPr/>
        <w:t>law</w:t>
      </w:r>
      <w:r>
        <w:rPr>
          <w:spacing w:val="-3"/>
        </w:rPr>
        <w:t> </w:t>
      </w:r>
      <w:r>
        <w:rPr/>
        <w:t>was</w:t>
      </w:r>
      <w:r>
        <w:rPr>
          <w:spacing w:val="-4"/>
        </w:rPr>
        <w:t> </w:t>
      </w:r>
      <w:r>
        <w:rPr/>
        <w:t>completed</w:t>
      </w:r>
      <w:r>
        <w:rPr>
          <w:spacing w:val="-4"/>
        </w:rPr>
        <w:t> </w:t>
      </w:r>
      <w:r>
        <w:rPr/>
        <w:t>for</w:t>
      </w:r>
      <w:r>
        <w:rPr>
          <w:spacing w:val="-3"/>
        </w:rPr>
        <w:t> </w:t>
      </w:r>
      <w:r>
        <w:rPr/>
        <w:t>the</w:t>
      </w:r>
      <w:r>
        <w:rPr>
          <w:spacing w:val="-3"/>
        </w:rPr>
        <w:t> </w:t>
      </w:r>
      <w:r>
        <w:rPr/>
        <w:t>following</w:t>
      </w:r>
      <w:r>
        <w:rPr>
          <w:spacing w:val="-3"/>
        </w:rPr>
        <w:t> </w:t>
      </w:r>
      <w:r>
        <w:rPr/>
        <w:t>Annex</w:t>
      </w:r>
      <w:r>
        <w:rPr>
          <w:spacing w:val="-4"/>
        </w:rPr>
        <w:t> </w:t>
      </w:r>
      <w:r>
        <w:rPr/>
        <w:t>1</w:t>
      </w:r>
      <w:r>
        <w:rPr>
          <w:spacing w:val="-2"/>
        </w:rPr>
        <w:t> Directives:</w:t>
      </w:r>
    </w:p>
    <w:p>
      <w:pPr>
        <w:pStyle w:val="ListParagraph"/>
        <w:numPr>
          <w:ilvl w:val="0"/>
          <w:numId w:val="67"/>
        </w:numPr>
        <w:tabs>
          <w:tab w:pos="1174" w:val="left" w:leader="none"/>
        </w:tabs>
        <w:spacing w:line="232" w:lineRule="auto" w:before="280" w:after="0"/>
        <w:ind w:left="1174" w:right="1101" w:hanging="454"/>
        <w:jc w:val="left"/>
        <w:rPr>
          <w:sz w:val="28"/>
        </w:rPr>
      </w:pPr>
      <w:r>
        <w:rPr>
          <w:sz w:val="28"/>
        </w:rPr>
        <w:t>Directive 2004/113/EC of 13 December 2004 implementing the principle of equal</w:t>
      </w:r>
      <w:r>
        <w:rPr>
          <w:spacing w:val="-5"/>
          <w:sz w:val="28"/>
        </w:rPr>
        <w:t> </w:t>
      </w:r>
      <w:r>
        <w:rPr>
          <w:sz w:val="28"/>
        </w:rPr>
        <w:t>treatment</w:t>
      </w:r>
      <w:r>
        <w:rPr>
          <w:spacing w:val="-4"/>
          <w:sz w:val="28"/>
        </w:rPr>
        <w:t> </w:t>
      </w:r>
      <w:r>
        <w:rPr>
          <w:sz w:val="28"/>
        </w:rPr>
        <w:t>between</w:t>
      </w:r>
      <w:r>
        <w:rPr>
          <w:spacing w:val="-5"/>
          <w:sz w:val="28"/>
        </w:rPr>
        <w:t> </w:t>
      </w:r>
      <w:r>
        <w:rPr>
          <w:sz w:val="28"/>
        </w:rPr>
        <w:t>men</w:t>
      </w:r>
      <w:r>
        <w:rPr>
          <w:spacing w:val="-5"/>
          <w:sz w:val="28"/>
        </w:rPr>
        <w:t> </w:t>
      </w:r>
      <w:r>
        <w:rPr>
          <w:sz w:val="28"/>
        </w:rPr>
        <w:t>and</w:t>
      </w:r>
      <w:r>
        <w:rPr>
          <w:spacing w:val="-5"/>
          <w:sz w:val="28"/>
        </w:rPr>
        <w:t> </w:t>
      </w:r>
      <w:r>
        <w:rPr>
          <w:sz w:val="28"/>
        </w:rPr>
        <w:t>women</w:t>
      </w:r>
      <w:r>
        <w:rPr>
          <w:spacing w:val="-5"/>
          <w:sz w:val="28"/>
        </w:rPr>
        <w:t> </w:t>
      </w:r>
      <w:r>
        <w:rPr>
          <w:sz w:val="28"/>
        </w:rPr>
        <w:t>in</w:t>
      </w:r>
      <w:r>
        <w:rPr>
          <w:spacing w:val="-5"/>
          <w:sz w:val="28"/>
        </w:rPr>
        <w:t> </w:t>
      </w:r>
      <w:r>
        <w:rPr>
          <w:sz w:val="28"/>
        </w:rPr>
        <w:t>the</w:t>
      </w:r>
      <w:r>
        <w:rPr>
          <w:spacing w:val="-4"/>
          <w:sz w:val="28"/>
        </w:rPr>
        <w:t> </w:t>
      </w:r>
      <w:r>
        <w:rPr>
          <w:sz w:val="28"/>
        </w:rPr>
        <w:t>access</w:t>
      </w:r>
      <w:r>
        <w:rPr>
          <w:spacing w:val="-5"/>
          <w:sz w:val="28"/>
        </w:rPr>
        <w:t> </w:t>
      </w:r>
      <w:r>
        <w:rPr>
          <w:sz w:val="28"/>
        </w:rPr>
        <w:t>to</w:t>
      </w:r>
      <w:r>
        <w:rPr>
          <w:spacing w:val="-5"/>
          <w:sz w:val="28"/>
        </w:rPr>
        <w:t> </w:t>
      </w:r>
      <w:r>
        <w:rPr>
          <w:sz w:val="28"/>
        </w:rPr>
        <w:t>and</w:t>
      </w:r>
      <w:r>
        <w:rPr>
          <w:spacing w:val="-5"/>
          <w:sz w:val="28"/>
        </w:rPr>
        <w:t> </w:t>
      </w:r>
      <w:r>
        <w:rPr>
          <w:sz w:val="28"/>
        </w:rPr>
        <w:t>supply</w:t>
      </w:r>
      <w:r>
        <w:rPr>
          <w:spacing w:val="-4"/>
          <w:sz w:val="28"/>
        </w:rPr>
        <w:t> </w:t>
      </w:r>
      <w:r>
        <w:rPr>
          <w:sz w:val="28"/>
        </w:rPr>
        <w:t>of</w:t>
      </w:r>
      <w:r>
        <w:rPr>
          <w:spacing w:val="-5"/>
          <w:sz w:val="28"/>
        </w:rPr>
        <w:t> </w:t>
      </w:r>
      <w:r>
        <w:rPr>
          <w:sz w:val="28"/>
        </w:rPr>
        <w:t>goods and services</w:t>
      </w:r>
    </w:p>
    <w:p>
      <w:pPr>
        <w:pStyle w:val="ListParagraph"/>
        <w:numPr>
          <w:ilvl w:val="0"/>
          <w:numId w:val="67"/>
        </w:numPr>
        <w:tabs>
          <w:tab w:pos="1174" w:val="left" w:leader="none"/>
        </w:tabs>
        <w:spacing w:line="232" w:lineRule="auto" w:before="279" w:after="0"/>
        <w:ind w:left="1174" w:right="967" w:hanging="454"/>
        <w:jc w:val="left"/>
        <w:rPr>
          <w:sz w:val="28"/>
        </w:rPr>
      </w:pPr>
      <w:r>
        <w:rPr>
          <w:sz w:val="28"/>
        </w:rPr>
        <w:t>Directive 2006/54/EC of the European Parliament and of the Council of 5 July 2006 on the implementation of the principle of equal opportunities and equal treatment</w:t>
      </w:r>
      <w:r>
        <w:rPr>
          <w:spacing w:val="-7"/>
          <w:sz w:val="28"/>
        </w:rPr>
        <w:t> </w:t>
      </w:r>
      <w:r>
        <w:rPr>
          <w:sz w:val="28"/>
        </w:rPr>
        <w:t>of</w:t>
      </w:r>
      <w:r>
        <w:rPr>
          <w:spacing w:val="-8"/>
          <w:sz w:val="28"/>
        </w:rPr>
        <w:t> </w:t>
      </w:r>
      <w:r>
        <w:rPr>
          <w:sz w:val="28"/>
        </w:rPr>
        <w:t>men</w:t>
      </w:r>
      <w:r>
        <w:rPr>
          <w:spacing w:val="-8"/>
          <w:sz w:val="28"/>
        </w:rPr>
        <w:t> </w:t>
      </w:r>
      <w:r>
        <w:rPr>
          <w:sz w:val="28"/>
        </w:rPr>
        <w:t>and</w:t>
      </w:r>
      <w:r>
        <w:rPr>
          <w:spacing w:val="-8"/>
          <w:sz w:val="28"/>
        </w:rPr>
        <w:t> </w:t>
      </w:r>
      <w:r>
        <w:rPr>
          <w:sz w:val="28"/>
        </w:rPr>
        <w:t>women</w:t>
      </w:r>
      <w:r>
        <w:rPr>
          <w:spacing w:val="-8"/>
          <w:sz w:val="28"/>
        </w:rPr>
        <w:t> </w:t>
      </w:r>
      <w:r>
        <w:rPr>
          <w:sz w:val="28"/>
        </w:rPr>
        <w:t>in</w:t>
      </w:r>
      <w:r>
        <w:rPr>
          <w:spacing w:val="-8"/>
          <w:sz w:val="28"/>
        </w:rPr>
        <w:t> </w:t>
      </w:r>
      <w:r>
        <w:rPr>
          <w:sz w:val="28"/>
        </w:rPr>
        <w:t>matters</w:t>
      </w:r>
      <w:r>
        <w:rPr>
          <w:spacing w:val="-8"/>
          <w:sz w:val="28"/>
        </w:rPr>
        <w:t> </w:t>
      </w:r>
      <w:r>
        <w:rPr>
          <w:sz w:val="28"/>
        </w:rPr>
        <w:t>of</w:t>
      </w:r>
      <w:r>
        <w:rPr>
          <w:spacing w:val="-8"/>
          <w:sz w:val="28"/>
        </w:rPr>
        <w:t> </w:t>
      </w:r>
      <w:r>
        <w:rPr>
          <w:sz w:val="28"/>
        </w:rPr>
        <w:t>employment</w:t>
      </w:r>
      <w:r>
        <w:rPr>
          <w:spacing w:val="-7"/>
          <w:sz w:val="28"/>
        </w:rPr>
        <w:t> </w:t>
      </w:r>
      <w:r>
        <w:rPr>
          <w:sz w:val="28"/>
        </w:rPr>
        <w:t>and</w:t>
      </w:r>
      <w:r>
        <w:rPr>
          <w:spacing w:val="-8"/>
          <w:sz w:val="28"/>
        </w:rPr>
        <w:t> </w:t>
      </w:r>
      <w:r>
        <w:rPr>
          <w:sz w:val="28"/>
        </w:rPr>
        <w:t>occupation</w:t>
      </w:r>
      <w:r>
        <w:rPr>
          <w:spacing w:val="-8"/>
          <w:sz w:val="28"/>
        </w:rPr>
        <w:t> </w:t>
      </w:r>
      <w:r>
        <w:rPr>
          <w:sz w:val="28"/>
        </w:rPr>
        <w:t>(recast)</w:t>
      </w:r>
    </w:p>
    <w:p>
      <w:pPr>
        <w:pStyle w:val="ListParagraph"/>
        <w:numPr>
          <w:ilvl w:val="0"/>
          <w:numId w:val="67"/>
        </w:numPr>
        <w:tabs>
          <w:tab w:pos="1174" w:val="left" w:leader="none"/>
        </w:tabs>
        <w:spacing w:line="232" w:lineRule="auto" w:before="279" w:after="0"/>
        <w:ind w:left="1174" w:right="1735" w:hanging="454"/>
        <w:jc w:val="left"/>
        <w:rPr>
          <w:sz w:val="28"/>
        </w:rPr>
      </w:pPr>
      <w:r>
        <w:rPr>
          <w:sz w:val="28"/>
        </w:rPr>
        <w:t>Directive</w:t>
      </w:r>
      <w:r>
        <w:rPr>
          <w:spacing w:val="-5"/>
          <w:sz w:val="28"/>
        </w:rPr>
        <w:t> </w:t>
      </w:r>
      <w:r>
        <w:rPr>
          <w:sz w:val="28"/>
        </w:rPr>
        <w:t>2000/43/EC</w:t>
      </w:r>
      <w:r>
        <w:rPr>
          <w:spacing w:val="-6"/>
          <w:sz w:val="28"/>
        </w:rPr>
        <w:t> </w:t>
      </w:r>
      <w:r>
        <w:rPr>
          <w:sz w:val="28"/>
        </w:rPr>
        <w:t>of</w:t>
      </w:r>
      <w:r>
        <w:rPr>
          <w:spacing w:val="-6"/>
          <w:sz w:val="28"/>
        </w:rPr>
        <w:t> </w:t>
      </w:r>
      <w:r>
        <w:rPr>
          <w:sz w:val="28"/>
        </w:rPr>
        <w:t>29</w:t>
      </w:r>
      <w:r>
        <w:rPr>
          <w:spacing w:val="-5"/>
          <w:sz w:val="28"/>
        </w:rPr>
        <w:t> </w:t>
      </w:r>
      <w:r>
        <w:rPr>
          <w:sz w:val="28"/>
        </w:rPr>
        <w:t>June</w:t>
      </w:r>
      <w:r>
        <w:rPr>
          <w:spacing w:val="-5"/>
          <w:sz w:val="28"/>
        </w:rPr>
        <w:t> </w:t>
      </w:r>
      <w:r>
        <w:rPr>
          <w:sz w:val="28"/>
        </w:rPr>
        <w:t>2000</w:t>
      </w:r>
      <w:r>
        <w:rPr>
          <w:spacing w:val="-5"/>
          <w:sz w:val="28"/>
        </w:rPr>
        <w:t> </w:t>
      </w:r>
      <w:r>
        <w:rPr>
          <w:sz w:val="28"/>
        </w:rPr>
        <w:t>implementing</w:t>
      </w:r>
      <w:r>
        <w:rPr>
          <w:spacing w:val="-5"/>
          <w:sz w:val="28"/>
        </w:rPr>
        <w:t> </w:t>
      </w:r>
      <w:r>
        <w:rPr>
          <w:sz w:val="28"/>
        </w:rPr>
        <w:t>the</w:t>
      </w:r>
      <w:r>
        <w:rPr>
          <w:spacing w:val="-5"/>
          <w:sz w:val="28"/>
        </w:rPr>
        <w:t> </w:t>
      </w:r>
      <w:r>
        <w:rPr>
          <w:sz w:val="28"/>
        </w:rPr>
        <w:t>principle</w:t>
      </w:r>
      <w:r>
        <w:rPr>
          <w:spacing w:val="-5"/>
          <w:sz w:val="28"/>
        </w:rPr>
        <w:t> </w:t>
      </w:r>
      <w:r>
        <w:rPr>
          <w:sz w:val="28"/>
        </w:rPr>
        <w:t>of</w:t>
      </w:r>
      <w:r>
        <w:rPr>
          <w:spacing w:val="-6"/>
          <w:sz w:val="28"/>
        </w:rPr>
        <w:t> </w:t>
      </w:r>
      <w:r>
        <w:rPr>
          <w:sz w:val="28"/>
        </w:rPr>
        <w:t>equal treatment between persons irrespective of racial or ethnic origin</w:t>
      </w:r>
    </w:p>
    <w:p>
      <w:pPr>
        <w:pStyle w:val="ListParagraph"/>
        <w:numPr>
          <w:ilvl w:val="0"/>
          <w:numId w:val="67"/>
        </w:numPr>
        <w:tabs>
          <w:tab w:pos="1174" w:val="left" w:leader="none"/>
        </w:tabs>
        <w:spacing w:line="232" w:lineRule="auto" w:before="280" w:after="0"/>
        <w:ind w:left="1174" w:right="980" w:hanging="454"/>
        <w:jc w:val="left"/>
        <w:rPr>
          <w:sz w:val="28"/>
        </w:rPr>
      </w:pPr>
      <w:r>
        <w:rPr>
          <w:sz w:val="28"/>
        </w:rPr>
        <w:t>Directive</w:t>
      </w:r>
      <w:r>
        <w:rPr>
          <w:spacing w:val="-8"/>
          <w:sz w:val="28"/>
        </w:rPr>
        <w:t> </w:t>
      </w:r>
      <w:r>
        <w:rPr>
          <w:sz w:val="28"/>
        </w:rPr>
        <w:t>2000/78/EC</w:t>
      </w:r>
      <w:r>
        <w:rPr>
          <w:spacing w:val="-9"/>
          <w:sz w:val="28"/>
        </w:rPr>
        <w:t> </w:t>
      </w:r>
      <w:r>
        <w:rPr>
          <w:sz w:val="28"/>
        </w:rPr>
        <w:t>of</w:t>
      </w:r>
      <w:r>
        <w:rPr>
          <w:spacing w:val="-9"/>
          <w:sz w:val="28"/>
        </w:rPr>
        <w:t> </w:t>
      </w:r>
      <w:r>
        <w:rPr>
          <w:sz w:val="28"/>
        </w:rPr>
        <w:t>27</w:t>
      </w:r>
      <w:r>
        <w:rPr>
          <w:spacing w:val="-8"/>
          <w:sz w:val="28"/>
        </w:rPr>
        <w:t> </w:t>
      </w:r>
      <w:r>
        <w:rPr>
          <w:sz w:val="28"/>
        </w:rPr>
        <w:t>November</w:t>
      </w:r>
      <w:r>
        <w:rPr>
          <w:spacing w:val="-8"/>
          <w:sz w:val="28"/>
        </w:rPr>
        <w:t> </w:t>
      </w:r>
      <w:r>
        <w:rPr>
          <w:sz w:val="28"/>
        </w:rPr>
        <w:t>2000</w:t>
      </w:r>
      <w:r>
        <w:rPr>
          <w:spacing w:val="-8"/>
          <w:sz w:val="28"/>
        </w:rPr>
        <w:t> </w:t>
      </w:r>
      <w:r>
        <w:rPr>
          <w:sz w:val="28"/>
        </w:rPr>
        <w:t>establishing</w:t>
      </w:r>
      <w:r>
        <w:rPr>
          <w:spacing w:val="-8"/>
          <w:sz w:val="28"/>
        </w:rPr>
        <w:t> </w:t>
      </w:r>
      <w:r>
        <w:rPr>
          <w:sz w:val="28"/>
        </w:rPr>
        <w:t>a</w:t>
      </w:r>
      <w:r>
        <w:rPr>
          <w:spacing w:val="-9"/>
          <w:sz w:val="28"/>
        </w:rPr>
        <w:t> </w:t>
      </w:r>
      <w:r>
        <w:rPr>
          <w:sz w:val="28"/>
        </w:rPr>
        <w:t>general</w:t>
      </w:r>
      <w:r>
        <w:rPr>
          <w:spacing w:val="-9"/>
          <w:sz w:val="28"/>
        </w:rPr>
        <w:t> </w:t>
      </w:r>
      <w:r>
        <w:rPr>
          <w:sz w:val="28"/>
        </w:rPr>
        <w:t>framework</w:t>
      </w:r>
      <w:r>
        <w:rPr>
          <w:spacing w:val="-8"/>
          <w:sz w:val="28"/>
        </w:rPr>
        <w:t> </w:t>
      </w:r>
      <w:r>
        <w:rPr>
          <w:sz w:val="28"/>
        </w:rPr>
        <w:t>for equal treatment in employment and occupation</w:t>
      </w:r>
    </w:p>
    <w:p>
      <w:pPr>
        <w:pStyle w:val="ListParagraph"/>
        <w:numPr>
          <w:ilvl w:val="0"/>
          <w:numId w:val="67"/>
        </w:numPr>
        <w:tabs>
          <w:tab w:pos="1174" w:val="left" w:leader="none"/>
        </w:tabs>
        <w:spacing w:line="232" w:lineRule="auto" w:before="280" w:after="0"/>
        <w:ind w:left="1174" w:right="1165" w:hanging="454"/>
        <w:jc w:val="left"/>
        <w:rPr>
          <w:sz w:val="28"/>
        </w:rPr>
      </w:pPr>
      <w:r>
        <w:rPr>
          <w:sz w:val="28"/>
        </w:rPr>
        <w:t>Directive</w:t>
      </w:r>
      <w:r>
        <w:rPr>
          <w:spacing w:val="-4"/>
          <w:sz w:val="28"/>
        </w:rPr>
        <w:t> </w:t>
      </w:r>
      <w:r>
        <w:rPr>
          <w:sz w:val="28"/>
        </w:rPr>
        <w:t>2010/41/EU</w:t>
      </w:r>
      <w:r>
        <w:rPr>
          <w:spacing w:val="-4"/>
          <w:sz w:val="28"/>
        </w:rPr>
        <w:t> </w:t>
      </w:r>
      <w:r>
        <w:rPr>
          <w:sz w:val="28"/>
        </w:rPr>
        <w:t>of</w:t>
      </w:r>
      <w:r>
        <w:rPr>
          <w:spacing w:val="-5"/>
          <w:sz w:val="28"/>
        </w:rPr>
        <w:t> </w:t>
      </w:r>
      <w:r>
        <w:rPr>
          <w:sz w:val="28"/>
        </w:rPr>
        <w:t>7</w:t>
      </w:r>
      <w:r>
        <w:rPr>
          <w:spacing w:val="-4"/>
          <w:sz w:val="28"/>
        </w:rPr>
        <w:t> </w:t>
      </w:r>
      <w:r>
        <w:rPr>
          <w:sz w:val="28"/>
        </w:rPr>
        <w:t>July</w:t>
      </w:r>
      <w:r>
        <w:rPr>
          <w:spacing w:val="-4"/>
          <w:sz w:val="28"/>
        </w:rPr>
        <w:t> </w:t>
      </w:r>
      <w:r>
        <w:rPr>
          <w:sz w:val="28"/>
        </w:rPr>
        <w:t>2010</w:t>
      </w:r>
      <w:r>
        <w:rPr>
          <w:spacing w:val="-4"/>
          <w:sz w:val="28"/>
        </w:rPr>
        <w:t> </w:t>
      </w:r>
      <w:r>
        <w:rPr>
          <w:sz w:val="28"/>
        </w:rPr>
        <w:t>on</w:t>
      </w:r>
      <w:r>
        <w:rPr>
          <w:spacing w:val="-5"/>
          <w:sz w:val="28"/>
        </w:rPr>
        <w:t> </w:t>
      </w:r>
      <w:r>
        <w:rPr>
          <w:sz w:val="28"/>
        </w:rPr>
        <w:t>the</w:t>
      </w:r>
      <w:r>
        <w:rPr>
          <w:spacing w:val="-4"/>
          <w:sz w:val="28"/>
        </w:rPr>
        <w:t> </w:t>
      </w:r>
      <w:r>
        <w:rPr>
          <w:sz w:val="28"/>
        </w:rPr>
        <w:t>application</w:t>
      </w:r>
      <w:r>
        <w:rPr>
          <w:spacing w:val="-5"/>
          <w:sz w:val="28"/>
        </w:rPr>
        <w:t> </w:t>
      </w:r>
      <w:r>
        <w:rPr>
          <w:sz w:val="28"/>
        </w:rPr>
        <w:t>of</w:t>
      </w:r>
      <w:r>
        <w:rPr>
          <w:spacing w:val="-5"/>
          <w:sz w:val="28"/>
        </w:rPr>
        <w:t> </w:t>
      </w:r>
      <w:r>
        <w:rPr>
          <w:sz w:val="28"/>
        </w:rPr>
        <w:t>the</w:t>
      </w:r>
      <w:r>
        <w:rPr>
          <w:spacing w:val="-4"/>
          <w:sz w:val="28"/>
        </w:rPr>
        <w:t> </w:t>
      </w:r>
      <w:r>
        <w:rPr>
          <w:sz w:val="28"/>
        </w:rPr>
        <w:t>principle</w:t>
      </w:r>
      <w:r>
        <w:rPr>
          <w:spacing w:val="-4"/>
          <w:sz w:val="28"/>
        </w:rPr>
        <w:t> </w:t>
      </w:r>
      <w:r>
        <w:rPr>
          <w:sz w:val="28"/>
        </w:rPr>
        <w:t>of</w:t>
      </w:r>
      <w:r>
        <w:rPr>
          <w:spacing w:val="-5"/>
          <w:sz w:val="28"/>
        </w:rPr>
        <w:t> </w:t>
      </w:r>
      <w:r>
        <w:rPr>
          <w:sz w:val="28"/>
        </w:rPr>
        <w:t>equal treatment between men and women engaged in an activity in a self-employed capacity and repealing Council Directive 86/613/EEC</w:t>
      </w:r>
    </w:p>
    <w:p>
      <w:pPr>
        <w:pStyle w:val="ListParagraph"/>
        <w:numPr>
          <w:ilvl w:val="0"/>
          <w:numId w:val="67"/>
        </w:numPr>
        <w:tabs>
          <w:tab w:pos="1174" w:val="left" w:leader="none"/>
        </w:tabs>
        <w:spacing w:line="232" w:lineRule="auto" w:before="279" w:after="0"/>
        <w:ind w:left="1174" w:right="968" w:hanging="454"/>
        <w:jc w:val="left"/>
        <w:rPr>
          <w:sz w:val="28"/>
        </w:rPr>
      </w:pPr>
      <w:r>
        <w:rPr>
          <w:sz w:val="28"/>
        </w:rPr>
        <w:t>Directive 79/7/EEC of 19 December 1978 on the progressive implementation of the</w:t>
      </w:r>
      <w:r>
        <w:rPr>
          <w:spacing w:val="-5"/>
          <w:sz w:val="28"/>
        </w:rPr>
        <w:t> </w:t>
      </w:r>
      <w:r>
        <w:rPr>
          <w:sz w:val="28"/>
        </w:rPr>
        <w:t>principle</w:t>
      </w:r>
      <w:r>
        <w:rPr>
          <w:spacing w:val="-5"/>
          <w:sz w:val="28"/>
        </w:rPr>
        <w:t> </w:t>
      </w:r>
      <w:r>
        <w:rPr>
          <w:sz w:val="28"/>
        </w:rPr>
        <w:t>of</w:t>
      </w:r>
      <w:r>
        <w:rPr>
          <w:spacing w:val="-6"/>
          <w:sz w:val="28"/>
        </w:rPr>
        <w:t> </w:t>
      </w:r>
      <w:r>
        <w:rPr>
          <w:sz w:val="28"/>
        </w:rPr>
        <w:t>equal</w:t>
      </w:r>
      <w:r>
        <w:rPr>
          <w:spacing w:val="-6"/>
          <w:sz w:val="28"/>
        </w:rPr>
        <w:t> </w:t>
      </w:r>
      <w:r>
        <w:rPr>
          <w:sz w:val="28"/>
        </w:rPr>
        <w:t>treatment</w:t>
      </w:r>
      <w:r>
        <w:rPr>
          <w:spacing w:val="-5"/>
          <w:sz w:val="28"/>
        </w:rPr>
        <w:t> </w:t>
      </w:r>
      <w:r>
        <w:rPr>
          <w:sz w:val="28"/>
        </w:rPr>
        <w:t>for</w:t>
      </w:r>
      <w:r>
        <w:rPr>
          <w:spacing w:val="-5"/>
          <w:sz w:val="28"/>
        </w:rPr>
        <w:t> </w:t>
      </w:r>
      <w:r>
        <w:rPr>
          <w:sz w:val="28"/>
        </w:rPr>
        <w:t>men</w:t>
      </w:r>
      <w:r>
        <w:rPr>
          <w:spacing w:val="-6"/>
          <w:sz w:val="28"/>
        </w:rPr>
        <w:t> </w:t>
      </w:r>
      <w:r>
        <w:rPr>
          <w:sz w:val="28"/>
        </w:rPr>
        <w:t>and</w:t>
      </w:r>
      <w:r>
        <w:rPr>
          <w:spacing w:val="-6"/>
          <w:sz w:val="28"/>
        </w:rPr>
        <w:t> </w:t>
      </w:r>
      <w:r>
        <w:rPr>
          <w:sz w:val="28"/>
        </w:rPr>
        <w:t>women</w:t>
      </w:r>
      <w:r>
        <w:rPr>
          <w:spacing w:val="-6"/>
          <w:sz w:val="28"/>
        </w:rPr>
        <w:t> </w:t>
      </w:r>
      <w:r>
        <w:rPr>
          <w:sz w:val="28"/>
        </w:rPr>
        <w:t>in</w:t>
      </w:r>
      <w:r>
        <w:rPr>
          <w:spacing w:val="-6"/>
          <w:sz w:val="28"/>
        </w:rPr>
        <w:t> </w:t>
      </w:r>
      <w:r>
        <w:rPr>
          <w:sz w:val="28"/>
        </w:rPr>
        <w:t>matters</w:t>
      </w:r>
      <w:r>
        <w:rPr>
          <w:spacing w:val="-6"/>
          <w:sz w:val="28"/>
        </w:rPr>
        <w:t> </w:t>
      </w:r>
      <w:r>
        <w:rPr>
          <w:sz w:val="28"/>
        </w:rPr>
        <w:t>of</w:t>
      </w:r>
      <w:r>
        <w:rPr>
          <w:spacing w:val="-6"/>
          <w:sz w:val="28"/>
        </w:rPr>
        <w:t> </w:t>
      </w:r>
      <w:r>
        <w:rPr>
          <w:sz w:val="28"/>
        </w:rPr>
        <w:t>social</w:t>
      </w:r>
      <w:r>
        <w:rPr>
          <w:spacing w:val="-6"/>
          <w:sz w:val="28"/>
        </w:rPr>
        <w:t> </w:t>
      </w:r>
      <w:r>
        <w:rPr>
          <w:sz w:val="28"/>
        </w:rPr>
        <w:t>security</w:t>
      </w:r>
    </w:p>
    <w:p>
      <w:pPr>
        <w:pStyle w:val="BodyText"/>
        <w:spacing w:line="232" w:lineRule="auto" w:before="281"/>
        <w:ind w:left="720" w:right="1493"/>
      </w:pPr>
      <w:r>
        <w:rPr/>
        <w:t>The date range for the search on each Annex 1 Directive was from 01/01/2022 to 31/08/2023 to provide an update on the previous mapping and report commissioned.</w:t>
      </w:r>
      <w:r>
        <w:rPr>
          <w:spacing w:val="-5"/>
        </w:rPr>
        <w:t> </w:t>
      </w:r>
      <w:r>
        <w:rPr/>
        <w:t>All</w:t>
      </w:r>
      <w:r>
        <w:rPr>
          <w:spacing w:val="-5"/>
        </w:rPr>
        <w:t> </w:t>
      </w:r>
      <w:r>
        <w:rPr/>
        <w:t>case</w:t>
      </w:r>
      <w:r>
        <w:rPr>
          <w:spacing w:val="-4"/>
        </w:rPr>
        <w:t> </w:t>
      </w:r>
      <w:r>
        <w:rPr/>
        <w:t>law</w:t>
      </w:r>
      <w:r>
        <w:rPr>
          <w:spacing w:val="-4"/>
        </w:rPr>
        <w:t> </w:t>
      </w:r>
      <w:r>
        <w:rPr/>
        <w:t>searches</w:t>
      </w:r>
      <w:r>
        <w:rPr>
          <w:spacing w:val="-5"/>
        </w:rPr>
        <w:t> </w:t>
      </w:r>
      <w:r>
        <w:rPr/>
        <w:t>took</w:t>
      </w:r>
      <w:r>
        <w:rPr>
          <w:spacing w:val="-4"/>
        </w:rPr>
        <w:t> </w:t>
      </w:r>
      <w:r>
        <w:rPr/>
        <w:t>place</w:t>
      </w:r>
      <w:r>
        <w:rPr>
          <w:spacing w:val="-4"/>
        </w:rPr>
        <w:t> </w:t>
      </w:r>
      <w:r>
        <w:rPr/>
        <w:t>on</w:t>
      </w:r>
      <w:r>
        <w:rPr>
          <w:spacing w:val="-5"/>
        </w:rPr>
        <w:t> </w:t>
      </w:r>
      <w:r>
        <w:rPr/>
        <w:t>the</w:t>
      </w:r>
      <w:r>
        <w:rPr>
          <w:spacing w:val="-4"/>
        </w:rPr>
        <w:t> </w:t>
      </w:r>
      <w:r>
        <w:rPr/>
        <w:t>curia.eu</w:t>
      </w:r>
      <w:r>
        <w:rPr>
          <w:spacing w:val="-5"/>
        </w:rPr>
        <w:t> </w:t>
      </w:r>
      <w:r>
        <w:rPr/>
        <w:t>database</w:t>
      </w:r>
      <w:r>
        <w:rPr>
          <w:spacing w:val="-4"/>
        </w:rPr>
        <w:t> </w:t>
      </w:r>
      <w:r>
        <w:rPr/>
        <w:t>and</w:t>
      </w:r>
      <w:r>
        <w:rPr>
          <w:spacing w:val="-5"/>
        </w:rPr>
        <w:t> </w:t>
      </w:r>
      <w:r>
        <w:rPr/>
        <w:t>all the cases</w:t>
      </w:r>
      <w:r>
        <w:rPr>
          <w:spacing w:val="-1"/>
        </w:rPr>
        <w:t> </w:t>
      </w:r>
      <w:r>
        <w:rPr/>
        <w:t>were systematically analysed.</w:t>
      </w:r>
      <w:r>
        <w:rPr>
          <w:spacing w:val="-1"/>
        </w:rPr>
        <w:t> </w:t>
      </w:r>
      <w:r>
        <w:rPr/>
        <w:t>To</w:t>
      </w:r>
      <w:r>
        <w:rPr>
          <w:spacing w:val="-1"/>
        </w:rPr>
        <w:t> </w:t>
      </w:r>
      <w:r>
        <w:rPr/>
        <w:t>aid</w:t>
      </w:r>
      <w:r>
        <w:rPr>
          <w:spacing w:val="-1"/>
        </w:rPr>
        <w:t> </w:t>
      </w:r>
      <w:r>
        <w:rPr/>
        <w:t>with</w:t>
      </w:r>
      <w:r>
        <w:rPr>
          <w:spacing w:val="-1"/>
        </w:rPr>
        <w:t> </w:t>
      </w:r>
      <w:r>
        <w:rPr/>
        <w:t>review, a</w:t>
      </w:r>
      <w:r>
        <w:rPr>
          <w:spacing w:val="-1"/>
        </w:rPr>
        <w:t> </w:t>
      </w:r>
      <w:r>
        <w:rPr/>
        <w:t>relevance key was</w:t>
      </w:r>
    </w:p>
    <w:p>
      <w:pPr>
        <w:pStyle w:val="BodyText"/>
        <w:spacing w:line="232" w:lineRule="auto"/>
        <w:ind w:left="720" w:right="1143"/>
      </w:pPr>
      <w:r>
        <w:rPr/>
        <w:t>implemented</w:t>
      </w:r>
      <w:r>
        <w:rPr>
          <w:spacing w:val="-6"/>
        </w:rPr>
        <w:t> </w:t>
      </w:r>
      <w:r>
        <w:rPr/>
        <w:t>to</w:t>
      </w:r>
      <w:r>
        <w:rPr>
          <w:spacing w:val="-6"/>
        </w:rPr>
        <w:t> </w:t>
      </w:r>
      <w:r>
        <w:rPr/>
        <w:t>highlight</w:t>
      </w:r>
      <w:r>
        <w:rPr>
          <w:spacing w:val="-5"/>
        </w:rPr>
        <w:t> </w:t>
      </w:r>
      <w:r>
        <w:rPr/>
        <w:t>cases</w:t>
      </w:r>
      <w:r>
        <w:rPr>
          <w:spacing w:val="-6"/>
        </w:rPr>
        <w:t> </w:t>
      </w:r>
      <w:r>
        <w:rPr/>
        <w:t>deemed</w:t>
      </w:r>
      <w:r>
        <w:rPr>
          <w:spacing w:val="-6"/>
        </w:rPr>
        <w:t> </w:t>
      </w:r>
      <w:r>
        <w:rPr/>
        <w:t>Core</w:t>
      </w:r>
      <w:r>
        <w:rPr>
          <w:spacing w:val="-5"/>
        </w:rPr>
        <w:t> </w:t>
      </w:r>
      <w:r>
        <w:rPr/>
        <w:t>©</w:t>
      </w:r>
      <w:r>
        <w:rPr>
          <w:spacing w:val="-6"/>
        </w:rPr>
        <w:t> </w:t>
      </w:r>
      <w:r>
        <w:rPr/>
        <w:t>or</w:t>
      </w:r>
      <w:r>
        <w:rPr>
          <w:spacing w:val="-5"/>
        </w:rPr>
        <w:t> </w:t>
      </w:r>
      <w:r>
        <w:rPr/>
        <w:t>Periphery</w:t>
      </w:r>
      <w:r>
        <w:rPr>
          <w:spacing w:val="-5"/>
        </w:rPr>
        <w:t> </w:t>
      </w:r>
      <w:r>
        <w:rPr/>
        <w:t>(P)</w:t>
      </w:r>
      <w:r>
        <w:rPr>
          <w:spacing w:val="-6"/>
        </w:rPr>
        <w:t> </w:t>
      </w:r>
      <w:r>
        <w:rPr/>
        <w:t>distinction</w:t>
      </w:r>
      <w:r>
        <w:rPr>
          <w:spacing w:val="-6"/>
        </w:rPr>
        <w:t> </w:t>
      </w:r>
      <w:r>
        <w:rPr/>
        <w:t>so</w:t>
      </w:r>
      <w:r>
        <w:rPr>
          <w:spacing w:val="-6"/>
        </w:rPr>
        <w:t> </w:t>
      </w:r>
      <w:r>
        <w:rPr/>
        <w:t>that a deeper analysis could be carried out on cases which were deemed core to the parameters of the report and the aforenoted Directions. This was implemented</w:t>
      </w:r>
    </w:p>
    <w:p>
      <w:pPr>
        <w:pStyle w:val="BodyText"/>
        <w:spacing w:line="232" w:lineRule="auto"/>
        <w:ind w:left="720" w:right="1404"/>
      </w:pPr>
      <w:r>
        <w:rPr/>
        <w:t>as case law was flagged whereby the Directive was either significant and pivotal to the judgment reached, or alternatively mentioned only in passing. However, for</w:t>
      </w:r>
      <w:r>
        <w:rPr>
          <w:spacing w:val="-5"/>
        </w:rPr>
        <w:t> </w:t>
      </w:r>
      <w:r>
        <w:rPr/>
        <w:t>completeness</w:t>
      </w:r>
      <w:r>
        <w:rPr>
          <w:spacing w:val="-6"/>
        </w:rPr>
        <w:t> </w:t>
      </w:r>
      <w:r>
        <w:rPr/>
        <w:t>and</w:t>
      </w:r>
      <w:r>
        <w:rPr>
          <w:spacing w:val="-6"/>
        </w:rPr>
        <w:t> </w:t>
      </w:r>
      <w:r>
        <w:rPr/>
        <w:t>transparency</w:t>
      </w:r>
      <w:r>
        <w:rPr>
          <w:spacing w:val="-5"/>
        </w:rPr>
        <w:t> </w:t>
      </w:r>
      <w:r>
        <w:rPr/>
        <w:t>of</w:t>
      </w:r>
      <w:r>
        <w:rPr>
          <w:spacing w:val="-6"/>
        </w:rPr>
        <w:t> </w:t>
      </w:r>
      <w:r>
        <w:rPr/>
        <w:t>the</w:t>
      </w:r>
      <w:r>
        <w:rPr>
          <w:spacing w:val="-5"/>
        </w:rPr>
        <w:t> </w:t>
      </w:r>
      <w:r>
        <w:rPr/>
        <w:t>process,</w:t>
      </w:r>
      <w:r>
        <w:rPr>
          <w:spacing w:val="-5"/>
        </w:rPr>
        <w:t> </w:t>
      </w:r>
      <w:r>
        <w:rPr/>
        <w:t>all</w:t>
      </w:r>
      <w:r>
        <w:rPr>
          <w:spacing w:val="-6"/>
        </w:rPr>
        <w:t> </w:t>
      </w:r>
      <w:r>
        <w:rPr/>
        <w:t>case</w:t>
      </w:r>
      <w:r>
        <w:rPr>
          <w:spacing w:val="-5"/>
        </w:rPr>
        <w:t> </w:t>
      </w:r>
      <w:r>
        <w:rPr/>
        <w:t>law</w:t>
      </w:r>
      <w:r>
        <w:rPr>
          <w:spacing w:val="-5"/>
        </w:rPr>
        <w:t> </w:t>
      </w:r>
      <w:r>
        <w:rPr/>
        <w:t>mapped</w:t>
      </w:r>
      <w:r>
        <w:rPr>
          <w:spacing w:val="-6"/>
        </w:rPr>
        <w:t> </w:t>
      </w:r>
      <w:r>
        <w:rPr/>
        <w:t>has</w:t>
      </w:r>
      <w:r>
        <w:rPr>
          <w:spacing w:val="-6"/>
        </w:rPr>
        <w:t> </w:t>
      </w:r>
      <w:r>
        <w:rPr/>
        <w:t>been</w:t>
      </w:r>
    </w:p>
    <w:p>
      <w:pPr>
        <w:pStyle w:val="BodyText"/>
        <w:spacing w:line="232" w:lineRule="auto"/>
        <w:ind w:left="720" w:right="1087"/>
      </w:pPr>
      <w:r>
        <w:rPr/>
        <w:t>included</w:t>
      </w:r>
      <w:r>
        <w:rPr>
          <w:spacing w:val="-6"/>
        </w:rPr>
        <w:t> </w:t>
      </w:r>
      <w:r>
        <w:rPr/>
        <w:t>within</w:t>
      </w:r>
      <w:r>
        <w:rPr>
          <w:spacing w:val="-6"/>
        </w:rPr>
        <w:t> </w:t>
      </w:r>
      <w:r>
        <w:rPr/>
        <w:t>Appendix</w:t>
      </w:r>
      <w:r>
        <w:rPr>
          <w:spacing w:val="-6"/>
        </w:rPr>
        <w:t> </w:t>
      </w:r>
      <w:r>
        <w:rPr/>
        <w:t>1</w:t>
      </w:r>
      <w:r>
        <w:rPr>
          <w:spacing w:val="-5"/>
        </w:rPr>
        <w:t> </w:t>
      </w:r>
      <w:r>
        <w:rPr/>
        <w:t>notwithstanding</w:t>
      </w:r>
      <w:r>
        <w:rPr>
          <w:spacing w:val="-5"/>
        </w:rPr>
        <w:t> </w:t>
      </w:r>
      <w:r>
        <w:rPr/>
        <w:t>if</w:t>
      </w:r>
      <w:r>
        <w:rPr>
          <w:spacing w:val="-6"/>
        </w:rPr>
        <w:t> </w:t>
      </w:r>
      <w:r>
        <w:rPr/>
        <w:t>it</w:t>
      </w:r>
      <w:r>
        <w:rPr>
          <w:spacing w:val="-5"/>
        </w:rPr>
        <w:t> </w:t>
      </w:r>
      <w:r>
        <w:rPr/>
        <w:t>has</w:t>
      </w:r>
      <w:r>
        <w:rPr>
          <w:spacing w:val="-6"/>
        </w:rPr>
        <w:t> </w:t>
      </w:r>
      <w:r>
        <w:rPr/>
        <w:t>been</w:t>
      </w:r>
      <w:r>
        <w:rPr>
          <w:spacing w:val="-6"/>
        </w:rPr>
        <w:t> </w:t>
      </w:r>
      <w:r>
        <w:rPr/>
        <w:t>referenced</w:t>
      </w:r>
      <w:r>
        <w:rPr>
          <w:spacing w:val="-6"/>
        </w:rPr>
        <w:t> </w:t>
      </w:r>
      <w:r>
        <w:rPr/>
        <w:t>to</w:t>
      </w:r>
      <w:r>
        <w:rPr>
          <w:spacing w:val="-6"/>
        </w:rPr>
        <w:t> </w:t>
      </w:r>
      <w:r>
        <w:rPr/>
        <w:t>within</w:t>
      </w:r>
      <w:r>
        <w:rPr>
          <w:spacing w:val="-6"/>
        </w:rPr>
        <w:t> </w:t>
      </w:r>
      <w:r>
        <w:rPr/>
        <w:t>the final report.</w:t>
      </w:r>
    </w:p>
    <w:p>
      <w:pPr>
        <w:spacing w:after="0" w:line="232" w:lineRule="auto"/>
        <w:sectPr>
          <w:pgSz w:w="11910" w:h="16840"/>
          <w:pgMar w:top="0" w:bottom="280" w:left="300" w:right="280"/>
        </w:sectPr>
      </w:pPr>
    </w:p>
    <w:p>
      <w:pPr>
        <w:pStyle w:val="BodyText"/>
        <w:spacing w:before="4"/>
        <w:rPr>
          <w:sz w:val="16"/>
        </w:rPr>
      </w:pPr>
    </w:p>
    <w:p>
      <w:pPr>
        <w:spacing w:after="0"/>
        <w:rPr>
          <w:sz w:val="16"/>
        </w:rPr>
        <w:sectPr>
          <w:pgSz w:w="11910" w:h="16840"/>
          <w:pgMar w:top="1920" w:bottom="280" w:left="300" w:right="280"/>
        </w:sectPr>
      </w:pPr>
    </w:p>
    <w:p>
      <w:pPr>
        <w:pStyle w:val="BodyText"/>
        <w:spacing w:before="71"/>
        <w:ind w:left="820"/>
        <w:rPr>
          <w:rFonts w:ascii="Verdana"/>
        </w:rPr>
      </w:pPr>
      <w:r>
        <w:rPr/>
        <mc:AlternateContent>
          <mc:Choice Requires="wps">
            <w:drawing>
              <wp:anchor distT="0" distB="0" distL="0" distR="0" allowOverlap="1" layoutInCell="1" locked="0" behindDoc="1" simplePos="0" relativeHeight="484144640">
                <wp:simplePos x="0" y="0"/>
                <wp:positionH relativeFrom="page">
                  <wp:posOffset>0</wp:posOffset>
                </wp:positionH>
                <wp:positionV relativeFrom="page">
                  <wp:posOffset>0</wp:posOffset>
                </wp:positionV>
                <wp:extent cx="7560309" cy="10692130"/>
                <wp:effectExtent l="0" t="0" r="0" b="0"/>
                <wp:wrapNone/>
                <wp:docPr id="1214" name="Graphic 1214"/>
                <wp:cNvGraphicFramePr>
                  <a:graphicFrameLocks/>
                </wp:cNvGraphicFramePr>
                <a:graphic>
                  <a:graphicData uri="http://schemas.microsoft.com/office/word/2010/wordprocessingShape">
                    <wps:wsp>
                      <wps:cNvPr id="1214" name="Graphic 1214"/>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64194"/>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9171840" id="docshape999" filled="true" fillcolor="#164194" stroked="false">
                <v:fill type="solid"/>
                <w10:wrap type="none"/>
              </v:rect>
            </w:pict>
          </mc:Fallback>
        </mc:AlternateContent>
      </w:r>
      <w:r>
        <w:rPr/>
        <w:drawing>
          <wp:anchor distT="0" distB="0" distL="0" distR="0" allowOverlap="1" layoutInCell="1" locked="0" behindDoc="0" simplePos="0" relativeHeight="15969280">
            <wp:simplePos x="0" y="0"/>
            <wp:positionH relativeFrom="page">
              <wp:posOffset>459879</wp:posOffset>
            </wp:positionH>
            <wp:positionV relativeFrom="page">
              <wp:posOffset>9616313</wp:posOffset>
            </wp:positionV>
            <wp:extent cx="1426211" cy="574071"/>
            <wp:effectExtent l="0" t="0" r="0" b="0"/>
            <wp:wrapNone/>
            <wp:docPr id="1215" name="Image 1215"/>
            <wp:cNvGraphicFramePr>
              <a:graphicFrameLocks/>
            </wp:cNvGraphicFramePr>
            <a:graphic>
              <a:graphicData uri="http://schemas.openxmlformats.org/drawingml/2006/picture">
                <pic:pic>
                  <pic:nvPicPr>
                    <pic:cNvPr id="1215" name="Image 1215"/>
                    <pic:cNvPicPr/>
                  </pic:nvPicPr>
                  <pic:blipFill>
                    <a:blip r:embed="rId179" cstate="print"/>
                    <a:stretch>
                      <a:fillRect/>
                    </a:stretch>
                  </pic:blipFill>
                  <pic:spPr>
                    <a:xfrm>
                      <a:off x="0" y="0"/>
                      <a:ext cx="1426211" cy="574071"/>
                    </a:xfrm>
                    <a:prstGeom prst="rect">
                      <a:avLst/>
                    </a:prstGeom>
                  </pic:spPr>
                </pic:pic>
              </a:graphicData>
            </a:graphic>
          </wp:anchor>
        </w:drawing>
      </w:r>
      <w:r>
        <w:rPr/>
        <w:drawing>
          <wp:anchor distT="0" distB="0" distL="0" distR="0" allowOverlap="1" layoutInCell="1" locked="0" behindDoc="0" simplePos="0" relativeHeight="15969792">
            <wp:simplePos x="0" y="0"/>
            <wp:positionH relativeFrom="page">
              <wp:posOffset>2852764</wp:posOffset>
            </wp:positionH>
            <wp:positionV relativeFrom="page">
              <wp:posOffset>9742676</wp:posOffset>
            </wp:positionV>
            <wp:extent cx="1751816" cy="328612"/>
            <wp:effectExtent l="0" t="0" r="0" b="0"/>
            <wp:wrapNone/>
            <wp:docPr id="1216" name="Image 1216"/>
            <wp:cNvGraphicFramePr>
              <a:graphicFrameLocks/>
            </wp:cNvGraphicFramePr>
            <a:graphic>
              <a:graphicData uri="http://schemas.openxmlformats.org/drawingml/2006/picture">
                <pic:pic>
                  <pic:nvPicPr>
                    <pic:cNvPr id="1216" name="Image 1216"/>
                    <pic:cNvPicPr/>
                  </pic:nvPicPr>
                  <pic:blipFill>
                    <a:blip r:embed="rId180" cstate="print"/>
                    <a:stretch>
                      <a:fillRect/>
                    </a:stretch>
                  </pic:blipFill>
                  <pic:spPr>
                    <a:xfrm>
                      <a:off x="0" y="0"/>
                      <a:ext cx="1751816" cy="328612"/>
                    </a:xfrm>
                    <a:prstGeom prst="rect">
                      <a:avLst/>
                    </a:prstGeom>
                  </pic:spPr>
                </pic:pic>
              </a:graphicData>
            </a:graphic>
          </wp:anchor>
        </w:drawing>
      </w:r>
      <w:r>
        <w:rPr/>
        <mc:AlternateContent>
          <mc:Choice Requires="wps">
            <w:drawing>
              <wp:anchor distT="0" distB="0" distL="0" distR="0" allowOverlap="1" layoutInCell="1" locked="0" behindDoc="0" simplePos="0" relativeHeight="15970304">
                <wp:simplePos x="0" y="0"/>
                <wp:positionH relativeFrom="page">
                  <wp:posOffset>2271758</wp:posOffset>
                </wp:positionH>
                <wp:positionV relativeFrom="page">
                  <wp:posOffset>9660210</wp:posOffset>
                </wp:positionV>
                <wp:extent cx="422909" cy="495934"/>
                <wp:effectExtent l="0" t="0" r="0" b="0"/>
                <wp:wrapNone/>
                <wp:docPr id="1217" name="Graphic 1217"/>
                <wp:cNvGraphicFramePr>
                  <a:graphicFrameLocks/>
                </wp:cNvGraphicFramePr>
                <a:graphic>
                  <a:graphicData uri="http://schemas.microsoft.com/office/word/2010/wordprocessingShape">
                    <wps:wsp>
                      <wps:cNvPr id="1217" name="Graphic 1217"/>
                      <wps:cNvSpPr/>
                      <wps:spPr>
                        <a:xfrm>
                          <a:off x="0" y="0"/>
                          <a:ext cx="422909" cy="495934"/>
                        </a:xfrm>
                        <a:custGeom>
                          <a:avLst/>
                          <a:gdLst/>
                          <a:ahLst/>
                          <a:cxnLst/>
                          <a:rect l="l" t="t" r="r" b="b"/>
                          <a:pathLst>
                            <a:path w="422909" h="495934">
                              <a:moveTo>
                                <a:pt x="164680" y="207403"/>
                              </a:moveTo>
                              <a:lnTo>
                                <a:pt x="63068" y="207403"/>
                              </a:lnTo>
                              <a:lnTo>
                                <a:pt x="38544" y="212368"/>
                              </a:lnTo>
                              <a:lnTo>
                                <a:pt x="18494" y="225899"/>
                              </a:lnTo>
                              <a:lnTo>
                                <a:pt x="4964" y="245953"/>
                              </a:lnTo>
                              <a:lnTo>
                                <a:pt x="0" y="270484"/>
                              </a:lnTo>
                              <a:lnTo>
                                <a:pt x="0" y="432282"/>
                              </a:lnTo>
                              <a:lnTo>
                                <a:pt x="4964" y="456812"/>
                              </a:lnTo>
                              <a:lnTo>
                                <a:pt x="18494" y="476861"/>
                              </a:lnTo>
                              <a:lnTo>
                                <a:pt x="38544" y="490388"/>
                              </a:lnTo>
                              <a:lnTo>
                                <a:pt x="63068" y="495350"/>
                              </a:lnTo>
                              <a:lnTo>
                                <a:pt x="164807" y="495350"/>
                              </a:lnTo>
                              <a:lnTo>
                                <a:pt x="178274" y="493893"/>
                              </a:lnTo>
                              <a:lnTo>
                                <a:pt x="190738" y="489734"/>
                              </a:lnTo>
                              <a:lnTo>
                                <a:pt x="201901" y="483188"/>
                              </a:lnTo>
                              <a:lnTo>
                                <a:pt x="211467" y="474573"/>
                              </a:lnTo>
                              <a:lnTo>
                                <a:pt x="405862" y="474573"/>
                              </a:lnTo>
                              <a:lnTo>
                                <a:pt x="413908" y="462648"/>
                              </a:lnTo>
                              <a:lnTo>
                                <a:pt x="63068" y="462648"/>
                              </a:lnTo>
                              <a:lnTo>
                                <a:pt x="51245" y="460262"/>
                              </a:lnTo>
                              <a:lnTo>
                                <a:pt x="41594" y="453756"/>
                              </a:lnTo>
                              <a:lnTo>
                                <a:pt x="35087" y="444104"/>
                              </a:lnTo>
                              <a:lnTo>
                                <a:pt x="32702" y="432282"/>
                              </a:lnTo>
                              <a:lnTo>
                                <a:pt x="32702" y="270484"/>
                              </a:lnTo>
                              <a:lnTo>
                                <a:pt x="35087" y="258662"/>
                              </a:lnTo>
                              <a:lnTo>
                                <a:pt x="41594" y="249010"/>
                              </a:lnTo>
                              <a:lnTo>
                                <a:pt x="51245" y="242504"/>
                              </a:lnTo>
                              <a:lnTo>
                                <a:pt x="63068" y="240118"/>
                              </a:lnTo>
                              <a:lnTo>
                                <a:pt x="413910" y="240118"/>
                              </a:lnTo>
                              <a:lnTo>
                                <a:pt x="405908" y="228257"/>
                              </a:lnTo>
                              <a:lnTo>
                                <a:pt x="211404" y="228257"/>
                              </a:lnTo>
                              <a:lnTo>
                                <a:pt x="201840" y="219614"/>
                              </a:lnTo>
                              <a:lnTo>
                                <a:pt x="190666" y="213044"/>
                              </a:lnTo>
                              <a:lnTo>
                                <a:pt x="178180" y="208867"/>
                              </a:lnTo>
                              <a:lnTo>
                                <a:pt x="164680" y="207403"/>
                              </a:lnTo>
                              <a:close/>
                            </a:path>
                            <a:path w="422909" h="495934">
                              <a:moveTo>
                                <a:pt x="405862" y="474573"/>
                              </a:moveTo>
                              <a:lnTo>
                                <a:pt x="211467" y="474573"/>
                              </a:lnTo>
                              <a:lnTo>
                                <a:pt x="221026" y="483188"/>
                              </a:lnTo>
                              <a:lnTo>
                                <a:pt x="232187" y="489734"/>
                              </a:lnTo>
                              <a:lnTo>
                                <a:pt x="244653" y="493893"/>
                              </a:lnTo>
                              <a:lnTo>
                                <a:pt x="258127" y="495350"/>
                              </a:lnTo>
                              <a:lnTo>
                                <a:pt x="359740" y="495350"/>
                              </a:lnTo>
                              <a:lnTo>
                                <a:pt x="384269" y="490388"/>
                              </a:lnTo>
                              <a:lnTo>
                                <a:pt x="404318" y="476861"/>
                              </a:lnTo>
                              <a:lnTo>
                                <a:pt x="405862" y="474573"/>
                              </a:lnTo>
                              <a:close/>
                            </a:path>
                            <a:path w="422909" h="495934">
                              <a:moveTo>
                                <a:pt x="226110" y="433451"/>
                              </a:moveTo>
                              <a:lnTo>
                                <a:pt x="196811" y="433451"/>
                              </a:lnTo>
                              <a:lnTo>
                                <a:pt x="195084" y="435013"/>
                              </a:lnTo>
                              <a:lnTo>
                                <a:pt x="194754" y="437083"/>
                              </a:lnTo>
                              <a:lnTo>
                                <a:pt x="191223" y="447180"/>
                              </a:lnTo>
                              <a:lnTo>
                                <a:pt x="184577" y="455290"/>
                              </a:lnTo>
                              <a:lnTo>
                                <a:pt x="175532" y="460687"/>
                              </a:lnTo>
                              <a:lnTo>
                                <a:pt x="164807" y="462648"/>
                              </a:lnTo>
                              <a:lnTo>
                                <a:pt x="258127" y="462648"/>
                              </a:lnTo>
                              <a:lnTo>
                                <a:pt x="228168" y="437083"/>
                              </a:lnTo>
                              <a:lnTo>
                                <a:pt x="227837" y="435013"/>
                              </a:lnTo>
                              <a:lnTo>
                                <a:pt x="226110" y="433451"/>
                              </a:lnTo>
                              <a:close/>
                            </a:path>
                            <a:path w="422909" h="495934">
                              <a:moveTo>
                                <a:pt x="413910" y="240118"/>
                              </a:moveTo>
                              <a:lnTo>
                                <a:pt x="359740" y="240118"/>
                              </a:lnTo>
                              <a:lnTo>
                                <a:pt x="371562" y="242504"/>
                              </a:lnTo>
                              <a:lnTo>
                                <a:pt x="381214" y="249010"/>
                              </a:lnTo>
                              <a:lnTo>
                                <a:pt x="387720" y="258662"/>
                              </a:lnTo>
                              <a:lnTo>
                                <a:pt x="390105" y="270484"/>
                              </a:lnTo>
                              <a:lnTo>
                                <a:pt x="390105" y="432282"/>
                              </a:lnTo>
                              <a:lnTo>
                                <a:pt x="387720" y="444104"/>
                              </a:lnTo>
                              <a:lnTo>
                                <a:pt x="381214" y="453756"/>
                              </a:lnTo>
                              <a:lnTo>
                                <a:pt x="371562" y="460262"/>
                              </a:lnTo>
                              <a:lnTo>
                                <a:pt x="359740" y="462648"/>
                              </a:lnTo>
                              <a:lnTo>
                                <a:pt x="413908" y="462648"/>
                              </a:lnTo>
                              <a:lnTo>
                                <a:pt x="417845" y="456812"/>
                              </a:lnTo>
                              <a:lnTo>
                                <a:pt x="422808" y="432282"/>
                              </a:lnTo>
                              <a:lnTo>
                                <a:pt x="422808" y="270484"/>
                              </a:lnTo>
                              <a:lnTo>
                                <a:pt x="417845" y="245953"/>
                              </a:lnTo>
                              <a:lnTo>
                                <a:pt x="413910" y="240118"/>
                              </a:lnTo>
                              <a:close/>
                            </a:path>
                            <a:path w="422909" h="495934">
                              <a:moveTo>
                                <a:pt x="124625" y="261759"/>
                              </a:moveTo>
                              <a:lnTo>
                                <a:pt x="99402" y="261759"/>
                              </a:lnTo>
                              <a:lnTo>
                                <a:pt x="97523" y="263639"/>
                              </a:lnTo>
                              <a:lnTo>
                                <a:pt x="97523" y="346938"/>
                              </a:lnTo>
                              <a:lnTo>
                                <a:pt x="102478" y="371489"/>
                              </a:lnTo>
                              <a:lnTo>
                                <a:pt x="115993" y="391536"/>
                              </a:lnTo>
                              <a:lnTo>
                                <a:pt x="136040" y="405051"/>
                              </a:lnTo>
                              <a:lnTo>
                                <a:pt x="160591" y="410006"/>
                              </a:lnTo>
                              <a:lnTo>
                                <a:pt x="262216" y="410006"/>
                              </a:lnTo>
                              <a:lnTo>
                                <a:pt x="286767" y="405051"/>
                              </a:lnTo>
                              <a:lnTo>
                                <a:pt x="306814" y="391536"/>
                              </a:lnTo>
                              <a:lnTo>
                                <a:pt x="316409" y="377304"/>
                              </a:lnTo>
                              <a:lnTo>
                                <a:pt x="160591" y="377304"/>
                              </a:lnTo>
                              <a:lnTo>
                                <a:pt x="148774" y="374918"/>
                              </a:lnTo>
                              <a:lnTo>
                                <a:pt x="139122" y="368412"/>
                              </a:lnTo>
                              <a:lnTo>
                                <a:pt x="132613" y="358760"/>
                              </a:lnTo>
                              <a:lnTo>
                                <a:pt x="130225" y="346938"/>
                              </a:lnTo>
                              <a:lnTo>
                                <a:pt x="130225" y="267360"/>
                              </a:lnTo>
                              <a:lnTo>
                                <a:pt x="124625" y="261759"/>
                              </a:lnTo>
                              <a:close/>
                            </a:path>
                            <a:path w="422909" h="495934">
                              <a:moveTo>
                                <a:pt x="258127" y="240118"/>
                              </a:moveTo>
                              <a:lnTo>
                                <a:pt x="164680" y="240118"/>
                              </a:lnTo>
                              <a:lnTo>
                                <a:pt x="176503" y="242504"/>
                              </a:lnTo>
                              <a:lnTo>
                                <a:pt x="186155" y="249010"/>
                              </a:lnTo>
                              <a:lnTo>
                                <a:pt x="192661" y="258662"/>
                              </a:lnTo>
                              <a:lnTo>
                                <a:pt x="195046" y="270484"/>
                              </a:lnTo>
                              <a:lnTo>
                                <a:pt x="195046" y="377304"/>
                              </a:lnTo>
                              <a:lnTo>
                                <a:pt x="227761" y="377304"/>
                              </a:lnTo>
                              <a:lnTo>
                                <a:pt x="227761" y="270484"/>
                              </a:lnTo>
                              <a:lnTo>
                                <a:pt x="230147" y="258662"/>
                              </a:lnTo>
                              <a:lnTo>
                                <a:pt x="236653" y="249010"/>
                              </a:lnTo>
                              <a:lnTo>
                                <a:pt x="246305" y="242504"/>
                              </a:lnTo>
                              <a:lnTo>
                                <a:pt x="258127" y="240118"/>
                              </a:lnTo>
                              <a:close/>
                            </a:path>
                            <a:path w="422909" h="495934">
                              <a:moveTo>
                                <a:pt x="323405" y="261759"/>
                              </a:moveTo>
                              <a:lnTo>
                                <a:pt x="298183" y="261759"/>
                              </a:lnTo>
                              <a:lnTo>
                                <a:pt x="292582" y="267360"/>
                              </a:lnTo>
                              <a:lnTo>
                                <a:pt x="292582" y="346938"/>
                              </a:lnTo>
                              <a:lnTo>
                                <a:pt x="290195" y="358760"/>
                              </a:lnTo>
                              <a:lnTo>
                                <a:pt x="283686" y="368412"/>
                              </a:lnTo>
                              <a:lnTo>
                                <a:pt x="274033" y="374918"/>
                              </a:lnTo>
                              <a:lnTo>
                                <a:pt x="262216" y="377304"/>
                              </a:lnTo>
                              <a:lnTo>
                                <a:pt x="316409" y="377304"/>
                              </a:lnTo>
                              <a:lnTo>
                                <a:pt x="320329" y="371489"/>
                              </a:lnTo>
                              <a:lnTo>
                                <a:pt x="325285" y="346938"/>
                              </a:lnTo>
                              <a:lnTo>
                                <a:pt x="325285" y="263639"/>
                              </a:lnTo>
                              <a:lnTo>
                                <a:pt x="323405" y="261759"/>
                              </a:lnTo>
                              <a:close/>
                            </a:path>
                            <a:path w="422909" h="495934">
                              <a:moveTo>
                                <a:pt x="359740" y="207403"/>
                              </a:moveTo>
                              <a:lnTo>
                                <a:pt x="258127" y="207403"/>
                              </a:lnTo>
                              <a:lnTo>
                                <a:pt x="244633" y="208867"/>
                              </a:lnTo>
                              <a:lnTo>
                                <a:pt x="232146" y="213044"/>
                              </a:lnTo>
                              <a:lnTo>
                                <a:pt x="220969" y="219614"/>
                              </a:lnTo>
                              <a:lnTo>
                                <a:pt x="211404" y="228257"/>
                              </a:lnTo>
                              <a:lnTo>
                                <a:pt x="405908" y="228257"/>
                              </a:lnTo>
                              <a:lnTo>
                                <a:pt x="404318" y="225899"/>
                              </a:lnTo>
                              <a:lnTo>
                                <a:pt x="384269" y="212368"/>
                              </a:lnTo>
                              <a:lnTo>
                                <a:pt x="359740" y="207403"/>
                              </a:lnTo>
                              <a:close/>
                            </a:path>
                            <a:path w="422909" h="495934">
                              <a:moveTo>
                                <a:pt x="262216" y="137134"/>
                              </a:moveTo>
                              <a:lnTo>
                                <a:pt x="160591" y="137134"/>
                              </a:lnTo>
                              <a:lnTo>
                                <a:pt x="136067" y="142097"/>
                              </a:lnTo>
                              <a:lnTo>
                                <a:pt x="116017" y="155624"/>
                              </a:lnTo>
                              <a:lnTo>
                                <a:pt x="102487" y="175673"/>
                              </a:lnTo>
                              <a:lnTo>
                                <a:pt x="97523" y="200202"/>
                              </a:lnTo>
                              <a:lnTo>
                                <a:pt x="97523" y="207403"/>
                              </a:lnTo>
                              <a:lnTo>
                                <a:pt x="130225" y="207403"/>
                              </a:lnTo>
                              <a:lnTo>
                                <a:pt x="130225" y="200202"/>
                              </a:lnTo>
                              <a:lnTo>
                                <a:pt x="132616" y="188391"/>
                              </a:lnTo>
                              <a:lnTo>
                                <a:pt x="139131" y="178738"/>
                              </a:lnTo>
                              <a:lnTo>
                                <a:pt x="148785" y="172226"/>
                              </a:lnTo>
                              <a:lnTo>
                                <a:pt x="160591" y="169837"/>
                              </a:lnTo>
                              <a:lnTo>
                                <a:pt x="316382" y="169837"/>
                              </a:lnTo>
                              <a:lnTo>
                                <a:pt x="306790" y="155624"/>
                              </a:lnTo>
                              <a:lnTo>
                                <a:pt x="286740" y="142097"/>
                              </a:lnTo>
                              <a:lnTo>
                                <a:pt x="262216" y="137134"/>
                              </a:lnTo>
                              <a:close/>
                            </a:path>
                            <a:path w="422909" h="495934">
                              <a:moveTo>
                                <a:pt x="316382" y="169837"/>
                              </a:moveTo>
                              <a:lnTo>
                                <a:pt x="262216" y="169837"/>
                              </a:lnTo>
                              <a:lnTo>
                                <a:pt x="274023" y="172226"/>
                              </a:lnTo>
                              <a:lnTo>
                                <a:pt x="283676" y="178738"/>
                              </a:lnTo>
                              <a:lnTo>
                                <a:pt x="290191" y="188391"/>
                              </a:lnTo>
                              <a:lnTo>
                                <a:pt x="292582" y="200202"/>
                              </a:lnTo>
                              <a:lnTo>
                                <a:pt x="292582" y="207403"/>
                              </a:lnTo>
                              <a:lnTo>
                                <a:pt x="325285" y="207403"/>
                              </a:lnTo>
                              <a:lnTo>
                                <a:pt x="325285" y="200202"/>
                              </a:lnTo>
                              <a:lnTo>
                                <a:pt x="320320" y="175673"/>
                              </a:lnTo>
                              <a:lnTo>
                                <a:pt x="316382" y="169837"/>
                              </a:lnTo>
                              <a:close/>
                            </a:path>
                            <a:path w="422909" h="495934">
                              <a:moveTo>
                                <a:pt x="67576" y="36855"/>
                              </a:moveTo>
                              <a:lnTo>
                                <a:pt x="46180" y="41185"/>
                              </a:lnTo>
                              <a:lnTo>
                                <a:pt x="28690" y="52985"/>
                              </a:lnTo>
                              <a:lnTo>
                                <a:pt x="16890" y="70475"/>
                              </a:lnTo>
                              <a:lnTo>
                                <a:pt x="12560" y="91871"/>
                              </a:lnTo>
                              <a:lnTo>
                                <a:pt x="16890" y="113267"/>
                              </a:lnTo>
                              <a:lnTo>
                                <a:pt x="28690" y="130757"/>
                              </a:lnTo>
                              <a:lnTo>
                                <a:pt x="46180" y="142558"/>
                              </a:lnTo>
                              <a:lnTo>
                                <a:pt x="67576" y="146888"/>
                              </a:lnTo>
                              <a:lnTo>
                                <a:pt x="88972" y="142558"/>
                              </a:lnTo>
                              <a:lnTo>
                                <a:pt x="106462" y="130757"/>
                              </a:lnTo>
                              <a:lnTo>
                                <a:pt x="117644" y="114185"/>
                              </a:lnTo>
                              <a:lnTo>
                                <a:pt x="67576" y="114185"/>
                              </a:lnTo>
                              <a:lnTo>
                                <a:pt x="58898" y="112429"/>
                              </a:lnTo>
                              <a:lnTo>
                                <a:pt x="51804" y="107643"/>
                              </a:lnTo>
                              <a:lnTo>
                                <a:pt x="47018" y="100550"/>
                              </a:lnTo>
                              <a:lnTo>
                                <a:pt x="45262" y="91871"/>
                              </a:lnTo>
                              <a:lnTo>
                                <a:pt x="47018" y="83193"/>
                              </a:lnTo>
                              <a:lnTo>
                                <a:pt x="51804" y="76099"/>
                              </a:lnTo>
                              <a:lnTo>
                                <a:pt x="58898" y="71313"/>
                              </a:lnTo>
                              <a:lnTo>
                                <a:pt x="67576" y="69557"/>
                              </a:lnTo>
                              <a:lnTo>
                                <a:pt x="117644" y="69557"/>
                              </a:lnTo>
                              <a:lnTo>
                                <a:pt x="106462" y="52985"/>
                              </a:lnTo>
                              <a:lnTo>
                                <a:pt x="88972" y="41185"/>
                              </a:lnTo>
                              <a:lnTo>
                                <a:pt x="67576" y="36855"/>
                              </a:lnTo>
                              <a:close/>
                            </a:path>
                            <a:path w="422909" h="495934">
                              <a:moveTo>
                                <a:pt x="356069" y="36855"/>
                              </a:moveTo>
                              <a:lnTo>
                                <a:pt x="334679" y="41185"/>
                              </a:lnTo>
                              <a:lnTo>
                                <a:pt x="317188" y="52985"/>
                              </a:lnTo>
                              <a:lnTo>
                                <a:pt x="305384" y="70475"/>
                              </a:lnTo>
                              <a:lnTo>
                                <a:pt x="301053" y="91871"/>
                              </a:lnTo>
                              <a:lnTo>
                                <a:pt x="305384" y="113267"/>
                              </a:lnTo>
                              <a:lnTo>
                                <a:pt x="317188" y="130757"/>
                              </a:lnTo>
                              <a:lnTo>
                                <a:pt x="334679" y="142558"/>
                              </a:lnTo>
                              <a:lnTo>
                                <a:pt x="356069" y="146888"/>
                              </a:lnTo>
                              <a:lnTo>
                                <a:pt x="377466" y="142558"/>
                              </a:lnTo>
                              <a:lnTo>
                                <a:pt x="394955" y="130757"/>
                              </a:lnTo>
                              <a:lnTo>
                                <a:pt x="406137" y="114185"/>
                              </a:lnTo>
                              <a:lnTo>
                                <a:pt x="356069" y="114185"/>
                              </a:lnTo>
                              <a:lnTo>
                                <a:pt x="347391" y="112429"/>
                              </a:lnTo>
                              <a:lnTo>
                                <a:pt x="340298" y="107643"/>
                              </a:lnTo>
                              <a:lnTo>
                                <a:pt x="335511" y="100550"/>
                              </a:lnTo>
                              <a:lnTo>
                                <a:pt x="333755" y="91871"/>
                              </a:lnTo>
                              <a:lnTo>
                                <a:pt x="335511" y="83193"/>
                              </a:lnTo>
                              <a:lnTo>
                                <a:pt x="340298" y="76099"/>
                              </a:lnTo>
                              <a:lnTo>
                                <a:pt x="347391" y="71313"/>
                              </a:lnTo>
                              <a:lnTo>
                                <a:pt x="356069" y="69557"/>
                              </a:lnTo>
                              <a:lnTo>
                                <a:pt x="406137" y="69557"/>
                              </a:lnTo>
                              <a:lnTo>
                                <a:pt x="394955" y="52985"/>
                              </a:lnTo>
                              <a:lnTo>
                                <a:pt x="377466" y="41185"/>
                              </a:lnTo>
                              <a:lnTo>
                                <a:pt x="356069" y="36855"/>
                              </a:lnTo>
                              <a:close/>
                            </a:path>
                            <a:path w="422909" h="495934">
                              <a:moveTo>
                                <a:pt x="117644" y="69557"/>
                              </a:moveTo>
                              <a:lnTo>
                                <a:pt x="67576" y="69557"/>
                              </a:lnTo>
                              <a:lnTo>
                                <a:pt x="76254" y="71313"/>
                              </a:lnTo>
                              <a:lnTo>
                                <a:pt x="83348" y="76099"/>
                              </a:lnTo>
                              <a:lnTo>
                                <a:pt x="88134" y="83193"/>
                              </a:lnTo>
                              <a:lnTo>
                                <a:pt x="89890" y="91871"/>
                              </a:lnTo>
                              <a:lnTo>
                                <a:pt x="88134" y="100550"/>
                              </a:lnTo>
                              <a:lnTo>
                                <a:pt x="83348" y="107643"/>
                              </a:lnTo>
                              <a:lnTo>
                                <a:pt x="76254" y="112429"/>
                              </a:lnTo>
                              <a:lnTo>
                                <a:pt x="67576" y="114185"/>
                              </a:lnTo>
                              <a:lnTo>
                                <a:pt x="117644" y="114185"/>
                              </a:lnTo>
                              <a:lnTo>
                                <a:pt x="118263" y="113267"/>
                              </a:lnTo>
                              <a:lnTo>
                                <a:pt x="122593" y="91871"/>
                              </a:lnTo>
                              <a:lnTo>
                                <a:pt x="118433" y="71313"/>
                              </a:lnTo>
                              <a:lnTo>
                                <a:pt x="118326" y="70788"/>
                              </a:lnTo>
                              <a:lnTo>
                                <a:pt x="118263" y="70475"/>
                              </a:lnTo>
                              <a:lnTo>
                                <a:pt x="117644" y="69557"/>
                              </a:lnTo>
                              <a:close/>
                            </a:path>
                            <a:path w="422909" h="495934">
                              <a:moveTo>
                                <a:pt x="406137" y="69557"/>
                              </a:moveTo>
                              <a:lnTo>
                                <a:pt x="356069" y="69557"/>
                              </a:lnTo>
                              <a:lnTo>
                                <a:pt x="364748" y="71313"/>
                              </a:lnTo>
                              <a:lnTo>
                                <a:pt x="371841" y="76099"/>
                              </a:lnTo>
                              <a:lnTo>
                                <a:pt x="376627" y="83193"/>
                              </a:lnTo>
                              <a:lnTo>
                                <a:pt x="378383" y="91871"/>
                              </a:lnTo>
                              <a:lnTo>
                                <a:pt x="376627" y="100550"/>
                              </a:lnTo>
                              <a:lnTo>
                                <a:pt x="371841" y="107643"/>
                              </a:lnTo>
                              <a:lnTo>
                                <a:pt x="364748" y="112429"/>
                              </a:lnTo>
                              <a:lnTo>
                                <a:pt x="356069" y="114185"/>
                              </a:lnTo>
                              <a:lnTo>
                                <a:pt x="406137" y="114185"/>
                              </a:lnTo>
                              <a:lnTo>
                                <a:pt x="406756" y="113267"/>
                              </a:lnTo>
                              <a:lnTo>
                                <a:pt x="411086" y="91871"/>
                              </a:lnTo>
                              <a:lnTo>
                                <a:pt x="406926" y="71313"/>
                              </a:lnTo>
                              <a:lnTo>
                                <a:pt x="406819" y="70788"/>
                              </a:lnTo>
                              <a:lnTo>
                                <a:pt x="406756" y="70475"/>
                              </a:lnTo>
                              <a:lnTo>
                                <a:pt x="406137" y="69557"/>
                              </a:lnTo>
                              <a:close/>
                            </a:path>
                            <a:path w="422909" h="495934">
                              <a:moveTo>
                                <a:pt x="211823" y="0"/>
                              </a:moveTo>
                              <a:lnTo>
                                <a:pt x="190427" y="4329"/>
                              </a:lnTo>
                              <a:lnTo>
                                <a:pt x="172937" y="16130"/>
                              </a:lnTo>
                              <a:lnTo>
                                <a:pt x="161136" y="33620"/>
                              </a:lnTo>
                              <a:lnTo>
                                <a:pt x="156806" y="55016"/>
                              </a:lnTo>
                              <a:lnTo>
                                <a:pt x="160966" y="75574"/>
                              </a:lnTo>
                              <a:lnTo>
                                <a:pt x="161073" y="76099"/>
                              </a:lnTo>
                              <a:lnTo>
                                <a:pt x="161136" y="76412"/>
                              </a:lnTo>
                              <a:lnTo>
                                <a:pt x="172937" y="93902"/>
                              </a:lnTo>
                              <a:lnTo>
                                <a:pt x="190427" y="105703"/>
                              </a:lnTo>
                              <a:lnTo>
                                <a:pt x="211823" y="110032"/>
                              </a:lnTo>
                              <a:lnTo>
                                <a:pt x="233219" y="105703"/>
                              </a:lnTo>
                              <a:lnTo>
                                <a:pt x="250709" y="93902"/>
                              </a:lnTo>
                              <a:lnTo>
                                <a:pt x="261890" y="77330"/>
                              </a:lnTo>
                              <a:lnTo>
                                <a:pt x="211823" y="77330"/>
                              </a:lnTo>
                              <a:lnTo>
                                <a:pt x="203145" y="75574"/>
                              </a:lnTo>
                              <a:lnTo>
                                <a:pt x="196051" y="70788"/>
                              </a:lnTo>
                              <a:lnTo>
                                <a:pt x="191265" y="63694"/>
                              </a:lnTo>
                              <a:lnTo>
                                <a:pt x="189509" y="55016"/>
                              </a:lnTo>
                              <a:lnTo>
                                <a:pt x="191265" y="46338"/>
                              </a:lnTo>
                              <a:lnTo>
                                <a:pt x="196051" y="39244"/>
                              </a:lnTo>
                              <a:lnTo>
                                <a:pt x="203145" y="34458"/>
                              </a:lnTo>
                              <a:lnTo>
                                <a:pt x="211823" y="32702"/>
                              </a:lnTo>
                              <a:lnTo>
                                <a:pt x="261890" y="32702"/>
                              </a:lnTo>
                              <a:lnTo>
                                <a:pt x="250709" y="16130"/>
                              </a:lnTo>
                              <a:lnTo>
                                <a:pt x="233219" y="4329"/>
                              </a:lnTo>
                              <a:lnTo>
                                <a:pt x="211823" y="0"/>
                              </a:lnTo>
                              <a:close/>
                            </a:path>
                            <a:path w="422909" h="495934">
                              <a:moveTo>
                                <a:pt x="261890" y="32702"/>
                              </a:moveTo>
                              <a:lnTo>
                                <a:pt x="211823" y="32702"/>
                              </a:lnTo>
                              <a:lnTo>
                                <a:pt x="220501" y="34458"/>
                              </a:lnTo>
                              <a:lnTo>
                                <a:pt x="227595" y="39244"/>
                              </a:lnTo>
                              <a:lnTo>
                                <a:pt x="232381" y="46338"/>
                              </a:lnTo>
                              <a:lnTo>
                                <a:pt x="234137" y="55016"/>
                              </a:lnTo>
                              <a:lnTo>
                                <a:pt x="232381" y="63694"/>
                              </a:lnTo>
                              <a:lnTo>
                                <a:pt x="227595" y="70788"/>
                              </a:lnTo>
                              <a:lnTo>
                                <a:pt x="220501" y="75574"/>
                              </a:lnTo>
                              <a:lnTo>
                                <a:pt x="211823" y="77330"/>
                              </a:lnTo>
                              <a:lnTo>
                                <a:pt x="261890" y="77330"/>
                              </a:lnTo>
                              <a:lnTo>
                                <a:pt x="262509" y="76412"/>
                              </a:lnTo>
                              <a:lnTo>
                                <a:pt x="266839" y="55016"/>
                              </a:lnTo>
                              <a:lnTo>
                                <a:pt x="262509" y="33620"/>
                              </a:lnTo>
                              <a:lnTo>
                                <a:pt x="261890" y="327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78.878601pt;margin-top:760.646484pt;width:33.3pt;height:39.050pt;mso-position-horizontal-relative:page;mso-position-vertical-relative:page;z-index:15970304" id="docshape1000" coordorigin="3578,15213" coordsize="666,781" path="m3837,15540l3677,15540,3638,15547,3607,15569,3585,15600,3578,15639,3578,15894,3585,15932,3607,15964,3638,15985,3677,15993,3837,15993,3858,15991,3878,15984,3896,15974,3911,15960,4217,15960,4229,15942,3677,15942,3658,15938,3643,15928,3633,15912,3629,15894,3629,15639,3633,15620,3643,15605,3658,15595,3677,15591,4229,15591,4217,15572,3910,15572,3895,15559,3878,15548,3858,15542,3837,15540xm4217,15960l3911,15960,3926,15974,3943,15984,3963,15991,3984,15993,4144,15993,4183,15985,4214,15964,4217,15960xm3934,15896l3888,15896,3885,15898,3884,15901,3879,15917,3868,15930,3854,15938,3837,15942,3984,15942,3967,15938,3953,15930,3942,15917,3937,15901,3936,15898,3934,15896xm4229,15591l4144,15591,4163,15595,4178,15605,4188,15620,4192,15639,4192,15894,4188,15912,4178,15928,4163,15938,4144,15942,4229,15942,4236,15932,4243,15894,4243,15639,4236,15600,4229,15591xm3774,15625l3734,15625,3731,15628,3731,15759,3739,15798,3760,15830,3792,15851,3830,15859,3991,15859,4029,15851,4061,15830,4076,15807,3830,15807,3812,15803,3797,15793,3786,15778,3783,15759,3783,15634,3774,15625xm3984,15591l3837,15591,3856,15595,3871,15605,3881,15620,3885,15639,3885,15807,3936,15807,3936,15639,3940,15620,3950,15605,3965,15595,3984,15591xm4087,15625l4047,15625,4038,15634,4038,15759,4035,15778,4024,15793,4009,15803,3991,15807,4076,15807,4082,15798,4090,15759,4090,15628,4087,15625xm4144,15540l3984,15540,3963,15542,3943,15548,3926,15559,3910,15572,4217,15572,4214,15569,4183,15547,4144,15540xm3991,15429l3830,15429,3792,15437,3760,15458,3739,15490,3731,15528,3731,15540,3783,15540,3783,15528,3786,15510,3797,15494,3812,15484,3830,15480,4076,15480,4061,15458,4029,15437,3991,15429xm4076,15480l3991,15480,4009,15484,4024,15494,4035,15510,4038,15528,4038,15540,4090,15540,4090,15528,4082,15490,4076,15480xm3684,15271l3650,15278,3623,15296,3604,15324,3597,15358,3604,15391,3623,15419,3650,15437,3684,15444,3718,15437,3745,15419,3763,15393,3684,15393,3670,15390,3659,15382,3652,15371,3649,15358,3652,15344,3659,15333,3670,15325,3684,15322,3763,15322,3745,15296,3718,15278,3684,15271xm4138,15271l4105,15278,4077,15296,4058,15324,4052,15358,4058,15391,4077,15419,4105,15437,4138,15444,4172,15437,4200,15419,4217,15393,4138,15393,4125,15390,4113,15382,4106,15371,4103,15358,4106,15344,4113,15333,4125,15325,4138,15322,4217,15322,4200,15296,4172,15278,4138,15271xm3763,15322l3684,15322,3698,15325,3709,15333,3716,15344,3719,15358,3716,15371,3709,15382,3698,15390,3684,15393,3763,15393,3764,15391,3771,15358,3764,15325,3764,15324,3764,15324,3763,15322xm4217,15322l4138,15322,4152,15325,4163,15333,4171,15344,4173,15358,4171,15371,4163,15382,4152,15390,4138,15393,4217,15393,4218,15391,4225,15358,4218,15325,4218,15324,4218,15324,4217,15322xm3911,15213l3877,15220,3850,15238,3831,15266,3825,15300,3831,15332,3831,15333,3831,15333,3850,15361,3877,15379,3911,15386,3945,15379,3972,15361,3990,15335,3911,15335,3897,15332,3886,15324,3879,15313,3876,15300,3879,15286,3886,15275,3897,15267,3911,15264,3990,15264,3972,15238,3945,15220,3911,15213xm3990,15264l3911,15264,3925,15267,3936,15275,3944,15286,3946,15300,3944,15313,3936,15324,3925,15332,3911,15335,3990,15335,3991,15333,3998,15300,3991,15266,3990,15264xe" filled="true" fillcolor="#ffffff" stroked="false">
                <v:path arrowok="t"/>
                <v:fill type="solid"/>
                <w10:wrap type="none"/>
              </v:shape>
            </w:pict>
          </mc:Fallback>
        </mc:AlternateContent>
      </w:r>
      <w:r>
        <w:rPr/>
        <w:drawing>
          <wp:anchor distT="0" distB="0" distL="0" distR="0" allowOverlap="1" layoutInCell="1" locked="0" behindDoc="0" simplePos="0" relativeHeight="15970816">
            <wp:simplePos x="0" y="0"/>
            <wp:positionH relativeFrom="page">
              <wp:posOffset>5577149</wp:posOffset>
            </wp:positionH>
            <wp:positionV relativeFrom="page">
              <wp:posOffset>9676324</wp:posOffset>
            </wp:positionV>
            <wp:extent cx="739192" cy="76200"/>
            <wp:effectExtent l="0" t="0" r="0" b="0"/>
            <wp:wrapNone/>
            <wp:docPr id="1218" name="Image 1218"/>
            <wp:cNvGraphicFramePr>
              <a:graphicFrameLocks/>
            </wp:cNvGraphicFramePr>
            <a:graphic>
              <a:graphicData uri="http://schemas.openxmlformats.org/drawingml/2006/picture">
                <pic:pic>
                  <pic:nvPicPr>
                    <pic:cNvPr id="1218" name="Image 1218"/>
                    <pic:cNvPicPr/>
                  </pic:nvPicPr>
                  <pic:blipFill>
                    <a:blip r:embed="rId181" cstate="print"/>
                    <a:stretch>
                      <a:fillRect/>
                    </a:stretch>
                  </pic:blipFill>
                  <pic:spPr>
                    <a:xfrm>
                      <a:off x="0" y="0"/>
                      <a:ext cx="739192" cy="76200"/>
                    </a:xfrm>
                    <a:prstGeom prst="rect">
                      <a:avLst/>
                    </a:prstGeom>
                  </pic:spPr>
                </pic:pic>
              </a:graphicData>
            </a:graphic>
          </wp:anchor>
        </w:drawing>
      </w:r>
      <w:r>
        <w:rPr/>
        <w:drawing>
          <wp:anchor distT="0" distB="0" distL="0" distR="0" allowOverlap="1" layoutInCell="1" locked="0" behindDoc="0" simplePos="0" relativeHeight="15971328">
            <wp:simplePos x="0" y="0"/>
            <wp:positionH relativeFrom="page">
              <wp:posOffset>6376646</wp:posOffset>
            </wp:positionH>
            <wp:positionV relativeFrom="page">
              <wp:posOffset>9676464</wp:posOffset>
            </wp:positionV>
            <wp:extent cx="716665" cy="74675"/>
            <wp:effectExtent l="0" t="0" r="0" b="0"/>
            <wp:wrapNone/>
            <wp:docPr id="1219" name="Image 1219"/>
            <wp:cNvGraphicFramePr>
              <a:graphicFrameLocks/>
            </wp:cNvGraphicFramePr>
            <a:graphic>
              <a:graphicData uri="http://schemas.openxmlformats.org/drawingml/2006/picture">
                <pic:pic>
                  <pic:nvPicPr>
                    <pic:cNvPr id="1219" name="Image 1219"/>
                    <pic:cNvPicPr/>
                  </pic:nvPicPr>
                  <pic:blipFill>
                    <a:blip r:embed="rId182" cstate="print"/>
                    <a:stretch>
                      <a:fillRect/>
                    </a:stretch>
                  </pic:blipFill>
                  <pic:spPr>
                    <a:xfrm>
                      <a:off x="0" y="0"/>
                      <a:ext cx="716665" cy="74675"/>
                    </a:xfrm>
                    <a:prstGeom prst="rect">
                      <a:avLst/>
                    </a:prstGeom>
                  </pic:spPr>
                </pic:pic>
              </a:graphicData>
            </a:graphic>
          </wp:anchor>
        </w:drawing>
      </w:r>
      <w:r>
        <w:rPr/>
        <w:drawing>
          <wp:anchor distT="0" distB="0" distL="0" distR="0" allowOverlap="1" layoutInCell="1" locked="0" behindDoc="0" simplePos="0" relativeHeight="15971840">
            <wp:simplePos x="0" y="0"/>
            <wp:positionH relativeFrom="page">
              <wp:posOffset>5577329</wp:posOffset>
            </wp:positionH>
            <wp:positionV relativeFrom="page">
              <wp:posOffset>10010447</wp:posOffset>
            </wp:positionV>
            <wp:extent cx="1512409" cy="128587"/>
            <wp:effectExtent l="0" t="0" r="0" b="0"/>
            <wp:wrapNone/>
            <wp:docPr id="1220" name="Image 1220"/>
            <wp:cNvGraphicFramePr>
              <a:graphicFrameLocks/>
            </wp:cNvGraphicFramePr>
            <a:graphic>
              <a:graphicData uri="http://schemas.openxmlformats.org/drawingml/2006/picture">
                <pic:pic>
                  <pic:nvPicPr>
                    <pic:cNvPr id="1220" name="Image 1220"/>
                    <pic:cNvPicPr/>
                  </pic:nvPicPr>
                  <pic:blipFill>
                    <a:blip r:embed="rId183" cstate="print"/>
                    <a:stretch>
                      <a:fillRect/>
                    </a:stretch>
                  </pic:blipFill>
                  <pic:spPr>
                    <a:xfrm>
                      <a:off x="0" y="0"/>
                      <a:ext cx="1512409" cy="128587"/>
                    </a:xfrm>
                    <a:prstGeom prst="rect">
                      <a:avLst/>
                    </a:prstGeom>
                  </pic:spPr>
                </pic:pic>
              </a:graphicData>
            </a:graphic>
          </wp:anchor>
        </w:drawing>
      </w:r>
      <w:r>
        <w:rPr/>
        <mc:AlternateContent>
          <mc:Choice Requires="wps">
            <w:drawing>
              <wp:anchor distT="0" distB="0" distL="0" distR="0" allowOverlap="1" layoutInCell="1" locked="0" behindDoc="0" simplePos="0" relativeHeight="15972352">
                <wp:simplePos x="0" y="0"/>
                <wp:positionH relativeFrom="page">
                  <wp:posOffset>6373808</wp:posOffset>
                </wp:positionH>
                <wp:positionV relativeFrom="page">
                  <wp:posOffset>9818971</wp:posOffset>
                </wp:positionV>
                <wp:extent cx="726440" cy="118745"/>
                <wp:effectExtent l="0" t="0" r="0" b="0"/>
                <wp:wrapNone/>
                <wp:docPr id="1221" name="Group 1221"/>
                <wp:cNvGraphicFramePr>
                  <a:graphicFrameLocks/>
                </wp:cNvGraphicFramePr>
                <a:graphic>
                  <a:graphicData uri="http://schemas.microsoft.com/office/word/2010/wordprocessingGroup">
                    <wpg:wgp>
                      <wpg:cNvPr id="1221" name="Group 1221"/>
                      <wpg:cNvGrpSpPr/>
                      <wpg:grpSpPr>
                        <a:xfrm>
                          <a:off x="0" y="0"/>
                          <a:ext cx="726440" cy="118745"/>
                          <a:chExt cx="726440" cy="118745"/>
                        </a:xfrm>
                      </wpg:grpSpPr>
                      <pic:pic>
                        <pic:nvPicPr>
                          <pic:cNvPr id="1222" name="Image 1222"/>
                          <pic:cNvPicPr/>
                        </pic:nvPicPr>
                        <pic:blipFill>
                          <a:blip r:embed="rId184" cstate="print"/>
                          <a:stretch>
                            <a:fillRect/>
                          </a:stretch>
                        </pic:blipFill>
                        <pic:spPr>
                          <a:xfrm>
                            <a:off x="0" y="5374"/>
                            <a:ext cx="107492" cy="112128"/>
                          </a:xfrm>
                          <a:prstGeom prst="rect">
                            <a:avLst/>
                          </a:prstGeom>
                        </pic:spPr>
                      </pic:pic>
                      <wps:wsp>
                        <wps:cNvPr id="1223" name="Graphic 1223"/>
                        <wps:cNvSpPr/>
                        <wps:spPr>
                          <a:xfrm>
                            <a:off x="133104" y="5153"/>
                            <a:ext cx="44450" cy="111125"/>
                          </a:xfrm>
                          <a:custGeom>
                            <a:avLst/>
                            <a:gdLst/>
                            <a:ahLst/>
                            <a:cxnLst/>
                            <a:rect l="l" t="t" r="r" b="b"/>
                            <a:pathLst>
                              <a:path w="44450" h="111125">
                                <a:moveTo>
                                  <a:pt x="42989" y="0"/>
                                </a:moveTo>
                                <a:lnTo>
                                  <a:pt x="29006" y="508"/>
                                </a:lnTo>
                                <a:lnTo>
                                  <a:pt x="15328" y="508"/>
                                </a:lnTo>
                                <a:lnTo>
                                  <a:pt x="1346" y="0"/>
                                </a:lnTo>
                                <a:lnTo>
                                  <a:pt x="330" y="508"/>
                                </a:lnTo>
                                <a:lnTo>
                                  <a:pt x="0" y="3505"/>
                                </a:lnTo>
                                <a:lnTo>
                                  <a:pt x="1003" y="4178"/>
                                </a:lnTo>
                                <a:lnTo>
                                  <a:pt x="15024" y="5334"/>
                                </a:lnTo>
                                <a:lnTo>
                                  <a:pt x="15328" y="8166"/>
                                </a:lnTo>
                                <a:lnTo>
                                  <a:pt x="15328" y="25831"/>
                                </a:lnTo>
                                <a:lnTo>
                                  <a:pt x="15328" y="102819"/>
                                </a:lnTo>
                                <a:lnTo>
                                  <a:pt x="15024" y="105194"/>
                                </a:lnTo>
                                <a:lnTo>
                                  <a:pt x="1003" y="106832"/>
                                </a:lnTo>
                                <a:lnTo>
                                  <a:pt x="0" y="107835"/>
                                </a:lnTo>
                                <a:lnTo>
                                  <a:pt x="330" y="110464"/>
                                </a:lnTo>
                                <a:lnTo>
                                  <a:pt x="1346" y="111023"/>
                                </a:lnTo>
                                <a:lnTo>
                                  <a:pt x="15328" y="110464"/>
                                </a:lnTo>
                                <a:lnTo>
                                  <a:pt x="29006" y="110464"/>
                                </a:lnTo>
                                <a:lnTo>
                                  <a:pt x="42989" y="111023"/>
                                </a:lnTo>
                                <a:lnTo>
                                  <a:pt x="43980" y="110464"/>
                                </a:lnTo>
                                <a:lnTo>
                                  <a:pt x="44348" y="107492"/>
                                </a:lnTo>
                                <a:lnTo>
                                  <a:pt x="43345" y="106832"/>
                                </a:lnTo>
                                <a:lnTo>
                                  <a:pt x="29324" y="105194"/>
                                </a:lnTo>
                                <a:lnTo>
                                  <a:pt x="29006" y="102819"/>
                                </a:lnTo>
                                <a:lnTo>
                                  <a:pt x="29006" y="8166"/>
                                </a:lnTo>
                                <a:lnTo>
                                  <a:pt x="29324" y="5334"/>
                                </a:lnTo>
                                <a:lnTo>
                                  <a:pt x="43345" y="4178"/>
                                </a:lnTo>
                                <a:lnTo>
                                  <a:pt x="44348" y="3505"/>
                                </a:lnTo>
                                <a:lnTo>
                                  <a:pt x="43980" y="508"/>
                                </a:lnTo>
                                <a:lnTo>
                                  <a:pt x="42989" y="0"/>
                                </a:lnTo>
                                <a:close/>
                              </a:path>
                            </a:pathLst>
                          </a:custGeom>
                          <a:solidFill>
                            <a:srgbClr val="FFFFFF"/>
                          </a:solidFill>
                        </wps:spPr>
                        <wps:bodyPr wrap="square" lIns="0" tIns="0" rIns="0" bIns="0" rtlCol="0">
                          <a:prstTxWarp prst="textNoShape">
                            <a:avLst/>
                          </a:prstTxWarp>
                          <a:noAutofit/>
                        </wps:bodyPr>
                      </wps:wsp>
                      <pic:pic>
                        <pic:nvPicPr>
                          <pic:cNvPr id="1224" name="Image 1224"/>
                          <pic:cNvPicPr/>
                        </pic:nvPicPr>
                        <pic:blipFill>
                          <a:blip r:embed="rId185" cstate="print"/>
                          <a:stretch>
                            <a:fillRect/>
                          </a:stretch>
                        </pic:blipFill>
                        <pic:spPr>
                          <a:xfrm>
                            <a:off x="216910" y="3016"/>
                            <a:ext cx="111315" cy="115303"/>
                          </a:xfrm>
                          <a:prstGeom prst="rect">
                            <a:avLst/>
                          </a:prstGeom>
                        </pic:spPr>
                      </pic:pic>
                      <pic:pic>
                        <pic:nvPicPr>
                          <pic:cNvPr id="1225" name="Image 1225"/>
                          <pic:cNvPicPr/>
                        </pic:nvPicPr>
                        <pic:blipFill>
                          <a:blip r:embed="rId186" cstate="print"/>
                          <a:stretch>
                            <a:fillRect/>
                          </a:stretch>
                        </pic:blipFill>
                        <pic:spPr>
                          <a:xfrm>
                            <a:off x="365742" y="5137"/>
                            <a:ext cx="121754" cy="111023"/>
                          </a:xfrm>
                          <a:prstGeom prst="rect">
                            <a:avLst/>
                          </a:prstGeom>
                        </pic:spPr>
                      </pic:pic>
                      <pic:pic>
                        <pic:nvPicPr>
                          <pic:cNvPr id="1226" name="Image 1226"/>
                          <pic:cNvPicPr/>
                        </pic:nvPicPr>
                        <pic:blipFill>
                          <a:blip r:embed="rId187" cstate="print"/>
                          <a:stretch>
                            <a:fillRect/>
                          </a:stretch>
                        </pic:blipFill>
                        <pic:spPr>
                          <a:xfrm>
                            <a:off x="520842" y="0"/>
                            <a:ext cx="107149" cy="116141"/>
                          </a:xfrm>
                          <a:prstGeom prst="rect">
                            <a:avLst/>
                          </a:prstGeom>
                        </pic:spPr>
                      </pic:pic>
                      <pic:pic>
                        <pic:nvPicPr>
                          <pic:cNvPr id="1227" name="Image 1227"/>
                          <pic:cNvPicPr/>
                        </pic:nvPicPr>
                        <pic:blipFill>
                          <a:blip r:embed="rId188" cstate="print"/>
                          <a:stretch>
                            <a:fillRect/>
                          </a:stretch>
                        </pic:blipFill>
                        <pic:spPr>
                          <a:xfrm>
                            <a:off x="660298" y="3011"/>
                            <a:ext cx="66014" cy="115303"/>
                          </a:xfrm>
                          <a:prstGeom prst="rect">
                            <a:avLst/>
                          </a:prstGeom>
                        </pic:spPr>
                      </pic:pic>
                    </wpg:wgp>
                  </a:graphicData>
                </a:graphic>
              </wp:anchor>
            </w:drawing>
          </mc:Choice>
          <mc:Fallback>
            <w:pict>
              <v:group style="position:absolute;margin-left:501.874695pt;margin-top:773.147339pt;width:57.2pt;height:9.35pt;mso-position-horizontal-relative:page;mso-position-vertical-relative:page;z-index:15972352" id="docshapegroup1001" coordorigin="10037,15463" coordsize="1144,187">
                <v:shape style="position:absolute;left:10037;top:15471;width:170;height:177" type="#_x0000_t75" id="docshape1002" stroked="false">
                  <v:imagedata r:id="rId184" o:title=""/>
                </v:shape>
                <v:shape style="position:absolute;left:10247;top:15471;width:70;height:175" id="docshape1003" coordorigin="10247,15471" coordsize="70,175" path="m10315,15471l10293,15472,10271,15472,10249,15471,10248,15472,10247,15477,10249,15478,10271,15479,10271,15484,10271,15512,10271,15633,10271,15637,10249,15639,10247,15641,10248,15645,10249,15646,10271,15645,10293,15645,10315,15646,10316,15645,10317,15640,10315,15639,10293,15637,10293,15633,10293,15484,10293,15479,10315,15478,10317,15477,10316,15472,10315,15471xe" filled="true" fillcolor="#ffffff" stroked="false">
                  <v:path arrowok="t"/>
                  <v:fill type="solid"/>
                </v:shape>
                <v:shape style="position:absolute;left:10379;top:15467;width:176;height:182" type="#_x0000_t75" id="docshape1004" stroked="false">
                  <v:imagedata r:id="rId185" o:title=""/>
                </v:shape>
                <v:shape style="position:absolute;left:10613;top:15471;width:192;height:175" type="#_x0000_t75" id="docshape1005" stroked="false">
                  <v:imagedata r:id="rId186" o:title=""/>
                </v:shape>
                <v:shape style="position:absolute;left:10857;top:15462;width:169;height:183" type="#_x0000_t75" id="docshape1006" stroked="false">
                  <v:imagedata r:id="rId187" o:title=""/>
                </v:shape>
                <v:shape style="position:absolute;left:11077;top:15467;width:104;height:182" type="#_x0000_t75" id="docshape1007" stroked="false">
                  <v:imagedata r:id="rId188" o:title=""/>
                </v:shape>
                <w10:wrap type="none"/>
              </v:group>
            </w:pict>
          </mc:Fallback>
        </mc:AlternateContent>
      </w:r>
      <w:r>
        <w:rPr/>
        <mc:AlternateContent>
          <mc:Choice Requires="wps">
            <w:drawing>
              <wp:anchor distT="0" distB="0" distL="0" distR="0" allowOverlap="1" layoutInCell="1" locked="0" behindDoc="0" simplePos="0" relativeHeight="15972864">
                <wp:simplePos x="0" y="0"/>
                <wp:positionH relativeFrom="page">
                  <wp:posOffset>5576925</wp:posOffset>
                </wp:positionH>
                <wp:positionV relativeFrom="page">
                  <wp:posOffset>9821702</wp:posOffset>
                </wp:positionV>
                <wp:extent cx="727710" cy="116205"/>
                <wp:effectExtent l="0" t="0" r="0" b="0"/>
                <wp:wrapNone/>
                <wp:docPr id="1228" name="Group 1228"/>
                <wp:cNvGraphicFramePr>
                  <a:graphicFrameLocks/>
                </wp:cNvGraphicFramePr>
                <a:graphic>
                  <a:graphicData uri="http://schemas.microsoft.com/office/word/2010/wordprocessingGroup">
                    <wpg:wgp>
                      <wpg:cNvPr id="1228" name="Group 1228"/>
                      <wpg:cNvGrpSpPr/>
                      <wpg:grpSpPr>
                        <a:xfrm>
                          <a:off x="0" y="0"/>
                          <a:ext cx="727710" cy="116205"/>
                          <a:chExt cx="727710" cy="116205"/>
                        </a:xfrm>
                      </wpg:grpSpPr>
                      <pic:pic>
                        <pic:nvPicPr>
                          <pic:cNvPr id="1229" name="Image 1229"/>
                          <pic:cNvPicPr/>
                        </pic:nvPicPr>
                        <pic:blipFill>
                          <a:blip r:embed="rId189" cstate="print"/>
                          <a:stretch>
                            <a:fillRect/>
                          </a:stretch>
                        </pic:blipFill>
                        <pic:spPr>
                          <a:xfrm>
                            <a:off x="0" y="2165"/>
                            <a:ext cx="122097" cy="111264"/>
                          </a:xfrm>
                          <a:prstGeom prst="rect">
                            <a:avLst/>
                          </a:prstGeom>
                        </pic:spPr>
                      </pic:pic>
                      <pic:pic>
                        <pic:nvPicPr>
                          <pic:cNvPr id="1230" name="Image 1230"/>
                          <pic:cNvPicPr/>
                        </pic:nvPicPr>
                        <pic:blipFill>
                          <a:blip r:embed="rId19" cstate="print"/>
                          <a:stretch>
                            <a:fillRect/>
                          </a:stretch>
                        </pic:blipFill>
                        <pic:spPr>
                          <a:xfrm>
                            <a:off x="156250" y="2181"/>
                            <a:ext cx="118757" cy="113385"/>
                          </a:xfrm>
                          <a:prstGeom prst="rect">
                            <a:avLst/>
                          </a:prstGeom>
                        </pic:spPr>
                      </pic:pic>
                      <pic:pic>
                        <pic:nvPicPr>
                          <pic:cNvPr id="1231" name="Image 1231"/>
                          <pic:cNvPicPr/>
                        </pic:nvPicPr>
                        <pic:blipFill>
                          <a:blip r:embed="rId190" cstate="print"/>
                          <a:stretch>
                            <a:fillRect/>
                          </a:stretch>
                        </pic:blipFill>
                        <pic:spPr>
                          <a:xfrm>
                            <a:off x="302625" y="2159"/>
                            <a:ext cx="143167" cy="112433"/>
                          </a:xfrm>
                          <a:prstGeom prst="rect">
                            <a:avLst/>
                          </a:prstGeom>
                        </pic:spPr>
                      </pic:pic>
                      <pic:pic>
                        <pic:nvPicPr>
                          <pic:cNvPr id="1232" name="Image 1232"/>
                          <pic:cNvPicPr/>
                        </pic:nvPicPr>
                        <pic:blipFill>
                          <a:blip r:embed="rId191" cstate="print"/>
                          <a:stretch>
                            <a:fillRect/>
                          </a:stretch>
                        </pic:blipFill>
                        <pic:spPr>
                          <a:xfrm>
                            <a:off x="469560" y="0"/>
                            <a:ext cx="112420" cy="113423"/>
                          </a:xfrm>
                          <a:prstGeom prst="rect">
                            <a:avLst/>
                          </a:prstGeom>
                        </pic:spPr>
                      </pic:pic>
                      <pic:pic>
                        <pic:nvPicPr>
                          <pic:cNvPr id="1233" name="Image 1233"/>
                          <pic:cNvPicPr/>
                        </pic:nvPicPr>
                        <pic:blipFill>
                          <a:blip r:embed="rId22" cstate="print"/>
                          <a:stretch>
                            <a:fillRect/>
                          </a:stretch>
                        </pic:blipFill>
                        <pic:spPr>
                          <a:xfrm>
                            <a:off x="604410" y="2142"/>
                            <a:ext cx="123253" cy="113449"/>
                          </a:xfrm>
                          <a:prstGeom prst="rect">
                            <a:avLst/>
                          </a:prstGeom>
                        </pic:spPr>
                      </pic:pic>
                    </wpg:wgp>
                  </a:graphicData>
                </a:graphic>
              </wp:anchor>
            </w:drawing>
          </mc:Choice>
          <mc:Fallback>
            <w:pict>
              <v:group style="position:absolute;margin-left:439.127991pt;margin-top:773.362427pt;width:57.3pt;height:9.15pt;mso-position-horizontal-relative:page;mso-position-vertical-relative:page;z-index:15972864" id="docshapegroup1008" coordorigin="8783,15467" coordsize="1146,183">
                <v:shape style="position:absolute;left:8782;top:15470;width:193;height:176" type="#_x0000_t75" id="docshape1009" stroked="false">
                  <v:imagedata r:id="rId189" o:title=""/>
                </v:shape>
                <v:shape style="position:absolute;left:9028;top:15470;width:188;height:179" type="#_x0000_t75" id="docshape1010" stroked="false">
                  <v:imagedata r:id="rId19" o:title=""/>
                </v:shape>
                <v:shape style="position:absolute;left:9259;top:15470;width:226;height:178" type="#_x0000_t75" id="docshape1011" stroked="false">
                  <v:imagedata r:id="rId190" o:title=""/>
                </v:shape>
                <v:shape style="position:absolute;left:9522;top:15467;width:178;height:179" type="#_x0000_t75" id="docshape1012" stroked="false">
                  <v:imagedata r:id="rId191" o:title=""/>
                </v:shape>
                <v:shape style="position:absolute;left:9734;top:15470;width:195;height:179" type="#_x0000_t75" id="docshape1013" stroked="false">
                  <v:imagedata r:id="rId22" o:title=""/>
                </v:shape>
                <w10:wrap type="none"/>
              </v:group>
            </w:pict>
          </mc:Fallback>
        </mc:AlternateContent>
      </w:r>
      <w:r>
        <w:rPr/>
        <mc:AlternateContent>
          <mc:Choice Requires="wps">
            <w:drawing>
              <wp:anchor distT="0" distB="0" distL="0" distR="0" allowOverlap="1" layoutInCell="1" locked="0" behindDoc="0" simplePos="0" relativeHeight="15973376">
                <wp:simplePos x="0" y="0"/>
                <wp:positionH relativeFrom="page">
                  <wp:posOffset>5011801</wp:posOffset>
                </wp:positionH>
                <wp:positionV relativeFrom="page">
                  <wp:posOffset>9676460</wp:posOffset>
                </wp:positionV>
                <wp:extent cx="463550" cy="463550"/>
                <wp:effectExtent l="0" t="0" r="0" b="0"/>
                <wp:wrapNone/>
                <wp:docPr id="1234" name="Graphic 1234"/>
                <wp:cNvGraphicFramePr>
                  <a:graphicFrameLocks/>
                </wp:cNvGraphicFramePr>
                <a:graphic>
                  <a:graphicData uri="http://schemas.microsoft.com/office/word/2010/wordprocessingShape">
                    <wps:wsp>
                      <wps:cNvPr id="1234" name="Graphic 1234"/>
                      <wps:cNvSpPr/>
                      <wps:spPr>
                        <a:xfrm>
                          <a:off x="0" y="0"/>
                          <a:ext cx="463550" cy="463550"/>
                        </a:xfrm>
                        <a:custGeom>
                          <a:avLst/>
                          <a:gdLst/>
                          <a:ahLst/>
                          <a:cxnLst/>
                          <a:rect l="l" t="t" r="r" b="b"/>
                          <a:pathLst>
                            <a:path w="463550" h="463550">
                              <a:moveTo>
                                <a:pt x="463499" y="0"/>
                              </a:moveTo>
                              <a:lnTo>
                                <a:pt x="0" y="0"/>
                              </a:lnTo>
                              <a:lnTo>
                                <a:pt x="0" y="463486"/>
                              </a:lnTo>
                              <a:lnTo>
                                <a:pt x="463499" y="463486"/>
                              </a:lnTo>
                              <a:lnTo>
                                <a:pt x="463499" y="344830"/>
                              </a:lnTo>
                              <a:lnTo>
                                <a:pt x="230416" y="344830"/>
                              </a:lnTo>
                              <a:lnTo>
                                <a:pt x="229323" y="344017"/>
                              </a:lnTo>
                              <a:lnTo>
                                <a:pt x="209539" y="330798"/>
                              </a:lnTo>
                              <a:lnTo>
                                <a:pt x="188456" y="321219"/>
                              </a:lnTo>
                              <a:lnTo>
                                <a:pt x="185892" y="320535"/>
                              </a:lnTo>
                              <a:lnTo>
                                <a:pt x="104330" y="320535"/>
                              </a:lnTo>
                              <a:lnTo>
                                <a:pt x="101765" y="318681"/>
                              </a:lnTo>
                              <a:lnTo>
                                <a:pt x="101765" y="126745"/>
                              </a:lnTo>
                              <a:lnTo>
                                <a:pt x="101981" y="126237"/>
                              </a:lnTo>
                              <a:lnTo>
                                <a:pt x="144119" y="118630"/>
                              </a:lnTo>
                              <a:lnTo>
                                <a:pt x="463499" y="118630"/>
                              </a:lnTo>
                              <a:lnTo>
                                <a:pt x="463499" y="0"/>
                              </a:lnTo>
                              <a:close/>
                            </a:path>
                            <a:path w="463550" h="463550">
                              <a:moveTo>
                                <a:pt x="318973" y="313423"/>
                              </a:moveTo>
                              <a:lnTo>
                                <a:pt x="275059" y="321219"/>
                              </a:lnTo>
                              <a:lnTo>
                                <a:pt x="234213" y="344017"/>
                              </a:lnTo>
                              <a:lnTo>
                                <a:pt x="233108" y="344830"/>
                              </a:lnTo>
                              <a:lnTo>
                                <a:pt x="463499" y="344830"/>
                              </a:lnTo>
                              <a:lnTo>
                                <a:pt x="463499" y="320535"/>
                              </a:lnTo>
                              <a:lnTo>
                                <a:pt x="359206" y="320535"/>
                              </a:lnTo>
                              <a:lnTo>
                                <a:pt x="356120" y="319455"/>
                              </a:lnTo>
                              <a:lnTo>
                                <a:pt x="347198" y="316820"/>
                              </a:lnTo>
                              <a:lnTo>
                                <a:pt x="338004" y="314934"/>
                              </a:lnTo>
                              <a:lnTo>
                                <a:pt x="328581" y="313801"/>
                              </a:lnTo>
                              <a:lnTo>
                                <a:pt x="318973" y="313423"/>
                              </a:lnTo>
                              <a:close/>
                            </a:path>
                            <a:path w="463550" h="463550">
                              <a:moveTo>
                                <a:pt x="144551" y="313423"/>
                              </a:moveTo>
                              <a:lnTo>
                                <a:pt x="106794" y="319658"/>
                              </a:lnTo>
                              <a:lnTo>
                                <a:pt x="104330" y="320535"/>
                              </a:lnTo>
                              <a:lnTo>
                                <a:pt x="185892" y="320535"/>
                              </a:lnTo>
                              <a:lnTo>
                                <a:pt x="166614" y="315390"/>
                              </a:lnTo>
                              <a:lnTo>
                                <a:pt x="144551" y="313423"/>
                              </a:lnTo>
                              <a:close/>
                            </a:path>
                            <a:path w="463550" h="463550">
                              <a:moveTo>
                                <a:pt x="463499" y="118630"/>
                              </a:moveTo>
                              <a:lnTo>
                                <a:pt x="319392" y="118630"/>
                              </a:lnTo>
                              <a:lnTo>
                                <a:pt x="329763" y="119083"/>
                              </a:lnTo>
                              <a:lnTo>
                                <a:pt x="340017" y="120415"/>
                              </a:lnTo>
                              <a:lnTo>
                                <a:pt x="350042" y="122584"/>
                              </a:lnTo>
                              <a:lnTo>
                                <a:pt x="359727" y="125552"/>
                              </a:lnTo>
                              <a:lnTo>
                                <a:pt x="361556" y="126237"/>
                              </a:lnTo>
                              <a:lnTo>
                                <a:pt x="361772" y="126745"/>
                              </a:lnTo>
                              <a:lnTo>
                                <a:pt x="361772" y="318681"/>
                              </a:lnTo>
                              <a:lnTo>
                                <a:pt x="359206" y="320535"/>
                              </a:lnTo>
                              <a:lnTo>
                                <a:pt x="463499" y="320535"/>
                              </a:lnTo>
                              <a:lnTo>
                                <a:pt x="463499" y="118630"/>
                              </a:lnTo>
                              <a:close/>
                            </a:path>
                            <a:path w="463550" h="463550">
                              <a:moveTo>
                                <a:pt x="319392" y="118630"/>
                              </a:moveTo>
                              <a:lnTo>
                                <a:pt x="144119" y="118630"/>
                              </a:lnTo>
                              <a:lnTo>
                                <a:pt x="167054" y="120926"/>
                              </a:lnTo>
                              <a:lnTo>
                                <a:pt x="189639" y="127444"/>
                              </a:lnTo>
                              <a:lnTo>
                                <a:pt x="211381" y="137629"/>
                              </a:lnTo>
                              <a:lnTo>
                                <a:pt x="231787" y="150926"/>
                              </a:lnTo>
                              <a:lnTo>
                                <a:pt x="252171" y="137629"/>
                              </a:lnTo>
                              <a:lnTo>
                                <a:pt x="273899" y="127444"/>
                              </a:lnTo>
                              <a:lnTo>
                                <a:pt x="296472" y="120926"/>
                              </a:lnTo>
                              <a:lnTo>
                                <a:pt x="319392" y="11863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94.630005pt;margin-top:761.926025pt;width:36.5pt;height:36.5pt;mso-position-horizontal-relative:page;mso-position-vertical-relative:page;z-index:15973376" id="docshape1014" coordorigin="7893,15239" coordsize="730,730" path="m8623,15239l7893,15239,7893,15968,8623,15968,8623,15782,8255,15782,8254,15780,8223,15759,8189,15744,8185,15743,8057,15743,8053,15740,8053,15438,8053,15437,8056,15436,8071,15432,8087,15428,8103,15426,8120,15425,8623,15425,8623,15239xm8395,15732l8360,15735,8326,15744,8293,15759,8261,15780,8260,15782,8623,15782,8623,15743,8458,15743,8453,15742,8439,15737,8425,15734,8410,15733,8395,15732xm8120,15732l8105,15733,8090,15734,8076,15737,8062,15742,8061,15742,8057,15743,8185,15743,8155,15735,8120,15732xm8623,15425l8396,15425,8412,15426,8428,15428,8444,15432,8459,15436,8462,15437,8462,15438,8462,15740,8458,15743,8623,15743,8623,15425xm8396,15425l8120,15425,8156,15429,8191,15439,8225,15455,8258,15476,8290,15455,8324,15439,8359,15429,8396,15425xe" filled="true" fillcolor="#ffffff" stroked="false">
                <v:path arrowok="t"/>
                <v:fill type="solid"/>
                <w10:wrap type="none"/>
              </v:shape>
            </w:pict>
          </mc:Fallback>
        </mc:AlternateContent>
      </w:r>
      <w:r>
        <w:rPr>
          <w:rFonts w:ascii="Verdana"/>
          <w:color w:val="FFFFFF"/>
          <w:spacing w:val="-2"/>
        </w:rPr>
        <w:t>For</w:t>
      </w:r>
      <w:r>
        <w:rPr>
          <w:rFonts w:ascii="Verdana"/>
          <w:color w:val="FFFFFF"/>
          <w:spacing w:val="-13"/>
        </w:rPr>
        <w:t> </w:t>
      </w:r>
      <w:r>
        <w:rPr>
          <w:rFonts w:ascii="Verdana"/>
          <w:color w:val="FFFFFF"/>
          <w:spacing w:val="-2"/>
        </w:rPr>
        <w:t>further</w:t>
      </w:r>
      <w:r>
        <w:rPr>
          <w:rFonts w:ascii="Verdana"/>
          <w:color w:val="FFFFFF"/>
          <w:spacing w:val="-12"/>
        </w:rPr>
        <w:t> </w:t>
      </w:r>
      <w:r>
        <w:rPr>
          <w:rFonts w:ascii="Verdana"/>
          <w:color w:val="FFFFFF"/>
          <w:spacing w:val="-2"/>
        </w:rPr>
        <w:t>information</w:t>
      </w:r>
      <w:r>
        <w:rPr>
          <w:rFonts w:ascii="Verdana"/>
          <w:color w:val="FFFFFF"/>
          <w:spacing w:val="-12"/>
        </w:rPr>
        <w:t> </w:t>
      </w:r>
      <w:r>
        <w:rPr>
          <w:rFonts w:ascii="Verdana"/>
          <w:color w:val="FFFFFF"/>
          <w:spacing w:val="-2"/>
        </w:rPr>
        <w:t>and</w:t>
      </w:r>
      <w:r>
        <w:rPr>
          <w:rFonts w:ascii="Verdana"/>
          <w:color w:val="FFFFFF"/>
          <w:spacing w:val="-13"/>
        </w:rPr>
        <w:t> </w:t>
      </w:r>
      <w:r>
        <w:rPr>
          <w:rFonts w:ascii="Verdana"/>
          <w:color w:val="FFFFFF"/>
          <w:spacing w:val="-2"/>
        </w:rPr>
        <w:t>guidance,</w:t>
      </w:r>
      <w:r>
        <w:rPr>
          <w:rFonts w:ascii="Verdana"/>
          <w:color w:val="FFFFFF"/>
          <w:spacing w:val="-12"/>
        </w:rPr>
        <w:t> </w:t>
      </w:r>
      <w:r>
        <w:rPr>
          <w:rFonts w:ascii="Verdana"/>
          <w:color w:val="FFFFFF"/>
          <w:spacing w:val="-2"/>
        </w:rPr>
        <w:t>please</w:t>
      </w:r>
      <w:r>
        <w:rPr>
          <w:rFonts w:ascii="Verdana"/>
          <w:color w:val="FFFFFF"/>
          <w:spacing w:val="-12"/>
        </w:rPr>
        <w:t> </w:t>
      </w:r>
      <w:r>
        <w:rPr>
          <w:rFonts w:ascii="Verdana"/>
          <w:color w:val="FFFFFF"/>
          <w:spacing w:val="-2"/>
        </w:rPr>
        <w:t>contact:</w:t>
      </w:r>
    </w:p>
    <w:p>
      <w:pPr>
        <w:pStyle w:val="BodyText"/>
        <w:spacing w:before="134"/>
        <w:rPr>
          <w:rFonts w:ascii="Verdana"/>
        </w:rPr>
      </w:pPr>
    </w:p>
    <w:p>
      <w:pPr>
        <w:spacing w:before="0"/>
        <w:ind w:left="820" w:right="0" w:firstLine="0"/>
        <w:jc w:val="left"/>
        <w:rPr>
          <w:rFonts w:ascii="Tahoma"/>
          <w:b/>
          <w:sz w:val="24"/>
        </w:rPr>
      </w:pPr>
      <w:r>
        <w:rPr>
          <w:rFonts w:ascii="Tahoma"/>
          <w:b/>
          <w:color w:val="FFFFFF"/>
          <w:sz w:val="24"/>
        </w:rPr>
        <w:t>Equality</w:t>
      </w:r>
      <w:r>
        <w:rPr>
          <w:rFonts w:ascii="Tahoma"/>
          <w:b/>
          <w:color w:val="FFFFFF"/>
          <w:spacing w:val="8"/>
          <w:sz w:val="24"/>
        </w:rPr>
        <w:t> </w:t>
      </w:r>
      <w:r>
        <w:rPr>
          <w:rFonts w:ascii="Tahoma"/>
          <w:b/>
          <w:color w:val="FFFFFF"/>
          <w:sz w:val="24"/>
        </w:rPr>
        <w:t>Commission</w:t>
      </w:r>
      <w:r>
        <w:rPr>
          <w:rFonts w:ascii="Tahoma"/>
          <w:b/>
          <w:color w:val="FFFFFF"/>
          <w:spacing w:val="8"/>
          <w:sz w:val="24"/>
        </w:rPr>
        <w:t> </w:t>
      </w:r>
      <w:r>
        <w:rPr>
          <w:rFonts w:ascii="Tahoma"/>
          <w:b/>
          <w:color w:val="FFFFFF"/>
          <w:sz w:val="24"/>
        </w:rPr>
        <w:t>for</w:t>
      </w:r>
      <w:r>
        <w:rPr>
          <w:rFonts w:ascii="Tahoma"/>
          <w:b/>
          <w:color w:val="FFFFFF"/>
          <w:spacing w:val="8"/>
          <w:sz w:val="24"/>
        </w:rPr>
        <w:t> </w:t>
      </w:r>
      <w:r>
        <w:rPr>
          <w:rFonts w:ascii="Tahoma"/>
          <w:b/>
          <w:color w:val="FFFFFF"/>
          <w:sz w:val="24"/>
        </w:rPr>
        <w:t>Northern</w:t>
      </w:r>
      <w:r>
        <w:rPr>
          <w:rFonts w:ascii="Tahoma"/>
          <w:b/>
          <w:color w:val="FFFFFF"/>
          <w:spacing w:val="8"/>
          <w:sz w:val="24"/>
        </w:rPr>
        <w:t> </w:t>
      </w:r>
      <w:r>
        <w:rPr>
          <w:rFonts w:ascii="Tahoma"/>
          <w:b/>
          <w:color w:val="FFFFFF"/>
          <w:spacing w:val="-2"/>
          <w:sz w:val="24"/>
        </w:rPr>
        <w:t>Ireland</w:t>
      </w:r>
    </w:p>
    <w:p>
      <w:pPr>
        <w:spacing w:before="29"/>
        <w:ind w:left="820" w:right="0" w:firstLine="0"/>
        <w:jc w:val="left"/>
        <w:rPr>
          <w:rFonts w:ascii="Verdana"/>
          <w:sz w:val="24"/>
        </w:rPr>
      </w:pPr>
      <w:r>
        <w:rPr>
          <w:rFonts w:ascii="Verdana"/>
          <w:color w:val="FFFFFF"/>
          <w:spacing w:val="-4"/>
          <w:sz w:val="24"/>
        </w:rPr>
        <w:t>Equality</w:t>
      </w:r>
      <w:r>
        <w:rPr>
          <w:rFonts w:ascii="Verdana"/>
          <w:color w:val="FFFFFF"/>
          <w:spacing w:val="-15"/>
          <w:sz w:val="24"/>
        </w:rPr>
        <w:t> </w:t>
      </w:r>
      <w:r>
        <w:rPr>
          <w:rFonts w:ascii="Verdana"/>
          <w:color w:val="FFFFFF"/>
          <w:spacing w:val="-4"/>
          <w:sz w:val="24"/>
        </w:rPr>
        <w:t>House,</w:t>
      </w:r>
      <w:r>
        <w:rPr>
          <w:rFonts w:ascii="Verdana"/>
          <w:color w:val="FFFFFF"/>
          <w:spacing w:val="-15"/>
          <w:sz w:val="24"/>
        </w:rPr>
        <w:t> </w:t>
      </w:r>
      <w:r>
        <w:rPr>
          <w:rFonts w:ascii="Verdana"/>
          <w:color w:val="FFFFFF"/>
          <w:spacing w:val="-4"/>
          <w:sz w:val="24"/>
        </w:rPr>
        <w:t>7-9</w:t>
      </w:r>
      <w:r>
        <w:rPr>
          <w:rFonts w:ascii="Verdana"/>
          <w:color w:val="FFFFFF"/>
          <w:spacing w:val="-14"/>
          <w:sz w:val="24"/>
        </w:rPr>
        <w:t> </w:t>
      </w:r>
      <w:r>
        <w:rPr>
          <w:rFonts w:ascii="Verdana"/>
          <w:color w:val="FFFFFF"/>
          <w:spacing w:val="-4"/>
          <w:sz w:val="24"/>
        </w:rPr>
        <w:t>Shaftesbury</w:t>
      </w:r>
      <w:r>
        <w:rPr>
          <w:rFonts w:ascii="Verdana"/>
          <w:color w:val="FFFFFF"/>
          <w:spacing w:val="-15"/>
          <w:sz w:val="24"/>
        </w:rPr>
        <w:t> </w:t>
      </w:r>
      <w:r>
        <w:rPr>
          <w:rFonts w:ascii="Verdana"/>
          <w:color w:val="FFFFFF"/>
          <w:spacing w:val="-4"/>
          <w:sz w:val="24"/>
        </w:rPr>
        <w:t>Square,</w:t>
      </w:r>
      <w:r>
        <w:rPr>
          <w:rFonts w:ascii="Verdana"/>
          <w:color w:val="FFFFFF"/>
          <w:spacing w:val="-15"/>
          <w:sz w:val="24"/>
        </w:rPr>
        <w:t> </w:t>
      </w:r>
      <w:r>
        <w:rPr>
          <w:rFonts w:ascii="Verdana"/>
          <w:color w:val="FFFFFF"/>
          <w:spacing w:val="-4"/>
          <w:sz w:val="24"/>
        </w:rPr>
        <w:t>Belfast,</w:t>
      </w:r>
      <w:r>
        <w:rPr>
          <w:rFonts w:ascii="Verdana"/>
          <w:color w:val="FFFFFF"/>
          <w:spacing w:val="-14"/>
          <w:sz w:val="24"/>
        </w:rPr>
        <w:t> </w:t>
      </w:r>
      <w:r>
        <w:rPr>
          <w:rFonts w:ascii="Verdana"/>
          <w:color w:val="FFFFFF"/>
          <w:spacing w:val="-4"/>
          <w:sz w:val="24"/>
        </w:rPr>
        <w:t>BT2</w:t>
      </w:r>
      <w:r>
        <w:rPr>
          <w:rFonts w:ascii="Verdana"/>
          <w:color w:val="FFFFFF"/>
          <w:spacing w:val="-15"/>
          <w:sz w:val="24"/>
        </w:rPr>
        <w:t> </w:t>
      </w:r>
      <w:r>
        <w:rPr>
          <w:rFonts w:ascii="Verdana"/>
          <w:color w:val="FFFFFF"/>
          <w:spacing w:val="-5"/>
          <w:sz w:val="24"/>
        </w:rPr>
        <w:t>7DP</w:t>
      </w:r>
    </w:p>
    <w:p>
      <w:pPr>
        <w:spacing w:before="28"/>
        <w:ind w:left="820" w:right="0" w:firstLine="0"/>
        <w:jc w:val="left"/>
        <w:rPr>
          <w:rFonts w:ascii="Verdana"/>
          <w:sz w:val="24"/>
        </w:rPr>
      </w:pPr>
      <w:r>
        <w:rPr>
          <w:rFonts w:ascii="Tahoma"/>
          <w:b/>
          <w:color w:val="FFFFFF"/>
          <w:sz w:val="24"/>
        </w:rPr>
        <w:t>Telephone:</w:t>
      </w:r>
      <w:r>
        <w:rPr>
          <w:rFonts w:ascii="Tahoma"/>
          <w:b/>
          <w:color w:val="FFFFFF"/>
          <w:spacing w:val="-5"/>
          <w:sz w:val="24"/>
        </w:rPr>
        <w:t> </w:t>
      </w:r>
      <w:r>
        <w:rPr>
          <w:rFonts w:ascii="Verdana"/>
          <w:color w:val="FFFFFF"/>
          <w:sz w:val="24"/>
        </w:rPr>
        <w:t>+</w:t>
      </w:r>
      <w:r>
        <w:rPr>
          <w:rFonts w:ascii="Verdana"/>
          <w:color w:val="FFFFFF"/>
          <w:spacing w:val="-18"/>
          <w:sz w:val="24"/>
        </w:rPr>
        <w:t> </w:t>
      </w:r>
      <w:r>
        <w:rPr>
          <w:rFonts w:ascii="Verdana"/>
          <w:color w:val="FFFFFF"/>
          <w:sz w:val="24"/>
        </w:rPr>
        <w:t>44</w:t>
      </w:r>
      <w:r>
        <w:rPr>
          <w:rFonts w:ascii="Verdana"/>
          <w:color w:val="FFFFFF"/>
          <w:spacing w:val="-19"/>
          <w:sz w:val="24"/>
        </w:rPr>
        <w:t> </w:t>
      </w:r>
      <w:r>
        <w:rPr>
          <w:rFonts w:ascii="Verdana"/>
          <w:color w:val="FFFFFF"/>
          <w:sz w:val="24"/>
        </w:rPr>
        <w:t>(0)28</w:t>
      </w:r>
      <w:r>
        <w:rPr>
          <w:rFonts w:ascii="Verdana"/>
          <w:color w:val="FFFFFF"/>
          <w:spacing w:val="-18"/>
          <w:sz w:val="24"/>
        </w:rPr>
        <w:t> </w:t>
      </w:r>
      <w:r>
        <w:rPr>
          <w:rFonts w:ascii="Verdana"/>
          <w:color w:val="FFFFFF"/>
          <w:sz w:val="24"/>
        </w:rPr>
        <w:t>9050</w:t>
      </w:r>
      <w:r>
        <w:rPr>
          <w:rFonts w:ascii="Verdana"/>
          <w:color w:val="FFFFFF"/>
          <w:spacing w:val="-18"/>
          <w:sz w:val="24"/>
        </w:rPr>
        <w:t> </w:t>
      </w:r>
      <w:r>
        <w:rPr>
          <w:rFonts w:ascii="Verdana"/>
          <w:color w:val="FFFFFF"/>
          <w:spacing w:val="-4"/>
          <w:sz w:val="24"/>
        </w:rPr>
        <w:t>0600</w:t>
      </w:r>
    </w:p>
    <w:p>
      <w:pPr>
        <w:spacing w:before="29"/>
        <w:ind w:left="820" w:right="0" w:firstLine="0"/>
        <w:jc w:val="left"/>
        <w:rPr>
          <w:rFonts w:ascii="Verdana"/>
          <w:sz w:val="24"/>
        </w:rPr>
      </w:pPr>
      <w:r>
        <w:rPr>
          <w:rFonts w:ascii="Tahoma"/>
          <w:b/>
          <w:color w:val="FFFFFF"/>
          <w:sz w:val="24"/>
        </w:rPr>
        <w:t>Email:</w:t>
      </w:r>
      <w:r>
        <w:rPr>
          <w:rFonts w:ascii="Tahoma"/>
          <w:b/>
          <w:color w:val="FFFFFF"/>
          <w:spacing w:val="-7"/>
          <w:sz w:val="24"/>
        </w:rPr>
        <w:t> </w:t>
      </w:r>
      <w:hyperlink r:id="rId178">
        <w:r>
          <w:rPr>
            <w:rFonts w:ascii="Verdana"/>
            <w:color w:val="FFFFFF"/>
            <w:spacing w:val="-2"/>
            <w:sz w:val="24"/>
          </w:rPr>
          <w:t>DMU@equalityni.org</w:t>
        </w:r>
      </w:hyperlink>
    </w:p>
    <w:p>
      <w:pPr>
        <w:spacing w:before="28"/>
        <w:ind w:left="820" w:right="0" w:firstLine="0"/>
        <w:jc w:val="left"/>
        <w:rPr>
          <w:rFonts w:ascii="Verdana"/>
          <w:sz w:val="24"/>
        </w:rPr>
      </w:pPr>
      <w:r>
        <w:rPr>
          <w:rFonts w:ascii="Tahoma"/>
          <w:b/>
          <w:color w:val="FFFFFF"/>
          <w:sz w:val="24"/>
        </w:rPr>
        <w:t>Web:</w:t>
      </w:r>
      <w:r>
        <w:rPr>
          <w:rFonts w:ascii="Tahoma"/>
          <w:b/>
          <w:color w:val="FFFFFF"/>
          <w:spacing w:val="3"/>
          <w:sz w:val="24"/>
        </w:rPr>
        <w:t> </w:t>
      </w:r>
      <w:hyperlink r:id="rId192">
        <w:r>
          <w:rPr>
            <w:rFonts w:ascii="Verdana"/>
            <w:color w:val="FFFFFF"/>
            <w:spacing w:val="-2"/>
            <w:sz w:val="24"/>
          </w:rPr>
          <w:t>www.equalityni.org/brexit</w:t>
        </w:r>
      </w:hyperlink>
    </w:p>
    <w:p>
      <w:pPr>
        <w:pStyle w:val="BodyText"/>
        <w:spacing w:before="9"/>
        <w:rPr>
          <w:rFonts w:ascii="Verdana"/>
          <w:sz w:val="17"/>
        </w:rPr>
      </w:pPr>
      <w:r>
        <w:rPr/>
        <w:drawing>
          <wp:anchor distT="0" distB="0" distL="0" distR="0" allowOverlap="1" layoutInCell="1" locked="0" behindDoc="1" simplePos="0" relativeHeight="487820288">
            <wp:simplePos x="0" y="0"/>
            <wp:positionH relativeFrom="page">
              <wp:posOffset>711700</wp:posOffset>
            </wp:positionH>
            <wp:positionV relativeFrom="paragraph">
              <wp:posOffset>152617</wp:posOffset>
            </wp:positionV>
            <wp:extent cx="228348" cy="233362"/>
            <wp:effectExtent l="0" t="0" r="0" b="0"/>
            <wp:wrapTopAndBottom/>
            <wp:docPr id="1235" name="Image 1235"/>
            <wp:cNvGraphicFramePr>
              <a:graphicFrameLocks/>
            </wp:cNvGraphicFramePr>
            <a:graphic>
              <a:graphicData uri="http://schemas.openxmlformats.org/drawingml/2006/picture">
                <pic:pic>
                  <pic:nvPicPr>
                    <pic:cNvPr id="1235" name="Image 1235"/>
                    <pic:cNvPicPr/>
                  </pic:nvPicPr>
                  <pic:blipFill>
                    <a:blip r:embed="rId193" cstate="print"/>
                    <a:stretch>
                      <a:fillRect/>
                    </a:stretch>
                  </pic:blipFill>
                  <pic:spPr>
                    <a:xfrm>
                      <a:off x="0" y="0"/>
                      <a:ext cx="228348" cy="233362"/>
                    </a:xfrm>
                    <a:prstGeom prst="rect">
                      <a:avLst/>
                    </a:prstGeom>
                  </pic:spPr>
                </pic:pic>
              </a:graphicData>
            </a:graphic>
          </wp:anchor>
        </w:drawing>
      </w:r>
      <w:r>
        <w:rPr/>
        <w:drawing>
          <wp:anchor distT="0" distB="0" distL="0" distR="0" allowOverlap="1" layoutInCell="1" locked="0" behindDoc="1" simplePos="0" relativeHeight="487820800">
            <wp:simplePos x="0" y="0"/>
            <wp:positionH relativeFrom="page">
              <wp:posOffset>1087269</wp:posOffset>
            </wp:positionH>
            <wp:positionV relativeFrom="paragraph">
              <wp:posOffset>152910</wp:posOffset>
            </wp:positionV>
            <wp:extent cx="233293" cy="233362"/>
            <wp:effectExtent l="0" t="0" r="0" b="0"/>
            <wp:wrapTopAndBottom/>
            <wp:docPr id="1236" name="Image 1236"/>
            <wp:cNvGraphicFramePr>
              <a:graphicFrameLocks/>
            </wp:cNvGraphicFramePr>
            <a:graphic>
              <a:graphicData uri="http://schemas.openxmlformats.org/drawingml/2006/picture">
                <pic:pic>
                  <pic:nvPicPr>
                    <pic:cNvPr id="1236" name="Image 1236"/>
                    <pic:cNvPicPr/>
                  </pic:nvPicPr>
                  <pic:blipFill>
                    <a:blip r:embed="rId194" cstate="print"/>
                    <a:stretch>
                      <a:fillRect/>
                    </a:stretch>
                  </pic:blipFill>
                  <pic:spPr>
                    <a:xfrm>
                      <a:off x="0" y="0"/>
                      <a:ext cx="233293" cy="233362"/>
                    </a:xfrm>
                    <a:prstGeom prst="rect">
                      <a:avLst/>
                    </a:prstGeom>
                  </pic:spPr>
                </pic:pic>
              </a:graphicData>
            </a:graphic>
          </wp:anchor>
        </w:drawing>
      </w:r>
      <w:r>
        <w:rPr/>
        <w:drawing>
          <wp:anchor distT="0" distB="0" distL="0" distR="0" allowOverlap="1" layoutInCell="1" locked="0" behindDoc="1" simplePos="0" relativeHeight="487821312">
            <wp:simplePos x="0" y="0"/>
            <wp:positionH relativeFrom="page">
              <wp:posOffset>1460430</wp:posOffset>
            </wp:positionH>
            <wp:positionV relativeFrom="paragraph">
              <wp:posOffset>152980</wp:posOffset>
            </wp:positionV>
            <wp:extent cx="233395" cy="233362"/>
            <wp:effectExtent l="0" t="0" r="0" b="0"/>
            <wp:wrapTopAndBottom/>
            <wp:docPr id="1237" name="Image 1237"/>
            <wp:cNvGraphicFramePr>
              <a:graphicFrameLocks/>
            </wp:cNvGraphicFramePr>
            <a:graphic>
              <a:graphicData uri="http://schemas.openxmlformats.org/drawingml/2006/picture">
                <pic:pic>
                  <pic:nvPicPr>
                    <pic:cNvPr id="1237" name="Image 1237"/>
                    <pic:cNvPicPr/>
                  </pic:nvPicPr>
                  <pic:blipFill>
                    <a:blip r:embed="rId195" cstate="print"/>
                    <a:stretch>
                      <a:fillRect/>
                    </a:stretch>
                  </pic:blipFill>
                  <pic:spPr>
                    <a:xfrm>
                      <a:off x="0" y="0"/>
                      <a:ext cx="233395" cy="233362"/>
                    </a:xfrm>
                    <a:prstGeom prst="rect">
                      <a:avLst/>
                    </a:prstGeom>
                  </pic:spPr>
                </pic:pic>
              </a:graphicData>
            </a:graphic>
          </wp:anchor>
        </w:drawing>
      </w:r>
      <w:r>
        <w:rPr/>
        <w:drawing>
          <wp:anchor distT="0" distB="0" distL="0" distR="0" allowOverlap="1" layoutInCell="1" locked="0" behindDoc="1" simplePos="0" relativeHeight="487821824">
            <wp:simplePos x="0" y="0"/>
            <wp:positionH relativeFrom="page">
              <wp:posOffset>1833690</wp:posOffset>
            </wp:positionH>
            <wp:positionV relativeFrom="paragraph">
              <wp:posOffset>152923</wp:posOffset>
            </wp:positionV>
            <wp:extent cx="233345" cy="233362"/>
            <wp:effectExtent l="0" t="0" r="0" b="0"/>
            <wp:wrapTopAndBottom/>
            <wp:docPr id="1238" name="Image 1238"/>
            <wp:cNvGraphicFramePr>
              <a:graphicFrameLocks/>
            </wp:cNvGraphicFramePr>
            <a:graphic>
              <a:graphicData uri="http://schemas.openxmlformats.org/drawingml/2006/picture">
                <pic:pic>
                  <pic:nvPicPr>
                    <pic:cNvPr id="1238" name="Image 1238"/>
                    <pic:cNvPicPr/>
                  </pic:nvPicPr>
                  <pic:blipFill>
                    <a:blip r:embed="rId196" cstate="print"/>
                    <a:stretch>
                      <a:fillRect/>
                    </a:stretch>
                  </pic:blipFill>
                  <pic:spPr>
                    <a:xfrm>
                      <a:off x="0" y="0"/>
                      <a:ext cx="233345" cy="233362"/>
                    </a:xfrm>
                    <a:prstGeom prst="rect">
                      <a:avLst/>
                    </a:prstGeom>
                  </pic:spPr>
                </pic:pic>
              </a:graphicData>
            </a:graphic>
          </wp:anchor>
        </w:drawing>
      </w:r>
      <w:r>
        <w:rPr/>
        <mc:AlternateContent>
          <mc:Choice Requires="wps">
            <w:drawing>
              <wp:anchor distT="0" distB="0" distL="0" distR="0" allowOverlap="1" layoutInCell="1" locked="0" behindDoc="1" simplePos="0" relativeHeight="487822336">
                <wp:simplePos x="0" y="0"/>
                <wp:positionH relativeFrom="page">
                  <wp:posOffset>2207049</wp:posOffset>
                </wp:positionH>
                <wp:positionV relativeFrom="paragraph">
                  <wp:posOffset>152979</wp:posOffset>
                </wp:positionV>
                <wp:extent cx="315595" cy="219710"/>
                <wp:effectExtent l="0" t="0" r="0" b="0"/>
                <wp:wrapTopAndBottom/>
                <wp:docPr id="1239" name="Graphic 1239"/>
                <wp:cNvGraphicFramePr>
                  <a:graphicFrameLocks/>
                </wp:cNvGraphicFramePr>
                <a:graphic>
                  <a:graphicData uri="http://schemas.microsoft.com/office/word/2010/wordprocessingShape">
                    <wps:wsp>
                      <wps:cNvPr id="1239" name="Graphic 1239"/>
                      <wps:cNvSpPr/>
                      <wps:spPr>
                        <a:xfrm>
                          <a:off x="0" y="0"/>
                          <a:ext cx="315595" cy="219710"/>
                        </a:xfrm>
                        <a:custGeom>
                          <a:avLst/>
                          <a:gdLst/>
                          <a:ahLst/>
                          <a:cxnLst/>
                          <a:rect l="l" t="t" r="r" b="b"/>
                          <a:pathLst>
                            <a:path w="315595" h="219710">
                              <a:moveTo>
                                <a:pt x="169077" y="0"/>
                              </a:moveTo>
                              <a:lnTo>
                                <a:pt x="135963" y="0"/>
                              </a:lnTo>
                              <a:lnTo>
                                <a:pt x="116362" y="157"/>
                              </a:lnTo>
                              <a:lnTo>
                                <a:pt x="39770" y="4259"/>
                              </a:lnTo>
                              <a:lnTo>
                                <a:pt x="7259" y="31095"/>
                              </a:lnTo>
                              <a:lnTo>
                                <a:pt x="515" y="87026"/>
                              </a:lnTo>
                              <a:lnTo>
                                <a:pt x="223" y="90061"/>
                              </a:lnTo>
                              <a:lnTo>
                                <a:pt x="58" y="93122"/>
                              </a:lnTo>
                              <a:lnTo>
                                <a:pt x="0" y="126130"/>
                              </a:lnTo>
                              <a:lnTo>
                                <a:pt x="261" y="130473"/>
                              </a:lnTo>
                              <a:lnTo>
                                <a:pt x="452" y="137662"/>
                              </a:lnTo>
                              <a:lnTo>
                                <a:pt x="5570" y="181477"/>
                              </a:lnTo>
                              <a:lnTo>
                                <a:pt x="42289" y="215120"/>
                              </a:lnTo>
                              <a:lnTo>
                                <a:pt x="43044" y="215120"/>
                              </a:lnTo>
                              <a:lnTo>
                                <a:pt x="57244" y="216455"/>
                              </a:lnTo>
                              <a:lnTo>
                                <a:pt x="72685" y="217741"/>
                              </a:lnTo>
                              <a:lnTo>
                                <a:pt x="89257" y="218801"/>
                              </a:lnTo>
                              <a:lnTo>
                                <a:pt x="90125" y="218801"/>
                              </a:lnTo>
                              <a:lnTo>
                                <a:pt x="103952" y="219298"/>
                              </a:lnTo>
                              <a:lnTo>
                                <a:pt x="130836" y="219671"/>
                              </a:lnTo>
                              <a:lnTo>
                                <a:pt x="184993" y="219671"/>
                              </a:lnTo>
                              <a:lnTo>
                                <a:pt x="227505" y="218801"/>
                              </a:lnTo>
                              <a:lnTo>
                                <a:pt x="273585" y="215120"/>
                              </a:lnTo>
                              <a:lnTo>
                                <a:pt x="306305" y="193144"/>
                              </a:lnTo>
                              <a:lnTo>
                                <a:pt x="313356" y="157309"/>
                              </a:lnTo>
                              <a:lnTo>
                                <a:pt x="126370" y="157309"/>
                              </a:lnTo>
                              <a:lnTo>
                                <a:pt x="126370" y="62464"/>
                              </a:lnTo>
                              <a:lnTo>
                                <a:pt x="313076" y="62464"/>
                              </a:lnTo>
                              <a:lnTo>
                                <a:pt x="312240" y="54925"/>
                              </a:lnTo>
                              <a:lnTo>
                                <a:pt x="297600" y="14810"/>
                              </a:lnTo>
                              <a:lnTo>
                                <a:pt x="248524" y="2332"/>
                              </a:lnTo>
                              <a:lnTo>
                                <a:pt x="221783" y="804"/>
                              </a:lnTo>
                              <a:lnTo>
                                <a:pt x="169077" y="0"/>
                              </a:lnTo>
                              <a:close/>
                            </a:path>
                            <a:path w="315595" h="219710">
                              <a:moveTo>
                                <a:pt x="313076" y="62464"/>
                              </a:moveTo>
                              <a:lnTo>
                                <a:pt x="126370" y="62464"/>
                              </a:lnTo>
                              <a:lnTo>
                                <a:pt x="208689" y="109886"/>
                              </a:lnTo>
                              <a:lnTo>
                                <a:pt x="126370" y="157309"/>
                              </a:lnTo>
                              <a:lnTo>
                                <a:pt x="313356" y="157309"/>
                              </a:lnTo>
                              <a:lnTo>
                                <a:pt x="313686" y="153993"/>
                              </a:lnTo>
                              <a:lnTo>
                                <a:pt x="313762" y="153232"/>
                              </a:lnTo>
                              <a:lnTo>
                                <a:pt x="314602" y="140399"/>
                              </a:lnTo>
                              <a:lnTo>
                                <a:pt x="315189" y="126130"/>
                              </a:lnTo>
                              <a:lnTo>
                                <a:pt x="315469" y="124720"/>
                              </a:lnTo>
                              <a:lnTo>
                                <a:pt x="315536" y="93122"/>
                              </a:lnTo>
                              <a:lnTo>
                                <a:pt x="315215" y="87864"/>
                              </a:lnTo>
                              <a:lnTo>
                                <a:pt x="315062" y="80777"/>
                              </a:lnTo>
                              <a:lnTo>
                                <a:pt x="314288" y="73754"/>
                              </a:lnTo>
                              <a:lnTo>
                                <a:pt x="313076" y="6246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73.783386pt;margin-top:12.045644pt;width:24.85pt;height:17.3pt;mso-position-horizontal-relative:page;mso-position-vertical-relative:paragraph;z-index:-15494144;mso-wrap-distance-left:0;mso-wrap-distance-right:0" id="docshape1015" coordorigin="3476,241" coordsize="497,346" path="m3742,241l3690,241,3659,241,3632,242,3604,243,3538,248,3527,250,3517,255,3504,265,3494,276,3487,290,3483,306,3481,324,3480,342,3476,378,3476,383,3476,388,3476,440,3476,446,3476,458,3480,498,3482,512,3484,527,3491,547,3504,563,3520,574,3542,580,3543,580,3566,582,3590,584,3616,585,3618,585,3639,586,3682,587,3767,587,3810,586,3834,585,3858,584,3882,582,3907,580,3929,574,3946,562,3958,545,3965,522,3968,502,3969,489,3675,489,3675,339,3969,339,3967,327,3965,313,3963,298,3956,279,3944,264,3928,254,3909,249,3888,247,3867,245,3846,243,3825,242,3742,241xm3969,339l3675,339,3804,414,3675,489,3969,489,3970,483,3970,482,3971,462,3972,440,3972,437,3973,388,3972,379,3972,368,3971,357,3969,339xe" filled="true" fillcolor="#ffffff" stroked="false">
                <v:path arrowok="t"/>
                <v:fill type="solid"/>
                <w10:wrap type="topAndBottom"/>
              </v:shape>
            </w:pict>
          </mc:Fallback>
        </mc:AlternateContent>
      </w:r>
    </w:p>
    <w:p>
      <w:pPr>
        <w:pStyle w:val="BodyText"/>
        <w:rPr>
          <w:rFonts w:ascii="Verdana"/>
          <w:sz w:val="24"/>
        </w:rPr>
      </w:pPr>
    </w:p>
    <w:p>
      <w:pPr>
        <w:pStyle w:val="BodyText"/>
        <w:spacing w:before="178"/>
        <w:rPr>
          <w:rFonts w:ascii="Verdana"/>
          <w:sz w:val="24"/>
        </w:rPr>
      </w:pPr>
    </w:p>
    <w:p>
      <w:pPr>
        <w:spacing w:before="0"/>
        <w:ind w:left="820" w:right="0" w:firstLine="0"/>
        <w:jc w:val="left"/>
        <w:rPr>
          <w:rFonts w:ascii="Tahoma"/>
          <w:b/>
          <w:sz w:val="24"/>
        </w:rPr>
      </w:pPr>
      <w:r>
        <w:rPr>
          <w:rFonts w:ascii="Tahoma"/>
          <w:b/>
          <w:color w:val="FFFFFF"/>
          <w:sz w:val="24"/>
        </w:rPr>
        <w:t>The</w:t>
      </w:r>
      <w:r>
        <w:rPr>
          <w:rFonts w:ascii="Tahoma"/>
          <w:b/>
          <w:color w:val="FFFFFF"/>
          <w:spacing w:val="-6"/>
          <w:sz w:val="24"/>
        </w:rPr>
        <w:t> </w:t>
      </w:r>
      <w:r>
        <w:rPr>
          <w:rFonts w:ascii="Tahoma"/>
          <w:b/>
          <w:color w:val="FFFFFF"/>
          <w:sz w:val="24"/>
        </w:rPr>
        <w:t>Irish</w:t>
      </w:r>
      <w:r>
        <w:rPr>
          <w:rFonts w:ascii="Tahoma"/>
          <w:b/>
          <w:color w:val="FFFFFF"/>
          <w:spacing w:val="-6"/>
          <w:sz w:val="24"/>
        </w:rPr>
        <w:t> </w:t>
      </w:r>
      <w:r>
        <w:rPr>
          <w:rFonts w:ascii="Tahoma"/>
          <w:b/>
          <w:color w:val="FFFFFF"/>
          <w:sz w:val="24"/>
        </w:rPr>
        <w:t>Human</w:t>
      </w:r>
      <w:r>
        <w:rPr>
          <w:rFonts w:ascii="Tahoma"/>
          <w:b/>
          <w:color w:val="FFFFFF"/>
          <w:spacing w:val="-6"/>
          <w:sz w:val="24"/>
        </w:rPr>
        <w:t> </w:t>
      </w:r>
      <w:r>
        <w:rPr>
          <w:rFonts w:ascii="Tahoma"/>
          <w:b/>
          <w:color w:val="FFFFFF"/>
          <w:sz w:val="24"/>
        </w:rPr>
        <w:t>Rights</w:t>
      </w:r>
      <w:r>
        <w:rPr>
          <w:rFonts w:ascii="Tahoma"/>
          <w:b/>
          <w:color w:val="FFFFFF"/>
          <w:spacing w:val="-6"/>
          <w:sz w:val="24"/>
        </w:rPr>
        <w:t> </w:t>
      </w:r>
      <w:r>
        <w:rPr>
          <w:rFonts w:ascii="Tahoma"/>
          <w:b/>
          <w:color w:val="FFFFFF"/>
          <w:sz w:val="24"/>
        </w:rPr>
        <w:t>and</w:t>
      </w:r>
      <w:r>
        <w:rPr>
          <w:rFonts w:ascii="Tahoma"/>
          <w:b/>
          <w:color w:val="FFFFFF"/>
          <w:spacing w:val="-6"/>
          <w:sz w:val="24"/>
        </w:rPr>
        <w:t> </w:t>
      </w:r>
      <w:r>
        <w:rPr>
          <w:rFonts w:ascii="Tahoma"/>
          <w:b/>
          <w:color w:val="FFFFFF"/>
          <w:sz w:val="24"/>
        </w:rPr>
        <w:t>Equality</w:t>
      </w:r>
      <w:r>
        <w:rPr>
          <w:rFonts w:ascii="Tahoma"/>
          <w:b/>
          <w:color w:val="FFFFFF"/>
          <w:spacing w:val="-6"/>
          <w:sz w:val="24"/>
        </w:rPr>
        <w:t> </w:t>
      </w:r>
      <w:r>
        <w:rPr>
          <w:rFonts w:ascii="Tahoma"/>
          <w:b/>
          <w:color w:val="FFFFFF"/>
          <w:spacing w:val="-2"/>
          <w:sz w:val="24"/>
        </w:rPr>
        <w:t>Commission</w:t>
      </w:r>
    </w:p>
    <w:p>
      <w:pPr>
        <w:spacing w:before="30"/>
        <w:ind w:left="820" w:right="0" w:firstLine="0"/>
        <w:jc w:val="left"/>
        <w:rPr>
          <w:rFonts w:ascii="Tahoma" w:hAnsi="Tahoma"/>
          <w:b/>
          <w:sz w:val="24"/>
        </w:rPr>
      </w:pPr>
      <w:r>
        <w:rPr>
          <w:rFonts w:ascii="Tahoma" w:hAnsi="Tahoma"/>
          <w:b/>
          <w:color w:val="FFFFFF"/>
          <w:sz w:val="24"/>
        </w:rPr>
        <w:t>Coimisiún</w:t>
      </w:r>
      <w:r>
        <w:rPr>
          <w:rFonts w:ascii="Tahoma" w:hAnsi="Tahoma"/>
          <w:b/>
          <w:color w:val="FFFFFF"/>
          <w:spacing w:val="-1"/>
          <w:sz w:val="24"/>
        </w:rPr>
        <w:t> </w:t>
      </w:r>
      <w:r>
        <w:rPr>
          <w:rFonts w:ascii="Tahoma" w:hAnsi="Tahoma"/>
          <w:b/>
          <w:color w:val="FFFFFF"/>
          <w:sz w:val="24"/>
        </w:rPr>
        <w:t>na</w:t>
      </w:r>
      <w:r>
        <w:rPr>
          <w:rFonts w:ascii="Tahoma" w:hAnsi="Tahoma"/>
          <w:b/>
          <w:color w:val="FFFFFF"/>
          <w:spacing w:val="-1"/>
          <w:sz w:val="24"/>
        </w:rPr>
        <w:t> </w:t>
      </w:r>
      <w:r>
        <w:rPr>
          <w:rFonts w:ascii="Tahoma" w:hAnsi="Tahoma"/>
          <w:b/>
          <w:color w:val="FFFFFF"/>
          <w:sz w:val="24"/>
        </w:rPr>
        <w:t>hÉireann um</w:t>
      </w:r>
      <w:r>
        <w:rPr>
          <w:rFonts w:ascii="Tahoma" w:hAnsi="Tahoma"/>
          <w:b/>
          <w:color w:val="FFFFFF"/>
          <w:spacing w:val="-1"/>
          <w:sz w:val="24"/>
        </w:rPr>
        <w:t> </w:t>
      </w:r>
      <w:r>
        <w:rPr>
          <w:rFonts w:ascii="Tahoma" w:hAnsi="Tahoma"/>
          <w:b/>
          <w:color w:val="FFFFFF"/>
          <w:sz w:val="24"/>
        </w:rPr>
        <w:t>Chearta an</w:t>
      </w:r>
      <w:r>
        <w:rPr>
          <w:rFonts w:ascii="Tahoma" w:hAnsi="Tahoma"/>
          <w:b/>
          <w:color w:val="FFFFFF"/>
          <w:spacing w:val="-1"/>
          <w:sz w:val="24"/>
        </w:rPr>
        <w:t> </w:t>
      </w:r>
      <w:r>
        <w:rPr>
          <w:rFonts w:ascii="Tahoma" w:hAnsi="Tahoma"/>
          <w:b/>
          <w:color w:val="FFFFFF"/>
          <w:sz w:val="24"/>
        </w:rPr>
        <w:t>Duine agus</w:t>
      </w:r>
      <w:r>
        <w:rPr>
          <w:rFonts w:ascii="Tahoma" w:hAnsi="Tahoma"/>
          <w:b/>
          <w:color w:val="FFFFFF"/>
          <w:spacing w:val="-1"/>
          <w:sz w:val="24"/>
        </w:rPr>
        <w:t> </w:t>
      </w:r>
      <w:r>
        <w:rPr>
          <w:rFonts w:ascii="Tahoma" w:hAnsi="Tahoma"/>
          <w:b/>
          <w:color w:val="FFFFFF"/>
          <w:spacing w:val="-2"/>
          <w:sz w:val="24"/>
        </w:rPr>
        <w:t>Comhionannas</w:t>
      </w:r>
    </w:p>
    <w:p>
      <w:pPr>
        <w:spacing w:line="264" w:lineRule="auto" w:before="30"/>
        <w:ind w:left="820" w:right="4324" w:firstLine="0"/>
        <w:jc w:val="left"/>
        <w:rPr>
          <w:rFonts w:ascii="Verdana" w:hAnsi="Verdana"/>
          <w:sz w:val="24"/>
        </w:rPr>
      </w:pPr>
      <w:r>
        <w:rPr>
          <w:rFonts w:ascii="Verdana" w:hAnsi="Verdana"/>
          <w:color w:val="FFFFFF"/>
          <w:spacing w:val="-4"/>
          <w:sz w:val="24"/>
        </w:rPr>
        <w:t>16-22</w:t>
      </w:r>
      <w:r>
        <w:rPr>
          <w:rFonts w:ascii="Verdana" w:hAnsi="Verdana"/>
          <w:color w:val="FFFFFF"/>
          <w:spacing w:val="-16"/>
          <w:sz w:val="24"/>
        </w:rPr>
        <w:t> </w:t>
      </w:r>
      <w:r>
        <w:rPr>
          <w:rFonts w:ascii="Verdana" w:hAnsi="Verdana"/>
          <w:color w:val="FFFFFF"/>
          <w:spacing w:val="-4"/>
          <w:sz w:val="24"/>
        </w:rPr>
        <w:t>Sráid</w:t>
      </w:r>
      <w:r>
        <w:rPr>
          <w:rFonts w:ascii="Verdana" w:hAnsi="Verdana"/>
          <w:color w:val="FFFFFF"/>
          <w:spacing w:val="-16"/>
          <w:sz w:val="24"/>
        </w:rPr>
        <w:t> </w:t>
      </w:r>
      <w:r>
        <w:rPr>
          <w:rFonts w:ascii="Verdana" w:hAnsi="Verdana"/>
          <w:color w:val="FFFFFF"/>
          <w:spacing w:val="-4"/>
          <w:sz w:val="24"/>
        </w:rPr>
        <w:t>na</w:t>
      </w:r>
      <w:r>
        <w:rPr>
          <w:rFonts w:ascii="Verdana" w:hAnsi="Verdana"/>
          <w:color w:val="FFFFFF"/>
          <w:spacing w:val="-16"/>
          <w:sz w:val="24"/>
        </w:rPr>
        <w:t> </w:t>
      </w:r>
      <w:r>
        <w:rPr>
          <w:rFonts w:ascii="Verdana" w:hAnsi="Verdana"/>
          <w:color w:val="FFFFFF"/>
          <w:spacing w:val="-4"/>
          <w:sz w:val="24"/>
        </w:rPr>
        <w:t>Faiche,</w:t>
      </w:r>
      <w:r>
        <w:rPr>
          <w:rFonts w:ascii="Verdana" w:hAnsi="Verdana"/>
          <w:color w:val="FFFFFF"/>
          <w:spacing w:val="-16"/>
          <w:sz w:val="24"/>
        </w:rPr>
        <w:t> </w:t>
      </w:r>
      <w:r>
        <w:rPr>
          <w:rFonts w:ascii="Verdana" w:hAnsi="Verdana"/>
          <w:color w:val="FFFFFF"/>
          <w:spacing w:val="-4"/>
          <w:sz w:val="24"/>
        </w:rPr>
        <w:t>Baile</w:t>
      </w:r>
      <w:r>
        <w:rPr>
          <w:rFonts w:ascii="Verdana" w:hAnsi="Verdana"/>
          <w:color w:val="FFFFFF"/>
          <w:spacing w:val="-16"/>
          <w:sz w:val="24"/>
        </w:rPr>
        <w:t> </w:t>
      </w:r>
      <w:r>
        <w:rPr>
          <w:rFonts w:ascii="Verdana" w:hAnsi="Verdana"/>
          <w:color w:val="FFFFFF"/>
          <w:spacing w:val="-4"/>
          <w:sz w:val="24"/>
        </w:rPr>
        <w:t>Átha</w:t>
      </w:r>
      <w:r>
        <w:rPr>
          <w:rFonts w:ascii="Verdana" w:hAnsi="Verdana"/>
          <w:color w:val="FFFFFF"/>
          <w:spacing w:val="-16"/>
          <w:sz w:val="24"/>
        </w:rPr>
        <w:t> </w:t>
      </w:r>
      <w:r>
        <w:rPr>
          <w:rFonts w:ascii="Verdana" w:hAnsi="Verdana"/>
          <w:color w:val="FFFFFF"/>
          <w:spacing w:val="-4"/>
          <w:sz w:val="24"/>
        </w:rPr>
        <w:t>Cliath</w:t>
      </w:r>
      <w:r>
        <w:rPr>
          <w:rFonts w:ascii="Verdana" w:hAnsi="Verdana"/>
          <w:color w:val="FFFFFF"/>
          <w:spacing w:val="-16"/>
          <w:sz w:val="24"/>
        </w:rPr>
        <w:t> </w:t>
      </w:r>
      <w:r>
        <w:rPr>
          <w:rFonts w:ascii="Verdana" w:hAnsi="Verdana"/>
          <w:color w:val="FFFFFF"/>
          <w:spacing w:val="-4"/>
          <w:sz w:val="24"/>
        </w:rPr>
        <w:t>7,</w:t>
      </w:r>
      <w:r>
        <w:rPr>
          <w:rFonts w:ascii="Verdana" w:hAnsi="Verdana"/>
          <w:color w:val="FFFFFF"/>
          <w:spacing w:val="-16"/>
          <w:sz w:val="24"/>
        </w:rPr>
        <w:t> </w:t>
      </w:r>
      <w:r>
        <w:rPr>
          <w:rFonts w:ascii="Verdana" w:hAnsi="Verdana"/>
          <w:color w:val="FFFFFF"/>
          <w:spacing w:val="-4"/>
          <w:sz w:val="24"/>
        </w:rPr>
        <w:t>D07</w:t>
      </w:r>
      <w:r>
        <w:rPr>
          <w:rFonts w:ascii="Verdana" w:hAnsi="Verdana"/>
          <w:color w:val="FFFFFF"/>
          <w:spacing w:val="-16"/>
          <w:sz w:val="24"/>
        </w:rPr>
        <w:t> </w:t>
      </w:r>
      <w:r>
        <w:rPr>
          <w:rFonts w:ascii="Verdana" w:hAnsi="Verdana"/>
          <w:color w:val="FFFFFF"/>
          <w:spacing w:val="-4"/>
          <w:sz w:val="24"/>
        </w:rPr>
        <w:t>CR20 </w:t>
      </w:r>
      <w:r>
        <w:rPr>
          <w:rFonts w:ascii="Verdana" w:hAnsi="Verdana"/>
          <w:color w:val="FFFFFF"/>
          <w:sz w:val="24"/>
        </w:rPr>
        <w:t>16-22</w:t>
      </w:r>
      <w:r>
        <w:rPr>
          <w:rFonts w:ascii="Verdana" w:hAnsi="Verdana"/>
          <w:color w:val="FFFFFF"/>
          <w:spacing w:val="-18"/>
          <w:sz w:val="24"/>
        </w:rPr>
        <w:t> </w:t>
      </w:r>
      <w:r>
        <w:rPr>
          <w:rFonts w:ascii="Verdana" w:hAnsi="Verdana"/>
          <w:color w:val="FFFFFF"/>
          <w:sz w:val="24"/>
        </w:rPr>
        <w:t>Green</w:t>
      </w:r>
      <w:r>
        <w:rPr>
          <w:rFonts w:ascii="Verdana" w:hAnsi="Verdana"/>
          <w:color w:val="FFFFFF"/>
          <w:spacing w:val="-18"/>
          <w:sz w:val="24"/>
        </w:rPr>
        <w:t> </w:t>
      </w:r>
      <w:r>
        <w:rPr>
          <w:rFonts w:ascii="Verdana" w:hAnsi="Verdana"/>
          <w:color w:val="FFFFFF"/>
          <w:sz w:val="24"/>
        </w:rPr>
        <w:t>Street,</w:t>
      </w:r>
      <w:r>
        <w:rPr>
          <w:rFonts w:ascii="Verdana" w:hAnsi="Verdana"/>
          <w:color w:val="FFFFFF"/>
          <w:spacing w:val="-18"/>
          <w:sz w:val="24"/>
        </w:rPr>
        <w:t> </w:t>
      </w:r>
      <w:r>
        <w:rPr>
          <w:rFonts w:ascii="Verdana" w:hAnsi="Verdana"/>
          <w:color w:val="FFFFFF"/>
          <w:sz w:val="24"/>
        </w:rPr>
        <w:t>Dublin</w:t>
      </w:r>
      <w:r>
        <w:rPr>
          <w:rFonts w:ascii="Verdana" w:hAnsi="Verdana"/>
          <w:color w:val="FFFFFF"/>
          <w:spacing w:val="-18"/>
          <w:sz w:val="24"/>
        </w:rPr>
        <w:t> </w:t>
      </w:r>
      <w:r>
        <w:rPr>
          <w:rFonts w:ascii="Verdana" w:hAnsi="Verdana"/>
          <w:color w:val="FFFFFF"/>
          <w:sz w:val="24"/>
        </w:rPr>
        <w:t>7,</w:t>
      </w:r>
      <w:r>
        <w:rPr>
          <w:rFonts w:ascii="Verdana" w:hAnsi="Verdana"/>
          <w:color w:val="FFFFFF"/>
          <w:spacing w:val="-18"/>
          <w:sz w:val="24"/>
        </w:rPr>
        <w:t> </w:t>
      </w:r>
      <w:r>
        <w:rPr>
          <w:rFonts w:ascii="Verdana" w:hAnsi="Verdana"/>
          <w:color w:val="FFFFFF"/>
          <w:sz w:val="24"/>
        </w:rPr>
        <w:t>D07</w:t>
      </w:r>
      <w:r>
        <w:rPr>
          <w:rFonts w:ascii="Verdana" w:hAnsi="Verdana"/>
          <w:color w:val="FFFFFF"/>
          <w:spacing w:val="-18"/>
          <w:sz w:val="24"/>
        </w:rPr>
        <w:t> </w:t>
      </w:r>
      <w:r>
        <w:rPr>
          <w:rFonts w:ascii="Verdana" w:hAnsi="Verdana"/>
          <w:color w:val="FFFFFF"/>
          <w:sz w:val="24"/>
        </w:rPr>
        <w:t>CR20 </w:t>
      </w:r>
      <w:r>
        <w:rPr>
          <w:rFonts w:ascii="Tahoma" w:hAnsi="Tahoma"/>
          <w:b/>
          <w:color w:val="FFFFFF"/>
          <w:sz w:val="24"/>
        </w:rPr>
        <w:t>Íosghlao/Lo-call </w:t>
      </w:r>
      <w:r>
        <w:rPr>
          <w:rFonts w:ascii="Verdana" w:hAnsi="Verdana"/>
          <w:color w:val="FFFFFF"/>
          <w:sz w:val="24"/>
        </w:rPr>
        <w:t>1890 245 245</w:t>
      </w:r>
    </w:p>
    <w:p>
      <w:pPr>
        <w:spacing w:line="264" w:lineRule="auto" w:before="0"/>
        <w:ind w:left="820" w:right="5462" w:firstLine="0"/>
        <w:jc w:val="left"/>
        <w:rPr>
          <w:rFonts w:ascii="Verdana" w:hAnsi="Verdana"/>
          <w:sz w:val="24"/>
        </w:rPr>
      </w:pPr>
      <w:r>
        <w:rPr>
          <w:rFonts w:ascii="Tahoma" w:hAnsi="Tahoma"/>
          <w:b/>
          <w:color w:val="FFFFFF"/>
          <w:spacing w:val="-2"/>
          <w:sz w:val="24"/>
        </w:rPr>
        <w:t>Guthán/Phone</w:t>
      </w:r>
      <w:r>
        <w:rPr>
          <w:rFonts w:ascii="Tahoma" w:hAnsi="Tahoma"/>
          <w:b/>
          <w:color w:val="FFFFFF"/>
          <w:spacing w:val="-16"/>
          <w:sz w:val="24"/>
        </w:rPr>
        <w:t> </w:t>
      </w:r>
      <w:r>
        <w:rPr>
          <w:rFonts w:ascii="Verdana" w:hAnsi="Verdana"/>
          <w:color w:val="FFFFFF"/>
          <w:spacing w:val="-2"/>
          <w:sz w:val="24"/>
        </w:rPr>
        <w:t>+</w:t>
      </w:r>
      <w:r>
        <w:rPr>
          <w:rFonts w:ascii="Verdana" w:hAnsi="Verdana"/>
          <w:color w:val="FFFFFF"/>
          <w:spacing w:val="-19"/>
          <w:sz w:val="24"/>
        </w:rPr>
        <w:t> </w:t>
      </w:r>
      <w:r>
        <w:rPr>
          <w:rFonts w:ascii="Verdana" w:hAnsi="Verdana"/>
          <w:color w:val="FFFFFF"/>
          <w:spacing w:val="-2"/>
          <w:sz w:val="24"/>
        </w:rPr>
        <w:t>353</w:t>
      </w:r>
      <w:r>
        <w:rPr>
          <w:rFonts w:ascii="Verdana" w:hAnsi="Verdana"/>
          <w:color w:val="FFFFFF"/>
          <w:spacing w:val="-19"/>
          <w:sz w:val="24"/>
        </w:rPr>
        <w:t> </w:t>
      </w:r>
      <w:r>
        <w:rPr>
          <w:rFonts w:ascii="Verdana" w:hAnsi="Verdana"/>
          <w:color w:val="FFFFFF"/>
          <w:spacing w:val="-2"/>
          <w:sz w:val="24"/>
        </w:rPr>
        <w:t>(0)</w:t>
      </w:r>
      <w:r>
        <w:rPr>
          <w:rFonts w:ascii="Verdana" w:hAnsi="Verdana"/>
          <w:color w:val="FFFFFF"/>
          <w:spacing w:val="-19"/>
          <w:sz w:val="24"/>
        </w:rPr>
        <w:t> </w:t>
      </w:r>
      <w:r>
        <w:rPr>
          <w:rFonts w:ascii="Verdana" w:hAnsi="Verdana"/>
          <w:color w:val="FFFFFF"/>
          <w:spacing w:val="-2"/>
          <w:w w:val="95"/>
          <w:sz w:val="24"/>
        </w:rPr>
        <w:t>1</w:t>
      </w:r>
      <w:r>
        <w:rPr>
          <w:rFonts w:ascii="Verdana" w:hAnsi="Verdana"/>
          <w:color w:val="FFFFFF"/>
          <w:spacing w:val="-15"/>
          <w:w w:val="95"/>
          <w:sz w:val="24"/>
        </w:rPr>
        <w:t> </w:t>
      </w:r>
      <w:r>
        <w:rPr>
          <w:rFonts w:ascii="Verdana" w:hAnsi="Verdana"/>
          <w:color w:val="FFFFFF"/>
          <w:spacing w:val="-2"/>
          <w:sz w:val="24"/>
        </w:rPr>
        <w:t>858</w:t>
      </w:r>
      <w:r>
        <w:rPr>
          <w:rFonts w:ascii="Verdana" w:hAnsi="Verdana"/>
          <w:color w:val="FFFFFF"/>
          <w:spacing w:val="-19"/>
          <w:sz w:val="24"/>
        </w:rPr>
        <w:t> </w:t>
      </w:r>
      <w:r>
        <w:rPr>
          <w:rFonts w:ascii="Verdana" w:hAnsi="Verdana"/>
          <w:color w:val="FFFFFF"/>
          <w:spacing w:val="-2"/>
          <w:sz w:val="24"/>
        </w:rPr>
        <w:t>3000 </w:t>
      </w:r>
      <w:r>
        <w:rPr>
          <w:rFonts w:ascii="Tahoma" w:hAnsi="Tahoma"/>
          <w:b/>
          <w:color w:val="FFFFFF"/>
          <w:sz w:val="24"/>
        </w:rPr>
        <w:t>Ríomhphost/Email </w:t>
      </w:r>
      <w:hyperlink r:id="rId197">
        <w:r>
          <w:rPr>
            <w:rFonts w:ascii="Verdana" w:hAnsi="Verdana"/>
            <w:color w:val="FFFFFF"/>
            <w:sz w:val="24"/>
          </w:rPr>
          <w:t>info@ihrec.ie</w:t>
        </w:r>
      </w:hyperlink>
      <w:r>
        <w:rPr>
          <w:rFonts w:ascii="Verdana" w:hAnsi="Verdana"/>
          <w:color w:val="FFFFFF"/>
          <w:sz w:val="24"/>
        </w:rPr>
        <w:t> </w:t>
      </w:r>
      <w:r>
        <w:rPr>
          <w:rFonts w:ascii="Tahoma" w:hAnsi="Tahoma"/>
          <w:b/>
          <w:color w:val="FFFFFF"/>
          <w:sz w:val="24"/>
        </w:rPr>
        <w:t>Idirlíon/Web </w:t>
      </w:r>
      <w:hyperlink r:id="rId198">
        <w:r>
          <w:rPr>
            <w:rFonts w:ascii="Verdana" w:hAnsi="Verdana"/>
            <w:color w:val="FFFFFF"/>
            <w:sz w:val="24"/>
          </w:rPr>
          <w:t>www.ihrec.ie</w:t>
        </w:r>
      </w:hyperlink>
    </w:p>
    <w:p>
      <w:pPr>
        <w:pStyle w:val="BodyText"/>
        <w:rPr>
          <w:rFonts w:ascii="Verdana"/>
          <w:sz w:val="15"/>
        </w:rPr>
      </w:pPr>
      <w:r>
        <w:rPr/>
        <w:drawing>
          <wp:anchor distT="0" distB="0" distL="0" distR="0" allowOverlap="1" layoutInCell="1" locked="0" behindDoc="1" simplePos="0" relativeHeight="487822848">
            <wp:simplePos x="0" y="0"/>
            <wp:positionH relativeFrom="page">
              <wp:posOffset>711700</wp:posOffset>
            </wp:positionH>
            <wp:positionV relativeFrom="paragraph">
              <wp:posOffset>131182</wp:posOffset>
            </wp:positionV>
            <wp:extent cx="228348" cy="233362"/>
            <wp:effectExtent l="0" t="0" r="0" b="0"/>
            <wp:wrapTopAndBottom/>
            <wp:docPr id="1240" name="Image 1240"/>
            <wp:cNvGraphicFramePr>
              <a:graphicFrameLocks/>
            </wp:cNvGraphicFramePr>
            <a:graphic>
              <a:graphicData uri="http://schemas.openxmlformats.org/drawingml/2006/picture">
                <pic:pic>
                  <pic:nvPicPr>
                    <pic:cNvPr id="1240" name="Image 1240"/>
                    <pic:cNvPicPr/>
                  </pic:nvPicPr>
                  <pic:blipFill>
                    <a:blip r:embed="rId193" cstate="print"/>
                    <a:stretch>
                      <a:fillRect/>
                    </a:stretch>
                  </pic:blipFill>
                  <pic:spPr>
                    <a:xfrm>
                      <a:off x="0" y="0"/>
                      <a:ext cx="228348" cy="233362"/>
                    </a:xfrm>
                    <a:prstGeom prst="rect">
                      <a:avLst/>
                    </a:prstGeom>
                  </pic:spPr>
                </pic:pic>
              </a:graphicData>
            </a:graphic>
          </wp:anchor>
        </w:drawing>
      </w:r>
      <w:r>
        <w:rPr/>
        <w:drawing>
          <wp:anchor distT="0" distB="0" distL="0" distR="0" allowOverlap="1" layoutInCell="1" locked="0" behindDoc="1" simplePos="0" relativeHeight="487823360">
            <wp:simplePos x="0" y="0"/>
            <wp:positionH relativeFrom="page">
              <wp:posOffset>1087269</wp:posOffset>
            </wp:positionH>
            <wp:positionV relativeFrom="paragraph">
              <wp:posOffset>131184</wp:posOffset>
            </wp:positionV>
            <wp:extent cx="233293" cy="233362"/>
            <wp:effectExtent l="0" t="0" r="0" b="0"/>
            <wp:wrapTopAndBottom/>
            <wp:docPr id="1241" name="Image 1241"/>
            <wp:cNvGraphicFramePr>
              <a:graphicFrameLocks/>
            </wp:cNvGraphicFramePr>
            <a:graphic>
              <a:graphicData uri="http://schemas.openxmlformats.org/drawingml/2006/picture">
                <pic:pic>
                  <pic:nvPicPr>
                    <pic:cNvPr id="1241" name="Image 1241"/>
                    <pic:cNvPicPr/>
                  </pic:nvPicPr>
                  <pic:blipFill>
                    <a:blip r:embed="rId199" cstate="print"/>
                    <a:stretch>
                      <a:fillRect/>
                    </a:stretch>
                  </pic:blipFill>
                  <pic:spPr>
                    <a:xfrm>
                      <a:off x="0" y="0"/>
                      <a:ext cx="233293" cy="233362"/>
                    </a:xfrm>
                    <a:prstGeom prst="rect">
                      <a:avLst/>
                    </a:prstGeom>
                  </pic:spPr>
                </pic:pic>
              </a:graphicData>
            </a:graphic>
          </wp:anchor>
        </w:drawing>
      </w:r>
      <w:r>
        <w:rPr/>
        <w:drawing>
          <wp:anchor distT="0" distB="0" distL="0" distR="0" allowOverlap="1" layoutInCell="1" locked="0" behindDoc="1" simplePos="0" relativeHeight="487823872">
            <wp:simplePos x="0" y="0"/>
            <wp:positionH relativeFrom="page">
              <wp:posOffset>1460430</wp:posOffset>
            </wp:positionH>
            <wp:positionV relativeFrom="paragraph">
              <wp:posOffset>131254</wp:posOffset>
            </wp:positionV>
            <wp:extent cx="233395" cy="233362"/>
            <wp:effectExtent l="0" t="0" r="0" b="0"/>
            <wp:wrapTopAndBottom/>
            <wp:docPr id="1242" name="Image 1242"/>
            <wp:cNvGraphicFramePr>
              <a:graphicFrameLocks/>
            </wp:cNvGraphicFramePr>
            <a:graphic>
              <a:graphicData uri="http://schemas.openxmlformats.org/drawingml/2006/picture">
                <pic:pic>
                  <pic:nvPicPr>
                    <pic:cNvPr id="1242" name="Image 1242"/>
                    <pic:cNvPicPr/>
                  </pic:nvPicPr>
                  <pic:blipFill>
                    <a:blip r:embed="rId195" cstate="print"/>
                    <a:stretch>
                      <a:fillRect/>
                    </a:stretch>
                  </pic:blipFill>
                  <pic:spPr>
                    <a:xfrm>
                      <a:off x="0" y="0"/>
                      <a:ext cx="233395" cy="233362"/>
                    </a:xfrm>
                    <a:prstGeom prst="rect">
                      <a:avLst/>
                    </a:prstGeom>
                  </pic:spPr>
                </pic:pic>
              </a:graphicData>
            </a:graphic>
          </wp:anchor>
        </w:drawing>
      </w:r>
      <w:r>
        <w:rPr/>
        <w:drawing>
          <wp:anchor distT="0" distB="0" distL="0" distR="0" allowOverlap="1" layoutInCell="1" locked="0" behindDoc="1" simplePos="0" relativeHeight="487824384">
            <wp:simplePos x="0" y="0"/>
            <wp:positionH relativeFrom="page">
              <wp:posOffset>1833690</wp:posOffset>
            </wp:positionH>
            <wp:positionV relativeFrom="paragraph">
              <wp:posOffset>131196</wp:posOffset>
            </wp:positionV>
            <wp:extent cx="233345" cy="233362"/>
            <wp:effectExtent l="0" t="0" r="0" b="0"/>
            <wp:wrapTopAndBottom/>
            <wp:docPr id="1243" name="Image 1243"/>
            <wp:cNvGraphicFramePr>
              <a:graphicFrameLocks/>
            </wp:cNvGraphicFramePr>
            <a:graphic>
              <a:graphicData uri="http://schemas.openxmlformats.org/drawingml/2006/picture">
                <pic:pic>
                  <pic:nvPicPr>
                    <pic:cNvPr id="1243" name="Image 1243"/>
                    <pic:cNvPicPr/>
                  </pic:nvPicPr>
                  <pic:blipFill>
                    <a:blip r:embed="rId200" cstate="print"/>
                    <a:stretch>
                      <a:fillRect/>
                    </a:stretch>
                  </pic:blipFill>
                  <pic:spPr>
                    <a:xfrm>
                      <a:off x="0" y="0"/>
                      <a:ext cx="233345" cy="233362"/>
                    </a:xfrm>
                    <a:prstGeom prst="rect">
                      <a:avLst/>
                    </a:prstGeom>
                  </pic:spPr>
                </pic:pic>
              </a:graphicData>
            </a:graphic>
          </wp:anchor>
        </w:drawing>
      </w:r>
      <w:r>
        <w:rPr/>
        <mc:AlternateContent>
          <mc:Choice Requires="wps">
            <w:drawing>
              <wp:anchor distT="0" distB="0" distL="0" distR="0" allowOverlap="1" layoutInCell="1" locked="0" behindDoc="1" simplePos="0" relativeHeight="487824896">
                <wp:simplePos x="0" y="0"/>
                <wp:positionH relativeFrom="page">
                  <wp:posOffset>2207043</wp:posOffset>
                </wp:positionH>
                <wp:positionV relativeFrom="paragraph">
                  <wp:posOffset>131247</wp:posOffset>
                </wp:positionV>
                <wp:extent cx="315595" cy="219710"/>
                <wp:effectExtent l="0" t="0" r="0" b="0"/>
                <wp:wrapTopAndBottom/>
                <wp:docPr id="1244" name="Graphic 1244"/>
                <wp:cNvGraphicFramePr>
                  <a:graphicFrameLocks/>
                </wp:cNvGraphicFramePr>
                <a:graphic>
                  <a:graphicData uri="http://schemas.microsoft.com/office/word/2010/wordprocessingShape">
                    <wps:wsp>
                      <wps:cNvPr id="1244" name="Graphic 1244"/>
                      <wps:cNvSpPr/>
                      <wps:spPr>
                        <a:xfrm>
                          <a:off x="0" y="0"/>
                          <a:ext cx="315595" cy="219710"/>
                        </a:xfrm>
                        <a:custGeom>
                          <a:avLst/>
                          <a:gdLst/>
                          <a:ahLst/>
                          <a:cxnLst/>
                          <a:rect l="l" t="t" r="r" b="b"/>
                          <a:pathLst>
                            <a:path w="315595" h="219710">
                              <a:moveTo>
                                <a:pt x="169081" y="0"/>
                              </a:moveTo>
                              <a:lnTo>
                                <a:pt x="135966" y="0"/>
                              </a:lnTo>
                              <a:lnTo>
                                <a:pt x="116365" y="157"/>
                              </a:lnTo>
                              <a:lnTo>
                                <a:pt x="39771" y="4259"/>
                              </a:lnTo>
                              <a:lnTo>
                                <a:pt x="7259" y="31094"/>
                              </a:lnTo>
                              <a:lnTo>
                                <a:pt x="515" y="87025"/>
                              </a:lnTo>
                              <a:lnTo>
                                <a:pt x="223" y="90060"/>
                              </a:lnTo>
                              <a:lnTo>
                                <a:pt x="58" y="93121"/>
                              </a:lnTo>
                              <a:lnTo>
                                <a:pt x="0" y="126128"/>
                              </a:lnTo>
                              <a:lnTo>
                                <a:pt x="261" y="130471"/>
                              </a:lnTo>
                              <a:lnTo>
                                <a:pt x="452" y="137660"/>
                              </a:lnTo>
                              <a:lnTo>
                                <a:pt x="5570" y="181475"/>
                              </a:lnTo>
                              <a:lnTo>
                                <a:pt x="42290" y="215117"/>
                              </a:lnTo>
                              <a:lnTo>
                                <a:pt x="43044" y="215117"/>
                              </a:lnTo>
                              <a:lnTo>
                                <a:pt x="57245" y="216452"/>
                              </a:lnTo>
                              <a:lnTo>
                                <a:pt x="72686" y="217738"/>
                              </a:lnTo>
                              <a:lnTo>
                                <a:pt x="89258" y="218798"/>
                              </a:lnTo>
                              <a:lnTo>
                                <a:pt x="90127" y="218798"/>
                              </a:lnTo>
                              <a:lnTo>
                                <a:pt x="103954" y="219295"/>
                              </a:lnTo>
                              <a:lnTo>
                                <a:pt x="130839" y="219668"/>
                              </a:lnTo>
                              <a:lnTo>
                                <a:pt x="184997" y="219668"/>
                              </a:lnTo>
                              <a:lnTo>
                                <a:pt x="227510" y="218798"/>
                              </a:lnTo>
                              <a:lnTo>
                                <a:pt x="273591" y="215117"/>
                              </a:lnTo>
                              <a:lnTo>
                                <a:pt x="306311" y="193141"/>
                              </a:lnTo>
                              <a:lnTo>
                                <a:pt x="313362" y="157306"/>
                              </a:lnTo>
                              <a:lnTo>
                                <a:pt x="126372" y="157306"/>
                              </a:lnTo>
                              <a:lnTo>
                                <a:pt x="126372" y="62463"/>
                              </a:lnTo>
                              <a:lnTo>
                                <a:pt x="313082" y="62463"/>
                              </a:lnTo>
                              <a:lnTo>
                                <a:pt x="312246" y="54924"/>
                              </a:lnTo>
                              <a:lnTo>
                                <a:pt x="297606" y="14809"/>
                              </a:lnTo>
                              <a:lnTo>
                                <a:pt x="248529" y="2332"/>
                              </a:lnTo>
                              <a:lnTo>
                                <a:pt x="221787" y="804"/>
                              </a:lnTo>
                              <a:lnTo>
                                <a:pt x="169081" y="0"/>
                              </a:lnTo>
                              <a:close/>
                            </a:path>
                            <a:path w="315595" h="219710">
                              <a:moveTo>
                                <a:pt x="313082" y="62463"/>
                              </a:moveTo>
                              <a:lnTo>
                                <a:pt x="126372" y="62463"/>
                              </a:lnTo>
                              <a:lnTo>
                                <a:pt x="208694" y="109885"/>
                              </a:lnTo>
                              <a:lnTo>
                                <a:pt x="126372" y="157306"/>
                              </a:lnTo>
                              <a:lnTo>
                                <a:pt x="313362" y="157306"/>
                              </a:lnTo>
                              <a:lnTo>
                                <a:pt x="313693" y="153991"/>
                              </a:lnTo>
                              <a:lnTo>
                                <a:pt x="313769" y="153230"/>
                              </a:lnTo>
                              <a:lnTo>
                                <a:pt x="314609" y="140397"/>
                              </a:lnTo>
                              <a:lnTo>
                                <a:pt x="315196" y="126128"/>
                              </a:lnTo>
                              <a:lnTo>
                                <a:pt x="315475" y="124718"/>
                              </a:lnTo>
                              <a:lnTo>
                                <a:pt x="315542" y="93121"/>
                              </a:lnTo>
                              <a:lnTo>
                                <a:pt x="315221" y="87876"/>
                              </a:lnTo>
                              <a:lnTo>
                                <a:pt x="315069" y="80776"/>
                              </a:lnTo>
                              <a:lnTo>
                                <a:pt x="314294" y="73753"/>
                              </a:lnTo>
                              <a:lnTo>
                                <a:pt x="313082" y="6246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73.78299pt;margin-top:10.334483pt;width:24.85pt;height:17.3pt;mso-position-horizontal-relative:page;mso-position-vertical-relative:paragraph;z-index:-15491584;mso-wrap-distance-left:0;mso-wrap-distance-right:0" id="docshape1016" coordorigin="3476,207" coordsize="497,346" path="m3742,207l3690,207,3659,207,3632,208,3604,209,3538,213,3527,215,3517,221,3504,230,3494,242,3487,256,3483,271,3481,289,3480,307,3476,344,3476,349,3476,353,3476,405,3476,412,3476,423,3480,464,3482,478,3484,492,3491,513,3504,529,3520,540,3542,545,3543,545,3566,548,3590,550,3616,551,3618,551,3639,552,3682,553,3767,553,3810,552,3834,551,3858,550,3882,548,3907,545,3929,540,3946,528,3958,511,3965,488,3968,468,3969,454,3675,454,3675,305,3969,305,3967,293,3965,278,3963,264,3956,245,3944,230,3928,220,3909,215,3888,212,3867,210,3846,209,3825,208,3742,207xm3969,305l3675,305,3804,380,3675,454,3969,454,3970,449,3970,448,3971,428,3972,405,3972,403,3973,353,3972,345,3972,334,3971,323,3969,305xe" filled="true" fillcolor="#ffffff" stroked="false">
                <v:path arrowok="t"/>
                <v:fill type="solid"/>
                <w10:wrap type="topAndBottom"/>
              </v:shape>
            </w:pict>
          </mc:Fallback>
        </mc:AlternateContent>
      </w:r>
    </w:p>
    <w:p>
      <w:pPr>
        <w:pStyle w:val="BodyText"/>
        <w:rPr>
          <w:rFonts w:ascii="Verdana"/>
          <w:sz w:val="24"/>
        </w:rPr>
      </w:pPr>
    </w:p>
    <w:p>
      <w:pPr>
        <w:pStyle w:val="BodyText"/>
        <w:spacing w:before="178"/>
        <w:rPr>
          <w:rFonts w:ascii="Verdana"/>
          <w:sz w:val="24"/>
        </w:rPr>
      </w:pPr>
    </w:p>
    <w:p>
      <w:pPr>
        <w:spacing w:before="1"/>
        <w:ind w:left="820" w:right="0" w:firstLine="0"/>
        <w:jc w:val="left"/>
        <w:rPr>
          <w:rFonts w:ascii="Tahoma"/>
          <w:b/>
          <w:sz w:val="24"/>
        </w:rPr>
      </w:pPr>
      <w:r>
        <w:rPr>
          <w:rFonts w:ascii="Tahoma"/>
          <w:b/>
          <w:color w:val="FFFFFF"/>
          <w:sz w:val="24"/>
        </w:rPr>
        <w:t>Northern</w:t>
      </w:r>
      <w:r>
        <w:rPr>
          <w:rFonts w:ascii="Tahoma"/>
          <w:b/>
          <w:color w:val="FFFFFF"/>
          <w:spacing w:val="-13"/>
          <w:sz w:val="24"/>
        </w:rPr>
        <w:t> </w:t>
      </w:r>
      <w:r>
        <w:rPr>
          <w:rFonts w:ascii="Tahoma"/>
          <w:b/>
          <w:color w:val="FFFFFF"/>
          <w:sz w:val="24"/>
        </w:rPr>
        <w:t>Ireland</w:t>
      </w:r>
      <w:r>
        <w:rPr>
          <w:rFonts w:ascii="Tahoma"/>
          <w:b/>
          <w:color w:val="FFFFFF"/>
          <w:spacing w:val="-13"/>
          <w:sz w:val="24"/>
        </w:rPr>
        <w:t> </w:t>
      </w:r>
      <w:r>
        <w:rPr>
          <w:rFonts w:ascii="Tahoma"/>
          <w:b/>
          <w:color w:val="FFFFFF"/>
          <w:sz w:val="24"/>
        </w:rPr>
        <w:t>Human</w:t>
      </w:r>
      <w:r>
        <w:rPr>
          <w:rFonts w:ascii="Tahoma"/>
          <w:b/>
          <w:color w:val="FFFFFF"/>
          <w:spacing w:val="-12"/>
          <w:sz w:val="24"/>
        </w:rPr>
        <w:t> </w:t>
      </w:r>
      <w:r>
        <w:rPr>
          <w:rFonts w:ascii="Tahoma"/>
          <w:b/>
          <w:color w:val="FFFFFF"/>
          <w:sz w:val="24"/>
        </w:rPr>
        <w:t>Rights</w:t>
      </w:r>
      <w:r>
        <w:rPr>
          <w:rFonts w:ascii="Tahoma"/>
          <w:b/>
          <w:color w:val="FFFFFF"/>
          <w:spacing w:val="-13"/>
          <w:sz w:val="24"/>
        </w:rPr>
        <w:t> </w:t>
      </w:r>
      <w:r>
        <w:rPr>
          <w:rFonts w:ascii="Tahoma"/>
          <w:b/>
          <w:color w:val="FFFFFF"/>
          <w:spacing w:val="-2"/>
          <w:sz w:val="24"/>
        </w:rPr>
        <w:t>Commission</w:t>
      </w:r>
    </w:p>
    <w:p>
      <w:pPr>
        <w:spacing w:before="29"/>
        <w:ind w:left="820" w:right="0" w:firstLine="0"/>
        <w:jc w:val="left"/>
        <w:rPr>
          <w:rFonts w:ascii="Verdana"/>
          <w:sz w:val="24"/>
        </w:rPr>
      </w:pPr>
      <w:r>
        <w:rPr>
          <w:rFonts w:ascii="Verdana"/>
          <w:color w:val="FFFFFF"/>
          <w:spacing w:val="-4"/>
          <w:sz w:val="24"/>
        </w:rPr>
        <w:t>4th</w:t>
      </w:r>
      <w:r>
        <w:rPr>
          <w:rFonts w:ascii="Verdana"/>
          <w:color w:val="FFFFFF"/>
          <w:spacing w:val="-13"/>
          <w:sz w:val="24"/>
        </w:rPr>
        <w:t> </w:t>
      </w:r>
      <w:r>
        <w:rPr>
          <w:rFonts w:ascii="Verdana"/>
          <w:color w:val="FFFFFF"/>
          <w:spacing w:val="-4"/>
          <w:sz w:val="24"/>
        </w:rPr>
        <w:t>Floor</w:t>
      </w:r>
      <w:r>
        <w:rPr>
          <w:rFonts w:ascii="Verdana"/>
          <w:color w:val="FFFFFF"/>
          <w:spacing w:val="-13"/>
          <w:sz w:val="24"/>
        </w:rPr>
        <w:t> </w:t>
      </w:r>
      <w:r>
        <w:rPr>
          <w:rFonts w:ascii="Verdana"/>
          <w:color w:val="FFFFFF"/>
          <w:spacing w:val="-4"/>
          <w:sz w:val="24"/>
        </w:rPr>
        <w:t>Alfred</w:t>
      </w:r>
      <w:r>
        <w:rPr>
          <w:rFonts w:ascii="Verdana"/>
          <w:color w:val="FFFFFF"/>
          <w:spacing w:val="-12"/>
          <w:sz w:val="24"/>
        </w:rPr>
        <w:t> </w:t>
      </w:r>
      <w:r>
        <w:rPr>
          <w:rFonts w:ascii="Verdana"/>
          <w:color w:val="FFFFFF"/>
          <w:spacing w:val="-4"/>
          <w:sz w:val="24"/>
        </w:rPr>
        <w:t>House,</w:t>
      </w:r>
      <w:r>
        <w:rPr>
          <w:rFonts w:ascii="Verdana"/>
          <w:color w:val="FFFFFF"/>
          <w:spacing w:val="-13"/>
          <w:sz w:val="24"/>
        </w:rPr>
        <w:t> </w:t>
      </w:r>
      <w:r>
        <w:rPr>
          <w:rFonts w:ascii="Verdana"/>
          <w:color w:val="FFFFFF"/>
          <w:spacing w:val="-4"/>
          <w:sz w:val="24"/>
        </w:rPr>
        <w:t>19-21</w:t>
      </w:r>
      <w:r>
        <w:rPr>
          <w:rFonts w:ascii="Verdana"/>
          <w:color w:val="FFFFFF"/>
          <w:spacing w:val="-13"/>
          <w:sz w:val="24"/>
        </w:rPr>
        <w:t> </w:t>
      </w:r>
      <w:r>
        <w:rPr>
          <w:rFonts w:ascii="Verdana"/>
          <w:color w:val="FFFFFF"/>
          <w:spacing w:val="-4"/>
          <w:sz w:val="24"/>
        </w:rPr>
        <w:t>Alfred</w:t>
      </w:r>
      <w:r>
        <w:rPr>
          <w:rFonts w:ascii="Verdana"/>
          <w:color w:val="FFFFFF"/>
          <w:spacing w:val="-12"/>
          <w:sz w:val="24"/>
        </w:rPr>
        <w:t> </w:t>
      </w:r>
      <w:r>
        <w:rPr>
          <w:rFonts w:ascii="Verdana"/>
          <w:color w:val="FFFFFF"/>
          <w:spacing w:val="-4"/>
          <w:sz w:val="24"/>
        </w:rPr>
        <w:t>Street,</w:t>
      </w:r>
      <w:r>
        <w:rPr>
          <w:rFonts w:ascii="Verdana"/>
          <w:color w:val="FFFFFF"/>
          <w:spacing w:val="-13"/>
          <w:sz w:val="24"/>
        </w:rPr>
        <w:t> </w:t>
      </w:r>
      <w:r>
        <w:rPr>
          <w:rFonts w:ascii="Verdana"/>
          <w:color w:val="FFFFFF"/>
          <w:spacing w:val="-4"/>
          <w:sz w:val="24"/>
        </w:rPr>
        <w:t>Belfast,</w:t>
      </w:r>
      <w:r>
        <w:rPr>
          <w:rFonts w:ascii="Verdana"/>
          <w:color w:val="FFFFFF"/>
          <w:spacing w:val="-12"/>
          <w:sz w:val="24"/>
        </w:rPr>
        <w:t> </w:t>
      </w:r>
      <w:r>
        <w:rPr>
          <w:rFonts w:ascii="Verdana"/>
          <w:color w:val="FFFFFF"/>
          <w:spacing w:val="-4"/>
          <w:sz w:val="24"/>
        </w:rPr>
        <w:t>BT2</w:t>
      </w:r>
      <w:r>
        <w:rPr>
          <w:rFonts w:ascii="Verdana"/>
          <w:color w:val="FFFFFF"/>
          <w:spacing w:val="-13"/>
          <w:sz w:val="24"/>
        </w:rPr>
        <w:t> </w:t>
      </w:r>
      <w:r>
        <w:rPr>
          <w:rFonts w:ascii="Verdana"/>
          <w:color w:val="FFFFFF"/>
          <w:spacing w:val="-5"/>
          <w:sz w:val="24"/>
        </w:rPr>
        <w:t>8ED</w:t>
      </w:r>
    </w:p>
    <w:p>
      <w:pPr>
        <w:spacing w:before="28"/>
        <w:ind w:left="820" w:right="0" w:firstLine="0"/>
        <w:jc w:val="left"/>
        <w:rPr>
          <w:rFonts w:ascii="Verdana"/>
          <w:sz w:val="24"/>
        </w:rPr>
      </w:pPr>
      <w:r>
        <w:rPr>
          <w:rFonts w:ascii="Tahoma"/>
          <w:b/>
          <w:color w:val="FFFFFF"/>
          <w:sz w:val="24"/>
        </w:rPr>
        <w:t>Telephone:</w:t>
      </w:r>
      <w:r>
        <w:rPr>
          <w:rFonts w:ascii="Tahoma"/>
          <w:b/>
          <w:color w:val="FFFFFF"/>
          <w:spacing w:val="-15"/>
          <w:sz w:val="24"/>
        </w:rPr>
        <w:t> </w:t>
      </w:r>
      <w:r>
        <w:rPr>
          <w:rFonts w:ascii="Verdana"/>
          <w:color w:val="FFFFFF"/>
          <w:sz w:val="24"/>
        </w:rPr>
        <w:t>+</w:t>
      </w:r>
      <w:r>
        <w:rPr>
          <w:rFonts w:ascii="Verdana"/>
          <w:color w:val="FFFFFF"/>
          <w:spacing w:val="-21"/>
          <w:sz w:val="24"/>
        </w:rPr>
        <w:t> </w:t>
      </w:r>
      <w:r>
        <w:rPr>
          <w:rFonts w:ascii="Verdana"/>
          <w:color w:val="FFFFFF"/>
          <w:sz w:val="24"/>
        </w:rPr>
        <w:t>44</w:t>
      </w:r>
      <w:r>
        <w:rPr>
          <w:rFonts w:ascii="Verdana"/>
          <w:color w:val="FFFFFF"/>
          <w:spacing w:val="-21"/>
          <w:sz w:val="24"/>
        </w:rPr>
        <w:t> </w:t>
      </w:r>
      <w:r>
        <w:rPr>
          <w:rFonts w:ascii="Verdana"/>
          <w:color w:val="FFFFFF"/>
          <w:sz w:val="24"/>
        </w:rPr>
        <w:t>(0)28</w:t>
      </w:r>
      <w:r>
        <w:rPr>
          <w:rFonts w:ascii="Verdana"/>
          <w:color w:val="FFFFFF"/>
          <w:spacing w:val="-21"/>
          <w:sz w:val="24"/>
        </w:rPr>
        <w:t> </w:t>
      </w:r>
      <w:r>
        <w:rPr>
          <w:rFonts w:ascii="Verdana"/>
          <w:color w:val="FFFFFF"/>
          <w:sz w:val="24"/>
        </w:rPr>
        <w:t>9024</w:t>
      </w:r>
      <w:r>
        <w:rPr>
          <w:rFonts w:ascii="Verdana"/>
          <w:color w:val="FFFFFF"/>
          <w:spacing w:val="-21"/>
          <w:sz w:val="24"/>
        </w:rPr>
        <w:t> </w:t>
      </w:r>
      <w:r>
        <w:rPr>
          <w:rFonts w:ascii="Verdana"/>
          <w:color w:val="FFFFFF"/>
          <w:spacing w:val="-4"/>
          <w:sz w:val="24"/>
        </w:rPr>
        <w:t>3987</w:t>
      </w:r>
    </w:p>
    <w:p>
      <w:pPr>
        <w:spacing w:before="28"/>
        <w:ind w:left="820" w:right="0" w:firstLine="0"/>
        <w:jc w:val="left"/>
        <w:rPr>
          <w:rFonts w:ascii="Verdana"/>
          <w:sz w:val="24"/>
        </w:rPr>
      </w:pPr>
      <w:r>
        <w:rPr>
          <w:rFonts w:ascii="Tahoma"/>
          <w:b/>
          <w:color w:val="FFFFFF"/>
          <w:sz w:val="24"/>
        </w:rPr>
        <w:t>Email:</w:t>
      </w:r>
      <w:r>
        <w:rPr>
          <w:rFonts w:ascii="Tahoma"/>
          <w:b/>
          <w:color w:val="FFFFFF"/>
          <w:spacing w:val="-7"/>
          <w:sz w:val="24"/>
        </w:rPr>
        <w:t> </w:t>
      </w:r>
      <w:hyperlink r:id="rId201">
        <w:r>
          <w:rPr>
            <w:rFonts w:ascii="Verdana"/>
            <w:color w:val="FFFFFF"/>
            <w:spacing w:val="-2"/>
            <w:sz w:val="24"/>
          </w:rPr>
          <w:t>info@nihrc.org</w:t>
        </w:r>
      </w:hyperlink>
    </w:p>
    <w:p>
      <w:pPr>
        <w:spacing w:before="29"/>
        <w:ind w:left="820" w:right="0" w:firstLine="0"/>
        <w:jc w:val="left"/>
        <w:rPr>
          <w:rFonts w:ascii="Verdana"/>
          <w:sz w:val="24"/>
        </w:rPr>
      </w:pPr>
      <w:r>
        <w:rPr>
          <w:rFonts w:ascii="Tahoma"/>
          <w:b/>
          <w:color w:val="FFFFFF"/>
          <w:sz w:val="24"/>
        </w:rPr>
        <w:t>Web:</w:t>
      </w:r>
      <w:r>
        <w:rPr>
          <w:rFonts w:ascii="Tahoma"/>
          <w:b/>
          <w:color w:val="FFFFFF"/>
          <w:spacing w:val="3"/>
          <w:sz w:val="24"/>
        </w:rPr>
        <w:t> </w:t>
      </w:r>
      <w:hyperlink r:id="rId202">
        <w:r>
          <w:rPr>
            <w:rFonts w:ascii="Verdana"/>
            <w:color w:val="FFFFFF"/>
            <w:spacing w:val="-2"/>
            <w:sz w:val="24"/>
          </w:rPr>
          <w:t>www.nihrc.org/brexit</w:t>
        </w:r>
      </w:hyperlink>
    </w:p>
    <w:p>
      <w:pPr>
        <w:pStyle w:val="BodyText"/>
        <w:spacing w:before="9"/>
        <w:rPr>
          <w:rFonts w:ascii="Verdana"/>
          <w:sz w:val="17"/>
        </w:rPr>
      </w:pPr>
      <w:r>
        <w:rPr/>
        <w:drawing>
          <wp:anchor distT="0" distB="0" distL="0" distR="0" allowOverlap="1" layoutInCell="1" locked="0" behindDoc="1" simplePos="0" relativeHeight="487825408">
            <wp:simplePos x="0" y="0"/>
            <wp:positionH relativeFrom="page">
              <wp:posOffset>711700</wp:posOffset>
            </wp:positionH>
            <wp:positionV relativeFrom="paragraph">
              <wp:posOffset>152452</wp:posOffset>
            </wp:positionV>
            <wp:extent cx="228349" cy="233362"/>
            <wp:effectExtent l="0" t="0" r="0" b="0"/>
            <wp:wrapTopAndBottom/>
            <wp:docPr id="1245" name="Image 1245"/>
            <wp:cNvGraphicFramePr>
              <a:graphicFrameLocks/>
            </wp:cNvGraphicFramePr>
            <a:graphic>
              <a:graphicData uri="http://schemas.openxmlformats.org/drawingml/2006/picture">
                <pic:pic>
                  <pic:nvPicPr>
                    <pic:cNvPr id="1245" name="Image 1245"/>
                    <pic:cNvPicPr/>
                  </pic:nvPicPr>
                  <pic:blipFill>
                    <a:blip r:embed="rId193" cstate="print"/>
                    <a:stretch>
                      <a:fillRect/>
                    </a:stretch>
                  </pic:blipFill>
                  <pic:spPr>
                    <a:xfrm>
                      <a:off x="0" y="0"/>
                      <a:ext cx="228349" cy="233362"/>
                    </a:xfrm>
                    <a:prstGeom prst="rect">
                      <a:avLst/>
                    </a:prstGeom>
                  </pic:spPr>
                </pic:pic>
              </a:graphicData>
            </a:graphic>
          </wp:anchor>
        </w:drawing>
      </w:r>
      <w:r>
        <w:rPr/>
        <w:drawing>
          <wp:anchor distT="0" distB="0" distL="0" distR="0" allowOverlap="1" layoutInCell="1" locked="0" behindDoc="1" simplePos="0" relativeHeight="487825920">
            <wp:simplePos x="0" y="0"/>
            <wp:positionH relativeFrom="page">
              <wp:posOffset>1087269</wp:posOffset>
            </wp:positionH>
            <wp:positionV relativeFrom="paragraph">
              <wp:posOffset>152745</wp:posOffset>
            </wp:positionV>
            <wp:extent cx="233292" cy="233362"/>
            <wp:effectExtent l="0" t="0" r="0" b="0"/>
            <wp:wrapTopAndBottom/>
            <wp:docPr id="1246" name="Image 1246"/>
            <wp:cNvGraphicFramePr>
              <a:graphicFrameLocks/>
            </wp:cNvGraphicFramePr>
            <a:graphic>
              <a:graphicData uri="http://schemas.openxmlformats.org/drawingml/2006/picture">
                <pic:pic>
                  <pic:nvPicPr>
                    <pic:cNvPr id="1246" name="Image 1246"/>
                    <pic:cNvPicPr/>
                  </pic:nvPicPr>
                  <pic:blipFill>
                    <a:blip r:embed="rId199" cstate="print"/>
                    <a:stretch>
                      <a:fillRect/>
                    </a:stretch>
                  </pic:blipFill>
                  <pic:spPr>
                    <a:xfrm>
                      <a:off x="0" y="0"/>
                      <a:ext cx="233292" cy="233362"/>
                    </a:xfrm>
                    <a:prstGeom prst="rect">
                      <a:avLst/>
                    </a:prstGeom>
                  </pic:spPr>
                </pic:pic>
              </a:graphicData>
            </a:graphic>
          </wp:anchor>
        </w:drawing>
      </w:r>
      <w:r>
        <w:rPr/>
        <w:drawing>
          <wp:anchor distT="0" distB="0" distL="0" distR="0" allowOverlap="1" layoutInCell="1" locked="0" behindDoc="1" simplePos="0" relativeHeight="487826432">
            <wp:simplePos x="0" y="0"/>
            <wp:positionH relativeFrom="page">
              <wp:posOffset>1460431</wp:posOffset>
            </wp:positionH>
            <wp:positionV relativeFrom="paragraph">
              <wp:posOffset>152815</wp:posOffset>
            </wp:positionV>
            <wp:extent cx="233394" cy="233362"/>
            <wp:effectExtent l="0" t="0" r="0" b="0"/>
            <wp:wrapTopAndBottom/>
            <wp:docPr id="1247" name="Image 1247"/>
            <wp:cNvGraphicFramePr>
              <a:graphicFrameLocks/>
            </wp:cNvGraphicFramePr>
            <a:graphic>
              <a:graphicData uri="http://schemas.openxmlformats.org/drawingml/2006/picture">
                <pic:pic>
                  <pic:nvPicPr>
                    <pic:cNvPr id="1247" name="Image 1247"/>
                    <pic:cNvPicPr/>
                  </pic:nvPicPr>
                  <pic:blipFill>
                    <a:blip r:embed="rId203" cstate="print"/>
                    <a:stretch>
                      <a:fillRect/>
                    </a:stretch>
                  </pic:blipFill>
                  <pic:spPr>
                    <a:xfrm>
                      <a:off x="0" y="0"/>
                      <a:ext cx="233394" cy="233362"/>
                    </a:xfrm>
                    <a:prstGeom prst="rect">
                      <a:avLst/>
                    </a:prstGeom>
                  </pic:spPr>
                </pic:pic>
              </a:graphicData>
            </a:graphic>
          </wp:anchor>
        </w:drawing>
      </w:r>
      <w:r>
        <w:rPr/>
        <w:drawing>
          <wp:anchor distT="0" distB="0" distL="0" distR="0" allowOverlap="1" layoutInCell="1" locked="0" behindDoc="1" simplePos="0" relativeHeight="487826944">
            <wp:simplePos x="0" y="0"/>
            <wp:positionH relativeFrom="page">
              <wp:posOffset>1833690</wp:posOffset>
            </wp:positionH>
            <wp:positionV relativeFrom="paragraph">
              <wp:posOffset>152758</wp:posOffset>
            </wp:positionV>
            <wp:extent cx="233344" cy="233362"/>
            <wp:effectExtent l="0" t="0" r="0" b="0"/>
            <wp:wrapTopAndBottom/>
            <wp:docPr id="1248" name="Image 1248"/>
            <wp:cNvGraphicFramePr>
              <a:graphicFrameLocks/>
            </wp:cNvGraphicFramePr>
            <a:graphic>
              <a:graphicData uri="http://schemas.openxmlformats.org/drawingml/2006/picture">
                <pic:pic>
                  <pic:nvPicPr>
                    <pic:cNvPr id="1248" name="Image 1248"/>
                    <pic:cNvPicPr/>
                  </pic:nvPicPr>
                  <pic:blipFill>
                    <a:blip r:embed="rId196" cstate="print"/>
                    <a:stretch>
                      <a:fillRect/>
                    </a:stretch>
                  </pic:blipFill>
                  <pic:spPr>
                    <a:xfrm>
                      <a:off x="0" y="0"/>
                      <a:ext cx="233344" cy="233362"/>
                    </a:xfrm>
                    <a:prstGeom prst="rect">
                      <a:avLst/>
                    </a:prstGeom>
                  </pic:spPr>
                </pic:pic>
              </a:graphicData>
            </a:graphic>
          </wp:anchor>
        </w:drawing>
      </w:r>
      <w:r>
        <w:rPr/>
        <mc:AlternateContent>
          <mc:Choice Requires="wps">
            <w:drawing>
              <wp:anchor distT="0" distB="0" distL="0" distR="0" allowOverlap="1" layoutInCell="1" locked="0" behindDoc="1" simplePos="0" relativeHeight="487827456">
                <wp:simplePos x="0" y="0"/>
                <wp:positionH relativeFrom="page">
                  <wp:posOffset>2207049</wp:posOffset>
                </wp:positionH>
                <wp:positionV relativeFrom="paragraph">
                  <wp:posOffset>152814</wp:posOffset>
                </wp:positionV>
                <wp:extent cx="315595" cy="219710"/>
                <wp:effectExtent l="0" t="0" r="0" b="0"/>
                <wp:wrapTopAndBottom/>
                <wp:docPr id="1249" name="Graphic 1249"/>
                <wp:cNvGraphicFramePr>
                  <a:graphicFrameLocks/>
                </wp:cNvGraphicFramePr>
                <a:graphic>
                  <a:graphicData uri="http://schemas.microsoft.com/office/word/2010/wordprocessingShape">
                    <wps:wsp>
                      <wps:cNvPr id="1249" name="Graphic 1249"/>
                      <wps:cNvSpPr/>
                      <wps:spPr>
                        <a:xfrm>
                          <a:off x="0" y="0"/>
                          <a:ext cx="315595" cy="219710"/>
                        </a:xfrm>
                        <a:custGeom>
                          <a:avLst/>
                          <a:gdLst/>
                          <a:ahLst/>
                          <a:cxnLst/>
                          <a:rect l="l" t="t" r="r" b="b"/>
                          <a:pathLst>
                            <a:path w="315595" h="219710">
                              <a:moveTo>
                                <a:pt x="169077" y="0"/>
                              </a:moveTo>
                              <a:lnTo>
                                <a:pt x="135963" y="0"/>
                              </a:lnTo>
                              <a:lnTo>
                                <a:pt x="116362" y="157"/>
                              </a:lnTo>
                              <a:lnTo>
                                <a:pt x="39770" y="4259"/>
                              </a:lnTo>
                              <a:lnTo>
                                <a:pt x="7259" y="31095"/>
                              </a:lnTo>
                              <a:lnTo>
                                <a:pt x="515" y="87026"/>
                              </a:lnTo>
                              <a:lnTo>
                                <a:pt x="223" y="90062"/>
                              </a:lnTo>
                              <a:lnTo>
                                <a:pt x="58" y="93122"/>
                              </a:lnTo>
                              <a:lnTo>
                                <a:pt x="0" y="126130"/>
                              </a:lnTo>
                              <a:lnTo>
                                <a:pt x="261" y="130474"/>
                              </a:lnTo>
                              <a:lnTo>
                                <a:pt x="452" y="137662"/>
                              </a:lnTo>
                              <a:lnTo>
                                <a:pt x="5570" y="181478"/>
                              </a:lnTo>
                              <a:lnTo>
                                <a:pt x="42289" y="215121"/>
                              </a:lnTo>
                              <a:lnTo>
                                <a:pt x="43044" y="215121"/>
                              </a:lnTo>
                              <a:lnTo>
                                <a:pt x="57244" y="216456"/>
                              </a:lnTo>
                              <a:lnTo>
                                <a:pt x="72685" y="217742"/>
                              </a:lnTo>
                              <a:lnTo>
                                <a:pt x="89257" y="218802"/>
                              </a:lnTo>
                              <a:lnTo>
                                <a:pt x="90125" y="218802"/>
                              </a:lnTo>
                              <a:lnTo>
                                <a:pt x="103952" y="219299"/>
                              </a:lnTo>
                              <a:lnTo>
                                <a:pt x="130836" y="219672"/>
                              </a:lnTo>
                              <a:lnTo>
                                <a:pt x="184993" y="219672"/>
                              </a:lnTo>
                              <a:lnTo>
                                <a:pt x="227505" y="218802"/>
                              </a:lnTo>
                              <a:lnTo>
                                <a:pt x="273585" y="215121"/>
                              </a:lnTo>
                              <a:lnTo>
                                <a:pt x="306305" y="193144"/>
                              </a:lnTo>
                              <a:lnTo>
                                <a:pt x="313356" y="157309"/>
                              </a:lnTo>
                              <a:lnTo>
                                <a:pt x="126370" y="157309"/>
                              </a:lnTo>
                              <a:lnTo>
                                <a:pt x="126370" y="62464"/>
                              </a:lnTo>
                              <a:lnTo>
                                <a:pt x="313076" y="62464"/>
                              </a:lnTo>
                              <a:lnTo>
                                <a:pt x="312240" y="54925"/>
                              </a:lnTo>
                              <a:lnTo>
                                <a:pt x="297600" y="14810"/>
                              </a:lnTo>
                              <a:lnTo>
                                <a:pt x="248524" y="2332"/>
                              </a:lnTo>
                              <a:lnTo>
                                <a:pt x="221783" y="804"/>
                              </a:lnTo>
                              <a:lnTo>
                                <a:pt x="169077" y="0"/>
                              </a:lnTo>
                              <a:close/>
                            </a:path>
                            <a:path w="315595" h="219710">
                              <a:moveTo>
                                <a:pt x="313076" y="62464"/>
                              </a:moveTo>
                              <a:lnTo>
                                <a:pt x="126370" y="62464"/>
                              </a:lnTo>
                              <a:lnTo>
                                <a:pt x="208689" y="109887"/>
                              </a:lnTo>
                              <a:lnTo>
                                <a:pt x="126370" y="157309"/>
                              </a:lnTo>
                              <a:lnTo>
                                <a:pt x="313356" y="157309"/>
                              </a:lnTo>
                              <a:lnTo>
                                <a:pt x="313686" y="153994"/>
                              </a:lnTo>
                              <a:lnTo>
                                <a:pt x="313762" y="153233"/>
                              </a:lnTo>
                              <a:lnTo>
                                <a:pt x="314602" y="140399"/>
                              </a:lnTo>
                              <a:lnTo>
                                <a:pt x="315189" y="126130"/>
                              </a:lnTo>
                              <a:lnTo>
                                <a:pt x="315469" y="124721"/>
                              </a:lnTo>
                              <a:lnTo>
                                <a:pt x="315536" y="93122"/>
                              </a:lnTo>
                              <a:lnTo>
                                <a:pt x="315215" y="87864"/>
                              </a:lnTo>
                              <a:lnTo>
                                <a:pt x="315062" y="80778"/>
                              </a:lnTo>
                              <a:lnTo>
                                <a:pt x="314288" y="73754"/>
                              </a:lnTo>
                              <a:lnTo>
                                <a:pt x="313076" y="6246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73.783386pt;margin-top:12.032635pt;width:24.85pt;height:17.3pt;mso-position-horizontal-relative:page;mso-position-vertical-relative:paragraph;z-index:-15489024;mso-wrap-distance-left:0;mso-wrap-distance-right:0" id="docshape1017" coordorigin="3476,241" coordsize="497,346" path="m3742,241l3690,241,3659,241,3632,242,3604,243,3538,247,3527,249,3517,255,3504,264,3494,276,3487,290,3483,305,3481,323,3480,341,3476,378,3476,382,3476,387,3476,439,3476,446,3476,457,3480,498,3482,512,3484,526,3491,547,3504,563,3520,574,3542,579,3543,579,3566,582,3590,584,3616,585,3618,585,3639,586,3682,587,3767,587,3810,586,3834,585,3858,584,3882,582,3907,579,3929,574,3946,562,3958,545,3965,522,3968,502,3969,488,3675,488,3675,339,3969,339,3967,327,3965,312,3963,298,3956,279,3944,264,3928,254,3909,249,3888,246,3867,244,3846,243,3825,242,3742,241xm3969,339l3675,339,3804,414,3675,488,3969,488,3970,483,3970,482,3971,462,3972,439,3972,437,3973,387,3972,379,3972,368,3971,357,3969,339xe" filled="true" fillcolor="#ffffff" stroked="false">
                <v:path arrowok="t"/>
                <v:fill type="solid"/>
                <w10:wrap type="topAndBottom"/>
              </v:shape>
            </w:pict>
          </mc:Fallback>
        </mc:AlternateContent>
      </w:r>
    </w:p>
    <w:sectPr>
      <w:pgSz w:w="11910" w:h="16840"/>
      <w:pgMar w:top="900" w:bottom="280" w:left="30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Black">
    <w:altName w:val="Arial Black"/>
    <w:charset w:val="0"/>
    <w:family w:val="swiss"/>
    <w:pitch w:val="variable"/>
  </w:font>
  <w:font w:name="Tahoma">
    <w:altName w:val="Tahoma"/>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6">
    <w:multiLevelType w:val="hybridMultilevel"/>
    <w:lvl w:ilvl="0">
      <w:start w:val="1"/>
      <w:numFmt w:val="decimal"/>
      <w:lvlText w:val="%1."/>
      <w:lvlJc w:val="left"/>
      <w:pPr>
        <w:ind w:left="1174" w:hanging="454"/>
        <w:jc w:val="left"/>
      </w:pPr>
      <w:rPr>
        <w:rFonts w:hint="default" w:ascii="Calibri" w:hAnsi="Calibri" w:eastAsia="Calibri" w:cs="Calibri"/>
        <w:b w:val="0"/>
        <w:bCs w:val="0"/>
        <w:i w:val="0"/>
        <w:iCs w:val="0"/>
        <w:spacing w:val="-1"/>
        <w:w w:val="100"/>
        <w:sz w:val="28"/>
        <w:szCs w:val="28"/>
        <w:lang w:val="en-US" w:eastAsia="en-US" w:bidi="ar-SA"/>
      </w:rPr>
    </w:lvl>
    <w:lvl w:ilvl="1">
      <w:start w:val="0"/>
      <w:numFmt w:val="bullet"/>
      <w:lvlText w:val="•"/>
      <w:lvlJc w:val="left"/>
      <w:pPr>
        <w:ind w:left="2194" w:hanging="454"/>
      </w:pPr>
      <w:rPr>
        <w:rFonts w:hint="default"/>
        <w:lang w:val="en-US" w:eastAsia="en-US" w:bidi="ar-SA"/>
      </w:rPr>
    </w:lvl>
    <w:lvl w:ilvl="2">
      <w:start w:val="0"/>
      <w:numFmt w:val="bullet"/>
      <w:lvlText w:val="•"/>
      <w:lvlJc w:val="left"/>
      <w:pPr>
        <w:ind w:left="3209" w:hanging="454"/>
      </w:pPr>
      <w:rPr>
        <w:rFonts w:hint="default"/>
        <w:lang w:val="en-US" w:eastAsia="en-US" w:bidi="ar-SA"/>
      </w:rPr>
    </w:lvl>
    <w:lvl w:ilvl="3">
      <w:start w:val="0"/>
      <w:numFmt w:val="bullet"/>
      <w:lvlText w:val="•"/>
      <w:lvlJc w:val="left"/>
      <w:pPr>
        <w:ind w:left="4223" w:hanging="454"/>
      </w:pPr>
      <w:rPr>
        <w:rFonts w:hint="default"/>
        <w:lang w:val="en-US" w:eastAsia="en-US" w:bidi="ar-SA"/>
      </w:rPr>
    </w:lvl>
    <w:lvl w:ilvl="4">
      <w:start w:val="0"/>
      <w:numFmt w:val="bullet"/>
      <w:lvlText w:val="•"/>
      <w:lvlJc w:val="left"/>
      <w:pPr>
        <w:ind w:left="5238" w:hanging="454"/>
      </w:pPr>
      <w:rPr>
        <w:rFonts w:hint="default"/>
        <w:lang w:val="en-US" w:eastAsia="en-US" w:bidi="ar-SA"/>
      </w:rPr>
    </w:lvl>
    <w:lvl w:ilvl="5">
      <w:start w:val="0"/>
      <w:numFmt w:val="bullet"/>
      <w:lvlText w:val="•"/>
      <w:lvlJc w:val="left"/>
      <w:pPr>
        <w:ind w:left="6252" w:hanging="454"/>
      </w:pPr>
      <w:rPr>
        <w:rFonts w:hint="default"/>
        <w:lang w:val="en-US" w:eastAsia="en-US" w:bidi="ar-SA"/>
      </w:rPr>
    </w:lvl>
    <w:lvl w:ilvl="6">
      <w:start w:val="0"/>
      <w:numFmt w:val="bullet"/>
      <w:lvlText w:val="•"/>
      <w:lvlJc w:val="left"/>
      <w:pPr>
        <w:ind w:left="7267" w:hanging="454"/>
      </w:pPr>
      <w:rPr>
        <w:rFonts w:hint="default"/>
        <w:lang w:val="en-US" w:eastAsia="en-US" w:bidi="ar-SA"/>
      </w:rPr>
    </w:lvl>
    <w:lvl w:ilvl="7">
      <w:start w:val="0"/>
      <w:numFmt w:val="bullet"/>
      <w:lvlText w:val="•"/>
      <w:lvlJc w:val="left"/>
      <w:pPr>
        <w:ind w:left="8281" w:hanging="454"/>
      </w:pPr>
      <w:rPr>
        <w:rFonts w:hint="default"/>
        <w:lang w:val="en-US" w:eastAsia="en-US" w:bidi="ar-SA"/>
      </w:rPr>
    </w:lvl>
    <w:lvl w:ilvl="8">
      <w:start w:val="0"/>
      <w:numFmt w:val="bullet"/>
      <w:lvlText w:val="•"/>
      <w:lvlJc w:val="left"/>
      <w:pPr>
        <w:ind w:left="9296" w:hanging="454"/>
      </w:pPr>
      <w:rPr>
        <w:rFonts w:hint="default"/>
        <w:lang w:val="en-US" w:eastAsia="en-US" w:bidi="ar-SA"/>
      </w:rPr>
    </w:lvl>
  </w:abstractNum>
  <w:abstractNum w:abstractNumId="65">
    <w:multiLevelType w:val="hybridMultilevel"/>
    <w:lvl w:ilvl="0">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2">
      <w:start w:val="0"/>
      <w:numFmt w:val="bullet"/>
      <w:lvlText w:val="•"/>
      <w:lvlJc w:val="left"/>
      <w:pPr>
        <w:ind w:left="2556" w:hanging="341"/>
      </w:pPr>
      <w:rPr>
        <w:rFonts w:hint="default"/>
        <w:lang w:val="en-US" w:eastAsia="en-US" w:bidi="ar-SA"/>
      </w:rPr>
    </w:lvl>
    <w:lvl w:ilvl="3">
      <w:start w:val="0"/>
      <w:numFmt w:val="bullet"/>
      <w:lvlText w:val="•"/>
      <w:lvlJc w:val="left"/>
      <w:pPr>
        <w:ind w:left="3652" w:hanging="341"/>
      </w:pPr>
      <w:rPr>
        <w:rFonts w:hint="default"/>
        <w:lang w:val="en-US" w:eastAsia="en-US" w:bidi="ar-SA"/>
      </w:rPr>
    </w:lvl>
    <w:lvl w:ilvl="4">
      <w:start w:val="0"/>
      <w:numFmt w:val="bullet"/>
      <w:lvlText w:val="•"/>
      <w:lvlJc w:val="left"/>
      <w:pPr>
        <w:ind w:left="4748" w:hanging="341"/>
      </w:pPr>
      <w:rPr>
        <w:rFonts w:hint="default"/>
        <w:lang w:val="en-US" w:eastAsia="en-US" w:bidi="ar-SA"/>
      </w:rPr>
    </w:lvl>
    <w:lvl w:ilvl="5">
      <w:start w:val="0"/>
      <w:numFmt w:val="bullet"/>
      <w:lvlText w:val="•"/>
      <w:lvlJc w:val="left"/>
      <w:pPr>
        <w:ind w:left="5844" w:hanging="341"/>
      </w:pPr>
      <w:rPr>
        <w:rFonts w:hint="default"/>
        <w:lang w:val="en-US" w:eastAsia="en-US" w:bidi="ar-SA"/>
      </w:rPr>
    </w:lvl>
    <w:lvl w:ilvl="6">
      <w:start w:val="0"/>
      <w:numFmt w:val="bullet"/>
      <w:lvlText w:val="•"/>
      <w:lvlJc w:val="left"/>
      <w:pPr>
        <w:ind w:left="6940" w:hanging="341"/>
      </w:pPr>
      <w:rPr>
        <w:rFonts w:hint="default"/>
        <w:lang w:val="en-US" w:eastAsia="en-US" w:bidi="ar-SA"/>
      </w:rPr>
    </w:lvl>
    <w:lvl w:ilvl="7">
      <w:start w:val="0"/>
      <w:numFmt w:val="bullet"/>
      <w:lvlText w:val="•"/>
      <w:lvlJc w:val="left"/>
      <w:pPr>
        <w:ind w:left="8037" w:hanging="341"/>
      </w:pPr>
      <w:rPr>
        <w:rFonts w:hint="default"/>
        <w:lang w:val="en-US" w:eastAsia="en-US" w:bidi="ar-SA"/>
      </w:rPr>
    </w:lvl>
    <w:lvl w:ilvl="8">
      <w:start w:val="0"/>
      <w:numFmt w:val="bullet"/>
      <w:lvlText w:val="•"/>
      <w:lvlJc w:val="left"/>
      <w:pPr>
        <w:ind w:left="9133" w:hanging="341"/>
      </w:pPr>
      <w:rPr>
        <w:rFonts w:hint="default"/>
        <w:lang w:val="en-US" w:eastAsia="en-US" w:bidi="ar-SA"/>
      </w:rPr>
    </w:lvl>
  </w:abstractNum>
  <w:abstractNum w:abstractNumId="63">
    <w:multiLevelType w:val="hybridMultilevel"/>
    <w:lvl w:ilvl="0">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086" w:hanging="341"/>
      </w:pPr>
      <w:rPr>
        <w:rFonts w:hint="default"/>
        <w:lang w:val="en-US" w:eastAsia="en-US" w:bidi="ar-SA"/>
      </w:rPr>
    </w:lvl>
    <w:lvl w:ilvl="2">
      <w:start w:val="0"/>
      <w:numFmt w:val="bullet"/>
      <w:lvlText w:val="•"/>
      <w:lvlJc w:val="left"/>
      <w:pPr>
        <w:ind w:left="3113" w:hanging="341"/>
      </w:pPr>
      <w:rPr>
        <w:rFonts w:hint="default"/>
        <w:lang w:val="en-US" w:eastAsia="en-US" w:bidi="ar-SA"/>
      </w:rPr>
    </w:lvl>
    <w:lvl w:ilvl="3">
      <w:start w:val="0"/>
      <w:numFmt w:val="bullet"/>
      <w:lvlText w:val="•"/>
      <w:lvlJc w:val="left"/>
      <w:pPr>
        <w:ind w:left="4139" w:hanging="341"/>
      </w:pPr>
      <w:rPr>
        <w:rFonts w:hint="default"/>
        <w:lang w:val="en-US" w:eastAsia="en-US" w:bidi="ar-SA"/>
      </w:rPr>
    </w:lvl>
    <w:lvl w:ilvl="4">
      <w:start w:val="0"/>
      <w:numFmt w:val="bullet"/>
      <w:lvlText w:val="•"/>
      <w:lvlJc w:val="left"/>
      <w:pPr>
        <w:ind w:left="5166" w:hanging="341"/>
      </w:pPr>
      <w:rPr>
        <w:rFonts w:hint="default"/>
        <w:lang w:val="en-US" w:eastAsia="en-US" w:bidi="ar-SA"/>
      </w:rPr>
    </w:lvl>
    <w:lvl w:ilvl="5">
      <w:start w:val="0"/>
      <w:numFmt w:val="bullet"/>
      <w:lvlText w:val="•"/>
      <w:lvlJc w:val="left"/>
      <w:pPr>
        <w:ind w:left="6192" w:hanging="341"/>
      </w:pPr>
      <w:rPr>
        <w:rFonts w:hint="default"/>
        <w:lang w:val="en-US" w:eastAsia="en-US" w:bidi="ar-SA"/>
      </w:rPr>
    </w:lvl>
    <w:lvl w:ilvl="6">
      <w:start w:val="0"/>
      <w:numFmt w:val="bullet"/>
      <w:lvlText w:val="•"/>
      <w:lvlJc w:val="left"/>
      <w:pPr>
        <w:ind w:left="7219" w:hanging="341"/>
      </w:pPr>
      <w:rPr>
        <w:rFonts w:hint="default"/>
        <w:lang w:val="en-US" w:eastAsia="en-US" w:bidi="ar-SA"/>
      </w:rPr>
    </w:lvl>
    <w:lvl w:ilvl="7">
      <w:start w:val="0"/>
      <w:numFmt w:val="bullet"/>
      <w:lvlText w:val="•"/>
      <w:lvlJc w:val="left"/>
      <w:pPr>
        <w:ind w:left="8245" w:hanging="341"/>
      </w:pPr>
      <w:rPr>
        <w:rFonts w:hint="default"/>
        <w:lang w:val="en-US" w:eastAsia="en-US" w:bidi="ar-SA"/>
      </w:rPr>
    </w:lvl>
    <w:lvl w:ilvl="8">
      <w:start w:val="0"/>
      <w:numFmt w:val="bullet"/>
      <w:lvlText w:val="•"/>
      <w:lvlJc w:val="left"/>
      <w:pPr>
        <w:ind w:left="9272" w:hanging="341"/>
      </w:pPr>
      <w:rPr>
        <w:rFonts w:hint="default"/>
        <w:lang w:val="en-US" w:eastAsia="en-US" w:bidi="ar-SA"/>
      </w:rPr>
    </w:lvl>
  </w:abstractNum>
  <w:abstractNum w:abstractNumId="61">
    <w:multiLevelType w:val="hybridMultilevel"/>
    <w:lvl w:ilvl="0">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086" w:hanging="341"/>
      </w:pPr>
      <w:rPr>
        <w:rFonts w:hint="default"/>
        <w:lang w:val="en-US" w:eastAsia="en-US" w:bidi="ar-SA"/>
      </w:rPr>
    </w:lvl>
    <w:lvl w:ilvl="2">
      <w:start w:val="0"/>
      <w:numFmt w:val="bullet"/>
      <w:lvlText w:val="•"/>
      <w:lvlJc w:val="left"/>
      <w:pPr>
        <w:ind w:left="3113" w:hanging="341"/>
      </w:pPr>
      <w:rPr>
        <w:rFonts w:hint="default"/>
        <w:lang w:val="en-US" w:eastAsia="en-US" w:bidi="ar-SA"/>
      </w:rPr>
    </w:lvl>
    <w:lvl w:ilvl="3">
      <w:start w:val="0"/>
      <w:numFmt w:val="bullet"/>
      <w:lvlText w:val="•"/>
      <w:lvlJc w:val="left"/>
      <w:pPr>
        <w:ind w:left="4139" w:hanging="341"/>
      </w:pPr>
      <w:rPr>
        <w:rFonts w:hint="default"/>
        <w:lang w:val="en-US" w:eastAsia="en-US" w:bidi="ar-SA"/>
      </w:rPr>
    </w:lvl>
    <w:lvl w:ilvl="4">
      <w:start w:val="0"/>
      <w:numFmt w:val="bullet"/>
      <w:lvlText w:val="•"/>
      <w:lvlJc w:val="left"/>
      <w:pPr>
        <w:ind w:left="5166" w:hanging="341"/>
      </w:pPr>
      <w:rPr>
        <w:rFonts w:hint="default"/>
        <w:lang w:val="en-US" w:eastAsia="en-US" w:bidi="ar-SA"/>
      </w:rPr>
    </w:lvl>
    <w:lvl w:ilvl="5">
      <w:start w:val="0"/>
      <w:numFmt w:val="bullet"/>
      <w:lvlText w:val="•"/>
      <w:lvlJc w:val="left"/>
      <w:pPr>
        <w:ind w:left="6192" w:hanging="341"/>
      </w:pPr>
      <w:rPr>
        <w:rFonts w:hint="default"/>
        <w:lang w:val="en-US" w:eastAsia="en-US" w:bidi="ar-SA"/>
      </w:rPr>
    </w:lvl>
    <w:lvl w:ilvl="6">
      <w:start w:val="0"/>
      <w:numFmt w:val="bullet"/>
      <w:lvlText w:val="•"/>
      <w:lvlJc w:val="left"/>
      <w:pPr>
        <w:ind w:left="7219" w:hanging="341"/>
      </w:pPr>
      <w:rPr>
        <w:rFonts w:hint="default"/>
        <w:lang w:val="en-US" w:eastAsia="en-US" w:bidi="ar-SA"/>
      </w:rPr>
    </w:lvl>
    <w:lvl w:ilvl="7">
      <w:start w:val="0"/>
      <w:numFmt w:val="bullet"/>
      <w:lvlText w:val="•"/>
      <w:lvlJc w:val="left"/>
      <w:pPr>
        <w:ind w:left="8245" w:hanging="341"/>
      </w:pPr>
      <w:rPr>
        <w:rFonts w:hint="default"/>
        <w:lang w:val="en-US" w:eastAsia="en-US" w:bidi="ar-SA"/>
      </w:rPr>
    </w:lvl>
    <w:lvl w:ilvl="8">
      <w:start w:val="0"/>
      <w:numFmt w:val="bullet"/>
      <w:lvlText w:val="•"/>
      <w:lvlJc w:val="left"/>
      <w:pPr>
        <w:ind w:left="9272" w:hanging="341"/>
      </w:pPr>
      <w:rPr>
        <w:rFonts w:hint="default"/>
        <w:lang w:val="en-US" w:eastAsia="en-US" w:bidi="ar-SA"/>
      </w:rPr>
    </w:lvl>
  </w:abstractNum>
  <w:abstractNum w:abstractNumId="58">
    <w:multiLevelType w:val="hybridMultilevel"/>
    <w:lvl w:ilvl="0">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086" w:hanging="341"/>
      </w:pPr>
      <w:rPr>
        <w:rFonts w:hint="default"/>
        <w:lang w:val="en-US" w:eastAsia="en-US" w:bidi="ar-SA"/>
      </w:rPr>
    </w:lvl>
    <w:lvl w:ilvl="2">
      <w:start w:val="0"/>
      <w:numFmt w:val="bullet"/>
      <w:lvlText w:val="•"/>
      <w:lvlJc w:val="left"/>
      <w:pPr>
        <w:ind w:left="3113" w:hanging="341"/>
      </w:pPr>
      <w:rPr>
        <w:rFonts w:hint="default"/>
        <w:lang w:val="en-US" w:eastAsia="en-US" w:bidi="ar-SA"/>
      </w:rPr>
    </w:lvl>
    <w:lvl w:ilvl="3">
      <w:start w:val="0"/>
      <w:numFmt w:val="bullet"/>
      <w:lvlText w:val="•"/>
      <w:lvlJc w:val="left"/>
      <w:pPr>
        <w:ind w:left="4139" w:hanging="341"/>
      </w:pPr>
      <w:rPr>
        <w:rFonts w:hint="default"/>
        <w:lang w:val="en-US" w:eastAsia="en-US" w:bidi="ar-SA"/>
      </w:rPr>
    </w:lvl>
    <w:lvl w:ilvl="4">
      <w:start w:val="0"/>
      <w:numFmt w:val="bullet"/>
      <w:lvlText w:val="•"/>
      <w:lvlJc w:val="left"/>
      <w:pPr>
        <w:ind w:left="5166" w:hanging="341"/>
      </w:pPr>
      <w:rPr>
        <w:rFonts w:hint="default"/>
        <w:lang w:val="en-US" w:eastAsia="en-US" w:bidi="ar-SA"/>
      </w:rPr>
    </w:lvl>
    <w:lvl w:ilvl="5">
      <w:start w:val="0"/>
      <w:numFmt w:val="bullet"/>
      <w:lvlText w:val="•"/>
      <w:lvlJc w:val="left"/>
      <w:pPr>
        <w:ind w:left="6192" w:hanging="341"/>
      </w:pPr>
      <w:rPr>
        <w:rFonts w:hint="default"/>
        <w:lang w:val="en-US" w:eastAsia="en-US" w:bidi="ar-SA"/>
      </w:rPr>
    </w:lvl>
    <w:lvl w:ilvl="6">
      <w:start w:val="0"/>
      <w:numFmt w:val="bullet"/>
      <w:lvlText w:val="•"/>
      <w:lvlJc w:val="left"/>
      <w:pPr>
        <w:ind w:left="7219" w:hanging="341"/>
      </w:pPr>
      <w:rPr>
        <w:rFonts w:hint="default"/>
        <w:lang w:val="en-US" w:eastAsia="en-US" w:bidi="ar-SA"/>
      </w:rPr>
    </w:lvl>
    <w:lvl w:ilvl="7">
      <w:start w:val="0"/>
      <w:numFmt w:val="bullet"/>
      <w:lvlText w:val="•"/>
      <w:lvlJc w:val="left"/>
      <w:pPr>
        <w:ind w:left="8245" w:hanging="341"/>
      </w:pPr>
      <w:rPr>
        <w:rFonts w:hint="default"/>
        <w:lang w:val="en-US" w:eastAsia="en-US" w:bidi="ar-SA"/>
      </w:rPr>
    </w:lvl>
    <w:lvl w:ilvl="8">
      <w:start w:val="0"/>
      <w:numFmt w:val="bullet"/>
      <w:lvlText w:val="•"/>
      <w:lvlJc w:val="left"/>
      <w:pPr>
        <w:ind w:left="9272" w:hanging="341"/>
      </w:pPr>
      <w:rPr>
        <w:rFonts w:hint="default"/>
        <w:lang w:val="en-US" w:eastAsia="en-US" w:bidi="ar-SA"/>
      </w:rPr>
    </w:lvl>
  </w:abstractNum>
  <w:abstractNum w:abstractNumId="53">
    <w:multiLevelType w:val="hybridMultilevel"/>
    <w:lvl w:ilvl="0">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086" w:hanging="341"/>
      </w:pPr>
      <w:rPr>
        <w:rFonts w:hint="default"/>
        <w:lang w:val="en-US" w:eastAsia="en-US" w:bidi="ar-SA"/>
      </w:rPr>
    </w:lvl>
    <w:lvl w:ilvl="2">
      <w:start w:val="0"/>
      <w:numFmt w:val="bullet"/>
      <w:lvlText w:val="•"/>
      <w:lvlJc w:val="left"/>
      <w:pPr>
        <w:ind w:left="3113" w:hanging="341"/>
      </w:pPr>
      <w:rPr>
        <w:rFonts w:hint="default"/>
        <w:lang w:val="en-US" w:eastAsia="en-US" w:bidi="ar-SA"/>
      </w:rPr>
    </w:lvl>
    <w:lvl w:ilvl="3">
      <w:start w:val="0"/>
      <w:numFmt w:val="bullet"/>
      <w:lvlText w:val="•"/>
      <w:lvlJc w:val="left"/>
      <w:pPr>
        <w:ind w:left="4139" w:hanging="341"/>
      </w:pPr>
      <w:rPr>
        <w:rFonts w:hint="default"/>
        <w:lang w:val="en-US" w:eastAsia="en-US" w:bidi="ar-SA"/>
      </w:rPr>
    </w:lvl>
    <w:lvl w:ilvl="4">
      <w:start w:val="0"/>
      <w:numFmt w:val="bullet"/>
      <w:lvlText w:val="•"/>
      <w:lvlJc w:val="left"/>
      <w:pPr>
        <w:ind w:left="5166" w:hanging="341"/>
      </w:pPr>
      <w:rPr>
        <w:rFonts w:hint="default"/>
        <w:lang w:val="en-US" w:eastAsia="en-US" w:bidi="ar-SA"/>
      </w:rPr>
    </w:lvl>
    <w:lvl w:ilvl="5">
      <w:start w:val="0"/>
      <w:numFmt w:val="bullet"/>
      <w:lvlText w:val="•"/>
      <w:lvlJc w:val="left"/>
      <w:pPr>
        <w:ind w:left="6192" w:hanging="341"/>
      </w:pPr>
      <w:rPr>
        <w:rFonts w:hint="default"/>
        <w:lang w:val="en-US" w:eastAsia="en-US" w:bidi="ar-SA"/>
      </w:rPr>
    </w:lvl>
    <w:lvl w:ilvl="6">
      <w:start w:val="0"/>
      <w:numFmt w:val="bullet"/>
      <w:lvlText w:val="•"/>
      <w:lvlJc w:val="left"/>
      <w:pPr>
        <w:ind w:left="7219" w:hanging="341"/>
      </w:pPr>
      <w:rPr>
        <w:rFonts w:hint="default"/>
        <w:lang w:val="en-US" w:eastAsia="en-US" w:bidi="ar-SA"/>
      </w:rPr>
    </w:lvl>
    <w:lvl w:ilvl="7">
      <w:start w:val="0"/>
      <w:numFmt w:val="bullet"/>
      <w:lvlText w:val="•"/>
      <w:lvlJc w:val="left"/>
      <w:pPr>
        <w:ind w:left="8245" w:hanging="341"/>
      </w:pPr>
      <w:rPr>
        <w:rFonts w:hint="default"/>
        <w:lang w:val="en-US" w:eastAsia="en-US" w:bidi="ar-SA"/>
      </w:rPr>
    </w:lvl>
    <w:lvl w:ilvl="8">
      <w:start w:val="0"/>
      <w:numFmt w:val="bullet"/>
      <w:lvlText w:val="•"/>
      <w:lvlJc w:val="left"/>
      <w:pPr>
        <w:ind w:left="9272" w:hanging="341"/>
      </w:pPr>
      <w:rPr>
        <w:rFonts w:hint="default"/>
        <w:lang w:val="en-US" w:eastAsia="en-US" w:bidi="ar-SA"/>
      </w:rPr>
    </w:lvl>
  </w:abstractNum>
  <w:abstractNum w:abstractNumId="45">
    <w:multiLevelType w:val="hybridMultilevel"/>
    <w:lvl w:ilvl="0">
      <w:start w:val="1"/>
      <w:numFmt w:val="lowerRoman"/>
      <w:lvlText w:val="(%1)"/>
      <w:lvlJc w:val="left"/>
      <w:pPr>
        <w:ind w:left="1174" w:hanging="454"/>
        <w:jc w:val="left"/>
      </w:pPr>
      <w:rPr>
        <w:rFonts w:hint="default" w:ascii="Calibri" w:hAnsi="Calibri" w:eastAsia="Calibri" w:cs="Calibri"/>
        <w:b w:val="0"/>
        <w:bCs w:val="0"/>
        <w:i w:val="0"/>
        <w:iCs w:val="0"/>
        <w:spacing w:val="-1"/>
        <w:w w:val="100"/>
        <w:sz w:val="28"/>
        <w:szCs w:val="28"/>
        <w:lang w:val="en-US" w:eastAsia="en-US" w:bidi="ar-SA"/>
      </w:rPr>
    </w:lvl>
    <w:lvl w:ilvl="1">
      <w:start w:val="1"/>
      <w:numFmt w:val="lowerRoman"/>
      <w:lvlText w:val="(%2)"/>
      <w:lvlJc w:val="left"/>
      <w:pPr>
        <w:ind w:left="1570" w:hanging="454"/>
        <w:jc w:val="left"/>
      </w:pPr>
      <w:rPr>
        <w:rFonts w:hint="default" w:ascii="Calibri" w:hAnsi="Calibri" w:eastAsia="Calibri" w:cs="Calibri"/>
        <w:b w:val="0"/>
        <w:bCs w:val="0"/>
        <w:i w:val="0"/>
        <w:iCs w:val="0"/>
        <w:spacing w:val="-1"/>
        <w:w w:val="100"/>
        <w:sz w:val="28"/>
        <w:szCs w:val="28"/>
        <w:lang w:val="en-US" w:eastAsia="en-US" w:bidi="ar-SA"/>
      </w:rPr>
    </w:lvl>
    <w:lvl w:ilvl="2">
      <w:start w:val="0"/>
      <w:numFmt w:val="bullet"/>
      <w:lvlText w:val="•"/>
      <w:lvlJc w:val="left"/>
      <w:pPr>
        <w:ind w:left="2662" w:hanging="454"/>
      </w:pPr>
      <w:rPr>
        <w:rFonts w:hint="default"/>
        <w:lang w:val="en-US" w:eastAsia="en-US" w:bidi="ar-SA"/>
      </w:rPr>
    </w:lvl>
    <w:lvl w:ilvl="3">
      <w:start w:val="0"/>
      <w:numFmt w:val="bullet"/>
      <w:lvlText w:val="•"/>
      <w:lvlJc w:val="left"/>
      <w:pPr>
        <w:ind w:left="3745" w:hanging="454"/>
      </w:pPr>
      <w:rPr>
        <w:rFonts w:hint="default"/>
        <w:lang w:val="en-US" w:eastAsia="en-US" w:bidi="ar-SA"/>
      </w:rPr>
    </w:lvl>
    <w:lvl w:ilvl="4">
      <w:start w:val="0"/>
      <w:numFmt w:val="bullet"/>
      <w:lvlText w:val="•"/>
      <w:lvlJc w:val="left"/>
      <w:pPr>
        <w:ind w:left="4828" w:hanging="454"/>
      </w:pPr>
      <w:rPr>
        <w:rFonts w:hint="default"/>
        <w:lang w:val="en-US" w:eastAsia="en-US" w:bidi="ar-SA"/>
      </w:rPr>
    </w:lvl>
    <w:lvl w:ilvl="5">
      <w:start w:val="0"/>
      <w:numFmt w:val="bullet"/>
      <w:lvlText w:val="•"/>
      <w:lvlJc w:val="left"/>
      <w:pPr>
        <w:ind w:left="5911" w:hanging="454"/>
      </w:pPr>
      <w:rPr>
        <w:rFonts w:hint="default"/>
        <w:lang w:val="en-US" w:eastAsia="en-US" w:bidi="ar-SA"/>
      </w:rPr>
    </w:lvl>
    <w:lvl w:ilvl="6">
      <w:start w:val="0"/>
      <w:numFmt w:val="bullet"/>
      <w:lvlText w:val="•"/>
      <w:lvlJc w:val="left"/>
      <w:pPr>
        <w:ind w:left="6994" w:hanging="454"/>
      </w:pPr>
      <w:rPr>
        <w:rFonts w:hint="default"/>
        <w:lang w:val="en-US" w:eastAsia="en-US" w:bidi="ar-SA"/>
      </w:rPr>
    </w:lvl>
    <w:lvl w:ilvl="7">
      <w:start w:val="0"/>
      <w:numFmt w:val="bullet"/>
      <w:lvlText w:val="•"/>
      <w:lvlJc w:val="left"/>
      <w:pPr>
        <w:ind w:left="8077" w:hanging="454"/>
      </w:pPr>
      <w:rPr>
        <w:rFonts w:hint="default"/>
        <w:lang w:val="en-US" w:eastAsia="en-US" w:bidi="ar-SA"/>
      </w:rPr>
    </w:lvl>
    <w:lvl w:ilvl="8">
      <w:start w:val="0"/>
      <w:numFmt w:val="bullet"/>
      <w:lvlText w:val="•"/>
      <w:lvlJc w:val="left"/>
      <w:pPr>
        <w:ind w:left="9159" w:hanging="454"/>
      </w:pPr>
      <w:rPr>
        <w:rFonts w:hint="default"/>
        <w:lang w:val="en-US" w:eastAsia="en-US" w:bidi="ar-SA"/>
      </w:rPr>
    </w:lvl>
  </w:abstractNum>
  <w:abstractNum w:abstractNumId="42">
    <w:multiLevelType w:val="hybridMultilevel"/>
    <w:lvl w:ilvl="0">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086" w:hanging="341"/>
      </w:pPr>
      <w:rPr>
        <w:rFonts w:hint="default"/>
        <w:lang w:val="en-US" w:eastAsia="en-US" w:bidi="ar-SA"/>
      </w:rPr>
    </w:lvl>
    <w:lvl w:ilvl="2">
      <w:start w:val="0"/>
      <w:numFmt w:val="bullet"/>
      <w:lvlText w:val="•"/>
      <w:lvlJc w:val="left"/>
      <w:pPr>
        <w:ind w:left="3113" w:hanging="341"/>
      </w:pPr>
      <w:rPr>
        <w:rFonts w:hint="default"/>
        <w:lang w:val="en-US" w:eastAsia="en-US" w:bidi="ar-SA"/>
      </w:rPr>
    </w:lvl>
    <w:lvl w:ilvl="3">
      <w:start w:val="0"/>
      <w:numFmt w:val="bullet"/>
      <w:lvlText w:val="•"/>
      <w:lvlJc w:val="left"/>
      <w:pPr>
        <w:ind w:left="4139" w:hanging="341"/>
      </w:pPr>
      <w:rPr>
        <w:rFonts w:hint="default"/>
        <w:lang w:val="en-US" w:eastAsia="en-US" w:bidi="ar-SA"/>
      </w:rPr>
    </w:lvl>
    <w:lvl w:ilvl="4">
      <w:start w:val="0"/>
      <w:numFmt w:val="bullet"/>
      <w:lvlText w:val="•"/>
      <w:lvlJc w:val="left"/>
      <w:pPr>
        <w:ind w:left="5166" w:hanging="341"/>
      </w:pPr>
      <w:rPr>
        <w:rFonts w:hint="default"/>
        <w:lang w:val="en-US" w:eastAsia="en-US" w:bidi="ar-SA"/>
      </w:rPr>
    </w:lvl>
    <w:lvl w:ilvl="5">
      <w:start w:val="0"/>
      <w:numFmt w:val="bullet"/>
      <w:lvlText w:val="•"/>
      <w:lvlJc w:val="left"/>
      <w:pPr>
        <w:ind w:left="6192" w:hanging="341"/>
      </w:pPr>
      <w:rPr>
        <w:rFonts w:hint="default"/>
        <w:lang w:val="en-US" w:eastAsia="en-US" w:bidi="ar-SA"/>
      </w:rPr>
    </w:lvl>
    <w:lvl w:ilvl="6">
      <w:start w:val="0"/>
      <w:numFmt w:val="bullet"/>
      <w:lvlText w:val="•"/>
      <w:lvlJc w:val="left"/>
      <w:pPr>
        <w:ind w:left="7219" w:hanging="341"/>
      </w:pPr>
      <w:rPr>
        <w:rFonts w:hint="default"/>
        <w:lang w:val="en-US" w:eastAsia="en-US" w:bidi="ar-SA"/>
      </w:rPr>
    </w:lvl>
    <w:lvl w:ilvl="7">
      <w:start w:val="0"/>
      <w:numFmt w:val="bullet"/>
      <w:lvlText w:val="•"/>
      <w:lvlJc w:val="left"/>
      <w:pPr>
        <w:ind w:left="8245" w:hanging="341"/>
      </w:pPr>
      <w:rPr>
        <w:rFonts w:hint="default"/>
        <w:lang w:val="en-US" w:eastAsia="en-US" w:bidi="ar-SA"/>
      </w:rPr>
    </w:lvl>
    <w:lvl w:ilvl="8">
      <w:start w:val="0"/>
      <w:numFmt w:val="bullet"/>
      <w:lvlText w:val="•"/>
      <w:lvlJc w:val="left"/>
      <w:pPr>
        <w:ind w:left="9272" w:hanging="341"/>
      </w:pPr>
      <w:rPr>
        <w:rFonts w:hint="default"/>
        <w:lang w:val="en-US" w:eastAsia="en-US" w:bidi="ar-SA"/>
      </w:rPr>
    </w:lvl>
  </w:abstractNum>
  <w:abstractNum w:abstractNumId="40">
    <w:multiLevelType w:val="hybridMultilevel"/>
    <w:lvl w:ilvl="0">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086" w:hanging="341"/>
      </w:pPr>
      <w:rPr>
        <w:rFonts w:hint="default"/>
        <w:lang w:val="en-US" w:eastAsia="en-US" w:bidi="ar-SA"/>
      </w:rPr>
    </w:lvl>
    <w:lvl w:ilvl="2">
      <w:start w:val="0"/>
      <w:numFmt w:val="bullet"/>
      <w:lvlText w:val="•"/>
      <w:lvlJc w:val="left"/>
      <w:pPr>
        <w:ind w:left="3113" w:hanging="341"/>
      </w:pPr>
      <w:rPr>
        <w:rFonts w:hint="default"/>
        <w:lang w:val="en-US" w:eastAsia="en-US" w:bidi="ar-SA"/>
      </w:rPr>
    </w:lvl>
    <w:lvl w:ilvl="3">
      <w:start w:val="0"/>
      <w:numFmt w:val="bullet"/>
      <w:lvlText w:val="•"/>
      <w:lvlJc w:val="left"/>
      <w:pPr>
        <w:ind w:left="4139" w:hanging="341"/>
      </w:pPr>
      <w:rPr>
        <w:rFonts w:hint="default"/>
        <w:lang w:val="en-US" w:eastAsia="en-US" w:bidi="ar-SA"/>
      </w:rPr>
    </w:lvl>
    <w:lvl w:ilvl="4">
      <w:start w:val="0"/>
      <w:numFmt w:val="bullet"/>
      <w:lvlText w:val="•"/>
      <w:lvlJc w:val="left"/>
      <w:pPr>
        <w:ind w:left="5166" w:hanging="341"/>
      </w:pPr>
      <w:rPr>
        <w:rFonts w:hint="default"/>
        <w:lang w:val="en-US" w:eastAsia="en-US" w:bidi="ar-SA"/>
      </w:rPr>
    </w:lvl>
    <w:lvl w:ilvl="5">
      <w:start w:val="0"/>
      <w:numFmt w:val="bullet"/>
      <w:lvlText w:val="•"/>
      <w:lvlJc w:val="left"/>
      <w:pPr>
        <w:ind w:left="6192" w:hanging="341"/>
      </w:pPr>
      <w:rPr>
        <w:rFonts w:hint="default"/>
        <w:lang w:val="en-US" w:eastAsia="en-US" w:bidi="ar-SA"/>
      </w:rPr>
    </w:lvl>
    <w:lvl w:ilvl="6">
      <w:start w:val="0"/>
      <w:numFmt w:val="bullet"/>
      <w:lvlText w:val="•"/>
      <w:lvlJc w:val="left"/>
      <w:pPr>
        <w:ind w:left="7219" w:hanging="341"/>
      </w:pPr>
      <w:rPr>
        <w:rFonts w:hint="default"/>
        <w:lang w:val="en-US" w:eastAsia="en-US" w:bidi="ar-SA"/>
      </w:rPr>
    </w:lvl>
    <w:lvl w:ilvl="7">
      <w:start w:val="0"/>
      <w:numFmt w:val="bullet"/>
      <w:lvlText w:val="•"/>
      <w:lvlJc w:val="left"/>
      <w:pPr>
        <w:ind w:left="8245" w:hanging="341"/>
      </w:pPr>
      <w:rPr>
        <w:rFonts w:hint="default"/>
        <w:lang w:val="en-US" w:eastAsia="en-US" w:bidi="ar-SA"/>
      </w:rPr>
    </w:lvl>
    <w:lvl w:ilvl="8">
      <w:start w:val="0"/>
      <w:numFmt w:val="bullet"/>
      <w:lvlText w:val="•"/>
      <w:lvlJc w:val="left"/>
      <w:pPr>
        <w:ind w:left="9272" w:hanging="341"/>
      </w:pPr>
      <w:rPr>
        <w:rFonts w:hint="default"/>
        <w:lang w:val="en-US" w:eastAsia="en-US" w:bidi="ar-SA"/>
      </w:rPr>
    </w:lvl>
  </w:abstractNum>
  <w:abstractNum w:abstractNumId="15">
    <w:multiLevelType w:val="hybridMultilevel"/>
    <w:lvl w:ilvl="0">
      <w:start w:val="0"/>
      <w:numFmt w:val="bullet"/>
      <w:lvlText w:val="•"/>
      <w:lvlJc w:val="left"/>
      <w:pPr>
        <w:ind w:left="1060" w:hanging="341"/>
      </w:pPr>
      <w:rPr>
        <w:rFonts w:hint="default" w:ascii="Tahoma" w:hAnsi="Tahoma" w:eastAsia="Tahoma" w:cs="Tahoma"/>
        <w:b/>
        <w:bCs/>
        <w:i w:val="0"/>
        <w:iCs w:val="0"/>
        <w:color w:val="36A9E1"/>
        <w:spacing w:val="0"/>
        <w:w w:val="77"/>
        <w:sz w:val="28"/>
        <w:szCs w:val="28"/>
        <w:lang w:val="en-US" w:eastAsia="en-US" w:bidi="ar-SA"/>
      </w:rPr>
    </w:lvl>
    <w:lvl w:ilvl="1">
      <w:start w:val="0"/>
      <w:numFmt w:val="bullet"/>
      <w:lvlText w:val="•"/>
      <w:lvlJc w:val="left"/>
      <w:pPr>
        <w:ind w:left="2086" w:hanging="341"/>
      </w:pPr>
      <w:rPr>
        <w:rFonts w:hint="default"/>
        <w:lang w:val="en-US" w:eastAsia="en-US" w:bidi="ar-SA"/>
      </w:rPr>
    </w:lvl>
    <w:lvl w:ilvl="2">
      <w:start w:val="0"/>
      <w:numFmt w:val="bullet"/>
      <w:lvlText w:val="•"/>
      <w:lvlJc w:val="left"/>
      <w:pPr>
        <w:ind w:left="3113" w:hanging="341"/>
      </w:pPr>
      <w:rPr>
        <w:rFonts w:hint="default"/>
        <w:lang w:val="en-US" w:eastAsia="en-US" w:bidi="ar-SA"/>
      </w:rPr>
    </w:lvl>
    <w:lvl w:ilvl="3">
      <w:start w:val="0"/>
      <w:numFmt w:val="bullet"/>
      <w:lvlText w:val="•"/>
      <w:lvlJc w:val="left"/>
      <w:pPr>
        <w:ind w:left="4139" w:hanging="341"/>
      </w:pPr>
      <w:rPr>
        <w:rFonts w:hint="default"/>
        <w:lang w:val="en-US" w:eastAsia="en-US" w:bidi="ar-SA"/>
      </w:rPr>
    </w:lvl>
    <w:lvl w:ilvl="4">
      <w:start w:val="0"/>
      <w:numFmt w:val="bullet"/>
      <w:lvlText w:val="•"/>
      <w:lvlJc w:val="left"/>
      <w:pPr>
        <w:ind w:left="5166" w:hanging="341"/>
      </w:pPr>
      <w:rPr>
        <w:rFonts w:hint="default"/>
        <w:lang w:val="en-US" w:eastAsia="en-US" w:bidi="ar-SA"/>
      </w:rPr>
    </w:lvl>
    <w:lvl w:ilvl="5">
      <w:start w:val="0"/>
      <w:numFmt w:val="bullet"/>
      <w:lvlText w:val="•"/>
      <w:lvlJc w:val="left"/>
      <w:pPr>
        <w:ind w:left="6192" w:hanging="341"/>
      </w:pPr>
      <w:rPr>
        <w:rFonts w:hint="default"/>
        <w:lang w:val="en-US" w:eastAsia="en-US" w:bidi="ar-SA"/>
      </w:rPr>
    </w:lvl>
    <w:lvl w:ilvl="6">
      <w:start w:val="0"/>
      <w:numFmt w:val="bullet"/>
      <w:lvlText w:val="•"/>
      <w:lvlJc w:val="left"/>
      <w:pPr>
        <w:ind w:left="7219" w:hanging="341"/>
      </w:pPr>
      <w:rPr>
        <w:rFonts w:hint="default"/>
        <w:lang w:val="en-US" w:eastAsia="en-US" w:bidi="ar-SA"/>
      </w:rPr>
    </w:lvl>
    <w:lvl w:ilvl="7">
      <w:start w:val="0"/>
      <w:numFmt w:val="bullet"/>
      <w:lvlText w:val="•"/>
      <w:lvlJc w:val="left"/>
      <w:pPr>
        <w:ind w:left="8245" w:hanging="341"/>
      </w:pPr>
      <w:rPr>
        <w:rFonts w:hint="default"/>
        <w:lang w:val="en-US" w:eastAsia="en-US" w:bidi="ar-SA"/>
      </w:rPr>
    </w:lvl>
    <w:lvl w:ilvl="8">
      <w:start w:val="0"/>
      <w:numFmt w:val="bullet"/>
      <w:lvlText w:val="•"/>
      <w:lvlJc w:val="left"/>
      <w:pPr>
        <w:ind w:left="9272" w:hanging="341"/>
      </w:pPr>
      <w:rPr>
        <w:rFonts w:hint="default"/>
        <w:lang w:val="en-US" w:eastAsia="en-US" w:bidi="ar-SA"/>
      </w:rPr>
    </w:lvl>
  </w:abstractNum>
  <w:abstractNum w:abstractNumId="11">
    <w:multiLevelType w:val="hybridMultilevel"/>
    <w:lvl w:ilvl="0">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086" w:hanging="341"/>
      </w:pPr>
      <w:rPr>
        <w:rFonts w:hint="default"/>
        <w:lang w:val="en-US" w:eastAsia="en-US" w:bidi="ar-SA"/>
      </w:rPr>
    </w:lvl>
    <w:lvl w:ilvl="2">
      <w:start w:val="0"/>
      <w:numFmt w:val="bullet"/>
      <w:lvlText w:val="•"/>
      <w:lvlJc w:val="left"/>
      <w:pPr>
        <w:ind w:left="3113" w:hanging="341"/>
      </w:pPr>
      <w:rPr>
        <w:rFonts w:hint="default"/>
        <w:lang w:val="en-US" w:eastAsia="en-US" w:bidi="ar-SA"/>
      </w:rPr>
    </w:lvl>
    <w:lvl w:ilvl="3">
      <w:start w:val="0"/>
      <w:numFmt w:val="bullet"/>
      <w:lvlText w:val="•"/>
      <w:lvlJc w:val="left"/>
      <w:pPr>
        <w:ind w:left="4139" w:hanging="341"/>
      </w:pPr>
      <w:rPr>
        <w:rFonts w:hint="default"/>
        <w:lang w:val="en-US" w:eastAsia="en-US" w:bidi="ar-SA"/>
      </w:rPr>
    </w:lvl>
    <w:lvl w:ilvl="4">
      <w:start w:val="0"/>
      <w:numFmt w:val="bullet"/>
      <w:lvlText w:val="•"/>
      <w:lvlJc w:val="left"/>
      <w:pPr>
        <w:ind w:left="5166" w:hanging="341"/>
      </w:pPr>
      <w:rPr>
        <w:rFonts w:hint="default"/>
        <w:lang w:val="en-US" w:eastAsia="en-US" w:bidi="ar-SA"/>
      </w:rPr>
    </w:lvl>
    <w:lvl w:ilvl="5">
      <w:start w:val="0"/>
      <w:numFmt w:val="bullet"/>
      <w:lvlText w:val="•"/>
      <w:lvlJc w:val="left"/>
      <w:pPr>
        <w:ind w:left="6192" w:hanging="341"/>
      </w:pPr>
      <w:rPr>
        <w:rFonts w:hint="default"/>
        <w:lang w:val="en-US" w:eastAsia="en-US" w:bidi="ar-SA"/>
      </w:rPr>
    </w:lvl>
    <w:lvl w:ilvl="6">
      <w:start w:val="0"/>
      <w:numFmt w:val="bullet"/>
      <w:lvlText w:val="•"/>
      <w:lvlJc w:val="left"/>
      <w:pPr>
        <w:ind w:left="7219" w:hanging="341"/>
      </w:pPr>
      <w:rPr>
        <w:rFonts w:hint="default"/>
        <w:lang w:val="en-US" w:eastAsia="en-US" w:bidi="ar-SA"/>
      </w:rPr>
    </w:lvl>
    <w:lvl w:ilvl="7">
      <w:start w:val="0"/>
      <w:numFmt w:val="bullet"/>
      <w:lvlText w:val="•"/>
      <w:lvlJc w:val="left"/>
      <w:pPr>
        <w:ind w:left="8245" w:hanging="341"/>
      </w:pPr>
      <w:rPr>
        <w:rFonts w:hint="default"/>
        <w:lang w:val="en-US" w:eastAsia="en-US" w:bidi="ar-SA"/>
      </w:rPr>
    </w:lvl>
    <w:lvl w:ilvl="8">
      <w:start w:val="0"/>
      <w:numFmt w:val="bullet"/>
      <w:lvlText w:val="•"/>
      <w:lvlJc w:val="left"/>
      <w:pPr>
        <w:ind w:left="9272" w:hanging="341"/>
      </w:pPr>
      <w:rPr>
        <w:rFonts w:hint="default"/>
        <w:lang w:val="en-US" w:eastAsia="en-US" w:bidi="ar-SA"/>
      </w:rPr>
    </w:lvl>
  </w:abstractNum>
  <w:abstractNum w:abstractNumId="64">
    <w:multiLevelType w:val="hybridMultilevel"/>
    <w:lvl w:ilvl="0">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446" w:hanging="341"/>
      </w:pPr>
      <w:rPr>
        <w:rFonts w:hint="default"/>
        <w:lang w:val="en-US" w:eastAsia="en-US" w:bidi="ar-SA"/>
      </w:rPr>
    </w:lvl>
    <w:lvl w:ilvl="2">
      <w:start w:val="0"/>
      <w:numFmt w:val="bullet"/>
      <w:lvlText w:val="•"/>
      <w:lvlJc w:val="left"/>
      <w:pPr>
        <w:ind w:left="3433" w:hanging="341"/>
      </w:pPr>
      <w:rPr>
        <w:rFonts w:hint="default"/>
        <w:lang w:val="en-US" w:eastAsia="en-US" w:bidi="ar-SA"/>
      </w:rPr>
    </w:lvl>
    <w:lvl w:ilvl="3">
      <w:start w:val="0"/>
      <w:numFmt w:val="bullet"/>
      <w:lvlText w:val="•"/>
      <w:lvlJc w:val="left"/>
      <w:pPr>
        <w:ind w:left="4419" w:hanging="341"/>
      </w:pPr>
      <w:rPr>
        <w:rFonts w:hint="default"/>
        <w:lang w:val="en-US" w:eastAsia="en-US" w:bidi="ar-SA"/>
      </w:rPr>
    </w:lvl>
    <w:lvl w:ilvl="4">
      <w:start w:val="0"/>
      <w:numFmt w:val="bullet"/>
      <w:lvlText w:val="•"/>
      <w:lvlJc w:val="left"/>
      <w:pPr>
        <w:ind w:left="5406" w:hanging="341"/>
      </w:pPr>
      <w:rPr>
        <w:rFonts w:hint="default"/>
        <w:lang w:val="en-US" w:eastAsia="en-US" w:bidi="ar-SA"/>
      </w:rPr>
    </w:lvl>
    <w:lvl w:ilvl="5">
      <w:start w:val="0"/>
      <w:numFmt w:val="bullet"/>
      <w:lvlText w:val="•"/>
      <w:lvlJc w:val="left"/>
      <w:pPr>
        <w:ind w:left="6392" w:hanging="341"/>
      </w:pPr>
      <w:rPr>
        <w:rFonts w:hint="default"/>
        <w:lang w:val="en-US" w:eastAsia="en-US" w:bidi="ar-SA"/>
      </w:rPr>
    </w:lvl>
    <w:lvl w:ilvl="6">
      <w:start w:val="0"/>
      <w:numFmt w:val="bullet"/>
      <w:lvlText w:val="•"/>
      <w:lvlJc w:val="left"/>
      <w:pPr>
        <w:ind w:left="7379" w:hanging="341"/>
      </w:pPr>
      <w:rPr>
        <w:rFonts w:hint="default"/>
        <w:lang w:val="en-US" w:eastAsia="en-US" w:bidi="ar-SA"/>
      </w:rPr>
    </w:lvl>
    <w:lvl w:ilvl="7">
      <w:start w:val="0"/>
      <w:numFmt w:val="bullet"/>
      <w:lvlText w:val="•"/>
      <w:lvlJc w:val="left"/>
      <w:pPr>
        <w:ind w:left="8365" w:hanging="341"/>
      </w:pPr>
      <w:rPr>
        <w:rFonts w:hint="default"/>
        <w:lang w:val="en-US" w:eastAsia="en-US" w:bidi="ar-SA"/>
      </w:rPr>
    </w:lvl>
    <w:lvl w:ilvl="8">
      <w:start w:val="0"/>
      <w:numFmt w:val="bullet"/>
      <w:lvlText w:val="•"/>
      <w:lvlJc w:val="left"/>
      <w:pPr>
        <w:ind w:left="9352" w:hanging="341"/>
      </w:pPr>
      <w:rPr>
        <w:rFonts w:hint="default"/>
        <w:lang w:val="en-US" w:eastAsia="en-US" w:bidi="ar-SA"/>
      </w:rPr>
    </w:lvl>
  </w:abstractNum>
  <w:abstractNum w:abstractNumId="62">
    <w:multiLevelType w:val="hybridMultilevel"/>
    <w:lvl w:ilvl="0">
      <w:start w:val="7"/>
      <w:numFmt w:val="decimal"/>
      <w:lvlText w:val="%1"/>
      <w:lvlJc w:val="left"/>
      <w:pPr>
        <w:ind w:left="1756" w:hanging="639"/>
        <w:jc w:val="left"/>
      </w:pPr>
      <w:rPr>
        <w:rFonts w:hint="default"/>
        <w:lang w:val="en-US" w:eastAsia="en-US" w:bidi="ar-SA"/>
      </w:rPr>
    </w:lvl>
    <w:lvl w:ilvl="1">
      <w:start w:val="5"/>
      <w:numFmt w:val="decimal"/>
      <w:lvlText w:val="%1.%2"/>
      <w:lvlJc w:val="left"/>
      <w:pPr>
        <w:ind w:left="1756" w:hanging="639"/>
        <w:jc w:val="left"/>
      </w:pPr>
      <w:rPr>
        <w:rFonts w:hint="default"/>
        <w:lang w:val="en-US" w:eastAsia="en-US" w:bidi="ar-SA"/>
      </w:rPr>
    </w:lvl>
    <w:lvl w:ilvl="2">
      <w:start w:val="1"/>
      <w:numFmt w:val="decimal"/>
      <w:lvlText w:val="%1.%2.%3"/>
      <w:lvlJc w:val="left"/>
      <w:pPr>
        <w:ind w:left="1756" w:hanging="639"/>
        <w:jc w:val="lef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4">
      <w:start w:val="0"/>
      <w:numFmt w:val="bullet"/>
      <w:lvlText w:val="•"/>
      <w:lvlJc w:val="left"/>
      <w:pPr>
        <w:ind w:left="4948" w:hanging="341"/>
      </w:pPr>
      <w:rPr>
        <w:rFonts w:hint="default"/>
        <w:lang w:val="en-US" w:eastAsia="en-US" w:bidi="ar-SA"/>
      </w:rPr>
    </w:lvl>
    <w:lvl w:ilvl="5">
      <w:start w:val="0"/>
      <w:numFmt w:val="bullet"/>
      <w:lvlText w:val="•"/>
      <w:lvlJc w:val="left"/>
      <w:pPr>
        <w:ind w:left="6011" w:hanging="341"/>
      </w:pPr>
      <w:rPr>
        <w:rFonts w:hint="default"/>
        <w:lang w:val="en-US" w:eastAsia="en-US" w:bidi="ar-SA"/>
      </w:rPr>
    </w:lvl>
    <w:lvl w:ilvl="6">
      <w:start w:val="0"/>
      <w:numFmt w:val="bullet"/>
      <w:lvlText w:val="•"/>
      <w:lvlJc w:val="left"/>
      <w:pPr>
        <w:ind w:left="7074" w:hanging="341"/>
      </w:pPr>
      <w:rPr>
        <w:rFonts w:hint="default"/>
        <w:lang w:val="en-US" w:eastAsia="en-US" w:bidi="ar-SA"/>
      </w:rPr>
    </w:lvl>
    <w:lvl w:ilvl="7">
      <w:start w:val="0"/>
      <w:numFmt w:val="bullet"/>
      <w:lvlText w:val="•"/>
      <w:lvlJc w:val="left"/>
      <w:pPr>
        <w:ind w:left="8137" w:hanging="341"/>
      </w:pPr>
      <w:rPr>
        <w:rFonts w:hint="default"/>
        <w:lang w:val="en-US" w:eastAsia="en-US" w:bidi="ar-SA"/>
      </w:rPr>
    </w:lvl>
    <w:lvl w:ilvl="8">
      <w:start w:val="0"/>
      <w:numFmt w:val="bullet"/>
      <w:lvlText w:val="•"/>
      <w:lvlJc w:val="left"/>
      <w:pPr>
        <w:ind w:left="9199" w:hanging="341"/>
      </w:pPr>
      <w:rPr>
        <w:rFonts w:hint="default"/>
        <w:lang w:val="en-US" w:eastAsia="en-US" w:bidi="ar-SA"/>
      </w:rPr>
    </w:lvl>
  </w:abstractNum>
  <w:abstractNum w:abstractNumId="59">
    <w:multiLevelType w:val="hybridMultilevel"/>
    <w:lvl w:ilvl="0">
      <w:start w:val="7"/>
      <w:numFmt w:val="decimal"/>
      <w:lvlText w:val="%1"/>
      <w:lvlJc w:val="left"/>
      <w:pPr>
        <w:ind w:left="482" w:hanging="483"/>
        <w:jc w:val="left"/>
      </w:pPr>
      <w:rPr>
        <w:rFonts w:hint="default"/>
        <w:lang w:val="en-US" w:eastAsia="en-US" w:bidi="ar-SA"/>
      </w:rPr>
    </w:lvl>
    <w:lvl w:ilvl="1">
      <w:start w:val="4"/>
      <w:numFmt w:val="decimal"/>
      <w:lvlText w:val="%1.%2"/>
      <w:lvlJc w:val="left"/>
      <w:pPr>
        <w:ind w:left="482" w:hanging="483"/>
        <w:jc w:val="left"/>
      </w:pPr>
      <w:rPr>
        <w:rFonts w:hint="default" w:ascii="Calibri" w:hAnsi="Calibri" w:eastAsia="Calibri" w:cs="Calibri"/>
        <w:b/>
        <w:bCs/>
        <w:i w:val="0"/>
        <w:iCs w:val="0"/>
        <w:color w:val="004A93"/>
        <w:spacing w:val="0"/>
        <w:w w:val="100"/>
        <w:sz w:val="32"/>
        <w:szCs w:val="32"/>
        <w:lang w:val="en-US" w:eastAsia="en-US" w:bidi="ar-SA"/>
      </w:rPr>
    </w:lvl>
    <w:lvl w:ilvl="2">
      <w:start w:val="0"/>
      <w:numFmt w:val="bullet"/>
      <w:lvlText w:val="•"/>
      <w:lvlJc w:val="left"/>
      <w:pPr>
        <w:ind w:left="1133" w:hanging="483"/>
      </w:pPr>
      <w:rPr>
        <w:rFonts w:hint="default"/>
        <w:lang w:val="en-US" w:eastAsia="en-US" w:bidi="ar-SA"/>
      </w:rPr>
    </w:lvl>
    <w:lvl w:ilvl="3">
      <w:start w:val="0"/>
      <w:numFmt w:val="bullet"/>
      <w:lvlText w:val="•"/>
      <w:lvlJc w:val="left"/>
      <w:pPr>
        <w:ind w:left="1460" w:hanging="483"/>
      </w:pPr>
      <w:rPr>
        <w:rFonts w:hint="default"/>
        <w:lang w:val="en-US" w:eastAsia="en-US" w:bidi="ar-SA"/>
      </w:rPr>
    </w:lvl>
    <w:lvl w:ilvl="4">
      <w:start w:val="0"/>
      <w:numFmt w:val="bullet"/>
      <w:lvlText w:val="•"/>
      <w:lvlJc w:val="left"/>
      <w:pPr>
        <w:ind w:left="1787" w:hanging="483"/>
      </w:pPr>
      <w:rPr>
        <w:rFonts w:hint="default"/>
        <w:lang w:val="en-US" w:eastAsia="en-US" w:bidi="ar-SA"/>
      </w:rPr>
    </w:lvl>
    <w:lvl w:ilvl="5">
      <w:start w:val="0"/>
      <w:numFmt w:val="bullet"/>
      <w:lvlText w:val="•"/>
      <w:lvlJc w:val="left"/>
      <w:pPr>
        <w:ind w:left="2114" w:hanging="483"/>
      </w:pPr>
      <w:rPr>
        <w:rFonts w:hint="default"/>
        <w:lang w:val="en-US" w:eastAsia="en-US" w:bidi="ar-SA"/>
      </w:rPr>
    </w:lvl>
    <w:lvl w:ilvl="6">
      <w:start w:val="0"/>
      <w:numFmt w:val="bullet"/>
      <w:lvlText w:val="•"/>
      <w:lvlJc w:val="left"/>
      <w:pPr>
        <w:ind w:left="2441" w:hanging="483"/>
      </w:pPr>
      <w:rPr>
        <w:rFonts w:hint="default"/>
        <w:lang w:val="en-US" w:eastAsia="en-US" w:bidi="ar-SA"/>
      </w:rPr>
    </w:lvl>
    <w:lvl w:ilvl="7">
      <w:start w:val="0"/>
      <w:numFmt w:val="bullet"/>
      <w:lvlText w:val="•"/>
      <w:lvlJc w:val="left"/>
      <w:pPr>
        <w:ind w:left="2768" w:hanging="483"/>
      </w:pPr>
      <w:rPr>
        <w:rFonts w:hint="default"/>
        <w:lang w:val="en-US" w:eastAsia="en-US" w:bidi="ar-SA"/>
      </w:rPr>
    </w:lvl>
    <w:lvl w:ilvl="8">
      <w:start w:val="0"/>
      <w:numFmt w:val="bullet"/>
      <w:lvlText w:val="•"/>
      <w:lvlJc w:val="left"/>
      <w:pPr>
        <w:ind w:left="3095" w:hanging="483"/>
      </w:pPr>
      <w:rPr>
        <w:rFonts w:hint="default"/>
        <w:lang w:val="en-US" w:eastAsia="en-US" w:bidi="ar-SA"/>
      </w:rPr>
    </w:lvl>
  </w:abstractNum>
  <w:abstractNum w:abstractNumId="60">
    <w:multiLevelType w:val="hybridMultilevel"/>
    <w:lvl w:ilvl="0">
      <w:start w:val="7"/>
      <w:numFmt w:val="decimal"/>
      <w:lvlText w:val="%1"/>
      <w:lvlJc w:val="left"/>
      <w:pPr>
        <w:ind w:left="1756" w:hanging="639"/>
        <w:jc w:val="left"/>
      </w:pPr>
      <w:rPr>
        <w:rFonts w:hint="default"/>
        <w:lang w:val="en-US" w:eastAsia="en-US" w:bidi="ar-SA"/>
      </w:rPr>
    </w:lvl>
    <w:lvl w:ilvl="1">
      <w:start w:val="4"/>
      <w:numFmt w:val="decimal"/>
      <w:lvlText w:val="%1.%2"/>
      <w:lvlJc w:val="left"/>
      <w:pPr>
        <w:ind w:left="1756" w:hanging="639"/>
        <w:jc w:val="left"/>
      </w:pPr>
      <w:rPr>
        <w:rFonts w:hint="default"/>
        <w:lang w:val="en-US" w:eastAsia="en-US" w:bidi="ar-SA"/>
      </w:rPr>
    </w:lvl>
    <w:lvl w:ilvl="2">
      <w:start w:val="1"/>
      <w:numFmt w:val="decimal"/>
      <w:lvlText w:val="%1.%2.%3"/>
      <w:lvlJc w:val="left"/>
      <w:pPr>
        <w:ind w:left="1756" w:hanging="639"/>
        <w:jc w:val="lef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4">
      <w:start w:val="0"/>
      <w:numFmt w:val="bullet"/>
      <w:lvlText w:val="•"/>
      <w:lvlJc w:val="left"/>
      <w:pPr>
        <w:ind w:left="4948" w:hanging="341"/>
      </w:pPr>
      <w:rPr>
        <w:rFonts w:hint="default"/>
        <w:lang w:val="en-US" w:eastAsia="en-US" w:bidi="ar-SA"/>
      </w:rPr>
    </w:lvl>
    <w:lvl w:ilvl="5">
      <w:start w:val="0"/>
      <w:numFmt w:val="bullet"/>
      <w:lvlText w:val="•"/>
      <w:lvlJc w:val="left"/>
      <w:pPr>
        <w:ind w:left="6011" w:hanging="341"/>
      </w:pPr>
      <w:rPr>
        <w:rFonts w:hint="default"/>
        <w:lang w:val="en-US" w:eastAsia="en-US" w:bidi="ar-SA"/>
      </w:rPr>
    </w:lvl>
    <w:lvl w:ilvl="6">
      <w:start w:val="0"/>
      <w:numFmt w:val="bullet"/>
      <w:lvlText w:val="•"/>
      <w:lvlJc w:val="left"/>
      <w:pPr>
        <w:ind w:left="7074" w:hanging="341"/>
      </w:pPr>
      <w:rPr>
        <w:rFonts w:hint="default"/>
        <w:lang w:val="en-US" w:eastAsia="en-US" w:bidi="ar-SA"/>
      </w:rPr>
    </w:lvl>
    <w:lvl w:ilvl="7">
      <w:start w:val="0"/>
      <w:numFmt w:val="bullet"/>
      <w:lvlText w:val="•"/>
      <w:lvlJc w:val="left"/>
      <w:pPr>
        <w:ind w:left="8137" w:hanging="341"/>
      </w:pPr>
      <w:rPr>
        <w:rFonts w:hint="default"/>
        <w:lang w:val="en-US" w:eastAsia="en-US" w:bidi="ar-SA"/>
      </w:rPr>
    </w:lvl>
    <w:lvl w:ilvl="8">
      <w:start w:val="0"/>
      <w:numFmt w:val="bullet"/>
      <w:lvlText w:val="•"/>
      <w:lvlJc w:val="left"/>
      <w:pPr>
        <w:ind w:left="9199" w:hanging="341"/>
      </w:pPr>
      <w:rPr>
        <w:rFonts w:hint="default"/>
        <w:lang w:val="en-US" w:eastAsia="en-US" w:bidi="ar-SA"/>
      </w:rPr>
    </w:lvl>
  </w:abstractNum>
  <w:abstractNum w:abstractNumId="56">
    <w:multiLevelType w:val="hybridMultilevel"/>
    <w:lvl w:ilvl="0">
      <w:start w:val="7"/>
      <w:numFmt w:val="decimal"/>
      <w:lvlText w:val="%1"/>
      <w:lvlJc w:val="left"/>
      <w:pPr>
        <w:ind w:left="482" w:hanging="483"/>
        <w:jc w:val="left"/>
      </w:pPr>
      <w:rPr>
        <w:rFonts w:hint="default"/>
        <w:lang w:val="en-US" w:eastAsia="en-US" w:bidi="ar-SA"/>
      </w:rPr>
    </w:lvl>
    <w:lvl w:ilvl="1">
      <w:start w:val="2"/>
      <w:numFmt w:val="decimal"/>
      <w:lvlText w:val="%1.%2"/>
      <w:lvlJc w:val="left"/>
      <w:pPr>
        <w:ind w:left="482" w:hanging="483"/>
        <w:jc w:val="left"/>
      </w:pPr>
      <w:rPr>
        <w:rFonts w:hint="default" w:ascii="Calibri" w:hAnsi="Calibri" w:eastAsia="Calibri" w:cs="Calibri"/>
        <w:b/>
        <w:bCs/>
        <w:i w:val="0"/>
        <w:iCs w:val="0"/>
        <w:color w:val="004A93"/>
        <w:spacing w:val="0"/>
        <w:w w:val="100"/>
        <w:sz w:val="32"/>
        <w:szCs w:val="32"/>
        <w:lang w:val="en-US" w:eastAsia="en-US" w:bidi="ar-SA"/>
      </w:rPr>
    </w:lvl>
    <w:lvl w:ilvl="2">
      <w:start w:val="0"/>
      <w:numFmt w:val="bullet"/>
      <w:lvlText w:val="•"/>
      <w:lvlJc w:val="left"/>
      <w:pPr>
        <w:ind w:left="1285" w:hanging="483"/>
      </w:pPr>
      <w:rPr>
        <w:rFonts w:hint="default"/>
        <w:lang w:val="en-US" w:eastAsia="en-US" w:bidi="ar-SA"/>
      </w:rPr>
    </w:lvl>
    <w:lvl w:ilvl="3">
      <w:start w:val="0"/>
      <w:numFmt w:val="bullet"/>
      <w:lvlText w:val="•"/>
      <w:lvlJc w:val="left"/>
      <w:pPr>
        <w:ind w:left="1688" w:hanging="483"/>
      </w:pPr>
      <w:rPr>
        <w:rFonts w:hint="default"/>
        <w:lang w:val="en-US" w:eastAsia="en-US" w:bidi="ar-SA"/>
      </w:rPr>
    </w:lvl>
    <w:lvl w:ilvl="4">
      <w:start w:val="0"/>
      <w:numFmt w:val="bullet"/>
      <w:lvlText w:val="•"/>
      <w:lvlJc w:val="left"/>
      <w:pPr>
        <w:ind w:left="2091" w:hanging="483"/>
      </w:pPr>
      <w:rPr>
        <w:rFonts w:hint="default"/>
        <w:lang w:val="en-US" w:eastAsia="en-US" w:bidi="ar-SA"/>
      </w:rPr>
    </w:lvl>
    <w:lvl w:ilvl="5">
      <w:start w:val="0"/>
      <w:numFmt w:val="bullet"/>
      <w:lvlText w:val="•"/>
      <w:lvlJc w:val="left"/>
      <w:pPr>
        <w:ind w:left="2494" w:hanging="483"/>
      </w:pPr>
      <w:rPr>
        <w:rFonts w:hint="default"/>
        <w:lang w:val="en-US" w:eastAsia="en-US" w:bidi="ar-SA"/>
      </w:rPr>
    </w:lvl>
    <w:lvl w:ilvl="6">
      <w:start w:val="0"/>
      <w:numFmt w:val="bullet"/>
      <w:lvlText w:val="•"/>
      <w:lvlJc w:val="left"/>
      <w:pPr>
        <w:ind w:left="2896" w:hanging="483"/>
      </w:pPr>
      <w:rPr>
        <w:rFonts w:hint="default"/>
        <w:lang w:val="en-US" w:eastAsia="en-US" w:bidi="ar-SA"/>
      </w:rPr>
    </w:lvl>
    <w:lvl w:ilvl="7">
      <w:start w:val="0"/>
      <w:numFmt w:val="bullet"/>
      <w:lvlText w:val="•"/>
      <w:lvlJc w:val="left"/>
      <w:pPr>
        <w:ind w:left="3299" w:hanging="483"/>
      </w:pPr>
      <w:rPr>
        <w:rFonts w:hint="default"/>
        <w:lang w:val="en-US" w:eastAsia="en-US" w:bidi="ar-SA"/>
      </w:rPr>
    </w:lvl>
    <w:lvl w:ilvl="8">
      <w:start w:val="0"/>
      <w:numFmt w:val="bullet"/>
      <w:lvlText w:val="•"/>
      <w:lvlJc w:val="left"/>
      <w:pPr>
        <w:ind w:left="3702" w:hanging="483"/>
      </w:pPr>
      <w:rPr>
        <w:rFonts w:hint="default"/>
        <w:lang w:val="en-US" w:eastAsia="en-US" w:bidi="ar-SA"/>
      </w:rPr>
    </w:lvl>
  </w:abstractNum>
  <w:abstractNum w:abstractNumId="57">
    <w:multiLevelType w:val="hybridMultilevel"/>
    <w:lvl w:ilvl="0">
      <w:start w:val="7"/>
      <w:numFmt w:val="decimal"/>
      <w:lvlText w:val="%1"/>
      <w:lvlJc w:val="left"/>
      <w:pPr>
        <w:ind w:left="1202" w:hanging="483"/>
        <w:jc w:val="left"/>
      </w:pPr>
      <w:rPr>
        <w:rFonts w:hint="default"/>
        <w:lang w:val="en-US" w:eastAsia="en-US" w:bidi="ar-SA"/>
      </w:rPr>
    </w:lvl>
    <w:lvl w:ilvl="1">
      <w:start w:val="3"/>
      <w:numFmt w:val="decimal"/>
      <w:lvlText w:val="%1.%2"/>
      <w:lvlJc w:val="left"/>
      <w:pPr>
        <w:ind w:left="1202" w:hanging="483"/>
        <w:jc w:val="left"/>
      </w:pPr>
      <w:rPr>
        <w:rFonts w:hint="default" w:ascii="Calibri" w:hAnsi="Calibri" w:eastAsia="Calibri" w:cs="Calibri"/>
        <w:b/>
        <w:bCs/>
        <w:i w:val="0"/>
        <w:iCs w:val="0"/>
        <w:color w:val="004A93"/>
        <w:spacing w:val="0"/>
        <w:w w:val="100"/>
        <w:sz w:val="32"/>
        <w:szCs w:val="32"/>
        <w:lang w:val="en-US" w:eastAsia="en-US" w:bidi="ar-SA"/>
      </w:rPr>
    </w:lvl>
    <w:lvl w:ilvl="2">
      <w:start w:val="1"/>
      <w:numFmt w:val="decimal"/>
      <w:lvlText w:val="%1.%2.%3"/>
      <w:lvlJc w:val="left"/>
      <w:pPr>
        <w:ind w:left="1359" w:hanging="639"/>
        <w:jc w:val="righ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4">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5">
      <w:start w:val="0"/>
      <w:numFmt w:val="bullet"/>
      <w:lvlText w:val="•"/>
      <w:lvlJc w:val="left"/>
      <w:pPr>
        <w:ind w:left="4278" w:hanging="341"/>
      </w:pPr>
      <w:rPr>
        <w:rFonts w:hint="default"/>
        <w:lang w:val="en-US" w:eastAsia="en-US" w:bidi="ar-SA"/>
      </w:rPr>
    </w:lvl>
    <w:lvl w:ilvl="6">
      <w:start w:val="0"/>
      <w:numFmt w:val="bullet"/>
      <w:lvlText w:val="•"/>
      <w:lvlJc w:val="left"/>
      <w:pPr>
        <w:ind w:left="5688" w:hanging="341"/>
      </w:pPr>
      <w:rPr>
        <w:rFonts w:hint="default"/>
        <w:lang w:val="en-US" w:eastAsia="en-US" w:bidi="ar-SA"/>
      </w:rPr>
    </w:lvl>
    <w:lvl w:ilvl="7">
      <w:start w:val="0"/>
      <w:numFmt w:val="bullet"/>
      <w:lvlText w:val="•"/>
      <w:lvlJc w:val="left"/>
      <w:pPr>
        <w:ind w:left="7097" w:hanging="341"/>
      </w:pPr>
      <w:rPr>
        <w:rFonts w:hint="default"/>
        <w:lang w:val="en-US" w:eastAsia="en-US" w:bidi="ar-SA"/>
      </w:rPr>
    </w:lvl>
    <w:lvl w:ilvl="8">
      <w:start w:val="0"/>
      <w:numFmt w:val="bullet"/>
      <w:lvlText w:val="•"/>
      <w:lvlJc w:val="left"/>
      <w:pPr>
        <w:ind w:left="8506" w:hanging="341"/>
      </w:pPr>
      <w:rPr>
        <w:rFonts w:hint="default"/>
        <w:lang w:val="en-US" w:eastAsia="en-US" w:bidi="ar-SA"/>
      </w:rPr>
    </w:lvl>
  </w:abstractNum>
  <w:abstractNum w:abstractNumId="55">
    <w:multiLevelType w:val="hybridMultilevel"/>
    <w:lvl w:ilvl="0">
      <w:start w:val="7"/>
      <w:numFmt w:val="decimal"/>
      <w:lvlText w:val="%1"/>
      <w:lvlJc w:val="left"/>
      <w:pPr>
        <w:ind w:left="1599" w:hanging="483"/>
        <w:jc w:val="left"/>
      </w:pPr>
      <w:rPr>
        <w:rFonts w:hint="default"/>
        <w:lang w:val="en-US" w:eastAsia="en-US" w:bidi="ar-SA"/>
      </w:rPr>
    </w:lvl>
    <w:lvl w:ilvl="1">
      <w:start w:val="1"/>
      <w:numFmt w:val="decimal"/>
      <w:lvlText w:val="%1.%2"/>
      <w:lvlJc w:val="left"/>
      <w:pPr>
        <w:ind w:left="1599" w:hanging="483"/>
        <w:jc w:val="left"/>
      </w:pPr>
      <w:rPr>
        <w:rFonts w:hint="default" w:ascii="Calibri" w:hAnsi="Calibri" w:eastAsia="Calibri" w:cs="Calibri"/>
        <w:b/>
        <w:bCs/>
        <w:i w:val="0"/>
        <w:iCs w:val="0"/>
        <w:color w:val="004A93"/>
        <w:spacing w:val="0"/>
        <w:w w:val="100"/>
        <w:sz w:val="32"/>
        <w:szCs w:val="32"/>
        <w:lang w:val="en-US" w:eastAsia="en-US" w:bidi="ar-SA"/>
      </w:rPr>
    </w:lvl>
    <w:lvl w:ilvl="2">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3">
      <w:start w:val="0"/>
      <w:numFmt w:val="bullet"/>
      <w:lvlText w:val="•"/>
      <w:lvlJc w:val="left"/>
      <w:pPr>
        <w:ind w:left="3761" w:hanging="341"/>
      </w:pPr>
      <w:rPr>
        <w:rFonts w:hint="default"/>
        <w:lang w:val="en-US" w:eastAsia="en-US" w:bidi="ar-SA"/>
      </w:rPr>
    </w:lvl>
    <w:lvl w:ilvl="4">
      <w:start w:val="0"/>
      <w:numFmt w:val="bullet"/>
      <w:lvlText w:val="•"/>
      <w:lvlJc w:val="left"/>
      <w:pPr>
        <w:ind w:left="4841" w:hanging="341"/>
      </w:pPr>
      <w:rPr>
        <w:rFonts w:hint="default"/>
        <w:lang w:val="en-US" w:eastAsia="en-US" w:bidi="ar-SA"/>
      </w:rPr>
    </w:lvl>
    <w:lvl w:ilvl="5">
      <w:start w:val="0"/>
      <w:numFmt w:val="bullet"/>
      <w:lvlText w:val="•"/>
      <w:lvlJc w:val="left"/>
      <w:pPr>
        <w:ind w:left="5922" w:hanging="341"/>
      </w:pPr>
      <w:rPr>
        <w:rFonts w:hint="default"/>
        <w:lang w:val="en-US" w:eastAsia="en-US" w:bidi="ar-SA"/>
      </w:rPr>
    </w:lvl>
    <w:lvl w:ilvl="6">
      <w:start w:val="0"/>
      <w:numFmt w:val="bullet"/>
      <w:lvlText w:val="•"/>
      <w:lvlJc w:val="left"/>
      <w:pPr>
        <w:ind w:left="7003" w:hanging="341"/>
      </w:pPr>
      <w:rPr>
        <w:rFonts w:hint="default"/>
        <w:lang w:val="en-US" w:eastAsia="en-US" w:bidi="ar-SA"/>
      </w:rPr>
    </w:lvl>
    <w:lvl w:ilvl="7">
      <w:start w:val="0"/>
      <w:numFmt w:val="bullet"/>
      <w:lvlText w:val="•"/>
      <w:lvlJc w:val="left"/>
      <w:pPr>
        <w:ind w:left="8083" w:hanging="341"/>
      </w:pPr>
      <w:rPr>
        <w:rFonts w:hint="default"/>
        <w:lang w:val="en-US" w:eastAsia="en-US" w:bidi="ar-SA"/>
      </w:rPr>
    </w:lvl>
    <w:lvl w:ilvl="8">
      <w:start w:val="0"/>
      <w:numFmt w:val="bullet"/>
      <w:lvlText w:val="•"/>
      <w:lvlJc w:val="left"/>
      <w:pPr>
        <w:ind w:left="9164" w:hanging="341"/>
      </w:pPr>
      <w:rPr>
        <w:rFonts w:hint="default"/>
        <w:lang w:val="en-US" w:eastAsia="en-US" w:bidi="ar-SA"/>
      </w:rPr>
    </w:lvl>
  </w:abstractNum>
  <w:abstractNum w:abstractNumId="54">
    <w:multiLevelType w:val="hybridMultilevel"/>
    <w:lvl w:ilvl="0">
      <w:start w:val="1"/>
      <w:numFmt w:val="lowerLetter"/>
      <w:lvlText w:val="(%1)"/>
      <w:lvlJc w:val="left"/>
      <w:pPr>
        <w:ind w:left="770" w:hanging="431"/>
        <w:jc w:val="left"/>
      </w:pPr>
      <w:rPr>
        <w:rFonts w:hint="default" w:ascii="Calibri" w:hAnsi="Calibri" w:eastAsia="Calibri" w:cs="Calibri"/>
        <w:b w:val="0"/>
        <w:bCs w:val="0"/>
        <w:i w:val="0"/>
        <w:iCs w:val="0"/>
        <w:color w:val="164194"/>
        <w:spacing w:val="-1"/>
        <w:w w:val="100"/>
        <w:sz w:val="28"/>
        <w:szCs w:val="28"/>
        <w:lang w:val="en-US" w:eastAsia="en-US" w:bidi="ar-SA"/>
      </w:rPr>
    </w:lvl>
    <w:lvl w:ilvl="1">
      <w:start w:val="0"/>
      <w:numFmt w:val="bullet"/>
      <w:lvlText w:val="•"/>
      <w:lvlJc w:val="left"/>
      <w:pPr>
        <w:ind w:left="1648" w:hanging="431"/>
      </w:pPr>
      <w:rPr>
        <w:rFonts w:hint="default"/>
        <w:lang w:val="en-US" w:eastAsia="en-US" w:bidi="ar-SA"/>
      </w:rPr>
    </w:lvl>
    <w:lvl w:ilvl="2">
      <w:start w:val="0"/>
      <w:numFmt w:val="bullet"/>
      <w:lvlText w:val="•"/>
      <w:lvlJc w:val="left"/>
      <w:pPr>
        <w:ind w:left="2517" w:hanging="431"/>
      </w:pPr>
      <w:rPr>
        <w:rFonts w:hint="default"/>
        <w:lang w:val="en-US" w:eastAsia="en-US" w:bidi="ar-SA"/>
      </w:rPr>
    </w:lvl>
    <w:lvl w:ilvl="3">
      <w:start w:val="0"/>
      <w:numFmt w:val="bullet"/>
      <w:lvlText w:val="•"/>
      <w:lvlJc w:val="left"/>
      <w:pPr>
        <w:ind w:left="3386" w:hanging="431"/>
      </w:pPr>
      <w:rPr>
        <w:rFonts w:hint="default"/>
        <w:lang w:val="en-US" w:eastAsia="en-US" w:bidi="ar-SA"/>
      </w:rPr>
    </w:lvl>
    <w:lvl w:ilvl="4">
      <w:start w:val="0"/>
      <w:numFmt w:val="bullet"/>
      <w:lvlText w:val="•"/>
      <w:lvlJc w:val="left"/>
      <w:pPr>
        <w:ind w:left="4255" w:hanging="431"/>
      </w:pPr>
      <w:rPr>
        <w:rFonts w:hint="default"/>
        <w:lang w:val="en-US" w:eastAsia="en-US" w:bidi="ar-SA"/>
      </w:rPr>
    </w:lvl>
    <w:lvl w:ilvl="5">
      <w:start w:val="0"/>
      <w:numFmt w:val="bullet"/>
      <w:lvlText w:val="•"/>
      <w:lvlJc w:val="left"/>
      <w:pPr>
        <w:ind w:left="5123" w:hanging="431"/>
      </w:pPr>
      <w:rPr>
        <w:rFonts w:hint="default"/>
        <w:lang w:val="en-US" w:eastAsia="en-US" w:bidi="ar-SA"/>
      </w:rPr>
    </w:lvl>
    <w:lvl w:ilvl="6">
      <w:start w:val="0"/>
      <w:numFmt w:val="bullet"/>
      <w:lvlText w:val="•"/>
      <w:lvlJc w:val="left"/>
      <w:pPr>
        <w:ind w:left="5992" w:hanging="431"/>
      </w:pPr>
      <w:rPr>
        <w:rFonts w:hint="default"/>
        <w:lang w:val="en-US" w:eastAsia="en-US" w:bidi="ar-SA"/>
      </w:rPr>
    </w:lvl>
    <w:lvl w:ilvl="7">
      <w:start w:val="0"/>
      <w:numFmt w:val="bullet"/>
      <w:lvlText w:val="•"/>
      <w:lvlJc w:val="left"/>
      <w:pPr>
        <w:ind w:left="6861" w:hanging="431"/>
      </w:pPr>
      <w:rPr>
        <w:rFonts w:hint="default"/>
        <w:lang w:val="en-US" w:eastAsia="en-US" w:bidi="ar-SA"/>
      </w:rPr>
    </w:lvl>
    <w:lvl w:ilvl="8">
      <w:start w:val="0"/>
      <w:numFmt w:val="bullet"/>
      <w:lvlText w:val="•"/>
      <w:lvlJc w:val="left"/>
      <w:pPr>
        <w:ind w:left="7730" w:hanging="431"/>
      </w:pPr>
      <w:rPr>
        <w:rFonts w:hint="default"/>
        <w:lang w:val="en-US" w:eastAsia="en-US" w:bidi="ar-SA"/>
      </w:rPr>
    </w:lvl>
  </w:abstractNum>
  <w:abstractNum w:abstractNumId="52">
    <w:multiLevelType w:val="hybridMultilevel"/>
    <w:lvl w:ilvl="0">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446" w:hanging="341"/>
      </w:pPr>
      <w:rPr>
        <w:rFonts w:hint="default"/>
        <w:lang w:val="en-US" w:eastAsia="en-US" w:bidi="ar-SA"/>
      </w:rPr>
    </w:lvl>
    <w:lvl w:ilvl="2">
      <w:start w:val="0"/>
      <w:numFmt w:val="bullet"/>
      <w:lvlText w:val="•"/>
      <w:lvlJc w:val="left"/>
      <w:pPr>
        <w:ind w:left="3433" w:hanging="341"/>
      </w:pPr>
      <w:rPr>
        <w:rFonts w:hint="default"/>
        <w:lang w:val="en-US" w:eastAsia="en-US" w:bidi="ar-SA"/>
      </w:rPr>
    </w:lvl>
    <w:lvl w:ilvl="3">
      <w:start w:val="0"/>
      <w:numFmt w:val="bullet"/>
      <w:lvlText w:val="•"/>
      <w:lvlJc w:val="left"/>
      <w:pPr>
        <w:ind w:left="4419" w:hanging="341"/>
      </w:pPr>
      <w:rPr>
        <w:rFonts w:hint="default"/>
        <w:lang w:val="en-US" w:eastAsia="en-US" w:bidi="ar-SA"/>
      </w:rPr>
    </w:lvl>
    <w:lvl w:ilvl="4">
      <w:start w:val="0"/>
      <w:numFmt w:val="bullet"/>
      <w:lvlText w:val="•"/>
      <w:lvlJc w:val="left"/>
      <w:pPr>
        <w:ind w:left="5406" w:hanging="341"/>
      </w:pPr>
      <w:rPr>
        <w:rFonts w:hint="default"/>
        <w:lang w:val="en-US" w:eastAsia="en-US" w:bidi="ar-SA"/>
      </w:rPr>
    </w:lvl>
    <w:lvl w:ilvl="5">
      <w:start w:val="0"/>
      <w:numFmt w:val="bullet"/>
      <w:lvlText w:val="•"/>
      <w:lvlJc w:val="left"/>
      <w:pPr>
        <w:ind w:left="6392" w:hanging="341"/>
      </w:pPr>
      <w:rPr>
        <w:rFonts w:hint="default"/>
        <w:lang w:val="en-US" w:eastAsia="en-US" w:bidi="ar-SA"/>
      </w:rPr>
    </w:lvl>
    <w:lvl w:ilvl="6">
      <w:start w:val="0"/>
      <w:numFmt w:val="bullet"/>
      <w:lvlText w:val="•"/>
      <w:lvlJc w:val="left"/>
      <w:pPr>
        <w:ind w:left="7379" w:hanging="341"/>
      </w:pPr>
      <w:rPr>
        <w:rFonts w:hint="default"/>
        <w:lang w:val="en-US" w:eastAsia="en-US" w:bidi="ar-SA"/>
      </w:rPr>
    </w:lvl>
    <w:lvl w:ilvl="7">
      <w:start w:val="0"/>
      <w:numFmt w:val="bullet"/>
      <w:lvlText w:val="•"/>
      <w:lvlJc w:val="left"/>
      <w:pPr>
        <w:ind w:left="8365" w:hanging="341"/>
      </w:pPr>
      <w:rPr>
        <w:rFonts w:hint="default"/>
        <w:lang w:val="en-US" w:eastAsia="en-US" w:bidi="ar-SA"/>
      </w:rPr>
    </w:lvl>
    <w:lvl w:ilvl="8">
      <w:start w:val="0"/>
      <w:numFmt w:val="bullet"/>
      <w:lvlText w:val="•"/>
      <w:lvlJc w:val="left"/>
      <w:pPr>
        <w:ind w:left="9352" w:hanging="341"/>
      </w:pPr>
      <w:rPr>
        <w:rFonts w:hint="default"/>
        <w:lang w:val="en-US" w:eastAsia="en-US" w:bidi="ar-SA"/>
      </w:rPr>
    </w:lvl>
  </w:abstractNum>
  <w:abstractNum w:abstractNumId="51">
    <w:multiLevelType w:val="hybridMultilevel"/>
    <w:lvl w:ilvl="0">
      <w:start w:val="6"/>
      <w:numFmt w:val="decimal"/>
      <w:lvlText w:val="%1"/>
      <w:lvlJc w:val="left"/>
      <w:pPr>
        <w:ind w:left="1599" w:hanging="483"/>
        <w:jc w:val="left"/>
      </w:pPr>
      <w:rPr>
        <w:rFonts w:hint="default"/>
        <w:lang w:val="en-US" w:eastAsia="en-US" w:bidi="ar-SA"/>
      </w:rPr>
    </w:lvl>
    <w:lvl w:ilvl="1">
      <w:start w:val="1"/>
      <w:numFmt w:val="decimal"/>
      <w:lvlText w:val="%1.%2"/>
      <w:lvlJc w:val="left"/>
      <w:pPr>
        <w:ind w:left="1599" w:hanging="483"/>
        <w:jc w:val="right"/>
      </w:pPr>
      <w:rPr>
        <w:rFonts w:hint="default" w:ascii="Calibri" w:hAnsi="Calibri" w:eastAsia="Calibri" w:cs="Calibri"/>
        <w:b/>
        <w:bCs/>
        <w:i w:val="0"/>
        <w:iCs w:val="0"/>
        <w:color w:val="004A93"/>
        <w:spacing w:val="0"/>
        <w:w w:val="100"/>
        <w:sz w:val="32"/>
        <w:szCs w:val="32"/>
        <w:lang w:val="en-US" w:eastAsia="en-US" w:bidi="ar-SA"/>
      </w:rPr>
    </w:lvl>
    <w:lvl w:ilvl="2">
      <w:start w:val="1"/>
      <w:numFmt w:val="decimal"/>
      <w:lvlText w:val="%1.%2.%3"/>
      <w:lvlJc w:val="left"/>
      <w:pPr>
        <w:ind w:left="1359" w:hanging="639"/>
        <w:jc w:val="right"/>
      </w:pPr>
      <w:rPr>
        <w:rFonts w:hint="default" w:ascii="Calibri" w:hAnsi="Calibri" w:eastAsia="Calibri" w:cs="Calibri"/>
        <w:b/>
        <w:bCs/>
        <w:i w:val="0"/>
        <w:iCs w:val="0"/>
        <w:color w:val="004A93"/>
        <w:spacing w:val="0"/>
        <w:w w:val="100"/>
        <w:sz w:val="28"/>
        <w:szCs w:val="28"/>
        <w:lang w:val="en-US" w:eastAsia="en-US" w:bidi="ar-SA"/>
      </w:rPr>
    </w:lvl>
    <w:lvl w:ilvl="3">
      <w:start w:val="1"/>
      <w:numFmt w:val="decimal"/>
      <w:lvlText w:val="%1.%2.%3.%4"/>
      <w:lvlJc w:val="left"/>
      <w:pPr>
        <w:ind w:left="1563" w:hanging="844"/>
        <w:jc w:val="left"/>
      </w:pPr>
      <w:rPr>
        <w:rFonts w:hint="default" w:ascii="Calibri" w:hAnsi="Calibri" w:eastAsia="Calibri" w:cs="Calibri"/>
        <w:b w:val="0"/>
        <w:bCs w:val="0"/>
        <w:i w:val="0"/>
        <w:iCs w:val="0"/>
        <w:color w:val="004A93"/>
        <w:spacing w:val="0"/>
        <w:w w:val="100"/>
        <w:sz w:val="28"/>
        <w:szCs w:val="28"/>
        <w:lang w:val="en-US" w:eastAsia="en-US" w:bidi="ar-SA"/>
      </w:rPr>
    </w:lvl>
    <w:lvl w:ilvl="4">
      <w:start w:val="0"/>
      <w:numFmt w:val="bullet"/>
      <w:lvlText w:val="•"/>
      <w:lvlJc w:val="left"/>
      <w:pPr>
        <w:ind w:left="1960" w:hanging="844"/>
      </w:pPr>
      <w:rPr>
        <w:rFonts w:hint="default"/>
        <w:lang w:val="en-US" w:eastAsia="en-US" w:bidi="ar-SA"/>
      </w:rPr>
    </w:lvl>
    <w:lvl w:ilvl="5">
      <w:start w:val="0"/>
      <w:numFmt w:val="bullet"/>
      <w:lvlText w:val="•"/>
      <w:lvlJc w:val="left"/>
      <w:pPr>
        <w:ind w:left="3520" w:hanging="844"/>
      </w:pPr>
      <w:rPr>
        <w:rFonts w:hint="default"/>
        <w:lang w:val="en-US" w:eastAsia="en-US" w:bidi="ar-SA"/>
      </w:rPr>
    </w:lvl>
    <w:lvl w:ilvl="6">
      <w:start w:val="0"/>
      <w:numFmt w:val="bullet"/>
      <w:lvlText w:val="•"/>
      <w:lvlJc w:val="left"/>
      <w:pPr>
        <w:ind w:left="5081" w:hanging="844"/>
      </w:pPr>
      <w:rPr>
        <w:rFonts w:hint="default"/>
        <w:lang w:val="en-US" w:eastAsia="en-US" w:bidi="ar-SA"/>
      </w:rPr>
    </w:lvl>
    <w:lvl w:ilvl="7">
      <w:start w:val="0"/>
      <w:numFmt w:val="bullet"/>
      <w:lvlText w:val="•"/>
      <w:lvlJc w:val="left"/>
      <w:pPr>
        <w:ind w:left="6642" w:hanging="844"/>
      </w:pPr>
      <w:rPr>
        <w:rFonts w:hint="default"/>
        <w:lang w:val="en-US" w:eastAsia="en-US" w:bidi="ar-SA"/>
      </w:rPr>
    </w:lvl>
    <w:lvl w:ilvl="8">
      <w:start w:val="0"/>
      <w:numFmt w:val="bullet"/>
      <w:lvlText w:val="•"/>
      <w:lvlJc w:val="left"/>
      <w:pPr>
        <w:ind w:left="8203" w:hanging="844"/>
      </w:pPr>
      <w:rPr>
        <w:rFonts w:hint="default"/>
        <w:lang w:val="en-US" w:eastAsia="en-US" w:bidi="ar-SA"/>
      </w:rPr>
    </w:lvl>
  </w:abstractNum>
  <w:abstractNum w:abstractNumId="50">
    <w:multiLevelType w:val="hybridMultilevel"/>
    <w:lvl w:ilvl="0">
      <w:start w:val="613"/>
      <w:numFmt w:val="decimal"/>
      <w:lvlText w:val="%1"/>
      <w:lvlJc w:val="left"/>
      <w:pPr>
        <w:ind w:left="1684" w:hanging="567"/>
        <w:jc w:val="righ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644" w:hanging="567"/>
      </w:pPr>
      <w:rPr>
        <w:rFonts w:hint="default"/>
        <w:lang w:val="en-US" w:eastAsia="en-US" w:bidi="ar-SA"/>
      </w:rPr>
    </w:lvl>
    <w:lvl w:ilvl="2">
      <w:start w:val="0"/>
      <w:numFmt w:val="bullet"/>
      <w:lvlText w:val="•"/>
      <w:lvlJc w:val="left"/>
      <w:pPr>
        <w:ind w:left="3609" w:hanging="567"/>
      </w:pPr>
      <w:rPr>
        <w:rFonts w:hint="default"/>
        <w:lang w:val="en-US" w:eastAsia="en-US" w:bidi="ar-SA"/>
      </w:rPr>
    </w:lvl>
    <w:lvl w:ilvl="3">
      <w:start w:val="0"/>
      <w:numFmt w:val="bullet"/>
      <w:lvlText w:val="•"/>
      <w:lvlJc w:val="left"/>
      <w:pPr>
        <w:ind w:left="4573" w:hanging="567"/>
      </w:pPr>
      <w:rPr>
        <w:rFonts w:hint="default"/>
        <w:lang w:val="en-US" w:eastAsia="en-US" w:bidi="ar-SA"/>
      </w:rPr>
    </w:lvl>
    <w:lvl w:ilvl="4">
      <w:start w:val="0"/>
      <w:numFmt w:val="bullet"/>
      <w:lvlText w:val="•"/>
      <w:lvlJc w:val="left"/>
      <w:pPr>
        <w:ind w:left="5538" w:hanging="567"/>
      </w:pPr>
      <w:rPr>
        <w:rFonts w:hint="default"/>
        <w:lang w:val="en-US" w:eastAsia="en-US" w:bidi="ar-SA"/>
      </w:rPr>
    </w:lvl>
    <w:lvl w:ilvl="5">
      <w:start w:val="0"/>
      <w:numFmt w:val="bullet"/>
      <w:lvlText w:val="•"/>
      <w:lvlJc w:val="left"/>
      <w:pPr>
        <w:ind w:left="6502" w:hanging="567"/>
      </w:pPr>
      <w:rPr>
        <w:rFonts w:hint="default"/>
        <w:lang w:val="en-US" w:eastAsia="en-US" w:bidi="ar-SA"/>
      </w:rPr>
    </w:lvl>
    <w:lvl w:ilvl="6">
      <w:start w:val="0"/>
      <w:numFmt w:val="bullet"/>
      <w:lvlText w:val="•"/>
      <w:lvlJc w:val="left"/>
      <w:pPr>
        <w:ind w:left="7467" w:hanging="567"/>
      </w:pPr>
      <w:rPr>
        <w:rFonts w:hint="default"/>
        <w:lang w:val="en-US" w:eastAsia="en-US" w:bidi="ar-SA"/>
      </w:rPr>
    </w:lvl>
    <w:lvl w:ilvl="7">
      <w:start w:val="0"/>
      <w:numFmt w:val="bullet"/>
      <w:lvlText w:val="•"/>
      <w:lvlJc w:val="left"/>
      <w:pPr>
        <w:ind w:left="8431" w:hanging="567"/>
      </w:pPr>
      <w:rPr>
        <w:rFonts w:hint="default"/>
        <w:lang w:val="en-US" w:eastAsia="en-US" w:bidi="ar-SA"/>
      </w:rPr>
    </w:lvl>
    <w:lvl w:ilvl="8">
      <w:start w:val="0"/>
      <w:numFmt w:val="bullet"/>
      <w:lvlText w:val="•"/>
      <w:lvlJc w:val="left"/>
      <w:pPr>
        <w:ind w:left="9396" w:hanging="567"/>
      </w:pPr>
      <w:rPr>
        <w:rFonts w:hint="default"/>
        <w:lang w:val="en-US" w:eastAsia="en-US" w:bidi="ar-SA"/>
      </w:rPr>
    </w:lvl>
  </w:abstractNum>
  <w:abstractNum w:abstractNumId="49">
    <w:multiLevelType w:val="hybridMultilevel"/>
    <w:lvl w:ilvl="0">
      <w:start w:val="600"/>
      <w:numFmt w:val="decimal"/>
      <w:lvlText w:val="%1"/>
      <w:lvlJc w:val="left"/>
      <w:pPr>
        <w:ind w:left="1287" w:hanging="567"/>
        <w:jc w:val="lef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284" w:hanging="567"/>
      </w:pPr>
      <w:rPr>
        <w:rFonts w:hint="default"/>
        <w:lang w:val="en-US" w:eastAsia="en-US" w:bidi="ar-SA"/>
      </w:rPr>
    </w:lvl>
    <w:lvl w:ilvl="2">
      <w:start w:val="0"/>
      <w:numFmt w:val="bullet"/>
      <w:lvlText w:val="•"/>
      <w:lvlJc w:val="left"/>
      <w:pPr>
        <w:ind w:left="3289" w:hanging="567"/>
      </w:pPr>
      <w:rPr>
        <w:rFonts w:hint="default"/>
        <w:lang w:val="en-US" w:eastAsia="en-US" w:bidi="ar-SA"/>
      </w:rPr>
    </w:lvl>
    <w:lvl w:ilvl="3">
      <w:start w:val="0"/>
      <w:numFmt w:val="bullet"/>
      <w:lvlText w:val="•"/>
      <w:lvlJc w:val="left"/>
      <w:pPr>
        <w:ind w:left="4293" w:hanging="567"/>
      </w:pPr>
      <w:rPr>
        <w:rFonts w:hint="default"/>
        <w:lang w:val="en-US" w:eastAsia="en-US" w:bidi="ar-SA"/>
      </w:rPr>
    </w:lvl>
    <w:lvl w:ilvl="4">
      <w:start w:val="0"/>
      <w:numFmt w:val="bullet"/>
      <w:lvlText w:val="•"/>
      <w:lvlJc w:val="left"/>
      <w:pPr>
        <w:ind w:left="5298" w:hanging="567"/>
      </w:pPr>
      <w:rPr>
        <w:rFonts w:hint="default"/>
        <w:lang w:val="en-US" w:eastAsia="en-US" w:bidi="ar-SA"/>
      </w:rPr>
    </w:lvl>
    <w:lvl w:ilvl="5">
      <w:start w:val="0"/>
      <w:numFmt w:val="bullet"/>
      <w:lvlText w:val="•"/>
      <w:lvlJc w:val="left"/>
      <w:pPr>
        <w:ind w:left="6302" w:hanging="567"/>
      </w:pPr>
      <w:rPr>
        <w:rFonts w:hint="default"/>
        <w:lang w:val="en-US" w:eastAsia="en-US" w:bidi="ar-SA"/>
      </w:rPr>
    </w:lvl>
    <w:lvl w:ilvl="6">
      <w:start w:val="0"/>
      <w:numFmt w:val="bullet"/>
      <w:lvlText w:val="•"/>
      <w:lvlJc w:val="left"/>
      <w:pPr>
        <w:ind w:left="7307" w:hanging="567"/>
      </w:pPr>
      <w:rPr>
        <w:rFonts w:hint="default"/>
        <w:lang w:val="en-US" w:eastAsia="en-US" w:bidi="ar-SA"/>
      </w:rPr>
    </w:lvl>
    <w:lvl w:ilvl="7">
      <w:start w:val="0"/>
      <w:numFmt w:val="bullet"/>
      <w:lvlText w:val="•"/>
      <w:lvlJc w:val="left"/>
      <w:pPr>
        <w:ind w:left="8311" w:hanging="567"/>
      </w:pPr>
      <w:rPr>
        <w:rFonts w:hint="default"/>
        <w:lang w:val="en-US" w:eastAsia="en-US" w:bidi="ar-SA"/>
      </w:rPr>
    </w:lvl>
    <w:lvl w:ilvl="8">
      <w:start w:val="0"/>
      <w:numFmt w:val="bullet"/>
      <w:lvlText w:val="•"/>
      <w:lvlJc w:val="left"/>
      <w:pPr>
        <w:ind w:left="9316" w:hanging="567"/>
      </w:pPr>
      <w:rPr>
        <w:rFonts w:hint="default"/>
        <w:lang w:val="en-US" w:eastAsia="en-US" w:bidi="ar-SA"/>
      </w:rPr>
    </w:lvl>
  </w:abstractNum>
  <w:abstractNum w:abstractNumId="48">
    <w:multiLevelType w:val="hybridMultilevel"/>
    <w:lvl w:ilvl="0">
      <w:start w:val="5"/>
      <w:numFmt w:val="decimal"/>
      <w:lvlText w:val="%1"/>
      <w:lvlJc w:val="left"/>
      <w:pPr>
        <w:ind w:left="1756" w:hanging="639"/>
        <w:jc w:val="left"/>
      </w:pPr>
      <w:rPr>
        <w:rFonts w:hint="default"/>
        <w:lang w:val="en-US" w:eastAsia="en-US" w:bidi="ar-SA"/>
      </w:rPr>
    </w:lvl>
    <w:lvl w:ilvl="1">
      <w:start w:val="4"/>
      <w:numFmt w:val="decimal"/>
      <w:lvlText w:val="%1.%2"/>
      <w:lvlJc w:val="left"/>
      <w:pPr>
        <w:ind w:left="1756" w:hanging="639"/>
        <w:jc w:val="left"/>
      </w:pPr>
      <w:rPr>
        <w:rFonts w:hint="default"/>
        <w:lang w:val="en-US" w:eastAsia="en-US" w:bidi="ar-SA"/>
      </w:rPr>
    </w:lvl>
    <w:lvl w:ilvl="2">
      <w:start w:val="3"/>
      <w:numFmt w:val="decimal"/>
      <w:lvlText w:val="%1.%2.%3"/>
      <w:lvlJc w:val="left"/>
      <w:pPr>
        <w:ind w:left="1756" w:hanging="639"/>
        <w:jc w:val="righ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4629" w:hanging="639"/>
      </w:pPr>
      <w:rPr>
        <w:rFonts w:hint="default"/>
        <w:lang w:val="en-US" w:eastAsia="en-US" w:bidi="ar-SA"/>
      </w:rPr>
    </w:lvl>
    <w:lvl w:ilvl="4">
      <w:start w:val="0"/>
      <w:numFmt w:val="bullet"/>
      <w:lvlText w:val="•"/>
      <w:lvlJc w:val="left"/>
      <w:pPr>
        <w:ind w:left="5586" w:hanging="639"/>
      </w:pPr>
      <w:rPr>
        <w:rFonts w:hint="default"/>
        <w:lang w:val="en-US" w:eastAsia="en-US" w:bidi="ar-SA"/>
      </w:rPr>
    </w:lvl>
    <w:lvl w:ilvl="5">
      <w:start w:val="0"/>
      <w:numFmt w:val="bullet"/>
      <w:lvlText w:val="•"/>
      <w:lvlJc w:val="left"/>
      <w:pPr>
        <w:ind w:left="6542" w:hanging="639"/>
      </w:pPr>
      <w:rPr>
        <w:rFonts w:hint="default"/>
        <w:lang w:val="en-US" w:eastAsia="en-US" w:bidi="ar-SA"/>
      </w:rPr>
    </w:lvl>
    <w:lvl w:ilvl="6">
      <w:start w:val="0"/>
      <w:numFmt w:val="bullet"/>
      <w:lvlText w:val="•"/>
      <w:lvlJc w:val="left"/>
      <w:pPr>
        <w:ind w:left="7499" w:hanging="639"/>
      </w:pPr>
      <w:rPr>
        <w:rFonts w:hint="default"/>
        <w:lang w:val="en-US" w:eastAsia="en-US" w:bidi="ar-SA"/>
      </w:rPr>
    </w:lvl>
    <w:lvl w:ilvl="7">
      <w:start w:val="0"/>
      <w:numFmt w:val="bullet"/>
      <w:lvlText w:val="•"/>
      <w:lvlJc w:val="left"/>
      <w:pPr>
        <w:ind w:left="8455" w:hanging="639"/>
      </w:pPr>
      <w:rPr>
        <w:rFonts w:hint="default"/>
        <w:lang w:val="en-US" w:eastAsia="en-US" w:bidi="ar-SA"/>
      </w:rPr>
    </w:lvl>
    <w:lvl w:ilvl="8">
      <w:start w:val="0"/>
      <w:numFmt w:val="bullet"/>
      <w:lvlText w:val="•"/>
      <w:lvlJc w:val="left"/>
      <w:pPr>
        <w:ind w:left="9412" w:hanging="639"/>
      </w:pPr>
      <w:rPr>
        <w:rFonts w:hint="default"/>
        <w:lang w:val="en-US" w:eastAsia="en-US" w:bidi="ar-SA"/>
      </w:rPr>
    </w:lvl>
  </w:abstractNum>
  <w:abstractNum w:abstractNumId="47">
    <w:multiLevelType w:val="hybridMultilevel"/>
    <w:lvl w:ilvl="0">
      <w:start w:val="5"/>
      <w:numFmt w:val="decimal"/>
      <w:lvlText w:val="%1"/>
      <w:lvlJc w:val="left"/>
      <w:pPr>
        <w:ind w:left="638" w:hanging="639"/>
        <w:jc w:val="left"/>
      </w:pPr>
      <w:rPr>
        <w:rFonts w:hint="default"/>
        <w:lang w:val="en-US" w:eastAsia="en-US" w:bidi="ar-SA"/>
      </w:rPr>
    </w:lvl>
    <w:lvl w:ilvl="1">
      <w:start w:val="4"/>
      <w:numFmt w:val="decimal"/>
      <w:lvlText w:val="%1.%2"/>
      <w:lvlJc w:val="left"/>
      <w:pPr>
        <w:ind w:left="638" w:hanging="639"/>
        <w:jc w:val="left"/>
      </w:pPr>
      <w:rPr>
        <w:rFonts w:hint="default"/>
        <w:lang w:val="en-US" w:eastAsia="en-US" w:bidi="ar-SA"/>
      </w:rPr>
    </w:lvl>
    <w:lvl w:ilvl="2">
      <w:start w:val="2"/>
      <w:numFmt w:val="decimal"/>
      <w:lvlText w:val="%1.%2.%3"/>
      <w:lvlJc w:val="left"/>
      <w:pPr>
        <w:ind w:left="638" w:hanging="639"/>
        <w:jc w:val="lef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969" w:hanging="639"/>
      </w:pPr>
      <w:rPr>
        <w:rFonts w:hint="default"/>
        <w:lang w:val="en-US" w:eastAsia="en-US" w:bidi="ar-SA"/>
      </w:rPr>
    </w:lvl>
    <w:lvl w:ilvl="4">
      <w:start w:val="0"/>
      <w:numFmt w:val="bullet"/>
      <w:lvlText w:val="•"/>
      <w:lvlJc w:val="left"/>
      <w:pPr>
        <w:ind w:left="1079" w:hanging="639"/>
      </w:pPr>
      <w:rPr>
        <w:rFonts w:hint="default"/>
        <w:lang w:val="en-US" w:eastAsia="en-US" w:bidi="ar-SA"/>
      </w:rPr>
    </w:lvl>
    <w:lvl w:ilvl="5">
      <w:start w:val="0"/>
      <w:numFmt w:val="bullet"/>
      <w:lvlText w:val="•"/>
      <w:lvlJc w:val="left"/>
      <w:pPr>
        <w:ind w:left="1189" w:hanging="639"/>
      </w:pPr>
      <w:rPr>
        <w:rFonts w:hint="default"/>
        <w:lang w:val="en-US" w:eastAsia="en-US" w:bidi="ar-SA"/>
      </w:rPr>
    </w:lvl>
    <w:lvl w:ilvl="6">
      <w:start w:val="0"/>
      <w:numFmt w:val="bullet"/>
      <w:lvlText w:val="•"/>
      <w:lvlJc w:val="left"/>
      <w:pPr>
        <w:ind w:left="1299" w:hanging="639"/>
      </w:pPr>
      <w:rPr>
        <w:rFonts w:hint="default"/>
        <w:lang w:val="en-US" w:eastAsia="en-US" w:bidi="ar-SA"/>
      </w:rPr>
    </w:lvl>
    <w:lvl w:ilvl="7">
      <w:start w:val="0"/>
      <w:numFmt w:val="bullet"/>
      <w:lvlText w:val="•"/>
      <w:lvlJc w:val="left"/>
      <w:pPr>
        <w:ind w:left="1409" w:hanging="639"/>
      </w:pPr>
      <w:rPr>
        <w:rFonts w:hint="default"/>
        <w:lang w:val="en-US" w:eastAsia="en-US" w:bidi="ar-SA"/>
      </w:rPr>
    </w:lvl>
    <w:lvl w:ilvl="8">
      <w:start w:val="0"/>
      <w:numFmt w:val="bullet"/>
      <w:lvlText w:val="•"/>
      <w:lvlJc w:val="left"/>
      <w:pPr>
        <w:ind w:left="1518" w:hanging="639"/>
      </w:pPr>
      <w:rPr>
        <w:rFonts w:hint="default"/>
        <w:lang w:val="en-US" w:eastAsia="en-US" w:bidi="ar-SA"/>
      </w:rPr>
    </w:lvl>
  </w:abstractNum>
  <w:abstractNum w:abstractNumId="46">
    <w:multiLevelType w:val="hybridMultilevel"/>
    <w:lvl w:ilvl="0">
      <w:start w:val="556"/>
      <w:numFmt w:val="decimal"/>
      <w:lvlText w:val="%1"/>
      <w:lvlJc w:val="left"/>
      <w:pPr>
        <w:ind w:left="1287" w:hanging="567"/>
        <w:jc w:val="righ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284" w:hanging="567"/>
      </w:pPr>
      <w:rPr>
        <w:rFonts w:hint="default"/>
        <w:lang w:val="en-US" w:eastAsia="en-US" w:bidi="ar-SA"/>
      </w:rPr>
    </w:lvl>
    <w:lvl w:ilvl="2">
      <w:start w:val="0"/>
      <w:numFmt w:val="bullet"/>
      <w:lvlText w:val="•"/>
      <w:lvlJc w:val="left"/>
      <w:pPr>
        <w:ind w:left="3289" w:hanging="567"/>
      </w:pPr>
      <w:rPr>
        <w:rFonts w:hint="default"/>
        <w:lang w:val="en-US" w:eastAsia="en-US" w:bidi="ar-SA"/>
      </w:rPr>
    </w:lvl>
    <w:lvl w:ilvl="3">
      <w:start w:val="0"/>
      <w:numFmt w:val="bullet"/>
      <w:lvlText w:val="•"/>
      <w:lvlJc w:val="left"/>
      <w:pPr>
        <w:ind w:left="4293" w:hanging="567"/>
      </w:pPr>
      <w:rPr>
        <w:rFonts w:hint="default"/>
        <w:lang w:val="en-US" w:eastAsia="en-US" w:bidi="ar-SA"/>
      </w:rPr>
    </w:lvl>
    <w:lvl w:ilvl="4">
      <w:start w:val="0"/>
      <w:numFmt w:val="bullet"/>
      <w:lvlText w:val="•"/>
      <w:lvlJc w:val="left"/>
      <w:pPr>
        <w:ind w:left="5298" w:hanging="567"/>
      </w:pPr>
      <w:rPr>
        <w:rFonts w:hint="default"/>
        <w:lang w:val="en-US" w:eastAsia="en-US" w:bidi="ar-SA"/>
      </w:rPr>
    </w:lvl>
    <w:lvl w:ilvl="5">
      <w:start w:val="0"/>
      <w:numFmt w:val="bullet"/>
      <w:lvlText w:val="•"/>
      <w:lvlJc w:val="left"/>
      <w:pPr>
        <w:ind w:left="6302" w:hanging="567"/>
      </w:pPr>
      <w:rPr>
        <w:rFonts w:hint="default"/>
        <w:lang w:val="en-US" w:eastAsia="en-US" w:bidi="ar-SA"/>
      </w:rPr>
    </w:lvl>
    <w:lvl w:ilvl="6">
      <w:start w:val="0"/>
      <w:numFmt w:val="bullet"/>
      <w:lvlText w:val="•"/>
      <w:lvlJc w:val="left"/>
      <w:pPr>
        <w:ind w:left="7307" w:hanging="567"/>
      </w:pPr>
      <w:rPr>
        <w:rFonts w:hint="default"/>
        <w:lang w:val="en-US" w:eastAsia="en-US" w:bidi="ar-SA"/>
      </w:rPr>
    </w:lvl>
    <w:lvl w:ilvl="7">
      <w:start w:val="0"/>
      <w:numFmt w:val="bullet"/>
      <w:lvlText w:val="•"/>
      <w:lvlJc w:val="left"/>
      <w:pPr>
        <w:ind w:left="8311" w:hanging="567"/>
      </w:pPr>
      <w:rPr>
        <w:rFonts w:hint="default"/>
        <w:lang w:val="en-US" w:eastAsia="en-US" w:bidi="ar-SA"/>
      </w:rPr>
    </w:lvl>
    <w:lvl w:ilvl="8">
      <w:start w:val="0"/>
      <w:numFmt w:val="bullet"/>
      <w:lvlText w:val="•"/>
      <w:lvlJc w:val="left"/>
      <w:pPr>
        <w:ind w:left="9316" w:hanging="567"/>
      </w:pPr>
      <w:rPr>
        <w:rFonts w:hint="default"/>
        <w:lang w:val="en-US" w:eastAsia="en-US" w:bidi="ar-SA"/>
      </w:rPr>
    </w:lvl>
  </w:abstractNum>
  <w:abstractNum w:abstractNumId="44">
    <w:multiLevelType w:val="hybridMultilevel"/>
    <w:lvl w:ilvl="0">
      <w:start w:val="5"/>
      <w:numFmt w:val="decimal"/>
      <w:lvlText w:val="%1"/>
      <w:lvlJc w:val="left"/>
      <w:pPr>
        <w:ind w:left="1202" w:hanging="483"/>
        <w:jc w:val="left"/>
      </w:pPr>
      <w:rPr>
        <w:rFonts w:hint="default"/>
        <w:lang w:val="en-US" w:eastAsia="en-US" w:bidi="ar-SA"/>
      </w:rPr>
    </w:lvl>
    <w:lvl w:ilvl="1">
      <w:start w:val="1"/>
      <w:numFmt w:val="decimal"/>
      <w:lvlText w:val="%1.%2"/>
      <w:lvlJc w:val="left"/>
      <w:pPr>
        <w:ind w:left="1202" w:hanging="483"/>
        <w:jc w:val="right"/>
      </w:pPr>
      <w:rPr>
        <w:rFonts w:hint="default" w:ascii="Calibri" w:hAnsi="Calibri" w:eastAsia="Calibri" w:cs="Calibri"/>
        <w:b/>
        <w:bCs/>
        <w:i w:val="0"/>
        <w:iCs w:val="0"/>
        <w:color w:val="004A93"/>
        <w:spacing w:val="0"/>
        <w:w w:val="100"/>
        <w:sz w:val="32"/>
        <w:szCs w:val="32"/>
        <w:lang w:val="en-US" w:eastAsia="en-US" w:bidi="ar-SA"/>
      </w:rPr>
    </w:lvl>
    <w:lvl w:ilvl="2">
      <w:start w:val="1"/>
      <w:numFmt w:val="decimal"/>
      <w:lvlText w:val="%1.%2.%3"/>
      <w:lvlJc w:val="left"/>
      <w:pPr>
        <w:ind w:left="1359" w:hanging="639"/>
        <w:jc w:val="lef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2955" w:hanging="639"/>
      </w:pPr>
      <w:rPr>
        <w:rFonts w:hint="default"/>
        <w:lang w:val="en-US" w:eastAsia="en-US" w:bidi="ar-SA"/>
      </w:rPr>
    </w:lvl>
    <w:lvl w:ilvl="4">
      <w:start w:val="0"/>
      <w:numFmt w:val="bullet"/>
      <w:lvlText w:val="•"/>
      <w:lvlJc w:val="left"/>
      <w:pPr>
        <w:ind w:left="4151" w:hanging="639"/>
      </w:pPr>
      <w:rPr>
        <w:rFonts w:hint="default"/>
        <w:lang w:val="en-US" w:eastAsia="en-US" w:bidi="ar-SA"/>
      </w:rPr>
    </w:lvl>
    <w:lvl w:ilvl="5">
      <w:start w:val="0"/>
      <w:numFmt w:val="bullet"/>
      <w:lvlText w:val="•"/>
      <w:lvlJc w:val="left"/>
      <w:pPr>
        <w:ind w:left="5347" w:hanging="639"/>
      </w:pPr>
      <w:rPr>
        <w:rFonts w:hint="default"/>
        <w:lang w:val="en-US" w:eastAsia="en-US" w:bidi="ar-SA"/>
      </w:rPr>
    </w:lvl>
    <w:lvl w:ilvl="6">
      <w:start w:val="0"/>
      <w:numFmt w:val="bullet"/>
      <w:lvlText w:val="•"/>
      <w:lvlJc w:val="left"/>
      <w:pPr>
        <w:ind w:left="6542" w:hanging="639"/>
      </w:pPr>
      <w:rPr>
        <w:rFonts w:hint="default"/>
        <w:lang w:val="en-US" w:eastAsia="en-US" w:bidi="ar-SA"/>
      </w:rPr>
    </w:lvl>
    <w:lvl w:ilvl="7">
      <w:start w:val="0"/>
      <w:numFmt w:val="bullet"/>
      <w:lvlText w:val="•"/>
      <w:lvlJc w:val="left"/>
      <w:pPr>
        <w:ind w:left="7738" w:hanging="639"/>
      </w:pPr>
      <w:rPr>
        <w:rFonts w:hint="default"/>
        <w:lang w:val="en-US" w:eastAsia="en-US" w:bidi="ar-SA"/>
      </w:rPr>
    </w:lvl>
    <w:lvl w:ilvl="8">
      <w:start w:val="0"/>
      <w:numFmt w:val="bullet"/>
      <w:lvlText w:val="•"/>
      <w:lvlJc w:val="left"/>
      <w:pPr>
        <w:ind w:left="8934" w:hanging="639"/>
      </w:pPr>
      <w:rPr>
        <w:rFonts w:hint="default"/>
        <w:lang w:val="en-US" w:eastAsia="en-US" w:bidi="ar-SA"/>
      </w:rPr>
    </w:lvl>
  </w:abstractNum>
  <w:abstractNum w:abstractNumId="43">
    <w:multiLevelType w:val="hybridMultilevel"/>
    <w:lvl w:ilvl="0">
      <w:start w:val="4"/>
      <w:numFmt w:val="decimal"/>
      <w:lvlText w:val="%1"/>
      <w:lvlJc w:val="left"/>
      <w:pPr>
        <w:ind w:left="482" w:hanging="483"/>
        <w:jc w:val="left"/>
      </w:pPr>
      <w:rPr>
        <w:rFonts w:hint="default"/>
        <w:lang w:val="en-US" w:eastAsia="en-US" w:bidi="ar-SA"/>
      </w:rPr>
    </w:lvl>
    <w:lvl w:ilvl="1">
      <w:start w:val="4"/>
      <w:numFmt w:val="decimal"/>
      <w:lvlText w:val="%1.%2"/>
      <w:lvlJc w:val="left"/>
      <w:pPr>
        <w:ind w:left="482" w:hanging="483"/>
        <w:jc w:val="left"/>
      </w:pPr>
      <w:rPr>
        <w:rFonts w:hint="default" w:ascii="Calibri" w:hAnsi="Calibri" w:eastAsia="Calibri" w:cs="Calibri"/>
        <w:b/>
        <w:bCs/>
        <w:i w:val="0"/>
        <w:iCs w:val="0"/>
        <w:color w:val="004A93"/>
        <w:spacing w:val="0"/>
        <w:w w:val="100"/>
        <w:sz w:val="32"/>
        <w:szCs w:val="32"/>
        <w:lang w:val="en-US" w:eastAsia="en-US" w:bidi="ar-SA"/>
      </w:rPr>
    </w:lvl>
    <w:lvl w:ilvl="2">
      <w:start w:val="0"/>
      <w:numFmt w:val="bullet"/>
      <w:lvlText w:val="•"/>
      <w:lvlJc w:val="left"/>
      <w:pPr>
        <w:ind w:left="774" w:hanging="483"/>
      </w:pPr>
      <w:rPr>
        <w:rFonts w:hint="default"/>
        <w:lang w:val="en-US" w:eastAsia="en-US" w:bidi="ar-SA"/>
      </w:rPr>
    </w:lvl>
    <w:lvl w:ilvl="3">
      <w:start w:val="0"/>
      <w:numFmt w:val="bullet"/>
      <w:lvlText w:val="•"/>
      <w:lvlJc w:val="left"/>
      <w:pPr>
        <w:ind w:left="921" w:hanging="483"/>
      </w:pPr>
      <w:rPr>
        <w:rFonts w:hint="default"/>
        <w:lang w:val="en-US" w:eastAsia="en-US" w:bidi="ar-SA"/>
      </w:rPr>
    </w:lvl>
    <w:lvl w:ilvl="4">
      <w:start w:val="0"/>
      <w:numFmt w:val="bullet"/>
      <w:lvlText w:val="•"/>
      <w:lvlJc w:val="left"/>
      <w:pPr>
        <w:ind w:left="1068" w:hanging="483"/>
      </w:pPr>
      <w:rPr>
        <w:rFonts w:hint="default"/>
        <w:lang w:val="en-US" w:eastAsia="en-US" w:bidi="ar-SA"/>
      </w:rPr>
    </w:lvl>
    <w:lvl w:ilvl="5">
      <w:start w:val="0"/>
      <w:numFmt w:val="bullet"/>
      <w:lvlText w:val="•"/>
      <w:lvlJc w:val="left"/>
      <w:pPr>
        <w:ind w:left="1215" w:hanging="483"/>
      </w:pPr>
      <w:rPr>
        <w:rFonts w:hint="default"/>
        <w:lang w:val="en-US" w:eastAsia="en-US" w:bidi="ar-SA"/>
      </w:rPr>
    </w:lvl>
    <w:lvl w:ilvl="6">
      <w:start w:val="0"/>
      <w:numFmt w:val="bullet"/>
      <w:lvlText w:val="•"/>
      <w:lvlJc w:val="left"/>
      <w:pPr>
        <w:ind w:left="1362" w:hanging="483"/>
      </w:pPr>
      <w:rPr>
        <w:rFonts w:hint="default"/>
        <w:lang w:val="en-US" w:eastAsia="en-US" w:bidi="ar-SA"/>
      </w:rPr>
    </w:lvl>
    <w:lvl w:ilvl="7">
      <w:start w:val="0"/>
      <w:numFmt w:val="bullet"/>
      <w:lvlText w:val="•"/>
      <w:lvlJc w:val="left"/>
      <w:pPr>
        <w:ind w:left="1509" w:hanging="483"/>
      </w:pPr>
      <w:rPr>
        <w:rFonts w:hint="default"/>
        <w:lang w:val="en-US" w:eastAsia="en-US" w:bidi="ar-SA"/>
      </w:rPr>
    </w:lvl>
    <w:lvl w:ilvl="8">
      <w:start w:val="0"/>
      <w:numFmt w:val="bullet"/>
      <w:lvlText w:val="•"/>
      <w:lvlJc w:val="left"/>
      <w:pPr>
        <w:ind w:left="1656" w:hanging="483"/>
      </w:pPr>
      <w:rPr>
        <w:rFonts w:hint="default"/>
        <w:lang w:val="en-US" w:eastAsia="en-US" w:bidi="ar-SA"/>
      </w:rPr>
    </w:lvl>
  </w:abstractNum>
  <w:abstractNum w:abstractNumId="41">
    <w:multiLevelType w:val="hybridMultilevel"/>
    <w:lvl w:ilvl="0">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446" w:hanging="341"/>
      </w:pPr>
      <w:rPr>
        <w:rFonts w:hint="default"/>
        <w:lang w:val="en-US" w:eastAsia="en-US" w:bidi="ar-SA"/>
      </w:rPr>
    </w:lvl>
    <w:lvl w:ilvl="2">
      <w:start w:val="0"/>
      <w:numFmt w:val="bullet"/>
      <w:lvlText w:val="•"/>
      <w:lvlJc w:val="left"/>
      <w:pPr>
        <w:ind w:left="3433" w:hanging="341"/>
      </w:pPr>
      <w:rPr>
        <w:rFonts w:hint="default"/>
        <w:lang w:val="en-US" w:eastAsia="en-US" w:bidi="ar-SA"/>
      </w:rPr>
    </w:lvl>
    <w:lvl w:ilvl="3">
      <w:start w:val="0"/>
      <w:numFmt w:val="bullet"/>
      <w:lvlText w:val="•"/>
      <w:lvlJc w:val="left"/>
      <w:pPr>
        <w:ind w:left="4419" w:hanging="341"/>
      </w:pPr>
      <w:rPr>
        <w:rFonts w:hint="default"/>
        <w:lang w:val="en-US" w:eastAsia="en-US" w:bidi="ar-SA"/>
      </w:rPr>
    </w:lvl>
    <w:lvl w:ilvl="4">
      <w:start w:val="0"/>
      <w:numFmt w:val="bullet"/>
      <w:lvlText w:val="•"/>
      <w:lvlJc w:val="left"/>
      <w:pPr>
        <w:ind w:left="5406" w:hanging="341"/>
      </w:pPr>
      <w:rPr>
        <w:rFonts w:hint="default"/>
        <w:lang w:val="en-US" w:eastAsia="en-US" w:bidi="ar-SA"/>
      </w:rPr>
    </w:lvl>
    <w:lvl w:ilvl="5">
      <w:start w:val="0"/>
      <w:numFmt w:val="bullet"/>
      <w:lvlText w:val="•"/>
      <w:lvlJc w:val="left"/>
      <w:pPr>
        <w:ind w:left="6392" w:hanging="341"/>
      </w:pPr>
      <w:rPr>
        <w:rFonts w:hint="default"/>
        <w:lang w:val="en-US" w:eastAsia="en-US" w:bidi="ar-SA"/>
      </w:rPr>
    </w:lvl>
    <w:lvl w:ilvl="6">
      <w:start w:val="0"/>
      <w:numFmt w:val="bullet"/>
      <w:lvlText w:val="•"/>
      <w:lvlJc w:val="left"/>
      <w:pPr>
        <w:ind w:left="7379" w:hanging="341"/>
      </w:pPr>
      <w:rPr>
        <w:rFonts w:hint="default"/>
        <w:lang w:val="en-US" w:eastAsia="en-US" w:bidi="ar-SA"/>
      </w:rPr>
    </w:lvl>
    <w:lvl w:ilvl="7">
      <w:start w:val="0"/>
      <w:numFmt w:val="bullet"/>
      <w:lvlText w:val="•"/>
      <w:lvlJc w:val="left"/>
      <w:pPr>
        <w:ind w:left="8365" w:hanging="341"/>
      </w:pPr>
      <w:rPr>
        <w:rFonts w:hint="default"/>
        <w:lang w:val="en-US" w:eastAsia="en-US" w:bidi="ar-SA"/>
      </w:rPr>
    </w:lvl>
    <w:lvl w:ilvl="8">
      <w:start w:val="0"/>
      <w:numFmt w:val="bullet"/>
      <w:lvlText w:val="•"/>
      <w:lvlJc w:val="left"/>
      <w:pPr>
        <w:ind w:left="9352" w:hanging="341"/>
      </w:pPr>
      <w:rPr>
        <w:rFonts w:hint="default"/>
        <w:lang w:val="en-US" w:eastAsia="en-US" w:bidi="ar-SA"/>
      </w:rPr>
    </w:lvl>
  </w:abstractNum>
  <w:abstractNum w:abstractNumId="39">
    <w:multiLevelType w:val="hybridMultilevel"/>
    <w:lvl w:ilvl="0">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446" w:hanging="341"/>
      </w:pPr>
      <w:rPr>
        <w:rFonts w:hint="default"/>
        <w:lang w:val="en-US" w:eastAsia="en-US" w:bidi="ar-SA"/>
      </w:rPr>
    </w:lvl>
    <w:lvl w:ilvl="2">
      <w:start w:val="0"/>
      <w:numFmt w:val="bullet"/>
      <w:lvlText w:val="•"/>
      <w:lvlJc w:val="left"/>
      <w:pPr>
        <w:ind w:left="3433" w:hanging="341"/>
      </w:pPr>
      <w:rPr>
        <w:rFonts w:hint="default"/>
        <w:lang w:val="en-US" w:eastAsia="en-US" w:bidi="ar-SA"/>
      </w:rPr>
    </w:lvl>
    <w:lvl w:ilvl="3">
      <w:start w:val="0"/>
      <w:numFmt w:val="bullet"/>
      <w:lvlText w:val="•"/>
      <w:lvlJc w:val="left"/>
      <w:pPr>
        <w:ind w:left="4419" w:hanging="341"/>
      </w:pPr>
      <w:rPr>
        <w:rFonts w:hint="default"/>
        <w:lang w:val="en-US" w:eastAsia="en-US" w:bidi="ar-SA"/>
      </w:rPr>
    </w:lvl>
    <w:lvl w:ilvl="4">
      <w:start w:val="0"/>
      <w:numFmt w:val="bullet"/>
      <w:lvlText w:val="•"/>
      <w:lvlJc w:val="left"/>
      <w:pPr>
        <w:ind w:left="5406" w:hanging="341"/>
      </w:pPr>
      <w:rPr>
        <w:rFonts w:hint="default"/>
        <w:lang w:val="en-US" w:eastAsia="en-US" w:bidi="ar-SA"/>
      </w:rPr>
    </w:lvl>
    <w:lvl w:ilvl="5">
      <w:start w:val="0"/>
      <w:numFmt w:val="bullet"/>
      <w:lvlText w:val="•"/>
      <w:lvlJc w:val="left"/>
      <w:pPr>
        <w:ind w:left="6392" w:hanging="341"/>
      </w:pPr>
      <w:rPr>
        <w:rFonts w:hint="default"/>
        <w:lang w:val="en-US" w:eastAsia="en-US" w:bidi="ar-SA"/>
      </w:rPr>
    </w:lvl>
    <w:lvl w:ilvl="6">
      <w:start w:val="0"/>
      <w:numFmt w:val="bullet"/>
      <w:lvlText w:val="•"/>
      <w:lvlJc w:val="left"/>
      <w:pPr>
        <w:ind w:left="7379" w:hanging="341"/>
      </w:pPr>
      <w:rPr>
        <w:rFonts w:hint="default"/>
        <w:lang w:val="en-US" w:eastAsia="en-US" w:bidi="ar-SA"/>
      </w:rPr>
    </w:lvl>
    <w:lvl w:ilvl="7">
      <w:start w:val="0"/>
      <w:numFmt w:val="bullet"/>
      <w:lvlText w:val="•"/>
      <w:lvlJc w:val="left"/>
      <w:pPr>
        <w:ind w:left="8365" w:hanging="341"/>
      </w:pPr>
      <w:rPr>
        <w:rFonts w:hint="default"/>
        <w:lang w:val="en-US" w:eastAsia="en-US" w:bidi="ar-SA"/>
      </w:rPr>
    </w:lvl>
    <w:lvl w:ilvl="8">
      <w:start w:val="0"/>
      <w:numFmt w:val="bullet"/>
      <w:lvlText w:val="•"/>
      <w:lvlJc w:val="left"/>
      <w:pPr>
        <w:ind w:left="9352" w:hanging="341"/>
      </w:pPr>
      <w:rPr>
        <w:rFonts w:hint="default"/>
        <w:lang w:val="en-US" w:eastAsia="en-US" w:bidi="ar-SA"/>
      </w:rPr>
    </w:lvl>
  </w:abstractNum>
  <w:abstractNum w:abstractNumId="36">
    <w:multiLevelType w:val="hybridMultilevel"/>
    <w:lvl w:ilvl="0">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2">
      <w:start w:val="0"/>
      <w:numFmt w:val="bullet"/>
      <w:lvlText w:val="•"/>
      <w:lvlJc w:val="left"/>
      <w:pPr>
        <w:ind w:left="2556" w:hanging="341"/>
      </w:pPr>
      <w:rPr>
        <w:rFonts w:hint="default"/>
        <w:lang w:val="en-US" w:eastAsia="en-US" w:bidi="ar-SA"/>
      </w:rPr>
    </w:lvl>
    <w:lvl w:ilvl="3">
      <w:start w:val="0"/>
      <w:numFmt w:val="bullet"/>
      <w:lvlText w:val="•"/>
      <w:lvlJc w:val="left"/>
      <w:pPr>
        <w:ind w:left="3652" w:hanging="341"/>
      </w:pPr>
      <w:rPr>
        <w:rFonts w:hint="default"/>
        <w:lang w:val="en-US" w:eastAsia="en-US" w:bidi="ar-SA"/>
      </w:rPr>
    </w:lvl>
    <w:lvl w:ilvl="4">
      <w:start w:val="0"/>
      <w:numFmt w:val="bullet"/>
      <w:lvlText w:val="•"/>
      <w:lvlJc w:val="left"/>
      <w:pPr>
        <w:ind w:left="4748" w:hanging="341"/>
      </w:pPr>
      <w:rPr>
        <w:rFonts w:hint="default"/>
        <w:lang w:val="en-US" w:eastAsia="en-US" w:bidi="ar-SA"/>
      </w:rPr>
    </w:lvl>
    <w:lvl w:ilvl="5">
      <w:start w:val="0"/>
      <w:numFmt w:val="bullet"/>
      <w:lvlText w:val="•"/>
      <w:lvlJc w:val="left"/>
      <w:pPr>
        <w:ind w:left="5844" w:hanging="341"/>
      </w:pPr>
      <w:rPr>
        <w:rFonts w:hint="default"/>
        <w:lang w:val="en-US" w:eastAsia="en-US" w:bidi="ar-SA"/>
      </w:rPr>
    </w:lvl>
    <w:lvl w:ilvl="6">
      <w:start w:val="0"/>
      <w:numFmt w:val="bullet"/>
      <w:lvlText w:val="•"/>
      <w:lvlJc w:val="left"/>
      <w:pPr>
        <w:ind w:left="6940" w:hanging="341"/>
      </w:pPr>
      <w:rPr>
        <w:rFonts w:hint="default"/>
        <w:lang w:val="en-US" w:eastAsia="en-US" w:bidi="ar-SA"/>
      </w:rPr>
    </w:lvl>
    <w:lvl w:ilvl="7">
      <w:start w:val="0"/>
      <w:numFmt w:val="bullet"/>
      <w:lvlText w:val="•"/>
      <w:lvlJc w:val="left"/>
      <w:pPr>
        <w:ind w:left="8037" w:hanging="341"/>
      </w:pPr>
      <w:rPr>
        <w:rFonts w:hint="default"/>
        <w:lang w:val="en-US" w:eastAsia="en-US" w:bidi="ar-SA"/>
      </w:rPr>
    </w:lvl>
    <w:lvl w:ilvl="8">
      <w:start w:val="0"/>
      <w:numFmt w:val="bullet"/>
      <w:lvlText w:val="•"/>
      <w:lvlJc w:val="left"/>
      <w:pPr>
        <w:ind w:left="9133" w:hanging="341"/>
      </w:pPr>
      <w:rPr>
        <w:rFonts w:hint="default"/>
        <w:lang w:val="en-US" w:eastAsia="en-US" w:bidi="ar-SA"/>
      </w:rPr>
    </w:lvl>
  </w:abstractNum>
  <w:abstractNum w:abstractNumId="38">
    <w:multiLevelType w:val="hybridMultilevel"/>
    <w:lvl w:ilvl="0">
      <w:start w:val="4"/>
      <w:numFmt w:val="decimal"/>
      <w:lvlText w:val="%1"/>
      <w:lvlJc w:val="left"/>
      <w:pPr>
        <w:ind w:left="1563" w:hanging="844"/>
        <w:jc w:val="left"/>
      </w:pPr>
      <w:rPr>
        <w:rFonts w:hint="default"/>
        <w:lang w:val="en-US" w:eastAsia="en-US" w:bidi="ar-SA"/>
      </w:rPr>
    </w:lvl>
    <w:lvl w:ilvl="1">
      <w:start w:val="3"/>
      <w:numFmt w:val="decimal"/>
      <w:lvlText w:val="%1.%2"/>
      <w:lvlJc w:val="left"/>
      <w:pPr>
        <w:ind w:left="1563" w:hanging="844"/>
        <w:jc w:val="left"/>
      </w:pPr>
      <w:rPr>
        <w:rFonts w:hint="default"/>
        <w:lang w:val="en-US" w:eastAsia="en-US" w:bidi="ar-SA"/>
      </w:rPr>
    </w:lvl>
    <w:lvl w:ilvl="2">
      <w:start w:val="3"/>
      <w:numFmt w:val="decimal"/>
      <w:lvlText w:val="%1.%2.%3"/>
      <w:lvlJc w:val="left"/>
      <w:pPr>
        <w:ind w:left="1563" w:hanging="844"/>
        <w:jc w:val="left"/>
      </w:pPr>
      <w:rPr>
        <w:rFonts w:hint="default"/>
        <w:lang w:val="en-US" w:eastAsia="en-US" w:bidi="ar-SA"/>
      </w:rPr>
    </w:lvl>
    <w:lvl w:ilvl="3">
      <w:start w:val="1"/>
      <w:numFmt w:val="decimal"/>
      <w:lvlText w:val="%1.%2.%3.%4"/>
      <w:lvlJc w:val="left"/>
      <w:pPr>
        <w:ind w:left="1563" w:hanging="844"/>
        <w:jc w:val="right"/>
      </w:pPr>
      <w:rPr>
        <w:rFonts w:hint="default" w:ascii="Calibri" w:hAnsi="Calibri" w:eastAsia="Calibri" w:cs="Calibri"/>
        <w:b w:val="0"/>
        <w:bCs w:val="0"/>
        <w:i w:val="0"/>
        <w:iCs w:val="0"/>
        <w:color w:val="004A93"/>
        <w:spacing w:val="0"/>
        <w:w w:val="100"/>
        <w:sz w:val="28"/>
        <w:szCs w:val="28"/>
        <w:lang w:val="en-US" w:eastAsia="en-US" w:bidi="ar-SA"/>
      </w:rPr>
    </w:lvl>
    <w:lvl w:ilvl="4">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5">
      <w:start w:val="0"/>
      <w:numFmt w:val="bullet"/>
      <w:lvlText w:val="•"/>
      <w:lvlJc w:val="left"/>
      <w:pPr>
        <w:ind w:left="5222" w:hanging="341"/>
      </w:pPr>
      <w:rPr>
        <w:rFonts w:hint="default"/>
        <w:lang w:val="en-US" w:eastAsia="en-US" w:bidi="ar-SA"/>
      </w:rPr>
    </w:lvl>
    <w:lvl w:ilvl="6">
      <w:start w:val="0"/>
      <w:numFmt w:val="bullet"/>
      <w:lvlText w:val="•"/>
      <w:lvlJc w:val="left"/>
      <w:pPr>
        <w:ind w:left="6442" w:hanging="341"/>
      </w:pPr>
      <w:rPr>
        <w:rFonts w:hint="default"/>
        <w:lang w:val="en-US" w:eastAsia="en-US" w:bidi="ar-SA"/>
      </w:rPr>
    </w:lvl>
    <w:lvl w:ilvl="7">
      <w:start w:val="0"/>
      <w:numFmt w:val="bullet"/>
      <w:lvlText w:val="•"/>
      <w:lvlJc w:val="left"/>
      <w:pPr>
        <w:ind w:left="7663" w:hanging="341"/>
      </w:pPr>
      <w:rPr>
        <w:rFonts w:hint="default"/>
        <w:lang w:val="en-US" w:eastAsia="en-US" w:bidi="ar-SA"/>
      </w:rPr>
    </w:lvl>
    <w:lvl w:ilvl="8">
      <w:start w:val="0"/>
      <w:numFmt w:val="bullet"/>
      <w:lvlText w:val="•"/>
      <w:lvlJc w:val="left"/>
      <w:pPr>
        <w:ind w:left="8884" w:hanging="341"/>
      </w:pPr>
      <w:rPr>
        <w:rFonts w:hint="default"/>
        <w:lang w:val="en-US" w:eastAsia="en-US" w:bidi="ar-SA"/>
      </w:rPr>
    </w:lvl>
  </w:abstractNum>
  <w:abstractNum w:abstractNumId="37">
    <w:multiLevelType w:val="hybridMultilevel"/>
    <w:lvl w:ilvl="0">
      <w:start w:val="4"/>
      <w:numFmt w:val="decimal"/>
      <w:lvlText w:val="%1"/>
      <w:lvlJc w:val="left"/>
      <w:pPr>
        <w:ind w:left="843" w:hanging="844"/>
        <w:jc w:val="left"/>
      </w:pPr>
      <w:rPr>
        <w:rFonts w:hint="default"/>
        <w:lang w:val="en-US" w:eastAsia="en-US" w:bidi="ar-SA"/>
      </w:rPr>
    </w:lvl>
    <w:lvl w:ilvl="1">
      <w:start w:val="3"/>
      <w:numFmt w:val="decimal"/>
      <w:lvlText w:val="%1.%2"/>
      <w:lvlJc w:val="left"/>
      <w:pPr>
        <w:ind w:left="843" w:hanging="844"/>
        <w:jc w:val="left"/>
      </w:pPr>
      <w:rPr>
        <w:rFonts w:hint="default"/>
        <w:lang w:val="en-US" w:eastAsia="en-US" w:bidi="ar-SA"/>
      </w:rPr>
    </w:lvl>
    <w:lvl w:ilvl="2">
      <w:start w:val="2"/>
      <w:numFmt w:val="decimal"/>
      <w:lvlText w:val="%1.%2.%3"/>
      <w:lvlJc w:val="left"/>
      <w:pPr>
        <w:ind w:left="843" w:hanging="844"/>
        <w:jc w:val="left"/>
      </w:pPr>
      <w:rPr>
        <w:rFonts w:hint="default"/>
        <w:lang w:val="en-US" w:eastAsia="en-US" w:bidi="ar-SA"/>
      </w:rPr>
    </w:lvl>
    <w:lvl w:ilvl="3">
      <w:start w:val="3"/>
      <w:numFmt w:val="decimal"/>
      <w:lvlText w:val="%1.%2.%3.%4"/>
      <w:lvlJc w:val="left"/>
      <w:pPr>
        <w:ind w:left="843" w:hanging="844"/>
        <w:jc w:val="left"/>
      </w:pPr>
      <w:rPr>
        <w:rFonts w:hint="default" w:ascii="Calibri" w:hAnsi="Calibri" w:eastAsia="Calibri" w:cs="Calibri"/>
        <w:b w:val="0"/>
        <w:bCs w:val="0"/>
        <w:i w:val="0"/>
        <w:iCs w:val="0"/>
        <w:color w:val="004A93"/>
        <w:spacing w:val="0"/>
        <w:w w:val="100"/>
        <w:sz w:val="28"/>
        <w:szCs w:val="28"/>
        <w:lang w:val="en-US" w:eastAsia="en-US" w:bidi="ar-SA"/>
      </w:rPr>
    </w:lvl>
    <w:lvl w:ilvl="4">
      <w:start w:val="0"/>
      <w:numFmt w:val="bullet"/>
      <w:lvlText w:val="•"/>
      <w:lvlJc w:val="left"/>
      <w:pPr>
        <w:ind w:left="2828" w:hanging="844"/>
      </w:pPr>
      <w:rPr>
        <w:rFonts w:hint="default"/>
        <w:lang w:val="en-US" w:eastAsia="en-US" w:bidi="ar-SA"/>
      </w:rPr>
    </w:lvl>
    <w:lvl w:ilvl="5">
      <w:start w:val="0"/>
      <w:numFmt w:val="bullet"/>
      <w:lvlText w:val="•"/>
      <w:lvlJc w:val="left"/>
      <w:pPr>
        <w:ind w:left="3325" w:hanging="844"/>
      </w:pPr>
      <w:rPr>
        <w:rFonts w:hint="default"/>
        <w:lang w:val="en-US" w:eastAsia="en-US" w:bidi="ar-SA"/>
      </w:rPr>
    </w:lvl>
    <w:lvl w:ilvl="6">
      <w:start w:val="0"/>
      <w:numFmt w:val="bullet"/>
      <w:lvlText w:val="•"/>
      <w:lvlJc w:val="left"/>
      <w:pPr>
        <w:ind w:left="3822" w:hanging="844"/>
      </w:pPr>
      <w:rPr>
        <w:rFonts w:hint="default"/>
        <w:lang w:val="en-US" w:eastAsia="en-US" w:bidi="ar-SA"/>
      </w:rPr>
    </w:lvl>
    <w:lvl w:ilvl="7">
      <w:start w:val="0"/>
      <w:numFmt w:val="bullet"/>
      <w:lvlText w:val="•"/>
      <w:lvlJc w:val="left"/>
      <w:pPr>
        <w:ind w:left="4319" w:hanging="844"/>
      </w:pPr>
      <w:rPr>
        <w:rFonts w:hint="default"/>
        <w:lang w:val="en-US" w:eastAsia="en-US" w:bidi="ar-SA"/>
      </w:rPr>
    </w:lvl>
    <w:lvl w:ilvl="8">
      <w:start w:val="0"/>
      <w:numFmt w:val="bullet"/>
      <w:lvlText w:val="•"/>
      <w:lvlJc w:val="left"/>
      <w:pPr>
        <w:ind w:left="4816" w:hanging="844"/>
      </w:pPr>
      <w:rPr>
        <w:rFonts w:hint="default"/>
        <w:lang w:val="en-US" w:eastAsia="en-US" w:bidi="ar-SA"/>
      </w:rPr>
    </w:lvl>
  </w:abstractNum>
  <w:abstractNum w:abstractNumId="35">
    <w:multiLevelType w:val="hybridMultilevel"/>
    <w:lvl w:ilvl="0">
      <w:start w:val="4"/>
      <w:numFmt w:val="decimal"/>
      <w:lvlText w:val="%1"/>
      <w:lvlJc w:val="left"/>
      <w:pPr>
        <w:ind w:left="843" w:hanging="844"/>
        <w:jc w:val="left"/>
      </w:pPr>
      <w:rPr>
        <w:rFonts w:hint="default"/>
        <w:lang w:val="en-US" w:eastAsia="en-US" w:bidi="ar-SA"/>
      </w:rPr>
    </w:lvl>
    <w:lvl w:ilvl="1">
      <w:start w:val="3"/>
      <w:numFmt w:val="decimal"/>
      <w:lvlText w:val="%1.%2"/>
      <w:lvlJc w:val="left"/>
      <w:pPr>
        <w:ind w:left="843" w:hanging="844"/>
        <w:jc w:val="left"/>
      </w:pPr>
      <w:rPr>
        <w:rFonts w:hint="default"/>
        <w:lang w:val="en-US" w:eastAsia="en-US" w:bidi="ar-SA"/>
      </w:rPr>
    </w:lvl>
    <w:lvl w:ilvl="2">
      <w:start w:val="2"/>
      <w:numFmt w:val="decimal"/>
      <w:lvlText w:val="%1.%2.%3"/>
      <w:lvlJc w:val="left"/>
      <w:pPr>
        <w:ind w:left="843" w:hanging="844"/>
        <w:jc w:val="left"/>
      </w:pPr>
      <w:rPr>
        <w:rFonts w:hint="default"/>
        <w:lang w:val="en-US" w:eastAsia="en-US" w:bidi="ar-SA"/>
      </w:rPr>
    </w:lvl>
    <w:lvl w:ilvl="3">
      <w:start w:val="2"/>
      <w:numFmt w:val="decimal"/>
      <w:lvlText w:val="%1.%2.%3.%4"/>
      <w:lvlJc w:val="left"/>
      <w:pPr>
        <w:ind w:left="843" w:hanging="844"/>
        <w:jc w:val="left"/>
      </w:pPr>
      <w:rPr>
        <w:rFonts w:hint="default" w:ascii="Calibri" w:hAnsi="Calibri" w:eastAsia="Calibri" w:cs="Calibri"/>
        <w:b w:val="0"/>
        <w:bCs w:val="0"/>
        <w:i w:val="0"/>
        <w:iCs w:val="0"/>
        <w:color w:val="004A93"/>
        <w:spacing w:val="0"/>
        <w:w w:val="100"/>
        <w:sz w:val="28"/>
        <w:szCs w:val="28"/>
        <w:lang w:val="en-US" w:eastAsia="en-US" w:bidi="ar-SA"/>
      </w:rPr>
    </w:lvl>
    <w:lvl w:ilvl="4">
      <w:start w:val="0"/>
      <w:numFmt w:val="bullet"/>
      <w:lvlText w:val="•"/>
      <w:lvlJc w:val="left"/>
      <w:pPr>
        <w:ind w:left="2843" w:hanging="844"/>
      </w:pPr>
      <w:rPr>
        <w:rFonts w:hint="default"/>
        <w:lang w:val="en-US" w:eastAsia="en-US" w:bidi="ar-SA"/>
      </w:rPr>
    </w:lvl>
    <w:lvl w:ilvl="5">
      <w:start w:val="0"/>
      <w:numFmt w:val="bullet"/>
      <w:lvlText w:val="•"/>
      <w:lvlJc w:val="left"/>
      <w:pPr>
        <w:ind w:left="3344" w:hanging="844"/>
      </w:pPr>
      <w:rPr>
        <w:rFonts w:hint="default"/>
        <w:lang w:val="en-US" w:eastAsia="en-US" w:bidi="ar-SA"/>
      </w:rPr>
    </w:lvl>
    <w:lvl w:ilvl="6">
      <w:start w:val="0"/>
      <w:numFmt w:val="bullet"/>
      <w:lvlText w:val="•"/>
      <w:lvlJc w:val="left"/>
      <w:pPr>
        <w:ind w:left="3845" w:hanging="844"/>
      </w:pPr>
      <w:rPr>
        <w:rFonts w:hint="default"/>
        <w:lang w:val="en-US" w:eastAsia="en-US" w:bidi="ar-SA"/>
      </w:rPr>
    </w:lvl>
    <w:lvl w:ilvl="7">
      <w:start w:val="0"/>
      <w:numFmt w:val="bullet"/>
      <w:lvlText w:val="•"/>
      <w:lvlJc w:val="left"/>
      <w:pPr>
        <w:ind w:left="4346" w:hanging="844"/>
      </w:pPr>
      <w:rPr>
        <w:rFonts w:hint="default"/>
        <w:lang w:val="en-US" w:eastAsia="en-US" w:bidi="ar-SA"/>
      </w:rPr>
    </w:lvl>
    <w:lvl w:ilvl="8">
      <w:start w:val="0"/>
      <w:numFmt w:val="bullet"/>
      <w:lvlText w:val="•"/>
      <w:lvlJc w:val="left"/>
      <w:pPr>
        <w:ind w:left="4847" w:hanging="844"/>
      </w:pPr>
      <w:rPr>
        <w:rFonts w:hint="default"/>
        <w:lang w:val="en-US" w:eastAsia="en-US" w:bidi="ar-SA"/>
      </w:rPr>
    </w:lvl>
  </w:abstractNum>
  <w:abstractNum w:abstractNumId="33">
    <w:multiLevelType w:val="hybridMultilevel"/>
    <w:lvl w:ilvl="0">
      <w:start w:val="4"/>
      <w:numFmt w:val="decimal"/>
      <w:lvlText w:val="%1"/>
      <w:lvlJc w:val="left"/>
      <w:pPr>
        <w:ind w:left="843" w:hanging="844"/>
        <w:jc w:val="left"/>
      </w:pPr>
      <w:rPr>
        <w:rFonts w:hint="default"/>
        <w:lang w:val="en-US" w:eastAsia="en-US" w:bidi="ar-SA"/>
      </w:rPr>
    </w:lvl>
    <w:lvl w:ilvl="1">
      <w:start w:val="3"/>
      <w:numFmt w:val="decimal"/>
      <w:lvlText w:val="%1.%2"/>
      <w:lvlJc w:val="left"/>
      <w:pPr>
        <w:ind w:left="843" w:hanging="844"/>
        <w:jc w:val="left"/>
      </w:pPr>
      <w:rPr>
        <w:rFonts w:hint="default"/>
        <w:lang w:val="en-US" w:eastAsia="en-US" w:bidi="ar-SA"/>
      </w:rPr>
    </w:lvl>
    <w:lvl w:ilvl="2">
      <w:start w:val="2"/>
      <w:numFmt w:val="decimal"/>
      <w:lvlText w:val="%1.%2.%3"/>
      <w:lvlJc w:val="left"/>
      <w:pPr>
        <w:ind w:left="843" w:hanging="844"/>
        <w:jc w:val="left"/>
      </w:pPr>
      <w:rPr>
        <w:rFonts w:hint="default"/>
        <w:lang w:val="en-US" w:eastAsia="en-US" w:bidi="ar-SA"/>
      </w:rPr>
    </w:lvl>
    <w:lvl w:ilvl="3">
      <w:start w:val="1"/>
      <w:numFmt w:val="decimal"/>
      <w:lvlText w:val="%1.%2.%3.%4"/>
      <w:lvlJc w:val="left"/>
      <w:pPr>
        <w:ind w:left="843" w:hanging="844"/>
        <w:jc w:val="left"/>
      </w:pPr>
      <w:rPr>
        <w:rFonts w:hint="default" w:ascii="Calibri" w:hAnsi="Calibri" w:eastAsia="Calibri" w:cs="Calibri"/>
        <w:b w:val="0"/>
        <w:bCs w:val="0"/>
        <w:i w:val="0"/>
        <w:iCs w:val="0"/>
        <w:color w:val="004A93"/>
        <w:spacing w:val="0"/>
        <w:w w:val="100"/>
        <w:sz w:val="28"/>
        <w:szCs w:val="28"/>
        <w:lang w:val="en-US" w:eastAsia="en-US" w:bidi="ar-SA"/>
      </w:rPr>
    </w:lvl>
    <w:lvl w:ilvl="4">
      <w:start w:val="0"/>
      <w:numFmt w:val="bullet"/>
      <w:lvlText w:val="•"/>
      <w:lvlJc w:val="left"/>
      <w:pPr>
        <w:ind w:left="2761" w:hanging="844"/>
      </w:pPr>
      <w:rPr>
        <w:rFonts w:hint="default"/>
        <w:lang w:val="en-US" w:eastAsia="en-US" w:bidi="ar-SA"/>
      </w:rPr>
    </w:lvl>
    <w:lvl w:ilvl="5">
      <w:start w:val="0"/>
      <w:numFmt w:val="bullet"/>
      <w:lvlText w:val="•"/>
      <w:lvlJc w:val="left"/>
      <w:pPr>
        <w:ind w:left="3242" w:hanging="844"/>
      </w:pPr>
      <w:rPr>
        <w:rFonts w:hint="default"/>
        <w:lang w:val="en-US" w:eastAsia="en-US" w:bidi="ar-SA"/>
      </w:rPr>
    </w:lvl>
    <w:lvl w:ilvl="6">
      <w:start w:val="0"/>
      <w:numFmt w:val="bullet"/>
      <w:lvlText w:val="•"/>
      <w:lvlJc w:val="left"/>
      <w:pPr>
        <w:ind w:left="3722" w:hanging="844"/>
      </w:pPr>
      <w:rPr>
        <w:rFonts w:hint="default"/>
        <w:lang w:val="en-US" w:eastAsia="en-US" w:bidi="ar-SA"/>
      </w:rPr>
    </w:lvl>
    <w:lvl w:ilvl="7">
      <w:start w:val="0"/>
      <w:numFmt w:val="bullet"/>
      <w:lvlText w:val="•"/>
      <w:lvlJc w:val="left"/>
      <w:pPr>
        <w:ind w:left="4203" w:hanging="844"/>
      </w:pPr>
      <w:rPr>
        <w:rFonts w:hint="default"/>
        <w:lang w:val="en-US" w:eastAsia="en-US" w:bidi="ar-SA"/>
      </w:rPr>
    </w:lvl>
    <w:lvl w:ilvl="8">
      <w:start w:val="0"/>
      <w:numFmt w:val="bullet"/>
      <w:lvlText w:val="•"/>
      <w:lvlJc w:val="left"/>
      <w:pPr>
        <w:ind w:left="4683" w:hanging="844"/>
      </w:pPr>
      <w:rPr>
        <w:rFonts w:hint="default"/>
        <w:lang w:val="en-US" w:eastAsia="en-US" w:bidi="ar-SA"/>
      </w:rPr>
    </w:lvl>
  </w:abstractNum>
  <w:abstractNum w:abstractNumId="34">
    <w:multiLevelType w:val="hybridMultilevel"/>
    <w:lvl w:ilvl="0">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446" w:hanging="341"/>
      </w:pPr>
      <w:rPr>
        <w:rFonts w:hint="default"/>
        <w:lang w:val="en-US" w:eastAsia="en-US" w:bidi="ar-SA"/>
      </w:rPr>
    </w:lvl>
    <w:lvl w:ilvl="2">
      <w:start w:val="0"/>
      <w:numFmt w:val="bullet"/>
      <w:lvlText w:val="•"/>
      <w:lvlJc w:val="left"/>
      <w:pPr>
        <w:ind w:left="3433" w:hanging="341"/>
      </w:pPr>
      <w:rPr>
        <w:rFonts w:hint="default"/>
        <w:lang w:val="en-US" w:eastAsia="en-US" w:bidi="ar-SA"/>
      </w:rPr>
    </w:lvl>
    <w:lvl w:ilvl="3">
      <w:start w:val="0"/>
      <w:numFmt w:val="bullet"/>
      <w:lvlText w:val="•"/>
      <w:lvlJc w:val="left"/>
      <w:pPr>
        <w:ind w:left="4419" w:hanging="341"/>
      </w:pPr>
      <w:rPr>
        <w:rFonts w:hint="default"/>
        <w:lang w:val="en-US" w:eastAsia="en-US" w:bidi="ar-SA"/>
      </w:rPr>
    </w:lvl>
    <w:lvl w:ilvl="4">
      <w:start w:val="0"/>
      <w:numFmt w:val="bullet"/>
      <w:lvlText w:val="•"/>
      <w:lvlJc w:val="left"/>
      <w:pPr>
        <w:ind w:left="5406" w:hanging="341"/>
      </w:pPr>
      <w:rPr>
        <w:rFonts w:hint="default"/>
        <w:lang w:val="en-US" w:eastAsia="en-US" w:bidi="ar-SA"/>
      </w:rPr>
    </w:lvl>
    <w:lvl w:ilvl="5">
      <w:start w:val="0"/>
      <w:numFmt w:val="bullet"/>
      <w:lvlText w:val="•"/>
      <w:lvlJc w:val="left"/>
      <w:pPr>
        <w:ind w:left="6392" w:hanging="341"/>
      </w:pPr>
      <w:rPr>
        <w:rFonts w:hint="default"/>
        <w:lang w:val="en-US" w:eastAsia="en-US" w:bidi="ar-SA"/>
      </w:rPr>
    </w:lvl>
    <w:lvl w:ilvl="6">
      <w:start w:val="0"/>
      <w:numFmt w:val="bullet"/>
      <w:lvlText w:val="•"/>
      <w:lvlJc w:val="left"/>
      <w:pPr>
        <w:ind w:left="7379" w:hanging="341"/>
      </w:pPr>
      <w:rPr>
        <w:rFonts w:hint="default"/>
        <w:lang w:val="en-US" w:eastAsia="en-US" w:bidi="ar-SA"/>
      </w:rPr>
    </w:lvl>
    <w:lvl w:ilvl="7">
      <w:start w:val="0"/>
      <w:numFmt w:val="bullet"/>
      <w:lvlText w:val="•"/>
      <w:lvlJc w:val="left"/>
      <w:pPr>
        <w:ind w:left="8365" w:hanging="341"/>
      </w:pPr>
      <w:rPr>
        <w:rFonts w:hint="default"/>
        <w:lang w:val="en-US" w:eastAsia="en-US" w:bidi="ar-SA"/>
      </w:rPr>
    </w:lvl>
    <w:lvl w:ilvl="8">
      <w:start w:val="0"/>
      <w:numFmt w:val="bullet"/>
      <w:lvlText w:val="•"/>
      <w:lvlJc w:val="left"/>
      <w:pPr>
        <w:ind w:left="9352" w:hanging="341"/>
      </w:pPr>
      <w:rPr>
        <w:rFonts w:hint="default"/>
        <w:lang w:val="en-US" w:eastAsia="en-US" w:bidi="ar-SA"/>
      </w:rPr>
    </w:lvl>
  </w:abstractNum>
  <w:abstractNum w:abstractNumId="32">
    <w:multiLevelType w:val="hybridMultilevel"/>
    <w:lvl w:ilvl="0">
      <w:start w:val="4"/>
      <w:numFmt w:val="decimal"/>
      <w:lvlText w:val="%1"/>
      <w:lvlJc w:val="left"/>
      <w:pPr>
        <w:ind w:left="1359" w:hanging="639"/>
        <w:jc w:val="left"/>
      </w:pPr>
      <w:rPr>
        <w:rFonts w:hint="default"/>
        <w:lang w:val="en-US" w:eastAsia="en-US" w:bidi="ar-SA"/>
      </w:rPr>
    </w:lvl>
    <w:lvl w:ilvl="1">
      <w:start w:val="3"/>
      <w:numFmt w:val="decimal"/>
      <w:lvlText w:val="%1.%2"/>
      <w:lvlJc w:val="left"/>
      <w:pPr>
        <w:ind w:left="1359" w:hanging="639"/>
        <w:jc w:val="left"/>
      </w:pPr>
      <w:rPr>
        <w:rFonts w:hint="default"/>
        <w:lang w:val="en-US" w:eastAsia="en-US" w:bidi="ar-SA"/>
      </w:rPr>
    </w:lvl>
    <w:lvl w:ilvl="2">
      <w:start w:val="2"/>
      <w:numFmt w:val="decimal"/>
      <w:lvlText w:val="%1.%2.%3"/>
      <w:lvlJc w:val="left"/>
      <w:pPr>
        <w:ind w:left="1359" w:hanging="639"/>
        <w:jc w:val="right"/>
      </w:pPr>
      <w:rPr>
        <w:rFonts w:hint="default" w:ascii="Calibri" w:hAnsi="Calibri" w:eastAsia="Calibri" w:cs="Calibri"/>
        <w:b/>
        <w:bCs/>
        <w:i w:val="0"/>
        <w:iCs w:val="0"/>
        <w:color w:val="004A93"/>
        <w:spacing w:val="0"/>
        <w:w w:val="100"/>
        <w:sz w:val="28"/>
        <w:szCs w:val="28"/>
        <w:lang w:val="en-US" w:eastAsia="en-US" w:bidi="ar-SA"/>
      </w:rPr>
    </w:lvl>
    <w:lvl w:ilvl="3">
      <w:start w:val="1"/>
      <w:numFmt w:val="decimal"/>
      <w:lvlText w:val="%1.%2.%3.%4"/>
      <w:lvlJc w:val="left"/>
      <w:pPr>
        <w:ind w:left="1960" w:hanging="844"/>
        <w:jc w:val="right"/>
      </w:pPr>
      <w:rPr>
        <w:rFonts w:hint="default" w:ascii="Calibri" w:hAnsi="Calibri" w:eastAsia="Calibri" w:cs="Calibri"/>
        <w:b w:val="0"/>
        <w:bCs w:val="0"/>
        <w:i w:val="0"/>
        <w:iCs w:val="0"/>
        <w:color w:val="004A93"/>
        <w:spacing w:val="0"/>
        <w:w w:val="100"/>
        <w:sz w:val="28"/>
        <w:szCs w:val="28"/>
        <w:lang w:val="en-US" w:eastAsia="en-US" w:bidi="ar-SA"/>
      </w:rPr>
    </w:lvl>
    <w:lvl w:ilvl="4">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5">
      <w:start w:val="1"/>
      <w:numFmt w:val="lowerLetter"/>
      <w:lvlText w:val="%6."/>
      <w:lvlJc w:val="left"/>
      <w:pPr>
        <w:ind w:left="1797" w:hanging="341"/>
        <w:jc w:val="left"/>
      </w:pPr>
      <w:rPr>
        <w:rFonts w:hint="default" w:ascii="Calibri" w:hAnsi="Calibri" w:eastAsia="Calibri" w:cs="Calibri"/>
        <w:b w:val="0"/>
        <w:bCs w:val="0"/>
        <w:i w:val="0"/>
        <w:iCs w:val="0"/>
        <w:spacing w:val="-1"/>
        <w:w w:val="100"/>
        <w:sz w:val="28"/>
        <w:szCs w:val="28"/>
        <w:lang w:val="en-US" w:eastAsia="en-US" w:bidi="ar-SA"/>
      </w:rPr>
    </w:lvl>
    <w:lvl w:ilvl="6">
      <w:start w:val="0"/>
      <w:numFmt w:val="bullet"/>
      <w:lvlText w:val="•"/>
      <w:lvlJc w:val="left"/>
      <w:pPr>
        <w:ind w:left="5973" w:hanging="341"/>
      </w:pPr>
      <w:rPr>
        <w:rFonts w:hint="default"/>
        <w:lang w:val="en-US" w:eastAsia="en-US" w:bidi="ar-SA"/>
      </w:rPr>
    </w:lvl>
    <w:lvl w:ilvl="7">
      <w:start w:val="0"/>
      <w:numFmt w:val="bullet"/>
      <w:lvlText w:val="•"/>
      <w:lvlJc w:val="left"/>
      <w:pPr>
        <w:ind w:left="7311" w:hanging="341"/>
      </w:pPr>
      <w:rPr>
        <w:rFonts w:hint="default"/>
        <w:lang w:val="en-US" w:eastAsia="en-US" w:bidi="ar-SA"/>
      </w:rPr>
    </w:lvl>
    <w:lvl w:ilvl="8">
      <w:start w:val="0"/>
      <w:numFmt w:val="bullet"/>
      <w:lvlText w:val="•"/>
      <w:lvlJc w:val="left"/>
      <w:pPr>
        <w:ind w:left="8649" w:hanging="341"/>
      </w:pPr>
      <w:rPr>
        <w:rFonts w:hint="default"/>
        <w:lang w:val="en-US" w:eastAsia="en-US" w:bidi="ar-SA"/>
      </w:rPr>
    </w:lvl>
  </w:abstractNum>
  <w:abstractNum w:abstractNumId="31">
    <w:multiLevelType w:val="hybridMultilevel"/>
    <w:lvl w:ilvl="0">
      <w:start w:val="4"/>
      <w:numFmt w:val="decimal"/>
      <w:lvlText w:val="%1"/>
      <w:lvlJc w:val="left"/>
      <w:pPr>
        <w:ind w:left="1563" w:hanging="844"/>
        <w:jc w:val="left"/>
      </w:pPr>
      <w:rPr>
        <w:rFonts w:hint="default"/>
        <w:lang w:val="en-US" w:eastAsia="en-US" w:bidi="ar-SA"/>
      </w:rPr>
    </w:lvl>
    <w:lvl w:ilvl="1">
      <w:start w:val="3"/>
      <w:numFmt w:val="decimal"/>
      <w:lvlText w:val="%1.%2"/>
      <w:lvlJc w:val="left"/>
      <w:pPr>
        <w:ind w:left="1563" w:hanging="844"/>
        <w:jc w:val="left"/>
      </w:pPr>
      <w:rPr>
        <w:rFonts w:hint="default"/>
        <w:lang w:val="en-US" w:eastAsia="en-US" w:bidi="ar-SA"/>
      </w:rPr>
    </w:lvl>
    <w:lvl w:ilvl="2">
      <w:start w:val="1"/>
      <w:numFmt w:val="decimal"/>
      <w:lvlText w:val="%1.%2.%3"/>
      <w:lvlJc w:val="left"/>
      <w:pPr>
        <w:ind w:left="1563" w:hanging="844"/>
        <w:jc w:val="left"/>
      </w:pPr>
      <w:rPr>
        <w:rFonts w:hint="default"/>
        <w:lang w:val="en-US" w:eastAsia="en-US" w:bidi="ar-SA"/>
      </w:rPr>
    </w:lvl>
    <w:lvl w:ilvl="3">
      <w:start w:val="3"/>
      <w:numFmt w:val="decimal"/>
      <w:lvlText w:val="%1.%2.%3.%4"/>
      <w:lvlJc w:val="left"/>
      <w:pPr>
        <w:ind w:left="1563" w:hanging="844"/>
        <w:jc w:val="right"/>
      </w:pPr>
      <w:rPr>
        <w:rFonts w:hint="default" w:ascii="Calibri" w:hAnsi="Calibri" w:eastAsia="Calibri" w:cs="Calibri"/>
        <w:b w:val="0"/>
        <w:bCs w:val="0"/>
        <w:i w:val="0"/>
        <w:iCs w:val="0"/>
        <w:color w:val="004A93"/>
        <w:spacing w:val="0"/>
        <w:w w:val="100"/>
        <w:sz w:val="28"/>
        <w:szCs w:val="28"/>
        <w:lang w:val="en-US" w:eastAsia="en-US" w:bidi="ar-SA"/>
      </w:rPr>
    </w:lvl>
    <w:lvl w:ilvl="4">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5">
      <w:start w:val="0"/>
      <w:numFmt w:val="bullet"/>
      <w:lvlText w:val="•"/>
      <w:lvlJc w:val="left"/>
      <w:pPr>
        <w:ind w:left="5222" w:hanging="341"/>
      </w:pPr>
      <w:rPr>
        <w:rFonts w:hint="default"/>
        <w:lang w:val="en-US" w:eastAsia="en-US" w:bidi="ar-SA"/>
      </w:rPr>
    </w:lvl>
    <w:lvl w:ilvl="6">
      <w:start w:val="0"/>
      <w:numFmt w:val="bullet"/>
      <w:lvlText w:val="•"/>
      <w:lvlJc w:val="left"/>
      <w:pPr>
        <w:ind w:left="6442" w:hanging="341"/>
      </w:pPr>
      <w:rPr>
        <w:rFonts w:hint="default"/>
        <w:lang w:val="en-US" w:eastAsia="en-US" w:bidi="ar-SA"/>
      </w:rPr>
    </w:lvl>
    <w:lvl w:ilvl="7">
      <w:start w:val="0"/>
      <w:numFmt w:val="bullet"/>
      <w:lvlText w:val="•"/>
      <w:lvlJc w:val="left"/>
      <w:pPr>
        <w:ind w:left="7663" w:hanging="341"/>
      </w:pPr>
      <w:rPr>
        <w:rFonts w:hint="default"/>
        <w:lang w:val="en-US" w:eastAsia="en-US" w:bidi="ar-SA"/>
      </w:rPr>
    </w:lvl>
    <w:lvl w:ilvl="8">
      <w:start w:val="0"/>
      <w:numFmt w:val="bullet"/>
      <w:lvlText w:val="•"/>
      <w:lvlJc w:val="left"/>
      <w:pPr>
        <w:ind w:left="8884" w:hanging="341"/>
      </w:pPr>
      <w:rPr>
        <w:rFonts w:hint="default"/>
        <w:lang w:val="en-US" w:eastAsia="en-US" w:bidi="ar-SA"/>
      </w:rPr>
    </w:lvl>
  </w:abstractNum>
  <w:abstractNum w:abstractNumId="30">
    <w:multiLevelType w:val="hybridMultilevel"/>
    <w:lvl w:ilvl="0">
      <w:start w:val="4"/>
      <w:numFmt w:val="decimal"/>
      <w:lvlText w:val="%1"/>
      <w:lvlJc w:val="left"/>
      <w:pPr>
        <w:ind w:left="843" w:hanging="844"/>
        <w:jc w:val="left"/>
      </w:pPr>
      <w:rPr>
        <w:rFonts w:hint="default"/>
        <w:lang w:val="en-US" w:eastAsia="en-US" w:bidi="ar-SA"/>
      </w:rPr>
    </w:lvl>
    <w:lvl w:ilvl="1">
      <w:start w:val="3"/>
      <w:numFmt w:val="decimal"/>
      <w:lvlText w:val="%1.%2"/>
      <w:lvlJc w:val="left"/>
      <w:pPr>
        <w:ind w:left="843" w:hanging="844"/>
        <w:jc w:val="left"/>
      </w:pPr>
      <w:rPr>
        <w:rFonts w:hint="default"/>
        <w:lang w:val="en-US" w:eastAsia="en-US" w:bidi="ar-SA"/>
      </w:rPr>
    </w:lvl>
    <w:lvl w:ilvl="2">
      <w:start w:val="1"/>
      <w:numFmt w:val="decimal"/>
      <w:lvlText w:val="%1.%2.%3"/>
      <w:lvlJc w:val="left"/>
      <w:pPr>
        <w:ind w:left="843" w:hanging="844"/>
        <w:jc w:val="left"/>
      </w:pPr>
      <w:rPr>
        <w:rFonts w:hint="default"/>
        <w:lang w:val="en-US" w:eastAsia="en-US" w:bidi="ar-SA"/>
      </w:rPr>
    </w:lvl>
    <w:lvl w:ilvl="3">
      <w:start w:val="2"/>
      <w:numFmt w:val="decimal"/>
      <w:lvlText w:val="%1.%2.%3.%4"/>
      <w:lvlJc w:val="left"/>
      <w:pPr>
        <w:ind w:left="843" w:hanging="844"/>
        <w:jc w:val="left"/>
      </w:pPr>
      <w:rPr>
        <w:rFonts w:hint="default" w:ascii="Calibri" w:hAnsi="Calibri" w:eastAsia="Calibri" w:cs="Calibri"/>
        <w:b w:val="0"/>
        <w:bCs w:val="0"/>
        <w:i w:val="0"/>
        <w:iCs w:val="0"/>
        <w:color w:val="004A93"/>
        <w:spacing w:val="0"/>
        <w:w w:val="100"/>
        <w:sz w:val="28"/>
        <w:szCs w:val="28"/>
        <w:lang w:val="en-US" w:eastAsia="en-US" w:bidi="ar-SA"/>
      </w:rPr>
    </w:lvl>
    <w:lvl w:ilvl="4">
      <w:start w:val="0"/>
      <w:numFmt w:val="bullet"/>
      <w:lvlText w:val="•"/>
      <w:lvlJc w:val="left"/>
      <w:pPr>
        <w:ind w:left="2480" w:hanging="844"/>
      </w:pPr>
      <w:rPr>
        <w:rFonts w:hint="default"/>
        <w:lang w:val="en-US" w:eastAsia="en-US" w:bidi="ar-SA"/>
      </w:rPr>
    </w:lvl>
    <w:lvl w:ilvl="5">
      <w:start w:val="0"/>
      <w:numFmt w:val="bullet"/>
      <w:lvlText w:val="•"/>
      <w:lvlJc w:val="left"/>
      <w:pPr>
        <w:ind w:left="2891" w:hanging="844"/>
      </w:pPr>
      <w:rPr>
        <w:rFonts w:hint="default"/>
        <w:lang w:val="en-US" w:eastAsia="en-US" w:bidi="ar-SA"/>
      </w:rPr>
    </w:lvl>
    <w:lvl w:ilvl="6">
      <w:start w:val="0"/>
      <w:numFmt w:val="bullet"/>
      <w:lvlText w:val="•"/>
      <w:lvlJc w:val="left"/>
      <w:pPr>
        <w:ind w:left="3301" w:hanging="844"/>
      </w:pPr>
      <w:rPr>
        <w:rFonts w:hint="default"/>
        <w:lang w:val="en-US" w:eastAsia="en-US" w:bidi="ar-SA"/>
      </w:rPr>
    </w:lvl>
    <w:lvl w:ilvl="7">
      <w:start w:val="0"/>
      <w:numFmt w:val="bullet"/>
      <w:lvlText w:val="•"/>
      <w:lvlJc w:val="left"/>
      <w:pPr>
        <w:ind w:left="3711" w:hanging="844"/>
      </w:pPr>
      <w:rPr>
        <w:rFonts w:hint="default"/>
        <w:lang w:val="en-US" w:eastAsia="en-US" w:bidi="ar-SA"/>
      </w:rPr>
    </w:lvl>
    <w:lvl w:ilvl="8">
      <w:start w:val="0"/>
      <w:numFmt w:val="bullet"/>
      <w:lvlText w:val="•"/>
      <w:lvlJc w:val="left"/>
      <w:pPr>
        <w:ind w:left="4121" w:hanging="844"/>
      </w:pPr>
      <w:rPr>
        <w:rFonts w:hint="default"/>
        <w:lang w:val="en-US" w:eastAsia="en-US" w:bidi="ar-SA"/>
      </w:rPr>
    </w:lvl>
  </w:abstractNum>
  <w:abstractNum w:abstractNumId="29">
    <w:multiLevelType w:val="hybridMultilevel"/>
    <w:lvl w:ilvl="0">
      <w:start w:val="4"/>
      <w:numFmt w:val="decimal"/>
      <w:lvlText w:val="%1"/>
      <w:lvlJc w:val="left"/>
      <w:pPr>
        <w:ind w:left="843" w:hanging="844"/>
        <w:jc w:val="left"/>
      </w:pPr>
      <w:rPr>
        <w:rFonts w:hint="default"/>
        <w:lang w:val="en-US" w:eastAsia="en-US" w:bidi="ar-SA"/>
      </w:rPr>
    </w:lvl>
    <w:lvl w:ilvl="1">
      <w:start w:val="3"/>
      <w:numFmt w:val="decimal"/>
      <w:lvlText w:val="%1.%2"/>
      <w:lvlJc w:val="left"/>
      <w:pPr>
        <w:ind w:left="843" w:hanging="844"/>
        <w:jc w:val="left"/>
      </w:pPr>
      <w:rPr>
        <w:rFonts w:hint="default"/>
        <w:lang w:val="en-US" w:eastAsia="en-US" w:bidi="ar-SA"/>
      </w:rPr>
    </w:lvl>
    <w:lvl w:ilvl="2">
      <w:start w:val="1"/>
      <w:numFmt w:val="decimal"/>
      <w:lvlText w:val="%1.%2.%3"/>
      <w:lvlJc w:val="left"/>
      <w:pPr>
        <w:ind w:left="843" w:hanging="844"/>
        <w:jc w:val="left"/>
      </w:pPr>
      <w:rPr>
        <w:rFonts w:hint="default"/>
        <w:lang w:val="en-US" w:eastAsia="en-US" w:bidi="ar-SA"/>
      </w:rPr>
    </w:lvl>
    <w:lvl w:ilvl="3">
      <w:start w:val="1"/>
      <w:numFmt w:val="decimal"/>
      <w:lvlText w:val="%1.%2.%3.%4"/>
      <w:lvlJc w:val="left"/>
      <w:pPr>
        <w:ind w:left="843" w:hanging="844"/>
        <w:jc w:val="left"/>
      </w:pPr>
      <w:rPr>
        <w:rFonts w:hint="default" w:ascii="Calibri" w:hAnsi="Calibri" w:eastAsia="Calibri" w:cs="Calibri"/>
        <w:b w:val="0"/>
        <w:bCs w:val="0"/>
        <w:i w:val="0"/>
        <w:iCs w:val="0"/>
        <w:color w:val="004A93"/>
        <w:spacing w:val="0"/>
        <w:w w:val="100"/>
        <w:sz w:val="28"/>
        <w:szCs w:val="28"/>
        <w:lang w:val="en-US" w:eastAsia="en-US" w:bidi="ar-SA"/>
      </w:rPr>
    </w:lvl>
    <w:lvl w:ilvl="4">
      <w:start w:val="0"/>
      <w:numFmt w:val="bullet"/>
      <w:lvlText w:val="•"/>
      <w:lvlJc w:val="left"/>
      <w:pPr>
        <w:ind w:left="2064" w:hanging="844"/>
      </w:pPr>
      <w:rPr>
        <w:rFonts w:hint="default"/>
        <w:lang w:val="en-US" w:eastAsia="en-US" w:bidi="ar-SA"/>
      </w:rPr>
    </w:lvl>
    <w:lvl w:ilvl="5">
      <w:start w:val="0"/>
      <w:numFmt w:val="bullet"/>
      <w:lvlText w:val="•"/>
      <w:lvlJc w:val="left"/>
      <w:pPr>
        <w:ind w:left="2370" w:hanging="844"/>
      </w:pPr>
      <w:rPr>
        <w:rFonts w:hint="default"/>
        <w:lang w:val="en-US" w:eastAsia="en-US" w:bidi="ar-SA"/>
      </w:rPr>
    </w:lvl>
    <w:lvl w:ilvl="6">
      <w:start w:val="0"/>
      <w:numFmt w:val="bullet"/>
      <w:lvlText w:val="•"/>
      <w:lvlJc w:val="left"/>
      <w:pPr>
        <w:ind w:left="2676" w:hanging="844"/>
      </w:pPr>
      <w:rPr>
        <w:rFonts w:hint="default"/>
        <w:lang w:val="en-US" w:eastAsia="en-US" w:bidi="ar-SA"/>
      </w:rPr>
    </w:lvl>
    <w:lvl w:ilvl="7">
      <w:start w:val="0"/>
      <w:numFmt w:val="bullet"/>
      <w:lvlText w:val="•"/>
      <w:lvlJc w:val="left"/>
      <w:pPr>
        <w:ind w:left="2983" w:hanging="844"/>
      </w:pPr>
      <w:rPr>
        <w:rFonts w:hint="default"/>
        <w:lang w:val="en-US" w:eastAsia="en-US" w:bidi="ar-SA"/>
      </w:rPr>
    </w:lvl>
    <w:lvl w:ilvl="8">
      <w:start w:val="0"/>
      <w:numFmt w:val="bullet"/>
      <w:lvlText w:val="•"/>
      <w:lvlJc w:val="left"/>
      <w:pPr>
        <w:ind w:left="3289" w:hanging="844"/>
      </w:pPr>
      <w:rPr>
        <w:rFonts w:hint="default"/>
        <w:lang w:val="en-US" w:eastAsia="en-US" w:bidi="ar-SA"/>
      </w:rPr>
    </w:lvl>
  </w:abstractNum>
  <w:abstractNum w:abstractNumId="28">
    <w:multiLevelType w:val="hybridMultilevel"/>
    <w:lvl w:ilvl="0">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446" w:hanging="341"/>
      </w:pPr>
      <w:rPr>
        <w:rFonts w:hint="default"/>
        <w:lang w:val="en-US" w:eastAsia="en-US" w:bidi="ar-SA"/>
      </w:rPr>
    </w:lvl>
    <w:lvl w:ilvl="2">
      <w:start w:val="0"/>
      <w:numFmt w:val="bullet"/>
      <w:lvlText w:val="•"/>
      <w:lvlJc w:val="left"/>
      <w:pPr>
        <w:ind w:left="3433" w:hanging="341"/>
      </w:pPr>
      <w:rPr>
        <w:rFonts w:hint="default"/>
        <w:lang w:val="en-US" w:eastAsia="en-US" w:bidi="ar-SA"/>
      </w:rPr>
    </w:lvl>
    <w:lvl w:ilvl="3">
      <w:start w:val="0"/>
      <w:numFmt w:val="bullet"/>
      <w:lvlText w:val="•"/>
      <w:lvlJc w:val="left"/>
      <w:pPr>
        <w:ind w:left="4419" w:hanging="341"/>
      </w:pPr>
      <w:rPr>
        <w:rFonts w:hint="default"/>
        <w:lang w:val="en-US" w:eastAsia="en-US" w:bidi="ar-SA"/>
      </w:rPr>
    </w:lvl>
    <w:lvl w:ilvl="4">
      <w:start w:val="0"/>
      <w:numFmt w:val="bullet"/>
      <w:lvlText w:val="•"/>
      <w:lvlJc w:val="left"/>
      <w:pPr>
        <w:ind w:left="5406" w:hanging="341"/>
      </w:pPr>
      <w:rPr>
        <w:rFonts w:hint="default"/>
        <w:lang w:val="en-US" w:eastAsia="en-US" w:bidi="ar-SA"/>
      </w:rPr>
    </w:lvl>
    <w:lvl w:ilvl="5">
      <w:start w:val="0"/>
      <w:numFmt w:val="bullet"/>
      <w:lvlText w:val="•"/>
      <w:lvlJc w:val="left"/>
      <w:pPr>
        <w:ind w:left="6392" w:hanging="341"/>
      </w:pPr>
      <w:rPr>
        <w:rFonts w:hint="default"/>
        <w:lang w:val="en-US" w:eastAsia="en-US" w:bidi="ar-SA"/>
      </w:rPr>
    </w:lvl>
    <w:lvl w:ilvl="6">
      <w:start w:val="0"/>
      <w:numFmt w:val="bullet"/>
      <w:lvlText w:val="•"/>
      <w:lvlJc w:val="left"/>
      <w:pPr>
        <w:ind w:left="7379" w:hanging="341"/>
      </w:pPr>
      <w:rPr>
        <w:rFonts w:hint="default"/>
        <w:lang w:val="en-US" w:eastAsia="en-US" w:bidi="ar-SA"/>
      </w:rPr>
    </w:lvl>
    <w:lvl w:ilvl="7">
      <w:start w:val="0"/>
      <w:numFmt w:val="bullet"/>
      <w:lvlText w:val="•"/>
      <w:lvlJc w:val="left"/>
      <w:pPr>
        <w:ind w:left="8365" w:hanging="341"/>
      </w:pPr>
      <w:rPr>
        <w:rFonts w:hint="default"/>
        <w:lang w:val="en-US" w:eastAsia="en-US" w:bidi="ar-SA"/>
      </w:rPr>
    </w:lvl>
    <w:lvl w:ilvl="8">
      <w:start w:val="0"/>
      <w:numFmt w:val="bullet"/>
      <w:lvlText w:val="•"/>
      <w:lvlJc w:val="left"/>
      <w:pPr>
        <w:ind w:left="9352" w:hanging="341"/>
      </w:pPr>
      <w:rPr>
        <w:rFonts w:hint="default"/>
        <w:lang w:val="en-US" w:eastAsia="en-US" w:bidi="ar-SA"/>
      </w:rPr>
    </w:lvl>
  </w:abstractNum>
  <w:abstractNum w:abstractNumId="27">
    <w:multiLevelType w:val="hybridMultilevel"/>
    <w:lvl w:ilvl="0">
      <w:start w:val="4"/>
      <w:numFmt w:val="decimal"/>
      <w:lvlText w:val="%1"/>
      <w:lvlJc w:val="left"/>
      <w:pPr>
        <w:ind w:left="1117" w:hanging="639"/>
        <w:jc w:val="left"/>
      </w:pPr>
      <w:rPr>
        <w:rFonts w:hint="default"/>
        <w:lang w:val="en-US" w:eastAsia="en-US" w:bidi="ar-SA"/>
      </w:rPr>
    </w:lvl>
    <w:lvl w:ilvl="1">
      <w:start w:val="2"/>
      <w:numFmt w:val="decimal"/>
      <w:lvlText w:val="%1.%2"/>
      <w:lvlJc w:val="left"/>
      <w:pPr>
        <w:ind w:left="1117" w:hanging="639"/>
        <w:jc w:val="left"/>
      </w:pPr>
      <w:rPr>
        <w:rFonts w:hint="default"/>
        <w:lang w:val="en-US" w:eastAsia="en-US" w:bidi="ar-SA"/>
      </w:rPr>
    </w:lvl>
    <w:lvl w:ilvl="2">
      <w:start w:val="3"/>
      <w:numFmt w:val="decimal"/>
      <w:lvlText w:val="%1.%2.%3"/>
      <w:lvlJc w:val="left"/>
      <w:pPr>
        <w:ind w:left="1117" w:hanging="639"/>
        <w:jc w:val="righ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4">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5">
      <w:start w:val="1"/>
      <w:numFmt w:val="lowerLetter"/>
      <w:lvlText w:val="%6)"/>
      <w:lvlJc w:val="left"/>
      <w:pPr>
        <w:ind w:left="1911" w:hanging="454"/>
        <w:jc w:val="left"/>
      </w:pPr>
      <w:rPr>
        <w:rFonts w:hint="default" w:ascii="Calibri" w:hAnsi="Calibri" w:eastAsia="Calibri" w:cs="Calibri"/>
        <w:b w:val="0"/>
        <w:bCs w:val="0"/>
        <w:i w:val="0"/>
        <w:iCs w:val="0"/>
        <w:spacing w:val="-1"/>
        <w:w w:val="100"/>
        <w:sz w:val="28"/>
        <w:szCs w:val="28"/>
        <w:lang w:val="en-US" w:eastAsia="en-US" w:bidi="ar-SA"/>
      </w:rPr>
    </w:lvl>
    <w:lvl w:ilvl="6">
      <w:start w:val="0"/>
      <w:numFmt w:val="bullet"/>
      <w:lvlText w:val="•"/>
      <w:lvlJc w:val="left"/>
      <w:pPr>
        <w:ind w:left="5950" w:hanging="454"/>
      </w:pPr>
      <w:rPr>
        <w:rFonts w:hint="default"/>
        <w:lang w:val="en-US" w:eastAsia="en-US" w:bidi="ar-SA"/>
      </w:rPr>
    </w:lvl>
    <w:lvl w:ilvl="7">
      <w:start w:val="0"/>
      <w:numFmt w:val="bullet"/>
      <w:lvlText w:val="•"/>
      <w:lvlJc w:val="left"/>
      <w:pPr>
        <w:ind w:left="7294" w:hanging="454"/>
      </w:pPr>
      <w:rPr>
        <w:rFonts w:hint="default"/>
        <w:lang w:val="en-US" w:eastAsia="en-US" w:bidi="ar-SA"/>
      </w:rPr>
    </w:lvl>
    <w:lvl w:ilvl="8">
      <w:start w:val="0"/>
      <w:numFmt w:val="bullet"/>
      <w:lvlText w:val="•"/>
      <w:lvlJc w:val="left"/>
      <w:pPr>
        <w:ind w:left="8638" w:hanging="454"/>
      </w:pPr>
      <w:rPr>
        <w:rFonts w:hint="default"/>
        <w:lang w:val="en-US" w:eastAsia="en-US" w:bidi="ar-SA"/>
      </w:rPr>
    </w:lvl>
  </w:abstractNum>
  <w:abstractNum w:abstractNumId="26">
    <w:multiLevelType w:val="hybridMultilevel"/>
    <w:lvl w:ilvl="0">
      <w:start w:val="4"/>
      <w:numFmt w:val="decimal"/>
      <w:lvlText w:val="%1"/>
      <w:lvlJc w:val="left"/>
      <w:pPr>
        <w:ind w:left="638" w:hanging="639"/>
        <w:jc w:val="left"/>
      </w:pPr>
      <w:rPr>
        <w:rFonts w:hint="default"/>
        <w:lang w:val="en-US" w:eastAsia="en-US" w:bidi="ar-SA"/>
      </w:rPr>
    </w:lvl>
    <w:lvl w:ilvl="1">
      <w:start w:val="2"/>
      <w:numFmt w:val="decimal"/>
      <w:lvlText w:val="%1.%2"/>
      <w:lvlJc w:val="left"/>
      <w:pPr>
        <w:ind w:left="638" w:hanging="639"/>
        <w:jc w:val="left"/>
      </w:pPr>
      <w:rPr>
        <w:rFonts w:hint="default"/>
        <w:lang w:val="en-US" w:eastAsia="en-US" w:bidi="ar-SA"/>
      </w:rPr>
    </w:lvl>
    <w:lvl w:ilvl="2">
      <w:start w:val="2"/>
      <w:numFmt w:val="decimal"/>
      <w:lvlText w:val="%1.%2.%3"/>
      <w:lvlJc w:val="left"/>
      <w:pPr>
        <w:ind w:left="638" w:hanging="639"/>
        <w:jc w:val="lef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1488" w:hanging="639"/>
      </w:pPr>
      <w:rPr>
        <w:rFonts w:hint="default"/>
        <w:lang w:val="en-US" w:eastAsia="en-US" w:bidi="ar-SA"/>
      </w:rPr>
    </w:lvl>
    <w:lvl w:ilvl="4">
      <w:start w:val="0"/>
      <w:numFmt w:val="bullet"/>
      <w:lvlText w:val="•"/>
      <w:lvlJc w:val="left"/>
      <w:pPr>
        <w:ind w:left="1771" w:hanging="639"/>
      </w:pPr>
      <w:rPr>
        <w:rFonts w:hint="default"/>
        <w:lang w:val="en-US" w:eastAsia="en-US" w:bidi="ar-SA"/>
      </w:rPr>
    </w:lvl>
    <w:lvl w:ilvl="5">
      <w:start w:val="0"/>
      <w:numFmt w:val="bullet"/>
      <w:lvlText w:val="•"/>
      <w:lvlJc w:val="left"/>
      <w:pPr>
        <w:ind w:left="2054" w:hanging="639"/>
      </w:pPr>
      <w:rPr>
        <w:rFonts w:hint="default"/>
        <w:lang w:val="en-US" w:eastAsia="en-US" w:bidi="ar-SA"/>
      </w:rPr>
    </w:lvl>
    <w:lvl w:ilvl="6">
      <w:start w:val="0"/>
      <w:numFmt w:val="bullet"/>
      <w:lvlText w:val="•"/>
      <w:lvlJc w:val="left"/>
      <w:pPr>
        <w:ind w:left="2336" w:hanging="639"/>
      </w:pPr>
      <w:rPr>
        <w:rFonts w:hint="default"/>
        <w:lang w:val="en-US" w:eastAsia="en-US" w:bidi="ar-SA"/>
      </w:rPr>
    </w:lvl>
    <w:lvl w:ilvl="7">
      <w:start w:val="0"/>
      <w:numFmt w:val="bullet"/>
      <w:lvlText w:val="•"/>
      <w:lvlJc w:val="left"/>
      <w:pPr>
        <w:ind w:left="2619" w:hanging="639"/>
      </w:pPr>
      <w:rPr>
        <w:rFonts w:hint="default"/>
        <w:lang w:val="en-US" w:eastAsia="en-US" w:bidi="ar-SA"/>
      </w:rPr>
    </w:lvl>
    <w:lvl w:ilvl="8">
      <w:start w:val="0"/>
      <w:numFmt w:val="bullet"/>
      <w:lvlText w:val="•"/>
      <w:lvlJc w:val="left"/>
      <w:pPr>
        <w:ind w:left="2902" w:hanging="639"/>
      </w:pPr>
      <w:rPr>
        <w:rFonts w:hint="default"/>
        <w:lang w:val="en-US" w:eastAsia="en-US" w:bidi="ar-SA"/>
      </w:rPr>
    </w:lvl>
  </w:abstractNum>
  <w:abstractNum w:abstractNumId="25">
    <w:multiLevelType w:val="hybridMultilevel"/>
    <w:lvl w:ilvl="0">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446" w:hanging="341"/>
      </w:pPr>
      <w:rPr>
        <w:rFonts w:hint="default"/>
        <w:lang w:val="en-US" w:eastAsia="en-US" w:bidi="ar-SA"/>
      </w:rPr>
    </w:lvl>
    <w:lvl w:ilvl="2">
      <w:start w:val="0"/>
      <w:numFmt w:val="bullet"/>
      <w:lvlText w:val="•"/>
      <w:lvlJc w:val="left"/>
      <w:pPr>
        <w:ind w:left="3433" w:hanging="341"/>
      </w:pPr>
      <w:rPr>
        <w:rFonts w:hint="default"/>
        <w:lang w:val="en-US" w:eastAsia="en-US" w:bidi="ar-SA"/>
      </w:rPr>
    </w:lvl>
    <w:lvl w:ilvl="3">
      <w:start w:val="0"/>
      <w:numFmt w:val="bullet"/>
      <w:lvlText w:val="•"/>
      <w:lvlJc w:val="left"/>
      <w:pPr>
        <w:ind w:left="4419" w:hanging="341"/>
      </w:pPr>
      <w:rPr>
        <w:rFonts w:hint="default"/>
        <w:lang w:val="en-US" w:eastAsia="en-US" w:bidi="ar-SA"/>
      </w:rPr>
    </w:lvl>
    <w:lvl w:ilvl="4">
      <w:start w:val="0"/>
      <w:numFmt w:val="bullet"/>
      <w:lvlText w:val="•"/>
      <w:lvlJc w:val="left"/>
      <w:pPr>
        <w:ind w:left="5406" w:hanging="341"/>
      </w:pPr>
      <w:rPr>
        <w:rFonts w:hint="default"/>
        <w:lang w:val="en-US" w:eastAsia="en-US" w:bidi="ar-SA"/>
      </w:rPr>
    </w:lvl>
    <w:lvl w:ilvl="5">
      <w:start w:val="0"/>
      <w:numFmt w:val="bullet"/>
      <w:lvlText w:val="•"/>
      <w:lvlJc w:val="left"/>
      <w:pPr>
        <w:ind w:left="6392" w:hanging="341"/>
      </w:pPr>
      <w:rPr>
        <w:rFonts w:hint="default"/>
        <w:lang w:val="en-US" w:eastAsia="en-US" w:bidi="ar-SA"/>
      </w:rPr>
    </w:lvl>
    <w:lvl w:ilvl="6">
      <w:start w:val="0"/>
      <w:numFmt w:val="bullet"/>
      <w:lvlText w:val="•"/>
      <w:lvlJc w:val="left"/>
      <w:pPr>
        <w:ind w:left="7379" w:hanging="341"/>
      </w:pPr>
      <w:rPr>
        <w:rFonts w:hint="default"/>
        <w:lang w:val="en-US" w:eastAsia="en-US" w:bidi="ar-SA"/>
      </w:rPr>
    </w:lvl>
    <w:lvl w:ilvl="7">
      <w:start w:val="0"/>
      <w:numFmt w:val="bullet"/>
      <w:lvlText w:val="•"/>
      <w:lvlJc w:val="left"/>
      <w:pPr>
        <w:ind w:left="8365" w:hanging="341"/>
      </w:pPr>
      <w:rPr>
        <w:rFonts w:hint="default"/>
        <w:lang w:val="en-US" w:eastAsia="en-US" w:bidi="ar-SA"/>
      </w:rPr>
    </w:lvl>
    <w:lvl w:ilvl="8">
      <w:start w:val="0"/>
      <w:numFmt w:val="bullet"/>
      <w:lvlText w:val="•"/>
      <w:lvlJc w:val="left"/>
      <w:pPr>
        <w:ind w:left="9352" w:hanging="341"/>
      </w:pPr>
      <w:rPr>
        <w:rFonts w:hint="default"/>
        <w:lang w:val="en-US" w:eastAsia="en-US" w:bidi="ar-SA"/>
      </w:rPr>
    </w:lvl>
  </w:abstractNum>
  <w:abstractNum w:abstractNumId="24">
    <w:multiLevelType w:val="hybridMultilevel"/>
    <w:lvl w:ilvl="0">
      <w:start w:val="4"/>
      <w:numFmt w:val="decimal"/>
      <w:lvlText w:val="%1"/>
      <w:lvlJc w:val="left"/>
      <w:pPr>
        <w:ind w:left="1599" w:hanging="483"/>
        <w:jc w:val="left"/>
      </w:pPr>
      <w:rPr>
        <w:rFonts w:hint="default"/>
        <w:lang w:val="en-US" w:eastAsia="en-US" w:bidi="ar-SA"/>
      </w:rPr>
    </w:lvl>
    <w:lvl w:ilvl="1">
      <w:start w:val="1"/>
      <w:numFmt w:val="decimal"/>
      <w:lvlText w:val="%1.%2"/>
      <w:lvlJc w:val="left"/>
      <w:pPr>
        <w:ind w:left="1599" w:hanging="483"/>
        <w:jc w:val="right"/>
      </w:pPr>
      <w:rPr>
        <w:rFonts w:hint="default" w:ascii="Calibri" w:hAnsi="Calibri" w:eastAsia="Calibri" w:cs="Calibri"/>
        <w:b/>
        <w:bCs/>
        <w:i w:val="0"/>
        <w:iCs w:val="0"/>
        <w:color w:val="004A93"/>
        <w:spacing w:val="0"/>
        <w:w w:val="100"/>
        <w:sz w:val="32"/>
        <w:szCs w:val="32"/>
        <w:lang w:val="en-US" w:eastAsia="en-US" w:bidi="ar-SA"/>
      </w:rPr>
    </w:lvl>
    <w:lvl w:ilvl="2">
      <w:start w:val="1"/>
      <w:numFmt w:val="decimal"/>
      <w:lvlText w:val="%1.%2.%3"/>
      <w:lvlJc w:val="left"/>
      <w:pPr>
        <w:ind w:left="1359" w:hanging="639"/>
        <w:jc w:val="lef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1060" w:hanging="341"/>
      </w:pPr>
      <w:rPr>
        <w:rFonts w:hint="default" w:ascii="Tahoma" w:hAnsi="Tahoma" w:eastAsia="Tahoma" w:cs="Tahoma"/>
        <w:b/>
        <w:bCs/>
        <w:i w:val="0"/>
        <w:iCs w:val="0"/>
        <w:color w:val="36A9E1"/>
        <w:spacing w:val="0"/>
        <w:w w:val="78"/>
        <w:sz w:val="28"/>
        <w:szCs w:val="28"/>
        <w:lang w:val="en-US" w:eastAsia="en-US" w:bidi="ar-SA"/>
      </w:rPr>
    </w:lvl>
    <w:lvl w:ilvl="4">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5">
      <w:start w:val="0"/>
      <w:numFmt w:val="bullet"/>
      <w:lvlText w:val="•"/>
      <w:lvlJc w:val="left"/>
      <w:pPr>
        <w:ind w:left="3354" w:hanging="341"/>
      </w:pPr>
      <w:rPr>
        <w:rFonts w:hint="default"/>
        <w:lang w:val="en-US" w:eastAsia="en-US" w:bidi="ar-SA"/>
      </w:rPr>
    </w:lvl>
    <w:lvl w:ilvl="6">
      <w:start w:val="0"/>
      <w:numFmt w:val="bullet"/>
      <w:lvlText w:val="•"/>
      <w:lvlJc w:val="left"/>
      <w:pPr>
        <w:ind w:left="4948" w:hanging="341"/>
      </w:pPr>
      <w:rPr>
        <w:rFonts w:hint="default"/>
        <w:lang w:val="en-US" w:eastAsia="en-US" w:bidi="ar-SA"/>
      </w:rPr>
    </w:lvl>
    <w:lvl w:ilvl="7">
      <w:start w:val="0"/>
      <w:numFmt w:val="bullet"/>
      <w:lvlText w:val="•"/>
      <w:lvlJc w:val="left"/>
      <w:pPr>
        <w:ind w:left="6542" w:hanging="341"/>
      </w:pPr>
      <w:rPr>
        <w:rFonts w:hint="default"/>
        <w:lang w:val="en-US" w:eastAsia="en-US" w:bidi="ar-SA"/>
      </w:rPr>
    </w:lvl>
    <w:lvl w:ilvl="8">
      <w:start w:val="0"/>
      <w:numFmt w:val="bullet"/>
      <w:lvlText w:val="•"/>
      <w:lvlJc w:val="left"/>
      <w:pPr>
        <w:ind w:left="8137" w:hanging="341"/>
      </w:pPr>
      <w:rPr>
        <w:rFonts w:hint="default"/>
        <w:lang w:val="en-US" w:eastAsia="en-US" w:bidi="ar-SA"/>
      </w:rPr>
    </w:lvl>
  </w:abstractNum>
  <w:abstractNum w:abstractNumId="23">
    <w:multiLevelType w:val="hybridMultilevel"/>
    <w:lvl w:ilvl="0">
      <w:start w:val="3"/>
      <w:numFmt w:val="decimal"/>
      <w:lvlText w:val="%1"/>
      <w:lvlJc w:val="left"/>
      <w:pPr>
        <w:ind w:left="1365" w:hanging="645"/>
        <w:jc w:val="left"/>
      </w:pPr>
      <w:rPr>
        <w:rFonts w:hint="default"/>
        <w:lang w:val="en-US" w:eastAsia="en-US" w:bidi="ar-SA"/>
      </w:rPr>
    </w:lvl>
    <w:lvl w:ilvl="1">
      <w:start w:val="11"/>
      <w:numFmt w:val="decimal"/>
      <w:lvlText w:val="%1.%2"/>
      <w:lvlJc w:val="left"/>
      <w:pPr>
        <w:ind w:left="1365" w:hanging="645"/>
        <w:jc w:val="right"/>
      </w:pPr>
      <w:rPr>
        <w:rFonts w:hint="default" w:ascii="Calibri" w:hAnsi="Calibri" w:eastAsia="Calibri" w:cs="Calibri"/>
        <w:b/>
        <w:bCs/>
        <w:i w:val="0"/>
        <w:iCs w:val="0"/>
        <w:color w:val="004A93"/>
        <w:spacing w:val="0"/>
        <w:w w:val="100"/>
        <w:sz w:val="32"/>
        <w:szCs w:val="32"/>
        <w:lang w:val="en-US" w:eastAsia="en-US" w:bidi="ar-SA"/>
      </w:rPr>
    </w:lvl>
    <w:lvl w:ilvl="2">
      <w:start w:val="0"/>
      <w:numFmt w:val="bullet"/>
      <w:lvlText w:val="•"/>
      <w:lvlJc w:val="left"/>
      <w:pPr>
        <w:ind w:left="3353" w:hanging="645"/>
      </w:pPr>
      <w:rPr>
        <w:rFonts w:hint="default"/>
        <w:lang w:val="en-US" w:eastAsia="en-US" w:bidi="ar-SA"/>
      </w:rPr>
    </w:lvl>
    <w:lvl w:ilvl="3">
      <w:start w:val="0"/>
      <w:numFmt w:val="bullet"/>
      <w:lvlText w:val="•"/>
      <w:lvlJc w:val="left"/>
      <w:pPr>
        <w:ind w:left="4349" w:hanging="645"/>
      </w:pPr>
      <w:rPr>
        <w:rFonts w:hint="default"/>
        <w:lang w:val="en-US" w:eastAsia="en-US" w:bidi="ar-SA"/>
      </w:rPr>
    </w:lvl>
    <w:lvl w:ilvl="4">
      <w:start w:val="0"/>
      <w:numFmt w:val="bullet"/>
      <w:lvlText w:val="•"/>
      <w:lvlJc w:val="left"/>
      <w:pPr>
        <w:ind w:left="5346" w:hanging="645"/>
      </w:pPr>
      <w:rPr>
        <w:rFonts w:hint="default"/>
        <w:lang w:val="en-US" w:eastAsia="en-US" w:bidi="ar-SA"/>
      </w:rPr>
    </w:lvl>
    <w:lvl w:ilvl="5">
      <w:start w:val="0"/>
      <w:numFmt w:val="bullet"/>
      <w:lvlText w:val="•"/>
      <w:lvlJc w:val="left"/>
      <w:pPr>
        <w:ind w:left="6342" w:hanging="645"/>
      </w:pPr>
      <w:rPr>
        <w:rFonts w:hint="default"/>
        <w:lang w:val="en-US" w:eastAsia="en-US" w:bidi="ar-SA"/>
      </w:rPr>
    </w:lvl>
    <w:lvl w:ilvl="6">
      <w:start w:val="0"/>
      <w:numFmt w:val="bullet"/>
      <w:lvlText w:val="•"/>
      <w:lvlJc w:val="left"/>
      <w:pPr>
        <w:ind w:left="7339" w:hanging="645"/>
      </w:pPr>
      <w:rPr>
        <w:rFonts w:hint="default"/>
        <w:lang w:val="en-US" w:eastAsia="en-US" w:bidi="ar-SA"/>
      </w:rPr>
    </w:lvl>
    <w:lvl w:ilvl="7">
      <w:start w:val="0"/>
      <w:numFmt w:val="bullet"/>
      <w:lvlText w:val="•"/>
      <w:lvlJc w:val="left"/>
      <w:pPr>
        <w:ind w:left="8335" w:hanging="645"/>
      </w:pPr>
      <w:rPr>
        <w:rFonts w:hint="default"/>
        <w:lang w:val="en-US" w:eastAsia="en-US" w:bidi="ar-SA"/>
      </w:rPr>
    </w:lvl>
    <w:lvl w:ilvl="8">
      <w:start w:val="0"/>
      <w:numFmt w:val="bullet"/>
      <w:lvlText w:val="•"/>
      <w:lvlJc w:val="left"/>
      <w:pPr>
        <w:ind w:left="9332" w:hanging="645"/>
      </w:pPr>
      <w:rPr>
        <w:rFonts w:hint="default"/>
        <w:lang w:val="en-US" w:eastAsia="en-US" w:bidi="ar-SA"/>
      </w:rPr>
    </w:lvl>
  </w:abstractNum>
  <w:abstractNum w:abstractNumId="22">
    <w:multiLevelType w:val="hybridMultilevel"/>
    <w:lvl w:ilvl="0">
      <w:start w:val="3"/>
      <w:numFmt w:val="decimal"/>
      <w:lvlText w:val="%1"/>
      <w:lvlJc w:val="left"/>
      <w:pPr>
        <w:ind w:left="1359" w:hanging="639"/>
        <w:jc w:val="left"/>
      </w:pPr>
      <w:rPr>
        <w:rFonts w:hint="default"/>
        <w:lang w:val="en-US" w:eastAsia="en-US" w:bidi="ar-SA"/>
      </w:rPr>
    </w:lvl>
    <w:lvl w:ilvl="1">
      <w:start w:val="4"/>
      <w:numFmt w:val="decimal"/>
      <w:lvlText w:val="%1.%2"/>
      <w:lvlJc w:val="left"/>
      <w:pPr>
        <w:ind w:left="1359" w:hanging="639"/>
        <w:jc w:val="left"/>
      </w:pPr>
      <w:rPr>
        <w:rFonts w:hint="default"/>
        <w:lang w:val="en-US" w:eastAsia="en-US" w:bidi="ar-SA"/>
      </w:rPr>
    </w:lvl>
    <w:lvl w:ilvl="2">
      <w:start w:val="4"/>
      <w:numFmt w:val="decimal"/>
      <w:lvlText w:val="%1.%2.%3"/>
      <w:lvlJc w:val="left"/>
      <w:pPr>
        <w:ind w:left="1359" w:hanging="639"/>
        <w:jc w:val="lef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4349" w:hanging="639"/>
      </w:pPr>
      <w:rPr>
        <w:rFonts w:hint="default"/>
        <w:lang w:val="en-US" w:eastAsia="en-US" w:bidi="ar-SA"/>
      </w:rPr>
    </w:lvl>
    <w:lvl w:ilvl="4">
      <w:start w:val="0"/>
      <w:numFmt w:val="bullet"/>
      <w:lvlText w:val="•"/>
      <w:lvlJc w:val="left"/>
      <w:pPr>
        <w:ind w:left="5346" w:hanging="639"/>
      </w:pPr>
      <w:rPr>
        <w:rFonts w:hint="default"/>
        <w:lang w:val="en-US" w:eastAsia="en-US" w:bidi="ar-SA"/>
      </w:rPr>
    </w:lvl>
    <w:lvl w:ilvl="5">
      <w:start w:val="0"/>
      <w:numFmt w:val="bullet"/>
      <w:lvlText w:val="•"/>
      <w:lvlJc w:val="left"/>
      <w:pPr>
        <w:ind w:left="6342" w:hanging="639"/>
      </w:pPr>
      <w:rPr>
        <w:rFonts w:hint="default"/>
        <w:lang w:val="en-US" w:eastAsia="en-US" w:bidi="ar-SA"/>
      </w:rPr>
    </w:lvl>
    <w:lvl w:ilvl="6">
      <w:start w:val="0"/>
      <w:numFmt w:val="bullet"/>
      <w:lvlText w:val="•"/>
      <w:lvlJc w:val="left"/>
      <w:pPr>
        <w:ind w:left="7339" w:hanging="639"/>
      </w:pPr>
      <w:rPr>
        <w:rFonts w:hint="default"/>
        <w:lang w:val="en-US" w:eastAsia="en-US" w:bidi="ar-SA"/>
      </w:rPr>
    </w:lvl>
    <w:lvl w:ilvl="7">
      <w:start w:val="0"/>
      <w:numFmt w:val="bullet"/>
      <w:lvlText w:val="•"/>
      <w:lvlJc w:val="left"/>
      <w:pPr>
        <w:ind w:left="8335" w:hanging="639"/>
      </w:pPr>
      <w:rPr>
        <w:rFonts w:hint="default"/>
        <w:lang w:val="en-US" w:eastAsia="en-US" w:bidi="ar-SA"/>
      </w:rPr>
    </w:lvl>
    <w:lvl w:ilvl="8">
      <w:start w:val="0"/>
      <w:numFmt w:val="bullet"/>
      <w:lvlText w:val="•"/>
      <w:lvlJc w:val="left"/>
      <w:pPr>
        <w:ind w:left="9332" w:hanging="639"/>
      </w:pPr>
      <w:rPr>
        <w:rFonts w:hint="default"/>
        <w:lang w:val="en-US" w:eastAsia="en-US" w:bidi="ar-SA"/>
      </w:rPr>
    </w:lvl>
  </w:abstractNum>
  <w:abstractNum w:abstractNumId="21">
    <w:multiLevelType w:val="hybridMultilevel"/>
    <w:lvl w:ilvl="0">
      <w:start w:val="3"/>
      <w:numFmt w:val="decimal"/>
      <w:lvlText w:val="%1"/>
      <w:lvlJc w:val="left"/>
      <w:pPr>
        <w:ind w:left="638" w:hanging="639"/>
        <w:jc w:val="left"/>
      </w:pPr>
      <w:rPr>
        <w:rFonts w:hint="default"/>
        <w:lang w:val="en-US" w:eastAsia="en-US" w:bidi="ar-SA"/>
      </w:rPr>
    </w:lvl>
    <w:lvl w:ilvl="1">
      <w:start w:val="4"/>
      <w:numFmt w:val="decimal"/>
      <w:lvlText w:val="%1.%2"/>
      <w:lvlJc w:val="left"/>
      <w:pPr>
        <w:ind w:left="638" w:hanging="639"/>
        <w:jc w:val="left"/>
      </w:pPr>
      <w:rPr>
        <w:rFonts w:hint="default"/>
        <w:lang w:val="en-US" w:eastAsia="en-US" w:bidi="ar-SA"/>
      </w:rPr>
    </w:lvl>
    <w:lvl w:ilvl="2">
      <w:start w:val="3"/>
      <w:numFmt w:val="decimal"/>
      <w:lvlText w:val="%1.%2.%3"/>
      <w:lvlJc w:val="left"/>
      <w:pPr>
        <w:ind w:left="638" w:hanging="639"/>
        <w:jc w:val="lef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1564" w:hanging="639"/>
      </w:pPr>
      <w:rPr>
        <w:rFonts w:hint="default"/>
        <w:lang w:val="en-US" w:eastAsia="en-US" w:bidi="ar-SA"/>
      </w:rPr>
    </w:lvl>
    <w:lvl w:ilvl="4">
      <w:start w:val="0"/>
      <w:numFmt w:val="bullet"/>
      <w:lvlText w:val="•"/>
      <w:lvlJc w:val="left"/>
      <w:pPr>
        <w:ind w:left="1872" w:hanging="639"/>
      </w:pPr>
      <w:rPr>
        <w:rFonts w:hint="default"/>
        <w:lang w:val="en-US" w:eastAsia="en-US" w:bidi="ar-SA"/>
      </w:rPr>
    </w:lvl>
    <w:lvl w:ilvl="5">
      <w:start w:val="0"/>
      <w:numFmt w:val="bullet"/>
      <w:lvlText w:val="•"/>
      <w:lvlJc w:val="left"/>
      <w:pPr>
        <w:ind w:left="2180" w:hanging="639"/>
      </w:pPr>
      <w:rPr>
        <w:rFonts w:hint="default"/>
        <w:lang w:val="en-US" w:eastAsia="en-US" w:bidi="ar-SA"/>
      </w:rPr>
    </w:lvl>
    <w:lvl w:ilvl="6">
      <w:start w:val="0"/>
      <w:numFmt w:val="bullet"/>
      <w:lvlText w:val="•"/>
      <w:lvlJc w:val="left"/>
      <w:pPr>
        <w:ind w:left="2489" w:hanging="639"/>
      </w:pPr>
      <w:rPr>
        <w:rFonts w:hint="default"/>
        <w:lang w:val="en-US" w:eastAsia="en-US" w:bidi="ar-SA"/>
      </w:rPr>
    </w:lvl>
    <w:lvl w:ilvl="7">
      <w:start w:val="0"/>
      <w:numFmt w:val="bullet"/>
      <w:lvlText w:val="•"/>
      <w:lvlJc w:val="left"/>
      <w:pPr>
        <w:ind w:left="2797" w:hanging="639"/>
      </w:pPr>
      <w:rPr>
        <w:rFonts w:hint="default"/>
        <w:lang w:val="en-US" w:eastAsia="en-US" w:bidi="ar-SA"/>
      </w:rPr>
    </w:lvl>
    <w:lvl w:ilvl="8">
      <w:start w:val="0"/>
      <w:numFmt w:val="bullet"/>
      <w:lvlText w:val="•"/>
      <w:lvlJc w:val="left"/>
      <w:pPr>
        <w:ind w:left="3105" w:hanging="639"/>
      </w:pPr>
      <w:rPr>
        <w:rFonts w:hint="default"/>
        <w:lang w:val="en-US" w:eastAsia="en-US" w:bidi="ar-SA"/>
      </w:rPr>
    </w:lvl>
  </w:abstractNum>
  <w:abstractNum w:abstractNumId="20">
    <w:multiLevelType w:val="hybridMultilevel"/>
    <w:lvl w:ilvl="0">
      <w:start w:val="3"/>
      <w:numFmt w:val="decimal"/>
      <w:lvlText w:val="%1"/>
      <w:lvlJc w:val="left"/>
      <w:pPr>
        <w:ind w:left="1599" w:hanging="483"/>
        <w:jc w:val="left"/>
      </w:pPr>
      <w:rPr>
        <w:rFonts w:hint="default"/>
        <w:lang w:val="en-US" w:eastAsia="en-US" w:bidi="ar-SA"/>
      </w:rPr>
    </w:lvl>
    <w:lvl w:ilvl="1">
      <w:start w:val="1"/>
      <w:numFmt w:val="decimal"/>
      <w:lvlText w:val="%1.%2"/>
      <w:lvlJc w:val="left"/>
      <w:pPr>
        <w:ind w:left="1599" w:hanging="483"/>
        <w:jc w:val="right"/>
      </w:pPr>
      <w:rPr>
        <w:rFonts w:hint="default" w:ascii="Calibri" w:hAnsi="Calibri" w:eastAsia="Calibri" w:cs="Calibri"/>
        <w:b/>
        <w:bCs/>
        <w:i w:val="0"/>
        <w:iCs w:val="0"/>
        <w:color w:val="004A93"/>
        <w:spacing w:val="0"/>
        <w:w w:val="100"/>
        <w:sz w:val="32"/>
        <w:szCs w:val="32"/>
        <w:lang w:val="en-US" w:eastAsia="en-US" w:bidi="ar-SA"/>
      </w:rPr>
    </w:lvl>
    <w:lvl w:ilvl="2">
      <w:start w:val="1"/>
      <w:numFmt w:val="decimal"/>
      <w:lvlText w:val="%1.%2.%3"/>
      <w:lvlJc w:val="left"/>
      <w:pPr>
        <w:ind w:left="1756" w:hanging="639"/>
        <w:jc w:val="righ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3885" w:hanging="639"/>
      </w:pPr>
      <w:rPr>
        <w:rFonts w:hint="default"/>
        <w:lang w:val="en-US" w:eastAsia="en-US" w:bidi="ar-SA"/>
      </w:rPr>
    </w:lvl>
    <w:lvl w:ilvl="4">
      <w:start w:val="0"/>
      <w:numFmt w:val="bullet"/>
      <w:lvlText w:val="•"/>
      <w:lvlJc w:val="left"/>
      <w:pPr>
        <w:ind w:left="4948" w:hanging="639"/>
      </w:pPr>
      <w:rPr>
        <w:rFonts w:hint="default"/>
        <w:lang w:val="en-US" w:eastAsia="en-US" w:bidi="ar-SA"/>
      </w:rPr>
    </w:lvl>
    <w:lvl w:ilvl="5">
      <w:start w:val="0"/>
      <w:numFmt w:val="bullet"/>
      <w:lvlText w:val="•"/>
      <w:lvlJc w:val="left"/>
      <w:pPr>
        <w:ind w:left="6011" w:hanging="639"/>
      </w:pPr>
      <w:rPr>
        <w:rFonts w:hint="default"/>
        <w:lang w:val="en-US" w:eastAsia="en-US" w:bidi="ar-SA"/>
      </w:rPr>
    </w:lvl>
    <w:lvl w:ilvl="6">
      <w:start w:val="0"/>
      <w:numFmt w:val="bullet"/>
      <w:lvlText w:val="•"/>
      <w:lvlJc w:val="left"/>
      <w:pPr>
        <w:ind w:left="7074" w:hanging="639"/>
      </w:pPr>
      <w:rPr>
        <w:rFonts w:hint="default"/>
        <w:lang w:val="en-US" w:eastAsia="en-US" w:bidi="ar-SA"/>
      </w:rPr>
    </w:lvl>
    <w:lvl w:ilvl="7">
      <w:start w:val="0"/>
      <w:numFmt w:val="bullet"/>
      <w:lvlText w:val="•"/>
      <w:lvlJc w:val="left"/>
      <w:pPr>
        <w:ind w:left="8137" w:hanging="639"/>
      </w:pPr>
      <w:rPr>
        <w:rFonts w:hint="default"/>
        <w:lang w:val="en-US" w:eastAsia="en-US" w:bidi="ar-SA"/>
      </w:rPr>
    </w:lvl>
    <w:lvl w:ilvl="8">
      <w:start w:val="0"/>
      <w:numFmt w:val="bullet"/>
      <w:lvlText w:val="•"/>
      <w:lvlJc w:val="left"/>
      <w:pPr>
        <w:ind w:left="9199" w:hanging="639"/>
      </w:pPr>
      <w:rPr>
        <w:rFonts w:hint="default"/>
        <w:lang w:val="en-US" w:eastAsia="en-US" w:bidi="ar-SA"/>
      </w:rPr>
    </w:lvl>
  </w:abstractNum>
  <w:abstractNum w:abstractNumId="19">
    <w:multiLevelType w:val="hybridMultilevel"/>
    <w:lvl w:ilvl="0">
      <w:start w:val="2"/>
      <w:numFmt w:val="decimal"/>
      <w:lvlText w:val="%1"/>
      <w:lvlJc w:val="left"/>
      <w:pPr>
        <w:ind w:left="482" w:hanging="483"/>
        <w:jc w:val="left"/>
      </w:pPr>
      <w:rPr>
        <w:rFonts w:hint="default"/>
        <w:lang w:val="en-US" w:eastAsia="en-US" w:bidi="ar-SA"/>
      </w:rPr>
    </w:lvl>
    <w:lvl w:ilvl="1">
      <w:start w:val="4"/>
      <w:numFmt w:val="decimal"/>
      <w:lvlText w:val="%1.%2"/>
      <w:lvlJc w:val="left"/>
      <w:pPr>
        <w:ind w:left="482" w:hanging="483"/>
        <w:jc w:val="left"/>
      </w:pPr>
      <w:rPr>
        <w:rFonts w:hint="default" w:ascii="Calibri" w:hAnsi="Calibri" w:eastAsia="Calibri" w:cs="Calibri"/>
        <w:b/>
        <w:bCs/>
        <w:i w:val="0"/>
        <w:iCs w:val="0"/>
        <w:color w:val="004A93"/>
        <w:spacing w:val="0"/>
        <w:w w:val="100"/>
        <w:sz w:val="32"/>
        <w:szCs w:val="32"/>
        <w:lang w:val="en-US" w:eastAsia="en-US" w:bidi="ar-SA"/>
      </w:rPr>
    </w:lvl>
    <w:lvl w:ilvl="2">
      <w:start w:val="0"/>
      <w:numFmt w:val="bullet"/>
      <w:lvlText w:val="•"/>
      <w:lvlJc w:val="left"/>
      <w:pPr>
        <w:ind w:left="774" w:hanging="483"/>
      </w:pPr>
      <w:rPr>
        <w:rFonts w:hint="default"/>
        <w:lang w:val="en-US" w:eastAsia="en-US" w:bidi="ar-SA"/>
      </w:rPr>
    </w:lvl>
    <w:lvl w:ilvl="3">
      <w:start w:val="0"/>
      <w:numFmt w:val="bullet"/>
      <w:lvlText w:val="•"/>
      <w:lvlJc w:val="left"/>
      <w:pPr>
        <w:ind w:left="921" w:hanging="483"/>
      </w:pPr>
      <w:rPr>
        <w:rFonts w:hint="default"/>
        <w:lang w:val="en-US" w:eastAsia="en-US" w:bidi="ar-SA"/>
      </w:rPr>
    </w:lvl>
    <w:lvl w:ilvl="4">
      <w:start w:val="0"/>
      <w:numFmt w:val="bullet"/>
      <w:lvlText w:val="•"/>
      <w:lvlJc w:val="left"/>
      <w:pPr>
        <w:ind w:left="1068" w:hanging="483"/>
      </w:pPr>
      <w:rPr>
        <w:rFonts w:hint="default"/>
        <w:lang w:val="en-US" w:eastAsia="en-US" w:bidi="ar-SA"/>
      </w:rPr>
    </w:lvl>
    <w:lvl w:ilvl="5">
      <w:start w:val="0"/>
      <w:numFmt w:val="bullet"/>
      <w:lvlText w:val="•"/>
      <w:lvlJc w:val="left"/>
      <w:pPr>
        <w:ind w:left="1215" w:hanging="483"/>
      </w:pPr>
      <w:rPr>
        <w:rFonts w:hint="default"/>
        <w:lang w:val="en-US" w:eastAsia="en-US" w:bidi="ar-SA"/>
      </w:rPr>
    </w:lvl>
    <w:lvl w:ilvl="6">
      <w:start w:val="0"/>
      <w:numFmt w:val="bullet"/>
      <w:lvlText w:val="•"/>
      <w:lvlJc w:val="left"/>
      <w:pPr>
        <w:ind w:left="1362" w:hanging="483"/>
      </w:pPr>
      <w:rPr>
        <w:rFonts w:hint="default"/>
        <w:lang w:val="en-US" w:eastAsia="en-US" w:bidi="ar-SA"/>
      </w:rPr>
    </w:lvl>
    <w:lvl w:ilvl="7">
      <w:start w:val="0"/>
      <w:numFmt w:val="bullet"/>
      <w:lvlText w:val="•"/>
      <w:lvlJc w:val="left"/>
      <w:pPr>
        <w:ind w:left="1509" w:hanging="483"/>
      </w:pPr>
      <w:rPr>
        <w:rFonts w:hint="default"/>
        <w:lang w:val="en-US" w:eastAsia="en-US" w:bidi="ar-SA"/>
      </w:rPr>
    </w:lvl>
    <w:lvl w:ilvl="8">
      <w:start w:val="0"/>
      <w:numFmt w:val="bullet"/>
      <w:lvlText w:val="•"/>
      <w:lvlJc w:val="left"/>
      <w:pPr>
        <w:ind w:left="1656" w:hanging="483"/>
      </w:pPr>
      <w:rPr>
        <w:rFonts w:hint="default"/>
        <w:lang w:val="en-US" w:eastAsia="en-US" w:bidi="ar-SA"/>
      </w:rPr>
    </w:lvl>
  </w:abstractNum>
  <w:abstractNum w:abstractNumId="18">
    <w:multiLevelType w:val="hybridMultilevel"/>
    <w:lvl w:ilvl="0">
      <w:start w:val="2"/>
      <w:numFmt w:val="decimal"/>
      <w:lvlText w:val="%1"/>
      <w:lvlJc w:val="left"/>
      <w:pPr>
        <w:ind w:left="1756" w:hanging="639"/>
        <w:jc w:val="left"/>
      </w:pPr>
      <w:rPr>
        <w:rFonts w:hint="default"/>
        <w:lang w:val="en-US" w:eastAsia="en-US" w:bidi="ar-SA"/>
      </w:rPr>
    </w:lvl>
    <w:lvl w:ilvl="1">
      <w:start w:val="3"/>
      <w:numFmt w:val="decimal"/>
      <w:lvlText w:val="%1.%2"/>
      <w:lvlJc w:val="left"/>
      <w:pPr>
        <w:ind w:left="1756" w:hanging="639"/>
        <w:jc w:val="left"/>
      </w:pPr>
      <w:rPr>
        <w:rFonts w:hint="default"/>
        <w:lang w:val="en-US" w:eastAsia="en-US" w:bidi="ar-SA"/>
      </w:rPr>
    </w:lvl>
    <w:lvl w:ilvl="2">
      <w:start w:val="7"/>
      <w:numFmt w:val="decimal"/>
      <w:lvlText w:val="%1.%2.%3"/>
      <w:lvlJc w:val="left"/>
      <w:pPr>
        <w:ind w:left="1756" w:hanging="639"/>
        <w:jc w:val="righ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4629" w:hanging="639"/>
      </w:pPr>
      <w:rPr>
        <w:rFonts w:hint="default"/>
        <w:lang w:val="en-US" w:eastAsia="en-US" w:bidi="ar-SA"/>
      </w:rPr>
    </w:lvl>
    <w:lvl w:ilvl="4">
      <w:start w:val="0"/>
      <w:numFmt w:val="bullet"/>
      <w:lvlText w:val="•"/>
      <w:lvlJc w:val="left"/>
      <w:pPr>
        <w:ind w:left="5586" w:hanging="639"/>
      </w:pPr>
      <w:rPr>
        <w:rFonts w:hint="default"/>
        <w:lang w:val="en-US" w:eastAsia="en-US" w:bidi="ar-SA"/>
      </w:rPr>
    </w:lvl>
    <w:lvl w:ilvl="5">
      <w:start w:val="0"/>
      <w:numFmt w:val="bullet"/>
      <w:lvlText w:val="•"/>
      <w:lvlJc w:val="left"/>
      <w:pPr>
        <w:ind w:left="6542" w:hanging="639"/>
      </w:pPr>
      <w:rPr>
        <w:rFonts w:hint="default"/>
        <w:lang w:val="en-US" w:eastAsia="en-US" w:bidi="ar-SA"/>
      </w:rPr>
    </w:lvl>
    <w:lvl w:ilvl="6">
      <w:start w:val="0"/>
      <w:numFmt w:val="bullet"/>
      <w:lvlText w:val="•"/>
      <w:lvlJc w:val="left"/>
      <w:pPr>
        <w:ind w:left="7499" w:hanging="639"/>
      </w:pPr>
      <w:rPr>
        <w:rFonts w:hint="default"/>
        <w:lang w:val="en-US" w:eastAsia="en-US" w:bidi="ar-SA"/>
      </w:rPr>
    </w:lvl>
    <w:lvl w:ilvl="7">
      <w:start w:val="0"/>
      <w:numFmt w:val="bullet"/>
      <w:lvlText w:val="•"/>
      <w:lvlJc w:val="left"/>
      <w:pPr>
        <w:ind w:left="8455" w:hanging="639"/>
      </w:pPr>
      <w:rPr>
        <w:rFonts w:hint="default"/>
        <w:lang w:val="en-US" w:eastAsia="en-US" w:bidi="ar-SA"/>
      </w:rPr>
    </w:lvl>
    <w:lvl w:ilvl="8">
      <w:start w:val="0"/>
      <w:numFmt w:val="bullet"/>
      <w:lvlText w:val="•"/>
      <w:lvlJc w:val="left"/>
      <w:pPr>
        <w:ind w:left="9412" w:hanging="639"/>
      </w:pPr>
      <w:rPr>
        <w:rFonts w:hint="default"/>
        <w:lang w:val="en-US" w:eastAsia="en-US" w:bidi="ar-SA"/>
      </w:rPr>
    </w:lvl>
  </w:abstractNum>
  <w:abstractNum w:abstractNumId="17">
    <w:multiLevelType w:val="hybridMultilevel"/>
    <w:lvl w:ilvl="0">
      <w:start w:val="228"/>
      <w:numFmt w:val="decimal"/>
      <w:lvlText w:val="%1"/>
      <w:lvlJc w:val="left"/>
      <w:pPr>
        <w:ind w:left="1684" w:hanging="567"/>
        <w:jc w:val="righ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1570" w:hanging="284"/>
      </w:pPr>
      <w:rPr>
        <w:rFonts w:hint="default" w:ascii="Calibri" w:hAnsi="Calibri" w:eastAsia="Calibri" w:cs="Calibri"/>
        <w:b w:val="0"/>
        <w:bCs w:val="0"/>
        <w:i w:val="0"/>
        <w:iCs w:val="0"/>
        <w:color w:val="004A93"/>
        <w:spacing w:val="0"/>
        <w:w w:val="100"/>
        <w:sz w:val="18"/>
        <w:szCs w:val="18"/>
        <w:lang w:val="en-US" w:eastAsia="en-US" w:bidi="ar-SA"/>
      </w:rPr>
    </w:lvl>
    <w:lvl w:ilvl="2">
      <w:start w:val="0"/>
      <w:numFmt w:val="bullet"/>
      <w:lvlText w:val="•"/>
      <w:lvlJc w:val="left"/>
      <w:pPr>
        <w:ind w:left="2751" w:hanging="284"/>
      </w:pPr>
      <w:rPr>
        <w:rFonts w:hint="default"/>
        <w:lang w:val="en-US" w:eastAsia="en-US" w:bidi="ar-SA"/>
      </w:rPr>
    </w:lvl>
    <w:lvl w:ilvl="3">
      <w:start w:val="0"/>
      <w:numFmt w:val="bullet"/>
      <w:lvlText w:val="•"/>
      <w:lvlJc w:val="left"/>
      <w:pPr>
        <w:ind w:left="3823" w:hanging="284"/>
      </w:pPr>
      <w:rPr>
        <w:rFonts w:hint="default"/>
        <w:lang w:val="en-US" w:eastAsia="en-US" w:bidi="ar-SA"/>
      </w:rPr>
    </w:lvl>
    <w:lvl w:ilvl="4">
      <w:start w:val="0"/>
      <w:numFmt w:val="bullet"/>
      <w:lvlText w:val="•"/>
      <w:lvlJc w:val="left"/>
      <w:pPr>
        <w:ind w:left="4895" w:hanging="284"/>
      </w:pPr>
      <w:rPr>
        <w:rFonts w:hint="default"/>
        <w:lang w:val="en-US" w:eastAsia="en-US" w:bidi="ar-SA"/>
      </w:rPr>
    </w:lvl>
    <w:lvl w:ilvl="5">
      <w:start w:val="0"/>
      <w:numFmt w:val="bullet"/>
      <w:lvlText w:val="•"/>
      <w:lvlJc w:val="left"/>
      <w:pPr>
        <w:ind w:left="5966" w:hanging="284"/>
      </w:pPr>
      <w:rPr>
        <w:rFonts w:hint="default"/>
        <w:lang w:val="en-US" w:eastAsia="en-US" w:bidi="ar-SA"/>
      </w:rPr>
    </w:lvl>
    <w:lvl w:ilvl="6">
      <w:start w:val="0"/>
      <w:numFmt w:val="bullet"/>
      <w:lvlText w:val="•"/>
      <w:lvlJc w:val="left"/>
      <w:pPr>
        <w:ind w:left="7038" w:hanging="284"/>
      </w:pPr>
      <w:rPr>
        <w:rFonts w:hint="default"/>
        <w:lang w:val="en-US" w:eastAsia="en-US" w:bidi="ar-SA"/>
      </w:rPr>
    </w:lvl>
    <w:lvl w:ilvl="7">
      <w:start w:val="0"/>
      <w:numFmt w:val="bullet"/>
      <w:lvlText w:val="•"/>
      <w:lvlJc w:val="left"/>
      <w:pPr>
        <w:ind w:left="8110" w:hanging="284"/>
      </w:pPr>
      <w:rPr>
        <w:rFonts w:hint="default"/>
        <w:lang w:val="en-US" w:eastAsia="en-US" w:bidi="ar-SA"/>
      </w:rPr>
    </w:lvl>
    <w:lvl w:ilvl="8">
      <w:start w:val="0"/>
      <w:numFmt w:val="bullet"/>
      <w:lvlText w:val="•"/>
      <w:lvlJc w:val="left"/>
      <w:pPr>
        <w:ind w:left="9182" w:hanging="284"/>
      </w:pPr>
      <w:rPr>
        <w:rFonts w:hint="default"/>
        <w:lang w:val="en-US" w:eastAsia="en-US" w:bidi="ar-SA"/>
      </w:rPr>
    </w:lvl>
  </w:abstractNum>
  <w:abstractNum w:abstractNumId="16">
    <w:multiLevelType w:val="hybridMultilevel"/>
    <w:lvl w:ilvl="0">
      <w:start w:val="196"/>
      <w:numFmt w:val="decimal"/>
      <w:lvlText w:val="%1"/>
      <w:lvlJc w:val="left"/>
      <w:pPr>
        <w:ind w:left="1684" w:hanging="567"/>
        <w:jc w:val="righ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644" w:hanging="567"/>
      </w:pPr>
      <w:rPr>
        <w:rFonts w:hint="default"/>
        <w:lang w:val="en-US" w:eastAsia="en-US" w:bidi="ar-SA"/>
      </w:rPr>
    </w:lvl>
    <w:lvl w:ilvl="2">
      <w:start w:val="0"/>
      <w:numFmt w:val="bullet"/>
      <w:lvlText w:val="•"/>
      <w:lvlJc w:val="left"/>
      <w:pPr>
        <w:ind w:left="3609" w:hanging="567"/>
      </w:pPr>
      <w:rPr>
        <w:rFonts w:hint="default"/>
        <w:lang w:val="en-US" w:eastAsia="en-US" w:bidi="ar-SA"/>
      </w:rPr>
    </w:lvl>
    <w:lvl w:ilvl="3">
      <w:start w:val="0"/>
      <w:numFmt w:val="bullet"/>
      <w:lvlText w:val="•"/>
      <w:lvlJc w:val="left"/>
      <w:pPr>
        <w:ind w:left="4573" w:hanging="567"/>
      </w:pPr>
      <w:rPr>
        <w:rFonts w:hint="default"/>
        <w:lang w:val="en-US" w:eastAsia="en-US" w:bidi="ar-SA"/>
      </w:rPr>
    </w:lvl>
    <w:lvl w:ilvl="4">
      <w:start w:val="0"/>
      <w:numFmt w:val="bullet"/>
      <w:lvlText w:val="•"/>
      <w:lvlJc w:val="left"/>
      <w:pPr>
        <w:ind w:left="5538" w:hanging="567"/>
      </w:pPr>
      <w:rPr>
        <w:rFonts w:hint="default"/>
        <w:lang w:val="en-US" w:eastAsia="en-US" w:bidi="ar-SA"/>
      </w:rPr>
    </w:lvl>
    <w:lvl w:ilvl="5">
      <w:start w:val="0"/>
      <w:numFmt w:val="bullet"/>
      <w:lvlText w:val="•"/>
      <w:lvlJc w:val="left"/>
      <w:pPr>
        <w:ind w:left="6502" w:hanging="567"/>
      </w:pPr>
      <w:rPr>
        <w:rFonts w:hint="default"/>
        <w:lang w:val="en-US" w:eastAsia="en-US" w:bidi="ar-SA"/>
      </w:rPr>
    </w:lvl>
    <w:lvl w:ilvl="6">
      <w:start w:val="0"/>
      <w:numFmt w:val="bullet"/>
      <w:lvlText w:val="•"/>
      <w:lvlJc w:val="left"/>
      <w:pPr>
        <w:ind w:left="7467" w:hanging="567"/>
      </w:pPr>
      <w:rPr>
        <w:rFonts w:hint="default"/>
        <w:lang w:val="en-US" w:eastAsia="en-US" w:bidi="ar-SA"/>
      </w:rPr>
    </w:lvl>
    <w:lvl w:ilvl="7">
      <w:start w:val="0"/>
      <w:numFmt w:val="bullet"/>
      <w:lvlText w:val="•"/>
      <w:lvlJc w:val="left"/>
      <w:pPr>
        <w:ind w:left="8431" w:hanging="567"/>
      </w:pPr>
      <w:rPr>
        <w:rFonts w:hint="default"/>
        <w:lang w:val="en-US" w:eastAsia="en-US" w:bidi="ar-SA"/>
      </w:rPr>
    </w:lvl>
    <w:lvl w:ilvl="8">
      <w:start w:val="0"/>
      <w:numFmt w:val="bullet"/>
      <w:lvlText w:val="•"/>
      <w:lvlJc w:val="left"/>
      <w:pPr>
        <w:ind w:left="9396" w:hanging="567"/>
      </w:pPr>
      <w:rPr>
        <w:rFonts w:hint="default"/>
        <w:lang w:val="en-US" w:eastAsia="en-US" w:bidi="ar-SA"/>
      </w:rPr>
    </w:lvl>
  </w:abstractNum>
  <w:abstractNum w:abstractNumId="14">
    <w:multiLevelType w:val="hybridMultilevel"/>
    <w:lvl w:ilvl="0">
      <w:start w:val="2"/>
      <w:numFmt w:val="decimal"/>
      <w:lvlText w:val="%1"/>
      <w:lvlJc w:val="left"/>
      <w:pPr>
        <w:ind w:left="1202" w:hanging="483"/>
        <w:jc w:val="left"/>
      </w:pPr>
      <w:rPr>
        <w:rFonts w:hint="default"/>
        <w:lang w:val="en-US" w:eastAsia="en-US" w:bidi="ar-SA"/>
      </w:rPr>
    </w:lvl>
    <w:lvl w:ilvl="1">
      <w:start w:val="3"/>
      <w:numFmt w:val="decimal"/>
      <w:lvlText w:val="%1.%2"/>
      <w:lvlJc w:val="left"/>
      <w:pPr>
        <w:ind w:left="1202" w:hanging="483"/>
        <w:jc w:val="left"/>
      </w:pPr>
      <w:rPr>
        <w:rFonts w:hint="default" w:ascii="Calibri" w:hAnsi="Calibri" w:eastAsia="Calibri" w:cs="Calibri"/>
        <w:b/>
        <w:bCs/>
        <w:i w:val="0"/>
        <w:iCs w:val="0"/>
        <w:color w:val="004A93"/>
        <w:spacing w:val="0"/>
        <w:w w:val="100"/>
        <w:sz w:val="32"/>
        <w:szCs w:val="32"/>
        <w:lang w:val="en-US" w:eastAsia="en-US" w:bidi="ar-SA"/>
      </w:rPr>
    </w:lvl>
    <w:lvl w:ilvl="2">
      <w:start w:val="1"/>
      <w:numFmt w:val="decimal"/>
      <w:lvlText w:val="%1.%2.%3"/>
      <w:lvlJc w:val="left"/>
      <w:pPr>
        <w:ind w:left="1359" w:hanging="639"/>
        <w:jc w:val="righ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3574" w:hanging="639"/>
      </w:pPr>
      <w:rPr>
        <w:rFonts w:hint="default"/>
        <w:lang w:val="en-US" w:eastAsia="en-US" w:bidi="ar-SA"/>
      </w:rPr>
    </w:lvl>
    <w:lvl w:ilvl="4">
      <w:start w:val="0"/>
      <w:numFmt w:val="bullet"/>
      <w:lvlText w:val="•"/>
      <w:lvlJc w:val="left"/>
      <w:pPr>
        <w:ind w:left="4681" w:hanging="639"/>
      </w:pPr>
      <w:rPr>
        <w:rFonts w:hint="default"/>
        <w:lang w:val="en-US" w:eastAsia="en-US" w:bidi="ar-SA"/>
      </w:rPr>
    </w:lvl>
    <w:lvl w:ilvl="5">
      <w:start w:val="0"/>
      <w:numFmt w:val="bullet"/>
      <w:lvlText w:val="•"/>
      <w:lvlJc w:val="left"/>
      <w:pPr>
        <w:ind w:left="5789" w:hanging="639"/>
      </w:pPr>
      <w:rPr>
        <w:rFonts w:hint="default"/>
        <w:lang w:val="en-US" w:eastAsia="en-US" w:bidi="ar-SA"/>
      </w:rPr>
    </w:lvl>
    <w:lvl w:ilvl="6">
      <w:start w:val="0"/>
      <w:numFmt w:val="bullet"/>
      <w:lvlText w:val="•"/>
      <w:lvlJc w:val="left"/>
      <w:pPr>
        <w:ind w:left="6896" w:hanging="639"/>
      </w:pPr>
      <w:rPr>
        <w:rFonts w:hint="default"/>
        <w:lang w:val="en-US" w:eastAsia="en-US" w:bidi="ar-SA"/>
      </w:rPr>
    </w:lvl>
    <w:lvl w:ilvl="7">
      <w:start w:val="0"/>
      <w:numFmt w:val="bullet"/>
      <w:lvlText w:val="•"/>
      <w:lvlJc w:val="left"/>
      <w:pPr>
        <w:ind w:left="8003" w:hanging="639"/>
      </w:pPr>
      <w:rPr>
        <w:rFonts w:hint="default"/>
        <w:lang w:val="en-US" w:eastAsia="en-US" w:bidi="ar-SA"/>
      </w:rPr>
    </w:lvl>
    <w:lvl w:ilvl="8">
      <w:start w:val="0"/>
      <w:numFmt w:val="bullet"/>
      <w:lvlText w:val="•"/>
      <w:lvlJc w:val="left"/>
      <w:pPr>
        <w:ind w:left="9110" w:hanging="639"/>
      </w:pPr>
      <w:rPr>
        <w:rFonts w:hint="default"/>
        <w:lang w:val="en-US" w:eastAsia="en-US" w:bidi="ar-SA"/>
      </w:rPr>
    </w:lvl>
  </w:abstractNum>
  <w:abstractNum w:abstractNumId="13">
    <w:multiLevelType w:val="hybridMultilevel"/>
    <w:lvl w:ilvl="0">
      <w:start w:val="2"/>
      <w:numFmt w:val="decimal"/>
      <w:lvlText w:val="%1"/>
      <w:lvlJc w:val="left"/>
      <w:pPr>
        <w:ind w:left="1599" w:hanging="483"/>
        <w:jc w:val="left"/>
      </w:pPr>
      <w:rPr>
        <w:rFonts w:hint="default"/>
        <w:lang w:val="en-US" w:eastAsia="en-US" w:bidi="ar-SA"/>
      </w:rPr>
    </w:lvl>
    <w:lvl w:ilvl="1">
      <w:start w:val="1"/>
      <w:numFmt w:val="decimal"/>
      <w:lvlText w:val="%1.%2"/>
      <w:lvlJc w:val="left"/>
      <w:pPr>
        <w:ind w:left="1599" w:hanging="483"/>
        <w:jc w:val="left"/>
      </w:pPr>
      <w:rPr>
        <w:rFonts w:hint="default" w:ascii="Calibri" w:hAnsi="Calibri" w:eastAsia="Calibri" w:cs="Calibri"/>
        <w:b/>
        <w:bCs/>
        <w:i w:val="0"/>
        <w:iCs w:val="0"/>
        <w:color w:val="004A93"/>
        <w:spacing w:val="0"/>
        <w:w w:val="100"/>
        <w:sz w:val="32"/>
        <w:szCs w:val="32"/>
        <w:lang w:val="en-US" w:eastAsia="en-US" w:bidi="ar-SA"/>
      </w:rPr>
    </w:lvl>
    <w:lvl w:ilvl="2">
      <w:start w:val="0"/>
      <w:numFmt w:val="bullet"/>
      <w:lvlText w:val="•"/>
      <w:lvlJc w:val="left"/>
      <w:pPr>
        <w:ind w:left="3545" w:hanging="483"/>
      </w:pPr>
      <w:rPr>
        <w:rFonts w:hint="default"/>
        <w:lang w:val="en-US" w:eastAsia="en-US" w:bidi="ar-SA"/>
      </w:rPr>
    </w:lvl>
    <w:lvl w:ilvl="3">
      <w:start w:val="0"/>
      <w:numFmt w:val="bullet"/>
      <w:lvlText w:val="•"/>
      <w:lvlJc w:val="left"/>
      <w:pPr>
        <w:ind w:left="4517" w:hanging="483"/>
      </w:pPr>
      <w:rPr>
        <w:rFonts w:hint="default"/>
        <w:lang w:val="en-US" w:eastAsia="en-US" w:bidi="ar-SA"/>
      </w:rPr>
    </w:lvl>
    <w:lvl w:ilvl="4">
      <w:start w:val="0"/>
      <w:numFmt w:val="bullet"/>
      <w:lvlText w:val="•"/>
      <w:lvlJc w:val="left"/>
      <w:pPr>
        <w:ind w:left="5490" w:hanging="483"/>
      </w:pPr>
      <w:rPr>
        <w:rFonts w:hint="default"/>
        <w:lang w:val="en-US" w:eastAsia="en-US" w:bidi="ar-SA"/>
      </w:rPr>
    </w:lvl>
    <w:lvl w:ilvl="5">
      <w:start w:val="0"/>
      <w:numFmt w:val="bullet"/>
      <w:lvlText w:val="•"/>
      <w:lvlJc w:val="left"/>
      <w:pPr>
        <w:ind w:left="6462" w:hanging="483"/>
      </w:pPr>
      <w:rPr>
        <w:rFonts w:hint="default"/>
        <w:lang w:val="en-US" w:eastAsia="en-US" w:bidi="ar-SA"/>
      </w:rPr>
    </w:lvl>
    <w:lvl w:ilvl="6">
      <w:start w:val="0"/>
      <w:numFmt w:val="bullet"/>
      <w:lvlText w:val="•"/>
      <w:lvlJc w:val="left"/>
      <w:pPr>
        <w:ind w:left="7435" w:hanging="483"/>
      </w:pPr>
      <w:rPr>
        <w:rFonts w:hint="default"/>
        <w:lang w:val="en-US" w:eastAsia="en-US" w:bidi="ar-SA"/>
      </w:rPr>
    </w:lvl>
    <w:lvl w:ilvl="7">
      <w:start w:val="0"/>
      <w:numFmt w:val="bullet"/>
      <w:lvlText w:val="•"/>
      <w:lvlJc w:val="left"/>
      <w:pPr>
        <w:ind w:left="8407" w:hanging="483"/>
      </w:pPr>
      <w:rPr>
        <w:rFonts w:hint="default"/>
        <w:lang w:val="en-US" w:eastAsia="en-US" w:bidi="ar-SA"/>
      </w:rPr>
    </w:lvl>
    <w:lvl w:ilvl="8">
      <w:start w:val="0"/>
      <w:numFmt w:val="bullet"/>
      <w:lvlText w:val="•"/>
      <w:lvlJc w:val="left"/>
      <w:pPr>
        <w:ind w:left="9380" w:hanging="483"/>
      </w:pPr>
      <w:rPr>
        <w:rFonts w:hint="default"/>
        <w:lang w:val="en-US" w:eastAsia="en-US" w:bidi="ar-SA"/>
      </w:rPr>
    </w:lvl>
  </w:abstractNum>
  <w:abstractNum w:abstractNumId="12">
    <w:multiLevelType w:val="hybridMultilevel"/>
    <w:lvl w:ilvl="0">
      <w:start w:val="1"/>
      <w:numFmt w:val="decimal"/>
      <w:lvlText w:val="%1"/>
      <w:lvlJc w:val="left"/>
      <w:pPr>
        <w:ind w:left="482" w:hanging="483"/>
        <w:jc w:val="left"/>
      </w:pPr>
      <w:rPr>
        <w:rFonts w:hint="default"/>
        <w:lang w:val="en-US" w:eastAsia="en-US" w:bidi="ar-SA"/>
      </w:rPr>
    </w:lvl>
    <w:lvl w:ilvl="1">
      <w:start w:val="3"/>
      <w:numFmt w:val="decimal"/>
      <w:lvlText w:val="%1.%2"/>
      <w:lvlJc w:val="left"/>
      <w:pPr>
        <w:ind w:left="482" w:hanging="483"/>
        <w:jc w:val="left"/>
      </w:pPr>
      <w:rPr>
        <w:rFonts w:hint="default" w:ascii="Calibri" w:hAnsi="Calibri" w:eastAsia="Calibri" w:cs="Calibri"/>
        <w:b/>
        <w:bCs/>
        <w:i w:val="0"/>
        <w:iCs w:val="0"/>
        <w:color w:val="004A93"/>
        <w:spacing w:val="0"/>
        <w:w w:val="100"/>
        <w:sz w:val="32"/>
        <w:szCs w:val="32"/>
        <w:lang w:val="en-US" w:eastAsia="en-US" w:bidi="ar-SA"/>
      </w:rPr>
    </w:lvl>
    <w:lvl w:ilvl="2">
      <w:start w:val="0"/>
      <w:numFmt w:val="bullet"/>
      <w:lvlText w:val="•"/>
      <w:lvlJc w:val="left"/>
      <w:pPr>
        <w:ind w:left="877" w:hanging="483"/>
      </w:pPr>
      <w:rPr>
        <w:rFonts w:hint="default"/>
        <w:lang w:val="en-US" w:eastAsia="en-US" w:bidi="ar-SA"/>
      </w:rPr>
    </w:lvl>
    <w:lvl w:ilvl="3">
      <w:start w:val="0"/>
      <w:numFmt w:val="bullet"/>
      <w:lvlText w:val="•"/>
      <w:lvlJc w:val="left"/>
      <w:pPr>
        <w:ind w:left="1076" w:hanging="483"/>
      </w:pPr>
      <w:rPr>
        <w:rFonts w:hint="default"/>
        <w:lang w:val="en-US" w:eastAsia="en-US" w:bidi="ar-SA"/>
      </w:rPr>
    </w:lvl>
    <w:lvl w:ilvl="4">
      <w:start w:val="0"/>
      <w:numFmt w:val="bullet"/>
      <w:lvlText w:val="•"/>
      <w:lvlJc w:val="left"/>
      <w:pPr>
        <w:ind w:left="1275" w:hanging="483"/>
      </w:pPr>
      <w:rPr>
        <w:rFonts w:hint="default"/>
        <w:lang w:val="en-US" w:eastAsia="en-US" w:bidi="ar-SA"/>
      </w:rPr>
    </w:lvl>
    <w:lvl w:ilvl="5">
      <w:start w:val="0"/>
      <w:numFmt w:val="bullet"/>
      <w:lvlText w:val="•"/>
      <w:lvlJc w:val="left"/>
      <w:pPr>
        <w:ind w:left="1474" w:hanging="483"/>
      </w:pPr>
      <w:rPr>
        <w:rFonts w:hint="default"/>
        <w:lang w:val="en-US" w:eastAsia="en-US" w:bidi="ar-SA"/>
      </w:rPr>
    </w:lvl>
    <w:lvl w:ilvl="6">
      <w:start w:val="0"/>
      <w:numFmt w:val="bullet"/>
      <w:lvlText w:val="•"/>
      <w:lvlJc w:val="left"/>
      <w:pPr>
        <w:ind w:left="1672" w:hanging="483"/>
      </w:pPr>
      <w:rPr>
        <w:rFonts w:hint="default"/>
        <w:lang w:val="en-US" w:eastAsia="en-US" w:bidi="ar-SA"/>
      </w:rPr>
    </w:lvl>
    <w:lvl w:ilvl="7">
      <w:start w:val="0"/>
      <w:numFmt w:val="bullet"/>
      <w:lvlText w:val="•"/>
      <w:lvlJc w:val="left"/>
      <w:pPr>
        <w:ind w:left="1871" w:hanging="483"/>
      </w:pPr>
      <w:rPr>
        <w:rFonts w:hint="default"/>
        <w:lang w:val="en-US" w:eastAsia="en-US" w:bidi="ar-SA"/>
      </w:rPr>
    </w:lvl>
    <w:lvl w:ilvl="8">
      <w:start w:val="0"/>
      <w:numFmt w:val="bullet"/>
      <w:lvlText w:val="•"/>
      <w:lvlJc w:val="left"/>
      <w:pPr>
        <w:ind w:left="2070" w:hanging="483"/>
      </w:pPr>
      <w:rPr>
        <w:rFonts w:hint="default"/>
        <w:lang w:val="en-US" w:eastAsia="en-US" w:bidi="ar-SA"/>
      </w:rPr>
    </w:lvl>
  </w:abstractNum>
  <w:abstractNum w:abstractNumId="10">
    <w:multiLevelType w:val="hybridMultilevel"/>
    <w:lvl w:ilvl="0">
      <w:start w:val="0"/>
      <w:numFmt w:val="bullet"/>
      <w:lvlText w:val="•"/>
      <w:lvlJc w:val="left"/>
      <w:pPr>
        <w:ind w:left="1457" w:hanging="341"/>
      </w:pPr>
      <w:rPr>
        <w:rFonts w:hint="default" w:ascii="Tahoma" w:hAnsi="Tahoma" w:eastAsia="Tahoma" w:cs="Tahoma"/>
        <w:b/>
        <w:bCs/>
        <w:i w:val="0"/>
        <w:iCs w:val="0"/>
        <w:color w:val="36A9E1"/>
        <w:spacing w:val="0"/>
        <w:w w:val="78"/>
        <w:sz w:val="28"/>
        <w:szCs w:val="28"/>
        <w:lang w:val="en-US" w:eastAsia="en-US" w:bidi="ar-SA"/>
      </w:rPr>
    </w:lvl>
    <w:lvl w:ilvl="1">
      <w:start w:val="0"/>
      <w:numFmt w:val="bullet"/>
      <w:lvlText w:val="•"/>
      <w:lvlJc w:val="left"/>
      <w:pPr>
        <w:ind w:left="2446" w:hanging="341"/>
      </w:pPr>
      <w:rPr>
        <w:rFonts w:hint="default"/>
        <w:lang w:val="en-US" w:eastAsia="en-US" w:bidi="ar-SA"/>
      </w:rPr>
    </w:lvl>
    <w:lvl w:ilvl="2">
      <w:start w:val="0"/>
      <w:numFmt w:val="bullet"/>
      <w:lvlText w:val="•"/>
      <w:lvlJc w:val="left"/>
      <w:pPr>
        <w:ind w:left="3433" w:hanging="341"/>
      </w:pPr>
      <w:rPr>
        <w:rFonts w:hint="default"/>
        <w:lang w:val="en-US" w:eastAsia="en-US" w:bidi="ar-SA"/>
      </w:rPr>
    </w:lvl>
    <w:lvl w:ilvl="3">
      <w:start w:val="0"/>
      <w:numFmt w:val="bullet"/>
      <w:lvlText w:val="•"/>
      <w:lvlJc w:val="left"/>
      <w:pPr>
        <w:ind w:left="4419" w:hanging="341"/>
      </w:pPr>
      <w:rPr>
        <w:rFonts w:hint="default"/>
        <w:lang w:val="en-US" w:eastAsia="en-US" w:bidi="ar-SA"/>
      </w:rPr>
    </w:lvl>
    <w:lvl w:ilvl="4">
      <w:start w:val="0"/>
      <w:numFmt w:val="bullet"/>
      <w:lvlText w:val="•"/>
      <w:lvlJc w:val="left"/>
      <w:pPr>
        <w:ind w:left="5406" w:hanging="341"/>
      </w:pPr>
      <w:rPr>
        <w:rFonts w:hint="default"/>
        <w:lang w:val="en-US" w:eastAsia="en-US" w:bidi="ar-SA"/>
      </w:rPr>
    </w:lvl>
    <w:lvl w:ilvl="5">
      <w:start w:val="0"/>
      <w:numFmt w:val="bullet"/>
      <w:lvlText w:val="•"/>
      <w:lvlJc w:val="left"/>
      <w:pPr>
        <w:ind w:left="6392" w:hanging="341"/>
      </w:pPr>
      <w:rPr>
        <w:rFonts w:hint="default"/>
        <w:lang w:val="en-US" w:eastAsia="en-US" w:bidi="ar-SA"/>
      </w:rPr>
    </w:lvl>
    <w:lvl w:ilvl="6">
      <w:start w:val="0"/>
      <w:numFmt w:val="bullet"/>
      <w:lvlText w:val="•"/>
      <w:lvlJc w:val="left"/>
      <w:pPr>
        <w:ind w:left="7379" w:hanging="341"/>
      </w:pPr>
      <w:rPr>
        <w:rFonts w:hint="default"/>
        <w:lang w:val="en-US" w:eastAsia="en-US" w:bidi="ar-SA"/>
      </w:rPr>
    </w:lvl>
    <w:lvl w:ilvl="7">
      <w:start w:val="0"/>
      <w:numFmt w:val="bullet"/>
      <w:lvlText w:val="•"/>
      <w:lvlJc w:val="left"/>
      <w:pPr>
        <w:ind w:left="8365" w:hanging="341"/>
      </w:pPr>
      <w:rPr>
        <w:rFonts w:hint="default"/>
        <w:lang w:val="en-US" w:eastAsia="en-US" w:bidi="ar-SA"/>
      </w:rPr>
    </w:lvl>
    <w:lvl w:ilvl="8">
      <w:start w:val="0"/>
      <w:numFmt w:val="bullet"/>
      <w:lvlText w:val="•"/>
      <w:lvlJc w:val="left"/>
      <w:pPr>
        <w:ind w:left="9352" w:hanging="341"/>
      </w:pPr>
      <w:rPr>
        <w:rFonts w:hint="default"/>
        <w:lang w:val="en-US" w:eastAsia="en-US" w:bidi="ar-SA"/>
      </w:rPr>
    </w:lvl>
  </w:abstractNum>
  <w:abstractNum w:abstractNumId="9">
    <w:multiLevelType w:val="hybridMultilevel"/>
    <w:lvl w:ilvl="0">
      <w:start w:val="1"/>
      <w:numFmt w:val="decimal"/>
      <w:lvlText w:val="%1"/>
      <w:lvlJc w:val="left"/>
      <w:pPr>
        <w:ind w:left="1599" w:hanging="483"/>
        <w:jc w:val="left"/>
      </w:pPr>
      <w:rPr>
        <w:rFonts w:hint="default"/>
        <w:lang w:val="en-US" w:eastAsia="en-US" w:bidi="ar-SA"/>
      </w:rPr>
    </w:lvl>
    <w:lvl w:ilvl="1">
      <w:start w:val="1"/>
      <w:numFmt w:val="decimal"/>
      <w:lvlText w:val="%1.%2"/>
      <w:lvlJc w:val="left"/>
      <w:pPr>
        <w:ind w:left="1599" w:hanging="483"/>
        <w:jc w:val="right"/>
      </w:pPr>
      <w:rPr>
        <w:rFonts w:hint="default" w:ascii="Calibri" w:hAnsi="Calibri" w:eastAsia="Calibri" w:cs="Calibri"/>
        <w:b/>
        <w:bCs/>
        <w:i w:val="0"/>
        <w:iCs w:val="0"/>
        <w:color w:val="004A93"/>
        <w:spacing w:val="0"/>
        <w:w w:val="100"/>
        <w:sz w:val="32"/>
        <w:szCs w:val="32"/>
        <w:lang w:val="en-US" w:eastAsia="en-US" w:bidi="ar-SA"/>
      </w:rPr>
    </w:lvl>
    <w:lvl w:ilvl="2">
      <w:start w:val="1"/>
      <w:numFmt w:val="decimal"/>
      <w:lvlText w:val="%1.%2.%3"/>
      <w:lvlJc w:val="left"/>
      <w:pPr>
        <w:ind w:left="1359" w:hanging="639"/>
        <w:jc w:val="right"/>
      </w:pPr>
      <w:rPr>
        <w:rFonts w:hint="default" w:ascii="Calibri" w:hAnsi="Calibri" w:eastAsia="Calibri" w:cs="Calibri"/>
        <w:b/>
        <w:bCs/>
        <w:i w:val="0"/>
        <w:iCs w:val="0"/>
        <w:color w:val="004A93"/>
        <w:spacing w:val="0"/>
        <w:w w:val="100"/>
        <w:sz w:val="28"/>
        <w:szCs w:val="28"/>
        <w:lang w:val="en-US" w:eastAsia="en-US" w:bidi="ar-SA"/>
      </w:rPr>
    </w:lvl>
    <w:lvl w:ilvl="3">
      <w:start w:val="0"/>
      <w:numFmt w:val="bullet"/>
      <w:lvlText w:val="•"/>
      <w:lvlJc w:val="left"/>
      <w:pPr>
        <w:ind w:left="3761" w:hanging="639"/>
      </w:pPr>
      <w:rPr>
        <w:rFonts w:hint="default"/>
        <w:lang w:val="en-US" w:eastAsia="en-US" w:bidi="ar-SA"/>
      </w:rPr>
    </w:lvl>
    <w:lvl w:ilvl="4">
      <w:start w:val="0"/>
      <w:numFmt w:val="bullet"/>
      <w:lvlText w:val="•"/>
      <w:lvlJc w:val="left"/>
      <w:pPr>
        <w:ind w:left="4841" w:hanging="639"/>
      </w:pPr>
      <w:rPr>
        <w:rFonts w:hint="default"/>
        <w:lang w:val="en-US" w:eastAsia="en-US" w:bidi="ar-SA"/>
      </w:rPr>
    </w:lvl>
    <w:lvl w:ilvl="5">
      <w:start w:val="0"/>
      <w:numFmt w:val="bullet"/>
      <w:lvlText w:val="•"/>
      <w:lvlJc w:val="left"/>
      <w:pPr>
        <w:ind w:left="5922" w:hanging="639"/>
      </w:pPr>
      <w:rPr>
        <w:rFonts w:hint="default"/>
        <w:lang w:val="en-US" w:eastAsia="en-US" w:bidi="ar-SA"/>
      </w:rPr>
    </w:lvl>
    <w:lvl w:ilvl="6">
      <w:start w:val="0"/>
      <w:numFmt w:val="bullet"/>
      <w:lvlText w:val="•"/>
      <w:lvlJc w:val="left"/>
      <w:pPr>
        <w:ind w:left="7003" w:hanging="639"/>
      </w:pPr>
      <w:rPr>
        <w:rFonts w:hint="default"/>
        <w:lang w:val="en-US" w:eastAsia="en-US" w:bidi="ar-SA"/>
      </w:rPr>
    </w:lvl>
    <w:lvl w:ilvl="7">
      <w:start w:val="0"/>
      <w:numFmt w:val="bullet"/>
      <w:lvlText w:val="•"/>
      <w:lvlJc w:val="left"/>
      <w:pPr>
        <w:ind w:left="8083" w:hanging="639"/>
      </w:pPr>
      <w:rPr>
        <w:rFonts w:hint="default"/>
        <w:lang w:val="en-US" w:eastAsia="en-US" w:bidi="ar-SA"/>
      </w:rPr>
    </w:lvl>
    <w:lvl w:ilvl="8">
      <w:start w:val="0"/>
      <w:numFmt w:val="bullet"/>
      <w:lvlText w:val="•"/>
      <w:lvlJc w:val="left"/>
      <w:pPr>
        <w:ind w:left="9164" w:hanging="639"/>
      </w:pPr>
      <w:rPr>
        <w:rFonts w:hint="default"/>
        <w:lang w:val="en-US" w:eastAsia="en-US" w:bidi="ar-SA"/>
      </w:rPr>
    </w:lvl>
  </w:abstractNum>
  <w:abstractNum w:abstractNumId="8">
    <w:multiLevelType w:val="hybridMultilevel"/>
    <w:lvl w:ilvl="0">
      <w:start w:val="6"/>
      <w:numFmt w:val="decimal"/>
      <w:lvlText w:val="%1"/>
      <w:lvlJc w:val="left"/>
      <w:pPr>
        <w:ind w:left="1287" w:hanging="567"/>
        <w:jc w:val="righ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284" w:hanging="567"/>
      </w:pPr>
      <w:rPr>
        <w:rFonts w:hint="default"/>
        <w:lang w:val="en-US" w:eastAsia="en-US" w:bidi="ar-SA"/>
      </w:rPr>
    </w:lvl>
    <w:lvl w:ilvl="2">
      <w:start w:val="0"/>
      <w:numFmt w:val="bullet"/>
      <w:lvlText w:val="•"/>
      <w:lvlJc w:val="left"/>
      <w:pPr>
        <w:ind w:left="3289" w:hanging="567"/>
      </w:pPr>
      <w:rPr>
        <w:rFonts w:hint="default"/>
        <w:lang w:val="en-US" w:eastAsia="en-US" w:bidi="ar-SA"/>
      </w:rPr>
    </w:lvl>
    <w:lvl w:ilvl="3">
      <w:start w:val="0"/>
      <w:numFmt w:val="bullet"/>
      <w:lvlText w:val="•"/>
      <w:lvlJc w:val="left"/>
      <w:pPr>
        <w:ind w:left="4293" w:hanging="567"/>
      </w:pPr>
      <w:rPr>
        <w:rFonts w:hint="default"/>
        <w:lang w:val="en-US" w:eastAsia="en-US" w:bidi="ar-SA"/>
      </w:rPr>
    </w:lvl>
    <w:lvl w:ilvl="4">
      <w:start w:val="0"/>
      <w:numFmt w:val="bullet"/>
      <w:lvlText w:val="•"/>
      <w:lvlJc w:val="left"/>
      <w:pPr>
        <w:ind w:left="5298" w:hanging="567"/>
      </w:pPr>
      <w:rPr>
        <w:rFonts w:hint="default"/>
        <w:lang w:val="en-US" w:eastAsia="en-US" w:bidi="ar-SA"/>
      </w:rPr>
    </w:lvl>
    <w:lvl w:ilvl="5">
      <w:start w:val="0"/>
      <w:numFmt w:val="bullet"/>
      <w:lvlText w:val="•"/>
      <w:lvlJc w:val="left"/>
      <w:pPr>
        <w:ind w:left="6302" w:hanging="567"/>
      </w:pPr>
      <w:rPr>
        <w:rFonts w:hint="default"/>
        <w:lang w:val="en-US" w:eastAsia="en-US" w:bidi="ar-SA"/>
      </w:rPr>
    </w:lvl>
    <w:lvl w:ilvl="6">
      <w:start w:val="0"/>
      <w:numFmt w:val="bullet"/>
      <w:lvlText w:val="•"/>
      <w:lvlJc w:val="left"/>
      <w:pPr>
        <w:ind w:left="7307" w:hanging="567"/>
      </w:pPr>
      <w:rPr>
        <w:rFonts w:hint="default"/>
        <w:lang w:val="en-US" w:eastAsia="en-US" w:bidi="ar-SA"/>
      </w:rPr>
    </w:lvl>
    <w:lvl w:ilvl="7">
      <w:start w:val="0"/>
      <w:numFmt w:val="bullet"/>
      <w:lvlText w:val="•"/>
      <w:lvlJc w:val="left"/>
      <w:pPr>
        <w:ind w:left="8311" w:hanging="567"/>
      </w:pPr>
      <w:rPr>
        <w:rFonts w:hint="default"/>
        <w:lang w:val="en-US" w:eastAsia="en-US" w:bidi="ar-SA"/>
      </w:rPr>
    </w:lvl>
    <w:lvl w:ilvl="8">
      <w:start w:val="0"/>
      <w:numFmt w:val="bullet"/>
      <w:lvlText w:val="•"/>
      <w:lvlJc w:val="left"/>
      <w:pPr>
        <w:ind w:left="9316" w:hanging="567"/>
      </w:pPr>
      <w:rPr>
        <w:rFonts w:hint="default"/>
        <w:lang w:val="en-US" w:eastAsia="en-US" w:bidi="ar-SA"/>
      </w:rPr>
    </w:lvl>
  </w:abstractNum>
  <w:abstractNum w:abstractNumId="7">
    <w:multiLevelType w:val="hybridMultilevel"/>
    <w:lvl w:ilvl="0">
      <w:start w:val="1"/>
      <w:numFmt w:val="decimal"/>
      <w:lvlText w:val="%1"/>
      <w:lvlJc w:val="left"/>
      <w:pPr>
        <w:ind w:left="1684" w:hanging="567"/>
        <w:jc w:val="right"/>
      </w:pPr>
      <w:rPr>
        <w:rFonts w:hint="default"/>
        <w:spacing w:val="0"/>
        <w:w w:val="100"/>
        <w:lang w:val="en-US" w:eastAsia="en-US" w:bidi="ar-SA"/>
      </w:rPr>
    </w:lvl>
    <w:lvl w:ilvl="1">
      <w:start w:val="1"/>
      <w:numFmt w:val="decimal"/>
      <w:lvlText w:val="%2."/>
      <w:lvlJc w:val="left"/>
      <w:pPr>
        <w:ind w:left="1967" w:hanging="284"/>
        <w:jc w:val="left"/>
      </w:pPr>
      <w:rPr>
        <w:rFonts w:hint="default" w:ascii="Calibri" w:hAnsi="Calibri" w:eastAsia="Calibri" w:cs="Calibri"/>
        <w:b w:val="0"/>
        <w:bCs w:val="0"/>
        <w:i w:val="0"/>
        <w:iCs w:val="0"/>
        <w:spacing w:val="-1"/>
        <w:w w:val="100"/>
        <w:sz w:val="18"/>
        <w:szCs w:val="18"/>
        <w:lang w:val="en-US" w:eastAsia="en-US" w:bidi="ar-SA"/>
      </w:rPr>
    </w:lvl>
    <w:lvl w:ilvl="2">
      <w:start w:val="0"/>
      <w:numFmt w:val="bullet"/>
      <w:lvlText w:val="•"/>
      <w:lvlJc w:val="left"/>
      <w:pPr>
        <w:ind w:left="3000" w:hanging="284"/>
      </w:pPr>
      <w:rPr>
        <w:rFonts w:hint="default"/>
        <w:lang w:val="en-US" w:eastAsia="en-US" w:bidi="ar-SA"/>
      </w:rPr>
    </w:lvl>
    <w:lvl w:ilvl="3">
      <w:start w:val="0"/>
      <w:numFmt w:val="bullet"/>
      <w:lvlText w:val="•"/>
      <w:lvlJc w:val="left"/>
      <w:pPr>
        <w:ind w:left="4041" w:hanging="284"/>
      </w:pPr>
      <w:rPr>
        <w:rFonts w:hint="default"/>
        <w:lang w:val="en-US" w:eastAsia="en-US" w:bidi="ar-SA"/>
      </w:rPr>
    </w:lvl>
    <w:lvl w:ilvl="4">
      <w:start w:val="0"/>
      <w:numFmt w:val="bullet"/>
      <w:lvlText w:val="•"/>
      <w:lvlJc w:val="left"/>
      <w:pPr>
        <w:ind w:left="5081" w:hanging="284"/>
      </w:pPr>
      <w:rPr>
        <w:rFonts w:hint="default"/>
        <w:lang w:val="en-US" w:eastAsia="en-US" w:bidi="ar-SA"/>
      </w:rPr>
    </w:lvl>
    <w:lvl w:ilvl="5">
      <w:start w:val="0"/>
      <w:numFmt w:val="bullet"/>
      <w:lvlText w:val="•"/>
      <w:lvlJc w:val="left"/>
      <w:pPr>
        <w:ind w:left="6122" w:hanging="284"/>
      </w:pPr>
      <w:rPr>
        <w:rFonts w:hint="default"/>
        <w:lang w:val="en-US" w:eastAsia="en-US" w:bidi="ar-SA"/>
      </w:rPr>
    </w:lvl>
    <w:lvl w:ilvl="6">
      <w:start w:val="0"/>
      <w:numFmt w:val="bullet"/>
      <w:lvlText w:val="•"/>
      <w:lvlJc w:val="left"/>
      <w:pPr>
        <w:ind w:left="7163" w:hanging="284"/>
      </w:pPr>
      <w:rPr>
        <w:rFonts w:hint="default"/>
        <w:lang w:val="en-US" w:eastAsia="en-US" w:bidi="ar-SA"/>
      </w:rPr>
    </w:lvl>
    <w:lvl w:ilvl="7">
      <w:start w:val="0"/>
      <w:numFmt w:val="bullet"/>
      <w:lvlText w:val="•"/>
      <w:lvlJc w:val="left"/>
      <w:pPr>
        <w:ind w:left="8203" w:hanging="284"/>
      </w:pPr>
      <w:rPr>
        <w:rFonts w:hint="default"/>
        <w:lang w:val="en-US" w:eastAsia="en-US" w:bidi="ar-SA"/>
      </w:rPr>
    </w:lvl>
    <w:lvl w:ilvl="8">
      <w:start w:val="0"/>
      <w:numFmt w:val="bullet"/>
      <w:lvlText w:val="•"/>
      <w:lvlJc w:val="left"/>
      <w:pPr>
        <w:ind w:left="9244" w:hanging="284"/>
      </w:pPr>
      <w:rPr>
        <w:rFonts w:hint="default"/>
        <w:lang w:val="en-US" w:eastAsia="en-US" w:bidi="ar-SA"/>
      </w:rPr>
    </w:lvl>
  </w:abstractNum>
  <w:abstractNum w:abstractNumId="6">
    <w:multiLevelType w:val="hybridMultilevel"/>
    <w:lvl w:ilvl="0">
      <w:start w:val="7"/>
      <w:numFmt w:val="decimal"/>
      <w:lvlText w:val="%1"/>
      <w:lvlJc w:val="left"/>
      <w:pPr>
        <w:ind w:left="1138" w:hanging="418"/>
        <w:jc w:val="left"/>
      </w:pPr>
      <w:rPr>
        <w:rFonts w:hint="default"/>
        <w:lang w:val="en-US" w:eastAsia="en-US" w:bidi="ar-SA"/>
      </w:rPr>
    </w:lvl>
    <w:lvl w:ilvl="1">
      <w:start w:val="1"/>
      <w:numFmt w:val="decimal"/>
      <w:lvlText w:val="%1.%2"/>
      <w:lvlJc w:val="left"/>
      <w:pPr>
        <w:ind w:left="1138" w:hanging="418"/>
        <w:jc w:val="left"/>
      </w:pPr>
      <w:rPr>
        <w:rFonts w:hint="default" w:ascii="Calibri" w:hAnsi="Calibri" w:eastAsia="Calibri" w:cs="Calibri"/>
        <w:b w:val="0"/>
        <w:bCs w:val="0"/>
        <w:i w:val="0"/>
        <w:iCs w:val="0"/>
        <w:spacing w:val="0"/>
        <w:w w:val="100"/>
        <w:sz w:val="28"/>
        <w:szCs w:val="28"/>
        <w:lang w:val="en-US" w:eastAsia="en-US" w:bidi="ar-SA"/>
      </w:rPr>
    </w:lvl>
    <w:lvl w:ilvl="2">
      <w:start w:val="1"/>
      <w:numFmt w:val="decimal"/>
      <w:lvlText w:val="%1.%2.%3"/>
      <w:lvlJc w:val="left"/>
      <w:pPr>
        <w:ind w:left="1351" w:hanging="631"/>
        <w:jc w:val="left"/>
      </w:pPr>
      <w:rPr>
        <w:rFonts w:hint="default" w:ascii="Calibri" w:hAnsi="Calibri" w:eastAsia="Calibri" w:cs="Calibri"/>
        <w:b w:val="0"/>
        <w:bCs w:val="0"/>
        <w:i w:val="0"/>
        <w:iCs w:val="0"/>
        <w:spacing w:val="0"/>
        <w:w w:val="100"/>
        <w:sz w:val="28"/>
        <w:szCs w:val="28"/>
        <w:lang w:val="en-US" w:eastAsia="en-US" w:bidi="ar-SA"/>
      </w:rPr>
    </w:lvl>
    <w:lvl w:ilvl="3">
      <w:start w:val="0"/>
      <w:numFmt w:val="bullet"/>
      <w:lvlText w:val="•"/>
      <w:lvlJc w:val="left"/>
      <w:pPr>
        <w:ind w:left="3574" w:hanging="631"/>
      </w:pPr>
      <w:rPr>
        <w:rFonts w:hint="default"/>
        <w:lang w:val="en-US" w:eastAsia="en-US" w:bidi="ar-SA"/>
      </w:rPr>
    </w:lvl>
    <w:lvl w:ilvl="4">
      <w:start w:val="0"/>
      <w:numFmt w:val="bullet"/>
      <w:lvlText w:val="•"/>
      <w:lvlJc w:val="left"/>
      <w:pPr>
        <w:ind w:left="4681" w:hanging="631"/>
      </w:pPr>
      <w:rPr>
        <w:rFonts w:hint="default"/>
        <w:lang w:val="en-US" w:eastAsia="en-US" w:bidi="ar-SA"/>
      </w:rPr>
    </w:lvl>
    <w:lvl w:ilvl="5">
      <w:start w:val="0"/>
      <w:numFmt w:val="bullet"/>
      <w:lvlText w:val="•"/>
      <w:lvlJc w:val="left"/>
      <w:pPr>
        <w:ind w:left="5789" w:hanging="631"/>
      </w:pPr>
      <w:rPr>
        <w:rFonts w:hint="default"/>
        <w:lang w:val="en-US" w:eastAsia="en-US" w:bidi="ar-SA"/>
      </w:rPr>
    </w:lvl>
    <w:lvl w:ilvl="6">
      <w:start w:val="0"/>
      <w:numFmt w:val="bullet"/>
      <w:lvlText w:val="•"/>
      <w:lvlJc w:val="left"/>
      <w:pPr>
        <w:ind w:left="6896" w:hanging="631"/>
      </w:pPr>
      <w:rPr>
        <w:rFonts w:hint="default"/>
        <w:lang w:val="en-US" w:eastAsia="en-US" w:bidi="ar-SA"/>
      </w:rPr>
    </w:lvl>
    <w:lvl w:ilvl="7">
      <w:start w:val="0"/>
      <w:numFmt w:val="bullet"/>
      <w:lvlText w:val="•"/>
      <w:lvlJc w:val="left"/>
      <w:pPr>
        <w:ind w:left="8003" w:hanging="631"/>
      </w:pPr>
      <w:rPr>
        <w:rFonts w:hint="default"/>
        <w:lang w:val="en-US" w:eastAsia="en-US" w:bidi="ar-SA"/>
      </w:rPr>
    </w:lvl>
    <w:lvl w:ilvl="8">
      <w:start w:val="0"/>
      <w:numFmt w:val="bullet"/>
      <w:lvlText w:val="•"/>
      <w:lvlJc w:val="left"/>
      <w:pPr>
        <w:ind w:left="9110" w:hanging="631"/>
      </w:pPr>
      <w:rPr>
        <w:rFonts w:hint="default"/>
        <w:lang w:val="en-US" w:eastAsia="en-US" w:bidi="ar-SA"/>
      </w:rPr>
    </w:lvl>
  </w:abstractNum>
  <w:abstractNum w:abstractNumId="5">
    <w:multiLevelType w:val="hybridMultilevel"/>
    <w:lvl w:ilvl="0">
      <w:start w:val="6"/>
      <w:numFmt w:val="decimal"/>
      <w:lvlText w:val="%1"/>
      <w:lvlJc w:val="left"/>
      <w:pPr>
        <w:ind w:left="1535" w:hanging="418"/>
        <w:jc w:val="left"/>
      </w:pPr>
      <w:rPr>
        <w:rFonts w:hint="default"/>
        <w:lang w:val="en-US" w:eastAsia="en-US" w:bidi="ar-SA"/>
      </w:rPr>
    </w:lvl>
    <w:lvl w:ilvl="1">
      <w:start w:val="1"/>
      <w:numFmt w:val="decimal"/>
      <w:lvlText w:val="%1.%2"/>
      <w:lvlJc w:val="left"/>
      <w:pPr>
        <w:ind w:left="1535" w:hanging="418"/>
        <w:jc w:val="right"/>
      </w:pPr>
      <w:rPr>
        <w:rFonts w:hint="default" w:ascii="Calibri" w:hAnsi="Calibri" w:eastAsia="Calibri" w:cs="Calibri"/>
        <w:b w:val="0"/>
        <w:bCs w:val="0"/>
        <w:i w:val="0"/>
        <w:iCs w:val="0"/>
        <w:spacing w:val="0"/>
        <w:w w:val="100"/>
        <w:sz w:val="28"/>
        <w:szCs w:val="28"/>
        <w:lang w:val="en-US" w:eastAsia="en-US" w:bidi="ar-SA"/>
      </w:rPr>
    </w:lvl>
    <w:lvl w:ilvl="2">
      <w:start w:val="1"/>
      <w:numFmt w:val="decimal"/>
      <w:lvlText w:val="%1.%2.%3"/>
      <w:lvlJc w:val="left"/>
      <w:pPr>
        <w:ind w:left="1747" w:hanging="631"/>
        <w:jc w:val="right"/>
      </w:pPr>
      <w:rPr>
        <w:rFonts w:hint="default" w:ascii="Calibri" w:hAnsi="Calibri" w:eastAsia="Calibri" w:cs="Calibri"/>
        <w:b w:val="0"/>
        <w:bCs w:val="0"/>
        <w:i w:val="0"/>
        <w:iCs w:val="0"/>
        <w:spacing w:val="0"/>
        <w:w w:val="100"/>
        <w:sz w:val="28"/>
        <w:szCs w:val="28"/>
        <w:lang w:val="en-US" w:eastAsia="en-US" w:bidi="ar-SA"/>
      </w:rPr>
    </w:lvl>
    <w:lvl w:ilvl="3">
      <w:start w:val="1"/>
      <w:numFmt w:val="decimal"/>
      <w:lvlText w:val="%1.%2.%3.%4"/>
      <w:lvlJc w:val="left"/>
      <w:pPr>
        <w:ind w:left="1960" w:hanging="844"/>
        <w:jc w:val="left"/>
      </w:pPr>
      <w:rPr>
        <w:rFonts w:hint="default" w:ascii="Calibri" w:hAnsi="Calibri" w:eastAsia="Calibri" w:cs="Calibri"/>
        <w:b w:val="0"/>
        <w:bCs w:val="0"/>
        <w:i w:val="0"/>
        <w:iCs w:val="0"/>
        <w:spacing w:val="0"/>
        <w:w w:val="100"/>
        <w:sz w:val="28"/>
        <w:szCs w:val="28"/>
        <w:lang w:val="en-US" w:eastAsia="en-US" w:bidi="ar-SA"/>
      </w:rPr>
    </w:lvl>
    <w:lvl w:ilvl="4">
      <w:start w:val="0"/>
      <w:numFmt w:val="bullet"/>
      <w:lvlText w:val="•"/>
      <w:lvlJc w:val="left"/>
      <w:pPr>
        <w:ind w:left="3297" w:hanging="844"/>
      </w:pPr>
      <w:rPr>
        <w:rFonts w:hint="default"/>
        <w:lang w:val="en-US" w:eastAsia="en-US" w:bidi="ar-SA"/>
      </w:rPr>
    </w:lvl>
    <w:lvl w:ilvl="5">
      <w:start w:val="0"/>
      <w:numFmt w:val="bullet"/>
      <w:lvlText w:val="•"/>
      <w:lvlJc w:val="left"/>
      <w:pPr>
        <w:ind w:left="4635" w:hanging="844"/>
      </w:pPr>
      <w:rPr>
        <w:rFonts w:hint="default"/>
        <w:lang w:val="en-US" w:eastAsia="en-US" w:bidi="ar-SA"/>
      </w:rPr>
    </w:lvl>
    <w:lvl w:ilvl="6">
      <w:start w:val="0"/>
      <w:numFmt w:val="bullet"/>
      <w:lvlText w:val="•"/>
      <w:lvlJc w:val="left"/>
      <w:pPr>
        <w:ind w:left="5973" w:hanging="844"/>
      </w:pPr>
      <w:rPr>
        <w:rFonts w:hint="default"/>
        <w:lang w:val="en-US" w:eastAsia="en-US" w:bidi="ar-SA"/>
      </w:rPr>
    </w:lvl>
    <w:lvl w:ilvl="7">
      <w:start w:val="0"/>
      <w:numFmt w:val="bullet"/>
      <w:lvlText w:val="•"/>
      <w:lvlJc w:val="left"/>
      <w:pPr>
        <w:ind w:left="7311" w:hanging="844"/>
      </w:pPr>
      <w:rPr>
        <w:rFonts w:hint="default"/>
        <w:lang w:val="en-US" w:eastAsia="en-US" w:bidi="ar-SA"/>
      </w:rPr>
    </w:lvl>
    <w:lvl w:ilvl="8">
      <w:start w:val="0"/>
      <w:numFmt w:val="bullet"/>
      <w:lvlText w:val="•"/>
      <w:lvlJc w:val="left"/>
      <w:pPr>
        <w:ind w:left="8649" w:hanging="844"/>
      </w:pPr>
      <w:rPr>
        <w:rFonts w:hint="default"/>
        <w:lang w:val="en-US" w:eastAsia="en-US" w:bidi="ar-SA"/>
      </w:rPr>
    </w:lvl>
  </w:abstractNum>
  <w:abstractNum w:abstractNumId="4">
    <w:multiLevelType w:val="hybridMultilevel"/>
    <w:lvl w:ilvl="0">
      <w:start w:val="5"/>
      <w:numFmt w:val="decimal"/>
      <w:lvlText w:val="%1"/>
      <w:lvlJc w:val="left"/>
      <w:pPr>
        <w:ind w:left="1535" w:hanging="418"/>
        <w:jc w:val="left"/>
      </w:pPr>
      <w:rPr>
        <w:rFonts w:hint="default"/>
        <w:lang w:val="en-US" w:eastAsia="en-US" w:bidi="ar-SA"/>
      </w:rPr>
    </w:lvl>
    <w:lvl w:ilvl="1">
      <w:start w:val="1"/>
      <w:numFmt w:val="decimal"/>
      <w:lvlText w:val="%1.%2"/>
      <w:lvlJc w:val="left"/>
      <w:pPr>
        <w:ind w:left="1535" w:hanging="418"/>
        <w:jc w:val="left"/>
      </w:pPr>
      <w:rPr>
        <w:rFonts w:hint="default" w:ascii="Calibri" w:hAnsi="Calibri" w:eastAsia="Calibri" w:cs="Calibri"/>
        <w:b w:val="0"/>
        <w:bCs w:val="0"/>
        <w:i w:val="0"/>
        <w:iCs w:val="0"/>
        <w:spacing w:val="0"/>
        <w:w w:val="100"/>
        <w:sz w:val="28"/>
        <w:szCs w:val="28"/>
        <w:lang w:val="en-US" w:eastAsia="en-US" w:bidi="ar-SA"/>
      </w:rPr>
    </w:lvl>
    <w:lvl w:ilvl="2">
      <w:start w:val="1"/>
      <w:numFmt w:val="decimal"/>
      <w:lvlText w:val="%1.%2.%3"/>
      <w:lvlJc w:val="left"/>
      <w:pPr>
        <w:ind w:left="1747" w:hanging="631"/>
        <w:jc w:val="left"/>
      </w:pPr>
      <w:rPr>
        <w:rFonts w:hint="default" w:ascii="Calibri" w:hAnsi="Calibri" w:eastAsia="Calibri" w:cs="Calibri"/>
        <w:b w:val="0"/>
        <w:bCs w:val="0"/>
        <w:i w:val="0"/>
        <w:iCs w:val="0"/>
        <w:spacing w:val="0"/>
        <w:w w:val="100"/>
        <w:sz w:val="28"/>
        <w:szCs w:val="28"/>
        <w:lang w:val="en-US" w:eastAsia="en-US" w:bidi="ar-SA"/>
      </w:rPr>
    </w:lvl>
    <w:lvl w:ilvl="3">
      <w:start w:val="0"/>
      <w:numFmt w:val="bullet"/>
      <w:lvlText w:val="•"/>
      <w:lvlJc w:val="left"/>
      <w:pPr>
        <w:ind w:left="3870" w:hanging="631"/>
      </w:pPr>
      <w:rPr>
        <w:rFonts w:hint="default"/>
        <w:lang w:val="en-US" w:eastAsia="en-US" w:bidi="ar-SA"/>
      </w:rPr>
    </w:lvl>
    <w:lvl w:ilvl="4">
      <w:start w:val="0"/>
      <w:numFmt w:val="bullet"/>
      <w:lvlText w:val="•"/>
      <w:lvlJc w:val="left"/>
      <w:pPr>
        <w:ind w:left="4935" w:hanging="631"/>
      </w:pPr>
      <w:rPr>
        <w:rFonts w:hint="default"/>
        <w:lang w:val="en-US" w:eastAsia="en-US" w:bidi="ar-SA"/>
      </w:rPr>
    </w:lvl>
    <w:lvl w:ilvl="5">
      <w:start w:val="0"/>
      <w:numFmt w:val="bullet"/>
      <w:lvlText w:val="•"/>
      <w:lvlJc w:val="left"/>
      <w:pPr>
        <w:ind w:left="6000" w:hanging="631"/>
      </w:pPr>
      <w:rPr>
        <w:rFonts w:hint="default"/>
        <w:lang w:val="en-US" w:eastAsia="en-US" w:bidi="ar-SA"/>
      </w:rPr>
    </w:lvl>
    <w:lvl w:ilvl="6">
      <w:start w:val="0"/>
      <w:numFmt w:val="bullet"/>
      <w:lvlText w:val="•"/>
      <w:lvlJc w:val="left"/>
      <w:pPr>
        <w:ind w:left="7065" w:hanging="631"/>
      </w:pPr>
      <w:rPr>
        <w:rFonts w:hint="default"/>
        <w:lang w:val="en-US" w:eastAsia="en-US" w:bidi="ar-SA"/>
      </w:rPr>
    </w:lvl>
    <w:lvl w:ilvl="7">
      <w:start w:val="0"/>
      <w:numFmt w:val="bullet"/>
      <w:lvlText w:val="•"/>
      <w:lvlJc w:val="left"/>
      <w:pPr>
        <w:ind w:left="8130" w:hanging="631"/>
      </w:pPr>
      <w:rPr>
        <w:rFonts w:hint="default"/>
        <w:lang w:val="en-US" w:eastAsia="en-US" w:bidi="ar-SA"/>
      </w:rPr>
    </w:lvl>
    <w:lvl w:ilvl="8">
      <w:start w:val="0"/>
      <w:numFmt w:val="bullet"/>
      <w:lvlText w:val="•"/>
      <w:lvlJc w:val="left"/>
      <w:pPr>
        <w:ind w:left="9195" w:hanging="631"/>
      </w:pPr>
      <w:rPr>
        <w:rFonts w:hint="default"/>
        <w:lang w:val="en-US" w:eastAsia="en-US" w:bidi="ar-SA"/>
      </w:rPr>
    </w:lvl>
  </w:abstractNum>
  <w:abstractNum w:abstractNumId="3">
    <w:multiLevelType w:val="hybridMultilevel"/>
    <w:lvl w:ilvl="0">
      <w:start w:val="4"/>
      <w:numFmt w:val="decimal"/>
      <w:lvlText w:val="%1"/>
      <w:lvlJc w:val="left"/>
      <w:pPr>
        <w:ind w:left="1138" w:hanging="418"/>
        <w:jc w:val="left"/>
      </w:pPr>
      <w:rPr>
        <w:rFonts w:hint="default"/>
        <w:lang w:val="en-US" w:eastAsia="en-US" w:bidi="ar-SA"/>
      </w:rPr>
    </w:lvl>
    <w:lvl w:ilvl="1">
      <w:start w:val="1"/>
      <w:numFmt w:val="decimal"/>
      <w:lvlText w:val="%1.%2"/>
      <w:lvlJc w:val="left"/>
      <w:pPr>
        <w:ind w:left="1138" w:hanging="418"/>
        <w:jc w:val="right"/>
      </w:pPr>
      <w:rPr>
        <w:rFonts w:hint="default" w:ascii="Calibri" w:hAnsi="Calibri" w:eastAsia="Calibri" w:cs="Calibri"/>
        <w:b w:val="0"/>
        <w:bCs w:val="0"/>
        <w:i w:val="0"/>
        <w:iCs w:val="0"/>
        <w:spacing w:val="0"/>
        <w:w w:val="100"/>
        <w:sz w:val="28"/>
        <w:szCs w:val="28"/>
        <w:lang w:val="en-US" w:eastAsia="en-US" w:bidi="ar-SA"/>
      </w:rPr>
    </w:lvl>
    <w:lvl w:ilvl="2">
      <w:start w:val="1"/>
      <w:numFmt w:val="decimal"/>
      <w:lvlText w:val="%1.%2.%3"/>
      <w:lvlJc w:val="left"/>
      <w:pPr>
        <w:ind w:left="1351" w:hanging="631"/>
        <w:jc w:val="left"/>
      </w:pPr>
      <w:rPr>
        <w:rFonts w:hint="default" w:ascii="Calibri" w:hAnsi="Calibri" w:eastAsia="Calibri" w:cs="Calibri"/>
        <w:b w:val="0"/>
        <w:bCs w:val="0"/>
        <w:i w:val="0"/>
        <w:iCs w:val="0"/>
        <w:spacing w:val="0"/>
        <w:w w:val="100"/>
        <w:sz w:val="28"/>
        <w:szCs w:val="28"/>
        <w:lang w:val="en-US" w:eastAsia="en-US" w:bidi="ar-SA"/>
      </w:rPr>
    </w:lvl>
    <w:lvl w:ilvl="3">
      <w:start w:val="1"/>
      <w:numFmt w:val="decimal"/>
      <w:lvlText w:val="%1.%2.%3.%4"/>
      <w:lvlJc w:val="left"/>
      <w:pPr>
        <w:ind w:left="1563" w:hanging="844"/>
        <w:jc w:val="right"/>
      </w:pPr>
      <w:rPr>
        <w:rFonts w:hint="default" w:ascii="Calibri" w:hAnsi="Calibri" w:eastAsia="Calibri" w:cs="Calibri"/>
        <w:b w:val="0"/>
        <w:bCs w:val="0"/>
        <w:i w:val="0"/>
        <w:iCs w:val="0"/>
        <w:spacing w:val="0"/>
        <w:w w:val="100"/>
        <w:sz w:val="28"/>
        <w:szCs w:val="28"/>
        <w:lang w:val="en-US" w:eastAsia="en-US" w:bidi="ar-SA"/>
      </w:rPr>
    </w:lvl>
    <w:lvl w:ilvl="4">
      <w:start w:val="0"/>
      <w:numFmt w:val="bullet"/>
      <w:lvlText w:val="•"/>
      <w:lvlJc w:val="left"/>
      <w:pPr>
        <w:ind w:left="3297" w:hanging="844"/>
      </w:pPr>
      <w:rPr>
        <w:rFonts w:hint="default"/>
        <w:lang w:val="en-US" w:eastAsia="en-US" w:bidi="ar-SA"/>
      </w:rPr>
    </w:lvl>
    <w:lvl w:ilvl="5">
      <w:start w:val="0"/>
      <w:numFmt w:val="bullet"/>
      <w:lvlText w:val="•"/>
      <w:lvlJc w:val="left"/>
      <w:pPr>
        <w:ind w:left="4635" w:hanging="844"/>
      </w:pPr>
      <w:rPr>
        <w:rFonts w:hint="default"/>
        <w:lang w:val="en-US" w:eastAsia="en-US" w:bidi="ar-SA"/>
      </w:rPr>
    </w:lvl>
    <w:lvl w:ilvl="6">
      <w:start w:val="0"/>
      <w:numFmt w:val="bullet"/>
      <w:lvlText w:val="•"/>
      <w:lvlJc w:val="left"/>
      <w:pPr>
        <w:ind w:left="5973" w:hanging="844"/>
      </w:pPr>
      <w:rPr>
        <w:rFonts w:hint="default"/>
        <w:lang w:val="en-US" w:eastAsia="en-US" w:bidi="ar-SA"/>
      </w:rPr>
    </w:lvl>
    <w:lvl w:ilvl="7">
      <w:start w:val="0"/>
      <w:numFmt w:val="bullet"/>
      <w:lvlText w:val="•"/>
      <w:lvlJc w:val="left"/>
      <w:pPr>
        <w:ind w:left="7311" w:hanging="844"/>
      </w:pPr>
      <w:rPr>
        <w:rFonts w:hint="default"/>
        <w:lang w:val="en-US" w:eastAsia="en-US" w:bidi="ar-SA"/>
      </w:rPr>
    </w:lvl>
    <w:lvl w:ilvl="8">
      <w:start w:val="0"/>
      <w:numFmt w:val="bullet"/>
      <w:lvlText w:val="•"/>
      <w:lvlJc w:val="left"/>
      <w:pPr>
        <w:ind w:left="8649" w:hanging="844"/>
      </w:pPr>
      <w:rPr>
        <w:rFonts w:hint="default"/>
        <w:lang w:val="en-US" w:eastAsia="en-US" w:bidi="ar-SA"/>
      </w:rPr>
    </w:lvl>
  </w:abstractNum>
  <w:abstractNum w:abstractNumId="2">
    <w:multiLevelType w:val="hybridMultilevel"/>
    <w:lvl w:ilvl="0">
      <w:start w:val="3"/>
      <w:numFmt w:val="decimal"/>
      <w:lvlText w:val="%1"/>
      <w:lvlJc w:val="left"/>
      <w:pPr>
        <w:ind w:left="1138" w:hanging="418"/>
        <w:jc w:val="left"/>
      </w:pPr>
      <w:rPr>
        <w:rFonts w:hint="default"/>
        <w:lang w:val="en-US" w:eastAsia="en-US" w:bidi="ar-SA"/>
      </w:rPr>
    </w:lvl>
    <w:lvl w:ilvl="1">
      <w:start w:val="1"/>
      <w:numFmt w:val="decimal"/>
      <w:lvlText w:val="%1.%2"/>
      <w:lvlJc w:val="left"/>
      <w:pPr>
        <w:ind w:left="1138" w:hanging="418"/>
        <w:jc w:val="left"/>
      </w:pPr>
      <w:rPr>
        <w:rFonts w:hint="default" w:ascii="Calibri" w:hAnsi="Calibri" w:eastAsia="Calibri" w:cs="Calibri"/>
        <w:b w:val="0"/>
        <w:bCs w:val="0"/>
        <w:i w:val="0"/>
        <w:iCs w:val="0"/>
        <w:spacing w:val="0"/>
        <w:w w:val="100"/>
        <w:sz w:val="28"/>
        <w:szCs w:val="28"/>
        <w:lang w:val="en-US" w:eastAsia="en-US" w:bidi="ar-SA"/>
      </w:rPr>
    </w:lvl>
    <w:lvl w:ilvl="2">
      <w:start w:val="1"/>
      <w:numFmt w:val="decimal"/>
      <w:lvlText w:val="%1.%2.%3"/>
      <w:lvlJc w:val="left"/>
      <w:pPr>
        <w:ind w:left="1351" w:hanging="631"/>
        <w:jc w:val="left"/>
      </w:pPr>
      <w:rPr>
        <w:rFonts w:hint="default" w:ascii="Calibri" w:hAnsi="Calibri" w:eastAsia="Calibri" w:cs="Calibri"/>
        <w:b w:val="0"/>
        <w:bCs w:val="0"/>
        <w:i w:val="0"/>
        <w:iCs w:val="0"/>
        <w:spacing w:val="0"/>
        <w:w w:val="100"/>
        <w:sz w:val="28"/>
        <w:szCs w:val="28"/>
        <w:lang w:val="en-US" w:eastAsia="en-US" w:bidi="ar-SA"/>
      </w:rPr>
    </w:lvl>
    <w:lvl w:ilvl="3">
      <w:start w:val="0"/>
      <w:numFmt w:val="bullet"/>
      <w:lvlText w:val="•"/>
      <w:lvlJc w:val="left"/>
      <w:pPr>
        <w:ind w:left="3574" w:hanging="631"/>
      </w:pPr>
      <w:rPr>
        <w:rFonts w:hint="default"/>
        <w:lang w:val="en-US" w:eastAsia="en-US" w:bidi="ar-SA"/>
      </w:rPr>
    </w:lvl>
    <w:lvl w:ilvl="4">
      <w:start w:val="0"/>
      <w:numFmt w:val="bullet"/>
      <w:lvlText w:val="•"/>
      <w:lvlJc w:val="left"/>
      <w:pPr>
        <w:ind w:left="4681" w:hanging="631"/>
      </w:pPr>
      <w:rPr>
        <w:rFonts w:hint="default"/>
        <w:lang w:val="en-US" w:eastAsia="en-US" w:bidi="ar-SA"/>
      </w:rPr>
    </w:lvl>
    <w:lvl w:ilvl="5">
      <w:start w:val="0"/>
      <w:numFmt w:val="bullet"/>
      <w:lvlText w:val="•"/>
      <w:lvlJc w:val="left"/>
      <w:pPr>
        <w:ind w:left="5789" w:hanging="631"/>
      </w:pPr>
      <w:rPr>
        <w:rFonts w:hint="default"/>
        <w:lang w:val="en-US" w:eastAsia="en-US" w:bidi="ar-SA"/>
      </w:rPr>
    </w:lvl>
    <w:lvl w:ilvl="6">
      <w:start w:val="0"/>
      <w:numFmt w:val="bullet"/>
      <w:lvlText w:val="•"/>
      <w:lvlJc w:val="left"/>
      <w:pPr>
        <w:ind w:left="6896" w:hanging="631"/>
      </w:pPr>
      <w:rPr>
        <w:rFonts w:hint="default"/>
        <w:lang w:val="en-US" w:eastAsia="en-US" w:bidi="ar-SA"/>
      </w:rPr>
    </w:lvl>
    <w:lvl w:ilvl="7">
      <w:start w:val="0"/>
      <w:numFmt w:val="bullet"/>
      <w:lvlText w:val="•"/>
      <w:lvlJc w:val="left"/>
      <w:pPr>
        <w:ind w:left="8003" w:hanging="631"/>
      </w:pPr>
      <w:rPr>
        <w:rFonts w:hint="default"/>
        <w:lang w:val="en-US" w:eastAsia="en-US" w:bidi="ar-SA"/>
      </w:rPr>
    </w:lvl>
    <w:lvl w:ilvl="8">
      <w:start w:val="0"/>
      <w:numFmt w:val="bullet"/>
      <w:lvlText w:val="•"/>
      <w:lvlJc w:val="left"/>
      <w:pPr>
        <w:ind w:left="9110" w:hanging="631"/>
      </w:pPr>
      <w:rPr>
        <w:rFonts w:hint="default"/>
        <w:lang w:val="en-US" w:eastAsia="en-US" w:bidi="ar-SA"/>
      </w:rPr>
    </w:lvl>
  </w:abstractNum>
  <w:abstractNum w:abstractNumId="1">
    <w:multiLevelType w:val="hybridMultilevel"/>
    <w:lvl w:ilvl="0">
      <w:start w:val="2"/>
      <w:numFmt w:val="decimal"/>
      <w:lvlText w:val="%1"/>
      <w:lvlJc w:val="left"/>
      <w:pPr>
        <w:ind w:left="1535" w:hanging="418"/>
        <w:jc w:val="left"/>
      </w:pPr>
      <w:rPr>
        <w:rFonts w:hint="default"/>
        <w:lang w:val="en-US" w:eastAsia="en-US" w:bidi="ar-SA"/>
      </w:rPr>
    </w:lvl>
    <w:lvl w:ilvl="1">
      <w:start w:val="1"/>
      <w:numFmt w:val="decimal"/>
      <w:lvlText w:val="%1.%2"/>
      <w:lvlJc w:val="left"/>
      <w:pPr>
        <w:ind w:left="1535" w:hanging="418"/>
        <w:jc w:val="right"/>
      </w:pPr>
      <w:rPr>
        <w:rFonts w:hint="default" w:ascii="Calibri" w:hAnsi="Calibri" w:eastAsia="Calibri" w:cs="Calibri"/>
        <w:b w:val="0"/>
        <w:bCs w:val="0"/>
        <w:i w:val="0"/>
        <w:iCs w:val="0"/>
        <w:spacing w:val="0"/>
        <w:w w:val="100"/>
        <w:sz w:val="28"/>
        <w:szCs w:val="28"/>
        <w:lang w:val="en-US" w:eastAsia="en-US" w:bidi="ar-SA"/>
      </w:rPr>
    </w:lvl>
    <w:lvl w:ilvl="2">
      <w:start w:val="1"/>
      <w:numFmt w:val="decimal"/>
      <w:lvlText w:val="%1.%2.%3"/>
      <w:lvlJc w:val="left"/>
      <w:pPr>
        <w:ind w:left="1747" w:hanging="631"/>
        <w:jc w:val="right"/>
      </w:pPr>
      <w:rPr>
        <w:rFonts w:hint="default" w:ascii="Calibri" w:hAnsi="Calibri" w:eastAsia="Calibri" w:cs="Calibri"/>
        <w:b w:val="0"/>
        <w:bCs w:val="0"/>
        <w:i w:val="0"/>
        <w:iCs w:val="0"/>
        <w:spacing w:val="0"/>
        <w:w w:val="100"/>
        <w:sz w:val="28"/>
        <w:szCs w:val="28"/>
        <w:lang w:val="en-US" w:eastAsia="en-US" w:bidi="ar-SA"/>
      </w:rPr>
    </w:lvl>
    <w:lvl w:ilvl="3">
      <w:start w:val="0"/>
      <w:numFmt w:val="bullet"/>
      <w:lvlText w:val="•"/>
      <w:lvlJc w:val="left"/>
      <w:pPr>
        <w:ind w:left="3870" w:hanging="631"/>
      </w:pPr>
      <w:rPr>
        <w:rFonts w:hint="default"/>
        <w:lang w:val="en-US" w:eastAsia="en-US" w:bidi="ar-SA"/>
      </w:rPr>
    </w:lvl>
    <w:lvl w:ilvl="4">
      <w:start w:val="0"/>
      <w:numFmt w:val="bullet"/>
      <w:lvlText w:val="•"/>
      <w:lvlJc w:val="left"/>
      <w:pPr>
        <w:ind w:left="4935" w:hanging="631"/>
      </w:pPr>
      <w:rPr>
        <w:rFonts w:hint="default"/>
        <w:lang w:val="en-US" w:eastAsia="en-US" w:bidi="ar-SA"/>
      </w:rPr>
    </w:lvl>
    <w:lvl w:ilvl="5">
      <w:start w:val="0"/>
      <w:numFmt w:val="bullet"/>
      <w:lvlText w:val="•"/>
      <w:lvlJc w:val="left"/>
      <w:pPr>
        <w:ind w:left="6000" w:hanging="631"/>
      </w:pPr>
      <w:rPr>
        <w:rFonts w:hint="default"/>
        <w:lang w:val="en-US" w:eastAsia="en-US" w:bidi="ar-SA"/>
      </w:rPr>
    </w:lvl>
    <w:lvl w:ilvl="6">
      <w:start w:val="0"/>
      <w:numFmt w:val="bullet"/>
      <w:lvlText w:val="•"/>
      <w:lvlJc w:val="left"/>
      <w:pPr>
        <w:ind w:left="7065" w:hanging="631"/>
      </w:pPr>
      <w:rPr>
        <w:rFonts w:hint="default"/>
        <w:lang w:val="en-US" w:eastAsia="en-US" w:bidi="ar-SA"/>
      </w:rPr>
    </w:lvl>
    <w:lvl w:ilvl="7">
      <w:start w:val="0"/>
      <w:numFmt w:val="bullet"/>
      <w:lvlText w:val="•"/>
      <w:lvlJc w:val="left"/>
      <w:pPr>
        <w:ind w:left="8130" w:hanging="631"/>
      </w:pPr>
      <w:rPr>
        <w:rFonts w:hint="default"/>
        <w:lang w:val="en-US" w:eastAsia="en-US" w:bidi="ar-SA"/>
      </w:rPr>
    </w:lvl>
    <w:lvl w:ilvl="8">
      <w:start w:val="0"/>
      <w:numFmt w:val="bullet"/>
      <w:lvlText w:val="•"/>
      <w:lvlJc w:val="left"/>
      <w:pPr>
        <w:ind w:left="9195" w:hanging="631"/>
      </w:pPr>
      <w:rPr>
        <w:rFonts w:hint="default"/>
        <w:lang w:val="en-US" w:eastAsia="en-US" w:bidi="ar-SA"/>
      </w:rPr>
    </w:lvl>
  </w:abstractNum>
  <w:abstractNum w:abstractNumId="0">
    <w:multiLevelType w:val="hybridMultilevel"/>
    <w:lvl w:ilvl="0">
      <w:start w:val="1"/>
      <w:numFmt w:val="decimal"/>
      <w:lvlText w:val="%1"/>
      <w:lvlJc w:val="left"/>
      <w:pPr>
        <w:ind w:left="1535" w:hanging="418"/>
        <w:jc w:val="left"/>
      </w:pPr>
      <w:rPr>
        <w:rFonts w:hint="default"/>
        <w:lang w:val="en-US" w:eastAsia="en-US" w:bidi="ar-SA"/>
      </w:rPr>
    </w:lvl>
    <w:lvl w:ilvl="1">
      <w:start w:val="1"/>
      <w:numFmt w:val="decimal"/>
      <w:lvlText w:val="%1.%2"/>
      <w:lvlJc w:val="left"/>
      <w:pPr>
        <w:ind w:left="1535" w:hanging="418"/>
        <w:jc w:val="left"/>
      </w:pPr>
      <w:rPr>
        <w:rFonts w:hint="default" w:ascii="Calibri" w:hAnsi="Calibri" w:eastAsia="Calibri" w:cs="Calibri"/>
        <w:b w:val="0"/>
        <w:bCs w:val="0"/>
        <w:i w:val="0"/>
        <w:iCs w:val="0"/>
        <w:spacing w:val="0"/>
        <w:w w:val="100"/>
        <w:sz w:val="28"/>
        <w:szCs w:val="28"/>
        <w:lang w:val="en-US" w:eastAsia="en-US" w:bidi="ar-SA"/>
      </w:rPr>
    </w:lvl>
    <w:lvl w:ilvl="2">
      <w:start w:val="1"/>
      <w:numFmt w:val="decimal"/>
      <w:lvlText w:val="%1.%2.%3"/>
      <w:lvlJc w:val="left"/>
      <w:pPr>
        <w:ind w:left="1747" w:hanging="631"/>
        <w:jc w:val="left"/>
      </w:pPr>
      <w:rPr>
        <w:rFonts w:hint="default" w:ascii="Calibri" w:hAnsi="Calibri" w:eastAsia="Calibri" w:cs="Calibri"/>
        <w:b w:val="0"/>
        <w:bCs w:val="0"/>
        <w:i w:val="0"/>
        <w:iCs w:val="0"/>
        <w:spacing w:val="0"/>
        <w:w w:val="100"/>
        <w:sz w:val="28"/>
        <w:szCs w:val="28"/>
        <w:lang w:val="en-US" w:eastAsia="en-US" w:bidi="ar-SA"/>
      </w:rPr>
    </w:lvl>
    <w:lvl w:ilvl="3">
      <w:start w:val="0"/>
      <w:numFmt w:val="bullet"/>
      <w:lvlText w:val="•"/>
      <w:lvlJc w:val="left"/>
      <w:pPr>
        <w:ind w:left="3870" w:hanging="631"/>
      </w:pPr>
      <w:rPr>
        <w:rFonts w:hint="default"/>
        <w:lang w:val="en-US" w:eastAsia="en-US" w:bidi="ar-SA"/>
      </w:rPr>
    </w:lvl>
    <w:lvl w:ilvl="4">
      <w:start w:val="0"/>
      <w:numFmt w:val="bullet"/>
      <w:lvlText w:val="•"/>
      <w:lvlJc w:val="left"/>
      <w:pPr>
        <w:ind w:left="4935" w:hanging="631"/>
      </w:pPr>
      <w:rPr>
        <w:rFonts w:hint="default"/>
        <w:lang w:val="en-US" w:eastAsia="en-US" w:bidi="ar-SA"/>
      </w:rPr>
    </w:lvl>
    <w:lvl w:ilvl="5">
      <w:start w:val="0"/>
      <w:numFmt w:val="bullet"/>
      <w:lvlText w:val="•"/>
      <w:lvlJc w:val="left"/>
      <w:pPr>
        <w:ind w:left="6000" w:hanging="631"/>
      </w:pPr>
      <w:rPr>
        <w:rFonts w:hint="default"/>
        <w:lang w:val="en-US" w:eastAsia="en-US" w:bidi="ar-SA"/>
      </w:rPr>
    </w:lvl>
    <w:lvl w:ilvl="6">
      <w:start w:val="0"/>
      <w:numFmt w:val="bullet"/>
      <w:lvlText w:val="•"/>
      <w:lvlJc w:val="left"/>
      <w:pPr>
        <w:ind w:left="7065" w:hanging="631"/>
      </w:pPr>
      <w:rPr>
        <w:rFonts w:hint="default"/>
        <w:lang w:val="en-US" w:eastAsia="en-US" w:bidi="ar-SA"/>
      </w:rPr>
    </w:lvl>
    <w:lvl w:ilvl="7">
      <w:start w:val="0"/>
      <w:numFmt w:val="bullet"/>
      <w:lvlText w:val="•"/>
      <w:lvlJc w:val="left"/>
      <w:pPr>
        <w:ind w:left="8130" w:hanging="631"/>
      </w:pPr>
      <w:rPr>
        <w:rFonts w:hint="default"/>
        <w:lang w:val="en-US" w:eastAsia="en-US" w:bidi="ar-SA"/>
      </w:rPr>
    </w:lvl>
    <w:lvl w:ilvl="8">
      <w:start w:val="0"/>
      <w:numFmt w:val="bullet"/>
      <w:lvlText w:val="•"/>
      <w:lvlJc w:val="left"/>
      <w:pPr>
        <w:ind w:left="9195" w:hanging="631"/>
      </w:pPr>
      <w:rPr>
        <w:rFonts w:hint="default"/>
        <w:lang w:val="en-US" w:eastAsia="en-US" w:bidi="ar-SA"/>
      </w:rPr>
    </w:lvl>
  </w:abstractNum>
  <w:num w:numId="67">
    <w:abstractNumId w:val="66"/>
  </w:num>
  <w:num w:numId="66">
    <w:abstractNumId w:val="65"/>
  </w:num>
  <w:num w:numId="64">
    <w:abstractNumId w:val="63"/>
  </w:num>
  <w:num w:numId="62">
    <w:abstractNumId w:val="61"/>
  </w:num>
  <w:num w:numId="59">
    <w:abstractNumId w:val="58"/>
  </w:num>
  <w:num w:numId="54">
    <w:abstractNumId w:val="53"/>
  </w:num>
  <w:num w:numId="46">
    <w:abstractNumId w:val="45"/>
  </w:num>
  <w:num w:numId="43">
    <w:abstractNumId w:val="42"/>
  </w:num>
  <w:num w:numId="41">
    <w:abstractNumId w:val="40"/>
  </w:num>
  <w:num w:numId="16">
    <w:abstractNumId w:val="15"/>
  </w:num>
  <w:num w:numId="12">
    <w:abstractNumId w:val="11"/>
  </w:num>
  <w:num w:numId="65">
    <w:abstractNumId w:val="64"/>
  </w:num>
  <w:num w:numId="63">
    <w:abstractNumId w:val="62"/>
  </w:num>
  <w:num w:numId="60">
    <w:abstractNumId w:val="59"/>
  </w:num>
  <w:num w:numId="61">
    <w:abstractNumId w:val="60"/>
  </w:num>
  <w:num w:numId="57">
    <w:abstractNumId w:val="56"/>
  </w:num>
  <w:num w:numId="58">
    <w:abstractNumId w:val="57"/>
  </w:num>
  <w:num w:numId="56">
    <w:abstractNumId w:val="55"/>
  </w:num>
  <w:num w:numId="55">
    <w:abstractNumId w:val="54"/>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5">
    <w:abstractNumId w:val="44"/>
  </w:num>
  <w:num w:numId="44">
    <w:abstractNumId w:val="43"/>
  </w:num>
  <w:num w:numId="42">
    <w:abstractNumId w:val="41"/>
  </w:num>
  <w:num w:numId="40">
    <w:abstractNumId w:val="39"/>
  </w:num>
  <w:num w:numId="37">
    <w:abstractNumId w:val="36"/>
  </w:num>
  <w:num w:numId="39">
    <w:abstractNumId w:val="38"/>
  </w:num>
  <w:num w:numId="38">
    <w:abstractNumId w:val="37"/>
  </w:num>
  <w:num w:numId="36">
    <w:abstractNumId w:val="35"/>
  </w:num>
  <w:num w:numId="34">
    <w:abstractNumId w:val="33"/>
  </w:num>
  <w:num w:numId="35">
    <w:abstractNumId w:val="34"/>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561"/>
      <w:ind w:left="254"/>
    </w:pPr>
    <w:rPr>
      <w:rFonts w:ascii="Calibri" w:hAnsi="Calibri" w:eastAsia="Calibri" w:cs="Calibri"/>
      <w:b/>
      <w:bCs/>
      <w:sz w:val="24"/>
      <w:szCs w:val="24"/>
      <w:lang w:val="en-US" w:eastAsia="en-US" w:bidi="ar-SA"/>
    </w:rPr>
  </w:style>
  <w:style w:styleId="TOC2" w:type="paragraph">
    <w:name w:val="TOC 2"/>
    <w:basedOn w:val="Normal"/>
    <w:uiPriority w:val="1"/>
    <w:qFormat/>
    <w:pPr>
      <w:spacing w:line="336" w:lineRule="exact"/>
      <w:ind w:left="720"/>
    </w:pPr>
    <w:rPr>
      <w:rFonts w:ascii="Calibri" w:hAnsi="Calibri" w:eastAsia="Calibri" w:cs="Calibri"/>
      <w:b/>
      <w:bCs/>
      <w:sz w:val="28"/>
      <w:szCs w:val="28"/>
      <w:lang w:val="en-US" w:eastAsia="en-US" w:bidi="ar-SA"/>
    </w:rPr>
  </w:style>
  <w:style w:styleId="TOC3" w:type="paragraph">
    <w:name w:val="TOC 3"/>
    <w:basedOn w:val="Normal"/>
    <w:uiPriority w:val="1"/>
    <w:qFormat/>
    <w:pPr>
      <w:spacing w:line="330" w:lineRule="exact"/>
      <w:ind w:left="1350" w:hanging="630"/>
    </w:pPr>
    <w:rPr>
      <w:rFonts w:ascii="Calibri" w:hAnsi="Calibri" w:eastAsia="Calibri" w:cs="Calibri"/>
      <w:sz w:val="28"/>
      <w:szCs w:val="28"/>
      <w:lang w:val="en-US" w:eastAsia="en-US" w:bidi="ar-SA"/>
    </w:rPr>
  </w:style>
  <w:style w:styleId="TOC4" w:type="paragraph">
    <w:name w:val="TOC 4"/>
    <w:basedOn w:val="Normal"/>
    <w:uiPriority w:val="1"/>
    <w:qFormat/>
    <w:pPr>
      <w:spacing w:before="272"/>
      <w:ind w:left="1117"/>
    </w:pPr>
    <w:rPr>
      <w:rFonts w:ascii="Calibri" w:hAnsi="Calibri" w:eastAsia="Calibri" w:cs="Calibri"/>
      <w:b/>
      <w:bCs/>
      <w:sz w:val="28"/>
      <w:szCs w:val="28"/>
      <w:lang w:val="en-US" w:eastAsia="en-US" w:bidi="ar-SA"/>
    </w:rPr>
  </w:style>
  <w:style w:styleId="TOC5" w:type="paragraph">
    <w:name w:val="TOC 5"/>
    <w:basedOn w:val="Normal"/>
    <w:uiPriority w:val="1"/>
    <w:qFormat/>
    <w:pPr>
      <w:spacing w:line="330" w:lineRule="exact"/>
      <w:ind w:left="1117" w:hanging="630"/>
    </w:pPr>
    <w:rPr>
      <w:rFonts w:ascii="Calibri" w:hAnsi="Calibri" w:eastAsia="Calibri" w:cs="Calibri"/>
      <w:sz w:val="28"/>
      <w:szCs w:val="28"/>
      <w:lang w:val="en-US" w:eastAsia="en-US" w:bidi="ar-SA"/>
    </w:rPr>
  </w:style>
  <w:style w:styleId="BodyText" w:type="paragraph">
    <w:name w:val="Body Text"/>
    <w:basedOn w:val="Normal"/>
    <w:uiPriority w:val="1"/>
    <w:qFormat/>
    <w:pPr/>
    <w:rPr>
      <w:rFonts w:ascii="Calibri" w:hAnsi="Calibri" w:eastAsia="Calibri" w:cs="Calibri"/>
      <w:sz w:val="28"/>
      <w:szCs w:val="28"/>
      <w:lang w:val="en-US" w:eastAsia="en-US" w:bidi="ar-SA"/>
    </w:rPr>
  </w:style>
  <w:style w:styleId="Heading1" w:type="paragraph">
    <w:name w:val="Heading 1"/>
    <w:basedOn w:val="Normal"/>
    <w:uiPriority w:val="1"/>
    <w:qFormat/>
    <w:pPr>
      <w:ind w:left="1117"/>
      <w:outlineLvl w:val="1"/>
    </w:pPr>
    <w:rPr>
      <w:rFonts w:ascii="Calibri" w:hAnsi="Calibri" w:eastAsia="Calibri" w:cs="Calibri"/>
      <w:b/>
      <w:bCs/>
      <w:sz w:val="52"/>
      <w:szCs w:val="52"/>
      <w:lang w:val="en-US" w:eastAsia="en-US" w:bidi="ar-SA"/>
    </w:rPr>
  </w:style>
  <w:style w:styleId="Heading2" w:type="paragraph">
    <w:name w:val="Heading 2"/>
    <w:basedOn w:val="Normal"/>
    <w:uiPriority w:val="1"/>
    <w:qFormat/>
    <w:pPr>
      <w:ind w:left="1599" w:hanging="482"/>
      <w:outlineLvl w:val="2"/>
    </w:pPr>
    <w:rPr>
      <w:rFonts w:ascii="Calibri" w:hAnsi="Calibri" w:eastAsia="Calibri" w:cs="Calibri"/>
      <w:b/>
      <w:bCs/>
      <w:sz w:val="32"/>
      <w:szCs w:val="32"/>
      <w:lang w:val="en-US" w:eastAsia="en-US" w:bidi="ar-SA"/>
    </w:rPr>
  </w:style>
  <w:style w:styleId="Heading3" w:type="paragraph">
    <w:name w:val="Heading 3"/>
    <w:basedOn w:val="Normal"/>
    <w:uiPriority w:val="1"/>
    <w:qFormat/>
    <w:pPr>
      <w:spacing w:line="336" w:lineRule="exact"/>
      <w:ind w:left="1358" w:hanging="638"/>
      <w:outlineLvl w:val="3"/>
    </w:pPr>
    <w:rPr>
      <w:rFonts w:ascii="Calibri" w:hAnsi="Calibri" w:eastAsia="Calibri" w:cs="Calibri"/>
      <w:b/>
      <w:bCs/>
      <w:sz w:val="28"/>
      <w:szCs w:val="28"/>
      <w:lang w:val="en-US" w:eastAsia="en-US" w:bidi="ar-SA"/>
    </w:rPr>
  </w:style>
  <w:style w:styleId="Title" w:type="paragraph">
    <w:name w:val="Title"/>
    <w:basedOn w:val="Normal"/>
    <w:uiPriority w:val="1"/>
    <w:qFormat/>
    <w:pPr>
      <w:ind w:left="913" w:right="4398"/>
    </w:pPr>
    <w:rPr>
      <w:rFonts w:ascii="Arial Black" w:hAnsi="Arial Black" w:eastAsia="Arial Black" w:cs="Arial Black"/>
      <w:sz w:val="64"/>
      <w:szCs w:val="64"/>
      <w:lang w:val="en-US" w:eastAsia="en-US" w:bidi="ar-SA"/>
    </w:rPr>
  </w:style>
  <w:style w:styleId="ListParagraph" w:type="paragraph">
    <w:name w:val="List Paragraph"/>
    <w:basedOn w:val="Normal"/>
    <w:uiPriority w:val="1"/>
    <w:qFormat/>
    <w:pPr>
      <w:ind w:left="1684" w:hanging="567"/>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hyperlink" Target="https://www.legislation.gov.uk/ukpga/2022/37/schedule/8/enacted" TargetMode="External"/><Relationship Id="rId31" Type="http://schemas.openxmlformats.org/officeDocument/2006/relationships/hyperlink" Target="https://bills.parliament.uk/bills/3430" TargetMode="External"/><Relationship Id="rId32" Type="http://schemas.openxmlformats.org/officeDocument/2006/relationships/hyperlink" Target="https://ulster-my.sharepoint.com/personal/r_oconnell_ulster_ac_uk/Documents/001%20Research/Brexit%20EU%20Law%20tender/Draft%20december%20report/In%20re%20SPUC%20Pro-Life%20Ltd%20(Abortion)" TargetMode="External"/><Relationship Id="rId33" Type="http://schemas.openxmlformats.org/officeDocument/2006/relationships/hyperlink" Target="https://commission.europa.eu/publications/new-eu-roma-strategic-framework-equality-inclusion-and-participation-full-package_en" TargetMode="External"/><Relationship Id="rId34" Type="http://schemas.openxmlformats.org/officeDocument/2006/relationships/hyperlink" Target="https://eur-lex.europa.eu/legal-content/EN/TXT/PDF/?uri=CELEX%3A52020DC0698" TargetMode="External"/><Relationship Id="rId35" Type="http://schemas.openxmlformats.org/officeDocument/2006/relationships/hyperlink" Target="https://ec.europa.eu/social/main.jsp?catId=738&amp;langId=en&amp;pubId=8376&amp;furtherPubs=yes" TargetMode="External"/><Relationship Id="rId36" Type="http://schemas.openxmlformats.org/officeDocument/2006/relationships/image" Target="media/image26.png"/><Relationship Id="rId37" Type="http://schemas.openxmlformats.org/officeDocument/2006/relationships/hyperlink" Target="https://www.legislation.gov.uk/ukpga/1998/47/section/6" TargetMode="External"/><Relationship Id="rId38" Type="http://schemas.openxmlformats.org/officeDocument/2006/relationships/hyperlink" Target="https://twitter.com/JP_Biz/status/1763169898031665425" TargetMode="External"/><Relationship Id="rId39" Type="http://schemas.openxmlformats.org/officeDocument/2006/relationships/hyperlink" Target="https://eur-lex.europa.eu/legal-content/EN/TXT/?uri=CELEX%3A32006L0042" TargetMode="External"/><Relationship Id="rId40" Type="http://schemas.openxmlformats.org/officeDocument/2006/relationships/hyperlink" Target="https://assets.publishing.service.gov.uk/media/65ba3be6e9e10a0013031167/Draft_Windsor_Framework_Constitutional_Status_of_Northern_Ireland_Regulations_2024.pdf" TargetMode="External"/><Relationship Id="rId41" Type="http://schemas.openxmlformats.org/officeDocument/2006/relationships/hyperlink" Target="https://eur-lex.europa.eu/legal-content/EN/TXT/?uri=CELEX%3A01992L0085-20190726" TargetMode="External"/><Relationship Id="rId42" Type="http://schemas.openxmlformats.org/officeDocument/2006/relationships/image" Target="media/image27.png"/><Relationship Id="rId43" Type="http://schemas.openxmlformats.org/officeDocument/2006/relationships/hyperlink" Target="https://www.legislation.gov.uk/nia/2022/30/contents/enacted" TargetMode="External"/><Relationship Id="rId44" Type="http://schemas.openxmlformats.org/officeDocument/2006/relationships/hyperlink" Target="https://www.legislation.gov.uk/nia/2022/25/contents" TargetMode="External"/><Relationship Id="rId45" Type="http://schemas.openxmlformats.org/officeDocument/2006/relationships/hyperlink" Target="https://www.legislation.gov.uk/nia/2022/24/contents/enacted" TargetMode="External"/><Relationship Id="rId46" Type="http://schemas.openxmlformats.org/officeDocument/2006/relationships/hyperlink" Target="https://www.legislation.gov.uk/nia/2022/19/contents" TargetMode="External"/><Relationship Id="rId47" Type="http://schemas.openxmlformats.org/officeDocument/2006/relationships/hyperlink" Target="https://www.legislation.gov.uk/nia/2022/17/contents/enacted" TargetMode="External"/><Relationship Id="rId48" Type="http://schemas.openxmlformats.org/officeDocument/2006/relationships/hyperlink" Target="https://www.legislation.gov.uk/nia/2022/13/contents" TargetMode="External"/><Relationship Id="rId49" Type="http://schemas.openxmlformats.org/officeDocument/2006/relationships/hyperlink" Target="https://www.legislation.gov.uk/nisi/1998/3162/article/71/made" TargetMode="External"/><Relationship Id="rId50" Type="http://schemas.openxmlformats.org/officeDocument/2006/relationships/hyperlink" Target="https://www.equalityni.org/RaceLawReform" TargetMode="External"/><Relationship Id="rId51" Type="http://schemas.openxmlformats.org/officeDocument/2006/relationships/hyperlink" Target="https://www.executiveoffice-ni.gov.uk/sites/default/files/publications/execoffice/consultation-on-the-review-of-the-race-relations-order-1997-analysis-report.pdf" TargetMode="External"/><Relationship Id="rId52" Type="http://schemas.openxmlformats.org/officeDocument/2006/relationships/hyperlink" Target="https://committees.parliament.uk/publications/33649/documents/183913/default/" TargetMode="External"/><Relationship Id="rId53" Type="http://schemas.openxmlformats.org/officeDocument/2006/relationships/hyperlink" Target="https://www.equalityni.org/ECNI/media/ECNI/Consultation%20Responses/2022/MOJ-BillOfRights.pdf" TargetMode="External"/><Relationship Id="rId54" Type="http://schemas.openxmlformats.org/officeDocument/2006/relationships/hyperlink" Target="https://hansard.parliament.uk/commons/2023-06-27/debates/FE807865-51C0-4E01-AE13-42E219714C99/TopicalQuestions" TargetMode="External"/><Relationship Id="rId55" Type="http://schemas.openxmlformats.org/officeDocument/2006/relationships/hyperlink" Target="https://www.legislation.gov.uk/ukpga/2021/23/section/11/enacted" TargetMode="External"/><Relationship Id="rId56" Type="http://schemas.openxmlformats.org/officeDocument/2006/relationships/hyperlink" Target="https://www.theguardian.com/politics/2023/aug/28/suella-braverman-restates-wish-for-uk-to-leave-european-court-of-human-rights" TargetMode="External"/><Relationship Id="rId57" Type="http://schemas.openxmlformats.org/officeDocument/2006/relationships/hyperlink" Target="https://pureadmin.qub.ac.uk/ws/portalfiles/portal/425933168/1112IrishYBIntlL92.pdf" TargetMode="External"/><Relationship Id="rId58" Type="http://schemas.openxmlformats.org/officeDocument/2006/relationships/hyperlink" Target="https://committees.parliament.uk/publications/8549/documents/86371/default/" TargetMode="External"/><Relationship Id="rId59" Type="http://schemas.openxmlformats.org/officeDocument/2006/relationships/hyperlink" Target="https://www.equalityni.org/ECNI/media/ECNI/Publications/Delivering%20Equality/DMU/DMU-HoLSubmission-NationalityBordersBill.pdf?ext=.pdf" TargetMode="External"/><Relationship Id="rId60" Type="http://schemas.openxmlformats.org/officeDocument/2006/relationships/hyperlink" Target="https://committees.parliament.uk/publications/7096/documents/74960/default/" TargetMode="External"/><Relationship Id="rId61" Type="http://schemas.openxmlformats.org/officeDocument/2006/relationships/hyperlink" Target="https://committees.parliament.uk/publications/40298/documents/196781/default/" TargetMode="External"/><Relationship Id="rId62" Type="http://schemas.openxmlformats.org/officeDocument/2006/relationships/hyperlink" Target="https://www.legislation.gov.uk/ukpga/2023/37/crossheading/introduction/enacted" TargetMode="External"/><Relationship Id="rId63" Type="http://schemas.openxmlformats.org/officeDocument/2006/relationships/hyperlink" Target="https://www.equalityni.org/ECNI/media/ECNI/Consultation%20Responses/2023/HoL-Illegal-Migration-Bill-ECNIresponse.pdf" TargetMode="External"/><Relationship Id="rId64" Type="http://schemas.openxmlformats.org/officeDocument/2006/relationships/hyperlink" Target="https://eur-lex.europa.eu/legal-content/en/TXT/?uri=celex%3A32001L0055" TargetMode="External"/><Relationship Id="rId65" Type="http://schemas.openxmlformats.org/officeDocument/2006/relationships/hyperlink" Target="https://committees.parliament.uk/publications/30491/documents/175903/default/" TargetMode="External"/><Relationship Id="rId66" Type="http://schemas.openxmlformats.org/officeDocument/2006/relationships/hyperlink" Target="https://www.legislation.gov.uk/ukpga/2023/41/part/2/crossheading/immunity-from-prosecution/enacted" TargetMode="External"/><Relationship Id="rId67" Type="http://schemas.openxmlformats.org/officeDocument/2006/relationships/hyperlink" Target="https://www.legislation.gov.uk/ukpga/2023/41/part/4/enacted" TargetMode="External"/><Relationship Id="rId68" Type="http://schemas.openxmlformats.org/officeDocument/2006/relationships/hyperlink" Target="https://www.legislation.gov.uk/ukpga/2023/41/section/44/enacted" TargetMode="External"/><Relationship Id="rId69" Type="http://schemas.openxmlformats.org/officeDocument/2006/relationships/hyperlink" Target="https://www.gov.ie/en/press-release/82232-statement-by-the-tanaiste-micheal-martin-on-the-government-decision-to-initiate-an-inter-state-case-against-the-united-kingdom/" TargetMode="External"/><Relationship Id="rId70" Type="http://schemas.openxmlformats.org/officeDocument/2006/relationships/hyperlink" Target="https://www.gov.uk/government/news/statement-on-the-northern-ireland-troubles-legacy-and-reconciliation-act" TargetMode="External"/><Relationship Id="rId71" Type="http://schemas.openxmlformats.org/officeDocument/2006/relationships/hyperlink" Target="https://hansard.parliament.uk/commons/2023-09-06/debates/EFE3DBA2-57C0-4D62-9F33-FE42D7B87833/NorthernIrelandTroubles(LegacyAndReconciliation)Bill" TargetMode="External"/><Relationship Id="rId72" Type="http://schemas.openxmlformats.org/officeDocument/2006/relationships/hyperlink" Target="https://nihrc.org/publication/detail/advice-on-northern-ireland-troubles-legacy-and-reconciliation-bill-to-the-coe-committee-of-ministers" TargetMode="External"/><Relationship Id="rId73" Type="http://schemas.openxmlformats.org/officeDocument/2006/relationships/hyperlink" Target="https://tbinternet.ohchr.org/_layouts/15/treatybodyexternal/Download.aspx?symbolno=CCPR%2FC%2FGBR%2FCO%2F8&amp;Lang=en" TargetMode="External"/><Relationship Id="rId74" Type="http://schemas.openxmlformats.org/officeDocument/2006/relationships/hyperlink" Target="https://hansard.parliament.uk/commons/2023-03-08/debates/23030819000013/DataProtectionAndDigitalInformation(No2)Bill" TargetMode="External"/><Relationship Id="rId75" Type="http://schemas.openxmlformats.org/officeDocument/2006/relationships/hyperlink" Target="https://www.openrightsgroup.org/blog/the-data-discrimination-bill-attacks-our-data-protection-rights/%3e" TargetMode="External"/><Relationship Id="rId76" Type="http://schemas.openxmlformats.org/officeDocument/2006/relationships/hyperlink" Target="https://www.equalityni.org/ECNI/media/ECNI/Consultation%20Responses/2024/HoL-DataDigitalinfoBill-ECNIsubmission.pdf" TargetMode="External"/><Relationship Id="rId77" Type="http://schemas.openxmlformats.org/officeDocument/2006/relationships/hyperlink" Target="https://assets.publishing.service.gov.uk/media/62fe365fe90e0703e1bb4844/2022-08_Guide_to_Making_Legislation_-_master_version__4_.pdf" TargetMode="External"/><Relationship Id="rId78" Type="http://schemas.openxmlformats.org/officeDocument/2006/relationships/image" Target="media/image28.png"/><Relationship Id="rId79" Type="http://schemas.openxmlformats.org/officeDocument/2006/relationships/hyperlink" Target="https://www.ihrec.ie/documents/the-incorporation-of-economic-social-and-cultural-rights-into-the-irish-constitution/" TargetMode="External"/><Relationship Id="rId80" Type="http://schemas.openxmlformats.org/officeDocument/2006/relationships/hyperlink" Target="https://tbinternet.ohchr.org/_layouts/15/treatybodyexternal/Download.aspx?symbolno=E%2FC.12%2FGC%2F20&amp;Lang=en" TargetMode="External"/><Relationship Id="rId81" Type="http://schemas.openxmlformats.org/officeDocument/2006/relationships/hyperlink" Target="https://equineteurope.org/expanding-the-list-of-protected-grounds-within-anti-discrimination-law-in-the-eu-an-equinet-report/" TargetMode="External"/><Relationship Id="rId82" Type="http://schemas.openxmlformats.org/officeDocument/2006/relationships/hyperlink" Target="https://www.coe.int/en/web/conventions/full-list?module=signatures-by-treaty&amp;treatynum=210" TargetMode="External"/><Relationship Id="rId83" Type="http://schemas.openxmlformats.org/officeDocument/2006/relationships/hyperlink" Target="https://eur-lex.europa.eu/legal-content/EN/TXT/?uri=CELEX%3A32023L0970&amp;qid=1691682600733" TargetMode="External"/><Relationship Id="rId84" Type="http://schemas.openxmlformats.org/officeDocument/2006/relationships/hyperlink" Target="https://www.ulster.ac.uk/__data/assets/pdf_file/0011/1076762/UUEPC-Future-of-Remote-Working-in-NI-February-2022-Full-Report.pdf" TargetMode="External"/><Relationship Id="rId85" Type="http://schemas.openxmlformats.org/officeDocument/2006/relationships/hyperlink" Target="https://ec.europa.eu/commission/presscorner/detail/en/ip_23_5372" TargetMode="External"/><Relationship Id="rId86" Type="http://schemas.openxmlformats.org/officeDocument/2006/relationships/hyperlink" Target="https://www.equalityni.org/ECNI/media/ECNI/Publications/Delivering%20Equality/ParticipationPublicLife-PolicyFullReport.pdf" TargetMode="External"/><Relationship Id="rId87" Type="http://schemas.openxmlformats.org/officeDocument/2006/relationships/hyperlink" Target="https://eur-lex.europa.eu/legal-content/EN/TXT/?uri=CELEX%3A52022PC0105" TargetMode="External"/><Relationship Id="rId88" Type="http://schemas.openxmlformats.org/officeDocument/2006/relationships/hyperlink" Target="https://www.equalityni.org/ECNI/media/ECNI/Consultation%20Responses/2022/EuroComm%e2%80%93Combatting-Violence-Against-Women-Directive.pdf?ext=.pdf" TargetMode="External"/><Relationship Id="rId89" Type="http://schemas.openxmlformats.org/officeDocument/2006/relationships/hyperlink" Target="https://www.ihrec.ie/app/uploads/2023/07/Submission-on-the-General-Scheme-of-the-Domestic-Sexual-and-Gender-Based-Violence-Agency-Bill-1.pdf" TargetMode="External"/><Relationship Id="rId90" Type="http://schemas.openxmlformats.org/officeDocument/2006/relationships/hyperlink" Target="https://eur-lex.europa.eu/legal-content/EN/TXT/?uri=OJ%3AL_202401385" TargetMode="External"/><Relationship Id="rId91" Type="http://schemas.openxmlformats.org/officeDocument/2006/relationships/hyperlink" Target="http://qpol.qub.ac.uk/the-new-eu-directive-on-combating-violence-against-women-and-domestic-violence/" TargetMode="External"/><Relationship Id="rId92" Type="http://schemas.openxmlformats.org/officeDocument/2006/relationships/hyperlink" Target="https://www.executiveoffice-ni.gov.uk/sites/default/files/consultations/execoffice/evawg-strategic-framework.pdf" TargetMode="External"/><Relationship Id="rId93" Type="http://schemas.openxmlformats.org/officeDocument/2006/relationships/hyperlink" Target="https://www.legislation.gov.uk/nisi/1998/3162/article/3" TargetMode="External"/><Relationship Id="rId94" Type="http://schemas.openxmlformats.org/officeDocument/2006/relationships/hyperlink" Target="https://www.rainbow-project.org/wp-content/uploads/2024/05/Conversion-Practices-Research-Report.pdf" TargetMode="External"/><Relationship Id="rId95" Type="http://schemas.openxmlformats.org/officeDocument/2006/relationships/hyperlink" Target="https://documents.un.org/doc/undoc/gen/g20/108/68/pdf/g2010868.pdf?token=dwcDasWsa2wx2Nq1gs&amp;fe=true" TargetMode="External"/><Relationship Id="rId96" Type="http://schemas.openxmlformats.org/officeDocument/2006/relationships/hyperlink" Target="https://www.europarl.europa.eu/RegData/etudes/BRIE/2022/733521/EPRS_BRI(2022)733521_EN.pdf" TargetMode="External"/><Relationship Id="rId97" Type="http://schemas.openxmlformats.org/officeDocument/2006/relationships/hyperlink" Target="https://assembly.coe.int/nw/xml/xref/xref-xml2html-en.asp?fileid=21736" TargetMode="External"/><Relationship Id="rId98" Type="http://schemas.openxmlformats.org/officeDocument/2006/relationships/hyperlink" Target="https://documents.un.org/doc/undoc/gen/g15/088/42/pdf/g1508842.pdf?token=hVgyRfgdSTVjuv2pyj&amp;fe=true" TargetMode="External"/><Relationship Id="rId99" Type="http://schemas.openxmlformats.org/officeDocument/2006/relationships/hyperlink" Target="https://www.ohchr.org/en/documents/thematic-reports/a73152-report-independent-expert-protection-against-violence-and" TargetMode="External"/><Relationship Id="rId100" Type="http://schemas.openxmlformats.org/officeDocument/2006/relationships/hyperlink" Target="https://www.judiciaryni.uk/files/judiciaryni/decisions/JR111%20Application%20for%20Judicial%20Review.pdf" TargetMode="External"/><Relationship Id="rId101" Type="http://schemas.openxmlformats.org/officeDocument/2006/relationships/hyperlink" Target="https://www.judiciaryni.uk/files/judiciaryni/decisions/In%20the%20matter%20of%20an%20application%20by%20JR111%20for%20Judicial%20Review%20%28Ruling%20on%20Remedy%29.pdf" TargetMode="External"/><Relationship Id="rId102" Type="http://schemas.openxmlformats.org/officeDocument/2006/relationships/hyperlink" Target="https://committees.parliament.uk/publications/9415/documents/161226/default/" TargetMode="External"/><Relationship Id="rId103" Type="http://schemas.openxmlformats.org/officeDocument/2006/relationships/hyperlink" Target="https://eur-lex.europa.eu/legal-content/EN/TXT/?uri=celex%3A32011L0095" TargetMode="External"/><Relationship Id="rId104" Type="http://schemas.openxmlformats.org/officeDocument/2006/relationships/hyperlink" Target="https://eur-lex.europa.eu/legal-content/EN/TXT/?uri=CELEX%3A32019L0882" TargetMode="External"/><Relationship Id="rId105" Type="http://schemas.openxmlformats.org/officeDocument/2006/relationships/hyperlink" Target="https://www.irishtimes.com/business/2023/07/14/european-commission-raps-ireland-over-consumer-protection-and-disability-access-failures/" TargetMode="External"/><Relationship Id="rId106" Type="http://schemas.openxmlformats.org/officeDocument/2006/relationships/hyperlink" Target="https://www.irishstatutebook.ie/eli/2023/si/636/made/en/print" TargetMode="External"/><Relationship Id="rId107" Type="http://schemas.openxmlformats.org/officeDocument/2006/relationships/hyperlink" Target="https://www.legislation.gov.uk/uksi/2018/952/made" TargetMode="External"/><Relationship Id="rId108" Type="http://schemas.openxmlformats.org/officeDocument/2006/relationships/hyperlink" Target="https://www.oecd.org/gov/budgeting/equality-budgeting-in-ireland.pdf" TargetMode="External"/><Relationship Id="rId109" Type="http://schemas.openxmlformats.org/officeDocument/2006/relationships/hyperlink" Target="https://www.irishstatutebook.ie/eli/2022/act/41/enacted/en/print.html" TargetMode="External"/><Relationship Id="rId110" Type="http://schemas.openxmlformats.org/officeDocument/2006/relationships/hyperlink" Target="https://www.legislation.gov.uk/uksi/2020/1062/made" TargetMode="External"/><Relationship Id="rId111" Type="http://schemas.openxmlformats.org/officeDocument/2006/relationships/hyperlink" Target="https://www.ihrec.ie/documents/ireland-and-the-sustainable-development-goals/" TargetMode="External"/><Relationship Id="rId112" Type="http://schemas.openxmlformats.org/officeDocument/2006/relationships/hyperlink" Target="https://www.ihrec.ie/app/uploads/2023/12/Collective-Bargaining-and-The-Irish-Constitution-1.pdf" TargetMode="External"/><Relationship Id="rId113" Type="http://schemas.openxmlformats.org/officeDocument/2006/relationships/hyperlink" Target="https://www.gov.ie/en/press-release/5a7f4-minister-ogorman-announces-the-development-of-a-national-equality-data-strategy/" TargetMode="External"/><Relationship Id="rId114" Type="http://schemas.openxmlformats.org/officeDocument/2006/relationships/hyperlink" Target="https://www.ihrec.ie/app/uploads/2024/02/Ireland-and-the-International-Covenant-on-Economic-Social-and-Cultural-Rights-1.pdf" TargetMode="External"/><Relationship Id="rId115" Type="http://schemas.openxmlformats.org/officeDocument/2006/relationships/hyperlink" Target="https://commission.europa.eu/strategy-and-policy/policies/justice-and-fundamental-rights/combatting-discrimination/equality-data-collection_en#%3A~%3Atext%3DThe%20Subgroup%20on%20Equality%20Data%20is%20made%20up%20of%20representatives%2Cstatistical%20institutes%20and%20equality%20bodies" TargetMode="External"/><Relationship Id="rId116" Type="http://schemas.openxmlformats.org/officeDocument/2006/relationships/hyperlink" Target="https://www.legislation.gov.uk/nisi/1998/1763/contents" TargetMode="External"/><Relationship Id="rId117" Type="http://schemas.openxmlformats.org/officeDocument/2006/relationships/hyperlink" Target="https://protect-advice.org.uk/whistleblowing-review-2023" TargetMode="External"/><Relationship Id="rId118" Type="http://schemas.openxmlformats.org/officeDocument/2006/relationships/hyperlink" Target="https://eur-lex.europa.eu/advanced-search-form.html" TargetMode="External"/><Relationship Id="rId119" Type="http://schemas.openxmlformats.org/officeDocument/2006/relationships/hyperlink" Target="https://ec.europa.eu/info/law/better-regulation/have-your-say/initiatives_en?topic=ASYL&amp;frontEndStage=ADOPTION_WORKFLOW" TargetMode="External"/><Relationship Id="rId120" Type="http://schemas.openxmlformats.org/officeDocument/2006/relationships/hyperlink" Target="https://epthinktank.eu/eu-legislation-in-progress/" TargetMode="External"/><Relationship Id="rId121" Type="http://schemas.openxmlformats.org/officeDocument/2006/relationships/hyperlink" Target="https://eur-lex.europa.eu/legal-content/EN/TXT/?uri=celex%3A32006L0054" TargetMode="External"/><Relationship Id="rId122" Type="http://schemas.openxmlformats.org/officeDocument/2006/relationships/hyperlink" Target="https://eur-lex.europa.eu/LexUriServ/LexUriServ.do?uri=OJ%3AL%3A2010%3A180%3A0001%3A0006%3Aen%3APDF" TargetMode="External"/><Relationship Id="rId123" Type="http://schemas.openxmlformats.org/officeDocument/2006/relationships/hyperlink" Target="https://eur-lex.europa.eu/eli/dir/2023/970/oj" TargetMode="External"/><Relationship Id="rId124" Type="http://schemas.openxmlformats.org/officeDocument/2006/relationships/hyperlink" Target="https://eur-lex.europa.eu/eli/dir/2022/2381/oj" TargetMode="External"/><Relationship Id="rId125" Type="http://schemas.openxmlformats.org/officeDocument/2006/relationships/hyperlink" Target="https://eur-lex.europa.eu/legal-content/EN/TXT/?uri=celex%3A32022L2041" TargetMode="External"/><Relationship Id="rId126" Type="http://schemas.openxmlformats.org/officeDocument/2006/relationships/hyperlink" Target="https://eur-lex.europa.eu/eli/reg/2022/585/oj" TargetMode="External"/><Relationship Id="rId127" Type="http://schemas.openxmlformats.org/officeDocument/2006/relationships/hyperlink" Target="https://eur-lex.europa.eu/legal-content/EN/TXT/?uri=CELEX%3A12016E%2FPRO%2F21" TargetMode="External"/><Relationship Id="rId128" Type="http://schemas.openxmlformats.org/officeDocument/2006/relationships/hyperlink" Target="https://eur-lex.europa.eu/legal-content/EN/TXT/?uri=CELEX%3A12012E%2FPRO%2F19" TargetMode="External"/><Relationship Id="rId129" Type="http://schemas.openxmlformats.org/officeDocument/2006/relationships/hyperlink" Target="https://www.europarl.europa.eu/cmsdata/133703/patrick-casement-joint-briefing.pdf" TargetMode="External"/><Relationship Id="rId130" Type="http://schemas.openxmlformats.org/officeDocument/2006/relationships/hyperlink" Target="https://eur-lex.europa.eu/eli/reg/2016/679/oj" TargetMode="External"/><Relationship Id="rId131" Type="http://schemas.openxmlformats.org/officeDocument/2006/relationships/hyperlink" Target="https://journals.sagepub.com/doi/10.1177/0022018320977528" TargetMode="External"/><Relationship Id="rId132" Type="http://schemas.openxmlformats.org/officeDocument/2006/relationships/hyperlink" Target="https://eur-lex.europa.eu/legal-content/EN/TXT/?uri=CELEX%3A32006L0054" TargetMode="External"/><Relationship Id="rId133" Type="http://schemas.openxmlformats.org/officeDocument/2006/relationships/hyperlink" Target="https://eulawanalysis.blogspot.com/2024/06/advancing-gender-equality-eus-landmark.html?m=1" TargetMode="External"/><Relationship Id="rId134" Type="http://schemas.openxmlformats.org/officeDocument/2006/relationships/hyperlink" Target="https://eur-lex.europa.eu/legal-content/EN/TXT/?uri=CELEX%3A32023L1544" TargetMode="External"/><Relationship Id="rId135" Type="http://schemas.openxmlformats.org/officeDocument/2006/relationships/hyperlink" Target="https://eur-lex.europa.eu/eli/dir/2022/211/oj" TargetMode="External"/><Relationship Id="rId136" Type="http://schemas.openxmlformats.org/officeDocument/2006/relationships/hyperlink" Target="https://eur-lex.europa.eu/legal-content/EN/TXT/?uri=CELEX%3A32023R1543" TargetMode="External"/><Relationship Id="rId137" Type="http://schemas.openxmlformats.org/officeDocument/2006/relationships/hyperlink" Target="https://eur-lex.europa.eu/eli/reg/2023/969/oj" TargetMode="External"/><Relationship Id="rId138" Type="http://schemas.openxmlformats.org/officeDocument/2006/relationships/hyperlink" Target="https://eur-lex.europa.eu/legal-content/EN/TXT/?uri=celex%3A32022R0991" TargetMode="External"/><Relationship Id="rId139" Type="http://schemas.openxmlformats.org/officeDocument/2006/relationships/hyperlink" Target="https://eur-lex.europa.eu/eli/reg/2022/838/oj" TargetMode="External"/><Relationship Id="rId140" Type="http://schemas.openxmlformats.org/officeDocument/2006/relationships/hyperlink" Target="https://ec.europa.eu/info/law/better-regulation/have-your-say/initiatives/13745-Further-specifying-procedural-rules-relating-to-the-enforcement-of-the-General-Data-Protection-Regulation_en" TargetMode="External"/><Relationship Id="rId141" Type="http://schemas.openxmlformats.org/officeDocument/2006/relationships/hyperlink" Target="https://nihrc.org/publication/detail/brexit-health-and-its-potential-impact-on-article-2-of-the-ireland-northern-ireland-protocol" TargetMode="External"/><Relationship Id="rId142" Type="http://schemas.openxmlformats.org/officeDocument/2006/relationships/hyperlink" Target="https://www.coe.int/en/web/european-social-charter/processed-complaints/-/asset_publisher/5GEFkJmH2bYG/content/no-30-2005-marangopoulos-foundation-for-human-rights-mfhr-v-greece" TargetMode="External"/><Relationship Id="rId143" Type="http://schemas.openxmlformats.org/officeDocument/2006/relationships/hyperlink" Target="https://hudoc.echr.coe.int/eng?i=001-85436" TargetMode="External"/><Relationship Id="rId144" Type="http://schemas.openxmlformats.org/officeDocument/2006/relationships/hyperlink" Target="https://hudoc.echr.coe.int/eng?i=001-189421" TargetMode="External"/><Relationship Id="rId145" Type="http://schemas.openxmlformats.org/officeDocument/2006/relationships/hyperlink" Target="https://digitallibrary.un.org/record/3982508?ln=en" TargetMode="External"/><Relationship Id="rId146" Type="http://schemas.openxmlformats.org/officeDocument/2006/relationships/hyperlink" Target="https://eur-lex.europa.eu/legal-content/EN/ALL/?uri=CELEX%3A32022L0642" TargetMode="External"/><Relationship Id="rId147" Type="http://schemas.openxmlformats.org/officeDocument/2006/relationships/hyperlink" Target="https://eur-lex.europa.eu/legal-content/EN/TXT/?uri=CELEX%3A32022L1326" TargetMode="External"/><Relationship Id="rId148" Type="http://schemas.openxmlformats.org/officeDocument/2006/relationships/hyperlink" Target="https://eur-lex.europa.eu/legal-content/EN/TXT/?uri=CELEX%3A32022R0641" TargetMode="External"/><Relationship Id="rId149" Type="http://schemas.openxmlformats.org/officeDocument/2006/relationships/hyperlink" Target="https://eur-lex.europa.eu/eli/reg/2022/2370/oj" TargetMode="External"/><Relationship Id="rId150" Type="http://schemas.openxmlformats.org/officeDocument/2006/relationships/hyperlink" Target="https://eur-lex.europa.eu/legal-content/EN/TXT/?uri=CELEX%3A32022R0123" TargetMode="External"/><Relationship Id="rId151" Type="http://schemas.openxmlformats.org/officeDocument/2006/relationships/hyperlink" Target="https://www.gov.uk/guidance/supplying-authorised-medicines-to-northern-ireland" TargetMode="External"/><Relationship Id="rId152" Type="http://schemas.openxmlformats.org/officeDocument/2006/relationships/hyperlink" Target="https://www.legislation.gov.uk/ukpga/1998/47/schedule/3" TargetMode="External"/><Relationship Id="rId153" Type="http://schemas.openxmlformats.org/officeDocument/2006/relationships/hyperlink" Target="https://eur-lex.europa.eu/eli/reg_impl/2023/170/oj" TargetMode="External"/><Relationship Id="rId154" Type="http://schemas.openxmlformats.org/officeDocument/2006/relationships/hyperlink" Target="https://eur-lex.europa.eu/legal-content/EN/TXT/?uri=CELEX%3A32024L1226" TargetMode="External"/><Relationship Id="rId155" Type="http://schemas.openxmlformats.org/officeDocument/2006/relationships/hyperlink" Target="https://ec.europa.eu/info/law/better-regulation/have-your-say/initiatives/13192-EU-action-against-abusive-litigation-SLAPP-targeting-journalists-and-rights-defenders_en" TargetMode="External"/><Relationship Id="rId156" Type="http://schemas.openxmlformats.org/officeDocument/2006/relationships/hyperlink" Target="https://eur-lex.europa.eu/eli/dir/2024/1760/oj" TargetMode="External"/><Relationship Id="rId157" Type="http://schemas.openxmlformats.org/officeDocument/2006/relationships/hyperlink" Target="https://www.europarl.europa.eu/news/en/press-room/20240419IPR20584/parliament-adopts-platform-work-directive" TargetMode="External"/><Relationship Id="rId158" Type="http://schemas.openxmlformats.org/officeDocument/2006/relationships/hyperlink" Target="https://eur-lex.europa.eu/eli/dir/2024/869/oj" TargetMode="External"/><Relationship Id="rId159" Type="http://schemas.openxmlformats.org/officeDocument/2006/relationships/hyperlink" Target="https://epthinktank.eu/2023/02/17/proposal-for-a-ban-on-goods-made-using-forced-labour-eu-legislation-in-progress/" TargetMode="External"/><Relationship Id="rId160" Type="http://schemas.openxmlformats.org/officeDocument/2006/relationships/hyperlink" Target="https://eur-lex.europa.eu/eli/dir/2024/1712" TargetMode="External"/><Relationship Id="rId161" Type="http://schemas.openxmlformats.org/officeDocument/2006/relationships/hyperlink" Target="https://epthinktank.eu/2022/12/06/combating-child-sexual-abuse-online-eu-legislation-in-progress/" TargetMode="External"/><Relationship Id="rId162" Type="http://schemas.openxmlformats.org/officeDocument/2006/relationships/image" Target="media/image29.png"/><Relationship Id="rId163" Type="http://schemas.openxmlformats.org/officeDocument/2006/relationships/hyperlink" Target="https://eur-lex.europa.eu/legal-content/EN/TXT/?uri=CELEX%3A62020CJ0709" TargetMode="External"/><Relationship Id="rId164" Type="http://schemas.openxmlformats.org/officeDocument/2006/relationships/hyperlink" Target="https://nilq.qub.ac.uk/index.php/nilq/article/view/1059" TargetMode="External"/><Relationship Id="rId165" Type="http://schemas.openxmlformats.org/officeDocument/2006/relationships/hyperlink" Target="https://eur-lex.europa.eu/legal-content/EN/TXT/?uri=CELEX%3A62021CA0681" TargetMode="External"/><Relationship Id="rId166" Type="http://schemas.openxmlformats.org/officeDocument/2006/relationships/hyperlink" Target="https://eur-lex.europa.eu/legal-content/EN/TXT/?uri=CELEX%3A62021CJ0650" TargetMode="External"/><Relationship Id="rId167" Type="http://schemas.openxmlformats.org/officeDocument/2006/relationships/hyperlink" Target="https://eur-lex.europa.eu/legal-content/EN/TXT/?uri=CELEX%3A62021CJ0304" TargetMode="External"/><Relationship Id="rId168" Type="http://schemas.openxmlformats.org/officeDocument/2006/relationships/hyperlink" Target="https://eur-lex.europa.eu/legal-content/EN/TXT/?uri=CELEX%3A62021CJ0301" TargetMode="External"/><Relationship Id="rId169" Type="http://schemas.openxmlformats.org/officeDocument/2006/relationships/hyperlink" Target="https://curia.europa.eu/juris/liste.jsf?num=C-587/20" TargetMode="External"/><Relationship Id="rId170" Type="http://schemas.openxmlformats.org/officeDocument/2006/relationships/hyperlink" Target="https://durham-repository.worktribe.com/output/1287356/the-binding-charter-ten-years-on-more-than-a-mere-entreaty" TargetMode="External"/><Relationship Id="rId171" Type="http://schemas.openxmlformats.org/officeDocument/2006/relationships/hyperlink" Target="https://curia.europa.eu/juris/liste.jsf?lgrec=fr&amp;td=%3BALL&amp;language=en&amp;num=C-625/20&amp;jur=C" TargetMode="External"/><Relationship Id="rId172" Type="http://schemas.openxmlformats.org/officeDocument/2006/relationships/image" Target="media/image30.png"/><Relationship Id="rId173" Type="http://schemas.openxmlformats.org/officeDocument/2006/relationships/hyperlink" Target="https://commission.europa.eu/aid-development-cooperation-fundamental-rights/human-rights-non-eu-countries/eu-action-topic_en" TargetMode="External"/><Relationship Id="rId174" Type="http://schemas.openxmlformats.org/officeDocument/2006/relationships/hyperlink" Target="https://commission.europa.eu/strategy-and-policy_en" TargetMode="External"/><Relationship Id="rId175" Type="http://schemas.openxmlformats.org/officeDocument/2006/relationships/hyperlink" Target="https://home-affairs.ec.europa.eu/policies/migration-and-asylum_en" TargetMode="External"/><Relationship Id="rId176" Type="http://schemas.openxmlformats.org/officeDocument/2006/relationships/hyperlink" Target="https://www.equalityni.org/ECNI/media/ECNI/Publications/Delivering%20Equality/EqualityData-BriefingNoteNov2020.pdf" TargetMode="External"/><Relationship Id="rId177" Type="http://schemas.openxmlformats.org/officeDocument/2006/relationships/image" Target="media/image31.png"/><Relationship Id="rId178" Type="http://schemas.openxmlformats.org/officeDocument/2006/relationships/hyperlink" Target="mailto:DMU@equalityni.org" TargetMode="External"/><Relationship Id="rId179" Type="http://schemas.openxmlformats.org/officeDocument/2006/relationships/image" Target="media/image32.png"/><Relationship Id="rId180" Type="http://schemas.openxmlformats.org/officeDocument/2006/relationships/image" Target="media/image33.png"/><Relationship Id="rId181" Type="http://schemas.openxmlformats.org/officeDocument/2006/relationships/image" Target="media/image34.png"/><Relationship Id="rId182" Type="http://schemas.openxmlformats.org/officeDocument/2006/relationships/image" Target="media/image35.png"/><Relationship Id="rId183" Type="http://schemas.openxmlformats.org/officeDocument/2006/relationships/image" Target="media/image36.png"/><Relationship Id="rId184" Type="http://schemas.openxmlformats.org/officeDocument/2006/relationships/image" Target="media/image37.png"/><Relationship Id="rId185" Type="http://schemas.openxmlformats.org/officeDocument/2006/relationships/image" Target="media/image38.png"/><Relationship Id="rId186" Type="http://schemas.openxmlformats.org/officeDocument/2006/relationships/image" Target="media/image39.png"/><Relationship Id="rId187" Type="http://schemas.openxmlformats.org/officeDocument/2006/relationships/image" Target="media/image40.png"/><Relationship Id="rId188" Type="http://schemas.openxmlformats.org/officeDocument/2006/relationships/image" Target="media/image41.png"/><Relationship Id="rId189" Type="http://schemas.openxmlformats.org/officeDocument/2006/relationships/image" Target="media/image42.png"/><Relationship Id="rId190" Type="http://schemas.openxmlformats.org/officeDocument/2006/relationships/image" Target="media/image43.png"/><Relationship Id="rId191" Type="http://schemas.openxmlformats.org/officeDocument/2006/relationships/image" Target="media/image44.png"/><Relationship Id="rId192" Type="http://schemas.openxmlformats.org/officeDocument/2006/relationships/hyperlink" Target="http://www.equalityni.org/brexit" TargetMode="External"/><Relationship Id="rId193" Type="http://schemas.openxmlformats.org/officeDocument/2006/relationships/image" Target="media/image45.png"/><Relationship Id="rId194" Type="http://schemas.openxmlformats.org/officeDocument/2006/relationships/image" Target="media/image46.png"/><Relationship Id="rId195" Type="http://schemas.openxmlformats.org/officeDocument/2006/relationships/image" Target="media/image47.png"/><Relationship Id="rId196" Type="http://schemas.openxmlformats.org/officeDocument/2006/relationships/image" Target="media/image48.png"/><Relationship Id="rId197" Type="http://schemas.openxmlformats.org/officeDocument/2006/relationships/hyperlink" Target="mailto:info@ihrec.ie" TargetMode="External"/><Relationship Id="rId198" Type="http://schemas.openxmlformats.org/officeDocument/2006/relationships/hyperlink" Target="http://www.ihrec.ie/" TargetMode="External"/><Relationship Id="rId199" Type="http://schemas.openxmlformats.org/officeDocument/2006/relationships/image" Target="media/image49.png"/><Relationship Id="rId200" Type="http://schemas.openxmlformats.org/officeDocument/2006/relationships/image" Target="media/image50.png"/><Relationship Id="rId201" Type="http://schemas.openxmlformats.org/officeDocument/2006/relationships/hyperlink" Target="mailto:info@nihrc.org" TargetMode="External"/><Relationship Id="rId202" Type="http://schemas.openxmlformats.org/officeDocument/2006/relationships/hyperlink" Target="http://www.nihrc.org/brexit" TargetMode="External"/><Relationship Id="rId203" Type="http://schemas.openxmlformats.org/officeDocument/2006/relationships/image" Target="media/image51.png"/><Relationship Id="rId20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Equality Commission for Northern Ireland</dc:creator>
  <dc:title>EU Developments in Equality and Human Rights: Impact of Brexit on the Divergence of Rights and Best Practice on the Island of Ireland: Update Paper on Developments post January 2022</dc:title>
  <dcterms:created xsi:type="dcterms:W3CDTF">2025-03-25T14:09:04Z</dcterms:created>
  <dcterms:modified xsi:type="dcterms:W3CDTF">2025-03-25T14:09:04Z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2024-10-31T00:00:00Z</vt:filetime>
  </property>
  <property fmtid="{D5CDD505-2E9C-101B-9397-08002B2CF9AE}" pid="3" name="Creator">
    <vt:lpwstr>Adobe InDesign 20.0 (Macintosh)</vt:lpwstr>
  </property>
  <property fmtid="{D5CDD505-2E9C-101B-9397-08002B2CF9AE}" pid="4" name="LastSaved">
    <vt:filetime>2025-03-25T00:00:00Z</vt:filetime>
  </property>
  <property fmtid="{D5CDD505-2E9C-101B-9397-08002B2CF9AE}" pid="5" name="Producer">
    <vt:lpwstr>Adobe PDF Library 17.0</vt:lpwstr>
  </property>
</Properties>
</file>